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5.xml" ContentType="application/vnd.openxmlformats-officedocument.wordprocessingml.header+xml"/>
  <Override PartName="/word/footer14.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8.xml" ContentType="application/vnd.openxmlformats-officedocument.wordprocessingml.header+xml"/>
  <Override PartName="/word/footer17.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21.xml" ContentType="application/vnd.openxmlformats-officedocument.wordprocessingml.header+xml"/>
  <Override PartName="/word/footer20.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header24.xml" ContentType="application/vnd.openxmlformats-officedocument.wordprocessingml.header+xml"/>
  <Override PartName="/word/footer2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B98" w:rsidRPr="00616B5B" w:rsidRDefault="00623A5C" w:rsidP="00380510">
      <w:r>
        <w:rPr>
          <w:noProof/>
        </w:rPr>
        <w:drawing>
          <wp:inline distT="0" distB="0" distL="0" distR="0">
            <wp:extent cx="1447800" cy="1066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7800" cy="1066800"/>
                    </a:xfrm>
                    <a:prstGeom prst="rect">
                      <a:avLst/>
                    </a:prstGeom>
                    <a:noFill/>
                    <a:ln>
                      <a:noFill/>
                    </a:ln>
                  </pic:spPr>
                </pic:pic>
              </a:graphicData>
            </a:graphic>
          </wp:inline>
        </w:drawing>
      </w:r>
    </w:p>
    <w:p w:rsidR="00887330" w:rsidRPr="00A424FC" w:rsidRDefault="00887330" w:rsidP="00887330">
      <w:pPr>
        <w:pStyle w:val="ShortT"/>
        <w:rPr>
          <w:rFonts w:ascii="Times New Roman" w:hAnsi="Times New Roman"/>
        </w:rPr>
      </w:pPr>
      <w:r w:rsidRPr="00A424FC">
        <w:rPr>
          <w:rFonts w:ascii="Times New Roman" w:hAnsi="Times New Roman"/>
        </w:rPr>
        <w:t>Income Tax Assessment Act 1997</w:t>
      </w:r>
    </w:p>
    <w:p w:rsidR="00887330" w:rsidRPr="00583E1A" w:rsidRDefault="00887330" w:rsidP="00887330">
      <w:pPr>
        <w:pStyle w:val="Actno"/>
      </w:pPr>
      <w:r w:rsidRPr="00583E1A">
        <w:t>Act No.</w:t>
      </w:r>
      <w:r w:rsidR="00583E1A">
        <w:t> </w:t>
      </w:r>
      <w:r w:rsidRPr="00583E1A">
        <w:t>38 of 1997 as amended</w:t>
      </w:r>
    </w:p>
    <w:p w:rsidR="00602926" w:rsidRPr="00616B5B" w:rsidRDefault="00602926" w:rsidP="00602926">
      <w:pPr>
        <w:pStyle w:val="UpdateDate"/>
        <w:spacing w:before="120"/>
      </w:pPr>
      <w:r w:rsidRPr="00616B5B">
        <w:t xml:space="preserve">This compilation was prepared on </w:t>
      </w:r>
      <w:r w:rsidR="005A2C35">
        <w:t>1 October</w:t>
      </w:r>
      <w:r w:rsidR="00D30E08">
        <w:t xml:space="preserve"> 2012</w:t>
      </w:r>
      <w:r w:rsidRPr="00616B5B">
        <w:br/>
        <w:t>taking into account amendments up to Act No.</w:t>
      </w:r>
      <w:r>
        <w:t> </w:t>
      </w:r>
      <w:r w:rsidR="005A2C35">
        <w:t>136</w:t>
      </w:r>
      <w:r w:rsidR="000D2C05">
        <w:t xml:space="preserve"> </w:t>
      </w:r>
      <w:r w:rsidR="00A769EF">
        <w:t>of 2012</w:t>
      </w:r>
    </w:p>
    <w:p w:rsidR="00887330" w:rsidRPr="00583E1A" w:rsidRDefault="00887330" w:rsidP="00887330">
      <w:pPr>
        <w:pStyle w:val="UpdateDate"/>
        <w:spacing w:before="120"/>
      </w:pPr>
      <w:r w:rsidRPr="00583E1A">
        <w:rPr>
          <w:b/>
        </w:rPr>
        <w:t xml:space="preserve">Volume 8 </w:t>
      </w:r>
      <w:r w:rsidRPr="00583E1A">
        <w:t>includes:</w:t>
      </w:r>
      <w:r w:rsidRPr="00583E1A">
        <w:rPr>
          <w:b/>
        </w:rPr>
        <w:tab/>
      </w:r>
      <w:r w:rsidRPr="00583E1A">
        <w:t>Table of Contents</w:t>
      </w:r>
      <w:r w:rsidRPr="00583E1A">
        <w:rPr>
          <w:b/>
        </w:rPr>
        <w:br/>
      </w:r>
      <w:r w:rsidRPr="00583E1A">
        <w:rPr>
          <w:b/>
        </w:rPr>
        <w:tab/>
      </w:r>
      <w:r w:rsidRPr="00583E1A">
        <w:rPr>
          <w:b/>
        </w:rPr>
        <w:tab/>
      </w:r>
      <w:r w:rsidRPr="00583E1A">
        <w:rPr>
          <w:b/>
        </w:rPr>
        <w:tab/>
      </w:r>
      <w:r w:rsidRPr="00583E1A">
        <w:t>Sections</w:t>
      </w:r>
      <w:r w:rsidR="00583E1A">
        <w:t> </w:t>
      </w:r>
      <w:r w:rsidRPr="00583E1A">
        <w:t>768</w:t>
      </w:r>
      <w:r w:rsidR="00583E1A">
        <w:noBreakHyphen/>
      </w:r>
      <w:r w:rsidR="00560D57" w:rsidRPr="00583E1A">
        <w:t>100</w:t>
      </w:r>
      <w:r w:rsidRPr="00583E1A">
        <w:t xml:space="preserve"> to 995</w:t>
      </w:r>
      <w:r w:rsidR="00583E1A">
        <w:noBreakHyphen/>
      </w:r>
      <w:r w:rsidRPr="00583E1A">
        <w:t>1</w:t>
      </w:r>
    </w:p>
    <w:p w:rsidR="00887330" w:rsidRPr="00583E1A" w:rsidRDefault="00887330" w:rsidP="00887330">
      <w:pPr>
        <w:pStyle w:val="UpdateDate"/>
        <w:spacing w:before="120"/>
      </w:pPr>
      <w:r w:rsidRPr="00583E1A">
        <w:t>The text of any of those amendments not in force</w:t>
      </w:r>
      <w:r w:rsidRPr="00583E1A">
        <w:br/>
        <w:t>on that date is appended in the Notes section</w:t>
      </w:r>
    </w:p>
    <w:p w:rsidR="00887330" w:rsidRPr="00583E1A" w:rsidRDefault="00887330" w:rsidP="00887330">
      <w:pPr>
        <w:pStyle w:val="UpdateDate"/>
        <w:spacing w:before="120"/>
      </w:pPr>
      <w:r w:rsidRPr="00583E1A">
        <w:t xml:space="preserve">The operation of amendments that have been incorporated may be </w:t>
      </w:r>
      <w:r w:rsidR="004650DB">
        <w:br/>
      </w:r>
      <w:r w:rsidRPr="00583E1A">
        <w:t>affected by application provisions that are set out in the Notes section</w:t>
      </w:r>
    </w:p>
    <w:p w:rsidR="00AC0C7C" w:rsidRPr="00616B5B" w:rsidRDefault="00AC0C7C" w:rsidP="00AC0C7C">
      <w:pPr>
        <w:pStyle w:val="Header"/>
      </w:pPr>
      <w:r w:rsidRPr="00616B5B">
        <w:rPr>
          <w:rStyle w:val="CharChapNo"/>
        </w:rPr>
        <w:t xml:space="preserve"> </w:t>
      </w:r>
      <w:r w:rsidRPr="00616B5B">
        <w:rPr>
          <w:rStyle w:val="CharChapText"/>
        </w:rPr>
        <w:t xml:space="preserve"> </w:t>
      </w:r>
    </w:p>
    <w:p w:rsidR="00AC0C7C" w:rsidRPr="00616B5B" w:rsidRDefault="00AC0C7C" w:rsidP="00AC0C7C">
      <w:pPr>
        <w:pStyle w:val="Header"/>
      </w:pPr>
      <w:r w:rsidRPr="00616B5B">
        <w:rPr>
          <w:rStyle w:val="CharPartNo"/>
        </w:rPr>
        <w:t xml:space="preserve"> </w:t>
      </w:r>
      <w:r w:rsidRPr="00616B5B">
        <w:rPr>
          <w:rStyle w:val="CharPartText"/>
        </w:rPr>
        <w:t xml:space="preserve"> </w:t>
      </w:r>
    </w:p>
    <w:p w:rsidR="00AC0C7C" w:rsidRPr="00616B5B" w:rsidRDefault="00AC0C7C" w:rsidP="00AC0C7C">
      <w:pPr>
        <w:pStyle w:val="Header"/>
      </w:pPr>
      <w:r w:rsidRPr="00616B5B">
        <w:rPr>
          <w:rStyle w:val="CharDivNo"/>
        </w:rPr>
        <w:t xml:space="preserve"> </w:t>
      </w:r>
      <w:r w:rsidRPr="00616B5B">
        <w:rPr>
          <w:rStyle w:val="CharDivText"/>
        </w:rPr>
        <w:t xml:space="preserve"> </w:t>
      </w:r>
    </w:p>
    <w:p w:rsidR="007F5A03" w:rsidRDefault="007F5A03" w:rsidP="007F5A03">
      <w:pPr>
        <w:sectPr w:rsidR="007F5A03" w:rsidSect="009275EE">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2268" w:right="2410" w:bottom="3827" w:left="2410" w:header="567" w:footer="3119" w:gutter="0"/>
          <w:pgNumType w:fmt="lowerRoman"/>
          <w:cols w:space="708"/>
          <w:titlePg/>
          <w:docGrid w:linePitch="360"/>
        </w:sectPr>
      </w:pPr>
    </w:p>
    <w:p w:rsidR="007F5A03" w:rsidRDefault="00887330" w:rsidP="007F5A03">
      <w:pPr>
        <w:pStyle w:val="Contents"/>
      </w:pPr>
      <w:r w:rsidRPr="00583E1A">
        <w:lastRenderedPageBreak/>
        <w:t>Contents</w:t>
      </w:r>
    </w:p>
    <w:p w:rsidR="00380510" w:rsidRDefault="00380510">
      <w:pPr>
        <w:pStyle w:val="TOC2"/>
        <w:rPr>
          <w:rFonts w:ascii="Calibri" w:hAnsi="Calibri"/>
          <w:b w:val="0"/>
          <w:iCs w:val="0"/>
          <w:noProof/>
          <w:kern w:val="0"/>
          <w:sz w:val="22"/>
          <w:szCs w:val="22"/>
        </w:rPr>
      </w:pPr>
      <w:r>
        <w:fldChar w:fldCharType="begin"/>
      </w:r>
      <w:r>
        <w:instrText xml:space="preserve"> TOC \o "1-9" \t "ActHead 1,2,ActHead 2,2,ActHead 3,3,ActHead 4,4,ActHead 5,5, Schedule,2, Schedule Text,3, NotesSection,6" </w:instrText>
      </w:r>
      <w:r>
        <w:fldChar w:fldCharType="separate"/>
      </w:r>
      <w:r>
        <w:rPr>
          <w:noProof/>
        </w:rPr>
        <w:t>Chapter 4—International aspects of income tax</w:t>
      </w:r>
      <w:r w:rsidRPr="00380510">
        <w:rPr>
          <w:rFonts w:ascii="Times" w:hAnsi="Times" w:cs="Times"/>
          <w:b w:val="0"/>
          <w:noProof/>
          <w:sz w:val="18"/>
        </w:rPr>
        <w:tab/>
      </w:r>
      <w:r w:rsidRPr="00380510">
        <w:rPr>
          <w:rFonts w:ascii="Times" w:hAnsi="Times" w:cs="Times"/>
          <w:b w:val="0"/>
          <w:noProof/>
          <w:sz w:val="18"/>
        </w:rPr>
        <w:fldChar w:fldCharType="begin"/>
      </w:r>
      <w:r w:rsidRPr="00380510">
        <w:rPr>
          <w:rFonts w:ascii="Times" w:hAnsi="Times" w:cs="Times"/>
          <w:b w:val="0"/>
          <w:noProof/>
          <w:sz w:val="18"/>
        </w:rPr>
        <w:instrText xml:space="preserve"> PAGEREF _Toc338939074 \h </w:instrText>
      </w:r>
      <w:r w:rsidRPr="00380510">
        <w:rPr>
          <w:rFonts w:ascii="Times" w:hAnsi="Times" w:cs="Times"/>
          <w:b w:val="0"/>
          <w:noProof/>
          <w:sz w:val="18"/>
        </w:rPr>
      </w:r>
      <w:r w:rsidRPr="00380510">
        <w:rPr>
          <w:rFonts w:ascii="Times" w:hAnsi="Times" w:cs="Times"/>
          <w:b w:val="0"/>
          <w:noProof/>
          <w:sz w:val="18"/>
        </w:rPr>
        <w:fldChar w:fldCharType="separate"/>
      </w:r>
      <w:r w:rsidR="00623A5C">
        <w:rPr>
          <w:rFonts w:ascii="Times" w:hAnsi="Times" w:cs="Times"/>
          <w:b w:val="0"/>
          <w:noProof/>
          <w:sz w:val="18"/>
        </w:rPr>
        <w:t>1</w:t>
      </w:r>
      <w:r w:rsidRPr="00380510">
        <w:rPr>
          <w:rFonts w:ascii="Times" w:hAnsi="Times" w:cs="Times"/>
          <w:b w:val="0"/>
          <w:noProof/>
          <w:sz w:val="18"/>
        </w:rPr>
        <w:fldChar w:fldCharType="end"/>
      </w:r>
    </w:p>
    <w:p w:rsidR="00380510" w:rsidRDefault="00380510">
      <w:pPr>
        <w:pStyle w:val="TOC2"/>
        <w:rPr>
          <w:rFonts w:ascii="Calibri" w:hAnsi="Calibri"/>
          <w:b w:val="0"/>
          <w:iCs w:val="0"/>
          <w:noProof/>
          <w:kern w:val="0"/>
          <w:sz w:val="22"/>
          <w:szCs w:val="22"/>
        </w:rPr>
      </w:pPr>
      <w:r>
        <w:rPr>
          <w:noProof/>
        </w:rPr>
        <w:t>Part 4</w:t>
      </w:r>
      <w:r>
        <w:rPr>
          <w:noProof/>
        </w:rPr>
        <w:noBreakHyphen/>
        <w:t>5—General</w:t>
      </w:r>
      <w:r w:rsidRPr="00380510">
        <w:rPr>
          <w:rFonts w:ascii="Times" w:hAnsi="Times" w:cs="Times"/>
          <w:b w:val="0"/>
          <w:noProof/>
          <w:sz w:val="18"/>
        </w:rPr>
        <w:tab/>
      </w:r>
      <w:r w:rsidRPr="00380510">
        <w:rPr>
          <w:rFonts w:ascii="Times" w:hAnsi="Times" w:cs="Times"/>
          <w:b w:val="0"/>
          <w:noProof/>
          <w:sz w:val="18"/>
        </w:rPr>
        <w:fldChar w:fldCharType="begin"/>
      </w:r>
      <w:r w:rsidRPr="00380510">
        <w:rPr>
          <w:rFonts w:ascii="Times" w:hAnsi="Times" w:cs="Times"/>
          <w:b w:val="0"/>
          <w:noProof/>
          <w:sz w:val="18"/>
        </w:rPr>
        <w:instrText xml:space="preserve"> PAGEREF _Toc338939075 \h </w:instrText>
      </w:r>
      <w:r w:rsidRPr="00380510">
        <w:rPr>
          <w:rFonts w:ascii="Times" w:hAnsi="Times" w:cs="Times"/>
          <w:b w:val="0"/>
          <w:noProof/>
          <w:sz w:val="18"/>
        </w:rPr>
      </w:r>
      <w:r w:rsidRPr="00380510">
        <w:rPr>
          <w:rFonts w:ascii="Times" w:hAnsi="Times" w:cs="Times"/>
          <w:b w:val="0"/>
          <w:noProof/>
          <w:sz w:val="18"/>
        </w:rPr>
        <w:fldChar w:fldCharType="separate"/>
      </w:r>
      <w:r w:rsidR="00623A5C">
        <w:rPr>
          <w:rFonts w:ascii="Times" w:hAnsi="Times" w:cs="Times"/>
          <w:b w:val="0"/>
          <w:noProof/>
          <w:sz w:val="18"/>
        </w:rPr>
        <w:t>1</w:t>
      </w:r>
      <w:r w:rsidRPr="00380510">
        <w:rPr>
          <w:rFonts w:ascii="Times" w:hAnsi="Times" w:cs="Times"/>
          <w:b w:val="0"/>
          <w:noProof/>
          <w:sz w:val="18"/>
        </w:rPr>
        <w:fldChar w:fldCharType="end"/>
      </w:r>
    </w:p>
    <w:p w:rsidR="00380510" w:rsidRDefault="00380510">
      <w:pPr>
        <w:pStyle w:val="TOC3"/>
        <w:rPr>
          <w:rFonts w:ascii="Calibri" w:hAnsi="Calibri"/>
          <w:b w:val="0"/>
          <w:noProof/>
          <w:kern w:val="0"/>
          <w:szCs w:val="22"/>
        </w:rPr>
      </w:pPr>
      <w:r>
        <w:rPr>
          <w:noProof/>
        </w:rPr>
        <w:t>Division 768—Exempt foreign income and gains</w:t>
      </w:r>
      <w:r w:rsidRPr="00380510">
        <w:rPr>
          <w:rFonts w:ascii="Times" w:hAnsi="Times" w:cs="Times"/>
          <w:b w:val="0"/>
          <w:noProof/>
          <w:sz w:val="18"/>
        </w:rPr>
        <w:tab/>
      </w:r>
      <w:r w:rsidRPr="00380510">
        <w:rPr>
          <w:rFonts w:ascii="Times" w:hAnsi="Times" w:cs="Times"/>
          <w:b w:val="0"/>
          <w:noProof/>
          <w:sz w:val="18"/>
        </w:rPr>
        <w:fldChar w:fldCharType="begin"/>
      </w:r>
      <w:r w:rsidRPr="00380510">
        <w:rPr>
          <w:rFonts w:ascii="Times" w:hAnsi="Times" w:cs="Times"/>
          <w:b w:val="0"/>
          <w:noProof/>
          <w:sz w:val="18"/>
        </w:rPr>
        <w:instrText xml:space="preserve"> PAGEREF _Toc338939076 \h </w:instrText>
      </w:r>
      <w:r w:rsidRPr="00380510">
        <w:rPr>
          <w:rFonts w:ascii="Times" w:hAnsi="Times" w:cs="Times"/>
          <w:b w:val="0"/>
          <w:noProof/>
          <w:sz w:val="18"/>
        </w:rPr>
      </w:r>
      <w:r w:rsidRPr="00380510">
        <w:rPr>
          <w:rFonts w:ascii="Times" w:hAnsi="Times" w:cs="Times"/>
          <w:b w:val="0"/>
          <w:noProof/>
          <w:sz w:val="18"/>
        </w:rPr>
        <w:fldChar w:fldCharType="separate"/>
      </w:r>
      <w:r w:rsidR="00623A5C">
        <w:rPr>
          <w:rFonts w:ascii="Times" w:hAnsi="Times" w:cs="Times"/>
          <w:b w:val="0"/>
          <w:noProof/>
          <w:sz w:val="18"/>
        </w:rPr>
        <w:t>1</w:t>
      </w:r>
      <w:r w:rsidRPr="00380510">
        <w:rPr>
          <w:rFonts w:ascii="Times" w:hAnsi="Times" w:cs="Times"/>
          <w:b w:val="0"/>
          <w:noProof/>
          <w:sz w:val="18"/>
        </w:rPr>
        <w:fldChar w:fldCharType="end"/>
      </w:r>
    </w:p>
    <w:p w:rsidR="00380510" w:rsidRDefault="00380510">
      <w:pPr>
        <w:pStyle w:val="TOC4"/>
        <w:rPr>
          <w:rFonts w:ascii="Calibri" w:hAnsi="Calibri"/>
          <w:b w:val="0"/>
          <w:noProof/>
          <w:kern w:val="0"/>
          <w:sz w:val="22"/>
          <w:szCs w:val="22"/>
        </w:rPr>
      </w:pPr>
      <w:r>
        <w:rPr>
          <w:noProof/>
        </w:rPr>
        <w:t>Subdivision 768</w:t>
      </w:r>
      <w:r>
        <w:rPr>
          <w:noProof/>
        </w:rPr>
        <w:noBreakHyphen/>
        <w:t>B—Some items of income that are exempt from income tax</w:t>
      </w:r>
      <w:r w:rsidRPr="00380510">
        <w:rPr>
          <w:rFonts w:ascii="Times" w:hAnsi="Times" w:cs="Times"/>
          <w:b w:val="0"/>
          <w:noProof/>
          <w:sz w:val="18"/>
        </w:rPr>
        <w:tab/>
      </w:r>
      <w:r w:rsidRPr="00380510">
        <w:rPr>
          <w:rFonts w:ascii="Times" w:hAnsi="Times" w:cs="Times"/>
          <w:b w:val="0"/>
          <w:noProof/>
          <w:sz w:val="18"/>
        </w:rPr>
        <w:fldChar w:fldCharType="begin"/>
      </w:r>
      <w:r w:rsidRPr="00380510">
        <w:rPr>
          <w:rFonts w:ascii="Times" w:hAnsi="Times" w:cs="Times"/>
          <w:b w:val="0"/>
          <w:noProof/>
          <w:sz w:val="18"/>
        </w:rPr>
        <w:instrText xml:space="preserve"> PAGEREF _Toc338939077 \h </w:instrText>
      </w:r>
      <w:r w:rsidRPr="00380510">
        <w:rPr>
          <w:rFonts w:ascii="Times" w:hAnsi="Times" w:cs="Times"/>
          <w:b w:val="0"/>
          <w:noProof/>
          <w:sz w:val="18"/>
        </w:rPr>
      </w:r>
      <w:r w:rsidRPr="00380510">
        <w:rPr>
          <w:rFonts w:ascii="Times" w:hAnsi="Times" w:cs="Times"/>
          <w:b w:val="0"/>
          <w:noProof/>
          <w:sz w:val="18"/>
        </w:rPr>
        <w:fldChar w:fldCharType="separate"/>
      </w:r>
      <w:r w:rsidR="00623A5C">
        <w:rPr>
          <w:rFonts w:ascii="Times" w:hAnsi="Times" w:cs="Times"/>
          <w:b w:val="0"/>
          <w:noProof/>
          <w:sz w:val="18"/>
        </w:rPr>
        <w:t>1</w:t>
      </w:r>
      <w:r w:rsidRPr="00380510">
        <w:rPr>
          <w:rFonts w:ascii="Times" w:hAnsi="Times" w:cs="Times"/>
          <w:b w:val="0"/>
          <w:noProof/>
          <w:sz w:val="18"/>
        </w:rPr>
        <w:fldChar w:fldCharType="end"/>
      </w:r>
    </w:p>
    <w:p w:rsidR="00380510" w:rsidRDefault="00380510">
      <w:pPr>
        <w:pStyle w:val="TOC5"/>
        <w:rPr>
          <w:rFonts w:ascii="Calibri" w:hAnsi="Calibri"/>
          <w:iCs w:val="0"/>
          <w:noProof/>
          <w:kern w:val="0"/>
          <w:sz w:val="22"/>
          <w:szCs w:val="22"/>
        </w:rPr>
      </w:pPr>
      <w:r>
        <w:rPr>
          <w:noProof/>
        </w:rPr>
        <w:t>768</w:t>
      </w:r>
      <w:r>
        <w:rPr>
          <w:noProof/>
        </w:rPr>
        <w:noBreakHyphen/>
        <w:t>100</w:t>
      </w:r>
      <w:r>
        <w:rPr>
          <w:noProof/>
        </w:rPr>
        <w:tab/>
        <w:t>Foreign government officials in Australia</w:t>
      </w:r>
      <w:r w:rsidRPr="00380510">
        <w:rPr>
          <w:rFonts w:ascii="Times" w:hAnsi="Times" w:cs="Times"/>
          <w:noProof/>
        </w:rPr>
        <w:tab/>
      </w:r>
      <w:r w:rsidRPr="00380510">
        <w:rPr>
          <w:rFonts w:ascii="Times" w:hAnsi="Times" w:cs="Times"/>
          <w:noProof/>
        </w:rPr>
        <w:fldChar w:fldCharType="begin"/>
      </w:r>
      <w:r w:rsidRPr="00380510">
        <w:rPr>
          <w:rFonts w:ascii="Times" w:hAnsi="Times" w:cs="Times"/>
          <w:noProof/>
        </w:rPr>
        <w:instrText xml:space="preserve"> PAGEREF _Toc338939078 \h </w:instrText>
      </w:r>
      <w:r w:rsidRPr="00380510">
        <w:rPr>
          <w:rFonts w:ascii="Times" w:hAnsi="Times" w:cs="Times"/>
          <w:noProof/>
        </w:rPr>
      </w:r>
      <w:r w:rsidRPr="00380510">
        <w:rPr>
          <w:rFonts w:ascii="Times" w:hAnsi="Times" w:cs="Times"/>
          <w:noProof/>
        </w:rPr>
        <w:fldChar w:fldCharType="separate"/>
      </w:r>
      <w:r w:rsidR="00623A5C">
        <w:rPr>
          <w:rFonts w:ascii="Times" w:hAnsi="Times" w:cs="Times"/>
          <w:noProof/>
        </w:rPr>
        <w:t>1</w:t>
      </w:r>
      <w:r w:rsidRPr="00380510">
        <w:rPr>
          <w:rFonts w:ascii="Times" w:hAnsi="Times" w:cs="Times"/>
          <w:noProof/>
        </w:rPr>
        <w:fldChar w:fldCharType="end"/>
      </w:r>
    </w:p>
    <w:p w:rsidR="00380510" w:rsidRDefault="00380510">
      <w:pPr>
        <w:pStyle w:val="TOC5"/>
        <w:rPr>
          <w:rFonts w:ascii="Calibri" w:hAnsi="Calibri"/>
          <w:iCs w:val="0"/>
          <w:noProof/>
          <w:kern w:val="0"/>
          <w:sz w:val="22"/>
          <w:szCs w:val="22"/>
        </w:rPr>
      </w:pPr>
      <w:r>
        <w:rPr>
          <w:noProof/>
        </w:rPr>
        <w:t>768</w:t>
      </w:r>
      <w:r>
        <w:rPr>
          <w:noProof/>
        </w:rPr>
        <w:noBreakHyphen/>
        <w:t>105</w:t>
      </w:r>
      <w:r>
        <w:rPr>
          <w:noProof/>
        </w:rPr>
        <w:tab/>
        <w:t>Compensation arising out of Second World War</w:t>
      </w:r>
      <w:r w:rsidRPr="00380510">
        <w:rPr>
          <w:rFonts w:ascii="Times" w:hAnsi="Times" w:cs="Times"/>
          <w:noProof/>
        </w:rPr>
        <w:tab/>
      </w:r>
      <w:r w:rsidRPr="00380510">
        <w:rPr>
          <w:rFonts w:ascii="Times" w:hAnsi="Times" w:cs="Times"/>
          <w:noProof/>
        </w:rPr>
        <w:fldChar w:fldCharType="begin"/>
      </w:r>
      <w:r w:rsidRPr="00380510">
        <w:rPr>
          <w:rFonts w:ascii="Times" w:hAnsi="Times" w:cs="Times"/>
          <w:noProof/>
        </w:rPr>
        <w:instrText xml:space="preserve"> PAGEREF _Toc338939079 \h </w:instrText>
      </w:r>
      <w:r w:rsidRPr="00380510">
        <w:rPr>
          <w:rFonts w:ascii="Times" w:hAnsi="Times" w:cs="Times"/>
          <w:noProof/>
        </w:rPr>
      </w:r>
      <w:r w:rsidRPr="00380510">
        <w:rPr>
          <w:rFonts w:ascii="Times" w:hAnsi="Times" w:cs="Times"/>
          <w:noProof/>
        </w:rPr>
        <w:fldChar w:fldCharType="separate"/>
      </w:r>
      <w:r w:rsidR="00623A5C">
        <w:rPr>
          <w:rFonts w:ascii="Times" w:hAnsi="Times" w:cs="Times"/>
          <w:noProof/>
        </w:rPr>
        <w:t>3</w:t>
      </w:r>
      <w:r w:rsidRPr="00380510">
        <w:rPr>
          <w:rFonts w:ascii="Times" w:hAnsi="Times" w:cs="Times"/>
          <w:noProof/>
        </w:rPr>
        <w:fldChar w:fldCharType="end"/>
      </w:r>
    </w:p>
    <w:p w:rsidR="00380510" w:rsidRDefault="00380510">
      <w:pPr>
        <w:pStyle w:val="TOC4"/>
        <w:rPr>
          <w:rFonts w:ascii="Calibri" w:hAnsi="Calibri"/>
          <w:b w:val="0"/>
          <w:noProof/>
          <w:kern w:val="0"/>
          <w:sz w:val="22"/>
          <w:szCs w:val="22"/>
        </w:rPr>
      </w:pPr>
      <w:r>
        <w:rPr>
          <w:noProof/>
        </w:rPr>
        <w:t>Subdivision 768</w:t>
      </w:r>
      <w:r>
        <w:rPr>
          <w:noProof/>
        </w:rPr>
        <w:noBreakHyphen/>
        <w:t>G—Reduction in capital gains and losses arising from CGT events in relation to certain voting interests in active foreign companies</w:t>
      </w:r>
      <w:r w:rsidRPr="00380510">
        <w:rPr>
          <w:rFonts w:ascii="Times" w:hAnsi="Times" w:cs="Times"/>
          <w:b w:val="0"/>
          <w:noProof/>
          <w:sz w:val="18"/>
        </w:rPr>
        <w:tab/>
      </w:r>
      <w:r w:rsidRPr="00380510">
        <w:rPr>
          <w:rFonts w:ascii="Times" w:hAnsi="Times" w:cs="Times"/>
          <w:b w:val="0"/>
          <w:noProof/>
          <w:sz w:val="18"/>
        </w:rPr>
        <w:fldChar w:fldCharType="begin"/>
      </w:r>
      <w:r w:rsidRPr="00380510">
        <w:rPr>
          <w:rFonts w:ascii="Times" w:hAnsi="Times" w:cs="Times"/>
          <w:b w:val="0"/>
          <w:noProof/>
          <w:sz w:val="18"/>
        </w:rPr>
        <w:instrText xml:space="preserve"> PAGEREF _Toc338939080 \h </w:instrText>
      </w:r>
      <w:r w:rsidRPr="00380510">
        <w:rPr>
          <w:rFonts w:ascii="Times" w:hAnsi="Times" w:cs="Times"/>
          <w:b w:val="0"/>
          <w:noProof/>
          <w:sz w:val="18"/>
        </w:rPr>
      </w:r>
      <w:r w:rsidRPr="00380510">
        <w:rPr>
          <w:rFonts w:ascii="Times" w:hAnsi="Times" w:cs="Times"/>
          <w:b w:val="0"/>
          <w:noProof/>
          <w:sz w:val="18"/>
        </w:rPr>
        <w:fldChar w:fldCharType="separate"/>
      </w:r>
      <w:r w:rsidR="00623A5C">
        <w:rPr>
          <w:rFonts w:ascii="Times" w:hAnsi="Times" w:cs="Times"/>
          <w:b w:val="0"/>
          <w:noProof/>
          <w:sz w:val="18"/>
        </w:rPr>
        <w:t>5</w:t>
      </w:r>
      <w:r w:rsidRPr="00380510">
        <w:rPr>
          <w:rFonts w:ascii="Times" w:hAnsi="Times" w:cs="Times"/>
          <w:b w:val="0"/>
          <w:noProof/>
          <w:sz w:val="18"/>
        </w:rPr>
        <w:fldChar w:fldCharType="end"/>
      </w:r>
    </w:p>
    <w:p w:rsidR="00380510" w:rsidRDefault="00380510">
      <w:pPr>
        <w:pStyle w:val="TOC4"/>
        <w:rPr>
          <w:rFonts w:ascii="Calibri" w:hAnsi="Calibri"/>
          <w:b w:val="0"/>
          <w:noProof/>
          <w:kern w:val="0"/>
          <w:sz w:val="22"/>
          <w:szCs w:val="22"/>
        </w:rPr>
      </w:pPr>
      <w:r>
        <w:rPr>
          <w:noProof/>
        </w:rPr>
        <w:t>Guide to Subdivision 768</w:t>
      </w:r>
      <w:r>
        <w:rPr>
          <w:noProof/>
        </w:rPr>
        <w:noBreakHyphen/>
        <w:t>G</w:t>
      </w:r>
      <w:r w:rsidRPr="00380510">
        <w:rPr>
          <w:rFonts w:ascii="Times" w:hAnsi="Times" w:cs="Times"/>
          <w:b w:val="0"/>
          <w:noProof/>
          <w:sz w:val="18"/>
        </w:rPr>
        <w:tab/>
      </w:r>
      <w:r w:rsidRPr="00380510">
        <w:rPr>
          <w:rFonts w:ascii="Times" w:hAnsi="Times" w:cs="Times"/>
          <w:b w:val="0"/>
          <w:noProof/>
          <w:sz w:val="18"/>
        </w:rPr>
        <w:fldChar w:fldCharType="begin"/>
      </w:r>
      <w:r w:rsidRPr="00380510">
        <w:rPr>
          <w:rFonts w:ascii="Times" w:hAnsi="Times" w:cs="Times"/>
          <w:b w:val="0"/>
          <w:noProof/>
          <w:sz w:val="18"/>
        </w:rPr>
        <w:instrText xml:space="preserve"> PAGEREF _Toc338939081 \h </w:instrText>
      </w:r>
      <w:r w:rsidRPr="00380510">
        <w:rPr>
          <w:rFonts w:ascii="Times" w:hAnsi="Times" w:cs="Times"/>
          <w:b w:val="0"/>
          <w:noProof/>
          <w:sz w:val="18"/>
        </w:rPr>
      </w:r>
      <w:r w:rsidRPr="00380510">
        <w:rPr>
          <w:rFonts w:ascii="Times" w:hAnsi="Times" w:cs="Times"/>
          <w:b w:val="0"/>
          <w:noProof/>
          <w:sz w:val="18"/>
        </w:rPr>
        <w:fldChar w:fldCharType="separate"/>
      </w:r>
      <w:r w:rsidR="00623A5C">
        <w:rPr>
          <w:rFonts w:ascii="Times" w:hAnsi="Times" w:cs="Times"/>
          <w:b w:val="0"/>
          <w:noProof/>
          <w:sz w:val="18"/>
        </w:rPr>
        <w:t>5</w:t>
      </w:r>
      <w:r w:rsidRPr="00380510">
        <w:rPr>
          <w:rFonts w:ascii="Times" w:hAnsi="Times" w:cs="Times"/>
          <w:b w:val="0"/>
          <w:noProof/>
          <w:sz w:val="18"/>
        </w:rPr>
        <w:fldChar w:fldCharType="end"/>
      </w:r>
    </w:p>
    <w:p w:rsidR="00380510" w:rsidRDefault="00380510">
      <w:pPr>
        <w:pStyle w:val="TOC5"/>
        <w:rPr>
          <w:rFonts w:ascii="Calibri" w:hAnsi="Calibri"/>
          <w:iCs w:val="0"/>
          <w:noProof/>
          <w:kern w:val="0"/>
          <w:sz w:val="22"/>
          <w:szCs w:val="22"/>
        </w:rPr>
      </w:pPr>
      <w:r>
        <w:rPr>
          <w:noProof/>
        </w:rPr>
        <w:t>768</w:t>
      </w:r>
      <w:r>
        <w:rPr>
          <w:noProof/>
        </w:rPr>
        <w:noBreakHyphen/>
        <w:t>500</w:t>
      </w:r>
      <w:r>
        <w:rPr>
          <w:noProof/>
        </w:rPr>
        <w:tab/>
        <w:t>What this Subdivision is about</w:t>
      </w:r>
      <w:r w:rsidRPr="00380510">
        <w:rPr>
          <w:rFonts w:ascii="Times" w:hAnsi="Times" w:cs="Times"/>
          <w:noProof/>
        </w:rPr>
        <w:tab/>
      </w:r>
      <w:r w:rsidRPr="00380510">
        <w:rPr>
          <w:rFonts w:ascii="Times" w:hAnsi="Times" w:cs="Times"/>
          <w:noProof/>
        </w:rPr>
        <w:fldChar w:fldCharType="begin"/>
      </w:r>
      <w:r w:rsidRPr="00380510">
        <w:rPr>
          <w:rFonts w:ascii="Times" w:hAnsi="Times" w:cs="Times"/>
          <w:noProof/>
        </w:rPr>
        <w:instrText xml:space="preserve"> PAGEREF _Toc338939082 \h </w:instrText>
      </w:r>
      <w:r w:rsidRPr="00380510">
        <w:rPr>
          <w:rFonts w:ascii="Times" w:hAnsi="Times" w:cs="Times"/>
          <w:noProof/>
        </w:rPr>
      </w:r>
      <w:r w:rsidRPr="00380510">
        <w:rPr>
          <w:rFonts w:ascii="Times" w:hAnsi="Times" w:cs="Times"/>
          <w:noProof/>
        </w:rPr>
        <w:fldChar w:fldCharType="separate"/>
      </w:r>
      <w:r w:rsidR="00623A5C">
        <w:rPr>
          <w:rFonts w:ascii="Times" w:hAnsi="Times" w:cs="Times"/>
          <w:noProof/>
        </w:rPr>
        <w:t>5</w:t>
      </w:r>
      <w:r w:rsidRPr="00380510">
        <w:rPr>
          <w:rFonts w:ascii="Times" w:hAnsi="Times" w:cs="Times"/>
          <w:noProof/>
        </w:rPr>
        <w:fldChar w:fldCharType="end"/>
      </w:r>
    </w:p>
    <w:p w:rsidR="00380510" w:rsidRDefault="00380510">
      <w:pPr>
        <w:pStyle w:val="TOC4"/>
        <w:rPr>
          <w:rFonts w:ascii="Calibri" w:hAnsi="Calibri"/>
          <w:b w:val="0"/>
          <w:noProof/>
          <w:kern w:val="0"/>
          <w:sz w:val="22"/>
          <w:szCs w:val="22"/>
        </w:rPr>
      </w:pPr>
      <w:r>
        <w:rPr>
          <w:noProof/>
        </w:rPr>
        <w:t>Operative provisions</w:t>
      </w:r>
      <w:r w:rsidRPr="00380510">
        <w:rPr>
          <w:rFonts w:ascii="Times" w:hAnsi="Times" w:cs="Times"/>
          <w:b w:val="0"/>
          <w:noProof/>
          <w:sz w:val="18"/>
        </w:rPr>
        <w:tab/>
      </w:r>
      <w:r w:rsidRPr="00380510">
        <w:rPr>
          <w:rFonts w:ascii="Times" w:hAnsi="Times" w:cs="Times"/>
          <w:b w:val="0"/>
          <w:noProof/>
          <w:sz w:val="18"/>
        </w:rPr>
        <w:fldChar w:fldCharType="begin"/>
      </w:r>
      <w:r w:rsidRPr="00380510">
        <w:rPr>
          <w:rFonts w:ascii="Times" w:hAnsi="Times" w:cs="Times"/>
          <w:b w:val="0"/>
          <w:noProof/>
          <w:sz w:val="18"/>
        </w:rPr>
        <w:instrText xml:space="preserve"> PAGEREF _Toc338939083 \h </w:instrText>
      </w:r>
      <w:r w:rsidRPr="00380510">
        <w:rPr>
          <w:rFonts w:ascii="Times" w:hAnsi="Times" w:cs="Times"/>
          <w:b w:val="0"/>
          <w:noProof/>
          <w:sz w:val="18"/>
        </w:rPr>
      </w:r>
      <w:r w:rsidRPr="00380510">
        <w:rPr>
          <w:rFonts w:ascii="Times" w:hAnsi="Times" w:cs="Times"/>
          <w:b w:val="0"/>
          <w:noProof/>
          <w:sz w:val="18"/>
        </w:rPr>
        <w:fldChar w:fldCharType="separate"/>
      </w:r>
      <w:r w:rsidR="00623A5C">
        <w:rPr>
          <w:rFonts w:ascii="Times" w:hAnsi="Times" w:cs="Times"/>
          <w:b w:val="0"/>
          <w:noProof/>
          <w:sz w:val="18"/>
        </w:rPr>
        <w:t>6</w:t>
      </w:r>
      <w:r w:rsidRPr="00380510">
        <w:rPr>
          <w:rFonts w:ascii="Times" w:hAnsi="Times" w:cs="Times"/>
          <w:b w:val="0"/>
          <w:noProof/>
          <w:sz w:val="18"/>
        </w:rPr>
        <w:fldChar w:fldCharType="end"/>
      </w:r>
    </w:p>
    <w:p w:rsidR="00380510" w:rsidRDefault="00380510">
      <w:pPr>
        <w:pStyle w:val="TOC5"/>
        <w:rPr>
          <w:rFonts w:ascii="Calibri" w:hAnsi="Calibri"/>
          <w:iCs w:val="0"/>
          <w:noProof/>
          <w:kern w:val="0"/>
          <w:sz w:val="22"/>
          <w:szCs w:val="22"/>
        </w:rPr>
      </w:pPr>
      <w:r>
        <w:rPr>
          <w:noProof/>
        </w:rPr>
        <w:t>768</w:t>
      </w:r>
      <w:r>
        <w:rPr>
          <w:noProof/>
        </w:rPr>
        <w:noBreakHyphen/>
        <w:t>505</w:t>
      </w:r>
      <w:r>
        <w:rPr>
          <w:noProof/>
        </w:rPr>
        <w:tab/>
        <w:t>Reducing a capital gain or loss from certain CGT events in relation to certain voting interests</w:t>
      </w:r>
      <w:r w:rsidRPr="00380510">
        <w:rPr>
          <w:rFonts w:ascii="Times" w:hAnsi="Times" w:cs="Times"/>
          <w:noProof/>
        </w:rPr>
        <w:tab/>
      </w:r>
      <w:r w:rsidRPr="00380510">
        <w:rPr>
          <w:rFonts w:ascii="Times" w:hAnsi="Times" w:cs="Times"/>
          <w:noProof/>
        </w:rPr>
        <w:fldChar w:fldCharType="begin"/>
      </w:r>
      <w:r w:rsidRPr="00380510">
        <w:rPr>
          <w:rFonts w:ascii="Times" w:hAnsi="Times" w:cs="Times"/>
          <w:noProof/>
        </w:rPr>
        <w:instrText xml:space="preserve"> PAGEREF _Toc338939084 \h </w:instrText>
      </w:r>
      <w:r w:rsidRPr="00380510">
        <w:rPr>
          <w:rFonts w:ascii="Times" w:hAnsi="Times" w:cs="Times"/>
          <w:noProof/>
        </w:rPr>
      </w:r>
      <w:r w:rsidRPr="00380510">
        <w:rPr>
          <w:rFonts w:ascii="Times" w:hAnsi="Times" w:cs="Times"/>
          <w:noProof/>
        </w:rPr>
        <w:fldChar w:fldCharType="separate"/>
      </w:r>
      <w:r w:rsidR="00623A5C">
        <w:rPr>
          <w:rFonts w:ascii="Times" w:hAnsi="Times" w:cs="Times"/>
          <w:noProof/>
        </w:rPr>
        <w:t>6</w:t>
      </w:r>
      <w:r w:rsidRPr="00380510">
        <w:rPr>
          <w:rFonts w:ascii="Times" w:hAnsi="Times" w:cs="Times"/>
          <w:noProof/>
        </w:rPr>
        <w:fldChar w:fldCharType="end"/>
      </w:r>
    </w:p>
    <w:p w:rsidR="00380510" w:rsidRDefault="00380510">
      <w:pPr>
        <w:pStyle w:val="TOC4"/>
        <w:rPr>
          <w:rFonts w:ascii="Calibri" w:hAnsi="Calibri"/>
          <w:b w:val="0"/>
          <w:noProof/>
          <w:kern w:val="0"/>
          <w:sz w:val="22"/>
          <w:szCs w:val="22"/>
        </w:rPr>
      </w:pPr>
      <w:r>
        <w:rPr>
          <w:noProof/>
        </w:rPr>
        <w:t>Active foreign business asset percentage</w:t>
      </w:r>
      <w:r w:rsidRPr="00380510">
        <w:rPr>
          <w:rFonts w:ascii="Times" w:hAnsi="Times" w:cs="Times"/>
          <w:b w:val="0"/>
          <w:noProof/>
          <w:sz w:val="18"/>
        </w:rPr>
        <w:tab/>
      </w:r>
      <w:r w:rsidRPr="00380510">
        <w:rPr>
          <w:rFonts w:ascii="Times" w:hAnsi="Times" w:cs="Times"/>
          <w:b w:val="0"/>
          <w:noProof/>
          <w:sz w:val="18"/>
        </w:rPr>
        <w:fldChar w:fldCharType="begin"/>
      </w:r>
      <w:r w:rsidRPr="00380510">
        <w:rPr>
          <w:rFonts w:ascii="Times" w:hAnsi="Times" w:cs="Times"/>
          <w:b w:val="0"/>
          <w:noProof/>
          <w:sz w:val="18"/>
        </w:rPr>
        <w:instrText xml:space="preserve"> PAGEREF _Toc338939085 \h </w:instrText>
      </w:r>
      <w:r w:rsidRPr="00380510">
        <w:rPr>
          <w:rFonts w:ascii="Times" w:hAnsi="Times" w:cs="Times"/>
          <w:b w:val="0"/>
          <w:noProof/>
          <w:sz w:val="18"/>
        </w:rPr>
      </w:r>
      <w:r w:rsidRPr="00380510">
        <w:rPr>
          <w:rFonts w:ascii="Times" w:hAnsi="Times" w:cs="Times"/>
          <w:b w:val="0"/>
          <w:noProof/>
          <w:sz w:val="18"/>
        </w:rPr>
        <w:fldChar w:fldCharType="separate"/>
      </w:r>
      <w:r w:rsidR="00623A5C">
        <w:rPr>
          <w:rFonts w:ascii="Times" w:hAnsi="Times" w:cs="Times"/>
          <w:b w:val="0"/>
          <w:noProof/>
          <w:sz w:val="18"/>
        </w:rPr>
        <w:t>7</w:t>
      </w:r>
      <w:r w:rsidRPr="00380510">
        <w:rPr>
          <w:rFonts w:ascii="Times" w:hAnsi="Times" w:cs="Times"/>
          <w:b w:val="0"/>
          <w:noProof/>
          <w:sz w:val="18"/>
        </w:rPr>
        <w:fldChar w:fldCharType="end"/>
      </w:r>
    </w:p>
    <w:p w:rsidR="00380510" w:rsidRDefault="00380510">
      <w:pPr>
        <w:pStyle w:val="TOC5"/>
        <w:rPr>
          <w:rFonts w:ascii="Calibri" w:hAnsi="Calibri"/>
          <w:iCs w:val="0"/>
          <w:noProof/>
          <w:kern w:val="0"/>
          <w:sz w:val="22"/>
          <w:szCs w:val="22"/>
        </w:rPr>
      </w:pPr>
      <w:r>
        <w:rPr>
          <w:noProof/>
        </w:rPr>
        <w:t>768</w:t>
      </w:r>
      <w:r>
        <w:rPr>
          <w:noProof/>
        </w:rPr>
        <w:noBreakHyphen/>
        <w:t>510</w:t>
      </w:r>
      <w:r>
        <w:rPr>
          <w:noProof/>
        </w:rPr>
        <w:tab/>
        <w:t>Active foreign business asset percentage</w:t>
      </w:r>
      <w:r w:rsidRPr="00380510">
        <w:rPr>
          <w:rFonts w:ascii="Times" w:hAnsi="Times" w:cs="Times"/>
          <w:noProof/>
        </w:rPr>
        <w:tab/>
      </w:r>
      <w:r w:rsidRPr="00380510">
        <w:rPr>
          <w:rFonts w:ascii="Times" w:hAnsi="Times" w:cs="Times"/>
          <w:noProof/>
        </w:rPr>
        <w:fldChar w:fldCharType="begin"/>
      </w:r>
      <w:r w:rsidRPr="00380510">
        <w:rPr>
          <w:rFonts w:ascii="Times" w:hAnsi="Times" w:cs="Times"/>
          <w:noProof/>
        </w:rPr>
        <w:instrText xml:space="preserve"> PAGEREF _Toc338939086 \h </w:instrText>
      </w:r>
      <w:r w:rsidRPr="00380510">
        <w:rPr>
          <w:rFonts w:ascii="Times" w:hAnsi="Times" w:cs="Times"/>
          <w:noProof/>
        </w:rPr>
      </w:r>
      <w:r w:rsidRPr="00380510">
        <w:rPr>
          <w:rFonts w:ascii="Times" w:hAnsi="Times" w:cs="Times"/>
          <w:noProof/>
        </w:rPr>
        <w:fldChar w:fldCharType="separate"/>
      </w:r>
      <w:r w:rsidR="00623A5C">
        <w:rPr>
          <w:rFonts w:ascii="Times" w:hAnsi="Times" w:cs="Times"/>
          <w:noProof/>
        </w:rPr>
        <w:t>7</w:t>
      </w:r>
      <w:r w:rsidRPr="00380510">
        <w:rPr>
          <w:rFonts w:ascii="Times" w:hAnsi="Times" w:cs="Times"/>
          <w:noProof/>
        </w:rPr>
        <w:fldChar w:fldCharType="end"/>
      </w:r>
    </w:p>
    <w:p w:rsidR="00380510" w:rsidRDefault="00380510">
      <w:pPr>
        <w:pStyle w:val="TOC5"/>
        <w:rPr>
          <w:rFonts w:ascii="Calibri" w:hAnsi="Calibri"/>
          <w:iCs w:val="0"/>
          <w:noProof/>
          <w:kern w:val="0"/>
          <w:sz w:val="22"/>
          <w:szCs w:val="22"/>
        </w:rPr>
      </w:pPr>
      <w:r>
        <w:rPr>
          <w:noProof/>
        </w:rPr>
        <w:t>768</w:t>
      </w:r>
      <w:r>
        <w:rPr>
          <w:noProof/>
        </w:rPr>
        <w:noBreakHyphen/>
        <w:t>515</w:t>
      </w:r>
      <w:r>
        <w:rPr>
          <w:noProof/>
        </w:rPr>
        <w:tab/>
        <w:t>Choices to apply market value method or book value method</w:t>
      </w:r>
      <w:r w:rsidRPr="00380510">
        <w:rPr>
          <w:rFonts w:ascii="Times" w:hAnsi="Times" w:cs="Times"/>
          <w:noProof/>
        </w:rPr>
        <w:tab/>
      </w:r>
      <w:r w:rsidRPr="00380510">
        <w:rPr>
          <w:rFonts w:ascii="Times" w:hAnsi="Times" w:cs="Times"/>
          <w:noProof/>
        </w:rPr>
        <w:fldChar w:fldCharType="begin"/>
      </w:r>
      <w:r w:rsidRPr="00380510">
        <w:rPr>
          <w:rFonts w:ascii="Times" w:hAnsi="Times" w:cs="Times"/>
          <w:noProof/>
        </w:rPr>
        <w:instrText xml:space="preserve"> PAGEREF _Toc338939087 \h </w:instrText>
      </w:r>
      <w:r w:rsidRPr="00380510">
        <w:rPr>
          <w:rFonts w:ascii="Times" w:hAnsi="Times" w:cs="Times"/>
          <w:noProof/>
        </w:rPr>
      </w:r>
      <w:r w:rsidRPr="00380510">
        <w:rPr>
          <w:rFonts w:ascii="Times" w:hAnsi="Times" w:cs="Times"/>
          <w:noProof/>
        </w:rPr>
        <w:fldChar w:fldCharType="separate"/>
      </w:r>
      <w:r w:rsidR="00623A5C">
        <w:rPr>
          <w:rFonts w:ascii="Times" w:hAnsi="Times" w:cs="Times"/>
          <w:noProof/>
        </w:rPr>
        <w:t>8</w:t>
      </w:r>
      <w:r w:rsidRPr="00380510">
        <w:rPr>
          <w:rFonts w:ascii="Times" w:hAnsi="Times" w:cs="Times"/>
          <w:noProof/>
        </w:rPr>
        <w:fldChar w:fldCharType="end"/>
      </w:r>
    </w:p>
    <w:p w:rsidR="00380510" w:rsidRDefault="00380510">
      <w:pPr>
        <w:pStyle w:val="TOC5"/>
        <w:rPr>
          <w:rFonts w:ascii="Calibri" w:hAnsi="Calibri"/>
          <w:iCs w:val="0"/>
          <w:noProof/>
          <w:kern w:val="0"/>
          <w:sz w:val="22"/>
          <w:szCs w:val="22"/>
        </w:rPr>
      </w:pPr>
      <w:r>
        <w:rPr>
          <w:noProof/>
        </w:rPr>
        <w:t>768</w:t>
      </w:r>
      <w:r>
        <w:rPr>
          <w:noProof/>
        </w:rPr>
        <w:noBreakHyphen/>
        <w:t>520</w:t>
      </w:r>
      <w:r>
        <w:rPr>
          <w:noProof/>
        </w:rPr>
        <w:tab/>
        <w:t>Market value method—choice made under subsection 768</w:t>
      </w:r>
      <w:r>
        <w:rPr>
          <w:noProof/>
        </w:rPr>
        <w:noBreakHyphen/>
        <w:t>515(1)</w:t>
      </w:r>
      <w:r w:rsidRPr="00380510">
        <w:rPr>
          <w:rFonts w:ascii="Times" w:hAnsi="Times" w:cs="Times"/>
          <w:noProof/>
        </w:rPr>
        <w:tab/>
      </w:r>
      <w:r w:rsidRPr="00380510">
        <w:rPr>
          <w:rFonts w:ascii="Times" w:hAnsi="Times" w:cs="Times"/>
          <w:noProof/>
        </w:rPr>
        <w:fldChar w:fldCharType="begin"/>
      </w:r>
      <w:r w:rsidRPr="00380510">
        <w:rPr>
          <w:rFonts w:ascii="Times" w:hAnsi="Times" w:cs="Times"/>
          <w:noProof/>
        </w:rPr>
        <w:instrText xml:space="preserve"> PAGEREF _Toc338939088 \h </w:instrText>
      </w:r>
      <w:r w:rsidRPr="00380510">
        <w:rPr>
          <w:rFonts w:ascii="Times" w:hAnsi="Times" w:cs="Times"/>
          <w:noProof/>
        </w:rPr>
      </w:r>
      <w:r w:rsidRPr="00380510">
        <w:rPr>
          <w:rFonts w:ascii="Times" w:hAnsi="Times" w:cs="Times"/>
          <w:noProof/>
        </w:rPr>
        <w:fldChar w:fldCharType="separate"/>
      </w:r>
      <w:r w:rsidR="00623A5C">
        <w:rPr>
          <w:rFonts w:ascii="Times" w:hAnsi="Times" w:cs="Times"/>
          <w:noProof/>
        </w:rPr>
        <w:t>8</w:t>
      </w:r>
      <w:r w:rsidRPr="00380510">
        <w:rPr>
          <w:rFonts w:ascii="Times" w:hAnsi="Times" w:cs="Times"/>
          <w:noProof/>
        </w:rPr>
        <w:fldChar w:fldCharType="end"/>
      </w:r>
    </w:p>
    <w:p w:rsidR="00380510" w:rsidRDefault="00380510">
      <w:pPr>
        <w:pStyle w:val="TOC5"/>
        <w:rPr>
          <w:rFonts w:ascii="Calibri" w:hAnsi="Calibri"/>
          <w:iCs w:val="0"/>
          <w:noProof/>
          <w:kern w:val="0"/>
          <w:sz w:val="22"/>
          <w:szCs w:val="22"/>
        </w:rPr>
      </w:pPr>
      <w:r>
        <w:rPr>
          <w:noProof/>
        </w:rPr>
        <w:t>768</w:t>
      </w:r>
      <w:r>
        <w:rPr>
          <w:noProof/>
        </w:rPr>
        <w:noBreakHyphen/>
        <w:t>525</w:t>
      </w:r>
      <w:r>
        <w:rPr>
          <w:noProof/>
        </w:rPr>
        <w:tab/>
        <w:t>Book value method—choice made under subsection 768</w:t>
      </w:r>
      <w:r>
        <w:rPr>
          <w:noProof/>
        </w:rPr>
        <w:noBreakHyphen/>
        <w:t>515(2)</w:t>
      </w:r>
      <w:r w:rsidRPr="00380510">
        <w:rPr>
          <w:rFonts w:ascii="Times" w:hAnsi="Times" w:cs="Times"/>
          <w:noProof/>
        </w:rPr>
        <w:tab/>
      </w:r>
      <w:r w:rsidRPr="00380510">
        <w:rPr>
          <w:rFonts w:ascii="Times" w:hAnsi="Times" w:cs="Times"/>
          <w:noProof/>
        </w:rPr>
        <w:fldChar w:fldCharType="begin"/>
      </w:r>
      <w:r w:rsidRPr="00380510">
        <w:rPr>
          <w:rFonts w:ascii="Times" w:hAnsi="Times" w:cs="Times"/>
          <w:noProof/>
        </w:rPr>
        <w:instrText xml:space="preserve"> PAGEREF _Toc338939089 \h </w:instrText>
      </w:r>
      <w:r w:rsidRPr="00380510">
        <w:rPr>
          <w:rFonts w:ascii="Times" w:hAnsi="Times" w:cs="Times"/>
          <w:noProof/>
        </w:rPr>
      </w:r>
      <w:r w:rsidRPr="00380510">
        <w:rPr>
          <w:rFonts w:ascii="Times" w:hAnsi="Times" w:cs="Times"/>
          <w:noProof/>
        </w:rPr>
        <w:fldChar w:fldCharType="separate"/>
      </w:r>
      <w:r w:rsidR="00623A5C">
        <w:rPr>
          <w:rFonts w:ascii="Times" w:hAnsi="Times" w:cs="Times"/>
          <w:noProof/>
        </w:rPr>
        <w:t>10</w:t>
      </w:r>
      <w:r w:rsidRPr="00380510">
        <w:rPr>
          <w:rFonts w:ascii="Times" w:hAnsi="Times" w:cs="Times"/>
          <w:noProof/>
        </w:rPr>
        <w:fldChar w:fldCharType="end"/>
      </w:r>
    </w:p>
    <w:p w:rsidR="00380510" w:rsidRDefault="00380510">
      <w:pPr>
        <w:pStyle w:val="TOC5"/>
        <w:rPr>
          <w:rFonts w:ascii="Calibri" w:hAnsi="Calibri"/>
          <w:iCs w:val="0"/>
          <w:noProof/>
          <w:kern w:val="0"/>
          <w:sz w:val="22"/>
          <w:szCs w:val="22"/>
        </w:rPr>
      </w:pPr>
      <w:r>
        <w:rPr>
          <w:noProof/>
        </w:rPr>
        <w:t>768</w:t>
      </w:r>
      <w:r>
        <w:rPr>
          <w:noProof/>
        </w:rPr>
        <w:noBreakHyphen/>
        <w:t>530</w:t>
      </w:r>
      <w:r>
        <w:rPr>
          <w:noProof/>
        </w:rPr>
        <w:tab/>
        <w:t>Active foreign business asset percentage—modifications for foreign life insurance companies and foreign general insurance companies</w:t>
      </w:r>
      <w:r w:rsidRPr="00380510">
        <w:rPr>
          <w:rFonts w:ascii="Times" w:hAnsi="Times" w:cs="Times"/>
          <w:noProof/>
        </w:rPr>
        <w:tab/>
      </w:r>
      <w:r w:rsidRPr="00380510">
        <w:rPr>
          <w:rFonts w:ascii="Times" w:hAnsi="Times" w:cs="Times"/>
          <w:noProof/>
        </w:rPr>
        <w:fldChar w:fldCharType="begin"/>
      </w:r>
      <w:r w:rsidRPr="00380510">
        <w:rPr>
          <w:rFonts w:ascii="Times" w:hAnsi="Times" w:cs="Times"/>
          <w:noProof/>
        </w:rPr>
        <w:instrText xml:space="preserve"> PAGEREF _Toc338939090 \h </w:instrText>
      </w:r>
      <w:r w:rsidRPr="00380510">
        <w:rPr>
          <w:rFonts w:ascii="Times" w:hAnsi="Times" w:cs="Times"/>
          <w:noProof/>
        </w:rPr>
      </w:r>
      <w:r w:rsidRPr="00380510">
        <w:rPr>
          <w:rFonts w:ascii="Times" w:hAnsi="Times" w:cs="Times"/>
          <w:noProof/>
        </w:rPr>
        <w:fldChar w:fldCharType="separate"/>
      </w:r>
      <w:r w:rsidR="00623A5C">
        <w:rPr>
          <w:rFonts w:ascii="Times" w:hAnsi="Times" w:cs="Times"/>
          <w:noProof/>
        </w:rPr>
        <w:t>14</w:t>
      </w:r>
      <w:r w:rsidRPr="00380510">
        <w:rPr>
          <w:rFonts w:ascii="Times" w:hAnsi="Times" w:cs="Times"/>
          <w:noProof/>
        </w:rPr>
        <w:fldChar w:fldCharType="end"/>
      </w:r>
    </w:p>
    <w:p w:rsidR="00380510" w:rsidRDefault="00380510">
      <w:pPr>
        <w:pStyle w:val="TOC5"/>
        <w:rPr>
          <w:rFonts w:ascii="Calibri" w:hAnsi="Calibri"/>
          <w:iCs w:val="0"/>
          <w:noProof/>
          <w:kern w:val="0"/>
          <w:sz w:val="22"/>
          <w:szCs w:val="22"/>
        </w:rPr>
      </w:pPr>
      <w:r>
        <w:rPr>
          <w:noProof/>
        </w:rPr>
        <w:t>768</w:t>
      </w:r>
      <w:r>
        <w:rPr>
          <w:noProof/>
        </w:rPr>
        <w:noBreakHyphen/>
        <w:t>533</w:t>
      </w:r>
      <w:r>
        <w:rPr>
          <w:noProof/>
        </w:rPr>
        <w:tab/>
        <w:t>Foreign company that is a FIF using CFC calculation method—treatment as AFI subsidiary under this Subdivision</w:t>
      </w:r>
      <w:r w:rsidRPr="00380510">
        <w:rPr>
          <w:rFonts w:ascii="Times" w:hAnsi="Times" w:cs="Times"/>
          <w:noProof/>
        </w:rPr>
        <w:tab/>
      </w:r>
      <w:r w:rsidRPr="00380510">
        <w:rPr>
          <w:rFonts w:ascii="Times" w:hAnsi="Times" w:cs="Times"/>
          <w:noProof/>
        </w:rPr>
        <w:fldChar w:fldCharType="begin"/>
      </w:r>
      <w:r w:rsidRPr="00380510">
        <w:rPr>
          <w:rFonts w:ascii="Times" w:hAnsi="Times" w:cs="Times"/>
          <w:noProof/>
        </w:rPr>
        <w:instrText xml:space="preserve"> PAGEREF _Toc338939091 \h </w:instrText>
      </w:r>
      <w:r w:rsidRPr="00380510">
        <w:rPr>
          <w:rFonts w:ascii="Times" w:hAnsi="Times" w:cs="Times"/>
          <w:noProof/>
        </w:rPr>
      </w:r>
      <w:r w:rsidRPr="00380510">
        <w:rPr>
          <w:rFonts w:ascii="Times" w:hAnsi="Times" w:cs="Times"/>
          <w:noProof/>
        </w:rPr>
        <w:fldChar w:fldCharType="separate"/>
      </w:r>
      <w:r w:rsidR="00623A5C">
        <w:rPr>
          <w:rFonts w:ascii="Times" w:hAnsi="Times" w:cs="Times"/>
          <w:noProof/>
        </w:rPr>
        <w:t>17</w:t>
      </w:r>
      <w:r w:rsidRPr="00380510">
        <w:rPr>
          <w:rFonts w:ascii="Times" w:hAnsi="Times" w:cs="Times"/>
          <w:noProof/>
        </w:rPr>
        <w:fldChar w:fldCharType="end"/>
      </w:r>
    </w:p>
    <w:p w:rsidR="00380510" w:rsidRDefault="00380510">
      <w:pPr>
        <w:pStyle w:val="TOC5"/>
        <w:rPr>
          <w:rFonts w:ascii="Calibri" w:hAnsi="Calibri"/>
          <w:iCs w:val="0"/>
          <w:noProof/>
          <w:kern w:val="0"/>
          <w:sz w:val="22"/>
          <w:szCs w:val="22"/>
        </w:rPr>
      </w:pPr>
      <w:r>
        <w:rPr>
          <w:noProof/>
        </w:rPr>
        <w:t>768</w:t>
      </w:r>
      <w:r>
        <w:rPr>
          <w:noProof/>
        </w:rPr>
        <w:noBreakHyphen/>
        <w:t>535</w:t>
      </w:r>
      <w:r>
        <w:rPr>
          <w:noProof/>
        </w:rPr>
        <w:tab/>
        <w:t>Modified rules for foreign wholly</w:t>
      </w:r>
      <w:r>
        <w:rPr>
          <w:noProof/>
        </w:rPr>
        <w:noBreakHyphen/>
        <w:t>owned groups</w:t>
      </w:r>
      <w:r w:rsidRPr="00380510">
        <w:rPr>
          <w:rFonts w:ascii="Times" w:hAnsi="Times" w:cs="Times"/>
          <w:noProof/>
        </w:rPr>
        <w:tab/>
      </w:r>
      <w:r w:rsidRPr="00380510">
        <w:rPr>
          <w:rFonts w:ascii="Times" w:hAnsi="Times" w:cs="Times"/>
          <w:noProof/>
        </w:rPr>
        <w:fldChar w:fldCharType="begin"/>
      </w:r>
      <w:r w:rsidRPr="00380510">
        <w:rPr>
          <w:rFonts w:ascii="Times" w:hAnsi="Times" w:cs="Times"/>
          <w:noProof/>
        </w:rPr>
        <w:instrText xml:space="preserve"> PAGEREF _Toc338939092 \h </w:instrText>
      </w:r>
      <w:r w:rsidRPr="00380510">
        <w:rPr>
          <w:rFonts w:ascii="Times" w:hAnsi="Times" w:cs="Times"/>
          <w:noProof/>
        </w:rPr>
      </w:r>
      <w:r w:rsidRPr="00380510">
        <w:rPr>
          <w:rFonts w:ascii="Times" w:hAnsi="Times" w:cs="Times"/>
          <w:noProof/>
        </w:rPr>
        <w:fldChar w:fldCharType="separate"/>
      </w:r>
      <w:r w:rsidR="00623A5C">
        <w:rPr>
          <w:rFonts w:ascii="Times" w:hAnsi="Times" w:cs="Times"/>
          <w:noProof/>
        </w:rPr>
        <w:t>17</w:t>
      </w:r>
      <w:r w:rsidRPr="00380510">
        <w:rPr>
          <w:rFonts w:ascii="Times" w:hAnsi="Times" w:cs="Times"/>
          <w:noProof/>
        </w:rPr>
        <w:fldChar w:fldCharType="end"/>
      </w:r>
    </w:p>
    <w:p w:rsidR="00380510" w:rsidRDefault="00380510">
      <w:pPr>
        <w:pStyle w:val="TOC4"/>
        <w:rPr>
          <w:rFonts w:ascii="Calibri" w:hAnsi="Calibri"/>
          <w:b w:val="0"/>
          <w:noProof/>
          <w:kern w:val="0"/>
          <w:sz w:val="22"/>
          <w:szCs w:val="22"/>
        </w:rPr>
      </w:pPr>
      <w:r>
        <w:rPr>
          <w:noProof/>
        </w:rPr>
        <w:t>Types of assets of a foreign company</w:t>
      </w:r>
      <w:r w:rsidRPr="00380510">
        <w:rPr>
          <w:rFonts w:ascii="Times" w:hAnsi="Times" w:cs="Times"/>
          <w:b w:val="0"/>
          <w:noProof/>
          <w:sz w:val="18"/>
        </w:rPr>
        <w:tab/>
      </w:r>
      <w:r w:rsidRPr="00380510">
        <w:rPr>
          <w:rFonts w:ascii="Times" w:hAnsi="Times" w:cs="Times"/>
          <w:b w:val="0"/>
          <w:noProof/>
          <w:sz w:val="18"/>
        </w:rPr>
        <w:fldChar w:fldCharType="begin"/>
      </w:r>
      <w:r w:rsidRPr="00380510">
        <w:rPr>
          <w:rFonts w:ascii="Times" w:hAnsi="Times" w:cs="Times"/>
          <w:b w:val="0"/>
          <w:noProof/>
          <w:sz w:val="18"/>
        </w:rPr>
        <w:instrText xml:space="preserve"> PAGEREF _Toc338939093 \h </w:instrText>
      </w:r>
      <w:r w:rsidRPr="00380510">
        <w:rPr>
          <w:rFonts w:ascii="Times" w:hAnsi="Times" w:cs="Times"/>
          <w:b w:val="0"/>
          <w:noProof/>
          <w:sz w:val="18"/>
        </w:rPr>
      </w:r>
      <w:r w:rsidRPr="00380510">
        <w:rPr>
          <w:rFonts w:ascii="Times" w:hAnsi="Times" w:cs="Times"/>
          <w:b w:val="0"/>
          <w:noProof/>
          <w:sz w:val="18"/>
        </w:rPr>
        <w:fldChar w:fldCharType="separate"/>
      </w:r>
      <w:r w:rsidR="00623A5C">
        <w:rPr>
          <w:rFonts w:ascii="Times" w:hAnsi="Times" w:cs="Times"/>
          <w:b w:val="0"/>
          <w:noProof/>
          <w:sz w:val="18"/>
        </w:rPr>
        <w:t>19</w:t>
      </w:r>
      <w:r w:rsidRPr="00380510">
        <w:rPr>
          <w:rFonts w:ascii="Times" w:hAnsi="Times" w:cs="Times"/>
          <w:b w:val="0"/>
          <w:noProof/>
          <w:sz w:val="18"/>
        </w:rPr>
        <w:fldChar w:fldCharType="end"/>
      </w:r>
    </w:p>
    <w:p w:rsidR="00380510" w:rsidRDefault="00380510">
      <w:pPr>
        <w:pStyle w:val="TOC5"/>
        <w:rPr>
          <w:rFonts w:ascii="Calibri" w:hAnsi="Calibri"/>
          <w:iCs w:val="0"/>
          <w:noProof/>
          <w:kern w:val="0"/>
          <w:sz w:val="22"/>
          <w:szCs w:val="22"/>
        </w:rPr>
      </w:pPr>
      <w:r>
        <w:rPr>
          <w:noProof/>
        </w:rPr>
        <w:t>768</w:t>
      </w:r>
      <w:r>
        <w:rPr>
          <w:noProof/>
        </w:rPr>
        <w:noBreakHyphen/>
        <w:t>540</w:t>
      </w:r>
      <w:r>
        <w:rPr>
          <w:noProof/>
        </w:rPr>
        <w:tab/>
        <w:t>Active foreign business assets of a foreign company</w:t>
      </w:r>
      <w:r w:rsidRPr="00380510">
        <w:rPr>
          <w:rFonts w:ascii="Times" w:hAnsi="Times" w:cs="Times"/>
          <w:noProof/>
        </w:rPr>
        <w:tab/>
      </w:r>
      <w:r w:rsidRPr="00380510">
        <w:rPr>
          <w:rFonts w:ascii="Times" w:hAnsi="Times" w:cs="Times"/>
          <w:noProof/>
        </w:rPr>
        <w:fldChar w:fldCharType="begin"/>
      </w:r>
      <w:r w:rsidRPr="00380510">
        <w:rPr>
          <w:rFonts w:ascii="Times" w:hAnsi="Times" w:cs="Times"/>
          <w:noProof/>
        </w:rPr>
        <w:instrText xml:space="preserve"> PAGEREF _Toc338939094 \h </w:instrText>
      </w:r>
      <w:r w:rsidRPr="00380510">
        <w:rPr>
          <w:rFonts w:ascii="Times" w:hAnsi="Times" w:cs="Times"/>
          <w:noProof/>
        </w:rPr>
      </w:r>
      <w:r w:rsidRPr="00380510">
        <w:rPr>
          <w:rFonts w:ascii="Times" w:hAnsi="Times" w:cs="Times"/>
          <w:noProof/>
        </w:rPr>
        <w:fldChar w:fldCharType="separate"/>
      </w:r>
      <w:r w:rsidR="00623A5C">
        <w:rPr>
          <w:rFonts w:ascii="Times" w:hAnsi="Times" w:cs="Times"/>
          <w:noProof/>
        </w:rPr>
        <w:t>19</w:t>
      </w:r>
      <w:r w:rsidRPr="00380510">
        <w:rPr>
          <w:rFonts w:ascii="Times" w:hAnsi="Times" w:cs="Times"/>
          <w:noProof/>
        </w:rPr>
        <w:fldChar w:fldCharType="end"/>
      </w:r>
    </w:p>
    <w:p w:rsidR="00380510" w:rsidRDefault="00380510">
      <w:pPr>
        <w:pStyle w:val="TOC5"/>
        <w:rPr>
          <w:rFonts w:ascii="Calibri" w:hAnsi="Calibri"/>
          <w:iCs w:val="0"/>
          <w:noProof/>
          <w:kern w:val="0"/>
          <w:sz w:val="22"/>
          <w:szCs w:val="22"/>
        </w:rPr>
      </w:pPr>
      <w:r>
        <w:rPr>
          <w:noProof/>
        </w:rPr>
        <w:t>768</w:t>
      </w:r>
      <w:r>
        <w:rPr>
          <w:noProof/>
        </w:rPr>
        <w:noBreakHyphen/>
        <w:t>545</w:t>
      </w:r>
      <w:r>
        <w:rPr>
          <w:noProof/>
        </w:rPr>
        <w:tab/>
        <w:t>Assets included in the total assets of a foreign company</w:t>
      </w:r>
      <w:r w:rsidRPr="00380510">
        <w:rPr>
          <w:rFonts w:ascii="Times" w:hAnsi="Times" w:cs="Times"/>
          <w:noProof/>
        </w:rPr>
        <w:tab/>
      </w:r>
      <w:r w:rsidRPr="00380510">
        <w:rPr>
          <w:rFonts w:ascii="Times" w:hAnsi="Times" w:cs="Times"/>
          <w:noProof/>
        </w:rPr>
        <w:fldChar w:fldCharType="begin"/>
      </w:r>
      <w:r w:rsidRPr="00380510">
        <w:rPr>
          <w:rFonts w:ascii="Times" w:hAnsi="Times" w:cs="Times"/>
          <w:noProof/>
        </w:rPr>
        <w:instrText xml:space="preserve"> PAGEREF _Toc338939095 \h </w:instrText>
      </w:r>
      <w:r w:rsidRPr="00380510">
        <w:rPr>
          <w:rFonts w:ascii="Times" w:hAnsi="Times" w:cs="Times"/>
          <w:noProof/>
        </w:rPr>
      </w:r>
      <w:r w:rsidRPr="00380510">
        <w:rPr>
          <w:rFonts w:ascii="Times" w:hAnsi="Times" w:cs="Times"/>
          <w:noProof/>
        </w:rPr>
        <w:fldChar w:fldCharType="separate"/>
      </w:r>
      <w:r w:rsidR="00623A5C">
        <w:rPr>
          <w:rFonts w:ascii="Times" w:hAnsi="Times" w:cs="Times"/>
          <w:noProof/>
        </w:rPr>
        <w:t>21</w:t>
      </w:r>
      <w:r w:rsidRPr="00380510">
        <w:rPr>
          <w:rFonts w:ascii="Times" w:hAnsi="Times" w:cs="Times"/>
          <w:noProof/>
        </w:rPr>
        <w:fldChar w:fldCharType="end"/>
      </w:r>
    </w:p>
    <w:p w:rsidR="00380510" w:rsidRDefault="00380510">
      <w:pPr>
        <w:pStyle w:val="TOC4"/>
        <w:rPr>
          <w:rFonts w:ascii="Calibri" w:hAnsi="Calibri"/>
          <w:b w:val="0"/>
          <w:noProof/>
          <w:kern w:val="0"/>
          <w:sz w:val="22"/>
          <w:szCs w:val="22"/>
        </w:rPr>
      </w:pPr>
      <w:r w:rsidRPr="008A0EAA">
        <w:rPr>
          <w:noProof/>
          <w:color w:val="000000"/>
        </w:rPr>
        <w:t>Voting percentages in a company</w:t>
      </w:r>
      <w:r w:rsidRPr="00380510">
        <w:rPr>
          <w:rFonts w:ascii="Times" w:hAnsi="Times" w:cs="Times"/>
          <w:b w:val="0"/>
          <w:noProof/>
          <w:sz w:val="18"/>
        </w:rPr>
        <w:tab/>
      </w:r>
      <w:r w:rsidRPr="00380510">
        <w:rPr>
          <w:rFonts w:ascii="Times" w:hAnsi="Times" w:cs="Times"/>
          <w:b w:val="0"/>
          <w:noProof/>
          <w:sz w:val="18"/>
        </w:rPr>
        <w:fldChar w:fldCharType="begin"/>
      </w:r>
      <w:r w:rsidRPr="00380510">
        <w:rPr>
          <w:rFonts w:ascii="Times" w:hAnsi="Times" w:cs="Times"/>
          <w:b w:val="0"/>
          <w:noProof/>
          <w:sz w:val="18"/>
        </w:rPr>
        <w:instrText xml:space="preserve"> PAGEREF _Toc338939096 \h </w:instrText>
      </w:r>
      <w:r w:rsidRPr="00380510">
        <w:rPr>
          <w:rFonts w:ascii="Times" w:hAnsi="Times" w:cs="Times"/>
          <w:b w:val="0"/>
          <w:noProof/>
          <w:sz w:val="18"/>
        </w:rPr>
      </w:r>
      <w:r w:rsidRPr="00380510">
        <w:rPr>
          <w:rFonts w:ascii="Times" w:hAnsi="Times" w:cs="Times"/>
          <w:b w:val="0"/>
          <w:noProof/>
          <w:sz w:val="18"/>
        </w:rPr>
        <w:fldChar w:fldCharType="separate"/>
      </w:r>
      <w:r w:rsidR="00623A5C">
        <w:rPr>
          <w:rFonts w:ascii="Times" w:hAnsi="Times" w:cs="Times"/>
          <w:b w:val="0"/>
          <w:noProof/>
          <w:sz w:val="18"/>
        </w:rPr>
        <w:t>23</w:t>
      </w:r>
      <w:r w:rsidRPr="00380510">
        <w:rPr>
          <w:rFonts w:ascii="Times" w:hAnsi="Times" w:cs="Times"/>
          <w:b w:val="0"/>
          <w:noProof/>
          <w:sz w:val="18"/>
        </w:rPr>
        <w:fldChar w:fldCharType="end"/>
      </w:r>
    </w:p>
    <w:p w:rsidR="00380510" w:rsidRDefault="00380510">
      <w:pPr>
        <w:pStyle w:val="TOC5"/>
        <w:rPr>
          <w:rFonts w:ascii="Calibri" w:hAnsi="Calibri"/>
          <w:iCs w:val="0"/>
          <w:noProof/>
          <w:kern w:val="0"/>
          <w:sz w:val="22"/>
          <w:szCs w:val="22"/>
        </w:rPr>
      </w:pPr>
      <w:r>
        <w:rPr>
          <w:noProof/>
        </w:rPr>
        <w:t>768</w:t>
      </w:r>
      <w:r>
        <w:rPr>
          <w:noProof/>
        </w:rPr>
        <w:noBreakHyphen/>
        <w:t>550</w:t>
      </w:r>
      <w:r>
        <w:rPr>
          <w:noProof/>
        </w:rPr>
        <w:tab/>
        <w:t>Direct voting percentage in a company</w:t>
      </w:r>
      <w:r w:rsidRPr="00380510">
        <w:rPr>
          <w:rFonts w:ascii="Times" w:hAnsi="Times" w:cs="Times"/>
          <w:noProof/>
        </w:rPr>
        <w:tab/>
      </w:r>
      <w:r w:rsidRPr="00380510">
        <w:rPr>
          <w:rFonts w:ascii="Times" w:hAnsi="Times" w:cs="Times"/>
          <w:noProof/>
        </w:rPr>
        <w:fldChar w:fldCharType="begin"/>
      </w:r>
      <w:r w:rsidRPr="00380510">
        <w:rPr>
          <w:rFonts w:ascii="Times" w:hAnsi="Times" w:cs="Times"/>
          <w:noProof/>
        </w:rPr>
        <w:instrText xml:space="preserve"> PAGEREF _Toc338939097 \h </w:instrText>
      </w:r>
      <w:r w:rsidRPr="00380510">
        <w:rPr>
          <w:rFonts w:ascii="Times" w:hAnsi="Times" w:cs="Times"/>
          <w:noProof/>
        </w:rPr>
      </w:r>
      <w:r w:rsidRPr="00380510">
        <w:rPr>
          <w:rFonts w:ascii="Times" w:hAnsi="Times" w:cs="Times"/>
          <w:noProof/>
        </w:rPr>
        <w:fldChar w:fldCharType="separate"/>
      </w:r>
      <w:r w:rsidR="00623A5C">
        <w:rPr>
          <w:rFonts w:ascii="Times" w:hAnsi="Times" w:cs="Times"/>
          <w:noProof/>
        </w:rPr>
        <w:t>23</w:t>
      </w:r>
      <w:r w:rsidRPr="00380510">
        <w:rPr>
          <w:rFonts w:ascii="Times" w:hAnsi="Times" w:cs="Times"/>
          <w:noProof/>
        </w:rPr>
        <w:fldChar w:fldCharType="end"/>
      </w:r>
    </w:p>
    <w:p w:rsidR="00380510" w:rsidRDefault="00380510">
      <w:pPr>
        <w:pStyle w:val="TOC5"/>
        <w:rPr>
          <w:rFonts w:ascii="Calibri" w:hAnsi="Calibri"/>
          <w:iCs w:val="0"/>
          <w:noProof/>
          <w:kern w:val="0"/>
          <w:sz w:val="22"/>
          <w:szCs w:val="22"/>
        </w:rPr>
      </w:pPr>
      <w:r>
        <w:rPr>
          <w:noProof/>
        </w:rPr>
        <w:t>768</w:t>
      </w:r>
      <w:r>
        <w:rPr>
          <w:noProof/>
        </w:rPr>
        <w:noBreakHyphen/>
        <w:t>555</w:t>
      </w:r>
      <w:r>
        <w:rPr>
          <w:noProof/>
        </w:rPr>
        <w:tab/>
        <w:t>Indirect voting percentage in a company</w:t>
      </w:r>
      <w:r w:rsidRPr="00380510">
        <w:rPr>
          <w:rFonts w:ascii="Times" w:hAnsi="Times" w:cs="Times"/>
          <w:noProof/>
        </w:rPr>
        <w:tab/>
      </w:r>
      <w:r w:rsidRPr="00380510">
        <w:rPr>
          <w:rFonts w:ascii="Times" w:hAnsi="Times" w:cs="Times"/>
          <w:noProof/>
        </w:rPr>
        <w:fldChar w:fldCharType="begin"/>
      </w:r>
      <w:r w:rsidRPr="00380510">
        <w:rPr>
          <w:rFonts w:ascii="Times" w:hAnsi="Times" w:cs="Times"/>
          <w:noProof/>
        </w:rPr>
        <w:instrText xml:space="preserve"> PAGEREF _Toc338939098 \h </w:instrText>
      </w:r>
      <w:r w:rsidRPr="00380510">
        <w:rPr>
          <w:rFonts w:ascii="Times" w:hAnsi="Times" w:cs="Times"/>
          <w:noProof/>
        </w:rPr>
      </w:r>
      <w:r w:rsidRPr="00380510">
        <w:rPr>
          <w:rFonts w:ascii="Times" w:hAnsi="Times" w:cs="Times"/>
          <w:noProof/>
        </w:rPr>
        <w:fldChar w:fldCharType="separate"/>
      </w:r>
      <w:r w:rsidR="00623A5C">
        <w:rPr>
          <w:rFonts w:ascii="Times" w:hAnsi="Times" w:cs="Times"/>
          <w:noProof/>
        </w:rPr>
        <w:t>23</w:t>
      </w:r>
      <w:r w:rsidRPr="00380510">
        <w:rPr>
          <w:rFonts w:ascii="Times" w:hAnsi="Times" w:cs="Times"/>
          <w:noProof/>
        </w:rPr>
        <w:fldChar w:fldCharType="end"/>
      </w:r>
    </w:p>
    <w:p w:rsidR="00380510" w:rsidRDefault="00380510">
      <w:pPr>
        <w:pStyle w:val="TOC5"/>
        <w:rPr>
          <w:rFonts w:ascii="Calibri" w:hAnsi="Calibri"/>
          <w:iCs w:val="0"/>
          <w:noProof/>
          <w:kern w:val="0"/>
          <w:sz w:val="22"/>
          <w:szCs w:val="22"/>
        </w:rPr>
      </w:pPr>
      <w:r>
        <w:rPr>
          <w:noProof/>
        </w:rPr>
        <w:t>768</w:t>
      </w:r>
      <w:r>
        <w:rPr>
          <w:noProof/>
        </w:rPr>
        <w:noBreakHyphen/>
        <w:t>560</w:t>
      </w:r>
      <w:r>
        <w:rPr>
          <w:noProof/>
        </w:rPr>
        <w:tab/>
        <w:t>Total voting percentage in a company</w:t>
      </w:r>
      <w:r w:rsidRPr="00380510">
        <w:rPr>
          <w:rFonts w:ascii="Times" w:hAnsi="Times" w:cs="Times"/>
          <w:noProof/>
        </w:rPr>
        <w:tab/>
      </w:r>
      <w:r w:rsidRPr="00380510">
        <w:rPr>
          <w:rFonts w:ascii="Times" w:hAnsi="Times" w:cs="Times"/>
          <w:noProof/>
        </w:rPr>
        <w:fldChar w:fldCharType="begin"/>
      </w:r>
      <w:r w:rsidRPr="00380510">
        <w:rPr>
          <w:rFonts w:ascii="Times" w:hAnsi="Times" w:cs="Times"/>
          <w:noProof/>
        </w:rPr>
        <w:instrText xml:space="preserve"> PAGEREF _Toc338939099 \h </w:instrText>
      </w:r>
      <w:r w:rsidRPr="00380510">
        <w:rPr>
          <w:rFonts w:ascii="Times" w:hAnsi="Times" w:cs="Times"/>
          <w:noProof/>
        </w:rPr>
      </w:r>
      <w:r w:rsidRPr="00380510">
        <w:rPr>
          <w:rFonts w:ascii="Times" w:hAnsi="Times" w:cs="Times"/>
          <w:noProof/>
        </w:rPr>
        <w:fldChar w:fldCharType="separate"/>
      </w:r>
      <w:r w:rsidR="00623A5C">
        <w:rPr>
          <w:rFonts w:ascii="Times" w:hAnsi="Times" w:cs="Times"/>
          <w:noProof/>
        </w:rPr>
        <w:t>24</w:t>
      </w:r>
      <w:r w:rsidRPr="00380510">
        <w:rPr>
          <w:rFonts w:ascii="Times" w:hAnsi="Times" w:cs="Times"/>
          <w:noProof/>
        </w:rPr>
        <w:fldChar w:fldCharType="end"/>
      </w:r>
    </w:p>
    <w:p w:rsidR="00380510" w:rsidRDefault="00380510">
      <w:pPr>
        <w:pStyle w:val="TOC4"/>
        <w:rPr>
          <w:rFonts w:ascii="Calibri" w:hAnsi="Calibri"/>
          <w:b w:val="0"/>
          <w:noProof/>
          <w:kern w:val="0"/>
          <w:sz w:val="22"/>
          <w:szCs w:val="22"/>
        </w:rPr>
      </w:pPr>
      <w:r>
        <w:rPr>
          <w:noProof/>
        </w:rPr>
        <w:t>Subdivision 768</w:t>
      </w:r>
      <w:r>
        <w:rPr>
          <w:noProof/>
        </w:rPr>
        <w:noBreakHyphen/>
        <w:t>R—Temporary residents</w:t>
      </w:r>
      <w:r w:rsidRPr="00380510">
        <w:rPr>
          <w:rFonts w:ascii="Times" w:hAnsi="Times" w:cs="Times"/>
          <w:b w:val="0"/>
          <w:noProof/>
          <w:sz w:val="18"/>
        </w:rPr>
        <w:tab/>
      </w:r>
      <w:r w:rsidRPr="00380510">
        <w:rPr>
          <w:rFonts w:ascii="Times" w:hAnsi="Times" w:cs="Times"/>
          <w:b w:val="0"/>
          <w:noProof/>
          <w:sz w:val="18"/>
        </w:rPr>
        <w:fldChar w:fldCharType="begin"/>
      </w:r>
      <w:r w:rsidRPr="00380510">
        <w:rPr>
          <w:rFonts w:ascii="Times" w:hAnsi="Times" w:cs="Times"/>
          <w:b w:val="0"/>
          <w:noProof/>
          <w:sz w:val="18"/>
        </w:rPr>
        <w:instrText xml:space="preserve"> PAGEREF _Toc338939100 \h </w:instrText>
      </w:r>
      <w:r w:rsidRPr="00380510">
        <w:rPr>
          <w:rFonts w:ascii="Times" w:hAnsi="Times" w:cs="Times"/>
          <w:b w:val="0"/>
          <w:noProof/>
          <w:sz w:val="18"/>
        </w:rPr>
      </w:r>
      <w:r w:rsidRPr="00380510">
        <w:rPr>
          <w:rFonts w:ascii="Times" w:hAnsi="Times" w:cs="Times"/>
          <w:b w:val="0"/>
          <w:noProof/>
          <w:sz w:val="18"/>
        </w:rPr>
        <w:fldChar w:fldCharType="separate"/>
      </w:r>
      <w:r w:rsidR="00623A5C">
        <w:rPr>
          <w:rFonts w:ascii="Times" w:hAnsi="Times" w:cs="Times"/>
          <w:b w:val="0"/>
          <w:noProof/>
          <w:sz w:val="18"/>
        </w:rPr>
        <w:t>24</w:t>
      </w:r>
      <w:r w:rsidRPr="00380510">
        <w:rPr>
          <w:rFonts w:ascii="Times" w:hAnsi="Times" w:cs="Times"/>
          <w:b w:val="0"/>
          <w:noProof/>
          <w:sz w:val="18"/>
        </w:rPr>
        <w:fldChar w:fldCharType="end"/>
      </w:r>
    </w:p>
    <w:p w:rsidR="00380510" w:rsidRDefault="00380510">
      <w:pPr>
        <w:pStyle w:val="TOC4"/>
        <w:rPr>
          <w:rFonts w:ascii="Calibri" w:hAnsi="Calibri"/>
          <w:b w:val="0"/>
          <w:noProof/>
          <w:kern w:val="0"/>
          <w:sz w:val="22"/>
          <w:szCs w:val="22"/>
        </w:rPr>
      </w:pPr>
      <w:r>
        <w:rPr>
          <w:noProof/>
        </w:rPr>
        <w:t>Guide to Subdivision 768</w:t>
      </w:r>
      <w:r>
        <w:rPr>
          <w:noProof/>
        </w:rPr>
        <w:noBreakHyphen/>
        <w:t>R</w:t>
      </w:r>
      <w:r w:rsidRPr="00380510">
        <w:rPr>
          <w:rFonts w:ascii="Times" w:hAnsi="Times" w:cs="Times"/>
          <w:b w:val="0"/>
          <w:noProof/>
          <w:sz w:val="18"/>
        </w:rPr>
        <w:tab/>
      </w:r>
      <w:r w:rsidRPr="00380510">
        <w:rPr>
          <w:rFonts w:ascii="Times" w:hAnsi="Times" w:cs="Times"/>
          <w:b w:val="0"/>
          <w:noProof/>
          <w:sz w:val="18"/>
        </w:rPr>
        <w:fldChar w:fldCharType="begin"/>
      </w:r>
      <w:r w:rsidRPr="00380510">
        <w:rPr>
          <w:rFonts w:ascii="Times" w:hAnsi="Times" w:cs="Times"/>
          <w:b w:val="0"/>
          <w:noProof/>
          <w:sz w:val="18"/>
        </w:rPr>
        <w:instrText xml:space="preserve"> PAGEREF _Toc338939101 \h </w:instrText>
      </w:r>
      <w:r w:rsidRPr="00380510">
        <w:rPr>
          <w:rFonts w:ascii="Times" w:hAnsi="Times" w:cs="Times"/>
          <w:b w:val="0"/>
          <w:noProof/>
          <w:sz w:val="18"/>
        </w:rPr>
      </w:r>
      <w:r w:rsidRPr="00380510">
        <w:rPr>
          <w:rFonts w:ascii="Times" w:hAnsi="Times" w:cs="Times"/>
          <w:b w:val="0"/>
          <w:noProof/>
          <w:sz w:val="18"/>
        </w:rPr>
        <w:fldChar w:fldCharType="separate"/>
      </w:r>
      <w:r w:rsidR="00623A5C">
        <w:rPr>
          <w:rFonts w:ascii="Times" w:hAnsi="Times" w:cs="Times"/>
          <w:b w:val="0"/>
          <w:noProof/>
          <w:sz w:val="18"/>
        </w:rPr>
        <w:t>24</w:t>
      </w:r>
      <w:r w:rsidRPr="00380510">
        <w:rPr>
          <w:rFonts w:ascii="Times" w:hAnsi="Times" w:cs="Times"/>
          <w:b w:val="0"/>
          <w:noProof/>
          <w:sz w:val="18"/>
        </w:rPr>
        <w:fldChar w:fldCharType="end"/>
      </w:r>
    </w:p>
    <w:p w:rsidR="00380510" w:rsidRDefault="00380510">
      <w:pPr>
        <w:pStyle w:val="TOC5"/>
        <w:rPr>
          <w:rFonts w:ascii="Calibri" w:hAnsi="Calibri"/>
          <w:iCs w:val="0"/>
          <w:noProof/>
          <w:kern w:val="0"/>
          <w:sz w:val="22"/>
          <w:szCs w:val="22"/>
        </w:rPr>
      </w:pPr>
      <w:r>
        <w:rPr>
          <w:noProof/>
        </w:rPr>
        <w:t>768</w:t>
      </w:r>
      <w:r>
        <w:rPr>
          <w:noProof/>
        </w:rPr>
        <w:noBreakHyphen/>
        <w:t>900</w:t>
      </w:r>
      <w:r>
        <w:rPr>
          <w:noProof/>
        </w:rPr>
        <w:tab/>
        <w:t>What this Subdivision is about</w:t>
      </w:r>
      <w:r w:rsidRPr="00380510">
        <w:rPr>
          <w:rFonts w:ascii="Times" w:hAnsi="Times" w:cs="Times"/>
          <w:noProof/>
        </w:rPr>
        <w:tab/>
      </w:r>
      <w:r w:rsidRPr="00380510">
        <w:rPr>
          <w:rFonts w:ascii="Times" w:hAnsi="Times" w:cs="Times"/>
          <w:noProof/>
        </w:rPr>
        <w:fldChar w:fldCharType="begin"/>
      </w:r>
      <w:r w:rsidRPr="00380510">
        <w:rPr>
          <w:rFonts w:ascii="Times" w:hAnsi="Times" w:cs="Times"/>
          <w:noProof/>
        </w:rPr>
        <w:instrText xml:space="preserve"> PAGEREF _Toc338939102 \h </w:instrText>
      </w:r>
      <w:r w:rsidRPr="00380510">
        <w:rPr>
          <w:rFonts w:ascii="Times" w:hAnsi="Times" w:cs="Times"/>
          <w:noProof/>
        </w:rPr>
      </w:r>
      <w:r w:rsidRPr="00380510">
        <w:rPr>
          <w:rFonts w:ascii="Times" w:hAnsi="Times" w:cs="Times"/>
          <w:noProof/>
        </w:rPr>
        <w:fldChar w:fldCharType="separate"/>
      </w:r>
      <w:r w:rsidR="00623A5C">
        <w:rPr>
          <w:rFonts w:ascii="Times" w:hAnsi="Times" w:cs="Times"/>
          <w:noProof/>
        </w:rPr>
        <w:t>24</w:t>
      </w:r>
      <w:r w:rsidRPr="00380510">
        <w:rPr>
          <w:rFonts w:ascii="Times" w:hAnsi="Times" w:cs="Times"/>
          <w:noProof/>
        </w:rPr>
        <w:fldChar w:fldCharType="end"/>
      </w:r>
    </w:p>
    <w:p w:rsidR="00380510" w:rsidRDefault="00380510">
      <w:pPr>
        <w:pStyle w:val="TOC4"/>
        <w:rPr>
          <w:rFonts w:ascii="Calibri" w:hAnsi="Calibri"/>
          <w:b w:val="0"/>
          <w:noProof/>
          <w:kern w:val="0"/>
          <w:sz w:val="22"/>
          <w:szCs w:val="22"/>
        </w:rPr>
      </w:pPr>
      <w:r>
        <w:rPr>
          <w:noProof/>
        </w:rPr>
        <w:lastRenderedPageBreak/>
        <w:t>Operative provisions</w:t>
      </w:r>
      <w:r w:rsidRPr="00380510">
        <w:rPr>
          <w:rFonts w:ascii="Times" w:hAnsi="Times" w:cs="Times"/>
          <w:b w:val="0"/>
          <w:noProof/>
          <w:sz w:val="18"/>
        </w:rPr>
        <w:tab/>
      </w:r>
      <w:r w:rsidRPr="00380510">
        <w:rPr>
          <w:rFonts w:ascii="Times" w:hAnsi="Times" w:cs="Times"/>
          <w:b w:val="0"/>
          <w:noProof/>
          <w:sz w:val="18"/>
        </w:rPr>
        <w:fldChar w:fldCharType="begin"/>
      </w:r>
      <w:r w:rsidRPr="00380510">
        <w:rPr>
          <w:rFonts w:ascii="Times" w:hAnsi="Times" w:cs="Times"/>
          <w:b w:val="0"/>
          <w:noProof/>
          <w:sz w:val="18"/>
        </w:rPr>
        <w:instrText xml:space="preserve"> PAGEREF _Toc338939103 \h </w:instrText>
      </w:r>
      <w:r w:rsidRPr="00380510">
        <w:rPr>
          <w:rFonts w:ascii="Times" w:hAnsi="Times" w:cs="Times"/>
          <w:b w:val="0"/>
          <w:noProof/>
          <w:sz w:val="18"/>
        </w:rPr>
      </w:r>
      <w:r w:rsidRPr="00380510">
        <w:rPr>
          <w:rFonts w:ascii="Times" w:hAnsi="Times" w:cs="Times"/>
          <w:b w:val="0"/>
          <w:noProof/>
          <w:sz w:val="18"/>
        </w:rPr>
        <w:fldChar w:fldCharType="separate"/>
      </w:r>
      <w:r w:rsidR="00623A5C">
        <w:rPr>
          <w:rFonts w:ascii="Times" w:hAnsi="Times" w:cs="Times"/>
          <w:b w:val="0"/>
          <w:noProof/>
          <w:sz w:val="18"/>
        </w:rPr>
        <w:t>25</w:t>
      </w:r>
      <w:r w:rsidRPr="00380510">
        <w:rPr>
          <w:rFonts w:ascii="Times" w:hAnsi="Times" w:cs="Times"/>
          <w:b w:val="0"/>
          <w:noProof/>
          <w:sz w:val="18"/>
        </w:rPr>
        <w:fldChar w:fldCharType="end"/>
      </w:r>
    </w:p>
    <w:p w:rsidR="00380510" w:rsidRDefault="00380510">
      <w:pPr>
        <w:pStyle w:val="TOC5"/>
        <w:rPr>
          <w:rFonts w:ascii="Calibri" w:hAnsi="Calibri"/>
          <w:iCs w:val="0"/>
          <w:noProof/>
          <w:kern w:val="0"/>
          <w:sz w:val="22"/>
          <w:szCs w:val="22"/>
        </w:rPr>
      </w:pPr>
      <w:r>
        <w:rPr>
          <w:noProof/>
        </w:rPr>
        <w:t>768</w:t>
      </w:r>
      <w:r>
        <w:rPr>
          <w:noProof/>
        </w:rPr>
        <w:noBreakHyphen/>
        <w:t>905</w:t>
      </w:r>
      <w:r>
        <w:rPr>
          <w:noProof/>
        </w:rPr>
        <w:tab/>
        <w:t>Objects</w:t>
      </w:r>
      <w:r w:rsidRPr="00380510">
        <w:rPr>
          <w:rFonts w:ascii="Times" w:hAnsi="Times" w:cs="Times"/>
          <w:noProof/>
        </w:rPr>
        <w:tab/>
      </w:r>
      <w:r w:rsidRPr="00380510">
        <w:rPr>
          <w:rFonts w:ascii="Times" w:hAnsi="Times" w:cs="Times"/>
          <w:noProof/>
        </w:rPr>
        <w:fldChar w:fldCharType="begin"/>
      </w:r>
      <w:r w:rsidRPr="00380510">
        <w:rPr>
          <w:rFonts w:ascii="Times" w:hAnsi="Times" w:cs="Times"/>
          <w:noProof/>
        </w:rPr>
        <w:instrText xml:space="preserve"> PAGEREF _Toc338939104 \h </w:instrText>
      </w:r>
      <w:r w:rsidRPr="00380510">
        <w:rPr>
          <w:rFonts w:ascii="Times" w:hAnsi="Times" w:cs="Times"/>
          <w:noProof/>
        </w:rPr>
      </w:r>
      <w:r w:rsidRPr="00380510">
        <w:rPr>
          <w:rFonts w:ascii="Times" w:hAnsi="Times" w:cs="Times"/>
          <w:noProof/>
        </w:rPr>
        <w:fldChar w:fldCharType="separate"/>
      </w:r>
      <w:r w:rsidR="00623A5C">
        <w:rPr>
          <w:rFonts w:ascii="Times" w:hAnsi="Times" w:cs="Times"/>
          <w:noProof/>
        </w:rPr>
        <w:t>25</w:t>
      </w:r>
      <w:r w:rsidRPr="00380510">
        <w:rPr>
          <w:rFonts w:ascii="Times" w:hAnsi="Times" w:cs="Times"/>
          <w:noProof/>
        </w:rPr>
        <w:fldChar w:fldCharType="end"/>
      </w:r>
    </w:p>
    <w:p w:rsidR="00380510" w:rsidRDefault="00380510">
      <w:pPr>
        <w:pStyle w:val="TOC5"/>
        <w:rPr>
          <w:rFonts w:ascii="Calibri" w:hAnsi="Calibri"/>
          <w:iCs w:val="0"/>
          <w:noProof/>
          <w:kern w:val="0"/>
          <w:sz w:val="22"/>
          <w:szCs w:val="22"/>
        </w:rPr>
      </w:pPr>
      <w:r>
        <w:rPr>
          <w:noProof/>
        </w:rPr>
        <w:t>768</w:t>
      </w:r>
      <w:r>
        <w:rPr>
          <w:noProof/>
        </w:rPr>
        <w:noBreakHyphen/>
        <w:t>910</w:t>
      </w:r>
      <w:r>
        <w:rPr>
          <w:noProof/>
        </w:rPr>
        <w:tab/>
        <w:t>Income derived by temporary resident</w:t>
      </w:r>
      <w:r w:rsidRPr="00380510">
        <w:rPr>
          <w:rFonts w:ascii="Times" w:hAnsi="Times" w:cs="Times"/>
          <w:noProof/>
        </w:rPr>
        <w:tab/>
      </w:r>
      <w:r w:rsidRPr="00380510">
        <w:rPr>
          <w:rFonts w:ascii="Times" w:hAnsi="Times" w:cs="Times"/>
          <w:noProof/>
        </w:rPr>
        <w:fldChar w:fldCharType="begin"/>
      </w:r>
      <w:r w:rsidRPr="00380510">
        <w:rPr>
          <w:rFonts w:ascii="Times" w:hAnsi="Times" w:cs="Times"/>
          <w:noProof/>
        </w:rPr>
        <w:instrText xml:space="preserve"> PAGEREF _Toc338939105 \h </w:instrText>
      </w:r>
      <w:r w:rsidRPr="00380510">
        <w:rPr>
          <w:rFonts w:ascii="Times" w:hAnsi="Times" w:cs="Times"/>
          <w:noProof/>
        </w:rPr>
      </w:r>
      <w:r w:rsidRPr="00380510">
        <w:rPr>
          <w:rFonts w:ascii="Times" w:hAnsi="Times" w:cs="Times"/>
          <w:noProof/>
        </w:rPr>
        <w:fldChar w:fldCharType="separate"/>
      </w:r>
      <w:r w:rsidR="00623A5C">
        <w:rPr>
          <w:rFonts w:ascii="Times" w:hAnsi="Times" w:cs="Times"/>
          <w:noProof/>
        </w:rPr>
        <w:t>25</w:t>
      </w:r>
      <w:r w:rsidRPr="00380510">
        <w:rPr>
          <w:rFonts w:ascii="Times" w:hAnsi="Times" w:cs="Times"/>
          <w:noProof/>
        </w:rPr>
        <w:fldChar w:fldCharType="end"/>
      </w:r>
    </w:p>
    <w:p w:rsidR="00380510" w:rsidRDefault="00380510">
      <w:pPr>
        <w:pStyle w:val="TOC5"/>
        <w:rPr>
          <w:rFonts w:ascii="Calibri" w:hAnsi="Calibri"/>
          <w:iCs w:val="0"/>
          <w:noProof/>
          <w:kern w:val="0"/>
          <w:sz w:val="22"/>
          <w:szCs w:val="22"/>
        </w:rPr>
      </w:pPr>
      <w:r>
        <w:rPr>
          <w:noProof/>
        </w:rPr>
        <w:t>768</w:t>
      </w:r>
      <w:r>
        <w:rPr>
          <w:noProof/>
        </w:rPr>
        <w:noBreakHyphen/>
        <w:t>915</w:t>
      </w:r>
      <w:r>
        <w:rPr>
          <w:noProof/>
        </w:rPr>
        <w:tab/>
        <w:t>Certain capital gains and capital losses of temporary resident to be disregarded</w:t>
      </w:r>
      <w:r w:rsidRPr="00380510">
        <w:rPr>
          <w:rFonts w:ascii="Times" w:hAnsi="Times" w:cs="Times"/>
          <w:noProof/>
        </w:rPr>
        <w:tab/>
      </w:r>
      <w:r w:rsidRPr="00380510">
        <w:rPr>
          <w:rFonts w:ascii="Times" w:hAnsi="Times" w:cs="Times"/>
          <w:noProof/>
        </w:rPr>
        <w:fldChar w:fldCharType="begin"/>
      </w:r>
      <w:r w:rsidRPr="00380510">
        <w:rPr>
          <w:rFonts w:ascii="Times" w:hAnsi="Times" w:cs="Times"/>
          <w:noProof/>
        </w:rPr>
        <w:instrText xml:space="preserve"> PAGEREF _Toc338939106 \h </w:instrText>
      </w:r>
      <w:r w:rsidRPr="00380510">
        <w:rPr>
          <w:rFonts w:ascii="Times" w:hAnsi="Times" w:cs="Times"/>
          <w:noProof/>
        </w:rPr>
      </w:r>
      <w:r w:rsidRPr="00380510">
        <w:rPr>
          <w:rFonts w:ascii="Times" w:hAnsi="Times" w:cs="Times"/>
          <w:noProof/>
        </w:rPr>
        <w:fldChar w:fldCharType="separate"/>
      </w:r>
      <w:r w:rsidR="00623A5C">
        <w:rPr>
          <w:rFonts w:ascii="Times" w:hAnsi="Times" w:cs="Times"/>
          <w:noProof/>
        </w:rPr>
        <w:t>26</w:t>
      </w:r>
      <w:r w:rsidRPr="00380510">
        <w:rPr>
          <w:rFonts w:ascii="Times" w:hAnsi="Times" w:cs="Times"/>
          <w:noProof/>
        </w:rPr>
        <w:fldChar w:fldCharType="end"/>
      </w:r>
    </w:p>
    <w:p w:rsidR="00380510" w:rsidRDefault="00380510">
      <w:pPr>
        <w:pStyle w:val="TOC5"/>
        <w:rPr>
          <w:rFonts w:ascii="Calibri" w:hAnsi="Calibri"/>
          <w:iCs w:val="0"/>
          <w:noProof/>
          <w:kern w:val="0"/>
          <w:sz w:val="22"/>
          <w:szCs w:val="22"/>
        </w:rPr>
      </w:pPr>
      <w:r>
        <w:rPr>
          <w:noProof/>
        </w:rPr>
        <w:t>768</w:t>
      </w:r>
      <w:r>
        <w:rPr>
          <w:noProof/>
        </w:rPr>
        <w:noBreakHyphen/>
        <w:t>950</w:t>
      </w:r>
      <w:r>
        <w:rPr>
          <w:noProof/>
        </w:rPr>
        <w:tab/>
        <w:t>Individual becoming an Australian resident</w:t>
      </w:r>
      <w:r w:rsidRPr="00380510">
        <w:rPr>
          <w:rFonts w:ascii="Times" w:hAnsi="Times" w:cs="Times"/>
          <w:noProof/>
        </w:rPr>
        <w:tab/>
      </w:r>
      <w:r w:rsidRPr="00380510">
        <w:rPr>
          <w:rFonts w:ascii="Times" w:hAnsi="Times" w:cs="Times"/>
          <w:noProof/>
        </w:rPr>
        <w:fldChar w:fldCharType="begin"/>
      </w:r>
      <w:r w:rsidRPr="00380510">
        <w:rPr>
          <w:rFonts w:ascii="Times" w:hAnsi="Times" w:cs="Times"/>
          <w:noProof/>
        </w:rPr>
        <w:instrText xml:space="preserve"> PAGEREF _Toc338939107 \h </w:instrText>
      </w:r>
      <w:r w:rsidRPr="00380510">
        <w:rPr>
          <w:rFonts w:ascii="Times" w:hAnsi="Times" w:cs="Times"/>
          <w:noProof/>
        </w:rPr>
      </w:r>
      <w:r w:rsidRPr="00380510">
        <w:rPr>
          <w:rFonts w:ascii="Times" w:hAnsi="Times" w:cs="Times"/>
          <w:noProof/>
        </w:rPr>
        <w:fldChar w:fldCharType="separate"/>
      </w:r>
      <w:r w:rsidR="00623A5C">
        <w:rPr>
          <w:rFonts w:ascii="Times" w:hAnsi="Times" w:cs="Times"/>
          <w:noProof/>
        </w:rPr>
        <w:t>27</w:t>
      </w:r>
      <w:r w:rsidRPr="00380510">
        <w:rPr>
          <w:rFonts w:ascii="Times" w:hAnsi="Times" w:cs="Times"/>
          <w:noProof/>
        </w:rPr>
        <w:fldChar w:fldCharType="end"/>
      </w:r>
    </w:p>
    <w:p w:rsidR="00380510" w:rsidRDefault="00380510">
      <w:pPr>
        <w:pStyle w:val="TOC5"/>
        <w:rPr>
          <w:rFonts w:ascii="Calibri" w:hAnsi="Calibri"/>
          <w:iCs w:val="0"/>
          <w:noProof/>
          <w:kern w:val="0"/>
          <w:sz w:val="22"/>
          <w:szCs w:val="22"/>
        </w:rPr>
      </w:pPr>
      <w:r>
        <w:rPr>
          <w:noProof/>
        </w:rPr>
        <w:t>768</w:t>
      </w:r>
      <w:r>
        <w:rPr>
          <w:noProof/>
        </w:rPr>
        <w:noBreakHyphen/>
        <w:t>955</w:t>
      </w:r>
      <w:r>
        <w:rPr>
          <w:noProof/>
        </w:rPr>
        <w:tab/>
        <w:t>Temporary resident who ceases to be temporary resident but remains an Australian resident</w:t>
      </w:r>
      <w:r w:rsidRPr="00380510">
        <w:rPr>
          <w:rFonts w:ascii="Times" w:hAnsi="Times" w:cs="Times"/>
          <w:noProof/>
        </w:rPr>
        <w:tab/>
      </w:r>
      <w:r w:rsidRPr="00380510">
        <w:rPr>
          <w:rFonts w:ascii="Times" w:hAnsi="Times" w:cs="Times"/>
          <w:noProof/>
        </w:rPr>
        <w:fldChar w:fldCharType="begin"/>
      </w:r>
      <w:r w:rsidRPr="00380510">
        <w:rPr>
          <w:rFonts w:ascii="Times" w:hAnsi="Times" w:cs="Times"/>
          <w:noProof/>
        </w:rPr>
        <w:instrText xml:space="preserve"> PAGEREF _Toc338939108 \h </w:instrText>
      </w:r>
      <w:r w:rsidRPr="00380510">
        <w:rPr>
          <w:rFonts w:ascii="Times" w:hAnsi="Times" w:cs="Times"/>
          <w:noProof/>
        </w:rPr>
      </w:r>
      <w:r w:rsidRPr="00380510">
        <w:rPr>
          <w:rFonts w:ascii="Times" w:hAnsi="Times" w:cs="Times"/>
          <w:noProof/>
        </w:rPr>
        <w:fldChar w:fldCharType="separate"/>
      </w:r>
      <w:r w:rsidR="00623A5C">
        <w:rPr>
          <w:rFonts w:ascii="Times" w:hAnsi="Times" w:cs="Times"/>
          <w:noProof/>
        </w:rPr>
        <w:t>27</w:t>
      </w:r>
      <w:r w:rsidRPr="00380510">
        <w:rPr>
          <w:rFonts w:ascii="Times" w:hAnsi="Times" w:cs="Times"/>
          <w:noProof/>
        </w:rPr>
        <w:fldChar w:fldCharType="end"/>
      </w:r>
    </w:p>
    <w:p w:rsidR="00380510" w:rsidRDefault="00380510">
      <w:pPr>
        <w:pStyle w:val="TOC5"/>
        <w:rPr>
          <w:rFonts w:ascii="Calibri" w:hAnsi="Calibri"/>
          <w:iCs w:val="0"/>
          <w:noProof/>
          <w:kern w:val="0"/>
          <w:sz w:val="22"/>
          <w:szCs w:val="22"/>
        </w:rPr>
      </w:pPr>
      <w:r>
        <w:rPr>
          <w:noProof/>
        </w:rPr>
        <w:t>768</w:t>
      </w:r>
      <w:r>
        <w:rPr>
          <w:noProof/>
        </w:rPr>
        <w:noBreakHyphen/>
        <w:t>960</w:t>
      </w:r>
      <w:r>
        <w:rPr>
          <w:noProof/>
        </w:rPr>
        <w:tab/>
        <w:t>Temporary resident not attributable taxpayer for purposes of controlled foreign companies rules</w:t>
      </w:r>
      <w:r w:rsidRPr="00380510">
        <w:rPr>
          <w:rFonts w:ascii="Times" w:hAnsi="Times" w:cs="Times"/>
          <w:noProof/>
        </w:rPr>
        <w:tab/>
      </w:r>
      <w:r w:rsidRPr="00380510">
        <w:rPr>
          <w:rFonts w:ascii="Times" w:hAnsi="Times" w:cs="Times"/>
          <w:noProof/>
        </w:rPr>
        <w:fldChar w:fldCharType="begin"/>
      </w:r>
      <w:r w:rsidRPr="00380510">
        <w:rPr>
          <w:rFonts w:ascii="Times" w:hAnsi="Times" w:cs="Times"/>
          <w:noProof/>
        </w:rPr>
        <w:instrText xml:space="preserve"> PAGEREF _Toc338939109 \h </w:instrText>
      </w:r>
      <w:r w:rsidRPr="00380510">
        <w:rPr>
          <w:rFonts w:ascii="Times" w:hAnsi="Times" w:cs="Times"/>
          <w:noProof/>
        </w:rPr>
      </w:r>
      <w:r w:rsidRPr="00380510">
        <w:rPr>
          <w:rFonts w:ascii="Times" w:hAnsi="Times" w:cs="Times"/>
          <w:noProof/>
        </w:rPr>
        <w:fldChar w:fldCharType="separate"/>
      </w:r>
      <w:r w:rsidR="00623A5C">
        <w:rPr>
          <w:rFonts w:ascii="Times" w:hAnsi="Times" w:cs="Times"/>
          <w:noProof/>
        </w:rPr>
        <w:t>27</w:t>
      </w:r>
      <w:r w:rsidRPr="00380510">
        <w:rPr>
          <w:rFonts w:ascii="Times" w:hAnsi="Times" w:cs="Times"/>
          <w:noProof/>
        </w:rPr>
        <w:fldChar w:fldCharType="end"/>
      </w:r>
    </w:p>
    <w:p w:rsidR="00380510" w:rsidRDefault="00380510">
      <w:pPr>
        <w:pStyle w:val="TOC5"/>
        <w:rPr>
          <w:rFonts w:ascii="Calibri" w:hAnsi="Calibri"/>
          <w:iCs w:val="0"/>
          <w:noProof/>
          <w:kern w:val="0"/>
          <w:sz w:val="22"/>
          <w:szCs w:val="22"/>
        </w:rPr>
      </w:pPr>
      <w:r>
        <w:rPr>
          <w:noProof/>
        </w:rPr>
        <w:t>768</w:t>
      </w:r>
      <w:r>
        <w:rPr>
          <w:noProof/>
        </w:rPr>
        <w:noBreakHyphen/>
        <w:t>970</w:t>
      </w:r>
      <w:r>
        <w:rPr>
          <w:noProof/>
        </w:rPr>
        <w:tab/>
        <w:t>Modification of rules for accruals system of taxation of certain non</w:t>
      </w:r>
      <w:r>
        <w:rPr>
          <w:noProof/>
        </w:rPr>
        <w:noBreakHyphen/>
        <w:t>resident trust estates</w:t>
      </w:r>
      <w:r w:rsidRPr="00380510">
        <w:rPr>
          <w:rFonts w:ascii="Times" w:hAnsi="Times" w:cs="Times"/>
          <w:noProof/>
        </w:rPr>
        <w:tab/>
      </w:r>
      <w:r w:rsidRPr="00380510">
        <w:rPr>
          <w:rFonts w:ascii="Times" w:hAnsi="Times" w:cs="Times"/>
          <w:noProof/>
        </w:rPr>
        <w:fldChar w:fldCharType="begin"/>
      </w:r>
      <w:r w:rsidRPr="00380510">
        <w:rPr>
          <w:rFonts w:ascii="Times" w:hAnsi="Times" w:cs="Times"/>
          <w:noProof/>
        </w:rPr>
        <w:instrText xml:space="preserve"> PAGEREF _Toc338939110 \h </w:instrText>
      </w:r>
      <w:r w:rsidRPr="00380510">
        <w:rPr>
          <w:rFonts w:ascii="Times" w:hAnsi="Times" w:cs="Times"/>
          <w:noProof/>
        </w:rPr>
      </w:r>
      <w:r w:rsidRPr="00380510">
        <w:rPr>
          <w:rFonts w:ascii="Times" w:hAnsi="Times" w:cs="Times"/>
          <w:noProof/>
        </w:rPr>
        <w:fldChar w:fldCharType="separate"/>
      </w:r>
      <w:r w:rsidR="00623A5C">
        <w:rPr>
          <w:rFonts w:ascii="Times" w:hAnsi="Times" w:cs="Times"/>
          <w:noProof/>
        </w:rPr>
        <w:t>28</w:t>
      </w:r>
      <w:r w:rsidRPr="00380510">
        <w:rPr>
          <w:rFonts w:ascii="Times" w:hAnsi="Times" w:cs="Times"/>
          <w:noProof/>
        </w:rPr>
        <w:fldChar w:fldCharType="end"/>
      </w:r>
    </w:p>
    <w:p w:rsidR="00380510" w:rsidRDefault="00380510">
      <w:pPr>
        <w:pStyle w:val="TOC5"/>
        <w:rPr>
          <w:rFonts w:ascii="Calibri" w:hAnsi="Calibri"/>
          <w:iCs w:val="0"/>
          <w:noProof/>
          <w:kern w:val="0"/>
          <w:sz w:val="22"/>
          <w:szCs w:val="22"/>
        </w:rPr>
      </w:pPr>
      <w:r>
        <w:rPr>
          <w:noProof/>
        </w:rPr>
        <w:t>768</w:t>
      </w:r>
      <w:r>
        <w:rPr>
          <w:noProof/>
        </w:rPr>
        <w:noBreakHyphen/>
        <w:t>980</w:t>
      </w:r>
      <w:r>
        <w:rPr>
          <w:noProof/>
        </w:rPr>
        <w:tab/>
        <w:t>Interest paid by temporary resident</w:t>
      </w:r>
      <w:r w:rsidRPr="00380510">
        <w:rPr>
          <w:rFonts w:ascii="Times" w:hAnsi="Times" w:cs="Times"/>
          <w:noProof/>
        </w:rPr>
        <w:tab/>
      </w:r>
      <w:r w:rsidRPr="00380510">
        <w:rPr>
          <w:rFonts w:ascii="Times" w:hAnsi="Times" w:cs="Times"/>
          <w:noProof/>
        </w:rPr>
        <w:fldChar w:fldCharType="begin"/>
      </w:r>
      <w:r w:rsidRPr="00380510">
        <w:rPr>
          <w:rFonts w:ascii="Times" w:hAnsi="Times" w:cs="Times"/>
          <w:noProof/>
        </w:rPr>
        <w:instrText xml:space="preserve"> PAGEREF _Toc338939111 \h </w:instrText>
      </w:r>
      <w:r w:rsidRPr="00380510">
        <w:rPr>
          <w:rFonts w:ascii="Times" w:hAnsi="Times" w:cs="Times"/>
          <w:noProof/>
        </w:rPr>
      </w:r>
      <w:r w:rsidRPr="00380510">
        <w:rPr>
          <w:rFonts w:ascii="Times" w:hAnsi="Times" w:cs="Times"/>
          <w:noProof/>
        </w:rPr>
        <w:fldChar w:fldCharType="separate"/>
      </w:r>
      <w:r w:rsidR="00623A5C">
        <w:rPr>
          <w:rFonts w:ascii="Times" w:hAnsi="Times" w:cs="Times"/>
          <w:noProof/>
        </w:rPr>
        <w:t>28</w:t>
      </w:r>
      <w:r w:rsidRPr="00380510">
        <w:rPr>
          <w:rFonts w:ascii="Times" w:hAnsi="Times" w:cs="Times"/>
          <w:noProof/>
        </w:rPr>
        <w:fldChar w:fldCharType="end"/>
      </w:r>
    </w:p>
    <w:p w:rsidR="00380510" w:rsidRDefault="00380510">
      <w:pPr>
        <w:pStyle w:val="TOC3"/>
        <w:rPr>
          <w:rFonts w:ascii="Calibri" w:hAnsi="Calibri"/>
          <w:b w:val="0"/>
          <w:noProof/>
          <w:kern w:val="0"/>
          <w:szCs w:val="22"/>
        </w:rPr>
      </w:pPr>
      <w:r>
        <w:rPr>
          <w:noProof/>
        </w:rPr>
        <w:t>Division 770—Foreign income tax offsets</w:t>
      </w:r>
      <w:r w:rsidRPr="00380510">
        <w:rPr>
          <w:rFonts w:ascii="Times" w:hAnsi="Times" w:cs="Times"/>
          <w:b w:val="0"/>
          <w:noProof/>
          <w:sz w:val="18"/>
        </w:rPr>
        <w:tab/>
      </w:r>
      <w:r w:rsidRPr="00380510">
        <w:rPr>
          <w:rFonts w:ascii="Times" w:hAnsi="Times" w:cs="Times"/>
          <w:b w:val="0"/>
          <w:noProof/>
          <w:sz w:val="18"/>
        </w:rPr>
        <w:fldChar w:fldCharType="begin"/>
      </w:r>
      <w:r w:rsidRPr="00380510">
        <w:rPr>
          <w:rFonts w:ascii="Times" w:hAnsi="Times" w:cs="Times"/>
          <w:b w:val="0"/>
          <w:noProof/>
          <w:sz w:val="18"/>
        </w:rPr>
        <w:instrText xml:space="preserve"> PAGEREF _Toc338939112 \h </w:instrText>
      </w:r>
      <w:r w:rsidRPr="00380510">
        <w:rPr>
          <w:rFonts w:ascii="Times" w:hAnsi="Times" w:cs="Times"/>
          <w:b w:val="0"/>
          <w:noProof/>
          <w:sz w:val="18"/>
        </w:rPr>
      </w:r>
      <w:r w:rsidRPr="00380510">
        <w:rPr>
          <w:rFonts w:ascii="Times" w:hAnsi="Times" w:cs="Times"/>
          <w:b w:val="0"/>
          <w:noProof/>
          <w:sz w:val="18"/>
        </w:rPr>
        <w:fldChar w:fldCharType="separate"/>
      </w:r>
      <w:r w:rsidR="00623A5C">
        <w:rPr>
          <w:rFonts w:ascii="Times" w:hAnsi="Times" w:cs="Times"/>
          <w:b w:val="0"/>
          <w:noProof/>
          <w:sz w:val="18"/>
        </w:rPr>
        <w:t>29</w:t>
      </w:r>
      <w:r w:rsidRPr="00380510">
        <w:rPr>
          <w:rFonts w:ascii="Times" w:hAnsi="Times" w:cs="Times"/>
          <w:b w:val="0"/>
          <w:noProof/>
          <w:sz w:val="18"/>
        </w:rPr>
        <w:fldChar w:fldCharType="end"/>
      </w:r>
    </w:p>
    <w:p w:rsidR="00380510" w:rsidRDefault="00380510">
      <w:pPr>
        <w:pStyle w:val="TOC4"/>
        <w:rPr>
          <w:rFonts w:ascii="Calibri" w:hAnsi="Calibri"/>
          <w:b w:val="0"/>
          <w:noProof/>
          <w:kern w:val="0"/>
          <w:sz w:val="22"/>
          <w:szCs w:val="22"/>
        </w:rPr>
      </w:pPr>
      <w:r>
        <w:rPr>
          <w:noProof/>
        </w:rPr>
        <w:t>Guide to Division 770</w:t>
      </w:r>
      <w:r w:rsidRPr="00380510">
        <w:rPr>
          <w:rFonts w:ascii="Times" w:hAnsi="Times" w:cs="Times"/>
          <w:b w:val="0"/>
          <w:noProof/>
          <w:sz w:val="18"/>
        </w:rPr>
        <w:tab/>
      </w:r>
      <w:r w:rsidRPr="00380510">
        <w:rPr>
          <w:rFonts w:ascii="Times" w:hAnsi="Times" w:cs="Times"/>
          <w:b w:val="0"/>
          <w:noProof/>
          <w:sz w:val="18"/>
        </w:rPr>
        <w:fldChar w:fldCharType="begin"/>
      </w:r>
      <w:r w:rsidRPr="00380510">
        <w:rPr>
          <w:rFonts w:ascii="Times" w:hAnsi="Times" w:cs="Times"/>
          <w:b w:val="0"/>
          <w:noProof/>
          <w:sz w:val="18"/>
        </w:rPr>
        <w:instrText xml:space="preserve"> PAGEREF _Toc338939113 \h </w:instrText>
      </w:r>
      <w:r w:rsidRPr="00380510">
        <w:rPr>
          <w:rFonts w:ascii="Times" w:hAnsi="Times" w:cs="Times"/>
          <w:b w:val="0"/>
          <w:noProof/>
          <w:sz w:val="18"/>
        </w:rPr>
      </w:r>
      <w:r w:rsidRPr="00380510">
        <w:rPr>
          <w:rFonts w:ascii="Times" w:hAnsi="Times" w:cs="Times"/>
          <w:b w:val="0"/>
          <w:noProof/>
          <w:sz w:val="18"/>
        </w:rPr>
        <w:fldChar w:fldCharType="separate"/>
      </w:r>
      <w:r w:rsidR="00623A5C">
        <w:rPr>
          <w:rFonts w:ascii="Times" w:hAnsi="Times" w:cs="Times"/>
          <w:b w:val="0"/>
          <w:noProof/>
          <w:sz w:val="18"/>
        </w:rPr>
        <w:t>29</w:t>
      </w:r>
      <w:r w:rsidRPr="00380510">
        <w:rPr>
          <w:rFonts w:ascii="Times" w:hAnsi="Times" w:cs="Times"/>
          <w:b w:val="0"/>
          <w:noProof/>
          <w:sz w:val="18"/>
        </w:rPr>
        <w:fldChar w:fldCharType="end"/>
      </w:r>
    </w:p>
    <w:p w:rsidR="00380510" w:rsidRDefault="00380510">
      <w:pPr>
        <w:pStyle w:val="TOC5"/>
        <w:rPr>
          <w:rFonts w:ascii="Calibri" w:hAnsi="Calibri"/>
          <w:iCs w:val="0"/>
          <w:noProof/>
          <w:kern w:val="0"/>
          <w:sz w:val="22"/>
          <w:szCs w:val="22"/>
        </w:rPr>
      </w:pPr>
      <w:r>
        <w:rPr>
          <w:noProof/>
        </w:rPr>
        <w:t>770</w:t>
      </w:r>
      <w:r>
        <w:rPr>
          <w:noProof/>
        </w:rPr>
        <w:noBreakHyphen/>
        <w:t>1</w:t>
      </w:r>
      <w:r>
        <w:rPr>
          <w:noProof/>
        </w:rPr>
        <w:tab/>
        <w:t>What this Division is about</w:t>
      </w:r>
      <w:r w:rsidRPr="00380510">
        <w:rPr>
          <w:rFonts w:ascii="Times" w:hAnsi="Times" w:cs="Times"/>
          <w:noProof/>
        </w:rPr>
        <w:tab/>
      </w:r>
      <w:r w:rsidRPr="00380510">
        <w:rPr>
          <w:rFonts w:ascii="Times" w:hAnsi="Times" w:cs="Times"/>
          <w:noProof/>
        </w:rPr>
        <w:fldChar w:fldCharType="begin"/>
      </w:r>
      <w:r w:rsidRPr="00380510">
        <w:rPr>
          <w:rFonts w:ascii="Times" w:hAnsi="Times" w:cs="Times"/>
          <w:noProof/>
        </w:rPr>
        <w:instrText xml:space="preserve"> PAGEREF _Toc338939114 \h </w:instrText>
      </w:r>
      <w:r w:rsidRPr="00380510">
        <w:rPr>
          <w:rFonts w:ascii="Times" w:hAnsi="Times" w:cs="Times"/>
          <w:noProof/>
        </w:rPr>
      </w:r>
      <w:r w:rsidRPr="00380510">
        <w:rPr>
          <w:rFonts w:ascii="Times" w:hAnsi="Times" w:cs="Times"/>
          <w:noProof/>
        </w:rPr>
        <w:fldChar w:fldCharType="separate"/>
      </w:r>
      <w:r w:rsidR="00623A5C">
        <w:rPr>
          <w:rFonts w:ascii="Times" w:hAnsi="Times" w:cs="Times"/>
          <w:noProof/>
        </w:rPr>
        <w:t>29</w:t>
      </w:r>
      <w:r w:rsidRPr="00380510">
        <w:rPr>
          <w:rFonts w:ascii="Times" w:hAnsi="Times" w:cs="Times"/>
          <w:noProof/>
        </w:rPr>
        <w:fldChar w:fldCharType="end"/>
      </w:r>
    </w:p>
    <w:p w:rsidR="00380510" w:rsidRDefault="00380510">
      <w:pPr>
        <w:pStyle w:val="TOC5"/>
        <w:rPr>
          <w:rFonts w:ascii="Calibri" w:hAnsi="Calibri"/>
          <w:iCs w:val="0"/>
          <w:noProof/>
          <w:kern w:val="0"/>
          <w:sz w:val="22"/>
          <w:szCs w:val="22"/>
        </w:rPr>
      </w:pPr>
      <w:r>
        <w:rPr>
          <w:noProof/>
        </w:rPr>
        <w:t>770</w:t>
      </w:r>
      <w:r>
        <w:rPr>
          <w:noProof/>
        </w:rPr>
        <w:noBreakHyphen/>
        <w:t>5</w:t>
      </w:r>
      <w:r>
        <w:rPr>
          <w:noProof/>
        </w:rPr>
        <w:tab/>
        <w:t>Object</w:t>
      </w:r>
      <w:r w:rsidRPr="00380510">
        <w:rPr>
          <w:rFonts w:ascii="Times" w:hAnsi="Times" w:cs="Times"/>
          <w:noProof/>
        </w:rPr>
        <w:tab/>
      </w:r>
      <w:r w:rsidRPr="00380510">
        <w:rPr>
          <w:rFonts w:ascii="Times" w:hAnsi="Times" w:cs="Times"/>
          <w:noProof/>
        </w:rPr>
        <w:fldChar w:fldCharType="begin"/>
      </w:r>
      <w:r w:rsidRPr="00380510">
        <w:rPr>
          <w:rFonts w:ascii="Times" w:hAnsi="Times" w:cs="Times"/>
          <w:noProof/>
        </w:rPr>
        <w:instrText xml:space="preserve"> PAGEREF _Toc338939115 \h </w:instrText>
      </w:r>
      <w:r w:rsidRPr="00380510">
        <w:rPr>
          <w:rFonts w:ascii="Times" w:hAnsi="Times" w:cs="Times"/>
          <w:noProof/>
        </w:rPr>
      </w:r>
      <w:r w:rsidRPr="00380510">
        <w:rPr>
          <w:rFonts w:ascii="Times" w:hAnsi="Times" w:cs="Times"/>
          <w:noProof/>
        </w:rPr>
        <w:fldChar w:fldCharType="separate"/>
      </w:r>
      <w:r w:rsidR="00623A5C">
        <w:rPr>
          <w:rFonts w:ascii="Times" w:hAnsi="Times" w:cs="Times"/>
          <w:noProof/>
        </w:rPr>
        <w:t>29</w:t>
      </w:r>
      <w:r w:rsidRPr="00380510">
        <w:rPr>
          <w:rFonts w:ascii="Times" w:hAnsi="Times" w:cs="Times"/>
          <w:noProof/>
        </w:rPr>
        <w:fldChar w:fldCharType="end"/>
      </w:r>
    </w:p>
    <w:p w:rsidR="00380510" w:rsidRDefault="00380510">
      <w:pPr>
        <w:pStyle w:val="TOC4"/>
        <w:rPr>
          <w:rFonts w:ascii="Calibri" w:hAnsi="Calibri"/>
          <w:b w:val="0"/>
          <w:noProof/>
          <w:kern w:val="0"/>
          <w:sz w:val="22"/>
          <w:szCs w:val="22"/>
        </w:rPr>
      </w:pPr>
      <w:r>
        <w:rPr>
          <w:noProof/>
        </w:rPr>
        <w:t>Subdivision 770</w:t>
      </w:r>
      <w:r>
        <w:rPr>
          <w:noProof/>
        </w:rPr>
        <w:noBreakHyphen/>
        <w:t>A—Entitlement rules for foreign income tax offsets</w:t>
      </w:r>
      <w:r w:rsidRPr="00380510">
        <w:rPr>
          <w:rFonts w:ascii="Times" w:hAnsi="Times" w:cs="Times"/>
          <w:b w:val="0"/>
          <w:noProof/>
          <w:sz w:val="18"/>
        </w:rPr>
        <w:tab/>
      </w:r>
      <w:r w:rsidRPr="00380510">
        <w:rPr>
          <w:rFonts w:ascii="Times" w:hAnsi="Times" w:cs="Times"/>
          <w:b w:val="0"/>
          <w:noProof/>
          <w:sz w:val="18"/>
        </w:rPr>
        <w:fldChar w:fldCharType="begin"/>
      </w:r>
      <w:r w:rsidRPr="00380510">
        <w:rPr>
          <w:rFonts w:ascii="Times" w:hAnsi="Times" w:cs="Times"/>
          <w:b w:val="0"/>
          <w:noProof/>
          <w:sz w:val="18"/>
        </w:rPr>
        <w:instrText xml:space="preserve"> PAGEREF _Toc338939116 \h </w:instrText>
      </w:r>
      <w:r w:rsidRPr="00380510">
        <w:rPr>
          <w:rFonts w:ascii="Times" w:hAnsi="Times" w:cs="Times"/>
          <w:b w:val="0"/>
          <w:noProof/>
          <w:sz w:val="18"/>
        </w:rPr>
      </w:r>
      <w:r w:rsidRPr="00380510">
        <w:rPr>
          <w:rFonts w:ascii="Times" w:hAnsi="Times" w:cs="Times"/>
          <w:b w:val="0"/>
          <w:noProof/>
          <w:sz w:val="18"/>
        </w:rPr>
        <w:fldChar w:fldCharType="separate"/>
      </w:r>
      <w:r w:rsidR="00623A5C">
        <w:rPr>
          <w:rFonts w:ascii="Times" w:hAnsi="Times" w:cs="Times"/>
          <w:b w:val="0"/>
          <w:noProof/>
          <w:sz w:val="18"/>
        </w:rPr>
        <w:t>30</w:t>
      </w:r>
      <w:r w:rsidRPr="00380510">
        <w:rPr>
          <w:rFonts w:ascii="Times" w:hAnsi="Times" w:cs="Times"/>
          <w:b w:val="0"/>
          <w:noProof/>
          <w:sz w:val="18"/>
        </w:rPr>
        <w:fldChar w:fldCharType="end"/>
      </w:r>
    </w:p>
    <w:p w:rsidR="00380510" w:rsidRDefault="00380510">
      <w:pPr>
        <w:pStyle w:val="TOC4"/>
        <w:rPr>
          <w:rFonts w:ascii="Calibri" w:hAnsi="Calibri"/>
          <w:b w:val="0"/>
          <w:noProof/>
          <w:kern w:val="0"/>
          <w:sz w:val="22"/>
          <w:szCs w:val="22"/>
        </w:rPr>
      </w:pPr>
      <w:r>
        <w:rPr>
          <w:noProof/>
        </w:rPr>
        <w:t>Basic entitlement rule for foreign income tax offset</w:t>
      </w:r>
      <w:r w:rsidRPr="00380510">
        <w:rPr>
          <w:rFonts w:ascii="Times" w:hAnsi="Times" w:cs="Times"/>
          <w:b w:val="0"/>
          <w:noProof/>
          <w:sz w:val="18"/>
        </w:rPr>
        <w:tab/>
      </w:r>
      <w:r w:rsidRPr="00380510">
        <w:rPr>
          <w:rFonts w:ascii="Times" w:hAnsi="Times" w:cs="Times"/>
          <w:b w:val="0"/>
          <w:noProof/>
          <w:sz w:val="18"/>
        </w:rPr>
        <w:fldChar w:fldCharType="begin"/>
      </w:r>
      <w:r w:rsidRPr="00380510">
        <w:rPr>
          <w:rFonts w:ascii="Times" w:hAnsi="Times" w:cs="Times"/>
          <w:b w:val="0"/>
          <w:noProof/>
          <w:sz w:val="18"/>
        </w:rPr>
        <w:instrText xml:space="preserve"> PAGEREF _Toc338939117 \h </w:instrText>
      </w:r>
      <w:r w:rsidRPr="00380510">
        <w:rPr>
          <w:rFonts w:ascii="Times" w:hAnsi="Times" w:cs="Times"/>
          <w:b w:val="0"/>
          <w:noProof/>
          <w:sz w:val="18"/>
        </w:rPr>
      </w:r>
      <w:r w:rsidRPr="00380510">
        <w:rPr>
          <w:rFonts w:ascii="Times" w:hAnsi="Times" w:cs="Times"/>
          <w:b w:val="0"/>
          <w:noProof/>
          <w:sz w:val="18"/>
        </w:rPr>
        <w:fldChar w:fldCharType="separate"/>
      </w:r>
      <w:r w:rsidR="00623A5C">
        <w:rPr>
          <w:rFonts w:ascii="Times" w:hAnsi="Times" w:cs="Times"/>
          <w:b w:val="0"/>
          <w:noProof/>
          <w:sz w:val="18"/>
        </w:rPr>
        <w:t>30</w:t>
      </w:r>
      <w:r w:rsidRPr="00380510">
        <w:rPr>
          <w:rFonts w:ascii="Times" w:hAnsi="Times" w:cs="Times"/>
          <w:b w:val="0"/>
          <w:noProof/>
          <w:sz w:val="18"/>
        </w:rPr>
        <w:fldChar w:fldCharType="end"/>
      </w:r>
    </w:p>
    <w:p w:rsidR="00380510" w:rsidRDefault="00380510">
      <w:pPr>
        <w:pStyle w:val="TOC5"/>
        <w:rPr>
          <w:rFonts w:ascii="Calibri" w:hAnsi="Calibri"/>
          <w:iCs w:val="0"/>
          <w:noProof/>
          <w:kern w:val="0"/>
          <w:sz w:val="22"/>
          <w:szCs w:val="22"/>
        </w:rPr>
      </w:pPr>
      <w:r>
        <w:rPr>
          <w:noProof/>
        </w:rPr>
        <w:t>770</w:t>
      </w:r>
      <w:r>
        <w:rPr>
          <w:noProof/>
        </w:rPr>
        <w:noBreakHyphen/>
        <w:t>10</w:t>
      </w:r>
      <w:r>
        <w:rPr>
          <w:noProof/>
        </w:rPr>
        <w:tab/>
        <w:t>Entitlement to foreign income tax offset</w:t>
      </w:r>
      <w:r w:rsidRPr="00380510">
        <w:rPr>
          <w:rFonts w:ascii="Times" w:hAnsi="Times" w:cs="Times"/>
          <w:noProof/>
        </w:rPr>
        <w:tab/>
      </w:r>
      <w:r w:rsidRPr="00380510">
        <w:rPr>
          <w:rFonts w:ascii="Times" w:hAnsi="Times" w:cs="Times"/>
          <w:noProof/>
        </w:rPr>
        <w:fldChar w:fldCharType="begin"/>
      </w:r>
      <w:r w:rsidRPr="00380510">
        <w:rPr>
          <w:rFonts w:ascii="Times" w:hAnsi="Times" w:cs="Times"/>
          <w:noProof/>
        </w:rPr>
        <w:instrText xml:space="preserve"> PAGEREF _Toc338939118 \h </w:instrText>
      </w:r>
      <w:r w:rsidRPr="00380510">
        <w:rPr>
          <w:rFonts w:ascii="Times" w:hAnsi="Times" w:cs="Times"/>
          <w:noProof/>
        </w:rPr>
      </w:r>
      <w:r w:rsidRPr="00380510">
        <w:rPr>
          <w:rFonts w:ascii="Times" w:hAnsi="Times" w:cs="Times"/>
          <w:noProof/>
        </w:rPr>
        <w:fldChar w:fldCharType="separate"/>
      </w:r>
      <w:r w:rsidR="00623A5C">
        <w:rPr>
          <w:rFonts w:ascii="Times" w:hAnsi="Times" w:cs="Times"/>
          <w:noProof/>
        </w:rPr>
        <w:t>30</w:t>
      </w:r>
      <w:r w:rsidRPr="00380510">
        <w:rPr>
          <w:rFonts w:ascii="Times" w:hAnsi="Times" w:cs="Times"/>
          <w:noProof/>
        </w:rPr>
        <w:fldChar w:fldCharType="end"/>
      </w:r>
    </w:p>
    <w:p w:rsidR="00380510" w:rsidRDefault="00380510">
      <w:pPr>
        <w:pStyle w:val="TOC5"/>
        <w:rPr>
          <w:rFonts w:ascii="Calibri" w:hAnsi="Calibri"/>
          <w:iCs w:val="0"/>
          <w:noProof/>
          <w:kern w:val="0"/>
          <w:sz w:val="22"/>
          <w:szCs w:val="22"/>
        </w:rPr>
      </w:pPr>
      <w:r>
        <w:rPr>
          <w:noProof/>
        </w:rPr>
        <w:t>770</w:t>
      </w:r>
      <w:r>
        <w:rPr>
          <w:noProof/>
        </w:rPr>
        <w:noBreakHyphen/>
        <w:t>15</w:t>
      </w:r>
      <w:r>
        <w:rPr>
          <w:noProof/>
        </w:rPr>
        <w:tab/>
        <w:t xml:space="preserve">Meaning of </w:t>
      </w:r>
      <w:r w:rsidRPr="008A0EAA">
        <w:rPr>
          <w:i/>
          <w:noProof/>
        </w:rPr>
        <w:t>foreign income tax</w:t>
      </w:r>
      <w:r>
        <w:rPr>
          <w:noProof/>
        </w:rPr>
        <w:t xml:space="preserve">, </w:t>
      </w:r>
      <w:r w:rsidRPr="008A0EAA">
        <w:rPr>
          <w:i/>
          <w:noProof/>
        </w:rPr>
        <w:t>credit absorption tax</w:t>
      </w:r>
      <w:r>
        <w:rPr>
          <w:noProof/>
        </w:rPr>
        <w:t xml:space="preserve"> and </w:t>
      </w:r>
      <w:r w:rsidRPr="008A0EAA">
        <w:rPr>
          <w:i/>
          <w:noProof/>
        </w:rPr>
        <w:t>unitary tax</w:t>
      </w:r>
      <w:r w:rsidRPr="00380510">
        <w:rPr>
          <w:rFonts w:ascii="Times" w:hAnsi="Times" w:cs="Times"/>
          <w:noProof/>
        </w:rPr>
        <w:tab/>
      </w:r>
      <w:r w:rsidRPr="00380510">
        <w:rPr>
          <w:rFonts w:ascii="Times" w:hAnsi="Times" w:cs="Times"/>
          <w:noProof/>
        </w:rPr>
        <w:fldChar w:fldCharType="begin"/>
      </w:r>
      <w:r w:rsidRPr="00380510">
        <w:rPr>
          <w:rFonts w:ascii="Times" w:hAnsi="Times" w:cs="Times"/>
          <w:noProof/>
        </w:rPr>
        <w:instrText xml:space="preserve"> PAGEREF _Toc338939119 \h </w:instrText>
      </w:r>
      <w:r w:rsidRPr="00380510">
        <w:rPr>
          <w:rFonts w:ascii="Times" w:hAnsi="Times" w:cs="Times"/>
          <w:noProof/>
        </w:rPr>
      </w:r>
      <w:r w:rsidRPr="00380510">
        <w:rPr>
          <w:rFonts w:ascii="Times" w:hAnsi="Times" w:cs="Times"/>
          <w:noProof/>
        </w:rPr>
        <w:fldChar w:fldCharType="separate"/>
      </w:r>
      <w:r w:rsidR="00623A5C">
        <w:rPr>
          <w:rFonts w:ascii="Times" w:hAnsi="Times" w:cs="Times"/>
          <w:noProof/>
        </w:rPr>
        <w:t>32</w:t>
      </w:r>
      <w:r w:rsidRPr="00380510">
        <w:rPr>
          <w:rFonts w:ascii="Times" w:hAnsi="Times" w:cs="Times"/>
          <w:noProof/>
        </w:rPr>
        <w:fldChar w:fldCharType="end"/>
      </w:r>
    </w:p>
    <w:p w:rsidR="00380510" w:rsidRDefault="00380510">
      <w:pPr>
        <w:pStyle w:val="TOC4"/>
        <w:rPr>
          <w:rFonts w:ascii="Calibri" w:hAnsi="Calibri"/>
          <w:b w:val="0"/>
          <w:noProof/>
          <w:kern w:val="0"/>
          <w:sz w:val="22"/>
          <w:szCs w:val="22"/>
        </w:rPr>
      </w:pPr>
      <w:r>
        <w:rPr>
          <w:noProof/>
        </w:rPr>
        <w:t>Subdivision 770</w:t>
      </w:r>
      <w:r>
        <w:rPr>
          <w:noProof/>
        </w:rPr>
        <w:noBreakHyphen/>
        <w:t>B—Amount of foreign income tax offset</w:t>
      </w:r>
      <w:r w:rsidRPr="00380510">
        <w:rPr>
          <w:rFonts w:ascii="Times" w:hAnsi="Times" w:cs="Times"/>
          <w:b w:val="0"/>
          <w:noProof/>
          <w:sz w:val="18"/>
        </w:rPr>
        <w:tab/>
      </w:r>
      <w:r w:rsidRPr="00380510">
        <w:rPr>
          <w:rFonts w:ascii="Times" w:hAnsi="Times" w:cs="Times"/>
          <w:b w:val="0"/>
          <w:noProof/>
          <w:sz w:val="18"/>
        </w:rPr>
        <w:fldChar w:fldCharType="begin"/>
      </w:r>
      <w:r w:rsidRPr="00380510">
        <w:rPr>
          <w:rFonts w:ascii="Times" w:hAnsi="Times" w:cs="Times"/>
          <w:b w:val="0"/>
          <w:noProof/>
          <w:sz w:val="18"/>
        </w:rPr>
        <w:instrText xml:space="preserve"> PAGEREF _Toc338939120 \h </w:instrText>
      </w:r>
      <w:r w:rsidRPr="00380510">
        <w:rPr>
          <w:rFonts w:ascii="Times" w:hAnsi="Times" w:cs="Times"/>
          <w:b w:val="0"/>
          <w:noProof/>
          <w:sz w:val="18"/>
        </w:rPr>
      </w:r>
      <w:r w:rsidRPr="00380510">
        <w:rPr>
          <w:rFonts w:ascii="Times" w:hAnsi="Times" w:cs="Times"/>
          <w:b w:val="0"/>
          <w:noProof/>
          <w:sz w:val="18"/>
        </w:rPr>
        <w:fldChar w:fldCharType="separate"/>
      </w:r>
      <w:r w:rsidR="00623A5C">
        <w:rPr>
          <w:rFonts w:ascii="Times" w:hAnsi="Times" w:cs="Times"/>
          <w:b w:val="0"/>
          <w:noProof/>
          <w:sz w:val="18"/>
        </w:rPr>
        <w:t>33</w:t>
      </w:r>
      <w:r w:rsidRPr="00380510">
        <w:rPr>
          <w:rFonts w:ascii="Times" w:hAnsi="Times" w:cs="Times"/>
          <w:b w:val="0"/>
          <w:noProof/>
          <w:sz w:val="18"/>
        </w:rPr>
        <w:fldChar w:fldCharType="end"/>
      </w:r>
    </w:p>
    <w:p w:rsidR="00380510" w:rsidRDefault="00380510">
      <w:pPr>
        <w:pStyle w:val="TOC4"/>
        <w:rPr>
          <w:rFonts w:ascii="Calibri" w:hAnsi="Calibri"/>
          <w:b w:val="0"/>
          <w:noProof/>
          <w:kern w:val="0"/>
          <w:sz w:val="22"/>
          <w:szCs w:val="22"/>
        </w:rPr>
      </w:pPr>
      <w:r>
        <w:rPr>
          <w:noProof/>
        </w:rPr>
        <w:t>Guide to Subdivision 770</w:t>
      </w:r>
      <w:r>
        <w:rPr>
          <w:noProof/>
        </w:rPr>
        <w:noBreakHyphen/>
        <w:t>B</w:t>
      </w:r>
      <w:r w:rsidRPr="00380510">
        <w:rPr>
          <w:rFonts w:ascii="Times" w:hAnsi="Times" w:cs="Times"/>
          <w:b w:val="0"/>
          <w:noProof/>
          <w:sz w:val="18"/>
        </w:rPr>
        <w:tab/>
      </w:r>
      <w:r w:rsidRPr="00380510">
        <w:rPr>
          <w:rFonts w:ascii="Times" w:hAnsi="Times" w:cs="Times"/>
          <w:b w:val="0"/>
          <w:noProof/>
          <w:sz w:val="18"/>
        </w:rPr>
        <w:fldChar w:fldCharType="begin"/>
      </w:r>
      <w:r w:rsidRPr="00380510">
        <w:rPr>
          <w:rFonts w:ascii="Times" w:hAnsi="Times" w:cs="Times"/>
          <w:b w:val="0"/>
          <w:noProof/>
          <w:sz w:val="18"/>
        </w:rPr>
        <w:instrText xml:space="preserve"> PAGEREF _Toc338939121 \h </w:instrText>
      </w:r>
      <w:r w:rsidRPr="00380510">
        <w:rPr>
          <w:rFonts w:ascii="Times" w:hAnsi="Times" w:cs="Times"/>
          <w:b w:val="0"/>
          <w:noProof/>
          <w:sz w:val="18"/>
        </w:rPr>
      </w:r>
      <w:r w:rsidRPr="00380510">
        <w:rPr>
          <w:rFonts w:ascii="Times" w:hAnsi="Times" w:cs="Times"/>
          <w:b w:val="0"/>
          <w:noProof/>
          <w:sz w:val="18"/>
        </w:rPr>
        <w:fldChar w:fldCharType="separate"/>
      </w:r>
      <w:r w:rsidR="00623A5C">
        <w:rPr>
          <w:rFonts w:ascii="Times" w:hAnsi="Times" w:cs="Times"/>
          <w:b w:val="0"/>
          <w:noProof/>
          <w:sz w:val="18"/>
        </w:rPr>
        <w:t>33</w:t>
      </w:r>
      <w:r w:rsidRPr="00380510">
        <w:rPr>
          <w:rFonts w:ascii="Times" w:hAnsi="Times" w:cs="Times"/>
          <w:b w:val="0"/>
          <w:noProof/>
          <w:sz w:val="18"/>
        </w:rPr>
        <w:fldChar w:fldCharType="end"/>
      </w:r>
    </w:p>
    <w:p w:rsidR="00380510" w:rsidRDefault="00380510">
      <w:pPr>
        <w:pStyle w:val="TOC5"/>
        <w:rPr>
          <w:rFonts w:ascii="Calibri" w:hAnsi="Calibri"/>
          <w:iCs w:val="0"/>
          <w:noProof/>
          <w:kern w:val="0"/>
          <w:sz w:val="22"/>
          <w:szCs w:val="22"/>
        </w:rPr>
      </w:pPr>
      <w:r>
        <w:rPr>
          <w:noProof/>
        </w:rPr>
        <w:t>770</w:t>
      </w:r>
      <w:r>
        <w:rPr>
          <w:noProof/>
        </w:rPr>
        <w:noBreakHyphen/>
        <w:t>65</w:t>
      </w:r>
      <w:r>
        <w:rPr>
          <w:noProof/>
        </w:rPr>
        <w:tab/>
        <w:t>What this Subdivision is about</w:t>
      </w:r>
      <w:r w:rsidRPr="00380510">
        <w:rPr>
          <w:rFonts w:ascii="Times" w:hAnsi="Times" w:cs="Times"/>
          <w:noProof/>
        </w:rPr>
        <w:tab/>
      </w:r>
      <w:r w:rsidRPr="00380510">
        <w:rPr>
          <w:rFonts w:ascii="Times" w:hAnsi="Times" w:cs="Times"/>
          <w:noProof/>
        </w:rPr>
        <w:fldChar w:fldCharType="begin"/>
      </w:r>
      <w:r w:rsidRPr="00380510">
        <w:rPr>
          <w:rFonts w:ascii="Times" w:hAnsi="Times" w:cs="Times"/>
          <w:noProof/>
        </w:rPr>
        <w:instrText xml:space="preserve"> PAGEREF _Toc338939122 \h </w:instrText>
      </w:r>
      <w:r w:rsidRPr="00380510">
        <w:rPr>
          <w:rFonts w:ascii="Times" w:hAnsi="Times" w:cs="Times"/>
          <w:noProof/>
        </w:rPr>
      </w:r>
      <w:r w:rsidRPr="00380510">
        <w:rPr>
          <w:rFonts w:ascii="Times" w:hAnsi="Times" w:cs="Times"/>
          <w:noProof/>
        </w:rPr>
        <w:fldChar w:fldCharType="separate"/>
      </w:r>
      <w:r w:rsidR="00623A5C">
        <w:rPr>
          <w:rFonts w:ascii="Times" w:hAnsi="Times" w:cs="Times"/>
          <w:noProof/>
        </w:rPr>
        <w:t>33</w:t>
      </w:r>
      <w:r w:rsidRPr="00380510">
        <w:rPr>
          <w:rFonts w:ascii="Times" w:hAnsi="Times" w:cs="Times"/>
          <w:noProof/>
        </w:rPr>
        <w:fldChar w:fldCharType="end"/>
      </w:r>
    </w:p>
    <w:p w:rsidR="00380510" w:rsidRDefault="00380510">
      <w:pPr>
        <w:pStyle w:val="TOC4"/>
        <w:rPr>
          <w:rFonts w:ascii="Calibri" w:hAnsi="Calibri"/>
          <w:b w:val="0"/>
          <w:noProof/>
          <w:kern w:val="0"/>
          <w:sz w:val="22"/>
          <w:szCs w:val="22"/>
        </w:rPr>
      </w:pPr>
      <w:r>
        <w:rPr>
          <w:noProof/>
        </w:rPr>
        <w:t>Operative provisions</w:t>
      </w:r>
      <w:r w:rsidRPr="00380510">
        <w:rPr>
          <w:rFonts w:ascii="Times" w:hAnsi="Times" w:cs="Times"/>
          <w:b w:val="0"/>
          <w:noProof/>
          <w:sz w:val="18"/>
        </w:rPr>
        <w:tab/>
      </w:r>
      <w:r w:rsidRPr="00380510">
        <w:rPr>
          <w:rFonts w:ascii="Times" w:hAnsi="Times" w:cs="Times"/>
          <w:b w:val="0"/>
          <w:noProof/>
          <w:sz w:val="18"/>
        </w:rPr>
        <w:fldChar w:fldCharType="begin"/>
      </w:r>
      <w:r w:rsidRPr="00380510">
        <w:rPr>
          <w:rFonts w:ascii="Times" w:hAnsi="Times" w:cs="Times"/>
          <w:b w:val="0"/>
          <w:noProof/>
          <w:sz w:val="18"/>
        </w:rPr>
        <w:instrText xml:space="preserve"> PAGEREF _Toc338939123 \h </w:instrText>
      </w:r>
      <w:r w:rsidRPr="00380510">
        <w:rPr>
          <w:rFonts w:ascii="Times" w:hAnsi="Times" w:cs="Times"/>
          <w:b w:val="0"/>
          <w:noProof/>
          <w:sz w:val="18"/>
        </w:rPr>
      </w:r>
      <w:r w:rsidRPr="00380510">
        <w:rPr>
          <w:rFonts w:ascii="Times" w:hAnsi="Times" w:cs="Times"/>
          <w:b w:val="0"/>
          <w:noProof/>
          <w:sz w:val="18"/>
        </w:rPr>
        <w:fldChar w:fldCharType="separate"/>
      </w:r>
      <w:r w:rsidR="00623A5C">
        <w:rPr>
          <w:rFonts w:ascii="Times" w:hAnsi="Times" w:cs="Times"/>
          <w:b w:val="0"/>
          <w:noProof/>
          <w:sz w:val="18"/>
        </w:rPr>
        <w:t>34</w:t>
      </w:r>
      <w:r w:rsidRPr="00380510">
        <w:rPr>
          <w:rFonts w:ascii="Times" w:hAnsi="Times" w:cs="Times"/>
          <w:b w:val="0"/>
          <w:noProof/>
          <w:sz w:val="18"/>
        </w:rPr>
        <w:fldChar w:fldCharType="end"/>
      </w:r>
    </w:p>
    <w:p w:rsidR="00380510" w:rsidRDefault="00380510">
      <w:pPr>
        <w:pStyle w:val="TOC5"/>
        <w:rPr>
          <w:rFonts w:ascii="Calibri" w:hAnsi="Calibri"/>
          <w:iCs w:val="0"/>
          <w:noProof/>
          <w:kern w:val="0"/>
          <w:sz w:val="22"/>
          <w:szCs w:val="22"/>
        </w:rPr>
      </w:pPr>
      <w:r>
        <w:rPr>
          <w:noProof/>
        </w:rPr>
        <w:t>770</w:t>
      </w:r>
      <w:r>
        <w:rPr>
          <w:noProof/>
        </w:rPr>
        <w:noBreakHyphen/>
        <w:t>70</w:t>
      </w:r>
      <w:r>
        <w:rPr>
          <w:noProof/>
        </w:rPr>
        <w:tab/>
        <w:t>Amount of foreign income tax offset</w:t>
      </w:r>
      <w:r w:rsidRPr="00380510">
        <w:rPr>
          <w:rFonts w:ascii="Times" w:hAnsi="Times" w:cs="Times"/>
          <w:noProof/>
        </w:rPr>
        <w:tab/>
      </w:r>
      <w:r w:rsidRPr="00380510">
        <w:rPr>
          <w:rFonts w:ascii="Times" w:hAnsi="Times" w:cs="Times"/>
          <w:noProof/>
        </w:rPr>
        <w:fldChar w:fldCharType="begin"/>
      </w:r>
      <w:r w:rsidRPr="00380510">
        <w:rPr>
          <w:rFonts w:ascii="Times" w:hAnsi="Times" w:cs="Times"/>
          <w:noProof/>
        </w:rPr>
        <w:instrText xml:space="preserve"> PAGEREF _Toc338939124 \h </w:instrText>
      </w:r>
      <w:r w:rsidRPr="00380510">
        <w:rPr>
          <w:rFonts w:ascii="Times" w:hAnsi="Times" w:cs="Times"/>
          <w:noProof/>
        </w:rPr>
      </w:r>
      <w:r w:rsidRPr="00380510">
        <w:rPr>
          <w:rFonts w:ascii="Times" w:hAnsi="Times" w:cs="Times"/>
          <w:noProof/>
        </w:rPr>
        <w:fldChar w:fldCharType="separate"/>
      </w:r>
      <w:r w:rsidR="00623A5C">
        <w:rPr>
          <w:rFonts w:ascii="Times" w:hAnsi="Times" w:cs="Times"/>
          <w:noProof/>
        </w:rPr>
        <w:t>34</w:t>
      </w:r>
      <w:r w:rsidRPr="00380510">
        <w:rPr>
          <w:rFonts w:ascii="Times" w:hAnsi="Times" w:cs="Times"/>
          <w:noProof/>
        </w:rPr>
        <w:fldChar w:fldCharType="end"/>
      </w:r>
    </w:p>
    <w:p w:rsidR="00380510" w:rsidRDefault="00380510">
      <w:pPr>
        <w:pStyle w:val="TOC5"/>
        <w:rPr>
          <w:rFonts w:ascii="Calibri" w:hAnsi="Calibri"/>
          <w:iCs w:val="0"/>
          <w:noProof/>
          <w:kern w:val="0"/>
          <w:sz w:val="22"/>
          <w:szCs w:val="22"/>
        </w:rPr>
      </w:pPr>
      <w:r>
        <w:rPr>
          <w:noProof/>
        </w:rPr>
        <w:t>770</w:t>
      </w:r>
      <w:r>
        <w:rPr>
          <w:noProof/>
        </w:rPr>
        <w:noBreakHyphen/>
        <w:t>75</w:t>
      </w:r>
      <w:r>
        <w:rPr>
          <w:noProof/>
        </w:rPr>
        <w:tab/>
        <w:t>Foreign income tax offset limit</w:t>
      </w:r>
      <w:r w:rsidRPr="00380510">
        <w:rPr>
          <w:rFonts w:ascii="Times" w:hAnsi="Times" w:cs="Times"/>
          <w:noProof/>
        </w:rPr>
        <w:tab/>
      </w:r>
      <w:r w:rsidRPr="00380510">
        <w:rPr>
          <w:rFonts w:ascii="Times" w:hAnsi="Times" w:cs="Times"/>
          <w:noProof/>
        </w:rPr>
        <w:fldChar w:fldCharType="begin"/>
      </w:r>
      <w:r w:rsidRPr="00380510">
        <w:rPr>
          <w:rFonts w:ascii="Times" w:hAnsi="Times" w:cs="Times"/>
          <w:noProof/>
        </w:rPr>
        <w:instrText xml:space="preserve"> PAGEREF _Toc338939125 \h </w:instrText>
      </w:r>
      <w:r w:rsidRPr="00380510">
        <w:rPr>
          <w:rFonts w:ascii="Times" w:hAnsi="Times" w:cs="Times"/>
          <w:noProof/>
        </w:rPr>
      </w:r>
      <w:r w:rsidRPr="00380510">
        <w:rPr>
          <w:rFonts w:ascii="Times" w:hAnsi="Times" w:cs="Times"/>
          <w:noProof/>
        </w:rPr>
        <w:fldChar w:fldCharType="separate"/>
      </w:r>
      <w:r w:rsidR="00623A5C">
        <w:rPr>
          <w:rFonts w:ascii="Times" w:hAnsi="Times" w:cs="Times"/>
          <w:noProof/>
        </w:rPr>
        <w:t>34</w:t>
      </w:r>
      <w:r w:rsidRPr="00380510">
        <w:rPr>
          <w:rFonts w:ascii="Times" w:hAnsi="Times" w:cs="Times"/>
          <w:noProof/>
        </w:rPr>
        <w:fldChar w:fldCharType="end"/>
      </w:r>
    </w:p>
    <w:p w:rsidR="00380510" w:rsidRDefault="00380510">
      <w:pPr>
        <w:pStyle w:val="TOC5"/>
        <w:rPr>
          <w:rFonts w:ascii="Calibri" w:hAnsi="Calibri"/>
          <w:iCs w:val="0"/>
          <w:noProof/>
          <w:kern w:val="0"/>
          <w:sz w:val="22"/>
          <w:szCs w:val="22"/>
        </w:rPr>
      </w:pPr>
      <w:r>
        <w:rPr>
          <w:noProof/>
        </w:rPr>
        <w:t>770</w:t>
      </w:r>
      <w:r>
        <w:rPr>
          <w:noProof/>
        </w:rPr>
        <w:noBreakHyphen/>
        <w:t>80</w:t>
      </w:r>
      <w:r>
        <w:rPr>
          <w:noProof/>
        </w:rPr>
        <w:tab/>
        <w:t xml:space="preserve">Increase in offset limit for tax paid on amounts to which section 23AI or 23AK of the </w:t>
      </w:r>
      <w:r w:rsidRPr="008A0EAA">
        <w:rPr>
          <w:i/>
          <w:noProof/>
        </w:rPr>
        <w:t xml:space="preserve">Income Tax Assessment Act 1936 </w:t>
      </w:r>
      <w:r>
        <w:rPr>
          <w:noProof/>
        </w:rPr>
        <w:t>apply</w:t>
      </w:r>
      <w:r w:rsidRPr="00380510">
        <w:rPr>
          <w:rFonts w:ascii="Times" w:hAnsi="Times" w:cs="Times"/>
          <w:noProof/>
        </w:rPr>
        <w:tab/>
      </w:r>
      <w:r w:rsidRPr="00380510">
        <w:rPr>
          <w:rFonts w:ascii="Times" w:hAnsi="Times" w:cs="Times"/>
          <w:noProof/>
        </w:rPr>
        <w:fldChar w:fldCharType="begin"/>
      </w:r>
      <w:r w:rsidRPr="00380510">
        <w:rPr>
          <w:rFonts w:ascii="Times" w:hAnsi="Times" w:cs="Times"/>
          <w:noProof/>
        </w:rPr>
        <w:instrText xml:space="preserve"> PAGEREF _Toc338939126 \h </w:instrText>
      </w:r>
      <w:r w:rsidRPr="00380510">
        <w:rPr>
          <w:rFonts w:ascii="Times" w:hAnsi="Times" w:cs="Times"/>
          <w:noProof/>
        </w:rPr>
      </w:r>
      <w:r w:rsidRPr="00380510">
        <w:rPr>
          <w:rFonts w:ascii="Times" w:hAnsi="Times" w:cs="Times"/>
          <w:noProof/>
        </w:rPr>
        <w:fldChar w:fldCharType="separate"/>
      </w:r>
      <w:r w:rsidR="00623A5C">
        <w:rPr>
          <w:rFonts w:ascii="Times" w:hAnsi="Times" w:cs="Times"/>
          <w:noProof/>
        </w:rPr>
        <w:t>35</w:t>
      </w:r>
      <w:r w:rsidRPr="00380510">
        <w:rPr>
          <w:rFonts w:ascii="Times" w:hAnsi="Times" w:cs="Times"/>
          <w:noProof/>
        </w:rPr>
        <w:fldChar w:fldCharType="end"/>
      </w:r>
    </w:p>
    <w:p w:rsidR="00380510" w:rsidRDefault="00380510">
      <w:pPr>
        <w:pStyle w:val="TOC4"/>
        <w:rPr>
          <w:rFonts w:ascii="Calibri" w:hAnsi="Calibri"/>
          <w:b w:val="0"/>
          <w:noProof/>
          <w:kern w:val="0"/>
          <w:sz w:val="22"/>
          <w:szCs w:val="22"/>
        </w:rPr>
      </w:pPr>
      <w:r>
        <w:rPr>
          <w:noProof/>
        </w:rPr>
        <w:t>Subdivision 770</w:t>
      </w:r>
      <w:r>
        <w:rPr>
          <w:noProof/>
        </w:rPr>
        <w:noBreakHyphen/>
        <w:t>C—Rules about payment of foreign income tax</w:t>
      </w:r>
      <w:r w:rsidRPr="00380510">
        <w:rPr>
          <w:rFonts w:ascii="Times" w:hAnsi="Times" w:cs="Times"/>
          <w:b w:val="0"/>
          <w:noProof/>
          <w:sz w:val="18"/>
        </w:rPr>
        <w:tab/>
      </w:r>
      <w:r w:rsidRPr="00380510">
        <w:rPr>
          <w:rFonts w:ascii="Times" w:hAnsi="Times" w:cs="Times"/>
          <w:b w:val="0"/>
          <w:noProof/>
          <w:sz w:val="18"/>
        </w:rPr>
        <w:fldChar w:fldCharType="begin"/>
      </w:r>
      <w:r w:rsidRPr="00380510">
        <w:rPr>
          <w:rFonts w:ascii="Times" w:hAnsi="Times" w:cs="Times"/>
          <w:b w:val="0"/>
          <w:noProof/>
          <w:sz w:val="18"/>
        </w:rPr>
        <w:instrText xml:space="preserve"> PAGEREF _Toc338939127 \h </w:instrText>
      </w:r>
      <w:r w:rsidRPr="00380510">
        <w:rPr>
          <w:rFonts w:ascii="Times" w:hAnsi="Times" w:cs="Times"/>
          <w:b w:val="0"/>
          <w:noProof/>
          <w:sz w:val="18"/>
        </w:rPr>
      </w:r>
      <w:r w:rsidRPr="00380510">
        <w:rPr>
          <w:rFonts w:ascii="Times" w:hAnsi="Times" w:cs="Times"/>
          <w:b w:val="0"/>
          <w:noProof/>
          <w:sz w:val="18"/>
        </w:rPr>
        <w:fldChar w:fldCharType="separate"/>
      </w:r>
      <w:r w:rsidR="00623A5C">
        <w:rPr>
          <w:rFonts w:ascii="Times" w:hAnsi="Times" w:cs="Times"/>
          <w:b w:val="0"/>
          <w:noProof/>
          <w:sz w:val="18"/>
        </w:rPr>
        <w:t>35</w:t>
      </w:r>
      <w:r w:rsidRPr="00380510">
        <w:rPr>
          <w:rFonts w:ascii="Times" w:hAnsi="Times" w:cs="Times"/>
          <w:b w:val="0"/>
          <w:noProof/>
          <w:sz w:val="18"/>
        </w:rPr>
        <w:fldChar w:fldCharType="end"/>
      </w:r>
    </w:p>
    <w:p w:rsidR="00380510" w:rsidRDefault="00380510">
      <w:pPr>
        <w:pStyle w:val="TOC4"/>
        <w:rPr>
          <w:rFonts w:ascii="Calibri" w:hAnsi="Calibri"/>
          <w:b w:val="0"/>
          <w:noProof/>
          <w:kern w:val="0"/>
          <w:sz w:val="22"/>
          <w:szCs w:val="22"/>
        </w:rPr>
      </w:pPr>
      <w:r>
        <w:rPr>
          <w:noProof/>
        </w:rPr>
        <w:t>Rules about when foreign tax is paid</w:t>
      </w:r>
      <w:r w:rsidRPr="00380510">
        <w:rPr>
          <w:rFonts w:ascii="Times" w:hAnsi="Times" w:cs="Times"/>
          <w:b w:val="0"/>
          <w:noProof/>
          <w:sz w:val="18"/>
        </w:rPr>
        <w:tab/>
      </w:r>
      <w:r w:rsidRPr="00380510">
        <w:rPr>
          <w:rFonts w:ascii="Times" w:hAnsi="Times" w:cs="Times"/>
          <w:b w:val="0"/>
          <w:noProof/>
          <w:sz w:val="18"/>
        </w:rPr>
        <w:fldChar w:fldCharType="begin"/>
      </w:r>
      <w:r w:rsidRPr="00380510">
        <w:rPr>
          <w:rFonts w:ascii="Times" w:hAnsi="Times" w:cs="Times"/>
          <w:b w:val="0"/>
          <w:noProof/>
          <w:sz w:val="18"/>
        </w:rPr>
        <w:instrText xml:space="preserve"> PAGEREF _Toc338939128 \h </w:instrText>
      </w:r>
      <w:r w:rsidRPr="00380510">
        <w:rPr>
          <w:rFonts w:ascii="Times" w:hAnsi="Times" w:cs="Times"/>
          <w:b w:val="0"/>
          <w:noProof/>
          <w:sz w:val="18"/>
        </w:rPr>
      </w:r>
      <w:r w:rsidRPr="00380510">
        <w:rPr>
          <w:rFonts w:ascii="Times" w:hAnsi="Times" w:cs="Times"/>
          <w:b w:val="0"/>
          <w:noProof/>
          <w:sz w:val="18"/>
        </w:rPr>
        <w:fldChar w:fldCharType="separate"/>
      </w:r>
      <w:r w:rsidR="00623A5C">
        <w:rPr>
          <w:rFonts w:ascii="Times" w:hAnsi="Times" w:cs="Times"/>
          <w:b w:val="0"/>
          <w:noProof/>
          <w:sz w:val="18"/>
        </w:rPr>
        <w:t>36</w:t>
      </w:r>
      <w:r w:rsidRPr="00380510">
        <w:rPr>
          <w:rFonts w:ascii="Times" w:hAnsi="Times" w:cs="Times"/>
          <w:b w:val="0"/>
          <w:noProof/>
          <w:sz w:val="18"/>
        </w:rPr>
        <w:fldChar w:fldCharType="end"/>
      </w:r>
    </w:p>
    <w:p w:rsidR="00380510" w:rsidRDefault="00380510">
      <w:pPr>
        <w:pStyle w:val="TOC5"/>
        <w:rPr>
          <w:rFonts w:ascii="Calibri" w:hAnsi="Calibri"/>
          <w:iCs w:val="0"/>
          <w:noProof/>
          <w:kern w:val="0"/>
          <w:sz w:val="22"/>
          <w:szCs w:val="22"/>
        </w:rPr>
      </w:pPr>
      <w:r>
        <w:rPr>
          <w:noProof/>
        </w:rPr>
        <w:t>770</w:t>
      </w:r>
      <w:r>
        <w:rPr>
          <w:noProof/>
        </w:rPr>
        <w:noBreakHyphen/>
        <w:t>130</w:t>
      </w:r>
      <w:r>
        <w:rPr>
          <w:noProof/>
        </w:rPr>
        <w:tab/>
        <w:t>When foreign income tax is considered paid—taxes paid by someone else</w:t>
      </w:r>
      <w:r w:rsidRPr="00380510">
        <w:rPr>
          <w:rFonts w:ascii="Times" w:hAnsi="Times" w:cs="Times"/>
          <w:noProof/>
        </w:rPr>
        <w:tab/>
      </w:r>
      <w:r w:rsidRPr="00380510">
        <w:rPr>
          <w:rFonts w:ascii="Times" w:hAnsi="Times" w:cs="Times"/>
          <w:noProof/>
        </w:rPr>
        <w:fldChar w:fldCharType="begin"/>
      </w:r>
      <w:r w:rsidRPr="00380510">
        <w:rPr>
          <w:rFonts w:ascii="Times" w:hAnsi="Times" w:cs="Times"/>
          <w:noProof/>
        </w:rPr>
        <w:instrText xml:space="preserve"> PAGEREF _Toc338939129 \h </w:instrText>
      </w:r>
      <w:r w:rsidRPr="00380510">
        <w:rPr>
          <w:rFonts w:ascii="Times" w:hAnsi="Times" w:cs="Times"/>
          <w:noProof/>
        </w:rPr>
      </w:r>
      <w:r w:rsidRPr="00380510">
        <w:rPr>
          <w:rFonts w:ascii="Times" w:hAnsi="Times" w:cs="Times"/>
          <w:noProof/>
        </w:rPr>
        <w:fldChar w:fldCharType="separate"/>
      </w:r>
      <w:r w:rsidR="00623A5C">
        <w:rPr>
          <w:rFonts w:ascii="Times" w:hAnsi="Times" w:cs="Times"/>
          <w:noProof/>
        </w:rPr>
        <w:t>36</w:t>
      </w:r>
      <w:r w:rsidRPr="00380510">
        <w:rPr>
          <w:rFonts w:ascii="Times" w:hAnsi="Times" w:cs="Times"/>
          <w:noProof/>
        </w:rPr>
        <w:fldChar w:fldCharType="end"/>
      </w:r>
    </w:p>
    <w:p w:rsidR="00380510" w:rsidRDefault="00380510">
      <w:pPr>
        <w:pStyle w:val="TOC5"/>
        <w:rPr>
          <w:rFonts w:ascii="Calibri" w:hAnsi="Calibri"/>
          <w:iCs w:val="0"/>
          <w:noProof/>
          <w:kern w:val="0"/>
          <w:sz w:val="22"/>
          <w:szCs w:val="22"/>
        </w:rPr>
      </w:pPr>
      <w:r>
        <w:rPr>
          <w:noProof/>
        </w:rPr>
        <w:t>770</w:t>
      </w:r>
      <w:r>
        <w:rPr>
          <w:noProof/>
        </w:rPr>
        <w:noBreakHyphen/>
        <w:t>135</w:t>
      </w:r>
      <w:r>
        <w:rPr>
          <w:noProof/>
        </w:rPr>
        <w:tab/>
        <w:t>Foreign income tax paid by CFCs on attributed amounts</w:t>
      </w:r>
      <w:r w:rsidRPr="00380510">
        <w:rPr>
          <w:rFonts w:ascii="Times" w:hAnsi="Times" w:cs="Times"/>
          <w:noProof/>
        </w:rPr>
        <w:tab/>
      </w:r>
      <w:r w:rsidRPr="00380510">
        <w:rPr>
          <w:rFonts w:ascii="Times" w:hAnsi="Times" w:cs="Times"/>
          <w:noProof/>
        </w:rPr>
        <w:fldChar w:fldCharType="begin"/>
      </w:r>
      <w:r w:rsidRPr="00380510">
        <w:rPr>
          <w:rFonts w:ascii="Times" w:hAnsi="Times" w:cs="Times"/>
          <w:noProof/>
        </w:rPr>
        <w:instrText xml:space="preserve"> PAGEREF _Toc338939130 \h </w:instrText>
      </w:r>
      <w:r w:rsidRPr="00380510">
        <w:rPr>
          <w:rFonts w:ascii="Times" w:hAnsi="Times" w:cs="Times"/>
          <w:noProof/>
        </w:rPr>
      </w:r>
      <w:r w:rsidRPr="00380510">
        <w:rPr>
          <w:rFonts w:ascii="Times" w:hAnsi="Times" w:cs="Times"/>
          <w:noProof/>
        </w:rPr>
        <w:fldChar w:fldCharType="separate"/>
      </w:r>
      <w:r w:rsidR="00623A5C">
        <w:rPr>
          <w:rFonts w:ascii="Times" w:hAnsi="Times" w:cs="Times"/>
          <w:noProof/>
        </w:rPr>
        <w:t>37</w:t>
      </w:r>
      <w:r w:rsidRPr="00380510">
        <w:rPr>
          <w:rFonts w:ascii="Times" w:hAnsi="Times" w:cs="Times"/>
          <w:noProof/>
        </w:rPr>
        <w:fldChar w:fldCharType="end"/>
      </w:r>
    </w:p>
    <w:p w:rsidR="00380510" w:rsidRDefault="00380510">
      <w:pPr>
        <w:pStyle w:val="TOC4"/>
        <w:rPr>
          <w:rFonts w:ascii="Calibri" w:hAnsi="Calibri"/>
          <w:b w:val="0"/>
          <w:noProof/>
          <w:kern w:val="0"/>
          <w:sz w:val="22"/>
          <w:szCs w:val="22"/>
        </w:rPr>
      </w:pPr>
      <w:r>
        <w:rPr>
          <w:noProof/>
        </w:rPr>
        <w:t>Rules about when foreign tax is considered not paid</w:t>
      </w:r>
      <w:r w:rsidRPr="00380510">
        <w:rPr>
          <w:rFonts w:ascii="Times" w:hAnsi="Times" w:cs="Times"/>
          <w:b w:val="0"/>
          <w:noProof/>
          <w:sz w:val="18"/>
        </w:rPr>
        <w:tab/>
      </w:r>
      <w:r w:rsidRPr="00380510">
        <w:rPr>
          <w:rFonts w:ascii="Times" w:hAnsi="Times" w:cs="Times"/>
          <w:b w:val="0"/>
          <w:noProof/>
          <w:sz w:val="18"/>
        </w:rPr>
        <w:fldChar w:fldCharType="begin"/>
      </w:r>
      <w:r w:rsidRPr="00380510">
        <w:rPr>
          <w:rFonts w:ascii="Times" w:hAnsi="Times" w:cs="Times"/>
          <w:b w:val="0"/>
          <w:noProof/>
          <w:sz w:val="18"/>
        </w:rPr>
        <w:instrText xml:space="preserve"> PAGEREF _Toc338939131 \h </w:instrText>
      </w:r>
      <w:r w:rsidRPr="00380510">
        <w:rPr>
          <w:rFonts w:ascii="Times" w:hAnsi="Times" w:cs="Times"/>
          <w:b w:val="0"/>
          <w:noProof/>
          <w:sz w:val="18"/>
        </w:rPr>
      </w:r>
      <w:r w:rsidRPr="00380510">
        <w:rPr>
          <w:rFonts w:ascii="Times" w:hAnsi="Times" w:cs="Times"/>
          <w:b w:val="0"/>
          <w:noProof/>
          <w:sz w:val="18"/>
        </w:rPr>
        <w:fldChar w:fldCharType="separate"/>
      </w:r>
      <w:r w:rsidR="00623A5C">
        <w:rPr>
          <w:rFonts w:ascii="Times" w:hAnsi="Times" w:cs="Times"/>
          <w:b w:val="0"/>
          <w:noProof/>
          <w:sz w:val="18"/>
        </w:rPr>
        <w:t>39</w:t>
      </w:r>
      <w:r w:rsidRPr="00380510">
        <w:rPr>
          <w:rFonts w:ascii="Times" w:hAnsi="Times" w:cs="Times"/>
          <w:b w:val="0"/>
          <w:noProof/>
          <w:sz w:val="18"/>
        </w:rPr>
        <w:fldChar w:fldCharType="end"/>
      </w:r>
    </w:p>
    <w:p w:rsidR="00380510" w:rsidRDefault="00380510">
      <w:pPr>
        <w:pStyle w:val="TOC5"/>
        <w:rPr>
          <w:rFonts w:ascii="Calibri" w:hAnsi="Calibri"/>
          <w:iCs w:val="0"/>
          <w:noProof/>
          <w:kern w:val="0"/>
          <w:sz w:val="22"/>
          <w:szCs w:val="22"/>
        </w:rPr>
      </w:pPr>
      <w:r>
        <w:rPr>
          <w:noProof/>
        </w:rPr>
        <w:t>770</w:t>
      </w:r>
      <w:r>
        <w:rPr>
          <w:noProof/>
        </w:rPr>
        <w:noBreakHyphen/>
        <w:t>140</w:t>
      </w:r>
      <w:r>
        <w:rPr>
          <w:noProof/>
        </w:rPr>
        <w:tab/>
        <w:t>When foreign income tax is considered not paid—anti</w:t>
      </w:r>
      <w:r>
        <w:rPr>
          <w:noProof/>
        </w:rPr>
        <w:noBreakHyphen/>
        <w:t>avoidance rule</w:t>
      </w:r>
      <w:r w:rsidRPr="00380510">
        <w:rPr>
          <w:rFonts w:ascii="Times" w:hAnsi="Times" w:cs="Times"/>
          <w:noProof/>
        </w:rPr>
        <w:tab/>
      </w:r>
      <w:r w:rsidRPr="00380510">
        <w:rPr>
          <w:rFonts w:ascii="Times" w:hAnsi="Times" w:cs="Times"/>
          <w:noProof/>
        </w:rPr>
        <w:fldChar w:fldCharType="begin"/>
      </w:r>
      <w:r w:rsidRPr="00380510">
        <w:rPr>
          <w:rFonts w:ascii="Times" w:hAnsi="Times" w:cs="Times"/>
          <w:noProof/>
        </w:rPr>
        <w:instrText xml:space="preserve"> PAGEREF _Toc338939132 \h </w:instrText>
      </w:r>
      <w:r w:rsidRPr="00380510">
        <w:rPr>
          <w:rFonts w:ascii="Times" w:hAnsi="Times" w:cs="Times"/>
          <w:noProof/>
        </w:rPr>
      </w:r>
      <w:r w:rsidRPr="00380510">
        <w:rPr>
          <w:rFonts w:ascii="Times" w:hAnsi="Times" w:cs="Times"/>
          <w:noProof/>
        </w:rPr>
        <w:fldChar w:fldCharType="separate"/>
      </w:r>
      <w:r w:rsidR="00623A5C">
        <w:rPr>
          <w:rFonts w:ascii="Times" w:hAnsi="Times" w:cs="Times"/>
          <w:noProof/>
        </w:rPr>
        <w:t>39</w:t>
      </w:r>
      <w:r w:rsidRPr="00380510">
        <w:rPr>
          <w:rFonts w:ascii="Times" w:hAnsi="Times" w:cs="Times"/>
          <w:noProof/>
        </w:rPr>
        <w:fldChar w:fldCharType="end"/>
      </w:r>
    </w:p>
    <w:p w:rsidR="00380510" w:rsidRDefault="00380510">
      <w:pPr>
        <w:pStyle w:val="TOC4"/>
        <w:rPr>
          <w:rFonts w:ascii="Calibri" w:hAnsi="Calibri"/>
          <w:b w:val="0"/>
          <w:noProof/>
          <w:kern w:val="0"/>
          <w:sz w:val="22"/>
          <w:szCs w:val="22"/>
        </w:rPr>
      </w:pPr>
      <w:r>
        <w:rPr>
          <w:noProof/>
        </w:rPr>
        <w:t>Subdivision 770</w:t>
      </w:r>
      <w:r>
        <w:rPr>
          <w:noProof/>
        </w:rPr>
        <w:noBreakHyphen/>
        <w:t>D—Administration</w:t>
      </w:r>
      <w:r w:rsidRPr="00380510">
        <w:rPr>
          <w:rFonts w:ascii="Times" w:hAnsi="Times" w:cs="Times"/>
          <w:b w:val="0"/>
          <w:noProof/>
          <w:sz w:val="18"/>
        </w:rPr>
        <w:tab/>
      </w:r>
      <w:r w:rsidRPr="00380510">
        <w:rPr>
          <w:rFonts w:ascii="Times" w:hAnsi="Times" w:cs="Times"/>
          <w:b w:val="0"/>
          <w:noProof/>
          <w:sz w:val="18"/>
        </w:rPr>
        <w:fldChar w:fldCharType="begin"/>
      </w:r>
      <w:r w:rsidRPr="00380510">
        <w:rPr>
          <w:rFonts w:ascii="Times" w:hAnsi="Times" w:cs="Times"/>
          <w:b w:val="0"/>
          <w:noProof/>
          <w:sz w:val="18"/>
        </w:rPr>
        <w:instrText xml:space="preserve"> PAGEREF _Toc338939133 \h </w:instrText>
      </w:r>
      <w:r w:rsidRPr="00380510">
        <w:rPr>
          <w:rFonts w:ascii="Times" w:hAnsi="Times" w:cs="Times"/>
          <w:b w:val="0"/>
          <w:noProof/>
          <w:sz w:val="18"/>
        </w:rPr>
      </w:r>
      <w:r w:rsidRPr="00380510">
        <w:rPr>
          <w:rFonts w:ascii="Times" w:hAnsi="Times" w:cs="Times"/>
          <w:b w:val="0"/>
          <w:noProof/>
          <w:sz w:val="18"/>
        </w:rPr>
        <w:fldChar w:fldCharType="separate"/>
      </w:r>
      <w:r w:rsidR="00623A5C">
        <w:rPr>
          <w:rFonts w:ascii="Times" w:hAnsi="Times" w:cs="Times"/>
          <w:b w:val="0"/>
          <w:noProof/>
          <w:sz w:val="18"/>
        </w:rPr>
        <w:t>39</w:t>
      </w:r>
      <w:r w:rsidRPr="00380510">
        <w:rPr>
          <w:rFonts w:ascii="Times" w:hAnsi="Times" w:cs="Times"/>
          <w:b w:val="0"/>
          <w:noProof/>
          <w:sz w:val="18"/>
        </w:rPr>
        <w:fldChar w:fldCharType="end"/>
      </w:r>
    </w:p>
    <w:p w:rsidR="00380510" w:rsidRDefault="00380510">
      <w:pPr>
        <w:pStyle w:val="TOC5"/>
        <w:rPr>
          <w:rFonts w:ascii="Calibri" w:hAnsi="Calibri"/>
          <w:iCs w:val="0"/>
          <w:noProof/>
          <w:kern w:val="0"/>
          <w:sz w:val="22"/>
          <w:szCs w:val="22"/>
        </w:rPr>
      </w:pPr>
      <w:r>
        <w:rPr>
          <w:noProof/>
        </w:rPr>
        <w:t>770</w:t>
      </w:r>
      <w:r>
        <w:rPr>
          <w:noProof/>
        </w:rPr>
        <w:noBreakHyphen/>
        <w:t>190</w:t>
      </w:r>
      <w:r>
        <w:rPr>
          <w:noProof/>
        </w:rPr>
        <w:tab/>
        <w:t>Amendment of assessments</w:t>
      </w:r>
      <w:r w:rsidRPr="00380510">
        <w:rPr>
          <w:rFonts w:ascii="Times" w:hAnsi="Times" w:cs="Times"/>
          <w:noProof/>
        </w:rPr>
        <w:tab/>
      </w:r>
      <w:r w:rsidRPr="00380510">
        <w:rPr>
          <w:rFonts w:ascii="Times" w:hAnsi="Times" w:cs="Times"/>
          <w:noProof/>
        </w:rPr>
        <w:fldChar w:fldCharType="begin"/>
      </w:r>
      <w:r w:rsidRPr="00380510">
        <w:rPr>
          <w:rFonts w:ascii="Times" w:hAnsi="Times" w:cs="Times"/>
          <w:noProof/>
        </w:rPr>
        <w:instrText xml:space="preserve"> PAGEREF _Toc338939134 \h </w:instrText>
      </w:r>
      <w:r w:rsidRPr="00380510">
        <w:rPr>
          <w:rFonts w:ascii="Times" w:hAnsi="Times" w:cs="Times"/>
          <w:noProof/>
        </w:rPr>
      </w:r>
      <w:r w:rsidRPr="00380510">
        <w:rPr>
          <w:rFonts w:ascii="Times" w:hAnsi="Times" w:cs="Times"/>
          <w:noProof/>
        </w:rPr>
        <w:fldChar w:fldCharType="separate"/>
      </w:r>
      <w:r w:rsidR="00623A5C">
        <w:rPr>
          <w:rFonts w:ascii="Times" w:hAnsi="Times" w:cs="Times"/>
          <w:noProof/>
        </w:rPr>
        <w:t>39</w:t>
      </w:r>
      <w:r w:rsidRPr="00380510">
        <w:rPr>
          <w:rFonts w:ascii="Times" w:hAnsi="Times" w:cs="Times"/>
          <w:noProof/>
        </w:rPr>
        <w:fldChar w:fldCharType="end"/>
      </w:r>
    </w:p>
    <w:p w:rsidR="00380510" w:rsidRDefault="00380510">
      <w:pPr>
        <w:pStyle w:val="TOC3"/>
        <w:rPr>
          <w:rFonts w:ascii="Calibri" w:hAnsi="Calibri"/>
          <w:b w:val="0"/>
          <w:noProof/>
          <w:kern w:val="0"/>
          <w:szCs w:val="22"/>
        </w:rPr>
      </w:pPr>
      <w:r>
        <w:rPr>
          <w:noProof/>
        </w:rPr>
        <w:lastRenderedPageBreak/>
        <w:t>Division 775—Foreign currency gains and losses</w:t>
      </w:r>
      <w:r w:rsidRPr="00380510">
        <w:rPr>
          <w:rFonts w:ascii="Times" w:hAnsi="Times" w:cs="Times"/>
          <w:b w:val="0"/>
          <w:noProof/>
          <w:sz w:val="18"/>
        </w:rPr>
        <w:tab/>
      </w:r>
      <w:r w:rsidRPr="00380510">
        <w:rPr>
          <w:rFonts w:ascii="Times" w:hAnsi="Times" w:cs="Times"/>
          <w:b w:val="0"/>
          <w:noProof/>
          <w:sz w:val="18"/>
        </w:rPr>
        <w:fldChar w:fldCharType="begin"/>
      </w:r>
      <w:r w:rsidRPr="00380510">
        <w:rPr>
          <w:rFonts w:ascii="Times" w:hAnsi="Times" w:cs="Times"/>
          <w:b w:val="0"/>
          <w:noProof/>
          <w:sz w:val="18"/>
        </w:rPr>
        <w:instrText xml:space="preserve"> PAGEREF _Toc338939135 \h </w:instrText>
      </w:r>
      <w:r w:rsidRPr="00380510">
        <w:rPr>
          <w:rFonts w:ascii="Times" w:hAnsi="Times" w:cs="Times"/>
          <w:b w:val="0"/>
          <w:noProof/>
          <w:sz w:val="18"/>
        </w:rPr>
      </w:r>
      <w:r w:rsidRPr="00380510">
        <w:rPr>
          <w:rFonts w:ascii="Times" w:hAnsi="Times" w:cs="Times"/>
          <w:b w:val="0"/>
          <w:noProof/>
          <w:sz w:val="18"/>
        </w:rPr>
        <w:fldChar w:fldCharType="separate"/>
      </w:r>
      <w:r w:rsidR="00623A5C">
        <w:rPr>
          <w:rFonts w:ascii="Times" w:hAnsi="Times" w:cs="Times"/>
          <w:b w:val="0"/>
          <w:noProof/>
          <w:sz w:val="18"/>
        </w:rPr>
        <w:t>40</w:t>
      </w:r>
      <w:r w:rsidRPr="00380510">
        <w:rPr>
          <w:rFonts w:ascii="Times" w:hAnsi="Times" w:cs="Times"/>
          <w:b w:val="0"/>
          <w:noProof/>
          <w:sz w:val="18"/>
        </w:rPr>
        <w:fldChar w:fldCharType="end"/>
      </w:r>
    </w:p>
    <w:p w:rsidR="00380510" w:rsidRDefault="00380510">
      <w:pPr>
        <w:pStyle w:val="TOC4"/>
        <w:rPr>
          <w:rFonts w:ascii="Calibri" w:hAnsi="Calibri"/>
          <w:b w:val="0"/>
          <w:noProof/>
          <w:kern w:val="0"/>
          <w:sz w:val="22"/>
          <w:szCs w:val="22"/>
        </w:rPr>
      </w:pPr>
      <w:r>
        <w:rPr>
          <w:noProof/>
        </w:rPr>
        <w:t>Guide to Division 775</w:t>
      </w:r>
      <w:r w:rsidRPr="00380510">
        <w:rPr>
          <w:rFonts w:ascii="Times" w:hAnsi="Times" w:cs="Times"/>
          <w:b w:val="0"/>
          <w:noProof/>
          <w:sz w:val="18"/>
        </w:rPr>
        <w:tab/>
      </w:r>
      <w:r w:rsidRPr="00380510">
        <w:rPr>
          <w:rFonts w:ascii="Times" w:hAnsi="Times" w:cs="Times"/>
          <w:b w:val="0"/>
          <w:noProof/>
          <w:sz w:val="18"/>
        </w:rPr>
        <w:fldChar w:fldCharType="begin"/>
      </w:r>
      <w:r w:rsidRPr="00380510">
        <w:rPr>
          <w:rFonts w:ascii="Times" w:hAnsi="Times" w:cs="Times"/>
          <w:b w:val="0"/>
          <w:noProof/>
          <w:sz w:val="18"/>
        </w:rPr>
        <w:instrText xml:space="preserve"> PAGEREF _Toc338939136 \h </w:instrText>
      </w:r>
      <w:r w:rsidRPr="00380510">
        <w:rPr>
          <w:rFonts w:ascii="Times" w:hAnsi="Times" w:cs="Times"/>
          <w:b w:val="0"/>
          <w:noProof/>
          <w:sz w:val="18"/>
        </w:rPr>
      </w:r>
      <w:r w:rsidRPr="00380510">
        <w:rPr>
          <w:rFonts w:ascii="Times" w:hAnsi="Times" w:cs="Times"/>
          <w:b w:val="0"/>
          <w:noProof/>
          <w:sz w:val="18"/>
        </w:rPr>
        <w:fldChar w:fldCharType="separate"/>
      </w:r>
      <w:r w:rsidR="00623A5C">
        <w:rPr>
          <w:rFonts w:ascii="Times" w:hAnsi="Times" w:cs="Times"/>
          <w:b w:val="0"/>
          <w:noProof/>
          <w:sz w:val="18"/>
        </w:rPr>
        <w:t>40</w:t>
      </w:r>
      <w:r w:rsidRPr="00380510">
        <w:rPr>
          <w:rFonts w:ascii="Times" w:hAnsi="Times" w:cs="Times"/>
          <w:b w:val="0"/>
          <w:noProof/>
          <w:sz w:val="18"/>
        </w:rPr>
        <w:fldChar w:fldCharType="end"/>
      </w:r>
    </w:p>
    <w:p w:rsidR="00380510" w:rsidRDefault="00380510">
      <w:pPr>
        <w:pStyle w:val="TOC5"/>
        <w:rPr>
          <w:rFonts w:ascii="Calibri" w:hAnsi="Calibri"/>
          <w:iCs w:val="0"/>
          <w:noProof/>
          <w:kern w:val="0"/>
          <w:sz w:val="22"/>
          <w:szCs w:val="22"/>
        </w:rPr>
      </w:pPr>
      <w:r>
        <w:rPr>
          <w:noProof/>
        </w:rPr>
        <w:t>775</w:t>
      </w:r>
      <w:r>
        <w:rPr>
          <w:noProof/>
        </w:rPr>
        <w:noBreakHyphen/>
        <w:t>5</w:t>
      </w:r>
      <w:r>
        <w:rPr>
          <w:noProof/>
        </w:rPr>
        <w:tab/>
        <w:t>What this Division is about</w:t>
      </w:r>
      <w:r w:rsidRPr="00380510">
        <w:rPr>
          <w:rFonts w:ascii="Times" w:hAnsi="Times" w:cs="Times"/>
          <w:noProof/>
        </w:rPr>
        <w:tab/>
      </w:r>
      <w:r w:rsidRPr="00380510">
        <w:rPr>
          <w:rFonts w:ascii="Times" w:hAnsi="Times" w:cs="Times"/>
          <w:noProof/>
        </w:rPr>
        <w:fldChar w:fldCharType="begin"/>
      </w:r>
      <w:r w:rsidRPr="00380510">
        <w:rPr>
          <w:rFonts w:ascii="Times" w:hAnsi="Times" w:cs="Times"/>
          <w:noProof/>
        </w:rPr>
        <w:instrText xml:space="preserve"> PAGEREF _Toc338939137 \h </w:instrText>
      </w:r>
      <w:r w:rsidRPr="00380510">
        <w:rPr>
          <w:rFonts w:ascii="Times" w:hAnsi="Times" w:cs="Times"/>
          <w:noProof/>
        </w:rPr>
      </w:r>
      <w:r w:rsidRPr="00380510">
        <w:rPr>
          <w:rFonts w:ascii="Times" w:hAnsi="Times" w:cs="Times"/>
          <w:noProof/>
        </w:rPr>
        <w:fldChar w:fldCharType="separate"/>
      </w:r>
      <w:r w:rsidR="00623A5C">
        <w:rPr>
          <w:rFonts w:ascii="Times" w:hAnsi="Times" w:cs="Times"/>
          <w:noProof/>
        </w:rPr>
        <w:t>40</w:t>
      </w:r>
      <w:r w:rsidRPr="00380510">
        <w:rPr>
          <w:rFonts w:ascii="Times" w:hAnsi="Times" w:cs="Times"/>
          <w:noProof/>
        </w:rPr>
        <w:fldChar w:fldCharType="end"/>
      </w:r>
    </w:p>
    <w:p w:rsidR="00380510" w:rsidRDefault="00380510">
      <w:pPr>
        <w:pStyle w:val="TOC4"/>
        <w:rPr>
          <w:rFonts w:ascii="Calibri" w:hAnsi="Calibri"/>
          <w:b w:val="0"/>
          <w:noProof/>
          <w:kern w:val="0"/>
          <w:sz w:val="22"/>
          <w:szCs w:val="22"/>
        </w:rPr>
      </w:pPr>
      <w:r>
        <w:rPr>
          <w:noProof/>
        </w:rPr>
        <w:t>Subdivision 775</w:t>
      </w:r>
      <w:r>
        <w:rPr>
          <w:noProof/>
        </w:rPr>
        <w:noBreakHyphen/>
        <w:t>A—Objects of this Division</w:t>
      </w:r>
      <w:r w:rsidRPr="00380510">
        <w:rPr>
          <w:rFonts w:ascii="Times" w:hAnsi="Times" w:cs="Times"/>
          <w:b w:val="0"/>
          <w:noProof/>
          <w:sz w:val="18"/>
        </w:rPr>
        <w:tab/>
      </w:r>
      <w:r w:rsidRPr="00380510">
        <w:rPr>
          <w:rFonts w:ascii="Times" w:hAnsi="Times" w:cs="Times"/>
          <w:b w:val="0"/>
          <w:noProof/>
          <w:sz w:val="18"/>
        </w:rPr>
        <w:fldChar w:fldCharType="begin"/>
      </w:r>
      <w:r w:rsidRPr="00380510">
        <w:rPr>
          <w:rFonts w:ascii="Times" w:hAnsi="Times" w:cs="Times"/>
          <w:b w:val="0"/>
          <w:noProof/>
          <w:sz w:val="18"/>
        </w:rPr>
        <w:instrText xml:space="preserve"> PAGEREF _Toc338939138 \h </w:instrText>
      </w:r>
      <w:r w:rsidRPr="00380510">
        <w:rPr>
          <w:rFonts w:ascii="Times" w:hAnsi="Times" w:cs="Times"/>
          <w:b w:val="0"/>
          <w:noProof/>
          <w:sz w:val="18"/>
        </w:rPr>
      </w:r>
      <w:r w:rsidRPr="00380510">
        <w:rPr>
          <w:rFonts w:ascii="Times" w:hAnsi="Times" w:cs="Times"/>
          <w:b w:val="0"/>
          <w:noProof/>
          <w:sz w:val="18"/>
        </w:rPr>
        <w:fldChar w:fldCharType="separate"/>
      </w:r>
      <w:r w:rsidR="00623A5C">
        <w:rPr>
          <w:rFonts w:ascii="Times" w:hAnsi="Times" w:cs="Times"/>
          <w:b w:val="0"/>
          <w:noProof/>
          <w:sz w:val="18"/>
        </w:rPr>
        <w:t>41</w:t>
      </w:r>
      <w:r w:rsidRPr="00380510">
        <w:rPr>
          <w:rFonts w:ascii="Times" w:hAnsi="Times" w:cs="Times"/>
          <w:b w:val="0"/>
          <w:noProof/>
          <w:sz w:val="18"/>
        </w:rPr>
        <w:fldChar w:fldCharType="end"/>
      </w:r>
    </w:p>
    <w:p w:rsidR="00380510" w:rsidRDefault="00380510">
      <w:pPr>
        <w:pStyle w:val="TOC5"/>
        <w:rPr>
          <w:rFonts w:ascii="Calibri" w:hAnsi="Calibri"/>
          <w:iCs w:val="0"/>
          <w:noProof/>
          <w:kern w:val="0"/>
          <w:sz w:val="22"/>
          <w:szCs w:val="22"/>
        </w:rPr>
      </w:pPr>
      <w:r>
        <w:rPr>
          <w:noProof/>
        </w:rPr>
        <w:t>775</w:t>
      </w:r>
      <w:r>
        <w:rPr>
          <w:noProof/>
        </w:rPr>
        <w:noBreakHyphen/>
        <w:t>10</w:t>
      </w:r>
      <w:r>
        <w:rPr>
          <w:noProof/>
        </w:rPr>
        <w:tab/>
        <w:t>Objects of this Division</w:t>
      </w:r>
      <w:r w:rsidRPr="00380510">
        <w:rPr>
          <w:rFonts w:ascii="Times" w:hAnsi="Times" w:cs="Times"/>
          <w:noProof/>
        </w:rPr>
        <w:tab/>
      </w:r>
      <w:r w:rsidRPr="00380510">
        <w:rPr>
          <w:rFonts w:ascii="Times" w:hAnsi="Times" w:cs="Times"/>
          <w:noProof/>
        </w:rPr>
        <w:fldChar w:fldCharType="begin"/>
      </w:r>
      <w:r w:rsidRPr="00380510">
        <w:rPr>
          <w:rFonts w:ascii="Times" w:hAnsi="Times" w:cs="Times"/>
          <w:noProof/>
        </w:rPr>
        <w:instrText xml:space="preserve"> PAGEREF _Toc338939139 \h </w:instrText>
      </w:r>
      <w:r w:rsidRPr="00380510">
        <w:rPr>
          <w:rFonts w:ascii="Times" w:hAnsi="Times" w:cs="Times"/>
          <w:noProof/>
        </w:rPr>
      </w:r>
      <w:r w:rsidRPr="00380510">
        <w:rPr>
          <w:rFonts w:ascii="Times" w:hAnsi="Times" w:cs="Times"/>
          <w:noProof/>
        </w:rPr>
        <w:fldChar w:fldCharType="separate"/>
      </w:r>
      <w:r w:rsidR="00623A5C">
        <w:rPr>
          <w:rFonts w:ascii="Times" w:hAnsi="Times" w:cs="Times"/>
          <w:noProof/>
        </w:rPr>
        <w:t>41</w:t>
      </w:r>
      <w:r w:rsidRPr="00380510">
        <w:rPr>
          <w:rFonts w:ascii="Times" w:hAnsi="Times" w:cs="Times"/>
          <w:noProof/>
        </w:rPr>
        <w:fldChar w:fldCharType="end"/>
      </w:r>
    </w:p>
    <w:p w:rsidR="00380510" w:rsidRDefault="00380510">
      <w:pPr>
        <w:pStyle w:val="TOC4"/>
        <w:rPr>
          <w:rFonts w:ascii="Calibri" w:hAnsi="Calibri"/>
          <w:b w:val="0"/>
          <w:noProof/>
          <w:kern w:val="0"/>
          <w:sz w:val="22"/>
          <w:szCs w:val="22"/>
        </w:rPr>
      </w:pPr>
      <w:r>
        <w:rPr>
          <w:noProof/>
        </w:rPr>
        <w:t>Subdivision 775</w:t>
      </w:r>
      <w:r>
        <w:rPr>
          <w:noProof/>
        </w:rPr>
        <w:noBreakHyphen/>
        <w:t>B—Realisation of forex gains or losses</w:t>
      </w:r>
      <w:r w:rsidRPr="00380510">
        <w:rPr>
          <w:rFonts w:ascii="Times" w:hAnsi="Times" w:cs="Times"/>
          <w:b w:val="0"/>
          <w:noProof/>
          <w:sz w:val="18"/>
        </w:rPr>
        <w:tab/>
      </w:r>
      <w:r w:rsidRPr="00380510">
        <w:rPr>
          <w:rFonts w:ascii="Times" w:hAnsi="Times" w:cs="Times"/>
          <w:b w:val="0"/>
          <w:noProof/>
          <w:sz w:val="18"/>
        </w:rPr>
        <w:fldChar w:fldCharType="begin"/>
      </w:r>
      <w:r w:rsidRPr="00380510">
        <w:rPr>
          <w:rFonts w:ascii="Times" w:hAnsi="Times" w:cs="Times"/>
          <w:b w:val="0"/>
          <w:noProof/>
          <w:sz w:val="18"/>
        </w:rPr>
        <w:instrText xml:space="preserve"> PAGEREF _Toc338939140 \h </w:instrText>
      </w:r>
      <w:r w:rsidRPr="00380510">
        <w:rPr>
          <w:rFonts w:ascii="Times" w:hAnsi="Times" w:cs="Times"/>
          <w:b w:val="0"/>
          <w:noProof/>
          <w:sz w:val="18"/>
        </w:rPr>
      </w:r>
      <w:r w:rsidRPr="00380510">
        <w:rPr>
          <w:rFonts w:ascii="Times" w:hAnsi="Times" w:cs="Times"/>
          <w:b w:val="0"/>
          <w:noProof/>
          <w:sz w:val="18"/>
        </w:rPr>
        <w:fldChar w:fldCharType="separate"/>
      </w:r>
      <w:r w:rsidR="00623A5C">
        <w:rPr>
          <w:rFonts w:ascii="Times" w:hAnsi="Times" w:cs="Times"/>
          <w:b w:val="0"/>
          <w:noProof/>
          <w:sz w:val="18"/>
        </w:rPr>
        <w:t>42</w:t>
      </w:r>
      <w:r w:rsidRPr="00380510">
        <w:rPr>
          <w:rFonts w:ascii="Times" w:hAnsi="Times" w:cs="Times"/>
          <w:b w:val="0"/>
          <w:noProof/>
          <w:sz w:val="18"/>
        </w:rPr>
        <w:fldChar w:fldCharType="end"/>
      </w:r>
    </w:p>
    <w:p w:rsidR="00380510" w:rsidRDefault="00380510">
      <w:pPr>
        <w:pStyle w:val="TOC5"/>
        <w:rPr>
          <w:rFonts w:ascii="Calibri" w:hAnsi="Calibri"/>
          <w:iCs w:val="0"/>
          <w:noProof/>
          <w:kern w:val="0"/>
          <w:sz w:val="22"/>
          <w:szCs w:val="22"/>
        </w:rPr>
      </w:pPr>
      <w:r>
        <w:rPr>
          <w:noProof/>
        </w:rPr>
        <w:t>775</w:t>
      </w:r>
      <w:r>
        <w:rPr>
          <w:noProof/>
        </w:rPr>
        <w:noBreakHyphen/>
        <w:t>15</w:t>
      </w:r>
      <w:r>
        <w:rPr>
          <w:noProof/>
        </w:rPr>
        <w:tab/>
        <w:t>Forex realisation gains are assessable</w:t>
      </w:r>
      <w:r w:rsidRPr="00380510">
        <w:rPr>
          <w:rFonts w:ascii="Times" w:hAnsi="Times" w:cs="Times"/>
          <w:noProof/>
        </w:rPr>
        <w:tab/>
      </w:r>
      <w:r w:rsidRPr="00380510">
        <w:rPr>
          <w:rFonts w:ascii="Times" w:hAnsi="Times" w:cs="Times"/>
          <w:noProof/>
        </w:rPr>
        <w:fldChar w:fldCharType="begin"/>
      </w:r>
      <w:r w:rsidRPr="00380510">
        <w:rPr>
          <w:rFonts w:ascii="Times" w:hAnsi="Times" w:cs="Times"/>
          <w:noProof/>
        </w:rPr>
        <w:instrText xml:space="preserve"> PAGEREF _Toc338939141 \h </w:instrText>
      </w:r>
      <w:r w:rsidRPr="00380510">
        <w:rPr>
          <w:rFonts w:ascii="Times" w:hAnsi="Times" w:cs="Times"/>
          <w:noProof/>
        </w:rPr>
      </w:r>
      <w:r w:rsidRPr="00380510">
        <w:rPr>
          <w:rFonts w:ascii="Times" w:hAnsi="Times" w:cs="Times"/>
          <w:noProof/>
        </w:rPr>
        <w:fldChar w:fldCharType="separate"/>
      </w:r>
      <w:r w:rsidR="00623A5C">
        <w:rPr>
          <w:rFonts w:ascii="Times" w:hAnsi="Times" w:cs="Times"/>
          <w:noProof/>
        </w:rPr>
        <w:t>43</w:t>
      </w:r>
      <w:r w:rsidRPr="00380510">
        <w:rPr>
          <w:rFonts w:ascii="Times" w:hAnsi="Times" w:cs="Times"/>
          <w:noProof/>
        </w:rPr>
        <w:fldChar w:fldCharType="end"/>
      </w:r>
    </w:p>
    <w:p w:rsidR="00380510" w:rsidRDefault="00380510">
      <w:pPr>
        <w:pStyle w:val="TOC5"/>
        <w:rPr>
          <w:rFonts w:ascii="Calibri" w:hAnsi="Calibri"/>
          <w:iCs w:val="0"/>
          <w:noProof/>
          <w:kern w:val="0"/>
          <w:sz w:val="22"/>
          <w:szCs w:val="22"/>
        </w:rPr>
      </w:pPr>
      <w:r>
        <w:rPr>
          <w:noProof/>
        </w:rPr>
        <w:t>775</w:t>
      </w:r>
      <w:r>
        <w:rPr>
          <w:noProof/>
        </w:rPr>
        <w:noBreakHyphen/>
        <w:t>20</w:t>
      </w:r>
      <w:r>
        <w:rPr>
          <w:noProof/>
        </w:rPr>
        <w:tab/>
        <w:t>Certain forex realisation gains are exempt income</w:t>
      </w:r>
      <w:r w:rsidRPr="00380510">
        <w:rPr>
          <w:rFonts w:ascii="Times" w:hAnsi="Times" w:cs="Times"/>
          <w:noProof/>
        </w:rPr>
        <w:tab/>
      </w:r>
      <w:r w:rsidRPr="00380510">
        <w:rPr>
          <w:rFonts w:ascii="Times" w:hAnsi="Times" w:cs="Times"/>
          <w:noProof/>
        </w:rPr>
        <w:fldChar w:fldCharType="begin"/>
      </w:r>
      <w:r w:rsidRPr="00380510">
        <w:rPr>
          <w:rFonts w:ascii="Times" w:hAnsi="Times" w:cs="Times"/>
          <w:noProof/>
        </w:rPr>
        <w:instrText xml:space="preserve"> PAGEREF _Toc338939142 \h </w:instrText>
      </w:r>
      <w:r w:rsidRPr="00380510">
        <w:rPr>
          <w:rFonts w:ascii="Times" w:hAnsi="Times" w:cs="Times"/>
          <w:noProof/>
        </w:rPr>
      </w:r>
      <w:r w:rsidRPr="00380510">
        <w:rPr>
          <w:rFonts w:ascii="Times" w:hAnsi="Times" w:cs="Times"/>
          <w:noProof/>
        </w:rPr>
        <w:fldChar w:fldCharType="separate"/>
      </w:r>
      <w:r w:rsidR="00623A5C">
        <w:rPr>
          <w:rFonts w:ascii="Times" w:hAnsi="Times" w:cs="Times"/>
          <w:noProof/>
        </w:rPr>
        <w:t>45</w:t>
      </w:r>
      <w:r w:rsidRPr="00380510">
        <w:rPr>
          <w:rFonts w:ascii="Times" w:hAnsi="Times" w:cs="Times"/>
          <w:noProof/>
        </w:rPr>
        <w:fldChar w:fldCharType="end"/>
      </w:r>
    </w:p>
    <w:p w:rsidR="00380510" w:rsidRDefault="00380510">
      <w:pPr>
        <w:pStyle w:val="TOC5"/>
        <w:rPr>
          <w:rFonts w:ascii="Calibri" w:hAnsi="Calibri"/>
          <w:iCs w:val="0"/>
          <w:noProof/>
          <w:kern w:val="0"/>
          <w:sz w:val="22"/>
          <w:szCs w:val="22"/>
        </w:rPr>
      </w:pPr>
      <w:r>
        <w:rPr>
          <w:noProof/>
        </w:rPr>
        <w:t>775</w:t>
      </w:r>
      <w:r>
        <w:rPr>
          <w:noProof/>
        </w:rPr>
        <w:noBreakHyphen/>
        <w:t>25</w:t>
      </w:r>
      <w:r>
        <w:rPr>
          <w:noProof/>
        </w:rPr>
        <w:tab/>
        <w:t>Certain forex realisation gains are non</w:t>
      </w:r>
      <w:r>
        <w:rPr>
          <w:noProof/>
        </w:rPr>
        <w:noBreakHyphen/>
        <w:t>assessable non</w:t>
      </w:r>
      <w:r>
        <w:rPr>
          <w:noProof/>
        </w:rPr>
        <w:noBreakHyphen/>
        <w:t>exempt income</w:t>
      </w:r>
      <w:r w:rsidRPr="00380510">
        <w:rPr>
          <w:rFonts w:ascii="Times" w:hAnsi="Times" w:cs="Times"/>
          <w:noProof/>
        </w:rPr>
        <w:tab/>
      </w:r>
      <w:r w:rsidRPr="00380510">
        <w:rPr>
          <w:rFonts w:ascii="Times" w:hAnsi="Times" w:cs="Times"/>
          <w:noProof/>
        </w:rPr>
        <w:fldChar w:fldCharType="begin"/>
      </w:r>
      <w:r w:rsidRPr="00380510">
        <w:rPr>
          <w:rFonts w:ascii="Times" w:hAnsi="Times" w:cs="Times"/>
          <w:noProof/>
        </w:rPr>
        <w:instrText xml:space="preserve"> PAGEREF _Toc338939143 \h </w:instrText>
      </w:r>
      <w:r w:rsidRPr="00380510">
        <w:rPr>
          <w:rFonts w:ascii="Times" w:hAnsi="Times" w:cs="Times"/>
          <w:noProof/>
        </w:rPr>
      </w:r>
      <w:r w:rsidRPr="00380510">
        <w:rPr>
          <w:rFonts w:ascii="Times" w:hAnsi="Times" w:cs="Times"/>
          <w:noProof/>
        </w:rPr>
        <w:fldChar w:fldCharType="separate"/>
      </w:r>
      <w:r w:rsidR="00623A5C">
        <w:rPr>
          <w:rFonts w:ascii="Times" w:hAnsi="Times" w:cs="Times"/>
          <w:noProof/>
        </w:rPr>
        <w:t>45</w:t>
      </w:r>
      <w:r w:rsidRPr="00380510">
        <w:rPr>
          <w:rFonts w:ascii="Times" w:hAnsi="Times" w:cs="Times"/>
          <w:noProof/>
        </w:rPr>
        <w:fldChar w:fldCharType="end"/>
      </w:r>
    </w:p>
    <w:p w:rsidR="00380510" w:rsidRDefault="00380510">
      <w:pPr>
        <w:pStyle w:val="TOC5"/>
        <w:rPr>
          <w:rFonts w:ascii="Calibri" w:hAnsi="Calibri"/>
          <w:iCs w:val="0"/>
          <w:noProof/>
          <w:kern w:val="0"/>
          <w:sz w:val="22"/>
          <w:szCs w:val="22"/>
        </w:rPr>
      </w:pPr>
      <w:r>
        <w:rPr>
          <w:noProof/>
        </w:rPr>
        <w:t>775</w:t>
      </w:r>
      <w:r>
        <w:rPr>
          <w:noProof/>
        </w:rPr>
        <w:noBreakHyphen/>
        <w:t>27</w:t>
      </w:r>
      <w:r>
        <w:rPr>
          <w:noProof/>
        </w:rPr>
        <w:tab/>
        <w:t>Certain forex realisation gains are non</w:t>
      </w:r>
      <w:r>
        <w:rPr>
          <w:noProof/>
        </w:rPr>
        <w:noBreakHyphen/>
        <w:t>assessable non</w:t>
      </w:r>
      <w:r>
        <w:rPr>
          <w:noProof/>
        </w:rPr>
        <w:noBreakHyphen/>
        <w:t>exempt income</w:t>
      </w:r>
      <w:r w:rsidRPr="00380510">
        <w:rPr>
          <w:rFonts w:ascii="Times" w:hAnsi="Times" w:cs="Times"/>
          <w:noProof/>
        </w:rPr>
        <w:tab/>
      </w:r>
      <w:r w:rsidRPr="00380510">
        <w:rPr>
          <w:rFonts w:ascii="Times" w:hAnsi="Times" w:cs="Times"/>
          <w:noProof/>
        </w:rPr>
        <w:fldChar w:fldCharType="begin"/>
      </w:r>
      <w:r w:rsidRPr="00380510">
        <w:rPr>
          <w:rFonts w:ascii="Times" w:hAnsi="Times" w:cs="Times"/>
          <w:noProof/>
        </w:rPr>
        <w:instrText xml:space="preserve"> PAGEREF _Toc338939144 \h </w:instrText>
      </w:r>
      <w:r w:rsidRPr="00380510">
        <w:rPr>
          <w:rFonts w:ascii="Times" w:hAnsi="Times" w:cs="Times"/>
          <w:noProof/>
        </w:rPr>
      </w:r>
      <w:r w:rsidRPr="00380510">
        <w:rPr>
          <w:rFonts w:ascii="Times" w:hAnsi="Times" w:cs="Times"/>
          <w:noProof/>
        </w:rPr>
        <w:fldChar w:fldCharType="separate"/>
      </w:r>
      <w:r w:rsidR="00623A5C">
        <w:rPr>
          <w:rFonts w:ascii="Times" w:hAnsi="Times" w:cs="Times"/>
          <w:noProof/>
        </w:rPr>
        <w:t>45</w:t>
      </w:r>
      <w:r w:rsidRPr="00380510">
        <w:rPr>
          <w:rFonts w:ascii="Times" w:hAnsi="Times" w:cs="Times"/>
          <w:noProof/>
        </w:rPr>
        <w:fldChar w:fldCharType="end"/>
      </w:r>
    </w:p>
    <w:p w:rsidR="00380510" w:rsidRDefault="00380510">
      <w:pPr>
        <w:pStyle w:val="TOC5"/>
        <w:rPr>
          <w:rFonts w:ascii="Calibri" w:hAnsi="Calibri"/>
          <w:iCs w:val="0"/>
          <w:noProof/>
          <w:kern w:val="0"/>
          <w:sz w:val="22"/>
          <w:szCs w:val="22"/>
        </w:rPr>
      </w:pPr>
      <w:r>
        <w:rPr>
          <w:noProof/>
        </w:rPr>
        <w:t>775</w:t>
      </w:r>
      <w:r>
        <w:rPr>
          <w:noProof/>
        </w:rPr>
        <w:noBreakHyphen/>
        <w:t>30</w:t>
      </w:r>
      <w:r>
        <w:rPr>
          <w:noProof/>
        </w:rPr>
        <w:tab/>
        <w:t>Forex realisation losses are deductible</w:t>
      </w:r>
      <w:r w:rsidRPr="00380510">
        <w:rPr>
          <w:rFonts w:ascii="Times" w:hAnsi="Times" w:cs="Times"/>
          <w:noProof/>
        </w:rPr>
        <w:tab/>
      </w:r>
      <w:r w:rsidRPr="00380510">
        <w:rPr>
          <w:rFonts w:ascii="Times" w:hAnsi="Times" w:cs="Times"/>
          <w:noProof/>
        </w:rPr>
        <w:fldChar w:fldCharType="begin"/>
      </w:r>
      <w:r w:rsidRPr="00380510">
        <w:rPr>
          <w:rFonts w:ascii="Times" w:hAnsi="Times" w:cs="Times"/>
          <w:noProof/>
        </w:rPr>
        <w:instrText xml:space="preserve"> PAGEREF _Toc338939145 \h </w:instrText>
      </w:r>
      <w:r w:rsidRPr="00380510">
        <w:rPr>
          <w:rFonts w:ascii="Times" w:hAnsi="Times" w:cs="Times"/>
          <w:noProof/>
        </w:rPr>
      </w:r>
      <w:r w:rsidRPr="00380510">
        <w:rPr>
          <w:rFonts w:ascii="Times" w:hAnsi="Times" w:cs="Times"/>
          <w:noProof/>
        </w:rPr>
        <w:fldChar w:fldCharType="separate"/>
      </w:r>
      <w:r w:rsidR="00623A5C">
        <w:rPr>
          <w:rFonts w:ascii="Times" w:hAnsi="Times" w:cs="Times"/>
          <w:noProof/>
        </w:rPr>
        <w:t>45</w:t>
      </w:r>
      <w:r w:rsidRPr="00380510">
        <w:rPr>
          <w:rFonts w:ascii="Times" w:hAnsi="Times" w:cs="Times"/>
          <w:noProof/>
        </w:rPr>
        <w:fldChar w:fldCharType="end"/>
      </w:r>
    </w:p>
    <w:p w:rsidR="00380510" w:rsidRDefault="00380510">
      <w:pPr>
        <w:pStyle w:val="TOC5"/>
        <w:rPr>
          <w:rFonts w:ascii="Calibri" w:hAnsi="Calibri"/>
          <w:iCs w:val="0"/>
          <w:noProof/>
          <w:kern w:val="0"/>
          <w:sz w:val="22"/>
          <w:szCs w:val="22"/>
        </w:rPr>
      </w:pPr>
      <w:r>
        <w:rPr>
          <w:noProof/>
        </w:rPr>
        <w:t>775</w:t>
      </w:r>
      <w:r>
        <w:rPr>
          <w:noProof/>
        </w:rPr>
        <w:noBreakHyphen/>
        <w:t>35</w:t>
      </w:r>
      <w:r>
        <w:rPr>
          <w:noProof/>
        </w:rPr>
        <w:tab/>
        <w:t>Certain forex realisation losses are disregarded</w:t>
      </w:r>
      <w:r w:rsidRPr="00380510">
        <w:rPr>
          <w:rFonts w:ascii="Times" w:hAnsi="Times" w:cs="Times"/>
          <w:noProof/>
        </w:rPr>
        <w:tab/>
      </w:r>
      <w:r w:rsidRPr="00380510">
        <w:rPr>
          <w:rFonts w:ascii="Times" w:hAnsi="Times" w:cs="Times"/>
          <w:noProof/>
        </w:rPr>
        <w:fldChar w:fldCharType="begin"/>
      </w:r>
      <w:r w:rsidRPr="00380510">
        <w:rPr>
          <w:rFonts w:ascii="Times" w:hAnsi="Times" w:cs="Times"/>
          <w:noProof/>
        </w:rPr>
        <w:instrText xml:space="preserve"> PAGEREF _Toc338939146 \h </w:instrText>
      </w:r>
      <w:r w:rsidRPr="00380510">
        <w:rPr>
          <w:rFonts w:ascii="Times" w:hAnsi="Times" w:cs="Times"/>
          <w:noProof/>
        </w:rPr>
      </w:r>
      <w:r w:rsidRPr="00380510">
        <w:rPr>
          <w:rFonts w:ascii="Times" w:hAnsi="Times" w:cs="Times"/>
          <w:noProof/>
        </w:rPr>
        <w:fldChar w:fldCharType="separate"/>
      </w:r>
      <w:r w:rsidR="00623A5C">
        <w:rPr>
          <w:rFonts w:ascii="Times" w:hAnsi="Times" w:cs="Times"/>
          <w:noProof/>
        </w:rPr>
        <w:t>47</w:t>
      </w:r>
      <w:r w:rsidRPr="00380510">
        <w:rPr>
          <w:rFonts w:ascii="Times" w:hAnsi="Times" w:cs="Times"/>
          <w:noProof/>
        </w:rPr>
        <w:fldChar w:fldCharType="end"/>
      </w:r>
    </w:p>
    <w:p w:rsidR="00380510" w:rsidRDefault="00380510">
      <w:pPr>
        <w:pStyle w:val="TOC5"/>
        <w:rPr>
          <w:rFonts w:ascii="Calibri" w:hAnsi="Calibri"/>
          <w:iCs w:val="0"/>
          <w:noProof/>
          <w:kern w:val="0"/>
          <w:sz w:val="22"/>
          <w:szCs w:val="22"/>
        </w:rPr>
      </w:pPr>
      <w:r>
        <w:rPr>
          <w:noProof/>
        </w:rPr>
        <w:t>775</w:t>
      </w:r>
      <w:r>
        <w:rPr>
          <w:noProof/>
        </w:rPr>
        <w:noBreakHyphen/>
        <w:t>40</w:t>
      </w:r>
      <w:r>
        <w:rPr>
          <w:noProof/>
        </w:rPr>
        <w:tab/>
        <w:t>Disposal of foreign currency or right to receive foreign currency—forex realisation event 1</w:t>
      </w:r>
      <w:r w:rsidRPr="00380510">
        <w:rPr>
          <w:rFonts w:ascii="Times" w:hAnsi="Times" w:cs="Times"/>
          <w:noProof/>
        </w:rPr>
        <w:tab/>
      </w:r>
      <w:r w:rsidRPr="00380510">
        <w:rPr>
          <w:rFonts w:ascii="Times" w:hAnsi="Times" w:cs="Times"/>
          <w:noProof/>
        </w:rPr>
        <w:fldChar w:fldCharType="begin"/>
      </w:r>
      <w:r w:rsidRPr="00380510">
        <w:rPr>
          <w:rFonts w:ascii="Times" w:hAnsi="Times" w:cs="Times"/>
          <w:noProof/>
        </w:rPr>
        <w:instrText xml:space="preserve"> PAGEREF _Toc338939147 \h </w:instrText>
      </w:r>
      <w:r w:rsidRPr="00380510">
        <w:rPr>
          <w:rFonts w:ascii="Times" w:hAnsi="Times" w:cs="Times"/>
          <w:noProof/>
        </w:rPr>
      </w:r>
      <w:r w:rsidRPr="00380510">
        <w:rPr>
          <w:rFonts w:ascii="Times" w:hAnsi="Times" w:cs="Times"/>
          <w:noProof/>
        </w:rPr>
        <w:fldChar w:fldCharType="separate"/>
      </w:r>
      <w:r w:rsidR="00623A5C">
        <w:rPr>
          <w:rFonts w:ascii="Times" w:hAnsi="Times" w:cs="Times"/>
          <w:noProof/>
        </w:rPr>
        <w:t>47</w:t>
      </w:r>
      <w:r w:rsidRPr="00380510">
        <w:rPr>
          <w:rFonts w:ascii="Times" w:hAnsi="Times" w:cs="Times"/>
          <w:noProof/>
        </w:rPr>
        <w:fldChar w:fldCharType="end"/>
      </w:r>
    </w:p>
    <w:p w:rsidR="00380510" w:rsidRDefault="00380510">
      <w:pPr>
        <w:pStyle w:val="TOC5"/>
        <w:rPr>
          <w:rFonts w:ascii="Calibri" w:hAnsi="Calibri"/>
          <w:iCs w:val="0"/>
          <w:noProof/>
          <w:kern w:val="0"/>
          <w:sz w:val="22"/>
          <w:szCs w:val="22"/>
        </w:rPr>
      </w:pPr>
      <w:r>
        <w:rPr>
          <w:noProof/>
        </w:rPr>
        <w:t>775</w:t>
      </w:r>
      <w:r>
        <w:rPr>
          <w:noProof/>
        </w:rPr>
        <w:noBreakHyphen/>
        <w:t>45</w:t>
      </w:r>
      <w:r>
        <w:rPr>
          <w:noProof/>
        </w:rPr>
        <w:tab/>
        <w:t>Ceasing to have a right to receive foreign currency—forex realisation event 2</w:t>
      </w:r>
      <w:r w:rsidRPr="00380510">
        <w:rPr>
          <w:rFonts w:ascii="Times" w:hAnsi="Times" w:cs="Times"/>
          <w:noProof/>
        </w:rPr>
        <w:tab/>
      </w:r>
      <w:r w:rsidRPr="00380510">
        <w:rPr>
          <w:rFonts w:ascii="Times" w:hAnsi="Times" w:cs="Times"/>
          <w:noProof/>
        </w:rPr>
        <w:fldChar w:fldCharType="begin"/>
      </w:r>
      <w:r w:rsidRPr="00380510">
        <w:rPr>
          <w:rFonts w:ascii="Times" w:hAnsi="Times" w:cs="Times"/>
          <w:noProof/>
        </w:rPr>
        <w:instrText xml:space="preserve"> PAGEREF _Toc338939148 \h </w:instrText>
      </w:r>
      <w:r w:rsidRPr="00380510">
        <w:rPr>
          <w:rFonts w:ascii="Times" w:hAnsi="Times" w:cs="Times"/>
          <w:noProof/>
        </w:rPr>
      </w:r>
      <w:r w:rsidRPr="00380510">
        <w:rPr>
          <w:rFonts w:ascii="Times" w:hAnsi="Times" w:cs="Times"/>
          <w:noProof/>
        </w:rPr>
        <w:fldChar w:fldCharType="separate"/>
      </w:r>
      <w:r w:rsidR="00623A5C">
        <w:rPr>
          <w:rFonts w:ascii="Times" w:hAnsi="Times" w:cs="Times"/>
          <w:noProof/>
        </w:rPr>
        <w:t>49</w:t>
      </w:r>
      <w:r w:rsidRPr="00380510">
        <w:rPr>
          <w:rFonts w:ascii="Times" w:hAnsi="Times" w:cs="Times"/>
          <w:noProof/>
        </w:rPr>
        <w:fldChar w:fldCharType="end"/>
      </w:r>
    </w:p>
    <w:p w:rsidR="00380510" w:rsidRDefault="00380510">
      <w:pPr>
        <w:pStyle w:val="TOC5"/>
        <w:rPr>
          <w:rFonts w:ascii="Calibri" w:hAnsi="Calibri"/>
          <w:iCs w:val="0"/>
          <w:noProof/>
          <w:kern w:val="0"/>
          <w:sz w:val="22"/>
          <w:szCs w:val="22"/>
        </w:rPr>
      </w:pPr>
      <w:r>
        <w:rPr>
          <w:noProof/>
        </w:rPr>
        <w:t>775</w:t>
      </w:r>
      <w:r>
        <w:rPr>
          <w:noProof/>
        </w:rPr>
        <w:noBreakHyphen/>
        <w:t>50</w:t>
      </w:r>
      <w:r>
        <w:rPr>
          <w:noProof/>
        </w:rPr>
        <w:tab/>
        <w:t>Ceasing to have an obligation to receive foreign currency—forex realisation event 3</w:t>
      </w:r>
      <w:r w:rsidRPr="00380510">
        <w:rPr>
          <w:rFonts w:ascii="Times" w:hAnsi="Times" w:cs="Times"/>
          <w:noProof/>
        </w:rPr>
        <w:tab/>
      </w:r>
      <w:r w:rsidRPr="00380510">
        <w:rPr>
          <w:rFonts w:ascii="Times" w:hAnsi="Times" w:cs="Times"/>
          <w:noProof/>
        </w:rPr>
        <w:fldChar w:fldCharType="begin"/>
      </w:r>
      <w:r w:rsidRPr="00380510">
        <w:rPr>
          <w:rFonts w:ascii="Times" w:hAnsi="Times" w:cs="Times"/>
          <w:noProof/>
        </w:rPr>
        <w:instrText xml:space="preserve"> PAGEREF _Toc338939149 \h </w:instrText>
      </w:r>
      <w:r w:rsidRPr="00380510">
        <w:rPr>
          <w:rFonts w:ascii="Times" w:hAnsi="Times" w:cs="Times"/>
          <w:noProof/>
        </w:rPr>
      </w:r>
      <w:r w:rsidRPr="00380510">
        <w:rPr>
          <w:rFonts w:ascii="Times" w:hAnsi="Times" w:cs="Times"/>
          <w:noProof/>
        </w:rPr>
        <w:fldChar w:fldCharType="separate"/>
      </w:r>
      <w:r w:rsidR="00623A5C">
        <w:rPr>
          <w:rFonts w:ascii="Times" w:hAnsi="Times" w:cs="Times"/>
          <w:noProof/>
        </w:rPr>
        <w:t>52</w:t>
      </w:r>
      <w:r w:rsidRPr="00380510">
        <w:rPr>
          <w:rFonts w:ascii="Times" w:hAnsi="Times" w:cs="Times"/>
          <w:noProof/>
        </w:rPr>
        <w:fldChar w:fldCharType="end"/>
      </w:r>
    </w:p>
    <w:p w:rsidR="00380510" w:rsidRDefault="00380510">
      <w:pPr>
        <w:pStyle w:val="TOC5"/>
        <w:rPr>
          <w:rFonts w:ascii="Calibri" w:hAnsi="Calibri"/>
          <w:iCs w:val="0"/>
          <w:noProof/>
          <w:kern w:val="0"/>
          <w:sz w:val="22"/>
          <w:szCs w:val="22"/>
        </w:rPr>
      </w:pPr>
      <w:r>
        <w:rPr>
          <w:noProof/>
        </w:rPr>
        <w:t>775</w:t>
      </w:r>
      <w:r>
        <w:rPr>
          <w:noProof/>
        </w:rPr>
        <w:noBreakHyphen/>
        <w:t>55</w:t>
      </w:r>
      <w:r>
        <w:rPr>
          <w:noProof/>
        </w:rPr>
        <w:tab/>
        <w:t>Ceasing to have an obligation to pay foreign currency—forex realisation event 4</w:t>
      </w:r>
      <w:r w:rsidRPr="00380510">
        <w:rPr>
          <w:rFonts w:ascii="Times" w:hAnsi="Times" w:cs="Times"/>
          <w:noProof/>
        </w:rPr>
        <w:tab/>
      </w:r>
      <w:r w:rsidRPr="00380510">
        <w:rPr>
          <w:rFonts w:ascii="Times" w:hAnsi="Times" w:cs="Times"/>
          <w:noProof/>
        </w:rPr>
        <w:fldChar w:fldCharType="begin"/>
      </w:r>
      <w:r w:rsidRPr="00380510">
        <w:rPr>
          <w:rFonts w:ascii="Times" w:hAnsi="Times" w:cs="Times"/>
          <w:noProof/>
        </w:rPr>
        <w:instrText xml:space="preserve"> PAGEREF _Toc338939150 \h </w:instrText>
      </w:r>
      <w:r w:rsidRPr="00380510">
        <w:rPr>
          <w:rFonts w:ascii="Times" w:hAnsi="Times" w:cs="Times"/>
          <w:noProof/>
        </w:rPr>
      </w:r>
      <w:r w:rsidRPr="00380510">
        <w:rPr>
          <w:rFonts w:ascii="Times" w:hAnsi="Times" w:cs="Times"/>
          <w:noProof/>
        </w:rPr>
        <w:fldChar w:fldCharType="separate"/>
      </w:r>
      <w:r w:rsidR="00623A5C">
        <w:rPr>
          <w:rFonts w:ascii="Times" w:hAnsi="Times" w:cs="Times"/>
          <w:noProof/>
        </w:rPr>
        <w:t>54</w:t>
      </w:r>
      <w:r w:rsidRPr="00380510">
        <w:rPr>
          <w:rFonts w:ascii="Times" w:hAnsi="Times" w:cs="Times"/>
          <w:noProof/>
        </w:rPr>
        <w:fldChar w:fldCharType="end"/>
      </w:r>
    </w:p>
    <w:p w:rsidR="00380510" w:rsidRDefault="00380510">
      <w:pPr>
        <w:pStyle w:val="TOC5"/>
        <w:rPr>
          <w:rFonts w:ascii="Calibri" w:hAnsi="Calibri"/>
          <w:iCs w:val="0"/>
          <w:noProof/>
          <w:kern w:val="0"/>
          <w:sz w:val="22"/>
          <w:szCs w:val="22"/>
        </w:rPr>
      </w:pPr>
      <w:r>
        <w:rPr>
          <w:noProof/>
        </w:rPr>
        <w:t>775</w:t>
      </w:r>
      <w:r>
        <w:rPr>
          <w:noProof/>
        </w:rPr>
        <w:noBreakHyphen/>
        <w:t>60</w:t>
      </w:r>
      <w:r>
        <w:rPr>
          <w:noProof/>
        </w:rPr>
        <w:tab/>
        <w:t>Ceasing to have a right to pay foreign currency—forex realisation event 5</w:t>
      </w:r>
      <w:r w:rsidRPr="00380510">
        <w:rPr>
          <w:rFonts w:ascii="Times" w:hAnsi="Times" w:cs="Times"/>
          <w:noProof/>
        </w:rPr>
        <w:tab/>
      </w:r>
      <w:r w:rsidRPr="00380510">
        <w:rPr>
          <w:rFonts w:ascii="Times" w:hAnsi="Times" w:cs="Times"/>
          <w:noProof/>
        </w:rPr>
        <w:fldChar w:fldCharType="begin"/>
      </w:r>
      <w:r w:rsidRPr="00380510">
        <w:rPr>
          <w:rFonts w:ascii="Times" w:hAnsi="Times" w:cs="Times"/>
          <w:noProof/>
        </w:rPr>
        <w:instrText xml:space="preserve"> PAGEREF _Toc338939151 \h </w:instrText>
      </w:r>
      <w:r w:rsidRPr="00380510">
        <w:rPr>
          <w:rFonts w:ascii="Times" w:hAnsi="Times" w:cs="Times"/>
          <w:noProof/>
        </w:rPr>
      </w:r>
      <w:r w:rsidRPr="00380510">
        <w:rPr>
          <w:rFonts w:ascii="Times" w:hAnsi="Times" w:cs="Times"/>
          <w:noProof/>
        </w:rPr>
        <w:fldChar w:fldCharType="separate"/>
      </w:r>
      <w:r w:rsidR="00623A5C">
        <w:rPr>
          <w:rFonts w:ascii="Times" w:hAnsi="Times" w:cs="Times"/>
          <w:noProof/>
        </w:rPr>
        <w:t>60</w:t>
      </w:r>
      <w:r w:rsidRPr="00380510">
        <w:rPr>
          <w:rFonts w:ascii="Times" w:hAnsi="Times" w:cs="Times"/>
          <w:noProof/>
        </w:rPr>
        <w:fldChar w:fldCharType="end"/>
      </w:r>
    </w:p>
    <w:p w:rsidR="00380510" w:rsidRDefault="00380510">
      <w:pPr>
        <w:pStyle w:val="TOC5"/>
        <w:rPr>
          <w:rFonts w:ascii="Calibri" w:hAnsi="Calibri"/>
          <w:iCs w:val="0"/>
          <w:noProof/>
          <w:kern w:val="0"/>
          <w:sz w:val="22"/>
          <w:szCs w:val="22"/>
        </w:rPr>
      </w:pPr>
      <w:r>
        <w:rPr>
          <w:noProof/>
        </w:rPr>
        <w:t>775</w:t>
      </w:r>
      <w:r>
        <w:rPr>
          <w:noProof/>
        </w:rPr>
        <w:noBreakHyphen/>
        <w:t>65</w:t>
      </w:r>
      <w:r>
        <w:rPr>
          <w:noProof/>
        </w:rPr>
        <w:tab/>
        <w:t>Only one forex realisation event to be counted</w:t>
      </w:r>
      <w:r w:rsidRPr="00380510">
        <w:rPr>
          <w:rFonts w:ascii="Times" w:hAnsi="Times" w:cs="Times"/>
          <w:noProof/>
        </w:rPr>
        <w:tab/>
      </w:r>
      <w:r w:rsidRPr="00380510">
        <w:rPr>
          <w:rFonts w:ascii="Times" w:hAnsi="Times" w:cs="Times"/>
          <w:noProof/>
        </w:rPr>
        <w:fldChar w:fldCharType="begin"/>
      </w:r>
      <w:r w:rsidRPr="00380510">
        <w:rPr>
          <w:rFonts w:ascii="Times" w:hAnsi="Times" w:cs="Times"/>
          <w:noProof/>
        </w:rPr>
        <w:instrText xml:space="preserve"> PAGEREF _Toc338939152 \h </w:instrText>
      </w:r>
      <w:r w:rsidRPr="00380510">
        <w:rPr>
          <w:rFonts w:ascii="Times" w:hAnsi="Times" w:cs="Times"/>
          <w:noProof/>
        </w:rPr>
      </w:r>
      <w:r w:rsidRPr="00380510">
        <w:rPr>
          <w:rFonts w:ascii="Times" w:hAnsi="Times" w:cs="Times"/>
          <w:noProof/>
        </w:rPr>
        <w:fldChar w:fldCharType="separate"/>
      </w:r>
      <w:r w:rsidR="00623A5C">
        <w:rPr>
          <w:rFonts w:ascii="Times" w:hAnsi="Times" w:cs="Times"/>
          <w:noProof/>
        </w:rPr>
        <w:t>62</w:t>
      </w:r>
      <w:r w:rsidRPr="00380510">
        <w:rPr>
          <w:rFonts w:ascii="Times" w:hAnsi="Times" w:cs="Times"/>
          <w:noProof/>
        </w:rPr>
        <w:fldChar w:fldCharType="end"/>
      </w:r>
    </w:p>
    <w:p w:rsidR="00380510" w:rsidRDefault="00380510">
      <w:pPr>
        <w:pStyle w:val="TOC5"/>
        <w:rPr>
          <w:rFonts w:ascii="Calibri" w:hAnsi="Calibri"/>
          <w:iCs w:val="0"/>
          <w:noProof/>
          <w:kern w:val="0"/>
          <w:sz w:val="22"/>
          <w:szCs w:val="22"/>
        </w:rPr>
      </w:pPr>
      <w:r>
        <w:rPr>
          <w:noProof/>
        </w:rPr>
        <w:t>775</w:t>
      </w:r>
      <w:r>
        <w:rPr>
          <w:noProof/>
        </w:rPr>
        <w:noBreakHyphen/>
        <w:t>70</w:t>
      </w:r>
      <w:r>
        <w:rPr>
          <w:noProof/>
        </w:rPr>
        <w:tab/>
        <w:t>Tax consequences of certain short</w:t>
      </w:r>
      <w:r>
        <w:rPr>
          <w:noProof/>
        </w:rPr>
        <w:noBreakHyphen/>
        <w:t>term forex realisation gains</w:t>
      </w:r>
      <w:r w:rsidRPr="00380510">
        <w:rPr>
          <w:rFonts w:ascii="Times" w:hAnsi="Times" w:cs="Times"/>
          <w:noProof/>
        </w:rPr>
        <w:tab/>
      </w:r>
      <w:r w:rsidRPr="00380510">
        <w:rPr>
          <w:rFonts w:ascii="Times" w:hAnsi="Times" w:cs="Times"/>
          <w:noProof/>
        </w:rPr>
        <w:fldChar w:fldCharType="begin"/>
      </w:r>
      <w:r w:rsidRPr="00380510">
        <w:rPr>
          <w:rFonts w:ascii="Times" w:hAnsi="Times" w:cs="Times"/>
          <w:noProof/>
        </w:rPr>
        <w:instrText xml:space="preserve"> PAGEREF _Toc338939153 \h </w:instrText>
      </w:r>
      <w:r w:rsidRPr="00380510">
        <w:rPr>
          <w:rFonts w:ascii="Times" w:hAnsi="Times" w:cs="Times"/>
          <w:noProof/>
        </w:rPr>
      </w:r>
      <w:r w:rsidRPr="00380510">
        <w:rPr>
          <w:rFonts w:ascii="Times" w:hAnsi="Times" w:cs="Times"/>
          <w:noProof/>
        </w:rPr>
        <w:fldChar w:fldCharType="separate"/>
      </w:r>
      <w:r w:rsidR="00623A5C">
        <w:rPr>
          <w:rFonts w:ascii="Times" w:hAnsi="Times" w:cs="Times"/>
          <w:noProof/>
        </w:rPr>
        <w:t>64</w:t>
      </w:r>
      <w:r w:rsidRPr="00380510">
        <w:rPr>
          <w:rFonts w:ascii="Times" w:hAnsi="Times" w:cs="Times"/>
          <w:noProof/>
        </w:rPr>
        <w:fldChar w:fldCharType="end"/>
      </w:r>
    </w:p>
    <w:p w:rsidR="00380510" w:rsidRDefault="00380510">
      <w:pPr>
        <w:pStyle w:val="TOC5"/>
        <w:rPr>
          <w:rFonts w:ascii="Calibri" w:hAnsi="Calibri"/>
          <w:iCs w:val="0"/>
          <w:noProof/>
          <w:kern w:val="0"/>
          <w:sz w:val="22"/>
          <w:szCs w:val="22"/>
        </w:rPr>
      </w:pPr>
      <w:r>
        <w:rPr>
          <w:noProof/>
        </w:rPr>
        <w:t>775</w:t>
      </w:r>
      <w:r>
        <w:rPr>
          <w:noProof/>
        </w:rPr>
        <w:noBreakHyphen/>
        <w:t>75</w:t>
      </w:r>
      <w:r>
        <w:rPr>
          <w:noProof/>
        </w:rPr>
        <w:tab/>
        <w:t>Tax consequences of certain short</w:t>
      </w:r>
      <w:r>
        <w:rPr>
          <w:noProof/>
        </w:rPr>
        <w:noBreakHyphen/>
        <w:t>term forex realisation losses</w:t>
      </w:r>
      <w:r w:rsidRPr="00380510">
        <w:rPr>
          <w:rFonts w:ascii="Times" w:hAnsi="Times" w:cs="Times"/>
          <w:noProof/>
        </w:rPr>
        <w:tab/>
      </w:r>
      <w:r w:rsidRPr="00380510">
        <w:rPr>
          <w:rFonts w:ascii="Times" w:hAnsi="Times" w:cs="Times"/>
          <w:noProof/>
        </w:rPr>
        <w:fldChar w:fldCharType="begin"/>
      </w:r>
      <w:r w:rsidRPr="00380510">
        <w:rPr>
          <w:rFonts w:ascii="Times" w:hAnsi="Times" w:cs="Times"/>
          <w:noProof/>
        </w:rPr>
        <w:instrText xml:space="preserve"> PAGEREF _Toc338939154 \h </w:instrText>
      </w:r>
      <w:r w:rsidRPr="00380510">
        <w:rPr>
          <w:rFonts w:ascii="Times" w:hAnsi="Times" w:cs="Times"/>
          <w:noProof/>
        </w:rPr>
      </w:r>
      <w:r w:rsidRPr="00380510">
        <w:rPr>
          <w:rFonts w:ascii="Times" w:hAnsi="Times" w:cs="Times"/>
          <w:noProof/>
        </w:rPr>
        <w:fldChar w:fldCharType="separate"/>
      </w:r>
      <w:r w:rsidR="00623A5C">
        <w:rPr>
          <w:rFonts w:ascii="Times" w:hAnsi="Times" w:cs="Times"/>
          <w:noProof/>
        </w:rPr>
        <w:t>69</w:t>
      </w:r>
      <w:r w:rsidRPr="00380510">
        <w:rPr>
          <w:rFonts w:ascii="Times" w:hAnsi="Times" w:cs="Times"/>
          <w:noProof/>
        </w:rPr>
        <w:fldChar w:fldCharType="end"/>
      </w:r>
    </w:p>
    <w:p w:rsidR="00380510" w:rsidRDefault="00380510">
      <w:pPr>
        <w:pStyle w:val="TOC5"/>
        <w:rPr>
          <w:rFonts w:ascii="Calibri" w:hAnsi="Calibri"/>
          <w:iCs w:val="0"/>
          <w:noProof/>
          <w:kern w:val="0"/>
          <w:sz w:val="22"/>
          <w:szCs w:val="22"/>
        </w:rPr>
      </w:pPr>
      <w:r>
        <w:rPr>
          <w:noProof/>
        </w:rPr>
        <w:t>775</w:t>
      </w:r>
      <w:r>
        <w:rPr>
          <w:noProof/>
        </w:rPr>
        <w:noBreakHyphen/>
        <w:t>80</w:t>
      </w:r>
      <w:r>
        <w:rPr>
          <w:noProof/>
        </w:rPr>
        <w:tab/>
        <w:t>You may choose not to have sections 775</w:t>
      </w:r>
      <w:r>
        <w:rPr>
          <w:noProof/>
        </w:rPr>
        <w:noBreakHyphen/>
        <w:t>70 and 775</w:t>
      </w:r>
      <w:r>
        <w:rPr>
          <w:noProof/>
        </w:rPr>
        <w:noBreakHyphen/>
        <w:t>75 apply to you</w:t>
      </w:r>
      <w:r w:rsidRPr="00380510">
        <w:rPr>
          <w:rFonts w:ascii="Times" w:hAnsi="Times" w:cs="Times"/>
          <w:noProof/>
        </w:rPr>
        <w:tab/>
      </w:r>
      <w:r w:rsidRPr="00380510">
        <w:rPr>
          <w:rFonts w:ascii="Times" w:hAnsi="Times" w:cs="Times"/>
          <w:noProof/>
        </w:rPr>
        <w:fldChar w:fldCharType="begin"/>
      </w:r>
      <w:r w:rsidRPr="00380510">
        <w:rPr>
          <w:rFonts w:ascii="Times" w:hAnsi="Times" w:cs="Times"/>
          <w:noProof/>
        </w:rPr>
        <w:instrText xml:space="preserve"> PAGEREF _Toc338939155 \h </w:instrText>
      </w:r>
      <w:r w:rsidRPr="00380510">
        <w:rPr>
          <w:rFonts w:ascii="Times" w:hAnsi="Times" w:cs="Times"/>
          <w:noProof/>
        </w:rPr>
      </w:r>
      <w:r w:rsidRPr="00380510">
        <w:rPr>
          <w:rFonts w:ascii="Times" w:hAnsi="Times" w:cs="Times"/>
          <w:noProof/>
        </w:rPr>
        <w:fldChar w:fldCharType="separate"/>
      </w:r>
      <w:r w:rsidR="00623A5C">
        <w:rPr>
          <w:rFonts w:ascii="Times" w:hAnsi="Times" w:cs="Times"/>
          <w:noProof/>
        </w:rPr>
        <w:t>72</w:t>
      </w:r>
      <w:r w:rsidRPr="00380510">
        <w:rPr>
          <w:rFonts w:ascii="Times" w:hAnsi="Times" w:cs="Times"/>
          <w:noProof/>
        </w:rPr>
        <w:fldChar w:fldCharType="end"/>
      </w:r>
    </w:p>
    <w:p w:rsidR="00380510" w:rsidRDefault="00380510">
      <w:pPr>
        <w:pStyle w:val="TOC5"/>
        <w:rPr>
          <w:rFonts w:ascii="Calibri" w:hAnsi="Calibri"/>
          <w:iCs w:val="0"/>
          <w:noProof/>
          <w:kern w:val="0"/>
          <w:sz w:val="22"/>
          <w:szCs w:val="22"/>
        </w:rPr>
      </w:pPr>
      <w:r>
        <w:rPr>
          <w:noProof/>
        </w:rPr>
        <w:t>775</w:t>
      </w:r>
      <w:r>
        <w:rPr>
          <w:noProof/>
        </w:rPr>
        <w:noBreakHyphen/>
        <w:t>85</w:t>
      </w:r>
      <w:r>
        <w:rPr>
          <w:noProof/>
        </w:rPr>
        <w:tab/>
        <w:t>Forex cost base of a right to receive foreign currency</w:t>
      </w:r>
      <w:r w:rsidRPr="00380510">
        <w:rPr>
          <w:rFonts w:ascii="Times" w:hAnsi="Times" w:cs="Times"/>
          <w:noProof/>
        </w:rPr>
        <w:tab/>
      </w:r>
      <w:r w:rsidRPr="00380510">
        <w:rPr>
          <w:rFonts w:ascii="Times" w:hAnsi="Times" w:cs="Times"/>
          <w:noProof/>
        </w:rPr>
        <w:fldChar w:fldCharType="begin"/>
      </w:r>
      <w:r w:rsidRPr="00380510">
        <w:rPr>
          <w:rFonts w:ascii="Times" w:hAnsi="Times" w:cs="Times"/>
          <w:noProof/>
        </w:rPr>
        <w:instrText xml:space="preserve"> PAGEREF _Toc338939156 \h </w:instrText>
      </w:r>
      <w:r w:rsidRPr="00380510">
        <w:rPr>
          <w:rFonts w:ascii="Times" w:hAnsi="Times" w:cs="Times"/>
          <w:noProof/>
        </w:rPr>
      </w:r>
      <w:r w:rsidRPr="00380510">
        <w:rPr>
          <w:rFonts w:ascii="Times" w:hAnsi="Times" w:cs="Times"/>
          <w:noProof/>
        </w:rPr>
        <w:fldChar w:fldCharType="separate"/>
      </w:r>
      <w:r w:rsidR="00623A5C">
        <w:rPr>
          <w:rFonts w:ascii="Times" w:hAnsi="Times" w:cs="Times"/>
          <w:noProof/>
        </w:rPr>
        <w:t>73</w:t>
      </w:r>
      <w:r w:rsidRPr="00380510">
        <w:rPr>
          <w:rFonts w:ascii="Times" w:hAnsi="Times" w:cs="Times"/>
          <w:noProof/>
        </w:rPr>
        <w:fldChar w:fldCharType="end"/>
      </w:r>
    </w:p>
    <w:p w:rsidR="00380510" w:rsidRDefault="00380510">
      <w:pPr>
        <w:pStyle w:val="TOC5"/>
        <w:rPr>
          <w:rFonts w:ascii="Calibri" w:hAnsi="Calibri"/>
          <w:iCs w:val="0"/>
          <w:noProof/>
          <w:kern w:val="0"/>
          <w:sz w:val="22"/>
          <w:szCs w:val="22"/>
        </w:rPr>
      </w:pPr>
      <w:r>
        <w:rPr>
          <w:noProof/>
        </w:rPr>
        <w:t>775</w:t>
      </w:r>
      <w:r>
        <w:rPr>
          <w:noProof/>
        </w:rPr>
        <w:noBreakHyphen/>
        <w:t>90</w:t>
      </w:r>
      <w:r>
        <w:rPr>
          <w:noProof/>
        </w:rPr>
        <w:tab/>
        <w:t>Forex entitlement base of a right to pay foreign currency</w:t>
      </w:r>
      <w:r w:rsidRPr="00380510">
        <w:rPr>
          <w:rFonts w:ascii="Times" w:hAnsi="Times" w:cs="Times"/>
          <w:noProof/>
        </w:rPr>
        <w:tab/>
      </w:r>
      <w:r w:rsidRPr="00380510">
        <w:rPr>
          <w:rFonts w:ascii="Times" w:hAnsi="Times" w:cs="Times"/>
          <w:noProof/>
        </w:rPr>
        <w:fldChar w:fldCharType="begin"/>
      </w:r>
      <w:r w:rsidRPr="00380510">
        <w:rPr>
          <w:rFonts w:ascii="Times" w:hAnsi="Times" w:cs="Times"/>
          <w:noProof/>
        </w:rPr>
        <w:instrText xml:space="preserve"> PAGEREF _Toc338939157 \h </w:instrText>
      </w:r>
      <w:r w:rsidRPr="00380510">
        <w:rPr>
          <w:rFonts w:ascii="Times" w:hAnsi="Times" w:cs="Times"/>
          <w:noProof/>
        </w:rPr>
      </w:r>
      <w:r w:rsidRPr="00380510">
        <w:rPr>
          <w:rFonts w:ascii="Times" w:hAnsi="Times" w:cs="Times"/>
          <w:noProof/>
        </w:rPr>
        <w:fldChar w:fldCharType="separate"/>
      </w:r>
      <w:r w:rsidR="00623A5C">
        <w:rPr>
          <w:rFonts w:ascii="Times" w:hAnsi="Times" w:cs="Times"/>
          <w:noProof/>
        </w:rPr>
        <w:t>73</w:t>
      </w:r>
      <w:r w:rsidRPr="00380510">
        <w:rPr>
          <w:rFonts w:ascii="Times" w:hAnsi="Times" w:cs="Times"/>
          <w:noProof/>
        </w:rPr>
        <w:fldChar w:fldCharType="end"/>
      </w:r>
    </w:p>
    <w:p w:rsidR="00380510" w:rsidRDefault="00380510">
      <w:pPr>
        <w:pStyle w:val="TOC5"/>
        <w:rPr>
          <w:rFonts w:ascii="Calibri" w:hAnsi="Calibri"/>
          <w:iCs w:val="0"/>
          <w:noProof/>
          <w:kern w:val="0"/>
          <w:sz w:val="22"/>
          <w:szCs w:val="22"/>
        </w:rPr>
      </w:pPr>
      <w:r>
        <w:rPr>
          <w:noProof/>
        </w:rPr>
        <w:t>775</w:t>
      </w:r>
      <w:r>
        <w:rPr>
          <w:noProof/>
        </w:rPr>
        <w:noBreakHyphen/>
        <w:t>95</w:t>
      </w:r>
      <w:r>
        <w:rPr>
          <w:noProof/>
        </w:rPr>
        <w:tab/>
        <w:t>Proceeds of assuming an obligation to pay foreign currency</w:t>
      </w:r>
      <w:r w:rsidRPr="00380510">
        <w:rPr>
          <w:rFonts w:ascii="Times" w:hAnsi="Times" w:cs="Times"/>
          <w:noProof/>
        </w:rPr>
        <w:tab/>
      </w:r>
      <w:r w:rsidRPr="00380510">
        <w:rPr>
          <w:rFonts w:ascii="Times" w:hAnsi="Times" w:cs="Times"/>
          <w:noProof/>
        </w:rPr>
        <w:fldChar w:fldCharType="begin"/>
      </w:r>
      <w:r w:rsidRPr="00380510">
        <w:rPr>
          <w:rFonts w:ascii="Times" w:hAnsi="Times" w:cs="Times"/>
          <w:noProof/>
        </w:rPr>
        <w:instrText xml:space="preserve"> PAGEREF _Toc338939158 \h </w:instrText>
      </w:r>
      <w:r w:rsidRPr="00380510">
        <w:rPr>
          <w:rFonts w:ascii="Times" w:hAnsi="Times" w:cs="Times"/>
          <w:noProof/>
        </w:rPr>
      </w:r>
      <w:r w:rsidRPr="00380510">
        <w:rPr>
          <w:rFonts w:ascii="Times" w:hAnsi="Times" w:cs="Times"/>
          <w:noProof/>
        </w:rPr>
        <w:fldChar w:fldCharType="separate"/>
      </w:r>
      <w:r w:rsidR="00623A5C">
        <w:rPr>
          <w:rFonts w:ascii="Times" w:hAnsi="Times" w:cs="Times"/>
          <w:noProof/>
        </w:rPr>
        <w:t>74</w:t>
      </w:r>
      <w:r w:rsidRPr="00380510">
        <w:rPr>
          <w:rFonts w:ascii="Times" w:hAnsi="Times" w:cs="Times"/>
          <w:noProof/>
        </w:rPr>
        <w:fldChar w:fldCharType="end"/>
      </w:r>
    </w:p>
    <w:p w:rsidR="00380510" w:rsidRDefault="00380510">
      <w:pPr>
        <w:pStyle w:val="TOC5"/>
        <w:rPr>
          <w:rFonts w:ascii="Calibri" w:hAnsi="Calibri"/>
          <w:iCs w:val="0"/>
          <w:noProof/>
          <w:kern w:val="0"/>
          <w:sz w:val="22"/>
          <w:szCs w:val="22"/>
        </w:rPr>
      </w:pPr>
      <w:r>
        <w:rPr>
          <w:noProof/>
        </w:rPr>
        <w:t>775</w:t>
      </w:r>
      <w:r>
        <w:rPr>
          <w:noProof/>
        </w:rPr>
        <w:noBreakHyphen/>
        <w:t>100</w:t>
      </w:r>
      <w:r>
        <w:rPr>
          <w:noProof/>
        </w:rPr>
        <w:tab/>
        <w:t>Net costs of assuming an obligation to receive foreign currency</w:t>
      </w:r>
      <w:r w:rsidRPr="00380510">
        <w:rPr>
          <w:rFonts w:ascii="Times" w:hAnsi="Times" w:cs="Times"/>
          <w:noProof/>
        </w:rPr>
        <w:tab/>
      </w:r>
      <w:r w:rsidRPr="00380510">
        <w:rPr>
          <w:rFonts w:ascii="Times" w:hAnsi="Times" w:cs="Times"/>
          <w:noProof/>
        </w:rPr>
        <w:fldChar w:fldCharType="begin"/>
      </w:r>
      <w:r w:rsidRPr="00380510">
        <w:rPr>
          <w:rFonts w:ascii="Times" w:hAnsi="Times" w:cs="Times"/>
          <w:noProof/>
        </w:rPr>
        <w:instrText xml:space="preserve"> PAGEREF _Toc338939159 \h </w:instrText>
      </w:r>
      <w:r w:rsidRPr="00380510">
        <w:rPr>
          <w:rFonts w:ascii="Times" w:hAnsi="Times" w:cs="Times"/>
          <w:noProof/>
        </w:rPr>
      </w:r>
      <w:r w:rsidRPr="00380510">
        <w:rPr>
          <w:rFonts w:ascii="Times" w:hAnsi="Times" w:cs="Times"/>
          <w:noProof/>
        </w:rPr>
        <w:fldChar w:fldCharType="separate"/>
      </w:r>
      <w:r w:rsidR="00623A5C">
        <w:rPr>
          <w:rFonts w:ascii="Times" w:hAnsi="Times" w:cs="Times"/>
          <w:noProof/>
        </w:rPr>
        <w:t>75</w:t>
      </w:r>
      <w:r w:rsidRPr="00380510">
        <w:rPr>
          <w:rFonts w:ascii="Times" w:hAnsi="Times" w:cs="Times"/>
          <w:noProof/>
        </w:rPr>
        <w:fldChar w:fldCharType="end"/>
      </w:r>
    </w:p>
    <w:p w:rsidR="00380510" w:rsidRDefault="00380510">
      <w:pPr>
        <w:pStyle w:val="TOC5"/>
        <w:rPr>
          <w:rFonts w:ascii="Calibri" w:hAnsi="Calibri"/>
          <w:iCs w:val="0"/>
          <w:noProof/>
          <w:kern w:val="0"/>
          <w:sz w:val="22"/>
          <w:szCs w:val="22"/>
        </w:rPr>
      </w:pPr>
      <w:r>
        <w:rPr>
          <w:noProof/>
        </w:rPr>
        <w:t>775</w:t>
      </w:r>
      <w:r>
        <w:rPr>
          <w:noProof/>
        </w:rPr>
        <w:noBreakHyphen/>
        <w:t>105</w:t>
      </w:r>
      <w:r>
        <w:rPr>
          <w:noProof/>
        </w:rPr>
        <w:tab/>
        <w:t>Currency exchange rate effect</w:t>
      </w:r>
      <w:r w:rsidRPr="00380510">
        <w:rPr>
          <w:rFonts w:ascii="Times" w:hAnsi="Times" w:cs="Times"/>
          <w:noProof/>
        </w:rPr>
        <w:tab/>
      </w:r>
      <w:r w:rsidRPr="00380510">
        <w:rPr>
          <w:rFonts w:ascii="Times" w:hAnsi="Times" w:cs="Times"/>
          <w:noProof/>
        </w:rPr>
        <w:fldChar w:fldCharType="begin"/>
      </w:r>
      <w:r w:rsidRPr="00380510">
        <w:rPr>
          <w:rFonts w:ascii="Times" w:hAnsi="Times" w:cs="Times"/>
          <w:noProof/>
        </w:rPr>
        <w:instrText xml:space="preserve"> PAGEREF _Toc338939160 \h </w:instrText>
      </w:r>
      <w:r w:rsidRPr="00380510">
        <w:rPr>
          <w:rFonts w:ascii="Times" w:hAnsi="Times" w:cs="Times"/>
          <w:noProof/>
        </w:rPr>
      </w:r>
      <w:r w:rsidRPr="00380510">
        <w:rPr>
          <w:rFonts w:ascii="Times" w:hAnsi="Times" w:cs="Times"/>
          <w:noProof/>
        </w:rPr>
        <w:fldChar w:fldCharType="separate"/>
      </w:r>
      <w:r w:rsidR="00623A5C">
        <w:rPr>
          <w:rFonts w:ascii="Times" w:hAnsi="Times" w:cs="Times"/>
          <w:noProof/>
        </w:rPr>
        <w:t>76</w:t>
      </w:r>
      <w:r w:rsidRPr="00380510">
        <w:rPr>
          <w:rFonts w:ascii="Times" w:hAnsi="Times" w:cs="Times"/>
          <w:noProof/>
        </w:rPr>
        <w:fldChar w:fldCharType="end"/>
      </w:r>
    </w:p>
    <w:p w:rsidR="00380510" w:rsidRDefault="00380510">
      <w:pPr>
        <w:pStyle w:val="TOC5"/>
        <w:rPr>
          <w:rFonts w:ascii="Calibri" w:hAnsi="Calibri"/>
          <w:iCs w:val="0"/>
          <w:noProof/>
          <w:kern w:val="0"/>
          <w:sz w:val="22"/>
          <w:szCs w:val="22"/>
        </w:rPr>
      </w:pPr>
      <w:r>
        <w:rPr>
          <w:noProof/>
        </w:rPr>
        <w:t>775</w:t>
      </w:r>
      <w:r>
        <w:rPr>
          <w:noProof/>
        </w:rPr>
        <w:noBreakHyphen/>
        <w:t>110</w:t>
      </w:r>
      <w:r>
        <w:rPr>
          <w:noProof/>
        </w:rPr>
        <w:tab/>
        <w:t>Constructive receipts and payments</w:t>
      </w:r>
      <w:r w:rsidRPr="00380510">
        <w:rPr>
          <w:rFonts w:ascii="Times" w:hAnsi="Times" w:cs="Times"/>
          <w:noProof/>
        </w:rPr>
        <w:tab/>
      </w:r>
      <w:r w:rsidRPr="00380510">
        <w:rPr>
          <w:rFonts w:ascii="Times" w:hAnsi="Times" w:cs="Times"/>
          <w:noProof/>
        </w:rPr>
        <w:fldChar w:fldCharType="begin"/>
      </w:r>
      <w:r w:rsidRPr="00380510">
        <w:rPr>
          <w:rFonts w:ascii="Times" w:hAnsi="Times" w:cs="Times"/>
          <w:noProof/>
        </w:rPr>
        <w:instrText xml:space="preserve"> PAGEREF _Toc338939161 \h </w:instrText>
      </w:r>
      <w:r w:rsidRPr="00380510">
        <w:rPr>
          <w:rFonts w:ascii="Times" w:hAnsi="Times" w:cs="Times"/>
          <w:noProof/>
        </w:rPr>
      </w:r>
      <w:r w:rsidRPr="00380510">
        <w:rPr>
          <w:rFonts w:ascii="Times" w:hAnsi="Times" w:cs="Times"/>
          <w:noProof/>
        </w:rPr>
        <w:fldChar w:fldCharType="separate"/>
      </w:r>
      <w:r w:rsidR="00623A5C">
        <w:rPr>
          <w:rFonts w:ascii="Times" w:hAnsi="Times" w:cs="Times"/>
          <w:noProof/>
        </w:rPr>
        <w:t>76</w:t>
      </w:r>
      <w:r w:rsidRPr="00380510">
        <w:rPr>
          <w:rFonts w:ascii="Times" w:hAnsi="Times" w:cs="Times"/>
          <w:noProof/>
        </w:rPr>
        <w:fldChar w:fldCharType="end"/>
      </w:r>
    </w:p>
    <w:p w:rsidR="00380510" w:rsidRDefault="00380510">
      <w:pPr>
        <w:pStyle w:val="TOC5"/>
        <w:rPr>
          <w:rFonts w:ascii="Calibri" w:hAnsi="Calibri"/>
          <w:iCs w:val="0"/>
          <w:noProof/>
          <w:kern w:val="0"/>
          <w:sz w:val="22"/>
          <w:szCs w:val="22"/>
        </w:rPr>
      </w:pPr>
      <w:r>
        <w:rPr>
          <w:noProof/>
        </w:rPr>
        <w:t>775</w:t>
      </w:r>
      <w:r>
        <w:rPr>
          <w:noProof/>
        </w:rPr>
        <w:noBreakHyphen/>
        <w:t>115</w:t>
      </w:r>
      <w:r>
        <w:rPr>
          <w:noProof/>
        </w:rPr>
        <w:tab/>
        <w:t>Economic set</w:t>
      </w:r>
      <w:r>
        <w:rPr>
          <w:noProof/>
        </w:rPr>
        <w:noBreakHyphen/>
        <w:t>off to be treated as legal set</w:t>
      </w:r>
      <w:r>
        <w:rPr>
          <w:noProof/>
        </w:rPr>
        <w:noBreakHyphen/>
        <w:t>off</w:t>
      </w:r>
      <w:r w:rsidRPr="00380510">
        <w:rPr>
          <w:rFonts w:ascii="Times" w:hAnsi="Times" w:cs="Times"/>
          <w:noProof/>
        </w:rPr>
        <w:tab/>
      </w:r>
      <w:r w:rsidRPr="00380510">
        <w:rPr>
          <w:rFonts w:ascii="Times" w:hAnsi="Times" w:cs="Times"/>
          <w:noProof/>
        </w:rPr>
        <w:fldChar w:fldCharType="begin"/>
      </w:r>
      <w:r w:rsidRPr="00380510">
        <w:rPr>
          <w:rFonts w:ascii="Times" w:hAnsi="Times" w:cs="Times"/>
          <w:noProof/>
        </w:rPr>
        <w:instrText xml:space="preserve"> PAGEREF _Toc338939162 \h </w:instrText>
      </w:r>
      <w:r w:rsidRPr="00380510">
        <w:rPr>
          <w:rFonts w:ascii="Times" w:hAnsi="Times" w:cs="Times"/>
          <w:noProof/>
        </w:rPr>
      </w:r>
      <w:r w:rsidRPr="00380510">
        <w:rPr>
          <w:rFonts w:ascii="Times" w:hAnsi="Times" w:cs="Times"/>
          <w:noProof/>
        </w:rPr>
        <w:fldChar w:fldCharType="separate"/>
      </w:r>
      <w:r w:rsidR="00623A5C">
        <w:rPr>
          <w:rFonts w:ascii="Times" w:hAnsi="Times" w:cs="Times"/>
          <w:noProof/>
        </w:rPr>
        <w:t>77</w:t>
      </w:r>
      <w:r w:rsidRPr="00380510">
        <w:rPr>
          <w:rFonts w:ascii="Times" w:hAnsi="Times" w:cs="Times"/>
          <w:noProof/>
        </w:rPr>
        <w:fldChar w:fldCharType="end"/>
      </w:r>
    </w:p>
    <w:p w:rsidR="00380510" w:rsidRDefault="00380510">
      <w:pPr>
        <w:pStyle w:val="TOC5"/>
        <w:rPr>
          <w:rFonts w:ascii="Calibri" w:hAnsi="Calibri"/>
          <w:iCs w:val="0"/>
          <w:noProof/>
          <w:kern w:val="0"/>
          <w:sz w:val="22"/>
          <w:szCs w:val="22"/>
        </w:rPr>
      </w:pPr>
      <w:r>
        <w:rPr>
          <w:noProof/>
        </w:rPr>
        <w:t>775</w:t>
      </w:r>
      <w:r>
        <w:rPr>
          <w:noProof/>
        </w:rPr>
        <w:noBreakHyphen/>
        <w:t>120</w:t>
      </w:r>
      <w:r>
        <w:rPr>
          <w:noProof/>
        </w:rPr>
        <w:tab/>
        <w:t>Non</w:t>
      </w:r>
      <w:r>
        <w:rPr>
          <w:noProof/>
        </w:rPr>
        <w:noBreakHyphen/>
        <w:t>arm’s length transactions</w:t>
      </w:r>
      <w:r w:rsidRPr="00380510">
        <w:rPr>
          <w:rFonts w:ascii="Times" w:hAnsi="Times" w:cs="Times"/>
          <w:noProof/>
        </w:rPr>
        <w:tab/>
      </w:r>
      <w:r w:rsidRPr="00380510">
        <w:rPr>
          <w:rFonts w:ascii="Times" w:hAnsi="Times" w:cs="Times"/>
          <w:noProof/>
        </w:rPr>
        <w:fldChar w:fldCharType="begin"/>
      </w:r>
      <w:r w:rsidRPr="00380510">
        <w:rPr>
          <w:rFonts w:ascii="Times" w:hAnsi="Times" w:cs="Times"/>
          <w:noProof/>
        </w:rPr>
        <w:instrText xml:space="preserve"> PAGEREF _Toc338939163 \h </w:instrText>
      </w:r>
      <w:r w:rsidRPr="00380510">
        <w:rPr>
          <w:rFonts w:ascii="Times" w:hAnsi="Times" w:cs="Times"/>
          <w:noProof/>
        </w:rPr>
      </w:r>
      <w:r w:rsidRPr="00380510">
        <w:rPr>
          <w:rFonts w:ascii="Times" w:hAnsi="Times" w:cs="Times"/>
          <w:noProof/>
        </w:rPr>
        <w:fldChar w:fldCharType="separate"/>
      </w:r>
      <w:r w:rsidR="00623A5C">
        <w:rPr>
          <w:rFonts w:ascii="Times" w:hAnsi="Times" w:cs="Times"/>
          <w:noProof/>
        </w:rPr>
        <w:t>77</w:t>
      </w:r>
      <w:r w:rsidRPr="00380510">
        <w:rPr>
          <w:rFonts w:ascii="Times" w:hAnsi="Times" w:cs="Times"/>
          <w:noProof/>
        </w:rPr>
        <w:fldChar w:fldCharType="end"/>
      </w:r>
    </w:p>
    <w:p w:rsidR="00380510" w:rsidRDefault="00380510">
      <w:pPr>
        <w:pStyle w:val="TOC5"/>
        <w:rPr>
          <w:rFonts w:ascii="Calibri" w:hAnsi="Calibri"/>
          <w:iCs w:val="0"/>
          <w:noProof/>
          <w:kern w:val="0"/>
          <w:sz w:val="22"/>
          <w:szCs w:val="22"/>
        </w:rPr>
      </w:pPr>
      <w:r>
        <w:rPr>
          <w:noProof/>
        </w:rPr>
        <w:t>775</w:t>
      </w:r>
      <w:r>
        <w:rPr>
          <w:noProof/>
        </w:rPr>
        <w:noBreakHyphen/>
        <w:t>125</w:t>
      </w:r>
      <w:r>
        <w:rPr>
          <w:noProof/>
        </w:rPr>
        <w:tab/>
        <w:t>CGT consequences of the acquisition of foreign currency as a result of forex realisation event 2 or 3</w:t>
      </w:r>
      <w:r w:rsidRPr="00380510">
        <w:rPr>
          <w:rFonts w:ascii="Times" w:hAnsi="Times" w:cs="Times"/>
          <w:noProof/>
        </w:rPr>
        <w:tab/>
      </w:r>
      <w:r w:rsidRPr="00380510">
        <w:rPr>
          <w:rFonts w:ascii="Times" w:hAnsi="Times" w:cs="Times"/>
          <w:noProof/>
        </w:rPr>
        <w:fldChar w:fldCharType="begin"/>
      </w:r>
      <w:r w:rsidRPr="00380510">
        <w:rPr>
          <w:rFonts w:ascii="Times" w:hAnsi="Times" w:cs="Times"/>
          <w:noProof/>
        </w:rPr>
        <w:instrText xml:space="preserve"> PAGEREF _Toc338939164 \h </w:instrText>
      </w:r>
      <w:r w:rsidRPr="00380510">
        <w:rPr>
          <w:rFonts w:ascii="Times" w:hAnsi="Times" w:cs="Times"/>
          <w:noProof/>
        </w:rPr>
      </w:r>
      <w:r w:rsidRPr="00380510">
        <w:rPr>
          <w:rFonts w:ascii="Times" w:hAnsi="Times" w:cs="Times"/>
          <w:noProof/>
        </w:rPr>
        <w:fldChar w:fldCharType="separate"/>
      </w:r>
      <w:r w:rsidR="00623A5C">
        <w:rPr>
          <w:rFonts w:ascii="Times" w:hAnsi="Times" w:cs="Times"/>
          <w:noProof/>
        </w:rPr>
        <w:t>77</w:t>
      </w:r>
      <w:r w:rsidRPr="00380510">
        <w:rPr>
          <w:rFonts w:ascii="Times" w:hAnsi="Times" w:cs="Times"/>
          <w:noProof/>
        </w:rPr>
        <w:fldChar w:fldCharType="end"/>
      </w:r>
    </w:p>
    <w:p w:rsidR="00380510" w:rsidRDefault="00380510">
      <w:pPr>
        <w:pStyle w:val="TOC5"/>
        <w:rPr>
          <w:rFonts w:ascii="Calibri" w:hAnsi="Calibri"/>
          <w:iCs w:val="0"/>
          <w:noProof/>
          <w:kern w:val="0"/>
          <w:sz w:val="22"/>
          <w:szCs w:val="22"/>
        </w:rPr>
      </w:pPr>
      <w:r>
        <w:rPr>
          <w:noProof/>
        </w:rPr>
        <w:t>775</w:t>
      </w:r>
      <w:r>
        <w:rPr>
          <w:noProof/>
        </w:rPr>
        <w:noBreakHyphen/>
        <w:t>130</w:t>
      </w:r>
      <w:r>
        <w:rPr>
          <w:noProof/>
        </w:rPr>
        <w:tab/>
        <w:t>Certain deductions not allowable</w:t>
      </w:r>
      <w:r w:rsidRPr="00380510">
        <w:rPr>
          <w:rFonts w:ascii="Times" w:hAnsi="Times" w:cs="Times"/>
          <w:noProof/>
        </w:rPr>
        <w:tab/>
      </w:r>
      <w:r w:rsidRPr="00380510">
        <w:rPr>
          <w:rFonts w:ascii="Times" w:hAnsi="Times" w:cs="Times"/>
          <w:noProof/>
        </w:rPr>
        <w:fldChar w:fldCharType="begin"/>
      </w:r>
      <w:r w:rsidRPr="00380510">
        <w:rPr>
          <w:rFonts w:ascii="Times" w:hAnsi="Times" w:cs="Times"/>
          <w:noProof/>
        </w:rPr>
        <w:instrText xml:space="preserve"> PAGEREF _Toc338939165 \h </w:instrText>
      </w:r>
      <w:r w:rsidRPr="00380510">
        <w:rPr>
          <w:rFonts w:ascii="Times" w:hAnsi="Times" w:cs="Times"/>
          <w:noProof/>
        </w:rPr>
      </w:r>
      <w:r w:rsidRPr="00380510">
        <w:rPr>
          <w:rFonts w:ascii="Times" w:hAnsi="Times" w:cs="Times"/>
          <w:noProof/>
        </w:rPr>
        <w:fldChar w:fldCharType="separate"/>
      </w:r>
      <w:r w:rsidR="00623A5C">
        <w:rPr>
          <w:rFonts w:ascii="Times" w:hAnsi="Times" w:cs="Times"/>
          <w:noProof/>
        </w:rPr>
        <w:t>78</w:t>
      </w:r>
      <w:r w:rsidRPr="00380510">
        <w:rPr>
          <w:rFonts w:ascii="Times" w:hAnsi="Times" w:cs="Times"/>
          <w:noProof/>
        </w:rPr>
        <w:fldChar w:fldCharType="end"/>
      </w:r>
    </w:p>
    <w:p w:rsidR="00380510" w:rsidRDefault="00380510">
      <w:pPr>
        <w:pStyle w:val="TOC5"/>
        <w:rPr>
          <w:rFonts w:ascii="Calibri" w:hAnsi="Calibri"/>
          <w:iCs w:val="0"/>
          <w:noProof/>
          <w:kern w:val="0"/>
          <w:sz w:val="22"/>
          <w:szCs w:val="22"/>
        </w:rPr>
      </w:pPr>
      <w:r>
        <w:rPr>
          <w:noProof/>
        </w:rPr>
        <w:t>775</w:t>
      </w:r>
      <w:r>
        <w:rPr>
          <w:noProof/>
        </w:rPr>
        <w:noBreakHyphen/>
        <w:t>135</w:t>
      </w:r>
      <w:r>
        <w:rPr>
          <w:noProof/>
        </w:rPr>
        <w:tab/>
        <w:t>Right to receive or pay foreign currency</w:t>
      </w:r>
      <w:r w:rsidRPr="00380510">
        <w:rPr>
          <w:rFonts w:ascii="Times" w:hAnsi="Times" w:cs="Times"/>
          <w:noProof/>
        </w:rPr>
        <w:tab/>
      </w:r>
      <w:r w:rsidRPr="00380510">
        <w:rPr>
          <w:rFonts w:ascii="Times" w:hAnsi="Times" w:cs="Times"/>
          <w:noProof/>
        </w:rPr>
        <w:fldChar w:fldCharType="begin"/>
      </w:r>
      <w:r w:rsidRPr="00380510">
        <w:rPr>
          <w:rFonts w:ascii="Times" w:hAnsi="Times" w:cs="Times"/>
          <w:noProof/>
        </w:rPr>
        <w:instrText xml:space="preserve"> PAGEREF _Toc338939166 \h </w:instrText>
      </w:r>
      <w:r w:rsidRPr="00380510">
        <w:rPr>
          <w:rFonts w:ascii="Times" w:hAnsi="Times" w:cs="Times"/>
          <w:noProof/>
        </w:rPr>
      </w:r>
      <w:r w:rsidRPr="00380510">
        <w:rPr>
          <w:rFonts w:ascii="Times" w:hAnsi="Times" w:cs="Times"/>
          <w:noProof/>
        </w:rPr>
        <w:fldChar w:fldCharType="separate"/>
      </w:r>
      <w:r w:rsidR="00623A5C">
        <w:rPr>
          <w:rFonts w:ascii="Times" w:hAnsi="Times" w:cs="Times"/>
          <w:noProof/>
        </w:rPr>
        <w:t>78</w:t>
      </w:r>
      <w:r w:rsidRPr="00380510">
        <w:rPr>
          <w:rFonts w:ascii="Times" w:hAnsi="Times" w:cs="Times"/>
          <w:noProof/>
        </w:rPr>
        <w:fldChar w:fldCharType="end"/>
      </w:r>
    </w:p>
    <w:p w:rsidR="00380510" w:rsidRDefault="00380510">
      <w:pPr>
        <w:pStyle w:val="TOC5"/>
        <w:rPr>
          <w:rFonts w:ascii="Calibri" w:hAnsi="Calibri"/>
          <w:iCs w:val="0"/>
          <w:noProof/>
          <w:kern w:val="0"/>
          <w:sz w:val="22"/>
          <w:szCs w:val="22"/>
        </w:rPr>
      </w:pPr>
      <w:r>
        <w:rPr>
          <w:noProof/>
        </w:rPr>
        <w:lastRenderedPageBreak/>
        <w:t>775</w:t>
      </w:r>
      <w:r>
        <w:rPr>
          <w:noProof/>
        </w:rPr>
        <w:noBreakHyphen/>
        <w:t>140</w:t>
      </w:r>
      <w:r>
        <w:rPr>
          <w:noProof/>
        </w:rPr>
        <w:tab/>
        <w:t>Obligation to pay or receive foreign currency</w:t>
      </w:r>
      <w:r w:rsidRPr="00380510">
        <w:rPr>
          <w:rFonts w:ascii="Times" w:hAnsi="Times" w:cs="Times"/>
          <w:noProof/>
        </w:rPr>
        <w:tab/>
      </w:r>
      <w:r w:rsidRPr="00380510">
        <w:rPr>
          <w:rFonts w:ascii="Times" w:hAnsi="Times" w:cs="Times"/>
          <w:noProof/>
        </w:rPr>
        <w:fldChar w:fldCharType="begin"/>
      </w:r>
      <w:r w:rsidRPr="00380510">
        <w:rPr>
          <w:rFonts w:ascii="Times" w:hAnsi="Times" w:cs="Times"/>
          <w:noProof/>
        </w:rPr>
        <w:instrText xml:space="preserve"> PAGEREF _Toc338939167 \h </w:instrText>
      </w:r>
      <w:r w:rsidRPr="00380510">
        <w:rPr>
          <w:rFonts w:ascii="Times" w:hAnsi="Times" w:cs="Times"/>
          <w:noProof/>
        </w:rPr>
      </w:r>
      <w:r w:rsidRPr="00380510">
        <w:rPr>
          <w:rFonts w:ascii="Times" w:hAnsi="Times" w:cs="Times"/>
          <w:noProof/>
        </w:rPr>
        <w:fldChar w:fldCharType="separate"/>
      </w:r>
      <w:r w:rsidR="00623A5C">
        <w:rPr>
          <w:rFonts w:ascii="Times" w:hAnsi="Times" w:cs="Times"/>
          <w:noProof/>
        </w:rPr>
        <w:t>79</w:t>
      </w:r>
      <w:r w:rsidRPr="00380510">
        <w:rPr>
          <w:rFonts w:ascii="Times" w:hAnsi="Times" w:cs="Times"/>
          <w:noProof/>
        </w:rPr>
        <w:fldChar w:fldCharType="end"/>
      </w:r>
    </w:p>
    <w:p w:rsidR="00380510" w:rsidRDefault="00380510">
      <w:pPr>
        <w:pStyle w:val="TOC5"/>
        <w:rPr>
          <w:rFonts w:ascii="Calibri" w:hAnsi="Calibri"/>
          <w:iCs w:val="0"/>
          <w:noProof/>
          <w:kern w:val="0"/>
          <w:sz w:val="22"/>
          <w:szCs w:val="22"/>
        </w:rPr>
      </w:pPr>
      <w:r>
        <w:rPr>
          <w:noProof/>
        </w:rPr>
        <w:t>775</w:t>
      </w:r>
      <w:r>
        <w:rPr>
          <w:noProof/>
        </w:rPr>
        <w:noBreakHyphen/>
        <w:t>145</w:t>
      </w:r>
      <w:r>
        <w:rPr>
          <w:noProof/>
        </w:rPr>
        <w:tab/>
        <w:t>Application of forex realisation events to currency and fungible rights and obligations</w:t>
      </w:r>
      <w:r w:rsidRPr="00380510">
        <w:rPr>
          <w:rFonts w:ascii="Times" w:hAnsi="Times" w:cs="Times"/>
          <w:noProof/>
        </w:rPr>
        <w:tab/>
      </w:r>
      <w:r w:rsidRPr="00380510">
        <w:rPr>
          <w:rFonts w:ascii="Times" w:hAnsi="Times" w:cs="Times"/>
          <w:noProof/>
        </w:rPr>
        <w:fldChar w:fldCharType="begin"/>
      </w:r>
      <w:r w:rsidRPr="00380510">
        <w:rPr>
          <w:rFonts w:ascii="Times" w:hAnsi="Times" w:cs="Times"/>
          <w:noProof/>
        </w:rPr>
        <w:instrText xml:space="preserve"> PAGEREF _Toc338939168 \h </w:instrText>
      </w:r>
      <w:r w:rsidRPr="00380510">
        <w:rPr>
          <w:rFonts w:ascii="Times" w:hAnsi="Times" w:cs="Times"/>
          <w:noProof/>
        </w:rPr>
      </w:r>
      <w:r w:rsidRPr="00380510">
        <w:rPr>
          <w:rFonts w:ascii="Times" w:hAnsi="Times" w:cs="Times"/>
          <w:noProof/>
        </w:rPr>
        <w:fldChar w:fldCharType="separate"/>
      </w:r>
      <w:r w:rsidR="00623A5C">
        <w:rPr>
          <w:rFonts w:ascii="Times" w:hAnsi="Times" w:cs="Times"/>
          <w:noProof/>
        </w:rPr>
        <w:t>79</w:t>
      </w:r>
      <w:r w:rsidRPr="00380510">
        <w:rPr>
          <w:rFonts w:ascii="Times" w:hAnsi="Times" w:cs="Times"/>
          <w:noProof/>
        </w:rPr>
        <w:fldChar w:fldCharType="end"/>
      </w:r>
    </w:p>
    <w:p w:rsidR="00380510" w:rsidRDefault="00380510">
      <w:pPr>
        <w:pStyle w:val="TOC5"/>
        <w:rPr>
          <w:rFonts w:ascii="Calibri" w:hAnsi="Calibri"/>
          <w:iCs w:val="0"/>
          <w:noProof/>
          <w:kern w:val="0"/>
          <w:sz w:val="22"/>
          <w:szCs w:val="22"/>
        </w:rPr>
      </w:pPr>
      <w:r>
        <w:rPr>
          <w:noProof/>
        </w:rPr>
        <w:t>775</w:t>
      </w:r>
      <w:r>
        <w:rPr>
          <w:noProof/>
        </w:rPr>
        <w:noBreakHyphen/>
        <w:t>150</w:t>
      </w:r>
      <w:r>
        <w:rPr>
          <w:noProof/>
        </w:rPr>
        <w:tab/>
        <w:t>Transitional election</w:t>
      </w:r>
      <w:r w:rsidRPr="00380510">
        <w:rPr>
          <w:rFonts w:ascii="Times" w:hAnsi="Times" w:cs="Times"/>
          <w:noProof/>
        </w:rPr>
        <w:tab/>
      </w:r>
      <w:r w:rsidRPr="00380510">
        <w:rPr>
          <w:rFonts w:ascii="Times" w:hAnsi="Times" w:cs="Times"/>
          <w:noProof/>
        </w:rPr>
        <w:fldChar w:fldCharType="begin"/>
      </w:r>
      <w:r w:rsidRPr="00380510">
        <w:rPr>
          <w:rFonts w:ascii="Times" w:hAnsi="Times" w:cs="Times"/>
          <w:noProof/>
        </w:rPr>
        <w:instrText xml:space="preserve"> PAGEREF _Toc338939169 \h </w:instrText>
      </w:r>
      <w:r w:rsidRPr="00380510">
        <w:rPr>
          <w:rFonts w:ascii="Times" w:hAnsi="Times" w:cs="Times"/>
          <w:noProof/>
        </w:rPr>
      </w:r>
      <w:r w:rsidRPr="00380510">
        <w:rPr>
          <w:rFonts w:ascii="Times" w:hAnsi="Times" w:cs="Times"/>
          <w:noProof/>
        </w:rPr>
        <w:fldChar w:fldCharType="separate"/>
      </w:r>
      <w:r w:rsidR="00623A5C">
        <w:rPr>
          <w:rFonts w:ascii="Times" w:hAnsi="Times" w:cs="Times"/>
          <w:noProof/>
        </w:rPr>
        <w:t>80</w:t>
      </w:r>
      <w:r w:rsidRPr="00380510">
        <w:rPr>
          <w:rFonts w:ascii="Times" w:hAnsi="Times" w:cs="Times"/>
          <w:noProof/>
        </w:rPr>
        <w:fldChar w:fldCharType="end"/>
      </w:r>
    </w:p>
    <w:p w:rsidR="00380510" w:rsidRDefault="00380510">
      <w:pPr>
        <w:pStyle w:val="TOC5"/>
        <w:rPr>
          <w:rFonts w:ascii="Calibri" w:hAnsi="Calibri"/>
          <w:iCs w:val="0"/>
          <w:noProof/>
          <w:kern w:val="0"/>
          <w:sz w:val="22"/>
          <w:szCs w:val="22"/>
        </w:rPr>
      </w:pPr>
      <w:r>
        <w:rPr>
          <w:noProof/>
        </w:rPr>
        <w:t>775</w:t>
      </w:r>
      <w:r>
        <w:rPr>
          <w:noProof/>
        </w:rPr>
        <w:noBreakHyphen/>
        <w:t>155</w:t>
      </w:r>
      <w:r>
        <w:rPr>
          <w:noProof/>
        </w:rPr>
        <w:tab/>
        <w:t>Applicable commencement date</w:t>
      </w:r>
      <w:r w:rsidRPr="00380510">
        <w:rPr>
          <w:rFonts w:ascii="Times" w:hAnsi="Times" w:cs="Times"/>
          <w:noProof/>
        </w:rPr>
        <w:tab/>
      </w:r>
      <w:r w:rsidRPr="00380510">
        <w:rPr>
          <w:rFonts w:ascii="Times" w:hAnsi="Times" w:cs="Times"/>
          <w:noProof/>
        </w:rPr>
        <w:fldChar w:fldCharType="begin"/>
      </w:r>
      <w:r w:rsidRPr="00380510">
        <w:rPr>
          <w:rFonts w:ascii="Times" w:hAnsi="Times" w:cs="Times"/>
          <w:noProof/>
        </w:rPr>
        <w:instrText xml:space="preserve"> PAGEREF _Toc338939170 \h </w:instrText>
      </w:r>
      <w:r w:rsidRPr="00380510">
        <w:rPr>
          <w:rFonts w:ascii="Times" w:hAnsi="Times" w:cs="Times"/>
          <w:noProof/>
        </w:rPr>
      </w:r>
      <w:r w:rsidRPr="00380510">
        <w:rPr>
          <w:rFonts w:ascii="Times" w:hAnsi="Times" w:cs="Times"/>
          <w:noProof/>
        </w:rPr>
        <w:fldChar w:fldCharType="separate"/>
      </w:r>
      <w:r w:rsidR="00623A5C">
        <w:rPr>
          <w:rFonts w:ascii="Times" w:hAnsi="Times" w:cs="Times"/>
          <w:noProof/>
        </w:rPr>
        <w:t>81</w:t>
      </w:r>
      <w:r w:rsidRPr="00380510">
        <w:rPr>
          <w:rFonts w:ascii="Times" w:hAnsi="Times" w:cs="Times"/>
          <w:noProof/>
        </w:rPr>
        <w:fldChar w:fldCharType="end"/>
      </w:r>
    </w:p>
    <w:p w:rsidR="00380510" w:rsidRDefault="00380510">
      <w:pPr>
        <w:pStyle w:val="TOC5"/>
        <w:rPr>
          <w:rFonts w:ascii="Calibri" w:hAnsi="Calibri"/>
          <w:iCs w:val="0"/>
          <w:noProof/>
          <w:kern w:val="0"/>
          <w:sz w:val="22"/>
          <w:szCs w:val="22"/>
        </w:rPr>
      </w:pPr>
      <w:r>
        <w:rPr>
          <w:noProof/>
        </w:rPr>
        <w:t>775</w:t>
      </w:r>
      <w:r>
        <w:rPr>
          <w:noProof/>
        </w:rPr>
        <w:noBreakHyphen/>
        <w:t>160</w:t>
      </w:r>
      <w:r>
        <w:rPr>
          <w:noProof/>
        </w:rPr>
        <w:tab/>
        <w:t>Exception—event happens before the applicable commencement date</w:t>
      </w:r>
      <w:r w:rsidRPr="00380510">
        <w:rPr>
          <w:rFonts w:ascii="Times" w:hAnsi="Times" w:cs="Times"/>
          <w:noProof/>
        </w:rPr>
        <w:tab/>
      </w:r>
      <w:r w:rsidRPr="00380510">
        <w:rPr>
          <w:rFonts w:ascii="Times" w:hAnsi="Times" w:cs="Times"/>
          <w:noProof/>
        </w:rPr>
        <w:fldChar w:fldCharType="begin"/>
      </w:r>
      <w:r w:rsidRPr="00380510">
        <w:rPr>
          <w:rFonts w:ascii="Times" w:hAnsi="Times" w:cs="Times"/>
          <w:noProof/>
        </w:rPr>
        <w:instrText xml:space="preserve"> PAGEREF _Toc338939171 \h </w:instrText>
      </w:r>
      <w:r w:rsidRPr="00380510">
        <w:rPr>
          <w:rFonts w:ascii="Times" w:hAnsi="Times" w:cs="Times"/>
          <w:noProof/>
        </w:rPr>
      </w:r>
      <w:r w:rsidRPr="00380510">
        <w:rPr>
          <w:rFonts w:ascii="Times" w:hAnsi="Times" w:cs="Times"/>
          <w:noProof/>
        </w:rPr>
        <w:fldChar w:fldCharType="separate"/>
      </w:r>
      <w:r w:rsidR="00623A5C">
        <w:rPr>
          <w:rFonts w:ascii="Times" w:hAnsi="Times" w:cs="Times"/>
          <w:noProof/>
        </w:rPr>
        <w:t>81</w:t>
      </w:r>
      <w:r w:rsidRPr="00380510">
        <w:rPr>
          <w:rFonts w:ascii="Times" w:hAnsi="Times" w:cs="Times"/>
          <w:noProof/>
        </w:rPr>
        <w:fldChar w:fldCharType="end"/>
      </w:r>
    </w:p>
    <w:p w:rsidR="00380510" w:rsidRDefault="00380510">
      <w:pPr>
        <w:pStyle w:val="TOC5"/>
        <w:rPr>
          <w:rFonts w:ascii="Calibri" w:hAnsi="Calibri"/>
          <w:iCs w:val="0"/>
          <w:noProof/>
          <w:kern w:val="0"/>
          <w:sz w:val="22"/>
          <w:szCs w:val="22"/>
        </w:rPr>
      </w:pPr>
      <w:r>
        <w:rPr>
          <w:noProof/>
        </w:rPr>
        <w:t>775</w:t>
      </w:r>
      <w:r>
        <w:rPr>
          <w:noProof/>
        </w:rPr>
        <w:noBreakHyphen/>
        <w:t>165</w:t>
      </w:r>
      <w:r>
        <w:rPr>
          <w:noProof/>
        </w:rPr>
        <w:tab/>
        <w:t>Exception—currency or right acquired, or obligation incurred, before the applicable commencement date</w:t>
      </w:r>
      <w:r w:rsidRPr="00380510">
        <w:rPr>
          <w:rFonts w:ascii="Times" w:hAnsi="Times" w:cs="Times"/>
          <w:noProof/>
        </w:rPr>
        <w:tab/>
      </w:r>
      <w:r w:rsidRPr="00380510">
        <w:rPr>
          <w:rFonts w:ascii="Times" w:hAnsi="Times" w:cs="Times"/>
          <w:noProof/>
        </w:rPr>
        <w:fldChar w:fldCharType="begin"/>
      </w:r>
      <w:r w:rsidRPr="00380510">
        <w:rPr>
          <w:rFonts w:ascii="Times" w:hAnsi="Times" w:cs="Times"/>
          <w:noProof/>
        </w:rPr>
        <w:instrText xml:space="preserve"> PAGEREF _Toc338939172 \h </w:instrText>
      </w:r>
      <w:r w:rsidRPr="00380510">
        <w:rPr>
          <w:rFonts w:ascii="Times" w:hAnsi="Times" w:cs="Times"/>
          <w:noProof/>
        </w:rPr>
      </w:r>
      <w:r w:rsidRPr="00380510">
        <w:rPr>
          <w:rFonts w:ascii="Times" w:hAnsi="Times" w:cs="Times"/>
          <w:noProof/>
        </w:rPr>
        <w:fldChar w:fldCharType="separate"/>
      </w:r>
      <w:r w:rsidR="00623A5C">
        <w:rPr>
          <w:rFonts w:ascii="Times" w:hAnsi="Times" w:cs="Times"/>
          <w:noProof/>
        </w:rPr>
        <w:t>81</w:t>
      </w:r>
      <w:r w:rsidRPr="00380510">
        <w:rPr>
          <w:rFonts w:ascii="Times" w:hAnsi="Times" w:cs="Times"/>
          <w:noProof/>
        </w:rPr>
        <w:fldChar w:fldCharType="end"/>
      </w:r>
    </w:p>
    <w:p w:rsidR="00380510" w:rsidRDefault="00380510">
      <w:pPr>
        <w:pStyle w:val="TOC5"/>
        <w:rPr>
          <w:rFonts w:ascii="Calibri" w:hAnsi="Calibri"/>
          <w:iCs w:val="0"/>
          <w:noProof/>
          <w:kern w:val="0"/>
          <w:sz w:val="22"/>
          <w:szCs w:val="22"/>
        </w:rPr>
      </w:pPr>
      <w:r>
        <w:rPr>
          <w:noProof/>
        </w:rPr>
        <w:t>775</w:t>
      </w:r>
      <w:r>
        <w:rPr>
          <w:noProof/>
        </w:rPr>
        <w:noBreakHyphen/>
        <w:t>168</w:t>
      </w:r>
      <w:r>
        <w:rPr>
          <w:noProof/>
        </w:rPr>
        <w:tab/>
        <w:t>Exception—disposal or redemption of traditional securities</w:t>
      </w:r>
      <w:r w:rsidRPr="00380510">
        <w:rPr>
          <w:rFonts w:ascii="Times" w:hAnsi="Times" w:cs="Times"/>
          <w:noProof/>
        </w:rPr>
        <w:tab/>
      </w:r>
      <w:r w:rsidRPr="00380510">
        <w:rPr>
          <w:rFonts w:ascii="Times" w:hAnsi="Times" w:cs="Times"/>
          <w:noProof/>
        </w:rPr>
        <w:fldChar w:fldCharType="begin"/>
      </w:r>
      <w:r w:rsidRPr="00380510">
        <w:rPr>
          <w:rFonts w:ascii="Times" w:hAnsi="Times" w:cs="Times"/>
          <w:noProof/>
        </w:rPr>
        <w:instrText xml:space="preserve"> PAGEREF _Toc338939173 \h </w:instrText>
      </w:r>
      <w:r w:rsidRPr="00380510">
        <w:rPr>
          <w:rFonts w:ascii="Times" w:hAnsi="Times" w:cs="Times"/>
          <w:noProof/>
        </w:rPr>
      </w:r>
      <w:r w:rsidRPr="00380510">
        <w:rPr>
          <w:rFonts w:ascii="Times" w:hAnsi="Times" w:cs="Times"/>
          <w:noProof/>
        </w:rPr>
        <w:fldChar w:fldCharType="separate"/>
      </w:r>
      <w:r w:rsidR="00623A5C">
        <w:rPr>
          <w:rFonts w:ascii="Times" w:hAnsi="Times" w:cs="Times"/>
          <w:noProof/>
        </w:rPr>
        <w:t>83</w:t>
      </w:r>
      <w:r w:rsidRPr="00380510">
        <w:rPr>
          <w:rFonts w:ascii="Times" w:hAnsi="Times" w:cs="Times"/>
          <w:noProof/>
        </w:rPr>
        <w:fldChar w:fldCharType="end"/>
      </w:r>
    </w:p>
    <w:p w:rsidR="00380510" w:rsidRDefault="00380510">
      <w:pPr>
        <w:pStyle w:val="TOC5"/>
        <w:rPr>
          <w:rFonts w:ascii="Calibri" w:hAnsi="Calibri"/>
          <w:iCs w:val="0"/>
          <w:noProof/>
          <w:kern w:val="0"/>
          <w:sz w:val="22"/>
          <w:szCs w:val="22"/>
        </w:rPr>
      </w:pPr>
      <w:r>
        <w:rPr>
          <w:noProof/>
        </w:rPr>
        <w:t>775</w:t>
      </w:r>
      <w:r>
        <w:rPr>
          <w:noProof/>
        </w:rPr>
        <w:noBreakHyphen/>
        <w:t>175</w:t>
      </w:r>
      <w:r>
        <w:rPr>
          <w:noProof/>
        </w:rPr>
        <w:tab/>
        <w:t>Application to things happening before commencement</w:t>
      </w:r>
      <w:r w:rsidRPr="00380510">
        <w:rPr>
          <w:rFonts w:ascii="Times" w:hAnsi="Times" w:cs="Times"/>
          <w:noProof/>
        </w:rPr>
        <w:tab/>
      </w:r>
      <w:r w:rsidRPr="00380510">
        <w:rPr>
          <w:rFonts w:ascii="Times" w:hAnsi="Times" w:cs="Times"/>
          <w:noProof/>
        </w:rPr>
        <w:fldChar w:fldCharType="begin"/>
      </w:r>
      <w:r w:rsidRPr="00380510">
        <w:rPr>
          <w:rFonts w:ascii="Times" w:hAnsi="Times" w:cs="Times"/>
          <w:noProof/>
        </w:rPr>
        <w:instrText xml:space="preserve"> PAGEREF _Toc338939174 \h </w:instrText>
      </w:r>
      <w:r w:rsidRPr="00380510">
        <w:rPr>
          <w:rFonts w:ascii="Times" w:hAnsi="Times" w:cs="Times"/>
          <w:noProof/>
        </w:rPr>
      </w:r>
      <w:r w:rsidRPr="00380510">
        <w:rPr>
          <w:rFonts w:ascii="Times" w:hAnsi="Times" w:cs="Times"/>
          <w:noProof/>
        </w:rPr>
        <w:fldChar w:fldCharType="separate"/>
      </w:r>
      <w:r w:rsidR="00623A5C">
        <w:rPr>
          <w:rFonts w:ascii="Times" w:hAnsi="Times" w:cs="Times"/>
          <w:noProof/>
        </w:rPr>
        <w:t>84</w:t>
      </w:r>
      <w:r w:rsidRPr="00380510">
        <w:rPr>
          <w:rFonts w:ascii="Times" w:hAnsi="Times" w:cs="Times"/>
          <w:noProof/>
        </w:rPr>
        <w:fldChar w:fldCharType="end"/>
      </w:r>
    </w:p>
    <w:p w:rsidR="00380510" w:rsidRDefault="00380510">
      <w:pPr>
        <w:pStyle w:val="TOC4"/>
        <w:rPr>
          <w:rFonts w:ascii="Calibri" w:hAnsi="Calibri"/>
          <w:b w:val="0"/>
          <w:noProof/>
          <w:kern w:val="0"/>
          <w:sz w:val="22"/>
          <w:szCs w:val="22"/>
        </w:rPr>
      </w:pPr>
      <w:r>
        <w:rPr>
          <w:noProof/>
        </w:rPr>
        <w:t>Subdivision 775</w:t>
      </w:r>
      <w:r>
        <w:rPr>
          <w:noProof/>
        </w:rPr>
        <w:noBreakHyphen/>
        <w:t>C—Roll</w:t>
      </w:r>
      <w:r>
        <w:rPr>
          <w:noProof/>
        </w:rPr>
        <w:noBreakHyphen/>
        <w:t>over relief for facility agreements</w:t>
      </w:r>
      <w:r w:rsidRPr="00380510">
        <w:rPr>
          <w:rFonts w:ascii="Times" w:hAnsi="Times" w:cs="Times"/>
          <w:b w:val="0"/>
          <w:noProof/>
          <w:sz w:val="18"/>
        </w:rPr>
        <w:tab/>
      </w:r>
      <w:r w:rsidRPr="00380510">
        <w:rPr>
          <w:rFonts w:ascii="Times" w:hAnsi="Times" w:cs="Times"/>
          <w:b w:val="0"/>
          <w:noProof/>
          <w:sz w:val="18"/>
        </w:rPr>
        <w:fldChar w:fldCharType="begin"/>
      </w:r>
      <w:r w:rsidRPr="00380510">
        <w:rPr>
          <w:rFonts w:ascii="Times" w:hAnsi="Times" w:cs="Times"/>
          <w:b w:val="0"/>
          <w:noProof/>
          <w:sz w:val="18"/>
        </w:rPr>
        <w:instrText xml:space="preserve"> PAGEREF _Toc338939175 \h </w:instrText>
      </w:r>
      <w:r w:rsidRPr="00380510">
        <w:rPr>
          <w:rFonts w:ascii="Times" w:hAnsi="Times" w:cs="Times"/>
          <w:b w:val="0"/>
          <w:noProof/>
          <w:sz w:val="18"/>
        </w:rPr>
      </w:r>
      <w:r w:rsidRPr="00380510">
        <w:rPr>
          <w:rFonts w:ascii="Times" w:hAnsi="Times" w:cs="Times"/>
          <w:b w:val="0"/>
          <w:noProof/>
          <w:sz w:val="18"/>
        </w:rPr>
        <w:fldChar w:fldCharType="separate"/>
      </w:r>
      <w:r w:rsidR="00623A5C">
        <w:rPr>
          <w:rFonts w:ascii="Times" w:hAnsi="Times" w:cs="Times"/>
          <w:b w:val="0"/>
          <w:noProof/>
          <w:sz w:val="18"/>
        </w:rPr>
        <w:t>84</w:t>
      </w:r>
      <w:r w:rsidRPr="00380510">
        <w:rPr>
          <w:rFonts w:ascii="Times" w:hAnsi="Times" w:cs="Times"/>
          <w:b w:val="0"/>
          <w:noProof/>
          <w:sz w:val="18"/>
        </w:rPr>
        <w:fldChar w:fldCharType="end"/>
      </w:r>
    </w:p>
    <w:p w:rsidR="00380510" w:rsidRDefault="00380510">
      <w:pPr>
        <w:pStyle w:val="TOC4"/>
        <w:rPr>
          <w:rFonts w:ascii="Calibri" w:hAnsi="Calibri"/>
          <w:b w:val="0"/>
          <w:noProof/>
          <w:kern w:val="0"/>
          <w:sz w:val="22"/>
          <w:szCs w:val="22"/>
        </w:rPr>
      </w:pPr>
      <w:r>
        <w:rPr>
          <w:noProof/>
        </w:rPr>
        <w:t>Guide to Subdivision 775</w:t>
      </w:r>
      <w:r>
        <w:rPr>
          <w:noProof/>
        </w:rPr>
        <w:noBreakHyphen/>
        <w:t>C</w:t>
      </w:r>
      <w:r w:rsidRPr="00380510">
        <w:rPr>
          <w:rFonts w:ascii="Times" w:hAnsi="Times" w:cs="Times"/>
          <w:b w:val="0"/>
          <w:noProof/>
          <w:sz w:val="18"/>
        </w:rPr>
        <w:tab/>
      </w:r>
      <w:r w:rsidRPr="00380510">
        <w:rPr>
          <w:rFonts w:ascii="Times" w:hAnsi="Times" w:cs="Times"/>
          <w:b w:val="0"/>
          <w:noProof/>
          <w:sz w:val="18"/>
        </w:rPr>
        <w:fldChar w:fldCharType="begin"/>
      </w:r>
      <w:r w:rsidRPr="00380510">
        <w:rPr>
          <w:rFonts w:ascii="Times" w:hAnsi="Times" w:cs="Times"/>
          <w:b w:val="0"/>
          <w:noProof/>
          <w:sz w:val="18"/>
        </w:rPr>
        <w:instrText xml:space="preserve"> PAGEREF _Toc338939176 \h </w:instrText>
      </w:r>
      <w:r w:rsidRPr="00380510">
        <w:rPr>
          <w:rFonts w:ascii="Times" w:hAnsi="Times" w:cs="Times"/>
          <w:b w:val="0"/>
          <w:noProof/>
          <w:sz w:val="18"/>
        </w:rPr>
      </w:r>
      <w:r w:rsidRPr="00380510">
        <w:rPr>
          <w:rFonts w:ascii="Times" w:hAnsi="Times" w:cs="Times"/>
          <w:b w:val="0"/>
          <w:noProof/>
          <w:sz w:val="18"/>
        </w:rPr>
        <w:fldChar w:fldCharType="separate"/>
      </w:r>
      <w:r w:rsidR="00623A5C">
        <w:rPr>
          <w:rFonts w:ascii="Times" w:hAnsi="Times" w:cs="Times"/>
          <w:b w:val="0"/>
          <w:noProof/>
          <w:sz w:val="18"/>
        </w:rPr>
        <w:t>84</w:t>
      </w:r>
      <w:r w:rsidRPr="00380510">
        <w:rPr>
          <w:rFonts w:ascii="Times" w:hAnsi="Times" w:cs="Times"/>
          <w:b w:val="0"/>
          <w:noProof/>
          <w:sz w:val="18"/>
        </w:rPr>
        <w:fldChar w:fldCharType="end"/>
      </w:r>
    </w:p>
    <w:p w:rsidR="00380510" w:rsidRDefault="00380510">
      <w:pPr>
        <w:pStyle w:val="TOC5"/>
        <w:rPr>
          <w:rFonts w:ascii="Calibri" w:hAnsi="Calibri"/>
          <w:iCs w:val="0"/>
          <w:noProof/>
          <w:kern w:val="0"/>
          <w:sz w:val="22"/>
          <w:szCs w:val="22"/>
        </w:rPr>
      </w:pPr>
      <w:r>
        <w:rPr>
          <w:noProof/>
        </w:rPr>
        <w:t>775</w:t>
      </w:r>
      <w:r>
        <w:rPr>
          <w:noProof/>
        </w:rPr>
        <w:noBreakHyphen/>
        <w:t>180</w:t>
      </w:r>
      <w:r>
        <w:rPr>
          <w:noProof/>
        </w:rPr>
        <w:tab/>
        <w:t>What this Subdivision is about</w:t>
      </w:r>
      <w:r w:rsidRPr="00380510">
        <w:rPr>
          <w:rFonts w:ascii="Times" w:hAnsi="Times" w:cs="Times"/>
          <w:noProof/>
        </w:rPr>
        <w:tab/>
      </w:r>
      <w:r w:rsidRPr="00380510">
        <w:rPr>
          <w:rFonts w:ascii="Times" w:hAnsi="Times" w:cs="Times"/>
          <w:noProof/>
        </w:rPr>
        <w:fldChar w:fldCharType="begin"/>
      </w:r>
      <w:r w:rsidRPr="00380510">
        <w:rPr>
          <w:rFonts w:ascii="Times" w:hAnsi="Times" w:cs="Times"/>
          <w:noProof/>
        </w:rPr>
        <w:instrText xml:space="preserve"> PAGEREF _Toc338939177 \h </w:instrText>
      </w:r>
      <w:r w:rsidRPr="00380510">
        <w:rPr>
          <w:rFonts w:ascii="Times" w:hAnsi="Times" w:cs="Times"/>
          <w:noProof/>
        </w:rPr>
      </w:r>
      <w:r w:rsidRPr="00380510">
        <w:rPr>
          <w:rFonts w:ascii="Times" w:hAnsi="Times" w:cs="Times"/>
          <w:noProof/>
        </w:rPr>
        <w:fldChar w:fldCharType="separate"/>
      </w:r>
      <w:r w:rsidR="00623A5C">
        <w:rPr>
          <w:rFonts w:ascii="Times" w:hAnsi="Times" w:cs="Times"/>
          <w:noProof/>
        </w:rPr>
        <w:t>84</w:t>
      </w:r>
      <w:r w:rsidRPr="00380510">
        <w:rPr>
          <w:rFonts w:ascii="Times" w:hAnsi="Times" w:cs="Times"/>
          <w:noProof/>
        </w:rPr>
        <w:fldChar w:fldCharType="end"/>
      </w:r>
    </w:p>
    <w:p w:rsidR="00380510" w:rsidRDefault="00380510">
      <w:pPr>
        <w:pStyle w:val="TOC4"/>
        <w:rPr>
          <w:rFonts w:ascii="Calibri" w:hAnsi="Calibri"/>
          <w:b w:val="0"/>
          <w:noProof/>
          <w:kern w:val="0"/>
          <w:sz w:val="22"/>
          <w:szCs w:val="22"/>
        </w:rPr>
      </w:pPr>
      <w:r>
        <w:rPr>
          <w:noProof/>
        </w:rPr>
        <w:t>Operative provisions</w:t>
      </w:r>
      <w:r w:rsidRPr="00380510">
        <w:rPr>
          <w:rFonts w:ascii="Times" w:hAnsi="Times" w:cs="Times"/>
          <w:b w:val="0"/>
          <w:noProof/>
          <w:sz w:val="18"/>
        </w:rPr>
        <w:tab/>
      </w:r>
      <w:r w:rsidRPr="00380510">
        <w:rPr>
          <w:rFonts w:ascii="Times" w:hAnsi="Times" w:cs="Times"/>
          <w:b w:val="0"/>
          <w:noProof/>
          <w:sz w:val="18"/>
        </w:rPr>
        <w:fldChar w:fldCharType="begin"/>
      </w:r>
      <w:r w:rsidRPr="00380510">
        <w:rPr>
          <w:rFonts w:ascii="Times" w:hAnsi="Times" w:cs="Times"/>
          <w:b w:val="0"/>
          <w:noProof/>
          <w:sz w:val="18"/>
        </w:rPr>
        <w:instrText xml:space="preserve"> PAGEREF _Toc338939178 \h </w:instrText>
      </w:r>
      <w:r w:rsidRPr="00380510">
        <w:rPr>
          <w:rFonts w:ascii="Times" w:hAnsi="Times" w:cs="Times"/>
          <w:b w:val="0"/>
          <w:noProof/>
          <w:sz w:val="18"/>
        </w:rPr>
      </w:r>
      <w:r w:rsidRPr="00380510">
        <w:rPr>
          <w:rFonts w:ascii="Times" w:hAnsi="Times" w:cs="Times"/>
          <w:b w:val="0"/>
          <w:noProof/>
          <w:sz w:val="18"/>
        </w:rPr>
        <w:fldChar w:fldCharType="separate"/>
      </w:r>
      <w:r w:rsidR="00623A5C">
        <w:rPr>
          <w:rFonts w:ascii="Times" w:hAnsi="Times" w:cs="Times"/>
          <w:b w:val="0"/>
          <w:noProof/>
          <w:sz w:val="18"/>
        </w:rPr>
        <w:t>85</w:t>
      </w:r>
      <w:r w:rsidRPr="00380510">
        <w:rPr>
          <w:rFonts w:ascii="Times" w:hAnsi="Times" w:cs="Times"/>
          <w:b w:val="0"/>
          <w:noProof/>
          <w:sz w:val="18"/>
        </w:rPr>
        <w:fldChar w:fldCharType="end"/>
      </w:r>
    </w:p>
    <w:p w:rsidR="00380510" w:rsidRDefault="00380510">
      <w:pPr>
        <w:pStyle w:val="TOC5"/>
        <w:rPr>
          <w:rFonts w:ascii="Calibri" w:hAnsi="Calibri"/>
          <w:iCs w:val="0"/>
          <w:noProof/>
          <w:kern w:val="0"/>
          <w:sz w:val="22"/>
          <w:szCs w:val="22"/>
        </w:rPr>
      </w:pPr>
      <w:r>
        <w:rPr>
          <w:noProof/>
        </w:rPr>
        <w:t>775</w:t>
      </w:r>
      <w:r>
        <w:rPr>
          <w:noProof/>
        </w:rPr>
        <w:noBreakHyphen/>
        <w:t>185</w:t>
      </w:r>
      <w:r>
        <w:rPr>
          <w:noProof/>
        </w:rPr>
        <w:tab/>
        <w:t xml:space="preserve">What is a </w:t>
      </w:r>
      <w:r w:rsidRPr="008A0EAA">
        <w:rPr>
          <w:i/>
          <w:noProof/>
        </w:rPr>
        <w:t>facility agreement</w:t>
      </w:r>
      <w:r>
        <w:rPr>
          <w:noProof/>
        </w:rPr>
        <w:t>?</w:t>
      </w:r>
      <w:r w:rsidRPr="00380510">
        <w:rPr>
          <w:rFonts w:ascii="Times" w:hAnsi="Times" w:cs="Times"/>
          <w:noProof/>
        </w:rPr>
        <w:tab/>
      </w:r>
      <w:r w:rsidRPr="00380510">
        <w:rPr>
          <w:rFonts w:ascii="Times" w:hAnsi="Times" w:cs="Times"/>
          <w:noProof/>
        </w:rPr>
        <w:fldChar w:fldCharType="begin"/>
      </w:r>
      <w:r w:rsidRPr="00380510">
        <w:rPr>
          <w:rFonts w:ascii="Times" w:hAnsi="Times" w:cs="Times"/>
          <w:noProof/>
        </w:rPr>
        <w:instrText xml:space="preserve"> PAGEREF _Toc338939179 \h </w:instrText>
      </w:r>
      <w:r w:rsidRPr="00380510">
        <w:rPr>
          <w:rFonts w:ascii="Times" w:hAnsi="Times" w:cs="Times"/>
          <w:noProof/>
        </w:rPr>
      </w:r>
      <w:r w:rsidRPr="00380510">
        <w:rPr>
          <w:rFonts w:ascii="Times" w:hAnsi="Times" w:cs="Times"/>
          <w:noProof/>
        </w:rPr>
        <w:fldChar w:fldCharType="separate"/>
      </w:r>
      <w:r w:rsidR="00623A5C">
        <w:rPr>
          <w:rFonts w:ascii="Times" w:hAnsi="Times" w:cs="Times"/>
          <w:noProof/>
        </w:rPr>
        <w:t>85</w:t>
      </w:r>
      <w:r w:rsidRPr="00380510">
        <w:rPr>
          <w:rFonts w:ascii="Times" w:hAnsi="Times" w:cs="Times"/>
          <w:noProof/>
        </w:rPr>
        <w:fldChar w:fldCharType="end"/>
      </w:r>
    </w:p>
    <w:p w:rsidR="00380510" w:rsidRDefault="00380510">
      <w:pPr>
        <w:pStyle w:val="TOC5"/>
        <w:rPr>
          <w:rFonts w:ascii="Calibri" w:hAnsi="Calibri"/>
          <w:iCs w:val="0"/>
          <w:noProof/>
          <w:kern w:val="0"/>
          <w:sz w:val="22"/>
          <w:szCs w:val="22"/>
        </w:rPr>
      </w:pPr>
      <w:r>
        <w:rPr>
          <w:noProof/>
        </w:rPr>
        <w:t>775</w:t>
      </w:r>
      <w:r>
        <w:rPr>
          <w:noProof/>
        </w:rPr>
        <w:noBreakHyphen/>
        <w:t>190</w:t>
      </w:r>
      <w:r>
        <w:rPr>
          <w:noProof/>
        </w:rPr>
        <w:tab/>
        <w:t xml:space="preserve">What is an </w:t>
      </w:r>
      <w:r w:rsidRPr="008A0EAA">
        <w:rPr>
          <w:i/>
          <w:noProof/>
        </w:rPr>
        <w:t>eligible security</w:t>
      </w:r>
      <w:r>
        <w:rPr>
          <w:noProof/>
        </w:rPr>
        <w:t>?</w:t>
      </w:r>
      <w:r w:rsidRPr="00380510">
        <w:rPr>
          <w:rFonts w:ascii="Times" w:hAnsi="Times" w:cs="Times"/>
          <w:noProof/>
        </w:rPr>
        <w:tab/>
      </w:r>
      <w:r w:rsidRPr="00380510">
        <w:rPr>
          <w:rFonts w:ascii="Times" w:hAnsi="Times" w:cs="Times"/>
          <w:noProof/>
        </w:rPr>
        <w:fldChar w:fldCharType="begin"/>
      </w:r>
      <w:r w:rsidRPr="00380510">
        <w:rPr>
          <w:rFonts w:ascii="Times" w:hAnsi="Times" w:cs="Times"/>
          <w:noProof/>
        </w:rPr>
        <w:instrText xml:space="preserve"> PAGEREF _Toc338939180 \h </w:instrText>
      </w:r>
      <w:r w:rsidRPr="00380510">
        <w:rPr>
          <w:rFonts w:ascii="Times" w:hAnsi="Times" w:cs="Times"/>
          <w:noProof/>
        </w:rPr>
      </w:r>
      <w:r w:rsidRPr="00380510">
        <w:rPr>
          <w:rFonts w:ascii="Times" w:hAnsi="Times" w:cs="Times"/>
          <w:noProof/>
        </w:rPr>
        <w:fldChar w:fldCharType="separate"/>
      </w:r>
      <w:r w:rsidR="00623A5C">
        <w:rPr>
          <w:rFonts w:ascii="Times" w:hAnsi="Times" w:cs="Times"/>
          <w:noProof/>
        </w:rPr>
        <w:t>85</w:t>
      </w:r>
      <w:r w:rsidRPr="00380510">
        <w:rPr>
          <w:rFonts w:ascii="Times" w:hAnsi="Times" w:cs="Times"/>
          <w:noProof/>
        </w:rPr>
        <w:fldChar w:fldCharType="end"/>
      </w:r>
    </w:p>
    <w:p w:rsidR="00380510" w:rsidRDefault="00380510">
      <w:pPr>
        <w:pStyle w:val="TOC5"/>
        <w:rPr>
          <w:rFonts w:ascii="Calibri" w:hAnsi="Calibri"/>
          <w:iCs w:val="0"/>
          <w:noProof/>
          <w:kern w:val="0"/>
          <w:sz w:val="22"/>
          <w:szCs w:val="22"/>
        </w:rPr>
      </w:pPr>
      <w:r>
        <w:rPr>
          <w:noProof/>
        </w:rPr>
        <w:t>775</w:t>
      </w:r>
      <w:r>
        <w:rPr>
          <w:noProof/>
        </w:rPr>
        <w:noBreakHyphen/>
        <w:t>195</w:t>
      </w:r>
      <w:r>
        <w:rPr>
          <w:noProof/>
        </w:rPr>
        <w:tab/>
        <w:t>You may choose roll</w:t>
      </w:r>
      <w:r>
        <w:rPr>
          <w:noProof/>
        </w:rPr>
        <w:noBreakHyphen/>
        <w:t>over relief for a facility agreement</w:t>
      </w:r>
      <w:r w:rsidRPr="00380510">
        <w:rPr>
          <w:rFonts w:ascii="Times" w:hAnsi="Times" w:cs="Times"/>
          <w:noProof/>
        </w:rPr>
        <w:tab/>
      </w:r>
      <w:r w:rsidRPr="00380510">
        <w:rPr>
          <w:rFonts w:ascii="Times" w:hAnsi="Times" w:cs="Times"/>
          <w:noProof/>
        </w:rPr>
        <w:fldChar w:fldCharType="begin"/>
      </w:r>
      <w:r w:rsidRPr="00380510">
        <w:rPr>
          <w:rFonts w:ascii="Times" w:hAnsi="Times" w:cs="Times"/>
          <w:noProof/>
        </w:rPr>
        <w:instrText xml:space="preserve"> PAGEREF _Toc338939181 \h </w:instrText>
      </w:r>
      <w:r w:rsidRPr="00380510">
        <w:rPr>
          <w:rFonts w:ascii="Times" w:hAnsi="Times" w:cs="Times"/>
          <w:noProof/>
        </w:rPr>
      </w:r>
      <w:r w:rsidRPr="00380510">
        <w:rPr>
          <w:rFonts w:ascii="Times" w:hAnsi="Times" w:cs="Times"/>
          <w:noProof/>
        </w:rPr>
        <w:fldChar w:fldCharType="separate"/>
      </w:r>
      <w:r w:rsidR="00623A5C">
        <w:rPr>
          <w:rFonts w:ascii="Times" w:hAnsi="Times" w:cs="Times"/>
          <w:noProof/>
        </w:rPr>
        <w:t>86</w:t>
      </w:r>
      <w:r w:rsidRPr="00380510">
        <w:rPr>
          <w:rFonts w:ascii="Times" w:hAnsi="Times" w:cs="Times"/>
          <w:noProof/>
        </w:rPr>
        <w:fldChar w:fldCharType="end"/>
      </w:r>
    </w:p>
    <w:p w:rsidR="00380510" w:rsidRDefault="00380510">
      <w:pPr>
        <w:pStyle w:val="TOC5"/>
        <w:rPr>
          <w:rFonts w:ascii="Calibri" w:hAnsi="Calibri"/>
          <w:iCs w:val="0"/>
          <w:noProof/>
          <w:kern w:val="0"/>
          <w:sz w:val="22"/>
          <w:szCs w:val="22"/>
        </w:rPr>
      </w:pPr>
      <w:r>
        <w:rPr>
          <w:noProof/>
        </w:rPr>
        <w:t>775</w:t>
      </w:r>
      <w:r>
        <w:rPr>
          <w:noProof/>
        </w:rPr>
        <w:noBreakHyphen/>
        <w:t>200</w:t>
      </w:r>
      <w:r>
        <w:rPr>
          <w:noProof/>
        </w:rPr>
        <w:tab/>
        <w:t>Forex realisation event 4 does not apply</w:t>
      </w:r>
      <w:r w:rsidRPr="00380510">
        <w:rPr>
          <w:rFonts w:ascii="Times" w:hAnsi="Times" w:cs="Times"/>
          <w:noProof/>
        </w:rPr>
        <w:tab/>
      </w:r>
      <w:r w:rsidRPr="00380510">
        <w:rPr>
          <w:rFonts w:ascii="Times" w:hAnsi="Times" w:cs="Times"/>
          <w:noProof/>
        </w:rPr>
        <w:fldChar w:fldCharType="begin"/>
      </w:r>
      <w:r w:rsidRPr="00380510">
        <w:rPr>
          <w:rFonts w:ascii="Times" w:hAnsi="Times" w:cs="Times"/>
          <w:noProof/>
        </w:rPr>
        <w:instrText xml:space="preserve"> PAGEREF _Toc338939182 \h </w:instrText>
      </w:r>
      <w:r w:rsidRPr="00380510">
        <w:rPr>
          <w:rFonts w:ascii="Times" w:hAnsi="Times" w:cs="Times"/>
          <w:noProof/>
        </w:rPr>
      </w:r>
      <w:r w:rsidRPr="00380510">
        <w:rPr>
          <w:rFonts w:ascii="Times" w:hAnsi="Times" w:cs="Times"/>
          <w:noProof/>
        </w:rPr>
        <w:fldChar w:fldCharType="separate"/>
      </w:r>
      <w:r w:rsidR="00623A5C">
        <w:rPr>
          <w:rFonts w:ascii="Times" w:hAnsi="Times" w:cs="Times"/>
          <w:noProof/>
        </w:rPr>
        <w:t>87</w:t>
      </w:r>
      <w:r w:rsidRPr="00380510">
        <w:rPr>
          <w:rFonts w:ascii="Times" w:hAnsi="Times" w:cs="Times"/>
          <w:noProof/>
        </w:rPr>
        <w:fldChar w:fldCharType="end"/>
      </w:r>
    </w:p>
    <w:p w:rsidR="00380510" w:rsidRDefault="00380510">
      <w:pPr>
        <w:pStyle w:val="TOC5"/>
        <w:rPr>
          <w:rFonts w:ascii="Calibri" w:hAnsi="Calibri"/>
          <w:iCs w:val="0"/>
          <w:noProof/>
          <w:kern w:val="0"/>
          <w:sz w:val="22"/>
          <w:szCs w:val="22"/>
        </w:rPr>
      </w:pPr>
      <w:r>
        <w:rPr>
          <w:noProof/>
        </w:rPr>
        <w:t>775</w:t>
      </w:r>
      <w:r>
        <w:rPr>
          <w:noProof/>
        </w:rPr>
        <w:noBreakHyphen/>
        <w:t>205</w:t>
      </w:r>
      <w:r>
        <w:rPr>
          <w:noProof/>
        </w:rPr>
        <w:tab/>
        <w:t xml:space="preserve">What is a </w:t>
      </w:r>
      <w:r w:rsidRPr="008A0EAA">
        <w:rPr>
          <w:i/>
          <w:noProof/>
        </w:rPr>
        <w:t>roll</w:t>
      </w:r>
      <w:r w:rsidRPr="008A0EAA">
        <w:rPr>
          <w:i/>
          <w:noProof/>
        </w:rPr>
        <w:noBreakHyphen/>
        <w:t>over</w:t>
      </w:r>
      <w:r>
        <w:rPr>
          <w:noProof/>
        </w:rPr>
        <w:t>?</w:t>
      </w:r>
      <w:r w:rsidRPr="00380510">
        <w:rPr>
          <w:rFonts w:ascii="Times" w:hAnsi="Times" w:cs="Times"/>
          <w:noProof/>
        </w:rPr>
        <w:tab/>
      </w:r>
      <w:r w:rsidRPr="00380510">
        <w:rPr>
          <w:rFonts w:ascii="Times" w:hAnsi="Times" w:cs="Times"/>
          <w:noProof/>
        </w:rPr>
        <w:fldChar w:fldCharType="begin"/>
      </w:r>
      <w:r w:rsidRPr="00380510">
        <w:rPr>
          <w:rFonts w:ascii="Times" w:hAnsi="Times" w:cs="Times"/>
          <w:noProof/>
        </w:rPr>
        <w:instrText xml:space="preserve"> PAGEREF _Toc338939183 \h </w:instrText>
      </w:r>
      <w:r w:rsidRPr="00380510">
        <w:rPr>
          <w:rFonts w:ascii="Times" w:hAnsi="Times" w:cs="Times"/>
          <w:noProof/>
        </w:rPr>
      </w:r>
      <w:r w:rsidRPr="00380510">
        <w:rPr>
          <w:rFonts w:ascii="Times" w:hAnsi="Times" w:cs="Times"/>
          <w:noProof/>
        </w:rPr>
        <w:fldChar w:fldCharType="separate"/>
      </w:r>
      <w:r w:rsidR="00623A5C">
        <w:rPr>
          <w:rFonts w:ascii="Times" w:hAnsi="Times" w:cs="Times"/>
          <w:noProof/>
        </w:rPr>
        <w:t>87</w:t>
      </w:r>
      <w:r w:rsidRPr="00380510">
        <w:rPr>
          <w:rFonts w:ascii="Times" w:hAnsi="Times" w:cs="Times"/>
          <w:noProof/>
        </w:rPr>
        <w:fldChar w:fldCharType="end"/>
      </w:r>
    </w:p>
    <w:p w:rsidR="00380510" w:rsidRDefault="00380510">
      <w:pPr>
        <w:pStyle w:val="TOC5"/>
        <w:rPr>
          <w:rFonts w:ascii="Calibri" w:hAnsi="Calibri"/>
          <w:iCs w:val="0"/>
          <w:noProof/>
          <w:kern w:val="0"/>
          <w:sz w:val="22"/>
          <w:szCs w:val="22"/>
        </w:rPr>
      </w:pPr>
      <w:r>
        <w:rPr>
          <w:noProof/>
        </w:rPr>
        <w:t>775</w:t>
      </w:r>
      <w:r>
        <w:rPr>
          <w:noProof/>
        </w:rPr>
        <w:noBreakHyphen/>
        <w:t>210</w:t>
      </w:r>
      <w:r>
        <w:rPr>
          <w:noProof/>
        </w:rPr>
        <w:tab/>
        <w:t>Notional loan</w:t>
      </w:r>
      <w:r w:rsidRPr="00380510">
        <w:rPr>
          <w:rFonts w:ascii="Times" w:hAnsi="Times" w:cs="Times"/>
          <w:noProof/>
        </w:rPr>
        <w:tab/>
      </w:r>
      <w:r w:rsidRPr="00380510">
        <w:rPr>
          <w:rFonts w:ascii="Times" w:hAnsi="Times" w:cs="Times"/>
          <w:noProof/>
        </w:rPr>
        <w:fldChar w:fldCharType="begin"/>
      </w:r>
      <w:r w:rsidRPr="00380510">
        <w:rPr>
          <w:rFonts w:ascii="Times" w:hAnsi="Times" w:cs="Times"/>
          <w:noProof/>
        </w:rPr>
        <w:instrText xml:space="preserve"> PAGEREF _Toc338939184 \h </w:instrText>
      </w:r>
      <w:r w:rsidRPr="00380510">
        <w:rPr>
          <w:rFonts w:ascii="Times" w:hAnsi="Times" w:cs="Times"/>
          <w:noProof/>
        </w:rPr>
      </w:r>
      <w:r w:rsidRPr="00380510">
        <w:rPr>
          <w:rFonts w:ascii="Times" w:hAnsi="Times" w:cs="Times"/>
          <w:noProof/>
        </w:rPr>
        <w:fldChar w:fldCharType="separate"/>
      </w:r>
      <w:r w:rsidR="00623A5C">
        <w:rPr>
          <w:rFonts w:ascii="Times" w:hAnsi="Times" w:cs="Times"/>
          <w:noProof/>
        </w:rPr>
        <w:t>88</w:t>
      </w:r>
      <w:r w:rsidRPr="00380510">
        <w:rPr>
          <w:rFonts w:ascii="Times" w:hAnsi="Times" w:cs="Times"/>
          <w:noProof/>
        </w:rPr>
        <w:fldChar w:fldCharType="end"/>
      </w:r>
    </w:p>
    <w:p w:rsidR="00380510" w:rsidRDefault="00380510">
      <w:pPr>
        <w:pStyle w:val="TOC5"/>
        <w:rPr>
          <w:rFonts w:ascii="Calibri" w:hAnsi="Calibri"/>
          <w:iCs w:val="0"/>
          <w:noProof/>
          <w:kern w:val="0"/>
          <w:sz w:val="22"/>
          <w:szCs w:val="22"/>
        </w:rPr>
      </w:pPr>
      <w:r>
        <w:rPr>
          <w:noProof/>
        </w:rPr>
        <w:t>775</w:t>
      </w:r>
      <w:r>
        <w:rPr>
          <w:noProof/>
        </w:rPr>
        <w:noBreakHyphen/>
        <w:t>215</w:t>
      </w:r>
      <w:r>
        <w:rPr>
          <w:noProof/>
        </w:rPr>
        <w:tab/>
        <w:t>Discharge of obligation to pay the principal amount of a notional loan under a facility agreement—forex realisation event 6</w:t>
      </w:r>
      <w:r w:rsidRPr="00380510">
        <w:rPr>
          <w:rFonts w:ascii="Times" w:hAnsi="Times" w:cs="Times"/>
          <w:noProof/>
        </w:rPr>
        <w:tab/>
      </w:r>
      <w:r w:rsidRPr="00380510">
        <w:rPr>
          <w:rFonts w:ascii="Times" w:hAnsi="Times" w:cs="Times"/>
          <w:noProof/>
        </w:rPr>
        <w:fldChar w:fldCharType="begin"/>
      </w:r>
      <w:r w:rsidRPr="00380510">
        <w:rPr>
          <w:rFonts w:ascii="Times" w:hAnsi="Times" w:cs="Times"/>
          <w:noProof/>
        </w:rPr>
        <w:instrText xml:space="preserve"> PAGEREF _Toc338939185 \h </w:instrText>
      </w:r>
      <w:r w:rsidRPr="00380510">
        <w:rPr>
          <w:rFonts w:ascii="Times" w:hAnsi="Times" w:cs="Times"/>
          <w:noProof/>
        </w:rPr>
      </w:r>
      <w:r w:rsidRPr="00380510">
        <w:rPr>
          <w:rFonts w:ascii="Times" w:hAnsi="Times" w:cs="Times"/>
          <w:noProof/>
        </w:rPr>
        <w:fldChar w:fldCharType="separate"/>
      </w:r>
      <w:r w:rsidR="00623A5C">
        <w:rPr>
          <w:rFonts w:ascii="Times" w:hAnsi="Times" w:cs="Times"/>
          <w:noProof/>
        </w:rPr>
        <w:t>92</w:t>
      </w:r>
      <w:r w:rsidRPr="00380510">
        <w:rPr>
          <w:rFonts w:ascii="Times" w:hAnsi="Times" w:cs="Times"/>
          <w:noProof/>
        </w:rPr>
        <w:fldChar w:fldCharType="end"/>
      </w:r>
    </w:p>
    <w:p w:rsidR="00380510" w:rsidRDefault="00380510">
      <w:pPr>
        <w:pStyle w:val="TOC5"/>
        <w:rPr>
          <w:rFonts w:ascii="Calibri" w:hAnsi="Calibri"/>
          <w:iCs w:val="0"/>
          <w:noProof/>
          <w:kern w:val="0"/>
          <w:sz w:val="22"/>
          <w:szCs w:val="22"/>
        </w:rPr>
      </w:pPr>
      <w:r>
        <w:rPr>
          <w:noProof/>
        </w:rPr>
        <w:t>775</w:t>
      </w:r>
      <w:r>
        <w:rPr>
          <w:noProof/>
        </w:rPr>
        <w:noBreakHyphen/>
        <w:t>220</w:t>
      </w:r>
      <w:r>
        <w:rPr>
          <w:noProof/>
        </w:rPr>
        <w:tab/>
        <w:t>Material variation of a facility agreement—forex realisation event 7</w:t>
      </w:r>
      <w:r w:rsidRPr="00380510">
        <w:rPr>
          <w:rFonts w:ascii="Times" w:hAnsi="Times" w:cs="Times"/>
          <w:noProof/>
        </w:rPr>
        <w:tab/>
      </w:r>
      <w:r w:rsidRPr="00380510">
        <w:rPr>
          <w:rFonts w:ascii="Times" w:hAnsi="Times" w:cs="Times"/>
          <w:noProof/>
        </w:rPr>
        <w:fldChar w:fldCharType="begin"/>
      </w:r>
      <w:r w:rsidRPr="00380510">
        <w:rPr>
          <w:rFonts w:ascii="Times" w:hAnsi="Times" w:cs="Times"/>
          <w:noProof/>
        </w:rPr>
        <w:instrText xml:space="preserve"> PAGEREF _Toc338939186 \h </w:instrText>
      </w:r>
      <w:r w:rsidRPr="00380510">
        <w:rPr>
          <w:rFonts w:ascii="Times" w:hAnsi="Times" w:cs="Times"/>
          <w:noProof/>
        </w:rPr>
      </w:r>
      <w:r w:rsidRPr="00380510">
        <w:rPr>
          <w:rFonts w:ascii="Times" w:hAnsi="Times" w:cs="Times"/>
          <w:noProof/>
        </w:rPr>
        <w:fldChar w:fldCharType="separate"/>
      </w:r>
      <w:r w:rsidR="00623A5C">
        <w:rPr>
          <w:rFonts w:ascii="Times" w:hAnsi="Times" w:cs="Times"/>
          <w:noProof/>
        </w:rPr>
        <w:t>94</w:t>
      </w:r>
      <w:r w:rsidRPr="00380510">
        <w:rPr>
          <w:rFonts w:ascii="Times" w:hAnsi="Times" w:cs="Times"/>
          <w:noProof/>
        </w:rPr>
        <w:fldChar w:fldCharType="end"/>
      </w:r>
    </w:p>
    <w:p w:rsidR="00380510" w:rsidRDefault="00380510">
      <w:pPr>
        <w:pStyle w:val="TOC4"/>
        <w:rPr>
          <w:rFonts w:ascii="Calibri" w:hAnsi="Calibri"/>
          <w:b w:val="0"/>
          <w:noProof/>
          <w:kern w:val="0"/>
          <w:sz w:val="22"/>
          <w:szCs w:val="22"/>
        </w:rPr>
      </w:pPr>
      <w:r>
        <w:rPr>
          <w:noProof/>
        </w:rPr>
        <w:t>Subdivision 775</w:t>
      </w:r>
      <w:r>
        <w:rPr>
          <w:noProof/>
        </w:rPr>
        <w:noBreakHyphen/>
        <w:t>D—Qualifying forex accounts that pass the limited balance test</w:t>
      </w:r>
      <w:r w:rsidRPr="00380510">
        <w:rPr>
          <w:rFonts w:ascii="Times" w:hAnsi="Times" w:cs="Times"/>
          <w:b w:val="0"/>
          <w:noProof/>
          <w:sz w:val="18"/>
        </w:rPr>
        <w:tab/>
      </w:r>
      <w:r w:rsidRPr="00380510">
        <w:rPr>
          <w:rFonts w:ascii="Times" w:hAnsi="Times" w:cs="Times"/>
          <w:b w:val="0"/>
          <w:noProof/>
          <w:sz w:val="18"/>
        </w:rPr>
        <w:fldChar w:fldCharType="begin"/>
      </w:r>
      <w:r w:rsidRPr="00380510">
        <w:rPr>
          <w:rFonts w:ascii="Times" w:hAnsi="Times" w:cs="Times"/>
          <w:b w:val="0"/>
          <w:noProof/>
          <w:sz w:val="18"/>
        </w:rPr>
        <w:instrText xml:space="preserve"> PAGEREF _Toc338939187 \h </w:instrText>
      </w:r>
      <w:r w:rsidRPr="00380510">
        <w:rPr>
          <w:rFonts w:ascii="Times" w:hAnsi="Times" w:cs="Times"/>
          <w:b w:val="0"/>
          <w:noProof/>
          <w:sz w:val="18"/>
        </w:rPr>
      </w:r>
      <w:r w:rsidRPr="00380510">
        <w:rPr>
          <w:rFonts w:ascii="Times" w:hAnsi="Times" w:cs="Times"/>
          <w:b w:val="0"/>
          <w:noProof/>
          <w:sz w:val="18"/>
        </w:rPr>
        <w:fldChar w:fldCharType="separate"/>
      </w:r>
      <w:r w:rsidR="00623A5C">
        <w:rPr>
          <w:rFonts w:ascii="Times" w:hAnsi="Times" w:cs="Times"/>
          <w:b w:val="0"/>
          <w:noProof/>
          <w:sz w:val="18"/>
        </w:rPr>
        <w:t>96</w:t>
      </w:r>
      <w:r w:rsidRPr="00380510">
        <w:rPr>
          <w:rFonts w:ascii="Times" w:hAnsi="Times" w:cs="Times"/>
          <w:b w:val="0"/>
          <w:noProof/>
          <w:sz w:val="18"/>
        </w:rPr>
        <w:fldChar w:fldCharType="end"/>
      </w:r>
    </w:p>
    <w:p w:rsidR="00380510" w:rsidRDefault="00380510">
      <w:pPr>
        <w:pStyle w:val="TOC4"/>
        <w:rPr>
          <w:rFonts w:ascii="Calibri" w:hAnsi="Calibri"/>
          <w:b w:val="0"/>
          <w:noProof/>
          <w:kern w:val="0"/>
          <w:sz w:val="22"/>
          <w:szCs w:val="22"/>
        </w:rPr>
      </w:pPr>
      <w:r>
        <w:rPr>
          <w:noProof/>
        </w:rPr>
        <w:t>Guide to Subdivision 775</w:t>
      </w:r>
      <w:r>
        <w:rPr>
          <w:noProof/>
        </w:rPr>
        <w:noBreakHyphen/>
        <w:t>D</w:t>
      </w:r>
      <w:r w:rsidRPr="00380510">
        <w:rPr>
          <w:rFonts w:ascii="Times" w:hAnsi="Times" w:cs="Times"/>
          <w:b w:val="0"/>
          <w:noProof/>
          <w:sz w:val="18"/>
        </w:rPr>
        <w:tab/>
      </w:r>
      <w:r w:rsidRPr="00380510">
        <w:rPr>
          <w:rFonts w:ascii="Times" w:hAnsi="Times" w:cs="Times"/>
          <w:b w:val="0"/>
          <w:noProof/>
          <w:sz w:val="18"/>
        </w:rPr>
        <w:fldChar w:fldCharType="begin"/>
      </w:r>
      <w:r w:rsidRPr="00380510">
        <w:rPr>
          <w:rFonts w:ascii="Times" w:hAnsi="Times" w:cs="Times"/>
          <w:b w:val="0"/>
          <w:noProof/>
          <w:sz w:val="18"/>
        </w:rPr>
        <w:instrText xml:space="preserve"> PAGEREF _Toc338939188 \h </w:instrText>
      </w:r>
      <w:r w:rsidRPr="00380510">
        <w:rPr>
          <w:rFonts w:ascii="Times" w:hAnsi="Times" w:cs="Times"/>
          <w:b w:val="0"/>
          <w:noProof/>
          <w:sz w:val="18"/>
        </w:rPr>
      </w:r>
      <w:r w:rsidRPr="00380510">
        <w:rPr>
          <w:rFonts w:ascii="Times" w:hAnsi="Times" w:cs="Times"/>
          <w:b w:val="0"/>
          <w:noProof/>
          <w:sz w:val="18"/>
        </w:rPr>
        <w:fldChar w:fldCharType="separate"/>
      </w:r>
      <w:r w:rsidR="00623A5C">
        <w:rPr>
          <w:rFonts w:ascii="Times" w:hAnsi="Times" w:cs="Times"/>
          <w:b w:val="0"/>
          <w:noProof/>
          <w:sz w:val="18"/>
        </w:rPr>
        <w:t>96</w:t>
      </w:r>
      <w:r w:rsidRPr="00380510">
        <w:rPr>
          <w:rFonts w:ascii="Times" w:hAnsi="Times" w:cs="Times"/>
          <w:b w:val="0"/>
          <w:noProof/>
          <w:sz w:val="18"/>
        </w:rPr>
        <w:fldChar w:fldCharType="end"/>
      </w:r>
    </w:p>
    <w:p w:rsidR="00380510" w:rsidRDefault="00380510">
      <w:pPr>
        <w:pStyle w:val="TOC5"/>
        <w:rPr>
          <w:rFonts w:ascii="Calibri" w:hAnsi="Calibri"/>
          <w:iCs w:val="0"/>
          <w:noProof/>
          <w:kern w:val="0"/>
          <w:sz w:val="22"/>
          <w:szCs w:val="22"/>
        </w:rPr>
      </w:pPr>
      <w:r>
        <w:rPr>
          <w:noProof/>
        </w:rPr>
        <w:t>775</w:t>
      </w:r>
      <w:r>
        <w:rPr>
          <w:noProof/>
        </w:rPr>
        <w:noBreakHyphen/>
        <w:t>225</w:t>
      </w:r>
      <w:r>
        <w:rPr>
          <w:noProof/>
        </w:rPr>
        <w:tab/>
        <w:t>What this Subdivision is about</w:t>
      </w:r>
      <w:r w:rsidRPr="00380510">
        <w:rPr>
          <w:rFonts w:ascii="Times" w:hAnsi="Times" w:cs="Times"/>
          <w:noProof/>
        </w:rPr>
        <w:tab/>
      </w:r>
      <w:r w:rsidRPr="00380510">
        <w:rPr>
          <w:rFonts w:ascii="Times" w:hAnsi="Times" w:cs="Times"/>
          <w:noProof/>
        </w:rPr>
        <w:fldChar w:fldCharType="begin"/>
      </w:r>
      <w:r w:rsidRPr="00380510">
        <w:rPr>
          <w:rFonts w:ascii="Times" w:hAnsi="Times" w:cs="Times"/>
          <w:noProof/>
        </w:rPr>
        <w:instrText xml:space="preserve"> PAGEREF _Toc338939189 \h </w:instrText>
      </w:r>
      <w:r w:rsidRPr="00380510">
        <w:rPr>
          <w:rFonts w:ascii="Times" w:hAnsi="Times" w:cs="Times"/>
          <w:noProof/>
        </w:rPr>
      </w:r>
      <w:r w:rsidRPr="00380510">
        <w:rPr>
          <w:rFonts w:ascii="Times" w:hAnsi="Times" w:cs="Times"/>
          <w:noProof/>
        </w:rPr>
        <w:fldChar w:fldCharType="separate"/>
      </w:r>
      <w:r w:rsidR="00623A5C">
        <w:rPr>
          <w:rFonts w:ascii="Times" w:hAnsi="Times" w:cs="Times"/>
          <w:noProof/>
        </w:rPr>
        <w:t>96</w:t>
      </w:r>
      <w:r w:rsidRPr="00380510">
        <w:rPr>
          <w:rFonts w:ascii="Times" w:hAnsi="Times" w:cs="Times"/>
          <w:noProof/>
        </w:rPr>
        <w:fldChar w:fldCharType="end"/>
      </w:r>
    </w:p>
    <w:p w:rsidR="00380510" w:rsidRDefault="00380510">
      <w:pPr>
        <w:pStyle w:val="TOC4"/>
        <w:rPr>
          <w:rFonts w:ascii="Calibri" w:hAnsi="Calibri"/>
          <w:b w:val="0"/>
          <w:noProof/>
          <w:kern w:val="0"/>
          <w:sz w:val="22"/>
          <w:szCs w:val="22"/>
        </w:rPr>
      </w:pPr>
      <w:r>
        <w:rPr>
          <w:noProof/>
        </w:rPr>
        <w:t>Operative provisions</w:t>
      </w:r>
      <w:r w:rsidRPr="00380510">
        <w:rPr>
          <w:rFonts w:ascii="Times" w:hAnsi="Times" w:cs="Times"/>
          <w:b w:val="0"/>
          <w:noProof/>
          <w:sz w:val="18"/>
        </w:rPr>
        <w:tab/>
      </w:r>
      <w:r w:rsidRPr="00380510">
        <w:rPr>
          <w:rFonts w:ascii="Times" w:hAnsi="Times" w:cs="Times"/>
          <w:b w:val="0"/>
          <w:noProof/>
          <w:sz w:val="18"/>
        </w:rPr>
        <w:fldChar w:fldCharType="begin"/>
      </w:r>
      <w:r w:rsidRPr="00380510">
        <w:rPr>
          <w:rFonts w:ascii="Times" w:hAnsi="Times" w:cs="Times"/>
          <w:b w:val="0"/>
          <w:noProof/>
          <w:sz w:val="18"/>
        </w:rPr>
        <w:instrText xml:space="preserve"> PAGEREF _Toc338939190 \h </w:instrText>
      </w:r>
      <w:r w:rsidRPr="00380510">
        <w:rPr>
          <w:rFonts w:ascii="Times" w:hAnsi="Times" w:cs="Times"/>
          <w:b w:val="0"/>
          <w:noProof/>
          <w:sz w:val="18"/>
        </w:rPr>
      </w:r>
      <w:r w:rsidRPr="00380510">
        <w:rPr>
          <w:rFonts w:ascii="Times" w:hAnsi="Times" w:cs="Times"/>
          <w:b w:val="0"/>
          <w:noProof/>
          <w:sz w:val="18"/>
        </w:rPr>
        <w:fldChar w:fldCharType="separate"/>
      </w:r>
      <w:r w:rsidR="00623A5C">
        <w:rPr>
          <w:rFonts w:ascii="Times" w:hAnsi="Times" w:cs="Times"/>
          <w:b w:val="0"/>
          <w:noProof/>
          <w:sz w:val="18"/>
        </w:rPr>
        <w:t>97</w:t>
      </w:r>
      <w:r w:rsidRPr="00380510">
        <w:rPr>
          <w:rFonts w:ascii="Times" w:hAnsi="Times" w:cs="Times"/>
          <w:b w:val="0"/>
          <w:noProof/>
          <w:sz w:val="18"/>
        </w:rPr>
        <w:fldChar w:fldCharType="end"/>
      </w:r>
    </w:p>
    <w:p w:rsidR="00380510" w:rsidRDefault="00380510">
      <w:pPr>
        <w:pStyle w:val="TOC5"/>
        <w:rPr>
          <w:rFonts w:ascii="Calibri" w:hAnsi="Calibri"/>
          <w:iCs w:val="0"/>
          <w:noProof/>
          <w:kern w:val="0"/>
          <w:sz w:val="22"/>
          <w:szCs w:val="22"/>
        </w:rPr>
      </w:pPr>
      <w:r>
        <w:rPr>
          <w:noProof/>
        </w:rPr>
        <w:t>775</w:t>
      </w:r>
      <w:r>
        <w:rPr>
          <w:noProof/>
        </w:rPr>
        <w:noBreakHyphen/>
        <w:t>230</w:t>
      </w:r>
      <w:r>
        <w:rPr>
          <w:noProof/>
        </w:rPr>
        <w:tab/>
        <w:t>Election to have this Subdivision apply to one or more qualifying forex accounts</w:t>
      </w:r>
      <w:r w:rsidRPr="00380510">
        <w:rPr>
          <w:rFonts w:ascii="Times" w:hAnsi="Times" w:cs="Times"/>
          <w:noProof/>
        </w:rPr>
        <w:tab/>
      </w:r>
      <w:r w:rsidRPr="00380510">
        <w:rPr>
          <w:rFonts w:ascii="Times" w:hAnsi="Times" w:cs="Times"/>
          <w:noProof/>
        </w:rPr>
        <w:fldChar w:fldCharType="begin"/>
      </w:r>
      <w:r w:rsidRPr="00380510">
        <w:rPr>
          <w:rFonts w:ascii="Times" w:hAnsi="Times" w:cs="Times"/>
          <w:noProof/>
        </w:rPr>
        <w:instrText xml:space="preserve"> PAGEREF _Toc338939191 \h </w:instrText>
      </w:r>
      <w:r w:rsidRPr="00380510">
        <w:rPr>
          <w:rFonts w:ascii="Times" w:hAnsi="Times" w:cs="Times"/>
          <w:noProof/>
        </w:rPr>
      </w:r>
      <w:r w:rsidRPr="00380510">
        <w:rPr>
          <w:rFonts w:ascii="Times" w:hAnsi="Times" w:cs="Times"/>
          <w:noProof/>
        </w:rPr>
        <w:fldChar w:fldCharType="separate"/>
      </w:r>
      <w:r w:rsidR="00623A5C">
        <w:rPr>
          <w:rFonts w:ascii="Times" w:hAnsi="Times" w:cs="Times"/>
          <w:noProof/>
        </w:rPr>
        <w:t>97</w:t>
      </w:r>
      <w:r w:rsidRPr="00380510">
        <w:rPr>
          <w:rFonts w:ascii="Times" w:hAnsi="Times" w:cs="Times"/>
          <w:noProof/>
        </w:rPr>
        <w:fldChar w:fldCharType="end"/>
      </w:r>
    </w:p>
    <w:p w:rsidR="00380510" w:rsidRDefault="00380510">
      <w:pPr>
        <w:pStyle w:val="TOC5"/>
        <w:rPr>
          <w:rFonts w:ascii="Calibri" w:hAnsi="Calibri"/>
          <w:iCs w:val="0"/>
          <w:noProof/>
          <w:kern w:val="0"/>
          <w:sz w:val="22"/>
          <w:szCs w:val="22"/>
        </w:rPr>
      </w:pPr>
      <w:r>
        <w:rPr>
          <w:noProof/>
        </w:rPr>
        <w:t>775</w:t>
      </w:r>
      <w:r>
        <w:rPr>
          <w:noProof/>
        </w:rPr>
        <w:noBreakHyphen/>
        <w:t>235</w:t>
      </w:r>
      <w:r>
        <w:rPr>
          <w:noProof/>
        </w:rPr>
        <w:tab/>
        <w:t>Variation of election</w:t>
      </w:r>
      <w:r w:rsidRPr="00380510">
        <w:rPr>
          <w:rFonts w:ascii="Times" w:hAnsi="Times" w:cs="Times"/>
          <w:noProof/>
        </w:rPr>
        <w:tab/>
      </w:r>
      <w:r w:rsidRPr="00380510">
        <w:rPr>
          <w:rFonts w:ascii="Times" w:hAnsi="Times" w:cs="Times"/>
          <w:noProof/>
        </w:rPr>
        <w:fldChar w:fldCharType="begin"/>
      </w:r>
      <w:r w:rsidRPr="00380510">
        <w:rPr>
          <w:rFonts w:ascii="Times" w:hAnsi="Times" w:cs="Times"/>
          <w:noProof/>
        </w:rPr>
        <w:instrText xml:space="preserve"> PAGEREF _Toc338939192 \h </w:instrText>
      </w:r>
      <w:r w:rsidRPr="00380510">
        <w:rPr>
          <w:rFonts w:ascii="Times" w:hAnsi="Times" w:cs="Times"/>
          <w:noProof/>
        </w:rPr>
      </w:r>
      <w:r w:rsidRPr="00380510">
        <w:rPr>
          <w:rFonts w:ascii="Times" w:hAnsi="Times" w:cs="Times"/>
          <w:noProof/>
        </w:rPr>
        <w:fldChar w:fldCharType="separate"/>
      </w:r>
      <w:r w:rsidR="00623A5C">
        <w:rPr>
          <w:rFonts w:ascii="Times" w:hAnsi="Times" w:cs="Times"/>
          <w:noProof/>
        </w:rPr>
        <w:t>98</w:t>
      </w:r>
      <w:r w:rsidRPr="00380510">
        <w:rPr>
          <w:rFonts w:ascii="Times" w:hAnsi="Times" w:cs="Times"/>
          <w:noProof/>
        </w:rPr>
        <w:fldChar w:fldCharType="end"/>
      </w:r>
    </w:p>
    <w:p w:rsidR="00380510" w:rsidRDefault="00380510">
      <w:pPr>
        <w:pStyle w:val="TOC5"/>
        <w:rPr>
          <w:rFonts w:ascii="Calibri" w:hAnsi="Calibri"/>
          <w:iCs w:val="0"/>
          <w:noProof/>
          <w:kern w:val="0"/>
          <w:sz w:val="22"/>
          <w:szCs w:val="22"/>
        </w:rPr>
      </w:pPr>
      <w:r>
        <w:rPr>
          <w:noProof/>
        </w:rPr>
        <w:t>775</w:t>
      </w:r>
      <w:r>
        <w:rPr>
          <w:noProof/>
        </w:rPr>
        <w:noBreakHyphen/>
        <w:t>240</w:t>
      </w:r>
      <w:r>
        <w:rPr>
          <w:noProof/>
        </w:rPr>
        <w:tab/>
        <w:t>Withdrawal of election</w:t>
      </w:r>
      <w:r w:rsidRPr="00380510">
        <w:rPr>
          <w:rFonts w:ascii="Times" w:hAnsi="Times" w:cs="Times"/>
          <w:noProof/>
        </w:rPr>
        <w:tab/>
      </w:r>
      <w:r w:rsidRPr="00380510">
        <w:rPr>
          <w:rFonts w:ascii="Times" w:hAnsi="Times" w:cs="Times"/>
          <w:noProof/>
        </w:rPr>
        <w:fldChar w:fldCharType="begin"/>
      </w:r>
      <w:r w:rsidRPr="00380510">
        <w:rPr>
          <w:rFonts w:ascii="Times" w:hAnsi="Times" w:cs="Times"/>
          <w:noProof/>
        </w:rPr>
        <w:instrText xml:space="preserve"> PAGEREF _Toc338939193 \h </w:instrText>
      </w:r>
      <w:r w:rsidRPr="00380510">
        <w:rPr>
          <w:rFonts w:ascii="Times" w:hAnsi="Times" w:cs="Times"/>
          <w:noProof/>
        </w:rPr>
      </w:r>
      <w:r w:rsidRPr="00380510">
        <w:rPr>
          <w:rFonts w:ascii="Times" w:hAnsi="Times" w:cs="Times"/>
          <w:noProof/>
        </w:rPr>
        <w:fldChar w:fldCharType="separate"/>
      </w:r>
      <w:r w:rsidR="00623A5C">
        <w:rPr>
          <w:rFonts w:ascii="Times" w:hAnsi="Times" w:cs="Times"/>
          <w:noProof/>
        </w:rPr>
        <w:t>98</w:t>
      </w:r>
      <w:r w:rsidRPr="00380510">
        <w:rPr>
          <w:rFonts w:ascii="Times" w:hAnsi="Times" w:cs="Times"/>
          <w:noProof/>
        </w:rPr>
        <w:fldChar w:fldCharType="end"/>
      </w:r>
    </w:p>
    <w:p w:rsidR="00380510" w:rsidRDefault="00380510">
      <w:pPr>
        <w:pStyle w:val="TOC5"/>
        <w:rPr>
          <w:rFonts w:ascii="Calibri" w:hAnsi="Calibri"/>
          <w:iCs w:val="0"/>
          <w:noProof/>
          <w:kern w:val="0"/>
          <w:sz w:val="22"/>
          <w:szCs w:val="22"/>
        </w:rPr>
      </w:pPr>
      <w:r>
        <w:rPr>
          <w:noProof/>
        </w:rPr>
        <w:t>775</w:t>
      </w:r>
      <w:r>
        <w:rPr>
          <w:noProof/>
        </w:rPr>
        <w:noBreakHyphen/>
        <w:t>245</w:t>
      </w:r>
      <w:r>
        <w:rPr>
          <w:noProof/>
        </w:rPr>
        <w:tab/>
        <w:t xml:space="preserve">When does a qualifying forex account </w:t>
      </w:r>
      <w:r w:rsidRPr="008A0EAA">
        <w:rPr>
          <w:i/>
          <w:noProof/>
        </w:rPr>
        <w:t>pass the limited balance test</w:t>
      </w:r>
      <w:r>
        <w:rPr>
          <w:noProof/>
        </w:rPr>
        <w:t>?</w:t>
      </w:r>
      <w:r w:rsidRPr="00380510">
        <w:rPr>
          <w:rFonts w:ascii="Times" w:hAnsi="Times" w:cs="Times"/>
          <w:noProof/>
        </w:rPr>
        <w:tab/>
      </w:r>
      <w:r w:rsidRPr="00380510">
        <w:rPr>
          <w:rFonts w:ascii="Times" w:hAnsi="Times" w:cs="Times"/>
          <w:noProof/>
        </w:rPr>
        <w:fldChar w:fldCharType="begin"/>
      </w:r>
      <w:r w:rsidRPr="00380510">
        <w:rPr>
          <w:rFonts w:ascii="Times" w:hAnsi="Times" w:cs="Times"/>
          <w:noProof/>
        </w:rPr>
        <w:instrText xml:space="preserve"> PAGEREF _Toc338939194 \h </w:instrText>
      </w:r>
      <w:r w:rsidRPr="00380510">
        <w:rPr>
          <w:rFonts w:ascii="Times" w:hAnsi="Times" w:cs="Times"/>
          <w:noProof/>
        </w:rPr>
      </w:r>
      <w:r w:rsidRPr="00380510">
        <w:rPr>
          <w:rFonts w:ascii="Times" w:hAnsi="Times" w:cs="Times"/>
          <w:noProof/>
        </w:rPr>
        <w:fldChar w:fldCharType="separate"/>
      </w:r>
      <w:r w:rsidR="00623A5C">
        <w:rPr>
          <w:rFonts w:ascii="Times" w:hAnsi="Times" w:cs="Times"/>
          <w:noProof/>
        </w:rPr>
        <w:t>99</w:t>
      </w:r>
      <w:r w:rsidRPr="00380510">
        <w:rPr>
          <w:rFonts w:ascii="Times" w:hAnsi="Times" w:cs="Times"/>
          <w:noProof/>
        </w:rPr>
        <w:fldChar w:fldCharType="end"/>
      </w:r>
    </w:p>
    <w:p w:rsidR="00380510" w:rsidRDefault="00380510">
      <w:pPr>
        <w:pStyle w:val="TOC5"/>
        <w:rPr>
          <w:rFonts w:ascii="Calibri" w:hAnsi="Calibri"/>
          <w:iCs w:val="0"/>
          <w:noProof/>
          <w:kern w:val="0"/>
          <w:sz w:val="22"/>
          <w:szCs w:val="22"/>
        </w:rPr>
      </w:pPr>
      <w:r>
        <w:rPr>
          <w:noProof/>
        </w:rPr>
        <w:t>775</w:t>
      </w:r>
      <w:r>
        <w:rPr>
          <w:noProof/>
        </w:rPr>
        <w:noBreakHyphen/>
        <w:t>250</w:t>
      </w:r>
      <w:r>
        <w:rPr>
          <w:noProof/>
        </w:rPr>
        <w:tab/>
        <w:t>Tax consequences of passing the limited balance test</w:t>
      </w:r>
      <w:r w:rsidRPr="00380510">
        <w:rPr>
          <w:rFonts w:ascii="Times" w:hAnsi="Times" w:cs="Times"/>
          <w:noProof/>
        </w:rPr>
        <w:tab/>
      </w:r>
      <w:r w:rsidRPr="00380510">
        <w:rPr>
          <w:rFonts w:ascii="Times" w:hAnsi="Times" w:cs="Times"/>
          <w:noProof/>
        </w:rPr>
        <w:fldChar w:fldCharType="begin"/>
      </w:r>
      <w:r w:rsidRPr="00380510">
        <w:rPr>
          <w:rFonts w:ascii="Times" w:hAnsi="Times" w:cs="Times"/>
          <w:noProof/>
        </w:rPr>
        <w:instrText xml:space="preserve"> PAGEREF _Toc338939195 \h </w:instrText>
      </w:r>
      <w:r w:rsidRPr="00380510">
        <w:rPr>
          <w:rFonts w:ascii="Times" w:hAnsi="Times" w:cs="Times"/>
          <w:noProof/>
        </w:rPr>
      </w:r>
      <w:r w:rsidRPr="00380510">
        <w:rPr>
          <w:rFonts w:ascii="Times" w:hAnsi="Times" w:cs="Times"/>
          <w:noProof/>
        </w:rPr>
        <w:fldChar w:fldCharType="separate"/>
      </w:r>
      <w:r w:rsidR="00623A5C">
        <w:rPr>
          <w:rFonts w:ascii="Times" w:hAnsi="Times" w:cs="Times"/>
          <w:noProof/>
        </w:rPr>
        <w:t>102</w:t>
      </w:r>
      <w:r w:rsidRPr="00380510">
        <w:rPr>
          <w:rFonts w:ascii="Times" w:hAnsi="Times" w:cs="Times"/>
          <w:noProof/>
        </w:rPr>
        <w:fldChar w:fldCharType="end"/>
      </w:r>
    </w:p>
    <w:p w:rsidR="00380510" w:rsidRDefault="00380510">
      <w:pPr>
        <w:pStyle w:val="TOC5"/>
        <w:rPr>
          <w:rFonts w:ascii="Calibri" w:hAnsi="Calibri"/>
          <w:iCs w:val="0"/>
          <w:noProof/>
          <w:kern w:val="0"/>
          <w:sz w:val="22"/>
          <w:szCs w:val="22"/>
        </w:rPr>
      </w:pPr>
      <w:r>
        <w:rPr>
          <w:noProof/>
        </w:rPr>
        <w:t>775</w:t>
      </w:r>
      <w:r>
        <w:rPr>
          <w:noProof/>
        </w:rPr>
        <w:noBreakHyphen/>
        <w:t>255</w:t>
      </w:r>
      <w:r>
        <w:rPr>
          <w:noProof/>
        </w:rPr>
        <w:tab/>
        <w:t>Notional realisation when qualifying forex account starts to pass the limited balance test</w:t>
      </w:r>
      <w:r w:rsidRPr="00380510">
        <w:rPr>
          <w:rFonts w:ascii="Times" w:hAnsi="Times" w:cs="Times"/>
          <w:noProof/>
        </w:rPr>
        <w:tab/>
      </w:r>
      <w:r w:rsidRPr="00380510">
        <w:rPr>
          <w:rFonts w:ascii="Times" w:hAnsi="Times" w:cs="Times"/>
          <w:noProof/>
        </w:rPr>
        <w:fldChar w:fldCharType="begin"/>
      </w:r>
      <w:r w:rsidRPr="00380510">
        <w:rPr>
          <w:rFonts w:ascii="Times" w:hAnsi="Times" w:cs="Times"/>
          <w:noProof/>
        </w:rPr>
        <w:instrText xml:space="preserve"> PAGEREF _Toc338939196 \h </w:instrText>
      </w:r>
      <w:r w:rsidRPr="00380510">
        <w:rPr>
          <w:rFonts w:ascii="Times" w:hAnsi="Times" w:cs="Times"/>
          <w:noProof/>
        </w:rPr>
      </w:r>
      <w:r w:rsidRPr="00380510">
        <w:rPr>
          <w:rFonts w:ascii="Times" w:hAnsi="Times" w:cs="Times"/>
          <w:noProof/>
        </w:rPr>
        <w:fldChar w:fldCharType="separate"/>
      </w:r>
      <w:r w:rsidR="00623A5C">
        <w:rPr>
          <w:rFonts w:ascii="Times" w:hAnsi="Times" w:cs="Times"/>
          <w:noProof/>
        </w:rPr>
        <w:t>103</w:t>
      </w:r>
      <w:r w:rsidRPr="00380510">
        <w:rPr>
          <w:rFonts w:ascii="Times" w:hAnsi="Times" w:cs="Times"/>
          <w:noProof/>
        </w:rPr>
        <w:fldChar w:fldCharType="end"/>
      </w:r>
    </w:p>
    <w:p w:rsidR="00380510" w:rsidRDefault="00380510">
      <w:pPr>
        <w:pStyle w:val="TOC5"/>
        <w:rPr>
          <w:rFonts w:ascii="Calibri" w:hAnsi="Calibri"/>
          <w:iCs w:val="0"/>
          <w:noProof/>
          <w:kern w:val="0"/>
          <w:sz w:val="22"/>
          <w:szCs w:val="22"/>
        </w:rPr>
      </w:pPr>
      <w:r>
        <w:rPr>
          <w:noProof/>
        </w:rPr>
        <w:t>775</w:t>
      </w:r>
      <w:r>
        <w:rPr>
          <w:noProof/>
        </w:rPr>
        <w:noBreakHyphen/>
        <w:t>260</w:t>
      </w:r>
      <w:r>
        <w:rPr>
          <w:noProof/>
        </w:rPr>
        <w:tab/>
        <w:t>Modification of tax recognition time</w:t>
      </w:r>
      <w:r w:rsidRPr="00380510">
        <w:rPr>
          <w:rFonts w:ascii="Times" w:hAnsi="Times" w:cs="Times"/>
          <w:noProof/>
        </w:rPr>
        <w:tab/>
      </w:r>
      <w:r w:rsidRPr="00380510">
        <w:rPr>
          <w:rFonts w:ascii="Times" w:hAnsi="Times" w:cs="Times"/>
          <w:noProof/>
        </w:rPr>
        <w:fldChar w:fldCharType="begin"/>
      </w:r>
      <w:r w:rsidRPr="00380510">
        <w:rPr>
          <w:rFonts w:ascii="Times" w:hAnsi="Times" w:cs="Times"/>
          <w:noProof/>
        </w:rPr>
        <w:instrText xml:space="preserve"> PAGEREF _Toc338939197 \h </w:instrText>
      </w:r>
      <w:r w:rsidRPr="00380510">
        <w:rPr>
          <w:rFonts w:ascii="Times" w:hAnsi="Times" w:cs="Times"/>
          <w:noProof/>
        </w:rPr>
      </w:r>
      <w:r w:rsidRPr="00380510">
        <w:rPr>
          <w:rFonts w:ascii="Times" w:hAnsi="Times" w:cs="Times"/>
          <w:noProof/>
        </w:rPr>
        <w:fldChar w:fldCharType="separate"/>
      </w:r>
      <w:r w:rsidR="00623A5C">
        <w:rPr>
          <w:rFonts w:ascii="Times" w:hAnsi="Times" w:cs="Times"/>
          <w:noProof/>
        </w:rPr>
        <w:t>104</w:t>
      </w:r>
      <w:r w:rsidRPr="00380510">
        <w:rPr>
          <w:rFonts w:ascii="Times" w:hAnsi="Times" w:cs="Times"/>
          <w:noProof/>
        </w:rPr>
        <w:fldChar w:fldCharType="end"/>
      </w:r>
    </w:p>
    <w:p w:rsidR="00380510" w:rsidRDefault="00380510" w:rsidP="00A34385">
      <w:pPr>
        <w:pStyle w:val="TOC4"/>
        <w:keepNext/>
        <w:rPr>
          <w:rFonts w:ascii="Calibri" w:hAnsi="Calibri"/>
          <w:b w:val="0"/>
          <w:noProof/>
          <w:kern w:val="0"/>
          <w:sz w:val="22"/>
          <w:szCs w:val="22"/>
        </w:rPr>
      </w:pPr>
      <w:r>
        <w:rPr>
          <w:noProof/>
        </w:rPr>
        <w:lastRenderedPageBreak/>
        <w:t>Subdivision 775</w:t>
      </w:r>
      <w:r>
        <w:rPr>
          <w:noProof/>
        </w:rPr>
        <w:noBreakHyphen/>
        <w:t>E—Retranslation for qualifying forex accounts</w:t>
      </w:r>
      <w:r w:rsidRPr="00380510">
        <w:rPr>
          <w:rFonts w:ascii="Times" w:hAnsi="Times" w:cs="Times"/>
          <w:b w:val="0"/>
          <w:noProof/>
          <w:sz w:val="18"/>
        </w:rPr>
        <w:tab/>
      </w:r>
      <w:r w:rsidRPr="00380510">
        <w:rPr>
          <w:rFonts w:ascii="Times" w:hAnsi="Times" w:cs="Times"/>
          <w:b w:val="0"/>
          <w:noProof/>
          <w:sz w:val="18"/>
        </w:rPr>
        <w:fldChar w:fldCharType="begin"/>
      </w:r>
      <w:r w:rsidRPr="00380510">
        <w:rPr>
          <w:rFonts w:ascii="Times" w:hAnsi="Times" w:cs="Times"/>
          <w:b w:val="0"/>
          <w:noProof/>
          <w:sz w:val="18"/>
        </w:rPr>
        <w:instrText xml:space="preserve"> PAGEREF _Toc338939198 \h </w:instrText>
      </w:r>
      <w:r w:rsidRPr="00380510">
        <w:rPr>
          <w:rFonts w:ascii="Times" w:hAnsi="Times" w:cs="Times"/>
          <w:b w:val="0"/>
          <w:noProof/>
          <w:sz w:val="18"/>
        </w:rPr>
      </w:r>
      <w:r w:rsidRPr="00380510">
        <w:rPr>
          <w:rFonts w:ascii="Times" w:hAnsi="Times" w:cs="Times"/>
          <w:b w:val="0"/>
          <w:noProof/>
          <w:sz w:val="18"/>
        </w:rPr>
        <w:fldChar w:fldCharType="separate"/>
      </w:r>
      <w:r w:rsidR="00623A5C">
        <w:rPr>
          <w:rFonts w:ascii="Times" w:hAnsi="Times" w:cs="Times"/>
          <w:b w:val="0"/>
          <w:noProof/>
          <w:sz w:val="18"/>
        </w:rPr>
        <w:t>105</w:t>
      </w:r>
      <w:r w:rsidRPr="00380510">
        <w:rPr>
          <w:rFonts w:ascii="Times" w:hAnsi="Times" w:cs="Times"/>
          <w:b w:val="0"/>
          <w:noProof/>
          <w:sz w:val="18"/>
        </w:rPr>
        <w:fldChar w:fldCharType="end"/>
      </w:r>
    </w:p>
    <w:p w:rsidR="00380510" w:rsidRDefault="00380510" w:rsidP="00A34385">
      <w:pPr>
        <w:pStyle w:val="TOC4"/>
        <w:keepNext/>
        <w:rPr>
          <w:rFonts w:ascii="Calibri" w:hAnsi="Calibri"/>
          <w:b w:val="0"/>
          <w:noProof/>
          <w:kern w:val="0"/>
          <w:sz w:val="22"/>
          <w:szCs w:val="22"/>
        </w:rPr>
      </w:pPr>
      <w:r>
        <w:rPr>
          <w:noProof/>
        </w:rPr>
        <w:t>Guide to Subdivision 775</w:t>
      </w:r>
      <w:r>
        <w:rPr>
          <w:noProof/>
        </w:rPr>
        <w:noBreakHyphen/>
        <w:t>E</w:t>
      </w:r>
      <w:r w:rsidRPr="00380510">
        <w:rPr>
          <w:rFonts w:ascii="Times" w:hAnsi="Times" w:cs="Times"/>
          <w:b w:val="0"/>
          <w:noProof/>
          <w:sz w:val="18"/>
        </w:rPr>
        <w:tab/>
      </w:r>
      <w:r w:rsidRPr="00380510">
        <w:rPr>
          <w:rFonts w:ascii="Times" w:hAnsi="Times" w:cs="Times"/>
          <w:b w:val="0"/>
          <w:noProof/>
          <w:sz w:val="18"/>
        </w:rPr>
        <w:fldChar w:fldCharType="begin"/>
      </w:r>
      <w:r w:rsidRPr="00380510">
        <w:rPr>
          <w:rFonts w:ascii="Times" w:hAnsi="Times" w:cs="Times"/>
          <w:b w:val="0"/>
          <w:noProof/>
          <w:sz w:val="18"/>
        </w:rPr>
        <w:instrText xml:space="preserve"> PAGEREF _Toc338939199 \h </w:instrText>
      </w:r>
      <w:r w:rsidRPr="00380510">
        <w:rPr>
          <w:rFonts w:ascii="Times" w:hAnsi="Times" w:cs="Times"/>
          <w:b w:val="0"/>
          <w:noProof/>
          <w:sz w:val="18"/>
        </w:rPr>
      </w:r>
      <w:r w:rsidRPr="00380510">
        <w:rPr>
          <w:rFonts w:ascii="Times" w:hAnsi="Times" w:cs="Times"/>
          <w:b w:val="0"/>
          <w:noProof/>
          <w:sz w:val="18"/>
        </w:rPr>
        <w:fldChar w:fldCharType="separate"/>
      </w:r>
      <w:r w:rsidR="00623A5C">
        <w:rPr>
          <w:rFonts w:ascii="Times" w:hAnsi="Times" w:cs="Times"/>
          <w:b w:val="0"/>
          <w:noProof/>
          <w:sz w:val="18"/>
        </w:rPr>
        <w:t>105</w:t>
      </w:r>
      <w:r w:rsidRPr="00380510">
        <w:rPr>
          <w:rFonts w:ascii="Times" w:hAnsi="Times" w:cs="Times"/>
          <w:b w:val="0"/>
          <w:noProof/>
          <w:sz w:val="18"/>
        </w:rPr>
        <w:fldChar w:fldCharType="end"/>
      </w:r>
    </w:p>
    <w:p w:rsidR="00380510" w:rsidRDefault="00380510">
      <w:pPr>
        <w:pStyle w:val="TOC5"/>
        <w:rPr>
          <w:rFonts w:ascii="Calibri" w:hAnsi="Calibri"/>
          <w:iCs w:val="0"/>
          <w:noProof/>
          <w:kern w:val="0"/>
          <w:sz w:val="22"/>
          <w:szCs w:val="22"/>
        </w:rPr>
      </w:pPr>
      <w:r>
        <w:rPr>
          <w:noProof/>
        </w:rPr>
        <w:t>775</w:t>
      </w:r>
      <w:r>
        <w:rPr>
          <w:noProof/>
        </w:rPr>
        <w:noBreakHyphen/>
        <w:t>265</w:t>
      </w:r>
      <w:r>
        <w:rPr>
          <w:noProof/>
        </w:rPr>
        <w:tab/>
        <w:t>What this Subdivision is about</w:t>
      </w:r>
      <w:r w:rsidRPr="00380510">
        <w:rPr>
          <w:rFonts w:ascii="Times" w:hAnsi="Times" w:cs="Times"/>
          <w:noProof/>
        </w:rPr>
        <w:tab/>
      </w:r>
      <w:r w:rsidRPr="00380510">
        <w:rPr>
          <w:rFonts w:ascii="Times" w:hAnsi="Times" w:cs="Times"/>
          <w:noProof/>
        </w:rPr>
        <w:fldChar w:fldCharType="begin"/>
      </w:r>
      <w:r w:rsidRPr="00380510">
        <w:rPr>
          <w:rFonts w:ascii="Times" w:hAnsi="Times" w:cs="Times"/>
          <w:noProof/>
        </w:rPr>
        <w:instrText xml:space="preserve"> PAGEREF _Toc338939200 \h </w:instrText>
      </w:r>
      <w:r w:rsidRPr="00380510">
        <w:rPr>
          <w:rFonts w:ascii="Times" w:hAnsi="Times" w:cs="Times"/>
          <w:noProof/>
        </w:rPr>
      </w:r>
      <w:r w:rsidRPr="00380510">
        <w:rPr>
          <w:rFonts w:ascii="Times" w:hAnsi="Times" w:cs="Times"/>
          <w:noProof/>
        </w:rPr>
        <w:fldChar w:fldCharType="separate"/>
      </w:r>
      <w:r w:rsidR="00623A5C">
        <w:rPr>
          <w:rFonts w:ascii="Times" w:hAnsi="Times" w:cs="Times"/>
          <w:noProof/>
        </w:rPr>
        <w:t>105</w:t>
      </w:r>
      <w:r w:rsidRPr="00380510">
        <w:rPr>
          <w:rFonts w:ascii="Times" w:hAnsi="Times" w:cs="Times"/>
          <w:noProof/>
        </w:rPr>
        <w:fldChar w:fldCharType="end"/>
      </w:r>
    </w:p>
    <w:p w:rsidR="00380510" w:rsidRDefault="00380510">
      <w:pPr>
        <w:pStyle w:val="TOC4"/>
        <w:rPr>
          <w:rFonts w:ascii="Calibri" w:hAnsi="Calibri"/>
          <w:b w:val="0"/>
          <w:noProof/>
          <w:kern w:val="0"/>
          <w:sz w:val="22"/>
          <w:szCs w:val="22"/>
        </w:rPr>
      </w:pPr>
      <w:r>
        <w:rPr>
          <w:noProof/>
        </w:rPr>
        <w:t>Operative provisions</w:t>
      </w:r>
      <w:r w:rsidRPr="00380510">
        <w:rPr>
          <w:rFonts w:ascii="Times" w:hAnsi="Times" w:cs="Times"/>
          <w:b w:val="0"/>
          <w:noProof/>
          <w:sz w:val="18"/>
        </w:rPr>
        <w:tab/>
      </w:r>
      <w:r w:rsidRPr="00380510">
        <w:rPr>
          <w:rFonts w:ascii="Times" w:hAnsi="Times" w:cs="Times"/>
          <w:b w:val="0"/>
          <w:noProof/>
          <w:sz w:val="18"/>
        </w:rPr>
        <w:fldChar w:fldCharType="begin"/>
      </w:r>
      <w:r w:rsidRPr="00380510">
        <w:rPr>
          <w:rFonts w:ascii="Times" w:hAnsi="Times" w:cs="Times"/>
          <w:b w:val="0"/>
          <w:noProof/>
          <w:sz w:val="18"/>
        </w:rPr>
        <w:instrText xml:space="preserve"> PAGEREF _Toc338939201 \h </w:instrText>
      </w:r>
      <w:r w:rsidRPr="00380510">
        <w:rPr>
          <w:rFonts w:ascii="Times" w:hAnsi="Times" w:cs="Times"/>
          <w:b w:val="0"/>
          <w:noProof/>
          <w:sz w:val="18"/>
        </w:rPr>
      </w:r>
      <w:r w:rsidRPr="00380510">
        <w:rPr>
          <w:rFonts w:ascii="Times" w:hAnsi="Times" w:cs="Times"/>
          <w:b w:val="0"/>
          <w:noProof/>
          <w:sz w:val="18"/>
        </w:rPr>
        <w:fldChar w:fldCharType="separate"/>
      </w:r>
      <w:r w:rsidR="00623A5C">
        <w:rPr>
          <w:rFonts w:ascii="Times" w:hAnsi="Times" w:cs="Times"/>
          <w:b w:val="0"/>
          <w:noProof/>
          <w:sz w:val="18"/>
        </w:rPr>
        <w:t>105</w:t>
      </w:r>
      <w:r w:rsidRPr="00380510">
        <w:rPr>
          <w:rFonts w:ascii="Times" w:hAnsi="Times" w:cs="Times"/>
          <w:b w:val="0"/>
          <w:noProof/>
          <w:sz w:val="18"/>
        </w:rPr>
        <w:fldChar w:fldCharType="end"/>
      </w:r>
    </w:p>
    <w:p w:rsidR="00380510" w:rsidRDefault="00380510">
      <w:pPr>
        <w:pStyle w:val="TOC5"/>
        <w:rPr>
          <w:rFonts w:ascii="Calibri" w:hAnsi="Calibri"/>
          <w:iCs w:val="0"/>
          <w:noProof/>
          <w:kern w:val="0"/>
          <w:sz w:val="22"/>
          <w:szCs w:val="22"/>
        </w:rPr>
      </w:pPr>
      <w:r>
        <w:rPr>
          <w:noProof/>
        </w:rPr>
        <w:t>775</w:t>
      </w:r>
      <w:r>
        <w:rPr>
          <w:noProof/>
        </w:rPr>
        <w:noBreakHyphen/>
        <w:t>270</w:t>
      </w:r>
      <w:r>
        <w:rPr>
          <w:noProof/>
        </w:rPr>
        <w:tab/>
        <w:t>You may choose retranslation for a qualifying forex account</w:t>
      </w:r>
      <w:r w:rsidRPr="00380510">
        <w:rPr>
          <w:rFonts w:ascii="Times" w:hAnsi="Times" w:cs="Times"/>
          <w:noProof/>
        </w:rPr>
        <w:tab/>
      </w:r>
      <w:r w:rsidRPr="00380510">
        <w:rPr>
          <w:rFonts w:ascii="Times" w:hAnsi="Times" w:cs="Times"/>
          <w:noProof/>
        </w:rPr>
        <w:fldChar w:fldCharType="begin"/>
      </w:r>
      <w:r w:rsidRPr="00380510">
        <w:rPr>
          <w:rFonts w:ascii="Times" w:hAnsi="Times" w:cs="Times"/>
          <w:noProof/>
        </w:rPr>
        <w:instrText xml:space="preserve"> PAGEREF _Toc338939202 \h </w:instrText>
      </w:r>
      <w:r w:rsidRPr="00380510">
        <w:rPr>
          <w:rFonts w:ascii="Times" w:hAnsi="Times" w:cs="Times"/>
          <w:noProof/>
        </w:rPr>
      </w:r>
      <w:r w:rsidRPr="00380510">
        <w:rPr>
          <w:rFonts w:ascii="Times" w:hAnsi="Times" w:cs="Times"/>
          <w:noProof/>
        </w:rPr>
        <w:fldChar w:fldCharType="separate"/>
      </w:r>
      <w:r w:rsidR="00623A5C">
        <w:rPr>
          <w:rFonts w:ascii="Times" w:hAnsi="Times" w:cs="Times"/>
          <w:noProof/>
        </w:rPr>
        <w:t>105</w:t>
      </w:r>
      <w:r w:rsidRPr="00380510">
        <w:rPr>
          <w:rFonts w:ascii="Times" w:hAnsi="Times" w:cs="Times"/>
          <w:noProof/>
        </w:rPr>
        <w:fldChar w:fldCharType="end"/>
      </w:r>
    </w:p>
    <w:p w:rsidR="00380510" w:rsidRDefault="00380510">
      <w:pPr>
        <w:pStyle w:val="TOC5"/>
        <w:rPr>
          <w:rFonts w:ascii="Calibri" w:hAnsi="Calibri"/>
          <w:iCs w:val="0"/>
          <w:noProof/>
          <w:kern w:val="0"/>
          <w:sz w:val="22"/>
          <w:szCs w:val="22"/>
        </w:rPr>
      </w:pPr>
      <w:r>
        <w:rPr>
          <w:noProof/>
        </w:rPr>
        <w:t>775</w:t>
      </w:r>
      <w:r>
        <w:rPr>
          <w:noProof/>
        </w:rPr>
        <w:noBreakHyphen/>
        <w:t>275</w:t>
      </w:r>
      <w:r>
        <w:rPr>
          <w:noProof/>
        </w:rPr>
        <w:tab/>
        <w:t>Withdrawal of choice</w:t>
      </w:r>
      <w:r w:rsidRPr="00380510">
        <w:rPr>
          <w:rFonts w:ascii="Times" w:hAnsi="Times" w:cs="Times"/>
          <w:noProof/>
        </w:rPr>
        <w:tab/>
      </w:r>
      <w:r w:rsidRPr="00380510">
        <w:rPr>
          <w:rFonts w:ascii="Times" w:hAnsi="Times" w:cs="Times"/>
          <w:noProof/>
        </w:rPr>
        <w:fldChar w:fldCharType="begin"/>
      </w:r>
      <w:r w:rsidRPr="00380510">
        <w:rPr>
          <w:rFonts w:ascii="Times" w:hAnsi="Times" w:cs="Times"/>
          <w:noProof/>
        </w:rPr>
        <w:instrText xml:space="preserve"> PAGEREF _Toc338939203 \h </w:instrText>
      </w:r>
      <w:r w:rsidRPr="00380510">
        <w:rPr>
          <w:rFonts w:ascii="Times" w:hAnsi="Times" w:cs="Times"/>
          <w:noProof/>
        </w:rPr>
      </w:r>
      <w:r w:rsidRPr="00380510">
        <w:rPr>
          <w:rFonts w:ascii="Times" w:hAnsi="Times" w:cs="Times"/>
          <w:noProof/>
        </w:rPr>
        <w:fldChar w:fldCharType="separate"/>
      </w:r>
      <w:r w:rsidR="00623A5C">
        <w:rPr>
          <w:rFonts w:ascii="Times" w:hAnsi="Times" w:cs="Times"/>
          <w:noProof/>
        </w:rPr>
        <w:t>106</w:t>
      </w:r>
      <w:r w:rsidRPr="00380510">
        <w:rPr>
          <w:rFonts w:ascii="Times" w:hAnsi="Times" w:cs="Times"/>
          <w:noProof/>
        </w:rPr>
        <w:fldChar w:fldCharType="end"/>
      </w:r>
    </w:p>
    <w:p w:rsidR="00380510" w:rsidRDefault="00380510">
      <w:pPr>
        <w:pStyle w:val="TOC5"/>
        <w:rPr>
          <w:rFonts w:ascii="Calibri" w:hAnsi="Calibri"/>
          <w:iCs w:val="0"/>
          <w:noProof/>
          <w:kern w:val="0"/>
          <w:sz w:val="22"/>
          <w:szCs w:val="22"/>
        </w:rPr>
      </w:pPr>
      <w:r>
        <w:rPr>
          <w:noProof/>
        </w:rPr>
        <w:t>775</w:t>
      </w:r>
      <w:r>
        <w:rPr>
          <w:noProof/>
        </w:rPr>
        <w:noBreakHyphen/>
        <w:t>280</w:t>
      </w:r>
      <w:r>
        <w:rPr>
          <w:noProof/>
        </w:rPr>
        <w:tab/>
        <w:t>Tax consequences of choosing retranslation for an account</w:t>
      </w:r>
      <w:r w:rsidRPr="00380510">
        <w:rPr>
          <w:rFonts w:ascii="Times" w:hAnsi="Times" w:cs="Times"/>
          <w:noProof/>
        </w:rPr>
        <w:tab/>
      </w:r>
      <w:r w:rsidRPr="00380510">
        <w:rPr>
          <w:rFonts w:ascii="Times" w:hAnsi="Times" w:cs="Times"/>
          <w:noProof/>
        </w:rPr>
        <w:fldChar w:fldCharType="begin"/>
      </w:r>
      <w:r w:rsidRPr="00380510">
        <w:rPr>
          <w:rFonts w:ascii="Times" w:hAnsi="Times" w:cs="Times"/>
          <w:noProof/>
        </w:rPr>
        <w:instrText xml:space="preserve"> PAGEREF _Toc338939204 \h </w:instrText>
      </w:r>
      <w:r w:rsidRPr="00380510">
        <w:rPr>
          <w:rFonts w:ascii="Times" w:hAnsi="Times" w:cs="Times"/>
          <w:noProof/>
        </w:rPr>
      </w:r>
      <w:r w:rsidRPr="00380510">
        <w:rPr>
          <w:rFonts w:ascii="Times" w:hAnsi="Times" w:cs="Times"/>
          <w:noProof/>
        </w:rPr>
        <w:fldChar w:fldCharType="separate"/>
      </w:r>
      <w:r w:rsidR="00623A5C">
        <w:rPr>
          <w:rFonts w:ascii="Times" w:hAnsi="Times" w:cs="Times"/>
          <w:noProof/>
        </w:rPr>
        <w:t>106</w:t>
      </w:r>
      <w:r w:rsidRPr="00380510">
        <w:rPr>
          <w:rFonts w:ascii="Times" w:hAnsi="Times" w:cs="Times"/>
          <w:noProof/>
        </w:rPr>
        <w:fldChar w:fldCharType="end"/>
      </w:r>
    </w:p>
    <w:p w:rsidR="00380510" w:rsidRDefault="00380510">
      <w:pPr>
        <w:pStyle w:val="TOC5"/>
        <w:rPr>
          <w:rFonts w:ascii="Calibri" w:hAnsi="Calibri"/>
          <w:iCs w:val="0"/>
          <w:noProof/>
          <w:kern w:val="0"/>
          <w:sz w:val="22"/>
          <w:szCs w:val="22"/>
        </w:rPr>
      </w:pPr>
      <w:r>
        <w:rPr>
          <w:noProof/>
        </w:rPr>
        <w:t>775</w:t>
      </w:r>
      <w:r>
        <w:rPr>
          <w:noProof/>
        </w:rPr>
        <w:noBreakHyphen/>
        <w:t>285</w:t>
      </w:r>
      <w:r>
        <w:rPr>
          <w:noProof/>
        </w:rPr>
        <w:tab/>
        <w:t>Retranslation of gains and losses relating to a qualifying forex account—forex realisation event 8</w:t>
      </w:r>
      <w:r w:rsidRPr="00380510">
        <w:rPr>
          <w:rFonts w:ascii="Times" w:hAnsi="Times" w:cs="Times"/>
          <w:noProof/>
        </w:rPr>
        <w:tab/>
      </w:r>
      <w:r w:rsidRPr="00380510">
        <w:rPr>
          <w:rFonts w:ascii="Times" w:hAnsi="Times" w:cs="Times"/>
          <w:noProof/>
        </w:rPr>
        <w:fldChar w:fldCharType="begin"/>
      </w:r>
      <w:r w:rsidRPr="00380510">
        <w:rPr>
          <w:rFonts w:ascii="Times" w:hAnsi="Times" w:cs="Times"/>
          <w:noProof/>
        </w:rPr>
        <w:instrText xml:space="preserve"> PAGEREF _Toc338939205 \h </w:instrText>
      </w:r>
      <w:r w:rsidRPr="00380510">
        <w:rPr>
          <w:rFonts w:ascii="Times" w:hAnsi="Times" w:cs="Times"/>
          <w:noProof/>
        </w:rPr>
      </w:r>
      <w:r w:rsidRPr="00380510">
        <w:rPr>
          <w:rFonts w:ascii="Times" w:hAnsi="Times" w:cs="Times"/>
          <w:noProof/>
        </w:rPr>
        <w:fldChar w:fldCharType="separate"/>
      </w:r>
      <w:r w:rsidR="00623A5C">
        <w:rPr>
          <w:rFonts w:ascii="Times" w:hAnsi="Times" w:cs="Times"/>
          <w:noProof/>
        </w:rPr>
        <w:t>107</w:t>
      </w:r>
      <w:r w:rsidRPr="00380510">
        <w:rPr>
          <w:rFonts w:ascii="Times" w:hAnsi="Times" w:cs="Times"/>
          <w:noProof/>
        </w:rPr>
        <w:fldChar w:fldCharType="end"/>
      </w:r>
    </w:p>
    <w:p w:rsidR="00380510" w:rsidRDefault="00380510">
      <w:pPr>
        <w:pStyle w:val="TOC4"/>
        <w:rPr>
          <w:rFonts w:ascii="Calibri" w:hAnsi="Calibri"/>
          <w:b w:val="0"/>
          <w:noProof/>
          <w:kern w:val="0"/>
          <w:sz w:val="22"/>
          <w:szCs w:val="22"/>
        </w:rPr>
      </w:pPr>
      <w:r>
        <w:rPr>
          <w:noProof/>
        </w:rPr>
        <w:t>Subdivision 775</w:t>
      </w:r>
      <w:r>
        <w:rPr>
          <w:noProof/>
        </w:rPr>
        <w:noBreakHyphen/>
        <w:t>F—Retranslation under foreign exchange retranslation election under Subdivision 230</w:t>
      </w:r>
      <w:r>
        <w:rPr>
          <w:noProof/>
        </w:rPr>
        <w:noBreakHyphen/>
        <w:t>D</w:t>
      </w:r>
      <w:r w:rsidRPr="00380510">
        <w:rPr>
          <w:rFonts w:ascii="Times" w:hAnsi="Times" w:cs="Times"/>
          <w:b w:val="0"/>
          <w:noProof/>
          <w:sz w:val="18"/>
        </w:rPr>
        <w:tab/>
      </w:r>
      <w:r w:rsidRPr="00380510">
        <w:rPr>
          <w:rFonts w:ascii="Times" w:hAnsi="Times" w:cs="Times"/>
          <w:b w:val="0"/>
          <w:noProof/>
          <w:sz w:val="18"/>
        </w:rPr>
        <w:fldChar w:fldCharType="begin"/>
      </w:r>
      <w:r w:rsidRPr="00380510">
        <w:rPr>
          <w:rFonts w:ascii="Times" w:hAnsi="Times" w:cs="Times"/>
          <w:b w:val="0"/>
          <w:noProof/>
          <w:sz w:val="18"/>
        </w:rPr>
        <w:instrText xml:space="preserve"> PAGEREF _Toc338939206 \h </w:instrText>
      </w:r>
      <w:r w:rsidRPr="00380510">
        <w:rPr>
          <w:rFonts w:ascii="Times" w:hAnsi="Times" w:cs="Times"/>
          <w:b w:val="0"/>
          <w:noProof/>
          <w:sz w:val="18"/>
        </w:rPr>
      </w:r>
      <w:r w:rsidRPr="00380510">
        <w:rPr>
          <w:rFonts w:ascii="Times" w:hAnsi="Times" w:cs="Times"/>
          <w:b w:val="0"/>
          <w:noProof/>
          <w:sz w:val="18"/>
        </w:rPr>
        <w:fldChar w:fldCharType="separate"/>
      </w:r>
      <w:r w:rsidR="00623A5C">
        <w:rPr>
          <w:rFonts w:ascii="Times" w:hAnsi="Times" w:cs="Times"/>
          <w:b w:val="0"/>
          <w:noProof/>
          <w:sz w:val="18"/>
        </w:rPr>
        <w:t>110</w:t>
      </w:r>
      <w:r w:rsidRPr="00380510">
        <w:rPr>
          <w:rFonts w:ascii="Times" w:hAnsi="Times" w:cs="Times"/>
          <w:b w:val="0"/>
          <w:noProof/>
          <w:sz w:val="18"/>
        </w:rPr>
        <w:fldChar w:fldCharType="end"/>
      </w:r>
    </w:p>
    <w:p w:rsidR="00380510" w:rsidRDefault="00380510">
      <w:pPr>
        <w:pStyle w:val="TOC4"/>
        <w:rPr>
          <w:rFonts w:ascii="Calibri" w:hAnsi="Calibri"/>
          <w:b w:val="0"/>
          <w:noProof/>
          <w:kern w:val="0"/>
          <w:sz w:val="22"/>
          <w:szCs w:val="22"/>
        </w:rPr>
      </w:pPr>
      <w:r>
        <w:rPr>
          <w:noProof/>
        </w:rPr>
        <w:t>Guide to Subdivision 775</w:t>
      </w:r>
      <w:r>
        <w:rPr>
          <w:noProof/>
        </w:rPr>
        <w:noBreakHyphen/>
        <w:t>F</w:t>
      </w:r>
      <w:r w:rsidRPr="00380510">
        <w:rPr>
          <w:rFonts w:ascii="Times" w:hAnsi="Times" w:cs="Times"/>
          <w:b w:val="0"/>
          <w:noProof/>
          <w:sz w:val="18"/>
        </w:rPr>
        <w:tab/>
      </w:r>
      <w:r w:rsidRPr="00380510">
        <w:rPr>
          <w:rFonts w:ascii="Times" w:hAnsi="Times" w:cs="Times"/>
          <w:b w:val="0"/>
          <w:noProof/>
          <w:sz w:val="18"/>
        </w:rPr>
        <w:fldChar w:fldCharType="begin"/>
      </w:r>
      <w:r w:rsidRPr="00380510">
        <w:rPr>
          <w:rFonts w:ascii="Times" w:hAnsi="Times" w:cs="Times"/>
          <w:b w:val="0"/>
          <w:noProof/>
          <w:sz w:val="18"/>
        </w:rPr>
        <w:instrText xml:space="preserve"> PAGEREF _Toc338939207 \h </w:instrText>
      </w:r>
      <w:r w:rsidRPr="00380510">
        <w:rPr>
          <w:rFonts w:ascii="Times" w:hAnsi="Times" w:cs="Times"/>
          <w:b w:val="0"/>
          <w:noProof/>
          <w:sz w:val="18"/>
        </w:rPr>
      </w:r>
      <w:r w:rsidRPr="00380510">
        <w:rPr>
          <w:rFonts w:ascii="Times" w:hAnsi="Times" w:cs="Times"/>
          <w:b w:val="0"/>
          <w:noProof/>
          <w:sz w:val="18"/>
        </w:rPr>
        <w:fldChar w:fldCharType="separate"/>
      </w:r>
      <w:r w:rsidR="00623A5C">
        <w:rPr>
          <w:rFonts w:ascii="Times" w:hAnsi="Times" w:cs="Times"/>
          <w:b w:val="0"/>
          <w:noProof/>
          <w:sz w:val="18"/>
        </w:rPr>
        <w:t>110</w:t>
      </w:r>
      <w:r w:rsidRPr="00380510">
        <w:rPr>
          <w:rFonts w:ascii="Times" w:hAnsi="Times" w:cs="Times"/>
          <w:b w:val="0"/>
          <w:noProof/>
          <w:sz w:val="18"/>
        </w:rPr>
        <w:fldChar w:fldCharType="end"/>
      </w:r>
    </w:p>
    <w:p w:rsidR="00380510" w:rsidRDefault="00380510">
      <w:pPr>
        <w:pStyle w:val="TOC5"/>
        <w:rPr>
          <w:rFonts w:ascii="Calibri" w:hAnsi="Calibri"/>
          <w:iCs w:val="0"/>
          <w:noProof/>
          <w:kern w:val="0"/>
          <w:sz w:val="22"/>
          <w:szCs w:val="22"/>
        </w:rPr>
      </w:pPr>
      <w:r>
        <w:rPr>
          <w:noProof/>
        </w:rPr>
        <w:t>775</w:t>
      </w:r>
      <w:r>
        <w:rPr>
          <w:noProof/>
        </w:rPr>
        <w:noBreakHyphen/>
        <w:t>290</w:t>
      </w:r>
      <w:r>
        <w:rPr>
          <w:noProof/>
        </w:rPr>
        <w:tab/>
        <w:t>What this Subdivision is about</w:t>
      </w:r>
      <w:r w:rsidRPr="00380510">
        <w:rPr>
          <w:rFonts w:ascii="Times" w:hAnsi="Times" w:cs="Times"/>
          <w:noProof/>
        </w:rPr>
        <w:tab/>
      </w:r>
      <w:r w:rsidRPr="00380510">
        <w:rPr>
          <w:rFonts w:ascii="Times" w:hAnsi="Times" w:cs="Times"/>
          <w:noProof/>
        </w:rPr>
        <w:fldChar w:fldCharType="begin"/>
      </w:r>
      <w:r w:rsidRPr="00380510">
        <w:rPr>
          <w:rFonts w:ascii="Times" w:hAnsi="Times" w:cs="Times"/>
          <w:noProof/>
        </w:rPr>
        <w:instrText xml:space="preserve"> PAGEREF _Toc338939208 \h </w:instrText>
      </w:r>
      <w:r w:rsidRPr="00380510">
        <w:rPr>
          <w:rFonts w:ascii="Times" w:hAnsi="Times" w:cs="Times"/>
          <w:noProof/>
        </w:rPr>
      </w:r>
      <w:r w:rsidRPr="00380510">
        <w:rPr>
          <w:rFonts w:ascii="Times" w:hAnsi="Times" w:cs="Times"/>
          <w:noProof/>
        </w:rPr>
        <w:fldChar w:fldCharType="separate"/>
      </w:r>
      <w:r w:rsidR="00623A5C">
        <w:rPr>
          <w:rFonts w:ascii="Times" w:hAnsi="Times" w:cs="Times"/>
          <w:noProof/>
        </w:rPr>
        <w:t>110</w:t>
      </w:r>
      <w:r w:rsidRPr="00380510">
        <w:rPr>
          <w:rFonts w:ascii="Times" w:hAnsi="Times" w:cs="Times"/>
          <w:noProof/>
        </w:rPr>
        <w:fldChar w:fldCharType="end"/>
      </w:r>
    </w:p>
    <w:p w:rsidR="00380510" w:rsidRDefault="00380510">
      <w:pPr>
        <w:pStyle w:val="TOC5"/>
        <w:rPr>
          <w:rFonts w:ascii="Calibri" w:hAnsi="Calibri"/>
          <w:iCs w:val="0"/>
          <w:noProof/>
          <w:kern w:val="0"/>
          <w:sz w:val="22"/>
          <w:szCs w:val="22"/>
        </w:rPr>
      </w:pPr>
      <w:r>
        <w:rPr>
          <w:noProof/>
        </w:rPr>
        <w:t>775</w:t>
      </w:r>
      <w:r>
        <w:rPr>
          <w:noProof/>
        </w:rPr>
        <w:noBreakHyphen/>
        <w:t>295</w:t>
      </w:r>
      <w:r>
        <w:rPr>
          <w:noProof/>
        </w:rPr>
        <w:tab/>
        <w:t>When this Subdivision applies</w:t>
      </w:r>
      <w:r w:rsidRPr="00380510">
        <w:rPr>
          <w:rFonts w:ascii="Times" w:hAnsi="Times" w:cs="Times"/>
          <w:noProof/>
        </w:rPr>
        <w:tab/>
      </w:r>
      <w:r w:rsidRPr="00380510">
        <w:rPr>
          <w:rFonts w:ascii="Times" w:hAnsi="Times" w:cs="Times"/>
          <w:noProof/>
        </w:rPr>
        <w:fldChar w:fldCharType="begin"/>
      </w:r>
      <w:r w:rsidRPr="00380510">
        <w:rPr>
          <w:rFonts w:ascii="Times" w:hAnsi="Times" w:cs="Times"/>
          <w:noProof/>
        </w:rPr>
        <w:instrText xml:space="preserve"> PAGEREF _Toc338939209 \h </w:instrText>
      </w:r>
      <w:r w:rsidRPr="00380510">
        <w:rPr>
          <w:rFonts w:ascii="Times" w:hAnsi="Times" w:cs="Times"/>
          <w:noProof/>
        </w:rPr>
      </w:r>
      <w:r w:rsidRPr="00380510">
        <w:rPr>
          <w:rFonts w:ascii="Times" w:hAnsi="Times" w:cs="Times"/>
          <w:noProof/>
        </w:rPr>
        <w:fldChar w:fldCharType="separate"/>
      </w:r>
      <w:r w:rsidR="00623A5C">
        <w:rPr>
          <w:rFonts w:ascii="Times" w:hAnsi="Times" w:cs="Times"/>
          <w:noProof/>
        </w:rPr>
        <w:t>110</w:t>
      </w:r>
      <w:r w:rsidRPr="00380510">
        <w:rPr>
          <w:rFonts w:ascii="Times" w:hAnsi="Times" w:cs="Times"/>
          <w:noProof/>
        </w:rPr>
        <w:fldChar w:fldCharType="end"/>
      </w:r>
    </w:p>
    <w:p w:rsidR="00380510" w:rsidRDefault="00380510">
      <w:pPr>
        <w:pStyle w:val="TOC5"/>
        <w:rPr>
          <w:rFonts w:ascii="Calibri" w:hAnsi="Calibri"/>
          <w:iCs w:val="0"/>
          <w:noProof/>
          <w:kern w:val="0"/>
          <w:sz w:val="22"/>
          <w:szCs w:val="22"/>
        </w:rPr>
      </w:pPr>
      <w:r>
        <w:rPr>
          <w:noProof/>
        </w:rPr>
        <w:t>775</w:t>
      </w:r>
      <w:r>
        <w:rPr>
          <w:noProof/>
        </w:rPr>
        <w:noBreakHyphen/>
        <w:t>300</w:t>
      </w:r>
      <w:r>
        <w:rPr>
          <w:noProof/>
        </w:rPr>
        <w:tab/>
        <w:t>Tax consequences of choosing retranslation for arrangement</w:t>
      </w:r>
      <w:r w:rsidRPr="00380510">
        <w:rPr>
          <w:rFonts w:ascii="Times" w:hAnsi="Times" w:cs="Times"/>
          <w:noProof/>
        </w:rPr>
        <w:tab/>
      </w:r>
      <w:r w:rsidRPr="00380510">
        <w:rPr>
          <w:rFonts w:ascii="Times" w:hAnsi="Times" w:cs="Times"/>
          <w:noProof/>
        </w:rPr>
        <w:fldChar w:fldCharType="begin"/>
      </w:r>
      <w:r w:rsidRPr="00380510">
        <w:rPr>
          <w:rFonts w:ascii="Times" w:hAnsi="Times" w:cs="Times"/>
          <w:noProof/>
        </w:rPr>
        <w:instrText xml:space="preserve"> PAGEREF _Toc338939210 \h </w:instrText>
      </w:r>
      <w:r w:rsidRPr="00380510">
        <w:rPr>
          <w:rFonts w:ascii="Times" w:hAnsi="Times" w:cs="Times"/>
          <w:noProof/>
        </w:rPr>
      </w:r>
      <w:r w:rsidRPr="00380510">
        <w:rPr>
          <w:rFonts w:ascii="Times" w:hAnsi="Times" w:cs="Times"/>
          <w:noProof/>
        </w:rPr>
        <w:fldChar w:fldCharType="separate"/>
      </w:r>
      <w:r w:rsidR="00623A5C">
        <w:rPr>
          <w:rFonts w:ascii="Times" w:hAnsi="Times" w:cs="Times"/>
          <w:noProof/>
        </w:rPr>
        <w:t>111</w:t>
      </w:r>
      <w:r w:rsidRPr="00380510">
        <w:rPr>
          <w:rFonts w:ascii="Times" w:hAnsi="Times" w:cs="Times"/>
          <w:noProof/>
        </w:rPr>
        <w:fldChar w:fldCharType="end"/>
      </w:r>
    </w:p>
    <w:p w:rsidR="00380510" w:rsidRDefault="00380510">
      <w:pPr>
        <w:pStyle w:val="TOC5"/>
        <w:rPr>
          <w:rFonts w:ascii="Calibri" w:hAnsi="Calibri"/>
          <w:iCs w:val="0"/>
          <w:noProof/>
          <w:kern w:val="0"/>
          <w:sz w:val="22"/>
          <w:szCs w:val="22"/>
        </w:rPr>
      </w:pPr>
      <w:r>
        <w:rPr>
          <w:noProof/>
        </w:rPr>
        <w:t>775</w:t>
      </w:r>
      <w:r>
        <w:rPr>
          <w:noProof/>
        </w:rPr>
        <w:noBreakHyphen/>
        <w:t>305</w:t>
      </w:r>
      <w:r>
        <w:rPr>
          <w:noProof/>
        </w:rPr>
        <w:tab/>
        <w:t>Retranslation of gains and losses relating to arrangement to which foreign exchange retranslation election applies—forex realisation event 9</w:t>
      </w:r>
      <w:r w:rsidRPr="00380510">
        <w:rPr>
          <w:rFonts w:ascii="Times" w:hAnsi="Times" w:cs="Times"/>
          <w:noProof/>
        </w:rPr>
        <w:tab/>
      </w:r>
      <w:r w:rsidRPr="00380510">
        <w:rPr>
          <w:rFonts w:ascii="Times" w:hAnsi="Times" w:cs="Times"/>
          <w:noProof/>
        </w:rPr>
        <w:fldChar w:fldCharType="begin"/>
      </w:r>
      <w:r w:rsidRPr="00380510">
        <w:rPr>
          <w:rFonts w:ascii="Times" w:hAnsi="Times" w:cs="Times"/>
          <w:noProof/>
        </w:rPr>
        <w:instrText xml:space="preserve"> PAGEREF _Toc338939211 \h </w:instrText>
      </w:r>
      <w:r w:rsidRPr="00380510">
        <w:rPr>
          <w:rFonts w:ascii="Times" w:hAnsi="Times" w:cs="Times"/>
          <w:noProof/>
        </w:rPr>
      </w:r>
      <w:r w:rsidRPr="00380510">
        <w:rPr>
          <w:rFonts w:ascii="Times" w:hAnsi="Times" w:cs="Times"/>
          <w:noProof/>
        </w:rPr>
        <w:fldChar w:fldCharType="separate"/>
      </w:r>
      <w:r w:rsidR="00623A5C">
        <w:rPr>
          <w:rFonts w:ascii="Times" w:hAnsi="Times" w:cs="Times"/>
          <w:noProof/>
        </w:rPr>
        <w:t>112</w:t>
      </w:r>
      <w:r w:rsidRPr="00380510">
        <w:rPr>
          <w:rFonts w:ascii="Times" w:hAnsi="Times" w:cs="Times"/>
          <w:noProof/>
        </w:rPr>
        <w:fldChar w:fldCharType="end"/>
      </w:r>
    </w:p>
    <w:p w:rsidR="00380510" w:rsidRDefault="00380510">
      <w:pPr>
        <w:pStyle w:val="TOC5"/>
        <w:rPr>
          <w:rFonts w:ascii="Calibri" w:hAnsi="Calibri"/>
          <w:iCs w:val="0"/>
          <w:noProof/>
          <w:kern w:val="0"/>
          <w:sz w:val="22"/>
          <w:szCs w:val="22"/>
        </w:rPr>
      </w:pPr>
      <w:r>
        <w:rPr>
          <w:noProof/>
        </w:rPr>
        <w:t>775</w:t>
      </w:r>
      <w:r>
        <w:rPr>
          <w:noProof/>
        </w:rPr>
        <w:noBreakHyphen/>
        <w:t>310</w:t>
      </w:r>
      <w:r>
        <w:rPr>
          <w:noProof/>
        </w:rPr>
        <w:tab/>
        <w:t>When election ceases to apply to arrangement</w:t>
      </w:r>
      <w:r w:rsidRPr="00380510">
        <w:rPr>
          <w:rFonts w:ascii="Times" w:hAnsi="Times" w:cs="Times"/>
          <w:noProof/>
        </w:rPr>
        <w:tab/>
      </w:r>
      <w:r w:rsidRPr="00380510">
        <w:rPr>
          <w:rFonts w:ascii="Times" w:hAnsi="Times" w:cs="Times"/>
          <w:noProof/>
        </w:rPr>
        <w:fldChar w:fldCharType="begin"/>
      </w:r>
      <w:r w:rsidRPr="00380510">
        <w:rPr>
          <w:rFonts w:ascii="Times" w:hAnsi="Times" w:cs="Times"/>
          <w:noProof/>
        </w:rPr>
        <w:instrText xml:space="preserve"> PAGEREF _Toc338939212 \h </w:instrText>
      </w:r>
      <w:r w:rsidRPr="00380510">
        <w:rPr>
          <w:rFonts w:ascii="Times" w:hAnsi="Times" w:cs="Times"/>
          <w:noProof/>
        </w:rPr>
      </w:r>
      <w:r w:rsidRPr="00380510">
        <w:rPr>
          <w:rFonts w:ascii="Times" w:hAnsi="Times" w:cs="Times"/>
          <w:noProof/>
        </w:rPr>
        <w:fldChar w:fldCharType="separate"/>
      </w:r>
      <w:r w:rsidR="00623A5C">
        <w:rPr>
          <w:rFonts w:ascii="Times" w:hAnsi="Times" w:cs="Times"/>
          <w:noProof/>
        </w:rPr>
        <w:t>113</w:t>
      </w:r>
      <w:r w:rsidRPr="00380510">
        <w:rPr>
          <w:rFonts w:ascii="Times" w:hAnsi="Times" w:cs="Times"/>
          <w:noProof/>
        </w:rPr>
        <w:fldChar w:fldCharType="end"/>
      </w:r>
    </w:p>
    <w:p w:rsidR="00380510" w:rsidRDefault="00380510">
      <w:pPr>
        <w:pStyle w:val="TOC5"/>
        <w:rPr>
          <w:rFonts w:ascii="Calibri" w:hAnsi="Calibri"/>
          <w:iCs w:val="0"/>
          <w:noProof/>
          <w:kern w:val="0"/>
          <w:sz w:val="22"/>
          <w:szCs w:val="22"/>
        </w:rPr>
      </w:pPr>
      <w:r>
        <w:rPr>
          <w:noProof/>
        </w:rPr>
        <w:t>775</w:t>
      </w:r>
      <w:r>
        <w:rPr>
          <w:noProof/>
        </w:rPr>
        <w:noBreakHyphen/>
        <w:t>315</w:t>
      </w:r>
      <w:r>
        <w:rPr>
          <w:noProof/>
        </w:rPr>
        <w:tab/>
        <w:t>Balancing adjustment when election ceases to apply to arrangement</w:t>
      </w:r>
      <w:r w:rsidRPr="00380510">
        <w:rPr>
          <w:rFonts w:ascii="Times" w:hAnsi="Times" w:cs="Times"/>
          <w:noProof/>
        </w:rPr>
        <w:tab/>
      </w:r>
      <w:r w:rsidRPr="00380510">
        <w:rPr>
          <w:rFonts w:ascii="Times" w:hAnsi="Times" w:cs="Times"/>
          <w:noProof/>
        </w:rPr>
        <w:fldChar w:fldCharType="begin"/>
      </w:r>
      <w:r w:rsidRPr="00380510">
        <w:rPr>
          <w:rFonts w:ascii="Times" w:hAnsi="Times" w:cs="Times"/>
          <w:noProof/>
        </w:rPr>
        <w:instrText xml:space="preserve"> PAGEREF _Toc338939213 \h </w:instrText>
      </w:r>
      <w:r w:rsidRPr="00380510">
        <w:rPr>
          <w:rFonts w:ascii="Times" w:hAnsi="Times" w:cs="Times"/>
          <w:noProof/>
        </w:rPr>
      </w:r>
      <w:r w:rsidRPr="00380510">
        <w:rPr>
          <w:rFonts w:ascii="Times" w:hAnsi="Times" w:cs="Times"/>
          <w:noProof/>
        </w:rPr>
        <w:fldChar w:fldCharType="separate"/>
      </w:r>
      <w:r w:rsidR="00623A5C">
        <w:rPr>
          <w:rFonts w:ascii="Times" w:hAnsi="Times" w:cs="Times"/>
          <w:noProof/>
        </w:rPr>
        <w:t>113</w:t>
      </w:r>
      <w:r w:rsidRPr="00380510">
        <w:rPr>
          <w:rFonts w:ascii="Times" w:hAnsi="Times" w:cs="Times"/>
          <w:noProof/>
        </w:rPr>
        <w:fldChar w:fldCharType="end"/>
      </w:r>
    </w:p>
    <w:p w:rsidR="00380510" w:rsidRDefault="00380510">
      <w:pPr>
        <w:pStyle w:val="TOC3"/>
        <w:rPr>
          <w:rFonts w:ascii="Calibri" w:hAnsi="Calibri"/>
          <w:b w:val="0"/>
          <w:noProof/>
          <w:kern w:val="0"/>
          <w:szCs w:val="22"/>
        </w:rPr>
      </w:pPr>
      <w:r>
        <w:rPr>
          <w:noProof/>
        </w:rPr>
        <w:t>Division 802—Foreign residents’ income with an underlying foreign source</w:t>
      </w:r>
      <w:r w:rsidRPr="00380510">
        <w:rPr>
          <w:rFonts w:ascii="Times" w:hAnsi="Times" w:cs="Times"/>
          <w:b w:val="0"/>
          <w:noProof/>
          <w:sz w:val="18"/>
        </w:rPr>
        <w:tab/>
      </w:r>
      <w:r w:rsidRPr="00380510">
        <w:rPr>
          <w:rFonts w:ascii="Times" w:hAnsi="Times" w:cs="Times"/>
          <w:b w:val="0"/>
          <w:noProof/>
          <w:sz w:val="18"/>
        </w:rPr>
        <w:fldChar w:fldCharType="begin"/>
      </w:r>
      <w:r w:rsidRPr="00380510">
        <w:rPr>
          <w:rFonts w:ascii="Times" w:hAnsi="Times" w:cs="Times"/>
          <w:b w:val="0"/>
          <w:noProof/>
          <w:sz w:val="18"/>
        </w:rPr>
        <w:instrText xml:space="preserve"> PAGEREF _Toc338939214 \h </w:instrText>
      </w:r>
      <w:r w:rsidRPr="00380510">
        <w:rPr>
          <w:rFonts w:ascii="Times" w:hAnsi="Times" w:cs="Times"/>
          <w:b w:val="0"/>
          <w:noProof/>
          <w:sz w:val="18"/>
        </w:rPr>
      </w:r>
      <w:r w:rsidRPr="00380510">
        <w:rPr>
          <w:rFonts w:ascii="Times" w:hAnsi="Times" w:cs="Times"/>
          <w:b w:val="0"/>
          <w:noProof/>
          <w:sz w:val="18"/>
        </w:rPr>
        <w:fldChar w:fldCharType="separate"/>
      </w:r>
      <w:r w:rsidR="00623A5C">
        <w:rPr>
          <w:rFonts w:ascii="Times" w:hAnsi="Times" w:cs="Times"/>
          <w:b w:val="0"/>
          <w:noProof/>
          <w:sz w:val="18"/>
        </w:rPr>
        <w:t>115</w:t>
      </w:r>
      <w:r w:rsidRPr="00380510">
        <w:rPr>
          <w:rFonts w:ascii="Times" w:hAnsi="Times" w:cs="Times"/>
          <w:b w:val="0"/>
          <w:noProof/>
          <w:sz w:val="18"/>
        </w:rPr>
        <w:fldChar w:fldCharType="end"/>
      </w:r>
    </w:p>
    <w:p w:rsidR="00380510" w:rsidRDefault="00380510">
      <w:pPr>
        <w:pStyle w:val="TOC4"/>
        <w:rPr>
          <w:rFonts w:ascii="Calibri" w:hAnsi="Calibri"/>
          <w:b w:val="0"/>
          <w:noProof/>
          <w:kern w:val="0"/>
          <w:sz w:val="22"/>
          <w:szCs w:val="22"/>
        </w:rPr>
      </w:pPr>
      <w:r>
        <w:rPr>
          <w:noProof/>
        </w:rPr>
        <w:t>Subdivision 802</w:t>
      </w:r>
      <w:r>
        <w:rPr>
          <w:noProof/>
        </w:rPr>
        <w:noBreakHyphen/>
        <w:t>A—Conduit foreign income</w:t>
      </w:r>
      <w:r w:rsidRPr="00380510">
        <w:rPr>
          <w:rFonts w:ascii="Times" w:hAnsi="Times" w:cs="Times"/>
          <w:b w:val="0"/>
          <w:noProof/>
          <w:sz w:val="18"/>
        </w:rPr>
        <w:tab/>
      </w:r>
      <w:r w:rsidRPr="00380510">
        <w:rPr>
          <w:rFonts w:ascii="Times" w:hAnsi="Times" w:cs="Times"/>
          <w:b w:val="0"/>
          <w:noProof/>
          <w:sz w:val="18"/>
        </w:rPr>
        <w:fldChar w:fldCharType="begin"/>
      </w:r>
      <w:r w:rsidRPr="00380510">
        <w:rPr>
          <w:rFonts w:ascii="Times" w:hAnsi="Times" w:cs="Times"/>
          <w:b w:val="0"/>
          <w:noProof/>
          <w:sz w:val="18"/>
        </w:rPr>
        <w:instrText xml:space="preserve"> PAGEREF _Toc338939215 \h </w:instrText>
      </w:r>
      <w:r w:rsidRPr="00380510">
        <w:rPr>
          <w:rFonts w:ascii="Times" w:hAnsi="Times" w:cs="Times"/>
          <w:b w:val="0"/>
          <w:noProof/>
          <w:sz w:val="18"/>
        </w:rPr>
      </w:r>
      <w:r w:rsidRPr="00380510">
        <w:rPr>
          <w:rFonts w:ascii="Times" w:hAnsi="Times" w:cs="Times"/>
          <w:b w:val="0"/>
          <w:noProof/>
          <w:sz w:val="18"/>
        </w:rPr>
        <w:fldChar w:fldCharType="separate"/>
      </w:r>
      <w:r w:rsidR="00623A5C">
        <w:rPr>
          <w:rFonts w:ascii="Times" w:hAnsi="Times" w:cs="Times"/>
          <w:b w:val="0"/>
          <w:noProof/>
          <w:sz w:val="18"/>
        </w:rPr>
        <w:t>115</w:t>
      </w:r>
      <w:r w:rsidRPr="00380510">
        <w:rPr>
          <w:rFonts w:ascii="Times" w:hAnsi="Times" w:cs="Times"/>
          <w:b w:val="0"/>
          <w:noProof/>
          <w:sz w:val="18"/>
        </w:rPr>
        <w:fldChar w:fldCharType="end"/>
      </w:r>
    </w:p>
    <w:p w:rsidR="00380510" w:rsidRDefault="00380510">
      <w:pPr>
        <w:pStyle w:val="TOC4"/>
        <w:rPr>
          <w:rFonts w:ascii="Calibri" w:hAnsi="Calibri"/>
          <w:b w:val="0"/>
          <w:noProof/>
          <w:kern w:val="0"/>
          <w:sz w:val="22"/>
          <w:szCs w:val="22"/>
        </w:rPr>
      </w:pPr>
      <w:r>
        <w:rPr>
          <w:noProof/>
        </w:rPr>
        <w:t>Guide to Subdivision 802</w:t>
      </w:r>
      <w:r>
        <w:rPr>
          <w:noProof/>
        </w:rPr>
        <w:noBreakHyphen/>
        <w:t>A</w:t>
      </w:r>
      <w:r w:rsidRPr="00380510">
        <w:rPr>
          <w:rFonts w:ascii="Times" w:hAnsi="Times" w:cs="Times"/>
          <w:b w:val="0"/>
          <w:noProof/>
          <w:sz w:val="18"/>
        </w:rPr>
        <w:tab/>
      </w:r>
      <w:r w:rsidRPr="00380510">
        <w:rPr>
          <w:rFonts w:ascii="Times" w:hAnsi="Times" w:cs="Times"/>
          <w:b w:val="0"/>
          <w:noProof/>
          <w:sz w:val="18"/>
        </w:rPr>
        <w:fldChar w:fldCharType="begin"/>
      </w:r>
      <w:r w:rsidRPr="00380510">
        <w:rPr>
          <w:rFonts w:ascii="Times" w:hAnsi="Times" w:cs="Times"/>
          <w:b w:val="0"/>
          <w:noProof/>
          <w:sz w:val="18"/>
        </w:rPr>
        <w:instrText xml:space="preserve"> PAGEREF _Toc338939216 \h </w:instrText>
      </w:r>
      <w:r w:rsidRPr="00380510">
        <w:rPr>
          <w:rFonts w:ascii="Times" w:hAnsi="Times" w:cs="Times"/>
          <w:b w:val="0"/>
          <w:noProof/>
          <w:sz w:val="18"/>
        </w:rPr>
      </w:r>
      <w:r w:rsidRPr="00380510">
        <w:rPr>
          <w:rFonts w:ascii="Times" w:hAnsi="Times" w:cs="Times"/>
          <w:b w:val="0"/>
          <w:noProof/>
          <w:sz w:val="18"/>
        </w:rPr>
        <w:fldChar w:fldCharType="separate"/>
      </w:r>
      <w:r w:rsidR="00623A5C">
        <w:rPr>
          <w:rFonts w:ascii="Times" w:hAnsi="Times" w:cs="Times"/>
          <w:b w:val="0"/>
          <w:noProof/>
          <w:sz w:val="18"/>
        </w:rPr>
        <w:t>115</w:t>
      </w:r>
      <w:r w:rsidRPr="00380510">
        <w:rPr>
          <w:rFonts w:ascii="Times" w:hAnsi="Times" w:cs="Times"/>
          <w:b w:val="0"/>
          <w:noProof/>
          <w:sz w:val="18"/>
        </w:rPr>
        <w:fldChar w:fldCharType="end"/>
      </w:r>
    </w:p>
    <w:p w:rsidR="00380510" w:rsidRDefault="00380510">
      <w:pPr>
        <w:pStyle w:val="TOC5"/>
        <w:rPr>
          <w:rFonts w:ascii="Calibri" w:hAnsi="Calibri"/>
          <w:iCs w:val="0"/>
          <w:noProof/>
          <w:kern w:val="0"/>
          <w:sz w:val="22"/>
          <w:szCs w:val="22"/>
        </w:rPr>
      </w:pPr>
      <w:r>
        <w:rPr>
          <w:noProof/>
        </w:rPr>
        <w:t>802</w:t>
      </w:r>
      <w:r>
        <w:rPr>
          <w:noProof/>
        </w:rPr>
        <w:noBreakHyphen/>
        <w:t>5</w:t>
      </w:r>
      <w:r>
        <w:rPr>
          <w:noProof/>
        </w:rPr>
        <w:tab/>
        <w:t>What this Subdivision is about</w:t>
      </w:r>
      <w:r w:rsidRPr="00380510">
        <w:rPr>
          <w:rFonts w:ascii="Times" w:hAnsi="Times" w:cs="Times"/>
          <w:noProof/>
        </w:rPr>
        <w:tab/>
      </w:r>
      <w:r w:rsidRPr="00380510">
        <w:rPr>
          <w:rFonts w:ascii="Times" w:hAnsi="Times" w:cs="Times"/>
          <w:noProof/>
        </w:rPr>
        <w:fldChar w:fldCharType="begin"/>
      </w:r>
      <w:r w:rsidRPr="00380510">
        <w:rPr>
          <w:rFonts w:ascii="Times" w:hAnsi="Times" w:cs="Times"/>
          <w:noProof/>
        </w:rPr>
        <w:instrText xml:space="preserve"> PAGEREF _Toc338939217 \h </w:instrText>
      </w:r>
      <w:r w:rsidRPr="00380510">
        <w:rPr>
          <w:rFonts w:ascii="Times" w:hAnsi="Times" w:cs="Times"/>
          <w:noProof/>
        </w:rPr>
      </w:r>
      <w:r w:rsidRPr="00380510">
        <w:rPr>
          <w:rFonts w:ascii="Times" w:hAnsi="Times" w:cs="Times"/>
          <w:noProof/>
        </w:rPr>
        <w:fldChar w:fldCharType="separate"/>
      </w:r>
      <w:r w:rsidR="00623A5C">
        <w:rPr>
          <w:rFonts w:ascii="Times" w:hAnsi="Times" w:cs="Times"/>
          <w:noProof/>
        </w:rPr>
        <w:t>115</w:t>
      </w:r>
      <w:r w:rsidRPr="00380510">
        <w:rPr>
          <w:rFonts w:ascii="Times" w:hAnsi="Times" w:cs="Times"/>
          <w:noProof/>
        </w:rPr>
        <w:fldChar w:fldCharType="end"/>
      </w:r>
    </w:p>
    <w:p w:rsidR="00380510" w:rsidRDefault="00380510">
      <w:pPr>
        <w:pStyle w:val="TOC4"/>
        <w:rPr>
          <w:rFonts w:ascii="Calibri" w:hAnsi="Calibri"/>
          <w:b w:val="0"/>
          <w:noProof/>
          <w:kern w:val="0"/>
          <w:sz w:val="22"/>
          <w:szCs w:val="22"/>
        </w:rPr>
      </w:pPr>
      <w:r>
        <w:rPr>
          <w:noProof/>
        </w:rPr>
        <w:t>Operative provisions</w:t>
      </w:r>
      <w:r w:rsidRPr="00380510">
        <w:rPr>
          <w:rFonts w:ascii="Times" w:hAnsi="Times" w:cs="Times"/>
          <w:b w:val="0"/>
          <w:noProof/>
          <w:sz w:val="18"/>
        </w:rPr>
        <w:tab/>
      </w:r>
      <w:r w:rsidRPr="00380510">
        <w:rPr>
          <w:rFonts w:ascii="Times" w:hAnsi="Times" w:cs="Times"/>
          <w:b w:val="0"/>
          <w:noProof/>
          <w:sz w:val="18"/>
        </w:rPr>
        <w:fldChar w:fldCharType="begin"/>
      </w:r>
      <w:r w:rsidRPr="00380510">
        <w:rPr>
          <w:rFonts w:ascii="Times" w:hAnsi="Times" w:cs="Times"/>
          <w:b w:val="0"/>
          <w:noProof/>
          <w:sz w:val="18"/>
        </w:rPr>
        <w:instrText xml:space="preserve"> PAGEREF _Toc338939218 \h </w:instrText>
      </w:r>
      <w:r w:rsidRPr="00380510">
        <w:rPr>
          <w:rFonts w:ascii="Times" w:hAnsi="Times" w:cs="Times"/>
          <w:b w:val="0"/>
          <w:noProof/>
          <w:sz w:val="18"/>
        </w:rPr>
      </w:r>
      <w:r w:rsidRPr="00380510">
        <w:rPr>
          <w:rFonts w:ascii="Times" w:hAnsi="Times" w:cs="Times"/>
          <w:b w:val="0"/>
          <w:noProof/>
          <w:sz w:val="18"/>
        </w:rPr>
        <w:fldChar w:fldCharType="separate"/>
      </w:r>
      <w:r w:rsidR="00623A5C">
        <w:rPr>
          <w:rFonts w:ascii="Times" w:hAnsi="Times" w:cs="Times"/>
          <w:b w:val="0"/>
          <w:noProof/>
          <w:sz w:val="18"/>
        </w:rPr>
        <w:t>116</w:t>
      </w:r>
      <w:r w:rsidRPr="00380510">
        <w:rPr>
          <w:rFonts w:ascii="Times" w:hAnsi="Times" w:cs="Times"/>
          <w:b w:val="0"/>
          <w:noProof/>
          <w:sz w:val="18"/>
        </w:rPr>
        <w:fldChar w:fldCharType="end"/>
      </w:r>
    </w:p>
    <w:p w:rsidR="00380510" w:rsidRDefault="00380510">
      <w:pPr>
        <w:pStyle w:val="TOC5"/>
        <w:rPr>
          <w:rFonts w:ascii="Calibri" w:hAnsi="Calibri"/>
          <w:iCs w:val="0"/>
          <w:noProof/>
          <w:kern w:val="0"/>
          <w:sz w:val="22"/>
          <w:szCs w:val="22"/>
        </w:rPr>
      </w:pPr>
      <w:r>
        <w:rPr>
          <w:noProof/>
        </w:rPr>
        <w:t>802</w:t>
      </w:r>
      <w:r>
        <w:rPr>
          <w:noProof/>
        </w:rPr>
        <w:noBreakHyphen/>
        <w:t>10</w:t>
      </w:r>
      <w:r>
        <w:rPr>
          <w:noProof/>
        </w:rPr>
        <w:tab/>
        <w:t>Objects</w:t>
      </w:r>
      <w:r w:rsidRPr="00380510">
        <w:rPr>
          <w:rFonts w:ascii="Times" w:hAnsi="Times" w:cs="Times"/>
          <w:noProof/>
        </w:rPr>
        <w:tab/>
      </w:r>
      <w:r w:rsidRPr="00380510">
        <w:rPr>
          <w:rFonts w:ascii="Times" w:hAnsi="Times" w:cs="Times"/>
          <w:noProof/>
        </w:rPr>
        <w:fldChar w:fldCharType="begin"/>
      </w:r>
      <w:r w:rsidRPr="00380510">
        <w:rPr>
          <w:rFonts w:ascii="Times" w:hAnsi="Times" w:cs="Times"/>
          <w:noProof/>
        </w:rPr>
        <w:instrText xml:space="preserve"> PAGEREF _Toc338939219 \h </w:instrText>
      </w:r>
      <w:r w:rsidRPr="00380510">
        <w:rPr>
          <w:rFonts w:ascii="Times" w:hAnsi="Times" w:cs="Times"/>
          <w:noProof/>
        </w:rPr>
      </w:r>
      <w:r w:rsidRPr="00380510">
        <w:rPr>
          <w:rFonts w:ascii="Times" w:hAnsi="Times" w:cs="Times"/>
          <w:noProof/>
        </w:rPr>
        <w:fldChar w:fldCharType="separate"/>
      </w:r>
      <w:r w:rsidR="00623A5C">
        <w:rPr>
          <w:rFonts w:ascii="Times" w:hAnsi="Times" w:cs="Times"/>
          <w:noProof/>
        </w:rPr>
        <w:t>116</w:t>
      </w:r>
      <w:r w:rsidRPr="00380510">
        <w:rPr>
          <w:rFonts w:ascii="Times" w:hAnsi="Times" w:cs="Times"/>
          <w:noProof/>
        </w:rPr>
        <w:fldChar w:fldCharType="end"/>
      </w:r>
    </w:p>
    <w:p w:rsidR="00380510" w:rsidRDefault="00380510">
      <w:pPr>
        <w:pStyle w:val="TOC5"/>
        <w:rPr>
          <w:rFonts w:ascii="Calibri" w:hAnsi="Calibri"/>
          <w:iCs w:val="0"/>
          <w:noProof/>
          <w:kern w:val="0"/>
          <w:sz w:val="22"/>
          <w:szCs w:val="22"/>
        </w:rPr>
      </w:pPr>
      <w:r>
        <w:rPr>
          <w:noProof/>
        </w:rPr>
        <w:t>802</w:t>
      </w:r>
      <w:r>
        <w:rPr>
          <w:noProof/>
        </w:rPr>
        <w:noBreakHyphen/>
        <w:t>15</w:t>
      </w:r>
      <w:r>
        <w:rPr>
          <w:noProof/>
        </w:rPr>
        <w:tab/>
        <w:t>Foreign residents—exempting CFI from Australian tax</w:t>
      </w:r>
      <w:r w:rsidRPr="00380510">
        <w:rPr>
          <w:rFonts w:ascii="Times" w:hAnsi="Times" w:cs="Times"/>
          <w:noProof/>
        </w:rPr>
        <w:tab/>
      </w:r>
      <w:r w:rsidRPr="00380510">
        <w:rPr>
          <w:rFonts w:ascii="Times" w:hAnsi="Times" w:cs="Times"/>
          <w:noProof/>
        </w:rPr>
        <w:fldChar w:fldCharType="begin"/>
      </w:r>
      <w:r w:rsidRPr="00380510">
        <w:rPr>
          <w:rFonts w:ascii="Times" w:hAnsi="Times" w:cs="Times"/>
          <w:noProof/>
        </w:rPr>
        <w:instrText xml:space="preserve"> PAGEREF _Toc338939220 \h </w:instrText>
      </w:r>
      <w:r w:rsidRPr="00380510">
        <w:rPr>
          <w:rFonts w:ascii="Times" w:hAnsi="Times" w:cs="Times"/>
          <w:noProof/>
        </w:rPr>
      </w:r>
      <w:r w:rsidRPr="00380510">
        <w:rPr>
          <w:rFonts w:ascii="Times" w:hAnsi="Times" w:cs="Times"/>
          <w:noProof/>
        </w:rPr>
        <w:fldChar w:fldCharType="separate"/>
      </w:r>
      <w:r w:rsidR="00623A5C">
        <w:rPr>
          <w:rFonts w:ascii="Times" w:hAnsi="Times" w:cs="Times"/>
          <w:noProof/>
        </w:rPr>
        <w:t>116</w:t>
      </w:r>
      <w:r w:rsidRPr="00380510">
        <w:rPr>
          <w:rFonts w:ascii="Times" w:hAnsi="Times" w:cs="Times"/>
          <w:noProof/>
        </w:rPr>
        <w:fldChar w:fldCharType="end"/>
      </w:r>
    </w:p>
    <w:p w:rsidR="00380510" w:rsidRDefault="00380510">
      <w:pPr>
        <w:pStyle w:val="TOC5"/>
        <w:rPr>
          <w:rFonts w:ascii="Calibri" w:hAnsi="Calibri"/>
          <w:iCs w:val="0"/>
          <w:noProof/>
          <w:kern w:val="0"/>
          <w:sz w:val="22"/>
          <w:szCs w:val="22"/>
        </w:rPr>
      </w:pPr>
      <w:r>
        <w:rPr>
          <w:noProof/>
        </w:rPr>
        <w:t>802</w:t>
      </w:r>
      <w:r>
        <w:rPr>
          <w:noProof/>
        </w:rPr>
        <w:noBreakHyphen/>
        <w:t>17</w:t>
      </w:r>
      <w:r>
        <w:rPr>
          <w:noProof/>
        </w:rPr>
        <w:tab/>
        <w:t>Trust estates and foreign resident beneficiaries—exempting CFI from Australian tax</w:t>
      </w:r>
      <w:r w:rsidRPr="00380510">
        <w:rPr>
          <w:rFonts w:ascii="Times" w:hAnsi="Times" w:cs="Times"/>
          <w:noProof/>
        </w:rPr>
        <w:tab/>
      </w:r>
      <w:r w:rsidRPr="00380510">
        <w:rPr>
          <w:rFonts w:ascii="Times" w:hAnsi="Times" w:cs="Times"/>
          <w:noProof/>
        </w:rPr>
        <w:fldChar w:fldCharType="begin"/>
      </w:r>
      <w:r w:rsidRPr="00380510">
        <w:rPr>
          <w:rFonts w:ascii="Times" w:hAnsi="Times" w:cs="Times"/>
          <w:noProof/>
        </w:rPr>
        <w:instrText xml:space="preserve"> PAGEREF _Toc338939221 \h </w:instrText>
      </w:r>
      <w:r w:rsidRPr="00380510">
        <w:rPr>
          <w:rFonts w:ascii="Times" w:hAnsi="Times" w:cs="Times"/>
          <w:noProof/>
        </w:rPr>
      </w:r>
      <w:r w:rsidRPr="00380510">
        <w:rPr>
          <w:rFonts w:ascii="Times" w:hAnsi="Times" w:cs="Times"/>
          <w:noProof/>
        </w:rPr>
        <w:fldChar w:fldCharType="separate"/>
      </w:r>
      <w:r w:rsidR="00623A5C">
        <w:rPr>
          <w:rFonts w:ascii="Times" w:hAnsi="Times" w:cs="Times"/>
          <w:noProof/>
        </w:rPr>
        <w:t>117</w:t>
      </w:r>
      <w:r w:rsidRPr="00380510">
        <w:rPr>
          <w:rFonts w:ascii="Times" w:hAnsi="Times" w:cs="Times"/>
          <w:noProof/>
        </w:rPr>
        <w:fldChar w:fldCharType="end"/>
      </w:r>
    </w:p>
    <w:p w:rsidR="00380510" w:rsidRDefault="00380510">
      <w:pPr>
        <w:pStyle w:val="TOC5"/>
        <w:rPr>
          <w:rFonts w:ascii="Calibri" w:hAnsi="Calibri"/>
          <w:iCs w:val="0"/>
          <w:noProof/>
          <w:kern w:val="0"/>
          <w:sz w:val="22"/>
          <w:szCs w:val="22"/>
        </w:rPr>
      </w:pPr>
      <w:r>
        <w:rPr>
          <w:noProof/>
        </w:rPr>
        <w:t>802</w:t>
      </w:r>
      <w:r>
        <w:rPr>
          <w:noProof/>
        </w:rPr>
        <w:noBreakHyphen/>
        <w:t>20</w:t>
      </w:r>
      <w:r>
        <w:rPr>
          <w:noProof/>
        </w:rPr>
        <w:tab/>
        <w:t>Distributions between Australian corporate tax entities—non</w:t>
      </w:r>
      <w:r>
        <w:rPr>
          <w:noProof/>
        </w:rPr>
        <w:noBreakHyphen/>
        <w:t>assessable non</w:t>
      </w:r>
      <w:r>
        <w:rPr>
          <w:noProof/>
        </w:rPr>
        <w:noBreakHyphen/>
        <w:t>exempt income</w:t>
      </w:r>
      <w:r w:rsidRPr="00380510">
        <w:rPr>
          <w:rFonts w:ascii="Times" w:hAnsi="Times" w:cs="Times"/>
          <w:noProof/>
        </w:rPr>
        <w:tab/>
      </w:r>
      <w:r w:rsidRPr="00380510">
        <w:rPr>
          <w:rFonts w:ascii="Times" w:hAnsi="Times" w:cs="Times"/>
          <w:noProof/>
        </w:rPr>
        <w:fldChar w:fldCharType="begin"/>
      </w:r>
      <w:r w:rsidRPr="00380510">
        <w:rPr>
          <w:rFonts w:ascii="Times" w:hAnsi="Times" w:cs="Times"/>
          <w:noProof/>
        </w:rPr>
        <w:instrText xml:space="preserve"> PAGEREF _Toc338939222 \h </w:instrText>
      </w:r>
      <w:r w:rsidRPr="00380510">
        <w:rPr>
          <w:rFonts w:ascii="Times" w:hAnsi="Times" w:cs="Times"/>
          <w:noProof/>
        </w:rPr>
      </w:r>
      <w:r w:rsidRPr="00380510">
        <w:rPr>
          <w:rFonts w:ascii="Times" w:hAnsi="Times" w:cs="Times"/>
          <w:noProof/>
        </w:rPr>
        <w:fldChar w:fldCharType="separate"/>
      </w:r>
      <w:r w:rsidR="00623A5C">
        <w:rPr>
          <w:rFonts w:ascii="Times" w:hAnsi="Times" w:cs="Times"/>
          <w:noProof/>
        </w:rPr>
        <w:t>118</w:t>
      </w:r>
      <w:r w:rsidRPr="00380510">
        <w:rPr>
          <w:rFonts w:ascii="Times" w:hAnsi="Times" w:cs="Times"/>
          <w:noProof/>
        </w:rPr>
        <w:fldChar w:fldCharType="end"/>
      </w:r>
    </w:p>
    <w:p w:rsidR="00380510" w:rsidRDefault="00380510">
      <w:pPr>
        <w:pStyle w:val="TOC5"/>
        <w:rPr>
          <w:rFonts w:ascii="Calibri" w:hAnsi="Calibri"/>
          <w:iCs w:val="0"/>
          <w:noProof/>
          <w:kern w:val="0"/>
          <w:sz w:val="22"/>
          <w:szCs w:val="22"/>
        </w:rPr>
      </w:pPr>
      <w:r>
        <w:rPr>
          <w:noProof/>
        </w:rPr>
        <w:t>802</w:t>
      </w:r>
      <w:r>
        <w:rPr>
          <w:noProof/>
        </w:rPr>
        <w:noBreakHyphen/>
        <w:t>25</w:t>
      </w:r>
      <w:r>
        <w:rPr>
          <w:noProof/>
        </w:rPr>
        <w:tab/>
        <w:t>Conduit foreign income of an Australian corporate tax entity</w:t>
      </w:r>
      <w:r w:rsidRPr="00380510">
        <w:rPr>
          <w:rFonts w:ascii="Times" w:hAnsi="Times" w:cs="Times"/>
          <w:noProof/>
        </w:rPr>
        <w:tab/>
      </w:r>
      <w:r w:rsidRPr="00380510">
        <w:rPr>
          <w:rFonts w:ascii="Times" w:hAnsi="Times" w:cs="Times"/>
          <w:noProof/>
        </w:rPr>
        <w:fldChar w:fldCharType="begin"/>
      </w:r>
      <w:r w:rsidRPr="00380510">
        <w:rPr>
          <w:rFonts w:ascii="Times" w:hAnsi="Times" w:cs="Times"/>
          <w:noProof/>
        </w:rPr>
        <w:instrText xml:space="preserve"> PAGEREF _Toc338939223 \h </w:instrText>
      </w:r>
      <w:r w:rsidRPr="00380510">
        <w:rPr>
          <w:rFonts w:ascii="Times" w:hAnsi="Times" w:cs="Times"/>
          <w:noProof/>
        </w:rPr>
      </w:r>
      <w:r w:rsidRPr="00380510">
        <w:rPr>
          <w:rFonts w:ascii="Times" w:hAnsi="Times" w:cs="Times"/>
          <w:noProof/>
        </w:rPr>
        <w:fldChar w:fldCharType="separate"/>
      </w:r>
      <w:r w:rsidR="00623A5C">
        <w:rPr>
          <w:rFonts w:ascii="Times" w:hAnsi="Times" w:cs="Times"/>
          <w:noProof/>
        </w:rPr>
        <w:t>119</w:t>
      </w:r>
      <w:r w:rsidRPr="00380510">
        <w:rPr>
          <w:rFonts w:ascii="Times" w:hAnsi="Times" w:cs="Times"/>
          <w:noProof/>
        </w:rPr>
        <w:fldChar w:fldCharType="end"/>
      </w:r>
    </w:p>
    <w:p w:rsidR="00380510" w:rsidRDefault="00380510">
      <w:pPr>
        <w:pStyle w:val="TOC5"/>
        <w:rPr>
          <w:rFonts w:ascii="Calibri" w:hAnsi="Calibri"/>
          <w:iCs w:val="0"/>
          <w:noProof/>
          <w:kern w:val="0"/>
          <w:sz w:val="22"/>
          <w:szCs w:val="22"/>
        </w:rPr>
      </w:pPr>
      <w:r>
        <w:rPr>
          <w:noProof/>
        </w:rPr>
        <w:t>802</w:t>
      </w:r>
      <w:r>
        <w:rPr>
          <w:noProof/>
        </w:rPr>
        <w:noBreakHyphen/>
        <w:t>30</w:t>
      </w:r>
      <w:r>
        <w:rPr>
          <w:noProof/>
        </w:rPr>
        <w:tab/>
        <w:t>Foreign source income amounts</w:t>
      </w:r>
      <w:r w:rsidRPr="00380510">
        <w:rPr>
          <w:rFonts w:ascii="Times" w:hAnsi="Times" w:cs="Times"/>
          <w:noProof/>
        </w:rPr>
        <w:tab/>
      </w:r>
      <w:r w:rsidRPr="00380510">
        <w:rPr>
          <w:rFonts w:ascii="Times" w:hAnsi="Times" w:cs="Times"/>
          <w:noProof/>
        </w:rPr>
        <w:fldChar w:fldCharType="begin"/>
      </w:r>
      <w:r w:rsidRPr="00380510">
        <w:rPr>
          <w:rFonts w:ascii="Times" w:hAnsi="Times" w:cs="Times"/>
          <w:noProof/>
        </w:rPr>
        <w:instrText xml:space="preserve"> PAGEREF _Toc338939224 \h </w:instrText>
      </w:r>
      <w:r w:rsidRPr="00380510">
        <w:rPr>
          <w:rFonts w:ascii="Times" w:hAnsi="Times" w:cs="Times"/>
          <w:noProof/>
        </w:rPr>
      </w:r>
      <w:r w:rsidRPr="00380510">
        <w:rPr>
          <w:rFonts w:ascii="Times" w:hAnsi="Times" w:cs="Times"/>
          <w:noProof/>
        </w:rPr>
        <w:fldChar w:fldCharType="separate"/>
      </w:r>
      <w:r w:rsidR="00623A5C">
        <w:rPr>
          <w:rFonts w:ascii="Times" w:hAnsi="Times" w:cs="Times"/>
          <w:noProof/>
        </w:rPr>
        <w:t>120</w:t>
      </w:r>
      <w:r w:rsidRPr="00380510">
        <w:rPr>
          <w:rFonts w:ascii="Times" w:hAnsi="Times" w:cs="Times"/>
          <w:noProof/>
        </w:rPr>
        <w:fldChar w:fldCharType="end"/>
      </w:r>
    </w:p>
    <w:p w:rsidR="00380510" w:rsidRDefault="00380510">
      <w:pPr>
        <w:pStyle w:val="TOC5"/>
        <w:rPr>
          <w:rFonts w:ascii="Calibri" w:hAnsi="Calibri"/>
          <w:iCs w:val="0"/>
          <w:noProof/>
          <w:kern w:val="0"/>
          <w:sz w:val="22"/>
          <w:szCs w:val="22"/>
        </w:rPr>
      </w:pPr>
      <w:r>
        <w:rPr>
          <w:noProof/>
        </w:rPr>
        <w:t>802</w:t>
      </w:r>
      <w:r>
        <w:rPr>
          <w:noProof/>
        </w:rPr>
        <w:noBreakHyphen/>
        <w:t>35</w:t>
      </w:r>
      <w:r>
        <w:rPr>
          <w:noProof/>
        </w:rPr>
        <w:tab/>
        <w:t>Capital gains and losses</w:t>
      </w:r>
      <w:r w:rsidRPr="00380510">
        <w:rPr>
          <w:rFonts w:ascii="Times" w:hAnsi="Times" w:cs="Times"/>
          <w:noProof/>
        </w:rPr>
        <w:tab/>
      </w:r>
      <w:r w:rsidRPr="00380510">
        <w:rPr>
          <w:rFonts w:ascii="Times" w:hAnsi="Times" w:cs="Times"/>
          <w:noProof/>
        </w:rPr>
        <w:fldChar w:fldCharType="begin"/>
      </w:r>
      <w:r w:rsidRPr="00380510">
        <w:rPr>
          <w:rFonts w:ascii="Times" w:hAnsi="Times" w:cs="Times"/>
          <w:noProof/>
        </w:rPr>
        <w:instrText xml:space="preserve"> PAGEREF _Toc338939225 \h </w:instrText>
      </w:r>
      <w:r w:rsidRPr="00380510">
        <w:rPr>
          <w:rFonts w:ascii="Times" w:hAnsi="Times" w:cs="Times"/>
          <w:noProof/>
        </w:rPr>
      </w:r>
      <w:r w:rsidRPr="00380510">
        <w:rPr>
          <w:rFonts w:ascii="Times" w:hAnsi="Times" w:cs="Times"/>
          <w:noProof/>
        </w:rPr>
        <w:fldChar w:fldCharType="separate"/>
      </w:r>
      <w:r w:rsidR="00623A5C">
        <w:rPr>
          <w:rFonts w:ascii="Times" w:hAnsi="Times" w:cs="Times"/>
          <w:noProof/>
        </w:rPr>
        <w:t>121</w:t>
      </w:r>
      <w:r w:rsidRPr="00380510">
        <w:rPr>
          <w:rFonts w:ascii="Times" w:hAnsi="Times" w:cs="Times"/>
          <w:noProof/>
        </w:rPr>
        <w:fldChar w:fldCharType="end"/>
      </w:r>
    </w:p>
    <w:p w:rsidR="00380510" w:rsidRDefault="00380510">
      <w:pPr>
        <w:pStyle w:val="TOC5"/>
        <w:rPr>
          <w:rFonts w:ascii="Calibri" w:hAnsi="Calibri"/>
          <w:iCs w:val="0"/>
          <w:noProof/>
          <w:kern w:val="0"/>
          <w:sz w:val="22"/>
          <w:szCs w:val="22"/>
        </w:rPr>
      </w:pPr>
      <w:r>
        <w:rPr>
          <w:noProof/>
        </w:rPr>
        <w:t>802</w:t>
      </w:r>
      <w:r>
        <w:rPr>
          <w:noProof/>
        </w:rPr>
        <w:noBreakHyphen/>
        <w:t>40</w:t>
      </w:r>
      <w:r>
        <w:rPr>
          <w:noProof/>
        </w:rPr>
        <w:tab/>
        <w:t>Effect of foreign income tax offset on conduit foreign income</w:t>
      </w:r>
      <w:r w:rsidRPr="00380510">
        <w:rPr>
          <w:rFonts w:ascii="Times" w:hAnsi="Times" w:cs="Times"/>
          <w:noProof/>
        </w:rPr>
        <w:tab/>
      </w:r>
      <w:r w:rsidRPr="00380510">
        <w:rPr>
          <w:rFonts w:ascii="Times" w:hAnsi="Times" w:cs="Times"/>
          <w:noProof/>
        </w:rPr>
        <w:fldChar w:fldCharType="begin"/>
      </w:r>
      <w:r w:rsidRPr="00380510">
        <w:rPr>
          <w:rFonts w:ascii="Times" w:hAnsi="Times" w:cs="Times"/>
          <w:noProof/>
        </w:rPr>
        <w:instrText xml:space="preserve"> PAGEREF _Toc338939226 \h </w:instrText>
      </w:r>
      <w:r w:rsidRPr="00380510">
        <w:rPr>
          <w:rFonts w:ascii="Times" w:hAnsi="Times" w:cs="Times"/>
          <w:noProof/>
        </w:rPr>
      </w:r>
      <w:r w:rsidRPr="00380510">
        <w:rPr>
          <w:rFonts w:ascii="Times" w:hAnsi="Times" w:cs="Times"/>
          <w:noProof/>
        </w:rPr>
        <w:fldChar w:fldCharType="separate"/>
      </w:r>
      <w:r w:rsidR="00623A5C">
        <w:rPr>
          <w:rFonts w:ascii="Times" w:hAnsi="Times" w:cs="Times"/>
          <w:noProof/>
        </w:rPr>
        <w:t>122</w:t>
      </w:r>
      <w:r w:rsidRPr="00380510">
        <w:rPr>
          <w:rFonts w:ascii="Times" w:hAnsi="Times" w:cs="Times"/>
          <w:noProof/>
        </w:rPr>
        <w:fldChar w:fldCharType="end"/>
      </w:r>
    </w:p>
    <w:p w:rsidR="00380510" w:rsidRDefault="00380510">
      <w:pPr>
        <w:pStyle w:val="TOC5"/>
        <w:rPr>
          <w:rFonts w:ascii="Calibri" w:hAnsi="Calibri"/>
          <w:iCs w:val="0"/>
          <w:noProof/>
          <w:kern w:val="0"/>
          <w:sz w:val="22"/>
          <w:szCs w:val="22"/>
        </w:rPr>
      </w:pPr>
      <w:r>
        <w:rPr>
          <w:noProof/>
        </w:rPr>
        <w:t>802</w:t>
      </w:r>
      <w:r>
        <w:rPr>
          <w:noProof/>
        </w:rPr>
        <w:noBreakHyphen/>
        <w:t>45</w:t>
      </w:r>
      <w:r>
        <w:rPr>
          <w:noProof/>
        </w:rPr>
        <w:tab/>
        <w:t>Previous declarations of conduit foreign income</w:t>
      </w:r>
      <w:r w:rsidRPr="00380510">
        <w:rPr>
          <w:rFonts w:ascii="Times" w:hAnsi="Times" w:cs="Times"/>
          <w:noProof/>
        </w:rPr>
        <w:tab/>
      </w:r>
      <w:r w:rsidRPr="00380510">
        <w:rPr>
          <w:rFonts w:ascii="Times" w:hAnsi="Times" w:cs="Times"/>
          <w:noProof/>
        </w:rPr>
        <w:fldChar w:fldCharType="begin"/>
      </w:r>
      <w:r w:rsidRPr="00380510">
        <w:rPr>
          <w:rFonts w:ascii="Times" w:hAnsi="Times" w:cs="Times"/>
          <w:noProof/>
        </w:rPr>
        <w:instrText xml:space="preserve"> PAGEREF _Toc338939227 \h </w:instrText>
      </w:r>
      <w:r w:rsidRPr="00380510">
        <w:rPr>
          <w:rFonts w:ascii="Times" w:hAnsi="Times" w:cs="Times"/>
          <w:noProof/>
        </w:rPr>
      </w:r>
      <w:r w:rsidRPr="00380510">
        <w:rPr>
          <w:rFonts w:ascii="Times" w:hAnsi="Times" w:cs="Times"/>
          <w:noProof/>
        </w:rPr>
        <w:fldChar w:fldCharType="separate"/>
      </w:r>
      <w:r w:rsidR="00623A5C">
        <w:rPr>
          <w:rFonts w:ascii="Times" w:hAnsi="Times" w:cs="Times"/>
          <w:noProof/>
        </w:rPr>
        <w:t>122</w:t>
      </w:r>
      <w:r w:rsidRPr="00380510">
        <w:rPr>
          <w:rFonts w:ascii="Times" w:hAnsi="Times" w:cs="Times"/>
          <w:noProof/>
        </w:rPr>
        <w:fldChar w:fldCharType="end"/>
      </w:r>
    </w:p>
    <w:p w:rsidR="00380510" w:rsidRDefault="00380510">
      <w:pPr>
        <w:pStyle w:val="TOC5"/>
        <w:rPr>
          <w:rFonts w:ascii="Calibri" w:hAnsi="Calibri"/>
          <w:iCs w:val="0"/>
          <w:noProof/>
          <w:kern w:val="0"/>
          <w:sz w:val="22"/>
          <w:szCs w:val="22"/>
        </w:rPr>
      </w:pPr>
      <w:r>
        <w:rPr>
          <w:noProof/>
        </w:rPr>
        <w:t>802</w:t>
      </w:r>
      <w:r>
        <w:rPr>
          <w:noProof/>
        </w:rPr>
        <w:noBreakHyphen/>
        <w:t>50</w:t>
      </w:r>
      <w:r>
        <w:rPr>
          <w:noProof/>
        </w:rPr>
        <w:tab/>
        <w:t>Receipt of an unfranked distribution from another Australian corporate tax entity</w:t>
      </w:r>
      <w:r w:rsidRPr="00380510">
        <w:rPr>
          <w:rFonts w:ascii="Times" w:hAnsi="Times" w:cs="Times"/>
          <w:noProof/>
        </w:rPr>
        <w:tab/>
      </w:r>
      <w:r w:rsidRPr="00380510">
        <w:rPr>
          <w:rFonts w:ascii="Times" w:hAnsi="Times" w:cs="Times"/>
          <w:noProof/>
        </w:rPr>
        <w:fldChar w:fldCharType="begin"/>
      </w:r>
      <w:r w:rsidRPr="00380510">
        <w:rPr>
          <w:rFonts w:ascii="Times" w:hAnsi="Times" w:cs="Times"/>
          <w:noProof/>
        </w:rPr>
        <w:instrText xml:space="preserve"> PAGEREF _Toc338939228 \h </w:instrText>
      </w:r>
      <w:r w:rsidRPr="00380510">
        <w:rPr>
          <w:rFonts w:ascii="Times" w:hAnsi="Times" w:cs="Times"/>
          <w:noProof/>
        </w:rPr>
      </w:r>
      <w:r w:rsidRPr="00380510">
        <w:rPr>
          <w:rFonts w:ascii="Times" w:hAnsi="Times" w:cs="Times"/>
          <w:noProof/>
        </w:rPr>
        <w:fldChar w:fldCharType="separate"/>
      </w:r>
      <w:r w:rsidR="00623A5C">
        <w:rPr>
          <w:rFonts w:ascii="Times" w:hAnsi="Times" w:cs="Times"/>
          <w:noProof/>
        </w:rPr>
        <w:t>123</w:t>
      </w:r>
      <w:r w:rsidRPr="00380510">
        <w:rPr>
          <w:rFonts w:ascii="Times" w:hAnsi="Times" w:cs="Times"/>
          <w:noProof/>
        </w:rPr>
        <w:fldChar w:fldCharType="end"/>
      </w:r>
    </w:p>
    <w:p w:rsidR="00380510" w:rsidRDefault="00380510">
      <w:pPr>
        <w:pStyle w:val="TOC5"/>
        <w:rPr>
          <w:rFonts w:ascii="Calibri" w:hAnsi="Calibri"/>
          <w:iCs w:val="0"/>
          <w:noProof/>
          <w:kern w:val="0"/>
          <w:sz w:val="22"/>
          <w:szCs w:val="22"/>
        </w:rPr>
      </w:pPr>
      <w:r>
        <w:rPr>
          <w:noProof/>
        </w:rPr>
        <w:t>802</w:t>
      </w:r>
      <w:r>
        <w:rPr>
          <w:noProof/>
        </w:rPr>
        <w:noBreakHyphen/>
        <w:t>55</w:t>
      </w:r>
      <w:r>
        <w:rPr>
          <w:noProof/>
        </w:rPr>
        <w:tab/>
        <w:t>No double benefits</w:t>
      </w:r>
      <w:r w:rsidRPr="00380510">
        <w:rPr>
          <w:rFonts w:ascii="Times" w:hAnsi="Times" w:cs="Times"/>
          <w:noProof/>
        </w:rPr>
        <w:tab/>
      </w:r>
      <w:r w:rsidRPr="00380510">
        <w:rPr>
          <w:rFonts w:ascii="Times" w:hAnsi="Times" w:cs="Times"/>
          <w:noProof/>
        </w:rPr>
        <w:fldChar w:fldCharType="begin"/>
      </w:r>
      <w:r w:rsidRPr="00380510">
        <w:rPr>
          <w:rFonts w:ascii="Times" w:hAnsi="Times" w:cs="Times"/>
          <w:noProof/>
        </w:rPr>
        <w:instrText xml:space="preserve"> PAGEREF _Toc338939229 \h </w:instrText>
      </w:r>
      <w:r w:rsidRPr="00380510">
        <w:rPr>
          <w:rFonts w:ascii="Times" w:hAnsi="Times" w:cs="Times"/>
          <w:noProof/>
        </w:rPr>
      </w:r>
      <w:r w:rsidRPr="00380510">
        <w:rPr>
          <w:rFonts w:ascii="Times" w:hAnsi="Times" w:cs="Times"/>
          <w:noProof/>
        </w:rPr>
        <w:fldChar w:fldCharType="separate"/>
      </w:r>
      <w:r w:rsidR="00623A5C">
        <w:rPr>
          <w:rFonts w:ascii="Times" w:hAnsi="Times" w:cs="Times"/>
          <w:noProof/>
        </w:rPr>
        <w:t>123</w:t>
      </w:r>
      <w:r w:rsidRPr="00380510">
        <w:rPr>
          <w:rFonts w:ascii="Times" w:hAnsi="Times" w:cs="Times"/>
          <w:noProof/>
        </w:rPr>
        <w:fldChar w:fldCharType="end"/>
      </w:r>
    </w:p>
    <w:p w:rsidR="00380510" w:rsidRDefault="00380510">
      <w:pPr>
        <w:pStyle w:val="TOC5"/>
        <w:rPr>
          <w:rFonts w:ascii="Calibri" w:hAnsi="Calibri"/>
          <w:iCs w:val="0"/>
          <w:noProof/>
          <w:kern w:val="0"/>
          <w:sz w:val="22"/>
          <w:szCs w:val="22"/>
        </w:rPr>
      </w:pPr>
      <w:r>
        <w:rPr>
          <w:noProof/>
        </w:rPr>
        <w:lastRenderedPageBreak/>
        <w:t>802</w:t>
      </w:r>
      <w:r>
        <w:rPr>
          <w:noProof/>
        </w:rPr>
        <w:noBreakHyphen/>
        <w:t>60</w:t>
      </w:r>
      <w:r>
        <w:rPr>
          <w:noProof/>
        </w:rPr>
        <w:tab/>
        <w:t>No streaming of distributions</w:t>
      </w:r>
      <w:r w:rsidRPr="00380510">
        <w:rPr>
          <w:rFonts w:ascii="Times" w:hAnsi="Times" w:cs="Times"/>
          <w:noProof/>
        </w:rPr>
        <w:tab/>
      </w:r>
      <w:r w:rsidRPr="00380510">
        <w:rPr>
          <w:rFonts w:ascii="Times" w:hAnsi="Times" w:cs="Times"/>
          <w:noProof/>
        </w:rPr>
        <w:fldChar w:fldCharType="begin"/>
      </w:r>
      <w:r w:rsidRPr="00380510">
        <w:rPr>
          <w:rFonts w:ascii="Times" w:hAnsi="Times" w:cs="Times"/>
          <w:noProof/>
        </w:rPr>
        <w:instrText xml:space="preserve"> PAGEREF _Toc338939230 \h </w:instrText>
      </w:r>
      <w:r w:rsidRPr="00380510">
        <w:rPr>
          <w:rFonts w:ascii="Times" w:hAnsi="Times" w:cs="Times"/>
          <w:noProof/>
        </w:rPr>
      </w:r>
      <w:r w:rsidRPr="00380510">
        <w:rPr>
          <w:rFonts w:ascii="Times" w:hAnsi="Times" w:cs="Times"/>
          <w:noProof/>
        </w:rPr>
        <w:fldChar w:fldCharType="separate"/>
      </w:r>
      <w:r w:rsidR="00623A5C">
        <w:rPr>
          <w:rFonts w:ascii="Times" w:hAnsi="Times" w:cs="Times"/>
          <w:noProof/>
        </w:rPr>
        <w:t>123</w:t>
      </w:r>
      <w:r w:rsidRPr="00380510">
        <w:rPr>
          <w:rFonts w:ascii="Times" w:hAnsi="Times" w:cs="Times"/>
          <w:noProof/>
        </w:rPr>
        <w:fldChar w:fldCharType="end"/>
      </w:r>
    </w:p>
    <w:p w:rsidR="00380510" w:rsidRDefault="00380510">
      <w:pPr>
        <w:pStyle w:val="TOC3"/>
        <w:rPr>
          <w:rFonts w:ascii="Calibri" w:hAnsi="Calibri"/>
          <w:b w:val="0"/>
          <w:noProof/>
          <w:kern w:val="0"/>
          <w:szCs w:val="22"/>
        </w:rPr>
      </w:pPr>
      <w:r>
        <w:rPr>
          <w:noProof/>
        </w:rPr>
        <w:t>Division 815—Cross</w:t>
      </w:r>
      <w:r>
        <w:rPr>
          <w:noProof/>
        </w:rPr>
        <w:noBreakHyphen/>
        <w:t>border transfer pricing</w:t>
      </w:r>
      <w:r w:rsidRPr="00380510">
        <w:rPr>
          <w:rFonts w:ascii="Times" w:hAnsi="Times" w:cs="Times"/>
          <w:b w:val="0"/>
          <w:noProof/>
          <w:sz w:val="18"/>
        </w:rPr>
        <w:tab/>
      </w:r>
      <w:r w:rsidRPr="00380510">
        <w:rPr>
          <w:rFonts w:ascii="Times" w:hAnsi="Times" w:cs="Times"/>
          <w:b w:val="0"/>
          <w:noProof/>
          <w:sz w:val="18"/>
        </w:rPr>
        <w:fldChar w:fldCharType="begin"/>
      </w:r>
      <w:r w:rsidRPr="00380510">
        <w:rPr>
          <w:rFonts w:ascii="Times" w:hAnsi="Times" w:cs="Times"/>
          <w:b w:val="0"/>
          <w:noProof/>
          <w:sz w:val="18"/>
        </w:rPr>
        <w:instrText xml:space="preserve"> PAGEREF _Toc338939231 \h </w:instrText>
      </w:r>
      <w:r w:rsidRPr="00380510">
        <w:rPr>
          <w:rFonts w:ascii="Times" w:hAnsi="Times" w:cs="Times"/>
          <w:b w:val="0"/>
          <w:noProof/>
          <w:sz w:val="18"/>
        </w:rPr>
      </w:r>
      <w:r w:rsidRPr="00380510">
        <w:rPr>
          <w:rFonts w:ascii="Times" w:hAnsi="Times" w:cs="Times"/>
          <w:b w:val="0"/>
          <w:noProof/>
          <w:sz w:val="18"/>
        </w:rPr>
        <w:fldChar w:fldCharType="separate"/>
      </w:r>
      <w:r w:rsidR="00623A5C">
        <w:rPr>
          <w:rFonts w:ascii="Times" w:hAnsi="Times" w:cs="Times"/>
          <w:b w:val="0"/>
          <w:noProof/>
          <w:sz w:val="18"/>
        </w:rPr>
        <w:t>125</w:t>
      </w:r>
      <w:r w:rsidRPr="00380510">
        <w:rPr>
          <w:rFonts w:ascii="Times" w:hAnsi="Times" w:cs="Times"/>
          <w:b w:val="0"/>
          <w:noProof/>
          <w:sz w:val="18"/>
        </w:rPr>
        <w:fldChar w:fldCharType="end"/>
      </w:r>
    </w:p>
    <w:p w:rsidR="00380510" w:rsidRDefault="00380510">
      <w:pPr>
        <w:pStyle w:val="TOC4"/>
        <w:rPr>
          <w:rFonts w:ascii="Calibri" w:hAnsi="Calibri"/>
          <w:b w:val="0"/>
          <w:noProof/>
          <w:kern w:val="0"/>
          <w:sz w:val="22"/>
          <w:szCs w:val="22"/>
        </w:rPr>
      </w:pPr>
      <w:r>
        <w:rPr>
          <w:noProof/>
        </w:rPr>
        <w:t>Subdivision 815</w:t>
      </w:r>
      <w:r>
        <w:rPr>
          <w:noProof/>
        </w:rPr>
        <w:noBreakHyphen/>
        <w:t>A—Treaty</w:t>
      </w:r>
      <w:r>
        <w:rPr>
          <w:noProof/>
        </w:rPr>
        <w:noBreakHyphen/>
        <w:t>equivalent cross</w:t>
      </w:r>
      <w:r>
        <w:rPr>
          <w:noProof/>
        </w:rPr>
        <w:noBreakHyphen/>
        <w:t>border transfer pricing rules</w:t>
      </w:r>
      <w:r w:rsidRPr="00380510">
        <w:rPr>
          <w:rFonts w:ascii="Times" w:hAnsi="Times" w:cs="Times"/>
          <w:b w:val="0"/>
          <w:noProof/>
          <w:sz w:val="18"/>
        </w:rPr>
        <w:tab/>
      </w:r>
      <w:r w:rsidRPr="00380510">
        <w:rPr>
          <w:rFonts w:ascii="Times" w:hAnsi="Times" w:cs="Times"/>
          <w:b w:val="0"/>
          <w:noProof/>
          <w:sz w:val="18"/>
        </w:rPr>
        <w:fldChar w:fldCharType="begin"/>
      </w:r>
      <w:r w:rsidRPr="00380510">
        <w:rPr>
          <w:rFonts w:ascii="Times" w:hAnsi="Times" w:cs="Times"/>
          <w:b w:val="0"/>
          <w:noProof/>
          <w:sz w:val="18"/>
        </w:rPr>
        <w:instrText xml:space="preserve"> PAGEREF _Toc338939232 \h </w:instrText>
      </w:r>
      <w:r w:rsidRPr="00380510">
        <w:rPr>
          <w:rFonts w:ascii="Times" w:hAnsi="Times" w:cs="Times"/>
          <w:b w:val="0"/>
          <w:noProof/>
          <w:sz w:val="18"/>
        </w:rPr>
      </w:r>
      <w:r w:rsidRPr="00380510">
        <w:rPr>
          <w:rFonts w:ascii="Times" w:hAnsi="Times" w:cs="Times"/>
          <w:b w:val="0"/>
          <w:noProof/>
          <w:sz w:val="18"/>
        </w:rPr>
        <w:fldChar w:fldCharType="separate"/>
      </w:r>
      <w:r w:rsidR="00623A5C">
        <w:rPr>
          <w:rFonts w:ascii="Times" w:hAnsi="Times" w:cs="Times"/>
          <w:b w:val="0"/>
          <w:noProof/>
          <w:sz w:val="18"/>
        </w:rPr>
        <w:t>125</w:t>
      </w:r>
      <w:r w:rsidRPr="00380510">
        <w:rPr>
          <w:rFonts w:ascii="Times" w:hAnsi="Times" w:cs="Times"/>
          <w:b w:val="0"/>
          <w:noProof/>
          <w:sz w:val="18"/>
        </w:rPr>
        <w:fldChar w:fldCharType="end"/>
      </w:r>
    </w:p>
    <w:p w:rsidR="00380510" w:rsidRDefault="00380510">
      <w:pPr>
        <w:pStyle w:val="TOC4"/>
        <w:rPr>
          <w:rFonts w:ascii="Calibri" w:hAnsi="Calibri"/>
          <w:b w:val="0"/>
          <w:noProof/>
          <w:kern w:val="0"/>
          <w:sz w:val="22"/>
          <w:szCs w:val="22"/>
        </w:rPr>
      </w:pPr>
      <w:r>
        <w:rPr>
          <w:noProof/>
        </w:rPr>
        <w:t>Guide to Subdivision 815</w:t>
      </w:r>
      <w:r>
        <w:rPr>
          <w:noProof/>
        </w:rPr>
        <w:noBreakHyphen/>
        <w:t>A</w:t>
      </w:r>
      <w:r w:rsidRPr="00380510">
        <w:rPr>
          <w:rFonts w:ascii="Times" w:hAnsi="Times" w:cs="Times"/>
          <w:b w:val="0"/>
          <w:noProof/>
          <w:sz w:val="18"/>
        </w:rPr>
        <w:tab/>
      </w:r>
      <w:r w:rsidRPr="00380510">
        <w:rPr>
          <w:rFonts w:ascii="Times" w:hAnsi="Times" w:cs="Times"/>
          <w:b w:val="0"/>
          <w:noProof/>
          <w:sz w:val="18"/>
        </w:rPr>
        <w:fldChar w:fldCharType="begin"/>
      </w:r>
      <w:r w:rsidRPr="00380510">
        <w:rPr>
          <w:rFonts w:ascii="Times" w:hAnsi="Times" w:cs="Times"/>
          <w:b w:val="0"/>
          <w:noProof/>
          <w:sz w:val="18"/>
        </w:rPr>
        <w:instrText xml:space="preserve"> PAGEREF _Toc338939233 \h </w:instrText>
      </w:r>
      <w:r w:rsidRPr="00380510">
        <w:rPr>
          <w:rFonts w:ascii="Times" w:hAnsi="Times" w:cs="Times"/>
          <w:b w:val="0"/>
          <w:noProof/>
          <w:sz w:val="18"/>
        </w:rPr>
      </w:r>
      <w:r w:rsidRPr="00380510">
        <w:rPr>
          <w:rFonts w:ascii="Times" w:hAnsi="Times" w:cs="Times"/>
          <w:b w:val="0"/>
          <w:noProof/>
          <w:sz w:val="18"/>
        </w:rPr>
        <w:fldChar w:fldCharType="separate"/>
      </w:r>
      <w:r w:rsidR="00623A5C">
        <w:rPr>
          <w:rFonts w:ascii="Times" w:hAnsi="Times" w:cs="Times"/>
          <w:b w:val="0"/>
          <w:noProof/>
          <w:sz w:val="18"/>
        </w:rPr>
        <w:t>125</w:t>
      </w:r>
      <w:r w:rsidRPr="00380510">
        <w:rPr>
          <w:rFonts w:ascii="Times" w:hAnsi="Times" w:cs="Times"/>
          <w:b w:val="0"/>
          <w:noProof/>
          <w:sz w:val="18"/>
        </w:rPr>
        <w:fldChar w:fldCharType="end"/>
      </w:r>
    </w:p>
    <w:p w:rsidR="00380510" w:rsidRDefault="00380510">
      <w:pPr>
        <w:pStyle w:val="TOC5"/>
        <w:rPr>
          <w:rFonts w:ascii="Calibri" w:hAnsi="Calibri"/>
          <w:iCs w:val="0"/>
          <w:noProof/>
          <w:kern w:val="0"/>
          <w:sz w:val="22"/>
          <w:szCs w:val="22"/>
        </w:rPr>
      </w:pPr>
      <w:r>
        <w:rPr>
          <w:noProof/>
        </w:rPr>
        <w:t>815</w:t>
      </w:r>
      <w:r>
        <w:rPr>
          <w:noProof/>
        </w:rPr>
        <w:noBreakHyphen/>
        <w:t>1</w:t>
      </w:r>
      <w:r>
        <w:rPr>
          <w:noProof/>
        </w:rPr>
        <w:tab/>
        <w:t>What this Subdivision is about</w:t>
      </w:r>
      <w:r w:rsidRPr="00380510">
        <w:rPr>
          <w:rFonts w:ascii="Times" w:hAnsi="Times" w:cs="Times"/>
          <w:noProof/>
        </w:rPr>
        <w:tab/>
      </w:r>
      <w:r w:rsidRPr="00380510">
        <w:rPr>
          <w:rFonts w:ascii="Times" w:hAnsi="Times" w:cs="Times"/>
          <w:noProof/>
        </w:rPr>
        <w:fldChar w:fldCharType="begin"/>
      </w:r>
      <w:r w:rsidRPr="00380510">
        <w:rPr>
          <w:rFonts w:ascii="Times" w:hAnsi="Times" w:cs="Times"/>
          <w:noProof/>
        </w:rPr>
        <w:instrText xml:space="preserve"> PAGEREF _Toc338939234 \h </w:instrText>
      </w:r>
      <w:r w:rsidRPr="00380510">
        <w:rPr>
          <w:rFonts w:ascii="Times" w:hAnsi="Times" w:cs="Times"/>
          <w:noProof/>
        </w:rPr>
      </w:r>
      <w:r w:rsidRPr="00380510">
        <w:rPr>
          <w:rFonts w:ascii="Times" w:hAnsi="Times" w:cs="Times"/>
          <w:noProof/>
        </w:rPr>
        <w:fldChar w:fldCharType="separate"/>
      </w:r>
      <w:r w:rsidR="00623A5C">
        <w:rPr>
          <w:rFonts w:ascii="Times" w:hAnsi="Times" w:cs="Times"/>
          <w:noProof/>
        </w:rPr>
        <w:t>125</w:t>
      </w:r>
      <w:r w:rsidRPr="00380510">
        <w:rPr>
          <w:rFonts w:ascii="Times" w:hAnsi="Times" w:cs="Times"/>
          <w:noProof/>
        </w:rPr>
        <w:fldChar w:fldCharType="end"/>
      </w:r>
    </w:p>
    <w:p w:rsidR="00380510" w:rsidRDefault="00380510">
      <w:pPr>
        <w:pStyle w:val="TOC4"/>
        <w:rPr>
          <w:rFonts w:ascii="Calibri" w:hAnsi="Calibri"/>
          <w:b w:val="0"/>
          <w:noProof/>
          <w:kern w:val="0"/>
          <w:sz w:val="22"/>
          <w:szCs w:val="22"/>
        </w:rPr>
      </w:pPr>
      <w:r>
        <w:rPr>
          <w:noProof/>
        </w:rPr>
        <w:t>Operative provisions</w:t>
      </w:r>
      <w:r w:rsidRPr="00380510">
        <w:rPr>
          <w:rFonts w:ascii="Times" w:hAnsi="Times" w:cs="Times"/>
          <w:b w:val="0"/>
          <w:noProof/>
          <w:sz w:val="18"/>
        </w:rPr>
        <w:tab/>
      </w:r>
      <w:r w:rsidRPr="00380510">
        <w:rPr>
          <w:rFonts w:ascii="Times" w:hAnsi="Times" w:cs="Times"/>
          <w:b w:val="0"/>
          <w:noProof/>
          <w:sz w:val="18"/>
        </w:rPr>
        <w:fldChar w:fldCharType="begin"/>
      </w:r>
      <w:r w:rsidRPr="00380510">
        <w:rPr>
          <w:rFonts w:ascii="Times" w:hAnsi="Times" w:cs="Times"/>
          <w:b w:val="0"/>
          <w:noProof/>
          <w:sz w:val="18"/>
        </w:rPr>
        <w:instrText xml:space="preserve"> PAGEREF _Toc338939235 \h </w:instrText>
      </w:r>
      <w:r w:rsidRPr="00380510">
        <w:rPr>
          <w:rFonts w:ascii="Times" w:hAnsi="Times" w:cs="Times"/>
          <w:b w:val="0"/>
          <w:noProof/>
          <w:sz w:val="18"/>
        </w:rPr>
      </w:r>
      <w:r w:rsidRPr="00380510">
        <w:rPr>
          <w:rFonts w:ascii="Times" w:hAnsi="Times" w:cs="Times"/>
          <w:b w:val="0"/>
          <w:noProof/>
          <w:sz w:val="18"/>
        </w:rPr>
        <w:fldChar w:fldCharType="separate"/>
      </w:r>
      <w:r w:rsidR="00623A5C">
        <w:rPr>
          <w:rFonts w:ascii="Times" w:hAnsi="Times" w:cs="Times"/>
          <w:b w:val="0"/>
          <w:noProof/>
          <w:sz w:val="18"/>
        </w:rPr>
        <w:t>125</w:t>
      </w:r>
      <w:r w:rsidRPr="00380510">
        <w:rPr>
          <w:rFonts w:ascii="Times" w:hAnsi="Times" w:cs="Times"/>
          <w:b w:val="0"/>
          <w:noProof/>
          <w:sz w:val="18"/>
        </w:rPr>
        <w:fldChar w:fldCharType="end"/>
      </w:r>
    </w:p>
    <w:p w:rsidR="00380510" w:rsidRDefault="00380510">
      <w:pPr>
        <w:pStyle w:val="TOC5"/>
        <w:rPr>
          <w:rFonts w:ascii="Calibri" w:hAnsi="Calibri"/>
          <w:iCs w:val="0"/>
          <w:noProof/>
          <w:kern w:val="0"/>
          <w:sz w:val="22"/>
          <w:szCs w:val="22"/>
        </w:rPr>
      </w:pPr>
      <w:r>
        <w:rPr>
          <w:noProof/>
        </w:rPr>
        <w:t>815</w:t>
      </w:r>
      <w:r>
        <w:rPr>
          <w:noProof/>
        </w:rPr>
        <w:noBreakHyphen/>
        <w:t>5</w:t>
      </w:r>
      <w:r>
        <w:rPr>
          <w:noProof/>
        </w:rPr>
        <w:tab/>
        <w:t>Object</w:t>
      </w:r>
      <w:r w:rsidRPr="00380510">
        <w:rPr>
          <w:rFonts w:ascii="Times" w:hAnsi="Times" w:cs="Times"/>
          <w:noProof/>
        </w:rPr>
        <w:tab/>
      </w:r>
      <w:r w:rsidRPr="00380510">
        <w:rPr>
          <w:rFonts w:ascii="Times" w:hAnsi="Times" w:cs="Times"/>
          <w:noProof/>
        </w:rPr>
        <w:fldChar w:fldCharType="begin"/>
      </w:r>
      <w:r w:rsidRPr="00380510">
        <w:rPr>
          <w:rFonts w:ascii="Times" w:hAnsi="Times" w:cs="Times"/>
          <w:noProof/>
        </w:rPr>
        <w:instrText xml:space="preserve"> PAGEREF _Toc338939236 \h </w:instrText>
      </w:r>
      <w:r w:rsidRPr="00380510">
        <w:rPr>
          <w:rFonts w:ascii="Times" w:hAnsi="Times" w:cs="Times"/>
          <w:noProof/>
        </w:rPr>
      </w:r>
      <w:r w:rsidRPr="00380510">
        <w:rPr>
          <w:rFonts w:ascii="Times" w:hAnsi="Times" w:cs="Times"/>
          <w:noProof/>
        </w:rPr>
        <w:fldChar w:fldCharType="separate"/>
      </w:r>
      <w:r w:rsidR="00623A5C">
        <w:rPr>
          <w:rFonts w:ascii="Times" w:hAnsi="Times" w:cs="Times"/>
          <w:noProof/>
        </w:rPr>
        <w:t>125</w:t>
      </w:r>
      <w:r w:rsidRPr="00380510">
        <w:rPr>
          <w:rFonts w:ascii="Times" w:hAnsi="Times" w:cs="Times"/>
          <w:noProof/>
        </w:rPr>
        <w:fldChar w:fldCharType="end"/>
      </w:r>
    </w:p>
    <w:p w:rsidR="00380510" w:rsidRDefault="00380510">
      <w:pPr>
        <w:pStyle w:val="TOC5"/>
        <w:rPr>
          <w:rFonts w:ascii="Calibri" w:hAnsi="Calibri"/>
          <w:iCs w:val="0"/>
          <w:noProof/>
          <w:kern w:val="0"/>
          <w:sz w:val="22"/>
          <w:szCs w:val="22"/>
        </w:rPr>
      </w:pPr>
      <w:r>
        <w:rPr>
          <w:noProof/>
        </w:rPr>
        <w:t>815</w:t>
      </w:r>
      <w:r>
        <w:rPr>
          <w:noProof/>
        </w:rPr>
        <w:noBreakHyphen/>
        <w:t>10</w:t>
      </w:r>
      <w:r>
        <w:rPr>
          <w:noProof/>
        </w:rPr>
        <w:tab/>
        <w:t>Transfer pricing benefit may be negated</w:t>
      </w:r>
      <w:r w:rsidRPr="00380510">
        <w:rPr>
          <w:rFonts w:ascii="Times" w:hAnsi="Times" w:cs="Times"/>
          <w:noProof/>
        </w:rPr>
        <w:tab/>
      </w:r>
      <w:r w:rsidRPr="00380510">
        <w:rPr>
          <w:rFonts w:ascii="Times" w:hAnsi="Times" w:cs="Times"/>
          <w:noProof/>
        </w:rPr>
        <w:fldChar w:fldCharType="begin"/>
      </w:r>
      <w:r w:rsidRPr="00380510">
        <w:rPr>
          <w:rFonts w:ascii="Times" w:hAnsi="Times" w:cs="Times"/>
          <w:noProof/>
        </w:rPr>
        <w:instrText xml:space="preserve"> PAGEREF _Toc338939237 \h </w:instrText>
      </w:r>
      <w:r w:rsidRPr="00380510">
        <w:rPr>
          <w:rFonts w:ascii="Times" w:hAnsi="Times" w:cs="Times"/>
          <w:noProof/>
        </w:rPr>
      </w:r>
      <w:r w:rsidRPr="00380510">
        <w:rPr>
          <w:rFonts w:ascii="Times" w:hAnsi="Times" w:cs="Times"/>
          <w:noProof/>
        </w:rPr>
        <w:fldChar w:fldCharType="separate"/>
      </w:r>
      <w:r w:rsidR="00623A5C">
        <w:rPr>
          <w:rFonts w:ascii="Times" w:hAnsi="Times" w:cs="Times"/>
          <w:noProof/>
        </w:rPr>
        <w:t>126</w:t>
      </w:r>
      <w:r w:rsidRPr="00380510">
        <w:rPr>
          <w:rFonts w:ascii="Times" w:hAnsi="Times" w:cs="Times"/>
          <w:noProof/>
        </w:rPr>
        <w:fldChar w:fldCharType="end"/>
      </w:r>
    </w:p>
    <w:p w:rsidR="00380510" w:rsidRDefault="00380510">
      <w:pPr>
        <w:pStyle w:val="TOC5"/>
        <w:rPr>
          <w:rFonts w:ascii="Calibri" w:hAnsi="Calibri"/>
          <w:iCs w:val="0"/>
          <w:noProof/>
          <w:kern w:val="0"/>
          <w:sz w:val="22"/>
          <w:szCs w:val="22"/>
        </w:rPr>
      </w:pPr>
      <w:r>
        <w:rPr>
          <w:noProof/>
        </w:rPr>
        <w:t>815</w:t>
      </w:r>
      <w:r>
        <w:rPr>
          <w:noProof/>
        </w:rPr>
        <w:noBreakHyphen/>
        <w:t>15</w:t>
      </w:r>
      <w:r>
        <w:rPr>
          <w:noProof/>
        </w:rPr>
        <w:tab/>
        <w:t xml:space="preserve">When an entity gets a </w:t>
      </w:r>
      <w:r w:rsidRPr="008A0EAA">
        <w:rPr>
          <w:i/>
          <w:noProof/>
        </w:rPr>
        <w:t>transfer pricing benefit</w:t>
      </w:r>
      <w:r w:rsidRPr="00380510">
        <w:rPr>
          <w:rFonts w:ascii="Times" w:hAnsi="Times" w:cs="Times"/>
          <w:noProof/>
        </w:rPr>
        <w:tab/>
      </w:r>
      <w:r w:rsidRPr="00380510">
        <w:rPr>
          <w:rFonts w:ascii="Times" w:hAnsi="Times" w:cs="Times"/>
          <w:noProof/>
        </w:rPr>
        <w:fldChar w:fldCharType="begin"/>
      </w:r>
      <w:r w:rsidRPr="00380510">
        <w:rPr>
          <w:rFonts w:ascii="Times" w:hAnsi="Times" w:cs="Times"/>
          <w:noProof/>
        </w:rPr>
        <w:instrText xml:space="preserve"> PAGEREF _Toc338939238 \h </w:instrText>
      </w:r>
      <w:r w:rsidRPr="00380510">
        <w:rPr>
          <w:rFonts w:ascii="Times" w:hAnsi="Times" w:cs="Times"/>
          <w:noProof/>
        </w:rPr>
      </w:r>
      <w:r w:rsidRPr="00380510">
        <w:rPr>
          <w:rFonts w:ascii="Times" w:hAnsi="Times" w:cs="Times"/>
          <w:noProof/>
        </w:rPr>
        <w:fldChar w:fldCharType="separate"/>
      </w:r>
      <w:r w:rsidR="00623A5C">
        <w:rPr>
          <w:rFonts w:ascii="Times" w:hAnsi="Times" w:cs="Times"/>
          <w:noProof/>
        </w:rPr>
        <w:t>126</w:t>
      </w:r>
      <w:r w:rsidRPr="00380510">
        <w:rPr>
          <w:rFonts w:ascii="Times" w:hAnsi="Times" w:cs="Times"/>
          <w:noProof/>
        </w:rPr>
        <w:fldChar w:fldCharType="end"/>
      </w:r>
    </w:p>
    <w:p w:rsidR="00380510" w:rsidRDefault="00380510">
      <w:pPr>
        <w:pStyle w:val="TOC5"/>
        <w:rPr>
          <w:rFonts w:ascii="Calibri" w:hAnsi="Calibri"/>
          <w:iCs w:val="0"/>
          <w:noProof/>
          <w:kern w:val="0"/>
          <w:sz w:val="22"/>
          <w:szCs w:val="22"/>
        </w:rPr>
      </w:pPr>
      <w:r>
        <w:rPr>
          <w:noProof/>
        </w:rPr>
        <w:t>815</w:t>
      </w:r>
      <w:r>
        <w:rPr>
          <w:noProof/>
        </w:rPr>
        <w:noBreakHyphen/>
        <w:t>20</w:t>
      </w:r>
      <w:r>
        <w:rPr>
          <w:noProof/>
        </w:rPr>
        <w:tab/>
        <w:t>Cross</w:t>
      </w:r>
      <w:r>
        <w:rPr>
          <w:noProof/>
        </w:rPr>
        <w:noBreakHyphen/>
        <w:t>border transfer pricing guidance</w:t>
      </w:r>
      <w:r w:rsidRPr="00380510">
        <w:rPr>
          <w:rFonts w:ascii="Times" w:hAnsi="Times" w:cs="Times"/>
          <w:noProof/>
        </w:rPr>
        <w:tab/>
      </w:r>
      <w:r w:rsidRPr="00380510">
        <w:rPr>
          <w:rFonts w:ascii="Times" w:hAnsi="Times" w:cs="Times"/>
          <w:noProof/>
        </w:rPr>
        <w:fldChar w:fldCharType="begin"/>
      </w:r>
      <w:r w:rsidRPr="00380510">
        <w:rPr>
          <w:rFonts w:ascii="Times" w:hAnsi="Times" w:cs="Times"/>
          <w:noProof/>
        </w:rPr>
        <w:instrText xml:space="preserve"> PAGEREF _Toc338939239 \h </w:instrText>
      </w:r>
      <w:r w:rsidRPr="00380510">
        <w:rPr>
          <w:rFonts w:ascii="Times" w:hAnsi="Times" w:cs="Times"/>
          <w:noProof/>
        </w:rPr>
      </w:r>
      <w:r w:rsidRPr="00380510">
        <w:rPr>
          <w:rFonts w:ascii="Times" w:hAnsi="Times" w:cs="Times"/>
          <w:noProof/>
        </w:rPr>
        <w:fldChar w:fldCharType="separate"/>
      </w:r>
      <w:r w:rsidR="00623A5C">
        <w:rPr>
          <w:rFonts w:ascii="Times" w:hAnsi="Times" w:cs="Times"/>
          <w:noProof/>
        </w:rPr>
        <w:t>128</w:t>
      </w:r>
      <w:r w:rsidRPr="00380510">
        <w:rPr>
          <w:rFonts w:ascii="Times" w:hAnsi="Times" w:cs="Times"/>
          <w:noProof/>
        </w:rPr>
        <w:fldChar w:fldCharType="end"/>
      </w:r>
    </w:p>
    <w:p w:rsidR="00380510" w:rsidRDefault="00380510">
      <w:pPr>
        <w:pStyle w:val="TOC5"/>
        <w:rPr>
          <w:rFonts w:ascii="Calibri" w:hAnsi="Calibri"/>
          <w:iCs w:val="0"/>
          <w:noProof/>
          <w:kern w:val="0"/>
          <w:sz w:val="22"/>
          <w:szCs w:val="22"/>
        </w:rPr>
      </w:pPr>
      <w:r>
        <w:rPr>
          <w:noProof/>
        </w:rPr>
        <w:t>815</w:t>
      </w:r>
      <w:r>
        <w:rPr>
          <w:noProof/>
        </w:rPr>
        <w:noBreakHyphen/>
        <w:t>25</w:t>
      </w:r>
      <w:r>
        <w:rPr>
          <w:noProof/>
        </w:rPr>
        <w:tab/>
        <w:t>Modified transfer pricing benefit for thin capitalisation</w:t>
      </w:r>
      <w:r w:rsidRPr="00380510">
        <w:rPr>
          <w:rFonts w:ascii="Times" w:hAnsi="Times" w:cs="Times"/>
          <w:noProof/>
        </w:rPr>
        <w:tab/>
      </w:r>
      <w:r w:rsidRPr="00380510">
        <w:rPr>
          <w:rFonts w:ascii="Times" w:hAnsi="Times" w:cs="Times"/>
          <w:noProof/>
        </w:rPr>
        <w:fldChar w:fldCharType="begin"/>
      </w:r>
      <w:r w:rsidRPr="00380510">
        <w:rPr>
          <w:rFonts w:ascii="Times" w:hAnsi="Times" w:cs="Times"/>
          <w:noProof/>
        </w:rPr>
        <w:instrText xml:space="preserve"> PAGEREF _Toc338939240 \h </w:instrText>
      </w:r>
      <w:r w:rsidRPr="00380510">
        <w:rPr>
          <w:rFonts w:ascii="Times" w:hAnsi="Times" w:cs="Times"/>
          <w:noProof/>
        </w:rPr>
      </w:r>
      <w:r w:rsidRPr="00380510">
        <w:rPr>
          <w:rFonts w:ascii="Times" w:hAnsi="Times" w:cs="Times"/>
          <w:noProof/>
        </w:rPr>
        <w:fldChar w:fldCharType="separate"/>
      </w:r>
      <w:r w:rsidR="00623A5C">
        <w:rPr>
          <w:rFonts w:ascii="Times" w:hAnsi="Times" w:cs="Times"/>
          <w:noProof/>
        </w:rPr>
        <w:t>129</w:t>
      </w:r>
      <w:r w:rsidRPr="00380510">
        <w:rPr>
          <w:rFonts w:ascii="Times" w:hAnsi="Times" w:cs="Times"/>
          <w:noProof/>
        </w:rPr>
        <w:fldChar w:fldCharType="end"/>
      </w:r>
    </w:p>
    <w:p w:rsidR="00380510" w:rsidRDefault="00380510">
      <w:pPr>
        <w:pStyle w:val="TOC5"/>
        <w:rPr>
          <w:rFonts w:ascii="Calibri" w:hAnsi="Calibri"/>
          <w:iCs w:val="0"/>
          <w:noProof/>
          <w:kern w:val="0"/>
          <w:sz w:val="22"/>
          <w:szCs w:val="22"/>
        </w:rPr>
      </w:pPr>
      <w:r>
        <w:rPr>
          <w:noProof/>
        </w:rPr>
        <w:t>815</w:t>
      </w:r>
      <w:r>
        <w:rPr>
          <w:noProof/>
        </w:rPr>
        <w:noBreakHyphen/>
        <w:t>30</w:t>
      </w:r>
      <w:r>
        <w:rPr>
          <w:noProof/>
        </w:rPr>
        <w:tab/>
        <w:t>Determinations negating transfer pricing benefit</w:t>
      </w:r>
      <w:r w:rsidRPr="00380510">
        <w:rPr>
          <w:rFonts w:ascii="Times" w:hAnsi="Times" w:cs="Times"/>
          <w:noProof/>
        </w:rPr>
        <w:tab/>
      </w:r>
      <w:r w:rsidRPr="00380510">
        <w:rPr>
          <w:rFonts w:ascii="Times" w:hAnsi="Times" w:cs="Times"/>
          <w:noProof/>
        </w:rPr>
        <w:fldChar w:fldCharType="begin"/>
      </w:r>
      <w:r w:rsidRPr="00380510">
        <w:rPr>
          <w:rFonts w:ascii="Times" w:hAnsi="Times" w:cs="Times"/>
          <w:noProof/>
        </w:rPr>
        <w:instrText xml:space="preserve"> PAGEREF _Toc338939241 \h </w:instrText>
      </w:r>
      <w:r w:rsidRPr="00380510">
        <w:rPr>
          <w:rFonts w:ascii="Times" w:hAnsi="Times" w:cs="Times"/>
          <w:noProof/>
        </w:rPr>
      </w:r>
      <w:r w:rsidRPr="00380510">
        <w:rPr>
          <w:rFonts w:ascii="Times" w:hAnsi="Times" w:cs="Times"/>
          <w:noProof/>
        </w:rPr>
        <w:fldChar w:fldCharType="separate"/>
      </w:r>
      <w:r w:rsidR="00623A5C">
        <w:rPr>
          <w:rFonts w:ascii="Times" w:hAnsi="Times" w:cs="Times"/>
          <w:noProof/>
        </w:rPr>
        <w:t>129</w:t>
      </w:r>
      <w:r w:rsidRPr="00380510">
        <w:rPr>
          <w:rFonts w:ascii="Times" w:hAnsi="Times" w:cs="Times"/>
          <w:noProof/>
        </w:rPr>
        <w:fldChar w:fldCharType="end"/>
      </w:r>
    </w:p>
    <w:p w:rsidR="00380510" w:rsidRDefault="00380510">
      <w:pPr>
        <w:pStyle w:val="TOC5"/>
        <w:rPr>
          <w:rFonts w:ascii="Calibri" w:hAnsi="Calibri"/>
          <w:iCs w:val="0"/>
          <w:noProof/>
          <w:kern w:val="0"/>
          <w:sz w:val="22"/>
          <w:szCs w:val="22"/>
        </w:rPr>
      </w:pPr>
      <w:r>
        <w:rPr>
          <w:noProof/>
        </w:rPr>
        <w:t>815</w:t>
      </w:r>
      <w:r>
        <w:rPr>
          <w:noProof/>
        </w:rPr>
        <w:noBreakHyphen/>
        <w:t>35</w:t>
      </w:r>
      <w:r>
        <w:rPr>
          <w:noProof/>
        </w:rPr>
        <w:tab/>
        <w:t>Consequential adjustments</w:t>
      </w:r>
      <w:r w:rsidRPr="00380510">
        <w:rPr>
          <w:rFonts w:ascii="Times" w:hAnsi="Times" w:cs="Times"/>
          <w:noProof/>
        </w:rPr>
        <w:tab/>
      </w:r>
      <w:r w:rsidRPr="00380510">
        <w:rPr>
          <w:rFonts w:ascii="Times" w:hAnsi="Times" w:cs="Times"/>
          <w:noProof/>
        </w:rPr>
        <w:fldChar w:fldCharType="begin"/>
      </w:r>
      <w:r w:rsidRPr="00380510">
        <w:rPr>
          <w:rFonts w:ascii="Times" w:hAnsi="Times" w:cs="Times"/>
          <w:noProof/>
        </w:rPr>
        <w:instrText xml:space="preserve"> PAGEREF _Toc338939242 \h </w:instrText>
      </w:r>
      <w:r w:rsidRPr="00380510">
        <w:rPr>
          <w:rFonts w:ascii="Times" w:hAnsi="Times" w:cs="Times"/>
          <w:noProof/>
        </w:rPr>
      </w:r>
      <w:r w:rsidRPr="00380510">
        <w:rPr>
          <w:rFonts w:ascii="Times" w:hAnsi="Times" w:cs="Times"/>
          <w:noProof/>
        </w:rPr>
        <w:fldChar w:fldCharType="separate"/>
      </w:r>
      <w:r w:rsidR="00623A5C">
        <w:rPr>
          <w:rFonts w:ascii="Times" w:hAnsi="Times" w:cs="Times"/>
          <w:noProof/>
        </w:rPr>
        <w:t>131</w:t>
      </w:r>
      <w:r w:rsidRPr="00380510">
        <w:rPr>
          <w:rFonts w:ascii="Times" w:hAnsi="Times" w:cs="Times"/>
          <w:noProof/>
        </w:rPr>
        <w:fldChar w:fldCharType="end"/>
      </w:r>
    </w:p>
    <w:p w:rsidR="00380510" w:rsidRDefault="00380510">
      <w:pPr>
        <w:pStyle w:val="TOC5"/>
        <w:rPr>
          <w:rFonts w:ascii="Calibri" w:hAnsi="Calibri"/>
          <w:iCs w:val="0"/>
          <w:noProof/>
          <w:kern w:val="0"/>
          <w:sz w:val="22"/>
          <w:szCs w:val="22"/>
        </w:rPr>
      </w:pPr>
      <w:r>
        <w:rPr>
          <w:noProof/>
        </w:rPr>
        <w:t>815</w:t>
      </w:r>
      <w:r>
        <w:rPr>
          <w:noProof/>
        </w:rPr>
        <w:noBreakHyphen/>
        <w:t>40</w:t>
      </w:r>
      <w:r>
        <w:rPr>
          <w:noProof/>
        </w:rPr>
        <w:tab/>
        <w:t>No double taxation</w:t>
      </w:r>
      <w:r w:rsidRPr="00380510">
        <w:rPr>
          <w:rFonts w:ascii="Times" w:hAnsi="Times" w:cs="Times"/>
          <w:noProof/>
        </w:rPr>
        <w:tab/>
      </w:r>
      <w:r w:rsidRPr="00380510">
        <w:rPr>
          <w:rFonts w:ascii="Times" w:hAnsi="Times" w:cs="Times"/>
          <w:noProof/>
        </w:rPr>
        <w:fldChar w:fldCharType="begin"/>
      </w:r>
      <w:r w:rsidRPr="00380510">
        <w:rPr>
          <w:rFonts w:ascii="Times" w:hAnsi="Times" w:cs="Times"/>
          <w:noProof/>
        </w:rPr>
        <w:instrText xml:space="preserve"> PAGEREF _Toc338939243 \h </w:instrText>
      </w:r>
      <w:r w:rsidRPr="00380510">
        <w:rPr>
          <w:rFonts w:ascii="Times" w:hAnsi="Times" w:cs="Times"/>
          <w:noProof/>
        </w:rPr>
      </w:r>
      <w:r w:rsidRPr="00380510">
        <w:rPr>
          <w:rFonts w:ascii="Times" w:hAnsi="Times" w:cs="Times"/>
          <w:noProof/>
        </w:rPr>
        <w:fldChar w:fldCharType="separate"/>
      </w:r>
      <w:r w:rsidR="00623A5C">
        <w:rPr>
          <w:rFonts w:ascii="Times" w:hAnsi="Times" w:cs="Times"/>
          <w:noProof/>
        </w:rPr>
        <w:t>133</w:t>
      </w:r>
      <w:r w:rsidRPr="00380510">
        <w:rPr>
          <w:rFonts w:ascii="Times" w:hAnsi="Times" w:cs="Times"/>
          <w:noProof/>
        </w:rPr>
        <w:fldChar w:fldCharType="end"/>
      </w:r>
    </w:p>
    <w:p w:rsidR="00380510" w:rsidRDefault="00380510">
      <w:pPr>
        <w:pStyle w:val="TOC3"/>
        <w:rPr>
          <w:rFonts w:ascii="Calibri" w:hAnsi="Calibri"/>
          <w:b w:val="0"/>
          <w:noProof/>
          <w:kern w:val="0"/>
          <w:szCs w:val="22"/>
        </w:rPr>
      </w:pPr>
      <w:r>
        <w:rPr>
          <w:noProof/>
        </w:rPr>
        <w:t>Division 820—Thin capitalisation rules</w:t>
      </w:r>
      <w:r w:rsidRPr="00380510">
        <w:rPr>
          <w:rFonts w:ascii="Times" w:hAnsi="Times" w:cs="Times"/>
          <w:b w:val="0"/>
          <w:noProof/>
          <w:sz w:val="18"/>
        </w:rPr>
        <w:tab/>
      </w:r>
      <w:r w:rsidRPr="00380510">
        <w:rPr>
          <w:rFonts w:ascii="Times" w:hAnsi="Times" w:cs="Times"/>
          <w:b w:val="0"/>
          <w:noProof/>
          <w:sz w:val="18"/>
        </w:rPr>
        <w:fldChar w:fldCharType="begin"/>
      </w:r>
      <w:r w:rsidRPr="00380510">
        <w:rPr>
          <w:rFonts w:ascii="Times" w:hAnsi="Times" w:cs="Times"/>
          <w:b w:val="0"/>
          <w:noProof/>
          <w:sz w:val="18"/>
        </w:rPr>
        <w:instrText xml:space="preserve"> PAGEREF _Toc338939244 \h </w:instrText>
      </w:r>
      <w:r w:rsidRPr="00380510">
        <w:rPr>
          <w:rFonts w:ascii="Times" w:hAnsi="Times" w:cs="Times"/>
          <w:b w:val="0"/>
          <w:noProof/>
          <w:sz w:val="18"/>
        </w:rPr>
      </w:r>
      <w:r w:rsidRPr="00380510">
        <w:rPr>
          <w:rFonts w:ascii="Times" w:hAnsi="Times" w:cs="Times"/>
          <w:b w:val="0"/>
          <w:noProof/>
          <w:sz w:val="18"/>
        </w:rPr>
        <w:fldChar w:fldCharType="separate"/>
      </w:r>
      <w:r w:rsidR="00623A5C">
        <w:rPr>
          <w:rFonts w:ascii="Times" w:hAnsi="Times" w:cs="Times"/>
          <w:b w:val="0"/>
          <w:noProof/>
          <w:sz w:val="18"/>
        </w:rPr>
        <w:t>135</w:t>
      </w:r>
      <w:r w:rsidRPr="00380510">
        <w:rPr>
          <w:rFonts w:ascii="Times" w:hAnsi="Times" w:cs="Times"/>
          <w:b w:val="0"/>
          <w:noProof/>
          <w:sz w:val="18"/>
        </w:rPr>
        <w:fldChar w:fldCharType="end"/>
      </w:r>
    </w:p>
    <w:p w:rsidR="00380510" w:rsidRDefault="00380510">
      <w:pPr>
        <w:pStyle w:val="TOC4"/>
        <w:rPr>
          <w:rFonts w:ascii="Calibri" w:hAnsi="Calibri"/>
          <w:b w:val="0"/>
          <w:noProof/>
          <w:kern w:val="0"/>
          <w:sz w:val="22"/>
          <w:szCs w:val="22"/>
        </w:rPr>
      </w:pPr>
      <w:r>
        <w:rPr>
          <w:noProof/>
        </w:rPr>
        <w:t>Guide to Division 820</w:t>
      </w:r>
      <w:r w:rsidRPr="00380510">
        <w:rPr>
          <w:rFonts w:ascii="Times" w:hAnsi="Times" w:cs="Times"/>
          <w:b w:val="0"/>
          <w:noProof/>
          <w:sz w:val="18"/>
        </w:rPr>
        <w:tab/>
      </w:r>
      <w:r w:rsidRPr="00380510">
        <w:rPr>
          <w:rFonts w:ascii="Times" w:hAnsi="Times" w:cs="Times"/>
          <w:b w:val="0"/>
          <w:noProof/>
          <w:sz w:val="18"/>
        </w:rPr>
        <w:fldChar w:fldCharType="begin"/>
      </w:r>
      <w:r w:rsidRPr="00380510">
        <w:rPr>
          <w:rFonts w:ascii="Times" w:hAnsi="Times" w:cs="Times"/>
          <w:b w:val="0"/>
          <w:noProof/>
          <w:sz w:val="18"/>
        </w:rPr>
        <w:instrText xml:space="preserve"> PAGEREF _Toc338939245 \h </w:instrText>
      </w:r>
      <w:r w:rsidRPr="00380510">
        <w:rPr>
          <w:rFonts w:ascii="Times" w:hAnsi="Times" w:cs="Times"/>
          <w:b w:val="0"/>
          <w:noProof/>
          <w:sz w:val="18"/>
        </w:rPr>
      </w:r>
      <w:r w:rsidRPr="00380510">
        <w:rPr>
          <w:rFonts w:ascii="Times" w:hAnsi="Times" w:cs="Times"/>
          <w:b w:val="0"/>
          <w:noProof/>
          <w:sz w:val="18"/>
        </w:rPr>
        <w:fldChar w:fldCharType="separate"/>
      </w:r>
      <w:r w:rsidR="00623A5C">
        <w:rPr>
          <w:rFonts w:ascii="Times" w:hAnsi="Times" w:cs="Times"/>
          <w:b w:val="0"/>
          <w:noProof/>
          <w:sz w:val="18"/>
        </w:rPr>
        <w:t>136</w:t>
      </w:r>
      <w:r w:rsidRPr="00380510">
        <w:rPr>
          <w:rFonts w:ascii="Times" w:hAnsi="Times" w:cs="Times"/>
          <w:b w:val="0"/>
          <w:noProof/>
          <w:sz w:val="18"/>
        </w:rPr>
        <w:fldChar w:fldCharType="end"/>
      </w:r>
    </w:p>
    <w:p w:rsidR="00380510" w:rsidRDefault="00380510">
      <w:pPr>
        <w:pStyle w:val="TOC5"/>
        <w:rPr>
          <w:rFonts w:ascii="Calibri" w:hAnsi="Calibri"/>
          <w:iCs w:val="0"/>
          <w:noProof/>
          <w:kern w:val="0"/>
          <w:sz w:val="22"/>
          <w:szCs w:val="22"/>
        </w:rPr>
      </w:pPr>
      <w:r>
        <w:rPr>
          <w:noProof/>
        </w:rPr>
        <w:t>820</w:t>
      </w:r>
      <w:r>
        <w:rPr>
          <w:noProof/>
        </w:rPr>
        <w:noBreakHyphen/>
        <w:t>1</w:t>
      </w:r>
      <w:r>
        <w:rPr>
          <w:noProof/>
        </w:rPr>
        <w:tab/>
        <w:t>What this Division is about</w:t>
      </w:r>
      <w:r w:rsidRPr="00380510">
        <w:rPr>
          <w:rFonts w:ascii="Times" w:hAnsi="Times" w:cs="Times"/>
          <w:noProof/>
        </w:rPr>
        <w:tab/>
      </w:r>
      <w:r w:rsidRPr="00380510">
        <w:rPr>
          <w:rFonts w:ascii="Times" w:hAnsi="Times" w:cs="Times"/>
          <w:noProof/>
        </w:rPr>
        <w:fldChar w:fldCharType="begin"/>
      </w:r>
      <w:r w:rsidRPr="00380510">
        <w:rPr>
          <w:rFonts w:ascii="Times" w:hAnsi="Times" w:cs="Times"/>
          <w:noProof/>
        </w:rPr>
        <w:instrText xml:space="preserve"> PAGEREF _Toc338939246 \h </w:instrText>
      </w:r>
      <w:r w:rsidRPr="00380510">
        <w:rPr>
          <w:rFonts w:ascii="Times" w:hAnsi="Times" w:cs="Times"/>
          <w:noProof/>
        </w:rPr>
      </w:r>
      <w:r w:rsidRPr="00380510">
        <w:rPr>
          <w:rFonts w:ascii="Times" w:hAnsi="Times" w:cs="Times"/>
          <w:noProof/>
        </w:rPr>
        <w:fldChar w:fldCharType="separate"/>
      </w:r>
      <w:r w:rsidR="00623A5C">
        <w:rPr>
          <w:rFonts w:ascii="Times" w:hAnsi="Times" w:cs="Times"/>
          <w:noProof/>
        </w:rPr>
        <w:t>136</w:t>
      </w:r>
      <w:r w:rsidRPr="00380510">
        <w:rPr>
          <w:rFonts w:ascii="Times" w:hAnsi="Times" w:cs="Times"/>
          <w:noProof/>
        </w:rPr>
        <w:fldChar w:fldCharType="end"/>
      </w:r>
    </w:p>
    <w:p w:rsidR="00380510" w:rsidRDefault="00380510">
      <w:pPr>
        <w:pStyle w:val="TOC5"/>
        <w:rPr>
          <w:rFonts w:ascii="Calibri" w:hAnsi="Calibri"/>
          <w:iCs w:val="0"/>
          <w:noProof/>
          <w:kern w:val="0"/>
          <w:sz w:val="22"/>
          <w:szCs w:val="22"/>
        </w:rPr>
      </w:pPr>
      <w:r>
        <w:rPr>
          <w:noProof/>
        </w:rPr>
        <w:t>820</w:t>
      </w:r>
      <w:r>
        <w:rPr>
          <w:noProof/>
        </w:rPr>
        <w:noBreakHyphen/>
        <w:t>5</w:t>
      </w:r>
      <w:r>
        <w:rPr>
          <w:noProof/>
        </w:rPr>
        <w:tab/>
        <w:t>Does this Division apply to an entity?</w:t>
      </w:r>
      <w:r w:rsidRPr="00380510">
        <w:rPr>
          <w:rFonts w:ascii="Times" w:hAnsi="Times" w:cs="Times"/>
          <w:noProof/>
        </w:rPr>
        <w:tab/>
      </w:r>
      <w:r w:rsidRPr="00380510">
        <w:rPr>
          <w:rFonts w:ascii="Times" w:hAnsi="Times" w:cs="Times"/>
          <w:noProof/>
        </w:rPr>
        <w:fldChar w:fldCharType="begin"/>
      </w:r>
      <w:r w:rsidRPr="00380510">
        <w:rPr>
          <w:rFonts w:ascii="Times" w:hAnsi="Times" w:cs="Times"/>
          <w:noProof/>
        </w:rPr>
        <w:instrText xml:space="preserve"> PAGEREF _Toc338939247 \h </w:instrText>
      </w:r>
      <w:r w:rsidRPr="00380510">
        <w:rPr>
          <w:rFonts w:ascii="Times" w:hAnsi="Times" w:cs="Times"/>
          <w:noProof/>
        </w:rPr>
      </w:r>
      <w:r w:rsidRPr="00380510">
        <w:rPr>
          <w:rFonts w:ascii="Times" w:hAnsi="Times" w:cs="Times"/>
          <w:noProof/>
        </w:rPr>
        <w:fldChar w:fldCharType="separate"/>
      </w:r>
      <w:r w:rsidR="00623A5C">
        <w:rPr>
          <w:rFonts w:ascii="Times" w:hAnsi="Times" w:cs="Times"/>
          <w:noProof/>
        </w:rPr>
        <w:t>136</w:t>
      </w:r>
      <w:r w:rsidRPr="00380510">
        <w:rPr>
          <w:rFonts w:ascii="Times" w:hAnsi="Times" w:cs="Times"/>
          <w:noProof/>
        </w:rPr>
        <w:fldChar w:fldCharType="end"/>
      </w:r>
    </w:p>
    <w:p w:rsidR="00380510" w:rsidRDefault="00380510">
      <w:pPr>
        <w:pStyle w:val="TOC5"/>
        <w:rPr>
          <w:rFonts w:ascii="Calibri" w:hAnsi="Calibri"/>
          <w:iCs w:val="0"/>
          <w:noProof/>
          <w:kern w:val="0"/>
          <w:sz w:val="22"/>
          <w:szCs w:val="22"/>
        </w:rPr>
      </w:pPr>
      <w:r>
        <w:rPr>
          <w:noProof/>
        </w:rPr>
        <w:t>820</w:t>
      </w:r>
      <w:r>
        <w:rPr>
          <w:noProof/>
        </w:rPr>
        <w:noBreakHyphen/>
        <w:t>10</w:t>
      </w:r>
      <w:r>
        <w:rPr>
          <w:noProof/>
        </w:rPr>
        <w:tab/>
        <w:t>Map of Division</w:t>
      </w:r>
      <w:r w:rsidRPr="00380510">
        <w:rPr>
          <w:rFonts w:ascii="Times" w:hAnsi="Times" w:cs="Times"/>
          <w:noProof/>
        </w:rPr>
        <w:tab/>
      </w:r>
      <w:r w:rsidRPr="00380510">
        <w:rPr>
          <w:rFonts w:ascii="Times" w:hAnsi="Times" w:cs="Times"/>
          <w:noProof/>
        </w:rPr>
        <w:fldChar w:fldCharType="begin"/>
      </w:r>
      <w:r w:rsidRPr="00380510">
        <w:rPr>
          <w:rFonts w:ascii="Times" w:hAnsi="Times" w:cs="Times"/>
          <w:noProof/>
        </w:rPr>
        <w:instrText xml:space="preserve"> PAGEREF _Toc338939248 \h </w:instrText>
      </w:r>
      <w:r w:rsidRPr="00380510">
        <w:rPr>
          <w:rFonts w:ascii="Times" w:hAnsi="Times" w:cs="Times"/>
          <w:noProof/>
        </w:rPr>
      </w:r>
      <w:r w:rsidRPr="00380510">
        <w:rPr>
          <w:rFonts w:ascii="Times" w:hAnsi="Times" w:cs="Times"/>
          <w:noProof/>
        </w:rPr>
        <w:fldChar w:fldCharType="separate"/>
      </w:r>
      <w:r w:rsidR="00623A5C">
        <w:rPr>
          <w:rFonts w:ascii="Times" w:hAnsi="Times" w:cs="Times"/>
          <w:noProof/>
        </w:rPr>
        <w:t>138</w:t>
      </w:r>
      <w:r w:rsidRPr="00380510">
        <w:rPr>
          <w:rFonts w:ascii="Times" w:hAnsi="Times" w:cs="Times"/>
          <w:noProof/>
        </w:rPr>
        <w:fldChar w:fldCharType="end"/>
      </w:r>
    </w:p>
    <w:p w:rsidR="00380510" w:rsidRDefault="00380510">
      <w:pPr>
        <w:pStyle w:val="TOC4"/>
        <w:rPr>
          <w:rFonts w:ascii="Calibri" w:hAnsi="Calibri"/>
          <w:b w:val="0"/>
          <w:noProof/>
          <w:kern w:val="0"/>
          <w:sz w:val="22"/>
          <w:szCs w:val="22"/>
        </w:rPr>
      </w:pPr>
      <w:r>
        <w:rPr>
          <w:noProof/>
        </w:rPr>
        <w:t>Subdivision 820</w:t>
      </w:r>
      <w:r>
        <w:rPr>
          <w:noProof/>
        </w:rPr>
        <w:noBreakHyphen/>
        <w:t>A—Preliminary</w:t>
      </w:r>
      <w:r w:rsidRPr="00380510">
        <w:rPr>
          <w:rFonts w:ascii="Times" w:hAnsi="Times" w:cs="Times"/>
          <w:b w:val="0"/>
          <w:noProof/>
          <w:sz w:val="18"/>
        </w:rPr>
        <w:tab/>
      </w:r>
      <w:r w:rsidRPr="00380510">
        <w:rPr>
          <w:rFonts w:ascii="Times" w:hAnsi="Times" w:cs="Times"/>
          <w:b w:val="0"/>
          <w:noProof/>
          <w:sz w:val="18"/>
        </w:rPr>
        <w:fldChar w:fldCharType="begin"/>
      </w:r>
      <w:r w:rsidRPr="00380510">
        <w:rPr>
          <w:rFonts w:ascii="Times" w:hAnsi="Times" w:cs="Times"/>
          <w:b w:val="0"/>
          <w:noProof/>
          <w:sz w:val="18"/>
        </w:rPr>
        <w:instrText xml:space="preserve"> PAGEREF _Toc338939249 \h </w:instrText>
      </w:r>
      <w:r w:rsidRPr="00380510">
        <w:rPr>
          <w:rFonts w:ascii="Times" w:hAnsi="Times" w:cs="Times"/>
          <w:b w:val="0"/>
          <w:noProof/>
          <w:sz w:val="18"/>
        </w:rPr>
      </w:r>
      <w:r w:rsidRPr="00380510">
        <w:rPr>
          <w:rFonts w:ascii="Times" w:hAnsi="Times" w:cs="Times"/>
          <w:b w:val="0"/>
          <w:noProof/>
          <w:sz w:val="18"/>
        </w:rPr>
        <w:fldChar w:fldCharType="separate"/>
      </w:r>
      <w:r w:rsidR="00623A5C">
        <w:rPr>
          <w:rFonts w:ascii="Times" w:hAnsi="Times" w:cs="Times"/>
          <w:b w:val="0"/>
          <w:noProof/>
          <w:sz w:val="18"/>
        </w:rPr>
        <w:t>139</w:t>
      </w:r>
      <w:r w:rsidRPr="00380510">
        <w:rPr>
          <w:rFonts w:ascii="Times" w:hAnsi="Times" w:cs="Times"/>
          <w:b w:val="0"/>
          <w:noProof/>
          <w:sz w:val="18"/>
        </w:rPr>
        <w:fldChar w:fldCharType="end"/>
      </w:r>
    </w:p>
    <w:p w:rsidR="00380510" w:rsidRDefault="00380510">
      <w:pPr>
        <w:pStyle w:val="TOC5"/>
        <w:rPr>
          <w:rFonts w:ascii="Calibri" w:hAnsi="Calibri"/>
          <w:iCs w:val="0"/>
          <w:noProof/>
          <w:kern w:val="0"/>
          <w:sz w:val="22"/>
          <w:szCs w:val="22"/>
        </w:rPr>
      </w:pPr>
      <w:r>
        <w:rPr>
          <w:noProof/>
        </w:rPr>
        <w:t>820</w:t>
      </w:r>
      <w:r>
        <w:rPr>
          <w:noProof/>
        </w:rPr>
        <w:noBreakHyphen/>
        <w:t>30</w:t>
      </w:r>
      <w:r>
        <w:rPr>
          <w:noProof/>
        </w:rPr>
        <w:tab/>
        <w:t>Object of Division</w:t>
      </w:r>
      <w:r w:rsidRPr="00380510">
        <w:rPr>
          <w:rFonts w:ascii="Times" w:hAnsi="Times" w:cs="Times"/>
          <w:noProof/>
        </w:rPr>
        <w:tab/>
      </w:r>
      <w:r w:rsidRPr="00380510">
        <w:rPr>
          <w:rFonts w:ascii="Times" w:hAnsi="Times" w:cs="Times"/>
          <w:noProof/>
        </w:rPr>
        <w:fldChar w:fldCharType="begin"/>
      </w:r>
      <w:r w:rsidRPr="00380510">
        <w:rPr>
          <w:rFonts w:ascii="Times" w:hAnsi="Times" w:cs="Times"/>
          <w:noProof/>
        </w:rPr>
        <w:instrText xml:space="preserve"> PAGEREF _Toc338939250 \h </w:instrText>
      </w:r>
      <w:r w:rsidRPr="00380510">
        <w:rPr>
          <w:rFonts w:ascii="Times" w:hAnsi="Times" w:cs="Times"/>
          <w:noProof/>
        </w:rPr>
      </w:r>
      <w:r w:rsidRPr="00380510">
        <w:rPr>
          <w:rFonts w:ascii="Times" w:hAnsi="Times" w:cs="Times"/>
          <w:noProof/>
        </w:rPr>
        <w:fldChar w:fldCharType="separate"/>
      </w:r>
      <w:r w:rsidR="00623A5C">
        <w:rPr>
          <w:rFonts w:ascii="Times" w:hAnsi="Times" w:cs="Times"/>
          <w:noProof/>
        </w:rPr>
        <w:t>140</w:t>
      </w:r>
      <w:r w:rsidRPr="00380510">
        <w:rPr>
          <w:rFonts w:ascii="Times" w:hAnsi="Times" w:cs="Times"/>
          <w:noProof/>
        </w:rPr>
        <w:fldChar w:fldCharType="end"/>
      </w:r>
    </w:p>
    <w:p w:rsidR="00380510" w:rsidRDefault="00380510">
      <w:pPr>
        <w:pStyle w:val="TOC5"/>
        <w:rPr>
          <w:rFonts w:ascii="Calibri" w:hAnsi="Calibri"/>
          <w:iCs w:val="0"/>
          <w:noProof/>
          <w:kern w:val="0"/>
          <w:sz w:val="22"/>
          <w:szCs w:val="22"/>
        </w:rPr>
      </w:pPr>
      <w:r>
        <w:rPr>
          <w:noProof/>
        </w:rPr>
        <w:t>820</w:t>
      </w:r>
      <w:r>
        <w:rPr>
          <w:noProof/>
        </w:rPr>
        <w:noBreakHyphen/>
        <w:t>32</w:t>
      </w:r>
      <w:r>
        <w:rPr>
          <w:noProof/>
        </w:rPr>
        <w:tab/>
        <w:t>Exemption for private or domestic assets and non</w:t>
      </w:r>
      <w:r>
        <w:rPr>
          <w:noProof/>
        </w:rPr>
        <w:noBreakHyphen/>
        <w:t>debt liabilities</w:t>
      </w:r>
      <w:r w:rsidRPr="00380510">
        <w:rPr>
          <w:rFonts w:ascii="Times" w:hAnsi="Times" w:cs="Times"/>
          <w:noProof/>
        </w:rPr>
        <w:tab/>
      </w:r>
      <w:r w:rsidRPr="00380510">
        <w:rPr>
          <w:rFonts w:ascii="Times" w:hAnsi="Times" w:cs="Times"/>
          <w:noProof/>
        </w:rPr>
        <w:fldChar w:fldCharType="begin"/>
      </w:r>
      <w:r w:rsidRPr="00380510">
        <w:rPr>
          <w:rFonts w:ascii="Times" w:hAnsi="Times" w:cs="Times"/>
          <w:noProof/>
        </w:rPr>
        <w:instrText xml:space="preserve"> PAGEREF _Toc338939251 \h </w:instrText>
      </w:r>
      <w:r w:rsidRPr="00380510">
        <w:rPr>
          <w:rFonts w:ascii="Times" w:hAnsi="Times" w:cs="Times"/>
          <w:noProof/>
        </w:rPr>
      </w:r>
      <w:r w:rsidRPr="00380510">
        <w:rPr>
          <w:rFonts w:ascii="Times" w:hAnsi="Times" w:cs="Times"/>
          <w:noProof/>
        </w:rPr>
        <w:fldChar w:fldCharType="separate"/>
      </w:r>
      <w:r w:rsidR="00623A5C">
        <w:rPr>
          <w:rFonts w:ascii="Times" w:hAnsi="Times" w:cs="Times"/>
          <w:noProof/>
        </w:rPr>
        <w:t>140</w:t>
      </w:r>
      <w:r w:rsidRPr="00380510">
        <w:rPr>
          <w:rFonts w:ascii="Times" w:hAnsi="Times" w:cs="Times"/>
          <w:noProof/>
        </w:rPr>
        <w:fldChar w:fldCharType="end"/>
      </w:r>
    </w:p>
    <w:p w:rsidR="00380510" w:rsidRDefault="00380510">
      <w:pPr>
        <w:pStyle w:val="TOC5"/>
        <w:rPr>
          <w:rFonts w:ascii="Calibri" w:hAnsi="Calibri"/>
          <w:iCs w:val="0"/>
          <w:noProof/>
          <w:kern w:val="0"/>
          <w:sz w:val="22"/>
          <w:szCs w:val="22"/>
        </w:rPr>
      </w:pPr>
      <w:r>
        <w:rPr>
          <w:noProof/>
        </w:rPr>
        <w:t>820</w:t>
      </w:r>
      <w:r>
        <w:rPr>
          <w:noProof/>
        </w:rPr>
        <w:noBreakHyphen/>
        <w:t>35</w:t>
      </w:r>
      <w:r>
        <w:rPr>
          <w:noProof/>
        </w:rPr>
        <w:tab/>
        <w:t>Application—$250,000 threshold</w:t>
      </w:r>
      <w:r w:rsidRPr="00380510">
        <w:rPr>
          <w:rFonts w:ascii="Times" w:hAnsi="Times" w:cs="Times"/>
          <w:noProof/>
        </w:rPr>
        <w:tab/>
      </w:r>
      <w:r w:rsidRPr="00380510">
        <w:rPr>
          <w:rFonts w:ascii="Times" w:hAnsi="Times" w:cs="Times"/>
          <w:noProof/>
        </w:rPr>
        <w:fldChar w:fldCharType="begin"/>
      </w:r>
      <w:r w:rsidRPr="00380510">
        <w:rPr>
          <w:rFonts w:ascii="Times" w:hAnsi="Times" w:cs="Times"/>
          <w:noProof/>
        </w:rPr>
        <w:instrText xml:space="preserve"> PAGEREF _Toc338939252 \h </w:instrText>
      </w:r>
      <w:r w:rsidRPr="00380510">
        <w:rPr>
          <w:rFonts w:ascii="Times" w:hAnsi="Times" w:cs="Times"/>
          <w:noProof/>
        </w:rPr>
      </w:r>
      <w:r w:rsidRPr="00380510">
        <w:rPr>
          <w:rFonts w:ascii="Times" w:hAnsi="Times" w:cs="Times"/>
          <w:noProof/>
        </w:rPr>
        <w:fldChar w:fldCharType="separate"/>
      </w:r>
      <w:r w:rsidR="00623A5C">
        <w:rPr>
          <w:rFonts w:ascii="Times" w:hAnsi="Times" w:cs="Times"/>
          <w:noProof/>
        </w:rPr>
        <w:t>140</w:t>
      </w:r>
      <w:r w:rsidRPr="00380510">
        <w:rPr>
          <w:rFonts w:ascii="Times" w:hAnsi="Times" w:cs="Times"/>
          <w:noProof/>
        </w:rPr>
        <w:fldChar w:fldCharType="end"/>
      </w:r>
    </w:p>
    <w:p w:rsidR="00380510" w:rsidRDefault="00380510">
      <w:pPr>
        <w:pStyle w:val="TOC5"/>
        <w:rPr>
          <w:rFonts w:ascii="Calibri" w:hAnsi="Calibri"/>
          <w:iCs w:val="0"/>
          <w:noProof/>
          <w:kern w:val="0"/>
          <w:sz w:val="22"/>
          <w:szCs w:val="22"/>
        </w:rPr>
      </w:pPr>
      <w:r>
        <w:rPr>
          <w:noProof/>
        </w:rPr>
        <w:t>820</w:t>
      </w:r>
      <w:r>
        <w:rPr>
          <w:noProof/>
        </w:rPr>
        <w:noBreakHyphen/>
        <w:t>37</w:t>
      </w:r>
      <w:r>
        <w:rPr>
          <w:noProof/>
        </w:rPr>
        <w:tab/>
        <w:t>Application—assets threshold</w:t>
      </w:r>
      <w:r w:rsidRPr="00380510">
        <w:rPr>
          <w:rFonts w:ascii="Times" w:hAnsi="Times" w:cs="Times"/>
          <w:noProof/>
        </w:rPr>
        <w:tab/>
      </w:r>
      <w:r w:rsidRPr="00380510">
        <w:rPr>
          <w:rFonts w:ascii="Times" w:hAnsi="Times" w:cs="Times"/>
          <w:noProof/>
        </w:rPr>
        <w:fldChar w:fldCharType="begin"/>
      </w:r>
      <w:r w:rsidRPr="00380510">
        <w:rPr>
          <w:rFonts w:ascii="Times" w:hAnsi="Times" w:cs="Times"/>
          <w:noProof/>
        </w:rPr>
        <w:instrText xml:space="preserve"> PAGEREF _Toc338939253 \h </w:instrText>
      </w:r>
      <w:r w:rsidRPr="00380510">
        <w:rPr>
          <w:rFonts w:ascii="Times" w:hAnsi="Times" w:cs="Times"/>
          <w:noProof/>
        </w:rPr>
      </w:r>
      <w:r w:rsidRPr="00380510">
        <w:rPr>
          <w:rFonts w:ascii="Times" w:hAnsi="Times" w:cs="Times"/>
          <w:noProof/>
        </w:rPr>
        <w:fldChar w:fldCharType="separate"/>
      </w:r>
      <w:r w:rsidR="00623A5C">
        <w:rPr>
          <w:rFonts w:ascii="Times" w:hAnsi="Times" w:cs="Times"/>
          <w:noProof/>
        </w:rPr>
        <w:t>140</w:t>
      </w:r>
      <w:r w:rsidRPr="00380510">
        <w:rPr>
          <w:rFonts w:ascii="Times" w:hAnsi="Times" w:cs="Times"/>
          <w:noProof/>
        </w:rPr>
        <w:fldChar w:fldCharType="end"/>
      </w:r>
    </w:p>
    <w:p w:rsidR="00380510" w:rsidRDefault="00380510">
      <w:pPr>
        <w:pStyle w:val="TOC5"/>
        <w:rPr>
          <w:rFonts w:ascii="Calibri" w:hAnsi="Calibri"/>
          <w:iCs w:val="0"/>
          <w:noProof/>
          <w:kern w:val="0"/>
          <w:sz w:val="22"/>
          <w:szCs w:val="22"/>
        </w:rPr>
      </w:pPr>
      <w:r>
        <w:rPr>
          <w:noProof/>
        </w:rPr>
        <w:t>820</w:t>
      </w:r>
      <w:r>
        <w:rPr>
          <w:noProof/>
        </w:rPr>
        <w:noBreakHyphen/>
        <w:t>39</w:t>
      </w:r>
      <w:r>
        <w:rPr>
          <w:noProof/>
        </w:rPr>
        <w:tab/>
        <w:t>Exemption of certain special purpose entities</w:t>
      </w:r>
      <w:r w:rsidRPr="00380510">
        <w:rPr>
          <w:rFonts w:ascii="Times" w:hAnsi="Times" w:cs="Times"/>
          <w:noProof/>
        </w:rPr>
        <w:tab/>
      </w:r>
      <w:r w:rsidRPr="00380510">
        <w:rPr>
          <w:rFonts w:ascii="Times" w:hAnsi="Times" w:cs="Times"/>
          <w:noProof/>
        </w:rPr>
        <w:fldChar w:fldCharType="begin"/>
      </w:r>
      <w:r w:rsidRPr="00380510">
        <w:rPr>
          <w:rFonts w:ascii="Times" w:hAnsi="Times" w:cs="Times"/>
          <w:noProof/>
        </w:rPr>
        <w:instrText xml:space="preserve"> PAGEREF _Toc338939254 \h </w:instrText>
      </w:r>
      <w:r w:rsidRPr="00380510">
        <w:rPr>
          <w:rFonts w:ascii="Times" w:hAnsi="Times" w:cs="Times"/>
          <w:noProof/>
        </w:rPr>
      </w:r>
      <w:r w:rsidRPr="00380510">
        <w:rPr>
          <w:rFonts w:ascii="Times" w:hAnsi="Times" w:cs="Times"/>
          <w:noProof/>
        </w:rPr>
        <w:fldChar w:fldCharType="separate"/>
      </w:r>
      <w:r w:rsidR="00623A5C">
        <w:rPr>
          <w:rFonts w:ascii="Times" w:hAnsi="Times" w:cs="Times"/>
          <w:noProof/>
        </w:rPr>
        <w:t>142</w:t>
      </w:r>
      <w:r w:rsidRPr="00380510">
        <w:rPr>
          <w:rFonts w:ascii="Times" w:hAnsi="Times" w:cs="Times"/>
          <w:noProof/>
        </w:rPr>
        <w:fldChar w:fldCharType="end"/>
      </w:r>
    </w:p>
    <w:p w:rsidR="00380510" w:rsidRDefault="00380510">
      <w:pPr>
        <w:pStyle w:val="TOC5"/>
        <w:rPr>
          <w:rFonts w:ascii="Calibri" w:hAnsi="Calibri"/>
          <w:iCs w:val="0"/>
          <w:noProof/>
          <w:kern w:val="0"/>
          <w:sz w:val="22"/>
          <w:szCs w:val="22"/>
        </w:rPr>
      </w:pPr>
      <w:r>
        <w:rPr>
          <w:noProof/>
        </w:rPr>
        <w:t>820</w:t>
      </w:r>
      <w:r>
        <w:rPr>
          <w:noProof/>
        </w:rPr>
        <w:noBreakHyphen/>
        <w:t>40</w:t>
      </w:r>
      <w:r>
        <w:rPr>
          <w:noProof/>
        </w:rPr>
        <w:tab/>
        <w:t xml:space="preserve">Meaning of </w:t>
      </w:r>
      <w:r w:rsidRPr="008A0EAA">
        <w:rPr>
          <w:i/>
          <w:noProof/>
        </w:rPr>
        <w:t>debt deduction</w:t>
      </w:r>
      <w:r w:rsidRPr="00380510">
        <w:rPr>
          <w:rFonts w:ascii="Times" w:hAnsi="Times" w:cs="Times"/>
          <w:noProof/>
        </w:rPr>
        <w:tab/>
      </w:r>
      <w:r w:rsidRPr="00380510">
        <w:rPr>
          <w:rFonts w:ascii="Times" w:hAnsi="Times" w:cs="Times"/>
          <w:noProof/>
        </w:rPr>
        <w:fldChar w:fldCharType="begin"/>
      </w:r>
      <w:r w:rsidRPr="00380510">
        <w:rPr>
          <w:rFonts w:ascii="Times" w:hAnsi="Times" w:cs="Times"/>
          <w:noProof/>
        </w:rPr>
        <w:instrText xml:space="preserve"> PAGEREF _Toc338939255 \h </w:instrText>
      </w:r>
      <w:r w:rsidRPr="00380510">
        <w:rPr>
          <w:rFonts w:ascii="Times" w:hAnsi="Times" w:cs="Times"/>
          <w:noProof/>
        </w:rPr>
      </w:r>
      <w:r w:rsidRPr="00380510">
        <w:rPr>
          <w:rFonts w:ascii="Times" w:hAnsi="Times" w:cs="Times"/>
          <w:noProof/>
        </w:rPr>
        <w:fldChar w:fldCharType="separate"/>
      </w:r>
      <w:r w:rsidR="00623A5C">
        <w:rPr>
          <w:rFonts w:ascii="Times" w:hAnsi="Times" w:cs="Times"/>
          <w:noProof/>
        </w:rPr>
        <w:t>143</w:t>
      </w:r>
      <w:r w:rsidRPr="00380510">
        <w:rPr>
          <w:rFonts w:ascii="Times" w:hAnsi="Times" w:cs="Times"/>
          <w:noProof/>
        </w:rPr>
        <w:fldChar w:fldCharType="end"/>
      </w:r>
    </w:p>
    <w:p w:rsidR="00380510" w:rsidRDefault="00380510">
      <w:pPr>
        <w:pStyle w:val="TOC4"/>
        <w:rPr>
          <w:rFonts w:ascii="Calibri" w:hAnsi="Calibri"/>
          <w:b w:val="0"/>
          <w:noProof/>
          <w:kern w:val="0"/>
          <w:sz w:val="22"/>
          <w:szCs w:val="22"/>
        </w:rPr>
      </w:pPr>
      <w:r>
        <w:rPr>
          <w:noProof/>
        </w:rPr>
        <w:t>Subdivision 820</w:t>
      </w:r>
      <w:r>
        <w:rPr>
          <w:noProof/>
        </w:rPr>
        <w:noBreakHyphen/>
        <w:t>B—Thin capitalisation rules for outward investing entities (non</w:t>
      </w:r>
      <w:r>
        <w:rPr>
          <w:noProof/>
        </w:rPr>
        <w:noBreakHyphen/>
        <w:t>ADI)</w:t>
      </w:r>
      <w:r w:rsidRPr="00380510">
        <w:rPr>
          <w:rFonts w:ascii="Times" w:hAnsi="Times" w:cs="Times"/>
          <w:b w:val="0"/>
          <w:noProof/>
          <w:sz w:val="18"/>
        </w:rPr>
        <w:tab/>
      </w:r>
      <w:r w:rsidRPr="00380510">
        <w:rPr>
          <w:rFonts w:ascii="Times" w:hAnsi="Times" w:cs="Times"/>
          <w:b w:val="0"/>
          <w:noProof/>
          <w:sz w:val="18"/>
        </w:rPr>
        <w:fldChar w:fldCharType="begin"/>
      </w:r>
      <w:r w:rsidRPr="00380510">
        <w:rPr>
          <w:rFonts w:ascii="Times" w:hAnsi="Times" w:cs="Times"/>
          <w:b w:val="0"/>
          <w:noProof/>
          <w:sz w:val="18"/>
        </w:rPr>
        <w:instrText xml:space="preserve"> PAGEREF _Toc338939256 \h </w:instrText>
      </w:r>
      <w:r w:rsidRPr="00380510">
        <w:rPr>
          <w:rFonts w:ascii="Times" w:hAnsi="Times" w:cs="Times"/>
          <w:b w:val="0"/>
          <w:noProof/>
          <w:sz w:val="18"/>
        </w:rPr>
      </w:r>
      <w:r w:rsidRPr="00380510">
        <w:rPr>
          <w:rFonts w:ascii="Times" w:hAnsi="Times" w:cs="Times"/>
          <w:b w:val="0"/>
          <w:noProof/>
          <w:sz w:val="18"/>
        </w:rPr>
        <w:fldChar w:fldCharType="separate"/>
      </w:r>
      <w:r w:rsidR="00623A5C">
        <w:rPr>
          <w:rFonts w:ascii="Times" w:hAnsi="Times" w:cs="Times"/>
          <w:b w:val="0"/>
          <w:noProof/>
          <w:sz w:val="18"/>
        </w:rPr>
        <w:t>145</w:t>
      </w:r>
      <w:r w:rsidRPr="00380510">
        <w:rPr>
          <w:rFonts w:ascii="Times" w:hAnsi="Times" w:cs="Times"/>
          <w:b w:val="0"/>
          <w:noProof/>
          <w:sz w:val="18"/>
        </w:rPr>
        <w:fldChar w:fldCharType="end"/>
      </w:r>
    </w:p>
    <w:p w:rsidR="00380510" w:rsidRDefault="00380510">
      <w:pPr>
        <w:pStyle w:val="TOC4"/>
        <w:rPr>
          <w:rFonts w:ascii="Calibri" w:hAnsi="Calibri"/>
          <w:b w:val="0"/>
          <w:noProof/>
          <w:kern w:val="0"/>
          <w:sz w:val="22"/>
          <w:szCs w:val="22"/>
        </w:rPr>
      </w:pPr>
      <w:r>
        <w:rPr>
          <w:noProof/>
        </w:rPr>
        <w:t>Guide to Subdivision 820</w:t>
      </w:r>
      <w:r>
        <w:rPr>
          <w:noProof/>
        </w:rPr>
        <w:noBreakHyphen/>
        <w:t>B</w:t>
      </w:r>
      <w:r w:rsidRPr="00380510">
        <w:rPr>
          <w:rFonts w:ascii="Times" w:hAnsi="Times" w:cs="Times"/>
          <w:b w:val="0"/>
          <w:noProof/>
          <w:sz w:val="18"/>
        </w:rPr>
        <w:tab/>
      </w:r>
      <w:r w:rsidRPr="00380510">
        <w:rPr>
          <w:rFonts w:ascii="Times" w:hAnsi="Times" w:cs="Times"/>
          <w:b w:val="0"/>
          <w:noProof/>
          <w:sz w:val="18"/>
        </w:rPr>
        <w:fldChar w:fldCharType="begin"/>
      </w:r>
      <w:r w:rsidRPr="00380510">
        <w:rPr>
          <w:rFonts w:ascii="Times" w:hAnsi="Times" w:cs="Times"/>
          <w:b w:val="0"/>
          <w:noProof/>
          <w:sz w:val="18"/>
        </w:rPr>
        <w:instrText xml:space="preserve"> PAGEREF _Toc338939257 \h </w:instrText>
      </w:r>
      <w:r w:rsidRPr="00380510">
        <w:rPr>
          <w:rFonts w:ascii="Times" w:hAnsi="Times" w:cs="Times"/>
          <w:b w:val="0"/>
          <w:noProof/>
          <w:sz w:val="18"/>
        </w:rPr>
      </w:r>
      <w:r w:rsidRPr="00380510">
        <w:rPr>
          <w:rFonts w:ascii="Times" w:hAnsi="Times" w:cs="Times"/>
          <w:b w:val="0"/>
          <w:noProof/>
          <w:sz w:val="18"/>
        </w:rPr>
        <w:fldChar w:fldCharType="separate"/>
      </w:r>
      <w:r w:rsidR="00623A5C">
        <w:rPr>
          <w:rFonts w:ascii="Times" w:hAnsi="Times" w:cs="Times"/>
          <w:b w:val="0"/>
          <w:noProof/>
          <w:sz w:val="18"/>
        </w:rPr>
        <w:t>145</w:t>
      </w:r>
      <w:r w:rsidRPr="00380510">
        <w:rPr>
          <w:rFonts w:ascii="Times" w:hAnsi="Times" w:cs="Times"/>
          <w:b w:val="0"/>
          <w:noProof/>
          <w:sz w:val="18"/>
        </w:rPr>
        <w:fldChar w:fldCharType="end"/>
      </w:r>
    </w:p>
    <w:p w:rsidR="00380510" w:rsidRDefault="00380510">
      <w:pPr>
        <w:pStyle w:val="TOC5"/>
        <w:rPr>
          <w:rFonts w:ascii="Calibri" w:hAnsi="Calibri"/>
          <w:iCs w:val="0"/>
          <w:noProof/>
          <w:kern w:val="0"/>
          <w:sz w:val="22"/>
          <w:szCs w:val="22"/>
        </w:rPr>
      </w:pPr>
      <w:r>
        <w:rPr>
          <w:noProof/>
        </w:rPr>
        <w:t>820</w:t>
      </w:r>
      <w:r>
        <w:rPr>
          <w:noProof/>
        </w:rPr>
        <w:noBreakHyphen/>
        <w:t>65</w:t>
      </w:r>
      <w:r>
        <w:rPr>
          <w:noProof/>
        </w:rPr>
        <w:tab/>
        <w:t>What this Subdivision is about</w:t>
      </w:r>
      <w:r w:rsidRPr="00380510">
        <w:rPr>
          <w:rFonts w:ascii="Times" w:hAnsi="Times" w:cs="Times"/>
          <w:noProof/>
        </w:rPr>
        <w:tab/>
      </w:r>
      <w:r w:rsidRPr="00380510">
        <w:rPr>
          <w:rFonts w:ascii="Times" w:hAnsi="Times" w:cs="Times"/>
          <w:noProof/>
        </w:rPr>
        <w:fldChar w:fldCharType="begin"/>
      </w:r>
      <w:r w:rsidRPr="00380510">
        <w:rPr>
          <w:rFonts w:ascii="Times" w:hAnsi="Times" w:cs="Times"/>
          <w:noProof/>
        </w:rPr>
        <w:instrText xml:space="preserve"> PAGEREF _Toc338939258 \h </w:instrText>
      </w:r>
      <w:r w:rsidRPr="00380510">
        <w:rPr>
          <w:rFonts w:ascii="Times" w:hAnsi="Times" w:cs="Times"/>
          <w:noProof/>
        </w:rPr>
      </w:r>
      <w:r w:rsidRPr="00380510">
        <w:rPr>
          <w:rFonts w:ascii="Times" w:hAnsi="Times" w:cs="Times"/>
          <w:noProof/>
        </w:rPr>
        <w:fldChar w:fldCharType="separate"/>
      </w:r>
      <w:r w:rsidR="00623A5C">
        <w:rPr>
          <w:rFonts w:ascii="Times" w:hAnsi="Times" w:cs="Times"/>
          <w:noProof/>
        </w:rPr>
        <w:t>145</w:t>
      </w:r>
      <w:r w:rsidRPr="00380510">
        <w:rPr>
          <w:rFonts w:ascii="Times" w:hAnsi="Times" w:cs="Times"/>
          <w:noProof/>
        </w:rPr>
        <w:fldChar w:fldCharType="end"/>
      </w:r>
    </w:p>
    <w:p w:rsidR="00380510" w:rsidRDefault="00380510">
      <w:pPr>
        <w:pStyle w:val="TOC4"/>
        <w:rPr>
          <w:rFonts w:ascii="Calibri" w:hAnsi="Calibri"/>
          <w:b w:val="0"/>
          <w:noProof/>
          <w:kern w:val="0"/>
          <w:sz w:val="22"/>
          <w:szCs w:val="22"/>
        </w:rPr>
      </w:pPr>
      <w:r>
        <w:rPr>
          <w:noProof/>
        </w:rPr>
        <w:t>Operative provisions</w:t>
      </w:r>
      <w:r w:rsidRPr="00380510">
        <w:rPr>
          <w:rFonts w:ascii="Times" w:hAnsi="Times" w:cs="Times"/>
          <w:b w:val="0"/>
          <w:noProof/>
          <w:sz w:val="18"/>
        </w:rPr>
        <w:tab/>
      </w:r>
      <w:r w:rsidRPr="00380510">
        <w:rPr>
          <w:rFonts w:ascii="Times" w:hAnsi="Times" w:cs="Times"/>
          <w:b w:val="0"/>
          <w:noProof/>
          <w:sz w:val="18"/>
        </w:rPr>
        <w:fldChar w:fldCharType="begin"/>
      </w:r>
      <w:r w:rsidRPr="00380510">
        <w:rPr>
          <w:rFonts w:ascii="Times" w:hAnsi="Times" w:cs="Times"/>
          <w:b w:val="0"/>
          <w:noProof/>
          <w:sz w:val="18"/>
        </w:rPr>
        <w:instrText xml:space="preserve"> PAGEREF _Toc338939259 \h </w:instrText>
      </w:r>
      <w:r w:rsidRPr="00380510">
        <w:rPr>
          <w:rFonts w:ascii="Times" w:hAnsi="Times" w:cs="Times"/>
          <w:b w:val="0"/>
          <w:noProof/>
          <w:sz w:val="18"/>
        </w:rPr>
      </w:r>
      <w:r w:rsidRPr="00380510">
        <w:rPr>
          <w:rFonts w:ascii="Times" w:hAnsi="Times" w:cs="Times"/>
          <w:b w:val="0"/>
          <w:noProof/>
          <w:sz w:val="18"/>
        </w:rPr>
        <w:fldChar w:fldCharType="separate"/>
      </w:r>
      <w:r w:rsidR="00623A5C">
        <w:rPr>
          <w:rFonts w:ascii="Times" w:hAnsi="Times" w:cs="Times"/>
          <w:b w:val="0"/>
          <w:noProof/>
          <w:sz w:val="18"/>
        </w:rPr>
        <w:t>146</w:t>
      </w:r>
      <w:r w:rsidRPr="00380510">
        <w:rPr>
          <w:rFonts w:ascii="Times" w:hAnsi="Times" w:cs="Times"/>
          <w:b w:val="0"/>
          <w:noProof/>
          <w:sz w:val="18"/>
        </w:rPr>
        <w:fldChar w:fldCharType="end"/>
      </w:r>
    </w:p>
    <w:p w:rsidR="00380510" w:rsidRDefault="00380510">
      <w:pPr>
        <w:pStyle w:val="TOC5"/>
        <w:rPr>
          <w:rFonts w:ascii="Calibri" w:hAnsi="Calibri"/>
          <w:iCs w:val="0"/>
          <w:noProof/>
          <w:kern w:val="0"/>
          <w:sz w:val="22"/>
          <w:szCs w:val="22"/>
        </w:rPr>
      </w:pPr>
      <w:r>
        <w:rPr>
          <w:noProof/>
        </w:rPr>
        <w:t>820</w:t>
      </w:r>
      <w:r>
        <w:rPr>
          <w:noProof/>
        </w:rPr>
        <w:noBreakHyphen/>
        <w:t>85</w:t>
      </w:r>
      <w:r>
        <w:rPr>
          <w:noProof/>
        </w:rPr>
        <w:tab/>
        <w:t>Thin capitalisation rule for outward investing entities (non</w:t>
      </w:r>
      <w:r>
        <w:rPr>
          <w:noProof/>
        </w:rPr>
        <w:noBreakHyphen/>
        <w:t>ADI)</w:t>
      </w:r>
      <w:r w:rsidRPr="00380510">
        <w:rPr>
          <w:rFonts w:ascii="Times" w:hAnsi="Times" w:cs="Times"/>
          <w:noProof/>
        </w:rPr>
        <w:tab/>
      </w:r>
      <w:r w:rsidRPr="00380510">
        <w:rPr>
          <w:rFonts w:ascii="Times" w:hAnsi="Times" w:cs="Times"/>
          <w:noProof/>
        </w:rPr>
        <w:fldChar w:fldCharType="begin"/>
      </w:r>
      <w:r w:rsidRPr="00380510">
        <w:rPr>
          <w:rFonts w:ascii="Times" w:hAnsi="Times" w:cs="Times"/>
          <w:noProof/>
        </w:rPr>
        <w:instrText xml:space="preserve"> PAGEREF _Toc338939260 \h </w:instrText>
      </w:r>
      <w:r w:rsidRPr="00380510">
        <w:rPr>
          <w:rFonts w:ascii="Times" w:hAnsi="Times" w:cs="Times"/>
          <w:noProof/>
        </w:rPr>
      </w:r>
      <w:r w:rsidRPr="00380510">
        <w:rPr>
          <w:rFonts w:ascii="Times" w:hAnsi="Times" w:cs="Times"/>
          <w:noProof/>
        </w:rPr>
        <w:fldChar w:fldCharType="separate"/>
      </w:r>
      <w:r w:rsidR="00623A5C">
        <w:rPr>
          <w:rFonts w:ascii="Times" w:hAnsi="Times" w:cs="Times"/>
          <w:noProof/>
        </w:rPr>
        <w:t>146</w:t>
      </w:r>
      <w:r w:rsidRPr="00380510">
        <w:rPr>
          <w:rFonts w:ascii="Times" w:hAnsi="Times" w:cs="Times"/>
          <w:noProof/>
        </w:rPr>
        <w:fldChar w:fldCharType="end"/>
      </w:r>
    </w:p>
    <w:p w:rsidR="00380510" w:rsidRDefault="00380510">
      <w:pPr>
        <w:pStyle w:val="TOC5"/>
        <w:rPr>
          <w:rFonts w:ascii="Calibri" w:hAnsi="Calibri"/>
          <w:iCs w:val="0"/>
          <w:noProof/>
          <w:kern w:val="0"/>
          <w:sz w:val="22"/>
          <w:szCs w:val="22"/>
        </w:rPr>
      </w:pPr>
      <w:r>
        <w:rPr>
          <w:noProof/>
        </w:rPr>
        <w:t>820</w:t>
      </w:r>
      <w:r>
        <w:rPr>
          <w:noProof/>
        </w:rPr>
        <w:noBreakHyphen/>
        <w:t>90</w:t>
      </w:r>
      <w:r>
        <w:rPr>
          <w:noProof/>
        </w:rPr>
        <w:tab/>
        <w:t>Maximum allowable debt</w:t>
      </w:r>
      <w:r w:rsidRPr="00380510">
        <w:rPr>
          <w:rFonts w:ascii="Times" w:hAnsi="Times" w:cs="Times"/>
          <w:noProof/>
        </w:rPr>
        <w:tab/>
      </w:r>
      <w:r w:rsidRPr="00380510">
        <w:rPr>
          <w:rFonts w:ascii="Times" w:hAnsi="Times" w:cs="Times"/>
          <w:noProof/>
        </w:rPr>
        <w:fldChar w:fldCharType="begin"/>
      </w:r>
      <w:r w:rsidRPr="00380510">
        <w:rPr>
          <w:rFonts w:ascii="Times" w:hAnsi="Times" w:cs="Times"/>
          <w:noProof/>
        </w:rPr>
        <w:instrText xml:space="preserve"> PAGEREF _Toc338939261 \h </w:instrText>
      </w:r>
      <w:r w:rsidRPr="00380510">
        <w:rPr>
          <w:rFonts w:ascii="Times" w:hAnsi="Times" w:cs="Times"/>
          <w:noProof/>
        </w:rPr>
      </w:r>
      <w:r w:rsidRPr="00380510">
        <w:rPr>
          <w:rFonts w:ascii="Times" w:hAnsi="Times" w:cs="Times"/>
          <w:noProof/>
        </w:rPr>
        <w:fldChar w:fldCharType="separate"/>
      </w:r>
      <w:r w:rsidR="00623A5C">
        <w:rPr>
          <w:rFonts w:ascii="Times" w:hAnsi="Times" w:cs="Times"/>
          <w:noProof/>
        </w:rPr>
        <w:t>149</w:t>
      </w:r>
      <w:r w:rsidRPr="00380510">
        <w:rPr>
          <w:rFonts w:ascii="Times" w:hAnsi="Times" w:cs="Times"/>
          <w:noProof/>
        </w:rPr>
        <w:fldChar w:fldCharType="end"/>
      </w:r>
    </w:p>
    <w:p w:rsidR="00380510" w:rsidRDefault="00380510">
      <w:pPr>
        <w:pStyle w:val="TOC5"/>
        <w:rPr>
          <w:rFonts w:ascii="Calibri" w:hAnsi="Calibri"/>
          <w:iCs w:val="0"/>
          <w:noProof/>
          <w:kern w:val="0"/>
          <w:sz w:val="22"/>
          <w:szCs w:val="22"/>
        </w:rPr>
      </w:pPr>
      <w:r>
        <w:rPr>
          <w:noProof/>
        </w:rPr>
        <w:t>820</w:t>
      </w:r>
      <w:r>
        <w:rPr>
          <w:noProof/>
        </w:rPr>
        <w:noBreakHyphen/>
        <w:t>95</w:t>
      </w:r>
      <w:r>
        <w:rPr>
          <w:noProof/>
        </w:rPr>
        <w:tab/>
        <w:t>Safe harbour debt amount—outward investor (general)</w:t>
      </w:r>
      <w:r w:rsidRPr="00380510">
        <w:rPr>
          <w:rFonts w:ascii="Times" w:hAnsi="Times" w:cs="Times"/>
          <w:noProof/>
        </w:rPr>
        <w:tab/>
      </w:r>
      <w:r w:rsidRPr="00380510">
        <w:rPr>
          <w:rFonts w:ascii="Times" w:hAnsi="Times" w:cs="Times"/>
          <w:noProof/>
        </w:rPr>
        <w:fldChar w:fldCharType="begin"/>
      </w:r>
      <w:r w:rsidRPr="00380510">
        <w:rPr>
          <w:rFonts w:ascii="Times" w:hAnsi="Times" w:cs="Times"/>
          <w:noProof/>
        </w:rPr>
        <w:instrText xml:space="preserve"> PAGEREF _Toc338939262 \h </w:instrText>
      </w:r>
      <w:r w:rsidRPr="00380510">
        <w:rPr>
          <w:rFonts w:ascii="Times" w:hAnsi="Times" w:cs="Times"/>
          <w:noProof/>
        </w:rPr>
      </w:r>
      <w:r w:rsidRPr="00380510">
        <w:rPr>
          <w:rFonts w:ascii="Times" w:hAnsi="Times" w:cs="Times"/>
          <w:noProof/>
        </w:rPr>
        <w:fldChar w:fldCharType="separate"/>
      </w:r>
      <w:r w:rsidR="00623A5C">
        <w:rPr>
          <w:rFonts w:ascii="Times" w:hAnsi="Times" w:cs="Times"/>
          <w:noProof/>
        </w:rPr>
        <w:t>150</w:t>
      </w:r>
      <w:r w:rsidRPr="00380510">
        <w:rPr>
          <w:rFonts w:ascii="Times" w:hAnsi="Times" w:cs="Times"/>
          <w:noProof/>
        </w:rPr>
        <w:fldChar w:fldCharType="end"/>
      </w:r>
    </w:p>
    <w:p w:rsidR="00380510" w:rsidRDefault="00380510">
      <w:pPr>
        <w:pStyle w:val="TOC5"/>
        <w:rPr>
          <w:rFonts w:ascii="Calibri" w:hAnsi="Calibri"/>
          <w:iCs w:val="0"/>
          <w:noProof/>
          <w:kern w:val="0"/>
          <w:sz w:val="22"/>
          <w:szCs w:val="22"/>
        </w:rPr>
      </w:pPr>
      <w:r>
        <w:rPr>
          <w:noProof/>
        </w:rPr>
        <w:t>820</w:t>
      </w:r>
      <w:r>
        <w:rPr>
          <w:noProof/>
        </w:rPr>
        <w:noBreakHyphen/>
        <w:t>100</w:t>
      </w:r>
      <w:r>
        <w:rPr>
          <w:noProof/>
        </w:rPr>
        <w:tab/>
        <w:t>Safe harbour debt amount—outward investor (financial)</w:t>
      </w:r>
      <w:r w:rsidRPr="00380510">
        <w:rPr>
          <w:rFonts w:ascii="Times" w:hAnsi="Times" w:cs="Times"/>
          <w:noProof/>
        </w:rPr>
        <w:tab/>
      </w:r>
      <w:r w:rsidRPr="00380510">
        <w:rPr>
          <w:rFonts w:ascii="Times" w:hAnsi="Times" w:cs="Times"/>
          <w:noProof/>
        </w:rPr>
        <w:fldChar w:fldCharType="begin"/>
      </w:r>
      <w:r w:rsidRPr="00380510">
        <w:rPr>
          <w:rFonts w:ascii="Times" w:hAnsi="Times" w:cs="Times"/>
          <w:noProof/>
        </w:rPr>
        <w:instrText xml:space="preserve"> PAGEREF _Toc338939263 \h </w:instrText>
      </w:r>
      <w:r w:rsidRPr="00380510">
        <w:rPr>
          <w:rFonts w:ascii="Times" w:hAnsi="Times" w:cs="Times"/>
          <w:noProof/>
        </w:rPr>
      </w:r>
      <w:r w:rsidRPr="00380510">
        <w:rPr>
          <w:rFonts w:ascii="Times" w:hAnsi="Times" w:cs="Times"/>
          <w:noProof/>
        </w:rPr>
        <w:fldChar w:fldCharType="separate"/>
      </w:r>
      <w:r w:rsidR="00623A5C">
        <w:rPr>
          <w:rFonts w:ascii="Times" w:hAnsi="Times" w:cs="Times"/>
          <w:noProof/>
        </w:rPr>
        <w:t>151</w:t>
      </w:r>
      <w:r w:rsidRPr="00380510">
        <w:rPr>
          <w:rFonts w:ascii="Times" w:hAnsi="Times" w:cs="Times"/>
          <w:noProof/>
        </w:rPr>
        <w:fldChar w:fldCharType="end"/>
      </w:r>
    </w:p>
    <w:p w:rsidR="00380510" w:rsidRDefault="00380510">
      <w:pPr>
        <w:pStyle w:val="TOC5"/>
        <w:rPr>
          <w:rFonts w:ascii="Calibri" w:hAnsi="Calibri"/>
          <w:iCs w:val="0"/>
          <w:noProof/>
          <w:kern w:val="0"/>
          <w:sz w:val="22"/>
          <w:szCs w:val="22"/>
        </w:rPr>
      </w:pPr>
      <w:r>
        <w:rPr>
          <w:noProof/>
        </w:rPr>
        <w:t>820</w:t>
      </w:r>
      <w:r>
        <w:rPr>
          <w:noProof/>
        </w:rPr>
        <w:noBreakHyphen/>
        <w:t>105</w:t>
      </w:r>
      <w:r>
        <w:rPr>
          <w:noProof/>
        </w:rPr>
        <w:tab/>
        <w:t>Arm’s length debt amount</w:t>
      </w:r>
      <w:r w:rsidRPr="00380510">
        <w:rPr>
          <w:rFonts w:ascii="Times" w:hAnsi="Times" w:cs="Times"/>
          <w:noProof/>
        </w:rPr>
        <w:tab/>
      </w:r>
      <w:r w:rsidRPr="00380510">
        <w:rPr>
          <w:rFonts w:ascii="Times" w:hAnsi="Times" w:cs="Times"/>
          <w:noProof/>
        </w:rPr>
        <w:fldChar w:fldCharType="begin"/>
      </w:r>
      <w:r w:rsidRPr="00380510">
        <w:rPr>
          <w:rFonts w:ascii="Times" w:hAnsi="Times" w:cs="Times"/>
          <w:noProof/>
        </w:rPr>
        <w:instrText xml:space="preserve"> PAGEREF _Toc338939264 \h </w:instrText>
      </w:r>
      <w:r w:rsidRPr="00380510">
        <w:rPr>
          <w:rFonts w:ascii="Times" w:hAnsi="Times" w:cs="Times"/>
          <w:noProof/>
        </w:rPr>
      </w:r>
      <w:r w:rsidRPr="00380510">
        <w:rPr>
          <w:rFonts w:ascii="Times" w:hAnsi="Times" w:cs="Times"/>
          <w:noProof/>
        </w:rPr>
        <w:fldChar w:fldCharType="separate"/>
      </w:r>
      <w:r w:rsidR="00623A5C">
        <w:rPr>
          <w:rFonts w:ascii="Times" w:hAnsi="Times" w:cs="Times"/>
          <w:noProof/>
        </w:rPr>
        <w:t>155</w:t>
      </w:r>
      <w:r w:rsidRPr="00380510">
        <w:rPr>
          <w:rFonts w:ascii="Times" w:hAnsi="Times" w:cs="Times"/>
          <w:noProof/>
        </w:rPr>
        <w:fldChar w:fldCharType="end"/>
      </w:r>
    </w:p>
    <w:p w:rsidR="00380510" w:rsidRDefault="00380510">
      <w:pPr>
        <w:pStyle w:val="TOC5"/>
        <w:rPr>
          <w:rFonts w:ascii="Calibri" w:hAnsi="Calibri"/>
          <w:iCs w:val="0"/>
          <w:noProof/>
          <w:kern w:val="0"/>
          <w:sz w:val="22"/>
          <w:szCs w:val="22"/>
        </w:rPr>
      </w:pPr>
      <w:r>
        <w:rPr>
          <w:noProof/>
        </w:rPr>
        <w:t>820</w:t>
      </w:r>
      <w:r>
        <w:rPr>
          <w:noProof/>
        </w:rPr>
        <w:noBreakHyphen/>
        <w:t>110</w:t>
      </w:r>
      <w:r>
        <w:rPr>
          <w:noProof/>
        </w:rPr>
        <w:tab/>
        <w:t>Worldwide gearing debt amount</w:t>
      </w:r>
      <w:r w:rsidRPr="00380510">
        <w:rPr>
          <w:rFonts w:ascii="Times" w:hAnsi="Times" w:cs="Times"/>
          <w:noProof/>
        </w:rPr>
        <w:tab/>
      </w:r>
      <w:r w:rsidRPr="00380510">
        <w:rPr>
          <w:rFonts w:ascii="Times" w:hAnsi="Times" w:cs="Times"/>
          <w:noProof/>
        </w:rPr>
        <w:fldChar w:fldCharType="begin"/>
      </w:r>
      <w:r w:rsidRPr="00380510">
        <w:rPr>
          <w:rFonts w:ascii="Times" w:hAnsi="Times" w:cs="Times"/>
          <w:noProof/>
        </w:rPr>
        <w:instrText xml:space="preserve"> PAGEREF _Toc338939265 \h </w:instrText>
      </w:r>
      <w:r w:rsidRPr="00380510">
        <w:rPr>
          <w:rFonts w:ascii="Times" w:hAnsi="Times" w:cs="Times"/>
          <w:noProof/>
        </w:rPr>
      </w:r>
      <w:r w:rsidRPr="00380510">
        <w:rPr>
          <w:rFonts w:ascii="Times" w:hAnsi="Times" w:cs="Times"/>
          <w:noProof/>
        </w:rPr>
        <w:fldChar w:fldCharType="separate"/>
      </w:r>
      <w:r w:rsidR="00623A5C">
        <w:rPr>
          <w:rFonts w:ascii="Times" w:hAnsi="Times" w:cs="Times"/>
          <w:noProof/>
        </w:rPr>
        <w:t>158</w:t>
      </w:r>
      <w:r w:rsidRPr="00380510">
        <w:rPr>
          <w:rFonts w:ascii="Times" w:hAnsi="Times" w:cs="Times"/>
          <w:noProof/>
        </w:rPr>
        <w:fldChar w:fldCharType="end"/>
      </w:r>
    </w:p>
    <w:p w:rsidR="00380510" w:rsidRDefault="00380510">
      <w:pPr>
        <w:pStyle w:val="TOC5"/>
        <w:rPr>
          <w:rFonts w:ascii="Calibri" w:hAnsi="Calibri"/>
          <w:iCs w:val="0"/>
          <w:noProof/>
          <w:kern w:val="0"/>
          <w:sz w:val="22"/>
          <w:szCs w:val="22"/>
        </w:rPr>
      </w:pPr>
      <w:r>
        <w:rPr>
          <w:noProof/>
        </w:rPr>
        <w:t>820</w:t>
      </w:r>
      <w:r>
        <w:rPr>
          <w:noProof/>
        </w:rPr>
        <w:noBreakHyphen/>
        <w:t>115</w:t>
      </w:r>
      <w:r>
        <w:rPr>
          <w:noProof/>
        </w:rPr>
        <w:tab/>
        <w:t>Amount of debt deduction disallowed</w:t>
      </w:r>
      <w:r w:rsidRPr="00380510">
        <w:rPr>
          <w:rFonts w:ascii="Times" w:hAnsi="Times" w:cs="Times"/>
          <w:noProof/>
        </w:rPr>
        <w:tab/>
      </w:r>
      <w:r w:rsidRPr="00380510">
        <w:rPr>
          <w:rFonts w:ascii="Times" w:hAnsi="Times" w:cs="Times"/>
          <w:noProof/>
        </w:rPr>
        <w:fldChar w:fldCharType="begin"/>
      </w:r>
      <w:r w:rsidRPr="00380510">
        <w:rPr>
          <w:rFonts w:ascii="Times" w:hAnsi="Times" w:cs="Times"/>
          <w:noProof/>
        </w:rPr>
        <w:instrText xml:space="preserve"> PAGEREF _Toc338939266 \h </w:instrText>
      </w:r>
      <w:r w:rsidRPr="00380510">
        <w:rPr>
          <w:rFonts w:ascii="Times" w:hAnsi="Times" w:cs="Times"/>
          <w:noProof/>
        </w:rPr>
      </w:r>
      <w:r w:rsidRPr="00380510">
        <w:rPr>
          <w:rFonts w:ascii="Times" w:hAnsi="Times" w:cs="Times"/>
          <w:noProof/>
        </w:rPr>
        <w:fldChar w:fldCharType="separate"/>
      </w:r>
      <w:r w:rsidR="00623A5C">
        <w:rPr>
          <w:rFonts w:ascii="Times" w:hAnsi="Times" w:cs="Times"/>
          <w:noProof/>
        </w:rPr>
        <w:t>160</w:t>
      </w:r>
      <w:r w:rsidRPr="00380510">
        <w:rPr>
          <w:rFonts w:ascii="Times" w:hAnsi="Times" w:cs="Times"/>
          <w:noProof/>
        </w:rPr>
        <w:fldChar w:fldCharType="end"/>
      </w:r>
    </w:p>
    <w:p w:rsidR="00380510" w:rsidRDefault="00380510">
      <w:pPr>
        <w:pStyle w:val="TOC5"/>
        <w:rPr>
          <w:rFonts w:ascii="Calibri" w:hAnsi="Calibri"/>
          <w:iCs w:val="0"/>
          <w:noProof/>
          <w:kern w:val="0"/>
          <w:sz w:val="22"/>
          <w:szCs w:val="22"/>
        </w:rPr>
      </w:pPr>
      <w:r>
        <w:rPr>
          <w:noProof/>
        </w:rPr>
        <w:lastRenderedPageBreak/>
        <w:t>820</w:t>
      </w:r>
      <w:r>
        <w:rPr>
          <w:noProof/>
        </w:rPr>
        <w:noBreakHyphen/>
        <w:t>120</w:t>
      </w:r>
      <w:r>
        <w:rPr>
          <w:noProof/>
        </w:rPr>
        <w:tab/>
        <w:t>Application to part year periods</w:t>
      </w:r>
      <w:r w:rsidRPr="00380510">
        <w:rPr>
          <w:rFonts w:ascii="Times" w:hAnsi="Times" w:cs="Times"/>
          <w:noProof/>
        </w:rPr>
        <w:tab/>
      </w:r>
      <w:r w:rsidRPr="00380510">
        <w:rPr>
          <w:rFonts w:ascii="Times" w:hAnsi="Times" w:cs="Times"/>
          <w:noProof/>
        </w:rPr>
        <w:fldChar w:fldCharType="begin"/>
      </w:r>
      <w:r w:rsidRPr="00380510">
        <w:rPr>
          <w:rFonts w:ascii="Times" w:hAnsi="Times" w:cs="Times"/>
          <w:noProof/>
        </w:rPr>
        <w:instrText xml:space="preserve"> PAGEREF _Toc338939267 \h </w:instrText>
      </w:r>
      <w:r w:rsidRPr="00380510">
        <w:rPr>
          <w:rFonts w:ascii="Times" w:hAnsi="Times" w:cs="Times"/>
          <w:noProof/>
        </w:rPr>
      </w:r>
      <w:r w:rsidRPr="00380510">
        <w:rPr>
          <w:rFonts w:ascii="Times" w:hAnsi="Times" w:cs="Times"/>
          <w:noProof/>
        </w:rPr>
        <w:fldChar w:fldCharType="separate"/>
      </w:r>
      <w:r w:rsidR="00623A5C">
        <w:rPr>
          <w:rFonts w:ascii="Times" w:hAnsi="Times" w:cs="Times"/>
          <w:noProof/>
        </w:rPr>
        <w:t>160</w:t>
      </w:r>
      <w:r w:rsidRPr="00380510">
        <w:rPr>
          <w:rFonts w:ascii="Times" w:hAnsi="Times" w:cs="Times"/>
          <w:noProof/>
        </w:rPr>
        <w:fldChar w:fldCharType="end"/>
      </w:r>
    </w:p>
    <w:p w:rsidR="00380510" w:rsidRDefault="00380510">
      <w:pPr>
        <w:pStyle w:val="TOC4"/>
        <w:rPr>
          <w:rFonts w:ascii="Calibri" w:hAnsi="Calibri"/>
          <w:b w:val="0"/>
          <w:noProof/>
          <w:kern w:val="0"/>
          <w:sz w:val="22"/>
          <w:szCs w:val="22"/>
        </w:rPr>
      </w:pPr>
      <w:r>
        <w:rPr>
          <w:noProof/>
        </w:rPr>
        <w:t>Subdivision 820</w:t>
      </w:r>
      <w:r>
        <w:rPr>
          <w:noProof/>
        </w:rPr>
        <w:noBreakHyphen/>
        <w:t>C—Thin capitalisation rules for inward investing entities (non</w:t>
      </w:r>
      <w:r>
        <w:rPr>
          <w:noProof/>
        </w:rPr>
        <w:noBreakHyphen/>
        <w:t>ADI)</w:t>
      </w:r>
      <w:r w:rsidRPr="00380510">
        <w:rPr>
          <w:rFonts w:ascii="Times" w:hAnsi="Times" w:cs="Times"/>
          <w:b w:val="0"/>
          <w:noProof/>
          <w:sz w:val="18"/>
        </w:rPr>
        <w:tab/>
      </w:r>
      <w:r w:rsidRPr="00380510">
        <w:rPr>
          <w:rFonts w:ascii="Times" w:hAnsi="Times" w:cs="Times"/>
          <w:b w:val="0"/>
          <w:noProof/>
          <w:sz w:val="18"/>
        </w:rPr>
        <w:fldChar w:fldCharType="begin"/>
      </w:r>
      <w:r w:rsidRPr="00380510">
        <w:rPr>
          <w:rFonts w:ascii="Times" w:hAnsi="Times" w:cs="Times"/>
          <w:b w:val="0"/>
          <w:noProof/>
          <w:sz w:val="18"/>
        </w:rPr>
        <w:instrText xml:space="preserve"> PAGEREF _Toc338939268 \h </w:instrText>
      </w:r>
      <w:r w:rsidRPr="00380510">
        <w:rPr>
          <w:rFonts w:ascii="Times" w:hAnsi="Times" w:cs="Times"/>
          <w:b w:val="0"/>
          <w:noProof/>
          <w:sz w:val="18"/>
        </w:rPr>
      </w:r>
      <w:r w:rsidRPr="00380510">
        <w:rPr>
          <w:rFonts w:ascii="Times" w:hAnsi="Times" w:cs="Times"/>
          <w:b w:val="0"/>
          <w:noProof/>
          <w:sz w:val="18"/>
        </w:rPr>
        <w:fldChar w:fldCharType="separate"/>
      </w:r>
      <w:r w:rsidR="00623A5C">
        <w:rPr>
          <w:rFonts w:ascii="Times" w:hAnsi="Times" w:cs="Times"/>
          <w:b w:val="0"/>
          <w:noProof/>
          <w:sz w:val="18"/>
        </w:rPr>
        <w:t>162</w:t>
      </w:r>
      <w:r w:rsidRPr="00380510">
        <w:rPr>
          <w:rFonts w:ascii="Times" w:hAnsi="Times" w:cs="Times"/>
          <w:b w:val="0"/>
          <w:noProof/>
          <w:sz w:val="18"/>
        </w:rPr>
        <w:fldChar w:fldCharType="end"/>
      </w:r>
    </w:p>
    <w:p w:rsidR="00380510" w:rsidRDefault="00380510">
      <w:pPr>
        <w:pStyle w:val="TOC4"/>
        <w:rPr>
          <w:rFonts w:ascii="Calibri" w:hAnsi="Calibri"/>
          <w:b w:val="0"/>
          <w:noProof/>
          <w:kern w:val="0"/>
          <w:sz w:val="22"/>
          <w:szCs w:val="22"/>
        </w:rPr>
      </w:pPr>
      <w:r>
        <w:rPr>
          <w:noProof/>
        </w:rPr>
        <w:t>Guide to Subdivision 820</w:t>
      </w:r>
      <w:r>
        <w:rPr>
          <w:noProof/>
        </w:rPr>
        <w:noBreakHyphen/>
        <w:t>C</w:t>
      </w:r>
      <w:r w:rsidRPr="00380510">
        <w:rPr>
          <w:rFonts w:ascii="Times" w:hAnsi="Times" w:cs="Times"/>
          <w:b w:val="0"/>
          <w:noProof/>
          <w:sz w:val="18"/>
        </w:rPr>
        <w:tab/>
      </w:r>
      <w:r w:rsidRPr="00380510">
        <w:rPr>
          <w:rFonts w:ascii="Times" w:hAnsi="Times" w:cs="Times"/>
          <w:b w:val="0"/>
          <w:noProof/>
          <w:sz w:val="18"/>
        </w:rPr>
        <w:fldChar w:fldCharType="begin"/>
      </w:r>
      <w:r w:rsidRPr="00380510">
        <w:rPr>
          <w:rFonts w:ascii="Times" w:hAnsi="Times" w:cs="Times"/>
          <w:b w:val="0"/>
          <w:noProof/>
          <w:sz w:val="18"/>
        </w:rPr>
        <w:instrText xml:space="preserve"> PAGEREF _Toc338939269 \h </w:instrText>
      </w:r>
      <w:r w:rsidRPr="00380510">
        <w:rPr>
          <w:rFonts w:ascii="Times" w:hAnsi="Times" w:cs="Times"/>
          <w:b w:val="0"/>
          <w:noProof/>
          <w:sz w:val="18"/>
        </w:rPr>
      </w:r>
      <w:r w:rsidRPr="00380510">
        <w:rPr>
          <w:rFonts w:ascii="Times" w:hAnsi="Times" w:cs="Times"/>
          <w:b w:val="0"/>
          <w:noProof/>
          <w:sz w:val="18"/>
        </w:rPr>
        <w:fldChar w:fldCharType="separate"/>
      </w:r>
      <w:r w:rsidR="00623A5C">
        <w:rPr>
          <w:rFonts w:ascii="Times" w:hAnsi="Times" w:cs="Times"/>
          <w:b w:val="0"/>
          <w:noProof/>
          <w:sz w:val="18"/>
        </w:rPr>
        <w:t>162</w:t>
      </w:r>
      <w:r w:rsidRPr="00380510">
        <w:rPr>
          <w:rFonts w:ascii="Times" w:hAnsi="Times" w:cs="Times"/>
          <w:b w:val="0"/>
          <w:noProof/>
          <w:sz w:val="18"/>
        </w:rPr>
        <w:fldChar w:fldCharType="end"/>
      </w:r>
    </w:p>
    <w:p w:rsidR="00380510" w:rsidRDefault="00380510">
      <w:pPr>
        <w:pStyle w:val="TOC5"/>
        <w:rPr>
          <w:rFonts w:ascii="Calibri" w:hAnsi="Calibri"/>
          <w:iCs w:val="0"/>
          <w:noProof/>
          <w:kern w:val="0"/>
          <w:sz w:val="22"/>
          <w:szCs w:val="22"/>
        </w:rPr>
      </w:pPr>
      <w:r>
        <w:rPr>
          <w:noProof/>
        </w:rPr>
        <w:t>820</w:t>
      </w:r>
      <w:r>
        <w:rPr>
          <w:noProof/>
        </w:rPr>
        <w:noBreakHyphen/>
        <w:t>180</w:t>
      </w:r>
      <w:r>
        <w:rPr>
          <w:noProof/>
        </w:rPr>
        <w:tab/>
        <w:t>What this Subdivision is about</w:t>
      </w:r>
      <w:r w:rsidRPr="00380510">
        <w:rPr>
          <w:rFonts w:ascii="Times" w:hAnsi="Times" w:cs="Times"/>
          <w:noProof/>
        </w:rPr>
        <w:tab/>
      </w:r>
      <w:r w:rsidRPr="00380510">
        <w:rPr>
          <w:rFonts w:ascii="Times" w:hAnsi="Times" w:cs="Times"/>
          <w:noProof/>
        </w:rPr>
        <w:fldChar w:fldCharType="begin"/>
      </w:r>
      <w:r w:rsidRPr="00380510">
        <w:rPr>
          <w:rFonts w:ascii="Times" w:hAnsi="Times" w:cs="Times"/>
          <w:noProof/>
        </w:rPr>
        <w:instrText xml:space="preserve"> PAGEREF _Toc338939270 \h </w:instrText>
      </w:r>
      <w:r w:rsidRPr="00380510">
        <w:rPr>
          <w:rFonts w:ascii="Times" w:hAnsi="Times" w:cs="Times"/>
          <w:noProof/>
        </w:rPr>
      </w:r>
      <w:r w:rsidRPr="00380510">
        <w:rPr>
          <w:rFonts w:ascii="Times" w:hAnsi="Times" w:cs="Times"/>
          <w:noProof/>
        </w:rPr>
        <w:fldChar w:fldCharType="separate"/>
      </w:r>
      <w:r w:rsidR="00623A5C">
        <w:rPr>
          <w:rFonts w:ascii="Times" w:hAnsi="Times" w:cs="Times"/>
          <w:noProof/>
        </w:rPr>
        <w:t>162</w:t>
      </w:r>
      <w:r w:rsidRPr="00380510">
        <w:rPr>
          <w:rFonts w:ascii="Times" w:hAnsi="Times" w:cs="Times"/>
          <w:noProof/>
        </w:rPr>
        <w:fldChar w:fldCharType="end"/>
      </w:r>
    </w:p>
    <w:p w:rsidR="00380510" w:rsidRDefault="00380510">
      <w:pPr>
        <w:pStyle w:val="TOC4"/>
        <w:rPr>
          <w:rFonts w:ascii="Calibri" w:hAnsi="Calibri"/>
          <w:b w:val="0"/>
          <w:noProof/>
          <w:kern w:val="0"/>
          <w:sz w:val="22"/>
          <w:szCs w:val="22"/>
        </w:rPr>
      </w:pPr>
      <w:r>
        <w:rPr>
          <w:noProof/>
        </w:rPr>
        <w:t>Operative provisions</w:t>
      </w:r>
      <w:r w:rsidRPr="00380510">
        <w:rPr>
          <w:rFonts w:ascii="Times" w:hAnsi="Times" w:cs="Times"/>
          <w:b w:val="0"/>
          <w:noProof/>
          <w:sz w:val="18"/>
        </w:rPr>
        <w:tab/>
      </w:r>
      <w:r w:rsidRPr="00380510">
        <w:rPr>
          <w:rFonts w:ascii="Times" w:hAnsi="Times" w:cs="Times"/>
          <w:b w:val="0"/>
          <w:noProof/>
          <w:sz w:val="18"/>
        </w:rPr>
        <w:fldChar w:fldCharType="begin"/>
      </w:r>
      <w:r w:rsidRPr="00380510">
        <w:rPr>
          <w:rFonts w:ascii="Times" w:hAnsi="Times" w:cs="Times"/>
          <w:b w:val="0"/>
          <w:noProof/>
          <w:sz w:val="18"/>
        </w:rPr>
        <w:instrText xml:space="preserve"> PAGEREF _Toc338939271 \h </w:instrText>
      </w:r>
      <w:r w:rsidRPr="00380510">
        <w:rPr>
          <w:rFonts w:ascii="Times" w:hAnsi="Times" w:cs="Times"/>
          <w:b w:val="0"/>
          <w:noProof/>
          <w:sz w:val="18"/>
        </w:rPr>
      </w:r>
      <w:r w:rsidRPr="00380510">
        <w:rPr>
          <w:rFonts w:ascii="Times" w:hAnsi="Times" w:cs="Times"/>
          <w:b w:val="0"/>
          <w:noProof/>
          <w:sz w:val="18"/>
        </w:rPr>
        <w:fldChar w:fldCharType="separate"/>
      </w:r>
      <w:r w:rsidR="00623A5C">
        <w:rPr>
          <w:rFonts w:ascii="Times" w:hAnsi="Times" w:cs="Times"/>
          <w:b w:val="0"/>
          <w:noProof/>
          <w:sz w:val="18"/>
        </w:rPr>
        <w:t>163</w:t>
      </w:r>
      <w:r w:rsidRPr="00380510">
        <w:rPr>
          <w:rFonts w:ascii="Times" w:hAnsi="Times" w:cs="Times"/>
          <w:b w:val="0"/>
          <w:noProof/>
          <w:sz w:val="18"/>
        </w:rPr>
        <w:fldChar w:fldCharType="end"/>
      </w:r>
    </w:p>
    <w:p w:rsidR="00380510" w:rsidRDefault="00380510">
      <w:pPr>
        <w:pStyle w:val="TOC5"/>
        <w:rPr>
          <w:rFonts w:ascii="Calibri" w:hAnsi="Calibri"/>
          <w:iCs w:val="0"/>
          <w:noProof/>
          <w:kern w:val="0"/>
          <w:sz w:val="22"/>
          <w:szCs w:val="22"/>
        </w:rPr>
      </w:pPr>
      <w:r>
        <w:rPr>
          <w:noProof/>
        </w:rPr>
        <w:t>820</w:t>
      </w:r>
      <w:r>
        <w:rPr>
          <w:noProof/>
        </w:rPr>
        <w:noBreakHyphen/>
        <w:t>185</w:t>
      </w:r>
      <w:r>
        <w:rPr>
          <w:noProof/>
        </w:rPr>
        <w:tab/>
        <w:t>Thin capitalisation rule for inward investing entities (non</w:t>
      </w:r>
      <w:r>
        <w:rPr>
          <w:noProof/>
        </w:rPr>
        <w:noBreakHyphen/>
        <w:t>ADI)</w:t>
      </w:r>
      <w:r w:rsidRPr="00380510">
        <w:rPr>
          <w:rFonts w:ascii="Times" w:hAnsi="Times" w:cs="Times"/>
          <w:noProof/>
        </w:rPr>
        <w:tab/>
      </w:r>
      <w:r w:rsidRPr="00380510">
        <w:rPr>
          <w:rFonts w:ascii="Times" w:hAnsi="Times" w:cs="Times"/>
          <w:noProof/>
        </w:rPr>
        <w:fldChar w:fldCharType="begin"/>
      </w:r>
      <w:r w:rsidRPr="00380510">
        <w:rPr>
          <w:rFonts w:ascii="Times" w:hAnsi="Times" w:cs="Times"/>
          <w:noProof/>
        </w:rPr>
        <w:instrText xml:space="preserve"> PAGEREF _Toc338939272 \h </w:instrText>
      </w:r>
      <w:r w:rsidRPr="00380510">
        <w:rPr>
          <w:rFonts w:ascii="Times" w:hAnsi="Times" w:cs="Times"/>
          <w:noProof/>
        </w:rPr>
      </w:r>
      <w:r w:rsidRPr="00380510">
        <w:rPr>
          <w:rFonts w:ascii="Times" w:hAnsi="Times" w:cs="Times"/>
          <w:noProof/>
        </w:rPr>
        <w:fldChar w:fldCharType="separate"/>
      </w:r>
      <w:r w:rsidR="00623A5C">
        <w:rPr>
          <w:rFonts w:ascii="Times" w:hAnsi="Times" w:cs="Times"/>
          <w:noProof/>
        </w:rPr>
        <w:t>163</w:t>
      </w:r>
      <w:r w:rsidRPr="00380510">
        <w:rPr>
          <w:rFonts w:ascii="Times" w:hAnsi="Times" w:cs="Times"/>
          <w:noProof/>
        </w:rPr>
        <w:fldChar w:fldCharType="end"/>
      </w:r>
    </w:p>
    <w:p w:rsidR="00380510" w:rsidRDefault="00380510">
      <w:pPr>
        <w:pStyle w:val="TOC5"/>
        <w:rPr>
          <w:rFonts w:ascii="Calibri" w:hAnsi="Calibri"/>
          <w:iCs w:val="0"/>
          <w:noProof/>
          <w:kern w:val="0"/>
          <w:sz w:val="22"/>
          <w:szCs w:val="22"/>
        </w:rPr>
      </w:pPr>
      <w:r>
        <w:rPr>
          <w:noProof/>
        </w:rPr>
        <w:t>820</w:t>
      </w:r>
      <w:r>
        <w:rPr>
          <w:noProof/>
        </w:rPr>
        <w:noBreakHyphen/>
        <w:t>190</w:t>
      </w:r>
      <w:r>
        <w:rPr>
          <w:noProof/>
        </w:rPr>
        <w:tab/>
        <w:t>Maximum allowable debt</w:t>
      </w:r>
      <w:r w:rsidRPr="00380510">
        <w:rPr>
          <w:rFonts w:ascii="Times" w:hAnsi="Times" w:cs="Times"/>
          <w:noProof/>
        </w:rPr>
        <w:tab/>
      </w:r>
      <w:r w:rsidRPr="00380510">
        <w:rPr>
          <w:rFonts w:ascii="Times" w:hAnsi="Times" w:cs="Times"/>
          <w:noProof/>
        </w:rPr>
        <w:fldChar w:fldCharType="begin"/>
      </w:r>
      <w:r w:rsidRPr="00380510">
        <w:rPr>
          <w:rFonts w:ascii="Times" w:hAnsi="Times" w:cs="Times"/>
          <w:noProof/>
        </w:rPr>
        <w:instrText xml:space="preserve"> PAGEREF _Toc338939273 \h </w:instrText>
      </w:r>
      <w:r w:rsidRPr="00380510">
        <w:rPr>
          <w:rFonts w:ascii="Times" w:hAnsi="Times" w:cs="Times"/>
          <w:noProof/>
        </w:rPr>
      </w:r>
      <w:r w:rsidRPr="00380510">
        <w:rPr>
          <w:rFonts w:ascii="Times" w:hAnsi="Times" w:cs="Times"/>
          <w:noProof/>
        </w:rPr>
        <w:fldChar w:fldCharType="separate"/>
      </w:r>
      <w:r w:rsidR="00623A5C">
        <w:rPr>
          <w:rFonts w:ascii="Times" w:hAnsi="Times" w:cs="Times"/>
          <w:noProof/>
        </w:rPr>
        <w:t>166</w:t>
      </w:r>
      <w:r w:rsidRPr="00380510">
        <w:rPr>
          <w:rFonts w:ascii="Times" w:hAnsi="Times" w:cs="Times"/>
          <w:noProof/>
        </w:rPr>
        <w:fldChar w:fldCharType="end"/>
      </w:r>
    </w:p>
    <w:p w:rsidR="00380510" w:rsidRDefault="00380510">
      <w:pPr>
        <w:pStyle w:val="TOC5"/>
        <w:rPr>
          <w:rFonts w:ascii="Calibri" w:hAnsi="Calibri"/>
          <w:iCs w:val="0"/>
          <w:noProof/>
          <w:kern w:val="0"/>
          <w:sz w:val="22"/>
          <w:szCs w:val="22"/>
        </w:rPr>
      </w:pPr>
      <w:r>
        <w:rPr>
          <w:noProof/>
        </w:rPr>
        <w:t>820</w:t>
      </w:r>
      <w:r>
        <w:rPr>
          <w:noProof/>
        </w:rPr>
        <w:noBreakHyphen/>
        <w:t>195</w:t>
      </w:r>
      <w:r>
        <w:rPr>
          <w:noProof/>
        </w:rPr>
        <w:tab/>
        <w:t>Safe harbour debt amount—inward investment vehicle (general)</w:t>
      </w:r>
      <w:r w:rsidRPr="00380510">
        <w:rPr>
          <w:rFonts w:ascii="Times" w:hAnsi="Times" w:cs="Times"/>
          <w:noProof/>
        </w:rPr>
        <w:tab/>
      </w:r>
      <w:r w:rsidRPr="00380510">
        <w:rPr>
          <w:rFonts w:ascii="Times" w:hAnsi="Times" w:cs="Times"/>
          <w:noProof/>
        </w:rPr>
        <w:fldChar w:fldCharType="begin"/>
      </w:r>
      <w:r w:rsidRPr="00380510">
        <w:rPr>
          <w:rFonts w:ascii="Times" w:hAnsi="Times" w:cs="Times"/>
          <w:noProof/>
        </w:rPr>
        <w:instrText xml:space="preserve"> PAGEREF _Toc338939274 \h </w:instrText>
      </w:r>
      <w:r w:rsidRPr="00380510">
        <w:rPr>
          <w:rFonts w:ascii="Times" w:hAnsi="Times" w:cs="Times"/>
          <w:noProof/>
        </w:rPr>
      </w:r>
      <w:r w:rsidRPr="00380510">
        <w:rPr>
          <w:rFonts w:ascii="Times" w:hAnsi="Times" w:cs="Times"/>
          <w:noProof/>
        </w:rPr>
        <w:fldChar w:fldCharType="separate"/>
      </w:r>
      <w:r w:rsidR="00623A5C">
        <w:rPr>
          <w:rFonts w:ascii="Times" w:hAnsi="Times" w:cs="Times"/>
          <w:noProof/>
        </w:rPr>
        <w:t>166</w:t>
      </w:r>
      <w:r w:rsidRPr="00380510">
        <w:rPr>
          <w:rFonts w:ascii="Times" w:hAnsi="Times" w:cs="Times"/>
          <w:noProof/>
        </w:rPr>
        <w:fldChar w:fldCharType="end"/>
      </w:r>
    </w:p>
    <w:p w:rsidR="00380510" w:rsidRDefault="00380510">
      <w:pPr>
        <w:pStyle w:val="TOC5"/>
        <w:rPr>
          <w:rFonts w:ascii="Calibri" w:hAnsi="Calibri"/>
          <w:iCs w:val="0"/>
          <w:noProof/>
          <w:kern w:val="0"/>
          <w:sz w:val="22"/>
          <w:szCs w:val="22"/>
        </w:rPr>
      </w:pPr>
      <w:r>
        <w:rPr>
          <w:noProof/>
        </w:rPr>
        <w:t>820</w:t>
      </w:r>
      <w:r>
        <w:rPr>
          <w:noProof/>
        </w:rPr>
        <w:noBreakHyphen/>
        <w:t>200</w:t>
      </w:r>
      <w:r>
        <w:rPr>
          <w:noProof/>
        </w:rPr>
        <w:tab/>
        <w:t>Safe harbour debt amount—inward investment vehicle (financial)</w:t>
      </w:r>
      <w:r w:rsidRPr="00380510">
        <w:rPr>
          <w:rFonts w:ascii="Times" w:hAnsi="Times" w:cs="Times"/>
          <w:noProof/>
        </w:rPr>
        <w:tab/>
      </w:r>
      <w:r w:rsidRPr="00380510">
        <w:rPr>
          <w:rFonts w:ascii="Times" w:hAnsi="Times" w:cs="Times"/>
          <w:noProof/>
        </w:rPr>
        <w:fldChar w:fldCharType="begin"/>
      </w:r>
      <w:r w:rsidRPr="00380510">
        <w:rPr>
          <w:rFonts w:ascii="Times" w:hAnsi="Times" w:cs="Times"/>
          <w:noProof/>
        </w:rPr>
        <w:instrText xml:space="preserve"> PAGEREF _Toc338939275 \h </w:instrText>
      </w:r>
      <w:r w:rsidRPr="00380510">
        <w:rPr>
          <w:rFonts w:ascii="Times" w:hAnsi="Times" w:cs="Times"/>
          <w:noProof/>
        </w:rPr>
      </w:r>
      <w:r w:rsidRPr="00380510">
        <w:rPr>
          <w:rFonts w:ascii="Times" w:hAnsi="Times" w:cs="Times"/>
          <w:noProof/>
        </w:rPr>
        <w:fldChar w:fldCharType="separate"/>
      </w:r>
      <w:r w:rsidR="00623A5C">
        <w:rPr>
          <w:rFonts w:ascii="Times" w:hAnsi="Times" w:cs="Times"/>
          <w:noProof/>
        </w:rPr>
        <w:t>167</w:t>
      </w:r>
      <w:r w:rsidRPr="00380510">
        <w:rPr>
          <w:rFonts w:ascii="Times" w:hAnsi="Times" w:cs="Times"/>
          <w:noProof/>
        </w:rPr>
        <w:fldChar w:fldCharType="end"/>
      </w:r>
    </w:p>
    <w:p w:rsidR="00380510" w:rsidRDefault="00380510">
      <w:pPr>
        <w:pStyle w:val="TOC5"/>
        <w:rPr>
          <w:rFonts w:ascii="Calibri" w:hAnsi="Calibri"/>
          <w:iCs w:val="0"/>
          <w:noProof/>
          <w:kern w:val="0"/>
          <w:sz w:val="22"/>
          <w:szCs w:val="22"/>
        </w:rPr>
      </w:pPr>
      <w:r>
        <w:rPr>
          <w:noProof/>
        </w:rPr>
        <w:t>820</w:t>
      </w:r>
      <w:r>
        <w:rPr>
          <w:noProof/>
        </w:rPr>
        <w:noBreakHyphen/>
        <w:t>205</w:t>
      </w:r>
      <w:r>
        <w:rPr>
          <w:noProof/>
        </w:rPr>
        <w:tab/>
        <w:t>Safe harbour debt amount—inward investor (general)</w:t>
      </w:r>
      <w:r w:rsidRPr="00380510">
        <w:rPr>
          <w:rFonts w:ascii="Times" w:hAnsi="Times" w:cs="Times"/>
          <w:noProof/>
        </w:rPr>
        <w:tab/>
      </w:r>
      <w:r w:rsidRPr="00380510">
        <w:rPr>
          <w:rFonts w:ascii="Times" w:hAnsi="Times" w:cs="Times"/>
          <w:noProof/>
        </w:rPr>
        <w:fldChar w:fldCharType="begin"/>
      </w:r>
      <w:r w:rsidRPr="00380510">
        <w:rPr>
          <w:rFonts w:ascii="Times" w:hAnsi="Times" w:cs="Times"/>
          <w:noProof/>
        </w:rPr>
        <w:instrText xml:space="preserve"> PAGEREF _Toc338939276 \h </w:instrText>
      </w:r>
      <w:r w:rsidRPr="00380510">
        <w:rPr>
          <w:rFonts w:ascii="Times" w:hAnsi="Times" w:cs="Times"/>
          <w:noProof/>
        </w:rPr>
      </w:r>
      <w:r w:rsidRPr="00380510">
        <w:rPr>
          <w:rFonts w:ascii="Times" w:hAnsi="Times" w:cs="Times"/>
          <w:noProof/>
        </w:rPr>
        <w:fldChar w:fldCharType="separate"/>
      </w:r>
      <w:r w:rsidR="00623A5C">
        <w:rPr>
          <w:rFonts w:ascii="Times" w:hAnsi="Times" w:cs="Times"/>
          <w:noProof/>
        </w:rPr>
        <w:t>170</w:t>
      </w:r>
      <w:r w:rsidRPr="00380510">
        <w:rPr>
          <w:rFonts w:ascii="Times" w:hAnsi="Times" w:cs="Times"/>
          <w:noProof/>
        </w:rPr>
        <w:fldChar w:fldCharType="end"/>
      </w:r>
    </w:p>
    <w:p w:rsidR="00380510" w:rsidRDefault="00380510">
      <w:pPr>
        <w:pStyle w:val="TOC5"/>
        <w:rPr>
          <w:rFonts w:ascii="Calibri" w:hAnsi="Calibri"/>
          <w:iCs w:val="0"/>
          <w:noProof/>
          <w:kern w:val="0"/>
          <w:sz w:val="22"/>
          <w:szCs w:val="22"/>
        </w:rPr>
      </w:pPr>
      <w:r>
        <w:rPr>
          <w:noProof/>
        </w:rPr>
        <w:t>820</w:t>
      </w:r>
      <w:r>
        <w:rPr>
          <w:noProof/>
        </w:rPr>
        <w:noBreakHyphen/>
        <w:t>210</w:t>
      </w:r>
      <w:r>
        <w:rPr>
          <w:noProof/>
        </w:rPr>
        <w:tab/>
        <w:t>Safe harbour debt amount—inward investor (financial)</w:t>
      </w:r>
      <w:r w:rsidRPr="00380510">
        <w:rPr>
          <w:rFonts w:ascii="Times" w:hAnsi="Times" w:cs="Times"/>
          <w:noProof/>
        </w:rPr>
        <w:tab/>
      </w:r>
      <w:r w:rsidRPr="00380510">
        <w:rPr>
          <w:rFonts w:ascii="Times" w:hAnsi="Times" w:cs="Times"/>
          <w:noProof/>
        </w:rPr>
        <w:fldChar w:fldCharType="begin"/>
      </w:r>
      <w:r w:rsidRPr="00380510">
        <w:rPr>
          <w:rFonts w:ascii="Times" w:hAnsi="Times" w:cs="Times"/>
          <w:noProof/>
        </w:rPr>
        <w:instrText xml:space="preserve"> PAGEREF _Toc338939277 \h </w:instrText>
      </w:r>
      <w:r w:rsidRPr="00380510">
        <w:rPr>
          <w:rFonts w:ascii="Times" w:hAnsi="Times" w:cs="Times"/>
          <w:noProof/>
        </w:rPr>
      </w:r>
      <w:r w:rsidRPr="00380510">
        <w:rPr>
          <w:rFonts w:ascii="Times" w:hAnsi="Times" w:cs="Times"/>
          <w:noProof/>
        </w:rPr>
        <w:fldChar w:fldCharType="separate"/>
      </w:r>
      <w:r w:rsidR="00623A5C">
        <w:rPr>
          <w:rFonts w:ascii="Times" w:hAnsi="Times" w:cs="Times"/>
          <w:noProof/>
        </w:rPr>
        <w:t>171</w:t>
      </w:r>
      <w:r w:rsidRPr="00380510">
        <w:rPr>
          <w:rFonts w:ascii="Times" w:hAnsi="Times" w:cs="Times"/>
          <w:noProof/>
        </w:rPr>
        <w:fldChar w:fldCharType="end"/>
      </w:r>
    </w:p>
    <w:p w:rsidR="00380510" w:rsidRDefault="00380510">
      <w:pPr>
        <w:pStyle w:val="TOC5"/>
        <w:rPr>
          <w:rFonts w:ascii="Calibri" w:hAnsi="Calibri"/>
          <w:iCs w:val="0"/>
          <w:noProof/>
          <w:kern w:val="0"/>
          <w:sz w:val="22"/>
          <w:szCs w:val="22"/>
        </w:rPr>
      </w:pPr>
      <w:r>
        <w:rPr>
          <w:noProof/>
        </w:rPr>
        <w:t>820</w:t>
      </w:r>
      <w:r>
        <w:rPr>
          <w:noProof/>
        </w:rPr>
        <w:noBreakHyphen/>
        <w:t>215</w:t>
      </w:r>
      <w:r>
        <w:rPr>
          <w:noProof/>
        </w:rPr>
        <w:tab/>
        <w:t>Arm’s length debt amount</w:t>
      </w:r>
      <w:r w:rsidRPr="00380510">
        <w:rPr>
          <w:rFonts w:ascii="Times" w:hAnsi="Times" w:cs="Times"/>
          <w:noProof/>
        </w:rPr>
        <w:tab/>
      </w:r>
      <w:r w:rsidRPr="00380510">
        <w:rPr>
          <w:rFonts w:ascii="Times" w:hAnsi="Times" w:cs="Times"/>
          <w:noProof/>
        </w:rPr>
        <w:fldChar w:fldCharType="begin"/>
      </w:r>
      <w:r w:rsidRPr="00380510">
        <w:rPr>
          <w:rFonts w:ascii="Times" w:hAnsi="Times" w:cs="Times"/>
          <w:noProof/>
        </w:rPr>
        <w:instrText xml:space="preserve"> PAGEREF _Toc338939278 \h </w:instrText>
      </w:r>
      <w:r w:rsidRPr="00380510">
        <w:rPr>
          <w:rFonts w:ascii="Times" w:hAnsi="Times" w:cs="Times"/>
          <w:noProof/>
        </w:rPr>
      </w:r>
      <w:r w:rsidRPr="00380510">
        <w:rPr>
          <w:rFonts w:ascii="Times" w:hAnsi="Times" w:cs="Times"/>
          <w:noProof/>
        </w:rPr>
        <w:fldChar w:fldCharType="separate"/>
      </w:r>
      <w:r w:rsidR="00623A5C">
        <w:rPr>
          <w:rFonts w:ascii="Times" w:hAnsi="Times" w:cs="Times"/>
          <w:noProof/>
        </w:rPr>
        <w:t>174</w:t>
      </w:r>
      <w:r w:rsidRPr="00380510">
        <w:rPr>
          <w:rFonts w:ascii="Times" w:hAnsi="Times" w:cs="Times"/>
          <w:noProof/>
        </w:rPr>
        <w:fldChar w:fldCharType="end"/>
      </w:r>
    </w:p>
    <w:p w:rsidR="00380510" w:rsidRDefault="00380510">
      <w:pPr>
        <w:pStyle w:val="TOC5"/>
        <w:rPr>
          <w:rFonts w:ascii="Calibri" w:hAnsi="Calibri"/>
          <w:iCs w:val="0"/>
          <w:noProof/>
          <w:kern w:val="0"/>
          <w:sz w:val="22"/>
          <w:szCs w:val="22"/>
        </w:rPr>
      </w:pPr>
      <w:r>
        <w:rPr>
          <w:noProof/>
        </w:rPr>
        <w:t>820</w:t>
      </w:r>
      <w:r>
        <w:rPr>
          <w:noProof/>
        </w:rPr>
        <w:noBreakHyphen/>
        <w:t>220</w:t>
      </w:r>
      <w:r>
        <w:rPr>
          <w:noProof/>
        </w:rPr>
        <w:tab/>
        <w:t>Amount of debt deduction disallowed</w:t>
      </w:r>
      <w:r w:rsidRPr="00380510">
        <w:rPr>
          <w:rFonts w:ascii="Times" w:hAnsi="Times" w:cs="Times"/>
          <w:noProof/>
        </w:rPr>
        <w:tab/>
      </w:r>
      <w:r w:rsidRPr="00380510">
        <w:rPr>
          <w:rFonts w:ascii="Times" w:hAnsi="Times" w:cs="Times"/>
          <w:noProof/>
        </w:rPr>
        <w:fldChar w:fldCharType="begin"/>
      </w:r>
      <w:r w:rsidRPr="00380510">
        <w:rPr>
          <w:rFonts w:ascii="Times" w:hAnsi="Times" w:cs="Times"/>
          <w:noProof/>
        </w:rPr>
        <w:instrText xml:space="preserve"> PAGEREF _Toc338939279 \h </w:instrText>
      </w:r>
      <w:r w:rsidRPr="00380510">
        <w:rPr>
          <w:rFonts w:ascii="Times" w:hAnsi="Times" w:cs="Times"/>
          <w:noProof/>
        </w:rPr>
      </w:r>
      <w:r w:rsidRPr="00380510">
        <w:rPr>
          <w:rFonts w:ascii="Times" w:hAnsi="Times" w:cs="Times"/>
          <w:noProof/>
        </w:rPr>
        <w:fldChar w:fldCharType="separate"/>
      </w:r>
      <w:r w:rsidR="00623A5C">
        <w:rPr>
          <w:rFonts w:ascii="Times" w:hAnsi="Times" w:cs="Times"/>
          <w:noProof/>
        </w:rPr>
        <w:t>178</w:t>
      </w:r>
      <w:r w:rsidRPr="00380510">
        <w:rPr>
          <w:rFonts w:ascii="Times" w:hAnsi="Times" w:cs="Times"/>
          <w:noProof/>
        </w:rPr>
        <w:fldChar w:fldCharType="end"/>
      </w:r>
    </w:p>
    <w:p w:rsidR="00380510" w:rsidRDefault="00380510">
      <w:pPr>
        <w:pStyle w:val="TOC5"/>
        <w:rPr>
          <w:rFonts w:ascii="Calibri" w:hAnsi="Calibri"/>
          <w:iCs w:val="0"/>
          <w:noProof/>
          <w:kern w:val="0"/>
          <w:sz w:val="22"/>
          <w:szCs w:val="22"/>
        </w:rPr>
      </w:pPr>
      <w:r>
        <w:rPr>
          <w:noProof/>
        </w:rPr>
        <w:t>820</w:t>
      </w:r>
      <w:r>
        <w:rPr>
          <w:noProof/>
        </w:rPr>
        <w:noBreakHyphen/>
        <w:t>225</w:t>
      </w:r>
      <w:r>
        <w:rPr>
          <w:noProof/>
        </w:rPr>
        <w:tab/>
        <w:t>Application to part year periods</w:t>
      </w:r>
      <w:r w:rsidRPr="00380510">
        <w:rPr>
          <w:rFonts w:ascii="Times" w:hAnsi="Times" w:cs="Times"/>
          <w:noProof/>
        </w:rPr>
        <w:tab/>
      </w:r>
      <w:r w:rsidRPr="00380510">
        <w:rPr>
          <w:rFonts w:ascii="Times" w:hAnsi="Times" w:cs="Times"/>
          <w:noProof/>
        </w:rPr>
        <w:fldChar w:fldCharType="begin"/>
      </w:r>
      <w:r w:rsidRPr="00380510">
        <w:rPr>
          <w:rFonts w:ascii="Times" w:hAnsi="Times" w:cs="Times"/>
          <w:noProof/>
        </w:rPr>
        <w:instrText xml:space="preserve"> PAGEREF _Toc338939280 \h </w:instrText>
      </w:r>
      <w:r w:rsidRPr="00380510">
        <w:rPr>
          <w:rFonts w:ascii="Times" w:hAnsi="Times" w:cs="Times"/>
          <w:noProof/>
        </w:rPr>
      </w:r>
      <w:r w:rsidRPr="00380510">
        <w:rPr>
          <w:rFonts w:ascii="Times" w:hAnsi="Times" w:cs="Times"/>
          <w:noProof/>
        </w:rPr>
        <w:fldChar w:fldCharType="separate"/>
      </w:r>
      <w:r w:rsidR="00623A5C">
        <w:rPr>
          <w:rFonts w:ascii="Times" w:hAnsi="Times" w:cs="Times"/>
          <w:noProof/>
        </w:rPr>
        <w:t>178</w:t>
      </w:r>
      <w:r w:rsidRPr="00380510">
        <w:rPr>
          <w:rFonts w:ascii="Times" w:hAnsi="Times" w:cs="Times"/>
          <w:noProof/>
        </w:rPr>
        <w:fldChar w:fldCharType="end"/>
      </w:r>
    </w:p>
    <w:p w:rsidR="00380510" w:rsidRDefault="00380510">
      <w:pPr>
        <w:pStyle w:val="TOC4"/>
        <w:rPr>
          <w:rFonts w:ascii="Calibri" w:hAnsi="Calibri"/>
          <w:b w:val="0"/>
          <w:noProof/>
          <w:kern w:val="0"/>
          <w:sz w:val="22"/>
          <w:szCs w:val="22"/>
        </w:rPr>
      </w:pPr>
      <w:r>
        <w:rPr>
          <w:noProof/>
        </w:rPr>
        <w:t>Subdivision 820</w:t>
      </w:r>
      <w:r>
        <w:rPr>
          <w:noProof/>
        </w:rPr>
        <w:noBreakHyphen/>
        <w:t>D—Thin capitalisation rules for outward investing entities (ADI)</w:t>
      </w:r>
      <w:r w:rsidRPr="00380510">
        <w:rPr>
          <w:rFonts w:ascii="Times" w:hAnsi="Times" w:cs="Times"/>
          <w:b w:val="0"/>
          <w:noProof/>
          <w:sz w:val="18"/>
        </w:rPr>
        <w:tab/>
      </w:r>
      <w:r w:rsidRPr="00380510">
        <w:rPr>
          <w:rFonts w:ascii="Times" w:hAnsi="Times" w:cs="Times"/>
          <w:b w:val="0"/>
          <w:noProof/>
          <w:sz w:val="18"/>
        </w:rPr>
        <w:fldChar w:fldCharType="begin"/>
      </w:r>
      <w:r w:rsidRPr="00380510">
        <w:rPr>
          <w:rFonts w:ascii="Times" w:hAnsi="Times" w:cs="Times"/>
          <w:b w:val="0"/>
          <w:noProof/>
          <w:sz w:val="18"/>
        </w:rPr>
        <w:instrText xml:space="preserve"> PAGEREF _Toc338939281 \h </w:instrText>
      </w:r>
      <w:r w:rsidRPr="00380510">
        <w:rPr>
          <w:rFonts w:ascii="Times" w:hAnsi="Times" w:cs="Times"/>
          <w:b w:val="0"/>
          <w:noProof/>
          <w:sz w:val="18"/>
        </w:rPr>
      </w:r>
      <w:r w:rsidRPr="00380510">
        <w:rPr>
          <w:rFonts w:ascii="Times" w:hAnsi="Times" w:cs="Times"/>
          <w:b w:val="0"/>
          <w:noProof/>
          <w:sz w:val="18"/>
        </w:rPr>
        <w:fldChar w:fldCharType="separate"/>
      </w:r>
      <w:r w:rsidR="00623A5C">
        <w:rPr>
          <w:rFonts w:ascii="Times" w:hAnsi="Times" w:cs="Times"/>
          <w:b w:val="0"/>
          <w:noProof/>
          <w:sz w:val="18"/>
        </w:rPr>
        <w:t>180</w:t>
      </w:r>
      <w:r w:rsidRPr="00380510">
        <w:rPr>
          <w:rFonts w:ascii="Times" w:hAnsi="Times" w:cs="Times"/>
          <w:b w:val="0"/>
          <w:noProof/>
          <w:sz w:val="18"/>
        </w:rPr>
        <w:fldChar w:fldCharType="end"/>
      </w:r>
    </w:p>
    <w:p w:rsidR="00380510" w:rsidRDefault="00380510">
      <w:pPr>
        <w:pStyle w:val="TOC4"/>
        <w:rPr>
          <w:rFonts w:ascii="Calibri" w:hAnsi="Calibri"/>
          <w:b w:val="0"/>
          <w:noProof/>
          <w:kern w:val="0"/>
          <w:sz w:val="22"/>
          <w:szCs w:val="22"/>
        </w:rPr>
      </w:pPr>
      <w:r>
        <w:rPr>
          <w:noProof/>
        </w:rPr>
        <w:t>Guide to Subdivision 820</w:t>
      </w:r>
      <w:r>
        <w:rPr>
          <w:noProof/>
        </w:rPr>
        <w:noBreakHyphen/>
        <w:t>D</w:t>
      </w:r>
      <w:r w:rsidRPr="00380510">
        <w:rPr>
          <w:rFonts w:ascii="Times" w:hAnsi="Times" w:cs="Times"/>
          <w:b w:val="0"/>
          <w:noProof/>
          <w:sz w:val="18"/>
        </w:rPr>
        <w:tab/>
      </w:r>
      <w:r w:rsidRPr="00380510">
        <w:rPr>
          <w:rFonts w:ascii="Times" w:hAnsi="Times" w:cs="Times"/>
          <w:b w:val="0"/>
          <w:noProof/>
          <w:sz w:val="18"/>
        </w:rPr>
        <w:fldChar w:fldCharType="begin"/>
      </w:r>
      <w:r w:rsidRPr="00380510">
        <w:rPr>
          <w:rFonts w:ascii="Times" w:hAnsi="Times" w:cs="Times"/>
          <w:b w:val="0"/>
          <w:noProof/>
          <w:sz w:val="18"/>
        </w:rPr>
        <w:instrText xml:space="preserve"> PAGEREF _Toc338939282 \h </w:instrText>
      </w:r>
      <w:r w:rsidRPr="00380510">
        <w:rPr>
          <w:rFonts w:ascii="Times" w:hAnsi="Times" w:cs="Times"/>
          <w:b w:val="0"/>
          <w:noProof/>
          <w:sz w:val="18"/>
        </w:rPr>
      </w:r>
      <w:r w:rsidRPr="00380510">
        <w:rPr>
          <w:rFonts w:ascii="Times" w:hAnsi="Times" w:cs="Times"/>
          <w:b w:val="0"/>
          <w:noProof/>
          <w:sz w:val="18"/>
        </w:rPr>
        <w:fldChar w:fldCharType="separate"/>
      </w:r>
      <w:r w:rsidR="00623A5C">
        <w:rPr>
          <w:rFonts w:ascii="Times" w:hAnsi="Times" w:cs="Times"/>
          <w:b w:val="0"/>
          <w:noProof/>
          <w:sz w:val="18"/>
        </w:rPr>
        <w:t>180</w:t>
      </w:r>
      <w:r w:rsidRPr="00380510">
        <w:rPr>
          <w:rFonts w:ascii="Times" w:hAnsi="Times" w:cs="Times"/>
          <w:b w:val="0"/>
          <w:noProof/>
          <w:sz w:val="18"/>
        </w:rPr>
        <w:fldChar w:fldCharType="end"/>
      </w:r>
    </w:p>
    <w:p w:rsidR="00380510" w:rsidRDefault="00380510">
      <w:pPr>
        <w:pStyle w:val="TOC5"/>
        <w:rPr>
          <w:rFonts w:ascii="Calibri" w:hAnsi="Calibri"/>
          <w:iCs w:val="0"/>
          <w:noProof/>
          <w:kern w:val="0"/>
          <w:sz w:val="22"/>
          <w:szCs w:val="22"/>
        </w:rPr>
      </w:pPr>
      <w:r>
        <w:rPr>
          <w:noProof/>
        </w:rPr>
        <w:t>820</w:t>
      </w:r>
      <w:r>
        <w:rPr>
          <w:noProof/>
        </w:rPr>
        <w:noBreakHyphen/>
        <w:t>295</w:t>
      </w:r>
      <w:r>
        <w:rPr>
          <w:noProof/>
        </w:rPr>
        <w:tab/>
        <w:t>What this Subdivision is about</w:t>
      </w:r>
      <w:r w:rsidRPr="00380510">
        <w:rPr>
          <w:rFonts w:ascii="Times" w:hAnsi="Times" w:cs="Times"/>
          <w:noProof/>
        </w:rPr>
        <w:tab/>
      </w:r>
      <w:r w:rsidRPr="00380510">
        <w:rPr>
          <w:rFonts w:ascii="Times" w:hAnsi="Times" w:cs="Times"/>
          <w:noProof/>
        </w:rPr>
        <w:fldChar w:fldCharType="begin"/>
      </w:r>
      <w:r w:rsidRPr="00380510">
        <w:rPr>
          <w:rFonts w:ascii="Times" w:hAnsi="Times" w:cs="Times"/>
          <w:noProof/>
        </w:rPr>
        <w:instrText xml:space="preserve"> PAGEREF _Toc338939283 \h </w:instrText>
      </w:r>
      <w:r w:rsidRPr="00380510">
        <w:rPr>
          <w:rFonts w:ascii="Times" w:hAnsi="Times" w:cs="Times"/>
          <w:noProof/>
        </w:rPr>
      </w:r>
      <w:r w:rsidRPr="00380510">
        <w:rPr>
          <w:rFonts w:ascii="Times" w:hAnsi="Times" w:cs="Times"/>
          <w:noProof/>
        </w:rPr>
        <w:fldChar w:fldCharType="separate"/>
      </w:r>
      <w:r w:rsidR="00623A5C">
        <w:rPr>
          <w:rFonts w:ascii="Times" w:hAnsi="Times" w:cs="Times"/>
          <w:noProof/>
        </w:rPr>
        <w:t>180</w:t>
      </w:r>
      <w:r w:rsidRPr="00380510">
        <w:rPr>
          <w:rFonts w:ascii="Times" w:hAnsi="Times" w:cs="Times"/>
          <w:noProof/>
        </w:rPr>
        <w:fldChar w:fldCharType="end"/>
      </w:r>
    </w:p>
    <w:p w:rsidR="00380510" w:rsidRDefault="00380510">
      <w:pPr>
        <w:pStyle w:val="TOC4"/>
        <w:rPr>
          <w:rFonts w:ascii="Calibri" w:hAnsi="Calibri"/>
          <w:b w:val="0"/>
          <w:noProof/>
          <w:kern w:val="0"/>
          <w:sz w:val="22"/>
          <w:szCs w:val="22"/>
        </w:rPr>
      </w:pPr>
      <w:r>
        <w:rPr>
          <w:noProof/>
        </w:rPr>
        <w:t>Operative provisions</w:t>
      </w:r>
      <w:r w:rsidRPr="00380510">
        <w:rPr>
          <w:rFonts w:ascii="Times" w:hAnsi="Times" w:cs="Times"/>
          <w:b w:val="0"/>
          <w:noProof/>
          <w:sz w:val="18"/>
        </w:rPr>
        <w:tab/>
      </w:r>
      <w:r w:rsidRPr="00380510">
        <w:rPr>
          <w:rFonts w:ascii="Times" w:hAnsi="Times" w:cs="Times"/>
          <w:b w:val="0"/>
          <w:noProof/>
          <w:sz w:val="18"/>
        </w:rPr>
        <w:fldChar w:fldCharType="begin"/>
      </w:r>
      <w:r w:rsidRPr="00380510">
        <w:rPr>
          <w:rFonts w:ascii="Times" w:hAnsi="Times" w:cs="Times"/>
          <w:b w:val="0"/>
          <w:noProof/>
          <w:sz w:val="18"/>
        </w:rPr>
        <w:instrText xml:space="preserve"> PAGEREF _Toc338939284 \h </w:instrText>
      </w:r>
      <w:r w:rsidRPr="00380510">
        <w:rPr>
          <w:rFonts w:ascii="Times" w:hAnsi="Times" w:cs="Times"/>
          <w:b w:val="0"/>
          <w:noProof/>
          <w:sz w:val="18"/>
        </w:rPr>
      </w:r>
      <w:r w:rsidRPr="00380510">
        <w:rPr>
          <w:rFonts w:ascii="Times" w:hAnsi="Times" w:cs="Times"/>
          <w:b w:val="0"/>
          <w:noProof/>
          <w:sz w:val="18"/>
        </w:rPr>
        <w:fldChar w:fldCharType="separate"/>
      </w:r>
      <w:r w:rsidR="00623A5C">
        <w:rPr>
          <w:rFonts w:ascii="Times" w:hAnsi="Times" w:cs="Times"/>
          <w:b w:val="0"/>
          <w:noProof/>
          <w:sz w:val="18"/>
        </w:rPr>
        <w:t>181</w:t>
      </w:r>
      <w:r w:rsidRPr="00380510">
        <w:rPr>
          <w:rFonts w:ascii="Times" w:hAnsi="Times" w:cs="Times"/>
          <w:b w:val="0"/>
          <w:noProof/>
          <w:sz w:val="18"/>
        </w:rPr>
        <w:fldChar w:fldCharType="end"/>
      </w:r>
    </w:p>
    <w:p w:rsidR="00380510" w:rsidRDefault="00380510">
      <w:pPr>
        <w:pStyle w:val="TOC5"/>
        <w:rPr>
          <w:rFonts w:ascii="Calibri" w:hAnsi="Calibri"/>
          <w:iCs w:val="0"/>
          <w:noProof/>
          <w:kern w:val="0"/>
          <w:sz w:val="22"/>
          <w:szCs w:val="22"/>
        </w:rPr>
      </w:pPr>
      <w:r>
        <w:rPr>
          <w:noProof/>
        </w:rPr>
        <w:t>820</w:t>
      </w:r>
      <w:r>
        <w:rPr>
          <w:noProof/>
        </w:rPr>
        <w:noBreakHyphen/>
        <w:t>300</w:t>
      </w:r>
      <w:r>
        <w:rPr>
          <w:noProof/>
        </w:rPr>
        <w:tab/>
        <w:t>Thin capitalisation rule for outward investing entities (ADI)</w:t>
      </w:r>
      <w:r w:rsidRPr="00380510">
        <w:rPr>
          <w:rFonts w:ascii="Times" w:hAnsi="Times" w:cs="Times"/>
          <w:noProof/>
        </w:rPr>
        <w:tab/>
      </w:r>
      <w:r w:rsidRPr="00380510">
        <w:rPr>
          <w:rFonts w:ascii="Times" w:hAnsi="Times" w:cs="Times"/>
          <w:noProof/>
        </w:rPr>
        <w:fldChar w:fldCharType="begin"/>
      </w:r>
      <w:r w:rsidRPr="00380510">
        <w:rPr>
          <w:rFonts w:ascii="Times" w:hAnsi="Times" w:cs="Times"/>
          <w:noProof/>
        </w:rPr>
        <w:instrText xml:space="preserve"> PAGEREF _Toc338939285 \h </w:instrText>
      </w:r>
      <w:r w:rsidRPr="00380510">
        <w:rPr>
          <w:rFonts w:ascii="Times" w:hAnsi="Times" w:cs="Times"/>
          <w:noProof/>
        </w:rPr>
      </w:r>
      <w:r w:rsidRPr="00380510">
        <w:rPr>
          <w:rFonts w:ascii="Times" w:hAnsi="Times" w:cs="Times"/>
          <w:noProof/>
        </w:rPr>
        <w:fldChar w:fldCharType="separate"/>
      </w:r>
      <w:r w:rsidR="00623A5C">
        <w:rPr>
          <w:rFonts w:ascii="Times" w:hAnsi="Times" w:cs="Times"/>
          <w:noProof/>
        </w:rPr>
        <w:t>181</w:t>
      </w:r>
      <w:r w:rsidRPr="00380510">
        <w:rPr>
          <w:rFonts w:ascii="Times" w:hAnsi="Times" w:cs="Times"/>
          <w:noProof/>
        </w:rPr>
        <w:fldChar w:fldCharType="end"/>
      </w:r>
    </w:p>
    <w:p w:rsidR="00380510" w:rsidRDefault="00380510">
      <w:pPr>
        <w:pStyle w:val="TOC5"/>
        <w:rPr>
          <w:rFonts w:ascii="Calibri" w:hAnsi="Calibri"/>
          <w:iCs w:val="0"/>
          <w:noProof/>
          <w:kern w:val="0"/>
          <w:sz w:val="22"/>
          <w:szCs w:val="22"/>
        </w:rPr>
      </w:pPr>
      <w:r>
        <w:rPr>
          <w:noProof/>
        </w:rPr>
        <w:t>820</w:t>
      </w:r>
      <w:r>
        <w:rPr>
          <w:noProof/>
        </w:rPr>
        <w:noBreakHyphen/>
        <w:t>305</w:t>
      </w:r>
      <w:r>
        <w:rPr>
          <w:noProof/>
        </w:rPr>
        <w:tab/>
        <w:t>Minimum capital amount</w:t>
      </w:r>
      <w:r w:rsidRPr="00380510">
        <w:rPr>
          <w:rFonts w:ascii="Times" w:hAnsi="Times" w:cs="Times"/>
          <w:noProof/>
        </w:rPr>
        <w:tab/>
      </w:r>
      <w:r w:rsidRPr="00380510">
        <w:rPr>
          <w:rFonts w:ascii="Times" w:hAnsi="Times" w:cs="Times"/>
          <w:noProof/>
        </w:rPr>
        <w:fldChar w:fldCharType="begin"/>
      </w:r>
      <w:r w:rsidRPr="00380510">
        <w:rPr>
          <w:rFonts w:ascii="Times" w:hAnsi="Times" w:cs="Times"/>
          <w:noProof/>
        </w:rPr>
        <w:instrText xml:space="preserve"> PAGEREF _Toc338939286 \h </w:instrText>
      </w:r>
      <w:r w:rsidRPr="00380510">
        <w:rPr>
          <w:rFonts w:ascii="Times" w:hAnsi="Times" w:cs="Times"/>
          <w:noProof/>
        </w:rPr>
      </w:r>
      <w:r w:rsidRPr="00380510">
        <w:rPr>
          <w:rFonts w:ascii="Times" w:hAnsi="Times" w:cs="Times"/>
          <w:noProof/>
        </w:rPr>
        <w:fldChar w:fldCharType="separate"/>
      </w:r>
      <w:r w:rsidR="00623A5C">
        <w:rPr>
          <w:rFonts w:ascii="Times" w:hAnsi="Times" w:cs="Times"/>
          <w:noProof/>
        </w:rPr>
        <w:t>183</w:t>
      </w:r>
      <w:r w:rsidRPr="00380510">
        <w:rPr>
          <w:rFonts w:ascii="Times" w:hAnsi="Times" w:cs="Times"/>
          <w:noProof/>
        </w:rPr>
        <w:fldChar w:fldCharType="end"/>
      </w:r>
    </w:p>
    <w:p w:rsidR="00380510" w:rsidRDefault="00380510">
      <w:pPr>
        <w:pStyle w:val="TOC5"/>
        <w:rPr>
          <w:rFonts w:ascii="Calibri" w:hAnsi="Calibri"/>
          <w:iCs w:val="0"/>
          <w:noProof/>
          <w:kern w:val="0"/>
          <w:sz w:val="22"/>
          <w:szCs w:val="22"/>
        </w:rPr>
      </w:pPr>
      <w:r>
        <w:rPr>
          <w:noProof/>
        </w:rPr>
        <w:t>820</w:t>
      </w:r>
      <w:r>
        <w:rPr>
          <w:noProof/>
        </w:rPr>
        <w:noBreakHyphen/>
        <w:t>310</w:t>
      </w:r>
      <w:r>
        <w:rPr>
          <w:noProof/>
        </w:rPr>
        <w:tab/>
        <w:t>Safe harbour capital amount</w:t>
      </w:r>
      <w:r w:rsidRPr="00380510">
        <w:rPr>
          <w:rFonts w:ascii="Times" w:hAnsi="Times" w:cs="Times"/>
          <w:noProof/>
        </w:rPr>
        <w:tab/>
      </w:r>
      <w:r w:rsidRPr="00380510">
        <w:rPr>
          <w:rFonts w:ascii="Times" w:hAnsi="Times" w:cs="Times"/>
          <w:noProof/>
        </w:rPr>
        <w:fldChar w:fldCharType="begin"/>
      </w:r>
      <w:r w:rsidRPr="00380510">
        <w:rPr>
          <w:rFonts w:ascii="Times" w:hAnsi="Times" w:cs="Times"/>
          <w:noProof/>
        </w:rPr>
        <w:instrText xml:space="preserve"> PAGEREF _Toc338939287 \h </w:instrText>
      </w:r>
      <w:r w:rsidRPr="00380510">
        <w:rPr>
          <w:rFonts w:ascii="Times" w:hAnsi="Times" w:cs="Times"/>
          <w:noProof/>
        </w:rPr>
      </w:r>
      <w:r w:rsidRPr="00380510">
        <w:rPr>
          <w:rFonts w:ascii="Times" w:hAnsi="Times" w:cs="Times"/>
          <w:noProof/>
        </w:rPr>
        <w:fldChar w:fldCharType="separate"/>
      </w:r>
      <w:r w:rsidR="00623A5C">
        <w:rPr>
          <w:rFonts w:ascii="Times" w:hAnsi="Times" w:cs="Times"/>
          <w:noProof/>
        </w:rPr>
        <w:t>183</w:t>
      </w:r>
      <w:r w:rsidRPr="00380510">
        <w:rPr>
          <w:rFonts w:ascii="Times" w:hAnsi="Times" w:cs="Times"/>
          <w:noProof/>
        </w:rPr>
        <w:fldChar w:fldCharType="end"/>
      </w:r>
    </w:p>
    <w:p w:rsidR="00380510" w:rsidRDefault="00380510">
      <w:pPr>
        <w:pStyle w:val="TOC5"/>
        <w:rPr>
          <w:rFonts w:ascii="Calibri" w:hAnsi="Calibri"/>
          <w:iCs w:val="0"/>
          <w:noProof/>
          <w:kern w:val="0"/>
          <w:sz w:val="22"/>
          <w:szCs w:val="22"/>
        </w:rPr>
      </w:pPr>
      <w:r>
        <w:rPr>
          <w:noProof/>
        </w:rPr>
        <w:t>820</w:t>
      </w:r>
      <w:r>
        <w:rPr>
          <w:noProof/>
        </w:rPr>
        <w:noBreakHyphen/>
        <w:t>315</w:t>
      </w:r>
      <w:r>
        <w:rPr>
          <w:noProof/>
        </w:rPr>
        <w:tab/>
        <w:t>Arm’s length capital amount</w:t>
      </w:r>
      <w:r w:rsidRPr="00380510">
        <w:rPr>
          <w:rFonts w:ascii="Times" w:hAnsi="Times" w:cs="Times"/>
          <w:noProof/>
        </w:rPr>
        <w:tab/>
      </w:r>
      <w:r w:rsidRPr="00380510">
        <w:rPr>
          <w:rFonts w:ascii="Times" w:hAnsi="Times" w:cs="Times"/>
          <w:noProof/>
        </w:rPr>
        <w:fldChar w:fldCharType="begin"/>
      </w:r>
      <w:r w:rsidRPr="00380510">
        <w:rPr>
          <w:rFonts w:ascii="Times" w:hAnsi="Times" w:cs="Times"/>
          <w:noProof/>
        </w:rPr>
        <w:instrText xml:space="preserve"> PAGEREF _Toc338939288 \h </w:instrText>
      </w:r>
      <w:r w:rsidRPr="00380510">
        <w:rPr>
          <w:rFonts w:ascii="Times" w:hAnsi="Times" w:cs="Times"/>
          <w:noProof/>
        </w:rPr>
      </w:r>
      <w:r w:rsidRPr="00380510">
        <w:rPr>
          <w:rFonts w:ascii="Times" w:hAnsi="Times" w:cs="Times"/>
          <w:noProof/>
        </w:rPr>
        <w:fldChar w:fldCharType="separate"/>
      </w:r>
      <w:r w:rsidR="00623A5C">
        <w:rPr>
          <w:rFonts w:ascii="Times" w:hAnsi="Times" w:cs="Times"/>
          <w:noProof/>
        </w:rPr>
        <w:t>185</w:t>
      </w:r>
      <w:r w:rsidRPr="00380510">
        <w:rPr>
          <w:rFonts w:ascii="Times" w:hAnsi="Times" w:cs="Times"/>
          <w:noProof/>
        </w:rPr>
        <w:fldChar w:fldCharType="end"/>
      </w:r>
    </w:p>
    <w:p w:rsidR="00380510" w:rsidRDefault="00380510">
      <w:pPr>
        <w:pStyle w:val="TOC5"/>
        <w:rPr>
          <w:rFonts w:ascii="Calibri" w:hAnsi="Calibri"/>
          <w:iCs w:val="0"/>
          <w:noProof/>
          <w:kern w:val="0"/>
          <w:sz w:val="22"/>
          <w:szCs w:val="22"/>
        </w:rPr>
      </w:pPr>
      <w:r>
        <w:rPr>
          <w:noProof/>
        </w:rPr>
        <w:t>820</w:t>
      </w:r>
      <w:r>
        <w:rPr>
          <w:noProof/>
        </w:rPr>
        <w:noBreakHyphen/>
        <w:t>320</w:t>
      </w:r>
      <w:r>
        <w:rPr>
          <w:noProof/>
        </w:rPr>
        <w:tab/>
        <w:t>Worldwide capital amount</w:t>
      </w:r>
      <w:r w:rsidRPr="00380510">
        <w:rPr>
          <w:rFonts w:ascii="Times" w:hAnsi="Times" w:cs="Times"/>
          <w:noProof/>
        </w:rPr>
        <w:tab/>
      </w:r>
      <w:r w:rsidRPr="00380510">
        <w:rPr>
          <w:rFonts w:ascii="Times" w:hAnsi="Times" w:cs="Times"/>
          <w:noProof/>
        </w:rPr>
        <w:fldChar w:fldCharType="begin"/>
      </w:r>
      <w:r w:rsidRPr="00380510">
        <w:rPr>
          <w:rFonts w:ascii="Times" w:hAnsi="Times" w:cs="Times"/>
          <w:noProof/>
        </w:rPr>
        <w:instrText xml:space="preserve"> PAGEREF _Toc338939289 \h </w:instrText>
      </w:r>
      <w:r w:rsidRPr="00380510">
        <w:rPr>
          <w:rFonts w:ascii="Times" w:hAnsi="Times" w:cs="Times"/>
          <w:noProof/>
        </w:rPr>
      </w:r>
      <w:r w:rsidRPr="00380510">
        <w:rPr>
          <w:rFonts w:ascii="Times" w:hAnsi="Times" w:cs="Times"/>
          <w:noProof/>
        </w:rPr>
        <w:fldChar w:fldCharType="separate"/>
      </w:r>
      <w:r w:rsidR="00623A5C">
        <w:rPr>
          <w:rFonts w:ascii="Times" w:hAnsi="Times" w:cs="Times"/>
          <w:noProof/>
        </w:rPr>
        <w:t>187</w:t>
      </w:r>
      <w:r w:rsidRPr="00380510">
        <w:rPr>
          <w:rFonts w:ascii="Times" w:hAnsi="Times" w:cs="Times"/>
          <w:noProof/>
        </w:rPr>
        <w:fldChar w:fldCharType="end"/>
      </w:r>
    </w:p>
    <w:p w:rsidR="00380510" w:rsidRDefault="00380510">
      <w:pPr>
        <w:pStyle w:val="TOC5"/>
        <w:rPr>
          <w:rFonts w:ascii="Calibri" w:hAnsi="Calibri"/>
          <w:iCs w:val="0"/>
          <w:noProof/>
          <w:kern w:val="0"/>
          <w:sz w:val="22"/>
          <w:szCs w:val="22"/>
        </w:rPr>
      </w:pPr>
      <w:r>
        <w:rPr>
          <w:noProof/>
        </w:rPr>
        <w:t>820</w:t>
      </w:r>
      <w:r>
        <w:rPr>
          <w:noProof/>
        </w:rPr>
        <w:noBreakHyphen/>
        <w:t>325</w:t>
      </w:r>
      <w:r>
        <w:rPr>
          <w:noProof/>
        </w:rPr>
        <w:tab/>
        <w:t>Amount of debt deduction disallowed</w:t>
      </w:r>
      <w:r w:rsidRPr="00380510">
        <w:rPr>
          <w:rFonts w:ascii="Times" w:hAnsi="Times" w:cs="Times"/>
          <w:noProof/>
        </w:rPr>
        <w:tab/>
      </w:r>
      <w:r w:rsidRPr="00380510">
        <w:rPr>
          <w:rFonts w:ascii="Times" w:hAnsi="Times" w:cs="Times"/>
          <w:noProof/>
        </w:rPr>
        <w:fldChar w:fldCharType="begin"/>
      </w:r>
      <w:r w:rsidRPr="00380510">
        <w:rPr>
          <w:rFonts w:ascii="Times" w:hAnsi="Times" w:cs="Times"/>
          <w:noProof/>
        </w:rPr>
        <w:instrText xml:space="preserve"> PAGEREF _Toc338939290 \h </w:instrText>
      </w:r>
      <w:r w:rsidRPr="00380510">
        <w:rPr>
          <w:rFonts w:ascii="Times" w:hAnsi="Times" w:cs="Times"/>
          <w:noProof/>
        </w:rPr>
      </w:r>
      <w:r w:rsidRPr="00380510">
        <w:rPr>
          <w:rFonts w:ascii="Times" w:hAnsi="Times" w:cs="Times"/>
          <w:noProof/>
        </w:rPr>
        <w:fldChar w:fldCharType="separate"/>
      </w:r>
      <w:r w:rsidR="00623A5C">
        <w:rPr>
          <w:rFonts w:ascii="Times" w:hAnsi="Times" w:cs="Times"/>
          <w:noProof/>
        </w:rPr>
        <w:t>189</w:t>
      </w:r>
      <w:r w:rsidRPr="00380510">
        <w:rPr>
          <w:rFonts w:ascii="Times" w:hAnsi="Times" w:cs="Times"/>
          <w:noProof/>
        </w:rPr>
        <w:fldChar w:fldCharType="end"/>
      </w:r>
    </w:p>
    <w:p w:rsidR="00380510" w:rsidRDefault="00380510">
      <w:pPr>
        <w:pStyle w:val="TOC5"/>
        <w:rPr>
          <w:rFonts w:ascii="Calibri" w:hAnsi="Calibri"/>
          <w:iCs w:val="0"/>
          <w:noProof/>
          <w:kern w:val="0"/>
          <w:sz w:val="22"/>
          <w:szCs w:val="22"/>
        </w:rPr>
      </w:pPr>
      <w:r>
        <w:rPr>
          <w:noProof/>
        </w:rPr>
        <w:t>820</w:t>
      </w:r>
      <w:r>
        <w:rPr>
          <w:noProof/>
        </w:rPr>
        <w:noBreakHyphen/>
        <w:t>330</w:t>
      </w:r>
      <w:r>
        <w:rPr>
          <w:noProof/>
        </w:rPr>
        <w:tab/>
        <w:t>Application to part year periods</w:t>
      </w:r>
      <w:r w:rsidRPr="00380510">
        <w:rPr>
          <w:rFonts w:ascii="Times" w:hAnsi="Times" w:cs="Times"/>
          <w:noProof/>
        </w:rPr>
        <w:tab/>
      </w:r>
      <w:r w:rsidRPr="00380510">
        <w:rPr>
          <w:rFonts w:ascii="Times" w:hAnsi="Times" w:cs="Times"/>
          <w:noProof/>
        </w:rPr>
        <w:fldChar w:fldCharType="begin"/>
      </w:r>
      <w:r w:rsidRPr="00380510">
        <w:rPr>
          <w:rFonts w:ascii="Times" w:hAnsi="Times" w:cs="Times"/>
          <w:noProof/>
        </w:rPr>
        <w:instrText xml:space="preserve"> PAGEREF _Toc338939291 \h </w:instrText>
      </w:r>
      <w:r w:rsidRPr="00380510">
        <w:rPr>
          <w:rFonts w:ascii="Times" w:hAnsi="Times" w:cs="Times"/>
          <w:noProof/>
        </w:rPr>
      </w:r>
      <w:r w:rsidRPr="00380510">
        <w:rPr>
          <w:rFonts w:ascii="Times" w:hAnsi="Times" w:cs="Times"/>
          <w:noProof/>
        </w:rPr>
        <w:fldChar w:fldCharType="separate"/>
      </w:r>
      <w:r w:rsidR="00623A5C">
        <w:rPr>
          <w:rFonts w:ascii="Times" w:hAnsi="Times" w:cs="Times"/>
          <w:noProof/>
        </w:rPr>
        <w:t>190</w:t>
      </w:r>
      <w:r w:rsidRPr="00380510">
        <w:rPr>
          <w:rFonts w:ascii="Times" w:hAnsi="Times" w:cs="Times"/>
          <w:noProof/>
        </w:rPr>
        <w:fldChar w:fldCharType="end"/>
      </w:r>
    </w:p>
    <w:p w:rsidR="00380510" w:rsidRDefault="00380510">
      <w:pPr>
        <w:pStyle w:val="TOC4"/>
        <w:rPr>
          <w:rFonts w:ascii="Calibri" w:hAnsi="Calibri"/>
          <w:b w:val="0"/>
          <w:noProof/>
          <w:kern w:val="0"/>
          <w:sz w:val="22"/>
          <w:szCs w:val="22"/>
        </w:rPr>
      </w:pPr>
      <w:r>
        <w:rPr>
          <w:noProof/>
        </w:rPr>
        <w:t>Subdivision 820</w:t>
      </w:r>
      <w:r>
        <w:rPr>
          <w:noProof/>
        </w:rPr>
        <w:noBreakHyphen/>
        <w:t>E—Thin capitalisation rules for inward investing entities (ADI)</w:t>
      </w:r>
      <w:r w:rsidRPr="00380510">
        <w:rPr>
          <w:rFonts w:ascii="Times" w:hAnsi="Times" w:cs="Times"/>
          <w:b w:val="0"/>
          <w:noProof/>
          <w:sz w:val="18"/>
        </w:rPr>
        <w:tab/>
      </w:r>
      <w:r w:rsidRPr="00380510">
        <w:rPr>
          <w:rFonts w:ascii="Times" w:hAnsi="Times" w:cs="Times"/>
          <w:b w:val="0"/>
          <w:noProof/>
          <w:sz w:val="18"/>
        </w:rPr>
        <w:fldChar w:fldCharType="begin"/>
      </w:r>
      <w:r w:rsidRPr="00380510">
        <w:rPr>
          <w:rFonts w:ascii="Times" w:hAnsi="Times" w:cs="Times"/>
          <w:b w:val="0"/>
          <w:noProof/>
          <w:sz w:val="18"/>
        </w:rPr>
        <w:instrText xml:space="preserve"> PAGEREF _Toc338939292 \h </w:instrText>
      </w:r>
      <w:r w:rsidRPr="00380510">
        <w:rPr>
          <w:rFonts w:ascii="Times" w:hAnsi="Times" w:cs="Times"/>
          <w:b w:val="0"/>
          <w:noProof/>
          <w:sz w:val="18"/>
        </w:rPr>
      </w:r>
      <w:r w:rsidRPr="00380510">
        <w:rPr>
          <w:rFonts w:ascii="Times" w:hAnsi="Times" w:cs="Times"/>
          <w:b w:val="0"/>
          <w:noProof/>
          <w:sz w:val="18"/>
        </w:rPr>
        <w:fldChar w:fldCharType="separate"/>
      </w:r>
      <w:r w:rsidR="00623A5C">
        <w:rPr>
          <w:rFonts w:ascii="Times" w:hAnsi="Times" w:cs="Times"/>
          <w:b w:val="0"/>
          <w:noProof/>
          <w:sz w:val="18"/>
        </w:rPr>
        <w:t>191</w:t>
      </w:r>
      <w:r w:rsidRPr="00380510">
        <w:rPr>
          <w:rFonts w:ascii="Times" w:hAnsi="Times" w:cs="Times"/>
          <w:b w:val="0"/>
          <w:noProof/>
          <w:sz w:val="18"/>
        </w:rPr>
        <w:fldChar w:fldCharType="end"/>
      </w:r>
    </w:p>
    <w:p w:rsidR="00380510" w:rsidRDefault="00380510">
      <w:pPr>
        <w:pStyle w:val="TOC4"/>
        <w:rPr>
          <w:rFonts w:ascii="Calibri" w:hAnsi="Calibri"/>
          <w:b w:val="0"/>
          <w:noProof/>
          <w:kern w:val="0"/>
          <w:sz w:val="22"/>
          <w:szCs w:val="22"/>
        </w:rPr>
      </w:pPr>
      <w:r>
        <w:rPr>
          <w:noProof/>
        </w:rPr>
        <w:t>Guide to Subdivision 820</w:t>
      </w:r>
      <w:r>
        <w:rPr>
          <w:noProof/>
        </w:rPr>
        <w:noBreakHyphen/>
        <w:t>E</w:t>
      </w:r>
      <w:r w:rsidRPr="00380510">
        <w:rPr>
          <w:rFonts w:ascii="Times" w:hAnsi="Times" w:cs="Times"/>
          <w:b w:val="0"/>
          <w:noProof/>
          <w:sz w:val="18"/>
        </w:rPr>
        <w:tab/>
      </w:r>
      <w:r w:rsidRPr="00380510">
        <w:rPr>
          <w:rFonts w:ascii="Times" w:hAnsi="Times" w:cs="Times"/>
          <w:b w:val="0"/>
          <w:noProof/>
          <w:sz w:val="18"/>
        </w:rPr>
        <w:fldChar w:fldCharType="begin"/>
      </w:r>
      <w:r w:rsidRPr="00380510">
        <w:rPr>
          <w:rFonts w:ascii="Times" w:hAnsi="Times" w:cs="Times"/>
          <w:b w:val="0"/>
          <w:noProof/>
          <w:sz w:val="18"/>
        </w:rPr>
        <w:instrText xml:space="preserve"> PAGEREF _Toc338939293 \h </w:instrText>
      </w:r>
      <w:r w:rsidRPr="00380510">
        <w:rPr>
          <w:rFonts w:ascii="Times" w:hAnsi="Times" w:cs="Times"/>
          <w:b w:val="0"/>
          <w:noProof/>
          <w:sz w:val="18"/>
        </w:rPr>
      </w:r>
      <w:r w:rsidRPr="00380510">
        <w:rPr>
          <w:rFonts w:ascii="Times" w:hAnsi="Times" w:cs="Times"/>
          <w:b w:val="0"/>
          <w:noProof/>
          <w:sz w:val="18"/>
        </w:rPr>
        <w:fldChar w:fldCharType="separate"/>
      </w:r>
      <w:r w:rsidR="00623A5C">
        <w:rPr>
          <w:rFonts w:ascii="Times" w:hAnsi="Times" w:cs="Times"/>
          <w:b w:val="0"/>
          <w:noProof/>
          <w:sz w:val="18"/>
        </w:rPr>
        <w:t>191</w:t>
      </w:r>
      <w:r w:rsidRPr="00380510">
        <w:rPr>
          <w:rFonts w:ascii="Times" w:hAnsi="Times" w:cs="Times"/>
          <w:b w:val="0"/>
          <w:noProof/>
          <w:sz w:val="18"/>
        </w:rPr>
        <w:fldChar w:fldCharType="end"/>
      </w:r>
    </w:p>
    <w:p w:rsidR="00380510" w:rsidRDefault="00380510">
      <w:pPr>
        <w:pStyle w:val="TOC5"/>
        <w:rPr>
          <w:rFonts w:ascii="Calibri" w:hAnsi="Calibri"/>
          <w:iCs w:val="0"/>
          <w:noProof/>
          <w:kern w:val="0"/>
          <w:sz w:val="22"/>
          <w:szCs w:val="22"/>
        </w:rPr>
      </w:pPr>
      <w:r>
        <w:rPr>
          <w:noProof/>
        </w:rPr>
        <w:t>820</w:t>
      </w:r>
      <w:r>
        <w:rPr>
          <w:noProof/>
        </w:rPr>
        <w:noBreakHyphen/>
        <w:t>390</w:t>
      </w:r>
      <w:r>
        <w:rPr>
          <w:noProof/>
        </w:rPr>
        <w:tab/>
        <w:t>What this Subdivision is about</w:t>
      </w:r>
      <w:r w:rsidRPr="00380510">
        <w:rPr>
          <w:rFonts w:ascii="Times" w:hAnsi="Times" w:cs="Times"/>
          <w:noProof/>
        </w:rPr>
        <w:tab/>
      </w:r>
      <w:r w:rsidRPr="00380510">
        <w:rPr>
          <w:rFonts w:ascii="Times" w:hAnsi="Times" w:cs="Times"/>
          <w:noProof/>
        </w:rPr>
        <w:fldChar w:fldCharType="begin"/>
      </w:r>
      <w:r w:rsidRPr="00380510">
        <w:rPr>
          <w:rFonts w:ascii="Times" w:hAnsi="Times" w:cs="Times"/>
          <w:noProof/>
        </w:rPr>
        <w:instrText xml:space="preserve"> PAGEREF _Toc338939294 \h </w:instrText>
      </w:r>
      <w:r w:rsidRPr="00380510">
        <w:rPr>
          <w:rFonts w:ascii="Times" w:hAnsi="Times" w:cs="Times"/>
          <w:noProof/>
        </w:rPr>
      </w:r>
      <w:r w:rsidRPr="00380510">
        <w:rPr>
          <w:rFonts w:ascii="Times" w:hAnsi="Times" w:cs="Times"/>
          <w:noProof/>
        </w:rPr>
        <w:fldChar w:fldCharType="separate"/>
      </w:r>
      <w:r w:rsidR="00623A5C">
        <w:rPr>
          <w:rFonts w:ascii="Times" w:hAnsi="Times" w:cs="Times"/>
          <w:noProof/>
        </w:rPr>
        <w:t>191</w:t>
      </w:r>
      <w:r w:rsidRPr="00380510">
        <w:rPr>
          <w:rFonts w:ascii="Times" w:hAnsi="Times" w:cs="Times"/>
          <w:noProof/>
        </w:rPr>
        <w:fldChar w:fldCharType="end"/>
      </w:r>
    </w:p>
    <w:p w:rsidR="00380510" w:rsidRDefault="00380510">
      <w:pPr>
        <w:pStyle w:val="TOC4"/>
        <w:rPr>
          <w:rFonts w:ascii="Calibri" w:hAnsi="Calibri"/>
          <w:b w:val="0"/>
          <w:noProof/>
          <w:kern w:val="0"/>
          <w:sz w:val="22"/>
          <w:szCs w:val="22"/>
        </w:rPr>
      </w:pPr>
      <w:r>
        <w:rPr>
          <w:noProof/>
        </w:rPr>
        <w:t>Operative provisions</w:t>
      </w:r>
      <w:r w:rsidRPr="00380510">
        <w:rPr>
          <w:rFonts w:ascii="Times" w:hAnsi="Times" w:cs="Times"/>
          <w:b w:val="0"/>
          <w:noProof/>
          <w:sz w:val="18"/>
        </w:rPr>
        <w:tab/>
      </w:r>
      <w:r w:rsidRPr="00380510">
        <w:rPr>
          <w:rFonts w:ascii="Times" w:hAnsi="Times" w:cs="Times"/>
          <w:b w:val="0"/>
          <w:noProof/>
          <w:sz w:val="18"/>
        </w:rPr>
        <w:fldChar w:fldCharType="begin"/>
      </w:r>
      <w:r w:rsidRPr="00380510">
        <w:rPr>
          <w:rFonts w:ascii="Times" w:hAnsi="Times" w:cs="Times"/>
          <w:b w:val="0"/>
          <w:noProof/>
          <w:sz w:val="18"/>
        </w:rPr>
        <w:instrText xml:space="preserve"> PAGEREF _Toc338939295 \h </w:instrText>
      </w:r>
      <w:r w:rsidRPr="00380510">
        <w:rPr>
          <w:rFonts w:ascii="Times" w:hAnsi="Times" w:cs="Times"/>
          <w:b w:val="0"/>
          <w:noProof/>
          <w:sz w:val="18"/>
        </w:rPr>
      </w:r>
      <w:r w:rsidRPr="00380510">
        <w:rPr>
          <w:rFonts w:ascii="Times" w:hAnsi="Times" w:cs="Times"/>
          <w:b w:val="0"/>
          <w:noProof/>
          <w:sz w:val="18"/>
        </w:rPr>
        <w:fldChar w:fldCharType="separate"/>
      </w:r>
      <w:r w:rsidR="00623A5C">
        <w:rPr>
          <w:rFonts w:ascii="Times" w:hAnsi="Times" w:cs="Times"/>
          <w:b w:val="0"/>
          <w:noProof/>
          <w:sz w:val="18"/>
        </w:rPr>
        <w:t>192</w:t>
      </w:r>
      <w:r w:rsidRPr="00380510">
        <w:rPr>
          <w:rFonts w:ascii="Times" w:hAnsi="Times" w:cs="Times"/>
          <w:b w:val="0"/>
          <w:noProof/>
          <w:sz w:val="18"/>
        </w:rPr>
        <w:fldChar w:fldCharType="end"/>
      </w:r>
    </w:p>
    <w:p w:rsidR="00380510" w:rsidRDefault="00380510">
      <w:pPr>
        <w:pStyle w:val="TOC5"/>
        <w:rPr>
          <w:rFonts w:ascii="Calibri" w:hAnsi="Calibri"/>
          <w:iCs w:val="0"/>
          <w:noProof/>
          <w:kern w:val="0"/>
          <w:sz w:val="22"/>
          <w:szCs w:val="22"/>
        </w:rPr>
      </w:pPr>
      <w:r>
        <w:rPr>
          <w:noProof/>
        </w:rPr>
        <w:t>820</w:t>
      </w:r>
      <w:r>
        <w:rPr>
          <w:noProof/>
        </w:rPr>
        <w:noBreakHyphen/>
        <w:t>395</w:t>
      </w:r>
      <w:r>
        <w:rPr>
          <w:noProof/>
        </w:rPr>
        <w:tab/>
        <w:t>Thin capitalisation rule for inward investing entities (ADI)</w:t>
      </w:r>
      <w:r w:rsidRPr="00380510">
        <w:rPr>
          <w:rFonts w:ascii="Times" w:hAnsi="Times" w:cs="Times"/>
          <w:noProof/>
        </w:rPr>
        <w:tab/>
      </w:r>
      <w:r w:rsidRPr="00380510">
        <w:rPr>
          <w:rFonts w:ascii="Times" w:hAnsi="Times" w:cs="Times"/>
          <w:noProof/>
        </w:rPr>
        <w:fldChar w:fldCharType="begin"/>
      </w:r>
      <w:r w:rsidRPr="00380510">
        <w:rPr>
          <w:rFonts w:ascii="Times" w:hAnsi="Times" w:cs="Times"/>
          <w:noProof/>
        </w:rPr>
        <w:instrText xml:space="preserve"> PAGEREF _Toc338939296 \h </w:instrText>
      </w:r>
      <w:r w:rsidRPr="00380510">
        <w:rPr>
          <w:rFonts w:ascii="Times" w:hAnsi="Times" w:cs="Times"/>
          <w:noProof/>
        </w:rPr>
      </w:r>
      <w:r w:rsidRPr="00380510">
        <w:rPr>
          <w:rFonts w:ascii="Times" w:hAnsi="Times" w:cs="Times"/>
          <w:noProof/>
        </w:rPr>
        <w:fldChar w:fldCharType="separate"/>
      </w:r>
      <w:r w:rsidR="00623A5C">
        <w:rPr>
          <w:rFonts w:ascii="Times" w:hAnsi="Times" w:cs="Times"/>
          <w:noProof/>
        </w:rPr>
        <w:t>192</w:t>
      </w:r>
      <w:r w:rsidRPr="00380510">
        <w:rPr>
          <w:rFonts w:ascii="Times" w:hAnsi="Times" w:cs="Times"/>
          <w:noProof/>
        </w:rPr>
        <w:fldChar w:fldCharType="end"/>
      </w:r>
    </w:p>
    <w:p w:rsidR="00380510" w:rsidRDefault="00380510">
      <w:pPr>
        <w:pStyle w:val="TOC5"/>
        <w:rPr>
          <w:rFonts w:ascii="Calibri" w:hAnsi="Calibri"/>
          <w:iCs w:val="0"/>
          <w:noProof/>
          <w:kern w:val="0"/>
          <w:sz w:val="22"/>
          <w:szCs w:val="22"/>
        </w:rPr>
      </w:pPr>
      <w:r>
        <w:rPr>
          <w:noProof/>
        </w:rPr>
        <w:t>820</w:t>
      </w:r>
      <w:r>
        <w:rPr>
          <w:noProof/>
        </w:rPr>
        <w:noBreakHyphen/>
        <w:t>400</w:t>
      </w:r>
      <w:r>
        <w:rPr>
          <w:noProof/>
        </w:rPr>
        <w:tab/>
        <w:t>Minimum capital amount</w:t>
      </w:r>
      <w:r w:rsidRPr="00380510">
        <w:rPr>
          <w:rFonts w:ascii="Times" w:hAnsi="Times" w:cs="Times"/>
          <w:noProof/>
        </w:rPr>
        <w:tab/>
      </w:r>
      <w:r w:rsidRPr="00380510">
        <w:rPr>
          <w:rFonts w:ascii="Times" w:hAnsi="Times" w:cs="Times"/>
          <w:noProof/>
        </w:rPr>
        <w:fldChar w:fldCharType="begin"/>
      </w:r>
      <w:r w:rsidRPr="00380510">
        <w:rPr>
          <w:rFonts w:ascii="Times" w:hAnsi="Times" w:cs="Times"/>
          <w:noProof/>
        </w:rPr>
        <w:instrText xml:space="preserve"> PAGEREF _Toc338939297 \h </w:instrText>
      </w:r>
      <w:r w:rsidRPr="00380510">
        <w:rPr>
          <w:rFonts w:ascii="Times" w:hAnsi="Times" w:cs="Times"/>
          <w:noProof/>
        </w:rPr>
      </w:r>
      <w:r w:rsidRPr="00380510">
        <w:rPr>
          <w:rFonts w:ascii="Times" w:hAnsi="Times" w:cs="Times"/>
          <w:noProof/>
        </w:rPr>
        <w:fldChar w:fldCharType="separate"/>
      </w:r>
      <w:r w:rsidR="00623A5C">
        <w:rPr>
          <w:rFonts w:ascii="Times" w:hAnsi="Times" w:cs="Times"/>
          <w:noProof/>
        </w:rPr>
        <w:t>193</w:t>
      </w:r>
      <w:r w:rsidRPr="00380510">
        <w:rPr>
          <w:rFonts w:ascii="Times" w:hAnsi="Times" w:cs="Times"/>
          <w:noProof/>
        </w:rPr>
        <w:fldChar w:fldCharType="end"/>
      </w:r>
    </w:p>
    <w:p w:rsidR="00380510" w:rsidRDefault="00380510">
      <w:pPr>
        <w:pStyle w:val="TOC5"/>
        <w:rPr>
          <w:rFonts w:ascii="Calibri" w:hAnsi="Calibri"/>
          <w:iCs w:val="0"/>
          <w:noProof/>
          <w:kern w:val="0"/>
          <w:sz w:val="22"/>
          <w:szCs w:val="22"/>
        </w:rPr>
      </w:pPr>
      <w:r>
        <w:rPr>
          <w:noProof/>
        </w:rPr>
        <w:t>820</w:t>
      </w:r>
      <w:r>
        <w:rPr>
          <w:noProof/>
        </w:rPr>
        <w:noBreakHyphen/>
        <w:t>405</w:t>
      </w:r>
      <w:r>
        <w:rPr>
          <w:noProof/>
        </w:rPr>
        <w:tab/>
        <w:t>Safe harbour capital amount</w:t>
      </w:r>
      <w:r w:rsidRPr="00380510">
        <w:rPr>
          <w:rFonts w:ascii="Times" w:hAnsi="Times" w:cs="Times"/>
          <w:noProof/>
        </w:rPr>
        <w:tab/>
      </w:r>
      <w:r w:rsidRPr="00380510">
        <w:rPr>
          <w:rFonts w:ascii="Times" w:hAnsi="Times" w:cs="Times"/>
          <w:noProof/>
        </w:rPr>
        <w:fldChar w:fldCharType="begin"/>
      </w:r>
      <w:r w:rsidRPr="00380510">
        <w:rPr>
          <w:rFonts w:ascii="Times" w:hAnsi="Times" w:cs="Times"/>
          <w:noProof/>
        </w:rPr>
        <w:instrText xml:space="preserve"> PAGEREF _Toc338939298 \h </w:instrText>
      </w:r>
      <w:r w:rsidRPr="00380510">
        <w:rPr>
          <w:rFonts w:ascii="Times" w:hAnsi="Times" w:cs="Times"/>
          <w:noProof/>
        </w:rPr>
      </w:r>
      <w:r w:rsidRPr="00380510">
        <w:rPr>
          <w:rFonts w:ascii="Times" w:hAnsi="Times" w:cs="Times"/>
          <w:noProof/>
        </w:rPr>
        <w:fldChar w:fldCharType="separate"/>
      </w:r>
      <w:r w:rsidR="00623A5C">
        <w:rPr>
          <w:rFonts w:ascii="Times" w:hAnsi="Times" w:cs="Times"/>
          <w:noProof/>
        </w:rPr>
        <w:t>194</w:t>
      </w:r>
      <w:r w:rsidRPr="00380510">
        <w:rPr>
          <w:rFonts w:ascii="Times" w:hAnsi="Times" w:cs="Times"/>
          <w:noProof/>
        </w:rPr>
        <w:fldChar w:fldCharType="end"/>
      </w:r>
    </w:p>
    <w:p w:rsidR="00380510" w:rsidRDefault="00380510">
      <w:pPr>
        <w:pStyle w:val="TOC5"/>
        <w:rPr>
          <w:rFonts w:ascii="Calibri" w:hAnsi="Calibri"/>
          <w:iCs w:val="0"/>
          <w:noProof/>
          <w:kern w:val="0"/>
          <w:sz w:val="22"/>
          <w:szCs w:val="22"/>
        </w:rPr>
      </w:pPr>
      <w:r>
        <w:rPr>
          <w:noProof/>
        </w:rPr>
        <w:t>820</w:t>
      </w:r>
      <w:r>
        <w:rPr>
          <w:noProof/>
        </w:rPr>
        <w:noBreakHyphen/>
        <w:t>410</w:t>
      </w:r>
      <w:r>
        <w:rPr>
          <w:noProof/>
        </w:rPr>
        <w:tab/>
        <w:t>Arm’s length capital amount</w:t>
      </w:r>
      <w:r w:rsidRPr="00380510">
        <w:rPr>
          <w:rFonts w:ascii="Times" w:hAnsi="Times" w:cs="Times"/>
          <w:noProof/>
        </w:rPr>
        <w:tab/>
      </w:r>
      <w:r w:rsidRPr="00380510">
        <w:rPr>
          <w:rFonts w:ascii="Times" w:hAnsi="Times" w:cs="Times"/>
          <w:noProof/>
        </w:rPr>
        <w:fldChar w:fldCharType="begin"/>
      </w:r>
      <w:r w:rsidRPr="00380510">
        <w:rPr>
          <w:rFonts w:ascii="Times" w:hAnsi="Times" w:cs="Times"/>
          <w:noProof/>
        </w:rPr>
        <w:instrText xml:space="preserve"> PAGEREF _Toc338939299 \h </w:instrText>
      </w:r>
      <w:r w:rsidRPr="00380510">
        <w:rPr>
          <w:rFonts w:ascii="Times" w:hAnsi="Times" w:cs="Times"/>
          <w:noProof/>
        </w:rPr>
      </w:r>
      <w:r w:rsidRPr="00380510">
        <w:rPr>
          <w:rFonts w:ascii="Times" w:hAnsi="Times" w:cs="Times"/>
          <w:noProof/>
        </w:rPr>
        <w:fldChar w:fldCharType="separate"/>
      </w:r>
      <w:r w:rsidR="00623A5C">
        <w:rPr>
          <w:rFonts w:ascii="Times" w:hAnsi="Times" w:cs="Times"/>
          <w:noProof/>
        </w:rPr>
        <w:t>194</w:t>
      </w:r>
      <w:r w:rsidRPr="00380510">
        <w:rPr>
          <w:rFonts w:ascii="Times" w:hAnsi="Times" w:cs="Times"/>
          <w:noProof/>
        </w:rPr>
        <w:fldChar w:fldCharType="end"/>
      </w:r>
    </w:p>
    <w:p w:rsidR="00380510" w:rsidRDefault="00380510">
      <w:pPr>
        <w:pStyle w:val="TOC5"/>
        <w:rPr>
          <w:rFonts w:ascii="Calibri" w:hAnsi="Calibri"/>
          <w:iCs w:val="0"/>
          <w:noProof/>
          <w:kern w:val="0"/>
          <w:sz w:val="22"/>
          <w:szCs w:val="22"/>
        </w:rPr>
      </w:pPr>
      <w:r>
        <w:rPr>
          <w:noProof/>
        </w:rPr>
        <w:t>820</w:t>
      </w:r>
      <w:r>
        <w:rPr>
          <w:noProof/>
        </w:rPr>
        <w:noBreakHyphen/>
        <w:t>415</w:t>
      </w:r>
      <w:r>
        <w:rPr>
          <w:noProof/>
        </w:rPr>
        <w:tab/>
        <w:t>Amount of debt deduction disallowed</w:t>
      </w:r>
      <w:r w:rsidRPr="00380510">
        <w:rPr>
          <w:rFonts w:ascii="Times" w:hAnsi="Times" w:cs="Times"/>
          <w:noProof/>
        </w:rPr>
        <w:tab/>
      </w:r>
      <w:r w:rsidRPr="00380510">
        <w:rPr>
          <w:rFonts w:ascii="Times" w:hAnsi="Times" w:cs="Times"/>
          <w:noProof/>
        </w:rPr>
        <w:fldChar w:fldCharType="begin"/>
      </w:r>
      <w:r w:rsidRPr="00380510">
        <w:rPr>
          <w:rFonts w:ascii="Times" w:hAnsi="Times" w:cs="Times"/>
          <w:noProof/>
        </w:rPr>
        <w:instrText xml:space="preserve"> PAGEREF _Toc338939300 \h </w:instrText>
      </w:r>
      <w:r w:rsidRPr="00380510">
        <w:rPr>
          <w:rFonts w:ascii="Times" w:hAnsi="Times" w:cs="Times"/>
          <w:noProof/>
        </w:rPr>
      </w:r>
      <w:r w:rsidRPr="00380510">
        <w:rPr>
          <w:rFonts w:ascii="Times" w:hAnsi="Times" w:cs="Times"/>
          <w:noProof/>
        </w:rPr>
        <w:fldChar w:fldCharType="separate"/>
      </w:r>
      <w:r w:rsidR="00623A5C">
        <w:rPr>
          <w:rFonts w:ascii="Times" w:hAnsi="Times" w:cs="Times"/>
          <w:noProof/>
        </w:rPr>
        <w:t>196</w:t>
      </w:r>
      <w:r w:rsidRPr="00380510">
        <w:rPr>
          <w:rFonts w:ascii="Times" w:hAnsi="Times" w:cs="Times"/>
          <w:noProof/>
        </w:rPr>
        <w:fldChar w:fldCharType="end"/>
      </w:r>
    </w:p>
    <w:p w:rsidR="00380510" w:rsidRDefault="00380510">
      <w:pPr>
        <w:pStyle w:val="TOC5"/>
        <w:rPr>
          <w:rFonts w:ascii="Calibri" w:hAnsi="Calibri"/>
          <w:iCs w:val="0"/>
          <w:noProof/>
          <w:kern w:val="0"/>
          <w:sz w:val="22"/>
          <w:szCs w:val="22"/>
        </w:rPr>
      </w:pPr>
      <w:r>
        <w:rPr>
          <w:noProof/>
        </w:rPr>
        <w:t>820</w:t>
      </w:r>
      <w:r>
        <w:rPr>
          <w:noProof/>
        </w:rPr>
        <w:noBreakHyphen/>
        <w:t>420</w:t>
      </w:r>
      <w:r>
        <w:rPr>
          <w:noProof/>
        </w:rPr>
        <w:tab/>
        <w:t>Application to part year periods</w:t>
      </w:r>
      <w:r w:rsidRPr="00380510">
        <w:rPr>
          <w:rFonts w:ascii="Times" w:hAnsi="Times" w:cs="Times"/>
          <w:noProof/>
        </w:rPr>
        <w:tab/>
      </w:r>
      <w:r w:rsidRPr="00380510">
        <w:rPr>
          <w:rFonts w:ascii="Times" w:hAnsi="Times" w:cs="Times"/>
          <w:noProof/>
        </w:rPr>
        <w:fldChar w:fldCharType="begin"/>
      </w:r>
      <w:r w:rsidRPr="00380510">
        <w:rPr>
          <w:rFonts w:ascii="Times" w:hAnsi="Times" w:cs="Times"/>
          <w:noProof/>
        </w:rPr>
        <w:instrText xml:space="preserve"> PAGEREF _Toc338939301 \h </w:instrText>
      </w:r>
      <w:r w:rsidRPr="00380510">
        <w:rPr>
          <w:rFonts w:ascii="Times" w:hAnsi="Times" w:cs="Times"/>
          <w:noProof/>
        </w:rPr>
      </w:r>
      <w:r w:rsidRPr="00380510">
        <w:rPr>
          <w:rFonts w:ascii="Times" w:hAnsi="Times" w:cs="Times"/>
          <w:noProof/>
        </w:rPr>
        <w:fldChar w:fldCharType="separate"/>
      </w:r>
      <w:r w:rsidR="00623A5C">
        <w:rPr>
          <w:rFonts w:ascii="Times" w:hAnsi="Times" w:cs="Times"/>
          <w:noProof/>
        </w:rPr>
        <w:t>197</w:t>
      </w:r>
      <w:r w:rsidRPr="00380510">
        <w:rPr>
          <w:rFonts w:ascii="Times" w:hAnsi="Times" w:cs="Times"/>
          <w:noProof/>
        </w:rPr>
        <w:fldChar w:fldCharType="end"/>
      </w:r>
    </w:p>
    <w:p w:rsidR="00380510" w:rsidRDefault="00380510">
      <w:pPr>
        <w:pStyle w:val="TOC4"/>
        <w:rPr>
          <w:rFonts w:ascii="Calibri" w:hAnsi="Calibri"/>
          <w:b w:val="0"/>
          <w:noProof/>
          <w:kern w:val="0"/>
          <w:sz w:val="22"/>
          <w:szCs w:val="22"/>
        </w:rPr>
      </w:pPr>
      <w:r>
        <w:rPr>
          <w:noProof/>
        </w:rPr>
        <w:lastRenderedPageBreak/>
        <w:t>Subdivision 820</w:t>
      </w:r>
      <w:r>
        <w:rPr>
          <w:noProof/>
        </w:rPr>
        <w:noBreakHyphen/>
        <w:t>EA—Some financial entities may choose to be treated as ADIs</w:t>
      </w:r>
      <w:r w:rsidRPr="00380510">
        <w:rPr>
          <w:rFonts w:ascii="Times" w:hAnsi="Times" w:cs="Times"/>
          <w:b w:val="0"/>
          <w:noProof/>
          <w:sz w:val="18"/>
        </w:rPr>
        <w:tab/>
      </w:r>
      <w:r w:rsidRPr="00380510">
        <w:rPr>
          <w:rFonts w:ascii="Times" w:hAnsi="Times" w:cs="Times"/>
          <w:b w:val="0"/>
          <w:noProof/>
          <w:sz w:val="18"/>
        </w:rPr>
        <w:fldChar w:fldCharType="begin"/>
      </w:r>
      <w:r w:rsidRPr="00380510">
        <w:rPr>
          <w:rFonts w:ascii="Times" w:hAnsi="Times" w:cs="Times"/>
          <w:b w:val="0"/>
          <w:noProof/>
          <w:sz w:val="18"/>
        </w:rPr>
        <w:instrText xml:space="preserve"> PAGEREF _Toc338939302 \h </w:instrText>
      </w:r>
      <w:r w:rsidRPr="00380510">
        <w:rPr>
          <w:rFonts w:ascii="Times" w:hAnsi="Times" w:cs="Times"/>
          <w:b w:val="0"/>
          <w:noProof/>
          <w:sz w:val="18"/>
        </w:rPr>
      </w:r>
      <w:r w:rsidRPr="00380510">
        <w:rPr>
          <w:rFonts w:ascii="Times" w:hAnsi="Times" w:cs="Times"/>
          <w:b w:val="0"/>
          <w:noProof/>
          <w:sz w:val="18"/>
        </w:rPr>
        <w:fldChar w:fldCharType="separate"/>
      </w:r>
      <w:r w:rsidR="00623A5C">
        <w:rPr>
          <w:rFonts w:ascii="Times" w:hAnsi="Times" w:cs="Times"/>
          <w:b w:val="0"/>
          <w:noProof/>
          <w:sz w:val="18"/>
        </w:rPr>
        <w:t>199</w:t>
      </w:r>
      <w:r w:rsidRPr="00380510">
        <w:rPr>
          <w:rFonts w:ascii="Times" w:hAnsi="Times" w:cs="Times"/>
          <w:b w:val="0"/>
          <w:noProof/>
          <w:sz w:val="18"/>
        </w:rPr>
        <w:fldChar w:fldCharType="end"/>
      </w:r>
    </w:p>
    <w:p w:rsidR="00380510" w:rsidRDefault="00380510">
      <w:pPr>
        <w:pStyle w:val="TOC5"/>
        <w:rPr>
          <w:rFonts w:ascii="Calibri" w:hAnsi="Calibri"/>
          <w:iCs w:val="0"/>
          <w:noProof/>
          <w:kern w:val="0"/>
          <w:sz w:val="22"/>
          <w:szCs w:val="22"/>
        </w:rPr>
      </w:pPr>
      <w:r>
        <w:rPr>
          <w:noProof/>
        </w:rPr>
        <w:t>820</w:t>
      </w:r>
      <w:r>
        <w:rPr>
          <w:noProof/>
        </w:rPr>
        <w:noBreakHyphen/>
        <w:t>430</w:t>
      </w:r>
      <w:r>
        <w:rPr>
          <w:noProof/>
        </w:rPr>
        <w:tab/>
        <w:t>When choice can be made, and what effect it has</w:t>
      </w:r>
      <w:r w:rsidRPr="00380510">
        <w:rPr>
          <w:rFonts w:ascii="Times" w:hAnsi="Times" w:cs="Times"/>
          <w:noProof/>
        </w:rPr>
        <w:tab/>
      </w:r>
      <w:r w:rsidRPr="00380510">
        <w:rPr>
          <w:rFonts w:ascii="Times" w:hAnsi="Times" w:cs="Times"/>
          <w:noProof/>
        </w:rPr>
        <w:fldChar w:fldCharType="begin"/>
      </w:r>
      <w:r w:rsidRPr="00380510">
        <w:rPr>
          <w:rFonts w:ascii="Times" w:hAnsi="Times" w:cs="Times"/>
          <w:noProof/>
        </w:rPr>
        <w:instrText xml:space="preserve"> PAGEREF _Toc338939303 \h </w:instrText>
      </w:r>
      <w:r w:rsidRPr="00380510">
        <w:rPr>
          <w:rFonts w:ascii="Times" w:hAnsi="Times" w:cs="Times"/>
          <w:noProof/>
        </w:rPr>
      </w:r>
      <w:r w:rsidRPr="00380510">
        <w:rPr>
          <w:rFonts w:ascii="Times" w:hAnsi="Times" w:cs="Times"/>
          <w:noProof/>
        </w:rPr>
        <w:fldChar w:fldCharType="separate"/>
      </w:r>
      <w:r w:rsidR="00623A5C">
        <w:rPr>
          <w:rFonts w:ascii="Times" w:hAnsi="Times" w:cs="Times"/>
          <w:noProof/>
        </w:rPr>
        <w:t>199</w:t>
      </w:r>
      <w:r w:rsidRPr="00380510">
        <w:rPr>
          <w:rFonts w:ascii="Times" w:hAnsi="Times" w:cs="Times"/>
          <w:noProof/>
        </w:rPr>
        <w:fldChar w:fldCharType="end"/>
      </w:r>
    </w:p>
    <w:p w:rsidR="00380510" w:rsidRDefault="00380510">
      <w:pPr>
        <w:pStyle w:val="TOC5"/>
        <w:rPr>
          <w:rFonts w:ascii="Calibri" w:hAnsi="Calibri"/>
          <w:iCs w:val="0"/>
          <w:noProof/>
          <w:kern w:val="0"/>
          <w:sz w:val="22"/>
          <w:szCs w:val="22"/>
        </w:rPr>
      </w:pPr>
      <w:r>
        <w:rPr>
          <w:noProof/>
        </w:rPr>
        <w:t>820</w:t>
      </w:r>
      <w:r>
        <w:rPr>
          <w:noProof/>
        </w:rPr>
        <w:noBreakHyphen/>
        <w:t>435</w:t>
      </w:r>
      <w:r>
        <w:rPr>
          <w:noProof/>
        </w:rPr>
        <w:tab/>
        <w:t>Conditions</w:t>
      </w:r>
      <w:r w:rsidRPr="00380510">
        <w:rPr>
          <w:rFonts w:ascii="Times" w:hAnsi="Times" w:cs="Times"/>
          <w:noProof/>
        </w:rPr>
        <w:tab/>
      </w:r>
      <w:r w:rsidRPr="00380510">
        <w:rPr>
          <w:rFonts w:ascii="Times" w:hAnsi="Times" w:cs="Times"/>
          <w:noProof/>
        </w:rPr>
        <w:fldChar w:fldCharType="begin"/>
      </w:r>
      <w:r w:rsidRPr="00380510">
        <w:rPr>
          <w:rFonts w:ascii="Times" w:hAnsi="Times" w:cs="Times"/>
          <w:noProof/>
        </w:rPr>
        <w:instrText xml:space="preserve"> PAGEREF _Toc338939304 \h </w:instrText>
      </w:r>
      <w:r w:rsidRPr="00380510">
        <w:rPr>
          <w:rFonts w:ascii="Times" w:hAnsi="Times" w:cs="Times"/>
          <w:noProof/>
        </w:rPr>
      </w:r>
      <w:r w:rsidRPr="00380510">
        <w:rPr>
          <w:rFonts w:ascii="Times" w:hAnsi="Times" w:cs="Times"/>
          <w:noProof/>
        </w:rPr>
        <w:fldChar w:fldCharType="separate"/>
      </w:r>
      <w:r w:rsidR="00623A5C">
        <w:rPr>
          <w:rFonts w:ascii="Times" w:hAnsi="Times" w:cs="Times"/>
          <w:noProof/>
        </w:rPr>
        <w:t>200</w:t>
      </w:r>
      <w:r w:rsidRPr="00380510">
        <w:rPr>
          <w:rFonts w:ascii="Times" w:hAnsi="Times" w:cs="Times"/>
          <w:noProof/>
        </w:rPr>
        <w:fldChar w:fldCharType="end"/>
      </w:r>
    </w:p>
    <w:p w:rsidR="00380510" w:rsidRDefault="00380510">
      <w:pPr>
        <w:pStyle w:val="TOC5"/>
        <w:rPr>
          <w:rFonts w:ascii="Calibri" w:hAnsi="Calibri"/>
          <w:iCs w:val="0"/>
          <w:noProof/>
          <w:kern w:val="0"/>
          <w:sz w:val="22"/>
          <w:szCs w:val="22"/>
        </w:rPr>
      </w:pPr>
      <w:r>
        <w:rPr>
          <w:noProof/>
        </w:rPr>
        <w:t>820</w:t>
      </w:r>
      <w:r>
        <w:rPr>
          <w:noProof/>
        </w:rPr>
        <w:noBreakHyphen/>
        <w:t>440</w:t>
      </w:r>
      <w:r>
        <w:rPr>
          <w:noProof/>
        </w:rPr>
        <w:tab/>
        <w:t>Revocation of choice</w:t>
      </w:r>
      <w:r w:rsidRPr="00380510">
        <w:rPr>
          <w:rFonts w:ascii="Times" w:hAnsi="Times" w:cs="Times"/>
          <w:noProof/>
        </w:rPr>
        <w:tab/>
      </w:r>
      <w:r w:rsidRPr="00380510">
        <w:rPr>
          <w:rFonts w:ascii="Times" w:hAnsi="Times" w:cs="Times"/>
          <w:noProof/>
        </w:rPr>
        <w:fldChar w:fldCharType="begin"/>
      </w:r>
      <w:r w:rsidRPr="00380510">
        <w:rPr>
          <w:rFonts w:ascii="Times" w:hAnsi="Times" w:cs="Times"/>
          <w:noProof/>
        </w:rPr>
        <w:instrText xml:space="preserve"> PAGEREF _Toc338939305 \h </w:instrText>
      </w:r>
      <w:r w:rsidRPr="00380510">
        <w:rPr>
          <w:rFonts w:ascii="Times" w:hAnsi="Times" w:cs="Times"/>
          <w:noProof/>
        </w:rPr>
      </w:r>
      <w:r w:rsidRPr="00380510">
        <w:rPr>
          <w:rFonts w:ascii="Times" w:hAnsi="Times" w:cs="Times"/>
          <w:noProof/>
        </w:rPr>
        <w:fldChar w:fldCharType="separate"/>
      </w:r>
      <w:r w:rsidR="00623A5C">
        <w:rPr>
          <w:rFonts w:ascii="Times" w:hAnsi="Times" w:cs="Times"/>
          <w:noProof/>
        </w:rPr>
        <w:t>202</w:t>
      </w:r>
      <w:r w:rsidRPr="00380510">
        <w:rPr>
          <w:rFonts w:ascii="Times" w:hAnsi="Times" w:cs="Times"/>
          <w:noProof/>
        </w:rPr>
        <w:fldChar w:fldCharType="end"/>
      </w:r>
    </w:p>
    <w:p w:rsidR="00380510" w:rsidRDefault="00380510">
      <w:pPr>
        <w:pStyle w:val="TOC5"/>
        <w:rPr>
          <w:rFonts w:ascii="Calibri" w:hAnsi="Calibri"/>
          <w:iCs w:val="0"/>
          <w:noProof/>
          <w:kern w:val="0"/>
          <w:sz w:val="22"/>
          <w:szCs w:val="22"/>
        </w:rPr>
      </w:pPr>
      <w:r>
        <w:rPr>
          <w:noProof/>
        </w:rPr>
        <w:t>820</w:t>
      </w:r>
      <w:r>
        <w:rPr>
          <w:noProof/>
        </w:rPr>
        <w:noBreakHyphen/>
        <w:t>445</w:t>
      </w:r>
      <w:r>
        <w:rPr>
          <w:noProof/>
        </w:rPr>
        <w:tab/>
        <w:t>How this Subdivision interacts with Subdivision 820</w:t>
      </w:r>
      <w:r>
        <w:rPr>
          <w:noProof/>
        </w:rPr>
        <w:noBreakHyphen/>
        <w:t>FA</w:t>
      </w:r>
      <w:r w:rsidRPr="00380510">
        <w:rPr>
          <w:rFonts w:ascii="Times" w:hAnsi="Times" w:cs="Times"/>
          <w:noProof/>
        </w:rPr>
        <w:tab/>
      </w:r>
      <w:r w:rsidRPr="00380510">
        <w:rPr>
          <w:rFonts w:ascii="Times" w:hAnsi="Times" w:cs="Times"/>
          <w:noProof/>
        </w:rPr>
        <w:fldChar w:fldCharType="begin"/>
      </w:r>
      <w:r w:rsidRPr="00380510">
        <w:rPr>
          <w:rFonts w:ascii="Times" w:hAnsi="Times" w:cs="Times"/>
          <w:noProof/>
        </w:rPr>
        <w:instrText xml:space="preserve"> PAGEREF _Toc338939306 \h </w:instrText>
      </w:r>
      <w:r w:rsidRPr="00380510">
        <w:rPr>
          <w:rFonts w:ascii="Times" w:hAnsi="Times" w:cs="Times"/>
          <w:noProof/>
        </w:rPr>
      </w:r>
      <w:r w:rsidRPr="00380510">
        <w:rPr>
          <w:rFonts w:ascii="Times" w:hAnsi="Times" w:cs="Times"/>
          <w:noProof/>
        </w:rPr>
        <w:fldChar w:fldCharType="separate"/>
      </w:r>
      <w:r w:rsidR="00623A5C">
        <w:rPr>
          <w:rFonts w:ascii="Times" w:hAnsi="Times" w:cs="Times"/>
          <w:noProof/>
        </w:rPr>
        <w:t>202</w:t>
      </w:r>
      <w:r w:rsidRPr="00380510">
        <w:rPr>
          <w:rFonts w:ascii="Times" w:hAnsi="Times" w:cs="Times"/>
          <w:noProof/>
        </w:rPr>
        <w:fldChar w:fldCharType="end"/>
      </w:r>
    </w:p>
    <w:p w:rsidR="00380510" w:rsidRDefault="00380510">
      <w:pPr>
        <w:pStyle w:val="TOC4"/>
        <w:rPr>
          <w:rFonts w:ascii="Calibri" w:hAnsi="Calibri"/>
          <w:b w:val="0"/>
          <w:noProof/>
          <w:kern w:val="0"/>
          <w:sz w:val="22"/>
          <w:szCs w:val="22"/>
        </w:rPr>
      </w:pPr>
      <w:r>
        <w:rPr>
          <w:noProof/>
        </w:rPr>
        <w:t>Subdivision 820</w:t>
      </w:r>
      <w:r>
        <w:rPr>
          <w:noProof/>
        </w:rPr>
        <w:noBreakHyphen/>
        <w:t>FA—How the thin capitalisation rules apply to consolidated groups and MEC groups</w:t>
      </w:r>
      <w:r w:rsidRPr="00380510">
        <w:rPr>
          <w:rFonts w:ascii="Times" w:hAnsi="Times" w:cs="Times"/>
          <w:b w:val="0"/>
          <w:noProof/>
          <w:sz w:val="18"/>
        </w:rPr>
        <w:tab/>
      </w:r>
      <w:r w:rsidRPr="00380510">
        <w:rPr>
          <w:rFonts w:ascii="Times" w:hAnsi="Times" w:cs="Times"/>
          <w:b w:val="0"/>
          <w:noProof/>
          <w:sz w:val="18"/>
        </w:rPr>
        <w:fldChar w:fldCharType="begin"/>
      </w:r>
      <w:r w:rsidRPr="00380510">
        <w:rPr>
          <w:rFonts w:ascii="Times" w:hAnsi="Times" w:cs="Times"/>
          <w:b w:val="0"/>
          <w:noProof/>
          <w:sz w:val="18"/>
        </w:rPr>
        <w:instrText xml:space="preserve"> PAGEREF _Toc338939307 \h </w:instrText>
      </w:r>
      <w:r w:rsidRPr="00380510">
        <w:rPr>
          <w:rFonts w:ascii="Times" w:hAnsi="Times" w:cs="Times"/>
          <w:b w:val="0"/>
          <w:noProof/>
          <w:sz w:val="18"/>
        </w:rPr>
      </w:r>
      <w:r w:rsidRPr="00380510">
        <w:rPr>
          <w:rFonts w:ascii="Times" w:hAnsi="Times" w:cs="Times"/>
          <w:b w:val="0"/>
          <w:noProof/>
          <w:sz w:val="18"/>
        </w:rPr>
        <w:fldChar w:fldCharType="separate"/>
      </w:r>
      <w:r w:rsidR="00623A5C">
        <w:rPr>
          <w:rFonts w:ascii="Times" w:hAnsi="Times" w:cs="Times"/>
          <w:b w:val="0"/>
          <w:noProof/>
          <w:sz w:val="18"/>
        </w:rPr>
        <w:t>203</w:t>
      </w:r>
      <w:r w:rsidRPr="00380510">
        <w:rPr>
          <w:rFonts w:ascii="Times" w:hAnsi="Times" w:cs="Times"/>
          <w:b w:val="0"/>
          <w:noProof/>
          <w:sz w:val="18"/>
        </w:rPr>
        <w:fldChar w:fldCharType="end"/>
      </w:r>
    </w:p>
    <w:p w:rsidR="00380510" w:rsidRDefault="00380510">
      <w:pPr>
        <w:pStyle w:val="TOC4"/>
        <w:rPr>
          <w:rFonts w:ascii="Calibri" w:hAnsi="Calibri"/>
          <w:b w:val="0"/>
          <w:noProof/>
          <w:kern w:val="0"/>
          <w:sz w:val="22"/>
          <w:szCs w:val="22"/>
        </w:rPr>
      </w:pPr>
      <w:r>
        <w:rPr>
          <w:noProof/>
        </w:rPr>
        <w:t>Guide to Subdivision 820</w:t>
      </w:r>
      <w:r>
        <w:rPr>
          <w:noProof/>
        </w:rPr>
        <w:noBreakHyphen/>
        <w:t>FA</w:t>
      </w:r>
      <w:r w:rsidRPr="00380510">
        <w:rPr>
          <w:rFonts w:ascii="Times" w:hAnsi="Times" w:cs="Times"/>
          <w:b w:val="0"/>
          <w:noProof/>
          <w:sz w:val="18"/>
        </w:rPr>
        <w:tab/>
      </w:r>
      <w:r w:rsidRPr="00380510">
        <w:rPr>
          <w:rFonts w:ascii="Times" w:hAnsi="Times" w:cs="Times"/>
          <w:b w:val="0"/>
          <w:noProof/>
          <w:sz w:val="18"/>
        </w:rPr>
        <w:fldChar w:fldCharType="begin"/>
      </w:r>
      <w:r w:rsidRPr="00380510">
        <w:rPr>
          <w:rFonts w:ascii="Times" w:hAnsi="Times" w:cs="Times"/>
          <w:b w:val="0"/>
          <w:noProof/>
          <w:sz w:val="18"/>
        </w:rPr>
        <w:instrText xml:space="preserve"> PAGEREF _Toc338939308 \h </w:instrText>
      </w:r>
      <w:r w:rsidRPr="00380510">
        <w:rPr>
          <w:rFonts w:ascii="Times" w:hAnsi="Times" w:cs="Times"/>
          <w:b w:val="0"/>
          <w:noProof/>
          <w:sz w:val="18"/>
        </w:rPr>
      </w:r>
      <w:r w:rsidRPr="00380510">
        <w:rPr>
          <w:rFonts w:ascii="Times" w:hAnsi="Times" w:cs="Times"/>
          <w:b w:val="0"/>
          <w:noProof/>
          <w:sz w:val="18"/>
        </w:rPr>
        <w:fldChar w:fldCharType="separate"/>
      </w:r>
      <w:r w:rsidR="00623A5C">
        <w:rPr>
          <w:rFonts w:ascii="Times" w:hAnsi="Times" w:cs="Times"/>
          <w:b w:val="0"/>
          <w:noProof/>
          <w:sz w:val="18"/>
        </w:rPr>
        <w:t>203</w:t>
      </w:r>
      <w:r w:rsidRPr="00380510">
        <w:rPr>
          <w:rFonts w:ascii="Times" w:hAnsi="Times" w:cs="Times"/>
          <w:b w:val="0"/>
          <w:noProof/>
          <w:sz w:val="18"/>
        </w:rPr>
        <w:fldChar w:fldCharType="end"/>
      </w:r>
    </w:p>
    <w:p w:rsidR="00380510" w:rsidRDefault="00380510">
      <w:pPr>
        <w:pStyle w:val="TOC5"/>
        <w:rPr>
          <w:rFonts w:ascii="Calibri" w:hAnsi="Calibri"/>
          <w:iCs w:val="0"/>
          <w:noProof/>
          <w:kern w:val="0"/>
          <w:sz w:val="22"/>
          <w:szCs w:val="22"/>
        </w:rPr>
      </w:pPr>
      <w:r>
        <w:rPr>
          <w:noProof/>
        </w:rPr>
        <w:t>820</w:t>
      </w:r>
      <w:r>
        <w:rPr>
          <w:noProof/>
        </w:rPr>
        <w:noBreakHyphen/>
        <w:t>579</w:t>
      </w:r>
      <w:r>
        <w:rPr>
          <w:noProof/>
        </w:rPr>
        <w:tab/>
        <w:t>What this Subdivision is about</w:t>
      </w:r>
      <w:r w:rsidRPr="00380510">
        <w:rPr>
          <w:rFonts w:ascii="Times" w:hAnsi="Times" w:cs="Times"/>
          <w:noProof/>
        </w:rPr>
        <w:tab/>
      </w:r>
      <w:r w:rsidRPr="00380510">
        <w:rPr>
          <w:rFonts w:ascii="Times" w:hAnsi="Times" w:cs="Times"/>
          <w:noProof/>
        </w:rPr>
        <w:fldChar w:fldCharType="begin"/>
      </w:r>
      <w:r w:rsidRPr="00380510">
        <w:rPr>
          <w:rFonts w:ascii="Times" w:hAnsi="Times" w:cs="Times"/>
          <w:noProof/>
        </w:rPr>
        <w:instrText xml:space="preserve"> PAGEREF _Toc338939309 \h </w:instrText>
      </w:r>
      <w:r w:rsidRPr="00380510">
        <w:rPr>
          <w:rFonts w:ascii="Times" w:hAnsi="Times" w:cs="Times"/>
          <w:noProof/>
        </w:rPr>
      </w:r>
      <w:r w:rsidRPr="00380510">
        <w:rPr>
          <w:rFonts w:ascii="Times" w:hAnsi="Times" w:cs="Times"/>
          <w:noProof/>
        </w:rPr>
        <w:fldChar w:fldCharType="separate"/>
      </w:r>
      <w:r w:rsidR="00623A5C">
        <w:rPr>
          <w:rFonts w:ascii="Times" w:hAnsi="Times" w:cs="Times"/>
          <w:noProof/>
        </w:rPr>
        <w:t>203</w:t>
      </w:r>
      <w:r w:rsidRPr="00380510">
        <w:rPr>
          <w:rFonts w:ascii="Times" w:hAnsi="Times" w:cs="Times"/>
          <w:noProof/>
        </w:rPr>
        <w:fldChar w:fldCharType="end"/>
      </w:r>
    </w:p>
    <w:p w:rsidR="00380510" w:rsidRDefault="00380510">
      <w:pPr>
        <w:pStyle w:val="TOC4"/>
        <w:rPr>
          <w:rFonts w:ascii="Calibri" w:hAnsi="Calibri"/>
          <w:b w:val="0"/>
          <w:noProof/>
          <w:kern w:val="0"/>
          <w:sz w:val="22"/>
          <w:szCs w:val="22"/>
        </w:rPr>
      </w:pPr>
      <w:r>
        <w:rPr>
          <w:noProof/>
        </w:rPr>
        <w:t>Operative provisions</w:t>
      </w:r>
      <w:r w:rsidRPr="00380510">
        <w:rPr>
          <w:rFonts w:ascii="Times" w:hAnsi="Times" w:cs="Times"/>
          <w:b w:val="0"/>
          <w:noProof/>
          <w:sz w:val="18"/>
        </w:rPr>
        <w:tab/>
      </w:r>
      <w:r w:rsidRPr="00380510">
        <w:rPr>
          <w:rFonts w:ascii="Times" w:hAnsi="Times" w:cs="Times"/>
          <w:b w:val="0"/>
          <w:noProof/>
          <w:sz w:val="18"/>
        </w:rPr>
        <w:fldChar w:fldCharType="begin"/>
      </w:r>
      <w:r w:rsidRPr="00380510">
        <w:rPr>
          <w:rFonts w:ascii="Times" w:hAnsi="Times" w:cs="Times"/>
          <w:b w:val="0"/>
          <w:noProof/>
          <w:sz w:val="18"/>
        </w:rPr>
        <w:instrText xml:space="preserve"> PAGEREF _Toc338939310 \h </w:instrText>
      </w:r>
      <w:r w:rsidRPr="00380510">
        <w:rPr>
          <w:rFonts w:ascii="Times" w:hAnsi="Times" w:cs="Times"/>
          <w:b w:val="0"/>
          <w:noProof/>
          <w:sz w:val="18"/>
        </w:rPr>
      </w:r>
      <w:r w:rsidRPr="00380510">
        <w:rPr>
          <w:rFonts w:ascii="Times" w:hAnsi="Times" w:cs="Times"/>
          <w:b w:val="0"/>
          <w:noProof/>
          <w:sz w:val="18"/>
        </w:rPr>
        <w:fldChar w:fldCharType="separate"/>
      </w:r>
      <w:r w:rsidR="00623A5C">
        <w:rPr>
          <w:rFonts w:ascii="Times" w:hAnsi="Times" w:cs="Times"/>
          <w:b w:val="0"/>
          <w:noProof/>
          <w:sz w:val="18"/>
        </w:rPr>
        <w:t>204</w:t>
      </w:r>
      <w:r w:rsidRPr="00380510">
        <w:rPr>
          <w:rFonts w:ascii="Times" w:hAnsi="Times" w:cs="Times"/>
          <w:b w:val="0"/>
          <w:noProof/>
          <w:sz w:val="18"/>
        </w:rPr>
        <w:fldChar w:fldCharType="end"/>
      </w:r>
    </w:p>
    <w:p w:rsidR="00380510" w:rsidRDefault="00380510">
      <w:pPr>
        <w:pStyle w:val="TOC5"/>
        <w:rPr>
          <w:rFonts w:ascii="Calibri" w:hAnsi="Calibri"/>
          <w:iCs w:val="0"/>
          <w:noProof/>
          <w:kern w:val="0"/>
          <w:sz w:val="22"/>
          <w:szCs w:val="22"/>
        </w:rPr>
      </w:pPr>
      <w:r>
        <w:rPr>
          <w:noProof/>
        </w:rPr>
        <w:t>820</w:t>
      </w:r>
      <w:r>
        <w:rPr>
          <w:noProof/>
        </w:rPr>
        <w:noBreakHyphen/>
        <w:t>581</w:t>
      </w:r>
      <w:r>
        <w:rPr>
          <w:noProof/>
        </w:rPr>
        <w:tab/>
        <w:t>How this Division applies to head company for income year in which group comes into existence or ceases to exist</w:t>
      </w:r>
      <w:r w:rsidRPr="00380510">
        <w:rPr>
          <w:rFonts w:ascii="Times" w:hAnsi="Times" w:cs="Times"/>
          <w:noProof/>
        </w:rPr>
        <w:tab/>
      </w:r>
      <w:r w:rsidRPr="00380510">
        <w:rPr>
          <w:rFonts w:ascii="Times" w:hAnsi="Times" w:cs="Times"/>
          <w:noProof/>
        </w:rPr>
        <w:fldChar w:fldCharType="begin"/>
      </w:r>
      <w:r w:rsidRPr="00380510">
        <w:rPr>
          <w:rFonts w:ascii="Times" w:hAnsi="Times" w:cs="Times"/>
          <w:noProof/>
        </w:rPr>
        <w:instrText xml:space="preserve"> PAGEREF _Toc338939311 \h </w:instrText>
      </w:r>
      <w:r w:rsidRPr="00380510">
        <w:rPr>
          <w:rFonts w:ascii="Times" w:hAnsi="Times" w:cs="Times"/>
          <w:noProof/>
        </w:rPr>
      </w:r>
      <w:r w:rsidRPr="00380510">
        <w:rPr>
          <w:rFonts w:ascii="Times" w:hAnsi="Times" w:cs="Times"/>
          <w:noProof/>
        </w:rPr>
        <w:fldChar w:fldCharType="separate"/>
      </w:r>
      <w:r w:rsidR="00623A5C">
        <w:rPr>
          <w:rFonts w:ascii="Times" w:hAnsi="Times" w:cs="Times"/>
          <w:noProof/>
        </w:rPr>
        <w:t>204</w:t>
      </w:r>
      <w:r w:rsidRPr="00380510">
        <w:rPr>
          <w:rFonts w:ascii="Times" w:hAnsi="Times" w:cs="Times"/>
          <w:noProof/>
        </w:rPr>
        <w:fldChar w:fldCharType="end"/>
      </w:r>
    </w:p>
    <w:p w:rsidR="00380510" w:rsidRDefault="00380510">
      <w:pPr>
        <w:pStyle w:val="TOC5"/>
        <w:rPr>
          <w:rFonts w:ascii="Calibri" w:hAnsi="Calibri"/>
          <w:iCs w:val="0"/>
          <w:noProof/>
          <w:kern w:val="0"/>
          <w:sz w:val="22"/>
          <w:szCs w:val="22"/>
        </w:rPr>
      </w:pPr>
      <w:r>
        <w:rPr>
          <w:noProof/>
        </w:rPr>
        <w:t>820</w:t>
      </w:r>
      <w:r>
        <w:rPr>
          <w:noProof/>
        </w:rPr>
        <w:noBreakHyphen/>
        <w:t>583</w:t>
      </w:r>
      <w:r>
        <w:rPr>
          <w:noProof/>
        </w:rPr>
        <w:tab/>
        <w:t>Classification of head company</w:t>
      </w:r>
      <w:r w:rsidRPr="00380510">
        <w:rPr>
          <w:rFonts w:ascii="Times" w:hAnsi="Times" w:cs="Times"/>
          <w:noProof/>
        </w:rPr>
        <w:tab/>
      </w:r>
      <w:r w:rsidRPr="00380510">
        <w:rPr>
          <w:rFonts w:ascii="Times" w:hAnsi="Times" w:cs="Times"/>
          <w:noProof/>
        </w:rPr>
        <w:fldChar w:fldCharType="begin"/>
      </w:r>
      <w:r w:rsidRPr="00380510">
        <w:rPr>
          <w:rFonts w:ascii="Times" w:hAnsi="Times" w:cs="Times"/>
          <w:noProof/>
        </w:rPr>
        <w:instrText xml:space="preserve"> PAGEREF _Toc338939312 \h </w:instrText>
      </w:r>
      <w:r w:rsidRPr="00380510">
        <w:rPr>
          <w:rFonts w:ascii="Times" w:hAnsi="Times" w:cs="Times"/>
          <w:noProof/>
        </w:rPr>
      </w:r>
      <w:r w:rsidRPr="00380510">
        <w:rPr>
          <w:rFonts w:ascii="Times" w:hAnsi="Times" w:cs="Times"/>
          <w:noProof/>
        </w:rPr>
        <w:fldChar w:fldCharType="separate"/>
      </w:r>
      <w:r w:rsidR="00623A5C">
        <w:rPr>
          <w:rFonts w:ascii="Times" w:hAnsi="Times" w:cs="Times"/>
          <w:noProof/>
        </w:rPr>
        <w:t>205</w:t>
      </w:r>
      <w:r w:rsidRPr="00380510">
        <w:rPr>
          <w:rFonts w:ascii="Times" w:hAnsi="Times" w:cs="Times"/>
          <w:noProof/>
        </w:rPr>
        <w:fldChar w:fldCharType="end"/>
      </w:r>
    </w:p>
    <w:p w:rsidR="00380510" w:rsidRDefault="00380510">
      <w:pPr>
        <w:pStyle w:val="TOC5"/>
        <w:rPr>
          <w:rFonts w:ascii="Calibri" w:hAnsi="Calibri"/>
          <w:iCs w:val="0"/>
          <w:noProof/>
          <w:kern w:val="0"/>
          <w:sz w:val="22"/>
          <w:szCs w:val="22"/>
        </w:rPr>
      </w:pPr>
      <w:r>
        <w:rPr>
          <w:noProof/>
        </w:rPr>
        <w:t>820</w:t>
      </w:r>
      <w:r>
        <w:rPr>
          <w:noProof/>
        </w:rPr>
        <w:noBreakHyphen/>
        <w:t>584</w:t>
      </w:r>
      <w:r>
        <w:rPr>
          <w:noProof/>
        </w:rPr>
        <w:tab/>
        <w:t>Exempt special purpose entities treated as not being member of group</w:t>
      </w:r>
      <w:r w:rsidRPr="00380510">
        <w:rPr>
          <w:rFonts w:ascii="Times" w:hAnsi="Times" w:cs="Times"/>
          <w:noProof/>
        </w:rPr>
        <w:tab/>
      </w:r>
      <w:r w:rsidRPr="00380510">
        <w:rPr>
          <w:rFonts w:ascii="Times" w:hAnsi="Times" w:cs="Times"/>
          <w:noProof/>
        </w:rPr>
        <w:fldChar w:fldCharType="begin"/>
      </w:r>
      <w:r w:rsidRPr="00380510">
        <w:rPr>
          <w:rFonts w:ascii="Times" w:hAnsi="Times" w:cs="Times"/>
          <w:noProof/>
        </w:rPr>
        <w:instrText xml:space="preserve"> PAGEREF _Toc338939313 \h </w:instrText>
      </w:r>
      <w:r w:rsidRPr="00380510">
        <w:rPr>
          <w:rFonts w:ascii="Times" w:hAnsi="Times" w:cs="Times"/>
          <w:noProof/>
        </w:rPr>
      </w:r>
      <w:r w:rsidRPr="00380510">
        <w:rPr>
          <w:rFonts w:ascii="Times" w:hAnsi="Times" w:cs="Times"/>
          <w:noProof/>
        </w:rPr>
        <w:fldChar w:fldCharType="separate"/>
      </w:r>
      <w:r w:rsidR="00623A5C">
        <w:rPr>
          <w:rFonts w:ascii="Times" w:hAnsi="Times" w:cs="Times"/>
          <w:noProof/>
        </w:rPr>
        <w:t>207</w:t>
      </w:r>
      <w:r w:rsidRPr="00380510">
        <w:rPr>
          <w:rFonts w:ascii="Times" w:hAnsi="Times" w:cs="Times"/>
          <w:noProof/>
        </w:rPr>
        <w:fldChar w:fldCharType="end"/>
      </w:r>
    </w:p>
    <w:p w:rsidR="00380510" w:rsidRDefault="00380510">
      <w:pPr>
        <w:pStyle w:val="TOC5"/>
        <w:rPr>
          <w:rFonts w:ascii="Calibri" w:hAnsi="Calibri"/>
          <w:iCs w:val="0"/>
          <w:noProof/>
          <w:kern w:val="0"/>
          <w:sz w:val="22"/>
          <w:szCs w:val="22"/>
        </w:rPr>
      </w:pPr>
      <w:r>
        <w:rPr>
          <w:noProof/>
        </w:rPr>
        <w:t>820</w:t>
      </w:r>
      <w:r>
        <w:rPr>
          <w:noProof/>
        </w:rPr>
        <w:noBreakHyphen/>
        <w:t>585</w:t>
      </w:r>
      <w:r>
        <w:rPr>
          <w:noProof/>
        </w:rPr>
        <w:tab/>
        <w:t>Exemption for consolidated group headed by foreign</w:t>
      </w:r>
      <w:r>
        <w:rPr>
          <w:noProof/>
        </w:rPr>
        <w:noBreakHyphen/>
        <w:t>controlled Australian ADI or its holding company</w:t>
      </w:r>
      <w:r w:rsidRPr="00380510">
        <w:rPr>
          <w:rFonts w:ascii="Times" w:hAnsi="Times" w:cs="Times"/>
          <w:noProof/>
        </w:rPr>
        <w:tab/>
      </w:r>
      <w:r w:rsidRPr="00380510">
        <w:rPr>
          <w:rFonts w:ascii="Times" w:hAnsi="Times" w:cs="Times"/>
          <w:noProof/>
        </w:rPr>
        <w:fldChar w:fldCharType="begin"/>
      </w:r>
      <w:r w:rsidRPr="00380510">
        <w:rPr>
          <w:rFonts w:ascii="Times" w:hAnsi="Times" w:cs="Times"/>
          <w:noProof/>
        </w:rPr>
        <w:instrText xml:space="preserve"> PAGEREF _Toc338939314 \h </w:instrText>
      </w:r>
      <w:r w:rsidRPr="00380510">
        <w:rPr>
          <w:rFonts w:ascii="Times" w:hAnsi="Times" w:cs="Times"/>
          <w:noProof/>
        </w:rPr>
      </w:r>
      <w:r w:rsidRPr="00380510">
        <w:rPr>
          <w:rFonts w:ascii="Times" w:hAnsi="Times" w:cs="Times"/>
          <w:noProof/>
        </w:rPr>
        <w:fldChar w:fldCharType="separate"/>
      </w:r>
      <w:r w:rsidR="00623A5C">
        <w:rPr>
          <w:rFonts w:ascii="Times" w:hAnsi="Times" w:cs="Times"/>
          <w:noProof/>
        </w:rPr>
        <w:t>207</w:t>
      </w:r>
      <w:r w:rsidRPr="00380510">
        <w:rPr>
          <w:rFonts w:ascii="Times" w:hAnsi="Times" w:cs="Times"/>
          <w:noProof/>
        </w:rPr>
        <w:fldChar w:fldCharType="end"/>
      </w:r>
    </w:p>
    <w:p w:rsidR="00380510" w:rsidRDefault="00380510">
      <w:pPr>
        <w:pStyle w:val="TOC5"/>
        <w:rPr>
          <w:rFonts w:ascii="Calibri" w:hAnsi="Calibri"/>
          <w:iCs w:val="0"/>
          <w:noProof/>
          <w:kern w:val="0"/>
          <w:sz w:val="22"/>
          <w:szCs w:val="22"/>
        </w:rPr>
      </w:pPr>
      <w:r>
        <w:rPr>
          <w:noProof/>
        </w:rPr>
        <w:t>820</w:t>
      </w:r>
      <w:r>
        <w:rPr>
          <w:noProof/>
        </w:rPr>
        <w:noBreakHyphen/>
        <w:t>587</w:t>
      </w:r>
      <w:r>
        <w:rPr>
          <w:noProof/>
        </w:rPr>
        <w:tab/>
        <w:t>Additional application of Subdivision 820</w:t>
      </w:r>
      <w:r>
        <w:rPr>
          <w:noProof/>
        </w:rPr>
        <w:noBreakHyphen/>
        <w:t>D to MEC group that includes foreign</w:t>
      </w:r>
      <w:r>
        <w:rPr>
          <w:noProof/>
        </w:rPr>
        <w:noBreakHyphen/>
        <w:t>controlled Australian ADI</w:t>
      </w:r>
      <w:r w:rsidRPr="00380510">
        <w:rPr>
          <w:rFonts w:ascii="Times" w:hAnsi="Times" w:cs="Times"/>
          <w:noProof/>
        </w:rPr>
        <w:tab/>
      </w:r>
      <w:r w:rsidRPr="00380510">
        <w:rPr>
          <w:rFonts w:ascii="Times" w:hAnsi="Times" w:cs="Times"/>
          <w:noProof/>
        </w:rPr>
        <w:fldChar w:fldCharType="begin"/>
      </w:r>
      <w:r w:rsidRPr="00380510">
        <w:rPr>
          <w:rFonts w:ascii="Times" w:hAnsi="Times" w:cs="Times"/>
          <w:noProof/>
        </w:rPr>
        <w:instrText xml:space="preserve"> PAGEREF _Toc338939315 \h </w:instrText>
      </w:r>
      <w:r w:rsidRPr="00380510">
        <w:rPr>
          <w:rFonts w:ascii="Times" w:hAnsi="Times" w:cs="Times"/>
          <w:noProof/>
        </w:rPr>
      </w:r>
      <w:r w:rsidRPr="00380510">
        <w:rPr>
          <w:rFonts w:ascii="Times" w:hAnsi="Times" w:cs="Times"/>
          <w:noProof/>
        </w:rPr>
        <w:fldChar w:fldCharType="separate"/>
      </w:r>
      <w:r w:rsidR="00623A5C">
        <w:rPr>
          <w:rFonts w:ascii="Times" w:hAnsi="Times" w:cs="Times"/>
          <w:noProof/>
        </w:rPr>
        <w:t>208</w:t>
      </w:r>
      <w:r w:rsidRPr="00380510">
        <w:rPr>
          <w:rFonts w:ascii="Times" w:hAnsi="Times" w:cs="Times"/>
          <w:noProof/>
        </w:rPr>
        <w:fldChar w:fldCharType="end"/>
      </w:r>
    </w:p>
    <w:p w:rsidR="00380510" w:rsidRDefault="00380510">
      <w:pPr>
        <w:pStyle w:val="TOC5"/>
        <w:rPr>
          <w:rFonts w:ascii="Calibri" w:hAnsi="Calibri"/>
          <w:iCs w:val="0"/>
          <w:noProof/>
          <w:kern w:val="0"/>
          <w:sz w:val="22"/>
          <w:szCs w:val="22"/>
        </w:rPr>
      </w:pPr>
      <w:r>
        <w:rPr>
          <w:noProof/>
        </w:rPr>
        <w:t>820</w:t>
      </w:r>
      <w:r>
        <w:rPr>
          <w:noProof/>
        </w:rPr>
        <w:noBreakHyphen/>
        <w:t>588</w:t>
      </w:r>
      <w:r>
        <w:rPr>
          <w:noProof/>
        </w:rPr>
        <w:tab/>
        <w:t>Choice to treat specialist credit card institutions as being financial entities and not ADIs</w:t>
      </w:r>
      <w:r w:rsidRPr="00380510">
        <w:rPr>
          <w:rFonts w:ascii="Times" w:hAnsi="Times" w:cs="Times"/>
          <w:noProof/>
        </w:rPr>
        <w:tab/>
      </w:r>
      <w:r w:rsidRPr="00380510">
        <w:rPr>
          <w:rFonts w:ascii="Times" w:hAnsi="Times" w:cs="Times"/>
          <w:noProof/>
        </w:rPr>
        <w:fldChar w:fldCharType="begin"/>
      </w:r>
      <w:r w:rsidRPr="00380510">
        <w:rPr>
          <w:rFonts w:ascii="Times" w:hAnsi="Times" w:cs="Times"/>
          <w:noProof/>
        </w:rPr>
        <w:instrText xml:space="preserve"> PAGEREF _Toc338939316 \h </w:instrText>
      </w:r>
      <w:r w:rsidRPr="00380510">
        <w:rPr>
          <w:rFonts w:ascii="Times" w:hAnsi="Times" w:cs="Times"/>
          <w:noProof/>
        </w:rPr>
      </w:r>
      <w:r w:rsidRPr="00380510">
        <w:rPr>
          <w:rFonts w:ascii="Times" w:hAnsi="Times" w:cs="Times"/>
          <w:noProof/>
        </w:rPr>
        <w:fldChar w:fldCharType="separate"/>
      </w:r>
      <w:r w:rsidR="00623A5C">
        <w:rPr>
          <w:rFonts w:ascii="Times" w:hAnsi="Times" w:cs="Times"/>
          <w:noProof/>
        </w:rPr>
        <w:t>209</w:t>
      </w:r>
      <w:r w:rsidRPr="00380510">
        <w:rPr>
          <w:rFonts w:ascii="Times" w:hAnsi="Times" w:cs="Times"/>
          <w:noProof/>
        </w:rPr>
        <w:fldChar w:fldCharType="end"/>
      </w:r>
    </w:p>
    <w:p w:rsidR="00380510" w:rsidRDefault="00380510">
      <w:pPr>
        <w:pStyle w:val="TOC5"/>
        <w:rPr>
          <w:rFonts w:ascii="Calibri" w:hAnsi="Calibri"/>
          <w:iCs w:val="0"/>
          <w:noProof/>
          <w:kern w:val="0"/>
          <w:sz w:val="22"/>
          <w:szCs w:val="22"/>
        </w:rPr>
      </w:pPr>
      <w:r>
        <w:rPr>
          <w:noProof/>
        </w:rPr>
        <w:t>820</w:t>
      </w:r>
      <w:r>
        <w:rPr>
          <w:noProof/>
        </w:rPr>
        <w:noBreakHyphen/>
        <w:t>589</w:t>
      </w:r>
      <w:r>
        <w:rPr>
          <w:noProof/>
        </w:rPr>
        <w:tab/>
        <w:t>How Subdivision 820</w:t>
      </w:r>
      <w:r>
        <w:rPr>
          <w:noProof/>
        </w:rPr>
        <w:noBreakHyphen/>
        <w:t>D applies to a MEC group</w:t>
      </w:r>
      <w:r w:rsidRPr="00380510">
        <w:rPr>
          <w:rFonts w:ascii="Times" w:hAnsi="Times" w:cs="Times"/>
          <w:noProof/>
        </w:rPr>
        <w:tab/>
      </w:r>
      <w:r w:rsidRPr="00380510">
        <w:rPr>
          <w:rFonts w:ascii="Times" w:hAnsi="Times" w:cs="Times"/>
          <w:noProof/>
        </w:rPr>
        <w:fldChar w:fldCharType="begin"/>
      </w:r>
      <w:r w:rsidRPr="00380510">
        <w:rPr>
          <w:rFonts w:ascii="Times" w:hAnsi="Times" w:cs="Times"/>
          <w:noProof/>
        </w:rPr>
        <w:instrText xml:space="preserve"> PAGEREF _Toc338939317 \h </w:instrText>
      </w:r>
      <w:r w:rsidRPr="00380510">
        <w:rPr>
          <w:rFonts w:ascii="Times" w:hAnsi="Times" w:cs="Times"/>
          <w:noProof/>
        </w:rPr>
      </w:r>
      <w:r w:rsidRPr="00380510">
        <w:rPr>
          <w:rFonts w:ascii="Times" w:hAnsi="Times" w:cs="Times"/>
          <w:noProof/>
        </w:rPr>
        <w:fldChar w:fldCharType="separate"/>
      </w:r>
      <w:r w:rsidR="00623A5C">
        <w:rPr>
          <w:rFonts w:ascii="Times" w:hAnsi="Times" w:cs="Times"/>
          <w:noProof/>
        </w:rPr>
        <w:t>210</w:t>
      </w:r>
      <w:r w:rsidRPr="00380510">
        <w:rPr>
          <w:rFonts w:ascii="Times" w:hAnsi="Times" w:cs="Times"/>
          <w:noProof/>
        </w:rPr>
        <w:fldChar w:fldCharType="end"/>
      </w:r>
    </w:p>
    <w:p w:rsidR="00380510" w:rsidRDefault="00380510">
      <w:pPr>
        <w:pStyle w:val="TOC4"/>
        <w:rPr>
          <w:rFonts w:ascii="Calibri" w:hAnsi="Calibri"/>
          <w:b w:val="0"/>
          <w:noProof/>
          <w:kern w:val="0"/>
          <w:sz w:val="22"/>
          <w:szCs w:val="22"/>
        </w:rPr>
      </w:pPr>
      <w:r>
        <w:rPr>
          <w:noProof/>
        </w:rPr>
        <w:t>Subdivision 820</w:t>
      </w:r>
      <w:r>
        <w:rPr>
          <w:noProof/>
        </w:rPr>
        <w:noBreakHyphen/>
        <w:t>FB—Grouping branches of foreign banks and foreign financial entities with a consolidated group, MEC group or single Australian resident company</w:t>
      </w:r>
      <w:r w:rsidRPr="00380510">
        <w:rPr>
          <w:rFonts w:ascii="Times" w:hAnsi="Times" w:cs="Times"/>
          <w:b w:val="0"/>
          <w:noProof/>
          <w:sz w:val="18"/>
        </w:rPr>
        <w:tab/>
      </w:r>
      <w:r w:rsidRPr="00380510">
        <w:rPr>
          <w:rFonts w:ascii="Times" w:hAnsi="Times" w:cs="Times"/>
          <w:b w:val="0"/>
          <w:noProof/>
          <w:sz w:val="18"/>
        </w:rPr>
        <w:fldChar w:fldCharType="begin"/>
      </w:r>
      <w:r w:rsidRPr="00380510">
        <w:rPr>
          <w:rFonts w:ascii="Times" w:hAnsi="Times" w:cs="Times"/>
          <w:b w:val="0"/>
          <w:noProof/>
          <w:sz w:val="18"/>
        </w:rPr>
        <w:instrText xml:space="preserve"> PAGEREF _Toc338939318 \h </w:instrText>
      </w:r>
      <w:r w:rsidRPr="00380510">
        <w:rPr>
          <w:rFonts w:ascii="Times" w:hAnsi="Times" w:cs="Times"/>
          <w:b w:val="0"/>
          <w:noProof/>
          <w:sz w:val="18"/>
        </w:rPr>
      </w:r>
      <w:r w:rsidRPr="00380510">
        <w:rPr>
          <w:rFonts w:ascii="Times" w:hAnsi="Times" w:cs="Times"/>
          <w:b w:val="0"/>
          <w:noProof/>
          <w:sz w:val="18"/>
        </w:rPr>
        <w:fldChar w:fldCharType="separate"/>
      </w:r>
      <w:r w:rsidR="00623A5C">
        <w:rPr>
          <w:rFonts w:ascii="Times" w:hAnsi="Times" w:cs="Times"/>
          <w:b w:val="0"/>
          <w:noProof/>
          <w:sz w:val="18"/>
        </w:rPr>
        <w:t>211</w:t>
      </w:r>
      <w:r w:rsidRPr="00380510">
        <w:rPr>
          <w:rFonts w:ascii="Times" w:hAnsi="Times" w:cs="Times"/>
          <w:b w:val="0"/>
          <w:noProof/>
          <w:sz w:val="18"/>
        </w:rPr>
        <w:fldChar w:fldCharType="end"/>
      </w:r>
    </w:p>
    <w:p w:rsidR="00380510" w:rsidRDefault="00380510">
      <w:pPr>
        <w:pStyle w:val="TOC4"/>
        <w:rPr>
          <w:rFonts w:ascii="Calibri" w:hAnsi="Calibri"/>
          <w:b w:val="0"/>
          <w:noProof/>
          <w:kern w:val="0"/>
          <w:sz w:val="22"/>
          <w:szCs w:val="22"/>
        </w:rPr>
      </w:pPr>
      <w:r>
        <w:rPr>
          <w:noProof/>
        </w:rPr>
        <w:t>Guide to Subdivision 820</w:t>
      </w:r>
      <w:r>
        <w:rPr>
          <w:noProof/>
        </w:rPr>
        <w:noBreakHyphen/>
        <w:t>FB</w:t>
      </w:r>
      <w:r w:rsidRPr="00380510">
        <w:rPr>
          <w:rFonts w:ascii="Times" w:hAnsi="Times" w:cs="Times"/>
          <w:b w:val="0"/>
          <w:noProof/>
          <w:sz w:val="18"/>
        </w:rPr>
        <w:tab/>
      </w:r>
      <w:r w:rsidRPr="00380510">
        <w:rPr>
          <w:rFonts w:ascii="Times" w:hAnsi="Times" w:cs="Times"/>
          <w:b w:val="0"/>
          <w:noProof/>
          <w:sz w:val="18"/>
        </w:rPr>
        <w:fldChar w:fldCharType="begin"/>
      </w:r>
      <w:r w:rsidRPr="00380510">
        <w:rPr>
          <w:rFonts w:ascii="Times" w:hAnsi="Times" w:cs="Times"/>
          <w:b w:val="0"/>
          <w:noProof/>
          <w:sz w:val="18"/>
        </w:rPr>
        <w:instrText xml:space="preserve"> PAGEREF _Toc338939319 \h </w:instrText>
      </w:r>
      <w:r w:rsidRPr="00380510">
        <w:rPr>
          <w:rFonts w:ascii="Times" w:hAnsi="Times" w:cs="Times"/>
          <w:b w:val="0"/>
          <w:noProof/>
          <w:sz w:val="18"/>
        </w:rPr>
      </w:r>
      <w:r w:rsidRPr="00380510">
        <w:rPr>
          <w:rFonts w:ascii="Times" w:hAnsi="Times" w:cs="Times"/>
          <w:b w:val="0"/>
          <w:noProof/>
          <w:sz w:val="18"/>
        </w:rPr>
        <w:fldChar w:fldCharType="separate"/>
      </w:r>
      <w:r w:rsidR="00623A5C">
        <w:rPr>
          <w:rFonts w:ascii="Times" w:hAnsi="Times" w:cs="Times"/>
          <w:b w:val="0"/>
          <w:noProof/>
          <w:sz w:val="18"/>
        </w:rPr>
        <w:t>211</w:t>
      </w:r>
      <w:r w:rsidRPr="00380510">
        <w:rPr>
          <w:rFonts w:ascii="Times" w:hAnsi="Times" w:cs="Times"/>
          <w:b w:val="0"/>
          <w:noProof/>
          <w:sz w:val="18"/>
        </w:rPr>
        <w:fldChar w:fldCharType="end"/>
      </w:r>
    </w:p>
    <w:p w:rsidR="00380510" w:rsidRDefault="00380510">
      <w:pPr>
        <w:pStyle w:val="TOC5"/>
        <w:rPr>
          <w:rFonts w:ascii="Calibri" w:hAnsi="Calibri"/>
          <w:iCs w:val="0"/>
          <w:noProof/>
          <w:kern w:val="0"/>
          <w:sz w:val="22"/>
          <w:szCs w:val="22"/>
        </w:rPr>
      </w:pPr>
      <w:r>
        <w:rPr>
          <w:noProof/>
        </w:rPr>
        <w:t>820</w:t>
      </w:r>
      <w:r>
        <w:rPr>
          <w:noProof/>
        </w:rPr>
        <w:noBreakHyphen/>
        <w:t>595</w:t>
      </w:r>
      <w:r>
        <w:rPr>
          <w:noProof/>
        </w:rPr>
        <w:tab/>
        <w:t>What this Subdivision is about</w:t>
      </w:r>
      <w:r w:rsidRPr="00380510">
        <w:rPr>
          <w:rFonts w:ascii="Times" w:hAnsi="Times" w:cs="Times"/>
          <w:noProof/>
        </w:rPr>
        <w:tab/>
      </w:r>
      <w:r w:rsidRPr="00380510">
        <w:rPr>
          <w:rFonts w:ascii="Times" w:hAnsi="Times" w:cs="Times"/>
          <w:noProof/>
        </w:rPr>
        <w:fldChar w:fldCharType="begin"/>
      </w:r>
      <w:r w:rsidRPr="00380510">
        <w:rPr>
          <w:rFonts w:ascii="Times" w:hAnsi="Times" w:cs="Times"/>
          <w:noProof/>
        </w:rPr>
        <w:instrText xml:space="preserve"> PAGEREF _Toc338939320 \h </w:instrText>
      </w:r>
      <w:r w:rsidRPr="00380510">
        <w:rPr>
          <w:rFonts w:ascii="Times" w:hAnsi="Times" w:cs="Times"/>
          <w:noProof/>
        </w:rPr>
      </w:r>
      <w:r w:rsidRPr="00380510">
        <w:rPr>
          <w:rFonts w:ascii="Times" w:hAnsi="Times" w:cs="Times"/>
          <w:noProof/>
        </w:rPr>
        <w:fldChar w:fldCharType="separate"/>
      </w:r>
      <w:r w:rsidR="00623A5C">
        <w:rPr>
          <w:rFonts w:ascii="Times" w:hAnsi="Times" w:cs="Times"/>
          <w:noProof/>
        </w:rPr>
        <w:t>211</w:t>
      </w:r>
      <w:r w:rsidRPr="00380510">
        <w:rPr>
          <w:rFonts w:ascii="Times" w:hAnsi="Times" w:cs="Times"/>
          <w:noProof/>
        </w:rPr>
        <w:fldChar w:fldCharType="end"/>
      </w:r>
    </w:p>
    <w:p w:rsidR="00380510" w:rsidRDefault="00380510">
      <w:pPr>
        <w:pStyle w:val="TOC4"/>
        <w:rPr>
          <w:rFonts w:ascii="Calibri" w:hAnsi="Calibri"/>
          <w:b w:val="0"/>
          <w:noProof/>
          <w:kern w:val="0"/>
          <w:sz w:val="22"/>
          <w:szCs w:val="22"/>
        </w:rPr>
      </w:pPr>
      <w:r>
        <w:rPr>
          <w:noProof/>
        </w:rPr>
        <w:t>Choice to group with branches of foreign banks and foreign financial entities</w:t>
      </w:r>
      <w:r w:rsidRPr="00380510">
        <w:rPr>
          <w:rFonts w:ascii="Times" w:hAnsi="Times" w:cs="Times"/>
          <w:b w:val="0"/>
          <w:noProof/>
          <w:sz w:val="18"/>
        </w:rPr>
        <w:tab/>
      </w:r>
      <w:r w:rsidRPr="00380510">
        <w:rPr>
          <w:rFonts w:ascii="Times" w:hAnsi="Times" w:cs="Times"/>
          <w:b w:val="0"/>
          <w:noProof/>
          <w:sz w:val="18"/>
        </w:rPr>
        <w:fldChar w:fldCharType="begin"/>
      </w:r>
      <w:r w:rsidRPr="00380510">
        <w:rPr>
          <w:rFonts w:ascii="Times" w:hAnsi="Times" w:cs="Times"/>
          <w:b w:val="0"/>
          <w:noProof/>
          <w:sz w:val="18"/>
        </w:rPr>
        <w:instrText xml:space="preserve"> PAGEREF _Toc338939321 \h </w:instrText>
      </w:r>
      <w:r w:rsidRPr="00380510">
        <w:rPr>
          <w:rFonts w:ascii="Times" w:hAnsi="Times" w:cs="Times"/>
          <w:b w:val="0"/>
          <w:noProof/>
          <w:sz w:val="18"/>
        </w:rPr>
      </w:r>
      <w:r w:rsidRPr="00380510">
        <w:rPr>
          <w:rFonts w:ascii="Times" w:hAnsi="Times" w:cs="Times"/>
          <w:b w:val="0"/>
          <w:noProof/>
          <w:sz w:val="18"/>
        </w:rPr>
        <w:fldChar w:fldCharType="separate"/>
      </w:r>
      <w:r w:rsidR="00623A5C">
        <w:rPr>
          <w:rFonts w:ascii="Times" w:hAnsi="Times" w:cs="Times"/>
          <w:b w:val="0"/>
          <w:noProof/>
          <w:sz w:val="18"/>
        </w:rPr>
        <w:t>212</w:t>
      </w:r>
      <w:r w:rsidRPr="00380510">
        <w:rPr>
          <w:rFonts w:ascii="Times" w:hAnsi="Times" w:cs="Times"/>
          <w:b w:val="0"/>
          <w:noProof/>
          <w:sz w:val="18"/>
        </w:rPr>
        <w:fldChar w:fldCharType="end"/>
      </w:r>
    </w:p>
    <w:p w:rsidR="00380510" w:rsidRDefault="00380510">
      <w:pPr>
        <w:pStyle w:val="TOC5"/>
        <w:rPr>
          <w:rFonts w:ascii="Calibri" w:hAnsi="Calibri"/>
          <w:iCs w:val="0"/>
          <w:noProof/>
          <w:kern w:val="0"/>
          <w:sz w:val="22"/>
          <w:szCs w:val="22"/>
        </w:rPr>
      </w:pPr>
      <w:r>
        <w:rPr>
          <w:noProof/>
        </w:rPr>
        <w:t>820</w:t>
      </w:r>
      <w:r>
        <w:rPr>
          <w:noProof/>
        </w:rPr>
        <w:noBreakHyphen/>
        <w:t>597</w:t>
      </w:r>
      <w:r>
        <w:rPr>
          <w:noProof/>
        </w:rPr>
        <w:tab/>
        <w:t>Choice by head company of consolidated group or MEC group</w:t>
      </w:r>
      <w:r w:rsidRPr="00380510">
        <w:rPr>
          <w:rFonts w:ascii="Times" w:hAnsi="Times" w:cs="Times"/>
          <w:noProof/>
        </w:rPr>
        <w:tab/>
      </w:r>
      <w:r w:rsidRPr="00380510">
        <w:rPr>
          <w:rFonts w:ascii="Times" w:hAnsi="Times" w:cs="Times"/>
          <w:noProof/>
        </w:rPr>
        <w:fldChar w:fldCharType="begin"/>
      </w:r>
      <w:r w:rsidRPr="00380510">
        <w:rPr>
          <w:rFonts w:ascii="Times" w:hAnsi="Times" w:cs="Times"/>
          <w:noProof/>
        </w:rPr>
        <w:instrText xml:space="preserve"> PAGEREF _Toc338939322 \h </w:instrText>
      </w:r>
      <w:r w:rsidRPr="00380510">
        <w:rPr>
          <w:rFonts w:ascii="Times" w:hAnsi="Times" w:cs="Times"/>
          <w:noProof/>
        </w:rPr>
      </w:r>
      <w:r w:rsidRPr="00380510">
        <w:rPr>
          <w:rFonts w:ascii="Times" w:hAnsi="Times" w:cs="Times"/>
          <w:noProof/>
        </w:rPr>
        <w:fldChar w:fldCharType="separate"/>
      </w:r>
      <w:r w:rsidR="00623A5C">
        <w:rPr>
          <w:rFonts w:ascii="Times" w:hAnsi="Times" w:cs="Times"/>
          <w:noProof/>
        </w:rPr>
        <w:t>212</w:t>
      </w:r>
      <w:r w:rsidRPr="00380510">
        <w:rPr>
          <w:rFonts w:ascii="Times" w:hAnsi="Times" w:cs="Times"/>
          <w:noProof/>
        </w:rPr>
        <w:fldChar w:fldCharType="end"/>
      </w:r>
    </w:p>
    <w:p w:rsidR="00380510" w:rsidRDefault="00380510">
      <w:pPr>
        <w:pStyle w:val="TOC5"/>
        <w:rPr>
          <w:rFonts w:ascii="Calibri" w:hAnsi="Calibri"/>
          <w:iCs w:val="0"/>
          <w:noProof/>
          <w:kern w:val="0"/>
          <w:sz w:val="22"/>
          <w:szCs w:val="22"/>
        </w:rPr>
      </w:pPr>
      <w:r>
        <w:rPr>
          <w:noProof/>
        </w:rPr>
        <w:t>820</w:t>
      </w:r>
      <w:r>
        <w:rPr>
          <w:noProof/>
        </w:rPr>
        <w:noBreakHyphen/>
        <w:t>599</w:t>
      </w:r>
      <w:r>
        <w:rPr>
          <w:noProof/>
        </w:rPr>
        <w:tab/>
        <w:t>Choice by Australian resident company outside consolidatable group and MEC group</w:t>
      </w:r>
      <w:r w:rsidRPr="00380510">
        <w:rPr>
          <w:rFonts w:ascii="Times" w:hAnsi="Times" w:cs="Times"/>
          <w:noProof/>
        </w:rPr>
        <w:tab/>
      </w:r>
      <w:r w:rsidRPr="00380510">
        <w:rPr>
          <w:rFonts w:ascii="Times" w:hAnsi="Times" w:cs="Times"/>
          <w:noProof/>
        </w:rPr>
        <w:fldChar w:fldCharType="begin"/>
      </w:r>
      <w:r w:rsidRPr="00380510">
        <w:rPr>
          <w:rFonts w:ascii="Times" w:hAnsi="Times" w:cs="Times"/>
          <w:noProof/>
        </w:rPr>
        <w:instrText xml:space="preserve"> PAGEREF _Toc338939323 \h </w:instrText>
      </w:r>
      <w:r w:rsidRPr="00380510">
        <w:rPr>
          <w:rFonts w:ascii="Times" w:hAnsi="Times" w:cs="Times"/>
          <w:noProof/>
        </w:rPr>
      </w:r>
      <w:r w:rsidRPr="00380510">
        <w:rPr>
          <w:rFonts w:ascii="Times" w:hAnsi="Times" w:cs="Times"/>
          <w:noProof/>
        </w:rPr>
        <w:fldChar w:fldCharType="separate"/>
      </w:r>
      <w:r w:rsidR="00623A5C">
        <w:rPr>
          <w:rFonts w:ascii="Times" w:hAnsi="Times" w:cs="Times"/>
          <w:noProof/>
        </w:rPr>
        <w:t>213</w:t>
      </w:r>
      <w:r w:rsidRPr="00380510">
        <w:rPr>
          <w:rFonts w:ascii="Times" w:hAnsi="Times" w:cs="Times"/>
          <w:noProof/>
        </w:rPr>
        <w:fldChar w:fldCharType="end"/>
      </w:r>
    </w:p>
    <w:p w:rsidR="00380510" w:rsidRDefault="00380510">
      <w:pPr>
        <w:pStyle w:val="TOC4"/>
        <w:rPr>
          <w:rFonts w:ascii="Calibri" w:hAnsi="Calibri"/>
          <w:b w:val="0"/>
          <w:noProof/>
          <w:kern w:val="0"/>
          <w:sz w:val="22"/>
          <w:szCs w:val="22"/>
        </w:rPr>
      </w:pPr>
      <w:r>
        <w:rPr>
          <w:noProof/>
        </w:rPr>
        <w:t>Effect of choice</w:t>
      </w:r>
      <w:r w:rsidRPr="00380510">
        <w:rPr>
          <w:rFonts w:ascii="Times" w:hAnsi="Times" w:cs="Times"/>
          <w:b w:val="0"/>
          <w:noProof/>
          <w:sz w:val="18"/>
        </w:rPr>
        <w:tab/>
      </w:r>
      <w:r w:rsidRPr="00380510">
        <w:rPr>
          <w:rFonts w:ascii="Times" w:hAnsi="Times" w:cs="Times"/>
          <w:b w:val="0"/>
          <w:noProof/>
          <w:sz w:val="18"/>
        </w:rPr>
        <w:fldChar w:fldCharType="begin"/>
      </w:r>
      <w:r w:rsidRPr="00380510">
        <w:rPr>
          <w:rFonts w:ascii="Times" w:hAnsi="Times" w:cs="Times"/>
          <w:b w:val="0"/>
          <w:noProof/>
          <w:sz w:val="18"/>
        </w:rPr>
        <w:instrText xml:space="preserve"> PAGEREF _Toc338939324 \h </w:instrText>
      </w:r>
      <w:r w:rsidRPr="00380510">
        <w:rPr>
          <w:rFonts w:ascii="Times" w:hAnsi="Times" w:cs="Times"/>
          <w:b w:val="0"/>
          <w:noProof/>
          <w:sz w:val="18"/>
        </w:rPr>
      </w:r>
      <w:r w:rsidRPr="00380510">
        <w:rPr>
          <w:rFonts w:ascii="Times" w:hAnsi="Times" w:cs="Times"/>
          <w:b w:val="0"/>
          <w:noProof/>
          <w:sz w:val="18"/>
        </w:rPr>
        <w:fldChar w:fldCharType="separate"/>
      </w:r>
      <w:r w:rsidR="00623A5C">
        <w:rPr>
          <w:rFonts w:ascii="Times" w:hAnsi="Times" w:cs="Times"/>
          <w:b w:val="0"/>
          <w:noProof/>
          <w:sz w:val="18"/>
        </w:rPr>
        <w:t>214</w:t>
      </w:r>
      <w:r w:rsidRPr="00380510">
        <w:rPr>
          <w:rFonts w:ascii="Times" w:hAnsi="Times" w:cs="Times"/>
          <w:b w:val="0"/>
          <w:noProof/>
          <w:sz w:val="18"/>
        </w:rPr>
        <w:fldChar w:fldCharType="end"/>
      </w:r>
    </w:p>
    <w:p w:rsidR="00380510" w:rsidRDefault="00380510">
      <w:pPr>
        <w:pStyle w:val="TOC5"/>
        <w:rPr>
          <w:rFonts w:ascii="Calibri" w:hAnsi="Calibri"/>
          <w:iCs w:val="0"/>
          <w:noProof/>
          <w:kern w:val="0"/>
          <w:sz w:val="22"/>
          <w:szCs w:val="22"/>
        </w:rPr>
      </w:pPr>
      <w:r>
        <w:rPr>
          <w:noProof/>
        </w:rPr>
        <w:t>820</w:t>
      </w:r>
      <w:r>
        <w:rPr>
          <w:noProof/>
        </w:rPr>
        <w:noBreakHyphen/>
        <w:t>601</w:t>
      </w:r>
      <w:r>
        <w:rPr>
          <w:noProof/>
        </w:rPr>
        <w:tab/>
        <w:t>Application</w:t>
      </w:r>
      <w:r w:rsidRPr="00380510">
        <w:rPr>
          <w:rFonts w:ascii="Times" w:hAnsi="Times" w:cs="Times"/>
          <w:noProof/>
        </w:rPr>
        <w:tab/>
      </w:r>
      <w:r w:rsidRPr="00380510">
        <w:rPr>
          <w:rFonts w:ascii="Times" w:hAnsi="Times" w:cs="Times"/>
          <w:noProof/>
        </w:rPr>
        <w:fldChar w:fldCharType="begin"/>
      </w:r>
      <w:r w:rsidRPr="00380510">
        <w:rPr>
          <w:rFonts w:ascii="Times" w:hAnsi="Times" w:cs="Times"/>
          <w:noProof/>
        </w:rPr>
        <w:instrText xml:space="preserve"> PAGEREF _Toc338939325 \h </w:instrText>
      </w:r>
      <w:r w:rsidRPr="00380510">
        <w:rPr>
          <w:rFonts w:ascii="Times" w:hAnsi="Times" w:cs="Times"/>
          <w:noProof/>
        </w:rPr>
      </w:r>
      <w:r w:rsidRPr="00380510">
        <w:rPr>
          <w:rFonts w:ascii="Times" w:hAnsi="Times" w:cs="Times"/>
          <w:noProof/>
        </w:rPr>
        <w:fldChar w:fldCharType="separate"/>
      </w:r>
      <w:r w:rsidR="00623A5C">
        <w:rPr>
          <w:rFonts w:ascii="Times" w:hAnsi="Times" w:cs="Times"/>
          <w:noProof/>
        </w:rPr>
        <w:t>214</w:t>
      </w:r>
      <w:r w:rsidRPr="00380510">
        <w:rPr>
          <w:rFonts w:ascii="Times" w:hAnsi="Times" w:cs="Times"/>
          <w:noProof/>
        </w:rPr>
        <w:fldChar w:fldCharType="end"/>
      </w:r>
    </w:p>
    <w:p w:rsidR="00380510" w:rsidRDefault="00380510">
      <w:pPr>
        <w:pStyle w:val="TOC5"/>
        <w:rPr>
          <w:rFonts w:ascii="Calibri" w:hAnsi="Calibri"/>
          <w:iCs w:val="0"/>
          <w:noProof/>
          <w:kern w:val="0"/>
          <w:sz w:val="22"/>
          <w:szCs w:val="22"/>
        </w:rPr>
      </w:pPr>
      <w:r>
        <w:rPr>
          <w:noProof/>
        </w:rPr>
        <w:t>820</w:t>
      </w:r>
      <w:r>
        <w:rPr>
          <w:noProof/>
        </w:rPr>
        <w:noBreakHyphen/>
        <w:t>603</w:t>
      </w:r>
      <w:r>
        <w:rPr>
          <w:noProof/>
        </w:rPr>
        <w:tab/>
        <w:t>General</w:t>
      </w:r>
      <w:r w:rsidRPr="00380510">
        <w:rPr>
          <w:rFonts w:ascii="Times" w:hAnsi="Times" w:cs="Times"/>
          <w:noProof/>
        </w:rPr>
        <w:tab/>
      </w:r>
      <w:r w:rsidRPr="00380510">
        <w:rPr>
          <w:rFonts w:ascii="Times" w:hAnsi="Times" w:cs="Times"/>
          <w:noProof/>
        </w:rPr>
        <w:fldChar w:fldCharType="begin"/>
      </w:r>
      <w:r w:rsidRPr="00380510">
        <w:rPr>
          <w:rFonts w:ascii="Times" w:hAnsi="Times" w:cs="Times"/>
          <w:noProof/>
        </w:rPr>
        <w:instrText xml:space="preserve"> PAGEREF _Toc338939326 \h </w:instrText>
      </w:r>
      <w:r w:rsidRPr="00380510">
        <w:rPr>
          <w:rFonts w:ascii="Times" w:hAnsi="Times" w:cs="Times"/>
          <w:noProof/>
        </w:rPr>
      </w:r>
      <w:r w:rsidRPr="00380510">
        <w:rPr>
          <w:rFonts w:ascii="Times" w:hAnsi="Times" w:cs="Times"/>
          <w:noProof/>
        </w:rPr>
        <w:fldChar w:fldCharType="separate"/>
      </w:r>
      <w:r w:rsidR="00623A5C">
        <w:rPr>
          <w:rFonts w:ascii="Times" w:hAnsi="Times" w:cs="Times"/>
          <w:noProof/>
        </w:rPr>
        <w:t>214</w:t>
      </w:r>
      <w:r w:rsidRPr="00380510">
        <w:rPr>
          <w:rFonts w:ascii="Times" w:hAnsi="Times" w:cs="Times"/>
          <w:noProof/>
        </w:rPr>
        <w:fldChar w:fldCharType="end"/>
      </w:r>
    </w:p>
    <w:p w:rsidR="00380510" w:rsidRDefault="00380510">
      <w:pPr>
        <w:pStyle w:val="TOC5"/>
        <w:rPr>
          <w:rFonts w:ascii="Calibri" w:hAnsi="Calibri"/>
          <w:iCs w:val="0"/>
          <w:noProof/>
          <w:kern w:val="0"/>
          <w:sz w:val="22"/>
          <w:szCs w:val="22"/>
        </w:rPr>
      </w:pPr>
      <w:r>
        <w:rPr>
          <w:noProof/>
        </w:rPr>
        <w:t>820</w:t>
      </w:r>
      <w:r>
        <w:rPr>
          <w:noProof/>
        </w:rPr>
        <w:noBreakHyphen/>
        <w:t>605</w:t>
      </w:r>
      <w:r>
        <w:rPr>
          <w:noProof/>
        </w:rPr>
        <w:tab/>
        <w:t>Effect on establishment entity if certain debt deductions disallowed</w:t>
      </w:r>
      <w:r w:rsidRPr="00380510">
        <w:rPr>
          <w:rFonts w:ascii="Times" w:hAnsi="Times" w:cs="Times"/>
          <w:noProof/>
        </w:rPr>
        <w:tab/>
      </w:r>
      <w:r w:rsidRPr="00380510">
        <w:rPr>
          <w:rFonts w:ascii="Times" w:hAnsi="Times" w:cs="Times"/>
          <w:noProof/>
        </w:rPr>
        <w:fldChar w:fldCharType="begin"/>
      </w:r>
      <w:r w:rsidRPr="00380510">
        <w:rPr>
          <w:rFonts w:ascii="Times" w:hAnsi="Times" w:cs="Times"/>
          <w:noProof/>
        </w:rPr>
        <w:instrText xml:space="preserve"> PAGEREF _Toc338939327 \h </w:instrText>
      </w:r>
      <w:r w:rsidRPr="00380510">
        <w:rPr>
          <w:rFonts w:ascii="Times" w:hAnsi="Times" w:cs="Times"/>
          <w:noProof/>
        </w:rPr>
      </w:r>
      <w:r w:rsidRPr="00380510">
        <w:rPr>
          <w:rFonts w:ascii="Times" w:hAnsi="Times" w:cs="Times"/>
          <w:noProof/>
        </w:rPr>
        <w:fldChar w:fldCharType="separate"/>
      </w:r>
      <w:r w:rsidR="00623A5C">
        <w:rPr>
          <w:rFonts w:ascii="Times" w:hAnsi="Times" w:cs="Times"/>
          <w:noProof/>
        </w:rPr>
        <w:t>216</w:t>
      </w:r>
      <w:r w:rsidRPr="00380510">
        <w:rPr>
          <w:rFonts w:ascii="Times" w:hAnsi="Times" w:cs="Times"/>
          <w:noProof/>
        </w:rPr>
        <w:fldChar w:fldCharType="end"/>
      </w:r>
    </w:p>
    <w:p w:rsidR="00380510" w:rsidRDefault="00380510">
      <w:pPr>
        <w:pStyle w:val="TOC5"/>
        <w:rPr>
          <w:rFonts w:ascii="Calibri" w:hAnsi="Calibri"/>
          <w:iCs w:val="0"/>
          <w:noProof/>
          <w:kern w:val="0"/>
          <w:sz w:val="22"/>
          <w:szCs w:val="22"/>
        </w:rPr>
      </w:pPr>
      <w:r>
        <w:rPr>
          <w:noProof/>
        </w:rPr>
        <w:t>820</w:t>
      </w:r>
      <w:r>
        <w:rPr>
          <w:noProof/>
        </w:rPr>
        <w:noBreakHyphen/>
        <w:t>607</w:t>
      </w:r>
      <w:r>
        <w:rPr>
          <w:noProof/>
        </w:rPr>
        <w:tab/>
        <w:t>Effect on test periods under this Division</w:t>
      </w:r>
      <w:r w:rsidRPr="00380510">
        <w:rPr>
          <w:rFonts w:ascii="Times" w:hAnsi="Times" w:cs="Times"/>
          <w:noProof/>
        </w:rPr>
        <w:tab/>
      </w:r>
      <w:r w:rsidRPr="00380510">
        <w:rPr>
          <w:rFonts w:ascii="Times" w:hAnsi="Times" w:cs="Times"/>
          <w:noProof/>
        </w:rPr>
        <w:fldChar w:fldCharType="begin"/>
      </w:r>
      <w:r w:rsidRPr="00380510">
        <w:rPr>
          <w:rFonts w:ascii="Times" w:hAnsi="Times" w:cs="Times"/>
          <w:noProof/>
        </w:rPr>
        <w:instrText xml:space="preserve"> PAGEREF _Toc338939328 \h </w:instrText>
      </w:r>
      <w:r w:rsidRPr="00380510">
        <w:rPr>
          <w:rFonts w:ascii="Times" w:hAnsi="Times" w:cs="Times"/>
          <w:noProof/>
        </w:rPr>
      </w:r>
      <w:r w:rsidRPr="00380510">
        <w:rPr>
          <w:rFonts w:ascii="Times" w:hAnsi="Times" w:cs="Times"/>
          <w:noProof/>
        </w:rPr>
        <w:fldChar w:fldCharType="separate"/>
      </w:r>
      <w:r w:rsidR="00623A5C">
        <w:rPr>
          <w:rFonts w:ascii="Times" w:hAnsi="Times" w:cs="Times"/>
          <w:noProof/>
        </w:rPr>
        <w:t>217</w:t>
      </w:r>
      <w:r w:rsidRPr="00380510">
        <w:rPr>
          <w:rFonts w:ascii="Times" w:hAnsi="Times" w:cs="Times"/>
          <w:noProof/>
        </w:rPr>
        <w:fldChar w:fldCharType="end"/>
      </w:r>
    </w:p>
    <w:p w:rsidR="00380510" w:rsidRDefault="00380510">
      <w:pPr>
        <w:pStyle w:val="TOC5"/>
        <w:rPr>
          <w:rFonts w:ascii="Calibri" w:hAnsi="Calibri"/>
          <w:iCs w:val="0"/>
          <w:noProof/>
          <w:kern w:val="0"/>
          <w:sz w:val="22"/>
          <w:szCs w:val="22"/>
        </w:rPr>
      </w:pPr>
      <w:r>
        <w:rPr>
          <w:noProof/>
        </w:rPr>
        <w:t>820</w:t>
      </w:r>
      <w:r>
        <w:rPr>
          <w:noProof/>
        </w:rPr>
        <w:noBreakHyphen/>
        <w:t>609</w:t>
      </w:r>
      <w:r>
        <w:rPr>
          <w:noProof/>
        </w:rPr>
        <w:tab/>
        <w:t>Effect on classification of head company or single company</w:t>
      </w:r>
      <w:r w:rsidRPr="00380510">
        <w:rPr>
          <w:rFonts w:ascii="Times" w:hAnsi="Times" w:cs="Times"/>
          <w:noProof/>
        </w:rPr>
        <w:tab/>
      </w:r>
      <w:r w:rsidRPr="00380510">
        <w:rPr>
          <w:rFonts w:ascii="Times" w:hAnsi="Times" w:cs="Times"/>
          <w:noProof/>
        </w:rPr>
        <w:fldChar w:fldCharType="begin"/>
      </w:r>
      <w:r w:rsidRPr="00380510">
        <w:rPr>
          <w:rFonts w:ascii="Times" w:hAnsi="Times" w:cs="Times"/>
          <w:noProof/>
        </w:rPr>
        <w:instrText xml:space="preserve"> PAGEREF _Toc338939329 \h </w:instrText>
      </w:r>
      <w:r w:rsidRPr="00380510">
        <w:rPr>
          <w:rFonts w:ascii="Times" w:hAnsi="Times" w:cs="Times"/>
          <w:noProof/>
        </w:rPr>
      </w:r>
      <w:r w:rsidRPr="00380510">
        <w:rPr>
          <w:rFonts w:ascii="Times" w:hAnsi="Times" w:cs="Times"/>
          <w:noProof/>
        </w:rPr>
        <w:fldChar w:fldCharType="separate"/>
      </w:r>
      <w:r w:rsidR="00623A5C">
        <w:rPr>
          <w:rFonts w:ascii="Times" w:hAnsi="Times" w:cs="Times"/>
          <w:noProof/>
        </w:rPr>
        <w:t>217</w:t>
      </w:r>
      <w:r w:rsidRPr="00380510">
        <w:rPr>
          <w:rFonts w:ascii="Times" w:hAnsi="Times" w:cs="Times"/>
          <w:noProof/>
        </w:rPr>
        <w:fldChar w:fldCharType="end"/>
      </w:r>
    </w:p>
    <w:p w:rsidR="00380510" w:rsidRDefault="00380510">
      <w:pPr>
        <w:pStyle w:val="TOC5"/>
        <w:rPr>
          <w:rFonts w:ascii="Calibri" w:hAnsi="Calibri"/>
          <w:iCs w:val="0"/>
          <w:noProof/>
          <w:kern w:val="0"/>
          <w:sz w:val="22"/>
          <w:szCs w:val="22"/>
        </w:rPr>
      </w:pPr>
      <w:r>
        <w:rPr>
          <w:noProof/>
        </w:rPr>
        <w:lastRenderedPageBreak/>
        <w:t>820</w:t>
      </w:r>
      <w:r>
        <w:rPr>
          <w:noProof/>
        </w:rPr>
        <w:noBreakHyphen/>
        <w:t>610</w:t>
      </w:r>
      <w:r>
        <w:rPr>
          <w:noProof/>
        </w:rPr>
        <w:tab/>
        <w:t>Choice not to be outward investing entity (ADI) or inward investing entity (ADI)</w:t>
      </w:r>
      <w:r w:rsidRPr="00380510">
        <w:rPr>
          <w:rFonts w:ascii="Times" w:hAnsi="Times" w:cs="Times"/>
          <w:noProof/>
        </w:rPr>
        <w:tab/>
      </w:r>
      <w:r w:rsidRPr="00380510">
        <w:rPr>
          <w:rFonts w:ascii="Times" w:hAnsi="Times" w:cs="Times"/>
          <w:noProof/>
        </w:rPr>
        <w:fldChar w:fldCharType="begin"/>
      </w:r>
      <w:r w:rsidRPr="00380510">
        <w:rPr>
          <w:rFonts w:ascii="Times" w:hAnsi="Times" w:cs="Times"/>
          <w:noProof/>
        </w:rPr>
        <w:instrText xml:space="preserve"> PAGEREF _Toc338939330 \h </w:instrText>
      </w:r>
      <w:r w:rsidRPr="00380510">
        <w:rPr>
          <w:rFonts w:ascii="Times" w:hAnsi="Times" w:cs="Times"/>
          <w:noProof/>
        </w:rPr>
      </w:r>
      <w:r w:rsidRPr="00380510">
        <w:rPr>
          <w:rFonts w:ascii="Times" w:hAnsi="Times" w:cs="Times"/>
          <w:noProof/>
        </w:rPr>
        <w:fldChar w:fldCharType="separate"/>
      </w:r>
      <w:r w:rsidR="00623A5C">
        <w:rPr>
          <w:rFonts w:ascii="Times" w:hAnsi="Times" w:cs="Times"/>
          <w:noProof/>
        </w:rPr>
        <w:t>219</w:t>
      </w:r>
      <w:r w:rsidRPr="00380510">
        <w:rPr>
          <w:rFonts w:ascii="Times" w:hAnsi="Times" w:cs="Times"/>
          <w:noProof/>
        </w:rPr>
        <w:fldChar w:fldCharType="end"/>
      </w:r>
    </w:p>
    <w:p w:rsidR="00380510" w:rsidRDefault="00380510">
      <w:pPr>
        <w:pStyle w:val="TOC5"/>
        <w:rPr>
          <w:rFonts w:ascii="Calibri" w:hAnsi="Calibri"/>
          <w:iCs w:val="0"/>
          <w:noProof/>
          <w:kern w:val="0"/>
          <w:sz w:val="22"/>
          <w:szCs w:val="22"/>
        </w:rPr>
      </w:pPr>
      <w:r>
        <w:rPr>
          <w:noProof/>
        </w:rPr>
        <w:t>820</w:t>
      </w:r>
      <w:r>
        <w:rPr>
          <w:noProof/>
        </w:rPr>
        <w:noBreakHyphen/>
        <w:t>611</w:t>
      </w:r>
      <w:r>
        <w:rPr>
          <w:noProof/>
        </w:rPr>
        <w:tab/>
        <w:t>Values to be based on what would be in consolidated accounts for group</w:t>
      </w:r>
      <w:r w:rsidRPr="00380510">
        <w:rPr>
          <w:rFonts w:ascii="Times" w:hAnsi="Times" w:cs="Times"/>
          <w:noProof/>
        </w:rPr>
        <w:tab/>
      </w:r>
      <w:r w:rsidRPr="00380510">
        <w:rPr>
          <w:rFonts w:ascii="Times" w:hAnsi="Times" w:cs="Times"/>
          <w:noProof/>
        </w:rPr>
        <w:fldChar w:fldCharType="begin"/>
      </w:r>
      <w:r w:rsidRPr="00380510">
        <w:rPr>
          <w:rFonts w:ascii="Times" w:hAnsi="Times" w:cs="Times"/>
          <w:noProof/>
        </w:rPr>
        <w:instrText xml:space="preserve"> PAGEREF _Toc338939331 \h </w:instrText>
      </w:r>
      <w:r w:rsidRPr="00380510">
        <w:rPr>
          <w:rFonts w:ascii="Times" w:hAnsi="Times" w:cs="Times"/>
          <w:noProof/>
        </w:rPr>
      </w:r>
      <w:r w:rsidRPr="00380510">
        <w:rPr>
          <w:rFonts w:ascii="Times" w:hAnsi="Times" w:cs="Times"/>
          <w:noProof/>
        </w:rPr>
        <w:fldChar w:fldCharType="separate"/>
      </w:r>
      <w:r w:rsidR="00623A5C">
        <w:rPr>
          <w:rFonts w:ascii="Times" w:hAnsi="Times" w:cs="Times"/>
          <w:noProof/>
        </w:rPr>
        <w:t>220</w:t>
      </w:r>
      <w:r w:rsidRPr="00380510">
        <w:rPr>
          <w:rFonts w:ascii="Times" w:hAnsi="Times" w:cs="Times"/>
          <w:noProof/>
        </w:rPr>
        <w:fldChar w:fldCharType="end"/>
      </w:r>
    </w:p>
    <w:p w:rsidR="00380510" w:rsidRDefault="00380510">
      <w:pPr>
        <w:pStyle w:val="TOC5"/>
        <w:rPr>
          <w:rFonts w:ascii="Calibri" w:hAnsi="Calibri"/>
          <w:iCs w:val="0"/>
          <w:noProof/>
          <w:kern w:val="0"/>
          <w:sz w:val="22"/>
          <w:szCs w:val="22"/>
        </w:rPr>
      </w:pPr>
      <w:r>
        <w:rPr>
          <w:noProof/>
        </w:rPr>
        <w:t>820</w:t>
      </w:r>
      <w:r>
        <w:rPr>
          <w:noProof/>
        </w:rPr>
        <w:noBreakHyphen/>
        <w:t>613</w:t>
      </w:r>
      <w:r>
        <w:rPr>
          <w:noProof/>
        </w:rPr>
        <w:tab/>
        <w:t>How Subdivision 820</w:t>
      </w:r>
      <w:r>
        <w:rPr>
          <w:noProof/>
        </w:rPr>
        <w:noBreakHyphen/>
        <w:t>D applies</w:t>
      </w:r>
      <w:r w:rsidRPr="00380510">
        <w:rPr>
          <w:rFonts w:ascii="Times" w:hAnsi="Times" w:cs="Times"/>
          <w:noProof/>
        </w:rPr>
        <w:tab/>
      </w:r>
      <w:r w:rsidRPr="00380510">
        <w:rPr>
          <w:rFonts w:ascii="Times" w:hAnsi="Times" w:cs="Times"/>
          <w:noProof/>
        </w:rPr>
        <w:fldChar w:fldCharType="begin"/>
      </w:r>
      <w:r w:rsidRPr="00380510">
        <w:rPr>
          <w:rFonts w:ascii="Times" w:hAnsi="Times" w:cs="Times"/>
          <w:noProof/>
        </w:rPr>
        <w:instrText xml:space="preserve"> PAGEREF _Toc338939332 \h </w:instrText>
      </w:r>
      <w:r w:rsidRPr="00380510">
        <w:rPr>
          <w:rFonts w:ascii="Times" w:hAnsi="Times" w:cs="Times"/>
          <w:noProof/>
        </w:rPr>
      </w:r>
      <w:r w:rsidRPr="00380510">
        <w:rPr>
          <w:rFonts w:ascii="Times" w:hAnsi="Times" w:cs="Times"/>
          <w:noProof/>
        </w:rPr>
        <w:fldChar w:fldCharType="separate"/>
      </w:r>
      <w:r w:rsidR="00623A5C">
        <w:rPr>
          <w:rFonts w:ascii="Times" w:hAnsi="Times" w:cs="Times"/>
          <w:noProof/>
        </w:rPr>
        <w:t>221</w:t>
      </w:r>
      <w:r w:rsidRPr="00380510">
        <w:rPr>
          <w:rFonts w:ascii="Times" w:hAnsi="Times" w:cs="Times"/>
          <w:noProof/>
        </w:rPr>
        <w:fldChar w:fldCharType="end"/>
      </w:r>
    </w:p>
    <w:p w:rsidR="00380510" w:rsidRDefault="00380510">
      <w:pPr>
        <w:pStyle w:val="TOC5"/>
        <w:rPr>
          <w:rFonts w:ascii="Calibri" w:hAnsi="Calibri"/>
          <w:iCs w:val="0"/>
          <w:noProof/>
          <w:kern w:val="0"/>
          <w:sz w:val="22"/>
          <w:szCs w:val="22"/>
        </w:rPr>
      </w:pPr>
      <w:r>
        <w:rPr>
          <w:noProof/>
        </w:rPr>
        <w:t>820</w:t>
      </w:r>
      <w:r>
        <w:rPr>
          <w:noProof/>
        </w:rPr>
        <w:noBreakHyphen/>
        <w:t>615</w:t>
      </w:r>
      <w:r>
        <w:rPr>
          <w:noProof/>
        </w:rPr>
        <w:tab/>
        <w:t>How Subdivision 820</w:t>
      </w:r>
      <w:r>
        <w:rPr>
          <w:noProof/>
        </w:rPr>
        <w:noBreakHyphen/>
        <w:t>E applies</w:t>
      </w:r>
      <w:r w:rsidRPr="00380510">
        <w:rPr>
          <w:rFonts w:ascii="Times" w:hAnsi="Times" w:cs="Times"/>
          <w:noProof/>
        </w:rPr>
        <w:tab/>
      </w:r>
      <w:r w:rsidRPr="00380510">
        <w:rPr>
          <w:rFonts w:ascii="Times" w:hAnsi="Times" w:cs="Times"/>
          <w:noProof/>
        </w:rPr>
        <w:fldChar w:fldCharType="begin"/>
      </w:r>
      <w:r w:rsidRPr="00380510">
        <w:rPr>
          <w:rFonts w:ascii="Times" w:hAnsi="Times" w:cs="Times"/>
          <w:noProof/>
        </w:rPr>
        <w:instrText xml:space="preserve"> PAGEREF _Toc338939333 \h </w:instrText>
      </w:r>
      <w:r w:rsidRPr="00380510">
        <w:rPr>
          <w:rFonts w:ascii="Times" w:hAnsi="Times" w:cs="Times"/>
          <w:noProof/>
        </w:rPr>
      </w:r>
      <w:r w:rsidRPr="00380510">
        <w:rPr>
          <w:rFonts w:ascii="Times" w:hAnsi="Times" w:cs="Times"/>
          <w:noProof/>
        </w:rPr>
        <w:fldChar w:fldCharType="separate"/>
      </w:r>
      <w:r w:rsidR="00623A5C">
        <w:rPr>
          <w:rFonts w:ascii="Times" w:hAnsi="Times" w:cs="Times"/>
          <w:noProof/>
        </w:rPr>
        <w:t>222</w:t>
      </w:r>
      <w:r w:rsidRPr="00380510">
        <w:rPr>
          <w:rFonts w:ascii="Times" w:hAnsi="Times" w:cs="Times"/>
          <w:noProof/>
        </w:rPr>
        <w:fldChar w:fldCharType="end"/>
      </w:r>
    </w:p>
    <w:p w:rsidR="00380510" w:rsidRDefault="00380510">
      <w:pPr>
        <w:pStyle w:val="TOC4"/>
        <w:rPr>
          <w:rFonts w:ascii="Calibri" w:hAnsi="Calibri"/>
          <w:b w:val="0"/>
          <w:noProof/>
          <w:kern w:val="0"/>
          <w:sz w:val="22"/>
          <w:szCs w:val="22"/>
        </w:rPr>
      </w:pPr>
      <w:r>
        <w:rPr>
          <w:noProof/>
        </w:rPr>
        <w:t>Subdivision 820</w:t>
      </w:r>
      <w:r>
        <w:rPr>
          <w:noProof/>
        </w:rPr>
        <w:noBreakHyphen/>
        <w:t>G—Calculating the average values</w:t>
      </w:r>
      <w:r w:rsidRPr="00380510">
        <w:rPr>
          <w:rFonts w:ascii="Times" w:hAnsi="Times" w:cs="Times"/>
          <w:b w:val="0"/>
          <w:noProof/>
          <w:sz w:val="18"/>
        </w:rPr>
        <w:tab/>
      </w:r>
      <w:r w:rsidRPr="00380510">
        <w:rPr>
          <w:rFonts w:ascii="Times" w:hAnsi="Times" w:cs="Times"/>
          <w:b w:val="0"/>
          <w:noProof/>
          <w:sz w:val="18"/>
        </w:rPr>
        <w:fldChar w:fldCharType="begin"/>
      </w:r>
      <w:r w:rsidRPr="00380510">
        <w:rPr>
          <w:rFonts w:ascii="Times" w:hAnsi="Times" w:cs="Times"/>
          <w:b w:val="0"/>
          <w:noProof/>
          <w:sz w:val="18"/>
        </w:rPr>
        <w:instrText xml:space="preserve"> PAGEREF _Toc338939334 \h </w:instrText>
      </w:r>
      <w:r w:rsidRPr="00380510">
        <w:rPr>
          <w:rFonts w:ascii="Times" w:hAnsi="Times" w:cs="Times"/>
          <w:b w:val="0"/>
          <w:noProof/>
          <w:sz w:val="18"/>
        </w:rPr>
      </w:r>
      <w:r w:rsidRPr="00380510">
        <w:rPr>
          <w:rFonts w:ascii="Times" w:hAnsi="Times" w:cs="Times"/>
          <w:b w:val="0"/>
          <w:noProof/>
          <w:sz w:val="18"/>
        </w:rPr>
        <w:fldChar w:fldCharType="separate"/>
      </w:r>
      <w:r w:rsidR="00623A5C">
        <w:rPr>
          <w:rFonts w:ascii="Times" w:hAnsi="Times" w:cs="Times"/>
          <w:b w:val="0"/>
          <w:noProof/>
          <w:sz w:val="18"/>
        </w:rPr>
        <w:t>223</w:t>
      </w:r>
      <w:r w:rsidRPr="00380510">
        <w:rPr>
          <w:rFonts w:ascii="Times" w:hAnsi="Times" w:cs="Times"/>
          <w:b w:val="0"/>
          <w:noProof/>
          <w:sz w:val="18"/>
        </w:rPr>
        <w:fldChar w:fldCharType="end"/>
      </w:r>
    </w:p>
    <w:p w:rsidR="00380510" w:rsidRDefault="00380510">
      <w:pPr>
        <w:pStyle w:val="TOC4"/>
        <w:rPr>
          <w:rFonts w:ascii="Calibri" w:hAnsi="Calibri"/>
          <w:b w:val="0"/>
          <w:noProof/>
          <w:kern w:val="0"/>
          <w:sz w:val="22"/>
          <w:szCs w:val="22"/>
        </w:rPr>
      </w:pPr>
      <w:r>
        <w:rPr>
          <w:noProof/>
        </w:rPr>
        <w:t>Guide to Subdivision 820</w:t>
      </w:r>
      <w:r>
        <w:rPr>
          <w:noProof/>
        </w:rPr>
        <w:noBreakHyphen/>
        <w:t>G</w:t>
      </w:r>
      <w:r w:rsidRPr="00380510">
        <w:rPr>
          <w:rFonts w:ascii="Times" w:hAnsi="Times" w:cs="Times"/>
          <w:b w:val="0"/>
          <w:noProof/>
          <w:sz w:val="18"/>
        </w:rPr>
        <w:tab/>
      </w:r>
      <w:r w:rsidRPr="00380510">
        <w:rPr>
          <w:rFonts w:ascii="Times" w:hAnsi="Times" w:cs="Times"/>
          <w:b w:val="0"/>
          <w:noProof/>
          <w:sz w:val="18"/>
        </w:rPr>
        <w:fldChar w:fldCharType="begin"/>
      </w:r>
      <w:r w:rsidRPr="00380510">
        <w:rPr>
          <w:rFonts w:ascii="Times" w:hAnsi="Times" w:cs="Times"/>
          <w:b w:val="0"/>
          <w:noProof/>
          <w:sz w:val="18"/>
        </w:rPr>
        <w:instrText xml:space="preserve"> PAGEREF _Toc338939335 \h </w:instrText>
      </w:r>
      <w:r w:rsidRPr="00380510">
        <w:rPr>
          <w:rFonts w:ascii="Times" w:hAnsi="Times" w:cs="Times"/>
          <w:b w:val="0"/>
          <w:noProof/>
          <w:sz w:val="18"/>
        </w:rPr>
      </w:r>
      <w:r w:rsidRPr="00380510">
        <w:rPr>
          <w:rFonts w:ascii="Times" w:hAnsi="Times" w:cs="Times"/>
          <w:b w:val="0"/>
          <w:noProof/>
          <w:sz w:val="18"/>
        </w:rPr>
        <w:fldChar w:fldCharType="separate"/>
      </w:r>
      <w:r w:rsidR="00623A5C">
        <w:rPr>
          <w:rFonts w:ascii="Times" w:hAnsi="Times" w:cs="Times"/>
          <w:b w:val="0"/>
          <w:noProof/>
          <w:sz w:val="18"/>
        </w:rPr>
        <w:t>223</w:t>
      </w:r>
      <w:r w:rsidRPr="00380510">
        <w:rPr>
          <w:rFonts w:ascii="Times" w:hAnsi="Times" w:cs="Times"/>
          <w:b w:val="0"/>
          <w:noProof/>
          <w:sz w:val="18"/>
        </w:rPr>
        <w:fldChar w:fldCharType="end"/>
      </w:r>
    </w:p>
    <w:p w:rsidR="00380510" w:rsidRDefault="00380510">
      <w:pPr>
        <w:pStyle w:val="TOC5"/>
        <w:rPr>
          <w:rFonts w:ascii="Calibri" w:hAnsi="Calibri"/>
          <w:iCs w:val="0"/>
          <w:noProof/>
          <w:kern w:val="0"/>
          <w:sz w:val="22"/>
          <w:szCs w:val="22"/>
        </w:rPr>
      </w:pPr>
      <w:r>
        <w:rPr>
          <w:noProof/>
        </w:rPr>
        <w:t>820</w:t>
      </w:r>
      <w:r>
        <w:rPr>
          <w:noProof/>
        </w:rPr>
        <w:noBreakHyphen/>
        <w:t>625</w:t>
      </w:r>
      <w:r>
        <w:rPr>
          <w:noProof/>
        </w:rPr>
        <w:tab/>
        <w:t>What this Subdivision is about</w:t>
      </w:r>
      <w:r w:rsidRPr="00380510">
        <w:rPr>
          <w:rFonts w:ascii="Times" w:hAnsi="Times" w:cs="Times"/>
          <w:noProof/>
        </w:rPr>
        <w:tab/>
      </w:r>
      <w:r w:rsidRPr="00380510">
        <w:rPr>
          <w:rFonts w:ascii="Times" w:hAnsi="Times" w:cs="Times"/>
          <w:noProof/>
        </w:rPr>
        <w:fldChar w:fldCharType="begin"/>
      </w:r>
      <w:r w:rsidRPr="00380510">
        <w:rPr>
          <w:rFonts w:ascii="Times" w:hAnsi="Times" w:cs="Times"/>
          <w:noProof/>
        </w:rPr>
        <w:instrText xml:space="preserve"> PAGEREF _Toc338939336 \h </w:instrText>
      </w:r>
      <w:r w:rsidRPr="00380510">
        <w:rPr>
          <w:rFonts w:ascii="Times" w:hAnsi="Times" w:cs="Times"/>
          <w:noProof/>
        </w:rPr>
      </w:r>
      <w:r w:rsidRPr="00380510">
        <w:rPr>
          <w:rFonts w:ascii="Times" w:hAnsi="Times" w:cs="Times"/>
          <w:noProof/>
        </w:rPr>
        <w:fldChar w:fldCharType="separate"/>
      </w:r>
      <w:r w:rsidR="00623A5C">
        <w:rPr>
          <w:rFonts w:ascii="Times" w:hAnsi="Times" w:cs="Times"/>
          <w:noProof/>
        </w:rPr>
        <w:t>223</w:t>
      </w:r>
      <w:r w:rsidRPr="00380510">
        <w:rPr>
          <w:rFonts w:ascii="Times" w:hAnsi="Times" w:cs="Times"/>
          <w:noProof/>
        </w:rPr>
        <w:fldChar w:fldCharType="end"/>
      </w:r>
    </w:p>
    <w:p w:rsidR="00380510" w:rsidRDefault="00380510">
      <w:pPr>
        <w:pStyle w:val="TOC4"/>
        <w:rPr>
          <w:rFonts w:ascii="Calibri" w:hAnsi="Calibri"/>
          <w:b w:val="0"/>
          <w:noProof/>
          <w:kern w:val="0"/>
          <w:sz w:val="22"/>
          <w:szCs w:val="22"/>
        </w:rPr>
      </w:pPr>
      <w:r>
        <w:rPr>
          <w:noProof/>
        </w:rPr>
        <w:t>How to calculate the average values</w:t>
      </w:r>
      <w:r w:rsidRPr="00380510">
        <w:rPr>
          <w:rFonts w:ascii="Times" w:hAnsi="Times" w:cs="Times"/>
          <w:b w:val="0"/>
          <w:noProof/>
          <w:sz w:val="18"/>
        </w:rPr>
        <w:tab/>
      </w:r>
      <w:r w:rsidRPr="00380510">
        <w:rPr>
          <w:rFonts w:ascii="Times" w:hAnsi="Times" w:cs="Times"/>
          <w:b w:val="0"/>
          <w:noProof/>
          <w:sz w:val="18"/>
        </w:rPr>
        <w:fldChar w:fldCharType="begin"/>
      </w:r>
      <w:r w:rsidRPr="00380510">
        <w:rPr>
          <w:rFonts w:ascii="Times" w:hAnsi="Times" w:cs="Times"/>
          <w:b w:val="0"/>
          <w:noProof/>
          <w:sz w:val="18"/>
        </w:rPr>
        <w:instrText xml:space="preserve"> PAGEREF _Toc338939337 \h </w:instrText>
      </w:r>
      <w:r w:rsidRPr="00380510">
        <w:rPr>
          <w:rFonts w:ascii="Times" w:hAnsi="Times" w:cs="Times"/>
          <w:b w:val="0"/>
          <w:noProof/>
          <w:sz w:val="18"/>
        </w:rPr>
      </w:r>
      <w:r w:rsidRPr="00380510">
        <w:rPr>
          <w:rFonts w:ascii="Times" w:hAnsi="Times" w:cs="Times"/>
          <w:b w:val="0"/>
          <w:noProof/>
          <w:sz w:val="18"/>
        </w:rPr>
        <w:fldChar w:fldCharType="separate"/>
      </w:r>
      <w:r w:rsidR="00623A5C">
        <w:rPr>
          <w:rFonts w:ascii="Times" w:hAnsi="Times" w:cs="Times"/>
          <w:b w:val="0"/>
          <w:noProof/>
          <w:sz w:val="18"/>
        </w:rPr>
        <w:t>224</w:t>
      </w:r>
      <w:r w:rsidRPr="00380510">
        <w:rPr>
          <w:rFonts w:ascii="Times" w:hAnsi="Times" w:cs="Times"/>
          <w:b w:val="0"/>
          <w:noProof/>
          <w:sz w:val="18"/>
        </w:rPr>
        <w:fldChar w:fldCharType="end"/>
      </w:r>
    </w:p>
    <w:p w:rsidR="00380510" w:rsidRDefault="00380510">
      <w:pPr>
        <w:pStyle w:val="TOC5"/>
        <w:rPr>
          <w:rFonts w:ascii="Calibri" w:hAnsi="Calibri"/>
          <w:iCs w:val="0"/>
          <w:noProof/>
          <w:kern w:val="0"/>
          <w:sz w:val="22"/>
          <w:szCs w:val="22"/>
        </w:rPr>
      </w:pPr>
      <w:r>
        <w:rPr>
          <w:noProof/>
        </w:rPr>
        <w:t>820</w:t>
      </w:r>
      <w:r>
        <w:rPr>
          <w:noProof/>
        </w:rPr>
        <w:noBreakHyphen/>
        <w:t>630</w:t>
      </w:r>
      <w:r>
        <w:rPr>
          <w:noProof/>
        </w:rPr>
        <w:tab/>
        <w:t>Methods of calculating average values</w:t>
      </w:r>
      <w:r w:rsidRPr="00380510">
        <w:rPr>
          <w:rFonts w:ascii="Times" w:hAnsi="Times" w:cs="Times"/>
          <w:noProof/>
        </w:rPr>
        <w:tab/>
      </w:r>
      <w:r w:rsidRPr="00380510">
        <w:rPr>
          <w:rFonts w:ascii="Times" w:hAnsi="Times" w:cs="Times"/>
          <w:noProof/>
        </w:rPr>
        <w:fldChar w:fldCharType="begin"/>
      </w:r>
      <w:r w:rsidRPr="00380510">
        <w:rPr>
          <w:rFonts w:ascii="Times" w:hAnsi="Times" w:cs="Times"/>
          <w:noProof/>
        </w:rPr>
        <w:instrText xml:space="preserve"> PAGEREF _Toc338939338 \h </w:instrText>
      </w:r>
      <w:r w:rsidRPr="00380510">
        <w:rPr>
          <w:rFonts w:ascii="Times" w:hAnsi="Times" w:cs="Times"/>
          <w:noProof/>
        </w:rPr>
      </w:r>
      <w:r w:rsidRPr="00380510">
        <w:rPr>
          <w:rFonts w:ascii="Times" w:hAnsi="Times" w:cs="Times"/>
          <w:noProof/>
        </w:rPr>
        <w:fldChar w:fldCharType="separate"/>
      </w:r>
      <w:r w:rsidR="00623A5C">
        <w:rPr>
          <w:rFonts w:ascii="Times" w:hAnsi="Times" w:cs="Times"/>
          <w:noProof/>
        </w:rPr>
        <w:t>224</w:t>
      </w:r>
      <w:r w:rsidRPr="00380510">
        <w:rPr>
          <w:rFonts w:ascii="Times" w:hAnsi="Times" w:cs="Times"/>
          <w:noProof/>
        </w:rPr>
        <w:fldChar w:fldCharType="end"/>
      </w:r>
    </w:p>
    <w:p w:rsidR="00380510" w:rsidRDefault="00380510">
      <w:pPr>
        <w:pStyle w:val="TOC5"/>
        <w:rPr>
          <w:rFonts w:ascii="Calibri" w:hAnsi="Calibri"/>
          <w:iCs w:val="0"/>
          <w:noProof/>
          <w:kern w:val="0"/>
          <w:sz w:val="22"/>
          <w:szCs w:val="22"/>
        </w:rPr>
      </w:pPr>
      <w:r>
        <w:rPr>
          <w:noProof/>
        </w:rPr>
        <w:t>820</w:t>
      </w:r>
      <w:r>
        <w:rPr>
          <w:noProof/>
        </w:rPr>
        <w:noBreakHyphen/>
        <w:t>635</w:t>
      </w:r>
      <w:r>
        <w:rPr>
          <w:noProof/>
        </w:rPr>
        <w:tab/>
        <w:t>The opening and closing balances method</w:t>
      </w:r>
      <w:r w:rsidRPr="00380510">
        <w:rPr>
          <w:rFonts w:ascii="Times" w:hAnsi="Times" w:cs="Times"/>
          <w:noProof/>
        </w:rPr>
        <w:tab/>
      </w:r>
      <w:r w:rsidRPr="00380510">
        <w:rPr>
          <w:rFonts w:ascii="Times" w:hAnsi="Times" w:cs="Times"/>
          <w:noProof/>
        </w:rPr>
        <w:fldChar w:fldCharType="begin"/>
      </w:r>
      <w:r w:rsidRPr="00380510">
        <w:rPr>
          <w:rFonts w:ascii="Times" w:hAnsi="Times" w:cs="Times"/>
          <w:noProof/>
        </w:rPr>
        <w:instrText xml:space="preserve"> PAGEREF _Toc338939339 \h </w:instrText>
      </w:r>
      <w:r w:rsidRPr="00380510">
        <w:rPr>
          <w:rFonts w:ascii="Times" w:hAnsi="Times" w:cs="Times"/>
          <w:noProof/>
        </w:rPr>
      </w:r>
      <w:r w:rsidRPr="00380510">
        <w:rPr>
          <w:rFonts w:ascii="Times" w:hAnsi="Times" w:cs="Times"/>
          <w:noProof/>
        </w:rPr>
        <w:fldChar w:fldCharType="separate"/>
      </w:r>
      <w:r w:rsidR="00623A5C">
        <w:rPr>
          <w:rFonts w:ascii="Times" w:hAnsi="Times" w:cs="Times"/>
          <w:noProof/>
        </w:rPr>
        <w:t>225</w:t>
      </w:r>
      <w:r w:rsidRPr="00380510">
        <w:rPr>
          <w:rFonts w:ascii="Times" w:hAnsi="Times" w:cs="Times"/>
          <w:noProof/>
        </w:rPr>
        <w:fldChar w:fldCharType="end"/>
      </w:r>
    </w:p>
    <w:p w:rsidR="00380510" w:rsidRDefault="00380510">
      <w:pPr>
        <w:pStyle w:val="TOC5"/>
        <w:rPr>
          <w:rFonts w:ascii="Calibri" w:hAnsi="Calibri"/>
          <w:iCs w:val="0"/>
          <w:noProof/>
          <w:kern w:val="0"/>
          <w:sz w:val="22"/>
          <w:szCs w:val="22"/>
        </w:rPr>
      </w:pPr>
      <w:r>
        <w:rPr>
          <w:noProof/>
        </w:rPr>
        <w:t>820</w:t>
      </w:r>
      <w:r>
        <w:rPr>
          <w:noProof/>
        </w:rPr>
        <w:noBreakHyphen/>
        <w:t>640</w:t>
      </w:r>
      <w:r>
        <w:rPr>
          <w:noProof/>
        </w:rPr>
        <w:tab/>
        <w:t>The 3 measurement days method</w:t>
      </w:r>
      <w:r w:rsidRPr="00380510">
        <w:rPr>
          <w:rFonts w:ascii="Times" w:hAnsi="Times" w:cs="Times"/>
          <w:noProof/>
        </w:rPr>
        <w:tab/>
      </w:r>
      <w:r w:rsidRPr="00380510">
        <w:rPr>
          <w:rFonts w:ascii="Times" w:hAnsi="Times" w:cs="Times"/>
          <w:noProof/>
        </w:rPr>
        <w:fldChar w:fldCharType="begin"/>
      </w:r>
      <w:r w:rsidRPr="00380510">
        <w:rPr>
          <w:rFonts w:ascii="Times" w:hAnsi="Times" w:cs="Times"/>
          <w:noProof/>
        </w:rPr>
        <w:instrText xml:space="preserve"> PAGEREF _Toc338939340 \h </w:instrText>
      </w:r>
      <w:r w:rsidRPr="00380510">
        <w:rPr>
          <w:rFonts w:ascii="Times" w:hAnsi="Times" w:cs="Times"/>
          <w:noProof/>
        </w:rPr>
      </w:r>
      <w:r w:rsidRPr="00380510">
        <w:rPr>
          <w:rFonts w:ascii="Times" w:hAnsi="Times" w:cs="Times"/>
          <w:noProof/>
        </w:rPr>
        <w:fldChar w:fldCharType="separate"/>
      </w:r>
      <w:r w:rsidR="00623A5C">
        <w:rPr>
          <w:rFonts w:ascii="Times" w:hAnsi="Times" w:cs="Times"/>
          <w:noProof/>
        </w:rPr>
        <w:t>226</w:t>
      </w:r>
      <w:r w:rsidRPr="00380510">
        <w:rPr>
          <w:rFonts w:ascii="Times" w:hAnsi="Times" w:cs="Times"/>
          <w:noProof/>
        </w:rPr>
        <w:fldChar w:fldCharType="end"/>
      </w:r>
    </w:p>
    <w:p w:rsidR="00380510" w:rsidRDefault="00380510">
      <w:pPr>
        <w:pStyle w:val="TOC5"/>
        <w:rPr>
          <w:rFonts w:ascii="Calibri" w:hAnsi="Calibri"/>
          <w:iCs w:val="0"/>
          <w:noProof/>
          <w:kern w:val="0"/>
          <w:sz w:val="22"/>
          <w:szCs w:val="22"/>
        </w:rPr>
      </w:pPr>
      <w:r>
        <w:rPr>
          <w:noProof/>
        </w:rPr>
        <w:t>820</w:t>
      </w:r>
      <w:r>
        <w:rPr>
          <w:noProof/>
        </w:rPr>
        <w:noBreakHyphen/>
        <w:t>645</w:t>
      </w:r>
      <w:r>
        <w:rPr>
          <w:noProof/>
        </w:rPr>
        <w:tab/>
        <w:t>The frequent measurement method</w:t>
      </w:r>
      <w:r w:rsidRPr="00380510">
        <w:rPr>
          <w:rFonts w:ascii="Times" w:hAnsi="Times" w:cs="Times"/>
          <w:noProof/>
        </w:rPr>
        <w:tab/>
      </w:r>
      <w:r w:rsidRPr="00380510">
        <w:rPr>
          <w:rFonts w:ascii="Times" w:hAnsi="Times" w:cs="Times"/>
          <w:noProof/>
        </w:rPr>
        <w:fldChar w:fldCharType="begin"/>
      </w:r>
      <w:r w:rsidRPr="00380510">
        <w:rPr>
          <w:rFonts w:ascii="Times" w:hAnsi="Times" w:cs="Times"/>
          <w:noProof/>
        </w:rPr>
        <w:instrText xml:space="preserve"> PAGEREF _Toc338939341 \h </w:instrText>
      </w:r>
      <w:r w:rsidRPr="00380510">
        <w:rPr>
          <w:rFonts w:ascii="Times" w:hAnsi="Times" w:cs="Times"/>
          <w:noProof/>
        </w:rPr>
      </w:r>
      <w:r w:rsidRPr="00380510">
        <w:rPr>
          <w:rFonts w:ascii="Times" w:hAnsi="Times" w:cs="Times"/>
          <w:noProof/>
        </w:rPr>
        <w:fldChar w:fldCharType="separate"/>
      </w:r>
      <w:r w:rsidR="00623A5C">
        <w:rPr>
          <w:rFonts w:ascii="Times" w:hAnsi="Times" w:cs="Times"/>
          <w:noProof/>
        </w:rPr>
        <w:t>227</w:t>
      </w:r>
      <w:r w:rsidRPr="00380510">
        <w:rPr>
          <w:rFonts w:ascii="Times" w:hAnsi="Times" w:cs="Times"/>
          <w:noProof/>
        </w:rPr>
        <w:fldChar w:fldCharType="end"/>
      </w:r>
    </w:p>
    <w:p w:rsidR="00380510" w:rsidRDefault="00380510">
      <w:pPr>
        <w:pStyle w:val="TOC4"/>
        <w:rPr>
          <w:rFonts w:ascii="Calibri" w:hAnsi="Calibri"/>
          <w:b w:val="0"/>
          <w:noProof/>
          <w:kern w:val="0"/>
          <w:sz w:val="22"/>
          <w:szCs w:val="22"/>
        </w:rPr>
      </w:pPr>
      <w:r>
        <w:rPr>
          <w:noProof/>
        </w:rPr>
        <w:t>Special rules about values and valuation</w:t>
      </w:r>
      <w:r w:rsidRPr="00380510">
        <w:rPr>
          <w:rFonts w:ascii="Times" w:hAnsi="Times" w:cs="Times"/>
          <w:b w:val="0"/>
          <w:noProof/>
          <w:sz w:val="18"/>
        </w:rPr>
        <w:tab/>
      </w:r>
      <w:r w:rsidRPr="00380510">
        <w:rPr>
          <w:rFonts w:ascii="Times" w:hAnsi="Times" w:cs="Times"/>
          <w:b w:val="0"/>
          <w:noProof/>
          <w:sz w:val="18"/>
        </w:rPr>
        <w:fldChar w:fldCharType="begin"/>
      </w:r>
      <w:r w:rsidRPr="00380510">
        <w:rPr>
          <w:rFonts w:ascii="Times" w:hAnsi="Times" w:cs="Times"/>
          <w:b w:val="0"/>
          <w:noProof/>
          <w:sz w:val="18"/>
        </w:rPr>
        <w:instrText xml:space="preserve"> PAGEREF _Toc338939342 \h </w:instrText>
      </w:r>
      <w:r w:rsidRPr="00380510">
        <w:rPr>
          <w:rFonts w:ascii="Times" w:hAnsi="Times" w:cs="Times"/>
          <w:b w:val="0"/>
          <w:noProof/>
          <w:sz w:val="18"/>
        </w:rPr>
      </w:r>
      <w:r w:rsidRPr="00380510">
        <w:rPr>
          <w:rFonts w:ascii="Times" w:hAnsi="Times" w:cs="Times"/>
          <w:b w:val="0"/>
          <w:noProof/>
          <w:sz w:val="18"/>
        </w:rPr>
        <w:fldChar w:fldCharType="separate"/>
      </w:r>
      <w:r w:rsidR="00623A5C">
        <w:rPr>
          <w:rFonts w:ascii="Times" w:hAnsi="Times" w:cs="Times"/>
          <w:b w:val="0"/>
          <w:noProof/>
          <w:sz w:val="18"/>
        </w:rPr>
        <w:t>230</w:t>
      </w:r>
      <w:r w:rsidRPr="00380510">
        <w:rPr>
          <w:rFonts w:ascii="Times" w:hAnsi="Times" w:cs="Times"/>
          <w:b w:val="0"/>
          <w:noProof/>
          <w:sz w:val="18"/>
        </w:rPr>
        <w:fldChar w:fldCharType="end"/>
      </w:r>
    </w:p>
    <w:p w:rsidR="00380510" w:rsidRDefault="00380510">
      <w:pPr>
        <w:pStyle w:val="TOC5"/>
        <w:rPr>
          <w:rFonts w:ascii="Calibri" w:hAnsi="Calibri"/>
          <w:iCs w:val="0"/>
          <w:noProof/>
          <w:kern w:val="0"/>
          <w:sz w:val="22"/>
          <w:szCs w:val="22"/>
        </w:rPr>
      </w:pPr>
      <w:r>
        <w:rPr>
          <w:noProof/>
        </w:rPr>
        <w:t>820</w:t>
      </w:r>
      <w:r>
        <w:rPr>
          <w:noProof/>
        </w:rPr>
        <w:noBreakHyphen/>
        <w:t>675</w:t>
      </w:r>
      <w:r>
        <w:rPr>
          <w:noProof/>
        </w:rPr>
        <w:tab/>
        <w:t>Amount to be expressed in Australian currency</w:t>
      </w:r>
      <w:r w:rsidRPr="00380510">
        <w:rPr>
          <w:rFonts w:ascii="Times" w:hAnsi="Times" w:cs="Times"/>
          <w:noProof/>
        </w:rPr>
        <w:tab/>
      </w:r>
      <w:r w:rsidRPr="00380510">
        <w:rPr>
          <w:rFonts w:ascii="Times" w:hAnsi="Times" w:cs="Times"/>
          <w:noProof/>
        </w:rPr>
        <w:fldChar w:fldCharType="begin"/>
      </w:r>
      <w:r w:rsidRPr="00380510">
        <w:rPr>
          <w:rFonts w:ascii="Times" w:hAnsi="Times" w:cs="Times"/>
          <w:noProof/>
        </w:rPr>
        <w:instrText xml:space="preserve"> PAGEREF _Toc338939343 \h </w:instrText>
      </w:r>
      <w:r w:rsidRPr="00380510">
        <w:rPr>
          <w:rFonts w:ascii="Times" w:hAnsi="Times" w:cs="Times"/>
          <w:noProof/>
        </w:rPr>
      </w:r>
      <w:r w:rsidRPr="00380510">
        <w:rPr>
          <w:rFonts w:ascii="Times" w:hAnsi="Times" w:cs="Times"/>
          <w:noProof/>
        </w:rPr>
        <w:fldChar w:fldCharType="separate"/>
      </w:r>
      <w:r w:rsidR="00623A5C">
        <w:rPr>
          <w:rFonts w:ascii="Times" w:hAnsi="Times" w:cs="Times"/>
          <w:noProof/>
        </w:rPr>
        <w:t>230</w:t>
      </w:r>
      <w:r w:rsidRPr="00380510">
        <w:rPr>
          <w:rFonts w:ascii="Times" w:hAnsi="Times" w:cs="Times"/>
          <w:noProof/>
        </w:rPr>
        <w:fldChar w:fldCharType="end"/>
      </w:r>
    </w:p>
    <w:p w:rsidR="00380510" w:rsidRDefault="00380510">
      <w:pPr>
        <w:pStyle w:val="TOC5"/>
        <w:rPr>
          <w:rFonts w:ascii="Calibri" w:hAnsi="Calibri"/>
          <w:iCs w:val="0"/>
          <w:noProof/>
          <w:kern w:val="0"/>
          <w:sz w:val="22"/>
          <w:szCs w:val="22"/>
        </w:rPr>
      </w:pPr>
      <w:r>
        <w:rPr>
          <w:noProof/>
        </w:rPr>
        <w:t>820</w:t>
      </w:r>
      <w:r>
        <w:rPr>
          <w:noProof/>
        </w:rPr>
        <w:noBreakHyphen/>
        <w:t>680</w:t>
      </w:r>
      <w:r>
        <w:rPr>
          <w:noProof/>
        </w:rPr>
        <w:tab/>
        <w:t>Valuation of assets, liabilities and equity capital</w:t>
      </w:r>
      <w:r w:rsidRPr="00380510">
        <w:rPr>
          <w:rFonts w:ascii="Times" w:hAnsi="Times" w:cs="Times"/>
          <w:noProof/>
        </w:rPr>
        <w:tab/>
      </w:r>
      <w:r w:rsidRPr="00380510">
        <w:rPr>
          <w:rFonts w:ascii="Times" w:hAnsi="Times" w:cs="Times"/>
          <w:noProof/>
        </w:rPr>
        <w:fldChar w:fldCharType="begin"/>
      </w:r>
      <w:r w:rsidRPr="00380510">
        <w:rPr>
          <w:rFonts w:ascii="Times" w:hAnsi="Times" w:cs="Times"/>
          <w:noProof/>
        </w:rPr>
        <w:instrText xml:space="preserve"> PAGEREF _Toc338939344 \h </w:instrText>
      </w:r>
      <w:r w:rsidRPr="00380510">
        <w:rPr>
          <w:rFonts w:ascii="Times" w:hAnsi="Times" w:cs="Times"/>
          <w:noProof/>
        </w:rPr>
      </w:r>
      <w:r w:rsidRPr="00380510">
        <w:rPr>
          <w:rFonts w:ascii="Times" w:hAnsi="Times" w:cs="Times"/>
          <w:noProof/>
        </w:rPr>
        <w:fldChar w:fldCharType="separate"/>
      </w:r>
      <w:r w:rsidR="00623A5C">
        <w:rPr>
          <w:rFonts w:ascii="Times" w:hAnsi="Times" w:cs="Times"/>
          <w:noProof/>
        </w:rPr>
        <w:t>230</w:t>
      </w:r>
      <w:r w:rsidRPr="00380510">
        <w:rPr>
          <w:rFonts w:ascii="Times" w:hAnsi="Times" w:cs="Times"/>
          <w:noProof/>
        </w:rPr>
        <w:fldChar w:fldCharType="end"/>
      </w:r>
    </w:p>
    <w:p w:rsidR="00380510" w:rsidRDefault="00380510">
      <w:pPr>
        <w:pStyle w:val="TOC5"/>
        <w:rPr>
          <w:rFonts w:ascii="Calibri" w:hAnsi="Calibri"/>
          <w:iCs w:val="0"/>
          <w:noProof/>
          <w:kern w:val="0"/>
          <w:sz w:val="22"/>
          <w:szCs w:val="22"/>
        </w:rPr>
      </w:pPr>
      <w:r>
        <w:rPr>
          <w:noProof/>
        </w:rPr>
        <w:t>820</w:t>
      </w:r>
      <w:r>
        <w:rPr>
          <w:noProof/>
        </w:rPr>
        <w:noBreakHyphen/>
        <w:t>682</w:t>
      </w:r>
      <w:r>
        <w:rPr>
          <w:noProof/>
        </w:rPr>
        <w:tab/>
        <w:t>Recognition of assets and liabilities—modifying application of accounting standards</w:t>
      </w:r>
      <w:r w:rsidRPr="00380510">
        <w:rPr>
          <w:rFonts w:ascii="Times" w:hAnsi="Times" w:cs="Times"/>
          <w:noProof/>
        </w:rPr>
        <w:tab/>
      </w:r>
      <w:r w:rsidRPr="00380510">
        <w:rPr>
          <w:rFonts w:ascii="Times" w:hAnsi="Times" w:cs="Times"/>
          <w:noProof/>
        </w:rPr>
        <w:fldChar w:fldCharType="begin"/>
      </w:r>
      <w:r w:rsidRPr="00380510">
        <w:rPr>
          <w:rFonts w:ascii="Times" w:hAnsi="Times" w:cs="Times"/>
          <w:noProof/>
        </w:rPr>
        <w:instrText xml:space="preserve"> PAGEREF _Toc338939345 \h </w:instrText>
      </w:r>
      <w:r w:rsidRPr="00380510">
        <w:rPr>
          <w:rFonts w:ascii="Times" w:hAnsi="Times" w:cs="Times"/>
          <w:noProof/>
        </w:rPr>
      </w:r>
      <w:r w:rsidRPr="00380510">
        <w:rPr>
          <w:rFonts w:ascii="Times" w:hAnsi="Times" w:cs="Times"/>
          <w:noProof/>
        </w:rPr>
        <w:fldChar w:fldCharType="separate"/>
      </w:r>
      <w:r w:rsidR="00623A5C">
        <w:rPr>
          <w:rFonts w:ascii="Times" w:hAnsi="Times" w:cs="Times"/>
          <w:noProof/>
        </w:rPr>
        <w:t>233</w:t>
      </w:r>
      <w:r w:rsidRPr="00380510">
        <w:rPr>
          <w:rFonts w:ascii="Times" w:hAnsi="Times" w:cs="Times"/>
          <w:noProof/>
        </w:rPr>
        <w:fldChar w:fldCharType="end"/>
      </w:r>
    </w:p>
    <w:p w:rsidR="00380510" w:rsidRDefault="00380510">
      <w:pPr>
        <w:pStyle w:val="TOC5"/>
        <w:rPr>
          <w:rFonts w:ascii="Calibri" w:hAnsi="Calibri"/>
          <w:iCs w:val="0"/>
          <w:noProof/>
          <w:kern w:val="0"/>
          <w:sz w:val="22"/>
          <w:szCs w:val="22"/>
        </w:rPr>
      </w:pPr>
      <w:r>
        <w:rPr>
          <w:noProof/>
        </w:rPr>
        <w:t>820</w:t>
      </w:r>
      <w:r>
        <w:rPr>
          <w:noProof/>
        </w:rPr>
        <w:noBreakHyphen/>
        <w:t>683</w:t>
      </w:r>
      <w:r>
        <w:rPr>
          <w:noProof/>
        </w:rPr>
        <w:tab/>
        <w:t>Recognition of internally generated intangible items—modifying application of accounting standards</w:t>
      </w:r>
      <w:r w:rsidRPr="00380510">
        <w:rPr>
          <w:rFonts w:ascii="Times" w:hAnsi="Times" w:cs="Times"/>
          <w:noProof/>
        </w:rPr>
        <w:tab/>
      </w:r>
      <w:r w:rsidRPr="00380510">
        <w:rPr>
          <w:rFonts w:ascii="Times" w:hAnsi="Times" w:cs="Times"/>
          <w:noProof/>
        </w:rPr>
        <w:fldChar w:fldCharType="begin"/>
      </w:r>
      <w:r w:rsidRPr="00380510">
        <w:rPr>
          <w:rFonts w:ascii="Times" w:hAnsi="Times" w:cs="Times"/>
          <w:noProof/>
        </w:rPr>
        <w:instrText xml:space="preserve"> PAGEREF _Toc338939346 \h </w:instrText>
      </w:r>
      <w:r w:rsidRPr="00380510">
        <w:rPr>
          <w:rFonts w:ascii="Times" w:hAnsi="Times" w:cs="Times"/>
          <w:noProof/>
        </w:rPr>
      </w:r>
      <w:r w:rsidRPr="00380510">
        <w:rPr>
          <w:rFonts w:ascii="Times" w:hAnsi="Times" w:cs="Times"/>
          <w:noProof/>
        </w:rPr>
        <w:fldChar w:fldCharType="separate"/>
      </w:r>
      <w:r w:rsidR="00623A5C">
        <w:rPr>
          <w:rFonts w:ascii="Times" w:hAnsi="Times" w:cs="Times"/>
          <w:noProof/>
        </w:rPr>
        <w:t>234</w:t>
      </w:r>
      <w:r w:rsidRPr="00380510">
        <w:rPr>
          <w:rFonts w:ascii="Times" w:hAnsi="Times" w:cs="Times"/>
          <w:noProof/>
        </w:rPr>
        <w:fldChar w:fldCharType="end"/>
      </w:r>
    </w:p>
    <w:p w:rsidR="00380510" w:rsidRDefault="00380510">
      <w:pPr>
        <w:pStyle w:val="TOC5"/>
        <w:rPr>
          <w:rFonts w:ascii="Calibri" w:hAnsi="Calibri"/>
          <w:iCs w:val="0"/>
          <w:noProof/>
          <w:kern w:val="0"/>
          <w:sz w:val="22"/>
          <w:szCs w:val="22"/>
        </w:rPr>
      </w:pPr>
      <w:r>
        <w:rPr>
          <w:noProof/>
        </w:rPr>
        <w:t>820</w:t>
      </w:r>
      <w:r>
        <w:rPr>
          <w:noProof/>
        </w:rPr>
        <w:noBreakHyphen/>
        <w:t>684</w:t>
      </w:r>
      <w:r>
        <w:rPr>
          <w:noProof/>
        </w:rPr>
        <w:tab/>
        <w:t>Valuation of intangible assets if no active market—modifying application of accounting standards</w:t>
      </w:r>
      <w:r w:rsidRPr="00380510">
        <w:rPr>
          <w:rFonts w:ascii="Times" w:hAnsi="Times" w:cs="Times"/>
          <w:noProof/>
        </w:rPr>
        <w:tab/>
      </w:r>
      <w:r w:rsidRPr="00380510">
        <w:rPr>
          <w:rFonts w:ascii="Times" w:hAnsi="Times" w:cs="Times"/>
          <w:noProof/>
        </w:rPr>
        <w:fldChar w:fldCharType="begin"/>
      </w:r>
      <w:r w:rsidRPr="00380510">
        <w:rPr>
          <w:rFonts w:ascii="Times" w:hAnsi="Times" w:cs="Times"/>
          <w:noProof/>
        </w:rPr>
        <w:instrText xml:space="preserve"> PAGEREF _Toc338939347 \h </w:instrText>
      </w:r>
      <w:r w:rsidRPr="00380510">
        <w:rPr>
          <w:rFonts w:ascii="Times" w:hAnsi="Times" w:cs="Times"/>
          <w:noProof/>
        </w:rPr>
      </w:r>
      <w:r w:rsidRPr="00380510">
        <w:rPr>
          <w:rFonts w:ascii="Times" w:hAnsi="Times" w:cs="Times"/>
          <w:noProof/>
        </w:rPr>
        <w:fldChar w:fldCharType="separate"/>
      </w:r>
      <w:r w:rsidR="00623A5C">
        <w:rPr>
          <w:rFonts w:ascii="Times" w:hAnsi="Times" w:cs="Times"/>
          <w:noProof/>
        </w:rPr>
        <w:t>235</w:t>
      </w:r>
      <w:r w:rsidRPr="00380510">
        <w:rPr>
          <w:rFonts w:ascii="Times" w:hAnsi="Times" w:cs="Times"/>
          <w:noProof/>
        </w:rPr>
        <w:fldChar w:fldCharType="end"/>
      </w:r>
    </w:p>
    <w:p w:rsidR="00380510" w:rsidRDefault="00380510">
      <w:pPr>
        <w:pStyle w:val="TOC5"/>
        <w:rPr>
          <w:rFonts w:ascii="Calibri" w:hAnsi="Calibri"/>
          <w:iCs w:val="0"/>
          <w:noProof/>
          <w:kern w:val="0"/>
          <w:sz w:val="22"/>
          <w:szCs w:val="22"/>
        </w:rPr>
      </w:pPr>
      <w:r>
        <w:rPr>
          <w:noProof/>
        </w:rPr>
        <w:t>820</w:t>
      </w:r>
      <w:r>
        <w:rPr>
          <w:noProof/>
        </w:rPr>
        <w:noBreakHyphen/>
        <w:t>685</w:t>
      </w:r>
      <w:r>
        <w:rPr>
          <w:noProof/>
        </w:rPr>
        <w:tab/>
        <w:t>Valuation of debt capital</w:t>
      </w:r>
      <w:r w:rsidRPr="00380510">
        <w:rPr>
          <w:rFonts w:ascii="Times" w:hAnsi="Times" w:cs="Times"/>
          <w:noProof/>
        </w:rPr>
        <w:tab/>
      </w:r>
      <w:r w:rsidRPr="00380510">
        <w:rPr>
          <w:rFonts w:ascii="Times" w:hAnsi="Times" w:cs="Times"/>
          <w:noProof/>
        </w:rPr>
        <w:fldChar w:fldCharType="begin"/>
      </w:r>
      <w:r w:rsidRPr="00380510">
        <w:rPr>
          <w:rFonts w:ascii="Times" w:hAnsi="Times" w:cs="Times"/>
          <w:noProof/>
        </w:rPr>
        <w:instrText xml:space="preserve"> PAGEREF _Toc338939348 \h </w:instrText>
      </w:r>
      <w:r w:rsidRPr="00380510">
        <w:rPr>
          <w:rFonts w:ascii="Times" w:hAnsi="Times" w:cs="Times"/>
          <w:noProof/>
        </w:rPr>
      </w:r>
      <w:r w:rsidRPr="00380510">
        <w:rPr>
          <w:rFonts w:ascii="Times" w:hAnsi="Times" w:cs="Times"/>
          <w:noProof/>
        </w:rPr>
        <w:fldChar w:fldCharType="separate"/>
      </w:r>
      <w:r w:rsidR="00623A5C">
        <w:rPr>
          <w:rFonts w:ascii="Times" w:hAnsi="Times" w:cs="Times"/>
          <w:noProof/>
        </w:rPr>
        <w:t>237</w:t>
      </w:r>
      <w:r w:rsidRPr="00380510">
        <w:rPr>
          <w:rFonts w:ascii="Times" w:hAnsi="Times" w:cs="Times"/>
          <w:noProof/>
        </w:rPr>
        <w:fldChar w:fldCharType="end"/>
      </w:r>
    </w:p>
    <w:p w:rsidR="00380510" w:rsidRDefault="00380510">
      <w:pPr>
        <w:pStyle w:val="TOC5"/>
        <w:rPr>
          <w:rFonts w:ascii="Calibri" w:hAnsi="Calibri"/>
          <w:iCs w:val="0"/>
          <w:noProof/>
          <w:kern w:val="0"/>
          <w:sz w:val="22"/>
          <w:szCs w:val="22"/>
        </w:rPr>
      </w:pPr>
      <w:r>
        <w:rPr>
          <w:noProof/>
        </w:rPr>
        <w:t>820</w:t>
      </w:r>
      <w:r>
        <w:rPr>
          <w:noProof/>
        </w:rPr>
        <w:noBreakHyphen/>
        <w:t>690</w:t>
      </w:r>
      <w:r>
        <w:rPr>
          <w:noProof/>
        </w:rPr>
        <w:tab/>
        <w:t>Commissioner’s power</w:t>
      </w:r>
      <w:r w:rsidRPr="00380510">
        <w:rPr>
          <w:rFonts w:ascii="Times" w:hAnsi="Times" w:cs="Times"/>
          <w:noProof/>
        </w:rPr>
        <w:tab/>
      </w:r>
      <w:r w:rsidRPr="00380510">
        <w:rPr>
          <w:rFonts w:ascii="Times" w:hAnsi="Times" w:cs="Times"/>
          <w:noProof/>
        </w:rPr>
        <w:fldChar w:fldCharType="begin"/>
      </w:r>
      <w:r w:rsidRPr="00380510">
        <w:rPr>
          <w:rFonts w:ascii="Times" w:hAnsi="Times" w:cs="Times"/>
          <w:noProof/>
        </w:rPr>
        <w:instrText xml:space="preserve"> PAGEREF _Toc338939349 \h </w:instrText>
      </w:r>
      <w:r w:rsidRPr="00380510">
        <w:rPr>
          <w:rFonts w:ascii="Times" w:hAnsi="Times" w:cs="Times"/>
          <w:noProof/>
        </w:rPr>
      </w:r>
      <w:r w:rsidRPr="00380510">
        <w:rPr>
          <w:rFonts w:ascii="Times" w:hAnsi="Times" w:cs="Times"/>
          <w:noProof/>
        </w:rPr>
        <w:fldChar w:fldCharType="separate"/>
      </w:r>
      <w:r w:rsidR="00623A5C">
        <w:rPr>
          <w:rFonts w:ascii="Times" w:hAnsi="Times" w:cs="Times"/>
          <w:noProof/>
        </w:rPr>
        <w:t>237</w:t>
      </w:r>
      <w:r w:rsidRPr="00380510">
        <w:rPr>
          <w:rFonts w:ascii="Times" w:hAnsi="Times" w:cs="Times"/>
          <w:noProof/>
        </w:rPr>
        <w:fldChar w:fldCharType="end"/>
      </w:r>
    </w:p>
    <w:p w:rsidR="00380510" w:rsidRDefault="00380510">
      <w:pPr>
        <w:pStyle w:val="TOC4"/>
        <w:rPr>
          <w:rFonts w:ascii="Calibri" w:hAnsi="Calibri"/>
          <w:b w:val="0"/>
          <w:noProof/>
          <w:kern w:val="0"/>
          <w:sz w:val="22"/>
          <w:szCs w:val="22"/>
        </w:rPr>
      </w:pPr>
      <w:r>
        <w:rPr>
          <w:noProof/>
        </w:rPr>
        <w:t>Subdivision 820</w:t>
      </w:r>
      <w:r>
        <w:rPr>
          <w:noProof/>
        </w:rPr>
        <w:noBreakHyphen/>
        <w:t>H—Control of entities</w:t>
      </w:r>
      <w:r w:rsidRPr="00380510">
        <w:rPr>
          <w:rFonts w:ascii="Times" w:hAnsi="Times" w:cs="Times"/>
          <w:b w:val="0"/>
          <w:noProof/>
          <w:sz w:val="18"/>
        </w:rPr>
        <w:tab/>
      </w:r>
      <w:r w:rsidRPr="00380510">
        <w:rPr>
          <w:rFonts w:ascii="Times" w:hAnsi="Times" w:cs="Times"/>
          <w:b w:val="0"/>
          <w:noProof/>
          <w:sz w:val="18"/>
        </w:rPr>
        <w:fldChar w:fldCharType="begin"/>
      </w:r>
      <w:r w:rsidRPr="00380510">
        <w:rPr>
          <w:rFonts w:ascii="Times" w:hAnsi="Times" w:cs="Times"/>
          <w:b w:val="0"/>
          <w:noProof/>
          <w:sz w:val="18"/>
        </w:rPr>
        <w:instrText xml:space="preserve"> PAGEREF _Toc338939350 \h </w:instrText>
      </w:r>
      <w:r w:rsidRPr="00380510">
        <w:rPr>
          <w:rFonts w:ascii="Times" w:hAnsi="Times" w:cs="Times"/>
          <w:b w:val="0"/>
          <w:noProof/>
          <w:sz w:val="18"/>
        </w:rPr>
      </w:r>
      <w:r w:rsidRPr="00380510">
        <w:rPr>
          <w:rFonts w:ascii="Times" w:hAnsi="Times" w:cs="Times"/>
          <w:b w:val="0"/>
          <w:noProof/>
          <w:sz w:val="18"/>
        </w:rPr>
        <w:fldChar w:fldCharType="separate"/>
      </w:r>
      <w:r w:rsidR="00623A5C">
        <w:rPr>
          <w:rFonts w:ascii="Times" w:hAnsi="Times" w:cs="Times"/>
          <w:b w:val="0"/>
          <w:noProof/>
          <w:sz w:val="18"/>
        </w:rPr>
        <w:t>237</w:t>
      </w:r>
      <w:r w:rsidRPr="00380510">
        <w:rPr>
          <w:rFonts w:ascii="Times" w:hAnsi="Times" w:cs="Times"/>
          <w:b w:val="0"/>
          <w:noProof/>
          <w:sz w:val="18"/>
        </w:rPr>
        <w:fldChar w:fldCharType="end"/>
      </w:r>
    </w:p>
    <w:p w:rsidR="00380510" w:rsidRDefault="00380510">
      <w:pPr>
        <w:pStyle w:val="TOC4"/>
        <w:rPr>
          <w:rFonts w:ascii="Calibri" w:hAnsi="Calibri"/>
          <w:b w:val="0"/>
          <w:noProof/>
          <w:kern w:val="0"/>
          <w:sz w:val="22"/>
          <w:szCs w:val="22"/>
        </w:rPr>
      </w:pPr>
      <w:r>
        <w:rPr>
          <w:noProof/>
        </w:rPr>
        <w:t>Guide to Subdivision 820</w:t>
      </w:r>
      <w:r>
        <w:rPr>
          <w:noProof/>
        </w:rPr>
        <w:noBreakHyphen/>
        <w:t>H</w:t>
      </w:r>
      <w:r w:rsidRPr="00380510">
        <w:rPr>
          <w:rFonts w:ascii="Times" w:hAnsi="Times" w:cs="Times"/>
          <w:b w:val="0"/>
          <w:noProof/>
          <w:sz w:val="18"/>
        </w:rPr>
        <w:tab/>
      </w:r>
      <w:r w:rsidRPr="00380510">
        <w:rPr>
          <w:rFonts w:ascii="Times" w:hAnsi="Times" w:cs="Times"/>
          <w:b w:val="0"/>
          <w:noProof/>
          <w:sz w:val="18"/>
        </w:rPr>
        <w:fldChar w:fldCharType="begin"/>
      </w:r>
      <w:r w:rsidRPr="00380510">
        <w:rPr>
          <w:rFonts w:ascii="Times" w:hAnsi="Times" w:cs="Times"/>
          <w:b w:val="0"/>
          <w:noProof/>
          <w:sz w:val="18"/>
        </w:rPr>
        <w:instrText xml:space="preserve"> PAGEREF _Toc338939351 \h </w:instrText>
      </w:r>
      <w:r w:rsidRPr="00380510">
        <w:rPr>
          <w:rFonts w:ascii="Times" w:hAnsi="Times" w:cs="Times"/>
          <w:b w:val="0"/>
          <w:noProof/>
          <w:sz w:val="18"/>
        </w:rPr>
      </w:r>
      <w:r w:rsidRPr="00380510">
        <w:rPr>
          <w:rFonts w:ascii="Times" w:hAnsi="Times" w:cs="Times"/>
          <w:b w:val="0"/>
          <w:noProof/>
          <w:sz w:val="18"/>
        </w:rPr>
        <w:fldChar w:fldCharType="separate"/>
      </w:r>
      <w:r w:rsidR="00623A5C">
        <w:rPr>
          <w:rFonts w:ascii="Times" w:hAnsi="Times" w:cs="Times"/>
          <w:b w:val="0"/>
          <w:noProof/>
          <w:sz w:val="18"/>
        </w:rPr>
        <w:t>237</w:t>
      </w:r>
      <w:r w:rsidRPr="00380510">
        <w:rPr>
          <w:rFonts w:ascii="Times" w:hAnsi="Times" w:cs="Times"/>
          <w:b w:val="0"/>
          <w:noProof/>
          <w:sz w:val="18"/>
        </w:rPr>
        <w:fldChar w:fldCharType="end"/>
      </w:r>
    </w:p>
    <w:p w:rsidR="00380510" w:rsidRDefault="00380510">
      <w:pPr>
        <w:pStyle w:val="TOC5"/>
        <w:rPr>
          <w:rFonts w:ascii="Calibri" w:hAnsi="Calibri"/>
          <w:iCs w:val="0"/>
          <w:noProof/>
          <w:kern w:val="0"/>
          <w:sz w:val="22"/>
          <w:szCs w:val="22"/>
        </w:rPr>
      </w:pPr>
      <w:r>
        <w:rPr>
          <w:noProof/>
        </w:rPr>
        <w:t>820</w:t>
      </w:r>
      <w:r>
        <w:rPr>
          <w:noProof/>
        </w:rPr>
        <w:noBreakHyphen/>
        <w:t>740</w:t>
      </w:r>
      <w:r>
        <w:rPr>
          <w:noProof/>
        </w:rPr>
        <w:tab/>
        <w:t>What this Subdivision is about</w:t>
      </w:r>
      <w:r w:rsidRPr="00380510">
        <w:rPr>
          <w:rFonts w:ascii="Times" w:hAnsi="Times" w:cs="Times"/>
          <w:noProof/>
        </w:rPr>
        <w:tab/>
      </w:r>
      <w:r w:rsidRPr="00380510">
        <w:rPr>
          <w:rFonts w:ascii="Times" w:hAnsi="Times" w:cs="Times"/>
          <w:noProof/>
        </w:rPr>
        <w:fldChar w:fldCharType="begin"/>
      </w:r>
      <w:r w:rsidRPr="00380510">
        <w:rPr>
          <w:rFonts w:ascii="Times" w:hAnsi="Times" w:cs="Times"/>
          <w:noProof/>
        </w:rPr>
        <w:instrText xml:space="preserve"> PAGEREF _Toc338939352 \h </w:instrText>
      </w:r>
      <w:r w:rsidRPr="00380510">
        <w:rPr>
          <w:rFonts w:ascii="Times" w:hAnsi="Times" w:cs="Times"/>
          <w:noProof/>
        </w:rPr>
      </w:r>
      <w:r w:rsidRPr="00380510">
        <w:rPr>
          <w:rFonts w:ascii="Times" w:hAnsi="Times" w:cs="Times"/>
          <w:noProof/>
        </w:rPr>
        <w:fldChar w:fldCharType="separate"/>
      </w:r>
      <w:r w:rsidR="00623A5C">
        <w:rPr>
          <w:rFonts w:ascii="Times" w:hAnsi="Times" w:cs="Times"/>
          <w:noProof/>
        </w:rPr>
        <w:t>237</w:t>
      </w:r>
      <w:r w:rsidRPr="00380510">
        <w:rPr>
          <w:rFonts w:ascii="Times" w:hAnsi="Times" w:cs="Times"/>
          <w:noProof/>
        </w:rPr>
        <w:fldChar w:fldCharType="end"/>
      </w:r>
    </w:p>
    <w:p w:rsidR="00380510" w:rsidRDefault="00380510">
      <w:pPr>
        <w:pStyle w:val="TOC4"/>
        <w:rPr>
          <w:rFonts w:ascii="Calibri" w:hAnsi="Calibri"/>
          <w:b w:val="0"/>
          <w:noProof/>
          <w:kern w:val="0"/>
          <w:sz w:val="22"/>
          <w:szCs w:val="22"/>
        </w:rPr>
      </w:pPr>
      <w:r>
        <w:rPr>
          <w:noProof/>
        </w:rPr>
        <w:t>Australian controller of a foreign entity</w:t>
      </w:r>
      <w:r w:rsidRPr="00380510">
        <w:rPr>
          <w:rFonts w:ascii="Times" w:hAnsi="Times" w:cs="Times"/>
          <w:b w:val="0"/>
          <w:noProof/>
          <w:sz w:val="18"/>
        </w:rPr>
        <w:tab/>
      </w:r>
      <w:r w:rsidRPr="00380510">
        <w:rPr>
          <w:rFonts w:ascii="Times" w:hAnsi="Times" w:cs="Times"/>
          <w:b w:val="0"/>
          <w:noProof/>
          <w:sz w:val="18"/>
        </w:rPr>
        <w:fldChar w:fldCharType="begin"/>
      </w:r>
      <w:r w:rsidRPr="00380510">
        <w:rPr>
          <w:rFonts w:ascii="Times" w:hAnsi="Times" w:cs="Times"/>
          <w:b w:val="0"/>
          <w:noProof/>
          <w:sz w:val="18"/>
        </w:rPr>
        <w:instrText xml:space="preserve"> PAGEREF _Toc338939353 \h </w:instrText>
      </w:r>
      <w:r w:rsidRPr="00380510">
        <w:rPr>
          <w:rFonts w:ascii="Times" w:hAnsi="Times" w:cs="Times"/>
          <w:b w:val="0"/>
          <w:noProof/>
          <w:sz w:val="18"/>
        </w:rPr>
      </w:r>
      <w:r w:rsidRPr="00380510">
        <w:rPr>
          <w:rFonts w:ascii="Times" w:hAnsi="Times" w:cs="Times"/>
          <w:b w:val="0"/>
          <w:noProof/>
          <w:sz w:val="18"/>
        </w:rPr>
        <w:fldChar w:fldCharType="separate"/>
      </w:r>
      <w:r w:rsidR="00623A5C">
        <w:rPr>
          <w:rFonts w:ascii="Times" w:hAnsi="Times" w:cs="Times"/>
          <w:b w:val="0"/>
          <w:noProof/>
          <w:sz w:val="18"/>
        </w:rPr>
        <w:t>239</w:t>
      </w:r>
      <w:r w:rsidRPr="00380510">
        <w:rPr>
          <w:rFonts w:ascii="Times" w:hAnsi="Times" w:cs="Times"/>
          <w:b w:val="0"/>
          <w:noProof/>
          <w:sz w:val="18"/>
        </w:rPr>
        <w:fldChar w:fldCharType="end"/>
      </w:r>
    </w:p>
    <w:p w:rsidR="00380510" w:rsidRDefault="00380510">
      <w:pPr>
        <w:pStyle w:val="TOC5"/>
        <w:rPr>
          <w:rFonts w:ascii="Calibri" w:hAnsi="Calibri"/>
          <w:iCs w:val="0"/>
          <w:noProof/>
          <w:kern w:val="0"/>
          <w:sz w:val="22"/>
          <w:szCs w:val="22"/>
        </w:rPr>
      </w:pPr>
      <w:r>
        <w:rPr>
          <w:noProof/>
        </w:rPr>
        <w:t>820</w:t>
      </w:r>
      <w:r>
        <w:rPr>
          <w:noProof/>
        </w:rPr>
        <w:noBreakHyphen/>
        <w:t>745</w:t>
      </w:r>
      <w:r>
        <w:rPr>
          <w:noProof/>
        </w:rPr>
        <w:tab/>
        <w:t>What is an Australian controlled foreign entity?</w:t>
      </w:r>
      <w:r w:rsidRPr="00380510">
        <w:rPr>
          <w:rFonts w:ascii="Times" w:hAnsi="Times" w:cs="Times"/>
          <w:noProof/>
        </w:rPr>
        <w:tab/>
      </w:r>
      <w:r w:rsidRPr="00380510">
        <w:rPr>
          <w:rFonts w:ascii="Times" w:hAnsi="Times" w:cs="Times"/>
          <w:noProof/>
        </w:rPr>
        <w:fldChar w:fldCharType="begin"/>
      </w:r>
      <w:r w:rsidRPr="00380510">
        <w:rPr>
          <w:rFonts w:ascii="Times" w:hAnsi="Times" w:cs="Times"/>
          <w:noProof/>
        </w:rPr>
        <w:instrText xml:space="preserve"> PAGEREF _Toc338939354 \h </w:instrText>
      </w:r>
      <w:r w:rsidRPr="00380510">
        <w:rPr>
          <w:rFonts w:ascii="Times" w:hAnsi="Times" w:cs="Times"/>
          <w:noProof/>
        </w:rPr>
      </w:r>
      <w:r w:rsidRPr="00380510">
        <w:rPr>
          <w:rFonts w:ascii="Times" w:hAnsi="Times" w:cs="Times"/>
          <w:noProof/>
        </w:rPr>
        <w:fldChar w:fldCharType="separate"/>
      </w:r>
      <w:r w:rsidR="00623A5C">
        <w:rPr>
          <w:rFonts w:ascii="Times" w:hAnsi="Times" w:cs="Times"/>
          <w:noProof/>
        </w:rPr>
        <w:t>239</w:t>
      </w:r>
      <w:r w:rsidRPr="00380510">
        <w:rPr>
          <w:rFonts w:ascii="Times" w:hAnsi="Times" w:cs="Times"/>
          <w:noProof/>
        </w:rPr>
        <w:fldChar w:fldCharType="end"/>
      </w:r>
    </w:p>
    <w:p w:rsidR="00380510" w:rsidRDefault="00380510">
      <w:pPr>
        <w:pStyle w:val="TOC5"/>
        <w:rPr>
          <w:rFonts w:ascii="Calibri" w:hAnsi="Calibri"/>
          <w:iCs w:val="0"/>
          <w:noProof/>
          <w:kern w:val="0"/>
          <w:sz w:val="22"/>
          <w:szCs w:val="22"/>
        </w:rPr>
      </w:pPr>
      <w:r>
        <w:rPr>
          <w:noProof/>
        </w:rPr>
        <w:t>820</w:t>
      </w:r>
      <w:r>
        <w:rPr>
          <w:noProof/>
        </w:rPr>
        <w:noBreakHyphen/>
        <w:t>750</w:t>
      </w:r>
      <w:r>
        <w:rPr>
          <w:noProof/>
        </w:rPr>
        <w:tab/>
        <w:t>What is an Australian controller of a controlled foreign company?</w:t>
      </w:r>
      <w:r w:rsidRPr="00380510">
        <w:rPr>
          <w:rFonts w:ascii="Times" w:hAnsi="Times" w:cs="Times"/>
          <w:noProof/>
        </w:rPr>
        <w:tab/>
      </w:r>
      <w:r w:rsidRPr="00380510">
        <w:rPr>
          <w:rFonts w:ascii="Times" w:hAnsi="Times" w:cs="Times"/>
          <w:noProof/>
        </w:rPr>
        <w:fldChar w:fldCharType="begin"/>
      </w:r>
      <w:r w:rsidRPr="00380510">
        <w:rPr>
          <w:rFonts w:ascii="Times" w:hAnsi="Times" w:cs="Times"/>
          <w:noProof/>
        </w:rPr>
        <w:instrText xml:space="preserve"> PAGEREF _Toc338939355 \h </w:instrText>
      </w:r>
      <w:r w:rsidRPr="00380510">
        <w:rPr>
          <w:rFonts w:ascii="Times" w:hAnsi="Times" w:cs="Times"/>
          <w:noProof/>
        </w:rPr>
      </w:r>
      <w:r w:rsidRPr="00380510">
        <w:rPr>
          <w:rFonts w:ascii="Times" w:hAnsi="Times" w:cs="Times"/>
          <w:noProof/>
        </w:rPr>
        <w:fldChar w:fldCharType="separate"/>
      </w:r>
      <w:r w:rsidR="00623A5C">
        <w:rPr>
          <w:rFonts w:ascii="Times" w:hAnsi="Times" w:cs="Times"/>
          <w:noProof/>
        </w:rPr>
        <w:t>239</w:t>
      </w:r>
      <w:r w:rsidRPr="00380510">
        <w:rPr>
          <w:rFonts w:ascii="Times" w:hAnsi="Times" w:cs="Times"/>
          <w:noProof/>
        </w:rPr>
        <w:fldChar w:fldCharType="end"/>
      </w:r>
    </w:p>
    <w:p w:rsidR="00380510" w:rsidRDefault="00380510">
      <w:pPr>
        <w:pStyle w:val="TOC5"/>
        <w:rPr>
          <w:rFonts w:ascii="Calibri" w:hAnsi="Calibri"/>
          <w:iCs w:val="0"/>
          <w:noProof/>
          <w:kern w:val="0"/>
          <w:sz w:val="22"/>
          <w:szCs w:val="22"/>
        </w:rPr>
      </w:pPr>
      <w:r>
        <w:rPr>
          <w:noProof/>
        </w:rPr>
        <w:t>820</w:t>
      </w:r>
      <w:r>
        <w:rPr>
          <w:noProof/>
        </w:rPr>
        <w:noBreakHyphen/>
        <w:t>755</w:t>
      </w:r>
      <w:r>
        <w:rPr>
          <w:noProof/>
        </w:rPr>
        <w:tab/>
        <w:t>What is an Australian controller of a controlled foreign trust?</w:t>
      </w:r>
      <w:r w:rsidRPr="00380510">
        <w:rPr>
          <w:rFonts w:ascii="Times" w:hAnsi="Times" w:cs="Times"/>
          <w:noProof/>
        </w:rPr>
        <w:tab/>
      </w:r>
      <w:r w:rsidRPr="00380510">
        <w:rPr>
          <w:rFonts w:ascii="Times" w:hAnsi="Times" w:cs="Times"/>
          <w:noProof/>
        </w:rPr>
        <w:fldChar w:fldCharType="begin"/>
      </w:r>
      <w:r w:rsidRPr="00380510">
        <w:rPr>
          <w:rFonts w:ascii="Times" w:hAnsi="Times" w:cs="Times"/>
          <w:noProof/>
        </w:rPr>
        <w:instrText xml:space="preserve"> PAGEREF _Toc338939356 \h </w:instrText>
      </w:r>
      <w:r w:rsidRPr="00380510">
        <w:rPr>
          <w:rFonts w:ascii="Times" w:hAnsi="Times" w:cs="Times"/>
          <w:noProof/>
        </w:rPr>
      </w:r>
      <w:r w:rsidRPr="00380510">
        <w:rPr>
          <w:rFonts w:ascii="Times" w:hAnsi="Times" w:cs="Times"/>
          <w:noProof/>
        </w:rPr>
        <w:fldChar w:fldCharType="separate"/>
      </w:r>
      <w:r w:rsidR="00623A5C">
        <w:rPr>
          <w:rFonts w:ascii="Times" w:hAnsi="Times" w:cs="Times"/>
          <w:noProof/>
        </w:rPr>
        <w:t>239</w:t>
      </w:r>
      <w:r w:rsidRPr="00380510">
        <w:rPr>
          <w:rFonts w:ascii="Times" w:hAnsi="Times" w:cs="Times"/>
          <w:noProof/>
        </w:rPr>
        <w:fldChar w:fldCharType="end"/>
      </w:r>
    </w:p>
    <w:p w:rsidR="00380510" w:rsidRDefault="00380510">
      <w:pPr>
        <w:pStyle w:val="TOC5"/>
        <w:rPr>
          <w:rFonts w:ascii="Calibri" w:hAnsi="Calibri"/>
          <w:iCs w:val="0"/>
          <w:noProof/>
          <w:kern w:val="0"/>
          <w:sz w:val="22"/>
          <w:szCs w:val="22"/>
        </w:rPr>
      </w:pPr>
      <w:r>
        <w:rPr>
          <w:noProof/>
        </w:rPr>
        <w:t>820</w:t>
      </w:r>
      <w:r>
        <w:rPr>
          <w:noProof/>
        </w:rPr>
        <w:noBreakHyphen/>
        <w:t>760</w:t>
      </w:r>
      <w:r>
        <w:rPr>
          <w:noProof/>
        </w:rPr>
        <w:tab/>
        <w:t>What is an Australian controller of a controlled foreign corporate limited partnership?</w:t>
      </w:r>
      <w:r w:rsidRPr="00380510">
        <w:rPr>
          <w:rFonts w:ascii="Times" w:hAnsi="Times" w:cs="Times"/>
          <w:noProof/>
        </w:rPr>
        <w:tab/>
      </w:r>
      <w:r w:rsidRPr="00380510">
        <w:rPr>
          <w:rFonts w:ascii="Times" w:hAnsi="Times" w:cs="Times"/>
          <w:noProof/>
        </w:rPr>
        <w:fldChar w:fldCharType="begin"/>
      </w:r>
      <w:r w:rsidRPr="00380510">
        <w:rPr>
          <w:rFonts w:ascii="Times" w:hAnsi="Times" w:cs="Times"/>
          <w:noProof/>
        </w:rPr>
        <w:instrText xml:space="preserve"> PAGEREF _Toc338939357 \h </w:instrText>
      </w:r>
      <w:r w:rsidRPr="00380510">
        <w:rPr>
          <w:rFonts w:ascii="Times" w:hAnsi="Times" w:cs="Times"/>
          <w:noProof/>
        </w:rPr>
      </w:r>
      <w:r w:rsidRPr="00380510">
        <w:rPr>
          <w:rFonts w:ascii="Times" w:hAnsi="Times" w:cs="Times"/>
          <w:noProof/>
        </w:rPr>
        <w:fldChar w:fldCharType="separate"/>
      </w:r>
      <w:r w:rsidR="00623A5C">
        <w:rPr>
          <w:rFonts w:ascii="Times" w:hAnsi="Times" w:cs="Times"/>
          <w:noProof/>
        </w:rPr>
        <w:t>240</w:t>
      </w:r>
      <w:r w:rsidRPr="00380510">
        <w:rPr>
          <w:rFonts w:ascii="Times" w:hAnsi="Times" w:cs="Times"/>
          <w:noProof/>
        </w:rPr>
        <w:fldChar w:fldCharType="end"/>
      </w:r>
    </w:p>
    <w:p w:rsidR="00380510" w:rsidRDefault="00380510">
      <w:pPr>
        <w:pStyle w:val="TOC4"/>
        <w:rPr>
          <w:rFonts w:ascii="Calibri" w:hAnsi="Calibri"/>
          <w:b w:val="0"/>
          <w:noProof/>
          <w:kern w:val="0"/>
          <w:sz w:val="22"/>
          <w:szCs w:val="22"/>
        </w:rPr>
      </w:pPr>
      <w:r>
        <w:rPr>
          <w:noProof/>
        </w:rPr>
        <w:t>Foreign controlled Australian entity</w:t>
      </w:r>
      <w:r w:rsidRPr="00380510">
        <w:rPr>
          <w:rFonts w:ascii="Times" w:hAnsi="Times" w:cs="Times"/>
          <w:b w:val="0"/>
          <w:noProof/>
          <w:sz w:val="18"/>
        </w:rPr>
        <w:tab/>
      </w:r>
      <w:r w:rsidRPr="00380510">
        <w:rPr>
          <w:rFonts w:ascii="Times" w:hAnsi="Times" w:cs="Times"/>
          <w:b w:val="0"/>
          <w:noProof/>
          <w:sz w:val="18"/>
        </w:rPr>
        <w:fldChar w:fldCharType="begin"/>
      </w:r>
      <w:r w:rsidRPr="00380510">
        <w:rPr>
          <w:rFonts w:ascii="Times" w:hAnsi="Times" w:cs="Times"/>
          <w:b w:val="0"/>
          <w:noProof/>
          <w:sz w:val="18"/>
        </w:rPr>
        <w:instrText xml:space="preserve"> PAGEREF _Toc338939358 \h </w:instrText>
      </w:r>
      <w:r w:rsidRPr="00380510">
        <w:rPr>
          <w:rFonts w:ascii="Times" w:hAnsi="Times" w:cs="Times"/>
          <w:b w:val="0"/>
          <w:noProof/>
          <w:sz w:val="18"/>
        </w:rPr>
      </w:r>
      <w:r w:rsidRPr="00380510">
        <w:rPr>
          <w:rFonts w:ascii="Times" w:hAnsi="Times" w:cs="Times"/>
          <w:b w:val="0"/>
          <w:noProof/>
          <w:sz w:val="18"/>
        </w:rPr>
        <w:fldChar w:fldCharType="separate"/>
      </w:r>
      <w:r w:rsidR="00623A5C">
        <w:rPr>
          <w:rFonts w:ascii="Times" w:hAnsi="Times" w:cs="Times"/>
          <w:b w:val="0"/>
          <w:noProof/>
          <w:sz w:val="18"/>
        </w:rPr>
        <w:t>240</w:t>
      </w:r>
      <w:r w:rsidRPr="00380510">
        <w:rPr>
          <w:rFonts w:ascii="Times" w:hAnsi="Times" w:cs="Times"/>
          <w:b w:val="0"/>
          <w:noProof/>
          <w:sz w:val="18"/>
        </w:rPr>
        <w:fldChar w:fldCharType="end"/>
      </w:r>
    </w:p>
    <w:p w:rsidR="00380510" w:rsidRDefault="00380510">
      <w:pPr>
        <w:pStyle w:val="TOC5"/>
        <w:rPr>
          <w:rFonts w:ascii="Calibri" w:hAnsi="Calibri"/>
          <w:iCs w:val="0"/>
          <w:noProof/>
          <w:kern w:val="0"/>
          <w:sz w:val="22"/>
          <w:szCs w:val="22"/>
        </w:rPr>
      </w:pPr>
      <w:r>
        <w:rPr>
          <w:noProof/>
        </w:rPr>
        <w:t>820</w:t>
      </w:r>
      <w:r>
        <w:rPr>
          <w:noProof/>
        </w:rPr>
        <w:noBreakHyphen/>
        <w:t>780</w:t>
      </w:r>
      <w:r>
        <w:rPr>
          <w:noProof/>
        </w:rPr>
        <w:tab/>
        <w:t>What is a foreign controlled Australian entity?</w:t>
      </w:r>
      <w:r w:rsidRPr="00380510">
        <w:rPr>
          <w:rFonts w:ascii="Times" w:hAnsi="Times" w:cs="Times"/>
          <w:noProof/>
        </w:rPr>
        <w:tab/>
      </w:r>
      <w:r w:rsidRPr="00380510">
        <w:rPr>
          <w:rFonts w:ascii="Times" w:hAnsi="Times" w:cs="Times"/>
          <w:noProof/>
        </w:rPr>
        <w:fldChar w:fldCharType="begin"/>
      </w:r>
      <w:r w:rsidRPr="00380510">
        <w:rPr>
          <w:rFonts w:ascii="Times" w:hAnsi="Times" w:cs="Times"/>
          <w:noProof/>
        </w:rPr>
        <w:instrText xml:space="preserve"> PAGEREF _Toc338939359 \h </w:instrText>
      </w:r>
      <w:r w:rsidRPr="00380510">
        <w:rPr>
          <w:rFonts w:ascii="Times" w:hAnsi="Times" w:cs="Times"/>
          <w:noProof/>
        </w:rPr>
      </w:r>
      <w:r w:rsidRPr="00380510">
        <w:rPr>
          <w:rFonts w:ascii="Times" w:hAnsi="Times" w:cs="Times"/>
          <w:noProof/>
        </w:rPr>
        <w:fldChar w:fldCharType="separate"/>
      </w:r>
      <w:r w:rsidR="00623A5C">
        <w:rPr>
          <w:rFonts w:ascii="Times" w:hAnsi="Times" w:cs="Times"/>
          <w:noProof/>
        </w:rPr>
        <w:t>240</w:t>
      </w:r>
      <w:r w:rsidRPr="00380510">
        <w:rPr>
          <w:rFonts w:ascii="Times" w:hAnsi="Times" w:cs="Times"/>
          <w:noProof/>
        </w:rPr>
        <w:fldChar w:fldCharType="end"/>
      </w:r>
    </w:p>
    <w:p w:rsidR="00380510" w:rsidRDefault="00380510">
      <w:pPr>
        <w:pStyle w:val="TOC5"/>
        <w:rPr>
          <w:rFonts w:ascii="Calibri" w:hAnsi="Calibri"/>
          <w:iCs w:val="0"/>
          <w:noProof/>
          <w:kern w:val="0"/>
          <w:sz w:val="22"/>
          <w:szCs w:val="22"/>
        </w:rPr>
      </w:pPr>
      <w:r>
        <w:rPr>
          <w:noProof/>
        </w:rPr>
        <w:t>820</w:t>
      </w:r>
      <w:r>
        <w:rPr>
          <w:noProof/>
        </w:rPr>
        <w:noBreakHyphen/>
        <w:t>785</w:t>
      </w:r>
      <w:r>
        <w:rPr>
          <w:noProof/>
        </w:rPr>
        <w:tab/>
        <w:t>What is a foreign controlled Australian company?</w:t>
      </w:r>
      <w:r w:rsidRPr="00380510">
        <w:rPr>
          <w:rFonts w:ascii="Times" w:hAnsi="Times" w:cs="Times"/>
          <w:noProof/>
        </w:rPr>
        <w:tab/>
      </w:r>
      <w:r w:rsidRPr="00380510">
        <w:rPr>
          <w:rFonts w:ascii="Times" w:hAnsi="Times" w:cs="Times"/>
          <w:noProof/>
        </w:rPr>
        <w:fldChar w:fldCharType="begin"/>
      </w:r>
      <w:r w:rsidRPr="00380510">
        <w:rPr>
          <w:rFonts w:ascii="Times" w:hAnsi="Times" w:cs="Times"/>
          <w:noProof/>
        </w:rPr>
        <w:instrText xml:space="preserve"> PAGEREF _Toc338939360 \h </w:instrText>
      </w:r>
      <w:r w:rsidRPr="00380510">
        <w:rPr>
          <w:rFonts w:ascii="Times" w:hAnsi="Times" w:cs="Times"/>
          <w:noProof/>
        </w:rPr>
      </w:r>
      <w:r w:rsidRPr="00380510">
        <w:rPr>
          <w:rFonts w:ascii="Times" w:hAnsi="Times" w:cs="Times"/>
          <w:noProof/>
        </w:rPr>
        <w:fldChar w:fldCharType="separate"/>
      </w:r>
      <w:r w:rsidR="00623A5C">
        <w:rPr>
          <w:rFonts w:ascii="Times" w:hAnsi="Times" w:cs="Times"/>
          <w:noProof/>
        </w:rPr>
        <w:t>241</w:t>
      </w:r>
      <w:r w:rsidRPr="00380510">
        <w:rPr>
          <w:rFonts w:ascii="Times" w:hAnsi="Times" w:cs="Times"/>
          <w:noProof/>
        </w:rPr>
        <w:fldChar w:fldCharType="end"/>
      </w:r>
    </w:p>
    <w:p w:rsidR="00380510" w:rsidRDefault="00380510">
      <w:pPr>
        <w:pStyle w:val="TOC5"/>
        <w:rPr>
          <w:rFonts w:ascii="Calibri" w:hAnsi="Calibri"/>
          <w:iCs w:val="0"/>
          <w:noProof/>
          <w:kern w:val="0"/>
          <w:sz w:val="22"/>
          <w:szCs w:val="22"/>
        </w:rPr>
      </w:pPr>
      <w:r>
        <w:rPr>
          <w:noProof/>
        </w:rPr>
        <w:t>820</w:t>
      </w:r>
      <w:r>
        <w:rPr>
          <w:noProof/>
        </w:rPr>
        <w:noBreakHyphen/>
        <w:t>790</w:t>
      </w:r>
      <w:r>
        <w:rPr>
          <w:noProof/>
        </w:rPr>
        <w:tab/>
        <w:t>What is a foreign controlled Australian trust?</w:t>
      </w:r>
      <w:r w:rsidRPr="00380510">
        <w:rPr>
          <w:rFonts w:ascii="Times" w:hAnsi="Times" w:cs="Times"/>
          <w:noProof/>
        </w:rPr>
        <w:tab/>
      </w:r>
      <w:r w:rsidRPr="00380510">
        <w:rPr>
          <w:rFonts w:ascii="Times" w:hAnsi="Times" w:cs="Times"/>
          <w:noProof/>
        </w:rPr>
        <w:fldChar w:fldCharType="begin"/>
      </w:r>
      <w:r w:rsidRPr="00380510">
        <w:rPr>
          <w:rFonts w:ascii="Times" w:hAnsi="Times" w:cs="Times"/>
          <w:noProof/>
        </w:rPr>
        <w:instrText xml:space="preserve"> PAGEREF _Toc338939361 \h </w:instrText>
      </w:r>
      <w:r w:rsidRPr="00380510">
        <w:rPr>
          <w:rFonts w:ascii="Times" w:hAnsi="Times" w:cs="Times"/>
          <w:noProof/>
        </w:rPr>
      </w:r>
      <w:r w:rsidRPr="00380510">
        <w:rPr>
          <w:rFonts w:ascii="Times" w:hAnsi="Times" w:cs="Times"/>
          <w:noProof/>
        </w:rPr>
        <w:fldChar w:fldCharType="separate"/>
      </w:r>
      <w:r w:rsidR="00623A5C">
        <w:rPr>
          <w:rFonts w:ascii="Times" w:hAnsi="Times" w:cs="Times"/>
          <w:noProof/>
        </w:rPr>
        <w:t>242</w:t>
      </w:r>
      <w:r w:rsidRPr="00380510">
        <w:rPr>
          <w:rFonts w:ascii="Times" w:hAnsi="Times" w:cs="Times"/>
          <w:noProof/>
        </w:rPr>
        <w:fldChar w:fldCharType="end"/>
      </w:r>
    </w:p>
    <w:p w:rsidR="00380510" w:rsidRDefault="00380510">
      <w:pPr>
        <w:pStyle w:val="TOC5"/>
        <w:rPr>
          <w:rFonts w:ascii="Calibri" w:hAnsi="Calibri"/>
          <w:iCs w:val="0"/>
          <w:noProof/>
          <w:kern w:val="0"/>
          <w:sz w:val="22"/>
          <w:szCs w:val="22"/>
        </w:rPr>
      </w:pPr>
      <w:r>
        <w:rPr>
          <w:noProof/>
        </w:rPr>
        <w:t>820</w:t>
      </w:r>
      <w:r>
        <w:rPr>
          <w:noProof/>
        </w:rPr>
        <w:noBreakHyphen/>
        <w:t>795</w:t>
      </w:r>
      <w:r>
        <w:rPr>
          <w:noProof/>
        </w:rPr>
        <w:tab/>
        <w:t>What is a foreign controlled Australian partnership?</w:t>
      </w:r>
      <w:r w:rsidRPr="00380510">
        <w:rPr>
          <w:rFonts w:ascii="Times" w:hAnsi="Times" w:cs="Times"/>
          <w:noProof/>
        </w:rPr>
        <w:tab/>
      </w:r>
      <w:r w:rsidRPr="00380510">
        <w:rPr>
          <w:rFonts w:ascii="Times" w:hAnsi="Times" w:cs="Times"/>
          <w:noProof/>
        </w:rPr>
        <w:fldChar w:fldCharType="begin"/>
      </w:r>
      <w:r w:rsidRPr="00380510">
        <w:rPr>
          <w:rFonts w:ascii="Times" w:hAnsi="Times" w:cs="Times"/>
          <w:noProof/>
        </w:rPr>
        <w:instrText xml:space="preserve"> PAGEREF _Toc338939362 \h </w:instrText>
      </w:r>
      <w:r w:rsidRPr="00380510">
        <w:rPr>
          <w:rFonts w:ascii="Times" w:hAnsi="Times" w:cs="Times"/>
          <w:noProof/>
        </w:rPr>
      </w:r>
      <w:r w:rsidRPr="00380510">
        <w:rPr>
          <w:rFonts w:ascii="Times" w:hAnsi="Times" w:cs="Times"/>
          <w:noProof/>
        </w:rPr>
        <w:fldChar w:fldCharType="separate"/>
      </w:r>
      <w:r w:rsidR="00623A5C">
        <w:rPr>
          <w:rFonts w:ascii="Times" w:hAnsi="Times" w:cs="Times"/>
          <w:noProof/>
        </w:rPr>
        <w:t>244</w:t>
      </w:r>
      <w:r w:rsidRPr="00380510">
        <w:rPr>
          <w:rFonts w:ascii="Times" w:hAnsi="Times" w:cs="Times"/>
          <w:noProof/>
        </w:rPr>
        <w:fldChar w:fldCharType="end"/>
      </w:r>
    </w:p>
    <w:p w:rsidR="00380510" w:rsidRDefault="00380510" w:rsidP="00A34385">
      <w:pPr>
        <w:pStyle w:val="TOC4"/>
        <w:keepNext/>
        <w:rPr>
          <w:rFonts w:ascii="Calibri" w:hAnsi="Calibri"/>
          <w:b w:val="0"/>
          <w:noProof/>
          <w:kern w:val="0"/>
          <w:sz w:val="22"/>
          <w:szCs w:val="22"/>
        </w:rPr>
      </w:pPr>
      <w:r>
        <w:rPr>
          <w:noProof/>
        </w:rPr>
        <w:lastRenderedPageBreak/>
        <w:t>Thin capitalisation control interest</w:t>
      </w:r>
      <w:r w:rsidRPr="00380510">
        <w:rPr>
          <w:rFonts w:ascii="Times" w:hAnsi="Times" w:cs="Times"/>
          <w:b w:val="0"/>
          <w:noProof/>
          <w:sz w:val="18"/>
        </w:rPr>
        <w:tab/>
      </w:r>
      <w:r w:rsidRPr="00380510">
        <w:rPr>
          <w:rFonts w:ascii="Times" w:hAnsi="Times" w:cs="Times"/>
          <w:b w:val="0"/>
          <w:noProof/>
          <w:sz w:val="18"/>
        </w:rPr>
        <w:fldChar w:fldCharType="begin"/>
      </w:r>
      <w:r w:rsidRPr="00380510">
        <w:rPr>
          <w:rFonts w:ascii="Times" w:hAnsi="Times" w:cs="Times"/>
          <w:b w:val="0"/>
          <w:noProof/>
          <w:sz w:val="18"/>
        </w:rPr>
        <w:instrText xml:space="preserve"> PAGEREF _Toc338939363 \h </w:instrText>
      </w:r>
      <w:r w:rsidRPr="00380510">
        <w:rPr>
          <w:rFonts w:ascii="Times" w:hAnsi="Times" w:cs="Times"/>
          <w:b w:val="0"/>
          <w:noProof/>
          <w:sz w:val="18"/>
        </w:rPr>
      </w:r>
      <w:r w:rsidRPr="00380510">
        <w:rPr>
          <w:rFonts w:ascii="Times" w:hAnsi="Times" w:cs="Times"/>
          <w:b w:val="0"/>
          <w:noProof/>
          <w:sz w:val="18"/>
        </w:rPr>
        <w:fldChar w:fldCharType="separate"/>
      </w:r>
      <w:r w:rsidR="00623A5C">
        <w:rPr>
          <w:rFonts w:ascii="Times" w:hAnsi="Times" w:cs="Times"/>
          <w:b w:val="0"/>
          <w:noProof/>
          <w:sz w:val="18"/>
        </w:rPr>
        <w:t>246</w:t>
      </w:r>
      <w:r w:rsidRPr="00380510">
        <w:rPr>
          <w:rFonts w:ascii="Times" w:hAnsi="Times" w:cs="Times"/>
          <w:b w:val="0"/>
          <w:noProof/>
          <w:sz w:val="18"/>
        </w:rPr>
        <w:fldChar w:fldCharType="end"/>
      </w:r>
    </w:p>
    <w:p w:rsidR="00380510" w:rsidRDefault="00380510">
      <w:pPr>
        <w:pStyle w:val="TOC5"/>
        <w:rPr>
          <w:rFonts w:ascii="Calibri" w:hAnsi="Calibri"/>
          <w:iCs w:val="0"/>
          <w:noProof/>
          <w:kern w:val="0"/>
          <w:sz w:val="22"/>
          <w:szCs w:val="22"/>
        </w:rPr>
      </w:pPr>
      <w:r>
        <w:rPr>
          <w:noProof/>
        </w:rPr>
        <w:t>820</w:t>
      </w:r>
      <w:r>
        <w:rPr>
          <w:noProof/>
        </w:rPr>
        <w:noBreakHyphen/>
        <w:t>815</w:t>
      </w:r>
      <w:r>
        <w:rPr>
          <w:noProof/>
        </w:rPr>
        <w:tab/>
        <w:t>General rule about thin capitalisation control interest in a company, trust or partnership</w:t>
      </w:r>
      <w:r w:rsidRPr="00380510">
        <w:rPr>
          <w:rFonts w:ascii="Times" w:hAnsi="Times" w:cs="Times"/>
          <w:noProof/>
        </w:rPr>
        <w:tab/>
      </w:r>
      <w:r w:rsidRPr="00380510">
        <w:rPr>
          <w:rFonts w:ascii="Times" w:hAnsi="Times" w:cs="Times"/>
          <w:noProof/>
        </w:rPr>
        <w:fldChar w:fldCharType="begin"/>
      </w:r>
      <w:r w:rsidRPr="00380510">
        <w:rPr>
          <w:rFonts w:ascii="Times" w:hAnsi="Times" w:cs="Times"/>
          <w:noProof/>
        </w:rPr>
        <w:instrText xml:space="preserve"> PAGEREF _Toc338939364 \h </w:instrText>
      </w:r>
      <w:r w:rsidRPr="00380510">
        <w:rPr>
          <w:rFonts w:ascii="Times" w:hAnsi="Times" w:cs="Times"/>
          <w:noProof/>
        </w:rPr>
      </w:r>
      <w:r w:rsidRPr="00380510">
        <w:rPr>
          <w:rFonts w:ascii="Times" w:hAnsi="Times" w:cs="Times"/>
          <w:noProof/>
        </w:rPr>
        <w:fldChar w:fldCharType="separate"/>
      </w:r>
      <w:r w:rsidR="00623A5C">
        <w:rPr>
          <w:rFonts w:ascii="Times" w:hAnsi="Times" w:cs="Times"/>
          <w:noProof/>
        </w:rPr>
        <w:t>246</w:t>
      </w:r>
      <w:r w:rsidRPr="00380510">
        <w:rPr>
          <w:rFonts w:ascii="Times" w:hAnsi="Times" w:cs="Times"/>
          <w:noProof/>
        </w:rPr>
        <w:fldChar w:fldCharType="end"/>
      </w:r>
    </w:p>
    <w:p w:rsidR="00380510" w:rsidRDefault="00380510">
      <w:pPr>
        <w:pStyle w:val="TOC5"/>
        <w:rPr>
          <w:rFonts w:ascii="Calibri" w:hAnsi="Calibri"/>
          <w:iCs w:val="0"/>
          <w:noProof/>
          <w:kern w:val="0"/>
          <w:sz w:val="22"/>
          <w:szCs w:val="22"/>
        </w:rPr>
      </w:pPr>
      <w:r>
        <w:rPr>
          <w:noProof/>
        </w:rPr>
        <w:t>820</w:t>
      </w:r>
      <w:r>
        <w:rPr>
          <w:noProof/>
        </w:rPr>
        <w:noBreakHyphen/>
        <w:t>820</w:t>
      </w:r>
      <w:r>
        <w:rPr>
          <w:noProof/>
        </w:rPr>
        <w:tab/>
        <w:t>Special rules about calculating TC control interest held by an entity</w:t>
      </w:r>
      <w:r w:rsidRPr="00380510">
        <w:rPr>
          <w:rFonts w:ascii="Times" w:hAnsi="Times" w:cs="Times"/>
          <w:noProof/>
        </w:rPr>
        <w:tab/>
      </w:r>
      <w:r w:rsidRPr="00380510">
        <w:rPr>
          <w:rFonts w:ascii="Times" w:hAnsi="Times" w:cs="Times"/>
          <w:noProof/>
        </w:rPr>
        <w:fldChar w:fldCharType="begin"/>
      </w:r>
      <w:r w:rsidRPr="00380510">
        <w:rPr>
          <w:rFonts w:ascii="Times" w:hAnsi="Times" w:cs="Times"/>
          <w:noProof/>
        </w:rPr>
        <w:instrText xml:space="preserve"> PAGEREF _Toc338939365 \h </w:instrText>
      </w:r>
      <w:r w:rsidRPr="00380510">
        <w:rPr>
          <w:rFonts w:ascii="Times" w:hAnsi="Times" w:cs="Times"/>
          <w:noProof/>
        </w:rPr>
      </w:r>
      <w:r w:rsidRPr="00380510">
        <w:rPr>
          <w:rFonts w:ascii="Times" w:hAnsi="Times" w:cs="Times"/>
          <w:noProof/>
        </w:rPr>
        <w:fldChar w:fldCharType="separate"/>
      </w:r>
      <w:r w:rsidR="00623A5C">
        <w:rPr>
          <w:rFonts w:ascii="Times" w:hAnsi="Times" w:cs="Times"/>
          <w:noProof/>
        </w:rPr>
        <w:t>246</w:t>
      </w:r>
      <w:r w:rsidRPr="00380510">
        <w:rPr>
          <w:rFonts w:ascii="Times" w:hAnsi="Times" w:cs="Times"/>
          <w:noProof/>
        </w:rPr>
        <w:fldChar w:fldCharType="end"/>
      </w:r>
    </w:p>
    <w:p w:rsidR="00380510" w:rsidRDefault="00380510">
      <w:pPr>
        <w:pStyle w:val="TOC5"/>
        <w:rPr>
          <w:rFonts w:ascii="Calibri" w:hAnsi="Calibri"/>
          <w:iCs w:val="0"/>
          <w:noProof/>
          <w:kern w:val="0"/>
          <w:sz w:val="22"/>
          <w:szCs w:val="22"/>
        </w:rPr>
      </w:pPr>
      <w:r>
        <w:rPr>
          <w:noProof/>
        </w:rPr>
        <w:t>820</w:t>
      </w:r>
      <w:r>
        <w:rPr>
          <w:noProof/>
        </w:rPr>
        <w:noBreakHyphen/>
        <w:t>825</w:t>
      </w:r>
      <w:r>
        <w:rPr>
          <w:noProof/>
        </w:rPr>
        <w:tab/>
        <w:t>Special rules about calculating TC control interests held by a group of entities</w:t>
      </w:r>
      <w:r w:rsidRPr="00380510">
        <w:rPr>
          <w:rFonts w:ascii="Times" w:hAnsi="Times" w:cs="Times"/>
          <w:noProof/>
        </w:rPr>
        <w:tab/>
      </w:r>
      <w:r w:rsidRPr="00380510">
        <w:rPr>
          <w:rFonts w:ascii="Times" w:hAnsi="Times" w:cs="Times"/>
          <w:noProof/>
        </w:rPr>
        <w:fldChar w:fldCharType="begin"/>
      </w:r>
      <w:r w:rsidRPr="00380510">
        <w:rPr>
          <w:rFonts w:ascii="Times" w:hAnsi="Times" w:cs="Times"/>
          <w:noProof/>
        </w:rPr>
        <w:instrText xml:space="preserve"> PAGEREF _Toc338939366 \h </w:instrText>
      </w:r>
      <w:r w:rsidRPr="00380510">
        <w:rPr>
          <w:rFonts w:ascii="Times" w:hAnsi="Times" w:cs="Times"/>
          <w:noProof/>
        </w:rPr>
      </w:r>
      <w:r w:rsidRPr="00380510">
        <w:rPr>
          <w:rFonts w:ascii="Times" w:hAnsi="Times" w:cs="Times"/>
          <w:noProof/>
        </w:rPr>
        <w:fldChar w:fldCharType="separate"/>
      </w:r>
      <w:r w:rsidR="00623A5C">
        <w:rPr>
          <w:rFonts w:ascii="Times" w:hAnsi="Times" w:cs="Times"/>
          <w:noProof/>
        </w:rPr>
        <w:t>247</w:t>
      </w:r>
      <w:r w:rsidRPr="00380510">
        <w:rPr>
          <w:rFonts w:ascii="Times" w:hAnsi="Times" w:cs="Times"/>
          <w:noProof/>
        </w:rPr>
        <w:fldChar w:fldCharType="end"/>
      </w:r>
    </w:p>
    <w:p w:rsidR="00380510" w:rsidRDefault="00380510">
      <w:pPr>
        <w:pStyle w:val="TOC5"/>
        <w:rPr>
          <w:rFonts w:ascii="Calibri" w:hAnsi="Calibri"/>
          <w:iCs w:val="0"/>
          <w:noProof/>
          <w:kern w:val="0"/>
          <w:sz w:val="22"/>
          <w:szCs w:val="22"/>
        </w:rPr>
      </w:pPr>
      <w:r>
        <w:rPr>
          <w:noProof/>
        </w:rPr>
        <w:t>820</w:t>
      </w:r>
      <w:r>
        <w:rPr>
          <w:noProof/>
        </w:rPr>
        <w:noBreakHyphen/>
        <w:t>830</w:t>
      </w:r>
      <w:r>
        <w:rPr>
          <w:noProof/>
        </w:rPr>
        <w:tab/>
        <w:t>Special rules about determining percentage of TC control interest</w:t>
      </w:r>
      <w:r w:rsidRPr="00380510">
        <w:rPr>
          <w:rFonts w:ascii="Times" w:hAnsi="Times" w:cs="Times"/>
          <w:noProof/>
        </w:rPr>
        <w:tab/>
      </w:r>
      <w:r w:rsidRPr="00380510">
        <w:rPr>
          <w:rFonts w:ascii="Times" w:hAnsi="Times" w:cs="Times"/>
          <w:noProof/>
        </w:rPr>
        <w:fldChar w:fldCharType="begin"/>
      </w:r>
      <w:r w:rsidRPr="00380510">
        <w:rPr>
          <w:rFonts w:ascii="Times" w:hAnsi="Times" w:cs="Times"/>
          <w:noProof/>
        </w:rPr>
        <w:instrText xml:space="preserve"> PAGEREF _Toc338939367 \h </w:instrText>
      </w:r>
      <w:r w:rsidRPr="00380510">
        <w:rPr>
          <w:rFonts w:ascii="Times" w:hAnsi="Times" w:cs="Times"/>
          <w:noProof/>
        </w:rPr>
      </w:r>
      <w:r w:rsidRPr="00380510">
        <w:rPr>
          <w:rFonts w:ascii="Times" w:hAnsi="Times" w:cs="Times"/>
          <w:noProof/>
        </w:rPr>
        <w:fldChar w:fldCharType="separate"/>
      </w:r>
      <w:r w:rsidR="00623A5C">
        <w:rPr>
          <w:rFonts w:ascii="Times" w:hAnsi="Times" w:cs="Times"/>
          <w:noProof/>
        </w:rPr>
        <w:t>248</w:t>
      </w:r>
      <w:r w:rsidRPr="00380510">
        <w:rPr>
          <w:rFonts w:ascii="Times" w:hAnsi="Times" w:cs="Times"/>
          <w:noProof/>
        </w:rPr>
        <w:fldChar w:fldCharType="end"/>
      </w:r>
    </w:p>
    <w:p w:rsidR="00380510" w:rsidRDefault="00380510">
      <w:pPr>
        <w:pStyle w:val="TOC5"/>
        <w:rPr>
          <w:rFonts w:ascii="Calibri" w:hAnsi="Calibri"/>
          <w:iCs w:val="0"/>
          <w:noProof/>
          <w:kern w:val="0"/>
          <w:sz w:val="22"/>
          <w:szCs w:val="22"/>
        </w:rPr>
      </w:pPr>
      <w:r>
        <w:rPr>
          <w:noProof/>
        </w:rPr>
        <w:t>820</w:t>
      </w:r>
      <w:r>
        <w:rPr>
          <w:noProof/>
        </w:rPr>
        <w:noBreakHyphen/>
        <w:t>835</w:t>
      </w:r>
      <w:r>
        <w:rPr>
          <w:noProof/>
        </w:rPr>
        <w:tab/>
        <w:t>Commissioner’s power</w:t>
      </w:r>
      <w:r w:rsidRPr="00380510">
        <w:rPr>
          <w:rFonts w:ascii="Times" w:hAnsi="Times" w:cs="Times"/>
          <w:noProof/>
        </w:rPr>
        <w:tab/>
      </w:r>
      <w:r w:rsidRPr="00380510">
        <w:rPr>
          <w:rFonts w:ascii="Times" w:hAnsi="Times" w:cs="Times"/>
          <w:noProof/>
        </w:rPr>
        <w:fldChar w:fldCharType="begin"/>
      </w:r>
      <w:r w:rsidRPr="00380510">
        <w:rPr>
          <w:rFonts w:ascii="Times" w:hAnsi="Times" w:cs="Times"/>
          <w:noProof/>
        </w:rPr>
        <w:instrText xml:space="preserve"> PAGEREF _Toc338939368 \h </w:instrText>
      </w:r>
      <w:r w:rsidRPr="00380510">
        <w:rPr>
          <w:rFonts w:ascii="Times" w:hAnsi="Times" w:cs="Times"/>
          <w:noProof/>
        </w:rPr>
      </w:r>
      <w:r w:rsidRPr="00380510">
        <w:rPr>
          <w:rFonts w:ascii="Times" w:hAnsi="Times" w:cs="Times"/>
          <w:noProof/>
        </w:rPr>
        <w:fldChar w:fldCharType="separate"/>
      </w:r>
      <w:r w:rsidR="00623A5C">
        <w:rPr>
          <w:rFonts w:ascii="Times" w:hAnsi="Times" w:cs="Times"/>
          <w:noProof/>
        </w:rPr>
        <w:t>249</w:t>
      </w:r>
      <w:r w:rsidRPr="00380510">
        <w:rPr>
          <w:rFonts w:ascii="Times" w:hAnsi="Times" w:cs="Times"/>
          <w:noProof/>
        </w:rPr>
        <w:fldChar w:fldCharType="end"/>
      </w:r>
    </w:p>
    <w:p w:rsidR="00380510" w:rsidRDefault="00380510">
      <w:pPr>
        <w:pStyle w:val="TOC4"/>
        <w:rPr>
          <w:rFonts w:ascii="Calibri" w:hAnsi="Calibri"/>
          <w:b w:val="0"/>
          <w:noProof/>
          <w:kern w:val="0"/>
          <w:sz w:val="22"/>
          <w:szCs w:val="22"/>
        </w:rPr>
      </w:pPr>
      <w:r>
        <w:rPr>
          <w:noProof/>
        </w:rPr>
        <w:t>TC direct control interest, TC indirect control interest and TC control tracing interest</w:t>
      </w:r>
      <w:r w:rsidRPr="00380510">
        <w:rPr>
          <w:rFonts w:ascii="Times" w:hAnsi="Times" w:cs="Times"/>
          <w:b w:val="0"/>
          <w:noProof/>
          <w:sz w:val="18"/>
        </w:rPr>
        <w:tab/>
      </w:r>
      <w:r w:rsidRPr="00380510">
        <w:rPr>
          <w:rFonts w:ascii="Times" w:hAnsi="Times" w:cs="Times"/>
          <w:b w:val="0"/>
          <w:noProof/>
          <w:sz w:val="18"/>
        </w:rPr>
        <w:fldChar w:fldCharType="begin"/>
      </w:r>
      <w:r w:rsidRPr="00380510">
        <w:rPr>
          <w:rFonts w:ascii="Times" w:hAnsi="Times" w:cs="Times"/>
          <w:b w:val="0"/>
          <w:noProof/>
          <w:sz w:val="18"/>
        </w:rPr>
        <w:instrText xml:space="preserve"> PAGEREF _Toc338939369 \h </w:instrText>
      </w:r>
      <w:r w:rsidRPr="00380510">
        <w:rPr>
          <w:rFonts w:ascii="Times" w:hAnsi="Times" w:cs="Times"/>
          <w:b w:val="0"/>
          <w:noProof/>
          <w:sz w:val="18"/>
        </w:rPr>
      </w:r>
      <w:r w:rsidRPr="00380510">
        <w:rPr>
          <w:rFonts w:ascii="Times" w:hAnsi="Times" w:cs="Times"/>
          <w:b w:val="0"/>
          <w:noProof/>
          <w:sz w:val="18"/>
        </w:rPr>
        <w:fldChar w:fldCharType="separate"/>
      </w:r>
      <w:r w:rsidR="00623A5C">
        <w:rPr>
          <w:rFonts w:ascii="Times" w:hAnsi="Times" w:cs="Times"/>
          <w:b w:val="0"/>
          <w:noProof/>
          <w:sz w:val="18"/>
        </w:rPr>
        <w:t>249</w:t>
      </w:r>
      <w:r w:rsidRPr="00380510">
        <w:rPr>
          <w:rFonts w:ascii="Times" w:hAnsi="Times" w:cs="Times"/>
          <w:b w:val="0"/>
          <w:noProof/>
          <w:sz w:val="18"/>
        </w:rPr>
        <w:fldChar w:fldCharType="end"/>
      </w:r>
    </w:p>
    <w:p w:rsidR="00380510" w:rsidRDefault="00380510">
      <w:pPr>
        <w:pStyle w:val="TOC5"/>
        <w:rPr>
          <w:rFonts w:ascii="Calibri" w:hAnsi="Calibri"/>
          <w:iCs w:val="0"/>
          <w:noProof/>
          <w:kern w:val="0"/>
          <w:sz w:val="22"/>
          <w:szCs w:val="22"/>
        </w:rPr>
      </w:pPr>
      <w:r>
        <w:rPr>
          <w:noProof/>
        </w:rPr>
        <w:t>820</w:t>
      </w:r>
      <w:r>
        <w:rPr>
          <w:noProof/>
        </w:rPr>
        <w:noBreakHyphen/>
        <w:t>855</w:t>
      </w:r>
      <w:r>
        <w:rPr>
          <w:noProof/>
        </w:rPr>
        <w:tab/>
        <w:t>TC direct control interest in a company</w:t>
      </w:r>
      <w:r w:rsidRPr="00380510">
        <w:rPr>
          <w:rFonts w:ascii="Times" w:hAnsi="Times" w:cs="Times"/>
          <w:noProof/>
        </w:rPr>
        <w:tab/>
      </w:r>
      <w:r w:rsidRPr="00380510">
        <w:rPr>
          <w:rFonts w:ascii="Times" w:hAnsi="Times" w:cs="Times"/>
          <w:noProof/>
        </w:rPr>
        <w:fldChar w:fldCharType="begin"/>
      </w:r>
      <w:r w:rsidRPr="00380510">
        <w:rPr>
          <w:rFonts w:ascii="Times" w:hAnsi="Times" w:cs="Times"/>
          <w:noProof/>
        </w:rPr>
        <w:instrText xml:space="preserve"> PAGEREF _Toc338939370 \h </w:instrText>
      </w:r>
      <w:r w:rsidRPr="00380510">
        <w:rPr>
          <w:rFonts w:ascii="Times" w:hAnsi="Times" w:cs="Times"/>
          <w:noProof/>
        </w:rPr>
      </w:r>
      <w:r w:rsidRPr="00380510">
        <w:rPr>
          <w:rFonts w:ascii="Times" w:hAnsi="Times" w:cs="Times"/>
          <w:noProof/>
        </w:rPr>
        <w:fldChar w:fldCharType="separate"/>
      </w:r>
      <w:r w:rsidR="00623A5C">
        <w:rPr>
          <w:rFonts w:ascii="Times" w:hAnsi="Times" w:cs="Times"/>
          <w:noProof/>
        </w:rPr>
        <w:t>249</w:t>
      </w:r>
      <w:r w:rsidRPr="00380510">
        <w:rPr>
          <w:rFonts w:ascii="Times" w:hAnsi="Times" w:cs="Times"/>
          <w:noProof/>
        </w:rPr>
        <w:fldChar w:fldCharType="end"/>
      </w:r>
    </w:p>
    <w:p w:rsidR="00380510" w:rsidRDefault="00380510">
      <w:pPr>
        <w:pStyle w:val="TOC5"/>
        <w:rPr>
          <w:rFonts w:ascii="Calibri" w:hAnsi="Calibri"/>
          <w:iCs w:val="0"/>
          <w:noProof/>
          <w:kern w:val="0"/>
          <w:sz w:val="22"/>
          <w:szCs w:val="22"/>
        </w:rPr>
      </w:pPr>
      <w:r>
        <w:rPr>
          <w:noProof/>
        </w:rPr>
        <w:t>820</w:t>
      </w:r>
      <w:r>
        <w:rPr>
          <w:noProof/>
        </w:rPr>
        <w:noBreakHyphen/>
        <w:t>860</w:t>
      </w:r>
      <w:r>
        <w:rPr>
          <w:noProof/>
        </w:rPr>
        <w:tab/>
        <w:t>TC direct control interest in a trust</w:t>
      </w:r>
      <w:r w:rsidRPr="00380510">
        <w:rPr>
          <w:rFonts w:ascii="Times" w:hAnsi="Times" w:cs="Times"/>
          <w:noProof/>
        </w:rPr>
        <w:tab/>
      </w:r>
      <w:r w:rsidRPr="00380510">
        <w:rPr>
          <w:rFonts w:ascii="Times" w:hAnsi="Times" w:cs="Times"/>
          <w:noProof/>
        </w:rPr>
        <w:fldChar w:fldCharType="begin"/>
      </w:r>
      <w:r w:rsidRPr="00380510">
        <w:rPr>
          <w:rFonts w:ascii="Times" w:hAnsi="Times" w:cs="Times"/>
          <w:noProof/>
        </w:rPr>
        <w:instrText xml:space="preserve"> PAGEREF _Toc338939371 \h </w:instrText>
      </w:r>
      <w:r w:rsidRPr="00380510">
        <w:rPr>
          <w:rFonts w:ascii="Times" w:hAnsi="Times" w:cs="Times"/>
          <w:noProof/>
        </w:rPr>
      </w:r>
      <w:r w:rsidRPr="00380510">
        <w:rPr>
          <w:rFonts w:ascii="Times" w:hAnsi="Times" w:cs="Times"/>
          <w:noProof/>
        </w:rPr>
        <w:fldChar w:fldCharType="separate"/>
      </w:r>
      <w:r w:rsidR="00623A5C">
        <w:rPr>
          <w:rFonts w:ascii="Times" w:hAnsi="Times" w:cs="Times"/>
          <w:noProof/>
        </w:rPr>
        <w:t>250</w:t>
      </w:r>
      <w:r w:rsidRPr="00380510">
        <w:rPr>
          <w:rFonts w:ascii="Times" w:hAnsi="Times" w:cs="Times"/>
          <w:noProof/>
        </w:rPr>
        <w:fldChar w:fldCharType="end"/>
      </w:r>
    </w:p>
    <w:p w:rsidR="00380510" w:rsidRDefault="00380510">
      <w:pPr>
        <w:pStyle w:val="TOC5"/>
        <w:rPr>
          <w:rFonts w:ascii="Calibri" w:hAnsi="Calibri"/>
          <w:iCs w:val="0"/>
          <w:noProof/>
          <w:kern w:val="0"/>
          <w:sz w:val="22"/>
          <w:szCs w:val="22"/>
        </w:rPr>
      </w:pPr>
      <w:r>
        <w:rPr>
          <w:noProof/>
        </w:rPr>
        <w:t>820</w:t>
      </w:r>
      <w:r>
        <w:rPr>
          <w:noProof/>
        </w:rPr>
        <w:noBreakHyphen/>
        <w:t>865</w:t>
      </w:r>
      <w:r>
        <w:rPr>
          <w:noProof/>
        </w:rPr>
        <w:tab/>
        <w:t>TC direct control interest in a partnership</w:t>
      </w:r>
      <w:r w:rsidRPr="00380510">
        <w:rPr>
          <w:rFonts w:ascii="Times" w:hAnsi="Times" w:cs="Times"/>
          <w:noProof/>
        </w:rPr>
        <w:tab/>
      </w:r>
      <w:r w:rsidRPr="00380510">
        <w:rPr>
          <w:rFonts w:ascii="Times" w:hAnsi="Times" w:cs="Times"/>
          <w:noProof/>
        </w:rPr>
        <w:fldChar w:fldCharType="begin"/>
      </w:r>
      <w:r w:rsidRPr="00380510">
        <w:rPr>
          <w:rFonts w:ascii="Times" w:hAnsi="Times" w:cs="Times"/>
          <w:noProof/>
        </w:rPr>
        <w:instrText xml:space="preserve"> PAGEREF _Toc338939372 \h </w:instrText>
      </w:r>
      <w:r w:rsidRPr="00380510">
        <w:rPr>
          <w:rFonts w:ascii="Times" w:hAnsi="Times" w:cs="Times"/>
          <w:noProof/>
        </w:rPr>
      </w:r>
      <w:r w:rsidRPr="00380510">
        <w:rPr>
          <w:rFonts w:ascii="Times" w:hAnsi="Times" w:cs="Times"/>
          <w:noProof/>
        </w:rPr>
        <w:fldChar w:fldCharType="separate"/>
      </w:r>
      <w:r w:rsidR="00623A5C">
        <w:rPr>
          <w:rFonts w:ascii="Times" w:hAnsi="Times" w:cs="Times"/>
          <w:noProof/>
        </w:rPr>
        <w:t>251</w:t>
      </w:r>
      <w:r w:rsidRPr="00380510">
        <w:rPr>
          <w:rFonts w:ascii="Times" w:hAnsi="Times" w:cs="Times"/>
          <w:noProof/>
        </w:rPr>
        <w:fldChar w:fldCharType="end"/>
      </w:r>
    </w:p>
    <w:p w:rsidR="00380510" w:rsidRDefault="00380510">
      <w:pPr>
        <w:pStyle w:val="TOC5"/>
        <w:rPr>
          <w:rFonts w:ascii="Calibri" w:hAnsi="Calibri"/>
          <w:iCs w:val="0"/>
          <w:noProof/>
          <w:kern w:val="0"/>
          <w:sz w:val="22"/>
          <w:szCs w:val="22"/>
        </w:rPr>
      </w:pPr>
      <w:r>
        <w:rPr>
          <w:noProof/>
        </w:rPr>
        <w:t>820</w:t>
      </w:r>
      <w:r>
        <w:rPr>
          <w:noProof/>
        </w:rPr>
        <w:noBreakHyphen/>
        <w:t>870</w:t>
      </w:r>
      <w:r>
        <w:rPr>
          <w:noProof/>
        </w:rPr>
        <w:tab/>
        <w:t>TC indirect control interest in a company, trust or partnership</w:t>
      </w:r>
      <w:r w:rsidRPr="00380510">
        <w:rPr>
          <w:rFonts w:ascii="Times" w:hAnsi="Times" w:cs="Times"/>
          <w:noProof/>
        </w:rPr>
        <w:tab/>
      </w:r>
      <w:r w:rsidRPr="00380510">
        <w:rPr>
          <w:rFonts w:ascii="Times" w:hAnsi="Times" w:cs="Times"/>
          <w:noProof/>
        </w:rPr>
        <w:fldChar w:fldCharType="begin"/>
      </w:r>
      <w:r w:rsidRPr="00380510">
        <w:rPr>
          <w:rFonts w:ascii="Times" w:hAnsi="Times" w:cs="Times"/>
          <w:noProof/>
        </w:rPr>
        <w:instrText xml:space="preserve"> PAGEREF _Toc338939373 \h </w:instrText>
      </w:r>
      <w:r w:rsidRPr="00380510">
        <w:rPr>
          <w:rFonts w:ascii="Times" w:hAnsi="Times" w:cs="Times"/>
          <w:noProof/>
        </w:rPr>
      </w:r>
      <w:r w:rsidRPr="00380510">
        <w:rPr>
          <w:rFonts w:ascii="Times" w:hAnsi="Times" w:cs="Times"/>
          <w:noProof/>
        </w:rPr>
        <w:fldChar w:fldCharType="separate"/>
      </w:r>
      <w:r w:rsidR="00623A5C">
        <w:rPr>
          <w:rFonts w:ascii="Times" w:hAnsi="Times" w:cs="Times"/>
          <w:noProof/>
        </w:rPr>
        <w:t>252</w:t>
      </w:r>
      <w:r w:rsidRPr="00380510">
        <w:rPr>
          <w:rFonts w:ascii="Times" w:hAnsi="Times" w:cs="Times"/>
          <w:noProof/>
        </w:rPr>
        <w:fldChar w:fldCharType="end"/>
      </w:r>
    </w:p>
    <w:p w:rsidR="00380510" w:rsidRDefault="00380510">
      <w:pPr>
        <w:pStyle w:val="TOC5"/>
        <w:rPr>
          <w:rFonts w:ascii="Calibri" w:hAnsi="Calibri"/>
          <w:iCs w:val="0"/>
          <w:noProof/>
          <w:kern w:val="0"/>
          <w:sz w:val="22"/>
          <w:szCs w:val="22"/>
        </w:rPr>
      </w:pPr>
      <w:r>
        <w:rPr>
          <w:noProof/>
        </w:rPr>
        <w:t>820</w:t>
      </w:r>
      <w:r>
        <w:rPr>
          <w:noProof/>
        </w:rPr>
        <w:noBreakHyphen/>
        <w:t>875</w:t>
      </w:r>
      <w:r>
        <w:rPr>
          <w:noProof/>
        </w:rPr>
        <w:tab/>
        <w:t>TC control tracing interest in a company, trust or partnership</w:t>
      </w:r>
      <w:r w:rsidRPr="00380510">
        <w:rPr>
          <w:rFonts w:ascii="Times" w:hAnsi="Times" w:cs="Times"/>
          <w:noProof/>
        </w:rPr>
        <w:tab/>
      </w:r>
      <w:r w:rsidRPr="00380510">
        <w:rPr>
          <w:rFonts w:ascii="Times" w:hAnsi="Times" w:cs="Times"/>
          <w:noProof/>
        </w:rPr>
        <w:fldChar w:fldCharType="begin"/>
      </w:r>
      <w:r w:rsidRPr="00380510">
        <w:rPr>
          <w:rFonts w:ascii="Times" w:hAnsi="Times" w:cs="Times"/>
          <w:noProof/>
        </w:rPr>
        <w:instrText xml:space="preserve"> PAGEREF _Toc338939374 \h </w:instrText>
      </w:r>
      <w:r w:rsidRPr="00380510">
        <w:rPr>
          <w:rFonts w:ascii="Times" w:hAnsi="Times" w:cs="Times"/>
          <w:noProof/>
        </w:rPr>
      </w:r>
      <w:r w:rsidRPr="00380510">
        <w:rPr>
          <w:rFonts w:ascii="Times" w:hAnsi="Times" w:cs="Times"/>
          <w:noProof/>
        </w:rPr>
        <w:fldChar w:fldCharType="separate"/>
      </w:r>
      <w:r w:rsidR="00623A5C">
        <w:rPr>
          <w:rFonts w:ascii="Times" w:hAnsi="Times" w:cs="Times"/>
          <w:noProof/>
        </w:rPr>
        <w:t>255</w:t>
      </w:r>
      <w:r w:rsidRPr="00380510">
        <w:rPr>
          <w:rFonts w:ascii="Times" w:hAnsi="Times" w:cs="Times"/>
          <w:noProof/>
        </w:rPr>
        <w:fldChar w:fldCharType="end"/>
      </w:r>
    </w:p>
    <w:p w:rsidR="00380510" w:rsidRDefault="00380510">
      <w:pPr>
        <w:pStyle w:val="TOC4"/>
        <w:rPr>
          <w:rFonts w:ascii="Calibri" w:hAnsi="Calibri"/>
          <w:b w:val="0"/>
          <w:noProof/>
          <w:kern w:val="0"/>
          <w:sz w:val="22"/>
          <w:szCs w:val="22"/>
        </w:rPr>
      </w:pPr>
      <w:r>
        <w:rPr>
          <w:noProof/>
        </w:rPr>
        <w:t>Subdivision 820</w:t>
      </w:r>
      <w:r>
        <w:rPr>
          <w:noProof/>
        </w:rPr>
        <w:noBreakHyphen/>
        <w:t>HA—Controlled foreign entity debt and controlled foreign entity equity</w:t>
      </w:r>
      <w:r w:rsidRPr="00380510">
        <w:rPr>
          <w:rFonts w:ascii="Times" w:hAnsi="Times" w:cs="Times"/>
          <w:b w:val="0"/>
          <w:noProof/>
          <w:sz w:val="18"/>
        </w:rPr>
        <w:tab/>
      </w:r>
      <w:r w:rsidRPr="00380510">
        <w:rPr>
          <w:rFonts w:ascii="Times" w:hAnsi="Times" w:cs="Times"/>
          <w:b w:val="0"/>
          <w:noProof/>
          <w:sz w:val="18"/>
        </w:rPr>
        <w:fldChar w:fldCharType="begin"/>
      </w:r>
      <w:r w:rsidRPr="00380510">
        <w:rPr>
          <w:rFonts w:ascii="Times" w:hAnsi="Times" w:cs="Times"/>
          <w:b w:val="0"/>
          <w:noProof/>
          <w:sz w:val="18"/>
        </w:rPr>
        <w:instrText xml:space="preserve"> PAGEREF _Toc338939375 \h </w:instrText>
      </w:r>
      <w:r w:rsidRPr="00380510">
        <w:rPr>
          <w:rFonts w:ascii="Times" w:hAnsi="Times" w:cs="Times"/>
          <w:b w:val="0"/>
          <w:noProof/>
          <w:sz w:val="18"/>
        </w:rPr>
      </w:r>
      <w:r w:rsidRPr="00380510">
        <w:rPr>
          <w:rFonts w:ascii="Times" w:hAnsi="Times" w:cs="Times"/>
          <w:b w:val="0"/>
          <w:noProof/>
          <w:sz w:val="18"/>
        </w:rPr>
        <w:fldChar w:fldCharType="separate"/>
      </w:r>
      <w:r w:rsidR="00623A5C">
        <w:rPr>
          <w:rFonts w:ascii="Times" w:hAnsi="Times" w:cs="Times"/>
          <w:b w:val="0"/>
          <w:noProof/>
          <w:sz w:val="18"/>
        </w:rPr>
        <w:t>256</w:t>
      </w:r>
      <w:r w:rsidRPr="00380510">
        <w:rPr>
          <w:rFonts w:ascii="Times" w:hAnsi="Times" w:cs="Times"/>
          <w:b w:val="0"/>
          <w:noProof/>
          <w:sz w:val="18"/>
        </w:rPr>
        <w:fldChar w:fldCharType="end"/>
      </w:r>
    </w:p>
    <w:p w:rsidR="00380510" w:rsidRDefault="00380510">
      <w:pPr>
        <w:pStyle w:val="TOC4"/>
        <w:rPr>
          <w:rFonts w:ascii="Calibri" w:hAnsi="Calibri"/>
          <w:b w:val="0"/>
          <w:noProof/>
          <w:kern w:val="0"/>
          <w:sz w:val="22"/>
          <w:szCs w:val="22"/>
        </w:rPr>
      </w:pPr>
      <w:r>
        <w:rPr>
          <w:noProof/>
        </w:rPr>
        <w:t>Guide to Subdivision 820</w:t>
      </w:r>
      <w:r>
        <w:rPr>
          <w:noProof/>
        </w:rPr>
        <w:noBreakHyphen/>
        <w:t>HA</w:t>
      </w:r>
      <w:r w:rsidRPr="00380510">
        <w:rPr>
          <w:rFonts w:ascii="Times" w:hAnsi="Times" w:cs="Times"/>
          <w:b w:val="0"/>
          <w:noProof/>
          <w:sz w:val="18"/>
        </w:rPr>
        <w:tab/>
      </w:r>
      <w:r w:rsidRPr="00380510">
        <w:rPr>
          <w:rFonts w:ascii="Times" w:hAnsi="Times" w:cs="Times"/>
          <w:b w:val="0"/>
          <w:noProof/>
          <w:sz w:val="18"/>
        </w:rPr>
        <w:fldChar w:fldCharType="begin"/>
      </w:r>
      <w:r w:rsidRPr="00380510">
        <w:rPr>
          <w:rFonts w:ascii="Times" w:hAnsi="Times" w:cs="Times"/>
          <w:b w:val="0"/>
          <w:noProof/>
          <w:sz w:val="18"/>
        </w:rPr>
        <w:instrText xml:space="preserve"> PAGEREF _Toc338939376 \h </w:instrText>
      </w:r>
      <w:r w:rsidRPr="00380510">
        <w:rPr>
          <w:rFonts w:ascii="Times" w:hAnsi="Times" w:cs="Times"/>
          <w:b w:val="0"/>
          <w:noProof/>
          <w:sz w:val="18"/>
        </w:rPr>
      </w:r>
      <w:r w:rsidRPr="00380510">
        <w:rPr>
          <w:rFonts w:ascii="Times" w:hAnsi="Times" w:cs="Times"/>
          <w:b w:val="0"/>
          <w:noProof/>
          <w:sz w:val="18"/>
        </w:rPr>
        <w:fldChar w:fldCharType="separate"/>
      </w:r>
      <w:r w:rsidR="00623A5C">
        <w:rPr>
          <w:rFonts w:ascii="Times" w:hAnsi="Times" w:cs="Times"/>
          <w:b w:val="0"/>
          <w:noProof/>
          <w:sz w:val="18"/>
        </w:rPr>
        <w:t>256</w:t>
      </w:r>
      <w:r w:rsidRPr="00380510">
        <w:rPr>
          <w:rFonts w:ascii="Times" w:hAnsi="Times" w:cs="Times"/>
          <w:b w:val="0"/>
          <w:noProof/>
          <w:sz w:val="18"/>
        </w:rPr>
        <w:fldChar w:fldCharType="end"/>
      </w:r>
    </w:p>
    <w:p w:rsidR="00380510" w:rsidRDefault="00380510">
      <w:pPr>
        <w:pStyle w:val="TOC5"/>
        <w:rPr>
          <w:rFonts w:ascii="Calibri" w:hAnsi="Calibri"/>
          <w:iCs w:val="0"/>
          <w:noProof/>
          <w:kern w:val="0"/>
          <w:sz w:val="22"/>
          <w:szCs w:val="22"/>
        </w:rPr>
      </w:pPr>
      <w:r>
        <w:rPr>
          <w:noProof/>
        </w:rPr>
        <w:t>820</w:t>
      </w:r>
      <w:r>
        <w:rPr>
          <w:noProof/>
        </w:rPr>
        <w:noBreakHyphen/>
        <w:t>880</w:t>
      </w:r>
      <w:r>
        <w:rPr>
          <w:noProof/>
        </w:rPr>
        <w:tab/>
        <w:t>What this Subdivision is about</w:t>
      </w:r>
      <w:r w:rsidRPr="00380510">
        <w:rPr>
          <w:rFonts w:ascii="Times" w:hAnsi="Times" w:cs="Times"/>
          <w:noProof/>
        </w:rPr>
        <w:tab/>
      </w:r>
      <w:r w:rsidRPr="00380510">
        <w:rPr>
          <w:rFonts w:ascii="Times" w:hAnsi="Times" w:cs="Times"/>
          <w:noProof/>
        </w:rPr>
        <w:fldChar w:fldCharType="begin"/>
      </w:r>
      <w:r w:rsidRPr="00380510">
        <w:rPr>
          <w:rFonts w:ascii="Times" w:hAnsi="Times" w:cs="Times"/>
          <w:noProof/>
        </w:rPr>
        <w:instrText xml:space="preserve"> PAGEREF _Toc338939377 \h </w:instrText>
      </w:r>
      <w:r w:rsidRPr="00380510">
        <w:rPr>
          <w:rFonts w:ascii="Times" w:hAnsi="Times" w:cs="Times"/>
          <w:noProof/>
        </w:rPr>
      </w:r>
      <w:r w:rsidRPr="00380510">
        <w:rPr>
          <w:rFonts w:ascii="Times" w:hAnsi="Times" w:cs="Times"/>
          <w:noProof/>
        </w:rPr>
        <w:fldChar w:fldCharType="separate"/>
      </w:r>
      <w:r w:rsidR="00623A5C">
        <w:rPr>
          <w:rFonts w:ascii="Times" w:hAnsi="Times" w:cs="Times"/>
          <w:noProof/>
        </w:rPr>
        <w:t>256</w:t>
      </w:r>
      <w:r w:rsidRPr="00380510">
        <w:rPr>
          <w:rFonts w:ascii="Times" w:hAnsi="Times" w:cs="Times"/>
          <w:noProof/>
        </w:rPr>
        <w:fldChar w:fldCharType="end"/>
      </w:r>
    </w:p>
    <w:p w:rsidR="00380510" w:rsidRDefault="00380510">
      <w:pPr>
        <w:pStyle w:val="TOC5"/>
        <w:rPr>
          <w:rFonts w:ascii="Calibri" w:hAnsi="Calibri"/>
          <w:iCs w:val="0"/>
          <w:noProof/>
          <w:kern w:val="0"/>
          <w:sz w:val="22"/>
          <w:szCs w:val="22"/>
        </w:rPr>
      </w:pPr>
      <w:r>
        <w:rPr>
          <w:noProof/>
        </w:rPr>
        <w:t>820</w:t>
      </w:r>
      <w:r>
        <w:rPr>
          <w:noProof/>
        </w:rPr>
        <w:noBreakHyphen/>
        <w:t>881</w:t>
      </w:r>
      <w:r>
        <w:rPr>
          <w:noProof/>
        </w:rPr>
        <w:tab/>
        <w:t>Application</w:t>
      </w:r>
      <w:r w:rsidRPr="00380510">
        <w:rPr>
          <w:rFonts w:ascii="Times" w:hAnsi="Times" w:cs="Times"/>
          <w:noProof/>
        </w:rPr>
        <w:tab/>
      </w:r>
      <w:r w:rsidRPr="00380510">
        <w:rPr>
          <w:rFonts w:ascii="Times" w:hAnsi="Times" w:cs="Times"/>
          <w:noProof/>
        </w:rPr>
        <w:fldChar w:fldCharType="begin"/>
      </w:r>
      <w:r w:rsidRPr="00380510">
        <w:rPr>
          <w:rFonts w:ascii="Times" w:hAnsi="Times" w:cs="Times"/>
          <w:noProof/>
        </w:rPr>
        <w:instrText xml:space="preserve"> PAGEREF _Toc338939378 \h </w:instrText>
      </w:r>
      <w:r w:rsidRPr="00380510">
        <w:rPr>
          <w:rFonts w:ascii="Times" w:hAnsi="Times" w:cs="Times"/>
          <w:noProof/>
        </w:rPr>
      </w:r>
      <w:r w:rsidRPr="00380510">
        <w:rPr>
          <w:rFonts w:ascii="Times" w:hAnsi="Times" w:cs="Times"/>
          <w:noProof/>
        </w:rPr>
        <w:fldChar w:fldCharType="separate"/>
      </w:r>
      <w:r w:rsidR="00623A5C">
        <w:rPr>
          <w:rFonts w:ascii="Times" w:hAnsi="Times" w:cs="Times"/>
          <w:noProof/>
        </w:rPr>
        <w:t>256</w:t>
      </w:r>
      <w:r w:rsidRPr="00380510">
        <w:rPr>
          <w:rFonts w:ascii="Times" w:hAnsi="Times" w:cs="Times"/>
          <w:noProof/>
        </w:rPr>
        <w:fldChar w:fldCharType="end"/>
      </w:r>
    </w:p>
    <w:p w:rsidR="00380510" w:rsidRDefault="00380510">
      <w:pPr>
        <w:pStyle w:val="TOC5"/>
        <w:rPr>
          <w:rFonts w:ascii="Calibri" w:hAnsi="Calibri"/>
          <w:iCs w:val="0"/>
          <w:noProof/>
          <w:kern w:val="0"/>
          <w:sz w:val="22"/>
          <w:szCs w:val="22"/>
        </w:rPr>
      </w:pPr>
      <w:r>
        <w:rPr>
          <w:noProof/>
        </w:rPr>
        <w:t>820</w:t>
      </w:r>
      <w:r>
        <w:rPr>
          <w:noProof/>
        </w:rPr>
        <w:noBreakHyphen/>
        <w:t>885</w:t>
      </w:r>
      <w:r>
        <w:rPr>
          <w:noProof/>
        </w:rPr>
        <w:tab/>
        <w:t xml:space="preserve">What is </w:t>
      </w:r>
      <w:r w:rsidRPr="008A0EAA">
        <w:rPr>
          <w:i/>
          <w:noProof/>
        </w:rPr>
        <w:t>controlled foreign entity debt</w:t>
      </w:r>
      <w:r>
        <w:rPr>
          <w:noProof/>
        </w:rPr>
        <w:t>?</w:t>
      </w:r>
      <w:r w:rsidRPr="00380510">
        <w:rPr>
          <w:rFonts w:ascii="Times" w:hAnsi="Times" w:cs="Times"/>
          <w:noProof/>
        </w:rPr>
        <w:tab/>
      </w:r>
      <w:r w:rsidRPr="00380510">
        <w:rPr>
          <w:rFonts w:ascii="Times" w:hAnsi="Times" w:cs="Times"/>
          <w:noProof/>
        </w:rPr>
        <w:fldChar w:fldCharType="begin"/>
      </w:r>
      <w:r w:rsidRPr="00380510">
        <w:rPr>
          <w:rFonts w:ascii="Times" w:hAnsi="Times" w:cs="Times"/>
          <w:noProof/>
        </w:rPr>
        <w:instrText xml:space="preserve"> PAGEREF _Toc338939379 \h </w:instrText>
      </w:r>
      <w:r w:rsidRPr="00380510">
        <w:rPr>
          <w:rFonts w:ascii="Times" w:hAnsi="Times" w:cs="Times"/>
          <w:noProof/>
        </w:rPr>
      </w:r>
      <w:r w:rsidRPr="00380510">
        <w:rPr>
          <w:rFonts w:ascii="Times" w:hAnsi="Times" w:cs="Times"/>
          <w:noProof/>
        </w:rPr>
        <w:fldChar w:fldCharType="separate"/>
      </w:r>
      <w:r w:rsidR="00623A5C">
        <w:rPr>
          <w:rFonts w:ascii="Times" w:hAnsi="Times" w:cs="Times"/>
          <w:noProof/>
        </w:rPr>
        <w:t>256</w:t>
      </w:r>
      <w:r w:rsidRPr="00380510">
        <w:rPr>
          <w:rFonts w:ascii="Times" w:hAnsi="Times" w:cs="Times"/>
          <w:noProof/>
        </w:rPr>
        <w:fldChar w:fldCharType="end"/>
      </w:r>
    </w:p>
    <w:p w:rsidR="00380510" w:rsidRDefault="00380510">
      <w:pPr>
        <w:pStyle w:val="TOC5"/>
        <w:rPr>
          <w:rFonts w:ascii="Calibri" w:hAnsi="Calibri"/>
          <w:iCs w:val="0"/>
          <w:noProof/>
          <w:kern w:val="0"/>
          <w:sz w:val="22"/>
          <w:szCs w:val="22"/>
        </w:rPr>
      </w:pPr>
      <w:r>
        <w:rPr>
          <w:noProof/>
        </w:rPr>
        <w:t>820</w:t>
      </w:r>
      <w:r>
        <w:rPr>
          <w:noProof/>
        </w:rPr>
        <w:noBreakHyphen/>
        <w:t>890</w:t>
      </w:r>
      <w:r>
        <w:rPr>
          <w:noProof/>
        </w:rPr>
        <w:tab/>
        <w:t xml:space="preserve">What is </w:t>
      </w:r>
      <w:r w:rsidRPr="008A0EAA">
        <w:rPr>
          <w:i/>
          <w:noProof/>
        </w:rPr>
        <w:t>controlled foreign entity equity</w:t>
      </w:r>
      <w:r>
        <w:rPr>
          <w:noProof/>
        </w:rPr>
        <w:t>?</w:t>
      </w:r>
      <w:r w:rsidRPr="00380510">
        <w:rPr>
          <w:rFonts w:ascii="Times" w:hAnsi="Times" w:cs="Times"/>
          <w:noProof/>
        </w:rPr>
        <w:tab/>
      </w:r>
      <w:r w:rsidRPr="00380510">
        <w:rPr>
          <w:rFonts w:ascii="Times" w:hAnsi="Times" w:cs="Times"/>
          <w:noProof/>
        </w:rPr>
        <w:fldChar w:fldCharType="begin"/>
      </w:r>
      <w:r w:rsidRPr="00380510">
        <w:rPr>
          <w:rFonts w:ascii="Times" w:hAnsi="Times" w:cs="Times"/>
          <w:noProof/>
        </w:rPr>
        <w:instrText xml:space="preserve"> PAGEREF _Toc338939380 \h </w:instrText>
      </w:r>
      <w:r w:rsidRPr="00380510">
        <w:rPr>
          <w:rFonts w:ascii="Times" w:hAnsi="Times" w:cs="Times"/>
          <w:noProof/>
        </w:rPr>
      </w:r>
      <w:r w:rsidRPr="00380510">
        <w:rPr>
          <w:rFonts w:ascii="Times" w:hAnsi="Times" w:cs="Times"/>
          <w:noProof/>
        </w:rPr>
        <w:fldChar w:fldCharType="separate"/>
      </w:r>
      <w:r w:rsidR="00623A5C">
        <w:rPr>
          <w:rFonts w:ascii="Times" w:hAnsi="Times" w:cs="Times"/>
          <w:noProof/>
        </w:rPr>
        <w:t>257</w:t>
      </w:r>
      <w:r w:rsidRPr="00380510">
        <w:rPr>
          <w:rFonts w:ascii="Times" w:hAnsi="Times" w:cs="Times"/>
          <w:noProof/>
        </w:rPr>
        <w:fldChar w:fldCharType="end"/>
      </w:r>
    </w:p>
    <w:p w:rsidR="00380510" w:rsidRDefault="00380510">
      <w:pPr>
        <w:pStyle w:val="TOC4"/>
        <w:rPr>
          <w:rFonts w:ascii="Calibri" w:hAnsi="Calibri"/>
          <w:b w:val="0"/>
          <w:noProof/>
          <w:kern w:val="0"/>
          <w:sz w:val="22"/>
          <w:szCs w:val="22"/>
        </w:rPr>
      </w:pPr>
      <w:r>
        <w:rPr>
          <w:noProof/>
        </w:rPr>
        <w:t>Subdivision 820</w:t>
      </w:r>
      <w:r>
        <w:rPr>
          <w:noProof/>
        </w:rPr>
        <w:noBreakHyphen/>
        <w:t>I—Associate entities</w:t>
      </w:r>
      <w:r w:rsidRPr="00380510">
        <w:rPr>
          <w:rFonts w:ascii="Times" w:hAnsi="Times" w:cs="Times"/>
          <w:b w:val="0"/>
          <w:noProof/>
          <w:sz w:val="18"/>
        </w:rPr>
        <w:tab/>
      </w:r>
      <w:r w:rsidRPr="00380510">
        <w:rPr>
          <w:rFonts w:ascii="Times" w:hAnsi="Times" w:cs="Times"/>
          <w:b w:val="0"/>
          <w:noProof/>
          <w:sz w:val="18"/>
        </w:rPr>
        <w:fldChar w:fldCharType="begin"/>
      </w:r>
      <w:r w:rsidRPr="00380510">
        <w:rPr>
          <w:rFonts w:ascii="Times" w:hAnsi="Times" w:cs="Times"/>
          <w:b w:val="0"/>
          <w:noProof/>
          <w:sz w:val="18"/>
        </w:rPr>
        <w:instrText xml:space="preserve"> PAGEREF _Toc338939381 \h </w:instrText>
      </w:r>
      <w:r w:rsidRPr="00380510">
        <w:rPr>
          <w:rFonts w:ascii="Times" w:hAnsi="Times" w:cs="Times"/>
          <w:b w:val="0"/>
          <w:noProof/>
          <w:sz w:val="18"/>
        </w:rPr>
      </w:r>
      <w:r w:rsidRPr="00380510">
        <w:rPr>
          <w:rFonts w:ascii="Times" w:hAnsi="Times" w:cs="Times"/>
          <w:b w:val="0"/>
          <w:noProof/>
          <w:sz w:val="18"/>
        </w:rPr>
        <w:fldChar w:fldCharType="separate"/>
      </w:r>
      <w:r w:rsidR="00623A5C">
        <w:rPr>
          <w:rFonts w:ascii="Times" w:hAnsi="Times" w:cs="Times"/>
          <w:b w:val="0"/>
          <w:noProof/>
          <w:sz w:val="18"/>
        </w:rPr>
        <w:t>258</w:t>
      </w:r>
      <w:r w:rsidRPr="00380510">
        <w:rPr>
          <w:rFonts w:ascii="Times" w:hAnsi="Times" w:cs="Times"/>
          <w:b w:val="0"/>
          <w:noProof/>
          <w:sz w:val="18"/>
        </w:rPr>
        <w:fldChar w:fldCharType="end"/>
      </w:r>
    </w:p>
    <w:p w:rsidR="00380510" w:rsidRDefault="00380510">
      <w:pPr>
        <w:pStyle w:val="TOC4"/>
        <w:rPr>
          <w:rFonts w:ascii="Calibri" w:hAnsi="Calibri"/>
          <w:b w:val="0"/>
          <w:noProof/>
          <w:kern w:val="0"/>
          <w:sz w:val="22"/>
          <w:szCs w:val="22"/>
        </w:rPr>
      </w:pPr>
      <w:r>
        <w:rPr>
          <w:noProof/>
        </w:rPr>
        <w:t>Guide to Subdivision 820</w:t>
      </w:r>
      <w:r>
        <w:rPr>
          <w:noProof/>
        </w:rPr>
        <w:noBreakHyphen/>
        <w:t>I</w:t>
      </w:r>
      <w:r w:rsidRPr="00380510">
        <w:rPr>
          <w:rFonts w:ascii="Times" w:hAnsi="Times" w:cs="Times"/>
          <w:b w:val="0"/>
          <w:noProof/>
          <w:sz w:val="18"/>
        </w:rPr>
        <w:tab/>
      </w:r>
      <w:r w:rsidRPr="00380510">
        <w:rPr>
          <w:rFonts w:ascii="Times" w:hAnsi="Times" w:cs="Times"/>
          <w:b w:val="0"/>
          <w:noProof/>
          <w:sz w:val="18"/>
        </w:rPr>
        <w:fldChar w:fldCharType="begin"/>
      </w:r>
      <w:r w:rsidRPr="00380510">
        <w:rPr>
          <w:rFonts w:ascii="Times" w:hAnsi="Times" w:cs="Times"/>
          <w:b w:val="0"/>
          <w:noProof/>
          <w:sz w:val="18"/>
        </w:rPr>
        <w:instrText xml:space="preserve"> PAGEREF _Toc338939382 \h </w:instrText>
      </w:r>
      <w:r w:rsidRPr="00380510">
        <w:rPr>
          <w:rFonts w:ascii="Times" w:hAnsi="Times" w:cs="Times"/>
          <w:b w:val="0"/>
          <w:noProof/>
          <w:sz w:val="18"/>
        </w:rPr>
      </w:r>
      <w:r w:rsidRPr="00380510">
        <w:rPr>
          <w:rFonts w:ascii="Times" w:hAnsi="Times" w:cs="Times"/>
          <w:b w:val="0"/>
          <w:noProof/>
          <w:sz w:val="18"/>
        </w:rPr>
        <w:fldChar w:fldCharType="separate"/>
      </w:r>
      <w:r w:rsidR="00623A5C">
        <w:rPr>
          <w:rFonts w:ascii="Times" w:hAnsi="Times" w:cs="Times"/>
          <w:b w:val="0"/>
          <w:noProof/>
          <w:sz w:val="18"/>
        </w:rPr>
        <w:t>258</w:t>
      </w:r>
      <w:r w:rsidRPr="00380510">
        <w:rPr>
          <w:rFonts w:ascii="Times" w:hAnsi="Times" w:cs="Times"/>
          <w:b w:val="0"/>
          <w:noProof/>
          <w:sz w:val="18"/>
        </w:rPr>
        <w:fldChar w:fldCharType="end"/>
      </w:r>
    </w:p>
    <w:p w:rsidR="00380510" w:rsidRDefault="00380510">
      <w:pPr>
        <w:pStyle w:val="TOC5"/>
        <w:rPr>
          <w:rFonts w:ascii="Calibri" w:hAnsi="Calibri"/>
          <w:iCs w:val="0"/>
          <w:noProof/>
          <w:kern w:val="0"/>
          <w:sz w:val="22"/>
          <w:szCs w:val="22"/>
        </w:rPr>
      </w:pPr>
      <w:r>
        <w:rPr>
          <w:noProof/>
        </w:rPr>
        <w:t>820</w:t>
      </w:r>
      <w:r>
        <w:rPr>
          <w:noProof/>
        </w:rPr>
        <w:noBreakHyphen/>
        <w:t>900</w:t>
      </w:r>
      <w:r>
        <w:rPr>
          <w:noProof/>
        </w:rPr>
        <w:tab/>
        <w:t>What this Subdivision is about</w:t>
      </w:r>
      <w:r w:rsidRPr="00380510">
        <w:rPr>
          <w:rFonts w:ascii="Times" w:hAnsi="Times" w:cs="Times"/>
          <w:noProof/>
        </w:rPr>
        <w:tab/>
      </w:r>
      <w:r w:rsidRPr="00380510">
        <w:rPr>
          <w:rFonts w:ascii="Times" w:hAnsi="Times" w:cs="Times"/>
          <w:noProof/>
        </w:rPr>
        <w:fldChar w:fldCharType="begin"/>
      </w:r>
      <w:r w:rsidRPr="00380510">
        <w:rPr>
          <w:rFonts w:ascii="Times" w:hAnsi="Times" w:cs="Times"/>
          <w:noProof/>
        </w:rPr>
        <w:instrText xml:space="preserve"> PAGEREF _Toc338939383 \h </w:instrText>
      </w:r>
      <w:r w:rsidRPr="00380510">
        <w:rPr>
          <w:rFonts w:ascii="Times" w:hAnsi="Times" w:cs="Times"/>
          <w:noProof/>
        </w:rPr>
      </w:r>
      <w:r w:rsidRPr="00380510">
        <w:rPr>
          <w:rFonts w:ascii="Times" w:hAnsi="Times" w:cs="Times"/>
          <w:noProof/>
        </w:rPr>
        <w:fldChar w:fldCharType="separate"/>
      </w:r>
      <w:r w:rsidR="00623A5C">
        <w:rPr>
          <w:rFonts w:ascii="Times" w:hAnsi="Times" w:cs="Times"/>
          <w:noProof/>
        </w:rPr>
        <w:t>258</w:t>
      </w:r>
      <w:r w:rsidRPr="00380510">
        <w:rPr>
          <w:rFonts w:ascii="Times" w:hAnsi="Times" w:cs="Times"/>
          <w:noProof/>
        </w:rPr>
        <w:fldChar w:fldCharType="end"/>
      </w:r>
    </w:p>
    <w:p w:rsidR="00380510" w:rsidRDefault="00380510">
      <w:pPr>
        <w:pStyle w:val="TOC5"/>
        <w:rPr>
          <w:rFonts w:ascii="Calibri" w:hAnsi="Calibri"/>
          <w:iCs w:val="0"/>
          <w:noProof/>
          <w:kern w:val="0"/>
          <w:sz w:val="22"/>
          <w:szCs w:val="22"/>
        </w:rPr>
      </w:pPr>
      <w:r>
        <w:rPr>
          <w:noProof/>
        </w:rPr>
        <w:t>820</w:t>
      </w:r>
      <w:r>
        <w:rPr>
          <w:noProof/>
        </w:rPr>
        <w:noBreakHyphen/>
        <w:t>905</w:t>
      </w:r>
      <w:r>
        <w:rPr>
          <w:noProof/>
        </w:rPr>
        <w:tab/>
        <w:t>Associate entity</w:t>
      </w:r>
      <w:r w:rsidRPr="00380510">
        <w:rPr>
          <w:rFonts w:ascii="Times" w:hAnsi="Times" w:cs="Times"/>
          <w:noProof/>
        </w:rPr>
        <w:tab/>
      </w:r>
      <w:r w:rsidRPr="00380510">
        <w:rPr>
          <w:rFonts w:ascii="Times" w:hAnsi="Times" w:cs="Times"/>
          <w:noProof/>
        </w:rPr>
        <w:fldChar w:fldCharType="begin"/>
      </w:r>
      <w:r w:rsidRPr="00380510">
        <w:rPr>
          <w:rFonts w:ascii="Times" w:hAnsi="Times" w:cs="Times"/>
          <w:noProof/>
        </w:rPr>
        <w:instrText xml:space="preserve"> PAGEREF _Toc338939384 \h </w:instrText>
      </w:r>
      <w:r w:rsidRPr="00380510">
        <w:rPr>
          <w:rFonts w:ascii="Times" w:hAnsi="Times" w:cs="Times"/>
          <w:noProof/>
        </w:rPr>
      </w:r>
      <w:r w:rsidRPr="00380510">
        <w:rPr>
          <w:rFonts w:ascii="Times" w:hAnsi="Times" w:cs="Times"/>
          <w:noProof/>
        </w:rPr>
        <w:fldChar w:fldCharType="separate"/>
      </w:r>
      <w:r w:rsidR="00623A5C">
        <w:rPr>
          <w:rFonts w:ascii="Times" w:hAnsi="Times" w:cs="Times"/>
          <w:noProof/>
        </w:rPr>
        <w:t>258</w:t>
      </w:r>
      <w:r w:rsidRPr="00380510">
        <w:rPr>
          <w:rFonts w:ascii="Times" w:hAnsi="Times" w:cs="Times"/>
          <w:noProof/>
        </w:rPr>
        <w:fldChar w:fldCharType="end"/>
      </w:r>
    </w:p>
    <w:p w:rsidR="00380510" w:rsidRDefault="00380510">
      <w:pPr>
        <w:pStyle w:val="TOC5"/>
        <w:rPr>
          <w:rFonts w:ascii="Calibri" w:hAnsi="Calibri"/>
          <w:iCs w:val="0"/>
          <w:noProof/>
          <w:kern w:val="0"/>
          <w:sz w:val="22"/>
          <w:szCs w:val="22"/>
        </w:rPr>
      </w:pPr>
      <w:r>
        <w:rPr>
          <w:noProof/>
        </w:rPr>
        <w:t>820</w:t>
      </w:r>
      <w:r>
        <w:rPr>
          <w:noProof/>
        </w:rPr>
        <w:noBreakHyphen/>
        <w:t>910</w:t>
      </w:r>
      <w:r>
        <w:rPr>
          <w:noProof/>
        </w:rPr>
        <w:tab/>
        <w:t>Associate entity debt</w:t>
      </w:r>
      <w:r w:rsidRPr="00380510">
        <w:rPr>
          <w:rFonts w:ascii="Times" w:hAnsi="Times" w:cs="Times"/>
          <w:noProof/>
        </w:rPr>
        <w:tab/>
      </w:r>
      <w:r w:rsidRPr="00380510">
        <w:rPr>
          <w:rFonts w:ascii="Times" w:hAnsi="Times" w:cs="Times"/>
          <w:noProof/>
        </w:rPr>
        <w:fldChar w:fldCharType="begin"/>
      </w:r>
      <w:r w:rsidRPr="00380510">
        <w:rPr>
          <w:rFonts w:ascii="Times" w:hAnsi="Times" w:cs="Times"/>
          <w:noProof/>
        </w:rPr>
        <w:instrText xml:space="preserve"> PAGEREF _Toc338939385 \h </w:instrText>
      </w:r>
      <w:r w:rsidRPr="00380510">
        <w:rPr>
          <w:rFonts w:ascii="Times" w:hAnsi="Times" w:cs="Times"/>
          <w:noProof/>
        </w:rPr>
      </w:r>
      <w:r w:rsidRPr="00380510">
        <w:rPr>
          <w:rFonts w:ascii="Times" w:hAnsi="Times" w:cs="Times"/>
          <w:noProof/>
        </w:rPr>
        <w:fldChar w:fldCharType="separate"/>
      </w:r>
      <w:r w:rsidR="00623A5C">
        <w:rPr>
          <w:rFonts w:ascii="Times" w:hAnsi="Times" w:cs="Times"/>
          <w:noProof/>
        </w:rPr>
        <w:t>262</w:t>
      </w:r>
      <w:r w:rsidRPr="00380510">
        <w:rPr>
          <w:rFonts w:ascii="Times" w:hAnsi="Times" w:cs="Times"/>
          <w:noProof/>
        </w:rPr>
        <w:fldChar w:fldCharType="end"/>
      </w:r>
    </w:p>
    <w:p w:rsidR="00380510" w:rsidRDefault="00380510">
      <w:pPr>
        <w:pStyle w:val="TOC5"/>
        <w:rPr>
          <w:rFonts w:ascii="Calibri" w:hAnsi="Calibri"/>
          <w:iCs w:val="0"/>
          <w:noProof/>
          <w:kern w:val="0"/>
          <w:sz w:val="22"/>
          <w:szCs w:val="22"/>
        </w:rPr>
      </w:pPr>
      <w:r>
        <w:rPr>
          <w:noProof/>
        </w:rPr>
        <w:t>820</w:t>
      </w:r>
      <w:r>
        <w:rPr>
          <w:noProof/>
        </w:rPr>
        <w:noBreakHyphen/>
        <w:t>915</w:t>
      </w:r>
      <w:r>
        <w:rPr>
          <w:noProof/>
        </w:rPr>
        <w:tab/>
        <w:t>Associate entity equity</w:t>
      </w:r>
      <w:r w:rsidRPr="00380510">
        <w:rPr>
          <w:rFonts w:ascii="Times" w:hAnsi="Times" w:cs="Times"/>
          <w:noProof/>
        </w:rPr>
        <w:tab/>
      </w:r>
      <w:r w:rsidRPr="00380510">
        <w:rPr>
          <w:rFonts w:ascii="Times" w:hAnsi="Times" w:cs="Times"/>
          <w:noProof/>
        </w:rPr>
        <w:fldChar w:fldCharType="begin"/>
      </w:r>
      <w:r w:rsidRPr="00380510">
        <w:rPr>
          <w:rFonts w:ascii="Times" w:hAnsi="Times" w:cs="Times"/>
          <w:noProof/>
        </w:rPr>
        <w:instrText xml:space="preserve"> PAGEREF _Toc338939386 \h </w:instrText>
      </w:r>
      <w:r w:rsidRPr="00380510">
        <w:rPr>
          <w:rFonts w:ascii="Times" w:hAnsi="Times" w:cs="Times"/>
          <w:noProof/>
        </w:rPr>
      </w:r>
      <w:r w:rsidRPr="00380510">
        <w:rPr>
          <w:rFonts w:ascii="Times" w:hAnsi="Times" w:cs="Times"/>
          <w:noProof/>
        </w:rPr>
        <w:fldChar w:fldCharType="separate"/>
      </w:r>
      <w:r w:rsidR="00623A5C">
        <w:rPr>
          <w:rFonts w:ascii="Times" w:hAnsi="Times" w:cs="Times"/>
          <w:noProof/>
        </w:rPr>
        <w:t>264</w:t>
      </w:r>
      <w:r w:rsidRPr="00380510">
        <w:rPr>
          <w:rFonts w:ascii="Times" w:hAnsi="Times" w:cs="Times"/>
          <w:noProof/>
        </w:rPr>
        <w:fldChar w:fldCharType="end"/>
      </w:r>
    </w:p>
    <w:p w:rsidR="00380510" w:rsidRDefault="00380510">
      <w:pPr>
        <w:pStyle w:val="TOC5"/>
        <w:rPr>
          <w:rFonts w:ascii="Calibri" w:hAnsi="Calibri"/>
          <w:iCs w:val="0"/>
          <w:noProof/>
          <w:kern w:val="0"/>
          <w:sz w:val="22"/>
          <w:szCs w:val="22"/>
        </w:rPr>
      </w:pPr>
      <w:r>
        <w:rPr>
          <w:noProof/>
        </w:rPr>
        <w:t>820</w:t>
      </w:r>
      <w:r>
        <w:rPr>
          <w:noProof/>
        </w:rPr>
        <w:noBreakHyphen/>
        <w:t>920</w:t>
      </w:r>
      <w:r>
        <w:rPr>
          <w:noProof/>
        </w:rPr>
        <w:tab/>
        <w:t>Associate entity excess amount</w:t>
      </w:r>
      <w:r w:rsidRPr="00380510">
        <w:rPr>
          <w:rFonts w:ascii="Times" w:hAnsi="Times" w:cs="Times"/>
          <w:noProof/>
        </w:rPr>
        <w:tab/>
      </w:r>
      <w:r w:rsidRPr="00380510">
        <w:rPr>
          <w:rFonts w:ascii="Times" w:hAnsi="Times" w:cs="Times"/>
          <w:noProof/>
        </w:rPr>
        <w:fldChar w:fldCharType="begin"/>
      </w:r>
      <w:r w:rsidRPr="00380510">
        <w:rPr>
          <w:rFonts w:ascii="Times" w:hAnsi="Times" w:cs="Times"/>
          <w:noProof/>
        </w:rPr>
        <w:instrText xml:space="preserve"> PAGEREF _Toc338939387 \h </w:instrText>
      </w:r>
      <w:r w:rsidRPr="00380510">
        <w:rPr>
          <w:rFonts w:ascii="Times" w:hAnsi="Times" w:cs="Times"/>
          <w:noProof/>
        </w:rPr>
      </w:r>
      <w:r w:rsidRPr="00380510">
        <w:rPr>
          <w:rFonts w:ascii="Times" w:hAnsi="Times" w:cs="Times"/>
          <w:noProof/>
        </w:rPr>
        <w:fldChar w:fldCharType="separate"/>
      </w:r>
      <w:r w:rsidR="00623A5C">
        <w:rPr>
          <w:rFonts w:ascii="Times" w:hAnsi="Times" w:cs="Times"/>
          <w:noProof/>
        </w:rPr>
        <w:t>265</w:t>
      </w:r>
      <w:r w:rsidRPr="00380510">
        <w:rPr>
          <w:rFonts w:ascii="Times" w:hAnsi="Times" w:cs="Times"/>
          <w:noProof/>
        </w:rPr>
        <w:fldChar w:fldCharType="end"/>
      </w:r>
    </w:p>
    <w:p w:rsidR="00380510" w:rsidRDefault="00380510">
      <w:pPr>
        <w:pStyle w:val="TOC4"/>
        <w:rPr>
          <w:rFonts w:ascii="Calibri" w:hAnsi="Calibri"/>
          <w:b w:val="0"/>
          <w:noProof/>
          <w:kern w:val="0"/>
          <w:sz w:val="22"/>
          <w:szCs w:val="22"/>
        </w:rPr>
      </w:pPr>
      <w:r>
        <w:rPr>
          <w:noProof/>
        </w:rPr>
        <w:t>Subdivision 820</w:t>
      </w:r>
      <w:r>
        <w:rPr>
          <w:noProof/>
        </w:rPr>
        <w:noBreakHyphen/>
        <w:t>J—Equity interest in a trust or partnership</w:t>
      </w:r>
      <w:r w:rsidRPr="00380510">
        <w:rPr>
          <w:rFonts w:ascii="Times" w:hAnsi="Times" w:cs="Times"/>
          <w:b w:val="0"/>
          <w:noProof/>
          <w:sz w:val="18"/>
        </w:rPr>
        <w:tab/>
      </w:r>
      <w:r w:rsidRPr="00380510">
        <w:rPr>
          <w:rFonts w:ascii="Times" w:hAnsi="Times" w:cs="Times"/>
          <w:b w:val="0"/>
          <w:noProof/>
          <w:sz w:val="18"/>
        </w:rPr>
        <w:fldChar w:fldCharType="begin"/>
      </w:r>
      <w:r w:rsidRPr="00380510">
        <w:rPr>
          <w:rFonts w:ascii="Times" w:hAnsi="Times" w:cs="Times"/>
          <w:b w:val="0"/>
          <w:noProof/>
          <w:sz w:val="18"/>
        </w:rPr>
        <w:instrText xml:space="preserve"> PAGEREF _Toc338939388 \h </w:instrText>
      </w:r>
      <w:r w:rsidRPr="00380510">
        <w:rPr>
          <w:rFonts w:ascii="Times" w:hAnsi="Times" w:cs="Times"/>
          <w:b w:val="0"/>
          <w:noProof/>
          <w:sz w:val="18"/>
        </w:rPr>
      </w:r>
      <w:r w:rsidRPr="00380510">
        <w:rPr>
          <w:rFonts w:ascii="Times" w:hAnsi="Times" w:cs="Times"/>
          <w:b w:val="0"/>
          <w:noProof/>
          <w:sz w:val="18"/>
        </w:rPr>
        <w:fldChar w:fldCharType="separate"/>
      </w:r>
      <w:r w:rsidR="00623A5C">
        <w:rPr>
          <w:rFonts w:ascii="Times" w:hAnsi="Times" w:cs="Times"/>
          <w:b w:val="0"/>
          <w:noProof/>
          <w:sz w:val="18"/>
        </w:rPr>
        <w:t>270</w:t>
      </w:r>
      <w:r w:rsidRPr="00380510">
        <w:rPr>
          <w:rFonts w:ascii="Times" w:hAnsi="Times" w:cs="Times"/>
          <w:b w:val="0"/>
          <w:noProof/>
          <w:sz w:val="18"/>
        </w:rPr>
        <w:fldChar w:fldCharType="end"/>
      </w:r>
    </w:p>
    <w:p w:rsidR="00380510" w:rsidRDefault="00380510">
      <w:pPr>
        <w:pStyle w:val="TOC4"/>
        <w:rPr>
          <w:rFonts w:ascii="Calibri" w:hAnsi="Calibri"/>
          <w:b w:val="0"/>
          <w:noProof/>
          <w:kern w:val="0"/>
          <w:sz w:val="22"/>
          <w:szCs w:val="22"/>
        </w:rPr>
      </w:pPr>
      <w:r>
        <w:rPr>
          <w:noProof/>
        </w:rPr>
        <w:t>Guide to Subdivision 820</w:t>
      </w:r>
      <w:r>
        <w:rPr>
          <w:noProof/>
        </w:rPr>
        <w:noBreakHyphen/>
        <w:t>J</w:t>
      </w:r>
      <w:r w:rsidRPr="00380510">
        <w:rPr>
          <w:rFonts w:ascii="Times" w:hAnsi="Times" w:cs="Times"/>
          <w:b w:val="0"/>
          <w:noProof/>
          <w:sz w:val="18"/>
        </w:rPr>
        <w:tab/>
      </w:r>
      <w:r w:rsidRPr="00380510">
        <w:rPr>
          <w:rFonts w:ascii="Times" w:hAnsi="Times" w:cs="Times"/>
          <w:b w:val="0"/>
          <w:noProof/>
          <w:sz w:val="18"/>
        </w:rPr>
        <w:fldChar w:fldCharType="begin"/>
      </w:r>
      <w:r w:rsidRPr="00380510">
        <w:rPr>
          <w:rFonts w:ascii="Times" w:hAnsi="Times" w:cs="Times"/>
          <w:b w:val="0"/>
          <w:noProof/>
          <w:sz w:val="18"/>
        </w:rPr>
        <w:instrText xml:space="preserve"> PAGEREF _Toc338939389 \h </w:instrText>
      </w:r>
      <w:r w:rsidRPr="00380510">
        <w:rPr>
          <w:rFonts w:ascii="Times" w:hAnsi="Times" w:cs="Times"/>
          <w:b w:val="0"/>
          <w:noProof/>
          <w:sz w:val="18"/>
        </w:rPr>
      </w:r>
      <w:r w:rsidRPr="00380510">
        <w:rPr>
          <w:rFonts w:ascii="Times" w:hAnsi="Times" w:cs="Times"/>
          <w:b w:val="0"/>
          <w:noProof/>
          <w:sz w:val="18"/>
        </w:rPr>
        <w:fldChar w:fldCharType="separate"/>
      </w:r>
      <w:r w:rsidR="00623A5C">
        <w:rPr>
          <w:rFonts w:ascii="Times" w:hAnsi="Times" w:cs="Times"/>
          <w:b w:val="0"/>
          <w:noProof/>
          <w:sz w:val="18"/>
        </w:rPr>
        <w:t>270</w:t>
      </w:r>
      <w:r w:rsidRPr="00380510">
        <w:rPr>
          <w:rFonts w:ascii="Times" w:hAnsi="Times" w:cs="Times"/>
          <w:b w:val="0"/>
          <w:noProof/>
          <w:sz w:val="18"/>
        </w:rPr>
        <w:fldChar w:fldCharType="end"/>
      </w:r>
    </w:p>
    <w:p w:rsidR="00380510" w:rsidRDefault="00380510">
      <w:pPr>
        <w:pStyle w:val="TOC5"/>
        <w:rPr>
          <w:rFonts w:ascii="Calibri" w:hAnsi="Calibri"/>
          <w:iCs w:val="0"/>
          <w:noProof/>
          <w:kern w:val="0"/>
          <w:sz w:val="22"/>
          <w:szCs w:val="22"/>
        </w:rPr>
      </w:pPr>
      <w:r>
        <w:rPr>
          <w:noProof/>
        </w:rPr>
        <w:t>820</w:t>
      </w:r>
      <w:r>
        <w:rPr>
          <w:noProof/>
        </w:rPr>
        <w:noBreakHyphen/>
        <w:t>925</w:t>
      </w:r>
      <w:r>
        <w:rPr>
          <w:noProof/>
        </w:rPr>
        <w:tab/>
        <w:t>What this Subdivision is about</w:t>
      </w:r>
      <w:r w:rsidRPr="00380510">
        <w:rPr>
          <w:rFonts w:ascii="Times" w:hAnsi="Times" w:cs="Times"/>
          <w:noProof/>
        </w:rPr>
        <w:tab/>
      </w:r>
      <w:r w:rsidRPr="00380510">
        <w:rPr>
          <w:rFonts w:ascii="Times" w:hAnsi="Times" w:cs="Times"/>
          <w:noProof/>
        </w:rPr>
        <w:fldChar w:fldCharType="begin"/>
      </w:r>
      <w:r w:rsidRPr="00380510">
        <w:rPr>
          <w:rFonts w:ascii="Times" w:hAnsi="Times" w:cs="Times"/>
          <w:noProof/>
        </w:rPr>
        <w:instrText xml:space="preserve"> PAGEREF _Toc338939390 \h </w:instrText>
      </w:r>
      <w:r w:rsidRPr="00380510">
        <w:rPr>
          <w:rFonts w:ascii="Times" w:hAnsi="Times" w:cs="Times"/>
          <w:noProof/>
        </w:rPr>
      </w:r>
      <w:r w:rsidRPr="00380510">
        <w:rPr>
          <w:rFonts w:ascii="Times" w:hAnsi="Times" w:cs="Times"/>
          <w:noProof/>
        </w:rPr>
        <w:fldChar w:fldCharType="separate"/>
      </w:r>
      <w:r w:rsidR="00623A5C">
        <w:rPr>
          <w:rFonts w:ascii="Times" w:hAnsi="Times" w:cs="Times"/>
          <w:noProof/>
        </w:rPr>
        <w:t>270</w:t>
      </w:r>
      <w:r w:rsidRPr="00380510">
        <w:rPr>
          <w:rFonts w:ascii="Times" w:hAnsi="Times" w:cs="Times"/>
          <w:noProof/>
        </w:rPr>
        <w:fldChar w:fldCharType="end"/>
      </w:r>
    </w:p>
    <w:p w:rsidR="00380510" w:rsidRDefault="00380510">
      <w:pPr>
        <w:pStyle w:val="TOC5"/>
        <w:rPr>
          <w:rFonts w:ascii="Calibri" w:hAnsi="Calibri"/>
          <w:iCs w:val="0"/>
          <w:noProof/>
          <w:kern w:val="0"/>
          <w:sz w:val="22"/>
          <w:szCs w:val="22"/>
        </w:rPr>
      </w:pPr>
      <w:r>
        <w:rPr>
          <w:noProof/>
        </w:rPr>
        <w:t>820</w:t>
      </w:r>
      <w:r>
        <w:rPr>
          <w:noProof/>
        </w:rPr>
        <w:noBreakHyphen/>
        <w:t>930</w:t>
      </w:r>
      <w:r>
        <w:rPr>
          <w:noProof/>
        </w:rPr>
        <w:tab/>
      </w:r>
      <w:r w:rsidRPr="008A0EAA">
        <w:rPr>
          <w:i/>
          <w:noProof/>
        </w:rPr>
        <w:t>Equity interest</w:t>
      </w:r>
      <w:r>
        <w:rPr>
          <w:noProof/>
        </w:rPr>
        <w:t xml:space="preserve"> in a trust or partnership</w:t>
      </w:r>
      <w:r w:rsidRPr="00380510">
        <w:rPr>
          <w:rFonts w:ascii="Times" w:hAnsi="Times" w:cs="Times"/>
          <w:noProof/>
        </w:rPr>
        <w:tab/>
      </w:r>
      <w:r w:rsidRPr="00380510">
        <w:rPr>
          <w:rFonts w:ascii="Times" w:hAnsi="Times" w:cs="Times"/>
          <w:noProof/>
        </w:rPr>
        <w:fldChar w:fldCharType="begin"/>
      </w:r>
      <w:r w:rsidRPr="00380510">
        <w:rPr>
          <w:rFonts w:ascii="Times" w:hAnsi="Times" w:cs="Times"/>
          <w:noProof/>
        </w:rPr>
        <w:instrText xml:space="preserve"> PAGEREF _Toc338939391 \h </w:instrText>
      </w:r>
      <w:r w:rsidRPr="00380510">
        <w:rPr>
          <w:rFonts w:ascii="Times" w:hAnsi="Times" w:cs="Times"/>
          <w:noProof/>
        </w:rPr>
      </w:r>
      <w:r w:rsidRPr="00380510">
        <w:rPr>
          <w:rFonts w:ascii="Times" w:hAnsi="Times" w:cs="Times"/>
          <w:noProof/>
        </w:rPr>
        <w:fldChar w:fldCharType="separate"/>
      </w:r>
      <w:r w:rsidR="00623A5C">
        <w:rPr>
          <w:rFonts w:ascii="Times" w:hAnsi="Times" w:cs="Times"/>
          <w:noProof/>
        </w:rPr>
        <w:t>270</w:t>
      </w:r>
      <w:r w:rsidRPr="00380510">
        <w:rPr>
          <w:rFonts w:ascii="Times" w:hAnsi="Times" w:cs="Times"/>
          <w:noProof/>
        </w:rPr>
        <w:fldChar w:fldCharType="end"/>
      </w:r>
    </w:p>
    <w:p w:rsidR="00380510" w:rsidRDefault="00380510">
      <w:pPr>
        <w:pStyle w:val="TOC4"/>
        <w:rPr>
          <w:rFonts w:ascii="Calibri" w:hAnsi="Calibri"/>
          <w:b w:val="0"/>
          <w:noProof/>
          <w:kern w:val="0"/>
          <w:sz w:val="22"/>
          <w:szCs w:val="22"/>
        </w:rPr>
      </w:pPr>
      <w:r>
        <w:rPr>
          <w:noProof/>
        </w:rPr>
        <w:t>Subdivision 820</w:t>
      </w:r>
      <w:r>
        <w:rPr>
          <w:noProof/>
        </w:rPr>
        <w:noBreakHyphen/>
        <w:t>K—Zero</w:t>
      </w:r>
      <w:r>
        <w:rPr>
          <w:noProof/>
        </w:rPr>
        <w:noBreakHyphen/>
        <w:t>capital amount</w:t>
      </w:r>
      <w:r w:rsidRPr="00380510">
        <w:rPr>
          <w:rFonts w:ascii="Times" w:hAnsi="Times" w:cs="Times"/>
          <w:b w:val="0"/>
          <w:noProof/>
          <w:sz w:val="18"/>
        </w:rPr>
        <w:tab/>
      </w:r>
      <w:r w:rsidRPr="00380510">
        <w:rPr>
          <w:rFonts w:ascii="Times" w:hAnsi="Times" w:cs="Times"/>
          <w:b w:val="0"/>
          <w:noProof/>
          <w:sz w:val="18"/>
        </w:rPr>
        <w:fldChar w:fldCharType="begin"/>
      </w:r>
      <w:r w:rsidRPr="00380510">
        <w:rPr>
          <w:rFonts w:ascii="Times" w:hAnsi="Times" w:cs="Times"/>
          <w:b w:val="0"/>
          <w:noProof/>
          <w:sz w:val="18"/>
        </w:rPr>
        <w:instrText xml:space="preserve"> PAGEREF _Toc338939392 \h </w:instrText>
      </w:r>
      <w:r w:rsidRPr="00380510">
        <w:rPr>
          <w:rFonts w:ascii="Times" w:hAnsi="Times" w:cs="Times"/>
          <w:b w:val="0"/>
          <w:noProof/>
          <w:sz w:val="18"/>
        </w:rPr>
      </w:r>
      <w:r w:rsidRPr="00380510">
        <w:rPr>
          <w:rFonts w:ascii="Times" w:hAnsi="Times" w:cs="Times"/>
          <w:b w:val="0"/>
          <w:noProof/>
          <w:sz w:val="18"/>
        </w:rPr>
        <w:fldChar w:fldCharType="separate"/>
      </w:r>
      <w:r w:rsidR="00623A5C">
        <w:rPr>
          <w:rFonts w:ascii="Times" w:hAnsi="Times" w:cs="Times"/>
          <w:b w:val="0"/>
          <w:noProof/>
          <w:sz w:val="18"/>
        </w:rPr>
        <w:t>273</w:t>
      </w:r>
      <w:r w:rsidRPr="00380510">
        <w:rPr>
          <w:rFonts w:ascii="Times" w:hAnsi="Times" w:cs="Times"/>
          <w:b w:val="0"/>
          <w:noProof/>
          <w:sz w:val="18"/>
        </w:rPr>
        <w:fldChar w:fldCharType="end"/>
      </w:r>
    </w:p>
    <w:p w:rsidR="00380510" w:rsidRDefault="00380510">
      <w:pPr>
        <w:pStyle w:val="TOC4"/>
        <w:rPr>
          <w:rFonts w:ascii="Calibri" w:hAnsi="Calibri"/>
          <w:b w:val="0"/>
          <w:noProof/>
          <w:kern w:val="0"/>
          <w:sz w:val="22"/>
          <w:szCs w:val="22"/>
        </w:rPr>
      </w:pPr>
      <w:r>
        <w:rPr>
          <w:noProof/>
        </w:rPr>
        <w:t>Guide to Subdivision 820</w:t>
      </w:r>
      <w:r>
        <w:rPr>
          <w:noProof/>
        </w:rPr>
        <w:noBreakHyphen/>
        <w:t>K</w:t>
      </w:r>
      <w:r w:rsidRPr="00380510">
        <w:rPr>
          <w:rFonts w:ascii="Times" w:hAnsi="Times" w:cs="Times"/>
          <w:b w:val="0"/>
          <w:noProof/>
          <w:sz w:val="18"/>
        </w:rPr>
        <w:tab/>
      </w:r>
      <w:r w:rsidRPr="00380510">
        <w:rPr>
          <w:rFonts w:ascii="Times" w:hAnsi="Times" w:cs="Times"/>
          <w:b w:val="0"/>
          <w:noProof/>
          <w:sz w:val="18"/>
        </w:rPr>
        <w:fldChar w:fldCharType="begin"/>
      </w:r>
      <w:r w:rsidRPr="00380510">
        <w:rPr>
          <w:rFonts w:ascii="Times" w:hAnsi="Times" w:cs="Times"/>
          <w:b w:val="0"/>
          <w:noProof/>
          <w:sz w:val="18"/>
        </w:rPr>
        <w:instrText xml:space="preserve"> PAGEREF _Toc338939393 \h </w:instrText>
      </w:r>
      <w:r w:rsidRPr="00380510">
        <w:rPr>
          <w:rFonts w:ascii="Times" w:hAnsi="Times" w:cs="Times"/>
          <w:b w:val="0"/>
          <w:noProof/>
          <w:sz w:val="18"/>
        </w:rPr>
      </w:r>
      <w:r w:rsidRPr="00380510">
        <w:rPr>
          <w:rFonts w:ascii="Times" w:hAnsi="Times" w:cs="Times"/>
          <w:b w:val="0"/>
          <w:noProof/>
          <w:sz w:val="18"/>
        </w:rPr>
        <w:fldChar w:fldCharType="separate"/>
      </w:r>
      <w:r w:rsidR="00623A5C">
        <w:rPr>
          <w:rFonts w:ascii="Times" w:hAnsi="Times" w:cs="Times"/>
          <w:b w:val="0"/>
          <w:noProof/>
          <w:sz w:val="18"/>
        </w:rPr>
        <w:t>273</w:t>
      </w:r>
      <w:r w:rsidRPr="00380510">
        <w:rPr>
          <w:rFonts w:ascii="Times" w:hAnsi="Times" w:cs="Times"/>
          <w:b w:val="0"/>
          <w:noProof/>
          <w:sz w:val="18"/>
        </w:rPr>
        <w:fldChar w:fldCharType="end"/>
      </w:r>
    </w:p>
    <w:p w:rsidR="00380510" w:rsidRDefault="00380510">
      <w:pPr>
        <w:pStyle w:val="TOC5"/>
        <w:rPr>
          <w:rFonts w:ascii="Calibri" w:hAnsi="Calibri"/>
          <w:iCs w:val="0"/>
          <w:noProof/>
          <w:kern w:val="0"/>
          <w:sz w:val="22"/>
          <w:szCs w:val="22"/>
        </w:rPr>
      </w:pPr>
      <w:r>
        <w:rPr>
          <w:noProof/>
        </w:rPr>
        <w:t>820</w:t>
      </w:r>
      <w:r>
        <w:rPr>
          <w:noProof/>
        </w:rPr>
        <w:noBreakHyphen/>
        <w:t>940</w:t>
      </w:r>
      <w:r>
        <w:rPr>
          <w:noProof/>
        </w:rPr>
        <w:tab/>
        <w:t>What this Subdivision is about</w:t>
      </w:r>
      <w:r w:rsidRPr="00380510">
        <w:rPr>
          <w:rFonts w:ascii="Times" w:hAnsi="Times" w:cs="Times"/>
          <w:noProof/>
        </w:rPr>
        <w:tab/>
      </w:r>
      <w:r w:rsidRPr="00380510">
        <w:rPr>
          <w:rFonts w:ascii="Times" w:hAnsi="Times" w:cs="Times"/>
          <w:noProof/>
        </w:rPr>
        <w:fldChar w:fldCharType="begin"/>
      </w:r>
      <w:r w:rsidRPr="00380510">
        <w:rPr>
          <w:rFonts w:ascii="Times" w:hAnsi="Times" w:cs="Times"/>
          <w:noProof/>
        </w:rPr>
        <w:instrText xml:space="preserve"> PAGEREF _Toc338939394 \h </w:instrText>
      </w:r>
      <w:r w:rsidRPr="00380510">
        <w:rPr>
          <w:rFonts w:ascii="Times" w:hAnsi="Times" w:cs="Times"/>
          <w:noProof/>
        </w:rPr>
      </w:r>
      <w:r w:rsidRPr="00380510">
        <w:rPr>
          <w:rFonts w:ascii="Times" w:hAnsi="Times" w:cs="Times"/>
          <w:noProof/>
        </w:rPr>
        <w:fldChar w:fldCharType="separate"/>
      </w:r>
      <w:r w:rsidR="00623A5C">
        <w:rPr>
          <w:rFonts w:ascii="Times" w:hAnsi="Times" w:cs="Times"/>
          <w:noProof/>
        </w:rPr>
        <w:t>273</w:t>
      </w:r>
      <w:r w:rsidRPr="00380510">
        <w:rPr>
          <w:rFonts w:ascii="Times" w:hAnsi="Times" w:cs="Times"/>
          <w:noProof/>
        </w:rPr>
        <w:fldChar w:fldCharType="end"/>
      </w:r>
    </w:p>
    <w:p w:rsidR="00380510" w:rsidRDefault="00380510">
      <w:pPr>
        <w:pStyle w:val="TOC5"/>
        <w:rPr>
          <w:rFonts w:ascii="Calibri" w:hAnsi="Calibri"/>
          <w:iCs w:val="0"/>
          <w:noProof/>
          <w:kern w:val="0"/>
          <w:sz w:val="22"/>
          <w:szCs w:val="22"/>
        </w:rPr>
      </w:pPr>
      <w:r>
        <w:rPr>
          <w:noProof/>
        </w:rPr>
        <w:t>820</w:t>
      </w:r>
      <w:r>
        <w:rPr>
          <w:noProof/>
        </w:rPr>
        <w:noBreakHyphen/>
        <w:t>942</w:t>
      </w:r>
      <w:r>
        <w:rPr>
          <w:noProof/>
        </w:rPr>
        <w:tab/>
        <w:t>How to work out the zero</w:t>
      </w:r>
      <w:r>
        <w:rPr>
          <w:noProof/>
        </w:rPr>
        <w:noBreakHyphen/>
        <w:t>capital amount</w:t>
      </w:r>
      <w:r w:rsidRPr="00380510">
        <w:rPr>
          <w:rFonts w:ascii="Times" w:hAnsi="Times" w:cs="Times"/>
          <w:noProof/>
        </w:rPr>
        <w:tab/>
      </w:r>
      <w:r w:rsidRPr="00380510">
        <w:rPr>
          <w:rFonts w:ascii="Times" w:hAnsi="Times" w:cs="Times"/>
          <w:noProof/>
        </w:rPr>
        <w:fldChar w:fldCharType="begin"/>
      </w:r>
      <w:r w:rsidRPr="00380510">
        <w:rPr>
          <w:rFonts w:ascii="Times" w:hAnsi="Times" w:cs="Times"/>
          <w:noProof/>
        </w:rPr>
        <w:instrText xml:space="preserve"> PAGEREF _Toc338939395 \h </w:instrText>
      </w:r>
      <w:r w:rsidRPr="00380510">
        <w:rPr>
          <w:rFonts w:ascii="Times" w:hAnsi="Times" w:cs="Times"/>
          <w:noProof/>
        </w:rPr>
      </w:r>
      <w:r w:rsidRPr="00380510">
        <w:rPr>
          <w:rFonts w:ascii="Times" w:hAnsi="Times" w:cs="Times"/>
          <w:noProof/>
        </w:rPr>
        <w:fldChar w:fldCharType="separate"/>
      </w:r>
      <w:r w:rsidR="00623A5C">
        <w:rPr>
          <w:rFonts w:ascii="Times" w:hAnsi="Times" w:cs="Times"/>
          <w:noProof/>
        </w:rPr>
        <w:t>274</w:t>
      </w:r>
      <w:r w:rsidRPr="00380510">
        <w:rPr>
          <w:rFonts w:ascii="Times" w:hAnsi="Times" w:cs="Times"/>
          <w:noProof/>
        </w:rPr>
        <w:fldChar w:fldCharType="end"/>
      </w:r>
    </w:p>
    <w:p w:rsidR="00380510" w:rsidRDefault="00380510" w:rsidP="00A34385">
      <w:pPr>
        <w:pStyle w:val="TOC4"/>
        <w:keepNext/>
        <w:rPr>
          <w:rFonts w:ascii="Calibri" w:hAnsi="Calibri"/>
          <w:b w:val="0"/>
          <w:noProof/>
          <w:kern w:val="0"/>
          <w:sz w:val="22"/>
          <w:szCs w:val="22"/>
        </w:rPr>
      </w:pPr>
      <w:r>
        <w:rPr>
          <w:noProof/>
        </w:rPr>
        <w:lastRenderedPageBreak/>
        <w:t>Subdivision 820</w:t>
      </w:r>
      <w:r>
        <w:rPr>
          <w:noProof/>
        </w:rPr>
        <w:noBreakHyphen/>
        <w:t>KA—Cost</w:t>
      </w:r>
      <w:r>
        <w:rPr>
          <w:noProof/>
        </w:rPr>
        <w:noBreakHyphen/>
        <w:t>free debt capital and excluded equity interests</w:t>
      </w:r>
      <w:r w:rsidRPr="00380510">
        <w:rPr>
          <w:rFonts w:ascii="Times" w:hAnsi="Times" w:cs="Times"/>
          <w:b w:val="0"/>
          <w:noProof/>
          <w:sz w:val="18"/>
        </w:rPr>
        <w:tab/>
      </w:r>
      <w:r w:rsidRPr="00380510">
        <w:rPr>
          <w:rFonts w:ascii="Times" w:hAnsi="Times" w:cs="Times"/>
          <w:b w:val="0"/>
          <w:noProof/>
          <w:sz w:val="18"/>
        </w:rPr>
        <w:fldChar w:fldCharType="begin"/>
      </w:r>
      <w:r w:rsidRPr="00380510">
        <w:rPr>
          <w:rFonts w:ascii="Times" w:hAnsi="Times" w:cs="Times"/>
          <w:b w:val="0"/>
          <w:noProof/>
          <w:sz w:val="18"/>
        </w:rPr>
        <w:instrText xml:space="preserve"> PAGEREF _Toc338939396 \h </w:instrText>
      </w:r>
      <w:r w:rsidRPr="00380510">
        <w:rPr>
          <w:rFonts w:ascii="Times" w:hAnsi="Times" w:cs="Times"/>
          <w:b w:val="0"/>
          <w:noProof/>
          <w:sz w:val="18"/>
        </w:rPr>
      </w:r>
      <w:r w:rsidRPr="00380510">
        <w:rPr>
          <w:rFonts w:ascii="Times" w:hAnsi="Times" w:cs="Times"/>
          <w:b w:val="0"/>
          <w:noProof/>
          <w:sz w:val="18"/>
        </w:rPr>
        <w:fldChar w:fldCharType="separate"/>
      </w:r>
      <w:r w:rsidR="00623A5C">
        <w:rPr>
          <w:rFonts w:ascii="Times" w:hAnsi="Times" w:cs="Times"/>
          <w:b w:val="0"/>
          <w:noProof/>
          <w:sz w:val="18"/>
        </w:rPr>
        <w:t>278</w:t>
      </w:r>
      <w:r w:rsidRPr="00380510">
        <w:rPr>
          <w:rFonts w:ascii="Times" w:hAnsi="Times" w:cs="Times"/>
          <w:b w:val="0"/>
          <w:noProof/>
          <w:sz w:val="18"/>
        </w:rPr>
        <w:fldChar w:fldCharType="end"/>
      </w:r>
    </w:p>
    <w:p w:rsidR="00380510" w:rsidRDefault="00380510">
      <w:pPr>
        <w:pStyle w:val="TOC4"/>
        <w:rPr>
          <w:rFonts w:ascii="Calibri" w:hAnsi="Calibri"/>
          <w:b w:val="0"/>
          <w:noProof/>
          <w:kern w:val="0"/>
          <w:sz w:val="22"/>
          <w:szCs w:val="22"/>
        </w:rPr>
      </w:pPr>
      <w:r>
        <w:rPr>
          <w:noProof/>
        </w:rPr>
        <w:t>Guide to Subdivision 820</w:t>
      </w:r>
      <w:r>
        <w:rPr>
          <w:noProof/>
        </w:rPr>
        <w:noBreakHyphen/>
        <w:t>KA</w:t>
      </w:r>
      <w:r w:rsidRPr="00380510">
        <w:rPr>
          <w:rFonts w:ascii="Times" w:hAnsi="Times" w:cs="Times"/>
          <w:b w:val="0"/>
          <w:noProof/>
          <w:sz w:val="18"/>
        </w:rPr>
        <w:tab/>
      </w:r>
      <w:r w:rsidRPr="00380510">
        <w:rPr>
          <w:rFonts w:ascii="Times" w:hAnsi="Times" w:cs="Times"/>
          <w:b w:val="0"/>
          <w:noProof/>
          <w:sz w:val="18"/>
        </w:rPr>
        <w:fldChar w:fldCharType="begin"/>
      </w:r>
      <w:r w:rsidRPr="00380510">
        <w:rPr>
          <w:rFonts w:ascii="Times" w:hAnsi="Times" w:cs="Times"/>
          <w:b w:val="0"/>
          <w:noProof/>
          <w:sz w:val="18"/>
        </w:rPr>
        <w:instrText xml:space="preserve"> PAGEREF _Toc338939397 \h </w:instrText>
      </w:r>
      <w:r w:rsidRPr="00380510">
        <w:rPr>
          <w:rFonts w:ascii="Times" w:hAnsi="Times" w:cs="Times"/>
          <w:b w:val="0"/>
          <w:noProof/>
          <w:sz w:val="18"/>
        </w:rPr>
      </w:r>
      <w:r w:rsidRPr="00380510">
        <w:rPr>
          <w:rFonts w:ascii="Times" w:hAnsi="Times" w:cs="Times"/>
          <w:b w:val="0"/>
          <w:noProof/>
          <w:sz w:val="18"/>
        </w:rPr>
        <w:fldChar w:fldCharType="separate"/>
      </w:r>
      <w:r w:rsidR="00623A5C">
        <w:rPr>
          <w:rFonts w:ascii="Times" w:hAnsi="Times" w:cs="Times"/>
          <w:b w:val="0"/>
          <w:noProof/>
          <w:sz w:val="18"/>
        </w:rPr>
        <w:t>278</w:t>
      </w:r>
      <w:r w:rsidRPr="00380510">
        <w:rPr>
          <w:rFonts w:ascii="Times" w:hAnsi="Times" w:cs="Times"/>
          <w:b w:val="0"/>
          <w:noProof/>
          <w:sz w:val="18"/>
        </w:rPr>
        <w:fldChar w:fldCharType="end"/>
      </w:r>
    </w:p>
    <w:p w:rsidR="00380510" w:rsidRDefault="00380510">
      <w:pPr>
        <w:pStyle w:val="TOC5"/>
        <w:rPr>
          <w:rFonts w:ascii="Calibri" w:hAnsi="Calibri"/>
          <w:iCs w:val="0"/>
          <w:noProof/>
          <w:kern w:val="0"/>
          <w:sz w:val="22"/>
          <w:szCs w:val="22"/>
        </w:rPr>
      </w:pPr>
      <w:r>
        <w:rPr>
          <w:noProof/>
        </w:rPr>
        <w:t>820</w:t>
      </w:r>
      <w:r>
        <w:rPr>
          <w:noProof/>
        </w:rPr>
        <w:noBreakHyphen/>
        <w:t>945</w:t>
      </w:r>
      <w:r>
        <w:rPr>
          <w:noProof/>
        </w:rPr>
        <w:tab/>
        <w:t>What this Subdivision is about</w:t>
      </w:r>
      <w:r w:rsidRPr="00380510">
        <w:rPr>
          <w:rFonts w:ascii="Times" w:hAnsi="Times" w:cs="Times"/>
          <w:noProof/>
        </w:rPr>
        <w:tab/>
      </w:r>
      <w:r w:rsidRPr="00380510">
        <w:rPr>
          <w:rFonts w:ascii="Times" w:hAnsi="Times" w:cs="Times"/>
          <w:noProof/>
        </w:rPr>
        <w:fldChar w:fldCharType="begin"/>
      </w:r>
      <w:r w:rsidRPr="00380510">
        <w:rPr>
          <w:rFonts w:ascii="Times" w:hAnsi="Times" w:cs="Times"/>
          <w:noProof/>
        </w:rPr>
        <w:instrText xml:space="preserve"> PAGEREF _Toc338939398 \h </w:instrText>
      </w:r>
      <w:r w:rsidRPr="00380510">
        <w:rPr>
          <w:rFonts w:ascii="Times" w:hAnsi="Times" w:cs="Times"/>
          <w:noProof/>
        </w:rPr>
      </w:r>
      <w:r w:rsidRPr="00380510">
        <w:rPr>
          <w:rFonts w:ascii="Times" w:hAnsi="Times" w:cs="Times"/>
          <w:noProof/>
        </w:rPr>
        <w:fldChar w:fldCharType="separate"/>
      </w:r>
      <w:r w:rsidR="00623A5C">
        <w:rPr>
          <w:rFonts w:ascii="Times" w:hAnsi="Times" w:cs="Times"/>
          <w:noProof/>
        </w:rPr>
        <w:t>278</w:t>
      </w:r>
      <w:r w:rsidRPr="00380510">
        <w:rPr>
          <w:rFonts w:ascii="Times" w:hAnsi="Times" w:cs="Times"/>
          <w:noProof/>
        </w:rPr>
        <w:fldChar w:fldCharType="end"/>
      </w:r>
    </w:p>
    <w:p w:rsidR="00380510" w:rsidRDefault="00380510">
      <w:pPr>
        <w:pStyle w:val="TOC5"/>
        <w:rPr>
          <w:rFonts w:ascii="Calibri" w:hAnsi="Calibri"/>
          <w:iCs w:val="0"/>
          <w:noProof/>
          <w:kern w:val="0"/>
          <w:sz w:val="22"/>
          <w:szCs w:val="22"/>
        </w:rPr>
      </w:pPr>
      <w:r>
        <w:rPr>
          <w:noProof/>
        </w:rPr>
        <w:t>820</w:t>
      </w:r>
      <w:r>
        <w:rPr>
          <w:noProof/>
        </w:rPr>
        <w:noBreakHyphen/>
        <w:t>946</w:t>
      </w:r>
      <w:r>
        <w:rPr>
          <w:noProof/>
        </w:rPr>
        <w:tab/>
      </w:r>
      <w:r w:rsidRPr="008A0EAA">
        <w:rPr>
          <w:i/>
          <w:noProof/>
        </w:rPr>
        <w:t>Cost</w:t>
      </w:r>
      <w:r w:rsidRPr="008A0EAA">
        <w:rPr>
          <w:i/>
          <w:noProof/>
        </w:rPr>
        <w:noBreakHyphen/>
        <w:t>free debt capital</w:t>
      </w:r>
      <w:r>
        <w:rPr>
          <w:noProof/>
        </w:rPr>
        <w:t xml:space="preserve"> and </w:t>
      </w:r>
      <w:r w:rsidRPr="008A0EAA">
        <w:rPr>
          <w:i/>
          <w:noProof/>
        </w:rPr>
        <w:t>excluded equity interest</w:t>
      </w:r>
      <w:r w:rsidRPr="00380510">
        <w:rPr>
          <w:rFonts w:ascii="Times" w:hAnsi="Times" w:cs="Times"/>
          <w:noProof/>
        </w:rPr>
        <w:tab/>
      </w:r>
      <w:r w:rsidRPr="00380510">
        <w:rPr>
          <w:rFonts w:ascii="Times" w:hAnsi="Times" w:cs="Times"/>
          <w:noProof/>
        </w:rPr>
        <w:fldChar w:fldCharType="begin"/>
      </w:r>
      <w:r w:rsidRPr="00380510">
        <w:rPr>
          <w:rFonts w:ascii="Times" w:hAnsi="Times" w:cs="Times"/>
          <w:noProof/>
        </w:rPr>
        <w:instrText xml:space="preserve"> PAGEREF _Toc338939399 \h </w:instrText>
      </w:r>
      <w:r w:rsidRPr="00380510">
        <w:rPr>
          <w:rFonts w:ascii="Times" w:hAnsi="Times" w:cs="Times"/>
          <w:noProof/>
        </w:rPr>
      </w:r>
      <w:r w:rsidRPr="00380510">
        <w:rPr>
          <w:rFonts w:ascii="Times" w:hAnsi="Times" w:cs="Times"/>
          <w:noProof/>
        </w:rPr>
        <w:fldChar w:fldCharType="separate"/>
      </w:r>
      <w:r w:rsidR="00623A5C">
        <w:rPr>
          <w:rFonts w:ascii="Times" w:hAnsi="Times" w:cs="Times"/>
          <w:noProof/>
        </w:rPr>
        <w:t>278</w:t>
      </w:r>
      <w:r w:rsidRPr="00380510">
        <w:rPr>
          <w:rFonts w:ascii="Times" w:hAnsi="Times" w:cs="Times"/>
          <w:noProof/>
        </w:rPr>
        <w:fldChar w:fldCharType="end"/>
      </w:r>
    </w:p>
    <w:p w:rsidR="00380510" w:rsidRDefault="00380510">
      <w:pPr>
        <w:pStyle w:val="TOC4"/>
        <w:rPr>
          <w:rFonts w:ascii="Calibri" w:hAnsi="Calibri"/>
          <w:b w:val="0"/>
          <w:noProof/>
          <w:kern w:val="0"/>
          <w:sz w:val="22"/>
          <w:szCs w:val="22"/>
        </w:rPr>
      </w:pPr>
      <w:r>
        <w:rPr>
          <w:noProof/>
        </w:rPr>
        <w:t>Subdivision 820</w:t>
      </w:r>
      <w:r>
        <w:rPr>
          <w:noProof/>
        </w:rPr>
        <w:noBreakHyphen/>
        <w:t>L—Record keeping requirements</w:t>
      </w:r>
      <w:r w:rsidRPr="00380510">
        <w:rPr>
          <w:rFonts w:ascii="Times" w:hAnsi="Times" w:cs="Times"/>
          <w:b w:val="0"/>
          <w:noProof/>
          <w:sz w:val="18"/>
        </w:rPr>
        <w:tab/>
      </w:r>
      <w:r w:rsidRPr="00380510">
        <w:rPr>
          <w:rFonts w:ascii="Times" w:hAnsi="Times" w:cs="Times"/>
          <w:b w:val="0"/>
          <w:noProof/>
          <w:sz w:val="18"/>
        </w:rPr>
        <w:fldChar w:fldCharType="begin"/>
      </w:r>
      <w:r w:rsidRPr="00380510">
        <w:rPr>
          <w:rFonts w:ascii="Times" w:hAnsi="Times" w:cs="Times"/>
          <w:b w:val="0"/>
          <w:noProof/>
          <w:sz w:val="18"/>
        </w:rPr>
        <w:instrText xml:space="preserve"> PAGEREF _Toc338939400 \h </w:instrText>
      </w:r>
      <w:r w:rsidRPr="00380510">
        <w:rPr>
          <w:rFonts w:ascii="Times" w:hAnsi="Times" w:cs="Times"/>
          <w:b w:val="0"/>
          <w:noProof/>
          <w:sz w:val="18"/>
        </w:rPr>
      </w:r>
      <w:r w:rsidRPr="00380510">
        <w:rPr>
          <w:rFonts w:ascii="Times" w:hAnsi="Times" w:cs="Times"/>
          <w:b w:val="0"/>
          <w:noProof/>
          <w:sz w:val="18"/>
        </w:rPr>
        <w:fldChar w:fldCharType="separate"/>
      </w:r>
      <w:r w:rsidR="00623A5C">
        <w:rPr>
          <w:rFonts w:ascii="Times" w:hAnsi="Times" w:cs="Times"/>
          <w:b w:val="0"/>
          <w:noProof/>
          <w:sz w:val="18"/>
        </w:rPr>
        <w:t>281</w:t>
      </w:r>
      <w:r w:rsidRPr="00380510">
        <w:rPr>
          <w:rFonts w:ascii="Times" w:hAnsi="Times" w:cs="Times"/>
          <w:b w:val="0"/>
          <w:noProof/>
          <w:sz w:val="18"/>
        </w:rPr>
        <w:fldChar w:fldCharType="end"/>
      </w:r>
    </w:p>
    <w:p w:rsidR="00380510" w:rsidRDefault="00380510">
      <w:pPr>
        <w:pStyle w:val="TOC4"/>
        <w:rPr>
          <w:rFonts w:ascii="Calibri" w:hAnsi="Calibri"/>
          <w:b w:val="0"/>
          <w:noProof/>
          <w:kern w:val="0"/>
          <w:sz w:val="22"/>
          <w:szCs w:val="22"/>
        </w:rPr>
      </w:pPr>
      <w:r>
        <w:rPr>
          <w:noProof/>
        </w:rPr>
        <w:t>Guide to Subdivision 820</w:t>
      </w:r>
      <w:r>
        <w:rPr>
          <w:noProof/>
        </w:rPr>
        <w:noBreakHyphen/>
        <w:t>L</w:t>
      </w:r>
      <w:r w:rsidRPr="00380510">
        <w:rPr>
          <w:rFonts w:ascii="Times" w:hAnsi="Times" w:cs="Times"/>
          <w:b w:val="0"/>
          <w:noProof/>
          <w:sz w:val="18"/>
        </w:rPr>
        <w:tab/>
      </w:r>
      <w:r w:rsidRPr="00380510">
        <w:rPr>
          <w:rFonts w:ascii="Times" w:hAnsi="Times" w:cs="Times"/>
          <w:b w:val="0"/>
          <w:noProof/>
          <w:sz w:val="18"/>
        </w:rPr>
        <w:fldChar w:fldCharType="begin"/>
      </w:r>
      <w:r w:rsidRPr="00380510">
        <w:rPr>
          <w:rFonts w:ascii="Times" w:hAnsi="Times" w:cs="Times"/>
          <w:b w:val="0"/>
          <w:noProof/>
          <w:sz w:val="18"/>
        </w:rPr>
        <w:instrText xml:space="preserve"> PAGEREF _Toc338939401 \h </w:instrText>
      </w:r>
      <w:r w:rsidRPr="00380510">
        <w:rPr>
          <w:rFonts w:ascii="Times" w:hAnsi="Times" w:cs="Times"/>
          <w:b w:val="0"/>
          <w:noProof/>
          <w:sz w:val="18"/>
        </w:rPr>
      </w:r>
      <w:r w:rsidRPr="00380510">
        <w:rPr>
          <w:rFonts w:ascii="Times" w:hAnsi="Times" w:cs="Times"/>
          <w:b w:val="0"/>
          <w:noProof/>
          <w:sz w:val="18"/>
        </w:rPr>
        <w:fldChar w:fldCharType="separate"/>
      </w:r>
      <w:r w:rsidR="00623A5C">
        <w:rPr>
          <w:rFonts w:ascii="Times" w:hAnsi="Times" w:cs="Times"/>
          <w:b w:val="0"/>
          <w:noProof/>
          <w:sz w:val="18"/>
        </w:rPr>
        <w:t>281</w:t>
      </w:r>
      <w:r w:rsidRPr="00380510">
        <w:rPr>
          <w:rFonts w:ascii="Times" w:hAnsi="Times" w:cs="Times"/>
          <w:b w:val="0"/>
          <w:noProof/>
          <w:sz w:val="18"/>
        </w:rPr>
        <w:fldChar w:fldCharType="end"/>
      </w:r>
    </w:p>
    <w:p w:rsidR="00380510" w:rsidRDefault="00380510">
      <w:pPr>
        <w:pStyle w:val="TOC5"/>
        <w:rPr>
          <w:rFonts w:ascii="Calibri" w:hAnsi="Calibri"/>
          <w:iCs w:val="0"/>
          <w:noProof/>
          <w:kern w:val="0"/>
          <w:sz w:val="22"/>
          <w:szCs w:val="22"/>
        </w:rPr>
      </w:pPr>
      <w:r>
        <w:rPr>
          <w:noProof/>
        </w:rPr>
        <w:t>820</w:t>
      </w:r>
      <w:r>
        <w:rPr>
          <w:noProof/>
        </w:rPr>
        <w:noBreakHyphen/>
        <w:t>950</w:t>
      </w:r>
      <w:r>
        <w:rPr>
          <w:noProof/>
        </w:rPr>
        <w:tab/>
        <w:t>What this Subdivision is about</w:t>
      </w:r>
      <w:r w:rsidRPr="00380510">
        <w:rPr>
          <w:rFonts w:ascii="Times" w:hAnsi="Times" w:cs="Times"/>
          <w:noProof/>
        </w:rPr>
        <w:tab/>
      </w:r>
      <w:r w:rsidRPr="00380510">
        <w:rPr>
          <w:rFonts w:ascii="Times" w:hAnsi="Times" w:cs="Times"/>
          <w:noProof/>
        </w:rPr>
        <w:fldChar w:fldCharType="begin"/>
      </w:r>
      <w:r w:rsidRPr="00380510">
        <w:rPr>
          <w:rFonts w:ascii="Times" w:hAnsi="Times" w:cs="Times"/>
          <w:noProof/>
        </w:rPr>
        <w:instrText xml:space="preserve"> PAGEREF _Toc338939402 \h </w:instrText>
      </w:r>
      <w:r w:rsidRPr="00380510">
        <w:rPr>
          <w:rFonts w:ascii="Times" w:hAnsi="Times" w:cs="Times"/>
          <w:noProof/>
        </w:rPr>
      </w:r>
      <w:r w:rsidRPr="00380510">
        <w:rPr>
          <w:rFonts w:ascii="Times" w:hAnsi="Times" w:cs="Times"/>
          <w:noProof/>
        </w:rPr>
        <w:fldChar w:fldCharType="separate"/>
      </w:r>
      <w:r w:rsidR="00623A5C">
        <w:rPr>
          <w:rFonts w:ascii="Times" w:hAnsi="Times" w:cs="Times"/>
          <w:noProof/>
        </w:rPr>
        <w:t>281</w:t>
      </w:r>
      <w:r w:rsidRPr="00380510">
        <w:rPr>
          <w:rFonts w:ascii="Times" w:hAnsi="Times" w:cs="Times"/>
          <w:noProof/>
        </w:rPr>
        <w:fldChar w:fldCharType="end"/>
      </w:r>
    </w:p>
    <w:p w:rsidR="00380510" w:rsidRDefault="00380510">
      <w:pPr>
        <w:pStyle w:val="TOC4"/>
        <w:rPr>
          <w:rFonts w:ascii="Calibri" w:hAnsi="Calibri"/>
          <w:b w:val="0"/>
          <w:noProof/>
          <w:kern w:val="0"/>
          <w:sz w:val="22"/>
          <w:szCs w:val="22"/>
        </w:rPr>
      </w:pPr>
      <w:r>
        <w:rPr>
          <w:noProof/>
        </w:rPr>
        <w:t>Records about Australian permanent establishments</w:t>
      </w:r>
      <w:r w:rsidRPr="00380510">
        <w:rPr>
          <w:rFonts w:ascii="Times" w:hAnsi="Times" w:cs="Times"/>
          <w:b w:val="0"/>
          <w:noProof/>
          <w:sz w:val="18"/>
        </w:rPr>
        <w:tab/>
      </w:r>
      <w:r w:rsidRPr="00380510">
        <w:rPr>
          <w:rFonts w:ascii="Times" w:hAnsi="Times" w:cs="Times"/>
          <w:b w:val="0"/>
          <w:noProof/>
          <w:sz w:val="18"/>
        </w:rPr>
        <w:fldChar w:fldCharType="begin"/>
      </w:r>
      <w:r w:rsidRPr="00380510">
        <w:rPr>
          <w:rFonts w:ascii="Times" w:hAnsi="Times" w:cs="Times"/>
          <w:b w:val="0"/>
          <w:noProof/>
          <w:sz w:val="18"/>
        </w:rPr>
        <w:instrText xml:space="preserve"> PAGEREF _Toc338939403 \h </w:instrText>
      </w:r>
      <w:r w:rsidRPr="00380510">
        <w:rPr>
          <w:rFonts w:ascii="Times" w:hAnsi="Times" w:cs="Times"/>
          <w:b w:val="0"/>
          <w:noProof/>
          <w:sz w:val="18"/>
        </w:rPr>
      </w:r>
      <w:r w:rsidRPr="00380510">
        <w:rPr>
          <w:rFonts w:ascii="Times" w:hAnsi="Times" w:cs="Times"/>
          <w:b w:val="0"/>
          <w:noProof/>
          <w:sz w:val="18"/>
        </w:rPr>
        <w:fldChar w:fldCharType="separate"/>
      </w:r>
      <w:r w:rsidR="00623A5C">
        <w:rPr>
          <w:rFonts w:ascii="Times" w:hAnsi="Times" w:cs="Times"/>
          <w:b w:val="0"/>
          <w:noProof/>
          <w:sz w:val="18"/>
        </w:rPr>
        <w:t>282</w:t>
      </w:r>
      <w:r w:rsidRPr="00380510">
        <w:rPr>
          <w:rFonts w:ascii="Times" w:hAnsi="Times" w:cs="Times"/>
          <w:b w:val="0"/>
          <w:noProof/>
          <w:sz w:val="18"/>
        </w:rPr>
        <w:fldChar w:fldCharType="end"/>
      </w:r>
    </w:p>
    <w:p w:rsidR="00380510" w:rsidRDefault="00380510">
      <w:pPr>
        <w:pStyle w:val="TOC5"/>
        <w:rPr>
          <w:rFonts w:ascii="Calibri" w:hAnsi="Calibri"/>
          <w:iCs w:val="0"/>
          <w:noProof/>
          <w:kern w:val="0"/>
          <w:sz w:val="22"/>
          <w:szCs w:val="22"/>
        </w:rPr>
      </w:pPr>
      <w:r>
        <w:rPr>
          <w:noProof/>
        </w:rPr>
        <w:t>820</w:t>
      </w:r>
      <w:r>
        <w:rPr>
          <w:noProof/>
        </w:rPr>
        <w:noBreakHyphen/>
        <w:t>960</w:t>
      </w:r>
      <w:r>
        <w:rPr>
          <w:noProof/>
        </w:rPr>
        <w:tab/>
        <w:t>Records about Australian permanent establishments</w:t>
      </w:r>
      <w:r w:rsidRPr="00380510">
        <w:rPr>
          <w:rFonts w:ascii="Times" w:hAnsi="Times" w:cs="Times"/>
          <w:noProof/>
        </w:rPr>
        <w:tab/>
      </w:r>
      <w:r w:rsidRPr="00380510">
        <w:rPr>
          <w:rFonts w:ascii="Times" w:hAnsi="Times" w:cs="Times"/>
          <w:noProof/>
        </w:rPr>
        <w:fldChar w:fldCharType="begin"/>
      </w:r>
      <w:r w:rsidRPr="00380510">
        <w:rPr>
          <w:rFonts w:ascii="Times" w:hAnsi="Times" w:cs="Times"/>
          <w:noProof/>
        </w:rPr>
        <w:instrText xml:space="preserve"> PAGEREF _Toc338939404 \h </w:instrText>
      </w:r>
      <w:r w:rsidRPr="00380510">
        <w:rPr>
          <w:rFonts w:ascii="Times" w:hAnsi="Times" w:cs="Times"/>
          <w:noProof/>
        </w:rPr>
      </w:r>
      <w:r w:rsidRPr="00380510">
        <w:rPr>
          <w:rFonts w:ascii="Times" w:hAnsi="Times" w:cs="Times"/>
          <w:noProof/>
        </w:rPr>
        <w:fldChar w:fldCharType="separate"/>
      </w:r>
      <w:r w:rsidR="00623A5C">
        <w:rPr>
          <w:rFonts w:ascii="Times" w:hAnsi="Times" w:cs="Times"/>
          <w:noProof/>
        </w:rPr>
        <w:t>282</w:t>
      </w:r>
      <w:r w:rsidRPr="00380510">
        <w:rPr>
          <w:rFonts w:ascii="Times" w:hAnsi="Times" w:cs="Times"/>
          <w:noProof/>
        </w:rPr>
        <w:fldChar w:fldCharType="end"/>
      </w:r>
    </w:p>
    <w:p w:rsidR="00380510" w:rsidRDefault="00380510">
      <w:pPr>
        <w:pStyle w:val="TOC5"/>
        <w:rPr>
          <w:rFonts w:ascii="Calibri" w:hAnsi="Calibri"/>
          <w:iCs w:val="0"/>
          <w:noProof/>
          <w:kern w:val="0"/>
          <w:sz w:val="22"/>
          <w:szCs w:val="22"/>
        </w:rPr>
      </w:pPr>
      <w:r>
        <w:rPr>
          <w:noProof/>
        </w:rPr>
        <w:t>820</w:t>
      </w:r>
      <w:r>
        <w:rPr>
          <w:noProof/>
        </w:rPr>
        <w:noBreakHyphen/>
        <w:t>965</w:t>
      </w:r>
      <w:r>
        <w:rPr>
          <w:noProof/>
        </w:rPr>
        <w:tab/>
        <w:t>Review of Commissioner’s decision</w:t>
      </w:r>
      <w:r w:rsidRPr="00380510">
        <w:rPr>
          <w:rFonts w:ascii="Times" w:hAnsi="Times" w:cs="Times"/>
          <w:noProof/>
        </w:rPr>
        <w:tab/>
      </w:r>
      <w:r w:rsidRPr="00380510">
        <w:rPr>
          <w:rFonts w:ascii="Times" w:hAnsi="Times" w:cs="Times"/>
          <w:noProof/>
        </w:rPr>
        <w:fldChar w:fldCharType="begin"/>
      </w:r>
      <w:r w:rsidRPr="00380510">
        <w:rPr>
          <w:rFonts w:ascii="Times" w:hAnsi="Times" w:cs="Times"/>
          <w:noProof/>
        </w:rPr>
        <w:instrText xml:space="preserve"> PAGEREF _Toc338939405 \h </w:instrText>
      </w:r>
      <w:r w:rsidRPr="00380510">
        <w:rPr>
          <w:rFonts w:ascii="Times" w:hAnsi="Times" w:cs="Times"/>
          <w:noProof/>
        </w:rPr>
      </w:r>
      <w:r w:rsidRPr="00380510">
        <w:rPr>
          <w:rFonts w:ascii="Times" w:hAnsi="Times" w:cs="Times"/>
          <w:noProof/>
        </w:rPr>
        <w:fldChar w:fldCharType="separate"/>
      </w:r>
      <w:r w:rsidR="00623A5C">
        <w:rPr>
          <w:rFonts w:ascii="Times" w:hAnsi="Times" w:cs="Times"/>
          <w:noProof/>
        </w:rPr>
        <w:t>285</w:t>
      </w:r>
      <w:r w:rsidRPr="00380510">
        <w:rPr>
          <w:rFonts w:ascii="Times" w:hAnsi="Times" w:cs="Times"/>
          <w:noProof/>
        </w:rPr>
        <w:fldChar w:fldCharType="end"/>
      </w:r>
    </w:p>
    <w:p w:rsidR="00380510" w:rsidRDefault="00380510">
      <w:pPr>
        <w:pStyle w:val="TOC4"/>
        <w:rPr>
          <w:rFonts w:ascii="Calibri" w:hAnsi="Calibri"/>
          <w:b w:val="0"/>
          <w:noProof/>
          <w:kern w:val="0"/>
          <w:sz w:val="22"/>
          <w:szCs w:val="22"/>
        </w:rPr>
      </w:pPr>
      <w:r>
        <w:rPr>
          <w:noProof/>
        </w:rPr>
        <w:t>Records about arm’s length amounts</w:t>
      </w:r>
      <w:r w:rsidRPr="00380510">
        <w:rPr>
          <w:rFonts w:ascii="Times" w:hAnsi="Times" w:cs="Times"/>
          <w:b w:val="0"/>
          <w:noProof/>
          <w:sz w:val="18"/>
        </w:rPr>
        <w:tab/>
      </w:r>
      <w:r w:rsidRPr="00380510">
        <w:rPr>
          <w:rFonts w:ascii="Times" w:hAnsi="Times" w:cs="Times"/>
          <w:b w:val="0"/>
          <w:noProof/>
          <w:sz w:val="18"/>
        </w:rPr>
        <w:fldChar w:fldCharType="begin"/>
      </w:r>
      <w:r w:rsidRPr="00380510">
        <w:rPr>
          <w:rFonts w:ascii="Times" w:hAnsi="Times" w:cs="Times"/>
          <w:b w:val="0"/>
          <w:noProof/>
          <w:sz w:val="18"/>
        </w:rPr>
        <w:instrText xml:space="preserve"> PAGEREF _Toc338939406 \h </w:instrText>
      </w:r>
      <w:r w:rsidRPr="00380510">
        <w:rPr>
          <w:rFonts w:ascii="Times" w:hAnsi="Times" w:cs="Times"/>
          <w:b w:val="0"/>
          <w:noProof/>
          <w:sz w:val="18"/>
        </w:rPr>
      </w:r>
      <w:r w:rsidRPr="00380510">
        <w:rPr>
          <w:rFonts w:ascii="Times" w:hAnsi="Times" w:cs="Times"/>
          <w:b w:val="0"/>
          <w:noProof/>
          <w:sz w:val="18"/>
        </w:rPr>
        <w:fldChar w:fldCharType="separate"/>
      </w:r>
      <w:r w:rsidR="00623A5C">
        <w:rPr>
          <w:rFonts w:ascii="Times" w:hAnsi="Times" w:cs="Times"/>
          <w:b w:val="0"/>
          <w:noProof/>
          <w:sz w:val="18"/>
        </w:rPr>
        <w:t>285</w:t>
      </w:r>
      <w:r w:rsidRPr="00380510">
        <w:rPr>
          <w:rFonts w:ascii="Times" w:hAnsi="Times" w:cs="Times"/>
          <w:b w:val="0"/>
          <w:noProof/>
          <w:sz w:val="18"/>
        </w:rPr>
        <w:fldChar w:fldCharType="end"/>
      </w:r>
    </w:p>
    <w:p w:rsidR="00380510" w:rsidRDefault="00380510">
      <w:pPr>
        <w:pStyle w:val="TOC5"/>
        <w:rPr>
          <w:rFonts w:ascii="Calibri" w:hAnsi="Calibri"/>
          <w:iCs w:val="0"/>
          <w:noProof/>
          <w:kern w:val="0"/>
          <w:sz w:val="22"/>
          <w:szCs w:val="22"/>
        </w:rPr>
      </w:pPr>
      <w:r>
        <w:rPr>
          <w:noProof/>
        </w:rPr>
        <w:t>820</w:t>
      </w:r>
      <w:r>
        <w:rPr>
          <w:noProof/>
        </w:rPr>
        <w:noBreakHyphen/>
        <w:t>980</w:t>
      </w:r>
      <w:r>
        <w:rPr>
          <w:noProof/>
        </w:rPr>
        <w:tab/>
        <w:t>Records about arm’s length debt amount and arm’s length capital amount</w:t>
      </w:r>
      <w:r w:rsidRPr="00380510">
        <w:rPr>
          <w:rFonts w:ascii="Times" w:hAnsi="Times" w:cs="Times"/>
          <w:noProof/>
        </w:rPr>
        <w:tab/>
      </w:r>
      <w:r w:rsidRPr="00380510">
        <w:rPr>
          <w:rFonts w:ascii="Times" w:hAnsi="Times" w:cs="Times"/>
          <w:noProof/>
        </w:rPr>
        <w:fldChar w:fldCharType="begin"/>
      </w:r>
      <w:r w:rsidRPr="00380510">
        <w:rPr>
          <w:rFonts w:ascii="Times" w:hAnsi="Times" w:cs="Times"/>
          <w:noProof/>
        </w:rPr>
        <w:instrText xml:space="preserve"> PAGEREF _Toc338939407 \h </w:instrText>
      </w:r>
      <w:r w:rsidRPr="00380510">
        <w:rPr>
          <w:rFonts w:ascii="Times" w:hAnsi="Times" w:cs="Times"/>
          <w:noProof/>
        </w:rPr>
      </w:r>
      <w:r w:rsidRPr="00380510">
        <w:rPr>
          <w:rFonts w:ascii="Times" w:hAnsi="Times" w:cs="Times"/>
          <w:noProof/>
        </w:rPr>
        <w:fldChar w:fldCharType="separate"/>
      </w:r>
      <w:r w:rsidR="00623A5C">
        <w:rPr>
          <w:rFonts w:ascii="Times" w:hAnsi="Times" w:cs="Times"/>
          <w:noProof/>
        </w:rPr>
        <w:t>285</w:t>
      </w:r>
      <w:r w:rsidRPr="00380510">
        <w:rPr>
          <w:rFonts w:ascii="Times" w:hAnsi="Times" w:cs="Times"/>
          <w:noProof/>
        </w:rPr>
        <w:fldChar w:fldCharType="end"/>
      </w:r>
    </w:p>
    <w:p w:rsidR="00380510" w:rsidRDefault="00380510">
      <w:pPr>
        <w:pStyle w:val="TOC4"/>
        <w:rPr>
          <w:rFonts w:ascii="Calibri" w:hAnsi="Calibri"/>
          <w:b w:val="0"/>
          <w:noProof/>
          <w:kern w:val="0"/>
          <w:sz w:val="22"/>
          <w:szCs w:val="22"/>
        </w:rPr>
      </w:pPr>
      <w:r>
        <w:rPr>
          <w:noProof/>
        </w:rPr>
        <w:t>Records about asset revaluations</w:t>
      </w:r>
      <w:r w:rsidRPr="00380510">
        <w:rPr>
          <w:rFonts w:ascii="Times" w:hAnsi="Times" w:cs="Times"/>
          <w:b w:val="0"/>
          <w:noProof/>
          <w:sz w:val="18"/>
        </w:rPr>
        <w:tab/>
      </w:r>
      <w:r w:rsidRPr="00380510">
        <w:rPr>
          <w:rFonts w:ascii="Times" w:hAnsi="Times" w:cs="Times"/>
          <w:b w:val="0"/>
          <w:noProof/>
          <w:sz w:val="18"/>
        </w:rPr>
        <w:fldChar w:fldCharType="begin"/>
      </w:r>
      <w:r w:rsidRPr="00380510">
        <w:rPr>
          <w:rFonts w:ascii="Times" w:hAnsi="Times" w:cs="Times"/>
          <w:b w:val="0"/>
          <w:noProof/>
          <w:sz w:val="18"/>
        </w:rPr>
        <w:instrText xml:space="preserve"> PAGEREF _Toc338939408 \h </w:instrText>
      </w:r>
      <w:r w:rsidRPr="00380510">
        <w:rPr>
          <w:rFonts w:ascii="Times" w:hAnsi="Times" w:cs="Times"/>
          <w:b w:val="0"/>
          <w:noProof/>
          <w:sz w:val="18"/>
        </w:rPr>
      </w:r>
      <w:r w:rsidRPr="00380510">
        <w:rPr>
          <w:rFonts w:ascii="Times" w:hAnsi="Times" w:cs="Times"/>
          <w:b w:val="0"/>
          <w:noProof/>
          <w:sz w:val="18"/>
        </w:rPr>
        <w:fldChar w:fldCharType="separate"/>
      </w:r>
      <w:r w:rsidR="00623A5C">
        <w:rPr>
          <w:rFonts w:ascii="Times" w:hAnsi="Times" w:cs="Times"/>
          <w:b w:val="0"/>
          <w:noProof/>
          <w:sz w:val="18"/>
        </w:rPr>
        <w:t>286</w:t>
      </w:r>
      <w:r w:rsidRPr="00380510">
        <w:rPr>
          <w:rFonts w:ascii="Times" w:hAnsi="Times" w:cs="Times"/>
          <w:b w:val="0"/>
          <w:noProof/>
          <w:sz w:val="18"/>
        </w:rPr>
        <w:fldChar w:fldCharType="end"/>
      </w:r>
    </w:p>
    <w:p w:rsidR="00380510" w:rsidRDefault="00380510">
      <w:pPr>
        <w:pStyle w:val="TOC5"/>
        <w:rPr>
          <w:rFonts w:ascii="Calibri" w:hAnsi="Calibri"/>
          <w:iCs w:val="0"/>
          <w:noProof/>
          <w:kern w:val="0"/>
          <w:sz w:val="22"/>
          <w:szCs w:val="22"/>
        </w:rPr>
      </w:pPr>
      <w:r>
        <w:rPr>
          <w:noProof/>
        </w:rPr>
        <w:t>820</w:t>
      </w:r>
      <w:r>
        <w:rPr>
          <w:noProof/>
        </w:rPr>
        <w:noBreakHyphen/>
        <w:t>985</w:t>
      </w:r>
      <w:r>
        <w:rPr>
          <w:noProof/>
        </w:rPr>
        <w:tab/>
        <w:t>Methodology of revaluation and independence of valuer</w:t>
      </w:r>
      <w:r w:rsidRPr="00380510">
        <w:rPr>
          <w:rFonts w:ascii="Times" w:hAnsi="Times" w:cs="Times"/>
          <w:noProof/>
        </w:rPr>
        <w:tab/>
      </w:r>
      <w:r w:rsidRPr="00380510">
        <w:rPr>
          <w:rFonts w:ascii="Times" w:hAnsi="Times" w:cs="Times"/>
          <w:noProof/>
        </w:rPr>
        <w:fldChar w:fldCharType="begin"/>
      </w:r>
      <w:r w:rsidRPr="00380510">
        <w:rPr>
          <w:rFonts w:ascii="Times" w:hAnsi="Times" w:cs="Times"/>
          <w:noProof/>
        </w:rPr>
        <w:instrText xml:space="preserve"> PAGEREF _Toc338939409 \h </w:instrText>
      </w:r>
      <w:r w:rsidRPr="00380510">
        <w:rPr>
          <w:rFonts w:ascii="Times" w:hAnsi="Times" w:cs="Times"/>
          <w:noProof/>
        </w:rPr>
      </w:r>
      <w:r w:rsidRPr="00380510">
        <w:rPr>
          <w:rFonts w:ascii="Times" w:hAnsi="Times" w:cs="Times"/>
          <w:noProof/>
        </w:rPr>
        <w:fldChar w:fldCharType="separate"/>
      </w:r>
      <w:r w:rsidR="00623A5C">
        <w:rPr>
          <w:rFonts w:ascii="Times" w:hAnsi="Times" w:cs="Times"/>
          <w:noProof/>
        </w:rPr>
        <w:t>286</w:t>
      </w:r>
      <w:r w:rsidRPr="00380510">
        <w:rPr>
          <w:rFonts w:ascii="Times" w:hAnsi="Times" w:cs="Times"/>
          <w:noProof/>
        </w:rPr>
        <w:fldChar w:fldCharType="end"/>
      </w:r>
    </w:p>
    <w:p w:rsidR="00380510" w:rsidRDefault="00380510">
      <w:pPr>
        <w:pStyle w:val="TOC4"/>
        <w:rPr>
          <w:rFonts w:ascii="Calibri" w:hAnsi="Calibri"/>
          <w:b w:val="0"/>
          <w:noProof/>
          <w:kern w:val="0"/>
          <w:sz w:val="22"/>
          <w:szCs w:val="22"/>
        </w:rPr>
      </w:pPr>
      <w:r>
        <w:rPr>
          <w:noProof/>
        </w:rPr>
        <w:t>Offences committed by certain entities</w:t>
      </w:r>
      <w:r w:rsidRPr="00380510">
        <w:rPr>
          <w:rFonts w:ascii="Times" w:hAnsi="Times" w:cs="Times"/>
          <w:b w:val="0"/>
          <w:noProof/>
          <w:sz w:val="18"/>
        </w:rPr>
        <w:tab/>
      </w:r>
      <w:r w:rsidRPr="00380510">
        <w:rPr>
          <w:rFonts w:ascii="Times" w:hAnsi="Times" w:cs="Times"/>
          <w:b w:val="0"/>
          <w:noProof/>
          <w:sz w:val="18"/>
        </w:rPr>
        <w:fldChar w:fldCharType="begin"/>
      </w:r>
      <w:r w:rsidRPr="00380510">
        <w:rPr>
          <w:rFonts w:ascii="Times" w:hAnsi="Times" w:cs="Times"/>
          <w:b w:val="0"/>
          <w:noProof/>
          <w:sz w:val="18"/>
        </w:rPr>
        <w:instrText xml:space="preserve"> PAGEREF _Toc338939410 \h </w:instrText>
      </w:r>
      <w:r w:rsidRPr="00380510">
        <w:rPr>
          <w:rFonts w:ascii="Times" w:hAnsi="Times" w:cs="Times"/>
          <w:b w:val="0"/>
          <w:noProof/>
          <w:sz w:val="18"/>
        </w:rPr>
      </w:r>
      <w:r w:rsidRPr="00380510">
        <w:rPr>
          <w:rFonts w:ascii="Times" w:hAnsi="Times" w:cs="Times"/>
          <w:b w:val="0"/>
          <w:noProof/>
          <w:sz w:val="18"/>
        </w:rPr>
        <w:fldChar w:fldCharType="separate"/>
      </w:r>
      <w:r w:rsidR="00623A5C">
        <w:rPr>
          <w:rFonts w:ascii="Times" w:hAnsi="Times" w:cs="Times"/>
          <w:b w:val="0"/>
          <w:noProof/>
          <w:sz w:val="18"/>
        </w:rPr>
        <w:t>287</w:t>
      </w:r>
      <w:r w:rsidRPr="00380510">
        <w:rPr>
          <w:rFonts w:ascii="Times" w:hAnsi="Times" w:cs="Times"/>
          <w:b w:val="0"/>
          <w:noProof/>
          <w:sz w:val="18"/>
        </w:rPr>
        <w:fldChar w:fldCharType="end"/>
      </w:r>
    </w:p>
    <w:p w:rsidR="00380510" w:rsidRDefault="00380510">
      <w:pPr>
        <w:pStyle w:val="TOC5"/>
        <w:rPr>
          <w:rFonts w:ascii="Calibri" w:hAnsi="Calibri"/>
          <w:iCs w:val="0"/>
          <w:noProof/>
          <w:kern w:val="0"/>
          <w:sz w:val="22"/>
          <w:szCs w:val="22"/>
        </w:rPr>
      </w:pPr>
      <w:r>
        <w:rPr>
          <w:noProof/>
        </w:rPr>
        <w:t>820</w:t>
      </w:r>
      <w:r>
        <w:rPr>
          <w:noProof/>
        </w:rPr>
        <w:noBreakHyphen/>
        <w:t>990</w:t>
      </w:r>
      <w:r>
        <w:rPr>
          <w:noProof/>
        </w:rPr>
        <w:tab/>
        <w:t>Offences—treatment of partnerships</w:t>
      </w:r>
      <w:r w:rsidRPr="00380510">
        <w:rPr>
          <w:rFonts w:ascii="Times" w:hAnsi="Times" w:cs="Times"/>
          <w:noProof/>
        </w:rPr>
        <w:tab/>
      </w:r>
      <w:r w:rsidRPr="00380510">
        <w:rPr>
          <w:rFonts w:ascii="Times" w:hAnsi="Times" w:cs="Times"/>
          <w:noProof/>
        </w:rPr>
        <w:fldChar w:fldCharType="begin"/>
      </w:r>
      <w:r w:rsidRPr="00380510">
        <w:rPr>
          <w:rFonts w:ascii="Times" w:hAnsi="Times" w:cs="Times"/>
          <w:noProof/>
        </w:rPr>
        <w:instrText xml:space="preserve"> PAGEREF _Toc338939411 \h </w:instrText>
      </w:r>
      <w:r w:rsidRPr="00380510">
        <w:rPr>
          <w:rFonts w:ascii="Times" w:hAnsi="Times" w:cs="Times"/>
          <w:noProof/>
        </w:rPr>
      </w:r>
      <w:r w:rsidRPr="00380510">
        <w:rPr>
          <w:rFonts w:ascii="Times" w:hAnsi="Times" w:cs="Times"/>
          <w:noProof/>
        </w:rPr>
        <w:fldChar w:fldCharType="separate"/>
      </w:r>
      <w:r w:rsidR="00623A5C">
        <w:rPr>
          <w:rFonts w:ascii="Times" w:hAnsi="Times" w:cs="Times"/>
          <w:noProof/>
        </w:rPr>
        <w:t>287</w:t>
      </w:r>
      <w:r w:rsidRPr="00380510">
        <w:rPr>
          <w:rFonts w:ascii="Times" w:hAnsi="Times" w:cs="Times"/>
          <w:noProof/>
        </w:rPr>
        <w:fldChar w:fldCharType="end"/>
      </w:r>
    </w:p>
    <w:p w:rsidR="00380510" w:rsidRDefault="00380510">
      <w:pPr>
        <w:pStyle w:val="TOC5"/>
        <w:rPr>
          <w:rFonts w:ascii="Calibri" w:hAnsi="Calibri"/>
          <w:iCs w:val="0"/>
          <w:noProof/>
          <w:kern w:val="0"/>
          <w:sz w:val="22"/>
          <w:szCs w:val="22"/>
        </w:rPr>
      </w:pPr>
      <w:r>
        <w:rPr>
          <w:noProof/>
        </w:rPr>
        <w:t>820</w:t>
      </w:r>
      <w:r>
        <w:rPr>
          <w:noProof/>
        </w:rPr>
        <w:noBreakHyphen/>
        <w:t>995</w:t>
      </w:r>
      <w:r>
        <w:rPr>
          <w:noProof/>
        </w:rPr>
        <w:tab/>
        <w:t>Offences—treatment of unincorporated companies</w:t>
      </w:r>
      <w:r w:rsidRPr="00380510">
        <w:rPr>
          <w:rFonts w:ascii="Times" w:hAnsi="Times" w:cs="Times"/>
          <w:noProof/>
        </w:rPr>
        <w:tab/>
      </w:r>
      <w:r w:rsidRPr="00380510">
        <w:rPr>
          <w:rFonts w:ascii="Times" w:hAnsi="Times" w:cs="Times"/>
          <w:noProof/>
        </w:rPr>
        <w:fldChar w:fldCharType="begin"/>
      </w:r>
      <w:r w:rsidRPr="00380510">
        <w:rPr>
          <w:rFonts w:ascii="Times" w:hAnsi="Times" w:cs="Times"/>
          <w:noProof/>
        </w:rPr>
        <w:instrText xml:space="preserve"> PAGEREF _Toc338939412 \h </w:instrText>
      </w:r>
      <w:r w:rsidRPr="00380510">
        <w:rPr>
          <w:rFonts w:ascii="Times" w:hAnsi="Times" w:cs="Times"/>
          <w:noProof/>
        </w:rPr>
      </w:r>
      <w:r w:rsidRPr="00380510">
        <w:rPr>
          <w:rFonts w:ascii="Times" w:hAnsi="Times" w:cs="Times"/>
          <w:noProof/>
        </w:rPr>
        <w:fldChar w:fldCharType="separate"/>
      </w:r>
      <w:r w:rsidR="00623A5C">
        <w:rPr>
          <w:rFonts w:ascii="Times" w:hAnsi="Times" w:cs="Times"/>
          <w:noProof/>
        </w:rPr>
        <w:t>288</w:t>
      </w:r>
      <w:r w:rsidRPr="00380510">
        <w:rPr>
          <w:rFonts w:ascii="Times" w:hAnsi="Times" w:cs="Times"/>
          <w:noProof/>
        </w:rPr>
        <w:fldChar w:fldCharType="end"/>
      </w:r>
    </w:p>
    <w:p w:rsidR="00380510" w:rsidRDefault="00380510">
      <w:pPr>
        <w:pStyle w:val="TOC3"/>
        <w:rPr>
          <w:rFonts w:ascii="Calibri" w:hAnsi="Calibri"/>
          <w:b w:val="0"/>
          <w:noProof/>
          <w:kern w:val="0"/>
          <w:szCs w:val="22"/>
        </w:rPr>
      </w:pPr>
      <w:r>
        <w:rPr>
          <w:noProof/>
        </w:rPr>
        <w:t>Division 830—Foreign hybrids</w:t>
      </w:r>
      <w:r w:rsidRPr="00380510">
        <w:rPr>
          <w:rFonts w:ascii="Times" w:hAnsi="Times" w:cs="Times"/>
          <w:b w:val="0"/>
          <w:noProof/>
          <w:sz w:val="18"/>
        </w:rPr>
        <w:tab/>
      </w:r>
      <w:r w:rsidRPr="00380510">
        <w:rPr>
          <w:rFonts w:ascii="Times" w:hAnsi="Times" w:cs="Times"/>
          <w:b w:val="0"/>
          <w:noProof/>
          <w:sz w:val="18"/>
        </w:rPr>
        <w:fldChar w:fldCharType="begin"/>
      </w:r>
      <w:r w:rsidRPr="00380510">
        <w:rPr>
          <w:rFonts w:ascii="Times" w:hAnsi="Times" w:cs="Times"/>
          <w:b w:val="0"/>
          <w:noProof/>
          <w:sz w:val="18"/>
        </w:rPr>
        <w:instrText xml:space="preserve"> PAGEREF _Toc338939413 \h </w:instrText>
      </w:r>
      <w:r w:rsidRPr="00380510">
        <w:rPr>
          <w:rFonts w:ascii="Times" w:hAnsi="Times" w:cs="Times"/>
          <w:b w:val="0"/>
          <w:noProof/>
          <w:sz w:val="18"/>
        </w:rPr>
      </w:r>
      <w:r w:rsidRPr="00380510">
        <w:rPr>
          <w:rFonts w:ascii="Times" w:hAnsi="Times" w:cs="Times"/>
          <w:b w:val="0"/>
          <w:noProof/>
          <w:sz w:val="18"/>
        </w:rPr>
        <w:fldChar w:fldCharType="separate"/>
      </w:r>
      <w:r w:rsidR="00623A5C">
        <w:rPr>
          <w:rFonts w:ascii="Times" w:hAnsi="Times" w:cs="Times"/>
          <w:b w:val="0"/>
          <w:noProof/>
          <w:sz w:val="18"/>
        </w:rPr>
        <w:t>290</w:t>
      </w:r>
      <w:r w:rsidRPr="00380510">
        <w:rPr>
          <w:rFonts w:ascii="Times" w:hAnsi="Times" w:cs="Times"/>
          <w:b w:val="0"/>
          <w:noProof/>
          <w:sz w:val="18"/>
        </w:rPr>
        <w:fldChar w:fldCharType="end"/>
      </w:r>
    </w:p>
    <w:p w:rsidR="00380510" w:rsidRDefault="00380510">
      <w:pPr>
        <w:pStyle w:val="TOC4"/>
        <w:rPr>
          <w:rFonts w:ascii="Calibri" w:hAnsi="Calibri"/>
          <w:b w:val="0"/>
          <w:noProof/>
          <w:kern w:val="0"/>
          <w:sz w:val="22"/>
          <w:szCs w:val="22"/>
        </w:rPr>
      </w:pPr>
      <w:r>
        <w:rPr>
          <w:noProof/>
        </w:rPr>
        <w:t>Guide to Division 830</w:t>
      </w:r>
      <w:r w:rsidRPr="00380510">
        <w:rPr>
          <w:rFonts w:ascii="Times" w:hAnsi="Times" w:cs="Times"/>
          <w:b w:val="0"/>
          <w:noProof/>
          <w:sz w:val="18"/>
        </w:rPr>
        <w:tab/>
      </w:r>
      <w:r w:rsidRPr="00380510">
        <w:rPr>
          <w:rFonts w:ascii="Times" w:hAnsi="Times" w:cs="Times"/>
          <w:b w:val="0"/>
          <w:noProof/>
          <w:sz w:val="18"/>
        </w:rPr>
        <w:fldChar w:fldCharType="begin"/>
      </w:r>
      <w:r w:rsidRPr="00380510">
        <w:rPr>
          <w:rFonts w:ascii="Times" w:hAnsi="Times" w:cs="Times"/>
          <w:b w:val="0"/>
          <w:noProof/>
          <w:sz w:val="18"/>
        </w:rPr>
        <w:instrText xml:space="preserve"> PAGEREF _Toc338939414 \h </w:instrText>
      </w:r>
      <w:r w:rsidRPr="00380510">
        <w:rPr>
          <w:rFonts w:ascii="Times" w:hAnsi="Times" w:cs="Times"/>
          <w:b w:val="0"/>
          <w:noProof/>
          <w:sz w:val="18"/>
        </w:rPr>
      </w:r>
      <w:r w:rsidRPr="00380510">
        <w:rPr>
          <w:rFonts w:ascii="Times" w:hAnsi="Times" w:cs="Times"/>
          <w:b w:val="0"/>
          <w:noProof/>
          <w:sz w:val="18"/>
        </w:rPr>
        <w:fldChar w:fldCharType="separate"/>
      </w:r>
      <w:r w:rsidR="00623A5C">
        <w:rPr>
          <w:rFonts w:ascii="Times" w:hAnsi="Times" w:cs="Times"/>
          <w:b w:val="0"/>
          <w:noProof/>
          <w:sz w:val="18"/>
        </w:rPr>
        <w:t>290</w:t>
      </w:r>
      <w:r w:rsidRPr="00380510">
        <w:rPr>
          <w:rFonts w:ascii="Times" w:hAnsi="Times" w:cs="Times"/>
          <w:b w:val="0"/>
          <w:noProof/>
          <w:sz w:val="18"/>
        </w:rPr>
        <w:fldChar w:fldCharType="end"/>
      </w:r>
    </w:p>
    <w:p w:rsidR="00380510" w:rsidRDefault="00380510">
      <w:pPr>
        <w:pStyle w:val="TOC5"/>
        <w:rPr>
          <w:rFonts w:ascii="Calibri" w:hAnsi="Calibri"/>
          <w:iCs w:val="0"/>
          <w:noProof/>
          <w:kern w:val="0"/>
          <w:sz w:val="22"/>
          <w:szCs w:val="22"/>
        </w:rPr>
      </w:pPr>
      <w:r>
        <w:rPr>
          <w:noProof/>
        </w:rPr>
        <w:t>830</w:t>
      </w:r>
      <w:r>
        <w:rPr>
          <w:noProof/>
        </w:rPr>
        <w:noBreakHyphen/>
        <w:t>1</w:t>
      </w:r>
      <w:r>
        <w:rPr>
          <w:noProof/>
        </w:rPr>
        <w:tab/>
        <w:t>What this Division is about</w:t>
      </w:r>
      <w:r w:rsidRPr="00380510">
        <w:rPr>
          <w:rFonts w:ascii="Times" w:hAnsi="Times" w:cs="Times"/>
          <w:noProof/>
        </w:rPr>
        <w:tab/>
      </w:r>
      <w:r w:rsidRPr="00380510">
        <w:rPr>
          <w:rFonts w:ascii="Times" w:hAnsi="Times" w:cs="Times"/>
          <w:noProof/>
        </w:rPr>
        <w:fldChar w:fldCharType="begin"/>
      </w:r>
      <w:r w:rsidRPr="00380510">
        <w:rPr>
          <w:rFonts w:ascii="Times" w:hAnsi="Times" w:cs="Times"/>
          <w:noProof/>
        </w:rPr>
        <w:instrText xml:space="preserve"> PAGEREF _Toc338939415 \h </w:instrText>
      </w:r>
      <w:r w:rsidRPr="00380510">
        <w:rPr>
          <w:rFonts w:ascii="Times" w:hAnsi="Times" w:cs="Times"/>
          <w:noProof/>
        </w:rPr>
      </w:r>
      <w:r w:rsidRPr="00380510">
        <w:rPr>
          <w:rFonts w:ascii="Times" w:hAnsi="Times" w:cs="Times"/>
          <w:noProof/>
        </w:rPr>
        <w:fldChar w:fldCharType="separate"/>
      </w:r>
      <w:r w:rsidR="00623A5C">
        <w:rPr>
          <w:rFonts w:ascii="Times" w:hAnsi="Times" w:cs="Times"/>
          <w:noProof/>
        </w:rPr>
        <w:t>290</w:t>
      </w:r>
      <w:r w:rsidRPr="00380510">
        <w:rPr>
          <w:rFonts w:ascii="Times" w:hAnsi="Times" w:cs="Times"/>
          <w:noProof/>
        </w:rPr>
        <w:fldChar w:fldCharType="end"/>
      </w:r>
    </w:p>
    <w:p w:rsidR="00380510" w:rsidRDefault="00380510">
      <w:pPr>
        <w:pStyle w:val="TOC4"/>
        <w:rPr>
          <w:rFonts w:ascii="Calibri" w:hAnsi="Calibri"/>
          <w:b w:val="0"/>
          <w:noProof/>
          <w:kern w:val="0"/>
          <w:sz w:val="22"/>
          <w:szCs w:val="22"/>
        </w:rPr>
      </w:pPr>
      <w:r>
        <w:rPr>
          <w:noProof/>
        </w:rPr>
        <w:t>Subdivision 830</w:t>
      </w:r>
      <w:r>
        <w:rPr>
          <w:noProof/>
        </w:rPr>
        <w:noBreakHyphen/>
        <w:t>A—Meaning of “foreign hybrid”</w:t>
      </w:r>
      <w:r w:rsidRPr="00380510">
        <w:rPr>
          <w:rFonts w:ascii="Times" w:hAnsi="Times" w:cs="Times"/>
          <w:b w:val="0"/>
          <w:noProof/>
          <w:sz w:val="18"/>
        </w:rPr>
        <w:tab/>
      </w:r>
      <w:r w:rsidRPr="00380510">
        <w:rPr>
          <w:rFonts w:ascii="Times" w:hAnsi="Times" w:cs="Times"/>
          <w:b w:val="0"/>
          <w:noProof/>
          <w:sz w:val="18"/>
        </w:rPr>
        <w:fldChar w:fldCharType="begin"/>
      </w:r>
      <w:r w:rsidRPr="00380510">
        <w:rPr>
          <w:rFonts w:ascii="Times" w:hAnsi="Times" w:cs="Times"/>
          <w:b w:val="0"/>
          <w:noProof/>
          <w:sz w:val="18"/>
        </w:rPr>
        <w:instrText xml:space="preserve"> PAGEREF _Toc338939416 \h </w:instrText>
      </w:r>
      <w:r w:rsidRPr="00380510">
        <w:rPr>
          <w:rFonts w:ascii="Times" w:hAnsi="Times" w:cs="Times"/>
          <w:b w:val="0"/>
          <w:noProof/>
          <w:sz w:val="18"/>
        </w:rPr>
      </w:r>
      <w:r w:rsidRPr="00380510">
        <w:rPr>
          <w:rFonts w:ascii="Times" w:hAnsi="Times" w:cs="Times"/>
          <w:b w:val="0"/>
          <w:noProof/>
          <w:sz w:val="18"/>
        </w:rPr>
        <w:fldChar w:fldCharType="separate"/>
      </w:r>
      <w:r w:rsidR="00623A5C">
        <w:rPr>
          <w:rFonts w:ascii="Times" w:hAnsi="Times" w:cs="Times"/>
          <w:b w:val="0"/>
          <w:noProof/>
          <w:sz w:val="18"/>
        </w:rPr>
        <w:t>290</w:t>
      </w:r>
      <w:r w:rsidRPr="00380510">
        <w:rPr>
          <w:rFonts w:ascii="Times" w:hAnsi="Times" w:cs="Times"/>
          <w:b w:val="0"/>
          <w:noProof/>
          <w:sz w:val="18"/>
        </w:rPr>
        <w:fldChar w:fldCharType="end"/>
      </w:r>
    </w:p>
    <w:p w:rsidR="00380510" w:rsidRDefault="00380510">
      <w:pPr>
        <w:pStyle w:val="TOC5"/>
        <w:rPr>
          <w:rFonts w:ascii="Calibri" w:hAnsi="Calibri"/>
          <w:iCs w:val="0"/>
          <w:noProof/>
          <w:kern w:val="0"/>
          <w:sz w:val="22"/>
          <w:szCs w:val="22"/>
        </w:rPr>
      </w:pPr>
      <w:r>
        <w:rPr>
          <w:noProof/>
        </w:rPr>
        <w:t>830</w:t>
      </w:r>
      <w:r>
        <w:rPr>
          <w:noProof/>
        </w:rPr>
        <w:noBreakHyphen/>
        <w:t>5</w:t>
      </w:r>
      <w:r>
        <w:rPr>
          <w:noProof/>
        </w:rPr>
        <w:tab/>
        <w:t>Foreign hybrid</w:t>
      </w:r>
      <w:r w:rsidRPr="00380510">
        <w:rPr>
          <w:rFonts w:ascii="Times" w:hAnsi="Times" w:cs="Times"/>
          <w:noProof/>
        </w:rPr>
        <w:tab/>
      </w:r>
      <w:r w:rsidRPr="00380510">
        <w:rPr>
          <w:rFonts w:ascii="Times" w:hAnsi="Times" w:cs="Times"/>
          <w:noProof/>
        </w:rPr>
        <w:fldChar w:fldCharType="begin"/>
      </w:r>
      <w:r w:rsidRPr="00380510">
        <w:rPr>
          <w:rFonts w:ascii="Times" w:hAnsi="Times" w:cs="Times"/>
          <w:noProof/>
        </w:rPr>
        <w:instrText xml:space="preserve"> PAGEREF _Toc338939417 \h </w:instrText>
      </w:r>
      <w:r w:rsidRPr="00380510">
        <w:rPr>
          <w:rFonts w:ascii="Times" w:hAnsi="Times" w:cs="Times"/>
          <w:noProof/>
        </w:rPr>
      </w:r>
      <w:r w:rsidRPr="00380510">
        <w:rPr>
          <w:rFonts w:ascii="Times" w:hAnsi="Times" w:cs="Times"/>
          <w:noProof/>
        </w:rPr>
        <w:fldChar w:fldCharType="separate"/>
      </w:r>
      <w:r w:rsidR="00623A5C">
        <w:rPr>
          <w:rFonts w:ascii="Times" w:hAnsi="Times" w:cs="Times"/>
          <w:noProof/>
        </w:rPr>
        <w:t>291</w:t>
      </w:r>
      <w:r w:rsidRPr="00380510">
        <w:rPr>
          <w:rFonts w:ascii="Times" w:hAnsi="Times" w:cs="Times"/>
          <w:noProof/>
        </w:rPr>
        <w:fldChar w:fldCharType="end"/>
      </w:r>
    </w:p>
    <w:p w:rsidR="00380510" w:rsidRDefault="00380510">
      <w:pPr>
        <w:pStyle w:val="TOC5"/>
        <w:rPr>
          <w:rFonts w:ascii="Calibri" w:hAnsi="Calibri"/>
          <w:iCs w:val="0"/>
          <w:noProof/>
          <w:kern w:val="0"/>
          <w:sz w:val="22"/>
          <w:szCs w:val="22"/>
        </w:rPr>
      </w:pPr>
      <w:r>
        <w:rPr>
          <w:noProof/>
        </w:rPr>
        <w:t>830</w:t>
      </w:r>
      <w:r>
        <w:rPr>
          <w:noProof/>
        </w:rPr>
        <w:noBreakHyphen/>
        <w:t>10</w:t>
      </w:r>
      <w:r>
        <w:rPr>
          <w:noProof/>
        </w:rPr>
        <w:tab/>
        <w:t>Foreign hybrid limited partnership</w:t>
      </w:r>
      <w:r w:rsidRPr="00380510">
        <w:rPr>
          <w:rFonts w:ascii="Times" w:hAnsi="Times" w:cs="Times"/>
          <w:noProof/>
        </w:rPr>
        <w:tab/>
      </w:r>
      <w:r w:rsidRPr="00380510">
        <w:rPr>
          <w:rFonts w:ascii="Times" w:hAnsi="Times" w:cs="Times"/>
          <w:noProof/>
        </w:rPr>
        <w:fldChar w:fldCharType="begin"/>
      </w:r>
      <w:r w:rsidRPr="00380510">
        <w:rPr>
          <w:rFonts w:ascii="Times" w:hAnsi="Times" w:cs="Times"/>
          <w:noProof/>
        </w:rPr>
        <w:instrText xml:space="preserve"> PAGEREF _Toc338939418 \h </w:instrText>
      </w:r>
      <w:r w:rsidRPr="00380510">
        <w:rPr>
          <w:rFonts w:ascii="Times" w:hAnsi="Times" w:cs="Times"/>
          <w:noProof/>
        </w:rPr>
      </w:r>
      <w:r w:rsidRPr="00380510">
        <w:rPr>
          <w:rFonts w:ascii="Times" w:hAnsi="Times" w:cs="Times"/>
          <w:noProof/>
        </w:rPr>
        <w:fldChar w:fldCharType="separate"/>
      </w:r>
      <w:r w:rsidR="00623A5C">
        <w:rPr>
          <w:rFonts w:ascii="Times" w:hAnsi="Times" w:cs="Times"/>
          <w:noProof/>
        </w:rPr>
        <w:t>291</w:t>
      </w:r>
      <w:r w:rsidRPr="00380510">
        <w:rPr>
          <w:rFonts w:ascii="Times" w:hAnsi="Times" w:cs="Times"/>
          <w:noProof/>
        </w:rPr>
        <w:fldChar w:fldCharType="end"/>
      </w:r>
    </w:p>
    <w:p w:rsidR="00380510" w:rsidRDefault="00380510">
      <w:pPr>
        <w:pStyle w:val="TOC5"/>
        <w:rPr>
          <w:rFonts w:ascii="Calibri" w:hAnsi="Calibri"/>
          <w:iCs w:val="0"/>
          <w:noProof/>
          <w:kern w:val="0"/>
          <w:sz w:val="22"/>
          <w:szCs w:val="22"/>
        </w:rPr>
      </w:pPr>
      <w:r>
        <w:rPr>
          <w:noProof/>
        </w:rPr>
        <w:t>830</w:t>
      </w:r>
      <w:r>
        <w:rPr>
          <w:noProof/>
        </w:rPr>
        <w:noBreakHyphen/>
        <w:t>15</w:t>
      </w:r>
      <w:r>
        <w:rPr>
          <w:noProof/>
        </w:rPr>
        <w:tab/>
        <w:t>Foreign hybrid company</w:t>
      </w:r>
      <w:r w:rsidRPr="00380510">
        <w:rPr>
          <w:rFonts w:ascii="Times" w:hAnsi="Times" w:cs="Times"/>
          <w:noProof/>
        </w:rPr>
        <w:tab/>
      </w:r>
      <w:r w:rsidRPr="00380510">
        <w:rPr>
          <w:rFonts w:ascii="Times" w:hAnsi="Times" w:cs="Times"/>
          <w:noProof/>
        </w:rPr>
        <w:fldChar w:fldCharType="begin"/>
      </w:r>
      <w:r w:rsidRPr="00380510">
        <w:rPr>
          <w:rFonts w:ascii="Times" w:hAnsi="Times" w:cs="Times"/>
          <w:noProof/>
        </w:rPr>
        <w:instrText xml:space="preserve"> PAGEREF _Toc338939419 \h </w:instrText>
      </w:r>
      <w:r w:rsidRPr="00380510">
        <w:rPr>
          <w:rFonts w:ascii="Times" w:hAnsi="Times" w:cs="Times"/>
          <w:noProof/>
        </w:rPr>
      </w:r>
      <w:r w:rsidRPr="00380510">
        <w:rPr>
          <w:rFonts w:ascii="Times" w:hAnsi="Times" w:cs="Times"/>
          <w:noProof/>
        </w:rPr>
        <w:fldChar w:fldCharType="separate"/>
      </w:r>
      <w:r w:rsidR="00623A5C">
        <w:rPr>
          <w:rFonts w:ascii="Times" w:hAnsi="Times" w:cs="Times"/>
          <w:noProof/>
        </w:rPr>
        <w:t>292</w:t>
      </w:r>
      <w:r w:rsidRPr="00380510">
        <w:rPr>
          <w:rFonts w:ascii="Times" w:hAnsi="Times" w:cs="Times"/>
          <w:noProof/>
        </w:rPr>
        <w:fldChar w:fldCharType="end"/>
      </w:r>
    </w:p>
    <w:p w:rsidR="00380510" w:rsidRDefault="00380510">
      <w:pPr>
        <w:pStyle w:val="TOC4"/>
        <w:rPr>
          <w:rFonts w:ascii="Calibri" w:hAnsi="Calibri"/>
          <w:b w:val="0"/>
          <w:noProof/>
          <w:kern w:val="0"/>
          <w:sz w:val="22"/>
          <w:szCs w:val="22"/>
        </w:rPr>
      </w:pPr>
      <w:r>
        <w:rPr>
          <w:noProof/>
        </w:rPr>
        <w:t>Subdivision 830</w:t>
      </w:r>
      <w:r>
        <w:rPr>
          <w:noProof/>
        </w:rPr>
        <w:noBreakHyphen/>
        <w:t>B—Extension of normal partnership provisions to foreign hybrid companies</w:t>
      </w:r>
      <w:r w:rsidRPr="00380510">
        <w:rPr>
          <w:rFonts w:ascii="Times" w:hAnsi="Times" w:cs="Times"/>
          <w:b w:val="0"/>
          <w:noProof/>
          <w:sz w:val="18"/>
        </w:rPr>
        <w:tab/>
      </w:r>
      <w:r w:rsidRPr="00380510">
        <w:rPr>
          <w:rFonts w:ascii="Times" w:hAnsi="Times" w:cs="Times"/>
          <w:b w:val="0"/>
          <w:noProof/>
          <w:sz w:val="18"/>
        </w:rPr>
        <w:fldChar w:fldCharType="begin"/>
      </w:r>
      <w:r w:rsidRPr="00380510">
        <w:rPr>
          <w:rFonts w:ascii="Times" w:hAnsi="Times" w:cs="Times"/>
          <w:b w:val="0"/>
          <w:noProof/>
          <w:sz w:val="18"/>
        </w:rPr>
        <w:instrText xml:space="preserve"> PAGEREF _Toc338939420 \h </w:instrText>
      </w:r>
      <w:r w:rsidRPr="00380510">
        <w:rPr>
          <w:rFonts w:ascii="Times" w:hAnsi="Times" w:cs="Times"/>
          <w:b w:val="0"/>
          <w:noProof/>
          <w:sz w:val="18"/>
        </w:rPr>
      </w:r>
      <w:r w:rsidRPr="00380510">
        <w:rPr>
          <w:rFonts w:ascii="Times" w:hAnsi="Times" w:cs="Times"/>
          <w:b w:val="0"/>
          <w:noProof/>
          <w:sz w:val="18"/>
        </w:rPr>
        <w:fldChar w:fldCharType="separate"/>
      </w:r>
      <w:r w:rsidR="00623A5C">
        <w:rPr>
          <w:rFonts w:ascii="Times" w:hAnsi="Times" w:cs="Times"/>
          <w:b w:val="0"/>
          <w:noProof/>
          <w:sz w:val="18"/>
        </w:rPr>
        <w:t>295</w:t>
      </w:r>
      <w:r w:rsidRPr="00380510">
        <w:rPr>
          <w:rFonts w:ascii="Times" w:hAnsi="Times" w:cs="Times"/>
          <w:b w:val="0"/>
          <w:noProof/>
          <w:sz w:val="18"/>
        </w:rPr>
        <w:fldChar w:fldCharType="end"/>
      </w:r>
    </w:p>
    <w:p w:rsidR="00380510" w:rsidRDefault="00380510">
      <w:pPr>
        <w:pStyle w:val="TOC5"/>
        <w:rPr>
          <w:rFonts w:ascii="Calibri" w:hAnsi="Calibri"/>
          <w:iCs w:val="0"/>
          <w:noProof/>
          <w:kern w:val="0"/>
          <w:sz w:val="22"/>
          <w:szCs w:val="22"/>
        </w:rPr>
      </w:pPr>
      <w:r>
        <w:rPr>
          <w:noProof/>
        </w:rPr>
        <w:t>830</w:t>
      </w:r>
      <w:r>
        <w:rPr>
          <w:noProof/>
        </w:rPr>
        <w:noBreakHyphen/>
        <w:t>20</w:t>
      </w:r>
      <w:r>
        <w:rPr>
          <w:noProof/>
        </w:rPr>
        <w:tab/>
        <w:t>Treatment of company as a partnership</w:t>
      </w:r>
      <w:r w:rsidRPr="00380510">
        <w:rPr>
          <w:rFonts w:ascii="Times" w:hAnsi="Times" w:cs="Times"/>
          <w:noProof/>
        </w:rPr>
        <w:tab/>
      </w:r>
      <w:r w:rsidRPr="00380510">
        <w:rPr>
          <w:rFonts w:ascii="Times" w:hAnsi="Times" w:cs="Times"/>
          <w:noProof/>
        </w:rPr>
        <w:fldChar w:fldCharType="begin"/>
      </w:r>
      <w:r w:rsidRPr="00380510">
        <w:rPr>
          <w:rFonts w:ascii="Times" w:hAnsi="Times" w:cs="Times"/>
          <w:noProof/>
        </w:rPr>
        <w:instrText xml:space="preserve"> PAGEREF _Toc338939421 \h </w:instrText>
      </w:r>
      <w:r w:rsidRPr="00380510">
        <w:rPr>
          <w:rFonts w:ascii="Times" w:hAnsi="Times" w:cs="Times"/>
          <w:noProof/>
        </w:rPr>
      </w:r>
      <w:r w:rsidRPr="00380510">
        <w:rPr>
          <w:rFonts w:ascii="Times" w:hAnsi="Times" w:cs="Times"/>
          <w:noProof/>
        </w:rPr>
        <w:fldChar w:fldCharType="separate"/>
      </w:r>
      <w:r w:rsidR="00623A5C">
        <w:rPr>
          <w:rFonts w:ascii="Times" w:hAnsi="Times" w:cs="Times"/>
          <w:noProof/>
        </w:rPr>
        <w:t>295</w:t>
      </w:r>
      <w:r w:rsidRPr="00380510">
        <w:rPr>
          <w:rFonts w:ascii="Times" w:hAnsi="Times" w:cs="Times"/>
          <w:noProof/>
        </w:rPr>
        <w:fldChar w:fldCharType="end"/>
      </w:r>
    </w:p>
    <w:p w:rsidR="00380510" w:rsidRDefault="00380510">
      <w:pPr>
        <w:pStyle w:val="TOC5"/>
        <w:rPr>
          <w:rFonts w:ascii="Calibri" w:hAnsi="Calibri"/>
          <w:iCs w:val="0"/>
          <w:noProof/>
          <w:kern w:val="0"/>
          <w:sz w:val="22"/>
          <w:szCs w:val="22"/>
        </w:rPr>
      </w:pPr>
      <w:r>
        <w:rPr>
          <w:noProof/>
        </w:rPr>
        <w:t>830</w:t>
      </w:r>
      <w:r>
        <w:rPr>
          <w:noProof/>
        </w:rPr>
        <w:noBreakHyphen/>
        <w:t>25</w:t>
      </w:r>
      <w:r>
        <w:rPr>
          <w:noProof/>
        </w:rPr>
        <w:tab/>
        <w:t>Partners are the shareholders in the company</w:t>
      </w:r>
      <w:r w:rsidRPr="00380510">
        <w:rPr>
          <w:rFonts w:ascii="Times" w:hAnsi="Times" w:cs="Times"/>
          <w:noProof/>
        </w:rPr>
        <w:tab/>
      </w:r>
      <w:r w:rsidRPr="00380510">
        <w:rPr>
          <w:rFonts w:ascii="Times" w:hAnsi="Times" w:cs="Times"/>
          <w:noProof/>
        </w:rPr>
        <w:fldChar w:fldCharType="begin"/>
      </w:r>
      <w:r w:rsidRPr="00380510">
        <w:rPr>
          <w:rFonts w:ascii="Times" w:hAnsi="Times" w:cs="Times"/>
          <w:noProof/>
        </w:rPr>
        <w:instrText xml:space="preserve"> PAGEREF _Toc338939422 \h </w:instrText>
      </w:r>
      <w:r w:rsidRPr="00380510">
        <w:rPr>
          <w:rFonts w:ascii="Times" w:hAnsi="Times" w:cs="Times"/>
          <w:noProof/>
        </w:rPr>
      </w:r>
      <w:r w:rsidRPr="00380510">
        <w:rPr>
          <w:rFonts w:ascii="Times" w:hAnsi="Times" w:cs="Times"/>
          <w:noProof/>
        </w:rPr>
        <w:fldChar w:fldCharType="separate"/>
      </w:r>
      <w:r w:rsidR="00623A5C">
        <w:rPr>
          <w:rFonts w:ascii="Times" w:hAnsi="Times" w:cs="Times"/>
          <w:noProof/>
        </w:rPr>
        <w:t>295</w:t>
      </w:r>
      <w:r w:rsidRPr="00380510">
        <w:rPr>
          <w:rFonts w:ascii="Times" w:hAnsi="Times" w:cs="Times"/>
          <w:noProof/>
        </w:rPr>
        <w:fldChar w:fldCharType="end"/>
      </w:r>
    </w:p>
    <w:p w:rsidR="00380510" w:rsidRDefault="00380510">
      <w:pPr>
        <w:pStyle w:val="TOC5"/>
        <w:rPr>
          <w:rFonts w:ascii="Calibri" w:hAnsi="Calibri"/>
          <w:iCs w:val="0"/>
          <w:noProof/>
          <w:kern w:val="0"/>
          <w:sz w:val="22"/>
          <w:szCs w:val="22"/>
        </w:rPr>
      </w:pPr>
      <w:r>
        <w:rPr>
          <w:noProof/>
        </w:rPr>
        <w:t>830</w:t>
      </w:r>
      <w:r>
        <w:rPr>
          <w:noProof/>
        </w:rPr>
        <w:noBreakHyphen/>
        <w:t>30</w:t>
      </w:r>
      <w:r>
        <w:rPr>
          <w:noProof/>
        </w:rPr>
        <w:tab/>
        <w:t>Individual interest of a partner in net income etc. equals percentage of notional distribution of company’s profits</w:t>
      </w:r>
      <w:r w:rsidRPr="00380510">
        <w:rPr>
          <w:rFonts w:ascii="Times" w:hAnsi="Times" w:cs="Times"/>
          <w:noProof/>
        </w:rPr>
        <w:tab/>
      </w:r>
      <w:r w:rsidRPr="00380510">
        <w:rPr>
          <w:rFonts w:ascii="Times" w:hAnsi="Times" w:cs="Times"/>
          <w:noProof/>
        </w:rPr>
        <w:fldChar w:fldCharType="begin"/>
      </w:r>
      <w:r w:rsidRPr="00380510">
        <w:rPr>
          <w:rFonts w:ascii="Times" w:hAnsi="Times" w:cs="Times"/>
          <w:noProof/>
        </w:rPr>
        <w:instrText xml:space="preserve"> PAGEREF _Toc338939423 \h </w:instrText>
      </w:r>
      <w:r w:rsidRPr="00380510">
        <w:rPr>
          <w:rFonts w:ascii="Times" w:hAnsi="Times" w:cs="Times"/>
          <w:noProof/>
        </w:rPr>
      </w:r>
      <w:r w:rsidRPr="00380510">
        <w:rPr>
          <w:rFonts w:ascii="Times" w:hAnsi="Times" w:cs="Times"/>
          <w:noProof/>
        </w:rPr>
        <w:fldChar w:fldCharType="separate"/>
      </w:r>
      <w:r w:rsidR="00623A5C">
        <w:rPr>
          <w:rFonts w:ascii="Times" w:hAnsi="Times" w:cs="Times"/>
          <w:noProof/>
        </w:rPr>
        <w:t>295</w:t>
      </w:r>
      <w:r w:rsidRPr="00380510">
        <w:rPr>
          <w:rFonts w:ascii="Times" w:hAnsi="Times" w:cs="Times"/>
          <w:noProof/>
        </w:rPr>
        <w:fldChar w:fldCharType="end"/>
      </w:r>
    </w:p>
    <w:p w:rsidR="00380510" w:rsidRDefault="00380510">
      <w:pPr>
        <w:pStyle w:val="TOC5"/>
        <w:rPr>
          <w:rFonts w:ascii="Calibri" w:hAnsi="Calibri"/>
          <w:iCs w:val="0"/>
          <w:noProof/>
          <w:kern w:val="0"/>
          <w:sz w:val="22"/>
          <w:szCs w:val="22"/>
        </w:rPr>
      </w:pPr>
      <w:r>
        <w:rPr>
          <w:noProof/>
        </w:rPr>
        <w:t>830</w:t>
      </w:r>
      <w:r>
        <w:rPr>
          <w:noProof/>
        </w:rPr>
        <w:noBreakHyphen/>
        <w:t>35</w:t>
      </w:r>
      <w:r>
        <w:rPr>
          <w:noProof/>
        </w:rPr>
        <w:tab/>
        <w:t>Partner’s interest in assets</w:t>
      </w:r>
      <w:r w:rsidRPr="00380510">
        <w:rPr>
          <w:rFonts w:ascii="Times" w:hAnsi="Times" w:cs="Times"/>
          <w:noProof/>
        </w:rPr>
        <w:tab/>
      </w:r>
      <w:r w:rsidRPr="00380510">
        <w:rPr>
          <w:rFonts w:ascii="Times" w:hAnsi="Times" w:cs="Times"/>
          <w:noProof/>
        </w:rPr>
        <w:fldChar w:fldCharType="begin"/>
      </w:r>
      <w:r w:rsidRPr="00380510">
        <w:rPr>
          <w:rFonts w:ascii="Times" w:hAnsi="Times" w:cs="Times"/>
          <w:noProof/>
        </w:rPr>
        <w:instrText xml:space="preserve"> PAGEREF _Toc338939424 \h </w:instrText>
      </w:r>
      <w:r w:rsidRPr="00380510">
        <w:rPr>
          <w:rFonts w:ascii="Times" w:hAnsi="Times" w:cs="Times"/>
          <w:noProof/>
        </w:rPr>
      </w:r>
      <w:r w:rsidRPr="00380510">
        <w:rPr>
          <w:rFonts w:ascii="Times" w:hAnsi="Times" w:cs="Times"/>
          <w:noProof/>
        </w:rPr>
        <w:fldChar w:fldCharType="separate"/>
      </w:r>
      <w:r w:rsidR="00623A5C">
        <w:rPr>
          <w:rFonts w:ascii="Times" w:hAnsi="Times" w:cs="Times"/>
          <w:noProof/>
        </w:rPr>
        <w:t>296</w:t>
      </w:r>
      <w:r w:rsidRPr="00380510">
        <w:rPr>
          <w:rFonts w:ascii="Times" w:hAnsi="Times" w:cs="Times"/>
          <w:noProof/>
        </w:rPr>
        <w:fldChar w:fldCharType="end"/>
      </w:r>
    </w:p>
    <w:p w:rsidR="00380510" w:rsidRDefault="00380510">
      <w:pPr>
        <w:pStyle w:val="TOC5"/>
        <w:rPr>
          <w:rFonts w:ascii="Calibri" w:hAnsi="Calibri"/>
          <w:iCs w:val="0"/>
          <w:noProof/>
          <w:kern w:val="0"/>
          <w:sz w:val="22"/>
          <w:szCs w:val="22"/>
        </w:rPr>
      </w:pPr>
      <w:r>
        <w:rPr>
          <w:noProof/>
        </w:rPr>
        <w:t>830</w:t>
      </w:r>
      <w:r>
        <w:rPr>
          <w:noProof/>
        </w:rPr>
        <w:noBreakHyphen/>
        <w:t>40</w:t>
      </w:r>
      <w:r>
        <w:rPr>
          <w:noProof/>
        </w:rPr>
        <w:tab/>
        <w:t>Control and disposal of share in partnership income</w:t>
      </w:r>
      <w:r w:rsidRPr="00380510">
        <w:rPr>
          <w:rFonts w:ascii="Times" w:hAnsi="Times" w:cs="Times"/>
          <w:noProof/>
        </w:rPr>
        <w:tab/>
      </w:r>
      <w:r w:rsidRPr="00380510">
        <w:rPr>
          <w:rFonts w:ascii="Times" w:hAnsi="Times" w:cs="Times"/>
          <w:noProof/>
        </w:rPr>
        <w:fldChar w:fldCharType="begin"/>
      </w:r>
      <w:r w:rsidRPr="00380510">
        <w:rPr>
          <w:rFonts w:ascii="Times" w:hAnsi="Times" w:cs="Times"/>
          <w:noProof/>
        </w:rPr>
        <w:instrText xml:space="preserve"> PAGEREF _Toc338939425 \h </w:instrText>
      </w:r>
      <w:r w:rsidRPr="00380510">
        <w:rPr>
          <w:rFonts w:ascii="Times" w:hAnsi="Times" w:cs="Times"/>
          <w:noProof/>
        </w:rPr>
      </w:r>
      <w:r w:rsidRPr="00380510">
        <w:rPr>
          <w:rFonts w:ascii="Times" w:hAnsi="Times" w:cs="Times"/>
          <w:noProof/>
        </w:rPr>
        <w:fldChar w:fldCharType="separate"/>
      </w:r>
      <w:r w:rsidR="00623A5C">
        <w:rPr>
          <w:rFonts w:ascii="Times" w:hAnsi="Times" w:cs="Times"/>
          <w:noProof/>
        </w:rPr>
        <w:t>296</w:t>
      </w:r>
      <w:r w:rsidRPr="00380510">
        <w:rPr>
          <w:rFonts w:ascii="Times" w:hAnsi="Times" w:cs="Times"/>
          <w:noProof/>
        </w:rPr>
        <w:fldChar w:fldCharType="end"/>
      </w:r>
    </w:p>
    <w:p w:rsidR="00380510" w:rsidRDefault="00380510">
      <w:pPr>
        <w:pStyle w:val="TOC4"/>
        <w:rPr>
          <w:rFonts w:ascii="Calibri" w:hAnsi="Calibri"/>
          <w:b w:val="0"/>
          <w:noProof/>
          <w:kern w:val="0"/>
          <w:sz w:val="22"/>
          <w:szCs w:val="22"/>
        </w:rPr>
      </w:pPr>
      <w:r>
        <w:rPr>
          <w:noProof/>
        </w:rPr>
        <w:t>Subdivision 830</w:t>
      </w:r>
      <w:r>
        <w:rPr>
          <w:noProof/>
        </w:rPr>
        <w:noBreakHyphen/>
        <w:t>C—Special rules applicable while an entity is a foreign hybrid</w:t>
      </w:r>
      <w:r w:rsidRPr="00380510">
        <w:rPr>
          <w:rFonts w:ascii="Times" w:hAnsi="Times" w:cs="Times"/>
          <w:b w:val="0"/>
          <w:noProof/>
          <w:sz w:val="18"/>
        </w:rPr>
        <w:tab/>
      </w:r>
      <w:r w:rsidRPr="00380510">
        <w:rPr>
          <w:rFonts w:ascii="Times" w:hAnsi="Times" w:cs="Times"/>
          <w:b w:val="0"/>
          <w:noProof/>
          <w:sz w:val="18"/>
        </w:rPr>
        <w:fldChar w:fldCharType="begin"/>
      </w:r>
      <w:r w:rsidRPr="00380510">
        <w:rPr>
          <w:rFonts w:ascii="Times" w:hAnsi="Times" w:cs="Times"/>
          <w:b w:val="0"/>
          <w:noProof/>
          <w:sz w:val="18"/>
        </w:rPr>
        <w:instrText xml:space="preserve"> PAGEREF _Toc338939426 \h </w:instrText>
      </w:r>
      <w:r w:rsidRPr="00380510">
        <w:rPr>
          <w:rFonts w:ascii="Times" w:hAnsi="Times" w:cs="Times"/>
          <w:b w:val="0"/>
          <w:noProof/>
          <w:sz w:val="18"/>
        </w:rPr>
      </w:r>
      <w:r w:rsidRPr="00380510">
        <w:rPr>
          <w:rFonts w:ascii="Times" w:hAnsi="Times" w:cs="Times"/>
          <w:b w:val="0"/>
          <w:noProof/>
          <w:sz w:val="18"/>
        </w:rPr>
        <w:fldChar w:fldCharType="separate"/>
      </w:r>
      <w:r w:rsidR="00623A5C">
        <w:rPr>
          <w:rFonts w:ascii="Times" w:hAnsi="Times" w:cs="Times"/>
          <w:b w:val="0"/>
          <w:noProof/>
          <w:sz w:val="18"/>
        </w:rPr>
        <w:t>296</w:t>
      </w:r>
      <w:r w:rsidRPr="00380510">
        <w:rPr>
          <w:rFonts w:ascii="Times" w:hAnsi="Times" w:cs="Times"/>
          <w:b w:val="0"/>
          <w:noProof/>
          <w:sz w:val="18"/>
        </w:rPr>
        <w:fldChar w:fldCharType="end"/>
      </w:r>
    </w:p>
    <w:p w:rsidR="00380510" w:rsidRDefault="00380510">
      <w:pPr>
        <w:pStyle w:val="TOC5"/>
        <w:rPr>
          <w:rFonts w:ascii="Calibri" w:hAnsi="Calibri"/>
          <w:iCs w:val="0"/>
          <w:noProof/>
          <w:kern w:val="0"/>
          <w:sz w:val="22"/>
          <w:szCs w:val="22"/>
        </w:rPr>
      </w:pPr>
      <w:r>
        <w:rPr>
          <w:noProof/>
        </w:rPr>
        <w:t>830</w:t>
      </w:r>
      <w:r>
        <w:rPr>
          <w:noProof/>
        </w:rPr>
        <w:noBreakHyphen/>
        <w:t>45</w:t>
      </w:r>
      <w:r>
        <w:rPr>
          <w:noProof/>
        </w:rPr>
        <w:tab/>
        <w:t>Partner’s revenue and net capital losses from foreign hybrid not to exceed partner’s loss exposure amount</w:t>
      </w:r>
      <w:r w:rsidRPr="00380510">
        <w:rPr>
          <w:rFonts w:ascii="Times" w:hAnsi="Times" w:cs="Times"/>
          <w:noProof/>
        </w:rPr>
        <w:tab/>
      </w:r>
      <w:r w:rsidRPr="00380510">
        <w:rPr>
          <w:rFonts w:ascii="Times" w:hAnsi="Times" w:cs="Times"/>
          <w:noProof/>
        </w:rPr>
        <w:fldChar w:fldCharType="begin"/>
      </w:r>
      <w:r w:rsidRPr="00380510">
        <w:rPr>
          <w:rFonts w:ascii="Times" w:hAnsi="Times" w:cs="Times"/>
          <w:noProof/>
        </w:rPr>
        <w:instrText xml:space="preserve"> PAGEREF _Toc338939427 \h </w:instrText>
      </w:r>
      <w:r w:rsidRPr="00380510">
        <w:rPr>
          <w:rFonts w:ascii="Times" w:hAnsi="Times" w:cs="Times"/>
          <w:noProof/>
        </w:rPr>
      </w:r>
      <w:r w:rsidRPr="00380510">
        <w:rPr>
          <w:rFonts w:ascii="Times" w:hAnsi="Times" w:cs="Times"/>
          <w:noProof/>
        </w:rPr>
        <w:fldChar w:fldCharType="separate"/>
      </w:r>
      <w:r w:rsidR="00623A5C">
        <w:rPr>
          <w:rFonts w:ascii="Times" w:hAnsi="Times" w:cs="Times"/>
          <w:noProof/>
        </w:rPr>
        <w:t>297</w:t>
      </w:r>
      <w:r w:rsidRPr="00380510">
        <w:rPr>
          <w:rFonts w:ascii="Times" w:hAnsi="Times" w:cs="Times"/>
          <w:noProof/>
        </w:rPr>
        <w:fldChar w:fldCharType="end"/>
      </w:r>
    </w:p>
    <w:p w:rsidR="00380510" w:rsidRDefault="00380510">
      <w:pPr>
        <w:pStyle w:val="TOC5"/>
        <w:rPr>
          <w:rFonts w:ascii="Calibri" w:hAnsi="Calibri"/>
          <w:iCs w:val="0"/>
          <w:noProof/>
          <w:kern w:val="0"/>
          <w:sz w:val="22"/>
          <w:szCs w:val="22"/>
        </w:rPr>
      </w:pPr>
      <w:r>
        <w:rPr>
          <w:noProof/>
        </w:rPr>
        <w:t>830</w:t>
      </w:r>
      <w:r>
        <w:rPr>
          <w:noProof/>
        </w:rPr>
        <w:noBreakHyphen/>
        <w:t>50</w:t>
      </w:r>
      <w:r>
        <w:rPr>
          <w:noProof/>
        </w:rPr>
        <w:tab/>
        <w:t>Deduction etc. where partner’s foreign hybrid revenue loss amount and foreign hybrid net capital loss amount are less than partner’s loss exposure amount</w:t>
      </w:r>
      <w:r w:rsidRPr="00380510">
        <w:rPr>
          <w:rFonts w:ascii="Times" w:hAnsi="Times" w:cs="Times"/>
          <w:noProof/>
        </w:rPr>
        <w:tab/>
      </w:r>
      <w:r w:rsidRPr="00380510">
        <w:rPr>
          <w:rFonts w:ascii="Times" w:hAnsi="Times" w:cs="Times"/>
          <w:noProof/>
        </w:rPr>
        <w:fldChar w:fldCharType="begin"/>
      </w:r>
      <w:r w:rsidRPr="00380510">
        <w:rPr>
          <w:rFonts w:ascii="Times" w:hAnsi="Times" w:cs="Times"/>
          <w:noProof/>
        </w:rPr>
        <w:instrText xml:space="preserve"> PAGEREF _Toc338939428 \h </w:instrText>
      </w:r>
      <w:r w:rsidRPr="00380510">
        <w:rPr>
          <w:rFonts w:ascii="Times" w:hAnsi="Times" w:cs="Times"/>
          <w:noProof/>
        </w:rPr>
      </w:r>
      <w:r w:rsidRPr="00380510">
        <w:rPr>
          <w:rFonts w:ascii="Times" w:hAnsi="Times" w:cs="Times"/>
          <w:noProof/>
        </w:rPr>
        <w:fldChar w:fldCharType="separate"/>
      </w:r>
      <w:r w:rsidR="00623A5C">
        <w:rPr>
          <w:rFonts w:ascii="Times" w:hAnsi="Times" w:cs="Times"/>
          <w:noProof/>
        </w:rPr>
        <w:t>298</w:t>
      </w:r>
      <w:r w:rsidRPr="00380510">
        <w:rPr>
          <w:rFonts w:ascii="Times" w:hAnsi="Times" w:cs="Times"/>
          <w:noProof/>
        </w:rPr>
        <w:fldChar w:fldCharType="end"/>
      </w:r>
    </w:p>
    <w:p w:rsidR="00380510" w:rsidRDefault="00380510">
      <w:pPr>
        <w:pStyle w:val="TOC5"/>
        <w:rPr>
          <w:rFonts w:ascii="Calibri" w:hAnsi="Calibri"/>
          <w:iCs w:val="0"/>
          <w:noProof/>
          <w:kern w:val="0"/>
          <w:sz w:val="22"/>
          <w:szCs w:val="22"/>
        </w:rPr>
      </w:pPr>
      <w:r>
        <w:rPr>
          <w:noProof/>
        </w:rPr>
        <w:lastRenderedPageBreak/>
        <w:t>830</w:t>
      </w:r>
      <w:r>
        <w:rPr>
          <w:noProof/>
        </w:rPr>
        <w:noBreakHyphen/>
        <w:t>55</w:t>
      </w:r>
      <w:r>
        <w:rPr>
          <w:noProof/>
        </w:rPr>
        <w:tab/>
        <w:t xml:space="preserve">Meaning of </w:t>
      </w:r>
      <w:r w:rsidRPr="008A0EAA">
        <w:rPr>
          <w:i/>
          <w:noProof/>
        </w:rPr>
        <w:t>foreign hybrid net capital loss amount</w:t>
      </w:r>
      <w:r w:rsidRPr="00380510">
        <w:rPr>
          <w:rFonts w:ascii="Times" w:hAnsi="Times" w:cs="Times"/>
          <w:noProof/>
        </w:rPr>
        <w:tab/>
      </w:r>
      <w:r w:rsidRPr="00380510">
        <w:rPr>
          <w:rFonts w:ascii="Times" w:hAnsi="Times" w:cs="Times"/>
          <w:noProof/>
        </w:rPr>
        <w:fldChar w:fldCharType="begin"/>
      </w:r>
      <w:r w:rsidRPr="00380510">
        <w:rPr>
          <w:rFonts w:ascii="Times" w:hAnsi="Times" w:cs="Times"/>
          <w:noProof/>
        </w:rPr>
        <w:instrText xml:space="preserve"> PAGEREF _Toc338939429 \h </w:instrText>
      </w:r>
      <w:r w:rsidRPr="00380510">
        <w:rPr>
          <w:rFonts w:ascii="Times" w:hAnsi="Times" w:cs="Times"/>
          <w:noProof/>
        </w:rPr>
      </w:r>
      <w:r w:rsidRPr="00380510">
        <w:rPr>
          <w:rFonts w:ascii="Times" w:hAnsi="Times" w:cs="Times"/>
          <w:noProof/>
        </w:rPr>
        <w:fldChar w:fldCharType="separate"/>
      </w:r>
      <w:r w:rsidR="00623A5C">
        <w:rPr>
          <w:rFonts w:ascii="Times" w:hAnsi="Times" w:cs="Times"/>
          <w:noProof/>
        </w:rPr>
        <w:t>299</w:t>
      </w:r>
      <w:r w:rsidRPr="00380510">
        <w:rPr>
          <w:rFonts w:ascii="Times" w:hAnsi="Times" w:cs="Times"/>
          <w:noProof/>
        </w:rPr>
        <w:fldChar w:fldCharType="end"/>
      </w:r>
    </w:p>
    <w:p w:rsidR="00380510" w:rsidRDefault="00380510">
      <w:pPr>
        <w:pStyle w:val="TOC5"/>
        <w:rPr>
          <w:rFonts w:ascii="Calibri" w:hAnsi="Calibri"/>
          <w:iCs w:val="0"/>
          <w:noProof/>
          <w:kern w:val="0"/>
          <w:sz w:val="22"/>
          <w:szCs w:val="22"/>
        </w:rPr>
      </w:pPr>
      <w:r>
        <w:rPr>
          <w:noProof/>
        </w:rPr>
        <w:t>830</w:t>
      </w:r>
      <w:r>
        <w:rPr>
          <w:noProof/>
        </w:rPr>
        <w:noBreakHyphen/>
        <w:t>60</w:t>
      </w:r>
      <w:r>
        <w:rPr>
          <w:noProof/>
        </w:rPr>
        <w:tab/>
        <w:t xml:space="preserve">Meaning of </w:t>
      </w:r>
      <w:r w:rsidRPr="008A0EAA">
        <w:rPr>
          <w:i/>
          <w:noProof/>
        </w:rPr>
        <w:t>loss exposure amount</w:t>
      </w:r>
      <w:r w:rsidRPr="00380510">
        <w:rPr>
          <w:rFonts w:ascii="Times" w:hAnsi="Times" w:cs="Times"/>
          <w:noProof/>
        </w:rPr>
        <w:tab/>
      </w:r>
      <w:r w:rsidRPr="00380510">
        <w:rPr>
          <w:rFonts w:ascii="Times" w:hAnsi="Times" w:cs="Times"/>
          <w:noProof/>
        </w:rPr>
        <w:fldChar w:fldCharType="begin"/>
      </w:r>
      <w:r w:rsidRPr="00380510">
        <w:rPr>
          <w:rFonts w:ascii="Times" w:hAnsi="Times" w:cs="Times"/>
          <w:noProof/>
        </w:rPr>
        <w:instrText xml:space="preserve"> PAGEREF _Toc338939430 \h </w:instrText>
      </w:r>
      <w:r w:rsidRPr="00380510">
        <w:rPr>
          <w:rFonts w:ascii="Times" w:hAnsi="Times" w:cs="Times"/>
          <w:noProof/>
        </w:rPr>
      </w:r>
      <w:r w:rsidRPr="00380510">
        <w:rPr>
          <w:rFonts w:ascii="Times" w:hAnsi="Times" w:cs="Times"/>
          <w:noProof/>
        </w:rPr>
        <w:fldChar w:fldCharType="separate"/>
      </w:r>
      <w:r w:rsidR="00623A5C">
        <w:rPr>
          <w:rFonts w:ascii="Times" w:hAnsi="Times" w:cs="Times"/>
          <w:noProof/>
        </w:rPr>
        <w:t>300</w:t>
      </w:r>
      <w:r w:rsidRPr="00380510">
        <w:rPr>
          <w:rFonts w:ascii="Times" w:hAnsi="Times" w:cs="Times"/>
          <w:noProof/>
        </w:rPr>
        <w:fldChar w:fldCharType="end"/>
      </w:r>
    </w:p>
    <w:p w:rsidR="00380510" w:rsidRDefault="00380510">
      <w:pPr>
        <w:pStyle w:val="TOC5"/>
        <w:rPr>
          <w:rFonts w:ascii="Calibri" w:hAnsi="Calibri"/>
          <w:iCs w:val="0"/>
          <w:noProof/>
          <w:kern w:val="0"/>
          <w:sz w:val="22"/>
          <w:szCs w:val="22"/>
        </w:rPr>
      </w:pPr>
      <w:r>
        <w:rPr>
          <w:noProof/>
        </w:rPr>
        <w:t>830</w:t>
      </w:r>
      <w:r>
        <w:rPr>
          <w:noProof/>
        </w:rPr>
        <w:noBreakHyphen/>
        <w:t>65</w:t>
      </w:r>
      <w:r>
        <w:rPr>
          <w:noProof/>
        </w:rPr>
        <w:tab/>
        <w:t xml:space="preserve">Meaning of </w:t>
      </w:r>
      <w:r w:rsidRPr="008A0EAA">
        <w:rPr>
          <w:i/>
          <w:noProof/>
        </w:rPr>
        <w:t>outstanding foreign hybrid revenue loss amount</w:t>
      </w:r>
      <w:r w:rsidRPr="00380510">
        <w:rPr>
          <w:rFonts w:ascii="Times" w:hAnsi="Times" w:cs="Times"/>
          <w:noProof/>
        </w:rPr>
        <w:tab/>
      </w:r>
      <w:r w:rsidRPr="00380510">
        <w:rPr>
          <w:rFonts w:ascii="Times" w:hAnsi="Times" w:cs="Times"/>
          <w:noProof/>
        </w:rPr>
        <w:fldChar w:fldCharType="begin"/>
      </w:r>
      <w:r w:rsidRPr="00380510">
        <w:rPr>
          <w:rFonts w:ascii="Times" w:hAnsi="Times" w:cs="Times"/>
          <w:noProof/>
        </w:rPr>
        <w:instrText xml:space="preserve"> PAGEREF _Toc338939431 \h </w:instrText>
      </w:r>
      <w:r w:rsidRPr="00380510">
        <w:rPr>
          <w:rFonts w:ascii="Times" w:hAnsi="Times" w:cs="Times"/>
          <w:noProof/>
        </w:rPr>
      </w:r>
      <w:r w:rsidRPr="00380510">
        <w:rPr>
          <w:rFonts w:ascii="Times" w:hAnsi="Times" w:cs="Times"/>
          <w:noProof/>
        </w:rPr>
        <w:fldChar w:fldCharType="separate"/>
      </w:r>
      <w:r w:rsidR="00623A5C">
        <w:rPr>
          <w:rFonts w:ascii="Times" w:hAnsi="Times" w:cs="Times"/>
          <w:noProof/>
        </w:rPr>
        <w:t>301</w:t>
      </w:r>
      <w:r w:rsidRPr="00380510">
        <w:rPr>
          <w:rFonts w:ascii="Times" w:hAnsi="Times" w:cs="Times"/>
          <w:noProof/>
        </w:rPr>
        <w:fldChar w:fldCharType="end"/>
      </w:r>
    </w:p>
    <w:p w:rsidR="00380510" w:rsidRDefault="00380510">
      <w:pPr>
        <w:pStyle w:val="TOC5"/>
        <w:rPr>
          <w:rFonts w:ascii="Calibri" w:hAnsi="Calibri"/>
          <w:iCs w:val="0"/>
          <w:noProof/>
          <w:kern w:val="0"/>
          <w:sz w:val="22"/>
          <w:szCs w:val="22"/>
        </w:rPr>
      </w:pPr>
      <w:r>
        <w:rPr>
          <w:noProof/>
        </w:rPr>
        <w:t>830</w:t>
      </w:r>
      <w:r>
        <w:rPr>
          <w:noProof/>
        </w:rPr>
        <w:noBreakHyphen/>
        <w:t>70</w:t>
      </w:r>
      <w:r>
        <w:rPr>
          <w:noProof/>
        </w:rPr>
        <w:tab/>
        <w:t xml:space="preserve">Meaning of </w:t>
      </w:r>
      <w:r w:rsidRPr="008A0EAA">
        <w:rPr>
          <w:i/>
          <w:noProof/>
        </w:rPr>
        <w:t>outstanding foreign hybrid net capital loss amount</w:t>
      </w:r>
      <w:r w:rsidRPr="00380510">
        <w:rPr>
          <w:rFonts w:ascii="Times" w:hAnsi="Times" w:cs="Times"/>
          <w:noProof/>
        </w:rPr>
        <w:tab/>
      </w:r>
      <w:r w:rsidRPr="00380510">
        <w:rPr>
          <w:rFonts w:ascii="Times" w:hAnsi="Times" w:cs="Times"/>
          <w:noProof/>
        </w:rPr>
        <w:fldChar w:fldCharType="begin"/>
      </w:r>
      <w:r w:rsidRPr="00380510">
        <w:rPr>
          <w:rFonts w:ascii="Times" w:hAnsi="Times" w:cs="Times"/>
          <w:noProof/>
        </w:rPr>
        <w:instrText xml:space="preserve"> PAGEREF _Toc338939432 \h </w:instrText>
      </w:r>
      <w:r w:rsidRPr="00380510">
        <w:rPr>
          <w:rFonts w:ascii="Times" w:hAnsi="Times" w:cs="Times"/>
          <w:noProof/>
        </w:rPr>
      </w:r>
      <w:r w:rsidRPr="00380510">
        <w:rPr>
          <w:rFonts w:ascii="Times" w:hAnsi="Times" w:cs="Times"/>
          <w:noProof/>
        </w:rPr>
        <w:fldChar w:fldCharType="separate"/>
      </w:r>
      <w:r w:rsidR="00623A5C">
        <w:rPr>
          <w:rFonts w:ascii="Times" w:hAnsi="Times" w:cs="Times"/>
          <w:noProof/>
        </w:rPr>
        <w:t>302</w:t>
      </w:r>
      <w:r w:rsidRPr="00380510">
        <w:rPr>
          <w:rFonts w:ascii="Times" w:hAnsi="Times" w:cs="Times"/>
          <w:noProof/>
        </w:rPr>
        <w:fldChar w:fldCharType="end"/>
      </w:r>
    </w:p>
    <w:p w:rsidR="00380510" w:rsidRDefault="00380510">
      <w:pPr>
        <w:pStyle w:val="TOC5"/>
        <w:rPr>
          <w:rFonts w:ascii="Calibri" w:hAnsi="Calibri"/>
          <w:iCs w:val="0"/>
          <w:noProof/>
          <w:kern w:val="0"/>
          <w:sz w:val="22"/>
          <w:szCs w:val="22"/>
        </w:rPr>
      </w:pPr>
      <w:r>
        <w:rPr>
          <w:noProof/>
        </w:rPr>
        <w:t>830</w:t>
      </w:r>
      <w:r>
        <w:rPr>
          <w:noProof/>
        </w:rPr>
        <w:noBreakHyphen/>
        <w:t>75</w:t>
      </w:r>
      <w:r>
        <w:rPr>
          <w:noProof/>
        </w:rPr>
        <w:tab/>
        <w:t xml:space="preserve">Extended meaning of </w:t>
      </w:r>
      <w:r w:rsidRPr="008A0EAA">
        <w:rPr>
          <w:i/>
          <w:noProof/>
        </w:rPr>
        <w:t>subject to foreign tax</w:t>
      </w:r>
      <w:r w:rsidRPr="00380510">
        <w:rPr>
          <w:rFonts w:ascii="Times" w:hAnsi="Times" w:cs="Times"/>
          <w:noProof/>
        </w:rPr>
        <w:tab/>
      </w:r>
      <w:r w:rsidRPr="00380510">
        <w:rPr>
          <w:rFonts w:ascii="Times" w:hAnsi="Times" w:cs="Times"/>
          <w:noProof/>
        </w:rPr>
        <w:fldChar w:fldCharType="begin"/>
      </w:r>
      <w:r w:rsidRPr="00380510">
        <w:rPr>
          <w:rFonts w:ascii="Times" w:hAnsi="Times" w:cs="Times"/>
          <w:noProof/>
        </w:rPr>
        <w:instrText xml:space="preserve"> PAGEREF _Toc338939433 \h </w:instrText>
      </w:r>
      <w:r w:rsidRPr="00380510">
        <w:rPr>
          <w:rFonts w:ascii="Times" w:hAnsi="Times" w:cs="Times"/>
          <w:noProof/>
        </w:rPr>
      </w:r>
      <w:r w:rsidRPr="00380510">
        <w:rPr>
          <w:rFonts w:ascii="Times" w:hAnsi="Times" w:cs="Times"/>
          <w:noProof/>
        </w:rPr>
        <w:fldChar w:fldCharType="separate"/>
      </w:r>
      <w:r w:rsidR="00623A5C">
        <w:rPr>
          <w:rFonts w:ascii="Times" w:hAnsi="Times" w:cs="Times"/>
          <w:noProof/>
        </w:rPr>
        <w:t>302</w:t>
      </w:r>
      <w:r w:rsidRPr="00380510">
        <w:rPr>
          <w:rFonts w:ascii="Times" w:hAnsi="Times" w:cs="Times"/>
          <w:noProof/>
        </w:rPr>
        <w:fldChar w:fldCharType="end"/>
      </w:r>
    </w:p>
    <w:p w:rsidR="00380510" w:rsidRDefault="00380510">
      <w:pPr>
        <w:pStyle w:val="TOC4"/>
        <w:rPr>
          <w:rFonts w:ascii="Calibri" w:hAnsi="Calibri"/>
          <w:b w:val="0"/>
          <w:noProof/>
          <w:kern w:val="0"/>
          <w:sz w:val="22"/>
          <w:szCs w:val="22"/>
        </w:rPr>
      </w:pPr>
      <w:r>
        <w:rPr>
          <w:noProof/>
        </w:rPr>
        <w:t>Subdivision 830</w:t>
      </w:r>
      <w:r>
        <w:rPr>
          <w:noProof/>
        </w:rPr>
        <w:noBreakHyphen/>
        <w:t>D—Special rules applicable when an entity becomes or ceases to be a foreign hybrid</w:t>
      </w:r>
      <w:r w:rsidRPr="00380510">
        <w:rPr>
          <w:rFonts w:ascii="Times" w:hAnsi="Times" w:cs="Times"/>
          <w:b w:val="0"/>
          <w:noProof/>
          <w:sz w:val="18"/>
        </w:rPr>
        <w:tab/>
      </w:r>
      <w:r w:rsidRPr="00380510">
        <w:rPr>
          <w:rFonts w:ascii="Times" w:hAnsi="Times" w:cs="Times"/>
          <w:b w:val="0"/>
          <w:noProof/>
          <w:sz w:val="18"/>
        </w:rPr>
        <w:fldChar w:fldCharType="begin"/>
      </w:r>
      <w:r w:rsidRPr="00380510">
        <w:rPr>
          <w:rFonts w:ascii="Times" w:hAnsi="Times" w:cs="Times"/>
          <w:b w:val="0"/>
          <w:noProof/>
          <w:sz w:val="18"/>
        </w:rPr>
        <w:instrText xml:space="preserve"> PAGEREF _Toc338939434 \h </w:instrText>
      </w:r>
      <w:r w:rsidRPr="00380510">
        <w:rPr>
          <w:rFonts w:ascii="Times" w:hAnsi="Times" w:cs="Times"/>
          <w:b w:val="0"/>
          <w:noProof/>
          <w:sz w:val="18"/>
        </w:rPr>
      </w:r>
      <w:r w:rsidRPr="00380510">
        <w:rPr>
          <w:rFonts w:ascii="Times" w:hAnsi="Times" w:cs="Times"/>
          <w:b w:val="0"/>
          <w:noProof/>
          <w:sz w:val="18"/>
        </w:rPr>
        <w:fldChar w:fldCharType="separate"/>
      </w:r>
      <w:r w:rsidR="00623A5C">
        <w:rPr>
          <w:rFonts w:ascii="Times" w:hAnsi="Times" w:cs="Times"/>
          <w:b w:val="0"/>
          <w:noProof/>
          <w:sz w:val="18"/>
        </w:rPr>
        <w:t>305</w:t>
      </w:r>
      <w:r w:rsidRPr="00380510">
        <w:rPr>
          <w:rFonts w:ascii="Times" w:hAnsi="Times" w:cs="Times"/>
          <w:b w:val="0"/>
          <w:noProof/>
          <w:sz w:val="18"/>
        </w:rPr>
        <w:fldChar w:fldCharType="end"/>
      </w:r>
    </w:p>
    <w:p w:rsidR="00380510" w:rsidRDefault="00380510">
      <w:pPr>
        <w:pStyle w:val="TOC5"/>
        <w:rPr>
          <w:rFonts w:ascii="Calibri" w:hAnsi="Calibri"/>
          <w:iCs w:val="0"/>
          <w:noProof/>
          <w:kern w:val="0"/>
          <w:sz w:val="22"/>
          <w:szCs w:val="22"/>
        </w:rPr>
      </w:pPr>
      <w:r>
        <w:rPr>
          <w:noProof/>
        </w:rPr>
        <w:t>830</w:t>
      </w:r>
      <w:r>
        <w:rPr>
          <w:noProof/>
        </w:rPr>
        <w:noBreakHyphen/>
        <w:t>80</w:t>
      </w:r>
      <w:r>
        <w:rPr>
          <w:noProof/>
        </w:rPr>
        <w:tab/>
        <w:t>Setting the tax cost of partners’ interests in the assets of an entity that becomes a foreign hybrid</w:t>
      </w:r>
      <w:r w:rsidRPr="00380510">
        <w:rPr>
          <w:rFonts w:ascii="Times" w:hAnsi="Times" w:cs="Times"/>
          <w:noProof/>
        </w:rPr>
        <w:tab/>
      </w:r>
      <w:r w:rsidRPr="00380510">
        <w:rPr>
          <w:rFonts w:ascii="Times" w:hAnsi="Times" w:cs="Times"/>
          <w:noProof/>
        </w:rPr>
        <w:fldChar w:fldCharType="begin"/>
      </w:r>
      <w:r w:rsidRPr="00380510">
        <w:rPr>
          <w:rFonts w:ascii="Times" w:hAnsi="Times" w:cs="Times"/>
          <w:noProof/>
        </w:rPr>
        <w:instrText xml:space="preserve"> PAGEREF _Toc338939435 \h </w:instrText>
      </w:r>
      <w:r w:rsidRPr="00380510">
        <w:rPr>
          <w:rFonts w:ascii="Times" w:hAnsi="Times" w:cs="Times"/>
          <w:noProof/>
        </w:rPr>
      </w:r>
      <w:r w:rsidRPr="00380510">
        <w:rPr>
          <w:rFonts w:ascii="Times" w:hAnsi="Times" w:cs="Times"/>
          <w:noProof/>
        </w:rPr>
        <w:fldChar w:fldCharType="separate"/>
      </w:r>
      <w:r w:rsidR="00623A5C">
        <w:rPr>
          <w:rFonts w:ascii="Times" w:hAnsi="Times" w:cs="Times"/>
          <w:noProof/>
        </w:rPr>
        <w:t>305</w:t>
      </w:r>
      <w:r w:rsidRPr="00380510">
        <w:rPr>
          <w:rFonts w:ascii="Times" w:hAnsi="Times" w:cs="Times"/>
          <w:noProof/>
        </w:rPr>
        <w:fldChar w:fldCharType="end"/>
      </w:r>
    </w:p>
    <w:p w:rsidR="00380510" w:rsidRDefault="00380510">
      <w:pPr>
        <w:pStyle w:val="TOC5"/>
        <w:rPr>
          <w:rFonts w:ascii="Calibri" w:hAnsi="Calibri"/>
          <w:iCs w:val="0"/>
          <w:noProof/>
          <w:kern w:val="0"/>
          <w:sz w:val="22"/>
          <w:szCs w:val="22"/>
        </w:rPr>
      </w:pPr>
      <w:r>
        <w:rPr>
          <w:noProof/>
        </w:rPr>
        <w:t>830</w:t>
      </w:r>
      <w:r>
        <w:rPr>
          <w:noProof/>
        </w:rPr>
        <w:noBreakHyphen/>
        <w:t>85</w:t>
      </w:r>
      <w:r>
        <w:rPr>
          <w:noProof/>
        </w:rPr>
        <w:tab/>
        <w:t>Setting the tax cost of assets of an entity when it ceases to be a foreign hybrid</w:t>
      </w:r>
      <w:r w:rsidRPr="00380510">
        <w:rPr>
          <w:rFonts w:ascii="Times" w:hAnsi="Times" w:cs="Times"/>
          <w:noProof/>
        </w:rPr>
        <w:tab/>
      </w:r>
      <w:r w:rsidRPr="00380510">
        <w:rPr>
          <w:rFonts w:ascii="Times" w:hAnsi="Times" w:cs="Times"/>
          <w:noProof/>
        </w:rPr>
        <w:fldChar w:fldCharType="begin"/>
      </w:r>
      <w:r w:rsidRPr="00380510">
        <w:rPr>
          <w:rFonts w:ascii="Times" w:hAnsi="Times" w:cs="Times"/>
          <w:noProof/>
        </w:rPr>
        <w:instrText xml:space="preserve"> PAGEREF _Toc338939436 \h </w:instrText>
      </w:r>
      <w:r w:rsidRPr="00380510">
        <w:rPr>
          <w:rFonts w:ascii="Times" w:hAnsi="Times" w:cs="Times"/>
          <w:noProof/>
        </w:rPr>
      </w:r>
      <w:r w:rsidRPr="00380510">
        <w:rPr>
          <w:rFonts w:ascii="Times" w:hAnsi="Times" w:cs="Times"/>
          <w:noProof/>
        </w:rPr>
        <w:fldChar w:fldCharType="separate"/>
      </w:r>
      <w:r w:rsidR="00623A5C">
        <w:rPr>
          <w:rFonts w:ascii="Times" w:hAnsi="Times" w:cs="Times"/>
          <w:noProof/>
        </w:rPr>
        <w:t>306</w:t>
      </w:r>
      <w:r w:rsidRPr="00380510">
        <w:rPr>
          <w:rFonts w:ascii="Times" w:hAnsi="Times" w:cs="Times"/>
          <w:noProof/>
        </w:rPr>
        <w:fldChar w:fldCharType="end"/>
      </w:r>
    </w:p>
    <w:p w:rsidR="00380510" w:rsidRDefault="00380510">
      <w:pPr>
        <w:pStyle w:val="TOC5"/>
        <w:rPr>
          <w:rFonts w:ascii="Calibri" w:hAnsi="Calibri"/>
          <w:iCs w:val="0"/>
          <w:noProof/>
          <w:kern w:val="0"/>
          <w:sz w:val="22"/>
          <w:szCs w:val="22"/>
        </w:rPr>
      </w:pPr>
      <w:r>
        <w:rPr>
          <w:noProof/>
        </w:rPr>
        <w:t>830</w:t>
      </w:r>
      <w:r>
        <w:rPr>
          <w:noProof/>
        </w:rPr>
        <w:noBreakHyphen/>
        <w:t>90</w:t>
      </w:r>
      <w:r>
        <w:rPr>
          <w:noProof/>
        </w:rPr>
        <w:tab/>
        <w:t xml:space="preserve">What the expression </w:t>
      </w:r>
      <w:r w:rsidRPr="008A0EAA">
        <w:rPr>
          <w:i/>
          <w:noProof/>
        </w:rPr>
        <w:t>tax cost is set</w:t>
      </w:r>
      <w:r>
        <w:rPr>
          <w:noProof/>
        </w:rPr>
        <w:t xml:space="preserve"> means</w:t>
      </w:r>
      <w:r w:rsidRPr="00380510">
        <w:rPr>
          <w:rFonts w:ascii="Times" w:hAnsi="Times" w:cs="Times"/>
          <w:noProof/>
        </w:rPr>
        <w:tab/>
      </w:r>
      <w:r w:rsidRPr="00380510">
        <w:rPr>
          <w:rFonts w:ascii="Times" w:hAnsi="Times" w:cs="Times"/>
          <w:noProof/>
        </w:rPr>
        <w:fldChar w:fldCharType="begin"/>
      </w:r>
      <w:r w:rsidRPr="00380510">
        <w:rPr>
          <w:rFonts w:ascii="Times" w:hAnsi="Times" w:cs="Times"/>
          <w:noProof/>
        </w:rPr>
        <w:instrText xml:space="preserve"> PAGEREF _Toc338939437 \h </w:instrText>
      </w:r>
      <w:r w:rsidRPr="00380510">
        <w:rPr>
          <w:rFonts w:ascii="Times" w:hAnsi="Times" w:cs="Times"/>
          <w:noProof/>
        </w:rPr>
      </w:r>
      <w:r w:rsidRPr="00380510">
        <w:rPr>
          <w:rFonts w:ascii="Times" w:hAnsi="Times" w:cs="Times"/>
          <w:noProof/>
        </w:rPr>
        <w:fldChar w:fldCharType="separate"/>
      </w:r>
      <w:r w:rsidR="00623A5C">
        <w:rPr>
          <w:rFonts w:ascii="Times" w:hAnsi="Times" w:cs="Times"/>
          <w:noProof/>
        </w:rPr>
        <w:t>306</w:t>
      </w:r>
      <w:r w:rsidRPr="00380510">
        <w:rPr>
          <w:rFonts w:ascii="Times" w:hAnsi="Times" w:cs="Times"/>
          <w:noProof/>
        </w:rPr>
        <w:fldChar w:fldCharType="end"/>
      </w:r>
    </w:p>
    <w:p w:rsidR="00380510" w:rsidRDefault="00380510">
      <w:pPr>
        <w:pStyle w:val="TOC5"/>
        <w:rPr>
          <w:rFonts w:ascii="Calibri" w:hAnsi="Calibri"/>
          <w:iCs w:val="0"/>
          <w:noProof/>
          <w:kern w:val="0"/>
          <w:sz w:val="22"/>
          <w:szCs w:val="22"/>
        </w:rPr>
      </w:pPr>
      <w:r>
        <w:rPr>
          <w:noProof/>
        </w:rPr>
        <w:t>830</w:t>
      </w:r>
      <w:r>
        <w:rPr>
          <w:noProof/>
        </w:rPr>
        <w:noBreakHyphen/>
        <w:t>95</w:t>
      </w:r>
      <w:r>
        <w:rPr>
          <w:noProof/>
        </w:rPr>
        <w:tab/>
        <w:t xml:space="preserve">What the expression </w:t>
      </w:r>
      <w:r w:rsidRPr="008A0EAA">
        <w:rPr>
          <w:i/>
          <w:noProof/>
        </w:rPr>
        <w:t>tax cost setting amount</w:t>
      </w:r>
      <w:r>
        <w:rPr>
          <w:noProof/>
        </w:rPr>
        <w:t xml:space="preserve"> means</w:t>
      </w:r>
      <w:r w:rsidRPr="00380510">
        <w:rPr>
          <w:rFonts w:ascii="Times" w:hAnsi="Times" w:cs="Times"/>
          <w:noProof/>
        </w:rPr>
        <w:tab/>
      </w:r>
      <w:r w:rsidRPr="00380510">
        <w:rPr>
          <w:rFonts w:ascii="Times" w:hAnsi="Times" w:cs="Times"/>
          <w:noProof/>
        </w:rPr>
        <w:fldChar w:fldCharType="begin"/>
      </w:r>
      <w:r w:rsidRPr="00380510">
        <w:rPr>
          <w:rFonts w:ascii="Times" w:hAnsi="Times" w:cs="Times"/>
          <w:noProof/>
        </w:rPr>
        <w:instrText xml:space="preserve"> PAGEREF _Toc338939438 \h </w:instrText>
      </w:r>
      <w:r w:rsidRPr="00380510">
        <w:rPr>
          <w:rFonts w:ascii="Times" w:hAnsi="Times" w:cs="Times"/>
          <w:noProof/>
        </w:rPr>
      </w:r>
      <w:r w:rsidRPr="00380510">
        <w:rPr>
          <w:rFonts w:ascii="Times" w:hAnsi="Times" w:cs="Times"/>
          <w:noProof/>
        </w:rPr>
        <w:fldChar w:fldCharType="separate"/>
      </w:r>
      <w:r w:rsidR="00623A5C">
        <w:rPr>
          <w:rFonts w:ascii="Times" w:hAnsi="Times" w:cs="Times"/>
          <w:noProof/>
        </w:rPr>
        <w:t>308</w:t>
      </w:r>
      <w:r w:rsidRPr="00380510">
        <w:rPr>
          <w:rFonts w:ascii="Times" w:hAnsi="Times" w:cs="Times"/>
          <w:noProof/>
        </w:rPr>
        <w:fldChar w:fldCharType="end"/>
      </w:r>
    </w:p>
    <w:p w:rsidR="00380510" w:rsidRDefault="00380510">
      <w:pPr>
        <w:pStyle w:val="TOC5"/>
        <w:rPr>
          <w:rFonts w:ascii="Calibri" w:hAnsi="Calibri"/>
          <w:iCs w:val="0"/>
          <w:noProof/>
          <w:kern w:val="0"/>
          <w:sz w:val="22"/>
          <w:szCs w:val="22"/>
        </w:rPr>
      </w:pPr>
      <w:r>
        <w:rPr>
          <w:noProof/>
        </w:rPr>
        <w:t>830</w:t>
      </w:r>
      <w:r>
        <w:rPr>
          <w:noProof/>
        </w:rPr>
        <w:noBreakHyphen/>
        <w:t>100</w:t>
      </w:r>
      <w:r>
        <w:rPr>
          <w:noProof/>
        </w:rPr>
        <w:tab/>
        <w:t xml:space="preserve">What the expression </w:t>
      </w:r>
      <w:r w:rsidRPr="008A0EAA">
        <w:rPr>
          <w:i/>
          <w:noProof/>
        </w:rPr>
        <w:t>tax cost</w:t>
      </w:r>
      <w:r>
        <w:rPr>
          <w:noProof/>
        </w:rPr>
        <w:t xml:space="preserve"> means</w:t>
      </w:r>
      <w:r w:rsidRPr="00380510">
        <w:rPr>
          <w:rFonts w:ascii="Times" w:hAnsi="Times" w:cs="Times"/>
          <w:noProof/>
        </w:rPr>
        <w:tab/>
      </w:r>
      <w:r w:rsidRPr="00380510">
        <w:rPr>
          <w:rFonts w:ascii="Times" w:hAnsi="Times" w:cs="Times"/>
          <w:noProof/>
        </w:rPr>
        <w:fldChar w:fldCharType="begin"/>
      </w:r>
      <w:r w:rsidRPr="00380510">
        <w:rPr>
          <w:rFonts w:ascii="Times" w:hAnsi="Times" w:cs="Times"/>
          <w:noProof/>
        </w:rPr>
        <w:instrText xml:space="preserve"> PAGEREF _Toc338939439 \h </w:instrText>
      </w:r>
      <w:r w:rsidRPr="00380510">
        <w:rPr>
          <w:rFonts w:ascii="Times" w:hAnsi="Times" w:cs="Times"/>
          <w:noProof/>
        </w:rPr>
      </w:r>
      <w:r w:rsidRPr="00380510">
        <w:rPr>
          <w:rFonts w:ascii="Times" w:hAnsi="Times" w:cs="Times"/>
          <w:noProof/>
        </w:rPr>
        <w:fldChar w:fldCharType="separate"/>
      </w:r>
      <w:r w:rsidR="00623A5C">
        <w:rPr>
          <w:rFonts w:ascii="Times" w:hAnsi="Times" w:cs="Times"/>
          <w:noProof/>
        </w:rPr>
        <w:t>311</w:t>
      </w:r>
      <w:r w:rsidRPr="00380510">
        <w:rPr>
          <w:rFonts w:ascii="Times" w:hAnsi="Times" w:cs="Times"/>
          <w:noProof/>
        </w:rPr>
        <w:fldChar w:fldCharType="end"/>
      </w:r>
    </w:p>
    <w:p w:rsidR="00380510" w:rsidRDefault="00380510">
      <w:pPr>
        <w:pStyle w:val="TOC5"/>
        <w:rPr>
          <w:rFonts w:ascii="Calibri" w:hAnsi="Calibri"/>
          <w:iCs w:val="0"/>
          <w:noProof/>
          <w:kern w:val="0"/>
          <w:sz w:val="22"/>
          <w:szCs w:val="22"/>
        </w:rPr>
      </w:pPr>
      <w:r>
        <w:rPr>
          <w:noProof/>
        </w:rPr>
        <w:t>830</w:t>
      </w:r>
      <w:r>
        <w:rPr>
          <w:noProof/>
        </w:rPr>
        <w:noBreakHyphen/>
        <w:t>105</w:t>
      </w:r>
      <w:r>
        <w:rPr>
          <w:noProof/>
        </w:rPr>
        <w:tab/>
        <w:t xml:space="preserve">What the expression </w:t>
      </w:r>
      <w:r w:rsidRPr="008A0EAA">
        <w:rPr>
          <w:i/>
          <w:noProof/>
        </w:rPr>
        <w:t>asset</w:t>
      </w:r>
      <w:r w:rsidRPr="008A0EAA">
        <w:rPr>
          <w:i/>
          <w:noProof/>
        </w:rPr>
        <w:noBreakHyphen/>
        <w:t>based income tax regime</w:t>
      </w:r>
      <w:r>
        <w:rPr>
          <w:noProof/>
        </w:rPr>
        <w:t xml:space="preserve"> means</w:t>
      </w:r>
      <w:r w:rsidRPr="00380510">
        <w:rPr>
          <w:rFonts w:ascii="Times" w:hAnsi="Times" w:cs="Times"/>
          <w:noProof/>
        </w:rPr>
        <w:tab/>
      </w:r>
      <w:r w:rsidRPr="00380510">
        <w:rPr>
          <w:rFonts w:ascii="Times" w:hAnsi="Times" w:cs="Times"/>
          <w:noProof/>
        </w:rPr>
        <w:fldChar w:fldCharType="begin"/>
      </w:r>
      <w:r w:rsidRPr="00380510">
        <w:rPr>
          <w:rFonts w:ascii="Times" w:hAnsi="Times" w:cs="Times"/>
          <w:noProof/>
        </w:rPr>
        <w:instrText xml:space="preserve"> PAGEREF _Toc338939440 \h </w:instrText>
      </w:r>
      <w:r w:rsidRPr="00380510">
        <w:rPr>
          <w:rFonts w:ascii="Times" w:hAnsi="Times" w:cs="Times"/>
          <w:noProof/>
        </w:rPr>
      </w:r>
      <w:r w:rsidRPr="00380510">
        <w:rPr>
          <w:rFonts w:ascii="Times" w:hAnsi="Times" w:cs="Times"/>
          <w:noProof/>
        </w:rPr>
        <w:fldChar w:fldCharType="separate"/>
      </w:r>
      <w:r w:rsidR="00623A5C">
        <w:rPr>
          <w:rFonts w:ascii="Times" w:hAnsi="Times" w:cs="Times"/>
          <w:noProof/>
        </w:rPr>
        <w:t>312</w:t>
      </w:r>
      <w:r w:rsidRPr="00380510">
        <w:rPr>
          <w:rFonts w:ascii="Times" w:hAnsi="Times" w:cs="Times"/>
          <w:noProof/>
        </w:rPr>
        <w:fldChar w:fldCharType="end"/>
      </w:r>
    </w:p>
    <w:p w:rsidR="00380510" w:rsidRDefault="00380510">
      <w:pPr>
        <w:pStyle w:val="TOC5"/>
        <w:rPr>
          <w:rFonts w:ascii="Calibri" w:hAnsi="Calibri"/>
          <w:iCs w:val="0"/>
          <w:noProof/>
          <w:kern w:val="0"/>
          <w:sz w:val="22"/>
          <w:szCs w:val="22"/>
        </w:rPr>
      </w:pPr>
      <w:r>
        <w:rPr>
          <w:noProof/>
        </w:rPr>
        <w:t>830</w:t>
      </w:r>
      <w:r>
        <w:rPr>
          <w:noProof/>
        </w:rPr>
        <w:noBreakHyphen/>
        <w:t>110</w:t>
      </w:r>
      <w:r>
        <w:rPr>
          <w:noProof/>
        </w:rPr>
        <w:tab/>
        <w:t>No disposal of assets etc. on entity becoming or ceasing to be a foreign hybrid</w:t>
      </w:r>
      <w:r w:rsidRPr="00380510">
        <w:rPr>
          <w:rFonts w:ascii="Times" w:hAnsi="Times" w:cs="Times"/>
          <w:noProof/>
        </w:rPr>
        <w:tab/>
      </w:r>
      <w:r w:rsidRPr="00380510">
        <w:rPr>
          <w:rFonts w:ascii="Times" w:hAnsi="Times" w:cs="Times"/>
          <w:noProof/>
        </w:rPr>
        <w:fldChar w:fldCharType="begin"/>
      </w:r>
      <w:r w:rsidRPr="00380510">
        <w:rPr>
          <w:rFonts w:ascii="Times" w:hAnsi="Times" w:cs="Times"/>
          <w:noProof/>
        </w:rPr>
        <w:instrText xml:space="preserve"> PAGEREF _Toc338939441 \h </w:instrText>
      </w:r>
      <w:r w:rsidRPr="00380510">
        <w:rPr>
          <w:rFonts w:ascii="Times" w:hAnsi="Times" w:cs="Times"/>
          <w:noProof/>
        </w:rPr>
      </w:r>
      <w:r w:rsidRPr="00380510">
        <w:rPr>
          <w:rFonts w:ascii="Times" w:hAnsi="Times" w:cs="Times"/>
          <w:noProof/>
        </w:rPr>
        <w:fldChar w:fldCharType="separate"/>
      </w:r>
      <w:r w:rsidR="00623A5C">
        <w:rPr>
          <w:rFonts w:ascii="Times" w:hAnsi="Times" w:cs="Times"/>
          <w:noProof/>
        </w:rPr>
        <w:t>312</w:t>
      </w:r>
      <w:r w:rsidRPr="00380510">
        <w:rPr>
          <w:rFonts w:ascii="Times" w:hAnsi="Times" w:cs="Times"/>
          <w:noProof/>
        </w:rPr>
        <w:fldChar w:fldCharType="end"/>
      </w:r>
    </w:p>
    <w:p w:rsidR="00380510" w:rsidRDefault="00380510">
      <w:pPr>
        <w:pStyle w:val="TOC5"/>
        <w:rPr>
          <w:rFonts w:ascii="Calibri" w:hAnsi="Calibri"/>
          <w:iCs w:val="0"/>
          <w:noProof/>
          <w:kern w:val="0"/>
          <w:sz w:val="22"/>
          <w:szCs w:val="22"/>
        </w:rPr>
      </w:pPr>
      <w:r>
        <w:rPr>
          <w:noProof/>
        </w:rPr>
        <w:t>830</w:t>
      </w:r>
      <w:r>
        <w:rPr>
          <w:noProof/>
        </w:rPr>
        <w:noBreakHyphen/>
        <w:t>115</w:t>
      </w:r>
      <w:r>
        <w:rPr>
          <w:noProof/>
        </w:rPr>
        <w:tab/>
        <w:t>Tax losses cannot be transferred to a foreign hybrid</w:t>
      </w:r>
      <w:r w:rsidRPr="00380510">
        <w:rPr>
          <w:rFonts w:ascii="Times" w:hAnsi="Times" w:cs="Times"/>
          <w:noProof/>
        </w:rPr>
        <w:tab/>
      </w:r>
      <w:r w:rsidRPr="00380510">
        <w:rPr>
          <w:rFonts w:ascii="Times" w:hAnsi="Times" w:cs="Times"/>
          <w:noProof/>
        </w:rPr>
        <w:fldChar w:fldCharType="begin"/>
      </w:r>
      <w:r w:rsidRPr="00380510">
        <w:rPr>
          <w:rFonts w:ascii="Times" w:hAnsi="Times" w:cs="Times"/>
          <w:noProof/>
        </w:rPr>
        <w:instrText xml:space="preserve"> PAGEREF _Toc338939442 \h </w:instrText>
      </w:r>
      <w:r w:rsidRPr="00380510">
        <w:rPr>
          <w:rFonts w:ascii="Times" w:hAnsi="Times" w:cs="Times"/>
          <w:noProof/>
        </w:rPr>
      </w:r>
      <w:r w:rsidRPr="00380510">
        <w:rPr>
          <w:rFonts w:ascii="Times" w:hAnsi="Times" w:cs="Times"/>
          <w:noProof/>
        </w:rPr>
        <w:fldChar w:fldCharType="separate"/>
      </w:r>
      <w:r w:rsidR="00623A5C">
        <w:rPr>
          <w:rFonts w:ascii="Times" w:hAnsi="Times" w:cs="Times"/>
          <w:noProof/>
        </w:rPr>
        <w:t>313</w:t>
      </w:r>
      <w:r w:rsidRPr="00380510">
        <w:rPr>
          <w:rFonts w:ascii="Times" w:hAnsi="Times" w:cs="Times"/>
          <w:noProof/>
        </w:rPr>
        <w:fldChar w:fldCharType="end"/>
      </w:r>
    </w:p>
    <w:p w:rsidR="00380510" w:rsidRDefault="00380510">
      <w:pPr>
        <w:pStyle w:val="TOC5"/>
        <w:rPr>
          <w:rFonts w:ascii="Calibri" w:hAnsi="Calibri"/>
          <w:iCs w:val="0"/>
          <w:noProof/>
          <w:kern w:val="0"/>
          <w:sz w:val="22"/>
          <w:szCs w:val="22"/>
        </w:rPr>
      </w:pPr>
      <w:r>
        <w:rPr>
          <w:noProof/>
        </w:rPr>
        <w:t>830</w:t>
      </w:r>
      <w:r>
        <w:rPr>
          <w:noProof/>
        </w:rPr>
        <w:noBreakHyphen/>
        <w:t>120</w:t>
      </w:r>
      <w:r>
        <w:rPr>
          <w:noProof/>
        </w:rPr>
        <w:tab/>
        <w:t>End of CFC’s last statutory accounting period</w:t>
      </w:r>
      <w:r w:rsidRPr="00380510">
        <w:rPr>
          <w:rFonts w:ascii="Times" w:hAnsi="Times" w:cs="Times"/>
          <w:noProof/>
        </w:rPr>
        <w:tab/>
      </w:r>
      <w:r w:rsidRPr="00380510">
        <w:rPr>
          <w:rFonts w:ascii="Times" w:hAnsi="Times" w:cs="Times"/>
          <w:noProof/>
        </w:rPr>
        <w:fldChar w:fldCharType="begin"/>
      </w:r>
      <w:r w:rsidRPr="00380510">
        <w:rPr>
          <w:rFonts w:ascii="Times" w:hAnsi="Times" w:cs="Times"/>
          <w:noProof/>
        </w:rPr>
        <w:instrText xml:space="preserve"> PAGEREF _Toc338939443 \h </w:instrText>
      </w:r>
      <w:r w:rsidRPr="00380510">
        <w:rPr>
          <w:rFonts w:ascii="Times" w:hAnsi="Times" w:cs="Times"/>
          <w:noProof/>
        </w:rPr>
      </w:r>
      <w:r w:rsidRPr="00380510">
        <w:rPr>
          <w:rFonts w:ascii="Times" w:hAnsi="Times" w:cs="Times"/>
          <w:noProof/>
        </w:rPr>
        <w:fldChar w:fldCharType="separate"/>
      </w:r>
      <w:r w:rsidR="00623A5C">
        <w:rPr>
          <w:rFonts w:ascii="Times" w:hAnsi="Times" w:cs="Times"/>
          <w:noProof/>
        </w:rPr>
        <w:t>313</w:t>
      </w:r>
      <w:r w:rsidRPr="00380510">
        <w:rPr>
          <w:rFonts w:ascii="Times" w:hAnsi="Times" w:cs="Times"/>
          <w:noProof/>
        </w:rPr>
        <w:fldChar w:fldCharType="end"/>
      </w:r>
    </w:p>
    <w:p w:rsidR="00380510" w:rsidRDefault="00380510">
      <w:pPr>
        <w:pStyle w:val="TOC5"/>
        <w:rPr>
          <w:rFonts w:ascii="Calibri" w:hAnsi="Calibri"/>
          <w:iCs w:val="0"/>
          <w:noProof/>
          <w:kern w:val="0"/>
          <w:sz w:val="22"/>
          <w:szCs w:val="22"/>
        </w:rPr>
      </w:pPr>
      <w:r>
        <w:rPr>
          <w:noProof/>
        </w:rPr>
        <w:t>830</w:t>
      </w:r>
      <w:r>
        <w:rPr>
          <w:noProof/>
        </w:rPr>
        <w:noBreakHyphen/>
        <w:t>125</w:t>
      </w:r>
      <w:r>
        <w:rPr>
          <w:noProof/>
        </w:rPr>
        <w:tab/>
        <w:t>How long interest in asset, or asset, held</w:t>
      </w:r>
      <w:r w:rsidRPr="00380510">
        <w:rPr>
          <w:rFonts w:ascii="Times" w:hAnsi="Times" w:cs="Times"/>
          <w:noProof/>
        </w:rPr>
        <w:tab/>
      </w:r>
      <w:r w:rsidRPr="00380510">
        <w:rPr>
          <w:rFonts w:ascii="Times" w:hAnsi="Times" w:cs="Times"/>
          <w:noProof/>
        </w:rPr>
        <w:fldChar w:fldCharType="begin"/>
      </w:r>
      <w:r w:rsidRPr="00380510">
        <w:rPr>
          <w:rFonts w:ascii="Times" w:hAnsi="Times" w:cs="Times"/>
          <w:noProof/>
        </w:rPr>
        <w:instrText xml:space="preserve"> PAGEREF _Toc338939444 \h </w:instrText>
      </w:r>
      <w:r w:rsidRPr="00380510">
        <w:rPr>
          <w:rFonts w:ascii="Times" w:hAnsi="Times" w:cs="Times"/>
          <w:noProof/>
        </w:rPr>
      </w:r>
      <w:r w:rsidRPr="00380510">
        <w:rPr>
          <w:rFonts w:ascii="Times" w:hAnsi="Times" w:cs="Times"/>
          <w:noProof/>
        </w:rPr>
        <w:fldChar w:fldCharType="separate"/>
      </w:r>
      <w:r w:rsidR="00623A5C">
        <w:rPr>
          <w:rFonts w:ascii="Times" w:hAnsi="Times" w:cs="Times"/>
          <w:noProof/>
        </w:rPr>
        <w:t>314</w:t>
      </w:r>
      <w:r w:rsidRPr="00380510">
        <w:rPr>
          <w:rFonts w:ascii="Times" w:hAnsi="Times" w:cs="Times"/>
          <w:noProof/>
        </w:rPr>
        <w:fldChar w:fldCharType="end"/>
      </w:r>
    </w:p>
    <w:p w:rsidR="00380510" w:rsidRDefault="00380510">
      <w:pPr>
        <w:pStyle w:val="TOC3"/>
        <w:rPr>
          <w:rFonts w:ascii="Calibri" w:hAnsi="Calibri"/>
          <w:b w:val="0"/>
          <w:noProof/>
          <w:kern w:val="0"/>
          <w:szCs w:val="22"/>
        </w:rPr>
      </w:pPr>
      <w:r>
        <w:rPr>
          <w:noProof/>
        </w:rPr>
        <w:t>Division 840—Withholding taxes</w:t>
      </w:r>
      <w:r w:rsidRPr="00380510">
        <w:rPr>
          <w:rFonts w:ascii="Times" w:hAnsi="Times" w:cs="Times"/>
          <w:b w:val="0"/>
          <w:noProof/>
          <w:sz w:val="18"/>
        </w:rPr>
        <w:tab/>
      </w:r>
      <w:r w:rsidRPr="00380510">
        <w:rPr>
          <w:rFonts w:ascii="Times" w:hAnsi="Times" w:cs="Times"/>
          <w:b w:val="0"/>
          <w:noProof/>
          <w:sz w:val="18"/>
        </w:rPr>
        <w:fldChar w:fldCharType="begin"/>
      </w:r>
      <w:r w:rsidRPr="00380510">
        <w:rPr>
          <w:rFonts w:ascii="Times" w:hAnsi="Times" w:cs="Times"/>
          <w:b w:val="0"/>
          <w:noProof/>
          <w:sz w:val="18"/>
        </w:rPr>
        <w:instrText xml:space="preserve"> PAGEREF _Toc338939445 \h </w:instrText>
      </w:r>
      <w:r w:rsidRPr="00380510">
        <w:rPr>
          <w:rFonts w:ascii="Times" w:hAnsi="Times" w:cs="Times"/>
          <w:b w:val="0"/>
          <w:noProof/>
          <w:sz w:val="18"/>
        </w:rPr>
      </w:r>
      <w:r w:rsidRPr="00380510">
        <w:rPr>
          <w:rFonts w:ascii="Times" w:hAnsi="Times" w:cs="Times"/>
          <w:b w:val="0"/>
          <w:noProof/>
          <w:sz w:val="18"/>
        </w:rPr>
        <w:fldChar w:fldCharType="separate"/>
      </w:r>
      <w:r w:rsidR="00623A5C">
        <w:rPr>
          <w:rFonts w:ascii="Times" w:hAnsi="Times" w:cs="Times"/>
          <w:b w:val="0"/>
          <w:noProof/>
          <w:sz w:val="18"/>
        </w:rPr>
        <w:t>315</w:t>
      </w:r>
      <w:r w:rsidRPr="00380510">
        <w:rPr>
          <w:rFonts w:ascii="Times" w:hAnsi="Times" w:cs="Times"/>
          <w:b w:val="0"/>
          <w:noProof/>
          <w:sz w:val="18"/>
        </w:rPr>
        <w:fldChar w:fldCharType="end"/>
      </w:r>
    </w:p>
    <w:p w:rsidR="00380510" w:rsidRDefault="00380510">
      <w:pPr>
        <w:pStyle w:val="TOC4"/>
        <w:rPr>
          <w:rFonts w:ascii="Calibri" w:hAnsi="Calibri"/>
          <w:b w:val="0"/>
          <w:noProof/>
          <w:kern w:val="0"/>
          <w:sz w:val="22"/>
          <w:szCs w:val="22"/>
        </w:rPr>
      </w:pPr>
      <w:r>
        <w:rPr>
          <w:noProof/>
        </w:rPr>
        <w:t>Guide to Division 840</w:t>
      </w:r>
      <w:r w:rsidRPr="00380510">
        <w:rPr>
          <w:rFonts w:ascii="Times" w:hAnsi="Times" w:cs="Times"/>
          <w:b w:val="0"/>
          <w:noProof/>
          <w:sz w:val="18"/>
        </w:rPr>
        <w:tab/>
      </w:r>
      <w:r w:rsidRPr="00380510">
        <w:rPr>
          <w:rFonts w:ascii="Times" w:hAnsi="Times" w:cs="Times"/>
          <w:b w:val="0"/>
          <w:noProof/>
          <w:sz w:val="18"/>
        </w:rPr>
        <w:fldChar w:fldCharType="begin"/>
      </w:r>
      <w:r w:rsidRPr="00380510">
        <w:rPr>
          <w:rFonts w:ascii="Times" w:hAnsi="Times" w:cs="Times"/>
          <w:b w:val="0"/>
          <w:noProof/>
          <w:sz w:val="18"/>
        </w:rPr>
        <w:instrText xml:space="preserve"> PAGEREF _Toc338939446 \h </w:instrText>
      </w:r>
      <w:r w:rsidRPr="00380510">
        <w:rPr>
          <w:rFonts w:ascii="Times" w:hAnsi="Times" w:cs="Times"/>
          <w:b w:val="0"/>
          <w:noProof/>
          <w:sz w:val="18"/>
        </w:rPr>
      </w:r>
      <w:r w:rsidRPr="00380510">
        <w:rPr>
          <w:rFonts w:ascii="Times" w:hAnsi="Times" w:cs="Times"/>
          <w:b w:val="0"/>
          <w:noProof/>
          <w:sz w:val="18"/>
        </w:rPr>
        <w:fldChar w:fldCharType="separate"/>
      </w:r>
      <w:r w:rsidR="00623A5C">
        <w:rPr>
          <w:rFonts w:ascii="Times" w:hAnsi="Times" w:cs="Times"/>
          <w:b w:val="0"/>
          <w:noProof/>
          <w:sz w:val="18"/>
        </w:rPr>
        <w:t>315</w:t>
      </w:r>
      <w:r w:rsidRPr="00380510">
        <w:rPr>
          <w:rFonts w:ascii="Times" w:hAnsi="Times" w:cs="Times"/>
          <w:b w:val="0"/>
          <w:noProof/>
          <w:sz w:val="18"/>
        </w:rPr>
        <w:fldChar w:fldCharType="end"/>
      </w:r>
    </w:p>
    <w:p w:rsidR="00380510" w:rsidRDefault="00380510">
      <w:pPr>
        <w:pStyle w:val="TOC5"/>
        <w:rPr>
          <w:rFonts w:ascii="Calibri" w:hAnsi="Calibri"/>
          <w:iCs w:val="0"/>
          <w:noProof/>
          <w:kern w:val="0"/>
          <w:sz w:val="22"/>
          <w:szCs w:val="22"/>
        </w:rPr>
      </w:pPr>
      <w:r>
        <w:rPr>
          <w:noProof/>
        </w:rPr>
        <w:t>840</w:t>
      </w:r>
      <w:r>
        <w:rPr>
          <w:noProof/>
        </w:rPr>
        <w:noBreakHyphen/>
        <w:t>1</w:t>
      </w:r>
      <w:r>
        <w:rPr>
          <w:noProof/>
        </w:rPr>
        <w:tab/>
        <w:t>What this Division is about</w:t>
      </w:r>
      <w:r w:rsidRPr="00380510">
        <w:rPr>
          <w:rFonts w:ascii="Times" w:hAnsi="Times" w:cs="Times"/>
          <w:noProof/>
        </w:rPr>
        <w:tab/>
      </w:r>
      <w:r w:rsidRPr="00380510">
        <w:rPr>
          <w:rFonts w:ascii="Times" w:hAnsi="Times" w:cs="Times"/>
          <w:noProof/>
        </w:rPr>
        <w:fldChar w:fldCharType="begin"/>
      </w:r>
      <w:r w:rsidRPr="00380510">
        <w:rPr>
          <w:rFonts w:ascii="Times" w:hAnsi="Times" w:cs="Times"/>
          <w:noProof/>
        </w:rPr>
        <w:instrText xml:space="preserve"> PAGEREF _Toc338939447 \h </w:instrText>
      </w:r>
      <w:r w:rsidRPr="00380510">
        <w:rPr>
          <w:rFonts w:ascii="Times" w:hAnsi="Times" w:cs="Times"/>
          <w:noProof/>
        </w:rPr>
      </w:r>
      <w:r w:rsidRPr="00380510">
        <w:rPr>
          <w:rFonts w:ascii="Times" w:hAnsi="Times" w:cs="Times"/>
          <w:noProof/>
        </w:rPr>
        <w:fldChar w:fldCharType="separate"/>
      </w:r>
      <w:r w:rsidR="00623A5C">
        <w:rPr>
          <w:rFonts w:ascii="Times" w:hAnsi="Times" w:cs="Times"/>
          <w:noProof/>
        </w:rPr>
        <w:t>315</w:t>
      </w:r>
      <w:r w:rsidRPr="00380510">
        <w:rPr>
          <w:rFonts w:ascii="Times" w:hAnsi="Times" w:cs="Times"/>
          <w:noProof/>
        </w:rPr>
        <w:fldChar w:fldCharType="end"/>
      </w:r>
    </w:p>
    <w:p w:rsidR="00380510" w:rsidRDefault="00380510">
      <w:pPr>
        <w:pStyle w:val="TOC4"/>
        <w:rPr>
          <w:rFonts w:ascii="Calibri" w:hAnsi="Calibri"/>
          <w:b w:val="0"/>
          <w:noProof/>
          <w:kern w:val="0"/>
          <w:sz w:val="22"/>
          <w:szCs w:val="22"/>
        </w:rPr>
      </w:pPr>
      <w:r>
        <w:rPr>
          <w:noProof/>
        </w:rPr>
        <w:t>Subdivision 840</w:t>
      </w:r>
      <w:r>
        <w:rPr>
          <w:noProof/>
        </w:rPr>
        <w:noBreakHyphen/>
        <w:t>M—Managed investment trust withholding tax</w:t>
      </w:r>
      <w:r w:rsidRPr="00380510">
        <w:rPr>
          <w:rFonts w:ascii="Times" w:hAnsi="Times" w:cs="Times"/>
          <w:b w:val="0"/>
          <w:noProof/>
          <w:sz w:val="18"/>
        </w:rPr>
        <w:tab/>
      </w:r>
      <w:r w:rsidRPr="00380510">
        <w:rPr>
          <w:rFonts w:ascii="Times" w:hAnsi="Times" w:cs="Times"/>
          <w:b w:val="0"/>
          <w:noProof/>
          <w:sz w:val="18"/>
        </w:rPr>
        <w:fldChar w:fldCharType="begin"/>
      </w:r>
      <w:r w:rsidRPr="00380510">
        <w:rPr>
          <w:rFonts w:ascii="Times" w:hAnsi="Times" w:cs="Times"/>
          <w:b w:val="0"/>
          <w:noProof/>
          <w:sz w:val="18"/>
        </w:rPr>
        <w:instrText xml:space="preserve"> PAGEREF _Toc338939448 \h </w:instrText>
      </w:r>
      <w:r w:rsidRPr="00380510">
        <w:rPr>
          <w:rFonts w:ascii="Times" w:hAnsi="Times" w:cs="Times"/>
          <w:b w:val="0"/>
          <w:noProof/>
          <w:sz w:val="18"/>
        </w:rPr>
      </w:r>
      <w:r w:rsidRPr="00380510">
        <w:rPr>
          <w:rFonts w:ascii="Times" w:hAnsi="Times" w:cs="Times"/>
          <w:b w:val="0"/>
          <w:noProof/>
          <w:sz w:val="18"/>
        </w:rPr>
        <w:fldChar w:fldCharType="separate"/>
      </w:r>
      <w:r w:rsidR="00623A5C">
        <w:rPr>
          <w:rFonts w:ascii="Times" w:hAnsi="Times" w:cs="Times"/>
          <w:b w:val="0"/>
          <w:noProof/>
          <w:sz w:val="18"/>
        </w:rPr>
        <w:t>315</w:t>
      </w:r>
      <w:r w:rsidRPr="00380510">
        <w:rPr>
          <w:rFonts w:ascii="Times" w:hAnsi="Times" w:cs="Times"/>
          <w:b w:val="0"/>
          <w:noProof/>
          <w:sz w:val="18"/>
        </w:rPr>
        <w:fldChar w:fldCharType="end"/>
      </w:r>
    </w:p>
    <w:p w:rsidR="00380510" w:rsidRDefault="00380510">
      <w:pPr>
        <w:pStyle w:val="TOC4"/>
        <w:rPr>
          <w:rFonts w:ascii="Calibri" w:hAnsi="Calibri"/>
          <w:b w:val="0"/>
          <w:noProof/>
          <w:kern w:val="0"/>
          <w:sz w:val="22"/>
          <w:szCs w:val="22"/>
        </w:rPr>
      </w:pPr>
      <w:r>
        <w:rPr>
          <w:noProof/>
        </w:rPr>
        <w:t>Guide to Subdivision 840</w:t>
      </w:r>
      <w:r>
        <w:rPr>
          <w:noProof/>
        </w:rPr>
        <w:noBreakHyphen/>
        <w:t>M</w:t>
      </w:r>
      <w:r w:rsidRPr="00380510">
        <w:rPr>
          <w:rFonts w:ascii="Times" w:hAnsi="Times" w:cs="Times"/>
          <w:b w:val="0"/>
          <w:noProof/>
          <w:sz w:val="18"/>
        </w:rPr>
        <w:tab/>
      </w:r>
      <w:r w:rsidRPr="00380510">
        <w:rPr>
          <w:rFonts w:ascii="Times" w:hAnsi="Times" w:cs="Times"/>
          <w:b w:val="0"/>
          <w:noProof/>
          <w:sz w:val="18"/>
        </w:rPr>
        <w:fldChar w:fldCharType="begin"/>
      </w:r>
      <w:r w:rsidRPr="00380510">
        <w:rPr>
          <w:rFonts w:ascii="Times" w:hAnsi="Times" w:cs="Times"/>
          <w:b w:val="0"/>
          <w:noProof/>
          <w:sz w:val="18"/>
        </w:rPr>
        <w:instrText xml:space="preserve"> PAGEREF _Toc338939449 \h </w:instrText>
      </w:r>
      <w:r w:rsidRPr="00380510">
        <w:rPr>
          <w:rFonts w:ascii="Times" w:hAnsi="Times" w:cs="Times"/>
          <w:b w:val="0"/>
          <w:noProof/>
          <w:sz w:val="18"/>
        </w:rPr>
      </w:r>
      <w:r w:rsidRPr="00380510">
        <w:rPr>
          <w:rFonts w:ascii="Times" w:hAnsi="Times" w:cs="Times"/>
          <w:b w:val="0"/>
          <w:noProof/>
          <w:sz w:val="18"/>
        </w:rPr>
        <w:fldChar w:fldCharType="separate"/>
      </w:r>
      <w:r w:rsidR="00623A5C">
        <w:rPr>
          <w:rFonts w:ascii="Times" w:hAnsi="Times" w:cs="Times"/>
          <w:b w:val="0"/>
          <w:noProof/>
          <w:sz w:val="18"/>
        </w:rPr>
        <w:t>315</w:t>
      </w:r>
      <w:r w:rsidRPr="00380510">
        <w:rPr>
          <w:rFonts w:ascii="Times" w:hAnsi="Times" w:cs="Times"/>
          <w:b w:val="0"/>
          <w:noProof/>
          <w:sz w:val="18"/>
        </w:rPr>
        <w:fldChar w:fldCharType="end"/>
      </w:r>
    </w:p>
    <w:p w:rsidR="00380510" w:rsidRDefault="00380510">
      <w:pPr>
        <w:pStyle w:val="TOC5"/>
        <w:rPr>
          <w:rFonts w:ascii="Calibri" w:hAnsi="Calibri"/>
          <w:iCs w:val="0"/>
          <w:noProof/>
          <w:kern w:val="0"/>
          <w:sz w:val="22"/>
          <w:szCs w:val="22"/>
        </w:rPr>
      </w:pPr>
      <w:r>
        <w:rPr>
          <w:noProof/>
        </w:rPr>
        <w:t>840</w:t>
      </w:r>
      <w:r>
        <w:rPr>
          <w:noProof/>
        </w:rPr>
        <w:noBreakHyphen/>
        <w:t>800</w:t>
      </w:r>
      <w:r>
        <w:rPr>
          <w:noProof/>
        </w:rPr>
        <w:tab/>
        <w:t>What this Subdivision is about</w:t>
      </w:r>
      <w:r w:rsidRPr="00380510">
        <w:rPr>
          <w:rFonts w:ascii="Times" w:hAnsi="Times" w:cs="Times"/>
          <w:noProof/>
        </w:rPr>
        <w:tab/>
      </w:r>
      <w:r w:rsidRPr="00380510">
        <w:rPr>
          <w:rFonts w:ascii="Times" w:hAnsi="Times" w:cs="Times"/>
          <w:noProof/>
        </w:rPr>
        <w:fldChar w:fldCharType="begin"/>
      </w:r>
      <w:r w:rsidRPr="00380510">
        <w:rPr>
          <w:rFonts w:ascii="Times" w:hAnsi="Times" w:cs="Times"/>
          <w:noProof/>
        </w:rPr>
        <w:instrText xml:space="preserve"> PAGEREF _Toc338939450 \h </w:instrText>
      </w:r>
      <w:r w:rsidRPr="00380510">
        <w:rPr>
          <w:rFonts w:ascii="Times" w:hAnsi="Times" w:cs="Times"/>
          <w:noProof/>
        </w:rPr>
      </w:r>
      <w:r w:rsidRPr="00380510">
        <w:rPr>
          <w:rFonts w:ascii="Times" w:hAnsi="Times" w:cs="Times"/>
          <w:noProof/>
        </w:rPr>
        <w:fldChar w:fldCharType="separate"/>
      </w:r>
      <w:r w:rsidR="00623A5C">
        <w:rPr>
          <w:rFonts w:ascii="Times" w:hAnsi="Times" w:cs="Times"/>
          <w:noProof/>
        </w:rPr>
        <w:t>315</w:t>
      </w:r>
      <w:r w:rsidRPr="00380510">
        <w:rPr>
          <w:rFonts w:ascii="Times" w:hAnsi="Times" w:cs="Times"/>
          <w:noProof/>
        </w:rPr>
        <w:fldChar w:fldCharType="end"/>
      </w:r>
    </w:p>
    <w:p w:rsidR="00380510" w:rsidRDefault="00380510">
      <w:pPr>
        <w:pStyle w:val="TOC4"/>
        <w:rPr>
          <w:rFonts w:ascii="Calibri" w:hAnsi="Calibri"/>
          <w:b w:val="0"/>
          <w:noProof/>
          <w:kern w:val="0"/>
          <w:sz w:val="22"/>
          <w:szCs w:val="22"/>
        </w:rPr>
      </w:pPr>
      <w:r>
        <w:rPr>
          <w:noProof/>
        </w:rPr>
        <w:t>Operative provisions</w:t>
      </w:r>
      <w:r w:rsidRPr="00380510">
        <w:rPr>
          <w:rFonts w:ascii="Times" w:hAnsi="Times" w:cs="Times"/>
          <w:b w:val="0"/>
          <w:noProof/>
          <w:sz w:val="18"/>
        </w:rPr>
        <w:tab/>
      </w:r>
      <w:r w:rsidRPr="00380510">
        <w:rPr>
          <w:rFonts w:ascii="Times" w:hAnsi="Times" w:cs="Times"/>
          <w:b w:val="0"/>
          <w:noProof/>
          <w:sz w:val="18"/>
        </w:rPr>
        <w:fldChar w:fldCharType="begin"/>
      </w:r>
      <w:r w:rsidRPr="00380510">
        <w:rPr>
          <w:rFonts w:ascii="Times" w:hAnsi="Times" w:cs="Times"/>
          <w:b w:val="0"/>
          <w:noProof/>
          <w:sz w:val="18"/>
        </w:rPr>
        <w:instrText xml:space="preserve"> PAGEREF _Toc338939451 \h </w:instrText>
      </w:r>
      <w:r w:rsidRPr="00380510">
        <w:rPr>
          <w:rFonts w:ascii="Times" w:hAnsi="Times" w:cs="Times"/>
          <w:b w:val="0"/>
          <w:noProof/>
          <w:sz w:val="18"/>
        </w:rPr>
      </w:r>
      <w:r w:rsidRPr="00380510">
        <w:rPr>
          <w:rFonts w:ascii="Times" w:hAnsi="Times" w:cs="Times"/>
          <w:b w:val="0"/>
          <w:noProof/>
          <w:sz w:val="18"/>
        </w:rPr>
        <w:fldChar w:fldCharType="separate"/>
      </w:r>
      <w:r w:rsidR="00623A5C">
        <w:rPr>
          <w:rFonts w:ascii="Times" w:hAnsi="Times" w:cs="Times"/>
          <w:b w:val="0"/>
          <w:noProof/>
          <w:sz w:val="18"/>
        </w:rPr>
        <w:t>316</w:t>
      </w:r>
      <w:r w:rsidRPr="00380510">
        <w:rPr>
          <w:rFonts w:ascii="Times" w:hAnsi="Times" w:cs="Times"/>
          <w:b w:val="0"/>
          <w:noProof/>
          <w:sz w:val="18"/>
        </w:rPr>
        <w:fldChar w:fldCharType="end"/>
      </w:r>
    </w:p>
    <w:p w:rsidR="00380510" w:rsidRDefault="00380510">
      <w:pPr>
        <w:pStyle w:val="TOC5"/>
        <w:rPr>
          <w:rFonts w:ascii="Calibri" w:hAnsi="Calibri"/>
          <w:iCs w:val="0"/>
          <w:noProof/>
          <w:kern w:val="0"/>
          <w:sz w:val="22"/>
          <w:szCs w:val="22"/>
        </w:rPr>
      </w:pPr>
      <w:r>
        <w:rPr>
          <w:noProof/>
        </w:rPr>
        <w:t>840</w:t>
      </w:r>
      <w:r>
        <w:rPr>
          <w:noProof/>
        </w:rPr>
        <w:noBreakHyphen/>
        <w:t>805</w:t>
      </w:r>
      <w:r>
        <w:rPr>
          <w:noProof/>
        </w:rPr>
        <w:tab/>
        <w:t>Liability for managed investment trust withholding tax</w:t>
      </w:r>
      <w:r w:rsidRPr="00380510">
        <w:rPr>
          <w:rFonts w:ascii="Times" w:hAnsi="Times" w:cs="Times"/>
          <w:noProof/>
        </w:rPr>
        <w:tab/>
      </w:r>
      <w:r w:rsidRPr="00380510">
        <w:rPr>
          <w:rFonts w:ascii="Times" w:hAnsi="Times" w:cs="Times"/>
          <w:noProof/>
        </w:rPr>
        <w:fldChar w:fldCharType="begin"/>
      </w:r>
      <w:r w:rsidRPr="00380510">
        <w:rPr>
          <w:rFonts w:ascii="Times" w:hAnsi="Times" w:cs="Times"/>
          <w:noProof/>
        </w:rPr>
        <w:instrText xml:space="preserve"> PAGEREF _Toc338939452 \h </w:instrText>
      </w:r>
      <w:r w:rsidRPr="00380510">
        <w:rPr>
          <w:rFonts w:ascii="Times" w:hAnsi="Times" w:cs="Times"/>
          <w:noProof/>
        </w:rPr>
      </w:r>
      <w:r w:rsidRPr="00380510">
        <w:rPr>
          <w:rFonts w:ascii="Times" w:hAnsi="Times" w:cs="Times"/>
          <w:noProof/>
        </w:rPr>
        <w:fldChar w:fldCharType="separate"/>
      </w:r>
      <w:r w:rsidR="00623A5C">
        <w:rPr>
          <w:rFonts w:ascii="Times" w:hAnsi="Times" w:cs="Times"/>
          <w:noProof/>
        </w:rPr>
        <w:t>316</w:t>
      </w:r>
      <w:r w:rsidRPr="00380510">
        <w:rPr>
          <w:rFonts w:ascii="Times" w:hAnsi="Times" w:cs="Times"/>
          <w:noProof/>
        </w:rPr>
        <w:fldChar w:fldCharType="end"/>
      </w:r>
    </w:p>
    <w:p w:rsidR="00380510" w:rsidRDefault="00380510">
      <w:pPr>
        <w:pStyle w:val="TOC5"/>
        <w:rPr>
          <w:rFonts w:ascii="Calibri" w:hAnsi="Calibri"/>
          <w:iCs w:val="0"/>
          <w:noProof/>
          <w:kern w:val="0"/>
          <w:sz w:val="22"/>
          <w:szCs w:val="22"/>
        </w:rPr>
      </w:pPr>
      <w:r>
        <w:rPr>
          <w:noProof/>
        </w:rPr>
        <w:t>840</w:t>
      </w:r>
      <w:r>
        <w:rPr>
          <w:noProof/>
        </w:rPr>
        <w:noBreakHyphen/>
        <w:t>810</w:t>
      </w:r>
      <w:r>
        <w:rPr>
          <w:noProof/>
        </w:rPr>
        <w:tab/>
        <w:t>When managed investment trust withholding tax is payable</w:t>
      </w:r>
      <w:r w:rsidRPr="00380510">
        <w:rPr>
          <w:rFonts w:ascii="Times" w:hAnsi="Times" w:cs="Times"/>
          <w:noProof/>
        </w:rPr>
        <w:tab/>
      </w:r>
      <w:r w:rsidRPr="00380510">
        <w:rPr>
          <w:rFonts w:ascii="Times" w:hAnsi="Times" w:cs="Times"/>
          <w:noProof/>
        </w:rPr>
        <w:fldChar w:fldCharType="begin"/>
      </w:r>
      <w:r w:rsidRPr="00380510">
        <w:rPr>
          <w:rFonts w:ascii="Times" w:hAnsi="Times" w:cs="Times"/>
          <w:noProof/>
        </w:rPr>
        <w:instrText xml:space="preserve"> PAGEREF _Toc338939453 \h </w:instrText>
      </w:r>
      <w:r w:rsidRPr="00380510">
        <w:rPr>
          <w:rFonts w:ascii="Times" w:hAnsi="Times" w:cs="Times"/>
          <w:noProof/>
        </w:rPr>
      </w:r>
      <w:r w:rsidRPr="00380510">
        <w:rPr>
          <w:rFonts w:ascii="Times" w:hAnsi="Times" w:cs="Times"/>
          <w:noProof/>
        </w:rPr>
        <w:fldChar w:fldCharType="separate"/>
      </w:r>
      <w:r w:rsidR="00623A5C">
        <w:rPr>
          <w:rFonts w:ascii="Times" w:hAnsi="Times" w:cs="Times"/>
          <w:noProof/>
        </w:rPr>
        <w:t>319</w:t>
      </w:r>
      <w:r w:rsidRPr="00380510">
        <w:rPr>
          <w:rFonts w:ascii="Times" w:hAnsi="Times" w:cs="Times"/>
          <w:noProof/>
        </w:rPr>
        <w:fldChar w:fldCharType="end"/>
      </w:r>
    </w:p>
    <w:p w:rsidR="00380510" w:rsidRDefault="00380510">
      <w:pPr>
        <w:pStyle w:val="TOC5"/>
        <w:rPr>
          <w:rFonts w:ascii="Calibri" w:hAnsi="Calibri"/>
          <w:iCs w:val="0"/>
          <w:noProof/>
          <w:kern w:val="0"/>
          <w:sz w:val="22"/>
          <w:szCs w:val="22"/>
        </w:rPr>
      </w:pPr>
      <w:r>
        <w:rPr>
          <w:noProof/>
        </w:rPr>
        <w:t>840</w:t>
      </w:r>
      <w:r>
        <w:rPr>
          <w:noProof/>
        </w:rPr>
        <w:noBreakHyphen/>
        <w:t>815</w:t>
      </w:r>
      <w:r>
        <w:rPr>
          <w:noProof/>
        </w:rPr>
        <w:tab/>
        <w:t>Certain income is non</w:t>
      </w:r>
      <w:r>
        <w:rPr>
          <w:noProof/>
        </w:rPr>
        <w:noBreakHyphen/>
        <w:t>assessable non</w:t>
      </w:r>
      <w:r>
        <w:rPr>
          <w:noProof/>
        </w:rPr>
        <w:noBreakHyphen/>
        <w:t>exempt income</w:t>
      </w:r>
      <w:r w:rsidRPr="00380510">
        <w:rPr>
          <w:rFonts w:ascii="Times" w:hAnsi="Times" w:cs="Times"/>
          <w:noProof/>
        </w:rPr>
        <w:tab/>
      </w:r>
      <w:r w:rsidRPr="00380510">
        <w:rPr>
          <w:rFonts w:ascii="Times" w:hAnsi="Times" w:cs="Times"/>
          <w:noProof/>
        </w:rPr>
        <w:fldChar w:fldCharType="begin"/>
      </w:r>
      <w:r w:rsidRPr="00380510">
        <w:rPr>
          <w:rFonts w:ascii="Times" w:hAnsi="Times" w:cs="Times"/>
          <w:noProof/>
        </w:rPr>
        <w:instrText xml:space="preserve"> PAGEREF _Toc338939454 \h </w:instrText>
      </w:r>
      <w:r w:rsidRPr="00380510">
        <w:rPr>
          <w:rFonts w:ascii="Times" w:hAnsi="Times" w:cs="Times"/>
          <w:noProof/>
        </w:rPr>
      </w:r>
      <w:r w:rsidRPr="00380510">
        <w:rPr>
          <w:rFonts w:ascii="Times" w:hAnsi="Times" w:cs="Times"/>
          <w:noProof/>
        </w:rPr>
        <w:fldChar w:fldCharType="separate"/>
      </w:r>
      <w:r w:rsidR="00623A5C">
        <w:rPr>
          <w:rFonts w:ascii="Times" w:hAnsi="Times" w:cs="Times"/>
          <w:noProof/>
        </w:rPr>
        <w:t>320</w:t>
      </w:r>
      <w:r w:rsidRPr="00380510">
        <w:rPr>
          <w:rFonts w:ascii="Times" w:hAnsi="Times" w:cs="Times"/>
          <w:noProof/>
        </w:rPr>
        <w:fldChar w:fldCharType="end"/>
      </w:r>
    </w:p>
    <w:p w:rsidR="00380510" w:rsidRDefault="00380510">
      <w:pPr>
        <w:pStyle w:val="TOC5"/>
        <w:rPr>
          <w:rFonts w:ascii="Calibri" w:hAnsi="Calibri"/>
          <w:iCs w:val="0"/>
          <w:noProof/>
          <w:kern w:val="0"/>
          <w:sz w:val="22"/>
          <w:szCs w:val="22"/>
        </w:rPr>
      </w:pPr>
      <w:r>
        <w:rPr>
          <w:noProof/>
        </w:rPr>
        <w:t>840</w:t>
      </w:r>
      <w:r>
        <w:rPr>
          <w:noProof/>
        </w:rPr>
        <w:noBreakHyphen/>
        <w:t>820</w:t>
      </w:r>
      <w:r>
        <w:rPr>
          <w:noProof/>
        </w:rPr>
        <w:tab/>
        <w:t>Agency rules</w:t>
      </w:r>
      <w:r w:rsidRPr="00380510">
        <w:rPr>
          <w:rFonts w:ascii="Times" w:hAnsi="Times" w:cs="Times"/>
          <w:noProof/>
        </w:rPr>
        <w:tab/>
      </w:r>
      <w:r w:rsidRPr="00380510">
        <w:rPr>
          <w:rFonts w:ascii="Times" w:hAnsi="Times" w:cs="Times"/>
          <w:noProof/>
        </w:rPr>
        <w:fldChar w:fldCharType="begin"/>
      </w:r>
      <w:r w:rsidRPr="00380510">
        <w:rPr>
          <w:rFonts w:ascii="Times" w:hAnsi="Times" w:cs="Times"/>
          <w:noProof/>
        </w:rPr>
        <w:instrText xml:space="preserve"> PAGEREF _Toc338939455 \h </w:instrText>
      </w:r>
      <w:r w:rsidRPr="00380510">
        <w:rPr>
          <w:rFonts w:ascii="Times" w:hAnsi="Times" w:cs="Times"/>
          <w:noProof/>
        </w:rPr>
      </w:r>
      <w:r w:rsidRPr="00380510">
        <w:rPr>
          <w:rFonts w:ascii="Times" w:hAnsi="Times" w:cs="Times"/>
          <w:noProof/>
        </w:rPr>
        <w:fldChar w:fldCharType="separate"/>
      </w:r>
      <w:r w:rsidR="00623A5C">
        <w:rPr>
          <w:rFonts w:ascii="Times" w:hAnsi="Times" w:cs="Times"/>
          <w:noProof/>
        </w:rPr>
        <w:t>320</w:t>
      </w:r>
      <w:r w:rsidRPr="00380510">
        <w:rPr>
          <w:rFonts w:ascii="Times" w:hAnsi="Times" w:cs="Times"/>
          <w:noProof/>
        </w:rPr>
        <w:fldChar w:fldCharType="end"/>
      </w:r>
    </w:p>
    <w:p w:rsidR="00380510" w:rsidRDefault="00380510">
      <w:pPr>
        <w:pStyle w:val="TOC4"/>
        <w:rPr>
          <w:rFonts w:ascii="Calibri" w:hAnsi="Calibri"/>
          <w:b w:val="0"/>
          <w:noProof/>
          <w:kern w:val="0"/>
          <w:sz w:val="22"/>
          <w:szCs w:val="22"/>
        </w:rPr>
      </w:pPr>
      <w:r>
        <w:rPr>
          <w:noProof/>
        </w:rPr>
        <w:t>Subdivision 840</w:t>
      </w:r>
      <w:r>
        <w:rPr>
          <w:noProof/>
        </w:rPr>
        <w:noBreakHyphen/>
        <w:t>S—Seasonal Labour Mobility Program withholding tax</w:t>
      </w:r>
      <w:r w:rsidRPr="00380510">
        <w:rPr>
          <w:rFonts w:ascii="Times" w:hAnsi="Times" w:cs="Times"/>
          <w:b w:val="0"/>
          <w:noProof/>
          <w:sz w:val="18"/>
        </w:rPr>
        <w:tab/>
      </w:r>
      <w:r w:rsidRPr="00380510">
        <w:rPr>
          <w:rFonts w:ascii="Times" w:hAnsi="Times" w:cs="Times"/>
          <w:b w:val="0"/>
          <w:noProof/>
          <w:sz w:val="18"/>
        </w:rPr>
        <w:fldChar w:fldCharType="begin"/>
      </w:r>
      <w:r w:rsidRPr="00380510">
        <w:rPr>
          <w:rFonts w:ascii="Times" w:hAnsi="Times" w:cs="Times"/>
          <w:b w:val="0"/>
          <w:noProof/>
          <w:sz w:val="18"/>
        </w:rPr>
        <w:instrText xml:space="preserve"> PAGEREF _Toc338939456 \h </w:instrText>
      </w:r>
      <w:r w:rsidRPr="00380510">
        <w:rPr>
          <w:rFonts w:ascii="Times" w:hAnsi="Times" w:cs="Times"/>
          <w:b w:val="0"/>
          <w:noProof/>
          <w:sz w:val="18"/>
        </w:rPr>
      </w:r>
      <w:r w:rsidRPr="00380510">
        <w:rPr>
          <w:rFonts w:ascii="Times" w:hAnsi="Times" w:cs="Times"/>
          <w:b w:val="0"/>
          <w:noProof/>
          <w:sz w:val="18"/>
        </w:rPr>
        <w:fldChar w:fldCharType="separate"/>
      </w:r>
      <w:r w:rsidR="00623A5C">
        <w:rPr>
          <w:rFonts w:ascii="Times" w:hAnsi="Times" w:cs="Times"/>
          <w:b w:val="0"/>
          <w:noProof/>
          <w:sz w:val="18"/>
        </w:rPr>
        <w:t>320</w:t>
      </w:r>
      <w:r w:rsidRPr="00380510">
        <w:rPr>
          <w:rFonts w:ascii="Times" w:hAnsi="Times" w:cs="Times"/>
          <w:b w:val="0"/>
          <w:noProof/>
          <w:sz w:val="18"/>
        </w:rPr>
        <w:fldChar w:fldCharType="end"/>
      </w:r>
    </w:p>
    <w:p w:rsidR="00380510" w:rsidRDefault="00380510">
      <w:pPr>
        <w:pStyle w:val="TOC4"/>
        <w:rPr>
          <w:rFonts w:ascii="Calibri" w:hAnsi="Calibri"/>
          <w:b w:val="0"/>
          <w:noProof/>
          <w:kern w:val="0"/>
          <w:sz w:val="22"/>
          <w:szCs w:val="22"/>
        </w:rPr>
      </w:pPr>
      <w:r>
        <w:rPr>
          <w:noProof/>
        </w:rPr>
        <w:t>Guide to Subdivision 840</w:t>
      </w:r>
      <w:r>
        <w:rPr>
          <w:noProof/>
        </w:rPr>
        <w:noBreakHyphen/>
        <w:t>S</w:t>
      </w:r>
      <w:r w:rsidRPr="00380510">
        <w:rPr>
          <w:rFonts w:ascii="Times" w:hAnsi="Times" w:cs="Times"/>
          <w:b w:val="0"/>
          <w:noProof/>
          <w:sz w:val="18"/>
        </w:rPr>
        <w:tab/>
      </w:r>
      <w:r w:rsidRPr="00380510">
        <w:rPr>
          <w:rFonts w:ascii="Times" w:hAnsi="Times" w:cs="Times"/>
          <w:b w:val="0"/>
          <w:noProof/>
          <w:sz w:val="18"/>
        </w:rPr>
        <w:fldChar w:fldCharType="begin"/>
      </w:r>
      <w:r w:rsidRPr="00380510">
        <w:rPr>
          <w:rFonts w:ascii="Times" w:hAnsi="Times" w:cs="Times"/>
          <w:b w:val="0"/>
          <w:noProof/>
          <w:sz w:val="18"/>
        </w:rPr>
        <w:instrText xml:space="preserve"> PAGEREF _Toc338939457 \h </w:instrText>
      </w:r>
      <w:r w:rsidRPr="00380510">
        <w:rPr>
          <w:rFonts w:ascii="Times" w:hAnsi="Times" w:cs="Times"/>
          <w:b w:val="0"/>
          <w:noProof/>
          <w:sz w:val="18"/>
        </w:rPr>
      </w:r>
      <w:r w:rsidRPr="00380510">
        <w:rPr>
          <w:rFonts w:ascii="Times" w:hAnsi="Times" w:cs="Times"/>
          <w:b w:val="0"/>
          <w:noProof/>
          <w:sz w:val="18"/>
        </w:rPr>
        <w:fldChar w:fldCharType="separate"/>
      </w:r>
      <w:r w:rsidR="00623A5C">
        <w:rPr>
          <w:rFonts w:ascii="Times" w:hAnsi="Times" w:cs="Times"/>
          <w:b w:val="0"/>
          <w:noProof/>
          <w:sz w:val="18"/>
        </w:rPr>
        <w:t>320</w:t>
      </w:r>
      <w:r w:rsidRPr="00380510">
        <w:rPr>
          <w:rFonts w:ascii="Times" w:hAnsi="Times" w:cs="Times"/>
          <w:b w:val="0"/>
          <w:noProof/>
          <w:sz w:val="18"/>
        </w:rPr>
        <w:fldChar w:fldCharType="end"/>
      </w:r>
    </w:p>
    <w:p w:rsidR="00380510" w:rsidRDefault="00380510">
      <w:pPr>
        <w:pStyle w:val="TOC5"/>
        <w:rPr>
          <w:rFonts w:ascii="Calibri" w:hAnsi="Calibri"/>
          <w:iCs w:val="0"/>
          <w:noProof/>
          <w:kern w:val="0"/>
          <w:sz w:val="22"/>
          <w:szCs w:val="22"/>
        </w:rPr>
      </w:pPr>
      <w:r>
        <w:rPr>
          <w:noProof/>
        </w:rPr>
        <w:t>840</w:t>
      </w:r>
      <w:r>
        <w:rPr>
          <w:noProof/>
        </w:rPr>
        <w:noBreakHyphen/>
        <w:t>900</w:t>
      </w:r>
      <w:r>
        <w:rPr>
          <w:noProof/>
        </w:rPr>
        <w:tab/>
        <w:t>What this Subdivision is about</w:t>
      </w:r>
      <w:r w:rsidRPr="00380510">
        <w:rPr>
          <w:rFonts w:ascii="Times" w:hAnsi="Times" w:cs="Times"/>
          <w:noProof/>
        </w:rPr>
        <w:tab/>
      </w:r>
      <w:r w:rsidRPr="00380510">
        <w:rPr>
          <w:rFonts w:ascii="Times" w:hAnsi="Times" w:cs="Times"/>
          <w:noProof/>
        </w:rPr>
        <w:fldChar w:fldCharType="begin"/>
      </w:r>
      <w:r w:rsidRPr="00380510">
        <w:rPr>
          <w:rFonts w:ascii="Times" w:hAnsi="Times" w:cs="Times"/>
          <w:noProof/>
        </w:rPr>
        <w:instrText xml:space="preserve"> PAGEREF _Toc338939458 \h </w:instrText>
      </w:r>
      <w:r w:rsidRPr="00380510">
        <w:rPr>
          <w:rFonts w:ascii="Times" w:hAnsi="Times" w:cs="Times"/>
          <w:noProof/>
        </w:rPr>
      </w:r>
      <w:r w:rsidRPr="00380510">
        <w:rPr>
          <w:rFonts w:ascii="Times" w:hAnsi="Times" w:cs="Times"/>
          <w:noProof/>
        </w:rPr>
        <w:fldChar w:fldCharType="separate"/>
      </w:r>
      <w:r w:rsidR="00623A5C">
        <w:rPr>
          <w:rFonts w:ascii="Times" w:hAnsi="Times" w:cs="Times"/>
          <w:noProof/>
        </w:rPr>
        <w:t>320</w:t>
      </w:r>
      <w:r w:rsidRPr="00380510">
        <w:rPr>
          <w:rFonts w:ascii="Times" w:hAnsi="Times" w:cs="Times"/>
          <w:noProof/>
        </w:rPr>
        <w:fldChar w:fldCharType="end"/>
      </w:r>
    </w:p>
    <w:p w:rsidR="00380510" w:rsidRDefault="00380510">
      <w:pPr>
        <w:pStyle w:val="TOC4"/>
        <w:rPr>
          <w:rFonts w:ascii="Calibri" w:hAnsi="Calibri"/>
          <w:b w:val="0"/>
          <w:noProof/>
          <w:kern w:val="0"/>
          <w:sz w:val="22"/>
          <w:szCs w:val="22"/>
        </w:rPr>
      </w:pPr>
      <w:r>
        <w:rPr>
          <w:noProof/>
        </w:rPr>
        <w:t>Operative provisions</w:t>
      </w:r>
      <w:r w:rsidRPr="00380510">
        <w:rPr>
          <w:rFonts w:ascii="Times" w:hAnsi="Times" w:cs="Times"/>
          <w:b w:val="0"/>
          <w:noProof/>
          <w:sz w:val="18"/>
        </w:rPr>
        <w:tab/>
      </w:r>
      <w:r w:rsidRPr="00380510">
        <w:rPr>
          <w:rFonts w:ascii="Times" w:hAnsi="Times" w:cs="Times"/>
          <w:b w:val="0"/>
          <w:noProof/>
          <w:sz w:val="18"/>
        </w:rPr>
        <w:fldChar w:fldCharType="begin"/>
      </w:r>
      <w:r w:rsidRPr="00380510">
        <w:rPr>
          <w:rFonts w:ascii="Times" w:hAnsi="Times" w:cs="Times"/>
          <w:b w:val="0"/>
          <w:noProof/>
          <w:sz w:val="18"/>
        </w:rPr>
        <w:instrText xml:space="preserve"> PAGEREF _Toc338939459 \h </w:instrText>
      </w:r>
      <w:r w:rsidRPr="00380510">
        <w:rPr>
          <w:rFonts w:ascii="Times" w:hAnsi="Times" w:cs="Times"/>
          <w:b w:val="0"/>
          <w:noProof/>
          <w:sz w:val="18"/>
        </w:rPr>
      </w:r>
      <w:r w:rsidRPr="00380510">
        <w:rPr>
          <w:rFonts w:ascii="Times" w:hAnsi="Times" w:cs="Times"/>
          <w:b w:val="0"/>
          <w:noProof/>
          <w:sz w:val="18"/>
        </w:rPr>
        <w:fldChar w:fldCharType="separate"/>
      </w:r>
      <w:r w:rsidR="00623A5C">
        <w:rPr>
          <w:rFonts w:ascii="Times" w:hAnsi="Times" w:cs="Times"/>
          <w:b w:val="0"/>
          <w:noProof/>
          <w:sz w:val="18"/>
        </w:rPr>
        <w:t>321</w:t>
      </w:r>
      <w:r w:rsidRPr="00380510">
        <w:rPr>
          <w:rFonts w:ascii="Times" w:hAnsi="Times" w:cs="Times"/>
          <w:b w:val="0"/>
          <w:noProof/>
          <w:sz w:val="18"/>
        </w:rPr>
        <w:fldChar w:fldCharType="end"/>
      </w:r>
    </w:p>
    <w:p w:rsidR="00380510" w:rsidRDefault="00380510">
      <w:pPr>
        <w:pStyle w:val="TOC5"/>
        <w:rPr>
          <w:rFonts w:ascii="Calibri" w:hAnsi="Calibri"/>
          <w:iCs w:val="0"/>
          <w:noProof/>
          <w:kern w:val="0"/>
          <w:sz w:val="22"/>
          <w:szCs w:val="22"/>
        </w:rPr>
      </w:pPr>
      <w:r>
        <w:rPr>
          <w:noProof/>
        </w:rPr>
        <w:t>840</w:t>
      </w:r>
      <w:r>
        <w:rPr>
          <w:noProof/>
        </w:rPr>
        <w:noBreakHyphen/>
        <w:t>905</w:t>
      </w:r>
      <w:r>
        <w:rPr>
          <w:noProof/>
        </w:rPr>
        <w:tab/>
        <w:t>Liability for Seasonal Labour Mobility Program withholding tax</w:t>
      </w:r>
      <w:r w:rsidRPr="00380510">
        <w:rPr>
          <w:rFonts w:ascii="Times" w:hAnsi="Times" w:cs="Times"/>
          <w:noProof/>
        </w:rPr>
        <w:tab/>
      </w:r>
      <w:r w:rsidRPr="00380510">
        <w:rPr>
          <w:rFonts w:ascii="Times" w:hAnsi="Times" w:cs="Times"/>
          <w:noProof/>
        </w:rPr>
        <w:fldChar w:fldCharType="begin"/>
      </w:r>
      <w:r w:rsidRPr="00380510">
        <w:rPr>
          <w:rFonts w:ascii="Times" w:hAnsi="Times" w:cs="Times"/>
          <w:noProof/>
        </w:rPr>
        <w:instrText xml:space="preserve"> PAGEREF _Toc338939460 \h </w:instrText>
      </w:r>
      <w:r w:rsidRPr="00380510">
        <w:rPr>
          <w:rFonts w:ascii="Times" w:hAnsi="Times" w:cs="Times"/>
          <w:noProof/>
        </w:rPr>
      </w:r>
      <w:r w:rsidRPr="00380510">
        <w:rPr>
          <w:rFonts w:ascii="Times" w:hAnsi="Times" w:cs="Times"/>
          <w:noProof/>
        </w:rPr>
        <w:fldChar w:fldCharType="separate"/>
      </w:r>
      <w:r w:rsidR="00623A5C">
        <w:rPr>
          <w:rFonts w:ascii="Times" w:hAnsi="Times" w:cs="Times"/>
          <w:noProof/>
        </w:rPr>
        <w:t>321</w:t>
      </w:r>
      <w:r w:rsidRPr="00380510">
        <w:rPr>
          <w:rFonts w:ascii="Times" w:hAnsi="Times" w:cs="Times"/>
          <w:noProof/>
        </w:rPr>
        <w:fldChar w:fldCharType="end"/>
      </w:r>
    </w:p>
    <w:p w:rsidR="00380510" w:rsidRDefault="00380510">
      <w:pPr>
        <w:pStyle w:val="TOC5"/>
        <w:rPr>
          <w:rFonts w:ascii="Calibri" w:hAnsi="Calibri"/>
          <w:iCs w:val="0"/>
          <w:noProof/>
          <w:kern w:val="0"/>
          <w:sz w:val="22"/>
          <w:szCs w:val="22"/>
        </w:rPr>
      </w:pPr>
      <w:r>
        <w:rPr>
          <w:noProof/>
        </w:rPr>
        <w:t>840</w:t>
      </w:r>
      <w:r>
        <w:rPr>
          <w:noProof/>
        </w:rPr>
        <w:noBreakHyphen/>
        <w:t>910</w:t>
      </w:r>
      <w:r>
        <w:rPr>
          <w:noProof/>
        </w:rPr>
        <w:tab/>
        <w:t>When Seasonal Labour Mobility Program withholding tax is payable</w:t>
      </w:r>
      <w:r w:rsidRPr="00380510">
        <w:rPr>
          <w:rFonts w:ascii="Times" w:hAnsi="Times" w:cs="Times"/>
          <w:noProof/>
        </w:rPr>
        <w:tab/>
      </w:r>
      <w:r w:rsidRPr="00380510">
        <w:rPr>
          <w:rFonts w:ascii="Times" w:hAnsi="Times" w:cs="Times"/>
          <w:noProof/>
        </w:rPr>
        <w:fldChar w:fldCharType="begin"/>
      </w:r>
      <w:r w:rsidRPr="00380510">
        <w:rPr>
          <w:rFonts w:ascii="Times" w:hAnsi="Times" w:cs="Times"/>
          <w:noProof/>
        </w:rPr>
        <w:instrText xml:space="preserve"> PAGEREF _Toc338939461 \h </w:instrText>
      </w:r>
      <w:r w:rsidRPr="00380510">
        <w:rPr>
          <w:rFonts w:ascii="Times" w:hAnsi="Times" w:cs="Times"/>
          <w:noProof/>
        </w:rPr>
      </w:r>
      <w:r w:rsidRPr="00380510">
        <w:rPr>
          <w:rFonts w:ascii="Times" w:hAnsi="Times" w:cs="Times"/>
          <w:noProof/>
        </w:rPr>
        <w:fldChar w:fldCharType="separate"/>
      </w:r>
      <w:r w:rsidR="00623A5C">
        <w:rPr>
          <w:rFonts w:ascii="Times" w:hAnsi="Times" w:cs="Times"/>
          <w:noProof/>
        </w:rPr>
        <w:t>322</w:t>
      </w:r>
      <w:r w:rsidRPr="00380510">
        <w:rPr>
          <w:rFonts w:ascii="Times" w:hAnsi="Times" w:cs="Times"/>
          <w:noProof/>
        </w:rPr>
        <w:fldChar w:fldCharType="end"/>
      </w:r>
    </w:p>
    <w:p w:rsidR="00380510" w:rsidRDefault="00380510">
      <w:pPr>
        <w:pStyle w:val="TOC5"/>
        <w:rPr>
          <w:rFonts w:ascii="Calibri" w:hAnsi="Calibri"/>
          <w:iCs w:val="0"/>
          <w:noProof/>
          <w:kern w:val="0"/>
          <w:sz w:val="22"/>
          <w:szCs w:val="22"/>
        </w:rPr>
      </w:pPr>
      <w:r>
        <w:rPr>
          <w:noProof/>
        </w:rPr>
        <w:t>840</w:t>
      </w:r>
      <w:r>
        <w:rPr>
          <w:noProof/>
        </w:rPr>
        <w:noBreakHyphen/>
        <w:t>915</w:t>
      </w:r>
      <w:r>
        <w:rPr>
          <w:noProof/>
        </w:rPr>
        <w:tab/>
        <w:t>Certain income is non</w:t>
      </w:r>
      <w:r>
        <w:rPr>
          <w:noProof/>
        </w:rPr>
        <w:noBreakHyphen/>
        <w:t>assessable non</w:t>
      </w:r>
      <w:r>
        <w:rPr>
          <w:noProof/>
        </w:rPr>
        <w:noBreakHyphen/>
        <w:t>exempt income</w:t>
      </w:r>
      <w:r w:rsidRPr="00380510">
        <w:rPr>
          <w:rFonts w:ascii="Times" w:hAnsi="Times" w:cs="Times"/>
          <w:noProof/>
        </w:rPr>
        <w:tab/>
      </w:r>
      <w:r w:rsidRPr="00380510">
        <w:rPr>
          <w:rFonts w:ascii="Times" w:hAnsi="Times" w:cs="Times"/>
          <w:noProof/>
        </w:rPr>
        <w:fldChar w:fldCharType="begin"/>
      </w:r>
      <w:r w:rsidRPr="00380510">
        <w:rPr>
          <w:rFonts w:ascii="Times" w:hAnsi="Times" w:cs="Times"/>
          <w:noProof/>
        </w:rPr>
        <w:instrText xml:space="preserve"> PAGEREF _Toc338939462 \h </w:instrText>
      </w:r>
      <w:r w:rsidRPr="00380510">
        <w:rPr>
          <w:rFonts w:ascii="Times" w:hAnsi="Times" w:cs="Times"/>
          <w:noProof/>
        </w:rPr>
      </w:r>
      <w:r w:rsidRPr="00380510">
        <w:rPr>
          <w:rFonts w:ascii="Times" w:hAnsi="Times" w:cs="Times"/>
          <w:noProof/>
        </w:rPr>
        <w:fldChar w:fldCharType="separate"/>
      </w:r>
      <w:r w:rsidR="00623A5C">
        <w:rPr>
          <w:rFonts w:ascii="Times" w:hAnsi="Times" w:cs="Times"/>
          <w:noProof/>
        </w:rPr>
        <w:t>323</w:t>
      </w:r>
      <w:r w:rsidRPr="00380510">
        <w:rPr>
          <w:rFonts w:ascii="Times" w:hAnsi="Times" w:cs="Times"/>
          <w:noProof/>
        </w:rPr>
        <w:fldChar w:fldCharType="end"/>
      </w:r>
    </w:p>
    <w:p w:rsidR="00380510" w:rsidRDefault="00380510">
      <w:pPr>
        <w:pStyle w:val="TOC5"/>
        <w:rPr>
          <w:rFonts w:ascii="Calibri" w:hAnsi="Calibri"/>
          <w:iCs w:val="0"/>
          <w:noProof/>
          <w:kern w:val="0"/>
          <w:sz w:val="22"/>
          <w:szCs w:val="22"/>
        </w:rPr>
      </w:pPr>
      <w:r>
        <w:rPr>
          <w:noProof/>
        </w:rPr>
        <w:lastRenderedPageBreak/>
        <w:t>840</w:t>
      </w:r>
      <w:r>
        <w:rPr>
          <w:noProof/>
        </w:rPr>
        <w:noBreakHyphen/>
        <w:t>920</w:t>
      </w:r>
      <w:r>
        <w:rPr>
          <w:noProof/>
        </w:rPr>
        <w:tab/>
        <w:t>Overpayment of Seasonal Labour Mobility Program withholding tax</w:t>
      </w:r>
      <w:r w:rsidRPr="00380510">
        <w:rPr>
          <w:rFonts w:ascii="Times" w:hAnsi="Times" w:cs="Times"/>
          <w:noProof/>
        </w:rPr>
        <w:tab/>
      </w:r>
      <w:r w:rsidRPr="00380510">
        <w:rPr>
          <w:rFonts w:ascii="Times" w:hAnsi="Times" w:cs="Times"/>
          <w:noProof/>
        </w:rPr>
        <w:fldChar w:fldCharType="begin"/>
      </w:r>
      <w:r w:rsidRPr="00380510">
        <w:rPr>
          <w:rFonts w:ascii="Times" w:hAnsi="Times" w:cs="Times"/>
          <w:noProof/>
        </w:rPr>
        <w:instrText xml:space="preserve"> PAGEREF _Toc338939463 \h </w:instrText>
      </w:r>
      <w:r w:rsidRPr="00380510">
        <w:rPr>
          <w:rFonts w:ascii="Times" w:hAnsi="Times" w:cs="Times"/>
          <w:noProof/>
        </w:rPr>
      </w:r>
      <w:r w:rsidRPr="00380510">
        <w:rPr>
          <w:rFonts w:ascii="Times" w:hAnsi="Times" w:cs="Times"/>
          <w:noProof/>
        </w:rPr>
        <w:fldChar w:fldCharType="separate"/>
      </w:r>
      <w:r w:rsidR="00623A5C">
        <w:rPr>
          <w:rFonts w:ascii="Times" w:hAnsi="Times" w:cs="Times"/>
          <w:noProof/>
        </w:rPr>
        <w:t>323</w:t>
      </w:r>
      <w:r w:rsidRPr="00380510">
        <w:rPr>
          <w:rFonts w:ascii="Times" w:hAnsi="Times" w:cs="Times"/>
          <w:noProof/>
        </w:rPr>
        <w:fldChar w:fldCharType="end"/>
      </w:r>
    </w:p>
    <w:p w:rsidR="00380510" w:rsidRDefault="00380510">
      <w:pPr>
        <w:pStyle w:val="TOC3"/>
        <w:rPr>
          <w:rFonts w:ascii="Calibri" w:hAnsi="Calibri"/>
          <w:b w:val="0"/>
          <w:noProof/>
          <w:kern w:val="0"/>
          <w:szCs w:val="22"/>
        </w:rPr>
      </w:pPr>
      <w:r>
        <w:rPr>
          <w:noProof/>
        </w:rPr>
        <w:t>Division 842—Exempt Australian source income and gains of foreign residents</w:t>
      </w:r>
      <w:r w:rsidRPr="00380510">
        <w:rPr>
          <w:rFonts w:ascii="Times" w:hAnsi="Times" w:cs="Times"/>
          <w:b w:val="0"/>
          <w:noProof/>
          <w:sz w:val="18"/>
        </w:rPr>
        <w:tab/>
      </w:r>
      <w:r w:rsidRPr="00380510">
        <w:rPr>
          <w:rFonts w:ascii="Times" w:hAnsi="Times" w:cs="Times"/>
          <w:b w:val="0"/>
          <w:noProof/>
          <w:sz w:val="18"/>
        </w:rPr>
        <w:fldChar w:fldCharType="begin"/>
      </w:r>
      <w:r w:rsidRPr="00380510">
        <w:rPr>
          <w:rFonts w:ascii="Times" w:hAnsi="Times" w:cs="Times"/>
          <w:b w:val="0"/>
          <w:noProof/>
          <w:sz w:val="18"/>
        </w:rPr>
        <w:instrText xml:space="preserve"> PAGEREF _Toc338939464 \h </w:instrText>
      </w:r>
      <w:r w:rsidRPr="00380510">
        <w:rPr>
          <w:rFonts w:ascii="Times" w:hAnsi="Times" w:cs="Times"/>
          <w:b w:val="0"/>
          <w:noProof/>
          <w:sz w:val="18"/>
        </w:rPr>
      </w:r>
      <w:r w:rsidRPr="00380510">
        <w:rPr>
          <w:rFonts w:ascii="Times" w:hAnsi="Times" w:cs="Times"/>
          <w:b w:val="0"/>
          <w:noProof/>
          <w:sz w:val="18"/>
        </w:rPr>
        <w:fldChar w:fldCharType="separate"/>
      </w:r>
      <w:r w:rsidR="00623A5C">
        <w:rPr>
          <w:rFonts w:ascii="Times" w:hAnsi="Times" w:cs="Times"/>
          <w:b w:val="0"/>
          <w:noProof/>
          <w:sz w:val="18"/>
        </w:rPr>
        <w:t>324</w:t>
      </w:r>
      <w:r w:rsidRPr="00380510">
        <w:rPr>
          <w:rFonts w:ascii="Times" w:hAnsi="Times" w:cs="Times"/>
          <w:b w:val="0"/>
          <w:noProof/>
          <w:sz w:val="18"/>
        </w:rPr>
        <w:fldChar w:fldCharType="end"/>
      </w:r>
    </w:p>
    <w:p w:rsidR="00380510" w:rsidRDefault="00380510">
      <w:pPr>
        <w:pStyle w:val="TOC4"/>
        <w:rPr>
          <w:rFonts w:ascii="Calibri" w:hAnsi="Calibri"/>
          <w:b w:val="0"/>
          <w:noProof/>
          <w:kern w:val="0"/>
          <w:sz w:val="22"/>
          <w:szCs w:val="22"/>
        </w:rPr>
      </w:pPr>
      <w:r>
        <w:rPr>
          <w:noProof/>
        </w:rPr>
        <w:t>Subdivision 842</w:t>
      </w:r>
      <w:r>
        <w:rPr>
          <w:noProof/>
        </w:rPr>
        <w:noBreakHyphen/>
        <w:t>B—Some items of Australian source income of foreign residents that are exempt from income tax</w:t>
      </w:r>
      <w:r w:rsidRPr="00380510">
        <w:rPr>
          <w:rFonts w:ascii="Times" w:hAnsi="Times" w:cs="Times"/>
          <w:b w:val="0"/>
          <w:noProof/>
          <w:sz w:val="18"/>
        </w:rPr>
        <w:tab/>
      </w:r>
      <w:r w:rsidRPr="00380510">
        <w:rPr>
          <w:rFonts w:ascii="Times" w:hAnsi="Times" w:cs="Times"/>
          <w:b w:val="0"/>
          <w:noProof/>
          <w:sz w:val="18"/>
        </w:rPr>
        <w:fldChar w:fldCharType="begin"/>
      </w:r>
      <w:r w:rsidRPr="00380510">
        <w:rPr>
          <w:rFonts w:ascii="Times" w:hAnsi="Times" w:cs="Times"/>
          <w:b w:val="0"/>
          <w:noProof/>
          <w:sz w:val="18"/>
        </w:rPr>
        <w:instrText xml:space="preserve"> PAGEREF _Toc338939465 \h </w:instrText>
      </w:r>
      <w:r w:rsidRPr="00380510">
        <w:rPr>
          <w:rFonts w:ascii="Times" w:hAnsi="Times" w:cs="Times"/>
          <w:b w:val="0"/>
          <w:noProof/>
          <w:sz w:val="18"/>
        </w:rPr>
      </w:r>
      <w:r w:rsidRPr="00380510">
        <w:rPr>
          <w:rFonts w:ascii="Times" w:hAnsi="Times" w:cs="Times"/>
          <w:b w:val="0"/>
          <w:noProof/>
          <w:sz w:val="18"/>
        </w:rPr>
        <w:fldChar w:fldCharType="separate"/>
      </w:r>
      <w:r w:rsidR="00623A5C">
        <w:rPr>
          <w:rFonts w:ascii="Times" w:hAnsi="Times" w:cs="Times"/>
          <w:b w:val="0"/>
          <w:noProof/>
          <w:sz w:val="18"/>
        </w:rPr>
        <w:t>324</w:t>
      </w:r>
      <w:r w:rsidRPr="00380510">
        <w:rPr>
          <w:rFonts w:ascii="Times" w:hAnsi="Times" w:cs="Times"/>
          <w:b w:val="0"/>
          <w:noProof/>
          <w:sz w:val="18"/>
        </w:rPr>
        <w:fldChar w:fldCharType="end"/>
      </w:r>
    </w:p>
    <w:p w:rsidR="00380510" w:rsidRDefault="00380510">
      <w:pPr>
        <w:pStyle w:val="TOC4"/>
        <w:rPr>
          <w:rFonts w:ascii="Calibri" w:hAnsi="Calibri"/>
          <w:b w:val="0"/>
          <w:noProof/>
          <w:kern w:val="0"/>
          <w:sz w:val="22"/>
          <w:szCs w:val="22"/>
        </w:rPr>
      </w:pPr>
      <w:r>
        <w:rPr>
          <w:noProof/>
        </w:rPr>
        <w:t>Guide to Subdivision 842</w:t>
      </w:r>
      <w:r>
        <w:rPr>
          <w:noProof/>
        </w:rPr>
        <w:noBreakHyphen/>
        <w:t>B</w:t>
      </w:r>
      <w:r w:rsidRPr="00380510">
        <w:rPr>
          <w:rFonts w:ascii="Times" w:hAnsi="Times" w:cs="Times"/>
          <w:b w:val="0"/>
          <w:noProof/>
          <w:sz w:val="18"/>
        </w:rPr>
        <w:tab/>
      </w:r>
      <w:r w:rsidRPr="00380510">
        <w:rPr>
          <w:rFonts w:ascii="Times" w:hAnsi="Times" w:cs="Times"/>
          <w:b w:val="0"/>
          <w:noProof/>
          <w:sz w:val="18"/>
        </w:rPr>
        <w:fldChar w:fldCharType="begin"/>
      </w:r>
      <w:r w:rsidRPr="00380510">
        <w:rPr>
          <w:rFonts w:ascii="Times" w:hAnsi="Times" w:cs="Times"/>
          <w:b w:val="0"/>
          <w:noProof/>
          <w:sz w:val="18"/>
        </w:rPr>
        <w:instrText xml:space="preserve"> PAGEREF _Toc338939466 \h </w:instrText>
      </w:r>
      <w:r w:rsidRPr="00380510">
        <w:rPr>
          <w:rFonts w:ascii="Times" w:hAnsi="Times" w:cs="Times"/>
          <w:b w:val="0"/>
          <w:noProof/>
          <w:sz w:val="18"/>
        </w:rPr>
      </w:r>
      <w:r w:rsidRPr="00380510">
        <w:rPr>
          <w:rFonts w:ascii="Times" w:hAnsi="Times" w:cs="Times"/>
          <w:b w:val="0"/>
          <w:noProof/>
          <w:sz w:val="18"/>
        </w:rPr>
        <w:fldChar w:fldCharType="separate"/>
      </w:r>
      <w:r w:rsidR="00623A5C">
        <w:rPr>
          <w:rFonts w:ascii="Times" w:hAnsi="Times" w:cs="Times"/>
          <w:b w:val="0"/>
          <w:noProof/>
          <w:sz w:val="18"/>
        </w:rPr>
        <w:t>324</w:t>
      </w:r>
      <w:r w:rsidRPr="00380510">
        <w:rPr>
          <w:rFonts w:ascii="Times" w:hAnsi="Times" w:cs="Times"/>
          <w:b w:val="0"/>
          <w:noProof/>
          <w:sz w:val="18"/>
        </w:rPr>
        <w:fldChar w:fldCharType="end"/>
      </w:r>
    </w:p>
    <w:p w:rsidR="00380510" w:rsidRDefault="00380510">
      <w:pPr>
        <w:pStyle w:val="TOC5"/>
        <w:rPr>
          <w:rFonts w:ascii="Calibri" w:hAnsi="Calibri"/>
          <w:iCs w:val="0"/>
          <w:noProof/>
          <w:kern w:val="0"/>
          <w:sz w:val="22"/>
          <w:szCs w:val="22"/>
        </w:rPr>
      </w:pPr>
      <w:r>
        <w:rPr>
          <w:noProof/>
        </w:rPr>
        <w:t>842</w:t>
      </w:r>
      <w:r>
        <w:rPr>
          <w:noProof/>
        </w:rPr>
        <w:noBreakHyphen/>
        <w:t>100</w:t>
      </w:r>
      <w:r>
        <w:rPr>
          <w:noProof/>
        </w:rPr>
        <w:tab/>
        <w:t>What this Subdivision is about</w:t>
      </w:r>
      <w:r w:rsidRPr="00380510">
        <w:rPr>
          <w:rFonts w:ascii="Times" w:hAnsi="Times" w:cs="Times"/>
          <w:noProof/>
        </w:rPr>
        <w:tab/>
      </w:r>
      <w:r w:rsidRPr="00380510">
        <w:rPr>
          <w:rFonts w:ascii="Times" w:hAnsi="Times" w:cs="Times"/>
          <w:noProof/>
        </w:rPr>
        <w:fldChar w:fldCharType="begin"/>
      </w:r>
      <w:r w:rsidRPr="00380510">
        <w:rPr>
          <w:rFonts w:ascii="Times" w:hAnsi="Times" w:cs="Times"/>
          <w:noProof/>
        </w:rPr>
        <w:instrText xml:space="preserve"> PAGEREF _Toc338939467 \h </w:instrText>
      </w:r>
      <w:r w:rsidRPr="00380510">
        <w:rPr>
          <w:rFonts w:ascii="Times" w:hAnsi="Times" w:cs="Times"/>
          <w:noProof/>
        </w:rPr>
      </w:r>
      <w:r w:rsidRPr="00380510">
        <w:rPr>
          <w:rFonts w:ascii="Times" w:hAnsi="Times" w:cs="Times"/>
          <w:noProof/>
        </w:rPr>
        <w:fldChar w:fldCharType="separate"/>
      </w:r>
      <w:r w:rsidR="00623A5C">
        <w:rPr>
          <w:rFonts w:ascii="Times" w:hAnsi="Times" w:cs="Times"/>
          <w:noProof/>
        </w:rPr>
        <w:t>324</w:t>
      </w:r>
      <w:r w:rsidRPr="00380510">
        <w:rPr>
          <w:rFonts w:ascii="Times" w:hAnsi="Times" w:cs="Times"/>
          <w:noProof/>
        </w:rPr>
        <w:fldChar w:fldCharType="end"/>
      </w:r>
    </w:p>
    <w:p w:rsidR="00380510" w:rsidRDefault="00380510">
      <w:pPr>
        <w:pStyle w:val="TOC5"/>
        <w:rPr>
          <w:rFonts w:ascii="Calibri" w:hAnsi="Calibri"/>
          <w:iCs w:val="0"/>
          <w:noProof/>
          <w:kern w:val="0"/>
          <w:sz w:val="22"/>
          <w:szCs w:val="22"/>
        </w:rPr>
      </w:pPr>
      <w:r>
        <w:rPr>
          <w:noProof/>
        </w:rPr>
        <w:t>842</w:t>
      </w:r>
      <w:r>
        <w:rPr>
          <w:noProof/>
        </w:rPr>
        <w:noBreakHyphen/>
        <w:t>105</w:t>
      </w:r>
      <w:r>
        <w:rPr>
          <w:noProof/>
        </w:rPr>
        <w:tab/>
        <w:t>Amounts of Australian source ordinary income and statutory income that are exempt</w:t>
      </w:r>
      <w:r w:rsidRPr="00380510">
        <w:rPr>
          <w:rFonts w:ascii="Times" w:hAnsi="Times" w:cs="Times"/>
          <w:noProof/>
        </w:rPr>
        <w:tab/>
      </w:r>
      <w:r w:rsidRPr="00380510">
        <w:rPr>
          <w:rFonts w:ascii="Times" w:hAnsi="Times" w:cs="Times"/>
          <w:noProof/>
        </w:rPr>
        <w:fldChar w:fldCharType="begin"/>
      </w:r>
      <w:r w:rsidRPr="00380510">
        <w:rPr>
          <w:rFonts w:ascii="Times" w:hAnsi="Times" w:cs="Times"/>
          <w:noProof/>
        </w:rPr>
        <w:instrText xml:space="preserve"> PAGEREF _Toc338939468 \h </w:instrText>
      </w:r>
      <w:r w:rsidRPr="00380510">
        <w:rPr>
          <w:rFonts w:ascii="Times" w:hAnsi="Times" w:cs="Times"/>
          <w:noProof/>
        </w:rPr>
      </w:r>
      <w:r w:rsidRPr="00380510">
        <w:rPr>
          <w:rFonts w:ascii="Times" w:hAnsi="Times" w:cs="Times"/>
          <w:noProof/>
        </w:rPr>
        <w:fldChar w:fldCharType="separate"/>
      </w:r>
      <w:r w:rsidR="00623A5C">
        <w:rPr>
          <w:rFonts w:ascii="Times" w:hAnsi="Times" w:cs="Times"/>
          <w:noProof/>
        </w:rPr>
        <w:t>324</w:t>
      </w:r>
      <w:r w:rsidRPr="00380510">
        <w:rPr>
          <w:rFonts w:ascii="Times" w:hAnsi="Times" w:cs="Times"/>
          <w:noProof/>
        </w:rPr>
        <w:fldChar w:fldCharType="end"/>
      </w:r>
    </w:p>
    <w:p w:rsidR="00380510" w:rsidRDefault="00380510">
      <w:pPr>
        <w:pStyle w:val="TOC4"/>
        <w:rPr>
          <w:rFonts w:ascii="Calibri" w:hAnsi="Calibri"/>
          <w:b w:val="0"/>
          <w:noProof/>
          <w:kern w:val="0"/>
          <w:sz w:val="22"/>
          <w:szCs w:val="22"/>
        </w:rPr>
      </w:pPr>
      <w:r>
        <w:rPr>
          <w:noProof/>
        </w:rPr>
        <w:t>Subdivision 842</w:t>
      </w:r>
      <w:r>
        <w:rPr>
          <w:noProof/>
        </w:rPr>
        <w:noBreakHyphen/>
        <w:t>I—Investment manager regime</w:t>
      </w:r>
      <w:r w:rsidRPr="00380510">
        <w:rPr>
          <w:rFonts w:ascii="Times" w:hAnsi="Times" w:cs="Times"/>
          <w:b w:val="0"/>
          <w:noProof/>
          <w:sz w:val="18"/>
        </w:rPr>
        <w:tab/>
      </w:r>
      <w:r w:rsidRPr="00380510">
        <w:rPr>
          <w:rFonts w:ascii="Times" w:hAnsi="Times" w:cs="Times"/>
          <w:b w:val="0"/>
          <w:noProof/>
          <w:sz w:val="18"/>
        </w:rPr>
        <w:fldChar w:fldCharType="begin"/>
      </w:r>
      <w:r w:rsidRPr="00380510">
        <w:rPr>
          <w:rFonts w:ascii="Times" w:hAnsi="Times" w:cs="Times"/>
          <w:b w:val="0"/>
          <w:noProof/>
          <w:sz w:val="18"/>
        </w:rPr>
        <w:instrText xml:space="preserve"> PAGEREF _Toc338939469 \h </w:instrText>
      </w:r>
      <w:r w:rsidRPr="00380510">
        <w:rPr>
          <w:rFonts w:ascii="Times" w:hAnsi="Times" w:cs="Times"/>
          <w:b w:val="0"/>
          <w:noProof/>
          <w:sz w:val="18"/>
        </w:rPr>
      </w:r>
      <w:r w:rsidRPr="00380510">
        <w:rPr>
          <w:rFonts w:ascii="Times" w:hAnsi="Times" w:cs="Times"/>
          <w:b w:val="0"/>
          <w:noProof/>
          <w:sz w:val="18"/>
        </w:rPr>
        <w:fldChar w:fldCharType="separate"/>
      </w:r>
      <w:r w:rsidR="00623A5C">
        <w:rPr>
          <w:rFonts w:ascii="Times" w:hAnsi="Times" w:cs="Times"/>
          <w:b w:val="0"/>
          <w:noProof/>
          <w:sz w:val="18"/>
        </w:rPr>
        <w:t>327</w:t>
      </w:r>
      <w:r w:rsidRPr="00380510">
        <w:rPr>
          <w:rFonts w:ascii="Times" w:hAnsi="Times" w:cs="Times"/>
          <w:b w:val="0"/>
          <w:noProof/>
          <w:sz w:val="18"/>
        </w:rPr>
        <w:fldChar w:fldCharType="end"/>
      </w:r>
    </w:p>
    <w:p w:rsidR="00380510" w:rsidRDefault="00380510">
      <w:pPr>
        <w:pStyle w:val="TOC4"/>
        <w:rPr>
          <w:rFonts w:ascii="Calibri" w:hAnsi="Calibri"/>
          <w:b w:val="0"/>
          <w:noProof/>
          <w:kern w:val="0"/>
          <w:sz w:val="22"/>
          <w:szCs w:val="22"/>
        </w:rPr>
      </w:pPr>
      <w:r>
        <w:rPr>
          <w:noProof/>
        </w:rPr>
        <w:t>Guide to Subdivision 842</w:t>
      </w:r>
      <w:r>
        <w:rPr>
          <w:noProof/>
        </w:rPr>
        <w:noBreakHyphen/>
        <w:t>I</w:t>
      </w:r>
      <w:r w:rsidRPr="00380510">
        <w:rPr>
          <w:rFonts w:ascii="Times" w:hAnsi="Times" w:cs="Times"/>
          <w:b w:val="0"/>
          <w:noProof/>
          <w:sz w:val="18"/>
        </w:rPr>
        <w:tab/>
      </w:r>
      <w:r w:rsidRPr="00380510">
        <w:rPr>
          <w:rFonts w:ascii="Times" w:hAnsi="Times" w:cs="Times"/>
          <w:b w:val="0"/>
          <w:noProof/>
          <w:sz w:val="18"/>
        </w:rPr>
        <w:fldChar w:fldCharType="begin"/>
      </w:r>
      <w:r w:rsidRPr="00380510">
        <w:rPr>
          <w:rFonts w:ascii="Times" w:hAnsi="Times" w:cs="Times"/>
          <w:b w:val="0"/>
          <w:noProof/>
          <w:sz w:val="18"/>
        </w:rPr>
        <w:instrText xml:space="preserve"> PAGEREF _Toc338939470 \h </w:instrText>
      </w:r>
      <w:r w:rsidRPr="00380510">
        <w:rPr>
          <w:rFonts w:ascii="Times" w:hAnsi="Times" w:cs="Times"/>
          <w:b w:val="0"/>
          <w:noProof/>
          <w:sz w:val="18"/>
        </w:rPr>
      </w:r>
      <w:r w:rsidRPr="00380510">
        <w:rPr>
          <w:rFonts w:ascii="Times" w:hAnsi="Times" w:cs="Times"/>
          <w:b w:val="0"/>
          <w:noProof/>
          <w:sz w:val="18"/>
        </w:rPr>
        <w:fldChar w:fldCharType="separate"/>
      </w:r>
      <w:r w:rsidR="00623A5C">
        <w:rPr>
          <w:rFonts w:ascii="Times" w:hAnsi="Times" w:cs="Times"/>
          <w:b w:val="0"/>
          <w:noProof/>
          <w:sz w:val="18"/>
        </w:rPr>
        <w:t>327</w:t>
      </w:r>
      <w:r w:rsidRPr="00380510">
        <w:rPr>
          <w:rFonts w:ascii="Times" w:hAnsi="Times" w:cs="Times"/>
          <w:b w:val="0"/>
          <w:noProof/>
          <w:sz w:val="18"/>
        </w:rPr>
        <w:fldChar w:fldCharType="end"/>
      </w:r>
    </w:p>
    <w:p w:rsidR="00380510" w:rsidRDefault="00380510">
      <w:pPr>
        <w:pStyle w:val="TOC5"/>
        <w:rPr>
          <w:rFonts w:ascii="Calibri" w:hAnsi="Calibri"/>
          <w:iCs w:val="0"/>
          <w:noProof/>
          <w:kern w:val="0"/>
          <w:sz w:val="22"/>
          <w:szCs w:val="22"/>
        </w:rPr>
      </w:pPr>
      <w:r>
        <w:rPr>
          <w:noProof/>
        </w:rPr>
        <w:t>842</w:t>
      </w:r>
      <w:r>
        <w:rPr>
          <w:noProof/>
        </w:rPr>
        <w:noBreakHyphen/>
        <w:t>200</w:t>
      </w:r>
      <w:r>
        <w:rPr>
          <w:noProof/>
        </w:rPr>
        <w:tab/>
        <w:t>What this Subdivision is about</w:t>
      </w:r>
      <w:r w:rsidRPr="00380510">
        <w:rPr>
          <w:rFonts w:ascii="Times" w:hAnsi="Times" w:cs="Times"/>
          <w:noProof/>
        </w:rPr>
        <w:tab/>
      </w:r>
      <w:r w:rsidRPr="00380510">
        <w:rPr>
          <w:rFonts w:ascii="Times" w:hAnsi="Times" w:cs="Times"/>
          <w:noProof/>
        </w:rPr>
        <w:fldChar w:fldCharType="begin"/>
      </w:r>
      <w:r w:rsidRPr="00380510">
        <w:rPr>
          <w:rFonts w:ascii="Times" w:hAnsi="Times" w:cs="Times"/>
          <w:noProof/>
        </w:rPr>
        <w:instrText xml:space="preserve"> PAGEREF _Toc338939471 \h </w:instrText>
      </w:r>
      <w:r w:rsidRPr="00380510">
        <w:rPr>
          <w:rFonts w:ascii="Times" w:hAnsi="Times" w:cs="Times"/>
          <w:noProof/>
        </w:rPr>
      </w:r>
      <w:r w:rsidRPr="00380510">
        <w:rPr>
          <w:rFonts w:ascii="Times" w:hAnsi="Times" w:cs="Times"/>
          <w:noProof/>
        </w:rPr>
        <w:fldChar w:fldCharType="separate"/>
      </w:r>
      <w:r w:rsidR="00623A5C">
        <w:rPr>
          <w:rFonts w:ascii="Times" w:hAnsi="Times" w:cs="Times"/>
          <w:noProof/>
        </w:rPr>
        <w:t>327</w:t>
      </w:r>
      <w:r w:rsidRPr="00380510">
        <w:rPr>
          <w:rFonts w:ascii="Times" w:hAnsi="Times" w:cs="Times"/>
          <w:noProof/>
        </w:rPr>
        <w:fldChar w:fldCharType="end"/>
      </w:r>
    </w:p>
    <w:p w:rsidR="00380510" w:rsidRDefault="00380510">
      <w:pPr>
        <w:pStyle w:val="TOC4"/>
        <w:rPr>
          <w:rFonts w:ascii="Calibri" w:hAnsi="Calibri"/>
          <w:b w:val="0"/>
          <w:noProof/>
          <w:kern w:val="0"/>
          <w:sz w:val="22"/>
          <w:szCs w:val="22"/>
        </w:rPr>
      </w:pPr>
      <w:r>
        <w:rPr>
          <w:noProof/>
        </w:rPr>
        <w:t>Operative provisions</w:t>
      </w:r>
      <w:r w:rsidRPr="00380510">
        <w:rPr>
          <w:rFonts w:ascii="Times" w:hAnsi="Times" w:cs="Times"/>
          <w:b w:val="0"/>
          <w:noProof/>
          <w:sz w:val="18"/>
        </w:rPr>
        <w:tab/>
      </w:r>
      <w:r w:rsidRPr="00380510">
        <w:rPr>
          <w:rFonts w:ascii="Times" w:hAnsi="Times" w:cs="Times"/>
          <w:b w:val="0"/>
          <w:noProof/>
          <w:sz w:val="18"/>
        </w:rPr>
        <w:fldChar w:fldCharType="begin"/>
      </w:r>
      <w:r w:rsidRPr="00380510">
        <w:rPr>
          <w:rFonts w:ascii="Times" w:hAnsi="Times" w:cs="Times"/>
          <w:b w:val="0"/>
          <w:noProof/>
          <w:sz w:val="18"/>
        </w:rPr>
        <w:instrText xml:space="preserve"> PAGEREF _Toc338939472 \h </w:instrText>
      </w:r>
      <w:r w:rsidRPr="00380510">
        <w:rPr>
          <w:rFonts w:ascii="Times" w:hAnsi="Times" w:cs="Times"/>
          <w:b w:val="0"/>
          <w:noProof/>
          <w:sz w:val="18"/>
        </w:rPr>
      </w:r>
      <w:r w:rsidRPr="00380510">
        <w:rPr>
          <w:rFonts w:ascii="Times" w:hAnsi="Times" w:cs="Times"/>
          <w:b w:val="0"/>
          <w:noProof/>
          <w:sz w:val="18"/>
        </w:rPr>
        <w:fldChar w:fldCharType="separate"/>
      </w:r>
      <w:r w:rsidR="00623A5C">
        <w:rPr>
          <w:rFonts w:ascii="Times" w:hAnsi="Times" w:cs="Times"/>
          <w:b w:val="0"/>
          <w:noProof/>
          <w:sz w:val="18"/>
        </w:rPr>
        <w:t>329</w:t>
      </w:r>
      <w:r w:rsidRPr="00380510">
        <w:rPr>
          <w:rFonts w:ascii="Times" w:hAnsi="Times" w:cs="Times"/>
          <w:b w:val="0"/>
          <w:noProof/>
          <w:sz w:val="18"/>
        </w:rPr>
        <w:fldChar w:fldCharType="end"/>
      </w:r>
    </w:p>
    <w:p w:rsidR="00380510" w:rsidRDefault="00380510">
      <w:pPr>
        <w:pStyle w:val="TOC5"/>
        <w:rPr>
          <w:rFonts w:ascii="Calibri" w:hAnsi="Calibri"/>
          <w:iCs w:val="0"/>
          <w:noProof/>
          <w:kern w:val="0"/>
          <w:sz w:val="22"/>
          <w:szCs w:val="22"/>
        </w:rPr>
      </w:pPr>
      <w:r>
        <w:rPr>
          <w:noProof/>
        </w:rPr>
        <w:t>842</w:t>
      </w:r>
      <w:r>
        <w:rPr>
          <w:noProof/>
        </w:rPr>
        <w:noBreakHyphen/>
        <w:t>205</w:t>
      </w:r>
      <w:r>
        <w:rPr>
          <w:noProof/>
        </w:rPr>
        <w:tab/>
        <w:t>Objects of this Subdivision</w:t>
      </w:r>
      <w:r w:rsidRPr="00380510">
        <w:rPr>
          <w:rFonts w:ascii="Times" w:hAnsi="Times" w:cs="Times"/>
          <w:noProof/>
        </w:rPr>
        <w:tab/>
      </w:r>
      <w:r w:rsidRPr="00380510">
        <w:rPr>
          <w:rFonts w:ascii="Times" w:hAnsi="Times" w:cs="Times"/>
          <w:noProof/>
        </w:rPr>
        <w:fldChar w:fldCharType="begin"/>
      </w:r>
      <w:r w:rsidRPr="00380510">
        <w:rPr>
          <w:rFonts w:ascii="Times" w:hAnsi="Times" w:cs="Times"/>
          <w:noProof/>
        </w:rPr>
        <w:instrText xml:space="preserve"> PAGEREF _Toc338939473 \h </w:instrText>
      </w:r>
      <w:r w:rsidRPr="00380510">
        <w:rPr>
          <w:rFonts w:ascii="Times" w:hAnsi="Times" w:cs="Times"/>
          <w:noProof/>
        </w:rPr>
      </w:r>
      <w:r w:rsidRPr="00380510">
        <w:rPr>
          <w:rFonts w:ascii="Times" w:hAnsi="Times" w:cs="Times"/>
          <w:noProof/>
        </w:rPr>
        <w:fldChar w:fldCharType="separate"/>
      </w:r>
      <w:r w:rsidR="00623A5C">
        <w:rPr>
          <w:rFonts w:ascii="Times" w:hAnsi="Times" w:cs="Times"/>
          <w:noProof/>
        </w:rPr>
        <w:t>329</w:t>
      </w:r>
      <w:r w:rsidRPr="00380510">
        <w:rPr>
          <w:rFonts w:ascii="Times" w:hAnsi="Times" w:cs="Times"/>
          <w:noProof/>
        </w:rPr>
        <w:fldChar w:fldCharType="end"/>
      </w:r>
    </w:p>
    <w:p w:rsidR="00380510" w:rsidRDefault="00380510">
      <w:pPr>
        <w:pStyle w:val="TOC5"/>
        <w:rPr>
          <w:rFonts w:ascii="Calibri" w:hAnsi="Calibri"/>
          <w:iCs w:val="0"/>
          <w:noProof/>
          <w:kern w:val="0"/>
          <w:sz w:val="22"/>
          <w:szCs w:val="22"/>
        </w:rPr>
      </w:pPr>
      <w:r>
        <w:rPr>
          <w:noProof/>
        </w:rPr>
        <w:t>842</w:t>
      </w:r>
      <w:r>
        <w:rPr>
          <w:noProof/>
        </w:rPr>
        <w:noBreakHyphen/>
        <w:t>210</w:t>
      </w:r>
      <w:r>
        <w:rPr>
          <w:noProof/>
        </w:rPr>
        <w:tab/>
        <w:t>Treatment of IMR foreign fund that is a corporate tax entity</w:t>
      </w:r>
      <w:r w:rsidRPr="00380510">
        <w:rPr>
          <w:rFonts w:ascii="Times" w:hAnsi="Times" w:cs="Times"/>
          <w:noProof/>
        </w:rPr>
        <w:tab/>
      </w:r>
      <w:r w:rsidRPr="00380510">
        <w:rPr>
          <w:rFonts w:ascii="Times" w:hAnsi="Times" w:cs="Times"/>
          <w:noProof/>
        </w:rPr>
        <w:fldChar w:fldCharType="begin"/>
      </w:r>
      <w:r w:rsidRPr="00380510">
        <w:rPr>
          <w:rFonts w:ascii="Times" w:hAnsi="Times" w:cs="Times"/>
          <w:noProof/>
        </w:rPr>
        <w:instrText xml:space="preserve"> PAGEREF _Toc338939474 \h </w:instrText>
      </w:r>
      <w:r w:rsidRPr="00380510">
        <w:rPr>
          <w:rFonts w:ascii="Times" w:hAnsi="Times" w:cs="Times"/>
          <w:noProof/>
        </w:rPr>
      </w:r>
      <w:r w:rsidRPr="00380510">
        <w:rPr>
          <w:rFonts w:ascii="Times" w:hAnsi="Times" w:cs="Times"/>
          <w:noProof/>
        </w:rPr>
        <w:fldChar w:fldCharType="separate"/>
      </w:r>
      <w:r w:rsidR="00623A5C">
        <w:rPr>
          <w:rFonts w:ascii="Times" w:hAnsi="Times" w:cs="Times"/>
          <w:noProof/>
        </w:rPr>
        <w:t>329</w:t>
      </w:r>
      <w:r w:rsidRPr="00380510">
        <w:rPr>
          <w:rFonts w:ascii="Times" w:hAnsi="Times" w:cs="Times"/>
          <w:noProof/>
        </w:rPr>
        <w:fldChar w:fldCharType="end"/>
      </w:r>
    </w:p>
    <w:p w:rsidR="00380510" w:rsidRDefault="00380510">
      <w:pPr>
        <w:pStyle w:val="TOC5"/>
        <w:rPr>
          <w:rFonts w:ascii="Calibri" w:hAnsi="Calibri"/>
          <w:iCs w:val="0"/>
          <w:noProof/>
          <w:kern w:val="0"/>
          <w:sz w:val="22"/>
          <w:szCs w:val="22"/>
        </w:rPr>
      </w:pPr>
      <w:r>
        <w:rPr>
          <w:noProof/>
        </w:rPr>
        <w:t>842</w:t>
      </w:r>
      <w:r>
        <w:rPr>
          <w:noProof/>
        </w:rPr>
        <w:noBreakHyphen/>
        <w:t>215</w:t>
      </w:r>
      <w:r>
        <w:rPr>
          <w:noProof/>
        </w:rPr>
        <w:tab/>
        <w:t>Treatment of foreign resident beneficiary that is not a trust or partnership</w:t>
      </w:r>
      <w:r w:rsidRPr="00380510">
        <w:rPr>
          <w:rFonts w:ascii="Times" w:hAnsi="Times" w:cs="Times"/>
          <w:noProof/>
        </w:rPr>
        <w:tab/>
      </w:r>
      <w:r w:rsidRPr="00380510">
        <w:rPr>
          <w:rFonts w:ascii="Times" w:hAnsi="Times" w:cs="Times"/>
          <w:noProof/>
        </w:rPr>
        <w:fldChar w:fldCharType="begin"/>
      </w:r>
      <w:r w:rsidRPr="00380510">
        <w:rPr>
          <w:rFonts w:ascii="Times" w:hAnsi="Times" w:cs="Times"/>
          <w:noProof/>
        </w:rPr>
        <w:instrText xml:space="preserve"> PAGEREF _Toc338939475 \h </w:instrText>
      </w:r>
      <w:r w:rsidRPr="00380510">
        <w:rPr>
          <w:rFonts w:ascii="Times" w:hAnsi="Times" w:cs="Times"/>
          <w:noProof/>
        </w:rPr>
      </w:r>
      <w:r w:rsidRPr="00380510">
        <w:rPr>
          <w:rFonts w:ascii="Times" w:hAnsi="Times" w:cs="Times"/>
          <w:noProof/>
        </w:rPr>
        <w:fldChar w:fldCharType="separate"/>
      </w:r>
      <w:r w:rsidR="00623A5C">
        <w:rPr>
          <w:rFonts w:ascii="Times" w:hAnsi="Times" w:cs="Times"/>
          <w:noProof/>
        </w:rPr>
        <w:t>330</w:t>
      </w:r>
      <w:r w:rsidRPr="00380510">
        <w:rPr>
          <w:rFonts w:ascii="Times" w:hAnsi="Times" w:cs="Times"/>
          <w:noProof/>
        </w:rPr>
        <w:fldChar w:fldCharType="end"/>
      </w:r>
    </w:p>
    <w:p w:rsidR="00380510" w:rsidRDefault="00380510">
      <w:pPr>
        <w:pStyle w:val="TOC5"/>
        <w:rPr>
          <w:rFonts w:ascii="Calibri" w:hAnsi="Calibri"/>
          <w:iCs w:val="0"/>
          <w:noProof/>
          <w:kern w:val="0"/>
          <w:sz w:val="22"/>
          <w:szCs w:val="22"/>
        </w:rPr>
      </w:pPr>
      <w:r>
        <w:rPr>
          <w:noProof/>
        </w:rPr>
        <w:t>842</w:t>
      </w:r>
      <w:r>
        <w:rPr>
          <w:noProof/>
        </w:rPr>
        <w:noBreakHyphen/>
        <w:t>220</w:t>
      </w:r>
      <w:r>
        <w:rPr>
          <w:noProof/>
        </w:rPr>
        <w:tab/>
        <w:t>Treatment of foreign resident partner that is not a trust or partnership</w:t>
      </w:r>
      <w:r w:rsidRPr="00380510">
        <w:rPr>
          <w:rFonts w:ascii="Times" w:hAnsi="Times" w:cs="Times"/>
          <w:noProof/>
        </w:rPr>
        <w:tab/>
      </w:r>
      <w:r w:rsidRPr="00380510">
        <w:rPr>
          <w:rFonts w:ascii="Times" w:hAnsi="Times" w:cs="Times"/>
          <w:noProof/>
        </w:rPr>
        <w:fldChar w:fldCharType="begin"/>
      </w:r>
      <w:r w:rsidRPr="00380510">
        <w:rPr>
          <w:rFonts w:ascii="Times" w:hAnsi="Times" w:cs="Times"/>
          <w:noProof/>
        </w:rPr>
        <w:instrText xml:space="preserve"> PAGEREF _Toc338939476 \h </w:instrText>
      </w:r>
      <w:r w:rsidRPr="00380510">
        <w:rPr>
          <w:rFonts w:ascii="Times" w:hAnsi="Times" w:cs="Times"/>
          <w:noProof/>
        </w:rPr>
      </w:r>
      <w:r w:rsidRPr="00380510">
        <w:rPr>
          <w:rFonts w:ascii="Times" w:hAnsi="Times" w:cs="Times"/>
          <w:noProof/>
        </w:rPr>
        <w:fldChar w:fldCharType="separate"/>
      </w:r>
      <w:r w:rsidR="00623A5C">
        <w:rPr>
          <w:rFonts w:ascii="Times" w:hAnsi="Times" w:cs="Times"/>
          <w:noProof/>
        </w:rPr>
        <w:t>333</w:t>
      </w:r>
      <w:r w:rsidRPr="00380510">
        <w:rPr>
          <w:rFonts w:ascii="Times" w:hAnsi="Times" w:cs="Times"/>
          <w:noProof/>
        </w:rPr>
        <w:fldChar w:fldCharType="end"/>
      </w:r>
    </w:p>
    <w:p w:rsidR="00380510" w:rsidRDefault="00380510">
      <w:pPr>
        <w:pStyle w:val="TOC5"/>
        <w:rPr>
          <w:rFonts w:ascii="Calibri" w:hAnsi="Calibri"/>
          <w:iCs w:val="0"/>
          <w:noProof/>
          <w:kern w:val="0"/>
          <w:sz w:val="22"/>
          <w:szCs w:val="22"/>
        </w:rPr>
      </w:pPr>
      <w:r>
        <w:rPr>
          <w:noProof/>
        </w:rPr>
        <w:t>842</w:t>
      </w:r>
      <w:r>
        <w:rPr>
          <w:noProof/>
        </w:rPr>
        <w:noBreakHyphen/>
        <w:t>225</w:t>
      </w:r>
      <w:r>
        <w:rPr>
          <w:noProof/>
        </w:rPr>
        <w:tab/>
        <w:t>Treatment of trustee of an IMR foreign fund</w:t>
      </w:r>
      <w:r w:rsidRPr="00380510">
        <w:rPr>
          <w:rFonts w:ascii="Times" w:hAnsi="Times" w:cs="Times"/>
          <w:noProof/>
        </w:rPr>
        <w:tab/>
      </w:r>
      <w:r w:rsidRPr="00380510">
        <w:rPr>
          <w:rFonts w:ascii="Times" w:hAnsi="Times" w:cs="Times"/>
          <w:noProof/>
        </w:rPr>
        <w:fldChar w:fldCharType="begin"/>
      </w:r>
      <w:r w:rsidRPr="00380510">
        <w:rPr>
          <w:rFonts w:ascii="Times" w:hAnsi="Times" w:cs="Times"/>
          <w:noProof/>
        </w:rPr>
        <w:instrText xml:space="preserve"> PAGEREF _Toc338939477 \h </w:instrText>
      </w:r>
      <w:r w:rsidRPr="00380510">
        <w:rPr>
          <w:rFonts w:ascii="Times" w:hAnsi="Times" w:cs="Times"/>
          <w:noProof/>
        </w:rPr>
      </w:r>
      <w:r w:rsidRPr="00380510">
        <w:rPr>
          <w:rFonts w:ascii="Times" w:hAnsi="Times" w:cs="Times"/>
          <w:noProof/>
        </w:rPr>
        <w:fldChar w:fldCharType="separate"/>
      </w:r>
      <w:r w:rsidR="00623A5C">
        <w:rPr>
          <w:rFonts w:ascii="Times" w:hAnsi="Times" w:cs="Times"/>
          <w:noProof/>
        </w:rPr>
        <w:t>334</w:t>
      </w:r>
      <w:r w:rsidRPr="00380510">
        <w:rPr>
          <w:rFonts w:ascii="Times" w:hAnsi="Times" w:cs="Times"/>
          <w:noProof/>
        </w:rPr>
        <w:fldChar w:fldCharType="end"/>
      </w:r>
    </w:p>
    <w:p w:rsidR="00380510" w:rsidRDefault="00380510">
      <w:pPr>
        <w:pStyle w:val="TOC5"/>
        <w:rPr>
          <w:rFonts w:ascii="Calibri" w:hAnsi="Calibri"/>
          <w:iCs w:val="0"/>
          <w:noProof/>
          <w:kern w:val="0"/>
          <w:sz w:val="22"/>
          <w:szCs w:val="22"/>
        </w:rPr>
      </w:pPr>
      <w:r>
        <w:rPr>
          <w:noProof/>
        </w:rPr>
        <w:t>842</w:t>
      </w:r>
      <w:r>
        <w:rPr>
          <w:noProof/>
        </w:rPr>
        <w:noBreakHyphen/>
        <w:t>230</w:t>
      </w:r>
      <w:r>
        <w:rPr>
          <w:noProof/>
        </w:rPr>
        <w:tab/>
      </w:r>
      <w:r w:rsidRPr="008A0EAA">
        <w:rPr>
          <w:i/>
          <w:noProof/>
        </w:rPr>
        <w:t>IMR foreign fund</w:t>
      </w:r>
      <w:r w:rsidRPr="00380510">
        <w:rPr>
          <w:rFonts w:ascii="Times" w:hAnsi="Times" w:cs="Times"/>
          <w:noProof/>
        </w:rPr>
        <w:tab/>
      </w:r>
      <w:r w:rsidRPr="00380510">
        <w:rPr>
          <w:rFonts w:ascii="Times" w:hAnsi="Times" w:cs="Times"/>
          <w:noProof/>
        </w:rPr>
        <w:fldChar w:fldCharType="begin"/>
      </w:r>
      <w:r w:rsidRPr="00380510">
        <w:rPr>
          <w:rFonts w:ascii="Times" w:hAnsi="Times" w:cs="Times"/>
          <w:noProof/>
        </w:rPr>
        <w:instrText xml:space="preserve"> PAGEREF _Toc338939478 \h </w:instrText>
      </w:r>
      <w:r w:rsidRPr="00380510">
        <w:rPr>
          <w:rFonts w:ascii="Times" w:hAnsi="Times" w:cs="Times"/>
          <w:noProof/>
        </w:rPr>
      </w:r>
      <w:r w:rsidRPr="00380510">
        <w:rPr>
          <w:rFonts w:ascii="Times" w:hAnsi="Times" w:cs="Times"/>
          <w:noProof/>
        </w:rPr>
        <w:fldChar w:fldCharType="separate"/>
      </w:r>
      <w:r w:rsidR="00623A5C">
        <w:rPr>
          <w:rFonts w:ascii="Times" w:hAnsi="Times" w:cs="Times"/>
          <w:noProof/>
        </w:rPr>
        <w:t>336</w:t>
      </w:r>
      <w:r w:rsidRPr="00380510">
        <w:rPr>
          <w:rFonts w:ascii="Times" w:hAnsi="Times" w:cs="Times"/>
          <w:noProof/>
        </w:rPr>
        <w:fldChar w:fldCharType="end"/>
      </w:r>
    </w:p>
    <w:p w:rsidR="00380510" w:rsidRDefault="00380510">
      <w:pPr>
        <w:pStyle w:val="TOC5"/>
        <w:rPr>
          <w:rFonts w:ascii="Calibri" w:hAnsi="Calibri"/>
          <w:iCs w:val="0"/>
          <w:noProof/>
          <w:kern w:val="0"/>
          <w:sz w:val="22"/>
          <w:szCs w:val="22"/>
        </w:rPr>
      </w:pPr>
      <w:r>
        <w:rPr>
          <w:noProof/>
        </w:rPr>
        <w:t>842</w:t>
      </w:r>
      <w:r>
        <w:rPr>
          <w:noProof/>
        </w:rPr>
        <w:noBreakHyphen/>
        <w:t>235</w:t>
      </w:r>
      <w:r>
        <w:rPr>
          <w:noProof/>
        </w:rPr>
        <w:tab/>
        <w:t>Wind</w:t>
      </w:r>
      <w:r>
        <w:rPr>
          <w:noProof/>
        </w:rPr>
        <w:noBreakHyphen/>
        <w:t>down phases</w:t>
      </w:r>
      <w:r w:rsidRPr="00380510">
        <w:rPr>
          <w:rFonts w:ascii="Times" w:hAnsi="Times" w:cs="Times"/>
          <w:noProof/>
        </w:rPr>
        <w:tab/>
      </w:r>
      <w:r w:rsidRPr="00380510">
        <w:rPr>
          <w:rFonts w:ascii="Times" w:hAnsi="Times" w:cs="Times"/>
          <w:noProof/>
        </w:rPr>
        <w:fldChar w:fldCharType="begin"/>
      </w:r>
      <w:r w:rsidRPr="00380510">
        <w:rPr>
          <w:rFonts w:ascii="Times" w:hAnsi="Times" w:cs="Times"/>
          <w:noProof/>
        </w:rPr>
        <w:instrText xml:space="preserve"> PAGEREF _Toc338939479 \h </w:instrText>
      </w:r>
      <w:r w:rsidRPr="00380510">
        <w:rPr>
          <w:rFonts w:ascii="Times" w:hAnsi="Times" w:cs="Times"/>
          <w:noProof/>
        </w:rPr>
      </w:r>
      <w:r w:rsidRPr="00380510">
        <w:rPr>
          <w:rFonts w:ascii="Times" w:hAnsi="Times" w:cs="Times"/>
          <w:noProof/>
        </w:rPr>
        <w:fldChar w:fldCharType="separate"/>
      </w:r>
      <w:r w:rsidR="00623A5C">
        <w:rPr>
          <w:rFonts w:ascii="Times" w:hAnsi="Times" w:cs="Times"/>
          <w:noProof/>
        </w:rPr>
        <w:t>337</w:t>
      </w:r>
      <w:r w:rsidRPr="00380510">
        <w:rPr>
          <w:rFonts w:ascii="Times" w:hAnsi="Times" w:cs="Times"/>
          <w:noProof/>
        </w:rPr>
        <w:fldChar w:fldCharType="end"/>
      </w:r>
    </w:p>
    <w:p w:rsidR="00380510" w:rsidRDefault="00380510">
      <w:pPr>
        <w:pStyle w:val="TOC5"/>
        <w:rPr>
          <w:rFonts w:ascii="Calibri" w:hAnsi="Calibri"/>
          <w:iCs w:val="0"/>
          <w:noProof/>
          <w:kern w:val="0"/>
          <w:sz w:val="22"/>
          <w:szCs w:val="22"/>
        </w:rPr>
      </w:pPr>
      <w:r>
        <w:rPr>
          <w:noProof/>
        </w:rPr>
        <w:t>842</w:t>
      </w:r>
      <w:r>
        <w:rPr>
          <w:noProof/>
        </w:rPr>
        <w:noBreakHyphen/>
        <w:t>240</w:t>
      </w:r>
      <w:r>
        <w:rPr>
          <w:noProof/>
        </w:rPr>
        <w:tab/>
        <w:t>Widely held test and concentration test</w:t>
      </w:r>
      <w:r w:rsidRPr="00380510">
        <w:rPr>
          <w:rFonts w:ascii="Times" w:hAnsi="Times" w:cs="Times"/>
          <w:noProof/>
        </w:rPr>
        <w:tab/>
      </w:r>
      <w:r w:rsidRPr="00380510">
        <w:rPr>
          <w:rFonts w:ascii="Times" w:hAnsi="Times" w:cs="Times"/>
          <w:noProof/>
        </w:rPr>
        <w:fldChar w:fldCharType="begin"/>
      </w:r>
      <w:r w:rsidRPr="00380510">
        <w:rPr>
          <w:rFonts w:ascii="Times" w:hAnsi="Times" w:cs="Times"/>
          <w:noProof/>
        </w:rPr>
        <w:instrText xml:space="preserve"> PAGEREF _Toc338939480 \h </w:instrText>
      </w:r>
      <w:r w:rsidRPr="00380510">
        <w:rPr>
          <w:rFonts w:ascii="Times" w:hAnsi="Times" w:cs="Times"/>
          <w:noProof/>
        </w:rPr>
      </w:r>
      <w:r w:rsidRPr="00380510">
        <w:rPr>
          <w:rFonts w:ascii="Times" w:hAnsi="Times" w:cs="Times"/>
          <w:noProof/>
        </w:rPr>
        <w:fldChar w:fldCharType="separate"/>
      </w:r>
      <w:r w:rsidR="00623A5C">
        <w:rPr>
          <w:rFonts w:ascii="Times" w:hAnsi="Times" w:cs="Times"/>
          <w:noProof/>
        </w:rPr>
        <w:t>337</w:t>
      </w:r>
      <w:r w:rsidRPr="00380510">
        <w:rPr>
          <w:rFonts w:ascii="Times" w:hAnsi="Times" w:cs="Times"/>
          <w:noProof/>
        </w:rPr>
        <w:fldChar w:fldCharType="end"/>
      </w:r>
    </w:p>
    <w:p w:rsidR="00380510" w:rsidRDefault="00380510">
      <w:pPr>
        <w:pStyle w:val="TOC5"/>
        <w:rPr>
          <w:rFonts w:ascii="Calibri" w:hAnsi="Calibri"/>
          <w:iCs w:val="0"/>
          <w:noProof/>
          <w:kern w:val="0"/>
          <w:sz w:val="22"/>
          <w:szCs w:val="22"/>
        </w:rPr>
      </w:pPr>
      <w:r>
        <w:rPr>
          <w:noProof/>
        </w:rPr>
        <w:t>842</w:t>
      </w:r>
      <w:r>
        <w:rPr>
          <w:noProof/>
        </w:rPr>
        <w:noBreakHyphen/>
        <w:t>245</w:t>
      </w:r>
      <w:r>
        <w:rPr>
          <w:noProof/>
        </w:rPr>
        <w:tab/>
        <w:t>Financial arrangements covered by this section</w:t>
      </w:r>
      <w:r w:rsidRPr="00380510">
        <w:rPr>
          <w:rFonts w:ascii="Times" w:hAnsi="Times" w:cs="Times"/>
          <w:noProof/>
        </w:rPr>
        <w:tab/>
      </w:r>
      <w:r w:rsidRPr="00380510">
        <w:rPr>
          <w:rFonts w:ascii="Times" w:hAnsi="Times" w:cs="Times"/>
          <w:noProof/>
        </w:rPr>
        <w:fldChar w:fldCharType="begin"/>
      </w:r>
      <w:r w:rsidRPr="00380510">
        <w:rPr>
          <w:rFonts w:ascii="Times" w:hAnsi="Times" w:cs="Times"/>
          <w:noProof/>
        </w:rPr>
        <w:instrText xml:space="preserve"> PAGEREF _Toc338939481 \h </w:instrText>
      </w:r>
      <w:r w:rsidRPr="00380510">
        <w:rPr>
          <w:rFonts w:ascii="Times" w:hAnsi="Times" w:cs="Times"/>
          <w:noProof/>
        </w:rPr>
      </w:r>
      <w:r w:rsidRPr="00380510">
        <w:rPr>
          <w:rFonts w:ascii="Times" w:hAnsi="Times" w:cs="Times"/>
          <w:noProof/>
        </w:rPr>
        <w:fldChar w:fldCharType="separate"/>
      </w:r>
      <w:r w:rsidR="00623A5C">
        <w:rPr>
          <w:rFonts w:ascii="Times" w:hAnsi="Times" w:cs="Times"/>
          <w:noProof/>
        </w:rPr>
        <w:t>338</w:t>
      </w:r>
      <w:r w:rsidRPr="00380510">
        <w:rPr>
          <w:rFonts w:ascii="Times" w:hAnsi="Times" w:cs="Times"/>
          <w:noProof/>
        </w:rPr>
        <w:fldChar w:fldCharType="end"/>
      </w:r>
    </w:p>
    <w:p w:rsidR="00380510" w:rsidRDefault="00380510">
      <w:pPr>
        <w:pStyle w:val="TOC5"/>
        <w:rPr>
          <w:rFonts w:ascii="Calibri" w:hAnsi="Calibri"/>
          <w:iCs w:val="0"/>
          <w:noProof/>
          <w:kern w:val="0"/>
          <w:sz w:val="22"/>
          <w:szCs w:val="22"/>
        </w:rPr>
      </w:pPr>
      <w:r>
        <w:rPr>
          <w:noProof/>
        </w:rPr>
        <w:t>842</w:t>
      </w:r>
      <w:r>
        <w:rPr>
          <w:noProof/>
        </w:rPr>
        <w:noBreakHyphen/>
        <w:t>250</w:t>
      </w:r>
      <w:r>
        <w:rPr>
          <w:noProof/>
        </w:rPr>
        <w:tab/>
      </w:r>
      <w:r w:rsidRPr="008A0EAA">
        <w:rPr>
          <w:i/>
          <w:noProof/>
        </w:rPr>
        <w:t>IMR income</w:t>
      </w:r>
      <w:r>
        <w:rPr>
          <w:noProof/>
        </w:rPr>
        <w:t xml:space="preserve"> and </w:t>
      </w:r>
      <w:r w:rsidRPr="008A0EAA">
        <w:rPr>
          <w:i/>
          <w:noProof/>
        </w:rPr>
        <w:t>IMR deduction</w:t>
      </w:r>
      <w:r w:rsidRPr="00380510">
        <w:rPr>
          <w:rFonts w:ascii="Times" w:hAnsi="Times" w:cs="Times"/>
          <w:noProof/>
        </w:rPr>
        <w:tab/>
      </w:r>
      <w:r w:rsidRPr="00380510">
        <w:rPr>
          <w:rFonts w:ascii="Times" w:hAnsi="Times" w:cs="Times"/>
          <w:noProof/>
        </w:rPr>
        <w:fldChar w:fldCharType="begin"/>
      </w:r>
      <w:r w:rsidRPr="00380510">
        <w:rPr>
          <w:rFonts w:ascii="Times" w:hAnsi="Times" w:cs="Times"/>
          <w:noProof/>
        </w:rPr>
        <w:instrText xml:space="preserve"> PAGEREF _Toc338939482 \h </w:instrText>
      </w:r>
      <w:r w:rsidRPr="00380510">
        <w:rPr>
          <w:rFonts w:ascii="Times" w:hAnsi="Times" w:cs="Times"/>
          <w:noProof/>
        </w:rPr>
      </w:r>
      <w:r w:rsidRPr="00380510">
        <w:rPr>
          <w:rFonts w:ascii="Times" w:hAnsi="Times" w:cs="Times"/>
          <w:noProof/>
        </w:rPr>
        <w:fldChar w:fldCharType="separate"/>
      </w:r>
      <w:r w:rsidR="00623A5C">
        <w:rPr>
          <w:rFonts w:ascii="Times" w:hAnsi="Times" w:cs="Times"/>
          <w:noProof/>
        </w:rPr>
        <w:t>339</w:t>
      </w:r>
      <w:r w:rsidRPr="00380510">
        <w:rPr>
          <w:rFonts w:ascii="Times" w:hAnsi="Times" w:cs="Times"/>
          <w:noProof/>
        </w:rPr>
        <w:fldChar w:fldCharType="end"/>
      </w:r>
    </w:p>
    <w:p w:rsidR="00380510" w:rsidRDefault="00380510">
      <w:pPr>
        <w:pStyle w:val="TOC5"/>
        <w:rPr>
          <w:rFonts w:ascii="Calibri" w:hAnsi="Calibri"/>
          <w:iCs w:val="0"/>
          <w:noProof/>
          <w:kern w:val="0"/>
          <w:sz w:val="22"/>
          <w:szCs w:val="22"/>
        </w:rPr>
      </w:pPr>
      <w:r>
        <w:rPr>
          <w:noProof/>
        </w:rPr>
        <w:t>842</w:t>
      </w:r>
      <w:r>
        <w:rPr>
          <w:noProof/>
        </w:rPr>
        <w:noBreakHyphen/>
        <w:t>255</w:t>
      </w:r>
      <w:r>
        <w:rPr>
          <w:noProof/>
        </w:rPr>
        <w:tab/>
      </w:r>
      <w:r w:rsidRPr="008A0EAA">
        <w:rPr>
          <w:i/>
          <w:noProof/>
        </w:rPr>
        <w:t>IMR capital gain</w:t>
      </w:r>
      <w:r>
        <w:rPr>
          <w:noProof/>
        </w:rPr>
        <w:t xml:space="preserve"> and </w:t>
      </w:r>
      <w:r w:rsidRPr="008A0EAA">
        <w:rPr>
          <w:i/>
          <w:noProof/>
        </w:rPr>
        <w:t>IMR capital loss</w:t>
      </w:r>
      <w:r w:rsidRPr="00380510">
        <w:rPr>
          <w:rFonts w:ascii="Times" w:hAnsi="Times" w:cs="Times"/>
          <w:noProof/>
        </w:rPr>
        <w:tab/>
      </w:r>
      <w:r w:rsidRPr="00380510">
        <w:rPr>
          <w:rFonts w:ascii="Times" w:hAnsi="Times" w:cs="Times"/>
          <w:noProof/>
        </w:rPr>
        <w:fldChar w:fldCharType="begin"/>
      </w:r>
      <w:r w:rsidRPr="00380510">
        <w:rPr>
          <w:rFonts w:ascii="Times" w:hAnsi="Times" w:cs="Times"/>
          <w:noProof/>
        </w:rPr>
        <w:instrText xml:space="preserve"> PAGEREF _Toc338939483 \h </w:instrText>
      </w:r>
      <w:r w:rsidRPr="00380510">
        <w:rPr>
          <w:rFonts w:ascii="Times" w:hAnsi="Times" w:cs="Times"/>
          <w:noProof/>
        </w:rPr>
      </w:r>
      <w:r w:rsidRPr="00380510">
        <w:rPr>
          <w:rFonts w:ascii="Times" w:hAnsi="Times" w:cs="Times"/>
          <w:noProof/>
        </w:rPr>
        <w:fldChar w:fldCharType="separate"/>
      </w:r>
      <w:r w:rsidR="00623A5C">
        <w:rPr>
          <w:rFonts w:ascii="Times" w:hAnsi="Times" w:cs="Times"/>
          <w:noProof/>
        </w:rPr>
        <w:t>341</w:t>
      </w:r>
      <w:r w:rsidRPr="00380510">
        <w:rPr>
          <w:rFonts w:ascii="Times" w:hAnsi="Times" w:cs="Times"/>
          <w:noProof/>
        </w:rPr>
        <w:fldChar w:fldCharType="end"/>
      </w:r>
    </w:p>
    <w:p w:rsidR="00380510" w:rsidRDefault="00380510">
      <w:pPr>
        <w:pStyle w:val="TOC5"/>
        <w:rPr>
          <w:rFonts w:ascii="Calibri" w:hAnsi="Calibri"/>
          <w:iCs w:val="0"/>
          <w:noProof/>
          <w:kern w:val="0"/>
          <w:sz w:val="22"/>
          <w:szCs w:val="22"/>
        </w:rPr>
      </w:pPr>
      <w:r>
        <w:rPr>
          <w:noProof/>
        </w:rPr>
        <w:t>842</w:t>
      </w:r>
      <w:r>
        <w:rPr>
          <w:noProof/>
        </w:rPr>
        <w:noBreakHyphen/>
        <w:t>260</w:t>
      </w:r>
      <w:r>
        <w:rPr>
          <w:i/>
          <w:noProof/>
        </w:rPr>
        <w:tab/>
      </w:r>
      <w:r w:rsidRPr="008A0EAA">
        <w:rPr>
          <w:i/>
          <w:noProof/>
        </w:rPr>
        <w:t>Non</w:t>
      </w:r>
      <w:r w:rsidRPr="008A0EAA">
        <w:rPr>
          <w:i/>
          <w:noProof/>
        </w:rPr>
        <w:noBreakHyphen/>
        <w:t>IMR net income</w:t>
      </w:r>
      <w:r>
        <w:rPr>
          <w:noProof/>
        </w:rPr>
        <w:t xml:space="preserve">, </w:t>
      </w:r>
      <w:r w:rsidRPr="008A0EAA">
        <w:rPr>
          <w:i/>
          <w:noProof/>
        </w:rPr>
        <w:t>non</w:t>
      </w:r>
      <w:r w:rsidRPr="008A0EAA">
        <w:rPr>
          <w:i/>
          <w:noProof/>
        </w:rPr>
        <w:noBreakHyphen/>
        <w:t xml:space="preserve">IMR Division 6E net income </w:t>
      </w:r>
      <w:r>
        <w:rPr>
          <w:noProof/>
        </w:rPr>
        <w:t xml:space="preserve">and </w:t>
      </w:r>
      <w:r w:rsidRPr="008A0EAA">
        <w:rPr>
          <w:i/>
          <w:noProof/>
        </w:rPr>
        <w:t>non</w:t>
      </w:r>
      <w:r w:rsidRPr="008A0EAA">
        <w:rPr>
          <w:i/>
          <w:noProof/>
        </w:rPr>
        <w:noBreakHyphen/>
        <w:t>IMR net capital gain</w:t>
      </w:r>
      <w:r w:rsidRPr="00380510">
        <w:rPr>
          <w:rFonts w:ascii="Times" w:hAnsi="Times" w:cs="Times"/>
          <w:noProof/>
        </w:rPr>
        <w:tab/>
      </w:r>
      <w:r w:rsidRPr="00380510">
        <w:rPr>
          <w:rFonts w:ascii="Times" w:hAnsi="Times" w:cs="Times"/>
          <w:noProof/>
        </w:rPr>
        <w:fldChar w:fldCharType="begin"/>
      </w:r>
      <w:r w:rsidRPr="00380510">
        <w:rPr>
          <w:rFonts w:ascii="Times" w:hAnsi="Times" w:cs="Times"/>
          <w:noProof/>
        </w:rPr>
        <w:instrText xml:space="preserve"> PAGEREF _Toc338939484 \h </w:instrText>
      </w:r>
      <w:r w:rsidRPr="00380510">
        <w:rPr>
          <w:rFonts w:ascii="Times" w:hAnsi="Times" w:cs="Times"/>
          <w:noProof/>
        </w:rPr>
      </w:r>
      <w:r w:rsidRPr="00380510">
        <w:rPr>
          <w:rFonts w:ascii="Times" w:hAnsi="Times" w:cs="Times"/>
          <w:noProof/>
        </w:rPr>
        <w:fldChar w:fldCharType="separate"/>
      </w:r>
      <w:r w:rsidR="00623A5C">
        <w:rPr>
          <w:rFonts w:ascii="Times" w:hAnsi="Times" w:cs="Times"/>
          <w:noProof/>
        </w:rPr>
        <w:t>342</w:t>
      </w:r>
      <w:r w:rsidRPr="00380510">
        <w:rPr>
          <w:rFonts w:ascii="Times" w:hAnsi="Times" w:cs="Times"/>
          <w:noProof/>
        </w:rPr>
        <w:fldChar w:fldCharType="end"/>
      </w:r>
    </w:p>
    <w:p w:rsidR="00380510" w:rsidRDefault="00380510">
      <w:pPr>
        <w:pStyle w:val="TOC5"/>
        <w:rPr>
          <w:rFonts w:ascii="Calibri" w:hAnsi="Calibri"/>
          <w:iCs w:val="0"/>
          <w:noProof/>
          <w:kern w:val="0"/>
          <w:sz w:val="22"/>
          <w:szCs w:val="22"/>
        </w:rPr>
      </w:pPr>
      <w:r>
        <w:rPr>
          <w:noProof/>
        </w:rPr>
        <w:t>842</w:t>
      </w:r>
      <w:r>
        <w:rPr>
          <w:noProof/>
        </w:rPr>
        <w:noBreakHyphen/>
        <w:t>265</w:t>
      </w:r>
      <w:r>
        <w:rPr>
          <w:noProof/>
        </w:rPr>
        <w:tab/>
      </w:r>
      <w:r w:rsidRPr="008A0EAA">
        <w:rPr>
          <w:i/>
          <w:noProof/>
        </w:rPr>
        <w:t>Non</w:t>
      </w:r>
      <w:r w:rsidRPr="008A0EAA">
        <w:rPr>
          <w:i/>
          <w:noProof/>
        </w:rPr>
        <w:noBreakHyphen/>
        <w:t>IMR partnership net income</w:t>
      </w:r>
      <w:r w:rsidRPr="008A0EAA">
        <w:rPr>
          <w:noProof/>
        </w:rPr>
        <w:t xml:space="preserve"> </w:t>
      </w:r>
      <w:r>
        <w:rPr>
          <w:noProof/>
        </w:rPr>
        <w:t xml:space="preserve">and </w:t>
      </w:r>
      <w:r w:rsidRPr="008A0EAA">
        <w:rPr>
          <w:i/>
          <w:noProof/>
        </w:rPr>
        <w:t>non</w:t>
      </w:r>
      <w:r w:rsidRPr="008A0EAA">
        <w:rPr>
          <w:i/>
          <w:noProof/>
        </w:rPr>
        <w:noBreakHyphen/>
        <w:t>IMR partnership loss</w:t>
      </w:r>
      <w:r w:rsidRPr="00380510">
        <w:rPr>
          <w:rFonts w:ascii="Times" w:hAnsi="Times" w:cs="Times"/>
          <w:noProof/>
        </w:rPr>
        <w:tab/>
      </w:r>
      <w:r w:rsidRPr="00380510">
        <w:rPr>
          <w:rFonts w:ascii="Times" w:hAnsi="Times" w:cs="Times"/>
          <w:noProof/>
        </w:rPr>
        <w:fldChar w:fldCharType="begin"/>
      </w:r>
      <w:r w:rsidRPr="00380510">
        <w:rPr>
          <w:rFonts w:ascii="Times" w:hAnsi="Times" w:cs="Times"/>
          <w:noProof/>
        </w:rPr>
        <w:instrText xml:space="preserve"> PAGEREF _Toc338939485 \h </w:instrText>
      </w:r>
      <w:r w:rsidRPr="00380510">
        <w:rPr>
          <w:rFonts w:ascii="Times" w:hAnsi="Times" w:cs="Times"/>
          <w:noProof/>
        </w:rPr>
      </w:r>
      <w:r w:rsidRPr="00380510">
        <w:rPr>
          <w:rFonts w:ascii="Times" w:hAnsi="Times" w:cs="Times"/>
          <w:noProof/>
        </w:rPr>
        <w:fldChar w:fldCharType="separate"/>
      </w:r>
      <w:r w:rsidR="00623A5C">
        <w:rPr>
          <w:rFonts w:ascii="Times" w:hAnsi="Times" w:cs="Times"/>
          <w:noProof/>
        </w:rPr>
        <w:t>343</w:t>
      </w:r>
      <w:r w:rsidRPr="00380510">
        <w:rPr>
          <w:rFonts w:ascii="Times" w:hAnsi="Times" w:cs="Times"/>
          <w:noProof/>
        </w:rPr>
        <w:fldChar w:fldCharType="end"/>
      </w:r>
    </w:p>
    <w:p w:rsidR="00380510" w:rsidRDefault="00380510">
      <w:pPr>
        <w:pStyle w:val="TOC5"/>
        <w:rPr>
          <w:rFonts w:ascii="Calibri" w:hAnsi="Calibri"/>
          <w:iCs w:val="0"/>
          <w:noProof/>
          <w:kern w:val="0"/>
          <w:sz w:val="22"/>
          <w:szCs w:val="22"/>
        </w:rPr>
      </w:pPr>
      <w:r>
        <w:rPr>
          <w:noProof/>
        </w:rPr>
        <w:t>842</w:t>
      </w:r>
      <w:r>
        <w:rPr>
          <w:noProof/>
        </w:rPr>
        <w:noBreakHyphen/>
        <w:t>270</w:t>
      </w:r>
      <w:r>
        <w:rPr>
          <w:noProof/>
        </w:rPr>
        <w:tab/>
      </w:r>
      <w:r w:rsidRPr="008A0EAA">
        <w:rPr>
          <w:i/>
          <w:noProof/>
        </w:rPr>
        <w:t>Pre</w:t>
      </w:r>
      <w:r w:rsidRPr="008A0EAA">
        <w:rPr>
          <w:i/>
          <w:noProof/>
        </w:rPr>
        <w:noBreakHyphen/>
        <w:t xml:space="preserve">2012 IMR income </w:t>
      </w:r>
      <w:r>
        <w:rPr>
          <w:noProof/>
        </w:rPr>
        <w:t xml:space="preserve">and </w:t>
      </w:r>
      <w:r w:rsidRPr="008A0EAA">
        <w:rPr>
          <w:i/>
          <w:noProof/>
        </w:rPr>
        <w:t>pre</w:t>
      </w:r>
      <w:r w:rsidRPr="008A0EAA">
        <w:rPr>
          <w:i/>
          <w:noProof/>
        </w:rPr>
        <w:noBreakHyphen/>
        <w:t>2012 IMR capital gain</w:t>
      </w:r>
      <w:r w:rsidRPr="00380510">
        <w:rPr>
          <w:rFonts w:ascii="Times" w:hAnsi="Times" w:cs="Times"/>
          <w:noProof/>
        </w:rPr>
        <w:tab/>
      </w:r>
      <w:r w:rsidRPr="00380510">
        <w:rPr>
          <w:rFonts w:ascii="Times" w:hAnsi="Times" w:cs="Times"/>
          <w:noProof/>
        </w:rPr>
        <w:fldChar w:fldCharType="begin"/>
      </w:r>
      <w:r w:rsidRPr="00380510">
        <w:rPr>
          <w:rFonts w:ascii="Times" w:hAnsi="Times" w:cs="Times"/>
          <w:noProof/>
        </w:rPr>
        <w:instrText xml:space="preserve"> PAGEREF _Toc338939486 \h </w:instrText>
      </w:r>
      <w:r w:rsidRPr="00380510">
        <w:rPr>
          <w:rFonts w:ascii="Times" w:hAnsi="Times" w:cs="Times"/>
          <w:noProof/>
        </w:rPr>
      </w:r>
      <w:r w:rsidRPr="00380510">
        <w:rPr>
          <w:rFonts w:ascii="Times" w:hAnsi="Times" w:cs="Times"/>
          <w:noProof/>
        </w:rPr>
        <w:fldChar w:fldCharType="separate"/>
      </w:r>
      <w:r w:rsidR="00623A5C">
        <w:rPr>
          <w:rFonts w:ascii="Times" w:hAnsi="Times" w:cs="Times"/>
          <w:noProof/>
        </w:rPr>
        <w:t>345</w:t>
      </w:r>
      <w:r w:rsidRPr="00380510">
        <w:rPr>
          <w:rFonts w:ascii="Times" w:hAnsi="Times" w:cs="Times"/>
          <w:noProof/>
        </w:rPr>
        <w:fldChar w:fldCharType="end"/>
      </w:r>
    </w:p>
    <w:p w:rsidR="00380510" w:rsidRDefault="00380510">
      <w:pPr>
        <w:pStyle w:val="TOC3"/>
        <w:rPr>
          <w:rFonts w:ascii="Calibri" w:hAnsi="Calibri"/>
          <w:b w:val="0"/>
          <w:noProof/>
          <w:kern w:val="0"/>
          <w:szCs w:val="22"/>
        </w:rPr>
      </w:pPr>
      <w:r>
        <w:rPr>
          <w:noProof/>
        </w:rPr>
        <w:t>Division 855—Capital gains and foreign residents</w:t>
      </w:r>
      <w:r w:rsidRPr="00380510">
        <w:rPr>
          <w:rFonts w:ascii="Times" w:hAnsi="Times" w:cs="Times"/>
          <w:b w:val="0"/>
          <w:noProof/>
          <w:sz w:val="18"/>
        </w:rPr>
        <w:tab/>
      </w:r>
      <w:r w:rsidRPr="00380510">
        <w:rPr>
          <w:rFonts w:ascii="Times" w:hAnsi="Times" w:cs="Times"/>
          <w:b w:val="0"/>
          <w:noProof/>
          <w:sz w:val="18"/>
        </w:rPr>
        <w:fldChar w:fldCharType="begin"/>
      </w:r>
      <w:r w:rsidRPr="00380510">
        <w:rPr>
          <w:rFonts w:ascii="Times" w:hAnsi="Times" w:cs="Times"/>
          <w:b w:val="0"/>
          <w:noProof/>
          <w:sz w:val="18"/>
        </w:rPr>
        <w:instrText xml:space="preserve"> PAGEREF _Toc338939487 \h </w:instrText>
      </w:r>
      <w:r w:rsidRPr="00380510">
        <w:rPr>
          <w:rFonts w:ascii="Times" w:hAnsi="Times" w:cs="Times"/>
          <w:b w:val="0"/>
          <w:noProof/>
          <w:sz w:val="18"/>
        </w:rPr>
      </w:r>
      <w:r w:rsidRPr="00380510">
        <w:rPr>
          <w:rFonts w:ascii="Times" w:hAnsi="Times" w:cs="Times"/>
          <w:b w:val="0"/>
          <w:noProof/>
          <w:sz w:val="18"/>
        </w:rPr>
        <w:fldChar w:fldCharType="separate"/>
      </w:r>
      <w:r w:rsidR="00623A5C">
        <w:rPr>
          <w:rFonts w:ascii="Times" w:hAnsi="Times" w:cs="Times"/>
          <w:b w:val="0"/>
          <w:noProof/>
          <w:sz w:val="18"/>
        </w:rPr>
        <w:t>346</w:t>
      </w:r>
      <w:r w:rsidRPr="00380510">
        <w:rPr>
          <w:rFonts w:ascii="Times" w:hAnsi="Times" w:cs="Times"/>
          <w:b w:val="0"/>
          <w:noProof/>
          <w:sz w:val="18"/>
        </w:rPr>
        <w:fldChar w:fldCharType="end"/>
      </w:r>
    </w:p>
    <w:p w:rsidR="00380510" w:rsidRDefault="00380510">
      <w:pPr>
        <w:pStyle w:val="TOC4"/>
        <w:rPr>
          <w:rFonts w:ascii="Calibri" w:hAnsi="Calibri"/>
          <w:b w:val="0"/>
          <w:noProof/>
          <w:kern w:val="0"/>
          <w:sz w:val="22"/>
          <w:szCs w:val="22"/>
        </w:rPr>
      </w:pPr>
      <w:r>
        <w:rPr>
          <w:noProof/>
        </w:rPr>
        <w:t>Guide to Division 855</w:t>
      </w:r>
      <w:r w:rsidRPr="00380510">
        <w:rPr>
          <w:rFonts w:ascii="Times" w:hAnsi="Times" w:cs="Times"/>
          <w:b w:val="0"/>
          <w:noProof/>
          <w:sz w:val="18"/>
        </w:rPr>
        <w:tab/>
      </w:r>
      <w:r w:rsidRPr="00380510">
        <w:rPr>
          <w:rFonts w:ascii="Times" w:hAnsi="Times" w:cs="Times"/>
          <w:b w:val="0"/>
          <w:noProof/>
          <w:sz w:val="18"/>
        </w:rPr>
        <w:fldChar w:fldCharType="begin"/>
      </w:r>
      <w:r w:rsidRPr="00380510">
        <w:rPr>
          <w:rFonts w:ascii="Times" w:hAnsi="Times" w:cs="Times"/>
          <w:b w:val="0"/>
          <w:noProof/>
          <w:sz w:val="18"/>
        </w:rPr>
        <w:instrText xml:space="preserve"> PAGEREF _Toc338939488 \h </w:instrText>
      </w:r>
      <w:r w:rsidRPr="00380510">
        <w:rPr>
          <w:rFonts w:ascii="Times" w:hAnsi="Times" w:cs="Times"/>
          <w:b w:val="0"/>
          <w:noProof/>
          <w:sz w:val="18"/>
        </w:rPr>
      </w:r>
      <w:r w:rsidRPr="00380510">
        <w:rPr>
          <w:rFonts w:ascii="Times" w:hAnsi="Times" w:cs="Times"/>
          <w:b w:val="0"/>
          <w:noProof/>
          <w:sz w:val="18"/>
        </w:rPr>
        <w:fldChar w:fldCharType="separate"/>
      </w:r>
      <w:r w:rsidR="00623A5C">
        <w:rPr>
          <w:rFonts w:ascii="Times" w:hAnsi="Times" w:cs="Times"/>
          <w:b w:val="0"/>
          <w:noProof/>
          <w:sz w:val="18"/>
        </w:rPr>
        <w:t>346</w:t>
      </w:r>
      <w:r w:rsidRPr="00380510">
        <w:rPr>
          <w:rFonts w:ascii="Times" w:hAnsi="Times" w:cs="Times"/>
          <w:b w:val="0"/>
          <w:noProof/>
          <w:sz w:val="18"/>
        </w:rPr>
        <w:fldChar w:fldCharType="end"/>
      </w:r>
    </w:p>
    <w:p w:rsidR="00380510" w:rsidRDefault="00380510">
      <w:pPr>
        <w:pStyle w:val="TOC5"/>
        <w:rPr>
          <w:rFonts w:ascii="Calibri" w:hAnsi="Calibri"/>
          <w:iCs w:val="0"/>
          <w:noProof/>
          <w:kern w:val="0"/>
          <w:sz w:val="22"/>
          <w:szCs w:val="22"/>
        </w:rPr>
      </w:pPr>
      <w:r>
        <w:rPr>
          <w:noProof/>
        </w:rPr>
        <w:t>855</w:t>
      </w:r>
      <w:r>
        <w:rPr>
          <w:noProof/>
        </w:rPr>
        <w:noBreakHyphen/>
        <w:t>1</w:t>
      </w:r>
      <w:r>
        <w:rPr>
          <w:noProof/>
        </w:rPr>
        <w:tab/>
        <w:t>What this Division is about</w:t>
      </w:r>
      <w:r w:rsidRPr="00380510">
        <w:rPr>
          <w:rFonts w:ascii="Times" w:hAnsi="Times" w:cs="Times"/>
          <w:noProof/>
        </w:rPr>
        <w:tab/>
      </w:r>
      <w:r w:rsidRPr="00380510">
        <w:rPr>
          <w:rFonts w:ascii="Times" w:hAnsi="Times" w:cs="Times"/>
          <w:noProof/>
        </w:rPr>
        <w:fldChar w:fldCharType="begin"/>
      </w:r>
      <w:r w:rsidRPr="00380510">
        <w:rPr>
          <w:rFonts w:ascii="Times" w:hAnsi="Times" w:cs="Times"/>
          <w:noProof/>
        </w:rPr>
        <w:instrText xml:space="preserve"> PAGEREF _Toc338939489 \h </w:instrText>
      </w:r>
      <w:r w:rsidRPr="00380510">
        <w:rPr>
          <w:rFonts w:ascii="Times" w:hAnsi="Times" w:cs="Times"/>
          <w:noProof/>
        </w:rPr>
      </w:r>
      <w:r w:rsidRPr="00380510">
        <w:rPr>
          <w:rFonts w:ascii="Times" w:hAnsi="Times" w:cs="Times"/>
          <w:noProof/>
        </w:rPr>
        <w:fldChar w:fldCharType="separate"/>
      </w:r>
      <w:r w:rsidR="00623A5C">
        <w:rPr>
          <w:rFonts w:ascii="Times" w:hAnsi="Times" w:cs="Times"/>
          <w:noProof/>
        </w:rPr>
        <w:t>346</w:t>
      </w:r>
      <w:r w:rsidRPr="00380510">
        <w:rPr>
          <w:rFonts w:ascii="Times" w:hAnsi="Times" w:cs="Times"/>
          <w:noProof/>
        </w:rPr>
        <w:fldChar w:fldCharType="end"/>
      </w:r>
    </w:p>
    <w:p w:rsidR="00380510" w:rsidRDefault="00380510">
      <w:pPr>
        <w:pStyle w:val="TOC4"/>
        <w:rPr>
          <w:rFonts w:ascii="Calibri" w:hAnsi="Calibri"/>
          <w:b w:val="0"/>
          <w:noProof/>
          <w:kern w:val="0"/>
          <w:sz w:val="22"/>
          <w:szCs w:val="22"/>
        </w:rPr>
      </w:pPr>
      <w:r>
        <w:rPr>
          <w:noProof/>
        </w:rPr>
        <w:t>Subdivision 855</w:t>
      </w:r>
      <w:r>
        <w:rPr>
          <w:noProof/>
        </w:rPr>
        <w:noBreakHyphen/>
        <w:t>A—Disregarding a capital gain or loss by foreign residents</w:t>
      </w:r>
      <w:r w:rsidRPr="00380510">
        <w:rPr>
          <w:rFonts w:ascii="Times" w:hAnsi="Times" w:cs="Times"/>
          <w:b w:val="0"/>
          <w:noProof/>
          <w:sz w:val="18"/>
        </w:rPr>
        <w:tab/>
      </w:r>
      <w:r w:rsidRPr="00380510">
        <w:rPr>
          <w:rFonts w:ascii="Times" w:hAnsi="Times" w:cs="Times"/>
          <w:b w:val="0"/>
          <w:noProof/>
          <w:sz w:val="18"/>
        </w:rPr>
        <w:fldChar w:fldCharType="begin"/>
      </w:r>
      <w:r w:rsidRPr="00380510">
        <w:rPr>
          <w:rFonts w:ascii="Times" w:hAnsi="Times" w:cs="Times"/>
          <w:b w:val="0"/>
          <w:noProof/>
          <w:sz w:val="18"/>
        </w:rPr>
        <w:instrText xml:space="preserve"> PAGEREF _Toc338939490 \h </w:instrText>
      </w:r>
      <w:r w:rsidRPr="00380510">
        <w:rPr>
          <w:rFonts w:ascii="Times" w:hAnsi="Times" w:cs="Times"/>
          <w:b w:val="0"/>
          <w:noProof/>
          <w:sz w:val="18"/>
        </w:rPr>
      </w:r>
      <w:r w:rsidRPr="00380510">
        <w:rPr>
          <w:rFonts w:ascii="Times" w:hAnsi="Times" w:cs="Times"/>
          <w:b w:val="0"/>
          <w:noProof/>
          <w:sz w:val="18"/>
        </w:rPr>
        <w:fldChar w:fldCharType="separate"/>
      </w:r>
      <w:r w:rsidR="00623A5C">
        <w:rPr>
          <w:rFonts w:ascii="Times" w:hAnsi="Times" w:cs="Times"/>
          <w:b w:val="0"/>
          <w:noProof/>
          <w:sz w:val="18"/>
        </w:rPr>
        <w:t>346</w:t>
      </w:r>
      <w:r w:rsidRPr="00380510">
        <w:rPr>
          <w:rFonts w:ascii="Times" w:hAnsi="Times" w:cs="Times"/>
          <w:b w:val="0"/>
          <w:noProof/>
          <w:sz w:val="18"/>
        </w:rPr>
        <w:fldChar w:fldCharType="end"/>
      </w:r>
    </w:p>
    <w:p w:rsidR="00380510" w:rsidRDefault="00380510">
      <w:pPr>
        <w:pStyle w:val="TOC5"/>
        <w:rPr>
          <w:rFonts w:ascii="Calibri" w:hAnsi="Calibri"/>
          <w:iCs w:val="0"/>
          <w:noProof/>
          <w:kern w:val="0"/>
          <w:sz w:val="22"/>
          <w:szCs w:val="22"/>
        </w:rPr>
      </w:pPr>
      <w:r>
        <w:rPr>
          <w:noProof/>
        </w:rPr>
        <w:t>855</w:t>
      </w:r>
      <w:r>
        <w:rPr>
          <w:noProof/>
        </w:rPr>
        <w:noBreakHyphen/>
        <w:t>5</w:t>
      </w:r>
      <w:r>
        <w:rPr>
          <w:noProof/>
        </w:rPr>
        <w:tab/>
        <w:t>Objects of this Subdivision</w:t>
      </w:r>
      <w:r w:rsidRPr="00380510">
        <w:rPr>
          <w:rFonts w:ascii="Times" w:hAnsi="Times" w:cs="Times"/>
          <w:noProof/>
        </w:rPr>
        <w:tab/>
      </w:r>
      <w:r w:rsidRPr="00380510">
        <w:rPr>
          <w:rFonts w:ascii="Times" w:hAnsi="Times" w:cs="Times"/>
          <w:noProof/>
        </w:rPr>
        <w:fldChar w:fldCharType="begin"/>
      </w:r>
      <w:r w:rsidRPr="00380510">
        <w:rPr>
          <w:rFonts w:ascii="Times" w:hAnsi="Times" w:cs="Times"/>
          <w:noProof/>
        </w:rPr>
        <w:instrText xml:space="preserve"> PAGEREF _Toc338939491 \h </w:instrText>
      </w:r>
      <w:r w:rsidRPr="00380510">
        <w:rPr>
          <w:rFonts w:ascii="Times" w:hAnsi="Times" w:cs="Times"/>
          <w:noProof/>
        </w:rPr>
      </w:r>
      <w:r w:rsidRPr="00380510">
        <w:rPr>
          <w:rFonts w:ascii="Times" w:hAnsi="Times" w:cs="Times"/>
          <w:noProof/>
        </w:rPr>
        <w:fldChar w:fldCharType="separate"/>
      </w:r>
      <w:r w:rsidR="00623A5C">
        <w:rPr>
          <w:rFonts w:ascii="Times" w:hAnsi="Times" w:cs="Times"/>
          <w:noProof/>
        </w:rPr>
        <w:t>347</w:t>
      </w:r>
      <w:r w:rsidRPr="00380510">
        <w:rPr>
          <w:rFonts w:ascii="Times" w:hAnsi="Times" w:cs="Times"/>
          <w:noProof/>
        </w:rPr>
        <w:fldChar w:fldCharType="end"/>
      </w:r>
    </w:p>
    <w:p w:rsidR="00380510" w:rsidRDefault="00380510">
      <w:pPr>
        <w:pStyle w:val="TOC5"/>
        <w:rPr>
          <w:rFonts w:ascii="Calibri" w:hAnsi="Calibri"/>
          <w:iCs w:val="0"/>
          <w:noProof/>
          <w:kern w:val="0"/>
          <w:sz w:val="22"/>
          <w:szCs w:val="22"/>
        </w:rPr>
      </w:pPr>
      <w:r>
        <w:rPr>
          <w:noProof/>
        </w:rPr>
        <w:t>855</w:t>
      </w:r>
      <w:r>
        <w:rPr>
          <w:noProof/>
        </w:rPr>
        <w:noBreakHyphen/>
        <w:t>10</w:t>
      </w:r>
      <w:r>
        <w:rPr>
          <w:noProof/>
        </w:rPr>
        <w:tab/>
        <w:t>Disregarding a capital gain or loss from CGT events</w:t>
      </w:r>
      <w:r w:rsidRPr="00380510">
        <w:rPr>
          <w:rFonts w:ascii="Times" w:hAnsi="Times" w:cs="Times"/>
          <w:noProof/>
        </w:rPr>
        <w:tab/>
      </w:r>
      <w:r w:rsidRPr="00380510">
        <w:rPr>
          <w:rFonts w:ascii="Times" w:hAnsi="Times" w:cs="Times"/>
          <w:noProof/>
        </w:rPr>
        <w:fldChar w:fldCharType="begin"/>
      </w:r>
      <w:r w:rsidRPr="00380510">
        <w:rPr>
          <w:rFonts w:ascii="Times" w:hAnsi="Times" w:cs="Times"/>
          <w:noProof/>
        </w:rPr>
        <w:instrText xml:space="preserve"> PAGEREF _Toc338939492 \h </w:instrText>
      </w:r>
      <w:r w:rsidRPr="00380510">
        <w:rPr>
          <w:rFonts w:ascii="Times" w:hAnsi="Times" w:cs="Times"/>
          <w:noProof/>
        </w:rPr>
      </w:r>
      <w:r w:rsidRPr="00380510">
        <w:rPr>
          <w:rFonts w:ascii="Times" w:hAnsi="Times" w:cs="Times"/>
          <w:noProof/>
        </w:rPr>
        <w:fldChar w:fldCharType="separate"/>
      </w:r>
      <w:r w:rsidR="00623A5C">
        <w:rPr>
          <w:rFonts w:ascii="Times" w:hAnsi="Times" w:cs="Times"/>
          <w:noProof/>
        </w:rPr>
        <w:t>347</w:t>
      </w:r>
      <w:r w:rsidRPr="00380510">
        <w:rPr>
          <w:rFonts w:ascii="Times" w:hAnsi="Times" w:cs="Times"/>
          <w:noProof/>
        </w:rPr>
        <w:fldChar w:fldCharType="end"/>
      </w:r>
    </w:p>
    <w:p w:rsidR="00380510" w:rsidRDefault="00380510">
      <w:pPr>
        <w:pStyle w:val="TOC5"/>
        <w:rPr>
          <w:rFonts w:ascii="Calibri" w:hAnsi="Calibri"/>
          <w:iCs w:val="0"/>
          <w:noProof/>
          <w:kern w:val="0"/>
          <w:sz w:val="22"/>
          <w:szCs w:val="22"/>
        </w:rPr>
      </w:pPr>
      <w:r>
        <w:rPr>
          <w:noProof/>
        </w:rPr>
        <w:t>855</w:t>
      </w:r>
      <w:r>
        <w:rPr>
          <w:noProof/>
        </w:rPr>
        <w:noBreakHyphen/>
        <w:t>15</w:t>
      </w:r>
      <w:r>
        <w:rPr>
          <w:noProof/>
        </w:rPr>
        <w:tab/>
        <w:t>When an asset is taxable Australian property</w:t>
      </w:r>
      <w:r w:rsidRPr="00380510">
        <w:rPr>
          <w:rFonts w:ascii="Times" w:hAnsi="Times" w:cs="Times"/>
          <w:noProof/>
        </w:rPr>
        <w:tab/>
      </w:r>
      <w:r w:rsidRPr="00380510">
        <w:rPr>
          <w:rFonts w:ascii="Times" w:hAnsi="Times" w:cs="Times"/>
          <w:noProof/>
        </w:rPr>
        <w:fldChar w:fldCharType="begin"/>
      </w:r>
      <w:r w:rsidRPr="00380510">
        <w:rPr>
          <w:rFonts w:ascii="Times" w:hAnsi="Times" w:cs="Times"/>
          <w:noProof/>
        </w:rPr>
        <w:instrText xml:space="preserve"> PAGEREF _Toc338939493 \h </w:instrText>
      </w:r>
      <w:r w:rsidRPr="00380510">
        <w:rPr>
          <w:rFonts w:ascii="Times" w:hAnsi="Times" w:cs="Times"/>
          <w:noProof/>
        </w:rPr>
      </w:r>
      <w:r w:rsidRPr="00380510">
        <w:rPr>
          <w:rFonts w:ascii="Times" w:hAnsi="Times" w:cs="Times"/>
          <w:noProof/>
        </w:rPr>
        <w:fldChar w:fldCharType="separate"/>
      </w:r>
      <w:r w:rsidR="00623A5C">
        <w:rPr>
          <w:rFonts w:ascii="Times" w:hAnsi="Times" w:cs="Times"/>
          <w:noProof/>
        </w:rPr>
        <w:t>348</w:t>
      </w:r>
      <w:r w:rsidRPr="00380510">
        <w:rPr>
          <w:rFonts w:ascii="Times" w:hAnsi="Times" w:cs="Times"/>
          <w:noProof/>
        </w:rPr>
        <w:fldChar w:fldCharType="end"/>
      </w:r>
    </w:p>
    <w:p w:rsidR="00380510" w:rsidRDefault="00380510">
      <w:pPr>
        <w:pStyle w:val="TOC5"/>
        <w:rPr>
          <w:rFonts w:ascii="Calibri" w:hAnsi="Calibri"/>
          <w:iCs w:val="0"/>
          <w:noProof/>
          <w:kern w:val="0"/>
          <w:sz w:val="22"/>
          <w:szCs w:val="22"/>
        </w:rPr>
      </w:pPr>
      <w:r>
        <w:rPr>
          <w:noProof/>
        </w:rPr>
        <w:t>855</w:t>
      </w:r>
      <w:r>
        <w:rPr>
          <w:noProof/>
        </w:rPr>
        <w:noBreakHyphen/>
        <w:t>20</w:t>
      </w:r>
      <w:r>
        <w:rPr>
          <w:noProof/>
        </w:rPr>
        <w:tab/>
        <w:t>Taxable Australian real property</w:t>
      </w:r>
      <w:r w:rsidRPr="00380510">
        <w:rPr>
          <w:rFonts w:ascii="Times" w:hAnsi="Times" w:cs="Times"/>
          <w:noProof/>
        </w:rPr>
        <w:tab/>
      </w:r>
      <w:r w:rsidRPr="00380510">
        <w:rPr>
          <w:rFonts w:ascii="Times" w:hAnsi="Times" w:cs="Times"/>
          <w:noProof/>
        </w:rPr>
        <w:fldChar w:fldCharType="begin"/>
      </w:r>
      <w:r w:rsidRPr="00380510">
        <w:rPr>
          <w:rFonts w:ascii="Times" w:hAnsi="Times" w:cs="Times"/>
          <w:noProof/>
        </w:rPr>
        <w:instrText xml:space="preserve"> PAGEREF _Toc338939494 \h </w:instrText>
      </w:r>
      <w:r w:rsidRPr="00380510">
        <w:rPr>
          <w:rFonts w:ascii="Times" w:hAnsi="Times" w:cs="Times"/>
          <w:noProof/>
        </w:rPr>
      </w:r>
      <w:r w:rsidRPr="00380510">
        <w:rPr>
          <w:rFonts w:ascii="Times" w:hAnsi="Times" w:cs="Times"/>
          <w:noProof/>
        </w:rPr>
        <w:fldChar w:fldCharType="separate"/>
      </w:r>
      <w:r w:rsidR="00623A5C">
        <w:rPr>
          <w:rFonts w:ascii="Times" w:hAnsi="Times" w:cs="Times"/>
          <w:noProof/>
        </w:rPr>
        <w:t>348</w:t>
      </w:r>
      <w:r w:rsidRPr="00380510">
        <w:rPr>
          <w:rFonts w:ascii="Times" w:hAnsi="Times" w:cs="Times"/>
          <w:noProof/>
        </w:rPr>
        <w:fldChar w:fldCharType="end"/>
      </w:r>
    </w:p>
    <w:p w:rsidR="00380510" w:rsidRDefault="00380510">
      <w:pPr>
        <w:pStyle w:val="TOC5"/>
        <w:rPr>
          <w:rFonts w:ascii="Calibri" w:hAnsi="Calibri"/>
          <w:iCs w:val="0"/>
          <w:noProof/>
          <w:kern w:val="0"/>
          <w:sz w:val="22"/>
          <w:szCs w:val="22"/>
        </w:rPr>
      </w:pPr>
      <w:r>
        <w:rPr>
          <w:noProof/>
        </w:rPr>
        <w:t>855</w:t>
      </w:r>
      <w:r>
        <w:rPr>
          <w:noProof/>
        </w:rPr>
        <w:noBreakHyphen/>
        <w:t>25</w:t>
      </w:r>
      <w:r>
        <w:rPr>
          <w:noProof/>
        </w:rPr>
        <w:tab/>
        <w:t>Indirect Australian real property interests</w:t>
      </w:r>
      <w:r w:rsidRPr="00380510">
        <w:rPr>
          <w:rFonts w:ascii="Times" w:hAnsi="Times" w:cs="Times"/>
          <w:noProof/>
        </w:rPr>
        <w:tab/>
      </w:r>
      <w:r w:rsidRPr="00380510">
        <w:rPr>
          <w:rFonts w:ascii="Times" w:hAnsi="Times" w:cs="Times"/>
          <w:noProof/>
        </w:rPr>
        <w:fldChar w:fldCharType="begin"/>
      </w:r>
      <w:r w:rsidRPr="00380510">
        <w:rPr>
          <w:rFonts w:ascii="Times" w:hAnsi="Times" w:cs="Times"/>
          <w:noProof/>
        </w:rPr>
        <w:instrText xml:space="preserve"> PAGEREF _Toc338939495 \h </w:instrText>
      </w:r>
      <w:r w:rsidRPr="00380510">
        <w:rPr>
          <w:rFonts w:ascii="Times" w:hAnsi="Times" w:cs="Times"/>
          <w:noProof/>
        </w:rPr>
      </w:r>
      <w:r w:rsidRPr="00380510">
        <w:rPr>
          <w:rFonts w:ascii="Times" w:hAnsi="Times" w:cs="Times"/>
          <w:noProof/>
        </w:rPr>
        <w:fldChar w:fldCharType="separate"/>
      </w:r>
      <w:r w:rsidR="00623A5C">
        <w:rPr>
          <w:rFonts w:ascii="Times" w:hAnsi="Times" w:cs="Times"/>
          <w:noProof/>
        </w:rPr>
        <w:t>349</w:t>
      </w:r>
      <w:r w:rsidRPr="00380510">
        <w:rPr>
          <w:rFonts w:ascii="Times" w:hAnsi="Times" w:cs="Times"/>
          <w:noProof/>
        </w:rPr>
        <w:fldChar w:fldCharType="end"/>
      </w:r>
    </w:p>
    <w:p w:rsidR="00380510" w:rsidRDefault="00380510">
      <w:pPr>
        <w:pStyle w:val="TOC5"/>
        <w:rPr>
          <w:rFonts w:ascii="Calibri" w:hAnsi="Calibri"/>
          <w:iCs w:val="0"/>
          <w:noProof/>
          <w:kern w:val="0"/>
          <w:sz w:val="22"/>
          <w:szCs w:val="22"/>
        </w:rPr>
      </w:pPr>
      <w:r>
        <w:rPr>
          <w:noProof/>
        </w:rPr>
        <w:lastRenderedPageBreak/>
        <w:t>855</w:t>
      </w:r>
      <w:r>
        <w:rPr>
          <w:noProof/>
        </w:rPr>
        <w:noBreakHyphen/>
        <w:t>30</w:t>
      </w:r>
      <w:r>
        <w:rPr>
          <w:noProof/>
        </w:rPr>
        <w:tab/>
        <w:t>Principal asset test</w:t>
      </w:r>
      <w:r w:rsidRPr="00380510">
        <w:rPr>
          <w:rFonts w:ascii="Times" w:hAnsi="Times" w:cs="Times"/>
          <w:noProof/>
        </w:rPr>
        <w:tab/>
      </w:r>
      <w:r w:rsidRPr="00380510">
        <w:rPr>
          <w:rFonts w:ascii="Times" w:hAnsi="Times" w:cs="Times"/>
          <w:noProof/>
        </w:rPr>
        <w:fldChar w:fldCharType="begin"/>
      </w:r>
      <w:r w:rsidRPr="00380510">
        <w:rPr>
          <w:rFonts w:ascii="Times" w:hAnsi="Times" w:cs="Times"/>
          <w:noProof/>
        </w:rPr>
        <w:instrText xml:space="preserve"> PAGEREF _Toc338939496 \h </w:instrText>
      </w:r>
      <w:r w:rsidRPr="00380510">
        <w:rPr>
          <w:rFonts w:ascii="Times" w:hAnsi="Times" w:cs="Times"/>
          <w:noProof/>
        </w:rPr>
      </w:r>
      <w:r w:rsidRPr="00380510">
        <w:rPr>
          <w:rFonts w:ascii="Times" w:hAnsi="Times" w:cs="Times"/>
          <w:noProof/>
        </w:rPr>
        <w:fldChar w:fldCharType="separate"/>
      </w:r>
      <w:r w:rsidR="00623A5C">
        <w:rPr>
          <w:rFonts w:ascii="Times" w:hAnsi="Times" w:cs="Times"/>
          <w:noProof/>
        </w:rPr>
        <w:t>350</w:t>
      </w:r>
      <w:r w:rsidRPr="00380510">
        <w:rPr>
          <w:rFonts w:ascii="Times" w:hAnsi="Times" w:cs="Times"/>
          <w:noProof/>
        </w:rPr>
        <w:fldChar w:fldCharType="end"/>
      </w:r>
    </w:p>
    <w:p w:rsidR="00380510" w:rsidRDefault="00380510">
      <w:pPr>
        <w:pStyle w:val="TOC5"/>
        <w:rPr>
          <w:rFonts w:ascii="Calibri" w:hAnsi="Calibri"/>
          <w:iCs w:val="0"/>
          <w:noProof/>
          <w:kern w:val="0"/>
          <w:sz w:val="22"/>
          <w:szCs w:val="22"/>
        </w:rPr>
      </w:pPr>
      <w:r>
        <w:rPr>
          <w:noProof/>
        </w:rPr>
        <w:t>855</w:t>
      </w:r>
      <w:r>
        <w:rPr>
          <w:noProof/>
        </w:rPr>
        <w:noBreakHyphen/>
        <w:t>35</w:t>
      </w:r>
      <w:r>
        <w:rPr>
          <w:noProof/>
        </w:rPr>
        <w:tab/>
        <w:t>Reducing a capital gain or loss from a business asset—Australian permanent establishments</w:t>
      </w:r>
      <w:r w:rsidRPr="00380510">
        <w:rPr>
          <w:rFonts w:ascii="Times" w:hAnsi="Times" w:cs="Times"/>
          <w:noProof/>
        </w:rPr>
        <w:tab/>
      </w:r>
      <w:r w:rsidRPr="00380510">
        <w:rPr>
          <w:rFonts w:ascii="Times" w:hAnsi="Times" w:cs="Times"/>
          <w:noProof/>
        </w:rPr>
        <w:fldChar w:fldCharType="begin"/>
      </w:r>
      <w:r w:rsidRPr="00380510">
        <w:rPr>
          <w:rFonts w:ascii="Times" w:hAnsi="Times" w:cs="Times"/>
          <w:noProof/>
        </w:rPr>
        <w:instrText xml:space="preserve"> PAGEREF _Toc338939497 \h </w:instrText>
      </w:r>
      <w:r w:rsidRPr="00380510">
        <w:rPr>
          <w:rFonts w:ascii="Times" w:hAnsi="Times" w:cs="Times"/>
          <w:noProof/>
        </w:rPr>
      </w:r>
      <w:r w:rsidRPr="00380510">
        <w:rPr>
          <w:rFonts w:ascii="Times" w:hAnsi="Times" w:cs="Times"/>
          <w:noProof/>
        </w:rPr>
        <w:fldChar w:fldCharType="separate"/>
      </w:r>
      <w:r w:rsidR="00623A5C">
        <w:rPr>
          <w:rFonts w:ascii="Times" w:hAnsi="Times" w:cs="Times"/>
          <w:noProof/>
        </w:rPr>
        <w:t>352</w:t>
      </w:r>
      <w:r w:rsidRPr="00380510">
        <w:rPr>
          <w:rFonts w:ascii="Times" w:hAnsi="Times" w:cs="Times"/>
          <w:noProof/>
        </w:rPr>
        <w:fldChar w:fldCharType="end"/>
      </w:r>
    </w:p>
    <w:p w:rsidR="00380510" w:rsidRDefault="00380510">
      <w:pPr>
        <w:pStyle w:val="TOC5"/>
        <w:rPr>
          <w:rFonts w:ascii="Calibri" w:hAnsi="Calibri"/>
          <w:iCs w:val="0"/>
          <w:noProof/>
          <w:kern w:val="0"/>
          <w:sz w:val="22"/>
          <w:szCs w:val="22"/>
        </w:rPr>
      </w:pPr>
      <w:r>
        <w:rPr>
          <w:noProof/>
        </w:rPr>
        <w:t>855</w:t>
      </w:r>
      <w:r>
        <w:rPr>
          <w:noProof/>
        </w:rPr>
        <w:noBreakHyphen/>
        <w:t>40</w:t>
      </w:r>
      <w:r>
        <w:rPr>
          <w:noProof/>
        </w:rPr>
        <w:tab/>
        <w:t>Capital gains and losses of foreign residents through fixed trusts</w:t>
      </w:r>
      <w:r w:rsidRPr="00380510">
        <w:rPr>
          <w:rFonts w:ascii="Times" w:hAnsi="Times" w:cs="Times"/>
          <w:noProof/>
        </w:rPr>
        <w:tab/>
      </w:r>
      <w:r w:rsidRPr="00380510">
        <w:rPr>
          <w:rFonts w:ascii="Times" w:hAnsi="Times" w:cs="Times"/>
          <w:noProof/>
        </w:rPr>
        <w:fldChar w:fldCharType="begin"/>
      </w:r>
      <w:r w:rsidRPr="00380510">
        <w:rPr>
          <w:rFonts w:ascii="Times" w:hAnsi="Times" w:cs="Times"/>
          <w:noProof/>
        </w:rPr>
        <w:instrText xml:space="preserve"> PAGEREF _Toc338939498 \h </w:instrText>
      </w:r>
      <w:r w:rsidRPr="00380510">
        <w:rPr>
          <w:rFonts w:ascii="Times" w:hAnsi="Times" w:cs="Times"/>
          <w:noProof/>
        </w:rPr>
      </w:r>
      <w:r w:rsidRPr="00380510">
        <w:rPr>
          <w:rFonts w:ascii="Times" w:hAnsi="Times" w:cs="Times"/>
          <w:noProof/>
        </w:rPr>
        <w:fldChar w:fldCharType="separate"/>
      </w:r>
      <w:r w:rsidR="00623A5C">
        <w:rPr>
          <w:rFonts w:ascii="Times" w:hAnsi="Times" w:cs="Times"/>
          <w:noProof/>
        </w:rPr>
        <w:t>352</w:t>
      </w:r>
      <w:r w:rsidRPr="00380510">
        <w:rPr>
          <w:rFonts w:ascii="Times" w:hAnsi="Times" w:cs="Times"/>
          <w:noProof/>
        </w:rPr>
        <w:fldChar w:fldCharType="end"/>
      </w:r>
    </w:p>
    <w:p w:rsidR="00380510" w:rsidRDefault="00380510">
      <w:pPr>
        <w:pStyle w:val="TOC4"/>
        <w:rPr>
          <w:rFonts w:ascii="Calibri" w:hAnsi="Calibri"/>
          <w:b w:val="0"/>
          <w:noProof/>
          <w:kern w:val="0"/>
          <w:sz w:val="22"/>
          <w:szCs w:val="22"/>
        </w:rPr>
      </w:pPr>
      <w:r>
        <w:rPr>
          <w:noProof/>
        </w:rPr>
        <w:t>Subdivision 855</w:t>
      </w:r>
      <w:r>
        <w:rPr>
          <w:noProof/>
        </w:rPr>
        <w:noBreakHyphen/>
        <w:t>B—Becoming an Australian resident</w:t>
      </w:r>
      <w:r w:rsidRPr="00380510">
        <w:rPr>
          <w:rFonts w:ascii="Times" w:hAnsi="Times" w:cs="Times"/>
          <w:b w:val="0"/>
          <w:noProof/>
          <w:sz w:val="18"/>
        </w:rPr>
        <w:tab/>
      </w:r>
      <w:r w:rsidRPr="00380510">
        <w:rPr>
          <w:rFonts w:ascii="Times" w:hAnsi="Times" w:cs="Times"/>
          <w:b w:val="0"/>
          <w:noProof/>
          <w:sz w:val="18"/>
        </w:rPr>
        <w:fldChar w:fldCharType="begin"/>
      </w:r>
      <w:r w:rsidRPr="00380510">
        <w:rPr>
          <w:rFonts w:ascii="Times" w:hAnsi="Times" w:cs="Times"/>
          <w:b w:val="0"/>
          <w:noProof/>
          <w:sz w:val="18"/>
        </w:rPr>
        <w:instrText xml:space="preserve"> PAGEREF _Toc338939499 \h </w:instrText>
      </w:r>
      <w:r w:rsidRPr="00380510">
        <w:rPr>
          <w:rFonts w:ascii="Times" w:hAnsi="Times" w:cs="Times"/>
          <w:b w:val="0"/>
          <w:noProof/>
          <w:sz w:val="18"/>
        </w:rPr>
      </w:r>
      <w:r w:rsidRPr="00380510">
        <w:rPr>
          <w:rFonts w:ascii="Times" w:hAnsi="Times" w:cs="Times"/>
          <w:b w:val="0"/>
          <w:noProof/>
          <w:sz w:val="18"/>
        </w:rPr>
        <w:fldChar w:fldCharType="separate"/>
      </w:r>
      <w:r w:rsidR="00623A5C">
        <w:rPr>
          <w:rFonts w:ascii="Times" w:hAnsi="Times" w:cs="Times"/>
          <w:b w:val="0"/>
          <w:noProof/>
          <w:sz w:val="18"/>
        </w:rPr>
        <w:t>354</w:t>
      </w:r>
      <w:r w:rsidRPr="00380510">
        <w:rPr>
          <w:rFonts w:ascii="Times" w:hAnsi="Times" w:cs="Times"/>
          <w:b w:val="0"/>
          <w:noProof/>
          <w:sz w:val="18"/>
        </w:rPr>
        <w:fldChar w:fldCharType="end"/>
      </w:r>
    </w:p>
    <w:p w:rsidR="00380510" w:rsidRDefault="00380510">
      <w:pPr>
        <w:pStyle w:val="TOC5"/>
        <w:rPr>
          <w:rFonts w:ascii="Calibri" w:hAnsi="Calibri"/>
          <w:iCs w:val="0"/>
          <w:noProof/>
          <w:kern w:val="0"/>
          <w:sz w:val="22"/>
          <w:szCs w:val="22"/>
        </w:rPr>
      </w:pPr>
      <w:r>
        <w:rPr>
          <w:noProof/>
        </w:rPr>
        <w:t>855</w:t>
      </w:r>
      <w:r>
        <w:rPr>
          <w:noProof/>
        </w:rPr>
        <w:noBreakHyphen/>
        <w:t>45</w:t>
      </w:r>
      <w:r>
        <w:rPr>
          <w:noProof/>
        </w:rPr>
        <w:tab/>
        <w:t>Individual or company becomes an Australian resident</w:t>
      </w:r>
      <w:r w:rsidRPr="00380510">
        <w:rPr>
          <w:rFonts w:ascii="Times" w:hAnsi="Times" w:cs="Times"/>
          <w:noProof/>
        </w:rPr>
        <w:tab/>
      </w:r>
      <w:r w:rsidRPr="00380510">
        <w:rPr>
          <w:rFonts w:ascii="Times" w:hAnsi="Times" w:cs="Times"/>
          <w:noProof/>
        </w:rPr>
        <w:fldChar w:fldCharType="begin"/>
      </w:r>
      <w:r w:rsidRPr="00380510">
        <w:rPr>
          <w:rFonts w:ascii="Times" w:hAnsi="Times" w:cs="Times"/>
          <w:noProof/>
        </w:rPr>
        <w:instrText xml:space="preserve"> PAGEREF _Toc338939500 \h </w:instrText>
      </w:r>
      <w:r w:rsidRPr="00380510">
        <w:rPr>
          <w:rFonts w:ascii="Times" w:hAnsi="Times" w:cs="Times"/>
          <w:noProof/>
        </w:rPr>
      </w:r>
      <w:r w:rsidRPr="00380510">
        <w:rPr>
          <w:rFonts w:ascii="Times" w:hAnsi="Times" w:cs="Times"/>
          <w:noProof/>
        </w:rPr>
        <w:fldChar w:fldCharType="separate"/>
      </w:r>
      <w:r w:rsidR="00623A5C">
        <w:rPr>
          <w:rFonts w:ascii="Times" w:hAnsi="Times" w:cs="Times"/>
          <w:noProof/>
        </w:rPr>
        <w:t>354</w:t>
      </w:r>
      <w:r w:rsidRPr="00380510">
        <w:rPr>
          <w:rFonts w:ascii="Times" w:hAnsi="Times" w:cs="Times"/>
          <w:noProof/>
        </w:rPr>
        <w:fldChar w:fldCharType="end"/>
      </w:r>
    </w:p>
    <w:p w:rsidR="00380510" w:rsidRDefault="00380510">
      <w:pPr>
        <w:pStyle w:val="TOC5"/>
        <w:rPr>
          <w:rFonts w:ascii="Calibri" w:hAnsi="Calibri"/>
          <w:iCs w:val="0"/>
          <w:noProof/>
          <w:kern w:val="0"/>
          <w:sz w:val="22"/>
          <w:szCs w:val="22"/>
        </w:rPr>
      </w:pPr>
      <w:r>
        <w:rPr>
          <w:noProof/>
        </w:rPr>
        <w:t>855</w:t>
      </w:r>
      <w:r>
        <w:rPr>
          <w:noProof/>
        </w:rPr>
        <w:noBreakHyphen/>
        <w:t>50</w:t>
      </w:r>
      <w:r>
        <w:rPr>
          <w:noProof/>
        </w:rPr>
        <w:tab/>
        <w:t>Trust becomes a resident trust</w:t>
      </w:r>
      <w:r w:rsidRPr="00380510">
        <w:rPr>
          <w:rFonts w:ascii="Times" w:hAnsi="Times" w:cs="Times"/>
          <w:noProof/>
        </w:rPr>
        <w:tab/>
      </w:r>
      <w:r w:rsidRPr="00380510">
        <w:rPr>
          <w:rFonts w:ascii="Times" w:hAnsi="Times" w:cs="Times"/>
          <w:noProof/>
        </w:rPr>
        <w:fldChar w:fldCharType="begin"/>
      </w:r>
      <w:r w:rsidRPr="00380510">
        <w:rPr>
          <w:rFonts w:ascii="Times" w:hAnsi="Times" w:cs="Times"/>
          <w:noProof/>
        </w:rPr>
        <w:instrText xml:space="preserve"> PAGEREF _Toc338939501 \h </w:instrText>
      </w:r>
      <w:r w:rsidRPr="00380510">
        <w:rPr>
          <w:rFonts w:ascii="Times" w:hAnsi="Times" w:cs="Times"/>
          <w:noProof/>
        </w:rPr>
      </w:r>
      <w:r w:rsidRPr="00380510">
        <w:rPr>
          <w:rFonts w:ascii="Times" w:hAnsi="Times" w:cs="Times"/>
          <w:noProof/>
        </w:rPr>
        <w:fldChar w:fldCharType="separate"/>
      </w:r>
      <w:r w:rsidR="00623A5C">
        <w:rPr>
          <w:rFonts w:ascii="Times" w:hAnsi="Times" w:cs="Times"/>
          <w:noProof/>
        </w:rPr>
        <w:t>355</w:t>
      </w:r>
      <w:r w:rsidRPr="00380510">
        <w:rPr>
          <w:rFonts w:ascii="Times" w:hAnsi="Times" w:cs="Times"/>
          <w:noProof/>
        </w:rPr>
        <w:fldChar w:fldCharType="end"/>
      </w:r>
    </w:p>
    <w:p w:rsidR="00380510" w:rsidRDefault="00380510">
      <w:pPr>
        <w:pStyle w:val="TOC5"/>
        <w:rPr>
          <w:rFonts w:ascii="Calibri" w:hAnsi="Calibri"/>
          <w:iCs w:val="0"/>
          <w:noProof/>
          <w:kern w:val="0"/>
          <w:sz w:val="22"/>
          <w:szCs w:val="22"/>
        </w:rPr>
      </w:pPr>
      <w:r>
        <w:rPr>
          <w:noProof/>
        </w:rPr>
        <w:t>855</w:t>
      </w:r>
      <w:r>
        <w:rPr>
          <w:noProof/>
        </w:rPr>
        <w:noBreakHyphen/>
        <w:t>55</w:t>
      </w:r>
      <w:r>
        <w:rPr>
          <w:noProof/>
        </w:rPr>
        <w:tab/>
        <w:t>CFC becomes an Australian resident</w:t>
      </w:r>
      <w:r w:rsidRPr="00380510">
        <w:rPr>
          <w:rFonts w:ascii="Times" w:hAnsi="Times" w:cs="Times"/>
          <w:noProof/>
        </w:rPr>
        <w:tab/>
      </w:r>
      <w:r w:rsidRPr="00380510">
        <w:rPr>
          <w:rFonts w:ascii="Times" w:hAnsi="Times" w:cs="Times"/>
          <w:noProof/>
        </w:rPr>
        <w:fldChar w:fldCharType="begin"/>
      </w:r>
      <w:r w:rsidRPr="00380510">
        <w:rPr>
          <w:rFonts w:ascii="Times" w:hAnsi="Times" w:cs="Times"/>
          <w:noProof/>
        </w:rPr>
        <w:instrText xml:space="preserve"> PAGEREF _Toc338939502 \h </w:instrText>
      </w:r>
      <w:r w:rsidRPr="00380510">
        <w:rPr>
          <w:rFonts w:ascii="Times" w:hAnsi="Times" w:cs="Times"/>
          <w:noProof/>
        </w:rPr>
      </w:r>
      <w:r w:rsidRPr="00380510">
        <w:rPr>
          <w:rFonts w:ascii="Times" w:hAnsi="Times" w:cs="Times"/>
          <w:noProof/>
        </w:rPr>
        <w:fldChar w:fldCharType="separate"/>
      </w:r>
      <w:r w:rsidR="00623A5C">
        <w:rPr>
          <w:rFonts w:ascii="Times" w:hAnsi="Times" w:cs="Times"/>
          <w:noProof/>
        </w:rPr>
        <w:t>355</w:t>
      </w:r>
      <w:r w:rsidRPr="00380510">
        <w:rPr>
          <w:rFonts w:ascii="Times" w:hAnsi="Times" w:cs="Times"/>
          <w:noProof/>
        </w:rPr>
        <w:fldChar w:fldCharType="end"/>
      </w:r>
    </w:p>
    <w:p w:rsidR="00380510" w:rsidRDefault="00380510">
      <w:pPr>
        <w:pStyle w:val="TOC2"/>
        <w:rPr>
          <w:rFonts w:ascii="Calibri" w:hAnsi="Calibri"/>
          <w:b w:val="0"/>
          <w:iCs w:val="0"/>
          <w:noProof/>
          <w:kern w:val="0"/>
          <w:sz w:val="22"/>
          <w:szCs w:val="22"/>
        </w:rPr>
      </w:pPr>
      <w:r>
        <w:rPr>
          <w:noProof/>
        </w:rPr>
        <w:t>Chapter 5—Administration</w:t>
      </w:r>
      <w:r w:rsidRPr="00380510">
        <w:rPr>
          <w:rFonts w:ascii="Times" w:hAnsi="Times" w:cs="Times"/>
          <w:b w:val="0"/>
          <w:noProof/>
          <w:sz w:val="18"/>
        </w:rPr>
        <w:tab/>
      </w:r>
      <w:r w:rsidRPr="00380510">
        <w:rPr>
          <w:rFonts w:ascii="Times" w:hAnsi="Times" w:cs="Times"/>
          <w:b w:val="0"/>
          <w:noProof/>
          <w:sz w:val="18"/>
        </w:rPr>
        <w:fldChar w:fldCharType="begin"/>
      </w:r>
      <w:r w:rsidRPr="00380510">
        <w:rPr>
          <w:rFonts w:ascii="Times" w:hAnsi="Times" w:cs="Times"/>
          <w:b w:val="0"/>
          <w:noProof/>
          <w:sz w:val="18"/>
        </w:rPr>
        <w:instrText xml:space="preserve"> PAGEREF _Toc338939503 \h </w:instrText>
      </w:r>
      <w:r w:rsidRPr="00380510">
        <w:rPr>
          <w:rFonts w:ascii="Times" w:hAnsi="Times" w:cs="Times"/>
          <w:b w:val="0"/>
          <w:noProof/>
          <w:sz w:val="18"/>
        </w:rPr>
      </w:r>
      <w:r w:rsidRPr="00380510">
        <w:rPr>
          <w:rFonts w:ascii="Times" w:hAnsi="Times" w:cs="Times"/>
          <w:b w:val="0"/>
          <w:noProof/>
          <w:sz w:val="18"/>
        </w:rPr>
        <w:fldChar w:fldCharType="separate"/>
      </w:r>
      <w:r w:rsidR="00623A5C">
        <w:rPr>
          <w:rFonts w:ascii="Times" w:hAnsi="Times" w:cs="Times"/>
          <w:b w:val="0"/>
          <w:noProof/>
          <w:sz w:val="18"/>
        </w:rPr>
        <w:t>357</w:t>
      </w:r>
      <w:r w:rsidRPr="00380510">
        <w:rPr>
          <w:rFonts w:ascii="Times" w:hAnsi="Times" w:cs="Times"/>
          <w:b w:val="0"/>
          <w:noProof/>
          <w:sz w:val="18"/>
        </w:rPr>
        <w:fldChar w:fldCharType="end"/>
      </w:r>
    </w:p>
    <w:p w:rsidR="00380510" w:rsidRDefault="00380510">
      <w:pPr>
        <w:pStyle w:val="TOC2"/>
        <w:rPr>
          <w:rFonts w:ascii="Calibri" w:hAnsi="Calibri"/>
          <w:b w:val="0"/>
          <w:iCs w:val="0"/>
          <w:noProof/>
          <w:kern w:val="0"/>
          <w:sz w:val="22"/>
          <w:szCs w:val="22"/>
        </w:rPr>
      </w:pPr>
      <w:r>
        <w:rPr>
          <w:noProof/>
        </w:rPr>
        <w:t>Part 5</w:t>
      </w:r>
      <w:r>
        <w:rPr>
          <w:noProof/>
        </w:rPr>
        <w:noBreakHyphen/>
        <w:t>30—Record</w:t>
      </w:r>
      <w:r>
        <w:rPr>
          <w:noProof/>
        </w:rPr>
        <w:noBreakHyphen/>
        <w:t>keeping and other obligations</w:t>
      </w:r>
      <w:r w:rsidRPr="00380510">
        <w:rPr>
          <w:rFonts w:ascii="Times" w:hAnsi="Times" w:cs="Times"/>
          <w:b w:val="0"/>
          <w:noProof/>
          <w:sz w:val="18"/>
        </w:rPr>
        <w:tab/>
      </w:r>
      <w:r w:rsidRPr="00380510">
        <w:rPr>
          <w:rFonts w:ascii="Times" w:hAnsi="Times" w:cs="Times"/>
          <w:b w:val="0"/>
          <w:noProof/>
          <w:sz w:val="18"/>
        </w:rPr>
        <w:fldChar w:fldCharType="begin"/>
      </w:r>
      <w:r w:rsidRPr="00380510">
        <w:rPr>
          <w:rFonts w:ascii="Times" w:hAnsi="Times" w:cs="Times"/>
          <w:b w:val="0"/>
          <w:noProof/>
          <w:sz w:val="18"/>
        </w:rPr>
        <w:instrText xml:space="preserve"> PAGEREF _Toc338939504 \h </w:instrText>
      </w:r>
      <w:r w:rsidRPr="00380510">
        <w:rPr>
          <w:rFonts w:ascii="Times" w:hAnsi="Times" w:cs="Times"/>
          <w:b w:val="0"/>
          <w:noProof/>
          <w:sz w:val="18"/>
        </w:rPr>
      </w:r>
      <w:r w:rsidRPr="00380510">
        <w:rPr>
          <w:rFonts w:ascii="Times" w:hAnsi="Times" w:cs="Times"/>
          <w:b w:val="0"/>
          <w:noProof/>
          <w:sz w:val="18"/>
        </w:rPr>
        <w:fldChar w:fldCharType="separate"/>
      </w:r>
      <w:r w:rsidR="00623A5C">
        <w:rPr>
          <w:rFonts w:ascii="Times" w:hAnsi="Times" w:cs="Times"/>
          <w:b w:val="0"/>
          <w:noProof/>
          <w:sz w:val="18"/>
        </w:rPr>
        <w:t>357</w:t>
      </w:r>
      <w:r w:rsidRPr="00380510">
        <w:rPr>
          <w:rFonts w:ascii="Times" w:hAnsi="Times" w:cs="Times"/>
          <w:b w:val="0"/>
          <w:noProof/>
          <w:sz w:val="18"/>
        </w:rPr>
        <w:fldChar w:fldCharType="end"/>
      </w:r>
    </w:p>
    <w:p w:rsidR="00380510" w:rsidRDefault="00380510">
      <w:pPr>
        <w:pStyle w:val="TOC3"/>
        <w:rPr>
          <w:rFonts w:ascii="Calibri" w:hAnsi="Calibri"/>
          <w:b w:val="0"/>
          <w:noProof/>
          <w:kern w:val="0"/>
          <w:szCs w:val="22"/>
        </w:rPr>
      </w:pPr>
      <w:r>
        <w:rPr>
          <w:noProof/>
        </w:rPr>
        <w:t>Division 900—Substantiation rules</w:t>
      </w:r>
      <w:r w:rsidRPr="00380510">
        <w:rPr>
          <w:rFonts w:ascii="Times" w:hAnsi="Times" w:cs="Times"/>
          <w:b w:val="0"/>
          <w:noProof/>
          <w:sz w:val="18"/>
        </w:rPr>
        <w:tab/>
      </w:r>
      <w:r w:rsidRPr="00380510">
        <w:rPr>
          <w:rFonts w:ascii="Times" w:hAnsi="Times" w:cs="Times"/>
          <w:b w:val="0"/>
          <w:noProof/>
          <w:sz w:val="18"/>
        </w:rPr>
        <w:fldChar w:fldCharType="begin"/>
      </w:r>
      <w:r w:rsidRPr="00380510">
        <w:rPr>
          <w:rFonts w:ascii="Times" w:hAnsi="Times" w:cs="Times"/>
          <w:b w:val="0"/>
          <w:noProof/>
          <w:sz w:val="18"/>
        </w:rPr>
        <w:instrText xml:space="preserve"> PAGEREF _Toc338939505 \h </w:instrText>
      </w:r>
      <w:r w:rsidRPr="00380510">
        <w:rPr>
          <w:rFonts w:ascii="Times" w:hAnsi="Times" w:cs="Times"/>
          <w:b w:val="0"/>
          <w:noProof/>
          <w:sz w:val="18"/>
        </w:rPr>
      </w:r>
      <w:r w:rsidRPr="00380510">
        <w:rPr>
          <w:rFonts w:ascii="Times" w:hAnsi="Times" w:cs="Times"/>
          <w:b w:val="0"/>
          <w:noProof/>
          <w:sz w:val="18"/>
        </w:rPr>
        <w:fldChar w:fldCharType="separate"/>
      </w:r>
      <w:r w:rsidR="00623A5C">
        <w:rPr>
          <w:rFonts w:ascii="Times" w:hAnsi="Times" w:cs="Times"/>
          <w:b w:val="0"/>
          <w:noProof/>
          <w:sz w:val="18"/>
        </w:rPr>
        <w:t>357</w:t>
      </w:r>
      <w:r w:rsidRPr="00380510">
        <w:rPr>
          <w:rFonts w:ascii="Times" w:hAnsi="Times" w:cs="Times"/>
          <w:b w:val="0"/>
          <w:noProof/>
          <w:sz w:val="18"/>
        </w:rPr>
        <w:fldChar w:fldCharType="end"/>
      </w:r>
    </w:p>
    <w:p w:rsidR="00380510" w:rsidRDefault="00380510">
      <w:pPr>
        <w:pStyle w:val="TOC4"/>
        <w:rPr>
          <w:rFonts w:ascii="Calibri" w:hAnsi="Calibri"/>
          <w:b w:val="0"/>
          <w:noProof/>
          <w:kern w:val="0"/>
          <w:sz w:val="22"/>
          <w:szCs w:val="22"/>
        </w:rPr>
      </w:pPr>
      <w:r>
        <w:rPr>
          <w:noProof/>
        </w:rPr>
        <w:t>Guide to Division 900</w:t>
      </w:r>
      <w:r w:rsidRPr="00380510">
        <w:rPr>
          <w:rFonts w:ascii="Times" w:hAnsi="Times" w:cs="Times"/>
          <w:b w:val="0"/>
          <w:noProof/>
          <w:sz w:val="18"/>
        </w:rPr>
        <w:tab/>
      </w:r>
      <w:r w:rsidRPr="00380510">
        <w:rPr>
          <w:rFonts w:ascii="Times" w:hAnsi="Times" w:cs="Times"/>
          <w:b w:val="0"/>
          <w:noProof/>
          <w:sz w:val="18"/>
        </w:rPr>
        <w:fldChar w:fldCharType="begin"/>
      </w:r>
      <w:r w:rsidRPr="00380510">
        <w:rPr>
          <w:rFonts w:ascii="Times" w:hAnsi="Times" w:cs="Times"/>
          <w:b w:val="0"/>
          <w:noProof/>
          <w:sz w:val="18"/>
        </w:rPr>
        <w:instrText xml:space="preserve"> PAGEREF _Toc338939506 \h </w:instrText>
      </w:r>
      <w:r w:rsidRPr="00380510">
        <w:rPr>
          <w:rFonts w:ascii="Times" w:hAnsi="Times" w:cs="Times"/>
          <w:b w:val="0"/>
          <w:noProof/>
          <w:sz w:val="18"/>
        </w:rPr>
      </w:r>
      <w:r w:rsidRPr="00380510">
        <w:rPr>
          <w:rFonts w:ascii="Times" w:hAnsi="Times" w:cs="Times"/>
          <w:b w:val="0"/>
          <w:noProof/>
          <w:sz w:val="18"/>
        </w:rPr>
        <w:fldChar w:fldCharType="separate"/>
      </w:r>
      <w:r w:rsidR="00623A5C">
        <w:rPr>
          <w:rFonts w:ascii="Times" w:hAnsi="Times" w:cs="Times"/>
          <w:b w:val="0"/>
          <w:noProof/>
          <w:sz w:val="18"/>
        </w:rPr>
        <w:t>357</w:t>
      </w:r>
      <w:r w:rsidRPr="00380510">
        <w:rPr>
          <w:rFonts w:ascii="Times" w:hAnsi="Times" w:cs="Times"/>
          <w:b w:val="0"/>
          <w:noProof/>
          <w:sz w:val="18"/>
        </w:rPr>
        <w:fldChar w:fldCharType="end"/>
      </w:r>
    </w:p>
    <w:p w:rsidR="00380510" w:rsidRDefault="00380510">
      <w:pPr>
        <w:pStyle w:val="TOC5"/>
        <w:rPr>
          <w:rFonts w:ascii="Calibri" w:hAnsi="Calibri"/>
          <w:iCs w:val="0"/>
          <w:noProof/>
          <w:kern w:val="0"/>
          <w:sz w:val="22"/>
          <w:szCs w:val="22"/>
        </w:rPr>
      </w:pPr>
      <w:r>
        <w:rPr>
          <w:noProof/>
        </w:rPr>
        <w:t>900</w:t>
      </w:r>
      <w:r>
        <w:rPr>
          <w:noProof/>
        </w:rPr>
        <w:noBreakHyphen/>
        <w:t>1</w:t>
      </w:r>
      <w:r>
        <w:rPr>
          <w:noProof/>
        </w:rPr>
        <w:tab/>
        <w:t>What this Division is about</w:t>
      </w:r>
      <w:r w:rsidRPr="00380510">
        <w:rPr>
          <w:rFonts w:ascii="Times" w:hAnsi="Times" w:cs="Times"/>
          <w:noProof/>
        </w:rPr>
        <w:tab/>
      </w:r>
      <w:r w:rsidRPr="00380510">
        <w:rPr>
          <w:rFonts w:ascii="Times" w:hAnsi="Times" w:cs="Times"/>
          <w:noProof/>
        </w:rPr>
        <w:fldChar w:fldCharType="begin"/>
      </w:r>
      <w:r w:rsidRPr="00380510">
        <w:rPr>
          <w:rFonts w:ascii="Times" w:hAnsi="Times" w:cs="Times"/>
          <w:noProof/>
        </w:rPr>
        <w:instrText xml:space="preserve"> PAGEREF _Toc338939507 \h </w:instrText>
      </w:r>
      <w:r w:rsidRPr="00380510">
        <w:rPr>
          <w:rFonts w:ascii="Times" w:hAnsi="Times" w:cs="Times"/>
          <w:noProof/>
        </w:rPr>
      </w:r>
      <w:r w:rsidRPr="00380510">
        <w:rPr>
          <w:rFonts w:ascii="Times" w:hAnsi="Times" w:cs="Times"/>
          <w:noProof/>
        </w:rPr>
        <w:fldChar w:fldCharType="separate"/>
      </w:r>
      <w:r w:rsidR="00623A5C">
        <w:rPr>
          <w:rFonts w:ascii="Times" w:hAnsi="Times" w:cs="Times"/>
          <w:noProof/>
        </w:rPr>
        <w:t>357</w:t>
      </w:r>
      <w:r w:rsidRPr="00380510">
        <w:rPr>
          <w:rFonts w:ascii="Times" w:hAnsi="Times" w:cs="Times"/>
          <w:noProof/>
        </w:rPr>
        <w:fldChar w:fldCharType="end"/>
      </w:r>
    </w:p>
    <w:p w:rsidR="00380510" w:rsidRDefault="00380510">
      <w:pPr>
        <w:pStyle w:val="TOC4"/>
        <w:rPr>
          <w:rFonts w:ascii="Calibri" w:hAnsi="Calibri"/>
          <w:b w:val="0"/>
          <w:noProof/>
          <w:kern w:val="0"/>
          <w:sz w:val="22"/>
          <w:szCs w:val="22"/>
        </w:rPr>
      </w:pPr>
      <w:r>
        <w:rPr>
          <w:noProof/>
        </w:rPr>
        <w:t>Subdivision 900</w:t>
      </w:r>
      <w:r>
        <w:rPr>
          <w:noProof/>
        </w:rPr>
        <w:noBreakHyphen/>
        <w:t>A—Application of Division</w:t>
      </w:r>
      <w:r w:rsidRPr="00380510">
        <w:rPr>
          <w:rFonts w:ascii="Times" w:hAnsi="Times" w:cs="Times"/>
          <w:b w:val="0"/>
          <w:noProof/>
          <w:sz w:val="18"/>
        </w:rPr>
        <w:tab/>
      </w:r>
      <w:r w:rsidRPr="00380510">
        <w:rPr>
          <w:rFonts w:ascii="Times" w:hAnsi="Times" w:cs="Times"/>
          <w:b w:val="0"/>
          <w:noProof/>
          <w:sz w:val="18"/>
        </w:rPr>
        <w:fldChar w:fldCharType="begin"/>
      </w:r>
      <w:r w:rsidRPr="00380510">
        <w:rPr>
          <w:rFonts w:ascii="Times" w:hAnsi="Times" w:cs="Times"/>
          <w:b w:val="0"/>
          <w:noProof/>
          <w:sz w:val="18"/>
        </w:rPr>
        <w:instrText xml:space="preserve"> PAGEREF _Toc338939508 \h </w:instrText>
      </w:r>
      <w:r w:rsidRPr="00380510">
        <w:rPr>
          <w:rFonts w:ascii="Times" w:hAnsi="Times" w:cs="Times"/>
          <w:b w:val="0"/>
          <w:noProof/>
          <w:sz w:val="18"/>
        </w:rPr>
      </w:r>
      <w:r w:rsidRPr="00380510">
        <w:rPr>
          <w:rFonts w:ascii="Times" w:hAnsi="Times" w:cs="Times"/>
          <w:b w:val="0"/>
          <w:noProof/>
          <w:sz w:val="18"/>
        </w:rPr>
        <w:fldChar w:fldCharType="separate"/>
      </w:r>
      <w:r w:rsidR="00623A5C">
        <w:rPr>
          <w:rFonts w:ascii="Times" w:hAnsi="Times" w:cs="Times"/>
          <w:b w:val="0"/>
          <w:noProof/>
          <w:sz w:val="18"/>
        </w:rPr>
        <w:t>357</w:t>
      </w:r>
      <w:r w:rsidRPr="00380510">
        <w:rPr>
          <w:rFonts w:ascii="Times" w:hAnsi="Times" w:cs="Times"/>
          <w:b w:val="0"/>
          <w:noProof/>
          <w:sz w:val="18"/>
        </w:rPr>
        <w:fldChar w:fldCharType="end"/>
      </w:r>
    </w:p>
    <w:p w:rsidR="00380510" w:rsidRDefault="00380510">
      <w:pPr>
        <w:pStyle w:val="TOC5"/>
        <w:rPr>
          <w:rFonts w:ascii="Calibri" w:hAnsi="Calibri"/>
          <w:iCs w:val="0"/>
          <w:noProof/>
          <w:kern w:val="0"/>
          <w:sz w:val="22"/>
          <w:szCs w:val="22"/>
        </w:rPr>
      </w:pPr>
      <w:r>
        <w:rPr>
          <w:noProof/>
        </w:rPr>
        <w:t>900</w:t>
      </w:r>
      <w:r>
        <w:rPr>
          <w:noProof/>
        </w:rPr>
        <w:noBreakHyphen/>
        <w:t>5</w:t>
      </w:r>
      <w:r>
        <w:rPr>
          <w:noProof/>
        </w:rPr>
        <w:tab/>
        <w:t>Application of the requirements of Division 900</w:t>
      </w:r>
      <w:r w:rsidRPr="00380510">
        <w:rPr>
          <w:rFonts w:ascii="Times" w:hAnsi="Times" w:cs="Times"/>
          <w:noProof/>
        </w:rPr>
        <w:tab/>
      </w:r>
      <w:r w:rsidRPr="00380510">
        <w:rPr>
          <w:rFonts w:ascii="Times" w:hAnsi="Times" w:cs="Times"/>
          <w:noProof/>
        </w:rPr>
        <w:fldChar w:fldCharType="begin"/>
      </w:r>
      <w:r w:rsidRPr="00380510">
        <w:rPr>
          <w:rFonts w:ascii="Times" w:hAnsi="Times" w:cs="Times"/>
          <w:noProof/>
        </w:rPr>
        <w:instrText xml:space="preserve"> PAGEREF _Toc338939509 \h </w:instrText>
      </w:r>
      <w:r w:rsidRPr="00380510">
        <w:rPr>
          <w:rFonts w:ascii="Times" w:hAnsi="Times" w:cs="Times"/>
          <w:noProof/>
        </w:rPr>
      </w:r>
      <w:r w:rsidRPr="00380510">
        <w:rPr>
          <w:rFonts w:ascii="Times" w:hAnsi="Times" w:cs="Times"/>
          <w:noProof/>
        </w:rPr>
        <w:fldChar w:fldCharType="separate"/>
      </w:r>
      <w:r w:rsidR="00623A5C">
        <w:rPr>
          <w:rFonts w:ascii="Times" w:hAnsi="Times" w:cs="Times"/>
          <w:noProof/>
        </w:rPr>
        <w:t>358</w:t>
      </w:r>
      <w:r w:rsidRPr="00380510">
        <w:rPr>
          <w:rFonts w:ascii="Times" w:hAnsi="Times" w:cs="Times"/>
          <w:noProof/>
        </w:rPr>
        <w:fldChar w:fldCharType="end"/>
      </w:r>
    </w:p>
    <w:p w:rsidR="00380510" w:rsidRDefault="00380510">
      <w:pPr>
        <w:pStyle w:val="TOC5"/>
        <w:rPr>
          <w:rFonts w:ascii="Calibri" w:hAnsi="Calibri"/>
          <w:iCs w:val="0"/>
          <w:noProof/>
          <w:kern w:val="0"/>
          <w:sz w:val="22"/>
          <w:szCs w:val="22"/>
        </w:rPr>
      </w:pPr>
      <w:r>
        <w:rPr>
          <w:noProof/>
        </w:rPr>
        <w:t>900</w:t>
      </w:r>
      <w:r>
        <w:rPr>
          <w:noProof/>
        </w:rPr>
        <w:noBreakHyphen/>
        <w:t>10</w:t>
      </w:r>
      <w:r>
        <w:rPr>
          <w:noProof/>
        </w:rPr>
        <w:tab/>
        <w:t>Substantiation requirement</w:t>
      </w:r>
      <w:r w:rsidRPr="00380510">
        <w:rPr>
          <w:rFonts w:ascii="Times" w:hAnsi="Times" w:cs="Times"/>
          <w:noProof/>
        </w:rPr>
        <w:tab/>
      </w:r>
      <w:r w:rsidRPr="00380510">
        <w:rPr>
          <w:rFonts w:ascii="Times" w:hAnsi="Times" w:cs="Times"/>
          <w:noProof/>
        </w:rPr>
        <w:fldChar w:fldCharType="begin"/>
      </w:r>
      <w:r w:rsidRPr="00380510">
        <w:rPr>
          <w:rFonts w:ascii="Times" w:hAnsi="Times" w:cs="Times"/>
          <w:noProof/>
        </w:rPr>
        <w:instrText xml:space="preserve"> PAGEREF _Toc338939510 \h </w:instrText>
      </w:r>
      <w:r w:rsidRPr="00380510">
        <w:rPr>
          <w:rFonts w:ascii="Times" w:hAnsi="Times" w:cs="Times"/>
          <w:noProof/>
        </w:rPr>
      </w:r>
      <w:r w:rsidRPr="00380510">
        <w:rPr>
          <w:rFonts w:ascii="Times" w:hAnsi="Times" w:cs="Times"/>
          <w:noProof/>
        </w:rPr>
        <w:fldChar w:fldCharType="separate"/>
      </w:r>
      <w:r w:rsidR="00623A5C">
        <w:rPr>
          <w:rFonts w:ascii="Times" w:hAnsi="Times" w:cs="Times"/>
          <w:noProof/>
        </w:rPr>
        <w:t>358</w:t>
      </w:r>
      <w:r w:rsidRPr="00380510">
        <w:rPr>
          <w:rFonts w:ascii="Times" w:hAnsi="Times" w:cs="Times"/>
          <w:noProof/>
        </w:rPr>
        <w:fldChar w:fldCharType="end"/>
      </w:r>
    </w:p>
    <w:p w:rsidR="00380510" w:rsidRDefault="00380510">
      <w:pPr>
        <w:pStyle w:val="TOC5"/>
        <w:rPr>
          <w:rFonts w:ascii="Calibri" w:hAnsi="Calibri"/>
          <w:iCs w:val="0"/>
          <w:noProof/>
          <w:kern w:val="0"/>
          <w:sz w:val="22"/>
          <w:szCs w:val="22"/>
        </w:rPr>
      </w:pPr>
      <w:r>
        <w:rPr>
          <w:noProof/>
        </w:rPr>
        <w:t>900</w:t>
      </w:r>
      <w:r>
        <w:rPr>
          <w:noProof/>
        </w:rPr>
        <w:noBreakHyphen/>
        <w:t>12</w:t>
      </w:r>
      <w:r>
        <w:rPr>
          <w:noProof/>
        </w:rPr>
        <w:tab/>
        <w:t>Application to recipients and payers of certain withholding payments</w:t>
      </w:r>
      <w:r w:rsidRPr="00380510">
        <w:rPr>
          <w:rFonts w:ascii="Times" w:hAnsi="Times" w:cs="Times"/>
          <w:noProof/>
        </w:rPr>
        <w:tab/>
      </w:r>
      <w:r w:rsidRPr="00380510">
        <w:rPr>
          <w:rFonts w:ascii="Times" w:hAnsi="Times" w:cs="Times"/>
          <w:noProof/>
        </w:rPr>
        <w:fldChar w:fldCharType="begin"/>
      </w:r>
      <w:r w:rsidRPr="00380510">
        <w:rPr>
          <w:rFonts w:ascii="Times" w:hAnsi="Times" w:cs="Times"/>
          <w:noProof/>
        </w:rPr>
        <w:instrText xml:space="preserve"> PAGEREF _Toc338939511 \h </w:instrText>
      </w:r>
      <w:r w:rsidRPr="00380510">
        <w:rPr>
          <w:rFonts w:ascii="Times" w:hAnsi="Times" w:cs="Times"/>
          <w:noProof/>
        </w:rPr>
      </w:r>
      <w:r w:rsidRPr="00380510">
        <w:rPr>
          <w:rFonts w:ascii="Times" w:hAnsi="Times" w:cs="Times"/>
          <w:noProof/>
        </w:rPr>
        <w:fldChar w:fldCharType="separate"/>
      </w:r>
      <w:r w:rsidR="00623A5C">
        <w:rPr>
          <w:rFonts w:ascii="Times" w:hAnsi="Times" w:cs="Times"/>
          <w:noProof/>
        </w:rPr>
        <w:t>358</w:t>
      </w:r>
      <w:r w:rsidRPr="00380510">
        <w:rPr>
          <w:rFonts w:ascii="Times" w:hAnsi="Times" w:cs="Times"/>
          <w:noProof/>
        </w:rPr>
        <w:fldChar w:fldCharType="end"/>
      </w:r>
    </w:p>
    <w:p w:rsidR="00380510" w:rsidRDefault="00380510">
      <w:pPr>
        <w:pStyle w:val="TOC4"/>
        <w:rPr>
          <w:rFonts w:ascii="Calibri" w:hAnsi="Calibri"/>
          <w:b w:val="0"/>
          <w:noProof/>
          <w:kern w:val="0"/>
          <w:sz w:val="22"/>
          <w:szCs w:val="22"/>
        </w:rPr>
      </w:pPr>
      <w:r>
        <w:rPr>
          <w:noProof/>
        </w:rPr>
        <w:t>Subdivision 900</w:t>
      </w:r>
      <w:r>
        <w:rPr>
          <w:noProof/>
        </w:rPr>
        <w:noBreakHyphen/>
        <w:t>B—Substantiating work expenses</w:t>
      </w:r>
      <w:r w:rsidRPr="00380510">
        <w:rPr>
          <w:rFonts w:ascii="Times" w:hAnsi="Times" w:cs="Times"/>
          <w:b w:val="0"/>
          <w:noProof/>
          <w:sz w:val="18"/>
        </w:rPr>
        <w:tab/>
      </w:r>
      <w:r w:rsidRPr="00380510">
        <w:rPr>
          <w:rFonts w:ascii="Times" w:hAnsi="Times" w:cs="Times"/>
          <w:b w:val="0"/>
          <w:noProof/>
          <w:sz w:val="18"/>
        </w:rPr>
        <w:fldChar w:fldCharType="begin"/>
      </w:r>
      <w:r w:rsidRPr="00380510">
        <w:rPr>
          <w:rFonts w:ascii="Times" w:hAnsi="Times" w:cs="Times"/>
          <w:b w:val="0"/>
          <w:noProof/>
          <w:sz w:val="18"/>
        </w:rPr>
        <w:instrText xml:space="preserve"> PAGEREF _Toc338939512 \h </w:instrText>
      </w:r>
      <w:r w:rsidRPr="00380510">
        <w:rPr>
          <w:rFonts w:ascii="Times" w:hAnsi="Times" w:cs="Times"/>
          <w:b w:val="0"/>
          <w:noProof/>
          <w:sz w:val="18"/>
        </w:rPr>
      </w:r>
      <w:r w:rsidRPr="00380510">
        <w:rPr>
          <w:rFonts w:ascii="Times" w:hAnsi="Times" w:cs="Times"/>
          <w:b w:val="0"/>
          <w:noProof/>
          <w:sz w:val="18"/>
        </w:rPr>
        <w:fldChar w:fldCharType="separate"/>
      </w:r>
      <w:r w:rsidR="00623A5C">
        <w:rPr>
          <w:rFonts w:ascii="Times" w:hAnsi="Times" w:cs="Times"/>
          <w:b w:val="0"/>
          <w:noProof/>
          <w:sz w:val="18"/>
        </w:rPr>
        <w:t>359</w:t>
      </w:r>
      <w:r w:rsidRPr="00380510">
        <w:rPr>
          <w:rFonts w:ascii="Times" w:hAnsi="Times" w:cs="Times"/>
          <w:b w:val="0"/>
          <w:noProof/>
          <w:sz w:val="18"/>
        </w:rPr>
        <w:fldChar w:fldCharType="end"/>
      </w:r>
    </w:p>
    <w:p w:rsidR="00380510" w:rsidRDefault="00380510">
      <w:pPr>
        <w:pStyle w:val="TOC5"/>
        <w:rPr>
          <w:rFonts w:ascii="Calibri" w:hAnsi="Calibri"/>
          <w:iCs w:val="0"/>
          <w:noProof/>
          <w:kern w:val="0"/>
          <w:sz w:val="22"/>
          <w:szCs w:val="22"/>
        </w:rPr>
      </w:pPr>
      <w:r>
        <w:rPr>
          <w:noProof/>
        </w:rPr>
        <w:t>900</w:t>
      </w:r>
      <w:r>
        <w:rPr>
          <w:noProof/>
        </w:rPr>
        <w:noBreakHyphen/>
        <w:t>15</w:t>
      </w:r>
      <w:r>
        <w:rPr>
          <w:noProof/>
        </w:rPr>
        <w:tab/>
        <w:t>Getting written evidence</w:t>
      </w:r>
      <w:r w:rsidRPr="00380510">
        <w:rPr>
          <w:rFonts w:ascii="Times" w:hAnsi="Times" w:cs="Times"/>
          <w:noProof/>
        </w:rPr>
        <w:tab/>
      </w:r>
      <w:r w:rsidRPr="00380510">
        <w:rPr>
          <w:rFonts w:ascii="Times" w:hAnsi="Times" w:cs="Times"/>
          <w:noProof/>
        </w:rPr>
        <w:fldChar w:fldCharType="begin"/>
      </w:r>
      <w:r w:rsidRPr="00380510">
        <w:rPr>
          <w:rFonts w:ascii="Times" w:hAnsi="Times" w:cs="Times"/>
          <w:noProof/>
        </w:rPr>
        <w:instrText xml:space="preserve"> PAGEREF _Toc338939513 \h </w:instrText>
      </w:r>
      <w:r w:rsidRPr="00380510">
        <w:rPr>
          <w:rFonts w:ascii="Times" w:hAnsi="Times" w:cs="Times"/>
          <w:noProof/>
        </w:rPr>
      </w:r>
      <w:r w:rsidRPr="00380510">
        <w:rPr>
          <w:rFonts w:ascii="Times" w:hAnsi="Times" w:cs="Times"/>
          <w:noProof/>
        </w:rPr>
        <w:fldChar w:fldCharType="separate"/>
      </w:r>
      <w:r w:rsidR="00623A5C">
        <w:rPr>
          <w:rFonts w:ascii="Times" w:hAnsi="Times" w:cs="Times"/>
          <w:noProof/>
        </w:rPr>
        <w:t>360</w:t>
      </w:r>
      <w:r w:rsidRPr="00380510">
        <w:rPr>
          <w:rFonts w:ascii="Times" w:hAnsi="Times" w:cs="Times"/>
          <w:noProof/>
        </w:rPr>
        <w:fldChar w:fldCharType="end"/>
      </w:r>
    </w:p>
    <w:p w:rsidR="00380510" w:rsidRDefault="00380510">
      <w:pPr>
        <w:pStyle w:val="TOC5"/>
        <w:rPr>
          <w:rFonts w:ascii="Calibri" w:hAnsi="Calibri"/>
          <w:iCs w:val="0"/>
          <w:noProof/>
          <w:kern w:val="0"/>
          <w:sz w:val="22"/>
          <w:szCs w:val="22"/>
        </w:rPr>
      </w:pPr>
      <w:r>
        <w:rPr>
          <w:noProof/>
        </w:rPr>
        <w:t>900</w:t>
      </w:r>
      <w:r>
        <w:rPr>
          <w:noProof/>
        </w:rPr>
        <w:noBreakHyphen/>
        <w:t>20</w:t>
      </w:r>
      <w:r>
        <w:rPr>
          <w:noProof/>
        </w:rPr>
        <w:tab/>
        <w:t>Keeping travel records</w:t>
      </w:r>
      <w:r w:rsidRPr="00380510">
        <w:rPr>
          <w:rFonts w:ascii="Times" w:hAnsi="Times" w:cs="Times"/>
          <w:noProof/>
        </w:rPr>
        <w:tab/>
      </w:r>
      <w:r w:rsidRPr="00380510">
        <w:rPr>
          <w:rFonts w:ascii="Times" w:hAnsi="Times" w:cs="Times"/>
          <w:noProof/>
        </w:rPr>
        <w:fldChar w:fldCharType="begin"/>
      </w:r>
      <w:r w:rsidRPr="00380510">
        <w:rPr>
          <w:rFonts w:ascii="Times" w:hAnsi="Times" w:cs="Times"/>
          <w:noProof/>
        </w:rPr>
        <w:instrText xml:space="preserve"> PAGEREF _Toc338939514 \h </w:instrText>
      </w:r>
      <w:r w:rsidRPr="00380510">
        <w:rPr>
          <w:rFonts w:ascii="Times" w:hAnsi="Times" w:cs="Times"/>
          <w:noProof/>
        </w:rPr>
      </w:r>
      <w:r w:rsidRPr="00380510">
        <w:rPr>
          <w:rFonts w:ascii="Times" w:hAnsi="Times" w:cs="Times"/>
          <w:noProof/>
        </w:rPr>
        <w:fldChar w:fldCharType="separate"/>
      </w:r>
      <w:r w:rsidR="00623A5C">
        <w:rPr>
          <w:rFonts w:ascii="Times" w:hAnsi="Times" w:cs="Times"/>
          <w:noProof/>
        </w:rPr>
        <w:t>360</w:t>
      </w:r>
      <w:r w:rsidRPr="00380510">
        <w:rPr>
          <w:rFonts w:ascii="Times" w:hAnsi="Times" w:cs="Times"/>
          <w:noProof/>
        </w:rPr>
        <w:fldChar w:fldCharType="end"/>
      </w:r>
    </w:p>
    <w:p w:rsidR="00380510" w:rsidRDefault="00380510">
      <w:pPr>
        <w:pStyle w:val="TOC5"/>
        <w:rPr>
          <w:rFonts w:ascii="Calibri" w:hAnsi="Calibri"/>
          <w:iCs w:val="0"/>
          <w:noProof/>
          <w:kern w:val="0"/>
          <w:sz w:val="22"/>
          <w:szCs w:val="22"/>
        </w:rPr>
      </w:pPr>
      <w:r>
        <w:rPr>
          <w:noProof/>
        </w:rPr>
        <w:t>900</w:t>
      </w:r>
      <w:r>
        <w:rPr>
          <w:noProof/>
        </w:rPr>
        <w:noBreakHyphen/>
        <w:t>25</w:t>
      </w:r>
      <w:r>
        <w:rPr>
          <w:noProof/>
        </w:rPr>
        <w:tab/>
        <w:t>Retaining the written evidence and travel records</w:t>
      </w:r>
      <w:r w:rsidRPr="00380510">
        <w:rPr>
          <w:rFonts w:ascii="Times" w:hAnsi="Times" w:cs="Times"/>
          <w:noProof/>
        </w:rPr>
        <w:tab/>
      </w:r>
      <w:r w:rsidRPr="00380510">
        <w:rPr>
          <w:rFonts w:ascii="Times" w:hAnsi="Times" w:cs="Times"/>
          <w:noProof/>
        </w:rPr>
        <w:fldChar w:fldCharType="begin"/>
      </w:r>
      <w:r w:rsidRPr="00380510">
        <w:rPr>
          <w:rFonts w:ascii="Times" w:hAnsi="Times" w:cs="Times"/>
          <w:noProof/>
        </w:rPr>
        <w:instrText xml:space="preserve"> PAGEREF _Toc338939515 \h </w:instrText>
      </w:r>
      <w:r w:rsidRPr="00380510">
        <w:rPr>
          <w:rFonts w:ascii="Times" w:hAnsi="Times" w:cs="Times"/>
          <w:noProof/>
        </w:rPr>
      </w:r>
      <w:r w:rsidRPr="00380510">
        <w:rPr>
          <w:rFonts w:ascii="Times" w:hAnsi="Times" w:cs="Times"/>
          <w:noProof/>
        </w:rPr>
        <w:fldChar w:fldCharType="separate"/>
      </w:r>
      <w:r w:rsidR="00623A5C">
        <w:rPr>
          <w:rFonts w:ascii="Times" w:hAnsi="Times" w:cs="Times"/>
          <w:noProof/>
        </w:rPr>
        <w:t>361</w:t>
      </w:r>
      <w:r w:rsidRPr="00380510">
        <w:rPr>
          <w:rFonts w:ascii="Times" w:hAnsi="Times" w:cs="Times"/>
          <w:noProof/>
        </w:rPr>
        <w:fldChar w:fldCharType="end"/>
      </w:r>
    </w:p>
    <w:p w:rsidR="00380510" w:rsidRDefault="00380510">
      <w:pPr>
        <w:pStyle w:val="TOC5"/>
        <w:rPr>
          <w:rFonts w:ascii="Calibri" w:hAnsi="Calibri"/>
          <w:iCs w:val="0"/>
          <w:noProof/>
          <w:kern w:val="0"/>
          <w:sz w:val="22"/>
          <w:szCs w:val="22"/>
        </w:rPr>
      </w:pPr>
      <w:r>
        <w:rPr>
          <w:noProof/>
        </w:rPr>
        <w:t>900</w:t>
      </w:r>
      <w:r>
        <w:rPr>
          <w:noProof/>
        </w:rPr>
        <w:noBreakHyphen/>
        <w:t>30</w:t>
      </w:r>
      <w:r>
        <w:rPr>
          <w:noProof/>
        </w:rPr>
        <w:tab/>
        <w:t xml:space="preserve">Meaning of </w:t>
      </w:r>
      <w:r w:rsidRPr="008A0EAA">
        <w:rPr>
          <w:i/>
          <w:noProof/>
        </w:rPr>
        <w:t>work expense</w:t>
      </w:r>
      <w:r w:rsidRPr="00380510">
        <w:rPr>
          <w:rFonts w:ascii="Times" w:hAnsi="Times" w:cs="Times"/>
          <w:noProof/>
        </w:rPr>
        <w:tab/>
      </w:r>
      <w:r w:rsidRPr="00380510">
        <w:rPr>
          <w:rFonts w:ascii="Times" w:hAnsi="Times" w:cs="Times"/>
          <w:noProof/>
        </w:rPr>
        <w:fldChar w:fldCharType="begin"/>
      </w:r>
      <w:r w:rsidRPr="00380510">
        <w:rPr>
          <w:rFonts w:ascii="Times" w:hAnsi="Times" w:cs="Times"/>
          <w:noProof/>
        </w:rPr>
        <w:instrText xml:space="preserve"> PAGEREF _Toc338939516 \h </w:instrText>
      </w:r>
      <w:r w:rsidRPr="00380510">
        <w:rPr>
          <w:rFonts w:ascii="Times" w:hAnsi="Times" w:cs="Times"/>
          <w:noProof/>
        </w:rPr>
      </w:r>
      <w:r w:rsidRPr="00380510">
        <w:rPr>
          <w:rFonts w:ascii="Times" w:hAnsi="Times" w:cs="Times"/>
          <w:noProof/>
        </w:rPr>
        <w:fldChar w:fldCharType="separate"/>
      </w:r>
      <w:r w:rsidR="00623A5C">
        <w:rPr>
          <w:rFonts w:ascii="Times" w:hAnsi="Times" w:cs="Times"/>
          <w:noProof/>
        </w:rPr>
        <w:t>361</w:t>
      </w:r>
      <w:r w:rsidRPr="00380510">
        <w:rPr>
          <w:rFonts w:ascii="Times" w:hAnsi="Times" w:cs="Times"/>
          <w:noProof/>
        </w:rPr>
        <w:fldChar w:fldCharType="end"/>
      </w:r>
    </w:p>
    <w:p w:rsidR="00380510" w:rsidRDefault="00380510">
      <w:pPr>
        <w:pStyle w:val="TOC5"/>
        <w:rPr>
          <w:rFonts w:ascii="Calibri" w:hAnsi="Calibri"/>
          <w:iCs w:val="0"/>
          <w:noProof/>
          <w:kern w:val="0"/>
          <w:sz w:val="22"/>
          <w:szCs w:val="22"/>
        </w:rPr>
      </w:pPr>
      <w:r>
        <w:rPr>
          <w:noProof/>
        </w:rPr>
        <w:t>900</w:t>
      </w:r>
      <w:r>
        <w:rPr>
          <w:noProof/>
        </w:rPr>
        <w:noBreakHyphen/>
        <w:t>35</w:t>
      </w:r>
      <w:r>
        <w:rPr>
          <w:noProof/>
        </w:rPr>
        <w:tab/>
        <w:t>Exception for small total of expenses</w:t>
      </w:r>
      <w:r w:rsidRPr="00380510">
        <w:rPr>
          <w:rFonts w:ascii="Times" w:hAnsi="Times" w:cs="Times"/>
          <w:noProof/>
        </w:rPr>
        <w:tab/>
      </w:r>
      <w:r w:rsidRPr="00380510">
        <w:rPr>
          <w:rFonts w:ascii="Times" w:hAnsi="Times" w:cs="Times"/>
          <w:noProof/>
        </w:rPr>
        <w:fldChar w:fldCharType="begin"/>
      </w:r>
      <w:r w:rsidRPr="00380510">
        <w:rPr>
          <w:rFonts w:ascii="Times" w:hAnsi="Times" w:cs="Times"/>
          <w:noProof/>
        </w:rPr>
        <w:instrText xml:space="preserve"> PAGEREF _Toc338939517 \h </w:instrText>
      </w:r>
      <w:r w:rsidRPr="00380510">
        <w:rPr>
          <w:rFonts w:ascii="Times" w:hAnsi="Times" w:cs="Times"/>
          <w:noProof/>
        </w:rPr>
      </w:r>
      <w:r w:rsidRPr="00380510">
        <w:rPr>
          <w:rFonts w:ascii="Times" w:hAnsi="Times" w:cs="Times"/>
          <w:noProof/>
        </w:rPr>
        <w:fldChar w:fldCharType="separate"/>
      </w:r>
      <w:r w:rsidR="00623A5C">
        <w:rPr>
          <w:rFonts w:ascii="Times" w:hAnsi="Times" w:cs="Times"/>
          <w:noProof/>
        </w:rPr>
        <w:t>363</w:t>
      </w:r>
      <w:r w:rsidRPr="00380510">
        <w:rPr>
          <w:rFonts w:ascii="Times" w:hAnsi="Times" w:cs="Times"/>
          <w:noProof/>
        </w:rPr>
        <w:fldChar w:fldCharType="end"/>
      </w:r>
    </w:p>
    <w:p w:rsidR="00380510" w:rsidRDefault="00380510">
      <w:pPr>
        <w:pStyle w:val="TOC5"/>
        <w:rPr>
          <w:rFonts w:ascii="Calibri" w:hAnsi="Calibri"/>
          <w:iCs w:val="0"/>
          <w:noProof/>
          <w:kern w:val="0"/>
          <w:sz w:val="22"/>
          <w:szCs w:val="22"/>
        </w:rPr>
      </w:pPr>
      <w:r>
        <w:rPr>
          <w:noProof/>
        </w:rPr>
        <w:t>900</w:t>
      </w:r>
      <w:r>
        <w:rPr>
          <w:noProof/>
        </w:rPr>
        <w:noBreakHyphen/>
        <w:t>40</w:t>
      </w:r>
      <w:r>
        <w:rPr>
          <w:noProof/>
        </w:rPr>
        <w:tab/>
        <w:t>Exception for laundry expenses below a certain limit</w:t>
      </w:r>
      <w:r w:rsidRPr="00380510">
        <w:rPr>
          <w:rFonts w:ascii="Times" w:hAnsi="Times" w:cs="Times"/>
          <w:noProof/>
        </w:rPr>
        <w:tab/>
      </w:r>
      <w:r w:rsidRPr="00380510">
        <w:rPr>
          <w:rFonts w:ascii="Times" w:hAnsi="Times" w:cs="Times"/>
          <w:noProof/>
        </w:rPr>
        <w:fldChar w:fldCharType="begin"/>
      </w:r>
      <w:r w:rsidRPr="00380510">
        <w:rPr>
          <w:rFonts w:ascii="Times" w:hAnsi="Times" w:cs="Times"/>
          <w:noProof/>
        </w:rPr>
        <w:instrText xml:space="preserve"> PAGEREF _Toc338939518 \h </w:instrText>
      </w:r>
      <w:r w:rsidRPr="00380510">
        <w:rPr>
          <w:rFonts w:ascii="Times" w:hAnsi="Times" w:cs="Times"/>
          <w:noProof/>
        </w:rPr>
      </w:r>
      <w:r w:rsidRPr="00380510">
        <w:rPr>
          <w:rFonts w:ascii="Times" w:hAnsi="Times" w:cs="Times"/>
          <w:noProof/>
        </w:rPr>
        <w:fldChar w:fldCharType="separate"/>
      </w:r>
      <w:r w:rsidR="00623A5C">
        <w:rPr>
          <w:rFonts w:ascii="Times" w:hAnsi="Times" w:cs="Times"/>
          <w:noProof/>
        </w:rPr>
        <w:t>364</w:t>
      </w:r>
      <w:r w:rsidRPr="00380510">
        <w:rPr>
          <w:rFonts w:ascii="Times" w:hAnsi="Times" w:cs="Times"/>
          <w:noProof/>
        </w:rPr>
        <w:fldChar w:fldCharType="end"/>
      </w:r>
    </w:p>
    <w:p w:rsidR="00380510" w:rsidRDefault="00380510">
      <w:pPr>
        <w:pStyle w:val="TOC5"/>
        <w:rPr>
          <w:rFonts w:ascii="Calibri" w:hAnsi="Calibri"/>
          <w:iCs w:val="0"/>
          <w:noProof/>
          <w:kern w:val="0"/>
          <w:sz w:val="22"/>
          <w:szCs w:val="22"/>
        </w:rPr>
      </w:pPr>
      <w:r>
        <w:rPr>
          <w:noProof/>
        </w:rPr>
        <w:t>900</w:t>
      </w:r>
      <w:r>
        <w:rPr>
          <w:noProof/>
        </w:rPr>
        <w:noBreakHyphen/>
        <w:t>45</w:t>
      </w:r>
      <w:r>
        <w:rPr>
          <w:noProof/>
        </w:rPr>
        <w:tab/>
        <w:t>Exception for work expense related to award transport payment</w:t>
      </w:r>
      <w:r w:rsidRPr="00380510">
        <w:rPr>
          <w:rFonts w:ascii="Times" w:hAnsi="Times" w:cs="Times"/>
          <w:noProof/>
        </w:rPr>
        <w:tab/>
      </w:r>
      <w:r w:rsidRPr="00380510">
        <w:rPr>
          <w:rFonts w:ascii="Times" w:hAnsi="Times" w:cs="Times"/>
          <w:noProof/>
        </w:rPr>
        <w:fldChar w:fldCharType="begin"/>
      </w:r>
      <w:r w:rsidRPr="00380510">
        <w:rPr>
          <w:rFonts w:ascii="Times" w:hAnsi="Times" w:cs="Times"/>
          <w:noProof/>
        </w:rPr>
        <w:instrText xml:space="preserve"> PAGEREF _Toc338939519 \h </w:instrText>
      </w:r>
      <w:r w:rsidRPr="00380510">
        <w:rPr>
          <w:rFonts w:ascii="Times" w:hAnsi="Times" w:cs="Times"/>
          <w:noProof/>
        </w:rPr>
      </w:r>
      <w:r w:rsidRPr="00380510">
        <w:rPr>
          <w:rFonts w:ascii="Times" w:hAnsi="Times" w:cs="Times"/>
          <w:noProof/>
        </w:rPr>
        <w:fldChar w:fldCharType="separate"/>
      </w:r>
      <w:r w:rsidR="00623A5C">
        <w:rPr>
          <w:rFonts w:ascii="Times" w:hAnsi="Times" w:cs="Times"/>
          <w:noProof/>
        </w:rPr>
        <w:t>364</w:t>
      </w:r>
      <w:r w:rsidRPr="00380510">
        <w:rPr>
          <w:rFonts w:ascii="Times" w:hAnsi="Times" w:cs="Times"/>
          <w:noProof/>
        </w:rPr>
        <w:fldChar w:fldCharType="end"/>
      </w:r>
    </w:p>
    <w:p w:rsidR="00380510" w:rsidRDefault="00380510">
      <w:pPr>
        <w:pStyle w:val="TOC5"/>
        <w:rPr>
          <w:rFonts w:ascii="Calibri" w:hAnsi="Calibri"/>
          <w:iCs w:val="0"/>
          <w:noProof/>
          <w:kern w:val="0"/>
          <w:sz w:val="22"/>
          <w:szCs w:val="22"/>
        </w:rPr>
      </w:pPr>
      <w:r>
        <w:rPr>
          <w:noProof/>
        </w:rPr>
        <w:t>900</w:t>
      </w:r>
      <w:r>
        <w:rPr>
          <w:noProof/>
        </w:rPr>
        <w:noBreakHyphen/>
        <w:t>50</w:t>
      </w:r>
      <w:r>
        <w:rPr>
          <w:noProof/>
        </w:rPr>
        <w:tab/>
        <w:t>Exception for domestic travel allowance expenses</w:t>
      </w:r>
      <w:r w:rsidRPr="00380510">
        <w:rPr>
          <w:rFonts w:ascii="Times" w:hAnsi="Times" w:cs="Times"/>
          <w:noProof/>
        </w:rPr>
        <w:tab/>
      </w:r>
      <w:r w:rsidRPr="00380510">
        <w:rPr>
          <w:rFonts w:ascii="Times" w:hAnsi="Times" w:cs="Times"/>
          <w:noProof/>
        </w:rPr>
        <w:fldChar w:fldCharType="begin"/>
      </w:r>
      <w:r w:rsidRPr="00380510">
        <w:rPr>
          <w:rFonts w:ascii="Times" w:hAnsi="Times" w:cs="Times"/>
          <w:noProof/>
        </w:rPr>
        <w:instrText xml:space="preserve"> PAGEREF _Toc338939520 \h </w:instrText>
      </w:r>
      <w:r w:rsidRPr="00380510">
        <w:rPr>
          <w:rFonts w:ascii="Times" w:hAnsi="Times" w:cs="Times"/>
          <w:noProof/>
        </w:rPr>
      </w:r>
      <w:r w:rsidRPr="00380510">
        <w:rPr>
          <w:rFonts w:ascii="Times" w:hAnsi="Times" w:cs="Times"/>
          <w:noProof/>
        </w:rPr>
        <w:fldChar w:fldCharType="separate"/>
      </w:r>
      <w:r w:rsidR="00623A5C">
        <w:rPr>
          <w:rFonts w:ascii="Times" w:hAnsi="Times" w:cs="Times"/>
          <w:noProof/>
        </w:rPr>
        <w:t>364</w:t>
      </w:r>
      <w:r w:rsidRPr="00380510">
        <w:rPr>
          <w:rFonts w:ascii="Times" w:hAnsi="Times" w:cs="Times"/>
          <w:noProof/>
        </w:rPr>
        <w:fldChar w:fldCharType="end"/>
      </w:r>
    </w:p>
    <w:p w:rsidR="00380510" w:rsidRDefault="00380510">
      <w:pPr>
        <w:pStyle w:val="TOC5"/>
        <w:rPr>
          <w:rFonts w:ascii="Calibri" w:hAnsi="Calibri"/>
          <w:iCs w:val="0"/>
          <w:noProof/>
          <w:kern w:val="0"/>
          <w:sz w:val="22"/>
          <w:szCs w:val="22"/>
        </w:rPr>
      </w:pPr>
      <w:r>
        <w:rPr>
          <w:noProof/>
        </w:rPr>
        <w:t>900</w:t>
      </w:r>
      <w:r>
        <w:rPr>
          <w:noProof/>
        </w:rPr>
        <w:noBreakHyphen/>
        <w:t>55</w:t>
      </w:r>
      <w:r>
        <w:rPr>
          <w:noProof/>
        </w:rPr>
        <w:tab/>
        <w:t>Exception for overseas travel allowance expenses</w:t>
      </w:r>
      <w:r w:rsidRPr="00380510">
        <w:rPr>
          <w:rFonts w:ascii="Times" w:hAnsi="Times" w:cs="Times"/>
          <w:noProof/>
        </w:rPr>
        <w:tab/>
      </w:r>
      <w:r w:rsidRPr="00380510">
        <w:rPr>
          <w:rFonts w:ascii="Times" w:hAnsi="Times" w:cs="Times"/>
          <w:noProof/>
        </w:rPr>
        <w:fldChar w:fldCharType="begin"/>
      </w:r>
      <w:r w:rsidRPr="00380510">
        <w:rPr>
          <w:rFonts w:ascii="Times" w:hAnsi="Times" w:cs="Times"/>
          <w:noProof/>
        </w:rPr>
        <w:instrText xml:space="preserve"> PAGEREF _Toc338939521 \h </w:instrText>
      </w:r>
      <w:r w:rsidRPr="00380510">
        <w:rPr>
          <w:rFonts w:ascii="Times" w:hAnsi="Times" w:cs="Times"/>
          <w:noProof/>
        </w:rPr>
      </w:r>
      <w:r w:rsidRPr="00380510">
        <w:rPr>
          <w:rFonts w:ascii="Times" w:hAnsi="Times" w:cs="Times"/>
          <w:noProof/>
        </w:rPr>
        <w:fldChar w:fldCharType="separate"/>
      </w:r>
      <w:r w:rsidR="00623A5C">
        <w:rPr>
          <w:rFonts w:ascii="Times" w:hAnsi="Times" w:cs="Times"/>
          <w:noProof/>
        </w:rPr>
        <w:t>365</w:t>
      </w:r>
      <w:r w:rsidRPr="00380510">
        <w:rPr>
          <w:rFonts w:ascii="Times" w:hAnsi="Times" w:cs="Times"/>
          <w:noProof/>
        </w:rPr>
        <w:fldChar w:fldCharType="end"/>
      </w:r>
    </w:p>
    <w:p w:rsidR="00380510" w:rsidRDefault="00380510">
      <w:pPr>
        <w:pStyle w:val="TOC5"/>
        <w:rPr>
          <w:rFonts w:ascii="Calibri" w:hAnsi="Calibri"/>
          <w:iCs w:val="0"/>
          <w:noProof/>
          <w:kern w:val="0"/>
          <w:sz w:val="22"/>
          <w:szCs w:val="22"/>
        </w:rPr>
      </w:pPr>
      <w:r>
        <w:rPr>
          <w:noProof/>
        </w:rPr>
        <w:t>900</w:t>
      </w:r>
      <w:r>
        <w:rPr>
          <w:noProof/>
        </w:rPr>
        <w:noBreakHyphen/>
        <w:t>60</w:t>
      </w:r>
      <w:r>
        <w:rPr>
          <w:noProof/>
        </w:rPr>
        <w:tab/>
        <w:t>Exception for reasonable overtime meal allowance</w:t>
      </w:r>
      <w:r w:rsidRPr="00380510">
        <w:rPr>
          <w:rFonts w:ascii="Times" w:hAnsi="Times" w:cs="Times"/>
          <w:noProof/>
        </w:rPr>
        <w:tab/>
      </w:r>
      <w:r w:rsidRPr="00380510">
        <w:rPr>
          <w:rFonts w:ascii="Times" w:hAnsi="Times" w:cs="Times"/>
          <w:noProof/>
        </w:rPr>
        <w:fldChar w:fldCharType="begin"/>
      </w:r>
      <w:r w:rsidRPr="00380510">
        <w:rPr>
          <w:rFonts w:ascii="Times" w:hAnsi="Times" w:cs="Times"/>
          <w:noProof/>
        </w:rPr>
        <w:instrText xml:space="preserve"> PAGEREF _Toc338939522 \h </w:instrText>
      </w:r>
      <w:r w:rsidRPr="00380510">
        <w:rPr>
          <w:rFonts w:ascii="Times" w:hAnsi="Times" w:cs="Times"/>
          <w:noProof/>
        </w:rPr>
      </w:r>
      <w:r w:rsidRPr="00380510">
        <w:rPr>
          <w:rFonts w:ascii="Times" w:hAnsi="Times" w:cs="Times"/>
          <w:noProof/>
        </w:rPr>
        <w:fldChar w:fldCharType="separate"/>
      </w:r>
      <w:r w:rsidR="00623A5C">
        <w:rPr>
          <w:rFonts w:ascii="Times" w:hAnsi="Times" w:cs="Times"/>
          <w:noProof/>
        </w:rPr>
        <w:t>365</w:t>
      </w:r>
      <w:r w:rsidRPr="00380510">
        <w:rPr>
          <w:rFonts w:ascii="Times" w:hAnsi="Times" w:cs="Times"/>
          <w:noProof/>
        </w:rPr>
        <w:fldChar w:fldCharType="end"/>
      </w:r>
    </w:p>
    <w:p w:rsidR="00380510" w:rsidRDefault="00380510">
      <w:pPr>
        <w:pStyle w:val="TOC5"/>
        <w:rPr>
          <w:rFonts w:ascii="Calibri" w:hAnsi="Calibri"/>
          <w:iCs w:val="0"/>
          <w:noProof/>
          <w:kern w:val="0"/>
          <w:sz w:val="22"/>
          <w:szCs w:val="22"/>
        </w:rPr>
      </w:pPr>
      <w:r>
        <w:rPr>
          <w:noProof/>
        </w:rPr>
        <w:t>900</w:t>
      </w:r>
      <w:r>
        <w:rPr>
          <w:noProof/>
        </w:rPr>
        <w:noBreakHyphen/>
        <w:t>65</w:t>
      </w:r>
      <w:r>
        <w:rPr>
          <w:noProof/>
        </w:rPr>
        <w:tab/>
        <w:t>Crew members on international flights need not keep travel records</w:t>
      </w:r>
      <w:r w:rsidRPr="00380510">
        <w:rPr>
          <w:rFonts w:ascii="Times" w:hAnsi="Times" w:cs="Times"/>
          <w:noProof/>
        </w:rPr>
        <w:tab/>
      </w:r>
      <w:r w:rsidRPr="00380510">
        <w:rPr>
          <w:rFonts w:ascii="Times" w:hAnsi="Times" w:cs="Times"/>
          <w:noProof/>
        </w:rPr>
        <w:fldChar w:fldCharType="begin"/>
      </w:r>
      <w:r w:rsidRPr="00380510">
        <w:rPr>
          <w:rFonts w:ascii="Times" w:hAnsi="Times" w:cs="Times"/>
          <w:noProof/>
        </w:rPr>
        <w:instrText xml:space="preserve"> PAGEREF _Toc338939523 \h </w:instrText>
      </w:r>
      <w:r w:rsidRPr="00380510">
        <w:rPr>
          <w:rFonts w:ascii="Times" w:hAnsi="Times" w:cs="Times"/>
          <w:noProof/>
        </w:rPr>
      </w:r>
      <w:r w:rsidRPr="00380510">
        <w:rPr>
          <w:rFonts w:ascii="Times" w:hAnsi="Times" w:cs="Times"/>
          <w:noProof/>
        </w:rPr>
        <w:fldChar w:fldCharType="separate"/>
      </w:r>
      <w:r w:rsidR="00623A5C">
        <w:rPr>
          <w:rFonts w:ascii="Times" w:hAnsi="Times" w:cs="Times"/>
          <w:noProof/>
        </w:rPr>
        <w:t>366</w:t>
      </w:r>
      <w:r w:rsidRPr="00380510">
        <w:rPr>
          <w:rFonts w:ascii="Times" w:hAnsi="Times" w:cs="Times"/>
          <w:noProof/>
        </w:rPr>
        <w:fldChar w:fldCharType="end"/>
      </w:r>
    </w:p>
    <w:p w:rsidR="00380510" w:rsidRDefault="00380510">
      <w:pPr>
        <w:pStyle w:val="TOC4"/>
        <w:rPr>
          <w:rFonts w:ascii="Calibri" w:hAnsi="Calibri"/>
          <w:b w:val="0"/>
          <w:noProof/>
          <w:kern w:val="0"/>
          <w:sz w:val="22"/>
          <w:szCs w:val="22"/>
        </w:rPr>
      </w:pPr>
      <w:r>
        <w:rPr>
          <w:noProof/>
        </w:rPr>
        <w:t>Subdivision 900</w:t>
      </w:r>
      <w:r>
        <w:rPr>
          <w:noProof/>
        </w:rPr>
        <w:noBreakHyphen/>
        <w:t>C—Substantiating car expenses</w:t>
      </w:r>
      <w:r w:rsidRPr="00380510">
        <w:rPr>
          <w:rFonts w:ascii="Times" w:hAnsi="Times" w:cs="Times"/>
          <w:b w:val="0"/>
          <w:noProof/>
          <w:sz w:val="18"/>
        </w:rPr>
        <w:tab/>
      </w:r>
      <w:r w:rsidRPr="00380510">
        <w:rPr>
          <w:rFonts w:ascii="Times" w:hAnsi="Times" w:cs="Times"/>
          <w:b w:val="0"/>
          <w:noProof/>
          <w:sz w:val="18"/>
        </w:rPr>
        <w:fldChar w:fldCharType="begin"/>
      </w:r>
      <w:r w:rsidRPr="00380510">
        <w:rPr>
          <w:rFonts w:ascii="Times" w:hAnsi="Times" w:cs="Times"/>
          <w:b w:val="0"/>
          <w:noProof/>
          <w:sz w:val="18"/>
        </w:rPr>
        <w:instrText xml:space="preserve"> PAGEREF _Toc338939524 \h </w:instrText>
      </w:r>
      <w:r w:rsidRPr="00380510">
        <w:rPr>
          <w:rFonts w:ascii="Times" w:hAnsi="Times" w:cs="Times"/>
          <w:b w:val="0"/>
          <w:noProof/>
          <w:sz w:val="18"/>
        </w:rPr>
      </w:r>
      <w:r w:rsidRPr="00380510">
        <w:rPr>
          <w:rFonts w:ascii="Times" w:hAnsi="Times" w:cs="Times"/>
          <w:b w:val="0"/>
          <w:noProof/>
          <w:sz w:val="18"/>
        </w:rPr>
        <w:fldChar w:fldCharType="separate"/>
      </w:r>
      <w:r w:rsidR="00623A5C">
        <w:rPr>
          <w:rFonts w:ascii="Times" w:hAnsi="Times" w:cs="Times"/>
          <w:b w:val="0"/>
          <w:noProof/>
          <w:sz w:val="18"/>
        </w:rPr>
        <w:t>366</w:t>
      </w:r>
      <w:r w:rsidRPr="00380510">
        <w:rPr>
          <w:rFonts w:ascii="Times" w:hAnsi="Times" w:cs="Times"/>
          <w:b w:val="0"/>
          <w:noProof/>
          <w:sz w:val="18"/>
        </w:rPr>
        <w:fldChar w:fldCharType="end"/>
      </w:r>
    </w:p>
    <w:p w:rsidR="00380510" w:rsidRDefault="00380510">
      <w:pPr>
        <w:pStyle w:val="TOC5"/>
        <w:rPr>
          <w:rFonts w:ascii="Calibri" w:hAnsi="Calibri"/>
          <w:iCs w:val="0"/>
          <w:noProof/>
          <w:kern w:val="0"/>
          <w:sz w:val="22"/>
          <w:szCs w:val="22"/>
        </w:rPr>
      </w:pPr>
      <w:r>
        <w:rPr>
          <w:noProof/>
        </w:rPr>
        <w:t>900</w:t>
      </w:r>
      <w:r>
        <w:rPr>
          <w:noProof/>
        </w:rPr>
        <w:noBreakHyphen/>
        <w:t>70</w:t>
      </w:r>
      <w:r>
        <w:rPr>
          <w:noProof/>
        </w:rPr>
        <w:tab/>
        <w:t>Getting written evidence</w:t>
      </w:r>
      <w:r w:rsidRPr="00380510">
        <w:rPr>
          <w:rFonts w:ascii="Times" w:hAnsi="Times" w:cs="Times"/>
          <w:noProof/>
        </w:rPr>
        <w:tab/>
      </w:r>
      <w:r w:rsidRPr="00380510">
        <w:rPr>
          <w:rFonts w:ascii="Times" w:hAnsi="Times" w:cs="Times"/>
          <w:noProof/>
        </w:rPr>
        <w:fldChar w:fldCharType="begin"/>
      </w:r>
      <w:r w:rsidRPr="00380510">
        <w:rPr>
          <w:rFonts w:ascii="Times" w:hAnsi="Times" w:cs="Times"/>
          <w:noProof/>
        </w:rPr>
        <w:instrText xml:space="preserve"> PAGEREF _Toc338939525 \h </w:instrText>
      </w:r>
      <w:r w:rsidRPr="00380510">
        <w:rPr>
          <w:rFonts w:ascii="Times" w:hAnsi="Times" w:cs="Times"/>
          <w:noProof/>
        </w:rPr>
      </w:r>
      <w:r w:rsidRPr="00380510">
        <w:rPr>
          <w:rFonts w:ascii="Times" w:hAnsi="Times" w:cs="Times"/>
          <w:noProof/>
        </w:rPr>
        <w:fldChar w:fldCharType="separate"/>
      </w:r>
      <w:r w:rsidR="00623A5C">
        <w:rPr>
          <w:rFonts w:ascii="Times" w:hAnsi="Times" w:cs="Times"/>
          <w:noProof/>
        </w:rPr>
        <w:t>366</w:t>
      </w:r>
      <w:r w:rsidRPr="00380510">
        <w:rPr>
          <w:rFonts w:ascii="Times" w:hAnsi="Times" w:cs="Times"/>
          <w:noProof/>
        </w:rPr>
        <w:fldChar w:fldCharType="end"/>
      </w:r>
    </w:p>
    <w:p w:rsidR="00380510" w:rsidRDefault="00380510">
      <w:pPr>
        <w:pStyle w:val="TOC5"/>
        <w:rPr>
          <w:rFonts w:ascii="Calibri" w:hAnsi="Calibri"/>
          <w:iCs w:val="0"/>
          <w:noProof/>
          <w:kern w:val="0"/>
          <w:sz w:val="22"/>
          <w:szCs w:val="22"/>
        </w:rPr>
      </w:pPr>
      <w:r>
        <w:rPr>
          <w:noProof/>
        </w:rPr>
        <w:t>900</w:t>
      </w:r>
      <w:r>
        <w:rPr>
          <w:noProof/>
        </w:rPr>
        <w:noBreakHyphen/>
        <w:t>75</w:t>
      </w:r>
      <w:r>
        <w:rPr>
          <w:noProof/>
        </w:rPr>
        <w:tab/>
        <w:t>Retaining the written evidence and odometer records</w:t>
      </w:r>
      <w:r w:rsidRPr="00380510">
        <w:rPr>
          <w:rFonts w:ascii="Times" w:hAnsi="Times" w:cs="Times"/>
          <w:noProof/>
        </w:rPr>
        <w:tab/>
      </w:r>
      <w:r w:rsidRPr="00380510">
        <w:rPr>
          <w:rFonts w:ascii="Times" w:hAnsi="Times" w:cs="Times"/>
          <w:noProof/>
        </w:rPr>
        <w:fldChar w:fldCharType="begin"/>
      </w:r>
      <w:r w:rsidRPr="00380510">
        <w:rPr>
          <w:rFonts w:ascii="Times" w:hAnsi="Times" w:cs="Times"/>
          <w:noProof/>
        </w:rPr>
        <w:instrText xml:space="preserve"> PAGEREF _Toc338939526 \h </w:instrText>
      </w:r>
      <w:r w:rsidRPr="00380510">
        <w:rPr>
          <w:rFonts w:ascii="Times" w:hAnsi="Times" w:cs="Times"/>
          <w:noProof/>
        </w:rPr>
      </w:r>
      <w:r w:rsidRPr="00380510">
        <w:rPr>
          <w:rFonts w:ascii="Times" w:hAnsi="Times" w:cs="Times"/>
          <w:noProof/>
        </w:rPr>
        <w:fldChar w:fldCharType="separate"/>
      </w:r>
      <w:r w:rsidR="00623A5C">
        <w:rPr>
          <w:rFonts w:ascii="Times" w:hAnsi="Times" w:cs="Times"/>
          <w:noProof/>
        </w:rPr>
        <w:t>367</w:t>
      </w:r>
      <w:r w:rsidRPr="00380510">
        <w:rPr>
          <w:rFonts w:ascii="Times" w:hAnsi="Times" w:cs="Times"/>
          <w:noProof/>
        </w:rPr>
        <w:fldChar w:fldCharType="end"/>
      </w:r>
    </w:p>
    <w:p w:rsidR="00380510" w:rsidRDefault="00380510">
      <w:pPr>
        <w:pStyle w:val="TOC4"/>
        <w:rPr>
          <w:rFonts w:ascii="Calibri" w:hAnsi="Calibri"/>
          <w:b w:val="0"/>
          <w:noProof/>
          <w:kern w:val="0"/>
          <w:sz w:val="22"/>
          <w:szCs w:val="22"/>
        </w:rPr>
      </w:pPr>
      <w:r>
        <w:rPr>
          <w:noProof/>
        </w:rPr>
        <w:t>Subdivision 900</w:t>
      </w:r>
      <w:r>
        <w:rPr>
          <w:noProof/>
        </w:rPr>
        <w:noBreakHyphen/>
        <w:t>D—Substantiating business travel expenses</w:t>
      </w:r>
      <w:r w:rsidRPr="00380510">
        <w:rPr>
          <w:rFonts w:ascii="Times" w:hAnsi="Times" w:cs="Times"/>
          <w:b w:val="0"/>
          <w:noProof/>
          <w:sz w:val="18"/>
        </w:rPr>
        <w:tab/>
      </w:r>
      <w:r w:rsidRPr="00380510">
        <w:rPr>
          <w:rFonts w:ascii="Times" w:hAnsi="Times" w:cs="Times"/>
          <w:b w:val="0"/>
          <w:noProof/>
          <w:sz w:val="18"/>
        </w:rPr>
        <w:fldChar w:fldCharType="begin"/>
      </w:r>
      <w:r w:rsidRPr="00380510">
        <w:rPr>
          <w:rFonts w:ascii="Times" w:hAnsi="Times" w:cs="Times"/>
          <w:b w:val="0"/>
          <w:noProof/>
          <w:sz w:val="18"/>
        </w:rPr>
        <w:instrText xml:space="preserve"> PAGEREF _Toc338939527 \h </w:instrText>
      </w:r>
      <w:r w:rsidRPr="00380510">
        <w:rPr>
          <w:rFonts w:ascii="Times" w:hAnsi="Times" w:cs="Times"/>
          <w:b w:val="0"/>
          <w:noProof/>
          <w:sz w:val="18"/>
        </w:rPr>
      </w:r>
      <w:r w:rsidRPr="00380510">
        <w:rPr>
          <w:rFonts w:ascii="Times" w:hAnsi="Times" w:cs="Times"/>
          <w:b w:val="0"/>
          <w:noProof/>
          <w:sz w:val="18"/>
        </w:rPr>
        <w:fldChar w:fldCharType="separate"/>
      </w:r>
      <w:r w:rsidR="00623A5C">
        <w:rPr>
          <w:rFonts w:ascii="Times" w:hAnsi="Times" w:cs="Times"/>
          <w:b w:val="0"/>
          <w:noProof/>
          <w:sz w:val="18"/>
        </w:rPr>
        <w:t>367</w:t>
      </w:r>
      <w:r w:rsidRPr="00380510">
        <w:rPr>
          <w:rFonts w:ascii="Times" w:hAnsi="Times" w:cs="Times"/>
          <w:b w:val="0"/>
          <w:noProof/>
          <w:sz w:val="18"/>
        </w:rPr>
        <w:fldChar w:fldCharType="end"/>
      </w:r>
    </w:p>
    <w:p w:rsidR="00380510" w:rsidRDefault="00380510">
      <w:pPr>
        <w:pStyle w:val="TOC5"/>
        <w:rPr>
          <w:rFonts w:ascii="Calibri" w:hAnsi="Calibri"/>
          <w:iCs w:val="0"/>
          <w:noProof/>
          <w:kern w:val="0"/>
          <w:sz w:val="22"/>
          <w:szCs w:val="22"/>
        </w:rPr>
      </w:pPr>
      <w:r>
        <w:rPr>
          <w:noProof/>
        </w:rPr>
        <w:t>900</w:t>
      </w:r>
      <w:r>
        <w:rPr>
          <w:noProof/>
        </w:rPr>
        <w:noBreakHyphen/>
        <w:t>80</w:t>
      </w:r>
      <w:r>
        <w:rPr>
          <w:noProof/>
        </w:rPr>
        <w:tab/>
        <w:t>Getting written evidence</w:t>
      </w:r>
      <w:r w:rsidRPr="00380510">
        <w:rPr>
          <w:rFonts w:ascii="Times" w:hAnsi="Times" w:cs="Times"/>
          <w:noProof/>
        </w:rPr>
        <w:tab/>
      </w:r>
      <w:r w:rsidRPr="00380510">
        <w:rPr>
          <w:rFonts w:ascii="Times" w:hAnsi="Times" w:cs="Times"/>
          <w:noProof/>
        </w:rPr>
        <w:fldChar w:fldCharType="begin"/>
      </w:r>
      <w:r w:rsidRPr="00380510">
        <w:rPr>
          <w:rFonts w:ascii="Times" w:hAnsi="Times" w:cs="Times"/>
          <w:noProof/>
        </w:rPr>
        <w:instrText xml:space="preserve"> PAGEREF _Toc338939528 \h </w:instrText>
      </w:r>
      <w:r w:rsidRPr="00380510">
        <w:rPr>
          <w:rFonts w:ascii="Times" w:hAnsi="Times" w:cs="Times"/>
          <w:noProof/>
        </w:rPr>
      </w:r>
      <w:r w:rsidRPr="00380510">
        <w:rPr>
          <w:rFonts w:ascii="Times" w:hAnsi="Times" w:cs="Times"/>
          <w:noProof/>
        </w:rPr>
        <w:fldChar w:fldCharType="separate"/>
      </w:r>
      <w:r w:rsidR="00623A5C">
        <w:rPr>
          <w:rFonts w:ascii="Times" w:hAnsi="Times" w:cs="Times"/>
          <w:noProof/>
        </w:rPr>
        <w:t>368</w:t>
      </w:r>
      <w:r w:rsidRPr="00380510">
        <w:rPr>
          <w:rFonts w:ascii="Times" w:hAnsi="Times" w:cs="Times"/>
          <w:noProof/>
        </w:rPr>
        <w:fldChar w:fldCharType="end"/>
      </w:r>
    </w:p>
    <w:p w:rsidR="00380510" w:rsidRDefault="00380510">
      <w:pPr>
        <w:pStyle w:val="TOC5"/>
        <w:rPr>
          <w:rFonts w:ascii="Calibri" w:hAnsi="Calibri"/>
          <w:iCs w:val="0"/>
          <w:noProof/>
          <w:kern w:val="0"/>
          <w:sz w:val="22"/>
          <w:szCs w:val="22"/>
        </w:rPr>
      </w:pPr>
      <w:r>
        <w:rPr>
          <w:noProof/>
        </w:rPr>
        <w:t>900</w:t>
      </w:r>
      <w:r>
        <w:rPr>
          <w:noProof/>
        </w:rPr>
        <w:noBreakHyphen/>
        <w:t>85</w:t>
      </w:r>
      <w:r>
        <w:rPr>
          <w:noProof/>
        </w:rPr>
        <w:tab/>
        <w:t>Keeping travel records</w:t>
      </w:r>
      <w:r w:rsidRPr="00380510">
        <w:rPr>
          <w:rFonts w:ascii="Times" w:hAnsi="Times" w:cs="Times"/>
          <w:noProof/>
        </w:rPr>
        <w:tab/>
      </w:r>
      <w:r w:rsidRPr="00380510">
        <w:rPr>
          <w:rFonts w:ascii="Times" w:hAnsi="Times" w:cs="Times"/>
          <w:noProof/>
        </w:rPr>
        <w:fldChar w:fldCharType="begin"/>
      </w:r>
      <w:r w:rsidRPr="00380510">
        <w:rPr>
          <w:rFonts w:ascii="Times" w:hAnsi="Times" w:cs="Times"/>
          <w:noProof/>
        </w:rPr>
        <w:instrText xml:space="preserve"> PAGEREF _Toc338939529 \h </w:instrText>
      </w:r>
      <w:r w:rsidRPr="00380510">
        <w:rPr>
          <w:rFonts w:ascii="Times" w:hAnsi="Times" w:cs="Times"/>
          <w:noProof/>
        </w:rPr>
      </w:r>
      <w:r w:rsidRPr="00380510">
        <w:rPr>
          <w:rFonts w:ascii="Times" w:hAnsi="Times" w:cs="Times"/>
          <w:noProof/>
        </w:rPr>
        <w:fldChar w:fldCharType="separate"/>
      </w:r>
      <w:r w:rsidR="00623A5C">
        <w:rPr>
          <w:rFonts w:ascii="Times" w:hAnsi="Times" w:cs="Times"/>
          <w:noProof/>
        </w:rPr>
        <w:t>368</w:t>
      </w:r>
      <w:r w:rsidRPr="00380510">
        <w:rPr>
          <w:rFonts w:ascii="Times" w:hAnsi="Times" w:cs="Times"/>
          <w:noProof/>
        </w:rPr>
        <w:fldChar w:fldCharType="end"/>
      </w:r>
    </w:p>
    <w:p w:rsidR="00380510" w:rsidRDefault="00380510">
      <w:pPr>
        <w:pStyle w:val="TOC5"/>
        <w:rPr>
          <w:rFonts w:ascii="Calibri" w:hAnsi="Calibri"/>
          <w:iCs w:val="0"/>
          <w:noProof/>
          <w:kern w:val="0"/>
          <w:sz w:val="22"/>
          <w:szCs w:val="22"/>
        </w:rPr>
      </w:pPr>
      <w:r>
        <w:rPr>
          <w:noProof/>
        </w:rPr>
        <w:t>900</w:t>
      </w:r>
      <w:r>
        <w:rPr>
          <w:noProof/>
        </w:rPr>
        <w:noBreakHyphen/>
        <w:t>90</w:t>
      </w:r>
      <w:r>
        <w:rPr>
          <w:noProof/>
        </w:rPr>
        <w:tab/>
        <w:t>Retaining the written evidence and travel records</w:t>
      </w:r>
      <w:r w:rsidRPr="00380510">
        <w:rPr>
          <w:rFonts w:ascii="Times" w:hAnsi="Times" w:cs="Times"/>
          <w:noProof/>
        </w:rPr>
        <w:tab/>
      </w:r>
      <w:r w:rsidRPr="00380510">
        <w:rPr>
          <w:rFonts w:ascii="Times" w:hAnsi="Times" w:cs="Times"/>
          <w:noProof/>
        </w:rPr>
        <w:fldChar w:fldCharType="begin"/>
      </w:r>
      <w:r w:rsidRPr="00380510">
        <w:rPr>
          <w:rFonts w:ascii="Times" w:hAnsi="Times" w:cs="Times"/>
          <w:noProof/>
        </w:rPr>
        <w:instrText xml:space="preserve"> PAGEREF _Toc338939530 \h </w:instrText>
      </w:r>
      <w:r w:rsidRPr="00380510">
        <w:rPr>
          <w:rFonts w:ascii="Times" w:hAnsi="Times" w:cs="Times"/>
          <w:noProof/>
        </w:rPr>
      </w:r>
      <w:r w:rsidRPr="00380510">
        <w:rPr>
          <w:rFonts w:ascii="Times" w:hAnsi="Times" w:cs="Times"/>
          <w:noProof/>
        </w:rPr>
        <w:fldChar w:fldCharType="separate"/>
      </w:r>
      <w:r w:rsidR="00623A5C">
        <w:rPr>
          <w:rFonts w:ascii="Times" w:hAnsi="Times" w:cs="Times"/>
          <w:noProof/>
        </w:rPr>
        <w:t>368</w:t>
      </w:r>
      <w:r w:rsidRPr="00380510">
        <w:rPr>
          <w:rFonts w:ascii="Times" w:hAnsi="Times" w:cs="Times"/>
          <w:noProof/>
        </w:rPr>
        <w:fldChar w:fldCharType="end"/>
      </w:r>
    </w:p>
    <w:p w:rsidR="00380510" w:rsidRDefault="00380510">
      <w:pPr>
        <w:pStyle w:val="TOC5"/>
        <w:rPr>
          <w:rFonts w:ascii="Calibri" w:hAnsi="Calibri"/>
          <w:iCs w:val="0"/>
          <w:noProof/>
          <w:kern w:val="0"/>
          <w:sz w:val="22"/>
          <w:szCs w:val="22"/>
        </w:rPr>
      </w:pPr>
      <w:r>
        <w:rPr>
          <w:noProof/>
        </w:rPr>
        <w:t>900</w:t>
      </w:r>
      <w:r>
        <w:rPr>
          <w:noProof/>
        </w:rPr>
        <w:noBreakHyphen/>
        <w:t>95</w:t>
      </w:r>
      <w:r>
        <w:rPr>
          <w:noProof/>
        </w:rPr>
        <w:tab/>
        <w:t xml:space="preserve">Meaning of </w:t>
      </w:r>
      <w:r w:rsidRPr="008A0EAA">
        <w:rPr>
          <w:i/>
          <w:noProof/>
        </w:rPr>
        <w:t>business travel expense</w:t>
      </w:r>
      <w:r w:rsidRPr="00380510">
        <w:rPr>
          <w:rFonts w:ascii="Times" w:hAnsi="Times" w:cs="Times"/>
          <w:noProof/>
        </w:rPr>
        <w:tab/>
      </w:r>
      <w:r w:rsidRPr="00380510">
        <w:rPr>
          <w:rFonts w:ascii="Times" w:hAnsi="Times" w:cs="Times"/>
          <w:noProof/>
        </w:rPr>
        <w:fldChar w:fldCharType="begin"/>
      </w:r>
      <w:r w:rsidRPr="00380510">
        <w:rPr>
          <w:rFonts w:ascii="Times" w:hAnsi="Times" w:cs="Times"/>
          <w:noProof/>
        </w:rPr>
        <w:instrText xml:space="preserve"> PAGEREF _Toc338939531 \h </w:instrText>
      </w:r>
      <w:r w:rsidRPr="00380510">
        <w:rPr>
          <w:rFonts w:ascii="Times" w:hAnsi="Times" w:cs="Times"/>
          <w:noProof/>
        </w:rPr>
      </w:r>
      <w:r w:rsidRPr="00380510">
        <w:rPr>
          <w:rFonts w:ascii="Times" w:hAnsi="Times" w:cs="Times"/>
          <w:noProof/>
        </w:rPr>
        <w:fldChar w:fldCharType="separate"/>
      </w:r>
      <w:r w:rsidR="00623A5C">
        <w:rPr>
          <w:rFonts w:ascii="Times" w:hAnsi="Times" w:cs="Times"/>
          <w:noProof/>
        </w:rPr>
        <w:t>369</w:t>
      </w:r>
      <w:r w:rsidRPr="00380510">
        <w:rPr>
          <w:rFonts w:ascii="Times" w:hAnsi="Times" w:cs="Times"/>
          <w:noProof/>
        </w:rPr>
        <w:fldChar w:fldCharType="end"/>
      </w:r>
    </w:p>
    <w:p w:rsidR="00380510" w:rsidRDefault="00380510">
      <w:pPr>
        <w:pStyle w:val="TOC4"/>
        <w:rPr>
          <w:rFonts w:ascii="Calibri" w:hAnsi="Calibri"/>
          <w:b w:val="0"/>
          <w:noProof/>
          <w:kern w:val="0"/>
          <w:sz w:val="22"/>
          <w:szCs w:val="22"/>
        </w:rPr>
      </w:pPr>
      <w:r>
        <w:rPr>
          <w:noProof/>
        </w:rPr>
        <w:lastRenderedPageBreak/>
        <w:t>Subdivision 900</w:t>
      </w:r>
      <w:r>
        <w:rPr>
          <w:noProof/>
        </w:rPr>
        <w:noBreakHyphen/>
        <w:t>E—Written evidence</w:t>
      </w:r>
      <w:r w:rsidRPr="00380510">
        <w:rPr>
          <w:rFonts w:ascii="Times" w:hAnsi="Times" w:cs="Times"/>
          <w:b w:val="0"/>
          <w:noProof/>
          <w:sz w:val="18"/>
        </w:rPr>
        <w:tab/>
      </w:r>
      <w:r w:rsidRPr="00380510">
        <w:rPr>
          <w:rFonts w:ascii="Times" w:hAnsi="Times" w:cs="Times"/>
          <w:b w:val="0"/>
          <w:noProof/>
          <w:sz w:val="18"/>
        </w:rPr>
        <w:fldChar w:fldCharType="begin"/>
      </w:r>
      <w:r w:rsidRPr="00380510">
        <w:rPr>
          <w:rFonts w:ascii="Times" w:hAnsi="Times" w:cs="Times"/>
          <w:b w:val="0"/>
          <w:noProof/>
          <w:sz w:val="18"/>
        </w:rPr>
        <w:instrText xml:space="preserve"> PAGEREF _Toc338939532 \h </w:instrText>
      </w:r>
      <w:r w:rsidRPr="00380510">
        <w:rPr>
          <w:rFonts w:ascii="Times" w:hAnsi="Times" w:cs="Times"/>
          <w:b w:val="0"/>
          <w:noProof/>
          <w:sz w:val="18"/>
        </w:rPr>
      </w:r>
      <w:r w:rsidRPr="00380510">
        <w:rPr>
          <w:rFonts w:ascii="Times" w:hAnsi="Times" w:cs="Times"/>
          <w:b w:val="0"/>
          <w:noProof/>
          <w:sz w:val="18"/>
        </w:rPr>
        <w:fldChar w:fldCharType="separate"/>
      </w:r>
      <w:r w:rsidR="00623A5C">
        <w:rPr>
          <w:rFonts w:ascii="Times" w:hAnsi="Times" w:cs="Times"/>
          <w:b w:val="0"/>
          <w:noProof/>
          <w:sz w:val="18"/>
        </w:rPr>
        <w:t>370</w:t>
      </w:r>
      <w:r w:rsidRPr="00380510">
        <w:rPr>
          <w:rFonts w:ascii="Times" w:hAnsi="Times" w:cs="Times"/>
          <w:b w:val="0"/>
          <w:noProof/>
          <w:sz w:val="18"/>
        </w:rPr>
        <w:fldChar w:fldCharType="end"/>
      </w:r>
    </w:p>
    <w:p w:rsidR="00380510" w:rsidRDefault="00380510">
      <w:pPr>
        <w:pStyle w:val="TOC4"/>
        <w:rPr>
          <w:rFonts w:ascii="Calibri" w:hAnsi="Calibri"/>
          <w:b w:val="0"/>
          <w:noProof/>
          <w:kern w:val="0"/>
          <w:sz w:val="22"/>
          <w:szCs w:val="22"/>
        </w:rPr>
      </w:pPr>
      <w:r>
        <w:rPr>
          <w:noProof/>
        </w:rPr>
        <w:t>Guide to Subdivision 900</w:t>
      </w:r>
      <w:r>
        <w:rPr>
          <w:noProof/>
        </w:rPr>
        <w:noBreakHyphen/>
        <w:t>E</w:t>
      </w:r>
      <w:r w:rsidRPr="00380510">
        <w:rPr>
          <w:rFonts w:ascii="Times" w:hAnsi="Times" w:cs="Times"/>
          <w:b w:val="0"/>
          <w:noProof/>
          <w:sz w:val="18"/>
        </w:rPr>
        <w:tab/>
      </w:r>
      <w:r w:rsidRPr="00380510">
        <w:rPr>
          <w:rFonts w:ascii="Times" w:hAnsi="Times" w:cs="Times"/>
          <w:b w:val="0"/>
          <w:noProof/>
          <w:sz w:val="18"/>
        </w:rPr>
        <w:fldChar w:fldCharType="begin"/>
      </w:r>
      <w:r w:rsidRPr="00380510">
        <w:rPr>
          <w:rFonts w:ascii="Times" w:hAnsi="Times" w:cs="Times"/>
          <w:b w:val="0"/>
          <w:noProof/>
          <w:sz w:val="18"/>
        </w:rPr>
        <w:instrText xml:space="preserve"> PAGEREF _Toc338939533 \h </w:instrText>
      </w:r>
      <w:r w:rsidRPr="00380510">
        <w:rPr>
          <w:rFonts w:ascii="Times" w:hAnsi="Times" w:cs="Times"/>
          <w:b w:val="0"/>
          <w:noProof/>
          <w:sz w:val="18"/>
        </w:rPr>
      </w:r>
      <w:r w:rsidRPr="00380510">
        <w:rPr>
          <w:rFonts w:ascii="Times" w:hAnsi="Times" w:cs="Times"/>
          <w:b w:val="0"/>
          <w:noProof/>
          <w:sz w:val="18"/>
        </w:rPr>
        <w:fldChar w:fldCharType="separate"/>
      </w:r>
      <w:r w:rsidR="00623A5C">
        <w:rPr>
          <w:rFonts w:ascii="Times" w:hAnsi="Times" w:cs="Times"/>
          <w:b w:val="0"/>
          <w:noProof/>
          <w:sz w:val="18"/>
        </w:rPr>
        <w:t>370</w:t>
      </w:r>
      <w:r w:rsidRPr="00380510">
        <w:rPr>
          <w:rFonts w:ascii="Times" w:hAnsi="Times" w:cs="Times"/>
          <w:b w:val="0"/>
          <w:noProof/>
          <w:sz w:val="18"/>
        </w:rPr>
        <w:fldChar w:fldCharType="end"/>
      </w:r>
    </w:p>
    <w:p w:rsidR="00380510" w:rsidRDefault="00380510">
      <w:pPr>
        <w:pStyle w:val="TOC5"/>
        <w:rPr>
          <w:rFonts w:ascii="Calibri" w:hAnsi="Calibri"/>
          <w:iCs w:val="0"/>
          <w:noProof/>
          <w:kern w:val="0"/>
          <w:sz w:val="22"/>
          <w:szCs w:val="22"/>
        </w:rPr>
      </w:pPr>
      <w:r>
        <w:rPr>
          <w:noProof/>
        </w:rPr>
        <w:t>900</w:t>
      </w:r>
      <w:r>
        <w:rPr>
          <w:noProof/>
        </w:rPr>
        <w:noBreakHyphen/>
        <w:t>100</w:t>
      </w:r>
      <w:r>
        <w:rPr>
          <w:noProof/>
        </w:rPr>
        <w:tab/>
        <w:t>What this Subdivision is about</w:t>
      </w:r>
      <w:r w:rsidRPr="00380510">
        <w:rPr>
          <w:rFonts w:ascii="Times" w:hAnsi="Times" w:cs="Times"/>
          <w:noProof/>
        </w:rPr>
        <w:tab/>
      </w:r>
      <w:r w:rsidRPr="00380510">
        <w:rPr>
          <w:rFonts w:ascii="Times" w:hAnsi="Times" w:cs="Times"/>
          <w:noProof/>
        </w:rPr>
        <w:fldChar w:fldCharType="begin"/>
      </w:r>
      <w:r w:rsidRPr="00380510">
        <w:rPr>
          <w:rFonts w:ascii="Times" w:hAnsi="Times" w:cs="Times"/>
          <w:noProof/>
        </w:rPr>
        <w:instrText xml:space="preserve"> PAGEREF _Toc338939534 \h </w:instrText>
      </w:r>
      <w:r w:rsidRPr="00380510">
        <w:rPr>
          <w:rFonts w:ascii="Times" w:hAnsi="Times" w:cs="Times"/>
          <w:noProof/>
        </w:rPr>
      </w:r>
      <w:r w:rsidRPr="00380510">
        <w:rPr>
          <w:rFonts w:ascii="Times" w:hAnsi="Times" w:cs="Times"/>
          <w:noProof/>
        </w:rPr>
        <w:fldChar w:fldCharType="separate"/>
      </w:r>
      <w:r w:rsidR="00623A5C">
        <w:rPr>
          <w:rFonts w:ascii="Times" w:hAnsi="Times" w:cs="Times"/>
          <w:noProof/>
        </w:rPr>
        <w:t>370</w:t>
      </w:r>
      <w:r w:rsidRPr="00380510">
        <w:rPr>
          <w:rFonts w:ascii="Times" w:hAnsi="Times" w:cs="Times"/>
          <w:noProof/>
        </w:rPr>
        <w:fldChar w:fldCharType="end"/>
      </w:r>
    </w:p>
    <w:p w:rsidR="00380510" w:rsidRDefault="00380510">
      <w:pPr>
        <w:pStyle w:val="TOC4"/>
        <w:rPr>
          <w:rFonts w:ascii="Calibri" w:hAnsi="Calibri"/>
          <w:b w:val="0"/>
          <w:noProof/>
          <w:kern w:val="0"/>
          <w:sz w:val="22"/>
          <w:szCs w:val="22"/>
        </w:rPr>
      </w:pPr>
      <w:r>
        <w:rPr>
          <w:noProof/>
        </w:rPr>
        <w:t>Operative provisions</w:t>
      </w:r>
      <w:r w:rsidRPr="00380510">
        <w:rPr>
          <w:rFonts w:ascii="Times" w:hAnsi="Times" w:cs="Times"/>
          <w:b w:val="0"/>
          <w:noProof/>
          <w:sz w:val="18"/>
        </w:rPr>
        <w:tab/>
      </w:r>
      <w:r w:rsidRPr="00380510">
        <w:rPr>
          <w:rFonts w:ascii="Times" w:hAnsi="Times" w:cs="Times"/>
          <w:b w:val="0"/>
          <w:noProof/>
          <w:sz w:val="18"/>
        </w:rPr>
        <w:fldChar w:fldCharType="begin"/>
      </w:r>
      <w:r w:rsidRPr="00380510">
        <w:rPr>
          <w:rFonts w:ascii="Times" w:hAnsi="Times" w:cs="Times"/>
          <w:b w:val="0"/>
          <w:noProof/>
          <w:sz w:val="18"/>
        </w:rPr>
        <w:instrText xml:space="preserve"> PAGEREF _Toc338939535 \h </w:instrText>
      </w:r>
      <w:r w:rsidRPr="00380510">
        <w:rPr>
          <w:rFonts w:ascii="Times" w:hAnsi="Times" w:cs="Times"/>
          <w:b w:val="0"/>
          <w:noProof/>
          <w:sz w:val="18"/>
        </w:rPr>
      </w:r>
      <w:r w:rsidRPr="00380510">
        <w:rPr>
          <w:rFonts w:ascii="Times" w:hAnsi="Times" w:cs="Times"/>
          <w:b w:val="0"/>
          <w:noProof/>
          <w:sz w:val="18"/>
        </w:rPr>
        <w:fldChar w:fldCharType="separate"/>
      </w:r>
      <w:r w:rsidR="00623A5C">
        <w:rPr>
          <w:rFonts w:ascii="Times" w:hAnsi="Times" w:cs="Times"/>
          <w:b w:val="0"/>
          <w:noProof/>
          <w:sz w:val="18"/>
        </w:rPr>
        <w:t>370</w:t>
      </w:r>
      <w:r w:rsidRPr="00380510">
        <w:rPr>
          <w:rFonts w:ascii="Times" w:hAnsi="Times" w:cs="Times"/>
          <w:b w:val="0"/>
          <w:noProof/>
          <w:sz w:val="18"/>
        </w:rPr>
        <w:fldChar w:fldCharType="end"/>
      </w:r>
    </w:p>
    <w:p w:rsidR="00380510" w:rsidRDefault="00380510">
      <w:pPr>
        <w:pStyle w:val="TOC5"/>
        <w:rPr>
          <w:rFonts w:ascii="Calibri" w:hAnsi="Calibri"/>
          <w:iCs w:val="0"/>
          <w:noProof/>
          <w:kern w:val="0"/>
          <w:sz w:val="22"/>
          <w:szCs w:val="22"/>
        </w:rPr>
      </w:pPr>
      <w:r>
        <w:rPr>
          <w:noProof/>
        </w:rPr>
        <w:t>900</w:t>
      </w:r>
      <w:r>
        <w:rPr>
          <w:noProof/>
        </w:rPr>
        <w:noBreakHyphen/>
        <w:t>105</w:t>
      </w:r>
      <w:r>
        <w:rPr>
          <w:noProof/>
        </w:rPr>
        <w:tab/>
        <w:t>Ways of getting written evidence</w:t>
      </w:r>
      <w:r w:rsidRPr="00380510">
        <w:rPr>
          <w:rFonts w:ascii="Times" w:hAnsi="Times" w:cs="Times"/>
          <w:noProof/>
        </w:rPr>
        <w:tab/>
      </w:r>
      <w:r w:rsidRPr="00380510">
        <w:rPr>
          <w:rFonts w:ascii="Times" w:hAnsi="Times" w:cs="Times"/>
          <w:noProof/>
        </w:rPr>
        <w:fldChar w:fldCharType="begin"/>
      </w:r>
      <w:r w:rsidRPr="00380510">
        <w:rPr>
          <w:rFonts w:ascii="Times" w:hAnsi="Times" w:cs="Times"/>
          <w:noProof/>
        </w:rPr>
        <w:instrText xml:space="preserve"> PAGEREF _Toc338939536 \h </w:instrText>
      </w:r>
      <w:r w:rsidRPr="00380510">
        <w:rPr>
          <w:rFonts w:ascii="Times" w:hAnsi="Times" w:cs="Times"/>
          <w:noProof/>
        </w:rPr>
      </w:r>
      <w:r w:rsidRPr="00380510">
        <w:rPr>
          <w:rFonts w:ascii="Times" w:hAnsi="Times" w:cs="Times"/>
          <w:noProof/>
        </w:rPr>
        <w:fldChar w:fldCharType="separate"/>
      </w:r>
      <w:r w:rsidR="00623A5C">
        <w:rPr>
          <w:rFonts w:ascii="Times" w:hAnsi="Times" w:cs="Times"/>
          <w:noProof/>
        </w:rPr>
        <w:t>370</w:t>
      </w:r>
      <w:r w:rsidRPr="00380510">
        <w:rPr>
          <w:rFonts w:ascii="Times" w:hAnsi="Times" w:cs="Times"/>
          <w:noProof/>
        </w:rPr>
        <w:fldChar w:fldCharType="end"/>
      </w:r>
    </w:p>
    <w:p w:rsidR="00380510" w:rsidRDefault="00380510">
      <w:pPr>
        <w:pStyle w:val="TOC5"/>
        <w:rPr>
          <w:rFonts w:ascii="Calibri" w:hAnsi="Calibri"/>
          <w:iCs w:val="0"/>
          <w:noProof/>
          <w:kern w:val="0"/>
          <w:sz w:val="22"/>
          <w:szCs w:val="22"/>
        </w:rPr>
      </w:pPr>
      <w:r>
        <w:rPr>
          <w:noProof/>
        </w:rPr>
        <w:t>900</w:t>
      </w:r>
      <w:r>
        <w:rPr>
          <w:noProof/>
        </w:rPr>
        <w:noBreakHyphen/>
        <w:t>110</w:t>
      </w:r>
      <w:r>
        <w:rPr>
          <w:noProof/>
        </w:rPr>
        <w:tab/>
        <w:t>Time limits</w:t>
      </w:r>
      <w:r w:rsidRPr="00380510">
        <w:rPr>
          <w:rFonts w:ascii="Times" w:hAnsi="Times" w:cs="Times"/>
          <w:noProof/>
        </w:rPr>
        <w:tab/>
      </w:r>
      <w:r w:rsidRPr="00380510">
        <w:rPr>
          <w:rFonts w:ascii="Times" w:hAnsi="Times" w:cs="Times"/>
          <w:noProof/>
        </w:rPr>
        <w:fldChar w:fldCharType="begin"/>
      </w:r>
      <w:r w:rsidRPr="00380510">
        <w:rPr>
          <w:rFonts w:ascii="Times" w:hAnsi="Times" w:cs="Times"/>
          <w:noProof/>
        </w:rPr>
        <w:instrText xml:space="preserve"> PAGEREF _Toc338939537 \h </w:instrText>
      </w:r>
      <w:r w:rsidRPr="00380510">
        <w:rPr>
          <w:rFonts w:ascii="Times" w:hAnsi="Times" w:cs="Times"/>
          <w:noProof/>
        </w:rPr>
      </w:r>
      <w:r w:rsidRPr="00380510">
        <w:rPr>
          <w:rFonts w:ascii="Times" w:hAnsi="Times" w:cs="Times"/>
          <w:noProof/>
        </w:rPr>
        <w:fldChar w:fldCharType="separate"/>
      </w:r>
      <w:r w:rsidR="00623A5C">
        <w:rPr>
          <w:rFonts w:ascii="Times" w:hAnsi="Times" w:cs="Times"/>
          <w:noProof/>
        </w:rPr>
        <w:t>371</w:t>
      </w:r>
      <w:r w:rsidRPr="00380510">
        <w:rPr>
          <w:rFonts w:ascii="Times" w:hAnsi="Times" w:cs="Times"/>
          <w:noProof/>
        </w:rPr>
        <w:fldChar w:fldCharType="end"/>
      </w:r>
    </w:p>
    <w:p w:rsidR="00380510" w:rsidRDefault="00380510">
      <w:pPr>
        <w:pStyle w:val="TOC5"/>
        <w:rPr>
          <w:rFonts w:ascii="Calibri" w:hAnsi="Calibri"/>
          <w:iCs w:val="0"/>
          <w:noProof/>
          <w:kern w:val="0"/>
          <w:sz w:val="22"/>
          <w:szCs w:val="22"/>
        </w:rPr>
      </w:pPr>
      <w:r>
        <w:rPr>
          <w:noProof/>
        </w:rPr>
        <w:t>900</w:t>
      </w:r>
      <w:r>
        <w:rPr>
          <w:noProof/>
        </w:rPr>
        <w:noBreakHyphen/>
        <w:t>115</w:t>
      </w:r>
      <w:r>
        <w:rPr>
          <w:noProof/>
        </w:rPr>
        <w:tab/>
        <w:t>Written evidence from supplier</w:t>
      </w:r>
      <w:r w:rsidRPr="00380510">
        <w:rPr>
          <w:rFonts w:ascii="Times" w:hAnsi="Times" w:cs="Times"/>
          <w:noProof/>
        </w:rPr>
        <w:tab/>
      </w:r>
      <w:r w:rsidRPr="00380510">
        <w:rPr>
          <w:rFonts w:ascii="Times" w:hAnsi="Times" w:cs="Times"/>
          <w:noProof/>
        </w:rPr>
        <w:fldChar w:fldCharType="begin"/>
      </w:r>
      <w:r w:rsidRPr="00380510">
        <w:rPr>
          <w:rFonts w:ascii="Times" w:hAnsi="Times" w:cs="Times"/>
          <w:noProof/>
        </w:rPr>
        <w:instrText xml:space="preserve"> PAGEREF _Toc338939538 \h </w:instrText>
      </w:r>
      <w:r w:rsidRPr="00380510">
        <w:rPr>
          <w:rFonts w:ascii="Times" w:hAnsi="Times" w:cs="Times"/>
          <w:noProof/>
        </w:rPr>
      </w:r>
      <w:r w:rsidRPr="00380510">
        <w:rPr>
          <w:rFonts w:ascii="Times" w:hAnsi="Times" w:cs="Times"/>
          <w:noProof/>
        </w:rPr>
        <w:fldChar w:fldCharType="separate"/>
      </w:r>
      <w:r w:rsidR="00623A5C">
        <w:rPr>
          <w:rFonts w:ascii="Times" w:hAnsi="Times" w:cs="Times"/>
          <w:noProof/>
        </w:rPr>
        <w:t>371</w:t>
      </w:r>
      <w:r w:rsidRPr="00380510">
        <w:rPr>
          <w:rFonts w:ascii="Times" w:hAnsi="Times" w:cs="Times"/>
          <w:noProof/>
        </w:rPr>
        <w:fldChar w:fldCharType="end"/>
      </w:r>
    </w:p>
    <w:p w:rsidR="00380510" w:rsidRDefault="00380510">
      <w:pPr>
        <w:pStyle w:val="TOC5"/>
        <w:rPr>
          <w:rFonts w:ascii="Calibri" w:hAnsi="Calibri"/>
          <w:iCs w:val="0"/>
          <w:noProof/>
          <w:kern w:val="0"/>
          <w:sz w:val="22"/>
          <w:szCs w:val="22"/>
        </w:rPr>
      </w:pPr>
      <w:r>
        <w:rPr>
          <w:noProof/>
        </w:rPr>
        <w:t>900</w:t>
      </w:r>
      <w:r>
        <w:rPr>
          <w:noProof/>
        </w:rPr>
        <w:noBreakHyphen/>
        <w:t>120</w:t>
      </w:r>
      <w:r>
        <w:rPr>
          <w:noProof/>
        </w:rPr>
        <w:tab/>
        <w:t>Written evidence of depreciating asset expense</w:t>
      </w:r>
      <w:r w:rsidRPr="00380510">
        <w:rPr>
          <w:rFonts w:ascii="Times" w:hAnsi="Times" w:cs="Times"/>
          <w:noProof/>
        </w:rPr>
        <w:tab/>
      </w:r>
      <w:r w:rsidRPr="00380510">
        <w:rPr>
          <w:rFonts w:ascii="Times" w:hAnsi="Times" w:cs="Times"/>
          <w:noProof/>
        </w:rPr>
        <w:fldChar w:fldCharType="begin"/>
      </w:r>
      <w:r w:rsidRPr="00380510">
        <w:rPr>
          <w:rFonts w:ascii="Times" w:hAnsi="Times" w:cs="Times"/>
          <w:noProof/>
        </w:rPr>
        <w:instrText xml:space="preserve"> PAGEREF _Toc338939539 \h </w:instrText>
      </w:r>
      <w:r w:rsidRPr="00380510">
        <w:rPr>
          <w:rFonts w:ascii="Times" w:hAnsi="Times" w:cs="Times"/>
          <w:noProof/>
        </w:rPr>
      </w:r>
      <w:r w:rsidRPr="00380510">
        <w:rPr>
          <w:rFonts w:ascii="Times" w:hAnsi="Times" w:cs="Times"/>
          <w:noProof/>
        </w:rPr>
        <w:fldChar w:fldCharType="separate"/>
      </w:r>
      <w:r w:rsidR="00623A5C">
        <w:rPr>
          <w:rFonts w:ascii="Times" w:hAnsi="Times" w:cs="Times"/>
          <w:noProof/>
        </w:rPr>
        <w:t>372</w:t>
      </w:r>
      <w:r w:rsidRPr="00380510">
        <w:rPr>
          <w:rFonts w:ascii="Times" w:hAnsi="Times" w:cs="Times"/>
          <w:noProof/>
        </w:rPr>
        <w:fldChar w:fldCharType="end"/>
      </w:r>
    </w:p>
    <w:p w:rsidR="00380510" w:rsidRDefault="00380510">
      <w:pPr>
        <w:pStyle w:val="TOC5"/>
        <w:rPr>
          <w:rFonts w:ascii="Calibri" w:hAnsi="Calibri"/>
          <w:iCs w:val="0"/>
          <w:noProof/>
          <w:kern w:val="0"/>
          <w:sz w:val="22"/>
          <w:szCs w:val="22"/>
        </w:rPr>
      </w:pPr>
      <w:r>
        <w:rPr>
          <w:noProof/>
        </w:rPr>
        <w:t>900</w:t>
      </w:r>
      <w:r>
        <w:rPr>
          <w:noProof/>
        </w:rPr>
        <w:noBreakHyphen/>
        <w:t>125</w:t>
      </w:r>
      <w:r>
        <w:rPr>
          <w:noProof/>
        </w:rPr>
        <w:tab/>
        <w:t>Evidence of small expenses</w:t>
      </w:r>
      <w:r w:rsidRPr="00380510">
        <w:rPr>
          <w:rFonts w:ascii="Times" w:hAnsi="Times" w:cs="Times"/>
          <w:noProof/>
        </w:rPr>
        <w:tab/>
      </w:r>
      <w:r w:rsidRPr="00380510">
        <w:rPr>
          <w:rFonts w:ascii="Times" w:hAnsi="Times" w:cs="Times"/>
          <w:noProof/>
        </w:rPr>
        <w:fldChar w:fldCharType="begin"/>
      </w:r>
      <w:r w:rsidRPr="00380510">
        <w:rPr>
          <w:rFonts w:ascii="Times" w:hAnsi="Times" w:cs="Times"/>
          <w:noProof/>
        </w:rPr>
        <w:instrText xml:space="preserve"> PAGEREF _Toc338939540 \h </w:instrText>
      </w:r>
      <w:r w:rsidRPr="00380510">
        <w:rPr>
          <w:rFonts w:ascii="Times" w:hAnsi="Times" w:cs="Times"/>
          <w:noProof/>
        </w:rPr>
      </w:r>
      <w:r w:rsidRPr="00380510">
        <w:rPr>
          <w:rFonts w:ascii="Times" w:hAnsi="Times" w:cs="Times"/>
          <w:noProof/>
        </w:rPr>
        <w:fldChar w:fldCharType="separate"/>
      </w:r>
      <w:r w:rsidR="00623A5C">
        <w:rPr>
          <w:rFonts w:ascii="Times" w:hAnsi="Times" w:cs="Times"/>
          <w:noProof/>
        </w:rPr>
        <w:t>373</w:t>
      </w:r>
      <w:r w:rsidRPr="00380510">
        <w:rPr>
          <w:rFonts w:ascii="Times" w:hAnsi="Times" w:cs="Times"/>
          <w:noProof/>
        </w:rPr>
        <w:fldChar w:fldCharType="end"/>
      </w:r>
    </w:p>
    <w:p w:rsidR="00380510" w:rsidRDefault="00380510">
      <w:pPr>
        <w:pStyle w:val="TOC5"/>
        <w:rPr>
          <w:rFonts w:ascii="Calibri" w:hAnsi="Calibri"/>
          <w:iCs w:val="0"/>
          <w:noProof/>
          <w:kern w:val="0"/>
          <w:sz w:val="22"/>
          <w:szCs w:val="22"/>
        </w:rPr>
      </w:pPr>
      <w:r>
        <w:rPr>
          <w:noProof/>
        </w:rPr>
        <w:t>900</w:t>
      </w:r>
      <w:r>
        <w:rPr>
          <w:noProof/>
        </w:rPr>
        <w:noBreakHyphen/>
        <w:t>130</w:t>
      </w:r>
      <w:r>
        <w:rPr>
          <w:noProof/>
        </w:rPr>
        <w:tab/>
        <w:t>Evidence of expenses considered otherwise too hard to substantiate</w:t>
      </w:r>
      <w:r w:rsidRPr="00380510">
        <w:rPr>
          <w:rFonts w:ascii="Times" w:hAnsi="Times" w:cs="Times"/>
          <w:noProof/>
        </w:rPr>
        <w:tab/>
      </w:r>
      <w:r w:rsidRPr="00380510">
        <w:rPr>
          <w:rFonts w:ascii="Times" w:hAnsi="Times" w:cs="Times"/>
          <w:noProof/>
        </w:rPr>
        <w:fldChar w:fldCharType="begin"/>
      </w:r>
      <w:r w:rsidRPr="00380510">
        <w:rPr>
          <w:rFonts w:ascii="Times" w:hAnsi="Times" w:cs="Times"/>
          <w:noProof/>
        </w:rPr>
        <w:instrText xml:space="preserve"> PAGEREF _Toc338939541 \h </w:instrText>
      </w:r>
      <w:r w:rsidRPr="00380510">
        <w:rPr>
          <w:rFonts w:ascii="Times" w:hAnsi="Times" w:cs="Times"/>
          <w:noProof/>
        </w:rPr>
      </w:r>
      <w:r w:rsidRPr="00380510">
        <w:rPr>
          <w:rFonts w:ascii="Times" w:hAnsi="Times" w:cs="Times"/>
          <w:noProof/>
        </w:rPr>
        <w:fldChar w:fldCharType="separate"/>
      </w:r>
      <w:r w:rsidR="00623A5C">
        <w:rPr>
          <w:rFonts w:ascii="Times" w:hAnsi="Times" w:cs="Times"/>
          <w:noProof/>
        </w:rPr>
        <w:t>373</w:t>
      </w:r>
      <w:r w:rsidRPr="00380510">
        <w:rPr>
          <w:rFonts w:ascii="Times" w:hAnsi="Times" w:cs="Times"/>
          <w:noProof/>
        </w:rPr>
        <w:fldChar w:fldCharType="end"/>
      </w:r>
    </w:p>
    <w:p w:rsidR="00380510" w:rsidRDefault="00380510">
      <w:pPr>
        <w:pStyle w:val="TOC5"/>
        <w:rPr>
          <w:rFonts w:ascii="Calibri" w:hAnsi="Calibri"/>
          <w:iCs w:val="0"/>
          <w:noProof/>
          <w:kern w:val="0"/>
          <w:sz w:val="22"/>
          <w:szCs w:val="22"/>
        </w:rPr>
      </w:pPr>
      <w:r>
        <w:rPr>
          <w:noProof/>
        </w:rPr>
        <w:t>900</w:t>
      </w:r>
      <w:r>
        <w:rPr>
          <w:noProof/>
        </w:rPr>
        <w:noBreakHyphen/>
        <w:t>135</w:t>
      </w:r>
      <w:r>
        <w:rPr>
          <w:noProof/>
        </w:rPr>
        <w:tab/>
        <w:t>Evidence on a payment summary</w:t>
      </w:r>
      <w:r w:rsidRPr="00380510">
        <w:rPr>
          <w:rFonts w:ascii="Times" w:hAnsi="Times" w:cs="Times"/>
          <w:noProof/>
        </w:rPr>
        <w:tab/>
      </w:r>
      <w:r w:rsidRPr="00380510">
        <w:rPr>
          <w:rFonts w:ascii="Times" w:hAnsi="Times" w:cs="Times"/>
          <w:noProof/>
        </w:rPr>
        <w:fldChar w:fldCharType="begin"/>
      </w:r>
      <w:r w:rsidRPr="00380510">
        <w:rPr>
          <w:rFonts w:ascii="Times" w:hAnsi="Times" w:cs="Times"/>
          <w:noProof/>
        </w:rPr>
        <w:instrText xml:space="preserve"> PAGEREF _Toc338939542 \h </w:instrText>
      </w:r>
      <w:r w:rsidRPr="00380510">
        <w:rPr>
          <w:rFonts w:ascii="Times" w:hAnsi="Times" w:cs="Times"/>
          <w:noProof/>
        </w:rPr>
      </w:r>
      <w:r w:rsidRPr="00380510">
        <w:rPr>
          <w:rFonts w:ascii="Times" w:hAnsi="Times" w:cs="Times"/>
          <w:noProof/>
        </w:rPr>
        <w:fldChar w:fldCharType="separate"/>
      </w:r>
      <w:r w:rsidR="00623A5C">
        <w:rPr>
          <w:rFonts w:ascii="Times" w:hAnsi="Times" w:cs="Times"/>
          <w:noProof/>
        </w:rPr>
        <w:t>374</w:t>
      </w:r>
      <w:r w:rsidRPr="00380510">
        <w:rPr>
          <w:rFonts w:ascii="Times" w:hAnsi="Times" w:cs="Times"/>
          <w:noProof/>
        </w:rPr>
        <w:fldChar w:fldCharType="end"/>
      </w:r>
    </w:p>
    <w:p w:rsidR="00380510" w:rsidRDefault="00380510">
      <w:pPr>
        <w:pStyle w:val="TOC4"/>
        <w:rPr>
          <w:rFonts w:ascii="Calibri" w:hAnsi="Calibri"/>
          <w:b w:val="0"/>
          <w:noProof/>
          <w:kern w:val="0"/>
          <w:sz w:val="22"/>
          <w:szCs w:val="22"/>
        </w:rPr>
      </w:pPr>
      <w:r>
        <w:rPr>
          <w:noProof/>
        </w:rPr>
        <w:t>Subdivision 900</w:t>
      </w:r>
      <w:r>
        <w:rPr>
          <w:noProof/>
        </w:rPr>
        <w:noBreakHyphen/>
        <w:t>F—Travel records</w:t>
      </w:r>
      <w:r w:rsidRPr="00380510">
        <w:rPr>
          <w:rFonts w:ascii="Times" w:hAnsi="Times" w:cs="Times"/>
          <w:b w:val="0"/>
          <w:noProof/>
          <w:sz w:val="18"/>
        </w:rPr>
        <w:tab/>
      </w:r>
      <w:r w:rsidRPr="00380510">
        <w:rPr>
          <w:rFonts w:ascii="Times" w:hAnsi="Times" w:cs="Times"/>
          <w:b w:val="0"/>
          <w:noProof/>
          <w:sz w:val="18"/>
        </w:rPr>
        <w:fldChar w:fldCharType="begin"/>
      </w:r>
      <w:r w:rsidRPr="00380510">
        <w:rPr>
          <w:rFonts w:ascii="Times" w:hAnsi="Times" w:cs="Times"/>
          <w:b w:val="0"/>
          <w:noProof/>
          <w:sz w:val="18"/>
        </w:rPr>
        <w:instrText xml:space="preserve"> PAGEREF _Toc338939543 \h </w:instrText>
      </w:r>
      <w:r w:rsidRPr="00380510">
        <w:rPr>
          <w:rFonts w:ascii="Times" w:hAnsi="Times" w:cs="Times"/>
          <w:b w:val="0"/>
          <w:noProof/>
          <w:sz w:val="18"/>
        </w:rPr>
      </w:r>
      <w:r w:rsidRPr="00380510">
        <w:rPr>
          <w:rFonts w:ascii="Times" w:hAnsi="Times" w:cs="Times"/>
          <w:b w:val="0"/>
          <w:noProof/>
          <w:sz w:val="18"/>
        </w:rPr>
        <w:fldChar w:fldCharType="separate"/>
      </w:r>
      <w:r w:rsidR="00623A5C">
        <w:rPr>
          <w:rFonts w:ascii="Times" w:hAnsi="Times" w:cs="Times"/>
          <w:b w:val="0"/>
          <w:noProof/>
          <w:sz w:val="18"/>
        </w:rPr>
        <w:t>374</w:t>
      </w:r>
      <w:r w:rsidRPr="00380510">
        <w:rPr>
          <w:rFonts w:ascii="Times" w:hAnsi="Times" w:cs="Times"/>
          <w:b w:val="0"/>
          <w:noProof/>
          <w:sz w:val="18"/>
        </w:rPr>
        <w:fldChar w:fldCharType="end"/>
      </w:r>
    </w:p>
    <w:p w:rsidR="00380510" w:rsidRDefault="00380510">
      <w:pPr>
        <w:pStyle w:val="TOC4"/>
        <w:rPr>
          <w:rFonts w:ascii="Calibri" w:hAnsi="Calibri"/>
          <w:b w:val="0"/>
          <w:noProof/>
          <w:kern w:val="0"/>
          <w:sz w:val="22"/>
          <w:szCs w:val="22"/>
        </w:rPr>
      </w:pPr>
      <w:r>
        <w:rPr>
          <w:noProof/>
        </w:rPr>
        <w:t>Guide to Subdivision 900</w:t>
      </w:r>
      <w:r>
        <w:rPr>
          <w:noProof/>
        </w:rPr>
        <w:noBreakHyphen/>
        <w:t>F</w:t>
      </w:r>
      <w:r w:rsidRPr="00380510">
        <w:rPr>
          <w:rFonts w:ascii="Times" w:hAnsi="Times" w:cs="Times"/>
          <w:b w:val="0"/>
          <w:noProof/>
          <w:sz w:val="18"/>
        </w:rPr>
        <w:tab/>
      </w:r>
      <w:r w:rsidRPr="00380510">
        <w:rPr>
          <w:rFonts w:ascii="Times" w:hAnsi="Times" w:cs="Times"/>
          <w:b w:val="0"/>
          <w:noProof/>
          <w:sz w:val="18"/>
        </w:rPr>
        <w:fldChar w:fldCharType="begin"/>
      </w:r>
      <w:r w:rsidRPr="00380510">
        <w:rPr>
          <w:rFonts w:ascii="Times" w:hAnsi="Times" w:cs="Times"/>
          <w:b w:val="0"/>
          <w:noProof/>
          <w:sz w:val="18"/>
        </w:rPr>
        <w:instrText xml:space="preserve"> PAGEREF _Toc338939544 \h </w:instrText>
      </w:r>
      <w:r w:rsidRPr="00380510">
        <w:rPr>
          <w:rFonts w:ascii="Times" w:hAnsi="Times" w:cs="Times"/>
          <w:b w:val="0"/>
          <w:noProof/>
          <w:sz w:val="18"/>
        </w:rPr>
      </w:r>
      <w:r w:rsidRPr="00380510">
        <w:rPr>
          <w:rFonts w:ascii="Times" w:hAnsi="Times" w:cs="Times"/>
          <w:b w:val="0"/>
          <w:noProof/>
          <w:sz w:val="18"/>
        </w:rPr>
        <w:fldChar w:fldCharType="separate"/>
      </w:r>
      <w:r w:rsidR="00623A5C">
        <w:rPr>
          <w:rFonts w:ascii="Times" w:hAnsi="Times" w:cs="Times"/>
          <w:b w:val="0"/>
          <w:noProof/>
          <w:sz w:val="18"/>
        </w:rPr>
        <w:t>374</w:t>
      </w:r>
      <w:r w:rsidRPr="00380510">
        <w:rPr>
          <w:rFonts w:ascii="Times" w:hAnsi="Times" w:cs="Times"/>
          <w:b w:val="0"/>
          <w:noProof/>
          <w:sz w:val="18"/>
        </w:rPr>
        <w:fldChar w:fldCharType="end"/>
      </w:r>
    </w:p>
    <w:p w:rsidR="00380510" w:rsidRDefault="00380510">
      <w:pPr>
        <w:pStyle w:val="TOC5"/>
        <w:rPr>
          <w:rFonts w:ascii="Calibri" w:hAnsi="Calibri"/>
          <w:iCs w:val="0"/>
          <w:noProof/>
          <w:kern w:val="0"/>
          <w:sz w:val="22"/>
          <w:szCs w:val="22"/>
        </w:rPr>
      </w:pPr>
      <w:r>
        <w:rPr>
          <w:noProof/>
        </w:rPr>
        <w:t>900</w:t>
      </w:r>
      <w:r>
        <w:rPr>
          <w:noProof/>
        </w:rPr>
        <w:noBreakHyphen/>
        <w:t>140</w:t>
      </w:r>
      <w:r>
        <w:rPr>
          <w:noProof/>
        </w:rPr>
        <w:tab/>
        <w:t>What this Subdivision is about</w:t>
      </w:r>
      <w:r w:rsidRPr="00380510">
        <w:rPr>
          <w:rFonts w:ascii="Times" w:hAnsi="Times" w:cs="Times"/>
          <w:noProof/>
        </w:rPr>
        <w:tab/>
      </w:r>
      <w:r w:rsidRPr="00380510">
        <w:rPr>
          <w:rFonts w:ascii="Times" w:hAnsi="Times" w:cs="Times"/>
          <w:noProof/>
        </w:rPr>
        <w:fldChar w:fldCharType="begin"/>
      </w:r>
      <w:r w:rsidRPr="00380510">
        <w:rPr>
          <w:rFonts w:ascii="Times" w:hAnsi="Times" w:cs="Times"/>
          <w:noProof/>
        </w:rPr>
        <w:instrText xml:space="preserve"> PAGEREF _Toc338939545 \h </w:instrText>
      </w:r>
      <w:r w:rsidRPr="00380510">
        <w:rPr>
          <w:rFonts w:ascii="Times" w:hAnsi="Times" w:cs="Times"/>
          <w:noProof/>
        </w:rPr>
      </w:r>
      <w:r w:rsidRPr="00380510">
        <w:rPr>
          <w:rFonts w:ascii="Times" w:hAnsi="Times" w:cs="Times"/>
          <w:noProof/>
        </w:rPr>
        <w:fldChar w:fldCharType="separate"/>
      </w:r>
      <w:r w:rsidR="00623A5C">
        <w:rPr>
          <w:rFonts w:ascii="Times" w:hAnsi="Times" w:cs="Times"/>
          <w:noProof/>
        </w:rPr>
        <w:t>374</w:t>
      </w:r>
      <w:r w:rsidRPr="00380510">
        <w:rPr>
          <w:rFonts w:ascii="Times" w:hAnsi="Times" w:cs="Times"/>
          <w:noProof/>
        </w:rPr>
        <w:fldChar w:fldCharType="end"/>
      </w:r>
    </w:p>
    <w:p w:rsidR="00380510" w:rsidRDefault="00380510">
      <w:pPr>
        <w:pStyle w:val="TOC5"/>
        <w:rPr>
          <w:rFonts w:ascii="Calibri" w:hAnsi="Calibri"/>
          <w:iCs w:val="0"/>
          <w:noProof/>
          <w:kern w:val="0"/>
          <w:sz w:val="22"/>
          <w:szCs w:val="22"/>
        </w:rPr>
      </w:pPr>
      <w:r>
        <w:rPr>
          <w:noProof/>
        </w:rPr>
        <w:t>900</w:t>
      </w:r>
      <w:r>
        <w:rPr>
          <w:noProof/>
        </w:rPr>
        <w:noBreakHyphen/>
        <w:t>145</w:t>
      </w:r>
      <w:r>
        <w:rPr>
          <w:noProof/>
        </w:rPr>
        <w:tab/>
        <w:t>Purpose of a travel record</w:t>
      </w:r>
      <w:r w:rsidRPr="00380510">
        <w:rPr>
          <w:rFonts w:ascii="Times" w:hAnsi="Times" w:cs="Times"/>
          <w:noProof/>
        </w:rPr>
        <w:tab/>
      </w:r>
      <w:r w:rsidRPr="00380510">
        <w:rPr>
          <w:rFonts w:ascii="Times" w:hAnsi="Times" w:cs="Times"/>
          <w:noProof/>
        </w:rPr>
        <w:fldChar w:fldCharType="begin"/>
      </w:r>
      <w:r w:rsidRPr="00380510">
        <w:rPr>
          <w:rFonts w:ascii="Times" w:hAnsi="Times" w:cs="Times"/>
          <w:noProof/>
        </w:rPr>
        <w:instrText xml:space="preserve"> PAGEREF _Toc338939546 \h </w:instrText>
      </w:r>
      <w:r w:rsidRPr="00380510">
        <w:rPr>
          <w:rFonts w:ascii="Times" w:hAnsi="Times" w:cs="Times"/>
          <w:noProof/>
        </w:rPr>
      </w:r>
      <w:r w:rsidRPr="00380510">
        <w:rPr>
          <w:rFonts w:ascii="Times" w:hAnsi="Times" w:cs="Times"/>
          <w:noProof/>
        </w:rPr>
        <w:fldChar w:fldCharType="separate"/>
      </w:r>
      <w:r w:rsidR="00623A5C">
        <w:rPr>
          <w:rFonts w:ascii="Times" w:hAnsi="Times" w:cs="Times"/>
          <w:noProof/>
        </w:rPr>
        <w:t>374</w:t>
      </w:r>
      <w:r w:rsidRPr="00380510">
        <w:rPr>
          <w:rFonts w:ascii="Times" w:hAnsi="Times" w:cs="Times"/>
          <w:noProof/>
        </w:rPr>
        <w:fldChar w:fldCharType="end"/>
      </w:r>
    </w:p>
    <w:p w:rsidR="00380510" w:rsidRDefault="00380510">
      <w:pPr>
        <w:pStyle w:val="TOC4"/>
        <w:rPr>
          <w:rFonts w:ascii="Calibri" w:hAnsi="Calibri"/>
          <w:b w:val="0"/>
          <w:noProof/>
          <w:kern w:val="0"/>
          <w:sz w:val="22"/>
          <w:szCs w:val="22"/>
        </w:rPr>
      </w:pPr>
      <w:r>
        <w:rPr>
          <w:noProof/>
        </w:rPr>
        <w:t>Operative provisions</w:t>
      </w:r>
      <w:r w:rsidRPr="00380510">
        <w:rPr>
          <w:rFonts w:ascii="Times" w:hAnsi="Times" w:cs="Times"/>
          <w:b w:val="0"/>
          <w:noProof/>
          <w:sz w:val="18"/>
        </w:rPr>
        <w:tab/>
      </w:r>
      <w:r w:rsidRPr="00380510">
        <w:rPr>
          <w:rFonts w:ascii="Times" w:hAnsi="Times" w:cs="Times"/>
          <w:b w:val="0"/>
          <w:noProof/>
          <w:sz w:val="18"/>
        </w:rPr>
        <w:fldChar w:fldCharType="begin"/>
      </w:r>
      <w:r w:rsidRPr="00380510">
        <w:rPr>
          <w:rFonts w:ascii="Times" w:hAnsi="Times" w:cs="Times"/>
          <w:b w:val="0"/>
          <w:noProof/>
          <w:sz w:val="18"/>
        </w:rPr>
        <w:instrText xml:space="preserve"> PAGEREF _Toc338939547 \h </w:instrText>
      </w:r>
      <w:r w:rsidRPr="00380510">
        <w:rPr>
          <w:rFonts w:ascii="Times" w:hAnsi="Times" w:cs="Times"/>
          <w:b w:val="0"/>
          <w:noProof/>
          <w:sz w:val="18"/>
        </w:rPr>
      </w:r>
      <w:r w:rsidRPr="00380510">
        <w:rPr>
          <w:rFonts w:ascii="Times" w:hAnsi="Times" w:cs="Times"/>
          <w:b w:val="0"/>
          <w:noProof/>
          <w:sz w:val="18"/>
        </w:rPr>
        <w:fldChar w:fldCharType="separate"/>
      </w:r>
      <w:r w:rsidR="00623A5C">
        <w:rPr>
          <w:rFonts w:ascii="Times" w:hAnsi="Times" w:cs="Times"/>
          <w:b w:val="0"/>
          <w:noProof/>
          <w:sz w:val="18"/>
        </w:rPr>
        <w:t>375</w:t>
      </w:r>
      <w:r w:rsidRPr="00380510">
        <w:rPr>
          <w:rFonts w:ascii="Times" w:hAnsi="Times" w:cs="Times"/>
          <w:b w:val="0"/>
          <w:noProof/>
          <w:sz w:val="18"/>
        </w:rPr>
        <w:fldChar w:fldCharType="end"/>
      </w:r>
    </w:p>
    <w:p w:rsidR="00380510" w:rsidRDefault="00380510">
      <w:pPr>
        <w:pStyle w:val="TOC5"/>
        <w:rPr>
          <w:rFonts w:ascii="Calibri" w:hAnsi="Calibri"/>
          <w:iCs w:val="0"/>
          <w:noProof/>
          <w:kern w:val="0"/>
          <w:sz w:val="22"/>
          <w:szCs w:val="22"/>
        </w:rPr>
      </w:pPr>
      <w:r>
        <w:rPr>
          <w:noProof/>
        </w:rPr>
        <w:t>900</w:t>
      </w:r>
      <w:r>
        <w:rPr>
          <w:noProof/>
        </w:rPr>
        <w:noBreakHyphen/>
        <w:t>150</w:t>
      </w:r>
      <w:r>
        <w:rPr>
          <w:noProof/>
        </w:rPr>
        <w:tab/>
        <w:t>Recording activities in travel records</w:t>
      </w:r>
      <w:r w:rsidRPr="00380510">
        <w:rPr>
          <w:rFonts w:ascii="Times" w:hAnsi="Times" w:cs="Times"/>
          <w:noProof/>
        </w:rPr>
        <w:tab/>
      </w:r>
      <w:r w:rsidRPr="00380510">
        <w:rPr>
          <w:rFonts w:ascii="Times" w:hAnsi="Times" w:cs="Times"/>
          <w:noProof/>
        </w:rPr>
        <w:fldChar w:fldCharType="begin"/>
      </w:r>
      <w:r w:rsidRPr="00380510">
        <w:rPr>
          <w:rFonts w:ascii="Times" w:hAnsi="Times" w:cs="Times"/>
          <w:noProof/>
        </w:rPr>
        <w:instrText xml:space="preserve"> PAGEREF _Toc338939548 \h </w:instrText>
      </w:r>
      <w:r w:rsidRPr="00380510">
        <w:rPr>
          <w:rFonts w:ascii="Times" w:hAnsi="Times" w:cs="Times"/>
          <w:noProof/>
        </w:rPr>
      </w:r>
      <w:r w:rsidRPr="00380510">
        <w:rPr>
          <w:rFonts w:ascii="Times" w:hAnsi="Times" w:cs="Times"/>
          <w:noProof/>
        </w:rPr>
        <w:fldChar w:fldCharType="separate"/>
      </w:r>
      <w:r w:rsidR="00623A5C">
        <w:rPr>
          <w:rFonts w:ascii="Times" w:hAnsi="Times" w:cs="Times"/>
          <w:noProof/>
        </w:rPr>
        <w:t>375</w:t>
      </w:r>
      <w:r w:rsidRPr="00380510">
        <w:rPr>
          <w:rFonts w:ascii="Times" w:hAnsi="Times" w:cs="Times"/>
          <w:noProof/>
        </w:rPr>
        <w:fldChar w:fldCharType="end"/>
      </w:r>
    </w:p>
    <w:p w:rsidR="00380510" w:rsidRDefault="00380510">
      <w:pPr>
        <w:pStyle w:val="TOC5"/>
        <w:rPr>
          <w:rFonts w:ascii="Calibri" w:hAnsi="Calibri"/>
          <w:iCs w:val="0"/>
          <w:noProof/>
          <w:kern w:val="0"/>
          <w:sz w:val="22"/>
          <w:szCs w:val="22"/>
        </w:rPr>
      </w:pPr>
      <w:r>
        <w:rPr>
          <w:noProof/>
        </w:rPr>
        <w:t>900</w:t>
      </w:r>
      <w:r>
        <w:rPr>
          <w:noProof/>
        </w:rPr>
        <w:noBreakHyphen/>
        <w:t>155</w:t>
      </w:r>
      <w:r>
        <w:rPr>
          <w:noProof/>
        </w:rPr>
        <w:tab/>
        <w:t>Showing which of your activities were income</w:t>
      </w:r>
      <w:r>
        <w:rPr>
          <w:noProof/>
        </w:rPr>
        <w:noBreakHyphen/>
        <w:t>producing activities</w:t>
      </w:r>
      <w:r w:rsidRPr="00380510">
        <w:rPr>
          <w:rFonts w:ascii="Times" w:hAnsi="Times" w:cs="Times"/>
          <w:noProof/>
        </w:rPr>
        <w:tab/>
      </w:r>
      <w:r w:rsidRPr="00380510">
        <w:rPr>
          <w:rFonts w:ascii="Times" w:hAnsi="Times" w:cs="Times"/>
          <w:noProof/>
        </w:rPr>
        <w:fldChar w:fldCharType="begin"/>
      </w:r>
      <w:r w:rsidRPr="00380510">
        <w:rPr>
          <w:rFonts w:ascii="Times" w:hAnsi="Times" w:cs="Times"/>
          <w:noProof/>
        </w:rPr>
        <w:instrText xml:space="preserve"> PAGEREF _Toc338939549 \h </w:instrText>
      </w:r>
      <w:r w:rsidRPr="00380510">
        <w:rPr>
          <w:rFonts w:ascii="Times" w:hAnsi="Times" w:cs="Times"/>
          <w:noProof/>
        </w:rPr>
      </w:r>
      <w:r w:rsidRPr="00380510">
        <w:rPr>
          <w:rFonts w:ascii="Times" w:hAnsi="Times" w:cs="Times"/>
          <w:noProof/>
        </w:rPr>
        <w:fldChar w:fldCharType="separate"/>
      </w:r>
      <w:r w:rsidR="00623A5C">
        <w:rPr>
          <w:rFonts w:ascii="Times" w:hAnsi="Times" w:cs="Times"/>
          <w:noProof/>
        </w:rPr>
        <w:t>375</w:t>
      </w:r>
      <w:r w:rsidRPr="00380510">
        <w:rPr>
          <w:rFonts w:ascii="Times" w:hAnsi="Times" w:cs="Times"/>
          <w:noProof/>
        </w:rPr>
        <w:fldChar w:fldCharType="end"/>
      </w:r>
    </w:p>
    <w:p w:rsidR="00380510" w:rsidRDefault="00380510">
      <w:pPr>
        <w:pStyle w:val="TOC4"/>
        <w:rPr>
          <w:rFonts w:ascii="Calibri" w:hAnsi="Calibri"/>
          <w:b w:val="0"/>
          <w:noProof/>
          <w:kern w:val="0"/>
          <w:sz w:val="22"/>
          <w:szCs w:val="22"/>
        </w:rPr>
      </w:pPr>
      <w:r>
        <w:rPr>
          <w:noProof/>
        </w:rPr>
        <w:t>Subdivision 900</w:t>
      </w:r>
      <w:r>
        <w:rPr>
          <w:noProof/>
        </w:rPr>
        <w:noBreakHyphen/>
        <w:t>G—Retaining and producing records</w:t>
      </w:r>
      <w:r w:rsidRPr="00380510">
        <w:rPr>
          <w:rFonts w:ascii="Times" w:hAnsi="Times" w:cs="Times"/>
          <w:b w:val="0"/>
          <w:noProof/>
          <w:sz w:val="18"/>
        </w:rPr>
        <w:tab/>
      </w:r>
      <w:r w:rsidRPr="00380510">
        <w:rPr>
          <w:rFonts w:ascii="Times" w:hAnsi="Times" w:cs="Times"/>
          <w:b w:val="0"/>
          <w:noProof/>
          <w:sz w:val="18"/>
        </w:rPr>
        <w:fldChar w:fldCharType="begin"/>
      </w:r>
      <w:r w:rsidRPr="00380510">
        <w:rPr>
          <w:rFonts w:ascii="Times" w:hAnsi="Times" w:cs="Times"/>
          <w:b w:val="0"/>
          <w:noProof/>
          <w:sz w:val="18"/>
        </w:rPr>
        <w:instrText xml:space="preserve"> PAGEREF _Toc338939550 \h </w:instrText>
      </w:r>
      <w:r w:rsidRPr="00380510">
        <w:rPr>
          <w:rFonts w:ascii="Times" w:hAnsi="Times" w:cs="Times"/>
          <w:b w:val="0"/>
          <w:noProof/>
          <w:sz w:val="18"/>
        </w:rPr>
      </w:r>
      <w:r w:rsidRPr="00380510">
        <w:rPr>
          <w:rFonts w:ascii="Times" w:hAnsi="Times" w:cs="Times"/>
          <w:b w:val="0"/>
          <w:noProof/>
          <w:sz w:val="18"/>
        </w:rPr>
        <w:fldChar w:fldCharType="separate"/>
      </w:r>
      <w:r w:rsidR="00623A5C">
        <w:rPr>
          <w:rFonts w:ascii="Times" w:hAnsi="Times" w:cs="Times"/>
          <w:b w:val="0"/>
          <w:noProof/>
          <w:sz w:val="18"/>
        </w:rPr>
        <w:t>375</w:t>
      </w:r>
      <w:r w:rsidRPr="00380510">
        <w:rPr>
          <w:rFonts w:ascii="Times" w:hAnsi="Times" w:cs="Times"/>
          <w:b w:val="0"/>
          <w:noProof/>
          <w:sz w:val="18"/>
        </w:rPr>
        <w:fldChar w:fldCharType="end"/>
      </w:r>
    </w:p>
    <w:p w:rsidR="00380510" w:rsidRDefault="00380510">
      <w:pPr>
        <w:pStyle w:val="TOC4"/>
        <w:rPr>
          <w:rFonts w:ascii="Calibri" w:hAnsi="Calibri"/>
          <w:b w:val="0"/>
          <w:noProof/>
          <w:kern w:val="0"/>
          <w:sz w:val="22"/>
          <w:szCs w:val="22"/>
        </w:rPr>
      </w:pPr>
      <w:r>
        <w:rPr>
          <w:noProof/>
        </w:rPr>
        <w:t>Guide to Subdivision 900</w:t>
      </w:r>
      <w:r>
        <w:rPr>
          <w:noProof/>
        </w:rPr>
        <w:noBreakHyphen/>
        <w:t>G</w:t>
      </w:r>
      <w:r w:rsidRPr="00380510">
        <w:rPr>
          <w:rFonts w:ascii="Times" w:hAnsi="Times" w:cs="Times"/>
          <w:b w:val="0"/>
          <w:noProof/>
          <w:sz w:val="18"/>
        </w:rPr>
        <w:tab/>
      </w:r>
      <w:r w:rsidRPr="00380510">
        <w:rPr>
          <w:rFonts w:ascii="Times" w:hAnsi="Times" w:cs="Times"/>
          <w:b w:val="0"/>
          <w:noProof/>
          <w:sz w:val="18"/>
        </w:rPr>
        <w:fldChar w:fldCharType="begin"/>
      </w:r>
      <w:r w:rsidRPr="00380510">
        <w:rPr>
          <w:rFonts w:ascii="Times" w:hAnsi="Times" w:cs="Times"/>
          <w:b w:val="0"/>
          <w:noProof/>
          <w:sz w:val="18"/>
        </w:rPr>
        <w:instrText xml:space="preserve"> PAGEREF _Toc338939551 \h </w:instrText>
      </w:r>
      <w:r w:rsidRPr="00380510">
        <w:rPr>
          <w:rFonts w:ascii="Times" w:hAnsi="Times" w:cs="Times"/>
          <w:b w:val="0"/>
          <w:noProof/>
          <w:sz w:val="18"/>
        </w:rPr>
      </w:r>
      <w:r w:rsidRPr="00380510">
        <w:rPr>
          <w:rFonts w:ascii="Times" w:hAnsi="Times" w:cs="Times"/>
          <w:b w:val="0"/>
          <w:noProof/>
          <w:sz w:val="18"/>
        </w:rPr>
        <w:fldChar w:fldCharType="separate"/>
      </w:r>
      <w:r w:rsidR="00623A5C">
        <w:rPr>
          <w:rFonts w:ascii="Times" w:hAnsi="Times" w:cs="Times"/>
          <w:b w:val="0"/>
          <w:noProof/>
          <w:sz w:val="18"/>
        </w:rPr>
        <w:t>375</w:t>
      </w:r>
      <w:r w:rsidRPr="00380510">
        <w:rPr>
          <w:rFonts w:ascii="Times" w:hAnsi="Times" w:cs="Times"/>
          <w:b w:val="0"/>
          <w:noProof/>
          <w:sz w:val="18"/>
        </w:rPr>
        <w:fldChar w:fldCharType="end"/>
      </w:r>
    </w:p>
    <w:p w:rsidR="00380510" w:rsidRDefault="00380510">
      <w:pPr>
        <w:pStyle w:val="TOC5"/>
        <w:rPr>
          <w:rFonts w:ascii="Calibri" w:hAnsi="Calibri"/>
          <w:iCs w:val="0"/>
          <w:noProof/>
          <w:kern w:val="0"/>
          <w:sz w:val="22"/>
          <w:szCs w:val="22"/>
        </w:rPr>
      </w:pPr>
      <w:r>
        <w:rPr>
          <w:noProof/>
        </w:rPr>
        <w:t>900</w:t>
      </w:r>
      <w:r>
        <w:rPr>
          <w:noProof/>
        </w:rPr>
        <w:noBreakHyphen/>
        <w:t>160</w:t>
      </w:r>
      <w:r>
        <w:rPr>
          <w:noProof/>
        </w:rPr>
        <w:tab/>
        <w:t>What this Subdivision is about</w:t>
      </w:r>
      <w:r w:rsidRPr="00380510">
        <w:rPr>
          <w:rFonts w:ascii="Times" w:hAnsi="Times" w:cs="Times"/>
          <w:noProof/>
        </w:rPr>
        <w:tab/>
      </w:r>
      <w:r w:rsidRPr="00380510">
        <w:rPr>
          <w:rFonts w:ascii="Times" w:hAnsi="Times" w:cs="Times"/>
          <w:noProof/>
        </w:rPr>
        <w:fldChar w:fldCharType="begin"/>
      </w:r>
      <w:r w:rsidRPr="00380510">
        <w:rPr>
          <w:rFonts w:ascii="Times" w:hAnsi="Times" w:cs="Times"/>
          <w:noProof/>
        </w:rPr>
        <w:instrText xml:space="preserve"> PAGEREF _Toc338939552 \h </w:instrText>
      </w:r>
      <w:r w:rsidRPr="00380510">
        <w:rPr>
          <w:rFonts w:ascii="Times" w:hAnsi="Times" w:cs="Times"/>
          <w:noProof/>
        </w:rPr>
      </w:r>
      <w:r w:rsidRPr="00380510">
        <w:rPr>
          <w:rFonts w:ascii="Times" w:hAnsi="Times" w:cs="Times"/>
          <w:noProof/>
        </w:rPr>
        <w:fldChar w:fldCharType="separate"/>
      </w:r>
      <w:r w:rsidR="00623A5C">
        <w:rPr>
          <w:rFonts w:ascii="Times" w:hAnsi="Times" w:cs="Times"/>
          <w:noProof/>
        </w:rPr>
        <w:t>375</w:t>
      </w:r>
      <w:r w:rsidRPr="00380510">
        <w:rPr>
          <w:rFonts w:ascii="Times" w:hAnsi="Times" w:cs="Times"/>
          <w:noProof/>
        </w:rPr>
        <w:fldChar w:fldCharType="end"/>
      </w:r>
    </w:p>
    <w:p w:rsidR="00380510" w:rsidRDefault="00380510">
      <w:pPr>
        <w:pStyle w:val="TOC5"/>
        <w:rPr>
          <w:rFonts w:ascii="Calibri" w:hAnsi="Calibri"/>
          <w:iCs w:val="0"/>
          <w:noProof/>
          <w:kern w:val="0"/>
          <w:sz w:val="22"/>
          <w:szCs w:val="22"/>
        </w:rPr>
      </w:pPr>
      <w:r>
        <w:rPr>
          <w:noProof/>
        </w:rPr>
        <w:t>900</w:t>
      </w:r>
      <w:r>
        <w:rPr>
          <w:noProof/>
        </w:rPr>
        <w:noBreakHyphen/>
        <w:t>165</w:t>
      </w:r>
      <w:r>
        <w:rPr>
          <w:noProof/>
        </w:rPr>
        <w:tab/>
        <w:t>The retention period</w:t>
      </w:r>
      <w:r w:rsidRPr="00380510">
        <w:rPr>
          <w:rFonts w:ascii="Times" w:hAnsi="Times" w:cs="Times"/>
          <w:noProof/>
        </w:rPr>
        <w:tab/>
      </w:r>
      <w:r w:rsidRPr="00380510">
        <w:rPr>
          <w:rFonts w:ascii="Times" w:hAnsi="Times" w:cs="Times"/>
          <w:noProof/>
        </w:rPr>
        <w:fldChar w:fldCharType="begin"/>
      </w:r>
      <w:r w:rsidRPr="00380510">
        <w:rPr>
          <w:rFonts w:ascii="Times" w:hAnsi="Times" w:cs="Times"/>
          <w:noProof/>
        </w:rPr>
        <w:instrText xml:space="preserve"> PAGEREF _Toc338939553 \h </w:instrText>
      </w:r>
      <w:r w:rsidRPr="00380510">
        <w:rPr>
          <w:rFonts w:ascii="Times" w:hAnsi="Times" w:cs="Times"/>
          <w:noProof/>
        </w:rPr>
      </w:r>
      <w:r w:rsidRPr="00380510">
        <w:rPr>
          <w:rFonts w:ascii="Times" w:hAnsi="Times" w:cs="Times"/>
          <w:noProof/>
        </w:rPr>
        <w:fldChar w:fldCharType="separate"/>
      </w:r>
      <w:r w:rsidR="00623A5C">
        <w:rPr>
          <w:rFonts w:ascii="Times" w:hAnsi="Times" w:cs="Times"/>
          <w:noProof/>
        </w:rPr>
        <w:t>376</w:t>
      </w:r>
      <w:r w:rsidRPr="00380510">
        <w:rPr>
          <w:rFonts w:ascii="Times" w:hAnsi="Times" w:cs="Times"/>
          <w:noProof/>
        </w:rPr>
        <w:fldChar w:fldCharType="end"/>
      </w:r>
    </w:p>
    <w:p w:rsidR="00380510" w:rsidRDefault="00380510">
      <w:pPr>
        <w:pStyle w:val="TOC4"/>
        <w:rPr>
          <w:rFonts w:ascii="Calibri" w:hAnsi="Calibri"/>
          <w:b w:val="0"/>
          <w:noProof/>
          <w:kern w:val="0"/>
          <w:sz w:val="22"/>
          <w:szCs w:val="22"/>
        </w:rPr>
      </w:pPr>
      <w:r>
        <w:rPr>
          <w:noProof/>
        </w:rPr>
        <w:t>Operative provisions</w:t>
      </w:r>
      <w:r w:rsidRPr="00380510">
        <w:rPr>
          <w:rFonts w:ascii="Times" w:hAnsi="Times" w:cs="Times"/>
          <w:b w:val="0"/>
          <w:noProof/>
          <w:sz w:val="18"/>
        </w:rPr>
        <w:tab/>
      </w:r>
      <w:r w:rsidRPr="00380510">
        <w:rPr>
          <w:rFonts w:ascii="Times" w:hAnsi="Times" w:cs="Times"/>
          <w:b w:val="0"/>
          <w:noProof/>
          <w:sz w:val="18"/>
        </w:rPr>
        <w:fldChar w:fldCharType="begin"/>
      </w:r>
      <w:r w:rsidRPr="00380510">
        <w:rPr>
          <w:rFonts w:ascii="Times" w:hAnsi="Times" w:cs="Times"/>
          <w:b w:val="0"/>
          <w:noProof/>
          <w:sz w:val="18"/>
        </w:rPr>
        <w:instrText xml:space="preserve"> PAGEREF _Toc338939554 \h </w:instrText>
      </w:r>
      <w:r w:rsidRPr="00380510">
        <w:rPr>
          <w:rFonts w:ascii="Times" w:hAnsi="Times" w:cs="Times"/>
          <w:b w:val="0"/>
          <w:noProof/>
          <w:sz w:val="18"/>
        </w:rPr>
      </w:r>
      <w:r w:rsidRPr="00380510">
        <w:rPr>
          <w:rFonts w:ascii="Times" w:hAnsi="Times" w:cs="Times"/>
          <w:b w:val="0"/>
          <w:noProof/>
          <w:sz w:val="18"/>
        </w:rPr>
        <w:fldChar w:fldCharType="separate"/>
      </w:r>
      <w:r w:rsidR="00623A5C">
        <w:rPr>
          <w:rFonts w:ascii="Times" w:hAnsi="Times" w:cs="Times"/>
          <w:b w:val="0"/>
          <w:noProof/>
          <w:sz w:val="18"/>
        </w:rPr>
        <w:t>376</w:t>
      </w:r>
      <w:r w:rsidRPr="00380510">
        <w:rPr>
          <w:rFonts w:ascii="Times" w:hAnsi="Times" w:cs="Times"/>
          <w:b w:val="0"/>
          <w:noProof/>
          <w:sz w:val="18"/>
        </w:rPr>
        <w:fldChar w:fldCharType="end"/>
      </w:r>
    </w:p>
    <w:p w:rsidR="00380510" w:rsidRDefault="00380510">
      <w:pPr>
        <w:pStyle w:val="TOC5"/>
        <w:rPr>
          <w:rFonts w:ascii="Calibri" w:hAnsi="Calibri"/>
          <w:iCs w:val="0"/>
          <w:noProof/>
          <w:kern w:val="0"/>
          <w:sz w:val="22"/>
          <w:szCs w:val="22"/>
        </w:rPr>
      </w:pPr>
      <w:r>
        <w:rPr>
          <w:noProof/>
        </w:rPr>
        <w:t>900</w:t>
      </w:r>
      <w:r>
        <w:rPr>
          <w:noProof/>
        </w:rPr>
        <w:noBreakHyphen/>
        <w:t>170</w:t>
      </w:r>
      <w:r>
        <w:rPr>
          <w:noProof/>
        </w:rPr>
        <w:tab/>
        <w:t>Extending the retention period if an expense is disputed</w:t>
      </w:r>
      <w:r w:rsidRPr="00380510">
        <w:rPr>
          <w:rFonts w:ascii="Times" w:hAnsi="Times" w:cs="Times"/>
          <w:noProof/>
        </w:rPr>
        <w:tab/>
      </w:r>
      <w:r w:rsidRPr="00380510">
        <w:rPr>
          <w:rFonts w:ascii="Times" w:hAnsi="Times" w:cs="Times"/>
          <w:noProof/>
        </w:rPr>
        <w:fldChar w:fldCharType="begin"/>
      </w:r>
      <w:r w:rsidRPr="00380510">
        <w:rPr>
          <w:rFonts w:ascii="Times" w:hAnsi="Times" w:cs="Times"/>
          <w:noProof/>
        </w:rPr>
        <w:instrText xml:space="preserve"> PAGEREF _Toc338939555 \h </w:instrText>
      </w:r>
      <w:r w:rsidRPr="00380510">
        <w:rPr>
          <w:rFonts w:ascii="Times" w:hAnsi="Times" w:cs="Times"/>
          <w:noProof/>
        </w:rPr>
      </w:r>
      <w:r w:rsidRPr="00380510">
        <w:rPr>
          <w:rFonts w:ascii="Times" w:hAnsi="Times" w:cs="Times"/>
          <w:noProof/>
        </w:rPr>
        <w:fldChar w:fldCharType="separate"/>
      </w:r>
      <w:r w:rsidR="00623A5C">
        <w:rPr>
          <w:rFonts w:ascii="Times" w:hAnsi="Times" w:cs="Times"/>
          <w:noProof/>
        </w:rPr>
        <w:t>376</w:t>
      </w:r>
      <w:r w:rsidRPr="00380510">
        <w:rPr>
          <w:rFonts w:ascii="Times" w:hAnsi="Times" w:cs="Times"/>
          <w:noProof/>
        </w:rPr>
        <w:fldChar w:fldCharType="end"/>
      </w:r>
    </w:p>
    <w:p w:rsidR="00380510" w:rsidRDefault="00380510">
      <w:pPr>
        <w:pStyle w:val="TOC5"/>
        <w:rPr>
          <w:rFonts w:ascii="Calibri" w:hAnsi="Calibri"/>
          <w:iCs w:val="0"/>
          <w:noProof/>
          <w:kern w:val="0"/>
          <w:sz w:val="22"/>
          <w:szCs w:val="22"/>
        </w:rPr>
      </w:pPr>
      <w:r>
        <w:rPr>
          <w:noProof/>
        </w:rPr>
        <w:t>900</w:t>
      </w:r>
      <w:r>
        <w:rPr>
          <w:noProof/>
        </w:rPr>
        <w:noBreakHyphen/>
        <w:t>175</w:t>
      </w:r>
      <w:r>
        <w:rPr>
          <w:noProof/>
        </w:rPr>
        <w:tab/>
        <w:t>Commissioner may tell you to produce your records</w:t>
      </w:r>
      <w:r w:rsidRPr="00380510">
        <w:rPr>
          <w:rFonts w:ascii="Times" w:hAnsi="Times" w:cs="Times"/>
          <w:noProof/>
        </w:rPr>
        <w:tab/>
      </w:r>
      <w:r w:rsidRPr="00380510">
        <w:rPr>
          <w:rFonts w:ascii="Times" w:hAnsi="Times" w:cs="Times"/>
          <w:noProof/>
        </w:rPr>
        <w:fldChar w:fldCharType="begin"/>
      </w:r>
      <w:r w:rsidRPr="00380510">
        <w:rPr>
          <w:rFonts w:ascii="Times" w:hAnsi="Times" w:cs="Times"/>
          <w:noProof/>
        </w:rPr>
        <w:instrText xml:space="preserve"> PAGEREF _Toc338939556 \h </w:instrText>
      </w:r>
      <w:r w:rsidRPr="00380510">
        <w:rPr>
          <w:rFonts w:ascii="Times" w:hAnsi="Times" w:cs="Times"/>
          <w:noProof/>
        </w:rPr>
      </w:r>
      <w:r w:rsidRPr="00380510">
        <w:rPr>
          <w:rFonts w:ascii="Times" w:hAnsi="Times" w:cs="Times"/>
          <w:noProof/>
        </w:rPr>
        <w:fldChar w:fldCharType="separate"/>
      </w:r>
      <w:r w:rsidR="00623A5C">
        <w:rPr>
          <w:rFonts w:ascii="Times" w:hAnsi="Times" w:cs="Times"/>
          <w:noProof/>
        </w:rPr>
        <w:t>376</w:t>
      </w:r>
      <w:r w:rsidRPr="00380510">
        <w:rPr>
          <w:rFonts w:ascii="Times" w:hAnsi="Times" w:cs="Times"/>
          <w:noProof/>
        </w:rPr>
        <w:fldChar w:fldCharType="end"/>
      </w:r>
    </w:p>
    <w:p w:rsidR="00380510" w:rsidRDefault="00380510">
      <w:pPr>
        <w:pStyle w:val="TOC5"/>
        <w:rPr>
          <w:rFonts w:ascii="Calibri" w:hAnsi="Calibri"/>
          <w:iCs w:val="0"/>
          <w:noProof/>
          <w:kern w:val="0"/>
          <w:sz w:val="22"/>
          <w:szCs w:val="22"/>
        </w:rPr>
      </w:pPr>
      <w:r>
        <w:rPr>
          <w:noProof/>
        </w:rPr>
        <w:t>900</w:t>
      </w:r>
      <w:r>
        <w:rPr>
          <w:noProof/>
        </w:rPr>
        <w:noBreakHyphen/>
        <w:t>180</w:t>
      </w:r>
      <w:r>
        <w:rPr>
          <w:noProof/>
        </w:rPr>
        <w:tab/>
        <w:t>How to comply with a notice</w:t>
      </w:r>
      <w:r w:rsidRPr="00380510">
        <w:rPr>
          <w:rFonts w:ascii="Times" w:hAnsi="Times" w:cs="Times"/>
          <w:noProof/>
        </w:rPr>
        <w:tab/>
      </w:r>
      <w:r w:rsidRPr="00380510">
        <w:rPr>
          <w:rFonts w:ascii="Times" w:hAnsi="Times" w:cs="Times"/>
          <w:noProof/>
        </w:rPr>
        <w:fldChar w:fldCharType="begin"/>
      </w:r>
      <w:r w:rsidRPr="00380510">
        <w:rPr>
          <w:rFonts w:ascii="Times" w:hAnsi="Times" w:cs="Times"/>
          <w:noProof/>
        </w:rPr>
        <w:instrText xml:space="preserve"> PAGEREF _Toc338939557 \h </w:instrText>
      </w:r>
      <w:r w:rsidRPr="00380510">
        <w:rPr>
          <w:rFonts w:ascii="Times" w:hAnsi="Times" w:cs="Times"/>
          <w:noProof/>
        </w:rPr>
      </w:r>
      <w:r w:rsidRPr="00380510">
        <w:rPr>
          <w:rFonts w:ascii="Times" w:hAnsi="Times" w:cs="Times"/>
          <w:noProof/>
        </w:rPr>
        <w:fldChar w:fldCharType="separate"/>
      </w:r>
      <w:r w:rsidR="00623A5C">
        <w:rPr>
          <w:rFonts w:ascii="Times" w:hAnsi="Times" w:cs="Times"/>
          <w:noProof/>
        </w:rPr>
        <w:t>377</w:t>
      </w:r>
      <w:r w:rsidRPr="00380510">
        <w:rPr>
          <w:rFonts w:ascii="Times" w:hAnsi="Times" w:cs="Times"/>
          <w:noProof/>
        </w:rPr>
        <w:fldChar w:fldCharType="end"/>
      </w:r>
    </w:p>
    <w:p w:rsidR="00380510" w:rsidRDefault="00380510">
      <w:pPr>
        <w:pStyle w:val="TOC5"/>
        <w:rPr>
          <w:rFonts w:ascii="Calibri" w:hAnsi="Calibri"/>
          <w:iCs w:val="0"/>
          <w:noProof/>
          <w:kern w:val="0"/>
          <w:sz w:val="22"/>
          <w:szCs w:val="22"/>
        </w:rPr>
      </w:pPr>
      <w:r>
        <w:rPr>
          <w:noProof/>
        </w:rPr>
        <w:t>900</w:t>
      </w:r>
      <w:r>
        <w:rPr>
          <w:noProof/>
        </w:rPr>
        <w:noBreakHyphen/>
        <w:t>185</w:t>
      </w:r>
      <w:r>
        <w:rPr>
          <w:noProof/>
        </w:rPr>
        <w:tab/>
        <w:t>What happens if you don’t comply</w:t>
      </w:r>
      <w:r w:rsidRPr="00380510">
        <w:rPr>
          <w:rFonts w:ascii="Times" w:hAnsi="Times" w:cs="Times"/>
          <w:noProof/>
        </w:rPr>
        <w:tab/>
      </w:r>
      <w:r w:rsidRPr="00380510">
        <w:rPr>
          <w:rFonts w:ascii="Times" w:hAnsi="Times" w:cs="Times"/>
          <w:noProof/>
        </w:rPr>
        <w:fldChar w:fldCharType="begin"/>
      </w:r>
      <w:r w:rsidRPr="00380510">
        <w:rPr>
          <w:rFonts w:ascii="Times" w:hAnsi="Times" w:cs="Times"/>
          <w:noProof/>
        </w:rPr>
        <w:instrText xml:space="preserve"> PAGEREF _Toc338939558 \h </w:instrText>
      </w:r>
      <w:r w:rsidRPr="00380510">
        <w:rPr>
          <w:rFonts w:ascii="Times" w:hAnsi="Times" w:cs="Times"/>
          <w:noProof/>
        </w:rPr>
      </w:r>
      <w:r w:rsidRPr="00380510">
        <w:rPr>
          <w:rFonts w:ascii="Times" w:hAnsi="Times" w:cs="Times"/>
          <w:noProof/>
        </w:rPr>
        <w:fldChar w:fldCharType="separate"/>
      </w:r>
      <w:r w:rsidR="00623A5C">
        <w:rPr>
          <w:rFonts w:ascii="Times" w:hAnsi="Times" w:cs="Times"/>
          <w:noProof/>
        </w:rPr>
        <w:t>377</w:t>
      </w:r>
      <w:r w:rsidRPr="00380510">
        <w:rPr>
          <w:rFonts w:ascii="Times" w:hAnsi="Times" w:cs="Times"/>
          <w:noProof/>
        </w:rPr>
        <w:fldChar w:fldCharType="end"/>
      </w:r>
    </w:p>
    <w:p w:rsidR="00380510" w:rsidRDefault="00380510">
      <w:pPr>
        <w:pStyle w:val="TOC4"/>
        <w:rPr>
          <w:rFonts w:ascii="Calibri" w:hAnsi="Calibri"/>
          <w:b w:val="0"/>
          <w:noProof/>
          <w:kern w:val="0"/>
          <w:sz w:val="22"/>
          <w:szCs w:val="22"/>
        </w:rPr>
      </w:pPr>
      <w:r>
        <w:rPr>
          <w:noProof/>
        </w:rPr>
        <w:t>Subdivision 900</w:t>
      </w:r>
      <w:r>
        <w:rPr>
          <w:noProof/>
        </w:rPr>
        <w:noBreakHyphen/>
        <w:t>H—Relief from effects of failing to substantiate</w:t>
      </w:r>
      <w:r w:rsidRPr="00380510">
        <w:rPr>
          <w:rFonts w:ascii="Times" w:hAnsi="Times" w:cs="Times"/>
          <w:b w:val="0"/>
          <w:noProof/>
          <w:sz w:val="18"/>
        </w:rPr>
        <w:tab/>
      </w:r>
      <w:r w:rsidRPr="00380510">
        <w:rPr>
          <w:rFonts w:ascii="Times" w:hAnsi="Times" w:cs="Times"/>
          <w:b w:val="0"/>
          <w:noProof/>
          <w:sz w:val="18"/>
        </w:rPr>
        <w:fldChar w:fldCharType="begin"/>
      </w:r>
      <w:r w:rsidRPr="00380510">
        <w:rPr>
          <w:rFonts w:ascii="Times" w:hAnsi="Times" w:cs="Times"/>
          <w:b w:val="0"/>
          <w:noProof/>
          <w:sz w:val="18"/>
        </w:rPr>
        <w:instrText xml:space="preserve"> PAGEREF _Toc338939559 \h </w:instrText>
      </w:r>
      <w:r w:rsidRPr="00380510">
        <w:rPr>
          <w:rFonts w:ascii="Times" w:hAnsi="Times" w:cs="Times"/>
          <w:b w:val="0"/>
          <w:noProof/>
          <w:sz w:val="18"/>
        </w:rPr>
      </w:r>
      <w:r w:rsidRPr="00380510">
        <w:rPr>
          <w:rFonts w:ascii="Times" w:hAnsi="Times" w:cs="Times"/>
          <w:b w:val="0"/>
          <w:noProof/>
          <w:sz w:val="18"/>
        </w:rPr>
        <w:fldChar w:fldCharType="separate"/>
      </w:r>
      <w:r w:rsidR="00623A5C">
        <w:rPr>
          <w:rFonts w:ascii="Times" w:hAnsi="Times" w:cs="Times"/>
          <w:b w:val="0"/>
          <w:noProof/>
          <w:sz w:val="18"/>
        </w:rPr>
        <w:t>377</w:t>
      </w:r>
      <w:r w:rsidRPr="00380510">
        <w:rPr>
          <w:rFonts w:ascii="Times" w:hAnsi="Times" w:cs="Times"/>
          <w:b w:val="0"/>
          <w:noProof/>
          <w:sz w:val="18"/>
        </w:rPr>
        <w:fldChar w:fldCharType="end"/>
      </w:r>
    </w:p>
    <w:p w:rsidR="00380510" w:rsidRDefault="00380510">
      <w:pPr>
        <w:pStyle w:val="TOC5"/>
        <w:rPr>
          <w:rFonts w:ascii="Calibri" w:hAnsi="Calibri"/>
          <w:iCs w:val="0"/>
          <w:noProof/>
          <w:kern w:val="0"/>
          <w:sz w:val="22"/>
          <w:szCs w:val="22"/>
        </w:rPr>
      </w:pPr>
      <w:r>
        <w:rPr>
          <w:noProof/>
        </w:rPr>
        <w:t>900</w:t>
      </w:r>
      <w:r>
        <w:rPr>
          <w:noProof/>
        </w:rPr>
        <w:noBreakHyphen/>
        <w:t>195</w:t>
      </w:r>
      <w:r>
        <w:rPr>
          <w:noProof/>
        </w:rPr>
        <w:tab/>
        <w:t>Commissioner’s discretion to review failure to substantiate</w:t>
      </w:r>
      <w:r w:rsidRPr="00380510">
        <w:rPr>
          <w:rFonts w:ascii="Times" w:hAnsi="Times" w:cs="Times"/>
          <w:noProof/>
        </w:rPr>
        <w:tab/>
      </w:r>
      <w:r w:rsidRPr="00380510">
        <w:rPr>
          <w:rFonts w:ascii="Times" w:hAnsi="Times" w:cs="Times"/>
          <w:noProof/>
        </w:rPr>
        <w:fldChar w:fldCharType="begin"/>
      </w:r>
      <w:r w:rsidRPr="00380510">
        <w:rPr>
          <w:rFonts w:ascii="Times" w:hAnsi="Times" w:cs="Times"/>
          <w:noProof/>
        </w:rPr>
        <w:instrText xml:space="preserve"> PAGEREF _Toc338939560 \h </w:instrText>
      </w:r>
      <w:r w:rsidRPr="00380510">
        <w:rPr>
          <w:rFonts w:ascii="Times" w:hAnsi="Times" w:cs="Times"/>
          <w:noProof/>
        </w:rPr>
      </w:r>
      <w:r w:rsidRPr="00380510">
        <w:rPr>
          <w:rFonts w:ascii="Times" w:hAnsi="Times" w:cs="Times"/>
          <w:noProof/>
        </w:rPr>
        <w:fldChar w:fldCharType="separate"/>
      </w:r>
      <w:r w:rsidR="00623A5C">
        <w:rPr>
          <w:rFonts w:ascii="Times" w:hAnsi="Times" w:cs="Times"/>
          <w:noProof/>
        </w:rPr>
        <w:t>377</w:t>
      </w:r>
      <w:r w:rsidRPr="00380510">
        <w:rPr>
          <w:rFonts w:ascii="Times" w:hAnsi="Times" w:cs="Times"/>
          <w:noProof/>
        </w:rPr>
        <w:fldChar w:fldCharType="end"/>
      </w:r>
    </w:p>
    <w:p w:rsidR="00380510" w:rsidRDefault="00380510">
      <w:pPr>
        <w:pStyle w:val="TOC5"/>
        <w:rPr>
          <w:rFonts w:ascii="Calibri" w:hAnsi="Calibri"/>
          <w:iCs w:val="0"/>
          <w:noProof/>
          <w:kern w:val="0"/>
          <w:sz w:val="22"/>
          <w:szCs w:val="22"/>
        </w:rPr>
      </w:pPr>
      <w:r>
        <w:rPr>
          <w:noProof/>
        </w:rPr>
        <w:t>900</w:t>
      </w:r>
      <w:r>
        <w:rPr>
          <w:noProof/>
        </w:rPr>
        <w:noBreakHyphen/>
        <w:t>200</w:t>
      </w:r>
      <w:r>
        <w:rPr>
          <w:noProof/>
        </w:rPr>
        <w:tab/>
        <w:t>Reasonable expectation that substantiation would not be required</w:t>
      </w:r>
      <w:r w:rsidRPr="00380510">
        <w:rPr>
          <w:rFonts w:ascii="Times" w:hAnsi="Times" w:cs="Times"/>
          <w:noProof/>
        </w:rPr>
        <w:tab/>
      </w:r>
      <w:r w:rsidRPr="00380510">
        <w:rPr>
          <w:rFonts w:ascii="Times" w:hAnsi="Times" w:cs="Times"/>
          <w:noProof/>
        </w:rPr>
        <w:fldChar w:fldCharType="begin"/>
      </w:r>
      <w:r w:rsidRPr="00380510">
        <w:rPr>
          <w:rFonts w:ascii="Times" w:hAnsi="Times" w:cs="Times"/>
          <w:noProof/>
        </w:rPr>
        <w:instrText xml:space="preserve"> PAGEREF _Toc338939561 \h </w:instrText>
      </w:r>
      <w:r w:rsidRPr="00380510">
        <w:rPr>
          <w:rFonts w:ascii="Times" w:hAnsi="Times" w:cs="Times"/>
          <w:noProof/>
        </w:rPr>
      </w:r>
      <w:r w:rsidRPr="00380510">
        <w:rPr>
          <w:rFonts w:ascii="Times" w:hAnsi="Times" w:cs="Times"/>
          <w:noProof/>
        </w:rPr>
        <w:fldChar w:fldCharType="separate"/>
      </w:r>
      <w:r w:rsidR="00623A5C">
        <w:rPr>
          <w:rFonts w:ascii="Times" w:hAnsi="Times" w:cs="Times"/>
          <w:noProof/>
        </w:rPr>
        <w:t>378</w:t>
      </w:r>
      <w:r w:rsidRPr="00380510">
        <w:rPr>
          <w:rFonts w:ascii="Times" w:hAnsi="Times" w:cs="Times"/>
          <w:noProof/>
        </w:rPr>
        <w:fldChar w:fldCharType="end"/>
      </w:r>
    </w:p>
    <w:p w:rsidR="00380510" w:rsidRDefault="00380510">
      <w:pPr>
        <w:pStyle w:val="TOC5"/>
        <w:rPr>
          <w:rFonts w:ascii="Calibri" w:hAnsi="Calibri"/>
          <w:iCs w:val="0"/>
          <w:noProof/>
          <w:kern w:val="0"/>
          <w:sz w:val="22"/>
          <w:szCs w:val="22"/>
        </w:rPr>
      </w:pPr>
      <w:r>
        <w:rPr>
          <w:noProof/>
        </w:rPr>
        <w:t>900</w:t>
      </w:r>
      <w:r>
        <w:rPr>
          <w:noProof/>
        </w:rPr>
        <w:noBreakHyphen/>
        <w:t>205</w:t>
      </w:r>
      <w:r>
        <w:rPr>
          <w:noProof/>
        </w:rPr>
        <w:tab/>
        <w:t>What if your documents are lost or destroyed?</w:t>
      </w:r>
      <w:r w:rsidRPr="00380510">
        <w:rPr>
          <w:rFonts w:ascii="Times" w:hAnsi="Times" w:cs="Times"/>
          <w:noProof/>
        </w:rPr>
        <w:tab/>
      </w:r>
      <w:r w:rsidRPr="00380510">
        <w:rPr>
          <w:rFonts w:ascii="Times" w:hAnsi="Times" w:cs="Times"/>
          <w:noProof/>
        </w:rPr>
        <w:fldChar w:fldCharType="begin"/>
      </w:r>
      <w:r w:rsidRPr="00380510">
        <w:rPr>
          <w:rFonts w:ascii="Times" w:hAnsi="Times" w:cs="Times"/>
          <w:noProof/>
        </w:rPr>
        <w:instrText xml:space="preserve"> PAGEREF _Toc338939562 \h </w:instrText>
      </w:r>
      <w:r w:rsidRPr="00380510">
        <w:rPr>
          <w:rFonts w:ascii="Times" w:hAnsi="Times" w:cs="Times"/>
          <w:noProof/>
        </w:rPr>
      </w:r>
      <w:r w:rsidRPr="00380510">
        <w:rPr>
          <w:rFonts w:ascii="Times" w:hAnsi="Times" w:cs="Times"/>
          <w:noProof/>
        </w:rPr>
        <w:fldChar w:fldCharType="separate"/>
      </w:r>
      <w:r w:rsidR="00623A5C">
        <w:rPr>
          <w:rFonts w:ascii="Times" w:hAnsi="Times" w:cs="Times"/>
          <w:noProof/>
        </w:rPr>
        <w:t>378</w:t>
      </w:r>
      <w:r w:rsidRPr="00380510">
        <w:rPr>
          <w:rFonts w:ascii="Times" w:hAnsi="Times" w:cs="Times"/>
          <w:noProof/>
        </w:rPr>
        <w:fldChar w:fldCharType="end"/>
      </w:r>
    </w:p>
    <w:p w:rsidR="00380510" w:rsidRDefault="00380510">
      <w:pPr>
        <w:pStyle w:val="TOC4"/>
        <w:rPr>
          <w:rFonts w:ascii="Calibri" w:hAnsi="Calibri"/>
          <w:b w:val="0"/>
          <w:noProof/>
          <w:kern w:val="0"/>
          <w:sz w:val="22"/>
          <w:szCs w:val="22"/>
        </w:rPr>
      </w:pPr>
      <w:r>
        <w:rPr>
          <w:noProof/>
        </w:rPr>
        <w:t>Subdivision 900</w:t>
      </w:r>
      <w:r>
        <w:rPr>
          <w:noProof/>
        </w:rPr>
        <w:noBreakHyphen/>
        <w:t>I—Award transport payments</w:t>
      </w:r>
      <w:r w:rsidRPr="00380510">
        <w:rPr>
          <w:rFonts w:ascii="Times" w:hAnsi="Times" w:cs="Times"/>
          <w:b w:val="0"/>
          <w:noProof/>
          <w:sz w:val="18"/>
        </w:rPr>
        <w:tab/>
      </w:r>
      <w:r w:rsidRPr="00380510">
        <w:rPr>
          <w:rFonts w:ascii="Times" w:hAnsi="Times" w:cs="Times"/>
          <w:b w:val="0"/>
          <w:noProof/>
          <w:sz w:val="18"/>
        </w:rPr>
        <w:fldChar w:fldCharType="begin"/>
      </w:r>
      <w:r w:rsidRPr="00380510">
        <w:rPr>
          <w:rFonts w:ascii="Times" w:hAnsi="Times" w:cs="Times"/>
          <w:b w:val="0"/>
          <w:noProof/>
          <w:sz w:val="18"/>
        </w:rPr>
        <w:instrText xml:space="preserve"> PAGEREF _Toc338939563 \h </w:instrText>
      </w:r>
      <w:r w:rsidRPr="00380510">
        <w:rPr>
          <w:rFonts w:ascii="Times" w:hAnsi="Times" w:cs="Times"/>
          <w:b w:val="0"/>
          <w:noProof/>
          <w:sz w:val="18"/>
        </w:rPr>
      </w:r>
      <w:r w:rsidRPr="00380510">
        <w:rPr>
          <w:rFonts w:ascii="Times" w:hAnsi="Times" w:cs="Times"/>
          <w:b w:val="0"/>
          <w:noProof/>
          <w:sz w:val="18"/>
        </w:rPr>
        <w:fldChar w:fldCharType="separate"/>
      </w:r>
      <w:r w:rsidR="00623A5C">
        <w:rPr>
          <w:rFonts w:ascii="Times" w:hAnsi="Times" w:cs="Times"/>
          <w:b w:val="0"/>
          <w:noProof/>
          <w:sz w:val="18"/>
        </w:rPr>
        <w:t>379</w:t>
      </w:r>
      <w:r w:rsidRPr="00380510">
        <w:rPr>
          <w:rFonts w:ascii="Times" w:hAnsi="Times" w:cs="Times"/>
          <w:b w:val="0"/>
          <w:noProof/>
          <w:sz w:val="18"/>
        </w:rPr>
        <w:fldChar w:fldCharType="end"/>
      </w:r>
    </w:p>
    <w:p w:rsidR="00380510" w:rsidRDefault="00380510">
      <w:pPr>
        <w:pStyle w:val="TOC4"/>
        <w:rPr>
          <w:rFonts w:ascii="Calibri" w:hAnsi="Calibri"/>
          <w:b w:val="0"/>
          <w:noProof/>
          <w:kern w:val="0"/>
          <w:sz w:val="22"/>
          <w:szCs w:val="22"/>
        </w:rPr>
      </w:pPr>
      <w:r>
        <w:rPr>
          <w:noProof/>
        </w:rPr>
        <w:t>Guide to Subdivision 900</w:t>
      </w:r>
      <w:r>
        <w:rPr>
          <w:noProof/>
        </w:rPr>
        <w:noBreakHyphen/>
        <w:t>I</w:t>
      </w:r>
      <w:r w:rsidRPr="00380510">
        <w:rPr>
          <w:rFonts w:ascii="Times" w:hAnsi="Times" w:cs="Times"/>
          <w:b w:val="0"/>
          <w:noProof/>
          <w:sz w:val="18"/>
        </w:rPr>
        <w:tab/>
      </w:r>
      <w:r w:rsidRPr="00380510">
        <w:rPr>
          <w:rFonts w:ascii="Times" w:hAnsi="Times" w:cs="Times"/>
          <w:b w:val="0"/>
          <w:noProof/>
          <w:sz w:val="18"/>
        </w:rPr>
        <w:fldChar w:fldCharType="begin"/>
      </w:r>
      <w:r w:rsidRPr="00380510">
        <w:rPr>
          <w:rFonts w:ascii="Times" w:hAnsi="Times" w:cs="Times"/>
          <w:b w:val="0"/>
          <w:noProof/>
          <w:sz w:val="18"/>
        </w:rPr>
        <w:instrText xml:space="preserve"> PAGEREF _Toc338939564 \h </w:instrText>
      </w:r>
      <w:r w:rsidRPr="00380510">
        <w:rPr>
          <w:rFonts w:ascii="Times" w:hAnsi="Times" w:cs="Times"/>
          <w:b w:val="0"/>
          <w:noProof/>
          <w:sz w:val="18"/>
        </w:rPr>
      </w:r>
      <w:r w:rsidRPr="00380510">
        <w:rPr>
          <w:rFonts w:ascii="Times" w:hAnsi="Times" w:cs="Times"/>
          <w:b w:val="0"/>
          <w:noProof/>
          <w:sz w:val="18"/>
        </w:rPr>
        <w:fldChar w:fldCharType="separate"/>
      </w:r>
      <w:r w:rsidR="00623A5C">
        <w:rPr>
          <w:rFonts w:ascii="Times" w:hAnsi="Times" w:cs="Times"/>
          <w:b w:val="0"/>
          <w:noProof/>
          <w:sz w:val="18"/>
        </w:rPr>
        <w:t>379</w:t>
      </w:r>
      <w:r w:rsidRPr="00380510">
        <w:rPr>
          <w:rFonts w:ascii="Times" w:hAnsi="Times" w:cs="Times"/>
          <w:b w:val="0"/>
          <w:noProof/>
          <w:sz w:val="18"/>
        </w:rPr>
        <w:fldChar w:fldCharType="end"/>
      </w:r>
    </w:p>
    <w:p w:rsidR="00380510" w:rsidRDefault="00380510">
      <w:pPr>
        <w:pStyle w:val="TOC5"/>
        <w:rPr>
          <w:rFonts w:ascii="Calibri" w:hAnsi="Calibri"/>
          <w:iCs w:val="0"/>
          <w:noProof/>
          <w:kern w:val="0"/>
          <w:sz w:val="22"/>
          <w:szCs w:val="22"/>
        </w:rPr>
      </w:pPr>
      <w:r>
        <w:rPr>
          <w:noProof/>
        </w:rPr>
        <w:t>900</w:t>
      </w:r>
      <w:r>
        <w:rPr>
          <w:noProof/>
        </w:rPr>
        <w:noBreakHyphen/>
        <w:t>210</w:t>
      </w:r>
      <w:r>
        <w:rPr>
          <w:noProof/>
        </w:rPr>
        <w:tab/>
        <w:t>What this Subdivision is about</w:t>
      </w:r>
      <w:r w:rsidRPr="00380510">
        <w:rPr>
          <w:rFonts w:ascii="Times" w:hAnsi="Times" w:cs="Times"/>
          <w:noProof/>
        </w:rPr>
        <w:tab/>
      </w:r>
      <w:r w:rsidRPr="00380510">
        <w:rPr>
          <w:rFonts w:ascii="Times" w:hAnsi="Times" w:cs="Times"/>
          <w:noProof/>
        </w:rPr>
        <w:fldChar w:fldCharType="begin"/>
      </w:r>
      <w:r w:rsidRPr="00380510">
        <w:rPr>
          <w:rFonts w:ascii="Times" w:hAnsi="Times" w:cs="Times"/>
          <w:noProof/>
        </w:rPr>
        <w:instrText xml:space="preserve"> PAGEREF _Toc338939565 \h </w:instrText>
      </w:r>
      <w:r w:rsidRPr="00380510">
        <w:rPr>
          <w:rFonts w:ascii="Times" w:hAnsi="Times" w:cs="Times"/>
          <w:noProof/>
        </w:rPr>
      </w:r>
      <w:r w:rsidRPr="00380510">
        <w:rPr>
          <w:rFonts w:ascii="Times" w:hAnsi="Times" w:cs="Times"/>
          <w:noProof/>
        </w:rPr>
        <w:fldChar w:fldCharType="separate"/>
      </w:r>
      <w:r w:rsidR="00623A5C">
        <w:rPr>
          <w:rFonts w:ascii="Times" w:hAnsi="Times" w:cs="Times"/>
          <w:noProof/>
        </w:rPr>
        <w:t>379</w:t>
      </w:r>
      <w:r w:rsidRPr="00380510">
        <w:rPr>
          <w:rFonts w:ascii="Times" w:hAnsi="Times" w:cs="Times"/>
          <w:noProof/>
        </w:rPr>
        <w:fldChar w:fldCharType="end"/>
      </w:r>
    </w:p>
    <w:p w:rsidR="00380510" w:rsidRDefault="00380510">
      <w:pPr>
        <w:pStyle w:val="TOC4"/>
        <w:rPr>
          <w:rFonts w:ascii="Calibri" w:hAnsi="Calibri"/>
          <w:b w:val="0"/>
          <w:noProof/>
          <w:kern w:val="0"/>
          <w:sz w:val="22"/>
          <w:szCs w:val="22"/>
        </w:rPr>
      </w:pPr>
      <w:r>
        <w:rPr>
          <w:noProof/>
        </w:rPr>
        <w:t>Operative provisions</w:t>
      </w:r>
      <w:r w:rsidRPr="00380510">
        <w:rPr>
          <w:rFonts w:ascii="Times" w:hAnsi="Times" w:cs="Times"/>
          <w:b w:val="0"/>
          <w:noProof/>
          <w:sz w:val="18"/>
        </w:rPr>
        <w:tab/>
      </w:r>
      <w:r w:rsidRPr="00380510">
        <w:rPr>
          <w:rFonts w:ascii="Times" w:hAnsi="Times" w:cs="Times"/>
          <w:b w:val="0"/>
          <w:noProof/>
          <w:sz w:val="18"/>
        </w:rPr>
        <w:fldChar w:fldCharType="begin"/>
      </w:r>
      <w:r w:rsidRPr="00380510">
        <w:rPr>
          <w:rFonts w:ascii="Times" w:hAnsi="Times" w:cs="Times"/>
          <w:b w:val="0"/>
          <w:noProof/>
          <w:sz w:val="18"/>
        </w:rPr>
        <w:instrText xml:space="preserve"> PAGEREF _Toc338939566 \h </w:instrText>
      </w:r>
      <w:r w:rsidRPr="00380510">
        <w:rPr>
          <w:rFonts w:ascii="Times" w:hAnsi="Times" w:cs="Times"/>
          <w:b w:val="0"/>
          <w:noProof/>
          <w:sz w:val="18"/>
        </w:rPr>
      </w:r>
      <w:r w:rsidRPr="00380510">
        <w:rPr>
          <w:rFonts w:ascii="Times" w:hAnsi="Times" w:cs="Times"/>
          <w:b w:val="0"/>
          <w:noProof/>
          <w:sz w:val="18"/>
        </w:rPr>
        <w:fldChar w:fldCharType="separate"/>
      </w:r>
      <w:r w:rsidR="00623A5C">
        <w:rPr>
          <w:rFonts w:ascii="Times" w:hAnsi="Times" w:cs="Times"/>
          <w:b w:val="0"/>
          <w:noProof/>
          <w:sz w:val="18"/>
        </w:rPr>
        <w:t>379</w:t>
      </w:r>
      <w:r w:rsidRPr="00380510">
        <w:rPr>
          <w:rFonts w:ascii="Times" w:hAnsi="Times" w:cs="Times"/>
          <w:b w:val="0"/>
          <w:noProof/>
          <w:sz w:val="18"/>
        </w:rPr>
        <w:fldChar w:fldCharType="end"/>
      </w:r>
    </w:p>
    <w:p w:rsidR="00380510" w:rsidRDefault="00380510">
      <w:pPr>
        <w:pStyle w:val="TOC5"/>
        <w:rPr>
          <w:rFonts w:ascii="Calibri" w:hAnsi="Calibri"/>
          <w:iCs w:val="0"/>
          <w:noProof/>
          <w:kern w:val="0"/>
          <w:sz w:val="22"/>
          <w:szCs w:val="22"/>
        </w:rPr>
      </w:pPr>
      <w:r>
        <w:rPr>
          <w:noProof/>
        </w:rPr>
        <w:t>900</w:t>
      </w:r>
      <w:r>
        <w:rPr>
          <w:noProof/>
        </w:rPr>
        <w:noBreakHyphen/>
        <w:t>215</w:t>
      </w:r>
      <w:r>
        <w:rPr>
          <w:noProof/>
        </w:rPr>
        <w:tab/>
        <w:t>Deducting an expense related to an award transport payment</w:t>
      </w:r>
      <w:r w:rsidRPr="00380510">
        <w:rPr>
          <w:rFonts w:ascii="Times" w:hAnsi="Times" w:cs="Times"/>
          <w:noProof/>
        </w:rPr>
        <w:tab/>
      </w:r>
      <w:r w:rsidRPr="00380510">
        <w:rPr>
          <w:rFonts w:ascii="Times" w:hAnsi="Times" w:cs="Times"/>
          <w:noProof/>
        </w:rPr>
        <w:fldChar w:fldCharType="begin"/>
      </w:r>
      <w:r w:rsidRPr="00380510">
        <w:rPr>
          <w:rFonts w:ascii="Times" w:hAnsi="Times" w:cs="Times"/>
          <w:noProof/>
        </w:rPr>
        <w:instrText xml:space="preserve"> PAGEREF _Toc338939567 \h </w:instrText>
      </w:r>
      <w:r w:rsidRPr="00380510">
        <w:rPr>
          <w:rFonts w:ascii="Times" w:hAnsi="Times" w:cs="Times"/>
          <w:noProof/>
        </w:rPr>
      </w:r>
      <w:r w:rsidRPr="00380510">
        <w:rPr>
          <w:rFonts w:ascii="Times" w:hAnsi="Times" w:cs="Times"/>
          <w:noProof/>
        </w:rPr>
        <w:fldChar w:fldCharType="separate"/>
      </w:r>
      <w:r w:rsidR="00623A5C">
        <w:rPr>
          <w:rFonts w:ascii="Times" w:hAnsi="Times" w:cs="Times"/>
          <w:noProof/>
        </w:rPr>
        <w:t>379</w:t>
      </w:r>
      <w:r w:rsidRPr="00380510">
        <w:rPr>
          <w:rFonts w:ascii="Times" w:hAnsi="Times" w:cs="Times"/>
          <w:noProof/>
        </w:rPr>
        <w:fldChar w:fldCharType="end"/>
      </w:r>
    </w:p>
    <w:p w:rsidR="00380510" w:rsidRDefault="00380510">
      <w:pPr>
        <w:pStyle w:val="TOC5"/>
        <w:rPr>
          <w:rFonts w:ascii="Calibri" w:hAnsi="Calibri"/>
          <w:iCs w:val="0"/>
          <w:noProof/>
          <w:kern w:val="0"/>
          <w:sz w:val="22"/>
          <w:szCs w:val="22"/>
        </w:rPr>
      </w:pPr>
      <w:r>
        <w:rPr>
          <w:noProof/>
        </w:rPr>
        <w:t>900</w:t>
      </w:r>
      <w:r>
        <w:rPr>
          <w:noProof/>
        </w:rPr>
        <w:noBreakHyphen/>
        <w:t>220</w:t>
      </w:r>
      <w:r>
        <w:rPr>
          <w:noProof/>
        </w:rPr>
        <w:tab/>
        <w:t xml:space="preserve">Definition of </w:t>
      </w:r>
      <w:r w:rsidRPr="008A0EAA">
        <w:rPr>
          <w:i/>
          <w:noProof/>
        </w:rPr>
        <w:t>award transport payment</w:t>
      </w:r>
      <w:r w:rsidRPr="00380510">
        <w:rPr>
          <w:rFonts w:ascii="Times" w:hAnsi="Times" w:cs="Times"/>
          <w:noProof/>
        </w:rPr>
        <w:tab/>
      </w:r>
      <w:r w:rsidRPr="00380510">
        <w:rPr>
          <w:rFonts w:ascii="Times" w:hAnsi="Times" w:cs="Times"/>
          <w:noProof/>
        </w:rPr>
        <w:fldChar w:fldCharType="begin"/>
      </w:r>
      <w:r w:rsidRPr="00380510">
        <w:rPr>
          <w:rFonts w:ascii="Times" w:hAnsi="Times" w:cs="Times"/>
          <w:noProof/>
        </w:rPr>
        <w:instrText xml:space="preserve"> PAGEREF _Toc338939568 \h </w:instrText>
      </w:r>
      <w:r w:rsidRPr="00380510">
        <w:rPr>
          <w:rFonts w:ascii="Times" w:hAnsi="Times" w:cs="Times"/>
          <w:noProof/>
        </w:rPr>
      </w:r>
      <w:r w:rsidRPr="00380510">
        <w:rPr>
          <w:rFonts w:ascii="Times" w:hAnsi="Times" w:cs="Times"/>
          <w:noProof/>
        </w:rPr>
        <w:fldChar w:fldCharType="separate"/>
      </w:r>
      <w:r w:rsidR="00623A5C">
        <w:rPr>
          <w:rFonts w:ascii="Times" w:hAnsi="Times" w:cs="Times"/>
          <w:noProof/>
        </w:rPr>
        <w:t>380</w:t>
      </w:r>
      <w:r w:rsidRPr="00380510">
        <w:rPr>
          <w:rFonts w:ascii="Times" w:hAnsi="Times" w:cs="Times"/>
          <w:noProof/>
        </w:rPr>
        <w:fldChar w:fldCharType="end"/>
      </w:r>
    </w:p>
    <w:p w:rsidR="00380510" w:rsidRDefault="00380510">
      <w:pPr>
        <w:pStyle w:val="TOC5"/>
        <w:rPr>
          <w:rFonts w:ascii="Calibri" w:hAnsi="Calibri"/>
          <w:iCs w:val="0"/>
          <w:noProof/>
          <w:kern w:val="0"/>
          <w:sz w:val="22"/>
          <w:szCs w:val="22"/>
        </w:rPr>
      </w:pPr>
      <w:r>
        <w:rPr>
          <w:noProof/>
        </w:rPr>
        <w:lastRenderedPageBreak/>
        <w:t>900</w:t>
      </w:r>
      <w:r>
        <w:rPr>
          <w:noProof/>
        </w:rPr>
        <w:noBreakHyphen/>
        <w:t>225</w:t>
      </w:r>
      <w:r>
        <w:rPr>
          <w:noProof/>
        </w:rPr>
        <w:tab/>
        <w:t>Substituted industrial instruments</w:t>
      </w:r>
      <w:r w:rsidRPr="00380510">
        <w:rPr>
          <w:rFonts w:ascii="Times" w:hAnsi="Times" w:cs="Times"/>
          <w:noProof/>
        </w:rPr>
        <w:tab/>
      </w:r>
      <w:r w:rsidRPr="00380510">
        <w:rPr>
          <w:rFonts w:ascii="Times" w:hAnsi="Times" w:cs="Times"/>
          <w:noProof/>
        </w:rPr>
        <w:fldChar w:fldCharType="begin"/>
      </w:r>
      <w:r w:rsidRPr="00380510">
        <w:rPr>
          <w:rFonts w:ascii="Times" w:hAnsi="Times" w:cs="Times"/>
          <w:noProof/>
        </w:rPr>
        <w:instrText xml:space="preserve"> PAGEREF _Toc338939569 \h </w:instrText>
      </w:r>
      <w:r w:rsidRPr="00380510">
        <w:rPr>
          <w:rFonts w:ascii="Times" w:hAnsi="Times" w:cs="Times"/>
          <w:noProof/>
        </w:rPr>
      </w:r>
      <w:r w:rsidRPr="00380510">
        <w:rPr>
          <w:rFonts w:ascii="Times" w:hAnsi="Times" w:cs="Times"/>
          <w:noProof/>
        </w:rPr>
        <w:fldChar w:fldCharType="separate"/>
      </w:r>
      <w:r w:rsidR="00623A5C">
        <w:rPr>
          <w:rFonts w:ascii="Times" w:hAnsi="Times" w:cs="Times"/>
          <w:noProof/>
        </w:rPr>
        <w:t>381</w:t>
      </w:r>
      <w:r w:rsidRPr="00380510">
        <w:rPr>
          <w:rFonts w:ascii="Times" w:hAnsi="Times" w:cs="Times"/>
          <w:noProof/>
        </w:rPr>
        <w:fldChar w:fldCharType="end"/>
      </w:r>
    </w:p>
    <w:p w:rsidR="00380510" w:rsidRDefault="00380510">
      <w:pPr>
        <w:pStyle w:val="TOC5"/>
        <w:rPr>
          <w:rFonts w:ascii="Calibri" w:hAnsi="Calibri"/>
          <w:iCs w:val="0"/>
          <w:noProof/>
          <w:kern w:val="0"/>
          <w:sz w:val="22"/>
          <w:szCs w:val="22"/>
        </w:rPr>
      </w:pPr>
      <w:r>
        <w:rPr>
          <w:noProof/>
        </w:rPr>
        <w:t>900</w:t>
      </w:r>
      <w:r>
        <w:rPr>
          <w:noProof/>
        </w:rPr>
        <w:noBreakHyphen/>
        <w:t>230</w:t>
      </w:r>
      <w:r>
        <w:rPr>
          <w:noProof/>
        </w:rPr>
        <w:tab/>
        <w:t>Changes to industrial instruments applied for before 29 October 1986</w:t>
      </w:r>
      <w:r w:rsidRPr="00380510">
        <w:rPr>
          <w:rFonts w:ascii="Times" w:hAnsi="Times" w:cs="Times"/>
          <w:noProof/>
        </w:rPr>
        <w:tab/>
      </w:r>
      <w:r w:rsidRPr="00380510">
        <w:rPr>
          <w:rFonts w:ascii="Times" w:hAnsi="Times" w:cs="Times"/>
          <w:noProof/>
        </w:rPr>
        <w:fldChar w:fldCharType="begin"/>
      </w:r>
      <w:r w:rsidRPr="00380510">
        <w:rPr>
          <w:rFonts w:ascii="Times" w:hAnsi="Times" w:cs="Times"/>
          <w:noProof/>
        </w:rPr>
        <w:instrText xml:space="preserve"> PAGEREF _Toc338939570 \h </w:instrText>
      </w:r>
      <w:r w:rsidRPr="00380510">
        <w:rPr>
          <w:rFonts w:ascii="Times" w:hAnsi="Times" w:cs="Times"/>
          <w:noProof/>
        </w:rPr>
      </w:r>
      <w:r w:rsidRPr="00380510">
        <w:rPr>
          <w:rFonts w:ascii="Times" w:hAnsi="Times" w:cs="Times"/>
          <w:noProof/>
        </w:rPr>
        <w:fldChar w:fldCharType="separate"/>
      </w:r>
      <w:r w:rsidR="00623A5C">
        <w:rPr>
          <w:rFonts w:ascii="Times" w:hAnsi="Times" w:cs="Times"/>
          <w:noProof/>
        </w:rPr>
        <w:t>381</w:t>
      </w:r>
      <w:r w:rsidRPr="00380510">
        <w:rPr>
          <w:rFonts w:ascii="Times" w:hAnsi="Times" w:cs="Times"/>
          <w:noProof/>
        </w:rPr>
        <w:fldChar w:fldCharType="end"/>
      </w:r>
    </w:p>
    <w:p w:rsidR="00380510" w:rsidRDefault="00380510">
      <w:pPr>
        <w:pStyle w:val="TOC5"/>
        <w:rPr>
          <w:rFonts w:ascii="Calibri" w:hAnsi="Calibri"/>
          <w:iCs w:val="0"/>
          <w:noProof/>
          <w:kern w:val="0"/>
          <w:sz w:val="22"/>
          <w:szCs w:val="22"/>
        </w:rPr>
      </w:pPr>
      <w:r>
        <w:rPr>
          <w:noProof/>
        </w:rPr>
        <w:t>900</w:t>
      </w:r>
      <w:r>
        <w:rPr>
          <w:noProof/>
        </w:rPr>
        <w:noBreakHyphen/>
        <w:t>235</w:t>
      </w:r>
      <w:r>
        <w:rPr>
          <w:noProof/>
        </w:rPr>
        <w:tab/>
        <w:t>Changes to industrial instruments solely referable to matters in the instrument</w:t>
      </w:r>
      <w:r w:rsidRPr="00380510">
        <w:rPr>
          <w:rFonts w:ascii="Times" w:hAnsi="Times" w:cs="Times"/>
          <w:noProof/>
        </w:rPr>
        <w:tab/>
      </w:r>
      <w:r w:rsidRPr="00380510">
        <w:rPr>
          <w:rFonts w:ascii="Times" w:hAnsi="Times" w:cs="Times"/>
          <w:noProof/>
        </w:rPr>
        <w:fldChar w:fldCharType="begin"/>
      </w:r>
      <w:r w:rsidRPr="00380510">
        <w:rPr>
          <w:rFonts w:ascii="Times" w:hAnsi="Times" w:cs="Times"/>
          <w:noProof/>
        </w:rPr>
        <w:instrText xml:space="preserve"> PAGEREF _Toc338939571 \h </w:instrText>
      </w:r>
      <w:r w:rsidRPr="00380510">
        <w:rPr>
          <w:rFonts w:ascii="Times" w:hAnsi="Times" w:cs="Times"/>
          <w:noProof/>
        </w:rPr>
      </w:r>
      <w:r w:rsidRPr="00380510">
        <w:rPr>
          <w:rFonts w:ascii="Times" w:hAnsi="Times" w:cs="Times"/>
          <w:noProof/>
        </w:rPr>
        <w:fldChar w:fldCharType="separate"/>
      </w:r>
      <w:r w:rsidR="00623A5C">
        <w:rPr>
          <w:rFonts w:ascii="Times" w:hAnsi="Times" w:cs="Times"/>
          <w:noProof/>
        </w:rPr>
        <w:t>381</w:t>
      </w:r>
      <w:r w:rsidRPr="00380510">
        <w:rPr>
          <w:rFonts w:ascii="Times" w:hAnsi="Times" w:cs="Times"/>
          <w:noProof/>
        </w:rPr>
        <w:fldChar w:fldCharType="end"/>
      </w:r>
    </w:p>
    <w:p w:rsidR="00380510" w:rsidRDefault="00380510">
      <w:pPr>
        <w:pStyle w:val="TOC5"/>
        <w:rPr>
          <w:rFonts w:ascii="Calibri" w:hAnsi="Calibri"/>
          <w:iCs w:val="0"/>
          <w:noProof/>
          <w:kern w:val="0"/>
          <w:sz w:val="22"/>
          <w:szCs w:val="22"/>
        </w:rPr>
      </w:pPr>
      <w:r>
        <w:rPr>
          <w:noProof/>
        </w:rPr>
        <w:t>900</w:t>
      </w:r>
      <w:r>
        <w:rPr>
          <w:noProof/>
        </w:rPr>
        <w:noBreakHyphen/>
        <w:t>240</w:t>
      </w:r>
      <w:r>
        <w:rPr>
          <w:noProof/>
        </w:rPr>
        <w:tab/>
        <w:t>Deducting in anticipation of receiving award transport payment</w:t>
      </w:r>
      <w:r w:rsidRPr="00380510">
        <w:rPr>
          <w:rFonts w:ascii="Times" w:hAnsi="Times" w:cs="Times"/>
          <w:noProof/>
        </w:rPr>
        <w:tab/>
      </w:r>
      <w:r w:rsidRPr="00380510">
        <w:rPr>
          <w:rFonts w:ascii="Times" w:hAnsi="Times" w:cs="Times"/>
          <w:noProof/>
        </w:rPr>
        <w:fldChar w:fldCharType="begin"/>
      </w:r>
      <w:r w:rsidRPr="00380510">
        <w:rPr>
          <w:rFonts w:ascii="Times" w:hAnsi="Times" w:cs="Times"/>
          <w:noProof/>
        </w:rPr>
        <w:instrText xml:space="preserve"> PAGEREF _Toc338939572 \h </w:instrText>
      </w:r>
      <w:r w:rsidRPr="00380510">
        <w:rPr>
          <w:rFonts w:ascii="Times" w:hAnsi="Times" w:cs="Times"/>
          <w:noProof/>
        </w:rPr>
      </w:r>
      <w:r w:rsidRPr="00380510">
        <w:rPr>
          <w:rFonts w:ascii="Times" w:hAnsi="Times" w:cs="Times"/>
          <w:noProof/>
        </w:rPr>
        <w:fldChar w:fldCharType="separate"/>
      </w:r>
      <w:r w:rsidR="00623A5C">
        <w:rPr>
          <w:rFonts w:ascii="Times" w:hAnsi="Times" w:cs="Times"/>
          <w:noProof/>
        </w:rPr>
        <w:t>382</w:t>
      </w:r>
      <w:r w:rsidRPr="00380510">
        <w:rPr>
          <w:rFonts w:ascii="Times" w:hAnsi="Times" w:cs="Times"/>
          <w:noProof/>
        </w:rPr>
        <w:fldChar w:fldCharType="end"/>
      </w:r>
    </w:p>
    <w:p w:rsidR="00380510" w:rsidRDefault="00380510">
      <w:pPr>
        <w:pStyle w:val="TOC5"/>
        <w:rPr>
          <w:rFonts w:ascii="Calibri" w:hAnsi="Calibri"/>
          <w:iCs w:val="0"/>
          <w:noProof/>
          <w:kern w:val="0"/>
          <w:sz w:val="22"/>
          <w:szCs w:val="22"/>
        </w:rPr>
      </w:pPr>
      <w:r>
        <w:rPr>
          <w:noProof/>
        </w:rPr>
        <w:t>900</w:t>
      </w:r>
      <w:r>
        <w:rPr>
          <w:noProof/>
        </w:rPr>
        <w:noBreakHyphen/>
        <w:t>245</w:t>
      </w:r>
      <w:r>
        <w:rPr>
          <w:noProof/>
        </w:rPr>
        <w:tab/>
        <w:t>Effect of exception in this Subdivision on exception for small total of expenses</w:t>
      </w:r>
      <w:r w:rsidRPr="00380510">
        <w:rPr>
          <w:rFonts w:ascii="Times" w:hAnsi="Times" w:cs="Times"/>
          <w:noProof/>
        </w:rPr>
        <w:tab/>
      </w:r>
      <w:r w:rsidRPr="00380510">
        <w:rPr>
          <w:rFonts w:ascii="Times" w:hAnsi="Times" w:cs="Times"/>
          <w:noProof/>
        </w:rPr>
        <w:fldChar w:fldCharType="begin"/>
      </w:r>
      <w:r w:rsidRPr="00380510">
        <w:rPr>
          <w:rFonts w:ascii="Times" w:hAnsi="Times" w:cs="Times"/>
          <w:noProof/>
        </w:rPr>
        <w:instrText xml:space="preserve"> PAGEREF _Toc338939573 \h </w:instrText>
      </w:r>
      <w:r w:rsidRPr="00380510">
        <w:rPr>
          <w:rFonts w:ascii="Times" w:hAnsi="Times" w:cs="Times"/>
          <w:noProof/>
        </w:rPr>
      </w:r>
      <w:r w:rsidRPr="00380510">
        <w:rPr>
          <w:rFonts w:ascii="Times" w:hAnsi="Times" w:cs="Times"/>
          <w:noProof/>
        </w:rPr>
        <w:fldChar w:fldCharType="separate"/>
      </w:r>
      <w:r w:rsidR="00623A5C">
        <w:rPr>
          <w:rFonts w:ascii="Times" w:hAnsi="Times" w:cs="Times"/>
          <w:noProof/>
        </w:rPr>
        <w:t>382</w:t>
      </w:r>
      <w:r w:rsidRPr="00380510">
        <w:rPr>
          <w:rFonts w:ascii="Times" w:hAnsi="Times" w:cs="Times"/>
          <w:noProof/>
        </w:rPr>
        <w:fldChar w:fldCharType="end"/>
      </w:r>
    </w:p>
    <w:p w:rsidR="00380510" w:rsidRDefault="00380510">
      <w:pPr>
        <w:pStyle w:val="TOC5"/>
        <w:rPr>
          <w:rFonts w:ascii="Calibri" w:hAnsi="Calibri"/>
          <w:iCs w:val="0"/>
          <w:noProof/>
          <w:kern w:val="0"/>
          <w:sz w:val="22"/>
          <w:szCs w:val="22"/>
        </w:rPr>
      </w:pPr>
      <w:r>
        <w:rPr>
          <w:noProof/>
        </w:rPr>
        <w:t>900</w:t>
      </w:r>
      <w:r>
        <w:rPr>
          <w:noProof/>
        </w:rPr>
        <w:noBreakHyphen/>
        <w:t>250</w:t>
      </w:r>
      <w:r>
        <w:rPr>
          <w:noProof/>
        </w:rPr>
        <w:tab/>
        <w:t>Effect of exception in this Subdivision on methods of calculating car expense deductions</w:t>
      </w:r>
      <w:r w:rsidRPr="00380510">
        <w:rPr>
          <w:rFonts w:ascii="Times" w:hAnsi="Times" w:cs="Times"/>
          <w:noProof/>
        </w:rPr>
        <w:tab/>
      </w:r>
      <w:r w:rsidRPr="00380510">
        <w:rPr>
          <w:rFonts w:ascii="Times" w:hAnsi="Times" w:cs="Times"/>
          <w:noProof/>
        </w:rPr>
        <w:fldChar w:fldCharType="begin"/>
      </w:r>
      <w:r w:rsidRPr="00380510">
        <w:rPr>
          <w:rFonts w:ascii="Times" w:hAnsi="Times" w:cs="Times"/>
          <w:noProof/>
        </w:rPr>
        <w:instrText xml:space="preserve"> PAGEREF _Toc338939574 \h </w:instrText>
      </w:r>
      <w:r w:rsidRPr="00380510">
        <w:rPr>
          <w:rFonts w:ascii="Times" w:hAnsi="Times" w:cs="Times"/>
          <w:noProof/>
        </w:rPr>
      </w:r>
      <w:r w:rsidRPr="00380510">
        <w:rPr>
          <w:rFonts w:ascii="Times" w:hAnsi="Times" w:cs="Times"/>
          <w:noProof/>
        </w:rPr>
        <w:fldChar w:fldCharType="separate"/>
      </w:r>
      <w:r w:rsidR="00623A5C">
        <w:rPr>
          <w:rFonts w:ascii="Times" w:hAnsi="Times" w:cs="Times"/>
          <w:noProof/>
        </w:rPr>
        <w:t>382</w:t>
      </w:r>
      <w:r w:rsidRPr="00380510">
        <w:rPr>
          <w:rFonts w:ascii="Times" w:hAnsi="Times" w:cs="Times"/>
          <w:noProof/>
        </w:rPr>
        <w:fldChar w:fldCharType="end"/>
      </w:r>
    </w:p>
    <w:p w:rsidR="00380510" w:rsidRDefault="00380510">
      <w:pPr>
        <w:pStyle w:val="TOC2"/>
        <w:rPr>
          <w:rFonts w:ascii="Calibri" w:hAnsi="Calibri"/>
          <w:b w:val="0"/>
          <w:iCs w:val="0"/>
          <w:noProof/>
          <w:kern w:val="0"/>
          <w:sz w:val="22"/>
          <w:szCs w:val="22"/>
        </w:rPr>
      </w:pPr>
      <w:r>
        <w:rPr>
          <w:noProof/>
        </w:rPr>
        <w:t>Part 5</w:t>
      </w:r>
      <w:r>
        <w:rPr>
          <w:noProof/>
        </w:rPr>
        <w:noBreakHyphen/>
        <w:t>35—Miscellaneous</w:t>
      </w:r>
      <w:r w:rsidRPr="00380510">
        <w:rPr>
          <w:rFonts w:ascii="Times" w:hAnsi="Times" w:cs="Times"/>
          <w:b w:val="0"/>
          <w:noProof/>
          <w:sz w:val="18"/>
        </w:rPr>
        <w:tab/>
      </w:r>
      <w:r w:rsidRPr="00380510">
        <w:rPr>
          <w:rFonts w:ascii="Times" w:hAnsi="Times" w:cs="Times"/>
          <w:b w:val="0"/>
          <w:noProof/>
          <w:sz w:val="18"/>
        </w:rPr>
        <w:fldChar w:fldCharType="begin"/>
      </w:r>
      <w:r w:rsidRPr="00380510">
        <w:rPr>
          <w:rFonts w:ascii="Times" w:hAnsi="Times" w:cs="Times"/>
          <w:b w:val="0"/>
          <w:noProof/>
          <w:sz w:val="18"/>
        </w:rPr>
        <w:instrText xml:space="preserve"> PAGEREF _Toc338939575 \h </w:instrText>
      </w:r>
      <w:r w:rsidRPr="00380510">
        <w:rPr>
          <w:rFonts w:ascii="Times" w:hAnsi="Times" w:cs="Times"/>
          <w:b w:val="0"/>
          <w:noProof/>
          <w:sz w:val="18"/>
        </w:rPr>
      </w:r>
      <w:r w:rsidRPr="00380510">
        <w:rPr>
          <w:rFonts w:ascii="Times" w:hAnsi="Times" w:cs="Times"/>
          <w:b w:val="0"/>
          <w:noProof/>
          <w:sz w:val="18"/>
        </w:rPr>
        <w:fldChar w:fldCharType="separate"/>
      </w:r>
      <w:r w:rsidR="00623A5C">
        <w:rPr>
          <w:rFonts w:ascii="Times" w:hAnsi="Times" w:cs="Times"/>
          <w:b w:val="0"/>
          <w:noProof/>
          <w:sz w:val="18"/>
        </w:rPr>
        <w:t>384</w:t>
      </w:r>
      <w:r w:rsidRPr="00380510">
        <w:rPr>
          <w:rFonts w:ascii="Times" w:hAnsi="Times" w:cs="Times"/>
          <w:b w:val="0"/>
          <w:noProof/>
          <w:sz w:val="18"/>
        </w:rPr>
        <w:fldChar w:fldCharType="end"/>
      </w:r>
    </w:p>
    <w:p w:rsidR="00380510" w:rsidRDefault="00380510">
      <w:pPr>
        <w:pStyle w:val="TOC3"/>
        <w:rPr>
          <w:rFonts w:ascii="Calibri" w:hAnsi="Calibri"/>
          <w:b w:val="0"/>
          <w:noProof/>
          <w:kern w:val="0"/>
          <w:szCs w:val="22"/>
        </w:rPr>
      </w:pPr>
      <w:r>
        <w:rPr>
          <w:noProof/>
        </w:rPr>
        <w:t>Division 905—Offences</w:t>
      </w:r>
      <w:r w:rsidRPr="00380510">
        <w:rPr>
          <w:rFonts w:ascii="Times" w:hAnsi="Times" w:cs="Times"/>
          <w:b w:val="0"/>
          <w:noProof/>
          <w:sz w:val="18"/>
        </w:rPr>
        <w:tab/>
      </w:r>
      <w:r w:rsidRPr="00380510">
        <w:rPr>
          <w:rFonts w:ascii="Times" w:hAnsi="Times" w:cs="Times"/>
          <w:b w:val="0"/>
          <w:noProof/>
          <w:sz w:val="18"/>
        </w:rPr>
        <w:fldChar w:fldCharType="begin"/>
      </w:r>
      <w:r w:rsidRPr="00380510">
        <w:rPr>
          <w:rFonts w:ascii="Times" w:hAnsi="Times" w:cs="Times"/>
          <w:b w:val="0"/>
          <w:noProof/>
          <w:sz w:val="18"/>
        </w:rPr>
        <w:instrText xml:space="preserve"> PAGEREF _Toc338939576 \h </w:instrText>
      </w:r>
      <w:r w:rsidRPr="00380510">
        <w:rPr>
          <w:rFonts w:ascii="Times" w:hAnsi="Times" w:cs="Times"/>
          <w:b w:val="0"/>
          <w:noProof/>
          <w:sz w:val="18"/>
        </w:rPr>
      </w:r>
      <w:r w:rsidRPr="00380510">
        <w:rPr>
          <w:rFonts w:ascii="Times" w:hAnsi="Times" w:cs="Times"/>
          <w:b w:val="0"/>
          <w:noProof/>
          <w:sz w:val="18"/>
        </w:rPr>
        <w:fldChar w:fldCharType="separate"/>
      </w:r>
      <w:r w:rsidR="00623A5C">
        <w:rPr>
          <w:rFonts w:ascii="Times" w:hAnsi="Times" w:cs="Times"/>
          <w:b w:val="0"/>
          <w:noProof/>
          <w:sz w:val="18"/>
        </w:rPr>
        <w:t>384</w:t>
      </w:r>
      <w:r w:rsidRPr="00380510">
        <w:rPr>
          <w:rFonts w:ascii="Times" w:hAnsi="Times" w:cs="Times"/>
          <w:b w:val="0"/>
          <w:noProof/>
          <w:sz w:val="18"/>
        </w:rPr>
        <w:fldChar w:fldCharType="end"/>
      </w:r>
    </w:p>
    <w:p w:rsidR="00380510" w:rsidRDefault="00380510">
      <w:pPr>
        <w:pStyle w:val="TOC5"/>
        <w:rPr>
          <w:rFonts w:ascii="Calibri" w:hAnsi="Calibri"/>
          <w:iCs w:val="0"/>
          <w:noProof/>
          <w:kern w:val="0"/>
          <w:sz w:val="22"/>
          <w:szCs w:val="22"/>
        </w:rPr>
      </w:pPr>
      <w:r>
        <w:rPr>
          <w:noProof/>
        </w:rPr>
        <w:t>905</w:t>
      </w:r>
      <w:r>
        <w:rPr>
          <w:noProof/>
        </w:rPr>
        <w:noBreakHyphen/>
        <w:t>5</w:t>
      </w:r>
      <w:r>
        <w:rPr>
          <w:noProof/>
        </w:rPr>
        <w:tab/>
        <w:t xml:space="preserve">Application of the </w:t>
      </w:r>
      <w:r w:rsidRPr="008A0EAA">
        <w:rPr>
          <w:i/>
          <w:noProof/>
        </w:rPr>
        <w:t>Criminal Code</w:t>
      </w:r>
      <w:r w:rsidRPr="00380510">
        <w:rPr>
          <w:rFonts w:ascii="Times" w:hAnsi="Times" w:cs="Times"/>
          <w:noProof/>
        </w:rPr>
        <w:tab/>
      </w:r>
      <w:r w:rsidRPr="00380510">
        <w:rPr>
          <w:rFonts w:ascii="Times" w:hAnsi="Times" w:cs="Times"/>
          <w:noProof/>
        </w:rPr>
        <w:fldChar w:fldCharType="begin"/>
      </w:r>
      <w:r w:rsidRPr="00380510">
        <w:rPr>
          <w:rFonts w:ascii="Times" w:hAnsi="Times" w:cs="Times"/>
          <w:noProof/>
        </w:rPr>
        <w:instrText xml:space="preserve"> PAGEREF _Toc338939577 \h </w:instrText>
      </w:r>
      <w:r w:rsidRPr="00380510">
        <w:rPr>
          <w:rFonts w:ascii="Times" w:hAnsi="Times" w:cs="Times"/>
          <w:noProof/>
        </w:rPr>
      </w:r>
      <w:r w:rsidRPr="00380510">
        <w:rPr>
          <w:rFonts w:ascii="Times" w:hAnsi="Times" w:cs="Times"/>
          <w:noProof/>
        </w:rPr>
        <w:fldChar w:fldCharType="separate"/>
      </w:r>
      <w:r w:rsidR="00623A5C">
        <w:rPr>
          <w:rFonts w:ascii="Times" w:hAnsi="Times" w:cs="Times"/>
          <w:noProof/>
        </w:rPr>
        <w:t>384</w:t>
      </w:r>
      <w:r w:rsidRPr="00380510">
        <w:rPr>
          <w:rFonts w:ascii="Times" w:hAnsi="Times" w:cs="Times"/>
          <w:noProof/>
        </w:rPr>
        <w:fldChar w:fldCharType="end"/>
      </w:r>
    </w:p>
    <w:p w:rsidR="00380510" w:rsidRDefault="00380510">
      <w:pPr>
        <w:pStyle w:val="TOC3"/>
        <w:rPr>
          <w:rFonts w:ascii="Calibri" w:hAnsi="Calibri"/>
          <w:b w:val="0"/>
          <w:noProof/>
          <w:kern w:val="0"/>
          <w:szCs w:val="22"/>
        </w:rPr>
      </w:pPr>
      <w:r>
        <w:rPr>
          <w:noProof/>
        </w:rPr>
        <w:t>Division 909—Regulations</w:t>
      </w:r>
      <w:r w:rsidRPr="00380510">
        <w:rPr>
          <w:rFonts w:ascii="Times" w:hAnsi="Times" w:cs="Times"/>
          <w:b w:val="0"/>
          <w:noProof/>
          <w:sz w:val="18"/>
        </w:rPr>
        <w:tab/>
      </w:r>
      <w:r w:rsidRPr="00380510">
        <w:rPr>
          <w:rFonts w:ascii="Times" w:hAnsi="Times" w:cs="Times"/>
          <w:b w:val="0"/>
          <w:noProof/>
          <w:sz w:val="18"/>
        </w:rPr>
        <w:fldChar w:fldCharType="begin"/>
      </w:r>
      <w:r w:rsidRPr="00380510">
        <w:rPr>
          <w:rFonts w:ascii="Times" w:hAnsi="Times" w:cs="Times"/>
          <w:b w:val="0"/>
          <w:noProof/>
          <w:sz w:val="18"/>
        </w:rPr>
        <w:instrText xml:space="preserve"> PAGEREF _Toc338939578 \h </w:instrText>
      </w:r>
      <w:r w:rsidRPr="00380510">
        <w:rPr>
          <w:rFonts w:ascii="Times" w:hAnsi="Times" w:cs="Times"/>
          <w:b w:val="0"/>
          <w:noProof/>
          <w:sz w:val="18"/>
        </w:rPr>
      </w:r>
      <w:r w:rsidRPr="00380510">
        <w:rPr>
          <w:rFonts w:ascii="Times" w:hAnsi="Times" w:cs="Times"/>
          <w:b w:val="0"/>
          <w:noProof/>
          <w:sz w:val="18"/>
        </w:rPr>
        <w:fldChar w:fldCharType="separate"/>
      </w:r>
      <w:r w:rsidR="00623A5C">
        <w:rPr>
          <w:rFonts w:ascii="Times" w:hAnsi="Times" w:cs="Times"/>
          <w:b w:val="0"/>
          <w:noProof/>
          <w:sz w:val="18"/>
        </w:rPr>
        <w:t>385</w:t>
      </w:r>
      <w:r w:rsidRPr="00380510">
        <w:rPr>
          <w:rFonts w:ascii="Times" w:hAnsi="Times" w:cs="Times"/>
          <w:b w:val="0"/>
          <w:noProof/>
          <w:sz w:val="18"/>
        </w:rPr>
        <w:fldChar w:fldCharType="end"/>
      </w:r>
    </w:p>
    <w:p w:rsidR="00380510" w:rsidRDefault="00380510">
      <w:pPr>
        <w:pStyle w:val="TOC5"/>
        <w:rPr>
          <w:rFonts w:ascii="Calibri" w:hAnsi="Calibri"/>
          <w:iCs w:val="0"/>
          <w:noProof/>
          <w:kern w:val="0"/>
          <w:sz w:val="22"/>
          <w:szCs w:val="22"/>
        </w:rPr>
      </w:pPr>
      <w:r>
        <w:rPr>
          <w:noProof/>
        </w:rPr>
        <w:t>909</w:t>
      </w:r>
      <w:r>
        <w:rPr>
          <w:noProof/>
        </w:rPr>
        <w:noBreakHyphen/>
        <w:t>1</w:t>
      </w:r>
      <w:r>
        <w:rPr>
          <w:noProof/>
        </w:rPr>
        <w:tab/>
        <w:t>Regulations</w:t>
      </w:r>
      <w:r w:rsidRPr="00380510">
        <w:rPr>
          <w:rFonts w:ascii="Times" w:hAnsi="Times" w:cs="Times"/>
          <w:noProof/>
        </w:rPr>
        <w:tab/>
      </w:r>
      <w:r w:rsidRPr="00380510">
        <w:rPr>
          <w:rFonts w:ascii="Times" w:hAnsi="Times" w:cs="Times"/>
          <w:noProof/>
        </w:rPr>
        <w:fldChar w:fldCharType="begin"/>
      </w:r>
      <w:r w:rsidRPr="00380510">
        <w:rPr>
          <w:rFonts w:ascii="Times" w:hAnsi="Times" w:cs="Times"/>
          <w:noProof/>
        </w:rPr>
        <w:instrText xml:space="preserve"> PAGEREF _Toc338939579 \h </w:instrText>
      </w:r>
      <w:r w:rsidRPr="00380510">
        <w:rPr>
          <w:rFonts w:ascii="Times" w:hAnsi="Times" w:cs="Times"/>
          <w:noProof/>
        </w:rPr>
      </w:r>
      <w:r w:rsidRPr="00380510">
        <w:rPr>
          <w:rFonts w:ascii="Times" w:hAnsi="Times" w:cs="Times"/>
          <w:noProof/>
        </w:rPr>
        <w:fldChar w:fldCharType="separate"/>
      </w:r>
      <w:r w:rsidR="00623A5C">
        <w:rPr>
          <w:rFonts w:ascii="Times" w:hAnsi="Times" w:cs="Times"/>
          <w:noProof/>
        </w:rPr>
        <w:t>385</w:t>
      </w:r>
      <w:r w:rsidRPr="00380510">
        <w:rPr>
          <w:rFonts w:ascii="Times" w:hAnsi="Times" w:cs="Times"/>
          <w:noProof/>
        </w:rPr>
        <w:fldChar w:fldCharType="end"/>
      </w:r>
    </w:p>
    <w:p w:rsidR="00380510" w:rsidRDefault="00380510">
      <w:pPr>
        <w:pStyle w:val="TOC2"/>
        <w:rPr>
          <w:rFonts w:ascii="Calibri" w:hAnsi="Calibri"/>
          <w:b w:val="0"/>
          <w:iCs w:val="0"/>
          <w:noProof/>
          <w:kern w:val="0"/>
          <w:sz w:val="22"/>
          <w:szCs w:val="22"/>
        </w:rPr>
      </w:pPr>
      <w:r>
        <w:rPr>
          <w:noProof/>
        </w:rPr>
        <w:t>Chapter 6—The Dictionary</w:t>
      </w:r>
      <w:r w:rsidRPr="00380510">
        <w:rPr>
          <w:rFonts w:ascii="Times" w:hAnsi="Times" w:cs="Times"/>
          <w:b w:val="0"/>
          <w:noProof/>
          <w:sz w:val="18"/>
        </w:rPr>
        <w:tab/>
      </w:r>
      <w:r w:rsidRPr="00380510">
        <w:rPr>
          <w:rFonts w:ascii="Times" w:hAnsi="Times" w:cs="Times"/>
          <w:b w:val="0"/>
          <w:noProof/>
          <w:sz w:val="18"/>
        </w:rPr>
        <w:fldChar w:fldCharType="begin"/>
      </w:r>
      <w:r w:rsidRPr="00380510">
        <w:rPr>
          <w:rFonts w:ascii="Times" w:hAnsi="Times" w:cs="Times"/>
          <w:b w:val="0"/>
          <w:noProof/>
          <w:sz w:val="18"/>
        </w:rPr>
        <w:instrText xml:space="preserve"> PAGEREF _Toc338939580 \h </w:instrText>
      </w:r>
      <w:r w:rsidRPr="00380510">
        <w:rPr>
          <w:rFonts w:ascii="Times" w:hAnsi="Times" w:cs="Times"/>
          <w:b w:val="0"/>
          <w:noProof/>
          <w:sz w:val="18"/>
        </w:rPr>
      </w:r>
      <w:r w:rsidRPr="00380510">
        <w:rPr>
          <w:rFonts w:ascii="Times" w:hAnsi="Times" w:cs="Times"/>
          <w:b w:val="0"/>
          <w:noProof/>
          <w:sz w:val="18"/>
        </w:rPr>
        <w:fldChar w:fldCharType="separate"/>
      </w:r>
      <w:r w:rsidR="00623A5C">
        <w:rPr>
          <w:rFonts w:ascii="Times" w:hAnsi="Times" w:cs="Times"/>
          <w:b w:val="0"/>
          <w:noProof/>
          <w:sz w:val="18"/>
        </w:rPr>
        <w:t>386</w:t>
      </w:r>
      <w:r w:rsidRPr="00380510">
        <w:rPr>
          <w:rFonts w:ascii="Times" w:hAnsi="Times" w:cs="Times"/>
          <w:b w:val="0"/>
          <w:noProof/>
          <w:sz w:val="18"/>
        </w:rPr>
        <w:fldChar w:fldCharType="end"/>
      </w:r>
    </w:p>
    <w:p w:rsidR="00380510" w:rsidRDefault="00380510">
      <w:pPr>
        <w:pStyle w:val="TOC2"/>
        <w:rPr>
          <w:rFonts w:ascii="Calibri" w:hAnsi="Calibri"/>
          <w:b w:val="0"/>
          <w:iCs w:val="0"/>
          <w:noProof/>
          <w:kern w:val="0"/>
          <w:sz w:val="22"/>
          <w:szCs w:val="22"/>
        </w:rPr>
      </w:pPr>
      <w:r>
        <w:rPr>
          <w:noProof/>
        </w:rPr>
        <w:t>Part 6</w:t>
      </w:r>
      <w:r>
        <w:rPr>
          <w:noProof/>
        </w:rPr>
        <w:noBreakHyphen/>
        <w:t>1—Concepts and topics</w:t>
      </w:r>
      <w:r w:rsidRPr="00380510">
        <w:rPr>
          <w:rFonts w:ascii="Times" w:hAnsi="Times" w:cs="Times"/>
          <w:b w:val="0"/>
          <w:noProof/>
          <w:sz w:val="18"/>
        </w:rPr>
        <w:tab/>
      </w:r>
      <w:r w:rsidRPr="00380510">
        <w:rPr>
          <w:rFonts w:ascii="Times" w:hAnsi="Times" w:cs="Times"/>
          <w:b w:val="0"/>
          <w:noProof/>
          <w:sz w:val="18"/>
        </w:rPr>
        <w:fldChar w:fldCharType="begin"/>
      </w:r>
      <w:r w:rsidRPr="00380510">
        <w:rPr>
          <w:rFonts w:ascii="Times" w:hAnsi="Times" w:cs="Times"/>
          <w:b w:val="0"/>
          <w:noProof/>
          <w:sz w:val="18"/>
        </w:rPr>
        <w:instrText xml:space="preserve"> PAGEREF _Toc338939581 \h </w:instrText>
      </w:r>
      <w:r w:rsidRPr="00380510">
        <w:rPr>
          <w:rFonts w:ascii="Times" w:hAnsi="Times" w:cs="Times"/>
          <w:b w:val="0"/>
          <w:noProof/>
          <w:sz w:val="18"/>
        </w:rPr>
      </w:r>
      <w:r w:rsidRPr="00380510">
        <w:rPr>
          <w:rFonts w:ascii="Times" w:hAnsi="Times" w:cs="Times"/>
          <w:b w:val="0"/>
          <w:noProof/>
          <w:sz w:val="18"/>
        </w:rPr>
        <w:fldChar w:fldCharType="separate"/>
      </w:r>
      <w:r w:rsidR="00623A5C">
        <w:rPr>
          <w:rFonts w:ascii="Times" w:hAnsi="Times" w:cs="Times"/>
          <w:b w:val="0"/>
          <w:noProof/>
          <w:sz w:val="18"/>
        </w:rPr>
        <w:t>386</w:t>
      </w:r>
      <w:r w:rsidRPr="00380510">
        <w:rPr>
          <w:rFonts w:ascii="Times" w:hAnsi="Times" w:cs="Times"/>
          <w:b w:val="0"/>
          <w:noProof/>
          <w:sz w:val="18"/>
        </w:rPr>
        <w:fldChar w:fldCharType="end"/>
      </w:r>
    </w:p>
    <w:p w:rsidR="00380510" w:rsidRDefault="00380510">
      <w:pPr>
        <w:pStyle w:val="TOC3"/>
        <w:rPr>
          <w:rFonts w:ascii="Calibri" w:hAnsi="Calibri"/>
          <w:b w:val="0"/>
          <w:noProof/>
          <w:kern w:val="0"/>
          <w:szCs w:val="22"/>
        </w:rPr>
      </w:pPr>
      <w:r>
        <w:rPr>
          <w:noProof/>
        </w:rPr>
        <w:t>Division 950—Rules for interpreting this Act</w:t>
      </w:r>
      <w:r w:rsidRPr="00380510">
        <w:rPr>
          <w:rFonts w:ascii="Times" w:hAnsi="Times" w:cs="Times"/>
          <w:b w:val="0"/>
          <w:noProof/>
          <w:sz w:val="18"/>
        </w:rPr>
        <w:tab/>
      </w:r>
      <w:r w:rsidRPr="00380510">
        <w:rPr>
          <w:rFonts w:ascii="Times" w:hAnsi="Times" w:cs="Times"/>
          <w:b w:val="0"/>
          <w:noProof/>
          <w:sz w:val="18"/>
        </w:rPr>
        <w:fldChar w:fldCharType="begin"/>
      </w:r>
      <w:r w:rsidRPr="00380510">
        <w:rPr>
          <w:rFonts w:ascii="Times" w:hAnsi="Times" w:cs="Times"/>
          <w:b w:val="0"/>
          <w:noProof/>
          <w:sz w:val="18"/>
        </w:rPr>
        <w:instrText xml:space="preserve"> PAGEREF _Toc338939582 \h </w:instrText>
      </w:r>
      <w:r w:rsidRPr="00380510">
        <w:rPr>
          <w:rFonts w:ascii="Times" w:hAnsi="Times" w:cs="Times"/>
          <w:b w:val="0"/>
          <w:noProof/>
          <w:sz w:val="18"/>
        </w:rPr>
      </w:r>
      <w:r w:rsidRPr="00380510">
        <w:rPr>
          <w:rFonts w:ascii="Times" w:hAnsi="Times" w:cs="Times"/>
          <w:b w:val="0"/>
          <w:noProof/>
          <w:sz w:val="18"/>
        </w:rPr>
        <w:fldChar w:fldCharType="separate"/>
      </w:r>
      <w:r w:rsidR="00623A5C">
        <w:rPr>
          <w:rFonts w:ascii="Times" w:hAnsi="Times" w:cs="Times"/>
          <w:b w:val="0"/>
          <w:noProof/>
          <w:sz w:val="18"/>
        </w:rPr>
        <w:t>386</w:t>
      </w:r>
      <w:r w:rsidRPr="00380510">
        <w:rPr>
          <w:rFonts w:ascii="Times" w:hAnsi="Times" w:cs="Times"/>
          <w:b w:val="0"/>
          <w:noProof/>
          <w:sz w:val="18"/>
        </w:rPr>
        <w:fldChar w:fldCharType="end"/>
      </w:r>
    </w:p>
    <w:p w:rsidR="00380510" w:rsidRDefault="00380510">
      <w:pPr>
        <w:pStyle w:val="TOC5"/>
        <w:rPr>
          <w:rFonts w:ascii="Calibri" w:hAnsi="Calibri"/>
          <w:iCs w:val="0"/>
          <w:noProof/>
          <w:kern w:val="0"/>
          <w:sz w:val="22"/>
          <w:szCs w:val="22"/>
        </w:rPr>
      </w:pPr>
      <w:r>
        <w:rPr>
          <w:noProof/>
        </w:rPr>
        <w:t>950</w:t>
      </w:r>
      <w:r>
        <w:rPr>
          <w:noProof/>
        </w:rPr>
        <w:noBreakHyphen/>
        <w:t>100</w:t>
      </w:r>
      <w:r>
        <w:rPr>
          <w:noProof/>
        </w:rPr>
        <w:tab/>
        <w:t>What forms part of this Act</w:t>
      </w:r>
      <w:r w:rsidRPr="00380510">
        <w:rPr>
          <w:rFonts w:ascii="Times" w:hAnsi="Times" w:cs="Times"/>
          <w:noProof/>
        </w:rPr>
        <w:tab/>
      </w:r>
      <w:r w:rsidRPr="00380510">
        <w:rPr>
          <w:rFonts w:ascii="Times" w:hAnsi="Times" w:cs="Times"/>
          <w:noProof/>
        </w:rPr>
        <w:fldChar w:fldCharType="begin"/>
      </w:r>
      <w:r w:rsidRPr="00380510">
        <w:rPr>
          <w:rFonts w:ascii="Times" w:hAnsi="Times" w:cs="Times"/>
          <w:noProof/>
        </w:rPr>
        <w:instrText xml:space="preserve"> PAGEREF _Toc338939583 \h </w:instrText>
      </w:r>
      <w:r w:rsidRPr="00380510">
        <w:rPr>
          <w:rFonts w:ascii="Times" w:hAnsi="Times" w:cs="Times"/>
          <w:noProof/>
        </w:rPr>
      </w:r>
      <w:r w:rsidRPr="00380510">
        <w:rPr>
          <w:rFonts w:ascii="Times" w:hAnsi="Times" w:cs="Times"/>
          <w:noProof/>
        </w:rPr>
        <w:fldChar w:fldCharType="separate"/>
      </w:r>
      <w:r w:rsidR="00623A5C">
        <w:rPr>
          <w:rFonts w:ascii="Times" w:hAnsi="Times" w:cs="Times"/>
          <w:noProof/>
        </w:rPr>
        <w:t>386</w:t>
      </w:r>
      <w:r w:rsidRPr="00380510">
        <w:rPr>
          <w:rFonts w:ascii="Times" w:hAnsi="Times" w:cs="Times"/>
          <w:noProof/>
        </w:rPr>
        <w:fldChar w:fldCharType="end"/>
      </w:r>
    </w:p>
    <w:p w:rsidR="00380510" w:rsidRDefault="00380510">
      <w:pPr>
        <w:pStyle w:val="TOC5"/>
        <w:rPr>
          <w:rFonts w:ascii="Calibri" w:hAnsi="Calibri"/>
          <w:iCs w:val="0"/>
          <w:noProof/>
          <w:kern w:val="0"/>
          <w:sz w:val="22"/>
          <w:szCs w:val="22"/>
        </w:rPr>
      </w:pPr>
      <w:r>
        <w:rPr>
          <w:noProof/>
        </w:rPr>
        <w:t>950</w:t>
      </w:r>
      <w:r>
        <w:rPr>
          <w:noProof/>
        </w:rPr>
        <w:noBreakHyphen/>
        <w:t>105</w:t>
      </w:r>
      <w:r>
        <w:rPr>
          <w:noProof/>
        </w:rPr>
        <w:tab/>
        <w:t xml:space="preserve">What does </w:t>
      </w:r>
      <w:r w:rsidRPr="008A0EAA">
        <w:rPr>
          <w:i/>
          <w:noProof/>
        </w:rPr>
        <w:t>not</w:t>
      </w:r>
      <w:r>
        <w:rPr>
          <w:noProof/>
        </w:rPr>
        <w:t xml:space="preserve"> form part of this Act</w:t>
      </w:r>
      <w:r w:rsidRPr="00380510">
        <w:rPr>
          <w:rFonts w:ascii="Times" w:hAnsi="Times" w:cs="Times"/>
          <w:noProof/>
        </w:rPr>
        <w:tab/>
      </w:r>
      <w:r w:rsidRPr="00380510">
        <w:rPr>
          <w:rFonts w:ascii="Times" w:hAnsi="Times" w:cs="Times"/>
          <w:noProof/>
        </w:rPr>
        <w:fldChar w:fldCharType="begin"/>
      </w:r>
      <w:r w:rsidRPr="00380510">
        <w:rPr>
          <w:rFonts w:ascii="Times" w:hAnsi="Times" w:cs="Times"/>
          <w:noProof/>
        </w:rPr>
        <w:instrText xml:space="preserve"> PAGEREF _Toc338939584 \h </w:instrText>
      </w:r>
      <w:r w:rsidRPr="00380510">
        <w:rPr>
          <w:rFonts w:ascii="Times" w:hAnsi="Times" w:cs="Times"/>
          <w:noProof/>
        </w:rPr>
      </w:r>
      <w:r w:rsidRPr="00380510">
        <w:rPr>
          <w:rFonts w:ascii="Times" w:hAnsi="Times" w:cs="Times"/>
          <w:noProof/>
        </w:rPr>
        <w:fldChar w:fldCharType="separate"/>
      </w:r>
      <w:r w:rsidR="00623A5C">
        <w:rPr>
          <w:rFonts w:ascii="Times" w:hAnsi="Times" w:cs="Times"/>
          <w:noProof/>
        </w:rPr>
        <w:t>387</w:t>
      </w:r>
      <w:r w:rsidRPr="00380510">
        <w:rPr>
          <w:rFonts w:ascii="Times" w:hAnsi="Times" w:cs="Times"/>
          <w:noProof/>
        </w:rPr>
        <w:fldChar w:fldCharType="end"/>
      </w:r>
    </w:p>
    <w:p w:rsidR="00380510" w:rsidRDefault="00380510">
      <w:pPr>
        <w:pStyle w:val="TOC5"/>
        <w:rPr>
          <w:rFonts w:ascii="Calibri" w:hAnsi="Calibri"/>
          <w:iCs w:val="0"/>
          <w:noProof/>
          <w:kern w:val="0"/>
          <w:sz w:val="22"/>
          <w:szCs w:val="22"/>
        </w:rPr>
      </w:pPr>
      <w:r>
        <w:rPr>
          <w:noProof/>
        </w:rPr>
        <w:t>950</w:t>
      </w:r>
      <w:r>
        <w:rPr>
          <w:noProof/>
        </w:rPr>
        <w:noBreakHyphen/>
        <w:t>150</w:t>
      </w:r>
      <w:r>
        <w:rPr>
          <w:noProof/>
        </w:rPr>
        <w:tab/>
        <w:t>Guides, and their role in interpreting this Act</w:t>
      </w:r>
      <w:r w:rsidRPr="00380510">
        <w:rPr>
          <w:rFonts w:ascii="Times" w:hAnsi="Times" w:cs="Times"/>
          <w:noProof/>
        </w:rPr>
        <w:tab/>
      </w:r>
      <w:r w:rsidRPr="00380510">
        <w:rPr>
          <w:rFonts w:ascii="Times" w:hAnsi="Times" w:cs="Times"/>
          <w:noProof/>
        </w:rPr>
        <w:fldChar w:fldCharType="begin"/>
      </w:r>
      <w:r w:rsidRPr="00380510">
        <w:rPr>
          <w:rFonts w:ascii="Times" w:hAnsi="Times" w:cs="Times"/>
          <w:noProof/>
        </w:rPr>
        <w:instrText xml:space="preserve"> PAGEREF _Toc338939585 \h </w:instrText>
      </w:r>
      <w:r w:rsidRPr="00380510">
        <w:rPr>
          <w:rFonts w:ascii="Times" w:hAnsi="Times" w:cs="Times"/>
          <w:noProof/>
        </w:rPr>
      </w:r>
      <w:r w:rsidRPr="00380510">
        <w:rPr>
          <w:rFonts w:ascii="Times" w:hAnsi="Times" w:cs="Times"/>
          <w:noProof/>
        </w:rPr>
        <w:fldChar w:fldCharType="separate"/>
      </w:r>
      <w:r w:rsidR="00623A5C">
        <w:rPr>
          <w:rFonts w:ascii="Times" w:hAnsi="Times" w:cs="Times"/>
          <w:noProof/>
        </w:rPr>
        <w:t>387</w:t>
      </w:r>
      <w:r w:rsidRPr="00380510">
        <w:rPr>
          <w:rFonts w:ascii="Times" w:hAnsi="Times" w:cs="Times"/>
          <w:noProof/>
        </w:rPr>
        <w:fldChar w:fldCharType="end"/>
      </w:r>
    </w:p>
    <w:p w:rsidR="00380510" w:rsidRDefault="00380510">
      <w:pPr>
        <w:pStyle w:val="TOC3"/>
        <w:rPr>
          <w:rFonts w:ascii="Calibri" w:hAnsi="Calibri"/>
          <w:b w:val="0"/>
          <w:noProof/>
          <w:kern w:val="0"/>
          <w:szCs w:val="22"/>
        </w:rPr>
      </w:pPr>
      <w:r>
        <w:rPr>
          <w:noProof/>
        </w:rPr>
        <w:t>Division 960—General</w:t>
      </w:r>
      <w:r w:rsidRPr="00380510">
        <w:rPr>
          <w:rFonts w:ascii="Times" w:hAnsi="Times" w:cs="Times"/>
          <w:b w:val="0"/>
          <w:noProof/>
          <w:sz w:val="18"/>
        </w:rPr>
        <w:tab/>
      </w:r>
      <w:r w:rsidRPr="00380510">
        <w:rPr>
          <w:rFonts w:ascii="Times" w:hAnsi="Times" w:cs="Times"/>
          <w:b w:val="0"/>
          <w:noProof/>
          <w:sz w:val="18"/>
        </w:rPr>
        <w:fldChar w:fldCharType="begin"/>
      </w:r>
      <w:r w:rsidRPr="00380510">
        <w:rPr>
          <w:rFonts w:ascii="Times" w:hAnsi="Times" w:cs="Times"/>
          <w:b w:val="0"/>
          <w:noProof/>
          <w:sz w:val="18"/>
        </w:rPr>
        <w:instrText xml:space="preserve"> PAGEREF _Toc338939586 \h </w:instrText>
      </w:r>
      <w:r w:rsidRPr="00380510">
        <w:rPr>
          <w:rFonts w:ascii="Times" w:hAnsi="Times" w:cs="Times"/>
          <w:b w:val="0"/>
          <w:noProof/>
          <w:sz w:val="18"/>
        </w:rPr>
      </w:r>
      <w:r w:rsidRPr="00380510">
        <w:rPr>
          <w:rFonts w:ascii="Times" w:hAnsi="Times" w:cs="Times"/>
          <w:b w:val="0"/>
          <w:noProof/>
          <w:sz w:val="18"/>
        </w:rPr>
        <w:fldChar w:fldCharType="separate"/>
      </w:r>
      <w:r w:rsidR="00623A5C">
        <w:rPr>
          <w:rFonts w:ascii="Times" w:hAnsi="Times" w:cs="Times"/>
          <w:b w:val="0"/>
          <w:noProof/>
          <w:sz w:val="18"/>
        </w:rPr>
        <w:t>388</w:t>
      </w:r>
      <w:r w:rsidRPr="00380510">
        <w:rPr>
          <w:rFonts w:ascii="Times" w:hAnsi="Times" w:cs="Times"/>
          <w:b w:val="0"/>
          <w:noProof/>
          <w:sz w:val="18"/>
        </w:rPr>
        <w:fldChar w:fldCharType="end"/>
      </w:r>
    </w:p>
    <w:p w:rsidR="00380510" w:rsidRDefault="00380510">
      <w:pPr>
        <w:pStyle w:val="TOC4"/>
        <w:rPr>
          <w:rFonts w:ascii="Calibri" w:hAnsi="Calibri"/>
          <w:b w:val="0"/>
          <w:noProof/>
          <w:kern w:val="0"/>
          <w:sz w:val="22"/>
          <w:szCs w:val="22"/>
        </w:rPr>
      </w:pPr>
      <w:r>
        <w:rPr>
          <w:noProof/>
        </w:rPr>
        <w:t>Subdivision 960</w:t>
      </w:r>
      <w:r>
        <w:rPr>
          <w:noProof/>
        </w:rPr>
        <w:noBreakHyphen/>
        <w:t>C—Foreign currency</w:t>
      </w:r>
      <w:r w:rsidRPr="00380510">
        <w:rPr>
          <w:rFonts w:ascii="Times" w:hAnsi="Times" w:cs="Times"/>
          <w:b w:val="0"/>
          <w:noProof/>
          <w:sz w:val="18"/>
        </w:rPr>
        <w:tab/>
      </w:r>
      <w:r w:rsidRPr="00380510">
        <w:rPr>
          <w:rFonts w:ascii="Times" w:hAnsi="Times" w:cs="Times"/>
          <w:b w:val="0"/>
          <w:noProof/>
          <w:sz w:val="18"/>
        </w:rPr>
        <w:fldChar w:fldCharType="begin"/>
      </w:r>
      <w:r w:rsidRPr="00380510">
        <w:rPr>
          <w:rFonts w:ascii="Times" w:hAnsi="Times" w:cs="Times"/>
          <w:b w:val="0"/>
          <w:noProof/>
          <w:sz w:val="18"/>
        </w:rPr>
        <w:instrText xml:space="preserve"> PAGEREF _Toc338939587 \h </w:instrText>
      </w:r>
      <w:r w:rsidRPr="00380510">
        <w:rPr>
          <w:rFonts w:ascii="Times" w:hAnsi="Times" w:cs="Times"/>
          <w:b w:val="0"/>
          <w:noProof/>
          <w:sz w:val="18"/>
        </w:rPr>
      </w:r>
      <w:r w:rsidRPr="00380510">
        <w:rPr>
          <w:rFonts w:ascii="Times" w:hAnsi="Times" w:cs="Times"/>
          <w:b w:val="0"/>
          <w:noProof/>
          <w:sz w:val="18"/>
        </w:rPr>
        <w:fldChar w:fldCharType="separate"/>
      </w:r>
      <w:r w:rsidR="00623A5C">
        <w:rPr>
          <w:rFonts w:ascii="Times" w:hAnsi="Times" w:cs="Times"/>
          <w:b w:val="0"/>
          <w:noProof/>
          <w:sz w:val="18"/>
        </w:rPr>
        <w:t>388</w:t>
      </w:r>
      <w:r w:rsidRPr="00380510">
        <w:rPr>
          <w:rFonts w:ascii="Times" w:hAnsi="Times" w:cs="Times"/>
          <w:b w:val="0"/>
          <w:noProof/>
          <w:sz w:val="18"/>
        </w:rPr>
        <w:fldChar w:fldCharType="end"/>
      </w:r>
    </w:p>
    <w:p w:rsidR="00380510" w:rsidRDefault="00380510">
      <w:pPr>
        <w:pStyle w:val="TOC5"/>
        <w:rPr>
          <w:rFonts w:ascii="Calibri" w:hAnsi="Calibri"/>
          <w:iCs w:val="0"/>
          <w:noProof/>
          <w:kern w:val="0"/>
          <w:sz w:val="22"/>
          <w:szCs w:val="22"/>
        </w:rPr>
      </w:pPr>
      <w:r>
        <w:rPr>
          <w:noProof/>
        </w:rPr>
        <w:t>960</w:t>
      </w:r>
      <w:r>
        <w:rPr>
          <w:noProof/>
        </w:rPr>
        <w:noBreakHyphen/>
        <w:t>49</w:t>
      </w:r>
      <w:r>
        <w:rPr>
          <w:noProof/>
        </w:rPr>
        <w:tab/>
        <w:t>Objects of this Subdivision</w:t>
      </w:r>
      <w:r w:rsidRPr="00380510">
        <w:rPr>
          <w:rFonts w:ascii="Times" w:hAnsi="Times" w:cs="Times"/>
          <w:noProof/>
        </w:rPr>
        <w:tab/>
      </w:r>
      <w:r w:rsidRPr="00380510">
        <w:rPr>
          <w:rFonts w:ascii="Times" w:hAnsi="Times" w:cs="Times"/>
          <w:noProof/>
        </w:rPr>
        <w:fldChar w:fldCharType="begin"/>
      </w:r>
      <w:r w:rsidRPr="00380510">
        <w:rPr>
          <w:rFonts w:ascii="Times" w:hAnsi="Times" w:cs="Times"/>
          <w:noProof/>
        </w:rPr>
        <w:instrText xml:space="preserve"> PAGEREF _Toc338939588 \h </w:instrText>
      </w:r>
      <w:r w:rsidRPr="00380510">
        <w:rPr>
          <w:rFonts w:ascii="Times" w:hAnsi="Times" w:cs="Times"/>
          <w:noProof/>
        </w:rPr>
      </w:r>
      <w:r w:rsidRPr="00380510">
        <w:rPr>
          <w:rFonts w:ascii="Times" w:hAnsi="Times" w:cs="Times"/>
          <w:noProof/>
        </w:rPr>
        <w:fldChar w:fldCharType="separate"/>
      </w:r>
      <w:r w:rsidR="00623A5C">
        <w:rPr>
          <w:rFonts w:ascii="Times" w:hAnsi="Times" w:cs="Times"/>
          <w:noProof/>
        </w:rPr>
        <w:t>388</w:t>
      </w:r>
      <w:r w:rsidRPr="00380510">
        <w:rPr>
          <w:rFonts w:ascii="Times" w:hAnsi="Times" w:cs="Times"/>
          <w:noProof/>
        </w:rPr>
        <w:fldChar w:fldCharType="end"/>
      </w:r>
    </w:p>
    <w:p w:rsidR="00380510" w:rsidRDefault="00380510">
      <w:pPr>
        <w:pStyle w:val="TOC5"/>
        <w:rPr>
          <w:rFonts w:ascii="Calibri" w:hAnsi="Calibri"/>
          <w:iCs w:val="0"/>
          <w:noProof/>
          <w:kern w:val="0"/>
          <w:sz w:val="22"/>
          <w:szCs w:val="22"/>
        </w:rPr>
      </w:pPr>
      <w:r>
        <w:rPr>
          <w:noProof/>
        </w:rPr>
        <w:t>960</w:t>
      </w:r>
      <w:r>
        <w:rPr>
          <w:noProof/>
        </w:rPr>
        <w:noBreakHyphen/>
        <w:t>50</w:t>
      </w:r>
      <w:r>
        <w:rPr>
          <w:noProof/>
        </w:rPr>
        <w:tab/>
        <w:t>Translation of amounts into Australian currency</w:t>
      </w:r>
      <w:r w:rsidRPr="00380510">
        <w:rPr>
          <w:rFonts w:ascii="Times" w:hAnsi="Times" w:cs="Times"/>
          <w:noProof/>
        </w:rPr>
        <w:tab/>
      </w:r>
      <w:r w:rsidRPr="00380510">
        <w:rPr>
          <w:rFonts w:ascii="Times" w:hAnsi="Times" w:cs="Times"/>
          <w:noProof/>
        </w:rPr>
        <w:fldChar w:fldCharType="begin"/>
      </w:r>
      <w:r w:rsidRPr="00380510">
        <w:rPr>
          <w:rFonts w:ascii="Times" w:hAnsi="Times" w:cs="Times"/>
          <w:noProof/>
        </w:rPr>
        <w:instrText xml:space="preserve"> PAGEREF _Toc338939589 \h </w:instrText>
      </w:r>
      <w:r w:rsidRPr="00380510">
        <w:rPr>
          <w:rFonts w:ascii="Times" w:hAnsi="Times" w:cs="Times"/>
          <w:noProof/>
        </w:rPr>
      </w:r>
      <w:r w:rsidRPr="00380510">
        <w:rPr>
          <w:rFonts w:ascii="Times" w:hAnsi="Times" w:cs="Times"/>
          <w:noProof/>
        </w:rPr>
        <w:fldChar w:fldCharType="separate"/>
      </w:r>
      <w:r w:rsidR="00623A5C">
        <w:rPr>
          <w:rFonts w:ascii="Times" w:hAnsi="Times" w:cs="Times"/>
          <w:noProof/>
        </w:rPr>
        <w:t>388</w:t>
      </w:r>
      <w:r w:rsidRPr="00380510">
        <w:rPr>
          <w:rFonts w:ascii="Times" w:hAnsi="Times" w:cs="Times"/>
          <w:noProof/>
        </w:rPr>
        <w:fldChar w:fldCharType="end"/>
      </w:r>
    </w:p>
    <w:p w:rsidR="00380510" w:rsidRDefault="00380510">
      <w:pPr>
        <w:pStyle w:val="TOC5"/>
        <w:rPr>
          <w:rFonts w:ascii="Calibri" w:hAnsi="Calibri"/>
          <w:iCs w:val="0"/>
          <w:noProof/>
          <w:kern w:val="0"/>
          <w:sz w:val="22"/>
          <w:szCs w:val="22"/>
        </w:rPr>
      </w:pPr>
      <w:r>
        <w:rPr>
          <w:noProof/>
        </w:rPr>
        <w:t>960</w:t>
      </w:r>
      <w:r>
        <w:rPr>
          <w:noProof/>
        </w:rPr>
        <w:noBreakHyphen/>
        <w:t>55</w:t>
      </w:r>
      <w:r>
        <w:rPr>
          <w:noProof/>
        </w:rPr>
        <w:tab/>
        <w:t>Application of translation rules</w:t>
      </w:r>
      <w:r w:rsidRPr="00380510">
        <w:rPr>
          <w:rFonts w:ascii="Times" w:hAnsi="Times" w:cs="Times"/>
          <w:noProof/>
        </w:rPr>
        <w:tab/>
      </w:r>
      <w:r w:rsidRPr="00380510">
        <w:rPr>
          <w:rFonts w:ascii="Times" w:hAnsi="Times" w:cs="Times"/>
          <w:noProof/>
        </w:rPr>
        <w:fldChar w:fldCharType="begin"/>
      </w:r>
      <w:r w:rsidRPr="00380510">
        <w:rPr>
          <w:rFonts w:ascii="Times" w:hAnsi="Times" w:cs="Times"/>
          <w:noProof/>
        </w:rPr>
        <w:instrText xml:space="preserve"> PAGEREF _Toc338939590 \h </w:instrText>
      </w:r>
      <w:r w:rsidRPr="00380510">
        <w:rPr>
          <w:rFonts w:ascii="Times" w:hAnsi="Times" w:cs="Times"/>
          <w:noProof/>
        </w:rPr>
      </w:r>
      <w:r w:rsidRPr="00380510">
        <w:rPr>
          <w:rFonts w:ascii="Times" w:hAnsi="Times" w:cs="Times"/>
          <w:noProof/>
        </w:rPr>
        <w:fldChar w:fldCharType="separate"/>
      </w:r>
      <w:r w:rsidR="00623A5C">
        <w:rPr>
          <w:rFonts w:ascii="Times" w:hAnsi="Times" w:cs="Times"/>
          <w:noProof/>
        </w:rPr>
        <w:t>395</w:t>
      </w:r>
      <w:r w:rsidRPr="00380510">
        <w:rPr>
          <w:rFonts w:ascii="Times" w:hAnsi="Times" w:cs="Times"/>
          <w:noProof/>
        </w:rPr>
        <w:fldChar w:fldCharType="end"/>
      </w:r>
    </w:p>
    <w:p w:rsidR="00380510" w:rsidRDefault="00380510">
      <w:pPr>
        <w:pStyle w:val="TOC4"/>
        <w:rPr>
          <w:rFonts w:ascii="Calibri" w:hAnsi="Calibri"/>
          <w:b w:val="0"/>
          <w:noProof/>
          <w:kern w:val="0"/>
          <w:sz w:val="22"/>
          <w:szCs w:val="22"/>
        </w:rPr>
      </w:pPr>
      <w:r>
        <w:rPr>
          <w:noProof/>
        </w:rPr>
        <w:t>Subdivision 960</w:t>
      </w:r>
      <w:r>
        <w:rPr>
          <w:noProof/>
        </w:rPr>
        <w:noBreakHyphen/>
        <w:t>D—Functional currency</w:t>
      </w:r>
      <w:r w:rsidRPr="00380510">
        <w:rPr>
          <w:rFonts w:ascii="Times" w:hAnsi="Times" w:cs="Times"/>
          <w:b w:val="0"/>
          <w:noProof/>
          <w:sz w:val="18"/>
        </w:rPr>
        <w:tab/>
      </w:r>
      <w:r w:rsidRPr="00380510">
        <w:rPr>
          <w:rFonts w:ascii="Times" w:hAnsi="Times" w:cs="Times"/>
          <w:b w:val="0"/>
          <w:noProof/>
          <w:sz w:val="18"/>
        </w:rPr>
        <w:fldChar w:fldCharType="begin"/>
      </w:r>
      <w:r w:rsidRPr="00380510">
        <w:rPr>
          <w:rFonts w:ascii="Times" w:hAnsi="Times" w:cs="Times"/>
          <w:b w:val="0"/>
          <w:noProof/>
          <w:sz w:val="18"/>
        </w:rPr>
        <w:instrText xml:space="preserve"> PAGEREF _Toc338939591 \h </w:instrText>
      </w:r>
      <w:r w:rsidRPr="00380510">
        <w:rPr>
          <w:rFonts w:ascii="Times" w:hAnsi="Times" w:cs="Times"/>
          <w:b w:val="0"/>
          <w:noProof/>
          <w:sz w:val="18"/>
        </w:rPr>
      </w:r>
      <w:r w:rsidRPr="00380510">
        <w:rPr>
          <w:rFonts w:ascii="Times" w:hAnsi="Times" w:cs="Times"/>
          <w:b w:val="0"/>
          <w:noProof/>
          <w:sz w:val="18"/>
        </w:rPr>
        <w:fldChar w:fldCharType="separate"/>
      </w:r>
      <w:r w:rsidR="00623A5C">
        <w:rPr>
          <w:rFonts w:ascii="Times" w:hAnsi="Times" w:cs="Times"/>
          <w:b w:val="0"/>
          <w:noProof/>
          <w:sz w:val="18"/>
        </w:rPr>
        <w:t>396</w:t>
      </w:r>
      <w:r w:rsidRPr="00380510">
        <w:rPr>
          <w:rFonts w:ascii="Times" w:hAnsi="Times" w:cs="Times"/>
          <w:b w:val="0"/>
          <w:noProof/>
          <w:sz w:val="18"/>
        </w:rPr>
        <w:fldChar w:fldCharType="end"/>
      </w:r>
    </w:p>
    <w:p w:rsidR="00380510" w:rsidRDefault="00380510">
      <w:pPr>
        <w:pStyle w:val="TOC4"/>
        <w:rPr>
          <w:rFonts w:ascii="Calibri" w:hAnsi="Calibri"/>
          <w:b w:val="0"/>
          <w:noProof/>
          <w:kern w:val="0"/>
          <w:sz w:val="22"/>
          <w:szCs w:val="22"/>
        </w:rPr>
      </w:pPr>
      <w:r>
        <w:rPr>
          <w:noProof/>
        </w:rPr>
        <w:t>Guide to Subdivision 960</w:t>
      </w:r>
      <w:r>
        <w:rPr>
          <w:noProof/>
        </w:rPr>
        <w:noBreakHyphen/>
        <w:t>D</w:t>
      </w:r>
      <w:r w:rsidRPr="00380510">
        <w:rPr>
          <w:rFonts w:ascii="Times" w:hAnsi="Times" w:cs="Times"/>
          <w:b w:val="0"/>
          <w:noProof/>
          <w:sz w:val="18"/>
        </w:rPr>
        <w:tab/>
      </w:r>
      <w:r w:rsidRPr="00380510">
        <w:rPr>
          <w:rFonts w:ascii="Times" w:hAnsi="Times" w:cs="Times"/>
          <w:b w:val="0"/>
          <w:noProof/>
          <w:sz w:val="18"/>
        </w:rPr>
        <w:fldChar w:fldCharType="begin"/>
      </w:r>
      <w:r w:rsidRPr="00380510">
        <w:rPr>
          <w:rFonts w:ascii="Times" w:hAnsi="Times" w:cs="Times"/>
          <w:b w:val="0"/>
          <w:noProof/>
          <w:sz w:val="18"/>
        </w:rPr>
        <w:instrText xml:space="preserve"> PAGEREF _Toc338939592 \h </w:instrText>
      </w:r>
      <w:r w:rsidRPr="00380510">
        <w:rPr>
          <w:rFonts w:ascii="Times" w:hAnsi="Times" w:cs="Times"/>
          <w:b w:val="0"/>
          <w:noProof/>
          <w:sz w:val="18"/>
        </w:rPr>
      </w:r>
      <w:r w:rsidRPr="00380510">
        <w:rPr>
          <w:rFonts w:ascii="Times" w:hAnsi="Times" w:cs="Times"/>
          <w:b w:val="0"/>
          <w:noProof/>
          <w:sz w:val="18"/>
        </w:rPr>
        <w:fldChar w:fldCharType="separate"/>
      </w:r>
      <w:r w:rsidR="00623A5C">
        <w:rPr>
          <w:rFonts w:ascii="Times" w:hAnsi="Times" w:cs="Times"/>
          <w:b w:val="0"/>
          <w:noProof/>
          <w:sz w:val="18"/>
        </w:rPr>
        <w:t>396</w:t>
      </w:r>
      <w:r w:rsidRPr="00380510">
        <w:rPr>
          <w:rFonts w:ascii="Times" w:hAnsi="Times" w:cs="Times"/>
          <w:b w:val="0"/>
          <w:noProof/>
          <w:sz w:val="18"/>
        </w:rPr>
        <w:fldChar w:fldCharType="end"/>
      </w:r>
    </w:p>
    <w:p w:rsidR="00380510" w:rsidRDefault="00380510">
      <w:pPr>
        <w:pStyle w:val="TOC5"/>
        <w:rPr>
          <w:rFonts w:ascii="Calibri" w:hAnsi="Calibri"/>
          <w:iCs w:val="0"/>
          <w:noProof/>
          <w:kern w:val="0"/>
          <w:sz w:val="22"/>
          <w:szCs w:val="22"/>
        </w:rPr>
      </w:pPr>
      <w:r>
        <w:rPr>
          <w:noProof/>
        </w:rPr>
        <w:t>960</w:t>
      </w:r>
      <w:r>
        <w:rPr>
          <w:noProof/>
        </w:rPr>
        <w:noBreakHyphen/>
        <w:t>56</w:t>
      </w:r>
      <w:r>
        <w:rPr>
          <w:noProof/>
        </w:rPr>
        <w:tab/>
        <w:t>What this Subdivision is about</w:t>
      </w:r>
      <w:r w:rsidRPr="00380510">
        <w:rPr>
          <w:rFonts w:ascii="Times" w:hAnsi="Times" w:cs="Times"/>
          <w:noProof/>
        </w:rPr>
        <w:tab/>
      </w:r>
      <w:r w:rsidRPr="00380510">
        <w:rPr>
          <w:rFonts w:ascii="Times" w:hAnsi="Times" w:cs="Times"/>
          <w:noProof/>
        </w:rPr>
        <w:fldChar w:fldCharType="begin"/>
      </w:r>
      <w:r w:rsidRPr="00380510">
        <w:rPr>
          <w:rFonts w:ascii="Times" w:hAnsi="Times" w:cs="Times"/>
          <w:noProof/>
        </w:rPr>
        <w:instrText xml:space="preserve"> PAGEREF _Toc338939593 \h </w:instrText>
      </w:r>
      <w:r w:rsidRPr="00380510">
        <w:rPr>
          <w:rFonts w:ascii="Times" w:hAnsi="Times" w:cs="Times"/>
          <w:noProof/>
        </w:rPr>
      </w:r>
      <w:r w:rsidRPr="00380510">
        <w:rPr>
          <w:rFonts w:ascii="Times" w:hAnsi="Times" w:cs="Times"/>
          <w:noProof/>
        </w:rPr>
        <w:fldChar w:fldCharType="separate"/>
      </w:r>
      <w:r w:rsidR="00623A5C">
        <w:rPr>
          <w:rFonts w:ascii="Times" w:hAnsi="Times" w:cs="Times"/>
          <w:noProof/>
        </w:rPr>
        <w:t>396</w:t>
      </w:r>
      <w:r w:rsidRPr="00380510">
        <w:rPr>
          <w:rFonts w:ascii="Times" w:hAnsi="Times" w:cs="Times"/>
          <w:noProof/>
        </w:rPr>
        <w:fldChar w:fldCharType="end"/>
      </w:r>
    </w:p>
    <w:p w:rsidR="00380510" w:rsidRDefault="00380510">
      <w:pPr>
        <w:pStyle w:val="TOC4"/>
        <w:rPr>
          <w:rFonts w:ascii="Calibri" w:hAnsi="Calibri"/>
          <w:b w:val="0"/>
          <w:noProof/>
          <w:kern w:val="0"/>
          <w:sz w:val="22"/>
          <w:szCs w:val="22"/>
        </w:rPr>
      </w:pPr>
      <w:r>
        <w:rPr>
          <w:noProof/>
        </w:rPr>
        <w:t>Operative provisions</w:t>
      </w:r>
      <w:r w:rsidRPr="00380510">
        <w:rPr>
          <w:rFonts w:ascii="Times" w:hAnsi="Times" w:cs="Times"/>
          <w:b w:val="0"/>
          <w:noProof/>
          <w:sz w:val="18"/>
        </w:rPr>
        <w:tab/>
      </w:r>
      <w:r w:rsidRPr="00380510">
        <w:rPr>
          <w:rFonts w:ascii="Times" w:hAnsi="Times" w:cs="Times"/>
          <w:b w:val="0"/>
          <w:noProof/>
          <w:sz w:val="18"/>
        </w:rPr>
        <w:fldChar w:fldCharType="begin"/>
      </w:r>
      <w:r w:rsidRPr="00380510">
        <w:rPr>
          <w:rFonts w:ascii="Times" w:hAnsi="Times" w:cs="Times"/>
          <w:b w:val="0"/>
          <w:noProof/>
          <w:sz w:val="18"/>
        </w:rPr>
        <w:instrText xml:space="preserve"> PAGEREF _Toc338939594 \h </w:instrText>
      </w:r>
      <w:r w:rsidRPr="00380510">
        <w:rPr>
          <w:rFonts w:ascii="Times" w:hAnsi="Times" w:cs="Times"/>
          <w:b w:val="0"/>
          <w:noProof/>
          <w:sz w:val="18"/>
        </w:rPr>
      </w:r>
      <w:r w:rsidRPr="00380510">
        <w:rPr>
          <w:rFonts w:ascii="Times" w:hAnsi="Times" w:cs="Times"/>
          <w:b w:val="0"/>
          <w:noProof/>
          <w:sz w:val="18"/>
        </w:rPr>
        <w:fldChar w:fldCharType="separate"/>
      </w:r>
      <w:r w:rsidR="00623A5C">
        <w:rPr>
          <w:rFonts w:ascii="Times" w:hAnsi="Times" w:cs="Times"/>
          <w:b w:val="0"/>
          <w:noProof/>
          <w:sz w:val="18"/>
        </w:rPr>
        <w:t>397</w:t>
      </w:r>
      <w:r w:rsidRPr="00380510">
        <w:rPr>
          <w:rFonts w:ascii="Times" w:hAnsi="Times" w:cs="Times"/>
          <w:b w:val="0"/>
          <w:noProof/>
          <w:sz w:val="18"/>
        </w:rPr>
        <w:fldChar w:fldCharType="end"/>
      </w:r>
    </w:p>
    <w:p w:rsidR="00380510" w:rsidRDefault="00380510">
      <w:pPr>
        <w:pStyle w:val="TOC5"/>
        <w:rPr>
          <w:rFonts w:ascii="Calibri" w:hAnsi="Calibri"/>
          <w:iCs w:val="0"/>
          <w:noProof/>
          <w:kern w:val="0"/>
          <w:sz w:val="22"/>
          <w:szCs w:val="22"/>
        </w:rPr>
      </w:pPr>
      <w:r>
        <w:rPr>
          <w:noProof/>
        </w:rPr>
        <w:t>960</w:t>
      </w:r>
      <w:r>
        <w:rPr>
          <w:noProof/>
        </w:rPr>
        <w:noBreakHyphen/>
        <w:t>59</w:t>
      </w:r>
      <w:r>
        <w:rPr>
          <w:noProof/>
        </w:rPr>
        <w:tab/>
        <w:t>Object of this Subdivision</w:t>
      </w:r>
      <w:r w:rsidRPr="00380510">
        <w:rPr>
          <w:rFonts w:ascii="Times" w:hAnsi="Times" w:cs="Times"/>
          <w:noProof/>
        </w:rPr>
        <w:tab/>
      </w:r>
      <w:r w:rsidRPr="00380510">
        <w:rPr>
          <w:rFonts w:ascii="Times" w:hAnsi="Times" w:cs="Times"/>
          <w:noProof/>
        </w:rPr>
        <w:fldChar w:fldCharType="begin"/>
      </w:r>
      <w:r w:rsidRPr="00380510">
        <w:rPr>
          <w:rFonts w:ascii="Times" w:hAnsi="Times" w:cs="Times"/>
          <w:noProof/>
        </w:rPr>
        <w:instrText xml:space="preserve"> PAGEREF _Toc338939595 \h </w:instrText>
      </w:r>
      <w:r w:rsidRPr="00380510">
        <w:rPr>
          <w:rFonts w:ascii="Times" w:hAnsi="Times" w:cs="Times"/>
          <w:noProof/>
        </w:rPr>
      </w:r>
      <w:r w:rsidRPr="00380510">
        <w:rPr>
          <w:rFonts w:ascii="Times" w:hAnsi="Times" w:cs="Times"/>
          <w:noProof/>
        </w:rPr>
        <w:fldChar w:fldCharType="separate"/>
      </w:r>
      <w:r w:rsidR="00623A5C">
        <w:rPr>
          <w:rFonts w:ascii="Times" w:hAnsi="Times" w:cs="Times"/>
          <w:noProof/>
        </w:rPr>
        <w:t>397</w:t>
      </w:r>
      <w:r w:rsidRPr="00380510">
        <w:rPr>
          <w:rFonts w:ascii="Times" w:hAnsi="Times" w:cs="Times"/>
          <w:noProof/>
        </w:rPr>
        <w:fldChar w:fldCharType="end"/>
      </w:r>
    </w:p>
    <w:p w:rsidR="00380510" w:rsidRDefault="00380510">
      <w:pPr>
        <w:pStyle w:val="TOC5"/>
        <w:rPr>
          <w:rFonts w:ascii="Calibri" w:hAnsi="Calibri"/>
          <w:iCs w:val="0"/>
          <w:noProof/>
          <w:kern w:val="0"/>
          <w:sz w:val="22"/>
          <w:szCs w:val="22"/>
        </w:rPr>
      </w:pPr>
      <w:r>
        <w:rPr>
          <w:noProof/>
        </w:rPr>
        <w:t>960</w:t>
      </w:r>
      <w:r>
        <w:rPr>
          <w:noProof/>
        </w:rPr>
        <w:noBreakHyphen/>
        <w:t>60</w:t>
      </w:r>
      <w:r>
        <w:rPr>
          <w:noProof/>
        </w:rPr>
        <w:tab/>
        <w:t>You may choose a functional currency</w:t>
      </w:r>
      <w:r w:rsidRPr="00380510">
        <w:rPr>
          <w:rFonts w:ascii="Times" w:hAnsi="Times" w:cs="Times"/>
          <w:noProof/>
        </w:rPr>
        <w:tab/>
      </w:r>
      <w:r w:rsidRPr="00380510">
        <w:rPr>
          <w:rFonts w:ascii="Times" w:hAnsi="Times" w:cs="Times"/>
          <w:noProof/>
        </w:rPr>
        <w:fldChar w:fldCharType="begin"/>
      </w:r>
      <w:r w:rsidRPr="00380510">
        <w:rPr>
          <w:rFonts w:ascii="Times" w:hAnsi="Times" w:cs="Times"/>
          <w:noProof/>
        </w:rPr>
        <w:instrText xml:space="preserve"> PAGEREF _Toc338939596 \h </w:instrText>
      </w:r>
      <w:r w:rsidRPr="00380510">
        <w:rPr>
          <w:rFonts w:ascii="Times" w:hAnsi="Times" w:cs="Times"/>
          <w:noProof/>
        </w:rPr>
      </w:r>
      <w:r w:rsidRPr="00380510">
        <w:rPr>
          <w:rFonts w:ascii="Times" w:hAnsi="Times" w:cs="Times"/>
          <w:noProof/>
        </w:rPr>
        <w:fldChar w:fldCharType="separate"/>
      </w:r>
      <w:r w:rsidR="00623A5C">
        <w:rPr>
          <w:rFonts w:ascii="Times" w:hAnsi="Times" w:cs="Times"/>
          <w:noProof/>
        </w:rPr>
        <w:t>397</w:t>
      </w:r>
      <w:r w:rsidRPr="00380510">
        <w:rPr>
          <w:rFonts w:ascii="Times" w:hAnsi="Times" w:cs="Times"/>
          <w:noProof/>
        </w:rPr>
        <w:fldChar w:fldCharType="end"/>
      </w:r>
    </w:p>
    <w:p w:rsidR="00380510" w:rsidRDefault="00380510">
      <w:pPr>
        <w:pStyle w:val="TOC5"/>
        <w:rPr>
          <w:rFonts w:ascii="Calibri" w:hAnsi="Calibri"/>
          <w:iCs w:val="0"/>
          <w:noProof/>
          <w:kern w:val="0"/>
          <w:sz w:val="22"/>
          <w:szCs w:val="22"/>
        </w:rPr>
      </w:pPr>
      <w:r>
        <w:rPr>
          <w:noProof/>
        </w:rPr>
        <w:t>960</w:t>
      </w:r>
      <w:r>
        <w:rPr>
          <w:noProof/>
        </w:rPr>
        <w:noBreakHyphen/>
        <w:t>61</w:t>
      </w:r>
      <w:r>
        <w:rPr>
          <w:noProof/>
        </w:rPr>
        <w:tab/>
        <w:t>Functional currency for calculating capital gains and losses on indirect Australian real property interests</w:t>
      </w:r>
      <w:r w:rsidRPr="00380510">
        <w:rPr>
          <w:rFonts w:ascii="Times" w:hAnsi="Times" w:cs="Times"/>
          <w:noProof/>
        </w:rPr>
        <w:tab/>
      </w:r>
      <w:r w:rsidRPr="00380510">
        <w:rPr>
          <w:rFonts w:ascii="Times" w:hAnsi="Times" w:cs="Times"/>
          <w:noProof/>
        </w:rPr>
        <w:fldChar w:fldCharType="begin"/>
      </w:r>
      <w:r w:rsidRPr="00380510">
        <w:rPr>
          <w:rFonts w:ascii="Times" w:hAnsi="Times" w:cs="Times"/>
          <w:noProof/>
        </w:rPr>
        <w:instrText xml:space="preserve"> PAGEREF _Toc338939597 \h </w:instrText>
      </w:r>
      <w:r w:rsidRPr="00380510">
        <w:rPr>
          <w:rFonts w:ascii="Times" w:hAnsi="Times" w:cs="Times"/>
          <w:noProof/>
        </w:rPr>
      </w:r>
      <w:r w:rsidRPr="00380510">
        <w:rPr>
          <w:rFonts w:ascii="Times" w:hAnsi="Times" w:cs="Times"/>
          <w:noProof/>
        </w:rPr>
        <w:fldChar w:fldCharType="separate"/>
      </w:r>
      <w:r w:rsidR="00623A5C">
        <w:rPr>
          <w:rFonts w:ascii="Times" w:hAnsi="Times" w:cs="Times"/>
          <w:noProof/>
        </w:rPr>
        <w:t>400</w:t>
      </w:r>
      <w:r w:rsidRPr="00380510">
        <w:rPr>
          <w:rFonts w:ascii="Times" w:hAnsi="Times" w:cs="Times"/>
          <w:noProof/>
        </w:rPr>
        <w:fldChar w:fldCharType="end"/>
      </w:r>
    </w:p>
    <w:p w:rsidR="00380510" w:rsidRDefault="00380510">
      <w:pPr>
        <w:pStyle w:val="TOC5"/>
        <w:rPr>
          <w:rFonts w:ascii="Calibri" w:hAnsi="Calibri"/>
          <w:iCs w:val="0"/>
          <w:noProof/>
          <w:kern w:val="0"/>
          <w:sz w:val="22"/>
          <w:szCs w:val="22"/>
        </w:rPr>
      </w:pPr>
      <w:r>
        <w:rPr>
          <w:noProof/>
        </w:rPr>
        <w:t>960</w:t>
      </w:r>
      <w:r>
        <w:rPr>
          <w:noProof/>
        </w:rPr>
        <w:noBreakHyphen/>
        <w:t>65</w:t>
      </w:r>
      <w:r>
        <w:rPr>
          <w:noProof/>
        </w:rPr>
        <w:tab/>
        <w:t>Backdated startup choice</w:t>
      </w:r>
      <w:r w:rsidRPr="00380510">
        <w:rPr>
          <w:rFonts w:ascii="Times" w:hAnsi="Times" w:cs="Times"/>
          <w:noProof/>
        </w:rPr>
        <w:tab/>
      </w:r>
      <w:r w:rsidRPr="00380510">
        <w:rPr>
          <w:rFonts w:ascii="Times" w:hAnsi="Times" w:cs="Times"/>
          <w:noProof/>
        </w:rPr>
        <w:fldChar w:fldCharType="begin"/>
      </w:r>
      <w:r w:rsidRPr="00380510">
        <w:rPr>
          <w:rFonts w:ascii="Times" w:hAnsi="Times" w:cs="Times"/>
          <w:noProof/>
        </w:rPr>
        <w:instrText xml:space="preserve"> PAGEREF _Toc338939598 \h </w:instrText>
      </w:r>
      <w:r w:rsidRPr="00380510">
        <w:rPr>
          <w:rFonts w:ascii="Times" w:hAnsi="Times" w:cs="Times"/>
          <w:noProof/>
        </w:rPr>
      </w:r>
      <w:r w:rsidRPr="00380510">
        <w:rPr>
          <w:rFonts w:ascii="Times" w:hAnsi="Times" w:cs="Times"/>
          <w:noProof/>
        </w:rPr>
        <w:fldChar w:fldCharType="separate"/>
      </w:r>
      <w:r w:rsidR="00623A5C">
        <w:rPr>
          <w:rFonts w:ascii="Times" w:hAnsi="Times" w:cs="Times"/>
          <w:noProof/>
        </w:rPr>
        <w:t>401</w:t>
      </w:r>
      <w:r w:rsidRPr="00380510">
        <w:rPr>
          <w:rFonts w:ascii="Times" w:hAnsi="Times" w:cs="Times"/>
          <w:noProof/>
        </w:rPr>
        <w:fldChar w:fldCharType="end"/>
      </w:r>
    </w:p>
    <w:p w:rsidR="00380510" w:rsidRDefault="00380510">
      <w:pPr>
        <w:pStyle w:val="TOC5"/>
        <w:rPr>
          <w:rFonts w:ascii="Calibri" w:hAnsi="Calibri"/>
          <w:iCs w:val="0"/>
          <w:noProof/>
          <w:kern w:val="0"/>
          <w:sz w:val="22"/>
          <w:szCs w:val="22"/>
        </w:rPr>
      </w:pPr>
      <w:r>
        <w:rPr>
          <w:noProof/>
        </w:rPr>
        <w:t>960</w:t>
      </w:r>
      <w:r>
        <w:rPr>
          <w:noProof/>
        </w:rPr>
        <w:noBreakHyphen/>
        <w:t>70</w:t>
      </w:r>
      <w:r>
        <w:rPr>
          <w:noProof/>
        </w:rPr>
        <w:tab/>
        <w:t xml:space="preserve">What is the </w:t>
      </w:r>
      <w:r w:rsidRPr="008A0EAA">
        <w:rPr>
          <w:i/>
          <w:noProof/>
        </w:rPr>
        <w:t>applicable functional currency</w:t>
      </w:r>
      <w:r>
        <w:rPr>
          <w:noProof/>
        </w:rPr>
        <w:t>?</w:t>
      </w:r>
      <w:r w:rsidRPr="00380510">
        <w:rPr>
          <w:rFonts w:ascii="Times" w:hAnsi="Times" w:cs="Times"/>
          <w:noProof/>
        </w:rPr>
        <w:tab/>
      </w:r>
      <w:r w:rsidRPr="00380510">
        <w:rPr>
          <w:rFonts w:ascii="Times" w:hAnsi="Times" w:cs="Times"/>
          <w:noProof/>
        </w:rPr>
        <w:fldChar w:fldCharType="begin"/>
      </w:r>
      <w:r w:rsidRPr="00380510">
        <w:rPr>
          <w:rFonts w:ascii="Times" w:hAnsi="Times" w:cs="Times"/>
          <w:noProof/>
        </w:rPr>
        <w:instrText xml:space="preserve"> PAGEREF _Toc338939599 \h </w:instrText>
      </w:r>
      <w:r w:rsidRPr="00380510">
        <w:rPr>
          <w:rFonts w:ascii="Times" w:hAnsi="Times" w:cs="Times"/>
          <w:noProof/>
        </w:rPr>
      </w:r>
      <w:r w:rsidRPr="00380510">
        <w:rPr>
          <w:rFonts w:ascii="Times" w:hAnsi="Times" w:cs="Times"/>
          <w:noProof/>
        </w:rPr>
        <w:fldChar w:fldCharType="separate"/>
      </w:r>
      <w:r w:rsidR="00623A5C">
        <w:rPr>
          <w:rFonts w:ascii="Times" w:hAnsi="Times" w:cs="Times"/>
          <w:noProof/>
        </w:rPr>
        <w:t>405</w:t>
      </w:r>
      <w:r w:rsidRPr="00380510">
        <w:rPr>
          <w:rFonts w:ascii="Times" w:hAnsi="Times" w:cs="Times"/>
          <w:noProof/>
        </w:rPr>
        <w:fldChar w:fldCharType="end"/>
      </w:r>
    </w:p>
    <w:p w:rsidR="00380510" w:rsidRDefault="00380510">
      <w:pPr>
        <w:pStyle w:val="TOC5"/>
        <w:rPr>
          <w:rFonts w:ascii="Calibri" w:hAnsi="Calibri"/>
          <w:iCs w:val="0"/>
          <w:noProof/>
          <w:kern w:val="0"/>
          <w:sz w:val="22"/>
          <w:szCs w:val="22"/>
        </w:rPr>
      </w:pPr>
      <w:r>
        <w:rPr>
          <w:noProof/>
        </w:rPr>
        <w:t>960</w:t>
      </w:r>
      <w:r>
        <w:rPr>
          <w:noProof/>
        </w:rPr>
        <w:noBreakHyphen/>
        <w:t>75</w:t>
      </w:r>
      <w:r>
        <w:rPr>
          <w:noProof/>
        </w:rPr>
        <w:tab/>
        <w:t xml:space="preserve">What is a </w:t>
      </w:r>
      <w:r w:rsidRPr="008A0EAA">
        <w:rPr>
          <w:i/>
          <w:noProof/>
        </w:rPr>
        <w:t>transferor trust</w:t>
      </w:r>
      <w:r>
        <w:rPr>
          <w:noProof/>
        </w:rPr>
        <w:t>?</w:t>
      </w:r>
      <w:r w:rsidRPr="00380510">
        <w:rPr>
          <w:rFonts w:ascii="Times" w:hAnsi="Times" w:cs="Times"/>
          <w:noProof/>
        </w:rPr>
        <w:tab/>
      </w:r>
      <w:r w:rsidRPr="00380510">
        <w:rPr>
          <w:rFonts w:ascii="Times" w:hAnsi="Times" w:cs="Times"/>
          <w:noProof/>
        </w:rPr>
        <w:fldChar w:fldCharType="begin"/>
      </w:r>
      <w:r w:rsidRPr="00380510">
        <w:rPr>
          <w:rFonts w:ascii="Times" w:hAnsi="Times" w:cs="Times"/>
          <w:noProof/>
        </w:rPr>
        <w:instrText xml:space="preserve"> PAGEREF _Toc338939600 \h </w:instrText>
      </w:r>
      <w:r w:rsidRPr="00380510">
        <w:rPr>
          <w:rFonts w:ascii="Times" w:hAnsi="Times" w:cs="Times"/>
          <w:noProof/>
        </w:rPr>
      </w:r>
      <w:r w:rsidRPr="00380510">
        <w:rPr>
          <w:rFonts w:ascii="Times" w:hAnsi="Times" w:cs="Times"/>
          <w:noProof/>
        </w:rPr>
        <w:fldChar w:fldCharType="separate"/>
      </w:r>
      <w:r w:rsidR="00623A5C">
        <w:rPr>
          <w:rFonts w:ascii="Times" w:hAnsi="Times" w:cs="Times"/>
          <w:noProof/>
        </w:rPr>
        <w:t>406</w:t>
      </w:r>
      <w:r w:rsidRPr="00380510">
        <w:rPr>
          <w:rFonts w:ascii="Times" w:hAnsi="Times" w:cs="Times"/>
          <w:noProof/>
        </w:rPr>
        <w:fldChar w:fldCharType="end"/>
      </w:r>
    </w:p>
    <w:p w:rsidR="00380510" w:rsidRDefault="00380510">
      <w:pPr>
        <w:pStyle w:val="TOC5"/>
        <w:rPr>
          <w:rFonts w:ascii="Calibri" w:hAnsi="Calibri"/>
          <w:iCs w:val="0"/>
          <w:noProof/>
          <w:kern w:val="0"/>
          <w:sz w:val="22"/>
          <w:szCs w:val="22"/>
        </w:rPr>
      </w:pPr>
      <w:r>
        <w:rPr>
          <w:noProof/>
        </w:rPr>
        <w:t>960</w:t>
      </w:r>
      <w:r>
        <w:rPr>
          <w:noProof/>
        </w:rPr>
        <w:noBreakHyphen/>
        <w:t>80</w:t>
      </w:r>
      <w:r>
        <w:rPr>
          <w:noProof/>
        </w:rPr>
        <w:tab/>
        <w:t>Translation rules</w:t>
      </w:r>
      <w:r w:rsidRPr="00380510">
        <w:rPr>
          <w:rFonts w:ascii="Times" w:hAnsi="Times" w:cs="Times"/>
          <w:noProof/>
        </w:rPr>
        <w:tab/>
      </w:r>
      <w:r w:rsidRPr="00380510">
        <w:rPr>
          <w:rFonts w:ascii="Times" w:hAnsi="Times" w:cs="Times"/>
          <w:noProof/>
        </w:rPr>
        <w:fldChar w:fldCharType="begin"/>
      </w:r>
      <w:r w:rsidRPr="00380510">
        <w:rPr>
          <w:rFonts w:ascii="Times" w:hAnsi="Times" w:cs="Times"/>
          <w:noProof/>
        </w:rPr>
        <w:instrText xml:space="preserve"> PAGEREF _Toc338939601 \h </w:instrText>
      </w:r>
      <w:r w:rsidRPr="00380510">
        <w:rPr>
          <w:rFonts w:ascii="Times" w:hAnsi="Times" w:cs="Times"/>
          <w:noProof/>
        </w:rPr>
      </w:r>
      <w:r w:rsidRPr="00380510">
        <w:rPr>
          <w:rFonts w:ascii="Times" w:hAnsi="Times" w:cs="Times"/>
          <w:noProof/>
        </w:rPr>
        <w:fldChar w:fldCharType="separate"/>
      </w:r>
      <w:r w:rsidR="00623A5C">
        <w:rPr>
          <w:rFonts w:ascii="Times" w:hAnsi="Times" w:cs="Times"/>
          <w:noProof/>
        </w:rPr>
        <w:t>407</w:t>
      </w:r>
      <w:r w:rsidRPr="00380510">
        <w:rPr>
          <w:rFonts w:ascii="Times" w:hAnsi="Times" w:cs="Times"/>
          <w:noProof/>
        </w:rPr>
        <w:fldChar w:fldCharType="end"/>
      </w:r>
    </w:p>
    <w:p w:rsidR="00380510" w:rsidRDefault="00380510">
      <w:pPr>
        <w:pStyle w:val="TOC5"/>
        <w:rPr>
          <w:rFonts w:ascii="Calibri" w:hAnsi="Calibri"/>
          <w:iCs w:val="0"/>
          <w:noProof/>
          <w:kern w:val="0"/>
          <w:sz w:val="22"/>
          <w:szCs w:val="22"/>
        </w:rPr>
      </w:pPr>
      <w:r>
        <w:rPr>
          <w:noProof/>
        </w:rPr>
        <w:lastRenderedPageBreak/>
        <w:t>960</w:t>
      </w:r>
      <w:r>
        <w:rPr>
          <w:noProof/>
        </w:rPr>
        <w:noBreakHyphen/>
        <w:t>85</w:t>
      </w:r>
      <w:r>
        <w:rPr>
          <w:noProof/>
        </w:rPr>
        <w:tab/>
        <w:t>Special rule about translation—events that happened before the current choice took effect</w:t>
      </w:r>
      <w:r w:rsidRPr="00380510">
        <w:rPr>
          <w:rFonts w:ascii="Times" w:hAnsi="Times" w:cs="Times"/>
          <w:noProof/>
        </w:rPr>
        <w:tab/>
      </w:r>
      <w:r w:rsidRPr="00380510">
        <w:rPr>
          <w:rFonts w:ascii="Times" w:hAnsi="Times" w:cs="Times"/>
          <w:noProof/>
        </w:rPr>
        <w:fldChar w:fldCharType="begin"/>
      </w:r>
      <w:r w:rsidRPr="00380510">
        <w:rPr>
          <w:rFonts w:ascii="Times" w:hAnsi="Times" w:cs="Times"/>
          <w:noProof/>
        </w:rPr>
        <w:instrText xml:space="preserve"> PAGEREF _Toc338939602 \h </w:instrText>
      </w:r>
      <w:r w:rsidRPr="00380510">
        <w:rPr>
          <w:rFonts w:ascii="Times" w:hAnsi="Times" w:cs="Times"/>
          <w:noProof/>
        </w:rPr>
      </w:r>
      <w:r w:rsidRPr="00380510">
        <w:rPr>
          <w:rFonts w:ascii="Times" w:hAnsi="Times" w:cs="Times"/>
          <w:noProof/>
        </w:rPr>
        <w:fldChar w:fldCharType="separate"/>
      </w:r>
      <w:r w:rsidR="00623A5C">
        <w:rPr>
          <w:rFonts w:ascii="Times" w:hAnsi="Times" w:cs="Times"/>
          <w:noProof/>
        </w:rPr>
        <w:t>413</w:t>
      </w:r>
      <w:r w:rsidRPr="00380510">
        <w:rPr>
          <w:rFonts w:ascii="Times" w:hAnsi="Times" w:cs="Times"/>
          <w:noProof/>
        </w:rPr>
        <w:fldChar w:fldCharType="end"/>
      </w:r>
    </w:p>
    <w:p w:rsidR="00380510" w:rsidRDefault="00380510">
      <w:pPr>
        <w:pStyle w:val="TOC5"/>
        <w:rPr>
          <w:rFonts w:ascii="Calibri" w:hAnsi="Calibri"/>
          <w:iCs w:val="0"/>
          <w:noProof/>
          <w:kern w:val="0"/>
          <w:sz w:val="22"/>
          <w:szCs w:val="22"/>
        </w:rPr>
      </w:pPr>
      <w:r>
        <w:rPr>
          <w:noProof/>
        </w:rPr>
        <w:t>960</w:t>
      </w:r>
      <w:r>
        <w:rPr>
          <w:noProof/>
        </w:rPr>
        <w:noBreakHyphen/>
        <w:t>90</w:t>
      </w:r>
      <w:r>
        <w:rPr>
          <w:noProof/>
        </w:rPr>
        <w:tab/>
        <w:t>Withdrawal of choice</w:t>
      </w:r>
      <w:r w:rsidRPr="00380510">
        <w:rPr>
          <w:rFonts w:ascii="Times" w:hAnsi="Times" w:cs="Times"/>
          <w:noProof/>
        </w:rPr>
        <w:tab/>
      </w:r>
      <w:r w:rsidRPr="00380510">
        <w:rPr>
          <w:rFonts w:ascii="Times" w:hAnsi="Times" w:cs="Times"/>
          <w:noProof/>
        </w:rPr>
        <w:fldChar w:fldCharType="begin"/>
      </w:r>
      <w:r w:rsidRPr="00380510">
        <w:rPr>
          <w:rFonts w:ascii="Times" w:hAnsi="Times" w:cs="Times"/>
          <w:noProof/>
        </w:rPr>
        <w:instrText xml:space="preserve"> PAGEREF _Toc338939603 \h </w:instrText>
      </w:r>
      <w:r w:rsidRPr="00380510">
        <w:rPr>
          <w:rFonts w:ascii="Times" w:hAnsi="Times" w:cs="Times"/>
          <w:noProof/>
        </w:rPr>
      </w:r>
      <w:r w:rsidRPr="00380510">
        <w:rPr>
          <w:rFonts w:ascii="Times" w:hAnsi="Times" w:cs="Times"/>
          <w:noProof/>
        </w:rPr>
        <w:fldChar w:fldCharType="separate"/>
      </w:r>
      <w:r w:rsidR="00623A5C">
        <w:rPr>
          <w:rFonts w:ascii="Times" w:hAnsi="Times" w:cs="Times"/>
          <w:noProof/>
        </w:rPr>
        <w:t>415</w:t>
      </w:r>
      <w:r w:rsidRPr="00380510">
        <w:rPr>
          <w:rFonts w:ascii="Times" w:hAnsi="Times" w:cs="Times"/>
          <w:noProof/>
        </w:rPr>
        <w:fldChar w:fldCharType="end"/>
      </w:r>
    </w:p>
    <w:p w:rsidR="00380510" w:rsidRDefault="00380510">
      <w:pPr>
        <w:pStyle w:val="TOC4"/>
        <w:rPr>
          <w:rFonts w:ascii="Calibri" w:hAnsi="Calibri"/>
          <w:b w:val="0"/>
          <w:noProof/>
          <w:kern w:val="0"/>
          <w:sz w:val="22"/>
          <w:szCs w:val="22"/>
        </w:rPr>
      </w:pPr>
      <w:r>
        <w:rPr>
          <w:noProof/>
        </w:rPr>
        <w:t>Subdivision 960</w:t>
      </w:r>
      <w:r>
        <w:rPr>
          <w:noProof/>
        </w:rPr>
        <w:noBreakHyphen/>
        <w:t>E—Entities</w:t>
      </w:r>
      <w:r w:rsidRPr="00380510">
        <w:rPr>
          <w:rFonts w:ascii="Times" w:hAnsi="Times" w:cs="Times"/>
          <w:b w:val="0"/>
          <w:noProof/>
          <w:sz w:val="18"/>
        </w:rPr>
        <w:tab/>
      </w:r>
      <w:r w:rsidRPr="00380510">
        <w:rPr>
          <w:rFonts w:ascii="Times" w:hAnsi="Times" w:cs="Times"/>
          <w:b w:val="0"/>
          <w:noProof/>
          <w:sz w:val="18"/>
        </w:rPr>
        <w:fldChar w:fldCharType="begin"/>
      </w:r>
      <w:r w:rsidRPr="00380510">
        <w:rPr>
          <w:rFonts w:ascii="Times" w:hAnsi="Times" w:cs="Times"/>
          <w:b w:val="0"/>
          <w:noProof/>
          <w:sz w:val="18"/>
        </w:rPr>
        <w:instrText xml:space="preserve"> PAGEREF _Toc338939604 \h </w:instrText>
      </w:r>
      <w:r w:rsidRPr="00380510">
        <w:rPr>
          <w:rFonts w:ascii="Times" w:hAnsi="Times" w:cs="Times"/>
          <w:b w:val="0"/>
          <w:noProof/>
          <w:sz w:val="18"/>
        </w:rPr>
      </w:r>
      <w:r w:rsidRPr="00380510">
        <w:rPr>
          <w:rFonts w:ascii="Times" w:hAnsi="Times" w:cs="Times"/>
          <w:b w:val="0"/>
          <w:noProof/>
          <w:sz w:val="18"/>
        </w:rPr>
        <w:fldChar w:fldCharType="separate"/>
      </w:r>
      <w:r w:rsidR="00623A5C">
        <w:rPr>
          <w:rFonts w:ascii="Times" w:hAnsi="Times" w:cs="Times"/>
          <w:b w:val="0"/>
          <w:noProof/>
          <w:sz w:val="18"/>
        </w:rPr>
        <w:t>418</w:t>
      </w:r>
      <w:r w:rsidRPr="00380510">
        <w:rPr>
          <w:rFonts w:ascii="Times" w:hAnsi="Times" w:cs="Times"/>
          <w:b w:val="0"/>
          <w:noProof/>
          <w:sz w:val="18"/>
        </w:rPr>
        <w:fldChar w:fldCharType="end"/>
      </w:r>
    </w:p>
    <w:p w:rsidR="00380510" w:rsidRDefault="00380510">
      <w:pPr>
        <w:pStyle w:val="TOC5"/>
        <w:rPr>
          <w:rFonts w:ascii="Calibri" w:hAnsi="Calibri"/>
          <w:iCs w:val="0"/>
          <w:noProof/>
          <w:kern w:val="0"/>
          <w:sz w:val="22"/>
          <w:szCs w:val="22"/>
        </w:rPr>
      </w:pPr>
      <w:r>
        <w:rPr>
          <w:noProof/>
        </w:rPr>
        <w:t>960</w:t>
      </w:r>
      <w:r>
        <w:rPr>
          <w:noProof/>
        </w:rPr>
        <w:noBreakHyphen/>
        <w:t>100</w:t>
      </w:r>
      <w:r>
        <w:rPr>
          <w:noProof/>
        </w:rPr>
        <w:tab/>
        <w:t>Entities</w:t>
      </w:r>
      <w:r w:rsidRPr="00380510">
        <w:rPr>
          <w:rFonts w:ascii="Times" w:hAnsi="Times" w:cs="Times"/>
          <w:noProof/>
        </w:rPr>
        <w:tab/>
      </w:r>
      <w:r w:rsidRPr="00380510">
        <w:rPr>
          <w:rFonts w:ascii="Times" w:hAnsi="Times" w:cs="Times"/>
          <w:noProof/>
        </w:rPr>
        <w:fldChar w:fldCharType="begin"/>
      </w:r>
      <w:r w:rsidRPr="00380510">
        <w:rPr>
          <w:rFonts w:ascii="Times" w:hAnsi="Times" w:cs="Times"/>
          <w:noProof/>
        </w:rPr>
        <w:instrText xml:space="preserve"> PAGEREF _Toc338939605 \h </w:instrText>
      </w:r>
      <w:r w:rsidRPr="00380510">
        <w:rPr>
          <w:rFonts w:ascii="Times" w:hAnsi="Times" w:cs="Times"/>
          <w:noProof/>
        </w:rPr>
      </w:r>
      <w:r w:rsidRPr="00380510">
        <w:rPr>
          <w:rFonts w:ascii="Times" w:hAnsi="Times" w:cs="Times"/>
          <w:noProof/>
        </w:rPr>
        <w:fldChar w:fldCharType="separate"/>
      </w:r>
      <w:r w:rsidR="00623A5C">
        <w:rPr>
          <w:rFonts w:ascii="Times" w:hAnsi="Times" w:cs="Times"/>
          <w:noProof/>
        </w:rPr>
        <w:t>418</w:t>
      </w:r>
      <w:r w:rsidRPr="00380510">
        <w:rPr>
          <w:rFonts w:ascii="Times" w:hAnsi="Times" w:cs="Times"/>
          <w:noProof/>
        </w:rPr>
        <w:fldChar w:fldCharType="end"/>
      </w:r>
    </w:p>
    <w:p w:rsidR="00380510" w:rsidRDefault="00380510">
      <w:pPr>
        <w:pStyle w:val="TOC5"/>
        <w:rPr>
          <w:rFonts w:ascii="Calibri" w:hAnsi="Calibri"/>
          <w:iCs w:val="0"/>
          <w:noProof/>
          <w:kern w:val="0"/>
          <w:sz w:val="22"/>
          <w:szCs w:val="22"/>
        </w:rPr>
      </w:pPr>
      <w:r>
        <w:rPr>
          <w:noProof/>
        </w:rPr>
        <w:t>960</w:t>
      </w:r>
      <w:r>
        <w:rPr>
          <w:noProof/>
        </w:rPr>
        <w:noBreakHyphen/>
        <w:t>105</w:t>
      </w:r>
      <w:r>
        <w:rPr>
          <w:noProof/>
        </w:rPr>
        <w:tab/>
        <w:t>Certain entities treated as agents</w:t>
      </w:r>
      <w:r w:rsidRPr="00380510">
        <w:rPr>
          <w:rFonts w:ascii="Times" w:hAnsi="Times" w:cs="Times"/>
          <w:noProof/>
        </w:rPr>
        <w:tab/>
      </w:r>
      <w:r w:rsidRPr="00380510">
        <w:rPr>
          <w:rFonts w:ascii="Times" w:hAnsi="Times" w:cs="Times"/>
          <w:noProof/>
        </w:rPr>
        <w:fldChar w:fldCharType="begin"/>
      </w:r>
      <w:r w:rsidRPr="00380510">
        <w:rPr>
          <w:rFonts w:ascii="Times" w:hAnsi="Times" w:cs="Times"/>
          <w:noProof/>
        </w:rPr>
        <w:instrText xml:space="preserve"> PAGEREF _Toc338939606 \h </w:instrText>
      </w:r>
      <w:r w:rsidRPr="00380510">
        <w:rPr>
          <w:rFonts w:ascii="Times" w:hAnsi="Times" w:cs="Times"/>
          <w:noProof/>
        </w:rPr>
      </w:r>
      <w:r w:rsidRPr="00380510">
        <w:rPr>
          <w:rFonts w:ascii="Times" w:hAnsi="Times" w:cs="Times"/>
          <w:noProof/>
        </w:rPr>
        <w:fldChar w:fldCharType="separate"/>
      </w:r>
      <w:r w:rsidR="00623A5C">
        <w:rPr>
          <w:rFonts w:ascii="Times" w:hAnsi="Times" w:cs="Times"/>
          <w:noProof/>
        </w:rPr>
        <w:t>419</w:t>
      </w:r>
      <w:r w:rsidRPr="00380510">
        <w:rPr>
          <w:rFonts w:ascii="Times" w:hAnsi="Times" w:cs="Times"/>
          <w:noProof/>
        </w:rPr>
        <w:fldChar w:fldCharType="end"/>
      </w:r>
    </w:p>
    <w:p w:rsidR="00380510" w:rsidRDefault="00380510">
      <w:pPr>
        <w:pStyle w:val="TOC4"/>
        <w:rPr>
          <w:rFonts w:ascii="Calibri" w:hAnsi="Calibri"/>
          <w:b w:val="0"/>
          <w:noProof/>
          <w:kern w:val="0"/>
          <w:sz w:val="22"/>
          <w:szCs w:val="22"/>
        </w:rPr>
      </w:pPr>
      <w:r>
        <w:rPr>
          <w:noProof/>
        </w:rPr>
        <w:t>Subdivision 960</w:t>
      </w:r>
      <w:r>
        <w:rPr>
          <w:noProof/>
        </w:rPr>
        <w:noBreakHyphen/>
        <w:t>F—Distribution by corporate tax entities</w:t>
      </w:r>
      <w:r w:rsidRPr="00380510">
        <w:rPr>
          <w:rFonts w:ascii="Times" w:hAnsi="Times" w:cs="Times"/>
          <w:b w:val="0"/>
          <w:noProof/>
          <w:sz w:val="18"/>
        </w:rPr>
        <w:tab/>
      </w:r>
      <w:r w:rsidRPr="00380510">
        <w:rPr>
          <w:rFonts w:ascii="Times" w:hAnsi="Times" w:cs="Times"/>
          <w:b w:val="0"/>
          <w:noProof/>
          <w:sz w:val="18"/>
        </w:rPr>
        <w:fldChar w:fldCharType="begin"/>
      </w:r>
      <w:r w:rsidRPr="00380510">
        <w:rPr>
          <w:rFonts w:ascii="Times" w:hAnsi="Times" w:cs="Times"/>
          <w:b w:val="0"/>
          <w:noProof/>
          <w:sz w:val="18"/>
        </w:rPr>
        <w:instrText xml:space="preserve"> PAGEREF _Toc338939607 \h </w:instrText>
      </w:r>
      <w:r w:rsidRPr="00380510">
        <w:rPr>
          <w:rFonts w:ascii="Times" w:hAnsi="Times" w:cs="Times"/>
          <w:b w:val="0"/>
          <w:noProof/>
          <w:sz w:val="18"/>
        </w:rPr>
      </w:r>
      <w:r w:rsidRPr="00380510">
        <w:rPr>
          <w:rFonts w:ascii="Times" w:hAnsi="Times" w:cs="Times"/>
          <w:b w:val="0"/>
          <w:noProof/>
          <w:sz w:val="18"/>
        </w:rPr>
        <w:fldChar w:fldCharType="separate"/>
      </w:r>
      <w:r w:rsidR="00623A5C">
        <w:rPr>
          <w:rFonts w:ascii="Times" w:hAnsi="Times" w:cs="Times"/>
          <w:b w:val="0"/>
          <w:noProof/>
          <w:sz w:val="18"/>
        </w:rPr>
        <w:t>419</w:t>
      </w:r>
      <w:r w:rsidRPr="00380510">
        <w:rPr>
          <w:rFonts w:ascii="Times" w:hAnsi="Times" w:cs="Times"/>
          <w:b w:val="0"/>
          <w:noProof/>
          <w:sz w:val="18"/>
        </w:rPr>
        <w:fldChar w:fldCharType="end"/>
      </w:r>
    </w:p>
    <w:p w:rsidR="00380510" w:rsidRDefault="00380510">
      <w:pPr>
        <w:pStyle w:val="TOC5"/>
        <w:rPr>
          <w:rFonts w:ascii="Calibri" w:hAnsi="Calibri"/>
          <w:iCs w:val="0"/>
          <w:noProof/>
          <w:kern w:val="0"/>
          <w:sz w:val="22"/>
          <w:szCs w:val="22"/>
        </w:rPr>
      </w:pPr>
      <w:r>
        <w:rPr>
          <w:noProof/>
        </w:rPr>
        <w:t>960</w:t>
      </w:r>
      <w:r>
        <w:rPr>
          <w:noProof/>
        </w:rPr>
        <w:noBreakHyphen/>
        <w:t>115</w:t>
      </w:r>
      <w:r>
        <w:rPr>
          <w:noProof/>
        </w:rPr>
        <w:tab/>
        <w:t xml:space="preserve">Meaning of </w:t>
      </w:r>
      <w:r w:rsidRPr="008A0EAA">
        <w:rPr>
          <w:i/>
          <w:noProof/>
        </w:rPr>
        <w:t>corporate tax entity</w:t>
      </w:r>
      <w:r w:rsidRPr="00380510">
        <w:rPr>
          <w:rFonts w:ascii="Times" w:hAnsi="Times" w:cs="Times"/>
          <w:noProof/>
        </w:rPr>
        <w:tab/>
      </w:r>
      <w:r w:rsidRPr="00380510">
        <w:rPr>
          <w:rFonts w:ascii="Times" w:hAnsi="Times" w:cs="Times"/>
          <w:noProof/>
        </w:rPr>
        <w:fldChar w:fldCharType="begin"/>
      </w:r>
      <w:r w:rsidRPr="00380510">
        <w:rPr>
          <w:rFonts w:ascii="Times" w:hAnsi="Times" w:cs="Times"/>
          <w:noProof/>
        </w:rPr>
        <w:instrText xml:space="preserve"> PAGEREF _Toc338939608 \h </w:instrText>
      </w:r>
      <w:r w:rsidRPr="00380510">
        <w:rPr>
          <w:rFonts w:ascii="Times" w:hAnsi="Times" w:cs="Times"/>
          <w:noProof/>
        </w:rPr>
      </w:r>
      <w:r w:rsidRPr="00380510">
        <w:rPr>
          <w:rFonts w:ascii="Times" w:hAnsi="Times" w:cs="Times"/>
          <w:noProof/>
        </w:rPr>
        <w:fldChar w:fldCharType="separate"/>
      </w:r>
      <w:r w:rsidR="00623A5C">
        <w:rPr>
          <w:rFonts w:ascii="Times" w:hAnsi="Times" w:cs="Times"/>
          <w:noProof/>
        </w:rPr>
        <w:t>419</w:t>
      </w:r>
      <w:r w:rsidRPr="00380510">
        <w:rPr>
          <w:rFonts w:ascii="Times" w:hAnsi="Times" w:cs="Times"/>
          <w:noProof/>
        </w:rPr>
        <w:fldChar w:fldCharType="end"/>
      </w:r>
    </w:p>
    <w:p w:rsidR="00380510" w:rsidRDefault="00380510">
      <w:pPr>
        <w:pStyle w:val="TOC5"/>
        <w:rPr>
          <w:rFonts w:ascii="Calibri" w:hAnsi="Calibri"/>
          <w:iCs w:val="0"/>
          <w:noProof/>
          <w:kern w:val="0"/>
          <w:sz w:val="22"/>
          <w:szCs w:val="22"/>
        </w:rPr>
      </w:pPr>
      <w:r>
        <w:rPr>
          <w:noProof/>
        </w:rPr>
        <w:t>960</w:t>
      </w:r>
      <w:r>
        <w:rPr>
          <w:noProof/>
        </w:rPr>
        <w:noBreakHyphen/>
        <w:t>120</w:t>
      </w:r>
      <w:r>
        <w:rPr>
          <w:noProof/>
        </w:rPr>
        <w:tab/>
        <w:t xml:space="preserve">Meaning of </w:t>
      </w:r>
      <w:r w:rsidRPr="008A0EAA">
        <w:rPr>
          <w:i/>
          <w:noProof/>
        </w:rPr>
        <w:t>distribution</w:t>
      </w:r>
      <w:r w:rsidRPr="00380510">
        <w:rPr>
          <w:rFonts w:ascii="Times" w:hAnsi="Times" w:cs="Times"/>
          <w:noProof/>
        </w:rPr>
        <w:tab/>
      </w:r>
      <w:r w:rsidRPr="00380510">
        <w:rPr>
          <w:rFonts w:ascii="Times" w:hAnsi="Times" w:cs="Times"/>
          <w:noProof/>
        </w:rPr>
        <w:fldChar w:fldCharType="begin"/>
      </w:r>
      <w:r w:rsidRPr="00380510">
        <w:rPr>
          <w:rFonts w:ascii="Times" w:hAnsi="Times" w:cs="Times"/>
          <w:noProof/>
        </w:rPr>
        <w:instrText xml:space="preserve"> PAGEREF _Toc338939609 \h </w:instrText>
      </w:r>
      <w:r w:rsidRPr="00380510">
        <w:rPr>
          <w:rFonts w:ascii="Times" w:hAnsi="Times" w:cs="Times"/>
          <w:noProof/>
        </w:rPr>
      </w:r>
      <w:r w:rsidRPr="00380510">
        <w:rPr>
          <w:rFonts w:ascii="Times" w:hAnsi="Times" w:cs="Times"/>
          <w:noProof/>
        </w:rPr>
        <w:fldChar w:fldCharType="separate"/>
      </w:r>
      <w:r w:rsidR="00623A5C">
        <w:rPr>
          <w:rFonts w:ascii="Times" w:hAnsi="Times" w:cs="Times"/>
          <w:noProof/>
        </w:rPr>
        <w:t>420</w:t>
      </w:r>
      <w:r w:rsidRPr="00380510">
        <w:rPr>
          <w:rFonts w:ascii="Times" w:hAnsi="Times" w:cs="Times"/>
          <w:noProof/>
        </w:rPr>
        <w:fldChar w:fldCharType="end"/>
      </w:r>
    </w:p>
    <w:p w:rsidR="00380510" w:rsidRDefault="00380510">
      <w:pPr>
        <w:pStyle w:val="TOC4"/>
        <w:rPr>
          <w:rFonts w:ascii="Calibri" w:hAnsi="Calibri"/>
          <w:b w:val="0"/>
          <w:noProof/>
          <w:kern w:val="0"/>
          <w:sz w:val="22"/>
          <w:szCs w:val="22"/>
        </w:rPr>
      </w:pPr>
      <w:r>
        <w:rPr>
          <w:noProof/>
        </w:rPr>
        <w:t>Subdivision 960</w:t>
      </w:r>
      <w:r>
        <w:rPr>
          <w:noProof/>
        </w:rPr>
        <w:noBreakHyphen/>
        <w:t>G—Membership of entities</w:t>
      </w:r>
      <w:r w:rsidRPr="00380510">
        <w:rPr>
          <w:rFonts w:ascii="Times" w:hAnsi="Times" w:cs="Times"/>
          <w:b w:val="0"/>
          <w:noProof/>
          <w:sz w:val="18"/>
        </w:rPr>
        <w:tab/>
      </w:r>
      <w:r w:rsidRPr="00380510">
        <w:rPr>
          <w:rFonts w:ascii="Times" w:hAnsi="Times" w:cs="Times"/>
          <w:b w:val="0"/>
          <w:noProof/>
          <w:sz w:val="18"/>
        </w:rPr>
        <w:fldChar w:fldCharType="begin"/>
      </w:r>
      <w:r w:rsidRPr="00380510">
        <w:rPr>
          <w:rFonts w:ascii="Times" w:hAnsi="Times" w:cs="Times"/>
          <w:b w:val="0"/>
          <w:noProof/>
          <w:sz w:val="18"/>
        </w:rPr>
        <w:instrText xml:space="preserve"> PAGEREF _Toc338939610 \h </w:instrText>
      </w:r>
      <w:r w:rsidRPr="00380510">
        <w:rPr>
          <w:rFonts w:ascii="Times" w:hAnsi="Times" w:cs="Times"/>
          <w:b w:val="0"/>
          <w:noProof/>
          <w:sz w:val="18"/>
        </w:rPr>
      </w:r>
      <w:r w:rsidRPr="00380510">
        <w:rPr>
          <w:rFonts w:ascii="Times" w:hAnsi="Times" w:cs="Times"/>
          <w:b w:val="0"/>
          <w:noProof/>
          <w:sz w:val="18"/>
        </w:rPr>
        <w:fldChar w:fldCharType="separate"/>
      </w:r>
      <w:r w:rsidR="00623A5C">
        <w:rPr>
          <w:rFonts w:ascii="Times" w:hAnsi="Times" w:cs="Times"/>
          <w:b w:val="0"/>
          <w:noProof/>
          <w:sz w:val="18"/>
        </w:rPr>
        <w:t>421</w:t>
      </w:r>
      <w:r w:rsidRPr="00380510">
        <w:rPr>
          <w:rFonts w:ascii="Times" w:hAnsi="Times" w:cs="Times"/>
          <w:b w:val="0"/>
          <w:noProof/>
          <w:sz w:val="18"/>
        </w:rPr>
        <w:fldChar w:fldCharType="end"/>
      </w:r>
    </w:p>
    <w:p w:rsidR="00380510" w:rsidRDefault="00380510">
      <w:pPr>
        <w:pStyle w:val="TOC5"/>
        <w:rPr>
          <w:rFonts w:ascii="Calibri" w:hAnsi="Calibri"/>
          <w:iCs w:val="0"/>
          <w:noProof/>
          <w:kern w:val="0"/>
          <w:sz w:val="22"/>
          <w:szCs w:val="22"/>
        </w:rPr>
      </w:pPr>
      <w:r>
        <w:rPr>
          <w:noProof/>
        </w:rPr>
        <w:t>960</w:t>
      </w:r>
      <w:r>
        <w:rPr>
          <w:noProof/>
        </w:rPr>
        <w:noBreakHyphen/>
        <w:t>130</w:t>
      </w:r>
      <w:r>
        <w:rPr>
          <w:noProof/>
        </w:rPr>
        <w:tab/>
        <w:t>Members of entities</w:t>
      </w:r>
      <w:r w:rsidRPr="00380510">
        <w:rPr>
          <w:rFonts w:ascii="Times" w:hAnsi="Times" w:cs="Times"/>
          <w:noProof/>
        </w:rPr>
        <w:tab/>
      </w:r>
      <w:r w:rsidRPr="00380510">
        <w:rPr>
          <w:rFonts w:ascii="Times" w:hAnsi="Times" w:cs="Times"/>
          <w:noProof/>
        </w:rPr>
        <w:fldChar w:fldCharType="begin"/>
      </w:r>
      <w:r w:rsidRPr="00380510">
        <w:rPr>
          <w:rFonts w:ascii="Times" w:hAnsi="Times" w:cs="Times"/>
          <w:noProof/>
        </w:rPr>
        <w:instrText xml:space="preserve"> PAGEREF _Toc338939611 \h </w:instrText>
      </w:r>
      <w:r w:rsidRPr="00380510">
        <w:rPr>
          <w:rFonts w:ascii="Times" w:hAnsi="Times" w:cs="Times"/>
          <w:noProof/>
        </w:rPr>
      </w:r>
      <w:r w:rsidRPr="00380510">
        <w:rPr>
          <w:rFonts w:ascii="Times" w:hAnsi="Times" w:cs="Times"/>
          <w:noProof/>
        </w:rPr>
        <w:fldChar w:fldCharType="separate"/>
      </w:r>
      <w:r w:rsidR="00623A5C">
        <w:rPr>
          <w:rFonts w:ascii="Times" w:hAnsi="Times" w:cs="Times"/>
          <w:noProof/>
        </w:rPr>
        <w:t>421</w:t>
      </w:r>
      <w:r w:rsidRPr="00380510">
        <w:rPr>
          <w:rFonts w:ascii="Times" w:hAnsi="Times" w:cs="Times"/>
          <w:noProof/>
        </w:rPr>
        <w:fldChar w:fldCharType="end"/>
      </w:r>
    </w:p>
    <w:p w:rsidR="00380510" w:rsidRDefault="00380510">
      <w:pPr>
        <w:pStyle w:val="TOC5"/>
        <w:rPr>
          <w:rFonts w:ascii="Calibri" w:hAnsi="Calibri"/>
          <w:iCs w:val="0"/>
          <w:noProof/>
          <w:kern w:val="0"/>
          <w:sz w:val="22"/>
          <w:szCs w:val="22"/>
        </w:rPr>
      </w:pPr>
      <w:r>
        <w:rPr>
          <w:noProof/>
        </w:rPr>
        <w:t>960</w:t>
      </w:r>
      <w:r>
        <w:rPr>
          <w:noProof/>
        </w:rPr>
        <w:noBreakHyphen/>
        <w:t>135</w:t>
      </w:r>
      <w:r>
        <w:rPr>
          <w:noProof/>
        </w:rPr>
        <w:tab/>
        <w:t>Membership interest in an entity</w:t>
      </w:r>
      <w:r w:rsidRPr="00380510">
        <w:rPr>
          <w:rFonts w:ascii="Times" w:hAnsi="Times" w:cs="Times"/>
          <w:noProof/>
        </w:rPr>
        <w:tab/>
      </w:r>
      <w:r w:rsidRPr="00380510">
        <w:rPr>
          <w:rFonts w:ascii="Times" w:hAnsi="Times" w:cs="Times"/>
          <w:noProof/>
        </w:rPr>
        <w:fldChar w:fldCharType="begin"/>
      </w:r>
      <w:r w:rsidRPr="00380510">
        <w:rPr>
          <w:rFonts w:ascii="Times" w:hAnsi="Times" w:cs="Times"/>
          <w:noProof/>
        </w:rPr>
        <w:instrText xml:space="preserve"> PAGEREF _Toc338939612 \h </w:instrText>
      </w:r>
      <w:r w:rsidRPr="00380510">
        <w:rPr>
          <w:rFonts w:ascii="Times" w:hAnsi="Times" w:cs="Times"/>
          <w:noProof/>
        </w:rPr>
      </w:r>
      <w:r w:rsidRPr="00380510">
        <w:rPr>
          <w:rFonts w:ascii="Times" w:hAnsi="Times" w:cs="Times"/>
          <w:noProof/>
        </w:rPr>
        <w:fldChar w:fldCharType="separate"/>
      </w:r>
      <w:r w:rsidR="00623A5C">
        <w:rPr>
          <w:rFonts w:ascii="Times" w:hAnsi="Times" w:cs="Times"/>
          <w:noProof/>
        </w:rPr>
        <w:t>422</w:t>
      </w:r>
      <w:r w:rsidRPr="00380510">
        <w:rPr>
          <w:rFonts w:ascii="Times" w:hAnsi="Times" w:cs="Times"/>
          <w:noProof/>
        </w:rPr>
        <w:fldChar w:fldCharType="end"/>
      </w:r>
    </w:p>
    <w:p w:rsidR="00380510" w:rsidRDefault="00380510">
      <w:pPr>
        <w:pStyle w:val="TOC5"/>
        <w:rPr>
          <w:rFonts w:ascii="Calibri" w:hAnsi="Calibri"/>
          <w:iCs w:val="0"/>
          <w:noProof/>
          <w:kern w:val="0"/>
          <w:sz w:val="22"/>
          <w:szCs w:val="22"/>
        </w:rPr>
      </w:pPr>
      <w:r>
        <w:rPr>
          <w:noProof/>
        </w:rPr>
        <w:t>960</w:t>
      </w:r>
      <w:r>
        <w:rPr>
          <w:noProof/>
        </w:rPr>
        <w:noBreakHyphen/>
        <w:t>140</w:t>
      </w:r>
      <w:r>
        <w:rPr>
          <w:noProof/>
        </w:rPr>
        <w:tab/>
        <w:t>Ordinary membership interest</w:t>
      </w:r>
      <w:r w:rsidRPr="00380510">
        <w:rPr>
          <w:rFonts w:ascii="Times" w:hAnsi="Times" w:cs="Times"/>
          <w:noProof/>
        </w:rPr>
        <w:tab/>
      </w:r>
      <w:r w:rsidRPr="00380510">
        <w:rPr>
          <w:rFonts w:ascii="Times" w:hAnsi="Times" w:cs="Times"/>
          <w:noProof/>
        </w:rPr>
        <w:fldChar w:fldCharType="begin"/>
      </w:r>
      <w:r w:rsidRPr="00380510">
        <w:rPr>
          <w:rFonts w:ascii="Times" w:hAnsi="Times" w:cs="Times"/>
          <w:noProof/>
        </w:rPr>
        <w:instrText xml:space="preserve"> PAGEREF _Toc338939613 \h </w:instrText>
      </w:r>
      <w:r w:rsidRPr="00380510">
        <w:rPr>
          <w:rFonts w:ascii="Times" w:hAnsi="Times" w:cs="Times"/>
          <w:noProof/>
        </w:rPr>
      </w:r>
      <w:r w:rsidRPr="00380510">
        <w:rPr>
          <w:rFonts w:ascii="Times" w:hAnsi="Times" w:cs="Times"/>
          <w:noProof/>
        </w:rPr>
        <w:fldChar w:fldCharType="separate"/>
      </w:r>
      <w:r w:rsidR="00623A5C">
        <w:rPr>
          <w:rFonts w:ascii="Times" w:hAnsi="Times" w:cs="Times"/>
          <w:noProof/>
        </w:rPr>
        <w:t>422</w:t>
      </w:r>
      <w:r w:rsidRPr="00380510">
        <w:rPr>
          <w:rFonts w:ascii="Times" w:hAnsi="Times" w:cs="Times"/>
          <w:noProof/>
        </w:rPr>
        <w:fldChar w:fldCharType="end"/>
      </w:r>
    </w:p>
    <w:p w:rsidR="00380510" w:rsidRDefault="00380510">
      <w:pPr>
        <w:pStyle w:val="TOC4"/>
        <w:rPr>
          <w:rFonts w:ascii="Calibri" w:hAnsi="Calibri"/>
          <w:b w:val="0"/>
          <w:noProof/>
          <w:kern w:val="0"/>
          <w:sz w:val="22"/>
          <w:szCs w:val="22"/>
        </w:rPr>
      </w:pPr>
      <w:r>
        <w:rPr>
          <w:noProof/>
        </w:rPr>
        <w:t>Subdivision 960</w:t>
      </w:r>
      <w:r>
        <w:rPr>
          <w:noProof/>
        </w:rPr>
        <w:noBreakHyphen/>
        <w:t>GP—Participation interests in entities</w:t>
      </w:r>
      <w:r w:rsidRPr="00380510">
        <w:rPr>
          <w:rFonts w:ascii="Times" w:hAnsi="Times" w:cs="Times"/>
          <w:b w:val="0"/>
          <w:noProof/>
          <w:sz w:val="18"/>
        </w:rPr>
        <w:tab/>
      </w:r>
      <w:r w:rsidRPr="00380510">
        <w:rPr>
          <w:rFonts w:ascii="Times" w:hAnsi="Times" w:cs="Times"/>
          <w:b w:val="0"/>
          <w:noProof/>
          <w:sz w:val="18"/>
        </w:rPr>
        <w:fldChar w:fldCharType="begin"/>
      </w:r>
      <w:r w:rsidRPr="00380510">
        <w:rPr>
          <w:rFonts w:ascii="Times" w:hAnsi="Times" w:cs="Times"/>
          <w:b w:val="0"/>
          <w:noProof/>
          <w:sz w:val="18"/>
        </w:rPr>
        <w:instrText xml:space="preserve"> PAGEREF _Toc338939614 \h </w:instrText>
      </w:r>
      <w:r w:rsidRPr="00380510">
        <w:rPr>
          <w:rFonts w:ascii="Times" w:hAnsi="Times" w:cs="Times"/>
          <w:b w:val="0"/>
          <w:noProof/>
          <w:sz w:val="18"/>
        </w:rPr>
      </w:r>
      <w:r w:rsidRPr="00380510">
        <w:rPr>
          <w:rFonts w:ascii="Times" w:hAnsi="Times" w:cs="Times"/>
          <w:b w:val="0"/>
          <w:noProof/>
          <w:sz w:val="18"/>
        </w:rPr>
        <w:fldChar w:fldCharType="separate"/>
      </w:r>
      <w:r w:rsidR="00623A5C">
        <w:rPr>
          <w:rFonts w:ascii="Times" w:hAnsi="Times" w:cs="Times"/>
          <w:b w:val="0"/>
          <w:noProof/>
          <w:sz w:val="18"/>
        </w:rPr>
        <w:t>422</w:t>
      </w:r>
      <w:r w:rsidRPr="00380510">
        <w:rPr>
          <w:rFonts w:ascii="Times" w:hAnsi="Times" w:cs="Times"/>
          <w:b w:val="0"/>
          <w:noProof/>
          <w:sz w:val="18"/>
        </w:rPr>
        <w:fldChar w:fldCharType="end"/>
      </w:r>
    </w:p>
    <w:p w:rsidR="00380510" w:rsidRDefault="00380510">
      <w:pPr>
        <w:pStyle w:val="TOC5"/>
        <w:rPr>
          <w:rFonts w:ascii="Calibri" w:hAnsi="Calibri"/>
          <w:iCs w:val="0"/>
          <w:noProof/>
          <w:kern w:val="0"/>
          <w:sz w:val="22"/>
          <w:szCs w:val="22"/>
        </w:rPr>
      </w:pPr>
      <w:r>
        <w:rPr>
          <w:noProof/>
        </w:rPr>
        <w:t>960</w:t>
      </w:r>
      <w:r>
        <w:rPr>
          <w:noProof/>
        </w:rPr>
        <w:noBreakHyphen/>
        <w:t>180</w:t>
      </w:r>
      <w:r>
        <w:rPr>
          <w:noProof/>
        </w:rPr>
        <w:tab/>
        <w:t>Total participation interest</w:t>
      </w:r>
      <w:r w:rsidRPr="00380510">
        <w:rPr>
          <w:rFonts w:ascii="Times" w:hAnsi="Times" w:cs="Times"/>
          <w:noProof/>
        </w:rPr>
        <w:tab/>
      </w:r>
      <w:r w:rsidRPr="00380510">
        <w:rPr>
          <w:rFonts w:ascii="Times" w:hAnsi="Times" w:cs="Times"/>
          <w:noProof/>
        </w:rPr>
        <w:fldChar w:fldCharType="begin"/>
      </w:r>
      <w:r w:rsidRPr="00380510">
        <w:rPr>
          <w:rFonts w:ascii="Times" w:hAnsi="Times" w:cs="Times"/>
          <w:noProof/>
        </w:rPr>
        <w:instrText xml:space="preserve"> PAGEREF _Toc338939615 \h </w:instrText>
      </w:r>
      <w:r w:rsidRPr="00380510">
        <w:rPr>
          <w:rFonts w:ascii="Times" w:hAnsi="Times" w:cs="Times"/>
          <w:noProof/>
        </w:rPr>
      </w:r>
      <w:r w:rsidRPr="00380510">
        <w:rPr>
          <w:rFonts w:ascii="Times" w:hAnsi="Times" w:cs="Times"/>
          <w:noProof/>
        </w:rPr>
        <w:fldChar w:fldCharType="separate"/>
      </w:r>
      <w:r w:rsidR="00623A5C">
        <w:rPr>
          <w:rFonts w:ascii="Times" w:hAnsi="Times" w:cs="Times"/>
          <w:noProof/>
        </w:rPr>
        <w:t>423</w:t>
      </w:r>
      <w:r w:rsidRPr="00380510">
        <w:rPr>
          <w:rFonts w:ascii="Times" w:hAnsi="Times" w:cs="Times"/>
          <w:noProof/>
        </w:rPr>
        <w:fldChar w:fldCharType="end"/>
      </w:r>
    </w:p>
    <w:p w:rsidR="00380510" w:rsidRDefault="00380510">
      <w:pPr>
        <w:pStyle w:val="TOC5"/>
        <w:rPr>
          <w:rFonts w:ascii="Calibri" w:hAnsi="Calibri"/>
          <w:iCs w:val="0"/>
          <w:noProof/>
          <w:kern w:val="0"/>
          <w:sz w:val="22"/>
          <w:szCs w:val="22"/>
        </w:rPr>
      </w:pPr>
      <w:r>
        <w:rPr>
          <w:noProof/>
        </w:rPr>
        <w:t>960</w:t>
      </w:r>
      <w:r>
        <w:rPr>
          <w:noProof/>
        </w:rPr>
        <w:noBreakHyphen/>
        <w:t>185</w:t>
      </w:r>
      <w:r>
        <w:rPr>
          <w:noProof/>
        </w:rPr>
        <w:tab/>
        <w:t>Indirect participation interest</w:t>
      </w:r>
      <w:r w:rsidRPr="00380510">
        <w:rPr>
          <w:rFonts w:ascii="Times" w:hAnsi="Times" w:cs="Times"/>
          <w:noProof/>
        </w:rPr>
        <w:tab/>
      </w:r>
      <w:r w:rsidRPr="00380510">
        <w:rPr>
          <w:rFonts w:ascii="Times" w:hAnsi="Times" w:cs="Times"/>
          <w:noProof/>
        </w:rPr>
        <w:fldChar w:fldCharType="begin"/>
      </w:r>
      <w:r w:rsidRPr="00380510">
        <w:rPr>
          <w:rFonts w:ascii="Times" w:hAnsi="Times" w:cs="Times"/>
          <w:noProof/>
        </w:rPr>
        <w:instrText xml:space="preserve"> PAGEREF _Toc338939616 \h </w:instrText>
      </w:r>
      <w:r w:rsidRPr="00380510">
        <w:rPr>
          <w:rFonts w:ascii="Times" w:hAnsi="Times" w:cs="Times"/>
          <w:noProof/>
        </w:rPr>
      </w:r>
      <w:r w:rsidRPr="00380510">
        <w:rPr>
          <w:rFonts w:ascii="Times" w:hAnsi="Times" w:cs="Times"/>
          <w:noProof/>
        </w:rPr>
        <w:fldChar w:fldCharType="separate"/>
      </w:r>
      <w:r w:rsidR="00623A5C">
        <w:rPr>
          <w:rFonts w:ascii="Times" w:hAnsi="Times" w:cs="Times"/>
          <w:noProof/>
        </w:rPr>
        <w:t>423</w:t>
      </w:r>
      <w:r w:rsidRPr="00380510">
        <w:rPr>
          <w:rFonts w:ascii="Times" w:hAnsi="Times" w:cs="Times"/>
          <w:noProof/>
        </w:rPr>
        <w:fldChar w:fldCharType="end"/>
      </w:r>
    </w:p>
    <w:p w:rsidR="00380510" w:rsidRDefault="00380510">
      <w:pPr>
        <w:pStyle w:val="TOC5"/>
        <w:rPr>
          <w:rFonts w:ascii="Calibri" w:hAnsi="Calibri"/>
          <w:iCs w:val="0"/>
          <w:noProof/>
          <w:kern w:val="0"/>
          <w:sz w:val="22"/>
          <w:szCs w:val="22"/>
        </w:rPr>
      </w:pPr>
      <w:r>
        <w:rPr>
          <w:noProof/>
        </w:rPr>
        <w:t>960</w:t>
      </w:r>
      <w:r>
        <w:rPr>
          <w:noProof/>
        </w:rPr>
        <w:noBreakHyphen/>
        <w:t>190</w:t>
      </w:r>
      <w:r>
        <w:rPr>
          <w:noProof/>
        </w:rPr>
        <w:tab/>
        <w:t>Direct participation interest</w:t>
      </w:r>
      <w:r w:rsidRPr="00380510">
        <w:rPr>
          <w:rFonts w:ascii="Times" w:hAnsi="Times" w:cs="Times"/>
          <w:noProof/>
        </w:rPr>
        <w:tab/>
      </w:r>
      <w:r w:rsidRPr="00380510">
        <w:rPr>
          <w:rFonts w:ascii="Times" w:hAnsi="Times" w:cs="Times"/>
          <w:noProof/>
        </w:rPr>
        <w:fldChar w:fldCharType="begin"/>
      </w:r>
      <w:r w:rsidRPr="00380510">
        <w:rPr>
          <w:rFonts w:ascii="Times" w:hAnsi="Times" w:cs="Times"/>
          <w:noProof/>
        </w:rPr>
        <w:instrText xml:space="preserve"> PAGEREF _Toc338939617 \h </w:instrText>
      </w:r>
      <w:r w:rsidRPr="00380510">
        <w:rPr>
          <w:rFonts w:ascii="Times" w:hAnsi="Times" w:cs="Times"/>
          <w:noProof/>
        </w:rPr>
      </w:r>
      <w:r w:rsidRPr="00380510">
        <w:rPr>
          <w:rFonts w:ascii="Times" w:hAnsi="Times" w:cs="Times"/>
          <w:noProof/>
        </w:rPr>
        <w:fldChar w:fldCharType="separate"/>
      </w:r>
      <w:r w:rsidR="00623A5C">
        <w:rPr>
          <w:rFonts w:ascii="Times" w:hAnsi="Times" w:cs="Times"/>
          <w:noProof/>
        </w:rPr>
        <w:t>423</w:t>
      </w:r>
      <w:r w:rsidRPr="00380510">
        <w:rPr>
          <w:rFonts w:ascii="Times" w:hAnsi="Times" w:cs="Times"/>
          <w:noProof/>
        </w:rPr>
        <w:fldChar w:fldCharType="end"/>
      </w:r>
    </w:p>
    <w:p w:rsidR="00380510" w:rsidRDefault="00380510">
      <w:pPr>
        <w:pStyle w:val="TOC5"/>
        <w:rPr>
          <w:rFonts w:ascii="Calibri" w:hAnsi="Calibri"/>
          <w:iCs w:val="0"/>
          <w:noProof/>
          <w:kern w:val="0"/>
          <w:sz w:val="22"/>
          <w:szCs w:val="22"/>
        </w:rPr>
      </w:pPr>
      <w:r>
        <w:rPr>
          <w:noProof/>
        </w:rPr>
        <w:t>960</w:t>
      </w:r>
      <w:r>
        <w:rPr>
          <w:noProof/>
        </w:rPr>
        <w:noBreakHyphen/>
        <w:t>195</w:t>
      </w:r>
      <w:r>
        <w:rPr>
          <w:noProof/>
        </w:rPr>
        <w:tab/>
        <w:t>Non</w:t>
      </w:r>
      <w:r>
        <w:rPr>
          <w:noProof/>
        </w:rPr>
        <w:noBreakHyphen/>
        <w:t>portfolio interest test</w:t>
      </w:r>
      <w:r w:rsidRPr="00380510">
        <w:rPr>
          <w:rFonts w:ascii="Times" w:hAnsi="Times" w:cs="Times"/>
          <w:noProof/>
        </w:rPr>
        <w:tab/>
      </w:r>
      <w:r w:rsidRPr="00380510">
        <w:rPr>
          <w:rFonts w:ascii="Times" w:hAnsi="Times" w:cs="Times"/>
          <w:noProof/>
        </w:rPr>
        <w:fldChar w:fldCharType="begin"/>
      </w:r>
      <w:r w:rsidRPr="00380510">
        <w:rPr>
          <w:rFonts w:ascii="Times" w:hAnsi="Times" w:cs="Times"/>
          <w:noProof/>
        </w:rPr>
        <w:instrText xml:space="preserve"> PAGEREF _Toc338939618 \h </w:instrText>
      </w:r>
      <w:r w:rsidRPr="00380510">
        <w:rPr>
          <w:rFonts w:ascii="Times" w:hAnsi="Times" w:cs="Times"/>
          <w:noProof/>
        </w:rPr>
      </w:r>
      <w:r w:rsidRPr="00380510">
        <w:rPr>
          <w:rFonts w:ascii="Times" w:hAnsi="Times" w:cs="Times"/>
          <w:noProof/>
        </w:rPr>
        <w:fldChar w:fldCharType="separate"/>
      </w:r>
      <w:r w:rsidR="00623A5C">
        <w:rPr>
          <w:rFonts w:ascii="Times" w:hAnsi="Times" w:cs="Times"/>
          <w:noProof/>
        </w:rPr>
        <w:t>425</w:t>
      </w:r>
      <w:r w:rsidRPr="00380510">
        <w:rPr>
          <w:rFonts w:ascii="Times" w:hAnsi="Times" w:cs="Times"/>
          <w:noProof/>
        </w:rPr>
        <w:fldChar w:fldCharType="end"/>
      </w:r>
    </w:p>
    <w:p w:rsidR="00380510" w:rsidRDefault="00380510">
      <w:pPr>
        <w:pStyle w:val="TOC4"/>
        <w:rPr>
          <w:rFonts w:ascii="Calibri" w:hAnsi="Calibri"/>
          <w:b w:val="0"/>
          <w:noProof/>
          <w:kern w:val="0"/>
          <w:sz w:val="22"/>
          <w:szCs w:val="22"/>
        </w:rPr>
      </w:pPr>
      <w:r>
        <w:rPr>
          <w:noProof/>
        </w:rPr>
        <w:t>Subdivision 960</w:t>
      </w:r>
      <w:r>
        <w:rPr>
          <w:noProof/>
        </w:rPr>
        <w:noBreakHyphen/>
        <w:t>H—Abnormal trading in shares or units</w:t>
      </w:r>
      <w:r w:rsidRPr="00380510">
        <w:rPr>
          <w:rFonts w:ascii="Times" w:hAnsi="Times" w:cs="Times"/>
          <w:b w:val="0"/>
          <w:noProof/>
          <w:sz w:val="18"/>
        </w:rPr>
        <w:tab/>
      </w:r>
      <w:r w:rsidRPr="00380510">
        <w:rPr>
          <w:rFonts w:ascii="Times" w:hAnsi="Times" w:cs="Times"/>
          <w:b w:val="0"/>
          <w:noProof/>
          <w:sz w:val="18"/>
        </w:rPr>
        <w:fldChar w:fldCharType="begin"/>
      </w:r>
      <w:r w:rsidRPr="00380510">
        <w:rPr>
          <w:rFonts w:ascii="Times" w:hAnsi="Times" w:cs="Times"/>
          <w:b w:val="0"/>
          <w:noProof/>
          <w:sz w:val="18"/>
        </w:rPr>
        <w:instrText xml:space="preserve"> PAGEREF _Toc338939619 \h </w:instrText>
      </w:r>
      <w:r w:rsidRPr="00380510">
        <w:rPr>
          <w:rFonts w:ascii="Times" w:hAnsi="Times" w:cs="Times"/>
          <w:b w:val="0"/>
          <w:noProof/>
          <w:sz w:val="18"/>
        </w:rPr>
      </w:r>
      <w:r w:rsidRPr="00380510">
        <w:rPr>
          <w:rFonts w:ascii="Times" w:hAnsi="Times" w:cs="Times"/>
          <w:b w:val="0"/>
          <w:noProof/>
          <w:sz w:val="18"/>
        </w:rPr>
        <w:fldChar w:fldCharType="separate"/>
      </w:r>
      <w:r w:rsidR="00623A5C">
        <w:rPr>
          <w:rFonts w:ascii="Times" w:hAnsi="Times" w:cs="Times"/>
          <w:b w:val="0"/>
          <w:noProof/>
          <w:sz w:val="18"/>
        </w:rPr>
        <w:t>425</w:t>
      </w:r>
      <w:r w:rsidRPr="00380510">
        <w:rPr>
          <w:rFonts w:ascii="Times" w:hAnsi="Times" w:cs="Times"/>
          <w:b w:val="0"/>
          <w:noProof/>
          <w:sz w:val="18"/>
        </w:rPr>
        <w:fldChar w:fldCharType="end"/>
      </w:r>
    </w:p>
    <w:p w:rsidR="00380510" w:rsidRDefault="00380510">
      <w:pPr>
        <w:pStyle w:val="TOC5"/>
        <w:rPr>
          <w:rFonts w:ascii="Calibri" w:hAnsi="Calibri"/>
          <w:iCs w:val="0"/>
          <w:noProof/>
          <w:kern w:val="0"/>
          <w:sz w:val="22"/>
          <w:szCs w:val="22"/>
        </w:rPr>
      </w:pPr>
      <w:r>
        <w:rPr>
          <w:noProof/>
        </w:rPr>
        <w:t>960</w:t>
      </w:r>
      <w:r>
        <w:rPr>
          <w:noProof/>
        </w:rPr>
        <w:noBreakHyphen/>
        <w:t>220</w:t>
      </w:r>
      <w:r>
        <w:rPr>
          <w:noProof/>
        </w:rPr>
        <w:tab/>
        <w:t xml:space="preserve">Meaning of </w:t>
      </w:r>
      <w:r w:rsidRPr="008A0EAA">
        <w:rPr>
          <w:i/>
          <w:noProof/>
        </w:rPr>
        <w:t>trading</w:t>
      </w:r>
      <w:r w:rsidRPr="00380510">
        <w:rPr>
          <w:rFonts w:ascii="Times" w:hAnsi="Times" w:cs="Times"/>
          <w:noProof/>
        </w:rPr>
        <w:tab/>
      </w:r>
      <w:r w:rsidRPr="00380510">
        <w:rPr>
          <w:rFonts w:ascii="Times" w:hAnsi="Times" w:cs="Times"/>
          <w:noProof/>
        </w:rPr>
        <w:fldChar w:fldCharType="begin"/>
      </w:r>
      <w:r w:rsidRPr="00380510">
        <w:rPr>
          <w:rFonts w:ascii="Times" w:hAnsi="Times" w:cs="Times"/>
          <w:noProof/>
        </w:rPr>
        <w:instrText xml:space="preserve"> PAGEREF _Toc338939620 \h </w:instrText>
      </w:r>
      <w:r w:rsidRPr="00380510">
        <w:rPr>
          <w:rFonts w:ascii="Times" w:hAnsi="Times" w:cs="Times"/>
          <w:noProof/>
        </w:rPr>
      </w:r>
      <w:r w:rsidRPr="00380510">
        <w:rPr>
          <w:rFonts w:ascii="Times" w:hAnsi="Times" w:cs="Times"/>
          <w:noProof/>
        </w:rPr>
        <w:fldChar w:fldCharType="separate"/>
      </w:r>
      <w:r w:rsidR="00623A5C">
        <w:rPr>
          <w:rFonts w:ascii="Times" w:hAnsi="Times" w:cs="Times"/>
          <w:noProof/>
        </w:rPr>
        <w:t>425</w:t>
      </w:r>
      <w:r w:rsidRPr="00380510">
        <w:rPr>
          <w:rFonts w:ascii="Times" w:hAnsi="Times" w:cs="Times"/>
          <w:noProof/>
        </w:rPr>
        <w:fldChar w:fldCharType="end"/>
      </w:r>
    </w:p>
    <w:p w:rsidR="00380510" w:rsidRDefault="00380510">
      <w:pPr>
        <w:pStyle w:val="TOC5"/>
        <w:rPr>
          <w:rFonts w:ascii="Calibri" w:hAnsi="Calibri"/>
          <w:iCs w:val="0"/>
          <w:noProof/>
          <w:kern w:val="0"/>
          <w:sz w:val="22"/>
          <w:szCs w:val="22"/>
        </w:rPr>
      </w:pPr>
      <w:r>
        <w:rPr>
          <w:noProof/>
        </w:rPr>
        <w:t>960</w:t>
      </w:r>
      <w:r>
        <w:rPr>
          <w:noProof/>
        </w:rPr>
        <w:noBreakHyphen/>
        <w:t>225</w:t>
      </w:r>
      <w:r>
        <w:rPr>
          <w:noProof/>
        </w:rPr>
        <w:tab/>
        <w:t>Abnormal trading</w:t>
      </w:r>
      <w:r w:rsidRPr="00380510">
        <w:rPr>
          <w:rFonts w:ascii="Times" w:hAnsi="Times" w:cs="Times"/>
          <w:noProof/>
        </w:rPr>
        <w:tab/>
      </w:r>
      <w:r w:rsidRPr="00380510">
        <w:rPr>
          <w:rFonts w:ascii="Times" w:hAnsi="Times" w:cs="Times"/>
          <w:noProof/>
        </w:rPr>
        <w:fldChar w:fldCharType="begin"/>
      </w:r>
      <w:r w:rsidRPr="00380510">
        <w:rPr>
          <w:rFonts w:ascii="Times" w:hAnsi="Times" w:cs="Times"/>
          <w:noProof/>
        </w:rPr>
        <w:instrText xml:space="preserve"> PAGEREF _Toc338939621 \h </w:instrText>
      </w:r>
      <w:r w:rsidRPr="00380510">
        <w:rPr>
          <w:rFonts w:ascii="Times" w:hAnsi="Times" w:cs="Times"/>
          <w:noProof/>
        </w:rPr>
      </w:r>
      <w:r w:rsidRPr="00380510">
        <w:rPr>
          <w:rFonts w:ascii="Times" w:hAnsi="Times" w:cs="Times"/>
          <w:noProof/>
        </w:rPr>
        <w:fldChar w:fldCharType="separate"/>
      </w:r>
      <w:r w:rsidR="00623A5C">
        <w:rPr>
          <w:rFonts w:ascii="Times" w:hAnsi="Times" w:cs="Times"/>
          <w:noProof/>
        </w:rPr>
        <w:t>426</w:t>
      </w:r>
      <w:r w:rsidRPr="00380510">
        <w:rPr>
          <w:rFonts w:ascii="Times" w:hAnsi="Times" w:cs="Times"/>
          <w:noProof/>
        </w:rPr>
        <w:fldChar w:fldCharType="end"/>
      </w:r>
    </w:p>
    <w:p w:rsidR="00380510" w:rsidRDefault="00380510">
      <w:pPr>
        <w:pStyle w:val="TOC5"/>
        <w:rPr>
          <w:rFonts w:ascii="Calibri" w:hAnsi="Calibri"/>
          <w:iCs w:val="0"/>
          <w:noProof/>
          <w:kern w:val="0"/>
          <w:sz w:val="22"/>
          <w:szCs w:val="22"/>
        </w:rPr>
      </w:pPr>
      <w:r>
        <w:rPr>
          <w:noProof/>
        </w:rPr>
        <w:t>960</w:t>
      </w:r>
      <w:r>
        <w:rPr>
          <w:noProof/>
        </w:rPr>
        <w:noBreakHyphen/>
        <w:t>230</w:t>
      </w:r>
      <w:r>
        <w:rPr>
          <w:noProof/>
        </w:rPr>
        <w:tab/>
        <w:t>Abnormal trading—5% of shares or units in one transaction</w:t>
      </w:r>
      <w:r w:rsidRPr="00380510">
        <w:rPr>
          <w:rFonts w:ascii="Times" w:hAnsi="Times" w:cs="Times"/>
          <w:noProof/>
        </w:rPr>
        <w:tab/>
      </w:r>
      <w:r w:rsidRPr="00380510">
        <w:rPr>
          <w:rFonts w:ascii="Times" w:hAnsi="Times" w:cs="Times"/>
          <w:noProof/>
        </w:rPr>
        <w:fldChar w:fldCharType="begin"/>
      </w:r>
      <w:r w:rsidRPr="00380510">
        <w:rPr>
          <w:rFonts w:ascii="Times" w:hAnsi="Times" w:cs="Times"/>
          <w:noProof/>
        </w:rPr>
        <w:instrText xml:space="preserve"> PAGEREF _Toc338939622 \h </w:instrText>
      </w:r>
      <w:r w:rsidRPr="00380510">
        <w:rPr>
          <w:rFonts w:ascii="Times" w:hAnsi="Times" w:cs="Times"/>
          <w:noProof/>
        </w:rPr>
      </w:r>
      <w:r w:rsidRPr="00380510">
        <w:rPr>
          <w:rFonts w:ascii="Times" w:hAnsi="Times" w:cs="Times"/>
          <w:noProof/>
        </w:rPr>
        <w:fldChar w:fldCharType="separate"/>
      </w:r>
      <w:r w:rsidR="00623A5C">
        <w:rPr>
          <w:rFonts w:ascii="Times" w:hAnsi="Times" w:cs="Times"/>
          <w:noProof/>
        </w:rPr>
        <w:t>427</w:t>
      </w:r>
      <w:r w:rsidRPr="00380510">
        <w:rPr>
          <w:rFonts w:ascii="Times" w:hAnsi="Times" w:cs="Times"/>
          <w:noProof/>
        </w:rPr>
        <w:fldChar w:fldCharType="end"/>
      </w:r>
    </w:p>
    <w:p w:rsidR="00380510" w:rsidRDefault="00380510">
      <w:pPr>
        <w:pStyle w:val="TOC5"/>
        <w:rPr>
          <w:rFonts w:ascii="Calibri" w:hAnsi="Calibri"/>
          <w:iCs w:val="0"/>
          <w:noProof/>
          <w:kern w:val="0"/>
          <w:sz w:val="22"/>
          <w:szCs w:val="22"/>
        </w:rPr>
      </w:pPr>
      <w:r>
        <w:rPr>
          <w:noProof/>
        </w:rPr>
        <w:t>960</w:t>
      </w:r>
      <w:r>
        <w:rPr>
          <w:noProof/>
        </w:rPr>
        <w:noBreakHyphen/>
        <w:t>235</w:t>
      </w:r>
      <w:r>
        <w:rPr>
          <w:noProof/>
        </w:rPr>
        <w:tab/>
        <w:t>Abnormal trading—suspected 5% of shares or units in a series of transactions</w:t>
      </w:r>
      <w:r w:rsidRPr="00380510">
        <w:rPr>
          <w:rFonts w:ascii="Times" w:hAnsi="Times" w:cs="Times"/>
          <w:noProof/>
        </w:rPr>
        <w:tab/>
      </w:r>
      <w:r w:rsidRPr="00380510">
        <w:rPr>
          <w:rFonts w:ascii="Times" w:hAnsi="Times" w:cs="Times"/>
          <w:noProof/>
        </w:rPr>
        <w:fldChar w:fldCharType="begin"/>
      </w:r>
      <w:r w:rsidRPr="00380510">
        <w:rPr>
          <w:rFonts w:ascii="Times" w:hAnsi="Times" w:cs="Times"/>
          <w:noProof/>
        </w:rPr>
        <w:instrText xml:space="preserve"> PAGEREF _Toc338939623 \h </w:instrText>
      </w:r>
      <w:r w:rsidRPr="00380510">
        <w:rPr>
          <w:rFonts w:ascii="Times" w:hAnsi="Times" w:cs="Times"/>
          <w:noProof/>
        </w:rPr>
      </w:r>
      <w:r w:rsidRPr="00380510">
        <w:rPr>
          <w:rFonts w:ascii="Times" w:hAnsi="Times" w:cs="Times"/>
          <w:noProof/>
        </w:rPr>
        <w:fldChar w:fldCharType="separate"/>
      </w:r>
      <w:r w:rsidR="00623A5C">
        <w:rPr>
          <w:rFonts w:ascii="Times" w:hAnsi="Times" w:cs="Times"/>
          <w:noProof/>
        </w:rPr>
        <w:t>427</w:t>
      </w:r>
      <w:r w:rsidRPr="00380510">
        <w:rPr>
          <w:rFonts w:ascii="Times" w:hAnsi="Times" w:cs="Times"/>
          <w:noProof/>
        </w:rPr>
        <w:fldChar w:fldCharType="end"/>
      </w:r>
    </w:p>
    <w:p w:rsidR="00380510" w:rsidRDefault="00380510">
      <w:pPr>
        <w:pStyle w:val="TOC5"/>
        <w:rPr>
          <w:rFonts w:ascii="Calibri" w:hAnsi="Calibri"/>
          <w:iCs w:val="0"/>
          <w:noProof/>
          <w:kern w:val="0"/>
          <w:sz w:val="22"/>
          <w:szCs w:val="22"/>
        </w:rPr>
      </w:pPr>
      <w:r>
        <w:rPr>
          <w:noProof/>
        </w:rPr>
        <w:t>960</w:t>
      </w:r>
      <w:r>
        <w:rPr>
          <w:noProof/>
        </w:rPr>
        <w:noBreakHyphen/>
        <w:t>240</w:t>
      </w:r>
      <w:r>
        <w:rPr>
          <w:noProof/>
        </w:rPr>
        <w:tab/>
        <w:t>Abnormal trading—suspected acquisition or merger</w:t>
      </w:r>
      <w:r w:rsidRPr="00380510">
        <w:rPr>
          <w:rFonts w:ascii="Times" w:hAnsi="Times" w:cs="Times"/>
          <w:noProof/>
        </w:rPr>
        <w:tab/>
      </w:r>
      <w:r w:rsidRPr="00380510">
        <w:rPr>
          <w:rFonts w:ascii="Times" w:hAnsi="Times" w:cs="Times"/>
          <w:noProof/>
        </w:rPr>
        <w:fldChar w:fldCharType="begin"/>
      </w:r>
      <w:r w:rsidRPr="00380510">
        <w:rPr>
          <w:rFonts w:ascii="Times" w:hAnsi="Times" w:cs="Times"/>
          <w:noProof/>
        </w:rPr>
        <w:instrText xml:space="preserve"> PAGEREF _Toc338939624 \h </w:instrText>
      </w:r>
      <w:r w:rsidRPr="00380510">
        <w:rPr>
          <w:rFonts w:ascii="Times" w:hAnsi="Times" w:cs="Times"/>
          <w:noProof/>
        </w:rPr>
      </w:r>
      <w:r w:rsidRPr="00380510">
        <w:rPr>
          <w:rFonts w:ascii="Times" w:hAnsi="Times" w:cs="Times"/>
          <w:noProof/>
        </w:rPr>
        <w:fldChar w:fldCharType="separate"/>
      </w:r>
      <w:r w:rsidR="00623A5C">
        <w:rPr>
          <w:rFonts w:ascii="Times" w:hAnsi="Times" w:cs="Times"/>
          <w:noProof/>
        </w:rPr>
        <w:t>427</w:t>
      </w:r>
      <w:r w:rsidRPr="00380510">
        <w:rPr>
          <w:rFonts w:ascii="Times" w:hAnsi="Times" w:cs="Times"/>
          <w:noProof/>
        </w:rPr>
        <w:fldChar w:fldCharType="end"/>
      </w:r>
    </w:p>
    <w:p w:rsidR="00380510" w:rsidRDefault="00380510">
      <w:pPr>
        <w:pStyle w:val="TOC5"/>
        <w:rPr>
          <w:rFonts w:ascii="Calibri" w:hAnsi="Calibri"/>
          <w:iCs w:val="0"/>
          <w:noProof/>
          <w:kern w:val="0"/>
          <w:sz w:val="22"/>
          <w:szCs w:val="22"/>
        </w:rPr>
      </w:pPr>
      <w:r>
        <w:rPr>
          <w:noProof/>
        </w:rPr>
        <w:t>960</w:t>
      </w:r>
      <w:r>
        <w:rPr>
          <w:noProof/>
        </w:rPr>
        <w:noBreakHyphen/>
        <w:t>245</w:t>
      </w:r>
      <w:r>
        <w:rPr>
          <w:noProof/>
        </w:rPr>
        <w:tab/>
        <w:t>Abnormal trading—20% of shares or units traded over 60 day period</w:t>
      </w:r>
      <w:r w:rsidRPr="00380510">
        <w:rPr>
          <w:rFonts w:ascii="Times" w:hAnsi="Times" w:cs="Times"/>
          <w:noProof/>
        </w:rPr>
        <w:tab/>
      </w:r>
      <w:r w:rsidRPr="00380510">
        <w:rPr>
          <w:rFonts w:ascii="Times" w:hAnsi="Times" w:cs="Times"/>
          <w:noProof/>
        </w:rPr>
        <w:fldChar w:fldCharType="begin"/>
      </w:r>
      <w:r w:rsidRPr="00380510">
        <w:rPr>
          <w:rFonts w:ascii="Times" w:hAnsi="Times" w:cs="Times"/>
          <w:noProof/>
        </w:rPr>
        <w:instrText xml:space="preserve"> PAGEREF _Toc338939625 \h </w:instrText>
      </w:r>
      <w:r w:rsidRPr="00380510">
        <w:rPr>
          <w:rFonts w:ascii="Times" w:hAnsi="Times" w:cs="Times"/>
          <w:noProof/>
        </w:rPr>
      </w:r>
      <w:r w:rsidRPr="00380510">
        <w:rPr>
          <w:rFonts w:ascii="Times" w:hAnsi="Times" w:cs="Times"/>
          <w:noProof/>
        </w:rPr>
        <w:fldChar w:fldCharType="separate"/>
      </w:r>
      <w:r w:rsidR="00623A5C">
        <w:rPr>
          <w:rFonts w:ascii="Times" w:hAnsi="Times" w:cs="Times"/>
          <w:noProof/>
        </w:rPr>
        <w:t>427</w:t>
      </w:r>
      <w:r w:rsidRPr="00380510">
        <w:rPr>
          <w:rFonts w:ascii="Times" w:hAnsi="Times" w:cs="Times"/>
          <w:noProof/>
        </w:rPr>
        <w:fldChar w:fldCharType="end"/>
      </w:r>
    </w:p>
    <w:p w:rsidR="00380510" w:rsidRDefault="00380510">
      <w:pPr>
        <w:pStyle w:val="TOC4"/>
        <w:rPr>
          <w:rFonts w:ascii="Calibri" w:hAnsi="Calibri"/>
          <w:b w:val="0"/>
          <w:noProof/>
          <w:kern w:val="0"/>
          <w:sz w:val="22"/>
          <w:szCs w:val="22"/>
        </w:rPr>
      </w:pPr>
      <w:r>
        <w:rPr>
          <w:noProof/>
        </w:rPr>
        <w:t>Subdivision 960</w:t>
      </w:r>
      <w:r>
        <w:rPr>
          <w:noProof/>
        </w:rPr>
        <w:noBreakHyphen/>
        <w:t>J—Family relationships</w:t>
      </w:r>
      <w:r w:rsidRPr="00380510">
        <w:rPr>
          <w:rFonts w:ascii="Times" w:hAnsi="Times" w:cs="Times"/>
          <w:b w:val="0"/>
          <w:noProof/>
          <w:sz w:val="18"/>
        </w:rPr>
        <w:tab/>
      </w:r>
      <w:r w:rsidRPr="00380510">
        <w:rPr>
          <w:rFonts w:ascii="Times" w:hAnsi="Times" w:cs="Times"/>
          <w:b w:val="0"/>
          <w:noProof/>
          <w:sz w:val="18"/>
        </w:rPr>
        <w:fldChar w:fldCharType="begin"/>
      </w:r>
      <w:r w:rsidRPr="00380510">
        <w:rPr>
          <w:rFonts w:ascii="Times" w:hAnsi="Times" w:cs="Times"/>
          <w:b w:val="0"/>
          <w:noProof/>
          <w:sz w:val="18"/>
        </w:rPr>
        <w:instrText xml:space="preserve"> PAGEREF _Toc338939626 \h </w:instrText>
      </w:r>
      <w:r w:rsidRPr="00380510">
        <w:rPr>
          <w:rFonts w:ascii="Times" w:hAnsi="Times" w:cs="Times"/>
          <w:b w:val="0"/>
          <w:noProof/>
          <w:sz w:val="18"/>
        </w:rPr>
      </w:r>
      <w:r w:rsidRPr="00380510">
        <w:rPr>
          <w:rFonts w:ascii="Times" w:hAnsi="Times" w:cs="Times"/>
          <w:b w:val="0"/>
          <w:noProof/>
          <w:sz w:val="18"/>
        </w:rPr>
        <w:fldChar w:fldCharType="separate"/>
      </w:r>
      <w:r w:rsidR="00623A5C">
        <w:rPr>
          <w:rFonts w:ascii="Times" w:hAnsi="Times" w:cs="Times"/>
          <w:b w:val="0"/>
          <w:noProof/>
          <w:sz w:val="18"/>
        </w:rPr>
        <w:t>428</w:t>
      </w:r>
      <w:r w:rsidRPr="00380510">
        <w:rPr>
          <w:rFonts w:ascii="Times" w:hAnsi="Times" w:cs="Times"/>
          <w:b w:val="0"/>
          <w:noProof/>
          <w:sz w:val="18"/>
        </w:rPr>
        <w:fldChar w:fldCharType="end"/>
      </w:r>
    </w:p>
    <w:p w:rsidR="00380510" w:rsidRDefault="00380510">
      <w:pPr>
        <w:pStyle w:val="TOC4"/>
        <w:rPr>
          <w:rFonts w:ascii="Calibri" w:hAnsi="Calibri"/>
          <w:b w:val="0"/>
          <w:noProof/>
          <w:kern w:val="0"/>
          <w:sz w:val="22"/>
          <w:szCs w:val="22"/>
        </w:rPr>
      </w:pPr>
      <w:r>
        <w:rPr>
          <w:noProof/>
        </w:rPr>
        <w:t>Guide to Subdivision 960</w:t>
      </w:r>
      <w:r>
        <w:rPr>
          <w:noProof/>
        </w:rPr>
        <w:noBreakHyphen/>
        <w:t>J</w:t>
      </w:r>
      <w:r w:rsidRPr="00380510">
        <w:rPr>
          <w:rFonts w:ascii="Times" w:hAnsi="Times" w:cs="Times"/>
          <w:b w:val="0"/>
          <w:noProof/>
          <w:sz w:val="18"/>
        </w:rPr>
        <w:tab/>
      </w:r>
      <w:r w:rsidRPr="00380510">
        <w:rPr>
          <w:rFonts w:ascii="Times" w:hAnsi="Times" w:cs="Times"/>
          <w:b w:val="0"/>
          <w:noProof/>
          <w:sz w:val="18"/>
        </w:rPr>
        <w:fldChar w:fldCharType="begin"/>
      </w:r>
      <w:r w:rsidRPr="00380510">
        <w:rPr>
          <w:rFonts w:ascii="Times" w:hAnsi="Times" w:cs="Times"/>
          <w:b w:val="0"/>
          <w:noProof/>
          <w:sz w:val="18"/>
        </w:rPr>
        <w:instrText xml:space="preserve"> PAGEREF _Toc338939627 \h </w:instrText>
      </w:r>
      <w:r w:rsidRPr="00380510">
        <w:rPr>
          <w:rFonts w:ascii="Times" w:hAnsi="Times" w:cs="Times"/>
          <w:b w:val="0"/>
          <w:noProof/>
          <w:sz w:val="18"/>
        </w:rPr>
      </w:r>
      <w:r w:rsidRPr="00380510">
        <w:rPr>
          <w:rFonts w:ascii="Times" w:hAnsi="Times" w:cs="Times"/>
          <w:b w:val="0"/>
          <w:noProof/>
          <w:sz w:val="18"/>
        </w:rPr>
        <w:fldChar w:fldCharType="separate"/>
      </w:r>
      <w:r w:rsidR="00623A5C">
        <w:rPr>
          <w:rFonts w:ascii="Times" w:hAnsi="Times" w:cs="Times"/>
          <w:b w:val="0"/>
          <w:noProof/>
          <w:sz w:val="18"/>
        </w:rPr>
        <w:t>428</w:t>
      </w:r>
      <w:r w:rsidRPr="00380510">
        <w:rPr>
          <w:rFonts w:ascii="Times" w:hAnsi="Times" w:cs="Times"/>
          <w:b w:val="0"/>
          <w:noProof/>
          <w:sz w:val="18"/>
        </w:rPr>
        <w:fldChar w:fldCharType="end"/>
      </w:r>
    </w:p>
    <w:p w:rsidR="00380510" w:rsidRDefault="00380510">
      <w:pPr>
        <w:pStyle w:val="TOC5"/>
        <w:rPr>
          <w:rFonts w:ascii="Calibri" w:hAnsi="Calibri"/>
          <w:iCs w:val="0"/>
          <w:noProof/>
          <w:kern w:val="0"/>
          <w:sz w:val="22"/>
          <w:szCs w:val="22"/>
        </w:rPr>
      </w:pPr>
      <w:r>
        <w:rPr>
          <w:noProof/>
        </w:rPr>
        <w:t>960</w:t>
      </w:r>
      <w:r>
        <w:rPr>
          <w:noProof/>
        </w:rPr>
        <w:noBreakHyphen/>
        <w:t>250</w:t>
      </w:r>
      <w:r>
        <w:rPr>
          <w:noProof/>
        </w:rPr>
        <w:tab/>
        <w:t>What this Subdivision is about</w:t>
      </w:r>
      <w:r w:rsidRPr="00380510">
        <w:rPr>
          <w:rFonts w:ascii="Times" w:hAnsi="Times" w:cs="Times"/>
          <w:noProof/>
        </w:rPr>
        <w:tab/>
      </w:r>
      <w:r w:rsidRPr="00380510">
        <w:rPr>
          <w:rFonts w:ascii="Times" w:hAnsi="Times" w:cs="Times"/>
          <w:noProof/>
        </w:rPr>
        <w:fldChar w:fldCharType="begin"/>
      </w:r>
      <w:r w:rsidRPr="00380510">
        <w:rPr>
          <w:rFonts w:ascii="Times" w:hAnsi="Times" w:cs="Times"/>
          <w:noProof/>
        </w:rPr>
        <w:instrText xml:space="preserve"> PAGEREF _Toc338939628 \h </w:instrText>
      </w:r>
      <w:r w:rsidRPr="00380510">
        <w:rPr>
          <w:rFonts w:ascii="Times" w:hAnsi="Times" w:cs="Times"/>
          <w:noProof/>
        </w:rPr>
      </w:r>
      <w:r w:rsidRPr="00380510">
        <w:rPr>
          <w:rFonts w:ascii="Times" w:hAnsi="Times" w:cs="Times"/>
          <w:noProof/>
        </w:rPr>
        <w:fldChar w:fldCharType="separate"/>
      </w:r>
      <w:r w:rsidR="00623A5C">
        <w:rPr>
          <w:rFonts w:ascii="Times" w:hAnsi="Times" w:cs="Times"/>
          <w:noProof/>
        </w:rPr>
        <w:t>428</w:t>
      </w:r>
      <w:r w:rsidRPr="00380510">
        <w:rPr>
          <w:rFonts w:ascii="Times" w:hAnsi="Times" w:cs="Times"/>
          <w:noProof/>
        </w:rPr>
        <w:fldChar w:fldCharType="end"/>
      </w:r>
    </w:p>
    <w:p w:rsidR="00380510" w:rsidRDefault="00380510">
      <w:pPr>
        <w:pStyle w:val="TOC4"/>
        <w:rPr>
          <w:rFonts w:ascii="Calibri" w:hAnsi="Calibri"/>
          <w:b w:val="0"/>
          <w:noProof/>
          <w:kern w:val="0"/>
          <w:sz w:val="22"/>
          <w:szCs w:val="22"/>
        </w:rPr>
      </w:pPr>
      <w:r>
        <w:rPr>
          <w:noProof/>
        </w:rPr>
        <w:t>Operative provisions</w:t>
      </w:r>
      <w:r w:rsidRPr="00380510">
        <w:rPr>
          <w:rFonts w:ascii="Times" w:hAnsi="Times" w:cs="Times"/>
          <w:b w:val="0"/>
          <w:noProof/>
          <w:sz w:val="18"/>
        </w:rPr>
        <w:tab/>
      </w:r>
      <w:r w:rsidRPr="00380510">
        <w:rPr>
          <w:rFonts w:ascii="Times" w:hAnsi="Times" w:cs="Times"/>
          <w:b w:val="0"/>
          <w:noProof/>
          <w:sz w:val="18"/>
        </w:rPr>
        <w:fldChar w:fldCharType="begin"/>
      </w:r>
      <w:r w:rsidRPr="00380510">
        <w:rPr>
          <w:rFonts w:ascii="Times" w:hAnsi="Times" w:cs="Times"/>
          <w:b w:val="0"/>
          <w:noProof/>
          <w:sz w:val="18"/>
        </w:rPr>
        <w:instrText xml:space="preserve"> PAGEREF _Toc338939629 \h </w:instrText>
      </w:r>
      <w:r w:rsidRPr="00380510">
        <w:rPr>
          <w:rFonts w:ascii="Times" w:hAnsi="Times" w:cs="Times"/>
          <w:b w:val="0"/>
          <w:noProof/>
          <w:sz w:val="18"/>
        </w:rPr>
      </w:r>
      <w:r w:rsidRPr="00380510">
        <w:rPr>
          <w:rFonts w:ascii="Times" w:hAnsi="Times" w:cs="Times"/>
          <w:b w:val="0"/>
          <w:noProof/>
          <w:sz w:val="18"/>
        </w:rPr>
        <w:fldChar w:fldCharType="separate"/>
      </w:r>
      <w:r w:rsidR="00623A5C">
        <w:rPr>
          <w:rFonts w:ascii="Times" w:hAnsi="Times" w:cs="Times"/>
          <w:b w:val="0"/>
          <w:noProof/>
          <w:sz w:val="18"/>
        </w:rPr>
        <w:t>428</w:t>
      </w:r>
      <w:r w:rsidRPr="00380510">
        <w:rPr>
          <w:rFonts w:ascii="Times" w:hAnsi="Times" w:cs="Times"/>
          <w:b w:val="0"/>
          <w:noProof/>
          <w:sz w:val="18"/>
        </w:rPr>
        <w:fldChar w:fldCharType="end"/>
      </w:r>
    </w:p>
    <w:p w:rsidR="00380510" w:rsidRDefault="00380510">
      <w:pPr>
        <w:pStyle w:val="TOC5"/>
        <w:rPr>
          <w:rFonts w:ascii="Calibri" w:hAnsi="Calibri"/>
          <w:iCs w:val="0"/>
          <w:noProof/>
          <w:kern w:val="0"/>
          <w:sz w:val="22"/>
          <w:szCs w:val="22"/>
        </w:rPr>
      </w:pPr>
      <w:r>
        <w:rPr>
          <w:noProof/>
        </w:rPr>
        <w:t>960</w:t>
      </w:r>
      <w:r>
        <w:rPr>
          <w:noProof/>
        </w:rPr>
        <w:noBreakHyphen/>
        <w:t>252</w:t>
      </w:r>
      <w:r>
        <w:rPr>
          <w:noProof/>
        </w:rPr>
        <w:tab/>
        <w:t>Object of this Subdivision</w:t>
      </w:r>
      <w:r w:rsidRPr="00380510">
        <w:rPr>
          <w:rFonts w:ascii="Times" w:hAnsi="Times" w:cs="Times"/>
          <w:noProof/>
        </w:rPr>
        <w:tab/>
      </w:r>
      <w:r w:rsidRPr="00380510">
        <w:rPr>
          <w:rFonts w:ascii="Times" w:hAnsi="Times" w:cs="Times"/>
          <w:noProof/>
        </w:rPr>
        <w:fldChar w:fldCharType="begin"/>
      </w:r>
      <w:r w:rsidRPr="00380510">
        <w:rPr>
          <w:rFonts w:ascii="Times" w:hAnsi="Times" w:cs="Times"/>
          <w:noProof/>
        </w:rPr>
        <w:instrText xml:space="preserve"> PAGEREF _Toc338939630 \h </w:instrText>
      </w:r>
      <w:r w:rsidRPr="00380510">
        <w:rPr>
          <w:rFonts w:ascii="Times" w:hAnsi="Times" w:cs="Times"/>
          <w:noProof/>
        </w:rPr>
      </w:r>
      <w:r w:rsidRPr="00380510">
        <w:rPr>
          <w:rFonts w:ascii="Times" w:hAnsi="Times" w:cs="Times"/>
          <w:noProof/>
        </w:rPr>
        <w:fldChar w:fldCharType="separate"/>
      </w:r>
      <w:r w:rsidR="00623A5C">
        <w:rPr>
          <w:rFonts w:ascii="Times" w:hAnsi="Times" w:cs="Times"/>
          <w:noProof/>
        </w:rPr>
        <w:t>428</w:t>
      </w:r>
      <w:r w:rsidRPr="00380510">
        <w:rPr>
          <w:rFonts w:ascii="Times" w:hAnsi="Times" w:cs="Times"/>
          <w:noProof/>
        </w:rPr>
        <w:fldChar w:fldCharType="end"/>
      </w:r>
    </w:p>
    <w:p w:rsidR="00380510" w:rsidRDefault="00380510">
      <w:pPr>
        <w:pStyle w:val="TOC5"/>
        <w:rPr>
          <w:rFonts w:ascii="Calibri" w:hAnsi="Calibri"/>
          <w:iCs w:val="0"/>
          <w:noProof/>
          <w:kern w:val="0"/>
          <w:sz w:val="22"/>
          <w:szCs w:val="22"/>
        </w:rPr>
      </w:pPr>
      <w:r>
        <w:rPr>
          <w:noProof/>
        </w:rPr>
        <w:t>960</w:t>
      </w:r>
      <w:r>
        <w:rPr>
          <w:noProof/>
        </w:rPr>
        <w:noBreakHyphen/>
        <w:t>255</w:t>
      </w:r>
      <w:r>
        <w:rPr>
          <w:noProof/>
        </w:rPr>
        <w:tab/>
        <w:t>Family relationships</w:t>
      </w:r>
      <w:r w:rsidRPr="00380510">
        <w:rPr>
          <w:rFonts w:ascii="Times" w:hAnsi="Times" w:cs="Times"/>
          <w:noProof/>
        </w:rPr>
        <w:tab/>
      </w:r>
      <w:r w:rsidRPr="00380510">
        <w:rPr>
          <w:rFonts w:ascii="Times" w:hAnsi="Times" w:cs="Times"/>
          <w:noProof/>
        </w:rPr>
        <w:fldChar w:fldCharType="begin"/>
      </w:r>
      <w:r w:rsidRPr="00380510">
        <w:rPr>
          <w:rFonts w:ascii="Times" w:hAnsi="Times" w:cs="Times"/>
          <w:noProof/>
        </w:rPr>
        <w:instrText xml:space="preserve"> PAGEREF _Toc338939631 \h </w:instrText>
      </w:r>
      <w:r w:rsidRPr="00380510">
        <w:rPr>
          <w:rFonts w:ascii="Times" w:hAnsi="Times" w:cs="Times"/>
          <w:noProof/>
        </w:rPr>
      </w:r>
      <w:r w:rsidRPr="00380510">
        <w:rPr>
          <w:rFonts w:ascii="Times" w:hAnsi="Times" w:cs="Times"/>
          <w:noProof/>
        </w:rPr>
        <w:fldChar w:fldCharType="separate"/>
      </w:r>
      <w:r w:rsidR="00623A5C">
        <w:rPr>
          <w:rFonts w:ascii="Times" w:hAnsi="Times" w:cs="Times"/>
          <w:noProof/>
        </w:rPr>
        <w:t>429</w:t>
      </w:r>
      <w:r w:rsidRPr="00380510">
        <w:rPr>
          <w:rFonts w:ascii="Times" w:hAnsi="Times" w:cs="Times"/>
          <w:noProof/>
        </w:rPr>
        <w:fldChar w:fldCharType="end"/>
      </w:r>
    </w:p>
    <w:p w:rsidR="00380510" w:rsidRDefault="00380510">
      <w:pPr>
        <w:pStyle w:val="TOC4"/>
        <w:rPr>
          <w:rFonts w:ascii="Calibri" w:hAnsi="Calibri"/>
          <w:b w:val="0"/>
          <w:noProof/>
          <w:kern w:val="0"/>
          <w:sz w:val="22"/>
          <w:szCs w:val="22"/>
        </w:rPr>
      </w:pPr>
      <w:r>
        <w:rPr>
          <w:noProof/>
        </w:rPr>
        <w:t>Subdivision 960</w:t>
      </w:r>
      <w:r>
        <w:rPr>
          <w:noProof/>
        </w:rPr>
        <w:noBreakHyphen/>
        <w:t>M—Indexation</w:t>
      </w:r>
      <w:r w:rsidRPr="00380510">
        <w:rPr>
          <w:rFonts w:ascii="Times" w:hAnsi="Times" w:cs="Times"/>
          <w:b w:val="0"/>
          <w:noProof/>
          <w:sz w:val="18"/>
        </w:rPr>
        <w:tab/>
      </w:r>
      <w:r w:rsidRPr="00380510">
        <w:rPr>
          <w:rFonts w:ascii="Times" w:hAnsi="Times" w:cs="Times"/>
          <w:b w:val="0"/>
          <w:noProof/>
          <w:sz w:val="18"/>
        </w:rPr>
        <w:fldChar w:fldCharType="begin"/>
      </w:r>
      <w:r w:rsidRPr="00380510">
        <w:rPr>
          <w:rFonts w:ascii="Times" w:hAnsi="Times" w:cs="Times"/>
          <w:b w:val="0"/>
          <w:noProof/>
          <w:sz w:val="18"/>
        </w:rPr>
        <w:instrText xml:space="preserve"> PAGEREF _Toc338939632 \h </w:instrText>
      </w:r>
      <w:r w:rsidRPr="00380510">
        <w:rPr>
          <w:rFonts w:ascii="Times" w:hAnsi="Times" w:cs="Times"/>
          <w:b w:val="0"/>
          <w:noProof/>
          <w:sz w:val="18"/>
        </w:rPr>
      </w:r>
      <w:r w:rsidRPr="00380510">
        <w:rPr>
          <w:rFonts w:ascii="Times" w:hAnsi="Times" w:cs="Times"/>
          <w:b w:val="0"/>
          <w:noProof/>
          <w:sz w:val="18"/>
        </w:rPr>
        <w:fldChar w:fldCharType="separate"/>
      </w:r>
      <w:r w:rsidR="00623A5C">
        <w:rPr>
          <w:rFonts w:ascii="Times" w:hAnsi="Times" w:cs="Times"/>
          <w:b w:val="0"/>
          <w:noProof/>
          <w:sz w:val="18"/>
        </w:rPr>
        <w:t>430</w:t>
      </w:r>
      <w:r w:rsidRPr="00380510">
        <w:rPr>
          <w:rFonts w:ascii="Times" w:hAnsi="Times" w:cs="Times"/>
          <w:b w:val="0"/>
          <w:noProof/>
          <w:sz w:val="18"/>
        </w:rPr>
        <w:fldChar w:fldCharType="end"/>
      </w:r>
    </w:p>
    <w:p w:rsidR="00380510" w:rsidRDefault="00380510">
      <w:pPr>
        <w:pStyle w:val="TOC4"/>
        <w:rPr>
          <w:rFonts w:ascii="Calibri" w:hAnsi="Calibri"/>
          <w:b w:val="0"/>
          <w:noProof/>
          <w:kern w:val="0"/>
          <w:sz w:val="22"/>
          <w:szCs w:val="22"/>
        </w:rPr>
      </w:pPr>
      <w:r>
        <w:rPr>
          <w:noProof/>
        </w:rPr>
        <w:t>Guide to Subdivision 960</w:t>
      </w:r>
      <w:r>
        <w:rPr>
          <w:noProof/>
        </w:rPr>
        <w:noBreakHyphen/>
        <w:t>M</w:t>
      </w:r>
      <w:r w:rsidRPr="00380510">
        <w:rPr>
          <w:rFonts w:ascii="Times" w:hAnsi="Times" w:cs="Times"/>
          <w:b w:val="0"/>
          <w:noProof/>
          <w:sz w:val="18"/>
        </w:rPr>
        <w:tab/>
      </w:r>
      <w:r w:rsidRPr="00380510">
        <w:rPr>
          <w:rFonts w:ascii="Times" w:hAnsi="Times" w:cs="Times"/>
          <w:b w:val="0"/>
          <w:noProof/>
          <w:sz w:val="18"/>
        </w:rPr>
        <w:fldChar w:fldCharType="begin"/>
      </w:r>
      <w:r w:rsidRPr="00380510">
        <w:rPr>
          <w:rFonts w:ascii="Times" w:hAnsi="Times" w:cs="Times"/>
          <w:b w:val="0"/>
          <w:noProof/>
          <w:sz w:val="18"/>
        </w:rPr>
        <w:instrText xml:space="preserve"> PAGEREF _Toc338939633 \h </w:instrText>
      </w:r>
      <w:r w:rsidRPr="00380510">
        <w:rPr>
          <w:rFonts w:ascii="Times" w:hAnsi="Times" w:cs="Times"/>
          <w:b w:val="0"/>
          <w:noProof/>
          <w:sz w:val="18"/>
        </w:rPr>
      </w:r>
      <w:r w:rsidRPr="00380510">
        <w:rPr>
          <w:rFonts w:ascii="Times" w:hAnsi="Times" w:cs="Times"/>
          <w:b w:val="0"/>
          <w:noProof/>
          <w:sz w:val="18"/>
        </w:rPr>
        <w:fldChar w:fldCharType="separate"/>
      </w:r>
      <w:r w:rsidR="00623A5C">
        <w:rPr>
          <w:rFonts w:ascii="Times" w:hAnsi="Times" w:cs="Times"/>
          <w:b w:val="0"/>
          <w:noProof/>
          <w:sz w:val="18"/>
        </w:rPr>
        <w:t>430</w:t>
      </w:r>
      <w:r w:rsidRPr="00380510">
        <w:rPr>
          <w:rFonts w:ascii="Times" w:hAnsi="Times" w:cs="Times"/>
          <w:b w:val="0"/>
          <w:noProof/>
          <w:sz w:val="18"/>
        </w:rPr>
        <w:fldChar w:fldCharType="end"/>
      </w:r>
    </w:p>
    <w:p w:rsidR="00380510" w:rsidRDefault="00380510">
      <w:pPr>
        <w:pStyle w:val="TOC5"/>
        <w:rPr>
          <w:rFonts w:ascii="Calibri" w:hAnsi="Calibri"/>
          <w:iCs w:val="0"/>
          <w:noProof/>
          <w:kern w:val="0"/>
          <w:sz w:val="22"/>
          <w:szCs w:val="22"/>
        </w:rPr>
      </w:pPr>
      <w:r>
        <w:rPr>
          <w:noProof/>
        </w:rPr>
        <w:t>960</w:t>
      </w:r>
      <w:r>
        <w:rPr>
          <w:noProof/>
        </w:rPr>
        <w:noBreakHyphen/>
        <w:t>260</w:t>
      </w:r>
      <w:r>
        <w:rPr>
          <w:noProof/>
        </w:rPr>
        <w:tab/>
        <w:t>What this Subdivision is about</w:t>
      </w:r>
      <w:r w:rsidRPr="00380510">
        <w:rPr>
          <w:rFonts w:ascii="Times" w:hAnsi="Times" w:cs="Times"/>
          <w:noProof/>
        </w:rPr>
        <w:tab/>
      </w:r>
      <w:r w:rsidRPr="00380510">
        <w:rPr>
          <w:rFonts w:ascii="Times" w:hAnsi="Times" w:cs="Times"/>
          <w:noProof/>
        </w:rPr>
        <w:fldChar w:fldCharType="begin"/>
      </w:r>
      <w:r w:rsidRPr="00380510">
        <w:rPr>
          <w:rFonts w:ascii="Times" w:hAnsi="Times" w:cs="Times"/>
          <w:noProof/>
        </w:rPr>
        <w:instrText xml:space="preserve"> PAGEREF _Toc338939634 \h </w:instrText>
      </w:r>
      <w:r w:rsidRPr="00380510">
        <w:rPr>
          <w:rFonts w:ascii="Times" w:hAnsi="Times" w:cs="Times"/>
          <w:noProof/>
        </w:rPr>
      </w:r>
      <w:r w:rsidRPr="00380510">
        <w:rPr>
          <w:rFonts w:ascii="Times" w:hAnsi="Times" w:cs="Times"/>
          <w:noProof/>
        </w:rPr>
        <w:fldChar w:fldCharType="separate"/>
      </w:r>
      <w:r w:rsidR="00623A5C">
        <w:rPr>
          <w:rFonts w:ascii="Times" w:hAnsi="Times" w:cs="Times"/>
          <w:noProof/>
        </w:rPr>
        <w:t>430</w:t>
      </w:r>
      <w:r w:rsidRPr="00380510">
        <w:rPr>
          <w:rFonts w:ascii="Times" w:hAnsi="Times" w:cs="Times"/>
          <w:noProof/>
        </w:rPr>
        <w:fldChar w:fldCharType="end"/>
      </w:r>
    </w:p>
    <w:p w:rsidR="00380510" w:rsidRDefault="00380510">
      <w:pPr>
        <w:pStyle w:val="TOC5"/>
        <w:rPr>
          <w:rFonts w:ascii="Calibri" w:hAnsi="Calibri"/>
          <w:iCs w:val="0"/>
          <w:noProof/>
          <w:kern w:val="0"/>
          <w:sz w:val="22"/>
          <w:szCs w:val="22"/>
        </w:rPr>
      </w:pPr>
      <w:r>
        <w:rPr>
          <w:noProof/>
        </w:rPr>
        <w:t>960</w:t>
      </w:r>
      <w:r>
        <w:rPr>
          <w:noProof/>
        </w:rPr>
        <w:noBreakHyphen/>
        <w:t>265</w:t>
      </w:r>
      <w:r>
        <w:rPr>
          <w:noProof/>
        </w:rPr>
        <w:tab/>
        <w:t>The provisions for which indexation is relevant</w:t>
      </w:r>
      <w:r w:rsidRPr="00380510">
        <w:rPr>
          <w:rFonts w:ascii="Times" w:hAnsi="Times" w:cs="Times"/>
          <w:noProof/>
        </w:rPr>
        <w:tab/>
      </w:r>
      <w:r w:rsidRPr="00380510">
        <w:rPr>
          <w:rFonts w:ascii="Times" w:hAnsi="Times" w:cs="Times"/>
          <w:noProof/>
        </w:rPr>
        <w:fldChar w:fldCharType="begin"/>
      </w:r>
      <w:r w:rsidRPr="00380510">
        <w:rPr>
          <w:rFonts w:ascii="Times" w:hAnsi="Times" w:cs="Times"/>
          <w:noProof/>
        </w:rPr>
        <w:instrText xml:space="preserve"> PAGEREF _Toc338939635 \h </w:instrText>
      </w:r>
      <w:r w:rsidRPr="00380510">
        <w:rPr>
          <w:rFonts w:ascii="Times" w:hAnsi="Times" w:cs="Times"/>
          <w:noProof/>
        </w:rPr>
      </w:r>
      <w:r w:rsidRPr="00380510">
        <w:rPr>
          <w:rFonts w:ascii="Times" w:hAnsi="Times" w:cs="Times"/>
          <w:noProof/>
        </w:rPr>
        <w:fldChar w:fldCharType="separate"/>
      </w:r>
      <w:r w:rsidR="00623A5C">
        <w:rPr>
          <w:rFonts w:ascii="Times" w:hAnsi="Times" w:cs="Times"/>
          <w:noProof/>
        </w:rPr>
        <w:t>430</w:t>
      </w:r>
      <w:r w:rsidRPr="00380510">
        <w:rPr>
          <w:rFonts w:ascii="Times" w:hAnsi="Times" w:cs="Times"/>
          <w:noProof/>
        </w:rPr>
        <w:fldChar w:fldCharType="end"/>
      </w:r>
    </w:p>
    <w:p w:rsidR="00380510" w:rsidRDefault="00380510">
      <w:pPr>
        <w:pStyle w:val="TOC4"/>
        <w:rPr>
          <w:rFonts w:ascii="Calibri" w:hAnsi="Calibri"/>
          <w:b w:val="0"/>
          <w:noProof/>
          <w:kern w:val="0"/>
          <w:sz w:val="22"/>
          <w:szCs w:val="22"/>
        </w:rPr>
      </w:pPr>
      <w:r>
        <w:rPr>
          <w:noProof/>
        </w:rPr>
        <w:t>Operative provisions</w:t>
      </w:r>
      <w:r w:rsidRPr="00380510">
        <w:rPr>
          <w:rFonts w:ascii="Times" w:hAnsi="Times" w:cs="Times"/>
          <w:b w:val="0"/>
          <w:noProof/>
          <w:sz w:val="18"/>
        </w:rPr>
        <w:tab/>
      </w:r>
      <w:r w:rsidRPr="00380510">
        <w:rPr>
          <w:rFonts w:ascii="Times" w:hAnsi="Times" w:cs="Times"/>
          <w:b w:val="0"/>
          <w:noProof/>
          <w:sz w:val="18"/>
        </w:rPr>
        <w:fldChar w:fldCharType="begin"/>
      </w:r>
      <w:r w:rsidRPr="00380510">
        <w:rPr>
          <w:rFonts w:ascii="Times" w:hAnsi="Times" w:cs="Times"/>
          <w:b w:val="0"/>
          <w:noProof/>
          <w:sz w:val="18"/>
        </w:rPr>
        <w:instrText xml:space="preserve"> PAGEREF _Toc338939636 \h </w:instrText>
      </w:r>
      <w:r w:rsidRPr="00380510">
        <w:rPr>
          <w:rFonts w:ascii="Times" w:hAnsi="Times" w:cs="Times"/>
          <w:b w:val="0"/>
          <w:noProof/>
          <w:sz w:val="18"/>
        </w:rPr>
      </w:r>
      <w:r w:rsidRPr="00380510">
        <w:rPr>
          <w:rFonts w:ascii="Times" w:hAnsi="Times" w:cs="Times"/>
          <w:b w:val="0"/>
          <w:noProof/>
          <w:sz w:val="18"/>
        </w:rPr>
        <w:fldChar w:fldCharType="separate"/>
      </w:r>
      <w:r w:rsidR="00623A5C">
        <w:rPr>
          <w:rFonts w:ascii="Times" w:hAnsi="Times" w:cs="Times"/>
          <w:b w:val="0"/>
          <w:noProof/>
          <w:sz w:val="18"/>
        </w:rPr>
        <w:t>431</w:t>
      </w:r>
      <w:r w:rsidRPr="00380510">
        <w:rPr>
          <w:rFonts w:ascii="Times" w:hAnsi="Times" w:cs="Times"/>
          <w:b w:val="0"/>
          <w:noProof/>
          <w:sz w:val="18"/>
        </w:rPr>
        <w:fldChar w:fldCharType="end"/>
      </w:r>
    </w:p>
    <w:p w:rsidR="00380510" w:rsidRDefault="00380510">
      <w:pPr>
        <w:pStyle w:val="TOC5"/>
        <w:rPr>
          <w:rFonts w:ascii="Calibri" w:hAnsi="Calibri"/>
          <w:iCs w:val="0"/>
          <w:noProof/>
          <w:kern w:val="0"/>
          <w:sz w:val="22"/>
          <w:szCs w:val="22"/>
        </w:rPr>
      </w:pPr>
      <w:r>
        <w:rPr>
          <w:noProof/>
        </w:rPr>
        <w:t>960</w:t>
      </w:r>
      <w:r>
        <w:rPr>
          <w:noProof/>
        </w:rPr>
        <w:noBreakHyphen/>
        <w:t>270</w:t>
      </w:r>
      <w:r>
        <w:rPr>
          <w:noProof/>
        </w:rPr>
        <w:tab/>
        <w:t>Indexing amounts</w:t>
      </w:r>
      <w:r w:rsidRPr="00380510">
        <w:rPr>
          <w:rFonts w:ascii="Times" w:hAnsi="Times" w:cs="Times"/>
          <w:noProof/>
        </w:rPr>
        <w:tab/>
      </w:r>
      <w:r w:rsidRPr="00380510">
        <w:rPr>
          <w:rFonts w:ascii="Times" w:hAnsi="Times" w:cs="Times"/>
          <w:noProof/>
        </w:rPr>
        <w:fldChar w:fldCharType="begin"/>
      </w:r>
      <w:r w:rsidRPr="00380510">
        <w:rPr>
          <w:rFonts w:ascii="Times" w:hAnsi="Times" w:cs="Times"/>
          <w:noProof/>
        </w:rPr>
        <w:instrText xml:space="preserve"> PAGEREF _Toc338939637 \h </w:instrText>
      </w:r>
      <w:r w:rsidRPr="00380510">
        <w:rPr>
          <w:rFonts w:ascii="Times" w:hAnsi="Times" w:cs="Times"/>
          <w:noProof/>
        </w:rPr>
      </w:r>
      <w:r w:rsidRPr="00380510">
        <w:rPr>
          <w:rFonts w:ascii="Times" w:hAnsi="Times" w:cs="Times"/>
          <w:noProof/>
        </w:rPr>
        <w:fldChar w:fldCharType="separate"/>
      </w:r>
      <w:r w:rsidR="00623A5C">
        <w:rPr>
          <w:rFonts w:ascii="Times" w:hAnsi="Times" w:cs="Times"/>
          <w:noProof/>
        </w:rPr>
        <w:t>431</w:t>
      </w:r>
      <w:r w:rsidRPr="00380510">
        <w:rPr>
          <w:rFonts w:ascii="Times" w:hAnsi="Times" w:cs="Times"/>
          <w:noProof/>
        </w:rPr>
        <w:fldChar w:fldCharType="end"/>
      </w:r>
    </w:p>
    <w:p w:rsidR="00380510" w:rsidRDefault="00380510">
      <w:pPr>
        <w:pStyle w:val="TOC5"/>
        <w:rPr>
          <w:rFonts w:ascii="Calibri" w:hAnsi="Calibri"/>
          <w:iCs w:val="0"/>
          <w:noProof/>
          <w:kern w:val="0"/>
          <w:sz w:val="22"/>
          <w:szCs w:val="22"/>
        </w:rPr>
      </w:pPr>
      <w:r>
        <w:rPr>
          <w:noProof/>
        </w:rPr>
        <w:t>960</w:t>
      </w:r>
      <w:r>
        <w:rPr>
          <w:noProof/>
        </w:rPr>
        <w:noBreakHyphen/>
        <w:t>275</w:t>
      </w:r>
      <w:r>
        <w:rPr>
          <w:noProof/>
        </w:rPr>
        <w:tab/>
      </w:r>
      <w:r w:rsidRPr="008A0EAA">
        <w:rPr>
          <w:i/>
          <w:noProof/>
        </w:rPr>
        <w:t>Indexation factor</w:t>
      </w:r>
      <w:r w:rsidRPr="00380510">
        <w:rPr>
          <w:rFonts w:ascii="Times" w:hAnsi="Times" w:cs="Times"/>
          <w:noProof/>
        </w:rPr>
        <w:tab/>
      </w:r>
      <w:r w:rsidRPr="00380510">
        <w:rPr>
          <w:rFonts w:ascii="Times" w:hAnsi="Times" w:cs="Times"/>
          <w:noProof/>
        </w:rPr>
        <w:fldChar w:fldCharType="begin"/>
      </w:r>
      <w:r w:rsidRPr="00380510">
        <w:rPr>
          <w:rFonts w:ascii="Times" w:hAnsi="Times" w:cs="Times"/>
          <w:noProof/>
        </w:rPr>
        <w:instrText xml:space="preserve"> PAGEREF _Toc338939638 \h </w:instrText>
      </w:r>
      <w:r w:rsidRPr="00380510">
        <w:rPr>
          <w:rFonts w:ascii="Times" w:hAnsi="Times" w:cs="Times"/>
          <w:noProof/>
        </w:rPr>
      </w:r>
      <w:r w:rsidRPr="00380510">
        <w:rPr>
          <w:rFonts w:ascii="Times" w:hAnsi="Times" w:cs="Times"/>
          <w:noProof/>
        </w:rPr>
        <w:fldChar w:fldCharType="separate"/>
      </w:r>
      <w:r w:rsidR="00623A5C">
        <w:rPr>
          <w:rFonts w:ascii="Times" w:hAnsi="Times" w:cs="Times"/>
          <w:noProof/>
        </w:rPr>
        <w:t>432</w:t>
      </w:r>
      <w:r w:rsidRPr="00380510">
        <w:rPr>
          <w:rFonts w:ascii="Times" w:hAnsi="Times" w:cs="Times"/>
          <w:noProof/>
        </w:rPr>
        <w:fldChar w:fldCharType="end"/>
      </w:r>
    </w:p>
    <w:p w:rsidR="00380510" w:rsidRDefault="00380510">
      <w:pPr>
        <w:pStyle w:val="TOC5"/>
        <w:rPr>
          <w:rFonts w:ascii="Calibri" w:hAnsi="Calibri"/>
          <w:iCs w:val="0"/>
          <w:noProof/>
          <w:kern w:val="0"/>
          <w:sz w:val="22"/>
          <w:szCs w:val="22"/>
        </w:rPr>
      </w:pPr>
      <w:r>
        <w:rPr>
          <w:noProof/>
        </w:rPr>
        <w:t>960</w:t>
      </w:r>
      <w:r>
        <w:rPr>
          <w:noProof/>
        </w:rPr>
        <w:noBreakHyphen/>
        <w:t>280</w:t>
      </w:r>
      <w:r>
        <w:rPr>
          <w:noProof/>
        </w:rPr>
        <w:tab/>
      </w:r>
      <w:r w:rsidRPr="008A0EAA">
        <w:rPr>
          <w:i/>
          <w:noProof/>
        </w:rPr>
        <w:t>Index number</w:t>
      </w:r>
      <w:r w:rsidRPr="00380510">
        <w:rPr>
          <w:rFonts w:ascii="Times" w:hAnsi="Times" w:cs="Times"/>
          <w:noProof/>
        </w:rPr>
        <w:tab/>
      </w:r>
      <w:r w:rsidRPr="00380510">
        <w:rPr>
          <w:rFonts w:ascii="Times" w:hAnsi="Times" w:cs="Times"/>
          <w:noProof/>
        </w:rPr>
        <w:fldChar w:fldCharType="begin"/>
      </w:r>
      <w:r w:rsidRPr="00380510">
        <w:rPr>
          <w:rFonts w:ascii="Times" w:hAnsi="Times" w:cs="Times"/>
          <w:noProof/>
        </w:rPr>
        <w:instrText xml:space="preserve"> PAGEREF _Toc338939639 \h </w:instrText>
      </w:r>
      <w:r w:rsidRPr="00380510">
        <w:rPr>
          <w:rFonts w:ascii="Times" w:hAnsi="Times" w:cs="Times"/>
          <w:noProof/>
        </w:rPr>
      </w:r>
      <w:r w:rsidRPr="00380510">
        <w:rPr>
          <w:rFonts w:ascii="Times" w:hAnsi="Times" w:cs="Times"/>
          <w:noProof/>
        </w:rPr>
        <w:fldChar w:fldCharType="separate"/>
      </w:r>
      <w:r w:rsidR="00623A5C">
        <w:rPr>
          <w:rFonts w:ascii="Times" w:hAnsi="Times" w:cs="Times"/>
          <w:noProof/>
        </w:rPr>
        <w:t>434</w:t>
      </w:r>
      <w:r w:rsidRPr="00380510">
        <w:rPr>
          <w:rFonts w:ascii="Times" w:hAnsi="Times" w:cs="Times"/>
          <w:noProof/>
        </w:rPr>
        <w:fldChar w:fldCharType="end"/>
      </w:r>
    </w:p>
    <w:p w:rsidR="00380510" w:rsidRDefault="00380510">
      <w:pPr>
        <w:pStyle w:val="TOC5"/>
        <w:rPr>
          <w:rFonts w:ascii="Calibri" w:hAnsi="Calibri"/>
          <w:iCs w:val="0"/>
          <w:noProof/>
          <w:kern w:val="0"/>
          <w:sz w:val="22"/>
          <w:szCs w:val="22"/>
        </w:rPr>
      </w:pPr>
      <w:r>
        <w:rPr>
          <w:noProof/>
        </w:rPr>
        <w:lastRenderedPageBreak/>
        <w:t>960</w:t>
      </w:r>
      <w:r>
        <w:rPr>
          <w:noProof/>
        </w:rPr>
        <w:noBreakHyphen/>
        <w:t>285</w:t>
      </w:r>
      <w:r>
        <w:rPr>
          <w:noProof/>
        </w:rPr>
        <w:tab/>
        <w:t>Indexation—superannuation and employment termination</w:t>
      </w:r>
      <w:r w:rsidRPr="00380510">
        <w:rPr>
          <w:rFonts w:ascii="Times" w:hAnsi="Times" w:cs="Times"/>
          <w:noProof/>
        </w:rPr>
        <w:tab/>
      </w:r>
      <w:r w:rsidRPr="00380510">
        <w:rPr>
          <w:rFonts w:ascii="Times" w:hAnsi="Times" w:cs="Times"/>
          <w:noProof/>
        </w:rPr>
        <w:fldChar w:fldCharType="begin"/>
      </w:r>
      <w:r w:rsidRPr="00380510">
        <w:rPr>
          <w:rFonts w:ascii="Times" w:hAnsi="Times" w:cs="Times"/>
          <w:noProof/>
        </w:rPr>
        <w:instrText xml:space="preserve"> PAGEREF _Toc338939640 \h </w:instrText>
      </w:r>
      <w:r w:rsidRPr="00380510">
        <w:rPr>
          <w:rFonts w:ascii="Times" w:hAnsi="Times" w:cs="Times"/>
          <w:noProof/>
        </w:rPr>
      </w:r>
      <w:r w:rsidRPr="00380510">
        <w:rPr>
          <w:rFonts w:ascii="Times" w:hAnsi="Times" w:cs="Times"/>
          <w:noProof/>
        </w:rPr>
        <w:fldChar w:fldCharType="separate"/>
      </w:r>
      <w:r w:rsidR="00623A5C">
        <w:rPr>
          <w:rFonts w:ascii="Times" w:hAnsi="Times" w:cs="Times"/>
          <w:noProof/>
        </w:rPr>
        <w:t>434</w:t>
      </w:r>
      <w:r w:rsidRPr="00380510">
        <w:rPr>
          <w:rFonts w:ascii="Times" w:hAnsi="Times" w:cs="Times"/>
          <w:noProof/>
        </w:rPr>
        <w:fldChar w:fldCharType="end"/>
      </w:r>
    </w:p>
    <w:p w:rsidR="00380510" w:rsidRDefault="00380510">
      <w:pPr>
        <w:pStyle w:val="TOC4"/>
        <w:rPr>
          <w:rFonts w:ascii="Calibri" w:hAnsi="Calibri"/>
          <w:b w:val="0"/>
          <w:noProof/>
          <w:kern w:val="0"/>
          <w:sz w:val="22"/>
          <w:szCs w:val="22"/>
        </w:rPr>
      </w:pPr>
      <w:r>
        <w:rPr>
          <w:noProof/>
        </w:rPr>
        <w:t>Subdivision 960</w:t>
      </w:r>
      <w:r>
        <w:rPr>
          <w:noProof/>
        </w:rPr>
        <w:noBreakHyphen/>
        <w:t>S—Market value</w:t>
      </w:r>
      <w:r w:rsidRPr="00380510">
        <w:rPr>
          <w:rFonts w:ascii="Times" w:hAnsi="Times" w:cs="Times"/>
          <w:b w:val="0"/>
          <w:noProof/>
          <w:sz w:val="18"/>
        </w:rPr>
        <w:tab/>
      </w:r>
      <w:r w:rsidRPr="00380510">
        <w:rPr>
          <w:rFonts w:ascii="Times" w:hAnsi="Times" w:cs="Times"/>
          <w:b w:val="0"/>
          <w:noProof/>
          <w:sz w:val="18"/>
        </w:rPr>
        <w:fldChar w:fldCharType="begin"/>
      </w:r>
      <w:r w:rsidRPr="00380510">
        <w:rPr>
          <w:rFonts w:ascii="Times" w:hAnsi="Times" w:cs="Times"/>
          <w:b w:val="0"/>
          <w:noProof/>
          <w:sz w:val="18"/>
        </w:rPr>
        <w:instrText xml:space="preserve"> PAGEREF _Toc338939641 \h </w:instrText>
      </w:r>
      <w:r w:rsidRPr="00380510">
        <w:rPr>
          <w:rFonts w:ascii="Times" w:hAnsi="Times" w:cs="Times"/>
          <w:b w:val="0"/>
          <w:noProof/>
          <w:sz w:val="18"/>
        </w:rPr>
      </w:r>
      <w:r w:rsidRPr="00380510">
        <w:rPr>
          <w:rFonts w:ascii="Times" w:hAnsi="Times" w:cs="Times"/>
          <w:b w:val="0"/>
          <w:noProof/>
          <w:sz w:val="18"/>
        </w:rPr>
        <w:fldChar w:fldCharType="separate"/>
      </w:r>
      <w:r w:rsidR="00623A5C">
        <w:rPr>
          <w:rFonts w:ascii="Times" w:hAnsi="Times" w:cs="Times"/>
          <w:b w:val="0"/>
          <w:noProof/>
          <w:sz w:val="18"/>
        </w:rPr>
        <w:t>436</w:t>
      </w:r>
      <w:r w:rsidRPr="00380510">
        <w:rPr>
          <w:rFonts w:ascii="Times" w:hAnsi="Times" w:cs="Times"/>
          <w:b w:val="0"/>
          <w:noProof/>
          <w:sz w:val="18"/>
        </w:rPr>
        <w:fldChar w:fldCharType="end"/>
      </w:r>
    </w:p>
    <w:p w:rsidR="00380510" w:rsidRDefault="00380510">
      <w:pPr>
        <w:pStyle w:val="TOC4"/>
        <w:rPr>
          <w:rFonts w:ascii="Calibri" w:hAnsi="Calibri"/>
          <w:b w:val="0"/>
          <w:noProof/>
          <w:kern w:val="0"/>
          <w:sz w:val="22"/>
          <w:szCs w:val="22"/>
        </w:rPr>
      </w:pPr>
      <w:r>
        <w:rPr>
          <w:noProof/>
        </w:rPr>
        <w:t>Guide to Subdivision 960</w:t>
      </w:r>
      <w:r>
        <w:rPr>
          <w:noProof/>
        </w:rPr>
        <w:noBreakHyphen/>
        <w:t>S</w:t>
      </w:r>
      <w:r w:rsidRPr="00380510">
        <w:rPr>
          <w:rFonts w:ascii="Times" w:hAnsi="Times" w:cs="Times"/>
          <w:b w:val="0"/>
          <w:noProof/>
          <w:sz w:val="18"/>
        </w:rPr>
        <w:tab/>
      </w:r>
      <w:r w:rsidRPr="00380510">
        <w:rPr>
          <w:rFonts w:ascii="Times" w:hAnsi="Times" w:cs="Times"/>
          <w:b w:val="0"/>
          <w:noProof/>
          <w:sz w:val="18"/>
        </w:rPr>
        <w:fldChar w:fldCharType="begin"/>
      </w:r>
      <w:r w:rsidRPr="00380510">
        <w:rPr>
          <w:rFonts w:ascii="Times" w:hAnsi="Times" w:cs="Times"/>
          <w:b w:val="0"/>
          <w:noProof/>
          <w:sz w:val="18"/>
        </w:rPr>
        <w:instrText xml:space="preserve"> PAGEREF _Toc338939642 \h </w:instrText>
      </w:r>
      <w:r w:rsidRPr="00380510">
        <w:rPr>
          <w:rFonts w:ascii="Times" w:hAnsi="Times" w:cs="Times"/>
          <w:b w:val="0"/>
          <w:noProof/>
          <w:sz w:val="18"/>
        </w:rPr>
      </w:r>
      <w:r w:rsidRPr="00380510">
        <w:rPr>
          <w:rFonts w:ascii="Times" w:hAnsi="Times" w:cs="Times"/>
          <w:b w:val="0"/>
          <w:noProof/>
          <w:sz w:val="18"/>
        </w:rPr>
        <w:fldChar w:fldCharType="separate"/>
      </w:r>
      <w:r w:rsidR="00623A5C">
        <w:rPr>
          <w:rFonts w:ascii="Times" w:hAnsi="Times" w:cs="Times"/>
          <w:b w:val="0"/>
          <w:noProof/>
          <w:sz w:val="18"/>
        </w:rPr>
        <w:t>436</w:t>
      </w:r>
      <w:r w:rsidRPr="00380510">
        <w:rPr>
          <w:rFonts w:ascii="Times" w:hAnsi="Times" w:cs="Times"/>
          <w:b w:val="0"/>
          <w:noProof/>
          <w:sz w:val="18"/>
        </w:rPr>
        <w:fldChar w:fldCharType="end"/>
      </w:r>
    </w:p>
    <w:p w:rsidR="00380510" w:rsidRDefault="00380510">
      <w:pPr>
        <w:pStyle w:val="TOC5"/>
        <w:rPr>
          <w:rFonts w:ascii="Calibri" w:hAnsi="Calibri"/>
          <w:iCs w:val="0"/>
          <w:noProof/>
          <w:kern w:val="0"/>
          <w:sz w:val="22"/>
          <w:szCs w:val="22"/>
        </w:rPr>
      </w:pPr>
      <w:r>
        <w:rPr>
          <w:noProof/>
        </w:rPr>
        <w:t>960</w:t>
      </w:r>
      <w:r>
        <w:rPr>
          <w:noProof/>
        </w:rPr>
        <w:noBreakHyphen/>
        <w:t>400</w:t>
      </w:r>
      <w:r>
        <w:rPr>
          <w:noProof/>
        </w:rPr>
        <w:tab/>
        <w:t>What this Subdivision is about</w:t>
      </w:r>
      <w:r w:rsidRPr="00380510">
        <w:rPr>
          <w:rFonts w:ascii="Times" w:hAnsi="Times" w:cs="Times"/>
          <w:noProof/>
        </w:rPr>
        <w:tab/>
      </w:r>
      <w:r w:rsidRPr="00380510">
        <w:rPr>
          <w:rFonts w:ascii="Times" w:hAnsi="Times" w:cs="Times"/>
          <w:noProof/>
        </w:rPr>
        <w:fldChar w:fldCharType="begin"/>
      </w:r>
      <w:r w:rsidRPr="00380510">
        <w:rPr>
          <w:rFonts w:ascii="Times" w:hAnsi="Times" w:cs="Times"/>
          <w:noProof/>
        </w:rPr>
        <w:instrText xml:space="preserve"> PAGEREF _Toc338939643 \h </w:instrText>
      </w:r>
      <w:r w:rsidRPr="00380510">
        <w:rPr>
          <w:rFonts w:ascii="Times" w:hAnsi="Times" w:cs="Times"/>
          <w:noProof/>
        </w:rPr>
      </w:r>
      <w:r w:rsidRPr="00380510">
        <w:rPr>
          <w:rFonts w:ascii="Times" w:hAnsi="Times" w:cs="Times"/>
          <w:noProof/>
        </w:rPr>
        <w:fldChar w:fldCharType="separate"/>
      </w:r>
      <w:r w:rsidR="00623A5C">
        <w:rPr>
          <w:rFonts w:ascii="Times" w:hAnsi="Times" w:cs="Times"/>
          <w:noProof/>
        </w:rPr>
        <w:t>436</w:t>
      </w:r>
      <w:r w:rsidRPr="00380510">
        <w:rPr>
          <w:rFonts w:ascii="Times" w:hAnsi="Times" w:cs="Times"/>
          <w:noProof/>
        </w:rPr>
        <w:fldChar w:fldCharType="end"/>
      </w:r>
    </w:p>
    <w:p w:rsidR="00380510" w:rsidRDefault="00380510">
      <w:pPr>
        <w:pStyle w:val="TOC4"/>
        <w:rPr>
          <w:rFonts w:ascii="Calibri" w:hAnsi="Calibri"/>
          <w:b w:val="0"/>
          <w:noProof/>
          <w:kern w:val="0"/>
          <w:sz w:val="22"/>
          <w:szCs w:val="22"/>
        </w:rPr>
      </w:pPr>
      <w:r>
        <w:rPr>
          <w:noProof/>
        </w:rPr>
        <w:t>Operative provisions</w:t>
      </w:r>
      <w:r w:rsidRPr="00380510">
        <w:rPr>
          <w:rFonts w:ascii="Times" w:hAnsi="Times" w:cs="Times"/>
          <w:b w:val="0"/>
          <w:noProof/>
          <w:sz w:val="18"/>
        </w:rPr>
        <w:tab/>
      </w:r>
      <w:r w:rsidRPr="00380510">
        <w:rPr>
          <w:rFonts w:ascii="Times" w:hAnsi="Times" w:cs="Times"/>
          <w:b w:val="0"/>
          <w:noProof/>
          <w:sz w:val="18"/>
        </w:rPr>
        <w:fldChar w:fldCharType="begin"/>
      </w:r>
      <w:r w:rsidRPr="00380510">
        <w:rPr>
          <w:rFonts w:ascii="Times" w:hAnsi="Times" w:cs="Times"/>
          <w:b w:val="0"/>
          <w:noProof/>
          <w:sz w:val="18"/>
        </w:rPr>
        <w:instrText xml:space="preserve"> PAGEREF _Toc338939644 \h </w:instrText>
      </w:r>
      <w:r w:rsidRPr="00380510">
        <w:rPr>
          <w:rFonts w:ascii="Times" w:hAnsi="Times" w:cs="Times"/>
          <w:b w:val="0"/>
          <w:noProof/>
          <w:sz w:val="18"/>
        </w:rPr>
      </w:r>
      <w:r w:rsidRPr="00380510">
        <w:rPr>
          <w:rFonts w:ascii="Times" w:hAnsi="Times" w:cs="Times"/>
          <w:b w:val="0"/>
          <w:noProof/>
          <w:sz w:val="18"/>
        </w:rPr>
        <w:fldChar w:fldCharType="separate"/>
      </w:r>
      <w:r w:rsidR="00623A5C">
        <w:rPr>
          <w:rFonts w:ascii="Times" w:hAnsi="Times" w:cs="Times"/>
          <w:b w:val="0"/>
          <w:noProof/>
          <w:sz w:val="18"/>
        </w:rPr>
        <w:t>436</w:t>
      </w:r>
      <w:r w:rsidRPr="00380510">
        <w:rPr>
          <w:rFonts w:ascii="Times" w:hAnsi="Times" w:cs="Times"/>
          <w:b w:val="0"/>
          <w:noProof/>
          <w:sz w:val="18"/>
        </w:rPr>
        <w:fldChar w:fldCharType="end"/>
      </w:r>
    </w:p>
    <w:p w:rsidR="00380510" w:rsidRDefault="00380510">
      <w:pPr>
        <w:pStyle w:val="TOC5"/>
        <w:rPr>
          <w:rFonts w:ascii="Calibri" w:hAnsi="Calibri"/>
          <w:iCs w:val="0"/>
          <w:noProof/>
          <w:kern w:val="0"/>
          <w:sz w:val="22"/>
          <w:szCs w:val="22"/>
        </w:rPr>
      </w:pPr>
      <w:r>
        <w:rPr>
          <w:noProof/>
        </w:rPr>
        <w:t>960</w:t>
      </w:r>
      <w:r>
        <w:rPr>
          <w:noProof/>
        </w:rPr>
        <w:noBreakHyphen/>
        <w:t>405</w:t>
      </w:r>
      <w:r>
        <w:rPr>
          <w:noProof/>
        </w:rPr>
        <w:tab/>
        <w:t>Effect of GST on market value of an asset</w:t>
      </w:r>
      <w:r w:rsidRPr="00380510">
        <w:rPr>
          <w:rFonts w:ascii="Times" w:hAnsi="Times" w:cs="Times"/>
          <w:noProof/>
        </w:rPr>
        <w:tab/>
      </w:r>
      <w:r w:rsidRPr="00380510">
        <w:rPr>
          <w:rFonts w:ascii="Times" w:hAnsi="Times" w:cs="Times"/>
          <w:noProof/>
        </w:rPr>
        <w:fldChar w:fldCharType="begin"/>
      </w:r>
      <w:r w:rsidRPr="00380510">
        <w:rPr>
          <w:rFonts w:ascii="Times" w:hAnsi="Times" w:cs="Times"/>
          <w:noProof/>
        </w:rPr>
        <w:instrText xml:space="preserve"> PAGEREF _Toc338939645 \h </w:instrText>
      </w:r>
      <w:r w:rsidRPr="00380510">
        <w:rPr>
          <w:rFonts w:ascii="Times" w:hAnsi="Times" w:cs="Times"/>
          <w:noProof/>
        </w:rPr>
      </w:r>
      <w:r w:rsidRPr="00380510">
        <w:rPr>
          <w:rFonts w:ascii="Times" w:hAnsi="Times" w:cs="Times"/>
          <w:noProof/>
        </w:rPr>
        <w:fldChar w:fldCharType="separate"/>
      </w:r>
      <w:r w:rsidR="00623A5C">
        <w:rPr>
          <w:rFonts w:ascii="Times" w:hAnsi="Times" w:cs="Times"/>
          <w:noProof/>
        </w:rPr>
        <w:t>436</w:t>
      </w:r>
      <w:r w:rsidRPr="00380510">
        <w:rPr>
          <w:rFonts w:ascii="Times" w:hAnsi="Times" w:cs="Times"/>
          <w:noProof/>
        </w:rPr>
        <w:fldChar w:fldCharType="end"/>
      </w:r>
    </w:p>
    <w:p w:rsidR="00380510" w:rsidRDefault="00380510">
      <w:pPr>
        <w:pStyle w:val="TOC5"/>
        <w:rPr>
          <w:rFonts w:ascii="Calibri" w:hAnsi="Calibri"/>
          <w:iCs w:val="0"/>
          <w:noProof/>
          <w:kern w:val="0"/>
          <w:sz w:val="22"/>
          <w:szCs w:val="22"/>
        </w:rPr>
      </w:pPr>
      <w:r>
        <w:rPr>
          <w:noProof/>
        </w:rPr>
        <w:t>960</w:t>
      </w:r>
      <w:r>
        <w:rPr>
          <w:noProof/>
        </w:rPr>
        <w:noBreakHyphen/>
        <w:t>410</w:t>
      </w:r>
      <w:r>
        <w:rPr>
          <w:noProof/>
        </w:rPr>
        <w:tab/>
        <w:t>Market value of non</w:t>
      </w:r>
      <w:r>
        <w:rPr>
          <w:noProof/>
        </w:rPr>
        <w:noBreakHyphen/>
        <w:t>cash benefits</w:t>
      </w:r>
      <w:r w:rsidRPr="00380510">
        <w:rPr>
          <w:rFonts w:ascii="Times" w:hAnsi="Times" w:cs="Times"/>
          <w:noProof/>
        </w:rPr>
        <w:tab/>
      </w:r>
      <w:r w:rsidRPr="00380510">
        <w:rPr>
          <w:rFonts w:ascii="Times" w:hAnsi="Times" w:cs="Times"/>
          <w:noProof/>
        </w:rPr>
        <w:fldChar w:fldCharType="begin"/>
      </w:r>
      <w:r w:rsidRPr="00380510">
        <w:rPr>
          <w:rFonts w:ascii="Times" w:hAnsi="Times" w:cs="Times"/>
          <w:noProof/>
        </w:rPr>
        <w:instrText xml:space="preserve"> PAGEREF _Toc338939646 \h </w:instrText>
      </w:r>
      <w:r w:rsidRPr="00380510">
        <w:rPr>
          <w:rFonts w:ascii="Times" w:hAnsi="Times" w:cs="Times"/>
          <w:noProof/>
        </w:rPr>
      </w:r>
      <w:r w:rsidRPr="00380510">
        <w:rPr>
          <w:rFonts w:ascii="Times" w:hAnsi="Times" w:cs="Times"/>
          <w:noProof/>
        </w:rPr>
        <w:fldChar w:fldCharType="separate"/>
      </w:r>
      <w:r w:rsidR="00623A5C">
        <w:rPr>
          <w:rFonts w:ascii="Times" w:hAnsi="Times" w:cs="Times"/>
          <w:noProof/>
        </w:rPr>
        <w:t>437</w:t>
      </w:r>
      <w:r w:rsidRPr="00380510">
        <w:rPr>
          <w:rFonts w:ascii="Times" w:hAnsi="Times" w:cs="Times"/>
          <w:noProof/>
        </w:rPr>
        <w:fldChar w:fldCharType="end"/>
      </w:r>
    </w:p>
    <w:p w:rsidR="00380510" w:rsidRDefault="00380510">
      <w:pPr>
        <w:pStyle w:val="TOC5"/>
        <w:rPr>
          <w:rFonts w:ascii="Calibri" w:hAnsi="Calibri"/>
          <w:iCs w:val="0"/>
          <w:noProof/>
          <w:kern w:val="0"/>
          <w:sz w:val="22"/>
          <w:szCs w:val="22"/>
        </w:rPr>
      </w:pPr>
      <w:r>
        <w:rPr>
          <w:noProof/>
        </w:rPr>
        <w:t>960</w:t>
      </w:r>
      <w:r>
        <w:rPr>
          <w:noProof/>
        </w:rPr>
        <w:noBreakHyphen/>
        <w:t>415</w:t>
      </w:r>
      <w:r>
        <w:rPr>
          <w:noProof/>
        </w:rPr>
        <w:tab/>
        <w:t>Amounts that depend on market value</w:t>
      </w:r>
      <w:r w:rsidRPr="00380510">
        <w:rPr>
          <w:rFonts w:ascii="Times" w:hAnsi="Times" w:cs="Times"/>
          <w:noProof/>
        </w:rPr>
        <w:tab/>
      </w:r>
      <w:r w:rsidRPr="00380510">
        <w:rPr>
          <w:rFonts w:ascii="Times" w:hAnsi="Times" w:cs="Times"/>
          <w:noProof/>
        </w:rPr>
        <w:fldChar w:fldCharType="begin"/>
      </w:r>
      <w:r w:rsidRPr="00380510">
        <w:rPr>
          <w:rFonts w:ascii="Times" w:hAnsi="Times" w:cs="Times"/>
          <w:noProof/>
        </w:rPr>
        <w:instrText xml:space="preserve"> PAGEREF _Toc338939647 \h </w:instrText>
      </w:r>
      <w:r w:rsidRPr="00380510">
        <w:rPr>
          <w:rFonts w:ascii="Times" w:hAnsi="Times" w:cs="Times"/>
          <w:noProof/>
        </w:rPr>
      </w:r>
      <w:r w:rsidRPr="00380510">
        <w:rPr>
          <w:rFonts w:ascii="Times" w:hAnsi="Times" w:cs="Times"/>
          <w:noProof/>
        </w:rPr>
        <w:fldChar w:fldCharType="separate"/>
      </w:r>
      <w:r w:rsidR="00623A5C">
        <w:rPr>
          <w:rFonts w:ascii="Times" w:hAnsi="Times" w:cs="Times"/>
          <w:noProof/>
        </w:rPr>
        <w:t>437</w:t>
      </w:r>
      <w:r w:rsidRPr="00380510">
        <w:rPr>
          <w:rFonts w:ascii="Times" w:hAnsi="Times" w:cs="Times"/>
          <w:noProof/>
        </w:rPr>
        <w:fldChar w:fldCharType="end"/>
      </w:r>
    </w:p>
    <w:p w:rsidR="00380510" w:rsidRDefault="00380510">
      <w:pPr>
        <w:pStyle w:val="TOC3"/>
        <w:rPr>
          <w:rFonts w:ascii="Calibri" w:hAnsi="Calibri"/>
          <w:b w:val="0"/>
          <w:noProof/>
          <w:kern w:val="0"/>
          <w:szCs w:val="22"/>
        </w:rPr>
      </w:pPr>
      <w:r>
        <w:rPr>
          <w:noProof/>
        </w:rPr>
        <w:t>Division 974—Debt and equity interests</w:t>
      </w:r>
      <w:r w:rsidRPr="00380510">
        <w:rPr>
          <w:rFonts w:ascii="Times" w:hAnsi="Times" w:cs="Times"/>
          <w:b w:val="0"/>
          <w:noProof/>
          <w:sz w:val="18"/>
        </w:rPr>
        <w:tab/>
      </w:r>
      <w:r w:rsidRPr="00380510">
        <w:rPr>
          <w:rFonts w:ascii="Times" w:hAnsi="Times" w:cs="Times"/>
          <w:b w:val="0"/>
          <w:noProof/>
          <w:sz w:val="18"/>
        </w:rPr>
        <w:fldChar w:fldCharType="begin"/>
      </w:r>
      <w:r w:rsidRPr="00380510">
        <w:rPr>
          <w:rFonts w:ascii="Times" w:hAnsi="Times" w:cs="Times"/>
          <w:b w:val="0"/>
          <w:noProof/>
          <w:sz w:val="18"/>
        </w:rPr>
        <w:instrText xml:space="preserve"> PAGEREF _Toc338939648 \h </w:instrText>
      </w:r>
      <w:r w:rsidRPr="00380510">
        <w:rPr>
          <w:rFonts w:ascii="Times" w:hAnsi="Times" w:cs="Times"/>
          <w:b w:val="0"/>
          <w:noProof/>
          <w:sz w:val="18"/>
        </w:rPr>
      </w:r>
      <w:r w:rsidRPr="00380510">
        <w:rPr>
          <w:rFonts w:ascii="Times" w:hAnsi="Times" w:cs="Times"/>
          <w:b w:val="0"/>
          <w:noProof/>
          <w:sz w:val="18"/>
        </w:rPr>
        <w:fldChar w:fldCharType="separate"/>
      </w:r>
      <w:r w:rsidR="00623A5C">
        <w:rPr>
          <w:rFonts w:ascii="Times" w:hAnsi="Times" w:cs="Times"/>
          <w:b w:val="0"/>
          <w:noProof/>
          <w:sz w:val="18"/>
        </w:rPr>
        <w:t>438</w:t>
      </w:r>
      <w:r w:rsidRPr="00380510">
        <w:rPr>
          <w:rFonts w:ascii="Times" w:hAnsi="Times" w:cs="Times"/>
          <w:b w:val="0"/>
          <w:noProof/>
          <w:sz w:val="18"/>
        </w:rPr>
        <w:fldChar w:fldCharType="end"/>
      </w:r>
    </w:p>
    <w:p w:rsidR="00380510" w:rsidRDefault="00380510">
      <w:pPr>
        <w:pStyle w:val="TOC4"/>
        <w:rPr>
          <w:rFonts w:ascii="Calibri" w:hAnsi="Calibri"/>
          <w:b w:val="0"/>
          <w:noProof/>
          <w:kern w:val="0"/>
          <w:sz w:val="22"/>
          <w:szCs w:val="22"/>
        </w:rPr>
      </w:pPr>
      <w:r>
        <w:rPr>
          <w:noProof/>
        </w:rPr>
        <w:t>Subdivision 974</w:t>
      </w:r>
      <w:r>
        <w:rPr>
          <w:noProof/>
        </w:rPr>
        <w:noBreakHyphen/>
        <w:t>A—General</w:t>
      </w:r>
      <w:r w:rsidRPr="00380510">
        <w:rPr>
          <w:rFonts w:ascii="Times" w:hAnsi="Times" w:cs="Times"/>
          <w:b w:val="0"/>
          <w:noProof/>
          <w:sz w:val="18"/>
        </w:rPr>
        <w:tab/>
      </w:r>
      <w:r w:rsidRPr="00380510">
        <w:rPr>
          <w:rFonts w:ascii="Times" w:hAnsi="Times" w:cs="Times"/>
          <w:b w:val="0"/>
          <w:noProof/>
          <w:sz w:val="18"/>
        </w:rPr>
        <w:fldChar w:fldCharType="begin"/>
      </w:r>
      <w:r w:rsidRPr="00380510">
        <w:rPr>
          <w:rFonts w:ascii="Times" w:hAnsi="Times" w:cs="Times"/>
          <w:b w:val="0"/>
          <w:noProof/>
          <w:sz w:val="18"/>
        </w:rPr>
        <w:instrText xml:space="preserve"> PAGEREF _Toc338939649 \h </w:instrText>
      </w:r>
      <w:r w:rsidRPr="00380510">
        <w:rPr>
          <w:rFonts w:ascii="Times" w:hAnsi="Times" w:cs="Times"/>
          <w:b w:val="0"/>
          <w:noProof/>
          <w:sz w:val="18"/>
        </w:rPr>
      </w:r>
      <w:r w:rsidRPr="00380510">
        <w:rPr>
          <w:rFonts w:ascii="Times" w:hAnsi="Times" w:cs="Times"/>
          <w:b w:val="0"/>
          <w:noProof/>
          <w:sz w:val="18"/>
        </w:rPr>
        <w:fldChar w:fldCharType="separate"/>
      </w:r>
      <w:r w:rsidR="00623A5C">
        <w:rPr>
          <w:rFonts w:ascii="Times" w:hAnsi="Times" w:cs="Times"/>
          <w:b w:val="0"/>
          <w:noProof/>
          <w:sz w:val="18"/>
        </w:rPr>
        <w:t>438</w:t>
      </w:r>
      <w:r w:rsidRPr="00380510">
        <w:rPr>
          <w:rFonts w:ascii="Times" w:hAnsi="Times" w:cs="Times"/>
          <w:b w:val="0"/>
          <w:noProof/>
          <w:sz w:val="18"/>
        </w:rPr>
        <w:fldChar w:fldCharType="end"/>
      </w:r>
    </w:p>
    <w:p w:rsidR="00380510" w:rsidRDefault="00380510">
      <w:pPr>
        <w:pStyle w:val="TOC4"/>
        <w:rPr>
          <w:rFonts w:ascii="Calibri" w:hAnsi="Calibri"/>
          <w:b w:val="0"/>
          <w:noProof/>
          <w:kern w:val="0"/>
          <w:sz w:val="22"/>
          <w:szCs w:val="22"/>
        </w:rPr>
      </w:pPr>
      <w:r>
        <w:rPr>
          <w:noProof/>
        </w:rPr>
        <w:t>Guide to Division 974</w:t>
      </w:r>
      <w:r w:rsidRPr="00380510">
        <w:rPr>
          <w:rFonts w:ascii="Times" w:hAnsi="Times" w:cs="Times"/>
          <w:b w:val="0"/>
          <w:noProof/>
          <w:sz w:val="18"/>
        </w:rPr>
        <w:tab/>
      </w:r>
      <w:r w:rsidRPr="00380510">
        <w:rPr>
          <w:rFonts w:ascii="Times" w:hAnsi="Times" w:cs="Times"/>
          <w:b w:val="0"/>
          <w:noProof/>
          <w:sz w:val="18"/>
        </w:rPr>
        <w:fldChar w:fldCharType="begin"/>
      </w:r>
      <w:r w:rsidRPr="00380510">
        <w:rPr>
          <w:rFonts w:ascii="Times" w:hAnsi="Times" w:cs="Times"/>
          <w:b w:val="0"/>
          <w:noProof/>
          <w:sz w:val="18"/>
        </w:rPr>
        <w:instrText xml:space="preserve"> PAGEREF _Toc338939650 \h </w:instrText>
      </w:r>
      <w:r w:rsidRPr="00380510">
        <w:rPr>
          <w:rFonts w:ascii="Times" w:hAnsi="Times" w:cs="Times"/>
          <w:b w:val="0"/>
          <w:noProof/>
          <w:sz w:val="18"/>
        </w:rPr>
      </w:r>
      <w:r w:rsidRPr="00380510">
        <w:rPr>
          <w:rFonts w:ascii="Times" w:hAnsi="Times" w:cs="Times"/>
          <w:b w:val="0"/>
          <w:noProof/>
          <w:sz w:val="18"/>
        </w:rPr>
        <w:fldChar w:fldCharType="separate"/>
      </w:r>
      <w:r w:rsidR="00623A5C">
        <w:rPr>
          <w:rFonts w:ascii="Times" w:hAnsi="Times" w:cs="Times"/>
          <w:b w:val="0"/>
          <w:noProof/>
          <w:sz w:val="18"/>
        </w:rPr>
        <w:t>438</w:t>
      </w:r>
      <w:r w:rsidRPr="00380510">
        <w:rPr>
          <w:rFonts w:ascii="Times" w:hAnsi="Times" w:cs="Times"/>
          <w:b w:val="0"/>
          <w:noProof/>
          <w:sz w:val="18"/>
        </w:rPr>
        <w:fldChar w:fldCharType="end"/>
      </w:r>
    </w:p>
    <w:p w:rsidR="00380510" w:rsidRDefault="00380510">
      <w:pPr>
        <w:pStyle w:val="TOC5"/>
        <w:rPr>
          <w:rFonts w:ascii="Calibri" w:hAnsi="Calibri"/>
          <w:iCs w:val="0"/>
          <w:noProof/>
          <w:kern w:val="0"/>
          <w:sz w:val="22"/>
          <w:szCs w:val="22"/>
        </w:rPr>
      </w:pPr>
      <w:r>
        <w:rPr>
          <w:noProof/>
        </w:rPr>
        <w:t>974</w:t>
      </w:r>
      <w:r>
        <w:rPr>
          <w:noProof/>
        </w:rPr>
        <w:noBreakHyphen/>
        <w:t>1</w:t>
      </w:r>
      <w:r>
        <w:rPr>
          <w:noProof/>
        </w:rPr>
        <w:tab/>
        <w:t>What this Division is about</w:t>
      </w:r>
      <w:r w:rsidRPr="00380510">
        <w:rPr>
          <w:rFonts w:ascii="Times" w:hAnsi="Times" w:cs="Times"/>
          <w:noProof/>
        </w:rPr>
        <w:tab/>
      </w:r>
      <w:r w:rsidRPr="00380510">
        <w:rPr>
          <w:rFonts w:ascii="Times" w:hAnsi="Times" w:cs="Times"/>
          <w:noProof/>
        </w:rPr>
        <w:fldChar w:fldCharType="begin"/>
      </w:r>
      <w:r w:rsidRPr="00380510">
        <w:rPr>
          <w:rFonts w:ascii="Times" w:hAnsi="Times" w:cs="Times"/>
          <w:noProof/>
        </w:rPr>
        <w:instrText xml:space="preserve"> PAGEREF _Toc338939651 \h </w:instrText>
      </w:r>
      <w:r w:rsidRPr="00380510">
        <w:rPr>
          <w:rFonts w:ascii="Times" w:hAnsi="Times" w:cs="Times"/>
          <w:noProof/>
        </w:rPr>
      </w:r>
      <w:r w:rsidRPr="00380510">
        <w:rPr>
          <w:rFonts w:ascii="Times" w:hAnsi="Times" w:cs="Times"/>
          <w:noProof/>
        </w:rPr>
        <w:fldChar w:fldCharType="separate"/>
      </w:r>
      <w:r w:rsidR="00623A5C">
        <w:rPr>
          <w:rFonts w:ascii="Times" w:hAnsi="Times" w:cs="Times"/>
          <w:noProof/>
        </w:rPr>
        <w:t>438</w:t>
      </w:r>
      <w:r w:rsidRPr="00380510">
        <w:rPr>
          <w:rFonts w:ascii="Times" w:hAnsi="Times" w:cs="Times"/>
          <w:noProof/>
        </w:rPr>
        <w:fldChar w:fldCharType="end"/>
      </w:r>
    </w:p>
    <w:p w:rsidR="00380510" w:rsidRDefault="00380510">
      <w:pPr>
        <w:pStyle w:val="TOC5"/>
        <w:rPr>
          <w:rFonts w:ascii="Calibri" w:hAnsi="Calibri"/>
          <w:iCs w:val="0"/>
          <w:noProof/>
          <w:kern w:val="0"/>
          <w:sz w:val="22"/>
          <w:szCs w:val="22"/>
        </w:rPr>
      </w:pPr>
      <w:r>
        <w:rPr>
          <w:noProof/>
        </w:rPr>
        <w:t>974</w:t>
      </w:r>
      <w:r>
        <w:rPr>
          <w:noProof/>
        </w:rPr>
        <w:noBreakHyphen/>
        <w:t>5</w:t>
      </w:r>
      <w:r>
        <w:rPr>
          <w:noProof/>
        </w:rPr>
        <w:tab/>
        <w:t>Overview of Division</w:t>
      </w:r>
      <w:r w:rsidRPr="00380510">
        <w:rPr>
          <w:rFonts w:ascii="Times" w:hAnsi="Times" w:cs="Times"/>
          <w:noProof/>
        </w:rPr>
        <w:tab/>
      </w:r>
      <w:r w:rsidRPr="00380510">
        <w:rPr>
          <w:rFonts w:ascii="Times" w:hAnsi="Times" w:cs="Times"/>
          <w:noProof/>
        </w:rPr>
        <w:fldChar w:fldCharType="begin"/>
      </w:r>
      <w:r w:rsidRPr="00380510">
        <w:rPr>
          <w:rFonts w:ascii="Times" w:hAnsi="Times" w:cs="Times"/>
          <w:noProof/>
        </w:rPr>
        <w:instrText xml:space="preserve"> PAGEREF _Toc338939652 \h </w:instrText>
      </w:r>
      <w:r w:rsidRPr="00380510">
        <w:rPr>
          <w:rFonts w:ascii="Times" w:hAnsi="Times" w:cs="Times"/>
          <w:noProof/>
        </w:rPr>
      </w:r>
      <w:r w:rsidRPr="00380510">
        <w:rPr>
          <w:rFonts w:ascii="Times" w:hAnsi="Times" w:cs="Times"/>
          <w:noProof/>
        </w:rPr>
        <w:fldChar w:fldCharType="separate"/>
      </w:r>
      <w:r w:rsidR="00623A5C">
        <w:rPr>
          <w:rFonts w:ascii="Times" w:hAnsi="Times" w:cs="Times"/>
          <w:noProof/>
        </w:rPr>
        <w:t>439</w:t>
      </w:r>
      <w:r w:rsidRPr="00380510">
        <w:rPr>
          <w:rFonts w:ascii="Times" w:hAnsi="Times" w:cs="Times"/>
          <w:noProof/>
        </w:rPr>
        <w:fldChar w:fldCharType="end"/>
      </w:r>
    </w:p>
    <w:p w:rsidR="00380510" w:rsidRDefault="00380510">
      <w:pPr>
        <w:pStyle w:val="TOC4"/>
        <w:rPr>
          <w:rFonts w:ascii="Calibri" w:hAnsi="Calibri"/>
          <w:b w:val="0"/>
          <w:noProof/>
          <w:kern w:val="0"/>
          <w:sz w:val="22"/>
          <w:szCs w:val="22"/>
        </w:rPr>
      </w:pPr>
      <w:r>
        <w:rPr>
          <w:noProof/>
        </w:rPr>
        <w:t>Operative provisions</w:t>
      </w:r>
      <w:r w:rsidRPr="00380510">
        <w:rPr>
          <w:rFonts w:ascii="Times" w:hAnsi="Times" w:cs="Times"/>
          <w:b w:val="0"/>
          <w:noProof/>
          <w:sz w:val="18"/>
        </w:rPr>
        <w:tab/>
      </w:r>
      <w:r w:rsidRPr="00380510">
        <w:rPr>
          <w:rFonts w:ascii="Times" w:hAnsi="Times" w:cs="Times"/>
          <w:b w:val="0"/>
          <w:noProof/>
          <w:sz w:val="18"/>
        </w:rPr>
        <w:fldChar w:fldCharType="begin"/>
      </w:r>
      <w:r w:rsidRPr="00380510">
        <w:rPr>
          <w:rFonts w:ascii="Times" w:hAnsi="Times" w:cs="Times"/>
          <w:b w:val="0"/>
          <w:noProof/>
          <w:sz w:val="18"/>
        </w:rPr>
        <w:instrText xml:space="preserve"> PAGEREF _Toc338939653 \h </w:instrText>
      </w:r>
      <w:r w:rsidRPr="00380510">
        <w:rPr>
          <w:rFonts w:ascii="Times" w:hAnsi="Times" w:cs="Times"/>
          <w:b w:val="0"/>
          <w:noProof/>
          <w:sz w:val="18"/>
        </w:rPr>
      </w:r>
      <w:r w:rsidRPr="00380510">
        <w:rPr>
          <w:rFonts w:ascii="Times" w:hAnsi="Times" w:cs="Times"/>
          <w:b w:val="0"/>
          <w:noProof/>
          <w:sz w:val="18"/>
        </w:rPr>
        <w:fldChar w:fldCharType="separate"/>
      </w:r>
      <w:r w:rsidR="00623A5C">
        <w:rPr>
          <w:rFonts w:ascii="Times" w:hAnsi="Times" w:cs="Times"/>
          <w:b w:val="0"/>
          <w:noProof/>
          <w:sz w:val="18"/>
        </w:rPr>
        <w:t>440</w:t>
      </w:r>
      <w:r w:rsidRPr="00380510">
        <w:rPr>
          <w:rFonts w:ascii="Times" w:hAnsi="Times" w:cs="Times"/>
          <w:b w:val="0"/>
          <w:noProof/>
          <w:sz w:val="18"/>
        </w:rPr>
        <w:fldChar w:fldCharType="end"/>
      </w:r>
    </w:p>
    <w:p w:rsidR="00380510" w:rsidRDefault="00380510">
      <w:pPr>
        <w:pStyle w:val="TOC5"/>
        <w:rPr>
          <w:rFonts w:ascii="Calibri" w:hAnsi="Calibri"/>
          <w:iCs w:val="0"/>
          <w:noProof/>
          <w:kern w:val="0"/>
          <w:sz w:val="22"/>
          <w:szCs w:val="22"/>
        </w:rPr>
      </w:pPr>
      <w:r>
        <w:rPr>
          <w:noProof/>
        </w:rPr>
        <w:t>974</w:t>
      </w:r>
      <w:r>
        <w:rPr>
          <w:noProof/>
        </w:rPr>
        <w:noBreakHyphen/>
        <w:t>10</w:t>
      </w:r>
      <w:r>
        <w:rPr>
          <w:noProof/>
        </w:rPr>
        <w:tab/>
        <w:t>Object</w:t>
      </w:r>
      <w:r w:rsidRPr="00380510">
        <w:rPr>
          <w:rFonts w:ascii="Times" w:hAnsi="Times" w:cs="Times"/>
          <w:noProof/>
        </w:rPr>
        <w:tab/>
      </w:r>
      <w:r w:rsidRPr="00380510">
        <w:rPr>
          <w:rFonts w:ascii="Times" w:hAnsi="Times" w:cs="Times"/>
          <w:noProof/>
        </w:rPr>
        <w:fldChar w:fldCharType="begin"/>
      </w:r>
      <w:r w:rsidRPr="00380510">
        <w:rPr>
          <w:rFonts w:ascii="Times" w:hAnsi="Times" w:cs="Times"/>
          <w:noProof/>
        </w:rPr>
        <w:instrText xml:space="preserve"> PAGEREF _Toc338939654 \h </w:instrText>
      </w:r>
      <w:r w:rsidRPr="00380510">
        <w:rPr>
          <w:rFonts w:ascii="Times" w:hAnsi="Times" w:cs="Times"/>
          <w:noProof/>
        </w:rPr>
      </w:r>
      <w:r w:rsidRPr="00380510">
        <w:rPr>
          <w:rFonts w:ascii="Times" w:hAnsi="Times" w:cs="Times"/>
          <w:noProof/>
        </w:rPr>
        <w:fldChar w:fldCharType="separate"/>
      </w:r>
      <w:r w:rsidR="00623A5C">
        <w:rPr>
          <w:rFonts w:ascii="Times" w:hAnsi="Times" w:cs="Times"/>
          <w:noProof/>
        </w:rPr>
        <w:t>440</w:t>
      </w:r>
      <w:r w:rsidRPr="00380510">
        <w:rPr>
          <w:rFonts w:ascii="Times" w:hAnsi="Times" w:cs="Times"/>
          <w:noProof/>
        </w:rPr>
        <w:fldChar w:fldCharType="end"/>
      </w:r>
    </w:p>
    <w:p w:rsidR="00380510" w:rsidRDefault="00380510">
      <w:pPr>
        <w:pStyle w:val="TOC4"/>
        <w:rPr>
          <w:rFonts w:ascii="Calibri" w:hAnsi="Calibri"/>
          <w:b w:val="0"/>
          <w:noProof/>
          <w:kern w:val="0"/>
          <w:sz w:val="22"/>
          <w:szCs w:val="22"/>
        </w:rPr>
      </w:pPr>
      <w:r>
        <w:rPr>
          <w:noProof/>
        </w:rPr>
        <w:t>Subdivision 974</w:t>
      </w:r>
      <w:r>
        <w:rPr>
          <w:noProof/>
        </w:rPr>
        <w:noBreakHyphen/>
        <w:t>B—Debt interests</w:t>
      </w:r>
      <w:r w:rsidRPr="00380510">
        <w:rPr>
          <w:rFonts w:ascii="Times" w:hAnsi="Times" w:cs="Times"/>
          <w:b w:val="0"/>
          <w:noProof/>
          <w:sz w:val="18"/>
        </w:rPr>
        <w:tab/>
      </w:r>
      <w:r w:rsidRPr="00380510">
        <w:rPr>
          <w:rFonts w:ascii="Times" w:hAnsi="Times" w:cs="Times"/>
          <w:b w:val="0"/>
          <w:noProof/>
          <w:sz w:val="18"/>
        </w:rPr>
        <w:fldChar w:fldCharType="begin"/>
      </w:r>
      <w:r w:rsidRPr="00380510">
        <w:rPr>
          <w:rFonts w:ascii="Times" w:hAnsi="Times" w:cs="Times"/>
          <w:b w:val="0"/>
          <w:noProof/>
          <w:sz w:val="18"/>
        </w:rPr>
        <w:instrText xml:space="preserve"> PAGEREF _Toc338939655 \h </w:instrText>
      </w:r>
      <w:r w:rsidRPr="00380510">
        <w:rPr>
          <w:rFonts w:ascii="Times" w:hAnsi="Times" w:cs="Times"/>
          <w:b w:val="0"/>
          <w:noProof/>
          <w:sz w:val="18"/>
        </w:rPr>
      </w:r>
      <w:r w:rsidRPr="00380510">
        <w:rPr>
          <w:rFonts w:ascii="Times" w:hAnsi="Times" w:cs="Times"/>
          <w:b w:val="0"/>
          <w:noProof/>
          <w:sz w:val="18"/>
        </w:rPr>
        <w:fldChar w:fldCharType="separate"/>
      </w:r>
      <w:r w:rsidR="00623A5C">
        <w:rPr>
          <w:rFonts w:ascii="Times" w:hAnsi="Times" w:cs="Times"/>
          <w:b w:val="0"/>
          <w:noProof/>
          <w:sz w:val="18"/>
        </w:rPr>
        <w:t>442</w:t>
      </w:r>
      <w:r w:rsidRPr="00380510">
        <w:rPr>
          <w:rFonts w:ascii="Times" w:hAnsi="Times" w:cs="Times"/>
          <w:b w:val="0"/>
          <w:noProof/>
          <w:sz w:val="18"/>
        </w:rPr>
        <w:fldChar w:fldCharType="end"/>
      </w:r>
    </w:p>
    <w:p w:rsidR="00380510" w:rsidRDefault="00380510">
      <w:pPr>
        <w:pStyle w:val="TOC5"/>
        <w:rPr>
          <w:rFonts w:ascii="Calibri" w:hAnsi="Calibri"/>
          <w:iCs w:val="0"/>
          <w:noProof/>
          <w:kern w:val="0"/>
          <w:sz w:val="22"/>
          <w:szCs w:val="22"/>
        </w:rPr>
      </w:pPr>
      <w:r>
        <w:rPr>
          <w:noProof/>
        </w:rPr>
        <w:t>974</w:t>
      </w:r>
      <w:r>
        <w:rPr>
          <w:noProof/>
        </w:rPr>
        <w:noBreakHyphen/>
        <w:t>15</w:t>
      </w:r>
      <w:r>
        <w:rPr>
          <w:noProof/>
        </w:rPr>
        <w:tab/>
        <w:t xml:space="preserve">Meaning of </w:t>
      </w:r>
      <w:r w:rsidRPr="008A0EAA">
        <w:rPr>
          <w:i/>
          <w:noProof/>
        </w:rPr>
        <w:t>debt interest</w:t>
      </w:r>
      <w:r w:rsidRPr="00380510">
        <w:rPr>
          <w:rFonts w:ascii="Times" w:hAnsi="Times" w:cs="Times"/>
          <w:noProof/>
        </w:rPr>
        <w:tab/>
      </w:r>
      <w:r w:rsidRPr="00380510">
        <w:rPr>
          <w:rFonts w:ascii="Times" w:hAnsi="Times" w:cs="Times"/>
          <w:noProof/>
        </w:rPr>
        <w:fldChar w:fldCharType="begin"/>
      </w:r>
      <w:r w:rsidRPr="00380510">
        <w:rPr>
          <w:rFonts w:ascii="Times" w:hAnsi="Times" w:cs="Times"/>
          <w:noProof/>
        </w:rPr>
        <w:instrText xml:space="preserve"> PAGEREF _Toc338939656 \h </w:instrText>
      </w:r>
      <w:r w:rsidRPr="00380510">
        <w:rPr>
          <w:rFonts w:ascii="Times" w:hAnsi="Times" w:cs="Times"/>
          <w:noProof/>
        </w:rPr>
      </w:r>
      <w:r w:rsidRPr="00380510">
        <w:rPr>
          <w:rFonts w:ascii="Times" w:hAnsi="Times" w:cs="Times"/>
          <w:noProof/>
        </w:rPr>
        <w:fldChar w:fldCharType="separate"/>
      </w:r>
      <w:r w:rsidR="00623A5C">
        <w:rPr>
          <w:rFonts w:ascii="Times" w:hAnsi="Times" w:cs="Times"/>
          <w:noProof/>
        </w:rPr>
        <w:t>443</w:t>
      </w:r>
      <w:r w:rsidRPr="00380510">
        <w:rPr>
          <w:rFonts w:ascii="Times" w:hAnsi="Times" w:cs="Times"/>
          <w:noProof/>
        </w:rPr>
        <w:fldChar w:fldCharType="end"/>
      </w:r>
    </w:p>
    <w:p w:rsidR="00380510" w:rsidRDefault="00380510">
      <w:pPr>
        <w:pStyle w:val="TOC5"/>
        <w:rPr>
          <w:rFonts w:ascii="Calibri" w:hAnsi="Calibri"/>
          <w:iCs w:val="0"/>
          <w:noProof/>
          <w:kern w:val="0"/>
          <w:sz w:val="22"/>
          <w:szCs w:val="22"/>
        </w:rPr>
      </w:pPr>
      <w:r>
        <w:rPr>
          <w:noProof/>
        </w:rPr>
        <w:t>974</w:t>
      </w:r>
      <w:r>
        <w:rPr>
          <w:noProof/>
        </w:rPr>
        <w:noBreakHyphen/>
        <w:t>20</w:t>
      </w:r>
      <w:r>
        <w:rPr>
          <w:noProof/>
        </w:rPr>
        <w:tab/>
        <w:t>The test for a debt interest</w:t>
      </w:r>
      <w:r w:rsidRPr="00380510">
        <w:rPr>
          <w:rFonts w:ascii="Times" w:hAnsi="Times" w:cs="Times"/>
          <w:noProof/>
        </w:rPr>
        <w:tab/>
      </w:r>
      <w:r w:rsidRPr="00380510">
        <w:rPr>
          <w:rFonts w:ascii="Times" w:hAnsi="Times" w:cs="Times"/>
          <w:noProof/>
        </w:rPr>
        <w:fldChar w:fldCharType="begin"/>
      </w:r>
      <w:r w:rsidRPr="00380510">
        <w:rPr>
          <w:rFonts w:ascii="Times" w:hAnsi="Times" w:cs="Times"/>
          <w:noProof/>
        </w:rPr>
        <w:instrText xml:space="preserve"> PAGEREF _Toc338939657 \h </w:instrText>
      </w:r>
      <w:r w:rsidRPr="00380510">
        <w:rPr>
          <w:rFonts w:ascii="Times" w:hAnsi="Times" w:cs="Times"/>
          <w:noProof/>
        </w:rPr>
      </w:r>
      <w:r w:rsidRPr="00380510">
        <w:rPr>
          <w:rFonts w:ascii="Times" w:hAnsi="Times" w:cs="Times"/>
          <w:noProof/>
        </w:rPr>
        <w:fldChar w:fldCharType="separate"/>
      </w:r>
      <w:r w:rsidR="00623A5C">
        <w:rPr>
          <w:rFonts w:ascii="Times" w:hAnsi="Times" w:cs="Times"/>
          <w:noProof/>
        </w:rPr>
        <w:t>445</w:t>
      </w:r>
      <w:r w:rsidRPr="00380510">
        <w:rPr>
          <w:rFonts w:ascii="Times" w:hAnsi="Times" w:cs="Times"/>
          <w:noProof/>
        </w:rPr>
        <w:fldChar w:fldCharType="end"/>
      </w:r>
    </w:p>
    <w:p w:rsidR="00380510" w:rsidRDefault="00380510">
      <w:pPr>
        <w:pStyle w:val="TOC5"/>
        <w:rPr>
          <w:rFonts w:ascii="Calibri" w:hAnsi="Calibri"/>
          <w:iCs w:val="0"/>
          <w:noProof/>
          <w:kern w:val="0"/>
          <w:sz w:val="22"/>
          <w:szCs w:val="22"/>
        </w:rPr>
      </w:pPr>
      <w:r>
        <w:rPr>
          <w:noProof/>
        </w:rPr>
        <w:t>974</w:t>
      </w:r>
      <w:r>
        <w:rPr>
          <w:noProof/>
        </w:rPr>
        <w:noBreakHyphen/>
        <w:t>25</w:t>
      </w:r>
      <w:r>
        <w:rPr>
          <w:noProof/>
        </w:rPr>
        <w:tab/>
        <w:t>Exceptions to the debt test</w:t>
      </w:r>
      <w:r w:rsidRPr="00380510">
        <w:rPr>
          <w:rFonts w:ascii="Times" w:hAnsi="Times" w:cs="Times"/>
          <w:noProof/>
        </w:rPr>
        <w:tab/>
      </w:r>
      <w:r w:rsidRPr="00380510">
        <w:rPr>
          <w:rFonts w:ascii="Times" w:hAnsi="Times" w:cs="Times"/>
          <w:noProof/>
        </w:rPr>
        <w:fldChar w:fldCharType="begin"/>
      </w:r>
      <w:r w:rsidRPr="00380510">
        <w:rPr>
          <w:rFonts w:ascii="Times" w:hAnsi="Times" w:cs="Times"/>
          <w:noProof/>
        </w:rPr>
        <w:instrText xml:space="preserve"> PAGEREF _Toc338939658 \h </w:instrText>
      </w:r>
      <w:r w:rsidRPr="00380510">
        <w:rPr>
          <w:rFonts w:ascii="Times" w:hAnsi="Times" w:cs="Times"/>
          <w:noProof/>
        </w:rPr>
      </w:r>
      <w:r w:rsidRPr="00380510">
        <w:rPr>
          <w:rFonts w:ascii="Times" w:hAnsi="Times" w:cs="Times"/>
          <w:noProof/>
        </w:rPr>
        <w:fldChar w:fldCharType="separate"/>
      </w:r>
      <w:r w:rsidR="00623A5C">
        <w:rPr>
          <w:rFonts w:ascii="Times" w:hAnsi="Times" w:cs="Times"/>
          <w:noProof/>
        </w:rPr>
        <w:t>446</w:t>
      </w:r>
      <w:r w:rsidRPr="00380510">
        <w:rPr>
          <w:rFonts w:ascii="Times" w:hAnsi="Times" w:cs="Times"/>
          <w:noProof/>
        </w:rPr>
        <w:fldChar w:fldCharType="end"/>
      </w:r>
    </w:p>
    <w:p w:rsidR="00380510" w:rsidRDefault="00380510">
      <w:pPr>
        <w:pStyle w:val="TOC5"/>
        <w:rPr>
          <w:rFonts w:ascii="Calibri" w:hAnsi="Calibri"/>
          <w:iCs w:val="0"/>
          <w:noProof/>
          <w:kern w:val="0"/>
          <w:sz w:val="22"/>
          <w:szCs w:val="22"/>
        </w:rPr>
      </w:pPr>
      <w:r>
        <w:rPr>
          <w:noProof/>
        </w:rPr>
        <w:t>974</w:t>
      </w:r>
      <w:r>
        <w:rPr>
          <w:noProof/>
        </w:rPr>
        <w:noBreakHyphen/>
        <w:t>30</w:t>
      </w:r>
      <w:r>
        <w:rPr>
          <w:noProof/>
        </w:rPr>
        <w:tab/>
        <w:t>Providing a financial benefit</w:t>
      </w:r>
      <w:r w:rsidRPr="00380510">
        <w:rPr>
          <w:rFonts w:ascii="Times" w:hAnsi="Times" w:cs="Times"/>
          <w:noProof/>
        </w:rPr>
        <w:tab/>
      </w:r>
      <w:r w:rsidRPr="00380510">
        <w:rPr>
          <w:rFonts w:ascii="Times" w:hAnsi="Times" w:cs="Times"/>
          <w:noProof/>
        </w:rPr>
        <w:fldChar w:fldCharType="begin"/>
      </w:r>
      <w:r w:rsidRPr="00380510">
        <w:rPr>
          <w:rFonts w:ascii="Times" w:hAnsi="Times" w:cs="Times"/>
          <w:noProof/>
        </w:rPr>
        <w:instrText xml:space="preserve"> PAGEREF _Toc338939659 \h </w:instrText>
      </w:r>
      <w:r w:rsidRPr="00380510">
        <w:rPr>
          <w:rFonts w:ascii="Times" w:hAnsi="Times" w:cs="Times"/>
          <w:noProof/>
        </w:rPr>
      </w:r>
      <w:r w:rsidRPr="00380510">
        <w:rPr>
          <w:rFonts w:ascii="Times" w:hAnsi="Times" w:cs="Times"/>
          <w:noProof/>
        </w:rPr>
        <w:fldChar w:fldCharType="separate"/>
      </w:r>
      <w:r w:rsidR="00623A5C">
        <w:rPr>
          <w:rFonts w:ascii="Times" w:hAnsi="Times" w:cs="Times"/>
          <w:noProof/>
        </w:rPr>
        <w:t>447</w:t>
      </w:r>
      <w:r w:rsidRPr="00380510">
        <w:rPr>
          <w:rFonts w:ascii="Times" w:hAnsi="Times" w:cs="Times"/>
          <w:noProof/>
        </w:rPr>
        <w:fldChar w:fldCharType="end"/>
      </w:r>
    </w:p>
    <w:p w:rsidR="00380510" w:rsidRDefault="00380510">
      <w:pPr>
        <w:pStyle w:val="TOC5"/>
        <w:rPr>
          <w:rFonts w:ascii="Calibri" w:hAnsi="Calibri"/>
          <w:iCs w:val="0"/>
          <w:noProof/>
          <w:kern w:val="0"/>
          <w:sz w:val="22"/>
          <w:szCs w:val="22"/>
        </w:rPr>
      </w:pPr>
      <w:r>
        <w:rPr>
          <w:noProof/>
        </w:rPr>
        <w:t>974</w:t>
      </w:r>
      <w:r>
        <w:rPr>
          <w:noProof/>
        </w:rPr>
        <w:noBreakHyphen/>
        <w:t>35</w:t>
      </w:r>
      <w:r>
        <w:rPr>
          <w:noProof/>
        </w:rPr>
        <w:tab/>
        <w:t>Valuation of financial benefits—general rules</w:t>
      </w:r>
      <w:r w:rsidRPr="00380510">
        <w:rPr>
          <w:rFonts w:ascii="Times" w:hAnsi="Times" w:cs="Times"/>
          <w:noProof/>
        </w:rPr>
        <w:tab/>
      </w:r>
      <w:r w:rsidRPr="00380510">
        <w:rPr>
          <w:rFonts w:ascii="Times" w:hAnsi="Times" w:cs="Times"/>
          <w:noProof/>
        </w:rPr>
        <w:fldChar w:fldCharType="begin"/>
      </w:r>
      <w:r w:rsidRPr="00380510">
        <w:rPr>
          <w:rFonts w:ascii="Times" w:hAnsi="Times" w:cs="Times"/>
          <w:noProof/>
        </w:rPr>
        <w:instrText xml:space="preserve"> PAGEREF _Toc338939660 \h </w:instrText>
      </w:r>
      <w:r w:rsidRPr="00380510">
        <w:rPr>
          <w:rFonts w:ascii="Times" w:hAnsi="Times" w:cs="Times"/>
          <w:noProof/>
        </w:rPr>
      </w:r>
      <w:r w:rsidRPr="00380510">
        <w:rPr>
          <w:rFonts w:ascii="Times" w:hAnsi="Times" w:cs="Times"/>
          <w:noProof/>
        </w:rPr>
        <w:fldChar w:fldCharType="separate"/>
      </w:r>
      <w:r w:rsidR="00623A5C">
        <w:rPr>
          <w:rFonts w:ascii="Times" w:hAnsi="Times" w:cs="Times"/>
          <w:noProof/>
        </w:rPr>
        <w:t>448</w:t>
      </w:r>
      <w:r w:rsidRPr="00380510">
        <w:rPr>
          <w:rFonts w:ascii="Times" w:hAnsi="Times" w:cs="Times"/>
          <w:noProof/>
        </w:rPr>
        <w:fldChar w:fldCharType="end"/>
      </w:r>
    </w:p>
    <w:p w:rsidR="00380510" w:rsidRDefault="00380510">
      <w:pPr>
        <w:pStyle w:val="TOC5"/>
        <w:rPr>
          <w:rFonts w:ascii="Calibri" w:hAnsi="Calibri"/>
          <w:iCs w:val="0"/>
          <w:noProof/>
          <w:kern w:val="0"/>
          <w:sz w:val="22"/>
          <w:szCs w:val="22"/>
        </w:rPr>
      </w:pPr>
      <w:r>
        <w:rPr>
          <w:noProof/>
        </w:rPr>
        <w:t>974</w:t>
      </w:r>
      <w:r>
        <w:rPr>
          <w:noProof/>
        </w:rPr>
        <w:noBreakHyphen/>
        <w:t>40</w:t>
      </w:r>
      <w:r>
        <w:rPr>
          <w:noProof/>
        </w:rPr>
        <w:tab/>
        <w:t>Valuation of financial benefits—rights and options to terminate early</w:t>
      </w:r>
      <w:r w:rsidRPr="00380510">
        <w:rPr>
          <w:rFonts w:ascii="Times" w:hAnsi="Times" w:cs="Times"/>
          <w:noProof/>
        </w:rPr>
        <w:tab/>
      </w:r>
      <w:r w:rsidRPr="00380510">
        <w:rPr>
          <w:rFonts w:ascii="Times" w:hAnsi="Times" w:cs="Times"/>
          <w:noProof/>
        </w:rPr>
        <w:fldChar w:fldCharType="begin"/>
      </w:r>
      <w:r w:rsidRPr="00380510">
        <w:rPr>
          <w:rFonts w:ascii="Times" w:hAnsi="Times" w:cs="Times"/>
          <w:noProof/>
        </w:rPr>
        <w:instrText xml:space="preserve"> PAGEREF _Toc338939661 \h </w:instrText>
      </w:r>
      <w:r w:rsidRPr="00380510">
        <w:rPr>
          <w:rFonts w:ascii="Times" w:hAnsi="Times" w:cs="Times"/>
          <w:noProof/>
        </w:rPr>
      </w:r>
      <w:r w:rsidRPr="00380510">
        <w:rPr>
          <w:rFonts w:ascii="Times" w:hAnsi="Times" w:cs="Times"/>
          <w:noProof/>
        </w:rPr>
        <w:fldChar w:fldCharType="separate"/>
      </w:r>
      <w:r w:rsidR="00623A5C">
        <w:rPr>
          <w:rFonts w:ascii="Times" w:hAnsi="Times" w:cs="Times"/>
          <w:noProof/>
        </w:rPr>
        <w:t>450</w:t>
      </w:r>
      <w:r w:rsidRPr="00380510">
        <w:rPr>
          <w:rFonts w:ascii="Times" w:hAnsi="Times" w:cs="Times"/>
          <w:noProof/>
        </w:rPr>
        <w:fldChar w:fldCharType="end"/>
      </w:r>
    </w:p>
    <w:p w:rsidR="00380510" w:rsidRDefault="00380510">
      <w:pPr>
        <w:pStyle w:val="TOC5"/>
        <w:rPr>
          <w:rFonts w:ascii="Calibri" w:hAnsi="Calibri"/>
          <w:iCs w:val="0"/>
          <w:noProof/>
          <w:kern w:val="0"/>
          <w:sz w:val="22"/>
          <w:szCs w:val="22"/>
        </w:rPr>
      </w:pPr>
      <w:r>
        <w:rPr>
          <w:noProof/>
        </w:rPr>
        <w:t>974</w:t>
      </w:r>
      <w:r>
        <w:rPr>
          <w:noProof/>
        </w:rPr>
        <w:noBreakHyphen/>
        <w:t>45</w:t>
      </w:r>
      <w:r>
        <w:rPr>
          <w:noProof/>
        </w:rPr>
        <w:tab/>
        <w:t>Valuation of financial benefits—convertible interests</w:t>
      </w:r>
      <w:r w:rsidRPr="00380510">
        <w:rPr>
          <w:rFonts w:ascii="Times" w:hAnsi="Times" w:cs="Times"/>
          <w:noProof/>
        </w:rPr>
        <w:tab/>
      </w:r>
      <w:r w:rsidRPr="00380510">
        <w:rPr>
          <w:rFonts w:ascii="Times" w:hAnsi="Times" w:cs="Times"/>
          <w:noProof/>
        </w:rPr>
        <w:fldChar w:fldCharType="begin"/>
      </w:r>
      <w:r w:rsidRPr="00380510">
        <w:rPr>
          <w:rFonts w:ascii="Times" w:hAnsi="Times" w:cs="Times"/>
          <w:noProof/>
        </w:rPr>
        <w:instrText xml:space="preserve"> PAGEREF _Toc338939662 \h </w:instrText>
      </w:r>
      <w:r w:rsidRPr="00380510">
        <w:rPr>
          <w:rFonts w:ascii="Times" w:hAnsi="Times" w:cs="Times"/>
          <w:noProof/>
        </w:rPr>
      </w:r>
      <w:r w:rsidRPr="00380510">
        <w:rPr>
          <w:rFonts w:ascii="Times" w:hAnsi="Times" w:cs="Times"/>
          <w:noProof/>
        </w:rPr>
        <w:fldChar w:fldCharType="separate"/>
      </w:r>
      <w:r w:rsidR="00623A5C">
        <w:rPr>
          <w:rFonts w:ascii="Times" w:hAnsi="Times" w:cs="Times"/>
          <w:noProof/>
        </w:rPr>
        <w:t>451</w:t>
      </w:r>
      <w:r w:rsidRPr="00380510">
        <w:rPr>
          <w:rFonts w:ascii="Times" w:hAnsi="Times" w:cs="Times"/>
          <w:noProof/>
        </w:rPr>
        <w:fldChar w:fldCharType="end"/>
      </w:r>
    </w:p>
    <w:p w:rsidR="00380510" w:rsidRDefault="00380510">
      <w:pPr>
        <w:pStyle w:val="TOC5"/>
        <w:rPr>
          <w:rFonts w:ascii="Calibri" w:hAnsi="Calibri"/>
          <w:iCs w:val="0"/>
          <w:noProof/>
          <w:kern w:val="0"/>
          <w:sz w:val="22"/>
          <w:szCs w:val="22"/>
        </w:rPr>
      </w:pPr>
      <w:r>
        <w:rPr>
          <w:noProof/>
        </w:rPr>
        <w:t>974</w:t>
      </w:r>
      <w:r>
        <w:rPr>
          <w:noProof/>
        </w:rPr>
        <w:noBreakHyphen/>
        <w:t>50</w:t>
      </w:r>
      <w:r>
        <w:rPr>
          <w:noProof/>
        </w:rPr>
        <w:tab/>
        <w:t>Valuation of financial benefits—value in present value terms</w:t>
      </w:r>
      <w:r w:rsidRPr="00380510">
        <w:rPr>
          <w:rFonts w:ascii="Times" w:hAnsi="Times" w:cs="Times"/>
          <w:noProof/>
        </w:rPr>
        <w:tab/>
      </w:r>
      <w:r w:rsidRPr="00380510">
        <w:rPr>
          <w:rFonts w:ascii="Times" w:hAnsi="Times" w:cs="Times"/>
          <w:noProof/>
        </w:rPr>
        <w:fldChar w:fldCharType="begin"/>
      </w:r>
      <w:r w:rsidRPr="00380510">
        <w:rPr>
          <w:rFonts w:ascii="Times" w:hAnsi="Times" w:cs="Times"/>
          <w:noProof/>
        </w:rPr>
        <w:instrText xml:space="preserve"> PAGEREF _Toc338939663 \h </w:instrText>
      </w:r>
      <w:r w:rsidRPr="00380510">
        <w:rPr>
          <w:rFonts w:ascii="Times" w:hAnsi="Times" w:cs="Times"/>
          <w:noProof/>
        </w:rPr>
      </w:r>
      <w:r w:rsidRPr="00380510">
        <w:rPr>
          <w:rFonts w:ascii="Times" w:hAnsi="Times" w:cs="Times"/>
          <w:noProof/>
        </w:rPr>
        <w:fldChar w:fldCharType="separate"/>
      </w:r>
      <w:r w:rsidR="00623A5C">
        <w:rPr>
          <w:rFonts w:ascii="Times" w:hAnsi="Times" w:cs="Times"/>
          <w:noProof/>
        </w:rPr>
        <w:t>451</w:t>
      </w:r>
      <w:r w:rsidRPr="00380510">
        <w:rPr>
          <w:rFonts w:ascii="Times" w:hAnsi="Times" w:cs="Times"/>
          <w:noProof/>
        </w:rPr>
        <w:fldChar w:fldCharType="end"/>
      </w:r>
    </w:p>
    <w:p w:rsidR="00380510" w:rsidRDefault="00380510">
      <w:pPr>
        <w:pStyle w:val="TOC5"/>
        <w:rPr>
          <w:rFonts w:ascii="Calibri" w:hAnsi="Calibri"/>
          <w:iCs w:val="0"/>
          <w:noProof/>
          <w:kern w:val="0"/>
          <w:sz w:val="22"/>
          <w:szCs w:val="22"/>
        </w:rPr>
      </w:pPr>
      <w:r>
        <w:rPr>
          <w:noProof/>
        </w:rPr>
        <w:t>974</w:t>
      </w:r>
      <w:r>
        <w:rPr>
          <w:noProof/>
        </w:rPr>
        <w:noBreakHyphen/>
        <w:t>55</w:t>
      </w:r>
      <w:r>
        <w:rPr>
          <w:noProof/>
        </w:rPr>
        <w:tab/>
        <w:t>The debt interest and its issue</w:t>
      </w:r>
      <w:r w:rsidRPr="00380510">
        <w:rPr>
          <w:rFonts w:ascii="Times" w:hAnsi="Times" w:cs="Times"/>
          <w:noProof/>
        </w:rPr>
        <w:tab/>
      </w:r>
      <w:r w:rsidRPr="00380510">
        <w:rPr>
          <w:rFonts w:ascii="Times" w:hAnsi="Times" w:cs="Times"/>
          <w:noProof/>
        </w:rPr>
        <w:fldChar w:fldCharType="begin"/>
      </w:r>
      <w:r w:rsidRPr="00380510">
        <w:rPr>
          <w:rFonts w:ascii="Times" w:hAnsi="Times" w:cs="Times"/>
          <w:noProof/>
        </w:rPr>
        <w:instrText xml:space="preserve"> PAGEREF _Toc338939664 \h </w:instrText>
      </w:r>
      <w:r w:rsidRPr="00380510">
        <w:rPr>
          <w:rFonts w:ascii="Times" w:hAnsi="Times" w:cs="Times"/>
          <w:noProof/>
        </w:rPr>
      </w:r>
      <w:r w:rsidRPr="00380510">
        <w:rPr>
          <w:rFonts w:ascii="Times" w:hAnsi="Times" w:cs="Times"/>
          <w:noProof/>
        </w:rPr>
        <w:fldChar w:fldCharType="separate"/>
      </w:r>
      <w:r w:rsidR="00623A5C">
        <w:rPr>
          <w:rFonts w:ascii="Times" w:hAnsi="Times" w:cs="Times"/>
          <w:noProof/>
        </w:rPr>
        <w:t>452</w:t>
      </w:r>
      <w:r w:rsidRPr="00380510">
        <w:rPr>
          <w:rFonts w:ascii="Times" w:hAnsi="Times" w:cs="Times"/>
          <w:noProof/>
        </w:rPr>
        <w:fldChar w:fldCharType="end"/>
      </w:r>
    </w:p>
    <w:p w:rsidR="00380510" w:rsidRDefault="00380510">
      <w:pPr>
        <w:pStyle w:val="TOC5"/>
        <w:rPr>
          <w:rFonts w:ascii="Calibri" w:hAnsi="Calibri"/>
          <w:iCs w:val="0"/>
          <w:noProof/>
          <w:kern w:val="0"/>
          <w:sz w:val="22"/>
          <w:szCs w:val="22"/>
        </w:rPr>
      </w:pPr>
      <w:r>
        <w:rPr>
          <w:noProof/>
        </w:rPr>
        <w:t>974</w:t>
      </w:r>
      <w:r>
        <w:rPr>
          <w:noProof/>
        </w:rPr>
        <w:noBreakHyphen/>
        <w:t>60</w:t>
      </w:r>
      <w:r>
        <w:rPr>
          <w:noProof/>
        </w:rPr>
        <w:tab/>
        <w:t>Debt interest arising out of obligations owed by a number of entities</w:t>
      </w:r>
      <w:r w:rsidRPr="00380510">
        <w:rPr>
          <w:rFonts w:ascii="Times" w:hAnsi="Times" w:cs="Times"/>
          <w:noProof/>
        </w:rPr>
        <w:tab/>
      </w:r>
      <w:r w:rsidRPr="00380510">
        <w:rPr>
          <w:rFonts w:ascii="Times" w:hAnsi="Times" w:cs="Times"/>
          <w:noProof/>
        </w:rPr>
        <w:fldChar w:fldCharType="begin"/>
      </w:r>
      <w:r w:rsidRPr="00380510">
        <w:rPr>
          <w:rFonts w:ascii="Times" w:hAnsi="Times" w:cs="Times"/>
          <w:noProof/>
        </w:rPr>
        <w:instrText xml:space="preserve"> PAGEREF _Toc338939665 \h </w:instrText>
      </w:r>
      <w:r w:rsidRPr="00380510">
        <w:rPr>
          <w:rFonts w:ascii="Times" w:hAnsi="Times" w:cs="Times"/>
          <w:noProof/>
        </w:rPr>
      </w:r>
      <w:r w:rsidRPr="00380510">
        <w:rPr>
          <w:rFonts w:ascii="Times" w:hAnsi="Times" w:cs="Times"/>
          <w:noProof/>
        </w:rPr>
        <w:fldChar w:fldCharType="separate"/>
      </w:r>
      <w:r w:rsidR="00623A5C">
        <w:rPr>
          <w:rFonts w:ascii="Times" w:hAnsi="Times" w:cs="Times"/>
          <w:noProof/>
        </w:rPr>
        <w:t>453</w:t>
      </w:r>
      <w:r w:rsidRPr="00380510">
        <w:rPr>
          <w:rFonts w:ascii="Times" w:hAnsi="Times" w:cs="Times"/>
          <w:noProof/>
        </w:rPr>
        <w:fldChar w:fldCharType="end"/>
      </w:r>
    </w:p>
    <w:p w:rsidR="00380510" w:rsidRDefault="00380510">
      <w:pPr>
        <w:pStyle w:val="TOC5"/>
        <w:rPr>
          <w:rFonts w:ascii="Calibri" w:hAnsi="Calibri"/>
          <w:iCs w:val="0"/>
          <w:noProof/>
          <w:kern w:val="0"/>
          <w:sz w:val="22"/>
          <w:szCs w:val="22"/>
        </w:rPr>
      </w:pPr>
      <w:r>
        <w:rPr>
          <w:noProof/>
        </w:rPr>
        <w:t>974</w:t>
      </w:r>
      <w:r>
        <w:rPr>
          <w:noProof/>
        </w:rPr>
        <w:noBreakHyphen/>
        <w:t>65</w:t>
      </w:r>
      <w:r>
        <w:rPr>
          <w:noProof/>
        </w:rPr>
        <w:tab/>
        <w:t>Commissioner’s power</w:t>
      </w:r>
      <w:r w:rsidRPr="00380510">
        <w:rPr>
          <w:rFonts w:ascii="Times" w:hAnsi="Times" w:cs="Times"/>
          <w:noProof/>
        </w:rPr>
        <w:tab/>
      </w:r>
      <w:r w:rsidRPr="00380510">
        <w:rPr>
          <w:rFonts w:ascii="Times" w:hAnsi="Times" w:cs="Times"/>
          <w:noProof/>
        </w:rPr>
        <w:fldChar w:fldCharType="begin"/>
      </w:r>
      <w:r w:rsidRPr="00380510">
        <w:rPr>
          <w:rFonts w:ascii="Times" w:hAnsi="Times" w:cs="Times"/>
          <w:noProof/>
        </w:rPr>
        <w:instrText xml:space="preserve"> PAGEREF _Toc338939666 \h </w:instrText>
      </w:r>
      <w:r w:rsidRPr="00380510">
        <w:rPr>
          <w:rFonts w:ascii="Times" w:hAnsi="Times" w:cs="Times"/>
          <w:noProof/>
        </w:rPr>
      </w:r>
      <w:r w:rsidRPr="00380510">
        <w:rPr>
          <w:rFonts w:ascii="Times" w:hAnsi="Times" w:cs="Times"/>
          <w:noProof/>
        </w:rPr>
        <w:fldChar w:fldCharType="separate"/>
      </w:r>
      <w:r w:rsidR="00623A5C">
        <w:rPr>
          <w:rFonts w:ascii="Times" w:hAnsi="Times" w:cs="Times"/>
          <w:noProof/>
        </w:rPr>
        <w:t>454</w:t>
      </w:r>
      <w:r w:rsidRPr="00380510">
        <w:rPr>
          <w:rFonts w:ascii="Times" w:hAnsi="Times" w:cs="Times"/>
          <w:noProof/>
        </w:rPr>
        <w:fldChar w:fldCharType="end"/>
      </w:r>
    </w:p>
    <w:p w:rsidR="00380510" w:rsidRDefault="00380510">
      <w:pPr>
        <w:pStyle w:val="TOC4"/>
        <w:rPr>
          <w:rFonts w:ascii="Calibri" w:hAnsi="Calibri"/>
          <w:b w:val="0"/>
          <w:noProof/>
          <w:kern w:val="0"/>
          <w:sz w:val="22"/>
          <w:szCs w:val="22"/>
        </w:rPr>
      </w:pPr>
      <w:r>
        <w:rPr>
          <w:noProof/>
        </w:rPr>
        <w:t>Subdivision 974</w:t>
      </w:r>
      <w:r>
        <w:rPr>
          <w:noProof/>
        </w:rPr>
        <w:noBreakHyphen/>
        <w:t>C—Equity interests in companies</w:t>
      </w:r>
      <w:r w:rsidRPr="00380510">
        <w:rPr>
          <w:rFonts w:ascii="Times" w:hAnsi="Times" w:cs="Times"/>
          <w:b w:val="0"/>
          <w:noProof/>
          <w:sz w:val="18"/>
        </w:rPr>
        <w:tab/>
      </w:r>
      <w:r w:rsidRPr="00380510">
        <w:rPr>
          <w:rFonts w:ascii="Times" w:hAnsi="Times" w:cs="Times"/>
          <w:b w:val="0"/>
          <w:noProof/>
          <w:sz w:val="18"/>
        </w:rPr>
        <w:fldChar w:fldCharType="begin"/>
      </w:r>
      <w:r w:rsidRPr="00380510">
        <w:rPr>
          <w:rFonts w:ascii="Times" w:hAnsi="Times" w:cs="Times"/>
          <w:b w:val="0"/>
          <w:noProof/>
          <w:sz w:val="18"/>
        </w:rPr>
        <w:instrText xml:space="preserve"> PAGEREF _Toc338939667 \h </w:instrText>
      </w:r>
      <w:r w:rsidRPr="00380510">
        <w:rPr>
          <w:rFonts w:ascii="Times" w:hAnsi="Times" w:cs="Times"/>
          <w:b w:val="0"/>
          <w:noProof/>
          <w:sz w:val="18"/>
        </w:rPr>
      </w:r>
      <w:r w:rsidRPr="00380510">
        <w:rPr>
          <w:rFonts w:ascii="Times" w:hAnsi="Times" w:cs="Times"/>
          <w:b w:val="0"/>
          <w:noProof/>
          <w:sz w:val="18"/>
        </w:rPr>
        <w:fldChar w:fldCharType="separate"/>
      </w:r>
      <w:r w:rsidR="00623A5C">
        <w:rPr>
          <w:rFonts w:ascii="Times" w:hAnsi="Times" w:cs="Times"/>
          <w:b w:val="0"/>
          <w:noProof/>
          <w:sz w:val="18"/>
        </w:rPr>
        <w:t>455</w:t>
      </w:r>
      <w:r w:rsidRPr="00380510">
        <w:rPr>
          <w:rFonts w:ascii="Times" w:hAnsi="Times" w:cs="Times"/>
          <w:b w:val="0"/>
          <w:noProof/>
          <w:sz w:val="18"/>
        </w:rPr>
        <w:fldChar w:fldCharType="end"/>
      </w:r>
    </w:p>
    <w:p w:rsidR="00380510" w:rsidRDefault="00380510">
      <w:pPr>
        <w:pStyle w:val="TOC5"/>
        <w:rPr>
          <w:rFonts w:ascii="Calibri" w:hAnsi="Calibri"/>
          <w:iCs w:val="0"/>
          <w:noProof/>
          <w:kern w:val="0"/>
          <w:sz w:val="22"/>
          <w:szCs w:val="22"/>
        </w:rPr>
      </w:pPr>
      <w:r>
        <w:rPr>
          <w:noProof/>
        </w:rPr>
        <w:t>974</w:t>
      </w:r>
      <w:r>
        <w:rPr>
          <w:noProof/>
        </w:rPr>
        <w:noBreakHyphen/>
        <w:t>70</w:t>
      </w:r>
      <w:r>
        <w:rPr>
          <w:noProof/>
        </w:rPr>
        <w:tab/>
        <w:t xml:space="preserve">Meaning of </w:t>
      </w:r>
      <w:r w:rsidRPr="008A0EAA">
        <w:rPr>
          <w:i/>
          <w:noProof/>
        </w:rPr>
        <w:t>equity interest</w:t>
      </w:r>
      <w:r>
        <w:rPr>
          <w:noProof/>
        </w:rPr>
        <w:t xml:space="preserve"> in a company</w:t>
      </w:r>
      <w:r w:rsidRPr="00380510">
        <w:rPr>
          <w:rFonts w:ascii="Times" w:hAnsi="Times" w:cs="Times"/>
          <w:noProof/>
        </w:rPr>
        <w:tab/>
      </w:r>
      <w:r w:rsidRPr="00380510">
        <w:rPr>
          <w:rFonts w:ascii="Times" w:hAnsi="Times" w:cs="Times"/>
          <w:noProof/>
        </w:rPr>
        <w:fldChar w:fldCharType="begin"/>
      </w:r>
      <w:r w:rsidRPr="00380510">
        <w:rPr>
          <w:rFonts w:ascii="Times" w:hAnsi="Times" w:cs="Times"/>
          <w:noProof/>
        </w:rPr>
        <w:instrText xml:space="preserve"> PAGEREF _Toc338939668 \h </w:instrText>
      </w:r>
      <w:r w:rsidRPr="00380510">
        <w:rPr>
          <w:rFonts w:ascii="Times" w:hAnsi="Times" w:cs="Times"/>
          <w:noProof/>
        </w:rPr>
      </w:r>
      <w:r w:rsidRPr="00380510">
        <w:rPr>
          <w:rFonts w:ascii="Times" w:hAnsi="Times" w:cs="Times"/>
          <w:noProof/>
        </w:rPr>
        <w:fldChar w:fldCharType="separate"/>
      </w:r>
      <w:r w:rsidR="00623A5C">
        <w:rPr>
          <w:rFonts w:ascii="Times" w:hAnsi="Times" w:cs="Times"/>
          <w:noProof/>
        </w:rPr>
        <w:t>456</w:t>
      </w:r>
      <w:r w:rsidRPr="00380510">
        <w:rPr>
          <w:rFonts w:ascii="Times" w:hAnsi="Times" w:cs="Times"/>
          <w:noProof/>
        </w:rPr>
        <w:fldChar w:fldCharType="end"/>
      </w:r>
    </w:p>
    <w:p w:rsidR="00380510" w:rsidRDefault="00380510">
      <w:pPr>
        <w:pStyle w:val="TOC5"/>
        <w:rPr>
          <w:rFonts w:ascii="Calibri" w:hAnsi="Calibri"/>
          <w:iCs w:val="0"/>
          <w:noProof/>
          <w:kern w:val="0"/>
          <w:sz w:val="22"/>
          <w:szCs w:val="22"/>
        </w:rPr>
      </w:pPr>
      <w:r>
        <w:rPr>
          <w:noProof/>
        </w:rPr>
        <w:t>974</w:t>
      </w:r>
      <w:r>
        <w:rPr>
          <w:noProof/>
        </w:rPr>
        <w:noBreakHyphen/>
        <w:t>75</w:t>
      </w:r>
      <w:r>
        <w:rPr>
          <w:noProof/>
        </w:rPr>
        <w:tab/>
        <w:t>The test for an equity interest</w:t>
      </w:r>
      <w:r w:rsidRPr="00380510">
        <w:rPr>
          <w:rFonts w:ascii="Times" w:hAnsi="Times" w:cs="Times"/>
          <w:noProof/>
        </w:rPr>
        <w:tab/>
      </w:r>
      <w:r w:rsidRPr="00380510">
        <w:rPr>
          <w:rFonts w:ascii="Times" w:hAnsi="Times" w:cs="Times"/>
          <w:noProof/>
        </w:rPr>
        <w:fldChar w:fldCharType="begin"/>
      </w:r>
      <w:r w:rsidRPr="00380510">
        <w:rPr>
          <w:rFonts w:ascii="Times" w:hAnsi="Times" w:cs="Times"/>
          <w:noProof/>
        </w:rPr>
        <w:instrText xml:space="preserve"> PAGEREF _Toc338939669 \h </w:instrText>
      </w:r>
      <w:r w:rsidRPr="00380510">
        <w:rPr>
          <w:rFonts w:ascii="Times" w:hAnsi="Times" w:cs="Times"/>
          <w:noProof/>
        </w:rPr>
      </w:r>
      <w:r w:rsidRPr="00380510">
        <w:rPr>
          <w:rFonts w:ascii="Times" w:hAnsi="Times" w:cs="Times"/>
          <w:noProof/>
        </w:rPr>
        <w:fldChar w:fldCharType="separate"/>
      </w:r>
      <w:r w:rsidR="00623A5C">
        <w:rPr>
          <w:rFonts w:ascii="Times" w:hAnsi="Times" w:cs="Times"/>
          <w:noProof/>
        </w:rPr>
        <w:t>458</w:t>
      </w:r>
      <w:r w:rsidRPr="00380510">
        <w:rPr>
          <w:rFonts w:ascii="Times" w:hAnsi="Times" w:cs="Times"/>
          <w:noProof/>
        </w:rPr>
        <w:fldChar w:fldCharType="end"/>
      </w:r>
    </w:p>
    <w:p w:rsidR="00380510" w:rsidRDefault="00380510">
      <w:pPr>
        <w:pStyle w:val="TOC5"/>
        <w:rPr>
          <w:rFonts w:ascii="Calibri" w:hAnsi="Calibri"/>
          <w:iCs w:val="0"/>
          <w:noProof/>
          <w:kern w:val="0"/>
          <w:sz w:val="22"/>
          <w:szCs w:val="22"/>
        </w:rPr>
      </w:pPr>
      <w:r>
        <w:rPr>
          <w:noProof/>
        </w:rPr>
        <w:t>974</w:t>
      </w:r>
      <w:r>
        <w:rPr>
          <w:noProof/>
        </w:rPr>
        <w:noBreakHyphen/>
        <w:t>80</w:t>
      </w:r>
      <w:r>
        <w:rPr>
          <w:noProof/>
        </w:rPr>
        <w:tab/>
        <w:t>Equity interest arising from arrangement funding return through connected entities</w:t>
      </w:r>
      <w:r w:rsidRPr="00380510">
        <w:rPr>
          <w:rFonts w:ascii="Times" w:hAnsi="Times" w:cs="Times"/>
          <w:noProof/>
        </w:rPr>
        <w:tab/>
      </w:r>
      <w:r w:rsidRPr="00380510">
        <w:rPr>
          <w:rFonts w:ascii="Times" w:hAnsi="Times" w:cs="Times"/>
          <w:noProof/>
        </w:rPr>
        <w:fldChar w:fldCharType="begin"/>
      </w:r>
      <w:r w:rsidRPr="00380510">
        <w:rPr>
          <w:rFonts w:ascii="Times" w:hAnsi="Times" w:cs="Times"/>
          <w:noProof/>
        </w:rPr>
        <w:instrText xml:space="preserve"> PAGEREF _Toc338939670 \h </w:instrText>
      </w:r>
      <w:r w:rsidRPr="00380510">
        <w:rPr>
          <w:rFonts w:ascii="Times" w:hAnsi="Times" w:cs="Times"/>
          <w:noProof/>
        </w:rPr>
      </w:r>
      <w:r w:rsidRPr="00380510">
        <w:rPr>
          <w:rFonts w:ascii="Times" w:hAnsi="Times" w:cs="Times"/>
          <w:noProof/>
        </w:rPr>
        <w:fldChar w:fldCharType="separate"/>
      </w:r>
      <w:r w:rsidR="00623A5C">
        <w:rPr>
          <w:rFonts w:ascii="Times" w:hAnsi="Times" w:cs="Times"/>
          <w:noProof/>
        </w:rPr>
        <w:t>461</w:t>
      </w:r>
      <w:r w:rsidRPr="00380510">
        <w:rPr>
          <w:rFonts w:ascii="Times" w:hAnsi="Times" w:cs="Times"/>
          <w:noProof/>
        </w:rPr>
        <w:fldChar w:fldCharType="end"/>
      </w:r>
    </w:p>
    <w:p w:rsidR="00380510" w:rsidRDefault="00380510">
      <w:pPr>
        <w:pStyle w:val="TOC5"/>
        <w:rPr>
          <w:rFonts w:ascii="Calibri" w:hAnsi="Calibri"/>
          <w:iCs w:val="0"/>
          <w:noProof/>
          <w:kern w:val="0"/>
          <w:sz w:val="22"/>
          <w:szCs w:val="22"/>
        </w:rPr>
      </w:pPr>
      <w:r>
        <w:rPr>
          <w:noProof/>
        </w:rPr>
        <w:t>974</w:t>
      </w:r>
      <w:r>
        <w:rPr>
          <w:noProof/>
        </w:rPr>
        <w:noBreakHyphen/>
        <w:t>85</w:t>
      </w:r>
      <w:r>
        <w:rPr>
          <w:noProof/>
        </w:rPr>
        <w:tab/>
        <w:t>Right or return contingent on economic performance</w:t>
      </w:r>
      <w:r w:rsidRPr="00380510">
        <w:rPr>
          <w:rFonts w:ascii="Times" w:hAnsi="Times" w:cs="Times"/>
          <w:noProof/>
        </w:rPr>
        <w:tab/>
      </w:r>
      <w:r w:rsidRPr="00380510">
        <w:rPr>
          <w:rFonts w:ascii="Times" w:hAnsi="Times" w:cs="Times"/>
          <w:noProof/>
        </w:rPr>
        <w:fldChar w:fldCharType="begin"/>
      </w:r>
      <w:r w:rsidRPr="00380510">
        <w:rPr>
          <w:rFonts w:ascii="Times" w:hAnsi="Times" w:cs="Times"/>
          <w:noProof/>
        </w:rPr>
        <w:instrText xml:space="preserve"> PAGEREF _Toc338939671 \h </w:instrText>
      </w:r>
      <w:r w:rsidRPr="00380510">
        <w:rPr>
          <w:rFonts w:ascii="Times" w:hAnsi="Times" w:cs="Times"/>
          <w:noProof/>
        </w:rPr>
      </w:r>
      <w:r w:rsidRPr="00380510">
        <w:rPr>
          <w:rFonts w:ascii="Times" w:hAnsi="Times" w:cs="Times"/>
          <w:noProof/>
        </w:rPr>
        <w:fldChar w:fldCharType="separate"/>
      </w:r>
      <w:r w:rsidR="00623A5C">
        <w:rPr>
          <w:rFonts w:ascii="Times" w:hAnsi="Times" w:cs="Times"/>
          <w:noProof/>
        </w:rPr>
        <w:t>463</w:t>
      </w:r>
      <w:r w:rsidRPr="00380510">
        <w:rPr>
          <w:rFonts w:ascii="Times" w:hAnsi="Times" w:cs="Times"/>
          <w:noProof/>
        </w:rPr>
        <w:fldChar w:fldCharType="end"/>
      </w:r>
    </w:p>
    <w:p w:rsidR="00380510" w:rsidRDefault="00380510">
      <w:pPr>
        <w:pStyle w:val="TOC5"/>
        <w:rPr>
          <w:rFonts w:ascii="Calibri" w:hAnsi="Calibri"/>
          <w:iCs w:val="0"/>
          <w:noProof/>
          <w:kern w:val="0"/>
          <w:sz w:val="22"/>
          <w:szCs w:val="22"/>
        </w:rPr>
      </w:pPr>
      <w:r>
        <w:rPr>
          <w:noProof/>
        </w:rPr>
        <w:t>974</w:t>
      </w:r>
      <w:r>
        <w:rPr>
          <w:noProof/>
        </w:rPr>
        <w:noBreakHyphen/>
        <w:t>90</w:t>
      </w:r>
      <w:r>
        <w:rPr>
          <w:noProof/>
        </w:rPr>
        <w:tab/>
        <w:t>Right or return at discretion of company or connected entity</w:t>
      </w:r>
      <w:r w:rsidRPr="00380510">
        <w:rPr>
          <w:rFonts w:ascii="Times" w:hAnsi="Times" w:cs="Times"/>
          <w:noProof/>
        </w:rPr>
        <w:tab/>
      </w:r>
      <w:r w:rsidRPr="00380510">
        <w:rPr>
          <w:rFonts w:ascii="Times" w:hAnsi="Times" w:cs="Times"/>
          <w:noProof/>
        </w:rPr>
        <w:fldChar w:fldCharType="begin"/>
      </w:r>
      <w:r w:rsidRPr="00380510">
        <w:rPr>
          <w:rFonts w:ascii="Times" w:hAnsi="Times" w:cs="Times"/>
          <w:noProof/>
        </w:rPr>
        <w:instrText xml:space="preserve"> PAGEREF _Toc338939672 \h </w:instrText>
      </w:r>
      <w:r w:rsidRPr="00380510">
        <w:rPr>
          <w:rFonts w:ascii="Times" w:hAnsi="Times" w:cs="Times"/>
          <w:noProof/>
        </w:rPr>
      </w:r>
      <w:r w:rsidRPr="00380510">
        <w:rPr>
          <w:rFonts w:ascii="Times" w:hAnsi="Times" w:cs="Times"/>
          <w:noProof/>
        </w:rPr>
        <w:fldChar w:fldCharType="separate"/>
      </w:r>
      <w:r w:rsidR="00623A5C">
        <w:rPr>
          <w:rFonts w:ascii="Times" w:hAnsi="Times" w:cs="Times"/>
          <w:noProof/>
        </w:rPr>
        <w:t>463</w:t>
      </w:r>
      <w:r w:rsidRPr="00380510">
        <w:rPr>
          <w:rFonts w:ascii="Times" w:hAnsi="Times" w:cs="Times"/>
          <w:noProof/>
        </w:rPr>
        <w:fldChar w:fldCharType="end"/>
      </w:r>
    </w:p>
    <w:p w:rsidR="00380510" w:rsidRDefault="00380510">
      <w:pPr>
        <w:pStyle w:val="TOC5"/>
        <w:rPr>
          <w:rFonts w:ascii="Calibri" w:hAnsi="Calibri"/>
          <w:iCs w:val="0"/>
          <w:noProof/>
          <w:kern w:val="0"/>
          <w:sz w:val="22"/>
          <w:szCs w:val="22"/>
        </w:rPr>
      </w:pPr>
      <w:r>
        <w:rPr>
          <w:noProof/>
        </w:rPr>
        <w:t>974</w:t>
      </w:r>
      <w:r>
        <w:rPr>
          <w:noProof/>
        </w:rPr>
        <w:noBreakHyphen/>
        <w:t>95</w:t>
      </w:r>
      <w:r>
        <w:rPr>
          <w:noProof/>
        </w:rPr>
        <w:tab/>
        <w:t>The equity interest</w:t>
      </w:r>
      <w:r w:rsidRPr="00380510">
        <w:rPr>
          <w:rFonts w:ascii="Times" w:hAnsi="Times" w:cs="Times"/>
          <w:noProof/>
        </w:rPr>
        <w:tab/>
      </w:r>
      <w:r w:rsidRPr="00380510">
        <w:rPr>
          <w:rFonts w:ascii="Times" w:hAnsi="Times" w:cs="Times"/>
          <w:noProof/>
        </w:rPr>
        <w:fldChar w:fldCharType="begin"/>
      </w:r>
      <w:r w:rsidRPr="00380510">
        <w:rPr>
          <w:rFonts w:ascii="Times" w:hAnsi="Times" w:cs="Times"/>
          <w:noProof/>
        </w:rPr>
        <w:instrText xml:space="preserve"> PAGEREF _Toc338939673 \h </w:instrText>
      </w:r>
      <w:r w:rsidRPr="00380510">
        <w:rPr>
          <w:rFonts w:ascii="Times" w:hAnsi="Times" w:cs="Times"/>
          <w:noProof/>
        </w:rPr>
      </w:r>
      <w:r w:rsidRPr="00380510">
        <w:rPr>
          <w:rFonts w:ascii="Times" w:hAnsi="Times" w:cs="Times"/>
          <w:noProof/>
        </w:rPr>
        <w:fldChar w:fldCharType="separate"/>
      </w:r>
      <w:r w:rsidR="00623A5C">
        <w:rPr>
          <w:rFonts w:ascii="Times" w:hAnsi="Times" w:cs="Times"/>
          <w:noProof/>
        </w:rPr>
        <w:t>463</w:t>
      </w:r>
      <w:r w:rsidRPr="00380510">
        <w:rPr>
          <w:rFonts w:ascii="Times" w:hAnsi="Times" w:cs="Times"/>
          <w:noProof/>
        </w:rPr>
        <w:fldChar w:fldCharType="end"/>
      </w:r>
    </w:p>
    <w:p w:rsidR="00380510" w:rsidRDefault="00380510">
      <w:pPr>
        <w:pStyle w:val="TOC4"/>
        <w:rPr>
          <w:rFonts w:ascii="Calibri" w:hAnsi="Calibri"/>
          <w:b w:val="0"/>
          <w:noProof/>
          <w:kern w:val="0"/>
          <w:sz w:val="22"/>
          <w:szCs w:val="22"/>
        </w:rPr>
      </w:pPr>
      <w:r>
        <w:rPr>
          <w:noProof/>
        </w:rPr>
        <w:t>Subdivision 974</w:t>
      </w:r>
      <w:r>
        <w:rPr>
          <w:noProof/>
        </w:rPr>
        <w:noBreakHyphen/>
        <w:t>D—Common provisions</w:t>
      </w:r>
      <w:r w:rsidRPr="00380510">
        <w:rPr>
          <w:rFonts w:ascii="Times" w:hAnsi="Times" w:cs="Times"/>
          <w:b w:val="0"/>
          <w:noProof/>
          <w:sz w:val="18"/>
        </w:rPr>
        <w:tab/>
      </w:r>
      <w:r w:rsidRPr="00380510">
        <w:rPr>
          <w:rFonts w:ascii="Times" w:hAnsi="Times" w:cs="Times"/>
          <w:b w:val="0"/>
          <w:noProof/>
          <w:sz w:val="18"/>
        </w:rPr>
        <w:fldChar w:fldCharType="begin"/>
      </w:r>
      <w:r w:rsidRPr="00380510">
        <w:rPr>
          <w:rFonts w:ascii="Times" w:hAnsi="Times" w:cs="Times"/>
          <w:b w:val="0"/>
          <w:noProof/>
          <w:sz w:val="18"/>
        </w:rPr>
        <w:instrText xml:space="preserve"> PAGEREF _Toc338939674 \h </w:instrText>
      </w:r>
      <w:r w:rsidRPr="00380510">
        <w:rPr>
          <w:rFonts w:ascii="Times" w:hAnsi="Times" w:cs="Times"/>
          <w:b w:val="0"/>
          <w:noProof/>
          <w:sz w:val="18"/>
        </w:rPr>
      </w:r>
      <w:r w:rsidRPr="00380510">
        <w:rPr>
          <w:rFonts w:ascii="Times" w:hAnsi="Times" w:cs="Times"/>
          <w:b w:val="0"/>
          <w:noProof/>
          <w:sz w:val="18"/>
        </w:rPr>
        <w:fldChar w:fldCharType="separate"/>
      </w:r>
      <w:r w:rsidR="00623A5C">
        <w:rPr>
          <w:rFonts w:ascii="Times" w:hAnsi="Times" w:cs="Times"/>
          <w:b w:val="0"/>
          <w:noProof/>
          <w:sz w:val="18"/>
        </w:rPr>
        <w:t>464</w:t>
      </w:r>
      <w:r w:rsidRPr="00380510">
        <w:rPr>
          <w:rFonts w:ascii="Times" w:hAnsi="Times" w:cs="Times"/>
          <w:b w:val="0"/>
          <w:noProof/>
          <w:sz w:val="18"/>
        </w:rPr>
        <w:fldChar w:fldCharType="end"/>
      </w:r>
    </w:p>
    <w:p w:rsidR="00380510" w:rsidRDefault="00380510">
      <w:pPr>
        <w:pStyle w:val="TOC5"/>
        <w:rPr>
          <w:rFonts w:ascii="Calibri" w:hAnsi="Calibri"/>
          <w:iCs w:val="0"/>
          <w:noProof/>
          <w:kern w:val="0"/>
          <w:sz w:val="22"/>
          <w:szCs w:val="22"/>
        </w:rPr>
      </w:pPr>
      <w:r>
        <w:rPr>
          <w:noProof/>
        </w:rPr>
        <w:t>974</w:t>
      </w:r>
      <w:r>
        <w:rPr>
          <w:noProof/>
        </w:rPr>
        <w:noBreakHyphen/>
        <w:t>100</w:t>
      </w:r>
      <w:r>
        <w:rPr>
          <w:noProof/>
        </w:rPr>
        <w:tab/>
        <w:t>Treatment of convertible and converting interests</w:t>
      </w:r>
      <w:r w:rsidRPr="00380510">
        <w:rPr>
          <w:rFonts w:ascii="Times" w:hAnsi="Times" w:cs="Times"/>
          <w:noProof/>
        </w:rPr>
        <w:tab/>
      </w:r>
      <w:r w:rsidRPr="00380510">
        <w:rPr>
          <w:rFonts w:ascii="Times" w:hAnsi="Times" w:cs="Times"/>
          <w:noProof/>
        </w:rPr>
        <w:fldChar w:fldCharType="begin"/>
      </w:r>
      <w:r w:rsidRPr="00380510">
        <w:rPr>
          <w:rFonts w:ascii="Times" w:hAnsi="Times" w:cs="Times"/>
          <w:noProof/>
        </w:rPr>
        <w:instrText xml:space="preserve"> PAGEREF _Toc338939675 \h </w:instrText>
      </w:r>
      <w:r w:rsidRPr="00380510">
        <w:rPr>
          <w:rFonts w:ascii="Times" w:hAnsi="Times" w:cs="Times"/>
          <w:noProof/>
        </w:rPr>
      </w:r>
      <w:r w:rsidRPr="00380510">
        <w:rPr>
          <w:rFonts w:ascii="Times" w:hAnsi="Times" w:cs="Times"/>
          <w:noProof/>
        </w:rPr>
        <w:fldChar w:fldCharType="separate"/>
      </w:r>
      <w:r w:rsidR="00623A5C">
        <w:rPr>
          <w:rFonts w:ascii="Times" w:hAnsi="Times" w:cs="Times"/>
          <w:noProof/>
        </w:rPr>
        <w:t>464</w:t>
      </w:r>
      <w:r w:rsidRPr="00380510">
        <w:rPr>
          <w:rFonts w:ascii="Times" w:hAnsi="Times" w:cs="Times"/>
          <w:noProof/>
        </w:rPr>
        <w:fldChar w:fldCharType="end"/>
      </w:r>
    </w:p>
    <w:p w:rsidR="00380510" w:rsidRDefault="00380510">
      <w:pPr>
        <w:pStyle w:val="TOC5"/>
        <w:rPr>
          <w:rFonts w:ascii="Calibri" w:hAnsi="Calibri"/>
          <w:iCs w:val="0"/>
          <w:noProof/>
          <w:kern w:val="0"/>
          <w:sz w:val="22"/>
          <w:szCs w:val="22"/>
        </w:rPr>
      </w:pPr>
      <w:r>
        <w:rPr>
          <w:noProof/>
        </w:rPr>
        <w:t>974</w:t>
      </w:r>
      <w:r>
        <w:rPr>
          <w:noProof/>
        </w:rPr>
        <w:noBreakHyphen/>
        <w:t>105</w:t>
      </w:r>
      <w:r>
        <w:rPr>
          <w:noProof/>
        </w:rPr>
        <w:tab/>
        <w:t>Effect of action taken in relation to interest arising from related schemes</w:t>
      </w:r>
      <w:r w:rsidRPr="00380510">
        <w:rPr>
          <w:rFonts w:ascii="Times" w:hAnsi="Times" w:cs="Times"/>
          <w:noProof/>
        </w:rPr>
        <w:tab/>
      </w:r>
      <w:r w:rsidRPr="00380510">
        <w:rPr>
          <w:rFonts w:ascii="Times" w:hAnsi="Times" w:cs="Times"/>
          <w:noProof/>
        </w:rPr>
        <w:fldChar w:fldCharType="begin"/>
      </w:r>
      <w:r w:rsidRPr="00380510">
        <w:rPr>
          <w:rFonts w:ascii="Times" w:hAnsi="Times" w:cs="Times"/>
          <w:noProof/>
        </w:rPr>
        <w:instrText xml:space="preserve"> PAGEREF _Toc338939676 \h </w:instrText>
      </w:r>
      <w:r w:rsidRPr="00380510">
        <w:rPr>
          <w:rFonts w:ascii="Times" w:hAnsi="Times" w:cs="Times"/>
          <w:noProof/>
        </w:rPr>
      </w:r>
      <w:r w:rsidRPr="00380510">
        <w:rPr>
          <w:rFonts w:ascii="Times" w:hAnsi="Times" w:cs="Times"/>
          <w:noProof/>
        </w:rPr>
        <w:fldChar w:fldCharType="separate"/>
      </w:r>
      <w:r w:rsidR="00623A5C">
        <w:rPr>
          <w:rFonts w:ascii="Times" w:hAnsi="Times" w:cs="Times"/>
          <w:noProof/>
        </w:rPr>
        <w:t>465</w:t>
      </w:r>
      <w:r w:rsidRPr="00380510">
        <w:rPr>
          <w:rFonts w:ascii="Times" w:hAnsi="Times" w:cs="Times"/>
          <w:noProof/>
        </w:rPr>
        <w:fldChar w:fldCharType="end"/>
      </w:r>
    </w:p>
    <w:p w:rsidR="00380510" w:rsidRDefault="00380510">
      <w:pPr>
        <w:pStyle w:val="TOC5"/>
        <w:rPr>
          <w:rFonts w:ascii="Calibri" w:hAnsi="Calibri"/>
          <w:iCs w:val="0"/>
          <w:noProof/>
          <w:kern w:val="0"/>
          <w:sz w:val="22"/>
          <w:szCs w:val="22"/>
        </w:rPr>
      </w:pPr>
      <w:r>
        <w:rPr>
          <w:noProof/>
        </w:rPr>
        <w:lastRenderedPageBreak/>
        <w:t>974</w:t>
      </w:r>
      <w:r>
        <w:rPr>
          <w:noProof/>
        </w:rPr>
        <w:noBreakHyphen/>
        <w:t>110</w:t>
      </w:r>
      <w:r>
        <w:rPr>
          <w:noProof/>
        </w:rPr>
        <w:tab/>
        <w:t>Effect of material change</w:t>
      </w:r>
      <w:r w:rsidRPr="00380510">
        <w:rPr>
          <w:rFonts w:ascii="Times" w:hAnsi="Times" w:cs="Times"/>
          <w:noProof/>
        </w:rPr>
        <w:tab/>
      </w:r>
      <w:r w:rsidRPr="00380510">
        <w:rPr>
          <w:rFonts w:ascii="Times" w:hAnsi="Times" w:cs="Times"/>
          <w:noProof/>
        </w:rPr>
        <w:fldChar w:fldCharType="begin"/>
      </w:r>
      <w:r w:rsidRPr="00380510">
        <w:rPr>
          <w:rFonts w:ascii="Times" w:hAnsi="Times" w:cs="Times"/>
          <w:noProof/>
        </w:rPr>
        <w:instrText xml:space="preserve"> PAGEREF _Toc338939677 \h </w:instrText>
      </w:r>
      <w:r w:rsidRPr="00380510">
        <w:rPr>
          <w:rFonts w:ascii="Times" w:hAnsi="Times" w:cs="Times"/>
          <w:noProof/>
        </w:rPr>
      </w:r>
      <w:r w:rsidRPr="00380510">
        <w:rPr>
          <w:rFonts w:ascii="Times" w:hAnsi="Times" w:cs="Times"/>
          <w:noProof/>
        </w:rPr>
        <w:fldChar w:fldCharType="separate"/>
      </w:r>
      <w:r w:rsidR="00623A5C">
        <w:rPr>
          <w:rFonts w:ascii="Times" w:hAnsi="Times" w:cs="Times"/>
          <w:noProof/>
        </w:rPr>
        <w:t>465</w:t>
      </w:r>
      <w:r w:rsidRPr="00380510">
        <w:rPr>
          <w:rFonts w:ascii="Times" w:hAnsi="Times" w:cs="Times"/>
          <w:noProof/>
        </w:rPr>
        <w:fldChar w:fldCharType="end"/>
      </w:r>
    </w:p>
    <w:p w:rsidR="00380510" w:rsidRDefault="00380510">
      <w:pPr>
        <w:pStyle w:val="TOC5"/>
        <w:rPr>
          <w:rFonts w:ascii="Calibri" w:hAnsi="Calibri"/>
          <w:iCs w:val="0"/>
          <w:noProof/>
          <w:kern w:val="0"/>
          <w:sz w:val="22"/>
          <w:szCs w:val="22"/>
        </w:rPr>
      </w:pPr>
      <w:r>
        <w:rPr>
          <w:noProof/>
        </w:rPr>
        <w:t>974</w:t>
      </w:r>
      <w:r>
        <w:rPr>
          <w:noProof/>
        </w:rPr>
        <w:noBreakHyphen/>
        <w:t>112</w:t>
      </w:r>
      <w:r>
        <w:rPr>
          <w:noProof/>
        </w:rPr>
        <w:tab/>
        <w:t>Determinations by Commissioner</w:t>
      </w:r>
      <w:r w:rsidRPr="00380510">
        <w:rPr>
          <w:rFonts w:ascii="Times" w:hAnsi="Times" w:cs="Times"/>
          <w:noProof/>
        </w:rPr>
        <w:tab/>
      </w:r>
      <w:r w:rsidRPr="00380510">
        <w:rPr>
          <w:rFonts w:ascii="Times" w:hAnsi="Times" w:cs="Times"/>
          <w:noProof/>
        </w:rPr>
        <w:fldChar w:fldCharType="begin"/>
      </w:r>
      <w:r w:rsidRPr="00380510">
        <w:rPr>
          <w:rFonts w:ascii="Times" w:hAnsi="Times" w:cs="Times"/>
          <w:noProof/>
        </w:rPr>
        <w:instrText xml:space="preserve"> PAGEREF _Toc338939678 \h </w:instrText>
      </w:r>
      <w:r w:rsidRPr="00380510">
        <w:rPr>
          <w:rFonts w:ascii="Times" w:hAnsi="Times" w:cs="Times"/>
          <w:noProof/>
        </w:rPr>
      </w:r>
      <w:r w:rsidRPr="00380510">
        <w:rPr>
          <w:rFonts w:ascii="Times" w:hAnsi="Times" w:cs="Times"/>
          <w:noProof/>
        </w:rPr>
        <w:fldChar w:fldCharType="separate"/>
      </w:r>
      <w:r w:rsidR="00623A5C">
        <w:rPr>
          <w:rFonts w:ascii="Times" w:hAnsi="Times" w:cs="Times"/>
          <w:noProof/>
        </w:rPr>
        <w:t>469</w:t>
      </w:r>
      <w:r w:rsidRPr="00380510">
        <w:rPr>
          <w:rFonts w:ascii="Times" w:hAnsi="Times" w:cs="Times"/>
          <w:noProof/>
        </w:rPr>
        <w:fldChar w:fldCharType="end"/>
      </w:r>
    </w:p>
    <w:p w:rsidR="00380510" w:rsidRDefault="00380510">
      <w:pPr>
        <w:pStyle w:val="TOC4"/>
        <w:rPr>
          <w:rFonts w:ascii="Calibri" w:hAnsi="Calibri"/>
          <w:b w:val="0"/>
          <w:noProof/>
          <w:kern w:val="0"/>
          <w:sz w:val="22"/>
          <w:szCs w:val="22"/>
        </w:rPr>
      </w:pPr>
      <w:r>
        <w:rPr>
          <w:noProof/>
        </w:rPr>
        <w:t>Subdivision 974</w:t>
      </w:r>
      <w:r>
        <w:rPr>
          <w:noProof/>
        </w:rPr>
        <w:noBreakHyphen/>
        <w:t>E—Non</w:t>
      </w:r>
      <w:r>
        <w:rPr>
          <w:noProof/>
        </w:rPr>
        <w:noBreakHyphen/>
        <w:t>share distributions by a company</w:t>
      </w:r>
      <w:r w:rsidRPr="00380510">
        <w:rPr>
          <w:rFonts w:ascii="Times" w:hAnsi="Times" w:cs="Times"/>
          <w:b w:val="0"/>
          <w:noProof/>
          <w:sz w:val="18"/>
        </w:rPr>
        <w:tab/>
      </w:r>
      <w:r w:rsidRPr="00380510">
        <w:rPr>
          <w:rFonts w:ascii="Times" w:hAnsi="Times" w:cs="Times"/>
          <w:b w:val="0"/>
          <w:noProof/>
          <w:sz w:val="18"/>
        </w:rPr>
        <w:fldChar w:fldCharType="begin"/>
      </w:r>
      <w:r w:rsidRPr="00380510">
        <w:rPr>
          <w:rFonts w:ascii="Times" w:hAnsi="Times" w:cs="Times"/>
          <w:b w:val="0"/>
          <w:noProof/>
          <w:sz w:val="18"/>
        </w:rPr>
        <w:instrText xml:space="preserve"> PAGEREF _Toc338939679 \h </w:instrText>
      </w:r>
      <w:r w:rsidRPr="00380510">
        <w:rPr>
          <w:rFonts w:ascii="Times" w:hAnsi="Times" w:cs="Times"/>
          <w:b w:val="0"/>
          <w:noProof/>
          <w:sz w:val="18"/>
        </w:rPr>
      </w:r>
      <w:r w:rsidRPr="00380510">
        <w:rPr>
          <w:rFonts w:ascii="Times" w:hAnsi="Times" w:cs="Times"/>
          <w:b w:val="0"/>
          <w:noProof/>
          <w:sz w:val="18"/>
        </w:rPr>
        <w:fldChar w:fldCharType="separate"/>
      </w:r>
      <w:r w:rsidR="00623A5C">
        <w:rPr>
          <w:rFonts w:ascii="Times" w:hAnsi="Times" w:cs="Times"/>
          <w:b w:val="0"/>
          <w:noProof/>
          <w:sz w:val="18"/>
        </w:rPr>
        <w:t>470</w:t>
      </w:r>
      <w:r w:rsidRPr="00380510">
        <w:rPr>
          <w:rFonts w:ascii="Times" w:hAnsi="Times" w:cs="Times"/>
          <w:b w:val="0"/>
          <w:noProof/>
          <w:sz w:val="18"/>
        </w:rPr>
        <w:fldChar w:fldCharType="end"/>
      </w:r>
    </w:p>
    <w:p w:rsidR="00380510" w:rsidRDefault="00380510">
      <w:pPr>
        <w:pStyle w:val="TOC5"/>
        <w:rPr>
          <w:rFonts w:ascii="Calibri" w:hAnsi="Calibri"/>
          <w:iCs w:val="0"/>
          <w:noProof/>
          <w:kern w:val="0"/>
          <w:sz w:val="22"/>
          <w:szCs w:val="22"/>
        </w:rPr>
      </w:pPr>
      <w:r>
        <w:rPr>
          <w:noProof/>
        </w:rPr>
        <w:t>974</w:t>
      </w:r>
      <w:r>
        <w:rPr>
          <w:noProof/>
        </w:rPr>
        <w:noBreakHyphen/>
        <w:t>115</w:t>
      </w:r>
      <w:r>
        <w:rPr>
          <w:noProof/>
        </w:rPr>
        <w:tab/>
        <w:t xml:space="preserve">Meaning of </w:t>
      </w:r>
      <w:r w:rsidRPr="008A0EAA">
        <w:rPr>
          <w:i/>
          <w:noProof/>
        </w:rPr>
        <w:t>non</w:t>
      </w:r>
      <w:r w:rsidRPr="008A0EAA">
        <w:rPr>
          <w:i/>
          <w:noProof/>
        </w:rPr>
        <w:noBreakHyphen/>
        <w:t>share distribution</w:t>
      </w:r>
      <w:r w:rsidRPr="00380510">
        <w:rPr>
          <w:rFonts w:ascii="Times" w:hAnsi="Times" w:cs="Times"/>
          <w:noProof/>
        </w:rPr>
        <w:tab/>
      </w:r>
      <w:r w:rsidRPr="00380510">
        <w:rPr>
          <w:rFonts w:ascii="Times" w:hAnsi="Times" w:cs="Times"/>
          <w:noProof/>
        </w:rPr>
        <w:fldChar w:fldCharType="begin"/>
      </w:r>
      <w:r w:rsidRPr="00380510">
        <w:rPr>
          <w:rFonts w:ascii="Times" w:hAnsi="Times" w:cs="Times"/>
          <w:noProof/>
        </w:rPr>
        <w:instrText xml:space="preserve"> PAGEREF _Toc338939680 \h </w:instrText>
      </w:r>
      <w:r w:rsidRPr="00380510">
        <w:rPr>
          <w:rFonts w:ascii="Times" w:hAnsi="Times" w:cs="Times"/>
          <w:noProof/>
        </w:rPr>
      </w:r>
      <w:r w:rsidRPr="00380510">
        <w:rPr>
          <w:rFonts w:ascii="Times" w:hAnsi="Times" w:cs="Times"/>
          <w:noProof/>
        </w:rPr>
        <w:fldChar w:fldCharType="separate"/>
      </w:r>
      <w:r w:rsidR="00623A5C">
        <w:rPr>
          <w:rFonts w:ascii="Times" w:hAnsi="Times" w:cs="Times"/>
          <w:noProof/>
        </w:rPr>
        <w:t>470</w:t>
      </w:r>
      <w:r w:rsidRPr="00380510">
        <w:rPr>
          <w:rFonts w:ascii="Times" w:hAnsi="Times" w:cs="Times"/>
          <w:noProof/>
        </w:rPr>
        <w:fldChar w:fldCharType="end"/>
      </w:r>
    </w:p>
    <w:p w:rsidR="00380510" w:rsidRDefault="00380510">
      <w:pPr>
        <w:pStyle w:val="TOC5"/>
        <w:rPr>
          <w:rFonts w:ascii="Calibri" w:hAnsi="Calibri"/>
          <w:iCs w:val="0"/>
          <w:noProof/>
          <w:kern w:val="0"/>
          <w:sz w:val="22"/>
          <w:szCs w:val="22"/>
        </w:rPr>
      </w:pPr>
      <w:r>
        <w:rPr>
          <w:noProof/>
        </w:rPr>
        <w:t>974</w:t>
      </w:r>
      <w:r>
        <w:rPr>
          <w:noProof/>
        </w:rPr>
        <w:noBreakHyphen/>
        <w:t>120</w:t>
      </w:r>
      <w:r>
        <w:rPr>
          <w:noProof/>
        </w:rPr>
        <w:tab/>
        <w:t xml:space="preserve">Meaning of </w:t>
      </w:r>
      <w:r w:rsidRPr="008A0EAA">
        <w:rPr>
          <w:i/>
          <w:noProof/>
        </w:rPr>
        <w:t>non</w:t>
      </w:r>
      <w:r w:rsidRPr="008A0EAA">
        <w:rPr>
          <w:i/>
          <w:noProof/>
        </w:rPr>
        <w:noBreakHyphen/>
        <w:t>share dividend</w:t>
      </w:r>
      <w:r w:rsidRPr="00380510">
        <w:rPr>
          <w:rFonts w:ascii="Times" w:hAnsi="Times" w:cs="Times"/>
          <w:noProof/>
        </w:rPr>
        <w:tab/>
      </w:r>
      <w:r w:rsidRPr="00380510">
        <w:rPr>
          <w:rFonts w:ascii="Times" w:hAnsi="Times" w:cs="Times"/>
          <w:noProof/>
        </w:rPr>
        <w:fldChar w:fldCharType="begin"/>
      </w:r>
      <w:r w:rsidRPr="00380510">
        <w:rPr>
          <w:rFonts w:ascii="Times" w:hAnsi="Times" w:cs="Times"/>
          <w:noProof/>
        </w:rPr>
        <w:instrText xml:space="preserve"> PAGEREF _Toc338939681 \h </w:instrText>
      </w:r>
      <w:r w:rsidRPr="00380510">
        <w:rPr>
          <w:rFonts w:ascii="Times" w:hAnsi="Times" w:cs="Times"/>
          <w:noProof/>
        </w:rPr>
      </w:r>
      <w:r w:rsidRPr="00380510">
        <w:rPr>
          <w:rFonts w:ascii="Times" w:hAnsi="Times" w:cs="Times"/>
          <w:noProof/>
        </w:rPr>
        <w:fldChar w:fldCharType="separate"/>
      </w:r>
      <w:r w:rsidR="00623A5C">
        <w:rPr>
          <w:rFonts w:ascii="Times" w:hAnsi="Times" w:cs="Times"/>
          <w:noProof/>
        </w:rPr>
        <w:t>470</w:t>
      </w:r>
      <w:r w:rsidRPr="00380510">
        <w:rPr>
          <w:rFonts w:ascii="Times" w:hAnsi="Times" w:cs="Times"/>
          <w:noProof/>
        </w:rPr>
        <w:fldChar w:fldCharType="end"/>
      </w:r>
    </w:p>
    <w:p w:rsidR="00380510" w:rsidRDefault="00380510">
      <w:pPr>
        <w:pStyle w:val="TOC5"/>
        <w:rPr>
          <w:rFonts w:ascii="Calibri" w:hAnsi="Calibri"/>
          <w:iCs w:val="0"/>
          <w:noProof/>
          <w:kern w:val="0"/>
          <w:sz w:val="22"/>
          <w:szCs w:val="22"/>
        </w:rPr>
      </w:pPr>
      <w:r>
        <w:rPr>
          <w:noProof/>
        </w:rPr>
        <w:t>974</w:t>
      </w:r>
      <w:r>
        <w:rPr>
          <w:noProof/>
        </w:rPr>
        <w:noBreakHyphen/>
        <w:t>125</w:t>
      </w:r>
      <w:r>
        <w:rPr>
          <w:noProof/>
        </w:rPr>
        <w:tab/>
        <w:t xml:space="preserve">Meaning of </w:t>
      </w:r>
      <w:r w:rsidRPr="008A0EAA">
        <w:rPr>
          <w:i/>
          <w:noProof/>
        </w:rPr>
        <w:t>non</w:t>
      </w:r>
      <w:r w:rsidRPr="008A0EAA">
        <w:rPr>
          <w:i/>
          <w:noProof/>
        </w:rPr>
        <w:noBreakHyphen/>
        <w:t>share capital return</w:t>
      </w:r>
      <w:r w:rsidRPr="00380510">
        <w:rPr>
          <w:rFonts w:ascii="Times" w:hAnsi="Times" w:cs="Times"/>
          <w:noProof/>
        </w:rPr>
        <w:tab/>
      </w:r>
      <w:r w:rsidRPr="00380510">
        <w:rPr>
          <w:rFonts w:ascii="Times" w:hAnsi="Times" w:cs="Times"/>
          <w:noProof/>
        </w:rPr>
        <w:fldChar w:fldCharType="begin"/>
      </w:r>
      <w:r w:rsidRPr="00380510">
        <w:rPr>
          <w:rFonts w:ascii="Times" w:hAnsi="Times" w:cs="Times"/>
          <w:noProof/>
        </w:rPr>
        <w:instrText xml:space="preserve"> PAGEREF _Toc338939682 \h </w:instrText>
      </w:r>
      <w:r w:rsidRPr="00380510">
        <w:rPr>
          <w:rFonts w:ascii="Times" w:hAnsi="Times" w:cs="Times"/>
          <w:noProof/>
        </w:rPr>
      </w:r>
      <w:r w:rsidRPr="00380510">
        <w:rPr>
          <w:rFonts w:ascii="Times" w:hAnsi="Times" w:cs="Times"/>
          <w:noProof/>
        </w:rPr>
        <w:fldChar w:fldCharType="separate"/>
      </w:r>
      <w:r w:rsidR="00623A5C">
        <w:rPr>
          <w:rFonts w:ascii="Times" w:hAnsi="Times" w:cs="Times"/>
          <w:noProof/>
        </w:rPr>
        <w:t>470</w:t>
      </w:r>
      <w:r w:rsidRPr="00380510">
        <w:rPr>
          <w:rFonts w:ascii="Times" w:hAnsi="Times" w:cs="Times"/>
          <w:noProof/>
        </w:rPr>
        <w:fldChar w:fldCharType="end"/>
      </w:r>
    </w:p>
    <w:p w:rsidR="00380510" w:rsidRDefault="00380510">
      <w:pPr>
        <w:pStyle w:val="TOC4"/>
        <w:rPr>
          <w:rFonts w:ascii="Calibri" w:hAnsi="Calibri"/>
          <w:b w:val="0"/>
          <w:noProof/>
          <w:kern w:val="0"/>
          <w:sz w:val="22"/>
          <w:szCs w:val="22"/>
        </w:rPr>
      </w:pPr>
      <w:r>
        <w:rPr>
          <w:noProof/>
        </w:rPr>
        <w:t>Subdivision 974</w:t>
      </w:r>
      <w:r>
        <w:rPr>
          <w:noProof/>
        </w:rPr>
        <w:noBreakHyphen/>
        <w:t>F—Related concepts</w:t>
      </w:r>
      <w:r w:rsidRPr="00380510">
        <w:rPr>
          <w:rFonts w:ascii="Times" w:hAnsi="Times" w:cs="Times"/>
          <w:b w:val="0"/>
          <w:noProof/>
          <w:sz w:val="18"/>
        </w:rPr>
        <w:tab/>
      </w:r>
      <w:r w:rsidRPr="00380510">
        <w:rPr>
          <w:rFonts w:ascii="Times" w:hAnsi="Times" w:cs="Times"/>
          <w:b w:val="0"/>
          <w:noProof/>
          <w:sz w:val="18"/>
        </w:rPr>
        <w:fldChar w:fldCharType="begin"/>
      </w:r>
      <w:r w:rsidRPr="00380510">
        <w:rPr>
          <w:rFonts w:ascii="Times" w:hAnsi="Times" w:cs="Times"/>
          <w:b w:val="0"/>
          <w:noProof/>
          <w:sz w:val="18"/>
        </w:rPr>
        <w:instrText xml:space="preserve"> PAGEREF _Toc338939683 \h </w:instrText>
      </w:r>
      <w:r w:rsidRPr="00380510">
        <w:rPr>
          <w:rFonts w:ascii="Times" w:hAnsi="Times" w:cs="Times"/>
          <w:b w:val="0"/>
          <w:noProof/>
          <w:sz w:val="18"/>
        </w:rPr>
      </w:r>
      <w:r w:rsidRPr="00380510">
        <w:rPr>
          <w:rFonts w:ascii="Times" w:hAnsi="Times" w:cs="Times"/>
          <w:b w:val="0"/>
          <w:noProof/>
          <w:sz w:val="18"/>
        </w:rPr>
        <w:fldChar w:fldCharType="separate"/>
      </w:r>
      <w:r w:rsidR="00623A5C">
        <w:rPr>
          <w:rFonts w:ascii="Times" w:hAnsi="Times" w:cs="Times"/>
          <w:b w:val="0"/>
          <w:noProof/>
          <w:sz w:val="18"/>
        </w:rPr>
        <w:t>471</w:t>
      </w:r>
      <w:r w:rsidRPr="00380510">
        <w:rPr>
          <w:rFonts w:ascii="Times" w:hAnsi="Times" w:cs="Times"/>
          <w:b w:val="0"/>
          <w:noProof/>
          <w:sz w:val="18"/>
        </w:rPr>
        <w:fldChar w:fldCharType="end"/>
      </w:r>
    </w:p>
    <w:p w:rsidR="00380510" w:rsidRDefault="00380510">
      <w:pPr>
        <w:pStyle w:val="TOC5"/>
        <w:rPr>
          <w:rFonts w:ascii="Calibri" w:hAnsi="Calibri"/>
          <w:iCs w:val="0"/>
          <w:noProof/>
          <w:kern w:val="0"/>
          <w:sz w:val="22"/>
          <w:szCs w:val="22"/>
        </w:rPr>
      </w:pPr>
      <w:r>
        <w:rPr>
          <w:noProof/>
        </w:rPr>
        <w:t>974</w:t>
      </w:r>
      <w:r>
        <w:rPr>
          <w:noProof/>
        </w:rPr>
        <w:noBreakHyphen/>
        <w:t>130</w:t>
      </w:r>
      <w:r>
        <w:rPr>
          <w:noProof/>
        </w:rPr>
        <w:tab/>
        <w:t>Financing arrangement</w:t>
      </w:r>
      <w:r w:rsidRPr="00380510">
        <w:rPr>
          <w:rFonts w:ascii="Times" w:hAnsi="Times" w:cs="Times"/>
          <w:noProof/>
        </w:rPr>
        <w:tab/>
      </w:r>
      <w:r w:rsidRPr="00380510">
        <w:rPr>
          <w:rFonts w:ascii="Times" w:hAnsi="Times" w:cs="Times"/>
          <w:noProof/>
        </w:rPr>
        <w:fldChar w:fldCharType="begin"/>
      </w:r>
      <w:r w:rsidRPr="00380510">
        <w:rPr>
          <w:rFonts w:ascii="Times" w:hAnsi="Times" w:cs="Times"/>
          <w:noProof/>
        </w:rPr>
        <w:instrText xml:space="preserve"> PAGEREF _Toc338939684 \h </w:instrText>
      </w:r>
      <w:r w:rsidRPr="00380510">
        <w:rPr>
          <w:rFonts w:ascii="Times" w:hAnsi="Times" w:cs="Times"/>
          <w:noProof/>
        </w:rPr>
      </w:r>
      <w:r w:rsidRPr="00380510">
        <w:rPr>
          <w:rFonts w:ascii="Times" w:hAnsi="Times" w:cs="Times"/>
          <w:noProof/>
        </w:rPr>
        <w:fldChar w:fldCharType="separate"/>
      </w:r>
      <w:r w:rsidR="00623A5C">
        <w:rPr>
          <w:rFonts w:ascii="Times" w:hAnsi="Times" w:cs="Times"/>
          <w:noProof/>
        </w:rPr>
        <w:t>471</w:t>
      </w:r>
      <w:r w:rsidRPr="00380510">
        <w:rPr>
          <w:rFonts w:ascii="Times" w:hAnsi="Times" w:cs="Times"/>
          <w:noProof/>
        </w:rPr>
        <w:fldChar w:fldCharType="end"/>
      </w:r>
    </w:p>
    <w:p w:rsidR="00380510" w:rsidRDefault="00380510">
      <w:pPr>
        <w:pStyle w:val="TOC5"/>
        <w:rPr>
          <w:rFonts w:ascii="Calibri" w:hAnsi="Calibri"/>
          <w:iCs w:val="0"/>
          <w:noProof/>
          <w:kern w:val="0"/>
          <w:sz w:val="22"/>
          <w:szCs w:val="22"/>
        </w:rPr>
      </w:pPr>
      <w:r>
        <w:rPr>
          <w:noProof/>
        </w:rPr>
        <w:t>974</w:t>
      </w:r>
      <w:r>
        <w:rPr>
          <w:noProof/>
        </w:rPr>
        <w:noBreakHyphen/>
        <w:t>135</w:t>
      </w:r>
      <w:r>
        <w:rPr>
          <w:noProof/>
        </w:rPr>
        <w:tab/>
        <w:t>Effectively non</w:t>
      </w:r>
      <w:r>
        <w:rPr>
          <w:noProof/>
        </w:rPr>
        <w:noBreakHyphen/>
        <w:t>contingent obligation</w:t>
      </w:r>
      <w:r w:rsidRPr="00380510">
        <w:rPr>
          <w:rFonts w:ascii="Times" w:hAnsi="Times" w:cs="Times"/>
          <w:noProof/>
        </w:rPr>
        <w:tab/>
      </w:r>
      <w:r w:rsidRPr="00380510">
        <w:rPr>
          <w:rFonts w:ascii="Times" w:hAnsi="Times" w:cs="Times"/>
          <w:noProof/>
        </w:rPr>
        <w:fldChar w:fldCharType="begin"/>
      </w:r>
      <w:r w:rsidRPr="00380510">
        <w:rPr>
          <w:rFonts w:ascii="Times" w:hAnsi="Times" w:cs="Times"/>
          <w:noProof/>
        </w:rPr>
        <w:instrText xml:space="preserve"> PAGEREF _Toc338939685 \h </w:instrText>
      </w:r>
      <w:r w:rsidRPr="00380510">
        <w:rPr>
          <w:rFonts w:ascii="Times" w:hAnsi="Times" w:cs="Times"/>
          <w:noProof/>
        </w:rPr>
      </w:r>
      <w:r w:rsidRPr="00380510">
        <w:rPr>
          <w:rFonts w:ascii="Times" w:hAnsi="Times" w:cs="Times"/>
          <w:noProof/>
        </w:rPr>
        <w:fldChar w:fldCharType="separate"/>
      </w:r>
      <w:r w:rsidR="00623A5C">
        <w:rPr>
          <w:rFonts w:ascii="Times" w:hAnsi="Times" w:cs="Times"/>
          <w:noProof/>
        </w:rPr>
        <w:t>473</w:t>
      </w:r>
      <w:r w:rsidRPr="00380510">
        <w:rPr>
          <w:rFonts w:ascii="Times" w:hAnsi="Times" w:cs="Times"/>
          <w:noProof/>
        </w:rPr>
        <w:fldChar w:fldCharType="end"/>
      </w:r>
    </w:p>
    <w:p w:rsidR="00380510" w:rsidRDefault="00380510">
      <w:pPr>
        <w:pStyle w:val="TOC5"/>
        <w:rPr>
          <w:rFonts w:ascii="Calibri" w:hAnsi="Calibri"/>
          <w:iCs w:val="0"/>
          <w:noProof/>
          <w:kern w:val="0"/>
          <w:sz w:val="22"/>
          <w:szCs w:val="22"/>
        </w:rPr>
      </w:pPr>
      <w:r>
        <w:rPr>
          <w:noProof/>
        </w:rPr>
        <w:t>974</w:t>
      </w:r>
      <w:r>
        <w:rPr>
          <w:noProof/>
        </w:rPr>
        <w:noBreakHyphen/>
        <w:t>140</w:t>
      </w:r>
      <w:r>
        <w:rPr>
          <w:noProof/>
        </w:rPr>
        <w:tab/>
        <w:t>Ordinary debt interest</w:t>
      </w:r>
      <w:r w:rsidRPr="00380510">
        <w:rPr>
          <w:rFonts w:ascii="Times" w:hAnsi="Times" w:cs="Times"/>
          <w:noProof/>
        </w:rPr>
        <w:tab/>
      </w:r>
      <w:r w:rsidRPr="00380510">
        <w:rPr>
          <w:rFonts w:ascii="Times" w:hAnsi="Times" w:cs="Times"/>
          <w:noProof/>
        </w:rPr>
        <w:fldChar w:fldCharType="begin"/>
      </w:r>
      <w:r w:rsidRPr="00380510">
        <w:rPr>
          <w:rFonts w:ascii="Times" w:hAnsi="Times" w:cs="Times"/>
          <w:noProof/>
        </w:rPr>
        <w:instrText xml:space="preserve"> PAGEREF _Toc338939686 \h </w:instrText>
      </w:r>
      <w:r w:rsidRPr="00380510">
        <w:rPr>
          <w:rFonts w:ascii="Times" w:hAnsi="Times" w:cs="Times"/>
          <w:noProof/>
        </w:rPr>
      </w:r>
      <w:r w:rsidRPr="00380510">
        <w:rPr>
          <w:rFonts w:ascii="Times" w:hAnsi="Times" w:cs="Times"/>
          <w:noProof/>
        </w:rPr>
        <w:fldChar w:fldCharType="separate"/>
      </w:r>
      <w:r w:rsidR="00623A5C">
        <w:rPr>
          <w:rFonts w:ascii="Times" w:hAnsi="Times" w:cs="Times"/>
          <w:noProof/>
        </w:rPr>
        <w:t>474</w:t>
      </w:r>
      <w:r w:rsidRPr="00380510">
        <w:rPr>
          <w:rFonts w:ascii="Times" w:hAnsi="Times" w:cs="Times"/>
          <w:noProof/>
        </w:rPr>
        <w:fldChar w:fldCharType="end"/>
      </w:r>
    </w:p>
    <w:p w:rsidR="00380510" w:rsidRDefault="00380510">
      <w:pPr>
        <w:pStyle w:val="TOC5"/>
        <w:rPr>
          <w:rFonts w:ascii="Calibri" w:hAnsi="Calibri"/>
          <w:iCs w:val="0"/>
          <w:noProof/>
          <w:kern w:val="0"/>
          <w:sz w:val="22"/>
          <w:szCs w:val="22"/>
        </w:rPr>
      </w:pPr>
      <w:r>
        <w:rPr>
          <w:noProof/>
        </w:rPr>
        <w:t>974</w:t>
      </w:r>
      <w:r>
        <w:rPr>
          <w:noProof/>
        </w:rPr>
        <w:noBreakHyphen/>
        <w:t>145</w:t>
      </w:r>
      <w:r>
        <w:rPr>
          <w:noProof/>
        </w:rPr>
        <w:tab/>
        <w:t>Benchmark rate of return</w:t>
      </w:r>
      <w:r w:rsidRPr="00380510">
        <w:rPr>
          <w:rFonts w:ascii="Times" w:hAnsi="Times" w:cs="Times"/>
          <w:noProof/>
        </w:rPr>
        <w:tab/>
      </w:r>
      <w:r w:rsidRPr="00380510">
        <w:rPr>
          <w:rFonts w:ascii="Times" w:hAnsi="Times" w:cs="Times"/>
          <w:noProof/>
        </w:rPr>
        <w:fldChar w:fldCharType="begin"/>
      </w:r>
      <w:r w:rsidRPr="00380510">
        <w:rPr>
          <w:rFonts w:ascii="Times" w:hAnsi="Times" w:cs="Times"/>
          <w:noProof/>
        </w:rPr>
        <w:instrText xml:space="preserve"> PAGEREF _Toc338939687 \h </w:instrText>
      </w:r>
      <w:r w:rsidRPr="00380510">
        <w:rPr>
          <w:rFonts w:ascii="Times" w:hAnsi="Times" w:cs="Times"/>
          <w:noProof/>
        </w:rPr>
      </w:r>
      <w:r w:rsidRPr="00380510">
        <w:rPr>
          <w:rFonts w:ascii="Times" w:hAnsi="Times" w:cs="Times"/>
          <w:noProof/>
        </w:rPr>
        <w:fldChar w:fldCharType="separate"/>
      </w:r>
      <w:r w:rsidR="00623A5C">
        <w:rPr>
          <w:rFonts w:ascii="Times" w:hAnsi="Times" w:cs="Times"/>
          <w:noProof/>
        </w:rPr>
        <w:t>474</w:t>
      </w:r>
      <w:r w:rsidRPr="00380510">
        <w:rPr>
          <w:rFonts w:ascii="Times" w:hAnsi="Times" w:cs="Times"/>
          <w:noProof/>
        </w:rPr>
        <w:fldChar w:fldCharType="end"/>
      </w:r>
    </w:p>
    <w:p w:rsidR="00380510" w:rsidRDefault="00380510">
      <w:pPr>
        <w:pStyle w:val="TOC5"/>
        <w:rPr>
          <w:rFonts w:ascii="Calibri" w:hAnsi="Calibri"/>
          <w:iCs w:val="0"/>
          <w:noProof/>
          <w:kern w:val="0"/>
          <w:sz w:val="22"/>
          <w:szCs w:val="22"/>
        </w:rPr>
      </w:pPr>
      <w:r>
        <w:rPr>
          <w:noProof/>
        </w:rPr>
        <w:t>974</w:t>
      </w:r>
      <w:r>
        <w:rPr>
          <w:noProof/>
        </w:rPr>
        <w:noBreakHyphen/>
        <w:t>150</w:t>
      </w:r>
      <w:r>
        <w:rPr>
          <w:noProof/>
        </w:rPr>
        <w:tab/>
        <w:t>Schemes</w:t>
      </w:r>
      <w:r w:rsidRPr="00380510">
        <w:rPr>
          <w:rFonts w:ascii="Times" w:hAnsi="Times" w:cs="Times"/>
          <w:noProof/>
        </w:rPr>
        <w:tab/>
      </w:r>
      <w:r w:rsidRPr="00380510">
        <w:rPr>
          <w:rFonts w:ascii="Times" w:hAnsi="Times" w:cs="Times"/>
          <w:noProof/>
        </w:rPr>
        <w:fldChar w:fldCharType="begin"/>
      </w:r>
      <w:r w:rsidRPr="00380510">
        <w:rPr>
          <w:rFonts w:ascii="Times" w:hAnsi="Times" w:cs="Times"/>
          <w:noProof/>
        </w:rPr>
        <w:instrText xml:space="preserve"> PAGEREF _Toc338939688 \h </w:instrText>
      </w:r>
      <w:r w:rsidRPr="00380510">
        <w:rPr>
          <w:rFonts w:ascii="Times" w:hAnsi="Times" w:cs="Times"/>
          <w:noProof/>
        </w:rPr>
      </w:r>
      <w:r w:rsidRPr="00380510">
        <w:rPr>
          <w:rFonts w:ascii="Times" w:hAnsi="Times" w:cs="Times"/>
          <w:noProof/>
        </w:rPr>
        <w:fldChar w:fldCharType="separate"/>
      </w:r>
      <w:r w:rsidR="00623A5C">
        <w:rPr>
          <w:rFonts w:ascii="Times" w:hAnsi="Times" w:cs="Times"/>
          <w:noProof/>
        </w:rPr>
        <w:t>475</w:t>
      </w:r>
      <w:r w:rsidRPr="00380510">
        <w:rPr>
          <w:rFonts w:ascii="Times" w:hAnsi="Times" w:cs="Times"/>
          <w:noProof/>
        </w:rPr>
        <w:fldChar w:fldCharType="end"/>
      </w:r>
    </w:p>
    <w:p w:rsidR="00380510" w:rsidRDefault="00380510">
      <w:pPr>
        <w:pStyle w:val="TOC5"/>
        <w:rPr>
          <w:rFonts w:ascii="Calibri" w:hAnsi="Calibri"/>
          <w:iCs w:val="0"/>
          <w:noProof/>
          <w:kern w:val="0"/>
          <w:sz w:val="22"/>
          <w:szCs w:val="22"/>
        </w:rPr>
      </w:pPr>
      <w:r>
        <w:rPr>
          <w:noProof/>
        </w:rPr>
        <w:t>974</w:t>
      </w:r>
      <w:r>
        <w:rPr>
          <w:noProof/>
        </w:rPr>
        <w:noBreakHyphen/>
        <w:t>155</w:t>
      </w:r>
      <w:r>
        <w:rPr>
          <w:noProof/>
        </w:rPr>
        <w:tab/>
        <w:t>Related schemes</w:t>
      </w:r>
      <w:r w:rsidRPr="00380510">
        <w:rPr>
          <w:rFonts w:ascii="Times" w:hAnsi="Times" w:cs="Times"/>
          <w:noProof/>
        </w:rPr>
        <w:tab/>
      </w:r>
      <w:r w:rsidRPr="00380510">
        <w:rPr>
          <w:rFonts w:ascii="Times" w:hAnsi="Times" w:cs="Times"/>
          <w:noProof/>
        </w:rPr>
        <w:fldChar w:fldCharType="begin"/>
      </w:r>
      <w:r w:rsidRPr="00380510">
        <w:rPr>
          <w:rFonts w:ascii="Times" w:hAnsi="Times" w:cs="Times"/>
          <w:noProof/>
        </w:rPr>
        <w:instrText xml:space="preserve"> PAGEREF _Toc338939689 \h </w:instrText>
      </w:r>
      <w:r w:rsidRPr="00380510">
        <w:rPr>
          <w:rFonts w:ascii="Times" w:hAnsi="Times" w:cs="Times"/>
          <w:noProof/>
        </w:rPr>
      </w:r>
      <w:r w:rsidRPr="00380510">
        <w:rPr>
          <w:rFonts w:ascii="Times" w:hAnsi="Times" w:cs="Times"/>
          <w:noProof/>
        </w:rPr>
        <w:fldChar w:fldCharType="separate"/>
      </w:r>
      <w:r w:rsidR="00623A5C">
        <w:rPr>
          <w:rFonts w:ascii="Times" w:hAnsi="Times" w:cs="Times"/>
          <w:noProof/>
        </w:rPr>
        <w:t>476</w:t>
      </w:r>
      <w:r w:rsidRPr="00380510">
        <w:rPr>
          <w:rFonts w:ascii="Times" w:hAnsi="Times" w:cs="Times"/>
          <w:noProof/>
        </w:rPr>
        <w:fldChar w:fldCharType="end"/>
      </w:r>
    </w:p>
    <w:p w:rsidR="00380510" w:rsidRDefault="00380510">
      <w:pPr>
        <w:pStyle w:val="TOC5"/>
        <w:rPr>
          <w:rFonts w:ascii="Calibri" w:hAnsi="Calibri"/>
          <w:iCs w:val="0"/>
          <w:noProof/>
          <w:kern w:val="0"/>
          <w:sz w:val="22"/>
          <w:szCs w:val="22"/>
        </w:rPr>
      </w:pPr>
      <w:r>
        <w:rPr>
          <w:noProof/>
        </w:rPr>
        <w:t>974</w:t>
      </w:r>
      <w:r>
        <w:rPr>
          <w:noProof/>
        </w:rPr>
        <w:noBreakHyphen/>
        <w:t>160</w:t>
      </w:r>
      <w:r>
        <w:rPr>
          <w:noProof/>
        </w:rPr>
        <w:tab/>
        <w:t>Financial benefit</w:t>
      </w:r>
      <w:r w:rsidRPr="00380510">
        <w:rPr>
          <w:rFonts w:ascii="Times" w:hAnsi="Times" w:cs="Times"/>
          <w:noProof/>
        </w:rPr>
        <w:tab/>
      </w:r>
      <w:r w:rsidRPr="00380510">
        <w:rPr>
          <w:rFonts w:ascii="Times" w:hAnsi="Times" w:cs="Times"/>
          <w:noProof/>
        </w:rPr>
        <w:fldChar w:fldCharType="begin"/>
      </w:r>
      <w:r w:rsidRPr="00380510">
        <w:rPr>
          <w:rFonts w:ascii="Times" w:hAnsi="Times" w:cs="Times"/>
          <w:noProof/>
        </w:rPr>
        <w:instrText xml:space="preserve"> PAGEREF _Toc338939690 \h </w:instrText>
      </w:r>
      <w:r w:rsidRPr="00380510">
        <w:rPr>
          <w:rFonts w:ascii="Times" w:hAnsi="Times" w:cs="Times"/>
          <w:noProof/>
        </w:rPr>
      </w:r>
      <w:r w:rsidRPr="00380510">
        <w:rPr>
          <w:rFonts w:ascii="Times" w:hAnsi="Times" w:cs="Times"/>
          <w:noProof/>
        </w:rPr>
        <w:fldChar w:fldCharType="separate"/>
      </w:r>
      <w:r w:rsidR="00623A5C">
        <w:rPr>
          <w:rFonts w:ascii="Times" w:hAnsi="Times" w:cs="Times"/>
          <w:noProof/>
        </w:rPr>
        <w:t>477</w:t>
      </w:r>
      <w:r w:rsidRPr="00380510">
        <w:rPr>
          <w:rFonts w:ascii="Times" w:hAnsi="Times" w:cs="Times"/>
          <w:noProof/>
        </w:rPr>
        <w:fldChar w:fldCharType="end"/>
      </w:r>
    </w:p>
    <w:p w:rsidR="00380510" w:rsidRDefault="00380510">
      <w:pPr>
        <w:pStyle w:val="TOC5"/>
        <w:rPr>
          <w:rFonts w:ascii="Calibri" w:hAnsi="Calibri"/>
          <w:iCs w:val="0"/>
          <w:noProof/>
          <w:kern w:val="0"/>
          <w:sz w:val="22"/>
          <w:szCs w:val="22"/>
        </w:rPr>
      </w:pPr>
      <w:r>
        <w:rPr>
          <w:noProof/>
        </w:rPr>
        <w:t>974</w:t>
      </w:r>
      <w:r>
        <w:rPr>
          <w:noProof/>
        </w:rPr>
        <w:noBreakHyphen/>
        <w:t>165</w:t>
      </w:r>
      <w:r>
        <w:rPr>
          <w:noProof/>
        </w:rPr>
        <w:tab/>
        <w:t>Convertible and converting interests</w:t>
      </w:r>
      <w:r w:rsidRPr="00380510">
        <w:rPr>
          <w:rFonts w:ascii="Times" w:hAnsi="Times" w:cs="Times"/>
          <w:noProof/>
        </w:rPr>
        <w:tab/>
      </w:r>
      <w:r w:rsidRPr="00380510">
        <w:rPr>
          <w:rFonts w:ascii="Times" w:hAnsi="Times" w:cs="Times"/>
          <w:noProof/>
        </w:rPr>
        <w:fldChar w:fldCharType="begin"/>
      </w:r>
      <w:r w:rsidRPr="00380510">
        <w:rPr>
          <w:rFonts w:ascii="Times" w:hAnsi="Times" w:cs="Times"/>
          <w:noProof/>
        </w:rPr>
        <w:instrText xml:space="preserve"> PAGEREF _Toc338939691 \h </w:instrText>
      </w:r>
      <w:r w:rsidRPr="00380510">
        <w:rPr>
          <w:rFonts w:ascii="Times" w:hAnsi="Times" w:cs="Times"/>
          <w:noProof/>
        </w:rPr>
      </w:r>
      <w:r w:rsidRPr="00380510">
        <w:rPr>
          <w:rFonts w:ascii="Times" w:hAnsi="Times" w:cs="Times"/>
          <w:noProof/>
        </w:rPr>
        <w:fldChar w:fldCharType="separate"/>
      </w:r>
      <w:r w:rsidR="00623A5C">
        <w:rPr>
          <w:rFonts w:ascii="Times" w:hAnsi="Times" w:cs="Times"/>
          <w:noProof/>
        </w:rPr>
        <w:t>477</w:t>
      </w:r>
      <w:r w:rsidRPr="00380510">
        <w:rPr>
          <w:rFonts w:ascii="Times" w:hAnsi="Times" w:cs="Times"/>
          <w:noProof/>
        </w:rPr>
        <w:fldChar w:fldCharType="end"/>
      </w:r>
    </w:p>
    <w:p w:rsidR="00380510" w:rsidRDefault="00380510">
      <w:pPr>
        <w:pStyle w:val="TOC3"/>
        <w:rPr>
          <w:rFonts w:ascii="Calibri" w:hAnsi="Calibri"/>
          <w:b w:val="0"/>
          <w:noProof/>
          <w:kern w:val="0"/>
          <w:szCs w:val="22"/>
        </w:rPr>
      </w:pPr>
      <w:r>
        <w:rPr>
          <w:noProof/>
        </w:rPr>
        <w:t>Division 975—Concepts about companies</w:t>
      </w:r>
      <w:r w:rsidRPr="00380510">
        <w:rPr>
          <w:rFonts w:ascii="Times" w:hAnsi="Times" w:cs="Times"/>
          <w:b w:val="0"/>
          <w:noProof/>
          <w:sz w:val="18"/>
        </w:rPr>
        <w:tab/>
      </w:r>
      <w:r w:rsidRPr="00380510">
        <w:rPr>
          <w:rFonts w:ascii="Times" w:hAnsi="Times" w:cs="Times"/>
          <w:b w:val="0"/>
          <w:noProof/>
          <w:sz w:val="18"/>
        </w:rPr>
        <w:fldChar w:fldCharType="begin"/>
      </w:r>
      <w:r w:rsidRPr="00380510">
        <w:rPr>
          <w:rFonts w:ascii="Times" w:hAnsi="Times" w:cs="Times"/>
          <w:b w:val="0"/>
          <w:noProof/>
          <w:sz w:val="18"/>
        </w:rPr>
        <w:instrText xml:space="preserve"> PAGEREF _Toc338939692 \h </w:instrText>
      </w:r>
      <w:r w:rsidRPr="00380510">
        <w:rPr>
          <w:rFonts w:ascii="Times" w:hAnsi="Times" w:cs="Times"/>
          <w:b w:val="0"/>
          <w:noProof/>
          <w:sz w:val="18"/>
        </w:rPr>
      </w:r>
      <w:r w:rsidRPr="00380510">
        <w:rPr>
          <w:rFonts w:ascii="Times" w:hAnsi="Times" w:cs="Times"/>
          <w:b w:val="0"/>
          <w:noProof/>
          <w:sz w:val="18"/>
        </w:rPr>
        <w:fldChar w:fldCharType="separate"/>
      </w:r>
      <w:r w:rsidR="00623A5C">
        <w:rPr>
          <w:rFonts w:ascii="Times" w:hAnsi="Times" w:cs="Times"/>
          <w:b w:val="0"/>
          <w:noProof/>
          <w:sz w:val="18"/>
        </w:rPr>
        <w:t>479</w:t>
      </w:r>
      <w:r w:rsidRPr="00380510">
        <w:rPr>
          <w:rFonts w:ascii="Times" w:hAnsi="Times" w:cs="Times"/>
          <w:b w:val="0"/>
          <w:noProof/>
          <w:sz w:val="18"/>
        </w:rPr>
        <w:fldChar w:fldCharType="end"/>
      </w:r>
    </w:p>
    <w:p w:rsidR="00380510" w:rsidRDefault="00380510">
      <w:pPr>
        <w:pStyle w:val="TOC4"/>
        <w:rPr>
          <w:rFonts w:ascii="Calibri" w:hAnsi="Calibri"/>
          <w:b w:val="0"/>
          <w:noProof/>
          <w:kern w:val="0"/>
          <w:sz w:val="22"/>
          <w:szCs w:val="22"/>
        </w:rPr>
      </w:pPr>
      <w:r>
        <w:rPr>
          <w:noProof/>
        </w:rPr>
        <w:t>Subdivision 975</w:t>
      </w:r>
      <w:r>
        <w:rPr>
          <w:noProof/>
        </w:rPr>
        <w:noBreakHyphen/>
        <w:t>A—General</w:t>
      </w:r>
      <w:r w:rsidRPr="00380510">
        <w:rPr>
          <w:rFonts w:ascii="Times" w:hAnsi="Times" w:cs="Times"/>
          <w:b w:val="0"/>
          <w:noProof/>
          <w:sz w:val="18"/>
        </w:rPr>
        <w:tab/>
      </w:r>
      <w:r w:rsidRPr="00380510">
        <w:rPr>
          <w:rFonts w:ascii="Times" w:hAnsi="Times" w:cs="Times"/>
          <w:b w:val="0"/>
          <w:noProof/>
          <w:sz w:val="18"/>
        </w:rPr>
        <w:fldChar w:fldCharType="begin"/>
      </w:r>
      <w:r w:rsidRPr="00380510">
        <w:rPr>
          <w:rFonts w:ascii="Times" w:hAnsi="Times" w:cs="Times"/>
          <w:b w:val="0"/>
          <w:noProof/>
          <w:sz w:val="18"/>
        </w:rPr>
        <w:instrText xml:space="preserve"> PAGEREF _Toc338939693 \h </w:instrText>
      </w:r>
      <w:r w:rsidRPr="00380510">
        <w:rPr>
          <w:rFonts w:ascii="Times" w:hAnsi="Times" w:cs="Times"/>
          <w:b w:val="0"/>
          <w:noProof/>
          <w:sz w:val="18"/>
        </w:rPr>
      </w:r>
      <w:r w:rsidRPr="00380510">
        <w:rPr>
          <w:rFonts w:ascii="Times" w:hAnsi="Times" w:cs="Times"/>
          <w:b w:val="0"/>
          <w:noProof/>
          <w:sz w:val="18"/>
        </w:rPr>
        <w:fldChar w:fldCharType="separate"/>
      </w:r>
      <w:r w:rsidR="00623A5C">
        <w:rPr>
          <w:rFonts w:ascii="Times" w:hAnsi="Times" w:cs="Times"/>
          <w:b w:val="0"/>
          <w:noProof/>
          <w:sz w:val="18"/>
        </w:rPr>
        <w:t>479</w:t>
      </w:r>
      <w:r w:rsidRPr="00380510">
        <w:rPr>
          <w:rFonts w:ascii="Times" w:hAnsi="Times" w:cs="Times"/>
          <w:b w:val="0"/>
          <w:noProof/>
          <w:sz w:val="18"/>
        </w:rPr>
        <w:fldChar w:fldCharType="end"/>
      </w:r>
    </w:p>
    <w:p w:rsidR="00380510" w:rsidRDefault="00380510">
      <w:pPr>
        <w:pStyle w:val="TOC5"/>
        <w:rPr>
          <w:rFonts w:ascii="Calibri" w:hAnsi="Calibri"/>
          <w:iCs w:val="0"/>
          <w:noProof/>
          <w:kern w:val="0"/>
          <w:sz w:val="22"/>
          <w:szCs w:val="22"/>
        </w:rPr>
      </w:pPr>
      <w:r>
        <w:rPr>
          <w:noProof/>
        </w:rPr>
        <w:t>975</w:t>
      </w:r>
      <w:r>
        <w:rPr>
          <w:noProof/>
        </w:rPr>
        <w:noBreakHyphen/>
        <w:t>150</w:t>
      </w:r>
      <w:r>
        <w:rPr>
          <w:noProof/>
        </w:rPr>
        <w:tab/>
      </w:r>
      <w:r w:rsidRPr="008A0EAA">
        <w:rPr>
          <w:i/>
          <w:noProof/>
        </w:rPr>
        <w:t>Position to affect rights</w:t>
      </w:r>
      <w:r>
        <w:rPr>
          <w:noProof/>
        </w:rPr>
        <w:t xml:space="preserve"> in relation to a company</w:t>
      </w:r>
      <w:r w:rsidRPr="00380510">
        <w:rPr>
          <w:rFonts w:ascii="Times" w:hAnsi="Times" w:cs="Times"/>
          <w:noProof/>
        </w:rPr>
        <w:tab/>
      </w:r>
      <w:r w:rsidRPr="00380510">
        <w:rPr>
          <w:rFonts w:ascii="Times" w:hAnsi="Times" w:cs="Times"/>
          <w:noProof/>
        </w:rPr>
        <w:fldChar w:fldCharType="begin"/>
      </w:r>
      <w:r w:rsidRPr="00380510">
        <w:rPr>
          <w:rFonts w:ascii="Times" w:hAnsi="Times" w:cs="Times"/>
          <w:noProof/>
        </w:rPr>
        <w:instrText xml:space="preserve"> PAGEREF _Toc338939694 \h </w:instrText>
      </w:r>
      <w:r w:rsidRPr="00380510">
        <w:rPr>
          <w:rFonts w:ascii="Times" w:hAnsi="Times" w:cs="Times"/>
          <w:noProof/>
        </w:rPr>
      </w:r>
      <w:r w:rsidRPr="00380510">
        <w:rPr>
          <w:rFonts w:ascii="Times" w:hAnsi="Times" w:cs="Times"/>
          <w:noProof/>
        </w:rPr>
        <w:fldChar w:fldCharType="separate"/>
      </w:r>
      <w:r w:rsidR="00623A5C">
        <w:rPr>
          <w:rFonts w:ascii="Times" w:hAnsi="Times" w:cs="Times"/>
          <w:noProof/>
        </w:rPr>
        <w:t>479</w:t>
      </w:r>
      <w:r w:rsidRPr="00380510">
        <w:rPr>
          <w:rFonts w:ascii="Times" w:hAnsi="Times" w:cs="Times"/>
          <w:noProof/>
        </w:rPr>
        <w:fldChar w:fldCharType="end"/>
      </w:r>
    </w:p>
    <w:p w:rsidR="00380510" w:rsidRDefault="00380510">
      <w:pPr>
        <w:pStyle w:val="TOC5"/>
        <w:rPr>
          <w:rFonts w:ascii="Calibri" w:hAnsi="Calibri"/>
          <w:iCs w:val="0"/>
          <w:noProof/>
          <w:kern w:val="0"/>
          <w:sz w:val="22"/>
          <w:szCs w:val="22"/>
        </w:rPr>
      </w:pPr>
      <w:r>
        <w:rPr>
          <w:noProof/>
        </w:rPr>
        <w:t>975</w:t>
      </w:r>
      <w:r>
        <w:rPr>
          <w:noProof/>
        </w:rPr>
        <w:noBreakHyphen/>
        <w:t>155</w:t>
      </w:r>
      <w:r>
        <w:rPr>
          <w:noProof/>
        </w:rPr>
        <w:tab/>
        <w:t xml:space="preserve">When is an entity a </w:t>
      </w:r>
      <w:r w:rsidRPr="008A0EAA">
        <w:rPr>
          <w:i/>
          <w:noProof/>
        </w:rPr>
        <w:t>controller (for CGT purposes)</w:t>
      </w:r>
      <w:r>
        <w:rPr>
          <w:noProof/>
        </w:rPr>
        <w:t xml:space="preserve"> of a company?</w:t>
      </w:r>
      <w:r w:rsidRPr="00380510">
        <w:rPr>
          <w:rFonts w:ascii="Times" w:hAnsi="Times" w:cs="Times"/>
          <w:noProof/>
        </w:rPr>
        <w:tab/>
      </w:r>
      <w:r w:rsidRPr="00380510">
        <w:rPr>
          <w:rFonts w:ascii="Times" w:hAnsi="Times" w:cs="Times"/>
          <w:noProof/>
        </w:rPr>
        <w:fldChar w:fldCharType="begin"/>
      </w:r>
      <w:r w:rsidRPr="00380510">
        <w:rPr>
          <w:rFonts w:ascii="Times" w:hAnsi="Times" w:cs="Times"/>
          <w:noProof/>
        </w:rPr>
        <w:instrText xml:space="preserve"> PAGEREF _Toc338939695 \h </w:instrText>
      </w:r>
      <w:r w:rsidRPr="00380510">
        <w:rPr>
          <w:rFonts w:ascii="Times" w:hAnsi="Times" w:cs="Times"/>
          <w:noProof/>
        </w:rPr>
      </w:r>
      <w:r w:rsidRPr="00380510">
        <w:rPr>
          <w:rFonts w:ascii="Times" w:hAnsi="Times" w:cs="Times"/>
          <w:noProof/>
        </w:rPr>
        <w:fldChar w:fldCharType="separate"/>
      </w:r>
      <w:r w:rsidR="00623A5C">
        <w:rPr>
          <w:rFonts w:ascii="Times" w:hAnsi="Times" w:cs="Times"/>
          <w:noProof/>
        </w:rPr>
        <w:t>480</w:t>
      </w:r>
      <w:r w:rsidRPr="00380510">
        <w:rPr>
          <w:rFonts w:ascii="Times" w:hAnsi="Times" w:cs="Times"/>
          <w:noProof/>
        </w:rPr>
        <w:fldChar w:fldCharType="end"/>
      </w:r>
    </w:p>
    <w:p w:rsidR="00380510" w:rsidRDefault="00380510">
      <w:pPr>
        <w:pStyle w:val="TOC5"/>
        <w:rPr>
          <w:rFonts w:ascii="Calibri" w:hAnsi="Calibri"/>
          <w:iCs w:val="0"/>
          <w:noProof/>
          <w:kern w:val="0"/>
          <w:sz w:val="22"/>
          <w:szCs w:val="22"/>
        </w:rPr>
      </w:pPr>
      <w:r>
        <w:rPr>
          <w:noProof/>
        </w:rPr>
        <w:t>975</w:t>
      </w:r>
      <w:r>
        <w:rPr>
          <w:noProof/>
        </w:rPr>
        <w:noBreakHyphen/>
        <w:t>160</w:t>
      </w:r>
      <w:r>
        <w:rPr>
          <w:noProof/>
        </w:rPr>
        <w:tab/>
        <w:t xml:space="preserve">When an entity has an </w:t>
      </w:r>
      <w:r w:rsidRPr="008A0EAA">
        <w:rPr>
          <w:i/>
          <w:noProof/>
        </w:rPr>
        <w:t>associate</w:t>
      </w:r>
      <w:r w:rsidRPr="008A0EAA">
        <w:rPr>
          <w:i/>
          <w:noProof/>
        </w:rPr>
        <w:noBreakHyphen/>
        <w:t>inclusive control interest</w:t>
      </w:r>
      <w:r w:rsidRPr="00380510">
        <w:rPr>
          <w:rFonts w:ascii="Times" w:hAnsi="Times" w:cs="Times"/>
          <w:noProof/>
        </w:rPr>
        <w:tab/>
      </w:r>
      <w:r w:rsidRPr="00380510">
        <w:rPr>
          <w:rFonts w:ascii="Times" w:hAnsi="Times" w:cs="Times"/>
          <w:noProof/>
        </w:rPr>
        <w:fldChar w:fldCharType="begin"/>
      </w:r>
      <w:r w:rsidRPr="00380510">
        <w:rPr>
          <w:rFonts w:ascii="Times" w:hAnsi="Times" w:cs="Times"/>
          <w:noProof/>
        </w:rPr>
        <w:instrText xml:space="preserve"> PAGEREF _Toc338939696 \h </w:instrText>
      </w:r>
      <w:r w:rsidRPr="00380510">
        <w:rPr>
          <w:rFonts w:ascii="Times" w:hAnsi="Times" w:cs="Times"/>
          <w:noProof/>
        </w:rPr>
      </w:r>
      <w:r w:rsidRPr="00380510">
        <w:rPr>
          <w:rFonts w:ascii="Times" w:hAnsi="Times" w:cs="Times"/>
          <w:noProof/>
        </w:rPr>
        <w:fldChar w:fldCharType="separate"/>
      </w:r>
      <w:r w:rsidR="00623A5C">
        <w:rPr>
          <w:rFonts w:ascii="Times" w:hAnsi="Times" w:cs="Times"/>
          <w:noProof/>
        </w:rPr>
        <w:t>480</w:t>
      </w:r>
      <w:r w:rsidRPr="00380510">
        <w:rPr>
          <w:rFonts w:ascii="Times" w:hAnsi="Times" w:cs="Times"/>
          <w:noProof/>
        </w:rPr>
        <w:fldChar w:fldCharType="end"/>
      </w:r>
    </w:p>
    <w:p w:rsidR="00380510" w:rsidRDefault="00380510">
      <w:pPr>
        <w:pStyle w:val="TOC4"/>
        <w:rPr>
          <w:rFonts w:ascii="Calibri" w:hAnsi="Calibri"/>
          <w:b w:val="0"/>
          <w:noProof/>
          <w:kern w:val="0"/>
          <w:sz w:val="22"/>
          <w:szCs w:val="22"/>
        </w:rPr>
      </w:pPr>
      <w:r>
        <w:rPr>
          <w:noProof/>
        </w:rPr>
        <w:t>Subdivision 975</w:t>
      </w:r>
      <w:r>
        <w:rPr>
          <w:noProof/>
        </w:rPr>
        <w:noBreakHyphen/>
        <w:t>G—What is a company’s share capital account?</w:t>
      </w:r>
      <w:r w:rsidRPr="00380510">
        <w:rPr>
          <w:rFonts w:ascii="Times" w:hAnsi="Times" w:cs="Times"/>
          <w:b w:val="0"/>
          <w:noProof/>
          <w:sz w:val="18"/>
        </w:rPr>
        <w:tab/>
      </w:r>
      <w:r w:rsidRPr="00380510">
        <w:rPr>
          <w:rFonts w:ascii="Times" w:hAnsi="Times" w:cs="Times"/>
          <w:b w:val="0"/>
          <w:noProof/>
          <w:sz w:val="18"/>
        </w:rPr>
        <w:fldChar w:fldCharType="begin"/>
      </w:r>
      <w:r w:rsidRPr="00380510">
        <w:rPr>
          <w:rFonts w:ascii="Times" w:hAnsi="Times" w:cs="Times"/>
          <w:b w:val="0"/>
          <w:noProof/>
          <w:sz w:val="18"/>
        </w:rPr>
        <w:instrText xml:space="preserve"> PAGEREF _Toc338939697 \h </w:instrText>
      </w:r>
      <w:r w:rsidRPr="00380510">
        <w:rPr>
          <w:rFonts w:ascii="Times" w:hAnsi="Times" w:cs="Times"/>
          <w:b w:val="0"/>
          <w:noProof/>
          <w:sz w:val="18"/>
        </w:rPr>
      </w:r>
      <w:r w:rsidRPr="00380510">
        <w:rPr>
          <w:rFonts w:ascii="Times" w:hAnsi="Times" w:cs="Times"/>
          <w:b w:val="0"/>
          <w:noProof/>
          <w:sz w:val="18"/>
        </w:rPr>
        <w:fldChar w:fldCharType="separate"/>
      </w:r>
      <w:r w:rsidR="00623A5C">
        <w:rPr>
          <w:rFonts w:ascii="Times" w:hAnsi="Times" w:cs="Times"/>
          <w:b w:val="0"/>
          <w:noProof/>
          <w:sz w:val="18"/>
        </w:rPr>
        <w:t>481</w:t>
      </w:r>
      <w:r w:rsidRPr="00380510">
        <w:rPr>
          <w:rFonts w:ascii="Times" w:hAnsi="Times" w:cs="Times"/>
          <w:b w:val="0"/>
          <w:noProof/>
          <w:sz w:val="18"/>
        </w:rPr>
        <w:fldChar w:fldCharType="end"/>
      </w:r>
    </w:p>
    <w:p w:rsidR="00380510" w:rsidRDefault="00380510">
      <w:pPr>
        <w:pStyle w:val="TOC5"/>
        <w:rPr>
          <w:rFonts w:ascii="Calibri" w:hAnsi="Calibri"/>
          <w:iCs w:val="0"/>
          <w:noProof/>
          <w:kern w:val="0"/>
          <w:sz w:val="22"/>
          <w:szCs w:val="22"/>
        </w:rPr>
      </w:pPr>
      <w:r>
        <w:rPr>
          <w:noProof/>
        </w:rPr>
        <w:t>975</w:t>
      </w:r>
      <w:r>
        <w:rPr>
          <w:noProof/>
        </w:rPr>
        <w:noBreakHyphen/>
        <w:t>300</w:t>
      </w:r>
      <w:r>
        <w:rPr>
          <w:noProof/>
        </w:rPr>
        <w:tab/>
        <w:t xml:space="preserve">Meaning of </w:t>
      </w:r>
      <w:r w:rsidRPr="008A0EAA">
        <w:rPr>
          <w:i/>
          <w:noProof/>
        </w:rPr>
        <w:t>share capital account</w:t>
      </w:r>
      <w:r w:rsidRPr="00380510">
        <w:rPr>
          <w:rFonts w:ascii="Times" w:hAnsi="Times" w:cs="Times"/>
          <w:noProof/>
        </w:rPr>
        <w:tab/>
      </w:r>
      <w:r w:rsidRPr="00380510">
        <w:rPr>
          <w:rFonts w:ascii="Times" w:hAnsi="Times" w:cs="Times"/>
          <w:noProof/>
        </w:rPr>
        <w:fldChar w:fldCharType="begin"/>
      </w:r>
      <w:r w:rsidRPr="00380510">
        <w:rPr>
          <w:rFonts w:ascii="Times" w:hAnsi="Times" w:cs="Times"/>
          <w:noProof/>
        </w:rPr>
        <w:instrText xml:space="preserve"> PAGEREF _Toc338939698 \h </w:instrText>
      </w:r>
      <w:r w:rsidRPr="00380510">
        <w:rPr>
          <w:rFonts w:ascii="Times" w:hAnsi="Times" w:cs="Times"/>
          <w:noProof/>
        </w:rPr>
      </w:r>
      <w:r w:rsidRPr="00380510">
        <w:rPr>
          <w:rFonts w:ascii="Times" w:hAnsi="Times" w:cs="Times"/>
          <w:noProof/>
        </w:rPr>
        <w:fldChar w:fldCharType="separate"/>
      </w:r>
      <w:r w:rsidR="00623A5C">
        <w:rPr>
          <w:rFonts w:ascii="Times" w:hAnsi="Times" w:cs="Times"/>
          <w:noProof/>
        </w:rPr>
        <w:t>481</w:t>
      </w:r>
      <w:r w:rsidRPr="00380510">
        <w:rPr>
          <w:rFonts w:ascii="Times" w:hAnsi="Times" w:cs="Times"/>
          <w:noProof/>
        </w:rPr>
        <w:fldChar w:fldCharType="end"/>
      </w:r>
    </w:p>
    <w:p w:rsidR="00380510" w:rsidRDefault="00380510">
      <w:pPr>
        <w:pStyle w:val="TOC4"/>
        <w:rPr>
          <w:rFonts w:ascii="Calibri" w:hAnsi="Calibri"/>
          <w:b w:val="0"/>
          <w:noProof/>
          <w:kern w:val="0"/>
          <w:sz w:val="22"/>
          <w:szCs w:val="22"/>
        </w:rPr>
      </w:pPr>
      <w:r>
        <w:rPr>
          <w:noProof/>
        </w:rPr>
        <w:t>Subdivision 975</w:t>
      </w:r>
      <w:r>
        <w:rPr>
          <w:noProof/>
        </w:rPr>
        <w:noBreakHyphen/>
        <w:t>W—Wholly</w:t>
      </w:r>
      <w:r>
        <w:rPr>
          <w:noProof/>
        </w:rPr>
        <w:noBreakHyphen/>
        <w:t>owned groups of companies</w:t>
      </w:r>
      <w:r w:rsidRPr="00380510">
        <w:rPr>
          <w:rFonts w:ascii="Times" w:hAnsi="Times" w:cs="Times"/>
          <w:b w:val="0"/>
          <w:noProof/>
          <w:sz w:val="18"/>
        </w:rPr>
        <w:tab/>
      </w:r>
      <w:r w:rsidRPr="00380510">
        <w:rPr>
          <w:rFonts w:ascii="Times" w:hAnsi="Times" w:cs="Times"/>
          <w:b w:val="0"/>
          <w:noProof/>
          <w:sz w:val="18"/>
        </w:rPr>
        <w:fldChar w:fldCharType="begin"/>
      </w:r>
      <w:r w:rsidRPr="00380510">
        <w:rPr>
          <w:rFonts w:ascii="Times" w:hAnsi="Times" w:cs="Times"/>
          <w:b w:val="0"/>
          <w:noProof/>
          <w:sz w:val="18"/>
        </w:rPr>
        <w:instrText xml:space="preserve"> PAGEREF _Toc338939699 \h </w:instrText>
      </w:r>
      <w:r w:rsidRPr="00380510">
        <w:rPr>
          <w:rFonts w:ascii="Times" w:hAnsi="Times" w:cs="Times"/>
          <w:b w:val="0"/>
          <w:noProof/>
          <w:sz w:val="18"/>
        </w:rPr>
      </w:r>
      <w:r w:rsidRPr="00380510">
        <w:rPr>
          <w:rFonts w:ascii="Times" w:hAnsi="Times" w:cs="Times"/>
          <w:b w:val="0"/>
          <w:noProof/>
          <w:sz w:val="18"/>
        </w:rPr>
        <w:fldChar w:fldCharType="separate"/>
      </w:r>
      <w:r w:rsidR="00623A5C">
        <w:rPr>
          <w:rFonts w:ascii="Times" w:hAnsi="Times" w:cs="Times"/>
          <w:b w:val="0"/>
          <w:noProof/>
          <w:sz w:val="18"/>
        </w:rPr>
        <w:t>482</w:t>
      </w:r>
      <w:r w:rsidRPr="00380510">
        <w:rPr>
          <w:rFonts w:ascii="Times" w:hAnsi="Times" w:cs="Times"/>
          <w:b w:val="0"/>
          <w:noProof/>
          <w:sz w:val="18"/>
        </w:rPr>
        <w:fldChar w:fldCharType="end"/>
      </w:r>
    </w:p>
    <w:p w:rsidR="00380510" w:rsidRDefault="00380510">
      <w:pPr>
        <w:pStyle w:val="TOC5"/>
        <w:rPr>
          <w:rFonts w:ascii="Calibri" w:hAnsi="Calibri"/>
          <w:iCs w:val="0"/>
          <w:noProof/>
          <w:kern w:val="0"/>
          <w:sz w:val="22"/>
          <w:szCs w:val="22"/>
        </w:rPr>
      </w:pPr>
      <w:r>
        <w:rPr>
          <w:noProof/>
        </w:rPr>
        <w:t>975</w:t>
      </w:r>
      <w:r>
        <w:rPr>
          <w:noProof/>
        </w:rPr>
        <w:noBreakHyphen/>
        <w:t>500</w:t>
      </w:r>
      <w:r>
        <w:rPr>
          <w:noProof/>
        </w:rPr>
        <w:tab/>
        <w:t>Wholly</w:t>
      </w:r>
      <w:r>
        <w:rPr>
          <w:noProof/>
        </w:rPr>
        <w:noBreakHyphen/>
        <w:t>owned groups</w:t>
      </w:r>
      <w:r w:rsidRPr="00380510">
        <w:rPr>
          <w:rFonts w:ascii="Times" w:hAnsi="Times" w:cs="Times"/>
          <w:noProof/>
        </w:rPr>
        <w:tab/>
      </w:r>
      <w:r w:rsidRPr="00380510">
        <w:rPr>
          <w:rFonts w:ascii="Times" w:hAnsi="Times" w:cs="Times"/>
          <w:noProof/>
        </w:rPr>
        <w:fldChar w:fldCharType="begin"/>
      </w:r>
      <w:r w:rsidRPr="00380510">
        <w:rPr>
          <w:rFonts w:ascii="Times" w:hAnsi="Times" w:cs="Times"/>
          <w:noProof/>
        </w:rPr>
        <w:instrText xml:space="preserve"> PAGEREF _Toc338939700 \h </w:instrText>
      </w:r>
      <w:r w:rsidRPr="00380510">
        <w:rPr>
          <w:rFonts w:ascii="Times" w:hAnsi="Times" w:cs="Times"/>
          <w:noProof/>
        </w:rPr>
      </w:r>
      <w:r w:rsidRPr="00380510">
        <w:rPr>
          <w:rFonts w:ascii="Times" w:hAnsi="Times" w:cs="Times"/>
          <w:noProof/>
        </w:rPr>
        <w:fldChar w:fldCharType="separate"/>
      </w:r>
      <w:r w:rsidR="00623A5C">
        <w:rPr>
          <w:rFonts w:ascii="Times" w:hAnsi="Times" w:cs="Times"/>
          <w:noProof/>
        </w:rPr>
        <w:t>482</w:t>
      </w:r>
      <w:r w:rsidRPr="00380510">
        <w:rPr>
          <w:rFonts w:ascii="Times" w:hAnsi="Times" w:cs="Times"/>
          <w:noProof/>
        </w:rPr>
        <w:fldChar w:fldCharType="end"/>
      </w:r>
    </w:p>
    <w:p w:rsidR="00380510" w:rsidRDefault="00380510">
      <w:pPr>
        <w:pStyle w:val="TOC5"/>
        <w:rPr>
          <w:rFonts w:ascii="Calibri" w:hAnsi="Calibri"/>
          <w:iCs w:val="0"/>
          <w:noProof/>
          <w:kern w:val="0"/>
          <w:sz w:val="22"/>
          <w:szCs w:val="22"/>
        </w:rPr>
      </w:pPr>
      <w:r>
        <w:rPr>
          <w:noProof/>
        </w:rPr>
        <w:t>975</w:t>
      </w:r>
      <w:r>
        <w:rPr>
          <w:noProof/>
        </w:rPr>
        <w:noBreakHyphen/>
        <w:t>505</w:t>
      </w:r>
      <w:r>
        <w:rPr>
          <w:noProof/>
        </w:rPr>
        <w:tab/>
        <w:t>What is a 100% subsidiary?</w:t>
      </w:r>
      <w:r w:rsidRPr="00380510">
        <w:rPr>
          <w:rFonts w:ascii="Times" w:hAnsi="Times" w:cs="Times"/>
          <w:noProof/>
        </w:rPr>
        <w:tab/>
      </w:r>
      <w:r w:rsidRPr="00380510">
        <w:rPr>
          <w:rFonts w:ascii="Times" w:hAnsi="Times" w:cs="Times"/>
          <w:noProof/>
        </w:rPr>
        <w:fldChar w:fldCharType="begin"/>
      </w:r>
      <w:r w:rsidRPr="00380510">
        <w:rPr>
          <w:rFonts w:ascii="Times" w:hAnsi="Times" w:cs="Times"/>
          <w:noProof/>
        </w:rPr>
        <w:instrText xml:space="preserve"> PAGEREF _Toc338939701 \h </w:instrText>
      </w:r>
      <w:r w:rsidRPr="00380510">
        <w:rPr>
          <w:rFonts w:ascii="Times" w:hAnsi="Times" w:cs="Times"/>
          <w:noProof/>
        </w:rPr>
      </w:r>
      <w:r w:rsidRPr="00380510">
        <w:rPr>
          <w:rFonts w:ascii="Times" w:hAnsi="Times" w:cs="Times"/>
          <w:noProof/>
        </w:rPr>
        <w:fldChar w:fldCharType="separate"/>
      </w:r>
      <w:r w:rsidR="00623A5C">
        <w:rPr>
          <w:rFonts w:ascii="Times" w:hAnsi="Times" w:cs="Times"/>
          <w:noProof/>
        </w:rPr>
        <w:t>482</w:t>
      </w:r>
      <w:r w:rsidRPr="00380510">
        <w:rPr>
          <w:rFonts w:ascii="Times" w:hAnsi="Times" w:cs="Times"/>
          <w:noProof/>
        </w:rPr>
        <w:fldChar w:fldCharType="end"/>
      </w:r>
    </w:p>
    <w:p w:rsidR="00380510" w:rsidRDefault="00380510">
      <w:pPr>
        <w:pStyle w:val="TOC3"/>
        <w:rPr>
          <w:rFonts w:ascii="Calibri" w:hAnsi="Calibri"/>
          <w:b w:val="0"/>
          <w:noProof/>
          <w:kern w:val="0"/>
          <w:szCs w:val="22"/>
        </w:rPr>
      </w:pPr>
      <w:r>
        <w:rPr>
          <w:noProof/>
        </w:rPr>
        <w:t>Division 977—Realisation events, and the gains and losses they realise for income tax purposes</w:t>
      </w:r>
      <w:r w:rsidRPr="00380510">
        <w:rPr>
          <w:rFonts w:ascii="Times" w:hAnsi="Times" w:cs="Times"/>
          <w:b w:val="0"/>
          <w:noProof/>
          <w:sz w:val="18"/>
        </w:rPr>
        <w:tab/>
      </w:r>
      <w:r w:rsidRPr="00380510">
        <w:rPr>
          <w:rFonts w:ascii="Times" w:hAnsi="Times" w:cs="Times"/>
          <w:b w:val="0"/>
          <w:noProof/>
          <w:sz w:val="18"/>
        </w:rPr>
        <w:fldChar w:fldCharType="begin"/>
      </w:r>
      <w:r w:rsidRPr="00380510">
        <w:rPr>
          <w:rFonts w:ascii="Times" w:hAnsi="Times" w:cs="Times"/>
          <w:b w:val="0"/>
          <w:noProof/>
          <w:sz w:val="18"/>
        </w:rPr>
        <w:instrText xml:space="preserve"> PAGEREF _Toc338939702 \h </w:instrText>
      </w:r>
      <w:r w:rsidRPr="00380510">
        <w:rPr>
          <w:rFonts w:ascii="Times" w:hAnsi="Times" w:cs="Times"/>
          <w:b w:val="0"/>
          <w:noProof/>
          <w:sz w:val="18"/>
        </w:rPr>
      </w:r>
      <w:r w:rsidRPr="00380510">
        <w:rPr>
          <w:rFonts w:ascii="Times" w:hAnsi="Times" w:cs="Times"/>
          <w:b w:val="0"/>
          <w:noProof/>
          <w:sz w:val="18"/>
        </w:rPr>
        <w:fldChar w:fldCharType="separate"/>
      </w:r>
      <w:r w:rsidR="00623A5C">
        <w:rPr>
          <w:rFonts w:ascii="Times" w:hAnsi="Times" w:cs="Times"/>
          <w:b w:val="0"/>
          <w:noProof/>
          <w:sz w:val="18"/>
        </w:rPr>
        <w:t>484</w:t>
      </w:r>
      <w:r w:rsidRPr="00380510">
        <w:rPr>
          <w:rFonts w:ascii="Times" w:hAnsi="Times" w:cs="Times"/>
          <w:b w:val="0"/>
          <w:noProof/>
          <w:sz w:val="18"/>
        </w:rPr>
        <w:fldChar w:fldCharType="end"/>
      </w:r>
    </w:p>
    <w:p w:rsidR="00380510" w:rsidRDefault="00380510">
      <w:pPr>
        <w:pStyle w:val="TOC4"/>
        <w:rPr>
          <w:rFonts w:ascii="Calibri" w:hAnsi="Calibri"/>
          <w:b w:val="0"/>
          <w:noProof/>
          <w:kern w:val="0"/>
          <w:sz w:val="22"/>
          <w:szCs w:val="22"/>
        </w:rPr>
      </w:pPr>
      <w:r>
        <w:rPr>
          <w:noProof/>
        </w:rPr>
        <w:t>CGT assets</w:t>
      </w:r>
      <w:r w:rsidRPr="00380510">
        <w:rPr>
          <w:rFonts w:ascii="Times" w:hAnsi="Times" w:cs="Times"/>
          <w:b w:val="0"/>
          <w:noProof/>
          <w:sz w:val="18"/>
        </w:rPr>
        <w:tab/>
      </w:r>
      <w:r>
        <w:rPr>
          <w:rFonts w:ascii="Times" w:hAnsi="Times" w:cs="Times"/>
          <w:b w:val="0"/>
          <w:noProof/>
          <w:sz w:val="18"/>
        </w:rPr>
        <w:tab/>
      </w:r>
      <w:r w:rsidRPr="00380510">
        <w:rPr>
          <w:rFonts w:ascii="Times" w:hAnsi="Times" w:cs="Times"/>
          <w:b w:val="0"/>
          <w:noProof/>
          <w:sz w:val="18"/>
        </w:rPr>
        <w:fldChar w:fldCharType="begin"/>
      </w:r>
      <w:r w:rsidRPr="00380510">
        <w:rPr>
          <w:rFonts w:ascii="Times" w:hAnsi="Times" w:cs="Times"/>
          <w:b w:val="0"/>
          <w:noProof/>
          <w:sz w:val="18"/>
        </w:rPr>
        <w:instrText xml:space="preserve"> PAGEREF _Toc338939703 \h </w:instrText>
      </w:r>
      <w:r w:rsidRPr="00380510">
        <w:rPr>
          <w:rFonts w:ascii="Times" w:hAnsi="Times" w:cs="Times"/>
          <w:b w:val="0"/>
          <w:noProof/>
          <w:sz w:val="18"/>
        </w:rPr>
      </w:r>
      <w:r w:rsidRPr="00380510">
        <w:rPr>
          <w:rFonts w:ascii="Times" w:hAnsi="Times" w:cs="Times"/>
          <w:b w:val="0"/>
          <w:noProof/>
          <w:sz w:val="18"/>
        </w:rPr>
        <w:fldChar w:fldCharType="separate"/>
      </w:r>
      <w:r w:rsidR="00623A5C">
        <w:rPr>
          <w:rFonts w:ascii="Times" w:hAnsi="Times" w:cs="Times"/>
          <w:b w:val="0"/>
          <w:noProof/>
          <w:sz w:val="18"/>
        </w:rPr>
        <w:t>484</w:t>
      </w:r>
      <w:r w:rsidRPr="00380510">
        <w:rPr>
          <w:rFonts w:ascii="Times" w:hAnsi="Times" w:cs="Times"/>
          <w:b w:val="0"/>
          <w:noProof/>
          <w:sz w:val="18"/>
        </w:rPr>
        <w:fldChar w:fldCharType="end"/>
      </w:r>
    </w:p>
    <w:p w:rsidR="00380510" w:rsidRDefault="00380510">
      <w:pPr>
        <w:pStyle w:val="TOC5"/>
        <w:rPr>
          <w:rFonts w:ascii="Calibri" w:hAnsi="Calibri"/>
          <w:iCs w:val="0"/>
          <w:noProof/>
          <w:kern w:val="0"/>
          <w:sz w:val="22"/>
          <w:szCs w:val="22"/>
        </w:rPr>
      </w:pPr>
      <w:r>
        <w:rPr>
          <w:noProof/>
        </w:rPr>
        <w:t>977</w:t>
      </w:r>
      <w:r>
        <w:rPr>
          <w:noProof/>
        </w:rPr>
        <w:noBreakHyphen/>
        <w:t>5</w:t>
      </w:r>
      <w:r>
        <w:rPr>
          <w:noProof/>
        </w:rPr>
        <w:tab/>
        <w:t>Realisation event</w:t>
      </w:r>
      <w:r w:rsidRPr="00380510">
        <w:rPr>
          <w:rFonts w:ascii="Times" w:hAnsi="Times" w:cs="Times"/>
          <w:noProof/>
        </w:rPr>
        <w:tab/>
      </w:r>
      <w:r w:rsidRPr="00380510">
        <w:rPr>
          <w:rFonts w:ascii="Times" w:hAnsi="Times" w:cs="Times"/>
          <w:noProof/>
        </w:rPr>
        <w:fldChar w:fldCharType="begin"/>
      </w:r>
      <w:r w:rsidRPr="00380510">
        <w:rPr>
          <w:rFonts w:ascii="Times" w:hAnsi="Times" w:cs="Times"/>
          <w:noProof/>
        </w:rPr>
        <w:instrText xml:space="preserve"> PAGEREF _Toc338939704 \h </w:instrText>
      </w:r>
      <w:r w:rsidRPr="00380510">
        <w:rPr>
          <w:rFonts w:ascii="Times" w:hAnsi="Times" w:cs="Times"/>
          <w:noProof/>
        </w:rPr>
      </w:r>
      <w:r w:rsidRPr="00380510">
        <w:rPr>
          <w:rFonts w:ascii="Times" w:hAnsi="Times" w:cs="Times"/>
          <w:noProof/>
        </w:rPr>
        <w:fldChar w:fldCharType="separate"/>
      </w:r>
      <w:r w:rsidR="00623A5C">
        <w:rPr>
          <w:rFonts w:ascii="Times" w:hAnsi="Times" w:cs="Times"/>
          <w:noProof/>
        </w:rPr>
        <w:t>484</w:t>
      </w:r>
      <w:r w:rsidRPr="00380510">
        <w:rPr>
          <w:rFonts w:ascii="Times" w:hAnsi="Times" w:cs="Times"/>
          <w:noProof/>
        </w:rPr>
        <w:fldChar w:fldCharType="end"/>
      </w:r>
    </w:p>
    <w:p w:rsidR="00380510" w:rsidRDefault="00380510">
      <w:pPr>
        <w:pStyle w:val="TOC5"/>
        <w:rPr>
          <w:rFonts w:ascii="Calibri" w:hAnsi="Calibri"/>
          <w:iCs w:val="0"/>
          <w:noProof/>
          <w:kern w:val="0"/>
          <w:sz w:val="22"/>
          <w:szCs w:val="22"/>
        </w:rPr>
      </w:pPr>
      <w:r>
        <w:rPr>
          <w:noProof/>
        </w:rPr>
        <w:t>977</w:t>
      </w:r>
      <w:r>
        <w:rPr>
          <w:noProof/>
        </w:rPr>
        <w:noBreakHyphen/>
        <w:t>10</w:t>
      </w:r>
      <w:r>
        <w:rPr>
          <w:noProof/>
        </w:rPr>
        <w:tab/>
        <w:t>Loss realised for income tax purposes</w:t>
      </w:r>
      <w:r w:rsidRPr="00380510">
        <w:rPr>
          <w:rFonts w:ascii="Times" w:hAnsi="Times" w:cs="Times"/>
          <w:noProof/>
        </w:rPr>
        <w:tab/>
      </w:r>
      <w:r w:rsidRPr="00380510">
        <w:rPr>
          <w:rFonts w:ascii="Times" w:hAnsi="Times" w:cs="Times"/>
          <w:noProof/>
        </w:rPr>
        <w:fldChar w:fldCharType="begin"/>
      </w:r>
      <w:r w:rsidRPr="00380510">
        <w:rPr>
          <w:rFonts w:ascii="Times" w:hAnsi="Times" w:cs="Times"/>
          <w:noProof/>
        </w:rPr>
        <w:instrText xml:space="preserve"> PAGEREF _Toc338939705 \h </w:instrText>
      </w:r>
      <w:r w:rsidRPr="00380510">
        <w:rPr>
          <w:rFonts w:ascii="Times" w:hAnsi="Times" w:cs="Times"/>
          <w:noProof/>
        </w:rPr>
      </w:r>
      <w:r w:rsidRPr="00380510">
        <w:rPr>
          <w:rFonts w:ascii="Times" w:hAnsi="Times" w:cs="Times"/>
          <w:noProof/>
        </w:rPr>
        <w:fldChar w:fldCharType="separate"/>
      </w:r>
      <w:r w:rsidR="00623A5C">
        <w:rPr>
          <w:rFonts w:ascii="Times" w:hAnsi="Times" w:cs="Times"/>
          <w:noProof/>
        </w:rPr>
        <w:t>484</w:t>
      </w:r>
      <w:r w:rsidRPr="00380510">
        <w:rPr>
          <w:rFonts w:ascii="Times" w:hAnsi="Times" w:cs="Times"/>
          <w:noProof/>
        </w:rPr>
        <w:fldChar w:fldCharType="end"/>
      </w:r>
    </w:p>
    <w:p w:rsidR="00380510" w:rsidRDefault="00380510">
      <w:pPr>
        <w:pStyle w:val="TOC5"/>
        <w:rPr>
          <w:rFonts w:ascii="Calibri" w:hAnsi="Calibri"/>
          <w:iCs w:val="0"/>
          <w:noProof/>
          <w:kern w:val="0"/>
          <w:sz w:val="22"/>
          <w:szCs w:val="22"/>
        </w:rPr>
      </w:pPr>
      <w:r>
        <w:rPr>
          <w:noProof/>
        </w:rPr>
        <w:t>977</w:t>
      </w:r>
      <w:r>
        <w:rPr>
          <w:noProof/>
        </w:rPr>
        <w:noBreakHyphen/>
        <w:t>15</w:t>
      </w:r>
      <w:r>
        <w:rPr>
          <w:noProof/>
        </w:rPr>
        <w:tab/>
        <w:t>Gain realised for income tax purposes</w:t>
      </w:r>
      <w:r w:rsidRPr="00380510">
        <w:rPr>
          <w:rFonts w:ascii="Times" w:hAnsi="Times" w:cs="Times"/>
          <w:noProof/>
        </w:rPr>
        <w:tab/>
      </w:r>
      <w:r w:rsidRPr="00380510">
        <w:rPr>
          <w:rFonts w:ascii="Times" w:hAnsi="Times" w:cs="Times"/>
          <w:noProof/>
        </w:rPr>
        <w:fldChar w:fldCharType="begin"/>
      </w:r>
      <w:r w:rsidRPr="00380510">
        <w:rPr>
          <w:rFonts w:ascii="Times" w:hAnsi="Times" w:cs="Times"/>
          <w:noProof/>
        </w:rPr>
        <w:instrText xml:space="preserve"> PAGEREF _Toc338939706 \h </w:instrText>
      </w:r>
      <w:r w:rsidRPr="00380510">
        <w:rPr>
          <w:rFonts w:ascii="Times" w:hAnsi="Times" w:cs="Times"/>
          <w:noProof/>
        </w:rPr>
      </w:r>
      <w:r w:rsidRPr="00380510">
        <w:rPr>
          <w:rFonts w:ascii="Times" w:hAnsi="Times" w:cs="Times"/>
          <w:noProof/>
        </w:rPr>
        <w:fldChar w:fldCharType="separate"/>
      </w:r>
      <w:r w:rsidR="00623A5C">
        <w:rPr>
          <w:rFonts w:ascii="Times" w:hAnsi="Times" w:cs="Times"/>
          <w:noProof/>
        </w:rPr>
        <w:t>485</w:t>
      </w:r>
      <w:r w:rsidRPr="00380510">
        <w:rPr>
          <w:rFonts w:ascii="Times" w:hAnsi="Times" w:cs="Times"/>
          <w:noProof/>
        </w:rPr>
        <w:fldChar w:fldCharType="end"/>
      </w:r>
    </w:p>
    <w:p w:rsidR="00380510" w:rsidRDefault="00380510">
      <w:pPr>
        <w:pStyle w:val="TOC4"/>
        <w:rPr>
          <w:rFonts w:ascii="Calibri" w:hAnsi="Calibri"/>
          <w:b w:val="0"/>
          <w:noProof/>
          <w:kern w:val="0"/>
          <w:sz w:val="22"/>
          <w:szCs w:val="22"/>
        </w:rPr>
      </w:pPr>
      <w:r>
        <w:rPr>
          <w:noProof/>
        </w:rPr>
        <w:t>Trading stock</w:t>
      </w:r>
      <w:r w:rsidRPr="00380510">
        <w:rPr>
          <w:rFonts w:ascii="Times" w:hAnsi="Times" w:cs="Times"/>
          <w:b w:val="0"/>
          <w:noProof/>
          <w:sz w:val="18"/>
        </w:rPr>
        <w:tab/>
      </w:r>
      <w:r>
        <w:rPr>
          <w:rFonts w:ascii="Times" w:hAnsi="Times" w:cs="Times"/>
          <w:b w:val="0"/>
          <w:noProof/>
          <w:sz w:val="18"/>
        </w:rPr>
        <w:tab/>
      </w:r>
      <w:r w:rsidRPr="00380510">
        <w:rPr>
          <w:rFonts w:ascii="Times" w:hAnsi="Times" w:cs="Times"/>
          <w:b w:val="0"/>
          <w:noProof/>
          <w:sz w:val="18"/>
        </w:rPr>
        <w:fldChar w:fldCharType="begin"/>
      </w:r>
      <w:r w:rsidRPr="00380510">
        <w:rPr>
          <w:rFonts w:ascii="Times" w:hAnsi="Times" w:cs="Times"/>
          <w:b w:val="0"/>
          <w:noProof/>
          <w:sz w:val="18"/>
        </w:rPr>
        <w:instrText xml:space="preserve"> PAGEREF _Toc338939707 \h </w:instrText>
      </w:r>
      <w:r w:rsidRPr="00380510">
        <w:rPr>
          <w:rFonts w:ascii="Times" w:hAnsi="Times" w:cs="Times"/>
          <w:b w:val="0"/>
          <w:noProof/>
          <w:sz w:val="18"/>
        </w:rPr>
      </w:r>
      <w:r w:rsidRPr="00380510">
        <w:rPr>
          <w:rFonts w:ascii="Times" w:hAnsi="Times" w:cs="Times"/>
          <w:b w:val="0"/>
          <w:noProof/>
          <w:sz w:val="18"/>
        </w:rPr>
        <w:fldChar w:fldCharType="separate"/>
      </w:r>
      <w:r w:rsidR="00623A5C">
        <w:rPr>
          <w:rFonts w:ascii="Times" w:hAnsi="Times" w:cs="Times"/>
          <w:b w:val="0"/>
          <w:noProof/>
          <w:sz w:val="18"/>
        </w:rPr>
        <w:t>485</w:t>
      </w:r>
      <w:r w:rsidRPr="00380510">
        <w:rPr>
          <w:rFonts w:ascii="Times" w:hAnsi="Times" w:cs="Times"/>
          <w:b w:val="0"/>
          <w:noProof/>
          <w:sz w:val="18"/>
        </w:rPr>
        <w:fldChar w:fldCharType="end"/>
      </w:r>
    </w:p>
    <w:p w:rsidR="00380510" w:rsidRDefault="00380510">
      <w:pPr>
        <w:pStyle w:val="TOC5"/>
        <w:rPr>
          <w:rFonts w:ascii="Calibri" w:hAnsi="Calibri"/>
          <w:iCs w:val="0"/>
          <w:noProof/>
          <w:kern w:val="0"/>
          <w:sz w:val="22"/>
          <w:szCs w:val="22"/>
        </w:rPr>
      </w:pPr>
      <w:r>
        <w:rPr>
          <w:noProof/>
        </w:rPr>
        <w:t>977</w:t>
      </w:r>
      <w:r>
        <w:rPr>
          <w:noProof/>
        </w:rPr>
        <w:noBreakHyphen/>
        <w:t>20</w:t>
      </w:r>
      <w:r>
        <w:rPr>
          <w:noProof/>
        </w:rPr>
        <w:tab/>
        <w:t>Realisation event</w:t>
      </w:r>
      <w:r w:rsidRPr="00380510">
        <w:rPr>
          <w:rFonts w:ascii="Times" w:hAnsi="Times" w:cs="Times"/>
          <w:noProof/>
        </w:rPr>
        <w:tab/>
      </w:r>
      <w:r w:rsidRPr="00380510">
        <w:rPr>
          <w:rFonts w:ascii="Times" w:hAnsi="Times" w:cs="Times"/>
          <w:noProof/>
        </w:rPr>
        <w:fldChar w:fldCharType="begin"/>
      </w:r>
      <w:r w:rsidRPr="00380510">
        <w:rPr>
          <w:rFonts w:ascii="Times" w:hAnsi="Times" w:cs="Times"/>
          <w:noProof/>
        </w:rPr>
        <w:instrText xml:space="preserve"> PAGEREF _Toc338939708 \h </w:instrText>
      </w:r>
      <w:r w:rsidRPr="00380510">
        <w:rPr>
          <w:rFonts w:ascii="Times" w:hAnsi="Times" w:cs="Times"/>
          <w:noProof/>
        </w:rPr>
      </w:r>
      <w:r w:rsidRPr="00380510">
        <w:rPr>
          <w:rFonts w:ascii="Times" w:hAnsi="Times" w:cs="Times"/>
          <w:noProof/>
        </w:rPr>
        <w:fldChar w:fldCharType="separate"/>
      </w:r>
      <w:r w:rsidR="00623A5C">
        <w:rPr>
          <w:rFonts w:ascii="Times" w:hAnsi="Times" w:cs="Times"/>
          <w:noProof/>
        </w:rPr>
        <w:t>485</w:t>
      </w:r>
      <w:r w:rsidRPr="00380510">
        <w:rPr>
          <w:rFonts w:ascii="Times" w:hAnsi="Times" w:cs="Times"/>
          <w:noProof/>
        </w:rPr>
        <w:fldChar w:fldCharType="end"/>
      </w:r>
    </w:p>
    <w:p w:rsidR="00380510" w:rsidRDefault="00380510">
      <w:pPr>
        <w:pStyle w:val="TOC5"/>
        <w:rPr>
          <w:rFonts w:ascii="Calibri" w:hAnsi="Calibri"/>
          <w:iCs w:val="0"/>
          <w:noProof/>
          <w:kern w:val="0"/>
          <w:sz w:val="22"/>
          <w:szCs w:val="22"/>
        </w:rPr>
      </w:pPr>
      <w:r>
        <w:rPr>
          <w:noProof/>
        </w:rPr>
        <w:t>977</w:t>
      </w:r>
      <w:r>
        <w:rPr>
          <w:noProof/>
        </w:rPr>
        <w:noBreakHyphen/>
        <w:t>25</w:t>
      </w:r>
      <w:r>
        <w:rPr>
          <w:noProof/>
        </w:rPr>
        <w:tab/>
        <w:t>Disposal of trading stock: loss realised for income tax purposes</w:t>
      </w:r>
      <w:r w:rsidRPr="00380510">
        <w:rPr>
          <w:rFonts w:ascii="Times" w:hAnsi="Times" w:cs="Times"/>
          <w:noProof/>
        </w:rPr>
        <w:tab/>
      </w:r>
      <w:r w:rsidRPr="00380510">
        <w:rPr>
          <w:rFonts w:ascii="Times" w:hAnsi="Times" w:cs="Times"/>
          <w:noProof/>
        </w:rPr>
        <w:fldChar w:fldCharType="begin"/>
      </w:r>
      <w:r w:rsidRPr="00380510">
        <w:rPr>
          <w:rFonts w:ascii="Times" w:hAnsi="Times" w:cs="Times"/>
          <w:noProof/>
        </w:rPr>
        <w:instrText xml:space="preserve"> PAGEREF _Toc338939709 \h </w:instrText>
      </w:r>
      <w:r w:rsidRPr="00380510">
        <w:rPr>
          <w:rFonts w:ascii="Times" w:hAnsi="Times" w:cs="Times"/>
          <w:noProof/>
        </w:rPr>
      </w:r>
      <w:r w:rsidRPr="00380510">
        <w:rPr>
          <w:rFonts w:ascii="Times" w:hAnsi="Times" w:cs="Times"/>
          <w:noProof/>
        </w:rPr>
        <w:fldChar w:fldCharType="separate"/>
      </w:r>
      <w:r w:rsidR="00623A5C">
        <w:rPr>
          <w:rFonts w:ascii="Times" w:hAnsi="Times" w:cs="Times"/>
          <w:noProof/>
        </w:rPr>
        <w:t>485</w:t>
      </w:r>
      <w:r w:rsidRPr="00380510">
        <w:rPr>
          <w:rFonts w:ascii="Times" w:hAnsi="Times" w:cs="Times"/>
          <w:noProof/>
        </w:rPr>
        <w:fldChar w:fldCharType="end"/>
      </w:r>
    </w:p>
    <w:p w:rsidR="00380510" w:rsidRDefault="00380510">
      <w:pPr>
        <w:pStyle w:val="TOC5"/>
        <w:rPr>
          <w:rFonts w:ascii="Calibri" w:hAnsi="Calibri"/>
          <w:iCs w:val="0"/>
          <w:noProof/>
          <w:kern w:val="0"/>
          <w:sz w:val="22"/>
          <w:szCs w:val="22"/>
        </w:rPr>
      </w:pPr>
      <w:r>
        <w:rPr>
          <w:noProof/>
        </w:rPr>
        <w:t>977</w:t>
      </w:r>
      <w:r>
        <w:rPr>
          <w:noProof/>
        </w:rPr>
        <w:noBreakHyphen/>
        <w:t>30</w:t>
      </w:r>
      <w:r>
        <w:rPr>
          <w:noProof/>
        </w:rPr>
        <w:tab/>
        <w:t>Ending of an income year: loss realised for income tax purposes</w:t>
      </w:r>
      <w:r w:rsidRPr="00380510">
        <w:rPr>
          <w:rFonts w:ascii="Times" w:hAnsi="Times" w:cs="Times"/>
          <w:noProof/>
        </w:rPr>
        <w:tab/>
      </w:r>
      <w:r w:rsidRPr="00380510">
        <w:rPr>
          <w:rFonts w:ascii="Times" w:hAnsi="Times" w:cs="Times"/>
          <w:noProof/>
        </w:rPr>
        <w:fldChar w:fldCharType="begin"/>
      </w:r>
      <w:r w:rsidRPr="00380510">
        <w:rPr>
          <w:rFonts w:ascii="Times" w:hAnsi="Times" w:cs="Times"/>
          <w:noProof/>
        </w:rPr>
        <w:instrText xml:space="preserve"> PAGEREF _Toc338939710 \h </w:instrText>
      </w:r>
      <w:r w:rsidRPr="00380510">
        <w:rPr>
          <w:rFonts w:ascii="Times" w:hAnsi="Times" w:cs="Times"/>
          <w:noProof/>
        </w:rPr>
      </w:r>
      <w:r w:rsidRPr="00380510">
        <w:rPr>
          <w:rFonts w:ascii="Times" w:hAnsi="Times" w:cs="Times"/>
          <w:noProof/>
        </w:rPr>
        <w:fldChar w:fldCharType="separate"/>
      </w:r>
      <w:r w:rsidR="00623A5C">
        <w:rPr>
          <w:rFonts w:ascii="Times" w:hAnsi="Times" w:cs="Times"/>
          <w:noProof/>
        </w:rPr>
        <w:t>486</w:t>
      </w:r>
      <w:r w:rsidRPr="00380510">
        <w:rPr>
          <w:rFonts w:ascii="Times" w:hAnsi="Times" w:cs="Times"/>
          <w:noProof/>
        </w:rPr>
        <w:fldChar w:fldCharType="end"/>
      </w:r>
    </w:p>
    <w:p w:rsidR="00380510" w:rsidRDefault="00380510">
      <w:pPr>
        <w:pStyle w:val="TOC5"/>
        <w:rPr>
          <w:rFonts w:ascii="Calibri" w:hAnsi="Calibri"/>
          <w:iCs w:val="0"/>
          <w:noProof/>
          <w:kern w:val="0"/>
          <w:sz w:val="22"/>
          <w:szCs w:val="22"/>
        </w:rPr>
      </w:pPr>
      <w:r>
        <w:rPr>
          <w:noProof/>
        </w:rPr>
        <w:t>977</w:t>
      </w:r>
      <w:r>
        <w:rPr>
          <w:noProof/>
        </w:rPr>
        <w:noBreakHyphen/>
        <w:t>35</w:t>
      </w:r>
      <w:r>
        <w:rPr>
          <w:noProof/>
        </w:rPr>
        <w:tab/>
        <w:t>Disposal of trading stock: gain realised for income tax purposes</w:t>
      </w:r>
      <w:r w:rsidRPr="00380510">
        <w:rPr>
          <w:rFonts w:ascii="Times" w:hAnsi="Times" w:cs="Times"/>
          <w:noProof/>
        </w:rPr>
        <w:tab/>
      </w:r>
      <w:r w:rsidRPr="00380510">
        <w:rPr>
          <w:rFonts w:ascii="Times" w:hAnsi="Times" w:cs="Times"/>
          <w:noProof/>
        </w:rPr>
        <w:fldChar w:fldCharType="begin"/>
      </w:r>
      <w:r w:rsidRPr="00380510">
        <w:rPr>
          <w:rFonts w:ascii="Times" w:hAnsi="Times" w:cs="Times"/>
          <w:noProof/>
        </w:rPr>
        <w:instrText xml:space="preserve"> PAGEREF _Toc338939711 \h </w:instrText>
      </w:r>
      <w:r w:rsidRPr="00380510">
        <w:rPr>
          <w:rFonts w:ascii="Times" w:hAnsi="Times" w:cs="Times"/>
          <w:noProof/>
        </w:rPr>
      </w:r>
      <w:r w:rsidRPr="00380510">
        <w:rPr>
          <w:rFonts w:ascii="Times" w:hAnsi="Times" w:cs="Times"/>
          <w:noProof/>
        </w:rPr>
        <w:fldChar w:fldCharType="separate"/>
      </w:r>
      <w:r w:rsidR="00623A5C">
        <w:rPr>
          <w:rFonts w:ascii="Times" w:hAnsi="Times" w:cs="Times"/>
          <w:noProof/>
        </w:rPr>
        <w:t>487</w:t>
      </w:r>
      <w:r w:rsidRPr="00380510">
        <w:rPr>
          <w:rFonts w:ascii="Times" w:hAnsi="Times" w:cs="Times"/>
          <w:noProof/>
        </w:rPr>
        <w:fldChar w:fldCharType="end"/>
      </w:r>
    </w:p>
    <w:p w:rsidR="00380510" w:rsidRDefault="00380510">
      <w:pPr>
        <w:pStyle w:val="TOC5"/>
        <w:rPr>
          <w:rFonts w:ascii="Calibri" w:hAnsi="Calibri"/>
          <w:iCs w:val="0"/>
          <w:noProof/>
          <w:kern w:val="0"/>
          <w:sz w:val="22"/>
          <w:szCs w:val="22"/>
        </w:rPr>
      </w:pPr>
      <w:r>
        <w:rPr>
          <w:noProof/>
        </w:rPr>
        <w:lastRenderedPageBreak/>
        <w:t>977</w:t>
      </w:r>
      <w:r>
        <w:rPr>
          <w:noProof/>
        </w:rPr>
        <w:noBreakHyphen/>
        <w:t>40</w:t>
      </w:r>
      <w:r>
        <w:rPr>
          <w:noProof/>
        </w:rPr>
        <w:tab/>
        <w:t>Ending of an income year: gain realised for income tax purposes</w:t>
      </w:r>
      <w:r w:rsidRPr="00380510">
        <w:rPr>
          <w:rFonts w:ascii="Times" w:hAnsi="Times" w:cs="Times"/>
          <w:noProof/>
        </w:rPr>
        <w:tab/>
      </w:r>
      <w:r w:rsidRPr="00380510">
        <w:rPr>
          <w:rFonts w:ascii="Times" w:hAnsi="Times" w:cs="Times"/>
          <w:noProof/>
        </w:rPr>
        <w:fldChar w:fldCharType="begin"/>
      </w:r>
      <w:r w:rsidRPr="00380510">
        <w:rPr>
          <w:rFonts w:ascii="Times" w:hAnsi="Times" w:cs="Times"/>
          <w:noProof/>
        </w:rPr>
        <w:instrText xml:space="preserve"> PAGEREF _Toc338939712 \h </w:instrText>
      </w:r>
      <w:r w:rsidRPr="00380510">
        <w:rPr>
          <w:rFonts w:ascii="Times" w:hAnsi="Times" w:cs="Times"/>
          <w:noProof/>
        </w:rPr>
      </w:r>
      <w:r w:rsidRPr="00380510">
        <w:rPr>
          <w:rFonts w:ascii="Times" w:hAnsi="Times" w:cs="Times"/>
          <w:noProof/>
        </w:rPr>
        <w:fldChar w:fldCharType="separate"/>
      </w:r>
      <w:r w:rsidR="00623A5C">
        <w:rPr>
          <w:rFonts w:ascii="Times" w:hAnsi="Times" w:cs="Times"/>
          <w:noProof/>
        </w:rPr>
        <w:t>487</w:t>
      </w:r>
      <w:r w:rsidRPr="00380510">
        <w:rPr>
          <w:rFonts w:ascii="Times" w:hAnsi="Times" w:cs="Times"/>
          <w:noProof/>
        </w:rPr>
        <w:fldChar w:fldCharType="end"/>
      </w:r>
    </w:p>
    <w:p w:rsidR="00380510" w:rsidRDefault="00380510">
      <w:pPr>
        <w:pStyle w:val="TOC4"/>
        <w:rPr>
          <w:rFonts w:ascii="Calibri" w:hAnsi="Calibri"/>
          <w:b w:val="0"/>
          <w:noProof/>
          <w:kern w:val="0"/>
          <w:sz w:val="22"/>
          <w:szCs w:val="22"/>
        </w:rPr>
      </w:pPr>
      <w:r>
        <w:rPr>
          <w:noProof/>
        </w:rPr>
        <w:t>Revenue assets</w:t>
      </w:r>
      <w:r w:rsidRPr="00380510">
        <w:rPr>
          <w:rFonts w:ascii="Times" w:hAnsi="Times" w:cs="Times"/>
          <w:b w:val="0"/>
          <w:noProof/>
          <w:sz w:val="18"/>
        </w:rPr>
        <w:tab/>
      </w:r>
      <w:r>
        <w:rPr>
          <w:rFonts w:ascii="Times" w:hAnsi="Times" w:cs="Times"/>
          <w:b w:val="0"/>
          <w:noProof/>
          <w:sz w:val="18"/>
        </w:rPr>
        <w:tab/>
      </w:r>
      <w:r w:rsidRPr="00380510">
        <w:rPr>
          <w:rFonts w:ascii="Times" w:hAnsi="Times" w:cs="Times"/>
          <w:b w:val="0"/>
          <w:noProof/>
          <w:sz w:val="18"/>
        </w:rPr>
        <w:fldChar w:fldCharType="begin"/>
      </w:r>
      <w:r w:rsidRPr="00380510">
        <w:rPr>
          <w:rFonts w:ascii="Times" w:hAnsi="Times" w:cs="Times"/>
          <w:b w:val="0"/>
          <w:noProof/>
          <w:sz w:val="18"/>
        </w:rPr>
        <w:instrText xml:space="preserve"> PAGEREF _Toc338939713 \h </w:instrText>
      </w:r>
      <w:r w:rsidRPr="00380510">
        <w:rPr>
          <w:rFonts w:ascii="Times" w:hAnsi="Times" w:cs="Times"/>
          <w:b w:val="0"/>
          <w:noProof/>
          <w:sz w:val="18"/>
        </w:rPr>
      </w:r>
      <w:r w:rsidRPr="00380510">
        <w:rPr>
          <w:rFonts w:ascii="Times" w:hAnsi="Times" w:cs="Times"/>
          <w:b w:val="0"/>
          <w:noProof/>
          <w:sz w:val="18"/>
        </w:rPr>
        <w:fldChar w:fldCharType="separate"/>
      </w:r>
      <w:r w:rsidR="00623A5C">
        <w:rPr>
          <w:rFonts w:ascii="Times" w:hAnsi="Times" w:cs="Times"/>
          <w:b w:val="0"/>
          <w:noProof/>
          <w:sz w:val="18"/>
        </w:rPr>
        <w:t>488</w:t>
      </w:r>
      <w:r w:rsidRPr="00380510">
        <w:rPr>
          <w:rFonts w:ascii="Times" w:hAnsi="Times" w:cs="Times"/>
          <w:b w:val="0"/>
          <w:noProof/>
          <w:sz w:val="18"/>
        </w:rPr>
        <w:fldChar w:fldCharType="end"/>
      </w:r>
    </w:p>
    <w:p w:rsidR="00380510" w:rsidRDefault="00380510">
      <w:pPr>
        <w:pStyle w:val="TOC5"/>
        <w:rPr>
          <w:rFonts w:ascii="Calibri" w:hAnsi="Calibri"/>
          <w:iCs w:val="0"/>
          <w:noProof/>
          <w:kern w:val="0"/>
          <w:sz w:val="22"/>
          <w:szCs w:val="22"/>
        </w:rPr>
      </w:pPr>
      <w:r>
        <w:rPr>
          <w:noProof/>
        </w:rPr>
        <w:t>977</w:t>
      </w:r>
      <w:r>
        <w:rPr>
          <w:noProof/>
        </w:rPr>
        <w:noBreakHyphen/>
        <w:t>50</w:t>
      </w:r>
      <w:r>
        <w:rPr>
          <w:noProof/>
        </w:rPr>
        <w:tab/>
        <w:t xml:space="preserve">Meaning of </w:t>
      </w:r>
      <w:r w:rsidRPr="008A0EAA">
        <w:rPr>
          <w:i/>
          <w:noProof/>
        </w:rPr>
        <w:t>revenue asset</w:t>
      </w:r>
      <w:r w:rsidRPr="00380510">
        <w:rPr>
          <w:rFonts w:ascii="Times" w:hAnsi="Times" w:cs="Times"/>
          <w:noProof/>
        </w:rPr>
        <w:tab/>
      </w:r>
      <w:r w:rsidRPr="00380510">
        <w:rPr>
          <w:rFonts w:ascii="Times" w:hAnsi="Times" w:cs="Times"/>
          <w:noProof/>
        </w:rPr>
        <w:fldChar w:fldCharType="begin"/>
      </w:r>
      <w:r w:rsidRPr="00380510">
        <w:rPr>
          <w:rFonts w:ascii="Times" w:hAnsi="Times" w:cs="Times"/>
          <w:noProof/>
        </w:rPr>
        <w:instrText xml:space="preserve"> PAGEREF _Toc338939714 \h </w:instrText>
      </w:r>
      <w:r w:rsidRPr="00380510">
        <w:rPr>
          <w:rFonts w:ascii="Times" w:hAnsi="Times" w:cs="Times"/>
          <w:noProof/>
        </w:rPr>
      </w:r>
      <w:r w:rsidRPr="00380510">
        <w:rPr>
          <w:rFonts w:ascii="Times" w:hAnsi="Times" w:cs="Times"/>
          <w:noProof/>
        </w:rPr>
        <w:fldChar w:fldCharType="separate"/>
      </w:r>
      <w:r w:rsidR="00623A5C">
        <w:rPr>
          <w:rFonts w:ascii="Times" w:hAnsi="Times" w:cs="Times"/>
          <w:noProof/>
        </w:rPr>
        <w:t>488</w:t>
      </w:r>
      <w:r w:rsidRPr="00380510">
        <w:rPr>
          <w:rFonts w:ascii="Times" w:hAnsi="Times" w:cs="Times"/>
          <w:noProof/>
        </w:rPr>
        <w:fldChar w:fldCharType="end"/>
      </w:r>
    </w:p>
    <w:p w:rsidR="00380510" w:rsidRDefault="00380510">
      <w:pPr>
        <w:pStyle w:val="TOC5"/>
        <w:rPr>
          <w:rFonts w:ascii="Calibri" w:hAnsi="Calibri"/>
          <w:iCs w:val="0"/>
          <w:noProof/>
          <w:kern w:val="0"/>
          <w:sz w:val="22"/>
          <w:szCs w:val="22"/>
        </w:rPr>
      </w:pPr>
      <w:r>
        <w:rPr>
          <w:noProof/>
        </w:rPr>
        <w:t>977</w:t>
      </w:r>
      <w:r>
        <w:rPr>
          <w:noProof/>
        </w:rPr>
        <w:noBreakHyphen/>
        <w:t>55</w:t>
      </w:r>
      <w:r>
        <w:rPr>
          <w:noProof/>
        </w:rPr>
        <w:tab/>
        <w:t>Loss or gain realised for income tax purposes</w:t>
      </w:r>
      <w:r w:rsidRPr="00380510">
        <w:rPr>
          <w:rFonts w:ascii="Times" w:hAnsi="Times" w:cs="Times"/>
          <w:noProof/>
        </w:rPr>
        <w:tab/>
      </w:r>
      <w:r w:rsidRPr="00380510">
        <w:rPr>
          <w:rFonts w:ascii="Times" w:hAnsi="Times" w:cs="Times"/>
          <w:noProof/>
        </w:rPr>
        <w:fldChar w:fldCharType="begin"/>
      </w:r>
      <w:r w:rsidRPr="00380510">
        <w:rPr>
          <w:rFonts w:ascii="Times" w:hAnsi="Times" w:cs="Times"/>
          <w:noProof/>
        </w:rPr>
        <w:instrText xml:space="preserve"> PAGEREF _Toc338939715 \h </w:instrText>
      </w:r>
      <w:r w:rsidRPr="00380510">
        <w:rPr>
          <w:rFonts w:ascii="Times" w:hAnsi="Times" w:cs="Times"/>
          <w:noProof/>
        </w:rPr>
      </w:r>
      <w:r w:rsidRPr="00380510">
        <w:rPr>
          <w:rFonts w:ascii="Times" w:hAnsi="Times" w:cs="Times"/>
          <w:noProof/>
        </w:rPr>
        <w:fldChar w:fldCharType="separate"/>
      </w:r>
      <w:r w:rsidR="00623A5C">
        <w:rPr>
          <w:rFonts w:ascii="Times" w:hAnsi="Times" w:cs="Times"/>
          <w:noProof/>
        </w:rPr>
        <w:t>488</w:t>
      </w:r>
      <w:r w:rsidRPr="00380510">
        <w:rPr>
          <w:rFonts w:ascii="Times" w:hAnsi="Times" w:cs="Times"/>
          <w:noProof/>
        </w:rPr>
        <w:fldChar w:fldCharType="end"/>
      </w:r>
    </w:p>
    <w:p w:rsidR="00380510" w:rsidRDefault="00380510">
      <w:pPr>
        <w:pStyle w:val="TOC3"/>
        <w:rPr>
          <w:rFonts w:ascii="Calibri" w:hAnsi="Calibri"/>
          <w:b w:val="0"/>
          <w:noProof/>
          <w:kern w:val="0"/>
          <w:szCs w:val="22"/>
        </w:rPr>
      </w:pPr>
      <w:r>
        <w:rPr>
          <w:noProof/>
        </w:rPr>
        <w:t>Division 976—Imputation</w:t>
      </w:r>
      <w:r w:rsidRPr="00380510">
        <w:rPr>
          <w:rFonts w:ascii="Times" w:hAnsi="Times" w:cs="Times"/>
          <w:b w:val="0"/>
          <w:noProof/>
          <w:sz w:val="18"/>
        </w:rPr>
        <w:tab/>
      </w:r>
      <w:r w:rsidRPr="00380510">
        <w:rPr>
          <w:rFonts w:ascii="Times" w:hAnsi="Times" w:cs="Times"/>
          <w:b w:val="0"/>
          <w:noProof/>
          <w:sz w:val="18"/>
        </w:rPr>
        <w:fldChar w:fldCharType="begin"/>
      </w:r>
      <w:r w:rsidRPr="00380510">
        <w:rPr>
          <w:rFonts w:ascii="Times" w:hAnsi="Times" w:cs="Times"/>
          <w:b w:val="0"/>
          <w:noProof/>
          <w:sz w:val="18"/>
        </w:rPr>
        <w:instrText xml:space="preserve"> PAGEREF _Toc338939716 \h </w:instrText>
      </w:r>
      <w:r w:rsidRPr="00380510">
        <w:rPr>
          <w:rFonts w:ascii="Times" w:hAnsi="Times" w:cs="Times"/>
          <w:b w:val="0"/>
          <w:noProof/>
          <w:sz w:val="18"/>
        </w:rPr>
      </w:r>
      <w:r w:rsidRPr="00380510">
        <w:rPr>
          <w:rFonts w:ascii="Times" w:hAnsi="Times" w:cs="Times"/>
          <w:b w:val="0"/>
          <w:noProof/>
          <w:sz w:val="18"/>
        </w:rPr>
        <w:fldChar w:fldCharType="separate"/>
      </w:r>
      <w:r w:rsidR="00623A5C">
        <w:rPr>
          <w:rFonts w:ascii="Times" w:hAnsi="Times" w:cs="Times"/>
          <w:b w:val="0"/>
          <w:noProof/>
          <w:sz w:val="18"/>
        </w:rPr>
        <w:t>490</w:t>
      </w:r>
      <w:r w:rsidRPr="00380510">
        <w:rPr>
          <w:rFonts w:ascii="Times" w:hAnsi="Times" w:cs="Times"/>
          <w:b w:val="0"/>
          <w:noProof/>
          <w:sz w:val="18"/>
        </w:rPr>
        <w:fldChar w:fldCharType="end"/>
      </w:r>
    </w:p>
    <w:p w:rsidR="00380510" w:rsidRDefault="00380510">
      <w:pPr>
        <w:pStyle w:val="TOC5"/>
        <w:rPr>
          <w:rFonts w:ascii="Calibri" w:hAnsi="Calibri"/>
          <w:iCs w:val="0"/>
          <w:noProof/>
          <w:kern w:val="0"/>
          <w:sz w:val="22"/>
          <w:szCs w:val="22"/>
        </w:rPr>
      </w:pPr>
      <w:r>
        <w:rPr>
          <w:noProof/>
        </w:rPr>
        <w:t>976</w:t>
      </w:r>
      <w:r>
        <w:rPr>
          <w:noProof/>
        </w:rPr>
        <w:noBreakHyphen/>
        <w:t>1</w:t>
      </w:r>
      <w:r>
        <w:rPr>
          <w:noProof/>
        </w:rPr>
        <w:tab/>
        <w:t>Franked part of a distribution</w:t>
      </w:r>
      <w:r w:rsidRPr="00380510">
        <w:rPr>
          <w:rFonts w:ascii="Times" w:hAnsi="Times" w:cs="Times"/>
          <w:noProof/>
        </w:rPr>
        <w:tab/>
      </w:r>
      <w:r w:rsidRPr="00380510">
        <w:rPr>
          <w:rFonts w:ascii="Times" w:hAnsi="Times" w:cs="Times"/>
          <w:noProof/>
        </w:rPr>
        <w:fldChar w:fldCharType="begin"/>
      </w:r>
      <w:r w:rsidRPr="00380510">
        <w:rPr>
          <w:rFonts w:ascii="Times" w:hAnsi="Times" w:cs="Times"/>
          <w:noProof/>
        </w:rPr>
        <w:instrText xml:space="preserve"> PAGEREF _Toc338939717 \h </w:instrText>
      </w:r>
      <w:r w:rsidRPr="00380510">
        <w:rPr>
          <w:rFonts w:ascii="Times" w:hAnsi="Times" w:cs="Times"/>
          <w:noProof/>
        </w:rPr>
      </w:r>
      <w:r w:rsidRPr="00380510">
        <w:rPr>
          <w:rFonts w:ascii="Times" w:hAnsi="Times" w:cs="Times"/>
          <w:noProof/>
        </w:rPr>
        <w:fldChar w:fldCharType="separate"/>
      </w:r>
      <w:r w:rsidR="00623A5C">
        <w:rPr>
          <w:rFonts w:ascii="Times" w:hAnsi="Times" w:cs="Times"/>
          <w:noProof/>
        </w:rPr>
        <w:t>490</w:t>
      </w:r>
      <w:r w:rsidRPr="00380510">
        <w:rPr>
          <w:rFonts w:ascii="Times" w:hAnsi="Times" w:cs="Times"/>
          <w:noProof/>
        </w:rPr>
        <w:fldChar w:fldCharType="end"/>
      </w:r>
    </w:p>
    <w:p w:rsidR="00380510" w:rsidRDefault="00380510">
      <w:pPr>
        <w:pStyle w:val="TOC5"/>
        <w:rPr>
          <w:rFonts w:ascii="Calibri" w:hAnsi="Calibri"/>
          <w:iCs w:val="0"/>
          <w:noProof/>
          <w:kern w:val="0"/>
          <w:sz w:val="22"/>
          <w:szCs w:val="22"/>
        </w:rPr>
      </w:pPr>
      <w:r>
        <w:rPr>
          <w:noProof/>
        </w:rPr>
        <w:t>976</w:t>
      </w:r>
      <w:r>
        <w:rPr>
          <w:noProof/>
        </w:rPr>
        <w:noBreakHyphen/>
        <w:t>5</w:t>
      </w:r>
      <w:r>
        <w:rPr>
          <w:noProof/>
        </w:rPr>
        <w:tab/>
        <w:t>Unfranked part of a distribution</w:t>
      </w:r>
      <w:r w:rsidRPr="00380510">
        <w:rPr>
          <w:rFonts w:ascii="Times" w:hAnsi="Times" w:cs="Times"/>
          <w:noProof/>
        </w:rPr>
        <w:tab/>
      </w:r>
      <w:r w:rsidRPr="00380510">
        <w:rPr>
          <w:rFonts w:ascii="Times" w:hAnsi="Times" w:cs="Times"/>
          <w:noProof/>
        </w:rPr>
        <w:fldChar w:fldCharType="begin"/>
      </w:r>
      <w:r w:rsidRPr="00380510">
        <w:rPr>
          <w:rFonts w:ascii="Times" w:hAnsi="Times" w:cs="Times"/>
          <w:noProof/>
        </w:rPr>
        <w:instrText xml:space="preserve"> PAGEREF _Toc338939718 \h </w:instrText>
      </w:r>
      <w:r w:rsidRPr="00380510">
        <w:rPr>
          <w:rFonts w:ascii="Times" w:hAnsi="Times" w:cs="Times"/>
          <w:noProof/>
        </w:rPr>
      </w:r>
      <w:r w:rsidRPr="00380510">
        <w:rPr>
          <w:rFonts w:ascii="Times" w:hAnsi="Times" w:cs="Times"/>
          <w:noProof/>
        </w:rPr>
        <w:fldChar w:fldCharType="separate"/>
      </w:r>
      <w:r w:rsidR="00623A5C">
        <w:rPr>
          <w:rFonts w:ascii="Times" w:hAnsi="Times" w:cs="Times"/>
          <w:noProof/>
        </w:rPr>
        <w:t>490</w:t>
      </w:r>
      <w:r w:rsidRPr="00380510">
        <w:rPr>
          <w:rFonts w:ascii="Times" w:hAnsi="Times" w:cs="Times"/>
          <w:noProof/>
        </w:rPr>
        <w:fldChar w:fldCharType="end"/>
      </w:r>
    </w:p>
    <w:p w:rsidR="00380510" w:rsidRDefault="00380510">
      <w:pPr>
        <w:pStyle w:val="TOC5"/>
        <w:rPr>
          <w:rFonts w:ascii="Calibri" w:hAnsi="Calibri"/>
          <w:iCs w:val="0"/>
          <w:noProof/>
          <w:kern w:val="0"/>
          <w:sz w:val="22"/>
          <w:szCs w:val="22"/>
        </w:rPr>
      </w:pPr>
      <w:r>
        <w:rPr>
          <w:noProof/>
        </w:rPr>
        <w:t>976</w:t>
      </w:r>
      <w:r>
        <w:rPr>
          <w:noProof/>
        </w:rPr>
        <w:noBreakHyphen/>
        <w:t>10</w:t>
      </w:r>
      <w:r>
        <w:rPr>
          <w:noProof/>
        </w:rPr>
        <w:tab/>
        <w:t>The part of a distribution that is franked with an exempting credit</w:t>
      </w:r>
      <w:r w:rsidRPr="00380510">
        <w:rPr>
          <w:rFonts w:ascii="Times" w:hAnsi="Times" w:cs="Times"/>
          <w:noProof/>
        </w:rPr>
        <w:tab/>
      </w:r>
      <w:r w:rsidRPr="00380510">
        <w:rPr>
          <w:rFonts w:ascii="Times" w:hAnsi="Times" w:cs="Times"/>
          <w:noProof/>
        </w:rPr>
        <w:fldChar w:fldCharType="begin"/>
      </w:r>
      <w:r w:rsidRPr="00380510">
        <w:rPr>
          <w:rFonts w:ascii="Times" w:hAnsi="Times" w:cs="Times"/>
          <w:noProof/>
        </w:rPr>
        <w:instrText xml:space="preserve"> PAGEREF _Toc338939719 \h </w:instrText>
      </w:r>
      <w:r w:rsidRPr="00380510">
        <w:rPr>
          <w:rFonts w:ascii="Times" w:hAnsi="Times" w:cs="Times"/>
          <w:noProof/>
        </w:rPr>
      </w:r>
      <w:r w:rsidRPr="00380510">
        <w:rPr>
          <w:rFonts w:ascii="Times" w:hAnsi="Times" w:cs="Times"/>
          <w:noProof/>
        </w:rPr>
        <w:fldChar w:fldCharType="separate"/>
      </w:r>
      <w:r w:rsidR="00623A5C">
        <w:rPr>
          <w:rFonts w:ascii="Times" w:hAnsi="Times" w:cs="Times"/>
          <w:noProof/>
        </w:rPr>
        <w:t>490</w:t>
      </w:r>
      <w:r w:rsidRPr="00380510">
        <w:rPr>
          <w:rFonts w:ascii="Times" w:hAnsi="Times" w:cs="Times"/>
          <w:noProof/>
        </w:rPr>
        <w:fldChar w:fldCharType="end"/>
      </w:r>
    </w:p>
    <w:p w:rsidR="00380510" w:rsidRDefault="00380510">
      <w:pPr>
        <w:pStyle w:val="TOC5"/>
        <w:rPr>
          <w:rFonts w:ascii="Calibri" w:hAnsi="Calibri"/>
          <w:iCs w:val="0"/>
          <w:noProof/>
          <w:kern w:val="0"/>
          <w:sz w:val="22"/>
          <w:szCs w:val="22"/>
        </w:rPr>
      </w:pPr>
      <w:r>
        <w:rPr>
          <w:noProof/>
        </w:rPr>
        <w:t>976</w:t>
      </w:r>
      <w:r>
        <w:rPr>
          <w:noProof/>
        </w:rPr>
        <w:noBreakHyphen/>
        <w:t>15</w:t>
      </w:r>
      <w:r>
        <w:rPr>
          <w:noProof/>
        </w:rPr>
        <w:tab/>
        <w:t>The part of a distribution that is franked with a venture capital credit</w:t>
      </w:r>
      <w:r w:rsidRPr="00380510">
        <w:rPr>
          <w:rFonts w:ascii="Times" w:hAnsi="Times" w:cs="Times"/>
          <w:noProof/>
        </w:rPr>
        <w:tab/>
      </w:r>
      <w:r w:rsidRPr="00380510">
        <w:rPr>
          <w:rFonts w:ascii="Times" w:hAnsi="Times" w:cs="Times"/>
          <w:noProof/>
        </w:rPr>
        <w:fldChar w:fldCharType="begin"/>
      </w:r>
      <w:r w:rsidRPr="00380510">
        <w:rPr>
          <w:rFonts w:ascii="Times" w:hAnsi="Times" w:cs="Times"/>
          <w:noProof/>
        </w:rPr>
        <w:instrText xml:space="preserve"> PAGEREF _Toc338939720 \h </w:instrText>
      </w:r>
      <w:r w:rsidRPr="00380510">
        <w:rPr>
          <w:rFonts w:ascii="Times" w:hAnsi="Times" w:cs="Times"/>
          <w:noProof/>
        </w:rPr>
      </w:r>
      <w:r w:rsidRPr="00380510">
        <w:rPr>
          <w:rFonts w:ascii="Times" w:hAnsi="Times" w:cs="Times"/>
          <w:noProof/>
        </w:rPr>
        <w:fldChar w:fldCharType="separate"/>
      </w:r>
      <w:r w:rsidR="00623A5C">
        <w:rPr>
          <w:rFonts w:ascii="Times" w:hAnsi="Times" w:cs="Times"/>
          <w:noProof/>
        </w:rPr>
        <w:t>490</w:t>
      </w:r>
      <w:r w:rsidRPr="00380510">
        <w:rPr>
          <w:rFonts w:ascii="Times" w:hAnsi="Times" w:cs="Times"/>
          <w:noProof/>
        </w:rPr>
        <w:fldChar w:fldCharType="end"/>
      </w:r>
    </w:p>
    <w:p w:rsidR="00380510" w:rsidRDefault="00380510">
      <w:pPr>
        <w:pStyle w:val="TOC2"/>
        <w:rPr>
          <w:rFonts w:ascii="Calibri" w:hAnsi="Calibri"/>
          <w:b w:val="0"/>
          <w:iCs w:val="0"/>
          <w:noProof/>
          <w:kern w:val="0"/>
          <w:sz w:val="22"/>
          <w:szCs w:val="22"/>
        </w:rPr>
      </w:pPr>
      <w:r>
        <w:rPr>
          <w:noProof/>
        </w:rPr>
        <w:t>Part 6</w:t>
      </w:r>
      <w:r>
        <w:rPr>
          <w:noProof/>
        </w:rPr>
        <w:noBreakHyphen/>
        <w:t>5—Dictionary definitions</w:t>
      </w:r>
      <w:r w:rsidRPr="00380510">
        <w:rPr>
          <w:rFonts w:ascii="Times" w:hAnsi="Times" w:cs="Times"/>
          <w:b w:val="0"/>
          <w:noProof/>
          <w:sz w:val="18"/>
        </w:rPr>
        <w:tab/>
      </w:r>
      <w:r w:rsidRPr="00380510">
        <w:rPr>
          <w:rFonts w:ascii="Times" w:hAnsi="Times" w:cs="Times"/>
          <w:b w:val="0"/>
          <w:noProof/>
          <w:sz w:val="18"/>
        </w:rPr>
        <w:fldChar w:fldCharType="begin"/>
      </w:r>
      <w:r w:rsidRPr="00380510">
        <w:rPr>
          <w:rFonts w:ascii="Times" w:hAnsi="Times" w:cs="Times"/>
          <w:b w:val="0"/>
          <w:noProof/>
          <w:sz w:val="18"/>
        </w:rPr>
        <w:instrText xml:space="preserve"> PAGEREF _Toc338939721 \h </w:instrText>
      </w:r>
      <w:r w:rsidRPr="00380510">
        <w:rPr>
          <w:rFonts w:ascii="Times" w:hAnsi="Times" w:cs="Times"/>
          <w:b w:val="0"/>
          <w:noProof/>
          <w:sz w:val="18"/>
        </w:rPr>
      </w:r>
      <w:r w:rsidRPr="00380510">
        <w:rPr>
          <w:rFonts w:ascii="Times" w:hAnsi="Times" w:cs="Times"/>
          <w:b w:val="0"/>
          <w:noProof/>
          <w:sz w:val="18"/>
        </w:rPr>
        <w:fldChar w:fldCharType="separate"/>
      </w:r>
      <w:r w:rsidR="00623A5C">
        <w:rPr>
          <w:rFonts w:ascii="Times" w:hAnsi="Times" w:cs="Times"/>
          <w:b w:val="0"/>
          <w:noProof/>
          <w:sz w:val="18"/>
        </w:rPr>
        <w:t>491</w:t>
      </w:r>
      <w:r w:rsidRPr="00380510">
        <w:rPr>
          <w:rFonts w:ascii="Times" w:hAnsi="Times" w:cs="Times"/>
          <w:b w:val="0"/>
          <w:noProof/>
          <w:sz w:val="18"/>
        </w:rPr>
        <w:fldChar w:fldCharType="end"/>
      </w:r>
    </w:p>
    <w:p w:rsidR="00380510" w:rsidRDefault="00380510">
      <w:pPr>
        <w:pStyle w:val="TOC3"/>
        <w:rPr>
          <w:rFonts w:ascii="Calibri" w:hAnsi="Calibri"/>
          <w:b w:val="0"/>
          <w:noProof/>
          <w:kern w:val="0"/>
          <w:szCs w:val="22"/>
        </w:rPr>
      </w:pPr>
      <w:r>
        <w:rPr>
          <w:noProof/>
        </w:rPr>
        <w:t>Division 995—Definitions</w:t>
      </w:r>
      <w:r w:rsidRPr="00380510">
        <w:rPr>
          <w:rFonts w:ascii="Times" w:hAnsi="Times" w:cs="Times"/>
          <w:b w:val="0"/>
          <w:noProof/>
          <w:sz w:val="18"/>
        </w:rPr>
        <w:tab/>
      </w:r>
      <w:r w:rsidRPr="00380510">
        <w:rPr>
          <w:rFonts w:ascii="Times" w:hAnsi="Times" w:cs="Times"/>
          <w:b w:val="0"/>
          <w:noProof/>
          <w:sz w:val="18"/>
        </w:rPr>
        <w:fldChar w:fldCharType="begin"/>
      </w:r>
      <w:r w:rsidRPr="00380510">
        <w:rPr>
          <w:rFonts w:ascii="Times" w:hAnsi="Times" w:cs="Times"/>
          <w:b w:val="0"/>
          <w:noProof/>
          <w:sz w:val="18"/>
        </w:rPr>
        <w:instrText xml:space="preserve"> PAGEREF _Toc338939722 \h </w:instrText>
      </w:r>
      <w:r w:rsidRPr="00380510">
        <w:rPr>
          <w:rFonts w:ascii="Times" w:hAnsi="Times" w:cs="Times"/>
          <w:b w:val="0"/>
          <w:noProof/>
          <w:sz w:val="18"/>
        </w:rPr>
      </w:r>
      <w:r w:rsidRPr="00380510">
        <w:rPr>
          <w:rFonts w:ascii="Times" w:hAnsi="Times" w:cs="Times"/>
          <w:b w:val="0"/>
          <w:noProof/>
          <w:sz w:val="18"/>
        </w:rPr>
        <w:fldChar w:fldCharType="separate"/>
      </w:r>
      <w:r w:rsidR="00623A5C">
        <w:rPr>
          <w:rFonts w:ascii="Times" w:hAnsi="Times" w:cs="Times"/>
          <w:b w:val="0"/>
          <w:noProof/>
          <w:sz w:val="18"/>
        </w:rPr>
        <w:t>491</w:t>
      </w:r>
      <w:r w:rsidRPr="00380510">
        <w:rPr>
          <w:rFonts w:ascii="Times" w:hAnsi="Times" w:cs="Times"/>
          <w:b w:val="0"/>
          <w:noProof/>
          <w:sz w:val="18"/>
        </w:rPr>
        <w:fldChar w:fldCharType="end"/>
      </w:r>
    </w:p>
    <w:p w:rsidR="00380510" w:rsidRDefault="00380510">
      <w:pPr>
        <w:pStyle w:val="TOC5"/>
        <w:rPr>
          <w:rFonts w:ascii="Calibri" w:hAnsi="Calibri"/>
          <w:iCs w:val="0"/>
          <w:noProof/>
          <w:kern w:val="0"/>
          <w:sz w:val="22"/>
          <w:szCs w:val="22"/>
        </w:rPr>
      </w:pPr>
      <w:r>
        <w:rPr>
          <w:noProof/>
        </w:rPr>
        <w:t>995</w:t>
      </w:r>
      <w:r>
        <w:rPr>
          <w:noProof/>
        </w:rPr>
        <w:noBreakHyphen/>
        <w:t>1</w:t>
      </w:r>
      <w:r>
        <w:rPr>
          <w:noProof/>
        </w:rPr>
        <w:tab/>
        <w:t xml:space="preserve">Definitions </w:t>
      </w:r>
      <w:r w:rsidRPr="008A0EAA">
        <w:rPr>
          <w:noProof/>
        </w:rPr>
        <w:t>[</w:t>
      </w:r>
      <w:r w:rsidRPr="008A0EAA">
        <w:rPr>
          <w:i/>
          <w:noProof/>
        </w:rPr>
        <w:t>see</w:t>
      </w:r>
      <w:r w:rsidRPr="008A0EAA">
        <w:rPr>
          <w:noProof/>
        </w:rPr>
        <w:t xml:space="preserve"> Notes</w:t>
      </w:r>
      <w:r>
        <w:rPr>
          <w:noProof/>
        </w:rPr>
        <w:t> </w:t>
      </w:r>
      <w:r w:rsidRPr="008A0EAA">
        <w:rPr>
          <w:noProof/>
        </w:rPr>
        <w:t>2, 3 and 17]</w:t>
      </w:r>
      <w:r w:rsidRPr="00380510">
        <w:rPr>
          <w:rFonts w:ascii="Times" w:hAnsi="Times" w:cs="Times"/>
          <w:noProof/>
        </w:rPr>
        <w:tab/>
      </w:r>
      <w:r w:rsidRPr="00380510">
        <w:rPr>
          <w:rFonts w:ascii="Times" w:hAnsi="Times" w:cs="Times"/>
          <w:noProof/>
        </w:rPr>
        <w:fldChar w:fldCharType="begin"/>
      </w:r>
      <w:r w:rsidRPr="00380510">
        <w:rPr>
          <w:rFonts w:ascii="Times" w:hAnsi="Times" w:cs="Times"/>
          <w:noProof/>
        </w:rPr>
        <w:instrText xml:space="preserve"> PAGEREF _Toc338939723 \h </w:instrText>
      </w:r>
      <w:r w:rsidRPr="00380510">
        <w:rPr>
          <w:rFonts w:ascii="Times" w:hAnsi="Times" w:cs="Times"/>
          <w:noProof/>
        </w:rPr>
      </w:r>
      <w:r w:rsidRPr="00380510">
        <w:rPr>
          <w:rFonts w:ascii="Times" w:hAnsi="Times" w:cs="Times"/>
          <w:noProof/>
        </w:rPr>
        <w:fldChar w:fldCharType="separate"/>
      </w:r>
      <w:r w:rsidR="00623A5C">
        <w:rPr>
          <w:rFonts w:ascii="Times" w:hAnsi="Times" w:cs="Times"/>
          <w:noProof/>
        </w:rPr>
        <w:t>491</w:t>
      </w:r>
      <w:r w:rsidRPr="00380510">
        <w:rPr>
          <w:rFonts w:ascii="Times" w:hAnsi="Times" w:cs="Times"/>
          <w:noProof/>
        </w:rPr>
        <w:fldChar w:fldCharType="end"/>
      </w:r>
    </w:p>
    <w:p w:rsidR="007F5A03" w:rsidRDefault="00380510" w:rsidP="007F5A03">
      <w:pPr>
        <w:sectPr w:rsidR="007F5A03" w:rsidSect="009275EE">
          <w:headerReference w:type="even" r:id="rId16"/>
          <w:headerReference w:type="default" r:id="rId17"/>
          <w:footerReference w:type="default" r:id="rId18"/>
          <w:headerReference w:type="first" r:id="rId19"/>
          <w:footerReference w:type="first" r:id="rId20"/>
          <w:pgSz w:w="11906" w:h="16838" w:code="9"/>
          <w:pgMar w:top="2268" w:right="2410" w:bottom="3827" w:left="2410" w:header="567" w:footer="3119" w:gutter="0"/>
          <w:pgNumType w:fmt="lowerRoman" w:start="3"/>
          <w:cols w:space="720"/>
          <w:docGrid w:linePitch="299"/>
        </w:sectPr>
      </w:pPr>
      <w:r>
        <w:fldChar w:fldCharType="end"/>
      </w:r>
    </w:p>
    <w:p w:rsidR="00887330" w:rsidRPr="00583E1A" w:rsidRDefault="00887330" w:rsidP="00887330">
      <w:pPr>
        <w:pStyle w:val="ActHead1"/>
      </w:pPr>
      <w:bookmarkStart w:id="0" w:name="_Toc338939074"/>
      <w:r w:rsidRPr="00583E1A">
        <w:rPr>
          <w:rStyle w:val="CharChapNo"/>
        </w:rPr>
        <w:lastRenderedPageBreak/>
        <w:t>Chapter</w:t>
      </w:r>
      <w:r w:rsidR="00583E1A">
        <w:rPr>
          <w:rStyle w:val="CharChapNo"/>
        </w:rPr>
        <w:t> </w:t>
      </w:r>
      <w:r w:rsidRPr="00583E1A">
        <w:rPr>
          <w:rStyle w:val="CharChapNo"/>
        </w:rPr>
        <w:t>4</w:t>
      </w:r>
      <w:r w:rsidRPr="00583E1A">
        <w:t>—</w:t>
      </w:r>
      <w:r w:rsidRPr="00583E1A">
        <w:rPr>
          <w:rStyle w:val="CharChapText"/>
        </w:rPr>
        <w:t>International aspects of income tax</w:t>
      </w:r>
      <w:bookmarkEnd w:id="0"/>
    </w:p>
    <w:p w:rsidR="00887330" w:rsidRPr="00583E1A" w:rsidRDefault="00887330" w:rsidP="00887330">
      <w:pPr>
        <w:pStyle w:val="ActHead2"/>
      </w:pPr>
      <w:bookmarkStart w:id="1" w:name="_Toc338939075"/>
      <w:r w:rsidRPr="00583E1A">
        <w:rPr>
          <w:rStyle w:val="CharPartNo"/>
        </w:rPr>
        <w:t>Part</w:t>
      </w:r>
      <w:r w:rsidR="00583E1A">
        <w:rPr>
          <w:rStyle w:val="CharPartNo"/>
        </w:rPr>
        <w:t> </w:t>
      </w:r>
      <w:r w:rsidRPr="00583E1A">
        <w:rPr>
          <w:rStyle w:val="CharPartNo"/>
        </w:rPr>
        <w:t>4</w:t>
      </w:r>
      <w:r w:rsidR="00583E1A">
        <w:rPr>
          <w:rStyle w:val="CharPartNo"/>
        </w:rPr>
        <w:noBreakHyphen/>
      </w:r>
      <w:r w:rsidRPr="00583E1A">
        <w:rPr>
          <w:rStyle w:val="CharPartNo"/>
        </w:rPr>
        <w:t>5</w:t>
      </w:r>
      <w:r w:rsidRPr="00583E1A">
        <w:t>—</w:t>
      </w:r>
      <w:r w:rsidRPr="00583E1A">
        <w:rPr>
          <w:rStyle w:val="CharPartText"/>
        </w:rPr>
        <w:t>General</w:t>
      </w:r>
      <w:bookmarkEnd w:id="1"/>
    </w:p>
    <w:p w:rsidR="00887330" w:rsidRPr="00583E1A" w:rsidRDefault="00887330" w:rsidP="00887330">
      <w:pPr>
        <w:pStyle w:val="ActHead3"/>
      </w:pPr>
      <w:bookmarkStart w:id="2" w:name="_Toc338939076"/>
      <w:r w:rsidRPr="00583E1A">
        <w:rPr>
          <w:rStyle w:val="CharDivNo"/>
        </w:rPr>
        <w:t>Division</w:t>
      </w:r>
      <w:r w:rsidR="00583E1A">
        <w:rPr>
          <w:rStyle w:val="CharDivNo"/>
        </w:rPr>
        <w:t> </w:t>
      </w:r>
      <w:r w:rsidRPr="00583E1A">
        <w:rPr>
          <w:rStyle w:val="CharDivNo"/>
        </w:rPr>
        <w:t>768</w:t>
      </w:r>
      <w:r w:rsidRPr="00583E1A">
        <w:t>—</w:t>
      </w:r>
      <w:r w:rsidRPr="00583E1A">
        <w:rPr>
          <w:rStyle w:val="CharDivText"/>
        </w:rPr>
        <w:t>Exempt foreign income and gains</w:t>
      </w:r>
      <w:bookmarkEnd w:id="2"/>
    </w:p>
    <w:p w:rsidR="00887330" w:rsidRPr="00583E1A" w:rsidRDefault="00887330" w:rsidP="00887330">
      <w:pPr>
        <w:pStyle w:val="Header"/>
      </w:pPr>
      <w:r w:rsidRPr="00583E1A">
        <w:rPr>
          <w:rStyle w:val="CharSubdNo"/>
        </w:rPr>
        <w:t xml:space="preserve"> </w:t>
      </w:r>
      <w:r w:rsidRPr="00583E1A">
        <w:rPr>
          <w:rStyle w:val="CharSubdText"/>
        </w:rPr>
        <w:t xml:space="preserve"> </w:t>
      </w:r>
    </w:p>
    <w:p w:rsidR="00887330" w:rsidRPr="00583E1A" w:rsidRDefault="00887330" w:rsidP="00887330">
      <w:pPr>
        <w:pStyle w:val="TofSectsHeading"/>
      </w:pPr>
      <w:r w:rsidRPr="00583E1A">
        <w:t>Table of Subdivisions</w:t>
      </w:r>
    </w:p>
    <w:p w:rsidR="000A79BE" w:rsidRPr="00583E1A" w:rsidRDefault="000A79BE" w:rsidP="00887330">
      <w:pPr>
        <w:pStyle w:val="TofSectsSubdiv"/>
      </w:pPr>
      <w:r w:rsidRPr="00583E1A">
        <w:t>768</w:t>
      </w:r>
      <w:r w:rsidR="00583E1A">
        <w:noBreakHyphen/>
      </w:r>
      <w:r w:rsidRPr="00583E1A">
        <w:t>B</w:t>
      </w:r>
      <w:r w:rsidRPr="00583E1A">
        <w:tab/>
        <w:t>Some items of income that are exempt from income tax</w:t>
      </w:r>
    </w:p>
    <w:p w:rsidR="00887330" w:rsidRPr="00583E1A" w:rsidRDefault="00887330" w:rsidP="00887330">
      <w:pPr>
        <w:pStyle w:val="TofSectsSubdiv"/>
      </w:pPr>
      <w:r w:rsidRPr="00583E1A">
        <w:t>768</w:t>
      </w:r>
      <w:r w:rsidR="00583E1A">
        <w:noBreakHyphen/>
      </w:r>
      <w:r w:rsidRPr="00583E1A">
        <w:t>G</w:t>
      </w:r>
      <w:r w:rsidRPr="00583E1A">
        <w:tab/>
        <w:t xml:space="preserve">Reduction in capital gains and losses arising from CGT events in relation to </w:t>
      </w:r>
      <w:r w:rsidR="006375C9" w:rsidRPr="00583E1A">
        <w:t>certain voting</w:t>
      </w:r>
      <w:r w:rsidRPr="00583E1A">
        <w:t xml:space="preserve"> interests in active foreign companies</w:t>
      </w:r>
    </w:p>
    <w:p w:rsidR="00887330" w:rsidRPr="00583E1A" w:rsidRDefault="00887330" w:rsidP="00887330">
      <w:pPr>
        <w:pStyle w:val="TofSectsSubdiv"/>
        <w:rPr>
          <w:rStyle w:val="CharSubdText"/>
        </w:rPr>
      </w:pPr>
      <w:r w:rsidRPr="00861BED">
        <w:t>768</w:t>
      </w:r>
      <w:r w:rsidR="00583E1A" w:rsidRPr="00861BED">
        <w:noBreakHyphen/>
      </w:r>
      <w:r w:rsidRPr="00861BED">
        <w:t>R</w:t>
      </w:r>
      <w:r w:rsidRPr="00583E1A">
        <w:tab/>
      </w:r>
      <w:r w:rsidRPr="00583E1A">
        <w:rPr>
          <w:rStyle w:val="CharSubdText"/>
        </w:rPr>
        <w:t>Temporary residents</w:t>
      </w:r>
    </w:p>
    <w:p w:rsidR="004E62EB" w:rsidRPr="00583E1A" w:rsidRDefault="004E62EB" w:rsidP="004E62EB">
      <w:pPr>
        <w:pStyle w:val="ActHead4"/>
      </w:pPr>
      <w:bookmarkStart w:id="3" w:name="_Toc338939077"/>
      <w:r w:rsidRPr="00583E1A">
        <w:rPr>
          <w:rStyle w:val="CharSubdNo"/>
        </w:rPr>
        <w:t>Subdivision</w:t>
      </w:r>
      <w:r w:rsidR="00583E1A">
        <w:rPr>
          <w:rStyle w:val="CharSubdNo"/>
        </w:rPr>
        <w:t> </w:t>
      </w:r>
      <w:r w:rsidRPr="00583E1A">
        <w:rPr>
          <w:rStyle w:val="CharSubdNo"/>
        </w:rPr>
        <w:t>768</w:t>
      </w:r>
      <w:r w:rsidR="00583E1A">
        <w:rPr>
          <w:rStyle w:val="CharSubdNo"/>
        </w:rPr>
        <w:noBreakHyphen/>
      </w:r>
      <w:r w:rsidRPr="00583E1A">
        <w:rPr>
          <w:rStyle w:val="CharSubdNo"/>
        </w:rPr>
        <w:t>B</w:t>
      </w:r>
      <w:r w:rsidRPr="00583E1A">
        <w:t>—</w:t>
      </w:r>
      <w:r w:rsidRPr="00583E1A">
        <w:rPr>
          <w:rStyle w:val="CharSubdText"/>
        </w:rPr>
        <w:t>Some items of income that are exempt from income tax</w:t>
      </w:r>
      <w:bookmarkEnd w:id="3"/>
    </w:p>
    <w:p w:rsidR="004E62EB" w:rsidRPr="00583E1A" w:rsidRDefault="004E62EB" w:rsidP="004E62EB">
      <w:pPr>
        <w:pStyle w:val="TofSectsHeading"/>
      </w:pPr>
      <w:r w:rsidRPr="00583E1A">
        <w:t>Table of sections</w:t>
      </w:r>
    </w:p>
    <w:p w:rsidR="004E62EB" w:rsidRPr="00583E1A" w:rsidRDefault="004E62EB" w:rsidP="004E62EB">
      <w:pPr>
        <w:pStyle w:val="TofSectsSection"/>
      </w:pPr>
      <w:r w:rsidRPr="00583E1A">
        <w:t>768</w:t>
      </w:r>
      <w:r w:rsidR="00583E1A">
        <w:noBreakHyphen/>
      </w:r>
      <w:r w:rsidRPr="00583E1A">
        <w:t>100</w:t>
      </w:r>
      <w:r w:rsidRPr="00583E1A">
        <w:tab/>
        <w:t xml:space="preserve">Foreign government officials in </w:t>
      </w:r>
      <w:smartTag w:uri="urn:schemas-microsoft-com:office:smarttags" w:element="country-region">
        <w:smartTag w:uri="urn:schemas-microsoft-com:office:smarttags" w:element="place">
          <w:r w:rsidRPr="00583E1A">
            <w:t>Australia</w:t>
          </w:r>
        </w:smartTag>
      </w:smartTag>
    </w:p>
    <w:p w:rsidR="004E62EB" w:rsidRPr="00583E1A" w:rsidRDefault="004E62EB" w:rsidP="004E62EB">
      <w:pPr>
        <w:pStyle w:val="TofSectsSection"/>
      </w:pPr>
      <w:r w:rsidRPr="00583E1A">
        <w:t>768</w:t>
      </w:r>
      <w:r w:rsidR="00583E1A">
        <w:noBreakHyphen/>
      </w:r>
      <w:r w:rsidRPr="00583E1A">
        <w:t>105</w:t>
      </w:r>
      <w:r w:rsidRPr="00583E1A">
        <w:tab/>
        <w:t>Compensation arising out of Second World War</w:t>
      </w:r>
    </w:p>
    <w:p w:rsidR="004E62EB" w:rsidRPr="00583E1A" w:rsidRDefault="004E62EB" w:rsidP="004E62EB">
      <w:pPr>
        <w:pStyle w:val="ActHead5"/>
      </w:pPr>
      <w:bookmarkStart w:id="4" w:name="_Toc338939078"/>
      <w:r w:rsidRPr="00583E1A">
        <w:rPr>
          <w:rStyle w:val="CharSectno"/>
        </w:rPr>
        <w:t>768</w:t>
      </w:r>
      <w:r w:rsidR="00583E1A">
        <w:rPr>
          <w:rStyle w:val="CharSectno"/>
        </w:rPr>
        <w:noBreakHyphen/>
      </w:r>
      <w:r w:rsidRPr="00583E1A">
        <w:rPr>
          <w:rStyle w:val="CharSectno"/>
        </w:rPr>
        <w:t>100</w:t>
      </w:r>
      <w:r w:rsidRPr="00583E1A">
        <w:t xml:space="preserve">  Foreign government officials in </w:t>
      </w:r>
      <w:smartTag w:uri="urn:schemas-microsoft-com:office:smarttags" w:element="country-region">
        <w:smartTag w:uri="urn:schemas-microsoft-com:office:smarttags" w:element="place">
          <w:r w:rsidRPr="00583E1A">
            <w:t>Australia</w:t>
          </w:r>
        </w:smartTag>
      </w:smartTag>
      <w:bookmarkEnd w:id="4"/>
    </w:p>
    <w:p w:rsidR="004E62EB" w:rsidRPr="00583E1A" w:rsidRDefault="004E62EB" w:rsidP="004E62EB">
      <w:pPr>
        <w:pStyle w:val="subsection"/>
        <w:keepNext/>
      </w:pPr>
      <w:r w:rsidRPr="00583E1A">
        <w:tab/>
        <w:t>(1)</w:t>
      </w:r>
      <w:r w:rsidRPr="00583E1A">
        <w:tab/>
        <w:t xml:space="preserve">The amounts of </w:t>
      </w:r>
      <w:r w:rsidR="00583E1A" w:rsidRPr="00583E1A">
        <w:rPr>
          <w:position w:val="6"/>
          <w:sz w:val="16"/>
          <w:szCs w:val="16"/>
        </w:rPr>
        <w:t>*</w:t>
      </w:r>
      <w:r w:rsidRPr="00583E1A">
        <w:t xml:space="preserve">ordinary income and </w:t>
      </w:r>
      <w:r w:rsidR="00583E1A" w:rsidRPr="00583E1A">
        <w:rPr>
          <w:position w:val="6"/>
          <w:sz w:val="16"/>
          <w:szCs w:val="16"/>
        </w:rPr>
        <w:t>*</w:t>
      </w:r>
      <w:r w:rsidRPr="00583E1A">
        <w:t>statutory income covered by the table are exempt from income tax. In some cases, the exemption is subject to exceptions or special conditions, or both.</w:t>
      </w:r>
    </w:p>
    <w:p w:rsidR="004E62EB" w:rsidRPr="00583E1A" w:rsidRDefault="004E62EB" w:rsidP="004E62EB">
      <w:pPr>
        <w:pStyle w:val="notetext"/>
        <w:keepNext/>
      </w:pPr>
      <w:r w:rsidRPr="00583E1A">
        <w:t>Note 1:</w:t>
      </w:r>
      <w:r w:rsidRPr="00583E1A">
        <w:tab/>
        <w:t>Ordinary and statutory income that is exempt from income tax is called exempt income: see section</w:t>
      </w:r>
      <w:r w:rsidR="00583E1A">
        <w:t> </w:t>
      </w:r>
      <w:r w:rsidRPr="00583E1A">
        <w:t>6</w:t>
      </w:r>
      <w:r w:rsidR="00583E1A">
        <w:noBreakHyphen/>
      </w:r>
      <w:r w:rsidRPr="00583E1A">
        <w:t>20. The note to subsection 6</w:t>
      </w:r>
      <w:r w:rsidR="00583E1A">
        <w:noBreakHyphen/>
      </w:r>
      <w:r w:rsidRPr="00583E1A">
        <w:t>15(2) describes some of the other consequences of it being exempt income.</w:t>
      </w:r>
    </w:p>
    <w:p w:rsidR="004E62EB" w:rsidRPr="00583E1A" w:rsidRDefault="004E62EB" w:rsidP="004E62EB">
      <w:pPr>
        <w:pStyle w:val="notetext"/>
        <w:ind w:right="283"/>
      </w:pPr>
      <w:r w:rsidRPr="00583E1A">
        <w:t>Note 2:</w:t>
      </w:r>
      <w:r w:rsidRPr="00583E1A">
        <w:tab/>
        <w:t>Even if an exempt payment is made to you, the Commissioner can still require you to lodge an income tax return or information under section</w:t>
      </w:r>
      <w:r w:rsidR="00583E1A">
        <w:t> </w:t>
      </w:r>
      <w:r w:rsidRPr="00583E1A">
        <w:t xml:space="preserve">161 of the </w:t>
      </w:r>
      <w:r w:rsidRPr="00583E1A">
        <w:rPr>
          <w:i/>
          <w:iCs/>
        </w:rPr>
        <w:t>Income Tax Assessment Act 1936</w:t>
      </w:r>
      <w:r w:rsidRPr="00583E1A">
        <w:t>.</w:t>
      </w:r>
    </w:p>
    <w:p w:rsidR="004E62EB" w:rsidRPr="00583E1A" w:rsidRDefault="004E62EB" w:rsidP="004E62EB">
      <w:pPr>
        <w:pStyle w:val="Tabletext"/>
      </w:pPr>
    </w:p>
    <w:tbl>
      <w:tblPr>
        <w:tblW w:w="0" w:type="auto"/>
        <w:tblInd w:w="135" w:type="dxa"/>
        <w:tblLayout w:type="fixed"/>
        <w:tblLook w:val="0000" w:firstRow="0" w:lastRow="0" w:firstColumn="0" w:lastColumn="0" w:noHBand="0" w:noVBand="0"/>
      </w:tblPr>
      <w:tblGrid>
        <w:gridCol w:w="633"/>
        <w:gridCol w:w="1980"/>
        <w:gridCol w:w="2090"/>
        <w:gridCol w:w="2215"/>
      </w:tblGrid>
      <w:tr w:rsidR="004E62EB" w:rsidRPr="00583E1A">
        <w:trPr>
          <w:cantSplit/>
          <w:tblHeader/>
        </w:trPr>
        <w:tc>
          <w:tcPr>
            <w:tcW w:w="6918" w:type="dxa"/>
            <w:gridSpan w:val="4"/>
            <w:tcBorders>
              <w:top w:val="single" w:sz="12" w:space="0" w:color="auto"/>
              <w:bottom w:val="single" w:sz="6" w:space="0" w:color="auto"/>
            </w:tcBorders>
            <w:shd w:val="clear" w:color="auto" w:fill="auto"/>
          </w:tcPr>
          <w:p w:rsidR="004E62EB" w:rsidRPr="00583E1A" w:rsidRDefault="004E62EB" w:rsidP="004E62EB">
            <w:pPr>
              <w:pStyle w:val="Tabletext"/>
              <w:keepNext/>
              <w:keepLines/>
              <w:rPr>
                <w:b/>
              </w:rPr>
            </w:pPr>
            <w:r w:rsidRPr="00583E1A">
              <w:rPr>
                <w:b/>
                <w:bCs/>
              </w:rPr>
              <w:lastRenderedPageBreak/>
              <w:t>Exempt amounts</w:t>
            </w:r>
          </w:p>
        </w:tc>
      </w:tr>
      <w:tr w:rsidR="004E62EB" w:rsidRPr="00583E1A">
        <w:trPr>
          <w:cantSplit/>
          <w:tblHeader/>
        </w:trPr>
        <w:tc>
          <w:tcPr>
            <w:tcW w:w="633" w:type="dxa"/>
            <w:tcBorders>
              <w:top w:val="single" w:sz="6" w:space="0" w:color="auto"/>
              <w:bottom w:val="single" w:sz="12" w:space="0" w:color="auto"/>
            </w:tcBorders>
            <w:shd w:val="clear" w:color="auto" w:fill="auto"/>
          </w:tcPr>
          <w:p w:rsidR="004E62EB" w:rsidRPr="00583E1A" w:rsidRDefault="004E62EB" w:rsidP="004E62EB">
            <w:pPr>
              <w:pStyle w:val="Tabletext"/>
              <w:keepNext/>
              <w:rPr>
                <w:b/>
              </w:rPr>
            </w:pPr>
            <w:r w:rsidRPr="00583E1A">
              <w:rPr>
                <w:b/>
                <w:bCs/>
              </w:rPr>
              <w:t>Item</w:t>
            </w:r>
          </w:p>
        </w:tc>
        <w:tc>
          <w:tcPr>
            <w:tcW w:w="1980" w:type="dxa"/>
            <w:tcBorders>
              <w:top w:val="single" w:sz="6" w:space="0" w:color="auto"/>
              <w:bottom w:val="single" w:sz="12" w:space="0" w:color="auto"/>
            </w:tcBorders>
            <w:shd w:val="clear" w:color="auto" w:fill="auto"/>
          </w:tcPr>
          <w:p w:rsidR="004E62EB" w:rsidRPr="00583E1A" w:rsidRDefault="004E62EB" w:rsidP="004E62EB">
            <w:pPr>
              <w:pStyle w:val="Tabletext"/>
              <w:keepNext/>
              <w:rPr>
                <w:b/>
              </w:rPr>
            </w:pPr>
            <w:r w:rsidRPr="00583E1A">
              <w:rPr>
                <w:b/>
                <w:bCs/>
              </w:rPr>
              <w:t>If you are:</w:t>
            </w:r>
          </w:p>
        </w:tc>
        <w:tc>
          <w:tcPr>
            <w:tcW w:w="2090" w:type="dxa"/>
            <w:tcBorders>
              <w:top w:val="single" w:sz="6" w:space="0" w:color="auto"/>
              <w:bottom w:val="single" w:sz="12" w:space="0" w:color="auto"/>
            </w:tcBorders>
            <w:shd w:val="clear" w:color="auto" w:fill="auto"/>
          </w:tcPr>
          <w:p w:rsidR="004E62EB" w:rsidRPr="00583E1A" w:rsidRDefault="004E62EB" w:rsidP="004E62EB">
            <w:pPr>
              <w:pStyle w:val="Tabletext"/>
              <w:keepNext/>
              <w:rPr>
                <w:b/>
              </w:rPr>
            </w:pPr>
            <w:r w:rsidRPr="00583E1A">
              <w:rPr>
                <w:b/>
                <w:bCs/>
              </w:rPr>
              <w:t>the following amounts are exempt from income tax:</w:t>
            </w:r>
          </w:p>
        </w:tc>
        <w:tc>
          <w:tcPr>
            <w:tcW w:w="2215" w:type="dxa"/>
            <w:tcBorders>
              <w:top w:val="single" w:sz="6" w:space="0" w:color="auto"/>
              <w:bottom w:val="single" w:sz="12" w:space="0" w:color="auto"/>
            </w:tcBorders>
            <w:shd w:val="clear" w:color="auto" w:fill="auto"/>
          </w:tcPr>
          <w:p w:rsidR="004E62EB" w:rsidRPr="00583E1A" w:rsidRDefault="004E62EB" w:rsidP="004E62EB">
            <w:pPr>
              <w:pStyle w:val="Tabletext"/>
              <w:keepNext/>
              <w:rPr>
                <w:b/>
              </w:rPr>
            </w:pPr>
            <w:r w:rsidRPr="00583E1A">
              <w:rPr>
                <w:b/>
                <w:bCs/>
              </w:rPr>
              <w:t>subject to these exceptions and special conditions:</w:t>
            </w:r>
          </w:p>
        </w:tc>
      </w:tr>
      <w:tr w:rsidR="004E62EB" w:rsidRPr="00583E1A">
        <w:trPr>
          <w:cantSplit/>
        </w:trPr>
        <w:tc>
          <w:tcPr>
            <w:tcW w:w="633" w:type="dxa"/>
            <w:tcBorders>
              <w:top w:val="single" w:sz="12" w:space="0" w:color="auto"/>
              <w:bottom w:val="single" w:sz="2" w:space="0" w:color="auto"/>
            </w:tcBorders>
            <w:shd w:val="clear" w:color="auto" w:fill="auto"/>
          </w:tcPr>
          <w:p w:rsidR="004E62EB" w:rsidRPr="00583E1A" w:rsidRDefault="004E62EB" w:rsidP="004E62EB">
            <w:pPr>
              <w:pStyle w:val="Tabletext"/>
            </w:pPr>
            <w:r w:rsidRPr="00583E1A">
              <w:t>1</w:t>
            </w:r>
          </w:p>
        </w:tc>
        <w:tc>
          <w:tcPr>
            <w:tcW w:w="1980" w:type="dxa"/>
            <w:tcBorders>
              <w:top w:val="single" w:sz="12" w:space="0" w:color="auto"/>
              <w:bottom w:val="single" w:sz="2" w:space="0" w:color="auto"/>
            </w:tcBorders>
            <w:shd w:val="clear" w:color="auto" w:fill="auto"/>
          </w:tcPr>
          <w:p w:rsidR="004E62EB" w:rsidRPr="00583E1A" w:rsidRDefault="004E62EB" w:rsidP="004E62EB">
            <w:pPr>
              <w:pStyle w:val="Tablea"/>
            </w:pPr>
            <w:r w:rsidRPr="00583E1A">
              <w:t xml:space="preserve">(a) a representative in </w:t>
            </w:r>
            <w:smartTag w:uri="urn:schemas-microsoft-com:office:smarttags" w:element="country-region">
              <w:smartTag w:uri="urn:schemas-microsoft-com:office:smarttags" w:element="place">
                <w:r w:rsidRPr="00583E1A">
                  <w:t>Australia</w:t>
                </w:r>
              </w:smartTag>
            </w:smartTag>
            <w:r w:rsidRPr="00583E1A">
              <w:t xml:space="preserve"> of the government of a foreign country; or</w:t>
            </w:r>
          </w:p>
          <w:p w:rsidR="004E62EB" w:rsidRPr="00583E1A" w:rsidRDefault="004E62EB" w:rsidP="004E62EB">
            <w:pPr>
              <w:pStyle w:val="Tablea"/>
            </w:pPr>
            <w:r w:rsidRPr="00583E1A">
              <w:t>(b) a member of the official staff of such a representative;</w:t>
            </w:r>
          </w:p>
          <w:p w:rsidR="004E62EB" w:rsidRPr="00583E1A" w:rsidRDefault="004E62EB" w:rsidP="004E62EB">
            <w:pPr>
              <w:pStyle w:val="Tabletext"/>
            </w:pPr>
            <w:r w:rsidRPr="00583E1A">
              <w:t xml:space="preserve">and you are neither an Australian citizen nor ordinarily resident in </w:t>
            </w:r>
            <w:smartTag w:uri="urn:schemas-microsoft-com:office:smarttags" w:element="country-region">
              <w:smartTag w:uri="urn:schemas-microsoft-com:office:smarttags" w:element="place">
                <w:r w:rsidRPr="00583E1A">
                  <w:t>Australia</w:t>
                </w:r>
              </w:smartTag>
            </w:smartTag>
          </w:p>
        </w:tc>
        <w:tc>
          <w:tcPr>
            <w:tcW w:w="2090" w:type="dxa"/>
            <w:tcBorders>
              <w:top w:val="single" w:sz="12" w:space="0" w:color="auto"/>
              <w:bottom w:val="single" w:sz="2" w:space="0" w:color="auto"/>
            </w:tcBorders>
            <w:shd w:val="clear" w:color="auto" w:fill="auto"/>
          </w:tcPr>
          <w:p w:rsidR="004E62EB" w:rsidRPr="00583E1A" w:rsidRDefault="004E62EB" w:rsidP="004E62EB">
            <w:pPr>
              <w:pStyle w:val="Tablea"/>
            </w:pPr>
            <w:r w:rsidRPr="00583E1A">
              <w:t>(a) your official salary; and</w:t>
            </w:r>
          </w:p>
          <w:p w:rsidR="004E62EB" w:rsidRPr="00583E1A" w:rsidRDefault="004E62EB" w:rsidP="004E62EB">
            <w:pPr>
              <w:pStyle w:val="Tablea"/>
            </w:pPr>
            <w:r w:rsidRPr="00583E1A">
              <w:t xml:space="preserve">(b) your </w:t>
            </w:r>
            <w:r w:rsidR="00583E1A" w:rsidRPr="00583E1A">
              <w:rPr>
                <w:position w:val="6"/>
                <w:sz w:val="16"/>
              </w:rPr>
              <w:t>*</w:t>
            </w:r>
            <w:r w:rsidRPr="00583E1A">
              <w:t xml:space="preserve">ordinary income, and your </w:t>
            </w:r>
            <w:r w:rsidR="00583E1A" w:rsidRPr="00583E1A">
              <w:rPr>
                <w:position w:val="6"/>
                <w:sz w:val="16"/>
              </w:rPr>
              <w:t>*</w:t>
            </w:r>
            <w:r w:rsidRPr="00583E1A">
              <w:t xml:space="preserve">statutory income, from a source outside </w:t>
            </w:r>
            <w:smartTag w:uri="urn:schemas-microsoft-com:office:smarttags" w:element="country-region">
              <w:smartTag w:uri="urn:schemas-microsoft-com:office:smarttags" w:element="place">
                <w:r w:rsidRPr="00583E1A">
                  <w:t>Australia</w:t>
                </w:r>
              </w:smartTag>
            </w:smartTag>
          </w:p>
        </w:tc>
        <w:tc>
          <w:tcPr>
            <w:tcW w:w="2215" w:type="dxa"/>
            <w:tcBorders>
              <w:top w:val="single" w:sz="12" w:space="0" w:color="auto"/>
              <w:bottom w:val="single" w:sz="2" w:space="0" w:color="auto"/>
            </w:tcBorders>
            <w:shd w:val="clear" w:color="auto" w:fill="auto"/>
          </w:tcPr>
          <w:p w:rsidR="004E62EB" w:rsidRPr="00583E1A" w:rsidRDefault="004E62EB" w:rsidP="004E62EB">
            <w:pPr>
              <w:pStyle w:val="Tablea"/>
            </w:pPr>
            <w:r w:rsidRPr="00583E1A">
              <w:t xml:space="preserve">(a) no Convention listed in </w:t>
            </w:r>
            <w:r w:rsidR="00583E1A">
              <w:t>subsection (</w:t>
            </w:r>
            <w:r w:rsidRPr="00583E1A">
              <w:t>2) applies to the representative; and</w:t>
            </w:r>
          </w:p>
          <w:p w:rsidR="004E62EB" w:rsidRPr="00583E1A" w:rsidRDefault="004E62EB" w:rsidP="004E62EB">
            <w:pPr>
              <w:pStyle w:val="Tablea"/>
            </w:pPr>
            <w:r w:rsidRPr="00583E1A">
              <w:t xml:space="preserve">(b) the country concerned grants in relation to </w:t>
            </w:r>
            <w:smartTag w:uri="urn:schemas-microsoft-com:office:smarttags" w:element="country-region">
              <w:smartTag w:uri="urn:schemas-microsoft-com:office:smarttags" w:element="place">
                <w:r w:rsidRPr="00583E1A">
                  <w:t>Australia</w:t>
                </w:r>
              </w:smartTag>
            </w:smartTag>
            <w:r w:rsidRPr="00583E1A">
              <w:t xml:space="preserve"> exemptions from taxes on income that correspond with the exemption in this item</w:t>
            </w:r>
          </w:p>
        </w:tc>
      </w:tr>
      <w:tr w:rsidR="004E62EB" w:rsidRPr="00583E1A">
        <w:trPr>
          <w:cantSplit/>
        </w:trPr>
        <w:tc>
          <w:tcPr>
            <w:tcW w:w="633" w:type="dxa"/>
            <w:tcBorders>
              <w:top w:val="single" w:sz="2" w:space="0" w:color="auto"/>
              <w:bottom w:val="single" w:sz="12" w:space="0" w:color="auto"/>
            </w:tcBorders>
            <w:shd w:val="clear" w:color="auto" w:fill="auto"/>
          </w:tcPr>
          <w:p w:rsidR="004E62EB" w:rsidRPr="00583E1A" w:rsidRDefault="004E62EB" w:rsidP="004E62EB">
            <w:pPr>
              <w:pStyle w:val="Tabletext"/>
            </w:pPr>
            <w:r w:rsidRPr="00583E1A">
              <w:t>2</w:t>
            </w:r>
          </w:p>
        </w:tc>
        <w:tc>
          <w:tcPr>
            <w:tcW w:w="1980" w:type="dxa"/>
            <w:tcBorders>
              <w:top w:val="single" w:sz="2" w:space="0" w:color="auto"/>
              <w:bottom w:val="single" w:sz="12" w:space="0" w:color="auto"/>
            </w:tcBorders>
            <w:shd w:val="clear" w:color="auto" w:fill="auto"/>
          </w:tcPr>
          <w:p w:rsidR="004E62EB" w:rsidRPr="00583E1A" w:rsidRDefault="004E62EB" w:rsidP="004E62EB">
            <w:pPr>
              <w:pStyle w:val="Tablea"/>
            </w:pPr>
            <w:r w:rsidRPr="00583E1A">
              <w:t xml:space="preserve">(a) an officer of the government of a </w:t>
            </w:r>
            <w:r w:rsidR="00583E1A" w:rsidRPr="00583E1A">
              <w:rPr>
                <w:position w:val="6"/>
                <w:sz w:val="16"/>
              </w:rPr>
              <w:t>*</w:t>
            </w:r>
            <w:r w:rsidRPr="00583E1A">
              <w:t>Commonwealth of Nations country; and</w:t>
            </w:r>
          </w:p>
          <w:p w:rsidR="004E62EB" w:rsidRPr="00583E1A" w:rsidRDefault="004E62EB" w:rsidP="004E62EB">
            <w:pPr>
              <w:pStyle w:val="Tablea"/>
            </w:pPr>
            <w:r w:rsidRPr="00583E1A">
              <w:t xml:space="preserve">(b) temporarily in </w:t>
            </w:r>
            <w:smartTag w:uri="urn:schemas-microsoft-com:office:smarttags" w:element="country-region">
              <w:smartTag w:uri="urn:schemas-microsoft-com:office:smarttags" w:element="place">
                <w:r w:rsidRPr="00583E1A">
                  <w:t>Australia</w:t>
                </w:r>
              </w:smartTag>
            </w:smartTag>
            <w:r w:rsidRPr="00583E1A">
              <w:t xml:space="preserve"> to render service on behalf of that country, or an </w:t>
            </w:r>
            <w:r w:rsidR="00583E1A" w:rsidRPr="00583E1A">
              <w:rPr>
                <w:position w:val="6"/>
                <w:sz w:val="16"/>
              </w:rPr>
              <w:t>*</w:t>
            </w:r>
            <w:r w:rsidRPr="00583E1A">
              <w:t xml:space="preserve">Australian government agency, in accordance with an </w:t>
            </w:r>
            <w:r w:rsidR="00583E1A" w:rsidRPr="00583E1A">
              <w:rPr>
                <w:position w:val="6"/>
                <w:sz w:val="16"/>
              </w:rPr>
              <w:t>*</w:t>
            </w:r>
            <w:r w:rsidRPr="00583E1A">
              <w:t>arrangement between the governments of that country and of the Commonwealth or of a State or Territory</w:t>
            </w:r>
          </w:p>
        </w:tc>
        <w:tc>
          <w:tcPr>
            <w:tcW w:w="2090" w:type="dxa"/>
            <w:tcBorders>
              <w:top w:val="single" w:sz="2" w:space="0" w:color="auto"/>
              <w:bottom w:val="single" w:sz="12" w:space="0" w:color="auto"/>
            </w:tcBorders>
            <w:shd w:val="clear" w:color="auto" w:fill="auto"/>
          </w:tcPr>
          <w:p w:rsidR="004E62EB" w:rsidRPr="00583E1A" w:rsidRDefault="004E62EB" w:rsidP="004E62EB">
            <w:pPr>
              <w:pStyle w:val="Tablea"/>
            </w:pPr>
            <w:r w:rsidRPr="00583E1A">
              <w:t>(a) your official salary; and</w:t>
            </w:r>
          </w:p>
          <w:p w:rsidR="004E62EB" w:rsidRPr="00583E1A" w:rsidRDefault="004E62EB" w:rsidP="004E62EB">
            <w:pPr>
              <w:pStyle w:val="Tablea"/>
            </w:pPr>
            <w:r w:rsidRPr="00583E1A">
              <w:t xml:space="preserve">(b) your </w:t>
            </w:r>
            <w:r w:rsidR="00583E1A" w:rsidRPr="00583E1A">
              <w:rPr>
                <w:position w:val="6"/>
                <w:sz w:val="16"/>
              </w:rPr>
              <w:t>*</w:t>
            </w:r>
            <w:r w:rsidRPr="00583E1A">
              <w:t xml:space="preserve">ordinary income, and your </w:t>
            </w:r>
            <w:r w:rsidR="00583E1A" w:rsidRPr="00583E1A">
              <w:rPr>
                <w:position w:val="6"/>
                <w:sz w:val="16"/>
              </w:rPr>
              <w:t>*</w:t>
            </w:r>
            <w:r w:rsidRPr="00583E1A">
              <w:t xml:space="preserve">statutory income, from a source outside </w:t>
            </w:r>
            <w:smartTag w:uri="urn:schemas-microsoft-com:office:smarttags" w:element="country-region">
              <w:smartTag w:uri="urn:schemas-microsoft-com:office:smarttags" w:element="place">
                <w:r w:rsidRPr="00583E1A">
                  <w:t>Australia</w:t>
                </w:r>
              </w:smartTag>
            </w:smartTag>
          </w:p>
        </w:tc>
        <w:tc>
          <w:tcPr>
            <w:tcW w:w="2215" w:type="dxa"/>
            <w:tcBorders>
              <w:top w:val="single" w:sz="2" w:space="0" w:color="auto"/>
              <w:bottom w:val="single" w:sz="12" w:space="0" w:color="auto"/>
            </w:tcBorders>
            <w:shd w:val="clear" w:color="auto" w:fill="auto"/>
          </w:tcPr>
          <w:p w:rsidR="004E62EB" w:rsidRPr="00583E1A" w:rsidRDefault="004E62EB" w:rsidP="004E62EB">
            <w:pPr>
              <w:pStyle w:val="Tabletext"/>
            </w:pPr>
            <w:r w:rsidRPr="00583E1A">
              <w:t>that country exempts from income tax the salaries of officers of the government of the Commonwealth temporarily in that country for similar purposes in accordance with a similar arrangement</w:t>
            </w:r>
          </w:p>
        </w:tc>
      </w:tr>
    </w:tbl>
    <w:p w:rsidR="004E62EB" w:rsidRPr="00583E1A" w:rsidRDefault="004E62EB" w:rsidP="00AC16C7">
      <w:pPr>
        <w:pStyle w:val="subsection"/>
        <w:keepNext/>
      </w:pPr>
      <w:r w:rsidRPr="00583E1A">
        <w:lastRenderedPageBreak/>
        <w:tab/>
        <w:t>(2)</w:t>
      </w:r>
      <w:r w:rsidRPr="00583E1A">
        <w:tab/>
        <w:t>The Conventions are:</w:t>
      </w:r>
    </w:p>
    <w:p w:rsidR="004E62EB" w:rsidRPr="00583E1A" w:rsidRDefault="004E62EB" w:rsidP="004E62EB">
      <w:pPr>
        <w:pStyle w:val="paragraph"/>
      </w:pPr>
      <w:r w:rsidRPr="00583E1A">
        <w:tab/>
        <w:t>(a)</w:t>
      </w:r>
      <w:r w:rsidRPr="00583E1A">
        <w:tab/>
        <w:t xml:space="preserve">the Vienna Convention on Diplomatic Relations, as having the force of law because of the </w:t>
      </w:r>
      <w:r w:rsidRPr="00583E1A">
        <w:rPr>
          <w:i/>
          <w:iCs/>
        </w:rPr>
        <w:t>Diplomatic Privileges and Immunities Act 1967</w:t>
      </w:r>
      <w:r w:rsidRPr="00583E1A">
        <w:t>;</w:t>
      </w:r>
    </w:p>
    <w:p w:rsidR="004E62EB" w:rsidRPr="00583E1A" w:rsidRDefault="004E62EB" w:rsidP="004E62EB">
      <w:pPr>
        <w:pStyle w:val="paragraph"/>
      </w:pPr>
      <w:r w:rsidRPr="00583E1A">
        <w:tab/>
        <w:t>(b)</w:t>
      </w:r>
      <w:r w:rsidRPr="00583E1A">
        <w:tab/>
        <w:t xml:space="preserve">the Vienna Convention on Consular Relations, as having the force of law because of the </w:t>
      </w:r>
      <w:r w:rsidRPr="00583E1A">
        <w:rPr>
          <w:i/>
          <w:iCs/>
        </w:rPr>
        <w:t>Consular Privileges and Immunities Act 1972</w:t>
      </w:r>
      <w:r w:rsidRPr="00583E1A">
        <w:t>.</w:t>
      </w:r>
    </w:p>
    <w:p w:rsidR="004E62EB" w:rsidRPr="00583E1A" w:rsidRDefault="004E62EB" w:rsidP="004E62EB">
      <w:pPr>
        <w:pStyle w:val="notetext"/>
      </w:pPr>
      <w:r w:rsidRPr="00583E1A">
        <w:t>Note:</w:t>
      </w:r>
      <w:r w:rsidRPr="00583E1A">
        <w:tab/>
        <w:t xml:space="preserve">Those Conventions have the force of law in </w:t>
      </w:r>
      <w:smartTag w:uri="urn:schemas-microsoft-com:office:smarttags" w:element="country-region">
        <w:smartTag w:uri="urn:schemas-microsoft-com:office:smarttags" w:element="place">
          <w:r w:rsidRPr="00583E1A">
            <w:t>Australia</w:t>
          </w:r>
        </w:smartTag>
      </w:smartTag>
      <w:r w:rsidRPr="00583E1A">
        <w:t xml:space="preserve"> because of those Acts and achieve substantially the same effect as item</w:t>
      </w:r>
      <w:r w:rsidR="00583E1A">
        <w:t> </w:t>
      </w:r>
      <w:r w:rsidRPr="00583E1A">
        <w:t>1 of the table: see Article 34 of the Vienna Convention on Diplomatic Relations and Article 49 of the Vienna Convention on Consular Relations.</w:t>
      </w:r>
    </w:p>
    <w:p w:rsidR="004E62EB" w:rsidRPr="00583E1A" w:rsidRDefault="004E62EB" w:rsidP="004E62EB">
      <w:pPr>
        <w:pStyle w:val="ActHead5"/>
      </w:pPr>
      <w:bookmarkStart w:id="5" w:name="_Toc338939079"/>
      <w:r w:rsidRPr="00583E1A">
        <w:rPr>
          <w:rStyle w:val="CharSectno"/>
        </w:rPr>
        <w:t>768</w:t>
      </w:r>
      <w:r w:rsidR="00583E1A">
        <w:rPr>
          <w:rStyle w:val="CharSectno"/>
        </w:rPr>
        <w:noBreakHyphen/>
      </w:r>
      <w:r w:rsidRPr="00583E1A">
        <w:rPr>
          <w:rStyle w:val="CharSectno"/>
        </w:rPr>
        <w:t>105</w:t>
      </w:r>
      <w:r w:rsidRPr="00583E1A">
        <w:t xml:space="preserve">  Compensation arising out of Second World War</w:t>
      </w:r>
      <w:bookmarkEnd w:id="5"/>
    </w:p>
    <w:p w:rsidR="004E62EB" w:rsidRPr="00583E1A" w:rsidRDefault="004E62EB" w:rsidP="004E62EB">
      <w:pPr>
        <w:pStyle w:val="subsection"/>
      </w:pPr>
      <w:r w:rsidRPr="00583E1A">
        <w:tab/>
        <w:t>(1)</w:t>
      </w:r>
      <w:r w:rsidRPr="00583E1A">
        <w:tab/>
        <w:t>A payment to you is exempt from income tax if:</w:t>
      </w:r>
    </w:p>
    <w:p w:rsidR="004E62EB" w:rsidRPr="00583E1A" w:rsidRDefault="004E62EB" w:rsidP="004E62EB">
      <w:pPr>
        <w:pStyle w:val="paragraph"/>
      </w:pPr>
      <w:r w:rsidRPr="00583E1A">
        <w:tab/>
        <w:t>(a)</w:t>
      </w:r>
      <w:r w:rsidRPr="00583E1A">
        <w:tab/>
        <w:t>you are an Australian resident at the time when it would otherwise be included in your assessable income; and</w:t>
      </w:r>
    </w:p>
    <w:p w:rsidR="004E62EB" w:rsidRPr="00583E1A" w:rsidRDefault="004E62EB" w:rsidP="004E62EB">
      <w:pPr>
        <w:pStyle w:val="paragraph"/>
      </w:pPr>
      <w:r w:rsidRPr="00583E1A">
        <w:tab/>
        <w:t>(b)</w:t>
      </w:r>
      <w:r w:rsidRPr="00583E1A">
        <w:tab/>
        <w:t>the payment is from a source in a foreign country; and</w:t>
      </w:r>
    </w:p>
    <w:p w:rsidR="004E62EB" w:rsidRPr="00583E1A" w:rsidRDefault="004E62EB" w:rsidP="004E62EB">
      <w:pPr>
        <w:pStyle w:val="paragraph"/>
      </w:pPr>
      <w:r w:rsidRPr="00583E1A">
        <w:tab/>
        <w:t>(c)</w:t>
      </w:r>
      <w:r w:rsidRPr="00583E1A">
        <w:tab/>
        <w:t>the payment is in connection with:</w:t>
      </w:r>
    </w:p>
    <w:p w:rsidR="004E62EB" w:rsidRPr="00583E1A" w:rsidRDefault="004E62EB" w:rsidP="004E62EB">
      <w:pPr>
        <w:pStyle w:val="paragraphsub"/>
      </w:pPr>
      <w:r w:rsidRPr="00583E1A">
        <w:tab/>
        <w:t>(i)</w:t>
      </w:r>
      <w:r w:rsidRPr="00583E1A">
        <w:tab/>
        <w:t>any wrong or injury; or</w:t>
      </w:r>
    </w:p>
    <w:p w:rsidR="004E62EB" w:rsidRPr="00583E1A" w:rsidRDefault="004E62EB" w:rsidP="004E62EB">
      <w:pPr>
        <w:pStyle w:val="paragraphsub"/>
      </w:pPr>
      <w:r w:rsidRPr="00583E1A">
        <w:tab/>
        <w:t>(ii)</w:t>
      </w:r>
      <w:r w:rsidRPr="00583E1A">
        <w:tab/>
        <w:t>any loss of, or damage to, property; or</w:t>
      </w:r>
    </w:p>
    <w:p w:rsidR="004E62EB" w:rsidRPr="00583E1A" w:rsidRDefault="004E62EB" w:rsidP="004E62EB">
      <w:pPr>
        <w:pStyle w:val="paragraphsub"/>
      </w:pPr>
      <w:r w:rsidRPr="00583E1A">
        <w:tab/>
        <w:t>(iii)</w:t>
      </w:r>
      <w:r w:rsidRPr="00583E1A">
        <w:tab/>
        <w:t>any other detriment;</w:t>
      </w:r>
    </w:p>
    <w:p w:rsidR="004E62EB" w:rsidRPr="00583E1A" w:rsidRDefault="004E62EB" w:rsidP="004E62EB">
      <w:pPr>
        <w:pStyle w:val="paragraph"/>
      </w:pPr>
      <w:r w:rsidRPr="00583E1A">
        <w:tab/>
      </w:r>
      <w:r w:rsidRPr="00583E1A">
        <w:tab/>
        <w:t>suffered by you or another individual as a result of:</w:t>
      </w:r>
    </w:p>
    <w:p w:rsidR="004E62EB" w:rsidRPr="00583E1A" w:rsidRDefault="004E62EB" w:rsidP="004E62EB">
      <w:pPr>
        <w:pStyle w:val="paragraphsub"/>
      </w:pPr>
      <w:r w:rsidRPr="00583E1A">
        <w:tab/>
        <w:t>(iv)</w:t>
      </w:r>
      <w:r w:rsidRPr="00583E1A">
        <w:tab/>
        <w:t xml:space="preserve">persecution by the National Socialist regime of </w:t>
      </w:r>
      <w:smartTag w:uri="urn:schemas-microsoft-com:office:smarttags" w:element="country-region">
        <w:smartTag w:uri="urn:schemas-microsoft-com:office:smarttags" w:element="place">
          <w:r w:rsidRPr="00583E1A">
            <w:t>Germany</w:t>
          </w:r>
        </w:smartTag>
      </w:smartTag>
      <w:r w:rsidRPr="00583E1A">
        <w:t xml:space="preserve"> during the National Socialist period; or</w:t>
      </w:r>
    </w:p>
    <w:p w:rsidR="004E62EB" w:rsidRPr="00583E1A" w:rsidRDefault="004E62EB" w:rsidP="004E62EB">
      <w:pPr>
        <w:pStyle w:val="paragraphsub"/>
      </w:pPr>
      <w:r w:rsidRPr="00583E1A">
        <w:tab/>
        <w:t>(v)</w:t>
      </w:r>
      <w:r w:rsidRPr="00583E1A">
        <w:tab/>
        <w:t xml:space="preserve">persecution during the Second World War by any other enemy of the Commonwealth or by a regime covered by </w:t>
      </w:r>
      <w:r w:rsidR="00583E1A">
        <w:t>subsection (</w:t>
      </w:r>
      <w:r w:rsidRPr="00583E1A">
        <w:t>3); or</w:t>
      </w:r>
    </w:p>
    <w:p w:rsidR="004E62EB" w:rsidRPr="00583E1A" w:rsidRDefault="004E62EB" w:rsidP="004E62EB">
      <w:pPr>
        <w:pStyle w:val="paragraphsub"/>
      </w:pPr>
      <w:r w:rsidRPr="00583E1A">
        <w:tab/>
        <w:t>(vi)</w:t>
      </w:r>
      <w:r w:rsidRPr="00583E1A">
        <w:tab/>
        <w:t xml:space="preserve">flight from persecution mentioned in </w:t>
      </w:r>
      <w:r w:rsidR="00583E1A">
        <w:t>subparagraph (</w:t>
      </w:r>
      <w:r w:rsidRPr="00583E1A">
        <w:t>iv) or (v); or</w:t>
      </w:r>
    </w:p>
    <w:p w:rsidR="004E62EB" w:rsidRPr="00583E1A" w:rsidRDefault="004E62EB" w:rsidP="004E62EB">
      <w:pPr>
        <w:pStyle w:val="paragraphsub"/>
      </w:pPr>
      <w:r w:rsidRPr="00583E1A">
        <w:tab/>
        <w:t>(vii)</w:t>
      </w:r>
      <w:r w:rsidRPr="00583E1A">
        <w:tab/>
        <w:t>participation in a resistance movement during the Second World War against forces of the National Socialist regime of Germany or against forces of any other enemy of the Commonwealth; and</w:t>
      </w:r>
    </w:p>
    <w:p w:rsidR="004E62EB" w:rsidRPr="00583E1A" w:rsidRDefault="004E62EB" w:rsidP="004E62EB">
      <w:pPr>
        <w:pStyle w:val="paragraph"/>
      </w:pPr>
      <w:r w:rsidRPr="00583E1A">
        <w:tab/>
        <w:t>(d)</w:t>
      </w:r>
      <w:r w:rsidRPr="00583E1A">
        <w:tab/>
        <w:t xml:space="preserve">the payment is not directly or indirectly from any of your </w:t>
      </w:r>
      <w:r w:rsidR="00583E1A" w:rsidRPr="00583E1A">
        <w:rPr>
          <w:position w:val="6"/>
          <w:sz w:val="16"/>
        </w:rPr>
        <w:t>*</w:t>
      </w:r>
      <w:r w:rsidRPr="00583E1A">
        <w:t>associates.</w:t>
      </w:r>
    </w:p>
    <w:p w:rsidR="004E62EB" w:rsidRPr="00583E1A" w:rsidRDefault="004E62EB" w:rsidP="002A3C7A">
      <w:pPr>
        <w:pStyle w:val="notetext"/>
        <w:keepNext/>
        <w:keepLines/>
      </w:pPr>
      <w:r w:rsidRPr="00583E1A">
        <w:lastRenderedPageBreak/>
        <w:t>Note:</w:t>
      </w:r>
      <w:r w:rsidRPr="00583E1A">
        <w:tab/>
        <w:t xml:space="preserve">An example of a detriment covered by </w:t>
      </w:r>
      <w:r w:rsidR="00583E1A">
        <w:t>subparagraph (</w:t>
      </w:r>
      <w:r w:rsidRPr="00583E1A">
        <w:t>c)(iii) is if you lost the opportunity to qualify for a pension because your period of contribution was cut short because you had to flee persecution by the National Socialist regime.</w:t>
      </w:r>
    </w:p>
    <w:p w:rsidR="004E62EB" w:rsidRPr="00583E1A" w:rsidRDefault="004E62EB" w:rsidP="004E62EB">
      <w:pPr>
        <w:pStyle w:val="SubsectionHead"/>
      </w:pPr>
      <w:r w:rsidRPr="00583E1A">
        <w:t>Duration of Second World War</w:t>
      </w:r>
    </w:p>
    <w:p w:rsidR="004E62EB" w:rsidRPr="00583E1A" w:rsidRDefault="004E62EB" w:rsidP="004E62EB">
      <w:pPr>
        <w:pStyle w:val="subsection"/>
      </w:pPr>
      <w:r w:rsidRPr="00583E1A">
        <w:tab/>
        <w:t>(2)</w:t>
      </w:r>
      <w:r w:rsidRPr="00583E1A">
        <w:tab/>
      </w:r>
      <w:r w:rsidR="00583E1A">
        <w:t>Subsection (</w:t>
      </w:r>
      <w:r w:rsidRPr="00583E1A">
        <w:t>1) applies to:</w:t>
      </w:r>
    </w:p>
    <w:p w:rsidR="004E62EB" w:rsidRPr="00583E1A" w:rsidRDefault="004E62EB" w:rsidP="004E62EB">
      <w:pPr>
        <w:pStyle w:val="paragraph"/>
      </w:pPr>
      <w:r w:rsidRPr="00583E1A">
        <w:tab/>
        <w:t>(a)</w:t>
      </w:r>
      <w:r w:rsidRPr="00583E1A">
        <w:tab/>
        <w:t>the period immediately before the Second World War; and</w:t>
      </w:r>
    </w:p>
    <w:p w:rsidR="004E62EB" w:rsidRPr="00583E1A" w:rsidRDefault="004E62EB" w:rsidP="004E62EB">
      <w:pPr>
        <w:pStyle w:val="paragraph"/>
      </w:pPr>
      <w:r w:rsidRPr="00583E1A">
        <w:tab/>
        <w:t>(b)</w:t>
      </w:r>
      <w:r w:rsidRPr="00583E1A">
        <w:tab/>
        <w:t>the period immediately after the Second World War;</w:t>
      </w:r>
    </w:p>
    <w:p w:rsidR="004E62EB" w:rsidRPr="00583E1A" w:rsidRDefault="004E62EB" w:rsidP="004E62EB">
      <w:pPr>
        <w:pStyle w:val="subsection2"/>
      </w:pPr>
      <w:r w:rsidRPr="00583E1A">
        <w:t>in the same way as it applies to the period of the Second World War.</w:t>
      </w:r>
    </w:p>
    <w:p w:rsidR="004E62EB" w:rsidRPr="00583E1A" w:rsidRDefault="004E62EB" w:rsidP="004E62EB">
      <w:pPr>
        <w:pStyle w:val="SubsectionHead"/>
      </w:pPr>
      <w:r w:rsidRPr="00583E1A">
        <w:t>Regimes associated with an enemy of the Commonwealth</w:t>
      </w:r>
    </w:p>
    <w:p w:rsidR="004E62EB" w:rsidRPr="00583E1A" w:rsidRDefault="004E62EB" w:rsidP="004E62EB">
      <w:pPr>
        <w:pStyle w:val="subsection"/>
      </w:pPr>
      <w:r w:rsidRPr="00583E1A">
        <w:tab/>
        <w:t>(3)</w:t>
      </w:r>
      <w:r w:rsidRPr="00583E1A">
        <w:tab/>
        <w:t>This subsection covers a regime that was:</w:t>
      </w:r>
    </w:p>
    <w:p w:rsidR="004E62EB" w:rsidRPr="00583E1A" w:rsidRDefault="004E62EB" w:rsidP="004E62EB">
      <w:pPr>
        <w:pStyle w:val="paragraph"/>
      </w:pPr>
      <w:r w:rsidRPr="00583E1A">
        <w:tab/>
        <w:t>(a)</w:t>
      </w:r>
      <w:r w:rsidRPr="00583E1A">
        <w:tab/>
        <w:t>in alliance with; or</w:t>
      </w:r>
    </w:p>
    <w:p w:rsidR="004E62EB" w:rsidRPr="00583E1A" w:rsidRDefault="004E62EB" w:rsidP="004E62EB">
      <w:pPr>
        <w:pStyle w:val="paragraph"/>
      </w:pPr>
      <w:r w:rsidRPr="00583E1A">
        <w:tab/>
        <w:t>(b)</w:t>
      </w:r>
      <w:r w:rsidRPr="00583E1A">
        <w:tab/>
        <w:t>occupied by; or</w:t>
      </w:r>
    </w:p>
    <w:p w:rsidR="004E62EB" w:rsidRPr="00583E1A" w:rsidRDefault="004E62EB" w:rsidP="004E62EB">
      <w:pPr>
        <w:pStyle w:val="paragraph"/>
      </w:pPr>
      <w:r w:rsidRPr="00583E1A">
        <w:tab/>
        <w:t>(c)</w:t>
      </w:r>
      <w:r w:rsidRPr="00583E1A">
        <w:tab/>
        <w:t>effectively controlled by; or</w:t>
      </w:r>
    </w:p>
    <w:p w:rsidR="004E62EB" w:rsidRPr="00583E1A" w:rsidRDefault="004E62EB" w:rsidP="004E62EB">
      <w:pPr>
        <w:pStyle w:val="paragraph"/>
      </w:pPr>
      <w:r w:rsidRPr="00583E1A">
        <w:tab/>
        <w:t>(d)</w:t>
      </w:r>
      <w:r w:rsidRPr="00583E1A">
        <w:tab/>
        <w:t>under duress from; or</w:t>
      </w:r>
    </w:p>
    <w:p w:rsidR="004E62EB" w:rsidRPr="00583E1A" w:rsidRDefault="004E62EB" w:rsidP="004E62EB">
      <w:pPr>
        <w:pStyle w:val="paragraph"/>
      </w:pPr>
      <w:r w:rsidRPr="00583E1A">
        <w:tab/>
        <w:t>(e)</w:t>
      </w:r>
      <w:r w:rsidRPr="00583E1A">
        <w:tab/>
        <w:t>surrounded by;</w:t>
      </w:r>
    </w:p>
    <w:p w:rsidR="004E62EB" w:rsidRPr="00583E1A" w:rsidRDefault="004E62EB" w:rsidP="004E62EB">
      <w:pPr>
        <w:pStyle w:val="subsection2"/>
      </w:pPr>
      <w:r w:rsidRPr="00583E1A">
        <w:t>either or both of the following:</w:t>
      </w:r>
    </w:p>
    <w:p w:rsidR="004E62EB" w:rsidRPr="00583E1A" w:rsidRDefault="004E62EB" w:rsidP="004E62EB">
      <w:pPr>
        <w:pStyle w:val="paragraph"/>
      </w:pPr>
      <w:r w:rsidRPr="00583E1A">
        <w:tab/>
        <w:t>(f)</w:t>
      </w:r>
      <w:r w:rsidRPr="00583E1A">
        <w:tab/>
        <w:t xml:space="preserve">the National Socialist regime of </w:t>
      </w:r>
      <w:smartTag w:uri="urn:schemas-microsoft-com:office:smarttags" w:element="country-region">
        <w:smartTag w:uri="urn:schemas-microsoft-com:office:smarttags" w:element="place">
          <w:r w:rsidRPr="00583E1A">
            <w:t>Germany</w:t>
          </w:r>
        </w:smartTag>
      </w:smartTag>
      <w:r w:rsidRPr="00583E1A">
        <w:t>;</w:t>
      </w:r>
    </w:p>
    <w:p w:rsidR="004E62EB" w:rsidRPr="00583E1A" w:rsidRDefault="004E62EB" w:rsidP="004E62EB">
      <w:pPr>
        <w:pStyle w:val="paragraph"/>
      </w:pPr>
      <w:r w:rsidRPr="00583E1A">
        <w:tab/>
        <w:t>(g)</w:t>
      </w:r>
      <w:r w:rsidRPr="00583E1A">
        <w:tab/>
        <w:t>any other enemy of the Commonwealth.</w:t>
      </w:r>
    </w:p>
    <w:p w:rsidR="004E62EB" w:rsidRPr="00583E1A" w:rsidRDefault="004E62EB" w:rsidP="004E62EB">
      <w:pPr>
        <w:pStyle w:val="SubsectionHead"/>
      </w:pPr>
      <w:r w:rsidRPr="00583E1A">
        <w:t>Legal personal representative</w:t>
      </w:r>
    </w:p>
    <w:p w:rsidR="004E62EB" w:rsidRPr="00583E1A" w:rsidRDefault="004E62EB" w:rsidP="004E62EB">
      <w:pPr>
        <w:pStyle w:val="subsection"/>
      </w:pPr>
      <w:r w:rsidRPr="00583E1A">
        <w:tab/>
        <w:t>(4)</w:t>
      </w:r>
      <w:r w:rsidRPr="00583E1A">
        <w:tab/>
      </w:r>
      <w:r w:rsidR="00583E1A">
        <w:t>Subsection (</w:t>
      </w:r>
      <w:r w:rsidRPr="00583E1A">
        <w:t>1) applies to a payment to:</w:t>
      </w:r>
    </w:p>
    <w:p w:rsidR="004E62EB" w:rsidRPr="00583E1A" w:rsidRDefault="004E62EB" w:rsidP="004E62EB">
      <w:pPr>
        <w:pStyle w:val="paragraph"/>
      </w:pPr>
      <w:r w:rsidRPr="00583E1A">
        <w:tab/>
        <w:t>(a)</w:t>
      </w:r>
      <w:r w:rsidRPr="00583E1A">
        <w:tab/>
        <w:t xml:space="preserve">your </w:t>
      </w:r>
      <w:r w:rsidR="00583E1A" w:rsidRPr="00583E1A">
        <w:rPr>
          <w:position w:val="6"/>
          <w:sz w:val="16"/>
        </w:rPr>
        <w:t>*</w:t>
      </w:r>
      <w:r w:rsidRPr="00583E1A">
        <w:t>legal personal representative; or</w:t>
      </w:r>
    </w:p>
    <w:p w:rsidR="004E62EB" w:rsidRPr="00583E1A" w:rsidRDefault="004E62EB" w:rsidP="004E62EB">
      <w:pPr>
        <w:pStyle w:val="paragraph"/>
      </w:pPr>
      <w:r w:rsidRPr="00583E1A">
        <w:tab/>
        <w:t>(b)</w:t>
      </w:r>
      <w:r w:rsidRPr="00583E1A">
        <w:tab/>
        <w:t>a trust established by your will;</w:t>
      </w:r>
    </w:p>
    <w:p w:rsidR="004E62EB" w:rsidRPr="00583E1A" w:rsidRDefault="004E62EB" w:rsidP="004E62EB">
      <w:pPr>
        <w:pStyle w:val="subsection2"/>
      </w:pPr>
      <w:r w:rsidRPr="00583E1A">
        <w:t>in a corresponding way to the way in which it would have applied if:</w:t>
      </w:r>
    </w:p>
    <w:p w:rsidR="004E62EB" w:rsidRPr="00583E1A" w:rsidRDefault="004E62EB" w:rsidP="004E62EB">
      <w:pPr>
        <w:pStyle w:val="paragraph"/>
      </w:pPr>
      <w:r w:rsidRPr="00583E1A">
        <w:tab/>
        <w:t>(c)</w:t>
      </w:r>
      <w:r w:rsidRPr="00583E1A">
        <w:tab/>
        <w:t>the payment had been to you; and</w:t>
      </w:r>
    </w:p>
    <w:p w:rsidR="004E62EB" w:rsidRPr="00583E1A" w:rsidRDefault="004E62EB" w:rsidP="004E62EB">
      <w:pPr>
        <w:pStyle w:val="paragraph"/>
      </w:pPr>
      <w:r w:rsidRPr="00583E1A">
        <w:tab/>
        <w:t>(d)</w:t>
      </w:r>
      <w:r w:rsidRPr="00583E1A">
        <w:tab/>
        <w:t>if the payment is made after your death—you were still alive.</w:t>
      </w:r>
    </w:p>
    <w:p w:rsidR="008056F0" w:rsidRPr="00583E1A" w:rsidRDefault="008056F0" w:rsidP="008056F0">
      <w:pPr>
        <w:pStyle w:val="ActHead4"/>
      </w:pPr>
      <w:bookmarkStart w:id="6" w:name="_Toc338939080"/>
      <w:r w:rsidRPr="00583E1A">
        <w:rPr>
          <w:rStyle w:val="CharSubdNo"/>
        </w:rPr>
        <w:lastRenderedPageBreak/>
        <w:t>Subdivision</w:t>
      </w:r>
      <w:r w:rsidR="00583E1A">
        <w:rPr>
          <w:rStyle w:val="CharSubdNo"/>
        </w:rPr>
        <w:t> </w:t>
      </w:r>
      <w:r w:rsidRPr="00583E1A">
        <w:rPr>
          <w:rStyle w:val="CharSubdNo"/>
        </w:rPr>
        <w:t>768</w:t>
      </w:r>
      <w:r w:rsidR="00583E1A">
        <w:rPr>
          <w:rStyle w:val="CharSubdNo"/>
        </w:rPr>
        <w:noBreakHyphen/>
      </w:r>
      <w:r w:rsidRPr="00583E1A">
        <w:rPr>
          <w:rStyle w:val="CharSubdNo"/>
        </w:rPr>
        <w:t>G</w:t>
      </w:r>
      <w:r w:rsidRPr="00583E1A">
        <w:t>—</w:t>
      </w:r>
      <w:r w:rsidRPr="00583E1A">
        <w:rPr>
          <w:rStyle w:val="CharSubdText"/>
        </w:rPr>
        <w:t>Reduction in capital gains and losses arising from CGT events in relation to certain voting interests in active foreign companies</w:t>
      </w:r>
      <w:bookmarkEnd w:id="6"/>
    </w:p>
    <w:p w:rsidR="00887330" w:rsidRPr="00583E1A" w:rsidRDefault="00887330" w:rsidP="00887330">
      <w:pPr>
        <w:pStyle w:val="ActHead4"/>
      </w:pPr>
      <w:bookmarkStart w:id="7" w:name="_Toc338939081"/>
      <w:r w:rsidRPr="00583E1A">
        <w:t>Guide to Subdivision</w:t>
      </w:r>
      <w:r w:rsidR="00583E1A">
        <w:t> </w:t>
      </w:r>
      <w:r w:rsidRPr="00583E1A">
        <w:t>768</w:t>
      </w:r>
      <w:r w:rsidR="00583E1A">
        <w:noBreakHyphen/>
      </w:r>
      <w:r w:rsidRPr="00583E1A">
        <w:t>G</w:t>
      </w:r>
      <w:bookmarkEnd w:id="7"/>
    </w:p>
    <w:p w:rsidR="00887330" w:rsidRPr="00583E1A" w:rsidRDefault="00887330" w:rsidP="00887330">
      <w:pPr>
        <w:pStyle w:val="ActHead5"/>
      </w:pPr>
      <w:bookmarkStart w:id="8" w:name="_Toc338939082"/>
      <w:r w:rsidRPr="00583E1A">
        <w:rPr>
          <w:rStyle w:val="CharSectno"/>
        </w:rPr>
        <w:t>768</w:t>
      </w:r>
      <w:r w:rsidR="00583E1A">
        <w:rPr>
          <w:rStyle w:val="CharSectno"/>
        </w:rPr>
        <w:noBreakHyphen/>
      </w:r>
      <w:r w:rsidRPr="00583E1A">
        <w:rPr>
          <w:rStyle w:val="CharSectno"/>
        </w:rPr>
        <w:t>500</w:t>
      </w:r>
      <w:r w:rsidRPr="00583E1A">
        <w:t xml:space="preserve">  What this Subdivision is about</w:t>
      </w:r>
      <w:bookmarkEnd w:id="8"/>
    </w:p>
    <w:p w:rsidR="00887330" w:rsidRPr="00583E1A" w:rsidRDefault="00887330" w:rsidP="00887330">
      <w:pPr>
        <w:pStyle w:val="BoxText"/>
      </w:pPr>
      <w:r w:rsidRPr="00583E1A">
        <w:t>If:</w:t>
      </w:r>
    </w:p>
    <w:p w:rsidR="00887330" w:rsidRPr="00583E1A" w:rsidRDefault="00887330" w:rsidP="00887330">
      <w:pPr>
        <w:pStyle w:val="BoxPara"/>
      </w:pPr>
      <w:r w:rsidRPr="00583E1A">
        <w:tab/>
        <w:t>(a)</w:t>
      </w:r>
      <w:r w:rsidRPr="00583E1A">
        <w:tab/>
        <w:t>a company has a capital gain or capital loss arising from a CGT event that happens in relation to a share in a foreign company; and</w:t>
      </w:r>
    </w:p>
    <w:p w:rsidR="00887330" w:rsidRPr="00583E1A" w:rsidRDefault="00887330" w:rsidP="00887330">
      <w:pPr>
        <w:pStyle w:val="BoxPara"/>
      </w:pPr>
      <w:r w:rsidRPr="00583E1A">
        <w:tab/>
        <w:t>(b)</w:t>
      </w:r>
      <w:r w:rsidRPr="00583E1A">
        <w:tab/>
        <w:t>the company holds a direct voting percentage of 10% or more in the foreign company for a certain period before the CGT event happens;</w:t>
      </w:r>
    </w:p>
    <w:p w:rsidR="00887330" w:rsidRPr="00583E1A" w:rsidRDefault="00887330" w:rsidP="00887330">
      <w:pPr>
        <w:pStyle w:val="BoxText"/>
      </w:pPr>
      <w:r w:rsidRPr="00583E1A">
        <w:t>the gain or loss is reduced by a percentage that reflects the degree to which the assets of the foreign company are used in an active business.</w:t>
      </w:r>
    </w:p>
    <w:p w:rsidR="00887330" w:rsidRPr="00583E1A" w:rsidRDefault="00887330" w:rsidP="00887330">
      <w:pPr>
        <w:pStyle w:val="TofSectsHeading"/>
        <w:keepNext/>
      </w:pPr>
      <w:r w:rsidRPr="00583E1A">
        <w:t>Table of sections</w:t>
      </w:r>
    </w:p>
    <w:p w:rsidR="00887330" w:rsidRPr="00583E1A" w:rsidRDefault="00887330" w:rsidP="00887330">
      <w:pPr>
        <w:pStyle w:val="TofSectsGroupHeading"/>
      </w:pPr>
      <w:r w:rsidRPr="00583E1A">
        <w:t>Operative provisions</w:t>
      </w:r>
    </w:p>
    <w:p w:rsidR="00887330" w:rsidRPr="00583E1A" w:rsidRDefault="00887330" w:rsidP="00887330">
      <w:pPr>
        <w:pStyle w:val="TofSectsSection"/>
      </w:pPr>
      <w:r w:rsidRPr="00583E1A">
        <w:t>768</w:t>
      </w:r>
      <w:r w:rsidR="00583E1A">
        <w:noBreakHyphen/>
      </w:r>
      <w:r w:rsidRPr="00583E1A">
        <w:t>505</w:t>
      </w:r>
      <w:r w:rsidRPr="00583E1A">
        <w:tab/>
        <w:t xml:space="preserve">Reducing a capital gain or loss from certain CGT events in relation to </w:t>
      </w:r>
      <w:r w:rsidR="006375C9" w:rsidRPr="00583E1A">
        <w:t>certain voting</w:t>
      </w:r>
      <w:r w:rsidRPr="00583E1A">
        <w:t xml:space="preserve"> interests</w:t>
      </w:r>
    </w:p>
    <w:p w:rsidR="00887330" w:rsidRPr="00583E1A" w:rsidRDefault="00887330" w:rsidP="00887330">
      <w:pPr>
        <w:pStyle w:val="TofSectsGroupHeading"/>
        <w:rPr>
          <w:color w:val="000000"/>
        </w:rPr>
      </w:pPr>
      <w:r w:rsidRPr="00583E1A">
        <w:t>Active foreign business asset percentage</w:t>
      </w:r>
    </w:p>
    <w:p w:rsidR="00887330" w:rsidRPr="00583E1A" w:rsidRDefault="00887330" w:rsidP="00887330">
      <w:pPr>
        <w:pStyle w:val="TofSectsSection"/>
      </w:pPr>
      <w:r w:rsidRPr="00583E1A">
        <w:t>768</w:t>
      </w:r>
      <w:r w:rsidR="00583E1A">
        <w:noBreakHyphen/>
      </w:r>
      <w:r w:rsidRPr="00583E1A">
        <w:t>510</w:t>
      </w:r>
      <w:r w:rsidRPr="00583E1A">
        <w:tab/>
        <w:t>Active foreign business asset percentage</w:t>
      </w:r>
    </w:p>
    <w:p w:rsidR="00887330" w:rsidRPr="00583E1A" w:rsidRDefault="00887330" w:rsidP="00887330">
      <w:pPr>
        <w:pStyle w:val="TofSectsSection"/>
      </w:pPr>
      <w:r w:rsidRPr="00583E1A">
        <w:t>768</w:t>
      </w:r>
      <w:r w:rsidR="00583E1A">
        <w:noBreakHyphen/>
      </w:r>
      <w:r w:rsidRPr="00583E1A">
        <w:t>515</w:t>
      </w:r>
      <w:r w:rsidRPr="00583E1A">
        <w:tab/>
        <w:t>Choices to apply market value method or book value method</w:t>
      </w:r>
    </w:p>
    <w:p w:rsidR="00887330" w:rsidRPr="00583E1A" w:rsidRDefault="00887330" w:rsidP="00887330">
      <w:pPr>
        <w:pStyle w:val="TofSectsSection"/>
      </w:pPr>
      <w:r w:rsidRPr="00583E1A">
        <w:t>768</w:t>
      </w:r>
      <w:r w:rsidR="00583E1A">
        <w:noBreakHyphen/>
      </w:r>
      <w:r w:rsidRPr="00583E1A">
        <w:t>520</w:t>
      </w:r>
      <w:r w:rsidRPr="00583E1A">
        <w:tab/>
        <w:t>Market value method—choice made under subsection 768</w:t>
      </w:r>
      <w:r w:rsidR="00583E1A">
        <w:noBreakHyphen/>
      </w:r>
      <w:r w:rsidRPr="00583E1A">
        <w:t>515(1)</w:t>
      </w:r>
    </w:p>
    <w:p w:rsidR="00887330" w:rsidRPr="00583E1A" w:rsidRDefault="00887330" w:rsidP="00887330">
      <w:pPr>
        <w:pStyle w:val="TofSectsSection"/>
      </w:pPr>
      <w:r w:rsidRPr="00583E1A">
        <w:t>768</w:t>
      </w:r>
      <w:r w:rsidR="00583E1A">
        <w:noBreakHyphen/>
      </w:r>
      <w:r w:rsidRPr="00583E1A">
        <w:t>525</w:t>
      </w:r>
      <w:r w:rsidRPr="00583E1A">
        <w:tab/>
        <w:t>Book value method—choice made under subsection 768</w:t>
      </w:r>
      <w:r w:rsidR="00583E1A">
        <w:noBreakHyphen/>
      </w:r>
      <w:r w:rsidRPr="00583E1A">
        <w:t>515(2)</w:t>
      </w:r>
    </w:p>
    <w:p w:rsidR="00887330" w:rsidRPr="00583E1A" w:rsidRDefault="00887330" w:rsidP="00887330">
      <w:pPr>
        <w:pStyle w:val="TofSectsSection"/>
      </w:pPr>
      <w:r w:rsidRPr="00583E1A">
        <w:t>768</w:t>
      </w:r>
      <w:r w:rsidR="00583E1A">
        <w:noBreakHyphen/>
      </w:r>
      <w:r w:rsidRPr="00583E1A">
        <w:t>530</w:t>
      </w:r>
      <w:r w:rsidRPr="00583E1A">
        <w:tab/>
        <w:t>Active foreign business asset percentage—modifications for foreign life insurance companies and foreign general insurance companies</w:t>
      </w:r>
    </w:p>
    <w:p w:rsidR="006E3662" w:rsidRPr="00583E1A" w:rsidRDefault="006E3662" w:rsidP="006E3662">
      <w:pPr>
        <w:pStyle w:val="TofSectsSection"/>
      </w:pPr>
      <w:r w:rsidRPr="00583E1A">
        <w:t>768</w:t>
      </w:r>
      <w:r w:rsidR="00583E1A">
        <w:noBreakHyphen/>
      </w:r>
      <w:r w:rsidRPr="00583E1A">
        <w:t>533</w:t>
      </w:r>
      <w:r w:rsidRPr="00583E1A">
        <w:tab/>
        <w:t>Foreign company that is a FIF using CFC calculation method—treatment as AFI subsidiary under this Subdivision</w:t>
      </w:r>
    </w:p>
    <w:p w:rsidR="00887330" w:rsidRPr="00583E1A" w:rsidRDefault="00887330" w:rsidP="00887330">
      <w:pPr>
        <w:pStyle w:val="TofSectsSection"/>
      </w:pPr>
      <w:r w:rsidRPr="00583E1A">
        <w:t>768</w:t>
      </w:r>
      <w:r w:rsidR="00583E1A">
        <w:noBreakHyphen/>
      </w:r>
      <w:r w:rsidRPr="00583E1A">
        <w:t>535</w:t>
      </w:r>
      <w:r w:rsidRPr="00583E1A">
        <w:tab/>
        <w:t>Modified rules for foreign wholly</w:t>
      </w:r>
      <w:r w:rsidR="00583E1A">
        <w:noBreakHyphen/>
      </w:r>
      <w:r w:rsidRPr="00583E1A">
        <w:t>owned groups</w:t>
      </w:r>
    </w:p>
    <w:p w:rsidR="00887330" w:rsidRPr="00583E1A" w:rsidRDefault="00887330" w:rsidP="00904AA4">
      <w:pPr>
        <w:pStyle w:val="TofSectsGroupHeading"/>
        <w:keepNext/>
      </w:pPr>
      <w:r w:rsidRPr="00583E1A">
        <w:lastRenderedPageBreak/>
        <w:t>Types of assets of a foreign company</w:t>
      </w:r>
    </w:p>
    <w:p w:rsidR="00887330" w:rsidRPr="00583E1A" w:rsidRDefault="00887330" w:rsidP="00887330">
      <w:pPr>
        <w:pStyle w:val="TofSectsSection"/>
      </w:pPr>
      <w:r w:rsidRPr="00583E1A">
        <w:t>768</w:t>
      </w:r>
      <w:r w:rsidR="00583E1A">
        <w:noBreakHyphen/>
      </w:r>
      <w:r w:rsidRPr="00583E1A">
        <w:t>540</w:t>
      </w:r>
      <w:r w:rsidRPr="00583E1A">
        <w:tab/>
        <w:t>Active foreign business assets of a foreign company</w:t>
      </w:r>
    </w:p>
    <w:p w:rsidR="00887330" w:rsidRPr="00583E1A" w:rsidRDefault="00887330" w:rsidP="00887330">
      <w:pPr>
        <w:pStyle w:val="TofSectsSection"/>
      </w:pPr>
      <w:r w:rsidRPr="00583E1A">
        <w:t>768</w:t>
      </w:r>
      <w:r w:rsidR="00583E1A">
        <w:noBreakHyphen/>
      </w:r>
      <w:r w:rsidRPr="00583E1A">
        <w:t>545</w:t>
      </w:r>
      <w:r w:rsidRPr="00583E1A">
        <w:tab/>
        <w:t>Assets included in the total assets of a foreign company</w:t>
      </w:r>
    </w:p>
    <w:p w:rsidR="00887330" w:rsidRPr="00583E1A" w:rsidRDefault="00887330" w:rsidP="00887330">
      <w:pPr>
        <w:pStyle w:val="TofSectsGroupHeading"/>
      </w:pPr>
      <w:r w:rsidRPr="00583E1A">
        <w:t>Voting percentages in a company</w:t>
      </w:r>
    </w:p>
    <w:p w:rsidR="00887330" w:rsidRPr="00583E1A" w:rsidRDefault="00887330" w:rsidP="00887330">
      <w:pPr>
        <w:pStyle w:val="TofSectsSection"/>
      </w:pPr>
      <w:r w:rsidRPr="00583E1A">
        <w:t>768</w:t>
      </w:r>
      <w:r w:rsidR="00583E1A">
        <w:noBreakHyphen/>
      </w:r>
      <w:r w:rsidRPr="00583E1A">
        <w:t>550</w:t>
      </w:r>
      <w:r w:rsidRPr="00583E1A">
        <w:tab/>
        <w:t>Direct voting percentage in a company</w:t>
      </w:r>
    </w:p>
    <w:p w:rsidR="00887330" w:rsidRPr="00583E1A" w:rsidRDefault="00887330" w:rsidP="00887330">
      <w:pPr>
        <w:pStyle w:val="TofSectsSection"/>
      </w:pPr>
      <w:r w:rsidRPr="00583E1A">
        <w:t>768</w:t>
      </w:r>
      <w:r w:rsidR="00583E1A">
        <w:noBreakHyphen/>
      </w:r>
      <w:r w:rsidRPr="00583E1A">
        <w:t>555</w:t>
      </w:r>
      <w:r w:rsidRPr="00583E1A">
        <w:tab/>
        <w:t>Indirect voting percentage in a company</w:t>
      </w:r>
    </w:p>
    <w:p w:rsidR="00887330" w:rsidRPr="00583E1A" w:rsidRDefault="00887330" w:rsidP="00887330">
      <w:pPr>
        <w:pStyle w:val="TofSectsSection"/>
      </w:pPr>
      <w:r w:rsidRPr="00583E1A">
        <w:t>768</w:t>
      </w:r>
      <w:r w:rsidR="00583E1A">
        <w:noBreakHyphen/>
      </w:r>
      <w:r w:rsidRPr="00583E1A">
        <w:t>560</w:t>
      </w:r>
      <w:r w:rsidRPr="00583E1A">
        <w:tab/>
        <w:t>Total voting percentage in a company</w:t>
      </w:r>
    </w:p>
    <w:p w:rsidR="00887330" w:rsidRPr="00583E1A" w:rsidRDefault="00887330" w:rsidP="00887330">
      <w:pPr>
        <w:pStyle w:val="ActHead4"/>
      </w:pPr>
      <w:bookmarkStart w:id="9" w:name="_Toc338939083"/>
      <w:r w:rsidRPr="00583E1A">
        <w:t>Operative provisions</w:t>
      </w:r>
      <w:bookmarkEnd w:id="9"/>
    </w:p>
    <w:p w:rsidR="008056F0" w:rsidRPr="00583E1A" w:rsidRDefault="008056F0" w:rsidP="008056F0">
      <w:pPr>
        <w:pStyle w:val="ActHead5"/>
      </w:pPr>
      <w:bookmarkStart w:id="10" w:name="_Toc338939084"/>
      <w:r w:rsidRPr="00583E1A">
        <w:rPr>
          <w:rStyle w:val="CharSectno"/>
        </w:rPr>
        <w:t>768</w:t>
      </w:r>
      <w:r w:rsidR="00583E1A">
        <w:rPr>
          <w:rStyle w:val="CharSectno"/>
        </w:rPr>
        <w:noBreakHyphen/>
      </w:r>
      <w:r w:rsidRPr="00583E1A">
        <w:rPr>
          <w:rStyle w:val="CharSectno"/>
        </w:rPr>
        <w:t>505</w:t>
      </w:r>
      <w:r w:rsidRPr="00583E1A">
        <w:t xml:space="preserve">  Reducing a capital gain or loss from certain CGT events in relation to certain voting interests</w:t>
      </w:r>
      <w:bookmarkEnd w:id="10"/>
    </w:p>
    <w:p w:rsidR="00887330" w:rsidRPr="00583E1A" w:rsidRDefault="00887330" w:rsidP="00887330">
      <w:pPr>
        <w:pStyle w:val="subsection"/>
      </w:pPr>
      <w:r w:rsidRPr="00583E1A">
        <w:tab/>
        <w:t>(1)</w:t>
      </w:r>
      <w:r w:rsidRPr="00583E1A">
        <w:tab/>
        <w:t xml:space="preserve">The </w:t>
      </w:r>
      <w:r w:rsidR="00583E1A" w:rsidRPr="00583E1A">
        <w:rPr>
          <w:position w:val="6"/>
          <w:sz w:val="16"/>
        </w:rPr>
        <w:t>*</w:t>
      </w:r>
      <w:r w:rsidRPr="00583E1A">
        <w:t xml:space="preserve">capital gain or </w:t>
      </w:r>
      <w:r w:rsidR="00583E1A" w:rsidRPr="00583E1A">
        <w:rPr>
          <w:position w:val="6"/>
          <w:sz w:val="16"/>
        </w:rPr>
        <w:t>*</w:t>
      </w:r>
      <w:r w:rsidRPr="00583E1A">
        <w:t xml:space="preserve">capital loss a company (the </w:t>
      </w:r>
      <w:r w:rsidRPr="00583E1A">
        <w:rPr>
          <w:b/>
          <w:i/>
        </w:rPr>
        <w:t>holding company</w:t>
      </w:r>
      <w:r w:rsidRPr="00583E1A">
        <w:t xml:space="preserve">) </w:t>
      </w:r>
      <w:r w:rsidR="008056F0" w:rsidRPr="00583E1A">
        <w:t xml:space="preserve">that is an Australian resident </w:t>
      </w:r>
      <w:r w:rsidRPr="00583E1A">
        <w:t xml:space="preserve">makes from a </w:t>
      </w:r>
      <w:r w:rsidR="00583E1A" w:rsidRPr="00583E1A">
        <w:rPr>
          <w:position w:val="6"/>
          <w:sz w:val="16"/>
        </w:rPr>
        <w:t>*</w:t>
      </w:r>
      <w:r w:rsidRPr="00583E1A">
        <w:t xml:space="preserve">CGT event that happened at a particular time (the </w:t>
      </w:r>
      <w:r w:rsidRPr="00583E1A">
        <w:rPr>
          <w:b/>
          <w:i/>
        </w:rPr>
        <w:t>time of the CGT event</w:t>
      </w:r>
      <w:r w:rsidRPr="00583E1A">
        <w:t xml:space="preserve">) to a </w:t>
      </w:r>
      <w:r w:rsidR="00583E1A" w:rsidRPr="00583E1A">
        <w:rPr>
          <w:position w:val="6"/>
          <w:sz w:val="16"/>
        </w:rPr>
        <w:t>*</w:t>
      </w:r>
      <w:r w:rsidRPr="00583E1A">
        <w:t xml:space="preserve">share in a company (the </w:t>
      </w:r>
      <w:r w:rsidRPr="00583E1A">
        <w:rPr>
          <w:b/>
          <w:i/>
        </w:rPr>
        <w:t>foreign disposal company</w:t>
      </w:r>
      <w:r w:rsidRPr="00583E1A">
        <w:t>) that is a foreign resident is reduced if:</w:t>
      </w:r>
    </w:p>
    <w:p w:rsidR="00887330" w:rsidRPr="00583E1A" w:rsidRDefault="00887330" w:rsidP="00887330">
      <w:pPr>
        <w:pStyle w:val="paragraph"/>
      </w:pPr>
      <w:r w:rsidRPr="00583E1A">
        <w:tab/>
        <w:t>(a)</w:t>
      </w:r>
      <w:r w:rsidRPr="00583E1A">
        <w:tab/>
        <w:t xml:space="preserve">the holding company held a </w:t>
      </w:r>
      <w:r w:rsidR="00583E1A" w:rsidRPr="00583E1A">
        <w:rPr>
          <w:position w:val="6"/>
          <w:sz w:val="16"/>
        </w:rPr>
        <w:t>*</w:t>
      </w:r>
      <w:r w:rsidRPr="00583E1A">
        <w:t>direct voting percentage of 10% or more in the foreign disposal company throughout a 12 month period that:</w:t>
      </w:r>
    </w:p>
    <w:p w:rsidR="00887330" w:rsidRPr="00583E1A" w:rsidRDefault="00887330" w:rsidP="00887330">
      <w:pPr>
        <w:pStyle w:val="paragraphsub"/>
      </w:pPr>
      <w:r w:rsidRPr="00583E1A">
        <w:tab/>
        <w:t>(i)</w:t>
      </w:r>
      <w:r w:rsidRPr="00583E1A">
        <w:tab/>
        <w:t>began no earlier than 24 months before the time of the CGT event; and</w:t>
      </w:r>
    </w:p>
    <w:p w:rsidR="00887330" w:rsidRPr="00583E1A" w:rsidRDefault="00887330" w:rsidP="00887330">
      <w:pPr>
        <w:pStyle w:val="paragraphsub"/>
      </w:pPr>
      <w:r w:rsidRPr="00583E1A">
        <w:tab/>
        <w:t>(ii)</w:t>
      </w:r>
      <w:r w:rsidRPr="00583E1A">
        <w:tab/>
        <w:t>ended no later than that time; and</w:t>
      </w:r>
    </w:p>
    <w:p w:rsidR="00887330" w:rsidRPr="00583E1A" w:rsidRDefault="00887330" w:rsidP="00887330">
      <w:pPr>
        <w:pStyle w:val="paragraph"/>
      </w:pPr>
      <w:r w:rsidRPr="00583E1A">
        <w:tab/>
        <w:t>(b)</w:t>
      </w:r>
      <w:r w:rsidRPr="00583E1A">
        <w:tab/>
        <w:t xml:space="preserve">the share is </w:t>
      </w:r>
      <w:r w:rsidRPr="00583E1A">
        <w:rPr>
          <w:i/>
        </w:rPr>
        <w:t>not</w:t>
      </w:r>
      <w:r w:rsidRPr="00583E1A">
        <w:t>:</w:t>
      </w:r>
    </w:p>
    <w:p w:rsidR="00887330" w:rsidRPr="00583E1A" w:rsidRDefault="00887330" w:rsidP="00887330">
      <w:pPr>
        <w:pStyle w:val="paragraphsub"/>
      </w:pPr>
      <w:r w:rsidRPr="00583E1A">
        <w:tab/>
        <w:t>(i)</w:t>
      </w:r>
      <w:r w:rsidRPr="00583E1A">
        <w:tab/>
        <w:t>an eligible finance share (within the meaning of Part</w:t>
      </w:r>
      <w:r w:rsidR="00583E1A">
        <w:t> </w:t>
      </w:r>
      <w:r w:rsidRPr="00583E1A">
        <w:t xml:space="preserve">X of the </w:t>
      </w:r>
      <w:r w:rsidRPr="00583E1A">
        <w:rPr>
          <w:i/>
        </w:rPr>
        <w:t>Income Tax Assessment Act 1936</w:t>
      </w:r>
      <w:r w:rsidRPr="00583E1A">
        <w:t>); or</w:t>
      </w:r>
    </w:p>
    <w:p w:rsidR="00887330" w:rsidRPr="00583E1A" w:rsidRDefault="00887330" w:rsidP="00887330">
      <w:pPr>
        <w:pStyle w:val="paragraphsub"/>
      </w:pPr>
      <w:r w:rsidRPr="00583E1A">
        <w:tab/>
        <w:t>(ii)</w:t>
      </w:r>
      <w:r w:rsidRPr="00583E1A">
        <w:tab/>
        <w:t>a widely distributed finance share (within the meaning of that Part); and</w:t>
      </w:r>
    </w:p>
    <w:p w:rsidR="00887330" w:rsidRPr="00583E1A" w:rsidRDefault="00887330" w:rsidP="00887330">
      <w:pPr>
        <w:pStyle w:val="paragraph"/>
      </w:pPr>
      <w:r w:rsidRPr="00583E1A">
        <w:tab/>
        <w:t>(c)</w:t>
      </w:r>
      <w:r w:rsidRPr="00583E1A">
        <w:tab/>
        <w:t>the CGT event is CGT event A1, B1, C2, E1, E2, G3, J1, K4, K6, K10 or K11.</w:t>
      </w:r>
    </w:p>
    <w:p w:rsidR="00887330" w:rsidRPr="00583E1A" w:rsidRDefault="00887330" w:rsidP="00887330">
      <w:pPr>
        <w:pStyle w:val="subsection"/>
      </w:pPr>
      <w:r w:rsidRPr="00583E1A">
        <w:tab/>
        <w:t>(2)</w:t>
      </w:r>
      <w:r w:rsidRPr="00583E1A">
        <w:tab/>
        <w:t xml:space="preserve">The gain or loss is reduced by the </w:t>
      </w:r>
      <w:r w:rsidR="00583E1A" w:rsidRPr="00583E1A">
        <w:rPr>
          <w:position w:val="6"/>
          <w:sz w:val="16"/>
        </w:rPr>
        <w:t>*</w:t>
      </w:r>
      <w:r w:rsidRPr="00583E1A">
        <w:t>active foreign business asset percentage (see sections</w:t>
      </w:r>
      <w:r w:rsidR="00583E1A">
        <w:t> </w:t>
      </w:r>
      <w:r w:rsidRPr="00583E1A">
        <w:t>768</w:t>
      </w:r>
      <w:r w:rsidR="00583E1A">
        <w:noBreakHyphen/>
      </w:r>
      <w:r w:rsidRPr="00583E1A">
        <w:t>510, 768</w:t>
      </w:r>
      <w:r w:rsidR="00583E1A">
        <w:noBreakHyphen/>
      </w:r>
      <w:r w:rsidRPr="00583E1A">
        <w:t>530 and 768</w:t>
      </w:r>
      <w:r w:rsidR="00583E1A">
        <w:noBreakHyphen/>
      </w:r>
      <w:r w:rsidRPr="00583E1A">
        <w:t>535) of the foreign disposal company in relation to the holding company at the time of the CGT event.</w:t>
      </w:r>
    </w:p>
    <w:p w:rsidR="00887330" w:rsidRPr="00583E1A" w:rsidRDefault="00887330" w:rsidP="00887330">
      <w:pPr>
        <w:pStyle w:val="ActHead4"/>
      </w:pPr>
      <w:bookmarkStart w:id="11" w:name="_Toc338939085"/>
      <w:r w:rsidRPr="00583E1A">
        <w:lastRenderedPageBreak/>
        <w:t>Active foreign business asset percentage</w:t>
      </w:r>
      <w:bookmarkEnd w:id="11"/>
    </w:p>
    <w:p w:rsidR="00887330" w:rsidRPr="00583E1A" w:rsidRDefault="00887330" w:rsidP="00887330">
      <w:pPr>
        <w:pStyle w:val="ActHead5"/>
      </w:pPr>
      <w:bookmarkStart w:id="12" w:name="_Toc338939086"/>
      <w:r w:rsidRPr="00583E1A">
        <w:rPr>
          <w:rStyle w:val="CharSectno"/>
        </w:rPr>
        <w:t>768</w:t>
      </w:r>
      <w:r w:rsidR="00583E1A">
        <w:rPr>
          <w:rStyle w:val="CharSectno"/>
        </w:rPr>
        <w:noBreakHyphen/>
      </w:r>
      <w:r w:rsidRPr="00583E1A">
        <w:rPr>
          <w:rStyle w:val="CharSectno"/>
        </w:rPr>
        <w:t>510</w:t>
      </w:r>
      <w:r w:rsidRPr="00583E1A">
        <w:t xml:space="preserve">  Active foreign business asset percentage</w:t>
      </w:r>
      <w:bookmarkEnd w:id="12"/>
    </w:p>
    <w:p w:rsidR="00887330" w:rsidRPr="00583E1A" w:rsidRDefault="00887330" w:rsidP="00887330">
      <w:pPr>
        <w:pStyle w:val="subsection"/>
      </w:pPr>
      <w:r w:rsidRPr="00583E1A">
        <w:tab/>
        <w:t>(1)</w:t>
      </w:r>
      <w:r w:rsidRPr="00583E1A">
        <w:tab/>
        <w:t xml:space="preserve">The </w:t>
      </w:r>
      <w:r w:rsidRPr="00583E1A">
        <w:rPr>
          <w:b/>
          <w:i/>
        </w:rPr>
        <w:t>active foreign business asset percentage</w:t>
      </w:r>
      <w:r w:rsidRPr="00583E1A">
        <w:t xml:space="preserve"> of a company (the </w:t>
      </w:r>
      <w:r w:rsidRPr="00583E1A">
        <w:rPr>
          <w:b/>
          <w:i/>
        </w:rPr>
        <w:t>foreign company</w:t>
      </w:r>
      <w:r w:rsidRPr="00583E1A">
        <w:t>) that is a foreign resident, in relation to the holding company mentioned in section</w:t>
      </w:r>
      <w:r w:rsidR="00583E1A">
        <w:t> </w:t>
      </w:r>
      <w:r w:rsidRPr="00583E1A">
        <w:t>768</w:t>
      </w:r>
      <w:r w:rsidR="00583E1A">
        <w:noBreakHyphen/>
      </w:r>
      <w:r w:rsidRPr="00583E1A">
        <w:t>505, at the time of the CGT event mentioned in that section, is worked out in accordance with this section.</w:t>
      </w:r>
    </w:p>
    <w:p w:rsidR="00887330" w:rsidRPr="00583E1A" w:rsidRDefault="00887330" w:rsidP="00887330">
      <w:pPr>
        <w:pStyle w:val="SubsectionHead"/>
      </w:pPr>
      <w:r w:rsidRPr="00583E1A">
        <w:t>Market value method</w:t>
      </w:r>
    </w:p>
    <w:p w:rsidR="00887330" w:rsidRPr="00583E1A" w:rsidRDefault="00887330" w:rsidP="00887330">
      <w:pPr>
        <w:pStyle w:val="subsection"/>
      </w:pPr>
      <w:r w:rsidRPr="00583E1A">
        <w:tab/>
        <w:t>(2)</w:t>
      </w:r>
      <w:r w:rsidRPr="00583E1A">
        <w:tab/>
        <w:t>Work out that percentage under section</w:t>
      </w:r>
      <w:r w:rsidR="00583E1A">
        <w:t> </w:t>
      </w:r>
      <w:r w:rsidRPr="00583E1A">
        <w:t>768</w:t>
      </w:r>
      <w:r w:rsidR="00583E1A">
        <w:noBreakHyphen/>
      </w:r>
      <w:r w:rsidRPr="00583E1A">
        <w:t>520 if:</w:t>
      </w:r>
    </w:p>
    <w:p w:rsidR="00887330" w:rsidRPr="00583E1A" w:rsidRDefault="00887330" w:rsidP="00887330">
      <w:pPr>
        <w:pStyle w:val="paragraph"/>
      </w:pPr>
      <w:r w:rsidRPr="00583E1A">
        <w:tab/>
        <w:t>(a)</w:t>
      </w:r>
      <w:r w:rsidRPr="00583E1A">
        <w:tab/>
        <w:t>the holding company has made a choice under subsection 768</w:t>
      </w:r>
      <w:r w:rsidR="00583E1A">
        <w:noBreakHyphen/>
      </w:r>
      <w:r w:rsidRPr="00583E1A">
        <w:t>515(1) in relation to the foreign company for that time; and</w:t>
      </w:r>
    </w:p>
    <w:p w:rsidR="00887330" w:rsidRPr="00583E1A" w:rsidRDefault="00887330" w:rsidP="00887330">
      <w:pPr>
        <w:pStyle w:val="paragraph"/>
      </w:pPr>
      <w:r w:rsidRPr="00583E1A">
        <w:tab/>
        <w:t>(b)</w:t>
      </w:r>
      <w:r w:rsidRPr="00583E1A">
        <w:tab/>
        <w:t xml:space="preserve">there is sufficient evidence of the </w:t>
      </w:r>
      <w:r w:rsidR="00583E1A" w:rsidRPr="00583E1A">
        <w:rPr>
          <w:position w:val="6"/>
          <w:sz w:val="16"/>
        </w:rPr>
        <w:t>*</w:t>
      </w:r>
      <w:r w:rsidRPr="00583E1A">
        <w:t>market value at that time of:</w:t>
      </w:r>
    </w:p>
    <w:p w:rsidR="00887330" w:rsidRPr="00583E1A" w:rsidRDefault="00887330" w:rsidP="00887330">
      <w:pPr>
        <w:pStyle w:val="paragraphsub"/>
      </w:pPr>
      <w:r w:rsidRPr="00583E1A">
        <w:tab/>
        <w:t>(i)</w:t>
      </w:r>
      <w:r w:rsidRPr="00583E1A">
        <w:tab/>
        <w:t xml:space="preserve">all </w:t>
      </w:r>
      <w:r w:rsidR="00583E1A" w:rsidRPr="00583E1A">
        <w:rPr>
          <w:position w:val="6"/>
          <w:sz w:val="16"/>
        </w:rPr>
        <w:t>*</w:t>
      </w:r>
      <w:r w:rsidRPr="00583E1A">
        <w:t>assets included in the total assets of the foreign company at that time; and</w:t>
      </w:r>
    </w:p>
    <w:p w:rsidR="00887330" w:rsidRPr="00583E1A" w:rsidRDefault="00887330" w:rsidP="00887330">
      <w:pPr>
        <w:pStyle w:val="paragraphsub"/>
      </w:pPr>
      <w:r w:rsidRPr="00583E1A">
        <w:tab/>
        <w:t>(ii)</w:t>
      </w:r>
      <w:r w:rsidRPr="00583E1A">
        <w:tab/>
        <w:t xml:space="preserve">all </w:t>
      </w:r>
      <w:r w:rsidR="00583E1A" w:rsidRPr="00583E1A">
        <w:rPr>
          <w:position w:val="6"/>
          <w:sz w:val="16"/>
        </w:rPr>
        <w:t>*</w:t>
      </w:r>
      <w:r w:rsidRPr="00583E1A">
        <w:t>active foreign business assets of the foreign company at that time.</w:t>
      </w:r>
    </w:p>
    <w:p w:rsidR="00887330" w:rsidRPr="00583E1A" w:rsidRDefault="00887330" w:rsidP="00887330">
      <w:pPr>
        <w:pStyle w:val="SubsectionHead"/>
      </w:pPr>
      <w:r w:rsidRPr="00583E1A">
        <w:t>Book value method</w:t>
      </w:r>
    </w:p>
    <w:p w:rsidR="00887330" w:rsidRPr="00583E1A" w:rsidRDefault="00887330" w:rsidP="00887330">
      <w:pPr>
        <w:pStyle w:val="subsection"/>
      </w:pPr>
      <w:r w:rsidRPr="00583E1A">
        <w:tab/>
        <w:t>(3)</w:t>
      </w:r>
      <w:r w:rsidRPr="00583E1A">
        <w:tab/>
        <w:t>Work out that percentage under section</w:t>
      </w:r>
      <w:r w:rsidR="00583E1A">
        <w:t> </w:t>
      </w:r>
      <w:r w:rsidRPr="00583E1A">
        <w:t>768</w:t>
      </w:r>
      <w:r w:rsidR="00583E1A">
        <w:noBreakHyphen/>
      </w:r>
      <w:r w:rsidRPr="00583E1A">
        <w:t>525 if:</w:t>
      </w:r>
    </w:p>
    <w:p w:rsidR="00887330" w:rsidRPr="00583E1A" w:rsidRDefault="00887330" w:rsidP="00887330">
      <w:pPr>
        <w:pStyle w:val="paragraph"/>
      </w:pPr>
      <w:r w:rsidRPr="00583E1A">
        <w:tab/>
        <w:t>(a)</w:t>
      </w:r>
      <w:r w:rsidRPr="00583E1A">
        <w:tab/>
        <w:t>the holding company has made a choice under subsection 768</w:t>
      </w:r>
      <w:r w:rsidR="00583E1A">
        <w:noBreakHyphen/>
      </w:r>
      <w:r w:rsidRPr="00583E1A">
        <w:t>515(2) in relation to the foreign company for that time; and</w:t>
      </w:r>
    </w:p>
    <w:p w:rsidR="00887330" w:rsidRPr="00583E1A" w:rsidRDefault="00887330" w:rsidP="00887330">
      <w:pPr>
        <w:pStyle w:val="paragraph"/>
      </w:pPr>
      <w:r w:rsidRPr="00583E1A">
        <w:tab/>
        <w:t>(b)</w:t>
      </w:r>
      <w:r w:rsidRPr="00583E1A">
        <w:tab/>
        <w:t xml:space="preserve">there are </w:t>
      </w:r>
      <w:r w:rsidR="00583E1A" w:rsidRPr="00583E1A">
        <w:rPr>
          <w:position w:val="6"/>
          <w:sz w:val="16"/>
        </w:rPr>
        <w:t>*</w:t>
      </w:r>
      <w:r w:rsidRPr="00583E1A">
        <w:t>recognised company accounts of the foreign company for a period that ends no later than that time, but no more than 12 months before that time; and</w:t>
      </w:r>
    </w:p>
    <w:p w:rsidR="00887330" w:rsidRPr="00583E1A" w:rsidRDefault="00887330" w:rsidP="00887330">
      <w:pPr>
        <w:pStyle w:val="paragraph"/>
      </w:pPr>
      <w:r w:rsidRPr="00583E1A">
        <w:tab/>
        <w:t>(c)</w:t>
      </w:r>
      <w:r w:rsidRPr="00583E1A">
        <w:tab/>
        <w:t xml:space="preserve">if the foreign company was in existence before the start of the period mentioned in </w:t>
      </w:r>
      <w:r w:rsidR="00583E1A">
        <w:t>paragraph (</w:t>
      </w:r>
      <w:r w:rsidRPr="00583E1A">
        <w:t xml:space="preserve">b)—there are recognised company accounts of the foreign company for a period that ends at least 6 months, but no more than 18 months, before the end of the period mentioned in </w:t>
      </w:r>
      <w:r w:rsidR="00583E1A">
        <w:t>paragraph (</w:t>
      </w:r>
      <w:r w:rsidRPr="00583E1A">
        <w:t>b).</w:t>
      </w:r>
    </w:p>
    <w:p w:rsidR="00887330" w:rsidRPr="00583E1A" w:rsidRDefault="00887330" w:rsidP="00887330">
      <w:pPr>
        <w:pStyle w:val="SubsectionHead"/>
      </w:pPr>
      <w:r w:rsidRPr="00583E1A">
        <w:lastRenderedPageBreak/>
        <w:t>Default method</w:t>
      </w:r>
    </w:p>
    <w:p w:rsidR="00887330" w:rsidRPr="00583E1A" w:rsidRDefault="00887330" w:rsidP="00887330">
      <w:pPr>
        <w:pStyle w:val="subsection"/>
      </w:pPr>
      <w:r w:rsidRPr="00583E1A">
        <w:tab/>
        <w:t>(4)</w:t>
      </w:r>
      <w:r w:rsidRPr="00583E1A">
        <w:tab/>
        <w:t>Otherwise, that percentage is:</w:t>
      </w:r>
    </w:p>
    <w:p w:rsidR="00887330" w:rsidRPr="00583E1A" w:rsidRDefault="00887330" w:rsidP="00887330">
      <w:pPr>
        <w:pStyle w:val="paragraph"/>
      </w:pPr>
      <w:r w:rsidRPr="00583E1A">
        <w:tab/>
        <w:t>(a)</w:t>
      </w:r>
      <w:r w:rsidRPr="00583E1A">
        <w:tab/>
        <w:t>100% (if this section is being applied for the purposes of section</w:t>
      </w:r>
      <w:r w:rsidR="00583E1A">
        <w:t> </w:t>
      </w:r>
      <w:r w:rsidRPr="00583E1A">
        <w:t>768</w:t>
      </w:r>
      <w:r w:rsidR="00583E1A">
        <w:noBreakHyphen/>
      </w:r>
      <w:r w:rsidRPr="00583E1A">
        <w:t xml:space="preserve">505 to reduce a </w:t>
      </w:r>
      <w:r w:rsidR="00583E1A" w:rsidRPr="00583E1A">
        <w:rPr>
          <w:position w:val="6"/>
          <w:sz w:val="16"/>
        </w:rPr>
        <w:t>*</w:t>
      </w:r>
      <w:r w:rsidRPr="00583E1A">
        <w:t>capital loss of the holding company); or</w:t>
      </w:r>
    </w:p>
    <w:p w:rsidR="00887330" w:rsidRPr="00583E1A" w:rsidRDefault="00887330" w:rsidP="00887330">
      <w:pPr>
        <w:pStyle w:val="paragraph"/>
      </w:pPr>
      <w:r w:rsidRPr="00583E1A">
        <w:tab/>
        <w:t>(b)</w:t>
      </w:r>
      <w:r w:rsidRPr="00583E1A">
        <w:tab/>
        <w:t>zero (in any other case).</w:t>
      </w:r>
    </w:p>
    <w:p w:rsidR="00887330" w:rsidRPr="00583E1A" w:rsidRDefault="00887330" w:rsidP="00887330">
      <w:pPr>
        <w:pStyle w:val="ActHead5"/>
      </w:pPr>
      <w:bookmarkStart w:id="13" w:name="_Toc338939087"/>
      <w:r w:rsidRPr="00583E1A">
        <w:rPr>
          <w:rStyle w:val="CharSectno"/>
        </w:rPr>
        <w:t>768</w:t>
      </w:r>
      <w:r w:rsidR="00583E1A">
        <w:rPr>
          <w:rStyle w:val="CharSectno"/>
        </w:rPr>
        <w:noBreakHyphen/>
      </w:r>
      <w:r w:rsidRPr="00583E1A">
        <w:rPr>
          <w:rStyle w:val="CharSectno"/>
        </w:rPr>
        <w:t>515</w:t>
      </w:r>
      <w:r w:rsidRPr="00583E1A">
        <w:t xml:space="preserve">  Choices to apply market value method or book value method</w:t>
      </w:r>
      <w:bookmarkEnd w:id="13"/>
    </w:p>
    <w:p w:rsidR="00887330" w:rsidRPr="00583E1A" w:rsidRDefault="00887330" w:rsidP="00887330">
      <w:pPr>
        <w:pStyle w:val="SubsectionHead"/>
      </w:pPr>
      <w:r w:rsidRPr="00583E1A">
        <w:t>Choice for market value method</w:t>
      </w:r>
    </w:p>
    <w:p w:rsidR="00887330" w:rsidRPr="00583E1A" w:rsidRDefault="00887330" w:rsidP="00887330">
      <w:pPr>
        <w:pStyle w:val="subsection"/>
      </w:pPr>
      <w:r w:rsidRPr="00583E1A">
        <w:tab/>
        <w:t>(1)</w:t>
      </w:r>
      <w:r w:rsidRPr="00583E1A">
        <w:tab/>
        <w:t xml:space="preserve">The holding company may choose to work out the </w:t>
      </w:r>
      <w:r w:rsidR="00583E1A" w:rsidRPr="00583E1A">
        <w:rPr>
          <w:position w:val="6"/>
          <w:sz w:val="16"/>
        </w:rPr>
        <w:t>*</w:t>
      </w:r>
      <w:r w:rsidRPr="00583E1A">
        <w:t>active foreign business asset percentage of the foreign company for the time of the CGT event under section</w:t>
      </w:r>
      <w:r w:rsidR="00583E1A">
        <w:t> </w:t>
      </w:r>
      <w:r w:rsidRPr="00583E1A">
        <w:t>768</w:t>
      </w:r>
      <w:r w:rsidR="00583E1A">
        <w:noBreakHyphen/>
      </w:r>
      <w:r w:rsidRPr="00583E1A">
        <w:t>520.</w:t>
      </w:r>
    </w:p>
    <w:p w:rsidR="00887330" w:rsidRPr="00583E1A" w:rsidRDefault="00887330" w:rsidP="00887330">
      <w:pPr>
        <w:pStyle w:val="SubsectionHead"/>
      </w:pPr>
      <w:r w:rsidRPr="00583E1A">
        <w:t>Choice for book value method</w:t>
      </w:r>
    </w:p>
    <w:p w:rsidR="00887330" w:rsidRPr="00583E1A" w:rsidRDefault="00887330" w:rsidP="00887330">
      <w:pPr>
        <w:pStyle w:val="subsection"/>
      </w:pPr>
      <w:r w:rsidRPr="00583E1A">
        <w:tab/>
        <w:t>(2)</w:t>
      </w:r>
      <w:r w:rsidRPr="00583E1A">
        <w:tab/>
        <w:t xml:space="preserve">The holding company may choose to work out the </w:t>
      </w:r>
      <w:r w:rsidR="00583E1A" w:rsidRPr="00583E1A">
        <w:rPr>
          <w:position w:val="6"/>
          <w:sz w:val="16"/>
        </w:rPr>
        <w:t>*</w:t>
      </w:r>
      <w:r w:rsidRPr="00583E1A">
        <w:t>active foreign business asset percentage of the foreign company for the time of the CGT event under section</w:t>
      </w:r>
      <w:r w:rsidR="00583E1A">
        <w:t> </w:t>
      </w:r>
      <w:r w:rsidRPr="00583E1A">
        <w:t>768</w:t>
      </w:r>
      <w:r w:rsidR="00583E1A">
        <w:noBreakHyphen/>
      </w:r>
      <w:r w:rsidRPr="00583E1A">
        <w:t>525.</w:t>
      </w:r>
    </w:p>
    <w:p w:rsidR="00887330" w:rsidRPr="00583E1A" w:rsidRDefault="00887330" w:rsidP="00887330">
      <w:pPr>
        <w:pStyle w:val="SubsectionHead"/>
      </w:pPr>
      <w:r w:rsidRPr="00583E1A">
        <w:t>Method of making choice</w:t>
      </w:r>
    </w:p>
    <w:p w:rsidR="00887330" w:rsidRPr="00583E1A" w:rsidRDefault="00887330" w:rsidP="00887330">
      <w:pPr>
        <w:pStyle w:val="subsection"/>
      </w:pPr>
      <w:r w:rsidRPr="00583E1A">
        <w:tab/>
        <w:t>(3)</w:t>
      </w:r>
      <w:r w:rsidRPr="00583E1A">
        <w:tab/>
        <w:t xml:space="preserve">The way an entity making a choice under </w:t>
      </w:r>
      <w:r w:rsidR="00583E1A">
        <w:t>subsection (</w:t>
      </w:r>
      <w:r w:rsidRPr="00583E1A">
        <w:t xml:space="preserve">1) or (2) prepares its </w:t>
      </w:r>
      <w:r w:rsidR="00583E1A" w:rsidRPr="00583E1A">
        <w:rPr>
          <w:position w:val="6"/>
          <w:sz w:val="16"/>
        </w:rPr>
        <w:t>*</w:t>
      </w:r>
      <w:r w:rsidRPr="00583E1A">
        <w:t>income tax return is sufficient evidence of the making of the choice.</w:t>
      </w:r>
    </w:p>
    <w:p w:rsidR="00887330" w:rsidRPr="00583E1A" w:rsidRDefault="00887330" w:rsidP="00887330">
      <w:pPr>
        <w:pStyle w:val="notetext"/>
      </w:pPr>
      <w:r w:rsidRPr="00583E1A">
        <w:t>Note:</w:t>
      </w:r>
      <w:r w:rsidRPr="00583E1A">
        <w:tab/>
        <w:t xml:space="preserve">If an entity does not make a choice under </w:t>
      </w:r>
      <w:r w:rsidR="00583E1A">
        <w:t>subsection (</w:t>
      </w:r>
      <w:r w:rsidRPr="00583E1A">
        <w:t>1) or (2), it will work out the active foreign business asset percentage of the foreign company in accordance with the default method in subsection 768</w:t>
      </w:r>
      <w:r w:rsidR="00583E1A">
        <w:noBreakHyphen/>
      </w:r>
      <w:r w:rsidRPr="00583E1A">
        <w:t>510(4).</w:t>
      </w:r>
    </w:p>
    <w:p w:rsidR="00887330" w:rsidRPr="00583E1A" w:rsidRDefault="00887330" w:rsidP="00887330">
      <w:pPr>
        <w:pStyle w:val="ActHead5"/>
      </w:pPr>
      <w:bookmarkStart w:id="14" w:name="_Toc338939088"/>
      <w:r w:rsidRPr="00583E1A">
        <w:rPr>
          <w:rStyle w:val="CharSectno"/>
        </w:rPr>
        <w:t>768</w:t>
      </w:r>
      <w:r w:rsidR="00583E1A">
        <w:rPr>
          <w:rStyle w:val="CharSectno"/>
        </w:rPr>
        <w:noBreakHyphen/>
      </w:r>
      <w:r w:rsidRPr="00583E1A">
        <w:rPr>
          <w:rStyle w:val="CharSectno"/>
        </w:rPr>
        <w:t>520</w:t>
      </w:r>
      <w:r w:rsidRPr="00583E1A">
        <w:t xml:space="preserve">  Market value method—choice made under subsection 768</w:t>
      </w:r>
      <w:r w:rsidR="00583E1A">
        <w:noBreakHyphen/>
      </w:r>
      <w:r w:rsidRPr="00583E1A">
        <w:t>515(1)</w:t>
      </w:r>
      <w:bookmarkEnd w:id="14"/>
    </w:p>
    <w:p w:rsidR="00887330" w:rsidRPr="00583E1A" w:rsidRDefault="00887330" w:rsidP="00887330">
      <w:pPr>
        <w:pStyle w:val="subsection"/>
      </w:pPr>
      <w:r w:rsidRPr="00583E1A">
        <w:tab/>
        <w:t>(1)</w:t>
      </w:r>
      <w:r w:rsidRPr="00583E1A">
        <w:tab/>
        <w:t xml:space="preserve">The </w:t>
      </w:r>
      <w:r w:rsidRPr="00583E1A">
        <w:rPr>
          <w:b/>
          <w:i/>
        </w:rPr>
        <w:t>active foreign business asset percentage</w:t>
      </w:r>
      <w:r w:rsidRPr="00583E1A">
        <w:t xml:space="preserve"> of the foreign company in relation to the holding company,</w:t>
      </w:r>
      <w:r w:rsidRPr="00583E1A">
        <w:rPr>
          <w:b/>
        </w:rPr>
        <w:t xml:space="preserve"> </w:t>
      </w:r>
      <w:r w:rsidRPr="00583E1A">
        <w:t>at the time of the CGT event, is worked out under this section in this way.</w:t>
      </w:r>
    </w:p>
    <w:p w:rsidR="00887330" w:rsidRPr="00583E1A" w:rsidRDefault="00887330" w:rsidP="00887330">
      <w:pPr>
        <w:pStyle w:val="BoxHeadItalic"/>
        <w:keepNext/>
        <w:keepLines/>
      </w:pPr>
      <w:r w:rsidRPr="00583E1A">
        <w:lastRenderedPageBreak/>
        <w:t>Method statement</w:t>
      </w:r>
    </w:p>
    <w:p w:rsidR="00887330" w:rsidRPr="00583E1A" w:rsidRDefault="00AE4F7F" w:rsidP="00887330">
      <w:pPr>
        <w:pStyle w:val="BoxStep"/>
        <w:keepNext/>
        <w:keepLines/>
        <w:spacing w:before="120"/>
      </w:pPr>
      <w:r w:rsidRPr="00583E1A">
        <w:rPr>
          <w:szCs w:val="22"/>
        </w:rPr>
        <w:t>Step 1.</w:t>
      </w:r>
      <w:r w:rsidR="00887330" w:rsidRPr="00583E1A">
        <w:tab/>
        <w:t xml:space="preserve">Work out the </w:t>
      </w:r>
      <w:r w:rsidR="00583E1A" w:rsidRPr="00583E1A">
        <w:rPr>
          <w:position w:val="6"/>
          <w:sz w:val="16"/>
        </w:rPr>
        <w:t>*</w:t>
      </w:r>
      <w:r w:rsidR="00887330" w:rsidRPr="00583E1A">
        <w:t xml:space="preserve">market value at that time of all </w:t>
      </w:r>
      <w:r w:rsidR="00583E1A" w:rsidRPr="00583E1A">
        <w:rPr>
          <w:position w:val="6"/>
          <w:sz w:val="16"/>
        </w:rPr>
        <w:t>*</w:t>
      </w:r>
      <w:r w:rsidR="00887330" w:rsidRPr="00583E1A">
        <w:t>assets included in the total assets of the foreign company at that time.</w:t>
      </w:r>
    </w:p>
    <w:p w:rsidR="00887330" w:rsidRPr="00583E1A" w:rsidRDefault="00AE4F7F" w:rsidP="00887330">
      <w:pPr>
        <w:pStyle w:val="BoxStep"/>
        <w:keepNext/>
        <w:keepLines/>
        <w:spacing w:before="120"/>
      </w:pPr>
      <w:r w:rsidRPr="00583E1A">
        <w:rPr>
          <w:szCs w:val="22"/>
        </w:rPr>
        <w:t>Step 2.</w:t>
      </w:r>
      <w:r w:rsidR="00887330" w:rsidRPr="00583E1A">
        <w:tab/>
        <w:t xml:space="preserve">Work out the </w:t>
      </w:r>
      <w:r w:rsidR="00583E1A" w:rsidRPr="00583E1A">
        <w:rPr>
          <w:position w:val="6"/>
          <w:sz w:val="16"/>
        </w:rPr>
        <w:t>*</w:t>
      </w:r>
      <w:r w:rsidR="00887330" w:rsidRPr="00583E1A">
        <w:t xml:space="preserve">market value (see </w:t>
      </w:r>
      <w:r w:rsidR="00583E1A">
        <w:t>subsection (</w:t>
      </w:r>
      <w:r w:rsidR="00887330" w:rsidRPr="00583E1A">
        <w:t xml:space="preserve">2)) at that time of all </w:t>
      </w:r>
      <w:r w:rsidR="00583E1A" w:rsidRPr="00583E1A">
        <w:rPr>
          <w:position w:val="6"/>
          <w:sz w:val="16"/>
        </w:rPr>
        <w:t>*</w:t>
      </w:r>
      <w:r w:rsidR="00887330" w:rsidRPr="00583E1A">
        <w:t>active foreign business assets of the foreign company at that time.</w:t>
      </w:r>
    </w:p>
    <w:p w:rsidR="00887330" w:rsidRPr="00583E1A" w:rsidRDefault="00AE4F7F" w:rsidP="00887330">
      <w:pPr>
        <w:pStyle w:val="BoxStep"/>
        <w:keepNext/>
        <w:keepLines/>
        <w:spacing w:before="120"/>
      </w:pPr>
      <w:r w:rsidRPr="00583E1A">
        <w:rPr>
          <w:szCs w:val="22"/>
        </w:rPr>
        <w:t>Step 3.</w:t>
      </w:r>
      <w:r w:rsidR="00887330" w:rsidRPr="00583E1A">
        <w:tab/>
        <w:t>Divide the result of step 2 by the result of step 1.</w:t>
      </w:r>
    </w:p>
    <w:p w:rsidR="00887330" w:rsidRPr="00583E1A" w:rsidRDefault="00AE4F7F" w:rsidP="00887330">
      <w:pPr>
        <w:pStyle w:val="BoxStep"/>
      </w:pPr>
      <w:r w:rsidRPr="00583E1A">
        <w:rPr>
          <w:szCs w:val="22"/>
        </w:rPr>
        <w:t>Step 4.</w:t>
      </w:r>
      <w:r w:rsidR="00887330" w:rsidRPr="00583E1A">
        <w:tab/>
        <w:t>Express the result of step 3 as a percentage, and round that percentage to the nearest whole percentage point (rounding a number ending in .5 upwards).</w:t>
      </w:r>
    </w:p>
    <w:p w:rsidR="00887330" w:rsidRPr="00583E1A" w:rsidRDefault="00AE4F7F" w:rsidP="00887330">
      <w:pPr>
        <w:pStyle w:val="BoxStep"/>
        <w:keepNext/>
        <w:keepLines/>
        <w:spacing w:before="120"/>
      </w:pPr>
      <w:r w:rsidRPr="00583E1A">
        <w:rPr>
          <w:szCs w:val="22"/>
        </w:rPr>
        <w:t>Step 5.</w:t>
      </w:r>
      <w:r w:rsidR="00887330" w:rsidRPr="00583E1A">
        <w:tab/>
        <w:t xml:space="preserve">The </w:t>
      </w:r>
      <w:r w:rsidR="00887330" w:rsidRPr="00583E1A">
        <w:rPr>
          <w:b/>
          <w:i/>
        </w:rPr>
        <w:t>active foreign business asset percentage</w:t>
      </w:r>
      <w:r w:rsidR="00887330" w:rsidRPr="00583E1A">
        <w:t xml:space="preserve"> is:</w:t>
      </w:r>
    </w:p>
    <w:p w:rsidR="00887330" w:rsidRPr="00583E1A" w:rsidRDefault="00887330" w:rsidP="00887330">
      <w:pPr>
        <w:pStyle w:val="BoxPara"/>
        <w:keepNext/>
        <w:keepLines/>
      </w:pPr>
      <w:r w:rsidRPr="00583E1A">
        <w:tab/>
        <w:t>(a)</w:t>
      </w:r>
      <w:r w:rsidRPr="00583E1A">
        <w:tab/>
        <w:t>if the result of step 4 is less than 10%—zero; or</w:t>
      </w:r>
    </w:p>
    <w:p w:rsidR="00887330" w:rsidRPr="00583E1A" w:rsidRDefault="00887330" w:rsidP="00887330">
      <w:pPr>
        <w:pStyle w:val="BoxPara"/>
        <w:keepNext/>
        <w:keepLines/>
      </w:pPr>
      <w:r w:rsidRPr="00583E1A">
        <w:tab/>
        <w:t>(b)</w:t>
      </w:r>
      <w:r w:rsidRPr="00583E1A">
        <w:tab/>
        <w:t>if the result of step 4 i</w:t>
      </w:r>
      <w:smartTag w:uri="urn:schemas-microsoft-com:office:smarttags" w:element="PersonName">
        <w:r w:rsidRPr="00583E1A">
          <w:t>s 1</w:t>
        </w:r>
      </w:smartTag>
      <w:r w:rsidRPr="00583E1A">
        <w:t>0% or more, but less than 90%—that result; or</w:t>
      </w:r>
    </w:p>
    <w:p w:rsidR="00887330" w:rsidRPr="00583E1A" w:rsidRDefault="00887330" w:rsidP="00887330">
      <w:pPr>
        <w:pStyle w:val="BoxPara"/>
      </w:pPr>
      <w:r w:rsidRPr="00583E1A">
        <w:tab/>
        <w:t>(c)</w:t>
      </w:r>
      <w:r w:rsidRPr="00583E1A">
        <w:tab/>
        <w:t>if the result of step 4 is 90% or more—100%.</w:t>
      </w:r>
    </w:p>
    <w:p w:rsidR="00887330" w:rsidRPr="00583E1A" w:rsidRDefault="00887330" w:rsidP="00887330">
      <w:pPr>
        <w:pStyle w:val="notetext"/>
      </w:pPr>
      <w:r w:rsidRPr="00583E1A">
        <w:t>Note 1:</w:t>
      </w:r>
      <w:r w:rsidRPr="00583E1A">
        <w:tab/>
        <w:t>If the foreign company is a foreign life insurance company or a foreign general insurance company, the result of step 2 is modified under section</w:t>
      </w:r>
      <w:r w:rsidR="00583E1A">
        <w:t> </w:t>
      </w:r>
      <w:r w:rsidRPr="00583E1A">
        <w:t>768</w:t>
      </w:r>
      <w:r w:rsidR="00583E1A">
        <w:noBreakHyphen/>
      </w:r>
      <w:r w:rsidRPr="00583E1A">
        <w:t>530.</w:t>
      </w:r>
    </w:p>
    <w:p w:rsidR="00887330" w:rsidRPr="00583E1A" w:rsidRDefault="00887330" w:rsidP="00887330">
      <w:pPr>
        <w:pStyle w:val="notetext"/>
      </w:pPr>
      <w:r w:rsidRPr="00583E1A">
        <w:t>Note 2:</w:t>
      </w:r>
      <w:r w:rsidRPr="00583E1A">
        <w:tab/>
        <w:t>If the foreign company is a member of a wholly</w:t>
      </w:r>
      <w:r w:rsidR="00583E1A">
        <w:noBreakHyphen/>
      </w:r>
      <w:r w:rsidRPr="00583E1A">
        <w:t>owned group, section</w:t>
      </w:r>
      <w:r w:rsidR="00583E1A">
        <w:t> </w:t>
      </w:r>
      <w:r w:rsidRPr="00583E1A">
        <w:t>768</w:t>
      </w:r>
      <w:r w:rsidR="00583E1A">
        <w:noBreakHyphen/>
      </w:r>
      <w:r w:rsidRPr="00583E1A">
        <w:t>535</w:t>
      </w:r>
      <w:r w:rsidR="00583E1A">
        <w:t> </w:t>
      </w:r>
      <w:r w:rsidRPr="00583E1A">
        <w:t>may modify the way in which this section operates.</w:t>
      </w:r>
    </w:p>
    <w:p w:rsidR="00887330" w:rsidRPr="00583E1A" w:rsidRDefault="00887330" w:rsidP="00887330">
      <w:pPr>
        <w:pStyle w:val="subsection"/>
      </w:pPr>
      <w:r w:rsidRPr="00583E1A">
        <w:tab/>
        <w:t>(2)</w:t>
      </w:r>
      <w:r w:rsidRPr="00583E1A">
        <w:tab/>
        <w:t>If,</w:t>
      </w:r>
      <w:r w:rsidRPr="00583E1A">
        <w:rPr>
          <w:b/>
        </w:rPr>
        <w:t xml:space="preserve"> </w:t>
      </w:r>
      <w:r w:rsidRPr="00583E1A">
        <w:t>at the time of the CGT event:</w:t>
      </w:r>
    </w:p>
    <w:p w:rsidR="00887330" w:rsidRPr="00583E1A" w:rsidRDefault="00887330" w:rsidP="00887330">
      <w:pPr>
        <w:pStyle w:val="paragraph"/>
      </w:pPr>
      <w:r w:rsidRPr="00583E1A">
        <w:tab/>
        <w:t>(a)</w:t>
      </w:r>
      <w:r w:rsidRPr="00583E1A">
        <w:tab/>
        <w:t xml:space="preserve">an </w:t>
      </w:r>
      <w:r w:rsidR="00583E1A" w:rsidRPr="00583E1A">
        <w:rPr>
          <w:position w:val="6"/>
          <w:sz w:val="16"/>
        </w:rPr>
        <w:t>*</w:t>
      </w:r>
      <w:r w:rsidRPr="00583E1A">
        <w:t xml:space="preserve">active foreign business asset of the foreign company is a </w:t>
      </w:r>
      <w:r w:rsidR="00583E1A" w:rsidRPr="00583E1A">
        <w:rPr>
          <w:position w:val="6"/>
          <w:sz w:val="16"/>
        </w:rPr>
        <w:t>*</w:t>
      </w:r>
      <w:r w:rsidRPr="00583E1A">
        <w:t xml:space="preserve">share in another company (the </w:t>
      </w:r>
      <w:r w:rsidRPr="00583E1A">
        <w:rPr>
          <w:b/>
          <w:i/>
        </w:rPr>
        <w:t>subsidiary company</w:t>
      </w:r>
      <w:r w:rsidRPr="00583E1A">
        <w:t>); and</w:t>
      </w:r>
    </w:p>
    <w:p w:rsidR="00887330" w:rsidRPr="00583E1A" w:rsidRDefault="00887330" w:rsidP="00887330">
      <w:pPr>
        <w:pStyle w:val="paragraph"/>
      </w:pPr>
      <w:r w:rsidRPr="00583E1A">
        <w:tab/>
        <w:t>(b)</w:t>
      </w:r>
      <w:r w:rsidRPr="00583E1A">
        <w:tab/>
        <w:t>the subsidiary company is a foreign resident;</w:t>
      </w:r>
    </w:p>
    <w:p w:rsidR="00887330" w:rsidRPr="00583E1A" w:rsidRDefault="00887330" w:rsidP="00887330">
      <w:pPr>
        <w:pStyle w:val="subsection2"/>
      </w:pPr>
      <w:r w:rsidRPr="00583E1A">
        <w:t xml:space="preserve">then, in working out the </w:t>
      </w:r>
      <w:r w:rsidR="00583E1A" w:rsidRPr="00583E1A">
        <w:rPr>
          <w:position w:val="6"/>
          <w:sz w:val="16"/>
        </w:rPr>
        <w:t>*</w:t>
      </w:r>
      <w:r w:rsidRPr="00583E1A">
        <w:t xml:space="preserve">market value of all </w:t>
      </w:r>
      <w:r w:rsidR="00583E1A" w:rsidRPr="00583E1A">
        <w:rPr>
          <w:position w:val="6"/>
          <w:sz w:val="16"/>
        </w:rPr>
        <w:t>*</w:t>
      </w:r>
      <w:r w:rsidRPr="00583E1A">
        <w:t xml:space="preserve">active foreign business assets of the foreign company at that time for the purposes of step 2 of the method statement in </w:t>
      </w:r>
      <w:r w:rsidR="00583E1A">
        <w:t>subsection (</w:t>
      </w:r>
      <w:r w:rsidRPr="00583E1A">
        <w:t xml:space="preserve">1), treat the </w:t>
      </w:r>
      <w:r w:rsidR="00583E1A" w:rsidRPr="00583E1A">
        <w:rPr>
          <w:position w:val="6"/>
          <w:sz w:val="16"/>
        </w:rPr>
        <w:t>*</w:t>
      </w:r>
      <w:r w:rsidRPr="00583E1A">
        <w:t>market value of the share at that time according to the following table.</w:t>
      </w:r>
    </w:p>
    <w:p w:rsidR="00887330" w:rsidRPr="00583E1A" w:rsidRDefault="00887330" w:rsidP="00887330"/>
    <w:tbl>
      <w:tblPr>
        <w:tblW w:w="6160" w:type="dxa"/>
        <w:tblInd w:w="1318" w:type="dxa"/>
        <w:tblLayout w:type="fixed"/>
        <w:tblLook w:val="0000" w:firstRow="0" w:lastRow="0" w:firstColumn="0" w:lastColumn="0" w:noHBand="0" w:noVBand="0"/>
      </w:tblPr>
      <w:tblGrid>
        <w:gridCol w:w="660"/>
        <w:gridCol w:w="2860"/>
        <w:gridCol w:w="2640"/>
      </w:tblGrid>
      <w:tr w:rsidR="00887330" w:rsidRPr="00583E1A">
        <w:trPr>
          <w:cantSplit/>
          <w:tblHeader/>
        </w:trPr>
        <w:tc>
          <w:tcPr>
            <w:tcW w:w="6160" w:type="dxa"/>
            <w:gridSpan w:val="3"/>
            <w:tcBorders>
              <w:top w:val="single" w:sz="12" w:space="0" w:color="auto"/>
              <w:bottom w:val="single" w:sz="6" w:space="0" w:color="auto"/>
            </w:tcBorders>
            <w:shd w:val="clear" w:color="auto" w:fill="auto"/>
          </w:tcPr>
          <w:p w:rsidR="00887330" w:rsidRPr="00583E1A" w:rsidRDefault="00887330" w:rsidP="00887330">
            <w:pPr>
              <w:pStyle w:val="Tabletext"/>
              <w:keepNext/>
              <w:rPr>
                <w:b/>
              </w:rPr>
            </w:pPr>
            <w:r w:rsidRPr="00583E1A">
              <w:rPr>
                <w:b/>
              </w:rPr>
              <w:lastRenderedPageBreak/>
              <w:t>Market value of a share in subsidiary company</w:t>
            </w:r>
          </w:p>
        </w:tc>
      </w:tr>
      <w:tr w:rsidR="00887330" w:rsidRPr="00583E1A">
        <w:trPr>
          <w:cantSplit/>
          <w:tblHeader/>
        </w:trPr>
        <w:tc>
          <w:tcPr>
            <w:tcW w:w="660" w:type="dxa"/>
            <w:tcBorders>
              <w:top w:val="single" w:sz="6" w:space="0" w:color="auto"/>
              <w:bottom w:val="single" w:sz="12" w:space="0" w:color="auto"/>
            </w:tcBorders>
            <w:shd w:val="clear" w:color="auto" w:fill="auto"/>
          </w:tcPr>
          <w:p w:rsidR="00887330" w:rsidRPr="00583E1A" w:rsidRDefault="00887330" w:rsidP="00887330">
            <w:pPr>
              <w:pStyle w:val="Tabletext"/>
              <w:keepNext/>
              <w:rPr>
                <w:b/>
              </w:rPr>
            </w:pPr>
            <w:r w:rsidRPr="00583E1A">
              <w:rPr>
                <w:b/>
              </w:rPr>
              <w:t>Item</w:t>
            </w:r>
          </w:p>
        </w:tc>
        <w:tc>
          <w:tcPr>
            <w:tcW w:w="2860" w:type="dxa"/>
            <w:tcBorders>
              <w:top w:val="single" w:sz="6" w:space="0" w:color="auto"/>
              <w:bottom w:val="single" w:sz="12" w:space="0" w:color="auto"/>
            </w:tcBorders>
            <w:shd w:val="clear" w:color="auto" w:fill="auto"/>
          </w:tcPr>
          <w:p w:rsidR="00887330" w:rsidRPr="00583E1A" w:rsidRDefault="00887330" w:rsidP="00887330">
            <w:pPr>
              <w:pStyle w:val="Tabletext"/>
              <w:keepNext/>
              <w:rPr>
                <w:b/>
              </w:rPr>
            </w:pPr>
            <w:r w:rsidRPr="00583E1A">
              <w:rPr>
                <w:b/>
              </w:rPr>
              <w:t>If:</w:t>
            </w:r>
          </w:p>
        </w:tc>
        <w:tc>
          <w:tcPr>
            <w:tcW w:w="2640" w:type="dxa"/>
            <w:tcBorders>
              <w:top w:val="single" w:sz="6" w:space="0" w:color="auto"/>
              <w:bottom w:val="single" w:sz="12" w:space="0" w:color="auto"/>
            </w:tcBorders>
            <w:shd w:val="clear" w:color="auto" w:fill="auto"/>
          </w:tcPr>
          <w:p w:rsidR="00887330" w:rsidRPr="00583E1A" w:rsidRDefault="00887330" w:rsidP="00887330">
            <w:pPr>
              <w:pStyle w:val="Tabletext"/>
              <w:keepNext/>
              <w:rPr>
                <w:b/>
              </w:rPr>
            </w:pPr>
            <w:r w:rsidRPr="00583E1A">
              <w:rPr>
                <w:b/>
              </w:rPr>
              <w:t>treat the market value of the share as:</w:t>
            </w:r>
          </w:p>
        </w:tc>
      </w:tr>
      <w:tr w:rsidR="00887330" w:rsidRPr="00583E1A">
        <w:trPr>
          <w:cantSplit/>
        </w:trPr>
        <w:tc>
          <w:tcPr>
            <w:tcW w:w="660" w:type="dxa"/>
            <w:tcBorders>
              <w:top w:val="single" w:sz="12" w:space="0" w:color="auto"/>
              <w:bottom w:val="single" w:sz="2" w:space="0" w:color="auto"/>
            </w:tcBorders>
            <w:shd w:val="clear" w:color="auto" w:fill="auto"/>
          </w:tcPr>
          <w:p w:rsidR="00887330" w:rsidRPr="00583E1A" w:rsidRDefault="00887330" w:rsidP="00887330">
            <w:pPr>
              <w:pStyle w:val="Tabletext"/>
            </w:pPr>
            <w:r w:rsidRPr="00583E1A">
              <w:t>1</w:t>
            </w:r>
          </w:p>
        </w:tc>
        <w:tc>
          <w:tcPr>
            <w:tcW w:w="2860" w:type="dxa"/>
            <w:tcBorders>
              <w:top w:val="single" w:sz="12" w:space="0" w:color="auto"/>
              <w:bottom w:val="single" w:sz="2" w:space="0" w:color="auto"/>
            </w:tcBorders>
            <w:shd w:val="clear" w:color="auto" w:fill="auto"/>
          </w:tcPr>
          <w:p w:rsidR="00887330" w:rsidRPr="00583E1A" w:rsidRDefault="00887330" w:rsidP="00887330">
            <w:pPr>
              <w:pStyle w:val="Tablea"/>
              <w:spacing w:before="80"/>
              <w:rPr>
                <w:color w:val="000000"/>
              </w:rPr>
            </w:pPr>
            <w:r w:rsidRPr="00583E1A">
              <w:rPr>
                <w:color w:val="000000"/>
              </w:rPr>
              <w:t xml:space="preserve">(a) the foreign company has a </w:t>
            </w:r>
            <w:r w:rsidR="00583E1A" w:rsidRPr="00583E1A">
              <w:rPr>
                <w:color w:val="000000"/>
                <w:position w:val="6"/>
                <w:sz w:val="16"/>
              </w:rPr>
              <w:t>*</w:t>
            </w:r>
            <w:r w:rsidRPr="00583E1A">
              <w:rPr>
                <w:color w:val="000000"/>
              </w:rPr>
              <w:t>direct voting percentage of 10% or more in the subsidiary company at that time; and</w:t>
            </w:r>
          </w:p>
          <w:p w:rsidR="00887330" w:rsidRPr="00583E1A" w:rsidRDefault="00887330" w:rsidP="00887330">
            <w:pPr>
              <w:pStyle w:val="Tablea"/>
              <w:rPr>
                <w:color w:val="000000"/>
              </w:rPr>
            </w:pPr>
            <w:r w:rsidRPr="00583E1A">
              <w:rPr>
                <w:color w:val="000000"/>
              </w:rPr>
              <w:t xml:space="preserve">(b) the holding company has a </w:t>
            </w:r>
            <w:r w:rsidR="00583E1A" w:rsidRPr="00583E1A">
              <w:rPr>
                <w:color w:val="000000"/>
                <w:position w:val="6"/>
                <w:sz w:val="16"/>
              </w:rPr>
              <w:t>*</w:t>
            </w:r>
            <w:r w:rsidRPr="00583E1A">
              <w:rPr>
                <w:color w:val="000000"/>
              </w:rPr>
              <w:t>total voting percentage of 10% or more in the subsidiary company at that time</w:t>
            </w:r>
          </w:p>
        </w:tc>
        <w:tc>
          <w:tcPr>
            <w:tcW w:w="2640" w:type="dxa"/>
            <w:tcBorders>
              <w:top w:val="single" w:sz="12" w:space="0" w:color="auto"/>
              <w:bottom w:val="single" w:sz="2" w:space="0" w:color="auto"/>
            </w:tcBorders>
            <w:shd w:val="clear" w:color="auto" w:fill="auto"/>
          </w:tcPr>
          <w:p w:rsidR="00887330" w:rsidRPr="00583E1A" w:rsidRDefault="00887330" w:rsidP="00887330">
            <w:pPr>
              <w:pStyle w:val="Tabletext"/>
            </w:pPr>
            <w:r w:rsidRPr="00583E1A">
              <w:t xml:space="preserve">the </w:t>
            </w:r>
            <w:r w:rsidR="00583E1A" w:rsidRPr="00583E1A">
              <w:rPr>
                <w:position w:val="6"/>
                <w:sz w:val="16"/>
              </w:rPr>
              <w:t>*</w:t>
            </w:r>
            <w:r w:rsidRPr="00583E1A">
              <w:t xml:space="preserve">share’s </w:t>
            </w:r>
            <w:r w:rsidR="00583E1A" w:rsidRPr="00583E1A">
              <w:rPr>
                <w:position w:val="6"/>
                <w:sz w:val="16"/>
              </w:rPr>
              <w:t>*</w:t>
            </w:r>
            <w:r w:rsidRPr="00583E1A">
              <w:t xml:space="preserve">market value at that time, multiplied by the </w:t>
            </w:r>
            <w:r w:rsidR="00583E1A" w:rsidRPr="00583E1A">
              <w:rPr>
                <w:position w:val="6"/>
                <w:sz w:val="16"/>
              </w:rPr>
              <w:t>*</w:t>
            </w:r>
            <w:r w:rsidRPr="00583E1A">
              <w:t>active foreign business asset percentage of the subsidiary company in relation to the holding company at that time</w:t>
            </w:r>
          </w:p>
        </w:tc>
      </w:tr>
      <w:tr w:rsidR="00887330" w:rsidRPr="00583E1A">
        <w:trPr>
          <w:cantSplit/>
        </w:trPr>
        <w:tc>
          <w:tcPr>
            <w:tcW w:w="660" w:type="dxa"/>
            <w:tcBorders>
              <w:top w:val="single" w:sz="2" w:space="0" w:color="auto"/>
              <w:bottom w:val="single" w:sz="12" w:space="0" w:color="auto"/>
            </w:tcBorders>
            <w:shd w:val="clear" w:color="auto" w:fill="auto"/>
          </w:tcPr>
          <w:p w:rsidR="00887330" w:rsidRPr="00583E1A" w:rsidRDefault="00887330" w:rsidP="00887330">
            <w:pPr>
              <w:pStyle w:val="Tabletext"/>
            </w:pPr>
            <w:r w:rsidRPr="00583E1A">
              <w:t>2</w:t>
            </w:r>
          </w:p>
        </w:tc>
        <w:tc>
          <w:tcPr>
            <w:tcW w:w="2860" w:type="dxa"/>
            <w:tcBorders>
              <w:top w:val="single" w:sz="2" w:space="0" w:color="auto"/>
              <w:bottom w:val="single" w:sz="12" w:space="0" w:color="auto"/>
            </w:tcBorders>
            <w:shd w:val="clear" w:color="auto" w:fill="auto"/>
          </w:tcPr>
          <w:p w:rsidR="00887330" w:rsidRPr="00583E1A" w:rsidRDefault="00887330" w:rsidP="00887330">
            <w:pPr>
              <w:pStyle w:val="Tabletext"/>
            </w:pPr>
            <w:r w:rsidRPr="00583E1A">
              <w:t>item</w:t>
            </w:r>
            <w:r w:rsidR="00583E1A">
              <w:t> </w:t>
            </w:r>
            <w:r w:rsidRPr="00583E1A">
              <w:t>1 does not apply</w:t>
            </w:r>
          </w:p>
        </w:tc>
        <w:tc>
          <w:tcPr>
            <w:tcW w:w="2640" w:type="dxa"/>
            <w:tcBorders>
              <w:top w:val="single" w:sz="2" w:space="0" w:color="auto"/>
              <w:bottom w:val="single" w:sz="12" w:space="0" w:color="auto"/>
            </w:tcBorders>
            <w:shd w:val="clear" w:color="auto" w:fill="auto"/>
          </w:tcPr>
          <w:p w:rsidR="00887330" w:rsidRPr="00583E1A" w:rsidRDefault="00887330" w:rsidP="00887330">
            <w:pPr>
              <w:pStyle w:val="Tabletext"/>
            </w:pPr>
            <w:r w:rsidRPr="00583E1A">
              <w:t>zero</w:t>
            </w:r>
          </w:p>
        </w:tc>
      </w:tr>
    </w:tbl>
    <w:p w:rsidR="00887330" w:rsidRPr="00583E1A" w:rsidRDefault="00887330" w:rsidP="00887330">
      <w:pPr>
        <w:pStyle w:val="notetext"/>
      </w:pPr>
      <w:r w:rsidRPr="00583E1A">
        <w:t>Note:</w:t>
      </w:r>
      <w:r w:rsidRPr="00583E1A">
        <w:tab/>
        <w:t>For the purposes of item</w:t>
      </w:r>
      <w:r w:rsidR="00583E1A">
        <w:t> </w:t>
      </w:r>
      <w:r w:rsidRPr="00583E1A">
        <w:t>1 of the table, it is necessary to work out the active foreign business asset percentage of the subsidiary company before working out the active foreign business asset percentage of the foreign company.</w:t>
      </w:r>
    </w:p>
    <w:p w:rsidR="00887330" w:rsidRPr="00583E1A" w:rsidRDefault="00887330" w:rsidP="00887330">
      <w:pPr>
        <w:pStyle w:val="ActHead5"/>
      </w:pPr>
      <w:bookmarkStart w:id="15" w:name="_Toc338939089"/>
      <w:r w:rsidRPr="00583E1A">
        <w:rPr>
          <w:rStyle w:val="CharSectno"/>
        </w:rPr>
        <w:t>768</w:t>
      </w:r>
      <w:r w:rsidR="00583E1A">
        <w:rPr>
          <w:rStyle w:val="CharSectno"/>
        </w:rPr>
        <w:noBreakHyphen/>
      </w:r>
      <w:r w:rsidRPr="00583E1A">
        <w:rPr>
          <w:rStyle w:val="CharSectno"/>
        </w:rPr>
        <w:t>525</w:t>
      </w:r>
      <w:r w:rsidRPr="00583E1A">
        <w:t xml:space="preserve">  Book value method—choice made under subsection 768</w:t>
      </w:r>
      <w:r w:rsidR="00583E1A">
        <w:noBreakHyphen/>
      </w:r>
      <w:r w:rsidRPr="00583E1A">
        <w:t>515(2)</w:t>
      </w:r>
      <w:bookmarkEnd w:id="15"/>
    </w:p>
    <w:p w:rsidR="00887330" w:rsidRPr="00583E1A" w:rsidRDefault="00887330" w:rsidP="00887330">
      <w:pPr>
        <w:pStyle w:val="subsection"/>
      </w:pPr>
      <w:r w:rsidRPr="00583E1A">
        <w:tab/>
        <w:t>(1)</w:t>
      </w:r>
      <w:r w:rsidRPr="00583E1A">
        <w:tab/>
        <w:t xml:space="preserve">The </w:t>
      </w:r>
      <w:r w:rsidRPr="00583E1A">
        <w:rPr>
          <w:b/>
          <w:i/>
        </w:rPr>
        <w:t>active foreign business asset percentage</w:t>
      </w:r>
      <w:r w:rsidRPr="00583E1A">
        <w:t xml:space="preserve"> of the foreign company in relation to the holding company,</w:t>
      </w:r>
      <w:r w:rsidRPr="00583E1A">
        <w:rPr>
          <w:b/>
        </w:rPr>
        <w:t xml:space="preserve"> </w:t>
      </w:r>
      <w:r w:rsidRPr="00583E1A">
        <w:t>at the time of the CGT event, is worked out under this section in this way.</w:t>
      </w:r>
    </w:p>
    <w:p w:rsidR="00887330" w:rsidRPr="00583E1A" w:rsidRDefault="00887330" w:rsidP="00887330">
      <w:pPr>
        <w:pStyle w:val="BoxHeadItalic"/>
        <w:keepLines/>
      </w:pPr>
      <w:r w:rsidRPr="00583E1A">
        <w:t>Method statement</w:t>
      </w:r>
    </w:p>
    <w:p w:rsidR="00887330" w:rsidRPr="00583E1A" w:rsidRDefault="00AE4F7F" w:rsidP="00887330">
      <w:pPr>
        <w:pStyle w:val="BoxStep"/>
        <w:keepLines/>
        <w:spacing w:before="120"/>
      </w:pPr>
      <w:r w:rsidRPr="00583E1A">
        <w:rPr>
          <w:szCs w:val="22"/>
        </w:rPr>
        <w:t>Step 1.</w:t>
      </w:r>
      <w:r w:rsidR="00887330" w:rsidRPr="00583E1A">
        <w:tab/>
        <w:t xml:space="preserve">Work out the foreign company’s average value of total assets at that time under </w:t>
      </w:r>
      <w:r w:rsidR="00583E1A">
        <w:t>subsection (</w:t>
      </w:r>
      <w:r w:rsidR="00887330" w:rsidRPr="00583E1A">
        <w:t>2).</w:t>
      </w:r>
    </w:p>
    <w:p w:rsidR="00887330" w:rsidRPr="00583E1A" w:rsidRDefault="00AE4F7F" w:rsidP="00887330">
      <w:pPr>
        <w:pStyle w:val="BoxStep"/>
        <w:keepLines/>
        <w:spacing w:before="120"/>
      </w:pPr>
      <w:r w:rsidRPr="00583E1A">
        <w:rPr>
          <w:szCs w:val="22"/>
        </w:rPr>
        <w:t>Step 2.</w:t>
      </w:r>
      <w:r w:rsidR="00887330" w:rsidRPr="00583E1A">
        <w:tab/>
        <w:t xml:space="preserve">Work out the foreign company’s average value of active foreign business assets at that time under </w:t>
      </w:r>
      <w:r w:rsidR="00583E1A">
        <w:t>subsection (</w:t>
      </w:r>
      <w:r w:rsidR="00887330" w:rsidRPr="00583E1A">
        <w:t>3).</w:t>
      </w:r>
    </w:p>
    <w:p w:rsidR="00887330" w:rsidRPr="00583E1A" w:rsidRDefault="00AE4F7F" w:rsidP="00887330">
      <w:pPr>
        <w:pStyle w:val="BoxStep"/>
        <w:keepLines/>
        <w:spacing w:before="120"/>
      </w:pPr>
      <w:r w:rsidRPr="00583E1A">
        <w:rPr>
          <w:szCs w:val="22"/>
        </w:rPr>
        <w:t>Step 3.</w:t>
      </w:r>
      <w:r w:rsidR="00887330" w:rsidRPr="00583E1A">
        <w:tab/>
        <w:t>Divide the result of step 2 by the result of step 1.</w:t>
      </w:r>
    </w:p>
    <w:p w:rsidR="00887330" w:rsidRPr="00583E1A" w:rsidRDefault="00AE4F7F" w:rsidP="00887330">
      <w:pPr>
        <w:pStyle w:val="BoxStep"/>
        <w:keepNext/>
      </w:pPr>
      <w:r w:rsidRPr="00583E1A">
        <w:rPr>
          <w:szCs w:val="22"/>
        </w:rPr>
        <w:lastRenderedPageBreak/>
        <w:t>Step 4.</w:t>
      </w:r>
      <w:r w:rsidR="00887330" w:rsidRPr="00583E1A">
        <w:tab/>
        <w:t>Express the result of step 3 as a percentage, and round that percentage to the nearest whole percentage point (rounding a number ending in .5 upwards).</w:t>
      </w:r>
    </w:p>
    <w:p w:rsidR="00887330" w:rsidRPr="00583E1A" w:rsidRDefault="00AE4F7F" w:rsidP="00887330">
      <w:pPr>
        <w:pStyle w:val="BoxStep"/>
        <w:keepNext/>
        <w:keepLines/>
        <w:spacing w:before="120"/>
      </w:pPr>
      <w:r w:rsidRPr="00583E1A">
        <w:rPr>
          <w:szCs w:val="22"/>
        </w:rPr>
        <w:t>Step 5.</w:t>
      </w:r>
      <w:r w:rsidR="00887330" w:rsidRPr="00583E1A">
        <w:tab/>
        <w:t xml:space="preserve">The </w:t>
      </w:r>
      <w:r w:rsidR="00887330" w:rsidRPr="00583E1A">
        <w:rPr>
          <w:b/>
          <w:i/>
        </w:rPr>
        <w:t>active foreign business asset percentage</w:t>
      </w:r>
      <w:r w:rsidR="00887330" w:rsidRPr="00583E1A">
        <w:t xml:space="preserve"> is:</w:t>
      </w:r>
    </w:p>
    <w:p w:rsidR="00887330" w:rsidRPr="00583E1A" w:rsidRDefault="00887330" w:rsidP="00887330">
      <w:pPr>
        <w:pStyle w:val="BoxPara"/>
      </w:pPr>
      <w:r w:rsidRPr="00583E1A">
        <w:tab/>
        <w:t>(a)</w:t>
      </w:r>
      <w:r w:rsidRPr="00583E1A">
        <w:tab/>
        <w:t>if the result of step 4 is less than 10%—zero; or</w:t>
      </w:r>
    </w:p>
    <w:p w:rsidR="00887330" w:rsidRPr="00583E1A" w:rsidRDefault="00887330" w:rsidP="00887330">
      <w:pPr>
        <w:pStyle w:val="BoxPara"/>
      </w:pPr>
      <w:r w:rsidRPr="00583E1A">
        <w:tab/>
        <w:t>(b)</w:t>
      </w:r>
      <w:r w:rsidRPr="00583E1A">
        <w:tab/>
        <w:t>if the result of step 4 i</w:t>
      </w:r>
      <w:smartTag w:uri="urn:schemas-microsoft-com:office:smarttags" w:element="PersonName">
        <w:r w:rsidRPr="00583E1A">
          <w:t>s 1</w:t>
        </w:r>
      </w:smartTag>
      <w:r w:rsidRPr="00583E1A">
        <w:t>0% or more, but less than 90%—that result; or</w:t>
      </w:r>
    </w:p>
    <w:p w:rsidR="00887330" w:rsidRPr="00583E1A" w:rsidRDefault="00887330" w:rsidP="00887330">
      <w:pPr>
        <w:pStyle w:val="BoxPara"/>
      </w:pPr>
      <w:r w:rsidRPr="00583E1A">
        <w:tab/>
        <w:t>(c)</w:t>
      </w:r>
      <w:r w:rsidRPr="00583E1A">
        <w:tab/>
        <w:t>if the result of step 4 is 90% or more—100%.</w:t>
      </w:r>
    </w:p>
    <w:p w:rsidR="00887330" w:rsidRPr="00583E1A" w:rsidRDefault="00887330" w:rsidP="00887330">
      <w:pPr>
        <w:pStyle w:val="notetext"/>
      </w:pPr>
      <w:r w:rsidRPr="00583E1A">
        <w:t>Note:</w:t>
      </w:r>
      <w:r w:rsidRPr="00583E1A">
        <w:tab/>
        <w:t>If the foreign company is a member of a wholly</w:t>
      </w:r>
      <w:r w:rsidR="00583E1A">
        <w:noBreakHyphen/>
      </w:r>
      <w:r w:rsidRPr="00583E1A">
        <w:t>owned group, section</w:t>
      </w:r>
      <w:r w:rsidR="00583E1A">
        <w:t> </w:t>
      </w:r>
      <w:r w:rsidRPr="00583E1A">
        <w:t>768</w:t>
      </w:r>
      <w:r w:rsidR="00583E1A">
        <w:noBreakHyphen/>
      </w:r>
      <w:r w:rsidRPr="00583E1A">
        <w:t>535</w:t>
      </w:r>
      <w:r w:rsidR="00583E1A">
        <w:t> </w:t>
      </w:r>
      <w:r w:rsidRPr="00583E1A">
        <w:t>may modify the way in which this section operates.</w:t>
      </w:r>
    </w:p>
    <w:p w:rsidR="00887330" w:rsidRPr="00583E1A" w:rsidRDefault="00887330" w:rsidP="00887330">
      <w:pPr>
        <w:pStyle w:val="subsection"/>
      </w:pPr>
      <w:r w:rsidRPr="00583E1A">
        <w:tab/>
        <w:t>(2)</w:t>
      </w:r>
      <w:r w:rsidRPr="00583E1A">
        <w:tab/>
        <w:t xml:space="preserve">The foreign company’s </w:t>
      </w:r>
      <w:r w:rsidRPr="00583E1A">
        <w:rPr>
          <w:b/>
          <w:i/>
        </w:rPr>
        <w:t>average value of total assets</w:t>
      </w:r>
      <w:r w:rsidRPr="00583E1A">
        <w:t xml:space="preserve"> at the time of the CGT event is worked out in this way.</w:t>
      </w:r>
    </w:p>
    <w:p w:rsidR="00887330" w:rsidRPr="00583E1A" w:rsidRDefault="00887330" w:rsidP="00887330">
      <w:pPr>
        <w:pStyle w:val="BoxHeadItalic"/>
        <w:keepNext/>
        <w:keepLines/>
      </w:pPr>
      <w:r w:rsidRPr="00583E1A">
        <w:t>Method statement</w:t>
      </w:r>
    </w:p>
    <w:p w:rsidR="00887330" w:rsidRPr="00583E1A" w:rsidRDefault="00AE4F7F" w:rsidP="00887330">
      <w:pPr>
        <w:pStyle w:val="BoxStep"/>
        <w:keepNext/>
        <w:keepLines/>
        <w:spacing w:before="120"/>
      </w:pPr>
      <w:r w:rsidRPr="00583E1A">
        <w:rPr>
          <w:szCs w:val="22"/>
        </w:rPr>
        <w:t>Step 1.</w:t>
      </w:r>
      <w:r w:rsidR="00887330" w:rsidRPr="00583E1A">
        <w:tab/>
        <w:t xml:space="preserve">Work out the sum of the values (see </w:t>
      </w:r>
      <w:r w:rsidR="00583E1A">
        <w:t>subsection (</w:t>
      </w:r>
      <w:r w:rsidR="00887330" w:rsidRPr="00583E1A">
        <w:t xml:space="preserve">5)) of every </w:t>
      </w:r>
      <w:r w:rsidR="00583E1A" w:rsidRPr="00583E1A">
        <w:rPr>
          <w:position w:val="6"/>
          <w:sz w:val="16"/>
        </w:rPr>
        <w:t>*</w:t>
      </w:r>
      <w:r w:rsidR="00887330" w:rsidRPr="00583E1A">
        <w:t>asset included in the total assets of the foreign company at the end of the most recent period:</w:t>
      </w:r>
    </w:p>
    <w:p w:rsidR="00887330" w:rsidRPr="00583E1A" w:rsidRDefault="00887330" w:rsidP="00887330">
      <w:pPr>
        <w:pStyle w:val="BoxPara"/>
      </w:pPr>
      <w:r w:rsidRPr="00583E1A">
        <w:tab/>
        <w:t>(a)</w:t>
      </w:r>
      <w:r w:rsidRPr="00583E1A">
        <w:tab/>
        <w:t>that ends no later than that time, but no more than 12 months before that time; and</w:t>
      </w:r>
    </w:p>
    <w:p w:rsidR="00887330" w:rsidRPr="00583E1A" w:rsidRDefault="00887330" w:rsidP="00887330">
      <w:pPr>
        <w:pStyle w:val="BoxPara"/>
      </w:pPr>
      <w:r w:rsidRPr="00583E1A">
        <w:tab/>
        <w:t>(b)</w:t>
      </w:r>
      <w:r w:rsidRPr="00583E1A">
        <w:tab/>
        <w:t xml:space="preserve">for which the foreign company has </w:t>
      </w:r>
      <w:r w:rsidR="00583E1A" w:rsidRPr="00583E1A">
        <w:rPr>
          <w:position w:val="6"/>
          <w:sz w:val="16"/>
        </w:rPr>
        <w:t>*</w:t>
      </w:r>
      <w:r w:rsidRPr="00583E1A">
        <w:t>recognised company accounts.</w:t>
      </w:r>
    </w:p>
    <w:p w:rsidR="00887330" w:rsidRPr="00583E1A" w:rsidRDefault="00AE4F7F" w:rsidP="00887330">
      <w:pPr>
        <w:pStyle w:val="BoxStep"/>
        <w:keepNext/>
        <w:keepLines/>
        <w:spacing w:before="120"/>
      </w:pPr>
      <w:r w:rsidRPr="00583E1A">
        <w:rPr>
          <w:szCs w:val="22"/>
        </w:rPr>
        <w:t>Step 2.</w:t>
      </w:r>
      <w:r w:rsidR="00887330" w:rsidRPr="00583E1A">
        <w:tab/>
        <w:t xml:space="preserve">Work out the sum of the values (see </w:t>
      </w:r>
      <w:r w:rsidR="00583E1A">
        <w:t>subsection (</w:t>
      </w:r>
      <w:r w:rsidR="00887330" w:rsidRPr="00583E1A">
        <w:t>5)) of every</w:t>
      </w:r>
      <w:r w:rsidR="00887330" w:rsidRPr="00583E1A">
        <w:rPr>
          <w:position w:val="6"/>
          <w:sz w:val="16"/>
        </w:rPr>
        <w:t xml:space="preserve"> </w:t>
      </w:r>
      <w:r w:rsidR="00583E1A" w:rsidRPr="00583E1A">
        <w:rPr>
          <w:position w:val="6"/>
          <w:sz w:val="16"/>
        </w:rPr>
        <w:t>*</w:t>
      </w:r>
      <w:r w:rsidR="00887330" w:rsidRPr="00583E1A">
        <w:t>asset included in the total assets of the foreign company at the end of the most recent period:</w:t>
      </w:r>
    </w:p>
    <w:p w:rsidR="00887330" w:rsidRPr="00583E1A" w:rsidRDefault="00887330" w:rsidP="00887330">
      <w:pPr>
        <w:pStyle w:val="BoxPara"/>
      </w:pPr>
      <w:r w:rsidRPr="00583E1A">
        <w:tab/>
        <w:t>(a)</w:t>
      </w:r>
      <w:r w:rsidRPr="00583E1A">
        <w:tab/>
        <w:t>that ends at least 6 months, but no more than 18 months, before the end of the period mentioned in step 1; and</w:t>
      </w:r>
    </w:p>
    <w:p w:rsidR="00887330" w:rsidRPr="00583E1A" w:rsidRDefault="00887330" w:rsidP="00887330">
      <w:pPr>
        <w:pStyle w:val="BoxPara"/>
      </w:pPr>
      <w:r w:rsidRPr="00583E1A">
        <w:tab/>
        <w:t>(b)</w:t>
      </w:r>
      <w:r w:rsidRPr="00583E1A">
        <w:tab/>
        <w:t xml:space="preserve">for which the foreign company has </w:t>
      </w:r>
      <w:r w:rsidR="00583E1A" w:rsidRPr="00583E1A">
        <w:rPr>
          <w:position w:val="6"/>
          <w:sz w:val="16"/>
        </w:rPr>
        <w:t>*</w:t>
      </w:r>
      <w:r w:rsidRPr="00583E1A">
        <w:t>recognised company accounts.</w:t>
      </w:r>
    </w:p>
    <w:p w:rsidR="00887330" w:rsidRPr="00583E1A" w:rsidRDefault="00887330" w:rsidP="00887330">
      <w:pPr>
        <w:pStyle w:val="BoxNote"/>
      </w:pPr>
      <w:r w:rsidRPr="00583E1A">
        <w:lastRenderedPageBreak/>
        <w:tab/>
        <w:t>Note:</w:t>
      </w:r>
      <w:r w:rsidRPr="00583E1A">
        <w:tab/>
        <w:t xml:space="preserve">See </w:t>
      </w:r>
      <w:r w:rsidR="00583E1A">
        <w:t>subsection (</w:t>
      </w:r>
      <w:r w:rsidRPr="00583E1A">
        <w:t>6) if the foreign company does not have recognised company accounts for a period mentioned in this step.</w:t>
      </w:r>
    </w:p>
    <w:p w:rsidR="00887330" w:rsidRPr="00583E1A" w:rsidRDefault="00AE4F7F" w:rsidP="00887330">
      <w:pPr>
        <w:pStyle w:val="BoxStep"/>
        <w:keepNext/>
        <w:keepLines/>
        <w:spacing w:before="120"/>
      </w:pPr>
      <w:r w:rsidRPr="00583E1A">
        <w:rPr>
          <w:szCs w:val="22"/>
        </w:rPr>
        <w:t>Step 3.</w:t>
      </w:r>
      <w:r w:rsidR="00887330" w:rsidRPr="00583E1A">
        <w:tab/>
        <w:t>Work out the sum of the results of step</w:t>
      </w:r>
      <w:smartTag w:uri="urn:schemas-microsoft-com:office:smarttags" w:element="PersonName">
        <w:r w:rsidR="00887330" w:rsidRPr="00583E1A">
          <w:t>s 1</w:t>
        </w:r>
      </w:smartTag>
      <w:r w:rsidR="00887330" w:rsidRPr="00583E1A">
        <w:t xml:space="preserve"> and 2, and divide that sum by 2.</w:t>
      </w:r>
    </w:p>
    <w:p w:rsidR="00887330" w:rsidRPr="00583E1A" w:rsidRDefault="00887330" w:rsidP="00887330">
      <w:pPr>
        <w:pStyle w:val="subsection"/>
      </w:pPr>
      <w:r w:rsidRPr="00583E1A">
        <w:tab/>
        <w:t>(3)</w:t>
      </w:r>
      <w:r w:rsidRPr="00583E1A">
        <w:tab/>
        <w:t xml:space="preserve">The foreign company’s </w:t>
      </w:r>
      <w:r w:rsidRPr="00583E1A">
        <w:rPr>
          <w:b/>
          <w:i/>
        </w:rPr>
        <w:t>average value of active foreign business assets</w:t>
      </w:r>
      <w:r w:rsidRPr="00583E1A">
        <w:t xml:space="preserve"> at that time is worked out in this way.</w:t>
      </w:r>
    </w:p>
    <w:p w:rsidR="00887330" w:rsidRPr="00583E1A" w:rsidRDefault="00887330" w:rsidP="00887330">
      <w:pPr>
        <w:pStyle w:val="BoxHeadItalic"/>
        <w:keepNext/>
        <w:keepLines/>
      </w:pPr>
      <w:r w:rsidRPr="00583E1A">
        <w:t>Method statement</w:t>
      </w:r>
    </w:p>
    <w:p w:rsidR="00887330" w:rsidRPr="00583E1A" w:rsidRDefault="00AE4F7F" w:rsidP="00887330">
      <w:pPr>
        <w:pStyle w:val="BoxStep"/>
        <w:keepNext/>
        <w:keepLines/>
        <w:spacing w:before="120"/>
      </w:pPr>
      <w:r w:rsidRPr="00583E1A">
        <w:rPr>
          <w:szCs w:val="22"/>
        </w:rPr>
        <w:t>Step 1.</w:t>
      </w:r>
      <w:r w:rsidR="00887330" w:rsidRPr="00583E1A">
        <w:tab/>
        <w:t xml:space="preserve">Work out the sum of the values (see </w:t>
      </w:r>
      <w:r w:rsidR="00583E1A">
        <w:t>subsections (</w:t>
      </w:r>
      <w:r w:rsidR="00887330" w:rsidRPr="00583E1A">
        <w:t>4) and (5)) of every</w:t>
      </w:r>
      <w:r w:rsidR="00887330" w:rsidRPr="00583E1A">
        <w:rPr>
          <w:position w:val="6"/>
          <w:sz w:val="16"/>
        </w:rPr>
        <w:t xml:space="preserve"> </w:t>
      </w:r>
      <w:r w:rsidR="00583E1A" w:rsidRPr="00583E1A">
        <w:rPr>
          <w:position w:val="6"/>
          <w:sz w:val="16"/>
        </w:rPr>
        <w:t>*</w:t>
      </w:r>
      <w:r w:rsidR="00887330" w:rsidRPr="00583E1A">
        <w:t>active foreign business asset of the foreign company at the end of the most recent period:</w:t>
      </w:r>
    </w:p>
    <w:p w:rsidR="00887330" w:rsidRPr="00583E1A" w:rsidRDefault="00887330" w:rsidP="00887330">
      <w:pPr>
        <w:pStyle w:val="BoxPara"/>
      </w:pPr>
      <w:r w:rsidRPr="00583E1A">
        <w:tab/>
        <w:t>(a)</w:t>
      </w:r>
      <w:r w:rsidRPr="00583E1A">
        <w:tab/>
        <w:t>that ends no later than that time, but no more than 12 months before that time; and</w:t>
      </w:r>
    </w:p>
    <w:p w:rsidR="00887330" w:rsidRPr="00583E1A" w:rsidRDefault="00887330" w:rsidP="00887330">
      <w:pPr>
        <w:pStyle w:val="BoxPara"/>
      </w:pPr>
      <w:r w:rsidRPr="00583E1A">
        <w:tab/>
        <w:t>(b)</w:t>
      </w:r>
      <w:r w:rsidRPr="00583E1A">
        <w:tab/>
        <w:t xml:space="preserve">for which the foreign company has </w:t>
      </w:r>
      <w:r w:rsidR="00583E1A" w:rsidRPr="00583E1A">
        <w:rPr>
          <w:position w:val="6"/>
          <w:sz w:val="16"/>
        </w:rPr>
        <w:t>*</w:t>
      </w:r>
      <w:r w:rsidRPr="00583E1A">
        <w:t>recognised company accounts.</w:t>
      </w:r>
    </w:p>
    <w:p w:rsidR="00887330" w:rsidRPr="00583E1A" w:rsidRDefault="00AE4F7F" w:rsidP="00887330">
      <w:pPr>
        <w:pStyle w:val="BoxStep"/>
        <w:keepNext/>
        <w:keepLines/>
        <w:spacing w:before="120"/>
      </w:pPr>
      <w:r w:rsidRPr="00583E1A">
        <w:rPr>
          <w:szCs w:val="22"/>
        </w:rPr>
        <w:t>Step 2.</w:t>
      </w:r>
      <w:r w:rsidR="00887330" w:rsidRPr="00583E1A">
        <w:tab/>
        <w:t xml:space="preserve">Work out the sum of the values (see </w:t>
      </w:r>
      <w:r w:rsidR="00583E1A">
        <w:t>subsections (</w:t>
      </w:r>
      <w:r w:rsidR="00887330" w:rsidRPr="00583E1A">
        <w:t>4) and (5)) of every</w:t>
      </w:r>
      <w:r w:rsidR="00887330" w:rsidRPr="00583E1A">
        <w:rPr>
          <w:position w:val="6"/>
          <w:sz w:val="16"/>
        </w:rPr>
        <w:t xml:space="preserve"> </w:t>
      </w:r>
      <w:r w:rsidR="00583E1A" w:rsidRPr="00583E1A">
        <w:rPr>
          <w:position w:val="6"/>
          <w:sz w:val="16"/>
        </w:rPr>
        <w:t>*</w:t>
      </w:r>
      <w:r w:rsidR="00887330" w:rsidRPr="00583E1A">
        <w:t>active foreign business asset of the foreign company at the end of the most recent period:</w:t>
      </w:r>
    </w:p>
    <w:p w:rsidR="00887330" w:rsidRPr="00583E1A" w:rsidRDefault="00887330" w:rsidP="00887330">
      <w:pPr>
        <w:pStyle w:val="BoxPara"/>
      </w:pPr>
      <w:r w:rsidRPr="00583E1A">
        <w:tab/>
        <w:t>(a)</w:t>
      </w:r>
      <w:r w:rsidRPr="00583E1A">
        <w:tab/>
        <w:t>that ends at least 6 months, but no more than 18 months, before the end of the period mentioned in step 1; and</w:t>
      </w:r>
    </w:p>
    <w:p w:rsidR="00887330" w:rsidRPr="00583E1A" w:rsidRDefault="00887330" w:rsidP="00887330">
      <w:pPr>
        <w:pStyle w:val="BoxPara"/>
      </w:pPr>
      <w:r w:rsidRPr="00583E1A">
        <w:tab/>
        <w:t>(b)</w:t>
      </w:r>
      <w:r w:rsidRPr="00583E1A">
        <w:tab/>
        <w:t xml:space="preserve">for which the foreign company has </w:t>
      </w:r>
      <w:r w:rsidR="00583E1A" w:rsidRPr="00583E1A">
        <w:rPr>
          <w:position w:val="6"/>
          <w:sz w:val="16"/>
        </w:rPr>
        <w:t>*</w:t>
      </w:r>
      <w:r w:rsidRPr="00583E1A">
        <w:t>recognised company accounts.</w:t>
      </w:r>
    </w:p>
    <w:p w:rsidR="00887330" w:rsidRPr="00583E1A" w:rsidRDefault="00887330" w:rsidP="00887330">
      <w:pPr>
        <w:pStyle w:val="BoxNote"/>
      </w:pPr>
      <w:r w:rsidRPr="00583E1A">
        <w:tab/>
        <w:t>Note:</w:t>
      </w:r>
      <w:r w:rsidRPr="00583E1A">
        <w:tab/>
        <w:t xml:space="preserve">See </w:t>
      </w:r>
      <w:r w:rsidR="00583E1A">
        <w:t>subsection (</w:t>
      </w:r>
      <w:r w:rsidRPr="00583E1A">
        <w:t>6) if the foreign company does not have recognised company accounts for a period mentioned in this step.</w:t>
      </w:r>
    </w:p>
    <w:p w:rsidR="00887330" w:rsidRPr="00583E1A" w:rsidRDefault="00AE4F7F" w:rsidP="00887330">
      <w:pPr>
        <w:pStyle w:val="BoxStep"/>
        <w:keepNext/>
        <w:keepLines/>
        <w:spacing w:before="120"/>
      </w:pPr>
      <w:r w:rsidRPr="00583E1A">
        <w:rPr>
          <w:szCs w:val="22"/>
        </w:rPr>
        <w:t>Step 3.</w:t>
      </w:r>
      <w:r w:rsidR="00887330" w:rsidRPr="00583E1A">
        <w:tab/>
        <w:t>Work out the sum of the results of step</w:t>
      </w:r>
      <w:smartTag w:uri="urn:schemas-microsoft-com:office:smarttags" w:element="PersonName">
        <w:r w:rsidR="00887330" w:rsidRPr="00583E1A">
          <w:t>s 1</w:t>
        </w:r>
      </w:smartTag>
      <w:r w:rsidR="00887330" w:rsidRPr="00583E1A">
        <w:t xml:space="preserve"> and 2, and divide that sum by 2.</w:t>
      </w:r>
    </w:p>
    <w:p w:rsidR="00887330" w:rsidRPr="00583E1A" w:rsidRDefault="00887330" w:rsidP="00887330">
      <w:pPr>
        <w:pStyle w:val="notetext"/>
      </w:pPr>
      <w:r w:rsidRPr="00583E1A">
        <w:t>Note:</w:t>
      </w:r>
      <w:r w:rsidRPr="00583E1A">
        <w:tab/>
        <w:t>If the foreign company is a foreign life insurance company or a foreign general insurance company, the results of step</w:t>
      </w:r>
      <w:smartTag w:uri="urn:schemas-microsoft-com:office:smarttags" w:element="PersonName">
        <w:r w:rsidRPr="00583E1A">
          <w:t>s 1</w:t>
        </w:r>
      </w:smartTag>
      <w:r w:rsidRPr="00583E1A">
        <w:t xml:space="preserve"> and 2 are modified under section</w:t>
      </w:r>
      <w:r w:rsidR="00583E1A">
        <w:t> </w:t>
      </w:r>
      <w:r w:rsidRPr="00583E1A">
        <w:t>768</w:t>
      </w:r>
      <w:r w:rsidR="00583E1A">
        <w:noBreakHyphen/>
      </w:r>
      <w:r w:rsidRPr="00583E1A">
        <w:t>530.</w:t>
      </w:r>
    </w:p>
    <w:p w:rsidR="00887330" w:rsidRPr="00583E1A" w:rsidRDefault="00887330" w:rsidP="00887330">
      <w:pPr>
        <w:pStyle w:val="subsection"/>
      </w:pPr>
      <w:r w:rsidRPr="00583E1A">
        <w:lastRenderedPageBreak/>
        <w:tab/>
        <w:t>(4)</w:t>
      </w:r>
      <w:r w:rsidRPr="00583E1A">
        <w:tab/>
        <w:t xml:space="preserve">If an </w:t>
      </w:r>
      <w:r w:rsidR="00583E1A" w:rsidRPr="00583E1A">
        <w:rPr>
          <w:position w:val="6"/>
          <w:sz w:val="16"/>
        </w:rPr>
        <w:t>*</w:t>
      </w:r>
      <w:r w:rsidRPr="00583E1A">
        <w:t xml:space="preserve">active foreign business asset of the foreign company is a </w:t>
      </w:r>
      <w:r w:rsidR="00583E1A" w:rsidRPr="00583E1A">
        <w:rPr>
          <w:position w:val="6"/>
          <w:sz w:val="16"/>
        </w:rPr>
        <w:t>*</w:t>
      </w:r>
      <w:r w:rsidRPr="00583E1A">
        <w:t xml:space="preserve">share in another company (the </w:t>
      </w:r>
      <w:r w:rsidRPr="00583E1A">
        <w:rPr>
          <w:b/>
          <w:i/>
        </w:rPr>
        <w:t>subsidiary company</w:t>
      </w:r>
      <w:r w:rsidRPr="00583E1A">
        <w:t>) that is a foreign resident, then, for the purposes of step</w:t>
      </w:r>
      <w:smartTag w:uri="urn:schemas-microsoft-com:office:smarttags" w:element="PersonName">
        <w:r w:rsidRPr="00583E1A">
          <w:t>s 1</w:t>
        </w:r>
      </w:smartTag>
      <w:r w:rsidRPr="00583E1A">
        <w:t xml:space="preserve"> and 2 of the method statement in </w:t>
      </w:r>
      <w:r w:rsidR="00583E1A">
        <w:t>subsection (</w:t>
      </w:r>
      <w:r w:rsidRPr="00583E1A">
        <w:t>3), treat the value of the share at a particular time according to the following table.</w:t>
      </w:r>
    </w:p>
    <w:p w:rsidR="00887330" w:rsidRPr="00583E1A" w:rsidRDefault="00887330" w:rsidP="00887330">
      <w:pPr>
        <w:pStyle w:val="Tabletext"/>
      </w:pPr>
    </w:p>
    <w:tbl>
      <w:tblPr>
        <w:tblW w:w="6160" w:type="dxa"/>
        <w:tblInd w:w="1318" w:type="dxa"/>
        <w:tblLayout w:type="fixed"/>
        <w:tblLook w:val="0000" w:firstRow="0" w:lastRow="0" w:firstColumn="0" w:lastColumn="0" w:noHBand="0" w:noVBand="0"/>
      </w:tblPr>
      <w:tblGrid>
        <w:gridCol w:w="660"/>
        <w:gridCol w:w="2860"/>
        <w:gridCol w:w="2640"/>
      </w:tblGrid>
      <w:tr w:rsidR="00887330" w:rsidRPr="00583E1A">
        <w:trPr>
          <w:cantSplit/>
          <w:tblHeader/>
        </w:trPr>
        <w:tc>
          <w:tcPr>
            <w:tcW w:w="6160" w:type="dxa"/>
            <w:gridSpan w:val="3"/>
            <w:tcBorders>
              <w:top w:val="single" w:sz="12" w:space="0" w:color="auto"/>
              <w:bottom w:val="single" w:sz="6" w:space="0" w:color="auto"/>
            </w:tcBorders>
            <w:shd w:val="clear" w:color="auto" w:fill="auto"/>
          </w:tcPr>
          <w:p w:rsidR="00887330" w:rsidRPr="00583E1A" w:rsidRDefault="00887330" w:rsidP="00887330">
            <w:pPr>
              <w:pStyle w:val="Tabletext"/>
              <w:keepNext/>
              <w:rPr>
                <w:b/>
              </w:rPr>
            </w:pPr>
            <w:r w:rsidRPr="00583E1A">
              <w:rPr>
                <w:b/>
              </w:rPr>
              <w:t>Value of a share in subsidiary company</w:t>
            </w:r>
          </w:p>
        </w:tc>
      </w:tr>
      <w:tr w:rsidR="00887330" w:rsidRPr="00583E1A">
        <w:trPr>
          <w:cantSplit/>
          <w:tblHeader/>
        </w:trPr>
        <w:tc>
          <w:tcPr>
            <w:tcW w:w="660" w:type="dxa"/>
            <w:tcBorders>
              <w:top w:val="single" w:sz="6" w:space="0" w:color="auto"/>
              <w:bottom w:val="single" w:sz="12" w:space="0" w:color="auto"/>
            </w:tcBorders>
            <w:shd w:val="clear" w:color="auto" w:fill="auto"/>
          </w:tcPr>
          <w:p w:rsidR="00887330" w:rsidRPr="00583E1A" w:rsidRDefault="00887330" w:rsidP="00887330">
            <w:pPr>
              <w:pStyle w:val="Tabletext"/>
              <w:keepNext/>
              <w:rPr>
                <w:b/>
              </w:rPr>
            </w:pPr>
            <w:r w:rsidRPr="00583E1A">
              <w:rPr>
                <w:b/>
              </w:rPr>
              <w:t>Item</w:t>
            </w:r>
          </w:p>
        </w:tc>
        <w:tc>
          <w:tcPr>
            <w:tcW w:w="2860" w:type="dxa"/>
            <w:tcBorders>
              <w:top w:val="single" w:sz="6" w:space="0" w:color="auto"/>
              <w:bottom w:val="single" w:sz="12" w:space="0" w:color="auto"/>
            </w:tcBorders>
            <w:shd w:val="clear" w:color="auto" w:fill="auto"/>
          </w:tcPr>
          <w:p w:rsidR="00887330" w:rsidRPr="00583E1A" w:rsidRDefault="00887330" w:rsidP="00887330">
            <w:pPr>
              <w:pStyle w:val="Tabletext"/>
              <w:keepNext/>
              <w:rPr>
                <w:b/>
              </w:rPr>
            </w:pPr>
            <w:r w:rsidRPr="00583E1A">
              <w:rPr>
                <w:b/>
              </w:rPr>
              <w:t>If:</w:t>
            </w:r>
          </w:p>
        </w:tc>
        <w:tc>
          <w:tcPr>
            <w:tcW w:w="2640" w:type="dxa"/>
            <w:tcBorders>
              <w:top w:val="single" w:sz="6" w:space="0" w:color="auto"/>
              <w:bottom w:val="single" w:sz="12" w:space="0" w:color="auto"/>
            </w:tcBorders>
            <w:shd w:val="clear" w:color="auto" w:fill="auto"/>
          </w:tcPr>
          <w:p w:rsidR="00887330" w:rsidRPr="00583E1A" w:rsidRDefault="00887330" w:rsidP="00887330">
            <w:pPr>
              <w:pStyle w:val="Tabletext"/>
              <w:keepNext/>
              <w:rPr>
                <w:b/>
              </w:rPr>
            </w:pPr>
            <w:r w:rsidRPr="00583E1A">
              <w:rPr>
                <w:b/>
              </w:rPr>
              <w:t>treat the value of the share as:</w:t>
            </w:r>
          </w:p>
        </w:tc>
      </w:tr>
      <w:tr w:rsidR="00887330" w:rsidRPr="00583E1A">
        <w:trPr>
          <w:cantSplit/>
        </w:trPr>
        <w:tc>
          <w:tcPr>
            <w:tcW w:w="660" w:type="dxa"/>
            <w:tcBorders>
              <w:top w:val="single" w:sz="12" w:space="0" w:color="auto"/>
              <w:bottom w:val="single" w:sz="2" w:space="0" w:color="auto"/>
            </w:tcBorders>
            <w:shd w:val="clear" w:color="auto" w:fill="auto"/>
          </w:tcPr>
          <w:p w:rsidR="00887330" w:rsidRPr="00583E1A" w:rsidRDefault="00887330" w:rsidP="00887330">
            <w:pPr>
              <w:pStyle w:val="Tabletext"/>
            </w:pPr>
            <w:r w:rsidRPr="00583E1A">
              <w:t>1</w:t>
            </w:r>
          </w:p>
        </w:tc>
        <w:tc>
          <w:tcPr>
            <w:tcW w:w="2860" w:type="dxa"/>
            <w:tcBorders>
              <w:top w:val="single" w:sz="12" w:space="0" w:color="auto"/>
              <w:bottom w:val="single" w:sz="2" w:space="0" w:color="auto"/>
            </w:tcBorders>
            <w:shd w:val="clear" w:color="auto" w:fill="auto"/>
          </w:tcPr>
          <w:p w:rsidR="00887330" w:rsidRPr="00583E1A" w:rsidRDefault="00887330" w:rsidP="00887330">
            <w:pPr>
              <w:pStyle w:val="Tablea"/>
              <w:spacing w:before="80"/>
              <w:rPr>
                <w:color w:val="000000"/>
              </w:rPr>
            </w:pPr>
            <w:r w:rsidRPr="00583E1A">
              <w:rPr>
                <w:color w:val="000000"/>
              </w:rPr>
              <w:t xml:space="preserve">(a) the foreign company has a </w:t>
            </w:r>
            <w:r w:rsidR="00583E1A" w:rsidRPr="00583E1A">
              <w:rPr>
                <w:color w:val="000000"/>
                <w:position w:val="6"/>
                <w:sz w:val="16"/>
              </w:rPr>
              <w:t>*</w:t>
            </w:r>
            <w:r w:rsidRPr="00583E1A">
              <w:rPr>
                <w:color w:val="000000"/>
              </w:rPr>
              <w:t>direct voting percentage of 10% or more in the subsidiary company at that time; and</w:t>
            </w:r>
          </w:p>
          <w:p w:rsidR="00887330" w:rsidRPr="00583E1A" w:rsidRDefault="00887330" w:rsidP="00887330">
            <w:pPr>
              <w:pStyle w:val="Tablea"/>
              <w:rPr>
                <w:color w:val="000000"/>
              </w:rPr>
            </w:pPr>
            <w:r w:rsidRPr="00583E1A">
              <w:rPr>
                <w:color w:val="000000"/>
              </w:rPr>
              <w:t xml:space="preserve">(b) the holding company has a </w:t>
            </w:r>
            <w:r w:rsidR="00583E1A" w:rsidRPr="00583E1A">
              <w:rPr>
                <w:color w:val="000000"/>
                <w:position w:val="6"/>
                <w:sz w:val="16"/>
              </w:rPr>
              <w:t>*</w:t>
            </w:r>
            <w:r w:rsidRPr="00583E1A">
              <w:rPr>
                <w:color w:val="000000"/>
              </w:rPr>
              <w:t>total voting percentage of 10% or more in the subsidiary company at that time</w:t>
            </w:r>
          </w:p>
        </w:tc>
        <w:tc>
          <w:tcPr>
            <w:tcW w:w="2640" w:type="dxa"/>
            <w:tcBorders>
              <w:top w:val="single" w:sz="12" w:space="0" w:color="auto"/>
              <w:bottom w:val="single" w:sz="2" w:space="0" w:color="auto"/>
            </w:tcBorders>
            <w:shd w:val="clear" w:color="auto" w:fill="auto"/>
          </w:tcPr>
          <w:p w:rsidR="00887330" w:rsidRPr="00583E1A" w:rsidRDefault="00887330" w:rsidP="00887330">
            <w:pPr>
              <w:pStyle w:val="Tabletext"/>
            </w:pPr>
            <w:r w:rsidRPr="00583E1A">
              <w:t xml:space="preserve">the </w:t>
            </w:r>
            <w:r w:rsidR="00583E1A" w:rsidRPr="00583E1A">
              <w:rPr>
                <w:position w:val="6"/>
                <w:sz w:val="16"/>
              </w:rPr>
              <w:t>*</w:t>
            </w:r>
            <w:r w:rsidRPr="00583E1A">
              <w:t xml:space="preserve">share’s value (see </w:t>
            </w:r>
            <w:r w:rsidR="00583E1A">
              <w:t>subsection (</w:t>
            </w:r>
            <w:r w:rsidRPr="00583E1A">
              <w:t xml:space="preserve">5)) at that time, multiplied by the </w:t>
            </w:r>
            <w:r w:rsidR="00583E1A" w:rsidRPr="00583E1A">
              <w:rPr>
                <w:position w:val="6"/>
                <w:sz w:val="16"/>
              </w:rPr>
              <w:t>*</w:t>
            </w:r>
            <w:r w:rsidRPr="00583E1A">
              <w:t>active foreign business asset percentage of the subsidiary company in relation to the holding company at that time</w:t>
            </w:r>
          </w:p>
        </w:tc>
      </w:tr>
      <w:tr w:rsidR="00887330" w:rsidRPr="00583E1A">
        <w:trPr>
          <w:cantSplit/>
        </w:trPr>
        <w:tc>
          <w:tcPr>
            <w:tcW w:w="660" w:type="dxa"/>
            <w:tcBorders>
              <w:top w:val="single" w:sz="2" w:space="0" w:color="auto"/>
              <w:bottom w:val="single" w:sz="12" w:space="0" w:color="auto"/>
            </w:tcBorders>
            <w:shd w:val="clear" w:color="auto" w:fill="auto"/>
          </w:tcPr>
          <w:p w:rsidR="00887330" w:rsidRPr="00583E1A" w:rsidRDefault="00887330" w:rsidP="00887330">
            <w:pPr>
              <w:pStyle w:val="Tabletext"/>
            </w:pPr>
            <w:r w:rsidRPr="00583E1A">
              <w:t>2</w:t>
            </w:r>
          </w:p>
        </w:tc>
        <w:tc>
          <w:tcPr>
            <w:tcW w:w="2860" w:type="dxa"/>
            <w:tcBorders>
              <w:top w:val="single" w:sz="2" w:space="0" w:color="auto"/>
              <w:bottom w:val="single" w:sz="12" w:space="0" w:color="auto"/>
            </w:tcBorders>
            <w:shd w:val="clear" w:color="auto" w:fill="auto"/>
          </w:tcPr>
          <w:p w:rsidR="00887330" w:rsidRPr="00583E1A" w:rsidRDefault="00887330" w:rsidP="00887330">
            <w:pPr>
              <w:pStyle w:val="Tabletext"/>
            </w:pPr>
            <w:r w:rsidRPr="00583E1A">
              <w:t>item</w:t>
            </w:r>
            <w:r w:rsidR="00583E1A">
              <w:t> </w:t>
            </w:r>
            <w:r w:rsidRPr="00583E1A">
              <w:t>1 does not apply</w:t>
            </w:r>
          </w:p>
        </w:tc>
        <w:tc>
          <w:tcPr>
            <w:tcW w:w="2640" w:type="dxa"/>
            <w:tcBorders>
              <w:top w:val="single" w:sz="2" w:space="0" w:color="auto"/>
              <w:bottom w:val="single" w:sz="12" w:space="0" w:color="auto"/>
            </w:tcBorders>
            <w:shd w:val="clear" w:color="auto" w:fill="auto"/>
          </w:tcPr>
          <w:p w:rsidR="00887330" w:rsidRPr="00583E1A" w:rsidRDefault="00887330" w:rsidP="00887330">
            <w:pPr>
              <w:pStyle w:val="Tabletext"/>
            </w:pPr>
            <w:r w:rsidRPr="00583E1A">
              <w:t>zero</w:t>
            </w:r>
          </w:p>
        </w:tc>
      </w:tr>
    </w:tbl>
    <w:p w:rsidR="00887330" w:rsidRPr="00583E1A" w:rsidRDefault="00887330" w:rsidP="00887330">
      <w:pPr>
        <w:pStyle w:val="notetext"/>
      </w:pPr>
      <w:r w:rsidRPr="00583E1A">
        <w:t>Note:</w:t>
      </w:r>
      <w:r w:rsidRPr="00583E1A">
        <w:tab/>
        <w:t>For the purposes of item</w:t>
      </w:r>
      <w:r w:rsidR="00583E1A">
        <w:t> </w:t>
      </w:r>
      <w:r w:rsidRPr="00583E1A">
        <w:t>1 of the table, it is necessary to work out the active foreign business asset percentage of the subsidiary company before working out the active foreign business asset percentage of the foreign company.</w:t>
      </w:r>
    </w:p>
    <w:p w:rsidR="00887330" w:rsidRPr="00583E1A" w:rsidRDefault="00887330" w:rsidP="00887330">
      <w:pPr>
        <w:pStyle w:val="subsection"/>
      </w:pPr>
      <w:r w:rsidRPr="00583E1A">
        <w:tab/>
        <w:t>(5)</w:t>
      </w:r>
      <w:r w:rsidRPr="00583E1A">
        <w:tab/>
        <w:t>For the purposes of this section, the value of an asset of a foreign company at the end of a period is taken to be:</w:t>
      </w:r>
    </w:p>
    <w:p w:rsidR="00887330" w:rsidRPr="00583E1A" w:rsidRDefault="00887330" w:rsidP="00887330">
      <w:pPr>
        <w:pStyle w:val="paragraph"/>
      </w:pPr>
      <w:r w:rsidRPr="00583E1A">
        <w:tab/>
        <w:t>(a)</w:t>
      </w:r>
      <w:r w:rsidRPr="00583E1A">
        <w:tab/>
        <w:t xml:space="preserve">the value of the asset as shown in the </w:t>
      </w:r>
      <w:r w:rsidR="00583E1A" w:rsidRPr="00583E1A">
        <w:rPr>
          <w:position w:val="6"/>
          <w:sz w:val="16"/>
        </w:rPr>
        <w:t>*</w:t>
      </w:r>
      <w:r w:rsidRPr="00583E1A">
        <w:t>recognised company accounts of the foreign company for that period; or</w:t>
      </w:r>
    </w:p>
    <w:p w:rsidR="00887330" w:rsidRPr="00583E1A" w:rsidRDefault="00887330" w:rsidP="00887330">
      <w:pPr>
        <w:pStyle w:val="paragraph"/>
      </w:pPr>
      <w:r w:rsidRPr="00583E1A">
        <w:tab/>
        <w:t>(b)</w:t>
      </w:r>
      <w:r w:rsidRPr="00583E1A">
        <w:tab/>
        <w:t xml:space="preserve">if the value of the asset is </w:t>
      </w:r>
      <w:r w:rsidRPr="00583E1A">
        <w:rPr>
          <w:i/>
        </w:rPr>
        <w:t>not</w:t>
      </w:r>
      <w:r w:rsidRPr="00583E1A">
        <w:t xml:space="preserve"> shown in the recognised company accounts of the foreign company for that period—zero.</w:t>
      </w:r>
    </w:p>
    <w:p w:rsidR="00887330" w:rsidRPr="00583E1A" w:rsidRDefault="00887330" w:rsidP="00887330">
      <w:pPr>
        <w:pStyle w:val="subsection"/>
      </w:pPr>
      <w:r w:rsidRPr="00583E1A">
        <w:tab/>
        <w:t>(6)</w:t>
      </w:r>
      <w:r w:rsidRPr="00583E1A">
        <w:tab/>
        <w:t>The result of:</w:t>
      </w:r>
    </w:p>
    <w:p w:rsidR="00887330" w:rsidRPr="00583E1A" w:rsidRDefault="00887330" w:rsidP="00887330">
      <w:pPr>
        <w:pStyle w:val="paragraph"/>
      </w:pPr>
      <w:r w:rsidRPr="00583E1A">
        <w:tab/>
        <w:t>(a)</w:t>
      </w:r>
      <w:r w:rsidRPr="00583E1A">
        <w:tab/>
        <w:t xml:space="preserve">step 2 of the method statement in </w:t>
      </w:r>
      <w:r w:rsidR="00583E1A">
        <w:t>subsection (</w:t>
      </w:r>
      <w:r w:rsidRPr="00583E1A">
        <w:t>2); and</w:t>
      </w:r>
    </w:p>
    <w:p w:rsidR="00887330" w:rsidRPr="00583E1A" w:rsidRDefault="00887330" w:rsidP="00887330">
      <w:pPr>
        <w:pStyle w:val="paragraph"/>
      </w:pPr>
      <w:r w:rsidRPr="00583E1A">
        <w:tab/>
        <w:t>(b)</w:t>
      </w:r>
      <w:r w:rsidRPr="00583E1A">
        <w:tab/>
        <w:t xml:space="preserve">step 2 of the method statement in </w:t>
      </w:r>
      <w:r w:rsidR="00583E1A">
        <w:t>subsection (</w:t>
      </w:r>
      <w:r w:rsidRPr="00583E1A">
        <w:t>3);</w:t>
      </w:r>
    </w:p>
    <w:p w:rsidR="00887330" w:rsidRPr="00583E1A" w:rsidRDefault="00887330" w:rsidP="00887330">
      <w:pPr>
        <w:pStyle w:val="subsection2"/>
      </w:pPr>
      <w:r w:rsidRPr="00583E1A">
        <w:t xml:space="preserve">is taken to be zero if the foreign company does not have </w:t>
      </w:r>
      <w:r w:rsidR="00583E1A" w:rsidRPr="00583E1A">
        <w:rPr>
          <w:position w:val="6"/>
          <w:sz w:val="16"/>
        </w:rPr>
        <w:t>*</w:t>
      </w:r>
      <w:r w:rsidRPr="00583E1A">
        <w:t>recognised company accounts for a period mentioned in those steps.</w:t>
      </w:r>
    </w:p>
    <w:p w:rsidR="00887330" w:rsidRPr="00583E1A" w:rsidRDefault="00887330" w:rsidP="00887330">
      <w:pPr>
        <w:pStyle w:val="notetext"/>
      </w:pPr>
      <w:r w:rsidRPr="00583E1A">
        <w:lastRenderedPageBreak/>
        <w:t>Note:</w:t>
      </w:r>
      <w:r w:rsidRPr="00583E1A">
        <w:tab/>
        <w:t>This will only be the case if the foreign company was not in existence before the start of the period mentioned in step 1 of those method statements (see paragraph 768</w:t>
      </w:r>
      <w:r w:rsidR="00583E1A">
        <w:noBreakHyphen/>
      </w:r>
      <w:r w:rsidRPr="00583E1A">
        <w:t>510(3)(c)).</w:t>
      </w:r>
    </w:p>
    <w:p w:rsidR="00887330" w:rsidRPr="00583E1A" w:rsidRDefault="00887330" w:rsidP="00887330">
      <w:pPr>
        <w:pStyle w:val="ActHead5"/>
      </w:pPr>
      <w:bookmarkStart w:id="16" w:name="_Toc338939090"/>
      <w:r w:rsidRPr="00583E1A">
        <w:rPr>
          <w:rStyle w:val="CharSectno"/>
        </w:rPr>
        <w:t>768</w:t>
      </w:r>
      <w:r w:rsidR="00583E1A">
        <w:rPr>
          <w:rStyle w:val="CharSectno"/>
        </w:rPr>
        <w:noBreakHyphen/>
      </w:r>
      <w:r w:rsidRPr="00583E1A">
        <w:rPr>
          <w:rStyle w:val="CharSectno"/>
        </w:rPr>
        <w:t>530</w:t>
      </w:r>
      <w:r w:rsidRPr="00583E1A">
        <w:t xml:space="preserve">  Active foreign business asset percentage—modifications for foreign life insurance companies and foreign general insurance companies</w:t>
      </w:r>
      <w:bookmarkEnd w:id="16"/>
    </w:p>
    <w:p w:rsidR="00887330" w:rsidRPr="00583E1A" w:rsidRDefault="00887330" w:rsidP="00887330">
      <w:pPr>
        <w:pStyle w:val="subsection"/>
      </w:pPr>
      <w:r w:rsidRPr="00583E1A">
        <w:tab/>
        <w:t>(1)</w:t>
      </w:r>
      <w:r w:rsidRPr="00583E1A">
        <w:tab/>
        <w:t xml:space="preserve">If the foreign company is a </w:t>
      </w:r>
      <w:r w:rsidR="00583E1A" w:rsidRPr="00583E1A">
        <w:rPr>
          <w:position w:val="6"/>
          <w:sz w:val="16"/>
        </w:rPr>
        <w:t>*</w:t>
      </w:r>
      <w:r w:rsidRPr="00583E1A">
        <w:t xml:space="preserve">foreign life insurance company or a </w:t>
      </w:r>
      <w:r w:rsidR="00583E1A" w:rsidRPr="00583E1A">
        <w:rPr>
          <w:position w:val="6"/>
          <w:sz w:val="16"/>
        </w:rPr>
        <w:t>*</w:t>
      </w:r>
      <w:r w:rsidRPr="00583E1A">
        <w:t xml:space="preserve">foreign general insurance company, work out its </w:t>
      </w:r>
      <w:r w:rsidR="00583E1A" w:rsidRPr="00583E1A">
        <w:rPr>
          <w:position w:val="6"/>
          <w:sz w:val="16"/>
        </w:rPr>
        <w:t>*</w:t>
      </w:r>
      <w:r w:rsidRPr="00583E1A">
        <w:t>active foreign business asset percentage according to section</w:t>
      </w:r>
      <w:r w:rsidR="00583E1A">
        <w:t> </w:t>
      </w:r>
      <w:r w:rsidRPr="00583E1A">
        <w:t>768</w:t>
      </w:r>
      <w:r w:rsidR="00583E1A">
        <w:noBreakHyphen/>
      </w:r>
      <w:r w:rsidRPr="00583E1A">
        <w:t xml:space="preserve">510, but with the modifications set out in </w:t>
      </w:r>
      <w:r w:rsidR="00583E1A">
        <w:t>subsections (</w:t>
      </w:r>
      <w:r w:rsidRPr="00583E1A">
        <w:t>2) and (3).</w:t>
      </w:r>
    </w:p>
    <w:p w:rsidR="00887330" w:rsidRPr="00583E1A" w:rsidRDefault="00887330" w:rsidP="00887330">
      <w:pPr>
        <w:pStyle w:val="subsection"/>
      </w:pPr>
      <w:r w:rsidRPr="00583E1A">
        <w:tab/>
        <w:t>(2)</w:t>
      </w:r>
      <w:r w:rsidRPr="00583E1A">
        <w:tab/>
        <w:t xml:space="preserve">Treat a reference in the following provisions to a period as a reference to a </w:t>
      </w:r>
      <w:r w:rsidR="00583E1A" w:rsidRPr="00583E1A">
        <w:rPr>
          <w:position w:val="6"/>
          <w:sz w:val="16"/>
        </w:rPr>
        <w:t>*</w:t>
      </w:r>
      <w:r w:rsidRPr="00583E1A">
        <w:t>statutory accounting period of the foreign company:</w:t>
      </w:r>
    </w:p>
    <w:p w:rsidR="00887330" w:rsidRPr="00583E1A" w:rsidRDefault="00887330" w:rsidP="00887330">
      <w:pPr>
        <w:pStyle w:val="paragraph"/>
      </w:pPr>
      <w:r w:rsidRPr="00583E1A">
        <w:tab/>
        <w:t>(a)</w:t>
      </w:r>
      <w:r w:rsidRPr="00583E1A">
        <w:tab/>
        <w:t>paragraphs 768</w:t>
      </w:r>
      <w:r w:rsidR="00583E1A">
        <w:noBreakHyphen/>
      </w:r>
      <w:r w:rsidRPr="00583E1A">
        <w:t>510(3)(b) and (c);</w:t>
      </w:r>
    </w:p>
    <w:p w:rsidR="00887330" w:rsidRPr="00583E1A" w:rsidRDefault="00887330" w:rsidP="00887330">
      <w:pPr>
        <w:pStyle w:val="paragraph"/>
      </w:pPr>
      <w:r w:rsidRPr="00583E1A">
        <w:tab/>
        <w:t>(b)</w:t>
      </w:r>
      <w:r w:rsidRPr="00583E1A">
        <w:tab/>
        <w:t>section</w:t>
      </w:r>
      <w:r w:rsidR="00583E1A">
        <w:t> </w:t>
      </w:r>
      <w:r w:rsidRPr="00583E1A">
        <w:t>768</w:t>
      </w:r>
      <w:r w:rsidR="00583E1A">
        <w:noBreakHyphen/>
      </w:r>
      <w:r w:rsidRPr="00583E1A">
        <w:t>525.</w:t>
      </w:r>
    </w:p>
    <w:p w:rsidR="00887330" w:rsidRPr="00583E1A" w:rsidRDefault="00887330" w:rsidP="00887330">
      <w:pPr>
        <w:pStyle w:val="subsection"/>
      </w:pPr>
      <w:r w:rsidRPr="00583E1A">
        <w:tab/>
        <w:t>(3)</w:t>
      </w:r>
      <w:r w:rsidRPr="00583E1A">
        <w:tab/>
        <w:t>Apply the modifications set out in the following table.</w:t>
      </w:r>
    </w:p>
    <w:p w:rsidR="00887330" w:rsidRPr="00583E1A" w:rsidRDefault="00887330" w:rsidP="00887330"/>
    <w:tbl>
      <w:tblPr>
        <w:tblW w:w="6160" w:type="dxa"/>
        <w:tblInd w:w="1318" w:type="dxa"/>
        <w:tblLayout w:type="fixed"/>
        <w:tblLook w:val="0000" w:firstRow="0" w:lastRow="0" w:firstColumn="0" w:lastColumn="0" w:noHBand="0" w:noVBand="0"/>
      </w:tblPr>
      <w:tblGrid>
        <w:gridCol w:w="660"/>
        <w:gridCol w:w="1650"/>
        <w:gridCol w:w="3850"/>
      </w:tblGrid>
      <w:tr w:rsidR="00887330" w:rsidRPr="00583E1A">
        <w:trPr>
          <w:cantSplit/>
          <w:tblHeader/>
        </w:trPr>
        <w:tc>
          <w:tcPr>
            <w:tcW w:w="6160" w:type="dxa"/>
            <w:gridSpan w:val="3"/>
            <w:tcBorders>
              <w:top w:val="single" w:sz="12" w:space="0" w:color="auto"/>
              <w:bottom w:val="single" w:sz="6" w:space="0" w:color="auto"/>
            </w:tcBorders>
            <w:shd w:val="clear" w:color="auto" w:fill="auto"/>
          </w:tcPr>
          <w:p w:rsidR="00887330" w:rsidRPr="00583E1A" w:rsidRDefault="00887330" w:rsidP="00887330">
            <w:pPr>
              <w:pStyle w:val="Tabletext"/>
              <w:keepNext/>
              <w:rPr>
                <w:b/>
              </w:rPr>
            </w:pPr>
            <w:r w:rsidRPr="00583E1A">
              <w:rPr>
                <w:b/>
              </w:rPr>
              <w:t>Modifications for foreign life insurance companies and foreign general insurance companies</w:t>
            </w:r>
          </w:p>
        </w:tc>
      </w:tr>
      <w:tr w:rsidR="00887330" w:rsidRPr="00583E1A">
        <w:trPr>
          <w:cantSplit/>
          <w:tblHeader/>
        </w:trPr>
        <w:tc>
          <w:tcPr>
            <w:tcW w:w="660" w:type="dxa"/>
            <w:tcBorders>
              <w:top w:val="single" w:sz="6" w:space="0" w:color="auto"/>
              <w:bottom w:val="single" w:sz="12" w:space="0" w:color="auto"/>
            </w:tcBorders>
            <w:shd w:val="clear" w:color="auto" w:fill="auto"/>
          </w:tcPr>
          <w:p w:rsidR="00887330" w:rsidRPr="00583E1A" w:rsidRDefault="00887330" w:rsidP="00887330">
            <w:pPr>
              <w:pStyle w:val="Tabletext"/>
              <w:keepNext/>
              <w:rPr>
                <w:b/>
              </w:rPr>
            </w:pPr>
            <w:r w:rsidRPr="00583E1A">
              <w:rPr>
                <w:b/>
              </w:rPr>
              <w:t>Item</w:t>
            </w:r>
          </w:p>
        </w:tc>
        <w:tc>
          <w:tcPr>
            <w:tcW w:w="1650" w:type="dxa"/>
            <w:tcBorders>
              <w:top w:val="single" w:sz="6" w:space="0" w:color="auto"/>
              <w:bottom w:val="single" w:sz="12" w:space="0" w:color="auto"/>
            </w:tcBorders>
            <w:shd w:val="clear" w:color="auto" w:fill="auto"/>
          </w:tcPr>
          <w:p w:rsidR="00887330" w:rsidRPr="00583E1A" w:rsidRDefault="00887330" w:rsidP="00887330">
            <w:pPr>
              <w:pStyle w:val="Tabletext"/>
              <w:keepNext/>
              <w:rPr>
                <w:b/>
              </w:rPr>
            </w:pPr>
            <w:r w:rsidRPr="00583E1A">
              <w:rPr>
                <w:b/>
              </w:rPr>
              <w:t>The result of this step:</w:t>
            </w:r>
          </w:p>
        </w:tc>
        <w:tc>
          <w:tcPr>
            <w:tcW w:w="3850" w:type="dxa"/>
            <w:tcBorders>
              <w:top w:val="single" w:sz="6" w:space="0" w:color="auto"/>
              <w:bottom w:val="single" w:sz="12" w:space="0" w:color="auto"/>
            </w:tcBorders>
            <w:shd w:val="clear" w:color="auto" w:fill="auto"/>
          </w:tcPr>
          <w:p w:rsidR="00887330" w:rsidRPr="00583E1A" w:rsidRDefault="00887330" w:rsidP="00887330">
            <w:pPr>
              <w:pStyle w:val="Tabletext"/>
              <w:keepNext/>
              <w:rPr>
                <w:b/>
              </w:rPr>
            </w:pPr>
            <w:r w:rsidRPr="00583E1A">
              <w:rPr>
                <w:b/>
              </w:rPr>
              <w:t xml:space="preserve">is increased by the amount applicable under </w:t>
            </w:r>
            <w:r w:rsidR="00583E1A">
              <w:rPr>
                <w:b/>
              </w:rPr>
              <w:t>subsection (</w:t>
            </w:r>
            <w:r w:rsidRPr="00583E1A">
              <w:rPr>
                <w:b/>
              </w:rPr>
              <w:t>4) for this statutory accounting period:</w:t>
            </w:r>
          </w:p>
        </w:tc>
      </w:tr>
      <w:tr w:rsidR="00887330" w:rsidRPr="00583E1A">
        <w:trPr>
          <w:cantSplit/>
        </w:trPr>
        <w:tc>
          <w:tcPr>
            <w:tcW w:w="660" w:type="dxa"/>
            <w:tcBorders>
              <w:top w:val="single" w:sz="12" w:space="0" w:color="auto"/>
              <w:bottom w:val="single" w:sz="2" w:space="0" w:color="auto"/>
            </w:tcBorders>
            <w:shd w:val="clear" w:color="auto" w:fill="auto"/>
          </w:tcPr>
          <w:p w:rsidR="00887330" w:rsidRPr="00583E1A" w:rsidRDefault="00887330" w:rsidP="00887330">
            <w:pPr>
              <w:pStyle w:val="Tabletext"/>
            </w:pPr>
            <w:r w:rsidRPr="00583E1A">
              <w:t>1</w:t>
            </w:r>
          </w:p>
        </w:tc>
        <w:tc>
          <w:tcPr>
            <w:tcW w:w="1650" w:type="dxa"/>
            <w:tcBorders>
              <w:top w:val="single" w:sz="12" w:space="0" w:color="auto"/>
              <w:bottom w:val="single" w:sz="2" w:space="0" w:color="auto"/>
            </w:tcBorders>
            <w:shd w:val="clear" w:color="auto" w:fill="auto"/>
          </w:tcPr>
          <w:p w:rsidR="00887330" w:rsidRPr="00583E1A" w:rsidRDefault="00887330" w:rsidP="00887330">
            <w:pPr>
              <w:pStyle w:val="Tabletext"/>
            </w:pPr>
            <w:r w:rsidRPr="00583E1A">
              <w:t>step 2 of the method statement in subsection 768</w:t>
            </w:r>
            <w:r w:rsidR="00583E1A">
              <w:noBreakHyphen/>
            </w:r>
            <w:r w:rsidRPr="00583E1A">
              <w:t>520(1)</w:t>
            </w:r>
          </w:p>
        </w:tc>
        <w:tc>
          <w:tcPr>
            <w:tcW w:w="3850" w:type="dxa"/>
            <w:tcBorders>
              <w:top w:val="single" w:sz="12" w:space="0" w:color="auto"/>
              <w:bottom w:val="single" w:sz="2" w:space="0" w:color="auto"/>
            </w:tcBorders>
            <w:shd w:val="clear" w:color="auto" w:fill="auto"/>
          </w:tcPr>
          <w:p w:rsidR="00887330" w:rsidRPr="00583E1A" w:rsidRDefault="00887330" w:rsidP="00887330">
            <w:pPr>
              <w:pStyle w:val="Tabletext"/>
            </w:pPr>
            <w:r w:rsidRPr="00583E1A">
              <w:t xml:space="preserve">the most recent </w:t>
            </w:r>
            <w:r w:rsidR="00583E1A" w:rsidRPr="00583E1A">
              <w:rPr>
                <w:position w:val="6"/>
                <w:sz w:val="16"/>
              </w:rPr>
              <w:t>*</w:t>
            </w:r>
            <w:r w:rsidRPr="00583E1A">
              <w:t>statutory accounting period of the foreign company ending at or before the time mentioned in that step</w:t>
            </w:r>
          </w:p>
        </w:tc>
      </w:tr>
      <w:tr w:rsidR="00887330" w:rsidRPr="00583E1A">
        <w:trPr>
          <w:cantSplit/>
        </w:trPr>
        <w:tc>
          <w:tcPr>
            <w:tcW w:w="660" w:type="dxa"/>
            <w:tcBorders>
              <w:top w:val="single" w:sz="2" w:space="0" w:color="auto"/>
              <w:bottom w:val="single" w:sz="2" w:space="0" w:color="auto"/>
            </w:tcBorders>
            <w:shd w:val="clear" w:color="auto" w:fill="auto"/>
          </w:tcPr>
          <w:p w:rsidR="00887330" w:rsidRPr="00583E1A" w:rsidRDefault="00887330" w:rsidP="00887330">
            <w:pPr>
              <w:pStyle w:val="Tabletext"/>
            </w:pPr>
            <w:r w:rsidRPr="00583E1A">
              <w:t>2</w:t>
            </w:r>
          </w:p>
        </w:tc>
        <w:tc>
          <w:tcPr>
            <w:tcW w:w="1650" w:type="dxa"/>
            <w:tcBorders>
              <w:top w:val="single" w:sz="2" w:space="0" w:color="auto"/>
              <w:bottom w:val="single" w:sz="2" w:space="0" w:color="auto"/>
            </w:tcBorders>
            <w:shd w:val="clear" w:color="auto" w:fill="auto"/>
          </w:tcPr>
          <w:p w:rsidR="00887330" w:rsidRPr="00583E1A" w:rsidRDefault="00887330" w:rsidP="00887330">
            <w:pPr>
              <w:pStyle w:val="Tabletext"/>
            </w:pPr>
            <w:r w:rsidRPr="00583E1A">
              <w:t>step 1 of the method statement in subsection 768</w:t>
            </w:r>
            <w:r w:rsidR="00583E1A">
              <w:noBreakHyphen/>
            </w:r>
            <w:r w:rsidRPr="00583E1A">
              <w:t>525(3)</w:t>
            </w:r>
          </w:p>
        </w:tc>
        <w:tc>
          <w:tcPr>
            <w:tcW w:w="3850" w:type="dxa"/>
            <w:tcBorders>
              <w:top w:val="single" w:sz="2" w:space="0" w:color="auto"/>
              <w:bottom w:val="single" w:sz="2" w:space="0" w:color="auto"/>
            </w:tcBorders>
            <w:shd w:val="clear" w:color="auto" w:fill="auto"/>
          </w:tcPr>
          <w:p w:rsidR="00887330" w:rsidRPr="00583E1A" w:rsidRDefault="00887330" w:rsidP="00887330">
            <w:pPr>
              <w:pStyle w:val="Tabletext"/>
            </w:pPr>
            <w:r w:rsidRPr="00583E1A">
              <w:t xml:space="preserve">the </w:t>
            </w:r>
            <w:r w:rsidR="00583E1A" w:rsidRPr="00583E1A">
              <w:rPr>
                <w:position w:val="6"/>
                <w:sz w:val="16"/>
              </w:rPr>
              <w:t>*</w:t>
            </w:r>
            <w:r w:rsidRPr="00583E1A">
              <w:t xml:space="preserve">statutory accounting period mentioned in that step (as modified by </w:t>
            </w:r>
            <w:r w:rsidR="00583E1A">
              <w:t>subsection (</w:t>
            </w:r>
            <w:r w:rsidRPr="00583E1A">
              <w:t>2) of this section)</w:t>
            </w:r>
          </w:p>
        </w:tc>
      </w:tr>
      <w:tr w:rsidR="00887330" w:rsidRPr="00583E1A">
        <w:trPr>
          <w:cantSplit/>
        </w:trPr>
        <w:tc>
          <w:tcPr>
            <w:tcW w:w="660" w:type="dxa"/>
            <w:tcBorders>
              <w:top w:val="single" w:sz="2" w:space="0" w:color="auto"/>
              <w:bottom w:val="single" w:sz="12" w:space="0" w:color="auto"/>
            </w:tcBorders>
            <w:shd w:val="clear" w:color="auto" w:fill="auto"/>
          </w:tcPr>
          <w:p w:rsidR="00887330" w:rsidRPr="00583E1A" w:rsidRDefault="00887330" w:rsidP="00887330">
            <w:pPr>
              <w:pStyle w:val="Tabletext"/>
            </w:pPr>
            <w:r w:rsidRPr="00583E1A">
              <w:t>3</w:t>
            </w:r>
          </w:p>
        </w:tc>
        <w:tc>
          <w:tcPr>
            <w:tcW w:w="1650" w:type="dxa"/>
            <w:tcBorders>
              <w:top w:val="single" w:sz="2" w:space="0" w:color="auto"/>
              <w:bottom w:val="single" w:sz="12" w:space="0" w:color="auto"/>
            </w:tcBorders>
            <w:shd w:val="clear" w:color="auto" w:fill="auto"/>
          </w:tcPr>
          <w:p w:rsidR="00887330" w:rsidRPr="00583E1A" w:rsidRDefault="00887330" w:rsidP="00887330">
            <w:pPr>
              <w:pStyle w:val="Tabletext"/>
            </w:pPr>
            <w:r w:rsidRPr="00583E1A">
              <w:t>step 2 of the method statement in subsection 768</w:t>
            </w:r>
            <w:r w:rsidR="00583E1A">
              <w:noBreakHyphen/>
            </w:r>
            <w:r w:rsidRPr="00583E1A">
              <w:t>525(3)</w:t>
            </w:r>
          </w:p>
        </w:tc>
        <w:tc>
          <w:tcPr>
            <w:tcW w:w="3850" w:type="dxa"/>
            <w:tcBorders>
              <w:top w:val="single" w:sz="2" w:space="0" w:color="auto"/>
              <w:bottom w:val="single" w:sz="12" w:space="0" w:color="auto"/>
            </w:tcBorders>
            <w:shd w:val="clear" w:color="auto" w:fill="auto"/>
          </w:tcPr>
          <w:p w:rsidR="00887330" w:rsidRPr="00583E1A" w:rsidRDefault="00887330" w:rsidP="00887330">
            <w:pPr>
              <w:pStyle w:val="Tabletext"/>
            </w:pPr>
            <w:r w:rsidRPr="00583E1A">
              <w:t xml:space="preserve">the </w:t>
            </w:r>
            <w:r w:rsidR="00583E1A" w:rsidRPr="00583E1A">
              <w:rPr>
                <w:position w:val="6"/>
                <w:sz w:val="16"/>
              </w:rPr>
              <w:t>*</w:t>
            </w:r>
            <w:r w:rsidRPr="00583E1A">
              <w:t xml:space="preserve">statutory accounting period mentioned in that step (as modified by </w:t>
            </w:r>
            <w:r w:rsidR="00583E1A">
              <w:t>subsection (</w:t>
            </w:r>
            <w:r w:rsidRPr="00583E1A">
              <w:t>2) of this section)</w:t>
            </w:r>
          </w:p>
        </w:tc>
      </w:tr>
    </w:tbl>
    <w:p w:rsidR="00887330" w:rsidRPr="00583E1A" w:rsidRDefault="00887330" w:rsidP="00887330">
      <w:pPr>
        <w:pStyle w:val="subsection"/>
      </w:pPr>
      <w:r w:rsidRPr="00583E1A">
        <w:lastRenderedPageBreak/>
        <w:tab/>
        <w:t>(4)</w:t>
      </w:r>
      <w:r w:rsidRPr="00583E1A">
        <w:tab/>
        <w:t xml:space="preserve">The amount applicable under this subsection for a </w:t>
      </w:r>
      <w:r w:rsidR="00583E1A" w:rsidRPr="00583E1A">
        <w:rPr>
          <w:position w:val="6"/>
          <w:sz w:val="16"/>
        </w:rPr>
        <w:t>*</w:t>
      </w:r>
      <w:r w:rsidRPr="00583E1A">
        <w:t>statutory accounting period of the foreign company is worked out using the following formula:</w:t>
      </w:r>
    </w:p>
    <w:p w:rsidR="00CB48B4" w:rsidRPr="00583E1A" w:rsidRDefault="00623A5C" w:rsidP="00887330">
      <w:pPr>
        <w:pStyle w:val="Formula"/>
      </w:pPr>
      <w:r>
        <w:rPr>
          <w:noProof/>
        </w:rPr>
        <w:drawing>
          <wp:inline distT="0" distB="0" distL="0" distR="0">
            <wp:extent cx="3695700" cy="533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695700" cy="533400"/>
                    </a:xfrm>
                    <a:prstGeom prst="rect">
                      <a:avLst/>
                    </a:prstGeom>
                    <a:noFill/>
                    <a:ln>
                      <a:noFill/>
                    </a:ln>
                  </pic:spPr>
                </pic:pic>
              </a:graphicData>
            </a:graphic>
          </wp:inline>
        </w:drawing>
      </w:r>
    </w:p>
    <w:p w:rsidR="00887330" w:rsidRPr="00583E1A" w:rsidRDefault="00887330" w:rsidP="00887330">
      <w:pPr>
        <w:pStyle w:val="subsection2"/>
      </w:pPr>
      <w:r w:rsidRPr="00583E1A">
        <w:t>where:</w:t>
      </w:r>
    </w:p>
    <w:p w:rsidR="00887330" w:rsidRPr="00583E1A" w:rsidRDefault="00887330" w:rsidP="00887330">
      <w:pPr>
        <w:pStyle w:val="Definition"/>
      </w:pPr>
      <w:r w:rsidRPr="00583E1A">
        <w:rPr>
          <w:b/>
          <w:i/>
        </w:rPr>
        <w:t>active insurance amount means</w:t>
      </w:r>
      <w:r w:rsidRPr="00583E1A">
        <w:t>:</w:t>
      </w:r>
    </w:p>
    <w:p w:rsidR="00887330" w:rsidRPr="00583E1A" w:rsidRDefault="00887330" w:rsidP="00887330">
      <w:pPr>
        <w:pStyle w:val="paragraph"/>
      </w:pPr>
      <w:r w:rsidRPr="00583E1A">
        <w:tab/>
        <w:t>(a)</w:t>
      </w:r>
      <w:r w:rsidRPr="00583E1A">
        <w:tab/>
        <w:t xml:space="preserve">if the foreign company is a </w:t>
      </w:r>
      <w:r w:rsidR="00583E1A" w:rsidRPr="00583E1A">
        <w:rPr>
          <w:position w:val="6"/>
          <w:sz w:val="16"/>
        </w:rPr>
        <w:t>*</w:t>
      </w:r>
      <w:r w:rsidRPr="00583E1A">
        <w:t xml:space="preserve">foreign life insurance company—the untainted policy liabilities (within the meaning of subsection 446(2) of the </w:t>
      </w:r>
      <w:r w:rsidRPr="00583E1A">
        <w:rPr>
          <w:i/>
        </w:rPr>
        <w:t>Income Tax Assessment Act 1936</w:t>
      </w:r>
      <w:r w:rsidRPr="00583E1A">
        <w:t>) of the foreign company for the statutory accounting period; or</w:t>
      </w:r>
    </w:p>
    <w:p w:rsidR="00887330" w:rsidRPr="00583E1A" w:rsidRDefault="00887330" w:rsidP="00887330">
      <w:pPr>
        <w:pStyle w:val="paragraph"/>
      </w:pPr>
      <w:r w:rsidRPr="00583E1A">
        <w:tab/>
        <w:t>(b)</w:t>
      </w:r>
      <w:r w:rsidRPr="00583E1A">
        <w:tab/>
        <w:t xml:space="preserve">if the foreign company is a </w:t>
      </w:r>
      <w:r w:rsidR="00583E1A" w:rsidRPr="00583E1A">
        <w:rPr>
          <w:position w:val="6"/>
          <w:sz w:val="16"/>
        </w:rPr>
        <w:t>*</w:t>
      </w:r>
      <w:r w:rsidRPr="00583E1A">
        <w:t xml:space="preserve">foreign general insurance company—the active general insurance amount worked out under </w:t>
      </w:r>
      <w:r w:rsidR="00583E1A">
        <w:t>subsection (</w:t>
      </w:r>
      <w:r w:rsidRPr="00583E1A">
        <w:t>5) for the statutory accounting period.</w:t>
      </w:r>
    </w:p>
    <w:p w:rsidR="00887330" w:rsidRPr="00583E1A" w:rsidRDefault="00887330" w:rsidP="00887330">
      <w:pPr>
        <w:pStyle w:val="Definition"/>
      </w:pPr>
      <w:r w:rsidRPr="00583E1A">
        <w:rPr>
          <w:b/>
          <w:i/>
        </w:rPr>
        <w:t>total insurance assets</w:t>
      </w:r>
      <w:r w:rsidRPr="00583E1A">
        <w:t xml:space="preserve"> means:</w:t>
      </w:r>
    </w:p>
    <w:p w:rsidR="00887330" w:rsidRPr="00583E1A" w:rsidRDefault="00887330" w:rsidP="00887330">
      <w:pPr>
        <w:pStyle w:val="paragraph"/>
      </w:pPr>
      <w:r w:rsidRPr="00583E1A">
        <w:tab/>
        <w:t>(a)</w:t>
      </w:r>
      <w:r w:rsidRPr="00583E1A">
        <w:tab/>
        <w:t xml:space="preserve">if the foreign company is a </w:t>
      </w:r>
      <w:r w:rsidR="00583E1A" w:rsidRPr="00583E1A">
        <w:rPr>
          <w:position w:val="6"/>
          <w:sz w:val="16"/>
        </w:rPr>
        <w:t>*</w:t>
      </w:r>
      <w:r w:rsidRPr="00583E1A">
        <w:t xml:space="preserve">foreign life insurance company—the total assets (within the meaning of subsection 446(2) of the </w:t>
      </w:r>
      <w:r w:rsidRPr="00583E1A">
        <w:rPr>
          <w:i/>
        </w:rPr>
        <w:t>Income Tax Assessment Act 1936</w:t>
      </w:r>
      <w:r w:rsidRPr="00583E1A">
        <w:t>) of the foreign company for the statutory accounting period; or</w:t>
      </w:r>
    </w:p>
    <w:p w:rsidR="00887330" w:rsidRPr="00583E1A" w:rsidRDefault="00887330" w:rsidP="00887330">
      <w:pPr>
        <w:pStyle w:val="paragraph"/>
      </w:pPr>
      <w:r w:rsidRPr="00583E1A">
        <w:tab/>
        <w:t>(b)</w:t>
      </w:r>
      <w:r w:rsidRPr="00583E1A">
        <w:tab/>
        <w:t xml:space="preserve">if the foreign company is a </w:t>
      </w:r>
      <w:r w:rsidR="00583E1A" w:rsidRPr="00583E1A">
        <w:rPr>
          <w:position w:val="6"/>
          <w:sz w:val="16"/>
        </w:rPr>
        <w:t>*</w:t>
      </w:r>
      <w:r w:rsidRPr="00583E1A">
        <w:t>foreign general insurance company—the total assets (within the meaning of subsection 446(4) of that Act) of the foreign company for the statutory accounting period.</w:t>
      </w:r>
    </w:p>
    <w:p w:rsidR="00887330" w:rsidRPr="00583E1A" w:rsidRDefault="00887330" w:rsidP="00887330">
      <w:pPr>
        <w:pStyle w:val="Definition"/>
      </w:pPr>
      <w:r w:rsidRPr="00583E1A">
        <w:rPr>
          <w:b/>
          <w:i/>
        </w:rPr>
        <w:t>value of non</w:t>
      </w:r>
      <w:r w:rsidR="00583E1A">
        <w:rPr>
          <w:b/>
          <w:i/>
        </w:rPr>
        <w:noBreakHyphen/>
      </w:r>
      <w:r w:rsidRPr="00583E1A">
        <w:rPr>
          <w:b/>
          <w:i/>
        </w:rPr>
        <w:t>active foreign business assets</w:t>
      </w:r>
      <w:r w:rsidRPr="00583E1A">
        <w:t xml:space="preserve"> means:</w:t>
      </w:r>
    </w:p>
    <w:p w:rsidR="00887330" w:rsidRPr="00583E1A" w:rsidRDefault="00887330" w:rsidP="00887330">
      <w:pPr>
        <w:pStyle w:val="paragraph"/>
      </w:pPr>
      <w:r w:rsidRPr="00583E1A">
        <w:tab/>
        <w:t>(a)</w:t>
      </w:r>
      <w:r w:rsidRPr="00583E1A">
        <w:tab/>
        <w:t>for the purposes of item</w:t>
      </w:r>
      <w:r w:rsidR="00583E1A">
        <w:t> </w:t>
      </w:r>
      <w:r w:rsidRPr="00583E1A">
        <w:t xml:space="preserve">1 of the table in </w:t>
      </w:r>
      <w:r w:rsidR="00583E1A">
        <w:t>subsection (</w:t>
      </w:r>
      <w:r w:rsidRPr="00583E1A">
        <w:t>3)—the difference between:</w:t>
      </w:r>
    </w:p>
    <w:p w:rsidR="00887330" w:rsidRPr="00583E1A" w:rsidRDefault="00887330" w:rsidP="00887330">
      <w:pPr>
        <w:pStyle w:val="paragraphsub"/>
      </w:pPr>
      <w:r w:rsidRPr="00583E1A">
        <w:tab/>
        <w:t>(i)</w:t>
      </w:r>
      <w:r w:rsidRPr="00583E1A">
        <w:tab/>
        <w:t>the result of step 1 of the method statement in subsection 768</w:t>
      </w:r>
      <w:r w:rsidR="00583E1A">
        <w:noBreakHyphen/>
      </w:r>
      <w:r w:rsidRPr="00583E1A">
        <w:t>520(1); and</w:t>
      </w:r>
    </w:p>
    <w:p w:rsidR="00887330" w:rsidRPr="00583E1A" w:rsidRDefault="00887330" w:rsidP="00887330">
      <w:pPr>
        <w:pStyle w:val="paragraphsub"/>
      </w:pPr>
      <w:r w:rsidRPr="00583E1A">
        <w:tab/>
        <w:t>(ii)</w:t>
      </w:r>
      <w:r w:rsidRPr="00583E1A">
        <w:tab/>
        <w:t>the result of step 2 of that method statement (apart from this section); or</w:t>
      </w:r>
    </w:p>
    <w:p w:rsidR="00887330" w:rsidRPr="00583E1A" w:rsidRDefault="00887330" w:rsidP="00887330">
      <w:pPr>
        <w:pStyle w:val="paragraph"/>
      </w:pPr>
      <w:r w:rsidRPr="00583E1A">
        <w:tab/>
        <w:t>(b)</w:t>
      </w:r>
      <w:r w:rsidRPr="00583E1A">
        <w:tab/>
        <w:t>for the purposes of item</w:t>
      </w:r>
      <w:r w:rsidR="00583E1A">
        <w:t> </w:t>
      </w:r>
      <w:r w:rsidRPr="00583E1A">
        <w:t xml:space="preserve">2 of the table in </w:t>
      </w:r>
      <w:r w:rsidR="00583E1A">
        <w:t>subsection (</w:t>
      </w:r>
      <w:r w:rsidRPr="00583E1A">
        <w:t>3)—the difference between:</w:t>
      </w:r>
    </w:p>
    <w:p w:rsidR="00887330" w:rsidRPr="00583E1A" w:rsidRDefault="00887330" w:rsidP="00887330">
      <w:pPr>
        <w:pStyle w:val="paragraphsub"/>
      </w:pPr>
      <w:r w:rsidRPr="00583E1A">
        <w:tab/>
        <w:t>(i)</w:t>
      </w:r>
      <w:r w:rsidRPr="00583E1A">
        <w:tab/>
        <w:t>the result of step 1 of the method statement in subsection 768</w:t>
      </w:r>
      <w:r w:rsidR="00583E1A">
        <w:noBreakHyphen/>
      </w:r>
      <w:r w:rsidRPr="00583E1A">
        <w:t>525(2); and</w:t>
      </w:r>
    </w:p>
    <w:p w:rsidR="00887330" w:rsidRPr="00583E1A" w:rsidRDefault="00887330" w:rsidP="00887330">
      <w:pPr>
        <w:pStyle w:val="paragraphsub"/>
      </w:pPr>
      <w:r w:rsidRPr="00583E1A">
        <w:lastRenderedPageBreak/>
        <w:tab/>
        <w:t>(ii)</w:t>
      </w:r>
      <w:r w:rsidRPr="00583E1A">
        <w:tab/>
        <w:t>the result of step 1 of the method statement in subsection 768</w:t>
      </w:r>
      <w:r w:rsidR="00583E1A">
        <w:noBreakHyphen/>
      </w:r>
      <w:r w:rsidRPr="00583E1A">
        <w:t>525(3) (apart from this section); or</w:t>
      </w:r>
    </w:p>
    <w:p w:rsidR="00887330" w:rsidRPr="00583E1A" w:rsidRDefault="00887330" w:rsidP="00887330">
      <w:pPr>
        <w:pStyle w:val="paragraph"/>
      </w:pPr>
      <w:r w:rsidRPr="00583E1A">
        <w:tab/>
        <w:t>(c)</w:t>
      </w:r>
      <w:r w:rsidRPr="00583E1A">
        <w:tab/>
        <w:t>for the purposes of item</w:t>
      </w:r>
      <w:r w:rsidR="00583E1A">
        <w:t> </w:t>
      </w:r>
      <w:r w:rsidRPr="00583E1A">
        <w:t xml:space="preserve">3 of the table in </w:t>
      </w:r>
      <w:r w:rsidR="00583E1A">
        <w:t>subsection (</w:t>
      </w:r>
      <w:r w:rsidRPr="00583E1A">
        <w:t>3)—the difference between:</w:t>
      </w:r>
    </w:p>
    <w:p w:rsidR="00887330" w:rsidRPr="00583E1A" w:rsidRDefault="00887330" w:rsidP="00887330">
      <w:pPr>
        <w:pStyle w:val="paragraphsub"/>
      </w:pPr>
      <w:r w:rsidRPr="00583E1A">
        <w:tab/>
        <w:t>(i)</w:t>
      </w:r>
      <w:r w:rsidRPr="00583E1A">
        <w:tab/>
        <w:t>the result of step 2 of the method statement in subsection 768</w:t>
      </w:r>
      <w:r w:rsidR="00583E1A">
        <w:noBreakHyphen/>
      </w:r>
      <w:r w:rsidRPr="00583E1A">
        <w:t>525(2); and</w:t>
      </w:r>
    </w:p>
    <w:p w:rsidR="00887330" w:rsidRPr="00583E1A" w:rsidRDefault="00887330" w:rsidP="00887330">
      <w:pPr>
        <w:pStyle w:val="paragraphsub"/>
      </w:pPr>
      <w:r w:rsidRPr="00583E1A">
        <w:tab/>
        <w:t>(ii)</w:t>
      </w:r>
      <w:r w:rsidRPr="00583E1A">
        <w:tab/>
        <w:t>the result of step 2 of the method statement in subsection 768</w:t>
      </w:r>
      <w:r w:rsidR="00583E1A">
        <w:noBreakHyphen/>
      </w:r>
      <w:r w:rsidRPr="00583E1A">
        <w:t>525(3) (apart from this section).</w:t>
      </w:r>
    </w:p>
    <w:p w:rsidR="00887330" w:rsidRPr="00583E1A" w:rsidRDefault="00887330" w:rsidP="00887330">
      <w:pPr>
        <w:pStyle w:val="SubsectionHead"/>
      </w:pPr>
      <w:r w:rsidRPr="00583E1A">
        <w:t>Active insurance amount for foreign general insurance company</w:t>
      </w:r>
    </w:p>
    <w:p w:rsidR="00887330" w:rsidRPr="00583E1A" w:rsidRDefault="00887330" w:rsidP="00887330">
      <w:pPr>
        <w:pStyle w:val="subsection"/>
      </w:pPr>
      <w:r w:rsidRPr="00583E1A">
        <w:tab/>
        <w:t>(5)</w:t>
      </w:r>
      <w:r w:rsidRPr="00583E1A">
        <w:tab/>
        <w:t xml:space="preserve">The active general insurance amount under this subsection for a </w:t>
      </w:r>
      <w:r w:rsidR="00583E1A" w:rsidRPr="00583E1A">
        <w:rPr>
          <w:position w:val="6"/>
          <w:sz w:val="16"/>
        </w:rPr>
        <w:t>*</w:t>
      </w:r>
      <w:r w:rsidRPr="00583E1A">
        <w:t>statutory accounting period of the foreign company is worked out using the following formula:</w:t>
      </w:r>
    </w:p>
    <w:p w:rsidR="00CB48B4" w:rsidRPr="00583E1A" w:rsidRDefault="00623A5C" w:rsidP="00887330">
      <w:pPr>
        <w:pStyle w:val="Formula"/>
      </w:pPr>
      <w:r>
        <w:rPr>
          <w:noProof/>
        </w:rPr>
        <w:drawing>
          <wp:inline distT="0" distB="0" distL="0" distR="0">
            <wp:extent cx="3562350" cy="3905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562350" cy="390525"/>
                    </a:xfrm>
                    <a:prstGeom prst="rect">
                      <a:avLst/>
                    </a:prstGeom>
                    <a:noFill/>
                    <a:ln>
                      <a:noFill/>
                    </a:ln>
                  </pic:spPr>
                </pic:pic>
              </a:graphicData>
            </a:graphic>
          </wp:inline>
        </w:drawing>
      </w:r>
    </w:p>
    <w:p w:rsidR="00887330" w:rsidRPr="00583E1A" w:rsidRDefault="00887330" w:rsidP="00887330">
      <w:pPr>
        <w:pStyle w:val="subsection2"/>
      </w:pPr>
      <w:r w:rsidRPr="00583E1A">
        <w:t>where:</w:t>
      </w:r>
    </w:p>
    <w:p w:rsidR="00887330" w:rsidRPr="00583E1A" w:rsidRDefault="00887330" w:rsidP="00887330">
      <w:pPr>
        <w:pStyle w:val="Definition"/>
      </w:pPr>
      <w:r w:rsidRPr="00583E1A">
        <w:rPr>
          <w:b/>
          <w:i/>
        </w:rPr>
        <w:t>net assets</w:t>
      </w:r>
      <w:r w:rsidRPr="00583E1A">
        <w:t xml:space="preserve"> means the net assets (within the meaning of subsection 446(4) of the </w:t>
      </w:r>
      <w:r w:rsidRPr="00583E1A">
        <w:rPr>
          <w:i/>
        </w:rPr>
        <w:t>Income Tax Assessment Act 1936</w:t>
      </w:r>
      <w:r w:rsidRPr="00583E1A">
        <w:t>) of the foreign company for the statutory accounting period.</w:t>
      </w:r>
    </w:p>
    <w:p w:rsidR="00887330" w:rsidRPr="00583E1A" w:rsidRDefault="00887330" w:rsidP="00887330">
      <w:pPr>
        <w:pStyle w:val="Definition"/>
      </w:pPr>
      <w:r w:rsidRPr="00583E1A">
        <w:rPr>
          <w:b/>
          <w:i/>
        </w:rPr>
        <w:t xml:space="preserve">solvency amount </w:t>
      </w:r>
      <w:r w:rsidRPr="00583E1A">
        <w:t xml:space="preserve">means the solvency amount (within the meaning of subsection 446(4) of the </w:t>
      </w:r>
      <w:r w:rsidRPr="00583E1A">
        <w:rPr>
          <w:i/>
        </w:rPr>
        <w:t>Income Tax Assessment Act 1936</w:t>
      </w:r>
      <w:r w:rsidRPr="00583E1A">
        <w:t>) of the foreign company for the statutory accounting period.</w:t>
      </w:r>
    </w:p>
    <w:p w:rsidR="00887330" w:rsidRPr="00583E1A" w:rsidRDefault="00887330" w:rsidP="00887330">
      <w:pPr>
        <w:pStyle w:val="Definition"/>
      </w:pPr>
      <w:r w:rsidRPr="00583E1A">
        <w:rPr>
          <w:b/>
          <w:i/>
        </w:rPr>
        <w:t xml:space="preserve">tainted outstanding claims </w:t>
      </w:r>
      <w:r w:rsidRPr="00583E1A">
        <w:t xml:space="preserve">means the tainted outstanding claims (within the meaning of subsection 446(4) of the </w:t>
      </w:r>
      <w:r w:rsidRPr="00583E1A">
        <w:rPr>
          <w:i/>
        </w:rPr>
        <w:t>Income Tax Assessment Act 1936</w:t>
      </w:r>
      <w:r w:rsidRPr="00583E1A">
        <w:t>) of the foreign company for the statutory accounting period.</w:t>
      </w:r>
    </w:p>
    <w:p w:rsidR="00887330" w:rsidRPr="00583E1A" w:rsidRDefault="00887330" w:rsidP="00887330">
      <w:pPr>
        <w:pStyle w:val="Definition"/>
      </w:pPr>
      <w:r w:rsidRPr="00583E1A">
        <w:rPr>
          <w:b/>
          <w:i/>
        </w:rPr>
        <w:t xml:space="preserve">total general insurance assets </w:t>
      </w:r>
      <w:r w:rsidRPr="00583E1A">
        <w:t xml:space="preserve">means the total assets (within the meaning of subsection 446(4) of the </w:t>
      </w:r>
      <w:r w:rsidRPr="00583E1A">
        <w:rPr>
          <w:i/>
        </w:rPr>
        <w:t>Income Tax Assessment Act 1936</w:t>
      </w:r>
      <w:r w:rsidRPr="00583E1A">
        <w:t>) of the foreign company for the statutory accounting period.</w:t>
      </w:r>
    </w:p>
    <w:p w:rsidR="00061DD8" w:rsidRPr="00583E1A" w:rsidRDefault="00061DD8" w:rsidP="00CF6132">
      <w:pPr>
        <w:pStyle w:val="ActHead5"/>
      </w:pPr>
      <w:bookmarkStart w:id="17" w:name="_Toc338939091"/>
      <w:r w:rsidRPr="00583E1A">
        <w:rPr>
          <w:rStyle w:val="CharSectno"/>
        </w:rPr>
        <w:lastRenderedPageBreak/>
        <w:t>768</w:t>
      </w:r>
      <w:r w:rsidR="00583E1A">
        <w:rPr>
          <w:rStyle w:val="CharSectno"/>
        </w:rPr>
        <w:noBreakHyphen/>
      </w:r>
      <w:r w:rsidRPr="00583E1A">
        <w:rPr>
          <w:rStyle w:val="CharSectno"/>
        </w:rPr>
        <w:t>533</w:t>
      </w:r>
      <w:r w:rsidRPr="00583E1A">
        <w:t xml:space="preserve">  Foreign company that is a FIF using CFC calculation method—treatment as AFI subsidiary under this Subdivision</w:t>
      </w:r>
      <w:bookmarkEnd w:id="17"/>
    </w:p>
    <w:p w:rsidR="00672FD5" w:rsidRPr="008706AC" w:rsidRDefault="00672FD5" w:rsidP="00CF6132">
      <w:pPr>
        <w:pStyle w:val="subsection"/>
        <w:keepNext/>
        <w:keepLines/>
      </w:pPr>
      <w:r w:rsidRPr="008706AC">
        <w:tab/>
        <w:t>(1)</w:t>
      </w:r>
      <w:r w:rsidRPr="008706AC">
        <w:tab/>
        <w:t>This section applies if:</w:t>
      </w:r>
    </w:p>
    <w:p w:rsidR="00672FD5" w:rsidRPr="008706AC" w:rsidRDefault="00672FD5" w:rsidP="00CF6132">
      <w:pPr>
        <w:pStyle w:val="paragraph"/>
        <w:keepNext/>
        <w:keepLines/>
      </w:pPr>
      <w:r w:rsidRPr="008706AC">
        <w:tab/>
        <w:t>(a)</w:t>
      </w:r>
      <w:r w:rsidRPr="008706AC">
        <w:tab/>
        <w:t xml:space="preserve">the foreign company is a FIF (within the meaning of former section 481 of the </w:t>
      </w:r>
      <w:r w:rsidRPr="008706AC">
        <w:rPr>
          <w:i/>
        </w:rPr>
        <w:t>Income Tax Assessment Act 1936</w:t>
      </w:r>
      <w:r w:rsidRPr="008706AC">
        <w:t>); and</w:t>
      </w:r>
    </w:p>
    <w:p w:rsidR="00672FD5" w:rsidRPr="008706AC" w:rsidRDefault="00672FD5" w:rsidP="00CF6132">
      <w:pPr>
        <w:pStyle w:val="paragraph"/>
        <w:keepNext/>
        <w:keepLines/>
      </w:pPr>
      <w:r w:rsidRPr="008706AC">
        <w:tab/>
        <w:t>(b)</w:t>
      </w:r>
      <w:r w:rsidRPr="008706AC">
        <w:tab/>
        <w:t xml:space="preserve">the holding company has made a choice under former subsection 559A(1) of the </w:t>
      </w:r>
      <w:r w:rsidRPr="008706AC">
        <w:rPr>
          <w:i/>
        </w:rPr>
        <w:t>Income Tax Assessment Act 1936</w:t>
      </w:r>
      <w:r w:rsidRPr="008706AC">
        <w:t xml:space="preserve"> in relation to the foreign company in respect of a notional accounting period (within the meaning of former section 486 of that Act) of the foreign company that ends in the 2009</w:t>
      </w:r>
      <w:r w:rsidRPr="008706AC">
        <w:noBreakHyphen/>
        <w:t>10 income year; and</w:t>
      </w:r>
    </w:p>
    <w:p w:rsidR="00672FD5" w:rsidRPr="008706AC" w:rsidRDefault="00672FD5" w:rsidP="00672FD5">
      <w:pPr>
        <w:pStyle w:val="paragraph"/>
      </w:pPr>
      <w:r w:rsidRPr="008706AC">
        <w:tab/>
        <w:t>(c)</w:t>
      </w:r>
      <w:r w:rsidRPr="008706AC">
        <w:tab/>
        <w:t>because of the choice, the foreign company has been treated under former paragraph 559A(3)(c) of that Act as an AFI subsidiary (within the meaning of that Act) in relation to that holding company; and</w:t>
      </w:r>
    </w:p>
    <w:p w:rsidR="00672FD5" w:rsidRPr="008706AC" w:rsidRDefault="00672FD5" w:rsidP="00672FD5">
      <w:pPr>
        <w:pStyle w:val="paragraph"/>
      </w:pPr>
      <w:r w:rsidRPr="008706AC">
        <w:tab/>
        <w:t>(d)</w:t>
      </w:r>
      <w:r w:rsidRPr="008706AC">
        <w:tab/>
        <w:t>the holding company makes a choice under subsection (1A) in relation to the foreign company; and</w:t>
      </w:r>
    </w:p>
    <w:p w:rsidR="00672FD5" w:rsidRPr="008706AC" w:rsidRDefault="00672FD5" w:rsidP="00672FD5">
      <w:pPr>
        <w:pStyle w:val="paragraph"/>
      </w:pPr>
      <w:r w:rsidRPr="008706AC">
        <w:tab/>
        <w:t>(e)</w:t>
      </w:r>
      <w:r w:rsidRPr="008706AC">
        <w:tab/>
        <w:t>the holding company has not failed to make a choice under that subsection for the 2010</w:t>
      </w:r>
      <w:r w:rsidRPr="008706AC">
        <w:noBreakHyphen/>
        <w:t>11 income year or any later income year.</w:t>
      </w:r>
    </w:p>
    <w:p w:rsidR="00672FD5" w:rsidRPr="008706AC" w:rsidRDefault="00672FD5" w:rsidP="00672FD5">
      <w:pPr>
        <w:pStyle w:val="subsection"/>
      </w:pPr>
      <w:r w:rsidRPr="008706AC">
        <w:tab/>
        <w:t>(1A)</w:t>
      </w:r>
      <w:r w:rsidRPr="008706AC">
        <w:tab/>
        <w:t xml:space="preserve">A holding company may make a choice under this subsection in relation to a foreign company if the holding company could have made a choice in relation to the foreign company under former section 559A of the </w:t>
      </w:r>
      <w:r w:rsidRPr="008706AC">
        <w:rPr>
          <w:i/>
        </w:rPr>
        <w:t>Income Tax Assessment Act 1936</w:t>
      </w:r>
      <w:r w:rsidRPr="008706AC">
        <w:t xml:space="preserve"> if it had not been repealed by item 37 of Schedule 1 to the </w:t>
      </w:r>
      <w:r w:rsidRPr="008706AC">
        <w:rPr>
          <w:i/>
        </w:rPr>
        <w:t>Tax Laws Amendment (Foreign Source Income Deferral) Act (No. 1) 2010</w:t>
      </w:r>
      <w:r w:rsidRPr="008706AC">
        <w:t>.</w:t>
      </w:r>
    </w:p>
    <w:p w:rsidR="00061DD8" w:rsidRPr="00583E1A" w:rsidRDefault="00061DD8" w:rsidP="00061DD8">
      <w:pPr>
        <w:pStyle w:val="subsection"/>
      </w:pPr>
      <w:r w:rsidRPr="00583E1A">
        <w:tab/>
        <w:t>(2)</w:t>
      </w:r>
      <w:r w:rsidRPr="00583E1A">
        <w:tab/>
        <w:t>For the purposes of this Subdivision, treat the foreign company as an AFI subsidiary in relation to that holding company at that time.</w:t>
      </w:r>
    </w:p>
    <w:p w:rsidR="00887330" w:rsidRPr="00583E1A" w:rsidRDefault="00887330" w:rsidP="00887330">
      <w:pPr>
        <w:pStyle w:val="ActHead5"/>
      </w:pPr>
      <w:bookmarkStart w:id="18" w:name="_Toc338939092"/>
      <w:r w:rsidRPr="00583E1A">
        <w:rPr>
          <w:rStyle w:val="CharSectno"/>
        </w:rPr>
        <w:t>768</w:t>
      </w:r>
      <w:r w:rsidR="00583E1A">
        <w:rPr>
          <w:rStyle w:val="CharSectno"/>
        </w:rPr>
        <w:noBreakHyphen/>
      </w:r>
      <w:r w:rsidRPr="00583E1A">
        <w:rPr>
          <w:rStyle w:val="CharSectno"/>
        </w:rPr>
        <w:t>535</w:t>
      </w:r>
      <w:r w:rsidRPr="00583E1A">
        <w:t xml:space="preserve">  Modified rules for foreign wholly</w:t>
      </w:r>
      <w:r w:rsidR="00583E1A">
        <w:noBreakHyphen/>
      </w:r>
      <w:r w:rsidRPr="00583E1A">
        <w:t>owned groups</w:t>
      </w:r>
      <w:bookmarkEnd w:id="18"/>
    </w:p>
    <w:p w:rsidR="00887330" w:rsidRPr="00583E1A" w:rsidRDefault="00887330" w:rsidP="00887330">
      <w:pPr>
        <w:pStyle w:val="subsection"/>
      </w:pPr>
      <w:r w:rsidRPr="00583E1A">
        <w:tab/>
        <w:t>(1)</w:t>
      </w:r>
      <w:r w:rsidRPr="00583E1A">
        <w:tab/>
        <w:t>This section applies if:</w:t>
      </w:r>
    </w:p>
    <w:p w:rsidR="00887330" w:rsidRPr="00583E1A" w:rsidRDefault="00887330" w:rsidP="00887330">
      <w:pPr>
        <w:pStyle w:val="paragraph"/>
      </w:pPr>
      <w:r w:rsidRPr="00583E1A">
        <w:tab/>
        <w:t>(a)</w:t>
      </w:r>
      <w:r w:rsidRPr="00583E1A">
        <w:tab/>
        <w:t>for the purposes of section</w:t>
      </w:r>
      <w:r w:rsidR="00583E1A">
        <w:t> </w:t>
      </w:r>
      <w:r w:rsidRPr="00583E1A">
        <w:t>768</w:t>
      </w:r>
      <w:r w:rsidR="00583E1A">
        <w:noBreakHyphen/>
      </w:r>
      <w:r w:rsidRPr="00583E1A">
        <w:t xml:space="preserve">505, it is necessary to work out the </w:t>
      </w:r>
      <w:r w:rsidR="00583E1A" w:rsidRPr="00583E1A">
        <w:rPr>
          <w:position w:val="6"/>
          <w:sz w:val="16"/>
        </w:rPr>
        <w:t>*</w:t>
      </w:r>
      <w:r w:rsidRPr="00583E1A">
        <w:t xml:space="preserve">active foreign business asset percentage of a company (the </w:t>
      </w:r>
      <w:r w:rsidRPr="00583E1A">
        <w:rPr>
          <w:b/>
          <w:i/>
        </w:rPr>
        <w:t>top foreign company</w:t>
      </w:r>
      <w:r w:rsidRPr="00583E1A">
        <w:t xml:space="preserve">) in relation to the holding </w:t>
      </w:r>
      <w:r w:rsidRPr="00583E1A">
        <w:lastRenderedPageBreak/>
        <w:t>company mentioned in that section, at the time of the CGT event mentioned in that section; and</w:t>
      </w:r>
    </w:p>
    <w:p w:rsidR="00887330" w:rsidRPr="00583E1A" w:rsidRDefault="00887330" w:rsidP="00887330">
      <w:pPr>
        <w:pStyle w:val="paragraph"/>
      </w:pPr>
      <w:r w:rsidRPr="00583E1A">
        <w:tab/>
        <w:t>(b)</w:t>
      </w:r>
      <w:r w:rsidRPr="00583E1A">
        <w:tab/>
        <w:t xml:space="preserve">the top foreign company is </w:t>
      </w:r>
      <w:r w:rsidRPr="00583E1A">
        <w:rPr>
          <w:i/>
        </w:rPr>
        <w:t>not</w:t>
      </w:r>
      <w:r w:rsidRPr="00583E1A">
        <w:t>:</w:t>
      </w:r>
    </w:p>
    <w:p w:rsidR="00887330" w:rsidRPr="00583E1A" w:rsidRDefault="00887330" w:rsidP="00887330">
      <w:pPr>
        <w:pStyle w:val="paragraphsub"/>
      </w:pPr>
      <w:r w:rsidRPr="00583E1A">
        <w:rPr>
          <w:i/>
        </w:rPr>
        <w:tab/>
      </w:r>
      <w:r w:rsidRPr="00583E1A">
        <w:t>(i)</w:t>
      </w:r>
      <w:r w:rsidRPr="00583E1A">
        <w:tab/>
        <w:t>an AFI subsidiary (within the meaning of Part</w:t>
      </w:r>
      <w:r w:rsidR="00583E1A">
        <w:t> </w:t>
      </w:r>
      <w:r w:rsidRPr="00583E1A">
        <w:t xml:space="preserve">X of the </w:t>
      </w:r>
      <w:r w:rsidRPr="00583E1A">
        <w:rPr>
          <w:i/>
        </w:rPr>
        <w:t>Income Tax Assessment Act 1936</w:t>
      </w:r>
      <w:r w:rsidRPr="00583E1A">
        <w:t>); or</w:t>
      </w:r>
    </w:p>
    <w:p w:rsidR="00887330" w:rsidRPr="00583E1A" w:rsidRDefault="00887330" w:rsidP="00887330">
      <w:pPr>
        <w:pStyle w:val="paragraphsub"/>
      </w:pPr>
      <w:r w:rsidRPr="00583E1A">
        <w:rPr>
          <w:i/>
        </w:rPr>
        <w:tab/>
      </w:r>
      <w:r w:rsidRPr="00583E1A">
        <w:t>(ii)</w:t>
      </w:r>
      <w:r w:rsidRPr="00583E1A">
        <w:tab/>
        <w:t xml:space="preserve">a </w:t>
      </w:r>
      <w:r w:rsidR="00583E1A" w:rsidRPr="00583E1A">
        <w:rPr>
          <w:position w:val="6"/>
          <w:sz w:val="16"/>
        </w:rPr>
        <w:t>*</w:t>
      </w:r>
      <w:r w:rsidRPr="00583E1A">
        <w:t>foreign life insurance company; or</w:t>
      </w:r>
    </w:p>
    <w:p w:rsidR="00887330" w:rsidRPr="00583E1A" w:rsidRDefault="00887330" w:rsidP="00887330">
      <w:pPr>
        <w:pStyle w:val="paragraphsub"/>
      </w:pPr>
      <w:r w:rsidRPr="00583E1A">
        <w:tab/>
        <w:t>(iii)</w:t>
      </w:r>
      <w:r w:rsidRPr="00583E1A">
        <w:tab/>
        <w:t xml:space="preserve">a </w:t>
      </w:r>
      <w:r w:rsidR="00583E1A" w:rsidRPr="00583E1A">
        <w:rPr>
          <w:position w:val="6"/>
          <w:sz w:val="16"/>
        </w:rPr>
        <w:t>*</w:t>
      </w:r>
      <w:r w:rsidRPr="00583E1A">
        <w:t>foreign general insurance company; and</w:t>
      </w:r>
    </w:p>
    <w:p w:rsidR="00887330" w:rsidRPr="00583E1A" w:rsidRDefault="00887330" w:rsidP="00887330">
      <w:pPr>
        <w:pStyle w:val="paragraph"/>
      </w:pPr>
      <w:r w:rsidRPr="00583E1A">
        <w:tab/>
        <w:t>(c)</w:t>
      </w:r>
      <w:r w:rsidRPr="00583E1A">
        <w:tab/>
        <w:t>for the purposes of section</w:t>
      </w:r>
      <w:r w:rsidR="00583E1A">
        <w:t> </w:t>
      </w:r>
      <w:r w:rsidRPr="00583E1A">
        <w:t>768</w:t>
      </w:r>
      <w:r w:rsidR="00583E1A">
        <w:noBreakHyphen/>
      </w:r>
      <w:r w:rsidRPr="00583E1A">
        <w:t>505, it is also necessary (apart from this section) to work out the active foreign business asset percentage at that time of 1 or more other companies in relation to the holding company, at that time, where:</w:t>
      </w:r>
    </w:p>
    <w:p w:rsidR="00887330" w:rsidRPr="00583E1A" w:rsidRDefault="00887330" w:rsidP="00887330">
      <w:pPr>
        <w:pStyle w:val="paragraphsub"/>
      </w:pPr>
      <w:r w:rsidRPr="00583E1A">
        <w:tab/>
        <w:t>(i)</w:t>
      </w:r>
      <w:r w:rsidRPr="00583E1A">
        <w:tab/>
        <w:t xml:space="preserve">the top foreign company and 1 or more of those other companies (the </w:t>
      </w:r>
      <w:r w:rsidRPr="00583E1A">
        <w:rPr>
          <w:b/>
          <w:i/>
        </w:rPr>
        <w:t>subsidiary foreign companies</w:t>
      </w:r>
      <w:r w:rsidRPr="00583E1A">
        <w:t xml:space="preserve">) are members of a </w:t>
      </w:r>
      <w:r w:rsidR="00583E1A" w:rsidRPr="00583E1A">
        <w:rPr>
          <w:position w:val="6"/>
          <w:sz w:val="16"/>
        </w:rPr>
        <w:t>*</w:t>
      </w:r>
      <w:r w:rsidRPr="00583E1A">
        <w:t>wholly</w:t>
      </w:r>
      <w:r w:rsidR="00583E1A">
        <w:noBreakHyphen/>
      </w:r>
      <w:r w:rsidRPr="00583E1A">
        <w:t>owned group; and</w:t>
      </w:r>
    </w:p>
    <w:p w:rsidR="00887330" w:rsidRPr="00583E1A" w:rsidRDefault="00887330" w:rsidP="00887330">
      <w:pPr>
        <w:pStyle w:val="paragraphsub"/>
      </w:pPr>
      <w:r w:rsidRPr="00583E1A">
        <w:tab/>
        <w:t>(ii)</w:t>
      </w:r>
      <w:r w:rsidRPr="00583E1A">
        <w:tab/>
        <w:t xml:space="preserve">each of the subsidiary foreign companies is a </w:t>
      </w:r>
      <w:r w:rsidR="00583E1A" w:rsidRPr="00583E1A">
        <w:rPr>
          <w:position w:val="6"/>
          <w:sz w:val="16"/>
        </w:rPr>
        <w:t>*</w:t>
      </w:r>
      <w:r w:rsidRPr="00583E1A">
        <w:t>100% subsidiary of the top foreign company.</w:t>
      </w:r>
    </w:p>
    <w:p w:rsidR="00887330" w:rsidRPr="00583E1A" w:rsidRDefault="00887330" w:rsidP="00887330">
      <w:pPr>
        <w:pStyle w:val="subsection"/>
      </w:pPr>
      <w:r w:rsidRPr="00583E1A">
        <w:tab/>
        <w:t>(2)</w:t>
      </w:r>
      <w:r w:rsidRPr="00583E1A">
        <w:tab/>
        <w:t xml:space="preserve">The holding company may choose to work out the </w:t>
      </w:r>
      <w:r w:rsidR="00583E1A" w:rsidRPr="00583E1A">
        <w:rPr>
          <w:position w:val="6"/>
          <w:sz w:val="16"/>
        </w:rPr>
        <w:t>*</w:t>
      </w:r>
      <w:r w:rsidRPr="00583E1A">
        <w:t xml:space="preserve">active foreign business asset percentage of the top foreign company in accordance with </w:t>
      </w:r>
      <w:r w:rsidR="00583E1A">
        <w:t>subsections (</w:t>
      </w:r>
      <w:r w:rsidRPr="00583E1A">
        <w:t>4) and (6).</w:t>
      </w:r>
    </w:p>
    <w:p w:rsidR="00887330" w:rsidRPr="00583E1A" w:rsidRDefault="00887330" w:rsidP="00887330">
      <w:pPr>
        <w:pStyle w:val="subsection"/>
      </w:pPr>
      <w:r w:rsidRPr="00583E1A">
        <w:tab/>
        <w:t>(3)</w:t>
      </w:r>
      <w:r w:rsidRPr="00583E1A">
        <w:tab/>
        <w:t xml:space="preserve">The way an entity making a choice under </w:t>
      </w:r>
      <w:r w:rsidR="00583E1A">
        <w:t>subsection (</w:t>
      </w:r>
      <w:r w:rsidRPr="00583E1A">
        <w:t xml:space="preserve">2) prepares its </w:t>
      </w:r>
      <w:r w:rsidR="00583E1A" w:rsidRPr="00583E1A">
        <w:rPr>
          <w:position w:val="6"/>
          <w:sz w:val="16"/>
        </w:rPr>
        <w:t>*</w:t>
      </w:r>
      <w:r w:rsidRPr="00583E1A">
        <w:t>income tax return is sufficient evidence of the making of the choice.</w:t>
      </w:r>
    </w:p>
    <w:p w:rsidR="00887330" w:rsidRPr="00583E1A" w:rsidRDefault="00887330" w:rsidP="00887330">
      <w:pPr>
        <w:pStyle w:val="subsection"/>
        <w:rPr>
          <w:color w:val="000000"/>
        </w:rPr>
      </w:pPr>
      <w:r w:rsidRPr="00583E1A">
        <w:tab/>
        <w:t>(4)</w:t>
      </w:r>
      <w:r w:rsidRPr="00583E1A">
        <w:tab/>
        <w:t xml:space="preserve">If the holding company has made a choice under </w:t>
      </w:r>
      <w:r w:rsidR="00583E1A">
        <w:t>subsection (</w:t>
      </w:r>
      <w:r w:rsidRPr="00583E1A">
        <w:t xml:space="preserve">2), </w:t>
      </w:r>
      <w:r w:rsidRPr="00583E1A">
        <w:rPr>
          <w:color w:val="000000"/>
        </w:rPr>
        <w:t xml:space="preserve">the provisions mentioned in </w:t>
      </w:r>
      <w:r w:rsidR="00583E1A">
        <w:rPr>
          <w:color w:val="000000"/>
        </w:rPr>
        <w:t>subsection (</w:t>
      </w:r>
      <w:r w:rsidRPr="00583E1A">
        <w:rPr>
          <w:color w:val="000000"/>
        </w:rPr>
        <w:t>5) operate, for the purposes</w:t>
      </w:r>
      <w:r w:rsidRPr="00583E1A">
        <w:t xml:space="preserve"> of section</w:t>
      </w:r>
      <w:r w:rsidR="00583E1A">
        <w:t> </w:t>
      </w:r>
      <w:r w:rsidRPr="00583E1A">
        <w:t>768</w:t>
      </w:r>
      <w:r w:rsidR="00583E1A">
        <w:noBreakHyphen/>
      </w:r>
      <w:r w:rsidRPr="00583E1A">
        <w:t>505</w:t>
      </w:r>
      <w:r w:rsidRPr="00583E1A">
        <w:rPr>
          <w:color w:val="000000"/>
        </w:rPr>
        <w:t>, as if each subsidiary foreign company were a part of the top foreign company, rather than a separate entity.</w:t>
      </w:r>
    </w:p>
    <w:p w:rsidR="00887330" w:rsidRPr="00583E1A" w:rsidRDefault="00887330" w:rsidP="00887330">
      <w:pPr>
        <w:pStyle w:val="notetext"/>
        <w:rPr>
          <w:color w:val="000000"/>
        </w:rPr>
      </w:pPr>
      <w:r w:rsidRPr="00583E1A">
        <w:rPr>
          <w:color w:val="000000"/>
        </w:rPr>
        <w:t>Note 1:</w:t>
      </w:r>
      <w:r w:rsidRPr="00583E1A">
        <w:rPr>
          <w:color w:val="000000"/>
        </w:rPr>
        <w:tab/>
        <w:t xml:space="preserve">This subsection means that certain assets </w:t>
      </w:r>
      <w:r w:rsidRPr="00583E1A">
        <w:t xml:space="preserve">are not treated as active foreign business assets, or as assets included in the total assets, of any of the subsidiary foreign companies or of the top foreign company. For </w:t>
      </w:r>
      <w:r w:rsidRPr="00583E1A">
        <w:rPr>
          <w:color w:val="000000"/>
        </w:rPr>
        <w:t>example:</w:t>
      </w:r>
    </w:p>
    <w:p w:rsidR="00887330" w:rsidRPr="00583E1A" w:rsidRDefault="00887330" w:rsidP="008F1666">
      <w:pPr>
        <w:pStyle w:val="notepara"/>
        <w:spacing w:before="40"/>
        <w:ind w:left="2354" w:hanging="369"/>
      </w:pPr>
      <w:r w:rsidRPr="00583E1A">
        <w:t>(a)</w:t>
      </w:r>
      <w:r w:rsidRPr="00583E1A">
        <w:tab/>
        <w:t>a share owned by one of those companies in another of those companies; and</w:t>
      </w:r>
    </w:p>
    <w:p w:rsidR="00887330" w:rsidRPr="00583E1A" w:rsidRDefault="00887330" w:rsidP="008F1666">
      <w:pPr>
        <w:pStyle w:val="notepara"/>
        <w:spacing w:before="40"/>
        <w:ind w:left="2354" w:hanging="369"/>
      </w:pPr>
      <w:r w:rsidRPr="00583E1A">
        <w:t>(b)</w:t>
      </w:r>
      <w:r w:rsidRPr="00583E1A">
        <w:tab/>
        <w:t>a debt owed by one of those companies to another of those companies.</w:t>
      </w:r>
    </w:p>
    <w:p w:rsidR="00887330" w:rsidRPr="00583E1A" w:rsidRDefault="00887330" w:rsidP="002A3C7A">
      <w:pPr>
        <w:pStyle w:val="notetext"/>
        <w:keepNext/>
        <w:keepLines/>
      </w:pPr>
      <w:r w:rsidRPr="00583E1A">
        <w:rPr>
          <w:color w:val="000000"/>
        </w:rPr>
        <w:lastRenderedPageBreak/>
        <w:t>Note 2:</w:t>
      </w:r>
      <w:r w:rsidRPr="00583E1A">
        <w:rPr>
          <w:color w:val="000000"/>
        </w:rPr>
        <w:tab/>
        <w:t>If an asset (other than an asset mentioned in Note 1) is actually</w:t>
      </w:r>
      <w:r w:rsidRPr="00583E1A">
        <w:t xml:space="preserve"> an active foreign business asset, or an asset included in the total assets, of a subsidiary foreign company, it is treated under this subsection as an active foreign business asset, or as an asset included in the total assets, of the top foreign company.</w:t>
      </w:r>
    </w:p>
    <w:p w:rsidR="00887330" w:rsidRPr="00583E1A" w:rsidRDefault="00887330" w:rsidP="00887330">
      <w:pPr>
        <w:pStyle w:val="subsection"/>
      </w:pPr>
      <w:r w:rsidRPr="00583E1A">
        <w:tab/>
        <w:t>(5)</w:t>
      </w:r>
      <w:r w:rsidRPr="00583E1A">
        <w:tab/>
        <w:t xml:space="preserve">For the purposes of </w:t>
      </w:r>
      <w:r w:rsidR="00583E1A">
        <w:t>subsection (</w:t>
      </w:r>
      <w:r w:rsidRPr="00583E1A">
        <w:t>4), the provisions are:</w:t>
      </w:r>
    </w:p>
    <w:p w:rsidR="00887330" w:rsidRPr="00583E1A" w:rsidRDefault="00887330" w:rsidP="00887330">
      <w:pPr>
        <w:pStyle w:val="paragraph"/>
        <w:rPr>
          <w:color w:val="000000"/>
        </w:rPr>
      </w:pPr>
      <w:r w:rsidRPr="00583E1A">
        <w:rPr>
          <w:color w:val="000000"/>
        </w:rPr>
        <w:tab/>
        <w:t>(a)</w:t>
      </w:r>
      <w:r w:rsidRPr="00583E1A">
        <w:rPr>
          <w:color w:val="000000"/>
        </w:rPr>
        <w:tab/>
        <w:t>section</w:t>
      </w:r>
      <w:r w:rsidR="00583E1A">
        <w:rPr>
          <w:color w:val="000000"/>
        </w:rPr>
        <w:t> </w:t>
      </w:r>
      <w:r w:rsidRPr="00583E1A">
        <w:t>768</w:t>
      </w:r>
      <w:r w:rsidR="00583E1A">
        <w:noBreakHyphen/>
      </w:r>
      <w:r w:rsidRPr="00583E1A">
        <w:t>540 (active foreign business assets of a foreign company)</w:t>
      </w:r>
      <w:r w:rsidRPr="00583E1A">
        <w:rPr>
          <w:color w:val="000000"/>
        </w:rPr>
        <w:t>; and</w:t>
      </w:r>
    </w:p>
    <w:p w:rsidR="00887330" w:rsidRPr="00583E1A" w:rsidRDefault="00887330" w:rsidP="00887330">
      <w:pPr>
        <w:pStyle w:val="paragraph"/>
        <w:rPr>
          <w:color w:val="000000"/>
        </w:rPr>
      </w:pPr>
      <w:r w:rsidRPr="00583E1A">
        <w:rPr>
          <w:color w:val="000000"/>
        </w:rPr>
        <w:tab/>
        <w:t>(b)</w:t>
      </w:r>
      <w:r w:rsidRPr="00583E1A">
        <w:rPr>
          <w:color w:val="000000"/>
        </w:rPr>
        <w:tab/>
        <w:t>section</w:t>
      </w:r>
      <w:r w:rsidR="00583E1A">
        <w:rPr>
          <w:color w:val="000000"/>
        </w:rPr>
        <w:t> </w:t>
      </w:r>
      <w:r w:rsidRPr="00583E1A">
        <w:t>768</w:t>
      </w:r>
      <w:r w:rsidR="00583E1A">
        <w:noBreakHyphen/>
      </w:r>
      <w:r w:rsidRPr="00583E1A">
        <w:t>545 (assets included in the total assets of a foreign company)</w:t>
      </w:r>
      <w:r w:rsidRPr="00583E1A">
        <w:rPr>
          <w:color w:val="000000"/>
        </w:rPr>
        <w:t>.</w:t>
      </w:r>
    </w:p>
    <w:p w:rsidR="00887330" w:rsidRPr="00583E1A" w:rsidRDefault="00887330" w:rsidP="00887330">
      <w:pPr>
        <w:pStyle w:val="subsection"/>
        <w:rPr>
          <w:color w:val="000000"/>
        </w:rPr>
      </w:pPr>
      <w:r w:rsidRPr="00583E1A">
        <w:tab/>
        <w:t>(6)</w:t>
      </w:r>
      <w:r w:rsidRPr="00583E1A">
        <w:tab/>
        <w:t xml:space="preserve">If the holding company has made a choice under </w:t>
      </w:r>
      <w:r w:rsidR="00583E1A">
        <w:t>subsection (</w:t>
      </w:r>
      <w:r w:rsidRPr="00583E1A">
        <w:t>2), then for the purposes of sections</w:t>
      </w:r>
      <w:r w:rsidR="00583E1A">
        <w:t> </w:t>
      </w:r>
      <w:r w:rsidRPr="00583E1A">
        <w:t>768</w:t>
      </w:r>
      <w:r w:rsidR="00583E1A">
        <w:noBreakHyphen/>
      </w:r>
      <w:r w:rsidRPr="00583E1A">
        <w:t>510 and 768</w:t>
      </w:r>
      <w:r w:rsidR="00583E1A">
        <w:noBreakHyphen/>
      </w:r>
      <w:r w:rsidRPr="00583E1A">
        <w:t xml:space="preserve">525, treat the </w:t>
      </w:r>
      <w:r w:rsidR="00583E1A" w:rsidRPr="00583E1A">
        <w:rPr>
          <w:position w:val="6"/>
          <w:sz w:val="16"/>
        </w:rPr>
        <w:t>*</w:t>
      </w:r>
      <w:r w:rsidRPr="00583E1A">
        <w:t xml:space="preserve">recognised consolidated accounts of the top foreign company and all of the subsidiary foreign companies as the </w:t>
      </w:r>
      <w:r w:rsidR="00583E1A" w:rsidRPr="00583E1A">
        <w:rPr>
          <w:position w:val="6"/>
          <w:sz w:val="16"/>
        </w:rPr>
        <w:t>*</w:t>
      </w:r>
      <w:r w:rsidRPr="00583E1A">
        <w:t>recognised company accounts of the top foreign company.</w:t>
      </w:r>
    </w:p>
    <w:p w:rsidR="00887330" w:rsidRPr="00583E1A" w:rsidRDefault="00887330" w:rsidP="00887330">
      <w:pPr>
        <w:pStyle w:val="ActHead4"/>
      </w:pPr>
      <w:bookmarkStart w:id="19" w:name="_Toc338939093"/>
      <w:r w:rsidRPr="00583E1A">
        <w:t>Types of assets of a foreign company</w:t>
      </w:r>
      <w:bookmarkEnd w:id="19"/>
    </w:p>
    <w:p w:rsidR="00887330" w:rsidRPr="00583E1A" w:rsidRDefault="00887330" w:rsidP="00887330">
      <w:pPr>
        <w:pStyle w:val="ActHead5"/>
      </w:pPr>
      <w:bookmarkStart w:id="20" w:name="_Toc338939094"/>
      <w:r w:rsidRPr="00583E1A">
        <w:rPr>
          <w:rStyle w:val="CharSectno"/>
        </w:rPr>
        <w:t>768</w:t>
      </w:r>
      <w:r w:rsidR="00583E1A">
        <w:rPr>
          <w:rStyle w:val="CharSectno"/>
        </w:rPr>
        <w:noBreakHyphen/>
      </w:r>
      <w:r w:rsidRPr="00583E1A">
        <w:rPr>
          <w:rStyle w:val="CharSectno"/>
        </w:rPr>
        <w:t>540</w:t>
      </w:r>
      <w:r w:rsidRPr="00583E1A">
        <w:t xml:space="preserve">  Active foreign business assets of a foreign company</w:t>
      </w:r>
      <w:bookmarkEnd w:id="20"/>
    </w:p>
    <w:p w:rsidR="00887330" w:rsidRPr="00583E1A" w:rsidRDefault="00887330" w:rsidP="00887330">
      <w:pPr>
        <w:pStyle w:val="subsection"/>
      </w:pPr>
      <w:r w:rsidRPr="00583E1A">
        <w:tab/>
        <w:t>(1)</w:t>
      </w:r>
      <w:r w:rsidRPr="00583E1A">
        <w:tab/>
        <w:t xml:space="preserve">An asset is, at a particular time, an </w:t>
      </w:r>
      <w:r w:rsidRPr="00583E1A">
        <w:rPr>
          <w:b/>
          <w:i/>
        </w:rPr>
        <w:t xml:space="preserve">active foreign business asset </w:t>
      </w:r>
      <w:r w:rsidRPr="00583E1A">
        <w:t xml:space="preserve">of a company (the </w:t>
      </w:r>
      <w:r w:rsidRPr="00583E1A">
        <w:rPr>
          <w:b/>
          <w:i/>
        </w:rPr>
        <w:t>foreign company</w:t>
      </w:r>
      <w:r w:rsidRPr="00583E1A">
        <w:t>) that is a foreign resident if, at that time:</w:t>
      </w:r>
    </w:p>
    <w:p w:rsidR="00887330" w:rsidRPr="00583E1A" w:rsidRDefault="00887330" w:rsidP="00887330">
      <w:pPr>
        <w:pStyle w:val="paragraph"/>
      </w:pPr>
      <w:r w:rsidRPr="00583E1A">
        <w:tab/>
        <w:t>(a)</w:t>
      </w:r>
      <w:r w:rsidRPr="00583E1A">
        <w:tab/>
        <w:t xml:space="preserve">the asset is an </w:t>
      </w:r>
      <w:r w:rsidR="00583E1A" w:rsidRPr="00583E1A">
        <w:rPr>
          <w:position w:val="6"/>
          <w:sz w:val="16"/>
        </w:rPr>
        <w:t>*</w:t>
      </w:r>
      <w:r w:rsidRPr="00583E1A">
        <w:t>asset included in the total assets of the company; and</w:t>
      </w:r>
    </w:p>
    <w:p w:rsidR="00887330" w:rsidRPr="00583E1A" w:rsidRDefault="00887330" w:rsidP="00887330">
      <w:pPr>
        <w:pStyle w:val="paragraph"/>
      </w:pPr>
      <w:r w:rsidRPr="00583E1A">
        <w:tab/>
        <w:t>(b)</w:t>
      </w:r>
      <w:r w:rsidRPr="00583E1A">
        <w:tab/>
        <w:t>the asset satisfies any of these conditions:</w:t>
      </w:r>
    </w:p>
    <w:p w:rsidR="00887330" w:rsidRPr="00583E1A" w:rsidRDefault="00887330" w:rsidP="00887330">
      <w:pPr>
        <w:pStyle w:val="paragraphsub"/>
      </w:pPr>
      <w:r w:rsidRPr="00583E1A">
        <w:tab/>
        <w:t>(i)</w:t>
      </w:r>
      <w:r w:rsidRPr="00583E1A">
        <w:tab/>
        <w:t xml:space="preserve">the asset is used, or held ready for use, by the company in the course of carrying on a </w:t>
      </w:r>
      <w:r w:rsidR="00583E1A" w:rsidRPr="00583E1A">
        <w:rPr>
          <w:position w:val="6"/>
          <w:sz w:val="16"/>
        </w:rPr>
        <w:t>*</w:t>
      </w:r>
      <w:r w:rsidRPr="00583E1A">
        <w:t>business;</w:t>
      </w:r>
    </w:p>
    <w:p w:rsidR="00887330" w:rsidRPr="00583E1A" w:rsidRDefault="00887330" w:rsidP="00887330">
      <w:pPr>
        <w:pStyle w:val="paragraphsub"/>
      </w:pPr>
      <w:r w:rsidRPr="00583E1A">
        <w:tab/>
        <w:t>(ii)</w:t>
      </w:r>
      <w:r w:rsidRPr="00583E1A">
        <w:tab/>
        <w:t>the asset is goodwill;</w:t>
      </w:r>
    </w:p>
    <w:p w:rsidR="00887330" w:rsidRPr="00583E1A" w:rsidRDefault="00887330" w:rsidP="00887330">
      <w:pPr>
        <w:pStyle w:val="paragraphsub"/>
      </w:pPr>
      <w:r w:rsidRPr="00583E1A">
        <w:tab/>
        <w:t>(iii)</w:t>
      </w:r>
      <w:r w:rsidRPr="00583E1A">
        <w:tab/>
        <w:t xml:space="preserve">the asset is a </w:t>
      </w:r>
      <w:r w:rsidR="00583E1A" w:rsidRPr="00583E1A">
        <w:rPr>
          <w:position w:val="6"/>
          <w:sz w:val="16"/>
        </w:rPr>
        <w:t>*</w:t>
      </w:r>
      <w:r w:rsidRPr="00583E1A">
        <w:t>share; and</w:t>
      </w:r>
    </w:p>
    <w:p w:rsidR="00290C3C" w:rsidRPr="00583E1A" w:rsidRDefault="00290C3C" w:rsidP="00290C3C">
      <w:pPr>
        <w:pStyle w:val="paragraph"/>
      </w:pPr>
      <w:r w:rsidRPr="00583E1A">
        <w:tab/>
        <w:t>(c)</w:t>
      </w:r>
      <w:r w:rsidRPr="00583E1A">
        <w:tab/>
        <w:t xml:space="preserve">the asset is </w:t>
      </w:r>
      <w:r w:rsidRPr="00583E1A">
        <w:rPr>
          <w:i/>
        </w:rPr>
        <w:t xml:space="preserve">not </w:t>
      </w:r>
      <w:r w:rsidRPr="00583E1A">
        <w:t>any of the following:</w:t>
      </w:r>
    </w:p>
    <w:p w:rsidR="00290C3C" w:rsidRPr="00583E1A" w:rsidRDefault="00290C3C" w:rsidP="00290C3C">
      <w:pPr>
        <w:pStyle w:val="paragraphsub"/>
      </w:pPr>
      <w:r w:rsidRPr="00583E1A">
        <w:tab/>
        <w:t>(i)</w:t>
      </w:r>
      <w:r w:rsidRPr="00583E1A">
        <w:tab/>
      </w:r>
      <w:r w:rsidR="00583E1A" w:rsidRPr="00583E1A">
        <w:rPr>
          <w:position w:val="6"/>
          <w:sz w:val="16"/>
        </w:rPr>
        <w:t>*</w:t>
      </w:r>
      <w:r w:rsidRPr="00583E1A">
        <w:t>taxable Australian property;</w:t>
      </w:r>
    </w:p>
    <w:p w:rsidR="00290C3C" w:rsidRPr="00583E1A" w:rsidRDefault="00290C3C" w:rsidP="00290C3C">
      <w:pPr>
        <w:pStyle w:val="paragraphsub"/>
      </w:pPr>
      <w:r w:rsidRPr="00583E1A">
        <w:tab/>
        <w:t>(ii)</w:t>
      </w:r>
      <w:r w:rsidRPr="00583E1A">
        <w:tab/>
        <w:t xml:space="preserve">a </w:t>
      </w:r>
      <w:r w:rsidR="00583E1A" w:rsidRPr="00583E1A">
        <w:rPr>
          <w:position w:val="6"/>
          <w:sz w:val="16"/>
        </w:rPr>
        <w:t>*</w:t>
      </w:r>
      <w:r w:rsidRPr="00583E1A">
        <w:t>membership interest in a company that is an Australian resident;</w:t>
      </w:r>
    </w:p>
    <w:p w:rsidR="00290C3C" w:rsidRPr="00583E1A" w:rsidRDefault="00290C3C" w:rsidP="00290C3C">
      <w:pPr>
        <w:pStyle w:val="paragraphsub"/>
      </w:pPr>
      <w:r w:rsidRPr="00583E1A">
        <w:tab/>
        <w:t>(iii)</w:t>
      </w:r>
      <w:r w:rsidRPr="00583E1A">
        <w:tab/>
        <w:t xml:space="preserve">a membership interest in a </w:t>
      </w:r>
      <w:r w:rsidR="00583E1A" w:rsidRPr="00583E1A">
        <w:rPr>
          <w:position w:val="6"/>
          <w:sz w:val="16"/>
        </w:rPr>
        <w:t>*</w:t>
      </w:r>
      <w:r w:rsidRPr="00583E1A">
        <w:t>resident trust for CGT purposes;</w:t>
      </w:r>
    </w:p>
    <w:p w:rsidR="00290C3C" w:rsidRPr="00583E1A" w:rsidRDefault="00290C3C" w:rsidP="00290C3C">
      <w:pPr>
        <w:pStyle w:val="paragraphsub"/>
      </w:pPr>
      <w:r w:rsidRPr="00583E1A">
        <w:tab/>
        <w:t>(iv)</w:t>
      </w:r>
      <w:r w:rsidRPr="00583E1A">
        <w:tab/>
        <w:t xml:space="preserve">an option or right to acquire a membership interest mentioned in </w:t>
      </w:r>
      <w:r w:rsidR="00583E1A">
        <w:t>subparagraph (</w:t>
      </w:r>
      <w:r w:rsidRPr="00583E1A">
        <w:t>ii) or (iii); and</w:t>
      </w:r>
    </w:p>
    <w:p w:rsidR="00887330" w:rsidRPr="00583E1A" w:rsidRDefault="00887330" w:rsidP="00887330">
      <w:pPr>
        <w:pStyle w:val="paragraph"/>
      </w:pPr>
      <w:r w:rsidRPr="00583E1A">
        <w:lastRenderedPageBreak/>
        <w:tab/>
        <w:t>(d)</w:t>
      </w:r>
      <w:r w:rsidRPr="00583E1A">
        <w:tab/>
        <w:t xml:space="preserve">the asset is </w:t>
      </w:r>
      <w:r w:rsidRPr="00583E1A">
        <w:rPr>
          <w:i/>
        </w:rPr>
        <w:t xml:space="preserve">not </w:t>
      </w:r>
      <w:r w:rsidRPr="00583E1A">
        <w:t xml:space="preserve">covered by </w:t>
      </w:r>
      <w:r w:rsidR="00583E1A">
        <w:t>subsection (</w:t>
      </w:r>
      <w:r w:rsidRPr="00583E1A">
        <w:t>2); and</w:t>
      </w:r>
    </w:p>
    <w:p w:rsidR="00887330" w:rsidRPr="00583E1A" w:rsidRDefault="00887330" w:rsidP="00887330">
      <w:pPr>
        <w:pStyle w:val="paragraph"/>
      </w:pPr>
      <w:r w:rsidRPr="00583E1A">
        <w:tab/>
        <w:t>(e)</w:t>
      </w:r>
      <w:r w:rsidRPr="00583E1A">
        <w:tab/>
        <w:t>if the foreign company is an AFI subsidiary (within the meaning of Part</w:t>
      </w:r>
      <w:r w:rsidR="00583E1A">
        <w:t> </w:t>
      </w:r>
      <w:r w:rsidRPr="00583E1A">
        <w:t xml:space="preserve">X of the </w:t>
      </w:r>
      <w:r w:rsidRPr="00583E1A">
        <w:rPr>
          <w:i/>
        </w:rPr>
        <w:t>Income Tax Assessment Act 1936</w:t>
      </w:r>
      <w:r w:rsidRPr="00583E1A">
        <w:t xml:space="preserve">) whose sole or principal business is financial intermediary business—the asset is </w:t>
      </w:r>
      <w:r w:rsidRPr="00583E1A">
        <w:rPr>
          <w:i/>
        </w:rPr>
        <w:t>not</w:t>
      </w:r>
      <w:r w:rsidRPr="00583E1A">
        <w:t xml:space="preserve"> covered under </w:t>
      </w:r>
      <w:r w:rsidR="00583E1A">
        <w:t>subsection (</w:t>
      </w:r>
      <w:r w:rsidRPr="00583E1A">
        <w:t>4).</w:t>
      </w:r>
    </w:p>
    <w:p w:rsidR="00887330" w:rsidRPr="00583E1A" w:rsidRDefault="00887330" w:rsidP="00887330">
      <w:pPr>
        <w:pStyle w:val="subsection"/>
      </w:pPr>
      <w:r w:rsidRPr="00583E1A">
        <w:tab/>
        <w:t>(2)</w:t>
      </w:r>
      <w:r w:rsidRPr="00583E1A">
        <w:tab/>
        <w:t>An asset is covered by this subsection if it is:</w:t>
      </w:r>
    </w:p>
    <w:p w:rsidR="00887330" w:rsidRPr="00583E1A" w:rsidRDefault="00887330" w:rsidP="00887330">
      <w:pPr>
        <w:pStyle w:val="paragraph"/>
      </w:pPr>
      <w:r w:rsidRPr="00583E1A">
        <w:tab/>
        <w:t>(a)</w:t>
      </w:r>
      <w:r w:rsidRPr="00583E1A">
        <w:tab/>
        <w:t xml:space="preserve">a financial instrument (other than a </w:t>
      </w:r>
      <w:r w:rsidR="00583E1A" w:rsidRPr="00583E1A">
        <w:rPr>
          <w:position w:val="6"/>
          <w:sz w:val="16"/>
        </w:rPr>
        <w:t>*</w:t>
      </w:r>
      <w:r w:rsidRPr="00583E1A">
        <w:t>share or a trade debt); or</w:t>
      </w:r>
    </w:p>
    <w:p w:rsidR="00887330" w:rsidRPr="00583E1A" w:rsidRDefault="00887330" w:rsidP="00887330">
      <w:pPr>
        <w:pStyle w:val="paragraph"/>
      </w:pPr>
      <w:r w:rsidRPr="00583E1A">
        <w:tab/>
        <w:t>(b)</w:t>
      </w:r>
      <w:r w:rsidRPr="00583E1A">
        <w:tab/>
        <w:t>either:</w:t>
      </w:r>
    </w:p>
    <w:p w:rsidR="00887330" w:rsidRPr="00583E1A" w:rsidRDefault="00887330" w:rsidP="00887330">
      <w:pPr>
        <w:pStyle w:val="paragraphsub"/>
      </w:pPr>
      <w:r w:rsidRPr="00583E1A">
        <w:tab/>
        <w:t>(i)</w:t>
      </w:r>
      <w:r w:rsidRPr="00583E1A">
        <w:tab/>
        <w:t>an eligible finance share (within the meaning of Part</w:t>
      </w:r>
      <w:r w:rsidR="00583E1A">
        <w:t> </w:t>
      </w:r>
      <w:r w:rsidRPr="00583E1A">
        <w:t xml:space="preserve">X of the </w:t>
      </w:r>
      <w:r w:rsidRPr="00583E1A">
        <w:rPr>
          <w:i/>
        </w:rPr>
        <w:t>Income Tax Assessment Act 1936</w:t>
      </w:r>
      <w:r w:rsidRPr="00583E1A">
        <w:t>); or</w:t>
      </w:r>
    </w:p>
    <w:p w:rsidR="00887330" w:rsidRPr="00583E1A" w:rsidRDefault="00887330" w:rsidP="00887330">
      <w:pPr>
        <w:pStyle w:val="paragraphsub"/>
      </w:pPr>
      <w:r w:rsidRPr="00583E1A">
        <w:tab/>
        <w:t>(ii)</w:t>
      </w:r>
      <w:r w:rsidRPr="00583E1A">
        <w:tab/>
        <w:t>a widely distributed finance share (within the meaning of that Part); or</w:t>
      </w:r>
    </w:p>
    <w:p w:rsidR="00887330" w:rsidRPr="00583E1A" w:rsidRDefault="00887330" w:rsidP="00887330">
      <w:pPr>
        <w:pStyle w:val="paragraph"/>
      </w:pPr>
      <w:r w:rsidRPr="00583E1A">
        <w:tab/>
        <w:t>(c)</w:t>
      </w:r>
      <w:r w:rsidRPr="00583E1A">
        <w:tab/>
        <w:t xml:space="preserve">an interest in a trust or </w:t>
      </w:r>
      <w:r w:rsidR="00583E1A" w:rsidRPr="00583E1A">
        <w:rPr>
          <w:position w:val="6"/>
          <w:sz w:val="16"/>
        </w:rPr>
        <w:t>*</w:t>
      </w:r>
      <w:r w:rsidRPr="00583E1A">
        <w:t>partnership; or</w:t>
      </w:r>
    </w:p>
    <w:p w:rsidR="00887330" w:rsidRPr="00583E1A" w:rsidRDefault="00887330" w:rsidP="00887330">
      <w:pPr>
        <w:pStyle w:val="paragraph"/>
      </w:pPr>
      <w:r w:rsidRPr="00583E1A">
        <w:tab/>
        <w:t>(d)</w:t>
      </w:r>
      <w:r w:rsidRPr="00583E1A">
        <w:tab/>
        <w:t xml:space="preserve">a </w:t>
      </w:r>
      <w:r w:rsidR="00583E1A" w:rsidRPr="00583E1A">
        <w:rPr>
          <w:position w:val="6"/>
          <w:sz w:val="16"/>
        </w:rPr>
        <w:t>*</w:t>
      </w:r>
      <w:r w:rsidRPr="00583E1A">
        <w:t>life insurance policy; or</w:t>
      </w:r>
    </w:p>
    <w:p w:rsidR="00887330" w:rsidRPr="00583E1A" w:rsidRDefault="00887330" w:rsidP="00887330">
      <w:pPr>
        <w:pStyle w:val="paragraph"/>
      </w:pPr>
      <w:r w:rsidRPr="00583E1A">
        <w:tab/>
        <w:t>(e)</w:t>
      </w:r>
      <w:r w:rsidRPr="00583E1A">
        <w:tab/>
        <w:t>a right or option in respect of:</w:t>
      </w:r>
    </w:p>
    <w:p w:rsidR="00887330" w:rsidRPr="00583E1A" w:rsidRDefault="00887330" w:rsidP="00887330">
      <w:pPr>
        <w:pStyle w:val="paragraphsub"/>
      </w:pPr>
      <w:r w:rsidRPr="00583E1A">
        <w:tab/>
        <w:t>(i)</w:t>
      </w:r>
      <w:r w:rsidRPr="00583E1A">
        <w:tab/>
        <w:t>a financial instrument; or</w:t>
      </w:r>
    </w:p>
    <w:p w:rsidR="00887330" w:rsidRPr="00583E1A" w:rsidRDefault="00887330" w:rsidP="00887330">
      <w:pPr>
        <w:pStyle w:val="paragraphsub"/>
      </w:pPr>
      <w:r w:rsidRPr="00583E1A">
        <w:tab/>
        <w:t>(ii)</w:t>
      </w:r>
      <w:r w:rsidRPr="00583E1A">
        <w:tab/>
        <w:t>an interest in a company, trust or partnership; or</w:t>
      </w:r>
    </w:p>
    <w:p w:rsidR="00887330" w:rsidRPr="00583E1A" w:rsidRDefault="00887330" w:rsidP="00887330">
      <w:pPr>
        <w:pStyle w:val="paragraphsub"/>
      </w:pPr>
      <w:r w:rsidRPr="00583E1A">
        <w:tab/>
        <w:t>(iii)</w:t>
      </w:r>
      <w:r w:rsidRPr="00583E1A">
        <w:tab/>
        <w:t>a life insurance policy; or</w:t>
      </w:r>
    </w:p>
    <w:p w:rsidR="00887330" w:rsidRPr="00583E1A" w:rsidRDefault="00887330" w:rsidP="00887330">
      <w:pPr>
        <w:pStyle w:val="paragraph"/>
      </w:pPr>
      <w:r w:rsidRPr="00583E1A">
        <w:tab/>
        <w:t>(f)</w:t>
      </w:r>
      <w:r w:rsidRPr="00583E1A">
        <w:tab/>
        <w:t>cash or cash equivalent; or</w:t>
      </w:r>
    </w:p>
    <w:p w:rsidR="00887330" w:rsidRPr="00583E1A" w:rsidRDefault="00887330" w:rsidP="00887330">
      <w:pPr>
        <w:pStyle w:val="paragraph"/>
      </w:pPr>
      <w:r w:rsidRPr="00583E1A">
        <w:tab/>
        <w:t>(g)</w:t>
      </w:r>
      <w:r w:rsidRPr="00583E1A">
        <w:tab/>
        <w:t xml:space="preserve">an asset whose main use in the course of carrying on the </w:t>
      </w:r>
      <w:r w:rsidR="00583E1A" w:rsidRPr="00583E1A">
        <w:rPr>
          <w:position w:val="6"/>
          <w:sz w:val="16"/>
        </w:rPr>
        <w:t>*</w:t>
      </w:r>
      <w:r w:rsidRPr="00583E1A">
        <w:t xml:space="preserve">business mentioned in </w:t>
      </w:r>
      <w:r w:rsidR="00583E1A">
        <w:t>subparagraph (</w:t>
      </w:r>
      <w:r w:rsidRPr="00583E1A">
        <w:t xml:space="preserve">1)(b)(i) is to </w:t>
      </w:r>
      <w:r w:rsidR="00583E1A" w:rsidRPr="00583E1A">
        <w:rPr>
          <w:position w:val="6"/>
          <w:sz w:val="16"/>
        </w:rPr>
        <w:t>*</w:t>
      </w:r>
      <w:r w:rsidRPr="00583E1A">
        <w:t xml:space="preserve">derive interest, an </w:t>
      </w:r>
      <w:r w:rsidR="00583E1A" w:rsidRPr="00583E1A">
        <w:rPr>
          <w:position w:val="6"/>
          <w:sz w:val="16"/>
        </w:rPr>
        <w:t>*</w:t>
      </w:r>
      <w:r w:rsidRPr="00583E1A">
        <w:t xml:space="preserve">annuity, rent, </w:t>
      </w:r>
      <w:r w:rsidR="00583E1A" w:rsidRPr="00583E1A">
        <w:rPr>
          <w:position w:val="6"/>
          <w:sz w:val="16"/>
        </w:rPr>
        <w:t>*</w:t>
      </w:r>
      <w:r w:rsidRPr="00583E1A">
        <w:t>royalties or foreign exchange gains unless:</w:t>
      </w:r>
    </w:p>
    <w:p w:rsidR="00887330" w:rsidRPr="00583E1A" w:rsidRDefault="00887330" w:rsidP="00887330">
      <w:pPr>
        <w:pStyle w:val="paragraphsub"/>
      </w:pPr>
      <w:r w:rsidRPr="00583E1A">
        <w:tab/>
        <w:t>(i)</w:t>
      </w:r>
      <w:r w:rsidRPr="00583E1A">
        <w:tab/>
        <w:t xml:space="preserve">the asset is an intangible asset and has been substantially developed, altered or improved by the foreign company so that its </w:t>
      </w:r>
      <w:r w:rsidR="00583E1A" w:rsidRPr="00583E1A">
        <w:rPr>
          <w:position w:val="6"/>
          <w:sz w:val="16"/>
        </w:rPr>
        <w:t>*</w:t>
      </w:r>
      <w:r w:rsidRPr="00583E1A">
        <w:t>market value has been substantially enhanced; or</w:t>
      </w:r>
    </w:p>
    <w:p w:rsidR="00887330" w:rsidRPr="00583E1A" w:rsidRDefault="00887330" w:rsidP="00887330">
      <w:pPr>
        <w:pStyle w:val="paragraphsub"/>
      </w:pPr>
      <w:r w:rsidRPr="00583E1A">
        <w:tab/>
        <w:t>(ii)</w:t>
      </w:r>
      <w:r w:rsidRPr="00583E1A">
        <w:tab/>
        <w:t>its main use for deriving rent was only temporary.</w:t>
      </w:r>
    </w:p>
    <w:p w:rsidR="00887330" w:rsidRPr="00583E1A" w:rsidRDefault="00887330" w:rsidP="00887330">
      <w:pPr>
        <w:pStyle w:val="subsection"/>
      </w:pPr>
      <w:r w:rsidRPr="00583E1A">
        <w:tab/>
        <w:t>(3)</w:t>
      </w:r>
      <w:r w:rsidRPr="00583E1A">
        <w:tab/>
        <w:t xml:space="preserve">If, at the time mentioned in </w:t>
      </w:r>
      <w:r w:rsidR="00583E1A">
        <w:t>subsection (</w:t>
      </w:r>
      <w:r w:rsidRPr="00583E1A">
        <w:t>1), the foreign company is an AFI subsidiary (within the meaning of Part</w:t>
      </w:r>
      <w:r w:rsidR="00583E1A">
        <w:t> </w:t>
      </w:r>
      <w:r w:rsidRPr="00583E1A">
        <w:t xml:space="preserve">X of the </w:t>
      </w:r>
      <w:r w:rsidRPr="00583E1A">
        <w:rPr>
          <w:i/>
        </w:rPr>
        <w:t>Income Tax Assessment Act 1936</w:t>
      </w:r>
      <w:r w:rsidRPr="00583E1A">
        <w:t xml:space="preserve">) whose sole or principal business is financial intermediary business (within the meaning of that Part), </w:t>
      </w:r>
      <w:r w:rsidR="00583E1A">
        <w:t>subsection (</w:t>
      </w:r>
      <w:r w:rsidRPr="00583E1A">
        <w:t>2) operates as if:</w:t>
      </w:r>
    </w:p>
    <w:p w:rsidR="00887330" w:rsidRPr="00583E1A" w:rsidRDefault="00887330" w:rsidP="00887330">
      <w:pPr>
        <w:pStyle w:val="paragraph"/>
      </w:pPr>
      <w:r w:rsidRPr="00583E1A">
        <w:tab/>
        <w:t>(a)</w:t>
      </w:r>
      <w:r w:rsidRPr="00583E1A">
        <w:tab/>
      </w:r>
      <w:r w:rsidR="00583E1A">
        <w:t>paragraphs (</w:t>
      </w:r>
      <w:r w:rsidRPr="00583E1A">
        <w:t>2)(a) and (f) were omitted; and</w:t>
      </w:r>
    </w:p>
    <w:p w:rsidR="00887330" w:rsidRPr="00583E1A" w:rsidRDefault="00887330" w:rsidP="00887330">
      <w:pPr>
        <w:pStyle w:val="paragraph"/>
      </w:pPr>
      <w:r w:rsidRPr="00583E1A">
        <w:tab/>
        <w:t>(b)</w:t>
      </w:r>
      <w:r w:rsidRPr="00583E1A">
        <w:tab/>
      </w:r>
      <w:r w:rsidR="00583E1A">
        <w:t>paragraph (</w:t>
      </w:r>
      <w:r w:rsidRPr="00583E1A">
        <w:t xml:space="preserve">2)(g) did not contain a reference to interest, an </w:t>
      </w:r>
      <w:r w:rsidR="00583E1A" w:rsidRPr="00583E1A">
        <w:rPr>
          <w:position w:val="6"/>
          <w:sz w:val="16"/>
        </w:rPr>
        <w:t>*</w:t>
      </w:r>
      <w:r w:rsidRPr="00583E1A">
        <w:t>annuity or foreign exchange gains; and</w:t>
      </w:r>
    </w:p>
    <w:p w:rsidR="00887330" w:rsidRPr="00583E1A" w:rsidRDefault="00887330" w:rsidP="00887330">
      <w:pPr>
        <w:pStyle w:val="paragraph"/>
      </w:pPr>
      <w:r w:rsidRPr="00583E1A">
        <w:lastRenderedPageBreak/>
        <w:tab/>
        <w:t>(c)</w:t>
      </w:r>
      <w:r w:rsidRPr="00583E1A">
        <w:tab/>
      </w:r>
      <w:r w:rsidR="00583E1A">
        <w:t>subparagraph (</w:t>
      </w:r>
      <w:r w:rsidRPr="00583E1A">
        <w:t>2)(e)(i) were omitted and the following subparagraph were substituted:</w:t>
      </w:r>
    </w:p>
    <w:p w:rsidR="00887330" w:rsidRPr="00583E1A" w:rsidRDefault="00887330" w:rsidP="00887330">
      <w:pPr>
        <w:pStyle w:val="paragraphsub"/>
        <w:rPr>
          <w:sz w:val="20"/>
          <w:szCs w:val="20"/>
        </w:rPr>
      </w:pPr>
      <w:r w:rsidRPr="00583E1A">
        <w:tab/>
        <w:t>(i)</w:t>
      </w:r>
      <w:r w:rsidRPr="00583E1A">
        <w:tab/>
        <w:t xml:space="preserve">a financial instrument, other than an asset mentioned in paragraph 450(1)(b) of the </w:t>
      </w:r>
      <w:r w:rsidRPr="00583E1A">
        <w:rPr>
          <w:i/>
          <w:iCs/>
        </w:rPr>
        <w:t>Income Tax Assessment Act 1936</w:t>
      </w:r>
      <w:r w:rsidRPr="00583E1A">
        <w:t>; or</w:t>
      </w:r>
    </w:p>
    <w:p w:rsidR="00887330" w:rsidRPr="00583E1A" w:rsidRDefault="00887330" w:rsidP="00887330">
      <w:pPr>
        <w:pStyle w:val="subsection"/>
      </w:pPr>
      <w:r w:rsidRPr="00583E1A">
        <w:tab/>
        <w:t>(4)</w:t>
      </w:r>
      <w:r w:rsidRPr="00583E1A">
        <w:tab/>
        <w:t>The asset is covered under this subsection if:</w:t>
      </w:r>
    </w:p>
    <w:p w:rsidR="00887330" w:rsidRPr="00583E1A" w:rsidRDefault="00887330" w:rsidP="00887330">
      <w:pPr>
        <w:pStyle w:val="paragraph"/>
      </w:pPr>
      <w:r w:rsidRPr="00583E1A">
        <w:tab/>
        <w:t>(a)</w:t>
      </w:r>
      <w:r w:rsidRPr="00583E1A">
        <w:tab/>
        <w:t>all of these conditions are satisfied:</w:t>
      </w:r>
    </w:p>
    <w:p w:rsidR="00887330" w:rsidRPr="00583E1A" w:rsidRDefault="00887330" w:rsidP="00887330">
      <w:pPr>
        <w:pStyle w:val="paragraphsub"/>
      </w:pPr>
      <w:r w:rsidRPr="00583E1A">
        <w:tab/>
        <w:t>(i)</w:t>
      </w:r>
      <w:r w:rsidRPr="00583E1A">
        <w:tab/>
        <w:t xml:space="preserve">the asset is an asset mentioned in subparagraph 450(4)(b)(i) or (ii) of the </w:t>
      </w:r>
      <w:r w:rsidRPr="00583E1A">
        <w:rPr>
          <w:i/>
        </w:rPr>
        <w:t>Income Tax Assessment Act 1936</w:t>
      </w:r>
      <w:r w:rsidRPr="00583E1A">
        <w:t>;</w:t>
      </w:r>
    </w:p>
    <w:p w:rsidR="00887330" w:rsidRPr="00583E1A" w:rsidRDefault="00887330" w:rsidP="00887330">
      <w:pPr>
        <w:pStyle w:val="paragraphsub"/>
      </w:pPr>
      <w:r w:rsidRPr="00583E1A">
        <w:tab/>
        <w:t>(ii)</w:t>
      </w:r>
      <w:r w:rsidRPr="00583E1A">
        <w:tab/>
        <w:t>the asset was acquired from another entity;</w:t>
      </w:r>
    </w:p>
    <w:p w:rsidR="00887330" w:rsidRPr="00583E1A" w:rsidRDefault="00887330" w:rsidP="00887330">
      <w:pPr>
        <w:pStyle w:val="paragraphsub"/>
      </w:pPr>
      <w:r w:rsidRPr="00583E1A">
        <w:tab/>
        <w:t>(iii)</w:t>
      </w:r>
      <w:r w:rsidRPr="00583E1A">
        <w:tab/>
        <w:t xml:space="preserve">either of the conditions mentioned in subparagraph 450(6)(c)(i) and (ii) of the </w:t>
      </w:r>
      <w:r w:rsidRPr="00583E1A">
        <w:rPr>
          <w:i/>
        </w:rPr>
        <w:t xml:space="preserve">Income Tax Assessment Act 1936 </w:t>
      </w:r>
      <w:r w:rsidRPr="00583E1A">
        <w:t>were satisfied in relation to the other entity at the time of the acquisition; or</w:t>
      </w:r>
    </w:p>
    <w:p w:rsidR="00887330" w:rsidRPr="00583E1A" w:rsidRDefault="00887330" w:rsidP="00887330">
      <w:pPr>
        <w:pStyle w:val="paragraph"/>
      </w:pPr>
      <w:r w:rsidRPr="00583E1A">
        <w:tab/>
        <w:t>(b)</w:t>
      </w:r>
      <w:r w:rsidRPr="00583E1A">
        <w:tab/>
        <w:t>both of these conditions are satisfied:</w:t>
      </w:r>
    </w:p>
    <w:p w:rsidR="00887330" w:rsidRPr="00583E1A" w:rsidRDefault="00887330" w:rsidP="00887330">
      <w:pPr>
        <w:pStyle w:val="paragraphsub"/>
      </w:pPr>
      <w:r w:rsidRPr="00583E1A">
        <w:tab/>
        <w:t>(i)</w:t>
      </w:r>
      <w:r w:rsidRPr="00583E1A">
        <w:tab/>
        <w:t>the asset relates to a debt to which factoring income (within the meaning of Part</w:t>
      </w:r>
      <w:r w:rsidR="00583E1A">
        <w:t> </w:t>
      </w:r>
      <w:r w:rsidRPr="00583E1A">
        <w:t xml:space="preserve">X of the </w:t>
      </w:r>
      <w:r w:rsidRPr="00583E1A">
        <w:rPr>
          <w:i/>
        </w:rPr>
        <w:t>Income Tax Assessment Act 1936</w:t>
      </w:r>
      <w:r w:rsidRPr="00583E1A">
        <w:t>) of the foreign company relates;</w:t>
      </w:r>
    </w:p>
    <w:p w:rsidR="00887330" w:rsidRPr="00583E1A" w:rsidRDefault="00887330" w:rsidP="00887330">
      <w:pPr>
        <w:pStyle w:val="paragraphsub"/>
      </w:pPr>
      <w:r w:rsidRPr="00583E1A">
        <w:tab/>
        <w:t>(ii)</w:t>
      </w:r>
      <w:r w:rsidRPr="00583E1A">
        <w:tab/>
        <w:t xml:space="preserve">the condition in paragraph 450(8)(b) of the </w:t>
      </w:r>
      <w:r w:rsidRPr="00583E1A">
        <w:rPr>
          <w:i/>
        </w:rPr>
        <w:t>Income Tax Assessment Act 1936</w:t>
      </w:r>
      <w:r w:rsidRPr="00583E1A">
        <w:t xml:space="preserve"> is satisfied in relation to the debt.</w:t>
      </w:r>
    </w:p>
    <w:p w:rsidR="00887330" w:rsidRPr="00583E1A" w:rsidRDefault="00887330" w:rsidP="00887330">
      <w:pPr>
        <w:pStyle w:val="ActHead5"/>
      </w:pPr>
      <w:bookmarkStart w:id="21" w:name="_Toc338939095"/>
      <w:r w:rsidRPr="00583E1A">
        <w:rPr>
          <w:rStyle w:val="CharSectno"/>
        </w:rPr>
        <w:t>768</w:t>
      </w:r>
      <w:r w:rsidR="00583E1A">
        <w:rPr>
          <w:rStyle w:val="CharSectno"/>
        </w:rPr>
        <w:noBreakHyphen/>
      </w:r>
      <w:r w:rsidRPr="00583E1A">
        <w:rPr>
          <w:rStyle w:val="CharSectno"/>
        </w:rPr>
        <w:t>545</w:t>
      </w:r>
      <w:r w:rsidRPr="00583E1A">
        <w:t xml:space="preserve">  Assets included in the total assets of a foreign company</w:t>
      </w:r>
      <w:bookmarkEnd w:id="21"/>
    </w:p>
    <w:p w:rsidR="00887330" w:rsidRPr="00583E1A" w:rsidRDefault="00887330" w:rsidP="00887330">
      <w:pPr>
        <w:pStyle w:val="subsection"/>
      </w:pPr>
      <w:r w:rsidRPr="00583E1A">
        <w:tab/>
        <w:t>(1)</w:t>
      </w:r>
      <w:r w:rsidRPr="00583E1A">
        <w:tab/>
        <w:t xml:space="preserve">At a particular time, an asset is an </w:t>
      </w:r>
      <w:r w:rsidRPr="00583E1A">
        <w:rPr>
          <w:b/>
          <w:i/>
        </w:rPr>
        <w:t xml:space="preserve">asset included in the total assets </w:t>
      </w:r>
      <w:r w:rsidRPr="00583E1A">
        <w:t xml:space="preserve">of a company (the </w:t>
      </w:r>
      <w:r w:rsidRPr="00583E1A">
        <w:rPr>
          <w:b/>
          <w:i/>
        </w:rPr>
        <w:t>foreign company</w:t>
      </w:r>
      <w:r w:rsidRPr="00583E1A">
        <w:t>) that is a foreign resident if:</w:t>
      </w:r>
    </w:p>
    <w:p w:rsidR="00887330" w:rsidRPr="00583E1A" w:rsidRDefault="00887330" w:rsidP="00887330">
      <w:pPr>
        <w:pStyle w:val="paragraph"/>
      </w:pPr>
      <w:r w:rsidRPr="00583E1A">
        <w:tab/>
        <w:t>(a)</w:t>
      </w:r>
      <w:r w:rsidRPr="00583E1A">
        <w:tab/>
        <w:t xml:space="preserve">the asset is a </w:t>
      </w:r>
      <w:r w:rsidR="00583E1A" w:rsidRPr="00583E1A">
        <w:rPr>
          <w:position w:val="6"/>
          <w:sz w:val="16"/>
        </w:rPr>
        <w:t>*</w:t>
      </w:r>
      <w:r w:rsidRPr="00583E1A">
        <w:t>CGT asset at that time; and</w:t>
      </w:r>
    </w:p>
    <w:p w:rsidR="00887330" w:rsidRPr="00583E1A" w:rsidRDefault="00887330" w:rsidP="00887330">
      <w:pPr>
        <w:pStyle w:val="paragraph"/>
      </w:pPr>
      <w:r w:rsidRPr="00583E1A">
        <w:tab/>
        <w:t>(b)</w:t>
      </w:r>
      <w:r w:rsidRPr="00583E1A">
        <w:tab/>
        <w:t>the foreign company owns the asset at that time; and</w:t>
      </w:r>
    </w:p>
    <w:p w:rsidR="00887330" w:rsidRPr="00583E1A" w:rsidRDefault="00887330" w:rsidP="00887330">
      <w:pPr>
        <w:pStyle w:val="paragraph"/>
      </w:pPr>
      <w:r w:rsidRPr="00583E1A">
        <w:tab/>
        <w:t>(c)</w:t>
      </w:r>
      <w:r w:rsidRPr="00583E1A">
        <w:tab/>
        <w:t xml:space="preserve">if at that time the foreign company is </w:t>
      </w:r>
      <w:r w:rsidRPr="00583E1A">
        <w:rPr>
          <w:i/>
        </w:rPr>
        <w:t>not</w:t>
      </w:r>
      <w:r w:rsidRPr="00583E1A">
        <w:t xml:space="preserve"> an AFI subsidiary (within the meaning of Part</w:t>
      </w:r>
      <w:r w:rsidR="00583E1A">
        <w:t> </w:t>
      </w:r>
      <w:r w:rsidRPr="00583E1A">
        <w:t xml:space="preserve">X of the </w:t>
      </w:r>
      <w:r w:rsidRPr="00583E1A">
        <w:rPr>
          <w:i/>
        </w:rPr>
        <w:t>Income Tax Assessment Act 1936</w:t>
      </w:r>
      <w:r w:rsidRPr="00583E1A">
        <w:t xml:space="preserve">) whose sole or principal business is financial intermediary business (within the meaning of that Part)—the asset is </w:t>
      </w:r>
      <w:r w:rsidRPr="00583E1A">
        <w:rPr>
          <w:i/>
        </w:rPr>
        <w:t>not</w:t>
      </w:r>
      <w:r w:rsidRPr="00583E1A">
        <w:t xml:space="preserve"> a foreign company derivative asset covered by </w:t>
      </w:r>
      <w:r w:rsidR="00583E1A">
        <w:t>subsection (</w:t>
      </w:r>
      <w:r w:rsidRPr="00583E1A">
        <w:t>2).</w:t>
      </w:r>
    </w:p>
    <w:p w:rsidR="00887330" w:rsidRPr="00583E1A" w:rsidRDefault="00887330" w:rsidP="002A3C7A">
      <w:pPr>
        <w:pStyle w:val="subsection"/>
        <w:keepNext/>
        <w:keepLines/>
      </w:pPr>
      <w:r w:rsidRPr="00583E1A">
        <w:lastRenderedPageBreak/>
        <w:tab/>
        <w:t>(2)</w:t>
      </w:r>
      <w:r w:rsidRPr="00583E1A">
        <w:tab/>
        <w:t>An asset is a foreign company derivative asset covered by this subsection if:</w:t>
      </w:r>
    </w:p>
    <w:p w:rsidR="00887330" w:rsidRPr="00583E1A" w:rsidRDefault="00887330" w:rsidP="00887330">
      <w:pPr>
        <w:pStyle w:val="paragraph"/>
      </w:pPr>
      <w:r w:rsidRPr="00583E1A">
        <w:tab/>
        <w:t>(a)</w:t>
      </w:r>
      <w:r w:rsidRPr="00583E1A">
        <w:tab/>
        <w:t xml:space="preserve">the asset is an </w:t>
      </w:r>
      <w:r w:rsidR="00583E1A" w:rsidRPr="00583E1A">
        <w:rPr>
          <w:position w:val="6"/>
          <w:sz w:val="16"/>
        </w:rPr>
        <w:t>*</w:t>
      </w:r>
      <w:r w:rsidRPr="00583E1A">
        <w:t xml:space="preserve">arrangement covered by </w:t>
      </w:r>
      <w:r w:rsidR="00583E1A">
        <w:t>subsection (</w:t>
      </w:r>
      <w:r w:rsidRPr="00583E1A">
        <w:t xml:space="preserve">3), unless the regulations declare the asset </w:t>
      </w:r>
      <w:r w:rsidRPr="00583E1A">
        <w:rPr>
          <w:i/>
        </w:rPr>
        <w:t>not</w:t>
      </w:r>
      <w:r w:rsidRPr="00583E1A">
        <w:t xml:space="preserve"> to be a foreign company derivative asset covered by this subsection; or</w:t>
      </w:r>
    </w:p>
    <w:p w:rsidR="00887330" w:rsidRPr="00583E1A" w:rsidRDefault="00887330" w:rsidP="00887330">
      <w:pPr>
        <w:pStyle w:val="paragraph"/>
      </w:pPr>
      <w:r w:rsidRPr="00583E1A">
        <w:tab/>
        <w:t>(b)</w:t>
      </w:r>
      <w:r w:rsidRPr="00583E1A">
        <w:tab/>
        <w:t>the regulations declare the asset to be a foreign company derivative asset covered by this subsection.</w:t>
      </w:r>
    </w:p>
    <w:p w:rsidR="00887330" w:rsidRPr="00583E1A" w:rsidRDefault="00887330" w:rsidP="00887330">
      <w:pPr>
        <w:pStyle w:val="subsection"/>
      </w:pPr>
      <w:r w:rsidRPr="00583E1A">
        <w:tab/>
        <w:t>(3)</w:t>
      </w:r>
      <w:r w:rsidRPr="00583E1A">
        <w:tab/>
        <w:t xml:space="preserve">An </w:t>
      </w:r>
      <w:r w:rsidR="00583E1A" w:rsidRPr="00583E1A">
        <w:rPr>
          <w:position w:val="6"/>
          <w:sz w:val="16"/>
        </w:rPr>
        <w:t>*</w:t>
      </w:r>
      <w:r w:rsidRPr="00583E1A">
        <w:t>arrangement is covered by this subsection if:</w:t>
      </w:r>
    </w:p>
    <w:p w:rsidR="00887330" w:rsidRPr="00583E1A" w:rsidRDefault="00887330" w:rsidP="00887330">
      <w:pPr>
        <w:pStyle w:val="paragraph"/>
      </w:pPr>
      <w:r w:rsidRPr="00583E1A">
        <w:tab/>
        <w:t>(a)</w:t>
      </w:r>
      <w:r w:rsidRPr="00583E1A">
        <w:tab/>
        <w:t>under the arrangement, a party to the arrangement must, or may be required to, provide at some future time consideration of a particular kind or kinds to someone; and</w:t>
      </w:r>
    </w:p>
    <w:p w:rsidR="00887330" w:rsidRPr="00583E1A" w:rsidRDefault="00887330" w:rsidP="00887330">
      <w:pPr>
        <w:pStyle w:val="paragraph"/>
      </w:pPr>
      <w:r w:rsidRPr="00583E1A">
        <w:tab/>
        <w:t>(b)</w:t>
      </w:r>
      <w:r w:rsidRPr="00583E1A">
        <w:tab/>
        <w:t xml:space="preserve">that future time is not less than the number of days, prescribed by regulations made for the purposes of paragraph 761D(1)(b) of the </w:t>
      </w:r>
      <w:r w:rsidRPr="00583E1A">
        <w:rPr>
          <w:i/>
        </w:rPr>
        <w:t>Corporations Act 2001</w:t>
      </w:r>
      <w:r w:rsidRPr="00583E1A">
        <w:t>,</w:t>
      </w:r>
      <w:r w:rsidRPr="00583E1A">
        <w:rPr>
          <w:i/>
        </w:rPr>
        <w:t xml:space="preserve"> </w:t>
      </w:r>
      <w:r w:rsidRPr="00583E1A">
        <w:t>after the day on which the arrangement is entered into; and</w:t>
      </w:r>
    </w:p>
    <w:p w:rsidR="00887330" w:rsidRPr="00583E1A" w:rsidRDefault="00887330" w:rsidP="00887330">
      <w:pPr>
        <w:pStyle w:val="paragraph"/>
      </w:pPr>
      <w:r w:rsidRPr="00583E1A">
        <w:tab/>
        <w:t>(c)</w:t>
      </w:r>
      <w:r w:rsidRPr="00583E1A">
        <w:tab/>
        <w:t xml:space="preserve">the amount of the consideration, or the value of the arrangement, is ultimately determined, </w:t>
      </w:r>
      <w:r w:rsidR="00583E1A" w:rsidRPr="00583E1A">
        <w:rPr>
          <w:position w:val="6"/>
          <w:sz w:val="16"/>
        </w:rPr>
        <w:t>*</w:t>
      </w:r>
      <w:r w:rsidRPr="00583E1A">
        <w:t>derived from or varies by reference to (wholly or in part) the value or amount of something else (of any nature whatsoever and whether or not deliverable), including, for example, one or more of the following:</w:t>
      </w:r>
    </w:p>
    <w:p w:rsidR="00887330" w:rsidRPr="00583E1A" w:rsidRDefault="00887330" w:rsidP="00887330">
      <w:pPr>
        <w:pStyle w:val="paragraphsub"/>
      </w:pPr>
      <w:r w:rsidRPr="00583E1A">
        <w:tab/>
        <w:t>(i)</w:t>
      </w:r>
      <w:r w:rsidRPr="00583E1A">
        <w:tab/>
        <w:t>an asset;</w:t>
      </w:r>
    </w:p>
    <w:p w:rsidR="00887330" w:rsidRPr="00583E1A" w:rsidRDefault="00887330" w:rsidP="00887330">
      <w:pPr>
        <w:pStyle w:val="paragraphsub"/>
      </w:pPr>
      <w:r w:rsidRPr="00583E1A">
        <w:tab/>
        <w:t>(ii)</w:t>
      </w:r>
      <w:r w:rsidRPr="00583E1A">
        <w:tab/>
        <w:t>a rate (including an interest rate or exchange rate);</w:t>
      </w:r>
    </w:p>
    <w:p w:rsidR="00887330" w:rsidRPr="00583E1A" w:rsidRDefault="00887330" w:rsidP="00887330">
      <w:pPr>
        <w:pStyle w:val="paragraphsub"/>
      </w:pPr>
      <w:r w:rsidRPr="00583E1A">
        <w:tab/>
        <w:t>(iii)</w:t>
      </w:r>
      <w:r w:rsidRPr="00583E1A">
        <w:tab/>
        <w:t>an index;</w:t>
      </w:r>
    </w:p>
    <w:p w:rsidR="00887330" w:rsidRPr="00583E1A" w:rsidRDefault="00887330" w:rsidP="00887330">
      <w:pPr>
        <w:pStyle w:val="paragraphsub"/>
      </w:pPr>
      <w:r w:rsidRPr="00583E1A">
        <w:tab/>
        <w:t>(iv)</w:t>
      </w:r>
      <w:r w:rsidRPr="00583E1A">
        <w:tab/>
        <w:t>a commodity; and</w:t>
      </w:r>
    </w:p>
    <w:p w:rsidR="00887330" w:rsidRPr="00583E1A" w:rsidRDefault="00887330" w:rsidP="00887330">
      <w:pPr>
        <w:pStyle w:val="paragraph"/>
      </w:pPr>
      <w:r w:rsidRPr="00583E1A">
        <w:tab/>
        <w:t>(d)</w:t>
      </w:r>
      <w:r w:rsidRPr="00583E1A">
        <w:tab/>
      </w:r>
      <w:r w:rsidR="00583E1A">
        <w:t>subsection (</w:t>
      </w:r>
      <w:r w:rsidRPr="00583E1A">
        <w:t>4) does not apply in relation to the arrangement.</w:t>
      </w:r>
    </w:p>
    <w:p w:rsidR="00887330" w:rsidRPr="00583E1A" w:rsidRDefault="00887330" w:rsidP="00887330">
      <w:pPr>
        <w:pStyle w:val="subsection"/>
      </w:pPr>
      <w:r w:rsidRPr="00583E1A">
        <w:tab/>
        <w:t>(4)</w:t>
      </w:r>
      <w:r w:rsidRPr="00583E1A">
        <w:tab/>
        <w:t xml:space="preserve">An </w:t>
      </w:r>
      <w:r w:rsidR="00583E1A" w:rsidRPr="00583E1A">
        <w:rPr>
          <w:position w:val="6"/>
          <w:sz w:val="16"/>
        </w:rPr>
        <w:t>*</w:t>
      </w:r>
      <w:r w:rsidRPr="00583E1A">
        <w:t xml:space="preserve">arrangement under which one person has an obligation to buy, and another person has an obligation to sell, property is not an arrangement covered by </w:t>
      </w:r>
      <w:r w:rsidR="00583E1A">
        <w:t>subsection (</w:t>
      </w:r>
      <w:r w:rsidRPr="00583E1A">
        <w:t>3) merely because the arrangement provides for the consideration to be varied by reference to a general inflation index such as the Consumer Price Index.</w:t>
      </w:r>
    </w:p>
    <w:p w:rsidR="00887330" w:rsidRPr="00583E1A" w:rsidRDefault="00887330" w:rsidP="00CF6132">
      <w:pPr>
        <w:pStyle w:val="ActHead4"/>
      </w:pPr>
      <w:bookmarkStart w:id="22" w:name="_Toc338939096"/>
      <w:r w:rsidRPr="00583E1A">
        <w:rPr>
          <w:color w:val="000000"/>
        </w:rPr>
        <w:lastRenderedPageBreak/>
        <w:t>Voting percentages in a company</w:t>
      </w:r>
      <w:bookmarkEnd w:id="22"/>
    </w:p>
    <w:p w:rsidR="00887330" w:rsidRPr="00583E1A" w:rsidRDefault="00887330" w:rsidP="00CF6132">
      <w:pPr>
        <w:pStyle w:val="ActHead5"/>
      </w:pPr>
      <w:bookmarkStart w:id="23" w:name="_Toc338939097"/>
      <w:r w:rsidRPr="00583E1A">
        <w:rPr>
          <w:rStyle w:val="CharSectno"/>
        </w:rPr>
        <w:t>768</w:t>
      </w:r>
      <w:r w:rsidR="00583E1A">
        <w:rPr>
          <w:rStyle w:val="CharSectno"/>
        </w:rPr>
        <w:noBreakHyphen/>
      </w:r>
      <w:r w:rsidRPr="00583E1A">
        <w:rPr>
          <w:rStyle w:val="CharSectno"/>
        </w:rPr>
        <w:t>550</w:t>
      </w:r>
      <w:r w:rsidRPr="00583E1A">
        <w:t xml:space="preserve">  Direct voting percentage in a company</w:t>
      </w:r>
      <w:bookmarkEnd w:id="23"/>
    </w:p>
    <w:p w:rsidR="00887330" w:rsidRPr="00583E1A" w:rsidRDefault="00887330" w:rsidP="00CF6132">
      <w:pPr>
        <w:pStyle w:val="subsection"/>
        <w:keepNext/>
        <w:keepLines/>
      </w:pPr>
      <w:r w:rsidRPr="00583E1A">
        <w:tab/>
        <w:t>(1)</w:t>
      </w:r>
      <w:r w:rsidRPr="00583E1A">
        <w:tab/>
        <w:t xml:space="preserve">An entity’s </w:t>
      </w:r>
      <w:r w:rsidRPr="00583E1A">
        <w:rPr>
          <w:b/>
          <w:i/>
        </w:rPr>
        <w:t>direct voting percentage</w:t>
      </w:r>
      <w:r w:rsidRPr="00583E1A">
        <w:t xml:space="preserve"> at a particular time</w:t>
      </w:r>
      <w:r w:rsidRPr="00583E1A">
        <w:rPr>
          <w:b/>
          <w:i/>
        </w:rPr>
        <w:t xml:space="preserve"> </w:t>
      </w:r>
      <w:r w:rsidRPr="00583E1A">
        <w:t>in a company is:</w:t>
      </w:r>
    </w:p>
    <w:p w:rsidR="00887330" w:rsidRPr="00583E1A" w:rsidRDefault="00887330" w:rsidP="00CF6132">
      <w:pPr>
        <w:pStyle w:val="paragraph"/>
        <w:keepNext/>
        <w:keepLines/>
      </w:pPr>
      <w:r w:rsidRPr="00583E1A">
        <w:tab/>
        <w:t>(a)</w:t>
      </w:r>
      <w:r w:rsidRPr="00583E1A">
        <w:tab/>
        <w:t xml:space="preserve">if the entity has a voting interest (within the meaning of </w:t>
      </w:r>
      <w:r w:rsidR="005D048B" w:rsidRPr="00583E1A">
        <w:t>section</w:t>
      </w:r>
      <w:r w:rsidR="00583E1A">
        <w:t> </w:t>
      </w:r>
      <w:r w:rsidR="005D048B" w:rsidRPr="00583E1A">
        <w:t>334A</w:t>
      </w:r>
      <w:r w:rsidRPr="00583E1A">
        <w:t xml:space="preserve"> of the </w:t>
      </w:r>
      <w:r w:rsidRPr="00583E1A">
        <w:rPr>
          <w:i/>
        </w:rPr>
        <w:t>Income Tax Assessment Act 1936</w:t>
      </w:r>
      <w:r w:rsidRPr="00583E1A">
        <w:t>) in the foreign company at that time amounting to a percentage of the voting power of the company—that percentage; or</w:t>
      </w:r>
    </w:p>
    <w:p w:rsidR="00887330" w:rsidRPr="00583E1A" w:rsidRDefault="00887330" w:rsidP="00CF6132">
      <w:pPr>
        <w:pStyle w:val="paragraph"/>
        <w:keepNext/>
        <w:keepLines/>
      </w:pPr>
      <w:r w:rsidRPr="00583E1A">
        <w:tab/>
        <w:t>(b)</w:t>
      </w:r>
      <w:r w:rsidRPr="00583E1A">
        <w:tab/>
        <w:t>otherwise—zero.</w:t>
      </w:r>
    </w:p>
    <w:p w:rsidR="00887330" w:rsidRPr="00583E1A" w:rsidRDefault="00887330" w:rsidP="00887330">
      <w:pPr>
        <w:pStyle w:val="subsection"/>
      </w:pPr>
      <w:r w:rsidRPr="00583E1A">
        <w:tab/>
        <w:t>(2)</w:t>
      </w:r>
      <w:r w:rsidRPr="00583E1A">
        <w:tab/>
        <w:t xml:space="preserve">In applying </w:t>
      </w:r>
      <w:r w:rsidR="002B4A1F" w:rsidRPr="00583E1A">
        <w:t>section</w:t>
      </w:r>
      <w:r w:rsidR="00583E1A">
        <w:t> </w:t>
      </w:r>
      <w:r w:rsidR="002B4A1F" w:rsidRPr="00583E1A">
        <w:t>334A</w:t>
      </w:r>
      <w:r w:rsidRPr="00583E1A">
        <w:t xml:space="preserve"> of the </w:t>
      </w:r>
      <w:r w:rsidRPr="00583E1A">
        <w:rPr>
          <w:i/>
        </w:rPr>
        <w:t>Income Tax Assessment Act 1936</w:t>
      </w:r>
      <w:r w:rsidRPr="00583E1A">
        <w:t xml:space="preserve"> for the purposes of </w:t>
      </w:r>
      <w:r w:rsidR="00583E1A">
        <w:t>subsection (</w:t>
      </w:r>
      <w:r w:rsidRPr="00583E1A">
        <w:t>1) of this section, assume that:</w:t>
      </w:r>
    </w:p>
    <w:p w:rsidR="00887330" w:rsidRPr="00583E1A" w:rsidRDefault="00887330" w:rsidP="00887330">
      <w:pPr>
        <w:pStyle w:val="paragraph"/>
      </w:pPr>
      <w:r w:rsidRPr="00583E1A">
        <w:tab/>
        <w:t>(a)</w:t>
      </w:r>
      <w:r w:rsidRPr="00583E1A">
        <w:tab/>
        <w:t>the entity is a company; and</w:t>
      </w:r>
    </w:p>
    <w:p w:rsidR="00887330" w:rsidRPr="00583E1A" w:rsidRDefault="00887330" w:rsidP="00887330">
      <w:pPr>
        <w:pStyle w:val="paragraph"/>
      </w:pPr>
      <w:r w:rsidRPr="00583E1A">
        <w:tab/>
        <w:t>(b)</w:t>
      </w:r>
      <w:r w:rsidRPr="00583E1A">
        <w:tab/>
        <w:t xml:space="preserve">the entity is not the beneficial owner of a </w:t>
      </w:r>
      <w:r w:rsidR="00583E1A" w:rsidRPr="00583E1A">
        <w:rPr>
          <w:position w:val="6"/>
          <w:sz w:val="16"/>
        </w:rPr>
        <w:t>*</w:t>
      </w:r>
      <w:r w:rsidRPr="00583E1A">
        <w:t>share in the company if a trust or partnership is interposed between the entity and the company.</w:t>
      </w:r>
    </w:p>
    <w:p w:rsidR="00887330" w:rsidRPr="00583E1A" w:rsidRDefault="00887330" w:rsidP="00887330">
      <w:pPr>
        <w:pStyle w:val="ActHead5"/>
      </w:pPr>
      <w:bookmarkStart w:id="24" w:name="_Toc338939098"/>
      <w:r w:rsidRPr="00583E1A">
        <w:rPr>
          <w:rStyle w:val="CharSectno"/>
        </w:rPr>
        <w:t>768</w:t>
      </w:r>
      <w:r w:rsidR="00583E1A">
        <w:rPr>
          <w:rStyle w:val="CharSectno"/>
        </w:rPr>
        <w:noBreakHyphen/>
      </w:r>
      <w:r w:rsidRPr="00583E1A">
        <w:rPr>
          <w:rStyle w:val="CharSectno"/>
        </w:rPr>
        <w:t>555</w:t>
      </w:r>
      <w:r w:rsidRPr="00583E1A">
        <w:t xml:space="preserve">  Indirect voting percentage in a company</w:t>
      </w:r>
      <w:bookmarkEnd w:id="24"/>
    </w:p>
    <w:p w:rsidR="00887330" w:rsidRPr="00583E1A" w:rsidRDefault="00887330" w:rsidP="00887330">
      <w:pPr>
        <w:pStyle w:val="subsection"/>
      </w:pPr>
      <w:r w:rsidRPr="00583E1A">
        <w:tab/>
        <w:t>(1)</w:t>
      </w:r>
      <w:r w:rsidRPr="00583E1A">
        <w:tab/>
        <w:t xml:space="preserve">An entity’s </w:t>
      </w:r>
      <w:r w:rsidRPr="00583E1A">
        <w:rPr>
          <w:b/>
          <w:i/>
        </w:rPr>
        <w:t>indirect voting percentage</w:t>
      </w:r>
      <w:r w:rsidRPr="00583E1A">
        <w:t xml:space="preserve"> at a particular time</w:t>
      </w:r>
      <w:r w:rsidRPr="00583E1A">
        <w:rPr>
          <w:b/>
          <w:i/>
        </w:rPr>
        <w:t xml:space="preserve"> </w:t>
      </w:r>
      <w:r w:rsidRPr="00583E1A">
        <w:t xml:space="preserve">in a company (the </w:t>
      </w:r>
      <w:r w:rsidRPr="00583E1A">
        <w:rPr>
          <w:b/>
          <w:i/>
        </w:rPr>
        <w:t>subsidiary company</w:t>
      </w:r>
      <w:r w:rsidRPr="00583E1A">
        <w:t>) is worked out by multiplying:</w:t>
      </w:r>
    </w:p>
    <w:p w:rsidR="00887330" w:rsidRPr="00583E1A" w:rsidRDefault="00887330" w:rsidP="00887330">
      <w:pPr>
        <w:pStyle w:val="paragraph"/>
      </w:pPr>
      <w:r w:rsidRPr="00583E1A">
        <w:tab/>
        <w:t>(a)</w:t>
      </w:r>
      <w:r w:rsidRPr="00583E1A">
        <w:tab/>
        <w:t xml:space="preserve">the entity’s </w:t>
      </w:r>
      <w:r w:rsidR="00583E1A" w:rsidRPr="00583E1A">
        <w:rPr>
          <w:position w:val="6"/>
          <w:sz w:val="16"/>
        </w:rPr>
        <w:t>*</w:t>
      </w:r>
      <w:r w:rsidRPr="00583E1A">
        <w:t xml:space="preserve">direct voting percentage (if any) in another company (the </w:t>
      </w:r>
      <w:r w:rsidRPr="00583E1A">
        <w:rPr>
          <w:b/>
          <w:i/>
        </w:rPr>
        <w:t>intermediate company</w:t>
      </w:r>
      <w:r w:rsidRPr="00583E1A">
        <w:t>) at that time;</w:t>
      </w:r>
    </w:p>
    <w:p w:rsidR="00887330" w:rsidRPr="00583E1A" w:rsidRDefault="00887330" w:rsidP="00887330">
      <w:pPr>
        <w:pStyle w:val="subsection2"/>
      </w:pPr>
      <w:r w:rsidRPr="00583E1A">
        <w:t>by:</w:t>
      </w:r>
    </w:p>
    <w:p w:rsidR="00887330" w:rsidRPr="00583E1A" w:rsidRDefault="00887330" w:rsidP="00887330">
      <w:pPr>
        <w:pStyle w:val="paragraph"/>
      </w:pPr>
      <w:r w:rsidRPr="00583E1A">
        <w:tab/>
        <w:t>(b)</w:t>
      </w:r>
      <w:r w:rsidRPr="00583E1A">
        <w:tab/>
        <w:t>the sum of:</w:t>
      </w:r>
    </w:p>
    <w:p w:rsidR="00887330" w:rsidRPr="00583E1A" w:rsidRDefault="00887330" w:rsidP="00887330">
      <w:pPr>
        <w:pStyle w:val="paragraphsub"/>
      </w:pPr>
      <w:r w:rsidRPr="00583E1A">
        <w:tab/>
        <w:t>(i)</w:t>
      </w:r>
      <w:r w:rsidRPr="00583E1A">
        <w:tab/>
        <w:t>the intermediate company’s direct voting percentage (if any) in the subsidiary company at that time; and</w:t>
      </w:r>
    </w:p>
    <w:p w:rsidR="00887330" w:rsidRPr="00583E1A" w:rsidRDefault="00887330" w:rsidP="00887330">
      <w:pPr>
        <w:pStyle w:val="paragraphsub"/>
      </w:pPr>
      <w:r w:rsidRPr="00583E1A">
        <w:tab/>
        <w:t>(ii)</w:t>
      </w:r>
      <w:r w:rsidRPr="00583E1A">
        <w:tab/>
        <w:t>the intermediate company’s indirect voting percentage (if any) in the subsidiary company at that time (as worked out under one or more other applications of this section).</w:t>
      </w:r>
    </w:p>
    <w:p w:rsidR="00887330" w:rsidRPr="00583E1A" w:rsidRDefault="00887330" w:rsidP="00887330">
      <w:pPr>
        <w:pStyle w:val="subsection"/>
      </w:pPr>
      <w:r w:rsidRPr="00583E1A">
        <w:tab/>
        <w:t>(2)</w:t>
      </w:r>
      <w:r w:rsidRPr="00583E1A">
        <w:tab/>
        <w:t xml:space="preserve">If there is more than one intermediate company to which </w:t>
      </w:r>
      <w:r w:rsidR="00583E1A">
        <w:t>subsection (</w:t>
      </w:r>
      <w:r w:rsidRPr="00583E1A">
        <w:t xml:space="preserve">1) applies at that time, the entity’s </w:t>
      </w:r>
      <w:r w:rsidRPr="00583E1A">
        <w:rPr>
          <w:b/>
          <w:i/>
        </w:rPr>
        <w:t xml:space="preserve">indirect voting percentage </w:t>
      </w:r>
      <w:r w:rsidRPr="00583E1A">
        <w:t xml:space="preserve">is the sum of the percentages worked out under </w:t>
      </w:r>
      <w:r w:rsidR="00583E1A">
        <w:t>subsection (</w:t>
      </w:r>
      <w:r w:rsidRPr="00583E1A">
        <w:t>1) in relation to each of those intermediate companies.</w:t>
      </w:r>
    </w:p>
    <w:p w:rsidR="00887330" w:rsidRPr="00583E1A" w:rsidRDefault="00887330" w:rsidP="00887330">
      <w:pPr>
        <w:pStyle w:val="ActHead5"/>
      </w:pPr>
      <w:bookmarkStart w:id="25" w:name="_Toc338939099"/>
      <w:r w:rsidRPr="00583E1A">
        <w:rPr>
          <w:rStyle w:val="CharSectno"/>
        </w:rPr>
        <w:lastRenderedPageBreak/>
        <w:t>768</w:t>
      </w:r>
      <w:r w:rsidR="00583E1A">
        <w:rPr>
          <w:rStyle w:val="CharSectno"/>
        </w:rPr>
        <w:noBreakHyphen/>
      </w:r>
      <w:r w:rsidRPr="00583E1A">
        <w:rPr>
          <w:rStyle w:val="CharSectno"/>
        </w:rPr>
        <w:t>560</w:t>
      </w:r>
      <w:r w:rsidRPr="00583E1A">
        <w:t xml:space="preserve">  Total voting percentage in a company</w:t>
      </w:r>
      <w:bookmarkEnd w:id="25"/>
    </w:p>
    <w:p w:rsidR="00887330" w:rsidRPr="00583E1A" w:rsidRDefault="00887330" w:rsidP="00887330">
      <w:pPr>
        <w:pStyle w:val="subsection"/>
      </w:pPr>
      <w:r w:rsidRPr="00583E1A">
        <w:tab/>
      </w:r>
      <w:r w:rsidRPr="00583E1A">
        <w:tab/>
        <w:t xml:space="preserve">An entity’s </w:t>
      </w:r>
      <w:r w:rsidRPr="00583E1A">
        <w:rPr>
          <w:b/>
          <w:i/>
        </w:rPr>
        <w:t>total voting percentage</w:t>
      </w:r>
      <w:r w:rsidRPr="00583E1A">
        <w:t xml:space="preserve"> at a particular time</w:t>
      </w:r>
      <w:r w:rsidRPr="00583E1A">
        <w:rPr>
          <w:b/>
          <w:i/>
        </w:rPr>
        <w:t xml:space="preserve"> </w:t>
      </w:r>
      <w:r w:rsidRPr="00583E1A">
        <w:t>in a company is the sum of:</w:t>
      </w:r>
    </w:p>
    <w:p w:rsidR="00887330" w:rsidRPr="00583E1A" w:rsidRDefault="00887330" w:rsidP="00887330">
      <w:pPr>
        <w:pStyle w:val="paragraph"/>
      </w:pPr>
      <w:r w:rsidRPr="00583E1A">
        <w:tab/>
        <w:t>(a)</w:t>
      </w:r>
      <w:r w:rsidRPr="00583E1A">
        <w:tab/>
        <w:t xml:space="preserve">the entity’s </w:t>
      </w:r>
      <w:r w:rsidR="00583E1A" w:rsidRPr="00583E1A">
        <w:rPr>
          <w:position w:val="6"/>
          <w:sz w:val="16"/>
        </w:rPr>
        <w:t>*</w:t>
      </w:r>
      <w:r w:rsidRPr="00583E1A">
        <w:t>direct voting percentage in the company at that time; and</w:t>
      </w:r>
    </w:p>
    <w:p w:rsidR="00887330" w:rsidRPr="00583E1A" w:rsidRDefault="00887330" w:rsidP="00887330">
      <w:pPr>
        <w:pStyle w:val="paragraph"/>
      </w:pPr>
      <w:r w:rsidRPr="00583E1A">
        <w:tab/>
        <w:t>(b)</w:t>
      </w:r>
      <w:r w:rsidRPr="00583E1A">
        <w:tab/>
        <w:t xml:space="preserve">the entity’s </w:t>
      </w:r>
      <w:r w:rsidR="00583E1A" w:rsidRPr="00583E1A">
        <w:rPr>
          <w:position w:val="6"/>
          <w:sz w:val="16"/>
        </w:rPr>
        <w:t>*</w:t>
      </w:r>
      <w:r w:rsidRPr="00583E1A">
        <w:t>indirect voting percentage in the company at that time.</w:t>
      </w:r>
    </w:p>
    <w:p w:rsidR="00887330" w:rsidRPr="00583E1A" w:rsidRDefault="00887330" w:rsidP="00887330">
      <w:pPr>
        <w:pStyle w:val="ActHead4"/>
      </w:pPr>
      <w:bookmarkStart w:id="26" w:name="_Toc338939100"/>
      <w:r w:rsidRPr="00583E1A">
        <w:rPr>
          <w:rStyle w:val="CharSubdNo"/>
        </w:rPr>
        <w:t>Subdivision</w:t>
      </w:r>
      <w:r w:rsidR="00583E1A">
        <w:rPr>
          <w:rStyle w:val="CharSubdNo"/>
        </w:rPr>
        <w:t> </w:t>
      </w:r>
      <w:r w:rsidRPr="00583E1A">
        <w:rPr>
          <w:rStyle w:val="CharSubdNo"/>
        </w:rPr>
        <w:t>768</w:t>
      </w:r>
      <w:r w:rsidR="00583E1A">
        <w:rPr>
          <w:rStyle w:val="CharSubdNo"/>
        </w:rPr>
        <w:noBreakHyphen/>
      </w:r>
      <w:r w:rsidRPr="00583E1A">
        <w:rPr>
          <w:rStyle w:val="CharSubdNo"/>
        </w:rPr>
        <w:t>R</w:t>
      </w:r>
      <w:r w:rsidRPr="00583E1A">
        <w:t>—</w:t>
      </w:r>
      <w:r w:rsidRPr="00583E1A">
        <w:rPr>
          <w:rStyle w:val="CharSubdText"/>
        </w:rPr>
        <w:t>Temporary residents</w:t>
      </w:r>
      <w:bookmarkEnd w:id="26"/>
    </w:p>
    <w:p w:rsidR="00887330" w:rsidRPr="00583E1A" w:rsidRDefault="00887330" w:rsidP="00887330">
      <w:pPr>
        <w:pStyle w:val="ActHead4"/>
      </w:pPr>
      <w:bookmarkStart w:id="27" w:name="_Toc338939101"/>
      <w:r w:rsidRPr="00583E1A">
        <w:t>Guide to Subdivision</w:t>
      </w:r>
      <w:r w:rsidR="00583E1A">
        <w:t> </w:t>
      </w:r>
      <w:r w:rsidRPr="00583E1A">
        <w:t>768</w:t>
      </w:r>
      <w:r w:rsidR="00583E1A">
        <w:noBreakHyphen/>
      </w:r>
      <w:r w:rsidRPr="00583E1A">
        <w:t>R</w:t>
      </w:r>
      <w:bookmarkEnd w:id="27"/>
    </w:p>
    <w:p w:rsidR="00887330" w:rsidRPr="00583E1A" w:rsidRDefault="00887330" w:rsidP="00887330">
      <w:pPr>
        <w:pStyle w:val="ActHead5"/>
      </w:pPr>
      <w:bookmarkStart w:id="28" w:name="_Toc338939102"/>
      <w:r w:rsidRPr="00583E1A">
        <w:rPr>
          <w:rStyle w:val="CharSectno"/>
        </w:rPr>
        <w:t>768</w:t>
      </w:r>
      <w:r w:rsidR="00583E1A">
        <w:rPr>
          <w:rStyle w:val="CharSectno"/>
        </w:rPr>
        <w:noBreakHyphen/>
      </w:r>
      <w:r w:rsidRPr="00583E1A">
        <w:rPr>
          <w:rStyle w:val="CharSectno"/>
        </w:rPr>
        <w:t>900</w:t>
      </w:r>
      <w:r w:rsidRPr="00583E1A">
        <w:t xml:space="preserve">  What this Subdivision is about</w:t>
      </w:r>
      <w:bookmarkEnd w:id="28"/>
    </w:p>
    <w:p w:rsidR="00887330" w:rsidRPr="00583E1A" w:rsidRDefault="00887330" w:rsidP="00887330">
      <w:pPr>
        <w:pStyle w:val="BoxText"/>
      </w:pPr>
      <w:r w:rsidRPr="00583E1A">
        <w:t xml:space="preserve">This Subdivision modifies the general tax rules for people in </w:t>
      </w:r>
      <w:smartTag w:uri="urn:schemas-microsoft-com:office:smarttags" w:element="country-region">
        <w:smartTag w:uri="urn:schemas-microsoft-com:office:smarttags" w:element="place">
          <w:r w:rsidRPr="00583E1A">
            <w:t>Australia</w:t>
          </w:r>
        </w:smartTag>
      </w:smartTag>
      <w:r w:rsidRPr="00583E1A">
        <w:t xml:space="preserve"> who are temporary residents, whether Australian residents or foreign residents.</w:t>
      </w:r>
    </w:p>
    <w:p w:rsidR="00887330" w:rsidRPr="00583E1A" w:rsidRDefault="00887330" w:rsidP="00887330">
      <w:pPr>
        <w:pStyle w:val="BoxText"/>
      </w:pPr>
      <w:r w:rsidRPr="00583E1A">
        <w:t>Generally foreign income derived by temporary residents is non</w:t>
      </w:r>
      <w:r w:rsidR="00583E1A">
        <w:noBreakHyphen/>
      </w:r>
      <w:r w:rsidRPr="00583E1A">
        <w:t>assessable non</w:t>
      </w:r>
      <w:r w:rsidR="00583E1A">
        <w:noBreakHyphen/>
      </w:r>
      <w:r w:rsidRPr="00583E1A">
        <w:t>exempt income and capital gains and losses they make are also disregarded for CGT purposes. There are some exceptions for employment</w:t>
      </w:r>
      <w:r w:rsidR="00583E1A">
        <w:noBreakHyphen/>
      </w:r>
      <w:r w:rsidRPr="00583E1A">
        <w:t>related income and capital gains on shares and rights acquired under employee share schemes.</w:t>
      </w:r>
    </w:p>
    <w:p w:rsidR="00887330" w:rsidRPr="00583E1A" w:rsidRDefault="00887330" w:rsidP="00887330">
      <w:pPr>
        <w:pStyle w:val="BoxText"/>
      </w:pPr>
      <w:r w:rsidRPr="00583E1A">
        <w:t>Temporary residents are also partly relieved of record</w:t>
      </w:r>
      <w:r w:rsidR="00583E1A">
        <w:noBreakHyphen/>
      </w:r>
      <w:r w:rsidRPr="00583E1A">
        <w:t xml:space="preserve">keeping obligations in relation to the </w:t>
      </w:r>
      <w:r w:rsidR="00672FD5" w:rsidRPr="008706AC">
        <w:t>controlled foreign company rules</w:t>
      </w:r>
      <w:r w:rsidRPr="00583E1A">
        <w:t>.</w:t>
      </w:r>
    </w:p>
    <w:p w:rsidR="00887330" w:rsidRPr="00583E1A" w:rsidRDefault="00887330" w:rsidP="00887330">
      <w:pPr>
        <w:pStyle w:val="BoxText"/>
      </w:pPr>
      <w:r w:rsidRPr="00583E1A">
        <w:t>Interest paid by temporary residents is not subject to withholding tax and may be non</w:t>
      </w:r>
      <w:r w:rsidR="00583E1A">
        <w:noBreakHyphen/>
      </w:r>
      <w:r w:rsidRPr="00583E1A">
        <w:t>assessable non</w:t>
      </w:r>
      <w:r w:rsidR="00583E1A">
        <w:noBreakHyphen/>
      </w:r>
      <w:r w:rsidRPr="00583E1A">
        <w:t>exempt income for a foreign resident.</w:t>
      </w:r>
    </w:p>
    <w:p w:rsidR="00887330" w:rsidRPr="00583E1A" w:rsidRDefault="00887330" w:rsidP="00887330">
      <w:pPr>
        <w:pStyle w:val="TofSectsHeading"/>
      </w:pPr>
      <w:r w:rsidRPr="00583E1A">
        <w:t>Table of sections</w:t>
      </w:r>
    </w:p>
    <w:p w:rsidR="00887330" w:rsidRPr="00583E1A" w:rsidRDefault="00887330" w:rsidP="00887330">
      <w:pPr>
        <w:pStyle w:val="TofSectsGroupHeading"/>
      </w:pPr>
      <w:r w:rsidRPr="00583E1A">
        <w:t>Operative provisions</w:t>
      </w:r>
    </w:p>
    <w:p w:rsidR="00887330" w:rsidRPr="00583E1A" w:rsidRDefault="00887330" w:rsidP="00887330">
      <w:pPr>
        <w:pStyle w:val="TofSectsSection"/>
      </w:pPr>
      <w:r w:rsidRPr="00583E1A">
        <w:t>768</w:t>
      </w:r>
      <w:r w:rsidR="00583E1A">
        <w:noBreakHyphen/>
      </w:r>
      <w:r w:rsidRPr="00583E1A">
        <w:t>905</w:t>
      </w:r>
      <w:r w:rsidRPr="00583E1A">
        <w:tab/>
        <w:t>Objects</w:t>
      </w:r>
    </w:p>
    <w:p w:rsidR="00887330" w:rsidRPr="00583E1A" w:rsidRDefault="00887330" w:rsidP="00887330">
      <w:pPr>
        <w:pStyle w:val="TofSectsSection"/>
      </w:pPr>
      <w:r w:rsidRPr="00583E1A">
        <w:t>768</w:t>
      </w:r>
      <w:r w:rsidR="00583E1A">
        <w:noBreakHyphen/>
      </w:r>
      <w:r w:rsidRPr="00583E1A">
        <w:t>910</w:t>
      </w:r>
      <w:r w:rsidRPr="00583E1A">
        <w:tab/>
        <w:t>Income derived by temporary resident</w:t>
      </w:r>
    </w:p>
    <w:p w:rsidR="00887330" w:rsidRPr="00583E1A" w:rsidRDefault="00887330" w:rsidP="00887330">
      <w:pPr>
        <w:pStyle w:val="TofSectsSection"/>
      </w:pPr>
      <w:r w:rsidRPr="00583E1A">
        <w:t>768</w:t>
      </w:r>
      <w:r w:rsidR="00583E1A">
        <w:noBreakHyphen/>
      </w:r>
      <w:r w:rsidRPr="00583E1A">
        <w:t>915</w:t>
      </w:r>
      <w:r w:rsidRPr="00583E1A">
        <w:tab/>
        <w:t>Certain capital gains and capital losses of temporary resident to be disregarded</w:t>
      </w:r>
    </w:p>
    <w:p w:rsidR="00887330" w:rsidRPr="00583E1A" w:rsidRDefault="00887330" w:rsidP="00887330">
      <w:pPr>
        <w:pStyle w:val="TofSectsSection"/>
      </w:pPr>
      <w:r w:rsidRPr="00583E1A">
        <w:lastRenderedPageBreak/>
        <w:t>768</w:t>
      </w:r>
      <w:r w:rsidR="00583E1A">
        <w:noBreakHyphen/>
      </w:r>
      <w:r w:rsidRPr="00583E1A">
        <w:t>950</w:t>
      </w:r>
      <w:r w:rsidRPr="00583E1A">
        <w:tab/>
        <w:t>Individual becoming an Australian resident</w:t>
      </w:r>
    </w:p>
    <w:p w:rsidR="00887330" w:rsidRPr="00583E1A" w:rsidRDefault="00887330" w:rsidP="00887330">
      <w:pPr>
        <w:pStyle w:val="TofSectsSection"/>
      </w:pPr>
      <w:r w:rsidRPr="00583E1A">
        <w:t>768</w:t>
      </w:r>
      <w:r w:rsidR="00583E1A">
        <w:noBreakHyphen/>
      </w:r>
      <w:r w:rsidRPr="00583E1A">
        <w:t>955</w:t>
      </w:r>
      <w:r w:rsidRPr="00583E1A">
        <w:tab/>
        <w:t>Temporary resident who ceases to be temporary resident but remains an Australian resident</w:t>
      </w:r>
    </w:p>
    <w:p w:rsidR="00887330" w:rsidRPr="00583E1A" w:rsidRDefault="00887330" w:rsidP="00887330">
      <w:pPr>
        <w:pStyle w:val="TofSectsSection"/>
      </w:pPr>
      <w:r w:rsidRPr="00583E1A">
        <w:t>768</w:t>
      </w:r>
      <w:r w:rsidR="00583E1A">
        <w:noBreakHyphen/>
      </w:r>
      <w:r w:rsidRPr="00583E1A">
        <w:t>960</w:t>
      </w:r>
      <w:r w:rsidRPr="00583E1A">
        <w:tab/>
        <w:t>Temporary resident not attributable taxpayer for purposes of controlled foreign companies rules</w:t>
      </w:r>
    </w:p>
    <w:p w:rsidR="00887330" w:rsidRPr="00583E1A" w:rsidRDefault="00887330" w:rsidP="00887330">
      <w:pPr>
        <w:pStyle w:val="TofSectsSection"/>
      </w:pPr>
      <w:r w:rsidRPr="00583E1A">
        <w:t>768</w:t>
      </w:r>
      <w:r w:rsidR="00583E1A">
        <w:noBreakHyphen/>
      </w:r>
      <w:r w:rsidRPr="00583E1A">
        <w:t>970</w:t>
      </w:r>
      <w:r w:rsidRPr="00583E1A">
        <w:tab/>
        <w:t>Modification of rules for accruals system of taxation of certain non</w:t>
      </w:r>
      <w:r w:rsidR="00583E1A">
        <w:noBreakHyphen/>
      </w:r>
      <w:r w:rsidRPr="00583E1A">
        <w:t>resident trust estates</w:t>
      </w:r>
    </w:p>
    <w:p w:rsidR="00887330" w:rsidRPr="00583E1A" w:rsidRDefault="00887330" w:rsidP="00887330">
      <w:pPr>
        <w:pStyle w:val="TofSectsSection"/>
      </w:pPr>
      <w:r w:rsidRPr="00583E1A">
        <w:t>768</w:t>
      </w:r>
      <w:r w:rsidR="00583E1A">
        <w:noBreakHyphen/>
      </w:r>
      <w:r w:rsidRPr="00583E1A">
        <w:t>980</w:t>
      </w:r>
      <w:r w:rsidRPr="00583E1A">
        <w:tab/>
        <w:t>Interest paid by temporary resident</w:t>
      </w:r>
    </w:p>
    <w:p w:rsidR="00887330" w:rsidRPr="00583E1A" w:rsidRDefault="00887330" w:rsidP="0018527D">
      <w:pPr>
        <w:pStyle w:val="ActHead4"/>
      </w:pPr>
      <w:bookmarkStart w:id="29" w:name="_Toc338939103"/>
      <w:r w:rsidRPr="00583E1A">
        <w:t>Operative provisions</w:t>
      </w:r>
      <w:bookmarkEnd w:id="29"/>
    </w:p>
    <w:p w:rsidR="00887330" w:rsidRPr="00583E1A" w:rsidRDefault="00887330" w:rsidP="0018527D">
      <w:pPr>
        <w:pStyle w:val="ActHead5"/>
      </w:pPr>
      <w:bookmarkStart w:id="30" w:name="_Toc338939104"/>
      <w:r w:rsidRPr="00583E1A">
        <w:rPr>
          <w:rStyle w:val="CharSectno"/>
        </w:rPr>
        <w:t>768</w:t>
      </w:r>
      <w:r w:rsidR="00583E1A">
        <w:rPr>
          <w:rStyle w:val="CharSectno"/>
        </w:rPr>
        <w:noBreakHyphen/>
      </w:r>
      <w:r w:rsidRPr="00583E1A">
        <w:rPr>
          <w:rStyle w:val="CharSectno"/>
        </w:rPr>
        <w:t>905</w:t>
      </w:r>
      <w:r w:rsidRPr="00583E1A">
        <w:t xml:space="preserve">  Objects</w:t>
      </w:r>
      <w:bookmarkEnd w:id="30"/>
    </w:p>
    <w:p w:rsidR="00887330" w:rsidRPr="00583E1A" w:rsidRDefault="00887330" w:rsidP="0018527D">
      <w:pPr>
        <w:pStyle w:val="subsection"/>
        <w:keepNext/>
        <w:keepLines/>
      </w:pPr>
      <w:r w:rsidRPr="00583E1A">
        <w:tab/>
      </w:r>
      <w:r w:rsidRPr="00583E1A">
        <w:tab/>
        <w:t>The objects of this Subdivision are to:</w:t>
      </w:r>
    </w:p>
    <w:p w:rsidR="00887330" w:rsidRPr="00583E1A" w:rsidRDefault="00887330" w:rsidP="00887330">
      <w:pPr>
        <w:pStyle w:val="paragraph"/>
      </w:pPr>
      <w:r w:rsidRPr="00583E1A">
        <w:tab/>
        <w:t>(a)</w:t>
      </w:r>
      <w:r w:rsidRPr="00583E1A">
        <w:tab/>
        <w:t xml:space="preserve">provide </w:t>
      </w:r>
      <w:r w:rsidR="00583E1A" w:rsidRPr="00583E1A">
        <w:rPr>
          <w:position w:val="6"/>
          <w:sz w:val="16"/>
        </w:rPr>
        <w:t>*</w:t>
      </w:r>
      <w:r w:rsidRPr="00583E1A">
        <w:t>temporary residents with tax relief on most foreign source income and capital gains; and</w:t>
      </w:r>
    </w:p>
    <w:p w:rsidR="00887330" w:rsidRPr="00583E1A" w:rsidRDefault="00887330" w:rsidP="00887330">
      <w:pPr>
        <w:pStyle w:val="paragraph"/>
      </w:pPr>
      <w:r w:rsidRPr="00583E1A">
        <w:tab/>
        <w:t>(b)</w:t>
      </w:r>
      <w:r w:rsidRPr="00583E1A">
        <w:tab/>
        <w:t>relieve the burdens associated with complying with certain record</w:t>
      </w:r>
      <w:r w:rsidR="00583E1A">
        <w:noBreakHyphen/>
      </w:r>
      <w:r w:rsidRPr="00583E1A">
        <w:t>keeping obligations and interest withholding tax obligations.</w:t>
      </w:r>
    </w:p>
    <w:p w:rsidR="00887330" w:rsidRPr="00583E1A" w:rsidRDefault="00887330" w:rsidP="00887330">
      <w:pPr>
        <w:pStyle w:val="ActHead5"/>
      </w:pPr>
      <w:bookmarkStart w:id="31" w:name="_Toc338939105"/>
      <w:r w:rsidRPr="00583E1A">
        <w:rPr>
          <w:rStyle w:val="CharSectno"/>
        </w:rPr>
        <w:t>768</w:t>
      </w:r>
      <w:r w:rsidR="00583E1A">
        <w:rPr>
          <w:rStyle w:val="CharSectno"/>
        </w:rPr>
        <w:noBreakHyphen/>
      </w:r>
      <w:r w:rsidRPr="00583E1A">
        <w:rPr>
          <w:rStyle w:val="CharSectno"/>
        </w:rPr>
        <w:t>910</w:t>
      </w:r>
      <w:r w:rsidRPr="00583E1A">
        <w:t xml:space="preserve">  Income derived by temporary resident</w:t>
      </w:r>
      <w:bookmarkEnd w:id="31"/>
    </w:p>
    <w:p w:rsidR="00887330" w:rsidRPr="00583E1A" w:rsidRDefault="00887330" w:rsidP="00887330">
      <w:pPr>
        <w:pStyle w:val="subsection"/>
      </w:pPr>
      <w:r w:rsidRPr="00583E1A">
        <w:tab/>
        <w:t>(1)</w:t>
      </w:r>
      <w:r w:rsidRPr="00583E1A">
        <w:tab/>
        <w:t xml:space="preserve">The following are </w:t>
      </w:r>
      <w:r w:rsidR="00583E1A" w:rsidRPr="00583E1A">
        <w:rPr>
          <w:position w:val="6"/>
          <w:sz w:val="16"/>
        </w:rPr>
        <w:t>*</w:t>
      </w:r>
      <w:r w:rsidRPr="00583E1A">
        <w:t>non</w:t>
      </w:r>
      <w:r w:rsidR="00583E1A">
        <w:noBreakHyphen/>
      </w:r>
      <w:r w:rsidRPr="00583E1A">
        <w:t>assessable non</w:t>
      </w:r>
      <w:r w:rsidR="00583E1A">
        <w:noBreakHyphen/>
      </w:r>
      <w:r w:rsidRPr="00583E1A">
        <w:t>exempt income:</w:t>
      </w:r>
    </w:p>
    <w:p w:rsidR="00887330" w:rsidRPr="00583E1A" w:rsidRDefault="00887330" w:rsidP="00887330">
      <w:pPr>
        <w:pStyle w:val="paragraph"/>
      </w:pPr>
      <w:r w:rsidRPr="00583E1A">
        <w:tab/>
        <w:t>(a)</w:t>
      </w:r>
      <w:r w:rsidRPr="00583E1A">
        <w:tab/>
        <w:t xml:space="preserve">the </w:t>
      </w:r>
      <w:r w:rsidR="00583E1A" w:rsidRPr="00583E1A">
        <w:rPr>
          <w:position w:val="6"/>
          <w:sz w:val="16"/>
        </w:rPr>
        <w:t>*</w:t>
      </w:r>
      <w:r w:rsidRPr="00583E1A">
        <w:t xml:space="preserve">ordinary income you </w:t>
      </w:r>
      <w:r w:rsidR="00583E1A" w:rsidRPr="00583E1A">
        <w:rPr>
          <w:position w:val="6"/>
          <w:sz w:val="16"/>
        </w:rPr>
        <w:t>*</w:t>
      </w:r>
      <w:r w:rsidRPr="00583E1A">
        <w:t xml:space="preserve">derive directly or indirectly from a source other than an </w:t>
      </w:r>
      <w:r w:rsidR="00583E1A" w:rsidRPr="00583E1A">
        <w:rPr>
          <w:position w:val="6"/>
          <w:sz w:val="16"/>
        </w:rPr>
        <w:t>*</w:t>
      </w:r>
      <w:r w:rsidRPr="00583E1A">
        <w:t xml:space="preserve">Australian source if you are a </w:t>
      </w:r>
      <w:r w:rsidR="00583E1A" w:rsidRPr="00583E1A">
        <w:rPr>
          <w:position w:val="6"/>
          <w:sz w:val="16"/>
        </w:rPr>
        <w:t>*</w:t>
      </w:r>
      <w:r w:rsidRPr="00583E1A">
        <w:t>temporary resident when you derive it;</w:t>
      </w:r>
    </w:p>
    <w:p w:rsidR="00887330" w:rsidRPr="00583E1A" w:rsidRDefault="00887330" w:rsidP="00887330">
      <w:pPr>
        <w:pStyle w:val="paragraph"/>
      </w:pPr>
      <w:r w:rsidRPr="00583E1A">
        <w:tab/>
        <w:t>(b)</w:t>
      </w:r>
      <w:r w:rsidRPr="00583E1A">
        <w:tab/>
        <w:t xml:space="preserve">your </w:t>
      </w:r>
      <w:r w:rsidR="00583E1A" w:rsidRPr="00583E1A">
        <w:rPr>
          <w:position w:val="6"/>
          <w:sz w:val="16"/>
        </w:rPr>
        <w:t>*</w:t>
      </w:r>
      <w:r w:rsidRPr="00583E1A">
        <w:t xml:space="preserve">statutory income (other than a </w:t>
      </w:r>
      <w:r w:rsidR="00583E1A" w:rsidRPr="00583E1A">
        <w:rPr>
          <w:position w:val="6"/>
          <w:sz w:val="16"/>
        </w:rPr>
        <w:t>*</w:t>
      </w:r>
      <w:r w:rsidRPr="00583E1A">
        <w:t>net capital gain) from a source other than an Australian source if you are a temporary resident when you derive it.</w:t>
      </w:r>
    </w:p>
    <w:p w:rsidR="00887330" w:rsidRPr="00583E1A" w:rsidRDefault="00887330" w:rsidP="00887330">
      <w:pPr>
        <w:pStyle w:val="subsection2"/>
      </w:pPr>
      <w:r w:rsidRPr="00583E1A">
        <w:t xml:space="preserve">This subsection has effect subject to </w:t>
      </w:r>
      <w:r w:rsidR="00583E1A">
        <w:t>subsections (</w:t>
      </w:r>
      <w:r w:rsidRPr="00583E1A">
        <w:t>3) and (5).</w:t>
      </w:r>
    </w:p>
    <w:p w:rsidR="00887330" w:rsidRPr="00583E1A" w:rsidRDefault="00887330" w:rsidP="00887330">
      <w:pPr>
        <w:pStyle w:val="notetext"/>
      </w:pPr>
      <w:r w:rsidRPr="00583E1A">
        <w:t>Note:</w:t>
      </w:r>
      <w:r w:rsidRPr="00583E1A">
        <w:tab/>
        <w:t>A capital gain or loss you make may be disregarded under section</w:t>
      </w:r>
      <w:r w:rsidR="00583E1A">
        <w:t> </w:t>
      </w:r>
      <w:r w:rsidRPr="00583E1A">
        <w:t>768</w:t>
      </w:r>
      <w:r w:rsidR="00583E1A">
        <w:noBreakHyphen/>
      </w:r>
      <w:r w:rsidRPr="00583E1A">
        <w:t>915.</w:t>
      </w:r>
    </w:p>
    <w:p w:rsidR="00887330" w:rsidRPr="00583E1A" w:rsidRDefault="00887330" w:rsidP="00887330">
      <w:pPr>
        <w:pStyle w:val="subsection"/>
      </w:pPr>
      <w:r w:rsidRPr="00583E1A">
        <w:tab/>
        <w:t>(2)</w:t>
      </w:r>
      <w:r w:rsidRPr="00583E1A">
        <w:tab/>
        <w:t xml:space="preserve">For the purposes of </w:t>
      </w:r>
      <w:r w:rsidR="00583E1A">
        <w:t>paragraph (</w:t>
      </w:r>
      <w:r w:rsidRPr="00583E1A">
        <w:t>1)(b):</w:t>
      </w:r>
    </w:p>
    <w:p w:rsidR="00887330" w:rsidRPr="00583E1A" w:rsidRDefault="00887330" w:rsidP="00887330">
      <w:pPr>
        <w:pStyle w:val="paragraph"/>
      </w:pPr>
      <w:r w:rsidRPr="00583E1A">
        <w:tab/>
        <w:t>(a)</w:t>
      </w:r>
      <w:r w:rsidRPr="00583E1A">
        <w:tab/>
        <w:t>if you have statutory income because a particular circumstance occurs, you derive the statutory income at the time when the circumstance occurs; and</w:t>
      </w:r>
    </w:p>
    <w:p w:rsidR="00887330" w:rsidRPr="00583E1A" w:rsidRDefault="00887330" w:rsidP="00887330">
      <w:pPr>
        <w:pStyle w:val="paragraph"/>
      </w:pPr>
      <w:r w:rsidRPr="00583E1A">
        <w:tab/>
        <w:t>(b)</w:t>
      </w:r>
      <w:r w:rsidRPr="00583E1A">
        <w:tab/>
        <w:t>if you have statutory income because a number of circumstances occur, you derive the statutory income at the time when the last of those circumstances occurs.</w:t>
      </w:r>
    </w:p>
    <w:p w:rsidR="00887330" w:rsidRPr="00583E1A" w:rsidRDefault="00887330" w:rsidP="00887330">
      <w:pPr>
        <w:pStyle w:val="SubsectionHead"/>
      </w:pPr>
      <w:r w:rsidRPr="00583E1A">
        <w:lastRenderedPageBreak/>
        <w:t xml:space="preserve">Exception to </w:t>
      </w:r>
      <w:r w:rsidR="00583E1A">
        <w:t>subsection (</w:t>
      </w:r>
      <w:r w:rsidRPr="00583E1A">
        <w:t>1)</w:t>
      </w:r>
    </w:p>
    <w:p w:rsidR="00887330" w:rsidRPr="00583E1A" w:rsidRDefault="00887330" w:rsidP="00887330">
      <w:pPr>
        <w:pStyle w:val="subsection"/>
      </w:pPr>
      <w:r w:rsidRPr="00583E1A">
        <w:tab/>
        <w:t>(3)</w:t>
      </w:r>
      <w:r w:rsidRPr="00583E1A">
        <w:tab/>
        <w:t xml:space="preserve">However, the following are not </w:t>
      </w:r>
      <w:r w:rsidR="00583E1A" w:rsidRPr="00583E1A">
        <w:rPr>
          <w:position w:val="6"/>
          <w:sz w:val="16"/>
        </w:rPr>
        <w:t>*</w:t>
      </w:r>
      <w:r w:rsidRPr="00583E1A">
        <w:t>non</w:t>
      </w:r>
      <w:r w:rsidR="00583E1A">
        <w:noBreakHyphen/>
      </w:r>
      <w:r w:rsidRPr="00583E1A">
        <w:t>assessable non</w:t>
      </w:r>
      <w:r w:rsidR="00583E1A">
        <w:noBreakHyphen/>
      </w:r>
      <w:r w:rsidRPr="00583E1A">
        <w:t xml:space="preserve">exempt income under </w:t>
      </w:r>
      <w:r w:rsidR="00583E1A">
        <w:t>subsection (</w:t>
      </w:r>
      <w:r w:rsidRPr="00583E1A">
        <w:t>1):</w:t>
      </w:r>
    </w:p>
    <w:p w:rsidR="00887330" w:rsidRPr="00583E1A" w:rsidRDefault="00887330" w:rsidP="00887330">
      <w:pPr>
        <w:pStyle w:val="paragraph"/>
      </w:pPr>
      <w:r w:rsidRPr="00583E1A">
        <w:tab/>
        <w:t>(a)</w:t>
      </w:r>
      <w:r w:rsidRPr="00583E1A">
        <w:tab/>
        <w:t xml:space="preserve">the </w:t>
      </w:r>
      <w:r w:rsidR="00583E1A" w:rsidRPr="00583E1A">
        <w:rPr>
          <w:position w:val="6"/>
          <w:sz w:val="16"/>
        </w:rPr>
        <w:t>*</w:t>
      </w:r>
      <w:r w:rsidRPr="00583E1A">
        <w:t xml:space="preserve">ordinary income you </w:t>
      </w:r>
      <w:r w:rsidR="00583E1A" w:rsidRPr="00583E1A">
        <w:rPr>
          <w:position w:val="6"/>
          <w:sz w:val="16"/>
        </w:rPr>
        <w:t>*</w:t>
      </w:r>
      <w:r w:rsidRPr="00583E1A">
        <w:t xml:space="preserve">derive directly or indirectly from a source other than an </w:t>
      </w:r>
      <w:r w:rsidR="00583E1A" w:rsidRPr="00583E1A">
        <w:rPr>
          <w:position w:val="6"/>
          <w:sz w:val="16"/>
        </w:rPr>
        <w:t>*</w:t>
      </w:r>
      <w:r w:rsidRPr="00583E1A">
        <w:t xml:space="preserve">Australian source to the extent that it is remuneration, for employment undertaken, or services provided, while you are a </w:t>
      </w:r>
      <w:r w:rsidR="00583E1A" w:rsidRPr="00583E1A">
        <w:rPr>
          <w:position w:val="6"/>
          <w:sz w:val="16"/>
        </w:rPr>
        <w:t>*</w:t>
      </w:r>
      <w:r w:rsidRPr="00583E1A">
        <w:t>temporary resident;</w:t>
      </w:r>
    </w:p>
    <w:p w:rsidR="00887330" w:rsidRPr="00583E1A" w:rsidRDefault="00887330" w:rsidP="00887330">
      <w:pPr>
        <w:pStyle w:val="paragraph"/>
      </w:pPr>
      <w:r w:rsidRPr="00583E1A">
        <w:tab/>
        <w:t>(b)</w:t>
      </w:r>
      <w:r w:rsidRPr="00583E1A">
        <w:tab/>
        <w:t xml:space="preserve">your </w:t>
      </w:r>
      <w:r w:rsidR="00583E1A" w:rsidRPr="00583E1A">
        <w:rPr>
          <w:position w:val="6"/>
          <w:sz w:val="16"/>
        </w:rPr>
        <w:t>*</w:t>
      </w:r>
      <w:r w:rsidRPr="00583E1A">
        <w:t xml:space="preserve">statutory income (other than a </w:t>
      </w:r>
      <w:r w:rsidR="00583E1A" w:rsidRPr="00583E1A">
        <w:rPr>
          <w:position w:val="6"/>
          <w:sz w:val="16"/>
        </w:rPr>
        <w:t>*</w:t>
      </w:r>
      <w:r w:rsidRPr="00583E1A">
        <w:t>net capital gain) from a source other than an Australian source to the extent that it relates to employment undertaken, or services provided, while you are a temporary resident;</w:t>
      </w:r>
    </w:p>
    <w:p w:rsidR="00887330" w:rsidRPr="00583E1A" w:rsidRDefault="00887330" w:rsidP="00887330">
      <w:pPr>
        <w:pStyle w:val="paragraph"/>
      </w:pPr>
      <w:r w:rsidRPr="00583E1A">
        <w:tab/>
        <w:t>(c)</w:t>
      </w:r>
      <w:r w:rsidRPr="00583E1A">
        <w:tab/>
        <w:t xml:space="preserve">an amount included in your assessable income under </w:t>
      </w:r>
      <w:r w:rsidR="004F2311" w:rsidRPr="00303F70">
        <w:t>Division 86.</w:t>
      </w:r>
    </w:p>
    <w:p w:rsidR="00887330" w:rsidRPr="00583E1A" w:rsidRDefault="00887330" w:rsidP="00887330">
      <w:pPr>
        <w:pStyle w:val="notetext"/>
      </w:pPr>
      <w:r w:rsidRPr="00583E1A">
        <w:t>Note:</w:t>
      </w:r>
      <w:r w:rsidRPr="00583E1A">
        <w:tab/>
        <w:t>This subsection only makes an amount not non</w:t>
      </w:r>
      <w:r w:rsidR="00583E1A">
        <w:noBreakHyphen/>
      </w:r>
      <w:r w:rsidRPr="00583E1A">
        <w:t>assessable non</w:t>
      </w:r>
      <w:r w:rsidR="00583E1A">
        <w:noBreakHyphen/>
      </w:r>
      <w:r w:rsidRPr="00583E1A">
        <w:t xml:space="preserve">exempt income under </w:t>
      </w:r>
      <w:r w:rsidR="00583E1A">
        <w:t>subsection (</w:t>
      </w:r>
      <w:r w:rsidRPr="00583E1A">
        <w:t>1). It does not prevent that amount from being non</w:t>
      </w:r>
      <w:r w:rsidR="00583E1A">
        <w:noBreakHyphen/>
      </w:r>
      <w:r w:rsidRPr="00583E1A">
        <w:t>assessable non</w:t>
      </w:r>
      <w:r w:rsidR="00583E1A">
        <w:noBreakHyphen/>
      </w:r>
      <w:r w:rsidRPr="00583E1A">
        <w:t xml:space="preserve">exempt income under some other provision of this Act or the </w:t>
      </w:r>
      <w:r w:rsidRPr="00583E1A">
        <w:rPr>
          <w:i/>
        </w:rPr>
        <w:t>Income Tax Assessment Act 1936</w:t>
      </w:r>
      <w:r w:rsidRPr="00583E1A">
        <w:t>.</w:t>
      </w:r>
    </w:p>
    <w:p w:rsidR="00887330" w:rsidRPr="00583E1A" w:rsidRDefault="00887330" w:rsidP="00887330">
      <w:pPr>
        <w:pStyle w:val="ActHead5"/>
      </w:pPr>
      <w:bookmarkStart w:id="32" w:name="_Toc338939106"/>
      <w:r w:rsidRPr="00583E1A">
        <w:rPr>
          <w:rStyle w:val="CharSectno"/>
        </w:rPr>
        <w:t>768</w:t>
      </w:r>
      <w:r w:rsidR="00583E1A">
        <w:rPr>
          <w:rStyle w:val="CharSectno"/>
        </w:rPr>
        <w:noBreakHyphen/>
      </w:r>
      <w:r w:rsidRPr="00583E1A">
        <w:rPr>
          <w:rStyle w:val="CharSectno"/>
        </w:rPr>
        <w:t>915</w:t>
      </w:r>
      <w:r w:rsidRPr="00583E1A">
        <w:t xml:space="preserve">  Certain capital gains and capital losses of temporary resident to be disregarded</w:t>
      </w:r>
      <w:bookmarkEnd w:id="32"/>
    </w:p>
    <w:p w:rsidR="00887330" w:rsidRPr="00583E1A" w:rsidRDefault="00887330" w:rsidP="00887330">
      <w:pPr>
        <w:pStyle w:val="subsection"/>
      </w:pPr>
      <w:r w:rsidRPr="00583E1A">
        <w:tab/>
      </w:r>
      <w:r w:rsidRPr="00583E1A">
        <w:tab/>
        <w:t xml:space="preserve">A </w:t>
      </w:r>
      <w:r w:rsidR="00583E1A" w:rsidRPr="00583E1A">
        <w:rPr>
          <w:position w:val="6"/>
          <w:sz w:val="16"/>
        </w:rPr>
        <w:t>*</w:t>
      </w:r>
      <w:r w:rsidRPr="00583E1A">
        <w:t xml:space="preserve">capital gain or </w:t>
      </w:r>
      <w:r w:rsidR="00583E1A" w:rsidRPr="00583E1A">
        <w:rPr>
          <w:position w:val="6"/>
          <w:sz w:val="16"/>
        </w:rPr>
        <w:t>*</w:t>
      </w:r>
      <w:r w:rsidRPr="00583E1A">
        <w:t xml:space="preserve">capital loss you make from a </w:t>
      </w:r>
      <w:r w:rsidR="00583E1A" w:rsidRPr="00583E1A">
        <w:rPr>
          <w:position w:val="6"/>
          <w:sz w:val="16"/>
        </w:rPr>
        <w:t>*</w:t>
      </w:r>
      <w:r w:rsidRPr="00583E1A">
        <w:t>CGT event is disregarded if:</w:t>
      </w:r>
    </w:p>
    <w:p w:rsidR="00887330" w:rsidRPr="00583E1A" w:rsidRDefault="00887330" w:rsidP="00887330">
      <w:pPr>
        <w:pStyle w:val="paragraph"/>
      </w:pPr>
      <w:r w:rsidRPr="00583E1A">
        <w:tab/>
        <w:t>(a)</w:t>
      </w:r>
      <w:r w:rsidRPr="00583E1A">
        <w:tab/>
        <w:t xml:space="preserve">you are a </w:t>
      </w:r>
      <w:r w:rsidR="00583E1A" w:rsidRPr="00583E1A">
        <w:rPr>
          <w:position w:val="6"/>
          <w:sz w:val="16"/>
        </w:rPr>
        <w:t>*</w:t>
      </w:r>
      <w:r w:rsidRPr="00583E1A">
        <w:t>temporary resident when, or immediately before, the CGT event happens; and</w:t>
      </w:r>
    </w:p>
    <w:p w:rsidR="00887330" w:rsidRPr="00583E1A" w:rsidRDefault="00887330" w:rsidP="00887330">
      <w:pPr>
        <w:pStyle w:val="paragraph"/>
      </w:pPr>
      <w:r w:rsidRPr="00583E1A">
        <w:tab/>
        <w:t>(b)</w:t>
      </w:r>
      <w:r w:rsidRPr="00583E1A">
        <w:tab/>
        <w:t>you would not make a capital gain or loss from the CGT event</w:t>
      </w:r>
      <w:r w:rsidR="0041170B" w:rsidRPr="00583E1A">
        <w:t>, or the capital gain or loss from the CGT event would have been disregarded under Division</w:t>
      </w:r>
      <w:r w:rsidR="00583E1A">
        <w:t> </w:t>
      </w:r>
      <w:r w:rsidR="0041170B" w:rsidRPr="00583E1A">
        <w:t>855,</w:t>
      </w:r>
      <w:r w:rsidRPr="00583E1A">
        <w:t xml:space="preserve"> if you were a foreign resident when, or immediately before, the CGT event happens.</w:t>
      </w:r>
    </w:p>
    <w:p w:rsidR="00887330" w:rsidRPr="00583E1A" w:rsidRDefault="00887330" w:rsidP="00887330">
      <w:pPr>
        <w:pStyle w:val="ActHead5"/>
      </w:pPr>
      <w:bookmarkStart w:id="33" w:name="_Toc338939107"/>
      <w:r w:rsidRPr="00583E1A">
        <w:rPr>
          <w:rStyle w:val="CharSectno"/>
        </w:rPr>
        <w:t>768</w:t>
      </w:r>
      <w:r w:rsidR="00583E1A">
        <w:rPr>
          <w:rStyle w:val="CharSectno"/>
        </w:rPr>
        <w:noBreakHyphen/>
      </w:r>
      <w:r w:rsidRPr="00583E1A">
        <w:rPr>
          <w:rStyle w:val="CharSectno"/>
        </w:rPr>
        <w:t>950</w:t>
      </w:r>
      <w:r w:rsidRPr="00583E1A">
        <w:t xml:space="preserve">  Individual becoming an Australian resident</w:t>
      </w:r>
      <w:bookmarkEnd w:id="33"/>
    </w:p>
    <w:p w:rsidR="00887330" w:rsidRPr="00583E1A" w:rsidRDefault="00887330" w:rsidP="00887330">
      <w:pPr>
        <w:pStyle w:val="subsection"/>
      </w:pPr>
      <w:r w:rsidRPr="00583E1A">
        <w:tab/>
      </w:r>
      <w:r w:rsidRPr="00583E1A">
        <w:tab/>
      </w:r>
      <w:r w:rsidR="00D84D6E" w:rsidRPr="00583E1A">
        <w:t>Section</w:t>
      </w:r>
      <w:r w:rsidR="00583E1A">
        <w:t> </w:t>
      </w:r>
      <w:r w:rsidR="00D84D6E" w:rsidRPr="00583E1A">
        <w:t>855</w:t>
      </w:r>
      <w:r w:rsidR="00583E1A">
        <w:noBreakHyphen/>
      </w:r>
      <w:r w:rsidR="00D84D6E" w:rsidRPr="00583E1A">
        <w:t>45</w:t>
      </w:r>
      <w:r w:rsidRPr="00583E1A">
        <w:t xml:space="preserve"> does not apply to your becoming an Australian resident if you are a </w:t>
      </w:r>
      <w:r w:rsidR="00583E1A" w:rsidRPr="00583E1A">
        <w:rPr>
          <w:position w:val="6"/>
          <w:sz w:val="16"/>
        </w:rPr>
        <w:t>*</w:t>
      </w:r>
      <w:r w:rsidRPr="00583E1A">
        <w:t>temporary resident immediately after you become an Australian resident.</w:t>
      </w:r>
    </w:p>
    <w:p w:rsidR="00887330" w:rsidRPr="00583E1A" w:rsidRDefault="00887330" w:rsidP="00887330">
      <w:pPr>
        <w:pStyle w:val="ActHead5"/>
      </w:pPr>
      <w:bookmarkStart w:id="34" w:name="_Toc338939108"/>
      <w:r w:rsidRPr="00583E1A">
        <w:rPr>
          <w:rStyle w:val="CharSectno"/>
        </w:rPr>
        <w:lastRenderedPageBreak/>
        <w:t>768</w:t>
      </w:r>
      <w:r w:rsidR="00583E1A">
        <w:rPr>
          <w:rStyle w:val="CharSectno"/>
        </w:rPr>
        <w:noBreakHyphen/>
      </w:r>
      <w:r w:rsidRPr="00583E1A">
        <w:rPr>
          <w:rStyle w:val="CharSectno"/>
        </w:rPr>
        <w:t>955</w:t>
      </w:r>
      <w:r w:rsidRPr="00583E1A">
        <w:t xml:space="preserve">  Temporary resident who ceases to be temporary resident but remains an Australian resident</w:t>
      </w:r>
      <w:bookmarkEnd w:id="34"/>
    </w:p>
    <w:p w:rsidR="00887330" w:rsidRPr="00583E1A" w:rsidRDefault="00887330" w:rsidP="00887330">
      <w:pPr>
        <w:pStyle w:val="subsection"/>
      </w:pPr>
      <w:r w:rsidRPr="00583E1A">
        <w:tab/>
        <w:t>(1)</w:t>
      </w:r>
      <w:r w:rsidRPr="00583E1A">
        <w:tab/>
        <w:t xml:space="preserve">If you are a </w:t>
      </w:r>
      <w:r w:rsidR="00583E1A" w:rsidRPr="00583E1A">
        <w:rPr>
          <w:position w:val="6"/>
          <w:sz w:val="16"/>
        </w:rPr>
        <w:t>*</w:t>
      </w:r>
      <w:r w:rsidRPr="00583E1A">
        <w:t xml:space="preserve">temporary resident and you then cease to be a temporary resident (but remain, at that time, an Australian resident), there are rules relevant to each </w:t>
      </w:r>
      <w:r w:rsidR="00583E1A" w:rsidRPr="00583E1A">
        <w:rPr>
          <w:position w:val="6"/>
          <w:sz w:val="16"/>
        </w:rPr>
        <w:t>*</w:t>
      </w:r>
      <w:r w:rsidRPr="00583E1A">
        <w:t>CGT asset that:</w:t>
      </w:r>
    </w:p>
    <w:p w:rsidR="00887330" w:rsidRPr="00583E1A" w:rsidRDefault="00887330" w:rsidP="00887330">
      <w:pPr>
        <w:pStyle w:val="paragraph"/>
      </w:pPr>
      <w:r w:rsidRPr="00583E1A">
        <w:tab/>
        <w:t>(a)</w:t>
      </w:r>
      <w:r w:rsidRPr="00583E1A">
        <w:tab/>
        <w:t>you owned just before you ceased to be a temporary resident; and</w:t>
      </w:r>
    </w:p>
    <w:p w:rsidR="00D84D6E" w:rsidRPr="00583E1A" w:rsidRDefault="00D84D6E" w:rsidP="00D84D6E">
      <w:pPr>
        <w:pStyle w:val="paragraph"/>
      </w:pPr>
      <w:r w:rsidRPr="00583E1A">
        <w:tab/>
        <w:t>(b)</w:t>
      </w:r>
      <w:r w:rsidRPr="00583E1A">
        <w:tab/>
        <w:t xml:space="preserve">is not </w:t>
      </w:r>
      <w:r w:rsidR="00583E1A" w:rsidRPr="00583E1A">
        <w:rPr>
          <w:position w:val="6"/>
          <w:sz w:val="16"/>
        </w:rPr>
        <w:t>*</w:t>
      </w:r>
      <w:r w:rsidRPr="00583E1A">
        <w:t>taxable Australian property; and</w:t>
      </w:r>
    </w:p>
    <w:p w:rsidR="00887330" w:rsidRPr="00583E1A" w:rsidRDefault="00887330" w:rsidP="00887330">
      <w:pPr>
        <w:pStyle w:val="paragraph"/>
      </w:pPr>
      <w:r w:rsidRPr="00583E1A">
        <w:tab/>
        <w:t>(c)</w:t>
      </w:r>
      <w:r w:rsidRPr="00583E1A">
        <w:tab/>
        <w:t xml:space="preserve">you </w:t>
      </w:r>
      <w:r w:rsidR="00583E1A" w:rsidRPr="00583E1A">
        <w:rPr>
          <w:position w:val="6"/>
          <w:sz w:val="16"/>
        </w:rPr>
        <w:t>*</w:t>
      </w:r>
      <w:r w:rsidRPr="00583E1A">
        <w:t>acquired on or after 20</w:t>
      </w:r>
      <w:r w:rsidR="00583E1A">
        <w:t> </w:t>
      </w:r>
      <w:r w:rsidRPr="00583E1A">
        <w:t>September 1985.</w:t>
      </w:r>
    </w:p>
    <w:p w:rsidR="00887330" w:rsidRPr="00583E1A" w:rsidRDefault="00887330" w:rsidP="00887330">
      <w:pPr>
        <w:pStyle w:val="subsection"/>
      </w:pPr>
      <w:r w:rsidRPr="00583E1A">
        <w:tab/>
        <w:t>(2)</w:t>
      </w:r>
      <w:r w:rsidRPr="00583E1A">
        <w:tab/>
        <w:t xml:space="preserve">The first element of the </w:t>
      </w:r>
      <w:r w:rsidR="00583E1A" w:rsidRPr="00583E1A">
        <w:rPr>
          <w:position w:val="6"/>
          <w:sz w:val="16"/>
        </w:rPr>
        <w:t>*</w:t>
      </w:r>
      <w:r w:rsidRPr="00583E1A">
        <w:t xml:space="preserve">cost base and </w:t>
      </w:r>
      <w:r w:rsidR="00583E1A" w:rsidRPr="00583E1A">
        <w:rPr>
          <w:position w:val="6"/>
          <w:sz w:val="16"/>
        </w:rPr>
        <w:t>*</w:t>
      </w:r>
      <w:r w:rsidRPr="00583E1A">
        <w:t xml:space="preserve">reduced cost base of the asset (at the time you cease to be a </w:t>
      </w:r>
      <w:r w:rsidR="00583E1A" w:rsidRPr="00583E1A">
        <w:rPr>
          <w:position w:val="6"/>
          <w:sz w:val="16"/>
        </w:rPr>
        <w:t>*</w:t>
      </w:r>
      <w:r w:rsidRPr="00583E1A">
        <w:t xml:space="preserve">temporary resident) is its </w:t>
      </w:r>
      <w:r w:rsidR="00583E1A" w:rsidRPr="00583E1A">
        <w:rPr>
          <w:position w:val="6"/>
          <w:sz w:val="16"/>
        </w:rPr>
        <w:t>*</w:t>
      </w:r>
      <w:r w:rsidRPr="00583E1A">
        <w:t>market value at that time.</w:t>
      </w:r>
    </w:p>
    <w:p w:rsidR="00887330" w:rsidRPr="00583E1A" w:rsidRDefault="00887330" w:rsidP="00887330">
      <w:pPr>
        <w:pStyle w:val="subsection"/>
      </w:pPr>
      <w:r w:rsidRPr="00583E1A">
        <w:tab/>
        <w:t>(3)</w:t>
      </w:r>
      <w:r w:rsidRPr="00583E1A">
        <w:tab/>
        <w:t>Also, Parts</w:t>
      </w:r>
      <w:r w:rsidR="00583E1A">
        <w:t> </w:t>
      </w:r>
      <w:r w:rsidRPr="00583E1A">
        <w:t>3</w:t>
      </w:r>
      <w:r w:rsidR="00583E1A">
        <w:noBreakHyphen/>
      </w:r>
      <w:r w:rsidRPr="00583E1A">
        <w:t>1 and 3</w:t>
      </w:r>
      <w:r w:rsidR="00583E1A">
        <w:noBreakHyphen/>
      </w:r>
      <w:r w:rsidRPr="00583E1A">
        <w:t xml:space="preserve">3 apply to the asset as if you had </w:t>
      </w:r>
      <w:r w:rsidR="00583E1A" w:rsidRPr="00583E1A">
        <w:rPr>
          <w:position w:val="6"/>
          <w:sz w:val="16"/>
        </w:rPr>
        <w:t>*</w:t>
      </w:r>
      <w:r w:rsidRPr="00583E1A">
        <w:t xml:space="preserve">acquired it at the time you ceased to be a </w:t>
      </w:r>
      <w:r w:rsidR="00583E1A" w:rsidRPr="00583E1A">
        <w:rPr>
          <w:position w:val="6"/>
          <w:sz w:val="16"/>
        </w:rPr>
        <w:t>*</w:t>
      </w:r>
      <w:r w:rsidRPr="00583E1A">
        <w:t>temporary resident.</w:t>
      </w:r>
    </w:p>
    <w:p w:rsidR="004F2311" w:rsidRPr="00303F70" w:rsidRDefault="004F2311" w:rsidP="004F2311">
      <w:pPr>
        <w:pStyle w:val="subsection"/>
      </w:pPr>
      <w:r w:rsidRPr="00303F70">
        <w:tab/>
        <w:t>(4)</w:t>
      </w:r>
      <w:r w:rsidRPr="00303F70">
        <w:tab/>
        <w:t xml:space="preserve">This section does not apply to an </w:t>
      </w:r>
      <w:r w:rsidRPr="00303F70">
        <w:rPr>
          <w:position w:val="6"/>
          <w:sz w:val="16"/>
        </w:rPr>
        <w:t>*</w:t>
      </w:r>
      <w:r w:rsidRPr="00303F70">
        <w:t>ESS interest if:</w:t>
      </w:r>
    </w:p>
    <w:p w:rsidR="004F2311" w:rsidRPr="00303F70" w:rsidRDefault="004F2311" w:rsidP="004F2311">
      <w:pPr>
        <w:pStyle w:val="paragraph"/>
      </w:pPr>
      <w:r w:rsidRPr="00303F70">
        <w:tab/>
        <w:t>(a)</w:t>
      </w:r>
      <w:r w:rsidRPr="00303F70">
        <w:tab/>
        <w:t>Subdivision 83A</w:t>
      </w:r>
      <w:r w:rsidRPr="00303F70">
        <w:noBreakHyphen/>
        <w:t>C (about employee share schemes) applies to the interest; and</w:t>
      </w:r>
    </w:p>
    <w:p w:rsidR="004F2311" w:rsidRPr="00303F70" w:rsidRDefault="004F2311" w:rsidP="004F2311">
      <w:pPr>
        <w:pStyle w:val="paragraph"/>
      </w:pPr>
      <w:r w:rsidRPr="00303F70">
        <w:tab/>
        <w:t>(b)</w:t>
      </w:r>
      <w:r w:rsidRPr="00303F70">
        <w:tab/>
        <w:t xml:space="preserve">the </w:t>
      </w:r>
      <w:r w:rsidRPr="00303F70">
        <w:rPr>
          <w:position w:val="6"/>
          <w:sz w:val="16"/>
        </w:rPr>
        <w:t>*</w:t>
      </w:r>
      <w:r w:rsidRPr="00303F70">
        <w:t>ESS deferred taxing point for the interest has not yet occurred.</w:t>
      </w:r>
    </w:p>
    <w:p w:rsidR="00887330" w:rsidRPr="00583E1A" w:rsidRDefault="00887330" w:rsidP="00887330">
      <w:pPr>
        <w:pStyle w:val="ActHead5"/>
      </w:pPr>
      <w:bookmarkStart w:id="35" w:name="_Toc338939109"/>
      <w:r w:rsidRPr="00583E1A">
        <w:rPr>
          <w:rStyle w:val="CharSectno"/>
        </w:rPr>
        <w:t>768</w:t>
      </w:r>
      <w:r w:rsidR="00583E1A">
        <w:rPr>
          <w:rStyle w:val="CharSectno"/>
        </w:rPr>
        <w:noBreakHyphen/>
      </w:r>
      <w:r w:rsidRPr="00583E1A">
        <w:rPr>
          <w:rStyle w:val="CharSectno"/>
        </w:rPr>
        <w:t>960</w:t>
      </w:r>
      <w:r w:rsidRPr="00583E1A">
        <w:t xml:space="preserve">  Temporary resident not attributable taxpayer for purposes of controlled foreign companies rules</w:t>
      </w:r>
      <w:bookmarkEnd w:id="35"/>
    </w:p>
    <w:p w:rsidR="00887330" w:rsidRPr="00583E1A" w:rsidRDefault="00887330" w:rsidP="00887330">
      <w:pPr>
        <w:pStyle w:val="subsection"/>
      </w:pPr>
      <w:r w:rsidRPr="00583E1A">
        <w:tab/>
      </w:r>
      <w:r w:rsidRPr="00583E1A">
        <w:tab/>
        <w:t>For the purposes of Part</w:t>
      </w:r>
      <w:r w:rsidR="00583E1A">
        <w:t> </w:t>
      </w:r>
      <w:r w:rsidRPr="00583E1A">
        <w:t xml:space="preserve">X of the </w:t>
      </w:r>
      <w:r w:rsidRPr="00583E1A">
        <w:rPr>
          <w:i/>
        </w:rPr>
        <w:t>Income Tax Assessment Act 1936</w:t>
      </w:r>
      <w:r w:rsidRPr="00583E1A">
        <w:t xml:space="preserve"> (which deals with the attribution of income in respect of controlled foreign companies), you are taken not to be an </w:t>
      </w:r>
      <w:r w:rsidR="00583E1A" w:rsidRPr="00583E1A">
        <w:rPr>
          <w:position w:val="6"/>
          <w:sz w:val="16"/>
        </w:rPr>
        <w:t>*</w:t>
      </w:r>
      <w:r w:rsidRPr="00583E1A">
        <w:t xml:space="preserve">attributable taxpayer in relation to a </w:t>
      </w:r>
      <w:r w:rsidR="00583E1A" w:rsidRPr="00583E1A">
        <w:rPr>
          <w:position w:val="6"/>
          <w:sz w:val="16"/>
        </w:rPr>
        <w:t>*</w:t>
      </w:r>
      <w:r w:rsidRPr="00583E1A">
        <w:t xml:space="preserve">CFC or </w:t>
      </w:r>
      <w:r w:rsidR="00583E1A" w:rsidRPr="00583E1A">
        <w:rPr>
          <w:position w:val="6"/>
          <w:sz w:val="16"/>
        </w:rPr>
        <w:t>*</w:t>
      </w:r>
      <w:r w:rsidRPr="00583E1A">
        <w:t xml:space="preserve">CFT at any time you are a </w:t>
      </w:r>
      <w:r w:rsidR="00583E1A" w:rsidRPr="00583E1A">
        <w:rPr>
          <w:position w:val="6"/>
          <w:sz w:val="16"/>
        </w:rPr>
        <w:t>*</w:t>
      </w:r>
      <w:r w:rsidRPr="00583E1A">
        <w:t>temporary resident.</w:t>
      </w:r>
    </w:p>
    <w:p w:rsidR="00887330" w:rsidRPr="00583E1A" w:rsidRDefault="00887330" w:rsidP="00887330">
      <w:pPr>
        <w:pStyle w:val="ActHead5"/>
      </w:pPr>
      <w:bookmarkStart w:id="36" w:name="_Toc338939110"/>
      <w:r w:rsidRPr="00583E1A">
        <w:rPr>
          <w:rStyle w:val="CharSectno"/>
        </w:rPr>
        <w:t>768</w:t>
      </w:r>
      <w:r w:rsidR="00583E1A">
        <w:rPr>
          <w:rStyle w:val="CharSectno"/>
        </w:rPr>
        <w:noBreakHyphen/>
      </w:r>
      <w:r w:rsidRPr="00583E1A">
        <w:rPr>
          <w:rStyle w:val="CharSectno"/>
        </w:rPr>
        <w:t>970</w:t>
      </w:r>
      <w:r w:rsidRPr="00583E1A">
        <w:t xml:space="preserve">  Modification of rules for accruals system of taxation of certain non</w:t>
      </w:r>
      <w:r w:rsidR="00583E1A">
        <w:noBreakHyphen/>
      </w:r>
      <w:r w:rsidRPr="00583E1A">
        <w:t>resident trust estates</w:t>
      </w:r>
      <w:bookmarkEnd w:id="36"/>
    </w:p>
    <w:p w:rsidR="00887330" w:rsidRPr="00583E1A" w:rsidRDefault="00887330" w:rsidP="00887330">
      <w:pPr>
        <w:pStyle w:val="subsection"/>
      </w:pPr>
      <w:r w:rsidRPr="00583E1A">
        <w:tab/>
      </w:r>
      <w:r w:rsidRPr="00583E1A">
        <w:tab/>
        <w:t xml:space="preserve">At any time when you are a </w:t>
      </w:r>
      <w:r w:rsidR="00583E1A" w:rsidRPr="00583E1A">
        <w:rPr>
          <w:position w:val="6"/>
          <w:sz w:val="16"/>
        </w:rPr>
        <w:t>*</w:t>
      </w:r>
      <w:r w:rsidRPr="00583E1A">
        <w:t>temporary resident, you are taken not to be a resident for the purposes of section</w:t>
      </w:r>
      <w:r w:rsidR="00583E1A">
        <w:t> </w:t>
      </w:r>
      <w:r w:rsidRPr="00583E1A">
        <w:t xml:space="preserve">102AAZD of the </w:t>
      </w:r>
      <w:r w:rsidRPr="00583E1A">
        <w:rPr>
          <w:i/>
        </w:rPr>
        <w:t>Income Tax Assessment Act 1936.</w:t>
      </w:r>
    </w:p>
    <w:p w:rsidR="00887330" w:rsidRPr="00583E1A" w:rsidRDefault="00887330" w:rsidP="00887330">
      <w:pPr>
        <w:pStyle w:val="ActHead5"/>
      </w:pPr>
      <w:bookmarkStart w:id="37" w:name="_Toc338939111"/>
      <w:r w:rsidRPr="00583E1A">
        <w:rPr>
          <w:rStyle w:val="CharSectno"/>
        </w:rPr>
        <w:lastRenderedPageBreak/>
        <w:t>768</w:t>
      </w:r>
      <w:r w:rsidR="00583E1A">
        <w:rPr>
          <w:rStyle w:val="CharSectno"/>
        </w:rPr>
        <w:noBreakHyphen/>
      </w:r>
      <w:r w:rsidRPr="00583E1A">
        <w:rPr>
          <w:rStyle w:val="CharSectno"/>
        </w:rPr>
        <w:t>980</w:t>
      </w:r>
      <w:r w:rsidRPr="00583E1A">
        <w:t xml:space="preserve">  Interest paid by temporary resident</w:t>
      </w:r>
      <w:bookmarkEnd w:id="37"/>
    </w:p>
    <w:p w:rsidR="00887330" w:rsidRPr="00583E1A" w:rsidRDefault="00887330" w:rsidP="00887330">
      <w:pPr>
        <w:pStyle w:val="subsection"/>
      </w:pPr>
      <w:r w:rsidRPr="00583E1A">
        <w:tab/>
      </w:r>
      <w:r w:rsidRPr="00583E1A">
        <w:tab/>
        <w:t xml:space="preserve">Interest that is paid by a </w:t>
      </w:r>
      <w:r w:rsidR="00583E1A" w:rsidRPr="00583E1A">
        <w:rPr>
          <w:position w:val="6"/>
          <w:sz w:val="16"/>
        </w:rPr>
        <w:t>*</w:t>
      </w:r>
      <w:r w:rsidRPr="00583E1A">
        <w:t>temporary resident:</w:t>
      </w:r>
    </w:p>
    <w:p w:rsidR="00887330" w:rsidRPr="00583E1A" w:rsidRDefault="00887330" w:rsidP="00887330">
      <w:pPr>
        <w:pStyle w:val="paragraph"/>
      </w:pPr>
      <w:r w:rsidRPr="00583E1A">
        <w:tab/>
        <w:t>(a)</w:t>
      </w:r>
      <w:r w:rsidRPr="00583E1A">
        <w:tab/>
        <w:t>is an amount to which section</w:t>
      </w:r>
      <w:r w:rsidR="00583E1A">
        <w:t> </w:t>
      </w:r>
      <w:r w:rsidRPr="00583E1A">
        <w:t xml:space="preserve">128B (liability to withholding tax) of the </w:t>
      </w:r>
      <w:r w:rsidRPr="00583E1A">
        <w:rPr>
          <w:i/>
        </w:rPr>
        <w:t xml:space="preserve">Income Tax Assessment Act 1936 </w:t>
      </w:r>
      <w:r w:rsidRPr="00583E1A">
        <w:t>does not apply; and</w:t>
      </w:r>
    </w:p>
    <w:p w:rsidR="00887330" w:rsidRPr="00583E1A" w:rsidRDefault="00887330" w:rsidP="00887330">
      <w:pPr>
        <w:pStyle w:val="paragraph"/>
      </w:pPr>
      <w:r w:rsidRPr="00583E1A">
        <w:tab/>
        <w:t>(b)</w:t>
      </w:r>
      <w:r w:rsidRPr="00583E1A">
        <w:tab/>
        <w:t xml:space="preserve">is </w:t>
      </w:r>
      <w:r w:rsidR="00583E1A" w:rsidRPr="00583E1A">
        <w:rPr>
          <w:position w:val="6"/>
          <w:sz w:val="16"/>
        </w:rPr>
        <w:t>*</w:t>
      </w:r>
      <w:r w:rsidRPr="00583E1A">
        <w:t>non</w:t>
      </w:r>
      <w:r w:rsidR="00583E1A">
        <w:noBreakHyphen/>
      </w:r>
      <w:r w:rsidRPr="00583E1A">
        <w:t>assessable non</w:t>
      </w:r>
      <w:r w:rsidR="00583E1A">
        <w:noBreakHyphen/>
      </w:r>
      <w:r w:rsidRPr="00583E1A">
        <w:t>exempt income if the interest is:</w:t>
      </w:r>
    </w:p>
    <w:p w:rsidR="00887330" w:rsidRPr="00583E1A" w:rsidRDefault="00887330" w:rsidP="00887330">
      <w:pPr>
        <w:pStyle w:val="paragraphsub"/>
      </w:pPr>
      <w:r w:rsidRPr="00583E1A">
        <w:tab/>
        <w:t>(i)</w:t>
      </w:r>
      <w:r w:rsidRPr="00583E1A">
        <w:tab/>
      </w:r>
      <w:r w:rsidR="00583E1A" w:rsidRPr="00583E1A">
        <w:rPr>
          <w:position w:val="6"/>
          <w:sz w:val="16"/>
        </w:rPr>
        <w:t>*</w:t>
      </w:r>
      <w:r w:rsidRPr="00583E1A">
        <w:t>derived by a foreign resident; and</w:t>
      </w:r>
    </w:p>
    <w:p w:rsidR="00887330" w:rsidRPr="00583E1A" w:rsidRDefault="00887330" w:rsidP="00887330">
      <w:pPr>
        <w:pStyle w:val="paragraphsub"/>
      </w:pPr>
      <w:r w:rsidRPr="00583E1A">
        <w:tab/>
        <w:t>(ii)</w:t>
      </w:r>
      <w:r w:rsidRPr="00583E1A">
        <w:tab/>
        <w:t xml:space="preserve">is not derived from carrying on </w:t>
      </w:r>
      <w:r w:rsidR="00583E1A" w:rsidRPr="00583E1A">
        <w:rPr>
          <w:position w:val="6"/>
          <w:sz w:val="16"/>
        </w:rPr>
        <w:t>*</w:t>
      </w:r>
      <w:r w:rsidRPr="00583E1A">
        <w:t xml:space="preserve">business in </w:t>
      </w:r>
      <w:smartTag w:uri="urn:schemas-microsoft-com:office:smarttags" w:element="country-region">
        <w:smartTag w:uri="urn:schemas-microsoft-com:office:smarttags" w:element="place">
          <w:r w:rsidRPr="00583E1A">
            <w:t>Australia</w:t>
          </w:r>
        </w:smartTag>
      </w:smartTag>
      <w:r w:rsidRPr="00583E1A">
        <w:t xml:space="preserve"> at or through a </w:t>
      </w:r>
      <w:r w:rsidR="00583E1A" w:rsidRPr="00583E1A">
        <w:rPr>
          <w:position w:val="6"/>
          <w:sz w:val="16"/>
        </w:rPr>
        <w:t>*</w:t>
      </w:r>
      <w:r w:rsidRPr="00583E1A">
        <w:t xml:space="preserve">permanent establishment in </w:t>
      </w:r>
      <w:smartTag w:uri="urn:schemas-microsoft-com:office:smarttags" w:element="country-region">
        <w:smartTag w:uri="urn:schemas-microsoft-com:office:smarttags" w:element="place">
          <w:r w:rsidRPr="00583E1A">
            <w:t>Australia</w:t>
          </w:r>
        </w:smartTag>
      </w:smartTag>
      <w:r w:rsidRPr="00583E1A">
        <w:t>.</w:t>
      </w:r>
    </w:p>
    <w:p w:rsidR="00887330" w:rsidRPr="00583E1A" w:rsidRDefault="00887330" w:rsidP="00887330">
      <w:pPr>
        <w:pStyle w:val="PageBreak"/>
      </w:pPr>
      <w:r w:rsidRPr="00583E1A">
        <w:br w:type="page"/>
      </w:r>
    </w:p>
    <w:p w:rsidR="00C20DE4" w:rsidRPr="00583E1A" w:rsidRDefault="00C20DE4" w:rsidP="00C20DE4">
      <w:pPr>
        <w:pStyle w:val="ActHead3"/>
      </w:pPr>
      <w:bookmarkStart w:id="38" w:name="_Toc338939112"/>
      <w:r w:rsidRPr="00583E1A">
        <w:rPr>
          <w:rStyle w:val="CharDivNo"/>
        </w:rPr>
        <w:lastRenderedPageBreak/>
        <w:t>Division</w:t>
      </w:r>
      <w:r w:rsidR="00583E1A">
        <w:rPr>
          <w:rStyle w:val="CharDivNo"/>
        </w:rPr>
        <w:t> </w:t>
      </w:r>
      <w:r w:rsidRPr="00583E1A">
        <w:rPr>
          <w:rStyle w:val="CharDivNo"/>
        </w:rPr>
        <w:t>770</w:t>
      </w:r>
      <w:r w:rsidRPr="00583E1A">
        <w:t>—</w:t>
      </w:r>
      <w:r w:rsidRPr="00583E1A">
        <w:rPr>
          <w:rStyle w:val="CharDivText"/>
        </w:rPr>
        <w:t>Foreign income tax offsets</w:t>
      </w:r>
      <w:bookmarkEnd w:id="38"/>
    </w:p>
    <w:p w:rsidR="00C20DE4" w:rsidRPr="00583E1A" w:rsidRDefault="00C20DE4" w:rsidP="00C20DE4">
      <w:pPr>
        <w:pStyle w:val="TofSectsHeading"/>
      </w:pPr>
      <w:r w:rsidRPr="00583E1A">
        <w:t>Table of Subdivisions</w:t>
      </w:r>
    </w:p>
    <w:p w:rsidR="00C20DE4" w:rsidRPr="00583E1A" w:rsidRDefault="00C20DE4" w:rsidP="00C20DE4">
      <w:pPr>
        <w:pStyle w:val="TofSectsSubdiv"/>
      </w:pPr>
      <w:r w:rsidRPr="00583E1A">
        <w:tab/>
        <w:t>Guide to Division</w:t>
      </w:r>
      <w:r w:rsidR="00583E1A">
        <w:t> </w:t>
      </w:r>
      <w:r w:rsidRPr="00583E1A">
        <w:t>770</w:t>
      </w:r>
    </w:p>
    <w:p w:rsidR="00C20DE4" w:rsidRPr="00583E1A" w:rsidRDefault="00C20DE4" w:rsidP="00C20DE4">
      <w:pPr>
        <w:pStyle w:val="TofSectsSubdiv"/>
      </w:pPr>
      <w:r w:rsidRPr="00583E1A">
        <w:t>770</w:t>
      </w:r>
      <w:r w:rsidR="00583E1A">
        <w:noBreakHyphen/>
      </w:r>
      <w:r w:rsidRPr="00583E1A">
        <w:t>A</w:t>
      </w:r>
      <w:r w:rsidRPr="00583E1A">
        <w:tab/>
        <w:t>Entitlement rules for foreign income tax offsets</w:t>
      </w:r>
    </w:p>
    <w:p w:rsidR="00C20DE4" w:rsidRPr="00583E1A" w:rsidRDefault="00C20DE4" w:rsidP="00C20DE4">
      <w:pPr>
        <w:pStyle w:val="TofSectsSubdiv"/>
      </w:pPr>
      <w:r w:rsidRPr="00583E1A">
        <w:t>770</w:t>
      </w:r>
      <w:r w:rsidR="00583E1A">
        <w:noBreakHyphen/>
      </w:r>
      <w:r w:rsidRPr="00583E1A">
        <w:t>B</w:t>
      </w:r>
      <w:r w:rsidRPr="00583E1A">
        <w:tab/>
        <w:t>Amount of foreign income tax offset</w:t>
      </w:r>
    </w:p>
    <w:p w:rsidR="00C20DE4" w:rsidRPr="00583E1A" w:rsidRDefault="00C20DE4" w:rsidP="00C20DE4">
      <w:pPr>
        <w:pStyle w:val="TofSectsSubdiv"/>
      </w:pPr>
      <w:r w:rsidRPr="00583E1A">
        <w:t>770</w:t>
      </w:r>
      <w:r w:rsidR="00583E1A">
        <w:noBreakHyphen/>
      </w:r>
      <w:r w:rsidRPr="00583E1A">
        <w:t>C</w:t>
      </w:r>
      <w:r w:rsidRPr="00583E1A">
        <w:tab/>
        <w:t>Rules about payment of foreign income tax</w:t>
      </w:r>
    </w:p>
    <w:p w:rsidR="00C20DE4" w:rsidRPr="00583E1A" w:rsidRDefault="00C20DE4" w:rsidP="00C20DE4">
      <w:pPr>
        <w:pStyle w:val="TofSectsSubdiv"/>
      </w:pPr>
      <w:r w:rsidRPr="00583E1A">
        <w:t>770</w:t>
      </w:r>
      <w:r w:rsidR="00583E1A">
        <w:noBreakHyphen/>
      </w:r>
      <w:r w:rsidRPr="00583E1A">
        <w:t>D</w:t>
      </w:r>
      <w:r w:rsidRPr="00583E1A">
        <w:tab/>
        <w:t>Administration</w:t>
      </w:r>
    </w:p>
    <w:p w:rsidR="00C20DE4" w:rsidRPr="00583E1A" w:rsidRDefault="00C20DE4" w:rsidP="00C20DE4">
      <w:pPr>
        <w:pStyle w:val="ActHead4"/>
      </w:pPr>
      <w:bookmarkStart w:id="39" w:name="_Toc338939113"/>
      <w:r w:rsidRPr="00583E1A">
        <w:t>Guide to Division</w:t>
      </w:r>
      <w:r w:rsidR="00583E1A">
        <w:t> </w:t>
      </w:r>
      <w:r w:rsidRPr="00583E1A">
        <w:t>770</w:t>
      </w:r>
      <w:bookmarkEnd w:id="39"/>
    </w:p>
    <w:p w:rsidR="00C20DE4" w:rsidRPr="00583E1A" w:rsidRDefault="00C20DE4" w:rsidP="00C20DE4">
      <w:pPr>
        <w:pStyle w:val="ActHead5"/>
      </w:pPr>
      <w:bookmarkStart w:id="40" w:name="_Toc338939114"/>
      <w:r w:rsidRPr="00583E1A">
        <w:rPr>
          <w:rStyle w:val="CharSectno"/>
        </w:rPr>
        <w:t>770</w:t>
      </w:r>
      <w:r w:rsidR="00583E1A">
        <w:rPr>
          <w:rStyle w:val="CharSectno"/>
        </w:rPr>
        <w:noBreakHyphen/>
      </w:r>
      <w:r w:rsidRPr="00583E1A">
        <w:rPr>
          <w:rStyle w:val="CharSectno"/>
        </w:rPr>
        <w:t>1</w:t>
      </w:r>
      <w:r w:rsidRPr="00583E1A">
        <w:t xml:space="preserve">  What this Division is about</w:t>
      </w:r>
      <w:bookmarkEnd w:id="40"/>
    </w:p>
    <w:p w:rsidR="00C20DE4" w:rsidRPr="00583E1A" w:rsidRDefault="00C20DE4" w:rsidP="00C20DE4">
      <w:pPr>
        <w:pStyle w:val="BoxText"/>
      </w:pPr>
      <w:r w:rsidRPr="00583E1A">
        <w:t>You may get a non</w:t>
      </w:r>
      <w:r w:rsidR="00583E1A">
        <w:noBreakHyphen/>
      </w:r>
      <w:r w:rsidRPr="00583E1A">
        <w:t>refundable tax offset for foreign income tax paid on your assessable income.</w:t>
      </w:r>
    </w:p>
    <w:p w:rsidR="00C20DE4" w:rsidRPr="00583E1A" w:rsidRDefault="00C20DE4" w:rsidP="00C20DE4">
      <w:pPr>
        <w:pStyle w:val="BoxText"/>
      </w:pPr>
      <w:r w:rsidRPr="00583E1A">
        <w:t>There is a limit on the amount of the tax offset.</w:t>
      </w:r>
    </w:p>
    <w:p w:rsidR="00C20DE4" w:rsidRPr="00583E1A" w:rsidRDefault="00C20DE4" w:rsidP="00C20DE4">
      <w:pPr>
        <w:pStyle w:val="BoxText"/>
      </w:pPr>
      <w:r w:rsidRPr="00583E1A">
        <w:t>A resident of a foreign country does not get the offset for some foreign income taxes.</w:t>
      </w:r>
    </w:p>
    <w:p w:rsidR="00C20DE4" w:rsidRPr="00583E1A" w:rsidRDefault="00C20DE4" w:rsidP="00C20DE4">
      <w:pPr>
        <w:pStyle w:val="BoxText"/>
      </w:pPr>
      <w:r w:rsidRPr="00583E1A">
        <w:t xml:space="preserve">You may also get the offset for foreign income tax paid on some amounts that are not taxed in </w:t>
      </w:r>
      <w:smartTag w:uri="urn:schemas-microsoft-com:office:smarttags" w:element="country-region">
        <w:smartTag w:uri="urn:schemas-microsoft-com:office:smarttags" w:element="place">
          <w:r w:rsidRPr="00583E1A">
            <w:t>Australia</w:t>
          </w:r>
        </w:smartTag>
      </w:smartTag>
      <w:r w:rsidRPr="00583E1A">
        <w:t>.</w:t>
      </w:r>
    </w:p>
    <w:p w:rsidR="00C20DE4" w:rsidRPr="00583E1A" w:rsidRDefault="00C20DE4" w:rsidP="00C20DE4">
      <w:pPr>
        <w:pStyle w:val="ActHead5"/>
      </w:pPr>
      <w:bookmarkStart w:id="41" w:name="_Toc338939115"/>
      <w:r w:rsidRPr="00583E1A">
        <w:rPr>
          <w:rStyle w:val="CharSectno"/>
        </w:rPr>
        <w:t>770</w:t>
      </w:r>
      <w:r w:rsidR="00583E1A">
        <w:rPr>
          <w:rStyle w:val="CharSectno"/>
        </w:rPr>
        <w:noBreakHyphen/>
      </w:r>
      <w:r w:rsidRPr="00583E1A">
        <w:rPr>
          <w:rStyle w:val="CharSectno"/>
        </w:rPr>
        <w:t>5</w:t>
      </w:r>
      <w:r w:rsidRPr="00583E1A">
        <w:t xml:space="preserve">  Object</w:t>
      </w:r>
      <w:bookmarkEnd w:id="41"/>
    </w:p>
    <w:p w:rsidR="00C20DE4" w:rsidRPr="00583E1A" w:rsidRDefault="00C20DE4" w:rsidP="00C20DE4">
      <w:pPr>
        <w:pStyle w:val="subsection"/>
      </w:pPr>
      <w:r w:rsidRPr="00583E1A">
        <w:tab/>
        <w:t>(1)</w:t>
      </w:r>
      <w:r w:rsidRPr="00583E1A">
        <w:tab/>
        <w:t>The object of this Division is to relieve double taxation where:</w:t>
      </w:r>
    </w:p>
    <w:p w:rsidR="00C20DE4" w:rsidRPr="00583E1A" w:rsidRDefault="00C20DE4" w:rsidP="00C20DE4">
      <w:pPr>
        <w:pStyle w:val="paragraph"/>
      </w:pPr>
      <w:r w:rsidRPr="00583E1A">
        <w:tab/>
        <w:t>(a)</w:t>
      </w:r>
      <w:r w:rsidRPr="00583E1A">
        <w:tab/>
        <w:t>you have paid foreign income tax on amounts included in your assessable income; and</w:t>
      </w:r>
    </w:p>
    <w:p w:rsidR="00C20DE4" w:rsidRPr="00583E1A" w:rsidRDefault="00C20DE4" w:rsidP="00C20DE4">
      <w:pPr>
        <w:pStyle w:val="paragraph"/>
      </w:pPr>
      <w:r w:rsidRPr="00583E1A">
        <w:tab/>
        <w:t>(b)</w:t>
      </w:r>
      <w:r w:rsidRPr="00583E1A">
        <w:tab/>
        <w:t>you would, apart from this Division, pay Australian income tax on the same amounts.</w:t>
      </w:r>
    </w:p>
    <w:p w:rsidR="00C20DE4" w:rsidRPr="00583E1A" w:rsidRDefault="00C20DE4" w:rsidP="00C20DE4">
      <w:pPr>
        <w:pStyle w:val="subsection"/>
      </w:pPr>
      <w:r w:rsidRPr="00583E1A">
        <w:tab/>
        <w:t>(2)</w:t>
      </w:r>
      <w:r w:rsidRPr="00583E1A">
        <w:tab/>
        <w:t>To achieve this object, this Division gives you a tax offset to reduce or eliminate Australian income tax otherwise payable on those amounts.</w:t>
      </w:r>
    </w:p>
    <w:p w:rsidR="00EA1C9A" w:rsidRPr="004C09C4" w:rsidRDefault="00EA1C9A" w:rsidP="00EA1C9A">
      <w:pPr>
        <w:pStyle w:val="notetext"/>
      </w:pPr>
      <w:r w:rsidRPr="004C09C4">
        <w:t>Note 1:</w:t>
      </w:r>
      <w:r w:rsidRPr="004C09C4">
        <w:tab/>
        <w:t xml:space="preserve">This Division applies in relation to Medicare levy and Medicare levy (fringe benefits) surcharge in the same way as it applies to Australian </w:t>
      </w:r>
      <w:r w:rsidRPr="004C09C4">
        <w:lastRenderedPageBreak/>
        <w:t>income tax. See section 90</w:t>
      </w:r>
      <w:r w:rsidRPr="004C09C4">
        <w:noBreakHyphen/>
        <w:t xml:space="preserve">1 in Schedule 1 to the </w:t>
      </w:r>
      <w:r w:rsidRPr="004C09C4">
        <w:rPr>
          <w:i/>
        </w:rPr>
        <w:t>Taxation Administration Act 1953</w:t>
      </w:r>
      <w:r w:rsidRPr="004C09C4">
        <w:t>.</w:t>
      </w:r>
    </w:p>
    <w:p w:rsidR="00EA1C9A" w:rsidRPr="004C09C4" w:rsidRDefault="00EA1C9A" w:rsidP="00EA1C9A">
      <w:pPr>
        <w:pStyle w:val="notetext"/>
      </w:pPr>
      <w:r w:rsidRPr="004C09C4">
        <w:t>Note 2:</w:t>
      </w:r>
      <w:r w:rsidRPr="004C09C4">
        <w:tab/>
        <w:t>The tax offset under this Division can be applied against your Medicare levy and Medicare levy (fringe benefits) surcharge liability for the year, if an amount of it remains after you apply it against your basic income tax liability. See item 22 of the table in subsection 63</w:t>
      </w:r>
      <w:r w:rsidRPr="004C09C4">
        <w:noBreakHyphen/>
        <w:t>10(1).</w:t>
      </w:r>
    </w:p>
    <w:p w:rsidR="00C20DE4" w:rsidRPr="00583E1A" w:rsidRDefault="00C20DE4" w:rsidP="00C20DE4">
      <w:pPr>
        <w:pStyle w:val="ActHead4"/>
      </w:pPr>
      <w:bookmarkStart w:id="42" w:name="_Toc338939116"/>
      <w:r w:rsidRPr="00583E1A">
        <w:rPr>
          <w:rStyle w:val="CharSubdNo"/>
        </w:rPr>
        <w:t>Subdivision</w:t>
      </w:r>
      <w:r w:rsidR="00583E1A">
        <w:rPr>
          <w:rStyle w:val="CharSubdNo"/>
        </w:rPr>
        <w:t> </w:t>
      </w:r>
      <w:r w:rsidRPr="00583E1A">
        <w:rPr>
          <w:rStyle w:val="CharSubdNo"/>
        </w:rPr>
        <w:t>770</w:t>
      </w:r>
      <w:r w:rsidR="00583E1A">
        <w:rPr>
          <w:rStyle w:val="CharSubdNo"/>
        </w:rPr>
        <w:noBreakHyphen/>
      </w:r>
      <w:r w:rsidRPr="00583E1A">
        <w:rPr>
          <w:rStyle w:val="CharSubdNo"/>
        </w:rPr>
        <w:t>A</w:t>
      </w:r>
      <w:r w:rsidRPr="00583E1A">
        <w:t>—</w:t>
      </w:r>
      <w:r w:rsidRPr="00583E1A">
        <w:rPr>
          <w:rStyle w:val="CharSubdText"/>
        </w:rPr>
        <w:t>Entitlement rules for foreign income tax offsets</w:t>
      </w:r>
      <w:bookmarkEnd w:id="42"/>
    </w:p>
    <w:p w:rsidR="00C20DE4" w:rsidRPr="00583E1A" w:rsidRDefault="00C20DE4" w:rsidP="00C20DE4">
      <w:pPr>
        <w:pStyle w:val="TofSectsHeading"/>
      </w:pPr>
      <w:r w:rsidRPr="00583E1A">
        <w:t>Table of sections</w:t>
      </w:r>
    </w:p>
    <w:p w:rsidR="00C20DE4" w:rsidRPr="00583E1A" w:rsidRDefault="00C20DE4" w:rsidP="00C20DE4">
      <w:pPr>
        <w:pStyle w:val="TofSectsGroupHeading"/>
      </w:pPr>
      <w:r w:rsidRPr="00583E1A">
        <w:t>Basic entitlement rule for foreign income tax offset</w:t>
      </w:r>
    </w:p>
    <w:p w:rsidR="00C20DE4" w:rsidRPr="00583E1A" w:rsidRDefault="00C20DE4" w:rsidP="00C20DE4">
      <w:pPr>
        <w:pStyle w:val="TofSectsSection"/>
      </w:pPr>
      <w:r w:rsidRPr="00583E1A">
        <w:t>770</w:t>
      </w:r>
      <w:r w:rsidR="00583E1A">
        <w:noBreakHyphen/>
      </w:r>
      <w:r w:rsidRPr="00583E1A">
        <w:t>10</w:t>
      </w:r>
      <w:r w:rsidRPr="00583E1A">
        <w:tab/>
        <w:t>Entitlement to foreign income tax offset</w:t>
      </w:r>
    </w:p>
    <w:p w:rsidR="00C20DE4" w:rsidRPr="00583E1A" w:rsidRDefault="00C20DE4" w:rsidP="00C20DE4">
      <w:pPr>
        <w:pStyle w:val="TofSectsSection"/>
      </w:pPr>
      <w:r w:rsidRPr="00583E1A">
        <w:t>770</w:t>
      </w:r>
      <w:r w:rsidR="00583E1A">
        <w:noBreakHyphen/>
      </w:r>
      <w:r w:rsidRPr="00583E1A">
        <w:t>15</w:t>
      </w:r>
      <w:r w:rsidRPr="00583E1A">
        <w:tab/>
        <w:t xml:space="preserve">Meaning of </w:t>
      </w:r>
      <w:r w:rsidRPr="00583E1A">
        <w:rPr>
          <w:rStyle w:val="CharBoldItalic"/>
        </w:rPr>
        <w:t>foreign income tax</w:t>
      </w:r>
      <w:r w:rsidRPr="00583E1A">
        <w:t xml:space="preserve">, </w:t>
      </w:r>
      <w:r w:rsidRPr="00583E1A">
        <w:rPr>
          <w:rStyle w:val="CharBoldItalic"/>
        </w:rPr>
        <w:t>credit absorption tax</w:t>
      </w:r>
      <w:r w:rsidRPr="00583E1A">
        <w:t xml:space="preserve"> and </w:t>
      </w:r>
      <w:r w:rsidRPr="00583E1A">
        <w:rPr>
          <w:rStyle w:val="CharBoldItalic"/>
        </w:rPr>
        <w:t>unitary tax</w:t>
      </w:r>
    </w:p>
    <w:p w:rsidR="00C20DE4" w:rsidRPr="00583E1A" w:rsidRDefault="00C20DE4" w:rsidP="00C20DE4">
      <w:pPr>
        <w:pStyle w:val="ActHead4"/>
      </w:pPr>
      <w:bookmarkStart w:id="43" w:name="_Toc338939117"/>
      <w:r w:rsidRPr="00583E1A">
        <w:t>Basic entitlement rule for foreign income tax offset</w:t>
      </w:r>
      <w:bookmarkEnd w:id="43"/>
    </w:p>
    <w:p w:rsidR="00C20DE4" w:rsidRPr="00583E1A" w:rsidRDefault="00C20DE4" w:rsidP="00C20DE4">
      <w:pPr>
        <w:pStyle w:val="ActHead5"/>
      </w:pPr>
      <w:bookmarkStart w:id="44" w:name="_Toc338939118"/>
      <w:r w:rsidRPr="00583E1A">
        <w:rPr>
          <w:rStyle w:val="CharSectno"/>
        </w:rPr>
        <w:t>770</w:t>
      </w:r>
      <w:r w:rsidR="00583E1A">
        <w:rPr>
          <w:rStyle w:val="CharSectno"/>
        </w:rPr>
        <w:noBreakHyphen/>
      </w:r>
      <w:r w:rsidRPr="00583E1A">
        <w:rPr>
          <w:rStyle w:val="CharSectno"/>
        </w:rPr>
        <w:t>10</w:t>
      </w:r>
      <w:r w:rsidRPr="00583E1A">
        <w:t xml:space="preserve">  Entitlement to foreign income tax offset</w:t>
      </w:r>
      <w:bookmarkEnd w:id="44"/>
    </w:p>
    <w:p w:rsidR="00C20DE4" w:rsidRPr="00583E1A" w:rsidRDefault="00C20DE4" w:rsidP="00C20DE4">
      <w:pPr>
        <w:pStyle w:val="subsection"/>
      </w:pPr>
      <w:r w:rsidRPr="00583E1A">
        <w:tab/>
        <w:t>(1)</w:t>
      </w:r>
      <w:r w:rsidRPr="00583E1A">
        <w:tab/>
        <w:t xml:space="preserve">You are entitled to a </w:t>
      </w:r>
      <w:r w:rsidR="00583E1A" w:rsidRPr="00583E1A">
        <w:rPr>
          <w:position w:val="6"/>
          <w:sz w:val="16"/>
        </w:rPr>
        <w:t>*</w:t>
      </w:r>
      <w:r w:rsidRPr="00583E1A">
        <w:t xml:space="preserve">tax offset for an income year for </w:t>
      </w:r>
      <w:r w:rsidR="00583E1A" w:rsidRPr="00583E1A">
        <w:rPr>
          <w:position w:val="6"/>
          <w:sz w:val="16"/>
        </w:rPr>
        <w:t>*</w:t>
      </w:r>
      <w:r w:rsidRPr="00583E1A">
        <w:t>foreign income tax. An amount of foreign income tax counts towards the tax offset for the year if you paid it in respect of an amount that is all or part of an amount included in your assessable income for the year.</w:t>
      </w:r>
    </w:p>
    <w:p w:rsidR="00C20DE4" w:rsidRPr="00583E1A" w:rsidRDefault="00C20DE4" w:rsidP="00C20DE4">
      <w:pPr>
        <w:pStyle w:val="notetext"/>
      </w:pPr>
      <w:r w:rsidRPr="00583E1A">
        <w:t>Note 1:</w:t>
      </w:r>
      <w:r w:rsidRPr="00583E1A">
        <w:tab/>
        <w:t>The offset is for the income year in which your assessable income included an amount in respect of which you paid foreign income tax—even if you paid the foreign income tax in another income year.</w:t>
      </w:r>
    </w:p>
    <w:p w:rsidR="00C20DE4" w:rsidRPr="00583E1A" w:rsidRDefault="00C20DE4" w:rsidP="00C20DE4">
      <w:pPr>
        <w:pStyle w:val="notetext"/>
      </w:pPr>
      <w:r w:rsidRPr="00583E1A">
        <w:t>Note 2:</w:t>
      </w:r>
      <w:r w:rsidRPr="00583E1A">
        <w:tab/>
        <w:t>If the foreign income tax has been paid on an amount that is part non</w:t>
      </w:r>
      <w:r w:rsidR="00583E1A">
        <w:noBreakHyphen/>
      </w:r>
      <w:r w:rsidRPr="00583E1A">
        <w:t>assessable non</w:t>
      </w:r>
      <w:r w:rsidR="00583E1A">
        <w:noBreakHyphen/>
      </w:r>
      <w:r w:rsidRPr="00583E1A">
        <w:t xml:space="preserve">exempt income and part assessable income for you for the income year, only a proportionate share of the foreign income tax (the share that corresponds to the part that is assessable income) will count towards the tax offset (excluding the operation of </w:t>
      </w:r>
      <w:r w:rsidR="00583E1A">
        <w:t>subsection (</w:t>
      </w:r>
      <w:r w:rsidRPr="00583E1A">
        <w:t>2)).</w:t>
      </w:r>
    </w:p>
    <w:p w:rsidR="00C20DE4" w:rsidRPr="00583E1A" w:rsidRDefault="00C20DE4" w:rsidP="00C20DE4">
      <w:pPr>
        <w:pStyle w:val="notetext"/>
        <w:rPr>
          <w:i/>
        </w:rPr>
      </w:pPr>
      <w:r w:rsidRPr="00583E1A">
        <w:t>Note 3:</w:t>
      </w:r>
      <w:r w:rsidRPr="00583E1A">
        <w:tab/>
        <w:t xml:space="preserve">For offshore banking units, the amount of foreign income tax paid in respect of offshore banking income is reduced: see subsection 121EG(3A) of the </w:t>
      </w:r>
      <w:r w:rsidRPr="00583E1A">
        <w:rPr>
          <w:i/>
        </w:rPr>
        <w:t>Income Tax Assessment Act 1936.</w:t>
      </w:r>
    </w:p>
    <w:p w:rsidR="00C20DE4" w:rsidRPr="00583E1A" w:rsidRDefault="00C20DE4" w:rsidP="00C20DE4">
      <w:pPr>
        <w:pStyle w:val="SubsectionHead"/>
      </w:pPr>
      <w:r w:rsidRPr="00583E1A">
        <w:lastRenderedPageBreak/>
        <w:t>Taxes paid on section</w:t>
      </w:r>
      <w:r w:rsidR="00583E1A">
        <w:t> </w:t>
      </w:r>
      <w:r w:rsidRPr="00583E1A">
        <w:t>23AI or 23AK amounts</w:t>
      </w:r>
    </w:p>
    <w:p w:rsidR="00C20DE4" w:rsidRPr="00583E1A" w:rsidRDefault="00C20DE4" w:rsidP="00C20DE4">
      <w:pPr>
        <w:pStyle w:val="subsection"/>
      </w:pPr>
      <w:r w:rsidRPr="00583E1A">
        <w:tab/>
        <w:t>(2)</w:t>
      </w:r>
      <w:r w:rsidRPr="00583E1A">
        <w:tab/>
        <w:t xml:space="preserve">An amount of </w:t>
      </w:r>
      <w:r w:rsidR="00583E1A" w:rsidRPr="00583E1A">
        <w:rPr>
          <w:position w:val="6"/>
          <w:sz w:val="16"/>
        </w:rPr>
        <w:t>*</w:t>
      </w:r>
      <w:r w:rsidRPr="00583E1A">
        <w:t xml:space="preserve">foreign income tax counts towards the </w:t>
      </w:r>
      <w:r w:rsidR="00583E1A" w:rsidRPr="00583E1A">
        <w:rPr>
          <w:position w:val="6"/>
          <w:sz w:val="16"/>
        </w:rPr>
        <w:t>*</w:t>
      </w:r>
      <w:r w:rsidRPr="00583E1A">
        <w:t xml:space="preserve">tax offset for you for the year if you paid it in respect of an amount that is your </w:t>
      </w:r>
      <w:r w:rsidR="00583E1A" w:rsidRPr="00583E1A">
        <w:rPr>
          <w:position w:val="6"/>
          <w:sz w:val="16"/>
        </w:rPr>
        <w:t>*</w:t>
      </w:r>
      <w:r w:rsidRPr="00583E1A">
        <w:t>non</w:t>
      </w:r>
      <w:r w:rsidR="00583E1A">
        <w:noBreakHyphen/>
      </w:r>
      <w:r w:rsidRPr="00583E1A">
        <w:t>assessable non</w:t>
      </w:r>
      <w:r w:rsidR="00583E1A">
        <w:noBreakHyphen/>
      </w:r>
      <w:r w:rsidRPr="00583E1A">
        <w:t>exempt income under either section</w:t>
      </w:r>
      <w:r w:rsidR="00583E1A">
        <w:t> </w:t>
      </w:r>
      <w:r w:rsidRPr="00583E1A">
        <w:t xml:space="preserve">23AI or 23AK of the </w:t>
      </w:r>
      <w:r w:rsidRPr="00583E1A">
        <w:rPr>
          <w:i/>
        </w:rPr>
        <w:t xml:space="preserve">Income Tax Assessment Act 1936 </w:t>
      </w:r>
      <w:r w:rsidRPr="00583E1A">
        <w:t>for the year.</w:t>
      </w:r>
    </w:p>
    <w:p w:rsidR="00C20DE4" w:rsidRPr="00583E1A" w:rsidRDefault="00C20DE4" w:rsidP="00C20DE4">
      <w:pPr>
        <w:pStyle w:val="notetext"/>
      </w:pPr>
      <w:r w:rsidRPr="00583E1A">
        <w:t>Note 1:</w:t>
      </w:r>
      <w:r w:rsidRPr="00583E1A">
        <w:tab/>
        <w:t>Sections</w:t>
      </w:r>
      <w:r w:rsidR="00583E1A">
        <w:t> </w:t>
      </w:r>
      <w:r w:rsidRPr="00583E1A">
        <w:t xml:space="preserve">23AI and 23AK of the </w:t>
      </w:r>
      <w:r w:rsidRPr="00583E1A">
        <w:rPr>
          <w:i/>
        </w:rPr>
        <w:t>Income Tax Assessment Act 1936</w:t>
      </w:r>
      <w:r w:rsidRPr="00583E1A">
        <w:t xml:space="preserve"> provide that amounts paid out of income previously attributed from a controlled foreign company or a foreign investment fund are non</w:t>
      </w:r>
      <w:r w:rsidR="00583E1A">
        <w:noBreakHyphen/>
      </w:r>
      <w:r w:rsidRPr="00583E1A">
        <w:t>assessable non</w:t>
      </w:r>
      <w:r w:rsidR="00583E1A">
        <w:noBreakHyphen/>
      </w:r>
      <w:r w:rsidRPr="00583E1A">
        <w:t>exempt income.</w:t>
      </w:r>
    </w:p>
    <w:p w:rsidR="00C20DE4" w:rsidRPr="00583E1A" w:rsidRDefault="00C20DE4" w:rsidP="00C20DE4">
      <w:pPr>
        <w:pStyle w:val="notetext"/>
      </w:pPr>
      <w:r w:rsidRPr="00583E1A">
        <w:t>Note 2:</w:t>
      </w:r>
      <w:r w:rsidRPr="00583E1A">
        <w:tab/>
        <w:t>Foreign income taxes covered by this subsection are direct taxes (for example, a withholding tax on a dividend payment) and not underlying taxes, only some of which are covered by section</w:t>
      </w:r>
      <w:r w:rsidR="00583E1A">
        <w:t> </w:t>
      </w:r>
      <w:r w:rsidRPr="00583E1A">
        <w:t>770</w:t>
      </w:r>
      <w:r w:rsidR="00583E1A">
        <w:noBreakHyphen/>
      </w:r>
      <w:r w:rsidRPr="00583E1A">
        <w:t>135.</w:t>
      </w:r>
    </w:p>
    <w:p w:rsidR="00C20DE4" w:rsidRPr="00583E1A" w:rsidRDefault="00C20DE4" w:rsidP="00C20DE4">
      <w:pPr>
        <w:pStyle w:val="SubsectionHead"/>
      </w:pPr>
      <w:r w:rsidRPr="00583E1A">
        <w:t>Exception for certain residence</w:t>
      </w:r>
      <w:r w:rsidR="00583E1A">
        <w:noBreakHyphen/>
      </w:r>
      <w:r w:rsidRPr="00583E1A">
        <w:t>based foreign income taxes</w:t>
      </w:r>
    </w:p>
    <w:p w:rsidR="00C20DE4" w:rsidRPr="00583E1A" w:rsidRDefault="00C20DE4" w:rsidP="00C20DE4">
      <w:pPr>
        <w:pStyle w:val="subsection"/>
      </w:pPr>
      <w:r w:rsidRPr="00583E1A">
        <w:tab/>
        <w:t>(3)</w:t>
      </w:r>
      <w:r w:rsidRPr="00583E1A">
        <w:tab/>
        <w:t xml:space="preserve">An amount of </w:t>
      </w:r>
      <w:r w:rsidR="00583E1A" w:rsidRPr="00583E1A">
        <w:rPr>
          <w:position w:val="6"/>
          <w:sz w:val="16"/>
        </w:rPr>
        <w:t>*</w:t>
      </w:r>
      <w:r w:rsidRPr="00583E1A">
        <w:t xml:space="preserve">foreign income tax you paid does not count towards the </w:t>
      </w:r>
      <w:r w:rsidR="00583E1A" w:rsidRPr="00583E1A">
        <w:rPr>
          <w:position w:val="6"/>
          <w:sz w:val="16"/>
        </w:rPr>
        <w:t>*</w:t>
      </w:r>
      <w:r w:rsidRPr="00583E1A">
        <w:t>tax offset for the year if you paid it:</w:t>
      </w:r>
    </w:p>
    <w:p w:rsidR="00C20DE4" w:rsidRPr="00583E1A" w:rsidRDefault="00C20DE4" w:rsidP="00C20DE4">
      <w:pPr>
        <w:pStyle w:val="paragraph"/>
      </w:pPr>
      <w:r w:rsidRPr="00583E1A">
        <w:tab/>
        <w:t>(a)</w:t>
      </w:r>
      <w:r w:rsidRPr="00583E1A">
        <w:tab/>
        <w:t>to a foreign country because you are a resident of that country for the purposes of a law relating to the foreign income tax; and</w:t>
      </w:r>
    </w:p>
    <w:p w:rsidR="00C20DE4" w:rsidRPr="00583E1A" w:rsidRDefault="00C20DE4" w:rsidP="00C20DE4">
      <w:pPr>
        <w:pStyle w:val="paragraph"/>
      </w:pPr>
      <w:r w:rsidRPr="00583E1A">
        <w:tab/>
        <w:t>(b)</w:t>
      </w:r>
      <w:r w:rsidRPr="00583E1A">
        <w:tab/>
        <w:t>in respect of an amount derived from a source outside that country.</w:t>
      </w:r>
    </w:p>
    <w:p w:rsidR="00C20DE4" w:rsidRPr="00583E1A" w:rsidRDefault="00C20DE4" w:rsidP="00C20DE4">
      <w:pPr>
        <w:pStyle w:val="SubsectionHead"/>
      </w:pPr>
      <w:r w:rsidRPr="00583E1A">
        <w:t>Exception for previously complying funds and previously foreign funds</w:t>
      </w:r>
    </w:p>
    <w:p w:rsidR="00C20DE4" w:rsidRPr="00583E1A" w:rsidRDefault="00C20DE4" w:rsidP="00C20DE4">
      <w:pPr>
        <w:pStyle w:val="subsection"/>
      </w:pPr>
      <w:r w:rsidRPr="00583E1A">
        <w:tab/>
        <w:t>(4)</w:t>
      </w:r>
      <w:r w:rsidRPr="00583E1A">
        <w:tab/>
        <w:t xml:space="preserve">An amount of </w:t>
      </w:r>
      <w:r w:rsidR="00583E1A" w:rsidRPr="00583E1A">
        <w:rPr>
          <w:position w:val="6"/>
          <w:sz w:val="16"/>
        </w:rPr>
        <w:t>*</w:t>
      </w:r>
      <w:r w:rsidRPr="00583E1A">
        <w:t xml:space="preserve">foreign income tax paid by a </w:t>
      </w:r>
      <w:r w:rsidR="00583E1A" w:rsidRPr="00583E1A">
        <w:rPr>
          <w:position w:val="6"/>
          <w:sz w:val="16"/>
        </w:rPr>
        <w:t>*</w:t>
      </w:r>
      <w:r w:rsidRPr="00583E1A">
        <w:t xml:space="preserve">superannuation provider in relation to a </w:t>
      </w:r>
      <w:r w:rsidR="00583E1A" w:rsidRPr="00583E1A">
        <w:rPr>
          <w:position w:val="6"/>
          <w:sz w:val="16"/>
        </w:rPr>
        <w:t>*</w:t>
      </w:r>
      <w:r w:rsidRPr="00583E1A">
        <w:t xml:space="preserve">superannuation fund does not count towards the </w:t>
      </w:r>
      <w:r w:rsidR="00583E1A" w:rsidRPr="00583E1A">
        <w:rPr>
          <w:position w:val="6"/>
          <w:sz w:val="16"/>
        </w:rPr>
        <w:t>*</w:t>
      </w:r>
      <w:r w:rsidRPr="00583E1A">
        <w:t>tax offset for the year if:</w:t>
      </w:r>
    </w:p>
    <w:p w:rsidR="00C20DE4" w:rsidRPr="00583E1A" w:rsidRDefault="00C20DE4" w:rsidP="00C20DE4">
      <w:pPr>
        <w:pStyle w:val="paragraph"/>
      </w:pPr>
      <w:r w:rsidRPr="00583E1A">
        <w:tab/>
        <w:t>(a)</w:t>
      </w:r>
      <w:r w:rsidRPr="00583E1A">
        <w:tab/>
        <w:t>the tax was paid in respect of an amount included in the fund’s assessable income under table item</w:t>
      </w:r>
      <w:r w:rsidR="00583E1A">
        <w:t> </w:t>
      </w:r>
      <w:r w:rsidRPr="00583E1A">
        <w:t>2 or 3 in section</w:t>
      </w:r>
      <w:r w:rsidR="00583E1A">
        <w:t> </w:t>
      </w:r>
      <w:r w:rsidRPr="00583E1A">
        <w:t>295</w:t>
      </w:r>
      <w:r w:rsidR="00583E1A">
        <w:noBreakHyphen/>
      </w:r>
      <w:r w:rsidRPr="00583E1A">
        <w:t>320; and</w:t>
      </w:r>
    </w:p>
    <w:p w:rsidR="00C20DE4" w:rsidRPr="00583E1A" w:rsidRDefault="00C20DE4" w:rsidP="00C20DE4">
      <w:pPr>
        <w:pStyle w:val="paragraph"/>
      </w:pPr>
      <w:r w:rsidRPr="00583E1A">
        <w:tab/>
        <w:t>(b)</w:t>
      </w:r>
      <w:r w:rsidRPr="00583E1A">
        <w:tab/>
        <w:t>the provider paid the tax before the start of the income year.</w:t>
      </w:r>
    </w:p>
    <w:p w:rsidR="00C20DE4" w:rsidRPr="00583E1A" w:rsidRDefault="00C20DE4" w:rsidP="00C20DE4">
      <w:pPr>
        <w:pStyle w:val="notetext"/>
      </w:pPr>
      <w:r w:rsidRPr="00583E1A">
        <w:t>Note:</w:t>
      </w:r>
      <w:r w:rsidRPr="00583E1A">
        <w:tab/>
        <w:t>Table items</w:t>
      </w:r>
      <w:r w:rsidR="00583E1A">
        <w:t> </w:t>
      </w:r>
      <w:r w:rsidRPr="00583E1A">
        <w:t>2 and 3 in section</w:t>
      </w:r>
      <w:r w:rsidR="00583E1A">
        <w:t> </w:t>
      </w:r>
      <w:r w:rsidRPr="00583E1A">
        <w:t>295</w:t>
      </w:r>
      <w:r w:rsidR="00583E1A">
        <w:noBreakHyphen/>
      </w:r>
      <w:r w:rsidRPr="00583E1A">
        <w:t>320 include additional amounts in the assessable income of superannuation funds that change their status from complying to non</w:t>
      </w:r>
      <w:r w:rsidR="00583E1A">
        <w:noBreakHyphen/>
      </w:r>
      <w:r w:rsidRPr="00583E1A">
        <w:t>complying or from foreign to Australian.</w:t>
      </w:r>
    </w:p>
    <w:p w:rsidR="00C20DE4" w:rsidRPr="00583E1A" w:rsidRDefault="00C20DE4" w:rsidP="00C20DE4">
      <w:pPr>
        <w:pStyle w:val="SubsectionHead"/>
      </w:pPr>
      <w:r w:rsidRPr="00583E1A">
        <w:lastRenderedPageBreak/>
        <w:t>Exception for credit absorption tax and unitary tax</w:t>
      </w:r>
    </w:p>
    <w:p w:rsidR="00C20DE4" w:rsidRPr="00583E1A" w:rsidRDefault="00C20DE4" w:rsidP="00C20DE4">
      <w:pPr>
        <w:pStyle w:val="subsection"/>
      </w:pPr>
      <w:r w:rsidRPr="00583E1A">
        <w:tab/>
        <w:t>(5)</w:t>
      </w:r>
      <w:r w:rsidRPr="00583E1A">
        <w:tab/>
        <w:t xml:space="preserve">An amount of </w:t>
      </w:r>
      <w:r w:rsidR="00583E1A" w:rsidRPr="00583E1A">
        <w:rPr>
          <w:position w:val="6"/>
          <w:sz w:val="16"/>
        </w:rPr>
        <w:t>*</w:t>
      </w:r>
      <w:r w:rsidRPr="00583E1A">
        <w:t xml:space="preserve">credit absorption tax or </w:t>
      </w:r>
      <w:r w:rsidR="00583E1A" w:rsidRPr="00583E1A">
        <w:rPr>
          <w:position w:val="6"/>
          <w:sz w:val="16"/>
        </w:rPr>
        <w:t>*</w:t>
      </w:r>
      <w:r w:rsidRPr="00583E1A">
        <w:t xml:space="preserve">unitary tax you paid does not count towards the </w:t>
      </w:r>
      <w:r w:rsidR="00583E1A" w:rsidRPr="00583E1A">
        <w:rPr>
          <w:position w:val="6"/>
          <w:sz w:val="16"/>
        </w:rPr>
        <w:t>*</w:t>
      </w:r>
      <w:r w:rsidRPr="00583E1A">
        <w:t>tax offset for the year.</w:t>
      </w:r>
    </w:p>
    <w:p w:rsidR="00C20DE4" w:rsidRPr="00583E1A" w:rsidRDefault="00C20DE4" w:rsidP="00C20DE4">
      <w:pPr>
        <w:pStyle w:val="ActHead5"/>
      </w:pPr>
      <w:bookmarkStart w:id="45" w:name="_Toc338939119"/>
      <w:r w:rsidRPr="00583E1A">
        <w:rPr>
          <w:rStyle w:val="CharSectno"/>
        </w:rPr>
        <w:t>770</w:t>
      </w:r>
      <w:r w:rsidR="00583E1A">
        <w:rPr>
          <w:rStyle w:val="CharSectno"/>
        </w:rPr>
        <w:noBreakHyphen/>
      </w:r>
      <w:r w:rsidRPr="00583E1A">
        <w:rPr>
          <w:rStyle w:val="CharSectno"/>
        </w:rPr>
        <w:t>15</w:t>
      </w:r>
      <w:r w:rsidRPr="00583E1A">
        <w:t xml:space="preserve">  Meaning of </w:t>
      </w:r>
      <w:r w:rsidRPr="00583E1A">
        <w:rPr>
          <w:i/>
        </w:rPr>
        <w:t>foreign income tax</w:t>
      </w:r>
      <w:r w:rsidRPr="00583E1A">
        <w:t xml:space="preserve">, </w:t>
      </w:r>
      <w:r w:rsidRPr="00583E1A">
        <w:rPr>
          <w:i/>
        </w:rPr>
        <w:t>credit absorption tax</w:t>
      </w:r>
      <w:r w:rsidRPr="00583E1A">
        <w:t xml:space="preserve"> and </w:t>
      </w:r>
      <w:r w:rsidRPr="00583E1A">
        <w:rPr>
          <w:i/>
        </w:rPr>
        <w:t>unitary tax</w:t>
      </w:r>
      <w:bookmarkEnd w:id="45"/>
    </w:p>
    <w:p w:rsidR="00C20DE4" w:rsidRPr="00583E1A" w:rsidRDefault="00C20DE4" w:rsidP="00C20DE4">
      <w:pPr>
        <w:pStyle w:val="subsection"/>
      </w:pPr>
      <w:r w:rsidRPr="00583E1A">
        <w:tab/>
        <w:t>(1)</w:t>
      </w:r>
      <w:r w:rsidRPr="00583E1A">
        <w:tab/>
      </w:r>
      <w:r w:rsidRPr="00583E1A">
        <w:rPr>
          <w:b/>
          <w:i/>
        </w:rPr>
        <w:t xml:space="preserve">Foreign income tax </w:t>
      </w:r>
      <w:r w:rsidRPr="00583E1A">
        <w:t>means tax that:</w:t>
      </w:r>
    </w:p>
    <w:p w:rsidR="00C20DE4" w:rsidRPr="00583E1A" w:rsidRDefault="00C20DE4" w:rsidP="00C20DE4">
      <w:pPr>
        <w:pStyle w:val="paragraph"/>
      </w:pPr>
      <w:r w:rsidRPr="00583E1A">
        <w:tab/>
        <w:t>(a)</w:t>
      </w:r>
      <w:r w:rsidRPr="00583E1A">
        <w:tab/>
        <w:t xml:space="preserve">is imposed by a law other than an </w:t>
      </w:r>
      <w:r w:rsidR="00583E1A" w:rsidRPr="00583E1A">
        <w:rPr>
          <w:position w:val="6"/>
          <w:sz w:val="16"/>
        </w:rPr>
        <w:t>*</w:t>
      </w:r>
      <w:r w:rsidRPr="00583E1A">
        <w:t>Australian law; and</w:t>
      </w:r>
    </w:p>
    <w:p w:rsidR="00C20DE4" w:rsidRPr="00583E1A" w:rsidRDefault="00C20DE4" w:rsidP="00C20DE4">
      <w:pPr>
        <w:pStyle w:val="paragraph"/>
      </w:pPr>
      <w:r w:rsidRPr="00583E1A">
        <w:tab/>
        <w:t>(b)</w:t>
      </w:r>
      <w:r w:rsidRPr="00583E1A">
        <w:tab/>
        <w:t>is:</w:t>
      </w:r>
    </w:p>
    <w:p w:rsidR="00C20DE4" w:rsidRPr="00583E1A" w:rsidRDefault="00C20DE4" w:rsidP="00C20DE4">
      <w:pPr>
        <w:pStyle w:val="paragraphsub"/>
      </w:pPr>
      <w:r w:rsidRPr="00583E1A">
        <w:tab/>
        <w:t>(i)</w:t>
      </w:r>
      <w:r w:rsidRPr="00583E1A">
        <w:tab/>
        <w:t>tax on income; or</w:t>
      </w:r>
    </w:p>
    <w:p w:rsidR="00C20DE4" w:rsidRPr="00583E1A" w:rsidRDefault="00C20DE4" w:rsidP="00C20DE4">
      <w:pPr>
        <w:pStyle w:val="paragraphsub"/>
      </w:pPr>
      <w:r w:rsidRPr="00583E1A">
        <w:tab/>
        <w:t>(ii)</w:t>
      </w:r>
      <w:r w:rsidRPr="00583E1A">
        <w:tab/>
        <w:t>tax on profits or gains, whether of an income or capital nature; or</w:t>
      </w:r>
    </w:p>
    <w:p w:rsidR="00C20DE4" w:rsidRPr="00583E1A" w:rsidRDefault="00C20DE4" w:rsidP="00C20DE4">
      <w:pPr>
        <w:pStyle w:val="paragraphsub"/>
      </w:pPr>
      <w:r w:rsidRPr="00583E1A">
        <w:tab/>
        <w:t>(iii)</w:t>
      </w:r>
      <w:r w:rsidRPr="00583E1A">
        <w:tab/>
        <w:t xml:space="preserve">any other tax, being a tax that is subject to an agreement having the force of law under the </w:t>
      </w:r>
      <w:r w:rsidRPr="00583E1A">
        <w:rPr>
          <w:i/>
        </w:rPr>
        <w:t>International Tax Agreements Act 1953</w:t>
      </w:r>
      <w:r w:rsidRPr="00583E1A">
        <w:t>.</w:t>
      </w:r>
    </w:p>
    <w:p w:rsidR="006210C7" w:rsidRPr="00583E1A" w:rsidRDefault="006210C7" w:rsidP="006210C7">
      <w:pPr>
        <w:pStyle w:val="notetext"/>
      </w:pPr>
      <w:r w:rsidRPr="00583E1A">
        <w:t>Note:</w:t>
      </w:r>
      <w:r w:rsidRPr="00583E1A">
        <w:tab/>
      </w:r>
      <w:r w:rsidRPr="00583E1A">
        <w:rPr>
          <w:color w:val="000000"/>
        </w:rPr>
        <w:t>Foreign income tax includes only that which has been</w:t>
      </w:r>
      <w:r w:rsidRPr="00583E1A">
        <w:rPr>
          <w:szCs w:val="22"/>
        </w:rPr>
        <w:t xml:space="preserve"> correctly imposed in accordance with the relevant foreign law or, where the foreign jurisdiction has a tax treaty with </w:t>
      </w:r>
      <w:smartTag w:uri="urn:schemas-microsoft-com:office:smarttags" w:element="country-region">
        <w:smartTag w:uri="urn:schemas-microsoft-com:office:smarttags" w:element="place">
          <w:r w:rsidRPr="00583E1A">
            <w:rPr>
              <w:szCs w:val="22"/>
            </w:rPr>
            <w:t>Australia</w:t>
          </w:r>
        </w:smartTag>
      </w:smartTag>
      <w:r w:rsidRPr="00583E1A">
        <w:rPr>
          <w:szCs w:val="22"/>
        </w:rPr>
        <w:t xml:space="preserve"> (having the force of law under the </w:t>
      </w:r>
      <w:r w:rsidRPr="00583E1A">
        <w:rPr>
          <w:i/>
          <w:szCs w:val="22"/>
        </w:rPr>
        <w:t>International Tax Agreements Act 1953</w:t>
      </w:r>
      <w:r w:rsidRPr="00583E1A">
        <w:rPr>
          <w:szCs w:val="22"/>
        </w:rPr>
        <w:t>), has been correctly imposed in accordance with that tax treaty.</w:t>
      </w:r>
    </w:p>
    <w:p w:rsidR="00C20DE4" w:rsidRPr="00583E1A" w:rsidRDefault="00C20DE4" w:rsidP="00C20DE4">
      <w:pPr>
        <w:pStyle w:val="subsection"/>
      </w:pPr>
      <w:r w:rsidRPr="00583E1A">
        <w:tab/>
        <w:t>(2)</w:t>
      </w:r>
      <w:r w:rsidRPr="00583E1A">
        <w:tab/>
      </w:r>
      <w:r w:rsidRPr="00583E1A">
        <w:rPr>
          <w:b/>
          <w:i/>
        </w:rPr>
        <w:t>Credit absorption tax</w:t>
      </w:r>
      <w:r w:rsidRPr="00583E1A">
        <w:t xml:space="preserve"> means a tax imposed by a law of a foreign country, or of any part of, or place in, a foreign country to the extent that the tax would not have been payable if the entity concerned or another entity had not been entitled to an offset in respect of the tax under this Division.</w:t>
      </w:r>
    </w:p>
    <w:p w:rsidR="00C20DE4" w:rsidRPr="00583E1A" w:rsidRDefault="00C20DE4" w:rsidP="00C20DE4">
      <w:pPr>
        <w:pStyle w:val="subsection"/>
      </w:pPr>
      <w:r w:rsidRPr="00583E1A">
        <w:tab/>
        <w:t>(3)</w:t>
      </w:r>
      <w:r w:rsidRPr="00583E1A">
        <w:tab/>
      </w:r>
      <w:r w:rsidRPr="00583E1A">
        <w:rPr>
          <w:b/>
          <w:i/>
        </w:rPr>
        <w:t>Unitary tax</w:t>
      </w:r>
      <w:r w:rsidRPr="00583E1A">
        <w:t xml:space="preserve"> means a tax imposed by a law of a foreign country, or of any part of, or place in, a foreign country, being a law which, for the purposes of taxing income, profits or gains of a company derived from sources within that country, takes into account, or is entitled to take into account, income, losses, outgoings or assets of the company (or of a company that for the purposes of that law is treated as being associated with the company) derived, incurred or situated outside that country, but does not include tax imposed by that law if that law only takes those matters into account:</w:t>
      </w:r>
    </w:p>
    <w:p w:rsidR="00C20DE4" w:rsidRPr="00583E1A" w:rsidRDefault="00C20DE4" w:rsidP="00C20DE4">
      <w:pPr>
        <w:pStyle w:val="paragraph"/>
      </w:pPr>
      <w:r w:rsidRPr="00583E1A">
        <w:tab/>
        <w:t>(a)</w:t>
      </w:r>
      <w:r w:rsidRPr="00583E1A">
        <w:tab/>
        <w:t>if such an associated company is a resident of the foreign country for the purposes of the law of the foreign country; or</w:t>
      </w:r>
    </w:p>
    <w:p w:rsidR="00C20DE4" w:rsidRPr="00583E1A" w:rsidRDefault="00C20DE4" w:rsidP="00C20DE4">
      <w:pPr>
        <w:pStyle w:val="paragraph"/>
      </w:pPr>
      <w:r w:rsidRPr="00583E1A">
        <w:lastRenderedPageBreak/>
        <w:tab/>
        <w:t>(b)</w:t>
      </w:r>
      <w:r w:rsidRPr="00583E1A">
        <w:tab/>
        <w:t>for the purposes of granting any form of relief in relation to tax imposed on dividends received by one company from another company.</w:t>
      </w:r>
    </w:p>
    <w:p w:rsidR="00C20DE4" w:rsidRPr="00583E1A" w:rsidRDefault="00C20DE4" w:rsidP="002D2566">
      <w:pPr>
        <w:pStyle w:val="ActHead4"/>
      </w:pPr>
      <w:bookmarkStart w:id="46" w:name="_Toc338939120"/>
      <w:r w:rsidRPr="00583E1A">
        <w:rPr>
          <w:rStyle w:val="CharSubdNo"/>
        </w:rPr>
        <w:t>Subdivision</w:t>
      </w:r>
      <w:r w:rsidR="00583E1A">
        <w:rPr>
          <w:rStyle w:val="CharSubdNo"/>
        </w:rPr>
        <w:t> </w:t>
      </w:r>
      <w:r w:rsidRPr="00583E1A">
        <w:rPr>
          <w:rStyle w:val="CharSubdNo"/>
        </w:rPr>
        <w:t>770</w:t>
      </w:r>
      <w:r w:rsidR="00583E1A">
        <w:rPr>
          <w:rStyle w:val="CharSubdNo"/>
        </w:rPr>
        <w:noBreakHyphen/>
      </w:r>
      <w:r w:rsidRPr="00583E1A">
        <w:rPr>
          <w:rStyle w:val="CharSubdNo"/>
        </w:rPr>
        <w:t>B</w:t>
      </w:r>
      <w:r w:rsidRPr="00583E1A">
        <w:t>—</w:t>
      </w:r>
      <w:r w:rsidRPr="00583E1A">
        <w:rPr>
          <w:rStyle w:val="CharSubdText"/>
        </w:rPr>
        <w:t>Amount of foreign income tax offset</w:t>
      </w:r>
      <w:bookmarkEnd w:id="46"/>
    </w:p>
    <w:p w:rsidR="00C20DE4" w:rsidRPr="00583E1A" w:rsidRDefault="00C20DE4" w:rsidP="002D2566">
      <w:pPr>
        <w:pStyle w:val="ActHead4"/>
      </w:pPr>
      <w:bookmarkStart w:id="47" w:name="_Toc338939121"/>
      <w:r w:rsidRPr="00583E1A">
        <w:t>Guide to Subdivision</w:t>
      </w:r>
      <w:r w:rsidR="00583E1A">
        <w:t> </w:t>
      </w:r>
      <w:r w:rsidRPr="00583E1A">
        <w:t>770</w:t>
      </w:r>
      <w:r w:rsidR="00583E1A">
        <w:noBreakHyphen/>
      </w:r>
      <w:r w:rsidRPr="00583E1A">
        <w:t>B</w:t>
      </w:r>
      <w:bookmarkEnd w:id="47"/>
    </w:p>
    <w:p w:rsidR="00C20DE4" w:rsidRPr="00583E1A" w:rsidRDefault="00C20DE4" w:rsidP="002D2566">
      <w:pPr>
        <w:pStyle w:val="ActHead5"/>
      </w:pPr>
      <w:bookmarkStart w:id="48" w:name="_Toc338939122"/>
      <w:r w:rsidRPr="00583E1A">
        <w:rPr>
          <w:rStyle w:val="CharSectno"/>
        </w:rPr>
        <w:t>770</w:t>
      </w:r>
      <w:r w:rsidR="00583E1A">
        <w:rPr>
          <w:rStyle w:val="CharSectno"/>
        </w:rPr>
        <w:noBreakHyphen/>
      </w:r>
      <w:r w:rsidRPr="00583E1A">
        <w:rPr>
          <w:rStyle w:val="CharSectno"/>
        </w:rPr>
        <w:t>65</w:t>
      </w:r>
      <w:r w:rsidRPr="00583E1A">
        <w:t xml:space="preserve">  What this Subdivision is about</w:t>
      </w:r>
      <w:bookmarkEnd w:id="48"/>
    </w:p>
    <w:p w:rsidR="00C20DE4" w:rsidRPr="00583E1A" w:rsidRDefault="00C20DE4" w:rsidP="002D2566">
      <w:pPr>
        <w:pStyle w:val="BoxText"/>
        <w:keepNext/>
      </w:pPr>
      <w:r w:rsidRPr="00583E1A">
        <w:t>The amount of your tax offset is based on the amount of foreign income tax you have paid.</w:t>
      </w:r>
    </w:p>
    <w:p w:rsidR="00C20DE4" w:rsidRPr="00583E1A" w:rsidRDefault="00C20DE4" w:rsidP="00307CC1">
      <w:pPr>
        <w:pStyle w:val="BoxText"/>
        <w:keepNext/>
        <w:keepLines/>
      </w:pPr>
      <w:r w:rsidRPr="00583E1A">
        <w:t>However, there is a limit on the maximum amount of your offset. The limit is the greater of $1,000 and an amount worked out under this Subdivision. This amount is based on a comparison between your tax liability and the tax liability you would have if certain foreign</w:t>
      </w:r>
      <w:r w:rsidR="00583E1A">
        <w:noBreakHyphen/>
      </w:r>
      <w:r w:rsidRPr="00583E1A">
        <w:t>taxed and foreign</w:t>
      </w:r>
      <w:r w:rsidR="00583E1A">
        <w:noBreakHyphen/>
      </w:r>
      <w:r w:rsidRPr="00583E1A">
        <w:t>sourced income and related deductions were disregarded.</w:t>
      </w:r>
    </w:p>
    <w:p w:rsidR="00C20DE4" w:rsidRPr="00583E1A" w:rsidRDefault="00C20DE4" w:rsidP="00C20DE4">
      <w:pPr>
        <w:pStyle w:val="BoxText"/>
      </w:pPr>
      <w:r w:rsidRPr="00583E1A">
        <w:t>You may choose to use the limit of $1,000 and not work out this amount.</w:t>
      </w:r>
    </w:p>
    <w:p w:rsidR="00C20DE4" w:rsidRPr="00583E1A" w:rsidRDefault="00C20DE4" w:rsidP="00C20DE4">
      <w:pPr>
        <w:pStyle w:val="BoxText"/>
      </w:pPr>
      <w:r w:rsidRPr="00583E1A">
        <w:t>There is an increase in the limit to ensure foreign income tax paid on some amounts that are not taxed always forms part of the offset.</w:t>
      </w:r>
    </w:p>
    <w:p w:rsidR="00C20DE4" w:rsidRPr="00583E1A" w:rsidRDefault="00C20DE4" w:rsidP="00C20DE4">
      <w:pPr>
        <w:pStyle w:val="TofSectsHeading"/>
      </w:pPr>
      <w:r w:rsidRPr="00583E1A">
        <w:t>Table of sections</w:t>
      </w:r>
    </w:p>
    <w:p w:rsidR="00C20DE4" w:rsidRPr="00583E1A" w:rsidRDefault="00C20DE4" w:rsidP="00C20DE4">
      <w:pPr>
        <w:pStyle w:val="TofSectsGroupHeading"/>
      </w:pPr>
      <w:r w:rsidRPr="00583E1A">
        <w:t>Operative provisions</w:t>
      </w:r>
    </w:p>
    <w:p w:rsidR="00C20DE4" w:rsidRPr="00583E1A" w:rsidRDefault="00C20DE4" w:rsidP="00C20DE4">
      <w:pPr>
        <w:pStyle w:val="TofSectsSection"/>
      </w:pPr>
      <w:r w:rsidRPr="00583E1A">
        <w:t>770</w:t>
      </w:r>
      <w:r w:rsidR="00583E1A">
        <w:noBreakHyphen/>
      </w:r>
      <w:r w:rsidRPr="00583E1A">
        <w:t>70</w:t>
      </w:r>
      <w:r w:rsidRPr="00583E1A">
        <w:tab/>
        <w:t>Amount of foreign income tax offset</w:t>
      </w:r>
    </w:p>
    <w:p w:rsidR="00C20DE4" w:rsidRPr="00583E1A" w:rsidRDefault="00C20DE4" w:rsidP="00C20DE4">
      <w:pPr>
        <w:pStyle w:val="TofSectsSection"/>
      </w:pPr>
      <w:r w:rsidRPr="00583E1A">
        <w:t>770</w:t>
      </w:r>
      <w:r w:rsidR="00583E1A">
        <w:noBreakHyphen/>
      </w:r>
      <w:r w:rsidRPr="00583E1A">
        <w:t>75</w:t>
      </w:r>
      <w:r w:rsidRPr="00583E1A">
        <w:tab/>
        <w:t>Foreign income tax offset limit</w:t>
      </w:r>
    </w:p>
    <w:p w:rsidR="00C20DE4" w:rsidRPr="00583E1A" w:rsidRDefault="00C20DE4" w:rsidP="00C20DE4">
      <w:pPr>
        <w:pStyle w:val="TofSectsSection"/>
      </w:pPr>
      <w:r w:rsidRPr="00583E1A">
        <w:t>770</w:t>
      </w:r>
      <w:r w:rsidR="00583E1A">
        <w:noBreakHyphen/>
      </w:r>
      <w:r w:rsidRPr="00583E1A">
        <w:t>80</w:t>
      </w:r>
      <w:r w:rsidRPr="00583E1A">
        <w:tab/>
        <w:t>Increase in offset limit for tax paid on amounts to which section</w:t>
      </w:r>
      <w:r w:rsidR="00583E1A">
        <w:t> </w:t>
      </w:r>
      <w:r w:rsidRPr="00583E1A">
        <w:t xml:space="preserve">23AI or 23AK of the </w:t>
      </w:r>
      <w:r w:rsidRPr="00583E1A">
        <w:rPr>
          <w:rStyle w:val="CharItalic"/>
        </w:rPr>
        <w:t xml:space="preserve">Income Tax Assessment Act 1936 </w:t>
      </w:r>
      <w:r w:rsidRPr="00583E1A">
        <w:t>apply</w:t>
      </w:r>
    </w:p>
    <w:p w:rsidR="00C20DE4" w:rsidRPr="00583E1A" w:rsidRDefault="00C20DE4" w:rsidP="00C20DE4">
      <w:pPr>
        <w:pStyle w:val="ActHead4"/>
      </w:pPr>
      <w:bookmarkStart w:id="49" w:name="_Toc338939123"/>
      <w:r w:rsidRPr="00583E1A">
        <w:lastRenderedPageBreak/>
        <w:t>Operative provisions</w:t>
      </w:r>
      <w:bookmarkEnd w:id="49"/>
    </w:p>
    <w:p w:rsidR="00C20DE4" w:rsidRPr="00583E1A" w:rsidRDefault="00C20DE4" w:rsidP="00C20DE4">
      <w:pPr>
        <w:pStyle w:val="ActHead5"/>
      </w:pPr>
      <w:bookmarkStart w:id="50" w:name="_Toc338939124"/>
      <w:r w:rsidRPr="00583E1A">
        <w:rPr>
          <w:rStyle w:val="CharSectno"/>
        </w:rPr>
        <w:t>770</w:t>
      </w:r>
      <w:r w:rsidR="00583E1A">
        <w:rPr>
          <w:rStyle w:val="CharSectno"/>
        </w:rPr>
        <w:noBreakHyphen/>
      </w:r>
      <w:r w:rsidRPr="00583E1A">
        <w:rPr>
          <w:rStyle w:val="CharSectno"/>
        </w:rPr>
        <w:t>70</w:t>
      </w:r>
      <w:r w:rsidRPr="00583E1A">
        <w:t xml:space="preserve">  Amount of foreign income tax offset</w:t>
      </w:r>
      <w:bookmarkEnd w:id="50"/>
    </w:p>
    <w:p w:rsidR="00C20DE4" w:rsidRPr="00583E1A" w:rsidRDefault="00C20DE4" w:rsidP="00C20DE4">
      <w:pPr>
        <w:pStyle w:val="subsection"/>
      </w:pPr>
      <w:r w:rsidRPr="00583E1A">
        <w:tab/>
      </w:r>
      <w:r w:rsidRPr="00583E1A">
        <w:tab/>
        <w:t xml:space="preserve">The amount of your </w:t>
      </w:r>
      <w:r w:rsidR="00583E1A" w:rsidRPr="00583E1A">
        <w:rPr>
          <w:position w:val="6"/>
          <w:sz w:val="16"/>
        </w:rPr>
        <w:t>*</w:t>
      </w:r>
      <w:r w:rsidRPr="00583E1A">
        <w:t xml:space="preserve">tax offset for the year is the sum of the </w:t>
      </w:r>
      <w:r w:rsidR="00583E1A" w:rsidRPr="00583E1A">
        <w:rPr>
          <w:position w:val="6"/>
          <w:sz w:val="16"/>
        </w:rPr>
        <w:t>*</w:t>
      </w:r>
      <w:r w:rsidRPr="00583E1A">
        <w:t>foreign income tax you paid that counts towards the offset for the year.</w:t>
      </w:r>
    </w:p>
    <w:p w:rsidR="00C20DE4" w:rsidRPr="00583E1A" w:rsidRDefault="00C20DE4" w:rsidP="00C20DE4">
      <w:pPr>
        <w:pStyle w:val="notetext"/>
      </w:pPr>
      <w:r w:rsidRPr="00583E1A">
        <w:t>Note 1:</w:t>
      </w:r>
      <w:r w:rsidRPr="00583E1A">
        <w:tab/>
        <w:t>The amount of foreign income tax you paid may be affected by Subdivision</w:t>
      </w:r>
      <w:r w:rsidR="00583E1A">
        <w:t> </w:t>
      </w:r>
      <w:r w:rsidRPr="00583E1A">
        <w:t>770</w:t>
      </w:r>
      <w:r w:rsidR="00583E1A">
        <w:noBreakHyphen/>
      </w:r>
      <w:r w:rsidRPr="00583E1A">
        <w:t>C.</w:t>
      </w:r>
    </w:p>
    <w:p w:rsidR="00C20DE4" w:rsidRPr="00583E1A" w:rsidRDefault="00C20DE4" w:rsidP="00C20DE4">
      <w:pPr>
        <w:pStyle w:val="notetext"/>
      </w:pPr>
      <w:r w:rsidRPr="00583E1A">
        <w:t>Note 2:</w:t>
      </w:r>
      <w:r w:rsidRPr="00583E1A">
        <w:tab/>
        <w:t>The amount of the offset might be increased under section</w:t>
      </w:r>
      <w:r w:rsidR="00583E1A">
        <w:t> </w:t>
      </w:r>
      <w:r w:rsidRPr="00583E1A">
        <w:t>770</w:t>
      </w:r>
      <w:r w:rsidR="00583E1A">
        <w:noBreakHyphen/>
      </w:r>
      <w:r w:rsidRPr="00583E1A">
        <w:t xml:space="preserve">230 of the </w:t>
      </w:r>
      <w:r w:rsidRPr="00583E1A">
        <w:rPr>
          <w:i/>
        </w:rPr>
        <w:t>Income Tax (Transitional Provisions) Act 1997</w:t>
      </w:r>
      <w:r w:rsidRPr="00583E1A">
        <w:t>, if you have pre</w:t>
      </w:r>
      <w:r w:rsidR="00583E1A">
        <w:noBreakHyphen/>
      </w:r>
      <w:r w:rsidRPr="00583E1A">
        <w:t>commencement excess foreign income tax.</w:t>
      </w:r>
    </w:p>
    <w:p w:rsidR="00C20DE4" w:rsidRPr="00583E1A" w:rsidRDefault="00C20DE4" w:rsidP="00C20DE4">
      <w:pPr>
        <w:pStyle w:val="ActHead5"/>
      </w:pPr>
      <w:bookmarkStart w:id="51" w:name="_Toc338939125"/>
      <w:r w:rsidRPr="00583E1A">
        <w:rPr>
          <w:rStyle w:val="CharSectno"/>
        </w:rPr>
        <w:t>770</w:t>
      </w:r>
      <w:r w:rsidR="00583E1A">
        <w:rPr>
          <w:rStyle w:val="CharSectno"/>
        </w:rPr>
        <w:noBreakHyphen/>
      </w:r>
      <w:r w:rsidRPr="00583E1A">
        <w:rPr>
          <w:rStyle w:val="CharSectno"/>
        </w:rPr>
        <w:t>75</w:t>
      </w:r>
      <w:r w:rsidRPr="00583E1A">
        <w:t xml:space="preserve">  Foreign income tax offset limit</w:t>
      </w:r>
      <w:bookmarkEnd w:id="51"/>
    </w:p>
    <w:p w:rsidR="00C20DE4" w:rsidRPr="00583E1A" w:rsidRDefault="00C20DE4" w:rsidP="00C20DE4">
      <w:pPr>
        <w:pStyle w:val="subsection"/>
      </w:pPr>
      <w:r w:rsidRPr="00583E1A">
        <w:tab/>
        <w:t>(1)</w:t>
      </w:r>
      <w:r w:rsidRPr="00583E1A">
        <w:tab/>
        <w:t xml:space="preserve">There is a limit (the </w:t>
      </w:r>
      <w:r w:rsidRPr="00583E1A">
        <w:rPr>
          <w:b/>
          <w:i/>
        </w:rPr>
        <w:t>offset limit</w:t>
      </w:r>
      <w:r w:rsidRPr="00583E1A">
        <w:t xml:space="preserve">) on the amount of your </w:t>
      </w:r>
      <w:r w:rsidR="00583E1A" w:rsidRPr="00583E1A">
        <w:rPr>
          <w:position w:val="6"/>
          <w:sz w:val="16"/>
        </w:rPr>
        <w:t>*</w:t>
      </w:r>
      <w:r w:rsidRPr="00583E1A">
        <w:t>tax offset for a year. If your tax offset exceeds the offset limit, reduce the offset by the amount of the excess.</w:t>
      </w:r>
    </w:p>
    <w:p w:rsidR="00C20DE4" w:rsidRPr="00583E1A" w:rsidRDefault="00C20DE4" w:rsidP="00C20DE4">
      <w:pPr>
        <w:pStyle w:val="subsection"/>
      </w:pPr>
      <w:r w:rsidRPr="00583E1A">
        <w:tab/>
        <w:t>(2)</w:t>
      </w:r>
      <w:r w:rsidRPr="00583E1A">
        <w:tab/>
        <w:t>Your offset limit is the greater of:</w:t>
      </w:r>
    </w:p>
    <w:p w:rsidR="00C20DE4" w:rsidRPr="00583E1A" w:rsidRDefault="00C20DE4" w:rsidP="00C20DE4">
      <w:pPr>
        <w:pStyle w:val="paragraph"/>
      </w:pPr>
      <w:r w:rsidRPr="00583E1A">
        <w:tab/>
        <w:t>(a)</w:t>
      </w:r>
      <w:r w:rsidRPr="00583E1A">
        <w:tab/>
        <w:t>$1,000; and</w:t>
      </w:r>
    </w:p>
    <w:p w:rsidR="00C20DE4" w:rsidRPr="00583E1A" w:rsidRDefault="00C20DE4" w:rsidP="00C20DE4">
      <w:pPr>
        <w:pStyle w:val="paragraph"/>
      </w:pPr>
      <w:r w:rsidRPr="00583E1A">
        <w:tab/>
        <w:t>(b)</w:t>
      </w:r>
      <w:r w:rsidRPr="00583E1A">
        <w:tab/>
        <w:t>this amount:</w:t>
      </w:r>
    </w:p>
    <w:p w:rsidR="00C20DE4" w:rsidRPr="00583E1A" w:rsidRDefault="00C20DE4" w:rsidP="00C20DE4">
      <w:pPr>
        <w:pStyle w:val="paragraphsub"/>
      </w:pPr>
      <w:r w:rsidRPr="00583E1A">
        <w:tab/>
        <w:t>(i)</w:t>
      </w:r>
      <w:r w:rsidRPr="00583E1A">
        <w:tab/>
        <w:t xml:space="preserve">the amount of income tax payable by you for the income year; </w:t>
      </w:r>
      <w:r w:rsidRPr="00583E1A">
        <w:rPr>
          <w:i/>
        </w:rPr>
        <w:t>less</w:t>
      </w:r>
    </w:p>
    <w:p w:rsidR="00C20DE4" w:rsidRPr="00583E1A" w:rsidRDefault="00C20DE4" w:rsidP="00C20DE4">
      <w:pPr>
        <w:pStyle w:val="paragraphsub"/>
      </w:pPr>
      <w:r w:rsidRPr="00583E1A">
        <w:tab/>
        <w:t>(ii)</w:t>
      </w:r>
      <w:r w:rsidRPr="00583E1A">
        <w:tab/>
        <w:t xml:space="preserve">the amount of income tax that would be payable by you for the income year if the assumptions in </w:t>
      </w:r>
      <w:r w:rsidR="00583E1A">
        <w:t>subsection (</w:t>
      </w:r>
      <w:r w:rsidRPr="00583E1A">
        <w:t>4) were made.</w:t>
      </w:r>
    </w:p>
    <w:p w:rsidR="00C20DE4" w:rsidRPr="00583E1A" w:rsidRDefault="00C20DE4" w:rsidP="00C20DE4">
      <w:pPr>
        <w:pStyle w:val="notetext"/>
      </w:pPr>
      <w:r w:rsidRPr="00583E1A">
        <w:t>Note 1:</w:t>
      </w:r>
      <w:r w:rsidRPr="00583E1A">
        <w:tab/>
        <w:t xml:space="preserve">If you do not intend to claim a foreign income tax offset of more than $1,000 for the year, you do not need to work out the amount under </w:t>
      </w:r>
      <w:r w:rsidR="00583E1A">
        <w:t>paragraph (</w:t>
      </w:r>
      <w:r w:rsidRPr="00583E1A">
        <w:t>b).</w:t>
      </w:r>
    </w:p>
    <w:p w:rsidR="00C20DE4" w:rsidRPr="00583E1A" w:rsidRDefault="00C20DE4" w:rsidP="00C20DE4">
      <w:pPr>
        <w:pStyle w:val="notetext"/>
      </w:pPr>
      <w:r w:rsidRPr="00583E1A">
        <w:t>Note 2:</w:t>
      </w:r>
      <w:r w:rsidRPr="00583E1A">
        <w:tab/>
        <w:t>The amount of the offset limit might be increased under section</w:t>
      </w:r>
      <w:r w:rsidR="00583E1A">
        <w:t> </w:t>
      </w:r>
      <w:r w:rsidRPr="00583E1A">
        <w:t>770</w:t>
      </w:r>
      <w:r w:rsidR="00583E1A">
        <w:noBreakHyphen/>
      </w:r>
      <w:r w:rsidRPr="00583E1A">
        <w:t>80.</w:t>
      </w:r>
    </w:p>
    <w:p w:rsidR="00C20DE4" w:rsidRPr="00583E1A" w:rsidRDefault="00C20DE4" w:rsidP="00C20DE4">
      <w:pPr>
        <w:pStyle w:val="subsection"/>
      </w:pPr>
      <w:r w:rsidRPr="00583E1A">
        <w:tab/>
        <w:t>(3)</w:t>
      </w:r>
      <w:r w:rsidRPr="00583E1A">
        <w:tab/>
        <w:t xml:space="preserve">For the purposes of </w:t>
      </w:r>
      <w:r w:rsidR="00583E1A">
        <w:t>paragraph (</w:t>
      </w:r>
      <w:r w:rsidRPr="00583E1A">
        <w:t xml:space="preserve">2)(b), work out the amount of income tax payable by you, or that would be payable by you, disregarding any </w:t>
      </w:r>
      <w:r w:rsidR="00583E1A" w:rsidRPr="00583E1A">
        <w:rPr>
          <w:position w:val="6"/>
          <w:sz w:val="16"/>
        </w:rPr>
        <w:t>*</w:t>
      </w:r>
      <w:r w:rsidRPr="00583E1A">
        <w:t>tax offsets.</w:t>
      </w:r>
    </w:p>
    <w:p w:rsidR="00C20DE4" w:rsidRPr="00583E1A" w:rsidRDefault="00C20DE4" w:rsidP="002A3C7A">
      <w:pPr>
        <w:pStyle w:val="subsection"/>
        <w:keepNext/>
        <w:keepLines/>
      </w:pPr>
      <w:r w:rsidRPr="00583E1A">
        <w:lastRenderedPageBreak/>
        <w:tab/>
        <w:t>(4)</w:t>
      </w:r>
      <w:r w:rsidRPr="00583E1A">
        <w:tab/>
        <w:t>Assume that:</w:t>
      </w:r>
    </w:p>
    <w:p w:rsidR="00C20DE4" w:rsidRPr="00583E1A" w:rsidRDefault="00C20DE4" w:rsidP="002A3C7A">
      <w:pPr>
        <w:pStyle w:val="paragraph"/>
        <w:keepNext/>
        <w:keepLines/>
      </w:pPr>
      <w:r w:rsidRPr="00583E1A">
        <w:tab/>
        <w:t>(a)</w:t>
      </w:r>
      <w:r w:rsidRPr="00583E1A">
        <w:tab/>
        <w:t>your assessable income did not include:</w:t>
      </w:r>
    </w:p>
    <w:p w:rsidR="00C20DE4" w:rsidRPr="00583E1A" w:rsidRDefault="00C20DE4" w:rsidP="00C20DE4">
      <w:pPr>
        <w:pStyle w:val="paragraphsub"/>
      </w:pPr>
      <w:r w:rsidRPr="00583E1A">
        <w:tab/>
        <w:t>(i)</w:t>
      </w:r>
      <w:r w:rsidRPr="00583E1A">
        <w:tab/>
        <w:t xml:space="preserve">so much of any amount included in your assessable income as represents an amount in respect of which you paid </w:t>
      </w:r>
      <w:r w:rsidR="00583E1A" w:rsidRPr="00583E1A">
        <w:rPr>
          <w:position w:val="6"/>
          <w:sz w:val="16"/>
        </w:rPr>
        <w:t>*</w:t>
      </w:r>
      <w:r w:rsidRPr="00583E1A">
        <w:t xml:space="preserve">foreign income tax that counts towards the </w:t>
      </w:r>
      <w:r w:rsidR="00583E1A" w:rsidRPr="00583E1A">
        <w:rPr>
          <w:position w:val="6"/>
          <w:sz w:val="16"/>
        </w:rPr>
        <w:t>*</w:t>
      </w:r>
      <w:r w:rsidRPr="00583E1A">
        <w:t>tax offset for the year; and</w:t>
      </w:r>
    </w:p>
    <w:p w:rsidR="00C20DE4" w:rsidRPr="00583E1A" w:rsidRDefault="00C20DE4" w:rsidP="00C20DE4">
      <w:pPr>
        <w:pStyle w:val="paragraphsub"/>
      </w:pPr>
      <w:r w:rsidRPr="00583E1A">
        <w:tab/>
        <w:t>(ii)</w:t>
      </w:r>
      <w:r w:rsidRPr="00583E1A">
        <w:tab/>
        <w:t xml:space="preserve">any other amounts of </w:t>
      </w:r>
      <w:r w:rsidR="00583E1A" w:rsidRPr="00583E1A">
        <w:rPr>
          <w:position w:val="6"/>
          <w:sz w:val="16"/>
        </w:rPr>
        <w:t>*</w:t>
      </w:r>
      <w:r w:rsidRPr="00583E1A">
        <w:t xml:space="preserve">ordinary income or </w:t>
      </w:r>
      <w:r w:rsidR="00583E1A" w:rsidRPr="00583E1A">
        <w:rPr>
          <w:position w:val="6"/>
          <w:sz w:val="16"/>
        </w:rPr>
        <w:t>*</w:t>
      </w:r>
      <w:r w:rsidRPr="00583E1A">
        <w:t xml:space="preserve">statutory income from a source other than an </w:t>
      </w:r>
      <w:r w:rsidR="00583E1A" w:rsidRPr="00583E1A">
        <w:rPr>
          <w:position w:val="6"/>
          <w:sz w:val="16"/>
        </w:rPr>
        <w:t>*</w:t>
      </w:r>
      <w:r w:rsidRPr="00583E1A">
        <w:t>Australian source; and</w:t>
      </w:r>
    </w:p>
    <w:p w:rsidR="00C20DE4" w:rsidRPr="00583E1A" w:rsidRDefault="00C20DE4" w:rsidP="00C20DE4">
      <w:pPr>
        <w:pStyle w:val="paragraph"/>
      </w:pPr>
      <w:r w:rsidRPr="00583E1A">
        <w:tab/>
        <w:t>(b)</w:t>
      </w:r>
      <w:r w:rsidRPr="00583E1A">
        <w:tab/>
        <w:t>you were not entitled to any deductions that:</w:t>
      </w:r>
    </w:p>
    <w:p w:rsidR="00C20DE4" w:rsidRPr="00583E1A" w:rsidRDefault="00C20DE4" w:rsidP="00C20DE4">
      <w:pPr>
        <w:pStyle w:val="paragraphsub"/>
      </w:pPr>
      <w:r w:rsidRPr="00583E1A">
        <w:tab/>
        <w:t>(i)</w:t>
      </w:r>
      <w:r w:rsidRPr="00583E1A">
        <w:tab/>
        <w:t xml:space="preserve">are </w:t>
      </w:r>
      <w:r w:rsidR="00583E1A" w:rsidRPr="00583E1A">
        <w:rPr>
          <w:position w:val="6"/>
          <w:sz w:val="16"/>
        </w:rPr>
        <w:t>*</w:t>
      </w:r>
      <w:r w:rsidRPr="00583E1A">
        <w:t xml:space="preserve">debt deductions that are attributable to an </w:t>
      </w:r>
      <w:r w:rsidR="00583E1A" w:rsidRPr="00583E1A">
        <w:rPr>
          <w:position w:val="6"/>
          <w:sz w:val="16"/>
        </w:rPr>
        <w:t>*</w:t>
      </w:r>
      <w:r w:rsidRPr="00583E1A">
        <w:t>overseas permanent establishment of yours; or</w:t>
      </w:r>
    </w:p>
    <w:p w:rsidR="006210C7" w:rsidRPr="00583E1A" w:rsidRDefault="006210C7" w:rsidP="006210C7">
      <w:pPr>
        <w:pStyle w:val="paragraphsub"/>
      </w:pPr>
      <w:r w:rsidRPr="00583E1A">
        <w:tab/>
        <w:t>(ii)</w:t>
      </w:r>
      <w:r w:rsidRPr="00583E1A">
        <w:tab/>
        <w:t xml:space="preserve">are deductions (other than debt deductions) that are reasonably related to amounts covered by </w:t>
      </w:r>
      <w:r w:rsidR="00583E1A">
        <w:t>paragraph (</w:t>
      </w:r>
      <w:r w:rsidRPr="00583E1A">
        <w:t>a) for that year.</w:t>
      </w:r>
    </w:p>
    <w:p w:rsidR="00C20DE4" w:rsidRPr="00583E1A" w:rsidRDefault="00C20DE4" w:rsidP="00C20DE4">
      <w:pPr>
        <w:pStyle w:val="notetext"/>
      </w:pPr>
      <w:r w:rsidRPr="00583E1A">
        <w:t>Note:</w:t>
      </w:r>
      <w:r w:rsidRPr="00583E1A">
        <w:tab/>
        <w:t>You must also assume you were not entitled to any deductions for certain converted foreign losses: see section</w:t>
      </w:r>
      <w:r w:rsidR="00583E1A">
        <w:t> </w:t>
      </w:r>
      <w:r w:rsidRPr="00583E1A">
        <w:t>770</w:t>
      </w:r>
      <w:r w:rsidR="00583E1A">
        <w:noBreakHyphen/>
      </w:r>
      <w:r w:rsidRPr="00583E1A">
        <w:t xml:space="preserve">35 of the </w:t>
      </w:r>
      <w:r w:rsidRPr="00583E1A">
        <w:rPr>
          <w:i/>
        </w:rPr>
        <w:t>Income Tax (Transitional Provisions) Act 1997</w:t>
      </w:r>
      <w:r w:rsidRPr="00583E1A">
        <w:t>.</w:t>
      </w:r>
    </w:p>
    <w:p w:rsidR="00C20DE4" w:rsidRPr="00583E1A" w:rsidRDefault="00C20DE4" w:rsidP="00C20DE4">
      <w:pPr>
        <w:pStyle w:val="notetext"/>
      </w:pPr>
      <w:r w:rsidRPr="00583E1A">
        <w:t>Example:</w:t>
      </w:r>
      <w:r w:rsidRPr="00583E1A">
        <w:tab/>
        <w:t>If an entity has paid foreign income tax on a capital gain that comprises part of its net capital gain, only that capital gain on which foreign income tax has been paid is disregarded.</w:t>
      </w:r>
    </w:p>
    <w:p w:rsidR="00C20DE4" w:rsidRPr="00583E1A" w:rsidRDefault="00C20DE4" w:rsidP="00C20DE4">
      <w:pPr>
        <w:pStyle w:val="ActHead5"/>
      </w:pPr>
      <w:bookmarkStart w:id="52" w:name="_Toc338939126"/>
      <w:r w:rsidRPr="00583E1A">
        <w:rPr>
          <w:rStyle w:val="CharSectno"/>
        </w:rPr>
        <w:t>770</w:t>
      </w:r>
      <w:r w:rsidR="00583E1A">
        <w:rPr>
          <w:rStyle w:val="CharSectno"/>
        </w:rPr>
        <w:noBreakHyphen/>
      </w:r>
      <w:r w:rsidRPr="00583E1A">
        <w:rPr>
          <w:rStyle w:val="CharSectno"/>
        </w:rPr>
        <w:t>80</w:t>
      </w:r>
      <w:r w:rsidRPr="00583E1A">
        <w:t xml:space="preserve">  Increase in offset limit for tax paid on amounts to which section</w:t>
      </w:r>
      <w:r w:rsidR="00583E1A">
        <w:t> </w:t>
      </w:r>
      <w:r w:rsidRPr="00583E1A">
        <w:t xml:space="preserve">23AI or 23AK of the </w:t>
      </w:r>
      <w:r w:rsidRPr="00583E1A">
        <w:rPr>
          <w:i/>
        </w:rPr>
        <w:t xml:space="preserve">Income Tax Assessment Act 1936 </w:t>
      </w:r>
      <w:r w:rsidRPr="00583E1A">
        <w:t>apply</w:t>
      </w:r>
      <w:bookmarkEnd w:id="52"/>
    </w:p>
    <w:p w:rsidR="00C20DE4" w:rsidRPr="00583E1A" w:rsidRDefault="00C20DE4" w:rsidP="00C20DE4">
      <w:pPr>
        <w:pStyle w:val="subsection"/>
      </w:pPr>
      <w:r w:rsidRPr="00583E1A">
        <w:tab/>
      </w:r>
      <w:r w:rsidRPr="00583E1A">
        <w:tab/>
        <w:t>Your offset limit under subsection 770</w:t>
      </w:r>
      <w:r w:rsidR="00583E1A">
        <w:noBreakHyphen/>
      </w:r>
      <w:r w:rsidRPr="00583E1A">
        <w:t xml:space="preserve">75(2) is increased by any amounts of </w:t>
      </w:r>
      <w:r w:rsidR="00583E1A" w:rsidRPr="00583E1A">
        <w:rPr>
          <w:position w:val="6"/>
          <w:sz w:val="16"/>
        </w:rPr>
        <w:t>*</w:t>
      </w:r>
      <w:r w:rsidRPr="00583E1A">
        <w:t xml:space="preserve">foreign income tax that count towards the </w:t>
      </w:r>
      <w:r w:rsidR="00583E1A" w:rsidRPr="00583E1A">
        <w:rPr>
          <w:position w:val="6"/>
          <w:sz w:val="16"/>
        </w:rPr>
        <w:t>*</w:t>
      </w:r>
      <w:r w:rsidRPr="00583E1A">
        <w:t>tax offset for you for the year because of subsection 770</w:t>
      </w:r>
      <w:r w:rsidR="00583E1A">
        <w:noBreakHyphen/>
      </w:r>
      <w:r w:rsidRPr="00583E1A">
        <w:t>10(2).</w:t>
      </w:r>
    </w:p>
    <w:p w:rsidR="00C20DE4" w:rsidRPr="00583E1A" w:rsidRDefault="00C20DE4" w:rsidP="00C20DE4">
      <w:pPr>
        <w:pStyle w:val="ActHead4"/>
      </w:pPr>
      <w:bookmarkStart w:id="53" w:name="_Toc338939127"/>
      <w:r w:rsidRPr="00583E1A">
        <w:rPr>
          <w:rStyle w:val="CharSubdNo"/>
        </w:rPr>
        <w:t>Subdivision</w:t>
      </w:r>
      <w:r w:rsidR="00583E1A">
        <w:rPr>
          <w:rStyle w:val="CharSubdNo"/>
        </w:rPr>
        <w:t> </w:t>
      </w:r>
      <w:r w:rsidRPr="00583E1A">
        <w:rPr>
          <w:rStyle w:val="CharSubdNo"/>
        </w:rPr>
        <w:t>770</w:t>
      </w:r>
      <w:r w:rsidR="00583E1A">
        <w:rPr>
          <w:rStyle w:val="CharSubdNo"/>
        </w:rPr>
        <w:noBreakHyphen/>
      </w:r>
      <w:r w:rsidRPr="00583E1A">
        <w:rPr>
          <w:rStyle w:val="CharSubdNo"/>
        </w:rPr>
        <w:t>C</w:t>
      </w:r>
      <w:r w:rsidRPr="00583E1A">
        <w:t>—</w:t>
      </w:r>
      <w:r w:rsidRPr="00583E1A">
        <w:rPr>
          <w:rStyle w:val="CharSubdText"/>
        </w:rPr>
        <w:t>Rules about payment of foreign income tax</w:t>
      </w:r>
      <w:bookmarkEnd w:id="53"/>
    </w:p>
    <w:p w:rsidR="00C20DE4" w:rsidRPr="00583E1A" w:rsidRDefault="00C20DE4" w:rsidP="00C20DE4">
      <w:pPr>
        <w:pStyle w:val="TofSectsHeading"/>
      </w:pPr>
      <w:r w:rsidRPr="00583E1A">
        <w:t>Table of sections</w:t>
      </w:r>
    </w:p>
    <w:p w:rsidR="00C20DE4" w:rsidRPr="00583E1A" w:rsidRDefault="00C20DE4" w:rsidP="00C20DE4">
      <w:pPr>
        <w:pStyle w:val="TofSectsGroupHeading"/>
      </w:pPr>
      <w:r w:rsidRPr="00583E1A">
        <w:t>Rules about when foreign tax is paid</w:t>
      </w:r>
    </w:p>
    <w:p w:rsidR="00C20DE4" w:rsidRPr="00583E1A" w:rsidRDefault="00C20DE4" w:rsidP="00C20DE4">
      <w:pPr>
        <w:pStyle w:val="TofSectsSection"/>
      </w:pPr>
      <w:r w:rsidRPr="00583E1A">
        <w:t>770</w:t>
      </w:r>
      <w:r w:rsidR="00583E1A">
        <w:noBreakHyphen/>
      </w:r>
      <w:r w:rsidRPr="00583E1A">
        <w:t>130</w:t>
      </w:r>
      <w:r w:rsidRPr="00583E1A">
        <w:tab/>
        <w:t>When foreign income tax is considered paid—taxes paid by someone else</w:t>
      </w:r>
    </w:p>
    <w:p w:rsidR="00C20DE4" w:rsidRPr="00583E1A" w:rsidRDefault="00C20DE4" w:rsidP="00C20DE4">
      <w:pPr>
        <w:pStyle w:val="TofSectsSection"/>
      </w:pPr>
      <w:r w:rsidRPr="00583E1A">
        <w:t>770</w:t>
      </w:r>
      <w:r w:rsidR="00583E1A">
        <w:noBreakHyphen/>
      </w:r>
      <w:r w:rsidRPr="00583E1A">
        <w:t>135</w:t>
      </w:r>
      <w:r w:rsidRPr="00583E1A">
        <w:tab/>
      </w:r>
      <w:r w:rsidR="00FE5625" w:rsidRPr="008706AC">
        <w:t>Foreign income tax paid by CFCs on attributed amounts</w:t>
      </w:r>
    </w:p>
    <w:p w:rsidR="00C20DE4" w:rsidRPr="00583E1A" w:rsidRDefault="00C20DE4" w:rsidP="00C20DE4">
      <w:pPr>
        <w:pStyle w:val="TofSectsGroupHeading"/>
      </w:pPr>
      <w:r w:rsidRPr="00583E1A">
        <w:t>Rules about when foreign tax is considered not paid</w:t>
      </w:r>
    </w:p>
    <w:p w:rsidR="00C20DE4" w:rsidRPr="00583E1A" w:rsidRDefault="00C20DE4" w:rsidP="00C20DE4">
      <w:pPr>
        <w:pStyle w:val="TofSectsSection"/>
      </w:pPr>
      <w:r w:rsidRPr="00583E1A">
        <w:lastRenderedPageBreak/>
        <w:t>770</w:t>
      </w:r>
      <w:r w:rsidR="00583E1A">
        <w:noBreakHyphen/>
      </w:r>
      <w:r w:rsidRPr="00583E1A">
        <w:t>140</w:t>
      </w:r>
      <w:r w:rsidRPr="00583E1A">
        <w:tab/>
        <w:t>When foreign income tax is considered not paid—anti</w:t>
      </w:r>
      <w:r w:rsidR="00583E1A">
        <w:noBreakHyphen/>
      </w:r>
      <w:r w:rsidRPr="00583E1A">
        <w:t>avoidance rule</w:t>
      </w:r>
    </w:p>
    <w:p w:rsidR="00C20DE4" w:rsidRPr="00583E1A" w:rsidRDefault="00C20DE4" w:rsidP="00C20DE4">
      <w:pPr>
        <w:pStyle w:val="ActHead4"/>
      </w:pPr>
      <w:bookmarkStart w:id="54" w:name="_Toc338939128"/>
      <w:r w:rsidRPr="00583E1A">
        <w:t>Rules about when foreign tax is paid</w:t>
      </w:r>
      <w:bookmarkEnd w:id="54"/>
    </w:p>
    <w:p w:rsidR="00C20DE4" w:rsidRPr="00583E1A" w:rsidRDefault="00C20DE4" w:rsidP="00C20DE4">
      <w:pPr>
        <w:pStyle w:val="ActHead5"/>
      </w:pPr>
      <w:bookmarkStart w:id="55" w:name="_Toc338939129"/>
      <w:r w:rsidRPr="00583E1A">
        <w:rPr>
          <w:rStyle w:val="CharSectno"/>
        </w:rPr>
        <w:t>770</w:t>
      </w:r>
      <w:r w:rsidR="00583E1A">
        <w:rPr>
          <w:rStyle w:val="CharSectno"/>
        </w:rPr>
        <w:noBreakHyphen/>
      </w:r>
      <w:r w:rsidRPr="00583E1A">
        <w:rPr>
          <w:rStyle w:val="CharSectno"/>
        </w:rPr>
        <w:t>130</w:t>
      </w:r>
      <w:r w:rsidRPr="00583E1A">
        <w:t xml:space="preserve">  When foreign income tax is considered paid—taxes paid by someone else</w:t>
      </w:r>
      <w:bookmarkEnd w:id="55"/>
    </w:p>
    <w:p w:rsidR="00C20DE4" w:rsidRPr="00583E1A" w:rsidRDefault="00C20DE4" w:rsidP="00C20DE4">
      <w:pPr>
        <w:pStyle w:val="subsection"/>
      </w:pPr>
      <w:r w:rsidRPr="00583E1A">
        <w:tab/>
        <w:t>(1)</w:t>
      </w:r>
      <w:r w:rsidRPr="00583E1A">
        <w:tab/>
        <w:t xml:space="preserve">This Act applies to you as if you had paid an amount of </w:t>
      </w:r>
      <w:r w:rsidR="00583E1A" w:rsidRPr="00583E1A">
        <w:rPr>
          <w:position w:val="6"/>
          <w:sz w:val="16"/>
        </w:rPr>
        <w:t>*</w:t>
      </w:r>
      <w:r w:rsidRPr="00583E1A">
        <w:t xml:space="preserve">foreign income tax in respect of an amount (a </w:t>
      </w:r>
      <w:r w:rsidRPr="00583E1A">
        <w:rPr>
          <w:b/>
          <w:i/>
        </w:rPr>
        <w:t>taxed amount</w:t>
      </w:r>
      <w:r w:rsidRPr="00583E1A">
        <w:t xml:space="preserve">) that is all or part of an amount included in your </w:t>
      </w:r>
      <w:r w:rsidR="00583E1A" w:rsidRPr="00583E1A">
        <w:rPr>
          <w:position w:val="6"/>
          <w:sz w:val="16"/>
        </w:rPr>
        <w:t>*</w:t>
      </w:r>
      <w:r w:rsidRPr="00583E1A">
        <w:t xml:space="preserve">ordinary income or </w:t>
      </w:r>
      <w:r w:rsidR="00583E1A" w:rsidRPr="00583E1A">
        <w:rPr>
          <w:position w:val="6"/>
          <w:sz w:val="16"/>
        </w:rPr>
        <w:t>*</w:t>
      </w:r>
      <w:r w:rsidRPr="00583E1A">
        <w:t xml:space="preserve">statutory income if you are covered by </w:t>
      </w:r>
      <w:r w:rsidR="00583E1A">
        <w:t>subsection (</w:t>
      </w:r>
      <w:r w:rsidRPr="00583E1A">
        <w:t>2) or (3) for an amount of foreign income tax paid in respect of the taxed amount.</w:t>
      </w:r>
    </w:p>
    <w:p w:rsidR="00C20DE4" w:rsidRPr="00583E1A" w:rsidRDefault="00C20DE4" w:rsidP="00C20DE4">
      <w:pPr>
        <w:pStyle w:val="subsection"/>
      </w:pPr>
      <w:r w:rsidRPr="00583E1A">
        <w:tab/>
        <w:t>(2)</w:t>
      </w:r>
      <w:r w:rsidRPr="00583E1A">
        <w:tab/>
        <w:t xml:space="preserve">You are covered by this subsection for an amount of </w:t>
      </w:r>
      <w:r w:rsidR="00583E1A" w:rsidRPr="00583E1A">
        <w:rPr>
          <w:position w:val="6"/>
          <w:sz w:val="16"/>
        </w:rPr>
        <w:t>*</w:t>
      </w:r>
      <w:r w:rsidRPr="00583E1A">
        <w:t xml:space="preserve">foreign income tax paid in respect of a taxed amount if that foreign income tax has been paid in respect of the taxed amount by another entity under an </w:t>
      </w:r>
      <w:r w:rsidR="00583E1A" w:rsidRPr="00583E1A">
        <w:rPr>
          <w:position w:val="6"/>
          <w:sz w:val="16"/>
        </w:rPr>
        <w:t>*</w:t>
      </w:r>
      <w:r w:rsidRPr="00583E1A">
        <w:t>arrangement with you or under the law relating to the foreign income tax.</w:t>
      </w:r>
    </w:p>
    <w:p w:rsidR="00C20DE4" w:rsidRPr="00583E1A" w:rsidRDefault="00C20DE4" w:rsidP="00C20DE4">
      <w:pPr>
        <w:pStyle w:val="notetext"/>
      </w:pPr>
      <w:r w:rsidRPr="00583E1A">
        <w:t>Example:</w:t>
      </w:r>
      <w:r w:rsidRPr="00583E1A">
        <w:tab/>
        <w:t>You are a partner in a partnership and the partnership pays foreign income tax on the partnership income.</w:t>
      </w:r>
    </w:p>
    <w:p w:rsidR="00C20DE4" w:rsidRPr="00583E1A" w:rsidRDefault="00C20DE4" w:rsidP="00C20DE4">
      <w:pPr>
        <w:pStyle w:val="subsection"/>
      </w:pPr>
      <w:r w:rsidRPr="00583E1A">
        <w:tab/>
        <w:t>(3)</w:t>
      </w:r>
      <w:r w:rsidRPr="00583E1A">
        <w:tab/>
        <w:t xml:space="preserve">You are covered by this subsection for an amount of </w:t>
      </w:r>
      <w:r w:rsidR="00583E1A" w:rsidRPr="00583E1A">
        <w:rPr>
          <w:position w:val="6"/>
          <w:sz w:val="16"/>
        </w:rPr>
        <w:t>*</w:t>
      </w:r>
      <w:r w:rsidRPr="00583E1A">
        <w:t>foreign income tax paid in respect of the taxed amount to the extent that:</w:t>
      </w:r>
    </w:p>
    <w:p w:rsidR="00C20DE4" w:rsidRPr="00583E1A" w:rsidRDefault="00C20DE4" w:rsidP="00C20DE4">
      <w:pPr>
        <w:pStyle w:val="paragraph"/>
      </w:pPr>
      <w:r w:rsidRPr="00583E1A">
        <w:tab/>
        <w:t>(a)</w:t>
      </w:r>
      <w:r w:rsidRPr="00583E1A">
        <w:tab/>
        <w:t>the taxed amount is taken, because of section</w:t>
      </w:r>
      <w:r w:rsidR="00583E1A">
        <w:t> </w:t>
      </w:r>
      <w:r w:rsidRPr="00583E1A">
        <w:t xml:space="preserve">6B of the </w:t>
      </w:r>
      <w:r w:rsidRPr="00583E1A">
        <w:rPr>
          <w:i/>
        </w:rPr>
        <w:t>Income Tax Assessment Act 1936</w:t>
      </w:r>
      <w:r w:rsidRPr="00583E1A">
        <w:t xml:space="preserve"> (the </w:t>
      </w:r>
      <w:r w:rsidRPr="00583E1A">
        <w:rPr>
          <w:b/>
          <w:i/>
        </w:rPr>
        <w:t>1936 Act</w:t>
      </w:r>
      <w:r w:rsidRPr="00583E1A">
        <w:t>), to be attributable to another amount of income of a particular kind or source; and</w:t>
      </w:r>
    </w:p>
    <w:p w:rsidR="00C20DE4" w:rsidRPr="00583E1A" w:rsidRDefault="00C20DE4" w:rsidP="00C20DE4">
      <w:pPr>
        <w:pStyle w:val="paragraph"/>
      </w:pPr>
      <w:r w:rsidRPr="00583E1A">
        <w:tab/>
        <w:t>(b)</w:t>
      </w:r>
      <w:r w:rsidRPr="00583E1A">
        <w:tab/>
        <w:t>foreign income tax has been paid in respect of the other amount of income; and</w:t>
      </w:r>
    </w:p>
    <w:p w:rsidR="00C20DE4" w:rsidRPr="00583E1A" w:rsidRDefault="00C20DE4" w:rsidP="00C20DE4">
      <w:pPr>
        <w:pStyle w:val="paragraph"/>
      </w:pPr>
      <w:r w:rsidRPr="00583E1A">
        <w:tab/>
        <w:t>(c)</w:t>
      </w:r>
      <w:r w:rsidRPr="00583E1A">
        <w:tab/>
        <w:t>the taxed amount is less than it would have been if that tax had not been paid.</w:t>
      </w:r>
    </w:p>
    <w:p w:rsidR="00C20DE4" w:rsidRPr="00583E1A" w:rsidRDefault="00C20DE4" w:rsidP="00C20DE4">
      <w:pPr>
        <w:pStyle w:val="notetext"/>
      </w:pPr>
      <w:r w:rsidRPr="00583E1A">
        <w:t>Example:</w:t>
      </w:r>
      <w:r w:rsidRPr="00583E1A">
        <w:tab/>
        <w:t>Aust Co (an Australian resident) is the sole beneficiary of an Australian resident trust H and is presently entitled to all the income of trust H. Trust H owns shares in For Co (a foreign company). For Co pays a dividend to trust H and the dividend is subject to withholding tax in For Co’s country of residence.</w:t>
      </w:r>
    </w:p>
    <w:p w:rsidR="00C20DE4" w:rsidRPr="00583E1A" w:rsidRDefault="00C20DE4" w:rsidP="00C20DE4">
      <w:pPr>
        <w:pStyle w:val="notetext"/>
      </w:pPr>
      <w:r w:rsidRPr="00583E1A">
        <w:tab/>
        <w:t>Trust H allocates to Aust Co, the dividend, as well as other Australian source income trust H earned in the year (none of which was subject to foreign income tax). Aust Co is treated as having paid the foreign income tax paid by For Co under subsection 770</w:t>
      </w:r>
      <w:r w:rsidR="00583E1A">
        <w:noBreakHyphen/>
      </w:r>
      <w:r w:rsidRPr="00583E1A">
        <w:t xml:space="preserve">130(3). The foreign </w:t>
      </w:r>
      <w:r w:rsidRPr="00583E1A">
        <w:lastRenderedPageBreak/>
        <w:t>income tax is treated as paid in respect of the amount included in Aust Co’s assessable income that is attributable to the dividend.</w:t>
      </w:r>
    </w:p>
    <w:p w:rsidR="00C20DE4" w:rsidRPr="00583E1A" w:rsidRDefault="00FE5625" w:rsidP="00C20DE4">
      <w:pPr>
        <w:pStyle w:val="ActHead5"/>
      </w:pPr>
      <w:bookmarkStart w:id="56" w:name="_Toc338939130"/>
      <w:r w:rsidRPr="008706AC">
        <w:rPr>
          <w:rStyle w:val="CharSectno"/>
        </w:rPr>
        <w:t>770</w:t>
      </w:r>
      <w:r w:rsidRPr="008706AC">
        <w:rPr>
          <w:rStyle w:val="CharSectno"/>
        </w:rPr>
        <w:noBreakHyphen/>
        <w:t>135</w:t>
      </w:r>
      <w:r w:rsidRPr="008706AC">
        <w:t xml:space="preserve">  Foreign income tax paid by CFCs on attributed amounts</w:t>
      </w:r>
      <w:bookmarkEnd w:id="56"/>
    </w:p>
    <w:p w:rsidR="00C20DE4" w:rsidRPr="00583E1A" w:rsidRDefault="00C20DE4" w:rsidP="00C20DE4">
      <w:pPr>
        <w:pStyle w:val="subsection"/>
      </w:pPr>
      <w:r w:rsidRPr="00583E1A">
        <w:tab/>
        <w:t>(1)</w:t>
      </w:r>
      <w:r w:rsidRPr="00583E1A">
        <w:tab/>
        <w:t>This Division applies to an entity</w:t>
      </w:r>
      <w:r w:rsidR="00F52767" w:rsidRPr="00583E1A">
        <w:t xml:space="preserve"> (other than a </w:t>
      </w:r>
      <w:r w:rsidR="00583E1A" w:rsidRPr="00583E1A">
        <w:rPr>
          <w:position w:val="6"/>
          <w:sz w:val="16"/>
        </w:rPr>
        <w:t>*</w:t>
      </w:r>
      <w:r w:rsidR="00F52767" w:rsidRPr="00583E1A">
        <w:t>CFC)</w:t>
      </w:r>
      <w:r w:rsidRPr="00583E1A">
        <w:t xml:space="preserve"> as if it had paid an amount of </w:t>
      </w:r>
      <w:r w:rsidR="00583E1A" w:rsidRPr="00583E1A">
        <w:rPr>
          <w:position w:val="6"/>
          <w:sz w:val="16"/>
        </w:rPr>
        <w:t>*</w:t>
      </w:r>
      <w:r w:rsidRPr="00583E1A">
        <w:t xml:space="preserve">foreign income tax worked out under </w:t>
      </w:r>
      <w:r w:rsidR="00583E1A">
        <w:t>subsection (</w:t>
      </w:r>
      <w:r w:rsidRPr="00583E1A">
        <w:t>7) in respect of an amount included in its assessable income if:</w:t>
      </w:r>
    </w:p>
    <w:p w:rsidR="00C20DE4" w:rsidRPr="00583E1A" w:rsidRDefault="00C20DE4" w:rsidP="00C20DE4">
      <w:pPr>
        <w:pStyle w:val="paragraph"/>
      </w:pPr>
      <w:r w:rsidRPr="00583E1A">
        <w:tab/>
        <w:t>(a)</w:t>
      </w:r>
      <w:r w:rsidRPr="00583E1A">
        <w:tab/>
        <w:t xml:space="preserve">the amount is included in its assessable income as described in </w:t>
      </w:r>
      <w:r w:rsidR="00583E1A">
        <w:t>subsection (</w:t>
      </w:r>
      <w:r w:rsidRPr="00583E1A">
        <w:t>2); and</w:t>
      </w:r>
    </w:p>
    <w:p w:rsidR="00C20DE4" w:rsidRPr="00583E1A" w:rsidRDefault="00C20DE4" w:rsidP="00C20DE4">
      <w:pPr>
        <w:pStyle w:val="paragraph"/>
      </w:pPr>
      <w:r w:rsidRPr="00583E1A">
        <w:tab/>
        <w:t>(b)</w:t>
      </w:r>
      <w:r w:rsidRPr="00583E1A">
        <w:tab/>
        <w:t xml:space="preserve">the conditions in </w:t>
      </w:r>
      <w:r w:rsidR="00583E1A">
        <w:t>subsections (</w:t>
      </w:r>
      <w:r w:rsidRPr="00583E1A">
        <w:t>3), (5) and (6) are satisfied.</w:t>
      </w:r>
    </w:p>
    <w:p w:rsidR="00DB091A" w:rsidRPr="008706AC" w:rsidRDefault="00DB091A" w:rsidP="00DB091A">
      <w:pPr>
        <w:pStyle w:val="subsection"/>
        <w:rPr>
          <w:kern w:val="28"/>
        </w:rPr>
      </w:pPr>
      <w:r w:rsidRPr="008706AC">
        <w:rPr>
          <w:kern w:val="28"/>
        </w:rPr>
        <w:tab/>
        <w:t>(2)</w:t>
      </w:r>
      <w:r w:rsidRPr="008706AC">
        <w:rPr>
          <w:kern w:val="28"/>
        </w:rPr>
        <w:tab/>
        <w:t>An amount is included in an entity’s assessable income as described in this subsection if the entity is a company and the amount is included under:</w:t>
      </w:r>
    </w:p>
    <w:p w:rsidR="00DB091A" w:rsidRPr="008706AC" w:rsidRDefault="00DB091A" w:rsidP="00DB091A">
      <w:pPr>
        <w:pStyle w:val="paragraph"/>
      </w:pPr>
      <w:r w:rsidRPr="008706AC">
        <w:rPr>
          <w:kern w:val="28"/>
        </w:rPr>
        <w:tab/>
        <w:t>(a)</w:t>
      </w:r>
      <w:r w:rsidRPr="008706AC">
        <w:rPr>
          <w:kern w:val="28"/>
        </w:rPr>
        <w:tab/>
      </w:r>
      <w:r w:rsidRPr="008706AC">
        <w:t xml:space="preserve">section 456 (a </w:t>
      </w:r>
      <w:r w:rsidRPr="008706AC">
        <w:rPr>
          <w:b/>
          <w:i/>
        </w:rPr>
        <w:t>section 456 case</w:t>
      </w:r>
      <w:r w:rsidRPr="008706AC">
        <w:t xml:space="preserve">) of the 1936 Act in relation to a </w:t>
      </w:r>
      <w:r w:rsidRPr="008706AC">
        <w:rPr>
          <w:position w:val="6"/>
          <w:sz w:val="16"/>
        </w:rPr>
        <w:t>*</w:t>
      </w:r>
      <w:r w:rsidRPr="008706AC">
        <w:t>CFC and a statutory accounting period; or</w:t>
      </w:r>
    </w:p>
    <w:p w:rsidR="00DB091A" w:rsidRPr="008706AC" w:rsidRDefault="00DB091A" w:rsidP="00DB091A">
      <w:pPr>
        <w:pStyle w:val="paragraph"/>
      </w:pPr>
      <w:r w:rsidRPr="008706AC">
        <w:tab/>
        <w:t>(b)</w:t>
      </w:r>
      <w:r w:rsidRPr="008706AC">
        <w:tab/>
        <w:t xml:space="preserve">section 457 (a </w:t>
      </w:r>
      <w:r w:rsidRPr="008706AC">
        <w:rPr>
          <w:b/>
          <w:i/>
        </w:rPr>
        <w:t>section 457 case</w:t>
      </w:r>
      <w:r w:rsidRPr="008706AC">
        <w:t>) of that Act in relation to a CFC.</w:t>
      </w:r>
    </w:p>
    <w:p w:rsidR="00DB091A" w:rsidRPr="008706AC" w:rsidRDefault="00DB091A" w:rsidP="00DB091A">
      <w:pPr>
        <w:pStyle w:val="notetext"/>
      </w:pPr>
      <w:r w:rsidRPr="008706AC">
        <w:rPr>
          <w:kern w:val="28"/>
        </w:rPr>
        <w:t>Note:</w:t>
      </w:r>
      <w:r w:rsidRPr="008706AC">
        <w:rPr>
          <w:kern w:val="28"/>
        </w:rPr>
        <w:tab/>
        <w:t>Section 4</w:t>
      </w:r>
      <w:r w:rsidRPr="008706AC">
        <w:t>56 of the 1936 Act includes, in the assessable income of certain Australian shareholders, amounts that are attributable to the profits of an Australian</w:t>
      </w:r>
      <w:r w:rsidRPr="008706AC">
        <w:noBreakHyphen/>
        <w:t>controlled foreign company.</w:t>
      </w:r>
    </w:p>
    <w:p w:rsidR="00DB091A" w:rsidRPr="008706AC" w:rsidRDefault="00DB091A" w:rsidP="00DB091A">
      <w:pPr>
        <w:pStyle w:val="notetext"/>
      </w:pPr>
      <w:r w:rsidRPr="008706AC">
        <w:tab/>
        <w:t>Section 457 does likewise when a controlled foreign company changes residence from an unlisted to a listed country or to Australia.</w:t>
      </w:r>
    </w:p>
    <w:p w:rsidR="00C20DE4" w:rsidRPr="00583E1A" w:rsidRDefault="00C20DE4" w:rsidP="00C20DE4">
      <w:pPr>
        <w:pStyle w:val="SubsectionHead"/>
      </w:pPr>
      <w:r w:rsidRPr="00583E1A">
        <w:t>Tax paid condition</w:t>
      </w:r>
    </w:p>
    <w:p w:rsidR="00C20DE4" w:rsidRPr="00583E1A" w:rsidRDefault="00C20DE4" w:rsidP="00C20DE4">
      <w:pPr>
        <w:pStyle w:val="subsection"/>
      </w:pPr>
      <w:r w:rsidRPr="00583E1A">
        <w:tab/>
        <w:t>(3)</w:t>
      </w:r>
      <w:r w:rsidRPr="00583E1A">
        <w:tab/>
        <w:t xml:space="preserve">An amount of </w:t>
      </w:r>
      <w:r w:rsidR="00583E1A" w:rsidRPr="00583E1A">
        <w:rPr>
          <w:position w:val="6"/>
          <w:sz w:val="16"/>
        </w:rPr>
        <w:t>*</w:t>
      </w:r>
      <w:r w:rsidRPr="00583E1A">
        <w:t xml:space="preserve">foreign income tax, income tax or </w:t>
      </w:r>
      <w:r w:rsidR="00583E1A" w:rsidRPr="00583E1A">
        <w:rPr>
          <w:position w:val="6"/>
          <w:sz w:val="16"/>
        </w:rPr>
        <w:t>*</w:t>
      </w:r>
      <w:r w:rsidRPr="00583E1A">
        <w:t xml:space="preserve">withholding tax (the </w:t>
      </w:r>
      <w:r w:rsidRPr="00583E1A">
        <w:rPr>
          <w:b/>
          <w:i/>
        </w:rPr>
        <w:t>tax amount</w:t>
      </w:r>
      <w:r w:rsidRPr="00583E1A">
        <w:t>) must have been paid:</w:t>
      </w:r>
    </w:p>
    <w:p w:rsidR="00C20DE4" w:rsidRPr="00583E1A" w:rsidRDefault="00C20DE4" w:rsidP="00C20DE4">
      <w:pPr>
        <w:pStyle w:val="paragraph"/>
      </w:pPr>
      <w:r w:rsidRPr="00583E1A">
        <w:tab/>
        <w:t>(a)</w:t>
      </w:r>
      <w:r w:rsidRPr="00583E1A">
        <w:tab/>
        <w:t>for a section</w:t>
      </w:r>
      <w:r w:rsidR="00583E1A">
        <w:t> </w:t>
      </w:r>
      <w:r w:rsidRPr="00583E1A">
        <w:t xml:space="preserve">456 case—by the </w:t>
      </w:r>
      <w:r w:rsidR="00583E1A" w:rsidRPr="00583E1A">
        <w:rPr>
          <w:position w:val="6"/>
          <w:sz w:val="16"/>
        </w:rPr>
        <w:t>*</w:t>
      </w:r>
      <w:r w:rsidRPr="00583E1A">
        <w:t>CFC in respect of an amount included in the notional assessable income of the CFC for the statutory accounting period; or</w:t>
      </w:r>
    </w:p>
    <w:p w:rsidR="00C20DE4" w:rsidRPr="00583E1A" w:rsidRDefault="00C20DE4" w:rsidP="00C20DE4">
      <w:pPr>
        <w:pStyle w:val="paragraph"/>
      </w:pPr>
      <w:r w:rsidRPr="00583E1A">
        <w:tab/>
        <w:t>(b)</w:t>
      </w:r>
      <w:r w:rsidRPr="00583E1A">
        <w:tab/>
        <w:t>for a section</w:t>
      </w:r>
      <w:r w:rsidR="00583E1A">
        <w:t> </w:t>
      </w:r>
      <w:r w:rsidRPr="00583E1A">
        <w:t>457 case—by the CFC</w:t>
      </w:r>
      <w:r w:rsidR="00A023A5">
        <w:t>.</w:t>
      </w:r>
    </w:p>
    <w:p w:rsidR="00C20DE4" w:rsidRPr="00583E1A" w:rsidRDefault="00C20DE4" w:rsidP="00C20DE4">
      <w:pPr>
        <w:pStyle w:val="notetext"/>
      </w:pPr>
      <w:r w:rsidRPr="00583E1A">
        <w:t>Note:</w:t>
      </w:r>
      <w:r w:rsidRPr="00583E1A">
        <w:tab/>
        <w:t>Section</w:t>
      </w:r>
      <w:r w:rsidR="00583E1A">
        <w:t> </w:t>
      </w:r>
      <w:r w:rsidRPr="00583E1A">
        <w:t>770</w:t>
      </w:r>
      <w:r w:rsidR="00583E1A">
        <w:noBreakHyphen/>
      </w:r>
      <w:r w:rsidRPr="00583E1A">
        <w:t>130 deems foreign income tax to have been paid in certain circumstances.</w:t>
      </w:r>
    </w:p>
    <w:p w:rsidR="00C20DE4" w:rsidRPr="00583E1A" w:rsidRDefault="00C20DE4" w:rsidP="002A3C7A">
      <w:pPr>
        <w:pStyle w:val="subsection"/>
        <w:keepNext/>
        <w:keepLines/>
      </w:pPr>
      <w:r w:rsidRPr="00583E1A">
        <w:lastRenderedPageBreak/>
        <w:tab/>
        <w:t>(4)</w:t>
      </w:r>
      <w:r w:rsidRPr="00583E1A">
        <w:tab/>
        <w:t xml:space="preserve">For the purposes of </w:t>
      </w:r>
      <w:r w:rsidR="00583E1A">
        <w:t>paragraphs (</w:t>
      </w:r>
      <w:r w:rsidRPr="00583E1A">
        <w:t xml:space="preserve">3)(a) and (b), the tax amount includes an amount that is taken to have been paid by the </w:t>
      </w:r>
      <w:r w:rsidR="00583E1A" w:rsidRPr="00583E1A">
        <w:rPr>
          <w:position w:val="6"/>
          <w:sz w:val="16"/>
        </w:rPr>
        <w:t>*</w:t>
      </w:r>
      <w:r w:rsidRPr="00583E1A">
        <w:t>CFC under subsection 393(4) of the 1936 Act (about tax paid on reinsurance premiums).</w:t>
      </w:r>
    </w:p>
    <w:p w:rsidR="00C20DE4" w:rsidRPr="00583E1A" w:rsidRDefault="00C20DE4" w:rsidP="00C20DE4">
      <w:pPr>
        <w:pStyle w:val="SubsectionHead"/>
      </w:pPr>
      <w:r w:rsidRPr="00583E1A">
        <w:t>Association condition</w:t>
      </w:r>
    </w:p>
    <w:p w:rsidR="00C20DE4" w:rsidRPr="00583E1A" w:rsidRDefault="00C20DE4" w:rsidP="00C20DE4">
      <w:pPr>
        <w:pStyle w:val="subsection"/>
      </w:pPr>
      <w:r w:rsidRPr="00583E1A">
        <w:tab/>
        <w:t>(5)</w:t>
      </w:r>
      <w:r w:rsidRPr="00583E1A">
        <w:tab/>
        <w:t xml:space="preserve">If the entity is a company, it must have an </w:t>
      </w:r>
      <w:r w:rsidR="00583E1A" w:rsidRPr="00583E1A">
        <w:rPr>
          <w:position w:val="6"/>
          <w:sz w:val="16"/>
        </w:rPr>
        <w:t>*</w:t>
      </w:r>
      <w:r w:rsidRPr="00583E1A">
        <w:t>attribution percentage of 10% or more:</w:t>
      </w:r>
    </w:p>
    <w:p w:rsidR="00C20DE4" w:rsidRPr="00583E1A" w:rsidRDefault="00C20DE4" w:rsidP="00C20DE4">
      <w:pPr>
        <w:pStyle w:val="paragraph"/>
      </w:pPr>
      <w:r w:rsidRPr="00583E1A">
        <w:tab/>
        <w:t>(a)</w:t>
      </w:r>
      <w:r w:rsidRPr="00583E1A">
        <w:tab/>
        <w:t>for a section</w:t>
      </w:r>
      <w:r w:rsidR="00583E1A">
        <w:t> </w:t>
      </w:r>
      <w:r w:rsidRPr="00583E1A">
        <w:t xml:space="preserve">456 case—in relation to the </w:t>
      </w:r>
      <w:r w:rsidR="00583E1A" w:rsidRPr="00583E1A">
        <w:rPr>
          <w:position w:val="6"/>
          <w:sz w:val="16"/>
        </w:rPr>
        <w:t>*</w:t>
      </w:r>
      <w:r w:rsidRPr="00583E1A">
        <w:t>CFC at the end of the statutory accounting period; or</w:t>
      </w:r>
    </w:p>
    <w:p w:rsidR="00C20DE4" w:rsidRPr="00583E1A" w:rsidRDefault="00C20DE4" w:rsidP="00C20DE4">
      <w:pPr>
        <w:pStyle w:val="paragraph"/>
      </w:pPr>
      <w:r w:rsidRPr="00583E1A">
        <w:tab/>
        <w:t>(b)</w:t>
      </w:r>
      <w:r w:rsidRPr="00583E1A">
        <w:tab/>
        <w:t>for a section</w:t>
      </w:r>
      <w:r w:rsidR="00583E1A">
        <w:t> </w:t>
      </w:r>
      <w:r w:rsidRPr="00583E1A">
        <w:t>457 case—in relation to the CFC at the residence</w:t>
      </w:r>
      <w:r w:rsidR="00583E1A">
        <w:noBreakHyphen/>
      </w:r>
      <w:r w:rsidRPr="00583E1A">
        <w:t>change time (within the meaning of section</w:t>
      </w:r>
      <w:r w:rsidR="00583E1A">
        <w:t> </w:t>
      </w:r>
      <w:r w:rsidRPr="00583E1A">
        <w:t>457 of the 1936 Act)</w:t>
      </w:r>
      <w:r w:rsidR="008005D1" w:rsidRPr="008706AC">
        <w:t>.</w:t>
      </w:r>
    </w:p>
    <w:p w:rsidR="00E47419" w:rsidRPr="008706AC" w:rsidRDefault="00E47419" w:rsidP="00E47419">
      <w:pPr>
        <w:pStyle w:val="SubsectionHead"/>
      </w:pPr>
      <w:r w:rsidRPr="008706AC">
        <w:t>Amount of foreign income tax</w:t>
      </w:r>
    </w:p>
    <w:p w:rsidR="00E47419" w:rsidRPr="008706AC" w:rsidRDefault="00E47419" w:rsidP="00E47419">
      <w:pPr>
        <w:pStyle w:val="subsection"/>
      </w:pPr>
      <w:r w:rsidRPr="008706AC">
        <w:tab/>
        <w:t>(7)</w:t>
      </w:r>
      <w:r w:rsidRPr="008706AC">
        <w:tab/>
        <w:t>The amount worked out under this subsection is:</w:t>
      </w:r>
    </w:p>
    <w:p w:rsidR="00E47419" w:rsidRPr="008706AC" w:rsidRDefault="00E47419" w:rsidP="00E47419">
      <w:pPr>
        <w:pStyle w:val="paragraph"/>
      </w:pPr>
      <w:r w:rsidRPr="008706AC">
        <w:tab/>
        <w:t>(a)</w:t>
      </w:r>
      <w:r w:rsidRPr="008706AC">
        <w:tab/>
        <w:t xml:space="preserve">for a section 456 case—the sum of all the tax amounts for the statutory accounting period multiplied by the company’s </w:t>
      </w:r>
      <w:r w:rsidRPr="008706AC">
        <w:rPr>
          <w:position w:val="6"/>
          <w:sz w:val="16"/>
        </w:rPr>
        <w:t>*</w:t>
      </w:r>
      <w:r w:rsidRPr="008706AC">
        <w:t xml:space="preserve">attribution percentage in relation to the </w:t>
      </w:r>
      <w:r w:rsidRPr="008706AC">
        <w:rPr>
          <w:position w:val="6"/>
          <w:sz w:val="16"/>
        </w:rPr>
        <w:t>*</w:t>
      </w:r>
      <w:r w:rsidRPr="008706AC">
        <w:t>CFC at the time mentioned in paragraph (5)(a); or</w:t>
      </w:r>
    </w:p>
    <w:p w:rsidR="00E47419" w:rsidRPr="008706AC" w:rsidRDefault="00E47419" w:rsidP="00E47419">
      <w:pPr>
        <w:pStyle w:val="paragraph"/>
      </w:pPr>
      <w:r w:rsidRPr="008706AC">
        <w:tab/>
        <w:t>(b)</w:t>
      </w:r>
      <w:r w:rsidRPr="008706AC">
        <w:tab/>
        <w:t>for a section 457 case—the sum of all the tax amounts to the extent they are attributable to the amount included in the company’s assessable income under section 457 of the 1936 Act.</w:t>
      </w:r>
    </w:p>
    <w:p w:rsidR="00E47419" w:rsidRPr="008706AC" w:rsidRDefault="00E47419" w:rsidP="00E47419">
      <w:pPr>
        <w:pStyle w:val="SubsectionHead"/>
      </w:pPr>
      <w:r w:rsidRPr="008706AC">
        <w:t>Grossing</w:t>
      </w:r>
      <w:r w:rsidRPr="008706AC">
        <w:noBreakHyphen/>
        <w:t>up of attributed amount</w:t>
      </w:r>
    </w:p>
    <w:p w:rsidR="00E47419" w:rsidRPr="008706AC" w:rsidRDefault="00E47419" w:rsidP="00E47419">
      <w:pPr>
        <w:pStyle w:val="subsection"/>
      </w:pPr>
      <w:r w:rsidRPr="008706AC">
        <w:tab/>
        <w:t>(8)</w:t>
      </w:r>
      <w:r w:rsidRPr="008706AC">
        <w:tab/>
        <w:t>For the purposes of this Act except this section and section 371 of the 1936 Act (for a section 456 case or a section 457 case), the amount included in the entity’s assessable income as described in subsection (2) is taken to be increased by the amount of tax worked out under subsection (7).</w:t>
      </w:r>
    </w:p>
    <w:p w:rsidR="00E47419" w:rsidRPr="008706AC" w:rsidRDefault="00E47419" w:rsidP="00E47419">
      <w:pPr>
        <w:pStyle w:val="notetext"/>
      </w:pPr>
      <w:r w:rsidRPr="008706AC">
        <w:t>Note:</w:t>
      </w:r>
      <w:r w:rsidRPr="008706AC">
        <w:tab/>
        <w:t>Section 371 of the 1936 Act records an amount in an attribution account when the amount is included in the assessable income of an attributable taxpayer in relation to a CFC.</w:t>
      </w:r>
    </w:p>
    <w:p w:rsidR="00C20DE4" w:rsidRPr="00583E1A" w:rsidRDefault="00C20DE4" w:rsidP="002812AF">
      <w:pPr>
        <w:pStyle w:val="ActHead4"/>
      </w:pPr>
      <w:bookmarkStart w:id="57" w:name="_Toc338939131"/>
      <w:r w:rsidRPr="00583E1A">
        <w:lastRenderedPageBreak/>
        <w:t>Rules about when foreign tax is considered not paid</w:t>
      </w:r>
      <w:bookmarkEnd w:id="57"/>
    </w:p>
    <w:p w:rsidR="00C20DE4" w:rsidRPr="00583E1A" w:rsidRDefault="00C20DE4" w:rsidP="002812AF">
      <w:pPr>
        <w:pStyle w:val="ActHead5"/>
      </w:pPr>
      <w:bookmarkStart w:id="58" w:name="_Toc338939132"/>
      <w:r w:rsidRPr="00583E1A">
        <w:rPr>
          <w:rStyle w:val="CharSectno"/>
        </w:rPr>
        <w:t>770</w:t>
      </w:r>
      <w:r w:rsidR="00583E1A">
        <w:rPr>
          <w:rStyle w:val="CharSectno"/>
        </w:rPr>
        <w:noBreakHyphen/>
      </w:r>
      <w:r w:rsidRPr="00583E1A">
        <w:rPr>
          <w:rStyle w:val="CharSectno"/>
        </w:rPr>
        <w:t>140</w:t>
      </w:r>
      <w:r w:rsidRPr="00583E1A">
        <w:t xml:space="preserve">  When foreign income tax is considered not paid—anti</w:t>
      </w:r>
      <w:r w:rsidR="00583E1A">
        <w:noBreakHyphen/>
      </w:r>
      <w:r w:rsidRPr="00583E1A">
        <w:t>avoidance rule</w:t>
      </w:r>
      <w:bookmarkEnd w:id="58"/>
    </w:p>
    <w:p w:rsidR="00C20DE4" w:rsidRPr="00583E1A" w:rsidRDefault="00C20DE4" w:rsidP="002812AF">
      <w:pPr>
        <w:pStyle w:val="subsection"/>
        <w:keepNext/>
        <w:keepLines/>
      </w:pPr>
      <w:r w:rsidRPr="00583E1A">
        <w:tab/>
      </w:r>
      <w:r w:rsidRPr="00583E1A">
        <w:tab/>
        <w:t xml:space="preserve">Despite anything else in this Division, this Act applies to you as if you had </w:t>
      </w:r>
      <w:r w:rsidRPr="00583E1A">
        <w:rPr>
          <w:i/>
        </w:rPr>
        <w:t>not</w:t>
      </w:r>
      <w:r w:rsidRPr="00583E1A">
        <w:t xml:space="preserve"> paid an amount of </w:t>
      </w:r>
      <w:r w:rsidR="00583E1A" w:rsidRPr="00583E1A">
        <w:rPr>
          <w:position w:val="6"/>
          <w:sz w:val="16"/>
        </w:rPr>
        <w:t>*</w:t>
      </w:r>
      <w:r w:rsidRPr="00583E1A">
        <w:t>foreign income tax to the extent that you or any other entity become entitled to:</w:t>
      </w:r>
    </w:p>
    <w:p w:rsidR="00C20DE4" w:rsidRPr="00583E1A" w:rsidRDefault="00C20DE4" w:rsidP="002812AF">
      <w:pPr>
        <w:pStyle w:val="paragraph"/>
        <w:keepNext/>
        <w:keepLines/>
      </w:pPr>
      <w:r w:rsidRPr="00583E1A">
        <w:tab/>
        <w:t>(a)</w:t>
      </w:r>
      <w:r w:rsidRPr="00583E1A">
        <w:tab/>
        <w:t>a refund of the foreign income tax; or</w:t>
      </w:r>
    </w:p>
    <w:p w:rsidR="00C20DE4" w:rsidRPr="00583E1A" w:rsidRDefault="00C20DE4" w:rsidP="00C20DE4">
      <w:pPr>
        <w:pStyle w:val="paragraph"/>
      </w:pPr>
      <w:r w:rsidRPr="00583E1A">
        <w:tab/>
        <w:t>(b)</w:t>
      </w:r>
      <w:r w:rsidRPr="00583E1A">
        <w:tab/>
        <w:t>any other benefit worked out by reference to the amount of the foreign income tax (other than a reduction in the amount of the foreign income tax).</w:t>
      </w:r>
    </w:p>
    <w:p w:rsidR="00C20DE4" w:rsidRPr="00583E1A" w:rsidRDefault="00C20DE4" w:rsidP="0009063A">
      <w:pPr>
        <w:pStyle w:val="ActHead4"/>
      </w:pPr>
      <w:bookmarkStart w:id="59" w:name="_Toc338939133"/>
      <w:r w:rsidRPr="00583E1A">
        <w:rPr>
          <w:rStyle w:val="CharSubdNo"/>
        </w:rPr>
        <w:t>Subdivision</w:t>
      </w:r>
      <w:r w:rsidR="00583E1A">
        <w:rPr>
          <w:rStyle w:val="CharSubdNo"/>
        </w:rPr>
        <w:t> </w:t>
      </w:r>
      <w:r w:rsidRPr="00583E1A">
        <w:rPr>
          <w:rStyle w:val="CharSubdNo"/>
        </w:rPr>
        <w:t>770</w:t>
      </w:r>
      <w:r w:rsidR="00583E1A">
        <w:rPr>
          <w:rStyle w:val="CharSubdNo"/>
        </w:rPr>
        <w:noBreakHyphen/>
      </w:r>
      <w:r w:rsidRPr="00583E1A">
        <w:rPr>
          <w:rStyle w:val="CharSubdNo"/>
        </w:rPr>
        <w:t>D</w:t>
      </w:r>
      <w:r w:rsidRPr="00583E1A">
        <w:t>—</w:t>
      </w:r>
      <w:r w:rsidRPr="00583E1A">
        <w:rPr>
          <w:rStyle w:val="CharSubdText"/>
        </w:rPr>
        <w:t>Administration</w:t>
      </w:r>
      <w:bookmarkEnd w:id="59"/>
    </w:p>
    <w:p w:rsidR="00C20DE4" w:rsidRPr="00583E1A" w:rsidRDefault="00C20DE4" w:rsidP="0009063A">
      <w:pPr>
        <w:pStyle w:val="TofSectsHeading"/>
        <w:keepNext/>
      </w:pPr>
      <w:r w:rsidRPr="00583E1A">
        <w:t>Table of sections</w:t>
      </w:r>
    </w:p>
    <w:p w:rsidR="00C20DE4" w:rsidRPr="00583E1A" w:rsidRDefault="00C20DE4" w:rsidP="0009063A">
      <w:pPr>
        <w:pStyle w:val="TofSectsSection"/>
        <w:keepNext/>
      </w:pPr>
      <w:r w:rsidRPr="00583E1A">
        <w:t>770</w:t>
      </w:r>
      <w:r w:rsidR="00583E1A">
        <w:noBreakHyphen/>
      </w:r>
      <w:r w:rsidRPr="00583E1A">
        <w:t>190</w:t>
      </w:r>
      <w:r w:rsidRPr="00583E1A">
        <w:tab/>
        <w:t>Amendment of assessments</w:t>
      </w:r>
    </w:p>
    <w:p w:rsidR="00C20DE4" w:rsidRPr="00583E1A" w:rsidRDefault="00C20DE4" w:rsidP="00C20DE4">
      <w:pPr>
        <w:pStyle w:val="ActHead5"/>
      </w:pPr>
      <w:bookmarkStart w:id="60" w:name="_Toc338939134"/>
      <w:r w:rsidRPr="00583E1A">
        <w:rPr>
          <w:rStyle w:val="CharSectno"/>
        </w:rPr>
        <w:t>770</w:t>
      </w:r>
      <w:r w:rsidR="00583E1A">
        <w:rPr>
          <w:rStyle w:val="CharSectno"/>
        </w:rPr>
        <w:noBreakHyphen/>
      </w:r>
      <w:r w:rsidRPr="00583E1A">
        <w:rPr>
          <w:rStyle w:val="CharSectno"/>
        </w:rPr>
        <w:t>190</w:t>
      </w:r>
      <w:r w:rsidRPr="00583E1A">
        <w:t xml:space="preserve">  Amendment of assessments</w:t>
      </w:r>
      <w:bookmarkEnd w:id="60"/>
    </w:p>
    <w:p w:rsidR="00C20DE4" w:rsidRPr="00583E1A" w:rsidRDefault="00C20DE4" w:rsidP="00C20DE4">
      <w:pPr>
        <w:pStyle w:val="subsection"/>
      </w:pPr>
      <w:r w:rsidRPr="00583E1A">
        <w:tab/>
        <w:t>(1)</w:t>
      </w:r>
      <w:r w:rsidRPr="00583E1A">
        <w:tab/>
        <w:t>Section</w:t>
      </w:r>
      <w:r w:rsidR="00583E1A">
        <w:t> </w:t>
      </w:r>
      <w:r w:rsidRPr="00583E1A">
        <w:t xml:space="preserve">170 of the </w:t>
      </w:r>
      <w:r w:rsidRPr="00583E1A">
        <w:rPr>
          <w:i/>
        </w:rPr>
        <w:t>Income Tax Assessment Act 1936</w:t>
      </w:r>
      <w:r w:rsidRPr="00583E1A">
        <w:t xml:space="preserve"> does not prevent the amendment of an assessment for the purpose of giving effect to this Division for an income year if:</w:t>
      </w:r>
    </w:p>
    <w:p w:rsidR="00C20DE4" w:rsidRPr="00583E1A" w:rsidRDefault="00C20DE4" w:rsidP="00C20DE4">
      <w:pPr>
        <w:pStyle w:val="paragraph"/>
      </w:pPr>
      <w:r w:rsidRPr="00583E1A">
        <w:tab/>
        <w:t>(a)</w:t>
      </w:r>
      <w:r w:rsidRPr="00583E1A">
        <w:tab/>
        <w:t xml:space="preserve">an event described in </w:t>
      </w:r>
      <w:r w:rsidR="00583E1A">
        <w:t>subsection (</w:t>
      </w:r>
      <w:r w:rsidRPr="00583E1A">
        <w:t xml:space="preserve">2) (an </w:t>
      </w:r>
      <w:r w:rsidRPr="00583E1A">
        <w:rPr>
          <w:b/>
          <w:i/>
        </w:rPr>
        <w:t>amendment event</w:t>
      </w:r>
      <w:r w:rsidRPr="00583E1A">
        <w:t xml:space="preserve">) happens after the time you lodged your </w:t>
      </w:r>
      <w:r w:rsidR="00583E1A" w:rsidRPr="00583E1A">
        <w:rPr>
          <w:position w:val="6"/>
          <w:sz w:val="16"/>
        </w:rPr>
        <w:t>*</w:t>
      </w:r>
      <w:r w:rsidRPr="00583E1A">
        <w:t>income tax return for that year; and</w:t>
      </w:r>
    </w:p>
    <w:p w:rsidR="00C20DE4" w:rsidRPr="00583E1A" w:rsidRDefault="00C20DE4" w:rsidP="00C20DE4">
      <w:pPr>
        <w:pStyle w:val="paragraph"/>
      </w:pPr>
      <w:r w:rsidRPr="00583E1A">
        <w:tab/>
        <w:t>(b)</w:t>
      </w:r>
      <w:r w:rsidRPr="00583E1A">
        <w:tab/>
        <w:t>the amendment is made at any time during the period of 4 years starting immediately after the amendment event.</w:t>
      </w:r>
    </w:p>
    <w:p w:rsidR="00C20DE4" w:rsidRPr="00583E1A" w:rsidRDefault="00C20DE4" w:rsidP="00C20DE4">
      <w:pPr>
        <w:pStyle w:val="notetext"/>
      </w:pPr>
      <w:r w:rsidRPr="00583E1A">
        <w:t>Note:</w:t>
      </w:r>
      <w:r w:rsidRPr="00583E1A">
        <w:tab/>
        <w:t>Section</w:t>
      </w:r>
      <w:r w:rsidR="00583E1A">
        <w:t> </w:t>
      </w:r>
      <w:r w:rsidRPr="00583E1A">
        <w:t>170 of that Act specifies the periods within which assessments may be amended.</w:t>
      </w:r>
    </w:p>
    <w:p w:rsidR="00C20DE4" w:rsidRPr="00583E1A" w:rsidRDefault="00C20DE4" w:rsidP="00C20DE4">
      <w:pPr>
        <w:pStyle w:val="subsection"/>
      </w:pPr>
      <w:r w:rsidRPr="00583E1A">
        <w:tab/>
        <w:t>(2)</w:t>
      </w:r>
      <w:r w:rsidRPr="00583E1A">
        <w:tab/>
        <w:t>The following are amendment events:</w:t>
      </w:r>
    </w:p>
    <w:p w:rsidR="00C20DE4" w:rsidRPr="00583E1A" w:rsidRDefault="00C20DE4" w:rsidP="00C20DE4">
      <w:pPr>
        <w:pStyle w:val="paragraph"/>
      </w:pPr>
      <w:r w:rsidRPr="00583E1A">
        <w:tab/>
        <w:t>(a)</w:t>
      </w:r>
      <w:r w:rsidRPr="00583E1A">
        <w:tab/>
        <w:t xml:space="preserve">you pay an amount of </w:t>
      </w:r>
      <w:r w:rsidR="00583E1A" w:rsidRPr="00583E1A">
        <w:rPr>
          <w:position w:val="6"/>
          <w:sz w:val="16"/>
        </w:rPr>
        <w:t>*</w:t>
      </w:r>
      <w:r w:rsidRPr="00583E1A">
        <w:t xml:space="preserve">foreign income tax that counts towards your </w:t>
      </w:r>
      <w:r w:rsidR="00583E1A" w:rsidRPr="00583E1A">
        <w:rPr>
          <w:position w:val="6"/>
          <w:sz w:val="16"/>
        </w:rPr>
        <w:t>*</w:t>
      </w:r>
      <w:r w:rsidRPr="00583E1A">
        <w:t>tax offset for the year;</w:t>
      </w:r>
    </w:p>
    <w:p w:rsidR="00C20DE4" w:rsidRPr="00583E1A" w:rsidRDefault="00C20DE4" w:rsidP="00C20DE4">
      <w:pPr>
        <w:pStyle w:val="paragraph"/>
      </w:pPr>
      <w:r w:rsidRPr="00583E1A">
        <w:tab/>
        <w:t>(b)</w:t>
      </w:r>
      <w:r w:rsidRPr="00583E1A">
        <w:tab/>
        <w:t>there is an increase in an amount of foreign income tax you paid that counts towards your offset for the year;</w:t>
      </w:r>
    </w:p>
    <w:p w:rsidR="00C20DE4" w:rsidRPr="00583E1A" w:rsidRDefault="00C20DE4" w:rsidP="00C20DE4">
      <w:pPr>
        <w:pStyle w:val="paragraph"/>
      </w:pPr>
      <w:r w:rsidRPr="00583E1A">
        <w:tab/>
        <w:t>(c)</w:t>
      </w:r>
      <w:r w:rsidRPr="00583E1A">
        <w:tab/>
        <w:t>there is a reduction in an amount of foreign income tax you paid that counts towards your offset for the year.</w:t>
      </w:r>
    </w:p>
    <w:p w:rsidR="00C20DE4" w:rsidRPr="00583E1A" w:rsidRDefault="00C20DE4" w:rsidP="00C20DE4">
      <w:pPr>
        <w:pStyle w:val="PageBreak"/>
      </w:pPr>
      <w:r w:rsidRPr="00583E1A">
        <w:br w:type="page"/>
      </w:r>
    </w:p>
    <w:p w:rsidR="00887330" w:rsidRPr="00583E1A" w:rsidRDefault="00887330" w:rsidP="00C20DE4">
      <w:pPr>
        <w:pStyle w:val="ActHead3"/>
      </w:pPr>
      <w:bookmarkStart w:id="61" w:name="_Toc338939135"/>
      <w:r w:rsidRPr="00583E1A">
        <w:rPr>
          <w:rStyle w:val="CharDivNo"/>
        </w:rPr>
        <w:lastRenderedPageBreak/>
        <w:t>Division</w:t>
      </w:r>
      <w:r w:rsidR="00583E1A">
        <w:rPr>
          <w:rStyle w:val="CharDivNo"/>
        </w:rPr>
        <w:t> </w:t>
      </w:r>
      <w:r w:rsidRPr="00583E1A">
        <w:rPr>
          <w:rStyle w:val="CharDivNo"/>
        </w:rPr>
        <w:t>775</w:t>
      </w:r>
      <w:r w:rsidRPr="00583E1A">
        <w:t>—</w:t>
      </w:r>
      <w:r w:rsidRPr="00583E1A">
        <w:rPr>
          <w:rStyle w:val="CharDivText"/>
        </w:rPr>
        <w:t>Foreign currency gains and losses</w:t>
      </w:r>
      <w:bookmarkEnd w:id="61"/>
    </w:p>
    <w:p w:rsidR="00887330" w:rsidRPr="00583E1A" w:rsidRDefault="00887330" w:rsidP="00887330">
      <w:pPr>
        <w:pStyle w:val="Header"/>
      </w:pPr>
      <w:r w:rsidRPr="00583E1A">
        <w:rPr>
          <w:rStyle w:val="CharSubdNo"/>
        </w:rPr>
        <w:t xml:space="preserve"> </w:t>
      </w:r>
      <w:r w:rsidRPr="00583E1A">
        <w:rPr>
          <w:rStyle w:val="CharSubdText"/>
        </w:rPr>
        <w:t xml:space="preserve"> </w:t>
      </w:r>
    </w:p>
    <w:p w:rsidR="00887330" w:rsidRPr="00583E1A" w:rsidRDefault="00887330" w:rsidP="00887330">
      <w:pPr>
        <w:pStyle w:val="TofSectsHeading"/>
      </w:pPr>
      <w:r w:rsidRPr="00583E1A">
        <w:t>Table of Subdivisions</w:t>
      </w:r>
    </w:p>
    <w:p w:rsidR="00887330" w:rsidRPr="00583E1A" w:rsidRDefault="00887330" w:rsidP="00887330">
      <w:pPr>
        <w:pStyle w:val="TofSectsSubdiv"/>
      </w:pPr>
      <w:r w:rsidRPr="00583E1A">
        <w:tab/>
        <w:t>Guide to Division</w:t>
      </w:r>
      <w:r w:rsidR="00583E1A">
        <w:t> </w:t>
      </w:r>
      <w:r w:rsidRPr="00583E1A">
        <w:t>775</w:t>
      </w:r>
    </w:p>
    <w:p w:rsidR="00887330" w:rsidRPr="00583E1A" w:rsidRDefault="00887330" w:rsidP="00887330">
      <w:pPr>
        <w:pStyle w:val="TofSectsSubdiv"/>
      </w:pPr>
      <w:r w:rsidRPr="00583E1A">
        <w:t>775</w:t>
      </w:r>
      <w:r w:rsidR="00583E1A">
        <w:noBreakHyphen/>
      </w:r>
      <w:r w:rsidRPr="00583E1A">
        <w:t>A</w:t>
      </w:r>
      <w:r w:rsidRPr="00583E1A">
        <w:tab/>
        <w:t>Objects of this Division</w:t>
      </w:r>
    </w:p>
    <w:p w:rsidR="00887330" w:rsidRPr="00583E1A" w:rsidRDefault="00887330" w:rsidP="00887330">
      <w:pPr>
        <w:pStyle w:val="TofSectsSubdiv"/>
      </w:pPr>
      <w:r w:rsidRPr="00583E1A">
        <w:t>775</w:t>
      </w:r>
      <w:r w:rsidR="00583E1A">
        <w:noBreakHyphen/>
      </w:r>
      <w:r w:rsidRPr="00583E1A">
        <w:t>B</w:t>
      </w:r>
      <w:r w:rsidRPr="00583E1A">
        <w:tab/>
        <w:t>Realisation of forex gains or losses</w:t>
      </w:r>
    </w:p>
    <w:p w:rsidR="00887330" w:rsidRPr="00583E1A" w:rsidRDefault="00887330" w:rsidP="00887330">
      <w:pPr>
        <w:pStyle w:val="TofSectsSubdiv"/>
      </w:pPr>
      <w:r w:rsidRPr="00583E1A">
        <w:t>775</w:t>
      </w:r>
      <w:r w:rsidR="00583E1A">
        <w:noBreakHyphen/>
      </w:r>
      <w:r w:rsidRPr="00583E1A">
        <w:t>C</w:t>
      </w:r>
      <w:r w:rsidRPr="00583E1A">
        <w:tab/>
        <w:t>Roll</w:t>
      </w:r>
      <w:r w:rsidR="00583E1A">
        <w:noBreakHyphen/>
      </w:r>
      <w:r w:rsidRPr="00583E1A">
        <w:t>over relief for facility agreements</w:t>
      </w:r>
    </w:p>
    <w:p w:rsidR="00887330" w:rsidRPr="00583E1A" w:rsidRDefault="00887330" w:rsidP="00887330">
      <w:pPr>
        <w:pStyle w:val="TofSectsSubdiv"/>
      </w:pPr>
      <w:r w:rsidRPr="00583E1A">
        <w:t>775</w:t>
      </w:r>
      <w:r w:rsidR="00583E1A">
        <w:noBreakHyphen/>
      </w:r>
      <w:r w:rsidRPr="00583E1A">
        <w:t>D</w:t>
      </w:r>
      <w:r w:rsidRPr="00583E1A">
        <w:tab/>
        <w:t>Qualifying forex accounts that pass the limited balance test</w:t>
      </w:r>
    </w:p>
    <w:p w:rsidR="00887330" w:rsidRPr="00583E1A" w:rsidRDefault="00887330" w:rsidP="00887330">
      <w:pPr>
        <w:pStyle w:val="TofSectsSubdiv"/>
      </w:pPr>
      <w:r w:rsidRPr="00583E1A">
        <w:t>775</w:t>
      </w:r>
      <w:r w:rsidR="00583E1A">
        <w:noBreakHyphen/>
      </w:r>
      <w:r w:rsidRPr="00583E1A">
        <w:t>E</w:t>
      </w:r>
      <w:r w:rsidRPr="00583E1A">
        <w:tab/>
        <w:t>Retranslation for qualifying forex accounts</w:t>
      </w:r>
    </w:p>
    <w:p w:rsidR="00E9796A" w:rsidRPr="00583E1A" w:rsidRDefault="00E9796A" w:rsidP="00E9796A">
      <w:pPr>
        <w:pStyle w:val="TofSectsSubdiv"/>
      </w:pPr>
      <w:r w:rsidRPr="00583E1A">
        <w:t>775</w:t>
      </w:r>
      <w:r w:rsidR="00583E1A">
        <w:noBreakHyphen/>
      </w:r>
      <w:r w:rsidRPr="00583E1A">
        <w:t>F</w:t>
      </w:r>
      <w:r w:rsidRPr="00583E1A">
        <w:tab/>
        <w:t>Retranslation under foreign exchange retranslation election under Subdivision</w:t>
      </w:r>
      <w:r w:rsidR="00583E1A">
        <w:t> </w:t>
      </w:r>
      <w:r w:rsidRPr="00583E1A">
        <w:t>230</w:t>
      </w:r>
      <w:r w:rsidR="00583E1A">
        <w:noBreakHyphen/>
      </w:r>
      <w:r w:rsidRPr="00583E1A">
        <w:t>D</w:t>
      </w:r>
    </w:p>
    <w:p w:rsidR="00887330" w:rsidRPr="00583E1A" w:rsidRDefault="00887330" w:rsidP="00887330">
      <w:pPr>
        <w:pStyle w:val="ActHead4"/>
      </w:pPr>
      <w:bookmarkStart w:id="62" w:name="_Toc338939136"/>
      <w:r w:rsidRPr="00583E1A">
        <w:t>Guide to Division</w:t>
      </w:r>
      <w:r w:rsidR="00583E1A">
        <w:t> </w:t>
      </w:r>
      <w:r w:rsidRPr="00583E1A">
        <w:t>775</w:t>
      </w:r>
      <w:bookmarkEnd w:id="62"/>
    </w:p>
    <w:p w:rsidR="00887330" w:rsidRPr="00583E1A" w:rsidRDefault="00887330" w:rsidP="00887330">
      <w:pPr>
        <w:pStyle w:val="ActHead5"/>
      </w:pPr>
      <w:bookmarkStart w:id="63" w:name="_Toc338939137"/>
      <w:r w:rsidRPr="00583E1A">
        <w:rPr>
          <w:rStyle w:val="CharSectno"/>
        </w:rPr>
        <w:t>775</w:t>
      </w:r>
      <w:r w:rsidR="00583E1A">
        <w:rPr>
          <w:rStyle w:val="CharSectno"/>
        </w:rPr>
        <w:noBreakHyphen/>
      </w:r>
      <w:r w:rsidRPr="00583E1A">
        <w:rPr>
          <w:rStyle w:val="CharSectno"/>
        </w:rPr>
        <w:t>5</w:t>
      </w:r>
      <w:r w:rsidRPr="00583E1A">
        <w:t xml:space="preserve">  What this Division is about</w:t>
      </w:r>
      <w:bookmarkEnd w:id="63"/>
    </w:p>
    <w:p w:rsidR="00887330" w:rsidRPr="00583E1A" w:rsidRDefault="00887330" w:rsidP="00887330">
      <w:pPr>
        <w:pStyle w:val="BoxText"/>
      </w:pPr>
      <w:r w:rsidRPr="00583E1A">
        <w:t>Your assessable income includes a forex realisation gain you make as a result of a forex realisation event.</w:t>
      </w:r>
    </w:p>
    <w:p w:rsidR="00887330" w:rsidRPr="00583E1A" w:rsidRDefault="00887330" w:rsidP="00887330">
      <w:pPr>
        <w:pStyle w:val="BoxText"/>
      </w:pPr>
      <w:r w:rsidRPr="00583E1A">
        <w:t>You can deduct a forex realisation loss that you make as a result of a forex realisation event.</w:t>
      </w:r>
    </w:p>
    <w:p w:rsidR="00887330" w:rsidRPr="00583E1A" w:rsidRDefault="00887330" w:rsidP="00887330">
      <w:pPr>
        <w:pStyle w:val="BoxText"/>
      </w:pPr>
      <w:r w:rsidRPr="00583E1A">
        <w:t>There are 5 main types of forex realisation events:</w:t>
      </w:r>
    </w:p>
    <w:p w:rsidR="00887330" w:rsidRPr="00583E1A" w:rsidRDefault="00887330" w:rsidP="00887330">
      <w:pPr>
        <w:pStyle w:val="BoxPara"/>
      </w:pPr>
      <w:r w:rsidRPr="00583E1A">
        <w:tab/>
        <w:t>(a)</w:t>
      </w:r>
      <w:r w:rsidRPr="00583E1A">
        <w:tab/>
        <w:t>forex realisation event 1 happens if you dispose of foreign currency, or a right to receive foreign currency, to another entity;</w:t>
      </w:r>
    </w:p>
    <w:p w:rsidR="00887330" w:rsidRPr="00583E1A" w:rsidRDefault="00887330" w:rsidP="00887330">
      <w:pPr>
        <w:pStyle w:val="BoxPara"/>
      </w:pPr>
      <w:r w:rsidRPr="00583E1A">
        <w:tab/>
        <w:t>(b)</w:t>
      </w:r>
      <w:r w:rsidRPr="00583E1A">
        <w:tab/>
        <w:t>forex realisation event 2 happens if you cease to have a right to receive foreign currency (otherwise than because you disposed of the right to another entity);</w:t>
      </w:r>
    </w:p>
    <w:p w:rsidR="00887330" w:rsidRPr="00583E1A" w:rsidRDefault="00887330" w:rsidP="00887330">
      <w:pPr>
        <w:pStyle w:val="BoxPara"/>
      </w:pPr>
      <w:r w:rsidRPr="00583E1A">
        <w:tab/>
        <w:t>(c)</w:t>
      </w:r>
      <w:r w:rsidRPr="00583E1A">
        <w:tab/>
        <w:t>forex realisation event 3 happens if you cease to have an obligation to receive foreign currency;</w:t>
      </w:r>
    </w:p>
    <w:p w:rsidR="00887330" w:rsidRPr="00583E1A" w:rsidRDefault="00887330" w:rsidP="00887330">
      <w:pPr>
        <w:pStyle w:val="BoxPara"/>
      </w:pPr>
      <w:r w:rsidRPr="00583E1A">
        <w:lastRenderedPageBreak/>
        <w:tab/>
        <w:t>(d)</w:t>
      </w:r>
      <w:r w:rsidRPr="00583E1A">
        <w:tab/>
        <w:t>forex realisation event 4 happens if you cease to have an obligation to pay foreign currency;</w:t>
      </w:r>
    </w:p>
    <w:p w:rsidR="00887330" w:rsidRPr="00583E1A" w:rsidRDefault="00887330" w:rsidP="00887330">
      <w:pPr>
        <w:pStyle w:val="BoxPara"/>
      </w:pPr>
      <w:r w:rsidRPr="00583E1A">
        <w:tab/>
        <w:t>(e)</w:t>
      </w:r>
      <w:r w:rsidRPr="00583E1A">
        <w:tab/>
        <w:t>forex realisation event 5 happens if you cease to have a right to pay foreign currency.</w:t>
      </w:r>
    </w:p>
    <w:p w:rsidR="00887330" w:rsidRPr="00583E1A" w:rsidRDefault="00887330" w:rsidP="00887330">
      <w:pPr>
        <w:pStyle w:val="BoxText"/>
      </w:pPr>
      <w:r w:rsidRPr="00583E1A">
        <w:t>There are special rules for certain short</w:t>
      </w:r>
      <w:r w:rsidR="00583E1A">
        <w:noBreakHyphen/>
      </w:r>
      <w:r w:rsidRPr="00583E1A">
        <w:t>term forex realisation gains and losses.</w:t>
      </w:r>
    </w:p>
    <w:p w:rsidR="00887330" w:rsidRPr="00583E1A" w:rsidRDefault="00887330" w:rsidP="00887330">
      <w:pPr>
        <w:pStyle w:val="BoxText"/>
      </w:pPr>
      <w:r w:rsidRPr="00583E1A">
        <w:t>You may choose roll</w:t>
      </w:r>
      <w:r w:rsidR="00583E1A">
        <w:noBreakHyphen/>
      </w:r>
      <w:r w:rsidRPr="00583E1A">
        <w:t>over relief for certain facility agreements.</w:t>
      </w:r>
    </w:p>
    <w:p w:rsidR="00887330" w:rsidRPr="00583E1A" w:rsidRDefault="00887330" w:rsidP="00887330">
      <w:pPr>
        <w:pStyle w:val="BoxText"/>
      </w:pPr>
      <w:r w:rsidRPr="00583E1A">
        <w:t>You may elect to receive concessional tax treatment for a qualifying forex account that passes the limited balance test.</w:t>
      </w:r>
    </w:p>
    <w:p w:rsidR="00887330" w:rsidRPr="00583E1A" w:rsidRDefault="00887330" w:rsidP="00887330">
      <w:pPr>
        <w:pStyle w:val="BoxText"/>
      </w:pPr>
      <w:r w:rsidRPr="00583E1A">
        <w:t>You may choose retranslation for a qualifying forex account.</w:t>
      </w:r>
    </w:p>
    <w:p w:rsidR="00887330" w:rsidRPr="00583E1A" w:rsidRDefault="00887330" w:rsidP="00887330">
      <w:pPr>
        <w:pStyle w:val="ActHead4"/>
      </w:pPr>
      <w:bookmarkStart w:id="64" w:name="_Toc338939138"/>
      <w:r w:rsidRPr="00583E1A">
        <w:rPr>
          <w:rStyle w:val="CharSubdNo"/>
        </w:rPr>
        <w:t>Subdivision</w:t>
      </w:r>
      <w:r w:rsidR="00583E1A">
        <w:rPr>
          <w:rStyle w:val="CharSubdNo"/>
        </w:rPr>
        <w:t> </w:t>
      </w:r>
      <w:r w:rsidRPr="00583E1A">
        <w:rPr>
          <w:rStyle w:val="CharSubdNo"/>
        </w:rPr>
        <w:t>775</w:t>
      </w:r>
      <w:r w:rsidR="00583E1A">
        <w:rPr>
          <w:rStyle w:val="CharSubdNo"/>
        </w:rPr>
        <w:noBreakHyphen/>
      </w:r>
      <w:r w:rsidRPr="00583E1A">
        <w:rPr>
          <w:rStyle w:val="CharSubdNo"/>
        </w:rPr>
        <w:t>A</w:t>
      </w:r>
      <w:r w:rsidRPr="00583E1A">
        <w:t>—</w:t>
      </w:r>
      <w:r w:rsidRPr="00583E1A">
        <w:rPr>
          <w:rStyle w:val="CharSubdText"/>
        </w:rPr>
        <w:t>Objects of this Division</w:t>
      </w:r>
      <w:bookmarkEnd w:id="64"/>
    </w:p>
    <w:p w:rsidR="00887330" w:rsidRPr="00583E1A" w:rsidRDefault="00887330" w:rsidP="00887330">
      <w:pPr>
        <w:pStyle w:val="TofSectsHeading"/>
      </w:pPr>
      <w:r w:rsidRPr="00583E1A">
        <w:t>Table of sections</w:t>
      </w:r>
    </w:p>
    <w:p w:rsidR="00887330" w:rsidRPr="00583E1A" w:rsidRDefault="00887330" w:rsidP="00887330">
      <w:pPr>
        <w:pStyle w:val="TofSectsSection"/>
      </w:pPr>
      <w:r w:rsidRPr="00583E1A">
        <w:t>775</w:t>
      </w:r>
      <w:r w:rsidR="00583E1A">
        <w:noBreakHyphen/>
      </w:r>
      <w:r w:rsidRPr="00583E1A">
        <w:t>10</w:t>
      </w:r>
      <w:r w:rsidRPr="00583E1A">
        <w:tab/>
        <w:t>Objects of this Division</w:t>
      </w:r>
    </w:p>
    <w:p w:rsidR="00887330" w:rsidRPr="00583E1A" w:rsidRDefault="00887330" w:rsidP="00887330">
      <w:pPr>
        <w:pStyle w:val="ActHead5"/>
      </w:pPr>
      <w:bookmarkStart w:id="65" w:name="_Toc338939139"/>
      <w:r w:rsidRPr="00583E1A">
        <w:rPr>
          <w:rStyle w:val="CharSectno"/>
        </w:rPr>
        <w:t>775</w:t>
      </w:r>
      <w:r w:rsidR="00583E1A">
        <w:rPr>
          <w:rStyle w:val="CharSectno"/>
        </w:rPr>
        <w:noBreakHyphen/>
      </w:r>
      <w:r w:rsidRPr="00583E1A">
        <w:rPr>
          <w:rStyle w:val="CharSectno"/>
        </w:rPr>
        <w:t>10</w:t>
      </w:r>
      <w:r w:rsidRPr="00583E1A">
        <w:t xml:space="preserve">  Objects of this Division</w:t>
      </w:r>
      <w:bookmarkEnd w:id="65"/>
    </w:p>
    <w:p w:rsidR="00887330" w:rsidRPr="00583E1A" w:rsidRDefault="00887330" w:rsidP="00887330">
      <w:pPr>
        <w:pStyle w:val="subsection"/>
      </w:pPr>
      <w:r w:rsidRPr="00583E1A">
        <w:tab/>
      </w:r>
      <w:r w:rsidRPr="00583E1A">
        <w:tab/>
        <w:t>The objects of this Division are as follows:</w:t>
      </w:r>
    </w:p>
    <w:p w:rsidR="00887330" w:rsidRPr="00583E1A" w:rsidRDefault="00887330" w:rsidP="00887330">
      <w:pPr>
        <w:pStyle w:val="paragraph"/>
      </w:pPr>
      <w:r w:rsidRPr="00583E1A">
        <w:tab/>
        <w:t>(a)</w:t>
      </w:r>
      <w:r w:rsidRPr="00583E1A">
        <w:tab/>
        <w:t xml:space="preserve">to recognise </w:t>
      </w:r>
      <w:r w:rsidR="00583E1A" w:rsidRPr="00583E1A">
        <w:rPr>
          <w:position w:val="6"/>
          <w:sz w:val="16"/>
        </w:rPr>
        <w:t>*</w:t>
      </w:r>
      <w:r w:rsidRPr="00583E1A">
        <w:t>foreign currency gains and losses for income tax purposes;</w:t>
      </w:r>
    </w:p>
    <w:p w:rsidR="00887330" w:rsidRPr="00583E1A" w:rsidRDefault="00887330" w:rsidP="00887330">
      <w:pPr>
        <w:pStyle w:val="paragraph"/>
      </w:pPr>
      <w:r w:rsidRPr="00583E1A">
        <w:tab/>
        <w:t>(b)</w:t>
      </w:r>
      <w:r w:rsidRPr="00583E1A">
        <w:tab/>
        <w:t>to quantify those gains and losses by reference to the change in the Australian dollar value of rights and obligations;</w:t>
      </w:r>
    </w:p>
    <w:p w:rsidR="00887330" w:rsidRPr="00583E1A" w:rsidRDefault="00887330" w:rsidP="00887330">
      <w:pPr>
        <w:pStyle w:val="paragraph"/>
      </w:pPr>
      <w:r w:rsidRPr="00583E1A">
        <w:tab/>
        <w:t>(c)</w:t>
      </w:r>
      <w:r w:rsidRPr="00583E1A">
        <w:tab/>
        <w:t>to treat certain foreign currency denominated financing facilities that are the economic equivalent of a loan as if the relevant facility were a loan;</w:t>
      </w:r>
    </w:p>
    <w:p w:rsidR="00887330" w:rsidRDefault="00887330" w:rsidP="002A3C7A">
      <w:pPr>
        <w:pStyle w:val="paragraph"/>
      </w:pPr>
      <w:r w:rsidRPr="00583E1A">
        <w:tab/>
        <w:t>(d)</w:t>
      </w:r>
      <w:r w:rsidRPr="00583E1A">
        <w:tab/>
        <w:t>to reduce compliance costs by not requiring the recognition of certain low</w:t>
      </w:r>
      <w:r w:rsidR="00583E1A">
        <w:noBreakHyphen/>
      </w:r>
      <w:r w:rsidRPr="00583E1A">
        <w:t>value foreign currency gains and losses that involve substantial calculations.</w:t>
      </w:r>
    </w:p>
    <w:p w:rsidR="00CF6132" w:rsidRDefault="00CF6132" w:rsidP="00CF6132">
      <w:pPr>
        <w:sectPr w:rsidR="00CF6132" w:rsidSect="009275EE">
          <w:headerReference w:type="even" r:id="rId23"/>
          <w:headerReference w:type="default" r:id="rId24"/>
          <w:footerReference w:type="even" r:id="rId25"/>
          <w:footerReference w:type="default" r:id="rId26"/>
          <w:headerReference w:type="first" r:id="rId27"/>
          <w:footerReference w:type="first" r:id="rId28"/>
          <w:type w:val="oddPage"/>
          <w:pgSz w:w="11906" w:h="16838" w:code="9"/>
          <w:pgMar w:top="2268" w:right="2410" w:bottom="3827" w:left="2410" w:header="567" w:footer="3119" w:gutter="0"/>
          <w:pgNumType w:start="1"/>
          <w:cols w:space="708"/>
          <w:docGrid w:linePitch="360"/>
        </w:sectPr>
      </w:pPr>
    </w:p>
    <w:p w:rsidR="00887330" w:rsidRPr="00583E1A" w:rsidRDefault="00887330" w:rsidP="00887330">
      <w:pPr>
        <w:pStyle w:val="ActHead4"/>
      </w:pPr>
      <w:bookmarkStart w:id="66" w:name="_Toc338939140"/>
      <w:r w:rsidRPr="00583E1A">
        <w:rPr>
          <w:rStyle w:val="CharSubdNo"/>
        </w:rPr>
        <w:lastRenderedPageBreak/>
        <w:t>Subdivision</w:t>
      </w:r>
      <w:r w:rsidR="00583E1A">
        <w:rPr>
          <w:rStyle w:val="CharSubdNo"/>
        </w:rPr>
        <w:t> </w:t>
      </w:r>
      <w:r w:rsidRPr="00583E1A">
        <w:rPr>
          <w:rStyle w:val="CharSubdNo"/>
        </w:rPr>
        <w:t>775</w:t>
      </w:r>
      <w:r w:rsidR="00583E1A">
        <w:rPr>
          <w:rStyle w:val="CharSubdNo"/>
        </w:rPr>
        <w:noBreakHyphen/>
      </w:r>
      <w:r w:rsidRPr="00583E1A">
        <w:rPr>
          <w:rStyle w:val="CharSubdNo"/>
        </w:rPr>
        <w:t>B</w:t>
      </w:r>
      <w:r w:rsidRPr="00583E1A">
        <w:t>—</w:t>
      </w:r>
      <w:r w:rsidRPr="00583E1A">
        <w:rPr>
          <w:rStyle w:val="CharSubdText"/>
        </w:rPr>
        <w:t>Realisation of forex gains or losses</w:t>
      </w:r>
      <w:bookmarkEnd w:id="66"/>
    </w:p>
    <w:p w:rsidR="00887330" w:rsidRPr="00583E1A" w:rsidRDefault="00887330" w:rsidP="00887330">
      <w:pPr>
        <w:pStyle w:val="TofSectsHeading"/>
        <w:keepNext/>
      </w:pPr>
      <w:r w:rsidRPr="00583E1A">
        <w:t>Table of sections</w:t>
      </w:r>
    </w:p>
    <w:p w:rsidR="00887330" w:rsidRPr="00583E1A" w:rsidRDefault="00887330" w:rsidP="00887330">
      <w:pPr>
        <w:pStyle w:val="TofSectsSection"/>
      </w:pPr>
      <w:r w:rsidRPr="00583E1A">
        <w:t>775</w:t>
      </w:r>
      <w:r w:rsidR="00583E1A">
        <w:noBreakHyphen/>
      </w:r>
      <w:r w:rsidRPr="00583E1A">
        <w:t>15</w:t>
      </w:r>
      <w:r w:rsidRPr="00583E1A">
        <w:tab/>
        <w:t>Forex realisation gains are assessable</w:t>
      </w:r>
    </w:p>
    <w:p w:rsidR="00887330" w:rsidRPr="00583E1A" w:rsidRDefault="00887330" w:rsidP="00887330">
      <w:pPr>
        <w:pStyle w:val="TofSectsSection"/>
      </w:pPr>
      <w:r w:rsidRPr="00583E1A">
        <w:t>775</w:t>
      </w:r>
      <w:r w:rsidR="00583E1A">
        <w:noBreakHyphen/>
      </w:r>
      <w:r w:rsidRPr="00583E1A">
        <w:t>20</w:t>
      </w:r>
      <w:r w:rsidRPr="00583E1A">
        <w:tab/>
        <w:t>Certain forex realisation gains are exempt income</w:t>
      </w:r>
    </w:p>
    <w:p w:rsidR="00887330" w:rsidRPr="00583E1A" w:rsidRDefault="00887330" w:rsidP="00887330">
      <w:pPr>
        <w:pStyle w:val="TofSectsSection"/>
      </w:pPr>
      <w:r w:rsidRPr="00583E1A">
        <w:t>775</w:t>
      </w:r>
      <w:r w:rsidR="00583E1A">
        <w:noBreakHyphen/>
      </w:r>
      <w:r w:rsidRPr="00583E1A">
        <w:t>25</w:t>
      </w:r>
      <w:r w:rsidRPr="00583E1A">
        <w:tab/>
        <w:t>Certain forex realisation gains are non</w:t>
      </w:r>
      <w:r w:rsidR="00583E1A">
        <w:noBreakHyphen/>
      </w:r>
      <w:r w:rsidRPr="00583E1A">
        <w:t>assessable non</w:t>
      </w:r>
      <w:r w:rsidR="00583E1A">
        <w:noBreakHyphen/>
      </w:r>
      <w:r w:rsidRPr="00583E1A">
        <w:t>exempt income</w:t>
      </w:r>
    </w:p>
    <w:p w:rsidR="004E5483" w:rsidRPr="00583E1A" w:rsidRDefault="004E5483" w:rsidP="004E5483">
      <w:pPr>
        <w:pStyle w:val="TofSectsSection"/>
      </w:pPr>
      <w:r w:rsidRPr="00583E1A">
        <w:t>775</w:t>
      </w:r>
      <w:r>
        <w:noBreakHyphen/>
      </w:r>
      <w:r w:rsidRPr="00583E1A">
        <w:t>2</w:t>
      </w:r>
      <w:r>
        <w:t>7</w:t>
      </w:r>
      <w:r w:rsidRPr="00583E1A">
        <w:tab/>
      </w:r>
      <w:r w:rsidRPr="005F1CAE">
        <w:t>Certain forex realisation gains are non</w:t>
      </w:r>
      <w:r w:rsidRPr="005F1CAE">
        <w:noBreakHyphen/>
        <w:t>assessable non</w:t>
      </w:r>
      <w:r w:rsidRPr="005F1CAE">
        <w:noBreakHyphen/>
        <w:t>exempt income</w:t>
      </w:r>
    </w:p>
    <w:p w:rsidR="00887330" w:rsidRPr="00583E1A" w:rsidRDefault="00887330" w:rsidP="00887330">
      <w:pPr>
        <w:pStyle w:val="TofSectsSection"/>
      </w:pPr>
      <w:r w:rsidRPr="00583E1A">
        <w:t>775</w:t>
      </w:r>
      <w:r w:rsidR="00583E1A">
        <w:noBreakHyphen/>
      </w:r>
      <w:r w:rsidRPr="00583E1A">
        <w:t>30</w:t>
      </w:r>
      <w:r w:rsidRPr="00583E1A">
        <w:tab/>
        <w:t>Forex realisation losses are deductible</w:t>
      </w:r>
    </w:p>
    <w:p w:rsidR="00887330" w:rsidRPr="00583E1A" w:rsidRDefault="00887330" w:rsidP="00887330">
      <w:pPr>
        <w:pStyle w:val="TofSectsSection"/>
      </w:pPr>
      <w:r w:rsidRPr="00583E1A">
        <w:t>775</w:t>
      </w:r>
      <w:r w:rsidR="00583E1A">
        <w:noBreakHyphen/>
      </w:r>
      <w:r w:rsidRPr="00583E1A">
        <w:t>35</w:t>
      </w:r>
      <w:r w:rsidRPr="00583E1A">
        <w:tab/>
        <w:t>Certain forex realisation losses are disregarded</w:t>
      </w:r>
    </w:p>
    <w:p w:rsidR="00887330" w:rsidRPr="00583E1A" w:rsidRDefault="00887330" w:rsidP="00887330">
      <w:pPr>
        <w:pStyle w:val="TofSectsSection"/>
      </w:pPr>
      <w:r w:rsidRPr="00583E1A">
        <w:t>775</w:t>
      </w:r>
      <w:r w:rsidR="00583E1A">
        <w:noBreakHyphen/>
      </w:r>
      <w:r w:rsidRPr="00583E1A">
        <w:t>40</w:t>
      </w:r>
      <w:r w:rsidRPr="00583E1A">
        <w:tab/>
        <w:t>Disposal of foreign currency or right to receive foreign currency—forex realisation event 1</w:t>
      </w:r>
    </w:p>
    <w:p w:rsidR="00887330" w:rsidRPr="00583E1A" w:rsidRDefault="00887330" w:rsidP="00887330">
      <w:pPr>
        <w:pStyle w:val="TofSectsSection"/>
      </w:pPr>
      <w:r w:rsidRPr="00583E1A">
        <w:t>775</w:t>
      </w:r>
      <w:r w:rsidR="00583E1A">
        <w:noBreakHyphen/>
      </w:r>
      <w:r w:rsidRPr="00583E1A">
        <w:t>45</w:t>
      </w:r>
      <w:r w:rsidRPr="00583E1A">
        <w:tab/>
        <w:t>Ceasing to have a right to receive foreign currency—forex realisation event 2</w:t>
      </w:r>
    </w:p>
    <w:p w:rsidR="00887330" w:rsidRPr="00583E1A" w:rsidRDefault="00887330" w:rsidP="00887330">
      <w:pPr>
        <w:pStyle w:val="TofSectsSection"/>
      </w:pPr>
      <w:r w:rsidRPr="00583E1A">
        <w:t>775</w:t>
      </w:r>
      <w:r w:rsidR="00583E1A">
        <w:noBreakHyphen/>
      </w:r>
      <w:r w:rsidRPr="00583E1A">
        <w:t>50</w:t>
      </w:r>
      <w:r w:rsidRPr="00583E1A">
        <w:tab/>
        <w:t>Ceasing to have an obligation to receive foreign currency—forex realisation event 3</w:t>
      </w:r>
    </w:p>
    <w:p w:rsidR="00887330" w:rsidRPr="00583E1A" w:rsidRDefault="00887330" w:rsidP="00887330">
      <w:pPr>
        <w:pStyle w:val="TofSectsSection"/>
      </w:pPr>
      <w:r w:rsidRPr="00583E1A">
        <w:t>775</w:t>
      </w:r>
      <w:r w:rsidR="00583E1A">
        <w:noBreakHyphen/>
      </w:r>
      <w:r w:rsidRPr="00583E1A">
        <w:t>55</w:t>
      </w:r>
      <w:r w:rsidRPr="00583E1A">
        <w:tab/>
        <w:t>Ceasing to have an obligation to pay foreign currency—forex realisation event 4</w:t>
      </w:r>
    </w:p>
    <w:p w:rsidR="00887330" w:rsidRPr="00583E1A" w:rsidRDefault="00887330" w:rsidP="00887330">
      <w:pPr>
        <w:pStyle w:val="TofSectsSection"/>
      </w:pPr>
      <w:r w:rsidRPr="00583E1A">
        <w:t>775</w:t>
      </w:r>
      <w:r w:rsidR="00583E1A">
        <w:noBreakHyphen/>
      </w:r>
      <w:r w:rsidRPr="00583E1A">
        <w:t>60</w:t>
      </w:r>
      <w:r w:rsidRPr="00583E1A">
        <w:tab/>
        <w:t>Ceasing to have a right to pay foreign currency—forex realisation event 5</w:t>
      </w:r>
    </w:p>
    <w:p w:rsidR="00887330" w:rsidRPr="00583E1A" w:rsidRDefault="00887330" w:rsidP="00887330">
      <w:pPr>
        <w:pStyle w:val="TofSectsSection"/>
      </w:pPr>
      <w:r w:rsidRPr="00583E1A">
        <w:t>775</w:t>
      </w:r>
      <w:r w:rsidR="00583E1A">
        <w:noBreakHyphen/>
      </w:r>
      <w:r w:rsidRPr="00583E1A">
        <w:t>65</w:t>
      </w:r>
      <w:r w:rsidRPr="00583E1A">
        <w:tab/>
        <w:t>Only one forex realisation event to be counted</w:t>
      </w:r>
    </w:p>
    <w:p w:rsidR="00887330" w:rsidRPr="00583E1A" w:rsidRDefault="00887330" w:rsidP="00887330">
      <w:pPr>
        <w:pStyle w:val="TofSectsSection"/>
      </w:pPr>
      <w:r w:rsidRPr="00583E1A">
        <w:t>775</w:t>
      </w:r>
      <w:r w:rsidR="00583E1A">
        <w:noBreakHyphen/>
      </w:r>
      <w:r w:rsidRPr="00583E1A">
        <w:t>70</w:t>
      </w:r>
      <w:r w:rsidRPr="00583E1A">
        <w:tab/>
        <w:t>Tax consequences of certain short</w:t>
      </w:r>
      <w:r w:rsidR="00583E1A">
        <w:noBreakHyphen/>
      </w:r>
      <w:r w:rsidRPr="00583E1A">
        <w:t>term forex realisation gains</w:t>
      </w:r>
    </w:p>
    <w:p w:rsidR="00887330" w:rsidRPr="00583E1A" w:rsidRDefault="00887330" w:rsidP="00887330">
      <w:pPr>
        <w:pStyle w:val="TofSectsSection"/>
      </w:pPr>
      <w:r w:rsidRPr="00583E1A">
        <w:t>775</w:t>
      </w:r>
      <w:r w:rsidR="00583E1A">
        <w:noBreakHyphen/>
      </w:r>
      <w:r w:rsidRPr="00583E1A">
        <w:t>75</w:t>
      </w:r>
      <w:r w:rsidRPr="00583E1A">
        <w:tab/>
        <w:t>Tax consequences of certain short</w:t>
      </w:r>
      <w:r w:rsidR="00583E1A">
        <w:noBreakHyphen/>
      </w:r>
      <w:r w:rsidRPr="00583E1A">
        <w:t>term forex realisation losses</w:t>
      </w:r>
    </w:p>
    <w:p w:rsidR="00887330" w:rsidRPr="00583E1A" w:rsidRDefault="00887330" w:rsidP="00887330">
      <w:pPr>
        <w:pStyle w:val="TofSectsSection"/>
      </w:pPr>
      <w:r w:rsidRPr="00583E1A">
        <w:t>775</w:t>
      </w:r>
      <w:r w:rsidR="00583E1A">
        <w:noBreakHyphen/>
      </w:r>
      <w:r w:rsidRPr="00583E1A">
        <w:t>80</w:t>
      </w:r>
      <w:r w:rsidRPr="00583E1A">
        <w:tab/>
        <w:t>You may choose not to have sections</w:t>
      </w:r>
      <w:r w:rsidR="00583E1A">
        <w:t> </w:t>
      </w:r>
      <w:r w:rsidRPr="00583E1A">
        <w:t>775</w:t>
      </w:r>
      <w:r w:rsidR="00583E1A">
        <w:noBreakHyphen/>
      </w:r>
      <w:r w:rsidRPr="00583E1A">
        <w:t>70 and 775</w:t>
      </w:r>
      <w:r w:rsidR="00583E1A">
        <w:noBreakHyphen/>
      </w:r>
      <w:r w:rsidRPr="00583E1A">
        <w:t>75 apply to you</w:t>
      </w:r>
    </w:p>
    <w:p w:rsidR="00887330" w:rsidRPr="00583E1A" w:rsidRDefault="00887330" w:rsidP="00887330">
      <w:pPr>
        <w:pStyle w:val="TofSectsSection"/>
      </w:pPr>
      <w:r w:rsidRPr="00583E1A">
        <w:t>775</w:t>
      </w:r>
      <w:r w:rsidR="00583E1A">
        <w:noBreakHyphen/>
      </w:r>
      <w:r w:rsidRPr="00583E1A">
        <w:t>85</w:t>
      </w:r>
      <w:r w:rsidRPr="00583E1A">
        <w:tab/>
        <w:t>Forex cost base of a right to receive foreign currency</w:t>
      </w:r>
    </w:p>
    <w:p w:rsidR="00887330" w:rsidRPr="00583E1A" w:rsidRDefault="00887330" w:rsidP="00887330">
      <w:pPr>
        <w:pStyle w:val="TofSectsSection"/>
      </w:pPr>
      <w:r w:rsidRPr="00583E1A">
        <w:t>775</w:t>
      </w:r>
      <w:r w:rsidR="00583E1A">
        <w:noBreakHyphen/>
      </w:r>
      <w:r w:rsidRPr="00583E1A">
        <w:t>90</w:t>
      </w:r>
      <w:r w:rsidRPr="00583E1A">
        <w:tab/>
        <w:t>Forex entitlement base of a right to pay foreign currency</w:t>
      </w:r>
    </w:p>
    <w:p w:rsidR="00887330" w:rsidRPr="00583E1A" w:rsidRDefault="00887330" w:rsidP="00887330">
      <w:pPr>
        <w:pStyle w:val="TofSectsSection"/>
      </w:pPr>
      <w:r w:rsidRPr="00583E1A">
        <w:t>775</w:t>
      </w:r>
      <w:r w:rsidR="00583E1A">
        <w:noBreakHyphen/>
      </w:r>
      <w:r w:rsidRPr="00583E1A">
        <w:t>95</w:t>
      </w:r>
      <w:r w:rsidRPr="00583E1A">
        <w:tab/>
        <w:t>Proceeds of assuming an obligation to pay foreign currency</w:t>
      </w:r>
    </w:p>
    <w:p w:rsidR="00887330" w:rsidRPr="00583E1A" w:rsidRDefault="00887330" w:rsidP="00887330">
      <w:pPr>
        <w:pStyle w:val="TofSectsSection"/>
      </w:pPr>
      <w:r w:rsidRPr="00583E1A">
        <w:t>775</w:t>
      </w:r>
      <w:r w:rsidR="00583E1A">
        <w:noBreakHyphen/>
      </w:r>
      <w:r w:rsidRPr="00583E1A">
        <w:t>100</w:t>
      </w:r>
      <w:r w:rsidRPr="00583E1A">
        <w:tab/>
        <w:t>Net costs of assuming an obligation to receive foreign currency</w:t>
      </w:r>
    </w:p>
    <w:p w:rsidR="00887330" w:rsidRPr="00583E1A" w:rsidRDefault="00887330" w:rsidP="00887330">
      <w:pPr>
        <w:pStyle w:val="TofSectsSection"/>
      </w:pPr>
      <w:r w:rsidRPr="00583E1A">
        <w:t>775</w:t>
      </w:r>
      <w:r w:rsidR="00583E1A">
        <w:noBreakHyphen/>
      </w:r>
      <w:r w:rsidRPr="00583E1A">
        <w:t>105</w:t>
      </w:r>
      <w:r w:rsidRPr="00583E1A">
        <w:tab/>
        <w:t>Currency exchange rate effect</w:t>
      </w:r>
    </w:p>
    <w:p w:rsidR="00887330" w:rsidRPr="00583E1A" w:rsidRDefault="00887330" w:rsidP="00887330">
      <w:pPr>
        <w:pStyle w:val="TofSectsSection"/>
      </w:pPr>
      <w:r w:rsidRPr="00583E1A">
        <w:t>775</w:t>
      </w:r>
      <w:r w:rsidR="00583E1A">
        <w:noBreakHyphen/>
      </w:r>
      <w:r w:rsidRPr="00583E1A">
        <w:t>110</w:t>
      </w:r>
      <w:r w:rsidRPr="00583E1A">
        <w:tab/>
        <w:t>Constructive receipts and payments</w:t>
      </w:r>
    </w:p>
    <w:p w:rsidR="00887330" w:rsidRPr="00583E1A" w:rsidRDefault="00887330" w:rsidP="00887330">
      <w:pPr>
        <w:pStyle w:val="TofSectsSection"/>
      </w:pPr>
      <w:r w:rsidRPr="00583E1A">
        <w:t>775</w:t>
      </w:r>
      <w:r w:rsidR="00583E1A">
        <w:noBreakHyphen/>
      </w:r>
      <w:r w:rsidRPr="00583E1A">
        <w:t>115</w:t>
      </w:r>
      <w:r w:rsidRPr="00583E1A">
        <w:tab/>
        <w:t>Economic set</w:t>
      </w:r>
      <w:r w:rsidR="00583E1A">
        <w:noBreakHyphen/>
      </w:r>
      <w:r w:rsidRPr="00583E1A">
        <w:t>off to be treated as legal set</w:t>
      </w:r>
      <w:r w:rsidR="00583E1A">
        <w:noBreakHyphen/>
      </w:r>
      <w:r w:rsidRPr="00583E1A">
        <w:t>off</w:t>
      </w:r>
    </w:p>
    <w:p w:rsidR="00887330" w:rsidRPr="00583E1A" w:rsidRDefault="00887330" w:rsidP="00887330">
      <w:pPr>
        <w:pStyle w:val="TofSectsSection"/>
      </w:pPr>
      <w:r w:rsidRPr="00583E1A">
        <w:t>775</w:t>
      </w:r>
      <w:r w:rsidR="00583E1A">
        <w:noBreakHyphen/>
      </w:r>
      <w:r w:rsidRPr="00583E1A">
        <w:t>120</w:t>
      </w:r>
      <w:r w:rsidRPr="00583E1A">
        <w:tab/>
        <w:t>Non</w:t>
      </w:r>
      <w:r w:rsidR="00583E1A">
        <w:noBreakHyphen/>
      </w:r>
      <w:r w:rsidRPr="00583E1A">
        <w:t>arm’s length transactions</w:t>
      </w:r>
    </w:p>
    <w:p w:rsidR="00887330" w:rsidRPr="00583E1A" w:rsidRDefault="00887330" w:rsidP="00887330">
      <w:pPr>
        <w:pStyle w:val="TofSectsSection"/>
      </w:pPr>
      <w:r w:rsidRPr="00583E1A">
        <w:t>775</w:t>
      </w:r>
      <w:r w:rsidR="00583E1A">
        <w:noBreakHyphen/>
      </w:r>
      <w:r w:rsidRPr="00583E1A">
        <w:t>125</w:t>
      </w:r>
      <w:r w:rsidRPr="00583E1A">
        <w:tab/>
        <w:t>CGT consequences of the acquisition of foreign currency as a result of forex realisation event 2 or 3</w:t>
      </w:r>
    </w:p>
    <w:p w:rsidR="00887330" w:rsidRPr="00583E1A" w:rsidRDefault="00887330" w:rsidP="00887330">
      <w:pPr>
        <w:pStyle w:val="TofSectsSection"/>
      </w:pPr>
      <w:r w:rsidRPr="00583E1A">
        <w:t>775</w:t>
      </w:r>
      <w:r w:rsidR="00583E1A">
        <w:noBreakHyphen/>
      </w:r>
      <w:r w:rsidRPr="00583E1A">
        <w:t>130</w:t>
      </w:r>
      <w:r w:rsidRPr="00583E1A">
        <w:tab/>
        <w:t>Certain deductions not allowable</w:t>
      </w:r>
    </w:p>
    <w:p w:rsidR="00887330" w:rsidRPr="00583E1A" w:rsidRDefault="00887330" w:rsidP="00887330">
      <w:pPr>
        <w:pStyle w:val="TofSectsSection"/>
      </w:pPr>
      <w:r w:rsidRPr="00583E1A">
        <w:t>775</w:t>
      </w:r>
      <w:r w:rsidR="00583E1A">
        <w:noBreakHyphen/>
      </w:r>
      <w:r w:rsidRPr="00583E1A">
        <w:t>135</w:t>
      </w:r>
      <w:r w:rsidRPr="00583E1A">
        <w:tab/>
        <w:t>Right to receive or pay foreign currency</w:t>
      </w:r>
    </w:p>
    <w:p w:rsidR="00887330" w:rsidRPr="00583E1A" w:rsidRDefault="00887330" w:rsidP="00887330">
      <w:pPr>
        <w:pStyle w:val="TofSectsSection"/>
      </w:pPr>
      <w:r w:rsidRPr="00583E1A">
        <w:t>775</w:t>
      </w:r>
      <w:r w:rsidR="00583E1A">
        <w:noBreakHyphen/>
      </w:r>
      <w:r w:rsidRPr="00583E1A">
        <w:t>140</w:t>
      </w:r>
      <w:r w:rsidRPr="00583E1A">
        <w:tab/>
        <w:t>Obligation to pay or receive foreign currency</w:t>
      </w:r>
    </w:p>
    <w:p w:rsidR="00887330" w:rsidRPr="00583E1A" w:rsidRDefault="00887330" w:rsidP="00887330">
      <w:pPr>
        <w:pStyle w:val="TofSectsSection"/>
      </w:pPr>
      <w:r w:rsidRPr="00583E1A">
        <w:t>775</w:t>
      </w:r>
      <w:r w:rsidR="00583E1A">
        <w:noBreakHyphen/>
      </w:r>
      <w:r w:rsidRPr="00583E1A">
        <w:t>145</w:t>
      </w:r>
      <w:r w:rsidRPr="00583E1A">
        <w:tab/>
        <w:t>Application of forex realisation events to currency and fungible rights and obligations</w:t>
      </w:r>
    </w:p>
    <w:p w:rsidR="00887330" w:rsidRPr="00583E1A" w:rsidRDefault="00887330" w:rsidP="00887330">
      <w:pPr>
        <w:pStyle w:val="TofSectsSection"/>
      </w:pPr>
      <w:r w:rsidRPr="00583E1A">
        <w:t>775</w:t>
      </w:r>
      <w:r w:rsidR="00583E1A">
        <w:noBreakHyphen/>
      </w:r>
      <w:r w:rsidRPr="00583E1A">
        <w:t>150</w:t>
      </w:r>
      <w:r w:rsidRPr="00583E1A">
        <w:tab/>
        <w:t>Transitional election</w:t>
      </w:r>
    </w:p>
    <w:p w:rsidR="00887330" w:rsidRDefault="00887330" w:rsidP="00887330">
      <w:pPr>
        <w:pStyle w:val="TofSectsSection"/>
      </w:pPr>
      <w:r w:rsidRPr="00583E1A">
        <w:t>775</w:t>
      </w:r>
      <w:r w:rsidR="00583E1A">
        <w:noBreakHyphen/>
      </w:r>
      <w:r w:rsidRPr="00583E1A">
        <w:t>155</w:t>
      </w:r>
      <w:r w:rsidRPr="00583E1A">
        <w:tab/>
        <w:t>Applicable commencement date</w:t>
      </w:r>
    </w:p>
    <w:p w:rsidR="00CF6132" w:rsidRDefault="00CF6132" w:rsidP="00CF6132">
      <w:pPr>
        <w:sectPr w:rsidR="00CF6132" w:rsidSect="009275EE">
          <w:headerReference w:type="even" r:id="rId29"/>
          <w:headerReference w:type="default" r:id="rId30"/>
          <w:footerReference w:type="even" r:id="rId31"/>
          <w:footerReference w:type="default" r:id="rId32"/>
          <w:headerReference w:type="first" r:id="rId33"/>
          <w:footerReference w:type="first" r:id="rId34"/>
          <w:pgSz w:w="11906" w:h="16838" w:code="9"/>
          <w:pgMar w:top="2268" w:right="2410" w:bottom="3827" w:left="2410" w:header="567" w:footer="3119" w:gutter="0"/>
          <w:cols w:space="708"/>
          <w:docGrid w:linePitch="360"/>
        </w:sectPr>
      </w:pPr>
    </w:p>
    <w:p w:rsidR="00887330" w:rsidRPr="00583E1A" w:rsidRDefault="00887330" w:rsidP="00CF6132">
      <w:pPr>
        <w:pStyle w:val="TofSectsSection"/>
        <w:keepNext/>
      </w:pPr>
      <w:r w:rsidRPr="00583E1A">
        <w:lastRenderedPageBreak/>
        <w:t>775</w:t>
      </w:r>
      <w:r w:rsidR="00583E1A">
        <w:noBreakHyphen/>
      </w:r>
      <w:r w:rsidRPr="00583E1A">
        <w:t>160</w:t>
      </w:r>
      <w:r w:rsidRPr="00583E1A">
        <w:tab/>
        <w:t>Exception—event happens before the applicable commencement date</w:t>
      </w:r>
    </w:p>
    <w:p w:rsidR="00887330" w:rsidRPr="00583E1A" w:rsidRDefault="00887330" w:rsidP="00887330">
      <w:pPr>
        <w:pStyle w:val="TofSectsSection"/>
      </w:pPr>
      <w:r w:rsidRPr="00583E1A">
        <w:t>775</w:t>
      </w:r>
      <w:r w:rsidR="00583E1A">
        <w:noBreakHyphen/>
      </w:r>
      <w:r w:rsidRPr="00583E1A">
        <w:t>165</w:t>
      </w:r>
      <w:r w:rsidRPr="00583E1A">
        <w:tab/>
        <w:t>Exception—currency or right acquired, or obligation incurred, before the applicable commencement date</w:t>
      </w:r>
    </w:p>
    <w:p w:rsidR="006A6B06" w:rsidRPr="00583E1A" w:rsidRDefault="006A6B06" w:rsidP="006A6B06">
      <w:pPr>
        <w:pStyle w:val="TofSectsSection"/>
      </w:pPr>
      <w:r w:rsidRPr="00583E1A">
        <w:t>775</w:t>
      </w:r>
      <w:r>
        <w:noBreakHyphen/>
      </w:r>
      <w:r w:rsidRPr="00583E1A">
        <w:t>16</w:t>
      </w:r>
      <w:r>
        <w:t>8</w:t>
      </w:r>
      <w:r w:rsidRPr="00583E1A">
        <w:tab/>
      </w:r>
      <w:r w:rsidRPr="005F1CAE">
        <w:t>Exception—disposal or redemption of traditional securities</w:t>
      </w:r>
    </w:p>
    <w:p w:rsidR="00887330" w:rsidRPr="00583E1A" w:rsidRDefault="00887330" w:rsidP="00887330">
      <w:pPr>
        <w:pStyle w:val="TofSectsSection"/>
      </w:pPr>
      <w:r w:rsidRPr="00583E1A">
        <w:t>775</w:t>
      </w:r>
      <w:r w:rsidR="00583E1A">
        <w:noBreakHyphen/>
      </w:r>
      <w:r w:rsidRPr="00583E1A">
        <w:t>175</w:t>
      </w:r>
      <w:r w:rsidRPr="00583E1A">
        <w:tab/>
        <w:t>Application to things happening before commencement</w:t>
      </w:r>
    </w:p>
    <w:p w:rsidR="00887330" w:rsidRPr="00583E1A" w:rsidRDefault="00887330" w:rsidP="00887330">
      <w:pPr>
        <w:pStyle w:val="ActHead5"/>
      </w:pPr>
      <w:bookmarkStart w:id="67" w:name="_Toc338939141"/>
      <w:r w:rsidRPr="00583E1A">
        <w:rPr>
          <w:rStyle w:val="CharSectno"/>
        </w:rPr>
        <w:t>775</w:t>
      </w:r>
      <w:r w:rsidR="00583E1A">
        <w:rPr>
          <w:rStyle w:val="CharSectno"/>
        </w:rPr>
        <w:noBreakHyphen/>
      </w:r>
      <w:r w:rsidRPr="00583E1A">
        <w:rPr>
          <w:rStyle w:val="CharSectno"/>
        </w:rPr>
        <w:t>15</w:t>
      </w:r>
      <w:r w:rsidRPr="00583E1A">
        <w:t xml:space="preserve">  Forex realisation gains are assessable</w:t>
      </w:r>
      <w:bookmarkEnd w:id="67"/>
    </w:p>
    <w:p w:rsidR="00887330" w:rsidRPr="00583E1A" w:rsidRDefault="00887330" w:rsidP="00887330">
      <w:pPr>
        <w:pStyle w:val="SubsectionHead"/>
      </w:pPr>
      <w:r w:rsidRPr="00583E1A">
        <w:t>Basic rule</w:t>
      </w:r>
    </w:p>
    <w:p w:rsidR="00887330" w:rsidRPr="00583E1A" w:rsidRDefault="00887330" w:rsidP="00887330">
      <w:pPr>
        <w:pStyle w:val="subsection"/>
      </w:pPr>
      <w:r w:rsidRPr="00583E1A">
        <w:tab/>
        <w:t>(1)</w:t>
      </w:r>
      <w:r w:rsidRPr="00583E1A">
        <w:tab/>
        <w:t xml:space="preserve">Your assessable income for an income year includes a </w:t>
      </w:r>
      <w:r w:rsidR="00583E1A" w:rsidRPr="00583E1A">
        <w:rPr>
          <w:position w:val="6"/>
          <w:sz w:val="16"/>
        </w:rPr>
        <w:t>*</w:t>
      </w:r>
      <w:r w:rsidRPr="00583E1A">
        <w:t xml:space="preserve">forex realisation gain you make as a result of a </w:t>
      </w:r>
      <w:r w:rsidR="00583E1A" w:rsidRPr="00583E1A">
        <w:rPr>
          <w:position w:val="6"/>
          <w:sz w:val="16"/>
        </w:rPr>
        <w:t>*</w:t>
      </w:r>
      <w:r w:rsidRPr="00583E1A">
        <w:t>forex realisation event that happens during that year.</w:t>
      </w:r>
    </w:p>
    <w:p w:rsidR="00887330" w:rsidRPr="00583E1A" w:rsidRDefault="00887330" w:rsidP="00887330">
      <w:pPr>
        <w:pStyle w:val="SubsectionHead"/>
      </w:pPr>
      <w:r w:rsidRPr="00583E1A">
        <w:t>Exceptions</w:t>
      </w:r>
    </w:p>
    <w:p w:rsidR="00887330" w:rsidRPr="00583E1A" w:rsidRDefault="00887330" w:rsidP="00887330">
      <w:pPr>
        <w:pStyle w:val="subsection"/>
      </w:pPr>
      <w:r w:rsidRPr="00583E1A">
        <w:tab/>
        <w:t>(2)</w:t>
      </w:r>
      <w:r w:rsidRPr="00583E1A">
        <w:tab/>
        <w:t xml:space="preserve">However, your assessable income does not include a </w:t>
      </w:r>
      <w:r w:rsidR="00583E1A" w:rsidRPr="00583E1A">
        <w:rPr>
          <w:position w:val="6"/>
          <w:sz w:val="16"/>
        </w:rPr>
        <w:t>*</w:t>
      </w:r>
      <w:r w:rsidRPr="00583E1A">
        <w:t>forex realisation gain to the extent that it:</w:t>
      </w:r>
    </w:p>
    <w:p w:rsidR="00887330" w:rsidRPr="00583E1A" w:rsidRDefault="00887330" w:rsidP="00887330">
      <w:pPr>
        <w:pStyle w:val="paragraph"/>
      </w:pPr>
      <w:r w:rsidRPr="00583E1A">
        <w:tab/>
        <w:t>(a)</w:t>
      </w:r>
      <w:r w:rsidRPr="00583E1A">
        <w:tab/>
        <w:t>is a gain of a private or domestic nature; and</w:t>
      </w:r>
    </w:p>
    <w:p w:rsidR="00887330" w:rsidRPr="00583E1A" w:rsidRDefault="00887330" w:rsidP="00887330">
      <w:pPr>
        <w:pStyle w:val="paragraph"/>
      </w:pPr>
      <w:r w:rsidRPr="00583E1A">
        <w:tab/>
        <w:t>(b)</w:t>
      </w:r>
      <w:r w:rsidRPr="00583E1A">
        <w:tab/>
        <w:t>is not covered by an item of the table:</w:t>
      </w:r>
    </w:p>
    <w:p w:rsidR="00887330" w:rsidRPr="00583E1A" w:rsidRDefault="00887330" w:rsidP="00887330">
      <w:pPr>
        <w:pStyle w:val="Tabletext"/>
      </w:pPr>
    </w:p>
    <w:tbl>
      <w:tblPr>
        <w:tblW w:w="0" w:type="auto"/>
        <w:tblInd w:w="113" w:type="dxa"/>
        <w:tblLayout w:type="fixed"/>
        <w:tblLook w:val="0000" w:firstRow="0" w:lastRow="0" w:firstColumn="0" w:lastColumn="0" w:noHBand="0" w:noVBand="0"/>
      </w:tblPr>
      <w:tblGrid>
        <w:gridCol w:w="714"/>
        <w:gridCol w:w="2031"/>
        <w:gridCol w:w="2090"/>
        <w:gridCol w:w="2251"/>
      </w:tblGrid>
      <w:tr w:rsidR="00887330" w:rsidRPr="00583E1A">
        <w:trPr>
          <w:cantSplit/>
          <w:tblHeader/>
        </w:trPr>
        <w:tc>
          <w:tcPr>
            <w:tcW w:w="7086" w:type="dxa"/>
            <w:gridSpan w:val="4"/>
            <w:tcBorders>
              <w:top w:val="single" w:sz="12" w:space="0" w:color="auto"/>
              <w:bottom w:val="single" w:sz="6" w:space="0" w:color="auto"/>
            </w:tcBorders>
            <w:shd w:val="clear" w:color="auto" w:fill="auto"/>
          </w:tcPr>
          <w:p w:rsidR="00887330" w:rsidRPr="00583E1A" w:rsidRDefault="00887330" w:rsidP="00887330">
            <w:pPr>
              <w:pStyle w:val="Tabletext"/>
              <w:keepNext/>
              <w:rPr>
                <w:b/>
              </w:rPr>
            </w:pPr>
            <w:r w:rsidRPr="00583E1A">
              <w:rPr>
                <w:b/>
              </w:rPr>
              <w:t>Forex realisation gains to which this subsection does not apply</w:t>
            </w:r>
          </w:p>
        </w:tc>
      </w:tr>
      <w:tr w:rsidR="00887330" w:rsidRPr="00583E1A">
        <w:trPr>
          <w:cantSplit/>
          <w:tblHeader/>
        </w:trPr>
        <w:tc>
          <w:tcPr>
            <w:tcW w:w="714" w:type="dxa"/>
            <w:tcBorders>
              <w:top w:val="single" w:sz="6" w:space="0" w:color="auto"/>
              <w:bottom w:val="single" w:sz="12" w:space="0" w:color="auto"/>
            </w:tcBorders>
            <w:shd w:val="clear" w:color="auto" w:fill="auto"/>
          </w:tcPr>
          <w:p w:rsidR="00887330" w:rsidRPr="00583E1A" w:rsidRDefault="00887330" w:rsidP="00887330">
            <w:pPr>
              <w:pStyle w:val="Tabletext"/>
              <w:keepNext/>
              <w:rPr>
                <w:b/>
              </w:rPr>
            </w:pPr>
            <w:r w:rsidRPr="00583E1A">
              <w:rPr>
                <w:b/>
              </w:rPr>
              <w:t>Item</w:t>
            </w:r>
          </w:p>
        </w:tc>
        <w:tc>
          <w:tcPr>
            <w:tcW w:w="2031" w:type="dxa"/>
            <w:tcBorders>
              <w:top w:val="single" w:sz="6" w:space="0" w:color="auto"/>
              <w:bottom w:val="single" w:sz="12" w:space="0" w:color="auto"/>
            </w:tcBorders>
            <w:shd w:val="clear" w:color="auto" w:fill="auto"/>
          </w:tcPr>
          <w:p w:rsidR="00887330" w:rsidRPr="00583E1A" w:rsidRDefault="00887330" w:rsidP="00887330">
            <w:pPr>
              <w:pStyle w:val="Tabletext"/>
              <w:keepNext/>
              <w:rPr>
                <w:b/>
              </w:rPr>
            </w:pPr>
            <w:r w:rsidRPr="00583E1A">
              <w:rPr>
                <w:b/>
              </w:rPr>
              <w:t>You make the forex realisation gain as a result of this event...</w:t>
            </w:r>
          </w:p>
        </w:tc>
        <w:tc>
          <w:tcPr>
            <w:tcW w:w="2090" w:type="dxa"/>
            <w:tcBorders>
              <w:top w:val="single" w:sz="6" w:space="0" w:color="auto"/>
              <w:bottom w:val="single" w:sz="12" w:space="0" w:color="auto"/>
            </w:tcBorders>
            <w:shd w:val="clear" w:color="auto" w:fill="auto"/>
          </w:tcPr>
          <w:p w:rsidR="00887330" w:rsidRPr="00583E1A" w:rsidRDefault="00887330" w:rsidP="00887330">
            <w:pPr>
              <w:pStyle w:val="Tabletext"/>
              <w:keepNext/>
              <w:rPr>
                <w:b/>
              </w:rPr>
            </w:pPr>
            <w:r w:rsidRPr="00583E1A">
              <w:rPr>
                <w:b/>
              </w:rPr>
              <w:t>happening to...</w:t>
            </w:r>
          </w:p>
        </w:tc>
        <w:tc>
          <w:tcPr>
            <w:tcW w:w="2251" w:type="dxa"/>
            <w:tcBorders>
              <w:top w:val="single" w:sz="6" w:space="0" w:color="auto"/>
              <w:bottom w:val="single" w:sz="12" w:space="0" w:color="auto"/>
            </w:tcBorders>
            <w:shd w:val="clear" w:color="auto" w:fill="auto"/>
          </w:tcPr>
          <w:p w:rsidR="00887330" w:rsidRPr="00583E1A" w:rsidRDefault="00887330" w:rsidP="00887330">
            <w:pPr>
              <w:pStyle w:val="Tabletext"/>
              <w:keepNext/>
              <w:rPr>
                <w:b/>
              </w:rPr>
            </w:pPr>
            <w:r w:rsidRPr="00583E1A">
              <w:rPr>
                <w:b/>
              </w:rPr>
              <w:t>and the following condition is satisfied...</w:t>
            </w:r>
          </w:p>
        </w:tc>
      </w:tr>
      <w:tr w:rsidR="00887330" w:rsidRPr="00583E1A">
        <w:trPr>
          <w:cantSplit/>
        </w:trPr>
        <w:tc>
          <w:tcPr>
            <w:tcW w:w="714" w:type="dxa"/>
            <w:tcBorders>
              <w:top w:val="single" w:sz="12" w:space="0" w:color="auto"/>
              <w:bottom w:val="single" w:sz="2" w:space="0" w:color="auto"/>
            </w:tcBorders>
            <w:shd w:val="clear" w:color="auto" w:fill="auto"/>
          </w:tcPr>
          <w:p w:rsidR="00887330" w:rsidRPr="00583E1A" w:rsidRDefault="00887330" w:rsidP="00887330">
            <w:pPr>
              <w:pStyle w:val="Tabletext"/>
            </w:pPr>
            <w:r w:rsidRPr="00583E1A">
              <w:t>1</w:t>
            </w:r>
          </w:p>
        </w:tc>
        <w:tc>
          <w:tcPr>
            <w:tcW w:w="2031" w:type="dxa"/>
            <w:tcBorders>
              <w:top w:val="single" w:sz="12" w:space="0" w:color="auto"/>
              <w:bottom w:val="single" w:sz="2" w:space="0" w:color="auto"/>
            </w:tcBorders>
            <w:shd w:val="clear" w:color="auto" w:fill="auto"/>
          </w:tcPr>
          <w:p w:rsidR="00887330" w:rsidRPr="00583E1A" w:rsidRDefault="00887330" w:rsidP="00887330">
            <w:pPr>
              <w:pStyle w:val="Tabletext"/>
            </w:pPr>
            <w:r w:rsidRPr="00583E1A">
              <w:t>forex realisation event 1</w:t>
            </w:r>
            <w:r w:rsidR="0086586A" w:rsidRPr="005F1CAE">
              <w:t xml:space="preserve"> or 2</w:t>
            </w:r>
          </w:p>
        </w:tc>
        <w:tc>
          <w:tcPr>
            <w:tcW w:w="2090" w:type="dxa"/>
            <w:tcBorders>
              <w:top w:val="single" w:sz="12" w:space="0" w:color="auto"/>
              <w:bottom w:val="single" w:sz="2" w:space="0" w:color="auto"/>
            </w:tcBorders>
            <w:shd w:val="clear" w:color="auto" w:fill="auto"/>
          </w:tcPr>
          <w:p w:rsidR="00887330" w:rsidRPr="00583E1A" w:rsidRDefault="00583E1A" w:rsidP="00887330">
            <w:pPr>
              <w:pStyle w:val="Tabletext"/>
            </w:pPr>
            <w:r w:rsidRPr="00583E1A">
              <w:rPr>
                <w:position w:val="6"/>
                <w:sz w:val="16"/>
              </w:rPr>
              <w:t>*</w:t>
            </w:r>
            <w:r w:rsidR="00887330" w:rsidRPr="00583E1A">
              <w:t>foreign currency or a right, or a part of a right, to receive foreign currency</w:t>
            </w:r>
          </w:p>
        </w:tc>
        <w:tc>
          <w:tcPr>
            <w:tcW w:w="2251" w:type="dxa"/>
            <w:tcBorders>
              <w:top w:val="single" w:sz="12" w:space="0" w:color="auto"/>
              <w:bottom w:val="single" w:sz="2" w:space="0" w:color="auto"/>
            </w:tcBorders>
            <w:shd w:val="clear" w:color="auto" w:fill="auto"/>
          </w:tcPr>
          <w:p w:rsidR="00887330" w:rsidRPr="00583E1A" w:rsidRDefault="00887330" w:rsidP="00887330">
            <w:pPr>
              <w:pStyle w:val="Tabletext"/>
            </w:pPr>
            <w:r w:rsidRPr="00583E1A">
              <w:t xml:space="preserve">a gain that would result from the occurrence of a </w:t>
            </w:r>
            <w:r w:rsidR="00583E1A" w:rsidRPr="00583E1A">
              <w:rPr>
                <w:position w:val="6"/>
                <w:sz w:val="16"/>
              </w:rPr>
              <w:t>*</w:t>
            </w:r>
            <w:r w:rsidRPr="00583E1A">
              <w:t>realisation event in relation to the foreign currency, or to the right, or the part of the right, would, apart from this Division, be taken into account under Part</w:t>
            </w:r>
            <w:r w:rsidR="00583E1A">
              <w:t> </w:t>
            </w:r>
            <w:r w:rsidRPr="00583E1A">
              <w:t>3</w:t>
            </w:r>
            <w:r w:rsidR="00583E1A">
              <w:noBreakHyphen/>
            </w:r>
            <w:r w:rsidRPr="00583E1A">
              <w:t>1 or 3</w:t>
            </w:r>
            <w:r w:rsidR="00583E1A">
              <w:noBreakHyphen/>
            </w:r>
            <w:r w:rsidRPr="00583E1A">
              <w:t>3</w:t>
            </w:r>
          </w:p>
        </w:tc>
      </w:tr>
      <w:tr w:rsidR="00887330" w:rsidRPr="00583E1A">
        <w:trPr>
          <w:cantSplit/>
        </w:trPr>
        <w:tc>
          <w:tcPr>
            <w:tcW w:w="714" w:type="dxa"/>
            <w:tcBorders>
              <w:top w:val="single" w:sz="2" w:space="0" w:color="auto"/>
              <w:bottom w:val="single" w:sz="2" w:space="0" w:color="auto"/>
            </w:tcBorders>
            <w:shd w:val="clear" w:color="auto" w:fill="auto"/>
          </w:tcPr>
          <w:p w:rsidR="00887330" w:rsidRPr="00583E1A" w:rsidRDefault="00887330" w:rsidP="00887330">
            <w:pPr>
              <w:pStyle w:val="Tabletext"/>
            </w:pPr>
            <w:r w:rsidRPr="00583E1A">
              <w:lastRenderedPageBreak/>
              <w:t>2</w:t>
            </w:r>
          </w:p>
        </w:tc>
        <w:tc>
          <w:tcPr>
            <w:tcW w:w="2031" w:type="dxa"/>
            <w:tcBorders>
              <w:top w:val="single" w:sz="2" w:space="0" w:color="auto"/>
              <w:bottom w:val="single" w:sz="2" w:space="0" w:color="auto"/>
            </w:tcBorders>
            <w:shd w:val="clear" w:color="auto" w:fill="auto"/>
          </w:tcPr>
          <w:p w:rsidR="00887330" w:rsidRPr="00583E1A" w:rsidRDefault="00887330" w:rsidP="00887330">
            <w:pPr>
              <w:pStyle w:val="Tabletext"/>
            </w:pPr>
            <w:r w:rsidRPr="00583E1A">
              <w:t>forex realisation event 2</w:t>
            </w:r>
          </w:p>
        </w:tc>
        <w:tc>
          <w:tcPr>
            <w:tcW w:w="2090" w:type="dxa"/>
            <w:tcBorders>
              <w:top w:val="single" w:sz="2" w:space="0" w:color="auto"/>
              <w:bottom w:val="single" w:sz="2" w:space="0" w:color="auto"/>
            </w:tcBorders>
            <w:shd w:val="clear" w:color="auto" w:fill="auto"/>
          </w:tcPr>
          <w:p w:rsidR="00887330" w:rsidRPr="00583E1A" w:rsidRDefault="00887330" w:rsidP="00887330">
            <w:pPr>
              <w:pStyle w:val="Tabletext"/>
            </w:pPr>
            <w:r w:rsidRPr="00583E1A">
              <w:t xml:space="preserve">a right, or a part of a right, created or acquired in return for the occurrence of a </w:t>
            </w:r>
            <w:r w:rsidR="00583E1A" w:rsidRPr="00583E1A">
              <w:rPr>
                <w:position w:val="6"/>
                <w:sz w:val="16"/>
              </w:rPr>
              <w:t>*</w:t>
            </w:r>
            <w:r w:rsidRPr="00583E1A">
              <w:t xml:space="preserve">realisation event in relation to a </w:t>
            </w:r>
            <w:r w:rsidR="00583E1A" w:rsidRPr="00583E1A">
              <w:rPr>
                <w:position w:val="6"/>
                <w:sz w:val="16"/>
              </w:rPr>
              <w:t>*</w:t>
            </w:r>
            <w:r w:rsidRPr="00583E1A">
              <w:t>CGT asset you own, where subparagraph 775</w:t>
            </w:r>
            <w:r w:rsidR="00583E1A">
              <w:noBreakHyphen/>
            </w:r>
            <w:r w:rsidRPr="00583E1A">
              <w:t>45(1)(b)(iv) applies</w:t>
            </w:r>
          </w:p>
        </w:tc>
        <w:tc>
          <w:tcPr>
            <w:tcW w:w="2251" w:type="dxa"/>
            <w:tcBorders>
              <w:top w:val="single" w:sz="2" w:space="0" w:color="auto"/>
              <w:bottom w:val="single" w:sz="2" w:space="0" w:color="auto"/>
            </w:tcBorders>
            <w:shd w:val="clear" w:color="auto" w:fill="auto"/>
          </w:tcPr>
          <w:p w:rsidR="00887330" w:rsidRPr="00583E1A" w:rsidRDefault="00887330" w:rsidP="00887330">
            <w:pPr>
              <w:pStyle w:val="Tabletext"/>
            </w:pPr>
            <w:r w:rsidRPr="00583E1A">
              <w:t>a gain or loss that would result from the occurrence of the realisation event in relation to the CGT asset would be taken into account for the purposes of Part</w:t>
            </w:r>
            <w:r w:rsidR="00583E1A">
              <w:t> </w:t>
            </w:r>
            <w:r w:rsidRPr="00583E1A">
              <w:t>3</w:t>
            </w:r>
            <w:r w:rsidR="00583E1A">
              <w:noBreakHyphen/>
            </w:r>
            <w:r w:rsidRPr="00583E1A">
              <w:t>1 or 3</w:t>
            </w:r>
            <w:r w:rsidR="00583E1A">
              <w:noBreakHyphen/>
            </w:r>
            <w:r w:rsidRPr="00583E1A">
              <w:t>3</w:t>
            </w:r>
          </w:p>
        </w:tc>
      </w:tr>
      <w:tr w:rsidR="00887330" w:rsidRPr="00583E1A">
        <w:trPr>
          <w:cantSplit/>
        </w:trPr>
        <w:tc>
          <w:tcPr>
            <w:tcW w:w="714" w:type="dxa"/>
            <w:tcBorders>
              <w:top w:val="single" w:sz="2" w:space="0" w:color="auto"/>
              <w:bottom w:val="single" w:sz="12" w:space="0" w:color="auto"/>
            </w:tcBorders>
            <w:shd w:val="clear" w:color="auto" w:fill="auto"/>
          </w:tcPr>
          <w:p w:rsidR="00887330" w:rsidRPr="00583E1A" w:rsidRDefault="00887330" w:rsidP="00887330">
            <w:pPr>
              <w:pStyle w:val="Tabletext"/>
            </w:pPr>
            <w:r w:rsidRPr="00583E1A">
              <w:t>3</w:t>
            </w:r>
          </w:p>
        </w:tc>
        <w:tc>
          <w:tcPr>
            <w:tcW w:w="2031" w:type="dxa"/>
            <w:tcBorders>
              <w:top w:val="single" w:sz="2" w:space="0" w:color="auto"/>
              <w:bottom w:val="single" w:sz="12" w:space="0" w:color="auto"/>
            </w:tcBorders>
            <w:shd w:val="clear" w:color="auto" w:fill="auto"/>
          </w:tcPr>
          <w:p w:rsidR="00887330" w:rsidRPr="00583E1A" w:rsidRDefault="00887330" w:rsidP="00887330">
            <w:pPr>
              <w:pStyle w:val="Tabletext"/>
            </w:pPr>
            <w:r w:rsidRPr="00583E1A">
              <w:t>forex realisation event 4</w:t>
            </w:r>
          </w:p>
        </w:tc>
        <w:tc>
          <w:tcPr>
            <w:tcW w:w="2090" w:type="dxa"/>
            <w:tcBorders>
              <w:top w:val="single" w:sz="2" w:space="0" w:color="auto"/>
              <w:bottom w:val="single" w:sz="12" w:space="0" w:color="auto"/>
            </w:tcBorders>
            <w:shd w:val="clear" w:color="auto" w:fill="auto"/>
          </w:tcPr>
          <w:p w:rsidR="00887330" w:rsidRPr="00583E1A" w:rsidRDefault="00887330" w:rsidP="00887330">
            <w:pPr>
              <w:pStyle w:val="Tabletext"/>
            </w:pPr>
            <w:r w:rsidRPr="00583E1A">
              <w:t xml:space="preserve">an obligation, or a part of an obligation, you incurred in return for the acquisition of a </w:t>
            </w:r>
            <w:r w:rsidR="00583E1A" w:rsidRPr="00583E1A">
              <w:rPr>
                <w:position w:val="6"/>
                <w:sz w:val="16"/>
              </w:rPr>
              <w:t>*</w:t>
            </w:r>
            <w:r w:rsidRPr="00583E1A">
              <w:t>CGT asset</w:t>
            </w:r>
          </w:p>
        </w:tc>
        <w:tc>
          <w:tcPr>
            <w:tcW w:w="2251" w:type="dxa"/>
            <w:tcBorders>
              <w:top w:val="single" w:sz="2" w:space="0" w:color="auto"/>
              <w:bottom w:val="single" w:sz="12" w:space="0" w:color="auto"/>
            </w:tcBorders>
            <w:shd w:val="clear" w:color="auto" w:fill="auto"/>
          </w:tcPr>
          <w:p w:rsidR="00887330" w:rsidRPr="00583E1A" w:rsidRDefault="00887330" w:rsidP="00887330">
            <w:pPr>
              <w:pStyle w:val="Tabletext"/>
            </w:pPr>
            <w:r w:rsidRPr="00583E1A">
              <w:t xml:space="preserve">a gain or loss that would result from the occurrence of a </w:t>
            </w:r>
            <w:r w:rsidR="00583E1A" w:rsidRPr="00583E1A">
              <w:rPr>
                <w:position w:val="6"/>
                <w:sz w:val="16"/>
              </w:rPr>
              <w:t>*</w:t>
            </w:r>
            <w:r w:rsidRPr="00583E1A">
              <w:t>realisation event in relation to the CGT asset would be taken into account for the purposes of Part</w:t>
            </w:r>
            <w:r w:rsidR="00583E1A">
              <w:t> </w:t>
            </w:r>
            <w:r w:rsidRPr="00583E1A">
              <w:t>3</w:t>
            </w:r>
            <w:r w:rsidR="00583E1A">
              <w:noBreakHyphen/>
            </w:r>
            <w:r w:rsidRPr="00583E1A">
              <w:t>1 or 3</w:t>
            </w:r>
            <w:r w:rsidR="00583E1A">
              <w:noBreakHyphen/>
            </w:r>
            <w:r w:rsidRPr="00583E1A">
              <w:t>3</w:t>
            </w:r>
          </w:p>
        </w:tc>
      </w:tr>
    </w:tbl>
    <w:p w:rsidR="00887330" w:rsidRPr="00583E1A" w:rsidRDefault="00887330" w:rsidP="00887330">
      <w:pPr>
        <w:pStyle w:val="notetext"/>
      </w:pPr>
      <w:r w:rsidRPr="00583E1A">
        <w:t>Note:</w:t>
      </w:r>
      <w:r w:rsidRPr="00583E1A">
        <w:tab/>
        <w:t>Parts</w:t>
      </w:r>
      <w:r w:rsidR="00583E1A">
        <w:t> </w:t>
      </w:r>
      <w:r w:rsidRPr="00583E1A">
        <w:t>3</w:t>
      </w:r>
      <w:r w:rsidR="00583E1A">
        <w:noBreakHyphen/>
      </w:r>
      <w:r w:rsidRPr="00583E1A">
        <w:t>1 and 3</w:t>
      </w:r>
      <w:r w:rsidR="00583E1A">
        <w:noBreakHyphen/>
      </w:r>
      <w:r w:rsidRPr="00583E1A">
        <w:t>3 deal with capital gains and losses.</w:t>
      </w:r>
    </w:p>
    <w:p w:rsidR="00887330" w:rsidRPr="00583E1A" w:rsidRDefault="00887330" w:rsidP="00887330">
      <w:pPr>
        <w:pStyle w:val="subsection"/>
      </w:pPr>
      <w:r w:rsidRPr="00583E1A">
        <w:tab/>
        <w:t>(3)</w:t>
      </w:r>
      <w:r w:rsidRPr="00583E1A">
        <w:tab/>
        <w:t>Section</w:t>
      </w:r>
      <w:r w:rsidR="00583E1A">
        <w:t> </w:t>
      </w:r>
      <w:r w:rsidRPr="00583E1A">
        <w:t>775</w:t>
      </w:r>
      <w:r w:rsidR="00583E1A">
        <w:noBreakHyphen/>
      </w:r>
      <w:r w:rsidRPr="00583E1A">
        <w:t>70 provides for additional exceptions.</w:t>
      </w:r>
    </w:p>
    <w:p w:rsidR="00887330" w:rsidRPr="00583E1A" w:rsidRDefault="00887330" w:rsidP="00887330">
      <w:pPr>
        <w:pStyle w:val="notetext"/>
      </w:pPr>
      <w:r w:rsidRPr="00583E1A">
        <w:t>Note:</w:t>
      </w:r>
      <w:r w:rsidRPr="00583E1A">
        <w:tab/>
        <w:t>Section</w:t>
      </w:r>
      <w:r w:rsidR="00583E1A">
        <w:t> </w:t>
      </w:r>
      <w:r w:rsidRPr="00583E1A">
        <w:t>775</w:t>
      </w:r>
      <w:r w:rsidR="00583E1A">
        <w:noBreakHyphen/>
      </w:r>
      <w:r w:rsidRPr="00583E1A">
        <w:t>70 is about the tax consequences of certain short</w:t>
      </w:r>
      <w:r w:rsidR="00583E1A">
        <w:noBreakHyphen/>
      </w:r>
      <w:r w:rsidRPr="00583E1A">
        <w:t>term forex realisation gains.</w:t>
      </w:r>
    </w:p>
    <w:p w:rsidR="00887330" w:rsidRPr="00583E1A" w:rsidRDefault="00887330" w:rsidP="00887330">
      <w:pPr>
        <w:pStyle w:val="SubsectionHead"/>
      </w:pPr>
      <w:r w:rsidRPr="00583E1A">
        <w:t>No double taxation</w:t>
      </w:r>
    </w:p>
    <w:p w:rsidR="00887330" w:rsidRPr="00583E1A" w:rsidRDefault="00887330" w:rsidP="00887330">
      <w:pPr>
        <w:pStyle w:val="subsection"/>
      </w:pPr>
      <w:r w:rsidRPr="00583E1A">
        <w:tab/>
        <w:t>(4)</w:t>
      </w:r>
      <w:r w:rsidRPr="00583E1A">
        <w:tab/>
        <w:t xml:space="preserve">To the extent that a </w:t>
      </w:r>
      <w:r w:rsidR="00583E1A" w:rsidRPr="00583E1A">
        <w:rPr>
          <w:position w:val="6"/>
          <w:sz w:val="16"/>
        </w:rPr>
        <w:t>*</w:t>
      </w:r>
      <w:r w:rsidRPr="00583E1A">
        <w:t>forex realisation gain would be included in your assessable income under this section and another provision of this Act, the gain is only included in your assessable income under this section.</w:t>
      </w:r>
    </w:p>
    <w:p w:rsidR="0048515E" w:rsidRPr="00583E1A" w:rsidRDefault="0048515E" w:rsidP="0048515E">
      <w:pPr>
        <w:pStyle w:val="notetext"/>
      </w:pPr>
      <w:r w:rsidRPr="00583E1A">
        <w:t>Note:</w:t>
      </w:r>
      <w:r w:rsidRPr="00583E1A">
        <w:tab/>
        <w:t>Under section</w:t>
      </w:r>
      <w:r w:rsidR="00583E1A">
        <w:t> </w:t>
      </w:r>
      <w:r w:rsidRPr="00583E1A">
        <w:t>230</w:t>
      </w:r>
      <w:r w:rsidR="00583E1A">
        <w:noBreakHyphen/>
      </w:r>
      <w:r w:rsidRPr="00583E1A">
        <w:t>20, foreign exchange gains from a Division</w:t>
      </w:r>
      <w:r w:rsidR="00583E1A">
        <w:t> </w:t>
      </w:r>
      <w:r w:rsidRPr="00583E1A">
        <w:t>230 financial arrangement are dealt with under Division</w:t>
      </w:r>
      <w:r w:rsidR="00583E1A">
        <w:t> </w:t>
      </w:r>
      <w:r w:rsidRPr="00583E1A">
        <w:t>230 and not under this Division.</w:t>
      </w:r>
    </w:p>
    <w:p w:rsidR="00887330" w:rsidRPr="00583E1A" w:rsidRDefault="00887330" w:rsidP="00887330">
      <w:pPr>
        <w:pStyle w:val="ActHead5"/>
      </w:pPr>
      <w:bookmarkStart w:id="68" w:name="_Toc338939142"/>
      <w:r w:rsidRPr="00583E1A">
        <w:rPr>
          <w:rStyle w:val="CharSectno"/>
        </w:rPr>
        <w:lastRenderedPageBreak/>
        <w:t>775</w:t>
      </w:r>
      <w:r w:rsidR="00583E1A">
        <w:rPr>
          <w:rStyle w:val="CharSectno"/>
        </w:rPr>
        <w:noBreakHyphen/>
      </w:r>
      <w:r w:rsidRPr="00583E1A">
        <w:rPr>
          <w:rStyle w:val="CharSectno"/>
        </w:rPr>
        <w:t>20</w:t>
      </w:r>
      <w:r w:rsidRPr="00583E1A">
        <w:t xml:space="preserve">  Certain forex realisation gains are exempt income</w:t>
      </w:r>
      <w:bookmarkEnd w:id="68"/>
    </w:p>
    <w:p w:rsidR="00887330" w:rsidRPr="00583E1A" w:rsidRDefault="00887330" w:rsidP="00887330">
      <w:pPr>
        <w:pStyle w:val="subsection"/>
      </w:pPr>
      <w:r w:rsidRPr="00583E1A">
        <w:tab/>
      </w:r>
      <w:r w:rsidRPr="00583E1A">
        <w:tab/>
        <w:t xml:space="preserve">A </w:t>
      </w:r>
      <w:r w:rsidR="00583E1A" w:rsidRPr="00583E1A">
        <w:rPr>
          <w:position w:val="6"/>
          <w:sz w:val="16"/>
        </w:rPr>
        <w:t>*</w:t>
      </w:r>
      <w:r w:rsidRPr="00583E1A">
        <w:t xml:space="preserve">forex realisation gain you make is </w:t>
      </w:r>
      <w:r w:rsidR="00414420" w:rsidRPr="005F1CAE">
        <w:rPr>
          <w:position w:val="6"/>
          <w:sz w:val="16"/>
        </w:rPr>
        <w:t>*</w:t>
      </w:r>
      <w:r w:rsidR="00414420" w:rsidRPr="005F1CAE">
        <w:t>exempt income</w:t>
      </w:r>
      <w:r w:rsidRPr="00583E1A">
        <w:t xml:space="preserve"> to the extent that, if it had been a </w:t>
      </w:r>
      <w:r w:rsidR="00583E1A" w:rsidRPr="00583E1A">
        <w:rPr>
          <w:position w:val="6"/>
          <w:sz w:val="16"/>
        </w:rPr>
        <w:t>*</w:t>
      </w:r>
      <w:r w:rsidRPr="00583E1A">
        <w:t>forex realisation loss, it would have been made in gaining or producing exempt income.</w:t>
      </w:r>
    </w:p>
    <w:p w:rsidR="00887330" w:rsidRPr="00583E1A" w:rsidRDefault="00887330" w:rsidP="00887330">
      <w:pPr>
        <w:pStyle w:val="ActHead5"/>
      </w:pPr>
      <w:bookmarkStart w:id="69" w:name="_Toc338939143"/>
      <w:r w:rsidRPr="00583E1A">
        <w:rPr>
          <w:rStyle w:val="CharSectno"/>
        </w:rPr>
        <w:t>775</w:t>
      </w:r>
      <w:r w:rsidR="00583E1A">
        <w:rPr>
          <w:rStyle w:val="CharSectno"/>
        </w:rPr>
        <w:noBreakHyphen/>
      </w:r>
      <w:r w:rsidRPr="00583E1A">
        <w:rPr>
          <w:rStyle w:val="CharSectno"/>
        </w:rPr>
        <w:t>25</w:t>
      </w:r>
      <w:r w:rsidRPr="00583E1A">
        <w:t xml:space="preserve">  Certain forex realisation gains are non</w:t>
      </w:r>
      <w:r w:rsidR="00583E1A">
        <w:noBreakHyphen/>
      </w:r>
      <w:r w:rsidRPr="00583E1A">
        <w:t>assessable non</w:t>
      </w:r>
      <w:r w:rsidR="00583E1A">
        <w:noBreakHyphen/>
      </w:r>
      <w:r w:rsidRPr="00583E1A">
        <w:t>exempt income</w:t>
      </w:r>
      <w:bookmarkEnd w:id="69"/>
    </w:p>
    <w:p w:rsidR="00887330" w:rsidRPr="00583E1A" w:rsidRDefault="00887330" w:rsidP="00887330">
      <w:pPr>
        <w:pStyle w:val="subsection"/>
      </w:pPr>
      <w:r w:rsidRPr="00583E1A">
        <w:tab/>
      </w:r>
      <w:r w:rsidRPr="00583E1A">
        <w:tab/>
        <w:t xml:space="preserve">A </w:t>
      </w:r>
      <w:r w:rsidR="00583E1A" w:rsidRPr="00583E1A">
        <w:rPr>
          <w:position w:val="6"/>
          <w:sz w:val="16"/>
        </w:rPr>
        <w:t>*</w:t>
      </w:r>
      <w:r w:rsidRPr="00583E1A">
        <w:t xml:space="preserve">forex realisation gain you make is </w:t>
      </w:r>
      <w:r w:rsidR="004E5483" w:rsidRPr="005F1CAE">
        <w:rPr>
          <w:position w:val="6"/>
          <w:sz w:val="16"/>
        </w:rPr>
        <w:t>*</w:t>
      </w:r>
      <w:r w:rsidR="004E5483" w:rsidRPr="005F1CAE">
        <w:t>non</w:t>
      </w:r>
      <w:r w:rsidR="004E5483" w:rsidRPr="005F1CAE">
        <w:noBreakHyphen/>
        <w:t>assessable non</w:t>
      </w:r>
      <w:r w:rsidR="004E5483" w:rsidRPr="005F1CAE">
        <w:noBreakHyphen/>
        <w:t>exempt income</w:t>
      </w:r>
      <w:r w:rsidRPr="00583E1A">
        <w:t xml:space="preserve"> to the extent that, if it had been a </w:t>
      </w:r>
      <w:r w:rsidR="00583E1A" w:rsidRPr="00583E1A">
        <w:rPr>
          <w:position w:val="6"/>
          <w:sz w:val="16"/>
        </w:rPr>
        <w:t>*</w:t>
      </w:r>
      <w:r w:rsidRPr="00583E1A">
        <w:t>forex realisation loss, it would have been made in gaining or producing non</w:t>
      </w:r>
      <w:r w:rsidR="00583E1A">
        <w:noBreakHyphen/>
      </w:r>
      <w:r w:rsidRPr="00583E1A">
        <w:t>assessable non</w:t>
      </w:r>
      <w:r w:rsidR="00583E1A">
        <w:noBreakHyphen/>
      </w:r>
      <w:r w:rsidRPr="00583E1A">
        <w:t>exempt income.</w:t>
      </w:r>
    </w:p>
    <w:p w:rsidR="004E5483" w:rsidRPr="005F1CAE" w:rsidRDefault="004E5483" w:rsidP="004E5483">
      <w:pPr>
        <w:pStyle w:val="ActHead5"/>
      </w:pPr>
      <w:bookmarkStart w:id="70" w:name="_Toc338939144"/>
      <w:r w:rsidRPr="005F1CAE">
        <w:rPr>
          <w:rStyle w:val="CharSectno"/>
        </w:rPr>
        <w:t>775</w:t>
      </w:r>
      <w:r w:rsidRPr="005F1CAE">
        <w:rPr>
          <w:rStyle w:val="CharSectno"/>
        </w:rPr>
        <w:noBreakHyphen/>
        <w:t>27</w:t>
      </w:r>
      <w:r w:rsidRPr="005F1CAE">
        <w:t xml:space="preserve">  Certain forex realisation gains are non</w:t>
      </w:r>
      <w:r w:rsidRPr="005F1CAE">
        <w:noBreakHyphen/>
        <w:t>assessable non</w:t>
      </w:r>
      <w:r w:rsidRPr="005F1CAE">
        <w:noBreakHyphen/>
        <w:t>exempt income</w:t>
      </w:r>
      <w:bookmarkEnd w:id="70"/>
    </w:p>
    <w:p w:rsidR="004E5483" w:rsidRPr="005F1CAE" w:rsidRDefault="004E5483" w:rsidP="004E5483">
      <w:pPr>
        <w:pStyle w:val="subsection"/>
      </w:pPr>
      <w:r w:rsidRPr="005F1CAE">
        <w:tab/>
      </w:r>
      <w:r w:rsidRPr="005F1CAE">
        <w:tab/>
        <w:t>Sections 775</w:t>
      </w:r>
      <w:r w:rsidRPr="005F1CAE">
        <w:noBreakHyphen/>
        <w:t>20 and 775</w:t>
      </w:r>
      <w:r w:rsidRPr="005F1CAE">
        <w:noBreakHyphen/>
        <w:t xml:space="preserve">25 apply to a </w:t>
      </w:r>
      <w:r w:rsidRPr="005F1CAE">
        <w:rPr>
          <w:position w:val="6"/>
          <w:sz w:val="16"/>
        </w:rPr>
        <w:t>*</w:t>
      </w:r>
      <w:r w:rsidRPr="005F1CAE">
        <w:t xml:space="preserve">forex realisation gain only if, had it been a </w:t>
      </w:r>
      <w:r w:rsidRPr="005F1CAE">
        <w:rPr>
          <w:position w:val="6"/>
          <w:sz w:val="16"/>
        </w:rPr>
        <w:t>*</w:t>
      </w:r>
      <w:r w:rsidRPr="005F1CAE">
        <w:t>forex realisation loss, it would have been disregarded under section 775</w:t>
      </w:r>
      <w:r w:rsidRPr="005F1CAE">
        <w:noBreakHyphen/>
        <w:t>35.</w:t>
      </w:r>
    </w:p>
    <w:p w:rsidR="00887330" w:rsidRPr="00583E1A" w:rsidRDefault="00887330" w:rsidP="00887330">
      <w:pPr>
        <w:pStyle w:val="ActHead5"/>
      </w:pPr>
      <w:bookmarkStart w:id="71" w:name="_Toc338939145"/>
      <w:r w:rsidRPr="00583E1A">
        <w:rPr>
          <w:rStyle w:val="CharSectno"/>
        </w:rPr>
        <w:t>775</w:t>
      </w:r>
      <w:r w:rsidR="00583E1A">
        <w:rPr>
          <w:rStyle w:val="CharSectno"/>
        </w:rPr>
        <w:noBreakHyphen/>
      </w:r>
      <w:r w:rsidRPr="00583E1A">
        <w:rPr>
          <w:rStyle w:val="CharSectno"/>
        </w:rPr>
        <w:t>30</w:t>
      </w:r>
      <w:r w:rsidRPr="00583E1A">
        <w:t xml:space="preserve">  Forex realisation losses are deductible</w:t>
      </w:r>
      <w:bookmarkEnd w:id="71"/>
    </w:p>
    <w:p w:rsidR="00887330" w:rsidRPr="00583E1A" w:rsidRDefault="00887330" w:rsidP="00887330">
      <w:pPr>
        <w:pStyle w:val="SubsectionHead"/>
      </w:pPr>
      <w:r w:rsidRPr="00583E1A">
        <w:t>Basic rule</w:t>
      </w:r>
    </w:p>
    <w:p w:rsidR="00887330" w:rsidRPr="00583E1A" w:rsidRDefault="00887330" w:rsidP="00887330">
      <w:pPr>
        <w:pStyle w:val="subsection"/>
      </w:pPr>
      <w:r w:rsidRPr="00583E1A">
        <w:tab/>
        <w:t>(1)</w:t>
      </w:r>
      <w:r w:rsidRPr="00583E1A">
        <w:tab/>
        <w:t xml:space="preserve">You can deduct from your assessable income for an income year a </w:t>
      </w:r>
      <w:r w:rsidR="00583E1A" w:rsidRPr="00583E1A">
        <w:rPr>
          <w:position w:val="6"/>
          <w:sz w:val="16"/>
        </w:rPr>
        <w:t>*</w:t>
      </w:r>
      <w:r w:rsidRPr="00583E1A">
        <w:t xml:space="preserve">forex realisation loss that you make as a result of a </w:t>
      </w:r>
      <w:r w:rsidR="00583E1A" w:rsidRPr="00583E1A">
        <w:rPr>
          <w:position w:val="6"/>
          <w:sz w:val="16"/>
        </w:rPr>
        <w:t>*</w:t>
      </w:r>
      <w:r w:rsidRPr="00583E1A">
        <w:t>forex realisation event that happens during that year.</w:t>
      </w:r>
    </w:p>
    <w:p w:rsidR="00887330" w:rsidRPr="00583E1A" w:rsidRDefault="00887330" w:rsidP="00887330">
      <w:pPr>
        <w:pStyle w:val="SubsectionHead"/>
      </w:pPr>
      <w:r w:rsidRPr="00583E1A">
        <w:t>Exceptions</w:t>
      </w:r>
    </w:p>
    <w:p w:rsidR="00887330" w:rsidRPr="00583E1A" w:rsidRDefault="00887330" w:rsidP="00887330">
      <w:pPr>
        <w:pStyle w:val="subsection"/>
      </w:pPr>
      <w:r w:rsidRPr="00583E1A">
        <w:tab/>
        <w:t>(2)</w:t>
      </w:r>
      <w:r w:rsidRPr="00583E1A">
        <w:tab/>
        <w:t xml:space="preserve">However, you cannot deduct a </w:t>
      </w:r>
      <w:r w:rsidR="00583E1A" w:rsidRPr="00583E1A">
        <w:rPr>
          <w:position w:val="6"/>
          <w:sz w:val="16"/>
        </w:rPr>
        <w:t>*</w:t>
      </w:r>
      <w:r w:rsidRPr="00583E1A">
        <w:t>forex realisation loss under this section to the extent that it:</w:t>
      </w:r>
    </w:p>
    <w:p w:rsidR="00887330" w:rsidRPr="00583E1A" w:rsidRDefault="00887330" w:rsidP="00887330">
      <w:pPr>
        <w:pStyle w:val="paragraph"/>
      </w:pPr>
      <w:r w:rsidRPr="00583E1A">
        <w:tab/>
        <w:t>(a)</w:t>
      </w:r>
      <w:r w:rsidRPr="00583E1A">
        <w:tab/>
        <w:t>is a loss of a private or domestic nature; and</w:t>
      </w:r>
    </w:p>
    <w:p w:rsidR="00887330" w:rsidRPr="00583E1A" w:rsidRDefault="00887330" w:rsidP="00887330">
      <w:pPr>
        <w:pStyle w:val="paragraph"/>
      </w:pPr>
      <w:r w:rsidRPr="00583E1A">
        <w:tab/>
        <w:t>(b)</w:t>
      </w:r>
      <w:r w:rsidRPr="00583E1A">
        <w:tab/>
        <w:t>is not covered by an item of the table:</w:t>
      </w:r>
    </w:p>
    <w:p w:rsidR="00887330" w:rsidRPr="00583E1A" w:rsidRDefault="00887330" w:rsidP="00887330">
      <w:pPr>
        <w:pStyle w:val="Tabletext"/>
      </w:pPr>
    </w:p>
    <w:tbl>
      <w:tblPr>
        <w:tblW w:w="0" w:type="auto"/>
        <w:tblInd w:w="113" w:type="dxa"/>
        <w:tblLayout w:type="fixed"/>
        <w:tblLook w:val="0000" w:firstRow="0" w:lastRow="0" w:firstColumn="0" w:lastColumn="0" w:noHBand="0" w:noVBand="0"/>
      </w:tblPr>
      <w:tblGrid>
        <w:gridCol w:w="714"/>
        <w:gridCol w:w="2031"/>
        <w:gridCol w:w="2090"/>
        <w:gridCol w:w="2251"/>
      </w:tblGrid>
      <w:tr w:rsidR="00887330" w:rsidRPr="00583E1A">
        <w:trPr>
          <w:cantSplit/>
          <w:tblHeader/>
        </w:trPr>
        <w:tc>
          <w:tcPr>
            <w:tcW w:w="7086" w:type="dxa"/>
            <w:gridSpan w:val="4"/>
            <w:tcBorders>
              <w:top w:val="single" w:sz="12" w:space="0" w:color="auto"/>
              <w:bottom w:val="single" w:sz="6" w:space="0" w:color="auto"/>
            </w:tcBorders>
            <w:shd w:val="clear" w:color="auto" w:fill="auto"/>
          </w:tcPr>
          <w:p w:rsidR="00887330" w:rsidRPr="00583E1A" w:rsidRDefault="00887330" w:rsidP="00887330">
            <w:pPr>
              <w:pStyle w:val="Tabletext"/>
              <w:keepNext/>
              <w:rPr>
                <w:b/>
              </w:rPr>
            </w:pPr>
            <w:r w:rsidRPr="00583E1A">
              <w:rPr>
                <w:b/>
              </w:rPr>
              <w:lastRenderedPageBreak/>
              <w:t>Forex realisation losses to which this subsection does not apply</w:t>
            </w:r>
          </w:p>
        </w:tc>
      </w:tr>
      <w:tr w:rsidR="00887330" w:rsidRPr="00583E1A">
        <w:trPr>
          <w:cantSplit/>
          <w:tblHeader/>
        </w:trPr>
        <w:tc>
          <w:tcPr>
            <w:tcW w:w="714" w:type="dxa"/>
            <w:tcBorders>
              <w:top w:val="single" w:sz="6" w:space="0" w:color="auto"/>
              <w:bottom w:val="single" w:sz="12" w:space="0" w:color="auto"/>
            </w:tcBorders>
            <w:shd w:val="clear" w:color="auto" w:fill="auto"/>
          </w:tcPr>
          <w:p w:rsidR="00887330" w:rsidRPr="00583E1A" w:rsidRDefault="00887330" w:rsidP="00887330">
            <w:pPr>
              <w:pStyle w:val="Tabletext"/>
              <w:keepNext/>
              <w:rPr>
                <w:b/>
              </w:rPr>
            </w:pPr>
            <w:r w:rsidRPr="00583E1A">
              <w:rPr>
                <w:b/>
              </w:rPr>
              <w:t>Item</w:t>
            </w:r>
          </w:p>
        </w:tc>
        <w:tc>
          <w:tcPr>
            <w:tcW w:w="2031" w:type="dxa"/>
            <w:tcBorders>
              <w:top w:val="single" w:sz="6" w:space="0" w:color="auto"/>
              <w:bottom w:val="single" w:sz="12" w:space="0" w:color="auto"/>
            </w:tcBorders>
            <w:shd w:val="clear" w:color="auto" w:fill="auto"/>
          </w:tcPr>
          <w:p w:rsidR="00887330" w:rsidRPr="00583E1A" w:rsidRDefault="00887330" w:rsidP="00887330">
            <w:pPr>
              <w:pStyle w:val="Tabletext"/>
              <w:keepNext/>
              <w:rPr>
                <w:b/>
              </w:rPr>
            </w:pPr>
            <w:r w:rsidRPr="00583E1A">
              <w:rPr>
                <w:b/>
              </w:rPr>
              <w:t>You make the forex realisation loss as a result of this event...</w:t>
            </w:r>
          </w:p>
        </w:tc>
        <w:tc>
          <w:tcPr>
            <w:tcW w:w="2090" w:type="dxa"/>
            <w:tcBorders>
              <w:top w:val="single" w:sz="6" w:space="0" w:color="auto"/>
              <w:bottom w:val="single" w:sz="12" w:space="0" w:color="auto"/>
            </w:tcBorders>
            <w:shd w:val="clear" w:color="auto" w:fill="auto"/>
          </w:tcPr>
          <w:p w:rsidR="00887330" w:rsidRPr="00583E1A" w:rsidRDefault="00887330" w:rsidP="00887330">
            <w:pPr>
              <w:pStyle w:val="Tabletext"/>
              <w:keepNext/>
              <w:rPr>
                <w:b/>
              </w:rPr>
            </w:pPr>
            <w:r w:rsidRPr="00583E1A">
              <w:rPr>
                <w:b/>
              </w:rPr>
              <w:t>happening to...</w:t>
            </w:r>
          </w:p>
        </w:tc>
        <w:tc>
          <w:tcPr>
            <w:tcW w:w="2251" w:type="dxa"/>
            <w:tcBorders>
              <w:top w:val="single" w:sz="6" w:space="0" w:color="auto"/>
              <w:bottom w:val="single" w:sz="12" w:space="0" w:color="auto"/>
            </w:tcBorders>
            <w:shd w:val="clear" w:color="auto" w:fill="auto"/>
          </w:tcPr>
          <w:p w:rsidR="00887330" w:rsidRPr="00583E1A" w:rsidRDefault="00887330" w:rsidP="00887330">
            <w:pPr>
              <w:pStyle w:val="Tabletext"/>
              <w:keepNext/>
              <w:rPr>
                <w:b/>
              </w:rPr>
            </w:pPr>
            <w:r w:rsidRPr="00583E1A">
              <w:rPr>
                <w:b/>
              </w:rPr>
              <w:t>and the following condition is satisfied...</w:t>
            </w:r>
          </w:p>
        </w:tc>
      </w:tr>
      <w:tr w:rsidR="00887330" w:rsidRPr="00583E1A">
        <w:trPr>
          <w:cantSplit/>
        </w:trPr>
        <w:tc>
          <w:tcPr>
            <w:tcW w:w="714" w:type="dxa"/>
            <w:tcBorders>
              <w:top w:val="single" w:sz="2" w:space="0" w:color="auto"/>
              <w:bottom w:val="single" w:sz="2" w:space="0" w:color="auto"/>
            </w:tcBorders>
            <w:shd w:val="clear" w:color="auto" w:fill="auto"/>
          </w:tcPr>
          <w:p w:rsidR="00887330" w:rsidRPr="00583E1A" w:rsidRDefault="00887330" w:rsidP="00887330">
            <w:pPr>
              <w:pStyle w:val="Tabletext"/>
            </w:pPr>
            <w:r w:rsidRPr="00583E1A">
              <w:t>1</w:t>
            </w:r>
          </w:p>
        </w:tc>
        <w:tc>
          <w:tcPr>
            <w:tcW w:w="2031" w:type="dxa"/>
            <w:tcBorders>
              <w:top w:val="single" w:sz="2" w:space="0" w:color="auto"/>
              <w:bottom w:val="single" w:sz="2" w:space="0" w:color="auto"/>
            </w:tcBorders>
            <w:shd w:val="clear" w:color="auto" w:fill="auto"/>
          </w:tcPr>
          <w:p w:rsidR="00887330" w:rsidRPr="00583E1A" w:rsidRDefault="00887330" w:rsidP="00887330">
            <w:pPr>
              <w:pStyle w:val="Tabletext"/>
            </w:pPr>
            <w:r w:rsidRPr="00583E1A">
              <w:t>forex realisation event 2</w:t>
            </w:r>
          </w:p>
        </w:tc>
        <w:tc>
          <w:tcPr>
            <w:tcW w:w="2090" w:type="dxa"/>
            <w:tcBorders>
              <w:top w:val="single" w:sz="2" w:space="0" w:color="auto"/>
              <w:bottom w:val="single" w:sz="2" w:space="0" w:color="auto"/>
            </w:tcBorders>
            <w:shd w:val="clear" w:color="auto" w:fill="auto"/>
          </w:tcPr>
          <w:p w:rsidR="00887330" w:rsidRPr="00583E1A" w:rsidRDefault="00887330" w:rsidP="00887330">
            <w:pPr>
              <w:pStyle w:val="Tabletext"/>
            </w:pPr>
            <w:r w:rsidRPr="00583E1A">
              <w:t xml:space="preserve">a right, or a part of a right, created or acquired in return for the occurrence of a </w:t>
            </w:r>
            <w:r w:rsidR="00583E1A" w:rsidRPr="00583E1A">
              <w:rPr>
                <w:position w:val="6"/>
                <w:sz w:val="16"/>
              </w:rPr>
              <w:t>*</w:t>
            </w:r>
            <w:r w:rsidRPr="00583E1A">
              <w:t xml:space="preserve">realisation event in relation to a </w:t>
            </w:r>
            <w:r w:rsidR="00583E1A" w:rsidRPr="00583E1A">
              <w:rPr>
                <w:position w:val="6"/>
                <w:sz w:val="16"/>
              </w:rPr>
              <w:t>*</w:t>
            </w:r>
            <w:r w:rsidRPr="00583E1A">
              <w:t>CGT asset you own, where subparagraph 775</w:t>
            </w:r>
            <w:r w:rsidR="00583E1A">
              <w:noBreakHyphen/>
            </w:r>
            <w:r w:rsidRPr="00583E1A">
              <w:t>45(1)(b)(iv) applies</w:t>
            </w:r>
          </w:p>
        </w:tc>
        <w:tc>
          <w:tcPr>
            <w:tcW w:w="2251" w:type="dxa"/>
            <w:tcBorders>
              <w:top w:val="single" w:sz="2" w:space="0" w:color="auto"/>
              <w:bottom w:val="single" w:sz="2" w:space="0" w:color="auto"/>
            </w:tcBorders>
            <w:shd w:val="clear" w:color="auto" w:fill="auto"/>
          </w:tcPr>
          <w:p w:rsidR="00887330" w:rsidRPr="00583E1A" w:rsidRDefault="00887330" w:rsidP="00887330">
            <w:pPr>
              <w:pStyle w:val="Tabletext"/>
            </w:pPr>
            <w:r w:rsidRPr="00583E1A">
              <w:t>a gain or loss that would result from the occurrence of the realisation event in relation to the CGT asset would be taken into account for the purposes of Part</w:t>
            </w:r>
            <w:r w:rsidR="00583E1A">
              <w:t> </w:t>
            </w:r>
            <w:r w:rsidRPr="00583E1A">
              <w:t>3</w:t>
            </w:r>
            <w:r w:rsidR="00583E1A">
              <w:noBreakHyphen/>
            </w:r>
            <w:r w:rsidRPr="00583E1A">
              <w:t>1 or 3</w:t>
            </w:r>
            <w:r w:rsidR="00583E1A">
              <w:noBreakHyphen/>
            </w:r>
            <w:r w:rsidRPr="00583E1A">
              <w:t>3</w:t>
            </w:r>
          </w:p>
        </w:tc>
      </w:tr>
      <w:tr w:rsidR="00887330" w:rsidRPr="00583E1A">
        <w:trPr>
          <w:cantSplit/>
        </w:trPr>
        <w:tc>
          <w:tcPr>
            <w:tcW w:w="714" w:type="dxa"/>
            <w:tcBorders>
              <w:top w:val="single" w:sz="2" w:space="0" w:color="auto"/>
              <w:bottom w:val="single" w:sz="12" w:space="0" w:color="auto"/>
            </w:tcBorders>
            <w:shd w:val="clear" w:color="auto" w:fill="auto"/>
          </w:tcPr>
          <w:p w:rsidR="00887330" w:rsidRPr="00583E1A" w:rsidRDefault="00887330" w:rsidP="00887330">
            <w:pPr>
              <w:pStyle w:val="Tabletext"/>
            </w:pPr>
            <w:r w:rsidRPr="00583E1A">
              <w:t>2</w:t>
            </w:r>
          </w:p>
        </w:tc>
        <w:tc>
          <w:tcPr>
            <w:tcW w:w="2031" w:type="dxa"/>
            <w:tcBorders>
              <w:top w:val="single" w:sz="2" w:space="0" w:color="auto"/>
              <w:bottom w:val="single" w:sz="12" w:space="0" w:color="auto"/>
            </w:tcBorders>
            <w:shd w:val="clear" w:color="auto" w:fill="auto"/>
          </w:tcPr>
          <w:p w:rsidR="00887330" w:rsidRPr="00583E1A" w:rsidRDefault="00887330" w:rsidP="00887330">
            <w:pPr>
              <w:pStyle w:val="Tabletext"/>
            </w:pPr>
            <w:r w:rsidRPr="00583E1A">
              <w:t>forex realisation event 4</w:t>
            </w:r>
          </w:p>
        </w:tc>
        <w:tc>
          <w:tcPr>
            <w:tcW w:w="2090" w:type="dxa"/>
            <w:tcBorders>
              <w:top w:val="single" w:sz="2" w:space="0" w:color="auto"/>
              <w:bottom w:val="single" w:sz="12" w:space="0" w:color="auto"/>
            </w:tcBorders>
            <w:shd w:val="clear" w:color="auto" w:fill="auto"/>
          </w:tcPr>
          <w:p w:rsidR="00887330" w:rsidRPr="00583E1A" w:rsidRDefault="00887330" w:rsidP="00887330">
            <w:pPr>
              <w:pStyle w:val="Tabletext"/>
            </w:pPr>
            <w:r w:rsidRPr="00583E1A">
              <w:t xml:space="preserve">an obligation, or a part of an obligation, you incurred in return for the acquisition of a </w:t>
            </w:r>
            <w:r w:rsidR="00583E1A" w:rsidRPr="00583E1A">
              <w:rPr>
                <w:position w:val="6"/>
                <w:sz w:val="16"/>
              </w:rPr>
              <w:t>*</w:t>
            </w:r>
            <w:r w:rsidRPr="00583E1A">
              <w:t>CGT asset</w:t>
            </w:r>
          </w:p>
        </w:tc>
        <w:tc>
          <w:tcPr>
            <w:tcW w:w="2251" w:type="dxa"/>
            <w:tcBorders>
              <w:top w:val="single" w:sz="2" w:space="0" w:color="auto"/>
              <w:bottom w:val="single" w:sz="12" w:space="0" w:color="auto"/>
            </w:tcBorders>
            <w:shd w:val="clear" w:color="auto" w:fill="auto"/>
          </w:tcPr>
          <w:p w:rsidR="00887330" w:rsidRPr="00583E1A" w:rsidRDefault="00887330" w:rsidP="00887330">
            <w:pPr>
              <w:pStyle w:val="Tabletext"/>
            </w:pPr>
            <w:r w:rsidRPr="00583E1A">
              <w:t xml:space="preserve">a gain or loss that would result from the occurrence of a </w:t>
            </w:r>
            <w:r w:rsidR="00583E1A" w:rsidRPr="00583E1A">
              <w:rPr>
                <w:position w:val="6"/>
                <w:sz w:val="16"/>
              </w:rPr>
              <w:t>*</w:t>
            </w:r>
            <w:r w:rsidRPr="00583E1A">
              <w:t>realisation event in relation to the CGT asset would be taken into account for the purposes of Part</w:t>
            </w:r>
            <w:r w:rsidR="00583E1A">
              <w:t> </w:t>
            </w:r>
            <w:r w:rsidRPr="00583E1A">
              <w:t>3</w:t>
            </w:r>
            <w:r w:rsidR="00583E1A">
              <w:noBreakHyphen/>
            </w:r>
            <w:r w:rsidRPr="00583E1A">
              <w:t>1 or 3</w:t>
            </w:r>
            <w:r w:rsidR="00583E1A">
              <w:noBreakHyphen/>
            </w:r>
            <w:r w:rsidRPr="00583E1A">
              <w:t>3</w:t>
            </w:r>
          </w:p>
        </w:tc>
      </w:tr>
    </w:tbl>
    <w:p w:rsidR="00887330" w:rsidRPr="00583E1A" w:rsidRDefault="00887330" w:rsidP="00887330">
      <w:pPr>
        <w:pStyle w:val="notetext"/>
      </w:pPr>
      <w:r w:rsidRPr="00583E1A">
        <w:t>Note:</w:t>
      </w:r>
      <w:r w:rsidRPr="00583E1A">
        <w:tab/>
        <w:t>Parts</w:t>
      </w:r>
      <w:r w:rsidR="00583E1A">
        <w:t> </w:t>
      </w:r>
      <w:r w:rsidRPr="00583E1A">
        <w:t>3</w:t>
      </w:r>
      <w:r w:rsidR="00583E1A">
        <w:noBreakHyphen/>
      </w:r>
      <w:r w:rsidRPr="00583E1A">
        <w:t>1 and 3</w:t>
      </w:r>
      <w:r w:rsidR="00583E1A">
        <w:noBreakHyphen/>
      </w:r>
      <w:r w:rsidRPr="00583E1A">
        <w:t>3 deal with capital gains and losses.</w:t>
      </w:r>
    </w:p>
    <w:p w:rsidR="00887330" w:rsidRPr="00583E1A" w:rsidRDefault="00887330" w:rsidP="00887330">
      <w:pPr>
        <w:pStyle w:val="subsection"/>
      </w:pPr>
      <w:r w:rsidRPr="00583E1A">
        <w:tab/>
        <w:t>(3)</w:t>
      </w:r>
      <w:r w:rsidRPr="00583E1A">
        <w:tab/>
        <w:t>Section</w:t>
      </w:r>
      <w:r w:rsidR="00583E1A">
        <w:t> </w:t>
      </w:r>
      <w:r w:rsidRPr="00583E1A">
        <w:t>775</w:t>
      </w:r>
      <w:r w:rsidR="00583E1A">
        <w:noBreakHyphen/>
      </w:r>
      <w:r w:rsidRPr="00583E1A">
        <w:t>75 provides for additional exceptions.</w:t>
      </w:r>
    </w:p>
    <w:p w:rsidR="00887330" w:rsidRPr="00583E1A" w:rsidRDefault="00887330" w:rsidP="00887330">
      <w:pPr>
        <w:pStyle w:val="notetext"/>
      </w:pPr>
      <w:r w:rsidRPr="00583E1A">
        <w:t>Note:</w:t>
      </w:r>
      <w:r w:rsidRPr="00583E1A">
        <w:tab/>
        <w:t>Section</w:t>
      </w:r>
      <w:r w:rsidR="00583E1A">
        <w:t> </w:t>
      </w:r>
      <w:r w:rsidRPr="00583E1A">
        <w:t>775</w:t>
      </w:r>
      <w:r w:rsidR="00583E1A">
        <w:noBreakHyphen/>
      </w:r>
      <w:r w:rsidRPr="00583E1A">
        <w:t>75 is about the tax consequences of certain short</w:t>
      </w:r>
      <w:r w:rsidR="00583E1A">
        <w:noBreakHyphen/>
      </w:r>
      <w:r w:rsidRPr="00583E1A">
        <w:t>term forex realisation losses.</w:t>
      </w:r>
    </w:p>
    <w:p w:rsidR="00887330" w:rsidRPr="00583E1A" w:rsidRDefault="00887330" w:rsidP="00887330">
      <w:pPr>
        <w:pStyle w:val="SubsectionHead"/>
      </w:pPr>
      <w:r w:rsidRPr="00583E1A">
        <w:t>No double deductions</w:t>
      </w:r>
    </w:p>
    <w:p w:rsidR="00887330" w:rsidRPr="00583E1A" w:rsidRDefault="00887330" w:rsidP="00887330">
      <w:pPr>
        <w:pStyle w:val="subsection"/>
      </w:pPr>
      <w:r w:rsidRPr="00583E1A">
        <w:tab/>
        <w:t>(4)</w:t>
      </w:r>
      <w:r w:rsidRPr="00583E1A">
        <w:tab/>
        <w:t xml:space="preserve">To the extent that this section and another provision of this Act would allow you a deduction for a </w:t>
      </w:r>
      <w:r w:rsidR="00583E1A" w:rsidRPr="00583E1A">
        <w:rPr>
          <w:position w:val="6"/>
          <w:sz w:val="16"/>
        </w:rPr>
        <w:t>*</w:t>
      </w:r>
      <w:r w:rsidRPr="00583E1A">
        <w:t>forex realisation loss, you can only deduct the loss under this section.</w:t>
      </w:r>
    </w:p>
    <w:p w:rsidR="0048515E" w:rsidRPr="00583E1A" w:rsidRDefault="0048515E" w:rsidP="0048515E">
      <w:pPr>
        <w:pStyle w:val="notetext"/>
      </w:pPr>
      <w:r w:rsidRPr="00583E1A">
        <w:t>Note:</w:t>
      </w:r>
      <w:r w:rsidRPr="00583E1A">
        <w:tab/>
        <w:t>Under section</w:t>
      </w:r>
      <w:r w:rsidR="00583E1A">
        <w:t> </w:t>
      </w:r>
      <w:r w:rsidRPr="00583E1A">
        <w:t>230</w:t>
      </w:r>
      <w:r w:rsidR="00583E1A">
        <w:noBreakHyphen/>
      </w:r>
      <w:r w:rsidRPr="00583E1A">
        <w:t>20, foreign exchange losses from a Division</w:t>
      </w:r>
      <w:r w:rsidR="00583E1A">
        <w:t> </w:t>
      </w:r>
      <w:r w:rsidRPr="00583E1A">
        <w:t>230 financial arrangement are dealt with under Division</w:t>
      </w:r>
      <w:r w:rsidR="00583E1A">
        <w:t> </w:t>
      </w:r>
      <w:r w:rsidRPr="00583E1A">
        <w:t>230 and not under this Division.</w:t>
      </w:r>
    </w:p>
    <w:p w:rsidR="00887330" w:rsidRPr="00583E1A" w:rsidRDefault="00887330" w:rsidP="003C48B0">
      <w:pPr>
        <w:pStyle w:val="ActHead5"/>
      </w:pPr>
      <w:bookmarkStart w:id="72" w:name="_Toc338939146"/>
      <w:r w:rsidRPr="00583E1A">
        <w:rPr>
          <w:rStyle w:val="CharSectno"/>
        </w:rPr>
        <w:lastRenderedPageBreak/>
        <w:t>775</w:t>
      </w:r>
      <w:r w:rsidR="00583E1A">
        <w:rPr>
          <w:rStyle w:val="CharSectno"/>
        </w:rPr>
        <w:noBreakHyphen/>
      </w:r>
      <w:r w:rsidRPr="00583E1A">
        <w:rPr>
          <w:rStyle w:val="CharSectno"/>
        </w:rPr>
        <w:t>35</w:t>
      </w:r>
      <w:r w:rsidRPr="00583E1A">
        <w:t xml:space="preserve">  Certain forex realisation losses are disregarded</w:t>
      </w:r>
      <w:bookmarkEnd w:id="72"/>
    </w:p>
    <w:p w:rsidR="00887330" w:rsidRPr="00583E1A" w:rsidRDefault="00887330" w:rsidP="003C48B0">
      <w:pPr>
        <w:pStyle w:val="subsection"/>
        <w:keepNext/>
        <w:keepLines/>
      </w:pPr>
      <w:r w:rsidRPr="00583E1A">
        <w:tab/>
        <w:t>(1)</w:t>
      </w:r>
      <w:r w:rsidRPr="00583E1A">
        <w:tab/>
        <w:t xml:space="preserve">A </w:t>
      </w:r>
      <w:r w:rsidR="00583E1A" w:rsidRPr="00583E1A">
        <w:rPr>
          <w:position w:val="6"/>
          <w:sz w:val="16"/>
        </w:rPr>
        <w:t>*</w:t>
      </w:r>
      <w:r w:rsidRPr="00583E1A">
        <w:t xml:space="preserve">forex realisation loss you make as a result of forex realisation event 1, 2 or 5 is disregarded to the extent that it is made in gaining or producing </w:t>
      </w:r>
      <w:r w:rsidR="004E5483" w:rsidRPr="005F1CAE">
        <w:rPr>
          <w:position w:val="6"/>
          <w:sz w:val="16"/>
        </w:rPr>
        <w:t>*</w:t>
      </w:r>
      <w:r w:rsidR="004E5483" w:rsidRPr="005F1CAE">
        <w:t xml:space="preserve">exempt income or </w:t>
      </w:r>
      <w:r w:rsidR="004E5483" w:rsidRPr="005F1CAE">
        <w:rPr>
          <w:position w:val="6"/>
          <w:sz w:val="16"/>
        </w:rPr>
        <w:t>*</w:t>
      </w:r>
      <w:r w:rsidR="004E5483" w:rsidRPr="005F1CAE">
        <w:t>non</w:t>
      </w:r>
      <w:r w:rsidR="004E5483" w:rsidRPr="005F1CAE">
        <w:noBreakHyphen/>
        <w:t>assessable non</w:t>
      </w:r>
      <w:r w:rsidR="004E5483" w:rsidRPr="005F1CAE">
        <w:noBreakHyphen/>
        <w:t>exempt income</w:t>
      </w:r>
      <w:r w:rsidRPr="00583E1A">
        <w:t>.</w:t>
      </w:r>
    </w:p>
    <w:p w:rsidR="00887330" w:rsidRPr="00583E1A" w:rsidRDefault="00887330" w:rsidP="00887330">
      <w:pPr>
        <w:pStyle w:val="subsection"/>
      </w:pPr>
      <w:r w:rsidRPr="00583E1A">
        <w:tab/>
        <w:t>(2)</w:t>
      </w:r>
      <w:r w:rsidRPr="00583E1A">
        <w:tab/>
        <w:t xml:space="preserve">A </w:t>
      </w:r>
      <w:r w:rsidR="00583E1A" w:rsidRPr="00583E1A">
        <w:rPr>
          <w:position w:val="6"/>
          <w:sz w:val="16"/>
        </w:rPr>
        <w:t>*</w:t>
      </w:r>
      <w:r w:rsidRPr="00583E1A">
        <w:t>forex realisation loss you make as a result of forex realisation event 3, 4 or 6 is disregarded to the extent that:</w:t>
      </w:r>
    </w:p>
    <w:p w:rsidR="00887330" w:rsidRPr="00583E1A" w:rsidRDefault="00887330" w:rsidP="00887330">
      <w:pPr>
        <w:pStyle w:val="paragraph"/>
      </w:pPr>
      <w:r w:rsidRPr="00583E1A">
        <w:tab/>
        <w:t>(a)</w:t>
      </w:r>
      <w:r w:rsidRPr="00583E1A">
        <w:tab/>
        <w:t xml:space="preserve">it is made in gaining or producing </w:t>
      </w:r>
      <w:r w:rsidR="004E5483" w:rsidRPr="005F1CAE">
        <w:rPr>
          <w:position w:val="6"/>
          <w:sz w:val="16"/>
        </w:rPr>
        <w:t>*</w:t>
      </w:r>
      <w:r w:rsidR="004E5483" w:rsidRPr="005F1CAE">
        <w:t xml:space="preserve">exempt income or </w:t>
      </w:r>
      <w:r w:rsidR="004E5483" w:rsidRPr="005F1CAE">
        <w:rPr>
          <w:position w:val="6"/>
          <w:sz w:val="16"/>
        </w:rPr>
        <w:t>*</w:t>
      </w:r>
      <w:r w:rsidR="004E5483" w:rsidRPr="005F1CAE">
        <w:t>non</w:t>
      </w:r>
      <w:r w:rsidR="004E5483" w:rsidRPr="005F1CAE">
        <w:noBreakHyphen/>
        <w:t>assessable non</w:t>
      </w:r>
      <w:r w:rsidR="004E5483" w:rsidRPr="005F1CAE">
        <w:noBreakHyphen/>
        <w:t>exempt income</w:t>
      </w:r>
      <w:r w:rsidRPr="00583E1A">
        <w:t>; and</w:t>
      </w:r>
    </w:p>
    <w:p w:rsidR="00887330" w:rsidRPr="00583E1A" w:rsidRDefault="00887330" w:rsidP="00887330">
      <w:pPr>
        <w:pStyle w:val="paragraph"/>
      </w:pPr>
      <w:r w:rsidRPr="00583E1A">
        <w:tab/>
        <w:t>(b)</w:t>
      </w:r>
      <w:r w:rsidRPr="00583E1A">
        <w:tab/>
        <w:t>the obligation, or the part of the obligation, does not give rise to a deduction.</w:t>
      </w:r>
    </w:p>
    <w:p w:rsidR="00887330" w:rsidRPr="00583E1A" w:rsidRDefault="00887330" w:rsidP="00887330">
      <w:pPr>
        <w:pStyle w:val="ActHead5"/>
      </w:pPr>
      <w:bookmarkStart w:id="73" w:name="_Toc338939147"/>
      <w:r w:rsidRPr="00583E1A">
        <w:rPr>
          <w:rStyle w:val="CharSectno"/>
        </w:rPr>
        <w:t>775</w:t>
      </w:r>
      <w:r w:rsidR="00583E1A">
        <w:rPr>
          <w:rStyle w:val="CharSectno"/>
        </w:rPr>
        <w:noBreakHyphen/>
      </w:r>
      <w:r w:rsidRPr="00583E1A">
        <w:rPr>
          <w:rStyle w:val="CharSectno"/>
        </w:rPr>
        <w:t>40</w:t>
      </w:r>
      <w:r w:rsidRPr="00583E1A">
        <w:t xml:space="preserve">  Disposal of foreign currency or right to receive foreign currency—forex realisation event 1</w:t>
      </w:r>
      <w:bookmarkEnd w:id="73"/>
    </w:p>
    <w:p w:rsidR="00887330" w:rsidRPr="00583E1A" w:rsidRDefault="00887330" w:rsidP="00887330">
      <w:pPr>
        <w:pStyle w:val="SubsectionHead"/>
      </w:pPr>
      <w:r w:rsidRPr="00583E1A">
        <w:t>Forex realisation event 1</w:t>
      </w:r>
    </w:p>
    <w:p w:rsidR="00887330" w:rsidRPr="00583E1A" w:rsidRDefault="00887330" w:rsidP="00887330">
      <w:pPr>
        <w:pStyle w:val="subsection"/>
      </w:pPr>
      <w:r w:rsidRPr="00583E1A">
        <w:tab/>
        <w:t>(1)</w:t>
      </w:r>
      <w:r w:rsidRPr="00583E1A">
        <w:tab/>
      </w:r>
      <w:r w:rsidRPr="00583E1A">
        <w:rPr>
          <w:b/>
          <w:i/>
        </w:rPr>
        <w:t>Forex realisation event 1</w:t>
      </w:r>
      <w:r w:rsidRPr="00583E1A">
        <w:t xml:space="preserve"> is </w:t>
      </w:r>
      <w:r w:rsidR="00583E1A" w:rsidRPr="00583E1A">
        <w:rPr>
          <w:position w:val="6"/>
          <w:sz w:val="16"/>
        </w:rPr>
        <w:t>*</w:t>
      </w:r>
      <w:r w:rsidRPr="00583E1A">
        <w:t>CGT event A1 that happens if you dispose of:</w:t>
      </w:r>
    </w:p>
    <w:p w:rsidR="00887330" w:rsidRPr="00583E1A" w:rsidRDefault="00887330" w:rsidP="00887330">
      <w:pPr>
        <w:pStyle w:val="paragraph"/>
      </w:pPr>
      <w:r w:rsidRPr="00583E1A">
        <w:tab/>
        <w:t>(a)</w:t>
      </w:r>
      <w:r w:rsidRPr="00583E1A">
        <w:tab/>
      </w:r>
      <w:r w:rsidR="00583E1A" w:rsidRPr="00583E1A">
        <w:rPr>
          <w:position w:val="6"/>
          <w:sz w:val="16"/>
        </w:rPr>
        <w:t>*</w:t>
      </w:r>
      <w:r w:rsidRPr="00583E1A">
        <w:t>foreign currency; or</w:t>
      </w:r>
    </w:p>
    <w:p w:rsidR="00887330" w:rsidRPr="00583E1A" w:rsidRDefault="00887330" w:rsidP="00887330">
      <w:pPr>
        <w:pStyle w:val="paragraph"/>
      </w:pPr>
      <w:r w:rsidRPr="00583E1A">
        <w:tab/>
        <w:t>(b)</w:t>
      </w:r>
      <w:r w:rsidRPr="00583E1A">
        <w:tab/>
        <w:t>a right, or a part of a right, to receive foreign currency.</w:t>
      </w:r>
    </w:p>
    <w:p w:rsidR="00887330" w:rsidRPr="00583E1A" w:rsidRDefault="00887330" w:rsidP="00887330">
      <w:pPr>
        <w:pStyle w:val="notetext"/>
      </w:pPr>
      <w:r w:rsidRPr="00583E1A">
        <w:t>Note:</w:t>
      </w:r>
      <w:r w:rsidRPr="00583E1A">
        <w:tab/>
        <w:t xml:space="preserve">For extended meaning of </w:t>
      </w:r>
      <w:r w:rsidRPr="00583E1A">
        <w:rPr>
          <w:b/>
          <w:i/>
        </w:rPr>
        <w:t>right to receive</w:t>
      </w:r>
      <w:r w:rsidRPr="00583E1A">
        <w:t xml:space="preserve"> </w:t>
      </w:r>
      <w:r w:rsidRPr="00583E1A">
        <w:rPr>
          <w:b/>
          <w:i/>
        </w:rPr>
        <w:t>foreign currency</w:t>
      </w:r>
      <w:r w:rsidRPr="00583E1A">
        <w:t>, see section</w:t>
      </w:r>
      <w:r w:rsidR="00583E1A">
        <w:t> </w:t>
      </w:r>
      <w:r w:rsidRPr="00583E1A">
        <w:t>775</w:t>
      </w:r>
      <w:r w:rsidR="00583E1A">
        <w:noBreakHyphen/>
      </w:r>
      <w:r w:rsidRPr="00583E1A">
        <w:t>135.</w:t>
      </w:r>
    </w:p>
    <w:p w:rsidR="00887330" w:rsidRPr="00583E1A" w:rsidRDefault="00887330" w:rsidP="00887330">
      <w:pPr>
        <w:pStyle w:val="SubsectionHead"/>
      </w:pPr>
      <w:r w:rsidRPr="00583E1A">
        <w:t>Disposal</w:t>
      </w:r>
    </w:p>
    <w:p w:rsidR="00887330" w:rsidRPr="00583E1A" w:rsidRDefault="00887330" w:rsidP="00887330">
      <w:pPr>
        <w:pStyle w:val="subsection"/>
      </w:pPr>
      <w:r w:rsidRPr="00583E1A">
        <w:tab/>
        <w:t>(2)</w:t>
      </w:r>
      <w:r w:rsidRPr="00583E1A">
        <w:tab/>
        <w:t>For the purposes of this section, use subsection 104</w:t>
      </w:r>
      <w:r w:rsidR="00583E1A">
        <w:noBreakHyphen/>
      </w:r>
      <w:r w:rsidRPr="00583E1A">
        <w:t>10(2) to work out whether you have disposed of:</w:t>
      </w:r>
    </w:p>
    <w:p w:rsidR="00887330" w:rsidRPr="00583E1A" w:rsidRDefault="00887330" w:rsidP="00887330">
      <w:pPr>
        <w:pStyle w:val="paragraph"/>
      </w:pPr>
      <w:r w:rsidRPr="00583E1A">
        <w:tab/>
        <w:t>(a)</w:t>
      </w:r>
      <w:r w:rsidRPr="00583E1A">
        <w:tab/>
      </w:r>
      <w:r w:rsidR="00583E1A" w:rsidRPr="00583E1A">
        <w:rPr>
          <w:position w:val="6"/>
          <w:sz w:val="16"/>
        </w:rPr>
        <w:t>*</w:t>
      </w:r>
      <w:r w:rsidRPr="00583E1A">
        <w:t>foreign currency; or</w:t>
      </w:r>
    </w:p>
    <w:p w:rsidR="00887330" w:rsidRPr="00583E1A" w:rsidRDefault="00887330" w:rsidP="00887330">
      <w:pPr>
        <w:pStyle w:val="paragraph"/>
      </w:pPr>
      <w:r w:rsidRPr="00583E1A">
        <w:tab/>
        <w:t>(b)</w:t>
      </w:r>
      <w:r w:rsidRPr="00583E1A">
        <w:tab/>
        <w:t>a right, or a part of a right, to receive foreign currency.</w:t>
      </w:r>
    </w:p>
    <w:p w:rsidR="00887330" w:rsidRPr="00583E1A" w:rsidRDefault="00887330" w:rsidP="00887330">
      <w:pPr>
        <w:pStyle w:val="notetext"/>
      </w:pPr>
      <w:r w:rsidRPr="00583E1A">
        <w:t>Note:</w:t>
      </w:r>
      <w:r w:rsidRPr="00583E1A">
        <w:tab/>
        <w:t>Under subsection 104</w:t>
      </w:r>
      <w:r w:rsidR="00583E1A">
        <w:noBreakHyphen/>
      </w:r>
      <w:r w:rsidRPr="00583E1A">
        <w:t>10(2), a disposal requires a change of ownership.</w:t>
      </w:r>
    </w:p>
    <w:p w:rsidR="00887330" w:rsidRPr="00583E1A" w:rsidRDefault="00887330" w:rsidP="00887330">
      <w:pPr>
        <w:pStyle w:val="SubsectionHead"/>
      </w:pPr>
      <w:r w:rsidRPr="00583E1A">
        <w:t>Time of event</w:t>
      </w:r>
    </w:p>
    <w:p w:rsidR="00887330" w:rsidRPr="00583E1A" w:rsidRDefault="00887330" w:rsidP="00887330">
      <w:pPr>
        <w:pStyle w:val="subsection"/>
      </w:pPr>
      <w:r w:rsidRPr="00583E1A">
        <w:tab/>
        <w:t>(3)</w:t>
      </w:r>
      <w:r w:rsidRPr="00583E1A">
        <w:tab/>
        <w:t>For the purposes of this section, subsection 104</w:t>
      </w:r>
      <w:r w:rsidR="00583E1A">
        <w:noBreakHyphen/>
      </w:r>
      <w:r w:rsidRPr="00583E1A">
        <w:t>10(3) is modified so that the time of the event is when:</w:t>
      </w:r>
    </w:p>
    <w:p w:rsidR="00887330" w:rsidRPr="00583E1A" w:rsidRDefault="00887330" w:rsidP="00887330">
      <w:pPr>
        <w:pStyle w:val="paragraph"/>
      </w:pPr>
      <w:r w:rsidRPr="00583E1A">
        <w:tab/>
        <w:t>(a)</w:t>
      </w:r>
      <w:r w:rsidRPr="00583E1A">
        <w:tab/>
        <w:t xml:space="preserve">the </w:t>
      </w:r>
      <w:r w:rsidR="00583E1A" w:rsidRPr="00583E1A">
        <w:rPr>
          <w:position w:val="6"/>
          <w:sz w:val="16"/>
        </w:rPr>
        <w:t>*</w:t>
      </w:r>
      <w:r w:rsidRPr="00583E1A">
        <w:t>foreign currency is disposed of; or</w:t>
      </w:r>
    </w:p>
    <w:p w:rsidR="00887330" w:rsidRPr="00583E1A" w:rsidRDefault="00887330" w:rsidP="00887330">
      <w:pPr>
        <w:pStyle w:val="paragraph"/>
      </w:pPr>
      <w:r w:rsidRPr="00583E1A">
        <w:lastRenderedPageBreak/>
        <w:tab/>
        <w:t>(b)</w:t>
      </w:r>
      <w:r w:rsidRPr="00583E1A">
        <w:tab/>
        <w:t>the right, or the part of the right, is disposed of.</w:t>
      </w:r>
    </w:p>
    <w:p w:rsidR="00887330" w:rsidRPr="00583E1A" w:rsidRDefault="00887330" w:rsidP="00887330">
      <w:pPr>
        <w:pStyle w:val="SubsectionHead"/>
      </w:pPr>
      <w:r w:rsidRPr="00583E1A">
        <w:t>Forex realisation gain</w:t>
      </w:r>
    </w:p>
    <w:p w:rsidR="00887330" w:rsidRPr="00583E1A" w:rsidRDefault="00887330" w:rsidP="00887330">
      <w:pPr>
        <w:pStyle w:val="subsection"/>
      </w:pPr>
      <w:r w:rsidRPr="00583E1A">
        <w:tab/>
        <w:t>(4)</w:t>
      </w:r>
      <w:r w:rsidRPr="00583E1A">
        <w:tab/>
        <w:t xml:space="preserve">You make a </w:t>
      </w:r>
      <w:r w:rsidRPr="00583E1A">
        <w:rPr>
          <w:b/>
          <w:i/>
        </w:rPr>
        <w:t>forex realisation gain</w:t>
      </w:r>
      <w:r w:rsidRPr="00583E1A">
        <w:t xml:space="preserve"> if:</w:t>
      </w:r>
    </w:p>
    <w:p w:rsidR="00887330" w:rsidRPr="00583E1A" w:rsidRDefault="00887330" w:rsidP="00887330">
      <w:pPr>
        <w:pStyle w:val="paragraph"/>
      </w:pPr>
      <w:r w:rsidRPr="00583E1A">
        <w:tab/>
        <w:t>(a)</w:t>
      </w:r>
      <w:r w:rsidRPr="00583E1A">
        <w:tab/>
        <w:t xml:space="preserve">you make a </w:t>
      </w:r>
      <w:r w:rsidR="00583E1A" w:rsidRPr="00583E1A">
        <w:rPr>
          <w:position w:val="6"/>
          <w:sz w:val="16"/>
        </w:rPr>
        <w:t>*</w:t>
      </w:r>
      <w:r w:rsidRPr="00583E1A">
        <w:t>capital gain from the event; and</w:t>
      </w:r>
    </w:p>
    <w:p w:rsidR="00887330" w:rsidRPr="00583E1A" w:rsidRDefault="00887330" w:rsidP="00887330">
      <w:pPr>
        <w:pStyle w:val="paragraph"/>
      </w:pPr>
      <w:r w:rsidRPr="00583E1A">
        <w:tab/>
        <w:t>(b)</w:t>
      </w:r>
      <w:r w:rsidRPr="00583E1A">
        <w:tab/>
        <w:t xml:space="preserve">some or all of the capital gain is attributable to a </w:t>
      </w:r>
      <w:r w:rsidR="00583E1A" w:rsidRPr="00583E1A">
        <w:rPr>
          <w:position w:val="6"/>
          <w:sz w:val="16"/>
        </w:rPr>
        <w:t>*</w:t>
      </w:r>
      <w:r w:rsidRPr="00583E1A">
        <w:t>currency exchange rate effect.</w:t>
      </w:r>
    </w:p>
    <w:p w:rsidR="00887330" w:rsidRPr="00583E1A" w:rsidRDefault="00887330" w:rsidP="00887330">
      <w:pPr>
        <w:pStyle w:val="subsection2"/>
      </w:pPr>
      <w:r w:rsidRPr="00583E1A">
        <w:t xml:space="preserve">The amount of the </w:t>
      </w:r>
      <w:r w:rsidRPr="00583E1A">
        <w:rPr>
          <w:b/>
          <w:i/>
        </w:rPr>
        <w:t xml:space="preserve">forex realisation gain </w:t>
      </w:r>
      <w:r w:rsidRPr="00583E1A">
        <w:t>is so much of the capital gain as is attributable to a currency exchange rate effect.</w:t>
      </w:r>
    </w:p>
    <w:p w:rsidR="00887330" w:rsidRPr="00583E1A" w:rsidRDefault="00887330" w:rsidP="00887330">
      <w:pPr>
        <w:pStyle w:val="notetext"/>
      </w:pPr>
      <w:r w:rsidRPr="00583E1A">
        <w:t>Note:</w:t>
      </w:r>
      <w:r w:rsidRPr="00583E1A">
        <w:tab/>
        <w:t xml:space="preserve">For </w:t>
      </w:r>
      <w:r w:rsidRPr="00583E1A">
        <w:rPr>
          <w:b/>
          <w:i/>
        </w:rPr>
        <w:t>currency exchange rate effect</w:t>
      </w:r>
      <w:r w:rsidRPr="00583E1A">
        <w:t>, see section</w:t>
      </w:r>
      <w:r w:rsidR="00583E1A">
        <w:t> </w:t>
      </w:r>
      <w:r w:rsidRPr="00583E1A">
        <w:t>775</w:t>
      </w:r>
      <w:r w:rsidR="00583E1A">
        <w:noBreakHyphen/>
      </w:r>
      <w:r w:rsidRPr="00583E1A">
        <w:t>105.</w:t>
      </w:r>
    </w:p>
    <w:p w:rsidR="00887330" w:rsidRPr="00583E1A" w:rsidRDefault="00887330" w:rsidP="00887330">
      <w:pPr>
        <w:pStyle w:val="subsection"/>
      </w:pPr>
      <w:r w:rsidRPr="00583E1A">
        <w:tab/>
        <w:t>(5)</w:t>
      </w:r>
      <w:r w:rsidRPr="00583E1A">
        <w:tab/>
        <w:t xml:space="preserve">For the purposes of </w:t>
      </w:r>
      <w:r w:rsidR="00583E1A">
        <w:t>paragraph (</w:t>
      </w:r>
      <w:r w:rsidRPr="00583E1A">
        <w:t>4)(a), Part</w:t>
      </w:r>
      <w:r w:rsidR="00583E1A">
        <w:t> </w:t>
      </w:r>
      <w:r w:rsidRPr="00583E1A">
        <w:t>3</w:t>
      </w:r>
      <w:r w:rsidR="00583E1A">
        <w:noBreakHyphen/>
      </w:r>
      <w:r w:rsidRPr="00583E1A">
        <w:t>1 is modified so that section</w:t>
      </w:r>
      <w:r w:rsidR="00583E1A">
        <w:t> </w:t>
      </w:r>
      <w:r w:rsidRPr="00583E1A">
        <w:t>118</w:t>
      </w:r>
      <w:r w:rsidR="00583E1A">
        <w:noBreakHyphen/>
      </w:r>
      <w:r w:rsidRPr="00583E1A">
        <w:t xml:space="preserve">20 is disregarded in working out the </w:t>
      </w:r>
      <w:r w:rsidR="00583E1A" w:rsidRPr="00583E1A">
        <w:rPr>
          <w:position w:val="6"/>
          <w:sz w:val="16"/>
        </w:rPr>
        <w:t>*</w:t>
      </w:r>
      <w:r w:rsidRPr="00583E1A">
        <w:t>capital gain.</w:t>
      </w:r>
    </w:p>
    <w:p w:rsidR="00887330" w:rsidRPr="00583E1A" w:rsidRDefault="00887330" w:rsidP="00887330">
      <w:pPr>
        <w:pStyle w:val="notetext"/>
      </w:pPr>
      <w:r w:rsidRPr="00583E1A">
        <w:t>Note:</w:t>
      </w:r>
      <w:r w:rsidRPr="00583E1A">
        <w:tab/>
        <w:t>Section</w:t>
      </w:r>
      <w:r w:rsidR="00583E1A">
        <w:t> </w:t>
      </w:r>
      <w:r w:rsidRPr="00583E1A">
        <w:t>118</w:t>
      </w:r>
      <w:r w:rsidR="00583E1A">
        <w:noBreakHyphen/>
      </w:r>
      <w:r w:rsidRPr="00583E1A">
        <w:t>20 deals with reducing capital gains if an amount is otherwise assessable.</w:t>
      </w:r>
    </w:p>
    <w:p w:rsidR="00887330" w:rsidRPr="00583E1A" w:rsidRDefault="00887330" w:rsidP="00887330">
      <w:pPr>
        <w:pStyle w:val="SubsectionHead"/>
      </w:pPr>
      <w:r w:rsidRPr="00583E1A">
        <w:t>Forex realisation loss</w:t>
      </w:r>
    </w:p>
    <w:p w:rsidR="00887330" w:rsidRPr="00583E1A" w:rsidRDefault="00887330" w:rsidP="00887330">
      <w:pPr>
        <w:pStyle w:val="subsection"/>
      </w:pPr>
      <w:r w:rsidRPr="00583E1A">
        <w:tab/>
        <w:t>(6)</w:t>
      </w:r>
      <w:r w:rsidRPr="00583E1A">
        <w:tab/>
        <w:t xml:space="preserve">You make a </w:t>
      </w:r>
      <w:r w:rsidRPr="00583E1A">
        <w:rPr>
          <w:b/>
          <w:i/>
        </w:rPr>
        <w:t>forex realisation loss</w:t>
      </w:r>
      <w:r w:rsidRPr="00583E1A">
        <w:t xml:space="preserve"> if:</w:t>
      </w:r>
    </w:p>
    <w:p w:rsidR="00887330" w:rsidRPr="00583E1A" w:rsidRDefault="00887330" w:rsidP="00887330">
      <w:pPr>
        <w:pStyle w:val="paragraph"/>
      </w:pPr>
      <w:r w:rsidRPr="00583E1A">
        <w:tab/>
        <w:t>(a)</w:t>
      </w:r>
      <w:r w:rsidRPr="00583E1A">
        <w:tab/>
        <w:t xml:space="preserve">you make a </w:t>
      </w:r>
      <w:r w:rsidR="00583E1A" w:rsidRPr="00583E1A">
        <w:rPr>
          <w:position w:val="6"/>
          <w:sz w:val="16"/>
        </w:rPr>
        <w:t>*</w:t>
      </w:r>
      <w:r w:rsidRPr="00583E1A">
        <w:t>capital loss from the event; and</w:t>
      </w:r>
    </w:p>
    <w:p w:rsidR="00887330" w:rsidRPr="00583E1A" w:rsidRDefault="00887330" w:rsidP="00887330">
      <w:pPr>
        <w:pStyle w:val="paragraph"/>
      </w:pPr>
      <w:r w:rsidRPr="00583E1A">
        <w:tab/>
        <w:t>(b)</w:t>
      </w:r>
      <w:r w:rsidRPr="00583E1A">
        <w:tab/>
        <w:t xml:space="preserve">some or all of the capital loss is attributable to a </w:t>
      </w:r>
      <w:r w:rsidR="00583E1A" w:rsidRPr="00583E1A">
        <w:rPr>
          <w:position w:val="6"/>
          <w:sz w:val="16"/>
        </w:rPr>
        <w:t>*</w:t>
      </w:r>
      <w:r w:rsidRPr="00583E1A">
        <w:t>currency exchange rate effect.</w:t>
      </w:r>
    </w:p>
    <w:p w:rsidR="00887330" w:rsidRPr="00583E1A" w:rsidRDefault="00887330" w:rsidP="00887330">
      <w:pPr>
        <w:pStyle w:val="subsection2"/>
      </w:pPr>
      <w:r w:rsidRPr="00583E1A">
        <w:t xml:space="preserve">The amount of the </w:t>
      </w:r>
      <w:r w:rsidRPr="00583E1A">
        <w:rPr>
          <w:b/>
          <w:i/>
        </w:rPr>
        <w:t xml:space="preserve">forex realisation loss </w:t>
      </w:r>
      <w:r w:rsidRPr="00583E1A">
        <w:t>is so much of the capital loss as is attributable to a currency exchange rate effect.</w:t>
      </w:r>
    </w:p>
    <w:p w:rsidR="00887330" w:rsidRPr="00583E1A" w:rsidRDefault="00887330" w:rsidP="00887330">
      <w:pPr>
        <w:pStyle w:val="notetext"/>
      </w:pPr>
      <w:r w:rsidRPr="00583E1A">
        <w:t>Note:</w:t>
      </w:r>
      <w:r w:rsidRPr="00583E1A">
        <w:tab/>
        <w:t xml:space="preserve">For </w:t>
      </w:r>
      <w:r w:rsidRPr="00583E1A">
        <w:rPr>
          <w:b/>
          <w:i/>
        </w:rPr>
        <w:t>currency exchange rate effect</w:t>
      </w:r>
      <w:r w:rsidRPr="00583E1A">
        <w:t>, see section</w:t>
      </w:r>
      <w:r w:rsidR="00583E1A">
        <w:t> </w:t>
      </w:r>
      <w:r w:rsidRPr="00583E1A">
        <w:t>775</w:t>
      </w:r>
      <w:r w:rsidR="00583E1A">
        <w:noBreakHyphen/>
      </w:r>
      <w:r w:rsidRPr="00583E1A">
        <w:t>105.</w:t>
      </w:r>
    </w:p>
    <w:p w:rsidR="00887330" w:rsidRPr="00583E1A" w:rsidRDefault="00887330" w:rsidP="00887330">
      <w:pPr>
        <w:pStyle w:val="SubsectionHead"/>
      </w:pPr>
      <w:r w:rsidRPr="00583E1A">
        <w:t>No indexation of cost base</w:t>
      </w:r>
    </w:p>
    <w:p w:rsidR="00887330" w:rsidRPr="00583E1A" w:rsidRDefault="00887330" w:rsidP="00887330">
      <w:pPr>
        <w:pStyle w:val="subsection"/>
      </w:pPr>
      <w:r w:rsidRPr="00583E1A">
        <w:tab/>
        <w:t>(7)</w:t>
      </w:r>
      <w:r w:rsidRPr="00583E1A">
        <w:tab/>
        <w:t>For the purposes of this section, disregard Division</w:t>
      </w:r>
      <w:r w:rsidR="00583E1A">
        <w:t> </w:t>
      </w:r>
      <w:r w:rsidRPr="00583E1A">
        <w:t>114.</w:t>
      </w:r>
    </w:p>
    <w:p w:rsidR="00887330" w:rsidRPr="00583E1A" w:rsidRDefault="00887330" w:rsidP="00887330">
      <w:pPr>
        <w:pStyle w:val="notetext"/>
      </w:pPr>
      <w:r w:rsidRPr="00583E1A">
        <w:t>Note:</w:t>
      </w:r>
      <w:r w:rsidRPr="00583E1A">
        <w:tab/>
        <w:t>Division</w:t>
      </w:r>
      <w:r w:rsidR="00583E1A">
        <w:t> </w:t>
      </w:r>
      <w:r w:rsidRPr="00583E1A">
        <w:t>114 deals with indexation of the cost base.</w:t>
      </w:r>
    </w:p>
    <w:p w:rsidR="00887330" w:rsidRPr="00583E1A" w:rsidRDefault="00887330" w:rsidP="00887330">
      <w:pPr>
        <w:pStyle w:val="SubsectionHead"/>
      </w:pPr>
      <w:r w:rsidRPr="00583E1A">
        <w:t>Foreign currency hedging gains and losses</w:t>
      </w:r>
    </w:p>
    <w:p w:rsidR="00887330" w:rsidRPr="00583E1A" w:rsidRDefault="00887330" w:rsidP="00887330">
      <w:pPr>
        <w:pStyle w:val="subsection"/>
      </w:pPr>
      <w:r w:rsidRPr="00583E1A">
        <w:tab/>
        <w:t>(8)</w:t>
      </w:r>
      <w:r w:rsidRPr="00583E1A">
        <w:tab/>
        <w:t>For the purposes of this section, disregard section</w:t>
      </w:r>
      <w:r w:rsidR="00583E1A">
        <w:t> </w:t>
      </w:r>
      <w:r w:rsidRPr="00583E1A">
        <w:t>118</w:t>
      </w:r>
      <w:r w:rsidR="00583E1A">
        <w:noBreakHyphen/>
      </w:r>
      <w:r w:rsidRPr="00583E1A">
        <w:t>55.</w:t>
      </w:r>
    </w:p>
    <w:p w:rsidR="00887330" w:rsidRPr="00583E1A" w:rsidRDefault="00887330" w:rsidP="00887330">
      <w:pPr>
        <w:pStyle w:val="notetext"/>
      </w:pPr>
      <w:r w:rsidRPr="00583E1A">
        <w:t>Note:</w:t>
      </w:r>
      <w:r w:rsidRPr="00583E1A">
        <w:tab/>
        <w:t>Section</w:t>
      </w:r>
      <w:r w:rsidR="00583E1A">
        <w:t> </w:t>
      </w:r>
      <w:r w:rsidRPr="00583E1A">
        <w:t>118</w:t>
      </w:r>
      <w:r w:rsidR="00583E1A">
        <w:noBreakHyphen/>
      </w:r>
      <w:r w:rsidRPr="00583E1A">
        <w:t>55 deals with foreign currency hedging gains and losses.</w:t>
      </w:r>
    </w:p>
    <w:p w:rsidR="00887330" w:rsidRPr="00583E1A" w:rsidRDefault="00887330" w:rsidP="00887330">
      <w:pPr>
        <w:pStyle w:val="SubsectionHead"/>
      </w:pPr>
      <w:r w:rsidRPr="00583E1A">
        <w:lastRenderedPageBreak/>
        <w:t>Capital proceeds</w:t>
      </w:r>
    </w:p>
    <w:p w:rsidR="00887330" w:rsidRPr="00583E1A" w:rsidRDefault="00887330" w:rsidP="00887330">
      <w:pPr>
        <w:pStyle w:val="subsection"/>
      </w:pPr>
      <w:r w:rsidRPr="00583E1A">
        <w:tab/>
        <w:t>(9)</w:t>
      </w:r>
      <w:r w:rsidRPr="00583E1A">
        <w:tab/>
        <w:t xml:space="preserve">For the purposes of this section, if the </w:t>
      </w:r>
      <w:r w:rsidR="00583E1A" w:rsidRPr="00583E1A">
        <w:rPr>
          <w:position w:val="6"/>
          <w:sz w:val="16"/>
        </w:rPr>
        <w:t>*</w:t>
      </w:r>
      <w:r w:rsidRPr="00583E1A">
        <w:t xml:space="preserve">capital proceeds from the event are more or less than the </w:t>
      </w:r>
      <w:r w:rsidR="00583E1A" w:rsidRPr="00583E1A">
        <w:rPr>
          <w:position w:val="6"/>
          <w:sz w:val="16"/>
        </w:rPr>
        <w:t>*</w:t>
      </w:r>
      <w:r w:rsidRPr="00583E1A">
        <w:t>market value of:</w:t>
      </w:r>
    </w:p>
    <w:p w:rsidR="00887330" w:rsidRPr="00583E1A" w:rsidRDefault="00887330" w:rsidP="00887330">
      <w:pPr>
        <w:pStyle w:val="paragraph"/>
      </w:pPr>
      <w:r w:rsidRPr="00583E1A">
        <w:tab/>
        <w:t>(a)</w:t>
      </w:r>
      <w:r w:rsidRPr="00583E1A">
        <w:tab/>
        <w:t xml:space="preserve">the </w:t>
      </w:r>
      <w:r w:rsidR="00583E1A" w:rsidRPr="00583E1A">
        <w:rPr>
          <w:position w:val="6"/>
          <w:sz w:val="16"/>
        </w:rPr>
        <w:t>*</w:t>
      </w:r>
      <w:r w:rsidRPr="00583E1A">
        <w:t>foreign currency; or</w:t>
      </w:r>
    </w:p>
    <w:p w:rsidR="00887330" w:rsidRPr="00583E1A" w:rsidRDefault="00887330" w:rsidP="00887330">
      <w:pPr>
        <w:pStyle w:val="paragraph"/>
      </w:pPr>
      <w:r w:rsidRPr="00583E1A">
        <w:tab/>
        <w:t>(b)</w:t>
      </w:r>
      <w:r w:rsidRPr="00583E1A">
        <w:tab/>
        <w:t>the right, or the part of the right;</w:t>
      </w:r>
    </w:p>
    <w:p w:rsidR="00887330" w:rsidRPr="00583E1A" w:rsidRDefault="00887330" w:rsidP="00887330">
      <w:pPr>
        <w:pStyle w:val="subsection2"/>
      </w:pPr>
      <w:r w:rsidRPr="00583E1A">
        <w:t>the capital proceeds from the event are taken to be the market value. (The market value is worked out as at the time of the event.)</w:t>
      </w:r>
    </w:p>
    <w:p w:rsidR="00887330" w:rsidRPr="00583E1A" w:rsidRDefault="00887330" w:rsidP="00887330">
      <w:pPr>
        <w:pStyle w:val="ActHead5"/>
      </w:pPr>
      <w:bookmarkStart w:id="74" w:name="_Toc338939148"/>
      <w:r w:rsidRPr="00583E1A">
        <w:rPr>
          <w:rStyle w:val="CharSectno"/>
        </w:rPr>
        <w:t>775</w:t>
      </w:r>
      <w:r w:rsidR="00583E1A">
        <w:rPr>
          <w:rStyle w:val="CharSectno"/>
        </w:rPr>
        <w:noBreakHyphen/>
      </w:r>
      <w:r w:rsidRPr="00583E1A">
        <w:rPr>
          <w:rStyle w:val="CharSectno"/>
        </w:rPr>
        <w:t>45</w:t>
      </w:r>
      <w:r w:rsidRPr="00583E1A">
        <w:t xml:space="preserve">  Ceasing to have a right to receive foreign currency—forex realisation event 2</w:t>
      </w:r>
      <w:bookmarkEnd w:id="74"/>
    </w:p>
    <w:p w:rsidR="00887330" w:rsidRPr="00583E1A" w:rsidRDefault="00887330" w:rsidP="00887330">
      <w:pPr>
        <w:pStyle w:val="SubsectionHead"/>
      </w:pPr>
      <w:r w:rsidRPr="00583E1A">
        <w:t>Forex realisation event 2</w:t>
      </w:r>
    </w:p>
    <w:p w:rsidR="00887330" w:rsidRPr="00583E1A" w:rsidRDefault="00887330" w:rsidP="00887330">
      <w:pPr>
        <w:pStyle w:val="subsection"/>
      </w:pPr>
      <w:r w:rsidRPr="00583E1A">
        <w:tab/>
        <w:t>(1)</w:t>
      </w:r>
      <w:r w:rsidRPr="00583E1A">
        <w:tab/>
      </w:r>
      <w:r w:rsidRPr="00583E1A">
        <w:rPr>
          <w:b/>
          <w:i/>
        </w:rPr>
        <w:t>Forex realisation event 2</w:t>
      </w:r>
      <w:r w:rsidRPr="00583E1A">
        <w:t xml:space="preserve"> happens if:</w:t>
      </w:r>
    </w:p>
    <w:p w:rsidR="00887330" w:rsidRPr="00583E1A" w:rsidRDefault="00887330" w:rsidP="00887330">
      <w:pPr>
        <w:pStyle w:val="paragraph"/>
      </w:pPr>
      <w:r w:rsidRPr="00583E1A">
        <w:tab/>
        <w:t>(a)</w:t>
      </w:r>
      <w:r w:rsidRPr="00583E1A">
        <w:tab/>
        <w:t xml:space="preserve">you cease to have a right, or a part of a right, to receive </w:t>
      </w:r>
      <w:r w:rsidR="00583E1A" w:rsidRPr="00583E1A">
        <w:rPr>
          <w:position w:val="6"/>
          <w:sz w:val="16"/>
        </w:rPr>
        <w:t>*</w:t>
      </w:r>
      <w:r w:rsidRPr="00583E1A">
        <w:t>foreign currency; and</w:t>
      </w:r>
    </w:p>
    <w:p w:rsidR="00887330" w:rsidRPr="00583E1A" w:rsidRDefault="00887330" w:rsidP="00887330">
      <w:pPr>
        <w:pStyle w:val="paragraph"/>
      </w:pPr>
      <w:r w:rsidRPr="00583E1A">
        <w:tab/>
        <w:t>(b)</w:t>
      </w:r>
      <w:r w:rsidRPr="00583E1A">
        <w:tab/>
        <w:t>the right, or the part of the right, is one of the following:</w:t>
      </w:r>
    </w:p>
    <w:p w:rsidR="00887330" w:rsidRPr="00583E1A" w:rsidRDefault="00887330" w:rsidP="00887330">
      <w:pPr>
        <w:pStyle w:val="paragraphsub"/>
      </w:pPr>
      <w:r w:rsidRPr="00583E1A">
        <w:tab/>
        <w:t>(i)</w:t>
      </w:r>
      <w:r w:rsidRPr="00583E1A">
        <w:tab/>
        <w:t xml:space="preserve">a right, or a part of a right, to receive, or that represents, </w:t>
      </w:r>
      <w:r w:rsidR="00583E1A" w:rsidRPr="00583E1A">
        <w:rPr>
          <w:position w:val="6"/>
          <w:sz w:val="16"/>
        </w:rPr>
        <w:t>*</w:t>
      </w:r>
      <w:r w:rsidRPr="00583E1A">
        <w:t xml:space="preserve">ordinary income or </w:t>
      </w:r>
      <w:r w:rsidR="00583E1A" w:rsidRPr="00583E1A">
        <w:rPr>
          <w:position w:val="6"/>
          <w:sz w:val="16"/>
        </w:rPr>
        <w:t>*</w:t>
      </w:r>
      <w:r w:rsidRPr="00583E1A">
        <w:t>statutory income (other than statutory income that is assessable under this Division or Division</w:t>
      </w:r>
      <w:r w:rsidR="00583E1A">
        <w:t> </w:t>
      </w:r>
      <w:r w:rsidRPr="00583E1A">
        <w:t>102);</w:t>
      </w:r>
    </w:p>
    <w:p w:rsidR="00887330" w:rsidRPr="00583E1A" w:rsidRDefault="00887330" w:rsidP="00887330">
      <w:pPr>
        <w:pStyle w:val="paragraphsub"/>
      </w:pPr>
      <w:r w:rsidRPr="00583E1A">
        <w:tab/>
        <w:t>(ii)</w:t>
      </w:r>
      <w:r w:rsidRPr="00583E1A">
        <w:tab/>
        <w:t xml:space="preserve">a right, or a part of a right, created or acquired in return for your ceasing to </w:t>
      </w:r>
      <w:r w:rsidR="00583E1A" w:rsidRPr="00583E1A">
        <w:rPr>
          <w:position w:val="6"/>
          <w:sz w:val="16"/>
        </w:rPr>
        <w:t>*</w:t>
      </w:r>
      <w:r w:rsidRPr="00583E1A">
        <w:t xml:space="preserve">hold a </w:t>
      </w:r>
      <w:r w:rsidR="00583E1A" w:rsidRPr="00583E1A">
        <w:rPr>
          <w:position w:val="6"/>
          <w:sz w:val="16"/>
        </w:rPr>
        <w:t>*</w:t>
      </w:r>
      <w:r w:rsidRPr="00583E1A">
        <w:t>depreciating asset;</w:t>
      </w:r>
    </w:p>
    <w:p w:rsidR="00887330" w:rsidRPr="00583E1A" w:rsidRDefault="00887330" w:rsidP="00887330">
      <w:pPr>
        <w:pStyle w:val="paragraphsub"/>
      </w:pPr>
      <w:r w:rsidRPr="00583E1A">
        <w:tab/>
        <w:t>(iii)</w:t>
      </w:r>
      <w:r w:rsidRPr="00583E1A">
        <w:tab/>
        <w:t>a right, or a part of a right, created or acquired in return for your paying, or agreeing to pay, an amount of Australian currency or foreign currency;</w:t>
      </w:r>
    </w:p>
    <w:p w:rsidR="00887330" w:rsidRPr="00583E1A" w:rsidRDefault="00887330" w:rsidP="00887330">
      <w:pPr>
        <w:pStyle w:val="paragraphsub"/>
      </w:pPr>
      <w:r w:rsidRPr="00583E1A">
        <w:tab/>
        <w:t>(iv)</w:t>
      </w:r>
      <w:r w:rsidRPr="00583E1A">
        <w:tab/>
        <w:t xml:space="preserve">a right, or a part of a right, created or acquired in return for the occurrence of a </w:t>
      </w:r>
      <w:r w:rsidR="00583E1A" w:rsidRPr="00583E1A">
        <w:rPr>
          <w:position w:val="6"/>
          <w:sz w:val="16"/>
        </w:rPr>
        <w:t>*</w:t>
      </w:r>
      <w:r w:rsidRPr="00583E1A">
        <w:t xml:space="preserve">realisation event in relation to a </w:t>
      </w:r>
      <w:r w:rsidR="00583E1A" w:rsidRPr="00583E1A">
        <w:rPr>
          <w:position w:val="6"/>
          <w:sz w:val="16"/>
        </w:rPr>
        <w:t>*</w:t>
      </w:r>
      <w:r w:rsidRPr="00583E1A">
        <w:t xml:space="preserve">CGT asset you own, and none of </w:t>
      </w:r>
      <w:r w:rsidR="00583E1A">
        <w:t>subparagraphs (</w:t>
      </w:r>
      <w:r w:rsidRPr="00583E1A">
        <w:t>i), (ii) and (iii) applies; and</w:t>
      </w:r>
    </w:p>
    <w:p w:rsidR="00887330" w:rsidRPr="00583E1A" w:rsidRDefault="00887330" w:rsidP="00887330">
      <w:pPr>
        <w:pStyle w:val="paragraph"/>
      </w:pPr>
      <w:r w:rsidRPr="00583E1A">
        <w:tab/>
        <w:t>(c)</w:t>
      </w:r>
      <w:r w:rsidRPr="00583E1A">
        <w:tab/>
        <w:t>you did not cease to have the right, or the part of the right, because you disposed of the right or the part of the right (within the meaning of section</w:t>
      </w:r>
      <w:r w:rsidR="00583E1A">
        <w:t> </w:t>
      </w:r>
      <w:r w:rsidRPr="00583E1A">
        <w:t>775</w:t>
      </w:r>
      <w:r w:rsidR="00583E1A">
        <w:noBreakHyphen/>
      </w:r>
      <w:r w:rsidRPr="00583E1A">
        <w:t>40).</w:t>
      </w:r>
    </w:p>
    <w:p w:rsidR="00887330" w:rsidRPr="00583E1A" w:rsidRDefault="00887330" w:rsidP="00887330">
      <w:pPr>
        <w:pStyle w:val="notetext"/>
      </w:pPr>
      <w:r w:rsidRPr="00583E1A">
        <w:t>Note 1:</w:t>
      </w:r>
      <w:r w:rsidRPr="00583E1A">
        <w:tab/>
        <w:t>Disposals are dealt with by section</w:t>
      </w:r>
      <w:r w:rsidR="00583E1A">
        <w:t> </w:t>
      </w:r>
      <w:r w:rsidRPr="00583E1A">
        <w:t>775</w:t>
      </w:r>
      <w:r w:rsidR="00583E1A">
        <w:noBreakHyphen/>
      </w:r>
      <w:r w:rsidRPr="00583E1A">
        <w:t>40 (forex realisation event 1).</w:t>
      </w:r>
    </w:p>
    <w:p w:rsidR="00887330" w:rsidRPr="00583E1A" w:rsidRDefault="00887330" w:rsidP="00887330">
      <w:pPr>
        <w:pStyle w:val="notetext"/>
      </w:pPr>
      <w:r w:rsidRPr="00583E1A">
        <w:t>Note 2:</w:t>
      </w:r>
      <w:r w:rsidRPr="00583E1A">
        <w:tab/>
        <w:t xml:space="preserve">For extended meaning of </w:t>
      </w:r>
      <w:r w:rsidRPr="00583E1A">
        <w:rPr>
          <w:b/>
          <w:i/>
        </w:rPr>
        <w:t>right to receive</w:t>
      </w:r>
      <w:r w:rsidRPr="00583E1A">
        <w:t xml:space="preserve"> </w:t>
      </w:r>
      <w:r w:rsidRPr="00583E1A">
        <w:rPr>
          <w:b/>
          <w:i/>
        </w:rPr>
        <w:t>foreign currency</w:t>
      </w:r>
      <w:r w:rsidRPr="00583E1A">
        <w:t>, see section</w:t>
      </w:r>
      <w:r w:rsidR="00583E1A">
        <w:t> </w:t>
      </w:r>
      <w:r w:rsidRPr="00583E1A">
        <w:t>775</w:t>
      </w:r>
      <w:r w:rsidR="00583E1A">
        <w:noBreakHyphen/>
      </w:r>
      <w:r w:rsidRPr="00583E1A">
        <w:t>135.</w:t>
      </w:r>
    </w:p>
    <w:p w:rsidR="00887330" w:rsidRPr="00583E1A" w:rsidRDefault="00887330" w:rsidP="00887330">
      <w:pPr>
        <w:pStyle w:val="SubsectionHead"/>
      </w:pPr>
      <w:r w:rsidRPr="00583E1A">
        <w:lastRenderedPageBreak/>
        <w:t>Time of event</w:t>
      </w:r>
    </w:p>
    <w:p w:rsidR="00887330" w:rsidRPr="00583E1A" w:rsidRDefault="00887330" w:rsidP="00887330">
      <w:pPr>
        <w:pStyle w:val="subsection"/>
      </w:pPr>
      <w:r w:rsidRPr="00583E1A">
        <w:tab/>
        <w:t>(2)</w:t>
      </w:r>
      <w:r w:rsidRPr="00583E1A">
        <w:tab/>
        <w:t>The time of the event is when you cease to have the right or the part of the right.</w:t>
      </w:r>
    </w:p>
    <w:p w:rsidR="00887330" w:rsidRPr="00583E1A" w:rsidRDefault="00887330" w:rsidP="00887330">
      <w:pPr>
        <w:pStyle w:val="SubsectionHead"/>
      </w:pPr>
      <w:r w:rsidRPr="00583E1A">
        <w:t>Forex realisation gain</w:t>
      </w:r>
    </w:p>
    <w:p w:rsidR="00887330" w:rsidRPr="00583E1A" w:rsidRDefault="00887330" w:rsidP="00887330">
      <w:pPr>
        <w:pStyle w:val="subsection"/>
      </w:pPr>
      <w:r w:rsidRPr="00583E1A">
        <w:tab/>
        <w:t>(3)</w:t>
      </w:r>
      <w:r w:rsidRPr="00583E1A">
        <w:tab/>
        <w:t xml:space="preserve">You make a </w:t>
      </w:r>
      <w:r w:rsidRPr="00583E1A">
        <w:rPr>
          <w:b/>
          <w:i/>
        </w:rPr>
        <w:t>forex realisation gain</w:t>
      </w:r>
      <w:r w:rsidRPr="00583E1A">
        <w:t xml:space="preserve"> if:</w:t>
      </w:r>
    </w:p>
    <w:p w:rsidR="00887330" w:rsidRPr="00583E1A" w:rsidRDefault="00887330" w:rsidP="00887330">
      <w:pPr>
        <w:pStyle w:val="paragraph"/>
      </w:pPr>
      <w:r w:rsidRPr="00583E1A">
        <w:tab/>
        <w:t>(a)</w:t>
      </w:r>
      <w:r w:rsidRPr="00583E1A">
        <w:tab/>
        <w:t xml:space="preserve">the amount you receive in respect of the event happening exceeds the </w:t>
      </w:r>
      <w:r w:rsidR="00583E1A" w:rsidRPr="00583E1A">
        <w:rPr>
          <w:position w:val="6"/>
          <w:sz w:val="16"/>
        </w:rPr>
        <w:t>*</w:t>
      </w:r>
      <w:r w:rsidRPr="00583E1A">
        <w:t>forex cost base of the right or the part of the right (the forex cost base is worked out as at the tax recognition time); and</w:t>
      </w:r>
    </w:p>
    <w:p w:rsidR="00887330" w:rsidRPr="00583E1A" w:rsidRDefault="00887330" w:rsidP="00887330">
      <w:pPr>
        <w:pStyle w:val="paragraph"/>
      </w:pPr>
      <w:r w:rsidRPr="00583E1A">
        <w:tab/>
        <w:t>(b)</w:t>
      </w:r>
      <w:r w:rsidRPr="00583E1A">
        <w:tab/>
        <w:t xml:space="preserve">some or all of the excess is attributable to a </w:t>
      </w:r>
      <w:r w:rsidR="00583E1A" w:rsidRPr="00583E1A">
        <w:rPr>
          <w:position w:val="6"/>
          <w:sz w:val="16"/>
        </w:rPr>
        <w:t>*</w:t>
      </w:r>
      <w:r w:rsidRPr="00583E1A">
        <w:t>currency exchange rate effect.</w:t>
      </w:r>
    </w:p>
    <w:p w:rsidR="00887330" w:rsidRPr="00583E1A" w:rsidRDefault="00887330" w:rsidP="00887330">
      <w:pPr>
        <w:pStyle w:val="subsection2"/>
      </w:pPr>
      <w:r w:rsidRPr="00583E1A">
        <w:t xml:space="preserve">The amount of the </w:t>
      </w:r>
      <w:r w:rsidRPr="00583E1A">
        <w:rPr>
          <w:b/>
          <w:i/>
        </w:rPr>
        <w:t xml:space="preserve">forex realisation gain </w:t>
      </w:r>
      <w:r w:rsidRPr="00583E1A">
        <w:t>is so much of the excess as is attributable to a currency exchange rate effect.</w:t>
      </w:r>
    </w:p>
    <w:p w:rsidR="00887330" w:rsidRPr="00583E1A" w:rsidRDefault="00887330" w:rsidP="00887330">
      <w:pPr>
        <w:pStyle w:val="notetext"/>
      </w:pPr>
      <w:r w:rsidRPr="00583E1A">
        <w:t>Note 1:</w:t>
      </w:r>
      <w:r w:rsidRPr="00583E1A">
        <w:tab/>
        <w:t xml:space="preserve">For </w:t>
      </w:r>
      <w:r w:rsidRPr="00583E1A">
        <w:rPr>
          <w:b/>
          <w:i/>
        </w:rPr>
        <w:t>forex cost base</w:t>
      </w:r>
      <w:r w:rsidRPr="00583E1A">
        <w:t>, see section</w:t>
      </w:r>
      <w:r w:rsidR="00583E1A">
        <w:t> </w:t>
      </w:r>
      <w:r w:rsidRPr="00583E1A">
        <w:t>775</w:t>
      </w:r>
      <w:r w:rsidR="00583E1A">
        <w:noBreakHyphen/>
      </w:r>
      <w:r w:rsidRPr="00583E1A">
        <w:t>85.</w:t>
      </w:r>
    </w:p>
    <w:p w:rsidR="00887330" w:rsidRPr="00583E1A" w:rsidRDefault="00887330" w:rsidP="00887330">
      <w:pPr>
        <w:pStyle w:val="notetext"/>
      </w:pPr>
      <w:r w:rsidRPr="00583E1A">
        <w:t>Note 2:</w:t>
      </w:r>
      <w:r w:rsidRPr="00583E1A">
        <w:tab/>
        <w:t xml:space="preserve">For </w:t>
      </w:r>
      <w:r w:rsidRPr="00583E1A">
        <w:rPr>
          <w:b/>
          <w:i/>
        </w:rPr>
        <w:t>tax recognition time</w:t>
      </w:r>
      <w:r w:rsidRPr="00583E1A">
        <w:t xml:space="preserve">, see </w:t>
      </w:r>
      <w:r w:rsidR="00583E1A">
        <w:t>subsection (</w:t>
      </w:r>
      <w:r w:rsidRPr="00583E1A">
        <w:t>7).</w:t>
      </w:r>
    </w:p>
    <w:p w:rsidR="00887330" w:rsidRPr="00583E1A" w:rsidRDefault="00887330" w:rsidP="00887330">
      <w:pPr>
        <w:pStyle w:val="notetext"/>
      </w:pPr>
      <w:r w:rsidRPr="00583E1A">
        <w:t>Note 3:</w:t>
      </w:r>
      <w:r w:rsidRPr="00583E1A">
        <w:tab/>
        <w:t xml:space="preserve">For </w:t>
      </w:r>
      <w:r w:rsidRPr="00583E1A">
        <w:rPr>
          <w:b/>
          <w:i/>
        </w:rPr>
        <w:t>currency exchange rate effect</w:t>
      </w:r>
      <w:r w:rsidRPr="00583E1A">
        <w:t>, see section</w:t>
      </w:r>
      <w:r w:rsidR="00583E1A">
        <w:t> </w:t>
      </w:r>
      <w:r w:rsidRPr="00583E1A">
        <w:t>775</w:t>
      </w:r>
      <w:r w:rsidR="00583E1A">
        <w:noBreakHyphen/>
      </w:r>
      <w:r w:rsidRPr="00583E1A">
        <w:t>105.</w:t>
      </w:r>
    </w:p>
    <w:p w:rsidR="00887330" w:rsidRPr="00583E1A" w:rsidRDefault="00887330" w:rsidP="00887330">
      <w:pPr>
        <w:pStyle w:val="SubsectionHead"/>
      </w:pPr>
      <w:r w:rsidRPr="00583E1A">
        <w:t>Forex realisation loss</w:t>
      </w:r>
    </w:p>
    <w:p w:rsidR="00887330" w:rsidRPr="00583E1A" w:rsidRDefault="00887330" w:rsidP="00887330">
      <w:pPr>
        <w:pStyle w:val="subsection"/>
      </w:pPr>
      <w:r w:rsidRPr="00583E1A">
        <w:tab/>
        <w:t>(4)</w:t>
      </w:r>
      <w:r w:rsidRPr="00583E1A">
        <w:tab/>
        <w:t xml:space="preserve">You make a </w:t>
      </w:r>
      <w:r w:rsidRPr="00583E1A">
        <w:rPr>
          <w:b/>
          <w:i/>
        </w:rPr>
        <w:t>forex realisation loss</w:t>
      </w:r>
      <w:r w:rsidRPr="00583E1A">
        <w:t xml:space="preserve"> if:</w:t>
      </w:r>
    </w:p>
    <w:p w:rsidR="00887330" w:rsidRPr="00583E1A" w:rsidRDefault="00887330" w:rsidP="00887330">
      <w:pPr>
        <w:pStyle w:val="paragraph"/>
      </w:pPr>
      <w:r w:rsidRPr="00583E1A">
        <w:tab/>
        <w:t>(a)</w:t>
      </w:r>
      <w:r w:rsidRPr="00583E1A">
        <w:tab/>
        <w:t xml:space="preserve">the amount you receive in respect of the event happening falls short of the </w:t>
      </w:r>
      <w:r w:rsidR="00583E1A" w:rsidRPr="00583E1A">
        <w:rPr>
          <w:position w:val="6"/>
          <w:sz w:val="16"/>
        </w:rPr>
        <w:t>*</w:t>
      </w:r>
      <w:r w:rsidRPr="00583E1A">
        <w:t>forex cost base of the right or the part of the right (the forex cost base is worked out as at the tax recognition time); and</w:t>
      </w:r>
    </w:p>
    <w:p w:rsidR="00887330" w:rsidRPr="00583E1A" w:rsidRDefault="00887330" w:rsidP="00887330">
      <w:pPr>
        <w:pStyle w:val="paragraph"/>
      </w:pPr>
      <w:r w:rsidRPr="00583E1A">
        <w:tab/>
        <w:t>(b)</w:t>
      </w:r>
      <w:r w:rsidRPr="00583E1A">
        <w:tab/>
        <w:t xml:space="preserve">some or all of the shortfall is attributable to a </w:t>
      </w:r>
      <w:r w:rsidR="00583E1A" w:rsidRPr="00583E1A">
        <w:rPr>
          <w:position w:val="6"/>
          <w:sz w:val="16"/>
        </w:rPr>
        <w:t>*</w:t>
      </w:r>
      <w:r w:rsidRPr="00583E1A">
        <w:t>currency exchange rate effect.</w:t>
      </w:r>
    </w:p>
    <w:p w:rsidR="00887330" w:rsidRPr="00583E1A" w:rsidRDefault="00887330" w:rsidP="00887330">
      <w:pPr>
        <w:pStyle w:val="subsection2"/>
      </w:pPr>
      <w:r w:rsidRPr="00583E1A">
        <w:t xml:space="preserve">The amount of the </w:t>
      </w:r>
      <w:r w:rsidRPr="00583E1A">
        <w:rPr>
          <w:b/>
          <w:i/>
        </w:rPr>
        <w:t xml:space="preserve">forex realisation loss </w:t>
      </w:r>
      <w:r w:rsidRPr="00583E1A">
        <w:t>is so much of the shortfall as is attributable to a currency exchange rate effect.</w:t>
      </w:r>
    </w:p>
    <w:p w:rsidR="00887330" w:rsidRPr="00583E1A" w:rsidRDefault="00887330" w:rsidP="00887330">
      <w:pPr>
        <w:pStyle w:val="notetext"/>
      </w:pPr>
      <w:r w:rsidRPr="00583E1A">
        <w:t>Note 1:</w:t>
      </w:r>
      <w:r w:rsidRPr="00583E1A">
        <w:tab/>
        <w:t xml:space="preserve">For </w:t>
      </w:r>
      <w:r w:rsidRPr="00583E1A">
        <w:rPr>
          <w:b/>
          <w:i/>
        </w:rPr>
        <w:t>forex cost base</w:t>
      </w:r>
      <w:r w:rsidRPr="00583E1A">
        <w:t>, see section</w:t>
      </w:r>
      <w:r w:rsidR="00583E1A">
        <w:t> </w:t>
      </w:r>
      <w:r w:rsidRPr="00583E1A">
        <w:t>775</w:t>
      </w:r>
      <w:r w:rsidR="00583E1A">
        <w:noBreakHyphen/>
      </w:r>
      <w:r w:rsidRPr="00583E1A">
        <w:t>85.</w:t>
      </w:r>
    </w:p>
    <w:p w:rsidR="00887330" w:rsidRPr="00583E1A" w:rsidRDefault="00887330" w:rsidP="00887330">
      <w:pPr>
        <w:pStyle w:val="notetext"/>
      </w:pPr>
      <w:r w:rsidRPr="00583E1A">
        <w:t>Note 2:</w:t>
      </w:r>
      <w:r w:rsidRPr="00583E1A">
        <w:tab/>
        <w:t xml:space="preserve">For </w:t>
      </w:r>
      <w:r w:rsidRPr="00583E1A">
        <w:rPr>
          <w:b/>
          <w:i/>
        </w:rPr>
        <w:t>tax recognition time</w:t>
      </w:r>
      <w:r w:rsidRPr="00583E1A">
        <w:t xml:space="preserve">, see </w:t>
      </w:r>
      <w:r w:rsidR="00583E1A">
        <w:t>subsection (</w:t>
      </w:r>
      <w:r w:rsidRPr="00583E1A">
        <w:t>7).</w:t>
      </w:r>
    </w:p>
    <w:p w:rsidR="00887330" w:rsidRPr="00583E1A" w:rsidRDefault="00887330" w:rsidP="00887330">
      <w:pPr>
        <w:pStyle w:val="notetext"/>
      </w:pPr>
      <w:r w:rsidRPr="00583E1A">
        <w:t>Note 3:</w:t>
      </w:r>
      <w:r w:rsidRPr="00583E1A">
        <w:tab/>
        <w:t xml:space="preserve">For </w:t>
      </w:r>
      <w:r w:rsidRPr="00583E1A">
        <w:rPr>
          <w:b/>
          <w:i/>
        </w:rPr>
        <w:t>currency exchange rate effect</w:t>
      </w:r>
      <w:r w:rsidRPr="00583E1A">
        <w:t>, see section</w:t>
      </w:r>
      <w:r w:rsidR="00583E1A">
        <w:t> </w:t>
      </w:r>
      <w:r w:rsidRPr="00583E1A">
        <w:t>775</w:t>
      </w:r>
      <w:r w:rsidR="00583E1A">
        <w:noBreakHyphen/>
      </w:r>
      <w:r w:rsidRPr="00583E1A">
        <w:t>105.</w:t>
      </w:r>
    </w:p>
    <w:p w:rsidR="00887330" w:rsidRPr="00583E1A" w:rsidRDefault="00887330" w:rsidP="00887330">
      <w:pPr>
        <w:pStyle w:val="subsection"/>
      </w:pPr>
      <w:r w:rsidRPr="00583E1A">
        <w:tab/>
        <w:t>(5)</w:t>
      </w:r>
      <w:r w:rsidRPr="00583E1A">
        <w:tab/>
        <w:t xml:space="preserve">You make a </w:t>
      </w:r>
      <w:r w:rsidRPr="00583E1A">
        <w:rPr>
          <w:b/>
          <w:i/>
        </w:rPr>
        <w:t>forex realisation loss</w:t>
      </w:r>
      <w:r w:rsidRPr="00583E1A">
        <w:t xml:space="preserve"> if:</w:t>
      </w:r>
    </w:p>
    <w:p w:rsidR="00887330" w:rsidRPr="00583E1A" w:rsidRDefault="00887330" w:rsidP="00887330">
      <w:pPr>
        <w:pStyle w:val="paragraph"/>
      </w:pPr>
      <w:r w:rsidRPr="00583E1A">
        <w:lastRenderedPageBreak/>
        <w:tab/>
        <w:t>(a)</w:t>
      </w:r>
      <w:r w:rsidRPr="00583E1A">
        <w:tab/>
        <w:t xml:space="preserve">the event happens because an option to buy </w:t>
      </w:r>
      <w:r w:rsidR="00583E1A" w:rsidRPr="00583E1A">
        <w:rPr>
          <w:position w:val="6"/>
          <w:sz w:val="16"/>
        </w:rPr>
        <w:t>*</w:t>
      </w:r>
      <w:r w:rsidRPr="00583E1A">
        <w:t>foreign currency expires without having been exercised, or is cancelled, released or abandoned; and</w:t>
      </w:r>
    </w:p>
    <w:p w:rsidR="00887330" w:rsidRPr="00583E1A" w:rsidRDefault="00887330" w:rsidP="00887330">
      <w:pPr>
        <w:pStyle w:val="paragraph"/>
      </w:pPr>
      <w:r w:rsidRPr="00583E1A">
        <w:tab/>
        <w:t>(b)</w:t>
      </w:r>
      <w:r w:rsidRPr="00583E1A">
        <w:tab/>
        <w:t>you were capable of exercising the option immediately before the event happened.</w:t>
      </w:r>
    </w:p>
    <w:p w:rsidR="00887330" w:rsidRPr="00583E1A" w:rsidRDefault="00887330" w:rsidP="00887330">
      <w:pPr>
        <w:pStyle w:val="subsection2"/>
      </w:pPr>
      <w:r w:rsidRPr="00583E1A">
        <w:t xml:space="preserve">The amount of the </w:t>
      </w:r>
      <w:r w:rsidRPr="00583E1A">
        <w:rPr>
          <w:b/>
          <w:i/>
        </w:rPr>
        <w:t>forex realisation loss</w:t>
      </w:r>
      <w:r w:rsidRPr="00583E1A">
        <w:t xml:space="preserve"> is the amount you paid in return for the grant or acquisition of the option.</w:t>
      </w:r>
    </w:p>
    <w:p w:rsidR="00887330" w:rsidRPr="00583E1A" w:rsidRDefault="00887330" w:rsidP="00887330">
      <w:pPr>
        <w:pStyle w:val="SubsectionHead"/>
      </w:pPr>
      <w:r w:rsidRPr="00583E1A">
        <w:t>Non</w:t>
      </w:r>
      <w:r w:rsidR="00583E1A">
        <w:noBreakHyphen/>
      </w:r>
      <w:r w:rsidRPr="00583E1A">
        <w:t>cash benefit</w:t>
      </w:r>
    </w:p>
    <w:p w:rsidR="00887330" w:rsidRPr="00583E1A" w:rsidRDefault="00887330" w:rsidP="00887330">
      <w:pPr>
        <w:pStyle w:val="subsection"/>
      </w:pPr>
      <w:r w:rsidRPr="00583E1A">
        <w:tab/>
        <w:t>(6)</w:t>
      </w:r>
      <w:r w:rsidRPr="00583E1A">
        <w:tab/>
        <w:t xml:space="preserve">The amount you receive in respect of the event happening can include a </w:t>
      </w:r>
      <w:r w:rsidR="00583E1A" w:rsidRPr="00583E1A">
        <w:rPr>
          <w:position w:val="6"/>
          <w:sz w:val="16"/>
        </w:rPr>
        <w:t>*</w:t>
      </w:r>
      <w:r w:rsidRPr="00583E1A">
        <w:t>non</w:t>
      </w:r>
      <w:r w:rsidR="00583E1A">
        <w:noBreakHyphen/>
      </w:r>
      <w:r w:rsidRPr="00583E1A">
        <w:t xml:space="preserve">cash benefit. Use the </w:t>
      </w:r>
      <w:r w:rsidR="00583E1A" w:rsidRPr="00583E1A">
        <w:rPr>
          <w:position w:val="6"/>
          <w:sz w:val="16"/>
        </w:rPr>
        <w:t>*</w:t>
      </w:r>
      <w:r w:rsidRPr="00583E1A">
        <w:t>market value of the benefit to work out the amount you receive.</w:t>
      </w:r>
    </w:p>
    <w:p w:rsidR="00887330" w:rsidRPr="00583E1A" w:rsidRDefault="00887330" w:rsidP="00887330">
      <w:pPr>
        <w:pStyle w:val="SubsectionHead"/>
      </w:pPr>
      <w:r w:rsidRPr="00583E1A">
        <w:t>Tax recognition time</w:t>
      </w:r>
    </w:p>
    <w:p w:rsidR="00887330" w:rsidRPr="00583E1A" w:rsidRDefault="00887330" w:rsidP="00887330">
      <w:pPr>
        <w:pStyle w:val="subsection"/>
      </w:pPr>
      <w:r w:rsidRPr="00583E1A">
        <w:tab/>
        <w:t>(7)</w:t>
      </w:r>
      <w:r w:rsidRPr="00583E1A">
        <w:tab/>
        <w:t xml:space="preserve">For the purposes of this section, the </w:t>
      </w:r>
      <w:r w:rsidRPr="00583E1A">
        <w:rPr>
          <w:b/>
          <w:i/>
        </w:rPr>
        <w:t>tax recognition time</w:t>
      </w:r>
      <w:r w:rsidRPr="00583E1A">
        <w:t xml:space="preserve"> is worked out using the table:</w:t>
      </w:r>
    </w:p>
    <w:p w:rsidR="00887330" w:rsidRPr="00583E1A" w:rsidRDefault="00887330" w:rsidP="00887330">
      <w:pPr>
        <w:pStyle w:val="Tabletext"/>
      </w:pPr>
    </w:p>
    <w:tbl>
      <w:tblPr>
        <w:tblW w:w="0" w:type="auto"/>
        <w:tblInd w:w="108" w:type="dxa"/>
        <w:tblLayout w:type="fixed"/>
        <w:tblLook w:val="0000" w:firstRow="0" w:lastRow="0" w:firstColumn="0" w:lastColumn="0" w:noHBand="0" w:noVBand="0"/>
      </w:tblPr>
      <w:tblGrid>
        <w:gridCol w:w="709"/>
        <w:gridCol w:w="3260"/>
        <w:gridCol w:w="3119"/>
      </w:tblGrid>
      <w:tr w:rsidR="00887330" w:rsidRPr="00583E1A">
        <w:trPr>
          <w:cantSplit/>
          <w:tblHeader/>
        </w:trPr>
        <w:tc>
          <w:tcPr>
            <w:tcW w:w="7088" w:type="dxa"/>
            <w:gridSpan w:val="3"/>
            <w:tcBorders>
              <w:top w:val="single" w:sz="12" w:space="0" w:color="auto"/>
              <w:bottom w:val="single" w:sz="6" w:space="0" w:color="auto"/>
            </w:tcBorders>
            <w:shd w:val="clear" w:color="auto" w:fill="auto"/>
          </w:tcPr>
          <w:p w:rsidR="00887330" w:rsidRPr="00583E1A" w:rsidRDefault="00887330" w:rsidP="00887330">
            <w:pPr>
              <w:pStyle w:val="Tabletext"/>
              <w:keepNext/>
              <w:rPr>
                <w:b/>
              </w:rPr>
            </w:pPr>
            <w:r w:rsidRPr="00583E1A">
              <w:rPr>
                <w:b/>
              </w:rPr>
              <w:t>Tax recognition time</w:t>
            </w:r>
          </w:p>
        </w:tc>
      </w:tr>
      <w:tr w:rsidR="00887330" w:rsidRPr="00583E1A">
        <w:trPr>
          <w:cantSplit/>
          <w:tblHeader/>
        </w:trPr>
        <w:tc>
          <w:tcPr>
            <w:tcW w:w="709" w:type="dxa"/>
            <w:tcBorders>
              <w:top w:val="single" w:sz="6" w:space="0" w:color="auto"/>
              <w:bottom w:val="single" w:sz="12" w:space="0" w:color="auto"/>
            </w:tcBorders>
            <w:shd w:val="clear" w:color="auto" w:fill="auto"/>
          </w:tcPr>
          <w:p w:rsidR="00887330" w:rsidRPr="00583E1A" w:rsidRDefault="00887330" w:rsidP="00887330">
            <w:pPr>
              <w:pStyle w:val="Tabletext"/>
              <w:keepNext/>
              <w:rPr>
                <w:b/>
              </w:rPr>
            </w:pPr>
            <w:r w:rsidRPr="00583E1A">
              <w:rPr>
                <w:b/>
              </w:rPr>
              <w:t>Item</w:t>
            </w:r>
          </w:p>
        </w:tc>
        <w:tc>
          <w:tcPr>
            <w:tcW w:w="3260" w:type="dxa"/>
            <w:tcBorders>
              <w:top w:val="single" w:sz="6" w:space="0" w:color="auto"/>
              <w:bottom w:val="single" w:sz="12" w:space="0" w:color="auto"/>
            </w:tcBorders>
            <w:shd w:val="clear" w:color="auto" w:fill="auto"/>
          </w:tcPr>
          <w:p w:rsidR="00887330" w:rsidRPr="00583E1A" w:rsidRDefault="00887330" w:rsidP="00887330">
            <w:pPr>
              <w:pStyle w:val="Tabletext"/>
              <w:keepNext/>
              <w:rPr>
                <w:b/>
              </w:rPr>
            </w:pPr>
            <w:r w:rsidRPr="00583E1A">
              <w:rPr>
                <w:b/>
              </w:rPr>
              <w:t>If the right, or part of the right, is...</w:t>
            </w:r>
          </w:p>
        </w:tc>
        <w:tc>
          <w:tcPr>
            <w:tcW w:w="3119" w:type="dxa"/>
            <w:tcBorders>
              <w:top w:val="single" w:sz="6" w:space="0" w:color="auto"/>
              <w:bottom w:val="single" w:sz="12" w:space="0" w:color="auto"/>
            </w:tcBorders>
            <w:shd w:val="clear" w:color="auto" w:fill="auto"/>
          </w:tcPr>
          <w:p w:rsidR="00887330" w:rsidRPr="00583E1A" w:rsidRDefault="00887330" w:rsidP="00887330">
            <w:pPr>
              <w:pStyle w:val="Tabletext"/>
              <w:keepNext/>
              <w:rPr>
                <w:b/>
              </w:rPr>
            </w:pPr>
            <w:r w:rsidRPr="00583E1A">
              <w:rPr>
                <w:b/>
              </w:rPr>
              <w:t xml:space="preserve">the </w:t>
            </w:r>
            <w:r w:rsidRPr="00583E1A">
              <w:rPr>
                <w:b/>
                <w:i/>
              </w:rPr>
              <w:t>tax recognition time</w:t>
            </w:r>
            <w:r w:rsidRPr="00583E1A">
              <w:rPr>
                <w:b/>
              </w:rPr>
              <w:t xml:space="preserve"> is...</w:t>
            </w:r>
          </w:p>
        </w:tc>
      </w:tr>
      <w:tr w:rsidR="00887330" w:rsidRPr="00583E1A">
        <w:trPr>
          <w:cantSplit/>
        </w:trPr>
        <w:tc>
          <w:tcPr>
            <w:tcW w:w="709" w:type="dxa"/>
            <w:tcBorders>
              <w:top w:val="single" w:sz="12" w:space="0" w:color="auto"/>
              <w:bottom w:val="single" w:sz="2" w:space="0" w:color="auto"/>
            </w:tcBorders>
            <w:shd w:val="clear" w:color="auto" w:fill="auto"/>
          </w:tcPr>
          <w:p w:rsidR="00887330" w:rsidRPr="00583E1A" w:rsidRDefault="00887330" w:rsidP="00887330">
            <w:pPr>
              <w:pStyle w:val="Tabletext"/>
            </w:pPr>
            <w:r w:rsidRPr="00583E1A">
              <w:t>1</w:t>
            </w:r>
          </w:p>
        </w:tc>
        <w:tc>
          <w:tcPr>
            <w:tcW w:w="3260" w:type="dxa"/>
            <w:tcBorders>
              <w:top w:val="single" w:sz="12" w:space="0" w:color="auto"/>
              <w:bottom w:val="single" w:sz="2" w:space="0" w:color="auto"/>
            </w:tcBorders>
            <w:shd w:val="clear" w:color="auto" w:fill="auto"/>
          </w:tcPr>
          <w:p w:rsidR="00887330" w:rsidRPr="00583E1A" w:rsidRDefault="00887330" w:rsidP="00887330">
            <w:pPr>
              <w:pStyle w:val="Tabletext"/>
            </w:pPr>
            <w:r w:rsidRPr="00583E1A">
              <w:t xml:space="preserve">a right, or a part of a right, to receive, or that represents, </w:t>
            </w:r>
            <w:r w:rsidR="00583E1A" w:rsidRPr="00583E1A">
              <w:rPr>
                <w:position w:val="6"/>
                <w:sz w:val="16"/>
              </w:rPr>
              <w:t>*</w:t>
            </w:r>
            <w:r w:rsidRPr="00583E1A">
              <w:t xml:space="preserve">ordinary income or </w:t>
            </w:r>
            <w:r w:rsidR="00583E1A" w:rsidRPr="00583E1A">
              <w:rPr>
                <w:position w:val="6"/>
                <w:sz w:val="16"/>
              </w:rPr>
              <w:t>*</w:t>
            </w:r>
            <w:r w:rsidRPr="00583E1A">
              <w:t>statutory income (other than statutory income that is assessable under this Division or Division</w:t>
            </w:r>
            <w:r w:rsidR="00583E1A">
              <w:t> </w:t>
            </w:r>
            <w:r w:rsidRPr="00583E1A">
              <w:t>102)</w:t>
            </w:r>
          </w:p>
        </w:tc>
        <w:tc>
          <w:tcPr>
            <w:tcW w:w="3119" w:type="dxa"/>
            <w:tcBorders>
              <w:top w:val="single" w:sz="12" w:space="0" w:color="auto"/>
              <w:bottom w:val="single" w:sz="2" w:space="0" w:color="auto"/>
            </w:tcBorders>
            <w:shd w:val="clear" w:color="auto" w:fill="auto"/>
          </w:tcPr>
          <w:p w:rsidR="00887330" w:rsidRPr="00583E1A" w:rsidRDefault="00887330" w:rsidP="00887330">
            <w:pPr>
              <w:pStyle w:val="Tablea"/>
            </w:pPr>
            <w:r w:rsidRPr="00583E1A">
              <w:t xml:space="preserve">(a) in the case of ordinary income—when the ordinary income is </w:t>
            </w:r>
            <w:r w:rsidR="00583E1A" w:rsidRPr="00583E1A">
              <w:rPr>
                <w:position w:val="6"/>
                <w:sz w:val="16"/>
              </w:rPr>
              <w:t>*</w:t>
            </w:r>
            <w:r w:rsidRPr="00583E1A">
              <w:t>derived; or</w:t>
            </w:r>
          </w:p>
          <w:p w:rsidR="00887330" w:rsidRPr="00583E1A" w:rsidRDefault="00887330" w:rsidP="00887330">
            <w:pPr>
              <w:pStyle w:val="Tablea"/>
            </w:pPr>
            <w:r w:rsidRPr="00583E1A">
              <w:t>(b) in the case of statutory income—when the requirement first arose to include the statutory income in your assessable income.</w:t>
            </w:r>
          </w:p>
        </w:tc>
      </w:tr>
      <w:tr w:rsidR="00887330" w:rsidRPr="00583E1A">
        <w:trPr>
          <w:cantSplit/>
        </w:trPr>
        <w:tc>
          <w:tcPr>
            <w:tcW w:w="709" w:type="dxa"/>
            <w:tcBorders>
              <w:top w:val="single" w:sz="2" w:space="0" w:color="auto"/>
              <w:bottom w:val="single" w:sz="2" w:space="0" w:color="auto"/>
            </w:tcBorders>
            <w:shd w:val="clear" w:color="auto" w:fill="auto"/>
          </w:tcPr>
          <w:p w:rsidR="00887330" w:rsidRPr="00583E1A" w:rsidRDefault="00887330" w:rsidP="00887330">
            <w:pPr>
              <w:pStyle w:val="Tabletext"/>
            </w:pPr>
            <w:r w:rsidRPr="00583E1A">
              <w:t>2</w:t>
            </w:r>
          </w:p>
        </w:tc>
        <w:tc>
          <w:tcPr>
            <w:tcW w:w="3260" w:type="dxa"/>
            <w:tcBorders>
              <w:top w:val="single" w:sz="2" w:space="0" w:color="auto"/>
              <w:bottom w:val="single" w:sz="2" w:space="0" w:color="auto"/>
            </w:tcBorders>
            <w:shd w:val="clear" w:color="auto" w:fill="auto"/>
          </w:tcPr>
          <w:p w:rsidR="00887330" w:rsidRPr="00583E1A" w:rsidRDefault="00887330" w:rsidP="00887330">
            <w:pPr>
              <w:pStyle w:val="Tabletext"/>
            </w:pPr>
            <w:r w:rsidRPr="00583E1A">
              <w:t xml:space="preserve">a right, or a part of a right, created or acquired in return for your ceasing to </w:t>
            </w:r>
            <w:r w:rsidR="00583E1A" w:rsidRPr="00583E1A">
              <w:rPr>
                <w:position w:val="6"/>
                <w:sz w:val="16"/>
              </w:rPr>
              <w:t>*</w:t>
            </w:r>
            <w:r w:rsidRPr="00583E1A">
              <w:t xml:space="preserve">hold a </w:t>
            </w:r>
            <w:r w:rsidR="00583E1A" w:rsidRPr="00583E1A">
              <w:rPr>
                <w:position w:val="6"/>
                <w:sz w:val="16"/>
              </w:rPr>
              <w:t>*</w:t>
            </w:r>
            <w:r w:rsidRPr="00583E1A">
              <w:t>depreciating asset</w:t>
            </w:r>
          </w:p>
        </w:tc>
        <w:tc>
          <w:tcPr>
            <w:tcW w:w="3119" w:type="dxa"/>
            <w:tcBorders>
              <w:top w:val="single" w:sz="2" w:space="0" w:color="auto"/>
              <w:bottom w:val="single" w:sz="2" w:space="0" w:color="auto"/>
            </w:tcBorders>
            <w:shd w:val="clear" w:color="auto" w:fill="auto"/>
          </w:tcPr>
          <w:p w:rsidR="00887330" w:rsidRPr="00583E1A" w:rsidRDefault="00887330" w:rsidP="00887330">
            <w:pPr>
              <w:pStyle w:val="Tabletext"/>
            </w:pPr>
            <w:r w:rsidRPr="00583E1A">
              <w:t>when you stop holding the asset.</w:t>
            </w:r>
          </w:p>
        </w:tc>
      </w:tr>
      <w:tr w:rsidR="00887330" w:rsidRPr="00583E1A">
        <w:trPr>
          <w:cantSplit/>
        </w:trPr>
        <w:tc>
          <w:tcPr>
            <w:tcW w:w="709" w:type="dxa"/>
            <w:tcBorders>
              <w:top w:val="single" w:sz="2" w:space="0" w:color="auto"/>
              <w:bottom w:val="single" w:sz="2" w:space="0" w:color="auto"/>
            </w:tcBorders>
            <w:shd w:val="clear" w:color="auto" w:fill="auto"/>
          </w:tcPr>
          <w:p w:rsidR="00887330" w:rsidRPr="00583E1A" w:rsidRDefault="00887330" w:rsidP="00887330">
            <w:pPr>
              <w:pStyle w:val="Tabletext"/>
            </w:pPr>
            <w:r w:rsidRPr="00583E1A">
              <w:t>3</w:t>
            </w:r>
          </w:p>
        </w:tc>
        <w:tc>
          <w:tcPr>
            <w:tcW w:w="3260" w:type="dxa"/>
            <w:tcBorders>
              <w:top w:val="single" w:sz="2" w:space="0" w:color="auto"/>
              <w:bottom w:val="single" w:sz="2" w:space="0" w:color="auto"/>
            </w:tcBorders>
            <w:shd w:val="clear" w:color="auto" w:fill="auto"/>
          </w:tcPr>
          <w:p w:rsidR="00887330" w:rsidRPr="00583E1A" w:rsidRDefault="00887330" w:rsidP="00887330">
            <w:pPr>
              <w:pStyle w:val="Tabletext"/>
            </w:pPr>
            <w:r w:rsidRPr="00583E1A">
              <w:t>a right, or a part of a right, referred to in subsection 775</w:t>
            </w:r>
            <w:r w:rsidR="00583E1A">
              <w:noBreakHyphen/>
            </w:r>
            <w:r w:rsidRPr="00583E1A">
              <w:t>165(3) (which deals with extensions of loans)</w:t>
            </w:r>
          </w:p>
        </w:tc>
        <w:tc>
          <w:tcPr>
            <w:tcW w:w="3119" w:type="dxa"/>
            <w:tcBorders>
              <w:top w:val="single" w:sz="2" w:space="0" w:color="auto"/>
              <w:bottom w:val="single" w:sz="2" w:space="0" w:color="auto"/>
            </w:tcBorders>
            <w:shd w:val="clear" w:color="auto" w:fill="auto"/>
          </w:tcPr>
          <w:p w:rsidR="00887330" w:rsidRPr="00583E1A" w:rsidRDefault="00887330" w:rsidP="00887330">
            <w:pPr>
              <w:pStyle w:val="Tabletext"/>
            </w:pPr>
            <w:r w:rsidRPr="00583E1A">
              <w:t>the extension time referred to in that subsection.</w:t>
            </w:r>
          </w:p>
        </w:tc>
      </w:tr>
      <w:tr w:rsidR="00887330" w:rsidRPr="00583E1A">
        <w:trPr>
          <w:cantSplit/>
        </w:trPr>
        <w:tc>
          <w:tcPr>
            <w:tcW w:w="709" w:type="dxa"/>
            <w:tcBorders>
              <w:top w:val="single" w:sz="2" w:space="0" w:color="auto"/>
              <w:bottom w:val="single" w:sz="2" w:space="0" w:color="auto"/>
            </w:tcBorders>
            <w:shd w:val="clear" w:color="auto" w:fill="auto"/>
          </w:tcPr>
          <w:p w:rsidR="00887330" w:rsidRPr="00583E1A" w:rsidRDefault="00887330" w:rsidP="00887330">
            <w:pPr>
              <w:pStyle w:val="Tabletext"/>
            </w:pPr>
            <w:r w:rsidRPr="00583E1A">
              <w:lastRenderedPageBreak/>
              <w:t>4</w:t>
            </w:r>
          </w:p>
        </w:tc>
        <w:tc>
          <w:tcPr>
            <w:tcW w:w="3260" w:type="dxa"/>
            <w:tcBorders>
              <w:top w:val="single" w:sz="2" w:space="0" w:color="auto"/>
              <w:bottom w:val="single" w:sz="2" w:space="0" w:color="auto"/>
            </w:tcBorders>
            <w:shd w:val="clear" w:color="auto" w:fill="auto"/>
          </w:tcPr>
          <w:p w:rsidR="00887330" w:rsidRPr="00583E1A" w:rsidRDefault="00887330" w:rsidP="00887330">
            <w:pPr>
              <w:pStyle w:val="Tabletext"/>
            </w:pPr>
            <w:r w:rsidRPr="00583E1A">
              <w:t>a right, or a part of a right, created or acquired in return for your paying, or agreeing to pay, an amount of Australian currency, where item</w:t>
            </w:r>
            <w:r w:rsidR="00583E1A">
              <w:t> </w:t>
            </w:r>
            <w:r w:rsidRPr="00583E1A">
              <w:t>3 does not apply</w:t>
            </w:r>
          </w:p>
        </w:tc>
        <w:tc>
          <w:tcPr>
            <w:tcW w:w="3119" w:type="dxa"/>
            <w:tcBorders>
              <w:top w:val="single" w:sz="2" w:space="0" w:color="auto"/>
              <w:bottom w:val="single" w:sz="2" w:space="0" w:color="auto"/>
            </w:tcBorders>
            <w:shd w:val="clear" w:color="auto" w:fill="auto"/>
          </w:tcPr>
          <w:p w:rsidR="00887330" w:rsidRPr="00583E1A" w:rsidRDefault="00887330" w:rsidP="00887330">
            <w:pPr>
              <w:pStyle w:val="Tabletext"/>
            </w:pPr>
            <w:r w:rsidRPr="00583E1A">
              <w:t>when the amount is paid.</w:t>
            </w:r>
          </w:p>
        </w:tc>
      </w:tr>
      <w:tr w:rsidR="00887330" w:rsidRPr="00583E1A">
        <w:trPr>
          <w:cantSplit/>
        </w:trPr>
        <w:tc>
          <w:tcPr>
            <w:tcW w:w="709" w:type="dxa"/>
            <w:tcBorders>
              <w:top w:val="single" w:sz="2" w:space="0" w:color="auto"/>
              <w:bottom w:val="single" w:sz="2" w:space="0" w:color="auto"/>
            </w:tcBorders>
            <w:shd w:val="clear" w:color="auto" w:fill="auto"/>
          </w:tcPr>
          <w:p w:rsidR="00887330" w:rsidRPr="00583E1A" w:rsidRDefault="00887330" w:rsidP="00887330">
            <w:pPr>
              <w:pStyle w:val="Tabletext"/>
            </w:pPr>
            <w:r w:rsidRPr="00583E1A">
              <w:t>5</w:t>
            </w:r>
          </w:p>
        </w:tc>
        <w:tc>
          <w:tcPr>
            <w:tcW w:w="3260" w:type="dxa"/>
            <w:tcBorders>
              <w:top w:val="single" w:sz="2" w:space="0" w:color="auto"/>
              <w:bottom w:val="single" w:sz="2" w:space="0" w:color="auto"/>
            </w:tcBorders>
            <w:shd w:val="clear" w:color="auto" w:fill="auto"/>
          </w:tcPr>
          <w:p w:rsidR="00887330" w:rsidRPr="00583E1A" w:rsidRDefault="00887330" w:rsidP="00887330">
            <w:pPr>
              <w:pStyle w:val="Tabletext"/>
            </w:pPr>
            <w:r w:rsidRPr="00583E1A">
              <w:t xml:space="preserve">a right, or a part of a right, created or acquired in return for your paying, or agreeing to pay, an amount of </w:t>
            </w:r>
            <w:r w:rsidR="00583E1A" w:rsidRPr="00583E1A">
              <w:rPr>
                <w:position w:val="6"/>
                <w:sz w:val="16"/>
              </w:rPr>
              <w:t>*</w:t>
            </w:r>
            <w:r w:rsidRPr="00583E1A">
              <w:t>foreign currency, where item</w:t>
            </w:r>
            <w:r w:rsidR="00583E1A">
              <w:t> </w:t>
            </w:r>
            <w:r w:rsidRPr="00583E1A">
              <w:t>3 does not apply</w:t>
            </w:r>
          </w:p>
        </w:tc>
        <w:tc>
          <w:tcPr>
            <w:tcW w:w="3119" w:type="dxa"/>
            <w:tcBorders>
              <w:top w:val="single" w:sz="2" w:space="0" w:color="auto"/>
              <w:bottom w:val="single" w:sz="2" w:space="0" w:color="auto"/>
            </w:tcBorders>
            <w:shd w:val="clear" w:color="auto" w:fill="auto"/>
          </w:tcPr>
          <w:p w:rsidR="00887330" w:rsidRPr="00583E1A" w:rsidRDefault="00887330" w:rsidP="00887330">
            <w:pPr>
              <w:pStyle w:val="Tabletext"/>
            </w:pPr>
            <w:r w:rsidRPr="00583E1A">
              <w:t>when the amount is paid.</w:t>
            </w:r>
          </w:p>
        </w:tc>
      </w:tr>
      <w:tr w:rsidR="00887330" w:rsidRPr="00583E1A">
        <w:trPr>
          <w:cantSplit/>
        </w:trPr>
        <w:tc>
          <w:tcPr>
            <w:tcW w:w="709" w:type="dxa"/>
            <w:tcBorders>
              <w:top w:val="single" w:sz="2" w:space="0" w:color="auto"/>
              <w:bottom w:val="single" w:sz="12" w:space="0" w:color="auto"/>
            </w:tcBorders>
            <w:shd w:val="clear" w:color="auto" w:fill="auto"/>
          </w:tcPr>
          <w:p w:rsidR="00887330" w:rsidRPr="00583E1A" w:rsidRDefault="00887330" w:rsidP="00887330">
            <w:pPr>
              <w:pStyle w:val="Tabletext"/>
            </w:pPr>
            <w:r w:rsidRPr="00583E1A">
              <w:t>6</w:t>
            </w:r>
          </w:p>
        </w:tc>
        <w:tc>
          <w:tcPr>
            <w:tcW w:w="3260" w:type="dxa"/>
            <w:tcBorders>
              <w:top w:val="single" w:sz="2" w:space="0" w:color="auto"/>
              <w:bottom w:val="single" w:sz="12" w:space="0" w:color="auto"/>
            </w:tcBorders>
            <w:shd w:val="clear" w:color="auto" w:fill="auto"/>
          </w:tcPr>
          <w:p w:rsidR="00887330" w:rsidRPr="00583E1A" w:rsidRDefault="00887330" w:rsidP="00887330">
            <w:pPr>
              <w:pStyle w:val="Tabletext"/>
            </w:pPr>
            <w:r w:rsidRPr="00583E1A">
              <w:t xml:space="preserve">a right, or a part of a right, created in return for the occurrence of a </w:t>
            </w:r>
            <w:r w:rsidR="00583E1A" w:rsidRPr="00583E1A">
              <w:rPr>
                <w:position w:val="6"/>
                <w:sz w:val="16"/>
              </w:rPr>
              <w:t>*</w:t>
            </w:r>
            <w:r w:rsidRPr="00583E1A">
              <w:t xml:space="preserve">realisation event in relation to a </w:t>
            </w:r>
            <w:r w:rsidR="00583E1A" w:rsidRPr="00583E1A">
              <w:rPr>
                <w:position w:val="6"/>
                <w:sz w:val="16"/>
              </w:rPr>
              <w:t>*</w:t>
            </w:r>
            <w:r w:rsidRPr="00583E1A">
              <w:t>CGT asset you own, and none of the above items apply</w:t>
            </w:r>
          </w:p>
        </w:tc>
        <w:tc>
          <w:tcPr>
            <w:tcW w:w="3119" w:type="dxa"/>
            <w:tcBorders>
              <w:top w:val="single" w:sz="2" w:space="0" w:color="auto"/>
              <w:bottom w:val="single" w:sz="12" w:space="0" w:color="auto"/>
            </w:tcBorders>
            <w:shd w:val="clear" w:color="auto" w:fill="auto"/>
          </w:tcPr>
          <w:p w:rsidR="00887330" w:rsidRPr="00583E1A" w:rsidRDefault="00887330" w:rsidP="00887330">
            <w:pPr>
              <w:pStyle w:val="Tabletext"/>
            </w:pPr>
            <w:r w:rsidRPr="00583E1A">
              <w:t>when the realisation event occurs.</w:t>
            </w:r>
          </w:p>
        </w:tc>
      </w:tr>
    </w:tbl>
    <w:p w:rsidR="00887330" w:rsidRPr="00583E1A" w:rsidRDefault="00887330" w:rsidP="00887330">
      <w:pPr>
        <w:pStyle w:val="notetext"/>
      </w:pPr>
      <w:r w:rsidRPr="00583E1A">
        <w:t>Note:</w:t>
      </w:r>
      <w:r w:rsidRPr="00583E1A">
        <w:tab/>
        <w:t>Subsection 775</w:t>
      </w:r>
      <w:r w:rsidR="00583E1A">
        <w:noBreakHyphen/>
      </w:r>
      <w:r w:rsidRPr="00583E1A">
        <w:t>260(1) modifies the tax recognition time if forex realisation event 2 happens in relation to a qualifying forex account that has ceased to pass the limited balance test.</w:t>
      </w:r>
    </w:p>
    <w:p w:rsidR="00887330" w:rsidRPr="00583E1A" w:rsidRDefault="00887330" w:rsidP="00887330">
      <w:pPr>
        <w:pStyle w:val="ActHead5"/>
      </w:pPr>
      <w:bookmarkStart w:id="75" w:name="_Toc338939149"/>
      <w:r w:rsidRPr="00583E1A">
        <w:rPr>
          <w:rStyle w:val="CharSectno"/>
        </w:rPr>
        <w:t>775</w:t>
      </w:r>
      <w:r w:rsidR="00583E1A">
        <w:rPr>
          <w:rStyle w:val="CharSectno"/>
        </w:rPr>
        <w:noBreakHyphen/>
      </w:r>
      <w:r w:rsidRPr="00583E1A">
        <w:rPr>
          <w:rStyle w:val="CharSectno"/>
        </w:rPr>
        <w:t>50</w:t>
      </w:r>
      <w:r w:rsidRPr="00583E1A">
        <w:t xml:space="preserve">  Ceasing to have an obligation to receive foreign currency—forex realisation event 3</w:t>
      </w:r>
      <w:bookmarkEnd w:id="75"/>
    </w:p>
    <w:p w:rsidR="00887330" w:rsidRPr="00583E1A" w:rsidRDefault="00887330" w:rsidP="00887330">
      <w:pPr>
        <w:pStyle w:val="SubsectionHead"/>
      </w:pPr>
      <w:r w:rsidRPr="00583E1A">
        <w:t>Forex realisation event 3</w:t>
      </w:r>
    </w:p>
    <w:p w:rsidR="00887330" w:rsidRPr="00583E1A" w:rsidRDefault="00887330" w:rsidP="00887330">
      <w:pPr>
        <w:pStyle w:val="subsection"/>
      </w:pPr>
      <w:r w:rsidRPr="00583E1A">
        <w:tab/>
        <w:t>(1)</w:t>
      </w:r>
      <w:r w:rsidRPr="00583E1A">
        <w:tab/>
      </w:r>
      <w:r w:rsidRPr="00583E1A">
        <w:rPr>
          <w:b/>
          <w:i/>
        </w:rPr>
        <w:t>Forex realisation event 3</w:t>
      </w:r>
      <w:r w:rsidRPr="00583E1A">
        <w:t xml:space="preserve"> happens if:</w:t>
      </w:r>
    </w:p>
    <w:p w:rsidR="00887330" w:rsidRPr="00583E1A" w:rsidRDefault="00887330" w:rsidP="00887330">
      <w:pPr>
        <w:pStyle w:val="paragraph"/>
      </w:pPr>
      <w:r w:rsidRPr="00583E1A">
        <w:tab/>
        <w:t>(a)</w:t>
      </w:r>
      <w:r w:rsidRPr="00583E1A">
        <w:tab/>
        <w:t xml:space="preserve">you cease to have an obligation, or a part of an obligation, to receive </w:t>
      </w:r>
      <w:r w:rsidR="00583E1A" w:rsidRPr="00583E1A">
        <w:rPr>
          <w:position w:val="6"/>
          <w:sz w:val="16"/>
        </w:rPr>
        <w:t>*</w:t>
      </w:r>
      <w:r w:rsidRPr="00583E1A">
        <w:t>foreign currency; and</w:t>
      </w:r>
    </w:p>
    <w:p w:rsidR="00887330" w:rsidRPr="00583E1A" w:rsidRDefault="00887330" w:rsidP="00887330">
      <w:pPr>
        <w:pStyle w:val="paragraph"/>
      </w:pPr>
      <w:r w:rsidRPr="00583E1A">
        <w:tab/>
        <w:t>(b)</w:t>
      </w:r>
      <w:r w:rsidRPr="00583E1A">
        <w:tab/>
        <w:t>the obligation, or the part of the obligation, is one of the following:</w:t>
      </w:r>
    </w:p>
    <w:p w:rsidR="00887330" w:rsidRPr="00583E1A" w:rsidRDefault="00887330" w:rsidP="00887330">
      <w:pPr>
        <w:pStyle w:val="paragraphsub"/>
      </w:pPr>
      <w:r w:rsidRPr="00583E1A">
        <w:tab/>
        <w:t>(i)</w:t>
      </w:r>
      <w:r w:rsidRPr="00583E1A">
        <w:tab/>
        <w:t>an obligation, or a part of the obligation, incurred in return for the creation or acquisition of a right to pay foreign currency;</w:t>
      </w:r>
    </w:p>
    <w:p w:rsidR="00887330" w:rsidRPr="00583E1A" w:rsidRDefault="00887330" w:rsidP="00887330">
      <w:pPr>
        <w:pStyle w:val="paragraphsub"/>
      </w:pPr>
      <w:r w:rsidRPr="00583E1A">
        <w:tab/>
        <w:t>(ii)</w:t>
      </w:r>
      <w:r w:rsidRPr="00583E1A">
        <w:tab/>
        <w:t>an obligation, or a part of the obligation, incurred in return for the creation or acquisition of a right to pay Australian currency</w:t>
      </w:r>
      <w:r w:rsidR="001A0C4A" w:rsidRPr="005F1CAE">
        <w:t>;</w:t>
      </w:r>
    </w:p>
    <w:p w:rsidR="001A0C4A" w:rsidRPr="005F1CAE" w:rsidRDefault="001A0C4A" w:rsidP="001A0C4A">
      <w:pPr>
        <w:pStyle w:val="paragraphsub"/>
      </w:pPr>
      <w:r w:rsidRPr="005F1CAE">
        <w:lastRenderedPageBreak/>
        <w:tab/>
        <w:t>(iii)</w:t>
      </w:r>
      <w:r w:rsidRPr="005F1CAE">
        <w:tab/>
        <w:t>an obligation, or a part of an obligation, under an option to sell foreign currency.</w:t>
      </w:r>
    </w:p>
    <w:p w:rsidR="00887330" w:rsidRPr="00583E1A" w:rsidRDefault="00887330" w:rsidP="00887330">
      <w:pPr>
        <w:pStyle w:val="notetext"/>
      </w:pPr>
      <w:r w:rsidRPr="00583E1A">
        <w:t>Note 1:</w:t>
      </w:r>
      <w:r w:rsidRPr="00583E1A">
        <w:tab/>
        <w:t xml:space="preserve">For extended meaning of </w:t>
      </w:r>
      <w:r w:rsidRPr="00583E1A">
        <w:rPr>
          <w:b/>
          <w:i/>
        </w:rPr>
        <w:t>obligation to receive</w:t>
      </w:r>
      <w:r w:rsidRPr="00583E1A">
        <w:t xml:space="preserve"> </w:t>
      </w:r>
      <w:r w:rsidRPr="00583E1A">
        <w:rPr>
          <w:b/>
          <w:i/>
        </w:rPr>
        <w:t>foreign currency</w:t>
      </w:r>
      <w:r w:rsidRPr="00583E1A">
        <w:t>, see section</w:t>
      </w:r>
      <w:r w:rsidR="00583E1A">
        <w:t> </w:t>
      </w:r>
      <w:r w:rsidRPr="00583E1A">
        <w:t>775</w:t>
      </w:r>
      <w:r w:rsidR="00583E1A">
        <w:noBreakHyphen/>
      </w:r>
      <w:r w:rsidRPr="00583E1A">
        <w:t>140.</w:t>
      </w:r>
    </w:p>
    <w:p w:rsidR="00887330" w:rsidRPr="00583E1A" w:rsidRDefault="00887330" w:rsidP="00887330">
      <w:pPr>
        <w:pStyle w:val="notetext"/>
      </w:pPr>
      <w:r w:rsidRPr="00583E1A">
        <w:t>Note 2:</w:t>
      </w:r>
      <w:r w:rsidRPr="00583E1A">
        <w:tab/>
        <w:t xml:space="preserve">For extended meaning of </w:t>
      </w:r>
      <w:r w:rsidRPr="00583E1A">
        <w:rPr>
          <w:b/>
          <w:i/>
        </w:rPr>
        <w:t>right to pay</w:t>
      </w:r>
      <w:r w:rsidRPr="00583E1A">
        <w:t xml:space="preserve"> </w:t>
      </w:r>
      <w:r w:rsidRPr="00583E1A">
        <w:rPr>
          <w:b/>
          <w:i/>
        </w:rPr>
        <w:t>foreign currency</w:t>
      </w:r>
      <w:r w:rsidRPr="00583E1A">
        <w:t>, see section</w:t>
      </w:r>
      <w:r w:rsidR="00583E1A">
        <w:t> </w:t>
      </w:r>
      <w:r w:rsidRPr="00583E1A">
        <w:t>775</w:t>
      </w:r>
      <w:r w:rsidR="00583E1A">
        <w:noBreakHyphen/>
      </w:r>
      <w:r w:rsidRPr="00583E1A">
        <w:t>135.</w:t>
      </w:r>
    </w:p>
    <w:p w:rsidR="00887330" w:rsidRPr="00583E1A" w:rsidRDefault="00887330" w:rsidP="00887330">
      <w:pPr>
        <w:pStyle w:val="SubsectionHead"/>
      </w:pPr>
      <w:r w:rsidRPr="00583E1A">
        <w:t>Time of event</w:t>
      </w:r>
    </w:p>
    <w:p w:rsidR="00887330" w:rsidRPr="00583E1A" w:rsidRDefault="00887330" w:rsidP="00887330">
      <w:pPr>
        <w:pStyle w:val="subsection"/>
      </w:pPr>
      <w:r w:rsidRPr="00583E1A">
        <w:tab/>
        <w:t>(2)</w:t>
      </w:r>
      <w:r w:rsidRPr="00583E1A">
        <w:tab/>
        <w:t>The time of the event is when you cease to have the obligation or the part of the obligation.</w:t>
      </w:r>
    </w:p>
    <w:p w:rsidR="00887330" w:rsidRPr="00583E1A" w:rsidRDefault="00887330" w:rsidP="00887330">
      <w:pPr>
        <w:pStyle w:val="SubsectionHead"/>
      </w:pPr>
      <w:r w:rsidRPr="00583E1A">
        <w:t>Forex realisation gain</w:t>
      </w:r>
    </w:p>
    <w:p w:rsidR="00887330" w:rsidRPr="00583E1A" w:rsidRDefault="00887330" w:rsidP="00887330">
      <w:pPr>
        <w:pStyle w:val="subsection"/>
      </w:pPr>
      <w:r w:rsidRPr="00583E1A">
        <w:tab/>
        <w:t>(3)</w:t>
      </w:r>
      <w:r w:rsidRPr="00583E1A">
        <w:tab/>
        <w:t xml:space="preserve">You make a </w:t>
      </w:r>
      <w:r w:rsidRPr="00583E1A">
        <w:rPr>
          <w:b/>
          <w:i/>
        </w:rPr>
        <w:t>forex realisation gain</w:t>
      </w:r>
      <w:r w:rsidRPr="00583E1A">
        <w:t xml:space="preserve"> if:</w:t>
      </w:r>
    </w:p>
    <w:p w:rsidR="00887330" w:rsidRPr="00583E1A" w:rsidRDefault="00887330" w:rsidP="00887330">
      <w:pPr>
        <w:pStyle w:val="paragraph"/>
      </w:pPr>
      <w:r w:rsidRPr="00583E1A">
        <w:tab/>
        <w:t>(a)</w:t>
      </w:r>
      <w:r w:rsidRPr="00583E1A">
        <w:tab/>
        <w:t>the amount you receive in respect of the event happening exceeds the net costs of assuming the obligation or the part of the obligation (the net costs are worked out as at the tax recognition time); and</w:t>
      </w:r>
    </w:p>
    <w:p w:rsidR="00887330" w:rsidRPr="00583E1A" w:rsidRDefault="00887330" w:rsidP="00887330">
      <w:pPr>
        <w:pStyle w:val="paragraph"/>
      </w:pPr>
      <w:r w:rsidRPr="00583E1A">
        <w:tab/>
        <w:t>(b)</w:t>
      </w:r>
      <w:r w:rsidRPr="00583E1A">
        <w:tab/>
        <w:t xml:space="preserve">some or all of the excess is attributable to a </w:t>
      </w:r>
      <w:r w:rsidR="00583E1A" w:rsidRPr="00583E1A">
        <w:rPr>
          <w:position w:val="6"/>
          <w:sz w:val="16"/>
        </w:rPr>
        <w:t>*</w:t>
      </w:r>
      <w:r w:rsidRPr="00583E1A">
        <w:t>currency exchange rate effect.</w:t>
      </w:r>
    </w:p>
    <w:p w:rsidR="00887330" w:rsidRPr="00583E1A" w:rsidRDefault="00887330" w:rsidP="00887330">
      <w:pPr>
        <w:pStyle w:val="subsection2"/>
      </w:pPr>
      <w:r w:rsidRPr="00583E1A">
        <w:t xml:space="preserve">The amount of the </w:t>
      </w:r>
      <w:r w:rsidRPr="00583E1A">
        <w:rPr>
          <w:b/>
          <w:i/>
        </w:rPr>
        <w:t>forex realisation gain</w:t>
      </w:r>
      <w:r w:rsidRPr="00583E1A">
        <w:t xml:space="preserve"> is so much of the excess as is attributable to a currency exchange rate effect.</w:t>
      </w:r>
    </w:p>
    <w:p w:rsidR="00887330" w:rsidRPr="00583E1A" w:rsidRDefault="00887330" w:rsidP="00887330">
      <w:pPr>
        <w:pStyle w:val="notetext"/>
      </w:pPr>
      <w:r w:rsidRPr="00583E1A">
        <w:t>Note 1:</w:t>
      </w:r>
      <w:r w:rsidRPr="00583E1A">
        <w:tab/>
        <w:t xml:space="preserve">For </w:t>
      </w:r>
      <w:r w:rsidRPr="00583E1A">
        <w:rPr>
          <w:b/>
          <w:i/>
        </w:rPr>
        <w:t>net costs of assuming the obligation</w:t>
      </w:r>
      <w:r w:rsidRPr="00583E1A">
        <w:t>, see section</w:t>
      </w:r>
      <w:r w:rsidR="00583E1A">
        <w:t> </w:t>
      </w:r>
      <w:r w:rsidRPr="00583E1A">
        <w:t>775</w:t>
      </w:r>
      <w:r w:rsidR="00583E1A">
        <w:noBreakHyphen/>
      </w:r>
      <w:r w:rsidRPr="00583E1A">
        <w:t>100.</w:t>
      </w:r>
    </w:p>
    <w:p w:rsidR="00887330" w:rsidRPr="00583E1A" w:rsidRDefault="00887330" w:rsidP="00887330">
      <w:pPr>
        <w:pStyle w:val="notetext"/>
      </w:pPr>
      <w:r w:rsidRPr="00583E1A">
        <w:t>Note 2:</w:t>
      </w:r>
      <w:r w:rsidRPr="00583E1A">
        <w:tab/>
        <w:t xml:space="preserve">For </w:t>
      </w:r>
      <w:r w:rsidRPr="00583E1A">
        <w:rPr>
          <w:b/>
          <w:i/>
        </w:rPr>
        <w:t>tax recognition time</w:t>
      </w:r>
      <w:r w:rsidRPr="00583E1A">
        <w:t xml:space="preserve">, see </w:t>
      </w:r>
      <w:r w:rsidR="00583E1A">
        <w:t>subsection (</w:t>
      </w:r>
      <w:r w:rsidRPr="00583E1A">
        <w:t>7).</w:t>
      </w:r>
    </w:p>
    <w:p w:rsidR="00887330" w:rsidRPr="00583E1A" w:rsidRDefault="00887330" w:rsidP="00887330">
      <w:pPr>
        <w:pStyle w:val="notetext"/>
      </w:pPr>
      <w:r w:rsidRPr="00583E1A">
        <w:t>Note 3:</w:t>
      </w:r>
      <w:r w:rsidRPr="00583E1A">
        <w:tab/>
        <w:t xml:space="preserve">For </w:t>
      </w:r>
      <w:r w:rsidRPr="00583E1A">
        <w:rPr>
          <w:b/>
          <w:i/>
        </w:rPr>
        <w:t>currency exchange rate effect</w:t>
      </w:r>
      <w:r w:rsidRPr="00583E1A">
        <w:t>, see section</w:t>
      </w:r>
      <w:r w:rsidR="00583E1A">
        <w:t> </w:t>
      </w:r>
      <w:r w:rsidRPr="00583E1A">
        <w:t>775</w:t>
      </w:r>
      <w:r w:rsidR="00583E1A">
        <w:noBreakHyphen/>
      </w:r>
      <w:r w:rsidRPr="00583E1A">
        <w:t>105.</w:t>
      </w:r>
    </w:p>
    <w:p w:rsidR="00887330" w:rsidRPr="00583E1A" w:rsidRDefault="00887330" w:rsidP="00887330">
      <w:pPr>
        <w:pStyle w:val="subsection"/>
      </w:pPr>
      <w:r w:rsidRPr="00583E1A">
        <w:tab/>
        <w:t>(4)</w:t>
      </w:r>
      <w:r w:rsidRPr="00583E1A">
        <w:tab/>
        <w:t xml:space="preserve">You make a </w:t>
      </w:r>
      <w:r w:rsidRPr="00583E1A">
        <w:rPr>
          <w:b/>
          <w:i/>
        </w:rPr>
        <w:t>forex realisation gain</w:t>
      </w:r>
      <w:r w:rsidRPr="00583E1A">
        <w:t xml:space="preserve"> if:</w:t>
      </w:r>
    </w:p>
    <w:p w:rsidR="00887330" w:rsidRPr="00583E1A" w:rsidRDefault="00887330" w:rsidP="00887330">
      <w:pPr>
        <w:pStyle w:val="paragraph"/>
      </w:pPr>
      <w:r w:rsidRPr="00583E1A">
        <w:tab/>
        <w:t>(a)</w:t>
      </w:r>
      <w:r w:rsidRPr="00583E1A">
        <w:tab/>
        <w:t xml:space="preserve">the event happens because an option to sell </w:t>
      </w:r>
      <w:r w:rsidR="00583E1A" w:rsidRPr="00583E1A">
        <w:rPr>
          <w:position w:val="6"/>
          <w:sz w:val="16"/>
        </w:rPr>
        <w:t>*</w:t>
      </w:r>
      <w:r w:rsidRPr="00583E1A">
        <w:t>foreign currency expires without having been exercised, or is cancelled, released or abandoned; and</w:t>
      </w:r>
    </w:p>
    <w:p w:rsidR="00887330" w:rsidRPr="00583E1A" w:rsidRDefault="00887330" w:rsidP="00887330">
      <w:pPr>
        <w:pStyle w:val="paragraph"/>
      </w:pPr>
      <w:r w:rsidRPr="00583E1A">
        <w:tab/>
        <w:t>(b)</w:t>
      </w:r>
      <w:r w:rsidRPr="00583E1A">
        <w:tab/>
        <w:t>if the option had been exercised immediately before the event, you would have been obliged to buy the foreign currency.</w:t>
      </w:r>
    </w:p>
    <w:p w:rsidR="00887330" w:rsidRPr="00583E1A" w:rsidRDefault="00887330" w:rsidP="00887330">
      <w:pPr>
        <w:pStyle w:val="subsection2"/>
      </w:pPr>
      <w:r w:rsidRPr="00583E1A">
        <w:t xml:space="preserve">The amount of the </w:t>
      </w:r>
      <w:r w:rsidRPr="00583E1A">
        <w:rPr>
          <w:b/>
          <w:i/>
        </w:rPr>
        <w:t>forex realisation gain</w:t>
      </w:r>
      <w:r w:rsidRPr="00583E1A">
        <w:t xml:space="preserve"> is the amount you received in return for granting or assuming obligations under the option.</w:t>
      </w:r>
    </w:p>
    <w:p w:rsidR="00887330" w:rsidRPr="00583E1A" w:rsidRDefault="00887330" w:rsidP="00887330">
      <w:pPr>
        <w:pStyle w:val="SubsectionHead"/>
      </w:pPr>
      <w:r w:rsidRPr="00583E1A">
        <w:lastRenderedPageBreak/>
        <w:t>Forex realisation loss</w:t>
      </w:r>
    </w:p>
    <w:p w:rsidR="00887330" w:rsidRPr="00583E1A" w:rsidRDefault="00887330" w:rsidP="00887330">
      <w:pPr>
        <w:pStyle w:val="subsection"/>
      </w:pPr>
      <w:r w:rsidRPr="00583E1A">
        <w:tab/>
        <w:t>(5)</w:t>
      </w:r>
      <w:r w:rsidRPr="00583E1A">
        <w:tab/>
        <w:t xml:space="preserve">You make a </w:t>
      </w:r>
      <w:r w:rsidRPr="00583E1A">
        <w:rPr>
          <w:b/>
          <w:i/>
        </w:rPr>
        <w:t>forex realisation loss</w:t>
      </w:r>
      <w:r w:rsidRPr="00583E1A">
        <w:t xml:space="preserve"> if:</w:t>
      </w:r>
    </w:p>
    <w:p w:rsidR="00887330" w:rsidRPr="00583E1A" w:rsidRDefault="00887330" w:rsidP="00887330">
      <w:pPr>
        <w:pStyle w:val="paragraph"/>
      </w:pPr>
      <w:r w:rsidRPr="00583E1A">
        <w:tab/>
        <w:t>(a)</w:t>
      </w:r>
      <w:r w:rsidRPr="00583E1A">
        <w:tab/>
        <w:t>the amount you receive in respect of the event happening falls short of the net costs of assuming the obligation or the part of the obligation (the net costs are worked out as at the tax recognition time); and</w:t>
      </w:r>
    </w:p>
    <w:p w:rsidR="00887330" w:rsidRPr="00583E1A" w:rsidRDefault="00887330" w:rsidP="00887330">
      <w:pPr>
        <w:pStyle w:val="paragraph"/>
      </w:pPr>
      <w:r w:rsidRPr="00583E1A">
        <w:tab/>
        <w:t>(b)</w:t>
      </w:r>
      <w:r w:rsidRPr="00583E1A">
        <w:tab/>
        <w:t xml:space="preserve">some or all of the shortfall is attributable to a </w:t>
      </w:r>
      <w:r w:rsidR="00583E1A" w:rsidRPr="00583E1A">
        <w:rPr>
          <w:position w:val="6"/>
          <w:sz w:val="16"/>
        </w:rPr>
        <w:t>*</w:t>
      </w:r>
      <w:r w:rsidRPr="00583E1A">
        <w:t>currency exchange rate effect.</w:t>
      </w:r>
    </w:p>
    <w:p w:rsidR="00887330" w:rsidRPr="00583E1A" w:rsidRDefault="00887330" w:rsidP="00887330">
      <w:pPr>
        <w:pStyle w:val="subsection2"/>
      </w:pPr>
      <w:r w:rsidRPr="00583E1A">
        <w:t xml:space="preserve">The amount of the </w:t>
      </w:r>
      <w:r w:rsidRPr="00583E1A">
        <w:rPr>
          <w:b/>
          <w:i/>
        </w:rPr>
        <w:t>forex realisation loss</w:t>
      </w:r>
      <w:r w:rsidRPr="00583E1A">
        <w:t xml:space="preserve"> is so much of the shortfall as is attributable to a currency exchange rate effect.</w:t>
      </w:r>
    </w:p>
    <w:p w:rsidR="00887330" w:rsidRPr="00583E1A" w:rsidRDefault="00887330" w:rsidP="00887330">
      <w:pPr>
        <w:pStyle w:val="notetext"/>
      </w:pPr>
      <w:r w:rsidRPr="00583E1A">
        <w:t>Note 1:</w:t>
      </w:r>
      <w:r w:rsidRPr="00583E1A">
        <w:tab/>
        <w:t xml:space="preserve">For </w:t>
      </w:r>
      <w:r w:rsidRPr="00583E1A">
        <w:rPr>
          <w:b/>
          <w:i/>
        </w:rPr>
        <w:t>net costs of assuming the obligation</w:t>
      </w:r>
      <w:r w:rsidRPr="00583E1A">
        <w:t>, see section</w:t>
      </w:r>
      <w:r w:rsidR="00583E1A">
        <w:t> </w:t>
      </w:r>
      <w:r w:rsidRPr="00583E1A">
        <w:t>775</w:t>
      </w:r>
      <w:r w:rsidR="00583E1A">
        <w:noBreakHyphen/>
      </w:r>
      <w:r w:rsidRPr="00583E1A">
        <w:t>100.</w:t>
      </w:r>
    </w:p>
    <w:p w:rsidR="00887330" w:rsidRPr="00583E1A" w:rsidRDefault="00887330" w:rsidP="00887330">
      <w:pPr>
        <w:pStyle w:val="notetext"/>
      </w:pPr>
      <w:r w:rsidRPr="00583E1A">
        <w:t>Note 2:</w:t>
      </w:r>
      <w:r w:rsidRPr="00583E1A">
        <w:tab/>
        <w:t xml:space="preserve">For </w:t>
      </w:r>
      <w:r w:rsidRPr="00583E1A">
        <w:rPr>
          <w:b/>
          <w:i/>
        </w:rPr>
        <w:t>tax recognition time</w:t>
      </w:r>
      <w:r w:rsidRPr="00583E1A">
        <w:t xml:space="preserve">, see </w:t>
      </w:r>
      <w:r w:rsidR="00583E1A">
        <w:t>subsection (</w:t>
      </w:r>
      <w:r w:rsidRPr="00583E1A">
        <w:t>7).</w:t>
      </w:r>
    </w:p>
    <w:p w:rsidR="00887330" w:rsidRPr="00583E1A" w:rsidRDefault="00887330" w:rsidP="00887330">
      <w:pPr>
        <w:pStyle w:val="notetext"/>
      </w:pPr>
      <w:r w:rsidRPr="00583E1A">
        <w:t>Note 3:</w:t>
      </w:r>
      <w:r w:rsidRPr="00583E1A">
        <w:tab/>
        <w:t xml:space="preserve">For </w:t>
      </w:r>
      <w:r w:rsidRPr="00583E1A">
        <w:rPr>
          <w:b/>
          <w:i/>
        </w:rPr>
        <w:t>currency exchange rate effect</w:t>
      </w:r>
      <w:r w:rsidRPr="00583E1A">
        <w:t>, see section</w:t>
      </w:r>
      <w:r w:rsidR="00583E1A">
        <w:t> </w:t>
      </w:r>
      <w:r w:rsidRPr="00583E1A">
        <w:t>775</w:t>
      </w:r>
      <w:r w:rsidR="00583E1A">
        <w:noBreakHyphen/>
      </w:r>
      <w:r w:rsidRPr="00583E1A">
        <w:t>105.</w:t>
      </w:r>
    </w:p>
    <w:p w:rsidR="00887330" w:rsidRPr="00583E1A" w:rsidRDefault="00887330" w:rsidP="00887330">
      <w:pPr>
        <w:pStyle w:val="SubsectionHead"/>
      </w:pPr>
      <w:r w:rsidRPr="00583E1A">
        <w:t>Non</w:t>
      </w:r>
      <w:r w:rsidR="00583E1A">
        <w:noBreakHyphen/>
      </w:r>
      <w:r w:rsidRPr="00583E1A">
        <w:t>cash benefit</w:t>
      </w:r>
    </w:p>
    <w:p w:rsidR="00887330" w:rsidRPr="00583E1A" w:rsidRDefault="00887330" w:rsidP="00887330">
      <w:pPr>
        <w:pStyle w:val="subsection"/>
      </w:pPr>
      <w:r w:rsidRPr="00583E1A">
        <w:tab/>
        <w:t>(6)</w:t>
      </w:r>
      <w:r w:rsidRPr="00583E1A">
        <w:tab/>
        <w:t xml:space="preserve">The amount you receive in respect of the event happening can include a </w:t>
      </w:r>
      <w:r w:rsidR="00583E1A" w:rsidRPr="00583E1A">
        <w:rPr>
          <w:position w:val="6"/>
          <w:sz w:val="16"/>
        </w:rPr>
        <w:t>*</w:t>
      </w:r>
      <w:r w:rsidRPr="00583E1A">
        <w:t>non</w:t>
      </w:r>
      <w:r w:rsidR="00583E1A">
        <w:noBreakHyphen/>
      </w:r>
      <w:r w:rsidRPr="00583E1A">
        <w:t xml:space="preserve">cash benefit. Use the </w:t>
      </w:r>
      <w:r w:rsidR="00583E1A" w:rsidRPr="00583E1A">
        <w:rPr>
          <w:position w:val="6"/>
          <w:sz w:val="16"/>
        </w:rPr>
        <w:t>*</w:t>
      </w:r>
      <w:r w:rsidRPr="00583E1A">
        <w:t>market value of the benefit to work out the amount you receive.</w:t>
      </w:r>
    </w:p>
    <w:p w:rsidR="00887330" w:rsidRPr="00583E1A" w:rsidRDefault="00887330" w:rsidP="00887330">
      <w:pPr>
        <w:pStyle w:val="SubsectionHead"/>
      </w:pPr>
      <w:r w:rsidRPr="00583E1A">
        <w:t>Tax recognition time</w:t>
      </w:r>
    </w:p>
    <w:p w:rsidR="00887330" w:rsidRPr="00583E1A" w:rsidRDefault="00887330" w:rsidP="00887330">
      <w:pPr>
        <w:pStyle w:val="subsection"/>
      </w:pPr>
      <w:r w:rsidRPr="00583E1A">
        <w:tab/>
        <w:t>(7)</w:t>
      </w:r>
      <w:r w:rsidRPr="00583E1A">
        <w:tab/>
        <w:t xml:space="preserve">For the purposes of this section, the </w:t>
      </w:r>
      <w:r w:rsidRPr="00583E1A">
        <w:rPr>
          <w:b/>
          <w:i/>
        </w:rPr>
        <w:t>tax recognition time</w:t>
      </w:r>
      <w:r w:rsidRPr="00583E1A">
        <w:t xml:space="preserve"> is the time when you received an amount in respect of the event happening.</w:t>
      </w:r>
    </w:p>
    <w:p w:rsidR="00887330" w:rsidRPr="00583E1A" w:rsidRDefault="00887330" w:rsidP="00887330">
      <w:pPr>
        <w:pStyle w:val="SubsectionHead"/>
      </w:pPr>
      <w:r w:rsidRPr="00583E1A">
        <w:t>Right to pay Australian currency</w:t>
      </w:r>
    </w:p>
    <w:p w:rsidR="00887330" w:rsidRPr="00583E1A" w:rsidRDefault="00887330" w:rsidP="00887330">
      <w:pPr>
        <w:pStyle w:val="subsection"/>
      </w:pPr>
      <w:r w:rsidRPr="00583E1A">
        <w:tab/>
        <w:t>(8)</w:t>
      </w:r>
      <w:r w:rsidRPr="00583E1A">
        <w:tab/>
        <w:t xml:space="preserve">To avoid doubt, for the purposes of this section, a </w:t>
      </w:r>
      <w:r w:rsidRPr="00583E1A">
        <w:rPr>
          <w:b/>
          <w:i/>
        </w:rPr>
        <w:t>right to pay</w:t>
      </w:r>
      <w:r w:rsidRPr="00583E1A">
        <w:rPr>
          <w:b/>
        </w:rPr>
        <w:t xml:space="preserve"> </w:t>
      </w:r>
      <w:r w:rsidRPr="00583E1A">
        <w:rPr>
          <w:b/>
          <w:i/>
        </w:rPr>
        <w:t>Australian</w:t>
      </w:r>
      <w:r w:rsidRPr="00583E1A">
        <w:t xml:space="preserve"> </w:t>
      </w:r>
      <w:r w:rsidRPr="00583E1A">
        <w:rPr>
          <w:b/>
          <w:i/>
        </w:rPr>
        <w:t>currency</w:t>
      </w:r>
      <w:r w:rsidRPr="00583E1A">
        <w:t xml:space="preserve"> includes a right to pay Australian currency, where the right is subject to a contingency.</w:t>
      </w:r>
    </w:p>
    <w:p w:rsidR="00887330" w:rsidRPr="00583E1A" w:rsidRDefault="00887330" w:rsidP="00887330">
      <w:pPr>
        <w:pStyle w:val="ActHead5"/>
      </w:pPr>
      <w:bookmarkStart w:id="76" w:name="_Toc338939150"/>
      <w:r w:rsidRPr="00583E1A">
        <w:rPr>
          <w:rStyle w:val="CharSectno"/>
        </w:rPr>
        <w:t>775</w:t>
      </w:r>
      <w:r w:rsidR="00583E1A">
        <w:rPr>
          <w:rStyle w:val="CharSectno"/>
        </w:rPr>
        <w:noBreakHyphen/>
      </w:r>
      <w:r w:rsidRPr="00583E1A">
        <w:rPr>
          <w:rStyle w:val="CharSectno"/>
        </w:rPr>
        <w:t>55</w:t>
      </w:r>
      <w:r w:rsidRPr="00583E1A">
        <w:t xml:space="preserve">  Ceasing to have an obligation to pay foreign currency—forex realisation event 4</w:t>
      </w:r>
      <w:bookmarkEnd w:id="76"/>
    </w:p>
    <w:p w:rsidR="00887330" w:rsidRPr="00583E1A" w:rsidRDefault="00887330" w:rsidP="00887330">
      <w:pPr>
        <w:pStyle w:val="SubsectionHead"/>
      </w:pPr>
      <w:r w:rsidRPr="00583E1A">
        <w:t>Forex realisation event 4</w:t>
      </w:r>
    </w:p>
    <w:p w:rsidR="00887330" w:rsidRPr="00583E1A" w:rsidRDefault="00887330" w:rsidP="00887330">
      <w:pPr>
        <w:pStyle w:val="subsection"/>
      </w:pPr>
      <w:r w:rsidRPr="00583E1A">
        <w:tab/>
        <w:t>(1)</w:t>
      </w:r>
      <w:r w:rsidRPr="00583E1A">
        <w:tab/>
      </w:r>
      <w:r w:rsidRPr="00583E1A">
        <w:rPr>
          <w:b/>
          <w:i/>
        </w:rPr>
        <w:t>Forex realisation event 4</w:t>
      </w:r>
      <w:r w:rsidRPr="00583E1A">
        <w:t xml:space="preserve"> happens if:</w:t>
      </w:r>
    </w:p>
    <w:p w:rsidR="00887330" w:rsidRPr="00583E1A" w:rsidRDefault="00887330" w:rsidP="00887330">
      <w:pPr>
        <w:pStyle w:val="paragraph"/>
      </w:pPr>
      <w:r w:rsidRPr="00583E1A">
        <w:lastRenderedPageBreak/>
        <w:tab/>
        <w:t>(a)</w:t>
      </w:r>
      <w:r w:rsidRPr="00583E1A">
        <w:tab/>
        <w:t xml:space="preserve">you cease to have an obligation, or a part of an obligation, to pay </w:t>
      </w:r>
      <w:r w:rsidR="00583E1A" w:rsidRPr="00583E1A">
        <w:rPr>
          <w:position w:val="6"/>
          <w:sz w:val="16"/>
        </w:rPr>
        <w:t>*</w:t>
      </w:r>
      <w:r w:rsidRPr="00583E1A">
        <w:t>foreign currency; and</w:t>
      </w:r>
    </w:p>
    <w:p w:rsidR="00887330" w:rsidRPr="00583E1A" w:rsidRDefault="00887330" w:rsidP="00887330">
      <w:pPr>
        <w:pStyle w:val="paragraph"/>
      </w:pPr>
      <w:r w:rsidRPr="00583E1A">
        <w:tab/>
        <w:t>(b)</w:t>
      </w:r>
      <w:r w:rsidRPr="00583E1A">
        <w:tab/>
        <w:t>any of the following applies:</w:t>
      </w:r>
    </w:p>
    <w:p w:rsidR="00887330" w:rsidRPr="00583E1A" w:rsidRDefault="00887330" w:rsidP="00887330">
      <w:pPr>
        <w:pStyle w:val="paragraphsub"/>
      </w:pPr>
      <w:r w:rsidRPr="00583E1A">
        <w:tab/>
        <w:t>(i)</w:t>
      </w:r>
      <w:r w:rsidRPr="00583E1A">
        <w:tab/>
        <w:t>the obligation, or the part of the obligation, is an expense or outgoing that you deduct;</w:t>
      </w:r>
    </w:p>
    <w:p w:rsidR="00887330" w:rsidRPr="00583E1A" w:rsidRDefault="00887330" w:rsidP="00887330">
      <w:pPr>
        <w:pStyle w:val="paragraphsub"/>
      </w:pPr>
      <w:r w:rsidRPr="00583E1A">
        <w:tab/>
        <w:t>(ii)</w:t>
      </w:r>
      <w:r w:rsidRPr="00583E1A">
        <w:tab/>
        <w:t>the obligation, or the part of the obligation, is an element in the calculation of a net amount included in your assessable income (other than under this Division or Division</w:t>
      </w:r>
      <w:r w:rsidR="00583E1A">
        <w:t> </w:t>
      </w:r>
      <w:r w:rsidRPr="00583E1A">
        <w:t>102 of this Act or Division</w:t>
      </w:r>
      <w:r w:rsidR="00583E1A">
        <w:t> </w:t>
      </w:r>
      <w:r w:rsidRPr="00583E1A">
        <w:t>5 or 6 of Part</w:t>
      </w:r>
      <w:r w:rsidR="00583E1A">
        <w:t> </w:t>
      </w:r>
      <w:r w:rsidRPr="00583E1A">
        <w:t xml:space="preserve">III of the </w:t>
      </w:r>
      <w:r w:rsidRPr="00583E1A">
        <w:rPr>
          <w:i/>
        </w:rPr>
        <w:t>Income Tax Assessment Act 1936</w:t>
      </w:r>
      <w:r w:rsidRPr="00583E1A">
        <w:t>);</w:t>
      </w:r>
    </w:p>
    <w:p w:rsidR="00887330" w:rsidRPr="00583E1A" w:rsidRDefault="00887330" w:rsidP="00887330">
      <w:pPr>
        <w:pStyle w:val="paragraphsub"/>
      </w:pPr>
      <w:r w:rsidRPr="00583E1A">
        <w:tab/>
        <w:t>(iii)</w:t>
      </w:r>
      <w:r w:rsidRPr="00583E1A">
        <w:tab/>
        <w:t>the obligation, or the part of the obligation, is an element in the calculation of a net amount that is deductible (other than under Division</w:t>
      </w:r>
      <w:r w:rsidR="00583E1A">
        <w:t> </w:t>
      </w:r>
      <w:r w:rsidRPr="00583E1A">
        <w:t>5 of Part</w:t>
      </w:r>
      <w:r w:rsidR="00583E1A">
        <w:t> </w:t>
      </w:r>
      <w:r w:rsidRPr="00583E1A">
        <w:t xml:space="preserve">III of the </w:t>
      </w:r>
      <w:r w:rsidRPr="00583E1A">
        <w:rPr>
          <w:i/>
        </w:rPr>
        <w:t>Income Tax Assessment Act 1936</w:t>
      </w:r>
      <w:r w:rsidRPr="00583E1A">
        <w:t>);</w:t>
      </w:r>
    </w:p>
    <w:p w:rsidR="00887330" w:rsidRPr="00583E1A" w:rsidRDefault="00887330" w:rsidP="00887330">
      <w:pPr>
        <w:pStyle w:val="paragraphsub"/>
      </w:pPr>
      <w:r w:rsidRPr="00583E1A">
        <w:tab/>
        <w:t>(iv)</w:t>
      </w:r>
      <w:r w:rsidRPr="00583E1A">
        <w:tab/>
        <w:t xml:space="preserve">you incurred the obligation, or the part of the obligation, in return for the acquisition of a </w:t>
      </w:r>
      <w:r w:rsidR="00583E1A" w:rsidRPr="00583E1A">
        <w:rPr>
          <w:position w:val="6"/>
          <w:sz w:val="16"/>
        </w:rPr>
        <w:t>*</w:t>
      </w:r>
      <w:r w:rsidRPr="00583E1A">
        <w:t>CGT asset;</w:t>
      </w:r>
    </w:p>
    <w:p w:rsidR="00887330" w:rsidRPr="00583E1A" w:rsidRDefault="00887330" w:rsidP="00887330">
      <w:pPr>
        <w:pStyle w:val="paragraphsub"/>
      </w:pPr>
      <w:r w:rsidRPr="00583E1A">
        <w:tab/>
        <w:t>(v)</w:t>
      </w:r>
      <w:r w:rsidRPr="00583E1A">
        <w:tab/>
        <w:t xml:space="preserve">you incurred the obligation, or the part of the obligation, as the second, third, fourth or fifth element of the </w:t>
      </w:r>
      <w:r w:rsidR="00583E1A" w:rsidRPr="00583E1A">
        <w:rPr>
          <w:position w:val="6"/>
          <w:sz w:val="16"/>
        </w:rPr>
        <w:t>*</w:t>
      </w:r>
      <w:r w:rsidRPr="00583E1A">
        <w:t>cost base of a CGT asset;</w:t>
      </w:r>
    </w:p>
    <w:p w:rsidR="00887330" w:rsidRPr="00583E1A" w:rsidRDefault="00887330" w:rsidP="00887330">
      <w:pPr>
        <w:pStyle w:val="paragraphsub"/>
      </w:pPr>
      <w:r w:rsidRPr="00583E1A">
        <w:tab/>
        <w:t>(vi)</w:t>
      </w:r>
      <w:r w:rsidRPr="00583E1A">
        <w:tab/>
        <w:t xml:space="preserve">you incurred the obligation, or the part of the obligation, in return for your starting to hold a </w:t>
      </w:r>
      <w:r w:rsidR="00583E1A" w:rsidRPr="00583E1A">
        <w:rPr>
          <w:position w:val="6"/>
          <w:sz w:val="16"/>
        </w:rPr>
        <w:t>*</w:t>
      </w:r>
      <w:r w:rsidRPr="00583E1A">
        <w:t>depreciating asset, and you deduct an amount under Division</w:t>
      </w:r>
      <w:r w:rsidR="00583E1A">
        <w:t> </w:t>
      </w:r>
      <w:r w:rsidRPr="00583E1A">
        <w:t>40 or 328 for the depreciating asset;</w:t>
      </w:r>
    </w:p>
    <w:p w:rsidR="00887330" w:rsidRPr="00583E1A" w:rsidRDefault="00887330" w:rsidP="00887330">
      <w:pPr>
        <w:pStyle w:val="paragraphsub"/>
      </w:pPr>
      <w:r w:rsidRPr="00583E1A">
        <w:tab/>
        <w:t>(vii)</w:t>
      </w:r>
      <w:r w:rsidRPr="00583E1A">
        <w:tab/>
        <w:t xml:space="preserve">you incurred the obligation, or the part of the obligation, as the second element of the </w:t>
      </w:r>
      <w:r w:rsidR="00583E1A" w:rsidRPr="00583E1A">
        <w:rPr>
          <w:position w:val="6"/>
          <w:sz w:val="16"/>
        </w:rPr>
        <w:t>*</w:t>
      </w:r>
      <w:r w:rsidRPr="00583E1A">
        <w:t>cost of a depreciating asset, and you deduct an amount under Division</w:t>
      </w:r>
      <w:r w:rsidR="00583E1A">
        <w:t> </w:t>
      </w:r>
      <w:r w:rsidRPr="00583E1A">
        <w:t>40 or 328 for the depreciating asset;</w:t>
      </w:r>
    </w:p>
    <w:p w:rsidR="00887330" w:rsidRPr="00583E1A" w:rsidRDefault="00887330" w:rsidP="00887330">
      <w:pPr>
        <w:pStyle w:val="paragraphsub"/>
      </w:pPr>
      <w:r w:rsidRPr="00583E1A">
        <w:tab/>
        <w:t>(viii)</w:t>
      </w:r>
      <w:r w:rsidRPr="00583E1A">
        <w:tab/>
        <w:t xml:space="preserve">you incurred the obligation, or the part of the obligation, as a </w:t>
      </w:r>
      <w:r w:rsidR="00583E1A" w:rsidRPr="00583E1A">
        <w:rPr>
          <w:position w:val="6"/>
          <w:sz w:val="16"/>
        </w:rPr>
        <w:t>*</w:t>
      </w:r>
      <w:r w:rsidRPr="00583E1A">
        <w:t>project amount;</w:t>
      </w:r>
    </w:p>
    <w:p w:rsidR="00887330" w:rsidRPr="00583E1A" w:rsidRDefault="00887330" w:rsidP="00887330">
      <w:pPr>
        <w:pStyle w:val="paragraphsub"/>
      </w:pPr>
      <w:r w:rsidRPr="00583E1A">
        <w:tab/>
        <w:t>(ix)</w:t>
      </w:r>
      <w:r w:rsidRPr="00583E1A">
        <w:tab/>
        <w:t>you incurred the obligation, or the part of the obligation, in return for receiving an amount of Australian currency or foreign currency;</w:t>
      </w:r>
    </w:p>
    <w:p w:rsidR="00887330" w:rsidRPr="00583E1A" w:rsidRDefault="00887330" w:rsidP="00887330">
      <w:pPr>
        <w:pStyle w:val="paragraphsub"/>
      </w:pPr>
      <w:r w:rsidRPr="00583E1A">
        <w:tab/>
        <w:t>(x)</w:t>
      </w:r>
      <w:r w:rsidRPr="00583E1A">
        <w:tab/>
        <w:t>you incurred the obligation, or the part of the obligation, in return for the creation or acquisition of a right to receive an amount of Australian currency or foreign currency</w:t>
      </w:r>
      <w:r w:rsidR="006223C5" w:rsidRPr="005F1CAE">
        <w:t>;</w:t>
      </w:r>
    </w:p>
    <w:p w:rsidR="006223C5" w:rsidRPr="005F1CAE" w:rsidRDefault="006223C5" w:rsidP="006223C5">
      <w:pPr>
        <w:pStyle w:val="paragraphsub"/>
      </w:pPr>
      <w:r w:rsidRPr="005F1CAE">
        <w:tab/>
        <w:t>(xi)</w:t>
      </w:r>
      <w:r w:rsidRPr="005F1CAE">
        <w:tab/>
        <w:t>the obligation, or the part of the obligation, is under an option to buy foreign currency.</w:t>
      </w:r>
    </w:p>
    <w:p w:rsidR="00887330" w:rsidRPr="00583E1A" w:rsidRDefault="00887330" w:rsidP="00887330">
      <w:pPr>
        <w:pStyle w:val="notetext"/>
      </w:pPr>
      <w:r w:rsidRPr="00583E1A">
        <w:lastRenderedPageBreak/>
        <w:t>Note:</w:t>
      </w:r>
      <w:r w:rsidRPr="00583E1A">
        <w:tab/>
        <w:t xml:space="preserve">For extended meaning of </w:t>
      </w:r>
      <w:r w:rsidRPr="00583E1A">
        <w:rPr>
          <w:b/>
          <w:i/>
        </w:rPr>
        <w:t>obligation to pay</w:t>
      </w:r>
      <w:r w:rsidRPr="00583E1A">
        <w:t xml:space="preserve"> </w:t>
      </w:r>
      <w:r w:rsidRPr="00583E1A">
        <w:rPr>
          <w:b/>
          <w:i/>
        </w:rPr>
        <w:t>foreign currency</w:t>
      </w:r>
      <w:r w:rsidRPr="00583E1A">
        <w:t>, see section</w:t>
      </w:r>
      <w:r w:rsidR="00583E1A">
        <w:t> </w:t>
      </w:r>
      <w:r w:rsidRPr="00583E1A">
        <w:t>775</w:t>
      </w:r>
      <w:r w:rsidR="00583E1A">
        <w:noBreakHyphen/>
      </w:r>
      <w:r w:rsidRPr="00583E1A">
        <w:t>140.</w:t>
      </w:r>
    </w:p>
    <w:p w:rsidR="00887330" w:rsidRPr="00583E1A" w:rsidRDefault="00887330" w:rsidP="00887330">
      <w:pPr>
        <w:pStyle w:val="SubsectionHead"/>
      </w:pPr>
      <w:r w:rsidRPr="00583E1A">
        <w:t>Time of event</w:t>
      </w:r>
    </w:p>
    <w:p w:rsidR="00887330" w:rsidRPr="00583E1A" w:rsidRDefault="00887330" w:rsidP="00887330">
      <w:pPr>
        <w:pStyle w:val="subsection"/>
      </w:pPr>
      <w:r w:rsidRPr="00583E1A">
        <w:tab/>
        <w:t>(2)</w:t>
      </w:r>
      <w:r w:rsidRPr="00583E1A">
        <w:tab/>
        <w:t>The time of the event is when you cease to have the obligation or the part of the obligation.</w:t>
      </w:r>
    </w:p>
    <w:p w:rsidR="00887330" w:rsidRPr="00583E1A" w:rsidRDefault="00887330" w:rsidP="00887330">
      <w:pPr>
        <w:pStyle w:val="SubsectionHead"/>
      </w:pPr>
      <w:r w:rsidRPr="00583E1A">
        <w:t>Forex realisation gain</w:t>
      </w:r>
    </w:p>
    <w:p w:rsidR="00887330" w:rsidRPr="00583E1A" w:rsidRDefault="00887330" w:rsidP="00887330">
      <w:pPr>
        <w:pStyle w:val="subsection"/>
      </w:pPr>
      <w:r w:rsidRPr="00583E1A">
        <w:tab/>
        <w:t>(3)</w:t>
      </w:r>
      <w:r w:rsidRPr="00583E1A">
        <w:tab/>
        <w:t xml:space="preserve">You make a </w:t>
      </w:r>
      <w:r w:rsidRPr="00583E1A">
        <w:rPr>
          <w:b/>
          <w:i/>
        </w:rPr>
        <w:t>forex realisation gain</w:t>
      </w:r>
      <w:r w:rsidRPr="00583E1A">
        <w:t xml:space="preserve"> if:</w:t>
      </w:r>
    </w:p>
    <w:p w:rsidR="00887330" w:rsidRPr="00583E1A" w:rsidRDefault="00887330" w:rsidP="00887330">
      <w:pPr>
        <w:pStyle w:val="paragraph"/>
      </w:pPr>
      <w:r w:rsidRPr="00583E1A">
        <w:tab/>
        <w:t>(a)</w:t>
      </w:r>
      <w:r w:rsidRPr="00583E1A">
        <w:tab/>
        <w:t>the amount you paid in respect of the event happening falls short of the proceeds of assuming the obligation or the part of the obligation (the proceeds are worked out as at the tax recognition time); and</w:t>
      </w:r>
    </w:p>
    <w:p w:rsidR="00887330" w:rsidRPr="00583E1A" w:rsidRDefault="00887330" w:rsidP="00887330">
      <w:pPr>
        <w:pStyle w:val="paragraph"/>
      </w:pPr>
      <w:r w:rsidRPr="00583E1A">
        <w:tab/>
        <w:t>(b)</w:t>
      </w:r>
      <w:r w:rsidRPr="00583E1A">
        <w:tab/>
        <w:t xml:space="preserve">some or all of the shortfall is attributable to a </w:t>
      </w:r>
      <w:r w:rsidR="00583E1A" w:rsidRPr="00583E1A">
        <w:rPr>
          <w:position w:val="6"/>
          <w:sz w:val="16"/>
        </w:rPr>
        <w:t>*</w:t>
      </w:r>
      <w:r w:rsidRPr="00583E1A">
        <w:t>currency exchange rate effect.</w:t>
      </w:r>
    </w:p>
    <w:p w:rsidR="00887330" w:rsidRPr="00583E1A" w:rsidRDefault="00887330" w:rsidP="00887330">
      <w:pPr>
        <w:pStyle w:val="subsection2"/>
      </w:pPr>
      <w:r w:rsidRPr="00583E1A">
        <w:t xml:space="preserve">The amount of the </w:t>
      </w:r>
      <w:r w:rsidRPr="00583E1A">
        <w:rPr>
          <w:b/>
          <w:i/>
        </w:rPr>
        <w:t>forex realisation gain</w:t>
      </w:r>
      <w:r w:rsidRPr="00583E1A">
        <w:t xml:space="preserve"> is so much of the shortfall as is attributable to a currency exchange rate effect.</w:t>
      </w:r>
    </w:p>
    <w:p w:rsidR="00887330" w:rsidRPr="00583E1A" w:rsidRDefault="00887330" w:rsidP="00887330">
      <w:pPr>
        <w:pStyle w:val="notetext"/>
      </w:pPr>
      <w:r w:rsidRPr="00583E1A">
        <w:t>Note 1:</w:t>
      </w:r>
      <w:r w:rsidRPr="00583E1A">
        <w:tab/>
        <w:t xml:space="preserve">For </w:t>
      </w:r>
      <w:r w:rsidRPr="00583E1A">
        <w:rPr>
          <w:b/>
          <w:i/>
        </w:rPr>
        <w:t>proceeds of assuming the obligation</w:t>
      </w:r>
      <w:r w:rsidRPr="00583E1A">
        <w:t>, see section</w:t>
      </w:r>
      <w:r w:rsidR="00583E1A">
        <w:t> </w:t>
      </w:r>
      <w:r w:rsidRPr="00583E1A">
        <w:t>775</w:t>
      </w:r>
      <w:r w:rsidR="00583E1A">
        <w:noBreakHyphen/>
      </w:r>
      <w:r w:rsidRPr="00583E1A">
        <w:t>95.</w:t>
      </w:r>
    </w:p>
    <w:p w:rsidR="00887330" w:rsidRPr="00583E1A" w:rsidRDefault="00887330" w:rsidP="00887330">
      <w:pPr>
        <w:pStyle w:val="notetext"/>
      </w:pPr>
      <w:r w:rsidRPr="00583E1A">
        <w:t>Note 2:</w:t>
      </w:r>
      <w:r w:rsidRPr="00583E1A">
        <w:tab/>
        <w:t xml:space="preserve">For </w:t>
      </w:r>
      <w:r w:rsidRPr="00583E1A">
        <w:rPr>
          <w:b/>
          <w:i/>
        </w:rPr>
        <w:t>tax recognition time</w:t>
      </w:r>
      <w:r w:rsidRPr="00583E1A">
        <w:t xml:space="preserve">, see </w:t>
      </w:r>
      <w:r w:rsidR="00583E1A">
        <w:t>subsection (</w:t>
      </w:r>
      <w:r w:rsidRPr="00583E1A">
        <w:t>7).</w:t>
      </w:r>
    </w:p>
    <w:p w:rsidR="00887330" w:rsidRPr="00583E1A" w:rsidRDefault="00887330" w:rsidP="00887330">
      <w:pPr>
        <w:pStyle w:val="notetext"/>
      </w:pPr>
      <w:r w:rsidRPr="00583E1A">
        <w:t>Note 3:</w:t>
      </w:r>
      <w:r w:rsidRPr="00583E1A">
        <w:tab/>
        <w:t xml:space="preserve">For </w:t>
      </w:r>
      <w:r w:rsidRPr="00583E1A">
        <w:rPr>
          <w:b/>
          <w:i/>
        </w:rPr>
        <w:t>currency exchange rate effect</w:t>
      </w:r>
      <w:r w:rsidRPr="00583E1A">
        <w:t>, see section</w:t>
      </w:r>
      <w:r w:rsidR="00583E1A">
        <w:t> </w:t>
      </w:r>
      <w:r w:rsidRPr="00583E1A">
        <w:t>775</w:t>
      </w:r>
      <w:r w:rsidR="00583E1A">
        <w:noBreakHyphen/>
      </w:r>
      <w:r w:rsidRPr="00583E1A">
        <w:t>105.</w:t>
      </w:r>
    </w:p>
    <w:p w:rsidR="00887330" w:rsidRPr="00583E1A" w:rsidRDefault="00887330" w:rsidP="00887330">
      <w:pPr>
        <w:pStyle w:val="subsection"/>
      </w:pPr>
      <w:r w:rsidRPr="00583E1A">
        <w:tab/>
        <w:t>(4)</w:t>
      </w:r>
      <w:r w:rsidRPr="00583E1A">
        <w:tab/>
        <w:t xml:space="preserve">You make a </w:t>
      </w:r>
      <w:r w:rsidRPr="00583E1A">
        <w:rPr>
          <w:b/>
          <w:i/>
        </w:rPr>
        <w:t>forex realisation gain</w:t>
      </w:r>
      <w:r w:rsidRPr="00583E1A">
        <w:t xml:space="preserve"> if:</w:t>
      </w:r>
    </w:p>
    <w:p w:rsidR="00887330" w:rsidRPr="00583E1A" w:rsidRDefault="00887330" w:rsidP="00887330">
      <w:pPr>
        <w:pStyle w:val="paragraph"/>
      </w:pPr>
      <w:r w:rsidRPr="00583E1A">
        <w:tab/>
        <w:t>(a)</w:t>
      </w:r>
      <w:r w:rsidRPr="00583E1A">
        <w:tab/>
        <w:t xml:space="preserve">the event happens because an option to </w:t>
      </w:r>
      <w:r w:rsidR="007852BB" w:rsidRPr="005F1CAE">
        <w:t>buy</w:t>
      </w:r>
      <w:r w:rsidRPr="00583E1A">
        <w:t xml:space="preserve"> </w:t>
      </w:r>
      <w:r w:rsidR="00583E1A" w:rsidRPr="00583E1A">
        <w:rPr>
          <w:position w:val="6"/>
          <w:sz w:val="16"/>
        </w:rPr>
        <w:t>*</w:t>
      </w:r>
      <w:r w:rsidRPr="00583E1A">
        <w:t>foreign currency expires without having been exercised, or is cancelled, released or abandoned; and</w:t>
      </w:r>
    </w:p>
    <w:p w:rsidR="00887330" w:rsidRPr="00583E1A" w:rsidRDefault="00887330" w:rsidP="00887330">
      <w:pPr>
        <w:pStyle w:val="paragraph"/>
      </w:pPr>
      <w:r w:rsidRPr="00583E1A">
        <w:tab/>
        <w:t>(b)</w:t>
      </w:r>
      <w:r w:rsidRPr="00583E1A">
        <w:tab/>
        <w:t>if the option had been exercised immediately before the event, you would have been obliged to sell the foreign currency.</w:t>
      </w:r>
    </w:p>
    <w:p w:rsidR="00887330" w:rsidRPr="00583E1A" w:rsidRDefault="00887330" w:rsidP="00887330">
      <w:pPr>
        <w:pStyle w:val="subsection2"/>
      </w:pPr>
      <w:r w:rsidRPr="00583E1A">
        <w:t xml:space="preserve">The amount of the </w:t>
      </w:r>
      <w:r w:rsidRPr="00583E1A">
        <w:rPr>
          <w:b/>
          <w:i/>
        </w:rPr>
        <w:t>forex realisation gain</w:t>
      </w:r>
      <w:r w:rsidRPr="00583E1A">
        <w:t xml:space="preserve"> is the amount you received in return for granting or assuming obligations under the option.</w:t>
      </w:r>
    </w:p>
    <w:p w:rsidR="00887330" w:rsidRPr="00583E1A" w:rsidRDefault="00887330" w:rsidP="00887330">
      <w:pPr>
        <w:pStyle w:val="SubsectionHead"/>
      </w:pPr>
      <w:r w:rsidRPr="00583E1A">
        <w:t>Forex realisation loss</w:t>
      </w:r>
    </w:p>
    <w:p w:rsidR="00887330" w:rsidRPr="00583E1A" w:rsidRDefault="00887330" w:rsidP="00887330">
      <w:pPr>
        <w:pStyle w:val="subsection"/>
      </w:pPr>
      <w:r w:rsidRPr="00583E1A">
        <w:tab/>
        <w:t>(5)</w:t>
      </w:r>
      <w:r w:rsidRPr="00583E1A">
        <w:tab/>
        <w:t xml:space="preserve">You make a </w:t>
      </w:r>
      <w:r w:rsidRPr="00583E1A">
        <w:rPr>
          <w:b/>
          <w:i/>
        </w:rPr>
        <w:t>forex realisation loss</w:t>
      </w:r>
      <w:r w:rsidRPr="00583E1A">
        <w:t xml:space="preserve"> if:</w:t>
      </w:r>
    </w:p>
    <w:p w:rsidR="00887330" w:rsidRPr="00583E1A" w:rsidRDefault="00887330" w:rsidP="00887330">
      <w:pPr>
        <w:pStyle w:val="paragraph"/>
      </w:pPr>
      <w:r w:rsidRPr="00583E1A">
        <w:tab/>
        <w:t>(a)</w:t>
      </w:r>
      <w:r w:rsidRPr="00583E1A">
        <w:tab/>
        <w:t xml:space="preserve">the amount you paid in respect of the event happening exceeds the proceeds of assuming the obligation or the part </w:t>
      </w:r>
      <w:r w:rsidRPr="00583E1A">
        <w:lastRenderedPageBreak/>
        <w:t>of the obligation (the proceeds are worked out as at the tax recognition time); and</w:t>
      </w:r>
    </w:p>
    <w:p w:rsidR="00887330" w:rsidRPr="00583E1A" w:rsidRDefault="00887330" w:rsidP="00887330">
      <w:pPr>
        <w:pStyle w:val="paragraph"/>
      </w:pPr>
      <w:r w:rsidRPr="00583E1A">
        <w:tab/>
        <w:t>(b)</w:t>
      </w:r>
      <w:r w:rsidRPr="00583E1A">
        <w:tab/>
        <w:t xml:space="preserve">some or all of the excess is attributable to a </w:t>
      </w:r>
      <w:r w:rsidR="00583E1A" w:rsidRPr="00583E1A">
        <w:rPr>
          <w:position w:val="6"/>
          <w:sz w:val="16"/>
        </w:rPr>
        <w:t>*</w:t>
      </w:r>
      <w:r w:rsidRPr="00583E1A">
        <w:t>currency exchange rate effect.</w:t>
      </w:r>
    </w:p>
    <w:p w:rsidR="00887330" w:rsidRPr="00583E1A" w:rsidRDefault="00887330" w:rsidP="00887330">
      <w:pPr>
        <w:pStyle w:val="subsection2"/>
      </w:pPr>
      <w:r w:rsidRPr="00583E1A">
        <w:t xml:space="preserve">The amount of the </w:t>
      </w:r>
      <w:r w:rsidRPr="00583E1A">
        <w:rPr>
          <w:b/>
          <w:i/>
        </w:rPr>
        <w:t>forex realisation loss</w:t>
      </w:r>
      <w:r w:rsidRPr="00583E1A">
        <w:t xml:space="preserve"> is so much of the excess as is attributable to a currency exchange rate effect.</w:t>
      </w:r>
    </w:p>
    <w:p w:rsidR="00887330" w:rsidRPr="00583E1A" w:rsidRDefault="00887330" w:rsidP="00887330">
      <w:pPr>
        <w:pStyle w:val="notetext"/>
      </w:pPr>
      <w:r w:rsidRPr="00583E1A">
        <w:t>Note 1:</w:t>
      </w:r>
      <w:r w:rsidRPr="00583E1A">
        <w:tab/>
        <w:t xml:space="preserve">For </w:t>
      </w:r>
      <w:r w:rsidRPr="00583E1A">
        <w:rPr>
          <w:b/>
          <w:i/>
        </w:rPr>
        <w:t>proceeds of assuming the obligation</w:t>
      </w:r>
      <w:r w:rsidRPr="00583E1A">
        <w:t>, see section</w:t>
      </w:r>
      <w:r w:rsidR="00583E1A">
        <w:t> </w:t>
      </w:r>
      <w:r w:rsidRPr="00583E1A">
        <w:t>775</w:t>
      </w:r>
      <w:r w:rsidR="00583E1A">
        <w:noBreakHyphen/>
      </w:r>
      <w:r w:rsidRPr="00583E1A">
        <w:t>95.</w:t>
      </w:r>
    </w:p>
    <w:p w:rsidR="00887330" w:rsidRPr="00583E1A" w:rsidRDefault="00887330" w:rsidP="00887330">
      <w:pPr>
        <w:pStyle w:val="notetext"/>
      </w:pPr>
      <w:r w:rsidRPr="00583E1A">
        <w:t>Note 2:</w:t>
      </w:r>
      <w:r w:rsidRPr="00583E1A">
        <w:tab/>
        <w:t xml:space="preserve">For </w:t>
      </w:r>
      <w:r w:rsidRPr="00583E1A">
        <w:rPr>
          <w:b/>
          <w:i/>
        </w:rPr>
        <w:t>tax recognition time</w:t>
      </w:r>
      <w:r w:rsidRPr="00583E1A">
        <w:t xml:space="preserve">, see </w:t>
      </w:r>
      <w:r w:rsidR="00583E1A">
        <w:t>subsection (</w:t>
      </w:r>
      <w:r w:rsidRPr="00583E1A">
        <w:t>7).</w:t>
      </w:r>
    </w:p>
    <w:p w:rsidR="00887330" w:rsidRPr="00583E1A" w:rsidRDefault="00887330" w:rsidP="00887330">
      <w:pPr>
        <w:pStyle w:val="notetext"/>
      </w:pPr>
      <w:r w:rsidRPr="00583E1A">
        <w:t>Note 3:</w:t>
      </w:r>
      <w:r w:rsidRPr="00583E1A">
        <w:tab/>
        <w:t xml:space="preserve">For </w:t>
      </w:r>
      <w:r w:rsidRPr="00583E1A">
        <w:rPr>
          <w:b/>
          <w:i/>
        </w:rPr>
        <w:t>currency exchange rate effect</w:t>
      </w:r>
      <w:r w:rsidRPr="00583E1A">
        <w:t>, see section</w:t>
      </w:r>
      <w:r w:rsidR="00583E1A">
        <w:t> </w:t>
      </w:r>
      <w:r w:rsidRPr="00583E1A">
        <w:t>775</w:t>
      </w:r>
      <w:r w:rsidR="00583E1A">
        <w:noBreakHyphen/>
      </w:r>
      <w:r w:rsidRPr="00583E1A">
        <w:t>105.</w:t>
      </w:r>
    </w:p>
    <w:p w:rsidR="00887330" w:rsidRPr="00583E1A" w:rsidRDefault="00887330" w:rsidP="00887330">
      <w:pPr>
        <w:pStyle w:val="SubsectionHead"/>
      </w:pPr>
      <w:r w:rsidRPr="00583E1A">
        <w:t>Non</w:t>
      </w:r>
      <w:r w:rsidR="00583E1A">
        <w:noBreakHyphen/>
      </w:r>
      <w:r w:rsidRPr="00583E1A">
        <w:t>cash benefit</w:t>
      </w:r>
    </w:p>
    <w:p w:rsidR="00887330" w:rsidRPr="00583E1A" w:rsidRDefault="00887330" w:rsidP="00887330">
      <w:pPr>
        <w:pStyle w:val="subsection"/>
      </w:pPr>
      <w:r w:rsidRPr="00583E1A">
        <w:tab/>
        <w:t>(6)</w:t>
      </w:r>
      <w:r w:rsidRPr="00583E1A">
        <w:tab/>
        <w:t xml:space="preserve">The amount you paid in respect of the event happening can include a </w:t>
      </w:r>
      <w:r w:rsidR="00583E1A" w:rsidRPr="00583E1A">
        <w:rPr>
          <w:position w:val="6"/>
          <w:sz w:val="16"/>
        </w:rPr>
        <w:t>*</w:t>
      </w:r>
      <w:r w:rsidRPr="00583E1A">
        <w:t>non</w:t>
      </w:r>
      <w:r w:rsidR="00583E1A">
        <w:noBreakHyphen/>
      </w:r>
      <w:r w:rsidRPr="00583E1A">
        <w:t xml:space="preserve">cash benefit. Use the </w:t>
      </w:r>
      <w:r w:rsidR="00583E1A" w:rsidRPr="00583E1A">
        <w:rPr>
          <w:position w:val="6"/>
          <w:sz w:val="16"/>
        </w:rPr>
        <w:t>*</w:t>
      </w:r>
      <w:r w:rsidRPr="00583E1A">
        <w:t>market value of the benefit to work out the amount you paid.</w:t>
      </w:r>
    </w:p>
    <w:p w:rsidR="00887330" w:rsidRPr="00583E1A" w:rsidRDefault="00887330" w:rsidP="00887330">
      <w:pPr>
        <w:pStyle w:val="SubsectionHead"/>
      </w:pPr>
      <w:r w:rsidRPr="00583E1A">
        <w:t>Tax recognition time</w:t>
      </w:r>
    </w:p>
    <w:p w:rsidR="00887330" w:rsidRPr="00583E1A" w:rsidRDefault="00887330" w:rsidP="00887330">
      <w:pPr>
        <w:pStyle w:val="subsection"/>
      </w:pPr>
      <w:r w:rsidRPr="00583E1A">
        <w:tab/>
        <w:t>(7)</w:t>
      </w:r>
      <w:r w:rsidRPr="00583E1A">
        <w:tab/>
        <w:t xml:space="preserve">For the purposes of this section, the </w:t>
      </w:r>
      <w:r w:rsidRPr="00583E1A">
        <w:rPr>
          <w:b/>
          <w:i/>
        </w:rPr>
        <w:t>tax recognition time</w:t>
      </w:r>
      <w:r w:rsidRPr="00583E1A">
        <w:t xml:space="preserve"> is worked out using the table:</w:t>
      </w:r>
    </w:p>
    <w:p w:rsidR="00887330" w:rsidRPr="00583E1A" w:rsidRDefault="00887330" w:rsidP="00887330">
      <w:pPr>
        <w:pStyle w:val="Tabletext"/>
      </w:pPr>
    </w:p>
    <w:tbl>
      <w:tblPr>
        <w:tblW w:w="0" w:type="auto"/>
        <w:tblInd w:w="108" w:type="dxa"/>
        <w:tblLayout w:type="fixed"/>
        <w:tblLook w:val="0000" w:firstRow="0" w:lastRow="0" w:firstColumn="0" w:lastColumn="0" w:noHBand="0" w:noVBand="0"/>
      </w:tblPr>
      <w:tblGrid>
        <w:gridCol w:w="709"/>
        <w:gridCol w:w="3260"/>
        <w:gridCol w:w="3119"/>
      </w:tblGrid>
      <w:tr w:rsidR="00887330" w:rsidRPr="00583E1A">
        <w:trPr>
          <w:cantSplit/>
          <w:tblHeader/>
        </w:trPr>
        <w:tc>
          <w:tcPr>
            <w:tcW w:w="7088" w:type="dxa"/>
            <w:gridSpan w:val="3"/>
            <w:tcBorders>
              <w:top w:val="single" w:sz="12" w:space="0" w:color="auto"/>
              <w:bottom w:val="single" w:sz="6" w:space="0" w:color="auto"/>
            </w:tcBorders>
            <w:shd w:val="clear" w:color="auto" w:fill="auto"/>
          </w:tcPr>
          <w:p w:rsidR="00887330" w:rsidRPr="00583E1A" w:rsidRDefault="00887330" w:rsidP="00887330">
            <w:pPr>
              <w:pStyle w:val="Tabletext"/>
              <w:keepNext/>
              <w:rPr>
                <w:b/>
              </w:rPr>
            </w:pPr>
            <w:r w:rsidRPr="00583E1A">
              <w:rPr>
                <w:b/>
              </w:rPr>
              <w:t>Tax recognition time</w:t>
            </w:r>
          </w:p>
        </w:tc>
      </w:tr>
      <w:tr w:rsidR="00887330" w:rsidRPr="00583E1A">
        <w:trPr>
          <w:cantSplit/>
          <w:tblHeader/>
        </w:trPr>
        <w:tc>
          <w:tcPr>
            <w:tcW w:w="709" w:type="dxa"/>
            <w:tcBorders>
              <w:top w:val="single" w:sz="6" w:space="0" w:color="auto"/>
              <w:bottom w:val="single" w:sz="12" w:space="0" w:color="auto"/>
            </w:tcBorders>
            <w:shd w:val="clear" w:color="auto" w:fill="auto"/>
          </w:tcPr>
          <w:p w:rsidR="00887330" w:rsidRPr="00583E1A" w:rsidRDefault="00887330" w:rsidP="00887330">
            <w:pPr>
              <w:pStyle w:val="Tabletext"/>
              <w:keepNext/>
              <w:rPr>
                <w:b/>
              </w:rPr>
            </w:pPr>
            <w:r w:rsidRPr="00583E1A">
              <w:rPr>
                <w:b/>
              </w:rPr>
              <w:t>Item</w:t>
            </w:r>
          </w:p>
        </w:tc>
        <w:tc>
          <w:tcPr>
            <w:tcW w:w="3260" w:type="dxa"/>
            <w:tcBorders>
              <w:top w:val="single" w:sz="6" w:space="0" w:color="auto"/>
              <w:bottom w:val="single" w:sz="12" w:space="0" w:color="auto"/>
            </w:tcBorders>
            <w:shd w:val="clear" w:color="auto" w:fill="auto"/>
          </w:tcPr>
          <w:p w:rsidR="00887330" w:rsidRPr="00583E1A" w:rsidRDefault="00887330" w:rsidP="00887330">
            <w:pPr>
              <w:pStyle w:val="Tabletext"/>
              <w:keepNext/>
              <w:rPr>
                <w:b/>
              </w:rPr>
            </w:pPr>
            <w:r w:rsidRPr="00583E1A">
              <w:rPr>
                <w:b/>
              </w:rPr>
              <w:t>In this case...</w:t>
            </w:r>
          </w:p>
        </w:tc>
        <w:tc>
          <w:tcPr>
            <w:tcW w:w="3119" w:type="dxa"/>
            <w:tcBorders>
              <w:top w:val="single" w:sz="6" w:space="0" w:color="auto"/>
              <w:bottom w:val="single" w:sz="12" w:space="0" w:color="auto"/>
            </w:tcBorders>
            <w:shd w:val="clear" w:color="auto" w:fill="auto"/>
          </w:tcPr>
          <w:p w:rsidR="00887330" w:rsidRPr="00583E1A" w:rsidRDefault="00887330" w:rsidP="00887330">
            <w:pPr>
              <w:pStyle w:val="Tabletext"/>
              <w:keepNext/>
              <w:rPr>
                <w:b/>
              </w:rPr>
            </w:pPr>
            <w:r w:rsidRPr="00583E1A">
              <w:rPr>
                <w:b/>
              </w:rPr>
              <w:t xml:space="preserve">the </w:t>
            </w:r>
            <w:r w:rsidRPr="00583E1A">
              <w:rPr>
                <w:b/>
                <w:i/>
              </w:rPr>
              <w:t>tax recognition time</w:t>
            </w:r>
            <w:r w:rsidRPr="00583E1A">
              <w:rPr>
                <w:b/>
              </w:rPr>
              <w:t xml:space="preserve"> is...</w:t>
            </w:r>
          </w:p>
        </w:tc>
      </w:tr>
      <w:tr w:rsidR="00887330" w:rsidRPr="00583E1A">
        <w:trPr>
          <w:cantSplit/>
        </w:trPr>
        <w:tc>
          <w:tcPr>
            <w:tcW w:w="709" w:type="dxa"/>
            <w:tcBorders>
              <w:top w:val="single" w:sz="12" w:space="0" w:color="auto"/>
              <w:bottom w:val="single" w:sz="2" w:space="0" w:color="auto"/>
            </w:tcBorders>
            <w:shd w:val="clear" w:color="auto" w:fill="auto"/>
          </w:tcPr>
          <w:p w:rsidR="00887330" w:rsidRPr="00583E1A" w:rsidRDefault="00887330" w:rsidP="00887330">
            <w:pPr>
              <w:pStyle w:val="Tabletext"/>
            </w:pPr>
            <w:r w:rsidRPr="00583E1A">
              <w:t>1</w:t>
            </w:r>
          </w:p>
        </w:tc>
        <w:tc>
          <w:tcPr>
            <w:tcW w:w="3260" w:type="dxa"/>
            <w:tcBorders>
              <w:top w:val="single" w:sz="12" w:space="0" w:color="auto"/>
              <w:bottom w:val="single" w:sz="2" w:space="0" w:color="auto"/>
            </w:tcBorders>
            <w:shd w:val="clear" w:color="auto" w:fill="auto"/>
          </w:tcPr>
          <w:p w:rsidR="00887330" w:rsidRPr="00583E1A" w:rsidRDefault="00887330" w:rsidP="00887330">
            <w:pPr>
              <w:pStyle w:val="Tablea"/>
            </w:pPr>
            <w:r w:rsidRPr="00583E1A">
              <w:t>(a) the obligation, or the part of the obligation, is an expense or outgoing that you deduct; and</w:t>
            </w:r>
          </w:p>
          <w:p w:rsidR="00887330" w:rsidRPr="00583E1A" w:rsidRDefault="00887330" w:rsidP="00887330">
            <w:pPr>
              <w:pStyle w:val="Tablea"/>
            </w:pPr>
            <w:r w:rsidRPr="00583E1A">
              <w:t>(b) the obligation, or the part of the obligation, was not incurred:</w:t>
            </w:r>
          </w:p>
          <w:p w:rsidR="00887330" w:rsidRPr="00583E1A" w:rsidRDefault="00887330" w:rsidP="00887330">
            <w:pPr>
              <w:pStyle w:val="Tablei"/>
            </w:pPr>
            <w:r w:rsidRPr="00583E1A">
              <w:t xml:space="preserve">(i) in return for the acquisition of an item of </w:t>
            </w:r>
            <w:r w:rsidR="00583E1A" w:rsidRPr="00583E1A">
              <w:rPr>
                <w:position w:val="6"/>
                <w:sz w:val="16"/>
              </w:rPr>
              <w:t>*</w:t>
            </w:r>
            <w:r w:rsidRPr="00583E1A">
              <w:t>trading stock; or</w:t>
            </w:r>
          </w:p>
          <w:p w:rsidR="00887330" w:rsidRPr="00583E1A" w:rsidRDefault="00887330" w:rsidP="00887330">
            <w:pPr>
              <w:pStyle w:val="Tablei"/>
            </w:pPr>
            <w:r w:rsidRPr="00583E1A">
              <w:t xml:space="preserve">(ii) in return for your starting to hold a </w:t>
            </w:r>
            <w:r w:rsidR="00583E1A" w:rsidRPr="00583E1A">
              <w:rPr>
                <w:position w:val="6"/>
                <w:sz w:val="16"/>
              </w:rPr>
              <w:t>*</w:t>
            </w:r>
            <w:r w:rsidRPr="00583E1A">
              <w:t>depreciating asset; and</w:t>
            </w:r>
          </w:p>
          <w:p w:rsidR="00887330" w:rsidRPr="00583E1A" w:rsidRDefault="00887330" w:rsidP="00887330">
            <w:pPr>
              <w:pStyle w:val="Tablea"/>
            </w:pPr>
            <w:r w:rsidRPr="00583E1A">
              <w:t>(c) the obligation, or the part of the obligation, was not incurred as the second element of the cost of a depreciating asset</w:t>
            </w:r>
          </w:p>
        </w:tc>
        <w:tc>
          <w:tcPr>
            <w:tcW w:w="3119" w:type="dxa"/>
            <w:tcBorders>
              <w:top w:val="single" w:sz="12" w:space="0" w:color="auto"/>
              <w:bottom w:val="single" w:sz="2" w:space="0" w:color="auto"/>
            </w:tcBorders>
            <w:shd w:val="clear" w:color="auto" w:fill="auto"/>
          </w:tcPr>
          <w:p w:rsidR="00887330" w:rsidRPr="00583E1A" w:rsidRDefault="00887330" w:rsidP="00887330">
            <w:pPr>
              <w:pStyle w:val="Tabletext"/>
            </w:pPr>
            <w:r w:rsidRPr="00583E1A">
              <w:t>the time when the expense or outgoing became deductible.</w:t>
            </w:r>
          </w:p>
        </w:tc>
      </w:tr>
      <w:tr w:rsidR="00887330" w:rsidRPr="00583E1A">
        <w:trPr>
          <w:cantSplit/>
        </w:trPr>
        <w:tc>
          <w:tcPr>
            <w:tcW w:w="709" w:type="dxa"/>
            <w:tcBorders>
              <w:top w:val="single" w:sz="2" w:space="0" w:color="auto"/>
              <w:bottom w:val="single" w:sz="2" w:space="0" w:color="auto"/>
            </w:tcBorders>
            <w:shd w:val="clear" w:color="auto" w:fill="auto"/>
          </w:tcPr>
          <w:p w:rsidR="00887330" w:rsidRPr="00583E1A" w:rsidRDefault="00887330" w:rsidP="00887330">
            <w:pPr>
              <w:pStyle w:val="Tabletext"/>
            </w:pPr>
            <w:r w:rsidRPr="00583E1A">
              <w:lastRenderedPageBreak/>
              <w:t>2</w:t>
            </w:r>
          </w:p>
        </w:tc>
        <w:tc>
          <w:tcPr>
            <w:tcW w:w="3260" w:type="dxa"/>
            <w:tcBorders>
              <w:top w:val="single" w:sz="2" w:space="0" w:color="auto"/>
              <w:bottom w:val="single" w:sz="2" w:space="0" w:color="auto"/>
            </w:tcBorders>
            <w:shd w:val="clear" w:color="auto" w:fill="auto"/>
          </w:tcPr>
          <w:p w:rsidR="00887330" w:rsidRPr="00583E1A" w:rsidRDefault="00887330" w:rsidP="00887330">
            <w:pPr>
              <w:pStyle w:val="Tablea"/>
            </w:pPr>
            <w:r w:rsidRPr="00583E1A">
              <w:t>(a) the obligation, or the part of the obligation, is an expense or outgoing that you deduct; and</w:t>
            </w:r>
          </w:p>
          <w:p w:rsidR="00887330" w:rsidRPr="00583E1A" w:rsidRDefault="00887330" w:rsidP="00887330">
            <w:pPr>
              <w:pStyle w:val="Tablea"/>
            </w:pPr>
            <w:r w:rsidRPr="00583E1A">
              <w:t xml:space="preserve">(b) the obligation, or the part of the obligation, was incurred in return for the acquisition of an item of </w:t>
            </w:r>
            <w:r w:rsidR="00583E1A" w:rsidRPr="00583E1A">
              <w:rPr>
                <w:position w:val="6"/>
                <w:sz w:val="16"/>
              </w:rPr>
              <w:t>*</w:t>
            </w:r>
            <w:r w:rsidRPr="00583E1A">
              <w:t>trading stock</w:t>
            </w:r>
          </w:p>
        </w:tc>
        <w:tc>
          <w:tcPr>
            <w:tcW w:w="3119" w:type="dxa"/>
            <w:tcBorders>
              <w:top w:val="single" w:sz="2" w:space="0" w:color="auto"/>
              <w:bottom w:val="single" w:sz="2" w:space="0" w:color="auto"/>
            </w:tcBorders>
            <w:shd w:val="clear" w:color="auto" w:fill="auto"/>
          </w:tcPr>
          <w:p w:rsidR="00887330" w:rsidRPr="00583E1A" w:rsidRDefault="00887330" w:rsidP="00887330">
            <w:pPr>
              <w:pStyle w:val="Tabletext"/>
            </w:pPr>
            <w:r w:rsidRPr="00583E1A">
              <w:t>the time when the item becomes part of your trading stock on hand.</w:t>
            </w:r>
          </w:p>
        </w:tc>
      </w:tr>
      <w:tr w:rsidR="00887330" w:rsidRPr="00583E1A">
        <w:trPr>
          <w:cantSplit/>
        </w:trPr>
        <w:tc>
          <w:tcPr>
            <w:tcW w:w="709" w:type="dxa"/>
            <w:tcBorders>
              <w:top w:val="single" w:sz="2" w:space="0" w:color="auto"/>
              <w:bottom w:val="single" w:sz="2" w:space="0" w:color="auto"/>
            </w:tcBorders>
            <w:shd w:val="clear" w:color="auto" w:fill="auto"/>
          </w:tcPr>
          <w:p w:rsidR="00887330" w:rsidRPr="00583E1A" w:rsidRDefault="00887330" w:rsidP="00887330">
            <w:pPr>
              <w:pStyle w:val="Tabletext"/>
            </w:pPr>
            <w:r w:rsidRPr="00583E1A">
              <w:t>3</w:t>
            </w:r>
          </w:p>
        </w:tc>
        <w:tc>
          <w:tcPr>
            <w:tcW w:w="3260" w:type="dxa"/>
            <w:tcBorders>
              <w:top w:val="single" w:sz="2" w:space="0" w:color="auto"/>
              <w:bottom w:val="single" w:sz="2" w:space="0" w:color="auto"/>
            </w:tcBorders>
            <w:shd w:val="clear" w:color="auto" w:fill="auto"/>
          </w:tcPr>
          <w:p w:rsidR="00887330" w:rsidRPr="00583E1A" w:rsidRDefault="00887330" w:rsidP="00887330">
            <w:pPr>
              <w:pStyle w:val="Tabletext"/>
            </w:pPr>
            <w:r w:rsidRPr="00583E1A">
              <w:t>the obligation, or the part of the obligation, is an element in the calculation of a net amount included in your assessable income (other than under this Division or Division</w:t>
            </w:r>
            <w:r w:rsidR="00583E1A">
              <w:t> </w:t>
            </w:r>
            <w:r w:rsidRPr="00583E1A">
              <w:t>102 of this Act or Division</w:t>
            </w:r>
            <w:r w:rsidR="00583E1A">
              <w:t> </w:t>
            </w:r>
            <w:r w:rsidRPr="00583E1A">
              <w:t>5 or 6 of Part</w:t>
            </w:r>
            <w:r w:rsidR="00583E1A">
              <w:t> </w:t>
            </w:r>
            <w:r w:rsidRPr="00583E1A">
              <w:t xml:space="preserve">III of the </w:t>
            </w:r>
            <w:r w:rsidRPr="00583E1A">
              <w:rPr>
                <w:i/>
              </w:rPr>
              <w:t>Income Tax Assessment Act 1936</w:t>
            </w:r>
            <w:r w:rsidRPr="00583E1A">
              <w:t>)</w:t>
            </w:r>
          </w:p>
        </w:tc>
        <w:tc>
          <w:tcPr>
            <w:tcW w:w="3119" w:type="dxa"/>
            <w:tcBorders>
              <w:top w:val="single" w:sz="2" w:space="0" w:color="auto"/>
              <w:bottom w:val="single" w:sz="2" w:space="0" w:color="auto"/>
            </w:tcBorders>
            <w:shd w:val="clear" w:color="auto" w:fill="auto"/>
          </w:tcPr>
          <w:p w:rsidR="00887330" w:rsidRPr="00583E1A" w:rsidRDefault="00887330" w:rsidP="00887330">
            <w:pPr>
              <w:pStyle w:val="Tabletext"/>
            </w:pPr>
            <w:r w:rsidRPr="00583E1A">
              <w:t>the time of the determination of the exchange rate used to translate the element for the purpose of calculating the net amount.</w:t>
            </w:r>
          </w:p>
        </w:tc>
      </w:tr>
      <w:tr w:rsidR="00887330" w:rsidRPr="00583E1A">
        <w:trPr>
          <w:cantSplit/>
        </w:trPr>
        <w:tc>
          <w:tcPr>
            <w:tcW w:w="709" w:type="dxa"/>
            <w:tcBorders>
              <w:top w:val="single" w:sz="2" w:space="0" w:color="auto"/>
              <w:bottom w:val="single" w:sz="2" w:space="0" w:color="auto"/>
            </w:tcBorders>
            <w:shd w:val="clear" w:color="auto" w:fill="auto"/>
          </w:tcPr>
          <w:p w:rsidR="00887330" w:rsidRPr="00583E1A" w:rsidRDefault="00887330" w:rsidP="00887330">
            <w:pPr>
              <w:pStyle w:val="Tabletext"/>
            </w:pPr>
            <w:r w:rsidRPr="00583E1A">
              <w:t>4</w:t>
            </w:r>
          </w:p>
        </w:tc>
        <w:tc>
          <w:tcPr>
            <w:tcW w:w="3260" w:type="dxa"/>
            <w:tcBorders>
              <w:top w:val="single" w:sz="2" w:space="0" w:color="auto"/>
              <w:bottom w:val="single" w:sz="2" w:space="0" w:color="auto"/>
            </w:tcBorders>
            <w:shd w:val="clear" w:color="auto" w:fill="auto"/>
          </w:tcPr>
          <w:p w:rsidR="00887330" w:rsidRPr="00583E1A" w:rsidRDefault="00887330" w:rsidP="00887330">
            <w:pPr>
              <w:pStyle w:val="Tabletext"/>
            </w:pPr>
            <w:r w:rsidRPr="00583E1A">
              <w:t>the obligation, or the part of the obligation, is an element in the calculation of a net amount that is deductible (other than under Division</w:t>
            </w:r>
            <w:r w:rsidR="00583E1A">
              <w:t> </w:t>
            </w:r>
            <w:r w:rsidRPr="00583E1A">
              <w:t>5 of Part</w:t>
            </w:r>
            <w:r w:rsidR="00583E1A">
              <w:t> </w:t>
            </w:r>
            <w:r w:rsidRPr="00583E1A">
              <w:t xml:space="preserve">III of the </w:t>
            </w:r>
            <w:r w:rsidRPr="00583E1A">
              <w:rPr>
                <w:i/>
              </w:rPr>
              <w:t>Income Tax Assessment Act 1936</w:t>
            </w:r>
            <w:r w:rsidRPr="00583E1A">
              <w:t>)</w:t>
            </w:r>
          </w:p>
        </w:tc>
        <w:tc>
          <w:tcPr>
            <w:tcW w:w="3119" w:type="dxa"/>
            <w:tcBorders>
              <w:top w:val="single" w:sz="2" w:space="0" w:color="auto"/>
              <w:bottom w:val="single" w:sz="2" w:space="0" w:color="auto"/>
            </w:tcBorders>
            <w:shd w:val="clear" w:color="auto" w:fill="auto"/>
          </w:tcPr>
          <w:p w:rsidR="00887330" w:rsidRPr="00583E1A" w:rsidRDefault="00887330" w:rsidP="00887330">
            <w:pPr>
              <w:pStyle w:val="Tabletext"/>
            </w:pPr>
            <w:r w:rsidRPr="00583E1A">
              <w:t>the time of the determination of the exchange rate used to translate the element for the purpose of calculating the net amount.</w:t>
            </w:r>
          </w:p>
        </w:tc>
      </w:tr>
      <w:tr w:rsidR="00887330" w:rsidRPr="00583E1A">
        <w:trPr>
          <w:cantSplit/>
        </w:trPr>
        <w:tc>
          <w:tcPr>
            <w:tcW w:w="709" w:type="dxa"/>
            <w:tcBorders>
              <w:top w:val="single" w:sz="2" w:space="0" w:color="auto"/>
              <w:bottom w:val="single" w:sz="2" w:space="0" w:color="auto"/>
            </w:tcBorders>
            <w:shd w:val="clear" w:color="auto" w:fill="auto"/>
          </w:tcPr>
          <w:p w:rsidR="00887330" w:rsidRPr="00583E1A" w:rsidRDefault="00887330" w:rsidP="00887330">
            <w:pPr>
              <w:pStyle w:val="Tabletext"/>
            </w:pPr>
            <w:r w:rsidRPr="00583E1A">
              <w:t>5</w:t>
            </w:r>
          </w:p>
        </w:tc>
        <w:tc>
          <w:tcPr>
            <w:tcW w:w="3260" w:type="dxa"/>
            <w:tcBorders>
              <w:top w:val="single" w:sz="2" w:space="0" w:color="auto"/>
              <w:bottom w:val="single" w:sz="2" w:space="0" w:color="auto"/>
            </w:tcBorders>
            <w:shd w:val="clear" w:color="auto" w:fill="auto"/>
          </w:tcPr>
          <w:p w:rsidR="00887330" w:rsidRPr="00583E1A" w:rsidRDefault="00887330" w:rsidP="00887330">
            <w:pPr>
              <w:pStyle w:val="Tablea"/>
            </w:pPr>
            <w:r w:rsidRPr="00583E1A">
              <w:t>(a) you incurred the obligation, or the part of the obligation:</w:t>
            </w:r>
          </w:p>
          <w:p w:rsidR="00887330" w:rsidRPr="00583E1A" w:rsidRDefault="00887330" w:rsidP="00887330">
            <w:pPr>
              <w:pStyle w:val="Tablei"/>
            </w:pPr>
            <w:r w:rsidRPr="00583E1A">
              <w:t xml:space="preserve">(i) in return for your starting to hold a </w:t>
            </w:r>
            <w:r w:rsidR="00583E1A" w:rsidRPr="00583E1A">
              <w:rPr>
                <w:position w:val="6"/>
                <w:sz w:val="16"/>
              </w:rPr>
              <w:t>*</w:t>
            </w:r>
            <w:r w:rsidRPr="00583E1A">
              <w:t>depreciating asset; or</w:t>
            </w:r>
          </w:p>
          <w:p w:rsidR="00887330" w:rsidRPr="00583E1A" w:rsidRDefault="00887330" w:rsidP="00887330">
            <w:pPr>
              <w:pStyle w:val="Tablei"/>
            </w:pPr>
            <w:r w:rsidRPr="00583E1A">
              <w:t>(ii) as the second element of the cost of a depreciating asset; and</w:t>
            </w:r>
          </w:p>
          <w:p w:rsidR="00887330" w:rsidRPr="00583E1A" w:rsidRDefault="00887330" w:rsidP="00887330">
            <w:pPr>
              <w:pStyle w:val="Tablea"/>
            </w:pPr>
            <w:r w:rsidRPr="00583E1A">
              <w:t>(b) you deduct an amount under Division</w:t>
            </w:r>
            <w:r w:rsidR="00583E1A">
              <w:t> </w:t>
            </w:r>
            <w:r w:rsidRPr="00583E1A">
              <w:t>40 or 328 for the depreciating asset</w:t>
            </w:r>
          </w:p>
        </w:tc>
        <w:tc>
          <w:tcPr>
            <w:tcW w:w="3119" w:type="dxa"/>
            <w:tcBorders>
              <w:top w:val="single" w:sz="2" w:space="0" w:color="auto"/>
              <w:bottom w:val="single" w:sz="2" w:space="0" w:color="auto"/>
            </w:tcBorders>
            <w:shd w:val="clear" w:color="auto" w:fill="auto"/>
          </w:tcPr>
          <w:p w:rsidR="00887330" w:rsidRPr="00583E1A" w:rsidRDefault="00887330" w:rsidP="00887330">
            <w:pPr>
              <w:pStyle w:val="Tablea"/>
            </w:pPr>
            <w:r w:rsidRPr="00583E1A">
              <w:t>(a) in the case of the acquisition of a depreciating asset—when you began to hold the depreciating asset (worked out under Division</w:t>
            </w:r>
            <w:r w:rsidR="00583E1A">
              <w:t> </w:t>
            </w:r>
            <w:r w:rsidRPr="00583E1A">
              <w:t>40); or</w:t>
            </w:r>
          </w:p>
          <w:p w:rsidR="00887330" w:rsidRPr="00583E1A" w:rsidRDefault="00887330" w:rsidP="00887330">
            <w:pPr>
              <w:pStyle w:val="Tablea"/>
            </w:pPr>
            <w:r w:rsidRPr="00583E1A">
              <w:t>(b) in the case of the second element of the cost of a depreciating asset—when you incurred the relevant expenditure.</w:t>
            </w:r>
          </w:p>
        </w:tc>
      </w:tr>
      <w:tr w:rsidR="00887330" w:rsidRPr="00583E1A">
        <w:trPr>
          <w:cantSplit/>
        </w:trPr>
        <w:tc>
          <w:tcPr>
            <w:tcW w:w="709" w:type="dxa"/>
            <w:tcBorders>
              <w:top w:val="single" w:sz="2" w:space="0" w:color="auto"/>
              <w:bottom w:val="single" w:sz="2" w:space="0" w:color="auto"/>
            </w:tcBorders>
            <w:shd w:val="clear" w:color="auto" w:fill="auto"/>
          </w:tcPr>
          <w:p w:rsidR="00887330" w:rsidRPr="00583E1A" w:rsidRDefault="00887330" w:rsidP="00887330">
            <w:pPr>
              <w:pStyle w:val="Tabletext"/>
            </w:pPr>
            <w:r w:rsidRPr="00583E1A">
              <w:t>6</w:t>
            </w:r>
          </w:p>
        </w:tc>
        <w:tc>
          <w:tcPr>
            <w:tcW w:w="3260" w:type="dxa"/>
            <w:tcBorders>
              <w:top w:val="single" w:sz="2" w:space="0" w:color="auto"/>
              <w:bottom w:val="single" w:sz="2" w:space="0" w:color="auto"/>
            </w:tcBorders>
            <w:shd w:val="clear" w:color="auto" w:fill="auto"/>
          </w:tcPr>
          <w:p w:rsidR="00887330" w:rsidRPr="00583E1A" w:rsidRDefault="00887330" w:rsidP="00887330">
            <w:pPr>
              <w:pStyle w:val="Tabletext"/>
            </w:pPr>
            <w:r w:rsidRPr="00583E1A">
              <w:t xml:space="preserve">you incurred the obligation, or the part of the obligation, as a </w:t>
            </w:r>
            <w:r w:rsidR="00583E1A" w:rsidRPr="00583E1A">
              <w:rPr>
                <w:position w:val="6"/>
                <w:sz w:val="16"/>
              </w:rPr>
              <w:t>*</w:t>
            </w:r>
            <w:r w:rsidRPr="00583E1A">
              <w:t>project amount</w:t>
            </w:r>
          </w:p>
        </w:tc>
        <w:tc>
          <w:tcPr>
            <w:tcW w:w="3119" w:type="dxa"/>
            <w:tcBorders>
              <w:top w:val="single" w:sz="2" w:space="0" w:color="auto"/>
              <w:bottom w:val="single" w:sz="2" w:space="0" w:color="auto"/>
            </w:tcBorders>
            <w:shd w:val="clear" w:color="auto" w:fill="auto"/>
          </w:tcPr>
          <w:p w:rsidR="00887330" w:rsidRPr="00583E1A" w:rsidRDefault="00887330" w:rsidP="00887330">
            <w:pPr>
              <w:pStyle w:val="Tabletext"/>
            </w:pPr>
            <w:r w:rsidRPr="00583E1A">
              <w:t>the first time when any part of the amount became deductible.</w:t>
            </w:r>
          </w:p>
        </w:tc>
      </w:tr>
      <w:tr w:rsidR="00887330" w:rsidRPr="00583E1A">
        <w:trPr>
          <w:cantSplit/>
        </w:trPr>
        <w:tc>
          <w:tcPr>
            <w:tcW w:w="709" w:type="dxa"/>
            <w:tcBorders>
              <w:top w:val="single" w:sz="2" w:space="0" w:color="auto"/>
              <w:bottom w:val="single" w:sz="2" w:space="0" w:color="auto"/>
            </w:tcBorders>
            <w:shd w:val="clear" w:color="auto" w:fill="auto"/>
          </w:tcPr>
          <w:p w:rsidR="00887330" w:rsidRPr="00583E1A" w:rsidRDefault="00887330" w:rsidP="00887330">
            <w:pPr>
              <w:pStyle w:val="Tabletext"/>
            </w:pPr>
            <w:r w:rsidRPr="00583E1A">
              <w:lastRenderedPageBreak/>
              <w:t>7</w:t>
            </w:r>
          </w:p>
        </w:tc>
        <w:tc>
          <w:tcPr>
            <w:tcW w:w="3260" w:type="dxa"/>
            <w:tcBorders>
              <w:top w:val="single" w:sz="2" w:space="0" w:color="auto"/>
              <w:bottom w:val="single" w:sz="2" w:space="0" w:color="auto"/>
            </w:tcBorders>
            <w:shd w:val="clear" w:color="auto" w:fill="auto"/>
          </w:tcPr>
          <w:p w:rsidR="00887330" w:rsidRPr="00583E1A" w:rsidRDefault="00887330" w:rsidP="00887330">
            <w:pPr>
              <w:pStyle w:val="Tabletext"/>
            </w:pPr>
            <w:r w:rsidRPr="00583E1A">
              <w:t>the obligation, or the part of the obligation, is referred to in subsection 775</w:t>
            </w:r>
            <w:r w:rsidR="00583E1A">
              <w:noBreakHyphen/>
            </w:r>
            <w:r w:rsidRPr="00583E1A">
              <w:t>165(5) (which deals with extension of loans)</w:t>
            </w:r>
          </w:p>
        </w:tc>
        <w:tc>
          <w:tcPr>
            <w:tcW w:w="3119" w:type="dxa"/>
            <w:tcBorders>
              <w:top w:val="single" w:sz="2" w:space="0" w:color="auto"/>
              <w:bottom w:val="single" w:sz="2" w:space="0" w:color="auto"/>
            </w:tcBorders>
            <w:shd w:val="clear" w:color="auto" w:fill="auto"/>
          </w:tcPr>
          <w:p w:rsidR="00887330" w:rsidRPr="00583E1A" w:rsidRDefault="00887330" w:rsidP="00887330">
            <w:pPr>
              <w:pStyle w:val="Tabletext"/>
            </w:pPr>
            <w:r w:rsidRPr="00583E1A">
              <w:t>the extension time referred to in that subsection.</w:t>
            </w:r>
          </w:p>
        </w:tc>
      </w:tr>
      <w:tr w:rsidR="00887330" w:rsidRPr="00583E1A">
        <w:trPr>
          <w:cantSplit/>
        </w:trPr>
        <w:tc>
          <w:tcPr>
            <w:tcW w:w="709" w:type="dxa"/>
            <w:tcBorders>
              <w:top w:val="single" w:sz="2" w:space="0" w:color="auto"/>
              <w:bottom w:val="single" w:sz="2" w:space="0" w:color="auto"/>
            </w:tcBorders>
            <w:shd w:val="clear" w:color="auto" w:fill="auto"/>
          </w:tcPr>
          <w:p w:rsidR="00887330" w:rsidRPr="00583E1A" w:rsidRDefault="00887330" w:rsidP="00887330">
            <w:pPr>
              <w:pStyle w:val="Tabletext"/>
            </w:pPr>
            <w:r w:rsidRPr="00583E1A">
              <w:t>8</w:t>
            </w:r>
          </w:p>
        </w:tc>
        <w:tc>
          <w:tcPr>
            <w:tcW w:w="3260" w:type="dxa"/>
            <w:tcBorders>
              <w:top w:val="single" w:sz="2" w:space="0" w:color="auto"/>
              <w:bottom w:val="single" w:sz="2" w:space="0" w:color="auto"/>
            </w:tcBorders>
            <w:shd w:val="clear" w:color="auto" w:fill="auto"/>
          </w:tcPr>
          <w:p w:rsidR="00887330" w:rsidRPr="00583E1A" w:rsidRDefault="00887330" w:rsidP="00887330">
            <w:pPr>
              <w:pStyle w:val="Tabletext"/>
            </w:pPr>
            <w:r w:rsidRPr="00583E1A">
              <w:t>you incurred the obligation, or the part of the obligation, in return for:</w:t>
            </w:r>
          </w:p>
          <w:p w:rsidR="00887330" w:rsidRPr="00583E1A" w:rsidRDefault="00887330" w:rsidP="00887330">
            <w:pPr>
              <w:pStyle w:val="Tablea"/>
            </w:pPr>
            <w:r w:rsidRPr="00583E1A">
              <w:t xml:space="preserve">(a) receiving Australian currency or </w:t>
            </w:r>
            <w:r w:rsidR="00583E1A" w:rsidRPr="00583E1A">
              <w:rPr>
                <w:position w:val="6"/>
                <w:sz w:val="16"/>
              </w:rPr>
              <w:t>*</w:t>
            </w:r>
            <w:r w:rsidRPr="00583E1A">
              <w:t>foreign currency; or</w:t>
            </w:r>
          </w:p>
          <w:p w:rsidR="00887330" w:rsidRPr="00583E1A" w:rsidRDefault="00887330" w:rsidP="00887330">
            <w:pPr>
              <w:pStyle w:val="Tablea"/>
            </w:pPr>
            <w:r w:rsidRPr="00583E1A">
              <w:t>(b) the creation or acquisition of a right to receive an amount of Australian currency or foreign currency;</w:t>
            </w:r>
          </w:p>
          <w:p w:rsidR="00887330" w:rsidRPr="00583E1A" w:rsidRDefault="00887330" w:rsidP="00887330">
            <w:pPr>
              <w:pStyle w:val="Tablea"/>
            </w:pPr>
            <w:r w:rsidRPr="00583E1A">
              <w:t>where item</w:t>
            </w:r>
            <w:r w:rsidR="00583E1A">
              <w:t> </w:t>
            </w:r>
            <w:r w:rsidRPr="00583E1A">
              <w:t>7 does not apply</w:t>
            </w:r>
          </w:p>
        </w:tc>
        <w:tc>
          <w:tcPr>
            <w:tcW w:w="3119" w:type="dxa"/>
            <w:tcBorders>
              <w:top w:val="single" w:sz="2" w:space="0" w:color="auto"/>
              <w:bottom w:val="single" w:sz="2" w:space="0" w:color="auto"/>
            </w:tcBorders>
            <w:shd w:val="clear" w:color="auto" w:fill="auto"/>
          </w:tcPr>
          <w:p w:rsidR="00887330" w:rsidRPr="00583E1A" w:rsidRDefault="00887330" w:rsidP="00887330">
            <w:pPr>
              <w:pStyle w:val="Tabletext"/>
            </w:pPr>
            <w:r w:rsidRPr="00583E1A">
              <w:t>the time when you received the currency.</w:t>
            </w:r>
          </w:p>
        </w:tc>
      </w:tr>
      <w:tr w:rsidR="00887330" w:rsidRPr="00583E1A">
        <w:trPr>
          <w:cantSplit/>
        </w:trPr>
        <w:tc>
          <w:tcPr>
            <w:tcW w:w="709" w:type="dxa"/>
            <w:tcBorders>
              <w:top w:val="single" w:sz="2" w:space="0" w:color="auto"/>
              <w:bottom w:val="single" w:sz="2" w:space="0" w:color="auto"/>
            </w:tcBorders>
            <w:shd w:val="clear" w:color="auto" w:fill="auto"/>
          </w:tcPr>
          <w:p w:rsidR="00887330" w:rsidRPr="00583E1A" w:rsidRDefault="00887330" w:rsidP="00887330">
            <w:pPr>
              <w:pStyle w:val="Tabletext"/>
            </w:pPr>
            <w:r w:rsidRPr="00583E1A">
              <w:t>9</w:t>
            </w:r>
          </w:p>
        </w:tc>
        <w:tc>
          <w:tcPr>
            <w:tcW w:w="3260" w:type="dxa"/>
            <w:tcBorders>
              <w:top w:val="single" w:sz="2" w:space="0" w:color="auto"/>
              <w:bottom w:val="single" w:sz="2" w:space="0" w:color="auto"/>
            </w:tcBorders>
            <w:shd w:val="clear" w:color="auto" w:fill="auto"/>
          </w:tcPr>
          <w:p w:rsidR="00887330" w:rsidRPr="00583E1A" w:rsidRDefault="00887330" w:rsidP="00887330">
            <w:pPr>
              <w:pStyle w:val="Tablea"/>
            </w:pPr>
            <w:r w:rsidRPr="00583E1A">
              <w:t xml:space="preserve">(a) you incurred the obligation, or the part of the obligation, in return for the acquisition of a </w:t>
            </w:r>
            <w:r w:rsidR="00583E1A" w:rsidRPr="00583E1A">
              <w:rPr>
                <w:position w:val="6"/>
                <w:sz w:val="16"/>
              </w:rPr>
              <w:t>*</w:t>
            </w:r>
            <w:r w:rsidRPr="00583E1A">
              <w:t>CGT asset; and</w:t>
            </w:r>
          </w:p>
          <w:p w:rsidR="00887330" w:rsidRPr="00583E1A" w:rsidRDefault="00887330" w:rsidP="00887330">
            <w:pPr>
              <w:pStyle w:val="Tablea"/>
            </w:pPr>
            <w:r w:rsidRPr="00583E1A">
              <w:t>(b) none of the above items apply</w:t>
            </w:r>
          </w:p>
        </w:tc>
        <w:tc>
          <w:tcPr>
            <w:tcW w:w="3119" w:type="dxa"/>
            <w:tcBorders>
              <w:top w:val="single" w:sz="2" w:space="0" w:color="auto"/>
              <w:bottom w:val="single" w:sz="2" w:space="0" w:color="auto"/>
            </w:tcBorders>
            <w:shd w:val="clear" w:color="auto" w:fill="auto"/>
          </w:tcPr>
          <w:p w:rsidR="00887330" w:rsidRPr="00583E1A" w:rsidRDefault="00887330" w:rsidP="00887330">
            <w:pPr>
              <w:pStyle w:val="Tabletext"/>
            </w:pPr>
            <w:r w:rsidRPr="00583E1A">
              <w:t>the time when you acquired the CGT asset (worked out under Division</w:t>
            </w:r>
            <w:r w:rsidR="00583E1A">
              <w:t> </w:t>
            </w:r>
            <w:r w:rsidRPr="00583E1A">
              <w:t>109).</w:t>
            </w:r>
          </w:p>
        </w:tc>
      </w:tr>
      <w:tr w:rsidR="00887330" w:rsidRPr="00583E1A">
        <w:trPr>
          <w:cantSplit/>
        </w:trPr>
        <w:tc>
          <w:tcPr>
            <w:tcW w:w="709" w:type="dxa"/>
            <w:tcBorders>
              <w:top w:val="single" w:sz="2" w:space="0" w:color="auto"/>
              <w:bottom w:val="single" w:sz="12" w:space="0" w:color="auto"/>
            </w:tcBorders>
            <w:shd w:val="clear" w:color="auto" w:fill="auto"/>
          </w:tcPr>
          <w:p w:rsidR="00887330" w:rsidRPr="00583E1A" w:rsidRDefault="00887330" w:rsidP="00887330">
            <w:pPr>
              <w:pStyle w:val="Tabletext"/>
            </w:pPr>
            <w:r w:rsidRPr="00583E1A">
              <w:t>10</w:t>
            </w:r>
          </w:p>
        </w:tc>
        <w:tc>
          <w:tcPr>
            <w:tcW w:w="3260" w:type="dxa"/>
            <w:tcBorders>
              <w:top w:val="single" w:sz="2" w:space="0" w:color="auto"/>
              <w:bottom w:val="single" w:sz="12" w:space="0" w:color="auto"/>
            </w:tcBorders>
            <w:shd w:val="clear" w:color="auto" w:fill="auto"/>
          </w:tcPr>
          <w:p w:rsidR="00887330" w:rsidRPr="00583E1A" w:rsidRDefault="00887330" w:rsidP="00887330">
            <w:pPr>
              <w:pStyle w:val="Tablea"/>
            </w:pPr>
            <w:r w:rsidRPr="00583E1A">
              <w:t xml:space="preserve">(a) you incurred the obligation, or the part of the obligation, as the second, third, fourth or fifth element of the </w:t>
            </w:r>
            <w:r w:rsidR="00583E1A" w:rsidRPr="00583E1A">
              <w:rPr>
                <w:position w:val="6"/>
                <w:sz w:val="16"/>
              </w:rPr>
              <w:t>*</w:t>
            </w:r>
            <w:r w:rsidRPr="00583E1A">
              <w:t>cost base of a CGT asset; and</w:t>
            </w:r>
          </w:p>
          <w:p w:rsidR="00887330" w:rsidRPr="00583E1A" w:rsidRDefault="00887330" w:rsidP="00887330">
            <w:pPr>
              <w:pStyle w:val="Tablea"/>
            </w:pPr>
            <w:r w:rsidRPr="00583E1A">
              <w:t>(b) none of the above items apply</w:t>
            </w:r>
          </w:p>
        </w:tc>
        <w:tc>
          <w:tcPr>
            <w:tcW w:w="3119" w:type="dxa"/>
            <w:tcBorders>
              <w:top w:val="single" w:sz="2" w:space="0" w:color="auto"/>
              <w:bottom w:val="single" w:sz="12" w:space="0" w:color="auto"/>
            </w:tcBorders>
            <w:shd w:val="clear" w:color="auto" w:fill="auto"/>
          </w:tcPr>
          <w:p w:rsidR="00887330" w:rsidRPr="00583E1A" w:rsidRDefault="00887330" w:rsidP="00887330">
            <w:pPr>
              <w:pStyle w:val="Tabletext"/>
            </w:pPr>
            <w:r w:rsidRPr="00583E1A">
              <w:t>the time of the transaction under which you incurred the obligation.</w:t>
            </w:r>
          </w:p>
        </w:tc>
      </w:tr>
    </w:tbl>
    <w:p w:rsidR="00887330" w:rsidRPr="00583E1A" w:rsidRDefault="00887330" w:rsidP="00887330">
      <w:pPr>
        <w:pStyle w:val="notetext"/>
      </w:pPr>
      <w:r w:rsidRPr="00583E1A">
        <w:t>Note 1:</w:t>
      </w:r>
      <w:r w:rsidRPr="00583E1A">
        <w:tab/>
        <w:t>Foreign currency is a CGT asset. If you acquire foreign currency as the borrower under a loan, item</w:t>
      </w:r>
      <w:r w:rsidR="00583E1A">
        <w:t> </w:t>
      </w:r>
      <w:r w:rsidRPr="00583E1A">
        <w:t>8 will apply to your obligation to repay the foreign currency borrowed under the loan.</w:t>
      </w:r>
    </w:p>
    <w:p w:rsidR="00887330" w:rsidRPr="00583E1A" w:rsidRDefault="00887330" w:rsidP="00887330">
      <w:pPr>
        <w:pStyle w:val="notetext"/>
      </w:pPr>
      <w:r w:rsidRPr="00583E1A">
        <w:t>Note 2:</w:t>
      </w:r>
      <w:r w:rsidRPr="00583E1A">
        <w:tab/>
        <w:t>If you have made a choice for roll</w:t>
      </w:r>
      <w:r w:rsidR="00583E1A">
        <w:noBreakHyphen/>
      </w:r>
      <w:r w:rsidRPr="00583E1A">
        <w:t>over relief for a facility agreement, and forex realisation event 7 (material variation of a facility agreement) happens, subsection 775</w:t>
      </w:r>
      <w:r w:rsidR="00583E1A">
        <w:noBreakHyphen/>
      </w:r>
      <w:r w:rsidRPr="00583E1A">
        <w:t>220(6) modifies the tax recognition time for an obligation under a security that was in existence under the agreement at the time of that event.</w:t>
      </w:r>
    </w:p>
    <w:p w:rsidR="00887330" w:rsidRPr="00583E1A" w:rsidRDefault="00887330" w:rsidP="00887330">
      <w:pPr>
        <w:pStyle w:val="notetext"/>
      </w:pPr>
      <w:r w:rsidRPr="00583E1A">
        <w:t>Note 3:</w:t>
      </w:r>
      <w:r w:rsidRPr="00583E1A">
        <w:tab/>
        <w:t>Subsection 775</w:t>
      </w:r>
      <w:r w:rsidR="00583E1A">
        <w:noBreakHyphen/>
      </w:r>
      <w:r w:rsidRPr="00583E1A">
        <w:t>260(2) modifies the tax recognition time if forex realisation event 4 happens in relation to a qualifying forex account that has ceased to pass the limited balance test.</w:t>
      </w:r>
    </w:p>
    <w:p w:rsidR="00887330" w:rsidRPr="00583E1A" w:rsidRDefault="00887330" w:rsidP="00887330">
      <w:pPr>
        <w:pStyle w:val="notetext"/>
      </w:pPr>
      <w:r w:rsidRPr="00583E1A">
        <w:t>Note 4:</w:t>
      </w:r>
      <w:r w:rsidRPr="00583E1A">
        <w:tab/>
        <w:t>If you have made a choice for roll</w:t>
      </w:r>
      <w:r w:rsidR="00583E1A">
        <w:noBreakHyphen/>
      </w:r>
      <w:r w:rsidRPr="00583E1A">
        <w:t xml:space="preserve">over relief for a facility agreement, a forex realisation gain or forex realisation loss you make under the </w:t>
      </w:r>
      <w:r w:rsidRPr="00583E1A">
        <w:lastRenderedPageBreak/>
        <w:t>agreement as a result of forex realisation event 4 is disregarded—see section</w:t>
      </w:r>
      <w:r w:rsidR="00583E1A">
        <w:t> </w:t>
      </w:r>
      <w:r w:rsidRPr="00583E1A">
        <w:t>775</w:t>
      </w:r>
      <w:r w:rsidR="00583E1A">
        <w:noBreakHyphen/>
      </w:r>
      <w:r w:rsidRPr="00583E1A">
        <w:t>200.</w:t>
      </w:r>
    </w:p>
    <w:p w:rsidR="00887330" w:rsidRPr="00583E1A" w:rsidRDefault="00887330" w:rsidP="00887330">
      <w:pPr>
        <w:pStyle w:val="ActHead5"/>
      </w:pPr>
      <w:bookmarkStart w:id="77" w:name="_Toc338939151"/>
      <w:r w:rsidRPr="00583E1A">
        <w:rPr>
          <w:rStyle w:val="CharSectno"/>
        </w:rPr>
        <w:t>775</w:t>
      </w:r>
      <w:r w:rsidR="00583E1A">
        <w:rPr>
          <w:rStyle w:val="CharSectno"/>
        </w:rPr>
        <w:noBreakHyphen/>
      </w:r>
      <w:r w:rsidRPr="00583E1A">
        <w:rPr>
          <w:rStyle w:val="CharSectno"/>
        </w:rPr>
        <w:t>60</w:t>
      </w:r>
      <w:r w:rsidRPr="00583E1A">
        <w:t xml:space="preserve">  Ceasing to have a right to pay foreign currency—forex realisation event 5</w:t>
      </w:r>
      <w:bookmarkEnd w:id="77"/>
    </w:p>
    <w:p w:rsidR="00887330" w:rsidRPr="00583E1A" w:rsidRDefault="00887330" w:rsidP="00887330">
      <w:pPr>
        <w:pStyle w:val="SubsectionHead"/>
      </w:pPr>
      <w:r w:rsidRPr="00583E1A">
        <w:t>Forex realisation event 5</w:t>
      </w:r>
    </w:p>
    <w:p w:rsidR="00887330" w:rsidRPr="00583E1A" w:rsidRDefault="00887330" w:rsidP="00887330">
      <w:pPr>
        <w:pStyle w:val="subsection"/>
      </w:pPr>
      <w:r w:rsidRPr="00583E1A">
        <w:tab/>
        <w:t>(1)</w:t>
      </w:r>
      <w:r w:rsidRPr="00583E1A">
        <w:tab/>
      </w:r>
      <w:r w:rsidRPr="00583E1A">
        <w:rPr>
          <w:b/>
          <w:i/>
        </w:rPr>
        <w:t>Forex realisation event 5</w:t>
      </w:r>
      <w:r w:rsidRPr="00583E1A">
        <w:t xml:space="preserve"> happens if:</w:t>
      </w:r>
    </w:p>
    <w:p w:rsidR="00887330" w:rsidRPr="00583E1A" w:rsidRDefault="00887330" w:rsidP="00887330">
      <w:pPr>
        <w:pStyle w:val="paragraph"/>
      </w:pPr>
      <w:r w:rsidRPr="00583E1A">
        <w:tab/>
        <w:t>(a)</w:t>
      </w:r>
      <w:r w:rsidRPr="00583E1A">
        <w:tab/>
        <w:t xml:space="preserve">you cease to have a right, or a part of a right, to pay </w:t>
      </w:r>
      <w:r w:rsidR="00583E1A" w:rsidRPr="00583E1A">
        <w:rPr>
          <w:position w:val="6"/>
          <w:sz w:val="16"/>
        </w:rPr>
        <w:t>*</w:t>
      </w:r>
      <w:r w:rsidRPr="00583E1A">
        <w:t>foreign currency; and</w:t>
      </w:r>
    </w:p>
    <w:p w:rsidR="00887330" w:rsidRPr="00583E1A" w:rsidRDefault="00887330" w:rsidP="00887330">
      <w:pPr>
        <w:pStyle w:val="paragraph"/>
      </w:pPr>
      <w:r w:rsidRPr="00583E1A">
        <w:tab/>
        <w:t>(b)</w:t>
      </w:r>
      <w:r w:rsidRPr="00583E1A">
        <w:tab/>
        <w:t>the right, or the part of the right, is one of the following:</w:t>
      </w:r>
    </w:p>
    <w:p w:rsidR="00887330" w:rsidRPr="00583E1A" w:rsidRDefault="00887330" w:rsidP="00887330">
      <w:pPr>
        <w:pStyle w:val="paragraphsub"/>
      </w:pPr>
      <w:r w:rsidRPr="00583E1A">
        <w:tab/>
        <w:t>(i)</w:t>
      </w:r>
      <w:r w:rsidRPr="00583E1A">
        <w:tab/>
        <w:t>a right, or a part of a right, created or acquired in return for the assumption of an obligation to pay foreign currency;</w:t>
      </w:r>
    </w:p>
    <w:p w:rsidR="00887330" w:rsidRPr="00583E1A" w:rsidRDefault="00887330" w:rsidP="00887330">
      <w:pPr>
        <w:pStyle w:val="paragraphsub"/>
      </w:pPr>
      <w:r w:rsidRPr="00583E1A">
        <w:tab/>
        <w:t>(ii)</w:t>
      </w:r>
      <w:r w:rsidRPr="00583E1A">
        <w:tab/>
        <w:t>a right, or a part of a right, created or acquired in return for the assumption of an obligation to pay Australian currency</w:t>
      </w:r>
      <w:r w:rsidR="005B17C2" w:rsidRPr="005F1CAE">
        <w:t>;</w:t>
      </w:r>
    </w:p>
    <w:p w:rsidR="005B17C2" w:rsidRPr="005F1CAE" w:rsidRDefault="005B17C2" w:rsidP="005B17C2">
      <w:pPr>
        <w:pStyle w:val="paragraphsub"/>
      </w:pPr>
      <w:r w:rsidRPr="005F1CAE">
        <w:tab/>
        <w:t>(iii)</w:t>
      </w:r>
      <w:r w:rsidRPr="005F1CAE">
        <w:tab/>
        <w:t>a right, or a part of a right, under an option to sell foreign currency.</w:t>
      </w:r>
    </w:p>
    <w:p w:rsidR="00887330" w:rsidRPr="00583E1A" w:rsidRDefault="00887330" w:rsidP="00887330">
      <w:pPr>
        <w:pStyle w:val="notetext"/>
      </w:pPr>
      <w:r w:rsidRPr="00583E1A">
        <w:t>Note 1:</w:t>
      </w:r>
      <w:r w:rsidRPr="00583E1A">
        <w:tab/>
        <w:t xml:space="preserve">For extended meaning of </w:t>
      </w:r>
      <w:r w:rsidRPr="00583E1A">
        <w:rPr>
          <w:b/>
          <w:i/>
        </w:rPr>
        <w:t>right to pay</w:t>
      </w:r>
      <w:r w:rsidRPr="00583E1A">
        <w:t xml:space="preserve"> </w:t>
      </w:r>
      <w:r w:rsidRPr="00583E1A">
        <w:rPr>
          <w:b/>
          <w:i/>
        </w:rPr>
        <w:t>foreign currency</w:t>
      </w:r>
      <w:r w:rsidRPr="00583E1A">
        <w:t>, see section</w:t>
      </w:r>
      <w:r w:rsidR="00583E1A">
        <w:t> </w:t>
      </w:r>
      <w:r w:rsidRPr="00583E1A">
        <w:t>775</w:t>
      </w:r>
      <w:r w:rsidR="00583E1A">
        <w:noBreakHyphen/>
      </w:r>
      <w:r w:rsidRPr="00583E1A">
        <w:t>135.</w:t>
      </w:r>
    </w:p>
    <w:p w:rsidR="00887330" w:rsidRPr="00583E1A" w:rsidRDefault="00887330" w:rsidP="00887330">
      <w:pPr>
        <w:pStyle w:val="notetext"/>
      </w:pPr>
      <w:r w:rsidRPr="00583E1A">
        <w:t>Note 2:</w:t>
      </w:r>
      <w:r w:rsidRPr="00583E1A">
        <w:tab/>
        <w:t xml:space="preserve">For extended meaning of </w:t>
      </w:r>
      <w:r w:rsidRPr="00583E1A">
        <w:rPr>
          <w:b/>
          <w:i/>
        </w:rPr>
        <w:t>obligation to pay</w:t>
      </w:r>
      <w:r w:rsidRPr="00583E1A">
        <w:t xml:space="preserve"> </w:t>
      </w:r>
      <w:r w:rsidRPr="00583E1A">
        <w:rPr>
          <w:b/>
          <w:i/>
        </w:rPr>
        <w:t>foreign currency</w:t>
      </w:r>
      <w:r w:rsidRPr="00583E1A">
        <w:t>, see section</w:t>
      </w:r>
      <w:r w:rsidR="00583E1A">
        <w:t> </w:t>
      </w:r>
      <w:r w:rsidRPr="00583E1A">
        <w:t>775</w:t>
      </w:r>
      <w:r w:rsidR="00583E1A">
        <w:noBreakHyphen/>
      </w:r>
      <w:r w:rsidRPr="00583E1A">
        <w:t>140.</w:t>
      </w:r>
    </w:p>
    <w:p w:rsidR="00887330" w:rsidRPr="00583E1A" w:rsidRDefault="00887330" w:rsidP="00887330">
      <w:pPr>
        <w:pStyle w:val="SubsectionHead"/>
      </w:pPr>
      <w:r w:rsidRPr="00583E1A">
        <w:t>Time of event</w:t>
      </w:r>
    </w:p>
    <w:p w:rsidR="00887330" w:rsidRPr="00583E1A" w:rsidRDefault="00887330" w:rsidP="00887330">
      <w:pPr>
        <w:pStyle w:val="subsection"/>
      </w:pPr>
      <w:r w:rsidRPr="00583E1A">
        <w:tab/>
        <w:t>(2)</w:t>
      </w:r>
      <w:r w:rsidRPr="00583E1A">
        <w:tab/>
        <w:t>The time of the event is when you cease to have the right or the part of the right.</w:t>
      </w:r>
    </w:p>
    <w:p w:rsidR="00887330" w:rsidRPr="00583E1A" w:rsidRDefault="00887330" w:rsidP="00887330">
      <w:pPr>
        <w:pStyle w:val="SubsectionHead"/>
      </w:pPr>
      <w:r w:rsidRPr="00583E1A">
        <w:t>Forex realisation gain</w:t>
      </w:r>
    </w:p>
    <w:p w:rsidR="00887330" w:rsidRPr="00583E1A" w:rsidRDefault="00887330" w:rsidP="00887330">
      <w:pPr>
        <w:pStyle w:val="subsection"/>
      </w:pPr>
      <w:r w:rsidRPr="00583E1A">
        <w:tab/>
        <w:t>(3)</w:t>
      </w:r>
      <w:r w:rsidRPr="00583E1A">
        <w:tab/>
        <w:t xml:space="preserve">You make a </w:t>
      </w:r>
      <w:r w:rsidRPr="00583E1A">
        <w:rPr>
          <w:b/>
          <w:i/>
        </w:rPr>
        <w:t>forex realisation gain</w:t>
      </w:r>
      <w:r w:rsidRPr="00583E1A">
        <w:t xml:space="preserve"> if:</w:t>
      </w:r>
    </w:p>
    <w:p w:rsidR="00887330" w:rsidRPr="00583E1A" w:rsidRDefault="00887330" w:rsidP="00887330">
      <w:pPr>
        <w:pStyle w:val="paragraph"/>
      </w:pPr>
      <w:r w:rsidRPr="00583E1A">
        <w:tab/>
        <w:t>(a)</w:t>
      </w:r>
      <w:r w:rsidRPr="00583E1A">
        <w:tab/>
        <w:t xml:space="preserve">the amount you pay in respect of the event happening falls short of the </w:t>
      </w:r>
      <w:r w:rsidR="00583E1A" w:rsidRPr="00583E1A">
        <w:rPr>
          <w:position w:val="6"/>
          <w:sz w:val="16"/>
        </w:rPr>
        <w:t>*</w:t>
      </w:r>
      <w:r w:rsidRPr="00583E1A">
        <w:t>forex entitlement base of the right or the part of the right (the forex entitlement base is worked out as at the tax recognition time); and</w:t>
      </w:r>
    </w:p>
    <w:p w:rsidR="00887330" w:rsidRPr="00583E1A" w:rsidRDefault="00887330" w:rsidP="00887330">
      <w:pPr>
        <w:pStyle w:val="paragraph"/>
      </w:pPr>
      <w:r w:rsidRPr="00583E1A">
        <w:tab/>
        <w:t>(b)</w:t>
      </w:r>
      <w:r w:rsidRPr="00583E1A">
        <w:tab/>
        <w:t xml:space="preserve">some or all of the shortfall is attributable to a </w:t>
      </w:r>
      <w:r w:rsidR="00583E1A" w:rsidRPr="00583E1A">
        <w:rPr>
          <w:position w:val="6"/>
          <w:sz w:val="16"/>
        </w:rPr>
        <w:t>*</w:t>
      </w:r>
      <w:r w:rsidRPr="00583E1A">
        <w:t>currency exchange rate effect.</w:t>
      </w:r>
    </w:p>
    <w:p w:rsidR="00887330" w:rsidRPr="00583E1A" w:rsidRDefault="00887330" w:rsidP="00887330">
      <w:pPr>
        <w:pStyle w:val="subsection2"/>
      </w:pPr>
      <w:r w:rsidRPr="00583E1A">
        <w:lastRenderedPageBreak/>
        <w:t xml:space="preserve">The amount of the </w:t>
      </w:r>
      <w:r w:rsidRPr="00583E1A">
        <w:rPr>
          <w:b/>
          <w:i/>
        </w:rPr>
        <w:t>forex realisation gain</w:t>
      </w:r>
      <w:r w:rsidRPr="00583E1A">
        <w:t xml:space="preserve"> is so much of the shortfall as is attributable to a currency exchange rate effect.</w:t>
      </w:r>
    </w:p>
    <w:p w:rsidR="00887330" w:rsidRPr="00583E1A" w:rsidRDefault="00887330" w:rsidP="00887330">
      <w:pPr>
        <w:pStyle w:val="notetext"/>
      </w:pPr>
      <w:r w:rsidRPr="00583E1A">
        <w:t>Note 1:</w:t>
      </w:r>
      <w:r w:rsidRPr="00583E1A">
        <w:tab/>
        <w:t xml:space="preserve">For </w:t>
      </w:r>
      <w:r w:rsidRPr="00583E1A">
        <w:rPr>
          <w:b/>
          <w:i/>
        </w:rPr>
        <w:t>forex entitlement base</w:t>
      </w:r>
      <w:r w:rsidRPr="00583E1A">
        <w:t>, see section</w:t>
      </w:r>
      <w:r w:rsidR="00583E1A">
        <w:t> </w:t>
      </w:r>
      <w:r w:rsidRPr="00583E1A">
        <w:t>775</w:t>
      </w:r>
      <w:r w:rsidR="00583E1A">
        <w:noBreakHyphen/>
      </w:r>
      <w:r w:rsidRPr="00583E1A">
        <w:t>90.</w:t>
      </w:r>
    </w:p>
    <w:p w:rsidR="00887330" w:rsidRPr="00583E1A" w:rsidRDefault="00887330" w:rsidP="00887330">
      <w:pPr>
        <w:pStyle w:val="notetext"/>
      </w:pPr>
      <w:r w:rsidRPr="00583E1A">
        <w:t>Note 2:</w:t>
      </w:r>
      <w:r w:rsidRPr="00583E1A">
        <w:tab/>
        <w:t xml:space="preserve">For </w:t>
      </w:r>
      <w:r w:rsidRPr="00583E1A">
        <w:rPr>
          <w:b/>
          <w:i/>
        </w:rPr>
        <w:t>tax recognition time</w:t>
      </w:r>
      <w:r w:rsidRPr="00583E1A">
        <w:t xml:space="preserve">, see </w:t>
      </w:r>
      <w:r w:rsidR="00583E1A">
        <w:t>subsection (</w:t>
      </w:r>
      <w:r w:rsidRPr="00583E1A">
        <w:t>7).</w:t>
      </w:r>
    </w:p>
    <w:p w:rsidR="00887330" w:rsidRPr="00583E1A" w:rsidRDefault="00887330" w:rsidP="00887330">
      <w:pPr>
        <w:pStyle w:val="notetext"/>
      </w:pPr>
      <w:r w:rsidRPr="00583E1A">
        <w:t>Note 3:</w:t>
      </w:r>
      <w:r w:rsidRPr="00583E1A">
        <w:tab/>
        <w:t xml:space="preserve">For </w:t>
      </w:r>
      <w:r w:rsidRPr="00583E1A">
        <w:rPr>
          <w:b/>
          <w:i/>
        </w:rPr>
        <w:t>currency exchange rate effect</w:t>
      </w:r>
      <w:r w:rsidRPr="00583E1A">
        <w:t>, see section</w:t>
      </w:r>
      <w:r w:rsidR="00583E1A">
        <w:t> </w:t>
      </w:r>
      <w:r w:rsidRPr="00583E1A">
        <w:t>775</w:t>
      </w:r>
      <w:r w:rsidR="00583E1A">
        <w:noBreakHyphen/>
      </w:r>
      <w:r w:rsidRPr="00583E1A">
        <w:t>105.</w:t>
      </w:r>
    </w:p>
    <w:p w:rsidR="00887330" w:rsidRPr="00583E1A" w:rsidRDefault="00887330" w:rsidP="00887330">
      <w:pPr>
        <w:pStyle w:val="SubsectionHead"/>
      </w:pPr>
      <w:r w:rsidRPr="00583E1A">
        <w:t>Forex realisation loss</w:t>
      </w:r>
    </w:p>
    <w:p w:rsidR="00887330" w:rsidRPr="00583E1A" w:rsidRDefault="00887330" w:rsidP="00887330">
      <w:pPr>
        <w:pStyle w:val="subsection"/>
      </w:pPr>
      <w:r w:rsidRPr="00583E1A">
        <w:tab/>
        <w:t>(4)</w:t>
      </w:r>
      <w:r w:rsidRPr="00583E1A">
        <w:tab/>
        <w:t xml:space="preserve">You make a </w:t>
      </w:r>
      <w:r w:rsidRPr="00583E1A">
        <w:rPr>
          <w:b/>
          <w:i/>
        </w:rPr>
        <w:t>forex realisation loss</w:t>
      </w:r>
      <w:r w:rsidRPr="00583E1A">
        <w:t xml:space="preserve"> if:</w:t>
      </w:r>
    </w:p>
    <w:p w:rsidR="00887330" w:rsidRPr="00583E1A" w:rsidRDefault="00887330" w:rsidP="00887330">
      <w:pPr>
        <w:pStyle w:val="paragraph"/>
      </w:pPr>
      <w:r w:rsidRPr="00583E1A">
        <w:tab/>
        <w:t>(a)</w:t>
      </w:r>
      <w:r w:rsidRPr="00583E1A">
        <w:tab/>
        <w:t xml:space="preserve">the amount you pay in respect of the event happening exceeds the </w:t>
      </w:r>
      <w:r w:rsidR="00583E1A" w:rsidRPr="00583E1A">
        <w:rPr>
          <w:position w:val="6"/>
          <w:sz w:val="16"/>
        </w:rPr>
        <w:t>*</w:t>
      </w:r>
      <w:r w:rsidRPr="00583E1A">
        <w:t>forex entitlement base of the right or the part of the right (the forex entitlement base is worked out as at the tax recognition time); and</w:t>
      </w:r>
    </w:p>
    <w:p w:rsidR="00887330" w:rsidRPr="00583E1A" w:rsidRDefault="00887330" w:rsidP="00887330">
      <w:pPr>
        <w:pStyle w:val="paragraph"/>
      </w:pPr>
      <w:r w:rsidRPr="00583E1A">
        <w:tab/>
        <w:t>(b)</w:t>
      </w:r>
      <w:r w:rsidRPr="00583E1A">
        <w:tab/>
        <w:t xml:space="preserve">some or all of the excess is attributable to a </w:t>
      </w:r>
      <w:r w:rsidR="00583E1A" w:rsidRPr="00583E1A">
        <w:rPr>
          <w:position w:val="6"/>
          <w:sz w:val="16"/>
        </w:rPr>
        <w:t>*</w:t>
      </w:r>
      <w:r w:rsidRPr="00583E1A">
        <w:t>currency exchange rate effect.</w:t>
      </w:r>
    </w:p>
    <w:p w:rsidR="00887330" w:rsidRPr="00583E1A" w:rsidRDefault="00887330" w:rsidP="00887330">
      <w:pPr>
        <w:pStyle w:val="subsection2"/>
      </w:pPr>
      <w:r w:rsidRPr="00583E1A">
        <w:t xml:space="preserve">The amount of the </w:t>
      </w:r>
      <w:r w:rsidRPr="00583E1A">
        <w:rPr>
          <w:b/>
          <w:i/>
        </w:rPr>
        <w:t xml:space="preserve">forex realisation loss </w:t>
      </w:r>
      <w:r w:rsidRPr="00583E1A">
        <w:t>is so much of the excess as is attributable to a currency exchange rate effect.</w:t>
      </w:r>
    </w:p>
    <w:p w:rsidR="00887330" w:rsidRPr="00583E1A" w:rsidRDefault="00887330" w:rsidP="00887330">
      <w:pPr>
        <w:pStyle w:val="notetext"/>
      </w:pPr>
      <w:r w:rsidRPr="00583E1A">
        <w:t>Note 1:</w:t>
      </w:r>
      <w:r w:rsidRPr="00583E1A">
        <w:tab/>
        <w:t xml:space="preserve">For </w:t>
      </w:r>
      <w:r w:rsidRPr="00583E1A">
        <w:rPr>
          <w:b/>
          <w:i/>
        </w:rPr>
        <w:t>forex entitlement base</w:t>
      </w:r>
      <w:r w:rsidRPr="00583E1A">
        <w:t>, see section</w:t>
      </w:r>
      <w:r w:rsidR="00583E1A">
        <w:t> </w:t>
      </w:r>
      <w:r w:rsidRPr="00583E1A">
        <w:t>775</w:t>
      </w:r>
      <w:r w:rsidR="00583E1A">
        <w:noBreakHyphen/>
      </w:r>
      <w:r w:rsidRPr="00583E1A">
        <w:t>90.</w:t>
      </w:r>
    </w:p>
    <w:p w:rsidR="00887330" w:rsidRPr="00583E1A" w:rsidRDefault="00887330" w:rsidP="00887330">
      <w:pPr>
        <w:pStyle w:val="notetext"/>
      </w:pPr>
      <w:r w:rsidRPr="00583E1A">
        <w:t>Note 2:</w:t>
      </w:r>
      <w:r w:rsidRPr="00583E1A">
        <w:tab/>
        <w:t xml:space="preserve">For </w:t>
      </w:r>
      <w:r w:rsidRPr="00583E1A">
        <w:rPr>
          <w:b/>
          <w:i/>
        </w:rPr>
        <w:t>tax recognition time</w:t>
      </w:r>
      <w:r w:rsidRPr="00583E1A">
        <w:t xml:space="preserve">, see </w:t>
      </w:r>
      <w:r w:rsidR="00583E1A">
        <w:t>subsection (</w:t>
      </w:r>
      <w:r w:rsidRPr="00583E1A">
        <w:t>7).</w:t>
      </w:r>
    </w:p>
    <w:p w:rsidR="00887330" w:rsidRPr="00583E1A" w:rsidRDefault="00887330" w:rsidP="00887330">
      <w:pPr>
        <w:pStyle w:val="notetext"/>
      </w:pPr>
      <w:r w:rsidRPr="00583E1A">
        <w:t>Note 3:</w:t>
      </w:r>
      <w:r w:rsidRPr="00583E1A">
        <w:tab/>
        <w:t xml:space="preserve">For </w:t>
      </w:r>
      <w:r w:rsidRPr="00583E1A">
        <w:rPr>
          <w:b/>
          <w:i/>
        </w:rPr>
        <w:t>currency exchange rate effect</w:t>
      </w:r>
      <w:r w:rsidRPr="00583E1A">
        <w:t>, see section</w:t>
      </w:r>
      <w:r w:rsidR="00583E1A">
        <w:t> </w:t>
      </w:r>
      <w:r w:rsidRPr="00583E1A">
        <w:t>775</w:t>
      </w:r>
      <w:r w:rsidR="00583E1A">
        <w:noBreakHyphen/>
      </w:r>
      <w:r w:rsidRPr="00583E1A">
        <w:t>105.</w:t>
      </w:r>
    </w:p>
    <w:p w:rsidR="00887330" w:rsidRPr="00583E1A" w:rsidRDefault="00887330" w:rsidP="00887330">
      <w:pPr>
        <w:pStyle w:val="subsection"/>
      </w:pPr>
      <w:r w:rsidRPr="00583E1A">
        <w:tab/>
        <w:t>(5)</w:t>
      </w:r>
      <w:r w:rsidRPr="00583E1A">
        <w:tab/>
        <w:t xml:space="preserve">You make a </w:t>
      </w:r>
      <w:r w:rsidRPr="00583E1A">
        <w:rPr>
          <w:b/>
          <w:i/>
        </w:rPr>
        <w:t>forex realisation loss</w:t>
      </w:r>
      <w:r w:rsidRPr="00583E1A">
        <w:t xml:space="preserve"> if:</w:t>
      </w:r>
    </w:p>
    <w:p w:rsidR="00887330" w:rsidRPr="00583E1A" w:rsidRDefault="00887330" w:rsidP="00887330">
      <w:pPr>
        <w:pStyle w:val="paragraph"/>
      </w:pPr>
      <w:r w:rsidRPr="00583E1A">
        <w:tab/>
        <w:t>(a)</w:t>
      </w:r>
      <w:r w:rsidRPr="00583E1A">
        <w:tab/>
        <w:t xml:space="preserve">the event happens because an option to sell </w:t>
      </w:r>
      <w:r w:rsidR="00583E1A" w:rsidRPr="00583E1A">
        <w:rPr>
          <w:position w:val="6"/>
          <w:sz w:val="16"/>
        </w:rPr>
        <w:t>*</w:t>
      </w:r>
      <w:r w:rsidRPr="00583E1A">
        <w:t>foreign currency expires without having been exercised, or is cancelled, released or abandoned; and</w:t>
      </w:r>
    </w:p>
    <w:p w:rsidR="00887330" w:rsidRPr="00583E1A" w:rsidRDefault="00887330" w:rsidP="00887330">
      <w:pPr>
        <w:pStyle w:val="paragraph"/>
      </w:pPr>
      <w:r w:rsidRPr="00583E1A">
        <w:tab/>
        <w:t>(b)</w:t>
      </w:r>
      <w:r w:rsidRPr="00583E1A">
        <w:tab/>
        <w:t>you were capable of exercising the option immediately before the event happened.</w:t>
      </w:r>
    </w:p>
    <w:p w:rsidR="00887330" w:rsidRPr="00583E1A" w:rsidRDefault="00887330" w:rsidP="00887330">
      <w:pPr>
        <w:pStyle w:val="subsection2"/>
      </w:pPr>
      <w:r w:rsidRPr="00583E1A">
        <w:t xml:space="preserve">The amount of the </w:t>
      </w:r>
      <w:r w:rsidRPr="00583E1A">
        <w:rPr>
          <w:b/>
          <w:i/>
        </w:rPr>
        <w:t>forex realisation loss</w:t>
      </w:r>
      <w:r w:rsidRPr="00583E1A">
        <w:t xml:space="preserve"> is the amount you paid in return for the grant or acquisition of the option.</w:t>
      </w:r>
    </w:p>
    <w:p w:rsidR="00887330" w:rsidRPr="00583E1A" w:rsidRDefault="00887330" w:rsidP="00887330">
      <w:pPr>
        <w:pStyle w:val="SubsectionHead"/>
      </w:pPr>
      <w:r w:rsidRPr="00583E1A">
        <w:t>Non</w:t>
      </w:r>
      <w:r w:rsidR="00583E1A">
        <w:noBreakHyphen/>
      </w:r>
      <w:r w:rsidRPr="00583E1A">
        <w:t>cash benefit</w:t>
      </w:r>
    </w:p>
    <w:p w:rsidR="00887330" w:rsidRPr="00583E1A" w:rsidRDefault="00887330" w:rsidP="00887330">
      <w:pPr>
        <w:pStyle w:val="subsection"/>
      </w:pPr>
      <w:r w:rsidRPr="00583E1A">
        <w:tab/>
        <w:t>(6)</w:t>
      </w:r>
      <w:r w:rsidRPr="00583E1A">
        <w:tab/>
        <w:t xml:space="preserve">The amount you pay in respect of the event happening can include a </w:t>
      </w:r>
      <w:r w:rsidR="00583E1A" w:rsidRPr="00583E1A">
        <w:rPr>
          <w:position w:val="6"/>
          <w:sz w:val="16"/>
        </w:rPr>
        <w:t>*</w:t>
      </w:r>
      <w:r w:rsidRPr="00583E1A">
        <w:t>non</w:t>
      </w:r>
      <w:r w:rsidR="00583E1A">
        <w:noBreakHyphen/>
      </w:r>
      <w:r w:rsidRPr="00583E1A">
        <w:t xml:space="preserve">cash benefit. Use the </w:t>
      </w:r>
      <w:r w:rsidR="00583E1A" w:rsidRPr="00583E1A">
        <w:rPr>
          <w:position w:val="6"/>
          <w:sz w:val="16"/>
        </w:rPr>
        <w:t>*</w:t>
      </w:r>
      <w:r w:rsidRPr="00583E1A">
        <w:t>market value of the benefit to work out the amount you pay.</w:t>
      </w:r>
    </w:p>
    <w:p w:rsidR="00887330" w:rsidRPr="00583E1A" w:rsidRDefault="00887330" w:rsidP="00887330">
      <w:pPr>
        <w:pStyle w:val="SubsectionHead"/>
      </w:pPr>
      <w:r w:rsidRPr="00583E1A">
        <w:lastRenderedPageBreak/>
        <w:t>Tax recognition time</w:t>
      </w:r>
    </w:p>
    <w:p w:rsidR="00887330" w:rsidRPr="00583E1A" w:rsidRDefault="00887330" w:rsidP="00887330">
      <w:pPr>
        <w:pStyle w:val="subsection"/>
      </w:pPr>
      <w:r w:rsidRPr="00583E1A">
        <w:tab/>
        <w:t>(7)</w:t>
      </w:r>
      <w:r w:rsidRPr="00583E1A">
        <w:tab/>
        <w:t xml:space="preserve">For the purposes of this section, the </w:t>
      </w:r>
      <w:r w:rsidRPr="00583E1A">
        <w:rPr>
          <w:b/>
          <w:i/>
        </w:rPr>
        <w:t>tax recognition time</w:t>
      </w:r>
      <w:r w:rsidRPr="00583E1A">
        <w:t xml:space="preserve"> is the time when you pay an amount in respect of the event happening.</w:t>
      </w:r>
    </w:p>
    <w:p w:rsidR="00887330" w:rsidRPr="00583E1A" w:rsidRDefault="00887330" w:rsidP="00887330">
      <w:pPr>
        <w:pStyle w:val="SubsectionHead"/>
      </w:pPr>
      <w:r w:rsidRPr="00583E1A">
        <w:t>Obligation to pay Australian currency</w:t>
      </w:r>
    </w:p>
    <w:p w:rsidR="00887330" w:rsidRPr="00583E1A" w:rsidRDefault="00887330" w:rsidP="00887330">
      <w:pPr>
        <w:pStyle w:val="subsection"/>
      </w:pPr>
      <w:r w:rsidRPr="00583E1A">
        <w:tab/>
        <w:t>(8)</w:t>
      </w:r>
      <w:r w:rsidRPr="00583E1A">
        <w:tab/>
        <w:t xml:space="preserve">To avoid doubt, for the purposes of this section, an </w:t>
      </w:r>
      <w:r w:rsidRPr="00583E1A">
        <w:rPr>
          <w:b/>
          <w:i/>
        </w:rPr>
        <w:t>obligation to pay Australian</w:t>
      </w:r>
      <w:r w:rsidRPr="00583E1A">
        <w:t xml:space="preserve"> </w:t>
      </w:r>
      <w:r w:rsidRPr="00583E1A">
        <w:rPr>
          <w:b/>
          <w:i/>
        </w:rPr>
        <w:t>currency</w:t>
      </w:r>
      <w:r w:rsidRPr="00583E1A">
        <w:t xml:space="preserve"> includes an obligation to pay Australian currency, where the obligation is subject to a contingency.</w:t>
      </w:r>
    </w:p>
    <w:p w:rsidR="00887330" w:rsidRPr="00583E1A" w:rsidRDefault="00887330" w:rsidP="00887330">
      <w:pPr>
        <w:pStyle w:val="ActHead5"/>
      </w:pPr>
      <w:bookmarkStart w:id="78" w:name="_Toc338939152"/>
      <w:r w:rsidRPr="00583E1A">
        <w:rPr>
          <w:rStyle w:val="CharSectno"/>
        </w:rPr>
        <w:t>775</w:t>
      </w:r>
      <w:r w:rsidR="00583E1A">
        <w:rPr>
          <w:rStyle w:val="CharSectno"/>
        </w:rPr>
        <w:noBreakHyphen/>
      </w:r>
      <w:r w:rsidRPr="00583E1A">
        <w:rPr>
          <w:rStyle w:val="CharSectno"/>
        </w:rPr>
        <w:t>65</w:t>
      </w:r>
      <w:r w:rsidRPr="00583E1A">
        <w:t xml:space="preserve">  Only one forex realisation event to be counted</w:t>
      </w:r>
      <w:bookmarkEnd w:id="78"/>
    </w:p>
    <w:p w:rsidR="00887330" w:rsidRPr="00583E1A" w:rsidRDefault="00887330" w:rsidP="00887330">
      <w:pPr>
        <w:pStyle w:val="SubsectionHead"/>
      </w:pPr>
      <w:r w:rsidRPr="00583E1A">
        <w:t>Option to buy foreign currency</w:t>
      </w:r>
    </w:p>
    <w:p w:rsidR="00887330" w:rsidRPr="00583E1A" w:rsidRDefault="00887330" w:rsidP="00887330">
      <w:pPr>
        <w:pStyle w:val="subsection"/>
      </w:pPr>
      <w:r w:rsidRPr="00583E1A">
        <w:tab/>
        <w:t>(1)</w:t>
      </w:r>
      <w:r w:rsidRPr="00583E1A">
        <w:tab/>
        <w:t xml:space="preserve">The following table applies to an option to buy a particular </w:t>
      </w:r>
      <w:r w:rsidR="00583E1A" w:rsidRPr="00583E1A">
        <w:rPr>
          <w:position w:val="6"/>
          <w:sz w:val="16"/>
        </w:rPr>
        <w:t>*</w:t>
      </w:r>
      <w:r w:rsidRPr="00583E1A">
        <w:t>foreign currency if the exercise price is payable in another foreign currency:</w:t>
      </w:r>
    </w:p>
    <w:p w:rsidR="00887330" w:rsidRPr="00583E1A" w:rsidRDefault="00887330" w:rsidP="00887330">
      <w:pPr>
        <w:pStyle w:val="Tabletext"/>
      </w:pPr>
    </w:p>
    <w:tbl>
      <w:tblPr>
        <w:tblW w:w="0" w:type="auto"/>
        <w:tblInd w:w="113" w:type="dxa"/>
        <w:tblLayout w:type="fixed"/>
        <w:tblLook w:val="0000" w:firstRow="0" w:lastRow="0" w:firstColumn="0" w:lastColumn="0" w:noHBand="0" w:noVBand="0"/>
      </w:tblPr>
      <w:tblGrid>
        <w:gridCol w:w="714"/>
        <w:gridCol w:w="2124"/>
        <w:gridCol w:w="2124"/>
        <w:gridCol w:w="2124"/>
      </w:tblGrid>
      <w:tr w:rsidR="00887330" w:rsidRPr="00583E1A">
        <w:trPr>
          <w:cantSplit/>
          <w:tblHeader/>
        </w:trPr>
        <w:tc>
          <w:tcPr>
            <w:tcW w:w="7086" w:type="dxa"/>
            <w:gridSpan w:val="4"/>
            <w:tcBorders>
              <w:top w:val="single" w:sz="12" w:space="0" w:color="auto"/>
              <w:bottom w:val="single" w:sz="6" w:space="0" w:color="auto"/>
            </w:tcBorders>
            <w:shd w:val="clear" w:color="auto" w:fill="auto"/>
          </w:tcPr>
          <w:p w:rsidR="00887330" w:rsidRPr="00583E1A" w:rsidRDefault="00887330" w:rsidP="00887330">
            <w:pPr>
              <w:pStyle w:val="Tabletext"/>
              <w:keepNext/>
              <w:rPr>
                <w:b/>
              </w:rPr>
            </w:pPr>
            <w:r w:rsidRPr="00583E1A">
              <w:rPr>
                <w:b/>
              </w:rPr>
              <w:t>Option to buy foreign currency</w:t>
            </w:r>
          </w:p>
        </w:tc>
      </w:tr>
      <w:tr w:rsidR="00887330" w:rsidRPr="00583E1A">
        <w:trPr>
          <w:cantSplit/>
          <w:tblHeader/>
        </w:trPr>
        <w:tc>
          <w:tcPr>
            <w:tcW w:w="714" w:type="dxa"/>
            <w:tcBorders>
              <w:top w:val="single" w:sz="6" w:space="0" w:color="auto"/>
              <w:bottom w:val="single" w:sz="12" w:space="0" w:color="auto"/>
            </w:tcBorders>
            <w:shd w:val="clear" w:color="auto" w:fill="auto"/>
          </w:tcPr>
          <w:p w:rsidR="00887330" w:rsidRPr="00583E1A" w:rsidRDefault="00887330" w:rsidP="00887330">
            <w:pPr>
              <w:pStyle w:val="Tabletext"/>
              <w:keepNext/>
              <w:rPr>
                <w:b/>
              </w:rPr>
            </w:pPr>
            <w:r w:rsidRPr="00583E1A">
              <w:rPr>
                <w:b/>
              </w:rPr>
              <w:t>Item</w:t>
            </w:r>
          </w:p>
        </w:tc>
        <w:tc>
          <w:tcPr>
            <w:tcW w:w="2124" w:type="dxa"/>
            <w:tcBorders>
              <w:top w:val="single" w:sz="6" w:space="0" w:color="auto"/>
              <w:bottom w:val="single" w:sz="12" w:space="0" w:color="auto"/>
            </w:tcBorders>
            <w:shd w:val="clear" w:color="auto" w:fill="auto"/>
          </w:tcPr>
          <w:p w:rsidR="00887330" w:rsidRPr="00583E1A" w:rsidRDefault="00887330" w:rsidP="00887330">
            <w:pPr>
              <w:pStyle w:val="Tabletext"/>
              <w:keepNext/>
              <w:rPr>
                <w:b/>
              </w:rPr>
            </w:pPr>
            <w:r w:rsidRPr="00583E1A">
              <w:rPr>
                <w:b/>
              </w:rPr>
              <w:t>If you are...</w:t>
            </w:r>
          </w:p>
        </w:tc>
        <w:tc>
          <w:tcPr>
            <w:tcW w:w="2124" w:type="dxa"/>
            <w:tcBorders>
              <w:top w:val="single" w:sz="6" w:space="0" w:color="auto"/>
              <w:bottom w:val="single" w:sz="12" w:space="0" w:color="auto"/>
            </w:tcBorders>
            <w:shd w:val="clear" w:color="auto" w:fill="auto"/>
          </w:tcPr>
          <w:p w:rsidR="00887330" w:rsidRPr="00583E1A" w:rsidRDefault="00887330" w:rsidP="00887330">
            <w:pPr>
              <w:pStyle w:val="Tabletext"/>
              <w:keepNext/>
              <w:rPr>
                <w:b/>
              </w:rPr>
            </w:pPr>
            <w:r w:rsidRPr="00583E1A">
              <w:rPr>
                <w:b/>
              </w:rPr>
              <w:t>and both of these events happen when the option is exercised...</w:t>
            </w:r>
          </w:p>
        </w:tc>
        <w:tc>
          <w:tcPr>
            <w:tcW w:w="2124" w:type="dxa"/>
            <w:tcBorders>
              <w:top w:val="single" w:sz="6" w:space="0" w:color="auto"/>
              <w:bottom w:val="single" w:sz="12" w:space="0" w:color="auto"/>
            </w:tcBorders>
            <w:shd w:val="clear" w:color="auto" w:fill="auto"/>
          </w:tcPr>
          <w:p w:rsidR="00887330" w:rsidRPr="00583E1A" w:rsidRDefault="00887330" w:rsidP="00887330">
            <w:pPr>
              <w:pStyle w:val="Tabletext"/>
              <w:keepNext/>
              <w:rPr>
                <w:b/>
              </w:rPr>
            </w:pPr>
            <w:r w:rsidRPr="00583E1A">
              <w:rPr>
                <w:b/>
              </w:rPr>
              <w:t>this is the result...</w:t>
            </w:r>
          </w:p>
        </w:tc>
      </w:tr>
      <w:tr w:rsidR="00887330" w:rsidRPr="00583E1A">
        <w:trPr>
          <w:cantSplit/>
        </w:trPr>
        <w:tc>
          <w:tcPr>
            <w:tcW w:w="714" w:type="dxa"/>
            <w:tcBorders>
              <w:top w:val="single" w:sz="12" w:space="0" w:color="auto"/>
              <w:bottom w:val="single" w:sz="2" w:space="0" w:color="auto"/>
            </w:tcBorders>
            <w:shd w:val="clear" w:color="auto" w:fill="auto"/>
          </w:tcPr>
          <w:p w:rsidR="00887330" w:rsidRPr="00583E1A" w:rsidRDefault="00887330" w:rsidP="00887330">
            <w:pPr>
              <w:pStyle w:val="Tabletext"/>
            </w:pPr>
            <w:r w:rsidRPr="00583E1A">
              <w:t>1</w:t>
            </w:r>
          </w:p>
        </w:tc>
        <w:tc>
          <w:tcPr>
            <w:tcW w:w="2124" w:type="dxa"/>
            <w:tcBorders>
              <w:top w:val="single" w:sz="12" w:space="0" w:color="auto"/>
              <w:bottom w:val="single" w:sz="2" w:space="0" w:color="auto"/>
            </w:tcBorders>
            <w:shd w:val="clear" w:color="auto" w:fill="auto"/>
          </w:tcPr>
          <w:p w:rsidR="00887330" w:rsidRPr="00583E1A" w:rsidRDefault="00887330" w:rsidP="00887330">
            <w:pPr>
              <w:pStyle w:val="Tabletext"/>
            </w:pPr>
            <w:r w:rsidRPr="00583E1A">
              <w:t>the entity who is capable of exercising the option</w:t>
            </w:r>
          </w:p>
        </w:tc>
        <w:tc>
          <w:tcPr>
            <w:tcW w:w="2124" w:type="dxa"/>
            <w:tcBorders>
              <w:top w:val="single" w:sz="12" w:space="0" w:color="auto"/>
              <w:bottom w:val="single" w:sz="2" w:space="0" w:color="auto"/>
            </w:tcBorders>
            <w:shd w:val="clear" w:color="auto" w:fill="auto"/>
          </w:tcPr>
          <w:p w:rsidR="00887330" w:rsidRPr="00583E1A" w:rsidRDefault="00887330" w:rsidP="00887330">
            <w:pPr>
              <w:pStyle w:val="Tablea"/>
            </w:pPr>
            <w:r w:rsidRPr="00583E1A">
              <w:t>(a) forex realisation event 1;</w:t>
            </w:r>
          </w:p>
          <w:p w:rsidR="00887330" w:rsidRPr="00583E1A" w:rsidRDefault="00887330" w:rsidP="00887330">
            <w:pPr>
              <w:pStyle w:val="Tablea"/>
            </w:pPr>
            <w:r w:rsidRPr="00583E1A">
              <w:t>(b) forex realisation event 4</w:t>
            </w:r>
          </w:p>
        </w:tc>
        <w:tc>
          <w:tcPr>
            <w:tcW w:w="2124" w:type="dxa"/>
            <w:tcBorders>
              <w:top w:val="single" w:sz="12" w:space="0" w:color="auto"/>
              <w:bottom w:val="single" w:sz="2" w:space="0" w:color="auto"/>
            </w:tcBorders>
            <w:shd w:val="clear" w:color="auto" w:fill="auto"/>
          </w:tcPr>
          <w:p w:rsidR="00887330" w:rsidRPr="00583E1A" w:rsidRDefault="00887330" w:rsidP="00887330">
            <w:pPr>
              <w:pStyle w:val="Tabletext"/>
            </w:pPr>
            <w:r w:rsidRPr="00583E1A">
              <w:t>ignore forex realisation event 4.</w:t>
            </w:r>
          </w:p>
        </w:tc>
      </w:tr>
      <w:tr w:rsidR="00887330" w:rsidRPr="00583E1A">
        <w:trPr>
          <w:cantSplit/>
        </w:trPr>
        <w:tc>
          <w:tcPr>
            <w:tcW w:w="714" w:type="dxa"/>
            <w:tcBorders>
              <w:top w:val="single" w:sz="2" w:space="0" w:color="auto"/>
              <w:bottom w:val="single" w:sz="2" w:space="0" w:color="auto"/>
            </w:tcBorders>
            <w:shd w:val="clear" w:color="auto" w:fill="auto"/>
          </w:tcPr>
          <w:p w:rsidR="00887330" w:rsidRPr="00583E1A" w:rsidRDefault="00887330" w:rsidP="00887330">
            <w:pPr>
              <w:pStyle w:val="Tabletext"/>
            </w:pPr>
            <w:r w:rsidRPr="00583E1A">
              <w:t>2</w:t>
            </w:r>
          </w:p>
        </w:tc>
        <w:tc>
          <w:tcPr>
            <w:tcW w:w="2124" w:type="dxa"/>
            <w:tcBorders>
              <w:top w:val="single" w:sz="2" w:space="0" w:color="auto"/>
              <w:bottom w:val="single" w:sz="2" w:space="0" w:color="auto"/>
            </w:tcBorders>
            <w:shd w:val="clear" w:color="auto" w:fill="auto"/>
          </w:tcPr>
          <w:p w:rsidR="00887330" w:rsidRPr="00583E1A" w:rsidRDefault="00887330" w:rsidP="00887330">
            <w:pPr>
              <w:pStyle w:val="Tabletext"/>
            </w:pPr>
            <w:r w:rsidRPr="00583E1A">
              <w:t>the entity who is capable of exercising the option</w:t>
            </w:r>
          </w:p>
        </w:tc>
        <w:tc>
          <w:tcPr>
            <w:tcW w:w="2124" w:type="dxa"/>
            <w:tcBorders>
              <w:top w:val="single" w:sz="2" w:space="0" w:color="auto"/>
              <w:bottom w:val="single" w:sz="2" w:space="0" w:color="auto"/>
            </w:tcBorders>
            <w:shd w:val="clear" w:color="auto" w:fill="auto"/>
          </w:tcPr>
          <w:p w:rsidR="00887330" w:rsidRPr="00583E1A" w:rsidRDefault="00887330" w:rsidP="00887330">
            <w:pPr>
              <w:pStyle w:val="Tablea"/>
            </w:pPr>
            <w:r w:rsidRPr="00583E1A">
              <w:t>(a) forex realisation event 2;</w:t>
            </w:r>
          </w:p>
          <w:p w:rsidR="00887330" w:rsidRPr="00583E1A" w:rsidRDefault="00887330" w:rsidP="00887330">
            <w:pPr>
              <w:pStyle w:val="Tablea"/>
            </w:pPr>
            <w:r w:rsidRPr="00583E1A">
              <w:t>(b) forex realisation event 4</w:t>
            </w:r>
          </w:p>
        </w:tc>
        <w:tc>
          <w:tcPr>
            <w:tcW w:w="2124" w:type="dxa"/>
            <w:tcBorders>
              <w:top w:val="single" w:sz="2" w:space="0" w:color="auto"/>
              <w:bottom w:val="single" w:sz="2" w:space="0" w:color="auto"/>
            </w:tcBorders>
            <w:shd w:val="clear" w:color="auto" w:fill="auto"/>
          </w:tcPr>
          <w:p w:rsidR="00887330" w:rsidRPr="00583E1A" w:rsidRDefault="00887330" w:rsidP="00887330">
            <w:pPr>
              <w:pStyle w:val="Tabletext"/>
            </w:pPr>
            <w:r w:rsidRPr="00583E1A">
              <w:t>ignore forex realisation event 4.</w:t>
            </w:r>
          </w:p>
        </w:tc>
      </w:tr>
      <w:tr w:rsidR="00887330" w:rsidRPr="00583E1A">
        <w:trPr>
          <w:cantSplit/>
        </w:trPr>
        <w:tc>
          <w:tcPr>
            <w:tcW w:w="714" w:type="dxa"/>
            <w:tcBorders>
              <w:top w:val="single" w:sz="2" w:space="0" w:color="auto"/>
              <w:bottom w:val="single" w:sz="12" w:space="0" w:color="auto"/>
            </w:tcBorders>
            <w:shd w:val="clear" w:color="auto" w:fill="auto"/>
          </w:tcPr>
          <w:p w:rsidR="00887330" w:rsidRPr="00583E1A" w:rsidRDefault="00887330" w:rsidP="00887330">
            <w:pPr>
              <w:pStyle w:val="Tabletext"/>
            </w:pPr>
            <w:r w:rsidRPr="00583E1A">
              <w:t>3</w:t>
            </w:r>
          </w:p>
        </w:tc>
        <w:tc>
          <w:tcPr>
            <w:tcW w:w="2124" w:type="dxa"/>
            <w:tcBorders>
              <w:top w:val="single" w:sz="2" w:space="0" w:color="auto"/>
              <w:bottom w:val="single" w:sz="12" w:space="0" w:color="auto"/>
            </w:tcBorders>
            <w:shd w:val="clear" w:color="auto" w:fill="auto"/>
          </w:tcPr>
          <w:p w:rsidR="00887330" w:rsidRPr="00583E1A" w:rsidRDefault="00887330" w:rsidP="00887330">
            <w:pPr>
              <w:pStyle w:val="Tabletext"/>
            </w:pPr>
            <w:r w:rsidRPr="00583E1A">
              <w:t>the entity who granted the option</w:t>
            </w:r>
          </w:p>
        </w:tc>
        <w:tc>
          <w:tcPr>
            <w:tcW w:w="2124" w:type="dxa"/>
            <w:tcBorders>
              <w:top w:val="single" w:sz="2" w:space="0" w:color="auto"/>
              <w:bottom w:val="single" w:sz="12" w:space="0" w:color="auto"/>
            </w:tcBorders>
            <w:shd w:val="clear" w:color="auto" w:fill="auto"/>
          </w:tcPr>
          <w:p w:rsidR="00887330" w:rsidRPr="00583E1A" w:rsidRDefault="00887330" w:rsidP="00887330">
            <w:pPr>
              <w:pStyle w:val="Tablea"/>
            </w:pPr>
            <w:r w:rsidRPr="00583E1A">
              <w:t>(a) forex realisation event 3;</w:t>
            </w:r>
          </w:p>
          <w:p w:rsidR="00887330" w:rsidRPr="00583E1A" w:rsidRDefault="00887330" w:rsidP="00887330">
            <w:pPr>
              <w:pStyle w:val="Tablea"/>
            </w:pPr>
            <w:r w:rsidRPr="00583E1A">
              <w:t>(b) forex realisation event 4</w:t>
            </w:r>
          </w:p>
        </w:tc>
        <w:tc>
          <w:tcPr>
            <w:tcW w:w="2124" w:type="dxa"/>
            <w:tcBorders>
              <w:top w:val="single" w:sz="2" w:space="0" w:color="auto"/>
              <w:bottom w:val="single" w:sz="12" w:space="0" w:color="auto"/>
            </w:tcBorders>
            <w:shd w:val="clear" w:color="auto" w:fill="auto"/>
          </w:tcPr>
          <w:p w:rsidR="00887330" w:rsidRPr="00583E1A" w:rsidRDefault="00887330" w:rsidP="00887330">
            <w:pPr>
              <w:pStyle w:val="Tabletext"/>
            </w:pPr>
            <w:r w:rsidRPr="00583E1A">
              <w:t>ignore forex realisation event 3.</w:t>
            </w:r>
          </w:p>
        </w:tc>
      </w:tr>
    </w:tbl>
    <w:p w:rsidR="00887330" w:rsidRPr="00583E1A" w:rsidRDefault="00887330" w:rsidP="00887330">
      <w:pPr>
        <w:pStyle w:val="SubsectionHead"/>
      </w:pPr>
      <w:r w:rsidRPr="00583E1A">
        <w:lastRenderedPageBreak/>
        <w:t>Option to sell foreign currency</w:t>
      </w:r>
    </w:p>
    <w:p w:rsidR="00887330" w:rsidRPr="00583E1A" w:rsidRDefault="00887330" w:rsidP="00887330">
      <w:pPr>
        <w:pStyle w:val="subsection"/>
      </w:pPr>
      <w:r w:rsidRPr="00583E1A">
        <w:tab/>
        <w:t>(2)</w:t>
      </w:r>
      <w:r w:rsidRPr="00583E1A">
        <w:tab/>
        <w:t xml:space="preserve">The following table applies to an option to sell a particular </w:t>
      </w:r>
      <w:r w:rsidR="00583E1A" w:rsidRPr="00583E1A">
        <w:rPr>
          <w:position w:val="6"/>
          <w:sz w:val="16"/>
        </w:rPr>
        <w:t>*</w:t>
      </w:r>
      <w:r w:rsidRPr="00583E1A">
        <w:t>foreign currency if the exercise price is payable in another foreign currency:</w:t>
      </w:r>
    </w:p>
    <w:p w:rsidR="00887330" w:rsidRPr="00583E1A" w:rsidRDefault="00887330" w:rsidP="00887330">
      <w:pPr>
        <w:pStyle w:val="Tabletext"/>
      </w:pPr>
    </w:p>
    <w:tbl>
      <w:tblPr>
        <w:tblW w:w="0" w:type="auto"/>
        <w:tblInd w:w="113" w:type="dxa"/>
        <w:tblLayout w:type="fixed"/>
        <w:tblLook w:val="0000" w:firstRow="0" w:lastRow="0" w:firstColumn="0" w:lastColumn="0" w:noHBand="0" w:noVBand="0"/>
      </w:tblPr>
      <w:tblGrid>
        <w:gridCol w:w="714"/>
        <w:gridCol w:w="2124"/>
        <w:gridCol w:w="2124"/>
        <w:gridCol w:w="2124"/>
      </w:tblGrid>
      <w:tr w:rsidR="00887330" w:rsidRPr="00583E1A">
        <w:trPr>
          <w:cantSplit/>
          <w:tblHeader/>
        </w:trPr>
        <w:tc>
          <w:tcPr>
            <w:tcW w:w="7086" w:type="dxa"/>
            <w:gridSpan w:val="4"/>
            <w:tcBorders>
              <w:top w:val="single" w:sz="12" w:space="0" w:color="auto"/>
              <w:bottom w:val="single" w:sz="6" w:space="0" w:color="auto"/>
            </w:tcBorders>
            <w:shd w:val="clear" w:color="auto" w:fill="auto"/>
          </w:tcPr>
          <w:p w:rsidR="00887330" w:rsidRPr="00583E1A" w:rsidRDefault="00887330" w:rsidP="00887330">
            <w:pPr>
              <w:pStyle w:val="Tabletext"/>
              <w:keepNext/>
              <w:rPr>
                <w:b/>
              </w:rPr>
            </w:pPr>
            <w:r w:rsidRPr="00583E1A">
              <w:rPr>
                <w:b/>
              </w:rPr>
              <w:t>Option to sell foreign currency</w:t>
            </w:r>
          </w:p>
        </w:tc>
      </w:tr>
      <w:tr w:rsidR="00887330" w:rsidRPr="00583E1A">
        <w:trPr>
          <w:cantSplit/>
          <w:tblHeader/>
        </w:trPr>
        <w:tc>
          <w:tcPr>
            <w:tcW w:w="714" w:type="dxa"/>
            <w:tcBorders>
              <w:top w:val="single" w:sz="6" w:space="0" w:color="auto"/>
              <w:bottom w:val="single" w:sz="12" w:space="0" w:color="auto"/>
            </w:tcBorders>
            <w:shd w:val="clear" w:color="auto" w:fill="auto"/>
          </w:tcPr>
          <w:p w:rsidR="00887330" w:rsidRPr="00583E1A" w:rsidRDefault="00887330" w:rsidP="00887330">
            <w:pPr>
              <w:pStyle w:val="Tabletext"/>
              <w:keepNext/>
              <w:rPr>
                <w:b/>
              </w:rPr>
            </w:pPr>
            <w:r w:rsidRPr="00583E1A">
              <w:rPr>
                <w:b/>
              </w:rPr>
              <w:t>Item</w:t>
            </w:r>
          </w:p>
        </w:tc>
        <w:tc>
          <w:tcPr>
            <w:tcW w:w="2124" w:type="dxa"/>
            <w:tcBorders>
              <w:top w:val="single" w:sz="6" w:space="0" w:color="auto"/>
              <w:bottom w:val="single" w:sz="12" w:space="0" w:color="auto"/>
            </w:tcBorders>
            <w:shd w:val="clear" w:color="auto" w:fill="auto"/>
          </w:tcPr>
          <w:p w:rsidR="00887330" w:rsidRPr="00583E1A" w:rsidRDefault="00887330" w:rsidP="00887330">
            <w:pPr>
              <w:pStyle w:val="Tabletext"/>
              <w:keepNext/>
              <w:rPr>
                <w:b/>
              </w:rPr>
            </w:pPr>
            <w:r w:rsidRPr="00583E1A">
              <w:rPr>
                <w:b/>
              </w:rPr>
              <w:t>If you are...</w:t>
            </w:r>
          </w:p>
        </w:tc>
        <w:tc>
          <w:tcPr>
            <w:tcW w:w="2124" w:type="dxa"/>
            <w:tcBorders>
              <w:top w:val="single" w:sz="6" w:space="0" w:color="auto"/>
              <w:bottom w:val="single" w:sz="12" w:space="0" w:color="auto"/>
            </w:tcBorders>
            <w:shd w:val="clear" w:color="auto" w:fill="auto"/>
          </w:tcPr>
          <w:p w:rsidR="00887330" w:rsidRPr="00583E1A" w:rsidRDefault="00887330" w:rsidP="00887330">
            <w:pPr>
              <w:pStyle w:val="Tabletext"/>
              <w:keepNext/>
              <w:rPr>
                <w:b/>
              </w:rPr>
            </w:pPr>
            <w:r w:rsidRPr="00583E1A">
              <w:rPr>
                <w:b/>
              </w:rPr>
              <w:t>and both of these events happen when the option is exercised...</w:t>
            </w:r>
          </w:p>
        </w:tc>
        <w:tc>
          <w:tcPr>
            <w:tcW w:w="2124" w:type="dxa"/>
            <w:tcBorders>
              <w:top w:val="single" w:sz="6" w:space="0" w:color="auto"/>
              <w:bottom w:val="single" w:sz="12" w:space="0" w:color="auto"/>
            </w:tcBorders>
            <w:shd w:val="clear" w:color="auto" w:fill="auto"/>
          </w:tcPr>
          <w:p w:rsidR="00887330" w:rsidRPr="00583E1A" w:rsidRDefault="00887330" w:rsidP="00887330">
            <w:pPr>
              <w:pStyle w:val="Tabletext"/>
              <w:keepNext/>
              <w:rPr>
                <w:b/>
              </w:rPr>
            </w:pPr>
            <w:r w:rsidRPr="00583E1A">
              <w:rPr>
                <w:b/>
              </w:rPr>
              <w:t>this is the result...</w:t>
            </w:r>
          </w:p>
        </w:tc>
      </w:tr>
      <w:tr w:rsidR="00887330" w:rsidRPr="00583E1A">
        <w:trPr>
          <w:cantSplit/>
        </w:trPr>
        <w:tc>
          <w:tcPr>
            <w:tcW w:w="714" w:type="dxa"/>
            <w:tcBorders>
              <w:top w:val="single" w:sz="12" w:space="0" w:color="auto"/>
              <w:bottom w:val="single" w:sz="2" w:space="0" w:color="auto"/>
            </w:tcBorders>
            <w:shd w:val="clear" w:color="auto" w:fill="auto"/>
          </w:tcPr>
          <w:p w:rsidR="00887330" w:rsidRPr="00583E1A" w:rsidRDefault="00887330" w:rsidP="00887330">
            <w:pPr>
              <w:pStyle w:val="Tabletext"/>
            </w:pPr>
            <w:r w:rsidRPr="00583E1A">
              <w:t>1</w:t>
            </w:r>
          </w:p>
        </w:tc>
        <w:tc>
          <w:tcPr>
            <w:tcW w:w="2124" w:type="dxa"/>
            <w:tcBorders>
              <w:top w:val="single" w:sz="12" w:space="0" w:color="auto"/>
              <w:bottom w:val="single" w:sz="2" w:space="0" w:color="auto"/>
            </w:tcBorders>
            <w:shd w:val="clear" w:color="auto" w:fill="auto"/>
          </w:tcPr>
          <w:p w:rsidR="00887330" w:rsidRPr="00583E1A" w:rsidRDefault="00887330" w:rsidP="00887330">
            <w:pPr>
              <w:pStyle w:val="Tabletext"/>
            </w:pPr>
            <w:r w:rsidRPr="00583E1A">
              <w:t>the entity who is capable of exercising the option</w:t>
            </w:r>
          </w:p>
        </w:tc>
        <w:tc>
          <w:tcPr>
            <w:tcW w:w="2124" w:type="dxa"/>
            <w:tcBorders>
              <w:top w:val="single" w:sz="12" w:space="0" w:color="auto"/>
              <w:bottom w:val="single" w:sz="2" w:space="0" w:color="auto"/>
            </w:tcBorders>
            <w:shd w:val="clear" w:color="auto" w:fill="auto"/>
          </w:tcPr>
          <w:p w:rsidR="00887330" w:rsidRPr="00583E1A" w:rsidRDefault="00887330" w:rsidP="00887330">
            <w:pPr>
              <w:pStyle w:val="Tablea"/>
            </w:pPr>
            <w:r w:rsidRPr="00583E1A">
              <w:t>(a) forex realisation event 3;</w:t>
            </w:r>
          </w:p>
          <w:p w:rsidR="00887330" w:rsidRPr="00583E1A" w:rsidRDefault="00887330" w:rsidP="00887330">
            <w:pPr>
              <w:pStyle w:val="Tablea"/>
            </w:pPr>
            <w:r w:rsidRPr="00583E1A">
              <w:t>(b) forex realisation event 5</w:t>
            </w:r>
          </w:p>
        </w:tc>
        <w:tc>
          <w:tcPr>
            <w:tcW w:w="2124" w:type="dxa"/>
            <w:tcBorders>
              <w:top w:val="single" w:sz="12" w:space="0" w:color="auto"/>
              <w:bottom w:val="single" w:sz="2" w:space="0" w:color="auto"/>
            </w:tcBorders>
            <w:shd w:val="clear" w:color="auto" w:fill="auto"/>
          </w:tcPr>
          <w:p w:rsidR="00887330" w:rsidRPr="00583E1A" w:rsidRDefault="00887330" w:rsidP="00887330">
            <w:pPr>
              <w:pStyle w:val="Tabletext"/>
            </w:pPr>
            <w:r w:rsidRPr="00583E1A">
              <w:t>ignore forex realisation event 3.</w:t>
            </w:r>
          </w:p>
        </w:tc>
      </w:tr>
      <w:tr w:rsidR="00887330" w:rsidRPr="00583E1A">
        <w:trPr>
          <w:cantSplit/>
        </w:trPr>
        <w:tc>
          <w:tcPr>
            <w:tcW w:w="714" w:type="dxa"/>
            <w:tcBorders>
              <w:top w:val="single" w:sz="2" w:space="0" w:color="auto"/>
              <w:bottom w:val="single" w:sz="12" w:space="0" w:color="auto"/>
            </w:tcBorders>
            <w:shd w:val="clear" w:color="auto" w:fill="auto"/>
          </w:tcPr>
          <w:p w:rsidR="00887330" w:rsidRPr="00583E1A" w:rsidRDefault="00887330" w:rsidP="00887330">
            <w:pPr>
              <w:pStyle w:val="Tabletext"/>
            </w:pPr>
            <w:r w:rsidRPr="00583E1A">
              <w:t>2</w:t>
            </w:r>
          </w:p>
        </w:tc>
        <w:tc>
          <w:tcPr>
            <w:tcW w:w="2124" w:type="dxa"/>
            <w:tcBorders>
              <w:top w:val="single" w:sz="2" w:space="0" w:color="auto"/>
              <w:bottom w:val="single" w:sz="12" w:space="0" w:color="auto"/>
            </w:tcBorders>
            <w:shd w:val="clear" w:color="auto" w:fill="auto"/>
          </w:tcPr>
          <w:p w:rsidR="00887330" w:rsidRPr="00583E1A" w:rsidRDefault="00887330" w:rsidP="00887330">
            <w:pPr>
              <w:pStyle w:val="Tabletext"/>
            </w:pPr>
            <w:r w:rsidRPr="00583E1A">
              <w:t>the entity who granted the option</w:t>
            </w:r>
          </w:p>
        </w:tc>
        <w:tc>
          <w:tcPr>
            <w:tcW w:w="2124" w:type="dxa"/>
            <w:tcBorders>
              <w:top w:val="single" w:sz="2" w:space="0" w:color="auto"/>
              <w:bottom w:val="single" w:sz="12" w:space="0" w:color="auto"/>
            </w:tcBorders>
            <w:shd w:val="clear" w:color="auto" w:fill="auto"/>
          </w:tcPr>
          <w:p w:rsidR="00887330" w:rsidRPr="00583E1A" w:rsidRDefault="00887330" w:rsidP="00887330">
            <w:pPr>
              <w:pStyle w:val="Tablea"/>
            </w:pPr>
            <w:r w:rsidRPr="00583E1A">
              <w:t>(a) forex realisation event 3;</w:t>
            </w:r>
          </w:p>
          <w:p w:rsidR="00887330" w:rsidRPr="00583E1A" w:rsidRDefault="00887330" w:rsidP="00887330">
            <w:pPr>
              <w:pStyle w:val="Tablea"/>
            </w:pPr>
            <w:r w:rsidRPr="00583E1A">
              <w:t>(b) forex realisation event 4</w:t>
            </w:r>
          </w:p>
        </w:tc>
        <w:tc>
          <w:tcPr>
            <w:tcW w:w="2124" w:type="dxa"/>
            <w:tcBorders>
              <w:top w:val="single" w:sz="2" w:space="0" w:color="auto"/>
              <w:bottom w:val="single" w:sz="12" w:space="0" w:color="auto"/>
            </w:tcBorders>
            <w:shd w:val="clear" w:color="auto" w:fill="auto"/>
          </w:tcPr>
          <w:p w:rsidR="00887330" w:rsidRPr="00583E1A" w:rsidRDefault="00887330" w:rsidP="00887330">
            <w:pPr>
              <w:pStyle w:val="Tabletext"/>
            </w:pPr>
            <w:r w:rsidRPr="00583E1A">
              <w:t>ignore forex realisation event 3.</w:t>
            </w:r>
          </w:p>
        </w:tc>
      </w:tr>
    </w:tbl>
    <w:p w:rsidR="00887330" w:rsidRPr="00583E1A" w:rsidRDefault="00887330" w:rsidP="00887330">
      <w:pPr>
        <w:pStyle w:val="SubsectionHead"/>
      </w:pPr>
      <w:r w:rsidRPr="00583E1A">
        <w:t>Forward contracts</w:t>
      </w:r>
    </w:p>
    <w:p w:rsidR="00887330" w:rsidRPr="00583E1A" w:rsidRDefault="00887330" w:rsidP="00887330">
      <w:pPr>
        <w:pStyle w:val="subsection"/>
      </w:pPr>
      <w:r w:rsidRPr="00583E1A">
        <w:tab/>
        <w:t>(3)</w:t>
      </w:r>
      <w:r w:rsidRPr="00583E1A">
        <w:tab/>
        <w:t xml:space="preserve">The following table applies to a contract to buy a particular </w:t>
      </w:r>
      <w:r w:rsidR="00583E1A" w:rsidRPr="00583E1A">
        <w:rPr>
          <w:position w:val="6"/>
          <w:sz w:val="16"/>
        </w:rPr>
        <w:t>*</w:t>
      </w:r>
      <w:r w:rsidRPr="00583E1A">
        <w:t>foreign currency in return for another foreign currency:</w:t>
      </w:r>
    </w:p>
    <w:p w:rsidR="00887330" w:rsidRPr="00583E1A" w:rsidRDefault="00887330" w:rsidP="00887330">
      <w:pPr>
        <w:pStyle w:val="Tabletext"/>
      </w:pPr>
    </w:p>
    <w:tbl>
      <w:tblPr>
        <w:tblW w:w="0" w:type="auto"/>
        <w:tblInd w:w="113" w:type="dxa"/>
        <w:tblLayout w:type="fixed"/>
        <w:tblLook w:val="0000" w:firstRow="0" w:lastRow="0" w:firstColumn="0" w:lastColumn="0" w:noHBand="0" w:noVBand="0"/>
      </w:tblPr>
      <w:tblGrid>
        <w:gridCol w:w="714"/>
        <w:gridCol w:w="3186"/>
        <w:gridCol w:w="3186"/>
      </w:tblGrid>
      <w:tr w:rsidR="00887330" w:rsidRPr="00583E1A">
        <w:trPr>
          <w:cantSplit/>
          <w:tblHeader/>
        </w:trPr>
        <w:tc>
          <w:tcPr>
            <w:tcW w:w="7086" w:type="dxa"/>
            <w:gridSpan w:val="3"/>
            <w:tcBorders>
              <w:top w:val="single" w:sz="12" w:space="0" w:color="auto"/>
              <w:bottom w:val="single" w:sz="6" w:space="0" w:color="auto"/>
            </w:tcBorders>
            <w:shd w:val="clear" w:color="auto" w:fill="auto"/>
          </w:tcPr>
          <w:p w:rsidR="00887330" w:rsidRPr="00583E1A" w:rsidRDefault="00887330" w:rsidP="00887330">
            <w:pPr>
              <w:pStyle w:val="Tabletext"/>
              <w:keepNext/>
              <w:rPr>
                <w:b/>
              </w:rPr>
            </w:pPr>
            <w:r w:rsidRPr="00583E1A">
              <w:rPr>
                <w:b/>
              </w:rPr>
              <w:t>Forward contracts</w:t>
            </w:r>
          </w:p>
        </w:tc>
      </w:tr>
      <w:tr w:rsidR="00887330" w:rsidRPr="00583E1A">
        <w:trPr>
          <w:cantSplit/>
          <w:tblHeader/>
        </w:trPr>
        <w:tc>
          <w:tcPr>
            <w:tcW w:w="714" w:type="dxa"/>
            <w:tcBorders>
              <w:top w:val="single" w:sz="6" w:space="0" w:color="auto"/>
              <w:bottom w:val="single" w:sz="12" w:space="0" w:color="auto"/>
            </w:tcBorders>
            <w:shd w:val="clear" w:color="auto" w:fill="auto"/>
          </w:tcPr>
          <w:p w:rsidR="00887330" w:rsidRPr="00583E1A" w:rsidRDefault="00887330" w:rsidP="00887330">
            <w:pPr>
              <w:pStyle w:val="Tabletext"/>
              <w:keepNext/>
              <w:rPr>
                <w:b/>
              </w:rPr>
            </w:pPr>
            <w:r w:rsidRPr="00583E1A">
              <w:rPr>
                <w:b/>
              </w:rPr>
              <w:t>Item</w:t>
            </w:r>
          </w:p>
        </w:tc>
        <w:tc>
          <w:tcPr>
            <w:tcW w:w="3186" w:type="dxa"/>
            <w:tcBorders>
              <w:top w:val="single" w:sz="6" w:space="0" w:color="auto"/>
              <w:bottom w:val="single" w:sz="12" w:space="0" w:color="auto"/>
            </w:tcBorders>
            <w:shd w:val="clear" w:color="auto" w:fill="auto"/>
          </w:tcPr>
          <w:p w:rsidR="00887330" w:rsidRPr="00583E1A" w:rsidRDefault="00887330" w:rsidP="00887330">
            <w:pPr>
              <w:pStyle w:val="Tabletext"/>
              <w:keepNext/>
            </w:pPr>
            <w:r w:rsidRPr="00583E1A">
              <w:rPr>
                <w:b/>
              </w:rPr>
              <w:t>If both of these events happen when the contract is carried out...</w:t>
            </w:r>
          </w:p>
        </w:tc>
        <w:tc>
          <w:tcPr>
            <w:tcW w:w="3186" w:type="dxa"/>
            <w:tcBorders>
              <w:top w:val="single" w:sz="6" w:space="0" w:color="auto"/>
              <w:bottom w:val="single" w:sz="12" w:space="0" w:color="auto"/>
            </w:tcBorders>
            <w:shd w:val="clear" w:color="auto" w:fill="auto"/>
          </w:tcPr>
          <w:p w:rsidR="00887330" w:rsidRPr="00583E1A" w:rsidRDefault="00887330" w:rsidP="00887330">
            <w:pPr>
              <w:pStyle w:val="Tabletext"/>
              <w:keepNext/>
              <w:rPr>
                <w:b/>
              </w:rPr>
            </w:pPr>
            <w:r w:rsidRPr="00583E1A">
              <w:rPr>
                <w:b/>
              </w:rPr>
              <w:t>this is the result...</w:t>
            </w:r>
          </w:p>
        </w:tc>
      </w:tr>
      <w:tr w:rsidR="00887330" w:rsidRPr="00583E1A">
        <w:trPr>
          <w:cantSplit/>
        </w:trPr>
        <w:tc>
          <w:tcPr>
            <w:tcW w:w="714" w:type="dxa"/>
            <w:tcBorders>
              <w:top w:val="single" w:sz="12" w:space="0" w:color="auto"/>
              <w:bottom w:val="single" w:sz="2" w:space="0" w:color="auto"/>
            </w:tcBorders>
            <w:shd w:val="clear" w:color="auto" w:fill="auto"/>
          </w:tcPr>
          <w:p w:rsidR="00887330" w:rsidRPr="00583E1A" w:rsidRDefault="00887330" w:rsidP="00887330">
            <w:pPr>
              <w:pStyle w:val="Tabletext"/>
            </w:pPr>
            <w:r w:rsidRPr="00583E1A">
              <w:t>1</w:t>
            </w:r>
          </w:p>
        </w:tc>
        <w:tc>
          <w:tcPr>
            <w:tcW w:w="3186" w:type="dxa"/>
            <w:tcBorders>
              <w:top w:val="single" w:sz="12" w:space="0" w:color="auto"/>
              <w:bottom w:val="single" w:sz="2" w:space="0" w:color="auto"/>
            </w:tcBorders>
            <w:shd w:val="clear" w:color="auto" w:fill="auto"/>
          </w:tcPr>
          <w:p w:rsidR="00887330" w:rsidRPr="00583E1A" w:rsidRDefault="00887330" w:rsidP="00887330">
            <w:pPr>
              <w:pStyle w:val="Tablea"/>
            </w:pPr>
            <w:r w:rsidRPr="00583E1A">
              <w:t>(a) forex realisation event 1;</w:t>
            </w:r>
          </w:p>
          <w:p w:rsidR="00887330" w:rsidRPr="00583E1A" w:rsidRDefault="00887330" w:rsidP="00887330">
            <w:pPr>
              <w:pStyle w:val="Tabletext"/>
            </w:pPr>
            <w:r w:rsidRPr="00583E1A">
              <w:t>(b) forex realisation event 4</w:t>
            </w:r>
          </w:p>
        </w:tc>
        <w:tc>
          <w:tcPr>
            <w:tcW w:w="3186" w:type="dxa"/>
            <w:tcBorders>
              <w:top w:val="single" w:sz="12" w:space="0" w:color="auto"/>
              <w:bottom w:val="single" w:sz="2" w:space="0" w:color="auto"/>
            </w:tcBorders>
            <w:shd w:val="clear" w:color="auto" w:fill="auto"/>
          </w:tcPr>
          <w:p w:rsidR="00887330" w:rsidRPr="00583E1A" w:rsidRDefault="00887330" w:rsidP="00887330">
            <w:pPr>
              <w:pStyle w:val="Tabletext"/>
            </w:pPr>
            <w:r w:rsidRPr="00583E1A">
              <w:t>ignore forex realisation event 4.</w:t>
            </w:r>
          </w:p>
        </w:tc>
      </w:tr>
      <w:tr w:rsidR="00887330" w:rsidRPr="00583E1A">
        <w:trPr>
          <w:cantSplit/>
        </w:trPr>
        <w:tc>
          <w:tcPr>
            <w:tcW w:w="714" w:type="dxa"/>
            <w:tcBorders>
              <w:top w:val="single" w:sz="2" w:space="0" w:color="auto"/>
              <w:bottom w:val="single" w:sz="12" w:space="0" w:color="auto"/>
            </w:tcBorders>
            <w:shd w:val="clear" w:color="auto" w:fill="auto"/>
          </w:tcPr>
          <w:p w:rsidR="00887330" w:rsidRPr="00583E1A" w:rsidRDefault="00887330" w:rsidP="00887330">
            <w:pPr>
              <w:pStyle w:val="Tabletext"/>
            </w:pPr>
            <w:r w:rsidRPr="00583E1A">
              <w:t>2</w:t>
            </w:r>
          </w:p>
        </w:tc>
        <w:tc>
          <w:tcPr>
            <w:tcW w:w="3186" w:type="dxa"/>
            <w:tcBorders>
              <w:top w:val="single" w:sz="2" w:space="0" w:color="auto"/>
              <w:bottom w:val="single" w:sz="12" w:space="0" w:color="auto"/>
            </w:tcBorders>
            <w:shd w:val="clear" w:color="auto" w:fill="auto"/>
          </w:tcPr>
          <w:p w:rsidR="00887330" w:rsidRPr="00583E1A" w:rsidRDefault="00887330" w:rsidP="00887330">
            <w:pPr>
              <w:pStyle w:val="Tablea"/>
            </w:pPr>
            <w:r w:rsidRPr="00583E1A">
              <w:t>(a) forex realisation event 2;</w:t>
            </w:r>
          </w:p>
          <w:p w:rsidR="00887330" w:rsidRPr="00583E1A" w:rsidRDefault="00887330" w:rsidP="00887330">
            <w:pPr>
              <w:pStyle w:val="Tabletext"/>
            </w:pPr>
            <w:r w:rsidRPr="00583E1A">
              <w:t>(b) forex realisation event 4</w:t>
            </w:r>
          </w:p>
        </w:tc>
        <w:tc>
          <w:tcPr>
            <w:tcW w:w="3186" w:type="dxa"/>
            <w:tcBorders>
              <w:top w:val="single" w:sz="2" w:space="0" w:color="auto"/>
              <w:bottom w:val="single" w:sz="12" w:space="0" w:color="auto"/>
            </w:tcBorders>
            <w:shd w:val="clear" w:color="auto" w:fill="auto"/>
          </w:tcPr>
          <w:p w:rsidR="00887330" w:rsidRPr="00583E1A" w:rsidRDefault="00887330" w:rsidP="00887330">
            <w:pPr>
              <w:pStyle w:val="Tabletext"/>
            </w:pPr>
            <w:r w:rsidRPr="00583E1A">
              <w:t>ignore forex realisation event 4.</w:t>
            </w:r>
          </w:p>
        </w:tc>
      </w:tr>
    </w:tbl>
    <w:p w:rsidR="00887330" w:rsidRPr="00583E1A" w:rsidRDefault="00887330" w:rsidP="00641800">
      <w:pPr>
        <w:pStyle w:val="SubsectionHead"/>
      </w:pPr>
      <w:r w:rsidRPr="00583E1A">
        <w:lastRenderedPageBreak/>
        <w:t>Residual rule</w:t>
      </w:r>
    </w:p>
    <w:p w:rsidR="00887330" w:rsidRPr="00583E1A" w:rsidRDefault="00887330" w:rsidP="00641800">
      <w:pPr>
        <w:pStyle w:val="subsection"/>
        <w:keepNext/>
        <w:keepLines/>
      </w:pPr>
      <w:r w:rsidRPr="00583E1A">
        <w:tab/>
        <w:t>(4)</w:t>
      </w:r>
      <w:r w:rsidRPr="00583E1A">
        <w:tab/>
        <w:t>If:</w:t>
      </w:r>
    </w:p>
    <w:p w:rsidR="00887330" w:rsidRPr="00583E1A" w:rsidRDefault="00887330" w:rsidP="00887330">
      <w:pPr>
        <w:pStyle w:val="paragraph"/>
      </w:pPr>
      <w:r w:rsidRPr="00583E1A">
        <w:tab/>
        <w:t>(a)</w:t>
      </w:r>
      <w:r w:rsidRPr="00583E1A">
        <w:tab/>
        <w:t>2 or more of forex realisation event</w:t>
      </w:r>
      <w:smartTag w:uri="urn:schemas-microsoft-com:office:smarttags" w:element="PersonName">
        <w:r w:rsidRPr="00583E1A">
          <w:t>s 1</w:t>
        </w:r>
      </w:smartTag>
      <w:r w:rsidRPr="00583E1A">
        <w:t>, 2, 3, 4 and 5 happen to you at the same time in relation to the same rights and/or obligations; and</w:t>
      </w:r>
    </w:p>
    <w:p w:rsidR="00887330" w:rsidRPr="00583E1A" w:rsidRDefault="00887330" w:rsidP="00887330">
      <w:pPr>
        <w:pStyle w:val="paragraph"/>
      </w:pPr>
      <w:r w:rsidRPr="00583E1A">
        <w:tab/>
        <w:t>(b)</w:t>
      </w:r>
      <w:r w:rsidRPr="00583E1A">
        <w:tab/>
        <w:t>none of the above subsections applies;</w:t>
      </w:r>
    </w:p>
    <w:p w:rsidR="00887330" w:rsidRPr="00583E1A" w:rsidRDefault="00887330" w:rsidP="00887330">
      <w:pPr>
        <w:pStyle w:val="subsection2"/>
      </w:pPr>
      <w:r w:rsidRPr="00583E1A">
        <w:t>apply the forex realisation event that is most appropriate, and ignore the remaining event or events.</w:t>
      </w:r>
    </w:p>
    <w:p w:rsidR="00887330" w:rsidRPr="00583E1A" w:rsidRDefault="00887330" w:rsidP="00887330">
      <w:pPr>
        <w:pStyle w:val="ActHead5"/>
      </w:pPr>
      <w:bookmarkStart w:id="79" w:name="_Toc338939153"/>
      <w:r w:rsidRPr="00583E1A">
        <w:rPr>
          <w:rStyle w:val="CharSectno"/>
        </w:rPr>
        <w:t>775</w:t>
      </w:r>
      <w:r w:rsidR="00583E1A">
        <w:rPr>
          <w:rStyle w:val="CharSectno"/>
        </w:rPr>
        <w:noBreakHyphen/>
      </w:r>
      <w:r w:rsidRPr="00583E1A">
        <w:rPr>
          <w:rStyle w:val="CharSectno"/>
        </w:rPr>
        <w:t>70</w:t>
      </w:r>
      <w:r w:rsidRPr="00583E1A">
        <w:t xml:space="preserve">  Tax consequences of certain short</w:t>
      </w:r>
      <w:r w:rsidR="00583E1A">
        <w:noBreakHyphen/>
      </w:r>
      <w:r w:rsidRPr="00583E1A">
        <w:t>term forex realisation gains</w:t>
      </w:r>
      <w:bookmarkEnd w:id="79"/>
    </w:p>
    <w:p w:rsidR="00887330" w:rsidRPr="00583E1A" w:rsidRDefault="00887330" w:rsidP="00887330">
      <w:pPr>
        <w:pStyle w:val="subsection"/>
      </w:pPr>
      <w:r w:rsidRPr="00583E1A">
        <w:tab/>
        <w:t>(1)</w:t>
      </w:r>
      <w:r w:rsidRPr="00583E1A">
        <w:tab/>
        <w:t>The following table has effect unless you have made a choice under section</w:t>
      </w:r>
      <w:r w:rsidR="00583E1A">
        <w:t> </w:t>
      </w:r>
      <w:r w:rsidRPr="00583E1A">
        <w:t>775</w:t>
      </w:r>
      <w:r w:rsidR="00583E1A">
        <w:noBreakHyphen/>
      </w:r>
      <w:r w:rsidRPr="00583E1A">
        <w:t>80:</w:t>
      </w:r>
    </w:p>
    <w:p w:rsidR="00887330" w:rsidRPr="00583E1A" w:rsidRDefault="00887330" w:rsidP="00887330">
      <w:pPr>
        <w:pStyle w:val="Tabletext"/>
      </w:pPr>
    </w:p>
    <w:tbl>
      <w:tblPr>
        <w:tblW w:w="0" w:type="auto"/>
        <w:tblInd w:w="108" w:type="dxa"/>
        <w:tblLayout w:type="fixed"/>
        <w:tblLook w:val="0000" w:firstRow="0" w:lastRow="0" w:firstColumn="0" w:lastColumn="0" w:noHBand="0" w:noVBand="0"/>
      </w:tblPr>
      <w:tblGrid>
        <w:gridCol w:w="709"/>
        <w:gridCol w:w="2921"/>
        <w:gridCol w:w="3410"/>
      </w:tblGrid>
      <w:tr w:rsidR="00887330" w:rsidRPr="00583E1A">
        <w:trPr>
          <w:cantSplit/>
          <w:tblHeader/>
        </w:trPr>
        <w:tc>
          <w:tcPr>
            <w:tcW w:w="7040" w:type="dxa"/>
            <w:gridSpan w:val="3"/>
            <w:tcBorders>
              <w:top w:val="single" w:sz="12" w:space="0" w:color="auto"/>
              <w:bottom w:val="single" w:sz="6" w:space="0" w:color="auto"/>
            </w:tcBorders>
            <w:shd w:val="clear" w:color="auto" w:fill="auto"/>
          </w:tcPr>
          <w:p w:rsidR="00887330" w:rsidRPr="00583E1A" w:rsidRDefault="00887330" w:rsidP="00887330">
            <w:pPr>
              <w:pStyle w:val="Tabletext"/>
              <w:keepNext/>
              <w:rPr>
                <w:b/>
              </w:rPr>
            </w:pPr>
            <w:r w:rsidRPr="00583E1A">
              <w:rPr>
                <w:b/>
              </w:rPr>
              <w:t>Tax consequences of certain short</w:t>
            </w:r>
            <w:r w:rsidR="00583E1A">
              <w:rPr>
                <w:b/>
              </w:rPr>
              <w:noBreakHyphen/>
            </w:r>
            <w:r w:rsidRPr="00583E1A">
              <w:rPr>
                <w:b/>
              </w:rPr>
              <w:t>term forex realisation gains</w:t>
            </w:r>
          </w:p>
        </w:tc>
      </w:tr>
      <w:tr w:rsidR="00887330" w:rsidRPr="00583E1A">
        <w:trPr>
          <w:cantSplit/>
          <w:tblHeader/>
        </w:trPr>
        <w:tc>
          <w:tcPr>
            <w:tcW w:w="709" w:type="dxa"/>
            <w:tcBorders>
              <w:top w:val="single" w:sz="6" w:space="0" w:color="auto"/>
              <w:bottom w:val="single" w:sz="12" w:space="0" w:color="auto"/>
            </w:tcBorders>
            <w:shd w:val="clear" w:color="auto" w:fill="auto"/>
          </w:tcPr>
          <w:p w:rsidR="00887330" w:rsidRPr="00583E1A" w:rsidRDefault="00887330" w:rsidP="00887330">
            <w:pPr>
              <w:pStyle w:val="Tabletext"/>
              <w:keepNext/>
              <w:rPr>
                <w:b/>
              </w:rPr>
            </w:pPr>
            <w:r w:rsidRPr="00583E1A">
              <w:rPr>
                <w:b/>
              </w:rPr>
              <w:t>Item</w:t>
            </w:r>
          </w:p>
        </w:tc>
        <w:tc>
          <w:tcPr>
            <w:tcW w:w="2921" w:type="dxa"/>
            <w:tcBorders>
              <w:top w:val="single" w:sz="6" w:space="0" w:color="auto"/>
              <w:bottom w:val="single" w:sz="12" w:space="0" w:color="auto"/>
            </w:tcBorders>
            <w:shd w:val="clear" w:color="auto" w:fill="auto"/>
          </w:tcPr>
          <w:p w:rsidR="00887330" w:rsidRPr="00583E1A" w:rsidRDefault="00887330" w:rsidP="00887330">
            <w:pPr>
              <w:pStyle w:val="Tabletext"/>
              <w:keepNext/>
              <w:rPr>
                <w:b/>
              </w:rPr>
            </w:pPr>
            <w:r w:rsidRPr="00583E1A">
              <w:rPr>
                <w:b/>
              </w:rPr>
              <w:t>In this case...</w:t>
            </w:r>
          </w:p>
        </w:tc>
        <w:tc>
          <w:tcPr>
            <w:tcW w:w="3410" w:type="dxa"/>
            <w:tcBorders>
              <w:top w:val="single" w:sz="6" w:space="0" w:color="auto"/>
              <w:bottom w:val="single" w:sz="12" w:space="0" w:color="auto"/>
            </w:tcBorders>
            <w:shd w:val="clear" w:color="auto" w:fill="auto"/>
          </w:tcPr>
          <w:p w:rsidR="00887330" w:rsidRPr="00583E1A" w:rsidRDefault="00887330" w:rsidP="00887330">
            <w:pPr>
              <w:pStyle w:val="Tabletext"/>
              <w:keepNext/>
              <w:rPr>
                <w:b/>
              </w:rPr>
            </w:pPr>
            <w:r w:rsidRPr="00583E1A">
              <w:rPr>
                <w:b/>
              </w:rPr>
              <w:t>this is the result...</w:t>
            </w:r>
          </w:p>
        </w:tc>
      </w:tr>
      <w:tr w:rsidR="00887330" w:rsidRPr="00583E1A">
        <w:trPr>
          <w:cantSplit/>
        </w:trPr>
        <w:tc>
          <w:tcPr>
            <w:tcW w:w="709" w:type="dxa"/>
            <w:tcBorders>
              <w:top w:val="single" w:sz="12" w:space="0" w:color="auto"/>
              <w:bottom w:val="single" w:sz="2" w:space="0" w:color="auto"/>
            </w:tcBorders>
            <w:shd w:val="clear" w:color="auto" w:fill="auto"/>
          </w:tcPr>
          <w:p w:rsidR="00887330" w:rsidRPr="00583E1A" w:rsidRDefault="00887330" w:rsidP="00887330">
            <w:pPr>
              <w:pStyle w:val="Tabletext"/>
            </w:pPr>
            <w:r w:rsidRPr="00583E1A">
              <w:t>1</w:t>
            </w:r>
          </w:p>
        </w:tc>
        <w:tc>
          <w:tcPr>
            <w:tcW w:w="2921" w:type="dxa"/>
            <w:tcBorders>
              <w:top w:val="single" w:sz="12" w:space="0" w:color="auto"/>
              <w:bottom w:val="single" w:sz="2" w:space="0" w:color="auto"/>
            </w:tcBorders>
            <w:shd w:val="clear" w:color="auto" w:fill="auto"/>
          </w:tcPr>
          <w:p w:rsidR="00887330" w:rsidRPr="00583E1A" w:rsidRDefault="00887330" w:rsidP="00887330">
            <w:pPr>
              <w:pStyle w:val="Tabletext"/>
            </w:pPr>
            <w:r w:rsidRPr="00583E1A">
              <w:t xml:space="preserve">you make a </w:t>
            </w:r>
            <w:r w:rsidR="00583E1A" w:rsidRPr="00583E1A">
              <w:rPr>
                <w:position w:val="6"/>
                <w:sz w:val="16"/>
              </w:rPr>
              <w:t>*</w:t>
            </w:r>
            <w:r w:rsidRPr="00583E1A">
              <w:t>forex realisation gain as a result of forex realisation event 2, and:</w:t>
            </w:r>
          </w:p>
          <w:p w:rsidR="00887330" w:rsidRPr="00583E1A" w:rsidRDefault="00887330" w:rsidP="00887330">
            <w:pPr>
              <w:pStyle w:val="Tablea"/>
            </w:pPr>
            <w:r w:rsidRPr="00583E1A">
              <w:t xml:space="preserve">(a) the right to receive </w:t>
            </w:r>
            <w:r w:rsidR="00583E1A" w:rsidRPr="00583E1A">
              <w:rPr>
                <w:position w:val="6"/>
                <w:sz w:val="16"/>
              </w:rPr>
              <w:t>*</w:t>
            </w:r>
            <w:r w:rsidRPr="00583E1A">
              <w:t xml:space="preserve">foreign currency was created in return for the occurrence of a </w:t>
            </w:r>
            <w:r w:rsidR="00583E1A" w:rsidRPr="00583E1A">
              <w:rPr>
                <w:position w:val="6"/>
                <w:sz w:val="16"/>
              </w:rPr>
              <w:t>*</w:t>
            </w:r>
            <w:r w:rsidRPr="00583E1A">
              <w:t xml:space="preserve">realisation event in relation to a </w:t>
            </w:r>
            <w:r w:rsidR="00583E1A" w:rsidRPr="00583E1A">
              <w:rPr>
                <w:position w:val="6"/>
                <w:sz w:val="16"/>
              </w:rPr>
              <w:t>*</w:t>
            </w:r>
            <w:r w:rsidRPr="00583E1A">
              <w:t>CGT asset you own; and</w:t>
            </w:r>
          </w:p>
          <w:p w:rsidR="00887330" w:rsidRPr="00583E1A" w:rsidRDefault="00887330" w:rsidP="00887330">
            <w:pPr>
              <w:pStyle w:val="Tablea"/>
            </w:pPr>
            <w:r w:rsidRPr="00583E1A">
              <w:t>(b) item</w:t>
            </w:r>
            <w:r w:rsidR="00583E1A">
              <w:t> </w:t>
            </w:r>
            <w:r w:rsidRPr="00583E1A">
              <w:t>6 of the table in subsection 775</w:t>
            </w:r>
            <w:r w:rsidR="00583E1A">
              <w:noBreakHyphen/>
            </w:r>
            <w:r w:rsidRPr="00583E1A">
              <w:t>45(7) applies; and</w:t>
            </w:r>
          </w:p>
          <w:p w:rsidR="00887330" w:rsidRPr="00583E1A" w:rsidRDefault="00887330" w:rsidP="00887330">
            <w:pPr>
              <w:pStyle w:val="Tablea"/>
            </w:pPr>
            <w:r w:rsidRPr="00583E1A">
              <w:t>(c) the foreign currency became due for payment within 12 months after the occurrence of the realisation event</w:t>
            </w:r>
          </w:p>
        </w:tc>
        <w:tc>
          <w:tcPr>
            <w:tcW w:w="3410" w:type="dxa"/>
            <w:tcBorders>
              <w:top w:val="single" w:sz="12" w:space="0" w:color="auto"/>
              <w:bottom w:val="single" w:sz="2" w:space="0" w:color="auto"/>
            </w:tcBorders>
            <w:shd w:val="clear" w:color="auto" w:fill="auto"/>
          </w:tcPr>
          <w:p w:rsidR="00887330" w:rsidRPr="00583E1A" w:rsidRDefault="00887330" w:rsidP="00887330">
            <w:pPr>
              <w:pStyle w:val="Tablea"/>
            </w:pPr>
            <w:r w:rsidRPr="00583E1A">
              <w:t>(a) the forex realisation gain is not included in your assessable income under section</w:t>
            </w:r>
            <w:r w:rsidR="00583E1A">
              <w:t> </w:t>
            </w:r>
            <w:r w:rsidRPr="00583E1A">
              <w:t>775</w:t>
            </w:r>
            <w:r w:rsidR="00583E1A">
              <w:noBreakHyphen/>
            </w:r>
            <w:r w:rsidRPr="00583E1A">
              <w:t>15; and</w:t>
            </w:r>
          </w:p>
          <w:p w:rsidR="00887330" w:rsidRPr="00583E1A" w:rsidRDefault="00887330" w:rsidP="00887330">
            <w:pPr>
              <w:pStyle w:val="Tablea"/>
            </w:pPr>
            <w:r w:rsidRPr="00583E1A">
              <w:t>(b) CGT event K10 happens.</w:t>
            </w:r>
          </w:p>
        </w:tc>
      </w:tr>
      <w:tr w:rsidR="00887330" w:rsidRPr="00583E1A">
        <w:trPr>
          <w:cantSplit/>
        </w:trPr>
        <w:tc>
          <w:tcPr>
            <w:tcW w:w="709" w:type="dxa"/>
            <w:tcBorders>
              <w:top w:val="single" w:sz="2" w:space="0" w:color="auto"/>
              <w:bottom w:val="single" w:sz="2" w:space="0" w:color="auto"/>
            </w:tcBorders>
            <w:shd w:val="clear" w:color="auto" w:fill="auto"/>
          </w:tcPr>
          <w:p w:rsidR="00887330" w:rsidRPr="00583E1A" w:rsidRDefault="00887330" w:rsidP="00887330">
            <w:pPr>
              <w:pStyle w:val="Tabletext"/>
            </w:pPr>
            <w:r w:rsidRPr="00583E1A">
              <w:lastRenderedPageBreak/>
              <w:t>2</w:t>
            </w:r>
          </w:p>
        </w:tc>
        <w:tc>
          <w:tcPr>
            <w:tcW w:w="2921" w:type="dxa"/>
            <w:tcBorders>
              <w:top w:val="single" w:sz="2" w:space="0" w:color="auto"/>
              <w:bottom w:val="single" w:sz="2" w:space="0" w:color="auto"/>
            </w:tcBorders>
            <w:shd w:val="clear" w:color="auto" w:fill="auto"/>
          </w:tcPr>
          <w:p w:rsidR="00887330" w:rsidRPr="00583E1A" w:rsidRDefault="00887330" w:rsidP="00887330">
            <w:pPr>
              <w:pStyle w:val="Tabletext"/>
            </w:pPr>
            <w:r w:rsidRPr="00583E1A">
              <w:t xml:space="preserve">you make a </w:t>
            </w:r>
            <w:r w:rsidR="00583E1A" w:rsidRPr="00583E1A">
              <w:rPr>
                <w:position w:val="6"/>
                <w:sz w:val="16"/>
              </w:rPr>
              <w:t>*</w:t>
            </w:r>
            <w:r w:rsidRPr="00583E1A">
              <w:t>forex realisation gain as a result of forex realisation event 4, and:</w:t>
            </w:r>
          </w:p>
          <w:p w:rsidR="00887330" w:rsidRPr="00583E1A" w:rsidRDefault="00887330" w:rsidP="00887330">
            <w:pPr>
              <w:pStyle w:val="Tablea"/>
            </w:pPr>
            <w:r w:rsidRPr="00583E1A">
              <w:t xml:space="preserve">(a) the obligation to pay </w:t>
            </w:r>
            <w:r w:rsidR="00583E1A" w:rsidRPr="00583E1A">
              <w:rPr>
                <w:position w:val="6"/>
                <w:sz w:val="16"/>
              </w:rPr>
              <w:t>*</w:t>
            </w:r>
            <w:r w:rsidRPr="00583E1A">
              <w:t>foreign currency was incurred:</w:t>
            </w:r>
          </w:p>
          <w:p w:rsidR="00887330" w:rsidRPr="00583E1A" w:rsidRDefault="00887330" w:rsidP="00887330">
            <w:pPr>
              <w:pStyle w:val="Tablei"/>
            </w:pPr>
            <w:r w:rsidRPr="00583E1A">
              <w:t xml:space="preserve">(i) in return for the acquisition of a </w:t>
            </w:r>
            <w:r w:rsidR="00583E1A" w:rsidRPr="00583E1A">
              <w:rPr>
                <w:position w:val="6"/>
                <w:sz w:val="16"/>
              </w:rPr>
              <w:t>*</w:t>
            </w:r>
            <w:r w:rsidRPr="00583E1A">
              <w:t>CGT asset; or</w:t>
            </w:r>
          </w:p>
          <w:p w:rsidR="00887330" w:rsidRPr="00583E1A" w:rsidRDefault="00887330" w:rsidP="00887330">
            <w:pPr>
              <w:pStyle w:val="Tablei"/>
            </w:pPr>
            <w:r w:rsidRPr="00583E1A">
              <w:t xml:space="preserve">(ii) as the second, third, fourth or fifth element of the </w:t>
            </w:r>
            <w:r w:rsidR="00583E1A" w:rsidRPr="00583E1A">
              <w:rPr>
                <w:position w:val="6"/>
                <w:sz w:val="16"/>
              </w:rPr>
              <w:t>*</w:t>
            </w:r>
            <w:r w:rsidRPr="00583E1A">
              <w:t>cost base of a CGT asset; and</w:t>
            </w:r>
          </w:p>
          <w:p w:rsidR="00887330" w:rsidRPr="00583E1A" w:rsidRDefault="00887330" w:rsidP="00887330">
            <w:pPr>
              <w:pStyle w:val="Tablea"/>
            </w:pPr>
            <w:r w:rsidRPr="00583E1A">
              <w:t>(b) item</w:t>
            </w:r>
            <w:r w:rsidR="00583E1A">
              <w:t> </w:t>
            </w:r>
            <w:r w:rsidRPr="00583E1A">
              <w:t>9 of the table in subsection 775</w:t>
            </w:r>
            <w:r w:rsidR="00583E1A">
              <w:noBreakHyphen/>
            </w:r>
            <w:r w:rsidRPr="00583E1A">
              <w:t>55(7) applies; and</w:t>
            </w:r>
          </w:p>
          <w:p w:rsidR="00887330" w:rsidRPr="00583E1A" w:rsidRDefault="00887330" w:rsidP="00887330">
            <w:pPr>
              <w:pStyle w:val="Tablea"/>
            </w:pPr>
            <w:r w:rsidRPr="00583E1A">
              <w:t>(c) the foreign currency became due for payment within 12 months after the time when:</w:t>
            </w:r>
          </w:p>
          <w:p w:rsidR="00887330" w:rsidRPr="00583E1A" w:rsidRDefault="00887330" w:rsidP="00887330">
            <w:pPr>
              <w:pStyle w:val="Tablei"/>
            </w:pPr>
            <w:r w:rsidRPr="00583E1A">
              <w:t xml:space="preserve">(i) if </w:t>
            </w:r>
            <w:r w:rsidR="00583E1A">
              <w:t>subparagraph (</w:t>
            </w:r>
            <w:r w:rsidRPr="00583E1A">
              <w:t>a)(i) applies—you acquired the CGT asset (worked out under Division</w:t>
            </w:r>
            <w:r w:rsidR="00583E1A">
              <w:t> </w:t>
            </w:r>
            <w:r w:rsidRPr="00583E1A">
              <w:t>109); or</w:t>
            </w:r>
          </w:p>
          <w:p w:rsidR="00887330" w:rsidRPr="00583E1A" w:rsidRDefault="00887330" w:rsidP="00887330">
            <w:pPr>
              <w:pStyle w:val="Tablei"/>
              <w:rPr>
                <w:i/>
              </w:rPr>
            </w:pPr>
            <w:r w:rsidRPr="00583E1A">
              <w:t xml:space="preserve">(ii) if </w:t>
            </w:r>
            <w:r w:rsidR="00583E1A">
              <w:t>subparagraph (</w:t>
            </w:r>
            <w:r w:rsidRPr="00583E1A">
              <w:t>a)(ii) applies—you incurred the relevant expenditure</w:t>
            </w:r>
          </w:p>
        </w:tc>
        <w:tc>
          <w:tcPr>
            <w:tcW w:w="3410" w:type="dxa"/>
            <w:tcBorders>
              <w:top w:val="single" w:sz="2" w:space="0" w:color="auto"/>
              <w:bottom w:val="single" w:sz="2" w:space="0" w:color="auto"/>
            </w:tcBorders>
            <w:shd w:val="clear" w:color="auto" w:fill="auto"/>
          </w:tcPr>
          <w:p w:rsidR="00887330" w:rsidRPr="00583E1A" w:rsidRDefault="00887330" w:rsidP="00887330">
            <w:pPr>
              <w:pStyle w:val="Tablea"/>
              <w:rPr>
                <w:b/>
              </w:rPr>
            </w:pPr>
            <w:r w:rsidRPr="00583E1A">
              <w:t>(a) the forex realisation gain is not included in your assessable income under section</w:t>
            </w:r>
            <w:r w:rsidR="00583E1A">
              <w:t> </w:t>
            </w:r>
            <w:r w:rsidRPr="00583E1A">
              <w:t>775</w:t>
            </w:r>
            <w:r w:rsidR="00583E1A">
              <w:noBreakHyphen/>
            </w:r>
            <w:r w:rsidRPr="00583E1A">
              <w:t>15; and</w:t>
            </w:r>
          </w:p>
          <w:p w:rsidR="00887330" w:rsidRPr="00583E1A" w:rsidRDefault="00887330" w:rsidP="00887330">
            <w:pPr>
              <w:pStyle w:val="Tablea"/>
            </w:pPr>
            <w:r w:rsidRPr="00583E1A">
              <w:t xml:space="preserve">(b) both the </w:t>
            </w:r>
            <w:r w:rsidR="00583E1A" w:rsidRPr="00583E1A">
              <w:rPr>
                <w:position w:val="6"/>
                <w:sz w:val="16"/>
              </w:rPr>
              <w:t>*</w:t>
            </w:r>
            <w:r w:rsidRPr="00583E1A">
              <w:t xml:space="preserve">cost base and the </w:t>
            </w:r>
            <w:r w:rsidR="00583E1A" w:rsidRPr="00583E1A">
              <w:rPr>
                <w:position w:val="6"/>
                <w:sz w:val="16"/>
              </w:rPr>
              <w:t>*</w:t>
            </w:r>
            <w:r w:rsidRPr="00583E1A">
              <w:t>reduced cost base of the CGT asset are reduced by an amount equal to the forex realisation gain.</w:t>
            </w:r>
          </w:p>
        </w:tc>
      </w:tr>
      <w:tr w:rsidR="00887330" w:rsidRPr="00583E1A">
        <w:trPr>
          <w:cantSplit/>
        </w:trPr>
        <w:tc>
          <w:tcPr>
            <w:tcW w:w="709" w:type="dxa"/>
            <w:tcBorders>
              <w:top w:val="single" w:sz="2" w:space="0" w:color="auto"/>
              <w:bottom w:val="single" w:sz="2" w:space="0" w:color="auto"/>
            </w:tcBorders>
            <w:shd w:val="clear" w:color="auto" w:fill="auto"/>
          </w:tcPr>
          <w:p w:rsidR="00887330" w:rsidRPr="00583E1A" w:rsidRDefault="00887330" w:rsidP="00887330">
            <w:pPr>
              <w:pStyle w:val="Tabletext"/>
            </w:pPr>
            <w:r w:rsidRPr="00583E1A">
              <w:lastRenderedPageBreak/>
              <w:t>3</w:t>
            </w:r>
          </w:p>
        </w:tc>
        <w:tc>
          <w:tcPr>
            <w:tcW w:w="2921" w:type="dxa"/>
            <w:tcBorders>
              <w:top w:val="single" w:sz="2" w:space="0" w:color="auto"/>
              <w:bottom w:val="single" w:sz="2" w:space="0" w:color="auto"/>
            </w:tcBorders>
            <w:shd w:val="clear" w:color="auto" w:fill="auto"/>
          </w:tcPr>
          <w:p w:rsidR="00887330" w:rsidRPr="00583E1A" w:rsidRDefault="00887330" w:rsidP="00887330">
            <w:pPr>
              <w:pStyle w:val="Tabletext"/>
            </w:pPr>
            <w:r w:rsidRPr="00583E1A">
              <w:t xml:space="preserve">you make a </w:t>
            </w:r>
            <w:r w:rsidR="00583E1A" w:rsidRPr="00583E1A">
              <w:rPr>
                <w:position w:val="6"/>
                <w:sz w:val="16"/>
              </w:rPr>
              <w:t>*</w:t>
            </w:r>
            <w:r w:rsidRPr="00583E1A">
              <w:t>forex realisation gain as a result of forex realisation event 4, and:</w:t>
            </w:r>
          </w:p>
          <w:p w:rsidR="00887330" w:rsidRPr="00583E1A" w:rsidRDefault="00887330" w:rsidP="00887330">
            <w:pPr>
              <w:pStyle w:val="Tablea"/>
            </w:pPr>
            <w:r w:rsidRPr="00583E1A">
              <w:t xml:space="preserve">(a) the obligation to pay </w:t>
            </w:r>
            <w:r w:rsidR="00583E1A" w:rsidRPr="00583E1A">
              <w:rPr>
                <w:position w:val="6"/>
                <w:sz w:val="16"/>
              </w:rPr>
              <w:t>*</w:t>
            </w:r>
            <w:r w:rsidRPr="00583E1A">
              <w:t>foreign currency was incurred:</w:t>
            </w:r>
          </w:p>
          <w:p w:rsidR="00887330" w:rsidRPr="00583E1A" w:rsidRDefault="00887330" w:rsidP="00887330">
            <w:pPr>
              <w:pStyle w:val="Tablei"/>
            </w:pPr>
            <w:r w:rsidRPr="00583E1A">
              <w:t xml:space="preserve">(i) in return for your starting to hold a </w:t>
            </w:r>
            <w:r w:rsidR="00583E1A" w:rsidRPr="00583E1A">
              <w:rPr>
                <w:position w:val="6"/>
                <w:sz w:val="16"/>
              </w:rPr>
              <w:t>*</w:t>
            </w:r>
            <w:r w:rsidRPr="00583E1A">
              <w:t>depreciating asset; or</w:t>
            </w:r>
          </w:p>
          <w:p w:rsidR="00887330" w:rsidRPr="00583E1A" w:rsidRDefault="00887330" w:rsidP="00887330">
            <w:pPr>
              <w:pStyle w:val="Tablei"/>
            </w:pPr>
            <w:r w:rsidRPr="00583E1A">
              <w:t>(ii) as the second element of the cost of a depreciating asset; and</w:t>
            </w:r>
          </w:p>
          <w:p w:rsidR="00887330" w:rsidRPr="00583E1A" w:rsidRDefault="00887330" w:rsidP="00887330">
            <w:pPr>
              <w:pStyle w:val="Tablea"/>
            </w:pPr>
            <w:r w:rsidRPr="00583E1A">
              <w:t xml:space="preserve">(b) if </w:t>
            </w:r>
            <w:r w:rsidR="00583E1A">
              <w:t>subparagraph (</w:t>
            </w:r>
            <w:r w:rsidRPr="00583E1A">
              <w:t>a)(i) applies—the foreign currency became due for payment within the 24</w:t>
            </w:r>
            <w:r w:rsidR="00583E1A">
              <w:noBreakHyphen/>
            </w:r>
            <w:r w:rsidRPr="00583E1A">
              <w:t>month period that began 12 months before the time when you began to hold the depreciating asset (worked out under Division</w:t>
            </w:r>
            <w:r w:rsidR="00583E1A">
              <w:t> </w:t>
            </w:r>
            <w:r w:rsidRPr="00583E1A">
              <w:t>40); and</w:t>
            </w:r>
          </w:p>
          <w:p w:rsidR="00887330" w:rsidRPr="00583E1A" w:rsidRDefault="00887330" w:rsidP="00887330">
            <w:pPr>
              <w:pStyle w:val="Tablea"/>
            </w:pPr>
            <w:r w:rsidRPr="00583E1A">
              <w:t xml:space="preserve">(c) if </w:t>
            </w:r>
            <w:r w:rsidR="00583E1A">
              <w:t>subparagraph (</w:t>
            </w:r>
            <w:r w:rsidRPr="00583E1A">
              <w:t>a)(ii) applies—the foreign currency became due for payment within 12 months after the time when you incurred the relevant expenditure</w:t>
            </w:r>
          </w:p>
        </w:tc>
        <w:tc>
          <w:tcPr>
            <w:tcW w:w="3410" w:type="dxa"/>
            <w:tcBorders>
              <w:top w:val="single" w:sz="2" w:space="0" w:color="auto"/>
              <w:bottom w:val="single" w:sz="2" w:space="0" w:color="auto"/>
            </w:tcBorders>
            <w:shd w:val="clear" w:color="auto" w:fill="auto"/>
          </w:tcPr>
          <w:p w:rsidR="00887330" w:rsidRPr="00583E1A" w:rsidRDefault="00887330" w:rsidP="00887330">
            <w:pPr>
              <w:pStyle w:val="Tablea"/>
            </w:pPr>
            <w:r w:rsidRPr="00583E1A">
              <w:t>(a) the forex realisation gain is not included in your assessable income under section</w:t>
            </w:r>
            <w:r w:rsidR="00583E1A">
              <w:t> </w:t>
            </w:r>
            <w:r w:rsidRPr="00583E1A">
              <w:t>775</w:t>
            </w:r>
            <w:r w:rsidR="00583E1A">
              <w:noBreakHyphen/>
            </w:r>
            <w:r w:rsidRPr="00583E1A">
              <w:t>15; and</w:t>
            </w:r>
          </w:p>
          <w:p w:rsidR="00887330" w:rsidRPr="00583E1A" w:rsidRDefault="00887330" w:rsidP="00887330">
            <w:pPr>
              <w:pStyle w:val="Tablea"/>
            </w:pPr>
            <w:r w:rsidRPr="00583E1A">
              <w:t>(b) if:</w:t>
            </w:r>
          </w:p>
          <w:p w:rsidR="00887330" w:rsidRPr="00583E1A" w:rsidRDefault="00887330" w:rsidP="00887330">
            <w:pPr>
              <w:pStyle w:val="Tablei"/>
            </w:pPr>
            <w:r w:rsidRPr="00583E1A">
              <w:t xml:space="preserve">(i) the forex realisation event happens in the income year in which the asset’s </w:t>
            </w:r>
            <w:r w:rsidR="00583E1A" w:rsidRPr="00583E1A">
              <w:rPr>
                <w:position w:val="6"/>
                <w:sz w:val="16"/>
              </w:rPr>
              <w:t>*</w:t>
            </w:r>
            <w:r w:rsidRPr="00583E1A">
              <w:t>start time occurs; and</w:t>
            </w:r>
          </w:p>
          <w:p w:rsidR="00887330" w:rsidRPr="00583E1A" w:rsidRDefault="00887330" w:rsidP="00887330">
            <w:pPr>
              <w:pStyle w:val="Tablei"/>
            </w:pPr>
            <w:r w:rsidRPr="00583E1A">
              <w:t>(ii) the asset is not allocated to a pool under Subdivision</w:t>
            </w:r>
            <w:r w:rsidR="00583E1A">
              <w:t> </w:t>
            </w:r>
            <w:r w:rsidRPr="00583E1A">
              <w:t>40</w:t>
            </w:r>
            <w:r w:rsidR="00583E1A">
              <w:noBreakHyphen/>
            </w:r>
            <w:r w:rsidRPr="00583E1A">
              <w:t>E or 328</w:t>
            </w:r>
            <w:r w:rsidR="00583E1A">
              <w:noBreakHyphen/>
            </w:r>
            <w:r w:rsidRPr="00583E1A">
              <w:t>D;</w:t>
            </w:r>
          </w:p>
          <w:p w:rsidR="00887330" w:rsidRPr="00583E1A" w:rsidRDefault="00887330" w:rsidP="00887330">
            <w:pPr>
              <w:pStyle w:val="Tablea"/>
            </w:pPr>
            <w:r w:rsidRPr="00583E1A">
              <w:tab/>
              <w:t xml:space="preserve">the asset’s </w:t>
            </w:r>
            <w:r w:rsidR="00583E1A" w:rsidRPr="00583E1A">
              <w:rPr>
                <w:position w:val="6"/>
                <w:sz w:val="16"/>
              </w:rPr>
              <w:t>*</w:t>
            </w:r>
            <w:r w:rsidRPr="00583E1A">
              <w:t>cost is reduced (but not below zero) by an amount equal to the forex realisation gain; and</w:t>
            </w:r>
          </w:p>
          <w:p w:rsidR="00887330" w:rsidRPr="00583E1A" w:rsidRDefault="00887330" w:rsidP="00887330">
            <w:pPr>
              <w:pStyle w:val="Tablea"/>
            </w:pPr>
            <w:r w:rsidRPr="00583E1A">
              <w:t>(c) if:</w:t>
            </w:r>
          </w:p>
          <w:p w:rsidR="00887330" w:rsidRPr="00583E1A" w:rsidRDefault="00887330" w:rsidP="00887330">
            <w:pPr>
              <w:pStyle w:val="Tablei"/>
            </w:pPr>
            <w:r w:rsidRPr="00583E1A">
              <w:t xml:space="preserve">(i) the forex realisation event happens in an income year that is later than the one in which the asset’s </w:t>
            </w:r>
            <w:r w:rsidR="00583E1A" w:rsidRPr="00583E1A">
              <w:rPr>
                <w:position w:val="6"/>
                <w:sz w:val="16"/>
              </w:rPr>
              <w:t>*</w:t>
            </w:r>
            <w:r w:rsidRPr="00583E1A">
              <w:t>start time occurs; and</w:t>
            </w:r>
          </w:p>
          <w:p w:rsidR="00887330" w:rsidRPr="00583E1A" w:rsidRDefault="00887330" w:rsidP="00887330">
            <w:pPr>
              <w:pStyle w:val="Tablei"/>
            </w:pPr>
            <w:r w:rsidRPr="00583E1A">
              <w:t>(ii) the asset is not allocated to a pool under Subdivision</w:t>
            </w:r>
            <w:r w:rsidR="00583E1A">
              <w:t> </w:t>
            </w:r>
            <w:r w:rsidRPr="00583E1A">
              <w:t>40</w:t>
            </w:r>
            <w:r w:rsidR="00583E1A">
              <w:noBreakHyphen/>
            </w:r>
            <w:r w:rsidRPr="00583E1A">
              <w:t>E or 328</w:t>
            </w:r>
            <w:r w:rsidR="00583E1A">
              <w:noBreakHyphen/>
            </w:r>
            <w:r w:rsidRPr="00583E1A">
              <w:t>D;</w:t>
            </w:r>
          </w:p>
          <w:p w:rsidR="00887330" w:rsidRPr="00583E1A" w:rsidRDefault="00887330" w:rsidP="00887330">
            <w:pPr>
              <w:pStyle w:val="Tablea"/>
            </w:pPr>
            <w:r w:rsidRPr="00583E1A">
              <w:tab/>
              <w:t xml:space="preserve">the depreciating asset’s </w:t>
            </w:r>
            <w:r w:rsidR="00583E1A" w:rsidRPr="00583E1A">
              <w:rPr>
                <w:position w:val="6"/>
                <w:sz w:val="16"/>
              </w:rPr>
              <w:t>*</w:t>
            </w:r>
            <w:r w:rsidRPr="00583E1A">
              <w:t>opening adjustable value for the income year in which the forex realisation event happens is reduced (but not below zero) by an amount equal to the forex realisation gain; and</w:t>
            </w:r>
          </w:p>
          <w:p w:rsidR="00887330" w:rsidRPr="00583E1A" w:rsidRDefault="00887330" w:rsidP="00887330">
            <w:pPr>
              <w:pStyle w:val="Tablea"/>
            </w:pPr>
            <w:r w:rsidRPr="00583E1A">
              <w:t>(d) if the asset is allocated to a pool under Subdivision</w:t>
            </w:r>
            <w:r w:rsidR="00583E1A">
              <w:t> </w:t>
            </w:r>
            <w:r w:rsidRPr="00583E1A">
              <w:t>40</w:t>
            </w:r>
            <w:r w:rsidR="00583E1A">
              <w:noBreakHyphen/>
            </w:r>
            <w:r w:rsidRPr="00583E1A">
              <w:t>E or 328</w:t>
            </w:r>
            <w:r w:rsidR="00583E1A">
              <w:noBreakHyphen/>
            </w:r>
            <w:r w:rsidRPr="00583E1A">
              <w:t>D—the opening pool balance of the pool for the income year in which the forex realisation event happens is reduced (but not below zero) by an amount equal to the forex realisation gain.</w:t>
            </w:r>
          </w:p>
        </w:tc>
      </w:tr>
      <w:tr w:rsidR="00887330" w:rsidRPr="00583E1A">
        <w:trPr>
          <w:cantSplit/>
        </w:trPr>
        <w:tc>
          <w:tcPr>
            <w:tcW w:w="709" w:type="dxa"/>
            <w:tcBorders>
              <w:top w:val="single" w:sz="2" w:space="0" w:color="auto"/>
              <w:bottom w:val="single" w:sz="12" w:space="0" w:color="auto"/>
            </w:tcBorders>
            <w:shd w:val="clear" w:color="auto" w:fill="auto"/>
          </w:tcPr>
          <w:p w:rsidR="00887330" w:rsidRPr="00583E1A" w:rsidRDefault="00887330" w:rsidP="00887330">
            <w:pPr>
              <w:pStyle w:val="Tabletext"/>
            </w:pPr>
            <w:r w:rsidRPr="00583E1A">
              <w:lastRenderedPageBreak/>
              <w:t>4</w:t>
            </w:r>
          </w:p>
        </w:tc>
        <w:tc>
          <w:tcPr>
            <w:tcW w:w="2921" w:type="dxa"/>
            <w:tcBorders>
              <w:top w:val="single" w:sz="2" w:space="0" w:color="auto"/>
              <w:bottom w:val="single" w:sz="12" w:space="0" w:color="auto"/>
            </w:tcBorders>
            <w:shd w:val="clear" w:color="auto" w:fill="auto"/>
          </w:tcPr>
          <w:p w:rsidR="00887330" w:rsidRPr="00583E1A" w:rsidRDefault="00887330" w:rsidP="00887330">
            <w:pPr>
              <w:pStyle w:val="Tabletext"/>
            </w:pPr>
            <w:r w:rsidRPr="00583E1A">
              <w:t xml:space="preserve">you make a </w:t>
            </w:r>
            <w:r w:rsidR="00583E1A" w:rsidRPr="00583E1A">
              <w:rPr>
                <w:position w:val="6"/>
                <w:sz w:val="16"/>
              </w:rPr>
              <w:t>*</w:t>
            </w:r>
            <w:r w:rsidRPr="00583E1A">
              <w:t>forex realisation gain as a result of forex realisation event 4, and:</w:t>
            </w:r>
          </w:p>
          <w:p w:rsidR="00887330" w:rsidRPr="00583E1A" w:rsidRDefault="00887330" w:rsidP="00887330">
            <w:pPr>
              <w:pStyle w:val="Tablea"/>
            </w:pPr>
            <w:r w:rsidRPr="00583E1A">
              <w:t xml:space="preserve">(a) the obligation to pay </w:t>
            </w:r>
            <w:r w:rsidR="00583E1A" w:rsidRPr="00583E1A">
              <w:rPr>
                <w:position w:val="6"/>
                <w:sz w:val="16"/>
              </w:rPr>
              <w:t>*</w:t>
            </w:r>
            <w:r w:rsidRPr="00583E1A">
              <w:t>foreign currency was incurred as a project amount; and</w:t>
            </w:r>
          </w:p>
          <w:p w:rsidR="00887330" w:rsidRPr="00583E1A" w:rsidRDefault="00887330" w:rsidP="00887330">
            <w:pPr>
              <w:pStyle w:val="Tablea"/>
            </w:pPr>
            <w:r w:rsidRPr="00583E1A">
              <w:t>(b) the foreign currency became due for payment within 12 months after the time when you incurred the project amount; and</w:t>
            </w:r>
          </w:p>
          <w:p w:rsidR="00887330" w:rsidRPr="00583E1A" w:rsidRDefault="00887330" w:rsidP="00887330">
            <w:pPr>
              <w:pStyle w:val="Tablea"/>
            </w:pPr>
            <w:r w:rsidRPr="00583E1A">
              <w:t>(c) the project amount is allocated to a project pool</w:t>
            </w:r>
          </w:p>
        </w:tc>
        <w:tc>
          <w:tcPr>
            <w:tcW w:w="3410" w:type="dxa"/>
            <w:tcBorders>
              <w:top w:val="single" w:sz="2" w:space="0" w:color="auto"/>
              <w:bottom w:val="single" w:sz="12" w:space="0" w:color="auto"/>
            </w:tcBorders>
            <w:shd w:val="clear" w:color="auto" w:fill="auto"/>
          </w:tcPr>
          <w:p w:rsidR="00887330" w:rsidRPr="00583E1A" w:rsidRDefault="00887330" w:rsidP="00887330">
            <w:pPr>
              <w:pStyle w:val="Tablea"/>
            </w:pPr>
            <w:r w:rsidRPr="00583E1A">
              <w:t>(a) the forex realisation gain is not included in your assessable income under section</w:t>
            </w:r>
            <w:r w:rsidR="00583E1A">
              <w:t> </w:t>
            </w:r>
            <w:r w:rsidRPr="00583E1A">
              <w:t>775</w:t>
            </w:r>
            <w:r w:rsidR="00583E1A">
              <w:noBreakHyphen/>
            </w:r>
            <w:r w:rsidRPr="00583E1A">
              <w:t>15; and</w:t>
            </w:r>
          </w:p>
          <w:p w:rsidR="00887330" w:rsidRPr="00583E1A" w:rsidRDefault="00887330" w:rsidP="00887330">
            <w:pPr>
              <w:pStyle w:val="Tablea"/>
            </w:pPr>
            <w:r w:rsidRPr="00583E1A">
              <w:t>(b) the pool value of the project pool for the income year in which you incurred the project amount is reduced (but not below zero) by an amount equal to the forex realisation gain.</w:t>
            </w:r>
          </w:p>
        </w:tc>
      </w:tr>
    </w:tbl>
    <w:p w:rsidR="00887330" w:rsidRPr="00583E1A" w:rsidRDefault="00887330" w:rsidP="00887330">
      <w:pPr>
        <w:pStyle w:val="SubsectionHead"/>
      </w:pPr>
      <w:r w:rsidRPr="00583E1A">
        <w:t>Additional result where forex realisation gain exceeds cost etc.</w:t>
      </w:r>
    </w:p>
    <w:p w:rsidR="00887330" w:rsidRPr="00583E1A" w:rsidRDefault="00887330" w:rsidP="00887330">
      <w:pPr>
        <w:pStyle w:val="subsection"/>
      </w:pPr>
      <w:r w:rsidRPr="00583E1A">
        <w:tab/>
        <w:t>(2)</w:t>
      </w:r>
      <w:r w:rsidRPr="00583E1A">
        <w:tab/>
        <w:t>The following table has effect:</w:t>
      </w:r>
    </w:p>
    <w:p w:rsidR="00887330" w:rsidRPr="00583E1A" w:rsidRDefault="00887330" w:rsidP="00887330">
      <w:pPr>
        <w:pStyle w:val="Tabletext"/>
      </w:pPr>
    </w:p>
    <w:tbl>
      <w:tblPr>
        <w:tblW w:w="0" w:type="auto"/>
        <w:tblInd w:w="113" w:type="dxa"/>
        <w:tblLayout w:type="fixed"/>
        <w:tblLook w:val="0000" w:firstRow="0" w:lastRow="0" w:firstColumn="0" w:lastColumn="0" w:noHBand="0" w:noVBand="0"/>
      </w:tblPr>
      <w:tblGrid>
        <w:gridCol w:w="714"/>
        <w:gridCol w:w="1811"/>
        <w:gridCol w:w="3080"/>
        <w:gridCol w:w="1540"/>
      </w:tblGrid>
      <w:tr w:rsidR="00887330" w:rsidRPr="00583E1A">
        <w:trPr>
          <w:cantSplit/>
          <w:tblHeader/>
        </w:trPr>
        <w:tc>
          <w:tcPr>
            <w:tcW w:w="7145" w:type="dxa"/>
            <w:gridSpan w:val="4"/>
            <w:tcBorders>
              <w:top w:val="single" w:sz="12" w:space="0" w:color="auto"/>
              <w:bottom w:val="single" w:sz="6" w:space="0" w:color="auto"/>
            </w:tcBorders>
            <w:shd w:val="clear" w:color="auto" w:fill="auto"/>
          </w:tcPr>
          <w:p w:rsidR="00887330" w:rsidRPr="00583E1A" w:rsidRDefault="00887330" w:rsidP="00887330">
            <w:pPr>
              <w:pStyle w:val="Tabletext"/>
              <w:keepNext/>
              <w:rPr>
                <w:b/>
              </w:rPr>
            </w:pPr>
            <w:r w:rsidRPr="00583E1A">
              <w:rPr>
                <w:b/>
              </w:rPr>
              <w:t>Additional result where forex realisation gain exceeds cost etc.</w:t>
            </w:r>
          </w:p>
        </w:tc>
      </w:tr>
      <w:tr w:rsidR="00887330" w:rsidRPr="00583E1A">
        <w:trPr>
          <w:cantSplit/>
          <w:tblHeader/>
        </w:trPr>
        <w:tc>
          <w:tcPr>
            <w:tcW w:w="714" w:type="dxa"/>
            <w:tcBorders>
              <w:top w:val="single" w:sz="6" w:space="0" w:color="auto"/>
              <w:bottom w:val="single" w:sz="12" w:space="0" w:color="auto"/>
            </w:tcBorders>
            <w:shd w:val="clear" w:color="auto" w:fill="auto"/>
          </w:tcPr>
          <w:p w:rsidR="00887330" w:rsidRPr="00583E1A" w:rsidRDefault="00887330" w:rsidP="00887330">
            <w:pPr>
              <w:pStyle w:val="Tabletext"/>
              <w:keepNext/>
              <w:rPr>
                <w:b/>
              </w:rPr>
            </w:pPr>
            <w:r w:rsidRPr="00583E1A">
              <w:rPr>
                <w:b/>
              </w:rPr>
              <w:t>Item</w:t>
            </w:r>
          </w:p>
        </w:tc>
        <w:tc>
          <w:tcPr>
            <w:tcW w:w="1811" w:type="dxa"/>
            <w:tcBorders>
              <w:top w:val="single" w:sz="6" w:space="0" w:color="auto"/>
              <w:bottom w:val="single" w:sz="12" w:space="0" w:color="auto"/>
            </w:tcBorders>
            <w:shd w:val="clear" w:color="auto" w:fill="auto"/>
          </w:tcPr>
          <w:p w:rsidR="00887330" w:rsidRPr="00583E1A" w:rsidRDefault="00887330" w:rsidP="00887330">
            <w:pPr>
              <w:pStyle w:val="Tabletext"/>
              <w:keepNext/>
              <w:rPr>
                <w:b/>
              </w:rPr>
            </w:pPr>
            <w:r w:rsidRPr="00583E1A">
              <w:rPr>
                <w:b/>
              </w:rPr>
              <w:t>If...</w:t>
            </w:r>
          </w:p>
        </w:tc>
        <w:tc>
          <w:tcPr>
            <w:tcW w:w="3080" w:type="dxa"/>
            <w:tcBorders>
              <w:top w:val="single" w:sz="6" w:space="0" w:color="auto"/>
              <w:bottom w:val="single" w:sz="12" w:space="0" w:color="auto"/>
            </w:tcBorders>
            <w:shd w:val="clear" w:color="auto" w:fill="auto"/>
          </w:tcPr>
          <w:p w:rsidR="00887330" w:rsidRPr="00583E1A" w:rsidRDefault="00887330" w:rsidP="00887330">
            <w:pPr>
              <w:pStyle w:val="Tabletext"/>
              <w:keepNext/>
              <w:rPr>
                <w:b/>
              </w:rPr>
            </w:pPr>
            <w:r w:rsidRPr="00583E1A">
              <w:rPr>
                <w:b/>
              </w:rPr>
              <w:t>and the following conditions are satisfied...</w:t>
            </w:r>
          </w:p>
        </w:tc>
        <w:tc>
          <w:tcPr>
            <w:tcW w:w="1540" w:type="dxa"/>
            <w:tcBorders>
              <w:top w:val="single" w:sz="6" w:space="0" w:color="auto"/>
              <w:bottom w:val="single" w:sz="12" w:space="0" w:color="auto"/>
            </w:tcBorders>
            <w:shd w:val="clear" w:color="auto" w:fill="auto"/>
          </w:tcPr>
          <w:p w:rsidR="00887330" w:rsidRPr="00583E1A" w:rsidRDefault="00887330" w:rsidP="00887330">
            <w:pPr>
              <w:pStyle w:val="Tabletext"/>
              <w:keepNext/>
              <w:rPr>
                <w:b/>
              </w:rPr>
            </w:pPr>
            <w:r w:rsidRPr="00583E1A">
              <w:rPr>
                <w:b/>
              </w:rPr>
              <w:t>this is the result...</w:t>
            </w:r>
          </w:p>
        </w:tc>
      </w:tr>
      <w:tr w:rsidR="00887330" w:rsidRPr="00583E1A">
        <w:trPr>
          <w:cantSplit/>
        </w:trPr>
        <w:tc>
          <w:tcPr>
            <w:tcW w:w="714" w:type="dxa"/>
            <w:tcBorders>
              <w:top w:val="single" w:sz="12" w:space="0" w:color="auto"/>
              <w:bottom w:val="single" w:sz="2" w:space="0" w:color="auto"/>
            </w:tcBorders>
            <w:shd w:val="clear" w:color="auto" w:fill="auto"/>
          </w:tcPr>
          <w:p w:rsidR="00887330" w:rsidRPr="00583E1A" w:rsidRDefault="00887330" w:rsidP="00887330">
            <w:pPr>
              <w:pStyle w:val="Tabletext"/>
            </w:pPr>
            <w:r w:rsidRPr="00583E1A">
              <w:t>1</w:t>
            </w:r>
          </w:p>
        </w:tc>
        <w:tc>
          <w:tcPr>
            <w:tcW w:w="1811" w:type="dxa"/>
            <w:tcBorders>
              <w:top w:val="single" w:sz="12" w:space="0" w:color="auto"/>
              <w:bottom w:val="single" w:sz="2" w:space="0" w:color="auto"/>
            </w:tcBorders>
            <w:shd w:val="clear" w:color="auto" w:fill="auto"/>
          </w:tcPr>
          <w:p w:rsidR="00887330" w:rsidRPr="00583E1A" w:rsidRDefault="00887330" w:rsidP="00887330">
            <w:pPr>
              <w:pStyle w:val="Tabletext"/>
            </w:pPr>
            <w:r w:rsidRPr="00583E1A">
              <w:t>item</w:t>
            </w:r>
            <w:r w:rsidR="00583E1A">
              <w:t> </w:t>
            </w:r>
            <w:r w:rsidRPr="00583E1A">
              <w:t xml:space="preserve">3 of the table in </w:t>
            </w:r>
            <w:r w:rsidR="00583E1A">
              <w:t>subsection (</w:t>
            </w:r>
            <w:r w:rsidRPr="00583E1A">
              <w:t xml:space="preserve">1) applies in relation to a </w:t>
            </w:r>
            <w:r w:rsidR="00583E1A" w:rsidRPr="00583E1A">
              <w:rPr>
                <w:position w:val="6"/>
                <w:sz w:val="16"/>
              </w:rPr>
              <w:t>*</w:t>
            </w:r>
            <w:r w:rsidRPr="00583E1A">
              <w:t>depreciating asset</w:t>
            </w:r>
          </w:p>
        </w:tc>
        <w:tc>
          <w:tcPr>
            <w:tcW w:w="3080" w:type="dxa"/>
            <w:tcBorders>
              <w:top w:val="single" w:sz="12" w:space="0" w:color="auto"/>
              <w:bottom w:val="single" w:sz="2" w:space="0" w:color="auto"/>
            </w:tcBorders>
            <w:shd w:val="clear" w:color="auto" w:fill="auto"/>
          </w:tcPr>
          <w:p w:rsidR="00887330" w:rsidRPr="00583E1A" w:rsidRDefault="00887330" w:rsidP="00887330">
            <w:pPr>
              <w:pStyle w:val="Tablea"/>
            </w:pPr>
            <w:r w:rsidRPr="00583E1A">
              <w:t xml:space="preserve">(a) the forex realisation event happens in the income year in which the asset’s </w:t>
            </w:r>
            <w:r w:rsidR="00583E1A" w:rsidRPr="00583E1A">
              <w:rPr>
                <w:position w:val="6"/>
                <w:sz w:val="16"/>
              </w:rPr>
              <w:t>*</w:t>
            </w:r>
            <w:r w:rsidRPr="00583E1A">
              <w:t>start time occurs; and</w:t>
            </w:r>
          </w:p>
          <w:p w:rsidR="00887330" w:rsidRPr="00583E1A" w:rsidRDefault="00887330" w:rsidP="00887330">
            <w:pPr>
              <w:pStyle w:val="Tablea"/>
            </w:pPr>
            <w:r w:rsidRPr="00583E1A">
              <w:t>(b) the asset is not allocated to a pool under Subdivision</w:t>
            </w:r>
            <w:r w:rsidR="00583E1A">
              <w:t> </w:t>
            </w:r>
            <w:r w:rsidRPr="00583E1A">
              <w:t>40</w:t>
            </w:r>
            <w:r w:rsidR="00583E1A">
              <w:noBreakHyphen/>
            </w:r>
            <w:r w:rsidRPr="00583E1A">
              <w:t>E or 328</w:t>
            </w:r>
            <w:r w:rsidR="00583E1A">
              <w:noBreakHyphen/>
            </w:r>
            <w:r w:rsidRPr="00583E1A">
              <w:t>D; and</w:t>
            </w:r>
          </w:p>
          <w:p w:rsidR="00887330" w:rsidRPr="00583E1A" w:rsidRDefault="00887330" w:rsidP="00887330">
            <w:pPr>
              <w:pStyle w:val="Tablea"/>
            </w:pPr>
            <w:r w:rsidRPr="00583E1A">
              <w:t xml:space="preserve">(c) the forex realisation gain exceeds the asset’s </w:t>
            </w:r>
            <w:r w:rsidR="00583E1A" w:rsidRPr="00583E1A">
              <w:rPr>
                <w:position w:val="6"/>
                <w:sz w:val="16"/>
              </w:rPr>
              <w:t>*</w:t>
            </w:r>
            <w:r w:rsidRPr="00583E1A">
              <w:t>cost</w:t>
            </w:r>
          </w:p>
        </w:tc>
        <w:tc>
          <w:tcPr>
            <w:tcW w:w="1540" w:type="dxa"/>
            <w:tcBorders>
              <w:top w:val="single" w:sz="12" w:space="0" w:color="auto"/>
              <w:bottom w:val="single" w:sz="2" w:space="0" w:color="auto"/>
            </w:tcBorders>
            <w:shd w:val="clear" w:color="auto" w:fill="auto"/>
          </w:tcPr>
          <w:p w:rsidR="00887330" w:rsidRPr="00583E1A" w:rsidRDefault="00887330" w:rsidP="00887330">
            <w:pPr>
              <w:pStyle w:val="Tabletext"/>
            </w:pPr>
            <w:r w:rsidRPr="00583E1A">
              <w:t>the excess is included in your assessable income.</w:t>
            </w:r>
          </w:p>
        </w:tc>
      </w:tr>
      <w:tr w:rsidR="00887330" w:rsidRPr="00583E1A">
        <w:trPr>
          <w:cantSplit/>
        </w:trPr>
        <w:tc>
          <w:tcPr>
            <w:tcW w:w="714" w:type="dxa"/>
            <w:tcBorders>
              <w:top w:val="single" w:sz="2" w:space="0" w:color="auto"/>
              <w:bottom w:val="single" w:sz="2" w:space="0" w:color="auto"/>
            </w:tcBorders>
            <w:shd w:val="clear" w:color="auto" w:fill="auto"/>
          </w:tcPr>
          <w:p w:rsidR="00887330" w:rsidRPr="00583E1A" w:rsidRDefault="00887330" w:rsidP="00887330">
            <w:pPr>
              <w:pStyle w:val="Tabletext"/>
            </w:pPr>
            <w:r w:rsidRPr="00583E1A">
              <w:lastRenderedPageBreak/>
              <w:t>2</w:t>
            </w:r>
          </w:p>
        </w:tc>
        <w:tc>
          <w:tcPr>
            <w:tcW w:w="1811" w:type="dxa"/>
            <w:tcBorders>
              <w:top w:val="single" w:sz="2" w:space="0" w:color="auto"/>
              <w:bottom w:val="single" w:sz="2" w:space="0" w:color="auto"/>
            </w:tcBorders>
            <w:shd w:val="clear" w:color="auto" w:fill="auto"/>
          </w:tcPr>
          <w:p w:rsidR="00887330" w:rsidRPr="00583E1A" w:rsidRDefault="00887330" w:rsidP="00887330">
            <w:pPr>
              <w:pStyle w:val="Tabletext"/>
            </w:pPr>
            <w:r w:rsidRPr="00583E1A">
              <w:t>item</w:t>
            </w:r>
            <w:r w:rsidR="00583E1A">
              <w:t> </w:t>
            </w:r>
            <w:r w:rsidRPr="00583E1A">
              <w:t xml:space="preserve">3 of the table in </w:t>
            </w:r>
            <w:r w:rsidR="00583E1A">
              <w:t>subsection (</w:t>
            </w:r>
            <w:r w:rsidRPr="00583E1A">
              <w:t xml:space="preserve">1) applies in relation to a </w:t>
            </w:r>
            <w:r w:rsidR="00583E1A" w:rsidRPr="00583E1A">
              <w:rPr>
                <w:position w:val="6"/>
                <w:sz w:val="16"/>
              </w:rPr>
              <w:t>*</w:t>
            </w:r>
            <w:r w:rsidRPr="00583E1A">
              <w:t>depreciating asset</w:t>
            </w:r>
          </w:p>
        </w:tc>
        <w:tc>
          <w:tcPr>
            <w:tcW w:w="3080" w:type="dxa"/>
            <w:tcBorders>
              <w:top w:val="single" w:sz="2" w:space="0" w:color="auto"/>
              <w:bottom w:val="single" w:sz="2" w:space="0" w:color="auto"/>
            </w:tcBorders>
            <w:shd w:val="clear" w:color="auto" w:fill="auto"/>
          </w:tcPr>
          <w:p w:rsidR="00887330" w:rsidRPr="00583E1A" w:rsidRDefault="00887330" w:rsidP="00887330">
            <w:pPr>
              <w:pStyle w:val="Tablea"/>
            </w:pPr>
            <w:r w:rsidRPr="00583E1A">
              <w:t xml:space="preserve">(a) the forex realisation event happens in an income year that is later than the one in which the asset’s </w:t>
            </w:r>
            <w:r w:rsidR="00583E1A" w:rsidRPr="00583E1A">
              <w:rPr>
                <w:position w:val="6"/>
                <w:sz w:val="16"/>
              </w:rPr>
              <w:t>*</w:t>
            </w:r>
            <w:r w:rsidRPr="00583E1A">
              <w:t>start time occurs; and</w:t>
            </w:r>
          </w:p>
          <w:p w:rsidR="00887330" w:rsidRPr="00583E1A" w:rsidRDefault="00887330" w:rsidP="00887330">
            <w:pPr>
              <w:pStyle w:val="Tablea"/>
            </w:pPr>
            <w:r w:rsidRPr="00583E1A">
              <w:t>(b) the asset is not allocated to a pool under Subdivision</w:t>
            </w:r>
            <w:r w:rsidR="00583E1A">
              <w:t> </w:t>
            </w:r>
            <w:r w:rsidRPr="00583E1A">
              <w:t>40</w:t>
            </w:r>
            <w:r w:rsidR="00583E1A">
              <w:noBreakHyphen/>
            </w:r>
            <w:r w:rsidRPr="00583E1A">
              <w:t>E or 328</w:t>
            </w:r>
            <w:r w:rsidR="00583E1A">
              <w:noBreakHyphen/>
            </w:r>
            <w:r w:rsidRPr="00583E1A">
              <w:t>D; and</w:t>
            </w:r>
          </w:p>
          <w:p w:rsidR="00887330" w:rsidRPr="00583E1A" w:rsidRDefault="00887330" w:rsidP="00887330">
            <w:pPr>
              <w:pStyle w:val="Tablea"/>
            </w:pPr>
            <w:r w:rsidRPr="00583E1A">
              <w:t xml:space="preserve">(c) the forex realisation gain exceeds the asset’s </w:t>
            </w:r>
            <w:r w:rsidR="00583E1A" w:rsidRPr="00583E1A">
              <w:rPr>
                <w:position w:val="6"/>
                <w:sz w:val="16"/>
              </w:rPr>
              <w:t>*</w:t>
            </w:r>
            <w:r w:rsidRPr="00583E1A">
              <w:t>opening adjustable value for the income year in which the forex realisation event happens</w:t>
            </w:r>
          </w:p>
        </w:tc>
        <w:tc>
          <w:tcPr>
            <w:tcW w:w="1540" w:type="dxa"/>
            <w:tcBorders>
              <w:top w:val="single" w:sz="2" w:space="0" w:color="auto"/>
              <w:bottom w:val="single" w:sz="2" w:space="0" w:color="auto"/>
            </w:tcBorders>
            <w:shd w:val="clear" w:color="auto" w:fill="auto"/>
          </w:tcPr>
          <w:p w:rsidR="00887330" w:rsidRPr="00583E1A" w:rsidRDefault="00887330" w:rsidP="00887330">
            <w:pPr>
              <w:pStyle w:val="Tabletext"/>
            </w:pPr>
            <w:r w:rsidRPr="00583E1A">
              <w:t>the excess is included in your assessable income.</w:t>
            </w:r>
          </w:p>
        </w:tc>
      </w:tr>
      <w:tr w:rsidR="00887330" w:rsidRPr="00583E1A">
        <w:trPr>
          <w:cantSplit/>
        </w:trPr>
        <w:tc>
          <w:tcPr>
            <w:tcW w:w="714" w:type="dxa"/>
            <w:tcBorders>
              <w:top w:val="single" w:sz="2" w:space="0" w:color="auto"/>
              <w:bottom w:val="single" w:sz="2" w:space="0" w:color="auto"/>
            </w:tcBorders>
            <w:shd w:val="clear" w:color="auto" w:fill="auto"/>
          </w:tcPr>
          <w:p w:rsidR="00887330" w:rsidRPr="00583E1A" w:rsidRDefault="00887330" w:rsidP="00887330">
            <w:pPr>
              <w:pStyle w:val="Tabletext"/>
            </w:pPr>
            <w:r w:rsidRPr="00583E1A">
              <w:t>3</w:t>
            </w:r>
          </w:p>
        </w:tc>
        <w:tc>
          <w:tcPr>
            <w:tcW w:w="1811" w:type="dxa"/>
            <w:tcBorders>
              <w:top w:val="single" w:sz="2" w:space="0" w:color="auto"/>
              <w:bottom w:val="single" w:sz="2" w:space="0" w:color="auto"/>
            </w:tcBorders>
            <w:shd w:val="clear" w:color="auto" w:fill="auto"/>
          </w:tcPr>
          <w:p w:rsidR="00887330" w:rsidRPr="00583E1A" w:rsidRDefault="00887330" w:rsidP="00887330">
            <w:pPr>
              <w:pStyle w:val="Tabletext"/>
            </w:pPr>
            <w:r w:rsidRPr="00583E1A">
              <w:t>item</w:t>
            </w:r>
            <w:r w:rsidR="00583E1A">
              <w:t> </w:t>
            </w:r>
            <w:r w:rsidRPr="00583E1A">
              <w:t xml:space="preserve">3 of the table in </w:t>
            </w:r>
            <w:r w:rsidR="00583E1A">
              <w:t>subsection (</w:t>
            </w:r>
            <w:r w:rsidRPr="00583E1A">
              <w:t xml:space="preserve">1) applies in relation to a </w:t>
            </w:r>
            <w:r w:rsidR="00583E1A" w:rsidRPr="00583E1A">
              <w:rPr>
                <w:position w:val="6"/>
                <w:sz w:val="16"/>
              </w:rPr>
              <w:t>*</w:t>
            </w:r>
            <w:r w:rsidRPr="00583E1A">
              <w:t>depreciating asset</w:t>
            </w:r>
          </w:p>
        </w:tc>
        <w:tc>
          <w:tcPr>
            <w:tcW w:w="3080" w:type="dxa"/>
            <w:tcBorders>
              <w:top w:val="single" w:sz="2" w:space="0" w:color="auto"/>
              <w:bottom w:val="single" w:sz="2" w:space="0" w:color="auto"/>
            </w:tcBorders>
            <w:shd w:val="clear" w:color="auto" w:fill="auto"/>
          </w:tcPr>
          <w:p w:rsidR="00887330" w:rsidRPr="00583E1A" w:rsidRDefault="00887330" w:rsidP="00887330">
            <w:pPr>
              <w:pStyle w:val="Tablea"/>
            </w:pPr>
            <w:r w:rsidRPr="00583E1A">
              <w:t>(a) the asset is allocated to a pool under Subdivision</w:t>
            </w:r>
            <w:r w:rsidR="00583E1A">
              <w:t> </w:t>
            </w:r>
            <w:r w:rsidRPr="00583E1A">
              <w:t>40</w:t>
            </w:r>
            <w:r w:rsidR="00583E1A">
              <w:noBreakHyphen/>
            </w:r>
            <w:r w:rsidRPr="00583E1A">
              <w:t>E or 328</w:t>
            </w:r>
            <w:r w:rsidR="00583E1A">
              <w:noBreakHyphen/>
            </w:r>
            <w:r w:rsidRPr="00583E1A">
              <w:t>D; and</w:t>
            </w:r>
          </w:p>
          <w:p w:rsidR="00887330" w:rsidRPr="00583E1A" w:rsidRDefault="00887330" w:rsidP="00887330">
            <w:pPr>
              <w:pStyle w:val="Tablea"/>
            </w:pPr>
            <w:r w:rsidRPr="00583E1A">
              <w:t>(b) the forex realisation gain exceeds the opening pool balance of the pool for the income year in which the forex realisation event happens</w:t>
            </w:r>
          </w:p>
        </w:tc>
        <w:tc>
          <w:tcPr>
            <w:tcW w:w="1540" w:type="dxa"/>
            <w:tcBorders>
              <w:top w:val="single" w:sz="2" w:space="0" w:color="auto"/>
              <w:bottom w:val="single" w:sz="2" w:space="0" w:color="auto"/>
            </w:tcBorders>
            <w:shd w:val="clear" w:color="auto" w:fill="auto"/>
          </w:tcPr>
          <w:p w:rsidR="00887330" w:rsidRPr="00583E1A" w:rsidRDefault="00887330" w:rsidP="00887330">
            <w:pPr>
              <w:pStyle w:val="Tabletext"/>
            </w:pPr>
            <w:r w:rsidRPr="00583E1A">
              <w:t>the excess is included in your assessable income.</w:t>
            </w:r>
          </w:p>
        </w:tc>
      </w:tr>
      <w:tr w:rsidR="00887330" w:rsidRPr="00583E1A">
        <w:trPr>
          <w:cantSplit/>
        </w:trPr>
        <w:tc>
          <w:tcPr>
            <w:tcW w:w="714" w:type="dxa"/>
            <w:tcBorders>
              <w:top w:val="single" w:sz="2" w:space="0" w:color="auto"/>
              <w:bottom w:val="single" w:sz="12" w:space="0" w:color="auto"/>
            </w:tcBorders>
            <w:shd w:val="clear" w:color="auto" w:fill="auto"/>
          </w:tcPr>
          <w:p w:rsidR="00887330" w:rsidRPr="00583E1A" w:rsidRDefault="00887330" w:rsidP="00887330">
            <w:pPr>
              <w:pStyle w:val="Tabletext"/>
            </w:pPr>
            <w:r w:rsidRPr="00583E1A">
              <w:t>4</w:t>
            </w:r>
          </w:p>
        </w:tc>
        <w:tc>
          <w:tcPr>
            <w:tcW w:w="1811" w:type="dxa"/>
            <w:tcBorders>
              <w:top w:val="single" w:sz="2" w:space="0" w:color="auto"/>
              <w:bottom w:val="single" w:sz="12" w:space="0" w:color="auto"/>
            </w:tcBorders>
            <w:shd w:val="clear" w:color="auto" w:fill="auto"/>
          </w:tcPr>
          <w:p w:rsidR="00887330" w:rsidRPr="00583E1A" w:rsidRDefault="00887330" w:rsidP="00887330">
            <w:pPr>
              <w:pStyle w:val="Tabletext"/>
            </w:pPr>
            <w:r w:rsidRPr="00583E1A">
              <w:t>item</w:t>
            </w:r>
            <w:r w:rsidR="00583E1A">
              <w:t> </w:t>
            </w:r>
            <w:r w:rsidRPr="00583E1A">
              <w:t xml:space="preserve">4 of the table in </w:t>
            </w:r>
            <w:r w:rsidR="00583E1A">
              <w:t>subsection (</w:t>
            </w:r>
            <w:r w:rsidRPr="00583E1A">
              <w:t>1) applies in relation to a project amount</w:t>
            </w:r>
          </w:p>
        </w:tc>
        <w:tc>
          <w:tcPr>
            <w:tcW w:w="3080" w:type="dxa"/>
            <w:tcBorders>
              <w:top w:val="single" w:sz="2" w:space="0" w:color="auto"/>
              <w:bottom w:val="single" w:sz="12" w:space="0" w:color="auto"/>
            </w:tcBorders>
            <w:shd w:val="clear" w:color="auto" w:fill="auto"/>
          </w:tcPr>
          <w:p w:rsidR="00887330" w:rsidRPr="00583E1A" w:rsidRDefault="00887330" w:rsidP="00887330">
            <w:pPr>
              <w:pStyle w:val="Tabletext"/>
            </w:pPr>
            <w:r w:rsidRPr="00583E1A">
              <w:t>the forex realisation gain exceeds the pool value of the project pool for the income year in which you incurred the project amount</w:t>
            </w:r>
          </w:p>
        </w:tc>
        <w:tc>
          <w:tcPr>
            <w:tcW w:w="1540" w:type="dxa"/>
            <w:tcBorders>
              <w:top w:val="single" w:sz="2" w:space="0" w:color="auto"/>
              <w:bottom w:val="single" w:sz="12" w:space="0" w:color="auto"/>
            </w:tcBorders>
            <w:shd w:val="clear" w:color="auto" w:fill="auto"/>
          </w:tcPr>
          <w:p w:rsidR="00887330" w:rsidRPr="00583E1A" w:rsidRDefault="00887330" w:rsidP="00887330">
            <w:pPr>
              <w:pStyle w:val="Tabletext"/>
            </w:pPr>
            <w:r w:rsidRPr="00583E1A">
              <w:t>the excess is included in your assessable income.</w:t>
            </w:r>
          </w:p>
        </w:tc>
      </w:tr>
    </w:tbl>
    <w:p w:rsidR="00887330" w:rsidRPr="00583E1A" w:rsidRDefault="00887330" w:rsidP="00887330">
      <w:pPr>
        <w:pStyle w:val="subsection"/>
      </w:pPr>
      <w:r w:rsidRPr="00583E1A">
        <w:tab/>
        <w:t>(3)</w:t>
      </w:r>
      <w:r w:rsidRPr="00583E1A">
        <w:tab/>
        <w:t xml:space="preserve">To the extent that a </w:t>
      </w:r>
      <w:r w:rsidR="00583E1A" w:rsidRPr="00583E1A">
        <w:rPr>
          <w:position w:val="6"/>
          <w:sz w:val="16"/>
        </w:rPr>
        <w:t>*</w:t>
      </w:r>
      <w:r w:rsidRPr="00583E1A">
        <w:t>forex realisation gain:</w:t>
      </w:r>
    </w:p>
    <w:p w:rsidR="00887330" w:rsidRPr="00583E1A" w:rsidRDefault="00887330" w:rsidP="00887330">
      <w:pPr>
        <w:pStyle w:val="paragraph"/>
      </w:pPr>
      <w:r w:rsidRPr="00583E1A">
        <w:tab/>
        <w:t>(a)</w:t>
      </w:r>
      <w:r w:rsidRPr="00583E1A">
        <w:tab/>
        <w:t>would have been included in your assessable income under section</w:t>
      </w:r>
      <w:r w:rsidR="00583E1A">
        <w:t> </w:t>
      </w:r>
      <w:r w:rsidRPr="00583E1A">
        <w:t>775</w:t>
      </w:r>
      <w:r w:rsidR="00583E1A">
        <w:noBreakHyphen/>
      </w:r>
      <w:r w:rsidRPr="00583E1A">
        <w:t>15 if this section had not been enacted; and</w:t>
      </w:r>
    </w:p>
    <w:p w:rsidR="00887330" w:rsidRPr="00583E1A" w:rsidRDefault="00887330" w:rsidP="00887330">
      <w:pPr>
        <w:pStyle w:val="paragraph"/>
      </w:pPr>
      <w:r w:rsidRPr="00583E1A">
        <w:tab/>
        <w:t>(b)</w:t>
      </w:r>
      <w:r w:rsidRPr="00583E1A">
        <w:tab/>
        <w:t>would, apart from this subsection, be included in your assessable income under another provision of this Act;</w:t>
      </w:r>
    </w:p>
    <w:p w:rsidR="00887330" w:rsidRPr="00583E1A" w:rsidRDefault="00887330" w:rsidP="00887330">
      <w:pPr>
        <w:pStyle w:val="subsection2"/>
      </w:pPr>
      <w:r w:rsidRPr="00583E1A">
        <w:t>the gain is not included in your assessable income under that other provision.</w:t>
      </w:r>
    </w:p>
    <w:p w:rsidR="00887330" w:rsidRPr="00583E1A" w:rsidRDefault="00887330" w:rsidP="003C48B0">
      <w:pPr>
        <w:pStyle w:val="ActHead5"/>
      </w:pPr>
      <w:bookmarkStart w:id="80" w:name="_Toc338939154"/>
      <w:r w:rsidRPr="00583E1A">
        <w:rPr>
          <w:rStyle w:val="CharSectno"/>
        </w:rPr>
        <w:lastRenderedPageBreak/>
        <w:t>775</w:t>
      </w:r>
      <w:r w:rsidR="00583E1A">
        <w:rPr>
          <w:rStyle w:val="CharSectno"/>
        </w:rPr>
        <w:noBreakHyphen/>
      </w:r>
      <w:r w:rsidRPr="00583E1A">
        <w:rPr>
          <w:rStyle w:val="CharSectno"/>
        </w:rPr>
        <w:t>75</w:t>
      </w:r>
      <w:r w:rsidRPr="00583E1A">
        <w:t xml:space="preserve">  Tax consequences of certain short</w:t>
      </w:r>
      <w:r w:rsidR="00583E1A">
        <w:noBreakHyphen/>
      </w:r>
      <w:r w:rsidRPr="00583E1A">
        <w:t>term forex realisation losses</w:t>
      </w:r>
      <w:bookmarkEnd w:id="80"/>
    </w:p>
    <w:p w:rsidR="00887330" w:rsidRPr="00583E1A" w:rsidRDefault="00887330" w:rsidP="003C48B0">
      <w:pPr>
        <w:pStyle w:val="subsection"/>
        <w:keepNext/>
        <w:keepLines/>
      </w:pPr>
      <w:r w:rsidRPr="00583E1A">
        <w:tab/>
        <w:t>(1)</w:t>
      </w:r>
      <w:r w:rsidRPr="00583E1A">
        <w:tab/>
        <w:t>The following table has effect unless you have made a choice under section</w:t>
      </w:r>
      <w:r w:rsidR="00583E1A">
        <w:t> </w:t>
      </w:r>
      <w:r w:rsidRPr="00583E1A">
        <w:t>775</w:t>
      </w:r>
      <w:r w:rsidR="00583E1A">
        <w:noBreakHyphen/>
      </w:r>
      <w:r w:rsidRPr="00583E1A">
        <w:t>80:</w:t>
      </w:r>
    </w:p>
    <w:p w:rsidR="00887330" w:rsidRPr="00583E1A" w:rsidRDefault="00887330" w:rsidP="003C48B0">
      <w:pPr>
        <w:pStyle w:val="Tabletext"/>
        <w:keepNext/>
        <w:keepLines/>
      </w:pPr>
    </w:p>
    <w:tbl>
      <w:tblPr>
        <w:tblW w:w="0" w:type="auto"/>
        <w:tblInd w:w="108" w:type="dxa"/>
        <w:tblLayout w:type="fixed"/>
        <w:tblLook w:val="0000" w:firstRow="0" w:lastRow="0" w:firstColumn="0" w:lastColumn="0" w:noHBand="0" w:noVBand="0"/>
      </w:tblPr>
      <w:tblGrid>
        <w:gridCol w:w="709"/>
        <w:gridCol w:w="3260"/>
        <w:gridCol w:w="3119"/>
      </w:tblGrid>
      <w:tr w:rsidR="00887330" w:rsidRPr="00583E1A">
        <w:trPr>
          <w:cantSplit/>
          <w:tblHeader/>
        </w:trPr>
        <w:tc>
          <w:tcPr>
            <w:tcW w:w="7088" w:type="dxa"/>
            <w:gridSpan w:val="3"/>
            <w:tcBorders>
              <w:top w:val="single" w:sz="12" w:space="0" w:color="auto"/>
              <w:bottom w:val="single" w:sz="6" w:space="0" w:color="auto"/>
            </w:tcBorders>
            <w:shd w:val="clear" w:color="auto" w:fill="auto"/>
          </w:tcPr>
          <w:p w:rsidR="00887330" w:rsidRPr="00583E1A" w:rsidRDefault="00887330" w:rsidP="00887330">
            <w:pPr>
              <w:pStyle w:val="Tabletext"/>
              <w:keepNext/>
              <w:rPr>
                <w:b/>
              </w:rPr>
            </w:pPr>
            <w:r w:rsidRPr="00583E1A">
              <w:rPr>
                <w:b/>
              </w:rPr>
              <w:t>Tax consequences of certain short</w:t>
            </w:r>
            <w:r w:rsidR="00583E1A">
              <w:rPr>
                <w:b/>
              </w:rPr>
              <w:noBreakHyphen/>
            </w:r>
            <w:r w:rsidRPr="00583E1A">
              <w:rPr>
                <w:b/>
              </w:rPr>
              <w:t>term forex realisation losses</w:t>
            </w:r>
          </w:p>
        </w:tc>
      </w:tr>
      <w:tr w:rsidR="00887330" w:rsidRPr="00583E1A">
        <w:trPr>
          <w:cantSplit/>
          <w:tblHeader/>
        </w:trPr>
        <w:tc>
          <w:tcPr>
            <w:tcW w:w="709" w:type="dxa"/>
            <w:tcBorders>
              <w:top w:val="single" w:sz="6" w:space="0" w:color="auto"/>
              <w:bottom w:val="single" w:sz="12" w:space="0" w:color="auto"/>
            </w:tcBorders>
            <w:shd w:val="clear" w:color="auto" w:fill="auto"/>
          </w:tcPr>
          <w:p w:rsidR="00887330" w:rsidRPr="00583E1A" w:rsidRDefault="00887330" w:rsidP="00887330">
            <w:pPr>
              <w:pStyle w:val="Tabletext"/>
              <w:keepNext/>
              <w:rPr>
                <w:b/>
              </w:rPr>
            </w:pPr>
            <w:r w:rsidRPr="00583E1A">
              <w:rPr>
                <w:b/>
              </w:rPr>
              <w:t>Item</w:t>
            </w:r>
          </w:p>
        </w:tc>
        <w:tc>
          <w:tcPr>
            <w:tcW w:w="3260" w:type="dxa"/>
            <w:tcBorders>
              <w:top w:val="single" w:sz="6" w:space="0" w:color="auto"/>
              <w:bottom w:val="single" w:sz="12" w:space="0" w:color="auto"/>
            </w:tcBorders>
            <w:shd w:val="clear" w:color="auto" w:fill="auto"/>
          </w:tcPr>
          <w:p w:rsidR="00887330" w:rsidRPr="00583E1A" w:rsidRDefault="00887330" w:rsidP="00887330">
            <w:pPr>
              <w:pStyle w:val="Tabletext"/>
              <w:keepNext/>
              <w:rPr>
                <w:b/>
              </w:rPr>
            </w:pPr>
            <w:r w:rsidRPr="00583E1A">
              <w:rPr>
                <w:b/>
              </w:rPr>
              <w:t>In this case...</w:t>
            </w:r>
          </w:p>
        </w:tc>
        <w:tc>
          <w:tcPr>
            <w:tcW w:w="3119" w:type="dxa"/>
            <w:tcBorders>
              <w:top w:val="single" w:sz="6" w:space="0" w:color="auto"/>
              <w:bottom w:val="single" w:sz="12" w:space="0" w:color="auto"/>
            </w:tcBorders>
            <w:shd w:val="clear" w:color="auto" w:fill="auto"/>
          </w:tcPr>
          <w:p w:rsidR="00887330" w:rsidRPr="00583E1A" w:rsidRDefault="00887330" w:rsidP="00887330">
            <w:pPr>
              <w:pStyle w:val="Tabletext"/>
              <w:keepNext/>
              <w:rPr>
                <w:b/>
              </w:rPr>
            </w:pPr>
            <w:r w:rsidRPr="00583E1A">
              <w:rPr>
                <w:b/>
              </w:rPr>
              <w:t>this is the result...</w:t>
            </w:r>
          </w:p>
        </w:tc>
      </w:tr>
      <w:tr w:rsidR="00887330" w:rsidRPr="00583E1A">
        <w:trPr>
          <w:cantSplit/>
        </w:trPr>
        <w:tc>
          <w:tcPr>
            <w:tcW w:w="709" w:type="dxa"/>
            <w:tcBorders>
              <w:top w:val="single" w:sz="12" w:space="0" w:color="auto"/>
              <w:bottom w:val="single" w:sz="2" w:space="0" w:color="auto"/>
            </w:tcBorders>
            <w:shd w:val="clear" w:color="auto" w:fill="auto"/>
          </w:tcPr>
          <w:p w:rsidR="00887330" w:rsidRPr="00583E1A" w:rsidRDefault="00887330" w:rsidP="00887330">
            <w:pPr>
              <w:pStyle w:val="Tabletext"/>
            </w:pPr>
            <w:r w:rsidRPr="00583E1A">
              <w:t>1</w:t>
            </w:r>
          </w:p>
        </w:tc>
        <w:tc>
          <w:tcPr>
            <w:tcW w:w="3260" w:type="dxa"/>
            <w:tcBorders>
              <w:top w:val="single" w:sz="12" w:space="0" w:color="auto"/>
              <w:bottom w:val="single" w:sz="2" w:space="0" w:color="auto"/>
            </w:tcBorders>
            <w:shd w:val="clear" w:color="auto" w:fill="auto"/>
          </w:tcPr>
          <w:p w:rsidR="00887330" w:rsidRPr="00583E1A" w:rsidRDefault="00887330" w:rsidP="00887330">
            <w:pPr>
              <w:pStyle w:val="Tabletext"/>
            </w:pPr>
            <w:r w:rsidRPr="00583E1A">
              <w:t xml:space="preserve">you make a </w:t>
            </w:r>
            <w:r w:rsidR="00583E1A" w:rsidRPr="00583E1A">
              <w:rPr>
                <w:position w:val="6"/>
                <w:sz w:val="16"/>
              </w:rPr>
              <w:t>*</w:t>
            </w:r>
            <w:r w:rsidRPr="00583E1A">
              <w:t>forex realisation loss as a result of forex realisation event 2, and:</w:t>
            </w:r>
          </w:p>
          <w:p w:rsidR="00887330" w:rsidRPr="00583E1A" w:rsidRDefault="00887330" w:rsidP="00887330">
            <w:pPr>
              <w:pStyle w:val="Tablea"/>
            </w:pPr>
            <w:r w:rsidRPr="00583E1A">
              <w:t xml:space="preserve">(a) the right to receive </w:t>
            </w:r>
            <w:r w:rsidR="00583E1A" w:rsidRPr="00583E1A">
              <w:rPr>
                <w:position w:val="6"/>
                <w:sz w:val="16"/>
              </w:rPr>
              <w:t>*</w:t>
            </w:r>
            <w:r w:rsidRPr="00583E1A">
              <w:t xml:space="preserve">foreign currency was created in return for the occurrence of a </w:t>
            </w:r>
            <w:r w:rsidR="00583E1A" w:rsidRPr="00583E1A">
              <w:rPr>
                <w:position w:val="6"/>
                <w:sz w:val="16"/>
              </w:rPr>
              <w:t>*</w:t>
            </w:r>
            <w:r w:rsidRPr="00583E1A">
              <w:t xml:space="preserve">realisation event in relation to a </w:t>
            </w:r>
            <w:r w:rsidR="00583E1A" w:rsidRPr="00583E1A">
              <w:rPr>
                <w:position w:val="6"/>
                <w:sz w:val="16"/>
              </w:rPr>
              <w:t>*</w:t>
            </w:r>
            <w:r w:rsidRPr="00583E1A">
              <w:t>CGT asset you own; and</w:t>
            </w:r>
          </w:p>
          <w:p w:rsidR="00887330" w:rsidRPr="00583E1A" w:rsidRDefault="00887330" w:rsidP="00887330">
            <w:pPr>
              <w:pStyle w:val="Tablea"/>
            </w:pPr>
            <w:r w:rsidRPr="00583E1A">
              <w:t>(b) item</w:t>
            </w:r>
            <w:r w:rsidR="00583E1A">
              <w:t> </w:t>
            </w:r>
            <w:r w:rsidRPr="00583E1A">
              <w:t>6 of the table in subsection 775</w:t>
            </w:r>
            <w:r w:rsidR="00583E1A">
              <w:noBreakHyphen/>
            </w:r>
            <w:r w:rsidRPr="00583E1A">
              <w:t>45(7) applies; and</w:t>
            </w:r>
          </w:p>
          <w:p w:rsidR="00887330" w:rsidRPr="00583E1A" w:rsidRDefault="00887330" w:rsidP="00887330">
            <w:pPr>
              <w:pStyle w:val="Tablea"/>
            </w:pPr>
            <w:r w:rsidRPr="00583E1A">
              <w:t>(c) the foreign currency became due for payment within 12 months after the occurrence of the realisation event</w:t>
            </w:r>
          </w:p>
        </w:tc>
        <w:tc>
          <w:tcPr>
            <w:tcW w:w="3119" w:type="dxa"/>
            <w:tcBorders>
              <w:top w:val="single" w:sz="12" w:space="0" w:color="auto"/>
              <w:bottom w:val="single" w:sz="2" w:space="0" w:color="auto"/>
            </w:tcBorders>
            <w:shd w:val="clear" w:color="auto" w:fill="auto"/>
          </w:tcPr>
          <w:p w:rsidR="00887330" w:rsidRPr="00583E1A" w:rsidRDefault="00887330" w:rsidP="00887330">
            <w:pPr>
              <w:pStyle w:val="Tablea"/>
            </w:pPr>
            <w:r w:rsidRPr="00583E1A">
              <w:t>(a) the forex realisation loss is not deductible under section</w:t>
            </w:r>
            <w:r w:rsidR="00583E1A">
              <w:t> </w:t>
            </w:r>
            <w:r w:rsidRPr="00583E1A">
              <w:t>775</w:t>
            </w:r>
            <w:r w:rsidR="00583E1A">
              <w:noBreakHyphen/>
            </w:r>
            <w:r w:rsidRPr="00583E1A">
              <w:t>30; and</w:t>
            </w:r>
          </w:p>
          <w:p w:rsidR="00887330" w:rsidRPr="00583E1A" w:rsidRDefault="00887330" w:rsidP="00887330">
            <w:pPr>
              <w:pStyle w:val="Tablea"/>
            </w:pPr>
            <w:r w:rsidRPr="00583E1A">
              <w:t>(b) CGT event K11 happens.</w:t>
            </w:r>
          </w:p>
        </w:tc>
      </w:tr>
      <w:tr w:rsidR="00887330" w:rsidRPr="00583E1A">
        <w:trPr>
          <w:cantSplit/>
        </w:trPr>
        <w:tc>
          <w:tcPr>
            <w:tcW w:w="709" w:type="dxa"/>
            <w:tcBorders>
              <w:top w:val="single" w:sz="2" w:space="0" w:color="auto"/>
              <w:bottom w:val="single" w:sz="2" w:space="0" w:color="auto"/>
            </w:tcBorders>
            <w:shd w:val="clear" w:color="auto" w:fill="auto"/>
          </w:tcPr>
          <w:p w:rsidR="00887330" w:rsidRPr="00583E1A" w:rsidRDefault="00887330" w:rsidP="00887330">
            <w:pPr>
              <w:pStyle w:val="Tabletext"/>
            </w:pPr>
            <w:r w:rsidRPr="00583E1A">
              <w:lastRenderedPageBreak/>
              <w:t>2</w:t>
            </w:r>
          </w:p>
        </w:tc>
        <w:tc>
          <w:tcPr>
            <w:tcW w:w="3260" w:type="dxa"/>
            <w:tcBorders>
              <w:top w:val="single" w:sz="2" w:space="0" w:color="auto"/>
              <w:bottom w:val="single" w:sz="2" w:space="0" w:color="auto"/>
            </w:tcBorders>
            <w:shd w:val="clear" w:color="auto" w:fill="auto"/>
          </w:tcPr>
          <w:p w:rsidR="00887330" w:rsidRPr="00583E1A" w:rsidRDefault="00887330" w:rsidP="00887330">
            <w:pPr>
              <w:pStyle w:val="Tabletext"/>
            </w:pPr>
            <w:r w:rsidRPr="00583E1A">
              <w:t xml:space="preserve">you make a </w:t>
            </w:r>
            <w:r w:rsidR="00583E1A" w:rsidRPr="00583E1A">
              <w:rPr>
                <w:position w:val="6"/>
                <w:sz w:val="16"/>
              </w:rPr>
              <w:t>*</w:t>
            </w:r>
            <w:r w:rsidRPr="00583E1A">
              <w:t>forex realisation loss as a result of forex realisation event 4, and:</w:t>
            </w:r>
          </w:p>
          <w:p w:rsidR="00887330" w:rsidRPr="00583E1A" w:rsidRDefault="00887330" w:rsidP="00887330">
            <w:pPr>
              <w:pStyle w:val="Tablea"/>
            </w:pPr>
            <w:r w:rsidRPr="00583E1A">
              <w:t xml:space="preserve">(a) the obligation to pay </w:t>
            </w:r>
            <w:r w:rsidR="00583E1A" w:rsidRPr="00583E1A">
              <w:rPr>
                <w:position w:val="6"/>
                <w:sz w:val="16"/>
              </w:rPr>
              <w:t>*</w:t>
            </w:r>
            <w:r w:rsidRPr="00583E1A">
              <w:t>foreign currency was incurred:</w:t>
            </w:r>
          </w:p>
          <w:p w:rsidR="00887330" w:rsidRPr="00583E1A" w:rsidRDefault="00887330" w:rsidP="00887330">
            <w:pPr>
              <w:pStyle w:val="Tablei"/>
            </w:pPr>
            <w:r w:rsidRPr="00583E1A">
              <w:t xml:space="preserve">(i) in return for the acquisition of a </w:t>
            </w:r>
            <w:r w:rsidR="00583E1A" w:rsidRPr="00583E1A">
              <w:rPr>
                <w:position w:val="6"/>
                <w:sz w:val="16"/>
              </w:rPr>
              <w:t>*</w:t>
            </w:r>
            <w:r w:rsidRPr="00583E1A">
              <w:t>CGT asset; or</w:t>
            </w:r>
          </w:p>
          <w:p w:rsidR="00887330" w:rsidRPr="00583E1A" w:rsidRDefault="00887330" w:rsidP="00887330">
            <w:pPr>
              <w:pStyle w:val="Tablei"/>
            </w:pPr>
            <w:r w:rsidRPr="00583E1A">
              <w:t xml:space="preserve">(ii) as the second, third, fourth or fifth element of the </w:t>
            </w:r>
            <w:r w:rsidR="00583E1A" w:rsidRPr="00583E1A">
              <w:rPr>
                <w:position w:val="6"/>
                <w:sz w:val="16"/>
              </w:rPr>
              <w:t>*</w:t>
            </w:r>
            <w:r w:rsidRPr="00583E1A">
              <w:t>cost base of a CGT asset; and</w:t>
            </w:r>
          </w:p>
          <w:p w:rsidR="00887330" w:rsidRPr="00583E1A" w:rsidRDefault="00887330" w:rsidP="00887330">
            <w:pPr>
              <w:pStyle w:val="Tablea"/>
            </w:pPr>
            <w:r w:rsidRPr="00583E1A">
              <w:t>(b) item</w:t>
            </w:r>
            <w:r w:rsidR="00583E1A">
              <w:t> </w:t>
            </w:r>
            <w:r w:rsidRPr="00583E1A">
              <w:t>9 of the table in subsection 775</w:t>
            </w:r>
            <w:r w:rsidR="00583E1A">
              <w:noBreakHyphen/>
            </w:r>
            <w:r w:rsidRPr="00583E1A">
              <w:t>55(7) applies; and</w:t>
            </w:r>
          </w:p>
          <w:p w:rsidR="00887330" w:rsidRPr="00583E1A" w:rsidRDefault="00887330" w:rsidP="00887330">
            <w:pPr>
              <w:pStyle w:val="Tablea"/>
            </w:pPr>
            <w:r w:rsidRPr="00583E1A">
              <w:t>(c) the foreign currency became due for payment within 12 months after the time when:</w:t>
            </w:r>
          </w:p>
          <w:p w:rsidR="00887330" w:rsidRPr="00583E1A" w:rsidRDefault="00887330" w:rsidP="00887330">
            <w:pPr>
              <w:pStyle w:val="Tablei"/>
            </w:pPr>
            <w:r w:rsidRPr="00583E1A">
              <w:t xml:space="preserve">(i) if </w:t>
            </w:r>
            <w:r w:rsidR="00583E1A">
              <w:t>subparagraph (</w:t>
            </w:r>
            <w:r w:rsidRPr="00583E1A">
              <w:t>a)(i) applies—you acquired the CGT asset (worked out under Division</w:t>
            </w:r>
            <w:r w:rsidR="00583E1A">
              <w:t> </w:t>
            </w:r>
            <w:r w:rsidRPr="00583E1A">
              <w:t>109); or</w:t>
            </w:r>
          </w:p>
          <w:p w:rsidR="00887330" w:rsidRPr="00583E1A" w:rsidRDefault="00887330" w:rsidP="00887330">
            <w:pPr>
              <w:pStyle w:val="Tablei"/>
            </w:pPr>
            <w:r w:rsidRPr="00583E1A">
              <w:t xml:space="preserve">(ii) if </w:t>
            </w:r>
            <w:r w:rsidR="00583E1A">
              <w:t>subparagraph (</w:t>
            </w:r>
            <w:r w:rsidRPr="00583E1A">
              <w:t>a)(ii) applies—you incurred the relevant expenditure</w:t>
            </w:r>
          </w:p>
        </w:tc>
        <w:tc>
          <w:tcPr>
            <w:tcW w:w="3119" w:type="dxa"/>
            <w:tcBorders>
              <w:top w:val="single" w:sz="2" w:space="0" w:color="auto"/>
              <w:bottom w:val="single" w:sz="2" w:space="0" w:color="auto"/>
            </w:tcBorders>
            <w:shd w:val="clear" w:color="auto" w:fill="auto"/>
          </w:tcPr>
          <w:p w:rsidR="00887330" w:rsidRPr="00583E1A" w:rsidRDefault="00887330" w:rsidP="00887330">
            <w:pPr>
              <w:pStyle w:val="Tablea"/>
              <w:rPr>
                <w:b/>
              </w:rPr>
            </w:pPr>
            <w:r w:rsidRPr="00583E1A">
              <w:t>(a) the forex realisation loss is not deductible under section</w:t>
            </w:r>
            <w:r w:rsidR="00583E1A">
              <w:t> </w:t>
            </w:r>
            <w:r w:rsidRPr="00583E1A">
              <w:t>775</w:t>
            </w:r>
            <w:r w:rsidR="00583E1A">
              <w:noBreakHyphen/>
            </w:r>
            <w:r w:rsidRPr="00583E1A">
              <w:t>30; and</w:t>
            </w:r>
          </w:p>
          <w:p w:rsidR="00887330" w:rsidRPr="00583E1A" w:rsidRDefault="00887330" w:rsidP="00887330">
            <w:pPr>
              <w:pStyle w:val="Tablea"/>
            </w:pPr>
            <w:r w:rsidRPr="00583E1A">
              <w:t xml:space="preserve">(b) both the </w:t>
            </w:r>
            <w:r w:rsidR="00583E1A" w:rsidRPr="00583E1A">
              <w:rPr>
                <w:position w:val="6"/>
                <w:sz w:val="16"/>
              </w:rPr>
              <w:t>*</w:t>
            </w:r>
            <w:r w:rsidRPr="00583E1A">
              <w:t xml:space="preserve">cost base and the </w:t>
            </w:r>
            <w:r w:rsidR="00583E1A" w:rsidRPr="00583E1A">
              <w:rPr>
                <w:position w:val="6"/>
                <w:sz w:val="16"/>
              </w:rPr>
              <w:t>*</w:t>
            </w:r>
            <w:r w:rsidRPr="00583E1A">
              <w:t xml:space="preserve">reduced cost base of the CGT asset are increased by an amount equal to the </w:t>
            </w:r>
            <w:r w:rsidR="00583E1A" w:rsidRPr="00583E1A">
              <w:rPr>
                <w:position w:val="6"/>
                <w:sz w:val="16"/>
              </w:rPr>
              <w:t>*</w:t>
            </w:r>
            <w:r w:rsidRPr="00583E1A">
              <w:t>forex realisation loss.</w:t>
            </w:r>
          </w:p>
        </w:tc>
      </w:tr>
      <w:tr w:rsidR="00887330" w:rsidRPr="00583E1A">
        <w:trPr>
          <w:cantSplit/>
        </w:trPr>
        <w:tc>
          <w:tcPr>
            <w:tcW w:w="709" w:type="dxa"/>
            <w:tcBorders>
              <w:top w:val="single" w:sz="2" w:space="0" w:color="auto"/>
              <w:bottom w:val="single" w:sz="2" w:space="0" w:color="auto"/>
            </w:tcBorders>
            <w:shd w:val="clear" w:color="auto" w:fill="auto"/>
          </w:tcPr>
          <w:p w:rsidR="00887330" w:rsidRPr="00583E1A" w:rsidRDefault="00887330" w:rsidP="00887330">
            <w:pPr>
              <w:pStyle w:val="Tabletext"/>
            </w:pPr>
            <w:r w:rsidRPr="00583E1A">
              <w:lastRenderedPageBreak/>
              <w:t>3</w:t>
            </w:r>
          </w:p>
        </w:tc>
        <w:tc>
          <w:tcPr>
            <w:tcW w:w="3260" w:type="dxa"/>
            <w:tcBorders>
              <w:top w:val="single" w:sz="2" w:space="0" w:color="auto"/>
              <w:bottom w:val="single" w:sz="2" w:space="0" w:color="auto"/>
            </w:tcBorders>
            <w:shd w:val="clear" w:color="auto" w:fill="auto"/>
          </w:tcPr>
          <w:p w:rsidR="00887330" w:rsidRPr="00583E1A" w:rsidRDefault="00887330" w:rsidP="00887330">
            <w:pPr>
              <w:pStyle w:val="Tabletext"/>
            </w:pPr>
            <w:r w:rsidRPr="00583E1A">
              <w:t xml:space="preserve">you make a </w:t>
            </w:r>
            <w:r w:rsidR="00583E1A" w:rsidRPr="00583E1A">
              <w:rPr>
                <w:position w:val="6"/>
                <w:sz w:val="16"/>
              </w:rPr>
              <w:t>*</w:t>
            </w:r>
            <w:r w:rsidRPr="00583E1A">
              <w:t>forex realisation loss as a result of forex realisation event 4, and:</w:t>
            </w:r>
          </w:p>
          <w:p w:rsidR="00887330" w:rsidRPr="00583E1A" w:rsidRDefault="00887330" w:rsidP="00887330">
            <w:pPr>
              <w:pStyle w:val="Tablea"/>
            </w:pPr>
            <w:r w:rsidRPr="00583E1A">
              <w:t xml:space="preserve">(a) the obligation to pay </w:t>
            </w:r>
            <w:r w:rsidR="00583E1A" w:rsidRPr="00583E1A">
              <w:rPr>
                <w:position w:val="6"/>
                <w:sz w:val="16"/>
              </w:rPr>
              <w:t>*</w:t>
            </w:r>
            <w:r w:rsidRPr="00583E1A">
              <w:t>foreign currency was incurred:</w:t>
            </w:r>
          </w:p>
          <w:p w:rsidR="00887330" w:rsidRPr="00583E1A" w:rsidRDefault="00887330" w:rsidP="00887330">
            <w:pPr>
              <w:pStyle w:val="Tablei"/>
            </w:pPr>
            <w:r w:rsidRPr="00583E1A">
              <w:t xml:space="preserve">(i) in return for your starting to hold a </w:t>
            </w:r>
            <w:r w:rsidR="00583E1A" w:rsidRPr="00583E1A">
              <w:rPr>
                <w:position w:val="6"/>
                <w:sz w:val="16"/>
              </w:rPr>
              <w:t>*</w:t>
            </w:r>
            <w:r w:rsidRPr="00583E1A">
              <w:t>depreciating asset; or</w:t>
            </w:r>
          </w:p>
          <w:p w:rsidR="00887330" w:rsidRPr="00583E1A" w:rsidRDefault="00887330" w:rsidP="00887330">
            <w:pPr>
              <w:pStyle w:val="Tablei"/>
            </w:pPr>
            <w:r w:rsidRPr="00583E1A">
              <w:t>(ii) as the second element of the cost of a depreciating asset; and</w:t>
            </w:r>
          </w:p>
          <w:p w:rsidR="00887330" w:rsidRPr="00583E1A" w:rsidRDefault="00887330" w:rsidP="00887330">
            <w:pPr>
              <w:pStyle w:val="Tablea"/>
            </w:pPr>
            <w:r w:rsidRPr="00583E1A">
              <w:t xml:space="preserve">(b) if </w:t>
            </w:r>
            <w:r w:rsidR="00583E1A">
              <w:t>subparagraph (</w:t>
            </w:r>
            <w:r w:rsidRPr="00583E1A">
              <w:t>a)(i) applies—the foreign currency became due for payment within the 24</w:t>
            </w:r>
            <w:r w:rsidR="00583E1A">
              <w:noBreakHyphen/>
            </w:r>
            <w:r w:rsidRPr="00583E1A">
              <w:t>month period that began 12 months before the time when you began to hold the depreciating asset (worked out under Division</w:t>
            </w:r>
            <w:r w:rsidR="00583E1A">
              <w:t> </w:t>
            </w:r>
            <w:r w:rsidRPr="00583E1A">
              <w:t>40); and</w:t>
            </w:r>
          </w:p>
          <w:p w:rsidR="00887330" w:rsidRPr="00583E1A" w:rsidRDefault="00887330" w:rsidP="00887330">
            <w:pPr>
              <w:pStyle w:val="Tablea"/>
            </w:pPr>
            <w:r w:rsidRPr="00583E1A">
              <w:t xml:space="preserve">(c) if </w:t>
            </w:r>
            <w:r w:rsidR="00583E1A">
              <w:t>subparagraph (</w:t>
            </w:r>
            <w:r w:rsidRPr="00583E1A">
              <w:t>a)(ii) applies—the foreign currency became due for payment within 12 months after the time when you incurred the relevant expenditure</w:t>
            </w:r>
          </w:p>
        </w:tc>
        <w:tc>
          <w:tcPr>
            <w:tcW w:w="3119" w:type="dxa"/>
            <w:tcBorders>
              <w:top w:val="single" w:sz="2" w:space="0" w:color="auto"/>
              <w:bottom w:val="single" w:sz="2" w:space="0" w:color="auto"/>
            </w:tcBorders>
            <w:shd w:val="clear" w:color="auto" w:fill="auto"/>
          </w:tcPr>
          <w:p w:rsidR="00887330" w:rsidRPr="00583E1A" w:rsidRDefault="00887330" w:rsidP="00887330">
            <w:pPr>
              <w:pStyle w:val="Tablea"/>
            </w:pPr>
            <w:r w:rsidRPr="00583E1A">
              <w:t>(a) the forex realisation loss is not deductible under section</w:t>
            </w:r>
            <w:r w:rsidR="00583E1A">
              <w:t> </w:t>
            </w:r>
            <w:r w:rsidRPr="00583E1A">
              <w:t>775</w:t>
            </w:r>
            <w:r w:rsidR="00583E1A">
              <w:noBreakHyphen/>
            </w:r>
            <w:r w:rsidRPr="00583E1A">
              <w:t>30; and</w:t>
            </w:r>
          </w:p>
          <w:p w:rsidR="00887330" w:rsidRPr="00583E1A" w:rsidRDefault="00887330" w:rsidP="00887330">
            <w:pPr>
              <w:pStyle w:val="Tablea"/>
            </w:pPr>
            <w:r w:rsidRPr="00583E1A">
              <w:t>(b) if:</w:t>
            </w:r>
          </w:p>
          <w:p w:rsidR="00887330" w:rsidRPr="00583E1A" w:rsidRDefault="00887330" w:rsidP="00887330">
            <w:pPr>
              <w:pStyle w:val="Tablei"/>
            </w:pPr>
            <w:r w:rsidRPr="00583E1A">
              <w:t xml:space="preserve">(i) the forex realisation event happens in the income year in which the asset’s </w:t>
            </w:r>
            <w:r w:rsidR="00583E1A" w:rsidRPr="00583E1A">
              <w:rPr>
                <w:position w:val="6"/>
                <w:sz w:val="16"/>
              </w:rPr>
              <w:t>*</w:t>
            </w:r>
            <w:r w:rsidRPr="00583E1A">
              <w:t>start time occurs; and</w:t>
            </w:r>
          </w:p>
          <w:p w:rsidR="00887330" w:rsidRPr="00583E1A" w:rsidRDefault="00887330" w:rsidP="00887330">
            <w:pPr>
              <w:pStyle w:val="Tablei"/>
            </w:pPr>
            <w:r w:rsidRPr="00583E1A">
              <w:t>(ii) the asset is not allocated to a pool under Subdivision</w:t>
            </w:r>
            <w:r w:rsidR="00583E1A">
              <w:t> </w:t>
            </w:r>
            <w:r w:rsidRPr="00583E1A">
              <w:t>40</w:t>
            </w:r>
            <w:r w:rsidR="00583E1A">
              <w:noBreakHyphen/>
            </w:r>
            <w:r w:rsidRPr="00583E1A">
              <w:t>E or 328</w:t>
            </w:r>
            <w:r w:rsidR="00583E1A">
              <w:noBreakHyphen/>
            </w:r>
            <w:r w:rsidRPr="00583E1A">
              <w:t>D;</w:t>
            </w:r>
          </w:p>
          <w:p w:rsidR="00887330" w:rsidRPr="00583E1A" w:rsidRDefault="00887330" w:rsidP="00887330">
            <w:pPr>
              <w:pStyle w:val="Tablea"/>
            </w:pPr>
            <w:r w:rsidRPr="00583E1A">
              <w:tab/>
              <w:t xml:space="preserve">the asset’s </w:t>
            </w:r>
            <w:r w:rsidR="00583E1A" w:rsidRPr="00583E1A">
              <w:rPr>
                <w:position w:val="6"/>
                <w:sz w:val="16"/>
              </w:rPr>
              <w:t>*</w:t>
            </w:r>
            <w:r w:rsidRPr="00583E1A">
              <w:t>cost is increased by an amount equal to the forex realisation loss; and</w:t>
            </w:r>
          </w:p>
          <w:p w:rsidR="00887330" w:rsidRPr="00583E1A" w:rsidRDefault="00887330" w:rsidP="00887330">
            <w:pPr>
              <w:pStyle w:val="Tablea"/>
            </w:pPr>
            <w:r w:rsidRPr="00583E1A">
              <w:t>(c) if:</w:t>
            </w:r>
          </w:p>
          <w:p w:rsidR="00887330" w:rsidRPr="00583E1A" w:rsidRDefault="00887330" w:rsidP="00887330">
            <w:pPr>
              <w:pStyle w:val="Tablei"/>
            </w:pPr>
            <w:r w:rsidRPr="00583E1A">
              <w:t xml:space="preserve">(i) the forex realisation event happens in an income year that is later than the one in which the asset’s </w:t>
            </w:r>
            <w:r w:rsidR="00583E1A" w:rsidRPr="00583E1A">
              <w:rPr>
                <w:position w:val="6"/>
                <w:sz w:val="16"/>
              </w:rPr>
              <w:t>*</w:t>
            </w:r>
            <w:r w:rsidRPr="00583E1A">
              <w:t>start time occurs; and</w:t>
            </w:r>
          </w:p>
          <w:p w:rsidR="00887330" w:rsidRPr="00583E1A" w:rsidRDefault="00887330" w:rsidP="00887330">
            <w:pPr>
              <w:pStyle w:val="Tablei"/>
            </w:pPr>
            <w:r w:rsidRPr="00583E1A">
              <w:t>(ii) the asset is not allocated to a pool under Subdivision</w:t>
            </w:r>
            <w:r w:rsidR="00583E1A">
              <w:t> </w:t>
            </w:r>
            <w:r w:rsidRPr="00583E1A">
              <w:t>40</w:t>
            </w:r>
            <w:r w:rsidR="00583E1A">
              <w:noBreakHyphen/>
            </w:r>
            <w:r w:rsidRPr="00583E1A">
              <w:t>E or 328</w:t>
            </w:r>
            <w:r w:rsidR="00583E1A">
              <w:noBreakHyphen/>
            </w:r>
            <w:r w:rsidRPr="00583E1A">
              <w:t>D;</w:t>
            </w:r>
          </w:p>
          <w:p w:rsidR="00887330" w:rsidRPr="00583E1A" w:rsidRDefault="00887330" w:rsidP="00887330">
            <w:pPr>
              <w:pStyle w:val="Tablea"/>
            </w:pPr>
            <w:r w:rsidRPr="00583E1A">
              <w:tab/>
              <w:t xml:space="preserve">the depreciating asset’s </w:t>
            </w:r>
            <w:r w:rsidR="00583E1A" w:rsidRPr="00583E1A">
              <w:rPr>
                <w:position w:val="6"/>
                <w:sz w:val="16"/>
              </w:rPr>
              <w:t>*</w:t>
            </w:r>
            <w:r w:rsidRPr="00583E1A">
              <w:t>opening adjustable value for the income year in which the forex realisation event happens is increased by an amount equal to the forex realisation loss; and</w:t>
            </w:r>
          </w:p>
          <w:p w:rsidR="00887330" w:rsidRPr="00583E1A" w:rsidRDefault="00887330" w:rsidP="00887330">
            <w:pPr>
              <w:pStyle w:val="Tablea"/>
            </w:pPr>
            <w:r w:rsidRPr="00583E1A">
              <w:t>(d) if the asset is allocated to a pool under Subdivision</w:t>
            </w:r>
            <w:r w:rsidR="00583E1A">
              <w:t> </w:t>
            </w:r>
            <w:r w:rsidRPr="00583E1A">
              <w:t>40</w:t>
            </w:r>
            <w:r w:rsidR="00583E1A">
              <w:noBreakHyphen/>
            </w:r>
            <w:r w:rsidRPr="00583E1A">
              <w:t>E or 328</w:t>
            </w:r>
            <w:r w:rsidR="00583E1A">
              <w:noBreakHyphen/>
            </w:r>
            <w:r w:rsidRPr="00583E1A">
              <w:t>D—the opening pool balance of the pool for the income year in which the forex realisation event happens is increased by an amount equal to the forex realisation loss.</w:t>
            </w:r>
          </w:p>
        </w:tc>
      </w:tr>
      <w:tr w:rsidR="00887330" w:rsidRPr="00583E1A">
        <w:trPr>
          <w:cantSplit/>
        </w:trPr>
        <w:tc>
          <w:tcPr>
            <w:tcW w:w="709" w:type="dxa"/>
            <w:tcBorders>
              <w:top w:val="single" w:sz="2" w:space="0" w:color="auto"/>
              <w:bottom w:val="single" w:sz="12" w:space="0" w:color="auto"/>
            </w:tcBorders>
            <w:shd w:val="clear" w:color="auto" w:fill="auto"/>
          </w:tcPr>
          <w:p w:rsidR="00887330" w:rsidRPr="00583E1A" w:rsidRDefault="00887330" w:rsidP="00887330">
            <w:pPr>
              <w:pStyle w:val="Tabletext"/>
            </w:pPr>
            <w:r w:rsidRPr="00583E1A">
              <w:lastRenderedPageBreak/>
              <w:t>4</w:t>
            </w:r>
          </w:p>
        </w:tc>
        <w:tc>
          <w:tcPr>
            <w:tcW w:w="3260" w:type="dxa"/>
            <w:tcBorders>
              <w:top w:val="single" w:sz="2" w:space="0" w:color="auto"/>
              <w:bottom w:val="single" w:sz="12" w:space="0" w:color="auto"/>
            </w:tcBorders>
            <w:shd w:val="clear" w:color="auto" w:fill="auto"/>
          </w:tcPr>
          <w:p w:rsidR="00887330" w:rsidRPr="00583E1A" w:rsidRDefault="00887330" w:rsidP="00887330">
            <w:pPr>
              <w:pStyle w:val="Tabletext"/>
            </w:pPr>
            <w:r w:rsidRPr="00583E1A">
              <w:t xml:space="preserve">you make a </w:t>
            </w:r>
            <w:r w:rsidR="00583E1A" w:rsidRPr="00583E1A">
              <w:rPr>
                <w:position w:val="6"/>
                <w:sz w:val="16"/>
              </w:rPr>
              <w:t>*</w:t>
            </w:r>
            <w:r w:rsidRPr="00583E1A">
              <w:t>forex realisation loss as a result of forex realisation event 4, and:</w:t>
            </w:r>
          </w:p>
          <w:p w:rsidR="00887330" w:rsidRPr="00583E1A" w:rsidRDefault="00887330" w:rsidP="00887330">
            <w:pPr>
              <w:pStyle w:val="Tablea"/>
            </w:pPr>
            <w:r w:rsidRPr="00583E1A">
              <w:t xml:space="preserve">(a) the obligation to pay </w:t>
            </w:r>
            <w:r w:rsidR="00583E1A" w:rsidRPr="00583E1A">
              <w:rPr>
                <w:position w:val="6"/>
                <w:sz w:val="16"/>
              </w:rPr>
              <w:t>*</w:t>
            </w:r>
            <w:r w:rsidRPr="00583E1A">
              <w:t>foreign currency was incurred as a project amount; and</w:t>
            </w:r>
          </w:p>
          <w:p w:rsidR="00887330" w:rsidRPr="00583E1A" w:rsidRDefault="00887330" w:rsidP="00887330">
            <w:pPr>
              <w:pStyle w:val="Tablea"/>
            </w:pPr>
            <w:r w:rsidRPr="00583E1A">
              <w:t>(b) the foreign currency became due for payment within 12 months after the time when you incurred the project amount</w:t>
            </w:r>
          </w:p>
        </w:tc>
        <w:tc>
          <w:tcPr>
            <w:tcW w:w="3119" w:type="dxa"/>
            <w:tcBorders>
              <w:top w:val="single" w:sz="2" w:space="0" w:color="auto"/>
              <w:bottom w:val="single" w:sz="12" w:space="0" w:color="auto"/>
            </w:tcBorders>
            <w:shd w:val="clear" w:color="auto" w:fill="auto"/>
          </w:tcPr>
          <w:p w:rsidR="00887330" w:rsidRPr="00583E1A" w:rsidRDefault="00887330" w:rsidP="00887330">
            <w:pPr>
              <w:pStyle w:val="Tablea"/>
            </w:pPr>
            <w:r w:rsidRPr="00583E1A">
              <w:t>(a) the forex realisation loss is not deductible under section</w:t>
            </w:r>
            <w:r w:rsidR="00583E1A">
              <w:t> </w:t>
            </w:r>
            <w:r w:rsidRPr="00583E1A">
              <w:t>775</w:t>
            </w:r>
            <w:r w:rsidR="00583E1A">
              <w:noBreakHyphen/>
            </w:r>
            <w:r w:rsidRPr="00583E1A">
              <w:t>30; and</w:t>
            </w:r>
          </w:p>
          <w:p w:rsidR="00887330" w:rsidRPr="00583E1A" w:rsidRDefault="00887330" w:rsidP="00887330">
            <w:pPr>
              <w:pStyle w:val="Tablea"/>
            </w:pPr>
            <w:r w:rsidRPr="00583E1A">
              <w:t>(b) the pool value of the project pool for the income year in which you incurred the project amount is increased by an amount equal to the forex realisation loss.</w:t>
            </w:r>
          </w:p>
        </w:tc>
      </w:tr>
    </w:tbl>
    <w:p w:rsidR="00887330" w:rsidRPr="00583E1A" w:rsidRDefault="00887330" w:rsidP="00887330">
      <w:pPr>
        <w:pStyle w:val="subsection"/>
      </w:pPr>
      <w:r w:rsidRPr="00583E1A">
        <w:tab/>
        <w:t>(2)</w:t>
      </w:r>
      <w:r w:rsidRPr="00583E1A">
        <w:tab/>
        <w:t>To the extent that:</w:t>
      </w:r>
    </w:p>
    <w:p w:rsidR="00887330" w:rsidRPr="00583E1A" w:rsidRDefault="00887330" w:rsidP="00887330">
      <w:pPr>
        <w:pStyle w:val="paragraph"/>
      </w:pPr>
      <w:r w:rsidRPr="00583E1A">
        <w:tab/>
        <w:t>(a)</w:t>
      </w:r>
      <w:r w:rsidRPr="00583E1A">
        <w:tab/>
        <w:t>section</w:t>
      </w:r>
      <w:r w:rsidR="00583E1A">
        <w:t> </w:t>
      </w:r>
      <w:r w:rsidRPr="00583E1A">
        <w:t>775</w:t>
      </w:r>
      <w:r w:rsidR="00583E1A">
        <w:noBreakHyphen/>
      </w:r>
      <w:r w:rsidRPr="00583E1A">
        <w:t xml:space="preserve">30 would have allowed you a deduction for a </w:t>
      </w:r>
      <w:r w:rsidR="00583E1A" w:rsidRPr="00583E1A">
        <w:rPr>
          <w:position w:val="6"/>
          <w:sz w:val="16"/>
        </w:rPr>
        <w:t>*</w:t>
      </w:r>
      <w:r w:rsidRPr="00583E1A">
        <w:t>forex realisation loss if this section had not been enacted; and</w:t>
      </w:r>
    </w:p>
    <w:p w:rsidR="00887330" w:rsidRPr="00583E1A" w:rsidRDefault="00887330" w:rsidP="00887330">
      <w:pPr>
        <w:pStyle w:val="paragraph"/>
      </w:pPr>
      <w:r w:rsidRPr="00583E1A">
        <w:tab/>
        <w:t>(b)</w:t>
      </w:r>
      <w:r w:rsidRPr="00583E1A">
        <w:tab/>
        <w:t>apart from this subsection, another provision of this Act would allow you a deduction for the loss;</w:t>
      </w:r>
    </w:p>
    <w:p w:rsidR="00887330" w:rsidRPr="00583E1A" w:rsidRDefault="00887330" w:rsidP="00887330">
      <w:pPr>
        <w:pStyle w:val="subsection2"/>
      </w:pPr>
      <w:r w:rsidRPr="00583E1A">
        <w:t>you cannot deduct the loss under that other provision.</w:t>
      </w:r>
    </w:p>
    <w:p w:rsidR="00887330" w:rsidRPr="00583E1A" w:rsidRDefault="00887330" w:rsidP="00887330">
      <w:pPr>
        <w:pStyle w:val="ActHead5"/>
      </w:pPr>
      <w:bookmarkStart w:id="81" w:name="_Toc338939155"/>
      <w:r w:rsidRPr="00583E1A">
        <w:rPr>
          <w:rStyle w:val="CharSectno"/>
        </w:rPr>
        <w:t>775</w:t>
      </w:r>
      <w:r w:rsidR="00583E1A">
        <w:rPr>
          <w:rStyle w:val="CharSectno"/>
        </w:rPr>
        <w:noBreakHyphen/>
      </w:r>
      <w:r w:rsidRPr="00583E1A">
        <w:rPr>
          <w:rStyle w:val="CharSectno"/>
        </w:rPr>
        <w:t>80</w:t>
      </w:r>
      <w:r w:rsidRPr="00583E1A">
        <w:t xml:space="preserve">  You may choose not to have sections</w:t>
      </w:r>
      <w:r w:rsidR="00583E1A">
        <w:t> </w:t>
      </w:r>
      <w:r w:rsidRPr="00583E1A">
        <w:t>775</w:t>
      </w:r>
      <w:r w:rsidR="00583E1A">
        <w:noBreakHyphen/>
      </w:r>
      <w:r w:rsidRPr="00583E1A">
        <w:t>70 and 775</w:t>
      </w:r>
      <w:r w:rsidR="00583E1A">
        <w:noBreakHyphen/>
      </w:r>
      <w:r w:rsidRPr="00583E1A">
        <w:t>75 apply to you</w:t>
      </w:r>
      <w:bookmarkEnd w:id="81"/>
    </w:p>
    <w:p w:rsidR="00887330" w:rsidRPr="00583E1A" w:rsidRDefault="00887330" w:rsidP="00887330">
      <w:pPr>
        <w:pStyle w:val="subsection"/>
      </w:pPr>
      <w:r w:rsidRPr="00583E1A">
        <w:tab/>
        <w:t>(1)</w:t>
      </w:r>
      <w:r w:rsidRPr="00583E1A">
        <w:tab/>
        <w:t>You may choose not to have sections</w:t>
      </w:r>
      <w:r w:rsidR="00583E1A">
        <w:t> </w:t>
      </w:r>
      <w:r w:rsidRPr="00583E1A">
        <w:t>775</w:t>
      </w:r>
      <w:r w:rsidR="00583E1A">
        <w:noBreakHyphen/>
      </w:r>
      <w:r w:rsidRPr="00583E1A">
        <w:t>70 and 775</w:t>
      </w:r>
      <w:r w:rsidR="00583E1A">
        <w:noBreakHyphen/>
      </w:r>
      <w:r w:rsidRPr="00583E1A">
        <w:t>75 apply to you.</w:t>
      </w:r>
    </w:p>
    <w:p w:rsidR="00887330" w:rsidRPr="00583E1A" w:rsidRDefault="00887330" w:rsidP="00887330">
      <w:pPr>
        <w:pStyle w:val="subsection"/>
      </w:pPr>
      <w:r w:rsidRPr="00583E1A">
        <w:tab/>
        <w:t>(2)</w:t>
      </w:r>
      <w:r w:rsidRPr="00583E1A">
        <w:tab/>
        <w:t>A choice must be in writing.</w:t>
      </w:r>
    </w:p>
    <w:p w:rsidR="00887330" w:rsidRPr="00583E1A" w:rsidRDefault="00887330" w:rsidP="00887330">
      <w:pPr>
        <w:pStyle w:val="subsection"/>
      </w:pPr>
      <w:r w:rsidRPr="00583E1A">
        <w:tab/>
        <w:t>(3)</w:t>
      </w:r>
      <w:r w:rsidRPr="00583E1A">
        <w:tab/>
        <w:t>A choice must be made:</w:t>
      </w:r>
    </w:p>
    <w:p w:rsidR="00887330" w:rsidRPr="00583E1A" w:rsidRDefault="00887330" w:rsidP="00887330">
      <w:pPr>
        <w:pStyle w:val="paragraph"/>
      </w:pPr>
      <w:r w:rsidRPr="00583E1A">
        <w:tab/>
        <w:t>(a)</w:t>
      </w:r>
      <w:r w:rsidRPr="00583E1A">
        <w:tab/>
        <w:t>if you were in existence at the start of the applicable commencement date:</w:t>
      </w:r>
    </w:p>
    <w:p w:rsidR="00887330" w:rsidRPr="00583E1A" w:rsidRDefault="00887330" w:rsidP="00887330">
      <w:pPr>
        <w:pStyle w:val="paragraphsub"/>
      </w:pPr>
      <w:r w:rsidRPr="00583E1A">
        <w:tab/>
        <w:t>(i)</w:t>
      </w:r>
      <w:r w:rsidRPr="00583E1A">
        <w:tab/>
        <w:t>within 90 days after the applicable commencement date; or</w:t>
      </w:r>
    </w:p>
    <w:p w:rsidR="00887330" w:rsidRPr="00583E1A" w:rsidRDefault="00887330" w:rsidP="00887330">
      <w:pPr>
        <w:pStyle w:val="paragraphsub"/>
      </w:pPr>
      <w:r w:rsidRPr="00583E1A">
        <w:tab/>
        <w:t>(ii)</w:t>
      </w:r>
      <w:r w:rsidRPr="00583E1A">
        <w:tab/>
        <w:t>within 30 days after the commencement of this subsection; or</w:t>
      </w:r>
    </w:p>
    <w:p w:rsidR="00887330" w:rsidRPr="00583E1A" w:rsidRDefault="00887330" w:rsidP="00887330">
      <w:pPr>
        <w:pStyle w:val="paragraph"/>
      </w:pPr>
      <w:r w:rsidRPr="00583E1A">
        <w:tab/>
        <w:t>(b)</w:t>
      </w:r>
      <w:r w:rsidRPr="00583E1A">
        <w:tab/>
        <w:t>if you came into existence within 90 days after the start of the applicable commencement date:</w:t>
      </w:r>
    </w:p>
    <w:p w:rsidR="00887330" w:rsidRPr="00583E1A" w:rsidRDefault="00887330" w:rsidP="00887330">
      <w:pPr>
        <w:pStyle w:val="paragraphsub"/>
      </w:pPr>
      <w:r w:rsidRPr="00583E1A">
        <w:tab/>
        <w:t>(i)</w:t>
      </w:r>
      <w:r w:rsidRPr="00583E1A">
        <w:tab/>
        <w:t>within 90 days after you came into existence; or</w:t>
      </w:r>
    </w:p>
    <w:p w:rsidR="00887330" w:rsidRPr="00583E1A" w:rsidRDefault="00887330" w:rsidP="00887330">
      <w:pPr>
        <w:pStyle w:val="paragraphsub"/>
      </w:pPr>
      <w:r w:rsidRPr="00583E1A">
        <w:lastRenderedPageBreak/>
        <w:tab/>
        <w:t>(ii)</w:t>
      </w:r>
      <w:r w:rsidRPr="00583E1A">
        <w:tab/>
        <w:t>within 30 days after the commencement of this subsection; or</w:t>
      </w:r>
    </w:p>
    <w:p w:rsidR="00887330" w:rsidRPr="00583E1A" w:rsidRDefault="00887330" w:rsidP="00887330">
      <w:pPr>
        <w:pStyle w:val="paragraph"/>
      </w:pPr>
      <w:r w:rsidRPr="00583E1A">
        <w:tab/>
        <w:t>(c)</w:t>
      </w:r>
      <w:r w:rsidRPr="00583E1A">
        <w:tab/>
        <w:t>if the Commissioner allows a longer period—within that longer period.</w:t>
      </w:r>
    </w:p>
    <w:p w:rsidR="00887330" w:rsidRPr="00583E1A" w:rsidRDefault="00887330" w:rsidP="00887330">
      <w:pPr>
        <w:pStyle w:val="notetext"/>
      </w:pPr>
      <w:r w:rsidRPr="00583E1A">
        <w:t>Note:</w:t>
      </w:r>
      <w:r w:rsidRPr="00583E1A">
        <w:tab/>
        <w:t xml:space="preserve">For </w:t>
      </w:r>
      <w:r w:rsidRPr="00583E1A">
        <w:rPr>
          <w:b/>
          <w:i/>
        </w:rPr>
        <w:t>applicable commencement date</w:t>
      </w:r>
      <w:r w:rsidRPr="00583E1A">
        <w:t>, see section</w:t>
      </w:r>
      <w:r w:rsidR="00583E1A">
        <w:t> </w:t>
      </w:r>
      <w:r w:rsidRPr="00583E1A">
        <w:t>775</w:t>
      </w:r>
      <w:r w:rsidR="00583E1A">
        <w:noBreakHyphen/>
      </w:r>
      <w:r w:rsidRPr="00583E1A">
        <w:t>155.</w:t>
      </w:r>
    </w:p>
    <w:p w:rsidR="00887330" w:rsidRPr="00583E1A" w:rsidRDefault="00887330" w:rsidP="00887330">
      <w:pPr>
        <w:pStyle w:val="subsection"/>
      </w:pPr>
      <w:r w:rsidRPr="00583E1A">
        <w:tab/>
        <w:t>(4)</w:t>
      </w:r>
      <w:r w:rsidRPr="00583E1A">
        <w:tab/>
        <w:t>A choice has effect from the start of the applicable commencement date.</w:t>
      </w:r>
    </w:p>
    <w:p w:rsidR="00887330" w:rsidRPr="00583E1A" w:rsidRDefault="00887330" w:rsidP="00887330">
      <w:pPr>
        <w:pStyle w:val="subsection"/>
      </w:pPr>
      <w:r w:rsidRPr="00583E1A">
        <w:tab/>
        <w:t>(5)</w:t>
      </w:r>
      <w:r w:rsidRPr="00583E1A">
        <w:tab/>
        <w:t>A choice may not be revoked.</w:t>
      </w:r>
    </w:p>
    <w:p w:rsidR="00887330" w:rsidRPr="00583E1A" w:rsidRDefault="00887330" w:rsidP="00887330">
      <w:pPr>
        <w:pStyle w:val="ActHead5"/>
      </w:pPr>
      <w:bookmarkStart w:id="82" w:name="_Toc338939156"/>
      <w:r w:rsidRPr="00583E1A">
        <w:rPr>
          <w:rStyle w:val="CharSectno"/>
        </w:rPr>
        <w:t>775</w:t>
      </w:r>
      <w:r w:rsidR="00583E1A">
        <w:rPr>
          <w:rStyle w:val="CharSectno"/>
        </w:rPr>
        <w:noBreakHyphen/>
      </w:r>
      <w:r w:rsidRPr="00583E1A">
        <w:rPr>
          <w:rStyle w:val="CharSectno"/>
        </w:rPr>
        <w:t>85</w:t>
      </w:r>
      <w:r w:rsidRPr="00583E1A">
        <w:t xml:space="preserve">  Forex cost base of a right to receive foreign currency</w:t>
      </w:r>
      <w:bookmarkEnd w:id="82"/>
    </w:p>
    <w:p w:rsidR="00887330" w:rsidRPr="00583E1A" w:rsidRDefault="00887330" w:rsidP="00887330">
      <w:pPr>
        <w:pStyle w:val="subsection"/>
      </w:pPr>
      <w:r w:rsidRPr="00583E1A">
        <w:tab/>
      </w:r>
      <w:r w:rsidRPr="00583E1A">
        <w:tab/>
        <w:t xml:space="preserve">The </w:t>
      </w:r>
      <w:r w:rsidRPr="00583E1A">
        <w:rPr>
          <w:b/>
          <w:i/>
        </w:rPr>
        <w:t>forex cost base</w:t>
      </w:r>
      <w:r w:rsidRPr="00583E1A">
        <w:t xml:space="preserve"> of a right, or a part of a right, to receive </w:t>
      </w:r>
      <w:r w:rsidR="00583E1A" w:rsidRPr="00583E1A">
        <w:rPr>
          <w:position w:val="6"/>
          <w:sz w:val="16"/>
        </w:rPr>
        <w:t>*</w:t>
      </w:r>
      <w:r w:rsidRPr="00583E1A">
        <w:t>foreign currency is the total of:</w:t>
      </w:r>
    </w:p>
    <w:p w:rsidR="00887330" w:rsidRPr="00583E1A" w:rsidRDefault="00887330" w:rsidP="00887330">
      <w:pPr>
        <w:pStyle w:val="paragraph"/>
      </w:pPr>
      <w:r w:rsidRPr="00583E1A">
        <w:tab/>
        <w:t>(a)</w:t>
      </w:r>
      <w:r w:rsidRPr="00583E1A">
        <w:tab/>
        <w:t>the money you:</w:t>
      </w:r>
    </w:p>
    <w:p w:rsidR="00887330" w:rsidRPr="00583E1A" w:rsidRDefault="00887330" w:rsidP="00887330">
      <w:pPr>
        <w:pStyle w:val="paragraphsub"/>
      </w:pPr>
      <w:r w:rsidRPr="00583E1A">
        <w:tab/>
        <w:t>(i)</w:t>
      </w:r>
      <w:r w:rsidRPr="00583E1A">
        <w:tab/>
        <w:t>paid; or</w:t>
      </w:r>
    </w:p>
    <w:p w:rsidR="00887330" w:rsidRPr="00583E1A" w:rsidRDefault="00887330" w:rsidP="00887330">
      <w:pPr>
        <w:pStyle w:val="paragraphsub"/>
      </w:pPr>
      <w:r w:rsidRPr="00583E1A">
        <w:tab/>
        <w:t>(ii)</w:t>
      </w:r>
      <w:r w:rsidRPr="00583E1A">
        <w:tab/>
        <w:t>are required to pay; or</w:t>
      </w:r>
    </w:p>
    <w:p w:rsidR="00887330" w:rsidRPr="00583E1A" w:rsidRDefault="00887330" w:rsidP="00887330">
      <w:pPr>
        <w:pStyle w:val="paragraphsub"/>
      </w:pPr>
      <w:r w:rsidRPr="00583E1A">
        <w:tab/>
        <w:t>(iii)</w:t>
      </w:r>
      <w:r w:rsidRPr="00583E1A">
        <w:tab/>
        <w:t>would be required to pay in the event of the exercise of an option;</w:t>
      </w:r>
    </w:p>
    <w:p w:rsidR="00887330" w:rsidRPr="00583E1A" w:rsidRDefault="00887330" w:rsidP="00887330">
      <w:pPr>
        <w:pStyle w:val="paragraph"/>
      </w:pPr>
      <w:r w:rsidRPr="00583E1A">
        <w:tab/>
      </w:r>
      <w:r w:rsidRPr="00583E1A">
        <w:tab/>
        <w:t>in respect of acquiring the right or part of the right; and</w:t>
      </w:r>
    </w:p>
    <w:p w:rsidR="00887330" w:rsidRPr="00583E1A" w:rsidRDefault="00887330" w:rsidP="00887330">
      <w:pPr>
        <w:pStyle w:val="paragraph"/>
      </w:pPr>
      <w:r w:rsidRPr="00583E1A">
        <w:tab/>
        <w:t>(b)</w:t>
      </w:r>
      <w:r w:rsidRPr="00583E1A">
        <w:tab/>
        <w:t xml:space="preserve">the </w:t>
      </w:r>
      <w:r w:rsidR="00583E1A" w:rsidRPr="00583E1A">
        <w:rPr>
          <w:position w:val="6"/>
          <w:sz w:val="16"/>
        </w:rPr>
        <w:t>*</w:t>
      </w:r>
      <w:r w:rsidRPr="00583E1A">
        <w:t xml:space="preserve">market value of any </w:t>
      </w:r>
      <w:r w:rsidR="00583E1A" w:rsidRPr="00583E1A">
        <w:rPr>
          <w:position w:val="6"/>
          <w:sz w:val="16"/>
        </w:rPr>
        <w:t>*</w:t>
      </w:r>
      <w:r w:rsidRPr="00583E1A">
        <w:t>non</w:t>
      </w:r>
      <w:r w:rsidR="00583E1A">
        <w:noBreakHyphen/>
      </w:r>
      <w:r w:rsidRPr="00583E1A">
        <w:t>cash benefit you:</w:t>
      </w:r>
    </w:p>
    <w:p w:rsidR="00887330" w:rsidRPr="00583E1A" w:rsidRDefault="00887330" w:rsidP="00887330">
      <w:pPr>
        <w:pStyle w:val="paragraphsub"/>
      </w:pPr>
      <w:r w:rsidRPr="00583E1A">
        <w:tab/>
        <w:t>(i)</w:t>
      </w:r>
      <w:r w:rsidRPr="00583E1A">
        <w:tab/>
        <w:t>provided; or</w:t>
      </w:r>
    </w:p>
    <w:p w:rsidR="00887330" w:rsidRPr="00583E1A" w:rsidRDefault="00887330" w:rsidP="00887330">
      <w:pPr>
        <w:pStyle w:val="paragraphsub"/>
      </w:pPr>
      <w:r w:rsidRPr="00583E1A">
        <w:tab/>
        <w:t>(ii)</w:t>
      </w:r>
      <w:r w:rsidRPr="00583E1A">
        <w:tab/>
        <w:t>are required to provide; or</w:t>
      </w:r>
    </w:p>
    <w:p w:rsidR="00887330" w:rsidRPr="00583E1A" w:rsidRDefault="00887330" w:rsidP="00887330">
      <w:pPr>
        <w:pStyle w:val="paragraphsub"/>
      </w:pPr>
      <w:r w:rsidRPr="00583E1A">
        <w:tab/>
        <w:t>(iii)</w:t>
      </w:r>
      <w:r w:rsidRPr="00583E1A">
        <w:tab/>
        <w:t>would be required to provide in the event of the exercise of an option;</w:t>
      </w:r>
    </w:p>
    <w:p w:rsidR="00887330" w:rsidRPr="00583E1A" w:rsidRDefault="00887330" w:rsidP="00887330">
      <w:pPr>
        <w:pStyle w:val="paragraph"/>
      </w:pPr>
      <w:r w:rsidRPr="00583E1A">
        <w:tab/>
      </w:r>
      <w:r w:rsidRPr="00583E1A">
        <w:tab/>
        <w:t>in respect of acquiring the right or part of the right;</w:t>
      </w:r>
    </w:p>
    <w:p w:rsidR="00887330" w:rsidRPr="00583E1A" w:rsidRDefault="00887330" w:rsidP="00887330">
      <w:pPr>
        <w:pStyle w:val="subsection2"/>
      </w:pPr>
      <w:r w:rsidRPr="00583E1A">
        <w:t>reduced by any amounts that are deductible under a provision of this Act other than this Division.</w:t>
      </w:r>
    </w:p>
    <w:p w:rsidR="00887330" w:rsidRPr="00583E1A" w:rsidRDefault="00887330" w:rsidP="00887330">
      <w:pPr>
        <w:pStyle w:val="ActHead5"/>
      </w:pPr>
      <w:bookmarkStart w:id="83" w:name="_Toc338939157"/>
      <w:r w:rsidRPr="00583E1A">
        <w:rPr>
          <w:rStyle w:val="CharSectno"/>
        </w:rPr>
        <w:t>775</w:t>
      </w:r>
      <w:r w:rsidR="00583E1A">
        <w:rPr>
          <w:rStyle w:val="CharSectno"/>
        </w:rPr>
        <w:noBreakHyphen/>
      </w:r>
      <w:r w:rsidRPr="00583E1A">
        <w:rPr>
          <w:rStyle w:val="CharSectno"/>
        </w:rPr>
        <w:t>90</w:t>
      </w:r>
      <w:r w:rsidRPr="00583E1A">
        <w:t xml:space="preserve">  Forex entitlement base of a right to pay foreign currency</w:t>
      </w:r>
      <w:bookmarkEnd w:id="83"/>
    </w:p>
    <w:p w:rsidR="00887330" w:rsidRPr="00583E1A" w:rsidRDefault="00887330" w:rsidP="00887330">
      <w:pPr>
        <w:pStyle w:val="subsection"/>
      </w:pPr>
      <w:r w:rsidRPr="00583E1A">
        <w:tab/>
      </w:r>
      <w:r w:rsidRPr="00583E1A">
        <w:tab/>
        <w:t xml:space="preserve">The </w:t>
      </w:r>
      <w:r w:rsidRPr="00583E1A">
        <w:rPr>
          <w:b/>
          <w:i/>
        </w:rPr>
        <w:t>forex entitlement base</w:t>
      </w:r>
      <w:r w:rsidRPr="00583E1A">
        <w:t xml:space="preserve"> of a right, or a part of a right, to pay </w:t>
      </w:r>
      <w:r w:rsidR="00583E1A" w:rsidRPr="00583E1A">
        <w:rPr>
          <w:position w:val="6"/>
          <w:sz w:val="16"/>
        </w:rPr>
        <w:t>*</w:t>
      </w:r>
      <w:r w:rsidRPr="00583E1A">
        <w:t>foreign currency is the total of:</w:t>
      </w:r>
    </w:p>
    <w:p w:rsidR="00887330" w:rsidRPr="00583E1A" w:rsidRDefault="00887330" w:rsidP="00887330">
      <w:pPr>
        <w:pStyle w:val="paragraph"/>
      </w:pPr>
      <w:r w:rsidRPr="00583E1A">
        <w:tab/>
        <w:t>(a)</w:t>
      </w:r>
      <w:r w:rsidRPr="00583E1A">
        <w:tab/>
        <w:t>the money you:</w:t>
      </w:r>
    </w:p>
    <w:p w:rsidR="00887330" w:rsidRPr="00583E1A" w:rsidRDefault="00887330" w:rsidP="00887330">
      <w:pPr>
        <w:pStyle w:val="paragraphsub"/>
      </w:pPr>
      <w:r w:rsidRPr="00583E1A">
        <w:tab/>
        <w:t>(i)</w:t>
      </w:r>
      <w:r w:rsidRPr="00583E1A">
        <w:tab/>
        <w:t>are entitled to receive; or</w:t>
      </w:r>
    </w:p>
    <w:p w:rsidR="00887330" w:rsidRPr="00583E1A" w:rsidRDefault="00887330" w:rsidP="00887330">
      <w:pPr>
        <w:pStyle w:val="paragraphsub"/>
      </w:pPr>
      <w:r w:rsidRPr="00583E1A">
        <w:tab/>
        <w:t>(ii)</w:t>
      </w:r>
      <w:r w:rsidRPr="00583E1A">
        <w:tab/>
        <w:t>would be entitled to receive in the event of the exercise of an option;</w:t>
      </w:r>
    </w:p>
    <w:p w:rsidR="00887330" w:rsidRPr="00583E1A" w:rsidRDefault="00887330" w:rsidP="00887330">
      <w:pPr>
        <w:pStyle w:val="paragraph"/>
      </w:pPr>
      <w:r w:rsidRPr="00583E1A">
        <w:lastRenderedPageBreak/>
        <w:tab/>
      </w:r>
      <w:r w:rsidRPr="00583E1A">
        <w:tab/>
        <w:t>in respect of the discharge or satisfaction of the right or the part of the right; and</w:t>
      </w:r>
    </w:p>
    <w:p w:rsidR="00887330" w:rsidRPr="00583E1A" w:rsidRDefault="00887330" w:rsidP="00887330">
      <w:pPr>
        <w:pStyle w:val="paragraph"/>
      </w:pPr>
      <w:r w:rsidRPr="00583E1A">
        <w:tab/>
        <w:t>(b)</w:t>
      </w:r>
      <w:r w:rsidRPr="00583E1A">
        <w:tab/>
        <w:t xml:space="preserve">the </w:t>
      </w:r>
      <w:r w:rsidR="00583E1A" w:rsidRPr="00583E1A">
        <w:rPr>
          <w:position w:val="6"/>
          <w:sz w:val="16"/>
        </w:rPr>
        <w:t>*</w:t>
      </w:r>
      <w:r w:rsidRPr="00583E1A">
        <w:t xml:space="preserve">market value of any </w:t>
      </w:r>
      <w:r w:rsidR="00583E1A" w:rsidRPr="00583E1A">
        <w:rPr>
          <w:position w:val="6"/>
          <w:sz w:val="16"/>
        </w:rPr>
        <w:t>*</w:t>
      </w:r>
      <w:r w:rsidRPr="00583E1A">
        <w:t>non</w:t>
      </w:r>
      <w:r w:rsidR="00583E1A">
        <w:noBreakHyphen/>
      </w:r>
      <w:r w:rsidRPr="00583E1A">
        <w:t>cash benefit you:</w:t>
      </w:r>
    </w:p>
    <w:p w:rsidR="00887330" w:rsidRPr="00583E1A" w:rsidRDefault="00887330" w:rsidP="00887330">
      <w:pPr>
        <w:pStyle w:val="paragraphsub"/>
      </w:pPr>
      <w:r w:rsidRPr="00583E1A">
        <w:tab/>
        <w:t>(i)</w:t>
      </w:r>
      <w:r w:rsidRPr="00583E1A">
        <w:tab/>
        <w:t>are entitled to acquire or obtain; or</w:t>
      </w:r>
    </w:p>
    <w:p w:rsidR="00887330" w:rsidRPr="00583E1A" w:rsidRDefault="00887330" w:rsidP="00887330">
      <w:pPr>
        <w:pStyle w:val="paragraphsub"/>
      </w:pPr>
      <w:r w:rsidRPr="00583E1A">
        <w:tab/>
        <w:t>(ii)</w:t>
      </w:r>
      <w:r w:rsidRPr="00583E1A">
        <w:tab/>
        <w:t>would be entitled to acquire or obtain in the event of the exercise of an option;</w:t>
      </w:r>
    </w:p>
    <w:p w:rsidR="00887330" w:rsidRPr="00583E1A" w:rsidRDefault="00887330" w:rsidP="00887330">
      <w:pPr>
        <w:pStyle w:val="paragraph"/>
      </w:pPr>
      <w:r w:rsidRPr="00583E1A">
        <w:tab/>
      </w:r>
      <w:r w:rsidRPr="00583E1A">
        <w:tab/>
        <w:t>in respect of the discharge or satisfaction of the right or the part of the right;</w:t>
      </w:r>
    </w:p>
    <w:p w:rsidR="00887330" w:rsidRPr="00583E1A" w:rsidRDefault="00887330" w:rsidP="00887330">
      <w:pPr>
        <w:pStyle w:val="subsection2"/>
      </w:pPr>
      <w:r w:rsidRPr="00583E1A">
        <w:t>reduced by:</w:t>
      </w:r>
    </w:p>
    <w:p w:rsidR="00887330" w:rsidRPr="00583E1A" w:rsidRDefault="00887330" w:rsidP="00887330">
      <w:pPr>
        <w:pStyle w:val="paragraph"/>
      </w:pPr>
      <w:r w:rsidRPr="00583E1A">
        <w:tab/>
        <w:t>(c)</w:t>
      </w:r>
      <w:r w:rsidRPr="00583E1A">
        <w:tab/>
        <w:t>any amounts that you paid to acquire the right or the part of the right, where the amounts are not deductible under a provision of this Act other than this Division; and</w:t>
      </w:r>
    </w:p>
    <w:p w:rsidR="00887330" w:rsidRPr="00583E1A" w:rsidRDefault="00887330" w:rsidP="00887330">
      <w:pPr>
        <w:pStyle w:val="paragraph"/>
      </w:pPr>
      <w:r w:rsidRPr="00583E1A">
        <w:tab/>
        <w:t>(d)</w:t>
      </w:r>
      <w:r w:rsidRPr="00583E1A">
        <w:tab/>
        <w:t>the market value of any non</w:t>
      </w:r>
      <w:r w:rsidR="00583E1A">
        <w:noBreakHyphen/>
      </w:r>
      <w:r w:rsidRPr="00583E1A">
        <w:t>cash benefit that you provided to acquire the right or the part of the right, where the market value is not deductible under a provision of this Act other than this Division.</w:t>
      </w:r>
    </w:p>
    <w:p w:rsidR="00887330" w:rsidRPr="00583E1A" w:rsidRDefault="00887330" w:rsidP="00887330">
      <w:pPr>
        <w:pStyle w:val="ActHead5"/>
      </w:pPr>
      <w:bookmarkStart w:id="84" w:name="_Toc338939158"/>
      <w:r w:rsidRPr="00583E1A">
        <w:rPr>
          <w:rStyle w:val="CharSectno"/>
        </w:rPr>
        <w:t>775</w:t>
      </w:r>
      <w:r w:rsidR="00583E1A">
        <w:rPr>
          <w:rStyle w:val="CharSectno"/>
        </w:rPr>
        <w:noBreakHyphen/>
      </w:r>
      <w:r w:rsidRPr="00583E1A">
        <w:rPr>
          <w:rStyle w:val="CharSectno"/>
        </w:rPr>
        <w:t>95</w:t>
      </w:r>
      <w:r w:rsidRPr="00583E1A">
        <w:t xml:space="preserve">  Proceeds of assuming an obligation to pay foreign currency</w:t>
      </w:r>
      <w:bookmarkEnd w:id="84"/>
    </w:p>
    <w:p w:rsidR="00887330" w:rsidRPr="00583E1A" w:rsidRDefault="00887330" w:rsidP="00887330">
      <w:pPr>
        <w:pStyle w:val="subsection"/>
      </w:pPr>
      <w:r w:rsidRPr="00583E1A">
        <w:tab/>
      </w:r>
      <w:r w:rsidRPr="00583E1A">
        <w:tab/>
        <w:t xml:space="preserve">For the purposes of this Division, the </w:t>
      </w:r>
      <w:r w:rsidRPr="00583E1A">
        <w:rPr>
          <w:b/>
          <w:i/>
        </w:rPr>
        <w:t>proceeds</w:t>
      </w:r>
      <w:r w:rsidRPr="00583E1A">
        <w:t xml:space="preserve"> of assuming an obligation, or a part of an obligation, to pay </w:t>
      </w:r>
      <w:r w:rsidR="00583E1A" w:rsidRPr="00583E1A">
        <w:rPr>
          <w:position w:val="6"/>
          <w:sz w:val="16"/>
        </w:rPr>
        <w:t>*</w:t>
      </w:r>
      <w:r w:rsidRPr="00583E1A">
        <w:t>foreign currency are the total of:</w:t>
      </w:r>
    </w:p>
    <w:p w:rsidR="00887330" w:rsidRPr="00583E1A" w:rsidRDefault="00887330" w:rsidP="00887330">
      <w:pPr>
        <w:pStyle w:val="paragraph"/>
      </w:pPr>
      <w:r w:rsidRPr="00583E1A">
        <w:tab/>
        <w:t>(a)</w:t>
      </w:r>
      <w:r w:rsidRPr="00583E1A">
        <w:tab/>
        <w:t>the money you:</w:t>
      </w:r>
    </w:p>
    <w:p w:rsidR="00887330" w:rsidRPr="00583E1A" w:rsidRDefault="00887330" w:rsidP="00887330">
      <w:pPr>
        <w:pStyle w:val="paragraphsub"/>
      </w:pPr>
      <w:r w:rsidRPr="00583E1A">
        <w:tab/>
        <w:t>(i)</w:t>
      </w:r>
      <w:r w:rsidRPr="00583E1A">
        <w:tab/>
        <w:t>received; or</w:t>
      </w:r>
    </w:p>
    <w:p w:rsidR="00887330" w:rsidRPr="00583E1A" w:rsidRDefault="00887330" w:rsidP="00887330">
      <w:pPr>
        <w:pStyle w:val="paragraphsub"/>
      </w:pPr>
      <w:r w:rsidRPr="00583E1A">
        <w:tab/>
        <w:t>(ii)</w:t>
      </w:r>
      <w:r w:rsidRPr="00583E1A">
        <w:tab/>
        <w:t>are entitled to receive; or</w:t>
      </w:r>
    </w:p>
    <w:p w:rsidR="00887330" w:rsidRPr="00583E1A" w:rsidRDefault="00887330" w:rsidP="00887330">
      <w:pPr>
        <w:pStyle w:val="paragraphsub"/>
      </w:pPr>
      <w:r w:rsidRPr="00583E1A">
        <w:tab/>
        <w:t>(iii)</w:t>
      </w:r>
      <w:r w:rsidRPr="00583E1A">
        <w:tab/>
        <w:t>would be entitled to receive in the event of the exercise of an option;</w:t>
      </w:r>
    </w:p>
    <w:p w:rsidR="00887330" w:rsidRPr="00583E1A" w:rsidRDefault="00887330" w:rsidP="00887330">
      <w:pPr>
        <w:pStyle w:val="paragraph"/>
      </w:pPr>
      <w:r w:rsidRPr="00583E1A">
        <w:tab/>
      </w:r>
      <w:r w:rsidRPr="00583E1A">
        <w:tab/>
        <w:t>in return for incurring the obligation or the part of the obligation; and</w:t>
      </w:r>
    </w:p>
    <w:p w:rsidR="00887330" w:rsidRPr="00583E1A" w:rsidRDefault="00887330" w:rsidP="00887330">
      <w:pPr>
        <w:pStyle w:val="paragraph"/>
      </w:pPr>
      <w:r w:rsidRPr="00583E1A">
        <w:tab/>
        <w:t>(b)</w:t>
      </w:r>
      <w:r w:rsidRPr="00583E1A">
        <w:tab/>
        <w:t xml:space="preserve">the </w:t>
      </w:r>
      <w:r w:rsidR="00583E1A" w:rsidRPr="00583E1A">
        <w:rPr>
          <w:position w:val="6"/>
          <w:sz w:val="16"/>
        </w:rPr>
        <w:t>*</w:t>
      </w:r>
      <w:r w:rsidRPr="00583E1A">
        <w:t xml:space="preserve">market value of any </w:t>
      </w:r>
      <w:r w:rsidR="00583E1A" w:rsidRPr="00583E1A">
        <w:rPr>
          <w:position w:val="6"/>
          <w:sz w:val="16"/>
        </w:rPr>
        <w:t>*</w:t>
      </w:r>
      <w:r w:rsidRPr="00583E1A">
        <w:t>non</w:t>
      </w:r>
      <w:r w:rsidR="00583E1A">
        <w:noBreakHyphen/>
      </w:r>
      <w:r w:rsidRPr="00583E1A">
        <w:t>cash benefit you:</w:t>
      </w:r>
    </w:p>
    <w:p w:rsidR="00887330" w:rsidRPr="00583E1A" w:rsidRDefault="00887330" w:rsidP="00887330">
      <w:pPr>
        <w:pStyle w:val="paragraphsub"/>
      </w:pPr>
      <w:r w:rsidRPr="00583E1A">
        <w:tab/>
        <w:t>(i)</w:t>
      </w:r>
      <w:r w:rsidRPr="00583E1A">
        <w:tab/>
        <w:t>acquired or obtained; or</w:t>
      </w:r>
    </w:p>
    <w:p w:rsidR="00887330" w:rsidRPr="00583E1A" w:rsidRDefault="00887330" w:rsidP="00887330">
      <w:pPr>
        <w:pStyle w:val="paragraphsub"/>
      </w:pPr>
      <w:r w:rsidRPr="00583E1A">
        <w:tab/>
        <w:t>(ii)</w:t>
      </w:r>
      <w:r w:rsidRPr="00583E1A">
        <w:tab/>
        <w:t>are entitled to acquire or obtain; or</w:t>
      </w:r>
    </w:p>
    <w:p w:rsidR="00887330" w:rsidRPr="00583E1A" w:rsidRDefault="00887330" w:rsidP="00887330">
      <w:pPr>
        <w:pStyle w:val="paragraphsub"/>
      </w:pPr>
      <w:r w:rsidRPr="00583E1A">
        <w:tab/>
        <w:t>(iii)</w:t>
      </w:r>
      <w:r w:rsidRPr="00583E1A">
        <w:tab/>
        <w:t>would be entitled to acquire or obtain in the event of the exercise of an option;</w:t>
      </w:r>
    </w:p>
    <w:p w:rsidR="00887330" w:rsidRPr="00583E1A" w:rsidRDefault="00887330" w:rsidP="00887330">
      <w:pPr>
        <w:pStyle w:val="paragraph"/>
      </w:pPr>
      <w:r w:rsidRPr="00583E1A">
        <w:tab/>
      </w:r>
      <w:r w:rsidRPr="00583E1A">
        <w:tab/>
        <w:t>in return for incurring the obligation or the part of the obligation;</w:t>
      </w:r>
    </w:p>
    <w:p w:rsidR="00887330" w:rsidRPr="00583E1A" w:rsidRDefault="00887330" w:rsidP="00887330">
      <w:pPr>
        <w:pStyle w:val="subsection2"/>
      </w:pPr>
      <w:r w:rsidRPr="00583E1A">
        <w:lastRenderedPageBreak/>
        <w:t>reduced by any amounts that are included in assessable income under a provision of this Act other than this Division.</w:t>
      </w:r>
    </w:p>
    <w:p w:rsidR="00887330" w:rsidRPr="00583E1A" w:rsidRDefault="00887330" w:rsidP="00887330">
      <w:pPr>
        <w:pStyle w:val="ActHead5"/>
      </w:pPr>
      <w:bookmarkStart w:id="85" w:name="_Toc338939159"/>
      <w:r w:rsidRPr="00583E1A">
        <w:rPr>
          <w:rStyle w:val="CharSectno"/>
        </w:rPr>
        <w:t>775</w:t>
      </w:r>
      <w:r w:rsidR="00583E1A">
        <w:rPr>
          <w:rStyle w:val="CharSectno"/>
        </w:rPr>
        <w:noBreakHyphen/>
      </w:r>
      <w:r w:rsidRPr="00583E1A">
        <w:rPr>
          <w:rStyle w:val="CharSectno"/>
        </w:rPr>
        <w:t>100</w:t>
      </w:r>
      <w:r w:rsidRPr="00583E1A">
        <w:t xml:space="preserve">  Net costs of assuming an obligation to receive foreign currency</w:t>
      </w:r>
      <w:bookmarkEnd w:id="85"/>
    </w:p>
    <w:p w:rsidR="00887330" w:rsidRPr="00583E1A" w:rsidRDefault="00887330" w:rsidP="00887330">
      <w:pPr>
        <w:pStyle w:val="subsection"/>
      </w:pPr>
      <w:r w:rsidRPr="00583E1A">
        <w:tab/>
        <w:t>(1)</w:t>
      </w:r>
      <w:r w:rsidRPr="00583E1A">
        <w:tab/>
        <w:t xml:space="preserve">For the purposes of this Division, the </w:t>
      </w:r>
      <w:r w:rsidRPr="00583E1A">
        <w:rPr>
          <w:b/>
          <w:i/>
        </w:rPr>
        <w:t>net costs</w:t>
      </w:r>
      <w:r w:rsidRPr="00583E1A">
        <w:t xml:space="preserve"> of assuming an obligation, or a part of an obligation, to receive </w:t>
      </w:r>
      <w:r w:rsidR="00583E1A" w:rsidRPr="00583E1A">
        <w:rPr>
          <w:position w:val="6"/>
          <w:sz w:val="16"/>
        </w:rPr>
        <w:t>*</w:t>
      </w:r>
      <w:r w:rsidRPr="00583E1A">
        <w:t>foreign currency are the total of:</w:t>
      </w:r>
    </w:p>
    <w:p w:rsidR="00887330" w:rsidRPr="00583E1A" w:rsidRDefault="00887330" w:rsidP="00887330">
      <w:pPr>
        <w:pStyle w:val="paragraph"/>
      </w:pPr>
      <w:r w:rsidRPr="00583E1A">
        <w:tab/>
        <w:t>(a)</w:t>
      </w:r>
      <w:r w:rsidRPr="00583E1A">
        <w:tab/>
        <w:t>the money you:</w:t>
      </w:r>
    </w:p>
    <w:p w:rsidR="00887330" w:rsidRPr="00583E1A" w:rsidRDefault="00887330" w:rsidP="00887330">
      <w:pPr>
        <w:pStyle w:val="paragraphsub"/>
      </w:pPr>
      <w:r w:rsidRPr="00583E1A">
        <w:tab/>
        <w:t>(i)</w:t>
      </w:r>
      <w:r w:rsidRPr="00583E1A">
        <w:tab/>
        <w:t>are required to pay; or</w:t>
      </w:r>
    </w:p>
    <w:p w:rsidR="00887330" w:rsidRPr="00583E1A" w:rsidRDefault="00887330" w:rsidP="00887330">
      <w:pPr>
        <w:pStyle w:val="paragraphsub"/>
      </w:pPr>
      <w:r w:rsidRPr="00583E1A">
        <w:tab/>
        <w:t>(ii)</w:t>
      </w:r>
      <w:r w:rsidRPr="00583E1A">
        <w:tab/>
        <w:t>would be required to pay in the event of the exercise of an option;</w:t>
      </w:r>
    </w:p>
    <w:p w:rsidR="00887330" w:rsidRPr="00583E1A" w:rsidRDefault="00887330" w:rsidP="00887330">
      <w:pPr>
        <w:pStyle w:val="paragraph"/>
      </w:pPr>
      <w:r w:rsidRPr="00583E1A">
        <w:tab/>
      </w:r>
      <w:r w:rsidRPr="00583E1A">
        <w:tab/>
        <w:t>in respect of the fulfilment of the obligation or the part of the obligation; and</w:t>
      </w:r>
    </w:p>
    <w:p w:rsidR="00887330" w:rsidRPr="00583E1A" w:rsidRDefault="00887330" w:rsidP="00887330">
      <w:pPr>
        <w:pStyle w:val="paragraph"/>
      </w:pPr>
      <w:r w:rsidRPr="00583E1A">
        <w:tab/>
        <w:t>(b)</w:t>
      </w:r>
      <w:r w:rsidRPr="00583E1A">
        <w:tab/>
        <w:t xml:space="preserve">the </w:t>
      </w:r>
      <w:r w:rsidR="00583E1A" w:rsidRPr="00583E1A">
        <w:rPr>
          <w:position w:val="6"/>
          <w:sz w:val="16"/>
        </w:rPr>
        <w:t>*</w:t>
      </w:r>
      <w:r w:rsidRPr="00583E1A">
        <w:t xml:space="preserve">market value of any </w:t>
      </w:r>
      <w:r w:rsidR="00583E1A" w:rsidRPr="00583E1A">
        <w:rPr>
          <w:position w:val="6"/>
          <w:sz w:val="16"/>
        </w:rPr>
        <w:t>*</w:t>
      </w:r>
      <w:r w:rsidRPr="00583E1A">
        <w:t>non</w:t>
      </w:r>
      <w:r w:rsidR="00583E1A">
        <w:noBreakHyphen/>
      </w:r>
      <w:r w:rsidRPr="00583E1A">
        <w:t>cash benefit you:</w:t>
      </w:r>
    </w:p>
    <w:p w:rsidR="00887330" w:rsidRPr="00583E1A" w:rsidRDefault="00887330" w:rsidP="00887330">
      <w:pPr>
        <w:pStyle w:val="paragraphsub"/>
      </w:pPr>
      <w:r w:rsidRPr="00583E1A">
        <w:tab/>
        <w:t>(i)</w:t>
      </w:r>
      <w:r w:rsidRPr="00583E1A">
        <w:tab/>
        <w:t>are required to provide; or</w:t>
      </w:r>
    </w:p>
    <w:p w:rsidR="00887330" w:rsidRPr="00583E1A" w:rsidRDefault="00887330" w:rsidP="00887330">
      <w:pPr>
        <w:pStyle w:val="paragraphsub"/>
      </w:pPr>
      <w:r w:rsidRPr="00583E1A">
        <w:tab/>
        <w:t>(ii)</w:t>
      </w:r>
      <w:r w:rsidRPr="00583E1A">
        <w:tab/>
        <w:t>would be required to provide in the event of the exercise of an option;</w:t>
      </w:r>
    </w:p>
    <w:p w:rsidR="00887330" w:rsidRPr="00583E1A" w:rsidRDefault="00887330" w:rsidP="00887330">
      <w:pPr>
        <w:pStyle w:val="paragraph"/>
      </w:pPr>
      <w:r w:rsidRPr="00583E1A">
        <w:tab/>
      </w:r>
      <w:r w:rsidRPr="00583E1A">
        <w:tab/>
        <w:t>in respect of the fulfilment of the obligation or the part of the obligation;</w:t>
      </w:r>
    </w:p>
    <w:p w:rsidR="00887330" w:rsidRPr="00583E1A" w:rsidRDefault="00887330" w:rsidP="00887330">
      <w:pPr>
        <w:pStyle w:val="subsection2"/>
      </w:pPr>
      <w:r w:rsidRPr="00583E1A">
        <w:t xml:space="preserve">reduced by the amount worked out under </w:t>
      </w:r>
      <w:r w:rsidR="00583E1A">
        <w:t>subsection (</w:t>
      </w:r>
      <w:r w:rsidRPr="00583E1A">
        <w:t>2).</w:t>
      </w:r>
    </w:p>
    <w:p w:rsidR="00887330" w:rsidRPr="00583E1A" w:rsidRDefault="00887330" w:rsidP="00887330">
      <w:pPr>
        <w:pStyle w:val="subsection"/>
      </w:pPr>
      <w:r w:rsidRPr="00583E1A">
        <w:tab/>
        <w:t>(2)</w:t>
      </w:r>
      <w:r w:rsidRPr="00583E1A">
        <w:tab/>
        <w:t>The amount worked out under this subsection is the total of:</w:t>
      </w:r>
    </w:p>
    <w:p w:rsidR="00887330" w:rsidRPr="00583E1A" w:rsidRDefault="00887330" w:rsidP="00887330">
      <w:pPr>
        <w:pStyle w:val="paragraph"/>
      </w:pPr>
      <w:r w:rsidRPr="00583E1A">
        <w:tab/>
        <w:t>(a)</w:t>
      </w:r>
      <w:r w:rsidRPr="00583E1A">
        <w:tab/>
        <w:t>the money you:</w:t>
      </w:r>
    </w:p>
    <w:p w:rsidR="00887330" w:rsidRPr="00583E1A" w:rsidRDefault="00887330" w:rsidP="00887330">
      <w:pPr>
        <w:pStyle w:val="paragraphsub"/>
      </w:pPr>
      <w:r w:rsidRPr="00583E1A">
        <w:tab/>
        <w:t>(i)</w:t>
      </w:r>
      <w:r w:rsidRPr="00583E1A">
        <w:tab/>
        <w:t>received; or</w:t>
      </w:r>
    </w:p>
    <w:p w:rsidR="00887330" w:rsidRPr="00583E1A" w:rsidRDefault="00887330" w:rsidP="00887330">
      <w:pPr>
        <w:pStyle w:val="paragraphsub"/>
      </w:pPr>
      <w:r w:rsidRPr="00583E1A">
        <w:tab/>
        <w:t>(ii)</w:t>
      </w:r>
      <w:r w:rsidRPr="00583E1A">
        <w:tab/>
        <w:t>are entitled to receive;</w:t>
      </w:r>
    </w:p>
    <w:p w:rsidR="00887330" w:rsidRPr="00583E1A" w:rsidRDefault="00887330" w:rsidP="00887330">
      <w:pPr>
        <w:pStyle w:val="paragraph"/>
      </w:pPr>
      <w:r w:rsidRPr="00583E1A">
        <w:tab/>
      </w:r>
      <w:r w:rsidRPr="00583E1A">
        <w:tab/>
        <w:t>because you incurred the obligation or the part of the obligation; and</w:t>
      </w:r>
    </w:p>
    <w:p w:rsidR="00887330" w:rsidRPr="00583E1A" w:rsidRDefault="00887330" w:rsidP="00887330">
      <w:pPr>
        <w:pStyle w:val="paragraph"/>
      </w:pPr>
      <w:r w:rsidRPr="00583E1A">
        <w:tab/>
        <w:t>(b)</w:t>
      </w:r>
      <w:r w:rsidRPr="00583E1A">
        <w:tab/>
        <w:t xml:space="preserve">the </w:t>
      </w:r>
      <w:r w:rsidR="00583E1A" w:rsidRPr="00583E1A">
        <w:rPr>
          <w:position w:val="6"/>
          <w:sz w:val="16"/>
        </w:rPr>
        <w:t>*</w:t>
      </w:r>
      <w:r w:rsidRPr="00583E1A">
        <w:t xml:space="preserve">market value of any </w:t>
      </w:r>
      <w:r w:rsidR="00583E1A" w:rsidRPr="00583E1A">
        <w:rPr>
          <w:position w:val="6"/>
          <w:sz w:val="16"/>
        </w:rPr>
        <w:t>*</w:t>
      </w:r>
      <w:r w:rsidRPr="00583E1A">
        <w:t>non</w:t>
      </w:r>
      <w:r w:rsidR="00583E1A">
        <w:noBreakHyphen/>
      </w:r>
      <w:r w:rsidRPr="00583E1A">
        <w:t>cash benefit you:</w:t>
      </w:r>
    </w:p>
    <w:p w:rsidR="00887330" w:rsidRPr="00583E1A" w:rsidRDefault="00887330" w:rsidP="00887330">
      <w:pPr>
        <w:pStyle w:val="paragraphsub"/>
      </w:pPr>
      <w:r w:rsidRPr="00583E1A">
        <w:tab/>
        <w:t>(i)</w:t>
      </w:r>
      <w:r w:rsidRPr="00583E1A">
        <w:tab/>
        <w:t>received or obtained; or</w:t>
      </w:r>
    </w:p>
    <w:p w:rsidR="00887330" w:rsidRPr="00583E1A" w:rsidRDefault="00887330" w:rsidP="00887330">
      <w:pPr>
        <w:pStyle w:val="paragraphsub"/>
      </w:pPr>
      <w:r w:rsidRPr="00583E1A">
        <w:tab/>
        <w:t>(ii)</w:t>
      </w:r>
      <w:r w:rsidRPr="00583E1A">
        <w:tab/>
        <w:t>are entitled to receive or obtain;</w:t>
      </w:r>
    </w:p>
    <w:p w:rsidR="00887330" w:rsidRPr="00583E1A" w:rsidRDefault="00887330" w:rsidP="00887330">
      <w:pPr>
        <w:pStyle w:val="paragraph"/>
      </w:pPr>
      <w:r w:rsidRPr="00583E1A">
        <w:tab/>
      </w:r>
      <w:r w:rsidRPr="00583E1A">
        <w:tab/>
        <w:t>because you incurred the obligation or the part of the obligation;</w:t>
      </w:r>
    </w:p>
    <w:p w:rsidR="00887330" w:rsidRPr="00583E1A" w:rsidRDefault="00887330" w:rsidP="00887330">
      <w:pPr>
        <w:pStyle w:val="subsection2"/>
      </w:pPr>
      <w:r w:rsidRPr="00583E1A">
        <w:t>reduced by any amounts that are included in assessable income under a provision of this Act other than this Division.</w:t>
      </w:r>
    </w:p>
    <w:p w:rsidR="00887330" w:rsidRPr="00583E1A" w:rsidRDefault="00887330" w:rsidP="00887330">
      <w:pPr>
        <w:pStyle w:val="subsection"/>
      </w:pPr>
      <w:r w:rsidRPr="00583E1A">
        <w:lastRenderedPageBreak/>
        <w:tab/>
        <w:t>(3)</w:t>
      </w:r>
      <w:r w:rsidRPr="00583E1A">
        <w:tab/>
        <w:t xml:space="preserve">To avoid doubt, </w:t>
      </w:r>
      <w:r w:rsidR="00583E1A">
        <w:t>paragraphs (</w:t>
      </w:r>
      <w:r w:rsidRPr="00583E1A">
        <w:t xml:space="preserve">2)(a) and (b) do not apply to money or a </w:t>
      </w:r>
      <w:r w:rsidR="00583E1A" w:rsidRPr="00583E1A">
        <w:rPr>
          <w:position w:val="6"/>
          <w:sz w:val="16"/>
        </w:rPr>
        <w:t>*</w:t>
      </w:r>
      <w:r w:rsidRPr="00583E1A">
        <w:t>non</w:t>
      </w:r>
      <w:r w:rsidR="00583E1A">
        <w:noBreakHyphen/>
      </w:r>
      <w:r w:rsidRPr="00583E1A">
        <w:t>cash benefit that you:</w:t>
      </w:r>
    </w:p>
    <w:p w:rsidR="00887330" w:rsidRPr="00583E1A" w:rsidRDefault="00887330" w:rsidP="00887330">
      <w:pPr>
        <w:pStyle w:val="paragraph"/>
      </w:pPr>
      <w:r w:rsidRPr="00583E1A">
        <w:tab/>
        <w:t>(a)</w:t>
      </w:r>
      <w:r w:rsidRPr="00583E1A">
        <w:tab/>
        <w:t>received or obtained; or</w:t>
      </w:r>
    </w:p>
    <w:p w:rsidR="00887330" w:rsidRPr="00583E1A" w:rsidRDefault="00887330" w:rsidP="00887330">
      <w:pPr>
        <w:pStyle w:val="paragraph"/>
      </w:pPr>
      <w:r w:rsidRPr="00583E1A">
        <w:tab/>
        <w:t>(b)</w:t>
      </w:r>
      <w:r w:rsidRPr="00583E1A">
        <w:tab/>
        <w:t>are entitled to receive or obtain;</w:t>
      </w:r>
    </w:p>
    <w:p w:rsidR="00887330" w:rsidRPr="00583E1A" w:rsidRDefault="00887330" w:rsidP="00887330">
      <w:pPr>
        <w:pStyle w:val="subsection2"/>
      </w:pPr>
      <w:r w:rsidRPr="00583E1A">
        <w:t>because of the fulfilment of the obligation or the part of the obligation.</w:t>
      </w:r>
    </w:p>
    <w:p w:rsidR="00887330" w:rsidRPr="00583E1A" w:rsidRDefault="00887330" w:rsidP="00887330">
      <w:pPr>
        <w:pStyle w:val="ActHead5"/>
      </w:pPr>
      <w:bookmarkStart w:id="86" w:name="_Toc338939160"/>
      <w:r w:rsidRPr="00583E1A">
        <w:rPr>
          <w:rStyle w:val="CharSectno"/>
        </w:rPr>
        <w:t>775</w:t>
      </w:r>
      <w:r w:rsidR="00583E1A">
        <w:rPr>
          <w:rStyle w:val="CharSectno"/>
        </w:rPr>
        <w:noBreakHyphen/>
      </w:r>
      <w:r w:rsidRPr="00583E1A">
        <w:rPr>
          <w:rStyle w:val="CharSectno"/>
        </w:rPr>
        <w:t>105</w:t>
      </w:r>
      <w:r w:rsidRPr="00583E1A">
        <w:t xml:space="preserve">  Currency exchange rate effect</w:t>
      </w:r>
      <w:bookmarkEnd w:id="86"/>
    </w:p>
    <w:p w:rsidR="00887330" w:rsidRPr="00583E1A" w:rsidRDefault="00887330" w:rsidP="00887330">
      <w:pPr>
        <w:pStyle w:val="subsection"/>
      </w:pPr>
      <w:r w:rsidRPr="00583E1A">
        <w:tab/>
        <w:t>(1)</w:t>
      </w:r>
      <w:r w:rsidRPr="00583E1A">
        <w:tab/>
        <w:t xml:space="preserve">A </w:t>
      </w:r>
      <w:r w:rsidRPr="00583E1A">
        <w:rPr>
          <w:b/>
          <w:i/>
        </w:rPr>
        <w:t>currency exchange rate effect</w:t>
      </w:r>
      <w:r w:rsidRPr="00583E1A">
        <w:t xml:space="preserve"> is:</w:t>
      </w:r>
    </w:p>
    <w:p w:rsidR="00887330" w:rsidRPr="00583E1A" w:rsidRDefault="00887330" w:rsidP="00887330">
      <w:pPr>
        <w:pStyle w:val="paragraph"/>
      </w:pPr>
      <w:r w:rsidRPr="00583E1A">
        <w:tab/>
        <w:t>(a)</w:t>
      </w:r>
      <w:r w:rsidRPr="00583E1A">
        <w:tab/>
        <w:t>any currency exchange rate fluctuations; or</w:t>
      </w:r>
    </w:p>
    <w:p w:rsidR="00887330" w:rsidRPr="00583E1A" w:rsidRDefault="00887330" w:rsidP="00887330">
      <w:pPr>
        <w:pStyle w:val="paragraph"/>
      </w:pPr>
      <w:r w:rsidRPr="00583E1A">
        <w:tab/>
        <w:t>(b)</w:t>
      </w:r>
      <w:r w:rsidRPr="00583E1A">
        <w:tab/>
        <w:t>a difference between:</w:t>
      </w:r>
    </w:p>
    <w:p w:rsidR="00887330" w:rsidRPr="00583E1A" w:rsidRDefault="00887330" w:rsidP="00887330">
      <w:pPr>
        <w:pStyle w:val="paragraphsub"/>
      </w:pPr>
      <w:r w:rsidRPr="00583E1A">
        <w:tab/>
        <w:t>(i)</w:t>
      </w:r>
      <w:r w:rsidRPr="00583E1A">
        <w:tab/>
        <w:t>an expressly or implicitly agreed currency exchange rate for a future date or time; and</w:t>
      </w:r>
    </w:p>
    <w:p w:rsidR="00887330" w:rsidRPr="00583E1A" w:rsidRDefault="00887330" w:rsidP="00887330">
      <w:pPr>
        <w:pStyle w:val="paragraphsub"/>
      </w:pPr>
      <w:r w:rsidRPr="00583E1A">
        <w:tab/>
        <w:t>(ii)</w:t>
      </w:r>
      <w:r w:rsidRPr="00583E1A">
        <w:tab/>
        <w:t>the applicable currency exchange rate at that date or time.</w:t>
      </w:r>
    </w:p>
    <w:p w:rsidR="00887330" w:rsidRPr="00583E1A" w:rsidRDefault="00887330" w:rsidP="00887330">
      <w:pPr>
        <w:pStyle w:val="subsection"/>
      </w:pPr>
      <w:r w:rsidRPr="00583E1A">
        <w:tab/>
        <w:t>(2)</w:t>
      </w:r>
      <w:r w:rsidRPr="00583E1A">
        <w:tab/>
        <w:t>To work out whether there is a currency exchange rate effect and (if so), the extent of that effect, use whichever of the following translation rules is applicable to you:</w:t>
      </w:r>
    </w:p>
    <w:p w:rsidR="00887330" w:rsidRPr="00583E1A" w:rsidRDefault="00887330" w:rsidP="00887330">
      <w:pPr>
        <w:pStyle w:val="paragraph"/>
      </w:pPr>
      <w:r w:rsidRPr="00583E1A">
        <w:tab/>
        <w:t>(a)</w:t>
      </w:r>
      <w:r w:rsidRPr="00583E1A">
        <w:tab/>
        <w:t>the translation rules in section</w:t>
      </w:r>
      <w:r w:rsidR="00583E1A">
        <w:t> </w:t>
      </w:r>
      <w:r w:rsidRPr="00583E1A">
        <w:t>960</w:t>
      </w:r>
      <w:r w:rsidR="00583E1A">
        <w:noBreakHyphen/>
      </w:r>
      <w:r w:rsidRPr="00583E1A">
        <w:t>50 (the standard rules);</w:t>
      </w:r>
    </w:p>
    <w:p w:rsidR="00887330" w:rsidRPr="00583E1A" w:rsidRDefault="00887330" w:rsidP="00887330">
      <w:pPr>
        <w:pStyle w:val="paragraph"/>
      </w:pPr>
      <w:r w:rsidRPr="00583E1A">
        <w:tab/>
        <w:t>(b)</w:t>
      </w:r>
      <w:r w:rsidRPr="00583E1A">
        <w:tab/>
        <w:t>the translation rules in section</w:t>
      </w:r>
      <w:r w:rsidR="00583E1A">
        <w:t> </w:t>
      </w:r>
      <w:r w:rsidRPr="00583E1A">
        <w:t>960</w:t>
      </w:r>
      <w:r w:rsidR="00583E1A">
        <w:noBreakHyphen/>
      </w:r>
      <w:r w:rsidRPr="00583E1A">
        <w:t>80 (the functional currency rules).</w:t>
      </w:r>
    </w:p>
    <w:p w:rsidR="00887330" w:rsidRPr="00583E1A" w:rsidRDefault="00887330" w:rsidP="00887330">
      <w:pPr>
        <w:pStyle w:val="ActHead5"/>
      </w:pPr>
      <w:bookmarkStart w:id="87" w:name="_Toc338939161"/>
      <w:r w:rsidRPr="00583E1A">
        <w:rPr>
          <w:rStyle w:val="CharSectno"/>
        </w:rPr>
        <w:t>775</w:t>
      </w:r>
      <w:r w:rsidR="00583E1A">
        <w:rPr>
          <w:rStyle w:val="CharSectno"/>
        </w:rPr>
        <w:noBreakHyphen/>
      </w:r>
      <w:r w:rsidRPr="00583E1A">
        <w:rPr>
          <w:rStyle w:val="CharSectno"/>
        </w:rPr>
        <w:t>110</w:t>
      </w:r>
      <w:r w:rsidRPr="00583E1A">
        <w:t xml:space="preserve">  Constructive receipts and payments</w:t>
      </w:r>
      <w:bookmarkEnd w:id="87"/>
    </w:p>
    <w:p w:rsidR="00887330" w:rsidRPr="00583E1A" w:rsidRDefault="00887330" w:rsidP="00887330">
      <w:pPr>
        <w:pStyle w:val="subsection"/>
      </w:pPr>
      <w:r w:rsidRPr="00583E1A">
        <w:tab/>
      </w:r>
      <w:r w:rsidRPr="00583E1A">
        <w:tab/>
        <w:t xml:space="preserve">For the purposes of this Subdivision, if an entity (the </w:t>
      </w:r>
      <w:r w:rsidRPr="00583E1A">
        <w:rPr>
          <w:b/>
          <w:i/>
        </w:rPr>
        <w:t>payer</w:t>
      </w:r>
      <w:r w:rsidRPr="00583E1A">
        <w:t xml:space="preserve">) did not actually pay an amount to another entity (the </w:t>
      </w:r>
      <w:r w:rsidRPr="00583E1A">
        <w:rPr>
          <w:b/>
          <w:i/>
        </w:rPr>
        <w:t>recipient</w:t>
      </w:r>
      <w:r w:rsidRPr="00583E1A">
        <w:t>), but the amount was applied or dealt with in any way on the recipient’s behalf or as the recipient directs (including by discharging all or a part of an obligation owed by the recipient), then:</w:t>
      </w:r>
    </w:p>
    <w:p w:rsidR="00887330" w:rsidRPr="00583E1A" w:rsidRDefault="00887330" w:rsidP="00887330">
      <w:pPr>
        <w:pStyle w:val="paragraph"/>
      </w:pPr>
      <w:r w:rsidRPr="00583E1A">
        <w:tab/>
        <w:t>(a)</w:t>
      </w:r>
      <w:r w:rsidRPr="00583E1A">
        <w:tab/>
        <w:t>the payer is taken to have paid the amount as soon as it is applied or dealt with; and</w:t>
      </w:r>
    </w:p>
    <w:p w:rsidR="00887330" w:rsidRPr="00583E1A" w:rsidRDefault="00887330" w:rsidP="00887330">
      <w:pPr>
        <w:pStyle w:val="paragraph"/>
      </w:pPr>
      <w:r w:rsidRPr="00583E1A">
        <w:tab/>
        <w:t>(b)</w:t>
      </w:r>
      <w:r w:rsidRPr="00583E1A">
        <w:tab/>
        <w:t>the recipient is taken to have received the amount as soon as it is applied or dealt with.</w:t>
      </w:r>
    </w:p>
    <w:p w:rsidR="00887330" w:rsidRPr="00583E1A" w:rsidRDefault="00887330" w:rsidP="00887330">
      <w:pPr>
        <w:pStyle w:val="notetext"/>
      </w:pPr>
      <w:r w:rsidRPr="00583E1A">
        <w:t>Note:</w:t>
      </w:r>
      <w:r w:rsidRPr="00583E1A">
        <w:tab/>
        <w:t>The set</w:t>
      </w:r>
      <w:r w:rsidR="00583E1A">
        <w:noBreakHyphen/>
      </w:r>
      <w:r w:rsidRPr="00583E1A">
        <w:t>off of an obligation to pay an amount against a right to receive an amount is an example of how this section would operate.</w:t>
      </w:r>
    </w:p>
    <w:p w:rsidR="00887330" w:rsidRPr="00583E1A" w:rsidRDefault="00887330" w:rsidP="00887330">
      <w:pPr>
        <w:pStyle w:val="ActHead5"/>
      </w:pPr>
      <w:bookmarkStart w:id="88" w:name="_Toc338939162"/>
      <w:r w:rsidRPr="00583E1A">
        <w:rPr>
          <w:rStyle w:val="CharSectno"/>
        </w:rPr>
        <w:lastRenderedPageBreak/>
        <w:t>775</w:t>
      </w:r>
      <w:r w:rsidR="00583E1A">
        <w:rPr>
          <w:rStyle w:val="CharSectno"/>
        </w:rPr>
        <w:noBreakHyphen/>
      </w:r>
      <w:r w:rsidRPr="00583E1A">
        <w:rPr>
          <w:rStyle w:val="CharSectno"/>
        </w:rPr>
        <w:t>115</w:t>
      </w:r>
      <w:r w:rsidRPr="00583E1A">
        <w:t xml:space="preserve">  Economic set</w:t>
      </w:r>
      <w:r w:rsidR="00583E1A">
        <w:noBreakHyphen/>
      </w:r>
      <w:r w:rsidRPr="00583E1A">
        <w:t>off to be treated as legal set</w:t>
      </w:r>
      <w:r w:rsidR="00583E1A">
        <w:noBreakHyphen/>
      </w:r>
      <w:r w:rsidRPr="00583E1A">
        <w:t>off</w:t>
      </w:r>
      <w:bookmarkEnd w:id="88"/>
    </w:p>
    <w:p w:rsidR="00887330" w:rsidRPr="00583E1A" w:rsidRDefault="00887330" w:rsidP="00887330">
      <w:pPr>
        <w:pStyle w:val="subsection"/>
      </w:pPr>
      <w:r w:rsidRPr="00583E1A">
        <w:tab/>
      </w:r>
      <w:r w:rsidRPr="00583E1A">
        <w:tab/>
        <w:t xml:space="preserve">If the economic effect of an </w:t>
      </w:r>
      <w:r w:rsidR="00583E1A" w:rsidRPr="00583E1A">
        <w:rPr>
          <w:position w:val="6"/>
          <w:sz w:val="16"/>
        </w:rPr>
        <w:t>*</w:t>
      </w:r>
      <w:r w:rsidRPr="00583E1A">
        <w:t>arrangement is to provide for the set</w:t>
      </w:r>
      <w:r w:rsidR="00583E1A">
        <w:noBreakHyphen/>
      </w:r>
      <w:r w:rsidRPr="00583E1A">
        <w:t>off, in whole or in part, of one or more amounts against one or more other amounts, this Subdivision applies as if:</w:t>
      </w:r>
    </w:p>
    <w:p w:rsidR="00887330" w:rsidRPr="00583E1A" w:rsidRDefault="00887330" w:rsidP="00887330">
      <w:pPr>
        <w:pStyle w:val="paragraph"/>
      </w:pPr>
      <w:r w:rsidRPr="00583E1A">
        <w:tab/>
        <w:t>(a)</w:t>
      </w:r>
      <w:r w:rsidRPr="00583E1A">
        <w:tab/>
        <w:t>the parties to the arrangement had the respective rights and obligations that they would have had if the provision for economic set</w:t>
      </w:r>
      <w:r w:rsidR="00583E1A">
        <w:noBreakHyphen/>
      </w:r>
      <w:r w:rsidRPr="00583E1A">
        <w:t>off were structured as a provision for legal set</w:t>
      </w:r>
      <w:r w:rsidR="00583E1A">
        <w:noBreakHyphen/>
      </w:r>
      <w:r w:rsidRPr="00583E1A">
        <w:t>off of rights and obligations; and</w:t>
      </w:r>
    </w:p>
    <w:p w:rsidR="00887330" w:rsidRPr="00583E1A" w:rsidRDefault="00887330" w:rsidP="00887330">
      <w:pPr>
        <w:pStyle w:val="paragraph"/>
      </w:pPr>
      <w:r w:rsidRPr="00583E1A">
        <w:tab/>
        <w:t>(b)</w:t>
      </w:r>
      <w:r w:rsidRPr="00583E1A">
        <w:tab/>
        <w:t>if the economic set</w:t>
      </w:r>
      <w:r w:rsidR="00583E1A">
        <w:noBreakHyphen/>
      </w:r>
      <w:r w:rsidRPr="00583E1A">
        <w:t>off happens—the parties were taken, under section</w:t>
      </w:r>
      <w:r w:rsidR="00583E1A">
        <w:t> </w:t>
      </w:r>
      <w:r w:rsidRPr="00583E1A">
        <w:t>775</w:t>
      </w:r>
      <w:r w:rsidR="00583E1A">
        <w:noBreakHyphen/>
      </w:r>
      <w:r w:rsidRPr="00583E1A">
        <w:t>110, to have paid and received the respective amounts that they would have paid and received if the economic set</w:t>
      </w:r>
      <w:r w:rsidR="00583E1A">
        <w:noBreakHyphen/>
      </w:r>
      <w:r w:rsidRPr="00583E1A">
        <w:t>off were structured as a legal set</w:t>
      </w:r>
      <w:r w:rsidR="00583E1A">
        <w:noBreakHyphen/>
      </w:r>
      <w:r w:rsidRPr="00583E1A">
        <w:t>off of rights and obligations.</w:t>
      </w:r>
    </w:p>
    <w:p w:rsidR="00887330" w:rsidRPr="00583E1A" w:rsidRDefault="00887330" w:rsidP="00887330">
      <w:pPr>
        <w:pStyle w:val="ActHead5"/>
      </w:pPr>
      <w:bookmarkStart w:id="89" w:name="_Toc338939163"/>
      <w:r w:rsidRPr="00583E1A">
        <w:rPr>
          <w:rStyle w:val="CharSectno"/>
        </w:rPr>
        <w:t>775</w:t>
      </w:r>
      <w:r w:rsidR="00583E1A">
        <w:rPr>
          <w:rStyle w:val="CharSectno"/>
        </w:rPr>
        <w:noBreakHyphen/>
      </w:r>
      <w:r w:rsidRPr="00583E1A">
        <w:rPr>
          <w:rStyle w:val="CharSectno"/>
        </w:rPr>
        <w:t>120</w:t>
      </w:r>
      <w:r w:rsidRPr="00583E1A">
        <w:t xml:space="preserve">  Non</w:t>
      </w:r>
      <w:r w:rsidR="00583E1A">
        <w:noBreakHyphen/>
      </w:r>
      <w:r w:rsidRPr="00583E1A">
        <w:t>arm’s length transactions</w:t>
      </w:r>
      <w:bookmarkEnd w:id="89"/>
    </w:p>
    <w:p w:rsidR="00887330" w:rsidRPr="00583E1A" w:rsidRDefault="00887330" w:rsidP="00887330">
      <w:pPr>
        <w:pStyle w:val="subsection"/>
      </w:pPr>
      <w:r w:rsidRPr="00583E1A">
        <w:tab/>
      </w:r>
      <w:r w:rsidRPr="00583E1A">
        <w:tab/>
        <w:t>If:</w:t>
      </w:r>
    </w:p>
    <w:p w:rsidR="00887330" w:rsidRPr="00583E1A" w:rsidRDefault="00887330" w:rsidP="00887330">
      <w:pPr>
        <w:pStyle w:val="paragraph"/>
      </w:pPr>
      <w:r w:rsidRPr="00583E1A">
        <w:tab/>
        <w:t>(a)</w:t>
      </w:r>
      <w:r w:rsidRPr="00583E1A">
        <w:tab/>
        <w:t>you and another entity did not deal with each other at arm’s length in connection with a transaction that is relevant to working out:</w:t>
      </w:r>
    </w:p>
    <w:p w:rsidR="00887330" w:rsidRPr="00583E1A" w:rsidRDefault="00887330" w:rsidP="00887330">
      <w:pPr>
        <w:pStyle w:val="paragraphsub"/>
      </w:pPr>
      <w:r w:rsidRPr="00583E1A">
        <w:tab/>
        <w:t>(i)</w:t>
      </w:r>
      <w:r w:rsidRPr="00583E1A">
        <w:tab/>
        <w:t xml:space="preserve">whether you make a </w:t>
      </w:r>
      <w:r w:rsidR="00583E1A" w:rsidRPr="00583E1A">
        <w:rPr>
          <w:position w:val="6"/>
          <w:sz w:val="16"/>
        </w:rPr>
        <w:t>*</w:t>
      </w:r>
      <w:r w:rsidRPr="00583E1A">
        <w:t xml:space="preserve">forex realisation gain or a </w:t>
      </w:r>
      <w:r w:rsidR="00583E1A" w:rsidRPr="00583E1A">
        <w:rPr>
          <w:position w:val="6"/>
          <w:sz w:val="16"/>
        </w:rPr>
        <w:t>*</w:t>
      </w:r>
      <w:r w:rsidRPr="00583E1A">
        <w:t>forex realisation loss; or</w:t>
      </w:r>
    </w:p>
    <w:p w:rsidR="00887330" w:rsidRPr="00583E1A" w:rsidRDefault="00887330" w:rsidP="00887330">
      <w:pPr>
        <w:pStyle w:val="paragraphsub"/>
      </w:pPr>
      <w:r w:rsidRPr="00583E1A">
        <w:tab/>
        <w:t>(ii)</w:t>
      </w:r>
      <w:r w:rsidRPr="00583E1A">
        <w:tab/>
        <w:t xml:space="preserve">the amount of any </w:t>
      </w:r>
      <w:r w:rsidR="00583E1A" w:rsidRPr="00583E1A">
        <w:rPr>
          <w:position w:val="6"/>
          <w:sz w:val="16"/>
        </w:rPr>
        <w:t>*</w:t>
      </w:r>
      <w:r w:rsidRPr="00583E1A">
        <w:t xml:space="preserve">forex realisation gain or a </w:t>
      </w:r>
      <w:r w:rsidR="00583E1A" w:rsidRPr="00583E1A">
        <w:rPr>
          <w:position w:val="6"/>
          <w:sz w:val="16"/>
        </w:rPr>
        <w:t>*</w:t>
      </w:r>
      <w:r w:rsidRPr="00583E1A">
        <w:t>forex realisation loss made by you; and</w:t>
      </w:r>
    </w:p>
    <w:p w:rsidR="00887330" w:rsidRPr="00583E1A" w:rsidRDefault="00887330" w:rsidP="00887330">
      <w:pPr>
        <w:pStyle w:val="paragraph"/>
      </w:pPr>
      <w:r w:rsidRPr="00583E1A">
        <w:tab/>
        <w:t>(b)</w:t>
      </w:r>
      <w:r w:rsidRPr="00583E1A">
        <w:tab/>
        <w:t>apart from this section, a particular amount is more or less than it would have been if you and the other entity had been dealing with each other at arm’s length;</w:t>
      </w:r>
    </w:p>
    <w:p w:rsidR="00887330" w:rsidRPr="00583E1A" w:rsidRDefault="00887330" w:rsidP="00887330">
      <w:pPr>
        <w:pStyle w:val="subsection2"/>
      </w:pPr>
      <w:r w:rsidRPr="00583E1A">
        <w:t>this Subdivision applies to you as if that amount were the amount it would have been if you and the other entity had been dealing with each other at arm’s length.</w:t>
      </w:r>
    </w:p>
    <w:p w:rsidR="00887330" w:rsidRPr="00583E1A" w:rsidRDefault="00887330" w:rsidP="00887330">
      <w:pPr>
        <w:pStyle w:val="ActHead5"/>
      </w:pPr>
      <w:bookmarkStart w:id="90" w:name="_Toc338939164"/>
      <w:r w:rsidRPr="00583E1A">
        <w:rPr>
          <w:rStyle w:val="CharSectno"/>
        </w:rPr>
        <w:t>775</w:t>
      </w:r>
      <w:r w:rsidR="00583E1A">
        <w:rPr>
          <w:rStyle w:val="CharSectno"/>
        </w:rPr>
        <w:noBreakHyphen/>
      </w:r>
      <w:r w:rsidRPr="00583E1A">
        <w:rPr>
          <w:rStyle w:val="CharSectno"/>
        </w:rPr>
        <w:t>125</w:t>
      </w:r>
      <w:r w:rsidRPr="00583E1A">
        <w:t xml:space="preserve">  CGT consequences of the acquisition of foreign currency as a result of forex realisation event 2 or 3</w:t>
      </w:r>
      <w:bookmarkEnd w:id="90"/>
    </w:p>
    <w:p w:rsidR="00887330" w:rsidRPr="00583E1A" w:rsidRDefault="00887330" w:rsidP="00887330">
      <w:pPr>
        <w:pStyle w:val="subsection"/>
      </w:pPr>
      <w:r w:rsidRPr="00583E1A">
        <w:tab/>
      </w:r>
      <w:r w:rsidRPr="00583E1A">
        <w:tab/>
        <w:t xml:space="preserve">If you acquire </w:t>
      </w:r>
      <w:r w:rsidR="00583E1A" w:rsidRPr="00583E1A">
        <w:rPr>
          <w:position w:val="6"/>
          <w:sz w:val="16"/>
        </w:rPr>
        <w:t>*</w:t>
      </w:r>
      <w:r w:rsidRPr="00583E1A">
        <w:t>foreign currency as a result of forex realisation event 2 or 3:</w:t>
      </w:r>
    </w:p>
    <w:p w:rsidR="00887330" w:rsidRPr="00583E1A" w:rsidRDefault="00887330" w:rsidP="00887330">
      <w:pPr>
        <w:pStyle w:val="paragraph"/>
      </w:pPr>
      <w:r w:rsidRPr="00583E1A">
        <w:lastRenderedPageBreak/>
        <w:tab/>
        <w:t>(a)</w:t>
      </w:r>
      <w:r w:rsidRPr="00583E1A">
        <w:tab/>
        <w:t xml:space="preserve">the first element of the foreign currency’s </w:t>
      </w:r>
      <w:r w:rsidR="00583E1A" w:rsidRPr="00583E1A">
        <w:rPr>
          <w:position w:val="6"/>
          <w:sz w:val="16"/>
        </w:rPr>
        <w:t>*</w:t>
      </w:r>
      <w:r w:rsidRPr="00583E1A">
        <w:t xml:space="preserve">cost base is replaced by the foreign currency’s </w:t>
      </w:r>
      <w:r w:rsidR="00583E1A" w:rsidRPr="00583E1A">
        <w:rPr>
          <w:position w:val="6"/>
          <w:sz w:val="16"/>
        </w:rPr>
        <w:t>*</w:t>
      </w:r>
      <w:r w:rsidRPr="00583E1A">
        <w:t>market value at the time you received the foreign currency; and</w:t>
      </w:r>
    </w:p>
    <w:p w:rsidR="00887330" w:rsidRPr="00583E1A" w:rsidRDefault="00887330" w:rsidP="00887330">
      <w:pPr>
        <w:pStyle w:val="paragraph"/>
      </w:pPr>
      <w:r w:rsidRPr="00583E1A">
        <w:tab/>
        <w:t>(b)</w:t>
      </w:r>
      <w:r w:rsidRPr="00583E1A">
        <w:tab/>
        <w:t xml:space="preserve">the first element of the foreign currency’s </w:t>
      </w:r>
      <w:r w:rsidR="00583E1A" w:rsidRPr="00583E1A">
        <w:rPr>
          <w:position w:val="6"/>
          <w:sz w:val="16"/>
        </w:rPr>
        <w:t>*</w:t>
      </w:r>
      <w:r w:rsidRPr="00583E1A">
        <w:t>reduced cost base is replaced by the foreign currency’s market value at the time you received the foreign currency.</w:t>
      </w:r>
    </w:p>
    <w:p w:rsidR="00887330" w:rsidRPr="00583E1A" w:rsidRDefault="00887330" w:rsidP="00887330">
      <w:pPr>
        <w:pStyle w:val="ActHead5"/>
      </w:pPr>
      <w:bookmarkStart w:id="91" w:name="_Toc338939165"/>
      <w:r w:rsidRPr="00583E1A">
        <w:rPr>
          <w:rStyle w:val="CharSectno"/>
        </w:rPr>
        <w:t>775</w:t>
      </w:r>
      <w:r w:rsidR="00583E1A">
        <w:rPr>
          <w:rStyle w:val="CharSectno"/>
        </w:rPr>
        <w:noBreakHyphen/>
      </w:r>
      <w:r w:rsidRPr="00583E1A">
        <w:rPr>
          <w:rStyle w:val="CharSectno"/>
        </w:rPr>
        <w:t>130</w:t>
      </w:r>
      <w:r w:rsidRPr="00583E1A">
        <w:t xml:space="preserve">  Certain deductions not allowable</w:t>
      </w:r>
      <w:bookmarkEnd w:id="91"/>
    </w:p>
    <w:p w:rsidR="00887330" w:rsidRPr="00583E1A" w:rsidRDefault="00887330" w:rsidP="00887330">
      <w:pPr>
        <w:pStyle w:val="subsection"/>
        <w:keepNext/>
      </w:pPr>
      <w:r w:rsidRPr="00583E1A">
        <w:tab/>
      </w:r>
      <w:r w:rsidRPr="00583E1A">
        <w:tab/>
        <w:t>If:</w:t>
      </w:r>
    </w:p>
    <w:p w:rsidR="00887330" w:rsidRPr="00583E1A" w:rsidRDefault="00887330" w:rsidP="00887330">
      <w:pPr>
        <w:pStyle w:val="paragraph"/>
      </w:pPr>
      <w:r w:rsidRPr="00583E1A">
        <w:tab/>
        <w:t>(a)</w:t>
      </w:r>
      <w:r w:rsidRPr="00583E1A">
        <w:tab/>
        <w:t>an amount is included in your assessable income under this Division; and</w:t>
      </w:r>
    </w:p>
    <w:p w:rsidR="00887330" w:rsidRPr="00583E1A" w:rsidRDefault="00887330" w:rsidP="00887330">
      <w:pPr>
        <w:pStyle w:val="paragraph"/>
      </w:pPr>
      <w:r w:rsidRPr="00583E1A">
        <w:tab/>
        <w:t>(b)</w:t>
      </w:r>
      <w:r w:rsidRPr="00583E1A">
        <w:tab/>
        <w:t>if this Division had not been enacted, the amount would not have been included in your assessable income under any other provision of this Act (other than Division</w:t>
      </w:r>
      <w:r w:rsidR="00583E1A">
        <w:t> </w:t>
      </w:r>
      <w:r w:rsidRPr="00583E1A">
        <w:t>102); and</w:t>
      </w:r>
    </w:p>
    <w:p w:rsidR="00887330" w:rsidRPr="00583E1A" w:rsidRDefault="00887330" w:rsidP="00887330">
      <w:pPr>
        <w:pStyle w:val="paragraph"/>
      </w:pPr>
      <w:r w:rsidRPr="00583E1A">
        <w:tab/>
        <w:t>(c)</w:t>
      </w:r>
      <w:r w:rsidRPr="00583E1A">
        <w:tab/>
        <w:t xml:space="preserve">if this section had not been enacted, a deduction would be allowable to you under a provision listed in the table in subsection 51AAA(2) of the </w:t>
      </w:r>
      <w:r w:rsidRPr="00583E1A">
        <w:rPr>
          <w:i/>
        </w:rPr>
        <w:t>Income Tax Assessment Act 1936</w:t>
      </w:r>
      <w:r w:rsidRPr="00583E1A">
        <w:t>; and</w:t>
      </w:r>
    </w:p>
    <w:p w:rsidR="00887330" w:rsidRPr="00583E1A" w:rsidRDefault="00887330" w:rsidP="00887330">
      <w:pPr>
        <w:pStyle w:val="paragraph"/>
      </w:pPr>
      <w:r w:rsidRPr="00583E1A">
        <w:tab/>
        <w:t>(d)</w:t>
      </w:r>
      <w:r w:rsidRPr="00583E1A">
        <w:tab/>
        <w:t>if the amount had not been included in your assessable income under this Division, the deduction would not be allowable;</w:t>
      </w:r>
    </w:p>
    <w:p w:rsidR="00887330" w:rsidRPr="00583E1A" w:rsidRDefault="00887330" w:rsidP="00887330">
      <w:pPr>
        <w:pStyle w:val="subsection2"/>
      </w:pPr>
      <w:r w:rsidRPr="00583E1A">
        <w:t>the deduction is not allowable.</w:t>
      </w:r>
    </w:p>
    <w:p w:rsidR="00887330" w:rsidRPr="00583E1A" w:rsidRDefault="00887330" w:rsidP="00887330">
      <w:pPr>
        <w:pStyle w:val="ActHead5"/>
      </w:pPr>
      <w:bookmarkStart w:id="92" w:name="_Toc338939166"/>
      <w:r w:rsidRPr="00583E1A">
        <w:rPr>
          <w:rStyle w:val="CharSectno"/>
        </w:rPr>
        <w:t>775</w:t>
      </w:r>
      <w:r w:rsidR="00583E1A">
        <w:rPr>
          <w:rStyle w:val="CharSectno"/>
        </w:rPr>
        <w:noBreakHyphen/>
      </w:r>
      <w:r w:rsidRPr="00583E1A">
        <w:rPr>
          <w:rStyle w:val="CharSectno"/>
        </w:rPr>
        <w:t>135</w:t>
      </w:r>
      <w:r w:rsidRPr="00583E1A">
        <w:t xml:space="preserve">  Right to receive or pay foreign currency</w:t>
      </w:r>
      <w:bookmarkEnd w:id="92"/>
    </w:p>
    <w:p w:rsidR="00887330" w:rsidRPr="00583E1A" w:rsidRDefault="00887330" w:rsidP="00887330">
      <w:pPr>
        <w:pStyle w:val="SubsectionHead"/>
      </w:pPr>
      <w:r w:rsidRPr="00583E1A">
        <w:t xml:space="preserve">Extended meaning of </w:t>
      </w:r>
      <w:r w:rsidRPr="00583E1A">
        <w:rPr>
          <w:b/>
        </w:rPr>
        <w:t>right to receive foreign currency</w:t>
      </w:r>
    </w:p>
    <w:p w:rsidR="00887330" w:rsidRPr="00583E1A" w:rsidRDefault="00887330" w:rsidP="00887330">
      <w:pPr>
        <w:pStyle w:val="subsection"/>
      </w:pPr>
      <w:r w:rsidRPr="00583E1A">
        <w:tab/>
        <w:t>(1)</w:t>
      </w:r>
      <w:r w:rsidRPr="00583E1A">
        <w:tab/>
        <w:t xml:space="preserve">For the purposes of this Division, a </w:t>
      </w:r>
      <w:r w:rsidRPr="00583E1A">
        <w:rPr>
          <w:b/>
          <w:i/>
        </w:rPr>
        <w:t>right to receive foreign currency</w:t>
      </w:r>
      <w:r w:rsidRPr="00583E1A">
        <w:t xml:space="preserve"> includes a right to receive an amount calculated by reference to a currency exchange rate effect, even if that amount is not an amount of </w:t>
      </w:r>
      <w:r w:rsidR="00583E1A" w:rsidRPr="00583E1A">
        <w:rPr>
          <w:position w:val="6"/>
          <w:sz w:val="16"/>
        </w:rPr>
        <w:t>*</w:t>
      </w:r>
      <w:r w:rsidRPr="00583E1A">
        <w:t>foreign currency.</w:t>
      </w:r>
    </w:p>
    <w:p w:rsidR="00887330" w:rsidRPr="00583E1A" w:rsidRDefault="00887330" w:rsidP="00887330">
      <w:pPr>
        <w:pStyle w:val="subsection"/>
      </w:pPr>
      <w:r w:rsidRPr="00583E1A">
        <w:tab/>
        <w:t>(2)</w:t>
      </w:r>
      <w:r w:rsidRPr="00583E1A">
        <w:tab/>
        <w:t xml:space="preserve">To avoid doubt, for the purposes of this Division, a </w:t>
      </w:r>
      <w:r w:rsidRPr="00583E1A">
        <w:rPr>
          <w:b/>
          <w:i/>
        </w:rPr>
        <w:t>right to receive foreign currency</w:t>
      </w:r>
      <w:r w:rsidRPr="00583E1A">
        <w:t xml:space="preserve"> includes a right to receive </w:t>
      </w:r>
      <w:r w:rsidR="00583E1A" w:rsidRPr="00583E1A">
        <w:rPr>
          <w:position w:val="6"/>
          <w:sz w:val="16"/>
        </w:rPr>
        <w:t>*</w:t>
      </w:r>
      <w:r w:rsidRPr="00583E1A">
        <w:t>foreign currency, where the right is subject to a contingency.</w:t>
      </w:r>
    </w:p>
    <w:p w:rsidR="00887330" w:rsidRPr="00583E1A" w:rsidRDefault="00887330" w:rsidP="00887330">
      <w:pPr>
        <w:pStyle w:val="SubsectionHead"/>
      </w:pPr>
      <w:r w:rsidRPr="00583E1A">
        <w:lastRenderedPageBreak/>
        <w:t xml:space="preserve">Extended meaning of </w:t>
      </w:r>
      <w:r w:rsidRPr="00583E1A">
        <w:rPr>
          <w:b/>
        </w:rPr>
        <w:t>right to pay foreign currency</w:t>
      </w:r>
    </w:p>
    <w:p w:rsidR="00887330" w:rsidRPr="00583E1A" w:rsidRDefault="00887330" w:rsidP="00887330">
      <w:pPr>
        <w:pStyle w:val="subsection"/>
      </w:pPr>
      <w:r w:rsidRPr="00583E1A">
        <w:tab/>
        <w:t>(3)</w:t>
      </w:r>
      <w:r w:rsidRPr="00583E1A">
        <w:tab/>
        <w:t xml:space="preserve">For the purposes of this Division, a </w:t>
      </w:r>
      <w:r w:rsidRPr="00583E1A">
        <w:rPr>
          <w:b/>
          <w:i/>
        </w:rPr>
        <w:t>right to pay foreign currency</w:t>
      </w:r>
      <w:r w:rsidRPr="00583E1A">
        <w:t xml:space="preserve"> includes a right to pay an amount calculated by reference to a currency exchange rate effect, even if that amount is not an amount of </w:t>
      </w:r>
      <w:r w:rsidR="00583E1A" w:rsidRPr="00583E1A">
        <w:rPr>
          <w:position w:val="6"/>
          <w:sz w:val="16"/>
        </w:rPr>
        <w:t>*</w:t>
      </w:r>
      <w:r w:rsidRPr="00583E1A">
        <w:t>foreign currency.</w:t>
      </w:r>
    </w:p>
    <w:p w:rsidR="00887330" w:rsidRPr="00583E1A" w:rsidRDefault="00887330" w:rsidP="00887330">
      <w:pPr>
        <w:pStyle w:val="subsection"/>
      </w:pPr>
      <w:r w:rsidRPr="00583E1A">
        <w:tab/>
        <w:t>(4)</w:t>
      </w:r>
      <w:r w:rsidRPr="00583E1A">
        <w:tab/>
        <w:t xml:space="preserve">To avoid doubt, for the purposes of this Division, a </w:t>
      </w:r>
      <w:r w:rsidRPr="00583E1A">
        <w:rPr>
          <w:b/>
          <w:i/>
        </w:rPr>
        <w:t>right to pay</w:t>
      </w:r>
      <w:r w:rsidRPr="00583E1A">
        <w:rPr>
          <w:b/>
        </w:rPr>
        <w:t xml:space="preserve"> </w:t>
      </w:r>
      <w:r w:rsidRPr="00583E1A">
        <w:rPr>
          <w:b/>
          <w:i/>
        </w:rPr>
        <w:t>foreign currency</w:t>
      </w:r>
      <w:r w:rsidRPr="00583E1A">
        <w:t xml:space="preserve"> includes a right to pay </w:t>
      </w:r>
      <w:r w:rsidR="00583E1A" w:rsidRPr="00583E1A">
        <w:rPr>
          <w:position w:val="6"/>
          <w:sz w:val="16"/>
        </w:rPr>
        <w:t>*</w:t>
      </w:r>
      <w:r w:rsidRPr="00583E1A">
        <w:t>foreign currency, where the right is subject to a contingency.</w:t>
      </w:r>
    </w:p>
    <w:p w:rsidR="00887330" w:rsidRPr="00583E1A" w:rsidRDefault="00887330" w:rsidP="00887330">
      <w:pPr>
        <w:pStyle w:val="ActHead5"/>
      </w:pPr>
      <w:bookmarkStart w:id="93" w:name="_Toc338939167"/>
      <w:r w:rsidRPr="00583E1A">
        <w:rPr>
          <w:rStyle w:val="CharSectno"/>
        </w:rPr>
        <w:t>775</w:t>
      </w:r>
      <w:r w:rsidR="00583E1A">
        <w:rPr>
          <w:rStyle w:val="CharSectno"/>
        </w:rPr>
        <w:noBreakHyphen/>
      </w:r>
      <w:r w:rsidRPr="00583E1A">
        <w:rPr>
          <w:rStyle w:val="CharSectno"/>
        </w:rPr>
        <w:t>140</w:t>
      </w:r>
      <w:r w:rsidRPr="00583E1A">
        <w:t xml:space="preserve">  Obligation to pay or receive foreign currency</w:t>
      </w:r>
      <w:bookmarkEnd w:id="93"/>
    </w:p>
    <w:p w:rsidR="00887330" w:rsidRPr="00583E1A" w:rsidRDefault="00887330" w:rsidP="00887330">
      <w:pPr>
        <w:pStyle w:val="SubsectionHead"/>
      </w:pPr>
      <w:r w:rsidRPr="00583E1A">
        <w:t xml:space="preserve">Extended meaning of </w:t>
      </w:r>
      <w:r w:rsidRPr="00583E1A">
        <w:rPr>
          <w:b/>
        </w:rPr>
        <w:t>obligation to pay foreign currency</w:t>
      </w:r>
    </w:p>
    <w:p w:rsidR="00887330" w:rsidRPr="00583E1A" w:rsidRDefault="00887330" w:rsidP="00887330">
      <w:pPr>
        <w:pStyle w:val="subsection"/>
      </w:pPr>
      <w:r w:rsidRPr="00583E1A">
        <w:tab/>
        <w:t>(1)</w:t>
      </w:r>
      <w:r w:rsidRPr="00583E1A">
        <w:tab/>
        <w:t xml:space="preserve">For the purposes of this Division, an </w:t>
      </w:r>
      <w:r w:rsidRPr="00583E1A">
        <w:rPr>
          <w:b/>
          <w:i/>
        </w:rPr>
        <w:t>obligation to pay foreign currency</w:t>
      </w:r>
      <w:r w:rsidRPr="00583E1A">
        <w:t xml:space="preserve"> includes an obligation to pay an amount calculated by reference to a currency exchange rate effect, even if that amount is not an amount of </w:t>
      </w:r>
      <w:r w:rsidR="00583E1A" w:rsidRPr="00583E1A">
        <w:rPr>
          <w:position w:val="6"/>
          <w:sz w:val="16"/>
        </w:rPr>
        <w:t>*</w:t>
      </w:r>
      <w:r w:rsidRPr="00583E1A">
        <w:t>foreign currency.</w:t>
      </w:r>
    </w:p>
    <w:p w:rsidR="00887330" w:rsidRPr="00583E1A" w:rsidRDefault="00887330" w:rsidP="00887330">
      <w:pPr>
        <w:pStyle w:val="subsection"/>
      </w:pPr>
      <w:r w:rsidRPr="00583E1A">
        <w:tab/>
        <w:t>(2)</w:t>
      </w:r>
      <w:r w:rsidRPr="00583E1A">
        <w:tab/>
        <w:t xml:space="preserve">To avoid doubt, for the purposes of this Division, an </w:t>
      </w:r>
      <w:r w:rsidRPr="00583E1A">
        <w:rPr>
          <w:b/>
          <w:i/>
        </w:rPr>
        <w:t>obligation to pay foreign currency</w:t>
      </w:r>
      <w:r w:rsidRPr="00583E1A">
        <w:t xml:space="preserve"> includes an obligation to pay </w:t>
      </w:r>
      <w:r w:rsidR="00583E1A" w:rsidRPr="00583E1A">
        <w:rPr>
          <w:position w:val="6"/>
          <w:sz w:val="16"/>
        </w:rPr>
        <w:t>*</w:t>
      </w:r>
      <w:r w:rsidRPr="00583E1A">
        <w:t>foreign currency, where the obligation is subject to a contingency.</w:t>
      </w:r>
    </w:p>
    <w:p w:rsidR="00887330" w:rsidRPr="00583E1A" w:rsidRDefault="00887330" w:rsidP="00887330">
      <w:pPr>
        <w:pStyle w:val="SubsectionHead"/>
      </w:pPr>
      <w:r w:rsidRPr="00583E1A">
        <w:t xml:space="preserve">Extended meaning of </w:t>
      </w:r>
      <w:r w:rsidRPr="00583E1A">
        <w:rPr>
          <w:b/>
        </w:rPr>
        <w:t>obligation to receive foreign currency</w:t>
      </w:r>
    </w:p>
    <w:p w:rsidR="00887330" w:rsidRPr="00583E1A" w:rsidRDefault="00887330" w:rsidP="00887330">
      <w:pPr>
        <w:pStyle w:val="subsection"/>
      </w:pPr>
      <w:r w:rsidRPr="00583E1A">
        <w:tab/>
        <w:t>(3)</w:t>
      </w:r>
      <w:r w:rsidRPr="00583E1A">
        <w:tab/>
        <w:t xml:space="preserve">For the purposes of this Division, an </w:t>
      </w:r>
      <w:r w:rsidRPr="00583E1A">
        <w:rPr>
          <w:b/>
          <w:i/>
        </w:rPr>
        <w:t>obligation to receive foreign currency</w:t>
      </w:r>
      <w:r w:rsidRPr="00583E1A">
        <w:t xml:space="preserve"> includes an obligation to receive an amount calculated by reference to a currency exchange rate effect, even if that amount is not an amount of </w:t>
      </w:r>
      <w:r w:rsidR="00583E1A" w:rsidRPr="00583E1A">
        <w:rPr>
          <w:position w:val="6"/>
          <w:sz w:val="16"/>
        </w:rPr>
        <w:t>*</w:t>
      </w:r>
      <w:r w:rsidRPr="00583E1A">
        <w:t>foreign currency.</w:t>
      </w:r>
    </w:p>
    <w:p w:rsidR="00887330" w:rsidRPr="00583E1A" w:rsidRDefault="00887330" w:rsidP="00887330">
      <w:pPr>
        <w:pStyle w:val="subsection"/>
      </w:pPr>
      <w:r w:rsidRPr="00583E1A">
        <w:tab/>
        <w:t>(4)</w:t>
      </w:r>
      <w:r w:rsidRPr="00583E1A">
        <w:tab/>
        <w:t xml:space="preserve">To avoid doubt, for the purposes of this Division, an </w:t>
      </w:r>
      <w:r w:rsidRPr="00583E1A">
        <w:rPr>
          <w:b/>
          <w:i/>
        </w:rPr>
        <w:t>obligation to receive foreign currency</w:t>
      </w:r>
      <w:r w:rsidRPr="00583E1A">
        <w:t xml:space="preserve"> includes an obligation to receive </w:t>
      </w:r>
      <w:r w:rsidR="00583E1A" w:rsidRPr="00583E1A">
        <w:rPr>
          <w:position w:val="6"/>
          <w:sz w:val="16"/>
        </w:rPr>
        <w:t>*</w:t>
      </w:r>
      <w:r w:rsidRPr="00583E1A">
        <w:t>foreign currency, where the obligation is subject to a contingency.</w:t>
      </w:r>
    </w:p>
    <w:p w:rsidR="00887330" w:rsidRPr="00583E1A" w:rsidRDefault="00887330" w:rsidP="00887330">
      <w:pPr>
        <w:pStyle w:val="ActHead5"/>
      </w:pPr>
      <w:bookmarkStart w:id="94" w:name="_Toc338939168"/>
      <w:r w:rsidRPr="00583E1A">
        <w:rPr>
          <w:rStyle w:val="CharSectno"/>
        </w:rPr>
        <w:t>775</w:t>
      </w:r>
      <w:r w:rsidR="00583E1A">
        <w:rPr>
          <w:rStyle w:val="CharSectno"/>
        </w:rPr>
        <w:noBreakHyphen/>
      </w:r>
      <w:r w:rsidRPr="00583E1A">
        <w:rPr>
          <w:rStyle w:val="CharSectno"/>
        </w:rPr>
        <w:t>145</w:t>
      </w:r>
      <w:r w:rsidRPr="00583E1A">
        <w:t xml:space="preserve">  Application of forex realisation events to currency and fungible rights and obligations</w:t>
      </w:r>
      <w:bookmarkEnd w:id="94"/>
    </w:p>
    <w:p w:rsidR="00887330" w:rsidRPr="00583E1A" w:rsidRDefault="00887330" w:rsidP="00887330">
      <w:pPr>
        <w:pStyle w:val="subsection"/>
      </w:pPr>
      <w:r w:rsidRPr="00583E1A">
        <w:tab/>
        <w:t>(1)</w:t>
      </w:r>
      <w:r w:rsidRPr="00583E1A">
        <w:tab/>
        <w:t>Forex realisation event 1, 2 or 4 applies in relation to:</w:t>
      </w:r>
    </w:p>
    <w:p w:rsidR="00887330" w:rsidRPr="00583E1A" w:rsidRDefault="00887330" w:rsidP="00887330">
      <w:pPr>
        <w:pStyle w:val="paragraph"/>
      </w:pPr>
      <w:r w:rsidRPr="00583E1A">
        <w:tab/>
        <w:t>(a)</w:t>
      </w:r>
      <w:r w:rsidRPr="00583E1A">
        <w:tab/>
      </w:r>
      <w:r w:rsidR="00583E1A" w:rsidRPr="00583E1A">
        <w:rPr>
          <w:position w:val="6"/>
          <w:sz w:val="16"/>
        </w:rPr>
        <w:t>*</w:t>
      </w:r>
      <w:r w:rsidRPr="00583E1A">
        <w:t>foreign currency; or</w:t>
      </w:r>
    </w:p>
    <w:p w:rsidR="00887330" w:rsidRPr="00583E1A" w:rsidRDefault="00887330" w:rsidP="00887330">
      <w:pPr>
        <w:pStyle w:val="paragraph"/>
      </w:pPr>
      <w:r w:rsidRPr="00583E1A">
        <w:lastRenderedPageBreak/>
        <w:tab/>
        <w:t>(b)</w:t>
      </w:r>
      <w:r w:rsidRPr="00583E1A">
        <w:tab/>
        <w:t>a fungible right, or a part of a fungible right, to receive foreign currency; or</w:t>
      </w:r>
    </w:p>
    <w:p w:rsidR="00887330" w:rsidRPr="00583E1A" w:rsidRDefault="00887330" w:rsidP="00887330">
      <w:pPr>
        <w:pStyle w:val="paragraph"/>
      </w:pPr>
      <w:r w:rsidRPr="00583E1A">
        <w:tab/>
        <w:t>(c)</w:t>
      </w:r>
      <w:r w:rsidRPr="00583E1A">
        <w:tab/>
        <w:t>a fungible obligation, or a part of a fungible obligation, to pay foreign currency;</w:t>
      </w:r>
    </w:p>
    <w:p w:rsidR="00887330" w:rsidRPr="00583E1A" w:rsidRDefault="00887330" w:rsidP="00887330">
      <w:pPr>
        <w:pStyle w:val="subsection2"/>
      </w:pPr>
      <w:r w:rsidRPr="00583E1A">
        <w:t>on a first</w:t>
      </w:r>
      <w:r w:rsidR="00583E1A">
        <w:noBreakHyphen/>
      </w:r>
      <w:r w:rsidRPr="00583E1A">
        <w:t>in first</w:t>
      </w:r>
      <w:r w:rsidR="00583E1A">
        <w:noBreakHyphen/>
      </w:r>
      <w:r w:rsidRPr="00583E1A">
        <w:t>out basis.</w:t>
      </w:r>
    </w:p>
    <w:p w:rsidR="00887330" w:rsidRPr="00583E1A" w:rsidRDefault="00887330" w:rsidP="00887330">
      <w:pPr>
        <w:pStyle w:val="subsection"/>
      </w:pPr>
      <w:r w:rsidRPr="00583E1A">
        <w:tab/>
        <w:t>(2)</w:t>
      </w:r>
      <w:r w:rsidRPr="00583E1A">
        <w:tab/>
        <w:t>The regulations may provide that any or all of forex realisation event</w:t>
      </w:r>
      <w:smartTag w:uri="urn:schemas-microsoft-com:office:smarttags" w:element="PersonName">
        <w:r w:rsidRPr="00583E1A">
          <w:t>s 1</w:t>
        </w:r>
      </w:smartTag>
      <w:r w:rsidRPr="00583E1A">
        <w:t>, 2 and 4 apply, or apply in specified circumstances, to:</w:t>
      </w:r>
    </w:p>
    <w:p w:rsidR="00887330" w:rsidRPr="00583E1A" w:rsidRDefault="00887330" w:rsidP="00887330">
      <w:pPr>
        <w:pStyle w:val="paragraph"/>
      </w:pPr>
      <w:r w:rsidRPr="00583E1A">
        <w:tab/>
        <w:t>(a)</w:t>
      </w:r>
      <w:r w:rsidRPr="00583E1A">
        <w:tab/>
      </w:r>
      <w:r w:rsidR="00583E1A" w:rsidRPr="00583E1A">
        <w:rPr>
          <w:position w:val="6"/>
          <w:sz w:val="16"/>
        </w:rPr>
        <w:t>*</w:t>
      </w:r>
      <w:r w:rsidRPr="00583E1A">
        <w:t>foreign currency; or</w:t>
      </w:r>
    </w:p>
    <w:p w:rsidR="00887330" w:rsidRPr="00583E1A" w:rsidRDefault="00887330" w:rsidP="00887330">
      <w:pPr>
        <w:pStyle w:val="paragraph"/>
      </w:pPr>
      <w:r w:rsidRPr="00583E1A">
        <w:tab/>
        <w:t>(b)</w:t>
      </w:r>
      <w:r w:rsidRPr="00583E1A">
        <w:tab/>
        <w:t>a fungible right, or a part of a fungible right, to receive foreign currency; or</w:t>
      </w:r>
    </w:p>
    <w:p w:rsidR="00887330" w:rsidRPr="00583E1A" w:rsidRDefault="00887330" w:rsidP="00887330">
      <w:pPr>
        <w:pStyle w:val="paragraph"/>
      </w:pPr>
      <w:r w:rsidRPr="00583E1A">
        <w:tab/>
        <w:t>(c)</w:t>
      </w:r>
      <w:r w:rsidRPr="00583E1A">
        <w:tab/>
        <w:t>a fungible obligation, or a part of a fungible obligation, to pay foreign currency;</w:t>
      </w:r>
    </w:p>
    <w:p w:rsidR="00887330" w:rsidRPr="00583E1A" w:rsidRDefault="00887330" w:rsidP="00887330">
      <w:pPr>
        <w:pStyle w:val="subsection2"/>
      </w:pPr>
      <w:r w:rsidRPr="00583E1A">
        <w:t xml:space="preserve">on a weighted average basis (despite </w:t>
      </w:r>
      <w:r w:rsidR="00583E1A">
        <w:t>subsection (</w:t>
      </w:r>
      <w:r w:rsidRPr="00583E1A">
        <w:t>1)).</w:t>
      </w:r>
    </w:p>
    <w:p w:rsidR="00887330" w:rsidRPr="00583E1A" w:rsidRDefault="00887330" w:rsidP="00887330">
      <w:pPr>
        <w:pStyle w:val="subsection"/>
      </w:pPr>
      <w:r w:rsidRPr="00583E1A">
        <w:tab/>
        <w:t>(3)</w:t>
      </w:r>
      <w:r w:rsidRPr="00583E1A">
        <w:tab/>
        <w:t xml:space="preserve">The circumstances that may be specified for the purposes of </w:t>
      </w:r>
      <w:r w:rsidR="00583E1A">
        <w:t>subsection (</w:t>
      </w:r>
      <w:r w:rsidRPr="00583E1A">
        <w:t>2) include the circumstance that you have made an election to use a weighted average basis.</w:t>
      </w:r>
    </w:p>
    <w:p w:rsidR="00887330" w:rsidRPr="00583E1A" w:rsidRDefault="00887330" w:rsidP="00887330">
      <w:pPr>
        <w:pStyle w:val="subsection"/>
      </w:pPr>
      <w:r w:rsidRPr="00583E1A">
        <w:tab/>
        <w:t>(4)</w:t>
      </w:r>
      <w:r w:rsidRPr="00583E1A">
        <w:tab/>
      </w:r>
      <w:r w:rsidR="00583E1A">
        <w:t>Subsection (</w:t>
      </w:r>
      <w:r w:rsidRPr="00583E1A">
        <w:t xml:space="preserve">3) does not limit </w:t>
      </w:r>
      <w:r w:rsidR="00583E1A">
        <w:t>subsection (</w:t>
      </w:r>
      <w:r w:rsidRPr="00583E1A">
        <w:t>2).</w:t>
      </w:r>
    </w:p>
    <w:p w:rsidR="00887330" w:rsidRPr="00583E1A" w:rsidRDefault="00887330" w:rsidP="00887330">
      <w:pPr>
        <w:pStyle w:val="ActHead5"/>
      </w:pPr>
      <w:bookmarkStart w:id="95" w:name="_Toc338939169"/>
      <w:r w:rsidRPr="00583E1A">
        <w:rPr>
          <w:rStyle w:val="CharSectno"/>
        </w:rPr>
        <w:t>775</w:t>
      </w:r>
      <w:r w:rsidR="00583E1A">
        <w:rPr>
          <w:rStyle w:val="CharSectno"/>
        </w:rPr>
        <w:noBreakHyphen/>
      </w:r>
      <w:r w:rsidRPr="00583E1A">
        <w:rPr>
          <w:rStyle w:val="CharSectno"/>
        </w:rPr>
        <w:t>150</w:t>
      </w:r>
      <w:r w:rsidRPr="00583E1A">
        <w:t xml:space="preserve">  Transitional election</w:t>
      </w:r>
      <w:bookmarkEnd w:id="95"/>
    </w:p>
    <w:p w:rsidR="00887330" w:rsidRPr="00583E1A" w:rsidRDefault="00887330" w:rsidP="00887330">
      <w:pPr>
        <w:pStyle w:val="subsection"/>
      </w:pPr>
      <w:r w:rsidRPr="00583E1A">
        <w:tab/>
        <w:t>(1)</w:t>
      </w:r>
      <w:r w:rsidRPr="00583E1A">
        <w:tab/>
        <w:t>You may elect to have this section apply to you.</w:t>
      </w:r>
    </w:p>
    <w:p w:rsidR="00887330" w:rsidRPr="00583E1A" w:rsidRDefault="00887330" w:rsidP="00887330">
      <w:pPr>
        <w:pStyle w:val="notetext"/>
      </w:pPr>
      <w:r w:rsidRPr="00583E1A">
        <w:t>Note:</w:t>
      </w:r>
      <w:r w:rsidRPr="00583E1A">
        <w:tab/>
        <w:t>For the consequences of an election, see sections</w:t>
      </w:r>
      <w:r w:rsidR="00583E1A">
        <w:t> </w:t>
      </w:r>
      <w:r w:rsidRPr="00583E1A">
        <w:t>775</w:t>
      </w:r>
      <w:r w:rsidR="00583E1A">
        <w:noBreakHyphen/>
      </w:r>
      <w:r w:rsidRPr="00583E1A">
        <w:t>160 and 775</w:t>
      </w:r>
      <w:r w:rsidR="00583E1A">
        <w:noBreakHyphen/>
      </w:r>
      <w:r w:rsidRPr="00583E1A">
        <w:t>165.</w:t>
      </w:r>
    </w:p>
    <w:p w:rsidR="00887330" w:rsidRPr="00583E1A" w:rsidRDefault="00887330" w:rsidP="00887330">
      <w:pPr>
        <w:pStyle w:val="subsection"/>
      </w:pPr>
      <w:r w:rsidRPr="00583E1A">
        <w:tab/>
        <w:t>(2)</w:t>
      </w:r>
      <w:r w:rsidRPr="00583E1A">
        <w:tab/>
        <w:t>An election must be in writing.</w:t>
      </w:r>
    </w:p>
    <w:p w:rsidR="00887330" w:rsidRPr="00583E1A" w:rsidRDefault="00887330" w:rsidP="00887330">
      <w:pPr>
        <w:pStyle w:val="subsection"/>
      </w:pPr>
      <w:r w:rsidRPr="00583E1A">
        <w:tab/>
        <w:t>(3)</w:t>
      </w:r>
      <w:r w:rsidRPr="00583E1A">
        <w:tab/>
        <w:t>An election must be made:</w:t>
      </w:r>
    </w:p>
    <w:p w:rsidR="00887330" w:rsidRPr="00583E1A" w:rsidRDefault="00887330" w:rsidP="00887330">
      <w:pPr>
        <w:pStyle w:val="paragraph"/>
      </w:pPr>
      <w:r w:rsidRPr="00583E1A">
        <w:tab/>
        <w:t>(a)</w:t>
      </w:r>
      <w:r w:rsidRPr="00583E1A">
        <w:tab/>
        <w:t>within 60 days after the applicable commencement date; or</w:t>
      </w:r>
    </w:p>
    <w:p w:rsidR="00887330" w:rsidRPr="00583E1A" w:rsidRDefault="00887330" w:rsidP="00887330">
      <w:pPr>
        <w:pStyle w:val="paragraph"/>
      </w:pPr>
      <w:r w:rsidRPr="00583E1A">
        <w:tab/>
        <w:t>(b)</w:t>
      </w:r>
      <w:r w:rsidRPr="00583E1A">
        <w:tab/>
        <w:t>within 30 days after the commencement of this subsection.</w:t>
      </w:r>
    </w:p>
    <w:p w:rsidR="00887330" w:rsidRPr="00583E1A" w:rsidRDefault="00887330" w:rsidP="00887330">
      <w:pPr>
        <w:pStyle w:val="notetext"/>
      </w:pPr>
      <w:r w:rsidRPr="00583E1A">
        <w:t>Note:</w:t>
      </w:r>
      <w:r w:rsidRPr="00583E1A">
        <w:tab/>
        <w:t xml:space="preserve">For </w:t>
      </w:r>
      <w:r w:rsidRPr="00583E1A">
        <w:rPr>
          <w:b/>
          <w:i/>
        </w:rPr>
        <w:t>applicable commencement date</w:t>
      </w:r>
      <w:r w:rsidRPr="00583E1A">
        <w:t>, see section</w:t>
      </w:r>
      <w:r w:rsidR="00583E1A">
        <w:t> </w:t>
      </w:r>
      <w:r w:rsidRPr="00583E1A">
        <w:t>775</w:t>
      </w:r>
      <w:r w:rsidR="00583E1A">
        <w:noBreakHyphen/>
      </w:r>
      <w:r w:rsidRPr="00583E1A">
        <w:t>155.</w:t>
      </w:r>
    </w:p>
    <w:p w:rsidR="00887330" w:rsidRPr="00583E1A" w:rsidRDefault="00887330" w:rsidP="00887330">
      <w:pPr>
        <w:pStyle w:val="subsection"/>
      </w:pPr>
      <w:r w:rsidRPr="00583E1A">
        <w:tab/>
        <w:t>(4)</w:t>
      </w:r>
      <w:r w:rsidRPr="00583E1A">
        <w:tab/>
        <w:t>An election may not be revoked.</w:t>
      </w:r>
    </w:p>
    <w:p w:rsidR="00887330" w:rsidRPr="00583E1A" w:rsidRDefault="00887330" w:rsidP="0018527D">
      <w:pPr>
        <w:pStyle w:val="ActHead5"/>
      </w:pPr>
      <w:bookmarkStart w:id="96" w:name="_Toc338939170"/>
      <w:r w:rsidRPr="00583E1A">
        <w:rPr>
          <w:rStyle w:val="CharSectno"/>
        </w:rPr>
        <w:lastRenderedPageBreak/>
        <w:t>775</w:t>
      </w:r>
      <w:r w:rsidR="00583E1A">
        <w:rPr>
          <w:rStyle w:val="CharSectno"/>
        </w:rPr>
        <w:noBreakHyphen/>
      </w:r>
      <w:r w:rsidRPr="00583E1A">
        <w:rPr>
          <w:rStyle w:val="CharSectno"/>
        </w:rPr>
        <w:t>155</w:t>
      </w:r>
      <w:r w:rsidRPr="00583E1A">
        <w:t xml:space="preserve">  Applicable commencement date</w:t>
      </w:r>
      <w:bookmarkEnd w:id="96"/>
    </w:p>
    <w:p w:rsidR="00887330" w:rsidRPr="00583E1A" w:rsidRDefault="00887330" w:rsidP="0018527D">
      <w:pPr>
        <w:pStyle w:val="subsection"/>
        <w:keepNext/>
        <w:keepLines/>
      </w:pPr>
      <w:r w:rsidRPr="00583E1A">
        <w:tab/>
      </w:r>
      <w:r w:rsidRPr="00583E1A">
        <w:tab/>
        <w:t xml:space="preserve">For the purposes of this Division, your </w:t>
      </w:r>
      <w:r w:rsidRPr="00583E1A">
        <w:rPr>
          <w:b/>
          <w:i/>
        </w:rPr>
        <w:t>applicable commencement date</w:t>
      </w:r>
      <w:r w:rsidRPr="00583E1A">
        <w:t xml:space="preserve"> is:</w:t>
      </w:r>
    </w:p>
    <w:p w:rsidR="00887330" w:rsidRPr="00583E1A" w:rsidRDefault="00887330" w:rsidP="00887330">
      <w:pPr>
        <w:pStyle w:val="paragraph"/>
      </w:pPr>
      <w:r w:rsidRPr="00583E1A">
        <w:tab/>
        <w:t>(a)</w:t>
      </w:r>
      <w:r w:rsidRPr="00583E1A">
        <w:tab/>
        <w:t>the first day of the 2003</w:t>
      </w:r>
      <w:r w:rsidR="00583E1A">
        <w:noBreakHyphen/>
      </w:r>
      <w:r w:rsidRPr="00583E1A">
        <w:t>04 income year; or</w:t>
      </w:r>
    </w:p>
    <w:p w:rsidR="00887330" w:rsidRPr="00583E1A" w:rsidRDefault="00887330" w:rsidP="00887330">
      <w:pPr>
        <w:pStyle w:val="paragraph"/>
      </w:pPr>
      <w:r w:rsidRPr="00583E1A">
        <w:tab/>
        <w:t>(b)</w:t>
      </w:r>
      <w:r w:rsidRPr="00583E1A">
        <w:tab/>
        <w:t>if that day is earlier than 1</w:t>
      </w:r>
      <w:r w:rsidR="00583E1A">
        <w:t> </w:t>
      </w:r>
      <w:r w:rsidRPr="00583E1A">
        <w:t>July 2003—the first day of the 2004</w:t>
      </w:r>
      <w:r w:rsidR="00583E1A">
        <w:noBreakHyphen/>
      </w:r>
      <w:r w:rsidRPr="00583E1A">
        <w:t>05 income year.</w:t>
      </w:r>
    </w:p>
    <w:p w:rsidR="00887330" w:rsidRPr="00583E1A" w:rsidRDefault="00887330" w:rsidP="00887330">
      <w:pPr>
        <w:pStyle w:val="ActHead5"/>
      </w:pPr>
      <w:bookmarkStart w:id="97" w:name="_Toc338939171"/>
      <w:r w:rsidRPr="00583E1A">
        <w:rPr>
          <w:rStyle w:val="CharSectno"/>
        </w:rPr>
        <w:t>775</w:t>
      </w:r>
      <w:r w:rsidR="00583E1A">
        <w:rPr>
          <w:rStyle w:val="CharSectno"/>
        </w:rPr>
        <w:noBreakHyphen/>
      </w:r>
      <w:r w:rsidRPr="00583E1A">
        <w:rPr>
          <w:rStyle w:val="CharSectno"/>
        </w:rPr>
        <w:t>160</w:t>
      </w:r>
      <w:r w:rsidRPr="00583E1A">
        <w:t xml:space="preserve">  Exception—event happens before the applicable commencement date</w:t>
      </w:r>
      <w:bookmarkEnd w:id="97"/>
    </w:p>
    <w:p w:rsidR="00887330" w:rsidRPr="00583E1A" w:rsidRDefault="00887330" w:rsidP="00887330">
      <w:pPr>
        <w:pStyle w:val="subsection"/>
      </w:pPr>
      <w:r w:rsidRPr="00583E1A">
        <w:tab/>
        <w:t>(1)</w:t>
      </w:r>
      <w:r w:rsidRPr="00583E1A">
        <w:tab/>
        <w:t xml:space="preserve">A </w:t>
      </w:r>
      <w:r w:rsidR="00583E1A" w:rsidRPr="00583E1A">
        <w:rPr>
          <w:position w:val="6"/>
          <w:sz w:val="16"/>
        </w:rPr>
        <w:t>*</w:t>
      </w:r>
      <w:r w:rsidRPr="00583E1A">
        <w:t xml:space="preserve">forex realisation gain or </w:t>
      </w:r>
      <w:r w:rsidR="00583E1A" w:rsidRPr="00583E1A">
        <w:rPr>
          <w:position w:val="6"/>
          <w:sz w:val="16"/>
        </w:rPr>
        <w:t>*</w:t>
      </w:r>
      <w:r w:rsidRPr="00583E1A">
        <w:t>forex realisation loss you make as a result of forex realisation event 1, 2, 3, 4 or 5 is disregarded if the event happened before the applicable commencement date.</w:t>
      </w:r>
    </w:p>
    <w:p w:rsidR="00887330" w:rsidRPr="00583E1A" w:rsidRDefault="00887330" w:rsidP="00887330">
      <w:pPr>
        <w:pStyle w:val="notetext"/>
      </w:pPr>
      <w:r w:rsidRPr="00583E1A">
        <w:t>Note:</w:t>
      </w:r>
      <w:r w:rsidRPr="00583E1A">
        <w:tab/>
        <w:t xml:space="preserve">For </w:t>
      </w:r>
      <w:r w:rsidRPr="00583E1A">
        <w:rPr>
          <w:b/>
          <w:i/>
        </w:rPr>
        <w:t>applicable commencement date</w:t>
      </w:r>
      <w:r w:rsidRPr="00583E1A">
        <w:t>, see section</w:t>
      </w:r>
      <w:r w:rsidR="00583E1A">
        <w:t> </w:t>
      </w:r>
      <w:r w:rsidRPr="00583E1A">
        <w:t>775</w:t>
      </w:r>
      <w:r w:rsidR="00583E1A">
        <w:noBreakHyphen/>
      </w:r>
      <w:r w:rsidRPr="00583E1A">
        <w:t>155.</w:t>
      </w:r>
    </w:p>
    <w:p w:rsidR="00887330" w:rsidRPr="00583E1A" w:rsidRDefault="00887330" w:rsidP="00887330">
      <w:pPr>
        <w:pStyle w:val="subsection"/>
      </w:pPr>
      <w:r w:rsidRPr="00583E1A">
        <w:tab/>
        <w:t>(2)</w:t>
      </w:r>
      <w:r w:rsidRPr="00583E1A">
        <w:tab/>
      </w:r>
      <w:r w:rsidR="00583E1A">
        <w:t>Subsection (</w:t>
      </w:r>
      <w:r w:rsidRPr="00583E1A">
        <w:t>1) does not apply if:</w:t>
      </w:r>
    </w:p>
    <w:p w:rsidR="00887330" w:rsidRPr="00583E1A" w:rsidRDefault="00887330" w:rsidP="00887330">
      <w:pPr>
        <w:pStyle w:val="paragraph"/>
      </w:pPr>
      <w:r w:rsidRPr="00583E1A">
        <w:tab/>
        <w:t>(a)</w:t>
      </w:r>
      <w:r w:rsidRPr="00583E1A">
        <w:tab/>
        <w:t>you have made an election under section</w:t>
      </w:r>
      <w:r w:rsidR="00583E1A">
        <w:t> </w:t>
      </w:r>
      <w:r w:rsidRPr="00583E1A">
        <w:t>775</w:t>
      </w:r>
      <w:r w:rsidR="00583E1A">
        <w:noBreakHyphen/>
      </w:r>
      <w:r w:rsidRPr="00583E1A">
        <w:t>150; and</w:t>
      </w:r>
    </w:p>
    <w:p w:rsidR="00887330" w:rsidRPr="00583E1A" w:rsidRDefault="00887330" w:rsidP="00887330">
      <w:pPr>
        <w:pStyle w:val="paragraph"/>
      </w:pPr>
      <w:r w:rsidRPr="00583E1A">
        <w:tab/>
        <w:t>(b)</w:t>
      </w:r>
      <w:r w:rsidRPr="00583E1A">
        <w:tab/>
        <w:t xml:space="preserve">the Commissioner is satisfied that the event happened under, or as a result of, an </w:t>
      </w:r>
      <w:r w:rsidR="00583E1A" w:rsidRPr="00583E1A">
        <w:rPr>
          <w:position w:val="6"/>
          <w:sz w:val="16"/>
        </w:rPr>
        <w:t>*</w:t>
      </w:r>
      <w:r w:rsidRPr="00583E1A">
        <w:t xml:space="preserve">arrangement that was entered into or carried out for the purpose, or for purposes that included the purpose, of obtaining the benefit of the operation of </w:t>
      </w:r>
      <w:r w:rsidR="00583E1A">
        <w:t>subsection (</w:t>
      </w:r>
      <w:r w:rsidRPr="00583E1A">
        <w:t>1).</w:t>
      </w:r>
    </w:p>
    <w:p w:rsidR="00887330" w:rsidRPr="00583E1A" w:rsidRDefault="00887330" w:rsidP="00887330">
      <w:pPr>
        <w:pStyle w:val="ActHead5"/>
      </w:pPr>
      <w:bookmarkStart w:id="98" w:name="_Toc338939172"/>
      <w:r w:rsidRPr="00583E1A">
        <w:rPr>
          <w:rStyle w:val="CharSectno"/>
        </w:rPr>
        <w:t>775</w:t>
      </w:r>
      <w:r w:rsidR="00583E1A">
        <w:rPr>
          <w:rStyle w:val="CharSectno"/>
        </w:rPr>
        <w:noBreakHyphen/>
      </w:r>
      <w:r w:rsidRPr="00583E1A">
        <w:rPr>
          <w:rStyle w:val="CharSectno"/>
        </w:rPr>
        <w:t>165</w:t>
      </w:r>
      <w:r w:rsidRPr="00583E1A">
        <w:t xml:space="preserve">  Exception—currency or right acquired, or obligation incurred, before the applicable commencement date</w:t>
      </w:r>
      <w:bookmarkEnd w:id="98"/>
    </w:p>
    <w:p w:rsidR="00887330" w:rsidRPr="00583E1A" w:rsidRDefault="00887330" w:rsidP="00887330">
      <w:pPr>
        <w:pStyle w:val="SubsectionHead"/>
      </w:pPr>
      <w:r w:rsidRPr="00583E1A">
        <w:t>Exception—foreign currency acquired before the applicable commencement date</w:t>
      </w:r>
    </w:p>
    <w:p w:rsidR="00887330" w:rsidRPr="00583E1A" w:rsidRDefault="00887330" w:rsidP="00887330">
      <w:pPr>
        <w:pStyle w:val="subsection"/>
      </w:pPr>
      <w:r w:rsidRPr="00583E1A">
        <w:tab/>
        <w:t>(1)</w:t>
      </w:r>
      <w:r w:rsidRPr="00583E1A">
        <w:tab/>
        <w:t xml:space="preserve">A </w:t>
      </w:r>
      <w:r w:rsidR="00583E1A" w:rsidRPr="00583E1A">
        <w:rPr>
          <w:position w:val="6"/>
          <w:sz w:val="16"/>
        </w:rPr>
        <w:t>*</w:t>
      </w:r>
      <w:r w:rsidRPr="00583E1A">
        <w:t xml:space="preserve">forex realisation gain or </w:t>
      </w:r>
      <w:r w:rsidR="00583E1A" w:rsidRPr="00583E1A">
        <w:rPr>
          <w:position w:val="6"/>
          <w:sz w:val="16"/>
        </w:rPr>
        <w:t>*</w:t>
      </w:r>
      <w:r w:rsidRPr="00583E1A">
        <w:t xml:space="preserve">forex realisation loss you make on the disposal of </w:t>
      </w:r>
      <w:r w:rsidR="00583E1A" w:rsidRPr="00583E1A">
        <w:rPr>
          <w:position w:val="6"/>
          <w:sz w:val="16"/>
        </w:rPr>
        <w:t>*</w:t>
      </w:r>
      <w:r w:rsidRPr="00583E1A">
        <w:t>foreign currency as a result of forex realisation event 1 is disregarded if:</w:t>
      </w:r>
    </w:p>
    <w:p w:rsidR="00887330" w:rsidRPr="00583E1A" w:rsidRDefault="00887330" w:rsidP="00887330">
      <w:pPr>
        <w:pStyle w:val="paragraph"/>
      </w:pPr>
      <w:r w:rsidRPr="00583E1A">
        <w:tab/>
        <w:t>(a)</w:t>
      </w:r>
      <w:r w:rsidRPr="00583E1A">
        <w:tab/>
        <w:t>the foreign currency was acquired before the applicable commencement date; and</w:t>
      </w:r>
    </w:p>
    <w:p w:rsidR="00887330" w:rsidRPr="00583E1A" w:rsidRDefault="00887330" w:rsidP="00887330">
      <w:pPr>
        <w:pStyle w:val="paragraph"/>
      </w:pPr>
      <w:r w:rsidRPr="00583E1A">
        <w:tab/>
        <w:t>(b)</w:t>
      </w:r>
      <w:r w:rsidRPr="00583E1A">
        <w:tab/>
        <w:t>you have not made an election under section</w:t>
      </w:r>
      <w:r w:rsidR="00583E1A">
        <w:t> </w:t>
      </w:r>
      <w:r w:rsidRPr="00583E1A">
        <w:t>775</w:t>
      </w:r>
      <w:r w:rsidR="00583E1A">
        <w:noBreakHyphen/>
      </w:r>
      <w:r w:rsidRPr="00583E1A">
        <w:t>150.</w:t>
      </w:r>
    </w:p>
    <w:p w:rsidR="00887330" w:rsidRPr="00583E1A" w:rsidRDefault="00887330" w:rsidP="00887330">
      <w:pPr>
        <w:pStyle w:val="subsection2"/>
      </w:pPr>
      <w:r w:rsidRPr="00583E1A">
        <w:t xml:space="preserve">For the purposes of </w:t>
      </w:r>
      <w:r w:rsidR="00583E1A">
        <w:t>paragraph (</w:t>
      </w:r>
      <w:r w:rsidRPr="00583E1A">
        <w:t>a), the time of acquisition is worked out under Division</w:t>
      </w:r>
      <w:r w:rsidR="00583E1A">
        <w:t> </w:t>
      </w:r>
      <w:r w:rsidRPr="00583E1A">
        <w:t>109.</w:t>
      </w:r>
    </w:p>
    <w:p w:rsidR="00887330" w:rsidRPr="00583E1A" w:rsidRDefault="00887330" w:rsidP="00887330">
      <w:pPr>
        <w:pStyle w:val="notetext"/>
      </w:pPr>
      <w:r w:rsidRPr="00583E1A">
        <w:t>Note:</w:t>
      </w:r>
      <w:r w:rsidRPr="00583E1A">
        <w:tab/>
        <w:t xml:space="preserve">For </w:t>
      </w:r>
      <w:r w:rsidRPr="00583E1A">
        <w:rPr>
          <w:b/>
          <w:i/>
        </w:rPr>
        <w:t>applicable commencement date</w:t>
      </w:r>
      <w:r w:rsidRPr="00583E1A">
        <w:t>, see section</w:t>
      </w:r>
      <w:r w:rsidR="00583E1A">
        <w:t> </w:t>
      </w:r>
      <w:r w:rsidRPr="00583E1A">
        <w:t>775</w:t>
      </w:r>
      <w:r w:rsidR="00583E1A">
        <w:noBreakHyphen/>
      </w:r>
      <w:r w:rsidRPr="00583E1A">
        <w:t>155.</w:t>
      </w:r>
    </w:p>
    <w:p w:rsidR="00887330" w:rsidRPr="00583E1A" w:rsidRDefault="00887330" w:rsidP="00887330">
      <w:pPr>
        <w:pStyle w:val="SubsectionHead"/>
      </w:pPr>
      <w:r w:rsidRPr="00583E1A">
        <w:lastRenderedPageBreak/>
        <w:t>Exception—right acquired before the applicable commencement date</w:t>
      </w:r>
    </w:p>
    <w:p w:rsidR="00887330" w:rsidRPr="00583E1A" w:rsidRDefault="00887330" w:rsidP="00887330">
      <w:pPr>
        <w:pStyle w:val="subsection"/>
      </w:pPr>
      <w:r w:rsidRPr="00583E1A">
        <w:tab/>
        <w:t>(2)</w:t>
      </w:r>
      <w:r w:rsidRPr="00583E1A">
        <w:tab/>
        <w:t xml:space="preserve">A </w:t>
      </w:r>
      <w:r w:rsidR="00583E1A" w:rsidRPr="00583E1A">
        <w:rPr>
          <w:position w:val="6"/>
          <w:sz w:val="16"/>
        </w:rPr>
        <w:t>*</w:t>
      </w:r>
      <w:r w:rsidRPr="00583E1A">
        <w:t xml:space="preserve">forex realisation gain or </w:t>
      </w:r>
      <w:r w:rsidR="00583E1A" w:rsidRPr="00583E1A">
        <w:rPr>
          <w:position w:val="6"/>
          <w:sz w:val="16"/>
        </w:rPr>
        <w:t>*</w:t>
      </w:r>
      <w:r w:rsidRPr="00583E1A">
        <w:t>forex realisation loss you make as a result of forex realisation event 1, 2 or 5 happening to a right or a part of a right is disregarded if:</w:t>
      </w:r>
    </w:p>
    <w:p w:rsidR="00887330" w:rsidRPr="00583E1A" w:rsidRDefault="00887330" w:rsidP="00887330">
      <w:pPr>
        <w:pStyle w:val="paragraph"/>
      </w:pPr>
      <w:r w:rsidRPr="00583E1A">
        <w:tab/>
        <w:t>(a)</w:t>
      </w:r>
      <w:r w:rsidRPr="00583E1A">
        <w:tab/>
        <w:t>the right, or the part of the right;</w:t>
      </w:r>
    </w:p>
    <w:p w:rsidR="00887330" w:rsidRPr="00583E1A" w:rsidRDefault="00887330" w:rsidP="00887330">
      <w:pPr>
        <w:pStyle w:val="paragraphsub"/>
      </w:pPr>
      <w:r w:rsidRPr="00583E1A">
        <w:tab/>
        <w:t>(i)</w:t>
      </w:r>
      <w:r w:rsidRPr="00583E1A">
        <w:tab/>
        <w:t>was acquired before the applicable commencement date; or</w:t>
      </w:r>
    </w:p>
    <w:p w:rsidR="00887330" w:rsidRPr="00583E1A" w:rsidRDefault="00887330" w:rsidP="00887330">
      <w:pPr>
        <w:pStyle w:val="paragraphsub"/>
      </w:pPr>
      <w:r w:rsidRPr="00583E1A">
        <w:tab/>
        <w:t>(ii)</w:t>
      </w:r>
      <w:r w:rsidRPr="00583E1A">
        <w:tab/>
        <w:t>arose under an eligible contract (within the meaning of the former Division</w:t>
      </w:r>
      <w:r w:rsidR="00583E1A">
        <w:t> </w:t>
      </w:r>
      <w:r w:rsidRPr="00583E1A">
        <w:t>3B of Part</w:t>
      </w:r>
      <w:r w:rsidR="00583E1A">
        <w:t> </w:t>
      </w:r>
      <w:r w:rsidRPr="00583E1A">
        <w:t xml:space="preserve">III of the </w:t>
      </w:r>
      <w:r w:rsidRPr="00583E1A">
        <w:rPr>
          <w:i/>
        </w:rPr>
        <w:t>Income Tax Assessment Act 1936</w:t>
      </w:r>
      <w:r w:rsidRPr="00583E1A">
        <w:t>) that was entered into before the applicable commencement date; and</w:t>
      </w:r>
    </w:p>
    <w:p w:rsidR="00887330" w:rsidRPr="00583E1A" w:rsidRDefault="00887330" w:rsidP="00887330">
      <w:pPr>
        <w:pStyle w:val="paragraph"/>
      </w:pPr>
      <w:r w:rsidRPr="00583E1A">
        <w:tab/>
        <w:t>(b)</w:t>
      </w:r>
      <w:r w:rsidRPr="00583E1A">
        <w:tab/>
        <w:t>you have not made an election under section</w:t>
      </w:r>
      <w:r w:rsidR="00583E1A">
        <w:t> </w:t>
      </w:r>
      <w:r w:rsidRPr="00583E1A">
        <w:t>775</w:t>
      </w:r>
      <w:r w:rsidR="00583E1A">
        <w:noBreakHyphen/>
      </w:r>
      <w:r w:rsidRPr="00583E1A">
        <w:t>150.</w:t>
      </w:r>
    </w:p>
    <w:p w:rsidR="00887330" w:rsidRPr="00583E1A" w:rsidRDefault="00887330" w:rsidP="00887330">
      <w:pPr>
        <w:pStyle w:val="subsection2"/>
      </w:pPr>
      <w:r w:rsidRPr="00583E1A">
        <w:t xml:space="preserve">For the purposes of </w:t>
      </w:r>
      <w:r w:rsidR="00583E1A">
        <w:t>subparagraph (</w:t>
      </w:r>
      <w:r w:rsidRPr="00583E1A">
        <w:t>a)(i), the time of acquisition is worked out under Division</w:t>
      </w:r>
      <w:r w:rsidR="00583E1A">
        <w:t> </w:t>
      </w:r>
      <w:r w:rsidRPr="00583E1A">
        <w:t>109.</w:t>
      </w:r>
    </w:p>
    <w:p w:rsidR="00887330" w:rsidRPr="00583E1A" w:rsidRDefault="00887330" w:rsidP="00887330">
      <w:pPr>
        <w:pStyle w:val="notetext"/>
      </w:pPr>
      <w:r w:rsidRPr="00583E1A">
        <w:t>Note:</w:t>
      </w:r>
      <w:r w:rsidRPr="00583E1A">
        <w:tab/>
        <w:t xml:space="preserve">For </w:t>
      </w:r>
      <w:r w:rsidRPr="00583E1A">
        <w:rPr>
          <w:b/>
          <w:i/>
        </w:rPr>
        <w:t>applicable commencement date</w:t>
      </w:r>
      <w:r w:rsidRPr="00583E1A">
        <w:t>, see section</w:t>
      </w:r>
      <w:r w:rsidR="00583E1A">
        <w:t> </w:t>
      </w:r>
      <w:r w:rsidRPr="00583E1A">
        <w:t>775</w:t>
      </w:r>
      <w:r w:rsidR="00583E1A">
        <w:noBreakHyphen/>
      </w:r>
      <w:r w:rsidRPr="00583E1A">
        <w:t>155.</w:t>
      </w:r>
    </w:p>
    <w:p w:rsidR="00887330" w:rsidRPr="00583E1A" w:rsidRDefault="00887330" w:rsidP="00887330">
      <w:pPr>
        <w:pStyle w:val="subsection"/>
      </w:pPr>
      <w:r w:rsidRPr="00583E1A">
        <w:tab/>
        <w:t>(3)</w:t>
      </w:r>
      <w:r w:rsidRPr="00583E1A">
        <w:tab/>
        <w:t>If:</w:t>
      </w:r>
    </w:p>
    <w:p w:rsidR="00887330" w:rsidRPr="00583E1A" w:rsidRDefault="00887330" w:rsidP="00887330">
      <w:pPr>
        <w:pStyle w:val="paragraph"/>
      </w:pPr>
      <w:r w:rsidRPr="00583E1A">
        <w:tab/>
        <w:t>(a)</w:t>
      </w:r>
      <w:r w:rsidRPr="00583E1A">
        <w:tab/>
        <w:t xml:space="preserve">at a particular time (the </w:t>
      </w:r>
      <w:r w:rsidRPr="00583E1A">
        <w:rPr>
          <w:b/>
          <w:i/>
        </w:rPr>
        <w:t>extension time</w:t>
      </w:r>
      <w:r w:rsidRPr="00583E1A">
        <w:t>) on or after the applicable commencement date and under a contract that was entered into before the applicable commencement date, the period for which money has been lent is extended; and</w:t>
      </w:r>
    </w:p>
    <w:p w:rsidR="00887330" w:rsidRPr="00583E1A" w:rsidRDefault="00887330" w:rsidP="00887330">
      <w:pPr>
        <w:pStyle w:val="paragraph"/>
      </w:pPr>
      <w:r w:rsidRPr="00583E1A">
        <w:tab/>
        <w:t>(b)</w:t>
      </w:r>
      <w:r w:rsidRPr="00583E1A">
        <w:tab/>
        <w:t>either:</w:t>
      </w:r>
    </w:p>
    <w:p w:rsidR="00887330" w:rsidRPr="00583E1A" w:rsidRDefault="00887330" w:rsidP="00887330">
      <w:pPr>
        <w:pStyle w:val="paragraphsub"/>
      </w:pPr>
      <w:r w:rsidRPr="00583E1A">
        <w:tab/>
        <w:t>(i)</w:t>
      </w:r>
      <w:r w:rsidRPr="00583E1A">
        <w:tab/>
        <w:t>the contract is separate from the original loan contract; or</w:t>
      </w:r>
    </w:p>
    <w:p w:rsidR="00887330" w:rsidRPr="00583E1A" w:rsidRDefault="00887330" w:rsidP="00887330">
      <w:pPr>
        <w:pStyle w:val="paragraphsub"/>
      </w:pPr>
      <w:r w:rsidRPr="00583E1A">
        <w:tab/>
        <w:t>(ii)</w:t>
      </w:r>
      <w:r w:rsidRPr="00583E1A">
        <w:tab/>
        <w:t>the extension amounts to a variation of the original loan contract;</w:t>
      </w:r>
    </w:p>
    <w:p w:rsidR="00887330" w:rsidRPr="00583E1A" w:rsidRDefault="00583E1A" w:rsidP="00887330">
      <w:pPr>
        <w:pStyle w:val="subsection2"/>
      </w:pPr>
      <w:r>
        <w:t>subparagraph (</w:t>
      </w:r>
      <w:r w:rsidR="00887330" w:rsidRPr="00583E1A">
        <w:t>2)(a)(ii) does not apply to a right, or a part of a right, that arises after the extension time and relates to the loan.</w:t>
      </w:r>
    </w:p>
    <w:p w:rsidR="00887330" w:rsidRPr="00583E1A" w:rsidRDefault="00887330" w:rsidP="00887330">
      <w:pPr>
        <w:pStyle w:val="notetext"/>
      </w:pPr>
      <w:r w:rsidRPr="00583E1A">
        <w:t>Note:</w:t>
      </w:r>
      <w:r w:rsidRPr="00583E1A">
        <w:tab/>
        <w:t xml:space="preserve">For </w:t>
      </w:r>
      <w:r w:rsidRPr="00583E1A">
        <w:rPr>
          <w:b/>
          <w:i/>
        </w:rPr>
        <w:t>applicable commencement date</w:t>
      </w:r>
      <w:r w:rsidRPr="00583E1A">
        <w:t>, see section</w:t>
      </w:r>
      <w:r w:rsidR="00583E1A">
        <w:t> </w:t>
      </w:r>
      <w:r w:rsidRPr="00583E1A">
        <w:t>775</w:t>
      </w:r>
      <w:r w:rsidR="00583E1A">
        <w:noBreakHyphen/>
      </w:r>
      <w:r w:rsidRPr="00583E1A">
        <w:t>155.</w:t>
      </w:r>
    </w:p>
    <w:p w:rsidR="00887330" w:rsidRPr="00583E1A" w:rsidRDefault="00887330" w:rsidP="00887330">
      <w:pPr>
        <w:pStyle w:val="SubsectionHead"/>
      </w:pPr>
      <w:r w:rsidRPr="00583E1A">
        <w:t>Exception—obligation incurred before the applicable commencement date</w:t>
      </w:r>
    </w:p>
    <w:p w:rsidR="00887330" w:rsidRPr="00583E1A" w:rsidRDefault="00887330" w:rsidP="00887330">
      <w:pPr>
        <w:pStyle w:val="subsection"/>
      </w:pPr>
      <w:r w:rsidRPr="00583E1A">
        <w:tab/>
        <w:t>(4)</w:t>
      </w:r>
      <w:r w:rsidRPr="00583E1A">
        <w:tab/>
        <w:t xml:space="preserve">A </w:t>
      </w:r>
      <w:r w:rsidR="00583E1A" w:rsidRPr="00583E1A">
        <w:rPr>
          <w:position w:val="6"/>
          <w:sz w:val="16"/>
        </w:rPr>
        <w:t>*</w:t>
      </w:r>
      <w:r w:rsidRPr="00583E1A">
        <w:t xml:space="preserve">forex realisation gain or </w:t>
      </w:r>
      <w:r w:rsidR="00583E1A" w:rsidRPr="00583E1A">
        <w:rPr>
          <w:position w:val="6"/>
          <w:sz w:val="16"/>
        </w:rPr>
        <w:t>*</w:t>
      </w:r>
      <w:r w:rsidRPr="00583E1A">
        <w:t>forex realisation loss you make as a result of forex realisation event 3 or 4 happening to an obligation or a part of an obligation is disregarded if:</w:t>
      </w:r>
    </w:p>
    <w:p w:rsidR="00887330" w:rsidRPr="00583E1A" w:rsidRDefault="00887330" w:rsidP="00A00C02">
      <w:pPr>
        <w:pStyle w:val="paragraph"/>
        <w:keepNext/>
        <w:keepLines/>
      </w:pPr>
      <w:r w:rsidRPr="00583E1A">
        <w:lastRenderedPageBreak/>
        <w:tab/>
        <w:t>(a)</w:t>
      </w:r>
      <w:r w:rsidRPr="00583E1A">
        <w:tab/>
        <w:t>either:</w:t>
      </w:r>
    </w:p>
    <w:p w:rsidR="00887330" w:rsidRPr="00583E1A" w:rsidRDefault="00887330" w:rsidP="00887330">
      <w:pPr>
        <w:pStyle w:val="paragraphsub"/>
      </w:pPr>
      <w:r w:rsidRPr="00583E1A">
        <w:tab/>
        <w:t>(i)</w:t>
      </w:r>
      <w:r w:rsidRPr="00583E1A">
        <w:tab/>
        <w:t>you incurred the obligation, or the part of the obligation, before the applicable commencement date; or</w:t>
      </w:r>
    </w:p>
    <w:p w:rsidR="00887330" w:rsidRPr="00583E1A" w:rsidRDefault="00887330" w:rsidP="00887330">
      <w:pPr>
        <w:pStyle w:val="paragraphsub"/>
      </w:pPr>
      <w:r w:rsidRPr="00583E1A">
        <w:tab/>
        <w:t>(ii)</w:t>
      </w:r>
      <w:r w:rsidRPr="00583E1A">
        <w:tab/>
        <w:t>the obligation, or the part of the obligation, arose under an eligible contract (within the meaning of the former Division</w:t>
      </w:r>
      <w:r w:rsidR="00583E1A">
        <w:t> </w:t>
      </w:r>
      <w:r w:rsidRPr="00583E1A">
        <w:t>3B of Part</w:t>
      </w:r>
      <w:r w:rsidR="00583E1A">
        <w:t> </w:t>
      </w:r>
      <w:r w:rsidRPr="00583E1A">
        <w:t xml:space="preserve">III of the </w:t>
      </w:r>
      <w:r w:rsidRPr="00583E1A">
        <w:rPr>
          <w:i/>
        </w:rPr>
        <w:t>Income Tax Assessment Act 1936</w:t>
      </w:r>
      <w:r w:rsidRPr="00583E1A">
        <w:t>) that was entered into before the applicable commencement date; and</w:t>
      </w:r>
    </w:p>
    <w:p w:rsidR="00887330" w:rsidRPr="00583E1A" w:rsidRDefault="00887330" w:rsidP="00887330">
      <w:pPr>
        <w:pStyle w:val="paragraph"/>
      </w:pPr>
      <w:r w:rsidRPr="00583E1A">
        <w:tab/>
        <w:t>(b)</w:t>
      </w:r>
      <w:r w:rsidRPr="00583E1A">
        <w:tab/>
        <w:t>you have not made an election under section</w:t>
      </w:r>
      <w:r w:rsidR="00583E1A">
        <w:t> </w:t>
      </w:r>
      <w:r w:rsidRPr="00583E1A">
        <w:t>775</w:t>
      </w:r>
      <w:r w:rsidR="00583E1A">
        <w:noBreakHyphen/>
      </w:r>
      <w:r w:rsidRPr="00583E1A">
        <w:t>150.</w:t>
      </w:r>
    </w:p>
    <w:p w:rsidR="00887330" w:rsidRPr="00583E1A" w:rsidRDefault="00887330" w:rsidP="00887330">
      <w:pPr>
        <w:pStyle w:val="notetext"/>
      </w:pPr>
      <w:r w:rsidRPr="00583E1A">
        <w:t>Note:</w:t>
      </w:r>
      <w:r w:rsidRPr="00583E1A">
        <w:tab/>
        <w:t xml:space="preserve">For </w:t>
      </w:r>
      <w:r w:rsidRPr="00583E1A">
        <w:rPr>
          <w:b/>
          <w:i/>
        </w:rPr>
        <w:t>applicable commencement date</w:t>
      </w:r>
      <w:r w:rsidRPr="00583E1A">
        <w:t>, see section</w:t>
      </w:r>
      <w:r w:rsidR="00583E1A">
        <w:t> </w:t>
      </w:r>
      <w:r w:rsidRPr="00583E1A">
        <w:t>775</w:t>
      </w:r>
      <w:r w:rsidR="00583E1A">
        <w:noBreakHyphen/>
      </w:r>
      <w:r w:rsidRPr="00583E1A">
        <w:t>155.</w:t>
      </w:r>
    </w:p>
    <w:p w:rsidR="00887330" w:rsidRPr="00583E1A" w:rsidRDefault="00887330" w:rsidP="00887330">
      <w:pPr>
        <w:pStyle w:val="subsection"/>
      </w:pPr>
      <w:r w:rsidRPr="00583E1A">
        <w:tab/>
        <w:t>(5)</w:t>
      </w:r>
      <w:r w:rsidRPr="00583E1A">
        <w:tab/>
        <w:t>If:</w:t>
      </w:r>
    </w:p>
    <w:p w:rsidR="00887330" w:rsidRPr="00583E1A" w:rsidRDefault="00887330" w:rsidP="00887330">
      <w:pPr>
        <w:pStyle w:val="paragraph"/>
      </w:pPr>
      <w:r w:rsidRPr="00583E1A">
        <w:tab/>
        <w:t>(a)</w:t>
      </w:r>
      <w:r w:rsidRPr="00583E1A">
        <w:tab/>
        <w:t xml:space="preserve">at a particular time (the </w:t>
      </w:r>
      <w:r w:rsidRPr="00583E1A">
        <w:rPr>
          <w:b/>
          <w:i/>
        </w:rPr>
        <w:t>extension time</w:t>
      </w:r>
      <w:r w:rsidRPr="00583E1A">
        <w:t>) on or after the applicable commencement date and under a contract that was entered into before the applicable commencement date, the period for which money has been lent is extended; and</w:t>
      </w:r>
    </w:p>
    <w:p w:rsidR="00887330" w:rsidRPr="00583E1A" w:rsidRDefault="00887330" w:rsidP="00887330">
      <w:pPr>
        <w:pStyle w:val="paragraph"/>
      </w:pPr>
      <w:r w:rsidRPr="00583E1A">
        <w:tab/>
        <w:t>(b)</w:t>
      </w:r>
      <w:r w:rsidRPr="00583E1A">
        <w:tab/>
        <w:t>either:</w:t>
      </w:r>
    </w:p>
    <w:p w:rsidR="00887330" w:rsidRPr="00583E1A" w:rsidRDefault="00887330" w:rsidP="00887330">
      <w:pPr>
        <w:pStyle w:val="paragraphsub"/>
      </w:pPr>
      <w:r w:rsidRPr="00583E1A">
        <w:tab/>
        <w:t>(i)</w:t>
      </w:r>
      <w:r w:rsidRPr="00583E1A">
        <w:tab/>
        <w:t>the contract is separate from the original loan contract; or</w:t>
      </w:r>
    </w:p>
    <w:p w:rsidR="00887330" w:rsidRPr="00583E1A" w:rsidRDefault="00887330" w:rsidP="00887330">
      <w:pPr>
        <w:pStyle w:val="paragraphsub"/>
      </w:pPr>
      <w:r w:rsidRPr="00583E1A">
        <w:tab/>
        <w:t>(ii)</w:t>
      </w:r>
      <w:r w:rsidRPr="00583E1A">
        <w:tab/>
        <w:t>the extension amounts to a variation of the original loan contract;</w:t>
      </w:r>
    </w:p>
    <w:p w:rsidR="00887330" w:rsidRPr="00583E1A" w:rsidRDefault="00583E1A" w:rsidP="00887330">
      <w:pPr>
        <w:pStyle w:val="subsection2"/>
      </w:pPr>
      <w:r>
        <w:t>subparagraph (</w:t>
      </w:r>
      <w:r w:rsidR="00887330" w:rsidRPr="00583E1A">
        <w:t>4)(a)(ii) does not apply to an obligation, or a part of an obligation, that arises after the extension time and relates to the loan.</w:t>
      </w:r>
    </w:p>
    <w:p w:rsidR="00887330" w:rsidRPr="00583E1A" w:rsidRDefault="00887330" w:rsidP="00887330">
      <w:pPr>
        <w:pStyle w:val="notetext"/>
      </w:pPr>
      <w:r w:rsidRPr="00583E1A">
        <w:t>Note:</w:t>
      </w:r>
      <w:r w:rsidRPr="00583E1A">
        <w:tab/>
        <w:t xml:space="preserve">For </w:t>
      </w:r>
      <w:r w:rsidRPr="00583E1A">
        <w:rPr>
          <w:b/>
          <w:i/>
        </w:rPr>
        <w:t>applicable commencement date</w:t>
      </w:r>
      <w:r w:rsidRPr="00583E1A">
        <w:t>, see section</w:t>
      </w:r>
      <w:r w:rsidR="00583E1A">
        <w:t> </w:t>
      </w:r>
      <w:r w:rsidRPr="00583E1A">
        <w:t>775</w:t>
      </w:r>
      <w:r w:rsidR="00583E1A">
        <w:noBreakHyphen/>
      </w:r>
      <w:r w:rsidRPr="00583E1A">
        <w:t>155.</w:t>
      </w:r>
    </w:p>
    <w:p w:rsidR="00A34068" w:rsidRPr="005F1CAE" w:rsidRDefault="00A34068" w:rsidP="00A34068">
      <w:pPr>
        <w:pStyle w:val="ActHead5"/>
      </w:pPr>
      <w:bookmarkStart w:id="99" w:name="_Toc338939173"/>
      <w:r w:rsidRPr="005F1CAE">
        <w:rPr>
          <w:rStyle w:val="CharSectno"/>
        </w:rPr>
        <w:t>775</w:t>
      </w:r>
      <w:r w:rsidRPr="005F1CAE">
        <w:rPr>
          <w:rStyle w:val="CharSectno"/>
        </w:rPr>
        <w:noBreakHyphen/>
        <w:t>168</w:t>
      </w:r>
      <w:r w:rsidRPr="005F1CAE">
        <w:t xml:space="preserve">  Exception—disposal or redemption of traditional securities</w:t>
      </w:r>
      <w:bookmarkEnd w:id="99"/>
    </w:p>
    <w:p w:rsidR="00A34068" w:rsidRPr="005F1CAE" w:rsidRDefault="00A34068" w:rsidP="00A34068">
      <w:pPr>
        <w:pStyle w:val="subsection"/>
      </w:pPr>
      <w:r w:rsidRPr="005F1CAE">
        <w:tab/>
      </w:r>
      <w:r w:rsidRPr="005F1CAE">
        <w:tab/>
        <w:t xml:space="preserve">A </w:t>
      </w:r>
      <w:r w:rsidRPr="005F1CAE">
        <w:rPr>
          <w:position w:val="6"/>
          <w:sz w:val="16"/>
        </w:rPr>
        <w:t>*</w:t>
      </w:r>
      <w:r w:rsidRPr="005F1CAE">
        <w:t xml:space="preserve">forex realisation gain or </w:t>
      </w:r>
      <w:r w:rsidRPr="005F1CAE">
        <w:rPr>
          <w:position w:val="6"/>
          <w:sz w:val="16"/>
        </w:rPr>
        <w:t>*</w:t>
      </w:r>
      <w:r w:rsidRPr="005F1CAE">
        <w:t>forex realisation loss you make as a result of forex realisation event 2 is disregarded if the event happened because of a disposal or redemption covered by:</w:t>
      </w:r>
    </w:p>
    <w:p w:rsidR="00A34068" w:rsidRPr="005F1CAE" w:rsidRDefault="00A34068" w:rsidP="00A34068">
      <w:pPr>
        <w:pStyle w:val="paragraph"/>
      </w:pPr>
      <w:r w:rsidRPr="005F1CAE">
        <w:tab/>
        <w:t>(a)</w:t>
      </w:r>
      <w:r w:rsidRPr="005F1CAE">
        <w:tab/>
        <w:t xml:space="preserve">subsection 26BB(4) or (5) of the </w:t>
      </w:r>
      <w:r w:rsidRPr="005F1CAE">
        <w:rPr>
          <w:i/>
        </w:rPr>
        <w:t>Income Tax Assessment Act 1936</w:t>
      </w:r>
      <w:r w:rsidRPr="005F1CAE">
        <w:t>; or</w:t>
      </w:r>
    </w:p>
    <w:p w:rsidR="00A34068" w:rsidRPr="005F1CAE" w:rsidRDefault="00A34068" w:rsidP="00A34068">
      <w:pPr>
        <w:pStyle w:val="paragraph"/>
      </w:pPr>
      <w:r w:rsidRPr="005F1CAE">
        <w:tab/>
        <w:t>(b)</w:t>
      </w:r>
      <w:r w:rsidRPr="005F1CAE">
        <w:tab/>
        <w:t>subsection 70B(2B) or (2C) of that Act.</w:t>
      </w:r>
    </w:p>
    <w:p w:rsidR="00887330" w:rsidRPr="00583E1A" w:rsidRDefault="00887330" w:rsidP="00887330">
      <w:pPr>
        <w:pStyle w:val="ActHead5"/>
      </w:pPr>
      <w:bookmarkStart w:id="100" w:name="_Toc338939174"/>
      <w:r w:rsidRPr="00583E1A">
        <w:rPr>
          <w:rStyle w:val="CharSectno"/>
        </w:rPr>
        <w:lastRenderedPageBreak/>
        <w:t>775</w:t>
      </w:r>
      <w:r w:rsidR="00583E1A">
        <w:rPr>
          <w:rStyle w:val="CharSectno"/>
        </w:rPr>
        <w:noBreakHyphen/>
      </w:r>
      <w:r w:rsidRPr="00583E1A">
        <w:rPr>
          <w:rStyle w:val="CharSectno"/>
        </w:rPr>
        <w:t>175</w:t>
      </w:r>
      <w:r w:rsidRPr="00583E1A">
        <w:t xml:space="preserve">  Application to things happening before commencement</w:t>
      </w:r>
      <w:bookmarkEnd w:id="100"/>
    </w:p>
    <w:p w:rsidR="00887330" w:rsidRPr="00583E1A" w:rsidRDefault="00887330" w:rsidP="00887330">
      <w:pPr>
        <w:pStyle w:val="subsection"/>
      </w:pPr>
      <w:r w:rsidRPr="00583E1A">
        <w:tab/>
      </w:r>
      <w:r w:rsidRPr="00583E1A">
        <w:tab/>
        <w:t>The use of the present tense in a provision of this Division does not imply that the provision does not apply to things happening before the commencement of this Division.</w:t>
      </w:r>
    </w:p>
    <w:p w:rsidR="00887330" w:rsidRPr="00583E1A" w:rsidRDefault="00887330" w:rsidP="002D2566">
      <w:pPr>
        <w:pStyle w:val="ActHead4"/>
      </w:pPr>
      <w:bookmarkStart w:id="101" w:name="_Toc338939175"/>
      <w:r w:rsidRPr="00583E1A">
        <w:rPr>
          <w:rStyle w:val="CharSubdNo"/>
        </w:rPr>
        <w:t>Subdivision</w:t>
      </w:r>
      <w:r w:rsidR="00583E1A">
        <w:rPr>
          <w:rStyle w:val="CharSubdNo"/>
        </w:rPr>
        <w:t> </w:t>
      </w:r>
      <w:r w:rsidRPr="00583E1A">
        <w:rPr>
          <w:rStyle w:val="CharSubdNo"/>
        </w:rPr>
        <w:t>775</w:t>
      </w:r>
      <w:r w:rsidR="00583E1A">
        <w:rPr>
          <w:rStyle w:val="CharSubdNo"/>
        </w:rPr>
        <w:noBreakHyphen/>
      </w:r>
      <w:r w:rsidRPr="00583E1A">
        <w:rPr>
          <w:rStyle w:val="CharSubdNo"/>
        </w:rPr>
        <w:t>C</w:t>
      </w:r>
      <w:r w:rsidRPr="00583E1A">
        <w:t>—</w:t>
      </w:r>
      <w:r w:rsidRPr="00583E1A">
        <w:rPr>
          <w:rStyle w:val="CharSubdText"/>
        </w:rPr>
        <w:t>Roll</w:t>
      </w:r>
      <w:r w:rsidR="00583E1A">
        <w:rPr>
          <w:rStyle w:val="CharSubdText"/>
        </w:rPr>
        <w:noBreakHyphen/>
      </w:r>
      <w:r w:rsidRPr="00583E1A">
        <w:rPr>
          <w:rStyle w:val="CharSubdText"/>
        </w:rPr>
        <w:t>over relief for facility agreements</w:t>
      </w:r>
      <w:bookmarkEnd w:id="101"/>
    </w:p>
    <w:p w:rsidR="00887330" w:rsidRPr="00583E1A" w:rsidRDefault="00887330" w:rsidP="002D2566">
      <w:pPr>
        <w:pStyle w:val="ActHead4"/>
      </w:pPr>
      <w:bookmarkStart w:id="102" w:name="_Toc338939176"/>
      <w:r w:rsidRPr="00583E1A">
        <w:t>Guide to Subdivision</w:t>
      </w:r>
      <w:r w:rsidR="00583E1A">
        <w:t> </w:t>
      </w:r>
      <w:r w:rsidRPr="00583E1A">
        <w:t>775</w:t>
      </w:r>
      <w:r w:rsidR="00583E1A">
        <w:noBreakHyphen/>
      </w:r>
      <w:r w:rsidRPr="00583E1A">
        <w:t>C</w:t>
      </w:r>
      <w:bookmarkEnd w:id="102"/>
    </w:p>
    <w:p w:rsidR="00887330" w:rsidRPr="00583E1A" w:rsidRDefault="00887330" w:rsidP="002D2566">
      <w:pPr>
        <w:pStyle w:val="ActHead5"/>
      </w:pPr>
      <w:bookmarkStart w:id="103" w:name="_Toc338939177"/>
      <w:r w:rsidRPr="00583E1A">
        <w:rPr>
          <w:rStyle w:val="CharSectno"/>
        </w:rPr>
        <w:t>775</w:t>
      </w:r>
      <w:r w:rsidR="00583E1A">
        <w:rPr>
          <w:rStyle w:val="CharSectno"/>
        </w:rPr>
        <w:noBreakHyphen/>
      </w:r>
      <w:r w:rsidRPr="00583E1A">
        <w:rPr>
          <w:rStyle w:val="CharSectno"/>
        </w:rPr>
        <w:t>180</w:t>
      </w:r>
      <w:r w:rsidRPr="00583E1A">
        <w:t xml:space="preserve">  What this Subdivision is about</w:t>
      </w:r>
      <w:bookmarkEnd w:id="103"/>
    </w:p>
    <w:p w:rsidR="00887330" w:rsidRPr="00583E1A" w:rsidRDefault="00887330" w:rsidP="002D2566">
      <w:pPr>
        <w:pStyle w:val="BoxText"/>
        <w:keepNext/>
      </w:pPr>
      <w:r w:rsidRPr="00583E1A">
        <w:t>A</w:t>
      </w:r>
      <w:r w:rsidRPr="00583E1A">
        <w:rPr>
          <w:b/>
          <w:i/>
        </w:rPr>
        <w:t xml:space="preserve"> facility agreement</w:t>
      </w:r>
      <w:r w:rsidRPr="00583E1A">
        <w:t xml:space="preserve"> is an agreement where:</w:t>
      </w:r>
    </w:p>
    <w:p w:rsidR="00887330" w:rsidRPr="00583E1A" w:rsidRDefault="00887330" w:rsidP="00887330">
      <w:pPr>
        <w:pStyle w:val="BoxPara"/>
      </w:pPr>
      <w:r w:rsidRPr="00583E1A">
        <w:tab/>
        <w:t>(a)</w:t>
      </w:r>
      <w:r w:rsidRPr="00583E1A">
        <w:tab/>
        <w:t>you have a right to issue eligible securities and another entity or entities must acquire the securities; and</w:t>
      </w:r>
    </w:p>
    <w:p w:rsidR="00887330" w:rsidRPr="00583E1A" w:rsidRDefault="00887330" w:rsidP="00887330">
      <w:pPr>
        <w:pStyle w:val="BoxPara"/>
      </w:pPr>
      <w:r w:rsidRPr="00583E1A">
        <w:tab/>
        <w:t>(b)</w:t>
      </w:r>
      <w:r w:rsidRPr="00583E1A">
        <w:tab/>
        <w:t>the economic effect of the agreement is to enable you to obtain finance in a particular foreign currency.</w:t>
      </w:r>
    </w:p>
    <w:p w:rsidR="00887330" w:rsidRPr="00583E1A" w:rsidRDefault="00887330" w:rsidP="00887330">
      <w:pPr>
        <w:pStyle w:val="BoxText"/>
      </w:pPr>
      <w:r w:rsidRPr="00583E1A">
        <w:t>If you choose roll</w:t>
      </w:r>
      <w:r w:rsidR="00583E1A">
        <w:noBreakHyphen/>
      </w:r>
      <w:r w:rsidRPr="00583E1A">
        <w:t>over relief for a facility agreement:</w:t>
      </w:r>
    </w:p>
    <w:p w:rsidR="00887330" w:rsidRPr="00583E1A" w:rsidRDefault="00887330" w:rsidP="00887330">
      <w:pPr>
        <w:pStyle w:val="BoxPara"/>
      </w:pPr>
      <w:r w:rsidRPr="00583E1A">
        <w:tab/>
        <w:t>(a)</w:t>
      </w:r>
      <w:r w:rsidRPr="00583E1A">
        <w:tab/>
        <w:t>a forex realisation gain or a forex realisation loss you make as a result of forex realisation event 4 is disregarded if the event happens because you discharge your obligation under an eligible security issued by you under the agreement; and</w:t>
      </w:r>
    </w:p>
    <w:p w:rsidR="00887330" w:rsidRPr="00583E1A" w:rsidRDefault="00887330" w:rsidP="00887330">
      <w:pPr>
        <w:pStyle w:val="BoxPara"/>
      </w:pPr>
      <w:r w:rsidRPr="00583E1A">
        <w:tab/>
        <w:t>(b)</w:t>
      </w:r>
      <w:r w:rsidRPr="00583E1A">
        <w:tab/>
        <w:t>if you issue an eligible security under the agreement otherwise than as a result of a roll</w:t>
      </w:r>
      <w:r w:rsidR="00583E1A">
        <w:noBreakHyphen/>
      </w:r>
      <w:r w:rsidRPr="00583E1A">
        <w:t xml:space="preserve">over—you are taken to have been given a loan (the </w:t>
      </w:r>
      <w:r w:rsidRPr="00583E1A">
        <w:rPr>
          <w:b/>
          <w:i/>
        </w:rPr>
        <w:t>notional loan</w:t>
      </w:r>
      <w:r w:rsidRPr="00583E1A">
        <w:t>); and</w:t>
      </w:r>
    </w:p>
    <w:p w:rsidR="00887330" w:rsidRPr="00583E1A" w:rsidRDefault="00887330" w:rsidP="00887330">
      <w:pPr>
        <w:pStyle w:val="BoxPara"/>
      </w:pPr>
      <w:r w:rsidRPr="00583E1A">
        <w:tab/>
        <w:t>(c)</w:t>
      </w:r>
      <w:r w:rsidRPr="00583E1A">
        <w:tab/>
        <w:t>if an eligible security is rolled</w:t>
      </w:r>
      <w:r w:rsidR="00583E1A">
        <w:noBreakHyphen/>
      </w:r>
      <w:r w:rsidRPr="00583E1A">
        <w:t>over under the agreement—the period of the notional loan is extended by the term of the new security; and</w:t>
      </w:r>
    </w:p>
    <w:p w:rsidR="00887330" w:rsidRPr="00583E1A" w:rsidRDefault="00887330" w:rsidP="00887330">
      <w:pPr>
        <w:pStyle w:val="BoxPara"/>
      </w:pPr>
      <w:r w:rsidRPr="00583E1A">
        <w:lastRenderedPageBreak/>
        <w:tab/>
        <w:t>(d)</w:t>
      </w:r>
      <w:r w:rsidRPr="00583E1A">
        <w:tab/>
        <w:t>forex realisation event 6 happens if you discharge your obligation under the notional loan; and</w:t>
      </w:r>
    </w:p>
    <w:p w:rsidR="00887330" w:rsidRPr="00583E1A" w:rsidRDefault="00887330" w:rsidP="00887330">
      <w:pPr>
        <w:pStyle w:val="BoxPara"/>
      </w:pPr>
      <w:r w:rsidRPr="00583E1A">
        <w:tab/>
        <w:t>(e)</w:t>
      </w:r>
      <w:r w:rsidRPr="00583E1A">
        <w:tab/>
        <w:t>forex realisation event 7 happens if a material variation is made to the agreement.</w:t>
      </w:r>
    </w:p>
    <w:p w:rsidR="00887330" w:rsidRPr="00583E1A" w:rsidRDefault="00887330" w:rsidP="00887330">
      <w:pPr>
        <w:pStyle w:val="TofSectsHeading"/>
      </w:pPr>
      <w:r w:rsidRPr="00583E1A">
        <w:t>Table of sections</w:t>
      </w:r>
    </w:p>
    <w:p w:rsidR="00887330" w:rsidRPr="00583E1A" w:rsidRDefault="00887330" w:rsidP="00887330">
      <w:pPr>
        <w:pStyle w:val="TofSectsGroupHeading"/>
      </w:pPr>
      <w:r w:rsidRPr="00583E1A">
        <w:t>Operative provisions</w:t>
      </w:r>
    </w:p>
    <w:p w:rsidR="00887330" w:rsidRPr="00583E1A" w:rsidRDefault="00887330" w:rsidP="00887330">
      <w:pPr>
        <w:pStyle w:val="TofSectsSection"/>
      </w:pPr>
      <w:r w:rsidRPr="00583E1A">
        <w:t>775</w:t>
      </w:r>
      <w:r w:rsidR="00583E1A">
        <w:noBreakHyphen/>
      </w:r>
      <w:r w:rsidRPr="00583E1A">
        <w:t>185</w:t>
      </w:r>
      <w:r w:rsidRPr="00583E1A">
        <w:tab/>
        <w:t xml:space="preserve">What is a </w:t>
      </w:r>
      <w:r w:rsidRPr="00583E1A">
        <w:rPr>
          <w:rStyle w:val="CharBoldItalic"/>
        </w:rPr>
        <w:t>facility agreement</w:t>
      </w:r>
      <w:r w:rsidRPr="00583E1A">
        <w:t>?</w:t>
      </w:r>
    </w:p>
    <w:p w:rsidR="00887330" w:rsidRPr="00583E1A" w:rsidRDefault="00887330" w:rsidP="00887330">
      <w:pPr>
        <w:pStyle w:val="TofSectsSection"/>
      </w:pPr>
      <w:r w:rsidRPr="00583E1A">
        <w:t>775</w:t>
      </w:r>
      <w:r w:rsidR="00583E1A">
        <w:noBreakHyphen/>
      </w:r>
      <w:r w:rsidRPr="00583E1A">
        <w:t>190</w:t>
      </w:r>
      <w:r w:rsidRPr="00583E1A">
        <w:tab/>
        <w:t xml:space="preserve">What is an </w:t>
      </w:r>
      <w:r w:rsidRPr="00583E1A">
        <w:rPr>
          <w:rStyle w:val="CharBoldItalic"/>
        </w:rPr>
        <w:t>eligible security</w:t>
      </w:r>
      <w:r w:rsidRPr="00583E1A">
        <w:t>?</w:t>
      </w:r>
    </w:p>
    <w:p w:rsidR="00887330" w:rsidRPr="00583E1A" w:rsidRDefault="00887330" w:rsidP="00887330">
      <w:pPr>
        <w:pStyle w:val="TofSectsSection"/>
      </w:pPr>
      <w:r w:rsidRPr="00583E1A">
        <w:t>775</w:t>
      </w:r>
      <w:r w:rsidR="00583E1A">
        <w:noBreakHyphen/>
      </w:r>
      <w:r w:rsidRPr="00583E1A">
        <w:t>195</w:t>
      </w:r>
      <w:r w:rsidRPr="00583E1A">
        <w:tab/>
        <w:t>You may choose roll</w:t>
      </w:r>
      <w:r w:rsidR="00583E1A">
        <w:noBreakHyphen/>
      </w:r>
      <w:r w:rsidRPr="00583E1A">
        <w:t>over relief for a facility agreement</w:t>
      </w:r>
    </w:p>
    <w:p w:rsidR="00887330" w:rsidRPr="00583E1A" w:rsidRDefault="00887330" w:rsidP="00887330">
      <w:pPr>
        <w:pStyle w:val="TofSectsSection"/>
      </w:pPr>
      <w:r w:rsidRPr="00583E1A">
        <w:t>775</w:t>
      </w:r>
      <w:r w:rsidR="00583E1A">
        <w:noBreakHyphen/>
      </w:r>
      <w:r w:rsidRPr="00583E1A">
        <w:t>200</w:t>
      </w:r>
      <w:r w:rsidRPr="00583E1A">
        <w:tab/>
        <w:t>Forex realisation event 4 does not apply</w:t>
      </w:r>
    </w:p>
    <w:p w:rsidR="00887330" w:rsidRPr="00583E1A" w:rsidRDefault="00887330" w:rsidP="00887330">
      <w:pPr>
        <w:pStyle w:val="TofSectsSection"/>
      </w:pPr>
      <w:r w:rsidRPr="00583E1A">
        <w:t>775</w:t>
      </w:r>
      <w:r w:rsidR="00583E1A">
        <w:noBreakHyphen/>
      </w:r>
      <w:r w:rsidRPr="00583E1A">
        <w:t>205</w:t>
      </w:r>
      <w:r w:rsidRPr="00583E1A">
        <w:tab/>
        <w:t xml:space="preserve">What is a </w:t>
      </w:r>
      <w:r w:rsidRPr="00583E1A">
        <w:rPr>
          <w:rStyle w:val="CharBoldItalic"/>
        </w:rPr>
        <w:t>roll</w:t>
      </w:r>
      <w:r w:rsidR="00583E1A">
        <w:rPr>
          <w:rStyle w:val="CharBoldItalic"/>
        </w:rPr>
        <w:noBreakHyphen/>
      </w:r>
      <w:r w:rsidRPr="00583E1A">
        <w:rPr>
          <w:rStyle w:val="CharBoldItalic"/>
        </w:rPr>
        <w:t>over</w:t>
      </w:r>
      <w:r w:rsidRPr="00583E1A">
        <w:t>?</w:t>
      </w:r>
    </w:p>
    <w:p w:rsidR="00887330" w:rsidRPr="00583E1A" w:rsidRDefault="00887330" w:rsidP="00887330">
      <w:pPr>
        <w:pStyle w:val="TofSectsSection"/>
      </w:pPr>
      <w:r w:rsidRPr="00583E1A">
        <w:t>775</w:t>
      </w:r>
      <w:r w:rsidR="00583E1A">
        <w:noBreakHyphen/>
      </w:r>
      <w:r w:rsidRPr="00583E1A">
        <w:t>210</w:t>
      </w:r>
      <w:r w:rsidRPr="00583E1A">
        <w:tab/>
        <w:t>Notional loan</w:t>
      </w:r>
    </w:p>
    <w:p w:rsidR="00887330" w:rsidRPr="00583E1A" w:rsidRDefault="00887330" w:rsidP="00887330">
      <w:pPr>
        <w:pStyle w:val="TofSectsSection"/>
      </w:pPr>
      <w:r w:rsidRPr="00583E1A">
        <w:t>775</w:t>
      </w:r>
      <w:r w:rsidR="00583E1A">
        <w:noBreakHyphen/>
      </w:r>
      <w:r w:rsidRPr="00583E1A">
        <w:t>215</w:t>
      </w:r>
      <w:r w:rsidRPr="00583E1A">
        <w:tab/>
        <w:t>Discharge of obligation to pay the principal amount of a notional loan under a facility agreement—forex realisation event 6</w:t>
      </w:r>
    </w:p>
    <w:p w:rsidR="00887330" w:rsidRPr="00583E1A" w:rsidRDefault="00887330" w:rsidP="00887330">
      <w:pPr>
        <w:pStyle w:val="TofSectsSection"/>
      </w:pPr>
      <w:r w:rsidRPr="00583E1A">
        <w:t>775</w:t>
      </w:r>
      <w:r w:rsidR="00583E1A">
        <w:noBreakHyphen/>
      </w:r>
      <w:r w:rsidRPr="00583E1A">
        <w:t>220</w:t>
      </w:r>
      <w:r w:rsidRPr="00583E1A">
        <w:tab/>
        <w:t>Material variation of a facility agreement—forex realisation event 7</w:t>
      </w:r>
    </w:p>
    <w:p w:rsidR="00887330" w:rsidRPr="00583E1A" w:rsidRDefault="00887330" w:rsidP="00887330">
      <w:pPr>
        <w:pStyle w:val="ActHead4"/>
      </w:pPr>
      <w:bookmarkStart w:id="104" w:name="_Toc338939178"/>
      <w:r w:rsidRPr="00583E1A">
        <w:t>Operative provisions</w:t>
      </w:r>
      <w:bookmarkEnd w:id="104"/>
    </w:p>
    <w:p w:rsidR="00887330" w:rsidRPr="00583E1A" w:rsidRDefault="00887330" w:rsidP="00887330">
      <w:pPr>
        <w:pStyle w:val="ActHead5"/>
      </w:pPr>
      <w:bookmarkStart w:id="105" w:name="_Toc338939179"/>
      <w:r w:rsidRPr="00583E1A">
        <w:rPr>
          <w:rStyle w:val="CharSectno"/>
        </w:rPr>
        <w:t>775</w:t>
      </w:r>
      <w:r w:rsidR="00583E1A">
        <w:rPr>
          <w:rStyle w:val="CharSectno"/>
        </w:rPr>
        <w:noBreakHyphen/>
      </w:r>
      <w:r w:rsidRPr="00583E1A">
        <w:rPr>
          <w:rStyle w:val="CharSectno"/>
        </w:rPr>
        <w:t>185</w:t>
      </w:r>
      <w:r w:rsidRPr="00583E1A">
        <w:t xml:space="preserve">  What is a </w:t>
      </w:r>
      <w:r w:rsidRPr="00583E1A">
        <w:rPr>
          <w:i/>
        </w:rPr>
        <w:t>facility agreement</w:t>
      </w:r>
      <w:r w:rsidRPr="00583E1A">
        <w:t>?</w:t>
      </w:r>
      <w:bookmarkEnd w:id="105"/>
    </w:p>
    <w:p w:rsidR="00887330" w:rsidRPr="00583E1A" w:rsidRDefault="00887330" w:rsidP="00887330">
      <w:pPr>
        <w:pStyle w:val="subsection"/>
      </w:pPr>
      <w:r w:rsidRPr="00583E1A">
        <w:tab/>
      </w:r>
      <w:r w:rsidRPr="00583E1A">
        <w:tab/>
        <w:t>A</w:t>
      </w:r>
      <w:r w:rsidRPr="00583E1A">
        <w:rPr>
          <w:b/>
          <w:i/>
        </w:rPr>
        <w:t xml:space="preserve"> facility agreement</w:t>
      </w:r>
      <w:r w:rsidRPr="00583E1A">
        <w:t xml:space="preserve"> is an agreement between an entity (the </w:t>
      </w:r>
      <w:r w:rsidRPr="00583E1A">
        <w:rPr>
          <w:b/>
          <w:i/>
        </w:rPr>
        <w:t>first entity</w:t>
      </w:r>
      <w:r w:rsidRPr="00583E1A">
        <w:t>)</w:t>
      </w:r>
      <w:r w:rsidRPr="00583E1A">
        <w:rPr>
          <w:b/>
        </w:rPr>
        <w:t xml:space="preserve"> </w:t>
      </w:r>
      <w:r w:rsidRPr="00583E1A">
        <w:t>and another entity or entities under which:</w:t>
      </w:r>
    </w:p>
    <w:p w:rsidR="00887330" w:rsidRPr="00583E1A" w:rsidRDefault="00887330" w:rsidP="00887330">
      <w:pPr>
        <w:pStyle w:val="paragraph"/>
      </w:pPr>
      <w:r w:rsidRPr="00583E1A">
        <w:tab/>
        <w:t>(a)</w:t>
      </w:r>
      <w:r w:rsidRPr="00583E1A">
        <w:tab/>
        <w:t xml:space="preserve">the first entity has a right to issue </w:t>
      </w:r>
      <w:r w:rsidR="00583E1A" w:rsidRPr="00583E1A">
        <w:rPr>
          <w:position w:val="6"/>
          <w:sz w:val="16"/>
        </w:rPr>
        <w:t>*</w:t>
      </w:r>
      <w:r w:rsidRPr="00583E1A">
        <w:t>eligible securities; and</w:t>
      </w:r>
    </w:p>
    <w:p w:rsidR="00887330" w:rsidRPr="00583E1A" w:rsidRDefault="00887330" w:rsidP="00887330">
      <w:pPr>
        <w:pStyle w:val="paragraph"/>
      </w:pPr>
      <w:r w:rsidRPr="00583E1A">
        <w:tab/>
        <w:t>(b)</w:t>
      </w:r>
      <w:r w:rsidRPr="00583E1A">
        <w:tab/>
        <w:t>an entity or entities must acquire the securities;</w:t>
      </w:r>
    </w:p>
    <w:p w:rsidR="00887330" w:rsidRPr="00583E1A" w:rsidRDefault="00887330" w:rsidP="00887330">
      <w:pPr>
        <w:pStyle w:val="subsection2"/>
      </w:pPr>
      <w:r w:rsidRPr="00583E1A">
        <w:t xml:space="preserve">where the economic effect of the agreement is to enable the first entity to obtain finance in a particular </w:t>
      </w:r>
      <w:r w:rsidR="00583E1A" w:rsidRPr="00583E1A">
        <w:rPr>
          <w:position w:val="6"/>
          <w:sz w:val="16"/>
        </w:rPr>
        <w:t>*</w:t>
      </w:r>
      <w:r w:rsidRPr="00583E1A">
        <w:t>foreign currency:</w:t>
      </w:r>
    </w:p>
    <w:p w:rsidR="00887330" w:rsidRPr="00583E1A" w:rsidRDefault="00887330" w:rsidP="00887330">
      <w:pPr>
        <w:pStyle w:val="paragraph"/>
      </w:pPr>
      <w:r w:rsidRPr="00583E1A">
        <w:tab/>
        <w:t>(c)</w:t>
      </w:r>
      <w:r w:rsidRPr="00583E1A">
        <w:tab/>
        <w:t>up to the foreign currency amount specified in the agreement; and</w:t>
      </w:r>
    </w:p>
    <w:p w:rsidR="00887330" w:rsidRPr="00583E1A" w:rsidRDefault="00887330" w:rsidP="00887330">
      <w:pPr>
        <w:pStyle w:val="paragraph"/>
      </w:pPr>
      <w:r w:rsidRPr="00583E1A">
        <w:tab/>
        <w:t>(d)</w:t>
      </w:r>
      <w:r w:rsidRPr="00583E1A">
        <w:tab/>
        <w:t>during the term of the agreement.</w:t>
      </w:r>
    </w:p>
    <w:p w:rsidR="00887330" w:rsidRPr="00583E1A" w:rsidRDefault="00887330" w:rsidP="00887330">
      <w:pPr>
        <w:pStyle w:val="ActHead5"/>
      </w:pPr>
      <w:bookmarkStart w:id="106" w:name="_Toc338939180"/>
      <w:r w:rsidRPr="00583E1A">
        <w:rPr>
          <w:rStyle w:val="CharSectno"/>
        </w:rPr>
        <w:t>775</w:t>
      </w:r>
      <w:r w:rsidR="00583E1A">
        <w:rPr>
          <w:rStyle w:val="CharSectno"/>
        </w:rPr>
        <w:noBreakHyphen/>
      </w:r>
      <w:r w:rsidRPr="00583E1A">
        <w:rPr>
          <w:rStyle w:val="CharSectno"/>
        </w:rPr>
        <w:t>190</w:t>
      </w:r>
      <w:r w:rsidRPr="00583E1A">
        <w:t xml:space="preserve">  What is an </w:t>
      </w:r>
      <w:r w:rsidRPr="00583E1A">
        <w:rPr>
          <w:i/>
        </w:rPr>
        <w:t>eligible security</w:t>
      </w:r>
      <w:r w:rsidRPr="00583E1A">
        <w:t>?</w:t>
      </w:r>
      <w:bookmarkEnd w:id="106"/>
    </w:p>
    <w:p w:rsidR="00887330" w:rsidRPr="00583E1A" w:rsidRDefault="00887330" w:rsidP="00887330">
      <w:pPr>
        <w:pStyle w:val="subsection"/>
      </w:pPr>
      <w:r w:rsidRPr="00583E1A">
        <w:tab/>
      </w:r>
      <w:r w:rsidRPr="00583E1A">
        <w:tab/>
        <w:t xml:space="preserve">An </w:t>
      </w:r>
      <w:r w:rsidRPr="00583E1A">
        <w:rPr>
          <w:b/>
          <w:i/>
        </w:rPr>
        <w:t>eligible security</w:t>
      </w:r>
      <w:r w:rsidRPr="00583E1A">
        <w:t xml:space="preserve"> is:</w:t>
      </w:r>
    </w:p>
    <w:p w:rsidR="00887330" w:rsidRPr="00583E1A" w:rsidRDefault="00887330" w:rsidP="00887330">
      <w:pPr>
        <w:pStyle w:val="paragraph"/>
      </w:pPr>
      <w:r w:rsidRPr="00583E1A">
        <w:tab/>
        <w:t>(a)</w:t>
      </w:r>
      <w:r w:rsidRPr="00583E1A">
        <w:tab/>
        <w:t>a bill of exchange, or a promissory note, that is:</w:t>
      </w:r>
    </w:p>
    <w:p w:rsidR="00887330" w:rsidRPr="00583E1A" w:rsidRDefault="00887330" w:rsidP="00887330">
      <w:pPr>
        <w:pStyle w:val="paragraphsub"/>
      </w:pPr>
      <w:r w:rsidRPr="00583E1A">
        <w:tab/>
        <w:t>(i)</w:t>
      </w:r>
      <w:r w:rsidRPr="00583E1A">
        <w:tab/>
        <w:t>non</w:t>
      </w:r>
      <w:r w:rsidR="00583E1A">
        <w:noBreakHyphen/>
      </w:r>
      <w:r w:rsidRPr="00583E1A">
        <w:t>interest bearing; and</w:t>
      </w:r>
    </w:p>
    <w:p w:rsidR="00887330" w:rsidRPr="00583E1A" w:rsidRDefault="00887330" w:rsidP="00887330">
      <w:pPr>
        <w:pStyle w:val="paragraphsub"/>
      </w:pPr>
      <w:r w:rsidRPr="00583E1A">
        <w:lastRenderedPageBreak/>
        <w:tab/>
        <w:t>(ii)</w:t>
      </w:r>
      <w:r w:rsidRPr="00583E1A">
        <w:tab/>
        <w:t>issued at a discount to face value; and</w:t>
      </w:r>
    </w:p>
    <w:p w:rsidR="00887330" w:rsidRPr="00583E1A" w:rsidRDefault="00887330" w:rsidP="00887330">
      <w:pPr>
        <w:pStyle w:val="paragraphsub"/>
      </w:pPr>
      <w:r w:rsidRPr="00583E1A">
        <w:tab/>
        <w:t>(iii)</w:t>
      </w:r>
      <w:r w:rsidRPr="00583E1A">
        <w:tab/>
        <w:t xml:space="preserve">denominated in a particular </w:t>
      </w:r>
      <w:r w:rsidR="00583E1A" w:rsidRPr="00583E1A">
        <w:rPr>
          <w:position w:val="6"/>
          <w:sz w:val="16"/>
        </w:rPr>
        <w:t>*</w:t>
      </w:r>
      <w:r w:rsidRPr="00583E1A">
        <w:t>foreign currency; and</w:t>
      </w:r>
    </w:p>
    <w:p w:rsidR="00887330" w:rsidRPr="00583E1A" w:rsidRDefault="00887330" w:rsidP="00887330">
      <w:pPr>
        <w:pStyle w:val="paragraphsub"/>
      </w:pPr>
      <w:r w:rsidRPr="00583E1A">
        <w:tab/>
        <w:t>(iv)</w:t>
      </w:r>
      <w:r w:rsidRPr="00583E1A">
        <w:tab/>
        <w:t>for a fixed term; or</w:t>
      </w:r>
    </w:p>
    <w:p w:rsidR="00887330" w:rsidRPr="00583E1A" w:rsidRDefault="00887330" w:rsidP="00887330">
      <w:pPr>
        <w:pStyle w:val="paragraph"/>
      </w:pPr>
      <w:r w:rsidRPr="00583E1A">
        <w:tab/>
        <w:t>(b)</w:t>
      </w:r>
      <w:r w:rsidRPr="00583E1A">
        <w:tab/>
        <w:t>a security that is:</w:t>
      </w:r>
    </w:p>
    <w:p w:rsidR="00887330" w:rsidRPr="00583E1A" w:rsidRDefault="00887330" w:rsidP="00887330">
      <w:pPr>
        <w:pStyle w:val="paragraphsub"/>
      </w:pPr>
      <w:r w:rsidRPr="00583E1A">
        <w:tab/>
        <w:t>(i)</w:t>
      </w:r>
      <w:r w:rsidRPr="00583E1A">
        <w:tab/>
        <w:t>specified in the regulations; and</w:t>
      </w:r>
    </w:p>
    <w:p w:rsidR="00887330" w:rsidRPr="00583E1A" w:rsidRDefault="00887330" w:rsidP="00887330">
      <w:pPr>
        <w:pStyle w:val="paragraphsub"/>
      </w:pPr>
      <w:r w:rsidRPr="00583E1A">
        <w:tab/>
        <w:t>(ii)</w:t>
      </w:r>
      <w:r w:rsidRPr="00583E1A">
        <w:tab/>
        <w:t>denominated in a foreign currency; and</w:t>
      </w:r>
    </w:p>
    <w:p w:rsidR="00887330" w:rsidRPr="00583E1A" w:rsidRDefault="00887330" w:rsidP="00887330">
      <w:pPr>
        <w:pStyle w:val="paragraphsub"/>
      </w:pPr>
      <w:r w:rsidRPr="00583E1A">
        <w:tab/>
        <w:t>(iii)</w:t>
      </w:r>
      <w:r w:rsidRPr="00583E1A">
        <w:tab/>
        <w:t>for a fixed term.</w:t>
      </w:r>
    </w:p>
    <w:p w:rsidR="00887330" w:rsidRPr="00583E1A" w:rsidRDefault="00887330" w:rsidP="00887330">
      <w:pPr>
        <w:pStyle w:val="ActHead5"/>
      </w:pPr>
      <w:bookmarkStart w:id="107" w:name="_Toc338939181"/>
      <w:r w:rsidRPr="00583E1A">
        <w:rPr>
          <w:rStyle w:val="CharSectno"/>
        </w:rPr>
        <w:t>775</w:t>
      </w:r>
      <w:r w:rsidR="00583E1A">
        <w:rPr>
          <w:rStyle w:val="CharSectno"/>
        </w:rPr>
        <w:noBreakHyphen/>
      </w:r>
      <w:r w:rsidRPr="00583E1A">
        <w:rPr>
          <w:rStyle w:val="CharSectno"/>
        </w:rPr>
        <w:t>195</w:t>
      </w:r>
      <w:r w:rsidRPr="00583E1A">
        <w:t xml:space="preserve">  You may choose roll</w:t>
      </w:r>
      <w:r w:rsidR="00583E1A">
        <w:noBreakHyphen/>
      </w:r>
      <w:r w:rsidRPr="00583E1A">
        <w:t>over relief for a facility agreement</w:t>
      </w:r>
      <w:bookmarkEnd w:id="107"/>
    </w:p>
    <w:p w:rsidR="00887330" w:rsidRPr="00583E1A" w:rsidRDefault="00887330" w:rsidP="00887330">
      <w:pPr>
        <w:pStyle w:val="subsection"/>
      </w:pPr>
      <w:r w:rsidRPr="00583E1A">
        <w:tab/>
        <w:t>(1)</w:t>
      </w:r>
      <w:r w:rsidRPr="00583E1A">
        <w:tab/>
        <w:t>You may choose roll</w:t>
      </w:r>
      <w:r w:rsidR="00583E1A">
        <w:noBreakHyphen/>
      </w:r>
      <w:r w:rsidRPr="00583E1A">
        <w:t xml:space="preserve">over relief for a </w:t>
      </w:r>
      <w:r w:rsidR="00583E1A" w:rsidRPr="00583E1A">
        <w:rPr>
          <w:position w:val="6"/>
          <w:sz w:val="16"/>
        </w:rPr>
        <w:t>*</w:t>
      </w:r>
      <w:r w:rsidRPr="00583E1A">
        <w:t>facility agreement if:</w:t>
      </w:r>
    </w:p>
    <w:p w:rsidR="00887330" w:rsidRPr="00583E1A" w:rsidRDefault="00887330" w:rsidP="00887330">
      <w:pPr>
        <w:pStyle w:val="paragraph"/>
      </w:pPr>
      <w:r w:rsidRPr="00583E1A">
        <w:tab/>
        <w:t>(a)</w:t>
      </w:r>
      <w:r w:rsidRPr="00583E1A">
        <w:tab/>
        <w:t>you have entered into the agreement; and</w:t>
      </w:r>
    </w:p>
    <w:p w:rsidR="00887330" w:rsidRPr="00583E1A" w:rsidRDefault="00887330" w:rsidP="00887330">
      <w:pPr>
        <w:pStyle w:val="paragraph"/>
      </w:pPr>
      <w:r w:rsidRPr="00583E1A">
        <w:tab/>
        <w:t>(b)</w:t>
      </w:r>
      <w:r w:rsidRPr="00583E1A">
        <w:tab/>
        <w:t xml:space="preserve">you have a right to issue </w:t>
      </w:r>
      <w:r w:rsidR="00583E1A" w:rsidRPr="00583E1A">
        <w:rPr>
          <w:position w:val="6"/>
          <w:sz w:val="16"/>
        </w:rPr>
        <w:t>*</w:t>
      </w:r>
      <w:r w:rsidRPr="00583E1A">
        <w:t>eligible securities under the agreement; and</w:t>
      </w:r>
    </w:p>
    <w:p w:rsidR="00887330" w:rsidRPr="00583E1A" w:rsidRDefault="00887330" w:rsidP="00887330">
      <w:pPr>
        <w:pStyle w:val="paragraph"/>
      </w:pPr>
      <w:r w:rsidRPr="00583E1A">
        <w:tab/>
        <w:t>(c)</w:t>
      </w:r>
      <w:r w:rsidRPr="00583E1A">
        <w:tab/>
        <w:t xml:space="preserve">the economic effect of the agreement is to enable you to obtain finance in a particular </w:t>
      </w:r>
      <w:r w:rsidR="00583E1A" w:rsidRPr="00583E1A">
        <w:rPr>
          <w:position w:val="6"/>
          <w:sz w:val="16"/>
        </w:rPr>
        <w:t>*</w:t>
      </w:r>
      <w:r w:rsidRPr="00583E1A">
        <w:t>foreign currency:</w:t>
      </w:r>
    </w:p>
    <w:p w:rsidR="00887330" w:rsidRPr="00583E1A" w:rsidRDefault="00887330" w:rsidP="00887330">
      <w:pPr>
        <w:pStyle w:val="paragraphsub"/>
      </w:pPr>
      <w:r w:rsidRPr="00583E1A">
        <w:tab/>
        <w:t>(i)</w:t>
      </w:r>
      <w:r w:rsidRPr="00583E1A">
        <w:tab/>
        <w:t>up to the foreign currency amount specified in the agreement; and</w:t>
      </w:r>
    </w:p>
    <w:p w:rsidR="00887330" w:rsidRPr="00583E1A" w:rsidRDefault="00887330" w:rsidP="00887330">
      <w:pPr>
        <w:pStyle w:val="paragraphsub"/>
      </w:pPr>
      <w:r w:rsidRPr="00583E1A">
        <w:tab/>
        <w:t>(ii)</w:t>
      </w:r>
      <w:r w:rsidRPr="00583E1A">
        <w:tab/>
        <w:t>during the term of the agreement.</w:t>
      </w:r>
    </w:p>
    <w:p w:rsidR="00887330" w:rsidRPr="00583E1A" w:rsidRDefault="00887330" w:rsidP="00887330">
      <w:pPr>
        <w:pStyle w:val="subsection"/>
      </w:pPr>
      <w:r w:rsidRPr="00583E1A">
        <w:tab/>
        <w:t>(2)</w:t>
      </w:r>
      <w:r w:rsidRPr="00583E1A">
        <w:tab/>
        <w:t>A choice must be made:</w:t>
      </w:r>
    </w:p>
    <w:p w:rsidR="00887330" w:rsidRPr="00583E1A" w:rsidRDefault="00887330" w:rsidP="00887330">
      <w:pPr>
        <w:pStyle w:val="paragraph"/>
      </w:pPr>
      <w:r w:rsidRPr="00583E1A">
        <w:tab/>
        <w:t>(a)</w:t>
      </w:r>
      <w:r w:rsidRPr="00583E1A">
        <w:tab/>
        <w:t xml:space="preserve">within 90 days after the first time you issue an </w:t>
      </w:r>
      <w:r w:rsidR="00583E1A" w:rsidRPr="00583E1A">
        <w:rPr>
          <w:position w:val="6"/>
          <w:sz w:val="16"/>
        </w:rPr>
        <w:t>*</w:t>
      </w:r>
      <w:r w:rsidRPr="00583E1A">
        <w:t xml:space="preserve">eligible security under the </w:t>
      </w:r>
      <w:r w:rsidR="00583E1A" w:rsidRPr="00583E1A">
        <w:rPr>
          <w:position w:val="6"/>
          <w:sz w:val="16"/>
        </w:rPr>
        <w:t>*</w:t>
      </w:r>
      <w:r w:rsidRPr="00583E1A">
        <w:t>facility agreement; or</w:t>
      </w:r>
    </w:p>
    <w:p w:rsidR="00887330" w:rsidRPr="00583E1A" w:rsidRDefault="00887330" w:rsidP="00887330">
      <w:pPr>
        <w:pStyle w:val="paragraph"/>
      </w:pPr>
      <w:r w:rsidRPr="00583E1A">
        <w:tab/>
        <w:t>(b)</w:t>
      </w:r>
      <w:r w:rsidRPr="00583E1A">
        <w:tab/>
        <w:t>within 90 days after the applicable commencement date; or</w:t>
      </w:r>
    </w:p>
    <w:p w:rsidR="00887330" w:rsidRPr="00583E1A" w:rsidRDefault="00887330" w:rsidP="00887330">
      <w:pPr>
        <w:pStyle w:val="paragraph"/>
      </w:pPr>
      <w:r w:rsidRPr="00583E1A">
        <w:tab/>
        <w:t>(c)</w:t>
      </w:r>
      <w:r w:rsidRPr="00583E1A">
        <w:tab/>
        <w:t>within 30 days after the commencement of this subsection.</w:t>
      </w:r>
    </w:p>
    <w:p w:rsidR="00887330" w:rsidRPr="00583E1A" w:rsidRDefault="00887330" w:rsidP="00887330">
      <w:pPr>
        <w:pStyle w:val="notetext"/>
      </w:pPr>
      <w:r w:rsidRPr="00583E1A">
        <w:t>Note:</w:t>
      </w:r>
      <w:r w:rsidRPr="00583E1A">
        <w:tab/>
        <w:t xml:space="preserve">For </w:t>
      </w:r>
      <w:r w:rsidRPr="00583E1A">
        <w:rPr>
          <w:b/>
          <w:i/>
        </w:rPr>
        <w:t>applicable commencement date</w:t>
      </w:r>
      <w:r w:rsidRPr="00583E1A">
        <w:t>, see section</w:t>
      </w:r>
      <w:r w:rsidR="00583E1A">
        <w:t> </w:t>
      </w:r>
      <w:r w:rsidRPr="00583E1A">
        <w:t>775</w:t>
      </w:r>
      <w:r w:rsidR="00583E1A">
        <w:noBreakHyphen/>
      </w:r>
      <w:r w:rsidRPr="00583E1A">
        <w:t>155.</w:t>
      </w:r>
    </w:p>
    <w:p w:rsidR="00887330" w:rsidRPr="00583E1A" w:rsidRDefault="00887330" w:rsidP="00887330">
      <w:pPr>
        <w:pStyle w:val="subsection"/>
      </w:pPr>
      <w:r w:rsidRPr="00583E1A">
        <w:tab/>
        <w:t>(3)</w:t>
      </w:r>
      <w:r w:rsidRPr="00583E1A">
        <w:tab/>
        <w:t xml:space="preserve">If you make a choice within 90 days after the first time you issue an </w:t>
      </w:r>
      <w:r w:rsidR="00583E1A" w:rsidRPr="00583E1A">
        <w:rPr>
          <w:position w:val="6"/>
          <w:sz w:val="16"/>
        </w:rPr>
        <w:t>*</w:t>
      </w:r>
      <w:r w:rsidRPr="00583E1A">
        <w:t xml:space="preserve">eligible security under the </w:t>
      </w:r>
      <w:r w:rsidR="00583E1A" w:rsidRPr="00583E1A">
        <w:rPr>
          <w:position w:val="6"/>
          <w:sz w:val="16"/>
        </w:rPr>
        <w:t>*</w:t>
      </w:r>
      <w:r w:rsidRPr="00583E1A">
        <w:t>facility agreement, the choice is taken to have been in effect throughout the period that began immediately before the first time you issued an eligible security under the facility agreement.</w:t>
      </w:r>
    </w:p>
    <w:p w:rsidR="00887330" w:rsidRPr="00583E1A" w:rsidRDefault="00887330" w:rsidP="00887330">
      <w:pPr>
        <w:pStyle w:val="subsection"/>
      </w:pPr>
      <w:r w:rsidRPr="00583E1A">
        <w:tab/>
        <w:t>(4)</w:t>
      </w:r>
      <w:r w:rsidRPr="00583E1A">
        <w:tab/>
        <w:t>If:</w:t>
      </w:r>
    </w:p>
    <w:p w:rsidR="00887330" w:rsidRPr="00583E1A" w:rsidRDefault="00887330" w:rsidP="00887330">
      <w:pPr>
        <w:pStyle w:val="paragraph"/>
      </w:pPr>
      <w:r w:rsidRPr="00583E1A">
        <w:tab/>
        <w:t>(a)</w:t>
      </w:r>
      <w:r w:rsidRPr="00583E1A">
        <w:tab/>
        <w:t>you make a choice:</w:t>
      </w:r>
    </w:p>
    <w:p w:rsidR="00887330" w:rsidRPr="00583E1A" w:rsidRDefault="00887330" w:rsidP="00887330">
      <w:pPr>
        <w:pStyle w:val="paragraphsub"/>
      </w:pPr>
      <w:r w:rsidRPr="00583E1A">
        <w:tab/>
        <w:t>(i)</w:t>
      </w:r>
      <w:r w:rsidRPr="00583E1A">
        <w:tab/>
        <w:t>within 90 days after the applicable commencement date; or</w:t>
      </w:r>
    </w:p>
    <w:p w:rsidR="00887330" w:rsidRPr="00583E1A" w:rsidRDefault="00887330" w:rsidP="00887330">
      <w:pPr>
        <w:pStyle w:val="paragraphsub"/>
      </w:pPr>
      <w:r w:rsidRPr="00583E1A">
        <w:lastRenderedPageBreak/>
        <w:tab/>
        <w:t>(ii)</w:t>
      </w:r>
      <w:r w:rsidRPr="00583E1A">
        <w:tab/>
        <w:t>within 30 days after the commencement of this subsection; and</w:t>
      </w:r>
    </w:p>
    <w:p w:rsidR="00887330" w:rsidRPr="00583E1A" w:rsidRDefault="00887330" w:rsidP="00887330">
      <w:pPr>
        <w:pStyle w:val="paragraph"/>
      </w:pPr>
      <w:r w:rsidRPr="00583E1A">
        <w:tab/>
        <w:t>(b)</w:t>
      </w:r>
      <w:r w:rsidRPr="00583E1A">
        <w:tab/>
      </w:r>
      <w:r w:rsidR="00583E1A">
        <w:t>subsection (</w:t>
      </w:r>
      <w:r w:rsidRPr="00583E1A">
        <w:t>3) does not apply;</w:t>
      </w:r>
    </w:p>
    <w:p w:rsidR="00887330" w:rsidRPr="00583E1A" w:rsidRDefault="00887330" w:rsidP="00887330">
      <w:pPr>
        <w:pStyle w:val="subsection2"/>
      </w:pPr>
      <w:r w:rsidRPr="00583E1A">
        <w:t>the choice is taken to have been in effect throughout the period that began at whichever is the later of the following times:</w:t>
      </w:r>
    </w:p>
    <w:p w:rsidR="00887330" w:rsidRPr="00583E1A" w:rsidRDefault="00887330" w:rsidP="00887330">
      <w:pPr>
        <w:pStyle w:val="paragraph"/>
      </w:pPr>
      <w:r w:rsidRPr="00583E1A">
        <w:tab/>
        <w:t>(c)</w:t>
      </w:r>
      <w:r w:rsidRPr="00583E1A">
        <w:tab/>
        <w:t>the start of the applicable commencement date;</w:t>
      </w:r>
    </w:p>
    <w:p w:rsidR="00887330" w:rsidRPr="00583E1A" w:rsidRDefault="00887330" w:rsidP="00887330">
      <w:pPr>
        <w:pStyle w:val="paragraph"/>
      </w:pPr>
      <w:r w:rsidRPr="00583E1A">
        <w:tab/>
        <w:t>(d)</w:t>
      </w:r>
      <w:r w:rsidRPr="00583E1A">
        <w:tab/>
        <w:t xml:space="preserve">the first time you issued an </w:t>
      </w:r>
      <w:r w:rsidR="00583E1A" w:rsidRPr="00583E1A">
        <w:rPr>
          <w:position w:val="6"/>
          <w:sz w:val="16"/>
        </w:rPr>
        <w:t>*</w:t>
      </w:r>
      <w:r w:rsidRPr="00583E1A">
        <w:t xml:space="preserve">eligible security under the </w:t>
      </w:r>
      <w:r w:rsidR="00583E1A" w:rsidRPr="00583E1A">
        <w:rPr>
          <w:position w:val="6"/>
          <w:sz w:val="16"/>
        </w:rPr>
        <w:t>*</w:t>
      </w:r>
      <w:r w:rsidRPr="00583E1A">
        <w:t>facility agreement.</w:t>
      </w:r>
    </w:p>
    <w:p w:rsidR="00887330" w:rsidRPr="00583E1A" w:rsidRDefault="00887330" w:rsidP="00887330">
      <w:pPr>
        <w:pStyle w:val="notetext"/>
      </w:pPr>
      <w:r w:rsidRPr="00583E1A">
        <w:t>Note:</w:t>
      </w:r>
      <w:r w:rsidRPr="00583E1A">
        <w:tab/>
        <w:t xml:space="preserve">For </w:t>
      </w:r>
      <w:r w:rsidRPr="00583E1A">
        <w:rPr>
          <w:b/>
          <w:i/>
        </w:rPr>
        <w:t>applicable commencement date</w:t>
      </w:r>
      <w:r w:rsidRPr="00583E1A">
        <w:t>, see section</w:t>
      </w:r>
      <w:r w:rsidR="00583E1A">
        <w:t> </w:t>
      </w:r>
      <w:r w:rsidRPr="00583E1A">
        <w:t>775</w:t>
      </w:r>
      <w:r w:rsidR="00583E1A">
        <w:noBreakHyphen/>
      </w:r>
      <w:r w:rsidRPr="00583E1A">
        <w:t>155.</w:t>
      </w:r>
    </w:p>
    <w:p w:rsidR="00887330" w:rsidRPr="00583E1A" w:rsidRDefault="00887330" w:rsidP="00887330">
      <w:pPr>
        <w:pStyle w:val="subsection"/>
      </w:pPr>
      <w:r w:rsidRPr="00583E1A">
        <w:tab/>
        <w:t>(5)</w:t>
      </w:r>
      <w:r w:rsidRPr="00583E1A">
        <w:tab/>
        <w:t>A choice must be in writing.</w:t>
      </w:r>
    </w:p>
    <w:p w:rsidR="00887330" w:rsidRPr="00583E1A" w:rsidRDefault="00887330" w:rsidP="00887330">
      <w:pPr>
        <w:pStyle w:val="subsection"/>
      </w:pPr>
      <w:r w:rsidRPr="00583E1A">
        <w:tab/>
        <w:t>(6)</w:t>
      </w:r>
      <w:r w:rsidRPr="00583E1A">
        <w:tab/>
        <w:t xml:space="preserve">A choice continues to apply until the </w:t>
      </w:r>
      <w:r w:rsidR="00583E1A" w:rsidRPr="00583E1A">
        <w:rPr>
          <w:position w:val="6"/>
          <w:sz w:val="16"/>
        </w:rPr>
        <w:t>*</w:t>
      </w:r>
      <w:r w:rsidRPr="00583E1A">
        <w:t>facility agreement ends.</w:t>
      </w:r>
    </w:p>
    <w:p w:rsidR="00887330" w:rsidRPr="00583E1A" w:rsidRDefault="00887330" w:rsidP="00887330">
      <w:pPr>
        <w:pStyle w:val="notetext"/>
      </w:pPr>
      <w:r w:rsidRPr="00583E1A">
        <w:t>Note:</w:t>
      </w:r>
      <w:r w:rsidRPr="00583E1A">
        <w:tab/>
        <w:t>If forex realisation event 7 happens (material variation of facility agreement), subsection 775</w:t>
      </w:r>
      <w:r w:rsidR="00583E1A">
        <w:noBreakHyphen/>
      </w:r>
      <w:r w:rsidRPr="00583E1A">
        <w:t>220(5) terminates your choice.</w:t>
      </w:r>
    </w:p>
    <w:p w:rsidR="00887330" w:rsidRPr="00583E1A" w:rsidRDefault="00887330" w:rsidP="00887330">
      <w:pPr>
        <w:pStyle w:val="subsection"/>
      </w:pPr>
      <w:r w:rsidRPr="00583E1A">
        <w:tab/>
        <w:t>(7)</w:t>
      </w:r>
      <w:r w:rsidRPr="00583E1A">
        <w:tab/>
        <w:t>A choice may not be revoked.</w:t>
      </w:r>
    </w:p>
    <w:p w:rsidR="00887330" w:rsidRPr="00583E1A" w:rsidRDefault="00887330" w:rsidP="00887330">
      <w:pPr>
        <w:pStyle w:val="ActHead5"/>
      </w:pPr>
      <w:bookmarkStart w:id="108" w:name="_Toc338939182"/>
      <w:r w:rsidRPr="00583E1A">
        <w:rPr>
          <w:rStyle w:val="CharSectno"/>
        </w:rPr>
        <w:t>775</w:t>
      </w:r>
      <w:r w:rsidR="00583E1A">
        <w:rPr>
          <w:rStyle w:val="CharSectno"/>
        </w:rPr>
        <w:noBreakHyphen/>
      </w:r>
      <w:r w:rsidRPr="00583E1A">
        <w:rPr>
          <w:rStyle w:val="CharSectno"/>
        </w:rPr>
        <w:t>200</w:t>
      </w:r>
      <w:r w:rsidRPr="00583E1A">
        <w:t xml:space="preserve">  Forex realisation event 4 does not apply</w:t>
      </w:r>
      <w:bookmarkEnd w:id="108"/>
    </w:p>
    <w:p w:rsidR="00887330" w:rsidRPr="00583E1A" w:rsidRDefault="00887330" w:rsidP="00887330">
      <w:pPr>
        <w:pStyle w:val="subsection"/>
      </w:pPr>
      <w:r w:rsidRPr="00583E1A">
        <w:tab/>
      </w:r>
      <w:r w:rsidRPr="00583E1A">
        <w:tab/>
        <w:t xml:space="preserve">A </w:t>
      </w:r>
      <w:r w:rsidR="00583E1A" w:rsidRPr="00583E1A">
        <w:rPr>
          <w:position w:val="6"/>
          <w:sz w:val="16"/>
        </w:rPr>
        <w:t>*</w:t>
      </w:r>
      <w:r w:rsidRPr="00583E1A">
        <w:t xml:space="preserve">forex realisation gain or a </w:t>
      </w:r>
      <w:r w:rsidR="00583E1A" w:rsidRPr="00583E1A">
        <w:rPr>
          <w:position w:val="6"/>
          <w:sz w:val="16"/>
        </w:rPr>
        <w:t>*</w:t>
      </w:r>
      <w:r w:rsidRPr="00583E1A">
        <w:t>forex realisation loss you make as a result of forex realisation event 4</w:t>
      </w:r>
      <w:r w:rsidR="0048515E" w:rsidRPr="00583E1A">
        <w:t xml:space="preserve"> or 9</w:t>
      </w:r>
      <w:r w:rsidRPr="00583E1A">
        <w:t xml:space="preserve"> is disregarded to the extent to which the event happens because:</w:t>
      </w:r>
    </w:p>
    <w:p w:rsidR="00887330" w:rsidRPr="00583E1A" w:rsidRDefault="00887330" w:rsidP="00887330">
      <w:pPr>
        <w:pStyle w:val="paragraph"/>
      </w:pPr>
      <w:r w:rsidRPr="00583E1A">
        <w:tab/>
        <w:t>(a)</w:t>
      </w:r>
      <w:r w:rsidRPr="00583E1A">
        <w:tab/>
        <w:t xml:space="preserve">you discharge your obligation under an </w:t>
      </w:r>
      <w:r w:rsidR="00583E1A" w:rsidRPr="00583E1A">
        <w:rPr>
          <w:position w:val="6"/>
          <w:sz w:val="16"/>
        </w:rPr>
        <w:t>*</w:t>
      </w:r>
      <w:r w:rsidRPr="00583E1A">
        <w:t xml:space="preserve">eligible security issued by you under a </w:t>
      </w:r>
      <w:r w:rsidR="00583E1A" w:rsidRPr="00583E1A">
        <w:rPr>
          <w:position w:val="6"/>
          <w:sz w:val="16"/>
        </w:rPr>
        <w:t>*</w:t>
      </w:r>
      <w:r w:rsidRPr="00583E1A">
        <w:t>facility agreement; and</w:t>
      </w:r>
    </w:p>
    <w:p w:rsidR="00887330" w:rsidRPr="00583E1A" w:rsidRDefault="00887330" w:rsidP="00887330">
      <w:pPr>
        <w:pStyle w:val="paragraph"/>
      </w:pPr>
      <w:r w:rsidRPr="00583E1A">
        <w:tab/>
        <w:t>(b)</w:t>
      </w:r>
      <w:r w:rsidRPr="00583E1A">
        <w:tab/>
        <w:t>you have made a choice for roll</w:t>
      </w:r>
      <w:r w:rsidR="00583E1A">
        <w:noBreakHyphen/>
      </w:r>
      <w:r w:rsidRPr="00583E1A">
        <w:t>over relief for the facility agreement, and that choice is in effect.</w:t>
      </w:r>
    </w:p>
    <w:p w:rsidR="00887330" w:rsidRPr="00583E1A" w:rsidRDefault="00887330" w:rsidP="00887330">
      <w:pPr>
        <w:pStyle w:val="ActHead5"/>
      </w:pPr>
      <w:bookmarkStart w:id="109" w:name="_Toc338939183"/>
      <w:r w:rsidRPr="00583E1A">
        <w:rPr>
          <w:rStyle w:val="CharSectno"/>
        </w:rPr>
        <w:t>775</w:t>
      </w:r>
      <w:r w:rsidR="00583E1A">
        <w:rPr>
          <w:rStyle w:val="CharSectno"/>
        </w:rPr>
        <w:noBreakHyphen/>
      </w:r>
      <w:r w:rsidRPr="00583E1A">
        <w:rPr>
          <w:rStyle w:val="CharSectno"/>
        </w:rPr>
        <w:t>205</w:t>
      </w:r>
      <w:r w:rsidRPr="00583E1A">
        <w:t xml:space="preserve">  What is a </w:t>
      </w:r>
      <w:r w:rsidRPr="00583E1A">
        <w:rPr>
          <w:i/>
        </w:rPr>
        <w:t>roll</w:t>
      </w:r>
      <w:r w:rsidR="00583E1A">
        <w:rPr>
          <w:i/>
        </w:rPr>
        <w:noBreakHyphen/>
      </w:r>
      <w:r w:rsidRPr="00583E1A">
        <w:rPr>
          <w:i/>
        </w:rPr>
        <w:t>over</w:t>
      </w:r>
      <w:r w:rsidRPr="00583E1A">
        <w:t>?</w:t>
      </w:r>
      <w:bookmarkEnd w:id="109"/>
    </w:p>
    <w:p w:rsidR="00887330" w:rsidRPr="00583E1A" w:rsidRDefault="00887330" w:rsidP="00887330">
      <w:pPr>
        <w:pStyle w:val="subsection"/>
      </w:pPr>
      <w:r w:rsidRPr="00583E1A">
        <w:tab/>
      </w:r>
      <w:r w:rsidRPr="00583E1A">
        <w:tab/>
        <w:t xml:space="preserve">A </w:t>
      </w:r>
      <w:r w:rsidRPr="00583E1A">
        <w:rPr>
          <w:b/>
          <w:i/>
        </w:rPr>
        <w:t>roll</w:t>
      </w:r>
      <w:r w:rsidR="00583E1A">
        <w:rPr>
          <w:b/>
          <w:i/>
        </w:rPr>
        <w:noBreakHyphen/>
      </w:r>
      <w:r w:rsidRPr="00583E1A">
        <w:rPr>
          <w:b/>
          <w:i/>
        </w:rPr>
        <w:t>over</w:t>
      </w:r>
      <w:r w:rsidRPr="00583E1A">
        <w:t xml:space="preserve"> happens under a </w:t>
      </w:r>
      <w:r w:rsidR="00583E1A" w:rsidRPr="00583E1A">
        <w:rPr>
          <w:position w:val="6"/>
          <w:sz w:val="16"/>
        </w:rPr>
        <w:t>*</w:t>
      </w:r>
      <w:r w:rsidRPr="00583E1A">
        <w:t>facility agreement if:</w:t>
      </w:r>
    </w:p>
    <w:p w:rsidR="00887330" w:rsidRPr="00583E1A" w:rsidRDefault="00887330" w:rsidP="00887330">
      <w:pPr>
        <w:pStyle w:val="paragraph"/>
      </w:pPr>
      <w:r w:rsidRPr="00583E1A">
        <w:tab/>
        <w:t>(a)</w:t>
      </w:r>
      <w:r w:rsidRPr="00583E1A">
        <w:tab/>
        <w:t xml:space="preserve">you discharge your obligation under an </w:t>
      </w:r>
      <w:r w:rsidR="00583E1A" w:rsidRPr="00583E1A">
        <w:rPr>
          <w:position w:val="6"/>
          <w:sz w:val="16"/>
        </w:rPr>
        <w:t>*</w:t>
      </w:r>
      <w:r w:rsidRPr="00583E1A">
        <w:t xml:space="preserve">eligible security issued by you under the agreement (the </w:t>
      </w:r>
      <w:r w:rsidRPr="00583E1A">
        <w:rPr>
          <w:b/>
          <w:i/>
        </w:rPr>
        <w:t>rolled</w:t>
      </w:r>
      <w:r w:rsidR="00583E1A">
        <w:rPr>
          <w:b/>
          <w:i/>
        </w:rPr>
        <w:noBreakHyphen/>
      </w:r>
      <w:r w:rsidRPr="00583E1A">
        <w:rPr>
          <w:b/>
          <w:i/>
        </w:rPr>
        <w:t>over security</w:t>
      </w:r>
      <w:r w:rsidRPr="00583E1A">
        <w:t>); and</w:t>
      </w:r>
    </w:p>
    <w:p w:rsidR="00887330" w:rsidRPr="00583E1A" w:rsidRDefault="00887330" w:rsidP="00887330">
      <w:pPr>
        <w:pStyle w:val="paragraph"/>
      </w:pPr>
      <w:r w:rsidRPr="00583E1A">
        <w:tab/>
        <w:t>(b)</w:t>
      </w:r>
      <w:r w:rsidRPr="00583E1A">
        <w:tab/>
        <w:t xml:space="preserve">at the same time, you issue a new eligible security (the </w:t>
      </w:r>
      <w:r w:rsidRPr="00583E1A">
        <w:rPr>
          <w:b/>
          <w:i/>
        </w:rPr>
        <w:t>new security</w:t>
      </w:r>
      <w:r w:rsidRPr="00583E1A">
        <w:t>) under the agreement; and</w:t>
      </w:r>
    </w:p>
    <w:p w:rsidR="00887330" w:rsidRPr="00583E1A" w:rsidRDefault="00887330" w:rsidP="00887330">
      <w:pPr>
        <w:pStyle w:val="paragraph"/>
      </w:pPr>
      <w:r w:rsidRPr="00583E1A">
        <w:tab/>
        <w:t>(c)</w:t>
      </w:r>
      <w:r w:rsidRPr="00583E1A">
        <w:tab/>
        <w:t>the issue of the new security is related to the discharge of your obligation under the rolled</w:t>
      </w:r>
      <w:r w:rsidR="00583E1A">
        <w:noBreakHyphen/>
      </w:r>
      <w:r w:rsidRPr="00583E1A">
        <w:t>over security in one of the following ways:</w:t>
      </w:r>
    </w:p>
    <w:p w:rsidR="00887330" w:rsidRPr="00583E1A" w:rsidRDefault="00887330" w:rsidP="00887330">
      <w:pPr>
        <w:pStyle w:val="paragraphsub"/>
      </w:pPr>
      <w:r w:rsidRPr="00583E1A">
        <w:lastRenderedPageBreak/>
        <w:tab/>
        <w:t>(i)</w:t>
      </w:r>
      <w:r w:rsidRPr="00583E1A">
        <w:tab/>
        <w:t>your obligation under the rolled</w:t>
      </w:r>
      <w:r w:rsidR="00583E1A">
        <w:noBreakHyphen/>
      </w:r>
      <w:r w:rsidRPr="00583E1A">
        <w:t xml:space="preserve">over security is wholly or partly </w:t>
      </w:r>
      <w:r w:rsidR="009E0AC5" w:rsidRPr="004C09C4">
        <w:t>set off</w:t>
      </w:r>
      <w:r w:rsidRPr="00583E1A">
        <w:t xml:space="preserve"> against your right to receive the </w:t>
      </w:r>
      <w:r w:rsidR="00583E1A" w:rsidRPr="00583E1A">
        <w:rPr>
          <w:position w:val="6"/>
          <w:sz w:val="16"/>
        </w:rPr>
        <w:t>*</w:t>
      </w:r>
      <w:r w:rsidRPr="00583E1A">
        <w:t>foreign currency issue price of the new security;</w:t>
      </w:r>
    </w:p>
    <w:p w:rsidR="00887330" w:rsidRPr="00583E1A" w:rsidRDefault="00887330" w:rsidP="00887330">
      <w:pPr>
        <w:pStyle w:val="paragraphsub"/>
      </w:pPr>
      <w:r w:rsidRPr="00583E1A">
        <w:tab/>
        <w:t>(ii)</w:t>
      </w:r>
      <w:r w:rsidRPr="00583E1A">
        <w:tab/>
        <w:t>your obligation under the rolled</w:t>
      </w:r>
      <w:r w:rsidR="00583E1A">
        <w:noBreakHyphen/>
      </w:r>
      <w:r w:rsidRPr="00583E1A">
        <w:t>over security is wholly or partly satisfied by the issue of the new security; and</w:t>
      </w:r>
    </w:p>
    <w:p w:rsidR="00887330" w:rsidRPr="00583E1A" w:rsidRDefault="00887330" w:rsidP="00887330">
      <w:pPr>
        <w:pStyle w:val="paragraph"/>
      </w:pPr>
      <w:r w:rsidRPr="00583E1A">
        <w:tab/>
        <w:t>(d)</w:t>
      </w:r>
      <w:r w:rsidRPr="00583E1A">
        <w:tab/>
        <w:t>you have made a choice for roll</w:t>
      </w:r>
      <w:r w:rsidR="00583E1A">
        <w:noBreakHyphen/>
      </w:r>
      <w:r w:rsidRPr="00583E1A">
        <w:t>over relief for the agreement, and that choice is in effect; and</w:t>
      </w:r>
    </w:p>
    <w:p w:rsidR="00887330" w:rsidRPr="00583E1A" w:rsidRDefault="00887330" w:rsidP="00887330">
      <w:pPr>
        <w:pStyle w:val="paragraph"/>
      </w:pPr>
      <w:r w:rsidRPr="00583E1A">
        <w:tab/>
        <w:t>(e)</w:t>
      </w:r>
      <w:r w:rsidRPr="00583E1A">
        <w:tab/>
        <w:t>the new security is issued on or after the applicable commencement date; and</w:t>
      </w:r>
    </w:p>
    <w:p w:rsidR="00887330" w:rsidRPr="00583E1A" w:rsidRDefault="00887330" w:rsidP="00887330">
      <w:pPr>
        <w:pStyle w:val="paragraph"/>
      </w:pPr>
      <w:r w:rsidRPr="00583E1A">
        <w:tab/>
        <w:t>(f)</w:t>
      </w:r>
      <w:r w:rsidRPr="00583E1A">
        <w:tab/>
        <w:t>if you have not made an election under section</w:t>
      </w:r>
      <w:r w:rsidR="00583E1A">
        <w:t> </w:t>
      </w:r>
      <w:r w:rsidRPr="00583E1A">
        <w:t>775</w:t>
      </w:r>
      <w:r w:rsidR="00583E1A">
        <w:noBreakHyphen/>
      </w:r>
      <w:r w:rsidRPr="00583E1A">
        <w:t>150—the rolled</w:t>
      </w:r>
      <w:r w:rsidR="00583E1A">
        <w:noBreakHyphen/>
      </w:r>
      <w:r w:rsidRPr="00583E1A">
        <w:t>over security is issued on or after the applicable commencement date.</w:t>
      </w:r>
    </w:p>
    <w:p w:rsidR="00887330" w:rsidRPr="00583E1A" w:rsidRDefault="00887330" w:rsidP="00887330">
      <w:pPr>
        <w:pStyle w:val="notetext"/>
      </w:pPr>
      <w:r w:rsidRPr="00583E1A">
        <w:t>Note:</w:t>
      </w:r>
      <w:r w:rsidRPr="00583E1A">
        <w:tab/>
        <w:t xml:space="preserve">For </w:t>
      </w:r>
      <w:r w:rsidRPr="00583E1A">
        <w:rPr>
          <w:b/>
          <w:i/>
        </w:rPr>
        <w:t>applicable commencement date</w:t>
      </w:r>
      <w:r w:rsidRPr="00583E1A">
        <w:t>, see section</w:t>
      </w:r>
      <w:r w:rsidR="00583E1A">
        <w:t> </w:t>
      </w:r>
      <w:r w:rsidRPr="00583E1A">
        <w:t>775</w:t>
      </w:r>
      <w:r w:rsidR="00583E1A">
        <w:noBreakHyphen/>
      </w:r>
      <w:r w:rsidRPr="00583E1A">
        <w:t>155.</w:t>
      </w:r>
    </w:p>
    <w:p w:rsidR="00887330" w:rsidRPr="00583E1A" w:rsidRDefault="00887330" w:rsidP="00887330">
      <w:pPr>
        <w:pStyle w:val="ActHead5"/>
      </w:pPr>
      <w:bookmarkStart w:id="110" w:name="_Toc338939184"/>
      <w:r w:rsidRPr="00583E1A">
        <w:rPr>
          <w:rStyle w:val="CharSectno"/>
        </w:rPr>
        <w:t>775</w:t>
      </w:r>
      <w:r w:rsidR="00583E1A">
        <w:rPr>
          <w:rStyle w:val="CharSectno"/>
        </w:rPr>
        <w:noBreakHyphen/>
      </w:r>
      <w:r w:rsidRPr="00583E1A">
        <w:rPr>
          <w:rStyle w:val="CharSectno"/>
        </w:rPr>
        <w:t>210</w:t>
      </w:r>
      <w:r w:rsidRPr="00583E1A">
        <w:t xml:space="preserve">  Notional loan</w:t>
      </w:r>
      <w:bookmarkEnd w:id="110"/>
    </w:p>
    <w:p w:rsidR="00887330" w:rsidRPr="00583E1A" w:rsidRDefault="00887330" w:rsidP="00887330">
      <w:pPr>
        <w:pStyle w:val="subsection"/>
      </w:pPr>
      <w:r w:rsidRPr="00583E1A">
        <w:tab/>
        <w:t>(1)</w:t>
      </w:r>
      <w:r w:rsidRPr="00583E1A">
        <w:tab/>
        <w:t>The rules in this section have effect only for the purposes of this Subdivision.</w:t>
      </w:r>
    </w:p>
    <w:p w:rsidR="00887330" w:rsidRPr="00583E1A" w:rsidRDefault="00887330" w:rsidP="00887330">
      <w:pPr>
        <w:pStyle w:val="SubsectionHead"/>
      </w:pPr>
      <w:r w:rsidRPr="00583E1A">
        <w:t>Notional loan</w:t>
      </w:r>
    </w:p>
    <w:p w:rsidR="00887330" w:rsidRPr="00583E1A" w:rsidRDefault="00887330" w:rsidP="00887330">
      <w:pPr>
        <w:pStyle w:val="subsection"/>
      </w:pPr>
      <w:r w:rsidRPr="00583E1A">
        <w:tab/>
        <w:t>(2)</w:t>
      </w:r>
      <w:r w:rsidRPr="00583E1A">
        <w:tab/>
        <w:t xml:space="preserve">If you issue an </w:t>
      </w:r>
      <w:r w:rsidR="00583E1A" w:rsidRPr="00583E1A">
        <w:rPr>
          <w:position w:val="6"/>
          <w:sz w:val="16"/>
        </w:rPr>
        <w:t>*</w:t>
      </w:r>
      <w:r w:rsidRPr="00583E1A">
        <w:t xml:space="preserve">eligible security under a </w:t>
      </w:r>
      <w:r w:rsidR="00583E1A" w:rsidRPr="00583E1A">
        <w:rPr>
          <w:position w:val="6"/>
          <w:sz w:val="16"/>
        </w:rPr>
        <w:t>*</w:t>
      </w:r>
      <w:r w:rsidRPr="00583E1A">
        <w:t>facility agreement otherwise than as a result of a roll</w:t>
      </w:r>
      <w:r w:rsidR="00583E1A">
        <w:noBreakHyphen/>
      </w:r>
      <w:r w:rsidRPr="00583E1A">
        <w:t xml:space="preserve">over, you are taken to have been given a loan (the </w:t>
      </w:r>
      <w:r w:rsidRPr="00583E1A">
        <w:rPr>
          <w:b/>
          <w:i/>
        </w:rPr>
        <w:t>notional loan</w:t>
      </w:r>
      <w:r w:rsidRPr="00583E1A">
        <w:t>):</w:t>
      </w:r>
    </w:p>
    <w:p w:rsidR="00887330" w:rsidRPr="00583E1A" w:rsidRDefault="00887330" w:rsidP="00887330">
      <w:pPr>
        <w:pStyle w:val="paragraph"/>
      </w:pPr>
      <w:r w:rsidRPr="00583E1A">
        <w:tab/>
        <w:t>(a)</w:t>
      </w:r>
      <w:r w:rsidRPr="00583E1A">
        <w:tab/>
        <w:t xml:space="preserve">of a </w:t>
      </w:r>
      <w:r w:rsidR="00583E1A" w:rsidRPr="00583E1A">
        <w:rPr>
          <w:position w:val="6"/>
          <w:sz w:val="16"/>
        </w:rPr>
        <w:t>*</w:t>
      </w:r>
      <w:r w:rsidRPr="00583E1A">
        <w:t>foreign currency principal amount equal to the foreign currency face value of the security; and</w:t>
      </w:r>
    </w:p>
    <w:p w:rsidR="00887330" w:rsidRPr="00583E1A" w:rsidRDefault="00887330" w:rsidP="00887330">
      <w:pPr>
        <w:pStyle w:val="paragraph"/>
      </w:pPr>
      <w:r w:rsidRPr="00583E1A">
        <w:tab/>
        <w:t>(b)</w:t>
      </w:r>
      <w:r w:rsidRPr="00583E1A">
        <w:tab/>
        <w:t>for a period equal to the term of the security; and</w:t>
      </w:r>
    </w:p>
    <w:p w:rsidR="00887330" w:rsidRPr="00583E1A" w:rsidRDefault="00887330" w:rsidP="00887330">
      <w:pPr>
        <w:pStyle w:val="paragraph"/>
      </w:pPr>
      <w:r w:rsidRPr="00583E1A">
        <w:tab/>
        <w:t>(c)</w:t>
      </w:r>
      <w:r w:rsidRPr="00583E1A">
        <w:tab/>
        <w:t>that is taken to be attached to the security; and</w:t>
      </w:r>
    </w:p>
    <w:p w:rsidR="00887330" w:rsidRPr="00583E1A" w:rsidRDefault="00887330" w:rsidP="00887330">
      <w:pPr>
        <w:pStyle w:val="paragraph"/>
      </w:pPr>
      <w:r w:rsidRPr="00583E1A">
        <w:tab/>
        <w:t>(d)</w:t>
      </w:r>
      <w:r w:rsidRPr="00583E1A">
        <w:tab/>
        <w:t xml:space="preserve">the </w:t>
      </w:r>
      <w:r w:rsidRPr="00583E1A">
        <w:rPr>
          <w:b/>
          <w:i/>
        </w:rPr>
        <w:t>start time</w:t>
      </w:r>
      <w:r w:rsidRPr="00583E1A">
        <w:t xml:space="preserve"> of which is the time when you issued the security.</w:t>
      </w:r>
    </w:p>
    <w:p w:rsidR="00887330" w:rsidRPr="00583E1A" w:rsidRDefault="00887330" w:rsidP="00887330">
      <w:pPr>
        <w:pStyle w:val="notetext"/>
      </w:pPr>
      <w:r w:rsidRPr="00583E1A">
        <w:t>Note 1:</w:t>
      </w:r>
      <w:r w:rsidRPr="00583E1A">
        <w:tab/>
        <w:t>The period of the notional loan may be extended as the result of a later roll</w:t>
      </w:r>
      <w:r w:rsidR="00583E1A">
        <w:noBreakHyphen/>
      </w:r>
      <w:r w:rsidRPr="00583E1A">
        <w:t xml:space="preserve">over—see </w:t>
      </w:r>
      <w:r w:rsidR="00583E1A">
        <w:t>subsection (</w:t>
      </w:r>
      <w:r w:rsidRPr="00583E1A">
        <w:t>3).</w:t>
      </w:r>
    </w:p>
    <w:p w:rsidR="00887330" w:rsidRPr="00583E1A" w:rsidRDefault="00887330" w:rsidP="00887330">
      <w:pPr>
        <w:pStyle w:val="notetext"/>
      </w:pPr>
      <w:r w:rsidRPr="00583E1A">
        <w:t>Note 2:</w:t>
      </w:r>
      <w:r w:rsidRPr="00583E1A">
        <w:tab/>
        <w:t>The notional loan may become attached to a later security as the result of a roll</w:t>
      </w:r>
      <w:r w:rsidR="00583E1A">
        <w:noBreakHyphen/>
      </w:r>
      <w:r w:rsidRPr="00583E1A">
        <w:t xml:space="preserve">over—see </w:t>
      </w:r>
      <w:r w:rsidR="00583E1A">
        <w:t>subsection (</w:t>
      </w:r>
      <w:r w:rsidRPr="00583E1A">
        <w:t>3).</w:t>
      </w:r>
    </w:p>
    <w:p w:rsidR="00887330" w:rsidRPr="00583E1A" w:rsidRDefault="00887330" w:rsidP="00887330">
      <w:pPr>
        <w:pStyle w:val="notetext"/>
      </w:pPr>
      <w:r w:rsidRPr="00583E1A">
        <w:t>Note 3:</w:t>
      </w:r>
      <w:r w:rsidRPr="00583E1A">
        <w:tab/>
        <w:t>The foreign currency principal amount of the notional loan may remain the same, or may fall (but not rise), as a result of a later roll</w:t>
      </w:r>
      <w:r w:rsidR="00583E1A">
        <w:noBreakHyphen/>
      </w:r>
      <w:r w:rsidRPr="00583E1A">
        <w:t xml:space="preserve">over—see </w:t>
      </w:r>
      <w:r w:rsidR="00583E1A">
        <w:t>subsection (</w:t>
      </w:r>
      <w:r w:rsidRPr="00583E1A">
        <w:t>3).</w:t>
      </w:r>
    </w:p>
    <w:p w:rsidR="00887330" w:rsidRPr="00583E1A" w:rsidRDefault="00887330" w:rsidP="00076096">
      <w:pPr>
        <w:pStyle w:val="notetext"/>
        <w:keepNext/>
        <w:keepLines/>
      </w:pPr>
      <w:r w:rsidRPr="00583E1A">
        <w:lastRenderedPageBreak/>
        <w:t>Note 4:</w:t>
      </w:r>
      <w:r w:rsidRPr="00583E1A">
        <w:tab/>
        <w:t>If, at a later time, the security is rolled</w:t>
      </w:r>
      <w:r w:rsidR="00583E1A">
        <w:noBreakHyphen/>
      </w:r>
      <w:r w:rsidRPr="00583E1A">
        <w:t>over, and the foreign currency face value of the new security exceeds the foreign currency face value of the rolled</w:t>
      </w:r>
      <w:r w:rsidR="00583E1A">
        <w:noBreakHyphen/>
      </w:r>
      <w:r w:rsidRPr="00583E1A">
        <w:t xml:space="preserve">over security, you are taken to have been given an additional notional loan of a foreign currency principal amount equal to the excess—see </w:t>
      </w:r>
      <w:r w:rsidR="00583E1A">
        <w:t>subsection (</w:t>
      </w:r>
      <w:r w:rsidRPr="00583E1A">
        <w:t>3).</w:t>
      </w:r>
    </w:p>
    <w:p w:rsidR="00887330" w:rsidRPr="00583E1A" w:rsidRDefault="00887330" w:rsidP="00887330">
      <w:pPr>
        <w:pStyle w:val="SubsectionHead"/>
      </w:pPr>
      <w:r w:rsidRPr="00583E1A">
        <w:t>Effect of roll</w:t>
      </w:r>
      <w:r w:rsidR="00583E1A">
        <w:noBreakHyphen/>
      </w:r>
      <w:r w:rsidRPr="00583E1A">
        <w:t>over</w:t>
      </w:r>
    </w:p>
    <w:p w:rsidR="00887330" w:rsidRPr="00583E1A" w:rsidRDefault="00887330" w:rsidP="00887330">
      <w:pPr>
        <w:pStyle w:val="subsection"/>
      </w:pPr>
      <w:r w:rsidRPr="00583E1A">
        <w:tab/>
        <w:t>(3)</w:t>
      </w:r>
      <w:r w:rsidRPr="00583E1A">
        <w:tab/>
        <w:t xml:space="preserve">The table has effect if an </w:t>
      </w:r>
      <w:r w:rsidR="00583E1A" w:rsidRPr="00583E1A">
        <w:rPr>
          <w:position w:val="6"/>
          <w:sz w:val="16"/>
        </w:rPr>
        <w:t>*</w:t>
      </w:r>
      <w:r w:rsidRPr="00583E1A">
        <w:t>eligible security is rolled</w:t>
      </w:r>
      <w:r w:rsidR="00583E1A">
        <w:noBreakHyphen/>
      </w:r>
      <w:r w:rsidRPr="00583E1A">
        <w:t xml:space="preserve">over under a </w:t>
      </w:r>
      <w:r w:rsidR="00583E1A" w:rsidRPr="00583E1A">
        <w:rPr>
          <w:position w:val="6"/>
          <w:sz w:val="16"/>
        </w:rPr>
        <w:t>*</w:t>
      </w:r>
      <w:r w:rsidRPr="00583E1A">
        <w:t>facility agreement:</w:t>
      </w:r>
    </w:p>
    <w:p w:rsidR="00887330" w:rsidRPr="00583E1A" w:rsidRDefault="00887330" w:rsidP="00887330">
      <w:pPr>
        <w:pStyle w:val="Tabletext"/>
      </w:pPr>
    </w:p>
    <w:tbl>
      <w:tblPr>
        <w:tblW w:w="0" w:type="auto"/>
        <w:tblInd w:w="108" w:type="dxa"/>
        <w:tblLayout w:type="fixed"/>
        <w:tblLook w:val="0000" w:firstRow="0" w:lastRow="0" w:firstColumn="0" w:lastColumn="0" w:noHBand="0" w:noVBand="0"/>
      </w:tblPr>
      <w:tblGrid>
        <w:gridCol w:w="709"/>
        <w:gridCol w:w="2552"/>
        <w:gridCol w:w="3685"/>
      </w:tblGrid>
      <w:tr w:rsidR="00887330" w:rsidRPr="00583E1A">
        <w:trPr>
          <w:cantSplit/>
          <w:tblHeader/>
        </w:trPr>
        <w:tc>
          <w:tcPr>
            <w:tcW w:w="6946" w:type="dxa"/>
            <w:gridSpan w:val="3"/>
            <w:tcBorders>
              <w:top w:val="single" w:sz="12" w:space="0" w:color="auto"/>
              <w:bottom w:val="single" w:sz="6" w:space="0" w:color="auto"/>
            </w:tcBorders>
            <w:shd w:val="clear" w:color="auto" w:fill="auto"/>
          </w:tcPr>
          <w:p w:rsidR="00887330" w:rsidRPr="00583E1A" w:rsidRDefault="00887330" w:rsidP="00887330">
            <w:pPr>
              <w:pStyle w:val="Tabletext"/>
              <w:keepNext/>
              <w:rPr>
                <w:b/>
              </w:rPr>
            </w:pPr>
            <w:r w:rsidRPr="00583E1A">
              <w:rPr>
                <w:b/>
              </w:rPr>
              <w:t>Roll</w:t>
            </w:r>
            <w:r w:rsidR="00583E1A">
              <w:rPr>
                <w:b/>
              </w:rPr>
              <w:noBreakHyphen/>
            </w:r>
            <w:r w:rsidRPr="00583E1A">
              <w:rPr>
                <w:b/>
              </w:rPr>
              <w:t>over of eligible security</w:t>
            </w:r>
          </w:p>
        </w:tc>
      </w:tr>
      <w:tr w:rsidR="00887330" w:rsidRPr="00583E1A">
        <w:trPr>
          <w:cantSplit/>
          <w:tblHeader/>
        </w:trPr>
        <w:tc>
          <w:tcPr>
            <w:tcW w:w="709" w:type="dxa"/>
            <w:tcBorders>
              <w:top w:val="single" w:sz="6" w:space="0" w:color="auto"/>
              <w:bottom w:val="single" w:sz="12" w:space="0" w:color="auto"/>
            </w:tcBorders>
            <w:shd w:val="clear" w:color="auto" w:fill="auto"/>
          </w:tcPr>
          <w:p w:rsidR="00887330" w:rsidRPr="00583E1A" w:rsidRDefault="00887330" w:rsidP="00887330">
            <w:pPr>
              <w:pStyle w:val="Tabletext"/>
              <w:keepNext/>
              <w:rPr>
                <w:b/>
              </w:rPr>
            </w:pPr>
            <w:r w:rsidRPr="00583E1A">
              <w:rPr>
                <w:b/>
              </w:rPr>
              <w:t>Item</w:t>
            </w:r>
          </w:p>
        </w:tc>
        <w:tc>
          <w:tcPr>
            <w:tcW w:w="2552" w:type="dxa"/>
            <w:tcBorders>
              <w:top w:val="single" w:sz="6" w:space="0" w:color="auto"/>
              <w:bottom w:val="single" w:sz="12" w:space="0" w:color="auto"/>
            </w:tcBorders>
            <w:shd w:val="clear" w:color="auto" w:fill="auto"/>
          </w:tcPr>
          <w:p w:rsidR="00887330" w:rsidRPr="00583E1A" w:rsidRDefault="00887330" w:rsidP="00887330">
            <w:pPr>
              <w:pStyle w:val="Tabletext"/>
              <w:keepNext/>
              <w:rPr>
                <w:b/>
              </w:rPr>
            </w:pPr>
            <w:r w:rsidRPr="00583E1A">
              <w:rPr>
                <w:b/>
              </w:rPr>
              <w:t>If the foreign currency face value of the new security...</w:t>
            </w:r>
          </w:p>
        </w:tc>
        <w:tc>
          <w:tcPr>
            <w:tcW w:w="3685" w:type="dxa"/>
            <w:tcBorders>
              <w:top w:val="single" w:sz="6" w:space="0" w:color="auto"/>
              <w:bottom w:val="single" w:sz="12" w:space="0" w:color="auto"/>
            </w:tcBorders>
            <w:shd w:val="clear" w:color="auto" w:fill="auto"/>
          </w:tcPr>
          <w:p w:rsidR="00887330" w:rsidRPr="00583E1A" w:rsidRDefault="00887330" w:rsidP="00887330">
            <w:pPr>
              <w:pStyle w:val="Tabletext"/>
              <w:keepNext/>
              <w:rPr>
                <w:b/>
              </w:rPr>
            </w:pPr>
            <w:r w:rsidRPr="00583E1A">
              <w:rPr>
                <w:b/>
              </w:rPr>
              <w:t>this is the result...</w:t>
            </w:r>
          </w:p>
        </w:tc>
      </w:tr>
      <w:tr w:rsidR="00887330" w:rsidRPr="00583E1A">
        <w:trPr>
          <w:cantSplit/>
        </w:trPr>
        <w:tc>
          <w:tcPr>
            <w:tcW w:w="709" w:type="dxa"/>
            <w:tcBorders>
              <w:top w:val="single" w:sz="12" w:space="0" w:color="auto"/>
              <w:bottom w:val="single" w:sz="2" w:space="0" w:color="auto"/>
            </w:tcBorders>
            <w:shd w:val="clear" w:color="auto" w:fill="auto"/>
          </w:tcPr>
          <w:p w:rsidR="00887330" w:rsidRPr="00583E1A" w:rsidRDefault="00887330" w:rsidP="00887330">
            <w:pPr>
              <w:pStyle w:val="Tabletext"/>
            </w:pPr>
            <w:r w:rsidRPr="00583E1A">
              <w:t>1</w:t>
            </w:r>
          </w:p>
        </w:tc>
        <w:tc>
          <w:tcPr>
            <w:tcW w:w="2552" w:type="dxa"/>
            <w:tcBorders>
              <w:top w:val="single" w:sz="12" w:space="0" w:color="auto"/>
              <w:bottom w:val="single" w:sz="2" w:space="0" w:color="auto"/>
            </w:tcBorders>
            <w:shd w:val="clear" w:color="auto" w:fill="auto"/>
          </w:tcPr>
          <w:p w:rsidR="00887330" w:rsidRPr="00583E1A" w:rsidRDefault="00887330" w:rsidP="00887330">
            <w:pPr>
              <w:pStyle w:val="Tabletext"/>
            </w:pPr>
            <w:r w:rsidRPr="00583E1A">
              <w:t xml:space="preserve">equals the </w:t>
            </w:r>
            <w:r w:rsidR="00583E1A" w:rsidRPr="00583E1A">
              <w:rPr>
                <w:position w:val="6"/>
                <w:sz w:val="16"/>
              </w:rPr>
              <w:t>*</w:t>
            </w:r>
            <w:r w:rsidRPr="00583E1A">
              <w:t>foreign currency face value of the rolled</w:t>
            </w:r>
            <w:r w:rsidR="00583E1A">
              <w:noBreakHyphen/>
            </w:r>
            <w:r w:rsidRPr="00583E1A">
              <w:t>over security</w:t>
            </w:r>
          </w:p>
        </w:tc>
        <w:tc>
          <w:tcPr>
            <w:tcW w:w="3685" w:type="dxa"/>
            <w:tcBorders>
              <w:top w:val="single" w:sz="12" w:space="0" w:color="auto"/>
              <w:bottom w:val="single" w:sz="2" w:space="0" w:color="auto"/>
            </w:tcBorders>
            <w:shd w:val="clear" w:color="auto" w:fill="auto"/>
          </w:tcPr>
          <w:p w:rsidR="00887330" w:rsidRPr="00583E1A" w:rsidRDefault="00887330" w:rsidP="00887330">
            <w:pPr>
              <w:pStyle w:val="Tablea"/>
            </w:pPr>
            <w:r w:rsidRPr="00583E1A">
              <w:t>(a) the period of each notional loan attached to the rolled</w:t>
            </w:r>
            <w:r w:rsidR="00583E1A">
              <w:noBreakHyphen/>
            </w:r>
            <w:r w:rsidRPr="00583E1A">
              <w:t>over security is extended by the term of the new security; and</w:t>
            </w:r>
          </w:p>
          <w:p w:rsidR="00887330" w:rsidRPr="00583E1A" w:rsidRDefault="00887330" w:rsidP="00887330">
            <w:pPr>
              <w:pStyle w:val="Tablea"/>
            </w:pPr>
            <w:r w:rsidRPr="00583E1A">
              <w:t>(b) each notional loan attached to the rolled</w:t>
            </w:r>
            <w:r w:rsidR="00583E1A">
              <w:noBreakHyphen/>
            </w:r>
            <w:r w:rsidRPr="00583E1A">
              <w:t>over security is taken to be attached to the new security.</w:t>
            </w:r>
          </w:p>
        </w:tc>
      </w:tr>
      <w:tr w:rsidR="00887330" w:rsidRPr="00583E1A">
        <w:trPr>
          <w:cantSplit/>
        </w:trPr>
        <w:tc>
          <w:tcPr>
            <w:tcW w:w="709" w:type="dxa"/>
            <w:tcBorders>
              <w:top w:val="single" w:sz="2" w:space="0" w:color="auto"/>
              <w:bottom w:val="single" w:sz="2" w:space="0" w:color="auto"/>
            </w:tcBorders>
            <w:shd w:val="clear" w:color="auto" w:fill="auto"/>
          </w:tcPr>
          <w:p w:rsidR="00887330" w:rsidRPr="00583E1A" w:rsidRDefault="00887330" w:rsidP="00887330">
            <w:pPr>
              <w:pStyle w:val="Tabletext"/>
            </w:pPr>
            <w:r w:rsidRPr="00583E1A">
              <w:t>2</w:t>
            </w:r>
          </w:p>
        </w:tc>
        <w:tc>
          <w:tcPr>
            <w:tcW w:w="2552" w:type="dxa"/>
            <w:tcBorders>
              <w:top w:val="single" w:sz="2" w:space="0" w:color="auto"/>
              <w:bottom w:val="single" w:sz="2" w:space="0" w:color="auto"/>
            </w:tcBorders>
            <w:shd w:val="clear" w:color="auto" w:fill="auto"/>
          </w:tcPr>
          <w:p w:rsidR="00887330" w:rsidRPr="00583E1A" w:rsidRDefault="00887330" w:rsidP="00887330">
            <w:pPr>
              <w:pStyle w:val="Tabletext"/>
            </w:pPr>
            <w:r w:rsidRPr="00583E1A">
              <w:t xml:space="preserve">exceeds the </w:t>
            </w:r>
            <w:r w:rsidR="00583E1A" w:rsidRPr="00583E1A">
              <w:rPr>
                <w:position w:val="6"/>
                <w:sz w:val="16"/>
              </w:rPr>
              <w:t>*</w:t>
            </w:r>
            <w:r w:rsidRPr="00583E1A">
              <w:t>foreign currency face value of the rolled</w:t>
            </w:r>
            <w:r w:rsidR="00583E1A">
              <w:noBreakHyphen/>
            </w:r>
            <w:r w:rsidRPr="00583E1A">
              <w:t>over security</w:t>
            </w:r>
          </w:p>
        </w:tc>
        <w:tc>
          <w:tcPr>
            <w:tcW w:w="3685" w:type="dxa"/>
            <w:tcBorders>
              <w:top w:val="single" w:sz="2" w:space="0" w:color="auto"/>
              <w:bottom w:val="single" w:sz="2" w:space="0" w:color="auto"/>
            </w:tcBorders>
            <w:shd w:val="clear" w:color="auto" w:fill="auto"/>
          </w:tcPr>
          <w:p w:rsidR="00887330" w:rsidRPr="00583E1A" w:rsidRDefault="00887330" w:rsidP="00887330">
            <w:pPr>
              <w:pStyle w:val="Tablea"/>
            </w:pPr>
            <w:r w:rsidRPr="00583E1A">
              <w:t>(a) you are taken to have been given an additional notional loan:</w:t>
            </w:r>
          </w:p>
          <w:p w:rsidR="00887330" w:rsidRPr="00583E1A" w:rsidRDefault="00887330" w:rsidP="00887330">
            <w:pPr>
              <w:pStyle w:val="Tablei"/>
            </w:pPr>
            <w:r w:rsidRPr="00583E1A">
              <w:t>(i) of a foreign currency principal amount equal to the excess; and</w:t>
            </w:r>
          </w:p>
          <w:p w:rsidR="00887330" w:rsidRPr="00583E1A" w:rsidRDefault="00887330" w:rsidP="00887330">
            <w:pPr>
              <w:pStyle w:val="Tablei"/>
            </w:pPr>
            <w:r w:rsidRPr="00583E1A">
              <w:t>(ii) for a period equal to the term of the new security; and</w:t>
            </w:r>
          </w:p>
          <w:p w:rsidR="00887330" w:rsidRPr="00583E1A" w:rsidRDefault="00887330" w:rsidP="00887330">
            <w:pPr>
              <w:pStyle w:val="Tablei"/>
            </w:pPr>
            <w:r w:rsidRPr="00583E1A">
              <w:t>(iii) that is taken to be attached to the new security; and</w:t>
            </w:r>
          </w:p>
          <w:p w:rsidR="00887330" w:rsidRPr="00583E1A" w:rsidRDefault="00887330" w:rsidP="00887330">
            <w:pPr>
              <w:pStyle w:val="Tablei"/>
            </w:pPr>
            <w:r w:rsidRPr="00583E1A">
              <w:t>(iv) the start time of which is the time when you issued the new security; and</w:t>
            </w:r>
          </w:p>
          <w:p w:rsidR="00887330" w:rsidRPr="00583E1A" w:rsidRDefault="00887330" w:rsidP="00887330">
            <w:pPr>
              <w:pStyle w:val="Tablea"/>
            </w:pPr>
            <w:r w:rsidRPr="00583E1A">
              <w:t>(b) the period of each notional loan attached to the rolled</w:t>
            </w:r>
            <w:r w:rsidR="00583E1A">
              <w:noBreakHyphen/>
            </w:r>
            <w:r w:rsidRPr="00583E1A">
              <w:t>over security is extended by the term of the new security; and</w:t>
            </w:r>
          </w:p>
          <w:p w:rsidR="00887330" w:rsidRPr="00583E1A" w:rsidRDefault="00887330" w:rsidP="00887330">
            <w:pPr>
              <w:pStyle w:val="Tablea"/>
            </w:pPr>
            <w:r w:rsidRPr="00583E1A">
              <w:t>(c) each notional loan attached to the rolled</w:t>
            </w:r>
            <w:r w:rsidR="00583E1A">
              <w:noBreakHyphen/>
            </w:r>
            <w:r w:rsidRPr="00583E1A">
              <w:t>over security is taken to be attached to the new security.</w:t>
            </w:r>
          </w:p>
        </w:tc>
      </w:tr>
      <w:tr w:rsidR="00887330" w:rsidRPr="00583E1A">
        <w:trPr>
          <w:cantSplit/>
        </w:trPr>
        <w:tc>
          <w:tcPr>
            <w:tcW w:w="709" w:type="dxa"/>
            <w:tcBorders>
              <w:top w:val="single" w:sz="2" w:space="0" w:color="auto"/>
              <w:bottom w:val="single" w:sz="2" w:space="0" w:color="auto"/>
            </w:tcBorders>
            <w:shd w:val="clear" w:color="auto" w:fill="auto"/>
          </w:tcPr>
          <w:p w:rsidR="00887330" w:rsidRPr="00583E1A" w:rsidRDefault="00887330" w:rsidP="00887330">
            <w:pPr>
              <w:pStyle w:val="Tabletext"/>
            </w:pPr>
            <w:r w:rsidRPr="00583E1A">
              <w:lastRenderedPageBreak/>
              <w:t>3</w:t>
            </w:r>
          </w:p>
        </w:tc>
        <w:tc>
          <w:tcPr>
            <w:tcW w:w="2552" w:type="dxa"/>
            <w:tcBorders>
              <w:top w:val="single" w:sz="2" w:space="0" w:color="auto"/>
              <w:bottom w:val="single" w:sz="2" w:space="0" w:color="auto"/>
            </w:tcBorders>
            <w:shd w:val="clear" w:color="auto" w:fill="auto"/>
          </w:tcPr>
          <w:p w:rsidR="00887330" w:rsidRPr="00583E1A" w:rsidRDefault="00887330" w:rsidP="00887330">
            <w:pPr>
              <w:pStyle w:val="Tabletext"/>
            </w:pPr>
            <w:r w:rsidRPr="00583E1A">
              <w:t xml:space="preserve">falls short of the </w:t>
            </w:r>
            <w:r w:rsidR="00583E1A" w:rsidRPr="00583E1A">
              <w:rPr>
                <w:position w:val="6"/>
                <w:sz w:val="16"/>
              </w:rPr>
              <w:t>*</w:t>
            </w:r>
            <w:r w:rsidRPr="00583E1A">
              <w:t>foreign currency face value of the rolled</w:t>
            </w:r>
            <w:r w:rsidR="00583E1A">
              <w:noBreakHyphen/>
            </w:r>
            <w:r w:rsidRPr="00583E1A">
              <w:t>over security, and there is only one notional loan attached to the rolled</w:t>
            </w:r>
            <w:r w:rsidR="00583E1A">
              <w:noBreakHyphen/>
            </w:r>
            <w:r w:rsidRPr="00583E1A">
              <w:t>over security</w:t>
            </w:r>
          </w:p>
        </w:tc>
        <w:tc>
          <w:tcPr>
            <w:tcW w:w="3685" w:type="dxa"/>
            <w:tcBorders>
              <w:top w:val="single" w:sz="2" w:space="0" w:color="auto"/>
              <w:bottom w:val="single" w:sz="2" w:space="0" w:color="auto"/>
            </w:tcBorders>
            <w:shd w:val="clear" w:color="auto" w:fill="auto"/>
          </w:tcPr>
          <w:p w:rsidR="00887330" w:rsidRPr="00583E1A" w:rsidRDefault="00887330" w:rsidP="00887330">
            <w:pPr>
              <w:pStyle w:val="Tablea"/>
            </w:pPr>
            <w:r w:rsidRPr="00583E1A">
              <w:t>(a) you are taken to have paid a foreign currency amount equal to the shortfall in order to discharge so much of your obligation to pay the foreign currency principal amount of the notional loan as equals the shortfall; and</w:t>
            </w:r>
          </w:p>
          <w:p w:rsidR="00887330" w:rsidRPr="00583E1A" w:rsidRDefault="00887330" w:rsidP="00887330">
            <w:pPr>
              <w:pStyle w:val="Tablea"/>
            </w:pPr>
            <w:r w:rsidRPr="00583E1A">
              <w:t>(b) the period of the notional loan is extended by the term of the new security; and</w:t>
            </w:r>
          </w:p>
          <w:p w:rsidR="00887330" w:rsidRPr="00583E1A" w:rsidRDefault="00887330" w:rsidP="00887330">
            <w:pPr>
              <w:pStyle w:val="Tablea"/>
            </w:pPr>
            <w:r w:rsidRPr="00583E1A">
              <w:t>(c) the notional loan is taken to be attached to the new security.</w:t>
            </w:r>
          </w:p>
        </w:tc>
      </w:tr>
      <w:tr w:rsidR="00887330" w:rsidRPr="00583E1A">
        <w:trPr>
          <w:cantSplit/>
        </w:trPr>
        <w:tc>
          <w:tcPr>
            <w:tcW w:w="709" w:type="dxa"/>
            <w:tcBorders>
              <w:top w:val="single" w:sz="2" w:space="0" w:color="auto"/>
              <w:bottom w:val="single" w:sz="12" w:space="0" w:color="auto"/>
            </w:tcBorders>
            <w:shd w:val="clear" w:color="auto" w:fill="auto"/>
          </w:tcPr>
          <w:p w:rsidR="00887330" w:rsidRPr="00583E1A" w:rsidRDefault="00887330" w:rsidP="00887330">
            <w:pPr>
              <w:pStyle w:val="Tabletext"/>
            </w:pPr>
            <w:r w:rsidRPr="00583E1A">
              <w:lastRenderedPageBreak/>
              <w:t>4</w:t>
            </w:r>
          </w:p>
        </w:tc>
        <w:tc>
          <w:tcPr>
            <w:tcW w:w="2552" w:type="dxa"/>
            <w:tcBorders>
              <w:top w:val="single" w:sz="2" w:space="0" w:color="auto"/>
              <w:bottom w:val="single" w:sz="12" w:space="0" w:color="auto"/>
            </w:tcBorders>
            <w:shd w:val="clear" w:color="auto" w:fill="auto"/>
          </w:tcPr>
          <w:p w:rsidR="00887330" w:rsidRPr="00583E1A" w:rsidRDefault="00887330" w:rsidP="00887330">
            <w:pPr>
              <w:pStyle w:val="Tabletext"/>
            </w:pPr>
            <w:r w:rsidRPr="00583E1A">
              <w:t xml:space="preserve">falls short of the </w:t>
            </w:r>
            <w:r w:rsidR="00583E1A" w:rsidRPr="00583E1A">
              <w:rPr>
                <w:position w:val="6"/>
                <w:sz w:val="16"/>
              </w:rPr>
              <w:t>*</w:t>
            </w:r>
            <w:r w:rsidRPr="00583E1A">
              <w:t>foreign currency face value of the rolled</w:t>
            </w:r>
            <w:r w:rsidR="00583E1A">
              <w:noBreakHyphen/>
            </w:r>
            <w:r w:rsidRPr="00583E1A">
              <w:t>over security, and there are 2 or more notional loans attached to the rolled</w:t>
            </w:r>
            <w:r w:rsidR="00583E1A">
              <w:noBreakHyphen/>
            </w:r>
            <w:r w:rsidRPr="00583E1A">
              <w:t>over security</w:t>
            </w:r>
          </w:p>
        </w:tc>
        <w:tc>
          <w:tcPr>
            <w:tcW w:w="3685" w:type="dxa"/>
            <w:tcBorders>
              <w:top w:val="single" w:sz="2" w:space="0" w:color="auto"/>
              <w:bottom w:val="single" w:sz="12" w:space="0" w:color="auto"/>
            </w:tcBorders>
            <w:shd w:val="clear" w:color="auto" w:fill="auto"/>
          </w:tcPr>
          <w:p w:rsidR="00887330" w:rsidRPr="00583E1A" w:rsidRDefault="00887330" w:rsidP="00887330">
            <w:pPr>
              <w:pStyle w:val="Tablea"/>
            </w:pPr>
            <w:r w:rsidRPr="00583E1A">
              <w:t>(a) you are taken to have paid a foreign currency amount equal to the shortfall in order to discharge your obligation to pay so much of the total foreign currency principal amounts of the notional loans as equals the shortfall, and to have done so on a first</w:t>
            </w:r>
            <w:r w:rsidR="00583E1A">
              <w:noBreakHyphen/>
            </w:r>
            <w:r w:rsidRPr="00583E1A">
              <w:t>in first</w:t>
            </w:r>
            <w:r w:rsidR="00583E1A">
              <w:noBreakHyphen/>
            </w:r>
            <w:r w:rsidRPr="00583E1A">
              <w:t>out basis, that is to say:</w:t>
            </w:r>
          </w:p>
          <w:p w:rsidR="00887330" w:rsidRPr="00583E1A" w:rsidRDefault="00887330" w:rsidP="00887330">
            <w:pPr>
              <w:pStyle w:val="Tablei"/>
            </w:pPr>
            <w:r w:rsidRPr="00583E1A">
              <w:t>(i) first, by fully or partly discharging (as the case requires) your obligation to pay the foreign currency principal amount of the notional loan with the earliest start date; and</w:t>
            </w:r>
          </w:p>
          <w:p w:rsidR="00887330" w:rsidRPr="00583E1A" w:rsidRDefault="00887330" w:rsidP="00887330">
            <w:pPr>
              <w:pStyle w:val="Tablei"/>
            </w:pPr>
            <w:r w:rsidRPr="00583E1A">
              <w:t>(ii) second, if your obligation to pay the foreign currency principal amount of the notional loan with the earliest start date is fully discharged—by fully or partly discharging (as the case requires) your obligation to pay the foreign currency principal amount of the notional loan with the next start date, and so on; and</w:t>
            </w:r>
          </w:p>
          <w:p w:rsidR="00887330" w:rsidRPr="00583E1A" w:rsidRDefault="00887330" w:rsidP="00887330">
            <w:pPr>
              <w:pStyle w:val="Tablea"/>
            </w:pPr>
            <w:r w:rsidRPr="00583E1A">
              <w:t>(b) the period of each notional loan attached to the rolled</w:t>
            </w:r>
            <w:r w:rsidR="00583E1A">
              <w:noBreakHyphen/>
            </w:r>
            <w:r w:rsidRPr="00583E1A">
              <w:t>over security that is not fully discharged is extended by the term of the new security; and</w:t>
            </w:r>
          </w:p>
          <w:p w:rsidR="00887330" w:rsidRPr="00583E1A" w:rsidRDefault="00887330" w:rsidP="00887330">
            <w:pPr>
              <w:pStyle w:val="Tablea"/>
            </w:pPr>
            <w:r w:rsidRPr="00583E1A">
              <w:t>(c) each notional loan attached to the rolled</w:t>
            </w:r>
            <w:r w:rsidR="00583E1A">
              <w:noBreakHyphen/>
            </w:r>
            <w:r w:rsidRPr="00583E1A">
              <w:t>over security that is not fully discharged is taken to be attached to the new security.</w:t>
            </w:r>
          </w:p>
        </w:tc>
      </w:tr>
    </w:tbl>
    <w:p w:rsidR="00887330" w:rsidRPr="00583E1A" w:rsidRDefault="00887330" w:rsidP="00421461">
      <w:pPr>
        <w:pStyle w:val="SubsectionHead"/>
      </w:pPr>
      <w:r w:rsidRPr="00583E1A">
        <w:lastRenderedPageBreak/>
        <w:t>Consequences if security is not rolled</w:t>
      </w:r>
      <w:r w:rsidR="00583E1A">
        <w:noBreakHyphen/>
      </w:r>
      <w:r w:rsidRPr="00583E1A">
        <w:t>over</w:t>
      </w:r>
    </w:p>
    <w:p w:rsidR="00887330" w:rsidRPr="00583E1A" w:rsidRDefault="00887330" w:rsidP="00421461">
      <w:pPr>
        <w:pStyle w:val="subsection"/>
        <w:keepNext/>
      </w:pPr>
      <w:r w:rsidRPr="00583E1A">
        <w:tab/>
        <w:t>(4)</w:t>
      </w:r>
      <w:r w:rsidRPr="00583E1A">
        <w:tab/>
        <w:t>If:</w:t>
      </w:r>
    </w:p>
    <w:p w:rsidR="00887330" w:rsidRPr="00583E1A" w:rsidRDefault="00887330" w:rsidP="00887330">
      <w:pPr>
        <w:pStyle w:val="paragraph"/>
      </w:pPr>
      <w:r w:rsidRPr="00583E1A">
        <w:tab/>
        <w:t>(a)</w:t>
      </w:r>
      <w:r w:rsidRPr="00583E1A">
        <w:tab/>
        <w:t xml:space="preserve">you discharge your obligation under an </w:t>
      </w:r>
      <w:r w:rsidR="00583E1A" w:rsidRPr="00583E1A">
        <w:rPr>
          <w:position w:val="6"/>
          <w:sz w:val="16"/>
        </w:rPr>
        <w:t>*</w:t>
      </w:r>
      <w:r w:rsidRPr="00583E1A">
        <w:t xml:space="preserve">eligible security issued under a </w:t>
      </w:r>
      <w:r w:rsidR="00583E1A" w:rsidRPr="00583E1A">
        <w:rPr>
          <w:position w:val="6"/>
          <w:sz w:val="16"/>
        </w:rPr>
        <w:t>*</w:t>
      </w:r>
      <w:r w:rsidRPr="00583E1A">
        <w:t>facility agreement; and</w:t>
      </w:r>
    </w:p>
    <w:p w:rsidR="00887330" w:rsidRPr="00583E1A" w:rsidRDefault="00887330" w:rsidP="00887330">
      <w:pPr>
        <w:pStyle w:val="paragraph"/>
      </w:pPr>
      <w:r w:rsidRPr="00583E1A">
        <w:tab/>
        <w:t>(b)</w:t>
      </w:r>
      <w:r w:rsidRPr="00583E1A">
        <w:tab/>
        <w:t>the security is not rolled</w:t>
      </w:r>
      <w:r w:rsidR="00583E1A">
        <w:noBreakHyphen/>
      </w:r>
      <w:r w:rsidRPr="00583E1A">
        <w:t>over at the time of discharge; and</w:t>
      </w:r>
    </w:p>
    <w:p w:rsidR="00887330" w:rsidRPr="00583E1A" w:rsidRDefault="00887330" w:rsidP="00887330">
      <w:pPr>
        <w:pStyle w:val="paragraph"/>
      </w:pPr>
      <w:r w:rsidRPr="00583E1A">
        <w:tab/>
        <w:t>(c)</w:t>
      </w:r>
      <w:r w:rsidRPr="00583E1A">
        <w:tab/>
        <w:t>you have made a choice for roll</w:t>
      </w:r>
      <w:r w:rsidR="00583E1A">
        <w:noBreakHyphen/>
      </w:r>
      <w:r w:rsidRPr="00583E1A">
        <w:t>over relief for the facility agreement, and that choice is in effect;</w:t>
      </w:r>
    </w:p>
    <w:p w:rsidR="00887330" w:rsidRPr="00583E1A" w:rsidRDefault="00887330" w:rsidP="00887330">
      <w:pPr>
        <w:pStyle w:val="subsection2"/>
      </w:pPr>
      <w:r w:rsidRPr="00583E1A">
        <w:t xml:space="preserve">then, for each notional loan attached to the security, you are taken to have paid a </w:t>
      </w:r>
      <w:r w:rsidR="00583E1A" w:rsidRPr="00583E1A">
        <w:rPr>
          <w:position w:val="6"/>
          <w:sz w:val="16"/>
        </w:rPr>
        <w:t>*</w:t>
      </w:r>
      <w:r w:rsidRPr="00583E1A">
        <w:t>foreign currency amount equal to the foreign currency principal amount of the notional loan in order to discharge your obligation to pay the foreign currency principal amount of the notional loan.</w:t>
      </w:r>
    </w:p>
    <w:p w:rsidR="00887330" w:rsidRPr="00583E1A" w:rsidRDefault="00887330" w:rsidP="00887330">
      <w:pPr>
        <w:pStyle w:val="SubsectionHead"/>
      </w:pPr>
      <w:r w:rsidRPr="00583E1A">
        <w:t>Foreign currency</w:t>
      </w:r>
    </w:p>
    <w:p w:rsidR="00887330" w:rsidRPr="00583E1A" w:rsidRDefault="00887330" w:rsidP="00887330">
      <w:pPr>
        <w:pStyle w:val="subsection"/>
      </w:pPr>
      <w:r w:rsidRPr="00583E1A">
        <w:tab/>
        <w:t>(5)</w:t>
      </w:r>
      <w:r w:rsidRPr="00583E1A">
        <w:tab/>
        <w:t xml:space="preserve">For the purposes of the application of this section to a particular </w:t>
      </w:r>
      <w:r w:rsidR="00583E1A" w:rsidRPr="00583E1A">
        <w:rPr>
          <w:position w:val="6"/>
          <w:sz w:val="16"/>
        </w:rPr>
        <w:t>*</w:t>
      </w:r>
      <w:r w:rsidRPr="00583E1A">
        <w:t xml:space="preserve">facility agreement that provides for the issue of </w:t>
      </w:r>
      <w:r w:rsidR="00583E1A" w:rsidRPr="00583E1A">
        <w:rPr>
          <w:position w:val="6"/>
          <w:sz w:val="16"/>
        </w:rPr>
        <w:t>*</w:t>
      </w:r>
      <w:r w:rsidRPr="00583E1A">
        <w:t xml:space="preserve">eligible securities, </w:t>
      </w:r>
      <w:r w:rsidRPr="00583E1A">
        <w:rPr>
          <w:b/>
          <w:i/>
        </w:rPr>
        <w:t>foreign currency</w:t>
      </w:r>
      <w:r w:rsidRPr="00583E1A">
        <w:t xml:space="preserve"> is the </w:t>
      </w:r>
      <w:r w:rsidR="00583E1A" w:rsidRPr="00583E1A">
        <w:rPr>
          <w:position w:val="6"/>
          <w:sz w:val="16"/>
        </w:rPr>
        <w:t>*</w:t>
      </w:r>
      <w:r w:rsidRPr="00583E1A">
        <w:t>foreign currency in which the securities are denominated.</w:t>
      </w:r>
    </w:p>
    <w:p w:rsidR="00887330" w:rsidRPr="00583E1A" w:rsidRDefault="00887330" w:rsidP="00887330">
      <w:pPr>
        <w:pStyle w:val="notetext"/>
      </w:pPr>
      <w:r w:rsidRPr="00583E1A">
        <w:t>Note:</w:t>
      </w:r>
      <w:r w:rsidRPr="00583E1A">
        <w:tab/>
        <w:t>Section</w:t>
      </w:r>
      <w:r w:rsidR="00583E1A">
        <w:t> </w:t>
      </w:r>
      <w:r w:rsidRPr="00583E1A">
        <w:t>960</w:t>
      </w:r>
      <w:r w:rsidR="00583E1A">
        <w:noBreakHyphen/>
      </w:r>
      <w:r w:rsidRPr="00583E1A">
        <w:t>50 (Australian currency translation rule) does not affect the operation of this section—see subsection 960</w:t>
      </w:r>
      <w:r w:rsidR="00583E1A">
        <w:noBreakHyphen/>
      </w:r>
      <w:r w:rsidRPr="00583E1A">
        <w:t>50(10). You translate to Australian currency when you apply section</w:t>
      </w:r>
      <w:r w:rsidR="00583E1A">
        <w:t> </w:t>
      </w:r>
      <w:r w:rsidRPr="00583E1A">
        <w:t>775</w:t>
      </w:r>
      <w:r w:rsidR="00583E1A">
        <w:noBreakHyphen/>
      </w:r>
      <w:r w:rsidRPr="00583E1A">
        <w:t>215 (forex realisation event 6).</w:t>
      </w:r>
    </w:p>
    <w:p w:rsidR="00887330" w:rsidRPr="00583E1A" w:rsidRDefault="00887330" w:rsidP="00887330">
      <w:pPr>
        <w:pStyle w:val="ActHead5"/>
      </w:pPr>
      <w:bookmarkStart w:id="111" w:name="_Toc338939185"/>
      <w:r w:rsidRPr="00583E1A">
        <w:rPr>
          <w:rStyle w:val="CharSectno"/>
        </w:rPr>
        <w:t>775</w:t>
      </w:r>
      <w:r w:rsidR="00583E1A">
        <w:rPr>
          <w:rStyle w:val="CharSectno"/>
        </w:rPr>
        <w:noBreakHyphen/>
      </w:r>
      <w:r w:rsidRPr="00583E1A">
        <w:rPr>
          <w:rStyle w:val="CharSectno"/>
        </w:rPr>
        <w:t>215</w:t>
      </w:r>
      <w:r w:rsidRPr="00583E1A">
        <w:t xml:space="preserve">  Discharge of obligation to pay the principal amount of a notional loan under a facility agreement—forex realisation event 6</w:t>
      </w:r>
      <w:bookmarkEnd w:id="111"/>
    </w:p>
    <w:p w:rsidR="00887330" w:rsidRPr="00583E1A" w:rsidRDefault="00887330" w:rsidP="00887330">
      <w:pPr>
        <w:pStyle w:val="SubsectionHead"/>
      </w:pPr>
      <w:r w:rsidRPr="00583E1A">
        <w:t>Forex realisation event 6</w:t>
      </w:r>
    </w:p>
    <w:p w:rsidR="00887330" w:rsidRPr="00583E1A" w:rsidRDefault="00887330" w:rsidP="00887330">
      <w:pPr>
        <w:pStyle w:val="subsection"/>
      </w:pPr>
      <w:r w:rsidRPr="00583E1A">
        <w:tab/>
        <w:t>(1)</w:t>
      </w:r>
      <w:r w:rsidRPr="00583E1A">
        <w:tab/>
      </w:r>
      <w:r w:rsidRPr="00583E1A">
        <w:rPr>
          <w:b/>
          <w:i/>
        </w:rPr>
        <w:t>Forex realisation event 6</w:t>
      </w:r>
      <w:r w:rsidRPr="00583E1A">
        <w:t xml:space="preserve"> happens if:</w:t>
      </w:r>
    </w:p>
    <w:p w:rsidR="00887330" w:rsidRPr="00583E1A" w:rsidRDefault="00887330" w:rsidP="00887330">
      <w:pPr>
        <w:pStyle w:val="paragraph"/>
      </w:pPr>
      <w:r w:rsidRPr="00583E1A">
        <w:tab/>
        <w:t>(a)</w:t>
      </w:r>
      <w:r w:rsidRPr="00583E1A">
        <w:tab/>
        <w:t xml:space="preserve">you discharge an obligation, or a part of an obligation, to pay the </w:t>
      </w:r>
      <w:r w:rsidR="00583E1A" w:rsidRPr="00583E1A">
        <w:rPr>
          <w:position w:val="6"/>
          <w:sz w:val="16"/>
        </w:rPr>
        <w:t>*</w:t>
      </w:r>
      <w:r w:rsidRPr="00583E1A">
        <w:t xml:space="preserve">foreign currency principal amount of a notional loan attached to an </w:t>
      </w:r>
      <w:r w:rsidR="00583E1A" w:rsidRPr="00583E1A">
        <w:rPr>
          <w:position w:val="6"/>
          <w:sz w:val="16"/>
        </w:rPr>
        <w:t>*</w:t>
      </w:r>
      <w:r w:rsidRPr="00583E1A">
        <w:t xml:space="preserve">eligible security issued by you under a </w:t>
      </w:r>
      <w:r w:rsidR="00583E1A" w:rsidRPr="00583E1A">
        <w:rPr>
          <w:position w:val="6"/>
          <w:sz w:val="16"/>
        </w:rPr>
        <w:t>*</w:t>
      </w:r>
      <w:r w:rsidRPr="00583E1A">
        <w:t>facility agreement; and</w:t>
      </w:r>
    </w:p>
    <w:p w:rsidR="00887330" w:rsidRPr="00583E1A" w:rsidRDefault="00887330" w:rsidP="00887330">
      <w:pPr>
        <w:pStyle w:val="paragraph"/>
      </w:pPr>
      <w:r w:rsidRPr="00583E1A">
        <w:tab/>
        <w:t>(b)</w:t>
      </w:r>
      <w:r w:rsidRPr="00583E1A">
        <w:tab/>
        <w:t>you have made a choice for roll</w:t>
      </w:r>
      <w:r w:rsidR="00583E1A">
        <w:noBreakHyphen/>
      </w:r>
      <w:r w:rsidRPr="00583E1A">
        <w:t>over relief for the agreement, and that choice is in effect.</w:t>
      </w:r>
    </w:p>
    <w:p w:rsidR="00887330" w:rsidRPr="00583E1A" w:rsidRDefault="00887330" w:rsidP="00887330">
      <w:pPr>
        <w:pStyle w:val="SubsectionHead"/>
      </w:pPr>
      <w:r w:rsidRPr="00583E1A">
        <w:lastRenderedPageBreak/>
        <w:t>Time of event</w:t>
      </w:r>
    </w:p>
    <w:p w:rsidR="00887330" w:rsidRPr="00583E1A" w:rsidRDefault="00887330" w:rsidP="00887330">
      <w:pPr>
        <w:pStyle w:val="subsection"/>
      </w:pPr>
      <w:r w:rsidRPr="00583E1A">
        <w:tab/>
        <w:t>(2)</w:t>
      </w:r>
      <w:r w:rsidRPr="00583E1A">
        <w:tab/>
        <w:t>The time of the event is when you discharge the obligation or the part of the obligation.</w:t>
      </w:r>
    </w:p>
    <w:p w:rsidR="00887330" w:rsidRPr="00583E1A" w:rsidRDefault="00887330" w:rsidP="00887330">
      <w:pPr>
        <w:pStyle w:val="SubsectionHead"/>
      </w:pPr>
      <w:r w:rsidRPr="00583E1A">
        <w:t>Forex realisation gain</w:t>
      </w:r>
    </w:p>
    <w:p w:rsidR="00887330" w:rsidRPr="00583E1A" w:rsidRDefault="00887330" w:rsidP="00887330">
      <w:pPr>
        <w:pStyle w:val="subsection"/>
      </w:pPr>
      <w:r w:rsidRPr="00583E1A">
        <w:tab/>
        <w:t>(3)</w:t>
      </w:r>
      <w:r w:rsidRPr="00583E1A">
        <w:tab/>
        <w:t xml:space="preserve">You make a </w:t>
      </w:r>
      <w:r w:rsidRPr="00583E1A">
        <w:rPr>
          <w:b/>
          <w:i/>
        </w:rPr>
        <w:t>forex realisation gain</w:t>
      </w:r>
      <w:r w:rsidRPr="00583E1A">
        <w:t xml:space="preserve"> if:</w:t>
      </w:r>
    </w:p>
    <w:p w:rsidR="00887330" w:rsidRPr="00583E1A" w:rsidRDefault="00887330" w:rsidP="00887330">
      <w:pPr>
        <w:pStyle w:val="paragraph"/>
      </w:pPr>
      <w:r w:rsidRPr="00583E1A">
        <w:tab/>
        <w:t>(a)</w:t>
      </w:r>
      <w:r w:rsidRPr="00583E1A">
        <w:tab/>
        <w:t>the amount of the obligation, or the part of the obligation, at the start time of the notional loan, exceeds the amount you paid in order to discharge the obligation or the part of the obligation; and</w:t>
      </w:r>
    </w:p>
    <w:p w:rsidR="00887330" w:rsidRPr="00583E1A" w:rsidRDefault="00887330" w:rsidP="00887330">
      <w:pPr>
        <w:pStyle w:val="paragraph"/>
      </w:pPr>
      <w:r w:rsidRPr="00583E1A">
        <w:tab/>
        <w:t>(b)</w:t>
      </w:r>
      <w:r w:rsidRPr="00583E1A">
        <w:tab/>
        <w:t xml:space="preserve">some or all of the excess is attributable to a </w:t>
      </w:r>
      <w:r w:rsidR="00583E1A" w:rsidRPr="00583E1A">
        <w:rPr>
          <w:position w:val="6"/>
          <w:sz w:val="16"/>
        </w:rPr>
        <w:t>*</w:t>
      </w:r>
      <w:r w:rsidRPr="00583E1A">
        <w:t>currency exchange rate effect.</w:t>
      </w:r>
    </w:p>
    <w:p w:rsidR="00887330" w:rsidRPr="00583E1A" w:rsidRDefault="00887330" w:rsidP="00887330">
      <w:pPr>
        <w:pStyle w:val="subsection2"/>
      </w:pPr>
      <w:r w:rsidRPr="00583E1A">
        <w:t xml:space="preserve">The amount of the </w:t>
      </w:r>
      <w:r w:rsidRPr="00583E1A">
        <w:rPr>
          <w:b/>
          <w:i/>
        </w:rPr>
        <w:t>forex realisation gain</w:t>
      </w:r>
      <w:r w:rsidRPr="00583E1A">
        <w:t xml:space="preserve"> is so much of the excess as is attributable to a currency exchange rate effect.</w:t>
      </w:r>
    </w:p>
    <w:p w:rsidR="00887330" w:rsidRPr="00583E1A" w:rsidRDefault="00887330" w:rsidP="00887330">
      <w:pPr>
        <w:pStyle w:val="notetext"/>
      </w:pPr>
      <w:r w:rsidRPr="00583E1A">
        <w:t>Note:</w:t>
      </w:r>
      <w:r w:rsidRPr="00583E1A">
        <w:tab/>
        <w:t xml:space="preserve">For </w:t>
      </w:r>
      <w:r w:rsidRPr="00583E1A">
        <w:rPr>
          <w:b/>
          <w:i/>
        </w:rPr>
        <w:t>currency exchange rate effect</w:t>
      </w:r>
      <w:r w:rsidRPr="00583E1A">
        <w:t>, see section</w:t>
      </w:r>
      <w:r w:rsidR="00583E1A">
        <w:t> </w:t>
      </w:r>
      <w:r w:rsidRPr="00583E1A">
        <w:t>775</w:t>
      </w:r>
      <w:r w:rsidR="00583E1A">
        <w:noBreakHyphen/>
      </w:r>
      <w:r w:rsidRPr="00583E1A">
        <w:t>105.</w:t>
      </w:r>
    </w:p>
    <w:p w:rsidR="00887330" w:rsidRPr="00583E1A" w:rsidRDefault="00887330" w:rsidP="00887330">
      <w:pPr>
        <w:pStyle w:val="SubsectionHead"/>
      </w:pPr>
      <w:r w:rsidRPr="00583E1A">
        <w:t>Forex realisation loss</w:t>
      </w:r>
    </w:p>
    <w:p w:rsidR="00887330" w:rsidRPr="00583E1A" w:rsidRDefault="00887330" w:rsidP="00887330">
      <w:pPr>
        <w:pStyle w:val="subsection"/>
      </w:pPr>
      <w:r w:rsidRPr="00583E1A">
        <w:tab/>
        <w:t>(4)</w:t>
      </w:r>
      <w:r w:rsidRPr="00583E1A">
        <w:tab/>
        <w:t xml:space="preserve">You make a </w:t>
      </w:r>
      <w:r w:rsidRPr="00583E1A">
        <w:rPr>
          <w:b/>
          <w:i/>
        </w:rPr>
        <w:t>forex realisation loss</w:t>
      </w:r>
      <w:r w:rsidRPr="00583E1A">
        <w:t xml:space="preserve"> if:</w:t>
      </w:r>
    </w:p>
    <w:p w:rsidR="00887330" w:rsidRPr="00583E1A" w:rsidRDefault="00887330" w:rsidP="00887330">
      <w:pPr>
        <w:pStyle w:val="paragraph"/>
      </w:pPr>
      <w:r w:rsidRPr="00583E1A">
        <w:tab/>
        <w:t>(a)</w:t>
      </w:r>
      <w:r w:rsidRPr="00583E1A">
        <w:tab/>
        <w:t>the amount of the obligation, or the part of the obligation, at the start time of the notional loan, falls short of the amount you paid in order to discharge the obligation or the part of the obligation; and</w:t>
      </w:r>
    </w:p>
    <w:p w:rsidR="00887330" w:rsidRPr="00583E1A" w:rsidRDefault="00887330" w:rsidP="00887330">
      <w:pPr>
        <w:pStyle w:val="paragraph"/>
      </w:pPr>
      <w:r w:rsidRPr="00583E1A">
        <w:tab/>
        <w:t>(b)</w:t>
      </w:r>
      <w:r w:rsidRPr="00583E1A">
        <w:tab/>
        <w:t xml:space="preserve">some or all of the shortfall is attributable to a </w:t>
      </w:r>
      <w:r w:rsidR="00583E1A" w:rsidRPr="00583E1A">
        <w:rPr>
          <w:position w:val="6"/>
          <w:sz w:val="16"/>
        </w:rPr>
        <w:t>*</w:t>
      </w:r>
      <w:r w:rsidRPr="00583E1A">
        <w:t>currency exchange rate effect.</w:t>
      </w:r>
    </w:p>
    <w:p w:rsidR="00887330" w:rsidRPr="00583E1A" w:rsidRDefault="00887330" w:rsidP="00887330">
      <w:pPr>
        <w:pStyle w:val="subsection2"/>
      </w:pPr>
      <w:r w:rsidRPr="00583E1A">
        <w:t xml:space="preserve">The amount of the </w:t>
      </w:r>
      <w:r w:rsidRPr="00583E1A">
        <w:rPr>
          <w:b/>
          <w:i/>
        </w:rPr>
        <w:t>forex realisation loss</w:t>
      </w:r>
      <w:r w:rsidRPr="00583E1A">
        <w:t xml:space="preserve"> is so much of the shortfall as is attributable to a currency exchange rate effect.</w:t>
      </w:r>
    </w:p>
    <w:p w:rsidR="00887330" w:rsidRPr="00583E1A" w:rsidRDefault="00887330" w:rsidP="00887330">
      <w:pPr>
        <w:pStyle w:val="notetext"/>
      </w:pPr>
      <w:r w:rsidRPr="00583E1A">
        <w:t>Note:</w:t>
      </w:r>
      <w:r w:rsidRPr="00583E1A">
        <w:tab/>
        <w:t xml:space="preserve">For </w:t>
      </w:r>
      <w:r w:rsidRPr="00583E1A">
        <w:rPr>
          <w:b/>
          <w:i/>
        </w:rPr>
        <w:t>currency exchange rate effect</w:t>
      </w:r>
      <w:r w:rsidRPr="00583E1A">
        <w:t>, see section</w:t>
      </w:r>
      <w:r w:rsidR="00583E1A">
        <w:t> </w:t>
      </w:r>
      <w:r w:rsidRPr="00583E1A">
        <w:t>775</w:t>
      </w:r>
      <w:r w:rsidR="00583E1A">
        <w:noBreakHyphen/>
      </w:r>
      <w:r w:rsidRPr="00583E1A">
        <w:t>105.</w:t>
      </w:r>
    </w:p>
    <w:p w:rsidR="00887330" w:rsidRPr="00583E1A" w:rsidRDefault="00887330" w:rsidP="00887330">
      <w:pPr>
        <w:pStyle w:val="SubsectionHead"/>
      </w:pPr>
      <w:r w:rsidRPr="00583E1A">
        <w:t>Exempt income etc.</w:t>
      </w:r>
    </w:p>
    <w:p w:rsidR="00887330" w:rsidRPr="00583E1A" w:rsidRDefault="00887330" w:rsidP="00887330">
      <w:pPr>
        <w:pStyle w:val="subsection"/>
      </w:pPr>
      <w:r w:rsidRPr="00583E1A">
        <w:tab/>
        <w:t>(5)</w:t>
      </w:r>
      <w:r w:rsidRPr="00583E1A">
        <w:tab/>
        <w:t>For the purposes of the application of sections</w:t>
      </w:r>
      <w:r w:rsidR="00583E1A">
        <w:t> </w:t>
      </w:r>
      <w:r w:rsidRPr="00583E1A">
        <w:t>775</w:t>
      </w:r>
      <w:r w:rsidR="00583E1A">
        <w:noBreakHyphen/>
      </w:r>
      <w:r w:rsidRPr="00583E1A">
        <w:t>20, 775</w:t>
      </w:r>
      <w:r w:rsidR="00583E1A">
        <w:noBreakHyphen/>
      </w:r>
      <w:r w:rsidRPr="00583E1A">
        <w:t>25 and 775</w:t>
      </w:r>
      <w:r w:rsidR="00583E1A">
        <w:noBreakHyphen/>
      </w:r>
      <w:r w:rsidRPr="00583E1A">
        <w:t>35 to the event, assume that the notional loan had been an actual loan.</w:t>
      </w:r>
    </w:p>
    <w:p w:rsidR="00887330" w:rsidRPr="00583E1A" w:rsidRDefault="00887330" w:rsidP="00887330">
      <w:pPr>
        <w:pStyle w:val="ActHead5"/>
      </w:pPr>
      <w:bookmarkStart w:id="112" w:name="_Toc338939186"/>
      <w:r w:rsidRPr="00583E1A">
        <w:rPr>
          <w:rStyle w:val="CharSectno"/>
        </w:rPr>
        <w:lastRenderedPageBreak/>
        <w:t>775</w:t>
      </w:r>
      <w:r w:rsidR="00583E1A">
        <w:rPr>
          <w:rStyle w:val="CharSectno"/>
        </w:rPr>
        <w:noBreakHyphen/>
      </w:r>
      <w:r w:rsidRPr="00583E1A">
        <w:rPr>
          <w:rStyle w:val="CharSectno"/>
        </w:rPr>
        <w:t>220</w:t>
      </w:r>
      <w:r w:rsidRPr="00583E1A">
        <w:t xml:space="preserve">  Material variation of a facility agreement—forex realisation event 7</w:t>
      </w:r>
      <w:bookmarkEnd w:id="112"/>
    </w:p>
    <w:p w:rsidR="00887330" w:rsidRPr="00583E1A" w:rsidRDefault="00887330" w:rsidP="00887330">
      <w:pPr>
        <w:pStyle w:val="SubsectionHead"/>
      </w:pPr>
      <w:r w:rsidRPr="00583E1A">
        <w:t>Forex realisation event 7</w:t>
      </w:r>
    </w:p>
    <w:p w:rsidR="00887330" w:rsidRPr="00583E1A" w:rsidRDefault="00887330" w:rsidP="00887330">
      <w:pPr>
        <w:pStyle w:val="subsection"/>
      </w:pPr>
      <w:r w:rsidRPr="00583E1A">
        <w:tab/>
        <w:t>(1)</w:t>
      </w:r>
      <w:r w:rsidRPr="00583E1A">
        <w:tab/>
      </w:r>
      <w:r w:rsidRPr="00583E1A">
        <w:rPr>
          <w:b/>
          <w:i/>
        </w:rPr>
        <w:t>Forex realisation event 7</w:t>
      </w:r>
      <w:r w:rsidRPr="00583E1A">
        <w:t xml:space="preserve"> happens if:</w:t>
      </w:r>
    </w:p>
    <w:p w:rsidR="00887330" w:rsidRPr="00583E1A" w:rsidRDefault="00887330" w:rsidP="00887330">
      <w:pPr>
        <w:pStyle w:val="paragraph"/>
      </w:pPr>
      <w:r w:rsidRPr="00583E1A">
        <w:tab/>
        <w:t>(a)</w:t>
      </w:r>
      <w:r w:rsidRPr="00583E1A">
        <w:tab/>
        <w:t xml:space="preserve">a material variation is made to the terms or conditions of a </w:t>
      </w:r>
      <w:r w:rsidR="00583E1A" w:rsidRPr="00583E1A">
        <w:rPr>
          <w:position w:val="6"/>
          <w:sz w:val="16"/>
        </w:rPr>
        <w:t>*</w:t>
      </w:r>
      <w:r w:rsidRPr="00583E1A">
        <w:t>facility agreement; or</w:t>
      </w:r>
    </w:p>
    <w:p w:rsidR="00887330" w:rsidRPr="00583E1A" w:rsidRDefault="00887330" w:rsidP="00887330">
      <w:pPr>
        <w:pStyle w:val="paragraph"/>
      </w:pPr>
      <w:r w:rsidRPr="00583E1A">
        <w:tab/>
        <w:t>(b)</w:t>
      </w:r>
      <w:r w:rsidRPr="00583E1A">
        <w:tab/>
        <w:t>a material variation is made to the effect of a facility agreement; or</w:t>
      </w:r>
    </w:p>
    <w:p w:rsidR="00887330" w:rsidRPr="00583E1A" w:rsidRDefault="00887330" w:rsidP="00887330">
      <w:pPr>
        <w:pStyle w:val="paragraph"/>
      </w:pPr>
      <w:r w:rsidRPr="00583E1A">
        <w:tab/>
        <w:t>(c)</w:t>
      </w:r>
      <w:r w:rsidRPr="00583E1A">
        <w:tab/>
        <w:t>a material variation is made to the type or types of security that can be issued under a facility agreement;</w:t>
      </w:r>
    </w:p>
    <w:p w:rsidR="00887330" w:rsidRPr="00583E1A" w:rsidRDefault="00887330" w:rsidP="00887330">
      <w:pPr>
        <w:pStyle w:val="subsection2"/>
      </w:pPr>
      <w:r w:rsidRPr="00583E1A">
        <w:t>so long as you have made a choice for roll</w:t>
      </w:r>
      <w:r w:rsidR="00583E1A">
        <w:noBreakHyphen/>
      </w:r>
      <w:r w:rsidRPr="00583E1A">
        <w:t>over relief for the facility agreement, and that choice is in effect.</w:t>
      </w:r>
    </w:p>
    <w:p w:rsidR="00887330" w:rsidRPr="00583E1A" w:rsidRDefault="00887330" w:rsidP="00887330">
      <w:pPr>
        <w:pStyle w:val="notetext"/>
      </w:pPr>
      <w:r w:rsidRPr="00583E1A">
        <w:t>Note:</w:t>
      </w:r>
      <w:r w:rsidRPr="00583E1A">
        <w:tab/>
        <w:t xml:space="preserve">See also </w:t>
      </w:r>
      <w:r w:rsidR="00583E1A">
        <w:t>subsections (</w:t>
      </w:r>
      <w:r w:rsidRPr="00583E1A">
        <w:t>7) and (8).</w:t>
      </w:r>
    </w:p>
    <w:p w:rsidR="00887330" w:rsidRPr="00583E1A" w:rsidRDefault="00887330" w:rsidP="00887330">
      <w:pPr>
        <w:pStyle w:val="SubsectionHead"/>
      </w:pPr>
      <w:r w:rsidRPr="00583E1A">
        <w:t>Time of the event</w:t>
      </w:r>
    </w:p>
    <w:p w:rsidR="00887330" w:rsidRPr="00583E1A" w:rsidRDefault="00887330" w:rsidP="00887330">
      <w:pPr>
        <w:pStyle w:val="subsection"/>
      </w:pPr>
      <w:r w:rsidRPr="00583E1A">
        <w:tab/>
        <w:t>(2)</w:t>
      </w:r>
      <w:r w:rsidRPr="00583E1A">
        <w:tab/>
        <w:t>The time of the event is when the material variation happens.</w:t>
      </w:r>
    </w:p>
    <w:p w:rsidR="00887330" w:rsidRPr="00583E1A" w:rsidRDefault="00887330" w:rsidP="00887330">
      <w:pPr>
        <w:pStyle w:val="SubsectionHead"/>
      </w:pPr>
      <w:r w:rsidRPr="00583E1A">
        <w:t>Forex realisation gain</w:t>
      </w:r>
    </w:p>
    <w:p w:rsidR="00887330" w:rsidRPr="00583E1A" w:rsidRDefault="00887330" w:rsidP="00887330">
      <w:pPr>
        <w:pStyle w:val="subsection"/>
      </w:pPr>
      <w:r w:rsidRPr="00583E1A">
        <w:tab/>
        <w:t>(3)</w:t>
      </w:r>
      <w:r w:rsidRPr="00583E1A">
        <w:tab/>
        <w:t xml:space="preserve">You make a </w:t>
      </w:r>
      <w:r w:rsidRPr="00583E1A">
        <w:rPr>
          <w:b/>
          <w:i/>
        </w:rPr>
        <w:t>forex realisation gain</w:t>
      </w:r>
      <w:r w:rsidRPr="00583E1A">
        <w:t xml:space="preserve"> if:</w:t>
      </w:r>
    </w:p>
    <w:p w:rsidR="00887330" w:rsidRPr="00583E1A" w:rsidRDefault="00887330" w:rsidP="00887330">
      <w:pPr>
        <w:pStyle w:val="paragraph"/>
      </w:pPr>
      <w:r w:rsidRPr="00583E1A">
        <w:tab/>
        <w:t>(a)</w:t>
      </w:r>
      <w:r w:rsidRPr="00583E1A">
        <w:tab/>
        <w:t>the total of the forex realisation gains that you would have made as a result of forex realisation event 6 if you had, at the time of forex realisation event 7:</w:t>
      </w:r>
    </w:p>
    <w:p w:rsidR="00887330" w:rsidRPr="00583E1A" w:rsidRDefault="00887330" w:rsidP="00887330">
      <w:pPr>
        <w:pStyle w:val="paragraphsub"/>
      </w:pPr>
      <w:r w:rsidRPr="00583E1A">
        <w:tab/>
        <w:t>(i)</w:t>
      </w:r>
      <w:r w:rsidRPr="00583E1A">
        <w:tab/>
        <w:t>discharged your liabilities under each of the notional loans to which the agreement relates; and</w:t>
      </w:r>
    </w:p>
    <w:p w:rsidR="00887330" w:rsidRPr="00583E1A" w:rsidRDefault="00887330" w:rsidP="00887330">
      <w:pPr>
        <w:pStyle w:val="paragraphsub"/>
      </w:pPr>
      <w:r w:rsidRPr="00583E1A">
        <w:tab/>
        <w:t>(ii)</w:t>
      </w:r>
      <w:r w:rsidRPr="00583E1A">
        <w:tab/>
        <w:t>not rolled</w:t>
      </w:r>
      <w:r w:rsidR="00583E1A">
        <w:noBreakHyphen/>
      </w:r>
      <w:r w:rsidRPr="00583E1A">
        <w:t xml:space="preserve">over any </w:t>
      </w:r>
      <w:r w:rsidR="00583E1A" w:rsidRPr="00583E1A">
        <w:rPr>
          <w:position w:val="6"/>
          <w:sz w:val="16"/>
        </w:rPr>
        <w:t>*</w:t>
      </w:r>
      <w:r w:rsidRPr="00583E1A">
        <w:t>eligible security;</w:t>
      </w:r>
    </w:p>
    <w:p w:rsidR="00887330" w:rsidRPr="00583E1A" w:rsidRDefault="00887330" w:rsidP="00887330">
      <w:pPr>
        <w:pStyle w:val="subsection2"/>
      </w:pPr>
      <w:r w:rsidRPr="00583E1A">
        <w:t>exceeds:</w:t>
      </w:r>
    </w:p>
    <w:p w:rsidR="00887330" w:rsidRPr="00583E1A" w:rsidRDefault="00887330" w:rsidP="00887330">
      <w:pPr>
        <w:pStyle w:val="paragraph"/>
      </w:pPr>
      <w:r w:rsidRPr="00583E1A">
        <w:tab/>
        <w:t>(b)</w:t>
      </w:r>
      <w:r w:rsidRPr="00583E1A">
        <w:tab/>
        <w:t>the total of the forex realisation losses that you would have made as a result of forex realisation event 6 if you had, at the time of forex realisation event 7:</w:t>
      </w:r>
    </w:p>
    <w:p w:rsidR="00887330" w:rsidRPr="00583E1A" w:rsidRDefault="00887330" w:rsidP="00887330">
      <w:pPr>
        <w:pStyle w:val="paragraphsub"/>
      </w:pPr>
      <w:r w:rsidRPr="00583E1A">
        <w:tab/>
        <w:t>(i)</w:t>
      </w:r>
      <w:r w:rsidRPr="00583E1A">
        <w:tab/>
        <w:t>discharged your liabilities under each of the notional loans to which the agreement relates; and</w:t>
      </w:r>
    </w:p>
    <w:p w:rsidR="00887330" w:rsidRPr="00583E1A" w:rsidRDefault="00887330" w:rsidP="00887330">
      <w:pPr>
        <w:pStyle w:val="paragraphsub"/>
      </w:pPr>
      <w:r w:rsidRPr="00583E1A">
        <w:tab/>
        <w:t>(ii)</w:t>
      </w:r>
      <w:r w:rsidRPr="00583E1A">
        <w:tab/>
        <w:t>not rolled</w:t>
      </w:r>
      <w:r w:rsidR="00583E1A">
        <w:noBreakHyphen/>
      </w:r>
      <w:r w:rsidRPr="00583E1A">
        <w:t>over any</w:t>
      </w:r>
      <w:r w:rsidRPr="00583E1A">
        <w:rPr>
          <w:position w:val="6"/>
          <w:sz w:val="16"/>
        </w:rPr>
        <w:t xml:space="preserve"> </w:t>
      </w:r>
      <w:r w:rsidRPr="00583E1A">
        <w:t>eligible security.</w:t>
      </w:r>
    </w:p>
    <w:p w:rsidR="00887330" w:rsidRPr="00583E1A" w:rsidRDefault="00887330" w:rsidP="00887330">
      <w:pPr>
        <w:pStyle w:val="subsection2"/>
      </w:pPr>
      <w:r w:rsidRPr="00583E1A">
        <w:t xml:space="preserve">The amount of the </w:t>
      </w:r>
      <w:r w:rsidRPr="00583E1A">
        <w:rPr>
          <w:b/>
          <w:i/>
        </w:rPr>
        <w:t>forex realisation gain</w:t>
      </w:r>
      <w:r w:rsidRPr="00583E1A">
        <w:t xml:space="preserve"> is the amount of the excess.</w:t>
      </w:r>
    </w:p>
    <w:p w:rsidR="00887330" w:rsidRPr="00583E1A" w:rsidRDefault="00887330" w:rsidP="00887330">
      <w:pPr>
        <w:pStyle w:val="notetext"/>
      </w:pPr>
      <w:r w:rsidRPr="00583E1A">
        <w:lastRenderedPageBreak/>
        <w:t>Note:</w:t>
      </w:r>
      <w:r w:rsidRPr="00583E1A">
        <w:tab/>
        <w:t xml:space="preserve">See also </w:t>
      </w:r>
      <w:r w:rsidR="00583E1A">
        <w:t>subsection (</w:t>
      </w:r>
      <w:r w:rsidRPr="00583E1A">
        <w:t>9).</w:t>
      </w:r>
    </w:p>
    <w:p w:rsidR="00887330" w:rsidRPr="00583E1A" w:rsidRDefault="00887330" w:rsidP="00887330">
      <w:pPr>
        <w:pStyle w:val="SubsectionHead"/>
      </w:pPr>
      <w:r w:rsidRPr="00583E1A">
        <w:t>Forex realisation loss</w:t>
      </w:r>
    </w:p>
    <w:p w:rsidR="00887330" w:rsidRPr="00583E1A" w:rsidRDefault="00887330" w:rsidP="00887330">
      <w:pPr>
        <w:pStyle w:val="subsection"/>
      </w:pPr>
      <w:r w:rsidRPr="00583E1A">
        <w:tab/>
        <w:t>(4)</w:t>
      </w:r>
      <w:r w:rsidRPr="00583E1A">
        <w:tab/>
        <w:t xml:space="preserve">You make a </w:t>
      </w:r>
      <w:r w:rsidRPr="00583E1A">
        <w:rPr>
          <w:b/>
          <w:i/>
        </w:rPr>
        <w:t>forex realisation loss</w:t>
      </w:r>
      <w:r w:rsidRPr="00583E1A">
        <w:t xml:space="preserve"> if:</w:t>
      </w:r>
    </w:p>
    <w:p w:rsidR="00887330" w:rsidRPr="00583E1A" w:rsidRDefault="00887330" w:rsidP="00887330">
      <w:pPr>
        <w:pStyle w:val="paragraph"/>
      </w:pPr>
      <w:r w:rsidRPr="00583E1A">
        <w:tab/>
        <w:t>(a)</w:t>
      </w:r>
      <w:r w:rsidRPr="00583E1A">
        <w:tab/>
        <w:t>the total of the forex realisation losses that you would have made as a result of forex realisation event 6 if you had, at the time of forex realisation event 7:</w:t>
      </w:r>
    </w:p>
    <w:p w:rsidR="00887330" w:rsidRPr="00583E1A" w:rsidRDefault="00887330" w:rsidP="00887330">
      <w:pPr>
        <w:pStyle w:val="paragraphsub"/>
      </w:pPr>
      <w:r w:rsidRPr="00583E1A">
        <w:tab/>
        <w:t>(i)</w:t>
      </w:r>
      <w:r w:rsidRPr="00583E1A">
        <w:tab/>
        <w:t>discharged your liabilities under each of the notional loans to which the agreement relates; and</w:t>
      </w:r>
    </w:p>
    <w:p w:rsidR="00887330" w:rsidRPr="00583E1A" w:rsidRDefault="00887330" w:rsidP="00887330">
      <w:pPr>
        <w:pStyle w:val="paragraphsub"/>
      </w:pPr>
      <w:r w:rsidRPr="00583E1A">
        <w:tab/>
        <w:t>(ii)</w:t>
      </w:r>
      <w:r w:rsidRPr="00583E1A">
        <w:tab/>
        <w:t>not rolled</w:t>
      </w:r>
      <w:r w:rsidR="00583E1A">
        <w:noBreakHyphen/>
      </w:r>
      <w:r w:rsidRPr="00583E1A">
        <w:t xml:space="preserve">over any </w:t>
      </w:r>
      <w:r w:rsidR="00583E1A" w:rsidRPr="00583E1A">
        <w:rPr>
          <w:position w:val="6"/>
          <w:sz w:val="16"/>
        </w:rPr>
        <w:t>*</w:t>
      </w:r>
      <w:r w:rsidRPr="00583E1A">
        <w:t>eligible security;</w:t>
      </w:r>
    </w:p>
    <w:p w:rsidR="00887330" w:rsidRPr="00583E1A" w:rsidRDefault="00887330" w:rsidP="00887330">
      <w:pPr>
        <w:pStyle w:val="subsection2"/>
      </w:pPr>
      <w:r w:rsidRPr="00583E1A">
        <w:t>exceeds:</w:t>
      </w:r>
    </w:p>
    <w:p w:rsidR="00887330" w:rsidRPr="00583E1A" w:rsidRDefault="00887330" w:rsidP="00887330">
      <w:pPr>
        <w:pStyle w:val="paragraph"/>
      </w:pPr>
      <w:r w:rsidRPr="00583E1A">
        <w:tab/>
        <w:t>(b)</w:t>
      </w:r>
      <w:r w:rsidRPr="00583E1A">
        <w:tab/>
        <w:t>the total of the forex realisation gains that you would have made as a result of forex realisation event 6 if you had, at the time of forex realisation event 7:</w:t>
      </w:r>
    </w:p>
    <w:p w:rsidR="00887330" w:rsidRPr="00583E1A" w:rsidRDefault="00887330" w:rsidP="00887330">
      <w:pPr>
        <w:pStyle w:val="paragraphsub"/>
      </w:pPr>
      <w:r w:rsidRPr="00583E1A">
        <w:tab/>
        <w:t>(i)</w:t>
      </w:r>
      <w:r w:rsidRPr="00583E1A">
        <w:tab/>
        <w:t>discharged your liabilities under each of the notional loans to which the agreement relates; and</w:t>
      </w:r>
    </w:p>
    <w:p w:rsidR="00887330" w:rsidRPr="00583E1A" w:rsidRDefault="00887330" w:rsidP="00887330">
      <w:pPr>
        <w:pStyle w:val="paragraphsub"/>
      </w:pPr>
      <w:r w:rsidRPr="00583E1A">
        <w:tab/>
        <w:t>(ii)</w:t>
      </w:r>
      <w:r w:rsidRPr="00583E1A">
        <w:tab/>
        <w:t>not rolled</w:t>
      </w:r>
      <w:r w:rsidR="00583E1A">
        <w:noBreakHyphen/>
      </w:r>
      <w:r w:rsidRPr="00583E1A">
        <w:t>over any</w:t>
      </w:r>
      <w:r w:rsidRPr="00583E1A">
        <w:rPr>
          <w:position w:val="6"/>
          <w:sz w:val="16"/>
        </w:rPr>
        <w:t xml:space="preserve"> </w:t>
      </w:r>
      <w:r w:rsidRPr="00583E1A">
        <w:t>eligible security.</w:t>
      </w:r>
    </w:p>
    <w:p w:rsidR="00887330" w:rsidRPr="00583E1A" w:rsidRDefault="00887330" w:rsidP="00887330">
      <w:pPr>
        <w:pStyle w:val="subsection2"/>
      </w:pPr>
      <w:r w:rsidRPr="00583E1A">
        <w:t xml:space="preserve">The amount of the </w:t>
      </w:r>
      <w:r w:rsidRPr="00583E1A">
        <w:rPr>
          <w:b/>
          <w:i/>
        </w:rPr>
        <w:t xml:space="preserve">forex realisation loss </w:t>
      </w:r>
      <w:r w:rsidRPr="00583E1A">
        <w:t>is the amount of the excess.</w:t>
      </w:r>
    </w:p>
    <w:p w:rsidR="00887330" w:rsidRPr="00583E1A" w:rsidRDefault="00887330" w:rsidP="00887330">
      <w:pPr>
        <w:pStyle w:val="notetext"/>
      </w:pPr>
      <w:r w:rsidRPr="00583E1A">
        <w:t>Note:</w:t>
      </w:r>
      <w:r w:rsidRPr="00583E1A">
        <w:tab/>
        <w:t xml:space="preserve">See also </w:t>
      </w:r>
      <w:r w:rsidR="00583E1A">
        <w:t>subsection (</w:t>
      </w:r>
      <w:r w:rsidRPr="00583E1A">
        <w:t>9).</w:t>
      </w:r>
    </w:p>
    <w:p w:rsidR="00887330" w:rsidRPr="00583E1A" w:rsidRDefault="00887330" w:rsidP="00887330">
      <w:pPr>
        <w:pStyle w:val="SubsectionHead"/>
      </w:pPr>
      <w:r w:rsidRPr="00583E1A">
        <w:t>Termination of choice</w:t>
      </w:r>
    </w:p>
    <w:p w:rsidR="00887330" w:rsidRPr="00583E1A" w:rsidRDefault="00887330" w:rsidP="00887330">
      <w:pPr>
        <w:pStyle w:val="subsection"/>
      </w:pPr>
      <w:r w:rsidRPr="00583E1A">
        <w:tab/>
        <w:t>(5)</w:t>
      </w:r>
      <w:r w:rsidRPr="00583E1A">
        <w:tab/>
        <w:t xml:space="preserve">If forex realisation event 7 happens in relation to a </w:t>
      </w:r>
      <w:r w:rsidR="00583E1A" w:rsidRPr="00583E1A">
        <w:rPr>
          <w:position w:val="6"/>
          <w:sz w:val="16"/>
        </w:rPr>
        <w:t>*</w:t>
      </w:r>
      <w:r w:rsidRPr="00583E1A">
        <w:t>facility agreement:</w:t>
      </w:r>
    </w:p>
    <w:p w:rsidR="00887330" w:rsidRPr="00583E1A" w:rsidRDefault="00887330" w:rsidP="00887330">
      <w:pPr>
        <w:pStyle w:val="paragraph"/>
      </w:pPr>
      <w:r w:rsidRPr="00583E1A">
        <w:tab/>
        <w:t>(a)</w:t>
      </w:r>
      <w:r w:rsidRPr="00583E1A">
        <w:tab/>
        <w:t>your choice for roll</w:t>
      </w:r>
      <w:r w:rsidR="00583E1A">
        <w:noBreakHyphen/>
      </w:r>
      <w:r w:rsidRPr="00583E1A">
        <w:t>over relief for the facility agreement ceases to have effect immediately after the event; and</w:t>
      </w:r>
    </w:p>
    <w:p w:rsidR="00887330" w:rsidRPr="00583E1A" w:rsidRDefault="00887330" w:rsidP="00887330">
      <w:pPr>
        <w:pStyle w:val="paragraph"/>
      </w:pPr>
      <w:r w:rsidRPr="00583E1A">
        <w:tab/>
        <w:t>(b)</w:t>
      </w:r>
      <w:r w:rsidRPr="00583E1A">
        <w:tab/>
        <w:t>you are not entitled to make a fresh choice for roll</w:t>
      </w:r>
      <w:r w:rsidR="00583E1A">
        <w:noBreakHyphen/>
      </w:r>
      <w:r w:rsidRPr="00583E1A">
        <w:t>over relief for the facility agreement.</w:t>
      </w:r>
    </w:p>
    <w:p w:rsidR="00887330" w:rsidRPr="00583E1A" w:rsidRDefault="00887330" w:rsidP="00887330">
      <w:pPr>
        <w:pStyle w:val="SubsectionHead"/>
      </w:pPr>
      <w:r w:rsidRPr="00583E1A">
        <w:t>Modification of tax recognition time</w:t>
      </w:r>
    </w:p>
    <w:p w:rsidR="00887330" w:rsidRPr="00583E1A" w:rsidRDefault="00887330" w:rsidP="00887330">
      <w:pPr>
        <w:pStyle w:val="subsection"/>
      </w:pPr>
      <w:r w:rsidRPr="00583E1A">
        <w:tab/>
        <w:t>(6)</w:t>
      </w:r>
      <w:r w:rsidRPr="00583E1A">
        <w:tab/>
        <w:t>If:</w:t>
      </w:r>
    </w:p>
    <w:p w:rsidR="00887330" w:rsidRPr="00583E1A" w:rsidRDefault="00887330" w:rsidP="00887330">
      <w:pPr>
        <w:pStyle w:val="paragraph"/>
      </w:pPr>
      <w:r w:rsidRPr="00583E1A">
        <w:tab/>
        <w:t>(a)</w:t>
      </w:r>
      <w:r w:rsidRPr="00583E1A">
        <w:tab/>
        <w:t xml:space="preserve">forex realisation event 7 happens in relation to a </w:t>
      </w:r>
      <w:r w:rsidR="00583E1A" w:rsidRPr="00583E1A">
        <w:rPr>
          <w:position w:val="6"/>
          <w:sz w:val="16"/>
        </w:rPr>
        <w:t>*</w:t>
      </w:r>
      <w:r w:rsidRPr="00583E1A">
        <w:t>facility agreement; and</w:t>
      </w:r>
    </w:p>
    <w:p w:rsidR="00887330" w:rsidRPr="00583E1A" w:rsidRDefault="00887330" w:rsidP="00887330">
      <w:pPr>
        <w:pStyle w:val="paragraph"/>
      </w:pPr>
      <w:r w:rsidRPr="00583E1A">
        <w:tab/>
        <w:t>(b)</w:t>
      </w:r>
      <w:r w:rsidRPr="00583E1A">
        <w:tab/>
        <w:t xml:space="preserve">an </w:t>
      </w:r>
      <w:r w:rsidR="00583E1A" w:rsidRPr="00583E1A">
        <w:rPr>
          <w:position w:val="6"/>
          <w:sz w:val="16"/>
        </w:rPr>
        <w:t>*</w:t>
      </w:r>
      <w:r w:rsidRPr="00583E1A">
        <w:t>eligible security issued by you under the facility agreement was in existence at the time of that event; and</w:t>
      </w:r>
    </w:p>
    <w:p w:rsidR="00887330" w:rsidRPr="00583E1A" w:rsidRDefault="00887330" w:rsidP="00887330">
      <w:pPr>
        <w:pStyle w:val="paragraph"/>
      </w:pPr>
      <w:r w:rsidRPr="00583E1A">
        <w:lastRenderedPageBreak/>
        <w:tab/>
        <w:t>(c)</w:t>
      </w:r>
      <w:r w:rsidRPr="00583E1A">
        <w:tab/>
        <w:t xml:space="preserve">at a later time, forex realisation event 4 happens because you cease to have an obligation, or a part of an obligation, to pay </w:t>
      </w:r>
      <w:r w:rsidR="00583E1A" w:rsidRPr="00583E1A">
        <w:rPr>
          <w:position w:val="6"/>
          <w:sz w:val="16"/>
        </w:rPr>
        <w:t>*</w:t>
      </w:r>
      <w:r w:rsidRPr="00583E1A">
        <w:t>foreign currency under the security;</w:t>
      </w:r>
    </w:p>
    <w:p w:rsidR="00887330" w:rsidRPr="00583E1A" w:rsidRDefault="00887330" w:rsidP="00887330">
      <w:pPr>
        <w:pStyle w:val="subsection2"/>
      </w:pPr>
      <w:r w:rsidRPr="00583E1A">
        <w:t>section</w:t>
      </w:r>
      <w:r w:rsidR="00583E1A">
        <w:t> </w:t>
      </w:r>
      <w:r w:rsidRPr="00583E1A">
        <w:t>775</w:t>
      </w:r>
      <w:r w:rsidR="00583E1A">
        <w:noBreakHyphen/>
      </w:r>
      <w:r w:rsidRPr="00583E1A">
        <w:t>55 applies to you as if the tax recognition time for the obligation, or the part of the obligation, were the time of forex realisation event 7 (despite subsection 775</w:t>
      </w:r>
      <w:r w:rsidR="00583E1A">
        <w:noBreakHyphen/>
      </w:r>
      <w:r w:rsidRPr="00583E1A">
        <w:t>55(7)).</w:t>
      </w:r>
    </w:p>
    <w:p w:rsidR="00887330" w:rsidRPr="00583E1A" w:rsidRDefault="00887330" w:rsidP="00887330">
      <w:pPr>
        <w:pStyle w:val="SubsectionHead"/>
      </w:pPr>
      <w:r w:rsidRPr="00583E1A">
        <w:t>Material variation</w:t>
      </w:r>
    </w:p>
    <w:p w:rsidR="00887330" w:rsidRPr="00583E1A" w:rsidRDefault="00887330" w:rsidP="00887330">
      <w:pPr>
        <w:pStyle w:val="subsection"/>
      </w:pPr>
      <w:r w:rsidRPr="00583E1A">
        <w:tab/>
        <w:t>(7)</w:t>
      </w:r>
      <w:r w:rsidRPr="00583E1A">
        <w:tab/>
        <w:t>To avoid doubt, if a variation to:</w:t>
      </w:r>
    </w:p>
    <w:p w:rsidR="00887330" w:rsidRPr="00583E1A" w:rsidRDefault="00887330" w:rsidP="00887330">
      <w:pPr>
        <w:pStyle w:val="paragraph"/>
      </w:pPr>
      <w:r w:rsidRPr="00583E1A">
        <w:tab/>
        <w:t>(a)</w:t>
      </w:r>
      <w:r w:rsidRPr="00583E1A">
        <w:tab/>
        <w:t>the terms or conditions of a facility agreement; or</w:t>
      </w:r>
    </w:p>
    <w:p w:rsidR="00887330" w:rsidRPr="00583E1A" w:rsidRDefault="00887330" w:rsidP="00887330">
      <w:pPr>
        <w:pStyle w:val="paragraph"/>
      </w:pPr>
      <w:r w:rsidRPr="00583E1A">
        <w:tab/>
        <w:t>(b)</w:t>
      </w:r>
      <w:r w:rsidRPr="00583E1A">
        <w:tab/>
        <w:t>the effect of a facility agreement;</w:t>
      </w:r>
    </w:p>
    <w:p w:rsidR="00887330" w:rsidRPr="00583E1A" w:rsidRDefault="00887330" w:rsidP="00887330">
      <w:pPr>
        <w:pStyle w:val="subsection2"/>
      </w:pPr>
      <w:r w:rsidRPr="00583E1A">
        <w:t xml:space="preserve">results in the agreement ceasing to be a facility agreement, the variation is taken to be a material variation for the purposes of </w:t>
      </w:r>
      <w:r w:rsidR="00583E1A">
        <w:t>subsection (</w:t>
      </w:r>
      <w:r w:rsidRPr="00583E1A">
        <w:t>1).</w:t>
      </w:r>
    </w:p>
    <w:p w:rsidR="00887330" w:rsidRPr="00583E1A" w:rsidRDefault="00887330" w:rsidP="00887330">
      <w:pPr>
        <w:pStyle w:val="subsection"/>
      </w:pPr>
      <w:r w:rsidRPr="00583E1A">
        <w:tab/>
        <w:t>(8)</w:t>
      </w:r>
      <w:r w:rsidRPr="00583E1A">
        <w:tab/>
        <w:t xml:space="preserve">The regulations may provide that a specified kind of variation is taken to be a material variation for the purposes of </w:t>
      </w:r>
      <w:r w:rsidR="00583E1A">
        <w:t>subsection (</w:t>
      </w:r>
      <w:r w:rsidRPr="00583E1A">
        <w:t>1).</w:t>
      </w:r>
    </w:p>
    <w:p w:rsidR="00887330" w:rsidRPr="00583E1A" w:rsidRDefault="00887330" w:rsidP="00887330">
      <w:pPr>
        <w:pStyle w:val="SubsectionHead"/>
      </w:pPr>
      <w:r w:rsidRPr="00583E1A">
        <w:t>Total amount</w:t>
      </w:r>
    </w:p>
    <w:p w:rsidR="00887330" w:rsidRPr="00583E1A" w:rsidRDefault="00887330" w:rsidP="00887330">
      <w:pPr>
        <w:pStyle w:val="subsection"/>
      </w:pPr>
      <w:r w:rsidRPr="00583E1A">
        <w:tab/>
        <w:t>(9)</w:t>
      </w:r>
      <w:r w:rsidRPr="00583E1A">
        <w:tab/>
        <w:t xml:space="preserve">To avoid doubt, the total amount referred to in </w:t>
      </w:r>
      <w:r w:rsidR="00583E1A">
        <w:t>paragraph (</w:t>
      </w:r>
      <w:r w:rsidRPr="00583E1A">
        <w:t>3)(b) or (4)(b) may be zero.</w:t>
      </w:r>
    </w:p>
    <w:p w:rsidR="00887330" w:rsidRPr="00583E1A" w:rsidRDefault="00887330" w:rsidP="00887330">
      <w:pPr>
        <w:pStyle w:val="ActHead4"/>
      </w:pPr>
      <w:bookmarkStart w:id="113" w:name="_Toc338939187"/>
      <w:r w:rsidRPr="00583E1A">
        <w:rPr>
          <w:rStyle w:val="CharSubdNo"/>
        </w:rPr>
        <w:t>Subdivision</w:t>
      </w:r>
      <w:r w:rsidR="00583E1A">
        <w:rPr>
          <w:rStyle w:val="CharSubdNo"/>
        </w:rPr>
        <w:t> </w:t>
      </w:r>
      <w:r w:rsidRPr="00583E1A">
        <w:rPr>
          <w:rStyle w:val="CharSubdNo"/>
        </w:rPr>
        <w:t>775</w:t>
      </w:r>
      <w:r w:rsidR="00583E1A">
        <w:rPr>
          <w:rStyle w:val="CharSubdNo"/>
        </w:rPr>
        <w:noBreakHyphen/>
      </w:r>
      <w:r w:rsidRPr="00583E1A">
        <w:rPr>
          <w:rStyle w:val="CharSubdNo"/>
        </w:rPr>
        <w:t>D</w:t>
      </w:r>
      <w:r w:rsidRPr="00583E1A">
        <w:t>—</w:t>
      </w:r>
      <w:r w:rsidRPr="00583E1A">
        <w:rPr>
          <w:rStyle w:val="CharSubdText"/>
        </w:rPr>
        <w:t>Qualifying forex accounts that pass the limited balance test</w:t>
      </w:r>
      <w:bookmarkEnd w:id="113"/>
    </w:p>
    <w:p w:rsidR="00887330" w:rsidRPr="00583E1A" w:rsidRDefault="00887330" w:rsidP="00887330">
      <w:pPr>
        <w:pStyle w:val="ActHead4"/>
      </w:pPr>
      <w:bookmarkStart w:id="114" w:name="_Toc338939188"/>
      <w:r w:rsidRPr="00583E1A">
        <w:t>Guide to Subdivision</w:t>
      </w:r>
      <w:r w:rsidR="00583E1A">
        <w:t> </w:t>
      </w:r>
      <w:r w:rsidRPr="00583E1A">
        <w:t>775</w:t>
      </w:r>
      <w:r w:rsidR="00583E1A">
        <w:noBreakHyphen/>
      </w:r>
      <w:r w:rsidRPr="00583E1A">
        <w:t>D</w:t>
      </w:r>
      <w:bookmarkEnd w:id="114"/>
    </w:p>
    <w:p w:rsidR="00887330" w:rsidRPr="00583E1A" w:rsidRDefault="00887330" w:rsidP="00887330">
      <w:pPr>
        <w:pStyle w:val="ActHead5"/>
      </w:pPr>
      <w:bookmarkStart w:id="115" w:name="_Toc338939189"/>
      <w:r w:rsidRPr="00583E1A">
        <w:rPr>
          <w:rStyle w:val="CharSectno"/>
        </w:rPr>
        <w:t>775</w:t>
      </w:r>
      <w:r w:rsidR="00583E1A">
        <w:rPr>
          <w:rStyle w:val="CharSectno"/>
        </w:rPr>
        <w:noBreakHyphen/>
      </w:r>
      <w:r w:rsidRPr="00583E1A">
        <w:rPr>
          <w:rStyle w:val="CharSectno"/>
        </w:rPr>
        <w:t>225</w:t>
      </w:r>
      <w:r w:rsidRPr="00583E1A">
        <w:t xml:space="preserve">  What this Subdivision is about</w:t>
      </w:r>
      <w:bookmarkEnd w:id="115"/>
    </w:p>
    <w:p w:rsidR="00887330" w:rsidRPr="00583E1A" w:rsidRDefault="00887330" w:rsidP="00887330">
      <w:pPr>
        <w:pStyle w:val="BoxText"/>
      </w:pPr>
      <w:r w:rsidRPr="00583E1A">
        <w:t>You may elect to have this Subdivision apply to one or more qualifying forex accounts held by you.</w:t>
      </w:r>
    </w:p>
    <w:p w:rsidR="00887330" w:rsidRPr="00583E1A" w:rsidRDefault="00887330" w:rsidP="00887330">
      <w:pPr>
        <w:pStyle w:val="BoxText"/>
      </w:pPr>
      <w:r w:rsidRPr="00583E1A">
        <w:t>If you elect to have this Subdivision apply to an account, a forex realisation gain or a forex realisation loss you make in relation to the account as a result of forex realisation event 2 or 4 is disregarded if the account passes the limited balance test.</w:t>
      </w:r>
    </w:p>
    <w:p w:rsidR="00887330" w:rsidRPr="00583E1A" w:rsidRDefault="00887330" w:rsidP="00887330">
      <w:pPr>
        <w:pStyle w:val="BoxText"/>
      </w:pPr>
      <w:r w:rsidRPr="00583E1A">
        <w:lastRenderedPageBreak/>
        <w:t>For an account to pass the limited balance test, the combined balance of all the accounts covered by your election must not be more than the foreign currency equivalent of $250,000.</w:t>
      </w:r>
    </w:p>
    <w:p w:rsidR="00887330" w:rsidRPr="00583E1A" w:rsidRDefault="00887330" w:rsidP="00887330">
      <w:pPr>
        <w:pStyle w:val="BoxText"/>
      </w:pPr>
      <w:r w:rsidRPr="00583E1A">
        <w:t>The limited balance test includes a buffer provision which allows the combined balance to be more than the foreign currency equivalent of $250,000, but not more than the foreign currency equivalent of $500,000, for not more than 2 15</w:t>
      </w:r>
      <w:r w:rsidR="00583E1A">
        <w:noBreakHyphen/>
      </w:r>
      <w:r w:rsidRPr="00583E1A">
        <w:t>day periods in any income year.</w:t>
      </w:r>
    </w:p>
    <w:p w:rsidR="00887330" w:rsidRPr="00583E1A" w:rsidRDefault="00887330" w:rsidP="00887330">
      <w:pPr>
        <w:pStyle w:val="TofSectsHeading"/>
      </w:pPr>
      <w:r w:rsidRPr="00583E1A">
        <w:t>Table of sections</w:t>
      </w:r>
    </w:p>
    <w:p w:rsidR="00887330" w:rsidRPr="00583E1A" w:rsidRDefault="00887330" w:rsidP="00887330">
      <w:pPr>
        <w:pStyle w:val="TofSectsGroupHeading"/>
      </w:pPr>
      <w:r w:rsidRPr="00583E1A">
        <w:t>Operative provisions</w:t>
      </w:r>
    </w:p>
    <w:p w:rsidR="00887330" w:rsidRPr="00583E1A" w:rsidRDefault="00887330" w:rsidP="00887330">
      <w:pPr>
        <w:pStyle w:val="TofSectsSection"/>
      </w:pPr>
      <w:r w:rsidRPr="00583E1A">
        <w:t>775</w:t>
      </w:r>
      <w:r w:rsidR="00583E1A">
        <w:noBreakHyphen/>
      </w:r>
      <w:r w:rsidRPr="00583E1A">
        <w:t>230</w:t>
      </w:r>
      <w:r w:rsidRPr="00583E1A">
        <w:tab/>
        <w:t>Election to have this Subdivision apply to one or more qualifying forex accounts</w:t>
      </w:r>
    </w:p>
    <w:p w:rsidR="00887330" w:rsidRPr="00583E1A" w:rsidRDefault="00887330" w:rsidP="00887330">
      <w:pPr>
        <w:pStyle w:val="TofSectsSection"/>
      </w:pPr>
      <w:r w:rsidRPr="00583E1A">
        <w:t>775</w:t>
      </w:r>
      <w:r w:rsidR="00583E1A">
        <w:noBreakHyphen/>
      </w:r>
      <w:r w:rsidRPr="00583E1A">
        <w:t>235</w:t>
      </w:r>
      <w:r w:rsidRPr="00583E1A">
        <w:tab/>
        <w:t>Variation of election</w:t>
      </w:r>
    </w:p>
    <w:p w:rsidR="00887330" w:rsidRPr="00583E1A" w:rsidRDefault="00887330" w:rsidP="00887330">
      <w:pPr>
        <w:pStyle w:val="TofSectsSection"/>
      </w:pPr>
      <w:r w:rsidRPr="00583E1A">
        <w:t>775</w:t>
      </w:r>
      <w:r w:rsidR="00583E1A">
        <w:noBreakHyphen/>
      </w:r>
      <w:r w:rsidRPr="00583E1A">
        <w:t>240</w:t>
      </w:r>
      <w:r w:rsidRPr="00583E1A">
        <w:tab/>
        <w:t>Withdrawal of election</w:t>
      </w:r>
    </w:p>
    <w:p w:rsidR="00887330" w:rsidRPr="00583E1A" w:rsidRDefault="00887330" w:rsidP="00887330">
      <w:pPr>
        <w:pStyle w:val="TofSectsSection"/>
      </w:pPr>
      <w:r w:rsidRPr="00583E1A">
        <w:t>775</w:t>
      </w:r>
      <w:r w:rsidR="00583E1A">
        <w:noBreakHyphen/>
      </w:r>
      <w:r w:rsidRPr="00583E1A">
        <w:t>245</w:t>
      </w:r>
      <w:r w:rsidRPr="00583E1A">
        <w:tab/>
        <w:t xml:space="preserve">When does a qualifying forex account </w:t>
      </w:r>
      <w:r w:rsidRPr="00583E1A">
        <w:rPr>
          <w:rStyle w:val="CharBoldItalic"/>
        </w:rPr>
        <w:t>pass the limited balance test</w:t>
      </w:r>
      <w:r w:rsidRPr="00583E1A">
        <w:t>?</w:t>
      </w:r>
    </w:p>
    <w:p w:rsidR="00887330" w:rsidRPr="00583E1A" w:rsidRDefault="00887330" w:rsidP="00887330">
      <w:pPr>
        <w:pStyle w:val="TofSectsSection"/>
      </w:pPr>
      <w:r w:rsidRPr="00583E1A">
        <w:t>775</w:t>
      </w:r>
      <w:r w:rsidR="00583E1A">
        <w:noBreakHyphen/>
      </w:r>
      <w:r w:rsidRPr="00583E1A">
        <w:t>250</w:t>
      </w:r>
      <w:r w:rsidRPr="00583E1A">
        <w:tab/>
        <w:t>Tax consequences of passing the limited balance test</w:t>
      </w:r>
    </w:p>
    <w:p w:rsidR="00887330" w:rsidRPr="00583E1A" w:rsidRDefault="00887330" w:rsidP="00887330">
      <w:pPr>
        <w:pStyle w:val="TofSectsSection"/>
      </w:pPr>
      <w:r w:rsidRPr="00583E1A">
        <w:t>775</w:t>
      </w:r>
      <w:r w:rsidR="00583E1A">
        <w:noBreakHyphen/>
      </w:r>
      <w:r w:rsidRPr="00583E1A">
        <w:t>255</w:t>
      </w:r>
      <w:r w:rsidRPr="00583E1A">
        <w:tab/>
        <w:t>Notional realisation when qualifying forex account starts to pass the limited balance test</w:t>
      </w:r>
    </w:p>
    <w:p w:rsidR="00887330" w:rsidRPr="00583E1A" w:rsidRDefault="00887330" w:rsidP="00887330">
      <w:pPr>
        <w:pStyle w:val="TofSectsSection"/>
      </w:pPr>
      <w:r w:rsidRPr="00583E1A">
        <w:t>775</w:t>
      </w:r>
      <w:r w:rsidR="00583E1A">
        <w:noBreakHyphen/>
      </w:r>
      <w:r w:rsidRPr="00583E1A">
        <w:t>260</w:t>
      </w:r>
      <w:r w:rsidRPr="00583E1A">
        <w:tab/>
        <w:t>Modification of tax recognition time</w:t>
      </w:r>
    </w:p>
    <w:p w:rsidR="00887330" w:rsidRPr="00583E1A" w:rsidRDefault="00887330" w:rsidP="00887330">
      <w:pPr>
        <w:pStyle w:val="ActHead4"/>
      </w:pPr>
      <w:bookmarkStart w:id="116" w:name="_Toc338939190"/>
      <w:r w:rsidRPr="00583E1A">
        <w:t>Operative provisions</w:t>
      </w:r>
      <w:bookmarkEnd w:id="116"/>
    </w:p>
    <w:p w:rsidR="00887330" w:rsidRPr="00583E1A" w:rsidRDefault="00887330" w:rsidP="00887330">
      <w:pPr>
        <w:pStyle w:val="ActHead5"/>
      </w:pPr>
      <w:bookmarkStart w:id="117" w:name="_Toc338939191"/>
      <w:r w:rsidRPr="00583E1A">
        <w:rPr>
          <w:rStyle w:val="CharSectno"/>
        </w:rPr>
        <w:t>775</w:t>
      </w:r>
      <w:r w:rsidR="00583E1A">
        <w:rPr>
          <w:rStyle w:val="CharSectno"/>
        </w:rPr>
        <w:noBreakHyphen/>
      </w:r>
      <w:r w:rsidRPr="00583E1A">
        <w:rPr>
          <w:rStyle w:val="CharSectno"/>
        </w:rPr>
        <w:t>230</w:t>
      </w:r>
      <w:r w:rsidRPr="00583E1A">
        <w:t xml:space="preserve">  Election to have this Subdivision apply to one or more qualifying forex accounts</w:t>
      </w:r>
      <w:bookmarkEnd w:id="117"/>
    </w:p>
    <w:p w:rsidR="00887330" w:rsidRPr="00583E1A" w:rsidRDefault="00887330" w:rsidP="00887330">
      <w:pPr>
        <w:pStyle w:val="subsection"/>
      </w:pPr>
      <w:r w:rsidRPr="00583E1A">
        <w:tab/>
        <w:t>(1)</w:t>
      </w:r>
      <w:r w:rsidRPr="00583E1A">
        <w:tab/>
        <w:t xml:space="preserve">You may elect to have this Subdivision apply to one or more </w:t>
      </w:r>
      <w:r w:rsidR="00583E1A" w:rsidRPr="00583E1A">
        <w:rPr>
          <w:position w:val="6"/>
          <w:sz w:val="16"/>
        </w:rPr>
        <w:t>*</w:t>
      </w:r>
      <w:r w:rsidRPr="00583E1A">
        <w:t>qualifying forex accounts held by you.</w:t>
      </w:r>
    </w:p>
    <w:p w:rsidR="00887330" w:rsidRPr="00583E1A" w:rsidRDefault="00887330" w:rsidP="00887330">
      <w:pPr>
        <w:pStyle w:val="subsection"/>
      </w:pPr>
      <w:r w:rsidRPr="00583E1A">
        <w:tab/>
        <w:t>(2)</w:t>
      </w:r>
      <w:r w:rsidRPr="00583E1A">
        <w:tab/>
        <w:t>An election must be in writing.</w:t>
      </w:r>
    </w:p>
    <w:p w:rsidR="00887330" w:rsidRPr="00583E1A" w:rsidRDefault="00887330" w:rsidP="00887330">
      <w:pPr>
        <w:pStyle w:val="subsection"/>
      </w:pPr>
      <w:r w:rsidRPr="00583E1A">
        <w:tab/>
        <w:t>(2A)</w:t>
      </w:r>
      <w:r w:rsidRPr="00583E1A">
        <w:tab/>
        <w:t>If:</w:t>
      </w:r>
    </w:p>
    <w:p w:rsidR="00887330" w:rsidRPr="00583E1A" w:rsidRDefault="00887330" w:rsidP="00887330">
      <w:pPr>
        <w:pStyle w:val="paragraph"/>
      </w:pPr>
      <w:r w:rsidRPr="00583E1A">
        <w:tab/>
        <w:t>(a)</w:t>
      </w:r>
      <w:r w:rsidRPr="00583E1A">
        <w:tab/>
        <w:t>you make an election within 30 days after the commencement of this subsection; and</w:t>
      </w:r>
    </w:p>
    <w:p w:rsidR="00887330" w:rsidRPr="00583E1A" w:rsidRDefault="00887330" w:rsidP="00887330">
      <w:pPr>
        <w:pStyle w:val="paragraph"/>
      </w:pPr>
      <w:r w:rsidRPr="00583E1A">
        <w:tab/>
        <w:t>(b)</w:t>
      </w:r>
      <w:r w:rsidRPr="00583E1A">
        <w:tab/>
        <w:t>the election is expressed to have come into effect on a specified day; and</w:t>
      </w:r>
    </w:p>
    <w:p w:rsidR="00887330" w:rsidRPr="00583E1A" w:rsidRDefault="00887330" w:rsidP="00887330">
      <w:pPr>
        <w:pStyle w:val="paragraph"/>
      </w:pPr>
      <w:r w:rsidRPr="00583E1A">
        <w:tab/>
        <w:t>(c)</w:t>
      </w:r>
      <w:r w:rsidRPr="00583E1A">
        <w:tab/>
        <w:t>the specified day is included in the period:</w:t>
      </w:r>
    </w:p>
    <w:p w:rsidR="00887330" w:rsidRPr="00583E1A" w:rsidRDefault="00887330" w:rsidP="00887330">
      <w:pPr>
        <w:pStyle w:val="paragraphsub"/>
      </w:pPr>
      <w:r w:rsidRPr="00583E1A">
        <w:lastRenderedPageBreak/>
        <w:tab/>
        <w:t>(i)</w:t>
      </w:r>
      <w:r w:rsidRPr="00583E1A">
        <w:tab/>
        <w:t>beginning on 1</w:t>
      </w:r>
      <w:r w:rsidR="00583E1A">
        <w:t> </w:t>
      </w:r>
      <w:r w:rsidRPr="00583E1A">
        <w:t>July 2003; and</w:t>
      </w:r>
    </w:p>
    <w:p w:rsidR="00887330" w:rsidRPr="00583E1A" w:rsidRDefault="00887330" w:rsidP="00887330">
      <w:pPr>
        <w:pStyle w:val="paragraphsub"/>
      </w:pPr>
      <w:r w:rsidRPr="00583E1A">
        <w:tab/>
        <w:t>(ii)</w:t>
      </w:r>
      <w:r w:rsidRPr="00583E1A">
        <w:tab/>
        <w:t>ending on the day on which the election is made;</w:t>
      </w:r>
    </w:p>
    <w:p w:rsidR="00887330" w:rsidRPr="00583E1A" w:rsidRDefault="00887330" w:rsidP="00887330">
      <w:pPr>
        <w:pStyle w:val="subsection2"/>
      </w:pPr>
      <w:r w:rsidRPr="00583E1A">
        <w:t>the election is taken to have come into effect on the specified day.</w:t>
      </w:r>
    </w:p>
    <w:p w:rsidR="00887330" w:rsidRPr="00583E1A" w:rsidRDefault="00887330" w:rsidP="00887330">
      <w:pPr>
        <w:pStyle w:val="subsection"/>
      </w:pPr>
      <w:r w:rsidRPr="00583E1A">
        <w:tab/>
        <w:t>(3)</w:t>
      </w:r>
      <w:r w:rsidRPr="00583E1A">
        <w:tab/>
        <w:t>An election continues in effect, in relation to a particular account, until:</w:t>
      </w:r>
    </w:p>
    <w:p w:rsidR="00887330" w:rsidRPr="00583E1A" w:rsidRDefault="00887330" w:rsidP="00887330">
      <w:pPr>
        <w:pStyle w:val="paragraph"/>
      </w:pPr>
      <w:r w:rsidRPr="00583E1A">
        <w:tab/>
        <w:t>(a)</w:t>
      </w:r>
      <w:r w:rsidRPr="00583E1A">
        <w:tab/>
        <w:t>you cease to hold the account; or</w:t>
      </w:r>
    </w:p>
    <w:p w:rsidR="00887330" w:rsidRPr="00583E1A" w:rsidRDefault="00887330" w:rsidP="00887330">
      <w:pPr>
        <w:pStyle w:val="paragraph"/>
      </w:pPr>
      <w:r w:rsidRPr="00583E1A">
        <w:tab/>
        <w:t>(b)</w:t>
      </w:r>
      <w:r w:rsidRPr="00583E1A">
        <w:tab/>
        <w:t xml:space="preserve">the account ceases to be a </w:t>
      </w:r>
      <w:r w:rsidR="00583E1A" w:rsidRPr="00583E1A">
        <w:rPr>
          <w:position w:val="6"/>
          <w:sz w:val="16"/>
        </w:rPr>
        <w:t>*</w:t>
      </w:r>
      <w:r w:rsidRPr="00583E1A">
        <w:t>qualifying forex account; or</w:t>
      </w:r>
    </w:p>
    <w:p w:rsidR="00887330" w:rsidRPr="00583E1A" w:rsidRDefault="00887330" w:rsidP="00887330">
      <w:pPr>
        <w:pStyle w:val="paragraph"/>
      </w:pPr>
      <w:r w:rsidRPr="00583E1A">
        <w:tab/>
        <w:t>(c)</w:t>
      </w:r>
      <w:r w:rsidRPr="00583E1A">
        <w:tab/>
        <w:t>the election is varied by removing the account; or</w:t>
      </w:r>
    </w:p>
    <w:p w:rsidR="00887330" w:rsidRPr="00583E1A" w:rsidRDefault="00887330" w:rsidP="00887330">
      <w:pPr>
        <w:pStyle w:val="paragraph"/>
      </w:pPr>
      <w:r w:rsidRPr="00583E1A">
        <w:tab/>
        <w:t>(d)</w:t>
      </w:r>
      <w:r w:rsidRPr="00583E1A">
        <w:tab/>
        <w:t>a withdrawal of the election takes effect;</w:t>
      </w:r>
    </w:p>
    <w:p w:rsidR="00887330" w:rsidRPr="00583E1A" w:rsidRDefault="00887330" w:rsidP="00887330">
      <w:pPr>
        <w:pStyle w:val="subsection2"/>
      </w:pPr>
      <w:r w:rsidRPr="00583E1A">
        <w:t>whichever happens first.</w:t>
      </w:r>
    </w:p>
    <w:p w:rsidR="00887330" w:rsidRPr="00583E1A" w:rsidRDefault="00887330" w:rsidP="00887330">
      <w:pPr>
        <w:pStyle w:val="notetext"/>
      </w:pPr>
      <w:r w:rsidRPr="00583E1A">
        <w:t>Note 1:</w:t>
      </w:r>
      <w:r w:rsidRPr="00583E1A">
        <w:tab/>
        <w:t>For variation of election, see section</w:t>
      </w:r>
      <w:r w:rsidR="00583E1A">
        <w:t> </w:t>
      </w:r>
      <w:r w:rsidRPr="00583E1A">
        <w:t>775</w:t>
      </w:r>
      <w:r w:rsidR="00583E1A">
        <w:noBreakHyphen/>
      </w:r>
      <w:r w:rsidRPr="00583E1A">
        <w:t>235.</w:t>
      </w:r>
    </w:p>
    <w:p w:rsidR="00887330" w:rsidRPr="00583E1A" w:rsidRDefault="00887330" w:rsidP="00887330">
      <w:pPr>
        <w:pStyle w:val="notetext"/>
      </w:pPr>
      <w:r w:rsidRPr="00583E1A">
        <w:t>Note 2:</w:t>
      </w:r>
      <w:r w:rsidRPr="00583E1A">
        <w:tab/>
        <w:t>For withdrawal of election, see section</w:t>
      </w:r>
      <w:r w:rsidR="00583E1A">
        <w:t> </w:t>
      </w:r>
      <w:r w:rsidRPr="00583E1A">
        <w:t>775</w:t>
      </w:r>
      <w:r w:rsidR="00583E1A">
        <w:noBreakHyphen/>
      </w:r>
      <w:r w:rsidRPr="00583E1A">
        <w:t>240.</w:t>
      </w:r>
    </w:p>
    <w:p w:rsidR="00887330" w:rsidRPr="00583E1A" w:rsidRDefault="00887330" w:rsidP="00887330">
      <w:pPr>
        <w:pStyle w:val="subsection"/>
      </w:pPr>
      <w:r w:rsidRPr="00583E1A">
        <w:tab/>
        <w:t>(4)</w:t>
      </w:r>
      <w:r w:rsidRPr="00583E1A">
        <w:tab/>
        <w:t>If an election made by you under this section is in effect, you are not entitled to make another election under this section.</w:t>
      </w:r>
    </w:p>
    <w:p w:rsidR="00887330" w:rsidRPr="00583E1A" w:rsidRDefault="00887330" w:rsidP="00887330">
      <w:pPr>
        <w:pStyle w:val="subsection"/>
      </w:pPr>
      <w:r w:rsidRPr="00583E1A">
        <w:tab/>
        <w:t>(5)</w:t>
      </w:r>
      <w:r w:rsidRPr="00583E1A">
        <w:tab/>
        <w:t xml:space="preserve">An </w:t>
      </w:r>
      <w:r w:rsidR="00583E1A" w:rsidRPr="00583E1A">
        <w:rPr>
          <w:position w:val="6"/>
          <w:sz w:val="16"/>
        </w:rPr>
        <w:t>*</w:t>
      </w:r>
      <w:r w:rsidRPr="00583E1A">
        <w:t xml:space="preserve">ADI or a </w:t>
      </w:r>
      <w:r w:rsidR="00583E1A" w:rsidRPr="00583E1A">
        <w:rPr>
          <w:position w:val="6"/>
          <w:sz w:val="16"/>
        </w:rPr>
        <w:t>*</w:t>
      </w:r>
      <w:r w:rsidRPr="00583E1A">
        <w:t>non</w:t>
      </w:r>
      <w:r w:rsidR="00583E1A">
        <w:noBreakHyphen/>
      </w:r>
      <w:r w:rsidRPr="00583E1A">
        <w:t>ADI financial institution is not entitled to make an election under this section.</w:t>
      </w:r>
    </w:p>
    <w:p w:rsidR="00887330" w:rsidRPr="00583E1A" w:rsidRDefault="00887330" w:rsidP="00887330">
      <w:pPr>
        <w:pStyle w:val="ActHead5"/>
      </w:pPr>
      <w:bookmarkStart w:id="118" w:name="_Toc338939192"/>
      <w:r w:rsidRPr="00583E1A">
        <w:rPr>
          <w:rStyle w:val="CharSectno"/>
        </w:rPr>
        <w:t>775</w:t>
      </w:r>
      <w:r w:rsidR="00583E1A">
        <w:rPr>
          <w:rStyle w:val="CharSectno"/>
        </w:rPr>
        <w:noBreakHyphen/>
      </w:r>
      <w:r w:rsidRPr="00583E1A">
        <w:rPr>
          <w:rStyle w:val="CharSectno"/>
        </w:rPr>
        <w:t>235</w:t>
      </w:r>
      <w:r w:rsidRPr="00583E1A">
        <w:t xml:space="preserve">  Variation of election</w:t>
      </w:r>
      <w:bookmarkEnd w:id="118"/>
    </w:p>
    <w:p w:rsidR="00887330" w:rsidRPr="00583E1A" w:rsidRDefault="00887330" w:rsidP="00887330">
      <w:pPr>
        <w:pStyle w:val="subsection"/>
      </w:pPr>
      <w:r w:rsidRPr="00583E1A">
        <w:tab/>
        <w:t>(1)</w:t>
      </w:r>
      <w:r w:rsidRPr="00583E1A">
        <w:tab/>
        <w:t>If you have made an election under section</w:t>
      </w:r>
      <w:r w:rsidR="00583E1A">
        <w:t> </w:t>
      </w:r>
      <w:r w:rsidRPr="00583E1A">
        <w:t>775</w:t>
      </w:r>
      <w:r w:rsidR="00583E1A">
        <w:noBreakHyphen/>
      </w:r>
      <w:r w:rsidRPr="00583E1A">
        <w:t>230, you may vary your election by:</w:t>
      </w:r>
    </w:p>
    <w:p w:rsidR="00887330" w:rsidRPr="00583E1A" w:rsidRDefault="00887330" w:rsidP="00887330">
      <w:pPr>
        <w:pStyle w:val="paragraph"/>
      </w:pPr>
      <w:r w:rsidRPr="00583E1A">
        <w:tab/>
        <w:t>(a)</w:t>
      </w:r>
      <w:r w:rsidRPr="00583E1A">
        <w:tab/>
        <w:t xml:space="preserve">adding one or more </w:t>
      </w:r>
      <w:r w:rsidR="00583E1A" w:rsidRPr="00583E1A">
        <w:rPr>
          <w:position w:val="6"/>
          <w:sz w:val="16"/>
        </w:rPr>
        <w:t>*</w:t>
      </w:r>
      <w:r w:rsidRPr="00583E1A">
        <w:t>qualifying forex accounts; or</w:t>
      </w:r>
    </w:p>
    <w:p w:rsidR="00887330" w:rsidRPr="00583E1A" w:rsidRDefault="00887330" w:rsidP="00887330">
      <w:pPr>
        <w:pStyle w:val="paragraph"/>
      </w:pPr>
      <w:r w:rsidRPr="00583E1A">
        <w:tab/>
        <w:t>(b)</w:t>
      </w:r>
      <w:r w:rsidRPr="00583E1A">
        <w:tab/>
        <w:t>removing one or more qualifying forex accounts.</w:t>
      </w:r>
    </w:p>
    <w:p w:rsidR="00887330" w:rsidRPr="00583E1A" w:rsidRDefault="00887330" w:rsidP="00887330">
      <w:pPr>
        <w:pStyle w:val="subsection"/>
      </w:pPr>
      <w:r w:rsidRPr="00583E1A">
        <w:tab/>
        <w:t>(2)</w:t>
      </w:r>
      <w:r w:rsidRPr="00583E1A">
        <w:tab/>
        <w:t>A variation must be in writing.</w:t>
      </w:r>
    </w:p>
    <w:p w:rsidR="00887330" w:rsidRPr="00583E1A" w:rsidRDefault="00887330" w:rsidP="00887330">
      <w:pPr>
        <w:pStyle w:val="subsection"/>
      </w:pPr>
      <w:r w:rsidRPr="00583E1A">
        <w:tab/>
        <w:t>(3)</w:t>
      </w:r>
      <w:r w:rsidRPr="00583E1A">
        <w:tab/>
        <w:t>Removing an account does not prevent you from adding the account in a future variation.</w:t>
      </w:r>
    </w:p>
    <w:p w:rsidR="00887330" w:rsidRPr="00583E1A" w:rsidRDefault="00887330" w:rsidP="00887330">
      <w:pPr>
        <w:pStyle w:val="ActHead5"/>
      </w:pPr>
      <w:bookmarkStart w:id="119" w:name="_Toc338939193"/>
      <w:r w:rsidRPr="00583E1A">
        <w:rPr>
          <w:rStyle w:val="CharSectno"/>
        </w:rPr>
        <w:t>775</w:t>
      </w:r>
      <w:r w:rsidR="00583E1A">
        <w:rPr>
          <w:rStyle w:val="CharSectno"/>
        </w:rPr>
        <w:noBreakHyphen/>
      </w:r>
      <w:r w:rsidRPr="00583E1A">
        <w:rPr>
          <w:rStyle w:val="CharSectno"/>
        </w:rPr>
        <w:t>240</w:t>
      </w:r>
      <w:r w:rsidRPr="00583E1A">
        <w:t xml:space="preserve">  Withdrawal of election</w:t>
      </w:r>
      <w:bookmarkEnd w:id="119"/>
    </w:p>
    <w:p w:rsidR="00887330" w:rsidRPr="00583E1A" w:rsidRDefault="00887330" w:rsidP="00887330">
      <w:pPr>
        <w:pStyle w:val="subsection"/>
      </w:pPr>
      <w:r w:rsidRPr="00583E1A">
        <w:tab/>
        <w:t>(1)</w:t>
      </w:r>
      <w:r w:rsidRPr="00583E1A">
        <w:tab/>
        <w:t>If you have made an election under section</w:t>
      </w:r>
      <w:r w:rsidR="00583E1A">
        <w:t> </w:t>
      </w:r>
      <w:r w:rsidRPr="00583E1A">
        <w:t>775</w:t>
      </w:r>
      <w:r w:rsidR="00583E1A">
        <w:noBreakHyphen/>
      </w:r>
      <w:r w:rsidRPr="00583E1A">
        <w:t>230, you may withdraw your election.</w:t>
      </w:r>
    </w:p>
    <w:p w:rsidR="00887330" w:rsidRPr="00583E1A" w:rsidRDefault="00887330" w:rsidP="00887330">
      <w:pPr>
        <w:pStyle w:val="subsection"/>
      </w:pPr>
      <w:r w:rsidRPr="00583E1A">
        <w:tab/>
        <w:t>(2)</w:t>
      </w:r>
      <w:r w:rsidRPr="00583E1A">
        <w:tab/>
        <w:t>A withdrawal must be in writing.</w:t>
      </w:r>
    </w:p>
    <w:p w:rsidR="00887330" w:rsidRPr="00583E1A" w:rsidRDefault="00887330" w:rsidP="00887330">
      <w:pPr>
        <w:pStyle w:val="subsection"/>
      </w:pPr>
      <w:r w:rsidRPr="00583E1A">
        <w:lastRenderedPageBreak/>
        <w:tab/>
        <w:t>(3)</w:t>
      </w:r>
      <w:r w:rsidRPr="00583E1A">
        <w:tab/>
        <w:t>Withdrawing an election does not prevent you from making a fresh election under section</w:t>
      </w:r>
      <w:r w:rsidR="00583E1A">
        <w:t> </w:t>
      </w:r>
      <w:r w:rsidRPr="00583E1A">
        <w:t>775</w:t>
      </w:r>
      <w:r w:rsidR="00583E1A">
        <w:noBreakHyphen/>
      </w:r>
      <w:r w:rsidRPr="00583E1A">
        <w:t>230 in relation to any or all of the same accounts.</w:t>
      </w:r>
    </w:p>
    <w:p w:rsidR="00887330" w:rsidRPr="00583E1A" w:rsidRDefault="00887330" w:rsidP="00887330">
      <w:pPr>
        <w:pStyle w:val="ActHead5"/>
      </w:pPr>
      <w:bookmarkStart w:id="120" w:name="_Toc338939194"/>
      <w:r w:rsidRPr="00583E1A">
        <w:rPr>
          <w:rStyle w:val="CharSectno"/>
        </w:rPr>
        <w:t>775</w:t>
      </w:r>
      <w:r w:rsidR="00583E1A">
        <w:rPr>
          <w:rStyle w:val="CharSectno"/>
        </w:rPr>
        <w:noBreakHyphen/>
      </w:r>
      <w:r w:rsidRPr="00583E1A">
        <w:rPr>
          <w:rStyle w:val="CharSectno"/>
        </w:rPr>
        <w:t>245</w:t>
      </w:r>
      <w:r w:rsidRPr="00583E1A">
        <w:t xml:space="preserve">  When does a qualifying forex account </w:t>
      </w:r>
      <w:r w:rsidRPr="00583E1A">
        <w:rPr>
          <w:i/>
        </w:rPr>
        <w:t>pass the limited balance test</w:t>
      </w:r>
      <w:r w:rsidRPr="00583E1A">
        <w:t>?</w:t>
      </w:r>
      <w:bookmarkEnd w:id="120"/>
    </w:p>
    <w:p w:rsidR="00887330" w:rsidRPr="00583E1A" w:rsidRDefault="00887330" w:rsidP="00887330">
      <w:pPr>
        <w:pStyle w:val="SubsectionHead"/>
      </w:pPr>
      <w:r w:rsidRPr="00583E1A">
        <w:t>Basic rule</w:t>
      </w:r>
    </w:p>
    <w:p w:rsidR="00887330" w:rsidRPr="00583E1A" w:rsidRDefault="00887330" w:rsidP="00887330">
      <w:pPr>
        <w:pStyle w:val="subsection"/>
      </w:pPr>
      <w:r w:rsidRPr="00583E1A">
        <w:tab/>
        <w:t>(1)</w:t>
      </w:r>
      <w:r w:rsidRPr="00583E1A">
        <w:tab/>
        <w:t xml:space="preserve">For the purposes of this Subdivision, a </w:t>
      </w:r>
      <w:r w:rsidR="00583E1A" w:rsidRPr="00583E1A">
        <w:rPr>
          <w:position w:val="6"/>
          <w:sz w:val="16"/>
        </w:rPr>
        <w:t>*</w:t>
      </w:r>
      <w:r w:rsidRPr="00583E1A">
        <w:t xml:space="preserve">qualifying forex account that you hold </w:t>
      </w:r>
      <w:r w:rsidRPr="00583E1A">
        <w:rPr>
          <w:b/>
          <w:i/>
        </w:rPr>
        <w:t>passes the limited balance test</w:t>
      </w:r>
      <w:r w:rsidRPr="00583E1A">
        <w:t xml:space="preserve"> at a particular time if, at that time:</w:t>
      </w:r>
    </w:p>
    <w:p w:rsidR="00887330" w:rsidRPr="00583E1A" w:rsidRDefault="00887330" w:rsidP="00887330">
      <w:pPr>
        <w:pStyle w:val="paragraph"/>
      </w:pPr>
      <w:r w:rsidRPr="00583E1A">
        <w:tab/>
        <w:t>(a)</w:t>
      </w:r>
      <w:r w:rsidRPr="00583E1A">
        <w:tab/>
        <w:t>an election made by you under section</w:t>
      </w:r>
      <w:r w:rsidR="00583E1A">
        <w:t> </w:t>
      </w:r>
      <w:r w:rsidRPr="00583E1A">
        <w:t>775</w:t>
      </w:r>
      <w:r w:rsidR="00583E1A">
        <w:noBreakHyphen/>
      </w:r>
      <w:r w:rsidRPr="00583E1A">
        <w:t>230 has effect in relation to:</w:t>
      </w:r>
    </w:p>
    <w:p w:rsidR="00887330" w:rsidRPr="00583E1A" w:rsidRDefault="00887330" w:rsidP="00887330">
      <w:pPr>
        <w:pStyle w:val="paragraphsub"/>
      </w:pPr>
      <w:r w:rsidRPr="00583E1A">
        <w:tab/>
        <w:t>(i)</w:t>
      </w:r>
      <w:r w:rsidRPr="00583E1A">
        <w:tab/>
        <w:t>the account; or</w:t>
      </w:r>
    </w:p>
    <w:p w:rsidR="00887330" w:rsidRPr="00583E1A" w:rsidRDefault="00887330" w:rsidP="00887330">
      <w:pPr>
        <w:pStyle w:val="paragraphsub"/>
      </w:pPr>
      <w:r w:rsidRPr="00583E1A">
        <w:tab/>
        <w:t>(ii)</w:t>
      </w:r>
      <w:r w:rsidRPr="00583E1A">
        <w:tab/>
        <w:t xml:space="preserve">the account and one or more other </w:t>
      </w:r>
      <w:r w:rsidR="00583E1A" w:rsidRPr="00583E1A">
        <w:rPr>
          <w:position w:val="6"/>
          <w:sz w:val="16"/>
        </w:rPr>
        <w:t>*</w:t>
      </w:r>
      <w:r w:rsidRPr="00583E1A">
        <w:t>qualifying forex accounts; and</w:t>
      </w:r>
    </w:p>
    <w:p w:rsidR="00887330" w:rsidRPr="00583E1A" w:rsidRDefault="00887330" w:rsidP="00887330">
      <w:pPr>
        <w:pStyle w:val="paragraph"/>
      </w:pPr>
      <w:r w:rsidRPr="00583E1A">
        <w:tab/>
        <w:t>(b)</w:t>
      </w:r>
      <w:r w:rsidRPr="00583E1A">
        <w:tab/>
        <w:t xml:space="preserve">the total of the credit balances of the account and each of those other accounts (if any) is not more than the </w:t>
      </w:r>
      <w:r w:rsidR="00583E1A" w:rsidRPr="00583E1A">
        <w:rPr>
          <w:position w:val="6"/>
          <w:sz w:val="16"/>
        </w:rPr>
        <w:t>*</w:t>
      </w:r>
      <w:r w:rsidRPr="00583E1A">
        <w:t>foreign currency equivalent of $250,000; and</w:t>
      </w:r>
    </w:p>
    <w:p w:rsidR="00887330" w:rsidRPr="00583E1A" w:rsidRDefault="00887330" w:rsidP="00887330">
      <w:pPr>
        <w:pStyle w:val="paragraph"/>
      </w:pPr>
      <w:r w:rsidRPr="00583E1A">
        <w:tab/>
        <w:t>(c)</w:t>
      </w:r>
      <w:r w:rsidRPr="00583E1A">
        <w:tab/>
        <w:t>the total of the debit balances of the account and each of those other accounts (if any) is not more than the foreign currency equivalent of $250,000.</w:t>
      </w:r>
    </w:p>
    <w:p w:rsidR="00887330" w:rsidRPr="00583E1A" w:rsidRDefault="00887330" w:rsidP="00887330">
      <w:pPr>
        <w:pStyle w:val="notetext"/>
      </w:pPr>
      <w:r w:rsidRPr="00583E1A">
        <w:t>Note:</w:t>
      </w:r>
      <w:r w:rsidRPr="00583E1A">
        <w:tab/>
        <w:t xml:space="preserve">For buffering during an increased balance period, see </w:t>
      </w:r>
      <w:r w:rsidR="00583E1A">
        <w:t>subsections (</w:t>
      </w:r>
      <w:r w:rsidRPr="00583E1A">
        <w:t>2) and (3).</w:t>
      </w:r>
    </w:p>
    <w:p w:rsidR="00887330" w:rsidRPr="00583E1A" w:rsidRDefault="00887330" w:rsidP="00887330">
      <w:pPr>
        <w:pStyle w:val="SubsectionHead"/>
      </w:pPr>
      <w:r w:rsidRPr="00583E1A">
        <w:t>Buffering during first and second increased balance period</w:t>
      </w:r>
    </w:p>
    <w:p w:rsidR="00887330" w:rsidRPr="00583E1A" w:rsidRDefault="00887330" w:rsidP="00887330">
      <w:pPr>
        <w:pStyle w:val="subsection"/>
      </w:pPr>
      <w:r w:rsidRPr="00583E1A">
        <w:tab/>
        <w:t>(2)</w:t>
      </w:r>
      <w:r w:rsidRPr="00583E1A">
        <w:tab/>
        <w:t xml:space="preserve">For the purposes of this section, an </w:t>
      </w:r>
      <w:r w:rsidRPr="00583E1A">
        <w:rPr>
          <w:b/>
          <w:i/>
        </w:rPr>
        <w:t>increased balance period</w:t>
      </w:r>
      <w:r w:rsidRPr="00583E1A">
        <w:t xml:space="preserve"> is a continuous period consisting of:</w:t>
      </w:r>
    </w:p>
    <w:p w:rsidR="00887330" w:rsidRPr="00583E1A" w:rsidRDefault="00887330" w:rsidP="00887330">
      <w:pPr>
        <w:pStyle w:val="paragraph"/>
      </w:pPr>
      <w:r w:rsidRPr="00583E1A">
        <w:tab/>
        <w:t>(a)</w:t>
      </w:r>
      <w:r w:rsidRPr="00583E1A">
        <w:tab/>
        <w:t>an income year; or</w:t>
      </w:r>
    </w:p>
    <w:p w:rsidR="00887330" w:rsidRPr="00583E1A" w:rsidRDefault="00887330" w:rsidP="00887330">
      <w:pPr>
        <w:pStyle w:val="paragraph"/>
      </w:pPr>
      <w:r w:rsidRPr="00583E1A">
        <w:tab/>
        <w:t>(b)</w:t>
      </w:r>
      <w:r w:rsidRPr="00583E1A">
        <w:tab/>
        <w:t>a particular part of an income year;</w:t>
      </w:r>
    </w:p>
    <w:p w:rsidR="00887330" w:rsidRPr="00583E1A" w:rsidRDefault="00887330" w:rsidP="00887330">
      <w:pPr>
        <w:pStyle w:val="subsection2"/>
      </w:pPr>
      <w:r w:rsidRPr="00583E1A">
        <w:t>where, at each time during the period, either or both of the following conditions is satisfied:</w:t>
      </w:r>
    </w:p>
    <w:p w:rsidR="00887330" w:rsidRPr="00583E1A" w:rsidRDefault="00887330" w:rsidP="00887330">
      <w:pPr>
        <w:pStyle w:val="paragraph"/>
      </w:pPr>
      <w:r w:rsidRPr="00583E1A">
        <w:tab/>
        <w:t>(c)</w:t>
      </w:r>
      <w:r w:rsidRPr="00583E1A">
        <w:tab/>
        <w:t>the total of the credit balances of the account or accounts covered by your section</w:t>
      </w:r>
      <w:r w:rsidR="00583E1A">
        <w:t> </w:t>
      </w:r>
      <w:r w:rsidRPr="00583E1A">
        <w:t>775</w:t>
      </w:r>
      <w:r w:rsidR="00583E1A">
        <w:noBreakHyphen/>
      </w:r>
      <w:r w:rsidRPr="00583E1A">
        <w:t xml:space="preserve">230 election is more than the </w:t>
      </w:r>
      <w:r w:rsidR="00583E1A" w:rsidRPr="00583E1A">
        <w:rPr>
          <w:position w:val="6"/>
          <w:sz w:val="16"/>
        </w:rPr>
        <w:t>*</w:t>
      </w:r>
      <w:r w:rsidRPr="00583E1A">
        <w:t>foreign currency equivalent of $250,000, but not more than the foreign currency equivalent of $500,000;</w:t>
      </w:r>
    </w:p>
    <w:p w:rsidR="00887330" w:rsidRPr="00583E1A" w:rsidRDefault="00887330" w:rsidP="00887330">
      <w:pPr>
        <w:pStyle w:val="paragraph"/>
      </w:pPr>
      <w:r w:rsidRPr="00583E1A">
        <w:lastRenderedPageBreak/>
        <w:tab/>
        <w:t>(d)</w:t>
      </w:r>
      <w:r w:rsidRPr="00583E1A">
        <w:tab/>
        <w:t>the total of the debit balances of the account or accounts covered by your section</w:t>
      </w:r>
      <w:r w:rsidR="00583E1A">
        <w:t> </w:t>
      </w:r>
      <w:r w:rsidRPr="00583E1A">
        <w:t>775</w:t>
      </w:r>
      <w:r w:rsidR="00583E1A">
        <w:noBreakHyphen/>
      </w:r>
      <w:r w:rsidRPr="00583E1A">
        <w:t>230 election is more than the foreign currency equivalent of $250,000, but not more than the foreign currency equivalent of $500,000.</w:t>
      </w:r>
    </w:p>
    <w:p w:rsidR="00887330" w:rsidRPr="00583E1A" w:rsidRDefault="00887330" w:rsidP="00887330">
      <w:pPr>
        <w:pStyle w:val="subsection"/>
      </w:pPr>
      <w:r w:rsidRPr="00583E1A">
        <w:tab/>
        <w:t>(3)</w:t>
      </w:r>
      <w:r w:rsidRPr="00583E1A">
        <w:tab/>
        <w:t>The table has effect:</w:t>
      </w:r>
    </w:p>
    <w:p w:rsidR="00887330" w:rsidRPr="00583E1A" w:rsidRDefault="00887330" w:rsidP="00887330">
      <w:pPr>
        <w:pStyle w:val="Tabletext"/>
      </w:pPr>
    </w:p>
    <w:tbl>
      <w:tblPr>
        <w:tblW w:w="0" w:type="auto"/>
        <w:tblInd w:w="113" w:type="dxa"/>
        <w:tblLayout w:type="fixed"/>
        <w:tblLook w:val="0000" w:firstRow="0" w:lastRow="0" w:firstColumn="0" w:lastColumn="0" w:noHBand="0" w:noVBand="0"/>
      </w:tblPr>
      <w:tblGrid>
        <w:gridCol w:w="714"/>
        <w:gridCol w:w="3186"/>
        <w:gridCol w:w="3186"/>
      </w:tblGrid>
      <w:tr w:rsidR="00887330" w:rsidRPr="00583E1A">
        <w:trPr>
          <w:cantSplit/>
          <w:tblHeader/>
        </w:trPr>
        <w:tc>
          <w:tcPr>
            <w:tcW w:w="7086" w:type="dxa"/>
            <w:gridSpan w:val="3"/>
            <w:tcBorders>
              <w:top w:val="single" w:sz="12" w:space="0" w:color="auto"/>
              <w:bottom w:val="single" w:sz="6" w:space="0" w:color="auto"/>
            </w:tcBorders>
            <w:shd w:val="clear" w:color="auto" w:fill="auto"/>
          </w:tcPr>
          <w:p w:rsidR="00887330" w:rsidRPr="00583E1A" w:rsidRDefault="00887330" w:rsidP="00887330">
            <w:pPr>
              <w:pStyle w:val="Tabletext"/>
              <w:keepNext/>
              <w:rPr>
                <w:b/>
              </w:rPr>
            </w:pPr>
            <w:r w:rsidRPr="00583E1A">
              <w:rPr>
                <w:b/>
              </w:rPr>
              <w:t>Increased balance period</w:t>
            </w:r>
          </w:p>
        </w:tc>
      </w:tr>
      <w:tr w:rsidR="00887330" w:rsidRPr="00583E1A">
        <w:trPr>
          <w:cantSplit/>
          <w:tblHeader/>
        </w:trPr>
        <w:tc>
          <w:tcPr>
            <w:tcW w:w="714" w:type="dxa"/>
            <w:tcBorders>
              <w:top w:val="single" w:sz="6" w:space="0" w:color="auto"/>
              <w:bottom w:val="single" w:sz="12" w:space="0" w:color="auto"/>
            </w:tcBorders>
            <w:shd w:val="clear" w:color="auto" w:fill="auto"/>
          </w:tcPr>
          <w:p w:rsidR="00887330" w:rsidRPr="00583E1A" w:rsidRDefault="00887330" w:rsidP="00887330">
            <w:pPr>
              <w:pStyle w:val="Tabletext"/>
              <w:keepNext/>
              <w:rPr>
                <w:b/>
              </w:rPr>
            </w:pPr>
            <w:r w:rsidRPr="00583E1A">
              <w:rPr>
                <w:b/>
              </w:rPr>
              <w:t>Item</w:t>
            </w:r>
          </w:p>
        </w:tc>
        <w:tc>
          <w:tcPr>
            <w:tcW w:w="3186" w:type="dxa"/>
            <w:tcBorders>
              <w:top w:val="single" w:sz="6" w:space="0" w:color="auto"/>
              <w:bottom w:val="single" w:sz="12" w:space="0" w:color="auto"/>
            </w:tcBorders>
            <w:shd w:val="clear" w:color="auto" w:fill="auto"/>
          </w:tcPr>
          <w:p w:rsidR="00887330" w:rsidRPr="00583E1A" w:rsidRDefault="00887330" w:rsidP="00887330">
            <w:pPr>
              <w:pStyle w:val="Tabletext"/>
              <w:keepNext/>
              <w:rPr>
                <w:b/>
              </w:rPr>
            </w:pPr>
            <w:r w:rsidRPr="00583E1A">
              <w:rPr>
                <w:b/>
              </w:rPr>
              <w:t>In this case...</w:t>
            </w:r>
          </w:p>
        </w:tc>
        <w:tc>
          <w:tcPr>
            <w:tcW w:w="3186" w:type="dxa"/>
            <w:tcBorders>
              <w:top w:val="single" w:sz="6" w:space="0" w:color="auto"/>
              <w:bottom w:val="single" w:sz="12" w:space="0" w:color="auto"/>
            </w:tcBorders>
            <w:shd w:val="clear" w:color="auto" w:fill="auto"/>
          </w:tcPr>
          <w:p w:rsidR="00887330" w:rsidRPr="00583E1A" w:rsidRDefault="00887330" w:rsidP="00887330">
            <w:pPr>
              <w:pStyle w:val="Tabletext"/>
              <w:keepNext/>
              <w:rPr>
                <w:b/>
              </w:rPr>
            </w:pPr>
            <w:r w:rsidRPr="00583E1A">
              <w:rPr>
                <w:b/>
              </w:rPr>
              <w:t>this is the result...</w:t>
            </w:r>
          </w:p>
        </w:tc>
      </w:tr>
      <w:tr w:rsidR="00887330" w:rsidRPr="00583E1A">
        <w:trPr>
          <w:cantSplit/>
        </w:trPr>
        <w:tc>
          <w:tcPr>
            <w:tcW w:w="714" w:type="dxa"/>
            <w:tcBorders>
              <w:top w:val="single" w:sz="12" w:space="0" w:color="auto"/>
              <w:bottom w:val="single" w:sz="2" w:space="0" w:color="auto"/>
            </w:tcBorders>
            <w:shd w:val="clear" w:color="auto" w:fill="auto"/>
          </w:tcPr>
          <w:p w:rsidR="00887330" w:rsidRPr="00583E1A" w:rsidRDefault="00887330" w:rsidP="00887330">
            <w:pPr>
              <w:pStyle w:val="Tabletext"/>
            </w:pPr>
            <w:r w:rsidRPr="00583E1A">
              <w:t>1</w:t>
            </w:r>
          </w:p>
        </w:tc>
        <w:tc>
          <w:tcPr>
            <w:tcW w:w="3186" w:type="dxa"/>
            <w:tcBorders>
              <w:top w:val="single" w:sz="12" w:space="0" w:color="auto"/>
              <w:bottom w:val="single" w:sz="2" w:space="0" w:color="auto"/>
            </w:tcBorders>
            <w:shd w:val="clear" w:color="auto" w:fill="auto"/>
          </w:tcPr>
          <w:p w:rsidR="00887330" w:rsidRPr="00583E1A" w:rsidRDefault="00887330" w:rsidP="00887330">
            <w:pPr>
              <w:pStyle w:val="Tablea"/>
            </w:pPr>
            <w:r w:rsidRPr="00583E1A">
              <w:t>(a) an increased balance period is the first or only increased balance period that occurs in a particular income year; and</w:t>
            </w:r>
          </w:p>
          <w:p w:rsidR="00887330" w:rsidRPr="00583E1A" w:rsidRDefault="00887330" w:rsidP="00887330">
            <w:pPr>
              <w:pStyle w:val="Tablea"/>
            </w:pPr>
            <w:r w:rsidRPr="00583E1A">
              <w:t>(b) the duration of the period i</w:t>
            </w:r>
            <w:smartTag w:uri="urn:schemas-microsoft-com:office:smarttags" w:element="PersonName">
              <w:r w:rsidRPr="00583E1A">
                <w:t>s 1</w:t>
              </w:r>
            </w:smartTag>
            <w:r w:rsidRPr="00583E1A">
              <w:t>5 days or less; and</w:t>
            </w:r>
          </w:p>
          <w:p w:rsidR="00887330" w:rsidRPr="00583E1A" w:rsidRDefault="00887330" w:rsidP="00887330">
            <w:pPr>
              <w:pStyle w:val="Tablea"/>
            </w:pPr>
            <w:r w:rsidRPr="00583E1A">
              <w:t>(c) it is not the case that:</w:t>
            </w:r>
          </w:p>
          <w:p w:rsidR="00887330" w:rsidRPr="00583E1A" w:rsidRDefault="00887330" w:rsidP="00887330">
            <w:pPr>
              <w:pStyle w:val="Tablei"/>
            </w:pPr>
            <w:r w:rsidRPr="00583E1A">
              <w:t>(i) the period began at the start of the income year; and</w:t>
            </w:r>
          </w:p>
          <w:p w:rsidR="00887330" w:rsidRPr="00583E1A" w:rsidRDefault="00887330" w:rsidP="00887330">
            <w:pPr>
              <w:pStyle w:val="Tablei"/>
            </w:pPr>
            <w:r w:rsidRPr="00583E1A">
              <w:t>(ii) another increased balance period ended at the end of the previous income year</w:t>
            </w:r>
          </w:p>
        </w:tc>
        <w:tc>
          <w:tcPr>
            <w:tcW w:w="3186" w:type="dxa"/>
            <w:tcBorders>
              <w:top w:val="single" w:sz="12" w:space="0" w:color="auto"/>
              <w:bottom w:val="single" w:sz="2" w:space="0" w:color="auto"/>
            </w:tcBorders>
            <w:shd w:val="clear" w:color="auto" w:fill="auto"/>
          </w:tcPr>
          <w:p w:rsidR="00887330" w:rsidRPr="00583E1A" w:rsidRDefault="00583E1A" w:rsidP="00887330">
            <w:pPr>
              <w:pStyle w:val="Tabletext"/>
            </w:pPr>
            <w:r>
              <w:t>paragraphs (</w:t>
            </w:r>
            <w:r w:rsidR="00887330" w:rsidRPr="00583E1A">
              <w:t>1)(b) and (c) do not apply during the first</w:t>
            </w:r>
            <w:r>
              <w:noBreakHyphen/>
            </w:r>
            <w:r w:rsidR="00887330" w:rsidRPr="00583E1A">
              <w:t>mentioned increased balance period.</w:t>
            </w:r>
          </w:p>
        </w:tc>
      </w:tr>
      <w:tr w:rsidR="00887330" w:rsidRPr="00583E1A">
        <w:trPr>
          <w:cantSplit/>
        </w:trPr>
        <w:tc>
          <w:tcPr>
            <w:tcW w:w="714" w:type="dxa"/>
            <w:tcBorders>
              <w:top w:val="single" w:sz="2" w:space="0" w:color="auto"/>
              <w:bottom w:val="single" w:sz="2" w:space="0" w:color="auto"/>
            </w:tcBorders>
            <w:shd w:val="clear" w:color="auto" w:fill="auto"/>
          </w:tcPr>
          <w:p w:rsidR="00887330" w:rsidRPr="00583E1A" w:rsidRDefault="00887330" w:rsidP="00887330">
            <w:pPr>
              <w:pStyle w:val="Tabletext"/>
            </w:pPr>
            <w:r w:rsidRPr="00583E1A">
              <w:t>2</w:t>
            </w:r>
          </w:p>
        </w:tc>
        <w:tc>
          <w:tcPr>
            <w:tcW w:w="3186" w:type="dxa"/>
            <w:tcBorders>
              <w:top w:val="single" w:sz="2" w:space="0" w:color="auto"/>
              <w:bottom w:val="single" w:sz="2" w:space="0" w:color="auto"/>
            </w:tcBorders>
            <w:shd w:val="clear" w:color="auto" w:fill="auto"/>
          </w:tcPr>
          <w:p w:rsidR="00887330" w:rsidRPr="00583E1A" w:rsidRDefault="00887330" w:rsidP="00887330">
            <w:pPr>
              <w:pStyle w:val="Tablea"/>
            </w:pPr>
            <w:r w:rsidRPr="00583E1A">
              <w:t>(a) an increased balance period is the first or only increased balance period that occurs in a particular income year; and</w:t>
            </w:r>
          </w:p>
          <w:p w:rsidR="00887330" w:rsidRPr="00583E1A" w:rsidRDefault="00887330" w:rsidP="00887330">
            <w:pPr>
              <w:pStyle w:val="Tablea"/>
            </w:pPr>
            <w:r w:rsidRPr="00583E1A">
              <w:t>(b) both:</w:t>
            </w:r>
          </w:p>
          <w:p w:rsidR="00887330" w:rsidRPr="00583E1A" w:rsidRDefault="00887330" w:rsidP="00887330">
            <w:pPr>
              <w:pStyle w:val="Tablei"/>
            </w:pPr>
            <w:r w:rsidRPr="00583E1A">
              <w:t>(i) the period began at the start of the income year; and</w:t>
            </w:r>
          </w:p>
          <w:p w:rsidR="00887330" w:rsidRPr="00583E1A" w:rsidRDefault="00887330" w:rsidP="00887330">
            <w:pPr>
              <w:pStyle w:val="Tablei"/>
            </w:pPr>
            <w:r w:rsidRPr="00583E1A">
              <w:t>(ii) another increased balance period ended at the end of the previous income year; and</w:t>
            </w:r>
          </w:p>
          <w:p w:rsidR="00887330" w:rsidRPr="00583E1A" w:rsidRDefault="00887330" w:rsidP="00887330">
            <w:pPr>
              <w:pStyle w:val="Tablea"/>
            </w:pPr>
            <w:r w:rsidRPr="00583E1A">
              <w:t>(c) the total duration of those increased balance periods i</w:t>
            </w:r>
            <w:smartTag w:uri="urn:schemas-microsoft-com:office:smarttags" w:element="PersonName">
              <w:r w:rsidRPr="00583E1A">
                <w:t>s 1</w:t>
              </w:r>
            </w:smartTag>
            <w:r w:rsidRPr="00583E1A">
              <w:t>5 days or less</w:t>
            </w:r>
          </w:p>
        </w:tc>
        <w:tc>
          <w:tcPr>
            <w:tcW w:w="3186" w:type="dxa"/>
            <w:tcBorders>
              <w:top w:val="single" w:sz="2" w:space="0" w:color="auto"/>
              <w:bottom w:val="single" w:sz="2" w:space="0" w:color="auto"/>
            </w:tcBorders>
            <w:shd w:val="clear" w:color="auto" w:fill="auto"/>
          </w:tcPr>
          <w:p w:rsidR="00887330" w:rsidRPr="00583E1A" w:rsidRDefault="00583E1A" w:rsidP="00887330">
            <w:pPr>
              <w:pStyle w:val="Tabletext"/>
            </w:pPr>
            <w:r>
              <w:t>paragraphs (</w:t>
            </w:r>
            <w:r w:rsidR="00887330" w:rsidRPr="00583E1A">
              <w:t>1)(b) and (c) do not apply during those increased balance periods.</w:t>
            </w:r>
          </w:p>
        </w:tc>
      </w:tr>
      <w:tr w:rsidR="00887330" w:rsidRPr="00583E1A">
        <w:trPr>
          <w:cantSplit/>
        </w:trPr>
        <w:tc>
          <w:tcPr>
            <w:tcW w:w="714" w:type="dxa"/>
            <w:tcBorders>
              <w:top w:val="single" w:sz="2" w:space="0" w:color="auto"/>
              <w:bottom w:val="single" w:sz="2" w:space="0" w:color="auto"/>
            </w:tcBorders>
            <w:shd w:val="clear" w:color="auto" w:fill="auto"/>
          </w:tcPr>
          <w:p w:rsidR="00887330" w:rsidRPr="00583E1A" w:rsidRDefault="00887330" w:rsidP="00887330">
            <w:pPr>
              <w:pStyle w:val="Tabletext"/>
            </w:pPr>
            <w:r w:rsidRPr="00583E1A">
              <w:lastRenderedPageBreak/>
              <w:t>3</w:t>
            </w:r>
          </w:p>
        </w:tc>
        <w:tc>
          <w:tcPr>
            <w:tcW w:w="3186" w:type="dxa"/>
            <w:tcBorders>
              <w:top w:val="single" w:sz="2" w:space="0" w:color="auto"/>
              <w:bottom w:val="single" w:sz="2" w:space="0" w:color="auto"/>
            </w:tcBorders>
            <w:shd w:val="clear" w:color="auto" w:fill="auto"/>
          </w:tcPr>
          <w:p w:rsidR="00887330" w:rsidRPr="00583E1A" w:rsidRDefault="00887330" w:rsidP="00887330">
            <w:pPr>
              <w:pStyle w:val="Tablea"/>
            </w:pPr>
            <w:r w:rsidRPr="00583E1A">
              <w:t>(a) an increased balance period is the first or only increased balance period that occurs in a particular income year; and</w:t>
            </w:r>
          </w:p>
          <w:p w:rsidR="00887330" w:rsidRPr="00583E1A" w:rsidRDefault="00887330" w:rsidP="00887330">
            <w:pPr>
              <w:pStyle w:val="Tablea"/>
            </w:pPr>
            <w:r w:rsidRPr="00583E1A">
              <w:t>(b) the duration of the period is more than 15 days; and</w:t>
            </w:r>
          </w:p>
          <w:p w:rsidR="00887330" w:rsidRPr="00583E1A" w:rsidRDefault="00887330" w:rsidP="00887330">
            <w:pPr>
              <w:pStyle w:val="Tablea"/>
            </w:pPr>
            <w:r w:rsidRPr="00583E1A">
              <w:t>(c) it is not the case that:</w:t>
            </w:r>
          </w:p>
          <w:p w:rsidR="00887330" w:rsidRPr="00583E1A" w:rsidRDefault="00887330" w:rsidP="00887330">
            <w:pPr>
              <w:pStyle w:val="Tablei"/>
            </w:pPr>
            <w:r w:rsidRPr="00583E1A">
              <w:t>(i) the period began at the start of the income year; and</w:t>
            </w:r>
          </w:p>
          <w:p w:rsidR="00887330" w:rsidRPr="00583E1A" w:rsidRDefault="00887330" w:rsidP="00887330">
            <w:pPr>
              <w:pStyle w:val="Tablei"/>
            </w:pPr>
            <w:r w:rsidRPr="00583E1A">
              <w:t>(ii) another increased balance period ended at the end of the previous income year</w:t>
            </w:r>
          </w:p>
        </w:tc>
        <w:tc>
          <w:tcPr>
            <w:tcW w:w="3186" w:type="dxa"/>
            <w:tcBorders>
              <w:top w:val="single" w:sz="2" w:space="0" w:color="auto"/>
              <w:bottom w:val="single" w:sz="2" w:space="0" w:color="auto"/>
            </w:tcBorders>
            <w:shd w:val="clear" w:color="auto" w:fill="auto"/>
          </w:tcPr>
          <w:p w:rsidR="00887330" w:rsidRPr="00583E1A" w:rsidRDefault="00583E1A" w:rsidP="00887330">
            <w:pPr>
              <w:pStyle w:val="Tabletext"/>
            </w:pPr>
            <w:r>
              <w:t>paragraphs (</w:t>
            </w:r>
            <w:r w:rsidR="00887330" w:rsidRPr="00583E1A">
              <w:t>1)(b) and (c) do not apply during the first 15 days of the first</w:t>
            </w:r>
            <w:r>
              <w:noBreakHyphen/>
            </w:r>
            <w:r w:rsidR="00887330" w:rsidRPr="00583E1A">
              <w:t>mentioned increased balance period.</w:t>
            </w:r>
          </w:p>
        </w:tc>
      </w:tr>
      <w:tr w:rsidR="00887330" w:rsidRPr="00583E1A">
        <w:trPr>
          <w:cantSplit/>
        </w:trPr>
        <w:tc>
          <w:tcPr>
            <w:tcW w:w="714" w:type="dxa"/>
            <w:tcBorders>
              <w:top w:val="single" w:sz="2" w:space="0" w:color="auto"/>
              <w:bottom w:val="single" w:sz="2" w:space="0" w:color="auto"/>
            </w:tcBorders>
            <w:shd w:val="clear" w:color="auto" w:fill="auto"/>
          </w:tcPr>
          <w:p w:rsidR="00887330" w:rsidRPr="00583E1A" w:rsidRDefault="00887330" w:rsidP="00887330">
            <w:pPr>
              <w:pStyle w:val="Tabletext"/>
            </w:pPr>
            <w:r w:rsidRPr="00583E1A">
              <w:t>4</w:t>
            </w:r>
          </w:p>
        </w:tc>
        <w:tc>
          <w:tcPr>
            <w:tcW w:w="3186" w:type="dxa"/>
            <w:tcBorders>
              <w:top w:val="single" w:sz="2" w:space="0" w:color="auto"/>
              <w:bottom w:val="single" w:sz="2" w:space="0" w:color="auto"/>
            </w:tcBorders>
            <w:shd w:val="clear" w:color="auto" w:fill="auto"/>
          </w:tcPr>
          <w:p w:rsidR="00887330" w:rsidRPr="00583E1A" w:rsidRDefault="00887330" w:rsidP="00887330">
            <w:pPr>
              <w:pStyle w:val="Tablea"/>
            </w:pPr>
            <w:r w:rsidRPr="00583E1A">
              <w:t>(a) an increased balance period is the first or only increased balance period that occurs in a particular income year; and</w:t>
            </w:r>
          </w:p>
          <w:p w:rsidR="00887330" w:rsidRPr="00583E1A" w:rsidRDefault="00887330" w:rsidP="00887330">
            <w:pPr>
              <w:pStyle w:val="Tablea"/>
            </w:pPr>
            <w:r w:rsidRPr="00583E1A">
              <w:t>(b) both:</w:t>
            </w:r>
          </w:p>
          <w:p w:rsidR="00887330" w:rsidRPr="00583E1A" w:rsidRDefault="00887330" w:rsidP="00887330">
            <w:pPr>
              <w:pStyle w:val="Tablei"/>
            </w:pPr>
            <w:r w:rsidRPr="00583E1A">
              <w:t>(i) the period began at the start of the income year; and</w:t>
            </w:r>
          </w:p>
          <w:p w:rsidR="00887330" w:rsidRPr="00583E1A" w:rsidRDefault="00887330" w:rsidP="00887330">
            <w:pPr>
              <w:pStyle w:val="Tablei"/>
            </w:pPr>
            <w:r w:rsidRPr="00583E1A">
              <w:t>(ii) another increased balance period ended at the end of the previous income year; and</w:t>
            </w:r>
          </w:p>
          <w:p w:rsidR="00887330" w:rsidRPr="00583E1A" w:rsidRDefault="00887330" w:rsidP="00887330">
            <w:pPr>
              <w:pStyle w:val="Tablea"/>
            </w:pPr>
            <w:r w:rsidRPr="00583E1A">
              <w:t>(c) the total duration of those increased balance periods is more than 15 days</w:t>
            </w:r>
          </w:p>
        </w:tc>
        <w:tc>
          <w:tcPr>
            <w:tcW w:w="3186" w:type="dxa"/>
            <w:tcBorders>
              <w:top w:val="single" w:sz="2" w:space="0" w:color="auto"/>
              <w:bottom w:val="single" w:sz="2" w:space="0" w:color="auto"/>
            </w:tcBorders>
            <w:shd w:val="clear" w:color="auto" w:fill="auto"/>
          </w:tcPr>
          <w:p w:rsidR="00887330" w:rsidRPr="00583E1A" w:rsidRDefault="00583E1A" w:rsidP="00887330">
            <w:pPr>
              <w:pStyle w:val="Tabletext"/>
            </w:pPr>
            <w:r>
              <w:t>paragraphs (</w:t>
            </w:r>
            <w:r w:rsidR="00887330" w:rsidRPr="00583E1A">
              <w:t>1)(b) and (c) do not apply during the first 15 days of the period that consists of those increased balance periods.</w:t>
            </w:r>
          </w:p>
        </w:tc>
      </w:tr>
      <w:tr w:rsidR="00887330" w:rsidRPr="00583E1A">
        <w:trPr>
          <w:cantSplit/>
        </w:trPr>
        <w:tc>
          <w:tcPr>
            <w:tcW w:w="714" w:type="dxa"/>
            <w:tcBorders>
              <w:top w:val="single" w:sz="2" w:space="0" w:color="auto"/>
              <w:bottom w:val="single" w:sz="2" w:space="0" w:color="auto"/>
            </w:tcBorders>
            <w:shd w:val="clear" w:color="auto" w:fill="auto"/>
          </w:tcPr>
          <w:p w:rsidR="00887330" w:rsidRPr="00583E1A" w:rsidRDefault="00887330" w:rsidP="00887330">
            <w:pPr>
              <w:pStyle w:val="Tabletext"/>
            </w:pPr>
            <w:r w:rsidRPr="00583E1A">
              <w:t>5</w:t>
            </w:r>
          </w:p>
        </w:tc>
        <w:tc>
          <w:tcPr>
            <w:tcW w:w="3186" w:type="dxa"/>
            <w:tcBorders>
              <w:top w:val="single" w:sz="2" w:space="0" w:color="auto"/>
              <w:bottom w:val="single" w:sz="2" w:space="0" w:color="auto"/>
            </w:tcBorders>
            <w:shd w:val="clear" w:color="auto" w:fill="auto"/>
          </w:tcPr>
          <w:p w:rsidR="00887330" w:rsidRPr="00583E1A" w:rsidRDefault="00887330" w:rsidP="00887330">
            <w:pPr>
              <w:pStyle w:val="Tablea"/>
            </w:pPr>
            <w:r w:rsidRPr="00583E1A">
              <w:t>(a) an increased balance period is the second increased balance period that occurs in a particular income year; and</w:t>
            </w:r>
          </w:p>
          <w:p w:rsidR="00887330" w:rsidRPr="00583E1A" w:rsidRDefault="00887330" w:rsidP="00887330">
            <w:pPr>
              <w:pStyle w:val="Tablea"/>
            </w:pPr>
            <w:r w:rsidRPr="00583E1A">
              <w:t>(b) the duration of the period i</w:t>
            </w:r>
            <w:smartTag w:uri="urn:schemas-microsoft-com:office:smarttags" w:element="PersonName">
              <w:r w:rsidRPr="00583E1A">
                <w:t>s 1</w:t>
              </w:r>
            </w:smartTag>
            <w:r w:rsidRPr="00583E1A">
              <w:t>5 days or less; and</w:t>
            </w:r>
          </w:p>
          <w:p w:rsidR="00887330" w:rsidRPr="00583E1A" w:rsidRDefault="00887330" w:rsidP="00887330">
            <w:pPr>
              <w:pStyle w:val="Tablea"/>
            </w:pPr>
            <w:r w:rsidRPr="00583E1A">
              <w:t>(c) item</w:t>
            </w:r>
            <w:r w:rsidR="00583E1A">
              <w:t> </w:t>
            </w:r>
            <w:r w:rsidRPr="00583E1A">
              <w:t>1 or 2 applies to the first increased balance period that occurred in the income year</w:t>
            </w:r>
          </w:p>
        </w:tc>
        <w:tc>
          <w:tcPr>
            <w:tcW w:w="3186" w:type="dxa"/>
            <w:tcBorders>
              <w:top w:val="single" w:sz="2" w:space="0" w:color="auto"/>
              <w:bottom w:val="single" w:sz="2" w:space="0" w:color="auto"/>
            </w:tcBorders>
            <w:shd w:val="clear" w:color="auto" w:fill="auto"/>
          </w:tcPr>
          <w:p w:rsidR="00887330" w:rsidRPr="00583E1A" w:rsidRDefault="00583E1A" w:rsidP="00887330">
            <w:pPr>
              <w:pStyle w:val="Tabletext"/>
            </w:pPr>
            <w:r>
              <w:t>paragraphs (</w:t>
            </w:r>
            <w:r w:rsidR="00887330" w:rsidRPr="00583E1A">
              <w:t>1)(b) and (c) do not apply during the first</w:t>
            </w:r>
            <w:r>
              <w:noBreakHyphen/>
            </w:r>
            <w:r w:rsidR="00887330" w:rsidRPr="00583E1A">
              <w:t>mentioned increased balance period.</w:t>
            </w:r>
          </w:p>
        </w:tc>
      </w:tr>
      <w:tr w:rsidR="00887330" w:rsidRPr="00583E1A">
        <w:trPr>
          <w:cantSplit/>
        </w:trPr>
        <w:tc>
          <w:tcPr>
            <w:tcW w:w="714" w:type="dxa"/>
            <w:tcBorders>
              <w:top w:val="single" w:sz="2" w:space="0" w:color="auto"/>
              <w:bottom w:val="single" w:sz="12" w:space="0" w:color="auto"/>
            </w:tcBorders>
            <w:shd w:val="clear" w:color="auto" w:fill="auto"/>
          </w:tcPr>
          <w:p w:rsidR="00887330" w:rsidRPr="00583E1A" w:rsidRDefault="00887330" w:rsidP="00887330">
            <w:pPr>
              <w:pStyle w:val="Tabletext"/>
            </w:pPr>
            <w:r w:rsidRPr="00583E1A">
              <w:lastRenderedPageBreak/>
              <w:t>6</w:t>
            </w:r>
          </w:p>
        </w:tc>
        <w:tc>
          <w:tcPr>
            <w:tcW w:w="3186" w:type="dxa"/>
            <w:tcBorders>
              <w:top w:val="single" w:sz="2" w:space="0" w:color="auto"/>
              <w:bottom w:val="single" w:sz="12" w:space="0" w:color="auto"/>
            </w:tcBorders>
            <w:shd w:val="clear" w:color="auto" w:fill="auto"/>
          </w:tcPr>
          <w:p w:rsidR="00887330" w:rsidRPr="00583E1A" w:rsidRDefault="00887330" w:rsidP="00887330">
            <w:pPr>
              <w:pStyle w:val="Tablea"/>
            </w:pPr>
            <w:r w:rsidRPr="00583E1A">
              <w:t>(a) an increased balance period is the second increased balance period that occurs in a particular income year; and</w:t>
            </w:r>
          </w:p>
          <w:p w:rsidR="00887330" w:rsidRPr="00583E1A" w:rsidRDefault="00887330" w:rsidP="00887330">
            <w:pPr>
              <w:pStyle w:val="Tablea"/>
            </w:pPr>
            <w:r w:rsidRPr="00583E1A">
              <w:t>(b) the duration of the period is more than 15 days; and</w:t>
            </w:r>
          </w:p>
          <w:p w:rsidR="00887330" w:rsidRPr="00583E1A" w:rsidRDefault="00887330" w:rsidP="00887330">
            <w:pPr>
              <w:pStyle w:val="Tablea"/>
            </w:pPr>
            <w:r w:rsidRPr="00583E1A">
              <w:t>(c) item</w:t>
            </w:r>
            <w:r w:rsidR="00583E1A">
              <w:t> </w:t>
            </w:r>
            <w:r w:rsidRPr="00583E1A">
              <w:t>1 or 2 applies to the first increased balance period that occurred in the income year</w:t>
            </w:r>
          </w:p>
        </w:tc>
        <w:tc>
          <w:tcPr>
            <w:tcW w:w="3186" w:type="dxa"/>
            <w:tcBorders>
              <w:top w:val="single" w:sz="2" w:space="0" w:color="auto"/>
              <w:bottom w:val="single" w:sz="12" w:space="0" w:color="auto"/>
            </w:tcBorders>
            <w:shd w:val="clear" w:color="auto" w:fill="auto"/>
          </w:tcPr>
          <w:p w:rsidR="00887330" w:rsidRPr="00583E1A" w:rsidRDefault="00583E1A" w:rsidP="00887330">
            <w:pPr>
              <w:pStyle w:val="Tabletext"/>
            </w:pPr>
            <w:r>
              <w:t>paragraphs (</w:t>
            </w:r>
            <w:r w:rsidR="00887330" w:rsidRPr="00583E1A">
              <w:t>1)(b) and (c) do not apply during the first 15 days of the first</w:t>
            </w:r>
            <w:r>
              <w:noBreakHyphen/>
            </w:r>
            <w:r w:rsidR="00887330" w:rsidRPr="00583E1A">
              <w:t>mentioned increased balance period.</w:t>
            </w:r>
          </w:p>
        </w:tc>
      </w:tr>
    </w:tbl>
    <w:p w:rsidR="00887330" w:rsidRPr="00583E1A" w:rsidRDefault="00887330" w:rsidP="00887330">
      <w:pPr>
        <w:pStyle w:val="SubsectionHead"/>
      </w:pPr>
      <w:r w:rsidRPr="00583E1A">
        <w:t>Translation of foreign currency</w:t>
      </w:r>
    </w:p>
    <w:p w:rsidR="00887330" w:rsidRPr="00583E1A" w:rsidRDefault="00887330" w:rsidP="00887330">
      <w:pPr>
        <w:pStyle w:val="subsection"/>
      </w:pPr>
      <w:r w:rsidRPr="00583E1A">
        <w:tab/>
        <w:t>(4)</w:t>
      </w:r>
      <w:r w:rsidRPr="00583E1A">
        <w:tab/>
        <w:t>For the purposes of the application of section</w:t>
      </w:r>
      <w:r w:rsidR="00583E1A">
        <w:t> </w:t>
      </w:r>
      <w:r w:rsidRPr="00583E1A">
        <w:t>960</w:t>
      </w:r>
      <w:r w:rsidR="00583E1A">
        <w:noBreakHyphen/>
      </w:r>
      <w:r w:rsidRPr="00583E1A">
        <w:t xml:space="preserve">50 to this section, work out the </w:t>
      </w:r>
      <w:r w:rsidR="00583E1A" w:rsidRPr="00583E1A">
        <w:rPr>
          <w:position w:val="6"/>
          <w:sz w:val="16"/>
        </w:rPr>
        <w:t>*</w:t>
      </w:r>
      <w:r w:rsidRPr="00583E1A">
        <w:t>foreign currency equivalent of an amount of Australian currency as at a particular time in an income year by translating the foreign currency to Australian currency at the average exchange rate for the third month that preceded the income year.</w:t>
      </w:r>
    </w:p>
    <w:p w:rsidR="00887330" w:rsidRPr="00583E1A" w:rsidRDefault="00887330" w:rsidP="00887330">
      <w:pPr>
        <w:pStyle w:val="SubsectionHead"/>
      </w:pPr>
      <w:r w:rsidRPr="00583E1A">
        <w:t>Debit balances</w:t>
      </w:r>
    </w:p>
    <w:p w:rsidR="00887330" w:rsidRPr="00583E1A" w:rsidRDefault="00887330" w:rsidP="00887330">
      <w:pPr>
        <w:pStyle w:val="subsection"/>
      </w:pPr>
      <w:r w:rsidRPr="00583E1A">
        <w:tab/>
        <w:t>(5)</w:t>
      </w:r>
      <w:r w:rsidRPr="00583E1A">
        <w:tab/>
        <w:t>For the purposes of this section, a debit balance is to be expressed as a positive amount.</w:t>
      </w:r>
    </w:p>
    <w:p w:rsidR="00887330" w:rsidRPr="00583E1A" w:rsidRDefault="00887330" w:rsidP="00887330">
      <w:pPr>
        <w:pStyle w:val="notetext"/>
      </w:pPr>
      <w:r w:rsidRPr="00583E1A">
        <w:t>Note:</w:t>
      </w:r>
      <w:r w:rsidRPr="00583E1A">
        <w:tab/>
        <w:t>For example, if you owe $1,100 on a credit card account, the debit balance of that account is $1,100.</w:t>
      </w:r>
    </w:p>
    <w:p w:rsidR="00887330" w:rsidRPr="00583E1A" w:rsidRDefault="00887330" w:rsidP="00887330">
      <w:pPr>
        <w:pStyle w:val="ActHead5"/>
      </w:pPr>
      <w:bookmarkStart w:id="121" w:name="_Toc338939195"/>
      <w:r w:rsidRPr="00583E1A">
        <w:rPr>
          <w:rStyle w:val="CharSectno"/>
        </w:rPr>
        <w:t>775</w:t>
      </w:r>
      <w:r w:rsidR="00583E1A">
        <w:rPr>
          <w:rStyle w:val="CharSectno"/>
        </w:rPr>
        <w:noBreakHyphen/>
      </w:r>
      <w:r w:rsidRPr="00583E1A">
        <w:rPr>
          <w:rStyle w:val="CharSectno"/>
        </w:rPr>
        <w:t>250</w:t>
      </w:r>
      <w:r w:rsidRPr="00583E1A">
        <w:t xml:space="preserve">  Tax consequences of passing the limited balance test</w:t>
      </w:r>
      <w:bookmarkEnd w:id="121"/>
    </w:p>
    <w:p w:rsidR="00887330" w:rsidRPr="00583E1A" w:rsidRDefault="00887330" w:rsidP="00887330">
      <w:pPr>
        <w:pStyle w:val="subsection"/>
      </w:pPr>
      <w:r w:rsidRPr="00583E1A">
        <w:tab/>
        <w:t>(1)</w:t>
      </w:r>
      <w:r w:rsidRPr="00583E1A">
        <w:tab/>
        <w:t xml:space="preserve">A </w:t>
      </w:r>
      <w:r w:rsidR="00583E1A" w:rsidRPr="00583E1A">
        <w:rPr>
          <w:position w:val="6"/>
          <w:sz w:val="16"/>
        </w:rPr>
        <w:t>*</w:t>
      </w:r>
      <w:r w:rsidRPr="00583E1A">
        <w:t xml:space="preserve">forex realisation gain or a </w:t>
      </w:r>
      <w:r w:rsidR="00583E1A" w:rsidRPr="00583E1A">
        <w:rPr>
          <w:position w:val="6"/>
          <w:sz w:val="16"/>
        </w:rPr>
        <w:t>*</w:t>
      </w:r>
      <w:r w:rsidRPr="00583E1A">
        <w:t xml:space="preserve">forex realisation loss you make as a result of forex realisation event 2 or 4 is disregarded if the event happens in relation to a </w:t>
      </w:r>
      <w:r w:rsidR="00583E1A" w:rsidRPr="00583E1A">
        <w:rPr>
          <w:position w:val="6"/>
          <w:sz w:val="16"/>
        </w:rPr>
        <w:t>*</w:t>
      </w:r>
      <w:r w:rsidRPr="00583E1A">
        <w:t>qualifying forex account that:</w:t>
      </w:r>
    </w:p>
    <w:p w:rsidR="00887330" w:rsidRPr="00583E1A" w:rsidRDefault="00887330" w:rsidP="00887330">
      <w:pPr>
        <w:pStyle w:val="paragraph"/>
      </w:pPr>
      <w:r w:rsidRPr="00583E1A">
        <w:tab/>
        <w:t>(a)</w:t>
      </w:r>
      <w:r w:rsidRPr="00583E1A">
        <w:tab/>
        <w:t>you hold at the time of the event; and</w:t>
      </w:r>
    </w:p>
    <w:p w:rsidR="00887330" w:rsidRPr="00583E1A" w:rsidRDefault="00887330" w:rsidP="00887330">
      <w:pPr>
        <w:pStyle w:val="paragraph"/>
      </w:pPr>
      <w:r w:rsidRPr="00583E1A">
        <w:tab/>
        <w:t>(b)</w:t>
      </w:r>
      <w:r w:rsidRPr="00583E1A">
        <w:tab/>
        <w:t>passes the limited balance test at the time of the event.</w:t>
      </w:r>
    </w:p>
    <w:p w:rsidR="00887330" w:rsidRPr="00583E1A" w:rsidRDefault="00887330" w:rsidP="00887330">
      <w:pPr>
        <w:pStyle w:val="subsection"/>
      </w:pPr>
      <w:r w:rsidRPr="00583E1A">
        <w:tab/>
        <w:t>(2)</w:t>
      </w:r>
      <w:r w:rsidRPr="00583E1A">
        <w:tab/>
        <w:t xml:space="preserve">If CGT event C1 or C2 happens in relation to a </w:t>
      </w:r>
      <w:r w:rsidR="00583E1A" w:rsidRPr="00583E1A">
        <w:rPr>
          <w:position w:val="6"/>
          <w:sz w:val="16"/>
        </w:rPr>
        <w:t>*</w:t>
      </w:r>
      <w:r w:rsidRPr="00583E1A">
        <w:t>qualifying forex account that:</w:t>
      </w:r>
    </w:p>
    <w:p w:rsidR="00887330" w:rsidRPr="00583E1A" w:rsidRDefault="00887330" w:rsidP="00887330">
      <w:pPr>
        <w:pStyle w:val="paragraph"/>
      </w:pPr>
      <w:r w:rsidRPr="00583E1A">
        <w:tab/>
        <w:t>(a)</w:t>
      </w:r>
      <w:r w:rsidRPr="00583E1A">
        <w:tab/>
        <w:t>you hold at the time of the event; and</w:t>
      </w:r>
    </w:p>
    <w:p w:rsidR="00887330" w:rsidRPr="00583E1A" w:rsidRDefault="00887330" w:rsidP="0018527D">
      <w:pPr>
        <w:pStyle w:val="paragraph"/>
        <w:keepNext/>
        <w:keepLines/>
      </w:pPr>
      <w:r w:rsidRPr="00583E1A">
        <w:lastRenderedPageBreak/>
        <w:tab/>
        <w:t>(b)</w:t>
      </w:r>
      <w:r w:rsidRPr="00583E1A">
        <w:tab/>
        <w:t>passes the limited balance test at the time of the event;</w:t>
      </w:r>
    </w:p>
    <w:p w:rsidR="00887330" w:rsidRPr="00583E1A" w:rsidRDefault="00887330" w:rsidP="00887330">
      <w:pPr>
        <w:pStyle w:val="subsection2"/>
      </w:pPr>
      <w:r w:rsidRPr="00583E1A">
        <w:t xml:space="preserve">disregard so much of any </w:t>
      </w:r>
      <w:r w:rsidR="00583E1A" w:rsidRPr="00583E1A">
        <w:rPr>
          <w:position w:val="6"/>
          <w:sz w:val="16"/>
        </w:rPr>
        <w:t>*</w:t>
      </w:r>
      <w:r w:rsidRPr="00583E1A">
        <w:t xml:space="preserve">capital gain or </w:t>
      </w:r>
      <w:r w:rsidR="00583E1A" w:rsidRPr="00583E1A">
        <w:rPr>
          <w:position w:val="6"/>
          <w:sz w:val="16"/>
        </w:rPr>
        <w:t>*</w:t>
      </w:r>
      <w:r w:rsidRPr="00583E1A">
        <w:t xml:space="preserve">capital loss you make as a result of the event as is attributable to a </w:t>
      </w:r>
      <w:r w:rsidR="00583E1A" w:rsidRPr="00583E1A">
        <w:rPr>
          <w:position w:val="6"/>
          <w:sz w:val="16"/>
        </w:rPr>
        <w:t>*</w:t>
      </w:r>
      <w:r w:rsidRPr="00583E1A">
        <w:t>currency exchange rate effect.</w:t>
      </w:r>
    </w:p>
    <w:p w:rsidR="00887330" w:rsidRPr="00583E1A" w:rsidRDefault="00887330" w:rsidP="00887330">
      <w:pPr>
        <w:pStyle w:val="notetext"/>
      </w:pPr>
      <w:r w:rsidRPr="00583E1A">
        <w:t>Note:</w:t>
      </w:r>
      <w:r w:rsidRPr="00583E1A">
        <w:tab/>
        <w:t xml:space="preserve">For </w:t>
      </w:r>
      <w:r w:rsidRPr="00583E1A">
        <w:rPr>
          <w:b/>
          <w:i/>
        </w:rPr>
        <w:t>currency exchange rate effect</w:t>
      </w:r>
      <w:r w:rsidRPr="00583E1A">
        <w:t>, see section</w:t>
      </w:r>
      <w:r w:rsidR="00583E1A">
        <w:t> </w:t>
      </w:r>
      <w:r w:rsidRPr="00583E1A">
        <w:t>775</w:t>
      </w:r>
      <w:r w:rsidR="00583E1A">
        <w:noBreakHyphen/>
      </w:r>
      <w:r w:rsidRPr="00583E1A">
        <w:t>105.</w:t>
      </w:r>
    </w:p>
    <w:p w:rsidR="00887330" w:rsidRPr="00583E1A" w:rsidRDefault="00887330" w:rsidP="00887330">
      <w:pPr>
        <w:pStyle w:val="ActHead5"/>
      </w:pPr>
      <w:bookmarkStart w:id="122" w:name="_Toc338939196"/>
      <w:r w:rsidRPr="00583E1A">
        <w:rPr>
          <w:rStyle w:val="CharSectno"/>
        </w:rPr>
        <w:t>775</w:t>
      </w:r>
      <w:r w:rsidR="00583E1A">
        <w:rPr>
          <w:rStyle w:val="CharSectno"/>
        </w:rPr>
        <w:noBreakHyphen/>
      </w:r>
      <w:r w:rsidRPr="00583E1A">
        <w:rPr>
          <w:rStyle w:val="CharSectno"/>
        </w:rPr>
        <w:t>255</w:t>
      </w:r>
      <w:r w:rsidRPr="00583E1A">
        <w:t xml:space="preserve">  Notional realisation when qualifying forex account starts to pass the limited balance test</w:t>
      </w:r>
      <w:bookmarkEnd w:id="122"/>
    </w:p>
    <w:p w:rsidR="00887330" w:rsidRPr="00583E1A" w:rsidRDefault="00887330" w:rsidP="00887330">
      <w:pPr>
        <w:pStyle w:val="SubsectionHead"/>
      </w:pPr>
      <w:r w:rsidRPr="00583E1A">
        <w:t>Credit balance</w:t>
      </w:r>
    </w:p>
    <w:p w:rsidR="00887330" w:rsidRPr="00583E1A" w:rsidRDefault="00887330" w:rsidP="00887330">
      <w:pPr>
        <w:pStyle w:val="subsection"/>
      </w:pPr>
      <w:r w:rsidRPr="00583E1A">
        <w:tab/>
        <w:t>(1)</w:t>
      </w:r>
      <w:r w:rsidRPr="00583E1A">
        <w:tab/>
        <w:t>For the purposes of this Division, if:</w:t>
      </w:r>
    </w:p>
    <w:p w:rsidR="00887330" w:rsidRPr="00583E1A" w:rsidRDefault="00887330" w:rsidP="00887330">
      <w:pPr>
        <w:pStyle w:val="paragraph"/>
      </w:pPr>
      <w:r w:rsidRPr="00583E1A">
        <w:tab/>
        <w:t>(a)</w:t>
      </w:r>
      <w:r w:rsidRPr="00583E1A">
        <w:tab/>
        <w:t xml:space="preserve">you hold a </w:t>
      </w:r>
      <w:r w:rsidR="00583E1A" w:rsidRPr="00583E1A">
        <w:rPr>
          <w:position w:val="6"/>
          <w:sz w:val="16"/>
        </w:rPr>
        <w:t>*</w:t>
      </w:r>
      <w:r w:rsidRPr="00583E1A">
        <w:t>qualifying forex account; and</w:t>
      </w:r>
    </w:p>
    <w:p w:rsidR="00887330" w:rsidRPr="00583E1A" w:rsidRDefault="00887330" w:rsidP="00887330">
      <w:pPr>
        <w:pStyle w:val="paragraph"/>
      </w:pPr>
      <w:r w:rsidRPr="00583E1A">
        <w:tab/>
        <w:t>(b)</w:t>
      </w:r>
      <w:r w:rsidRPr="00583E1A">
        <w:tab/>
        <w:t>at a particular time:</w:t>
      </w:r>
    </w:p>
    <w:p w:rsidR="00887330" w:rsidRPr="00583E1A" w:rsidRDefault="00887330" w:rsidP="00887330">
      <w:pPr>
        <w:pStyle w:val="paragraphsub"/>
      </w:pPr>
      <w:r w:rsidRPr="00583E1A">
        <w:tab/>
        <w:t>(i)</w:t>
      </w:r>
      <w:r w:rsidRPr="00583E1A">
        <w:tab/>
        <w:t>the account starts to pass the limited balance test; and</w:t>
      </w:r>
    </w:p>
    <w:p w:rsidR="00887330" w:rsidRPr="00583E1A" w:rsidRDefault="00887330" w:rsidP="00887330">
      <w:pPr>
        <w:pStyle w:val="paragraphsub"/>
      </w:pPr>
      <w:r w:rsidRPr="00583E1A">
        <w:tab/>
        <w:t>(ii)</w:t>
      </w:r>
      <w:r w:rsidRPr="00583E1A">
        <w:tab/>
        <w:t>the account has a credit balance; and</w:t>
      </w:r>
    </w:p>
    <w:p w:rsidR="00887330" w:rsidRPr="00583E1A" w:rsidRDefault="00887330" w:rsidP="00887330">
      <w:pPr>
        <w:pStyle w:val="paragraphsub"/>
      </w:pPr>
      <w:r w:rsidRPr="00583E1A">
        <w:tab/>
        <w:t>(iii)</w:t>
      </w:r>
      <w:r w:rsidRPr="00583E1A">
        <w:tab/>
        <w:t xml:space="preserve">you have one or more rights to receive a total amount of </w:t>
      </w:r>
      <w:r w:rsidR="00583E1A" w:rsidRPr="00583E1A">
        <w:rPr>
          <w:position w:val="6"/>
          <w:sz w:val="16"/>
        </w:rPr>
        <w:t>*</w:t>
      </w:r>
      <w:r w:rsidRPr="00583E1A">
        <w:t>foreign currency represented by the credit balance of the account;</w:t>
      </w:r>
    </w:p>
    <w:p w:rsidR="00887330" w:rsidRPr="00583E1A" w:rsidRDefault="00887330" w:rsidP="00887330">
      <w:pPr>
        <w:pStyle w:val="subsection2"/>
      </w:pPr>
      <w:r w:rsidRPr="00583E1A">
        <w:t>you are treated as:</w:t>
      </w:r>
    </w:p>
    <w:p w:rsidR="00887330" w:rsidRPr="00583E1A" w:rsidRDefault="00887330" w:rsidP="00887330">
      <w:pPr>
        <w:pStyle w:val="paragraph"/>
      </w:pPr>
      <w:r w:rsidRPr="00583E1A">
        <w:tab/>
        <w:t>(c)</w:t>
      </w:r>
      <w:r w:rsidRPr="00583E1A">
        <w:tab/>
        <w:t>having ceased to have those rights at that time; and</w:t>
      </w:r>
    </w:p>
    <w:p w:rsidR="00887330" w:rsidRPr="00583E1A" w:rsidRDefault="00887330" w:rsidP="00887330">
      <w:pPr>
        <w:pStyle w:val="paragraph"/>
      </w:pPr>
      <w:r w:rsidRPr="00583E1A">
        <w:tab/>
        <w:t>(d)</w:t>
      </w:r>
      <w:r w:rsidRPr="00583E1A">
        <w:tab/>
        <w:t>having re</w:t>
      </w:r>
      <w:r w:rsidR="00583E1A">
        <w:noBreakHyphen/>
      </w:r>
      <w:r w:rsidRPr="00583E1A">
        <w:t>acquired those rights immediately after that time.</w:t>
      </w:r>
    </w:p>
    <w:p w:rsidR="00887330" w:rsidRPr="00583E1A" w:rsidRDefault="00887330" w:rsidP="00887330">
      <w:pPr>
        <w:pStyle w:val="notetext"/>
      </w:pPr>
      <w:r w:rsidRPr="00583E1A">
        <w:t>Note:</w:t>
      </w:r>
      <w:r w:rsidRPr="00583E1A">
        <w:tab/>
        <w:t>This means that forex realisation event 2 will happen when the account starts to pass the limited balance test.</w:t>
      </w:r>
    </w:p>
    <w:p w:rsidR="00887330" w:rsidRPr="00583E1A" w:rsidRDefault="00887330" w:rsidP="00887330">
      <w:pPr>
        <w:pStyle w:val="SubsectionHead"/>
      </w:pPr>
      <w:r w:rsidRPr="00583E1A">
        <w:t>Debit balance</w:t>
      </w:r>
    </w:p>
    <w:p w:rsidR="00887330" w:rsidRPr="00583E1A" w:rsidRDefault="00887330" w:rsidP="00887330">
      <w:pPr>
        <w:pStyle w:val="subsection"/>
      </w:pPr>
      <w:r w:rsidRPr="00583E1A">
        <w:tab/>
        <w:t>(2)</w:t>
      </w:r>
      <w:r w:rsidRPr="00583E1A">
        <w:tab/>
        <w:t>For the purposes of this Division, if:</w:t>
      </w:r>
    </w:p>
    <w:p w:rsidR="00887330" w:rsidRPr="00583E1A" w:rsidRDefault="00887330" w:rsidP="00887330">
      <w:pPr>
        <w:pStyle w:val="paragraph"/>
      </w:pPr>
      <w:r w:rsidRPr="00583E1A">
        <w:tab/>
        <w:t>(a)</w:t>
      </w:r>
      <w:r w:rsidRPr="00583E1A">
        <w:tab/>
        <w:t xml:space="preserve">you hold a </w:t>
      </w:r>
      <w:r w:rsidR="00583E1A" w:rsidRPr="00583E1A">
        <w:rPr>
          <w:position w:val="6"/>
          <w:sz w:val="16"/>
        </w:rPr>
        <w:t>*</w:t>
      </w:r>
      <w:r w:rsidRPr="00583E1A">
        <w:t>qualifying forex account; and</w:t>
      </w:r>
    </w:p>
    <w:p w:rsidR="00887330" w:rsidRPr="00583E1A" w:rsidRDefault="00887330" w:rsidP="00887330">
      <w:pPr>
        <w:pStyle w:val="paragraph"/>
      </w:pPr>
      <w:r w:rsidRPr="00583E1A">
        <w:tab/>
        <w:t>(b)</w:t>
      </w:r>
      <w:r w:rsidRPr="00583E1A">
        <w:tab/>
        <w:t>at a particular time:</w:t>
      </w:r>
    </w:p>
    <w:p w:rsidR="00887330" w:rsidRPr="00583E1A" w:rsidRDefault="00887330" w:rsidP="00887330">
      <w:pPr>
        <w:pStyle w:val="paragraphsub"/>
      </w:pPr>
      <w:r w:rsidRPr="00583E1A">
        <w:tab/>
        <w:t>(i)</w:t>
      </w:r>
      <w:r w:rsidRPr="00583E1A">
        <w:tab/>
        <w:t>the account starts to pass the limited balance test; and</w:t>
      </w:r>
    </w:p>
    <w:p w:rsidR="00887330" w:rsidRPr="00583E1A" w:rsidRDefault="00887330" w:rsidP="00887330">
      <w:pPr>
        <w:pStyle w:val="paragraphsub"/>
      </w:pPr>
      <w:r w:rsidRPr="00583E1A">
        <w:tab/>
        <w:t>(ii)</w:t>
      </w:r>
      <w:r w:rsidRPr="00583E1A">
        <w:tab/>
        <w:t>the account has a debit balance; and</w:t>
      </w:r>
    </w:p>
    <w:p w:rsidR="00887330" w:rsidRPr="00583E1A" w:rsidRDefault="00887330" w:rsidP="00887330">
      <w:pPr>
        <w:pStyle w:val="paragraphsub"/>
      </w:pPr>
      <w:r w:rsidRPr="00583E1A">
        <w:tab/>
        <w:t>(iii)</w:t>
      </w:r>
      <w:r w:rsidRPr="00583E1A">
        <w:tab/>
        <w:t xml:space="preserve">you have one or more obligations to pay a total amount of </w:t>
      </w:r>
      <w:r w:rsidR="00583E1A" w:rsidRPr="00583E1A">
        <w:rPr>
          <w:position w:val="6"/>
          <w:sz w:val="16"/>
        </w:rPr>
        <w:t>*</w:t>
      </w:r>
      <w:r w:rsidRPr="00583E1A">
        <w:t>foreign currency represented by the debit balance of the account;</w:t>
      </w:r>
    </w:p>
    <w:p w:rsidR="00887330" w:rsidRPr="00583E1A" w:rsidRDefault="00887330" w:rsidP="00887330">
      <w:pPr>
        <w:pStyle w:val="subsection2"/>
      </w:pPr>
      <w:r w:rsidRPr="00583E1A">
        <w:t>you are treated as:</w:t>
      </w:r>
    </w:p>
    <w:p w:rsidR="00887330" w:rsidRPr="00583E1A" w:rsidRDefault="00887330" w:rsidP="00887330">
      <w:pPr>
        <w:pStyle w:val="paragraph"/>
      </w:pPr>
      <w:r w:rsidRPr="00583E1A">
        <w:tab/>
        <w:t>(c)</w:t>
      </w:r>
      <w:r w:rsidRPr="00583E1A">
        <w:tab/>
        <w:t>having ceased to have those obligations at that time; and</w:t>
      </w:r>
    </w:p>
    <w:p w:rsidR="00887330" w:rsidRPr="00583E1A" w:rsidRDefault="00887330" w:rsidP="00887330">
      <w:pPr>
        <w:pStyle w:val="paragraph"/>
      </w:pPr>
      <w:r w:rsidRPr="00583E1A">
        <w:lastRenderedPageBreak/>
        <w:tab/>
        <w:t>(d)</w:t>
      </w:r>
      <w:r w:rsidRPr="00583E1A">
        <w:tab/>
        <w:t>having started to again owe those obligations immediately after that time.</w:t>
      </w:r>
    </w:p>
    <w:p w:rsidR="00887330" w:rsidRPr="00583E1A" w:rsidRDefault="00887330" w:rsidP="00887330">
      <w:pPr>
        <w:pStyle w:val="notetext"/>
      </w:pPr>
      <w:r w:rsidRPr="00583E1A">
        <w:t>Note:</w:t>
      </w:r>
      <w:r w:rsidRPr="00583E1A">
        <w:tab/>
        <w:t>This means that forex realisation event 4 will happen when the account starts to pass the limited balance test.</w:t>
      </w:r>
    </w:p>
    <w:p w:rsidR="00887330" w:rsidRPr="00583E1A" w:rsidRDefault="00887330" w:rsidP="00887330">
      <w:pPr>
        <w:pStyle w:val="ActHead5"/>
      </w:pPr>
      <w:bookmarkStart w:id="123" w:name="_Toc338939197"/>
      <w:r w:rsidRPr="00583E1A">
        <w:rPr>
          <w:rStyle w:val="CharSectno"/>
        </w:rPr>
        <w:t>775</w:t>
      </w:r>
      <w:r w:rsidR="00583E1A">
        <w:rPr>
          <w:rStyle w:val="CharSectno"/>
        </w:rPr>
        <w:noBreakHyphen/>
      </w:r>
      <w:r w:rsidRPr="00583E1A">
        <w:rPr>
          <w:rStyle w:val="CharSectno"/>
        </w:rPr>
        <w:t>260</w:t>
      </w:r>
      <w:r w:rsidRPr="00583E1A">
        <w:t xml:space="preserve">  Modification of tax recognition time</w:t>
      </w:r>
      <w:bookmarkEnd w:id="123"/>
    </w:p>
    <w:p w:rsidR="00887330" w:rsidRPr="00583E1A" w:rsidRDefault="00887330" w:rsidP="00887330">
      <w:pPr>
        <w:pStyle w:val="SubsectionHead"/>
      </w:pPr>
      <w:r w:rsidRPr="00583E1A">
        <w:t>Forex realisation event 2</w:t>
      </w:r>
    </w:p>
    <w:p w:rsidR="00887330" w:rsidRPr="00583E1A" w:rsidRDefault="00887330" w:rsidP="00887330">
      <w:pPr>
        <w:pStyle w:val="subsection"/>
      </w:pPr>
      <w:r w:rsidRPr="00583E1A">
        <w:tab/>
        <w:t>(1)</w:t>
      </w:r>
      <w:r w:rsidRPr="00583E1A">
        <w:tab/>
        <w:t>If:</w:t>
      </w:r>
    </w:p>
    <w:p w:rsidR="00887330" w:rsidRPr="00583E1A" w:rsidRDefault="00887330" w:rsidP="00887330">
      <w:pPr>
        <w:pStyle w:val="paragraph"/>
      </w:pPr>
      <w:r w:rsidRPr="00583E1A">
        <w:tab/>
        <w:t>(a)</w:t>
      </w:r>
      <w:r w:rsidRPr="00583E1A">
        <w:tab/>
        <w:t xml:space="preserve">forex realisation event 2 happens in relation to a </w:t>
      </w:r>
      <w:r w:rsidR="00583E1A" w:rsidRPr="00583E1A">
        <w:rPr>
          <w:position w:val="6"/>
          <w:sz w:val="16"/>
        </w:rPr>
        <w:t>*</w:t>
      </w:r>
      <w:r w:rsidRPr="00583E1A">
        <w:t>qualifying forex account that:</w:t>
      </w:r>
    </w:p>
    <w:p w:rsidR="00887330" w:rsidRPr="00583E1A" w:rsidRDefault="00887330" w:rsidP="00887330">
      <w:pPr>
        <w:pStyle w:val="paragraphsub"/>
      </w:pPr>
      <w:r w:rsidRPr="00583E1A">
        <w:tab/>
        <w:t>(i)</w:t>
      </w:r>
      <w:r w:rsidRPr="00583E1A">
        <w:tab/>
        <w:t>you hold at the time of the event; and</w:t>
      </w:r>
    </w:p>
    <w:p w:rsidR="00887330" w:rsidRPr="00583E1A" w:rsidRDefault="00887330" w:rsidP="00887330">
      <w:pPr>
        <w:pStyle w:val="paragraphsub"/>
      </w:pPr>
      <w:r w:rsidRPr="00583E1A">
        <w:tab/>
        <w:t>(ii)</w:t>
      </w:r>
      <w:r w:rsidRPr="00583E1A">
        <w:tab/>
        <w:t>does not pass the limited balance test at the time of the event; and</w:t>
      </w:r>
    </w:p>
    <w:p w:rsidR="00887330" w:rsidRPr="00583E1A" w:rsidRDefault="00887330" w:rsidP="00887330">
      <w:pPr>
        <w:pStyle w:val="paragraph"/>
      </w:pPr>
      <w:r w:rsidRPr="00583E1A">
        <w:tab/>
        <w:t>(b)</w:t>
      </w:r>
      <w:r w:rsidRPr="00583E1A">
        <w:tab/>
        <w:t>apart from this subsection, the tax recognition time, worked out using the table in subsection 775</w:t>
      </w:r>
      <w:r w:rsidR="00583E1A">
        <w:noBreakHyphen/>
      </w:r>
      <w:r w:rsidRPr="00583E1A">
        <w:t>45(7), happened at a time when the account passed the limited balance test;</w:t>
      </w:r>
    </w:p>
    <w:p w:rsidR="00887330" w:rsidRPr="00583E1A" w:rsidRDefault="00887330" w:rsidP="00887330">
      <w:pPr>
        <w:pStyle w:val="subsection2"/>
      </w:pPr>
      <w:r w:rsidRPr="00583E1A">
        <w:t>section</w:t>
      </w:r>
      <w:r w:rsidR="00583E1A">
        <w:t> </w:t>
      </w:r>
      <w:r w:rsidRPr="00583E1A">
        <w:t>775</w:t>
      </w:r>
      <w:r w:rsidR="00583E1A">
        <w:noBreakHyphen/>
      </w:r>
      <w:r w:rsidRPr="00583E1A">
        <w:t>45 applies to you as if the tax recognition time were the most recent time before the forex realisation event when the account ceased to pass the limited balance test (despite subsection 775</w:t>
      </w:r>
      <w:r w:rsidR="00583E1A">
        <w:noBreakHyphen/>
      </w:r>
      <w:r w:rsidRPr="00583E1A">
        <w:t>45(7)).</w:t>
      </w:r>
    </w:p>
    <w:p w:rsidR="00887330" w:rsidRPr="00583E1A" w:rsidRDefault="00887330" w:rsidP="00887330">
      <w:pPr>
        <w:pStyle w:val="SubsectionHead"/>
      </w:pPr>
      <w:r w:rsidRPr="00583E1A">
        <w:t>Forex realisation event 4</w:t>
      </w:r>
    </w:p>
    <w:p w:rsidR="00887330" w:rsidRPr="00583E1A" w:rsidRDefault="00887330" w:rsidP="00887330">
      <w:pPr>
        <w:pStyle w:val="subsection"/>
      </w:pPr>
      <w:r w:rsidRPr="00583E1A">
        <w:tab/>
        <w:t>(2)</w:t>
      </w:r>
      <w:r w:rsidRPr="00583E1A">
        <w:tab/>
        <w:t>If:</w:t>
      </w:r>
    </w:p>
    <w:p w:rsidR="00887330" w:rsidRPr="00583E1A" w:rsidRDefault="00887330" w:rsidP="00887330">
      <w:pPr>
        <w:pStyle w:val="paragraph"/>
      </w:pPr>
      <w:r w:rsidRPr="00583E1A">
        <w:tab/>
        <w:t>(a)</w:t>
      </w:r>
      <w:r w:rsidRPr="00583E1A">
        <w:tab/>
        <w:t xml:space="preserve">forex realisation event 4 happens in relation to a </w:t>
      </w:r>
      <w:r w:rsidR="00583E1A" w:rsidRPr="00583E1A">
        <w:rPr>
          <w:position w:val="6"/>
          <w:sz w:val="16"/>
        </w:rPr>
        <w:t>*</w:t>
      </w:r>
      <w:r w:rsidRPr="00583E1A">
        <w:t>qualifying forex account that:</w:t>
      </w:r>
    </w:p>
    <w:p w:rsidR="00887330" w:rsidRPr="00583E1A" w:rsidRDefault="00887330" w:rsidP="00887330">
      <w:pPr>
        <w:pStyle w:val="paragraphsub"/>
      </w:pPr>
      <w:r w:rsidRPr="00583E1A">
        <w:tab/>
        <w:t>(i)</w:t>
      </w:r>
      <w:r w:rsidRPr="00583E1A">
        <w:tab/>
        <w:t>you hold at the time of the event; and</w:t>
      </w:r>
    </w:p>
    <w:p w:rsidR="00887330" w:rsidRPr="00583E1A" w:rsidRDefault="00887330" w:rsidP="00887330">
      <w:pPr>
        <w:pStyle w:val="paragraphsub"/>
      </w:pPr>
      <w:r w:rsidRPr="00583E1A">
        <w:tab/>
        <w:t>(ii)</w:t>
      </w:r>
      <w:r w:rsidRPr="00583E1A">
        <w:tab/>
        <w:t>does not pass the limited balance test at the time of the event; and</w:t>
      </w:r>
    </w:p>
    <w:p w:rsidR="00887330" w:rsidRPr="00583E1A" w:rsidRDefault="00887330" w:rsidP="00887330">
      <w:pPr>
        <w:pStyle w:val="paragraph"/>
      </w:pPr>
      <w:r w:rsidRPr="00583E1A">
        <w:tab/>
        <w:t>(b)</w:t>
      </w:r>
      <w:r w:rsidRPr="00583E1A">
        <w:tab/>
        <w:t>apart from this subsection, the tax recognition time, worked out using the table in subsection 775</w:t>
      </w:r>
      <w:r w:rsidR="00583E1A">
        <w:noBreakHyphen/>
      </w:r>
      <w:r w:rsidRPr="00583E1A">
        <w:t>55(7), happened at a time when the account passed the limited balance test;</w:t>
      </w:r>
    </w:p>
    <w:p w:rsidR="00887330" w:rsidRPr="00583E1A" w:rsidRDefault="00887330" w:rsidP="00887330">
      <w:pPr>
        <w:pStyle w:val="subsection2"/>
      </w:pPr>
      <w:r w:rsidRPr="00583E1A">
        <w:t>section</w:t>
      </w:r>
      <w:r w:rsidR="00583E1A">
        <w:t> </w:t>
      </w:r>
      <w:r w:rsidRPr="00583E1A">
        <w:t>775</w:t>
      </w:r>
      <w:r w:rsidR="00583E1A">
        <w:noBreakHyphen/>
      </w:r>
      <w:r w:rsidRPr="00583E1A">
        <w:t>55 applies to you as if the tax recognition time were the most recent time before the forex realisation event when the account ceased to pass the limited balance test (despite subsection 775</w:t>
      </w:r>
      <w:r w:rsidR="00583E1A">
        <w:noBreakHyphen/>
      </w:r>
      <w:r w:rsidRPr="00583E1A">
        <w:t>55(7)).</w:t>
      </w:r>
    </w:p>
    <w:p w:rsidR="00887330" w:rsidRPr="00583E1A" w:rsidRDefault="00887330" w:rsidP="00887330">
      <w:pPr>
        <w:pStyle w:val="ActHead4"/>
      </w:pPr>
      <w:bookmarkStart w:id="124" w:name="_Toc338939198"/>
      <w:r w:rsidRPr="00583E1A">
        <w:rPr>
          <w:rStyle w:val="CharSubdNo"/>
        </w:rPr>
        <w:lastRenderedPageBreak/>
        <w:t>Subdivision</w:t>
      </w:r>
      <w:r w:rsidR="00583E1A">
        <w:rPr>
          <w:rStyle w:val="CharSubdNo"/>
        </w:rPr>
        <w:t> </w:t>
      </w:r>
      <w:r w:rsidRPr="00583E1A">
        <w:rPr>
          <w:rStyle w:val="CharSubdNo"/>
        </w:rPr>
        <w:t>775</w:t>
      </w:r>
      <w:r w:rsidR="00583E1A">
        <w:rPr>
          <w:rStyle w:val="CharSubdNo"/>
        </w:rPr>
        <w:noBreakHyphen/>
      </w:r>
      <w:r w:rsidRPr="00583E1A">
        <w:rPr>
          <w:rStyle w:val="CharSubdNo"/>
        </w:rPr>
        <w:t>E</w:t>
      </w:r>
      <w:r w:rsidRPr="00583E1A">
        <w:t>—</w:t>
      </w:r>
      <w:r w:rsidRPr="00583E1A">
        <w:rPr>
          <w:rStyle w:val="CharSubdText"/>
        </w:rPr>
        <w:t>Retranslation for qualifying forex accounts</w:t>
      </w:r>
      <w:bookmarkEnd w:id="124"/>
    </w:p>
    <w:p w:rsidR="00887330" w:rsidRPr="00583E1A" w:rsidRDefault="00887330" w:rsidP="00887330">
      <w:pPr>
        <w:pStyle w:val="ActHead4"/>
      </w:pPr>
      <w:bookmarkStart w:id="125" w:name="_Toc338939199"/>
      <w:r w:rsidRPr="00583E1A">
        <w:t>Guide to Subdivision</w:t>
      </w:r>
      <w:r w:rsidR="00583E1A">
        <w:t> </w:t>
      </w:r>
      <w:r w:rsidRPr="00583E1A">
        <w:t>775</w:t>
      </w:r>
      <w:r w:rsidR="00583E1A">
        <w:noBreakHyphen/>
      </w:r>
      <w:r w:rsidRPr="00583E1A">
        <w:t>E</w:t>
      </w:r>
      <w:bookmarkEnd w:id="125"/>
    </w:p>
    <w:p w:rsidR="00887330" w:rsidRPr="00583E1A" w:rsidRDefault="00887330" w:rsidP="00887330">
      <w:pPr>
        <w:pStyle w:val="ActHead5"/>
      </w:pPr>
      <w:bookmarkStart w:id="126" w:name="_Toc338939200"/>
      <w:r w:rsidRPr="00583E1A">
        <w:rPr>
          <w:rStyle w:val="CharSectno"/>
        </w:rPr>
        <w:t>775</w:t>
      </w:r>
      <w:r w:rsidR="00583E1A">
        <w:rPr>
          <w:rStyle w:val="CharSectno"/>
        </w:rPr>
        <w:noBreakHyphen/>
      </w:r>
      <w:r w:rsidRPr="00583E1A">
        <w:rPr>
          <w:rStyle w:val="CharSectno"/>
        </w:rPr>
        <w:t>265</w:t>
      </w:r>
      <w:r w:rsidRPr="00583E1A">
        <w:t xml:space="preserve">  What this Subdivision is about</w:t>
      </w:r>
      <w:bookmarkEnd w:id="126"/>
    </w:p>
    <w:p w:rsidR="00887330" w:rsidRPr="00583E1A" w:rsidRDefault="00887330" w:rsidP="00887330">
      <w:pPr>
        <w:pStyle w:val="BoxText"/>
      </w:pPr>
      <w:r w:rsidRPr="00583E1A">
        <w:t>If you choose retranslation for a qualifying forex account:</w:t>
      </w:r>
    </w:p>
    <w:p w:rsidR="00887330" w:rsidRPr="00583E1A" w:rsidRDefault="00887330" w:rsidP="00887330">
      <w:pPr>
        <w:pStyle w:val="BoxPara"/>
      </w:pPr>
      <w:r w:rsidRPr="00583E1A">
        <w:tab/>
        <w:t>(a)</w:t>
      </w:r>
      <w:r w:rsidRPr="00583E1A">
        <w:tab/>
        <w:t>a forex realisation gain or a forex realisation loss you make in relation to the account as a result of forex realisation event 2 or 4 is disregarded; and</w:t>
      </w:r>
    </w:p>
    <w:p w:rsidR="00887330" w:rsidRPr="00583E1A" w:rsidRDefault="00887330" w:rsidP="00887330">
      <w:pPr>
        <w:pStyle w:val="BoxPara"/>
      </w:pPr>
      <w:r w:rsidRPr="00583E1A">
        <w:tab/>
        <w:t>(b)</w:t>
      </w:r>
      <w:r w:rsidRPr="00583E1A">
        <w:tab/>
        <w:t>forex realisation event 8 enables any gains or losses to be worked out on a retranslation basis.</w:t>
      </w:r>
    </w:p>
    <w:p w:rsidR="00887330" w:rsidRPr="00583E1A" w:rsidRDefault="00887330" w:rsidP="00887330">
      <w:pPr>
        <w:pStyle w:val="TofSectsHeading"/>
      </w:pPr>
      <w:r w:rsidRPr="00583E1A">
        <w:t>Table of sections</w:t>
      </w:r>
    </w:p>
    <w:p w:rsidR="00887330" w:rsidRPr="00583E1A" w:rsidRDefault="00887330" w:rsidP="00887330">
      <w:pPr>
        <w:pStyle w:val="TofSectsGroupHeading"/>
      </w:pPr>
      <w:r w:rsidRPr="00583E1A">
        <w:t>Operative provisions</w:t>
      </w:r>
    </w:p>
    <w:p w:rsidR="00887330" w:rsidRPr="00583E1A" w:rsidRDefault="00887330" w:rsidP="00887330">
      <w:pPr>
        <w:pStyle w:val="TofSectsSection"/>
      </w:pPr>
      <w:r w:rsidRPr="00583E1A">
        <w:t>775</w:t>
      </w:r>
      <w:r w:rsidR="00583E1A">
        <w:noBreakHyphen/>
      </w:r>
      <w:r w:rsidRPr="00583E1A">
        <w:t>270</w:t>
      </w:r>
      <w:r w:rsidRPr="00583E1A">
        <w:tab/>
        <w:t>You may choose retranslation for a qualifying forex account</w:t>
      </w:r>
    </w:p>
    <w:p w:rsidR="00887330" w:rsidRPr="00583E1A" w:rsidRDefault="00887330" w:rsidP="00887330">
      <w:pPr>
        <w:pStyle w:val="TofSectsSection"/>
      </w:pPr>
      <w:r w:rsidRPr="00583E1A">
        <w:t>775</w:t>
      </w:r>
      <w:r w:rsidR="00583E1A">
        <w:noBreakHyphen/>
      </w:r>
      <w:r w:rsidRPr="00583E1A">
        <w:t>275</w:t>
      </w:r>
      <w:r w:rsidRPr="00583E1A">
        <w:tab/>
        <w:t>Withdrawal of choice</w:t>
      </w:r>
    </w:p>
    <w:p w:rsidR="00887330" w:rsidRPr="00583E1A" w:rsidRDefault="00887330" w:rsidP="00887330">
      <w:pPr>
        <w:pStyle w:val="TofSectsSection"/>
      </w:pPr>
      <w:r w:rsidRPr="00583E1A">
        <w:t>775</w:t>
      </w:r>
      <w:r w:rsidR="00583E1A">
        <w:noBreakHyphen/>
      </w:r>
      <w:r w:rsidRPr="00583E1A">
        <w:t>280</w:t>
      </w:r>
      <w:r w:rsidRPr="00583E1A">
        <w:tab/>
        <w:t>Tax consequences of choosing retranslation for an account</w:t>
      </w:r>
    </w:p>
    <w:p w:rsidR="00887330" w:rsidRPr="00583E1A" w:rsidRDefault="00887330" w:rsidP="00887330">
      <w:pPr>
        <w:pStyle w:val="TofSectsSection"/>
      </w:pPr>
      <w:r w:rsidRPr="00583E1A">
        <w:t>775</w:t>
      </w:r>
      <w:r w:rsidR="00583E1A">
        <w:noBreakHyphen/>
      </w:r>
      <w:r w:rsidRPr="00583E1A">
        <w:t>285</w:t>
      </w:r>
      <w:r w:rsidRPr="00583E1A">
        <w:tab/>
        <w:t>Retranslation of gains and losses relating to a qualifying forex account—forex realisation event 8</w:t>
      </w:r>
    </w:p>
    <w:p w:rsidR="00887330" w:rsidRPr="00583E1A" w:rsidRDefault="00887330" w:rsidP="00887330">
      <w:pPr>
        <w:pStyle w:val="ActHead4"/>
      </w:pPr>
      <w:bookmarkStart w:id="127" w:name="_Toc338939201"/>
      <w:r w:rsidRPr="00583E1A">
        <w:t>Operative provisions</w:t>
      </w:r>
      <w:bookmarkEnd w:id="127"/>
    </w:p>
    <w:p w:rsidR="00887330" w:rsidRPr="00583E1A" w:rsidRDefault="00887330" w:rsidP="00887330">
      <w:pPr>
        <w:pStyle w:val="ActHead5"/>
      </w:pPr>
      <w:bookmarkStart w:id="128" w:name="_Toc338939202"/>
      <w:r w:rsidRPr="00583E1A">
        <w:rPr>
          <w:rStyle w:val="CharSectno"/>
        </w:rPr>
        <w:t>775</w:t>
      </w:r>
      <w:r w:rsidR="00583E1A">
        <w:rPr>
          <w:rStyle w:val="CharSectno"/>
        </w:rPr>
        <w:noBreakHyphen/>
      </w:r>
      <w:r w:rsidRPr="00583E1A">
        <w:rPr>
          <w:rStyle w:val="CharSectno"/>
        </w:rPr>
        <w:t>270</w:t>
      </w:r>
      <w:r w:rsidRPr="00583E1A">
        <w:t xml:space="preserve">  You may choose retranslation for a qualifying forex account</w:t>
      </w:r>
      <w:bookmarkEnd w:id="128"/>
    </w:p>
    <w:p w:rsidR="00887330" w:rsidRPr="00583E1A" w:rsidRDefault="00887330" w:rsidP="00887330">
      <w:pPr>
        <w:pStyle w:val="subsection"/>
      </w:pPr>
      <w:r w:rsidRPr="00583E1A">
        <w:tab/>
        <w:t>(1)</w:t>
      </w:r>
      <w:r w:rsidRPr="00583E1A">
        <w:tab/>
        <w:t xml:space="preserve">You may choose retranslation for a </w:t>
      </w:r>
      <w:r w:rsidR="00583E1A" w:rsidRPr="00583E1A">
        <w:rPr>
          <w:position w:val="6"/>
          <w:sz w:val="16"/>
        </w:rPr>
        <w:t>*</w:t>
      </w:r>
      <w:r w:rsidRPr="00583E1A">
        <w:t>qualifying forex account held by you.</w:t>
      </w:r>
    </w:p>
    <w:p w:rsidR="0048515E" w:rsidRPr="00583E1A" w:rsidRDefault="0048515E" w:rsidP="0048515E">
      <w:pPr>
        <w:pStyle w:val="subsection"/>
      </w:pPr>
      <w:r w:rsidRPr="00583E1A">
        <w:tab/>
        <w:t>(1A)</w:t>
      </w:r>
      <w:r w:rsidRPr="00583E1A">
        <w:tab/>
        <w:t xml:space="preserve">A choice under </w:t>
      </w:r>
      <w:r w:rsidR="00583E1A">
        <w:t>subsection (</w:t>
      </w:r>
      <w:r w:rsidRPr="00583E1A">
        <w:t xml:space="preserve">1) does not apply to a </w:t>
      </w:r>
      <w:r w:rsidR="00583E1A" w:rsidRPr="00583E1A">
        <w:rPr>
          <w:position w:val="6"/>
          <w:sz w:val="16"/>
        </w:rPr>
        <w:t>*</w:t>
      </w:r>
      <w:r w:rsidRPr="00583E1A">
        <w:t xml:space="preserve">qualifying forex account held by you if a </w:t>
      </w:r>
      <w:r w:rsidR="00583E1A" w:rsidRPr="00583E1A">
        <w:rPr>
          <w:position w:val="6"/>
          <w:sz w:val="16"/>
        </w:rPr>
        <w:t>*</w:t>
      </w:r>
      <w:r w:rsidRPr="00583E1A">
        <w:t>foreign exchange retranslation election by you is in effect in relation to the account under Subdivision</w:t>
      </w:r>
      <w:r w:rsidR="00583E1A">
        <w:t> </w:t>
      </w:r>
      <w:r w:rsidRPr="00583E1A">
        <w:t>230</w:t>
      </w:r>
      <w:r w:rsidR="00583E1A">
        <w:noBreakHyphen/>
      </w:r>
      <w:r w:rsidRPr="00583E1A">
        <w:t>D.</w:t>
      </w:r>
    </w:p>
    <w:p w:rsidR="00887330" w:rsidRPr="00583E1A" w:rsidRDefault="00887330" w:rsidP="00887330">
      <w:pPr>
        <w:pStyle w:val="subsection"/>
      </w:pPr>
      <w:r w:rsidRPr="00583E1A">
        <w:tab/>
        <w:t>(2)</w:t>
      </w:r>
      <w:r w:rsidRPr="00583E1A">
        <w:tab/>
        <w:t>A choice must be in writing.</w:t>
      </w:r>
    </w:p>
    <w:p w:rsidR="00887330" w:rsidRPr="00583E1A" w:rsidRDefault="00887330" w:rsidP="002D2566">
      <w:pPr>
        <w:pStyle w:val="subsection"/>
        <w:keepNext/>
      </w:pPr>
      <w:r w:rsidRPr="00583E1A">
        <w:lastRenderedPageBreak/>
        <w:tab/>
        <w:t>(2A)</w:t>
      </w:r>
      <w:r w:rsidRPr="00583E1A">
        <w:tab/>
        <w:t>If:</w:t>
      </w:r>
    </w:p>
    <w:p w:rsidR="003C6472" w:rsidRPr="00583E1A" w:rsidRDefault="003C6472" w:rsidP="002D2566">
      <w:pPr>
        <w:pStyle w:val="paragraph"/>
        <w:keepNext/>
      </w:pPr>
      <w:r w:rsidRPr="00583E1A">
        <w:tab/>
        <w:t>(a)</w:t>
      </w:r>
      <w:r w:rsidRPr="00583E1A">
        <w:tab/>
        <w:t>either:</w:t>
      </w:r>
    </w:p>
    <w:p w:rsidR="003C6472" w:rsidRPr="00583E1A" w:rsidRDefault="003C6472" w:rsidP="002D2566">
      <w:pPr>
        <w:pStyle w:val="paragraphsub"/>
        <w:keepNext/>
      </w:pPr>
      <w:r w:rsidRPr="00583E1A">
        <w:tab/>
        <w:t>(i)</w:t>
      </w:r>
      <w:r w:rsidRPr="00583E1A">
        <w:tab/>
        <w:t xml:space="preserve">you make a choice within 30 days after the commencement of the </w:t>
      </w:r>
      <w:r w:rsidRPr="00583E1A">
        <w:rPr>
          <w:i/>
        </w:rPr>
        <w:t>New Business Tax System (Taxation of Financial Arrangements) Act (No.</w:t>
      </w:r>
      <w:r w:rsidR="00583E1A">
        <w:rPr>
          <w:i/>
        </w:rPr>
        <w:t> </w:t>
      </w:r>
      <w:r w:rsidRPr="00583E1A">
        <w:rPr>
          <w:i/>
        </w:rPr>
        <w:t>1) 2003</w:t>
      </w:r>
      <w:r w:rsidRPr="00583E1A">
        <w:t>; or</w:t>
      </w:r>
    </w:p>
    <w:p w:rsidR="003C6472" w:rsidRPr="00583E1A" w:rsidRDefault="003C6472" w:rsidP="003C6472">
      <w:pPr>
        <w:pStyle w:val="paragraphsub"/>
      </w:pPr>
      <w:r w:rsidRPr="00583E1A">
        <w:tab/>
        <w:t>(ii)</w:t>
      </w:r>
      <w:r w:rsidRPr="00583E1A">
        <w:tab/>
        <w:t>you make a choice within 90 days after the commencement of Part</w:t>
      </w:r>
      <w:r w:rsidR="00583E1A">
        <w:t> </w:t>
      </w:r>
      <w:r w:rsidRPr="00583E1A">
        <w:t>1 of Schedule</w:t>
      </w:r>
      <w:r w:rsidR="00583E1A">
        <w:t> </w:t>
      </w:r>
      <w:r w:rsidRPr="00583E1A">
        <w:t xml:space="preserve">1 to the </w:t>
      </w:r>
      <w:r w:rsidRPr="00583E1A">
        <w:rPr>
          <w:i/>
        </w:rPr>
        <w:t>Tax Laws Amendment (Taxation of Financial Arrangements) Act 2009</w:t>
      </w:r>
      <w:r w:rsidRPr="00583E1A">
        <w:t>; and</w:t>
      </w:r>
    </w:p>
    <w:p w:rsidR="00887330" w:rsidRPr="00583E1A" w:rsidRDefault="00887330" w:rsidP="00887330">
      <w:pPr>
        <w:pStyle w:val="paragraph"/>
      </w:pPr>
      <w:r w:rsidRPr="00583E1A">
        <w:tab/>
        <w:t>(b)</w:t>
      </w:r>
      <w:r w:rsidRPr="00583E1A">
        <w:tab/>
        <w:t>the choice is expressed to have come into effect on a specified day; and</w:t>
      </w:r>
    </w:p>
    <w:p w:rsidR="00887330" w:rsidRPr="00583E1A" w:rsidRDefault="00887330" w:rsidP="00887330">
      <w:pPr>
        <w:pStyle w:val="paragraph"/>
      </w:pPr>
      <w:r w:rsidRPr="00583E1A">
        <w:tab/>
        <w:t>(c)</w:t>
      </w:r>
      <w:r w:rsidRPr="00583E1A">
        <w:tab/>
        <w:t>the specified day is included in the period:</w:t>
      </w:r>
    </w:p>
    <w:p w:rsidR="00887330" w:rsidRPr="00583E1A" w:rsidRDefault="00887330" w:rsidP="00887330">
      <w:pPr>
        <w:pStyle w:val="paragraphsub"/>
      </w:pPr>
      <w:r w:rsidRPr="00583E1A">
        <w:tab/>
        <w:t>(i)</w:t>
      </w:r>
      <w:r w:rsidRPr="00583E1A">
        <w:tab/>
        <w:t>beginning on 1</w:t>
      </w:r>
      <w:r w:rsidR="00583E1A">
        <w:t> </w:t>
      </w:r>
      <w:r w:rsidRPr="00583E1A">
        <w:t>July 2003; and</w:t>
      </w:r>
    </w:p>
    <w:p w:rsidR="00887330" w:rsidRPr="00583E1A" w:rsidRDefault="00887330" w:rsidP="00887330">
      <w:pPr>
        <w:pStyle w:val="paragraphsub"/>
      </w:pPr>
      <w:r w:rsidRPr="00583E1A">
        <w:tab/>
        <w:t>(ii)</w:t>
      </w:r>
      <w:r w:rsidRPr="00583E1A">
        <w:tab/>
        <w:t>ending on the day on which the choice is made;</w:t>
      </w:r>
    </w:p>
    <w:p w:rsidR="00887330" w:rsidRPr="00583E1A" w:rsidRDefault="00887330" w:rsidP="00887330">
      <w:pPr>
        <w:pStyle w:val="subsection2"/>
      </w:pPr>
      <w:r w:rsidRPr="00583E1A">
        <w:t>the choice is taken to have come into effect on the specified day.</w:t>
      </w:r>
    </w:p>
    <w:p w:rsidR="00887330" w:rsidRPr="00583E1A" w:rsidRDefault="00887330" w:rsidP="00887330">
      <w:pPr>
        <w:pStyle w:val="subsection"/>
      </w:pPr>
      <w:r w:rsidRPr="00583E1A">
        <w:tab/>
        <w:t>(3)</w:t>
      </w:r>
      <w:r w:rsidRPr="00583E1A">
        <w:tab/>
        <w:t>A choice continues in effect until:</w:t>
      </w:r>
    </w:p>
    <w:p w:rsidR="00887330" w:rsidRPr="00583E1A" w:rsidRDefault="00887330" w:rsidP="00887330">
      <w:pPr>
        <w:pStyle w:val="paragraph"/>
      </w:pPr>
      <w:r w:rsidRPr="00583E1A">
        <w:tab/>
        <w:t>(a)</w:t>
      </w:r>
      <w:r w:rsidRPr="00583E1A">
        <w:tab/>
        <w:t>you cease to hold the account; or</w:t>
      </w:r>
    </w:p>
    <w:p w:rsidR="00887330" w:rsidRPr="00583E1A" w:rsidRDefault="00887330" w:rsidP="00887330">
      <w:pPr>
        <w:pStyle w:val="paragraph"/>
      </w:pPr>
      <w:r w:rsidRPr="00583E1A">
        <w:tab/>
        <w:t>(b)</w:t>
      </w:r>
      <w:r w:rsidRPr="00583E1A">
        <w:tab/>
        <w:t xml:space="preserve">the account ceases to be a </w:t>
      </w:r>
      <w:r w:rsidR="00583E1A" w:rsidRPr="00583E1A">
        <w:rPr>
          <w:position w:val="6"/>
          <w:sz w:val="16"/>
        </w:rPr>
        <w:t>*</w:t>
      </w:r>
      <w:r w:rsidRPr="00583E1A">
        <w:t>qualifying forex account; or</w:t>
      </w:r>
    </w:p>
    <w:p w:rsidR="00887330" w:rsidRPr="00583E1A" w:rsidRDefault="00887330" w:rsidP="00887330">
      <w:pPr>
        <w:pStyle w:val="paragraph"/>
      </w:pPr>
      <w:r w:rsidRPr="00583E1A">
        <w:tab/>
        <w:t>(c)</w:t>
      </w:r>
      <w:r w:rsidRPr="00583E1A">
        <w:tab/>
        <w:t>a withdrawal of the choice takes effect;</w:t>
      </w:r>
    </w:p>
    <w:p w:rsidR="00887330" w:rsidRPr="00583E1A" w:rsidRDefault="00887330" w:rsidP="00887330">
      <w:pPr>
        <w:pStyle w:val="subsection2"/>
      </w:pPr>
      <w:r w:rsidRPr="00583E1A">
        <w:t>whichever happens first.</w:t>
      </w:r>
    </w:p>
    <w:p w:rsidR="00887330" w:rsidRPr="00583E1A" w:rsidRDefault="00887330" w:rsidP="00887330">
      <w:pPr>
        <w:pStyle w:val="notetext"/>
      </w:pPr>
      <w:r w:rsidRPr="00583E1A">
        <w:t>Note:</w:t>
      </w:r>
      <w:r w:rsidRPr="00583E1A">
        <w:tab/>
        <w:t>For withdrawal of choice, see section</w:t>
      </w:r>
      <w:r w:rsidR="00583E1A">
        <w:t> </w:t>
      </w:r>
      <w:r w:rsidRPr="00583E1A">
        <w:t>775</w:t>
      </w:r>
      <w:r w:rsidR="00583E1A">
        <w:noBreakHyphen/>
      </w:r>
      <w:r w:rsidRPr="00583E1A">
        <w:t>275.</w:t>
      </w:r>
    </w:p>
    <w:p w:rsidR="00887330" w:rsidRPr="00583E1A" w:rsidRDefault="00887330" w:rsidP="00887330">
      <w:pPr>
        <w:pStyle w:val="ActHead5"/>
      </w:pPr>
      <w:bookmarkStart w:id="129" w:name="_Toc338939203"/>
      <w:r w:rsidRPr="00583E1A">
        <w:rPr>
          <w:rStyle w:val="CharSectno"/>
        </w:rPr>
        <w:t>775</w:t>
      </w:r>
      <w:r w:rsidR="00583E1A">
        <w:rPr>
          <w:rStyle w:val="CharSectno"/>
        </w:rPr>
        <w:noBreakHyphen/>
      </w:r>
      <w:r w:rsidRPr="00583E1A">
        <w:rPr>
          <w:rStyle w:val="CharSectno"/>
        </w:rPr>
        <w:t>275</w:t>
      </w:r>
      <w:r w:rsidRPr="00583E1A">
        <w:t xml:space="preserve">  Withdrawal of choice</w:t>
      </w:r>
      <w:bookmarkEnd w:id="129"/>
    </w:p>
    <w:p w:rsidR="00887330" w:rsidRPr="00583E1A" w:rsidRDefault="00887330" w:rsidP="00887330">
      <w:pPr>
        <w:pStyle w:val="subsection"/>
      </w:pPr>
      <w:r w:rsidRPr="00583E1A">
        <w:tab/>
        <w:t>(1)</w:t>
      </w:r>
      <w:r w:rsidRPr="00583E1A">
        <w:tab/>
        <w:t xml:space="preserve">If you have made a choice for retranslation for a </w:t>
      </w:r>
      <w:r w:rsidR="00583E1A" w:rsidRPr="00583E1A">
        <w:rPr>
          <w:position w:val="6"/>
          <w:sz w:val="16"/>
        </w:rPr>
        <w:t>*</w:t>
      </w:r>
      <w:r w:rsidRPr="00583E1A">
        <w:t>qualifying forex account held by you, you may withdraw your choice.</w:t>
      </w:r>
    </w:p>
    <w:p w:rsidR="00887330" w:rsidRPr="00583E1A" w:rsidRDefault="00887330" w:rsidP="00887330">
      <w:pPr>
        <w:pStyle w:val="subsection"/>
      </w:pPr>
      <w:r w:rsidRPr="00583E1A">
        <w:tab/>
        <w:t>(2)</w:t>
      </w:r>
      <w:r w:rsidRPr="00583E1A">
        <w:tab/>
        <w:t>A withdrawal must be in writing.</w:t>
      </w:r>
    </w:p>
    <w:p w:rsidR="00887330" w:rsidRPr="00583E1A" w:rsidRDefault="00887330" w:rsidP="00887330">
      <w:pPr>
        <w:pStyle w:val="subsection"/>
      </w:pPr>
      <w:r w:rsidRPr="00583E1A">
        <w:tab/>
        <w:t>(3)</w:t>
      </w:r>
      <w:r w:rsidRPr="00583E1A">
        <w:tab/>
        <w:t>Withdrawing a choice does not prevent you from making a fresh choice under section</w:t>
      </w:r>
      <w:r w:rsidR="00583E1A">
        <w:t> </w:t>
      </w:r>
      <w:r w:rsidRPr="00583E1A">
        <w:t>775</w:t>
      </w:r>
      <w:r w:rsidR="00583E1A">
        <w:noBreakHyphen/>
      </w:r>
      <w:r w:rsidRPr="00583E1A">
        <w:t>270.</w:t>
      </w:r>
    </w:p>
    <w:p w:rsidR="00887330" w:rsidRPr="00583E1A" w:rsidRDefault="00887330" w:rsidP="00887330">
      <w:pPr>
        <w:pStyle w:val="ActHead5"/>
      </w:pPr>
      <w:bookmarkStart w:id="130" w:name="_Toc338939204"/>
      <w:r w:rsidRPr="00583E1A">
        <w:rPr>
          <w:rStyle w:val="CharSectno"/>
        </w:rPr>
        <w:t>775</w:t>
      </w:r>
      <w:r w:rsidR="00583E1A">
        <w:rPr>
          <w:rStyle w:val="CharSectno"/>
        </w:rPr>
        <w:noBreakHyphen/>
      </w:r>
      <w:r w:rsidRPr="00583E1A">
        <w:rPr>
          <w:rStyle w:val="CharSectno"/>
        </w:rPr>
        <w:t>280</w:t>
      </w:r>
      <w:r w:rsidRPr="00583E1A">
        <w:t xml:space="preserve">  Tax consequences of choosing retranslation for an account</w:t>
      </w:r>
      <w:bookmarkEnd w:id="130"/>
    </w:p>
    <w:p w:rsidR="00887330" w:rsidRPr="00583E1A" w:rsidRDefault="00887330" w:rsidP="00887330">
      <w:pPr>
        <w:pStyle w:val="subsection"/>
      </w:pPr>
      <w:r w:rsidRPr="00583E1A">
        <w:tab/>
        <w:t>(1)</w:t>
      </w:r>
      <w:r w:rsidRPr="00583E1A">
        <w:tab/>
        <w:t xml:space="preserve">A </w:t>
      </w:r>
      <w:r w:rsidR="00583E1A" w:rsidRPr="00583E1A">
        <w:rPr>
          <w:position w:val="6"/>
          <w:sz w:val="16"/>
        </w:rPr>
        <w:t>*</w:t>
      </w:r>
      <w:r w:rsidRPr="00583E1A">
        <w:t xml:space="preserve">forex realisation gain or </w:t>
      </w:r>
      <w:r w:rsidR="00583E1A" w:rsidRPr="00583E1A">
        <w:rPr>
          <w:position w:val="6"/>
          <w:sz w:val="16"/>
        </w:rPr>
        <w:t>*</w:t>
      </w:r>
      <w:r w:rsidRPr="00583E1A">
        <w:t>forex realisation loss you make as a result of forex realisation event 2 or 4 is disregarded if:</w:t>
      </w:r>
    </w:p>
    <w:p w:rsidR="00887330" w:rsidRPr="00583E1A" w:rsidRDefault="00887330" w:rsidP="00887330">
      <w:pPr>
        <w:pStyle w:val="paragraph"/>
      </w:pPr>
      <w:r w:rsidRPr="00583E1A">
        <w:lastRenderedPageBreak/>
        <w:tab/>
        <w:t>(a)</w:t>
      </w:r>
      <w:r w:rsidRPr="00583E1A">
        <w:tab/>
        <w:t xml:space="preserve">the event happens in relation to a </w:t>
      </w:r>
      <w:r w:rsidR="00583E1A" w:rsidRPr="00583E1A">
        <w:rPr>
          <w:position w:val="6"/>
          <w:sz w:val="16"/>
        </w:rPr>
        <w:t>*</w:t>
      </w:r>
      <w:r w:rsidRPr="00583E1A">
        <w:t>qualifying forex account that you hold; and</w:t>
      </w:r>
    </w:p>
    <w:p w:rsidR="00887330" w:rsidRPr="00583E1A" w:rsidRDefault="00887330" w:rsidP="00887330">
      <w:pPr>
        <w:pStyle w:val="paragraph"/>
      </w:pPr>
      <w:r w:rsidRPr="00583E1A">
        <w:tab/>
        <w:t>(b)</w:t>
      </w:r>
      <w:r w:rsidRPr="00583E1A">
        <w:tab/>
        <w:t>you have made a choice for retranslation for the account; and</w:t>
      </w:r>
    </w:p>
    <w:p w:rsidR="00887330" w:rsidRPr="00583E1A" w:rsidRDefault="00887330" w:rsidP="00887330">
      <w:pPr>
        <w:pStyle w:val="paragraph"/>
      </w:pPr>
      <w:r w:rsidRPr="00583E1A">
        <w:tab/>
        <w:t>(c)</w:t>
      </w:r>
      <w:r w:rsidRPr="00583E1A">
        <w:tab/>
        <w:t>the choice is in effect when the event happens.</w:t>
      </w:r>
    </w:p>
    <w:p w:rsidR="00887330" w:rsidRPr="00583E1A" w:rsidRDefault="00887330" w:rsidP="00887330">
      <w:pPr>
        <w:pStyle w:val="subsection"/>
      </w:pPr>
      <w:r w:rsidRPr="00583E1A">
        <w:tab/>
        <w:t>(2)</w:t>
      </w:r>
      <w:r w:rsidRPr="00583E1A">
        <w:tab/>
        <w:t>If:</w:t>
      </w:r>
    </w:p>
    <w:p w:rsidR="00887330" w:rsidRPr="00583E1A" w:rsidRDefault="00887330" w:rsidP="00887330">
      <w:pPr>
        <w:pStyle w:val="paragraph"/>
      </w:pPr>
      <w:r w:rsidRPr="00583E1A">
        <w:tab/>
        <w:t>(a)</w:t>
      </w:r>
      <w:r w:rsidRPr="00583E1A">
        <w:tab/>
        <w:t xml:space="preserve">CGT event C1 or C2 happens in relation to a </w:t>
      </w:r>
      <w:r w:rsidR="00583E1A" w:rsidRPr="00583E1A">
        <w:rPr>
          <w:position w:val="6"/>
          <w:sz w:val="16"/>
        </w:rPr>
        <w:t>*</w:t>
      </w:r>
      <w:r w:rsidRPr="00583E1A">
        <w:t>qualifying forex account that you hold at the time of the event; and</w:t>
      </w:r>
    </w:p>
    <w:p w:rsidR="00887330" w:rsidRPr="00583E1A" w:rsidRDefault="00887330" w:rsidP="00887330">
      <w:pPr>
        <w:pStyle w:val="paragraph"/>
      </w:pPr>
      <w:r w:rsidRPr="00583E1A">
        <w:tab/>
        <w:t>(b)</w:t>
      </w:r>
      <w:r w:rsidRPr="00583E1A">
        <w:tab/>
        <w:t>you have made a choice for retranslation for the account; and</w:t>
      </w:r>
    </w:p>
    <w:p w:rsidR="00887330" w:rsidRPr="00583E1A" w:rsidRDefault="00887330" w:rsidP="00887330">
      <w:pPr>
        <w:pStyle w:val="paragraph"/>
      </w:pPr>
      <w:r w:rsidRPr="00583E1A">
        <w:tab/>
        <w:t>(c)</w:t>
      </w:r>
      <w:r w:rsidRPr="00583E1A">
        <w:tab/>
        <w:t>the choice is in effect when the event happens;</w:t>
      </w:r>
    </w:p>
    <w:p w:rsidR="00887330" w:rsidRPr="00583E1A" w:rsidRDefault="00887330" w:rsidP="00887330">
      <w:pPr>
        <w:pStyle w:val="subsection2"/>
      </w:pPr>
      <w:r w:rsidRPr="00583E1A">
        <w:t xml:space="preserve">disregard so much of any </w:t>
      </w:r>
      <w:r w:rsidR="00583E1A" w:rsidRPr="00583E1A">
        <w:rPr>
          <w:position w:val="6"/>
          <w:sz w:val="16"/>
        </w:rPr>
        <w:t>*</w:t>
      </w:r>
      <w:r w:rsidRPr="00583E1A">
        <w:t xml:space="preserve">capital gain or </w:t>
      </w:r>
      <w:r w:rsidR="00583E1A" w:rsidRPr="00583E1A">
        <w:rPr>
          <w:position w:val="6"/>
          <w:sz w:val="16"/>
        </w:rPr>
        <w:t>*</w:t>
      </w:r>
      <w:r w:rsidRPr="00583E1A">
        <w:t xml:space="preserve">capital loss you make as a result of the event as is attributable to a </w:t>
      </w:r>
      <w:r w:rsidR="00583E1A" w:rsidRPr="00583E1A">
        <w:rPr>
          <w:position w:val="6"/>
          <w:sz w:val="16"/>
        </w:rPr>
        <w:t>*</w:t>
      </w:r>
      <w:r w:rsidRPr="00583E1A">
        <w:t>currency exchange rate effect.</w:t>
      </w:r>
    </w:p>
    <w:p w:rsidR="00887330" w:rsidRPr="00583E1A" w:rsidRDefault="00887330" w:rsidP="00887330">
      <w:pPr>
        <w:pStyle w:val="notetext"/>
      </w:pPr>
      <w:r w:rsidRPr="00583E1A">
        <w:t>Note:</w:t>
      </w:r>
      <w:r w:rsidRPr="00583E1A">
        <w:tab/>
        <w:t xml:space="preserve">For </w:t>
      </w:r>
      <w:r w:rsidRPr="00583E1A">
        <w:rPr>
          <w:b/>
          <w:i/>
        </w:rPr>
        <w:t>currency exchange rate effect</w:t>
      </w:r>
      <w:r w:rsidRPr="00583E1A">
        <w:t>, see section</w:t>
      </w:r>
      <w:r w:rsidR="00583E1A">
        <w:t> </w:t>
      </w:r>
      <w:r w:rsidRPr="00583E1A">
        <w:t>775</w:t>
      </w:r>
      <w:r w:rsidR="00583E1A">
        <w:noBreakHyphen/>
      </w:r>
      <w:r w:rsidRPr="00583E1A">
        <w:t>105.</w:t>
      </w:r>
    </w:p>
    <w:p w:rsidR="00887330" w:rsidRPr="00583E1A" w:rsidRDefault="00887330" w:rsidP="00887330">
      <w:pPr>
        <w:pStyle w:val="ActHead5"/>
      </w:pPr>
      <w:bookmarkStart w:id="131" w:name="_Toc338939205"/>
      <w:r w:rsidRPr="00583E1A">
        <w:rPr>
          <w:rStyle w:val="CharSectno"/>
        </w:rPr>
        <w:t>775</w:t>
      </w:r>
      <w:r w:rsidR="00583E1A">
        <w:rPr>
          <w:rStyle w:val="CharSectno"/>
        </w:rPr>
        <w:noBreakHyphen/>
      </w:r>
      <w:r w:rsidRPr="00583E1A">
        <w:rPr>
          <w:rStyle w:val="CharSectno"/>
        </w:rPr>
        <w:t>285</w:t>
      </w:r>
      <w:r w:rsidRPr="00583E1A">
        <w:t xml:space="preserve">  Retranslation of gains and losses relating to a qualifying forex account—forex realisation event 8</w:t>
      </w:r>
      <w:bookmarkEnd w:id="131"/>
    </w:p>
    <w:p w:rsidR="00887330" w:rsidRPr="00583E1A" w:rsidRDefault="00887330" w:rsidP="00887330">
      <w:pPr>
        <w:pStyle w:val="SubsectionHead"/>
      </w:pPr>
      <w:r w:rsidRPr="00583E1A">
        <w:t>Forex realisation event 8</w:t>
      </w:r>
    </w:p>
    <w:p w:rsidR="00887330" w:rsidRPr="00583E1A" w:rsidRDefault="00887330" w:rsidP="00887330">
      <w:pPr>
        <w:pStyle w:val="subsection"/>
      </w:pPr>
      <w:r w:rsidRPr="00583E1A">
        <w:tab/>
        <w:t>(1)</w:t>
      </w:r>
      <w:r w:rsidRPr="00583E1A">
        <w:tab/>
      </w:r>
      <w:r w:rsidRPr="00583E1A">
        <w:rPr>
          <w:b/>
          <w:i/>
        </w:rPr>
        <w:t>Forex realisation event 8</w:t>
      </w:r>
      <w:r w:rsidRPr="00583E1A">
        <w:t xml:space="preserve"> happens if:</w:t>
      </w:r>
    </w:p>
    <w:p w:rsidR="00887330" w:rsidRPr="00583E1A" w:rsidRDefault="00887330" w:rsidP="00887330">
      <w:pPr>
        <w:pStyle w:val="paragraph"/>
      </w:pPr>
      <w:r w:rsidRPr="00583E1A">
        <w:tab/>
        <w:t>(a)</w:t>
      </w:r>
      <w:r w:rsidRPr="00583E1A">
        <w:tab/>
        <w:t xml:space="preserve">you have made a choice for retranslation for a </w:t>
      </w:r>
      <w:r w:rsidR="00583E1A" w:rsidRPr="00583E1A">
        <w:rPr>
          <w:position w:val="6"/>
          <w:sz w:val="16"/>
        </w:rPr>
        <w:t>*</w:t>
      </w:r>
      <w:r w:rsidRPr="00583E1A">
        <w:t>qualifying forex account held by you; and</w:t>
      </w:r>
    </w:p>
    <w:p w:rsidR="00887330" w:rsidRPr="00583E1A" w:rsidRDefault="00887330" w:rsidP="00887330">
      <w:pPr>
        <w:pStyle w:val="paragraph"/>
      </w:pPr>
      <w:r w:rsidRPr="00583E1A">
        <w:tab/>
        <w:t>(b)</w:t>
      </w:r>
      <w:r w:rsidRPr="00583E1A">
        <w:tab/>
        <w:t xml:space="preserve">that choice was in effect throughout a continuous period (the </w:t>
      </w:r>
      <w:r w:rsidRPr="00583E1A">
        <w:rPr>
          <w:b/>
          <w:i/>
        </w:rPr>
        <w:t>retranslation period</w:t>
      </w:r>
      <w:r w:rsidRPr="00583E1A">
        <w:t>) consisting of:</w:t>
      </w:r>
    </w:p>
    <w:p w:rsidR="00887330" w:rsidRPr="00583E1A" w:rsidRDefault="00887330" w:rsidP="00887330">
      <w:pPr>
        <w:pStyle w:val="paragraphsub"/>
      </w:pPr>
      <w:r w:rsidRPr="00583E1A">
        <w:tab/>
        <w:t>(i)</w:t>
      </w:r>
      <w:r w:rsidRPr="00583E1A">
        <w:tab/>
        <w:t>an income year; or</w:t>
      </w:r>
    </w:p>
    <w:p w:rsidR="00887330" w:rsidRPr="00583E1A" w:rsidRDefault="00887330" w:rsidP="00887330">
      <w:pPr>
        <w:pStyle w:val="paragraphsub"/>
      </w:pPr>
      <w:r w:rsidRPr="00583E1A">
        <w:tab/>
        <w:t>(ii)</w:t>
      </w:r>
      <w:r w:rsidRPr="00583E1A">
        <w:tab/>
        <w:t>a particular part of an income year; and</w:t>
      </w:r>
    </w:p>
    <w:p w:rsidR="00887330" w:rsidRPr="00583E1A" w:rsidRDefault="00887330" w:rsidP="00887330">
      <w:pPr>
        <w:pStyle w:val="paragraph"/>
      </w:pPr>
      <w:r w:rsidRPr="00583E1A">
        <w:tab/>
        <w:t>(c)</w:t>
      </w:r>
      <w:r w:rsidRPr="00583E1A">
        <w:tab/>
        <w:t>either:</w:t>
      </w:r>
    </w:p>
    <w:p w:rsidR="00887330" w:rsidRPr="00583E1A" w:rsidRDefault="00887330" w:rsidP="00887330">
      <w:pPr>
        <w:pStyle w:val="paragraphsub"/>
      </w:pPr>
      <w:r w:rsidRPr="00583E1A">
        <w:tab/>
        <w:t>(i)</w:t>
      </w:r>
      <w:r w:rsidRPr="00583E1A">
        <w:tab/>
        <w:t xml:space="preserve">there is a positive retranslation amount for the account for the retranslation period (worked out under </w:t>
      </w:r>
      <w:r w:rsidR="00583E1A">
        <w:t>subsection (</w:t>
      </w:r>
      <w:r w:rsidRPr="00583E1A">
        <w:t>2)); or</w:t>
      </w:r>
    </w:p>
    <w:p w:rsidR="00887330" w:rsidRPr="00583E1A" w:rsidRDefault="00887330" w:rsidP="00887330">
      <w:pPr>
        <w:pStyle w:val="paragraphsub"/>
      </w:pPr>
      <w:r w:rsidRPr="00583E1A">
        <w:tab/>
        <w:t>(ii)</w:t>
      </w:r>
      <w:r w:rsidRPr="00583E1A">
        <w:tab/>
        <w:t xml:space="preserve">there is a negative retranslation amount for the account for the retranslation period (worked out under </w:t>
      </w:r>
      <w:r w:rsidR="00583E1A">
        <w:t>subsection (</w:t>
      </w:r>
      <w:r w:rsidRPr="00583E1A">
        <w:t>3)).</w:t>
      </w:r>
    </w:p>
    <w:p w:rsidR="00887330" w:rsidRPr="00583E1A" w:rsidRDefault="00887330" w:rsidP="00887330">
      <w:pPr>
        <w:pStyle w:val="SubsectionHead"/>
      </w:pPr>
      <w:r w:rsidRPr="00583E1A">
        <w:lastRenderedPageBreak/>
        <w:t>Retranslation amount</w:t>
      </w:r>
    </w:p>
    <w:p w:rsidR="00887330" w:rsidRPr="00583E1A" w:rsidRDefault="00887330" w:rsidP="00887330">
      <w:pPr>
        <w:pStyle w:val="subsection"/>
      </w:pPr>
      <w:r w:rsidRPr="00583E1A">
        <w:tab/>
        <w:t>(2)</w:t>
      </w:r>
      <w:r w:rsidRPr="00583E1A">
        <w:tab/>
        <w:t xml:space="preserve">If the amount worked out using the formula in </w:t>
      </w:r>
      <w:r w:rsidR="00583E1A">
        <w:t>subsection (</w:t>
      </w:r>
      <w:r w:rsidRPr="00583E1A">
        <w:t xml:space="preserve">4) is a positive amount, that amount is a </w:t>
      </w:r>
      <w:r w:rsidRPr="00583E1A">
        <w:rPr>
          <w:b/>
          <w:i/>
        </w:rPr>
        <w:t>positive retranslation amount</w:t>
      </w:r>
      <w:r w:rsidRPr="00583E1A">
        <w:t xml:space="preserve"> for the account for the retranslation period.</w:t>
      </w:r>
    </w:p>
    <w:p w:rsidR="00887330" w:rsidRPr="00583E1A" w:rsidRDefault="00887330" w:rsidP="00887330">
      <w:pPr>
        <w:pStyle w:val="subsection"/>
      </w:pPr>
      <w:r w:rsidRPr="00583E1A">
        <w:tab/>
        <w:t>(3)</w:t>
      </w:r>
      <w:r w:rsidRPr="00583E1A">
        <w:tab/>
        <w:t xml:space="preserve">If the amount worked out using the formula in </w:t>
      </w:r>
      <w:r w:rsidR="00583E1A">
        <w:t>subsection (</w:t>
      </w:r>
      <w:r w:rsidRPr="00583E1A">
        <w:t xml:space="preserve">4) is a negative amount, that amount is a </w:t>
      </w:r>
      <w:r w:rsidRPr="00583E1A">
        <w:rPr>
          <w:b/>
          <w:i/>
        </w:rPr>
        <w:t>negative retranslation amount</w:t>
      </w:r>
      <w:r w:rsidRPr="00583E1A">
        <w:t xml:space="preserve"> for the account for the retranslation period.</w:t>
      </w:r>
    </w:p>
    <w:p w:rsidR="00887330" w:rsidRPr="00583E1A" w:rsidRDefault="00887330" w:rsidP="00887330">
      <w:pPr>
        <w:pStyle w:val="subsection"/>
      </w:pPr>
      <w:r w:rsidRPr="00583E1A">
        <w:tab/>
        <w:t>(4)</w:t>
      </w:r>
      <w:r w:rsidRPr="00583E1A">
        <w:tab/>
        <w:t>Work out an amount for the account for the retranslation period using the formula:</w:t>
      </w:r>
    </w:p>
    <w:p w:rsidR="00CB48B4" w:rsidRPr="00583E1A" w:rsidRDefault="00623A5C" w:rsidP="00887330">
      <w:pPr>
        <w:pStyle w:val="Formula"/>
        <w:ind w:left="0" w:firstLine="720"/>
      </w:pPr>
      <w:r>
        <w:rPr>
          <w:noProof/>
        </w:rPr>
        <w:drawing>
          <wp:inline distT="0" distB="0" distL="0" distR="0">
            <wp:extent cx="3800475" cy="10382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3800475" cy="1038225"/>
                    </a:xfrm>
                    <a:prstGeom prst="rect">
                      <a:avLst/>
                    </a:prstGeom>
                    <a:noFill/>
                    <a:ln>
                      <a:noFill/>
                    </a:ln>
                  </pic:spPr>
                </pic:pic>
              </a:graphicData>
            </a:graphic>
          </wp:inline>
        </w:drawing>
      </w:r>
    </w:p>
    <w:p w:rsidR="00887330" w:rsidRPr="00583E1A" w:rsidRDefault="00887330" w:rsidP="00887330">
      <w:pPr>
        <w:pStyle w:val="subsection"/>
      </w:pPr>
      <w:r w:rsidRPr="00583E1A">
        <w:tab/>
        <w:t>(5)</w:t>
      </w:r>
      <w:r w:rsidRPr="00583E1A">
        <w:tab/>
        <w:t xml:space="preserve">For the purposes of </w:t>
      </w:r>
      <w:r w:rsidR="00583E1A">
        <w:t>subsection (</w:t>
      </w:r>
      <w:r w:rsidRPr="00583E1A">
        <w:t>4), a debit balance is to be expressed as a negative amount (for example, a debit balance of $50,000 is to be expressed as</w:t>
      </w:r>
      <w:r w:rsidR="00623A5C">
        <w:rPr>
          <w:noProof/>
          <w:position w:val="-10"/>
        </w:rPr>
        <w:drawing>
          <wp:inline distT="0" distB="0" distL="0" distR="0">
            <wp:extent cx="266700" cy="1238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266700" cy="123825"/>
                    </a:xfrm>
                    <a:prstGeom prst="rect">
                      <a:avLst/>
                    </a:prstGeom>
                    <a:noFill/>
                    <a:ln>
                      <a:noFill/>
                    </a:ln>
                  </pic:spPr>
                </pic:pic>
              </a:graphicData>
            </a:graphic>
          </wp:inline>
        </w:drawing>
      </w:r>
      <w:r w:rsidRPr="00583E1A">
        <w:t>$50,000).</w:t>
      </w:r>
    </w:p>
    <w:p w:rsidR="00887330" w:rsidRPr="00583E1A" w:rsidRDefault="00887330" w:rsidP="00887330">
      <w:pPr>
        <w:pStyle w:val="SubsectionHead"/>
      </w:pPr>
      <w:r w:rsidRPr="00583E1A">
        <w:t>Forex realisation gain</w:t>
      </w:r>
    </w:p>
    <w:p w:rsidR="00887330" w:rsidRPr="00583E1A" w:rsidRDefault="00887330" w:rsidP="00887330">
      <w:pPr>
        <w:pStyle w:val="subsection"/>
      </w:pPr>
      <w:r w:rsidRPr="00583E1A">
        <w:tab/>
        <w:t>(6)</w:t>
      </w:r>
      <w:r w:rsidRPr="00583E1A">
        <w:tab/>
        <w:t xml:space="preserve">You make a </w:t>
      </w:r>
      <w:r w:rsidRPr="00583E1A">
        <w:rPr>
          <w:b/>
          <w:i/>
        </w:rPr>
        <w:t>forex realisation gain</w:t>
      </w:r>
      <w:r w:rsidRPr="00583E1A">
        <w:t xml:space="preserve"> if there is a positive retranslation amount for the account for the retranslation period. The amount of the </w:t>
      </w:r>
      <w:r w:rsidRPr="00583E1A">
        <w:rPr>
          <w:b/>
          <w:i/>
        </w:rPr>
        <w:t>forex realisation gain</w:t>
      </w:r>
      <w:r w:rsidRPr="00583E1A">
        <w:t xml:space="preserve"> is the positive retranslation amount.</w:t>
      </w:r>
    </w:p>
    <w:p w:rsidR="00887330" w:rsidRPr="00583E1A" w:rsidRDefault="00887330" w:rsidP="00887330">
      <w:pPr>
        <w:pStyle w:val="SubsectionHead"/>
      </w:pPr>
      <w:r w:rsidRPr="00583E1A">
        <w:t>Forex realisation loss</w:t>
      </w:r>
    </w:p>
    <w:p w:rsidR="00887330" w:rsidRPr="00583E1A" w:rsidRDefault="00887330" w:rsidP="00887330">
      <w:pPr>
        <w:pStyle w:val="subsection"/>
      </w:pPr>
      <w:r w:rsidRPr="00583E1A">
        <w:tab/>
        <w:t>(7)</w:t>
      </w:r>
      <w:r w:rsidRPr="00583E1A">
        <w:tab/>
        <w:t xml:space="preserve">You make a </w:t>
      </w:r>
      <w:r w:rsidRPr="00583E1A">
        <w:rPr>
          <w:b/>
          <w:i/>
        </w:rPr>
        <w:t>forex realisation loss</w:t>
      </w:r>
      <w:r w:rsidRPr="00583E1A">
        <w:t xml:space="preserve"> if there is a negative retranslation amount for the account for the retranslation period. The amount of the </w:t>
      </w:r>
      <w:r w:rsidRPr="00583E1A">
        <w:rPr>
          <w:b/>
          <w:i/>
        </w:rPr>
        <w:t>forex realisation loss</w:t>
      </w:r>
      <w:r w:rsidRPr="00583E1A">
        <w:t xml:space="preserve"> is the negative retranslation amount.</w:t>
      </w:r>
    </w:p>
    <w:p w:rsidR="00887330" w:rsidRPr="00583E1A" w:rsidRDefault="00887330" w:rsidP="00887330">
      <w:pPr>
        <w:pStyle w:val="subsection"/>
      </w:pPr>
      <w:r w:rsidRPr="00583E1A">
        <w:tab/>
        <w:t>(8)</w:t>
      </w:r>
      <w:r w:rsidRPr="00583E1A">
        <w:tab/>
        <w:t xml:space="preserve">For the purposes of </w:t>
      </w:r>
      <w:r w:rsidR="00583E1A">
        <w:t>subsection (</w:t>
      </w:r>
      <w:r w:rsidRPr="00583E1A">
        <w:t>7), reverse a negative amount (for example, a negative retranslation amount of</w:t>
      </w:r>
      <w:r w:rsidR="00623A5C">
        <w:rPr>
          <w:noProof/>
          <w:position w:val="-10"/>
        </w:rPr>
        <w:drawing>
          <wp:inline distT="0" distB="0" distL="0" distR="0">
            <wp:extent cx="266700" cy="1238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266700" cy="123825"/>
                    </a:xfrm>
                    <a:prstGeom prst="rect">
                      <a:avLst/>
                    </a:prstGeom>
                    <a:noFill/>
                    <a:ln>
                      <a:noFill/>
                    </a:ln>
                  </pic:spPr>
                </pic:pic>
              </a:graphicData>
            </a:graphic>
          </wp:inline>
        </w:drawing>
      </w:r>
      <w:r w:rsidRPr="00583E1A">
        <w:t>$50,000 will become a forex realisation loss of $50,000).</w:t>
      </w:r>
    </w:p>
    <w:p w:rsidR="00887330" w:rsidRPr="00583E1A" w:rsidRDefault="00887330" w:rsidP="00887330">
      <w:pPr>
        <w:pStyle w:val="SubsectionHead"/>
      </w:pPr>
      <w:r w:rsidRPr="00583E1A">
        <w:lastRenderedPageBreak/>
        <w:t>Translation of foreign currency</w:t>
      </w:r>
    </w:p>
    <w:p w:rsidR="00887330" w:rsidRPr="00583E1A" w:rsidRDefault="00887330" w:rsidP="00887330">
      <w:pPr>
        <w:pStyle w:val="subsection"/>
      </w:pPr>
      <w:r w:rsidRPr="00583E1A">
        <w:tab/>
        <w:t>(9)</w:t>
      </w:r>
      <w:r w:rsidRPr="00583E1A">
        <w:tab/>
        <w:t>For the purposes of the application of section</w:t>
      </w:r>
      <w:r w:rsidR="00583E1A">
        <w:t> </w:t>
      </w:r>
      <w:r w:rsidRPr="00583E1A">
        <w:t>960</w:t>
      </w:r>
      <w:r w:rsidR="00583E1A">
        <w:noBreakHyphen/>
      </w:r>
      <w:r w:rsidRPr="00583E1A">
        <w:t>50 to this section:</w:t>
      </w:r>
    </w:p>
    <w:p w:rsidR="00887330" w:rsidRPr="00583E1A" w:rsidRDefault="00887330" w:rsidP="00887330">
      <w:pPr>
        <w:pStyle w:val="paragraph"/>
      </w:pPr>
      <w:r w:rsidRPr="00583E1A">
        <w:tab/>
        <w:t>(a)</w:t>
      </w:r>
      <w:r w:rsidRPr="00583E1A">
        <w:tab/>
        <w:t>if a retranslation period for an account did not begin immediately after the end of another retranslation period for the account—the opening balance of the account for the first</w:t>
      </w:r>
      <w:r w:rsidR="00583E1A">
        <w:noBreakHyphen/>
      </w:r>
      <w:r w:rsidRPr="00583E1A">
        <w:t>mentioned retranslation period is to be translated to Australian currency at the exchange rate applicable at the start of the first</w:t>
      </w:r>
      <w:r w:rsidR="00583E1A">
        <w:noBreakHyphen/>
      </w:r>
      <w:r w:rsidRPr="00583E1A">
        <w:t>mentioned retranslation period; and</w:t>
      </w:r>
    </w:p>
    <w:p w:rsidR="00887330" w:rsidRPr="00583E1A" w:rsidRDefault="00887330" w:rsidP="00887330">
      <w:pPr>
        <w:pStyle w:val="paragraph"/>
      </w:pPr>
      <w:r w:rsidRPr="00583E1A">
        <w:tab/>
        <w:t>(b)</w:t>
      </w:r>
      <w:r w:rsidRPr="00583E1A">
        <w:tab/>
        <w:t>if a retranslation period for an account began immediately after the end of another retranslation period for the account—the opening balance of the account for the first</w:t>
      </w:r>
      <w:r w:rsidR="00583E1A">
        <w:noBreakHyphen/>
      </w:r>
      <w:r w:rsidRPr="00583E1A">
        <w:t>mentioned retranslation period is to be translated to Australian currency at the exchange rate applicable at the end of the other retranslation period; and</w:t>
      </w:r>
    </w:p>
    <w:p w:rsidR="00887330" w:rsidRPr="00583E1A" w:rsidRDefault="00887330" w:rsidP="00887330">
      <w:pPr>
        <w:pStyle w:val="paragraph"/>
      </w:pPr>
      <w:r w:rsidRPr="00583E1A">
        <w:tab/>
        <w:t>(c)</w:t>
      </w:r>
      <w:r w:rsidRPr="00583E1A">
        <w:tab/>
        <w:t>the closing balance of an account for a retranslation period is to be translated to Australian currency at the exchange rate applicable at the end of the retranslation period; and</w:t>
      </w:r>
    </w:p>
    <w:p w:rsidR="00887330" w:rsidRPr="00583E1A" w:rsidRDefault="00887330" w:rsidP="00887330">
      <w:pPr>
        <w:pStyle w:val="paragraph"/>
      </w:pPr>
      <w:r w:rsidRPr="00583E1A">
        <w:tab/>
        <w:t>(d)</w:t>
      </w:r>
      <w:r w:rsidRPr="00583E1A">
        <w:tab/>
        <w:t>each deposit is to be translated to Australian currency at the exchange rate applicable at the time of the deposit; and</w:t>
      </w:r>
    </w:p>
    <w:p w:rsidR="00887330" w:rsidRPr="00583E1A" w:rsidRDefault="00887330" w:rsidP="00887330">
      <w:pPr>
        <w:pStyle w:val="paragraph"/>
      </w:pPr>
      <w:r w:rsidRPr="00583E1A">
        <w:tab/>
        <w:t>(e)</w:t>
      </w:r>
      <w:r w:rsidRPr="00583E1A">
        <w:tab/>
        <w:t>each withdrawal is to be translated to Australian currency at the exchange rate applicable at the time of the withdrawal.</w:t>
      </w:r>
    </w:p>
    <w:p w:rsidR="00887330" w:rsidRPr="00583E1A" w:rsidRDefault="00887330" w:rsidP="00887330">
      <w:pPr>
        <w:pStyle w:val="SubsectionHead"/>
      </w:pPr>
      <w:r w:rsidRPr="00583E1A">
        <w:t>Deposits</w:t>
      </w:r>
    </w:p>
    <w:p w:rsidR="00887330" w:rsidRPr="00583E1A" w:rsidRDefault="00887330" w:rsidP="00887330">
      <w:pPr>
        <w:pStyle w:val="subsection"/>
      </w:pPr>
      <w:r w:rsidRPr="00583E1A">
        <w:tab/>
        <w:t>(10)</w:t>
      </w:r>
      <w:r w:rsidRPr="00583E1A">
        <w:tab/>
        <w:t xml:space="preserve">For the purposes of this section, a </w:t>
      </w:r>
      <w:r w:rsidRPr="00583E1A">
        <w:rPr>
          <w:b/>
          <w:i/>
        </w:rPr>
        <w:t>deposit</w:t>
      </w:r>
      <w:r w:rsidRPr="00583E1A">
        <w:t xml:space="preserve"> includes any amount paid or transferred into the account.</w:t>
      </w:r>
    </w:p>
    <w:p w:rsidR="00887330" w:rsidRPr="00583E1A" w:rsidRDefault="00887330" w:rsidP="00887330">
      <w:pPr>
        <w:pStyle w:val="SubsectionHead"/>
      </w:pPr>
      <w:r w:rsidRPr="00583E1A">
        <w:t>Withdrawals</w:t>
      </w:r>
    </w:p>
    <w:p w:rsidR="00887330" w:rsidRPr="00583E1A" w:rsidRDefault="00887330" w:rsidP="00887330">
      <w:pPr>
        <w:pStyle w:val="subsection"/>
      </w:pPr>
      <w:r w:rsidRPr="00583E1A">
        <w:tab/>
        <w:t>(11)</w:t>
      </w:r>
      <w:r w:rsidRPr="00583E1A">
        <w:tab/>
        <w:t xml:space="preserve">For the purposes of this section, a </w:t>
      </w:r>
      <w:r w:rsidRPr="00583E1A">
        <w:rPr>
          <w:b/>
          <w:i/>
        </w:rPr>
        <w:t>withdrawal</w:t>
      </w:r>
      <w:r w:rsidRPr="00583E1A">
        <w:t xml:space="preserve"> includes any amount paid, advanced, drawn or transferred out of the account.</w:t>
      </w:r>
    </w:p>
    <w:p w:rsidR="00AD4950" w:rsidRPr="00583E1A" w:rsidRDefault="00AD4950" w:rsidP="00AD4950">
      <w:pPr>
        <w:pStyle w:val="ActHead4"/>
      </w:pPr>
      <w:bookmarkStart w:id="132" w:name="_Toc338939206"/>
      <w:r w:rsidRPr="00583E1A">
        <w:rPr>
          <w:rStyle w:val="CharSubdNo"/>
        </w:rPr>
        <w:lastRenderedPageBreak/>
        <w:t>Subdivision</w:t>
      </w:r>
      <w:r w:rsidR="00583E1A">
        <w:rPr>
          <w:rStyle w:val="CharSubdNo"/>
        </w:rPr>
        <w:t> </w:t>
      </w:r>
      <w:r w:rsidRPr="00583E1A">
        <w:rPr>
          <w:rStyle w:val="CharSubdNo"/>
        </w:rPr>
        <w:t>775</w:t>
      </w:r>
      <w:r w:rsidR="00583E1A">
        <w:rPr>
          <w:rStyle w:val="CharSubdNo"/>
        </w:rPr>
        <w:noBreakHyphen/>
      </w:r>
      <w:r w:rsidRPr="00583E1A">
        <w:rPr>
          <w:rStyle w:val="CharSubdNo"/>
        </w:rPr>
        <w:t>F</w:t>
      </w:r>
      <w:r w:rsidRPr="00583E1A">
        <w:t>—</w:t>
      </w:r>
      <w:r w:rsidRPr="00583E1A">
        <w:rPr>
          <w:rStyle w:val="CharSubdText"/>
        </w:rPr>
        <w:t>Retranslation under foreign exchange retranslation election under Subdivision</w:t>
      </w:r>
      <w:r w:rsidR="00583E1A">
        <w:rPr>
          <w:rStyle w:val="CharSubdText"/>
        </w:rPr>
        <w:t> </w:t>
      </w:r>
      <w:r w:rsidRPr="00583E1A">
        <w:rPr>
          <w:rStyle w:val="CharSubdText"/>
        </w:rPr>
        <w:t>230</w:t>
      </w:r>
      <w:r w:rsidR="00583E1A">
        <w:rPr>
          <w:rStyle w:val="CharSubdText"/>
        </w:rPr>
        <w:noBreakHyphen/>
      </w:r>
      <w:r w:rsidRPr="00583E1A">
        <w:rPr>
          <w:rStyle w:val="CharSubdText"/>
        </w:rPr>
        <w:t>D</w:t>
      </w:r>
      <w:bookmarkEnd w:id="132"/>
    </w:p>
    <w:p w:rsidR="00AD4950" w:rsidRPr="00583E1A" w:rsidRDefault="00AD4950" w:rsidP="00AD4950">
      <w:pPr>
        <w:pStyle w:val="ActHead4"/>
      </w:pPr>
      <w:bookmarkStart w:id="133" w:name="_Toc338939207"/>
      <w:r w:rsidRPr="00583E1A">
        <w:t>Guide to Subdivision</w:t>
      </w:r>
      <w:r w:rsidR="00583E1A">
        <w:t> </w:t>
      </w:r>
      <w:r w:rsidRPr="00583E1A">
        <w:t>775</w:t>
      </w:r>
      <w:r w:rsidR="00583E1A">
        <w:noBreakHyphen/>
      </w:r>
      <w:r w:rsidRPr="00583E1A">
        <w:t>F</w:t>
      </w:r>
      <w:bookmarkEnd w:id="133"/>
    </w:p>
    <w:p w:rsidR="00AD4950" w:rsidRPr="00583E1A" w:rsidRDefault="00AD4950" w:rsidP="00AD4950">
      <w:pPr>
        <w:pStyle w:val="ActHead5"/>
      </w:pPr>
      <w:bookmarkStart w:id="134" w:name="_Toc338939208"/>
      <w:r w:rsidRPr="00583E1A">
        <w:rPr>
          <w:rStyle w:val="CharSectno"/>
        </w:rPr>
        <w:t>775</w:t>
      </w:r>
      <w:r w:rsidR="00583E1A">
        <w:rPr>
          <w:rStyle w:val="CharSectno"/>
        </w:rPr>
        <w:noBreakHyphen/>
      </w:r>
      <w:r w:rsidRPr="00583E1A">
        <w:rPr>
          <w:rStyle w:val="CharSectno"/>
        </w:rPr>
        <w:t>290</w:t>
      </w:r>
      <w:r w:rsidRPr="00583E1A">
        <w:t xml:space="preserve">  What this Subdivision is about</w:t>
      </w:r>
      <w:bookmarkEnd w:id="134"/>
    </w:p>
    <w:p w:rsidR="00AD4950" w:rsidRPr="00583E1A" w:rsidRDefault="00AD4950" w:rsidP="00AD4950">
      <w:pPr>
        <w:pStyle w:val="BoxText"/>
      </w:pPr>
      <w:r w:rsidRPr="00583E1A">
        <w:t>If you have made a foreign exchange retranslation election under Subdivision</w:t>
      </w:r>
      <w:r w:rsidR="00583E1A">
        <w:t> </w:t>
      </w:r>
      <w:r w:rsidRPr="00583E1A">
        <w:t>230</w:t>
      </w:r>
      <w:r w:rsidR="00583E1A">
        <w:noBreakHyphen/>
      </w:r>
      <w:r w:rsidRPr="00583E1A">
        <w:t>D:</w:t>
      </w:r>
    </w:p>
    <w:p w:rsidR="00AD4950" w:rsidRPr="00583E1A" w:rsidRDefault="00AD4950" w:rsidP="00AD4950">
      <w:pPr>
        <w:pStyle w:val="BoxPara"/>
      </w:pPr>
      <w:r w:rsidRPr="00583E1A">
        <w:tab/>
        <w:t>(a)</w:t>
      </w:r>
      <w:r w:rsidRPr="00583E1A">
        <w:tab/>
        <w:t>a forex realisation gain or a forex realisation loss you make in relation to an arrangement that is not a Division</w:t>
      </w:r>
      <w:r w:rsidR="00583E1A">
        <w:t> </w:t>
      </w:r>
      <w:r w:rsidRPr="00583E1A">
        <w:t>230 financial arrangement as a result of forex realisation event 1 to 5 or 8 is disregarded; and</w:t>
      </w:r>
    </w:p>
    <w:p w:rsidR="00AD4950" w:rsidRPr="00583E1A" w:rsidRDefault="00AD4950" w:rsidP="00AD4950">
      <w:pPr>
        <w:pStyle w:val="BoxPara"/>
      </w:pPr>
      <w:r w:rsidRPr="00583E1A">
        <w:tab/>
        <w:t>(b)</w:t>
      </w:r>
      <w:r w:rsidRPr="00583E1A">
        <w:tab/>
        <w:t>forex realisation event 9 enables any gains or losses to be worked out on a retranslation basis.</w:t>
      </w:r>
    </w:p>
    <w:p w:rsidR="00AD4950" w:rsidRPr="00583E1A" w:rsidRDefault="00AD4950" w:rsidP="00AD4950">
      <w:pPr>
        <w:pStyle w:val="TofSectsHeading"/>
      </w:pPr>
      <w:r w:rsidRPr="00583E1A">
        <w:t>Table of sections</w:t>
      </w:r>
    </w:p>
    <w:p w:rsidR="00AD4950" w:rsidRPr="00583E1A" w:rsidRDefault="00AD4950" w:rsidP="00AD4950">
      <w:pPr>
        <w:pStyle w:val="TofSectsSection"/>
      </w:pPr>
      <w:r w:rsidRPr="00583E1A">
        <w:t>775</w:t>
      </w:r>
      <w:r w:rsidR="00583E1A">
        <w:noBreakHyphen/>
      </w:r>
      <w:r w:rsidRPr="00583E1A">
        <w:t>295</w:t>
      </w:r>
      <w:r w:rsidRPr="00583E1A">
        <w:tab/>
        <w:t>When this Subdivision applies</w:t>
      </w:r>
    </w:p>
    <w:p w:rsidR="00AD4950" w:rsidRPr="00583E1A" w:rsidRDefault="00AD4950" w:rsidP="00AD4950">
      <w:pPr>
        <w:pStyle w:val="TofSectsSection"/>
      </w:pPr>
      <w:r w:rsidRPr="00583E1A">
        <w:t>775</w:t>
      </w:r>
      <w:r w:rsidR="00583E1A">
        <w:noBreakHyphen/>
      </w:r>
      <w:r w:rsidRPr="00583E1A">
        <w:t>300</w:t>
      </w:r>
      <w:r w:rsidRPr="00583E1A">
        <w:tab/>
        <w:t>Tax consequences of choosing retranslation for arrangement</w:t>
      </w:r>
    </w:p>
    <w:p w:rsidR="00AD4950" w:rsidRPr="00583E1A" w:rsidRDefault="00AD4950" w:rsidP="00AD4950">
      <w:pPr>
        <w:pStyle w:val="TofSectsSection"/>
      </w:pPr>
      <w:r w:rsidRPr="00583E1A">
        <w:t>775</w:t>
      </w:r>
      <w:r w:rsidR="00583E1A">
        <w:noBreakHyphen/>
      </w:r>
      <w:r w:rsidRPr="00583E1A">
        <w:t>305</w:t>
      </w:r>
      <w:r w:rsidRPr="00583E1A">
        <w:tab/>
        <w:t>Retranslation of gains and losses relating to arrangement to which foreign exchange retranslation election applies—forex realisation event 9</w:t>
      </w:r>
    </w:p>
    <w:p w:rsidR="00AD4950" w:rsidRPr="00583E1A" w:rsidRDefault="00AD4950" w:rsidP="00AD4950">
      <w:pPr>
        <w:pStyle w:val="TofSectsSection"/>
      </w:pPr>
      <w:r w:rsidRPr="00583E1A">
        <w:t>775</w:t>
      </w:r>
      <w:r w:rsidR="00583E1A">
        <w:noBreakHyphen/>
      </w:r>
      <w:r w:rsidRPr="00583E1A">
        <w:t>310</w:t>
      </w:r>
      <w:r w:rsidRPr="00583E1A">
        <w:tab/>
        <w:t>When election ceases to apply to arrangement</w:t>
      </w:r>
    </w:p>
    <w:p w:rsidR="00AD4950" w:rsidRPr="00583E1A" w:rsidRDefault="00AD4950" w:rsidP="00AD4950">
      <w:pPr>
        <w:pStyle w:val="TofSectsSection"/>
      </w:pPr>
      <w:r w:rsidRPr="00583E1A">
        <w:t>775</w:t>
      </w:r>
      <w:r w:rsidR="00583E1A">
        <w:noBreakHyphen/>
      </w:r>
      <w:r w:rsidRPr="00583E1A">
        <w:t>315</w:t>
      </w:r>
      <w:r w:rsidRPr="00583E1A">
        <w:tab/>
        <w:t>Balancing adjustment when election ceases to apply to arrangement</w:t>
      </w:r>
    </w:p>
    <w:p w:rsidR="00AD4950" w:rsidRPr="00583E1A" w:rsidRDefault="00AD4950" w:rsidP="00AD4950">
      <w:pPr>
        <w:pStyle w:val="ActHead5"/>
      </w:pPr>
      <w:bookmarkStart w:id="135" w:name="_Toc338939209"/>
      <w:r w:rsidRPr="00583E1A">
        <w:rPr>
          <w:rStyle w:val="CharSectno"/>
        </w:rPr>
        <w:t>775</w:t>
      </w:r>
      <w:r w:rsidR="00583E1A">
        <w:rPr>
          <w:rStyle w:val="CharSectno"/>
        </w:rPr>
        <w:noBreakHyphen/>
      </w:r>
      <w:r w:rsidRPr="00583E1A">
        <w:rPr>
          <w:rStyle w:val="CharSectno"/>
        </w:rPr>
        <w:t>295</w:t>
      </w:r>
      <w:r w:rsidRPr="00583E1A">
        <w:t xml:space="preserve">  When this Subdivision applies</w:t>
      </w:r>
      <w:bookmarkEnd w:id="135"/>
    </w:p>
    <w:p w:rsidR="00AD4950" w:rsidRPr="00583E1A" w:rsidRDefault="00AD4950" w:rsidP="00AD4950">
      <w:pPr>
        <w:pStyle w:val="subsection"/>
      </w:pPr>
      <w:r w:rsidRPr="00583E1A">
        <w:tab/>
        <w:t>(1)</w:t>
      </w:r>
      <w:r w:rsidRPr="00583E1A">
        <w:tab/>
        <w:t xml:space="preserve">A </w:t>
      </w:r>
      <w:r w:rsidR="00583E1A" w:rsidRPr="00583E1A">
        <w:rPr>
          <w:position w:val="6"/>
          <w:sz w:val="16"/>
        </w:rPr>
        <w:t>*</w:t>
      </w:r>
      <w:r w:rsidRPr="00583E1A">
        <w:t xml:space="preserve">foreign exchange retranslation election applies to an </w:t>
      </w:r>
      <w:r w:rsidR="00583E1A" w:rsidRPr="00583E1A">
        <w:rPr>
          <w:position w:val="6"/>
          <w:sz w:val="16"/>
        </w:rPr>
        <w:t>*</w:t>
      </w:r>
      <w:r w:rsidRPr="00583E1A">
        <w:t>arrangement for the purposes of this Subdivision if:</w:t>
      </w:r>
    </w:p>
    <w:p w:rsidR="00AD4950" w:rsidRPr="00583E1A" w:rsidRDefault="00AD4950" w:rsidP="00AD4950">
      <w:pPr>
        <w:pStyle w:val="paragraph"/>
      </w:pPr>
      <w:r w:rsidRPr="00583E1A">
        <w:tab/>
        <w:t>(a)</w:t>
      </w:r>
      <w:r w:rsidRPr="00583E1A">
        <w:tab/>
        <w:t>you start to have the arrangement after the start of the income year in which the election is made; and</w:t>
      </w:r>
    </w:p>
    <w:p w:rsidR="00AD4950" w:rsidRPr="00583E1A" w:rsidRDefault="00AD4950" w:rsidP="00AD4950">
      <w:pPr>
        <w:pStyle w:val="paragraph"/>
      </w:pPr>
      <w:r w:rsidRPr="00583E1A">
        <w:tab/>
        <w:t>(b)</w:t>
      </w:r>
      <w:r w:rsidRPr="00583E1A">
        <w:tab/>
        <w:t>the arrangement is recognised in financial reports of a kind referred to in paragraph 230</w:t>
      </w:r>
      <w:r w:rsidR="00583E1A">
        <w:noBreakHyphen/>
      </w:r>
      <w:r w:rsidRPr="00583E1A">
        <w:t>255(2)(a) that are audited, or required to be audited, as referred to in paragraph 230</w:t>
      </w:r>
      <w:r w:rsidR="00583E1A">
        <w:noBreakHyphen/>
      </w:r>
      <w:r w:rsidRPr="00583E1A">
        <w:t>255(2)(b); and</w:t>
      </w:r>
    </w:p>
    <w:p w:rsidR="00AD4950" w:rsidRPr="00583E1A" w:rsidRDefault="00AD4950" w:rsidP="00AD4950">
      <w:pPr>
        <w:pStyle w:val="paragraph"/>
      </w:pPr>
      <w:r w:rsidRPr="00583E1A">
        <w:lastRenderedPageBreak/>
        <w:tab/>
        <w:t>(c)</w:t>
      </w:r>
      <w:r w:rsidRPr="00583E1A">
        <w:tab/>
        <w:t>the arrangement is one in relation to which you are required by:</w:t>
      </w:r>
    </w:p>
    <w:p w:rsidR="00AD4950" w:rsidRPr="00583E1A" w:rsidRDefault="00AD4950" w:rsidP="00AD4950">
      <w:pPr>
        <w:pStyle w:val="paragraphsub"/>
      </w:pPr>
      <w:r w:rsidRPr="00583E1A">
        <w:tab/>
        <w:t>(i)</w:t>
      </w:r>
      <w:r w:rsidRPr="00583E1A">
        <w:tab/>
      </w:r>
      <w:r w:rsidR="00583E1A" w:rsidRPr="00583E1A">
        <w:rPr>
          <w:position w:val="6"/>
          <w:sz w:val="16"/>
        </w:rPr>
        <w:t>*</w:t>
      </w:r>
      <w:r w:rsidRPr="00583E1A">
        <w:t>accounting standard AASB 121 (or another accounting standard prescribed for the purposes of paragraph 230</w:t>
      </w:r>
      <w:r w:rsidR="00583E1A">
        <w:noBreakHyphen/>
      </w:r>
      <w:r w:rsidRPr="00583E1A">
        <w:t>265(1)(c)); or</w:t>
      </w:r>
    </w:p>
    <w:p w:rsidR="00AD4950" w:rsidRPr="00583E1A" w:rsidRDefault="00AD4950" w:rsidP="00AD4950">
      <w:pPr>
        <w:pStyle w:val="paragraphsub"/>
      </w:pPr>
      <w:r w:rsidRPr="00583E1A">
        <w:tab/>
        <w:t>(ii)</w:t>
      </w:r>
      <w:r w:rsidRPr="00583E1A">
        <w:tab/>
        <w:t xml:space="preserve">if that standard does not apply to the preparation of the financial report—a comparable accounting standard that applies to the preparation of the financial report under a </w:t>
      </w:r>
      <w:r w:rsidR="00583E1A" w:rsidRPr="00583E1A">
        <w:rPr>
          <w:position w:val="6"/>
          <w:sz w:val="16"/>
        </w:rPr>
        <w:t>*</w:t>
      </w:r>
      <w:r w:rsidRPr="00583E1A">
        <w:t>foreign law;</w:t>
      </w:r>
    </w:p>
    <w:p w:rsidR="00AD4950" w:rsidRPr="00583E1A" w:rsidRDefault="00AD4950" w:rsidP="00AD4950">
      <w:pPr>
        <w:pStyle w:val="paragraph"/>
      </w:pPr>
      <w:r w:rsidRPr="00583E1A">
        <w:tab/>
      </w:r>
      <w:r w:rsidRPr="00583E1A">
        <w:tab/>
        <w:t xml:space="preserve">to recognise, in the financial reports referred to in </w:t>
      </w:r>
      <w:r w:rsidR="00254273" w:rsidRPr="005F1CAE">
        <w:t>paragraph 230</w:t>
      </w:r>
      <w:r w:rsidR="00254273" w:rsidRPr="005F1CAE">
        <w:noBreakHyphen/>
        <w:t>255(2)(a)</w:t>
      </w:r>
      <w:r w:rsidRPr="00583E1A">
        <w:t>, amounts in profit or loss (if any) that are attributable to changes in currency exchange rates.</w:t>
      </w:r>
    </w:p>
    <w:p w:rsidR="00AD4950" w:rsidRPr="00583E1A" w:rsidRDefault="00AD4950" w:rsidP="00AD4950">
      <w:pPr>
        <w:pStyle w:val="subsection"/>
      </w:pPr>
      <w:r w:rsidRPr="00583E1A">
        <w:tab/>
        <w:t>(2)</w:t>
      </w:r>
      <w:r w:rsidRPr="00583E1A">
        <w:tab/>
        <w:t xml:space="preserve">The </w:t>
      </w:r>
      <w:r w:rsidR="00583E1A" w:rsidRPr="00583E1A">
        <w:rPr>
          <w:position w:val="6"/>
          <w:sz w:val="16"/>
        </w:rPr>
        <w:t>*</w:t>
      </w:r>
      <w:r w:rsidRPr="00583E1A">
        <w:t xml:space="preserve">foreign exchange retranslation election does not apply to an </w:t>
      </w:r>
      <w:r w:rsidR="00583E1A" w:rsidRPr="00583E1A">
        <w:rPr>
          <w:position w:val="6"/>
          <w:sz w:val="16"/>
        </w:rPr>
        <w:t>*</w:t>
      </w:r>
      <w:r w:rsidRPr="00583E1A">
        <w:t>arrangement for the purposes of this Subdivision if:</w:t>
      </w:r>
    </w:p>
    <w:p w:rsidR="00AD4950" w:rsidRPr="00583E1A" w:rsidRDefault="00AD4950" w:rsidP="00AD4950">
      <w:pPr>
        <w:pStyle w:val="paragraph"/>
      </w:pPr>
      <w:r w:rsidRPr="00583E1A">
        <w:tab/>
        <w:t>(a)</w:t>
      </w:r>
      <w:r w:rsidRPr="00583E1A">
        <w:tab/>
        <w:t xml:space="preserve">the election is made by the </w:t>
      </w:r>
      <w:r w:rsidR="00583E1A" w:rsidRPr="00583E1A">
        <w:rPr>
          <w:position w:val="6"/>
          <w:sz w:val="16"/>
        </w:rPr>
        <w:t>*</w:t>
      </w:r>
      <w:r w:rsidRPr="00583E1A">
        <w:t xml:space="preserve">head company of a </w:t>
      </w:r>
      <w:r w:rsidR="00583E1A" w:rsidRPr="00583E1A">
        <w:rPr>
          <w:position w:val="6"/>
          <w:sz w:val="16"/>
        </w:rPr>
        <w:t>*</w:t>
      </w:r>
      <w:r w:rsidRPr="00583E1A">
        <w:t xml:space="preserve">consolidated group or </w:t>
      </w:r>
      <w:r w:rsidR="00583E1A" w:rsidRPr="00583E1A">
        <w:rPr>
          <w:position w:val="6"/>
          <w:sz w:val="16"/>
        </w:rPr>
        <w:t>*</w:t>
      </w:r>
      <w:r w:rsidRPr="00583E1A">
        <w:t>MEC group; and</w:t>
      </w:r>
    </w:p>
    <w:p w:rsidR="00AD4950" w:rsidRPr="00583E1A" w:rsidRDefault="00AD4950" w:rsidP="00AD4950">
      <w:pPr>
        <w:pStyle w:val="paragraph"/>
      </w:pPr>
      <w:r w:rsidRPr="00583E1A">
        <w:tab/>
        <w:t>(b)</w:t>
      </w:r>
      <w:r w:rsidRPr="00583E1A">
        <w:tab/>
        <w:t xml:space="preserve">the election specifies that the election is not to apply to </w:t>
      </w:r>
      <w:r w:rsidR="00583E1A" w:rsidRPr="00583E1A">
        <w:rPr>
          <w:position w:val="6"/>
          <w:sz w:val="16"/>
        </w:rPr>
        <w:t>*</w:t>
      </w:r>
      <w:r w:rsidRPr="00583E1A">
        <w:t xml:space="preserve">financial arrangements in relation to </w:t>
      </w:r>
      <w:r w:rsidR="00583E1A" w:rsidRPr="00583E1A">
        <w:rPr>
          <w:position w:val="6"/>
          <w:sz w:val="16"/>
        </w:rPr>
        <w:t>*</w:t>
      </w:r>
      <w:r w:rsidRPr="00583E1A">
        <w:t>life insurance business carried on by a member of the consolidated group or MEC group; and</w:t>
      </w:r>
    </w:p>
    <w:p w:rsidR="00AD4950" w:rsidRPr="00583E1A" w:rsidRDefault="00AD4950" w:rsidP="00AD4950">
      <w:pPr>
        <w:pStyle w:val="paragraph"/>
      </w:pPr>
      <w:r w:rsidRPr="00583E1A">
        <w:tab/>
        <w:t>(c)</w:t>
      </w:r>
      <w:r w:rsidRPr="00583E1A">
        <w:tab/>
        <w:t>the arrangement is one that relates to the life insurance business carried on by a member of the consolidated group or MEC group.</w:t>
      </w:r>
    </w:p>
    <w:p w:rsidR="00AD4950" w:rsidRPr="00583E1A" w:rsidRDefault="00AD4950" w:rsidP="00AD4950">
      <w:pPr>
        <w:pStyle w:val="subsection"/>
      </w:pPr>
      <w:r w:rsidRPr="00583E1A">
        <w:tab/>
        <w:t>(3)</w:t>
      </w:r>
      <w:r w:rsidRPr="00583E1A">
        <w:tab/>
        <w:t xml:space="preserve">The </w:t>
      </w:r>
      <w:r w:rsidR="00583E1A" w:rsidRPr="00583E1A">
        <w:rPr>
          <w:position w:val="6"/>
          <w:sz w:val="16"/>
        </w:rPr>
        <w:t>*</w:t>
      </w:r>
      <w:r w:rsidRPr="00583E1A">
        <w:t xml:space="preserve">foreign exchange retranslation election does not apply to an </w:t>
      </w:r>
      <w:r w:rsidR="00583E1A" w:rsidRPr="00583E1A">
        <w:rPr>
          <w:position w:val="6"/>
          <w:sz w:val="16"/>
        </w:rPr>
        <w:t>*</w:t>
      </w:r>
      <w:r w:rsidRPr="00583E1A">
        <w:t>arrangement for the purposes of this Subdivision if the arrangement is associated with a business of a kind specified in regulations made for the purposes of subsection 230</w:t>
      </w:r>
      <w:r w:rsidR="00583E1A">
        <w:noBreakHyphen/>
      </w:r>
      <w:r w:rsidRPr="00583E1A">
        <w:t>270(4).</w:t>
      </w:r>
    </w:p>
    <w:p w:rsidR="00AD4950" w:rsidRPr="00583E1A" w:rsidRDefault="00AD4950" w:rsidP="00AD4950">
      <w:pPr>
        <w:pStyle w:val="ActHead5"/>
      </w:pPr>
      <w:bookmarkStart w:id="136" w:name="_Toc338939210"/>
      <w:r w:rsidRPr="00583E1A">
        <w:rPr>
          <w:rStyle w:val="CharSectno"/>
        </w:rPr>
        <w:t>775</w:t>
      </w:r>
      <w:r w:rsidR="00583E1A">
        <w:rPr>
          <w:rStyle w:val="CharSectno"/>
        </w:rPr>
        <w:noBreakHyphen/>
      </w:r>
      <w:r w:rsidRPr="00583E1A">
        <w:rPr>
          <w:rStyle w:val="CharSectno"/>
        </w:rPr>
        <w:t>300</w:t>
      </w:r>
      <w:r w:rsidRPr="00583E1A">
        <w:t xml:space="preserve">  Tax consequences of choosing retranslation for arrangement</w:t>
      </w:r>
      <w:bookmarkEnd w:id="136"/>
    </w:p>
    <w:p w:rsidR="00AD4950" w:rsidRPr="00583E1A" w:rsidRDefault="00AD4950" w:rsidP="00AD4950">
      <w:pPr>
        <w:pStyle w:val="subsection"/>
      </w:pPr>
      <w:r w:rsidRPr="00583E1A">
        <w:tab/>
        <w:t>(1)</w:t>
      </w:r>
      <w:r w:rsidRPr="00583E1A">
        <w:tab/>
        <w:t xml:space="preserve">A </w:t>
      </w:r>
      <w:r w:rsidR="00583E1A" w:rsidRPr="00583E1A">
        <w:rPr>
          <w:position w:val="6"/>
          <w:sz w:val="16"/>
        </w:rPr>
        <w:t>*</w:t>
      </w:r>
      <w:r w:rsidRPr="00583E1A">
        <w:t xml:space="preserve">forex realisation gain or </w:t>
      </w:r>
      <w:r w:rsidR="00583E1A" w:rsidRPr="00583E1A">
        <w:rPr>
          <w:position w:val="6"/>
          <w:sz w:val="16"/>
        </w:rPr>
        <w:t>*</w:t>
      </w:r>
      <w:r w:rsidRPr="00583E1A">
        <w:t>forex realisation loss you make as a result of forex realisation event 1, 2, 3, 4, 5 or 8 is disregarded if:</w:t>
      </w:r>
    </w:p>
    <w:p w:rsidR="00AD4950" w:rsidRPr="00583E1A" w:rsidRDefault="00AD4950" w:rsidP="00AD4950">
      <w:pPr>
        <w:pStyle w:val="paragraph"/>
      </w:pPr>
      <w:r w:rsidRPr="00583E1A">
        <w:tab/>
        <w:t>(a)</w:t>
      </w:r>
      <w:r w:rsidRPr="00583E1A">
        <w:tab/>
        <w:t xml:space="preserve">the event happens in relation to an </w:t>
      </w:r>
      <w:r w:rsidR="00583E1A" w:rsidRPr="00583E1A">
        <w:rPr>
          <w:position w:val="6"/>
          <w:sz w:val="16"/>
        </w:rPr>
        <w:t>*</w:t>
      </w:r>
      <w:r w:rsidRPr="00583E1A">
        <w:t>arrangement that you hold; and</w:t>
      </w:r>
    </w:p>
    <w:p w:rsidR="00AD4950" w:rsidRPr="00583E1A" w:rsidRDefault="00AD4950" w:rsidP="00AD4950">
      <w:pPr>
        <w:pStyle w:val="paragraph"/>
      </w:pPr>
      <w:r w:rsidRPr="00583E1A">
        <w:tab/>
        <w:t>(b)</w:t>
      </w:r>
      <w:r w:rsidRPr="00583E1A">
        <w:tab/>
        <w:t xml:space="preserve">you have made a </w:t>
      </w:r>
      <w:r w:rsidR="00583E1A" w:rsidRPr="00583E1A">
        <w:rPr>
          <w:position w:val="6"/>
          <w:sz w:val="16"/>
        </w:rPr>
        <w:t>*</w:t>
      </w:r>
      <w:r w:rsidRPr="00583E1A">
        <w:t>foreign exchange retranslation election that applies to the arrangement; and</w:t>
      </w:r>
    </w:p>
    <w:p w:rsidR="00AD4950" w:rsidRPr="00583E1A" w:rsidRDefault="00AD4950" w:rsidP="00AD4950">
      <w:pPr>
        <w:pStyle w:val="paragraph"/>
      </w:pPr>
      <w:r w:rsidRPr="00583E1A">
        <w:lastRenderedPageBreak/>
        <w:tab/>
        <w:t>(c)</w:t>
      </w:r>
      <w:r w:rsidRPr="00583E1A">
        <w:tab/>
        <w:t>the election is in effect when the event happens.</w:t>
      </w:r>
    </w:p>
    <w:p w:rsidR="00AD4950" w:rsidRPr="00583E1A" w:rsidRDefault="00AD4950" w:rsidP="00AD4950">
      <w:pPr>
        <w:pStyle w:val="subsection"/>
      </w:pPr>
      <w:r w:rsidRPr="00583E1A">
        <w:tab/>
        <w:t>(2)</w:t>
      </w:r>
      <w:r w:rsidRPr="00583E1A">
        <w:tab/>
        <w:t>If:</w:t>
      </w:r>
    </w:p>
    <w:p w:rsidR="00AD4950" w:rsidRPr="00583E1A" w:rsidRDefault="00AD4950" w:rsidP="00AD4950">
      <w:pPr>
        <w:pStyle w:val="paragraph"/>
      </w:pPr>
      <w:r w:rsidRPr="00583E1A">
        <w:tab/>
        <w:t>(a)</w:t>
      </w:r>
      <w:r w:rsidRPr="00583E1A">
        <w:tab/>
        <w:t xml:space="preserve">CGT event C1 or C2 happens in relation to an </w:t>
      </w:r>
      <w:r w:rsidR="00583E1A" w:rsidRPr="00583E1A">
        <w:rPr>
          <w:position w:val="6"/>
          <w:sz w:val="16"/>
        </w:rPr>
        <w:t>*</w:t>
      </w:r>
      <w:r w:rsidRPr="00583E1A">
        <w:t>arrangement that you hold at the time of the event; and</w:t>
      </w:r>
    </w:p>
    <w:p w:rsidR="00AD4950" w:rsidRPr="00583E1A" w:rsidRDefault="00AD4950" w:rsidP="00AD4950">
      <w:pPr>
        <w:pStyle w:val="paragraph"/>
      </w:pPr>
      <w:r w:rsidRPr="00583E1A">
        <w:tab/>
        <w:t>(b)</w:t>
      </w:r>
      <w:r w:rsidRPr="00583E1A">
        <w:tab/>
        <w:t xml:space="preserve">you have made a </w:t>
      </w:r>
      <w:r w:rsidR="00583E1A" w:rsidRPr="00583E1A">
        <w:rPr>
          <w:position w:val="6"/>
          <w:sz w:val="16"/>
        </w:rPr>
        <w:t>*</w:t>
      </w:r>
      <w:r w:rsidRPr="00583E1A">
        <w:t>foreign exchange retranslation election that applies to the arrangement; and</w:t>
      </w:r>
    </w:p>
    <w:p w:rsidR="00AD4950" w:rsidRPr="00583E1A" w:rsidRDefault="00AD4950" w:rsidP="00AD4950">
      <w:pPr>
        <w:pStyle w:val="paragraph"/>
      </w:pPr>
      <w:r w:rsidRPr="00583E1A">
        <w:tab/>
        <w:t>(c)</w:t>
      </w:r>
      <w:r w:rsidRPr="00583E1A">
        <w:tab/>
        <w:t>the election is in effect when the event happens;</w:t>
      </w:r>
    </w:p>
    <w:p w:rsidR="00AD4950" w:rsidRPr="00583E1A" w:rsidRDefault="00AD4950" w:rsidP="00AD4950">
      <w:pPr>
        <w:pStyle w:val="subsection2"/>
      </w:pPr>
      <w:r w:rsidRPr="00583E1A">
        <w:t xml:space="preserve">disregard so much of any </w:t>
      </w:r>
      <w:r w:rsidR="00583E1A" w:rsidRPr="00583E1A">
        <w:rPr>
          <w:position w:val="6"/>
          <w:sz w:val="16"/>
        </w:rPr>
        <w:t>*</w:t>
      </w:r>
      <w:r w:rsidRPr="00583E1A">
        <w:t xml:space="preserve">capital gain or </w:t>
      </w:r>
      <w:r w:rsidR="00583E1A" w:rsidRPr="00583E1A">
        <w:rPr>
          <w:position w:val="6"/>
          <w:sz w:val="16"/>
        </w:rPr>
        <w:t>*</w:t>
      </w:r>
      <w:r w:rsidRPr="00583E1A">
        <w:t xml:space="preserve">capital loss you make as a result of the event as is attributable to a </w:t>
      </w:r>
      <w:r w:rsidR="00583E1A" w:rsidRPr="00583E1A">
        <w:rPr>
          <w:position w:val="6"/>
          <w:sz w:val="16"/>
        </w:rPr>
        <w:t>*</w:t>
      </w:r>
      <w:r w:rsidRPr="00583E1A">
        <w:t>currency exchange rate effect.</w:t>
      </w:r>
    </w:p>
    <w:p w:rsidR="00AD4950" w:rsidRPr="00583E1A" w:rsidRDefault="00AD4950" w:rsidP="00AD4950">
      <w:pPr>
        <w:pStyle w:val="notetext"/>
      </w:pPr>
      <w:r w:rsidRPr="00583E1A">
        <w:t>Note:</w:t>
      </w:r>
      <w:r w:rsidRPr="00583E1A">
        <w:tab/>
        <w:t xml:space="preserve">For </w:t>
      </w:r>
      <w:r w:rsidRPr="00583E1A">
        <w:rPr>
          <w:b/>
          <w:i/>
        </w:rPr>
        <w:t>currency exchange rate effect</w:t>
      </w:r>
      <w:r w:rsidRPr="00583E1A">
        <w:t>, see section</w:t>
      </w:r>
      <w:r w:rsidR="00583E1A">
        <w:t> </w:t>
      </w:r>
      <w:r w:rsidRPr="00583E1A">
        <w:t>775</w:t>
      </w:r>
      <w:r w:rsidR="00583E1A">
        <w:noBreakHyphen/>
      </w:r>
      <w:r w:rsidRPr="00583E1A">
        <w:t>105.</w:t>
      </w:r>
    </w:p>
    <w:p w:rsidR="00AD4950" w:rsidRPr="00583E1A" w:rsidRDefault="00AD4950" w:rsidP="00AD4950">
      <w:pPr>
        <w:pStyle w:val="ActHead5"/>
      </w:pPr>
      <w:bookmarkStart w:id="137" w:name="_Toc338939211"/>
      <w:r w:rsidRPr="00583E1A">
        <w:rPr>
          <w:rStyle w:val="CharSectno"/>
        </w:rPr>
        <w:t>775</w:t>
      </w:r>
      <w:r w:rsidR="00583E1A">
        <w:rPr>
          <w:rStyle w:val="CharSectno"/>
        </w:rPr>
        <w:noBreakHyphen/>
      </w:r>
      <w:r w:rsidRPr="00583E1A">
        <w:rPr>
          <w:rStyle w:val="CharSectno"/>
        </w:rPr>
        <w:t>305</w:t>
      </w:r>
      <w:r w:rsidRPr="00583E1A">
        <w:t xml:space="preserve">  Retranslation of gains and losses relating to arrangement to which foreign exchange retranslation election applies—forex realisation event 9</w:t>
      </w:r>
      <w:bookmarkEnd w:id="137"/>
    </w:p>
    <w:p w:rsidR="00AD4950" w:rsidRPr="00583E1A" w:rsidRDefault="00AD4950" w:rsidP="00AD4950">
      <w:pPr>
        <w:pStyle w:val="SubsectionHead"/>
      </w:pPr>
      <w:r w:rsidRPr="00583E1A">
        <w:t>Forex realisation event 9</w:t>
      </w:r>
    </w:p>
    <w:p w:rsidR="00AD4950" w:rsidRPr="00583E1A" w:rsidRDefault="00AD4950" w:rsidP="00AD4950">
      <w:pPr>
        <w:pStyle w:val="subsection"/>
      </w:pPr>
      <w:r w:rsidRPr="00583E1A">
        <w:tab/>
        <w:t>(1)</w:t>
      </w:r>
      <w:r w:rsidRPr="00583E1A">
        <w:tab/>
      </w:r>
      <w:r w:rsidRPr="00583E1A">
        <w:rPr>
          <w:b/>
          <w:i/>
        </w:rPr>
        <w:t>Forex realisation event 9</w:t>
      </w:r>
      <w:r w:rsidRPr="00583E1A">
        <w:t xml:space="preserve"> happens in relation to an </w:t>
      </w:r>
      <w:r w:rsidR="00583E1A" w:rsidRPr="00583E1A">
        <w:rPr>
          <w:position w:val="6"/>
          <w:sz w:val="16"/>
        </w:rPr>
        <w:t>*</w:t>
      </w:r>
      <w:r w:rsidRPr="00583E1A">
        <w:t>arrangement during an income year if:</w:t>
      </w:r>
    </w:p>
    <w:p w:rsidR="00AD4950" w:rsidRPr="00583E1A" w:rsidRDefault="00AD4950" w:rsidP="00AD4950">
      <w:pPr>
        <w:pStyle w:val="paragraph"/>
      </w:pPr>
      <w:r w:rsidRPr="00583E1A">
        <w:tab/>
        <w:t>(a)</w:t>
      </w:r>
      <w:r w:rsidRPr="00583E1A">
        <w:tab/>
        <w:t xml:space="preserve">you have made a </w:t>
      </w:r>
      <w:r w:rsidR="00583E1A" w:rsidRPr="00583E1A">
        <w:rPr>
          <w:position w:val="6"/>
          <w:sz w:val="16"/>
        </w:rPr>
        <w:t>*</w:t>
      </w:r>
      <w:r w:rsidRPr="00583E1A">
        <w:t>foreign exchange retranslation election that applies to the arrangement; and</w:t>
      </w:r>
    </w:p>
    <w:p w:rsidR="00AD4950" w:rsidRPr="00583E1A" w:rsidRDefault="00AD4950" w:rsidP="00AD4950">
      <w:pPr>
        <w:pStyle w:val="paragraph"/>
      </w:pPr>
      <w:r w:rsidRPr="00583E1A">
        <w:tab/>
        <w:t>(b)</w:t>
      </w:r>
      <w:r w:rsidRPr="00583E1A">
        <w:tab/>
        <w:t>you are required by:</w:t>
      </w:r>
    </w:p>
    <w:p w:rsidR="00AD4950" w:rsidRPr="00583E1A" w:rsidRDefault="00AD4950" w:rsidP="00AD4950">
      <w:pPr>
        <w:pStyle w:val="paragraphsub"/>
      </w:pPr>
      <w:r w:rsidRPr="00583E1A">
        <w:tab/>
        <w:t>(i)</w:t>
      </w:r>
      <w:r w:rsidRPr="00583E1A">
        <w:tab/>
      </w:r>
      <w:r w:rsidR="00583E1A" w:rsidRPr="00583E1A">
        <w:rPr>
          <w:position w:val="6"/>
          <w:sz w:val="16"/>
        </w:rPr>
        <w:t>*</w:t>
      </w:r>
      <w:r w:rsidRPr="00583E1A">
        <w:t>accounting standard AASB 121 (or another accounting standard prescribed for the purposes of paragraph 230</w:t>
      </w:r>
      <w:r w:rsidR="00583E1A">
        <w:noBreakHyphen/>
      </w:r>
      <w:r w:rsidRPr="00583E1A">
        <w:t>265(1)(c)); or</w:t>
      </w:r>
    </w:p>
    <w:p w:rsidR="00AD4950" w:rsidRPr="00583E1A" w:rsidRDefault="00AD4950" w:rsidP="00AD4950">
      <w:pPr>
        <w:pStyle w:val="paragraphsub"/>
      </w:pPr>
      <w:r w:rsidRPr="00583E1A">
        <w:tab/>
        <w:t>(ii)</w:t>
      </w:r>
      <w:r w:rsidRPr="00583E1A">
        <w:tab/>
        <w:t xml:space="preserve">if that standard does not apply to the preparation of the financial report—a comparable accounting standard that applies to the preparation of the financial report under a </w:t>
      </w:r>
      <w:r w:rsidR="00583E1A" w:rsidRPr="00583E1A">
        <w:rPr>
          <w:position w:val="6"/>
          <w:sz w:val="16"/>
        </w:rPr>
        <w:t>*</w:t>
      </w:r>
      <w:r w:rsidRPr="00583E1A">
        <w:t>foreign law;</w:t>
      </w:r>
    </w:p>
    <w:p w:rsidR="00AD4950" w:rsidRPr="00583E1A" w:rsidRDefault="00AD4950" w:rsidP="00AD4950">
      <w:pPr>
        <w:pStyle w:val="paragraph"/>
      </w:pPr>
      <w:r w:rsidRPr="00583E1A">
        <w:tab/>
      </w:r>
      <w:r w:rsidRPr="00583E1A">
        <w:tab/>
        <w:t xml:space="preserve">to recognise, in the financial report referred to in </w:t>
      </w:r>
      <w:r w:rsidR="00661F11" w:rsidRPr="005F1CAE">
        <w:t>paragraph 230</w:t>
      </w:r>
      <w:r w:rsidR="00661F11" w:rsidRPr="005F1CAE">
        <w:noBreakHyphen/>
        <w:t>255(2)(a)</w:t>
      </w:r>
      <w:r w:rsidRPr="00583E1A">
        <w:t xml:space="preserve"> for that income year, amounts in profit or loss (if any) in relation to the arrangement that are attributable to changes in currency exchange rates.</w:t>
      </w:r>
    </w:p>
    <w:p w:rsidR="00AD4950" w:rsidRPr="00583E1A" w:rsidRDefault="00AD4950" w:rsidP="00AD4950">
      <w:pPr>
        <w:pStyle w:val="subsection2"/>
      </w:pPr>
      <w:r w:rsidRPr="00583E1A">
        <w:t xml:space="preserve">The </w:t>
      </w:r>
      <w:r w:rsidRPr="00583E1A">
        <w:rPr>
          <w:b/>
          <w:i/>
        </w:rPr>
        <w:t>forex realisation event 9</w:t>
      </w:r>
      <w:r w:rsidRPr="00583E1A">
        <w:t xml:space="preserve"> is taken to have happened in the income year.</w:t>
      </w:r>
    </w:p>
    <w:p w:rsidR="00AD4950" w:rsidRPr="00583E1A" w:rsidRDefault="00AD4950" w:rsidP="00AD4950">
      <w:pPr>
        <w:pStyle w:val="SubsectionHead"/>
      </w:pPr>
      <w:r w:rsidRPr="00583E1A">
        <w:lastRenderedPageBreak/>
        <w:t>Forex realisation gain</w:t>
      </w:r>
    </w:p>
    <w:p w:rsidR="00AD4950" w:rsidRPr="00583E1A" w:rsidRDefault="00AD4950" w:rsidP="00AD4950">
      <w:pPr>
        <w:pStyle w:val="subsection"/>
      </w:pPr>
      <w:r w:rsidRPr="00583E1A">
        <w:tab/>
        <w:t>(2)</w:t>
      </w:r>
      <w:r w:rsidRPr="00583E1A">
        <w:tab/>
        <w:t xml:space="preserve">You make a </w:t>
      </w:r>
      <w:r w:rsidRPr="00583E1A">
        <w:rPr>
          <w:b/>
          <w:i/>
        </w:rPr>
        <w:t>forex realisation gain</w:t>
      </w:r>
      <w:r w:rsidRPr="00583E1A">
        <w:t xml:space="preserve"> if the standard referred to in </w:t>
      </w:r>
      <w:r w:rsidR="00583E1A">
        <w:t>paragraph (</w:t>
      </w:r>
      <w:r w:rsidRPr="00583E1A">
        <w:t xml:space="preserve">1)(b) requires you to recognise </w:t>
      </w:r>
      <w:r w:rsidR="00407F86" w:rsidRPr="005F1CAE">
        <w:t>an amount of gain in profit or loss</w:t>
      </w:r>
      <w:r w:rsidRPr="00583E1A">
        <w:t xml:space="preserve"> in relation to the </w:t>
      </w:r>
      <w:r w:rsidR="00583E1A" w:rsidRPr="00583E1A">
        <w:rPr>
          <w:position w:val="6"/>
          <w:sz w:val="16"/>
        </w:rPr>
        <w:t>*</w:t>
      </w:r>
      <w:r w:rsidRPr="00583E1A">
        <w:t xml:space="preserve">arrangement. That amount of the </w:t>
      </w:r>
      <w:r w:rsidRPr="00583E1A">
        <w:rPr>
          <w:b/>
          <w:i/>
        </w:rPr>
        <w:t>forex realisation gain</w:t>
      </w:r>
      <w:r w:rsidRPr="00583E1A">
        <w:t xml:space="preserve"> is the amount the standard requires you to recognise.</w:t>
      </w:r>
    </w:p>
    <w:p w:rsidR="00AD4950" w:rsidRPr="00583E1A" w:rsidRDefault="00AD4950" w:rsidP="00AD4950">
      <w:pPr>
        <w:pStyle w:val="SubsectionHead"/>
      </w:pPr>
      <w:r w:rsidRPr="00583E1A">
        <w:t>Forex realisation loss</w:t>
      </w:r>
    </w:p>
    <w:p w:rsidR="00AD4950" w:rsidRPr="00583E1A" w:rsidRDefault="00AD4950" w:rsidP="00AD4950">
      <w:pPr>
        <w:pStyle w:val="subsection"/>
      </w:pPr>
      <w:r w:rsidRPr="00583E1A">
        <w:tab/>
        <w:t>(3)</w:t>
      </w:r>
      <w:r w:rsidRPr="00583E1A">
        <w:tab/>
        <w:t xml:space="preserve">You make a </w:t>
      </w:r>
      <w:r w:rsidRPr="00583E1A">
        <w:rPr>
          <w:b/>
          <w:i/>
        </w:rPr>
        <w:t>forex realisation loss</w:t>
      </w:r>
      <w:r w:rsidRPr="00583E1A">
        <w:t xml:space="preserve"> if the </w:t>
      </w:r>
      <w:r w:rsidR="00583E1A" w:rsidRPr="00583E1A">
        <w:rPr>
          <w:position w:val="6"/>
          <w:sz w:val="16"/>
        </w:rPr>
        <w:t>*</w:t>
      </w:r>
      <w:r w:rsidRPr="00583E1A">
        <w:t xml:space="preserve">accounting standard referred to in </w:t>
      </w:r>
      <w:r w:rsidR="00583E1A">
        <w:t>paragraph (</w:t>
      </w:r>
      <w:r w:rsidRPr="00583E1A">
        <w:t xml:space="preserve">1)(b) requires you to recognise </w:t>
      </w:r>
      <w:r w:rsidR="00407F86" w:rsidRPr="005F1CAE">
        <w:t>an amount of loss in profit or loss</w:t>
      </w:r>
      <w:r w:rsidRPr="00583E1A">
        <w:t xml:space="preserve"> in relation to the </w:t>
      </w:r>
      <w:r w:rsidR="00583E1A" w:rsidRPr="00583E1A">
        <w:rPr>
          <w:position w:val="6"/>
          <w:sz w:val="16"/>
        </w:rPr>
        <w:t>*</w:t>
      </w:r>
      <w:r w:rsidRPr="00583E1A">
        <w:t xml:space="preserve">arrangement. That amount of the </w:t>
      </w:r>
      <w:r w:rsidRPr="00583E1A">
        <w:rPr>
          <w:b/>
          <w:i/>
        </w:rPr>
        <w:t>forex realisation loss</w:t>
      </w:r>
      <w:r w:rsidRPr="00583E1A">
        <w:t xml:space="preserve"> is the amount that the accounting standard requires you to recognise.</w:t>
      </w:r>
    </w:p>
    <w:p w:rsidR="00AD4950" w:rsidRPr="00583E1A" w:rsidRDefault="00AD4950" w:rsidP="00AD4950">
      <w:pPr>
        <w:pStyle w:val="SubsectionHead"/>
      </w:pPr>
      <w:r w:rsidRPr="00583E1A">
        <w:t>Section does not apply to amounts previously recognised in equity</w:t>
      </w:r>
    </w:p>
    <w:p w:rsidR="00AD4950" w:rsidRPr="00583E1A" w:rsidRDefault="00AD4950" w:rsidP="00AD4950">
      <w:pPr>
        <w:pStyle w:val="subsection"/>
      </w:pPr>
      <w:r w:rsidRPr="00583E1A">
        <w:tab/>
        <w:t>(4)</w:t>
      </w:r>
      <w:r w:rsidRPr="00583E1A">
        <w:tab/>
      </w:r>
      <w:r w:rsidR="00583E1A">
        <w:t>Subsections (</w:t>
      </w:r>
      <w:r w:rsidRPr="00583E1A">
        <w:t>1), (2) and (3) do not apply to amounts that have previously been required by the standards referred to in paragraph 230</w:t>
      </w:r>
      <w:r w:rsidR="00583E1A">
        <w:noBreakHyphen/>
      </w:r>
      <w:r w:rsidRPr="00583E1A">
        <w:t>255(2)(a) to be recognised in equity.</w:t>
      </w:r>
    </w:p>
    <w:p w:rsidR="00AD4950" w:rsidRPr="00583E1A" w:rsidRDefault="00AD4950" w:rsidP="00AD4950">
      <w:pPr>
        <w:pStyle w:val="ActHead5"/>
      </w:pPr>
      <w:bookmarkStart w:id="138" w:name="_Toc338939212"/>
      <w:r w:rsidRPr="00583E1A">
        <w:rPr>
          <w:rStyle w:val="CharSectno"/>
        </w:rPr>
        <w:t>775</w:t>
      </w:r>
      <w:r w:rsidR="00583E1A">
        <w:rPr>
          <w:rStyle w:val="CharSectno"/>
        </w:rPr>
        <w:noBreakHyphen/>
      </w:r>
      <w:r w:rsidRPr="00583E1A">
        <w:rPr>
          <w:rStyle w:val="CharSectno"/>
        </w:rPr>
        <w:t>310</w:t>
      </w:r>
      <w:r w:rsidRPr="00583E1A">
        <w:t xml:space="preserve">  When election ceases to apply to arrangement</w:t>
      </w:r>
      <w:bookmarkEnd w:id="138"/>
    </w:p>
    <w:p w:rsidR="00AD4950" w:rsidRPr="00583E1A" w:rsidRDefault="00AD4950" w:rsidP="00AD4950">
      <w:pPr>
        <w:pStyle w:val="subsection"/>
      </w:pPr>
      <w:r w:rsidRPr="00583E1A">
        <w:tab/>
        <w:t>(1)</w:t>
      </w:r>
      <w:r w:rsidRPr="00583E1A">
        <w:tab/>
        <w:t xml:space="preserve">For the purposes of this Division, a </w:t>
      </w:r>
      <w:r w:rsidR="00583E1A" w:rsidRPr="00583E1A">
        <w:rPr>
          <w:position w:val="6"/>
          <w:sz w:val="16"/>
        </w:rPr>
        <w:t>*</w:t>
      </w:r>
      <w:r w:rsidRPr="00583E1A">
        <w:t>foreign exchange retranslation election under subsection 230</w:t>
      </w:r>
      <w:r w:rsidR="00583E1A">
        <w:noBreakHyphen/>
      </w:r>
      <w:r w:rsidRPr="00583E1A">
        <w:t xml:space="preserve">255(1) ceases to apply to an </w:t>
      </w:r>
      <w:r w:rsidR="00583E1A" w:rsidRPr="00583E1A">
        <w:rPr>
          <w:position w:val="6"/>
          <w:sz w:val="16"/>
        </w:rPr>
        <w:t>*</w:t>
      </w:r>
      <w:r w:rsidRPr="00583E1A">
        <w:t>arrangement from the start of an income year if the arrangement ceases to satisfy a requirement of paragraph 775</w:t>
      </w:r>
      <w:r w:rsidR="00583E1A">
        <w:noBreakHyphen/>
      </w:r>
      <w:r w:rsidRPr="00583E1A">
        <w:t>295(1)(b) or (c) during that income year.</w:t>
      </w:r>
    </w:p>
    <w:p w:rsidR="00AD4950" w:rsidRPr="00583E1A" w:rsidRDefault="00AD4950" w:rsidP="00AD4950">
      <w:pPr>
        <w:pStyle w:val="subsection"/>
      </w:pPr>
      <w:r w:rsidRPr="00583E1A">
        <w:tab/>
        <w:t>(2)</w:t>
      </w:r>
      <w:r w:rsidRPr="00583E1A">
        <w:tab/>
        <w:t xml:space="preserve">If the election ceases to apply to an </w:t>
      </w:r>
      <w:r w:rsidR="00583E1A" w:rsidRPr="00583E1A">
        <w:rPr>
          <w:position w:val="6"/>
          <w:sz w:val="16"/>
        </w:rPr>
        <w:t>*</w:t>
      </w:r>
      <w:r w:rsidRPr="00583E1A">
        <w:t xml:space="preserve">arrangement under </w:t>
      </w:r>
      <w:r w:rsidR="00583E1A">
        <w:t>subsection (</w:t>
      </w:r>
      <w:r w:rsidRPr="00583E1A">
        <w:t>1), the election cannot subsequently reapply to that arrangement (even if the requirements of paragraphs 775</w:t>
      </w:r>
      <w:r w:rsidR="00583E1A">
        <w:noBreakHyphen/>
      </w:r>
      <w:r w:rsidRPr="00583E1A">
        <w:t>295(1)(b) and (c) are satisfied once more in relation to the arrangement).</w:t>
      </w:r>
    </w:p>
    <w:p w:rsidR="00AD4950" w:rsidRPr="00583E1A" w:rsidRDefault="00AD4950" w:rsidP="00AD4950">
      <w:pPr>
        <w:pStyle w:val="ActHead5"/>
      </w:pPr>
      <w:bookmarkStart w:id="139" w:name="_Toc338939213"/>
      <w:r w:rsidRPr="00583E1A">
        <w:rPr>
          <w:rStyle w:val="CharSectno"/>
        </w:rPr>
        <w:t>775</w:t>
      </w:r>
      <w:r w:rsidR="00583E1A">
        <w:rPr>
          <w:rStyle w:val="CharSectno"/>
        </w:rPr>
        <w:noBreakHyphen/>
      </w:r>
      <w:r w:rsidRPr="00583E1A">
        <w:rPr>
          <w:rStyle w:val="CharSectno"/>
        </w:rPr>
        <w:t>315</w:t>
      </w:r>
      <w:r w:rsidRPr="00583E1A">
        <w:t xml:space="preserve">  Balancing adjustment when election ceases to apply to arrangement</w:t>
      </w:r>
      <w:bookmarkEnd w:id="139"/>
    </w:p>
    <w:p w:rsidR="00AD4950" w:rsidRPr="00583E1A" w:rsidRDefault="00AD4950" w:rsidP="00AD4950">
      <w:pPr>
        <w:pStyle w:val="subsection"/>
      </w:pPr>
      <w:r w:rsidRPr="00583E1A">
        <w:tab/>
        <w:t>(1)</w:t>
      </w:r>
      <w:r w:rsidRPr="00583E1A">
        <w:tab/>
        <w:t>This section applies if:</w:t>
      </w:r>
    </w:p>
    <w:p w:rsidR="00AD4950" w:rsidRPr="00583E1A" w:rsidRDefault="00AD4950" w:rsidP="00AD4950">
      <w:pPr>
        <w:pStyle w:val="paragraph"/>
      </w:pPr>
      <w:r w:rsidRPr="00583E1A">
        <w:tab/>
        <w:t>(a)</w:t>
      </w:r>
      <w:r w:rsidRPr="00583E1A">
        <w:tab/>
        <w:t xml:space="preserve">you make a </w:t>
      </w:r>
      <w:r w:rsidR="00583E1A" w:rsidRPr="00583E1A">
        <w:rPr>
          <w:position w:val="6"/>
          <w:sz w:val="16"/>
        </w:rPr>
        <w:t>*</w:t>
      </w:r>
      <w:r w:rsidRPr="00583E1A">
        <w:t>foreign exchange retranslation election; and</w:t>
      </w:r>
    </w:p>
    <w:p w:rsidR="00AD4950" w:rsidRPr="00583E1A" w:rsidRDefault="00AD4950" w:rsidP="00AD4950">
      <w:pPr>
        <w:pStyle w:val="paragraph"/>
      </w:pPr>
      <w:r w:rsidRPr="00583E1A">
        <w:lastRenderedPageBreak/>
        <w:tab/>
        <w:t>(b)</w:t>
      </w:r>
      <w:r w:rsidRPr="00583E1A">
        <w:tab/>
        <w:t xml:space="preserve">the election ceases to have effect or ceases to apply to an </w:t>
      </w:r>
      <w:r w:rsidR="00583E1A" w:rsidRPr="00583E1A">
        <w:rPr>
          <w:position w:val="6"/>
          <w:sz w:val="16"/>
        </w:rPr>
        <w:t>*</w:t>
      </w:r>
      <w:r w:rsidRPr="00583E1A">
        <w:t>arrangement.</w:t>
      </w:r>
    </w:p>
    <w:p w:rsidR="00AD4950" w:rsidRPr="00583E1A" w:rsidRDefault="00AD4950" w:rsidP="00AD4950">
      <w:pPr>
        <w:pStyle w:val="subsection"/>
      </w:pPr>
      <w:r w:rsidRPr="00583E1A">
        <w:tab/>
        <w:t>(2)</w:t>
      </w:r>
      <w:r w:rsidRPr="00583E1A">
        <w:tab/>
        <w:t>You are taken, for the purposes of this Division, to have:</w:t>
      </w:r>
    </w:p>
    <w:p w:rsidR="00AD4950" w:rsidRPr="00583E1A" w:rsidRDefault="00AD4950" w:rsidP="00AD4950">
      <w:pPr>
        <w:pStyle w:val="paragraph"/>
      </w:pPr>
      <w:r w:rsidRPr="00583E1A">
        <w:tab/>
        <w:t>(a)</w:t>
      </w:r>
      <w:r w:rsidRPr="00583E1A">
        <w:tab/>
        <w:t xml:space="preserve">disposed of the </w:t>
      </w:r>
      <w:r w:rsidR="00583E1A" w:rsidRPr="00583E1A">
        <w:rPr>
          <w:position w:val="6"/>
          <w:sz w:val="16"/>
        </w:rPr>
        <w:t>*</w:t>
      </w:r>
      <w:r w:rsidRPr="00583E1A">
        <w:t>arrangement for its fair value immediately before the election ceases to have effect or ceases to apply to the arrangement; and</w:t>
      </w:r>
    </w:p>
    <w:p w:rsidR="00AD4950" w:rsidRPr="00583E1A" w:rsidRDefault="00AD4950" w:rsidP="00AD4950">
      <w:pPr>
        <w:pStyle w:val="paragraph"/>
      </w:pPr>
      <w:r w:rsidRPr="00583E1A">
        <w:tab/>
        <w:t>(b)</w:t>
      </w:r>
      <w:r w:rsidRPr="00583E1A">
        <w:tab/>
        <w:t>reacquired the arrangement at its fair value immediately after the election ceases to have effect or ceases to apply to the arrangement.</w:t>
      </w:r>
    </w:p>
    <w:p w:rsidR="00AD4950" w:rsidRPr="00583E1A" w:rsidRDefault="00AD4950" w:rsidP="00AD4950">
      <w:pPr>
        <w:pStyle w:val="notetext"/>
      </w:pPr>
      <w:r w:rsidRPr="00583E1A">
        <w:t>Note:</w:t>
      </w:r>
      <w:r w:rsidRPr="00583E1A">
        <w:tab/>
      </w:r>
      <w:r w:rsidR="00583E1A">
        <w:t>Paragraph (</w:t>
      </w:r>
      <w:r w:rsidRPr="00583E1A">
        <w:t>a) means that there would be a forex realisation event 9 in relation to the arrangement.</w:t>
      </w:r>
    </w:p>
    <w:p w:rsidR="00887330" w:rsidRPr="00583E1A" w:rsidRDefault="00887330" w:rsidP="00887330">
      <w:pPr>
        <w:pStyle w:val="ActHead3"/>
        <w:pageBreakBefore/>
      </w:pPr>
      <w:bookmarkStart w:id="140" w:name="_Toc338939214"/>
      <w:r w:rsidRPr="00583E1A">
        <w:rPr>
          <w:rStyle w:val="CharDivNo"/>
        </w:rPr>
        <w:lastRenderedPageBreak/>
        <w:t>Division</w:t>
      </w:r>
      <w:r w:rsidR="00583E1A">
        <w:rPr>
          <w:rStyle w:val="CharDivNo"/>
        </w:rPr>
        <w:t> </w:t>
      </w:r>
      <w:r w:rsidRPr="00583E1A">
        <w:rPr>
          <w:rStyle w:val="CharDivNo"/>
        </w:rPr>
        <w:t>802</w:t>
      </w:r>
      <w:r w:rsidRPr="00583E1A">
        <w:t>—</w:t>
      </w:r>
      <w:r w:rsidRPr="00583E1A">
        <w:rPr>
          <w:rStyle w:val="CharDivText"/>
        </w:rPr>
        <w:t>Foreign residents’ income with an underlying foreign source</w:t>
      </w:r>
      <w:bookmarkEnd w:id="140"/>
    </w:p>
    <w:p w:rsidR="00887330" w:rsidRPr="00583E1A" w:rsidRDefault="00887330" w:rsidP="00887330">
      <w:pPr>
        <w:pStyle w:val="TofSectsHeading"/>
      </w:pPr>
      <w:r w:rsidRPr="00583E1A">
        <w:t>Table of Subdivisions</w:t>
      </w:r>
    </w:p>
    <w:p w:rsidR="00887330" w:rsidRPr="00583E1A" w:rsidRDefault="00887330" w:rsidP="00887330">
      <w:pPr>
        <w:pStyle w:val="TofSectsSubdiv"/>
      </w:pPr>
      <w:r w:rsidRPr="00583E1A">
        <w:t>802</w:t>
      </w:r>
      <w:r w:rsidR="00583E1A">
        <w:noBreakHyphen/>
      </w:r>
      <w:r w:rsidRPr="00583E1A">
        <w:t>A</w:t>
      </w:r>
      <w:r w:rsidRPr="00583E1A">
        <w:tab/>
        <w:t>Conduit foreign income</w:t>
      </w:r>
    </w:p>
    <w:p w:rsidR="00887330" w:rsidRPr="00583E1A" w:rsidRDefault="00887330" w:rsidP="00887330">
      <w:pPr>
        <w:pStyle w:val="ActHead4"/>
      </w:pPr>
      <w:bookmarkStart w:id="141" w:name="_Toc338939215"/>
      <w:r w:rsidRPr="00583E1A">
        <w:rPr>
          <w:rStyle w:val="CharSubdNo"/>
        </w:rPr>
        <w:t>Subdivision</w:t>
      </w:r>
      <w:r w:rsidR="00583E1A">
        <w:rPr>
          <w:rStyle w:val="CharSubdNo"/>
        </w:rPr>
        <w:t> </w:t>
      </w:r>
      <w:r w:rsidRPr="00583E1A">
        <w:rPr>
          <w:rStyle w:val="CharSubdNo"/>
        </w:rPr>
        <w:t>802</w:t>
      </w:r>
      <w:r w:rsidR="00583E1A">
        <w:rPr>
          <w:rStyle w:val="CharSubdNo"/>
        </w:rPr>
        <w:noBreakHyphen/>
      </w:r>
      <w:r w:rsidRPr="00583E1A">
        <w:rPr>
          <w:rStyle w:val="CharSubdNo"/>
        </w:rPr>
        <w:t>A</w:t>
      </w:r>
      <w:r w:rsidRPr="00583E1A">
        <w:t>—</w:t>
      </w:r>
      <w:r w:rsidRPr="00583E1A">
        <w:rPr>
          <w:rStyle w:val="CharSubdText"/>
        </w:rPr>
        <w:t>Conduit foreign income</w:t>
      </w:r>
      <w:bookmarkEnd w:id="141"/>
    </w:p>
    <w:p w:rsidR="00887330" w:rsidRPr="00583E1A" w:rsidRDefault="00887330" w:rsidP="00887330">
      <w:pPr>
        <w:pStyle w:val="ActHead4"/>
      </w:pPr>
      <w:bookmarkStart w:id="142" w:name="_Toc338939216"/>
      <w:r w:rsidRPr="00583E1A">
        <w:t>Guide to Subdivision</w:t>
      </w:r>
      <w:r w:rsidR="00583E1A">
        <w:t> </w:t>
      </w:r>
      <w:r w:rsidRPr="00583E1A">
        <w:t>802</w:t>
      </w:r>
      <w:r w:rsidR="00583E1A">
        <w:noBreakHyphen/>
      </w:r>
      <w:r w:rsidRPr="00583E1A">
        <w:t>A</w:t>
      </w:r>
      <w:bookmarkEnd w:id="142"/>
    </w:p>
    <w:p w:rsidR="00887330" w:rsidRPr="00583E1A" w:rsidRDefault="00887330" w:rsidP="00887330">
      <w:pPr>
        <w:pStyle w:val="ActHead5"/>
      </w:pPr>
      <w:bookmarkStart w:id="143" w:name="_Toc338939217"/>
      <w:r w:rsidRPr="00583E1A">
        <w:rPr>
          <w:rStyle w:val="CharSectno"/>
        </w:rPr>
        <w:t>802</w:t>
      </w:r>
      <w:r w:rsidR="00583E1A">
        <w:rPr>
          <w:rStyle w:val="CharSectno"/>
        </w:rPr>
        <w:noBreakHyphen/>
      </w:r>
      <w:r w:rsidRPr="00583E1A">
        <w:rPr>
          <w:rStyle w:val="CharSectno"/>
        </w:rPr>
        <w:t>5</w:t>
      </w:r>
      <w:r w:rsidRPr="00583E1A">
        <w:t xml:space="preserve">  What this Subdivision is about</w:t>
      </w:r>
      <w:bookmarkEnd w:id="143"/>
    </w:p>
    <w:p w:rsidR="00887330" w:rsidRPr="00583E1A" w:rsidRDefault="00887330" w:rsidP="00887330">
      <w:pPr>
        <w:pStyle w:val="BoxText"/>
      </w:pPr>
      <w:r w:rsidRPr="00583E1A">
        <w:t>A distribution that an Australian corporate tax entity makes to a foreign resident is not subject to dividend withholding tax, and is not assessable income, to the extent that the entity declares it to be conduit foreign income.</w:t>
      </w:r>
    </w:p>
    <w:p w:rsidR="00887330" w:rsidRPr="00583E1A" w:rsidRDefault="00887330" w:rsidP="00887330">
      <w:pPr>
        <w:pStyle w:val="BoxText"/>
      </w:pPr>
      <w:r w:rsidRPr="00583E1A">
        <w:t>An Australian corporate tax entity has an amount that is non</w:t>
      </w:r>
      <w:r w:rsidR="00583E1A">
        <w:noBreakHyphen/>
      </w:r>
      <w:r w:rsidRPr="00583E1A">
        <w:t>assessable non</w:t>
      </w:r>
      <w:r w:rsidR="00583E1A">
        <w:noBreakHyphen/>
      </w:r>
      <w:r w:rsidRPr="00583E1A">
        <w:t>exempt income if it receives a distribution including conduit foreign income from another such entity and it makes a distribution including conduit foreign income.</w:t>
      </w:r>
    </w:p>
    <w:p w:rsidR="00887330" w:rsidRPr="00583E1A" w:rsidRDefault="00887330" w:rsidP="00887330">
      <w:pPr>
        <w:pStyle w:val="BoxText"/>
      </w:pPr>
      <w:r w:rsidRPr="00583E1A">
        <w:t>This Subdivision sets out the method of working out an entity’s conduit foreign income.</w:t>
      </w:r>
    </w:p>
    <w:p w:rsidR="00887330" w:rsidRPr="00583E1A" w:rsidRDefault="00887330" w:rsidP="00887330">
      <w:pPr>
        <w:pStyle w:val="BoxText"/>
      </w:pPr>
      <w:r w:rsidRPr="00583E1A">
        <w:t>It also discourages streaming of distributions to entities that can take advantage of the receipt of conduit foreign income.</w:t>
      </w:r>
    </w:p>
    <w:p w:rsidR="00887330" w:rsidRPr="00583E1A" w:rsidRDefault="00887330" w:rsidP="00887330">
      <w:pPr>
        <w:pStyle w:val="TofSectsHeading"/>
      </w:pPr>
      <w:r w:rsidRPr="00583E1A">
        <w:t>Table of sections</w:t>
      </w:r>
    </w:p>
    <w:p w:rsidR="00887330" w:rsidRPr="00583E1A" w:rsidRDefault="00887330" w:rsidP="00887330">
      <w:pPr>
        <w:pStyle w:val="TofSectsGroupHeading"/>
      </w:pPr>
      <w:r w:rsidRPr="00583E1A">
        <w:t>Operative provisions</w:t>
      </w:r>
    </w:p>
    <w:p w:rsidR="00887330" w:rsidRPr="00583E1A" w:rsidRDefault="00887330" w:rsidP="00887330">
      <w:pPr>
        <w:pStyle w:val="TofSectsSection"/>
      </w:pPr>
      <w:r w:rsidRPr="00583E1A">
        <w:t>802</w:t>
      </w:r>
      <w:r w:rsidR="00583E1A">
        <w:noBreakHyphen/>
      </w:r>
      <w:r w:rsidRPr="00583E1A">
        <w:t>10</w:t>
      </w:r>
      <w:r w:rsidRPr="00583E1A">
        <w:tab/>
        <w:t>Objects</w:t>
      </w:r>
    </w:p>
    <w:p w:rsidR="00887330" w:rsidRPr="00583E1A" w:rsidRDefault="00887330" w:rsidP="00887330">
      <w:pPr>
        <w:pStyle w:val="TofSectsSection"/>
      </w:pPr>
      <w:r w:rsidRPr="00583E1A">
        <w:t>802</w:t>
      </w:r>
      <w:r w:rsidR="00583E1A">
        <w:noBreakHyphen/>
      </w:r>
      <w:r w:rsidRPr="00583E1A">
        <w:t>15</w:t>
      </w:r>
      <w:r w:rsidRPr="00583E1A">
        <w:tab/>
        <w:t>Foreign residents—exempting CFI from Australian tax</w:t>
      </w:r>
    </w:p>
    <w:p w:rsidR="00EC40CA" w:rsidRPr="00583E1A" w:rsidRDefault="00EC40CA" w:rsidP="00EC40CA">
      <w:pPr>
        <w:pStyle w:val="TofSectsSection"/>
      </w:pPr>
      <w:r w:rsidRPr="00583E1A">
        <w:t>802</w:t>
      </w:r>
      <w:r w:rsidR="00583E1A">
        <w:noBreakHyphen/>
      </w:r>
      <w:r w:rsidRPr="00583E1A">
        <w:t>17</w:t>
      </w:r>
      <w:r w:rsidRPr="00583E1A">
        <w:tab/>
        <w:t>Trust estates and foreign resident beneficiaries—exempting CFI from Australian tax</w:t>
      </w:r>
    </w:p>
    <w:p w:rsidR="00887330" w:rsidRPr="00583E1A" w:rsidRDefault="00887330" w:rsidP="00887330">
      <w:pPr>
        <w:pStyle w:val="TofSectsSection"/>
      </w:pPr>
      <w:r w:rsidRPr="00583E1A">
        <w:t>802</w:t>
      </w:r>
      <w:r w:rsidR="00583E1A">
        <w:noBreakHyphen/>
      </w:r>
      <w:r w:rsidRPr="00583E1A">
        <w:t>20</w:t>
      </w:r>
      <w:r w:rsidRPr="00583E1A">
        <w:tab/>
        <w:t>Distributions between Australian corporate tax entities—non</w:t>
      </w:r>
      <w:r w:rsidR="00583E1A">
        <w:noBreakHyphen/>
      </w:r>
      <w:r w:rsidRPr="00583E1A">
        <w:t>assessable non</w:t>
      </w:r>
      <w:r w:rsidR="00583E1A">
        <w:noBreakHyphen/>
      </w:r>
      <w:r w:rsidRPr="00583E1A">
        <w:t>exempt income</w:t>
      </w:r>
    </w:p>
    <w:p w:rsidR="00887330" w:rsidRPr="00583E1A" w:rsidRDefault="00887330" w:rsidP="00887330">
      <w:pPr>
        <w:pStyle w:val="TofSectsSection"/>
      </w:pPr>
      <w:r w:rsidRPr="00583E1A">
        <w:lastRenderedPageBreak/>
        <w:t>802</w:t>
      </w:r>
      <w:r w:rsidR="00583E1A">
        <w:noBreakHyphen/>
      </w:r>
      <w:r w:rsidRPr="00583E1A">
        <w:t>25</w:t>
      </w:r>
      <w:r w:rsidRPr="00583E1A">
        <w:tab/>
        <w:t>Conduit foreign income of an Australian corporate tax entity</w:t>
      </w:r>
    </w:p>
    <w:p w:rsidR="00887330" w:rsidRPr="00583E1A" w:rsidRDefault="00887330" w:rsidP="00887330">
      <w:pPr>
        <w:pStyle w:val="TofSectsSection"/>
      </w:pPr>
      <w:r w:rsidRPr="00583E1A">
        <w:t>802</w:t>
      </w:r>
      <w:r w:rsidR="00583E1A">
        <w:noBreakHyphen/>
      </w:r>
      <w:r w:rsidRPr="00583E1A">
        <w:t>30</w:t>
      </w:r>
      <w:r w:rsidRPr="00583E1A">
        <w:tab/>
        <w:t>Foreign source income amounts</w:t>
      </w:r>
    </w:p>
    <w:p w:rsidR="00887330" w:rsidRPr="00583E1A" w:rsidRDefault="00887330" w:rsidP="00887330">
      <w:pPr>
        <w:pStyle w:val="TofSectsSection"/>
      </w:pPr>
      <w:r w:rsidRPr="00583E1A">
        <w:t>802</w:t>
      </w:r>
      <w:r w:rsidR="00583E1A">
        <w:noBreakHyphen/>
      </w:r>
      <w:r w:rsidRPr="00583E1A">
        <w:t>35</w:t>
      </w:r>
      <w:r w:rsidRPr="00583E1A">
        <w:tab/>
        <w:t>Capital gains and losses</w:t>
      </w:r>
    </w:p>
    <w:p w:rsidR="00887330" w:rsidRPr="00583E1A" w:rsidRDefault="00887330" w:rsidP="00887330">
      <w:pPr>
        <w:pStyle w:val="TofSectsSection"/>
      </w:pPr>
      <w:r w:rsidRPr="00583E1A">
        <w:t>802</w:t>
      </w:r>
      <w:r w:rsidR="00583E1A">
        <w:noBreakHyphen/>
      </w:r>
      <w:r w:rsidRPr="00583E1A">
        <w:t>40</w:t>
      </w:r>
      <w:r w:rsidRPr="00583E1A">
        <w:tab/>
      </w:r>
      <w:r w:rsidR="00DF0426" w:rsidRPr="00583E1A">
        <w:t>Effect of foreign income tax offset on conduit foreign income</w:t>
      </w:r>
    </w:p>
    <w:p w:rsidR="00887330" w:rsidRPr="00583E1A" w:rsidRDefault="00887330" w:rsidP="00887330">
      <w:pPr>
        <w:pStyle w:val="TofSectsSection"/>
      </w:pPr>
      <w:r w:rsidRPr="00583E1A">
        <w:t>802</w:t>
      </w:r>
      <w:r w:rsidR="00583E1A">
        <w:noBreakHyphen/>
      </w:r>
      <w:r w:rsidRPr="00583E1A">
        <w:t>45</w:t>
      </w:r>
      <w:r w:rsidRPr="00583E1A">
        <w:tab/>
        <w:t>Previous declarations of conduit foreign income</w:t>
      </w:r>
    </w:p>
    <w:p w:rsidR="00887330" w:rsidRPr="00583E1A" w:rsidRDefault="00887330" w:rsidP="00887330">
      <w:pPr>
        <w:pStyle w:val="TofSectsSection"/>
      </w:pPr>
      <w:r w:rsidRPr="00583E1A">
        <w:t>802</w:t>
      </w:r>
      <w:r w:rsidR="00583E1A">
        <w:noBreakHyphen/>
      </w:r>
      <w:r w:rsidRPr="00583E1A">
        <w:t>50</w:t>
      </w:r>
      <w:r w:rsidRPr="00583E1A">
        <w:tab/>
        <w:t>Receipt of an unfranked distribution from another Australian corporate tax entity</w:t>
      </w:r>
    </w:p>
    <w:p w:rsidR="00887330" w:rsidRPr="00583E1A" w:rsidRDefault="00887330" w:rsidP="00887330">
      <w:pPr>
        <w:pStyle w:val="TofSectsSection"/>
      </w:pPr>
      <w:r w:rsidRPr="00583E1A">
        <w:t>802</w:t>
      </w:r>
      <w:r w:rsidR="00583E1A">
        <w:noBreakHyphen/>
      </w:r>
      <w:r w:rsidRPr="00583E1A">
        <w:t>55</w:t>
      </w:r>
      <w:r w:rsidRPr="00583E1A">
        <w:tab/>
        <w:t>No double benefits</w:t>
      </w:r>
    </w:p>
    <w:p w:rsidR="00887330" w:rsidRPr="00583E1A" w:rsidRDefault="00887330" w:rsidP="00887330">
      <w:pPr>
        <w:pStyle w:val="TofSectsSection"/>
      </w:pPr>
      <w:r w:rsidRPr="00583E1A">
        <w:t>802</w:t>
      </w:r>
      <w:r w:rsidR="00583E1A">
        <w:noBreakHyphen/>
      </w:r>
      <w:r w:rsidRPr="00583E1A">
        <w:t>60</w:t>
      </w:r>
      <w:r w:rsidRPr="00583E1A">
        <w:tab/>
        <w:t>No streaming of distributions</w:t>
      </w:r>
    </w:p>
    <w:p w:rsidR="00887330" w:rsidRPr="00583E1A" w:rsidRDefault="00887330" w:rsidP="00887330">
      <w:pPr>
        <w:pStyle w:val="ActHead4"/>
      </w:pPr>
      <w:bookmarkStart w:id="144" w:name="_Toc338939218"/>
      <w:r w:rsidRPr="00583E1A">
        <w:t>Operative provisions</w:t>
      </w:r>
      <w:bookmarkEnd w:id="144"/>
    </w:p>
    <w:p w:rsidR="00887330" w:rsidRPr="00583E1A" w:rsidRDefault="00887330" w:rsidP="00887330">
      <w:pPr>
        <w:pStyle w:val="ActHead5"/>
      </w:pPr>
      <w:bookmarkStart w:id="145" w:name="_Toc338939219"/>
      <w:r w:rsidRPr="00583E1A">
        <w:rPr>
          <w:rStyle w:val="CharSectno"/>
        </w:rPr>
        <w:t>802</w:t>
      </w:r>
      <w:r w:rsidR="00583E1A">
        <w:rPr>
          <w:rStyle w:val="CharSectno"/>
        </w:rPr>
        <w:noBreakHyphen/>
      </w:r>
      <w:r w:rsidRPr="00583E1A">
        <w:rPr>
          <w:rStyle w:val="CharSectno"/>
        </w:rPr>
        <w:t>10</w:t>
      </w:r>
      <w:r w:rsidRPr="00583E1A">
        <w:t xml:space="preserve">  Objects</w:t>
      </w:r>
      <w:bookmarkEnd w:id="145"/>
    </w:p>
    <w:p w:rsidR="00887330" w:rsidRPr="00583E1A" w:rsidRDefault="00887330" w:rsidP="00887330">
      <w:pPr>
        <w:pStyle w:val="subsection"/>
      </w:pPr>
      <w:r w:rsidRPr="00583E1A">
        <w:tab/>
      </w:r>
      <w:r w:rsidRPr="00583E1A">
        <w:tab/>
        <w:t>The objects of this Subdivision are:</w:t>
      </w:r>
    </w:p>
    <w:p w:rsidR="00887330" w:rsidRPr="00583E1A" w:rsidRDefault="00887330" w:rsidP="00887330">
      <w:pPr>
        <w:pStyle w:val="paragraph"/>
      </w:pPr>
      <w:r w:rsidRPr="00583E1A">
        <w:tab/>
        <w:t>(a)</w:t>
      </w:r>
      <w:r w:rsidRPr="00583E1A">
        <w:tab/>
        <w:t xml:space="preserve">to encourage the establishment in </w:t>
      </w:r>
      <w:smartTag w:uri="urn:schemas-microsoft-com:office:smarttags" w:element="country-region">
        <w:smartTag w:uri="urn:schemas-microsoft-com:office:smarttags" w:element="place">
          <w:r w:rsidRPr="00583E1A">
            <w:t>Australia</w:t>
          </w:r>
        </w:smartTag>
      </w:smartTag>
      <w:r w:rsidRPr="00583E1A">
        <w:t xml:space="preserve"> of regional holding companies for foreign groups; and</w:t>
      </w:r>
    </w:p>
    <w:p w:rsidR="00887330" w:rsidRPr="00583E1A" w:rsidRDefault="00887330" w:rsidP="00887330">
      <w:pPr>
        <w:pStyle w:val="paragraph"/>
      </w:pPr>
      <w:r w:rsidRPr="00583E1A">
        <w:tab/>
        <w:t>(b)</w:t>
      </w:r>
      <w:r w:rsidRPr="00583E1A">
        <w:tab/>
        <w:t xml:space="preserve">to improve </w:t>
      </w:r>
      <w:smartTag w:uri="urn:schemas-microsoft-com:office:smarttags" w:element="country-region">
        <w:smartTag w:uri="urn:schemas-microsoft-com:office:smarttags" w:element="place">
          <w:r w:rsidRPr="00583E1A">
            <w:t>Australia</w:t>
          </w:r>
        </w:smartTag>
      </w:smartTag>
      <w:r w:rsidRPr="00583E1A">
        <w:t>’s attractiveness as a continuing base for its multinational companies;</w:t>
      </w:r>
    </w:p>
    <w:p w:rsidR="00887330" w:rsidRPr="00583E1A" w:rsidRDefault="00887330" w:rsidP="00887330">
      <w:pPr>
        <w:pStyle w:val="subsection2"/>
      </w:pPr>
      <w:r w:rsidRPr="00583E1A">
        <w:t xml:space="preserve">by providing relief from tax on </w:t>
      </w:r>
      <w:r w:rsidR="00583E1A" w:rsidRPr="00583E1A">
        <w:rPr>
          <w:position w:val="6"/>
          <w:sz w:val="16"/>
        </w:rPr>
        <w:t>*</w:t>
      </w:r>
      <w:r w:rsidRPr="00583E1A">
        <w:t xml:space="preserve">distributions by </w:t>
      </w:r>
      <w:r w:rsidR="00583E1A" w:rsidRPr="00583E1A">
        <w:rPr>
          <w:position w:val="6"/>
          <w:sz w:val="16"/>
        </w:rPr>
        <w:t>*</w:t>
      </w:r>
      <w:r w:rsidRPr="00583E1A">
        <w:t xml:space="preserve">Australian corporate tax entities to </w:t>
      </w:r>
      <w:r w:rsidR="00583E1A" w:rsidRPr="00583E1A">
        <w:rPr>
          <w:position w:val="6"/>
          <w:sz w:val="16"/>
        </w:rPr>
        <w:t>*</w:t>
      </w:r>
      <w:r w:rsidRPr="00583E1A">
        <w:t xml:space="preserve">members who are foreign residents or other Australian corporate tax entities if those distributions relate to </w:t>
      </w:r>
      <w:r w:rsidR="00583E1A" w:rsidRPr="00583E1A">
        <w:rPr>
          <w:position w:val="6"/>
          <w:sz w:val="16"/>
        </w:rPr>
        <w:t>*</w:t>
      </w:r>
      <w:r w:rsidRPr="00583E1A">
        <w:t>conduit foreign income.</w:t>
      </w:r>
    </w:p>
    <w:p w:rsidR="00887330" w:rsidRPr="00583E1A" w:rsidRDefault="00887330" w:rsidP="00887330">
      <w:pPr>
        <w:pStyle w:val="ActHead5"/>
      </w:pPr>
      <w:bookmarkStart w:id="146" w:name="_Toc338939220"/>
      <w:r w:rsidRPr="00583E1A">
        <w:rPr>
          <w:rStyle w:val="CharSectno"/>
        </w:rPr>
        <w:t>802</w:t>
      </w:r>
      <w:r w:rsidR="00583E1A">
        <w:rPr>
          <w:rStyle w:val="CharSectno"/>
        </w:rPr>
        <w:noBreakHyphen/>
      </w:r>
      <w:r w:rsidRPr="00583E1A">
        <w:rPr>
          <w:rStyle w:val="CharSectno"/>
        </w:rPr>
        <w:t>15</w:t>
      </w:r>
      <w:r w:rsidRPr="00583E1A">
        <w:t xml:space="preserve">  Foreign residents—exempting CFI from Australian tax</w:t>
      </w:r>
      <w:bookmarkEnd w:id="146"/>
    </w:p>
    <w:p w:rsidR="00887330" w:rsidRPr="00583E1A" w:rsidRDefault="00887330" w:rsidP="00887330">
      <w:pPr>
        <w:pStyle w:val="subsection"/>
      </w:pPr>
      <w:r w:rsidRPr="00583E1A">
        <w:tab/>
        <w:t>(1)</w:t>
      </w:r>
      <w:r w:rsidRPr="00583E1A">
        <w:tab/>
        <w:t xml:space="preserve">So much of the </w:t>
      </w:r>
      <w:r w:rsidR="00583E1A" w:rsidRPr="00583E1A">
        <w:rPr>
          <w:position w:val="6"/>
          <w:sz w:val="16"/>
        </w:rPr>
        <w:t>*</w:t>
      </w:r>
      <w:r w:rsidRPr="00583E1A">
        <w:t xml:space="preserve">unfranked part of a </w:t>
      </w:r>
      <w:r w:rsidR="00583E1A" w:rsidRPr="00583E1A">
        <w:rPr>
          <w:position w:val="6"/>
          <w:sz w:val="16"/>
        </w:rPr>
        <w:t>*</w:t>
      </w:r>
      <w:r w:rsidRPr="00583E1A">
        <w:t xml:space="preserve">frankable distribution made by an </w:t>
      </w:r>
      <w:r w:rsidR="00583E1A" w:rsidRPr="00583E1A">
        <w:rPr>
          <w:position w:val="6"/>
          <w:sz w:val="16"/>
        </w:rPr>
        <w:t>*</w:t>
      </w:r>
      <w:r w:rsidRPr="00583E1A">
        <w:t xml:space="preserve">Australian corporate tax entity that the entity declares, in its </w:t>
      </w:r>
      <w:r w:rsidR="00583E1A" w:rsidRPr="00583E1A">
        <w:rPr>
          <w:position w:val="6"/>
          <w:sz w:val="16"/>
        </w:rPr>
        <w:t>*</w:t>
      </w:r>
      <w:r w:rsidRPr="00583E1A">
        <w:t xml:space="preserve">distribution statement, to be </w:t>
      </w:r>
      <w:r w:rsidR="00583E1A" w:rsidRPr="00583E1A">
        <w:rPr>
          <w:position w:val="6"/>
          <w:sz w:val="16"/>
        </w:rPr>
        <w:t>*</w:t>
      </w:r>
      <w:r w:rsidRPr="00583E1A">
        <w:t>conduit foreign income:</w:t>
      </w:r>
    </w:p>
    <w:p w:rsidR="00887330" w:rsidRPr="00583E1A" w:rsidRDefault="00887330" w:rsidP="00887330">
      <w:pPr>
        <w:pStyle w:val="paragraph"/>
      </w:pPr>
      <w:r w:rsidRPr="00583E1A">
        <w:tab/>
        <w:t>(a)</w:t>
      </w:r>
      <w:r w:rsidRPr="00583E1A">
        <w:tab/>
        <w:t xml:space="preserve">is not assessable income and is not </w:t>
      </w:r>
      <w:r w:rsidR="00583E1A" w:rsidRPr="00583E1A">
        <w:rPr>
          <w:position w:val="6"/>
          <w:sz w:val="16"/>
        </w:rPr>
        <w:t>*</w:t>
      </w:r>
      <w:r w:rsidRPr="00583E1A">
        <w:t>exempt income of a foreign resident; and</w:t>
      </w:r>
    </w:p>
    <w:p w:rsidR="00887330" w:rsidRPr="00583E1A" w:rsidRDefault="00887330" w:rsidP="00887330">
      <w:pPr>
        <w:pStyle w:val="paragraph"/>
      </w:pPr>
      <w:r w:rsidRPr="00583E1A">
        <w:tab/>
        <w:t>(b)</w:t>
      </w:r>
      <w:r w:rsidRPr="00583E1A">
        <w:tab/>
        <w:t>is an amount to which section</w:t>
      </w:r>
      <w:r w:rsidR="00583E1A">
        <w:t> </w:t>
      </w:r>
      <w:r w:rsidRPr="00583E1A">
        <w:t xml:space="preserve">128B (Liability to withholding tax) of the </w:t>
      </w:r>
      <w:r w:rsidRPr="00583E1A">
        <w:rPr>
          <w:i/>
        </w:rPr>
        <w:t>Income Tax Assessment Act 1936</w:t>
      </w:r>
      <w:r w:rsidRPr="00583E1A">
        <w:t xml:space="preserve"> does not apply.</w:t>
      </w:r>
    </w:p>
    <w:p w:rsidR="00887330" w:rsidRPr="00583E1A" w:rsidRDefault="00887330" w:rsidP="00887330">
      <w:pPr>
        <w:pStyle w:val="subsection"/>
      </w:pPr>
      <w:r w:rsidRPr="00583E1A">
        <w:tab/>
        <w:t>(2)</w:t>
      </w:r>
      <w:r w:rsidRPr="00583E1A">
        <w:tab/>
        <w:t xml:space="preserve">The declaration must be made on or before the day on which the </w:t>
      </w:r>
      <w:r w:rsidR="00583E1A" w:rsidRPr="00583E1A">
        <w:rPr>
          <w:position w:val="6"/>
          <w:sz w:val="16"/>
        </w:rPr>
        <w:t>*</w:t>
      </w:r>
      <w:r w:rsidRPr="00583E1A">
        <w:t>distribution is made.</w:t>
      </w:r>
    </w:p>
    <w:p w:rsidR="00887330" w:rsidRPr="00583E1A" w:rsidRDefault="00887330" w:rsidP="00887330">
      <w:pPr>
        <w:pStyle w:val="notetext"/>
      </w:pPr>
      <w:r w:rsidRPr="00583E1A">
        <w:t>Note:</w:t>
      </w:r>
      <w:r w:rsidRPr="00583E1A">
        <w:tab/>
        <w:t>For a private company, this rule may bring forward the time at which the company is required to make its distribution statement: see section</w:t>
      </w:r>
      <w:r w:rsidR="00583E1A">
        <w:t> </w:t>
      </w:r>
      <w:r w:rsidRPr="00583E1A">
        <w:t>202</w:t>
      </w:r>
      <w:r w:rsidR="00583E1A">
        <w:noBreakHyphen/>
      </w:r>
      <w:r w:rsidRPr="00583E1A">
        <w:t>75.</w:t>
      </w:r>
    </w:p>
    <w:p w:rsidR="00EC40CA" w:rsidRPr="00583E1A" w:rsidRDefault="00EC40CA" w:rsidP="00EC40CA">
      <w:pPr>
        <w:pStyle w:val="ActHead5"/>
      </w:pPr>
      <w:bookmarkStart w:id="147" w:name="_Toc338939221"/>
      <w:r w:rsidRPr="00583E1A">
        <w:rPr>
          <w:rStyle w:val="CharSectno"/>
        </w:rPr>
        <w:lastRenderedPageBreak/>
        <w:t>802</w:t>
      </w:r>
      <w:r w:rsidR="00583E1A">
        <w:rPr>
          <w:rStyle w:val="CharSectno"/>
        </w:rPr>
        <w:noBreakHyphen/>
      </w:r>
      <w:r w:rsidRPr="00583E1A">
        <w:rPr>
          <w:rStyle w:val="CharSectno"/>
        </w:rPr>
        <w:t>17</w:t>
      </w:r>
      <w:r w:rsidRPr="00583E1A">
        <w:t xml:space="preserve">  Trust estates and foreign resident beneficiaries—exempting CFI from Australian tax</w:t>
      </w:r>
      <w:bookmarkEnd w:id="147"/>
    </w:p>
    <w:p w:rsidR="00EC40CA" w:rsidRPr="00583E1A" w:rsidRDefault="00EC40CA" w:rsidP="00EC40CA">
      <w:pPr>
        <w:pStyle w:val="SubsectionHead"/>
      </w:pPr>
      <w:r w:rsidRPr="00583E1A">
        <w:t>Foreign resident beneficiaries</w:t>
      </w:r>
    </w:p>
    <w:p w:rsidR="00EC40CA" w:rsidRPr="00583E1A" w:rsidRDefault="00EC40CA" w:rsidP="00EC40CA">
      <w:pPr>
        <w:pStyle w:val="subsection"/>
      </w:pPr>
      <w:r w:rsidRPr="00583E1A">
        <w:tab/>
        <w:t>(1)</w:t>
      </w:r>
      <w:r w:rsidRPr="00583E1A">
        <w:tab/>
        <w:t xml:space="preserve">So much of a share of the net income of a trust as is reasonably attributable to the whole or a part of the </w:t>
      </w:r>
      <w:r w:rsidR="00583E1A" w:rsidRPr="00583E1A">
        <w:rPr>
          <w:position w:val="6"/>
          <w:sz w:val="16"/>
        </w:rPr>
        <w:t>*</w:t>
      </w:r>
      <w:r w:rsidRPr="00583E1A">
        <w:t xml:space="preserve">unfranked part of a </w:t>
      </w:r>
      <w:r w:rsidR="00583E1A" w:rsidRPr="00583E1A">
        <w:rPr>
          <w:position w:val="6"/>
          <w:sz w:val="16"/>
        </w:rPr>
        <w:t>*</w:t>
      </w:r>
      <w:r w:rsidRPr="00583E1A">
        <w:t xml:space="preserve">frankable distribution made by an </w:t>
      </w:r>
      <w:r w:rsidR="00583E1A" w:rsidRPr="00583E1A">
        <w:rPr>
          <w:position w:val="6"/>
          <w:sz w:val="16"/>
        </w:rPr>
        <w:t>*</w:t>
      </w:r>
      <w:r w:rsidRPr="00583E1A">
        <w:t xml:space="preserve">Australian corporate tax entity that the entity declares, in its </w:t>
      </w:r>
      <w:r w:rsidR="00583E1A" w:rsidRPr="00583E1A">
        <w:rPr>
          <w:position w:val="6"/>
          <w:sz w:val="16"/>
        </w:rPr>
        <w:t>*</w:t>
      </w:r>
      <w:r w:rsidRPr="00583E1A">
        <w:t xml:space="preserve">distribution statement, to be </w:t>
      </w:r>
      <w:r w:rsidR="00583E1A" w:rsidRPr="00583E1A">
        <w:rPr>
          <w:position w:val="6"/>
          <w:sz w:val="16"/>
        </w:rPr>
        <w:t>*</w:t>
      </w:r>
      <w:r w:rsidRPr="00583E1A">
        <w:t>conduit foreign income:</w:t>
      </w:r>
    </w:p>
    <w:p w:rsidR="00EC40CA" w:rsidRPr="00583E1A" w:rsidRDefault="00EC40CA" w:rsidP="00EC40CA">
      <w:pPr>
        <w:pStyle w:val="paragraph"/>
      </w:pPr>
      <w:r w:rsidRPr="00583E1A">
        <w:tab/>
        <w:t>(a)</w:t>
      </w:r>
      <w:r w:rsidRPr="00583E1A">
        <w:tab/>
        <w:t xml:space="preserve">is not assessable income and is not </w:t>
      </w:r>
      <w:r w:rsidR="00583E1A" w:rsidRPr="00583E1A">
        <w:rPr>
          <w:position w:val="6"/>
          <w:sz w:val="16"/>
        </w:rPr>
        <w:t>*</w:t>
      </w:r>
      <w:r w:rsidRPr="00583E1A">
        <w:t>exempt income of a beneficiary of the trust who:</w:t>
      </w:r>
    </w:p>
    <w:p w:rsidR="00EC40CA" w:rsidRPr="00583E1A" w:rsidRDefault="00EC40CA" w:rsidP="00EC40CA">
      <w:pPr>
        <w:pStyle w:val="paragraphsub"/>
      </w:pPr>
      <w:r w:rsidRPr="00583E1A">
        <w:tab/>
        <w:t>(i)</w:t>
      </w:r>
      <w:r w:rsidRPr="00583E1A">
        <w:tab/>
        <w:t>is a foreign resident; and</w:t>
      </w:r>
    </w:p>
    <w:p w:rsidR="00EC40CA" w:rsidRPr="00583E1A" w:rsidRDefault="00EC40CA" w:rsidP="00EC40CA">
      <w:pPr>
        <w:pStyle w:val="paragraphsub"/>
      </w:pPr>
      <w:r w:rsidRPr="00583E1A">
        <w:tab/>
        <w:t>(ii)</w:t>
      </w:r>
      <w:r w:rsidRPr="00583E1A">
        <w:tab/>
        <w:t>is presently entitled to the share of the income of the trust; and</w:t>
      </w:r>
    </w:p>
    <w:p w:rsidR="00EC40CA" w:rsidRPr="00583E1A" w:rsidRDefault="00EC40CA" w:rsidP="00EC40CA">
      <w:pPr>
        <w:pStyle w:val="paragraph"/>
      </w:pPr>
      <w:r w:rsidRPr="00583E1A">
        <w:tab/>
        <w:t>(b)</w:t>
      </w:r>
      <w:r w:rsidRPr="00583E1A">
        <w:tab/>
        <w:t>is an amount to which section</w:t>
      </w:r>
      <w:r w:rsidR="00583E1A">
        <w:t> </w:t>
      </w:r>
      <w:r w:rsidRPr="00583E1A">
        <w:t xml:space="preserve">128B (Liability to withholding tax) of the </w:t>
      </w:r>
      <w:r w:rsidRPr="00583E1A">
        <w:rPr>
          <w:i/>
        </w:rPr>
        <w:t xml:space="preserve">Income Tax Assessment Act 1936 </w:t>
      </w:r>
      <w:r w:rsidRPr="00583E1A">
        <w:t>does not apply.</w:t>
      </w:r>
    </w:p>
    <w:p w:rsidR="00EC40CA" w:rsidRPr="00583E1A" w:rsidRDefault="00EC40CA" w:rsidP="00EC40CA">
      <w:pPr>
        <w:pStyle w:val="notetext"/>
      </w:pPr>
      <w:r w:rsidRPr="00583E1A">
        <w:t>Note:</w:t>
      </w:r>
      <w:r w:rsidRPr="00583E1A">
        <w:tab/>
        <w:t>A frankable distribution to which a part of the net income of a trust is reasonably attributable may be made by the Australian corporate tax entity to the trust directly, or to the trust indirectly through one or more interposed trusts.</w:t>
      </w:r>
    </w:p>
    <w:p w:rsidR="00EC40CA" w:rsidRPr="00583E1A" w:rsidRDefault="00EC40CA" w:rsidP="00EC40CA">
      <w:pPr>
        <w:pStyle w:val="subsection"/>
      </w:pPr>
      <w:r w:rsidRPr="00583E1A">
        <w:tab/>
        <w:t>(2)</w:t>
      </w:r>
      <w:r w:rsidRPr="00583E1A">
        <w:tab/>
        <w:t xml:space="preserve">The declaration must be made on or before the day on which the </w:t>
      </w:r>
      <w:r w:rsidR="00583E1A" w:rsidRPr="00583E1A">
        <w:rPr>
          <w:position w:val="6"/>
          <w:sz w:val="16"/>
        </w:rPr>
        <w:t>*</w:t>
      </w:r>
      <w:r w:rsidRPr="00583E1A">
        <w:t>distribution is made.</w:t>
      </w:r>
    </w:p>
    <w:p w:rsidR="00EC40CA" w:rsidRPr="00583E1A" w:rsidRDefault="00EC40CA" w:rsidP="00EC40CA">
      <w:pPr>
        <w:pStyle w:val="notetext"/>
      </w:pPr>
      <w:r w:rsidRPr="00583E1A">
        <w:t>Note:</w:t>
      </w:r>
      <w:r w:rsidRPr="00583E1A">
        <w:tab/>
        <w:t>For a private company, this rule may bring forward the time at which the company is required to make its distribution statement: see section</w:t>
      </w:r>
      <w:r w:rsidR="00583E1A">
        <w:t> </w:t>
      </w:r>
      <w:r w:rsidRPr="00583E1A">
        <w:t>202</w:t>
      </w:r>
      <w:r w:rsidR="00583E1A">
        <w:noBreakHyphen/>
      </w:r>
      <w:r w:rsidRPr="00583E1A">
        <w:t>75.</w:t>
      </w:r>
    </w:p>
    <w:p w:rsidR="00EC40CA" w:rsidRPr="00583E1A" w:rsidRDefault="00EC40CA" w:rsidP="00EC40CA">
      <w:pPr>
        <w:pStyle w:val="SubsectionHead"/>
      </w:pPr>
      <w:r w:rsidRPr="00583E1A">
        <w:t>Trusts</w:t>
      </w:r>
    </w:p>
    <w:p w:rsidR="00EC40CA" w:rsidRPr="00583E1A" w:rsidRDefault="00EC40CA" w:rsidP="00EC40CA">
      <w:pPr>
        <w:pStyle w:val="subsection"/>
      </w:pPr>
      <w:r w:rsidRPr="00583E1A">
        <w:tab/>
        <w:t>(3)</w:t>
      </w:r>
      <w:r w:rsidRPr="00583E1A">
        <w:tab/>
        <w:t>The trustee of a trust is not to be assessed (and pay tax) under section</w:t>
      </w:r>
      <w:r w:rsidR="00583E1A">
        <w:t> </w:t>
      </w:r>
      <w:r w:rsidRPr="00583E1A">
        <w:t xml:space="preserve">98, 99 or 99A of the </w:t>
      </w:r>
      <w:r w:rsidRPr="00583E1A">
        <w:rPr>
          <w:i/>
        </w:rPr>
        <w:t>Income Tax Assessment Act 1936</w:t>
      </w:r>
      <w:r w:rsidRPr="00583E1A">
        <w:t xml:space="preserve"> in respect of so much of the net income of the trust as is </w:t>
      </w:r>
      <w:r w:rsidR="00583E1A" w:rsidRPr="00583E1A">
        <w:rPr>
          <w:position w:val="6"/>
          <w:sz w:val="16"/>
        </w:rPr>
        <w:t>*</w:t>
      </w:r>
      <w:r w:rsidRPr="00583E1A">
        <w:t>non</w:t>
      </w:r>
      <w:r w:rsidR="00583E1A">
        <w:noBreakHyphen/>
      </w:r>
      <w:r w:rsidRPr="00583E1A">
        <w:t>assessable non</w:t>
      </w:r>
      <w:r w:rsidR="00583E1A">
        <w:noBreakHyphen/>
      </w:r>
      <w:r w:rsidRPr="00583E1A">
        <w:t xml:space="preserve">exempt income of a beneficiary of the trust under </w:t>
      </w:r>
      <w:r w:rsidR="00583E1A">
        <w:t>subsection (</w:t>
      </w:r>
      <w:r w:rsidRPr="00583E1A">
        <w:t>1).</w:t>
      </w:r>
    </w:p>
    <w:p w:rsidR="00887330" w:rsidRPr="00583E1A" w:rsidRDefault="00887330" w:rsidP="00887330">
      <w:pPr>
        <w:pStyle w:val="ActHead5"/>
      </w:pPr>
      <w:bookmarkStart w:id="148" w:name="_Toc338939222"/>
      <w:r w:rsidRPr="00583E1A">
        <w:rPr>
          <w:rStyle w:val="CharSectno"/>
        </w:rPr>
        <w:lastRenderedPageBreak/>
        <w:t>802</w:t>
      </w:r>
      <w:r w:rsidR="00583E1A">
        <w:rPr>
          <w:rStyle w:val="CharSectno"/>
        </w:rPr>
        <w:noBreakHyphen/>
      </w:r>
      <w:r w:rsidRPr="00583E1A">
        <w:rPr>
          <w:rStyle w:val="CharSectno"/>
        </w:rPr>
        <w:t>20</w:t>
      </w:r>
      <w:r w:rsidRPr="00583E1A">
        <w:t xml:space="preserve">  Distributions between Australian corporate tax entities—non</w:t>
      </w:r>
      <w:r w:rsidR="00583E1A">
        <w:noBreakHyphen/>
      </w:r>
      <w:r w:rsidRPr="00583E1A">
        <w:t>assessable non</w:t>
      </w:r>
      <w:r w:rsidR="00583E1A">
        <w:noBreakHyphen/>
      </w:r>
      <w:r w:rsidRPr="00583E1A">
        <w:t>exempt income</w:t>
      </w:r>
      <w:bookmarkEnd w:id="148"/>
    </w:p>
    <w:p w:rsidR="00887330" w:rsidRPr="00583E1A" w:rsidRDefault="00887330" w:rsidP="00887330">
      <w:pPr>
        <w:pStyle w:val="subsection"/>
      </w:pPr>
      <w:r w:rsidRPr="00583E1A">
        <w:tab/>
        <w:t>(1)</w:t>
      </w:r>
      <w:r w:rsidRPr="00583E1A">
        <w:tab/>
        <w:t xml:space="preserve">An </w:t>
      </w:r>
      <w:r w:rsidR="00583E1A" w:rsidRPr="00583E1A">
        <w:rPr>
          <w:position w:val="6"/>
          <w:sz w:val="16"/>
        </w:rPr>
        <w:t>*</w:t>
      </w:r>
      <w:r w:rsidRPr="00583E1A">
        <w:t xml:space="preserve">Australian corporate tax entity (the </w:t>
      </w:r>
      <w:r w:rsidRPr="00583E1A">
        <w:rPr>
          <w:b/>
          <w:i/>
        </w:rPr>
        <w:t>receiving entity</w:t>
      </w:r>
      <w:r w:rsidRPr="00583E1A">
        <w:t xml:space="preserve">) has an amount that is not assessable income and is not </w:t>
      </w:r>
      <w:r w:rsidR="00583E1A" w:rsidRPr="00583E1A">
        <w:rPr>
          <w:position w:val="6"/>
          <w:sz w:val="16"/>
        </w:rPr>
        <w:t>*</w:t>
      </w:r>
      <w:r w:rsidRPr="00583E1A">
        <w:t>exempt income for an income year if:</w:t>
      </w:r>
    </w:p>
    <w:p w:rsidR="00887330" w:rsidRPr="00583E1A" w:rsidRDefault="00887330" w:rsidP="00887330">
      <w:pPr>
        <w:pStyle w:val="paragraph"/>
      </w:pPr>
      <w:r w:rsidRPr="00583E1A">
        <w:tab/>
        <w:t>(a)</w:t>
      </w:r>
      <w:r w:rsidRPr="00583E1A">
        <w:tab/>
        <w:t xml:space="preserve">it receives from another Australian corporate tax entity a </w:t>
      </w:r>
      <w:r w:rsidR="00583E1A" w:rsidRPr="00583E1A">
        <w:rPr>
          <w:position w:val="6"/>
          <w:sz w:val="16"/>
        </w:rPr>
        <w:t>*</w:t>
      </w:r>
      <w:r w:rsidRPr="00583E1A">
        <w:t xml:space="preserve">frankable distribution that has an </w:t>
      </w:r>
      <w:r w:rsidR="00583E1A" w:rsidRPr="00583E1A">
        <w:rPr>
          <w:position w:val="6"/>
          <w:sz w:val="16"/>
        </w:rPr>
        <w:t>*</w:t>
      </w:r>
      <w:r w:rsidRPr="00583E1A">
        <w:t>unfranked part; and</w:t>
      </w:r>
    </w:p>
    <w:p w:rsidR="00887330" w:rsidRPr="00583E1A" w:rsidRDefault="00887330" w:rsidP="00887330">
      <w:pPr>
        <w:pStyle w:val="paragraph"/>
      </w:pPr>
      <w:r w:rsidRPr="00583E1A">
        <w:tab/>
        <w:t>(b)</w:t>
      </w:r>
      <w:r w:rsidRPr="00583E1A">
        <w:tab/>
        <w:t xml:space="preserve">the </w:t>
      </w:r>
      <w:r w:rsidR="00583E1A" w:rsidRPr="00583E1A">
        <w:rPr>
          <w:position w:val="6"/>
          <w:sz w:val="16"/>
        </w:rPr>
        <w:t>*</w:t>
      </w:r>
      <w:r w:rsidRPr="00583E1A">
        <w:t xml:space="preserve">distribution statement for the </w:t>
      </w:r>
      <w:r w:rsidR="00583E1A" w:rsidRPr="00583E1A">
        <w:rPr>
          <w:position w:val="6"/>
          <w:sz w:val="16"/>
        </w:rPr>
        <w:t>*</w:t>
      </w:r>
      <w:r w:rsidRPr="00583E1A">
        <w:t xml:space="preserve">distribution declares an amount (a </w:t>
      </w:r>
      <w:r w:rsidRPr="00583E1A">
        <w:rPr>
          <w:b/>
          <w:i/>
        </w:rPr>
        <w:t>received CFI amount</w:t>
      </w:r>
      <w:r w:rsidRPr="00583E1A">
        <w:t xml:space="preserve">) of the unfranked part to be </w:t>
      </w:r>
      <w:r w:rsidR="00583E1A" w:rsidRPr="00583E1A">
        <w:rPr>
          <w:position w:val="6"/>
          <w:sz w:val="16"/>
        </w:rPr>
        <w:t>*</w:t>
      </w:r>
      <w:r w:rsidRPr="00583E1A">
        <w:t>conduit foreign income; and</w:t>
      </w:r>
    </w:p>
    <w:p w:rsidR="00887330" w:rsidRPr="00583E1A" w:rsidRDefault="00887330" w:rsidP="00887330">
      <w:pPr>
        <w:pStyle w:val="paragraph"/>
      </w:pPr>
      <w:r w:rsidRPr="00583E1A">
        <w:tab/>
        <w:t>(c)</w:t>
      </w:r>
      <w:r w:rsidRPr="00583E1A">
        <w:tab/>
        <w:t xml:space="preserve">the receiving entity, after the start of the income year but before the due day for lodging its </w:t>
      </w:r>
      <w:r w:rsidR="00583E1A" w:rsidRPr="00583E1A">
        <w:rPr>
          <w:position w:val="6"/>
          <w:sz w:val="16"/>
        </w:rPr>
        <w:t>*</w:t>
      </w:r>
      <w:r w:rsidRPr="00583E1A">
        <w:t>income tax return for that income year:</w:t>
      </w:r>
    </w:p>
    <w:p w:rsidR="00887330" w:rsidRPr="00583E1A" w:rsidRDefault="00887330" w:rsidP="00887330">
      <w:pPr>
        <w:pStyle w:val="paragraphsub"/>
      </w:pPr>
      <w:r w:rsidRPr="00583E1A">
        <w:tab/>
        <w:t>(i)</w:t>
      </w:r>
      <w:r w:rsidRPr="00583E1A">
        <w:tab/>
        <w:t>makes a frankable distribution that has an unfranked part; and</w:t>
      </w:r>
    </w:p>
    <w:p w:rsidR="00887330" w:rsidRPr="00583E1A" w:rsidRDefault="00887330" w:rsidP="00887330">
      <w:pPr>
        <w:pStyle w:val="paragraphsub"/>
      </w:pPr>
      <w:r w:rsidRPr="00583E1A">
        <w:tab/>
        <w:t>(ii)</w:t>
      </w:r>
      <w:r w:rsidRPr="00583E1A">
        <w:tab/>
        <w:t xml:space="preserve">declares an amount (a </w:t>
      </w:r>
      <w:r w:rsidRPr="00583E1A">
        <w:rPr>
          <w:b/>
          <w:i/>
        </w:rPr>
        <w:t>declared CFI amount</w:t>
      </w:r>
      <w:r w:rsidRPr="00583E1A">
        <w:t>) of the unfranked part to be conduit foreign income.</w:t>
      </w:r>
    </w:p>
    <w:p w:rsidR="00887330" w:rsidRPr="00583E1A" w:rsidRDefault="00887330" w:rsidP="00887330">
      <w:pPr>
        <w:pStyle w:val="subsection"/>
      </w:pPr>
      <w:r w:rsidRPr="00583E1A">
        <w:tab/>
        <w:t>(2)</w:t>
      </w:r>
      <w:r w:rsidRPr="00583E1A">
        <w:tab/>
        <w:t xml:space="preserve">The amount that is not assessable income and is not </w:t>
      </w:r>
      <w:r w:rsidR="00583E1A" w:rsidRPr="00583E1A">
        <w:rPr>
          <w:position w:val="6"/>
          <w:sz w:val="16"/>
        </w:rPr>
        <w:t>*</w:t>
      </w:r>
      <w:r w:rsidRPr="00583E1A">
        <w:t>exempt income is the lesser of:</w:t>
      </w:r>
    </w:p>
    <w:p w:rsidR="00887330" w:rsidRPr="00583E1A" w:rsidRDefault="00887330" w:rsidP="00887330">
      <w:pPr>
        <w:pStyle w:val="paragraph"/>
      </w:pPr>
      <w:r w:rsidRPr="00583E1A">
        <w:tab/>
        <w:t>(a)</w:t>
      </w:r>
      <w:r w:rsidRPr="00583E1A">
        <w:tab/>
        <w:t xml:space="preserve">the sum of the received CFI amounts that the receiving entity receives during the income year (the </w:t>
      </w:r>
      <w:r w:rsidRPr="00583E1A">
        <w:rPr>
          <w:b/>
          <w:i/>
        </w:rPr>
        <w:t>total received CFI amounts</w:t>
      </w:r>
      <w:r w:rsidRPr="00583E1A">
        <w:t>); and</w:t>
      </w:r>
    </w:p>
    <w:p w:rsidR="00887330" w:rsidRPr="00583E1A" w:rsidRDefault="00887330" w:rsidP="00887330">
      <w:pPr>
        <w:pStyle w:val="paragraph"/>
      </w:pPr>
      <w:r w:rsidRPr="00583E1A">
        <w:tab/>
        <w:t>(b)</w:t>
      </w:r>
      <w:r w:rsidRPr="00583E1A">
        <w:tab/>
        <w:t>the amount worked out using this formula:</w:t>
      </w:r>
    </w:p>
    <w:p w:rsidR="00A82FCD" w:rsidRPr="00583E1A" w:rsidRDefault="00623A5C" w:rsidP="00957739">
      <w:pPr>
        <w:pStyle w:val="Formula"/>
        <w:ind w:left="1620"/>
      </w:pPr>
      <w:r>
        <w:rPr>
          <w:noProof/>
        </w:rPr>
        <w:drawing>
          <wp:inline distT="0" distB="0" distL="0" distR="0">
            <wp:extent cx="2743200" cy="7715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2743200" cy="771525"/>
                    </a:xfrm>
                    <a:prstGeom prst="rect">
                      <a:avLst/>
                    </a:prstGeom>
                    <a:noFill/>
                    <a:ln>
                      <a:noFill/>
                    </a:ln>
                  </pic:spPr>
                </pic:pic>
              </a:graphicData>
            </a:graphic>
          </wp:inline>
        </w:drawing>
      </w:r>
    </w:p>
    <w:p w:rsidR="00887330" w:rsidRPr="00583E1A" w:rsidRDefault="00887330" w:rsidP="00887330">
      <w:pPr>
        <w:pStyle w:val="subsection2"/>
      </w:pPr>
      <w:r w:rsidRPr="00583E1A">
        <w:t>where:</w:t>
      </w:r>
    </w:p>
    <w:p w:rsidR="00887330" w:rsidRPr="00583E1A" w:rsidRDefault="00887330" w:rsidP="00887330">
      <w:pPr>
        <w:pStyle w:val="Definition"/>
      </w:pPr>
      <w:r w:rsidRPr="00583E1A">
        <w:rPr>
          <w:b/>
          <w:i/>
        </w:rPr>
        <w:t>related expenses</w:t>
      </w:r>
      <w:r w:rsidRPr="00583E1A">
        <w:t xml:space="preserve"> means the receiving entity’s expenses that are reasonably related to the total received CFI amounts.</w:t>
      </w:r>
    </w:p>
    <w:p w:rsidR="00887330" w:rsidRPr="00583E1A" w:rsidRDefault="00887330" w:rsidP="00887330">
      <w:pPr>
        <w:pStyle w:val="Definition"/>
      </w:pPr>
      <w:r w:rsidRPr="00583E1A">
        <w:rPr>
          <w:b/>
          <w:i/>
        </w:rPr>
        <w:t>total declared CFI amounts</w:t>
      </w:r>
      <w:r w:rsidRPr="00583E1A">
        <w:t xml:space="preserve"> means the sum of the declared CFI amounts in distributions made by the receiving entity before the due day for lodging its </w:t>
      </w:r>
      <w:r w:rsidR="00583E1A" w:rsidRPr="00583E1A">
        <w:rPr>
          <w:position w:val="6"/>
          <w:sz w:val="16"/>
        </w:rPr>
        <w:t>*</w:t>
      </w:r>
      <w:r w:rsidRPr="00583E1A">
        <w:t>income tax return for the income year.</w:t>
      </w:r>
    </w:p>
    <w:p w:rsidR="00887330" w:rsidRPr="00583E1A" w:rsidRDefault="00887330" w:rsidP="00887330">
      <w:pPr>
        <w:pStyle w:val="notetext"/>
      </w:pPr>
      <w:r w:rsidRPr="00583E1A">
        <w:t>Example:</w:t>
      </w:r>
      <w:r w:rsidRPr="00583E1A">
        <w:tab/>
        <w:t>AusCo 1 and AusCo 2 are both Australian corporate tax entities.</w:t>
      </w:r>
    </w:p>
    <w:p w:rsidR="00887330" w:rsidRPr="00583E1A" w:rsidRDefault="00887330" w:rsidP="00887330">
      <w:pPr>
        <w:pStyle w:val="notetext"/>
      </w:pPr>
      <w:r w:rsidRPr="00583E1A">
        <w:lastRenderedPageBreak/>
        <w:tab/>
        <w:t>AusCo 1 pays an unfranked dividend of $80 to AusCo 2. AusCo 1 declares all of the $80 to be its conduit foreign income (so the $80 is a received CFI amount).</w:t>
      </w:r>
    </w:p>
    <w:p w:rsidR="00887330" w:rsidRPr="00583E1A" w:rsidRDefault="00887330" w:rsidP="00887330">
      <w:pPr>
        <w:pStyle w:val="notetext"/>
      </w:pPr>
      <w:r w:rsidRPr="00583E1A">
        <w:tab/>
        <w:t>AusCo 2 has $5 of deductible expenses relating to the $80 dividend.</w:t>
      </w:r>
    </w:p>
    <w:p w:rsidR="00887330" w:rsidRPr="00583E1A" w:rsidRDefault="00887330" w:rsidP="00887330">
      <w:pPr>
        <w:pStyle w:val="notetext"/>
      </w:pPr>
      <w:r w:rsidRPr="00583E1A">
        <w:tab/>
        <w:t>AusCo 2 pays an unfranked dividend of $30. AusCo 2 declares $15 of the $30 to be conduit foreign income (so the $15 is a declared CFI amount).</w:t>
      </w:r>
    </w:p>
    <w:p w:rsidR="00887330" w:rsidRPr="00583E1A" w:rsidRDefault="00887330" w:rsidP="00887330">
      <w:pPr>
        <w:pStyle w:val="notetext"/>
      </w:pPr>
      <w:r w:rsidRPr="00583E1A">
        <w:tab/>
        <w:t>The amount that is not assessable income and is not exempt income for AusCo 2 (assuming there are no other received CFI amounts or declared CFI amounts) is:</w:t>
      </w:r>
    </w:p>
    <w:p w:rsidR="00CB48B4" w:rsidRPr="00583E1A" w:rsidRDefault="00623A5C" w:rsidP="00887330">
      <w:pPr>
        <w:pStyle w:val="Formula"/>
        <w:ind w:left="1679" w:firstLine="306"/>
      </w:pPr>
      <w:r>
        <w:rPr>
          <w:noProof/>
        </w:rPr>
        <w:drawing>
          <wp:inline distT="0" distB="0" distL="0" distR="0">
            <wp:extent cx="1009650" cy="5334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009650" cy="533400"/>
                    </a:xfrm>
                    <a:prstGeom prst="rect">
                      <a:avLst/>
                    </a:prstGeom>
                    <a:noFill/>
                    <a:ln>
                      <a:noFill/>
                    </a:ln>
                  </pic:spPr>
                </pic:pic>
              </a:graphicData>
            </a:graphic>
          </wp:inline>
        </w:drawing>
      </w:r>
    </w:p>
    <w:p w:rsidR="00887330" w:rsidRPr="00583E1A" w:rsidRDefault="00887330" w:rsidP="00887330">
      <w:pPr>
        <w:pStyle w:val="notetext"/>
      </w:pPr>
      <w:r w:rsidRPr="00583E1A">
        <w:tab/>
        <w:t>The remaining $64 is included in AusCo 2’s assessable income and it can deduct $4 (the part of the expenses related to the $64).</w:t>
      </w:r>
    </w:p>
    <w:p w:rsidR="00887330" w:rsidRPr="00583E1A" w:rsidRDefault="00887330" w:rsidP="00887330">
      <w:pPr>
        <w:pStyle w:val="subsection"/>
      </w:pPr>
      <w:r w:rsidRPr="00583E1A">
        <w:tab/>
        <w:t>(3)</w:t>
      </w:r>
      <w:r w:rsidRPr="00583E1A">
        <w:tab/>
        <w:t xml:space="preserve">If the receiving entity’s expenses that are reasonably related to the total received CFI amounts equal or exceed the total received CFI amounts for an income year, the total received CFI amounts is not assessable income and is not </w:t>
      </w:r>
      <w:r w:rsidR="00583E1A" w:rsidRPr="00583E1A">
        <w:rPr>
          <w:position w:val="6"/>
          <w:sz w:val="16"/>
        </w:rPr>
        <w:t>*</w:t>
      </w:r>
      <w:r w:rsidRPr="00583E1A">
        <w:t>exempt income of the receiving entity for the income year.</w:t>
      </w:r>
    </w:p>
    <w:p w:rsidR="00887330" w:rsidRPr="00583E1A" w:rsidRDefault="00887330" w:rsidP="00887330">
      <w:pPr>
        <w:pStyle w:val="subsection"/>
      </w:pPr>
      <w:r w:rsidRPr="00583E1A">
        <w:tab/>
        <w:t>(4)</w:t>
      </w:r>
      <w:r w:rsidRPr="00583E1A">
        <w:tab/>
        <w:t xml:space="preserve">If a declared CFI amount is taken into account in working out an amount of </w:t>
      </w:r>
      <w:r w:rsidR="00583E1A" w:rsidRPr="00583E1A">
        <w:rPr>
          <w:position w:val="6"/>
          <w:sz w:val="16"/>
        </w:rPr>
        <w:t>*</w:t>
      </w:r>
      <w:r w:rsidRPr="00583E1A">
        <w:t>non</w:t>
      </w:r>
      <w:r w:rsidR="00583E1A">
        <w:noBreakHyphen/>
      </w:r>
      <w:r w:rsidRPr="00583E1A">
        <w:t>assessable non</w:t>
      </w:r>
      <w:r w:rsidR="00583E1A">
        <w:noBreakHyphen/>
      </w:r>
      <w:r w:rsidRPr="00583E1A">
        <w:t>exempt income of an entity for an income year, that amount cannot be taken into account for the entity for a later income year.</w:t>
      </w:r>
    </w:p>
    <w:p w:rsidR="00887330" w:rsidRPr="00583E1A" w:rsidRDefault="00887330" w:rsidP="00887330">
      <w:pPr>
        <w:pStyle w:val="subsection"/>
      </w:pPr>
      <w:r w:rsidRPr="00583E1A">
        <w:tab/>
        <w:t>(5)</w:t>
      </w:r>
      <w:r w:rsidRPr="00583E1A">
        <w:tab/>
        <w:t xml:space="preserve">Work out how much </w:t>
      </w:r>
      <w:r w:rsidR="00583E1A" w:rsidRPr="00583E1A">
        <w:rPr>
          <w:position w:val="6"/>
          <w:sz w:val="16"/>
        </w:rPr>
        <w:t>*</w:t>
      </w:r>
      <w:r w:rsidRPr="00583E1A">
        <w:t xml:space="preserve">conduit foreign income in a </w:t>
      </w:r>
      <w:r w:rsidR="00583E1A" w:rsidRPr="00583E1A">
        <w:rPr>
          <w:position w:val="6"/>
          <w:sz w:val="16"/>
        </w:rPr>
        <w:t>*</w:t>
      </w:r>
      <w:r w:rsidRPr="00583E1A">
        <w:t xml:space="preserve">frankable distribution flows through a trust or a partnership in the same way that you work out the </w:t>
      </w:r>
      <w:r w:rsidR="00583E1A" w:rsidRPr="00583E1A">
        <w:rPr>
          <w:position w:val="6"/>
          <w:sz w:val="16"/>
        </w:rPr>
        <w:t>*</w:t>
      </w:r>
      <w:r w:rsidRPr="00583E1A">
        <w:t xml:space="preserve">share of a </w:t>
      </w:r>
      <w:r w:rsidR="00583E1A" w:rsidRPr="00583E1A">
        <w:rPr>
          <w:position w:val="6"/>
          <w:sz w:val="16"/>
        </w:rPr>
        <w:t>*</w:t>
      </w:r>
      <w:r w:rsidRPr="00583E1A">
        <w:t xml:space="preserve">franking credit on a </w:t>
      </w:r>
      <w:r w:rsidR="00583E1A" w:rsidRPr="00583E1A">
        <w:rPr>
          <w:position w:val="6"/>
          <w:sz w:val="16"/>
        </w:rPr>
        <w:t>*</w:t>
      </w:r>
      <w:r w:rsidRPr="00583E1A">
        <w:t>franked distribution that flows through a trust or a partnership. That amount is treated as a received CFI amount under this section.</w:t>
      </w:r>
    </w:p>
    <w:p w:rsidR="00887330" w:rsidRPr="00583E1A" w:rsidRDefault="00887330" w:rsidP="00887330">
      <w:pPr>
        <w:pStyle w:val="notetext"/>
      </w:pPr>
      <w:r w:rsidRPr="00583E1A">
        <w:t>Note:</w:t>
      </w:r>
      <w:r w:rsidRPr="00583E1A">
        <w:tab/>
        <w:t>See sections</w:t>
      </w:r>
      <w:r w:rsidR="00583E1A">
        <w:t> </w:t>
      </w:r>
      <w:r w:rsidRPr="00583E1A">
        <w:t>207</w:t>
      </w:r>
      <w:r w:rsidR="00583E1A">
        <w:noBreakHyphen/>
      </w:r>
      <w:r w:rsidRPr="00583E1A">
        <w:t>50, 207</w:t>
      </w:r>
      <w:r w:rsidR="00583E1A">
        <w:noBreakHyphen/>
      </w:r>
      <w:r w:rsidRPr="00583E1A">
        <w:t>55 and 207</w:t>
      </w:r>
      <w:r w:rsidR="00583E1A">
        <w:noBreakHyphen/>
      </w:r>
      <w:r w:rsidRPr="00583E1A">
        <w:t>57 for the share of a franking credit on a franked distribution that flows through a trust or a partnership.</w:t>
      </w:r>
    </w:p>
    <w:p w:rsidR="00887330" w:rsidRPr="00583E1A" w:rsidRDefault="00887330" w:rsidP="00887330">
      <w:pPr>
        <w:pStyle w:val="ActHead5"/>
      </w:pPr>
      <w:bookmarkStart w:id="149" w:name="_Toc338939223"/>
      <w:r w:rsidRPr="00583E1A">
        <w:rPr>
          <w:rStyle w:val="CharSectno"/>
        </w:rPr>
        <w:t>802</w:t>
      </w:r>
      <w:r w:rsidR="00583E1A">
        <w:rPr>
          <w:rStyle w:val="CharSectno"/>
        </w:rPr>
        <w:noBreakHyphen/>
      </w:r>
      <w:r w:rsidRPr="00583E1A">
        <w:rPr>
          <w:rStyle w:val="CharSectno"/>
        </w:rPr>
        <w:t>25</w:t>
      </w:r>
      <w:r w:rsidRPr="00583E1A">
        <w:t xml:space="preserve">  Conduit foreign income of an Australian corporate tax entity</w:t>
      </w:r>
      <w:bookmarkEnd w:id="149"/>
    </w:p>
    <w:p w:rsidR="00887330" w:rsidRPr="00583E1A" w:rsidRDefault="00887330" w:rsidP="00887330">
      <w:pPr>
        <w:pStyle w:val="subsection"/>
      </w:pPr>
      <w:r w:rsidRPr="00583E1A">
        <w:tab/>
      </w:r>
      <w:r w:rsidRPr="00583E1A">
        <w:tab/>
        <w:t xml:space="preserve">An </w:t>
      </w:r>
      <w:r w:rsidR="00583E1A" w:rsidRPr="00583E1A">
        <w:rPr>
          <w:position w:val="6"/>
          <w:sz w:val="16"/>
        </w:rPr>
        <w:t>*</w:t>
      </w:r>
      <w:r w:rsidRPr="00583E1A">
        <w:t xml:space="preserve">Australian corporate tax entity’s </w:t>
      </w:r>
      <w:r w:rsidRPr="00583E1A">
        <w:rPr>
          <w:b/>
          <w:i/>
        </w:rPr>
        <w:t>conduit foreign income</w:t>
      </w:r>
      <w:r w:rsidRPr="00583E1A">
        <w:t xml:space="preserve"> at a particular time (the </w:t>
      </w:r>
      <w:r w:rsidRPr="00583E1A">
        <w:rPr>
          <w:b/>
          <w:i/>
        </w:rPr>
        <w:t>relevant time</w:t>
      </w:r>
      <w:r w:rsidRPr="00583E1A">
        <w:t>) is worked out by applying sections</w:t>
      </w:r>
      <w:r w:rsidR="00583E1A">
        <w:t> </w:t>
      </w:r>
      <w:r w:rsidRPr="00583E1A">
        <w:t>802</w:t>
      </w:r>
      <w:r w:rsidR="00583E1A">
        <w:noBreakHyphen/>
      </w:r>
      <w:r w:rsidRPr="00583E1A">
        <w:t>30 to 802</w:t>
      </w:r>
      <w:r w:rsidR="00583E1A">
        <w:noBreakHyphen/>
      </w:r>
      <w:r w:rsidRPr="00583E1A">
        <w:t>55.</w:t>
      </w:r>
    </w:p>
    <w:p w:rsidR="00887330" w:rsidRPr="00583E1A" w:rsidRDefault="00887330" w:rsidP="00887330">
      <w:pPr>
        <w:pStyle w:val="notetext"/>
      </w:pPr>
      <w:r w:rsidRPr="00583E1A">
        <w:lastRenderedPageBreak/>
        <w:t>Note:</w:t>
      </w:r>
      <w:r w:rsidRPr="00583E1A">
        <w:tab/>
        <w:t>Subdivision</w:t>
      </w:r>
      <w:r w:rsidR="00583E1A">
        <w:t> </w:t>
      </w:r>
      <w:r w:rsidRPr="00583E1A">
        <w:t>715</w:t>
      </w:r>
      <w:r w:rsidR="00583E1A">
        <w:noBreakHyphen/>
      </w:r>
      <w:r w:rsidRPr="00583E1A">
        <w:t>U modifies the single entity and the entry history rule for the purposes of working out conduit foreign income for consolidated groups and MEC groups.</w:t>
      </w:r>
    </w:p>
    <w:p w:rsidR="00887330" w:rsidRPr="00583E1A" w:rsidRDefault="00887330" w:rsidP="00887330">
      <w:pPr>
        <w:pStyle w:val="ActHead5"/>
      </w:pPr>
      <w:bookmarkStart w:id="150" w:name="_Toc338939224"/>
      <w:r w:rsidRPr="00583E1A">
        <w:rPr>
          <w:rStyle w:val="CharSectno"/>
        </w:rPr>
        <w:t>802</w:t>
      </w:r>
      <w:r w:rsidR="00583E1A">
        <w:rPr>
          <w:rStyle w:val="CharSectno"/>
        </w:rPr>
        <w:noBreakHyphen/>
      </w:r>
      <w:r w:rsidRPr="00583E1A">
        <w:rPr>
          <w:rStyle w:val="CharSectno"/>
        </w:rPr>
        <w:t>30</w:t>
      </w:r>
      <w:r w:rsidRPr="00583E1A">
        <w:t xml:space="preserve">  Foreign source income amounts</w:t>
      </w:r>
      <w:bookmarkEnd w:id="150"/>
    </w:p>
    <w:p w:rsidR="00887330" w:rsidRPr="00583E1A" w:rsidRDefault="00887330" w:rsidP="00887330">
      <w:pPr>
        <w:pStyle w:val="subsection"/>
      </w:pPr>
      <w:r w:rsidRPr="00583E1A">
        <w:tab/>
        <w:t>(1)</w:t>
      </w:r>
      <w:r w:rsidRPr="00583E1A">
        <w:tab/>
        <w:t xml:space="preserve">Work out the amount of the entity’s </w:t>
      </w:r>
      <w:r w:rsidR="00583E1A" w:rsidRPr="00583E1A">
        <w:rPr>
          <w:position w:val="6"/>
          <w:sz w:val="16"/>
        </w:rPr>
        <w:t>*</w:t>
      </w:r>
      <w:r w:rsidRPr="00583E1A">
        <w:t xml:space="preserve">ordinary income and </w:t>
      </w:r>
      <w:r w:rsidR="00583E1A" w:rsidRPr="00583E1A">
        <w:rPr>
          <w:position w:val="6"/>
          <w:sz w:val="16"/>
        </w:rPr>
        <w:t>*</w:t>
      </w:r>
      <w:r w:rsidRPr="00583E1A">
        <w:t>statutory income derived by the entity that has been, is or will be included in an income statement or similar statement of the entity or of another entity and that would not be included in the entity’s assessable income if the entity:</w:t>
      </w:r>
    </w:p>
    <w:p w:rsidR="00887330" w:rsidRPr="00583E1A" w:rsidRDefault="00887330" w:rsidP="00887330">
      <w:pPr>
        <w:pStyle w:val="paragraph"/>
      </w:pPr>
      <w:r w:rsidRPr="00583E1A">
        <w:tab/>
        <w:t>(a)</w:t>
      </w:r>
      <w:r w:rsidRPr="00583E1A">
        <w:tab/>
        <w:t xml:space="preserve">for a company or a </w:t>
      </w:r>
      <w:r w:rsidR="00583E1A" w:rsidRPr="00583E1A">
        <w:rPr>
          <w:position w:val="6"/>
          <w:sz w:val="16"/>
        </w:rPr>
        <w:t>*</w:t>
      </w:r>
      <w:r w:rsidRPr="00583E1A">
        <w:t>corporate limited partnership—were a foreign resident at the relevant time; or</w:t>
      </w:r>
    </w:p>
    <w:p w:rsidR="00887330" w:rsidRPr="00583E1A" w:rsidRDefault="00887330" w:rsidP="00887330">
      <w:pPr>
        <w:pStyle w:val="paragraph"/>
      </w:pPr>
      <w:r w:rsidRPr="00583E1A">
        <w:tab/>
        <w:t>(b)</w:t>
      </w:r>
      <w:r w:rsidRPr="00583E1A">
        <w:tab/>
        <w:t xml:space="preserve">for a </w:t>
      </w:r>
      <w:r w:rsidR="00583E1A" w:rsidRPr="00583E1A">
        <w:rPr>
          <w:position w:val="6"/>
          <w:sz w:val="16"/>
        </w:rPr>
        <w:t>*</w:t>
      </w:r>
      <w:r w:rsidRPr="00583E1A">
        <w:t xml:space="preserve">corporate unit trust or </w:t>
      </w:r>
      <w:r w:rsidR="00583E1A" w:rsidRPr="00583E1A">
        <w:rPr>
          <w:position w:val="6"/>
          <w:sz w:val="16"/>
        </w:rPr>
        <w:t>*</w:t>
      </w:r>
      <w:r w:rsidRPr="00583E1A">
        <w:t xml:space="preserve">public trading trust—were not a </w:t>
      </w:r>
      <w:r w:rsidR="00583E1A" w:rsidRPr="00583E1A">
        <w:rPr>
          <w:position w:val="6"/>
          <w:sz w:val="16"/>
        </w:rPr>
        <w:t>*</w:t>
      </w:r>
      <w:r w:rsidRPr="00583E1A">
        <w:t>resident unit trust for the income year in which the relevant time occurs.</w:t>
      </w:r>
    </w:p>
    <w:p w:rsidR="00887330" w:rsidRPr="00583E1A" w:rsidRDefault="00887330" w:rsidP="00887330">
      <w:pPr>
        <w:pStyle w:val="notetext"/>
      </w:pPr>
      <w:r w:rsidRPr="00583E1A">
        <w:t>Note:</w:t>
      </w:r>
      <w:r w:rsidRPr="00583E1A">
        <w:tab/>
        <w:t>Income statements are prepared under the Framework for the Preparation and Presentation of Financial Statements (which is referred to in the Australian Accounting Standards).</w:t>
      </w:r>
    </w:p>
    <w:p w:rsidR="00887330" w:rsidRPr="00583E1A" w:rsidRDefault="00887330" w:rsidP="00887330">
      <w:pPr>
        <w:pStyle w:val="subsection"/>
      </w:pPr>
      <w:r w:rsidRPr="00583E1A">
        <w:tab/>
        <w:t>(2)</w:t>
      </w:r>
      <w:r w:rsidRPr="00583E1A">
        <w:tab/>
        <w:t xml:space="preserve">Reduce the </w:t>
      </w:r>
      <w:r w:rsidR="00583E1A">
        <w:t>subsection (</w:t>
      </w:r>
      <w:r w:rsidRPr="00583E1A">
        <w:t>1) amount by any part of that amount that is or will be included in the entity’s assessable income (apart from section</w:t>
      </w:r>
      <w:r w:rsidR="00583E1A">
        <w:t> </w:t>
      </w:r>
      <w:r w:rsidRPr="00583E1A">
        <w:t>802</w:t>
      </w:r>
      <w:r w:rsidR="00583E1A">
        <w:noBreakHyphen/>
      </w:r>
      <w:r w:rsidRPr="00583E1A">
        <w:t>20).</w:t>
      </w:r>
    </w:p>
    <w:p w:rsidR="00887330" w:rsidRPr="00583E1A" w:rsidRDefault="00887330" w:rsidP="00887330">
      <w:pPr>
        <w:pStyle w:val="subsection"/>
      </w:pPr>
      <w:r w:rsidRPr="00583E1A">
        <w:tab/>
        <w:t>(3)</w:t>
      </w:r>
      <w:r w:rsidRPr="00583E1A">
        <w:tab/>
        <w:t xml:space="preserve">Add to the amount remaining after </w:t>
      </w:r>
      <w:r w:rsidR="00583E1A">
        <w:t>subsection (</w:t>
      </w:r>
      <w:r w:rsidRPr="00583E1A">
        <w:t>2) these amounts:</w:t>
      </w:r>
    </w:p>
    <w:p w:rsidR="00887330" w:rsidRPr="00583E1A" w:rsidRDefault="00887330" w:rsidP="00887330">
      <w:pPr>
        <w:pStyle w:val="paragraph"/>
      </w:pPr>
      <w:r w:rsidRPr="00583E1A">
        <w:tab/>
        <w:t>(a)</w:t>
      </w:r>
      <w:r w:rsidRPr="00583E1A">
        <w:tab/>
        <w:t xml:space="preserve">if the entity receives from another </w:t>
      </w:r>
      <w:r w:rsidR="00583E1A" w:rsidRPr="00583E1A">
        <w:rPr>
          <w:position w:val="6"/>
          <w:sz w:val="16"/>
        </w:rPr>
        <w:t>*</w:t>
      </w:r>
      <w:r w:rsidRPr="00583E1A">
        <w:t xml:space="preserve">Australian corporate tax entity a </w:t>
      </w:r>
      <w:r w:rsidR="00583E1A" w:rsidRPr="00583E1A">
        <w:rPr>
          <w:position w:val="6"/>
          <w:sz w:val="16"/>
        </w:rPr>
        <w:t>*</w:t>
      </w:r>
      <w:r w:rsidRPr="00583E1A">
        <w:t xml:space="preserve">frankable distribution that has an </w:t>
      </w:r>
      <w:r w:rsidR="00583E1A" w:rsidRPr="00583E1A">
        <w:rPr>
          <w:position w:val="6"/>
          <w:sz w:val="16"/>
        </w:rPr>
        <w:t>*</w:t>
      </w:r>
      <w:r w:rsidRPr="00583E1A">
        <w:t xml:space="preserve">unfranked part—any amount declared in the </w:t>
      </w:r>
      <w:r w:rsidR="00583E1A" w:rsidRPr="00583E1A">
        <w:rPr>
          <w:position w:val="6"/>
          <w:sz w:val="16"/>
        </w:rPr>
        <w:t>*</w:t>
      </w:r>
      <w:r w:rsidRPr="00583E1A">
        <w:t xml:space="preserve">distribution statement for that </w:t>
      </w:r>
      <w:r w:rsidR="00583E1A" w:rsidRPr="00583E1A">
        <w:rPr>
          <w:position w:val="6"/>
          <w:sz w:val="16"/>
        </w:rPr>
        <w:t>*</w:t>
      </w:r>
      <w:r w:rsidRPr="00583E1A">
        <w:t xml:space="preserve">distribution to be </w:t>
      </w:r>
      <w:r w:rsidR="00583E1A" w:rsidRPr="00583E1A">
        <w:rPr>
          <w:position w:val="6"/>
          <w:sz w:val="16"/>
        </w:rPr>
        <w:t>*</w:t>
      </w:r>
      <w:r w:rsidRPr="00583E1A">
        <w:t>conduit foreign income;</w:t>
      </w:r>
    </w:p>
    <w:p w:rsidR="00887330" w:rsidRPr="00583E1A" w:rsidRDefault="00887330" w:rsidP="00887330">
      <w:pPr>
        <w:pStyle w:val="paragraph"/>
      </w:pPr>
      <w:r w:rsidRPr="00583E1A">
        <w:tab/>
        <w:t>(b)</w:t>
      </w:r>
      <w:r w:rsidRPr="00583E1A">
        <w:tab/>
        <w:t>an amount that is treated as a received CFI amount for the purposes of section</w:t>
      </w:r>
      <w:r w:rsidR="00583E1A">
        <w:t> </w:t>
      </w:r>
      <w:r w:rsidRPr="00583E1A">
        <w:t>802</w:t>
      </w:r>
      <w:r w:rsidR="00583E1A">
        <w:noBreakHyphen/>
      </w:r>
      <w:r w:rsidRPr="00583E1A">
        <w:t>20 because of subsection 802</w:t>
      </w:r>
      <w:r w:rsidR="00583E1A">
        <w:noBreakHyphen/>
      </w:r>
      <w:r w:rsidRPr="00583E1A">
        <w:t>20(5);</w:t>
      </w:r>
    </w:p>
    <w:p w:rsidR="00887330" w:rsidRPr="00583E1A" w:rsidRDefault="00887330" w:rsidP="00887330">
      <w:pPr>
        <w:pStyle w:val="paragraph"/>
      </w:pPr>
      <w:r w:rsidRPr="00583E1A">
        <w:tab/>
        <w:t>(c)</w:t>
      </w:r>
      <w:r w:rsidRPr="00583E1A">
        <w:tab/>
        <w:t xml:space="preserve">an amount that is </w:t>
      </w:r>
      <w:r w:rsidR="00583E1A" w:rsidRPr="00583E1A">
        <w:rPr>
          <w:position w:val="6"/>
          <w:sz w:val="16"/>
        </w:rPr>
        <w:t>*</w:t>
      </w:r>
      <w:r w:rsidRPr="00583E1A">
        <w:t>non</w:t>
      </w:r>
      <w:r w:rsidR="00583E1A">
        <w:noBreakHyphen/>
      </w:r>
      <w:r w:rsidRPr="00583E1A">
        <w:t>assessable non</w:t>
      </w:r>
      <w:r w:rsidR="00583E1A">
        <w:noBreakHyphen/>
      </w:r>
      <w:r w:rsidRPr="00583E1A">
        <w:t>exempt income under section</w:t>
      </w:r>
      <w:r w:rsidR="00583E1A">
        <w:t> </w:t>
      </w:r>
      <w:r w:rsidRPr="00583E1A">
        <w:t xml:space="preserve">23AJ of the </w:t>
      </w:r>
      <w:r w:rsidRPr="00583E1A">
        <w:rPr>
          <w:i/>
        </w:rPr>
        <w:t xml:space="preserve">Income Tax Assessment Act 1936 </w:t>
      </w:r>
      <w:r w:rsidRPr="00583E1A">
        <w:t xml:space="preserve">and that would be not be included under </w:t>
      </w:r>
      <w:r w:rsidR="00583E1A">
        <w:t>subsection (</w:t>
      </w:r>
      <w:r w:rsidRPr="00583E1A">
        <w:t>1).</w:t>
      </w:r>
    </w:p>
    <w:p w:rsidR="00887330" w:rsidRPr="00583E1A" w:rsidRDefault="00887330" w:rsidP="00887330">
      <w:pPr>
        <w:pStyle w:val="subsection"/>
      </w:pPr>
      <w:r w:rsidRPr="00583E1A">
        <w:tab/>
        <w:t>(4)</w:t>
      </w:r>
      <w:r w:rsidRPr="00583E1A">
        <w:tab/>
        <w:t xml:space="preserve">Reduce the amount remaining after </w:t>
      </w:r>
      <w:r w:rsidR="00583E1A">
        <w:t>subsection (</w:t>
      </w:r>
      <w:r w:rsidRPr="00583E1A">
        <w:t>3) by these amounts:</w:t>
      </w:r>
    </w:p>
    <w:p w:rsidR="00887330" w:rsidRPr="00583E1A" w:rsidRDefault="00887330" w:rsidP="00887330">
      <w:pPr>
        <w:pStyle w:val="paragraph"/>
      </w:pPr>
      <w:r w:rsidRPr="00583E1A">
        <w:tab/>
        <w:t>(a)</w:t>
      </w:r>
      <w:r w:rsidRPr="00583E1A">
        <w:tab/>
        <w:t xml:space="preserve">an amount that is </w:t>
      </w:r>
      <w:r w:rsidR="00583E1A" w:rsidRPr="00583E1A">
        <w:rPr>
          <w:position w:val="6"/>
          <w:sz w:val="16"/>
        </w:rPr>
        <w:t>*</w:t>
      </w:r>
      <w:r w:rsidRPr="00583E1A">
        <w:t>non</w:t>
      </w:r>
      <w:r w:rsidR="00583E1A">
        <w:noBreakHyphen/>
      </w:r>
      <w:r w:rsidRPr="00583E1A">
        <w:t>assessable non</w:t>
      </w:r>
      <w:r w:rsidR="00583E1A">
        <w:noBreakHyphen/>
      </w:r>
      <w:r w:rsidRPr="00583E1A">
        <w:t>exempt income under section</w:t>
      </w:r>
      <w:r w:rsidR="00583E1A">
        <w:t> </w:t>
      </w:r>
      <w:r w:rsidRPr="00583E1A">
        <w:t xml:space="preserve">23AI or 23AK of the </w:t>
      </w:r>
      <w:r w:rsidRPr="00583E1A">
        <w:rPr>
          <w:i/>
        </w:rPr>
        <w:t>Income Tax Assessment Act 1936</w:t>
      </w:r>
      <w:r w:rsidRPr="00583E1A">
        <w:t>;</w:t>
      </w:r>
    </w:p>
    <w:p w:rsidR="00887330" w:rsidRPr="00583E1A" w:rsidRDefault="00887330" w:rsidP="00887330">
      <w:pPr>
        <w:pStyle w:val="paragraph"/>
      </w:pPr>
      <w:r w:rsidRPr="00583E1A">
        <w:lastRenderedPageBreak/>
        <w:tab/>
        <w:t>(b)</w:t>
      </w:r>
      <w:r w:rsidRPr="00583E1A">
        <w:tab/>
        <w:t>an amount that is not included in the entity’s assessable income because of the operation of paragraph 99B(2)(e) of that Act;</w:t>
      </w:r>
    </w:p>
    <w:p w:rsidR="00887330" w:rsidRPr="00583E1A" w:rsidRDefault="00887330" w:rsidP="00887330">
      <w:pPr>
        <w:pStyle w:val="paragraph"/>
      </w:pPr>
      <w:r w:rsidRPr="00583E1A">
        <w:tab/>
        <w:t>(c)</w:t>
      </w:r>
      <w:r w:rsidRPr="00583E1A">
        <w:tab/>
        <w:t>the amount worked out using the formula:</w:t>
      </w:r>
    </w:p>
    <w:p w:rsidR="00A82FCD" w:rsidRPr="00583E1A" w:rsidRDefault="00623A5C" w:rsidP="007D4FF4">
      <w:pPr>
        <w:pStyle w:val="Formula"/>
        <w:ind w:left="1650"/>
      </w:pPr>
      <w:r>
        <w:rPr>
          <w:noProof/>
        </w:rPr>
        <w:drawing>
          <wp:inline distT="0" distB="0" distL="0" distR="0">
            <wp:extent cx="2847975" cy="6477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2847975" cy="647700"/>
                    </a:xfrm>
                    <a:prstGeom prst="rect">
                      <a:avLst/>
                    </a:prstGeom>
                    <a:noFill/>
                    <a:ln>
                      <a:noFill/>
                    </a:ln>
                  </pic:spPr>
                </pic:pic>
              </a:graphicData>
            </a:graphic>
          </wp:inline>
        </w:drawing>
      </w:r>
    </w:p>
    <w:p w:rsidR="00887330" w:rsidRPr="00583E1A" w:rsidRDefault="00887330" w:rsidP="00887330">
      <w:pPr>
        <w:pStyle w:val="paragraph"/>
      </w:pPr>
      <w:r w:rsidRPr="00583E1A">
        <w:tab/>
      </w:r>
      <w:r w:rsidRPr="00583E1A">
        <w:tab/>
        <w:t>where:</w:t>
      </w:r>
    </w:p>
    <w:p w:rsidR="00887330" w:rsidRPr="00583E1A" w:rsidRDefault="00887330" w:rsidP="00887330">
      <w:pPr>
        <w:pStyle w:val="Definition"/>
        <w:ind w:left="1650"/>
      </w:pPr>
      <w:r w:rsidRPr="00583E1A">
        <w:rPr>
          <w:b/>
          <w:i/>
        </w:rPr>
        <w:t>available franking credit</w:t>
      </w:r>
      <w:r w:rsidRPr="00583E1A">
        <w:t xml:space="preserve"> means any part of the amount remaining after </w:t>
      </w:r>
      <w:r w:rsidR="00583E1A">
        <w:t>subsection (</w:t>
      </w:r>
      <w:r w:rsidRPr="00583E1A">
        <w:t xml:space="preserve">3) to the extent to which a </w:t>
      </w:r>
      <w:r w:rsidR="00583E1A" w:rsidRPr="00583E1A">
        <w:rPr>
          <w:position w:val="6"/>
          <w:sz w:val="16"/>
        </w:rPr>
        <w:t>*</w:t>
      </w:r>
      <w:r w:rsidRPr="00583E1A">
        <w:t>franking credit arises or will arise for the entity.</w:t>
      </w:r>
    </w:p>
    <w:p w:rsidR="00887330" w:rsidRPr="00583E1A" w:rsidRDefault="00887330" w:rsidP="00887330">
      <w:pPr>
        <w:pStyle w:val="subsection"/>
      </w:pPr>
      <w:r w:rsidRPr="00583E1A">
        <w:tab/>
        <w:t>(5)</w:t>
      </w:r>
      <w:r w:rsidRPr="00583E1A">
        <w:tab/>
        <w:t xml:space="preserve">Reduce the amount remaining after </w:t>
      </w:r>
      <w:r w:rsidR="00583E1A">
        <w:t>subsection (</w:t>
      </w:r>
      <w:r w:rsidRPr="00583E1A">
        <w:t xml:space="preserve">4) by any of the entity’s expenses that are reasonably related to that amount, except expenses the entity has deducted or can deduct under this Act. In applying this subsection to an amount covered by </w:t>
      </w:r>
      <w:r w:rsidR="00583E1A">
        <w:t>paragraph (</w:t>
      </w:r>
      <w:r w:rsidRPr="00583E1A">
        <w:t xml:space="preserve">3)(a), assume that amount is </w:t>
      </w:r>
      <w:r w:rsidR="00583E1A" w:rsidRPr="00583E1A">
        <w:rPr>
          <w:position w:val="6"/>
          <w:sz w:val="16"/>
        </w:rPr>
        <w:t>*</w:t>
      </w:r>
      <w:r w:rsidRPr="00583E1A">
        <w:t>non</w:t>
      </w:r>
      <w:r w:rsidR="00583E1A">
        <w:noBreakHyphen/>
      </w:r>
      <w:r w:rsidRPr="00583E1A">
        <w:t>assessable non</w:t>
      </w:r>
      <w:r w:rsidR="00583E1A">
        <w:noBreakHyphen/>
      </w:r>
      <w:r w:rsidRPr="00583E1A">
        <w:t>exempt income.</w:t>
      </w:r>
    </w:p>
    <w:p w:rsidR="00887330" w:rsidRPr="00583E1A" w:rsidRDefault="00887330" w:rsidP="00887330">
      <w:pPr>
        <w:pStyle w:val="subsection"/>
      </w:pPr>
      <w:r w:rsidRPr="00583E1A">
        <w:tab/>
        <w:t>(6)</w:t>
      </w:r>
      <w:r w:rsidRPr="00583E1A">
        <w:tab/>
        <w:t xml:space="preserve">The result is an amount included in the entity’s </w:t>
      </w:r>
      <w:r w:rsidRPr="00583E1A">
        <w:rPr>
          <w:b/>
          <w:i/>
        </w:rPr>
        <w:t>conduit foreign income</w:t>
      </w:r>
      <w:r w:rsidRPr="00583E1A">
        <w:t>.</w:t>
      </w:r>
    </w:p>
    <w:p w:rsidR="00887330" w:rsidRPr="00583E1A" w:rsidRDefault="00887330" w:rsidP="00887330">
      <w:pPr>
        <w:pStyle w:val="subsection"/>
      </w:pPr>
      <w:r w:rsidRPr="00583E1A">
        <w:tab/>
        <w:t>(7)</w:t>
      </w:r>
      <w:r w:rsidRPr="00583E1A">
        <w:tab/>
        <w:t>This section applies to an entity as if it had derived an amount if the amount has been applied for its benefit (including by discharging all or part of a debt it owes) or as it directs.</w:t>
      </w:r>
    </w:p>
    <w:p w:rsidR="00887330" w:rsidRPr="00583E1A" w:rsidRDefault="00887330" w:rsidP="00887330">
      <w:pPr>
        <w:pStyle w:val="ActHead5"/>
      </w:pPr>
      <w:bookmarkStart w:id="151" w:name="_Toc338939225"/>
      <w:r w:rsidRPr="00583E1A">
        <w:rPr>
          <w:rStyle w:val="CharSectno"/>
        </w:rPr>
        <w:t>802</w:t>
      </w:r>
      <w:r w:rsidR="00583E1A">
        <w:rPr>
          <w:rStyle w:val="CharSectno"/>
        </w:rPr>
        <w:noBreakHyphen/>
      </w:r>
      <w:r w:rsidRPr="00583E1A">
        <w:rPr>
          <w:rStyle w:val="CharSectno"/>
        </w:rPr>
        <w:t>35</w:t>
      </w:r>
      <w:r w:rsidRPr="00583E1A">
        <w:t xml:space="preserve">  Capital gains and losses</w:t>
      </w:r>
      <w:bookmarkEnd w:id="151"/>
    </w:p>
    <w:p w:rsidR="00887330" w:rsidRPr="00583E1A" w:rsidRDefault="00887330" w:rsidP="00887330">
      <w:pPr>
        <w:pStyle w:val="SubsectionHead"/>
      </w:pPr>
      <w:r w:rsidRPr="00583E1A">
        <w:t>Capital gains</w:t>
      </w:r>
    </w:p>
    <w:p w:rsidR="00887330" w:rsidRPr="00583E1A" w:rsidRDefault="00887330" w:rsidP="00887330">
      <w:pPr>
        <w:pStyle w:val="subsection"/>
      </w:pPr>
      <w:r w:rsidRPr="00583E1A">
        <w:tab/>
        <w:t>(1)</w:t>
      </w:r>
      <w:r w:rsidRPr="00583E1A">
        <w:tab/>
        <w:t xml:space="preserve">The entity’s </w:t>
      </w:r>
      <w:r w:rsidRPr="00583E1A">
        <w:rPr>
          <w:b/>
          <w:i/>
        </w:rPr>
        <w:t>conduit foreign income</w:t>
      </w:r>
      <w:r w:rsidRPr="00583E1A">
        <w:t xml:space="preserve"> includes these amounts:</w:t>
      </w:r>
    </w:p>
    <w:p w:rsidR="00887330" w:rsidRPr="00583E1A" w:rsidRDefault="00887330" w:rsidP="00887330">
      <w:pPr>
        <w:pStyle w:val="paragraph"/>
      </w:pPr>
      <w:r w:rsidRPr="00583E1A">
        <w:tab/>
        <w:t>(a)</w:t>
      </w:r>
      <w:r w:rsidRPr="00583E1A">
        <w:tab/>
        <w:t xml:space="preserve">the amount by which a </w:t>
      </w:r>
      <w:r w:rsidR="00583E1A" w:rsidRPr="00583E1A">
        <w:rPr>
          <w:position w:val="6"/>
          <w:sz w:val="16"/>
        </w:rPr>
        <w:t>*</w:t>
      </w:r>
      <w:r w:rsidRPr="00583E1A">
        <w:t>capital gain of the entity is reduced because of the operation of section</w:t>
      </w:r>
      <w:r w:rsidR="00583E1A">
        <w:t> </w:t>
      </w:r>
      <w:r w:rsidRPr="00583E1A">
        <w:t>768</w:t>
      </w:r>
      <w:r w:rsidR="00583E1A">
        <w:noBreakHyphen/>
      </w:r>
      <w:r w:rsidRPr="00583E1A">
        <w:t>505;</w:t>
      </w:r>
    </w:p>
    <w:p w:rsidR="00887330" w:rsidRPr="00583E1A" w:rsidRDefault="00887330" w:rsidP="00887330">
      <w:pPr>
        <w:pStyle w:val="paragraph"/>
      </w:pPr>
      <w:r w:rsidRPr="00583E1A">
        <w:tab/>
        <w:t>(b)</w:t>
      </w:r>
      <w:r w:rsidRPr="00583E1A">
        <w:tab/>
        <w:t xml:space="preserve">a capital gain that is disregarded because of the operation of subsection 23AH(3) of the </w:t>
      </w:r>
      <w:r w:rsidRPr="00583E1A">
        <w:rPr>
          <w:i/>
        </w:rPr>
        <w:t>Income Tax Assessment Act 1936</w:t>
      </w:r>
      <w:r w:rsidRPr="00583E1A">
        <w:t>;</w:t>
      </w:r>
    </w:p>
    <w:p w:rsidR="00887330" w:rsidRPr="00583E1A" w:rsidRDefault="00887330" w:rsidP="00887330">
      <w:pPr>
        <w:pStyle w:val="paragraph"/>
      </w:pPr>
      <w:r w:rsidRPr="00583E1A">
        <w:tab/>
        <w:t>(c)</w:t>
      </w:r>
      <w:r w:rsidRPr="00583E1A">
        <w:tab/>
        <w:t xml:space="preserve">the amount of a capital gain that is disregarded as a result of the operation of an international tax sharing treaty (as defined in subsection 136AA(1) of the </w:t>
      </w:r>
      <w:r w:rsidRPr="00583E1A">
        <w:rPr>
          <w:i/>
        </w:rPr>
        <w:t>Income Tax Assessment Act 1936</w:t>
      </w:r>
      <w:r w:rsidRPr="00583E1A">
        <w:t>).</w:t>
      </w:r>
    </w:p>
    <w:p w:rsidR="00887330" w:rsidRPr="00583E1A" w:rsidRDefault="00887330" w:rsidP="00887330">
      <w:pPr>
        <w:pStyle w:val="SubsectionHead"/>
      </w:pPr>
      <w:r w:rsidRPr="00583E1A">
        <w:lastRenderedPageBreak/>
        <w:t>Capital losses</w:t>
      </w:r>
    </w:p>
    <w:p w:rsidR="00887330" w:rsidRPr="00583E1A" w:rsidRDefault="00887330" w:rsidP="00887330">
      <w:pPr>
        <w:pStyle w:val="subsection"/>
      </w:pPr>
      <w:r w:rsidRPr="00583E1A">
        <w:tab/>
        <w:t>(2)</w:t>
      </w:r>
      <w:r w:rsidRPr="00583E1A">
        <w:tab/>
        <w:t xml:space="preserve">The entity’s </w:t>
      </w:r>
      <w:r w:rsidRPr="00583E1A">
        <w:rPr>
          <w:b/>
          <w:i/>
        </w:rPr>
        <w:t>conduit foreign income</w:t>
      </w:r>
      <w:r w:rsidRPr="00583E1A">
        <w:t xml:space="preserve"> is reduced by these amounts:</w:t>
      </w:r>
    </w:p>
    <w:p w:rsidR="00887330" w:rsidRPr="00583E1A" w:rsidRDefault="00887330" w:rsidP="00887330">
      <w:pPr>
        <w:pStyle w:val="paragraph"/>
      </w:pPr>
      <w:r w:rsidRPr="00583E1A">
        <w:tab/>
        <w:t>(a)</w:t>
      </w:r>
      <w:r w:rsidRPr="00583E1A">
        <w:tab/>
        <w:t xml:space="preserve">the amount by which a </w:t>
      </w:r>
      <w:r w:rsidR="00583E1A" w:rsidRPr="00583E1A">
        <w:rPr>
          <w:position w:val="6"/>
          <w:sz w:val="16"/>
        </w:rPr>
        <w:t>*</w:t>
      </w:r>
      <w:r w:rsidRPr="00583E1A">
        <w:t>capital loss of the entity is reduced because of the operation of section</w:t>
      </w:r>
      <w:r w:rsidR="00583E1A">
        <w:t> </w:t>
      </w:r>
      <w:r w:rsidRPr="00583E1A">
        <w:t>768</w:t>
      </w:r>
      <w:r w:rsidR="00583E1A">
        <w:noBreakHyphen/>
      </w:r>
      <w:r w:rsidRPr="00583E1A">
        <w:t>505;</w:t>
      </w:r>
    </w:p>
    <w:p w:rsidR="00887330" w:rsidRPr="00583E1A" w:rsidRDefault="00887330" w:rsidP="00887330">
      <w:pPr>
        <w:pStyle w:val="paragraph"/>
      </w:pPr>
      <w:r w:rsidRPr="00583E1A">
        <w:tab/>
        <w:t>(b)</w:t>
      </w:r>
      <w:r w:rsidRPr="00583E1A">
        <w:tab/>
        <w:t xml:space="preserve">a capital loss that is disregarded because of the operation of subsection 23AH(4) of the </w:t>
      </w:r>
      <w:r w:rsidRPr="00583E1A">
        <w:rPr>
          <w:i/>
        </w:rPr>
        <w:t>Income Tax Assessment Act 1936</w:t>
      </w:r>
      <w:r w:rsidRPr="00583E1A">
        <w:t>;</w:t>
      </w:r>
    </w:p>
    <w:p w:rsidR="00887330" w:rsidRPr="00583E1A" w:rsidRDefault="00887330" w:rsidP="00887330">
      <w:pPr>
        <w:pStyle w:val="paragraph"/>
      </w:pPr>
      <w:r w:rsidRPr="00583E1A">
        <w:tab/>
        <w:t>(c)</w:t>
      </w:r>
      <w:r w:rsidRPr="00583E1A">
        <w:tab/>
        <w:t xml:space="preserve">the amount of a capital loss that is disregarded as a result of the operation of an international tax sharing treaty (as defined in subsection 136AA(1) of the </w:t>
      </w:r>
      <w:r w:rsidRPr="00583E1A">
        <w:rPr>
          <w:i/>
        </w:rPr>
        <w:t>Income Tax Assessment Act 1936</w:t>
      </w:r>
      <w:r w:rsidRPr="00583E1A">
        <w:t>).</w:t>
      </w:r>
    </w:p>
    <w:p w:rsidR="00887330" w:rsidRPr="00583E1A" w:rsidRDefault="00887330" w:rsidP="00887330">
      <w:pPr>
        <w:pStyle w:val="SubsectionHead"/>
      </w:pPr>
      <w:r w:rsidRPr="00583E1A">
        <w:t>Timing rule</w:t>
      </w:r>
    </w:p>
    <w:p w:rsidR="00887330" w:rsidRPr="00583E1A" w:rsidRDefault="00887330" w:rsidP="00887330">
      <w:pPr>
        <w:pStyle w:val="subsection"/>
      </w:pPr>
      <w:r w:rsidRPr="00583E1A">
        <w:tab/>
        <w:t>(3)</w:t>
      </w:r>
      <w:r w:rsidRPr="00583E1A">
        <w:tab/>
        <w:t xml:space="preserve">The adjustments are made under this section at the end of the income year in which the </w:t>
      </w:r>
      <w:r w:rsidR="00583E1A" w:rsidRPr="00583E1A">
        <w:rPr>
          <w:position w:val="6"/>
          <w:sz w:val="16"/>
        </w:rPr>
        <w:t>*</w:t>
      </w:r>
      <w:r w:rsidRPr="00583E1A">
        <w:t>CGT event occurred.</w:t>
      </w:r>
    </w:p>
    <w:p w:rsidR="00DF0426" w:rsidRPr="00583E1A" w:rsidRDefault="00DF0426" w:rsidP="00DF0426">
      <w:pPr>
        <w:pStyle w:val="ActHead5"/>
      </w:pPr>
      <w:bookmarkStart w:id="152" w:name="_Toc338939226"/>
      <w:r w:rsidRPr="00583E1A">
        <w:rPr>
          <w:rStyle w:val="CharSectno"/>
        </w:rPr>
        <w:t>802</w:t>
      </w:r>
      <w:r w:rsidR="00583E1A">
        <w:rPr>
          <w:rStyle w:val="CharSectno"/>
        </w:rPr>
        <w:noBreakHyphen/>
      </w:r>
      <w:r w:rsidRPr="00583E1A">
        <w:rPr>
          <w:rStyle w:val="CharSectno"/>
        </w:rPr>
        <w:t>40</w:t>
      </w:r>
      <w:r w:rsidRPr="00583E1A">
        <w:t xml:space="preserve">  Effect of foreign income tax offset on conduit foreign income</w:t>
      </w:r>
      <w:bookmarkEnd w:id="152"/>
    </w:p>
    <w:p w:rsidR="00887330" w:rsidRPr="00583E1A" w:rsidRDefault="00887330" w:rsidP="00887330">
      <w:pPr>
        <w:pStyle w:val="subsection"/>
      </w:pPr>
      <w:r w:rsidRPr="00583E1A">
        <w:tab/>
      </w:r>
      <w:r w:rsidRPr="00583E1A">
        <w:tab/>
        <w:t xml:space="preserve">The entity’s </w:t>
      </w:r>
      <w:r w:rsidRPr="00583E1A">
        <w:rPr>
          <w:b/>
          <w:i/>
        </w:rPr>
        <w:t>conduit foreign income</w:t>
      </w:r>
      <w:r w:rsidRPr="00583E1A">
        <w:t xml:space="preserve"> includes an amount if a </w:t>
      </w:r>
      <w:r w:rsidR="0012688A" w:rsidRPr="00583E1A">
        <w:t>tax offset arose for the entity under Division</w:t>
      </w:r>
      <w:r w:rsidR="00583E1A">
        <w:t> </w:t>
      </w:r>
      <w:r w:rsidR="0012688A" w:rsidRPr="00583E1A">
        <w:t>770</w:t>
      </w:r>
      <w:r w:rsidRPr="00583E1A">
        <w:rPr>
          <w:i/>
        </w:rPr>
        <w:t xml:space="preserve"> </w:t>
      </w:r>
      <w:r w:rsidRPr="00583E1A">
        <w:t>for the income year immediately before the one in which the relevant time occurs. The amount is worked out using the formula:</w:t>
      </w:r>
    </w:p>
    <w:p w:rsidR="00A82FCD" w:rsidRPr="00583E1A" w:rsidRDefault="00623A5C" w:rsidP="007D4FF4">
      <w:pPr>
        <w:pStyle w:val="Formula"/>
      </w:pPr>
      <w:r>
        <w:rPr>
          <w:noProof/>
        </w:rPr>
        <w:drawing>
          <wp:inline distT="0" distB="0" distL="0" distR="0">
            <wp:extent cx="1895475" cy="6477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895475" cy="647700"/>
                    </a:xfrm>
                    <a:prstGeom prst="rect">
                      <a:avLst/>
                    </a:prstGeom>
                    <a:noFill/>
                    <a:ln>
                      <a:noFill/>
                    </a:ln>
                  </pic:spPr>
                </pic:pic>
              </a:graphicData>
            </a:graphic>
          </wp:inline>
        </w:drawing>
      </w:r>
    </w:p>
    <w:p w:rsidR="00887330" w:rsidRPr="00583E1A" w:rsidRDefault="00887330" w:rsidP="00887330">
      <w:pPr>
        <w:pStyle w:val="ActHead5"/>
      </w:pPr>
      <w:bookmarkStart w:id="153" w:name="_Toc338939227"/>
      <w:r w:rsidRPr="00583E1A">
        <w:rPr>
          <w:rStyle w:val="CharSectno"/>
        </w:rPr>
        <w:t>802</w:t>
      </w:r>
      <w:r w:rsidR="00583E1A">
        <w:rPr>
          <w:rStyle w:val="CharSectno"/>
        </w:rPr>
        <w:noBreakHyphen/>
      </w:r>
      <w:r w:rsidRPr="00583E1A">
        <w:rPr>
          <w:rStyle w:val="CharSectno"/>
        </w:rPr>
        <w:t>45</w:t>
      </w:r>
      <w:r w:rsidRPr="00583E1A">
        <w:t xml:space="preserve">  Previous declarations of conduit foreign income</w:t>
      </w:r>
      <w:bookmarkEnd w:id="153"/>
    </w:p>
    <w:p w:rsidR="00887330" w:rsidRPr="00583E1A" w:rsidRDefault="00887330" w:rsidP="00887330">
      <w:pPr>
        <w:pStyle w:val="subsection"/>
      </w:pPr>
      <w:r w:rsidRPr="00583E1A">
        <w:tab/>
      </w:r>
      <w:r w:rsidRPr="00583E1A">
        <w:tab/>
        <w:t xml:space="preserve">The entity’s </w:t>
      </w:r>
      <w:r w:rsidRPr="00583E1A">
        <w:rPr>
          <w:b/>
          <w:i/>
        </w:rPr>
        <w:t xml:space="preserve">conduit foreign income </w:t>
      </w:r>
      <w:r w:rsidRPr="00583E1A">
        <w:t>is reduced if:</w:t>
      </w:r>
    </w:p>
    <w:p w:rsidR="00887330" w:rsidRPr="00583E1A" w:rsidRDefault="00887330" w:rsidP="00887330">
      <w:pPr>
        <w:pStyle w:val="paragraph"/>
      </w:pPr>
      <w:r w:rsidRPr="00583E1A">
        <w:tab/>
        <w:t>(a)</w:t>
      </w:r>
      <w:r w:rsidRPr="00583E1A">
        <w:tab/>
        <w:t xml:space="preserve">the entity makes a </w:t>
      </w:r>
      <w:r w:rsidR="00583E1A" w:rsidRPr="00583E1A">
        <w:rPr>
          <w:position w:val="6"/>
          <w:sz w:val="16"/>
        </w:rPr>
        <w:t>*</w:t>
      </w:r>
      <w:r w:rsidRPr="00583E1A">
        <w:t xml:space="preserve">frankable distribution that has an </w:t>
      </w:r>
      <w:r w:rsidR="00583E1A" w:rsidRPr="00583E1A">
        <w:rPr>
          <w:position w:val="6"/>
          <w:sz w:val="16"/>
        </w:rPr>
        <w:t>*</w:t>
      </w:r>
      <w:r w:rsidRPr="00583E1A">
        <w:t>unfranked part; and</w:t>
      </w:r>
    </w:p>
    <w:p w:rsidR="00887330" w:rsidRPr="00583E1A" w:rsidRDefault="00887330" w:rsidP="00887330">
      <w:pPr>
        <w:pStyle w:val="paragraph"/>
      </w:pPr>
      <w:r w:rsidRPr="00583E1A">
        <w:tab/>
        <w:t>(b)</w:t>
      </w:r>
      <w:r w:rsidRPr="00583E1A">
        <w:tab/>
        <w:t>the entity declares an amount of the unfranked part to be conduit foreign income.</w:t>
      </w:r>
    </w:p>
    <w:p w:rsidR="00887330" w:rsidRPr="00583E1A" w:rsidRDefault="00887330" w:rsidP="00887330">
      <w:pPr>
        <w:pStyle w:val="subsection2"/>
      </w:pPr>
      <w:r w:rsidRPr="00583E1A">
        <w:t>The amount of the reduction is the amount so declared.</w:t>
      </w:r>
    </w:p>
    <w:p w:rsidR="00887330" w:rsidRPr="00583E1A" w:rsidRDefault="00887330" w:rsidP="00887330">
      <w:pPr>
        <w:pStyle w:val="notetext"/>
      </w:pPr>
      <w:r w:rsidRPr="00583E1A">
        <w:t>Note:</w:t>
      </w:r>
      <w:r w:rsidRPr="00583E1A">
        <w:tab/>
        <w:t>If the amount declared is less than the amount available for declaration, the difference is available for a later declaration.</w:t>
      </w:r>
    </w:p>
    <w:p w:rsidR="00887330" w:rsidRPr="00583E1A" w:rsidRDefault="00887330" w:rsidP="00887330">
      <w:pPr>
        <w:pStyle w:val="ActHead5"/>
      </w:pPr>
      <w:bookmarkStart w:id="154" w:name="_Toc338939228"/>
      <w:r w:rsidRPr="00583E1A">
        <w:rPr>
          <w:rStyle w:val="CharSectno"/>
        </w:rPr>
        <w:lastRenderedPageBreak/>
        <w:t>802</w:t>
      </w:r>
      <w:r w:rsidR="00583E1A">
        <w:rPr>
          <w:rStyle w:val="CharSectno"/>
        </w:rPr>
        <w:noBreakHyphen/>
      </w:r>
      <w:r w:rsidRPr="00583E1A">
        <w:rPr>
          <w:rStyle w:val="CharSectno"/>
        </w:rPr>
        <w:t>50</w:t>
      </w:r>
      <w:r w:rsidRPr="00583E1A">
        <w:t xml:space="preserve">  Receipt of an unfranked distribution from another Australian corporate tax entity</w:t>
      </w:r>
      <w:bookmarkEnd w:id="154"/>
    </w:p>
    <w:p w:rsidR="00887330" w:rsidRPr="00583E1A" w:rsidRDefault="00887330" w:rsidP="00887330">
      <w:pPr>
        <w:pStyle w:val="subsection"/>
      </w:pPr>
      <w:r w:rsidRPr="00583E1A">
        <w:tab/>
        <w:t>(1)</w:t>
      </w:r>
      <w:r w:rsidRPr="00583E1A">
        <w:tab/>
        <w:t xml:space="preserve">The entity’s </w:t>
      </w:r>
      <w:r w:rsidRPr="00583E1A">
        <w:rPr>
          <w:b/>
          <w:i/>
        </w:rPr>
        <w:t xml:space="preserve">conduit foreign income </w:t>
      </w:r>
      <w:r w:rsidRPr="00583E1A">
        <w:t>is reduced if:</w:t>
      </w:r>
    </w:p>
    <w:p w:rsidR="00887330" w:rsidRPr="00583E1A" w:rsidRDefault="00887330" w:rsidP="00887330">
      <w:pPr>
        <w:pStyle w:val="paragraph"/>
      </w:pPr>
      <w:r w:rsidRPr="00583E1A">
        <w:tab/>
        <w:t>(a)</w:t>
      </w:r>
      <w:r w:rsidRPr="00583E1A">
        <w:tab/>
        <w:t xml:space="preserve">the entity (the </w:t>
      </w:r>
      <w:r w:rsidRPr="00583E1A">
        <w:rPr>
          <w:b/>
          <w:i/>
        </w:rPr>
        <w:t>receiving entity</w:t>
      </w:r>
      <w:r w:rsidRPr="00583E1A">
        <w:t xml:space="preserve">) receives from another </w:t>
      </w:r>
      <w:r w:rsidR="00583E1A" w:rsidRPr="00583E1A">
        <w:rPr>
          <w:position w:val="6"/>
          <w:sz w:val="16"/>
        </w:rPr>
        <w:t>*</w:t>
      </w:r>
      <w:r w:rsidRPr="00583E1A">
        <w:t xml:space="preserve">Australian corporate tax entity a </w:t>
      </w:r>
      <w:r w:rsidR="00583E1A" w:rsidRPr="00583E1A">
        <w:rPr>
          <w:position w:val="6"/>
          <w:sz w:val="16"/>
        </w:rPr>
        <w:t>*</w:t>
      </w:r>
      <w:r w:rsidRPr="00583E1A">
        <w:t xml:space="preserve">frankable distribution that has an </w:t>
      </w:r>
      <w:r w:rsidR="00583E1A" w:rsidRPr="00583E1A">
        <w:rPr>
          <w:position w:val="6"/>
          <w:sz w:val="16"/>
        </w:rPr>
        <w:t>*</w:t>
      </w:r>
      <w:r w:rsidRPr="00583E1A">
        <w:t>unfranked part; and</w:t>
      </w:r>
    </w:p>
    <w:p w:rsidR="00887330" w:rsidRPr="00583E1A" w:rsidRDefault="00887330" w:rsidP="00887330">
      <w:pPr>
        <w:pStyle w:val="paragraph"/>
      </w:pPr>
      <w:r w:rsidRPr="00583E1A">
        <w:tab/>
        <w:t>(b)</w:t>
      </w:r>
      <w:r w:rsidRPr="00583E1A">
        <w:tab/>
        <w:t xml:space="preserve">the </w:t>
      </w:r>
      <w:r w:rsidR="00583E1A" w:rsidRPr="00583E1A">
        <w:rPr>
          <w:position w:val="6"/>
          <w:sz w:val="16"/>
        </w:rPr>
        <w:t>*</w:t>
      </w:r>
      <w:r w:rsidRPr="00583E1A">
        <w:t xml:space="preserve">distribution statement for the </w:t>
      </w:r>
      <w:r w:rsidR="00583E1A" w:rsidRPr="00583E1A">
        <w:rPr>
          <w:position w:val="6"/>
          <w:sz w:val="16"/>
        </w:rPr>
        <w:t>*</w:t>
      </w:r>
      <w:r w:rsidRPr="00583E1A">
        <w:t xml:space="preserve">distribution declares an amount (the </w:t>
      </w:r>
      <w:r w:rsidRPr="00583E1A">
        <w:rPr>
          <w:b/>
          <w:i/>
        </w:rPr>
        <w:t>declared amount</w:t>
      </w:r>
      <w:r w:rsidRPr="00583E1A">
        <w:t>) of the unfranked part to be conduit foreign income; and</w:t>
      </w:r>
    </w:p>
    <w:p w:rsidR="00887330" w:rsidRPr="00583E1A" w:rsidRDefault="00887330" w:rsidP="00887330">
      <w:pPr>
        <w:pStyle w:val="paragraph"/>
      </w:pPr>
      <w:r w:rsidRPr="00583E1A">
        <w:tab/>
        <w:t>(c)</w:t>
      </w:r>
      <w:r w:rsidRPr="00583E1A">
        <w:tab/>
        <w:t xml:space="preserve">some or all of the declared amount is not </w:t>
      </w:r>
      <w:r w:rsidR="00583E1A" w:rsidRPr="00583E1A">
        <w:rPr>
          <w:position w:val="6"/>
          <w:sz w:val="16"/>
        </w:rPr>
        <w:t>*</w:t>
      </w:r>
      <w:r w:rsidRPr="00583E1A">
        <w:t>non</w:t>
      </w:r>
      <w:r w:rsidR="00583E1A">
        <w:noBreakHyphen/>
      </w:r>
      <w:r w:rsidRPr="00583E1A">
        <w:t>assessable non</w:t>
      </w:r>
      <w:r w:rsidR="00583E1A">
        <w:noBreakHyphen/>
      </w:r>
      <w:r w:rsidRPr="00583E1A">
        <w:t>exempt income under section</w:t>
      </w:r>
      <w:r w:rsidR="00583E1A">
        <w:t> </w:t>
      </w:r>
      <w:r w:rsidRPr="00583E1A">
        <w:t>802</w:t>
      </w:r>
      <w:r w:rsidR="00583E1A">
        <w:noBreakHyphen/>
      </w:r>
      <w:r w:rsidRPr="00583E1A">
        <w:t>20.</w:t>
      </w:r>
    </w:p>
    <w:p w:rsidR="00887330" w:rsidRPr="00583E1A" w:rsidRDefault="00887330" w:rsidP="00887330">
      <w:pPr>
        <w:pStyle w:val="subsection"/>
      </w:pPr>
      <w:r w:rsidRPr="00583E1A">
        <w:tab/>
        <w:t>(2)</w:t>
      </w:r>
      <w:r w:rsidRPr="00583E1A">
        <w:tab/>
        <w:t xml:space="preserve">The amount of the reduction is the amount that is not </w:t>
      </w:r>
      <w:r w:rsidR="00583E1A" w:rsidRPr="00583E1A">
        <w:rPr>
          <w:position w:val="6"/>
          <w:sz w:val="16"/>
        </w:rPr>
        <w:t>*</w:t>
      </w:r>
      <w:r w:rsidRPr="00583E1A">
        <w:t>non</w:t>
      </w:r>
      <w:r w:rsidR="00583E1A">
        <w:noBreakHyphen/>
      </w:r>
      <w:r w:rsidRPr="00583E1A">
        <w:t>assessable non</w:t>
      </w:r>
      <w:r w:rsidR="00583E1A">
        <w:noBreakHyphen/>
      </w:r>
      <w:r w:rsidRPr="00583E1A">
        <w:t>exempt income under section</w:t>
      </w:r>
      <w:r w:rsidR="00583E1A">
        <w:t> </w:t>
      </w:r>
      <w:r w:rsidRPr="00583E1A">
        <w:t>802</w:t>
      </w:r>
      <w:r w:rsidR="00583E1A">
        <w:noBreakHyphen/>
      </w:r>
      <w:r w:rsidRPr="00583E1A">
        <w:t>20 less any expenses reasonably related to that amount.</w:t>
      </w:r>
    </w:p>
    <w:p w:rsidR="00887330" w:rsidRPr="00583E1A" w:rsidRDefault="00887330" w:rsidP="00887330">
      <w:pPr>
        <w:pStyle w:val="ActHead5"/>
      </w:pPr>
      <w:bookmarkStart w:id="155" w:name="_Toc338939229"/>
      <w:r w:rsidRPr="00583E1A">
        <w:rPr>
          <w:rStyle w:val="CharSectno"/>
        </w:rPr>
        <w:t>802</w:t>
      </w:r>
      <w:r w:rsidR="00583E1A">
        <w:rPr>
          <w:rStyle w:val="CharSectno"/>
        </w:rPr>
        <w:noBreakHyphen/>
      </w:r>
      <w:r w:rsidRPr="00583E1A">
        <w:rPr>
          <w:rStyle w:val="CharSectno"/>
        </w:rPr>
        <w:t>55</w:t>
      </w:r>
      <w:r w:rsidRPr="00583E1A">
        <w:t xml:space="preserve">  No double benefits</w:t>
      </w:r>
      <w:bookmarkEnd w:id="155"/>
    </w:p>
    <w:p w:rsidR="00887330" w:rsidRPr="00583E1A" w:rsidRDefault="00887330" w:rsidP="00887330">
      <w:pPr>
        <w:pStyle w:val="subsection"/>
      </w:pPr>
      <w:r w:rsidRPr="00583E1A">
        <w:tab/>
      </w:r>
      <w:r w:rsidRPr="00583E1A">
        <w:tab/>
        <w:t>An amount cannot be both:</w:t>
      </w:r>
    </w:p>
    <w:p w:rsidR="00887330" w:rsidRPr="00583E1A" w:rsidRDefault="00887330" w:rsidP="00887330">
      <w:pPr>
        <w:pStyle w:val="paragraph"/>
      </w:pPr>
      <w:r w:rsidRPr="00583E1A">
        <w:tab/>
        <w:t>(a)</w:t>
      </w:r>
      <w:r w:rsidRPr="00583E1A">
        <w:tab/>
        <w:t>an unfranked non</w:t>
      </w:r>
      <w:r w:rsidR="00583E1A">
        <w:noBreakHyphen/>
      </w:r>
      <w:r w:rsidRPr="00583E1A">
        <w:t>portfolio dividend credit for an entity under section</w:t>
      </w:r>
      <w:r w:rsidR="00583E1A">
        <w:t> </w:t>
      </w:r>
      <w:r w:rsidRPr="00583E1A">
        <w:t xml:space="preserve">46FB of the </w:t>
      </w:r>
      <w:r w:rsidRPr="00583E1A">
        <w:rPr>
          <w:i/>
        </w:rPr>
        <w:t>Income Tax Assessment Act 1936</w:t>
      </w:r>
      <w:r w:rsidRPr="00583E1A">
        <w:t>; and</w:t>
      </w:r>
    </w:p>
    <w:p w:rsidR="00887330" w:rsidRPr="00583E1A" w:rsidRDefault="00887330" w:rsidP="00887330">
      <w:pPr>
        <w:pStyle w:val="paragraph"/>
      </w:pPr>
      <w:r w:rsidRPr="00583E1A">
        <w:tab/>
        <w:t>(b)</w:t>
      </w:r>
      <w:r w:rsidRPr="00583E1A">
        <w:tab/>
        <w:t>counted towards:</w:t>
      </w:r>
    </w:p>
    <w:p w:rsidR="00887330" w:rsidRPr="00583E1A" w:rsidRDefault="00887330" w:rsidP="00887330">
      <w:pPr>
        <w:pStyle w:val="paragraphsub"/>
      </w:pPr>
      <w:r w:rsidRPr="00583E1A">
        <w:tab/>
        <w:t>(i)</w:t>
      </w:r>
      <w:r w:rsidRPr="00583E1A">
        <w:tab/>
        <w:t xml:space="preserve">the entity’s </w:t>
      </w:r>
      <w:r w:rsidR="00583E1A" w:rsidRPr="00583E1A">
        <w:rPr>
          <w:position w:val="6"/>
          <w:sz w:val="16"/>
        </w:rPr>
        <w:t>*</w:t>
      </w:r>
      <w:r w:rsidRPr="00583E1A">
        <w:t>conduit foreign income; and</w:t>
      </w:r>
    </w:p>
    <w:p w:rsidR="00887330" w:rsidRPr="00583E1A" w:rsidRDefault="00887330" w:rsidP="00887330">
      <w:pPr>
        <w:pStyle w:val="paragraphsub"/>
      </w:pPr>
      <w:r w:rsidRPr="00583E1A">
        <w:tab/>
        <w:t>(ii)</w:t>
      </w:r>
      <w:r w:rsidRPr="00583E1A">
        <w:tab/>
        <w:t xml:space="preserve">the entity’s </w:t>
      </w:r>
      <w:r w:rsidR="00583E1A" w:rsidRPr="00583E1A">
        <w:rPr>
          <w:position w:val="6"/>
          <w:sz w:val="16"/>
        </w:rPr>
        <w:t>*</w:t>
      </w:r>
      <w:r w:rsidRPr="00583E1A">
        <w:t>non</w:t>
      </w:r>
      <w:r w:rsidR="00583E1A">
        <w:noBreakHyphen/>
      </w:r>
      <w:r w:rsidRPr="00583E1A">
        <w:t>assessable non</w:t>
      </w:r>
      <w:r w:rsidR="00583E1A">
        <w:noBreakHyphen/>
      </w:r>
      <w:r w:rsidRPr="00583E1A">
        <w:t>exempt income under section</w:t>
      </w:r>
      <w:r w:rsidR="00583E1A">
        <w:t> </w:t>
      </w:r>
      <w:r w:rsidRPr="00583E1A">
        <w:t>802</w:t>
      </w:r>
      <w:r w:rsidR="00583E1A">
        <w:noBreakHyphen/>
      </w:r>
      <w:r w:rsidRPr="00583E1A">
        <w:t>20.</w:t>
      </w:r>
    </w:p>
    <w:p w:rsidR="00887330" w:rsidRPr="00583E1A" w:rsidRDefault="00887330" w:rsidP="00887330">
      <w:pPr>
        <w:pStyle w:val="ActHead5"/>
      </w:pPr>
      <w:bookmarkStart w:id="156" w:name="_Toc338939230"/>
      <w:r w:rsidRPr="00583E1A">
        <w:rPr>
          <w:rStyle w:val="CharSectno"/>
        </w:rPr>
        <w:t>802</w:t>
      </w:r>
      <w:r w:rsidR="00583E1A">
        <w:rPr>
          <w:rStyle w:val="CharSectno"/>
        </w:rPr>
        <w:noBreakHyphen/>
      </w:r>
      <w:r w:rsidRPr="00583E1A">
        <w:rPr>
          <w:rStyle w:val="CharSectno"/>
        </w:rPr>
        <w:t>60</w:t>
      </w:r>
      <w:r w:rsidRPr="00583E1A">
        <w:t xml:space="preserve">  No streaming of distributions</w:t>
      </w:r>
      <w:bookmarkEnd w:id="156"/>
    </w:p>
    <w:p w:rsidR="00887330" w:rsidRPr="00583E1A" w:rsidRDefault="00887330" w:rsidP="00887330">
      <w:pPr>
        <w:pStyle w:val="subsection"/>
      </w:pPr>
      <w:r w:rsidRPr="00583E1A">
        <w:tab/>
        <w:t>(1)</w:t>
      </w:r>
      <w:r w:rsidRPr="00583E1A">
        <w:tab/>
      </w:r>
      <w:r w:rsidR="00583E1A">
        <w:t>Subsection (</w:t>
      </w:r>
      <w:r w:rsidRPr="00583E1A">
        <w:t>2) has effect if:</w:t>
      </w:r>
    </w:p>
    <w:p w:rsidR="00887330" w:rsidRPr="00583E1A" w:rsidRDefault="00887330" w:rsidP="00887330">
      <w:pPr>
        <w:pStyle w:val="paragraph"/>
      </w:pPr>
      <w:r w:rsidRPr="00583E1A">
        <w:tab/>
        <w:t>(a)</w:t>
      </w:r>
      <w:r w:rsidRPr="00583E1A">
        <w:tab/>
        <w:t xml:space="preserve">an </w:t>
      </w:r>
      <w:r w:rsidR="00583E1A" w:rsidRPr="00583E1A">
        <w:rPr>
          <w:position w:val="6"/>
          <w:sz w:val="16"/>
        </w:rPr>
        <w:t>*</w:t>
      </w:r>
      <w:r w:rsidRPr="00583E1A">
        <w:t xml:space="preserve">Australian corporate tax entity makes one or more </w:t>
      </w:r>
      <w:r w:rsidR="00583E1A" w:rsidRPr="00583E1A">
        <w:rPr>
          <w:position w:val="6"/>
          <w:sz w:val="16"/>
        </w:rPr>
        <w:t>*</w:t>
      </w:r>
      <w:r w:rsidRPr="00583E1A">
        <w:t xml:space="preserve">frankable distributions in a </w:t>
      </w:r>
      <w:r w:rsidR="00583E1A" w:rsidRPr="00583E1A">
        <w:rPr>
          <w:position w:val="6"/>
          <w:sz w:val="16"/>
        </w:rPr>
        <w:t>*</w:t>
      </w:r>
      <w:r w:rsidRPr="00583E1A">
        <w:t>franking period; and</w:t>
      </w:r>
    </w:p>
    <w:p w:rsidR="00887330" w:rsidRPr="00583E1A" w:rsidRDefault="00887330" w:rsidP="00887330">
      <w:pPr>
        <w:pStyle w:val="paragraph"/>
      </w:pPr>
      <w:r w:rsidRPr="00583E1A">
        <w:tab/>
        <w:t>(b)</w:t>
      </w:r>
      <w:r w:rsidRPr="00583E1A">
        <w:tab/>
        <w:t xml:space="preserve">at least one of the </w:t>
      </w:r>
      <w:r w:rsidR="00583E1A" w:rsidRPr="00583E1A">
        <w:rPr>
          <w:position w:val="6"/>
          <w:sz w:val="16"/>
        </w:rPr>
        <w:t>*</w:t>
      </w:r>
      <w:r w:rsidRPr="00583E1A">
        <w:t xml:space="preserve">distributions has an </w:t>
      </w:r>
      <w:r w:rsidR="00583E1A" w:rsidRPr="00583E1A">
        <w:rPr>
          <w:position w:val="6"/>
          <w:sz w:val="16"/>
        </w:rPr>
        <w:t>*</w:t>
      </w:r>
      <w:r w:rsidRPr="00583E1A">
        <w:t>unfranked part; and</w:t>
      </w:r>
    </w:p>
    <w:p w:rsidR="00887330" w:rsidRPr="00583E1A" w:rsidRDefault="00887330" w:rsidP="00887330">
      <w:pPr>
        <w:pStyle w:val="paragraph"/>
      </w:pPr>
      <w:r w:rsidRPr="00583E1A">
        <w:tab/>
        <w:t>(c)</w:t>
      </w:r>
      <w:r w:rsidRPr="00583E1A">
        <w:tab/>
        <w:t xml:space="preserve">the entity declares an amount of the unfranked part to be </w:t>
      </w:r>
      <w:r w:rsidR="00583E1A" w:rsidRPr="00583E1A">
        <w:rPr>
          <w:position w:val="6"/>
          <w:sz w:val="16"/>
        </w:rPr>
        <w:t>*</w:t>
      </w:r>
      <w:r w:rsidRPr="00583E1A">
        <w:t>conduit foreign income.</w:t>
      </w:r>
    </w:p>
    <w:p w:rsidR="00887330" w:rsidRPr="00583E1A" w:rsidRDefault="00887330" w:rsidP="00307CC1">
      <w:pPr>
        <w:pStyle w:val="subsection"/>
        <w:keepNext/>
        <w:keepLines/>
      </w:pPr>
      <w:r w:rsidRPr="00583E1A">
        <w:lastRenderedPageBreak/>
        <w:tab/>
        <w:t>(2)</w:t>
      </w:r>
      <w:r w:rsidRPr="00583E1A">
        <w:tab/>
        <w:t xml:space="preserve">If the entity does not, for that </w:t>
      </w:r>
      <w:r w:rsidR="00583E1A" w:rsidRPr="00583E1A">
        <w:rPr>
          <w:position w:val="6"/>
          <w:sz w:val="16"/>
        </w:rPr>
        <w:t>*</w:t>
      </w:r>
      <w:r w:rsidRPr="00583E1A">
        <w:t xml:space="preserve">franking period, declare the same proportion of </w:t>
      </w:r>
      <w:r w:rsidR="00583E1A" w:rsidRPr="00583E1A">
        <w:rPr>
          <w:position w:val="6"/>
          <w:sz w:val="16"/>
        </w:rPr>
        <w:t>*</w:t>
      </w:r>
      <w:r w:rsidRPr="00583E1A">
        <w:t xml:space="preserve">conduit foreign income for all </w:t>
      </w:r>
      <w:r w:rsidR="00583E1A" w:rsidRPr="00583E1A">
        <w:rPr>
          <w:position w:val="6"/>
          <w:sz w:val="16"/>
        </w:rPr>
        <w:t>*</w:t>
      </w:r>
      <w:r w:rsidRPr="00583E1A">
        <w:t xml:space="preserve">membership interests and </w:t>
      </w:r>
      <w:r w:rsidR="00583E1A" w:rsidRPr="00583E1A">
        <w:rPr>
          <w:position w:val="6"/>
          <w:sz w:val="16"/>
        </w:rPr>
        <w:t>*</w:t>
      </w:r>
      <w:r w:rsidRPr="00583E1A">
        <w:t>non</w:t>
      </w:r>
      <w:r w:rsidR="00583E1A">
        <w:noBreakHyphen/>
      </w:r>
      <w:r w:rsidRPr="00583E1A">
        <w:t xml:space="preserve">share equity interests then, instead of the amount that it declared to be conduit foreign income on those </w:t>
      </w:r>
      <w:r w:rsidR="00583E1A" w:rsidRPr="00583E1A">
        <w:rPr>
          <w:position w:val="6"/>
          <w:sz w:val="16"/>
        </w:rPr>
        <w:t>*</w:t>
      </w:r>
      <w:r w:rsidRPr="00583E1A">
        <w:t>distributions, it is taken to have declared under section</w:t>
      </w:r>
      <w:r w:rsidR="00583E1A">
        <w:t> </w:t>
      </w:r>
      <w:r w:rsidRPr="00583E1A">
        <w:t>802</w:t>
      </w:r>
      <w:r w:rsidR="00583E1A">
        <w:noBreakHyphen/>
      </w:r>
      <w:r w:rsidRPr="00583E1A">
        <w:t>45 the greater amount that it would have declared had it declared that same proportion on all those distributions.</w:t>
      </w:r>
    </w:p>
    <w:p w:rsidR="00887330" w:rsidRPr="00583E1A" w:rsidRDefault="00887330" w:rsidP="00887330">
      <w:pPr>
        <w:pStyle w:val="notetext"/>
      </w:pPr>
      <w:r w:rsidRPr="00583E1A">
        <w:t>Note:</w:t>
      </w:r>
      <w:r w:rsidRPr="00583E1A">
        <w:tab/>
        <w:t xml:space="preserve">Breaching </w:t>
      </w:r>
      <w:r w:rsidR="00583E1A">
        <w:t>subsection (</w:t>
      </w:r>
      <w:r w:rsidRPr="00583E1A">
        <w:t>2) may make the entity subject to a penalty under section</w:t>
      </w:r>
      <w:r w:rsidR="00583E1A">
        <w:t> </w:t>
      </w:r>
      <w:r w:rsidRPr="00583E1A">
        <w:t>288</w:t>
      </w:r>
      <w:r w:rsidR="00583E1A">
        <w:noBreakHyphen/>
      </w:r>
      <w:r w:rsidRPr="00583E1A">
        <w:t>80 in Schedule</w:t>
      </w:r>
      <w:r w:rsidR="00583E1A">
        <w:t> </w:t>
      </w:r>
      <w:r w:rsidRPr="00583E1A">
        <w:t xml:space="preserve">1 to the </w:t>
      </w:r>
      <w:r w:rsidRPr="00583E1A">
        <w:rPr>
          <w:i/>
        </w:rPr>
        <w:t>Taxation Administration Act 1953</w:t>
      </w:r>
      <w:r w:rsidRPr="00583E1A">
        <w:t xml:space="preserve"> (about over declaring conduit foreign income).</w:t>
      </w:r>
    </w:p>
    <w:p w:rsidR="00887330" w:rsidRPr="00583E1A" w:rsidRDefault="00887330" w:rsidP="00887330">
      <w:pPr>
        <w:pStyle w:val="notetext"/>
      </w:pPr>
      <w:r w:rsidRPr="00583E1A">
        <w:t>Example:</w:t>
      </w:r>
      <w:r w:rsidRPr="00583E1A">
        <w:tab/>
        <w:t>There are 10,000 membership interests in AusCo Limited, 7,500 held by foreign residents and 2,500 held by Australian residents. It has $1,800 of conduit foreign income.</w:t>
      </w:r>
    </w:p>
    <w:p w:rsidR="00887330" w:rsidRPr="00583E1A" w:rsidRDefault="00887330" w:rsidP="00887330">
      <w:pPr>
        <w:pStyle w:val="notetext"/>
      </w:pPr>
      <w:r w:rsidRPr="00583E1A">
        <w:tab/>
        <w:t>AusCo makes an unfranked distribution of 50 cents per membership interest to all of its members. It declares $1,500 of the distribution to be conduit foreign income for its 7,500 foreign membership interests (20 cents per membership interest or 40% of each distribution) and none for its Australian membership interests.</w:t>
      </w:r>
    </w:p>
    <w:p w:rsidR="00887330" w:rsidRPr="00583E1A" w:rsidRDefault="00887330" w:rsidP="00887330">
      <w:pPr>
        <w:pStyle w:val="notetext"/>
      </w:pPr>
      <w:r w:rsidRPr="00583E1A">
        <w:tab/>
        <w:t>AusCo is taken to have declared the same proportion (40% of each distribution) of conduit foreign income for its Australian membership interests (which amounts to $500 of conduit foreign income). It is therefore taken to have declared $2,000 of conduit foreign income. This is an over</w:t>
      </w:r>
      <w:r w:rsidR="00583E1A">
        <w:noBreakHyphen/>
      </w:r>
      <w:r w:rsidRPr="00583E1A">
        <w:t>declaration of $200 and a penalty under section</w:t>
      </w:r>
      <w:r w:rsidR="00583E1A">
        <w:t> </w:t>
      </w:r>
      <w:r w:rsidRPr="00583E1A">
        <w:t>288</w:t>
      </w:r>
      <w:r w:rsidR="00583E1A">
        <w:noBreakHyphen/>
      </w:r>
      <w:r w:rsidRPr="00583E1A">
        <w:t>80 in Schedule</w:t>
      </w:r>
      <w:r w:rsidR="00583E1A">
        <w:t> </w:t>
      </w:r>
      <w:r w:rsidRPr="00583E1A">
        <w:t xml:space="preserve">1 to the </w:t>
      </w:r>
      <w:r w:rsidRPr="00583E1A">
        <w:rPr>
          <w:i/>
        </w:rPr>
        <w:t>Taxation Administration Act 1953</w:t>
      </w:r>
      <w:r w:rsidRPr="00583E1A">
        <w:t xml:space="preserve"> will apply.</w:t>
      </w:r>
    </w:p>
    <w:p w:rsidR="00887330" w:rsidRPr="00583E1A" w:rsidRDefault="00887330" w:rsidP="00887330">
      <w:pPr>
        <w:pStyle w:val="subsection"/>
      </w:pPr>
      <w:r w:rsidRPr="00583E1A">
        <w:tab/>
        <w:t>(3)</w:t>
      </w:r>
      <w:r w:rsidRPr="00583E1A">
        <w:tab/>
        <w:t xml:space="preserve">For the purposes of </w:t>
      </w:r>
      <w:r w:rsidR="00583E1A">
        <w:t>subsection (</w:t>
      </w:r>
      <w:r w:rsidRPr="00583E1A">
        <w:t xml:space="preserve">2), ignore </w:t>
      </w:r>
      <w:r w:rsidR="00583E1A" w:rsidRPr="00583E1A">
        <w:rPr>
          <w:position w:val="6"/>
          <w:sz w:val="16"/>
        </w:rPr>
        <w:t>*</w:t>
      </w:r>
      <w:r w:rsidRPr="00583E1A">
        <w:t xml:space="preserve">membership interests and </w:t>
      </w:r>
      <w:r w:rsidR="00583E1A" w:rsidRPr="00583E1A">
        <w:rPr>
          <w:position w:val="6"/>
          <w:sz w:val="16"/>
        </w:rPr>
        <w:t>*</w:t>
      </w:r>
      <w:r w:rsidRPr="00583E1A">
        <w:t>non</w:t>
      </w:r>
      <w:r w:rsidR="00583E1A">
        <w:noBreakHyphen/>
      </w:r>
      <w:r w:rsidRPr="00583E1A">
        <w:t xml:space="preserve">share equity interests that do not carry a right to receive </w:t>
      </w:r>
      <w:r w:rsidR="00583E1A" w:rsidRPr="00583E1A">
        <w:rPr>
          <w:position w:val="6"/>
          <w:sz w:val="16"/>
        </w:rPr>
        <w:t>*</w:t>
      </w:r>
      <w:r w:rsidRPr="00583E1A">
        <w:t>distributions (other than distributions on winding up).</w:t>
      </w:r>
    </w:p>
    <w:p w:rsidR="00887330" w:rsidRPr="00583E1A" w:rsidRDefault="00887330" w:rsidP="00887330">
      <w:pPr>
        <w:pStyle w:val="subsection"/>
      </w:pPr>
      <w:r w:rsidRPr="00583E1A">
        <w:tab/>
        <w:t>(4)</w:t>
      </w:r>
      <w:r w:rsidRPr="00583E1A">
        <w:tab/>
        <w:t xml:space="preserve">Despite </w:t>
      </w:r>
      <w:r w:rsidR="00583E1A">
        <w:t>subsection (</w:t>
      </w:r>
      <w:r w:rsidRPr="00583E1A">
        <w:t xml:space="preserve">2), an entity that receives a </w:t>
      </w:r>
      <w:r w:rsidR="00583E1A" w:rsidRPr="00583E1A">
        <w:rPr>
          <w:position w:val="6"/>
          <w:sz w:val="16"/>
        </w:rPr>
        <w:t>*</w:t>
      </w:r>
      <w:r w:rsidRPr="00583E1A">
        <w:t xml:space="preserve">frankable distribution that has an </w:t>
      </w:r>
      <w:r w:rsidR="00583E1A" w:rsidRPr="00583E1A">
        <w:rPr>
          <w:position w:val="6"/>
          <w:sz w:val="16"/>
        </w:rPr>
        <w:t>*</w:t>
      </w:r>
      <w:r w:rsidRPr="00583E1A">
        <w:t xml:space="preserve">unfranked part is entitled to rely on the </w:t>
      </w:r>
      <w:r w:rsidR="00583E1A" w:rsidRPr="00583E1A">
        <w:rPr>
          <w:position w:val="6"/>
          <w:sz w:val="16"/>
        </w:rPr>
        <w:t>*</w:t>
      </w:r>
      <w:r w:rsidRPr="00583E1A">
        <w:t>distribution statement made by the entity that made the distribution.</w:t>
      </w:r>
    </w:p>
    <w:p w:rsidR="00233E32" w:rsidRDefault="00233E32" w:rsidP="00233E32">
      <w:pPr>
        <w:pStyle w:val="PageBreak"/>
      </w:pPr>
      <w:r>
        <w:br w:type="page"/>
      </w:r>
    </w:p>
    <w:p w:rsidR="00233E32" w:rsidRPr="003509A5" w:rsidRDefault="00233E32" w:rsidP="00233E32">
      <w:pPr>
        <w:pStyle w:val="ActHead3"/>
      </w:pPr>
      <w:bookmarkStart w:id="157" w:name="_Toc338939231"/>
      <w:r w:rsidRPr="003509A5">
        <w:rPr>
          <w:rStyle w:val="CharDivNo"/>
        </w:rPr>
        <w:lastRenderedPageBreak/>
        <w:t>Division 815</w:t>
      </w:r>
      <w:r w:rsidRPr="003509A5">
        <w:t>—</w:t>
      </w:r>
      <w:r w:rsidRPr="003509A5">
        <w:rPr>
          <w:rStyle w:val="CharDivText"/>
        </w:rPr>
        <w:t>Cross</w:t>
      </w:r>
      <w:r w:rsidRPr="003509A5">
        <w:rPr>
          <w:rStyle w:val="CharDivText"/>
        </w:rPr>
        <w:noBreakHyphen/>
        <w:t>border transfer pricing</w:t>
      </w:r>
      <w:bookmarkEnd w:id="157"/>
    </w:p>
    <w:p w:rsidR="00233E32" w:rsidRPr="003509A5" w:rsidRDefault="00233E32" w:rsidP="00233E32">
      <w:pPr>
        <w:pStyle w:val="TofSectsHeading"/>
      </w:pPr>
      <w:r w:rsidRPr="003509A5">
        <w:t>Table of Subdivisions</w:t>
      </w:r>
    </w:p>
    <w:p w:rsidR="00233E32" w:rsidRPr="003509A5" w:rsidRDefault="00233E32" w:rsidP="00233E32">
      <w:pPr>
        <w:pStyle w:val="TofSectsSubdiv"/>
      </w:pPr>
      <w:r w:rsidRPr="003509A5">
        <w:t>815</w:t>
      </w:r>
      <w:r w:rsidRPr="003509A5">
        <w:noBreakHyphen/>
        <w:t>A</w:t>
      </w:r>
      <w:r w:rsidRPr="003509A5">
        <w:tab/>
        <w:t>Treaty</w:t>
      </w:r>
      <w:r w:rsidRPr="003509A5">
        <w:noBreakHyphen/>
        <w:t>equivalent cross</w:t>
      </w:r>
      <w:r w:rsidRPr="003509A5">
        <w:noBreakHyphen/>
        <w:t>border transfer pricing rules</w:t>
      </w:r>
    </w:p>
    <w:p w:rsidR="00233E32" w:rsidRPr="003509A5" w:rsidRDefault="00233E32" w:rsidP="00233E32">
      <w:pPr>
        <w:pStyle w:val="ActHead4"/>
      </w:pPr>
      <w:bookmarkStart w:id="158" w:name="_Toc338939232"/>
      <w:r w:rsidRPr="003509A5">
        <w:rPr>
          <w:rStyle w:val="CharSubdNo"/>
        </w:rPr>
        <w:t>Subdivision 815</w:t>
      </w:r>
      <w:r w:rsidRPr="003509A5">
        <w:rPr>
          <w:rStyle w:val="CharSubdNo"/>
        </w:rPr>
        <w:noBreakHyphen/>
        <w:t>A</w:t>
      </w:r>
      <w:r w:rsidRPr="003509A5">
        <w:t>—</w:t>
      </w:r>
      <w:r w:rsidRPr="003509A5">
        <w:rPr>
          <w:rStyle w:val="CharSubdText"/>
        </w:rPr>
        <w:t>Treaty</w:t>
      </w:r>
      <w:r w:rsidRPr="003509A5">
        <w:rPr>
          <w:rStyle w:val="CharSubdText"/>
        </w:rPr>
        <w:noBreakHyphen/>
        <w:t>equivalent cross</w:t>
      </w:r>
      <w:r w:rsidRPr="003509A5">
        <w:rPr>
          <w:rStyle w:val="CharSubdText"/>
        </w:rPr>
        <w:noBreakHyphen/>
        <w:t>border transfer pricing rules</w:t>
      </w:r>
      <w:bookmarkEnd w:id="158"/>
    </w:p>
    <w:p w:rsidR="00233E32" w:rsidRPr="003509A5" w:rsidRDefault="00233E32" w:rsidP="00233E32">
      <w:pPr>
        <w:pStyle w:val="ActHead4"/>
      </w:pPr>
      <w:bookmarkStart w:id="159" w:name="_Toc338939233"/>
      <w:r w:rsidRPr="003509A5">
        <w:t>Guide to Subdivision 815</w:t>
      </w:r>
      <w:r w:rsidRPr="003509A5">
        <w:noBreakHyphen/>
        <w:t>A</w:t>
      </w:r>
      <w:bookmarkEnd w:id="159"/>
    </w:p>
    <w:p w:rsidR="00233E32" w:rsidRPr="003509A5" w:rsidRDefault="00233E32" w:rsidP="00233E32">
      <w:pPr>
        <w:pStyle w:val="ActHead5"/>
      </w:pPr>
      <w:bookmarkStart w:id="160" w:name="_Toc338939234"/>
      <w:r w:rsidRPr="003509A5">
        <w:rPr>
          <w:rStyle w:val="CharSectno"/>
        </w:rPr>
        <w:t>815</w:t>
      </w:r>
      <w:r w:rsidRPr="003509A5">
        <w:rPr>
          <w:rStyle w:val="CharSectno"/>
        </w:rPr>
        <w:noBreakHyphen/>
        <w:t>1</w:t>
      </w:r>
      <w:r w:rsidRPr="003509A5">
        <w:t xml:space="preserve">  What this Subdivision is about</w:t>
      </w:r>
      <w:bookmarkEnd w:id="160"/>
    </w:p>
    <w:p w:rsidR="00233E32" w:rsidRPr="003509A5" w:rsidRDefault="00233E32" w:rsidP="00233E32">
      <w:pPr>
        <w:pStyle w:val="BoxText"/>
      </w:pPr>
      <w:r w:rsidRPr="003509A5">
        <w:t>The cross</w:t>
      </w:r>
      <w:r w:rsidRPr="003509A5">
        <w:noBreakHyphen/>
        <w:t>border transfer pricing rules in this Subdivision are equivalent to, but independent of, the transfer pricing rules in Australia’s double tax agreements.</w:t>
      </w:r>
    </w:p>
    <w:p w:rsidR="00233E32" w:rsidRPr="003509A5" w:rsidRDefault="00233E32" w:rsidP="00233E32">
      <w:pPr>
        <w:pStyle w:val="TofSectsHeading"/>
      </w:pPr>
      <w:r w:rsidRPr="003509A5">
        <w:t>Table of sections</w:t>
      </w:r>
    </w:p>
    <w:p w:rsidR="00233E32" w:rsidRPr="003509A5" w:rsidRDefault="00233E32" w:rsidP="00233E32">
      <w:pPr>
        <w:pStyle w:val="TofSectsGroupHeading"/>
      </w:pPr>
      <w:r w:rsidRPr="003509A5">
        <w:t>Operative provisions</w:t>
      </w:r>
    </w:p>
    <w:p w:rsidR="00233E32" w:rsidRPr="003509A5" w:rsidRDefault="00233E32" w:rsidP="00233E32">
      <w:pPr>
        <w:pStyle w:val="TofSectsSection"/>
      </w:pPr>
      <w:r w:rsidRPr="003509A5">
        <w:t>815</w:t>
      </w:r>
      <w:r w:rsidRPr="003509A5">
        <w:noBreakHyphen/>
        <w:t>5</w:t>
      </w:r>
      <w:r w:rsidRPr="003509A5">
        <w:tab/>
        <w:t>Object</w:t>
      </w:r>
    </w:p>
    <w:p w:rsidR="00233E32" w:rsidRPr="003509A5" w:rsidRDefault="00233E32" w:rsidP="00233E32">
      <w:pPr>
        <w:pStyle w:val="TofSectsSection"/>
      </w:pPr>
      <w:r w:rsidRPr="003509A5">
        <w:t>815</w:t>
      </w:r>
      <w:r w:rsidRPr="003509A5">
        <w:noBreakHyphen/>
        <w:t>10</w:t>
      </w:r>
      <w:r w:rsidRPr="003509A5">
        <w:tab/>
        <w:t>Transfer pricing benefit may be negated</w:t>
      </w:r>
    </w:p>
    <w:p w:rsidR="00233E32" w:rsidRPr="003509A5" w:rsidRDefault="00233E32" w:rsidP="00233E32">
      <w:pPr>
        <w:pStyle w:val="TofSectsSection"/>
        <w:rPr>
          <w:rStyle w:val="CharBoldItalic"/>
        </w:rPr>
      </w:pPr>
      <w:r w:rsidRPr="003509A5">
        <w:t>815</w:t>
      </w:r>
      <w:r w:rsidRPr="003509A5">
        <w:noBreakHyphen/>
        <w:t>15</w:t>
      </w:r>
      <w:r w:rsidRPr="003509A5">
        <w:tab/>
        <w:t xml:space="preserve">When an entity gets a </w:t>
      </w:r>
      <w:r w:rsidRPr="003509A5">
        <w:rPr>
          <w:rStyle w:val="CharBoldItalic"/>
        </w:rPr>
        <w:t>transfer pricing benefit</w:t>
      </w:r>
    </w:p>
    <w:p w:rsidR="00233E32" w:rsidRPr="003509A5" w:rsidRDefault="00233E32" w:rsidP="00233E32">
      <w:pPr>
        <w:pStyle w:val="TofSectsSection"/>
      </w:pPr>
      <w:r w:rsidRPr="003509A5">
        <w:t>815</w:t>
      </w:r>
      <w:r w:rsidRPr="003509A5">
        <w:noBreakHyphen/>
        <w:t>20</w:t>
      </w:r>
      <w:r w:rsidRPr="003509A5">
        <w:tab/>
        <w:t>Cross</w:t>
      </w:r>
      <w:r w:rsidRPr="003509A5">
        <w:noBreakHyphen/>
        <w:t>border transfer pricing guidance</w:t>
      </w:r>
    </w:p>
    <w:p w:rsidR="00233E32" w:rsidRPr="003509A5" w:rsidRDefault="00233E32" w:rsidP="00233E32">
      <w:pPr>
        <w:pStyle w:val="TofSectsSection"/>
      </w:pPr>
      <w:r w:rsidRPr="003509A5">
        <w:t>815</w:t>
      </w:r>
      <w:r w:rsidRPr="003509A5">
        <w:noBreakHyphen/>
        <w:t>25</w:t>
      </w:r>
      <w:r w:rsidRPr="003509A5">
        <w:tab/>
        <w:t>Modified transfer pricing benefit for thin capitalisation</w:t>
      </w:r>
    </w:p>
    <w:p w:rsidR="00233E32" w:rsidRPr="003509A5" w:rsidRDefault="00233E32" w:rsidP="00233E32">
      <w:pPr>
        <w:pStyle w:val="TofSectsSection"/>
      </w:pPr>
      <w:r w:rsidRPr="003509A5">
        <w:t>815</w:t>
      </w:r>
      <w:r w:rsidRPr="003509A5">
        <w:noBreakHyphen/>
        <w:t>30</w:t>
      </w:r>
      <w:r w:rsidRPr="003509A5">
        <w:tab/>
        <w:t>Determinations negating transfer pricing benefit</w:t>
      </w:r>
    </w:p>
    <w:p w:rsidR="00233E32" w:rsidRPr="003509A5" w:rsidRDefault="00233E32" w:rsidP="00233E32">
      <w:pPr>
        <w:pStyle w:val="TofSectsSection"/>
      </w:pPr>
      <w:r w:rsidRPr="003509A5">
        <w:t>815</w:t>
      </w:r>
      <w:r w:rsidRPr="003509A5">
        <w:noBreakHyphen/>
        <w:t>35</w:t>
      </w:r>
      <w:r w:rsidRPr="003509A5">
        <w:tab/>
        <w:t>Consequential adjustments</w:t>
      </w:r>
    </w:p>
    <w:p w:rsidR="00233E32" w:rsidRPr="003509A5" w:rsidRDefault="00233E32" w:rsidP="00233E32">
      <w:pPr>
        <w:pStyle w:val="TofSectsSection"/>
      </w:pPr>
      <w:r w:rsidRPr="003509A5">
        <w:t>815</w:t>
      </w:r>
      <w:r w:rsidRPr="003509A5">
        <w:noBreakHyphen/>
        <w:t>40</w:t>
      </w:r>
      <w:r w:rsidRPr="003509A5">
        <w:tab/>
        <w:t>No double taxation</w:t>
      </w:r>
    </w:p>
    <w:p w:rsidR="00233E32" w:rsidRPr="003509A5" w:rsidRDefault="00233E32" w:rsidP="00233E32">
      <w:pPr>
        <w:pStyle w:val="ActHead4"/>
      </w:pPr>
      <w:bookmarkStart w:id="161" w:name="_Toc338939235"/>
      <w:r w:rsidRPr="003509A5">
        <w:t>Operative provisions</w:t>
      </w:r>
      <w:bookmarkEnd w:id="161"/>
    </w:p>
    <w:p w:rsidR="00233E32" w:rsidRPr="003509A5" w:rsidRDefault="00233E32" w:rsidP="00233E32">
      <w:pPr>
        <w:pStyle w:val="ActHead5"/>
      </w:pPr>
      <w:bookmarkStart w:id="162" w:name="_Toc338939236"/>
      <w:r w:rsidRPr="003509A5">
        <w:rPr>
          <w:rStyle w:val="CharSectno"/>
        </w:rPr>
        <w:t>815</w:t>
      </w:r>
      <w:r w:rsidRPr="003509A5">
        <w:rPr>
          <w:rStyle w:val="CharSectno"/>
        </w:rPr>
        <w:noBreakHyphen/>
        <w:t>5</w:t>
      </w:r>
      <w:r w:rsidRPr="003509A5">
        <w:t xml:space="preserve">  Object</w:t>
      </w:r>
      <w:bookmarkEnd w:id="162"/>
    </w:p>
    <w:p w:rsidR="00233E32" w:rsidRPr="003509A5" w:rsidRDefault="00233E32" w:rsidP="00233E32">
      <w:pPr>
        <w:pStyle w:val="subsection"/>
      </w:pPr>
      <w:r w:rsidRPr="003509A5">
        <w:tab/>
      </w:r>
      <w:r w:rsidRPr="003509A5">
        <w:tab/>
        <w:t>The object of this Subdivision is to ensure the following amounts are appropriately brought to tax in Australia, consistent with the arm’s length principle:</w:t>
      </w:r>
    </w:p>
    <w:p w:rsidR="00233E32" w:rsidRPr="003509A5" w:rsidRDefault="00233E32" w:rsidP="00233E32">
      <w:pPr>
        <w:pStyle w:val="paragraph"/>
      </w:pPr>
      <w:r w:rsidRPr="003509A5">
        <w:tab/>
        <w:t>(a)</w:t>
      </w:r>
      <w:r w:rsidRPr="003509A5">
        <w:tab/>
        <w:t xml:space="preserve">profits which would have accrued to an Australian entity if it had been dealing at </w:t>
      </w:r>
      <w:r w:rsidRPr="003509A5">
        <w:rPr>
          <w:position w:val="6"/>
          <w:sz w:val="16"/>
        </w:rPr>
        <w:t>*</w:t>
      </w:r>
      <w:r w:rsidRPr="003509A5">
        <w:t xml:space="preserve">arm’s length, but, by reason of </w:t>
      </w:r>
      <w:r w:rsidRPr="003509A5">
        <w:lastRenderedPageBreak/>
        <w:t>non</w:t>
      </w:r>
      <w:r w:rsidRPr="003509A5">
        <w:noBreakHyphen/>
        <w:t>arm’s length conditions operating between the entity and its foreign associated entities, have not so accrued;</w:t>
      </w:r>
    </w:p>
    <w:p w:rsidR="00233E32" w:rsidRPr="003509A5" w:rsidRDefault="00233E32" w:rsidP="00233E32">
      <w:pPr>
        <w:pStyle w:val="paragraph"/>
      </w:pPr>
      <w:r w:rsidRPr="003509A5">
        <w:tab/>
        <w:t>(b)</w:t>
      </w:r>
      <w:r w:rsidRPr="003509A5">
        <w:tab/>
        <w:t xml:space="preserve">profits which an Australian permanent establishment (within the meaning of the relevant </w:t>
      </w:r>
      <w:r w:rsidRPr="003509A5">
        <w:rPr>
          <w:position w:val="6"/>
          <w:sz w:val="16"/>
        </w:rPr>
        <w:t>*</w:t>
      </w:r>
      <w:r w:rsidRPr="003509A5">
        <w:t>international tax agreement) of a foreign entity might have been expected to make if it were a distinct and separate entity engaged in the same or similar activities under the same or similar conditions, but dealing wholly independently.</w:t>
      </w:r>
    </w:p>
    <w:p w:rsidR="00233E32" w:rsidRPr="003509A5" w:rsidRDefault="00233E32" w:rsidP="00233E32">
      <w:pPr>
        <w:pStyle w:val="ActHead5"/>
      </w:pPr>
      <w:bookmarkStart w:id="163" w:name="_Toc338939237"/>
      <w:r w:rsidRPr="003509A5">
        <w:rPr>
          <w:rStyle w:val="CharSectno"/>
        </w:rPr>
        <w:t>815</w:t>
      </w:r>
      <w:r w:rsidRPr="003509A5">
        <w:rPr>
          <w:rStyle w:val="CharSectno"/>
        </w:rPr>
        <w:noBreakHyphen/>
        <w:t>10</w:t>
      </w:r>
      <w:r w:rsidRPr="003509A5">
        <w:t xml:space="preserve">  Transfer pricing benefit may be negated</w:t>
      </w:r>
      <w:bookmarkEnd w:id="163"/>
    </w:p>
    <w:p w:rsidR="00233E32" w:rsidRPr="003509A5" w:rsidRDefault="00233E32" w:rsidP="00233E32">
      <w:pPr>
        <w:pStyle w:val="subsection"/>
      </w:pPr>
      <w:r w:rsidRPr="003509A5">
        <w:tab/>
        <w:t>(1)</w:t>
      </w:r>
      <w:r w:rsidRPr="003509A5">
        <w:tab/>
        <w:t>The Commissioner may make a determination mentioned in subsection 815</w:t>
      </w:r>
      <w:r w:rsidRPr="003509A5">
        <w:noBreakHyphen/>
        <w:t xml:space="preserve">30(1), in writing, for the purpose of negating a </w:t>
      </w:r>
      <w:r w:rsidRPr="003509A5">
        <w:rPr>
          <w:position w:val="6"/>
          <w:sz w:val="16"/>
        </w:rPr>
        <w:t>*</w:t>
      </w:r>
      <w:r w:rsidRPr="003509A5">
        <w:t>transfer pricing benefit an entity gets.</w:t>
      </w:r>
    </w:p>
    <w:p w:rsidR="00233E32" w:rsidRPr="003509A5" w:rsidRDefault="00233E32" w:rsidP="00233E32">
      <w:pPr>
        <w:pStyle w:val="SubsectionHead"/>
      </w:pPr>
      <w:r w:rsidRPr="003509A5">
        <w:t>Treaty requirement</w:t>
      </w:r>
    </w:p>
    <w:p w:rsidR="00233E32" w:rsidRPr="003509A5" w:rsidRDefault="00233E32" w:rsidP="00233E32">
      <w:pPr>
        <w:pStyle w:val="subsection"/>
      </w:pPr>
      <w:r w:rsidRPr="003509A5">
        <w:tab/>
        <w:t>(2)</w:t>
      </w:r>
      <w:r w:rsidRPr="003509A5">
        <w:tab/>
        <w:t>However, this section only applies to an entity if:</w:t>
      </w:r>
    </w:p>
    <w:p w:rsidR="00233E32" w:rsidRPr="003509A5" w:rsidRDefault="00233E32" w:rsidP="00233E32">
      <w:pPr>
        <w:pStyle w:val="paragraph"/>
      </w:pPr>
      <w:r w:rsidRPr="003509A5">
        <w:tab/>
        <w:t>(a)</w:t>
      </w:r>
      <w:r w:rsidRPr="003509A5">
        <w:tab/>
        <w:t xml:space="preserve">the entity gets the </w:t>
      </w:r>
      <w:r w:rsidRPr="003509A5">
        <w:rPr>
          <w:position w:val="6"/>
          <w:sz w:val="16"/>
        </w:rPr>
        <w:t>*</w:t>
      </w:r>
      <w:r w:rsidRPr="003509A5">
        <w:t>transfer pricing benefit under subsection 815</w:t>
      </w:r>
      <w:r w:rsidRPr="003509A5">
        <w:noBreakHyphen/>
        <w:t xml:space="preserve">15(1) at a time when an </w:t>
      </w:r>
      <w:r w:rsidRPr="003509A5">
        <w:rPr>
          <w:position w:val="6"/>
          <w:sz w:val="16"/>
        </w:rPr>
        <w:t>*</w:t>
      </w:r>
      <w:r w:rsidRPr="003509A5">
        <w:t xml:space="preserve">international tax agreement containing an </w:t>
      </w:r>
      <w:r w:rsidRPr="003509A5">
        <w:rPr>
          <w:position w:val="6"/>
          <w:sz w:val="16"/>
        </w:rPr>
        <w:t>*</w:t>
      </w:r>
      <w:r w:rsidRPr="003509A5">
        <w:t>associated enterprises article applies to the entity; or</w:t>
      </w:r>
    </w:p>
    <w:p w:rsidR="00233E32" w:rsidRPr="003509A5" w:rsidRDefault="00233E32" w:rsidP="00233E32">
      <w:pPr>
        <w:pStyle w:val="paragraph"/>
      </w:pPr>
      <w:r w:rsidRPr="003509A5">
        <w:tab/>
        <w:t>(b)</w:t>
      </w:r>
      <w:r w:rsidRPr="003509A5">
        <w:tab/>
        <w:t>the entity gets the transfer pricing benefit under subsection 815</w:t>
      </w:r>
      <w:r w:rsidRPr="003509A5">
        <w:noBreakHyphen/>
        <w:t xml:space="preserve">15(2) at a time when an international tax agreement containing a </w:t>
      </w:r>
      <w:r w:rsidRPr="003509A5">
        <w:rPr>
          <w:position w:val="6"/>
          <w:sz w:val="16"/>
        </w:rPr>
        <w:t>*</w:t>
      </w:r>
      <w:r w:rsidRPr="003509A5">
        <w:t>business profits article applies to the entity.</w:t>
      </w:r>
    </w:p>
    <w:p w:rsidR="00233E32" w:rsidRPr="003509A5" w:rsidRDefault="00233E32" w:rsidP="00233E32">
      <w:pPr>
        <w:pStyle w:val="ActHead5"/>
        <w:rPr>
          <w:i/>
        </w:rPr>
      </w:pPr>
      <w:bookmarkStart w:id="164" w:name="_Toc338939238"/>
      <w:r w:rsidRPr="003509A5">
        <w:rPr>
          <w:rStyle w:val="CharSectno"/>
        </w:rPr>
        <w:t>815</w:t>
      </w:r>
      <w:r w:rsidRPr="003509A5">
        <w:rPr>
          <w:rStyle w:val="CharSectno"/>
        </w:rPr>
        <w:noBreakHyphen/>
        <w:t>15</w:t>
      </w:r>
      <w:r w:rsidRPr="003509A5">
        <w:t xml:space="preserve">  When an entity gets a </w:t>
      </w:r>
      <w:r w:rsidRPr="003509A5">
        <w:rPr>
          <w:i/>
        </w:rPr>
        <w:t>transfer pricing benefit</w:t>
      </w:r>
      <w:bookmarkEnd w:id="164"/>
    </w:p>
    <w:p w:rsidR="00233E32" w:rsidRPr="003509A5" w:rsidRDefault="00233E32" w:rsidP="00233E32">
      <w:pPr>
        <w:pStyle w:val="SubsectionHead"/>
      </w:pPr>
      <w:r w:rsidRPr="003509A5">
        <w:t>Transfer pricing benefit—associated enterprises</w:t>
      </w:r>
    </w:p>
    <w:p w:rsidR="00233E32" w:rsidRPr="003509A5" w:rsidRDefault="00233E32" w:rsidP="00233E32">
      <w:pPr>
        <w:pStyle w:val="subsection"/>
      </w:pPr>
      <w:r w:rsidRPr="003509A5">
        <w:tab/>
        <w:t>(1)</w:t>
      </w:r>
      <w:r w:rsidRPr="003509A5">
        <w:tab/>
        <w:t xml:space="preserve">An entity gets a </w:t>
      </w:r>
      <w:r w:rsidRPr="003509A5">
        <w:rPr>
          <w:b/>
          <w:i/>
        </w:rPr>
        <w:t>transfer pricing benefit</w:t>
      </w:r>
      <w:r w:rsidRPr="003509A5">
        <w:t xml:space="preserve"> if:</w:t>
      </w:r>
    </w:p>
    <w:p w:rsidR="00233E32" w:rsidRPr="003509A5" w:rsidRDefault="00233E32" w:rsidP="00233E32">
      <w:pPr>
        <w:pStyle w:val="paragraph"/>
      </w:pPr>
      <w:r w:rsidRPr="003509A5">
        <w:tab/>
        <w:t>(a)</w:t>
      </w:r>
      <w:r w:rsidRPr="003509A5">
        <w:tab/>
        <w:t>the entity is an Australian resident; and</w:t>
      </w:r>
    </w:p>
    <w:p w:rsidR="00233E32" w:rsidRPr="003509A5" w:rsidRDefault="00233E32" w:rsidP="00233E32">
      <w:pPr>
        <w:pStyle w:val="paragraph"/>
      </w:pPr>
      <w:r w:rsidRPr="003509A5">
        <w:tab/>
        <w:t>(b)</w:t>
      </w:r>
      <w:r w:rsidRPr="003509A5">
        <w:tab/>
        <w:t xml:space="preserve">the requirements in the </w:t>
      </w:r>
      <w:r w:rsidRPr="003509A5">
        <w:rPr>
          <w:position w:val="6"/>
          <w:sz w:val="16"/>
        </w:rPr>
        <w:t>*</w:t>
      </w:r>
      <w:r w:rsidRPr="003509A5">
        <w:t>associated enterprises article for the application of that article to the entity are met; and</w:t>
      </w:r>
    </w:p>
    <w:p w:rsidR="00233E32" w:rsidRPr="003509A5" w:rsidRDefault="00233E32" w:rsidP="00233E32">
      <w:pPr>
        <w:pStyle w:val="paragraph"/>
        <w:rPr>
          <w:i/>
        </w:rPr>
      </w:pPr>
      <w:r w:rsidRPr="003509A5">
        <w:tab/>
        <w:t>(c)</w:t>
      </w:r>
      <w:r w:rsidRPr="003509A5">
        <w:tab/>
        <w:t>an amount of profits which, but for the conditions mentioned in the article, might have been expected to accrue to the entity, has, by reason of those conditions, not so accrued; and</w:t>
      </w:r>
    </w:p>
    <w:p w:rsidR="00233E32" w:rsidRPr="003509A5" w:rsidRDefault="00233E32" w:rsidP="00233E32">
      <w:pPr>
        <w:pStyle w:val="paragraph"/>
      </w:pPr>
      <w:r w:rsidRPr="003509A5">
        <w:tab/>
        <w:t>(d)</w:t>
      </w:r>
      <w:r w:rsidRPr="003509A5">
        <w:tab/>
        <w:t>had that amount of profits so accrued to the entity:</w:t>
      </w:r>
    </w:p>
    <w:p w:rsidR="00233E32" w:rsidRPr="003509A5" w:rsidRDefault="00233E32" w:rsidP="00233E32">
      <w:pPr>
        <w:pStyle w:val="paragraphsub"/>
      </w:pPr>
      <w:r w:rsidRPr="003509A5">
        <w:lastRenderedPageBreak/>
        <w:tab/>
        <w:t>(i)</w:t>
      </w:r>
      <w:r w:rsidRPr="003509A5">
        <w:tab/>
        <w:t xml:space="preserve">the amount of the taxable income of the entity for an income year would be </w:t>
      </w:r>
      <w:r w:rsidRPr="003509A5">
        <w:rPr>
          <w:i/>
        </w:rPr>
        <w:t>greater</w:t>
      </w:r>
      <w:r w:rsidRPr="003509A5">
        <w:t xml:space="preserve"> than its actual amount; or</w:t>
      </w:r>
    </w:p>
    <w:p w:rsidR="00233E32" w:rsidRPr="003509A5" w:rsidRDefault="00233E32" w:rsidP="00233E32">
      <w:pPr>
        <w:pStyle w:val="paragraphsub"/>
      </w:pPr>
      <w:r w:rsidRPr="003509A5">
        <w:tab/>
        <w:t>(ii)</w:t>
      </w:r>
      <w:r w:rsidRPr="003509A5">
        <w:tab/>
        <w:t xml:space="preserve">the amount of a tax loss of the entity for an income year would be </w:t>
      </w:r>
      <w:r w:rsidRPr="003509A5">
        <w:rPr>
          <w:i/>
        </w:rPr>
        <w:t>less</w:t>
      </w:r>
      <w:r w:rsidRPr="003509A5">
        <w:t xml:space="preserve"> than its actual amount; or</w:t>
      </w:r>
    </w:p>
    <w:p w:rsidR="00233E32" w:rsidRPr="003509A5" w:rsidRDefault="00233E32" w:rsidP="00233E32">
      <w:pPr>
        <w:pStyle w:val="paragraphsub"/>
      </w:pPr>
      <w:r w:rsidRPr="003509A5">
        <w:tab/>
        <w:t>(iii)</w:t>
      </w:r>
      <w:r w:rsidRPr="003509A5">
        <w:tab/>
        <w:t xml:space="preserve">the amount of a </w:t>
      </w:r>
      <w:r w:rsidRPr="003509A5">
        <w:rPr>
          <w:position w:val="6"/>
          <w:sz w:val="16"/>
        </w:rPr>
        <w:t>*</w:t>
      </w:r>
      <w:r w:rsidRPr="003509A5">
        <w:t xml:space="preserve">net capital loss of the entity for an income year would be </w:t>
      </w:r>
      <w:r w:rsidRPr="003509A5">
        <w:rPr>
          <w:i/>
        </w:rPr>
        <w:t>less</w:t>
      </w:r>
      <w:r w:rsidRPr="003509A5">
        <w:t xml:space="preserve"> than its actual amount.</w:t>
      </w:r>
    </w:p>
    <w:p w:rsidR="00233E32" w:rsidRPr="003509A5" w:rsidRDefault="00233E32" w:rsidP="00233E32">
      <w:pPr>
        <w:pStyle w:val="subsection2"/>
      </w:pPr>
      <w:r w:rsidRPr="003509A5">
        <w:t xml:space="preserve">The amount of the </w:t>
      </w:r>
      <w:r w:rsidRPr="003509A5">
        <w:rPr>
          <w:b/>
          <w:i/>
        </w:rPr>
        <w:t>transfer pricing benefit</w:t>
      </w:r>
      <w:r w:rsidRPr="003509A5">
        <w:t xml:space="preserve"> is the difference between the amounts mentioned in subparagraph (d)(i), (ii) or (iii) (as the case requires).</w:t>
      </w:r>
    </w:p>
    <w:p w:rsidR="00233E32" w:rsidRPr="003509A5" w:rsidRDefault="00233E32" w:rsidP="00233E32">
      <w:pPr>
        <w:pStyle w:val="SubsectionHead"/>
      </w:pPr>
      <w:r w:rsidRPr="003509A5">
        <w:t>Transfer pricing benefit—business profits</w:t>
      </w:r>
    </w:p>
    <w:p w:rsidR="00233E32" w:rsidRPr="003509A5" w:rsidRDefault="00233E32" w:rsidP="00233E32">
      <w:pPr>
        <w:pStyle w:val="subsection"/>
      </w:pPr>
      <w:r w:rsidRPr="003509A5">
        <w:tab/>
        <w:t>(2)</w:t>
      </w:r>
      <w:r w:rsidRPr="003509A5">
        <w:tab/>
        <w:t xml:space="preserve">A foreign resident entity gets a </w:t>
      </w:r>
      <w:r w:rsidRPr="003509A5">
        <w:rPr>
          <w:b/>
          <w:i/>
        </w:rPr>
        <w:t>transfer pricing benefit</w:t>
      </w:r>
      <w:r w:rsidRPr="003509A5">
        <w:t xml:space="preserve"> if:</w:t>
      </w:r>
    </w:p>
    <w:p w:rsidR="00233E32" w:rsidRPr="003509A5" w:rsidRDefault="00233E32" w:rsidP="00233E32">
      <w:pPr>
        <w:pStyle w:val="paragraph"/>
      </w:pPr>
      <w:r w:rsidRPr="003509A5">
        <w:tab/>
        <w:t>(a)</w:t>
      </w:r>
      <w:r w:rsidRPr="003509A5">
        <w:tab/>
        <w:t xml:space="preserve">the entity has a permanent establishment (within the meaning of the </w:t>
      </w:r>
      <w:r w:rsidRPr="003509A5">
        <w:rPr>
          <w:position w:val="6"/>
          <w:sz w:val="16"/>
        </w:rPr>
        <w:t>*</w:t>
      </w:r>
      <w:r w:rsidRPr="003509A5">
        <w:t>international tax agreement) in Australia; and</w:t>
      </w:r>
    </w:p>
    <w:p w:rsidR="00233E32" w:rsidRPr="003509A5" w:rsidRDefault="00233E32" w:rsidP="00233E32">
      <w:pPr>
        <w:pStyle w:val="paragraph"/>
        <w:rPr>
          <w:i/>
        </w:rPr>
      </w:pPr>
      <w:r w:rsidRPr="003509A5">
        <w:tab/>
        <w:t>(b)</w:t>
      </w:r>
      <w:r w:rsidRPr="003509A5">
        <w:tab/>
        <w:t xml:space="preserve">the amount of profits attributed to the permanent establishment falls short of the amount of profits the permanent establishment might be expected to make if it were a distinct and separate entity engaged, and dealing, in the manner mentioned in the </w:t>
      </w:r>
      <w:r w:rsidRPr="003509A5">
        <w:rPr>
          <w:position w:val="6"/>
          <w:sz w:val="16"/>
        </w:rPr>
        <w:t>*</w:t>
      </w:r>
      <w:r w:rsidRPr="003509A5">
        <w:t>business profits article; and</w:t>
      </w:r>
    </w:p>
    <w:p w:rsidR="00233E32" w:rsidRPr="003509A5" w:rsidRDefault="00233E32" w:rsidP="00233E32">
      <w:pPr>
        <w:pStyle w:val="paragraph"/>
      </w:pPr>
      <w:r w:rsidRPr="003509A5">
        <w:tab/>
        <w:t>(c)</w:t>
      </w:r>
      <w:r w:rsidRPr="003509A5">
        <w:tab/>
        <w:t>had the profits attributed to the permanent establishment included that shortfall:</w:t>
      </w:r>
    </w:p>
    <w:p w:rsidR="00233E32" w:rsidRPr="003509A5" w:rsidRDefault="00233E32" w:rsidP="00233E32">
      <w:pPr>
        <w:pStyle w:val="paragraphsub"/>
      </w:pPr>
      <w:r w:rsidRPr="003509A5">
        <w:tab/>
        <w:t>(i)</w:t>
      </w:r>
      <w:r w:rsidRPr="003509A5">
        <w:tab/>
        <w:t xml:space="preserve">the amount of the taxable income of the entity for an income year would be </w:t>
      </w:r>
      <w:r w:rsidRPr="003509A5">
        <w:rPr>
          <w:i/>
        </w:rPr>
        <w:t>greater</w:t>
      </w:r>
      <w:r w:rsidRPr="003509A5">
        <w:t xml:space="preserve"> than its actual amount; or</w:t>
      </w:r>
    </w:p>
    <w:p w:rsidR="00233E32" w:rsidRPr="003509A5" w:rsidRDefault="00233E32" w:rsidP="00233E32">
      <w:pPr>
        <w:pStyle w:val="paragraphsub"/>
      </w:pPr>
      <w:r w:rsidRPr="003509A5">
        <w:tab/>
        <w:t>(ii)</w:t>
      </w:r>
      <w:r w:rsidRPr="003509A5">
        <w:tab/>
        <w:t xml:space="preserve">the amount of a tax loss of the entity for an income year would be </w:t>
      </w:r>
      <w:r w:rsidRPr="003509A5">
        <w:rPr>
          <w:i/>
        </w:rPr>
        <w:t>less</w:t>
      </w:r>
      <w:r w:rsidRPr="003509A5">
        <w:t xml:space="preserve"> than its actual amount; or</w:t>
      </w:r>
    </w:p>
    <w:p w:rsidR="00233E32" w:rsidRPr="003509A5" w:rsidRDefault="00233E32" w:rsidP="00233E32">
      <w:pPr>
        <w:pStyle w:val="paragraphsub"/>
      </w:pPr>
      <w:r w:rsidRPr="003509A5">
        <w:tab/>
        <w:t>(iii)</w:t>
      </w:r>
      <w:r w:rsidRPr="003509A5">
        <w:tab/>
        <w:t xml:space="preserve">the amount of a </w:t>
      </w:r>
      <w:r w:rsidRPr="003509A5">
        <w:rPr>
          <w:position w:val="6"/>
          <w:sz w:val="16"/>
        </w:rPr>
        <w:t>*</w:t>
      </w:r>
      <w:r w:rsidRPr="003509A5">
        <w:t xml:space="preserve">net capital loss of the entity for an income year would be </w:t>
      </w:r>
      <w:r w:rsidRPr="003509A5">
        <w:rPr>
          <w:i/>
        </w:rPr>
        <w:t>less</w:t>
      </w:r>
      <w:r w:rsidRPr="003509A5">
        <w:t xml:space="preserve"> than its actual amount.</w:t>
      </w:r>
    </w:p>
    <w:p w:rsidR="00233E32" w:rsidRPr="003509A5" w:rsidRDefault="00233E32" w:rsidP="00233E32">
      <w:pPr>
        <w:pStyle w:val="subsection2"/>
      </w:pPr>
      <w:r w:rsidRPr="003509A5">
        <w:t xml:space="preserve">The amount of the </w:t>
      </w:r>
      <w:r w:rsidRPr="003509A5">
        <w:rPr>
          <w:b/>
          <w:i/>
        </w:rPr>
        <w:t>transfer pricing benefit</w:t>
      </w:r>
      <w:r w:rsidRPr="003509A5">
        <w:t xml:space="preserve"> is the difference between the amounts mentioned in subparagraph (c)(i), (ii) or (iii) (as the case requires).</w:t>
      </w:r>
    </w:p>
    <w:p w:rsidR="00233E32" w:rsidRPr="003509A5" w:rsidRDefault="00233E32" w:rsidP="00233E32">
      <w:pPr>
        <w:pStyle w:val="SubsectionHead"/>
      </w:pPr>
      <w:r w:rsidRPr="003509A5">
        <w:t>Nil amounts</w:t>
      </w:r>
    </w:p>
    <w:p w:rsidR="00233E32" w:rsidRPr="003509A5" w:rsidRDefault="00233E32" w:rsidP="00233E32">
      <w:pPr>
        <w:pStyle w:val="subsection"/>
      </w:pPr>
      <w:r w:rsidRPr="003509A5">
        <w:tab/>
        <w:t>(3)</w:t>
      </w:r>
      <w:r w:rsidRPr="003509A5">
        <w:tab/>
        <w:t xml:space="preserve">For the purposes of working out whether an entity gets a </w:t>
      </w:r>
      <w:r w:rsidRPr="003509A5">
        <w:rPr>
          <w:position w:val="6"/>
          <w:sz w:val="16"/>
        </w:rPr>
        <w:t>*</w:t>
      </w:r>
      <w:r w:rsidRPr="003509A5">
        <w:t>transfer pricing benefit, and of negating that benefit under subsection 815</w:t>
      </w:r>
      <w:r w:rsidRPr="003509A5">
        <w:noBreakHyphen/>
        <w:t>30(1):</w:t>
      </w:r>
    </w:p>
    <w:p w:rsidR="00233E32" w:rsidRPr="003509A5" w:rsidRDefault="00233E32" w:rsidP="00233E32">
      <w:pPr>
        <w:pStyle w:val="paragraph"/>
      </w:pPr>
      <w:r w:rsidRPr="003509A5">
        <w:tab/>
        <w:t>(a)</w:t>
      </w:r>
      <w:r w:rsidRPr="003509A5">
        <w:tab/>
        <w:t>treat an entity that has no taxable income for an income year as having a taxable income for the year of a nil amount; and</w:t>
      </w:r>
    </w:p>
    <w:p w:rsidR="00233E32" w:rsidRPr="003509A5" w:rsidRDefault="00233E32" w:rsidP="00233E32">
      <w:pPr>
        <w:pStyle w:val="paragraph"/>
      </w:pPr>
      <w:r w:rsidRPr="003509A5">
        <w:lastRenderedPageBreak/>
        <w:tab/>
        <w:t>(b)</w:t>
      </w:r>
      <w:r w:rsidRPr="003509A5">
        <w:tab/>
        <w:t>treat an entity that has no tax loss for an income year as having a tax loss for the year of a nil amount; and</w:t>
      </w:r>
    </w:p>
    <w:p w:rsidR="00233E32" w:rsidRPr="003509A5" w:rsidRDefault="00233E32" w:rsidP="00233E32">
      <w:pPr>
        <w:pStyle w:val="paragraph"/>
      </w:pPr>
      <w:r w:rsidRPr="003509A5">
        <w:tab/>
        <w:t>(c)</w:t>
      </w:r>
      <w:r w:rsidRPr="003509A5">
        <w:tab/>
        <w:t xml:space="preserve">treat an entity that has no </w:t>
      </w:r>
      <w:r w:rsidRPr="003509A5">
        <w:rPr>
          <w:position w:val="6"/>
          <w:sz w:val="16"/>
        </w:rPr>
        <w:t>*</w:t>
      </w:r>
      <w:r w:rsidRPr="003509A5">
        <w:t>net capital loss for an income year as having a net capital loss for the year of a nil amount.</w:t>
      </w:r>
    </w:p>
    <w:p w:rsidR="00233E32" w:rsidRPr="003509A5" w:rsidRDefault="00233E32" w:rsidP="00233E32">
      <w:pPr>
        <w:pStyle w:val="SubsectionHead"/>
      </w:pPr>
      <w:r w:rsidRPr="003509A5">
        <w:t>Multiple transfer pricing benefits</w:t>
      </w:r>
    </w:p>
    <w:p w:rsidR="00233E32" w:rsidRPr="003509A5" w:rsidRDefault="00233E32" w:rsidP="00233E32">
      <w:pPr>
        <w:pStyle w:val="subsection"/>
      </w:pPr>
      <w:r w:rsidRPr="003509A5">
        <w:tab/>
        <w:t>(4)</w:t>
      </w:r>
      <w:r w:rsidRPr="003509A5">
        <w:tab/>
        <w:t xml:space="preserve">To avoid doubt, an entity may get 2 or more </w:t>
      </w:r>
      <w:r w:rsidRPr="003509A5">
        <w:rPr>
          <w:position w:val="6"/>
          <w:sz w:val="16"/>
        </w:rPr>
        <w:t>*</w:t>
      </w:r>
      <w:r w:rsidRPr="003509A5">
        <w:t>transfer pricing benefits, in one or more income years, in relation to one amount of profits, or one shortfall of profits.</w:t>
      </w:r>
    </w:p>
    <w:p w:rsidR="00233E32" w:rsidRPr="003509A5" w:rsidRDefault="00233E32" w:rsidP="00233E32">
      <w:pPr>
        <w:pStyle w:val="SubsectionHead"/>
      </w:pPr>
      <w:r w:rsidRPr="003509A5">
        <w:t xml:space="preserve">Meaning of </w:t>
      </w:r>
      <w:r w:rsidRPr="003509A5">
        <w:rPr>
          <w:b/>
        </w:rPr>
        <w:t>associated enterprises article</w:t>
      </w:r>
    </w:p>
    <w:p w:rsidR="00233E32" w:rsidRPr="003509A5" w:rsidRDefault="00233E32" w:rsidP="00233E32">
      <w:pPr>
        <w:pStyle w:val="subsection"/>
      </w:pPr>
      <w:r w:rsidRPr="003509A5">
        <w:tab/>
        <w:t>(5)</w:t>
      </w:r>
      <w:r w:rsidRPr="003509A5">
        <w:tab/>
        <w:t xml:space="preserve">An </w:t>
      </w:r>
      <w:r w:rsidRPr="003509A5">
        <w:rPr>
          <w:b/>
          <w:i/>
        </w:rPr>
        <w:t>associated enterprises article</w:t>
      </w:r>
      <w:r w:rsidRPr="003509A5">
        <w:t xml:space="preserve"> is:</w:t>
      </w:r>
    </w:p>
    <w:p w:rsidR="00233E32" w:rsidRPr="003509A5" w:rsidRDefault="00233E32" w:rsidP="00233E32">
      <w:pPr>
        <w:pStyle w:val="paragraph"/>
      </w:pPr>
      <w:r w:rsidRPr="003509A5">
        <w:tab/>
        <w:t>(a)</w:t>
      </w:r>
      <w:r w:rsidRPr="003509A5">
        <w:tab/>
        <w:t xml:space="preserve">Article 9 of the United Kingdom convention (within the meaning of the </w:t>
      </w:r>
      <w:r w:rsidRPr="003509A5">
        <w:rPr>
          <w:i/>
        </w:rPr>
        <w:t>International Tax Agreements Act 1953</w:t>
      </w:r>
      <w:r w:rsidRPr="003509A5">
        <w:t>); or</w:t>
      </w:r>
    </w:p>
    <w:p w:rsidR="00233E32" w:rsidRPr="003509A5" w:rsidRDefault="00233E32" w:rsidP="00233E32">
      <w:pPr>
        <w:pStyle w:val="paragraph"/>
      </w:pPr>
      <w:r w:rsidRPr="003509A5">
        <w:tab/>
        <w:t>(b)</w:t>
      </w:r>
      <w:r w:rsidRPr="003509A5">
        <w:tab/>
        <w:t xml:space="preserve">a corresponding provision of another </w:t>
      </w:r>
      <w:r w:rsidRPr="003509A5">
        <w:rPr>
          <w:position w:val="6"/>
          <w:sz w:val="16"/>
        </w:rPr>
        <w:t>*</w:t>
      </w:r>
      <w:r w:rsidRPr="003509A5">
        <w:t>international tax agreement.</w:t>
      </w:r>
    </w:p>
    <w:p w:rsidR="00233E32" w:rsidRPr="003509A5" w:rsidRDefault="00233E32" w:rsidP="00233E32">
      <w:pPr>
        <w:pStyle w:val="SubsectionHead"/>
      </w:pPr>
      <w:r w:rsidRPr="003509A5">
        <w:t xml:space="preserve">Meaning of </w:t>
      </w:r>
      <w:r w:rsidRPr="003509A5">
        <w:rPr>
          <w:b/>
        </w:rPr>
        <w:t>business profits article</w:t>
      </w:r>
    </w:p>
    <w:p w:rsidR="00233E32" w:rsidRPr="003509A5" w:rsidRDefault="00233E32" w:rsidP="00233E32">
      <w:pPr>
        <w:pStyle w:val="subsection"/>
      </w:pPr>
      <w:r w:rsidRPr="003509A5">
        <w:tab/>
        <w:t>(6)</w:t>
      </w:r>
      <w:r w:rsidRPr="003509A5">
        <w:tab/>
        <w:t xml:space="preserve">A </w:t>
      </w:r>
      <w:r w:rsidRPr="003509A5">
        <w:rPr>
          <w:b/>
          <w:i/>
        </w:rPr>
        <w:t>business profits article</w:t>
      </w:r>
      <w:r w:rsidRPr="003509A5">
        <w:t xml:space="preserve"> is:</w:t>
      </w:r>
    </w:p>
    <w:p w:rsidR="00233E32" w:rsidRPr="003509A5" w:rsidRDefault="00233E32" w:rsidP="00233E32">
      <w:pPr>
        <w:pStyle w:val="paragraph"/>
      </w:pPr>
      <w:r w:rsidRPr="003509A5">
        <w:tab/>
        <w:t>(a)</w:t>
      </w:r>
      <w:r w:rsidRPr="003509A5">
        <w:tab/>
        <w:t xml:space="preserve">Article 7 of the United Kingdom convention (within the meaning of the </w:t>
      </w:r>
      <w:r w:rsidRPr="003509A5">
        <w:rPr>
          <w:i/>
        </w:rPr>
        <w:t>International Tax Agreements Act 1953</w:t>
      </w:r>
      <w:r w:rsidRPr="003509A5">
        <w:t>); or</w:t>
      </w:r>
    </w:p>
    <w:p w:rsidR="00233E32" w:rsidRPr="003509A5" w:rsidRDefault="00233E32" w:rsidP="00233E32">
      <w:pPr>
        <w:pStyle w:val="paragraph"/>
      </w:pPr>
      <w:r w:rsidRPr="003509A5">
        <w:tab/>
        <w:t>(b)</w:t>
      </w:r>
      <w:r w:rsidRPr="003509A5">
        <w:tab/>
        <w:t xml:space="preserve">a corresponding provision of another </w:t>
      </w:r>
      <w:r w:rsidRPr="003509A5">
        <w:rPr>
          <w:position w:val="6"/>
          <w:sz w:val="16"/>
        </w:rPr>
        <w:t>*</w:t>
      </w:r>
      <w:r w:rsidRPr="003509A5">
        <w:t>international tax agreement.</w:t>
      </w:r>
    </w:p>
    <w:p w:rsidR="00233E32" w:rsidRPr="003509A5" w:rsidRDefault="00233E32" w:rsidP="00233E32">
      <w:pPr>
        <w:pStyle w:val="ActHead5"/>
      </w:pPr>
      <w:bookmarkStart w:id="165" w:name="_Toc338939239"/>
      <w:r w:rsidRPr="003509A5">
        <w:rPr>
          <w:rStyle w:val="CharSectno"/>
        </w:rPr>
        <w:t>815</w:t>
      </w:r>
      <w:r w:rsidRPr="003509A5">
        <w:rPr>
          <w:rStyle w:val="CharSectno"/>
        </w:rPr>
        <w:noBreakHyphen/>
        <w:t>20</w:t>
      </w:r>
      <w:r w:rsidRPr="003509A5">
        <w:t xml:space="preserve">  Cross</w:t>
      </w:r>
      <w:r w:rsidRPr="003509A5">
        <w:noBreakHyphen/>
        <w:t>border transfer pricing guidance</w:t>
      </w:r>
      <w:bookmarkEnd w:id="165"/>
    </w:p>
    <w:p w:rsidR="00233E32" w:rsidRPr="003509A5" w:rsidRDefault="00233E32" w:rsidP="00233E32">
      <w:pPr>
        <w:pStyle w:val="subsection"/>
      </w:pPr>
      <w:r w:rsidRPr="003509A5">
        <w:tab/>
        <w:t>(1)</w:t>
      </w:r>
      <w:r w:rsidRPr="003509A5">
        <w:tab/>
        <w:t>For the purpose of determining the effect this Subdivision has in relation to an entity:</w:t>
      </w:r>
    </w:p>
    <w:p w:rsidR="00233E32" w:rsidRPr="003509A5" w:rsidRDefault="00233E32" w:rsidP="00233E32">
      <w:pPr>
        <w:pStyle w:val="paragraph"/>
      </w:pPr>
      <w:r w:rsidRPr="003509A5">
        <w:tab/>
        <w:t>(a)</w:t>
      </w:r>
      <w:r w:rsidRPr="003509A5">
        <w:tab/>
        <w:t xml:space="preserve">work out whether an entity gets a </w:t>
      </w:r>
      <w:r w:rsidRPr="003509A5">
        <w:rPr>
          <w:position w:val="6"/>
          <w:sz w:val="16"/>
        </w:rPr>
        <w:t>*</w:t>
      </w:r>
      <w:r w:rsidRPr="003509A5">
        <w:t>transfer pricing benefit consistently with the documents covered by this section, to the extent the documents are relevant; and</w:t>
      </w:r>
    </w:p>
    <w:p w:rsidR="00233E32" w:rsidRPr="003509A5" w:rsidRDefault="00233E32" w:rsidP="00233E32">
      <w:pPr>
        <w:pStyle w:val="paragraph"/>
      </w:pPr>
      <w:r w:rsidRPr="003509A5">
        <w:tab/>
        <w:t>(b)</w:t>
      </w:r>
      <w:r w:rsidRPr="003509A5">
        <w:tab/>
        <w:t xml:space="preserve">interpret a provision of an </w:t>
      </w:r>
      <w:r w:rsidRPr="003509A5">
        <w:rPr>
          <w:position w:val="6"/>
          <w:sz w:val="16"/>
        </w:rPr>
        <w:t>*</w:t>
      </w:r>
      <w:r w:rsidRPr="003509A5">
        <w:t>international tax agreement consistently with those documents, to the extent they are relevant.</w:t>
      </w:r>
    </w:p>
    <w:p w:rsidR="00233E32" w:rsidRPr="003509A5" w:rsidRDefault="00233E32" w:rsidP="00233E32">
      <w:pPr>
        <w:pStyle w:val="subsection"/>
      </w:pPr>
      <w:r w:rsidRPr="003509A5">
        <w:tab/>
        <w:t>(2)</w:t>
      </w:r>
      <w:r w:rsidRPr="003509A5">
        <w:tab/>
        <w:t>The documents covered by this section are as follows:</w:t>
      </w:r>
    </w:p>
    <w:p w:rsidR="00233E32" w:rsidRPr="003509A5" w:rsidRDefault="00233E32" w:rsidP="00233E32">
      <w:pPr>
        <w:pStyle w:val="paragraph"/>
      </w:pPr>
      <w:r w:rsidRPr="003509A5">
        <w:lastRenderedPageBreak/>
        <w:tab/>
        <w:t>(a)</w:t>
      </w:r>
      <w:r w:rsidRPr="003509A5">
        <w:tab/>
        <w:t>the Model Tax Convention on Income and on Capital, and its Commentaries, as adopted by the Council of the Organisation for Economic Cooperation and Development and last amended on 22 July 2010;</w:t>
      </w:r>
    </w:p>
    <w:p w:rsidR="00233E32" w:rsidRPr="003509A5" w:rsidRDefault="00233E32" w:rsidP="00233E32">
      <w:pPr>
        <w:pStyle w:val="paragraph"/>
      </w:pPr>
      <w:r w:rsidRPr="003509A5">
        <w:tab/>
        <w:t>(b)</w:t>
      </w:r>
      <w:r w:rsidRPr="003509A5">
        <w:tab/>
        <w:t>the Transfer Pricing Guidelines for Multinational Enterprises and Tax Administrations, as approved by that Council and last amended on 22 July 2010;</w:t>
      </w:r>
    </w:p>
    <w:p w:rsidR="00233E32" w:rsidRPr="003509A5" w:rsidRDefault="00233E32" w:rsidP="00233E32">
      <w:pPr>
        <w:pStyle w:val="paragraph"/>
      </w:pPr>
      <w:r w:rsidRPr="003509A5">
        <w:tab/>
        <w:t>(c)</w:t>
      </w:r>
      <w:r w:rsidRPr="003509A5">
        <w:tab/>
        <w:t>a document, or part of a document, prescribed by the regulations for the purposes of this paragraph.</w:t>
      </w:r>
    </w:p>
    <w:p w:rsidR="00233E32" w:rsidRPr="003509A5" w:rsidRDefault="00233E32" w:rsidP="00233E32">
      <w:pPr>
        <w:pStyle w:val="subsection"/>
      </w:pPr>
      <w:r w:rsidRPr="003509A5">
        <w:tab/>
        <w:t>(3)</w:t>
      </w:r>
      <w:r w:rsidRPr="003509A5">
        <w:tab/>
        <w:t>However, a document, or a part of a document, mentioned in paragraph (2)(a) or (b) is not covered by this section if the regulations so prescribe.</w:t>
      </w:r>
    </w:p>
    <w:p w:rsidR="00233E32" w:rsidRPr="003509A5" w:rsidRDefault="00233E32" w:rsidP="00233E32">
      <w:pPr>
        <w:pStyle w:val="subsection"/>
      </w:pPr>
      <w:r w:rsidRPr="003509A5">
        <w:tab/>
        <w:t>(4)</w:t>
      </w:r>
      <w:r w:rsidRPr="003509A5">
        <w:tab/>
        <w:t>Regulations made for the purposes of paragraph (2)(c) or subsection (3) may prescribe different documents or parts of documents for different circumstances.</w:t>
      </w:r>
    </w:p>
    <w:p w:rsidR="00233E32" w:rsidRPr="003509A5" w:rsidRDefault="00233E32" w:rsidP="00233E32">
      <w:pPr>
        <w:pStyle w:val="ActHead5"/>
      </w:pPr>
      <w:bookmarkStart w:id="166" w:name="_Toc338939240"/>
      <w:r w:rsidRPr="003509A5">
        <w:rPr>
          <w:rStyle w:val="CharSectno"/>
        </w:rPr>
        <w:t>815</w:t>
      </w:r>
      <w:r w:rsidRPr="003509A5">
        <w:rPr>
          <w:rStyle w:val="CharSectno"/>
        </w:rPr>
        <w:noBreakHyphen/>
        <w:t>25</w:t>
      </w:r>
      <w:r w:rsidRPr="003509A5">
        <w:t xml:space="preserve">  Modified transfer pricing benefit for thin capitalisation</w:t>
      </w:r>
      <w:bookmarkEnd w:id="166"/>
    </w:p>
    <w:p w:rsidR="00233E32" w:rsidRPr="003509A5" w:rsidRDefault="00233E32" w:rsidP="00233E32">
      <w:pPr>
        <w:pStyle w:val="subsection"/>
      </w:pPr>
      <w:r w:rsidRPr="003509A5">
        <w:tab/>
        <w:t>(1)</w:t>
      </w:r>
      <w:r w:rsidRPr="003509A5">
        <w:tab/>
        <w:t xml:space="preserve">This section modifies the </w:t>
      </w:r>
      <w:r w:rsidRPr="003509A5">
        <w:rPr>
          <w:position w:val="6"/>
          <w:sz w:val="16"/>
        </w:rPr>
        <w:t>*</w:t>
      </w:r>
      <w:r w:rsidRPr="003509A5">
        <w:t>transfer pricing benefit an entity gets, or apart from this section would get, in an income year if:</w:t>
      </w:r>
    </w:p>
    <w:p w:rsidR="00233E32" w:rsidRPr="003509A5" w:rsidRDefault="00233E32" w:rsidP="00233E32">
      <w:pPr>
        <w:pStyle w:val="paragraph"/>
      </w:pPr>
      <w:r w:rsidRPr="003509A5">
        <w:tab/>
        <w:t>(a)</w:t>
      </w:r>
      <w:r w:rsidRPr="003509A5">
        <w:tab/>
        <w:t>Division 820 (about thin capitalisation) applies to the entity for the income year; and</w:t>
      </w:r>
    </w:p>
    <w:p w:rsidR="00233E32" w:rsidRPr="003509A5" w:rsidRDefault="00233E32" w:rsidP="00233E32">
      <w:pPr>
        <w:pStyle w:val="paragraph"/>
      </w:pPr>
      <w:r w:rsidRPr="003509A5">
        <w:tab/>
        <w:t>(b)</w:t>
      </w:r>
      <w:r w:rsidRPr="003509A5">
        <w:tab/>
        <w:t xml:space="preserve">the transfer pricing benefit relates to profits, or a shortfall of profits, referable to costs that are </w:t>
      </w:r>
      <w:r w:rsidRPr="003509A5">
        <w:rPr>
          <w:position w:val="6"/>
          <w:sz w:val="16"/>
        </w:rPr>
        <w:t>*</w:t>
      </w:r>
      <w:r w:rsidRPr="003509A5">
        <w:t>debt deductions of the entity for the income year.</w:t>
      </w:r>
    </w:p>
    <w:p w:rsidR="00233E32" w:rsidRPr="003509A5" w:rsidRDefault="00233E32" w:rsidP="00233E32">
      <w:pPr>
        <w:pStyle w:val="subsection"/>
      </w:pPr>
      <w:r w:rsidRPr="003509A5">
        <w:tab/>
        <w:t>(2)</w:t>
      </w:r>
      <w:r w:rsidRPr="003509A5">
        <w:tab/>
        <w:t xml:space="preserve">If working out what those costs might have been, or might be expected to be, involves applying a rate to a </w:t>
      </w:r>
      <w:r w:rsidRPr="003509A5">
        <w:rPr>
          <w:position w:val="6"/>
          <w:sz w:val="16"/>
        </w:rPr>
        <w:t>*</w:t>
      </w:r>
      <w:r w:rsidRPr="003509A5">
        <w:t>debt interest:</w:t>
      </w:r>
    </w:p>
    <w:p w:rsidR="00233E32" w:rsidRPr="003509A5" w:rsidRDefault="00233E32" w:rsidP="00233E32">
      <w:pPr>
        <w:pStyle w:val="paragraph"/>
      </w:pPr>
      <w:r w:rsidRPr="003509A5">
        <w:tab/>
        <w:t>(a)</w:t>
      </w:r>
      <w:r w:rsidRPr="003509A5">
        <w:tab/>
        <w:t>work out the rate by applying section 815</w:t>
      </w:r>
      <w:r w:rsidRPr="003509A5">
        <w:noBreakHyphen/>
        <w:t>15, having regard to section 815</w:t>
      </w:r>
      <w:r w:rsidRPr="003509A5">
        <w:noBreakHyphen/>
        <w:t>20; but</w:t>
      </w:r>
    </w:p>
    <w:p w:rsidR="00233E32" w:rsidRPr="003509A5" w:rsidRDefault="00233E32" w:rsidP="00233E32">
      <w:pPr>
        <w:pStyle w:val="paragraph"/>
      </w:pPr>
      <w:r w:rsidRPr="003509A5">
        <w:tab/>
        <w:t>(b)</w:t>
      </w:r>
      <w:r w:rsidRPr="003509A5">
        <w:tab/>
        <w:t>apply the rate to the debt interest the entity actually issued.</w:t>
      </w:r>
    </w:p>
    <w:p w:rsidR="00233E32" w:rsidRPr="003509A5" w:rsidRDefault="00233E32" w:rsidP="00233E32">
      <w:pPr>
        <w:pStyle w:val="notetext"/>
      </w:pPr>
      <w:r w:rsidRPr="003509A5">
        <w:t>Note:</w:t>
      </w:r>
      <w:r w:rsidRPr="003509A5">
        <w:tab/>
        <w:t>Division 820 may apply to further reduce debt deductions.</w:t>
      </w:r>
    </w:p>
    <w:p w:rsidR="00233E32" w:rsidRPr="003509A5" w:rsidRDefault="00233E32" w:rsidP="00233E32">
      <w:pPr>
        <w:pStyle w:val="ActHead5"/>
      </w:pPr>
      <w:bookmarkStart w:id="167" w:name="_Toc338939241"/>
      <w:r w:rsidRPr="003509A5">
        <w:rPr>
          <w:rStyle w:val="CharSectno"/>
        </w:rPr>
        <w:t>815</w:t>
      </w:r>
      <w:r w:rsidRPr="003509A5">
        <w:rPr>
          <w:rStyle w:val="CharSectno"/>
        </w:rPr>
        <w:noBreakHyphen/>
        <w:t>30</w:t>
      </w:r>
      <w:r w:rsidRPr="003509A5">
        <w:t xml:space="preserve">  Determinations negating transfer pricing benefit</w:t>
      </w:r>
      <w:bookmarkEnd w:id="167"/>
    </w:p>
    <w:p w:rsidR="00233E32" w:rsidRPr="003509A5" w:rsidRDefault="00233E32" w:rsidP="00233E32">
      <w:pPr>
        <w:pStyle w:val="subsection"/>
      </w:pPr>
      <w:r w:rsidRPr="003509A5">
        <w:tab/>
        <w:t>(1)</w:t>
      </w:r>
      <w:r w:rsidRPr="003509A5">
        <w:tab/>
        <w:t>The determinations the Commissioner may make are as follows:</w:t>
      </w:r>
    </w:p>
    <w:p w:rsidR="00233E32" w:rsidRPr="003509A5" w:rsidRDefault="00233E32" w:rsidP="00233E32">
      <w:pPr>
        <w:pStyle w:val="paragraph"/>
      </w:pPr>
      <w:r w:rsidRPr="003509A5">
        <w:tab/>
        <w:t>(a)</w:t>
      </w:r>
      <w:r w:rsidRPr="003509A5">
        <w:tab/>
        <w:t>a determination of an amount by which the taxable income of the entity for an income year is increased;</w:t>
      </w:r>
    </w:p>
    <w:p w:rsidR="00233E32" w:rsidRPr="003509A5" w:rsidRDefault="00233E32" w:rsidP="00233E32">
      <w:pPr>
        <w:pStyle w:val="paragraph"/>
      </w:pPr>
      <w:r w:rsidRPr="003509A5">
        <w:lastRenderedPageBreak/>
        <w:tab/>
        <w:t>(b)</w:t>
      </w:r>
      <w:r w:rsidRPr="003509A5">
        <w:tab/>
        <w:t>a determination of an amount by which the tax loss of the entity for an income year is decreased;</w:t>
      </w:r>
    </w:p>
    <w:p w:rsidR="00233E32" w:rsidRPr="003509A5" w:rsidRDefault="00233E32" w:rsidP="00233E32">
      <w:pPr>
        <w:pStyle w:val="paragraph"/>
      </w:pPr>
      <w:r w:rsidRPr="003509A5">
        <w:tab/>
        <w:t>(c)</w:t>
      </w:r>
      <w:r w:rsidRPr="003509A5">
        <w:tab/>
        <w:t xml:space="preserve">a determination of an amount by which the </w:t>
      </w:r>
      <w:r w:rsidRPr="003509A5">
        <w:rPr>
          <w:position w:val="6"/>
          <w:sz w:val="16"/>
        </w:rPr>
        <w:t>*</w:t>
      </w:r>
      <w:r w:rsidRPr="003509A5">
        <w:t>net capital loss of the entity for an income year is decreased.</w:t>
      </w:r>
    </w:p>
    <w:p w:rsidR="00233E32" w:rsidRPr="003509A5" w:rsidRDefault="00233E32" w:rsidP="00233E32">
      <w:pPr>
        <w:pStyle w:val="subsection"/>
      </w:pPr>
      <w:r w:rsidRPr="003509A5">
        <w:tab/>
        <w:t>(2)</w:t>
      </w:r>
      <w:r w:rsidRPr="003509A5">
        <w:tab/>
        <w:t>If the Commissioner makes a determination under subsection (1), the determination is taken to be attributable, to the relevant extent, to such of the following as the Commissioner may determine:</w:t>
      </w:r>
    </w:p>
    <w:p w:rsidR="00233E32" w:rsidRPr="003509A5" w:rsidRDefault="00233E32" w:rsidP="00233E32">
      <w:pPr>
        <w:pStyle w:val="paragraph"/>
      </w:pPr>
      <w:r w:rsidRPr="003509A5">
        <w:tab/>
        <w:t>(a)</w:t>
      </w:r>
      <w:r w:rsidRPr="003509A5">
        <w:tab/>
        <w:t>an increase of a particular amount in assessable income of the entity for an income year under a particular provision of this Act;</w:t>
      </w:r>
    </w:p>
    <w:p w:rsidR="00233E32" w:rsidRPr="003509A5" w:rsidRDefault="00233E32" w:rsidP="00233E32">
      <w:pPr>
        <w:pStyle w:val="paragraph"/>
      </w:pPr>
      <w:r w:rsidRPr="003509A5">
        <w:tab/>
        <w:t>(b)</w:t>
      </w:r>
      <w:r w:rsidRPr="003509A5">
        <w:tab/>
        <w:t>a decrease of a particular amount in particular deductions of the entity for an income year;</w:t>
      </w:r>
    </w:p>
    <w:p w:rsidR="00233E32" w:rsidRPr="003509A5" w:rsidRDefault="00233E32" w:rsidP="00233E32">
      <w:pPr>
        <w:pStyle w:val="paragraph"/>
      </w:pPr>
      <w:r w:rsidRPr="003509A5">
        <w:tab/>
        <w:t>(c)</w:t>
      </w:r>
      <w:r w:rsidRPr="003509A5">
        <w:tab/>
        <w:t>an increase of a particular amount in particular capital gains of the entity for an income year;</w:t>
      </w:r>
    </w:p>
    <w:p w:rsidR="00233E32" w:rsidRPr="003509A5" w:rsidRDefault="00233E32" w:rsidP="00233E32">
      <w:pPr>
        <w:pStyle w:val="paragraph"/>
      </w:pPr>
      <w:r w:rsidRPr="003509A5">
        <w:tab/>
        <w:t>(d)</w:t>
      </w:r>
      <w:r w:rsidRPr="003509A5">
        <w:tab/>
        <w:t>a decrease of a particular amount in particular capital losses of the entity for an income year.</w:t>
      </w:r>
    </w:p>
    <w:p w:rsidR="00233E32" w:rsidRPr="003509A5" w:rsidRDefault="00233E32" w:rsidP="00233E32">
      <w:pPr>
        <w:pStyle w:val="subsection"/>
      </w:pPr>
      <w:r w:rsidRPr="003509A5">
        <w:tab/>
        <w:t>(3)</w:t>
      </w:r>
      <w:r w:rsidRPr="003509A5">
        <w:tab/>
        <w:t>If the Commissioner makes a determination under subsection (1), the Commissioner must make a determination under subsection (2), unless it is not possible or practicable for the Commissioner to do so.</w:t>
      </w:r>
    </w:p>
    <w:p w:rsidR="00233E32" w:rsidRPr="003509A5" w:rsidRDefault="00233E32" w:rsidP="00233E32">
      <w:pPr>
        <w:pStyle w:val="notetext"/>
      </w:pPr>
      <w:r w:rsidRPr="003509A5">
        <w:t>Example:</w:t>
      </w:r>
      <w:r w:rsidRPr="003509A5">
        <w:tab/>
        <w:t>If section 815</w:t>
      </w:r>
      <w:r w:rsidRPr="003509A5">
        <w:noBreakHyphen/>
        <w:t>25 is relevant in working out the transfer pricing benefit an entity gets, this subsection requires the Commissioner to make a determination relating to the debt deductions of the entity.</w:t>
      </w:r>
    </w:p>
    <w:p w:rsidR="00233E32" w:rsidRPr="003509A5" w:rsidRDefault="00233E32" w:rsidP="00233E32">
      <w:pPr>
        <w:pStyle w:val="subsection"/>
      </w:pPr>
      <w:r w:rsidRPr="003509A5">
        <w:tab/>
        <w:t>(4)</w:t>
      </w:r>
      <w:r w:rsidRPr="003509A5">
        <w:tab/>
        <w:t>Nothing done under subsection (2) affects the validity of a determination made under subsection (1).</w:t>
      </w:r>
    </w:p>
    <w:p w:rsidR="00233E32" w:rsidRPr="003509A5" w:rsidRDefault="00233E32" w:rsidP="00233E32">
      <w:pPr>
        <w:pStyle w:val="subsection"/>
      </w:pPr>
      <w:r w:rsidRPr="003509A5">
        <w:tab/>
        <w:t>(5)</w:t>
      </w:r>
      <w:r w:rsidRPr="003509A5">
        <w:tab/>
        <w:t>The Commissioner may take such action as the Commissioner considers necessary to give effect to a determination under this section.</w:t>
      </w:r>
    </w:p>
    <w:p w:rsidR="00233E32" w:rsidRPr="003509A5" w:rsidRDefault="00233E32" w:rsidP="00233E32">
      <w:pPr>
        <w:pStyle w:val="subsection"/>
      </w:pPr>
      <w:r w:rsidRPr="003509A5">
        <w:tab/>
        <w:t>(6)</w:t>
      </w:r>
      <w:r w:rsidRPr="003509A5">
        <w:tab/>
        <w:t>The Commissioner must give a copy of a determination under this section to the entity.</w:t>
      </w:r>
    </w:p>
    <w:p w:rsidR="00233E32" w:rsidRPr="003509A5" w:rsidRDefault="00233E32" w:rsidP="00233E32">
      <w:pPr>
        <w:pStyle w:val="subsection"/>
      </w:pPr>
      <w:r w:rsidRPr="003509A5">
        <w:tab/>
        <w:t>(7)</w:t>
      </w:r>
      <w:r w:rsidRPr="003509A5">
        <w:tab/>
        <w:t>A failure to comply with subsection (6) does not affect the validity of the determination.</w:t>
      </w:r>
    </w:p>
    <w:p w:rsidR="00233E32" w:rsidRPr="003509A5" w:rsidRDefault="00233E32" w:rsidP="00233E32">
      <w:pPr>
        <w:pStyle w:val="subsection"/>
      </w:pPr>
      <w:r w:rsidRPr="003509A5">
        <w:lastRenderedPageBreak/>
        <w:tab/>
        <w:t>(8)</w:t>
      </w:r>
      <w:r w:rsidRPr="003509A5">
        <w:tab/>
        <w:t>To avoid doubt, the Commissioner may include all or any determinations under this section in relation to a particular entity, including determinations of different kinds, in the same document.</w:t>
      </w:r>
    </w:p>
    <w:p w:rsidR="00233E32" w:rsidRPr="003509A5" w:rsidRDefault="00233E32" w:rsidP="00233E32">
      <w:pPr>
        <w:pStyle w:val="ActHead5"/>
      </w:pPr>
      <w:bookmarkStart w:id="168" w:name="_Toc338939242"/>
      <w:r w:rsidRPr="003509A5">
        <w:rPr>
          <w:rStyle w:val="CharSectno"/>
        </w:rPr>
        <w:t>815</w:t>
      </w:r>
      <w:r w:rsidRPr="003509A5">
        <w:rPr>
          <w:rStyle w:val="CharSectno"/>
        </w:rPr>
        <w:noBreakHyphen/>
        <w:t>35</w:t>
      </w:r>
      <w:r w:rsidRPr="003509A5">
        <w:t xml:space="preserve">  Consequential adjustments</w:t>
      </w:r>
      <w:bookmarkEnd w:id="168"/>
    </w:p>
    <w:p w:rsidR="00233E32" w:rsidRPr="003509A5" w:rsidRDefault="00233E32" w:rsidP="00233E32">
      <w:pPr>
        <w:pStyle w:val="SubsectionHead"/>
      </w:pPr>
      <w:r w:rsidRPr="003509A5">
        <w:t>Consequential adjustment—associated enterprises</w:t>
      </w:r>
    </w:p>
    <w:p w:rsidR="00233E32" w:rsidRPr="003509A5" w:rsidRDefault="00233E32" w:rsidP="00233E32">
      <w:pPr>
        <w:pStyle w:val="subsection"/>
      </w:pPr>
      <w:r w:rsidRPr="003509A5">
        <w:tab/>
        <w:t>(1)</w:t>
      </w:r>
      <w:r w:rsidRPr="003509A5">
        <w:tab/>
        <w:t xml:space="preserve">The Commissioner may make a determination under subsection (4) in relation to an entity (the </w:t>
      </w:r>
      <w:r w:rsidRPr="003509A5">
        <w:rPr>
          <w:b/>
          <w:i/>
        </w:rPr>
        <w:t>disadvantaged entity</w:t>
      </w:r>
      <w:r w:rsidRPr="003509A5">
        <w:t>) if:</w:t>
      </w:r>
    </w:p>
    <w:p w:rsidR="00233E32" w:rsidRPr="003509A5" w:rsidRDefault="00233E32" w:rsidP="00233E32">
      <w:pPr>
        <w:pStyle w:val="paragraph"/>
      </w:pPr>
      <w:r w:rsidRPr="003509A5">
        <w:tab/>
        <w:t>(a)</w:t>
      </w:r>
      <w:r w:rsidRPr="003509A5">
        <w:tab/>
        <w:t>the Commissioner makes a determination under subsection 815</w:t>
      </w:r>
      <w:r w:rsidRPr="003509A5">
        <w:noBreakHyphen/>
        <w:t xml:space="preserve">30(1) in relation to a </w:t>
      </w:r>
      <w:r w:rsidRPr="003509A5">
        <w:rPr>
          <w:position w:val="6"/>
          <w:sz w:val="16"/>
        </w:rPr>
        <w:t>*</w:t>
      </w:r>
      <w:r w:rsidRPr="003509A5">
        <w:t>transfer pricing benefit an entity gets under subsection 815</w:t>
      </w:r>
      <w:r w:rsidRPr="003509A5">
        <w:noBreakHyphen/>
        <w:t>15(1); and</w:t>
      </w:r>
    </w:p>
    <w:p w:rsidR="00233E32" w:rsidRPr="003509A5" w:rsidRDefault="00233E32" w:rsidP="00233E32">
      <w:pPr>
        <w:pStyle w:val="paragraph"/>
      </w:pPr>
      <w:r w:rsidRPr="003509A5">
        <w:tab/>
        <w:t>(b)</w:t>
      </w:r>
      <w:r w:rsidRPr="003509A5">
        <w:tab/>
        <w:t xml:space="preserve">the Commissioner considers that, but for the conditions mentioned in the </w:t>
      </w:r>
      <w:r w:rsidRPr="003509A5">
        <w:rPr>
          <w:position w:val="6"/>
          <w:sz w:val="16"/>
        </w:rPr>
        <w:t>*</w:t>
      </w:r>
      <w:r w:rsidRPr="003509A5">
        <w:t>associated enterprises article:</w:t>
      </w:r>
    </w:p>
    <w:p w:rsidR="00233E32" w:rsidRPr="003509A5" w:rsidRDefault="00233E32" w:rsidP="00233E32">
      <w:pPr>
        <w:pStyle w:val="paragraphsub"/>
      </w:pPr>
      <w:r w:rsidRPr="003509A5">
        <w:tab/>
        <w:t>(i)</w:t>
      </w:r>
      <w:r w:rsidRPr="003509A5">
        <w:tab/>
        <w:t xml:space="preserve">the amount of the taxable income of the disadvantaged entity for an income year might have been expected to be </w:t>
      </w:r>
      <w:r w:rsidRPr="003509A5">
        <w:rPr>
          <w:i/>
        </w:rPr>
        <w:t>less</w:t>
      </w:r>
      <w:r w:rsidRPr="003509A5">
        <w:t xml:space="preserve"> than its actual amount; or</w:t>
      </w:r>
    </w:p>
    <w:p w:rsidR="00233E32" w:rsidRPr="003509A5" w:rsidRDefault="00233E32" w:rsidP="00233E32">
      <w:pPr>
        <w:pStyle w:val="paragraphsub"/>
      </w:pPr>
      <w:r w:rsidRPr="003509A5">
        <w:tab/>
        <w:t>(ii)</w:t>
      </w:r>
      <w:r w:rsidRPr="003509A5">
        <w:tab/>
        <w:t xml:space="preserve">the amount of a tax loss of the disadvantaged entity for an income year might have been expected to be </w:t>
      </w:r>
      <w:r w:rsidRPr="003509A5">
        <w:rPr>
          <w:i/>
        </w:rPr>
        <w:t>greater</w:t>
      </w:r>
      <w:r w:rsidRPr="003509A5">
        <w:t xml:space="preserve"> than its actual amount; or</w:t>
      </w:r>
    </w:p>
    <w:p w:rsidR="00233E32" w:rsidRPr="003509A5" w:rsidRDefault="00233E32" w:rsidP="00233E32">
      <w:pPr>
        <w:pStyle w:val="paragraphsub"/>
      </w:pPr>
      <w:r w:rsidRPr="003509A5">
        <w:tab/>
        <w:t>(iii)</w:t>
      </w:r>
      <w:r w:rsidRPr="003509A5">
        <w:tab/>
        <w:t xml:space="preserve">the amount of a </w:t>
      </w:r>
      <w:r w:rsidRPr="003509A5">
        <w:rPr>
          <w:position w:val="6"/>
          <w:sz w:val="16"/>
        </w:rPr>
        <w:t>*</w:t>
      </w:r>
      <w:r w:rsidRPr="003509A5">
        <w:t xml:space="preserve">net capital loss of the disadvantaged entity for an income year might have been expected to be </w:t>
      </w:r>
      <w:r w:rsidRPr="003509A5">
        <w:rPr>
          <w:i/>
        </w:rPr>
        <w:t>greater</w:t>
      </w:r>
      <w:r w:rsidRPr="003509A5">
        <w:t xml:space="preserve"> than its actual amount; or</w:t>
      </w:r>
    </w:p>
    <w:p w:rsidR="00233E32" w:rsidRPr="003509A5" w:rsidRDefault="00233E32" w:rsidP="00233E32">
      <w:pPr>
        <w:pStyle w:val="paragraphsub"/>
      </w:pPr>
      <w:r w:rsidRPr="003509A5">
        <w:tab/>
        <w:t>(iv)</w:t>
      </w:r>
      <w:r w:rsidRPr="003509A5">
        <w:tab/>
        <w:t xml:space="preserve">an amount of </w:t>
      </w:r>
      <w:r w:rsidRPr="003509A5">
        <w:rPr>
          <w:position w:val="6"/>
          <w:sz w:val="16"/>
        </w:rPr>
        <w:t>*</w:t>
      </w:r>
      <w:r w:rsidRPr="003509A5">
        <w:t xml:space="preserve">withholding tax payable in respect of interest or royalties by the disadvantaged entity might have been expected to be </w:t>
      </w:r>
      <w:r w:rsidRPr="003509A5">
        <w:rPr>
          <w:i/>
        </w:rPr>
        <w:t>less</w:t>
      </w:r>
      <w:r w:rsidRPr="003509A5">
        <w:t xml:space="preserve"> than its actual amount; and</w:t>
      </w:r>
    </w:p>
    <w:p w:rsidR="00233E32" w:rsidRPr="003509A5" w:rsidRDefault="00233E32" w:rsidP="00233E32">
      <w:pPr>
        <w:pStyle w:val="paragraph"/>
      </w:pPr>
      <w:r w:rsidRPr="003509A5">
        <w:tab/>
        <w:t>(c)</w:t>
      </w:r>
      <w:r w:rsidRPr="003509A5">
        <w:tab/>
        <w:t>the Commissioner considers that it is fair and reasonable that the actual amount mentioned in subparagraph (b)(i), (ii), (iii) or (iv) (as the case requires) be adjusted accordingly.</w:t>
      </w:r>
    </w:p>
    <w:p w:rsidR="00233E32" w:rsidRPr="003509A5" w:rsidRDefault="00233E32" w:rsidP="00233E32">
      <w:pPr>
        <w:pStyle w:val="SubsectionHead"/>
      </w:pPr>
      <w:r w:rsidRPr="003509A5">
        <w:t>Consequential adjustment—business profits</w:t>
      </w:r>
    </w:p>
    <w:p w:rsidR="00233E32" w:rsidRPr="003509A5" w:rsidRDefault="00233E32" w:rsidP="00233E32">
      <w:pPr>
        <w:pStyle w:val="subsection"/>
      </w:pPr>
      <w:r w:rsidRPr="003509A5">
        <w:tab/>
        <w:t>(2)</w:t>
      </w:r>
      <w:r w:rsidRPr="003509A5">
        <w:tab/>
        <w:t xml:space="preserve">The Commissioner may make a determination under subsection (4) in relation to an entity (the </w:t>
      </w:r>
      <w:r w:rsidRPr="003509A5">
        <w:rPr>
          <w:b/>
          <w:i/>
        </w:rPr>
        <w:t>disadvantaged entity</w:t>
      </w:r>
      <w:r w:rsidRPr="003509A5">
        <w:t>) if:</w:t>
      </w:r>
    </w:p>
    <w:p w:rsidR="00233E32" w:rsidRPr="003509A5" w:rsidRDefault="00233E32" w:rsidP="00233E32">
      <w:pPr>
        <w:pStyle w:val="paragraph"/>
      </w:pPr>
      <w:r w:rsidRPr="003509A5">
        <w:tab/>
        <w:t>(a)</w:t>
      </w:r>
      <w:r w:rsidRPr="003509A5">
        <w:tab/>
        <w:t>the Commissioner makes a determination under subsection 815</w:t>
      </w:r>
      <w:r w:rsidRPr="003509A5">
        <w:noBreakHyphen/>
        <w:t xml:space="preserve">30(1) in relation to a </w:t>
      </w:r>
      <w:r w:rsidRPr="003509A5">
        <w:rPr>
          <w:position w:val="6"/>
          <w:sz w:val="16"/>
        </w:rPr>
        <w:t>*</w:t>
      </w:r>
      <w:r w:rsidRPr="003509A5">
        <w:t>transfer pricing benefit an entity gets under subsection 815</w:t>
      </w:r>
      <w:r w:rsidRPr="003509A5">
        <w:noBreakHyphen/>
        <w:t>15(2); and</w:t>
      </w:r>
    </w:p>
    <w:p w:rsidR="00233E32" w:rsidRPr="003509A5" w:rsidRDefault="00233E32" w:rsidP="00233E32">
      <w:pPr>
        <w:pStyle w:val="paragraph"/>
      </w:pPr>
      <w:r w:rsidRPr="003509A5">
        <w:lastRenderedPageBreak/>
        <w:tab/>
        <w:t>(b)</w:t>
      </w:r>
      <w:r w:rsidRPr="003509A5">
        <w:tab/>
        <w:t xml:space="preserve">the Commissioner considers that, if the permanent establishment were a distinct and separate entity engaged, and dealing, in the manner mentioned in the </w:t>
      </w:r>
      <w:r w:rsidRPr="003509A5">
        <w:rPr>
          <w:position w:val="6"/>
          <w:sz w:val="16"/>
        </w:rPr>
        <w:t>*</w:t>
      </w:r>
      <w:r w:rsidRPr="003509A5">
        <w:t>business profits article:</w:t>
      </w:r>
    </w:p>
    <w:p w:rsidR="00233E32" w:rsidRPr="003509A5" w:rsidRDefault="00233E32" w:rsidP="00233E32">
      <w:pPr>
        <w:pStyle w:val="paragraphsub"/>
      </w:pPr>
      <w:r w:rsidRPr="003509A5">
        <w:tab/>
        <w:t>(i)</w:t>
      </w:r>
      <w:r w:rsidRPr="003509A5">
        <w:tab/>
        <w:t xml:space="preserve">the amount of the taxable income of the disadvantaged entity for an income year might have been expected to be </w:t>
      </w:r>
      <w:r w:rsidRPr="003509A5">
        <w:rPr>
          <w:i/>
        </w:rPr>
        <w:t>less</w:t>
      </w:r>
      <w:r w:rsidRPr="003509A5">
        <w:t xml:space="preserve"> than its actual amount; or</w:t>
      </w:r>
    </w:p>
    <w:p w:rsidR="00233E32" w:rsidRPr="003509A5" w:rsidRDefault="00233E32" w:rsidP="00233E32">
      <w:pPr>
        <w:pStyle w:val="paragraphsub"/>
      </w:pPr>
      <w:r w:rsidRPr="003509A5">
        <w:tab/>
        <w:t>(ii)</w:t>
      </w:r>
      <w:r w:rsidRPr="003509A5">
        <w:tab/>
        <w:t xml:space="preserve">the amount of a tax loss of the disadvantaged entity for an income year might have been expected to be </w:t>
      </w:r>
      <w:r w:rsidRPr="003509A5">
        <w:rPr>
          <w:i/>
        </w:rPr>
        <w:t>greater</w:t>
      </w:r>
      <w:r w:rsidRPr="003509A5">
        <w:t xml:space="preserve"> than its actual amount; or</w:t>
      </w:r>
    </w:p>
    <w:p w:rsidR="00233E32" w:rsidRPr="003509A5" w:rsidRDefault="00233E32" w:rsidP="00233E32">
      <w:pPr>
        <w:pStyle w:val="paragraphsub"/>
      </w:pPr>
      <w:r w:rsidRPr="003509A5">
        <w:tab/>
        <w:t>(iii)</w:t>
      </w:r>
      <w:r w:rsidRPr="003509A5">
        <w:tab/>
        <w:t xml:space="preserve">the amount of a </w:t>
      </w:r>
      <w:r w:rsidRPr="003509A5">
        <w:rPr>
          <w:position w:val="6"/>
          <w:sz w:val="16"/>
        </w:rPr>
        <w:t>*</w:t>
      </w:r>
      <w:r w:rsidRPr="003509A5">
        <w:t xml:space="preserve">net capital loss of the disadvantaged entity for an income year might have been expected to be </w:t>
      </w:r>
      <w:r w:rsidRPr="003509A5">
        <w:rPr>
          <w:i/>
        </w:rPr>
        <w:t>greater</w:t>
      </w:r>
      <w:r w:rsidRPr="003509A5">
        <w:t xml:space="preserve"> than its actual amount; or</w:t>
      </w:r>
    </w:p>
    <w:p w:rsidR="00233E32" w:rsidRPr="003509A5" w:rsidRDefault="00233E32" w:rsidP="00233E32">
      <w:pPr>
        <w:pStyle w:val="paragraphsub"/>
      </w:pPr>
      <w:r w:rsidRPr="003509A5">
        <w:tab/>
        <w:t>(iv)</w:t>
      </w:r>
      <w:r w:rsidRPr="003509A5">
        <w:tab/>
        <w:t xml:space="preserve">an amount of </w:t>
      </w:r>
      <w:r w:rsidRPr="003509A5">
        <w:rPr>
          <w:position w:val="6"/>
          <w:sz w:val="16"/>
        </w:rPr>
        <w:t>*</w:t>
      </w:r>
      <w:r w:rsidRPr="003509A5">
        <w:t xml:space="preserve">withholding tax payable in respect of interest or royalties by the disadvantaged entity might have been expected to be </w:t>
      </w:r>
      <w:r w:rsidRPr="003509A5">
        <w:rPr>
          <w:i/>
        </w:rPr>
        <w:t>less</w:t>
      </w:r>
      <w:r w:rsidRPr="003509A5">
        <w:t xml:space="preserve"> than its actual amount; and</w:t>
      </w:r>
    </w:p>
    <w:p w:rsidR="00233E32" w:rsidRPr="003509A5" w:rsidRDefault="00233E32" w:rsidP="00233E32">
      <w:pPr>
        <w:pStyle w:val="paragraph"/>
      </w:pPr>
      <w:r w:rsidRPr="003509A5">
        <w:tab/>
        <w:t>(c)</w:t>
      </w:r>
      <w:r w:rsidRPr="003509A5">
        <w:tab/>
        <w:t>the Commissioner considers that it is fair and reasonable that the actual amount mentioned in subparagraph (b)(i), (ii), (iii) or (iv) (as the case requires) be adjusted accordingly.</w:t>
      </w:r>
    </w:p>
    <w:p w:rsidR="00233E32" w:rsidRPr="003509A5" w:rsidRDefault="00233E32" w:rsidP="00233E32">
      <w:pPr>
        <w:pStyle w:val="SubsectionHead"/>
      </w:pPr>
      <w:r w:rsidRPr="003509A5">
        <w:t>Nil amounts</w:t>
      </w:r>
    </w:p>
    <w:p w:rsidR="00233E32" w:rsidRPr="003509A5" w:rsidRDefault="00233E32" w:rsidP="00233E32">
      <w:pPr>
        <w:pStyle w:val="subsection"/>
      </w:pPr>
      <w:r w:rsidRPr="003509A5">
        <w:tab/>
        <w:t>(3)</w:t>
      </w:r>
      <w:r w:rsidRPr="003509A5">
        <w:tab/>
        <w:t>For the purposes of this section:</w:t>
      </w:r>
    </w:p>
    <w:p w:rsidR="00233E32" w:rsidRPr="003509A5" w:rsidRDefault="00233E32" w:rsidP="00233E32">
      <w:pPr>
        <w:pStyle w:val="paragraph"/>
      </w:pPr>
      <w:r w:rsidRPr="003509A5">
        <w:tab/>
        <w:t>(a)</w:t>
      </w:r>
      <w:r w:rsidRPr="003509A5">
        <w:tab/>
        <w:t>treat an entity that has no taxable income for an income year as having a taxable income for the year of a nil amount; and</w:t>
      </w:r>
    </w:p>
    <w:p w:rsidR="00233E32" w:rsidRPr="003509A5" w:rsidRDefault="00233E32" w:rsidP="00233E32">
      <w:pPr>
        <w:pStyle w:val="paragraph"/>
      </w:pPr>
      <w:r w:rsidRPr="003509A5">
        <w:tab/>
        <w:t>(b)</w:t>
      </w:r>
      <w:r w:rsidRPr="003509A5">
        <w:tab/>
        <w:t>treat an entity that has no tax loss for an income year as having a tax loss for the year of a nil amount; and</w:t>
      </w:r>
    </w:p>
    <w:p w:rsidR="00233E32" w:rsidRPr="003509A5" w:rsidRDefault="00233E32" w:rsidP="00233E32">
      <w:pPr>
        <w:pStyle w:val="paragraph"/>
      </w:pPr>
      <w:r w:rsidRPr="003509A5">
        <w:tab/>
        <w:t>(c)</w:t>
      </w:r>
      <w:r w:rsidRPr="003509A5">
        <w:tab/>
        <w:t xml:space="preserve">treat an entity that has no </w:t>
      </w:r>
      <w:r w:rsidRPr="003509A5">
        <w:rPr>
          <w:position w:val="6"/>
          <w:sz w:val="16"/>
        </w:rPr>
        <w:t>*</w:t>
      </w:r>
      <w:r w:rsidRPr="003509A5">
        <w:t>net capital loss for an income year as having a net capital loss for the year of a nil amount.</w:t>
      </w:r>
    </w:p>
    <w:p w:rsidR="00233E32" w:rsidRPr="003509A5" w:rsidRDefault="00233E32" w:rsidP="00233E32">
      <w:pPr>
        <w:pStyle w:val="SubsectionHead"/>
      </w:pPr>
      <w:r w:rsidRPr="003509A5">
        <w:t>Consequential adjustment—determinations</w:t>
      </w:r>
    </w:p>
    <w:p w:rsidR="00233E32" w:rsidRPr="003509A5" w:rsidRDefault="00233E32" w:rsidP="00233E32">
      <w:pPr>
        <w:pStyle w:val="subsection"/>
      </w:pPr>
      <w:r w:rsidRPr="003509A5">
        <w:tab/>
        <w:t>(4)</w:t>
      </w:r>
      <w:r w:rsidRPr="003509A5">
        <w:tab/>
        <w:t>The Commissioner may make one or more of the following determinations, in writing, for the purpose of adjusting an amount as mentioned in paragraph (1)(c) or (2)(c):</w:t>
      </w:r>
    </w:p>
    <w:p w:rsidR="00233E32" w:rsidRPr="003509A5" w:rsidRDefault="00233E32" w:rsidP="00233E32">
      <w:pPr>
        <w:pStyle w:val="paragraph"/>
      </w:pPr>
      <w:r w:rsidRPr="003509A5">
        <w:tab/>
        <w:t>(a)</w:t>
      </w:r>
      <w:r w:rsidRPr="003509A5">
        <w:tab/>
        <w:t>a determination of an amount by which the taxable income of the disadvantaged entity for an income year is decreased;</w:t>
      </w:r>
    </w:p>
    <w:p w:rsidR="00233E32" w:rsidRPr="003509A5" w:rsidRDefault="00233E32" w:rsidP="00233E32">
      <w:pPr>
        <w:pStyle w:val="paragraph"/>
      </w:pPr>
      <w:r w:rsidRPr="003509A5">
        <w:lastRenderedPageBreak/>
        <w:tab/>
        <w:t>(b)</w:t>
      </w:r>
      <w:r w:rsidRPr="003509A5">
        <w:tab/>
        <w:t>a determination of an amount by which the tax loss of the disadvantaged entity for an income year is increased;</w:t>
      </w:r>
    </w:p>
    <w:p w:rsidR="00233E32" w:rsidRPr="003509A5" w:rsidRDefault="00233E32" w:rsidP="00233E32">
      <w:pPr>
        <w:pStyle w:val="paragraph"/>
      </w:pPr>
      <w:r w:rsidRPr="003509A5">
        <w:tab/>
        <w:t>(c)</w:t>
      </w:r>
      <w:r w:rsidRPr="003509A5">
        <w:tab/>
        <w:t xml:space="preserve">a determination of an amount by which the </w:t>
      </w:r>
      <w:r w:rsidRPr="003509A5">
        <w:rPr>
          <w:position w:val="6"/>
          <w:sz w:val="16"/>
        </w:rPr>
        <w:t>*</w:t>
      </w:r>
      <w:r w:rsidRPr="003509A5">
        <w:t>net capital loss of the disadvantaged entity for an income year is increased;</w:t>
      </w:r>
    </w:p>
    <w:p w:rsidR="00233E32" w:rsidRPr="003509A5" w:rsidRDefault="00233E32" w:rsidP="00233E32">
      <w:pPr>
        <w:pStyle w:val="paragraph"/>
      </w:pPr>
      <w:r w:rsidRPr="003509A5">
        <w:tab/>
        <w:t>(d)</w:t>
      </w:r>
      <w:r w:rsidRPr="003509A5">
        <w:tab/>
        <w:t xml:space="preserve">a determination of an amount by which the </w:t>
      </w:r>
      <w:r w:rsidRPr="003509A5">
        <w:rPr>
          <w:position w:val="6"/>
          <w:sz w:val="16"/>
        </w:rPr>
        <w:t>*</w:t>
      </w:r>
      <w:r w:rsidRPr="003509A5">
        <w:t>withholding tax payable by the disadvantaged entity in respect of interest or royalties is decreased.</w:t>
      </w:r>
    </w:p>
    <w:p w:rsidR="00233E32" w:rsidRPr="003509A5" w:rsidRDefault="00233E32" w:rsidP="00233E32">
      <w:pPr>
        <w:pStyle w:val="subsection"/>
      </w:pPr>
      <w:r w:rsidRPr="003509A5">
        <w:tab/>
        <w:t>(5)</w:t>
      </w:r>
      <w:r w:rsidRPr="003509A5">
        <w:tab/>
        <w:t>The Commissioner may take such action as the Commissioner considers necessary to give effect to a determination under this section.</w:t>
      </w:r>
    </w:p>
    <w:p w:rsidR="00233E32" w:rsidRPr="003509A5" w:rsidRDefault="00233E32" w:rsidP="00233E32">
      <w:pPr>
        <w:pStyle w:val="subsection"/>
      </w:pPr>
      <w:r w:rsidRPr="003509A5">
        <w:tab/>
        <w:t>(6)</w:t>
      </w:r>
      <w:r w:rsidRPr="003509A5">
        <w:tab/>
        <w:t>The Commissioner must give a copy of a determination under this section to the disadvantaged entity.</w:t>
      </w:r>
    </w:p>
    <w:p w:rsidR="00233E32" w:rsidRPr="003509A5" w:rsidRDefault="00233E32" w:rsidP="00233E32">
      <w:pPr>
        <w:pStyle w:val="subsection"/>
      </w:pPr>
      <w:r w:rsidRPr="003509A5">
        <w:tab/>
        <w:t>(7)</w:t>
      </w:r>
      <w:r w:rsidRPr="003509A5">
        <w:tab/>
        <w:t>A failure to comply with subsection (6) does not affect the validity of the determination.</w:t>
      </w:r>
    </w:p>
    <w:p w:rsidR="00233E32" w:rsidRPr="003509A5" w:rsidRDefault="00233E32" w:rsidP="00233E32">
      <w:pPr>
        <w:pStyle w:val="subsection"/>
      </w:pPr>
      <w:r w:rsidRPr="003509A5">
        <w:tab/>
        <w:t>(8)</w:t>
      </w:r>
      <w:r w:rsidRPr="003509A5">
        <w:tab/>
        <w:t>To avoid doubt, the Commissioner may include all or any determinations under this section in relation to a particular entity, including determinations of different kinds, in the same document.</w:t>
      </w:r>
    </w:p>
    <w:p w:rsidR="00233E32" w:rsidRPr="003509A5" w:rsidRDefault="00233E32" w:rsidP="00233E32">
      <w:pPr>
        <w:pStyle w:val="subsection"/>
      </w:pPr>
      <w:r w:rsidRPr="003509A5">
        <w:tab/>
        <w:t>(9)</w:t>
      </w:r>
      <w:r w:rsidRPr="003509A5">
        <w:tab/>
        <w:t>An entity may give the Commissioner a written request to make a determination under this section relating to the entity. The Commissioner must decide whether or not to grant the request, and give the entity notice of the Commissioner’s decision.</w:t>
      </w:r>
    </w:p>
    <w:p w:rsidR="00233E32" w:rsidRPr="003509A5" w:rsidRDefault="00233E32" w:rsidP="00233E32">
      <w:pPr>
        <w:pStyle w:val="subsection"/>
      </w:pPr>
      <w:r w:rsidRPr="003509A5">
        <w:tab/>
        <w:t>(10)</w:t>
      </w:r>
      <w:r w:rsidRPr="003509A5">
        <w:tab/>
        <w:t xml:space="preserve">If an entity is dissatisfied with the Commissioner’s decision, the entity may object, in the manner set out in Part IVC of the </w:t>
      </w:r>
      <w:r w:rsidRPr="003509A5">
        <w:rPr>
          <w:i/>
        </w:rPr>
        <w:t>Taxation Administration Act 1953</w:t>
      </w:r>
      <w:r w:rsidRPr="003509A5">
        <w:t>, against that decision.</w:t>
      </w:r>
    </w:p>
    <w:p w:rsidR="00233E32" w:rsidRPr="003509A5" w:rsidRDefault="00233E32" w:rsidP="00233E32">
      <w:pPr>
        <w:pStyle w:val="ActHead5"/>
      </w:pPr>
      <w:bookmarkStart w:id="169" w:name="_Toc338939243"/>
      <w:r w:rsidRPr="003509A5">
        <w:rPr>
          <w:rStyle w:val="CharSectno"/>
        </w:rPr>
        <w:t>815</w:t>
      </w:r>
      <w:r w:rsidRPr="003509A5">
        <w:rPr>
          <w:rStyle w:val="CharSectno"/>
        </w:rPr>
        <w:noBreakHyphen/>
        <w:t>40</w:t>
      </w:r>
      <w:r w:rsidRPr="003509A5">
        <w:t xml:space="preserve">  No double taxation</w:t>
      </w:r>
      <w:bookmarkEnd w:id="169"/>
    </w:p>
    <w:p w:rsidR="00233E32" w:rsidRPr="003509A5" w:rsidRDefault="00233E32" w:rsidP="00233E32">
      <w:pPr>
        <w:pStyle w:val="subsection"/>
      </w:pPr>
      <w:r w:rsidRPr="003509A5">
        <w:tab/>
        <w:t>(1)</w:t>
      </w:r>
      <w:r w:rsidRPr="003509A5">
        <w:tab/>
        <w:t xml:space="preserve">The amount of a </w:t>
      </w:r>
      <w:r w:rsidRPr="003509A5">
        <w:rPr>
          <w:position w:val="6"/>
          <w:sz w:val="16"/>
        </w:rPr>
        <w:t>*</w:t>
      </w:r>
      <w:r w:rsidRPr="003509A5">
        <w:t xml:space="preserve">transfer pricing benefit that is negated under this Subdivision for an entity is not to be taken into account again under another provision of this Act to increase the entity’s assessable income, reduce the entity’s deductions or reduce a </w:t>
      </w:r>
      <w:r w:rsidRPr="003509A5">
        <w:rPr>
          <w:position w:val="6"/>
          <w:sz w:val="16"/>
        </w:rPr>
        <w:t>*</w:t>
      </w:r>
      <w:r w:rsidRPr="003509A5">
        <w:t>net capital loss of the entity.</w:t>
      </w:r>
    </w:p>
    <w:p w:rsidR="00233E32" w:rsidRPr="003509A5" w:rsidRDefault="00233E32" w:rsidP="00233E32">
      <w:pPr>
        <w:pStyle w:val="subsection"/>
      </w:pPr>
      <w:r w:rsidRPr="003509A5">
        <w:tab/>
        <w:t>(2)</w:t>
      </w:r>
      <w:r w:rsidRPr="003509A5">
        <w:tab/>
        <w:t xml:space="preserve">Subsection (1) has effect despite section 136AB of the </w:t>
      </w:r>
      <w:r w:rsidRPr="003509A5">
        <w:rPr>
          <w:i/>
        </w:rPr>
        <w:t>Income Tax Assessment Act 1936</w:t>
      </w:r>
      <w:r w:rsidRPr="003509A5">
        <w:t>.</w:t>
      </w:r>
    </w:p>
    <w:p w:rsidR="00233E32" w:rsidRPr="003509A5" w:rsidRDefault="00233E32" w:rsidP="00233E32">
      <w:pPr>
        <w:pStyle w:val="subsection"/>
      </w:pPr>
      <w:r w:rsidRPr="003509A5">
        <w:lastRenderedPageBreak/>
        <w:tab/>
        <w:t>(3)</w:t>
      </w:r>
      <w:r w:rsidRPr="003509A5">
        <w:tab/>
        <w:t xml:space="preserve">Nothing in this Subdivision limits Division 820 (about thin capitalisation) in its application to further reduce </w:t>
      </w:r>
      <w:r w:rsidRPr="003509A5">
        <w:rPr>
          <w:position w:val="6"/>
          <w:sz w:val="16"/>
        </w:rPr>
        <w:t>*</w:t>
      </w:r>
      <w:r w:rsidRPr="003509A5">
        <w:t>debt deductions of an entity.</w:t>
      </w:r>
    </w:p>
    <w:p w:rsidR="00887330" w:rsidRPr="00583E1A" w:rsidRDefault="00887330" w:rsidP="00887330">
      <w:pPr>
        <w:sectPr w:rsidR="00887330" w:rsidRPr="00583E1A" w:rsidSect="009275EE">
          <w:headerReference w:type="even" r:id="rId42"/>
          <w:headerReference w:type="default" r:id="rId43"/>
          <w:footerReference w:type="even" r:id="rId44"/>
          <w:footerReference w:type="default" r:id="rId45"/>
          <w:headerReference w:type="first" r:id="rId46"/>
          <w:footerReference w:type="first" r:id="rId47"/>
          <w:pgSz w:w="11906" w:h="16838" w:code="9"/>
          <w:pgMar w:top="2268" w:right="2410" w:bottom="3827" w:left="2410" w:header="567" w:footer="3119" w:gutter="0"/>
          <w:cols w:space="708"/>
          <w:docGrid w:linePitch="360"/>
        </w:sectPr>
      </w:pPr>
    </w:p>
    <w:p w:rsidR="00887330" w:rsidRPr="00583E1A" w:rsidRDefault="00887330" w:rsidP="002812AF">
      <w:pPr>
        <w:pStyle w:val="ActHead3"/>
      </w:pPr>
      <w:bookmarkStart w:id="170" w:name="_Toc338939244"/>
      <w:r w:rsidRPr="00583E1A">
        <w:rPr>
          <w:rStyle w:val="CharDivNo"/>
        </w:rPr>
        <w:lastRenderedPageBreak/>
        <w:t>Division</w:t>
      </w:r>
      <w:r w:rsidR="00583E1A">
        <w:rPr>
          <w:rStyle w:val="CharDivNo"/>
        </w:rPr>
        <w:t> </w:t>
      </w:r>
      <w:r w:rsidRPr="00583E1A">
        <w:rPr>
          <w:rStyle w:val="CharDivNo"/>
        </w:rPr>
        <w:t>820</w:t>
      </w:r>
      <w:r w:rsidRPr="00583E1A">
        <w:t>—</w:t>
      </w:r>
      <w:r w:rsidRPr="00583E1A">
        <w:rPr>
          <w:rStyle w:val="CharDivText"/>
        </w:rPr>
        <w:t>Thin capitalisation rules</w:t>
      </w:r>
      <w:bookmarkEnd w:id="170"/>
    </w:p>
    <w:p w:rsidR="00887330" w:rsidRPr="00583E1A" w:rsidRDefault="00887330" w:rsidP="002812AF">
      <w:pPr>
        <w:pStyle w:val="TofSectsHeading"/>
        <w:keepNext/>
        <w:keepLines/>
      </w:pPr>
      <w:r w:rsidRPr="00583E1A">
        <w:t>Table of Subdivisions</w:t>
      </w:r>
    </w:p>
    <w:p w:rsidR="00887330" w:rsidRPr="00583E1A" w:rsidRDefault="00887330" w:rsidP="002812AF">
      <w:pPr>
        <w:pStyle w:val="TofSectsSubdiv"/>
        <w:keepNext/>
      </w:pPr>
      <w:r w:rsidRPr="00583E1A">
        <w:tab/>
        <w:t>Guide to Division</w:t>
      </w:r>
      <w:r w:rsidR="00583E1A">
        <w:t> </w:t>
      </w:r>
      <w:r w:rsidRPr="00583E1A">
        <w:t>820</w:t>
      </w:r>
    </w:p>
    <w:p w:rsidR="00887330" w:rsidRPr="00583E1A" w:rsidRDefault="00887330" w:rsidP="002812AF">
      <w:pPr>
        <w:pStyle w:val="TofSectsSubdiv"/>
        <w:keepNext/>
      </w:pPr>
      <w:r w:rsidRPr="00583E1A">
        <w:t>820</w:t>
      </w:r>
      <w:r w:rsidR="00583E1A">
        <w:noBreakHyphen/>
      </w:r>
      <w:r w:rsidRPr="00583E1A">
        <w:t>A</w:t>
      </w:r>
      <w:r w:rsidRPr="00583E1A">
        <w:tab/>
        <w:t>Preliminary</w:t>
      </w:r>
    </w:p>
    <w:p w:rsidR="00887330" w:rsidRPr="00583E1A" w:rsidRDefault="00887330" w:rsidP="002812AF">
      <w:pPr>
        <w:pStyle w:val="TofSectsSubdiv"/>
        <w:keepNext/>
      </w:pPr>
      <w:r w:rsidRPr="00583E1A">
        <w:t>820</w:t>
      </w:r>
      <w:r w:rsidR="00583E1A">
        <w:noBreakHyphen/>
      </w:r>
      <w:r w:rsidRPr="00583E1A">
        <w:t>B</w:t>
      </w:r>
      <w:r w:rsidRPr="00583E1A">
        <w:tab/>
        <w:t>Thin capitalisation rules for outward investing entities (non</w:t>
      </w:r>
      <w:r w:rsidR="00583E1A">
        <w:noBreakHyphen/>
      </w:r>
      <w:r w:rsidRPr="00583E1A">
        <w:t>ADI)</w:t>
      </w:r>
    </w:p>
    <w:p w:rsidR="00887330" w:rsidRPr="00583E1A" w:rsidRDefault="00887330" w:rsidP="002812AF">
      <w:pPr>
        <w:pStyle w:val="TofSectsSubdiv"/>
        <w:keepNext/>
      </w:pPr>
      <w:r w:rsidRPr="00583E1A">
        <w:t>820</w:t>
      </w:r>
      <w:r w:rsidR="00583E1A">
        <w:noBreakHyphen/>
      </w:r>
      <w:r w:rsidRPr="00583E1A">
        <w:t>C</w:t>
      </w:r>
      <w:r w:rsidRPr="00583E1A">
        <w:tab/>
        <w:t>Thin capitalisation rules for inward investing entities (non</w:t>
      </w:r>
      <w:r w:rsidR="00583E1A">
        <w:noBreakHyphen/>
      </w:r>
      <w:r w:rsidRPr="00583E1A">
        <w:t>ADI)</w:t>
      </w:r>
    </w:p>
    <w:p w:rsidR="00887330" w:rsidRPr="00583E1A" w:rsidRDefault="00887330" w:rsidP="00887330">
      <w:pPr>
        <w:pStyle w:val="TofSectsSubdiv"/>
        <w:keepLines w:val="0"/>
      </w:pPr>
      <w:r w:rsidRPr="00583E1A">
        <w:t>820</w:t>
      </w:r>
      <w:r w:rsidR="00583E1A">
        <w:noBreakHyphen/>
      </w:r>
      <w:r w:rsidRPr="00583E1A">
        <w:t>D</w:t>
      </w:r>
      <w:r w:rsidRPr="00583E1A">
        <w:tab/>
        <w:t>Thin capitalisation rules for outward investing entities (ADI)</w:t>
      </w:r>
    </w:p>
    <w:p w:rsidR="00887330" w:rsidRPr="00583E1A" w:rsidRDefault="00887330" w:rsidP="00887330">
      <w:pPr>
        <w:pStyle w:val="TofSectsSubdiv"/>
        <w:keepLines w:val="0"/>
      </w:pPr>
      <w:r w:rsidRPr="00583E1A">
        <w:t>820</w:t>
      </w:r>
      <w:r w:rsidR="00583E1A">
        <w:noBreakHyphen/>
      </w:r>
      <w:r w:rsidRPr="00583E1A">
        <w:t>E</w:t>
      </w:r>
      <w:r w:rsidRPr="00583E1A">
        <w:tab/>
        <w:t>Thin capitalisation rules for inward investing entities (ADI)</w:t>
      </w:r>
    </w:p>
    <w:p w:rsidR="00887330" w:rsidRPr="00583E1A" w:rsidRDefault="00887330" w:rsidP="00887330">
      <w:pPr>
        <w:pStyle w:val="TofSectsSubdiv"/>
        <w:keepLines w:val="0"/>
      </w:pPr>
      <w:r w:rsidRPr="00861BED">
        <w:t>820</w:t>
      </w:r>
      <w:r w:rsidR="00583E1A" w:rsidRPr="00861BED">
        <w:noBreakHyphen/>
      </w:r>
      <w:r w:rsidRPr="00861BED">
        <w:t>EA</w:t>
      </w:r>
      <w:r w:rsidRPr="00583E1A">
        <w:tab/>
      </w:r>
      <w:r w:rsidRPr="00583E1A">
        <w:rPr>
          <w:rStyle w:val="CharSubdText"/>
        </w:rPr>
        <w:t>Some financial entities may choose to be treated as ADIs</w:t>
      </w:r>
    </w:p>
    <w:p w:rsidR="00887330" w:rsidRPr="00583E1A" w:rsidRDefault="00887330" w:rsidP="00887330">
      <w:pPr>
        <w:pStyle w:val="TofSectsSubdiv"/>
        <w:keepLines w:val="0"/>
      </w:pPr>
      <w:r w:rsidRPr="00583E1A">
        <w:t>820</w:t>
      </w:r>
      <w:r w:rsidR="00583E1A">
        <w:noBreakHyphen/>
      </w:r>
      <w:r w:rsidRPr="00583E1A">
        <w:t>FA</w:t>
      </w:r>
      <w:r w:rsidRPr="00583E1A">
        <w:tab/>
        <w:t>How the thin capitalisation rules apply to consolidated groups and MEC groups</w:t>
      </w:r>
    </w:p>
    <w:p w:rsidR="00887330" w:rsidRPr="00583E1A" w:rsidRDefault="00887330" w:rsidP="00887330">
      <w:pPr>
        <w:pStyle w:val="TofSectsSubdiv"/>
        <w:keepLines w:val="0"/>
      </w:pPr>
      <w:r w:rsidRPr="00583E1A">
        <w:t>820</w:t>
      </w:r>
      <w:r w:rsidR="00583E1A">
        <w:noBreakHyphen/>
      </w:r>
      <w:r w:rsidRPr="00583E1A">
        <w:t>FB</w:t>
      </w:r>
      <w:r w:rsidRPr="00583E1A">
        <w:tab/>
        <w:t>Grouping branches of foreign banks and foreign financial entities with a consolidated group, MEC group or single Australian resident company</w:t>
      </w:r>
    </w:p>
    <w:p w:rsidR="00887330" w:rsidRPr="00583E1A" w:rsidRDefault="00887330" w:rsidP="00887330">
      <w:pPr>
        <w:pStyle w:val="TofSectsSubdiv"/>
        <w:keepLines w:val="0"/>
      </w:pPr>
      <w:r w:rsidRPr="00583E1A">
        <w:t>820</w:t>
      </w:r>
      <w:r w:rsidR="00583E1A">
        <w:noBreakHyphen/>
      </w:r>
      <w:r w:rsidRPr="00583E1A">
        <w:t>G</w:t>
      </w:r>
      <w:r w:rsidRPr="00583E1A">
        <w:tab/>
        <w:t>Calculating the average values</w:t>
      </w:r>
    </w:p>
    <w:p w:rsidR="00887330" w:rsidRPr="00583E1A" w:rsidRDefault="00887330" w:rsidP="00887330">
      <w:pPr>
        <w:pStyle w:val="TofSectsSubdiv"/>
        <w:keepLines w:val="0"/>
      </w:pPr>
      <w:r w:rsidRPr="00583E1A">
        <w:t>820</w:t>
      </w:r>
      <w:r w:rsidR="00583E1A">
        <w:noBreakHyphen/>
      </w:r>
      <w:r w:rsidRPr="00583E1A">
        <w:t>H</w:t>
      </w:r>
      <w:r w:rsidRPr="00583E1A">
        <w:tab/>
        <w:t>Control of entities</w:t>
      </w:r>
    </w:p>
    <w:p w:rsidR="00887330" w:rsidRPr="00583E1A" w:rsidRDefault="00887330" w:rsidP="00887330">
      <w:pPr>
        <w:pStyle w:val="TofSectsSubdiv"/>
        <w:keepLines w:val="0"/>
      </w:pPr>
      <w:r w:rsidRPr="00583E1A">
        <w:t>820</w:t>
      </w:r>
      <w:r w:rsidR="00583E1A">
        <w:noBreakHyphen/>
      </w:r>
      <w:r w:rsidRPr="00583E1A">
        <w:t>HA</w:t>
      </w:r>
      <w:r w:rsidRPr="00583E1A">
        <w:tab/>
        <w:t>Controlled foreign entity debt and controlled foreign entity equity</w:t>
      </w:r>
    </w:p>
    <w:p w:rsidR="00887330" w:rsidRPr="00583E1A" w:rsidRDefault="00887330" w:rsidP="00887330">
      <w:pPr>
        <w:pStyle w:val="TofSectsSubdiv"/>
        <w:keepLines w:val="0"/>
      </w:pPr>
      <w:r w:rsidRPr="00583E1A">
        <w:t>820</w:t>
      </w:r>
      <w:r w:rsidR="00583E1A">
        <w:noBreakHyphen/>
      </w:r>
      <w:r w:rsidRPr="00583E1A">
        <w:t>I</w:t>
      </w:r>
      <w:r w:rsidRPr="00583E1A">
        <w:tab/>
        <w:t>Associate entities</w:t>
      </w:r>
    </w:p>
    <w:p w:rsidR="00887330" w:rsidRPr="00583E1A" w:rsidRDefault="00887330" w:rsidP="00887330">
      <w:pPr>
        <w:pStyle w:val="TofSectsSubdiv"/>
        <w:keepLines w:val="0"/>
      </w:pPr>
      <w:r w:rsidRPr="00583E1A">
        <w:t>820</w:t>
      </w:r>
      <w:r w:rsidR="00583E1A">
        <w:noBreakHyphen/>
      </w:r>
      <w:r w:rsidRPr="00583E1A">
        <w:t>J</w:t>
      </w:r>
      <w:r w:rsidRPr="00583E1A">
        <w:tab/>
        <w:t>Equity interests in trusts and partnerships</w:t>
      </w:r>
    </w:p>
    <w:p w:rsidR="00887330" w:rsidRPr="00583E1A" w:rsidRDefault="00887330" w:rsidP="00887330">
      <w:pPr>
        <w:pStyle w:val="TofSectsSubdiv"/>
        <w:keepLines w:val="0"/>
      </w:pPr>
      <w:r w:rsidRPr="00583E1A">
        <w:t>820</w:t>
      </w:r>
      <w:r w:rsidR="00583E1A">
        <w:noBreakHyphen/>
      </w:r>
      <w:r w:rsidRPr="00583E1A">
        <w:t>K</w:t>
      </w:r>
      <w:r w:rsidRPr="00583E1A">
        <w:tab/>
        <w:t>Zero</w:t>
      </w:r>
      <w:r w:rsidR="00583E1A">
        <w:noBreakHyphen/>
      </w:r>
      <w:r w:rsidRPr="00583E1A">
        <w:t>capital amounts</w:t>
      </w:r>
    </w:p>
    <w:p w:rsidR="00887330" w:rsidRPr="00583E1A" w:rsidRDefault="00887330" w:rsidP="00887330">
      <w:pPr>
        <w:pStyle w:val="TofSectsSubdiv"/>
      </w:pPr>
      <w:r w:rsidRPr="00583E1A">
        <w:t>820</w:t>
      </w:r>
      <w:r w:rsidR="00583E1A">
        <w:noBreakHyphen/>
      </w:r>
      <w:r w:rsidRPr="00583E1A">
        <w:t>KA</w:t>
      </w:r>
      <w:r w:rsidRPr="00583E1A">
        <w:tab/>
        <w:t>Cost</w:t>
      </w:r>
      <w:r w:rsidR="00583E1A">
        <w:noBreakHyphen/>
      </w:r>
      <w:r w:rsidRPr="00583E1A">
        <w:t>free debt capital and excluded equity interests</w:t>
      </w:r>
    </w:p>
    <w:p w:rsidR="00887330" w:rsidRPr="00583E1A" w:rsidRDefault="00887330" w:rsidP="00887330">
      <w:pPr>
        <w:pStyle w:val="TofSectsSubdiv"/>
        <w:keepLines w:val="0"/>
      </w:pPr>
      <w:r w:rsidRPr="00583E1A">
        <w:t>820</w:t>
      </w:r>
      <w:r w:rsidR="00583E1A">
        <w:noBreakHyphen/>
      </w:r>
      <w:r w:rsidRPr="00583E1A">
        <w:t>L</w:t>
      </w:r>
      <w:r w:rsidRPr="00583E1A">
        <w:tab/>
        <w:t>Record keeping requirements</w:t>
      </w:r>
    </w:p>
    <w:p w:rsidR="00887330" w:rsidRPr="00583E1A" w:rsidRDefault="00887330" w:rsidP="00887330">
      <w:pPr>
        <w:sectPr w:rsidR="00887330" w:rsidRPr="00583E1A" w:rsidSect="009275EE">
          <w:headerReference w:type="even" r:id="rId48"/>
          <w:headerReference w:type="default" r:id="rId49"/>
          <w:footerReference w:type="even" r:id="rId50"/>
          <w:footerReference w:type="default" r:id="rId51"/>
          <w:headerReference w:type="first" r:id="rId52"/>
          <w:footerReference w:type="first" r:id="rId53"/>
          <w:pgSz w:w="11906" w:h="16838" w:code="9"/>
          <w:pgMar w:top="2268" w:right="2410" w:bottom="3827" w:left="2410" w:header="567" w:footer="3119" w:gutter="0"/>
          <w:cols w:space="708"/>
          <w:docGrid w:linePitch="360"/>
        </w:sectPr>
      </w:pPr>
    </w:p>
    <w:p w:rsidR="00887330" w:rsidRPr="00583E1A" w:rsidRDefault="00887330" w:rsidP="00887330">
      <w:pPr>
        <w:pStyle w:val="ActHead4"/>
      </w:pPr>
      <w:bookmarkStart w:id="171" w:name="_Toc338939245"/>
      <w:r w:rsidRPr="00583E1A">
        <w:lastRenderedPageBreak/>
        <w:t>Guide to Division</w:t>
      </w:r>
      <w:r w:rsidR="00583E1A">
        <w:t> </w:t>
      </w:r>
      <w:r w:rsidRPr="00583E1A">
        <w:t>820</w:t>
      </w:r>
      <w:bookmarkEnd w:id="171"/>
    </w:p>
    <w:p w:rsidR="00887330" w:rsidRPr="00583E1A" w:rsidRDefault="00887330" w:rsidP="00887330">
      <w:pPr>
        <w:pStyle w:val="ActHead5"/>
      </w:pPr>
      <w:bookmarkStart w:id="172" w:name="_Toc338939246"/>
      <w:r w:rsidRPr="00583E1A">
        <w:rPr>
          <w:rStyle w:val="CharSectno"/>
        </w:rPr>
        <w:t>820</w:t>
      </w:r>
      <w:r w:rsidR="00583E1A">
        <w:rPr>
          <w:rStyle w:val="CharSectno"/>
        </w:rPr>
        <w:noBreakHyphen/>
      </w:r>
      <w:r w:rsidRPr="00583E1A">
        <w:rPr>
          <w:rStyle w:val="CharSectno"/>
        </w:rPr>
        <w:t>1</w:t>
      </w:r>
      <w:r w:rsidRPr="00583E1A">
        <w:t xml:space="preserve">  What this Division is about</w:t>
      </w:r>
      <w:bookmarkEnd w:id="172"/>
    </w:p>
    <w:p w:rsidR="00887330" w:rsidRPr="00583E1A" w:rsidRDefault="00887330" w:rsidP="00887330">
      <w:pPr>
        <w:pStyle w:val="BoxText"/>
      </w:pPr>
      <w:r w:rsidRPr="00583E1A">
        <w:t xml:space="preserve">This Division applies to foreign controlled Australian entities, Australian entities that operate internationally and foreign entities that operate in </w:t>
      </w:r>
      <w:smartTag w:uri="urn:schemas-microsoft-com:office:smarttags" w:element="country-region">
        <w:smartTag w:uri="urn:schemas-microsoft-com:office:smarttags" w:element="place">
          <w:r w:rsidRPr="00583E1A">
            <w:t>Australia</w:t>
          </w:r>
        </w:smartTag>
      </w:smartTag>
      <w:r w:rsidRPr="00583E1A">
        <w:t>.</w:t>
      </w:r>
    </w:p>
    <w:p w:rsidR="00887330" w:rsidRPr="00583E1A" w:rsidRDefault="00887330" w:rsidP="00887330">
      <w:pPr>
        <w:pStyle w:val="BoxText"/>
      </w:pPr>
      <w:r w:rsidRPr="00583E1A">
        <w:t>Financing expenses that an entity can otherwise deduct from its assessable income may be disallowed under this Division in the following circumstances:</w:t>
      </w:r>
    </w:p>
    <w:p w:rsidR="00887330" w:rsidRPr="00583E1A" w:rsidRDefault="00887330" w:rsidP="00887330">
      <w:pPr>
        <w:pStyle w:val="BoxList"/>
      </w:pPr>
      <w:r w:rsidRPr="00583E1A">
        <w:t>•</w:t>
      </w:r>
      <w:r w:rsidRPr="00583E1A">
        <w:tab/>
        <w:t>for an entity that is not an authorised deposit</w:t>
      </w:r>
      <w:r w:rsidR="00583E1A">
        <w:noBreakHyphen/>
      </w:r>
      <w:r w:rsidRPr="00583E1A">
        <w:t xml:space="preserve">taking institution for the purposes of the </w:t>
      </w:r>
      <w:r w:rsidRPr="00583E1A">
        <w:rPr>
          <w:i/>
        </w:rPr>
        <w:t>Banking Act 1959</w:t>
      </w:r>
      <w:r w:rsidRPr="00583E1A">
        <w:t xml:space="preserve"> (an </w:t>
      </w:r>
      <w:r w:rsidRPr="00583E1A">
        <w:rPr>
          <w:b/>
          <w:i/>
        </w:rPr>
        <w:t>ADI</w:t>
      </w:r>
      <w:r w:rsidRPr="00583E1A">
        <w:t>)—the entity’s debt exceeds the prescribed level (and the entity is therefore “thinly capitalised”);</w:t>
      </w:r>
    </w:p>
    <w:p w:rsidR="00887330" w:rsidRPr="00583E1A" w:rsidRDefault="00887330" w:rsidP="00887330">
      <w:pPr>
        <w:pStyle w:val="BoxList"/>
      </w:pPr>
      <w:r w:rsidRPr="00583E1A">
        <w:t>•</w:t>
      </w:r>
      <w:r w:rsidRPr="00583E1A">
        <w:tab/>
        <w:t>for an entity that is an ADI—the entity’s capital is less than the prescribed level (and the entity is therefore “thinly capitalised”).</w:t>
      </w:r>
    </w:p>
    <w:p w:rsidR="00887330" w:rsidRPr="00583E1A" w:rsidRDefault="00887330" w:rsidP="00887330">
      <w:pPr>
        <w:pStyle w:val="TofSectsHeading"/>
      </w:pPr>
      <w:r w:rsidRPr="00583E1A">
        <w:t>Table of sections</w:t>
      </w:r>
    </w:p>
    <w:p w:rsidR="00887330" w:rsidRPr="00583E1A" w:rsidRDefault="00887330" w:rsidP="00887330">
      <w:pPr>
        <w:pStyle w:val="TofSectsSection"/>
      </w:pPr>
      <w:r w:rsidRPr="00583E1A">
        <w:t>820</w:t>
      </w:r>
      <w:r w:rsidR="00583E1A">
        <w:noBreakHyphen/>
      </w:r>
      <w:r w:rsidRPr="00583E1A">
        <w:t>5</w:t>
      </w:r>
      <w:r w:rsidRPr="00583E1A">
        <w:tab/>
        <w:t>Does this Division apply to an entity?</w:t>
      </w:r>
    </w:p>
    <w:p w:rsidR="00887330" w:rsidRPr="00583E1A" w:rsidRDefault="00887330" w:rsidP="00887330">
      <w:pPr>
        <w:pStyle w:val="TofSectsSection"/>
      </w:pPr>
      <w:r w:rsidRPr="00583E1A">
        <w:t>820</w:t>
      </w:r>
      <w:r w:rsidR="00583E1A">
        <w:noBreakHyphen/>
      </w:r>
      <w:r w:rsidRPr="00583E1A">
        <w:t>10</w:t>
      </w:r>
      <w:r w:rsidRPr="00583E1A">
        <w:tab/>
        <w:t>Map of Division</w:t>
      </w:r>
    </w:p>
    <w:p w:rsidR="00887330" w:rsidRPr="00583E1A" w:rsidRDefault="00887330" w:rsidP="00076096">
      <w:pPr>
        <w:pStyle w:val="ActHead5"/>
        <w:keepNext w:val="0"/>
        <w:keepLines w:val="0"/>
      </w:pPr>
      <w:bookmarkStart w:id="173" w:name="_Toc338939247"/>
      <w:r w:rsidRPr="00583E1A">
        <w:rPr>
          <w:rStyle w:val="CharSectno"/>
        </w:rPr>
        <w:t>820</w:t>
      </w:r>
      <w:r w:rsidR="00583E1A">
        <w:rPr>
          <w:rStyle w:val="CharSectno"/>
        </w:rPr>
        <w:noBreakHyphen/>
      </w:r>
      <w:r w:rsidRPr="00583E1A">
        <w:rPr>
          <w:rStyle w:val="CharSectno"/>
        </w:rPr>
        <w:t>5</w:t>
      </w:r>
      <w:r w:rsidRPr="00583E1A">
        <w:t xml:space="preserve">  Does this Division apply to an entity?</w:t>
      </w:r>
      <w:bookmarkEnd w:id="173"/>
    </w:p>
    <w:p w:rsidR="00887330" w:rsidRPr="00583E1A" w:rsidRDefault="00887330" w:rsidP="00076096">
      <w:pPr>
        <w:pStyle w:val="subsection"/>
      </w:pPr>
      <w:r w:rsidRPr="00583E1A">
        <w:tab/>
      </w:r>
      <w:r w:rsidRPr="00583E1A">
        <w:tab/>
        <w:t>The following diagram shows you how to work out whether this Division applies to an entity.</w:t>
      </w:r>
    </w:p>
    <w:p w:rsidR="00887330" w:rsidRPr="00583E1A" w:rsidRDefault="00887330" w:rsidP="003C48B0">
      <w:pPr>
        <w:keepNext/>
        <w:keepLines/>
      </w:pPr>
    </w:p>
    <w:p w:rsidR="00887330" w:rsidRPr="00583E1A" w:rsidRDefault="00623A5C" w:rsidP="00887330">
      <w:r>
        <w:rPr>
          <w:noProof/>
        </w:rPr>
        <mc:AlternateContent>
          <mc:Choice Requires="wpc">
            <w:drawing>
              <wp:inline distT="0" distB="0" distL="0" distR="0">
                <wp:extent cx="4495800" cy="5429250"/>
                <wp:effectExtent l="9525" t="0" r="0" b="0"/>
                <wp:docPr id="108" name="Canvas 8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1" name="Rectangle 86"/>
                        <wps:cNvSpPr>
                          <a:spLocks noChangeArrowheads="1"/>
                        </wps:cNvSpPr>
                        <wps:spPr bwMode="auto">
                          <a:xfrm>
                            <a:off x="0" y="88265"/>
                            <a:ext cx="2608580" cy="1149350"/>
                          </a:xfrm>
                          <a:prstGeom prst="rect">
                            <a:avLst/>
                          </a:prstGeom>
                          <a:solidFill>
                            <a:srgbClr val="FFFFFF"/>
                          </a:solidFill>
                          <a:ln w="18">
                            <a:solidFill>
                              <a:srgbClr val="000000"/>
                            </a:solidFill>
                            <a:miter lim="800000"/>
                            <a:headEnd/>
                            <a:tailEnd/>
                          </a:ln>
                        </wps:spPr>
                        <wps:bodyPr rot="0" vert="horz" wrap="square" lIns="91440" tIns="45720" rIns="91440" bIns="45720" anchor="t" anchorCtr="0" upright="1">
                          <a:noAutofit/>
                        </wps:bodyPr>
                      </wps:wsp>
                      <wps:wsp>
                        <wps:cNvPr id="31" name="Rectangle 87"/>
                        <wps:cNvSpPr>
                          <a:spLocks noChangeArrowheads="1"/>
                        </wps:cNvSpPr>
                        <wps:spPr bwMode="auto">
                          <a:xfrm>
                            <a:off x="74930" y="53975"/>
                            <a:ext cx="180594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64E8" w:rsidRDefault="00C664E8">
                              <w:r>
                                <w:rPr>
                                  <w:color w:val="000000"/>
                                  <w:sz w:val="16"/>
                                  <w:szCs w:val="16"/>
                                  <w:lang w:val="en-US"/>
                                </w:rPr>
                                <w:t>1. Is the entity one or more of the following:</w:t>
                              </w:r>
                            </w:p>
                          </w:txbxContent>
                        </wps:txbx>
                        <wps:bodyPr rot="0" vert="horz" wrap="none" lIns="0" tIns="0" rIns="0" bIns="0" anchor="t" anchorCtr="0" upright="1">
                          <a:spAutoFit/>
                        </wps:bodyPr>
                      </wps:wsp>
                      <wps:wsp>
                        <wps:cNvPr id="32" name="Rectangle 88"/>
                        <wps:cNvSpPr>
                          <a:spLocks noChangeArrowheads="1"/>
                        </wps:cNvSpPr>
                        <wps:spPr bwMode="auto">
                          <a:xfrm>
                            <a:off x="74930" y="181610"/>
                            <a:ext cx="215582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64E8" w:rsidRDefault="00C664E8">
                              <w:r>
                                <w:rPr>
                                  <w:color w:val="000000"/>
                                  <w:sz w:val="16"/>
                                  <w:szCs w:val="16"/>
                                  <w:lang w:val="en-US"/>
                                </w:rPr>
                                <w:t xml:space="preserve">(a) an Australian entity that carries on a business in a </w:t>
                              </w:r>
                            </w:p>
                          </w:txbxContent>
                        </wps:txbx>
                        <wps:bodyPr rot="0" vert="horz" wrap="none" lIns="0" tIns="0" rIns="0" bIns="0" anchor="t" anchorCtr="0" upright="1">
                          <a:spAutoFit/>
                        </wps:bodyPr>
                      </wps:wsp>
                      <wps:wsp>
                        <wps:cNvPr id="33" name="Rectangle 89"/>
                        <wps:cNvSpPr>
                          <a:spLocks noChangeArrowheads="1"/>
                        </wps:cNvSpPr>
                        <wps:spPr bwMode="auto">
                          <a:xfrm>
                            <a:off x="74930" y="308610"/>
                            <a:ext cx="239839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64E8" w:rsidRDefault="00C664E8">
                              <w:r>
                                <w:rPr>
                                  <w:color w:val="000000"/>
                                  <w:sz w:val="16"/>
                                  <w:szCs w:val="16"/>
                                  <w:lang w:val="en-US"/>
                                </w:rPr>
                                <w:t xml:space="preserve">foreign country at or through a permanent establishment or </w:t>
                              </w:r>
                            </w:p>
                          </w:txbxContent>
                        </wps:txbx>
                        <wps:bodyPr rot="0" vert="horz" wrap="none" lIns="0" tIns="0" rIns="0" bIns="0" anchor="t" anchorCtr="0" upright="1">
                          <a:spAutoFit/>
                        </wps:bodyPr>
                      </wps:wsp>
                      <wps:wsp>
                        <wps:cNvPr id="34" name="Rectangle 90"/>
                        <wps:cNvSpPr>
                          <a:spLocks noChangeArrowheads="1"/>
                        </wps:cNvSpPr>
                        <wps:spPr bwMode="auto">
                          <a:xfrm>
                            <a:off x="74930" y="436245"/>
                            <a:ext cx="146177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64E8" w:rsidRDefault="00C664E8">
                              <w:r>
                                <w:rPr>
                                  <w:color w:val="000000"/>
                                  <w:sz w:val="16"/>
                                  <w:szCs w:val="16"/>
                                  <w:lang w:val="en-US"/>
                                </w:rPr>
                                <w:t xml:space="preserve">through an entity that it controls (an  </w:t>
                              </w:r>
                            </w:p>
                          </w:txbxContent>
                        </wps:txbx>
                        <wps:bodyPr rot="0" vert="horz" wrap="none" lIns="0" tIns="0" rIns="0" bIns="0" anchor="t" anchorCtr="0" upright="1">
                          <a:spAutoFit/>
                        </wps:bodyPr>
                      </wps:wsp>
                      <wps:wsp>
                        <wps:cNvPr id="35" name="Rectangle 91"/>
                        <wps:cNvSpPr>
                          <a:spLocks noChangeArrowheads="1"/>
                        </wps:cNvSpPr>
                        <wps:spPr bwMode="auto">
                          <a:xfrm>
                            <a:off x="1536700" y="436245"/>
                            <a:ext cx="89281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64E8" w:rsidRDefault="00C664E8">
                              <w:r>
                                <w:rPr>
                                  <w:b/>
                                  <w:bCs/>
                                  <w:i/>
                                  <w:iCs/>
                                  <w:color w:val="000000"/>
                                  <w:sz w:val="16"/>
                                  <w:szCs w:val="16"/>
                                  <w:lang w:val="en-US"/>
                                </w:rPr>
                                <w:t xml:space="preserve"> outward investing </w:t>
                              </w:r>
                            </w:p>
                          </w:txbxContent>
                        </wps:txbx>
                        <wps:bodyPr rot="0" vert="horz" wrap="square" lIns="0" tIns="0" rIns="0" bIns="0" anchor="t" anchorCtr="0" upright="1">
                          <a:spAutoFit/>
                        </wps:bodyPr>
                      </wps:wsp>
                      <wps:wsp>
                        <wps:cNvPr id="36" name="Rectangle 92"/>
                        <wps:cNvSpPr>
                          <a:spLocks noChangeArrowheads="1"/>
                        </wps:cNvSpPr>
                        <wps:spPr bwMode="auto">
                          <a:xfrm>
                            <a:off x="74930" y="563245"/>
                            <a:ext cx="23177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64E8" w:rsidRDefault="00C664E8">
                              <w:r>
                                <w:rPr>
                                  <w:b/>
                                  <w:bCs/>
                                  <w:i/>
                                  <w:iCs/>
                                  <w:color w:val="000000"/>
                                  <w:sz w:val="16"/>
                                  <w:szCs w:val="16"/>
                                  <w:lang w:val="en-US"/>
                                </w:rPr>
                                <w:t>entity</w:t>
                              </w:r>
                            </w:p>
                          </w:txbxContent>
                        </wps:txbx>
                        <wps:bodyPr rot="0" vert="horz" wrap="none" lIns="0" tIns="0" rIns="0" bIns="0" anchor="t" anchorCtr="0" upright="1">
                          <a:spAutoFit/>
                        </wps:bodyPr>
                      </wps:wsp>
                      <wps:wsp>
                        <wps:cNvPr id="37" name="Rectangle 93"/>
                        <wps:cNvSpPr>
                          <a:spLocks noChangeArrowheads="1"/>
                        </wps:cNvSpPr>
                        <wps:spPr bwMode="auto">
                          <a:xfrm>
                            <a:off x="306705" y="563245"/>
                            <a:ext cx="9144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64E8" w:rsidRDefault="00C664E8">
                              <w:r>
                                <w:rPr>
                                  <w:color w:val="000000"/>
                                  <w:sz w:val="16"/>
                                  <w:szCs w:val="16"/>
                                  <w:lang w:val="en-US"/>
                                </w:rPr>
                                <w:t>)?</w:t>
                              </w:r>
                            </w:p>
                          </w:txbxContent>
                        </wps:txbx>
                        <wps:bodyPr rot="0" vert="horz" wrap="square" lIns="0" tIns="0" rIns="0" bIns="0" anchor="t" anchorCtr="0" upright="1">
                          <a:spAutoFit/>
                        </wps:bodyPr>
                      </wps:wsp>
                      <wps:wsp>
                        <wps:cNvPr id="38" name="Rectangle 94"/>
                        <wps:cNvSpPr>
                          <a:spLocks noChangeArrowheads="1"/>
                        </wps:cNvSpPr>
                        <wps:spPr bwMode="auto">
                          <a:xfrm>
                            <a:off x="74930" y="690880"/>
                            <a:ext cx="209931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64E8" w:rsidRDefault="00C664E8">
                              <w:r>
                                <w:rPr>
                                  <w:color w:val="000000"/>
                                  <w:sz w:val="16"/>
                                  <w:szCs w:val="16"/>
                                  <w:lang w:val="en-US"/>
                                </w:rPr>
                                <w:t xml:space="preserve">(b) an Australian entity that is controlled by foreign </w:t>
                              </w:r>
                            </w:p>
                          </w:txbxContent>
                        </wps:txbx>
                        <wps:bodyPr rot="0" vert="horz" wrap="none" lIns="0" tIns="0" rIns="0" bIns="0" anchor="t" anchorCtr="0" upright="1">
                          <a:spAutoFit/>
                        </wps:bodyPr>
                      </wps:wsp>
                      <wps:wsp>
                        <wps:cNvPr id="39" name="Rectangle 95"/>
                        <wps:cNvSpPr>
                          <a:spLocks noChangeArrowheads="1"/>
                        </wps:cNvSpPr>
                        <wps:spPr bwMode="auto">
                          <a:xfrm>
                            <a:off x="74930" y="817880"/>
                            <a:ext cx="51689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64E8" w:rsidRDefault="00C664E8">
                              <w:r>
                                <w:rPr>
                                  <w:color w:val="000000"/>
                                  <w:sz w:val="16"/>
                                  <w:szCs w:val="16"/>
                                  <w:lang w:val="en-US"/>
                                </w:rPr>
                                <w:t xml:space="preserve">residents (an </w:t>
                              </w:r>
                            </w:p>
                          </w:txbxContent>
                        </wps:txbx>
                        <wps:bodyPr rot="0" vert="horz" wrap="none" lIns="0" tIns="0" rIns="0" bIns="0" anchor="t" anchorCtr="0" upright="1">
                          <a:spAutoFit/>
                        </wps:bodyPr>
                      </wps:wsp>
                      <wps:wsp>
                        <wps:cNvPr id="40" name="Rectangle 96"/>
                        <wps:cNvSpPr>
                          <a:spLocks noChangeArrowheads="1"/>
                        </wps:cNvSpPr>
                        <wps:spPr bwMode="auto">
                          <a:xfrm>
                            <a:off x="651510" y="817880"/>
                            <a:ext cx="95440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64E8" w:rsidRDefault="00C664E8">
                              <w:r>
                                <w:rPr>
                                  <w:b/>
                                  <w:bCs/>
                                  <w:i/>
                                  <w:iCs/>
                                  <w:color w:val="000000"/>
                                  <w:sz w:val="16"/>
                                  <w:szCs w:val="16"/>
                                  <w:lang w:val="en-US"/>
                                </w:rPr>
                                <w:t>inward investing entity</w:t>
                              </w:r>
                            </w:p>
                          </w:txbxContent>
                        </wps:txbx>
                        <wps:bodyPr rot="0" vert="horz" wrap="none" lIns="0" tIns="0" rIns="0" bIns="0" anchor="t" anchorCtr="0" upright="1">
                          <a:spAutoFit/>
                        </wps:bodyPr>
                      </wps:wsp>
                      <wps:wsp>
                        <wps:cNvPr id="41" name="Rectangle 97"/>
                        <wps:cNvSpPr>
                          <a:spLocks noChangeArrowheads="1"/>
                        </wps:cNvSpPr>
                        <wps:spPr bwMode="auto">
                          <a:xfrm>
                            <a:off x="1605915" y="817880"/>
                            <a:ext cx="14097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64E8" w:rsidRDefault="00C664E8">
                              <w:r>
                                <w:rPr>
                                  <w:color w:val="000000"/>
                                  <w:sz w:val="16"/>
                                  <w:szCs w:val="16"/>
                                  <w:lang w:val="en-US"/>
                                </w:rPr>
                                <w:t>)?</w:t>
                              </w:r>
                            </w:p>
                          </w:txbxContent>
                        </wps:txbx>
                        <wps:bodyPr rot="0" vert="horz" wrap="square" lIns="0" tIns="0" rIns="0" bIns="0" anchor="t" anchorCtr="0" upright="1">
                          <a:spAutoFit/>
                        </wps:bodyPr>
                      </wps:wsp>
                      <wps:wsp>
                        <wps:cNvPr id="42" name="Rectangle 98"/>
                        <wps:cNvSpPr>
                          <a:spLocks noChangeArrowheads="1"/>
                        </wps:cNvSpPr>
                        <wps:spPr bwMode="auto">
                          <a:xfrm>
                            <a:off x="74930" y="945515"/>
                            <a:ext cx="222948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64E8" w:rsidRDefault="00C664E8">
                              <w:r>
                                <w:rPr>
                                  <w:color w:val="000000"/>
                                  <w:sz w:val="16"/>
                                  <w:szCs w:val="16"/>
                                  <w:lang w:val="en-US"/>
                                </w:rPr>
                                <w:t xml:space="preserve">(c) a foreign entity having investments in Australia (an </w:t>
                              </w:r>
                            </w:p>
                          </w:txbxContent>
                        </wps:txbx>
                        <wps:bodyPr rot="0" vert="horz" wrap="none" lIns="0" tIns="0" rIns="0" bIns="0" anchor="t" anchorCtr="0" upright="1">
                          <a:spAutoFit/>
                        </wps:bodyPr>
                      </wps:wsp>
                      <wps:wsp>
                        <wps:cNvPr id="43" name="Rectangle 99"/>
                        <wps:cNvSpPr>
                          <a:spLocks noChangeArrowheads="1"/>
                        </wps:cNvSpPr>
                        <wps:spPr bwMode="auto">
                          <a:xfrm>
                            <a:off x="74930" y="1072515"/>
                            <a:ext cx="95440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64E8" w:rsidRDefault="00C664E8">
                              <w:r>
                                <w:rPr>
                                  <w:b/>
                                  <w:bCs/>
                                  <w:i/>
                                  <w:iCs/>
                                  <w:color w:val="000000"/>
                                  <w:sz w:val="16"/>
                                  <w:szCs w:val="16"/>
                                  <w:lang w:val="en-US"/>
                                </w:rPr>
                                <w:t>inward investing entity</w:t>
                              </w:r>
                            </w:p>
                          </w:txbxContent>
                        </wps:txbx>
                        <wps:bodyPr rot="0" vert="horz" wrap="none" lIns="0" tIns="0" rIns="0" bIns="0" anchor="t" anchorCtr="0" upright="1">
                          <a:spAutoFit/>
                        </wps:bodyPr>
                      </wps:wsp>
                      <wps:wsp>
                        <wps:cNvPr id="44" name="Rectangle 100"/>
                        <wps:cNvSpPr>
                          <a:spLocks noChangeArrowheads="1"/>
                        </wps:cNvSpPr>
                        <wps:spPr bwMode="auto">
                          <a:xfrm>
                            <a:off x="1029335" y="1072515"/>
                            <a:ext cx="14033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64E8" w:rsidRDefault="00C664E8">
                              <w:r>
                                <w:rPr>
                                  <w:color w:val="000000"/>
                                  <w:sz w:val="16"/>
                                  <w:szCs w:val="16"/>
                                  <w:lang w:val="en-US"/>
                                </w:rPr>
                                <w:t>)?</w:t>
                              </w:r>
                            </w:p>
                          </w:txbxContent>
                        </wps:txbx>
                        <wps:bodyPr rot="0" vert="horz" wrap="square" lIns="0" tIns="0" rIns="0" bIns="0" anchor="t" anchorCtr="0" upright="1">
                          <a:spAutoFit/>
                        </wps:bodyPr>
                      </wps:wsp>
                      <wps:wsp>
                        <wps:cNvPr id="45" name="Rectangle 101"/>
                        <wps:cNvSpPr>
                          <a:spLocks noChangeArrowheads="1"/>
                        </wps:cNvSpPr>
                        <wps:spPr bwMode="auto">
                          <a:xfrm>
                            <a:off x="38735" y="1577340"/>
                            <a:ext cx="2015490" cy="669925"/>
                          </a:xfrm>
                          <a:prstGeom prst="rect">
                            <a:avLst/>
                          </a:prstGeom>
                          <a:solidFill>
                            <a:srgbClr val="FFFFFF"/>
                          </a:solidFill>
                          <a:ln w="18">
                            <a:solidFill>
                              <a:srgbClr val="000000"/>
                            </a:solidFill>
                            <a:miter lim="800000"/>
                            <a:headEnd/>
                            <a:tailEnd/>
                          </a:ln>
                        </wps:spPr>
                        <wps:bodyPr rot="0" vert="horz" wrap="square" lIns="91440" tIns="45720" rIns="91440" bIns="45720" anchor="t" anchorCtr="0" upright="1">
                          <a:noAutofit/>
                        </wps:bodyPr>
                      </wps:wsp>
                      <wps:wsp>
                        <wps:cNvPr id="46" name="Rectangle 102"/>
                        <wps:cNvSpPr>
                          <a:spLocks noChangeArrowheads="1"/>
                        </wps:cNvSpPr>
                        <wps:spPr bwMode="auto">
                          <a:xfrm>
                            <a:off x="121920" y="1783715"/>
                            <a:ext cx="171577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64E8" w:rsidRDefault="00C664E8">
                              <w:r>
                                <w:rPr>
                                  <w:color w:val="000000"/>
                                  <w:sz w:val="16"/>
                                  <w:szCs w:val="16"/>
                                  <w:lang w:val="en-US"/>
                                </w:rPr>
                                <w:t xml:space="preserve">2. Is the entity an outward investing entity </w:t>
                              </w:r>
                            </w:p>
                          </w:txbxContent>
                        </wps:txbx>
                        <wps:bodyPr rot="0" vert="horz" wrap="none" lIns="0" tIns="0" rIns="0" bIns="0" anchor="t" anchorCtr="0" upright="1">
                          <a:spAutoFit/>
                        </wps:bodyPr>
                      </wps:wsp>
                      <wps:wsp>
                        <wps:cNvPr id="47" name="Rectangle 103"/>
                        <wps:cNvSpPr>
                          <a:spLocks noChangeArrowheads="1"/>
                        </wps:cNvSpPr>
                        <wps:spPr bwMode="auto">
                          <a:xfrm>
                            <a:off x="337185" y="1911350"/>
                            <a:ext cx="132905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64E8" w:rsidRDefault="00C664E8">
                              <w:r>
                                <w:rPr>
                                  <w:color w:val="000000"/>
                                  <w:sz w:val="16"/>
                                  <w:szCs w:val="16"/>
                                  <w:lang w:val="en-US"/>
                                </w:rPr>
                                <w:t>(non-ADI)? (see section 820-85)</w:t>
                              </w:r>
                            </w:p>
                          </w:txbxContent>
                        </wps:txbx>
                        <wps:bodyPr rot="0" vert="horz" wrap="none" lIns="0" tIns="0" rIns="0" bIns="0" anchor="t" anchorCtr="0" upright="1">
                          <a:spAutoFit/>
                        </wps:bodyPr>
                      </wps:wsp>
                      <wps:wsp>
                        <wps:cNvPr id="48" name="Rectangle 104"/>
                        <wps:cNvSpPr>
                          <a:spLocks noChangeArrowheads="1"/>
                        </wps:cNvSpPr>
                        <wps:spPr bwMode="auto">
                          <a:xfrm>
                            <a:off x="43180" y="2620645"/>
                            <a:ext cx="2013585" cy="647065"/>
                          </a:xfrm>
                          <a:prstGeom prst="rect">
                            <a:avLst/>
                          </a:prstGeom>
                          <a:solidFill>
                            <a:srgbClr val="FFFFFF"/>
                          </a:solidFill>
                          <a:ln w="18">
                            <a:solidFill>
                              <a:srgbClr val="000000"/>
                            </a:solidFill>
                            <a:miter lim="800000"/>
                            <a:headEnd/>
                            <a:tailEnd/>
                          </a:ln>
                        </wps:spPr>
                        <wps:bodyPr rot="0" vert="horz" wrap="square" lIns="91440" tIns="45720" rIns="91440" bIns="45720" anchor="t" anchorCtr="0" upright="1">
                          <a:noAutofit/>
                        </wps:bodyPr>
                      </wps:wsp>
                      <wps:wsp>
                        <wps:cNvPr id="49" name="Rectangle 105"/>
                        <wps:cNvSpPr>
                          <a:spLocks noChangeArrowheads="1"/>
                        </wps:cNvSpPr>
                        <wps:spPr bwMode="auto">
                          <a:xfrm>
                            <a:off x="147320" y="2821305"/>
                            <a:ext cx="166497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64E8" w:rsidRDefault="00C664E8">
                              <w:r>
                                <w:rPr>
                                  <w:color w:val="000000"/>
                                  <w:sz w:val="16"/>
                                  <w:szCs w:val="16"/>
                                  <w:lang w:val="en-US"/>
                                </w:rPr>
                                <w:t xml:space="preserve">3. Is the entity an inward investing entity </w:t>
                              </w:r>
                            </w:p>
                          </w:txbxContent>
                        </wps:txbx>
                        <wps:bodyPr rot="0" vert="horz" wrap="none" lIns="0" tIns="0" rIns="0" bIns="0" anchor="t" anchorCtr="0" upright="1">
                          <a:spAutoFit/>
                        </wps:bodyPr>
                      </wps:wsp>
                      <wps:wsp>
                        <wps:cNvPr id="50" name="Rectangle 106"/>
                        <wps:cNvSpPr>
                          <a:spLocks noChangeArrowheads="1"/>
                        </wps:cNvSpPr>
                        <wps:spPr bwMode="auto">
                          <a:xfrm>
                            <a:off x="309880" y="2948305"/>
                            <a:ext cx="137985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64E8" w:rsidRDefault="00C664E8">
                              <w:r>
                                <w:rPr>
                                  <w:color w:val="000000"/>
                                  <w:sz w:val="16"/>
                                  <w:szCs w:val="16"/>
                                  <w:lang w:val="en-US"/>
                                </w:rPr>
                                <w:t>(non-ADI)? (see section 820-185)</w:t>
                              </w:r>
                            </w:p>
                          </w:txbxContent>
                        </wps:txbx>
                        <wps:bodyPr rot="0" vert="horz" wrap="none" lIns="0" tIns="0" rIns="0" bIns="0" anchor="t" anchorCtr="0" upright="1">
                          <a:spAutoFit/>
                        </wps:bodyPr>
                      </wps:wsp>
                      <wps:wsp>
                        <wps:cNvPr id="51" name="Rectangle 107"/>
                        <wps:cNvSpPr>
                          <a:spLocks noChangeArrowheads="1"/>
                        </wps:cNvSpPr>
                        <wps:spPr bwMode="auto">
                          <a:xfrm>
                            <a:off x="40640" y="3676650"/>
                            <a:ext cx="2013585" cy="665480"/>
                          </a:xfrm>
                          <a:prstGeom prst="rect">
                            <a:avLst/>
                          </a:prstGeom>
                          <a:solidFill>
                            <a:srgbClr val="FFFFFF"/>
                          </a:solidFill>
                          <a:ln w="18">
                            <a:solidFill>
                              <a:srgbClr val="000000"/>
                            </a:solidFill>
                            <a:miter lim="800000"/>
                            <a:headEnd/>
                            <a:tailEnd/>
                          </a:ln>
                        </wps:spPr>
                        <wps:bodyPr rot="0" vert="horz" wrap="square" lIns="91440" tIns="45720" rIns="91440" bIns="45720" anchor="t" anchorCtr="0" upright="1">
                          <a:noAutofit/>
                        </wps:bodyPr>
                      </wps:wsp>
                      <wps:wsp>
                        <wps:cNvPr id="52" name="Rectangle 108"/>
                        <wps:cNvSpPr>
                          <a:spLocks noChangeArrowheads="1"/>
                        </wps:cNvSpPr>
                        <wps:spPr bwMode="auto">
                          <a:xfrm>
                            <a:off x="117475" y="3883025"/>
                            <a:ext cx="171577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64E8" w:rsidRDefault="00C664E8">
                              <w:r>
                                <w:rPr>
                                  <w:color w:val="000000"/>
                                  <w:sz w:val="16"/>
                                  <w:szCs w:val="16"/>
                                  <w:lang w:val="en-US"/>
                                </w:rPr>
                                <w:t xml:space="preserve">4. Is the entity an outward investing entity </w:t>
                              </w:r>
                            </w:p>
                          </w:txbxContent>
                        </wps:txbx>
                        <wps:bodyPr rot="0" vert="horz" wrap="none" lIns="0" tIns="0" rIns="0" bIns="0" anchor="t" anchorCtr="0" upright="1">
                          <a:spAutoFit/>
                        </wps:bodyPr>
                      </wps:wsp>
                      <wps:wsp>
                        <wps:cNvPr id="53" name="Rectangle 109"/>
                        <wps:cNvSpPr>
                          <a:spLocks noChangeArrowheads="1"/>
                        </wps:cNvSpPr>
                        <wps:spPr bwMode="auto">
                          <a:xfrm>
                            <a:off x="407035" y="4010660"/>
                            <a:ext cx="119380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64E8" w:rsidRDefault="00C664E8">
                              <w:r>
                                <w:rPr>
                                  <w:color w:val="000000"/>
                                  <w:sz w:val="16"/>
                                  <w:szCs w:val="16"/>
                                  <w:lang w:val="en-US"/>
                                </w:rPr>
                                <w:t>(ADI)? (see section 820-300)</w:t>
                              </w:r>
                            </w:p>
                          </w:txbxContent>
                        </wps:txbx>
                        <wps:bodyPr rot="0" vert="horz" wrap="none" lIns="0" tIns="0" rIns="0" bIns="0" anchor="t" anchorCtr="0" upright="1">
                          <a:spAutoFit/>
                        </wps:bodyPr>
                      </wps:wsp>
                      <wps:wsp>
                        <wps:cNvPr id="54" name="Rectangle 110"/>
                        <wps:cNvSpPr>
                          <a:spLocks noChangeArrowheads="1"/>
                        </wps:cNvSpPr>
                        <wps:spPr bwMode="auto">
                          <a:xfrm>
                            <a:off x="3323590" y="1570990"/>
                            <a:ext cx="1133475" cy="680720"/>
                          </a:xfrm>
                          <a:prstGeom prst="rect">
                            <a:avLst/>
                          </a:prstGeom>
                          <a:solidFill>
                            <a:srgbClr val="FFFFFF"/>
                          </a:solidFill>
                          <a:ln w="18">
                            <a:solidFill>
                              <a:srgbClr val="000000"/>
                            </a:solidFill>
                            <a:miter lim="800000"/>
                            <a:headEnd/>
                            <a:tailEnd/>
                          </a:ln>
                        </wps:spPr>
                        <wps:bodyPr rot="0" vert="horz" wrap="square" lIns="91440" tIns="45720" rIns="91440" bIns="45720" anchor="t" anchorCtr="0" upright="1">
                          <a:noAutofit/>
                        </wps:bodyPr>
                      </wps:wsp>
                      <wps:wsp>
                        <wps:cNvPr id="55" name="Rectangle 111"/>
                        <wps:cNvSpPr>
                          <a:spLocks noChangeArrowheads="1"/>
                        </wps:cNvSpPr>
                        <wps:spPr bwMode="auto">
                          <a:xfrm>
                            <a:off x="3468370" y="1783715"/>
                            <a:ext cx="78803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64E8" w:rsidRDefault="00C664E8">
                              <w:r>
                                <w:rPr>
                                  <w:b/>
                                  <w:bCs/>
                                  <w:color w:val="000000"/>
                                  <w:sz w:val="16"/>
                                  <w:szCs w:val="16"/>
                                  <w:lang w:val="en-US"/>
                                </w:rPr>
                                <w:t>Subdivision 820-B</w:t>
                              </w:r>
                            </w:p>
                          </w:txbxContent>
                        </wps:txbx>
                        <wps:bodyPr rot="0" vert="horz" wrap="none" lIns="0" tIns="0" rIns="0" bIns="0" anchor="t" anchorCtr="0" upright="1">
                          <a:spAutoFit/>
                        </wps:bodyPr>
                      </wps:wsp>
                      <wps:wsp>
                        <wps:cNvPr id="56" name="Rectangle 112"/>
                        <wps:cNvSpPr>
                          <a:spLocks noChangeArrowheads="1"/>
                        </wps:cNvSpPr>
                        <wps:spPr bwMode="auto">
                          <a:xfrm>
                            <a:off x="3737610" y="1911350"/>
                            <a:ext cx="28829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64E8" w:rsidRDefault="00C664E8">
                              <w:r>
                                <w:rPr>
                                  <w:color w:val="000000"/>
                                  <w:sz w:val="16"/>
                                  <w:szCs w:val="16"/>
                                  <w:lang w:val="en-US"/>
                                </w:rPr>
                                <w:t>applies</w:t>
                              </w:r>
                            </w:p>
                          </w:txbxContent>
                        </wps:txbx>
                        <wps:bodyPr rot="0" vert="horz" wrap="none" lIns="0" tIns="0" rIns="0" bIns="0" anchor="t" anchorCtr="0" upright="1">
                          <a:spAutoFit/>
                        </wps:bodyPr>
                      </wps:wsp>
                      <wps:wsp>
                        <wps:cNvPr id="57" name="Rectangle 113"/>
                        <wps:cNvSpPr>
                          <a:spLocks noChangeArrowheads="1"/>
                        </wps:cNvSpPr>
                        <wps:spPr bwMode="auto">
                          <a:xfrm>
                            <a:off x="3323590" y="248285"/>
                            <a:ext cx="1133475" cy="709295"/>
                          </a:xfrm>
                          <a:prstGeom prst="rect">
                            <a:avLst/>
                          </a:prstGeom>
                          <a:solidFill>
                            <a:srgbClr val="FFFFFF"/>
                          </a:solidFill>
                          <a:ln w="18">
                            <a:solidFill>
                              <a:srgbClr val="000000"/>
                            </a:solidFill>
                            <a:miter lim="800000"/>
                            <a:headEnd/>
                            <a:tailEnd/>
                          </a:ln>
                        </wps:spPr>
                        <wps:bodyPr rot="0" vert="horz" wrap="square" lIns="91440" tIns="45720" rIns="91440" bIns="45720" anchor="t" anchorCtr="0" upright="1">
                          <a:noAutofit/>
                        </wps:bodyPr>
                      </wps:wsp>
                      <wps:wsp>
                        <wps:cNvPr id="58" name="Rectangle 114"/>
                        <wps:cNvSpPr>
                          <a:spLocks noChangeArrowheads="1"/>
                        </wps:cNvSpPr>
                        <wps:spPr bwMode="auto">
                          <a:xfrm>
                            <a:off x="3384550" y="475615"/>
                            <a:ext cx="92329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64E8" w:rsidRDefault="00C664E8">
                              <w:r>
                                <w:rPr>
                                  <w:color w:val="000000"/>
                                  <w:sz w:val="16"/>
                                  <w:szCs w:val="16"/>
                                  <w:lang w:val="en-US"/>
                                </w:rPr>
                                <w:t xml:space="preserve">This Division does not </w:t>
                              </w:r>
                            </w:p>
                          </w:txbxContent>
                        </wps:txbx>
                        <wps:bodyPr rot="0" vert="horz" wrap="none" lIns="0" tIns="0" rIns="0" bIns="0" anchor="t" anchorCtr="0" upright="1">
                          <a:spAutoFit/>
                        </wps:bodyPr>
                      </wps:wsp>
                      <wps:wsp>
                        <wps:cNvPr id="59" name="Rectangle 115"/>
                        <wps:cNvSpPr>
                          <a:spLocks noChangeArrowheads="1"/>
                        </wps:cNvSpPr>
                        <wps:spPr bwMode="auto">
                          <a:xfrm>
                            <a:off x="3500120" y="603250"/>
                            <a:ext cx="73660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64E8" w:rsidRDefault="00C664E8">
                              <w:r>
                                <w:rPr>
                                  <w:color w:val="000000"/>
                                  <w:sz w:val="16"/>
                                  <w:szCs w:val="16"/>
                                  <w:lang w:val="en-US"/>
                                </w:rPr>
                                <w:t>apply to the entity</w:t>
                              </w:r>
                            </w:p>
                          </w:txbxContent>
                        </wps:txbx>
                        <wps:bodyPr rot="0" vert="horz" wrap="none" lIns="0" tIns="0" rIns="0" bIns="0" anchor="t" anchorCtr="0" upright="1">
                          <a:spAutoFit/>
                        </wps:bodyPr>
                      </wps:wsp>
                      <wps:wsp>
                        <wps:cNvPr id="60" name="Rectangle 116"/>
                        <wps:cNvSpPr>
                          <a:spLocks noChangeArrowheads="1"/>
                        </wps:cNvSpPr>
                        <wps:spPr bwMode="auto">
                          <a:xfrm>
                            <a:off x="40640" y="4719955"/>
                            <a:ext cx="2013585" cy="665480"/>
                          </a:xfrm>
                          <a:prstGeom prst="rect">
                            <a:avLst/>
                          </a:prstGeom>
                          <a:solidFill>
                            <a:srgbClr val="FFFFFF"/>
                          </a:solidFill>
                          <a:ln w="18">
                            <a:solidFill>
                              <a:srgbClr val="000000"/>
                            </a:solidFill>
                            <a:miter lim="800000"/>
                            <a:headEnd/>
                            <a:tailEnd/>
                          </a:ln>
                        </wps:spPr>
                        <wps:bodyPr rot="0" vert="horz" wrap="square" lIns="91440" tIns="45720" rIns="91440" bIns="45720" anchor="t" anchorCtr="0" upright="1">
                          <a:noAutofit/>
                        </wps:bodyPr>
                      </wps:wsp>
                      <wps:wsp>
                        <wps:cNvPr id="61" name="Rectangle 117"/>
                        <wps:cNvSpPr>
                          <a:spLocks noChangeArrowheads="1"/>
                        </wps:cNvSpPr>
                        <wps:spPr bwMode="auto">
                          <a:xfrm>
                            <a:off x="147320" y="4924425"/>
                            <a:ext cx="166497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64E8" w:rsidRDefault="00C664E8">
                              <w:r>
                                <w:rPr>
                                  <w:color w:val="000000"/>
                                  <w:sz w:val="16"/>
                                  <w:szCs w:val="16"/>
                                  <w:lang w:val="en-US"/>
                                </w:rPr>
                                <w:t xml:space="preserve">5. Is the entity an inward investing entity </w:t>
                              </w:r>
                            </w:p>
                          </w:txbxContent>
                        </wps:txbx>
                        <wps:bodyPr rot="0" vert="horz" wrap="none" lIns="0" tIns="0" rIns="0" bIns="0" anchor="t" anchorCtr="0" upright="1">
                          <a:spAutoFit/>
                        </wps:bodyPr>
                      </wps:wsp>
                      <wps:wsp>
                        <wps:cNvPr id="62" name="Rectangle 118"/>
                        <wps:cNvSpPr>
                          <a:spLocks noChangeArrowheads="1"/>
                        </wps:cNvSpPr>
                        <wps:spPr bwMode="auto">
                          <a:xfrm>
                            <a:off x="409575" y="5051425"/>
                            <a:ext cx="119380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64E8" w:rsidRDefault="00C664E8">
                              <w:r>
                                <w:rPr>
                                  <w:color w:val="000000"/>
                                  <w:sz w:val="16"/>
                                  <w:szCs w:val="16"/>
                                  <w:lang w:val="en-US"/>
                                </w:rPr>
                                <w:t>(ADI)? (see section 820-395)</w:t>
                              </w:r>
                            </w:p>
                          </w:txbxContent>
                        </wps:txbx>
                        <wps:bodyPr rot="0" vert="horz" wrap="none" lIns="0" tIns="0" rIns="0" bIns="0" anchor="t" anchorCtr="0" upright="1">
                          <a:spAutoFit/>
                        </wps:bodyPr>
                      </wps:wsp>
                      <wps:wsp>
                        <wps:cNvPr id="63" name="Rectangle 119"/>
                        <wps:cNvSpPr>
                          <a:spLocks noChangeArrowheads="1"/>
                        </wps:cNvSpPr>
                        <wps:spPr bwMode="auto">
                          <a:xfrm>
                            <a:off x="3323590" y="2607945"/>
                            <a:ext cx="1133475" cy="680720"/>
                          </a:xfrm>
                          <a:prstGeom prst="rect">
                            <a:avLst/>
                          </a:prstGeom>
                          <a:solidFill>
                            <a:srgbClr val="FFFFFF"/>
                          </a:solidFill>
                          <a:ln w="18">
                            <a:solidFill>
                              <a:srgbClr val="000000"/>
                            </a:solidFill>
                            <a:miter lim="800000"/>
                            <a:headEnd/>
                            <a:tailEnd/>
                          </a:ln>
                        </wps:spPr>
                        <wps:bodyPr rot="0" vert="horz" wrap="square" lIns="91440" tIns="45720" rIns="91440" bIns="45720" anchor="t" anchorCtr="0" upright="1">
                          <a:noAutofit/>
                        </wps:bodyPr>
                      </wps:wsp>
                      <wps:wsp>
                        <wps:cNvPr id="64" name="Rectangle 120"/>
                        <wps:cNvSpPr>
                          <a:spLocks noChangeArrowheads="1"/>
                        </wps:cNvSpPr>
                        <wps:spPr bwMode="auto">
                          <a:xfrm>
                            <a:off x="3463925" y="2821305"/>
                            <a:ext cx="79375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64E8" w:rsidRDefault="00C664E8">
                              <w:r>
                                <w:rPr>
                                  <w:b/>
                                  <w:bCs/>
                                  <w:color w:val="000000"/>
                                  <w:sz w:val="16"/>
                                  <w:szCs w:val="16"/>
                                  <w:lang w:val="en-US"/>
                                </w:rPr>
                                <w:t>Subdivision 820-C</w:t>
                              </w:r>
                            </w:p>
                          </w:txbxContent>
                        </wps:txbx>
                        <wps:bodyPr rot="0" vert="horz" wrap="none" lIns="0" tIns="0" rIns="0" bIns="0" anchor="t" anchorCtr="0" upright="1">
                          <a:spAutoFit/>
                        </wps:bodyPr>
                      </wps:wsp>
                      <wps:wsp>
                        <wps:cNvPr id="65" name="Rectangle 121"/>
                        <wps:cNvSpPr>
                          <a:spLocks noChangeArrowheads="1"/>
                        </wps:cNvSpPr>
                        <wps:spPr bwMode="auto">
                          <a:xfrm>
                            <a:off x="3737610" y="2948305"/>
                            <a:ext cx="28829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64E8" w:rsidRDefault="00C664E8">
                              <w:r>
                                <w:rPr>
                                  <w:color w:val="000000"/>
                                  <w:sz w:val="16"/>
                                  <w:szCs w:val="16"/>
                                  <w:lang w:val="en-US"/>
                                </w:rPr>
                                <w:t>applies</w:t>
                              </w:r>
                            </w:p>
                          </w:txbxContent>
                        </wps:txbx>
                        <wps:bodyPr rot="0" vert="horz" wrap="none" lIns="0" tIns="0" rIns="0" bIns="0" anchor="t" anchorCtr="0" upright="1">
                          <a:spAutoFit/>
                        </wps:bodyPr>
                      </wps:wsp>
                      <wps:wsp>
                        <wps:cNvPr id="66" name="Rectangle 122"/>
                        <wps:cNvSpPr>
                          <a:spLocks noChangeArrowheads="1"/>
                        </wps:cNvSpPr>
                        <wps:spPr bwMode="auto">
                          <a:xfrm>
                            <a:off x="3323590" y="3668395"/>
                            <a:ext cx="1133475" cy="680085"/>
                          </a:xfrm>
                          <a:prstGeom prst="rect">
                            <a:avLst/>
                          </a:prstGeom>
                          <a:solidFill>
                            <a:srgbClr val="FFFFFF"/>
                          </a:solidFill>
                          <a:ln w="18">
                            <a:solidFill>
                              <a:srgbClr val="000000"/>
                            </a:solidFill>
                            <a:miter lim="800000"/>
                            <a:headEnd/>
                            <a:tailEnd/>
                          </a:ln>
                        </wps:spPr>
                        <wps:bodyPr rot="0" vert="horz" wrap="square" lIns="91440" tIns="45720" rIns="91440" bIns="45720" anchor="t" anchorCtr="0" upright="1">
                          <a:noAutofit/>
                        </wps:bodyPr>
                      </wps:wsp>
                      <wps:wsp>
                        <wps:cNvPr id="67" name="Rectangle 123"/>
                        <wps:cNvSpPr>
                          <a:spLocks noChangeArrowheads="1"/>
                        </wps:cNvSpPr>
                        <wps:spPr bwMode="auto">
                          <a:xfrm>
                            <a:off x="3463925" y="3881120"/>
                            <a:ext cx="79375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64E8" w:rsidRDefault="00C664E8">
                              <w:r>
                                <w:rPr>
                                  <w:b/>
                                  <w:bCs/>
                                  <w:color w:val="000000"/>
                                  <w:sz w:val="16"/>
                                  <w:szCs w:val="16"/>
                                  <w:lang w:val="en-US"/>
                                </w:rPr>
                                <w:t>Subdivision 820-D</w:t>
                              </w:r>
                            </w:p>
                          </w:txbxContent>
                        </wps:txbx>
                        <wps:bodyPr rot="0" vert="horz" wrap="none" lIns="0" tIns="0" rIns="0" bIns="0" anchor="t" anchorCtr="0" upright="1">
                          <a:spAutoFit/>
                        </wps:bodyPr>
                      </wps:wsp>
                      <wps:wsp>
                        <wps:cNvPr id="68" name="Rectangle 124"/>
                        <wps:cNvSpPr>
                          <a:spLocks noChangeArrowheads="1"/>
                        </wps:cNvSpPr>
                        <wps:spPr bwMode="auto">
                          <a:xfrm>
                            <a:off x="3737610" y="4008120"/>
                            <a:ext cx="28829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64E8" w:rsidRDefault="00C664E8">
                              <w:r>
                                <w:rPr>
                                  <w:color w:val="000000"/>
                                  <w:sz w:val="16"/>
                                  <w:szCs w:val="16"/>
                                  <w:lang w:val="en-US"/>
                                </w:rPr>
                                <w:t>applies</w:t>
                              </w:r>
                            </w:p>
                          </w:txbxContent>
                        </wps:txbx>
                        <wps:bodyPr rot="0" vert="horz" wrap="none" lIns="0" tIns="0" rIns="0" bIns="0" anchor="t" anchorCtr="0" upright="1">
                          <a:spAutoFit/>
                        </wps:bodyPr>
                      </wps:wsp>
                      <wps:wsp>
                        <wps:cNvPr id="69" name="Rectangle 125"/>
                        <wps:cNvSpPr>
                          <a:spLocks noChangeArrowheads="1"/>
                        </wps:cNvSpPr>
                        <wps:spPr bwMode="auto">
                          <a:xfrm>
                            <a:off x="3323590" y="4707255"/>
                            <a:ext cx="1133475" cy="686435"/>
                          </a:xfrm>
                          <a:prstGeom prst="rect">
                            <a:avLst/>
                          </a:prstGeom>
                          <a:solidFill>
                            <a:srgbClr val="FFFFFF"/>
                          </a:solidFill>
                          <a:ln w="18">
                            <a:solidFill>
                              <a:srgbClr val="000000"/>
                            </a:solidFill>
                            <a:miter lim="800000"/>
                            <a:headEnd/>
                            <a:tailEnd/>
                          </a:ln>
                        </wps:spPr>
                        <wps:bodyPr rot="0" vert="horz" wrap="square" lIns="91440" tIns="45720" rIns="91440" bIns="45720" anchor="t" anchorCtr="0" upright="1">
                          <a:noAutofit/>
                        </wps:bodyPr>
                      </wps:wsp>
                      <wps:wsp>
                        <wps:cNvPr id="70" name="Rectangle 126"/>
                        <wps:cNvSpPr>
                          <a:spLocks noChangeArrowheads="1"/>
                        </wps:cNvSpPr>
                        <wps:spPr bwMode="auto">
                          <a:xfrm>
                            <a:off x="3468370" y="4924425"/>
                            <a:ext cx="78803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64E8" w:rsidRDefault="00C664E8">
                              <w:r>
                                <w:rPr>
                                  <w:b/>
                                  <w:bCs/>
                                  <w:color w:val="000000"/>
                                  <w:sz w:val="16"/>
                                  <w:szCs w:val="16"/>
                                  <w:lang w:val="en-US"/>
                                </w:rPr>
                                <w:t>Subdivision 820-E</w:t>
                              </w:r>
                            </w:p>
                          </w:txbxContent>
                        </wps:txbx>
                        <wps:bodyPr rot="0" vert="horz" wrap="none" lIns="0" tIns="0" rIns="0" bIns="0" anchor="t" anchorCtr="0" upright="1">
                          <a:spAutoFit/>
                        </wps:bodyPr>
                      </wps:wsp>
                      <wps:wsp>
                        <wps:cNvPr id="71" name="Rectangle 127"/>
                        <wps:cNvSpPr>
                          <a:spLocks noChangeArrowheads="1"/>
                        </wps:cNvSpPr>
                        <wps:spPr bwMode="auto">
                          <a:xfrm>
                            <a:off x="3737610" y="5051425"/>
                            <a:ext cx="28829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64E8" w:rsidRDefault="00C664E8">
                              <w:r>
                                <w:rPr>
                                  <w:color w:val="000000"/>
                                  <w:sz w:val="16"/>
                                  <w:szCs w:val="16"/>
                                  <w:lang w:val="en-US"/>
                                </w:rPr>
                                <w:t>applies</w:t>
                              </w:r>
                            </w:p>
                          </w:txbxContent>
                        </wps:txbx>
                        <wps:bodyPr rot="0" vert="horz" wrap="none" lIns="0" tIns="0" rIns="0" bIns="0" anchor="t" anchorCtr="0" upright="1">
                          <a:spAutoFit/>
                        </wps:bodyPr>
                      </wps:wsp>
                      <wps:wsp>
                        <wps:cNvPr id="72" name="Line 128"/>
                        <wps:cNvCnPr/>
                        <wps:spPr bwMode="auto">
                          <a:xfrm flipV="1">
                            <a:off x="2056765" y="1911350"/>
                            <a:ext cx="1174115" cy="1905"/>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73" name="Freeform 129"/>
                        <wps:cNvSpPr>
                          <a:spLocks/>
                        </wps:cNvSpPr>
                        <wps:spPr bwMode="auto">
                          <a:xfrm>
                            <a:off x="3230880" y="1869440"/>
                            <a:ext cx="90805" cy="83820"/>
                          </a:xfrm>
                          <a:custGeom>
                            <a:avLst/>
                            <a:gdLst>
                              <a:gd name="T0" fmla="*/ 143 w 143"/>
                              <a:gd name="T1" fmla="*/ 66 h 132"/>
                              <a:gd name="T2" fmla="*/ 0 w 143"/>
                              <a:gd name="T3" fmla="*/ 0 h 132"/>
                              <a:gd name="T4" fmla="*/ 0 w 143"/>
                              <a:gd name="T5" fmla="*/ 132 h 132"/>
                              <a:gd name="T6" fmla="*/ 143 w 143"/>
                              <a:gd name="T7" fmla="*/ 66 h 132"/>
                            </a:gdLst>
                            <a:ahLst/>
                            <a:cxnLst>
                              <a:cxn ang="0">
                                <a:pos x="T0" y="T1"/>
                              </a:cxn>
                              <a:cxn ang="0">
                                <a:pos x="T2" y="T3"/>
                              </a:cxn>
                              <a:cxn ang="0">
                                <a:pos x="T4" y="T5"/>
                              </a:cxn>
                              <a:cxn ang="0">
                                <a:pos x="T6" y="T7"/>
                              </a:cxn>
                            </a:cxnLst>
                            <a:rect l="0" t="0" r="r" b="b"/>
                            <a:pathLst>
                              <a:path w="143" h="132">
                                <a:moveTo>
                                  <a:pt x="143" y="66"/>
                                </a:moveTo>
                                <a:lnTo>
                                  <a:pt x="0" y="0"/>
                                </a:lnTo>
                                <a:lnTo>
                                  <a:pt x="0" y="132"/>
                                </a:lnTo>
                                <a:lnTo>
                                  <a:pt x="143" y="6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Freeform 130"/>
                        <wps:cNvSpPr>
                          <a:spLocks/>
                        </wps:cNvSpPr>
                        <wps:spPr bwMode="auto">
                          <a:xfrm>
                            <a:off x="3230880" y="1869440"/>
                            <a:ext cx="90805" cy="83820"/>
                          </a:xfrm>
                          <a:custGeom>
                            <a:avLst/>
                            <a:gdLst>
                              <a:gd name="T0" fmla="*/ 40 w 40"/>
                              <a:gd name="T1" fmla="*/ 20 h 40"/>
                              <a:gd name="T2" fmla="*/ 0 w 40"/>
                              <a:gd name="T3" fmla="*/ 0 h 40"/>
                              <a:gd name="T4" fmla="*/ 0 w 40"/>
                              <a:gd name="T5" fmla="*/ 40 h 40"/>
                              <a:gd name="T6" fmla="*/ 40 w 40"/>
                              <a:gd name="T7" fmla="*/ 20 h 40"/>
                            </a:gdLst>
                            <a:ahLst/>
                            <a:cxnLst>
                              <a:cxn ang="0">
                                <a:pos x="T0" y="T1"/>
                              </a:cxn>
                              <a:cxn ang="0">
                                <a:pos x="T2" y="T3"/>
                              </a:cxn>
                              <a:cxn ang="0">
                                <a:pos x="T4" y="T5"/>
                              </a:cxn>
                              <a:cxn ang="0">
                                <a:pos x="T6" y="T7"/>
                              </a:cxn>
                            </a:cxnLst>
                            <a:rect l="0" t="0" r="r" b="b"/>
                            <a:pathLst>
                              <a:path w="40" h="40">
                                <a:moveTo>
                                  <a:pt x="40" y="20"/>
                                </a:moveTo>
                                <a:lnTo>
                                  <a:pt x="0" y="0"/>
                                </a:lnTo>
                                <a:lnTo>
                                  <a:pt x="0" y="40"/>
                                </a:lnTo>
                                <a:lnTo>
                                  <a:pt x="40" y="2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 name="Line 131"/>
                        <wps:cNvCnPr/>
                        <wps:spPr bwMode="auto">
                          <a:xfrm>
                            <a:off x="2058670" y="2943860"/>
                            <a:ext cx="1172210" cy="4445"/>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76" name="Freeform 132"/>
                        <wps:cNvSpPr>
                          <a:spLocks/>
                        </wps:cNvSpPr>
                        <wps:spPr bwMode="auto">
                          <a:xfrm>
                            <a:off x="3230880" y="2906395"/>
                            <a:ext cx="90805" cy="83820"/>
                          </a:xfrm>
                          <a:custGeom>
                            <a:avLst/>
                            <a:gdLst>
                              <a:gd name="T0" fmla="*/ 143 w 143"/>
                              <a:gd name="T1" fmla="*/ 66 h 132"/>
                              <a:gd name="T2" fmla="*/ 0 w 143"/>
                              <a:gd name="T3" fmla="*/ 0 h 132"/>
                              <a:gd name="T4" fmla="*/ 0 w 143"/>
                              <a:gd name="T5" fmla="*/ 132 h 132"/>
                              <a:gd name="T6" fmla="*/ 143 w 143"/>
                              <a:gd name="T7" fmla="*/ 66 h 132"/>
                            </a:gdLst>
                            <a:ahLst/>
                            <a:cxnLst>
                              <a:cxn ang="0">
                                <a:pos x="T0" y="T1"/>
                              </a:cxn>
                              <a:cxn ang="0">
                                <a:pos x="T2" y="T3"/>
                              </a:cxn>
                              <a:cxn ang="0">
                                <a:pos x="T4" y="T5"/>
                              </a:cxn>
                              <a:cxn ang="0">
                                <a:pos x="T6" y="T7"/>
                              </a:cxn>
                            </a:cxnLst>
                            <a:rect l="0" t="0" r="r" b="b"/>
                            <a:pathLst>
                              <a:path w="143" h="132">
                                <a:moveTo>
                                  <a:pt x="143" y="66"/>
                                </a:moveTo>
                                <a:lnTo>
                                  <a:pt x="0" y="0"/>
                                </a:lnTo>
                                <a:lnTo>
                                  <a:pt x="0" y="132"/>
                                </a:lnTo>
                                <a:lnTo>
                                  <a:pt x="143" y="6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Freeform 133"/>
                        <wps:cNvSpPr>
                          <a:spLocks/>
                        </wps:cNvSpPr>
                        <wps:spPr bwMode="auto">
                          <a:xfrm>
                            <a:off x="3230880" y="2906395"/>
                            <a:ext cx="90805" cy="83820"/>
                          </a:xfrm>
                          <a:custGeom>
                            <a:avLst/>
                            <a:gdLst>
                              <a:gd name="T0" fmla="*/ 40 w 40"/>
                              <a:gd name="T1" fmla="*/ 20 h 40"/>
                              <a:gd name="T2" fmla="*/ 0 w 40"/>
                              <a:gd name="T3" fmla="*/ 0 h 40"/>
                              <a:gd name="T4" fmla="*/ 0 w 40"/>
                              <a:gd name="T5" fmla="*/ 40 h 40"/>
                              <a:gd name="T6" fmla="*/ 40 w 40"/>
                              <a:gd name="T7" fmla="*/ 20 h 40"/>
                            </a:gdLst>
                            <a:ahLst/>
                            <a:cxnLst>
                              <a:cxn ang="0">
                                <a:pos x="T0" y="T1"/>
                              </a:cxn>
                              <a:cxn ang="0">
                                <a:pos x="T2" y="T3"/>
                              </a:cxn>
                              <a:cxn ang="0">
                                <a:pos x="T4" y="T5"/>
                              </a:cxn>
                              <a:cxn ang="0">
                                <a:pos x="T6" y="T7"/>
                              </a:cxn>
                            </a:cxnLst>
                            <a:rect l="0" t="0" r="r" b="b"/>
                            <a:pathLst>
                              <a:path w="40" h="40">
                                <a:moveTo>
                                  <a:pt x="40" y="20"/>
                                </a:moveTo>
                                <a:lnTo>
                                  <a:pt x="0" y="0"/>
                                </a:lnTo>
                                <a:lnTo>
                                  <a:pt x="0" y="40"/>
                                </a:lnTo>
                                <a:lnTo>
                                  <a:pt x="40" y="2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 name="Line 134"/>
                        <wps:cNvCnPr/>
                        <wps:spPr bwMode="auto">
                          <a:xfrm flipV="1">
                            <a:off x="2052320" y="4006215"/>
                            <a:ext cx="1178560" cy="4445"/>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79" name="Freeform 135"/>
                        <wps:cNvSpPr>
                          <a:spLocks/>
                        </wps:cNvSpPr>
                        <wps:spPr bwMode="auto">
                          <a:xfrm>
                            <a:off x="3230880" y="3964305"/>
                            <a:ext cx="90805" cy="83820"/>
                          </a:xfrm>
                          <a:custGeom>
                            <a:avLst/>
                            <a:gdLst>
                              <a:gd name="T0" fmla="*/ 143 w 143"/>
                              <a:gd name="T1" fmla="*/ 66 h 132"/>
                              <a:gd name="T2" fmla="*/ 0 w 143"/>
                              <a:gd name="T3" fmla="*/ 0 h 132"/>
                              <a:gd name="T4" fmla="*/ 0 w 143"/>
                              <a:gd name="T5" fmla="*/ 132 h 132"/>
                              <a:gd name="T6" fmla="*/ 143 w 143"/>
                              <a:gd name="T7" fmla="*/ 66 h 132"/>
                            </a:gdLst>
                            <a:ahLst/>
                            <a:cxnLst>
                              <a:cxn ang="0">
                                <a:pos x="T0" y="T1"/>
                              </a:cxn>
                              <a:cxn ang="0">
                                <a:pos x="T2" y="T3"/>
                              </a:cxn>
                              <a:cxn ang="0">
                                <a:pos x="T4" y="T5"/>
                              </a:cxn>
                              <a:cxn ang="0">
                                <a:pos x="T6" y="T7"/>
                              </a:cxn>
                            </a:cxnLst>
                            <a:rect l="0" t="0" r="r" b="b"/>
                            <a:pathLst>
                              <a:path w="143" h="132">
                                <a:moveTo>
                                  <a:pt x="143" y="66"/>
                                </a:moveTo>
                                <a:lnTo>
                                  <a:pt x="0" y="0"/>
                                </a:lnTo>
                                <a:lnTo>
                                  <a:pt x="0" y="132"/>
                                </a:lnTo>
                                <a:lnTo>
                                  <a:pt x="143" y="6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Freeform 136"/>
                        <wps:cNvSpPr>
                          <a:spLocks/>
                        </wps:cNvSpPr>
                        <wps:spPr bwMode="auto">
                          <a:xfrm>
                            <a:off x="3230880" y="3964305"/>
                            <a:ext cx="90805" cy="83820"/>
                          </a:xfrm>
                          <a:custGeom>
                            <a:avLst/>
                            <a:gdLst>
                              <a:gd name="T0" fmla="*/ 40 w 40"/>
                              <a:gd name="T1" fmla="*/ 20 h 40"/>
                              <a:gd name="T2" fmla="*/ 0 w 40"/>
                              <a:gd name="T3" fmla="*/ 0 h 40"/>
                              <a:gd name="T4" fmla="*/ 0 w 40"/>
                              <a:gd name="T5" fmla="*/ 40 h 40"/>
                              <a:gd name="T6" fmla="*/ 40 w 40"/>
                              <a:gd name="T7" fmla="*/ 20 h 40"/>
                            </a:gdLst>
                            <a:ahLst/>
                            <a:cxnLst>
                              <a:cxn ang="0">
                                <a:pos x="T0" y="T1"/>
                              </a:cxn>
                              <a:cxn ang="0">
                                <a:pos x="T2" y="T3"/>
                              </a:cxn>
                              <a:cxn ang="0">
                                <a:pos x="T4" y="T5"/>
                              </a:cxn>
                              <a:cxn ang="0">
                                <a:pos x="T6" y="T7"/>
                              </a:cxn>
                            </a:cxnLst>
                            <a:rect l="0" t="0" r="r" b="b"/>
                            <a:pathLst>
                              <a:path w="40" h="40">
                                <a:moveTo>
                                  <a:pt x="40" y="20"/>
                                </a:moveTo>
                                <a:lnTo>
                                  <a:pt x="0" y="0"/>
                                </a:lnTo>
                                <a:lnTo>
                                  <a:pt x="0" y="40"/>
                                </a:lnTo>
                                <a:lnTo>
                                  <a:pt x="40" y="2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1" name="Line 137"/>
                        <wps:cNvCnPr/>
                        <wps:spPr bwMode="auto">
                          <a:xfrm>
                            <a:off x="2056765" y="5051425"/>
                            <a:ext cx="1174115" cy="635"/>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82" name="Freeform 138"/>
                        <wps:cNvSpPr>
                          <a:spLocks/>
                        </wps:cNvSpPr>
                        <wps:spPr bwMode="auto">
                          <a:xfrm>
                            <a:off x="3230880" y="5010150"/>
                            <a:ext cx="90805" cy="83185"/>
                          </a:xfrm>
                          <a:custGeom>
                            <a:avLst/>
                            <a:gdLst>
                              <a:gd name="T0" fmla="*/ 143 w 143"/>
                              <a:gd name="T1" fmla="*/ 65 h 131"/>
                              <a:gd name="T2" fmla="*/ 0 w 143"/>
                              <a:gd name="T3" fmla="*/ 0 h 131"/>
                              <a:gd name="T4" fmla="*/ 0 w 143"/>
                              <a:gd name="T5" fmla="*/ 131 h 131"/>
                              <a:gd name="T6" fmla="*/ 143 w 143"/>
                              <a:gd name="T7" fmla="*/ 65 h 131"/>
                            </a:gdLst>
                            <a:ahLst/>
                            <a:cxnLst>
                              <a:cxn ang="0">
                                <a:pos x="T0" y="T1"/>
                              </a:cxn>
                              <a:cxn ang="0">
                                <a:pos x="T2" y="T3"/>
                              </a:cxn>
                              <a:cxn ang="0">
                                <a:pos x="T4" y="T5"/>
                              </a:cxn>
                              <a:cxn ang="0">
                                <a:pos x="T6" y="T7"/>
                              </a:cxn>
                            </a:cxnLst>
                            <a:rect l="0" t="0" r="r" b="b"/>
                            <a:pathLst>
                              <a:path w="143" h="131">
                                <a:moveTo>
                                  <a:pt x="143" y="65"/>
                                </a:moveTo>
                                <a:lnTo>
                                  <a:pt x="0" y="0"/>
                                </a:lnTo>
                                <a:lnTo>
                                  <a:pt x="0" y="131"/>
                                </a:lnTo>
                                <a:lnTo>
                                  <a:pt x="143" y="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Freeform 139"/>
                        <wps:cNvSpPr>
                          <a:spLocks/>
                        </wps:cNvSpPr>
                        <wps:spPr bwMode="auto">
                          <a:xfrm>
                            <a:off x="3230880" y="5010150"/>
                            <a:ext cx="90805" cy="83185"/>
                          </a:xfrm>
                          <a:custGeom>
                            <a:avLst/>
                            <a:gdLst>
                              <a:gd name="T0" fmla="*/ 40 w 40"/>
                              <a:gd name="T1" fmla="*/ 20 h 40"/>
                              <a:gd name="T2" fmla="*/ 0 w 40"/>
                              <a:gd name="T3" fmla="*/ 0 h 40"/>
                              <a:gd name="T4" fmla="*/ 0 w 40"/>
                              <a:gd name="T5" fmla="*/ 40 h 40"/>
                              <a:gd name="T6" fmla="*/ 40 w 40"/>
                              <a:gd name="T7" fmla="*/ 20 h 40"/>
                            </a:gdLst>
                            <a:ahLst/>
                            <a:cxnLst>
                              <a:cxn ang="0">
                                <a:pos x="T0" y="T1"/>
                              </a:cxn>
                              <a:cxn ang="0">
                                <a:pos x="T2" y="T3"/>
                              </a:cxn>
                              <a:cxn ang="0">
                                <a:pos x="T4" y="T5"/>
                              </a:cxn>
                              <a:cxn ang="0">
                                <a:pos x="T6" y="T7"/>
                              </a:cxn>
                            </a:cxnLst>
                            <a:rect l="0" t="0" r="r" b="b"/>
                            <a:pathLst>
                              <a:path w="40" h="40">
                                <a:moveTo>
                                  <a:pt x="40" y="20"/>
                                </a:moveTo>
                                <a:lnTo>
                                  <a:pt x="0" y="0"/>
                                </a:lnTo>
                                <a:lnTo>
                                  <a:pt x="0" y="40"/>
                                </a:lnTo>
                                <a:lnTo>
                                  <a:pt x="40" y="2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4" name="Rectangle 140"/>
                        <wps:cNvSpPr>
                          <a:spLocks noChangeArrowheads="1"/>
                        </wps:cNvSpPr>
                        <wps:spPr bwMode="auto">
                          <a:xfrm>
                            <a:off x="1178560" y="1325245"/>
                            <a:ext cx="15811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64E8" w:rsidRDefault="00C664E8">
                              <w:r>
                                <w:rPr>
                                  <w:color w:val="000000"/>
                                  <w:sz w:val="16"/>
                                  <w:szCs w:val="16"/>
                                  <w:lang w:val="en-US"/>
                                </w:rPr>
                                <w:t>Yes</w:t>
                              </w:r>
                            </w:p>
                          </w:txbxContent>
                        </wps:txbx>
                        <wps:bodyPr rot="0" vert="horz" wrap="none" lIns="0" tIns="0" rIns="0" bIns="0" anchor="t" anchorCtr="0" upright="1">
                          <a:spAutoFit/>
                        </wps:bodyPr>
                      </wps:wsp>
                      <wps:wsp>
                        <wps:cNvPr id="85" name="Rectangle 141"/>
                        <wps:cNvSpPr>
                          <a:spLocks noChangeArrowheads="1"/>
                        </wps:cNvSpPr>
                        <wps:spPr bwMode="auto">
                          <a:xfrm>
                            <a:off x="1194435" y="2370455"/>
                            <a:ext cx="12446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64E8" w:rsidRDefault="00C664E8">
                              <w:r>
                                <w:rPr>
                                  <w:color w:val="000000"/>
                                  <w:sz w:val="16"/>
                                  <w:szCs w:val="16"/>
                                  <w:lang w:val="en-US"/>
                                </w:rPr>
                                <w:t>No</w:t>
                              </w:r>
                            </w:p>
                          </w:txbxContent>
                        </wps:txbx>
                        <wps:bodyPr rot="0" vert="horz" wrap="none" lIns="0" tIns="0" rIns="0" bIns="0" anchor="t" anchorCtr="0" upright="1">
                          <a:spAutoFit/>
                        </wps:bodyPr>
                      </wps:wsp>
                      <wps:wsp>
                        <wps:cNvPr id="86" name="Rectangle 142"/>
                        <wps:cNvSpPr>
                          <a:spLocks noChangeArrowheads="1"/>
                        </wps:cNvSpPr>
                        <wps:spPr bwMode="auto">
                          <a:xfrm>
                            <a:off x="1194435" y="3407410"/>
                            <a:ext cx="12446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64E8" w:rsidRDefault="00C664E8">
                              <w:r>
                                <w:rPr>
                                  <w:color w:val="000000"/>
                                  <w:sz w:val="16"/>
                                  <w:szCs w:val="16"/>
                                  <w:lang w:val="en-US"/>
                                </w:rPr>
                                <w:t>No</w:t>
                              </w:r>
                            </w:p>
                          </w:txbxContent>
                        </wps:txbx>
                        <wps:bodyPr rot="0" vert="horz" wrap="none" lIns="0" tIns="0" rIns="0" bIns="0" anchor="t" anchorCtr="0" upright="1">
                          <a:spAutoFit/>
                        </wps:bodyPr>
                      </wps:wsp>
                      <wps:wsp>
                        <wps:cNvPr id="87" name="Rectangle 143"/>
                        <wps:cNvSpPr>
                          <a:spLocks noChangeArrowheads="1"/>
                        </wps:cNvSpPr>
                        <wps:spPr bwMode="auto">
                          <a:xfrm>
                            <a:off x="1198880" y="4469130"/>
                            <a:ext cx="12446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64E8" w:rsidRDefault="00C664E8">
                              <w:r>
                                <w:rPr>
                                  <w:color w:val="000000"/>
                                  <w:sz w:val="16"/>
                                  <w:szCs w:val="16"/>
                                  <w:lang w:val="en-US"/>
                                </w:rPr>
                                <w:t>No</w:t>
                              </w:r>
                            </w:p>
                          </w:txbxContent>
                        </wps:txbx>
                        <wps:bodyPr rot="0" vert="horz" wrap="none" lIns="0" tIns="0" rIns="0" bIns="0" anchor="t" anchorCtr="0" upright="1">
                          <a:spAutoFit/>
                        </wps:bodyPr>
                      </wps:wsp>
                      <wps:wsp>
                        <wps:cNvPr id="88" name="Line 144"/>
                        <wps:cNvCnPr/>
                        <wps:spPr bwMode="auto">
                          <a:xfrm flipV="1">
                            <a:off x="2608580" y="601345"/>
                            <a:ext cx="644525" cy="508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89" name="Freeform 145"/>
                        <wps:cNvSpPr>
                          <a:spLocks/>
                        </wps:cNvSpPr>
                        <wps:spPr bwMode="auto">
                          <a:xfrm>
                            <a:off x="3230880" y="561340"/>
                            <a:ext cx="90805" cy="83185"/>
                          </a:xfrm>
                          <a:custGeom>
                            <a:avLst/>
                            <a:gdLst>
                              <a:gd name="T0" fmla="*/ 143 w 143"/>
                              <a:gd name="T1" fmla="*/ 66 h 131"/>
                              <a:gd name="T2" fmla="*/ 0 w 143"/>
                              <a:gd name="T3" fmla="*/ 0 h 131"/>
                              <a:gd name="T4" fmla="*/ 0 w 143"/>
                              <a:gd name="T5" fmla="*/ 131 h 131"/>
                              <a:gd name="T6" fmla="*/ 143 w 143"/>
                              <a:gd name="T7" fmla="*/ 66 h 131"/>
                            </a:gdLst>
                            <a:ahLst/>
                            <a:cxnLst>
                              <a:cxn ang="0">
                                <a:pos x="T0" y="T1"/>
                              </a:cxn>
                              <a:cxn ang="0">
                                <a:pos x="T2" y="T3"/>
                              </a:cxn>
                              <a:cxn ang="0">
                                <a:pos x="T4" y="T5"/>
                              </a:cxn>
                              <a:cxn ang="0">
                                <a:pos x="T6" y="T7"/>
                              </a:cxn>
                            </a:cxnLst>
                            <a:rect l="0" t="0" r="r" b="b"/>
                            <a:pathLst>
                              <a:path w="143" h="131">
                                <a:moveTo>
                                  <a:pt x="143" y="66"/>
                                </a:moveTo>
                                <a:lnTo>
                                  <a:pt x="0" y="0"/>
                                </a:lnTo>
                                <a:lnTo>
                                  <a:pt x="0" y="131"/>
                                </a:lnTo>
                                <a:lnTo>
                                  <a:pt x="143" y="6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 name="Freeform 146"/>
                        <wps:cNvSpPr>
                          <a:spLocks/>
                        </wps:cNvSpPr>
                        <wps:spPr bwMode="auto">
                          <a:xfrm>
                            <a:off x="3230880" y="561340"/>
                            <a:ext cx="90805" cy="83185"/>
                          </a:xfrm>
                          <a:custGeom>
                            <a:avLst/>
                            <a:gdLst>
                              <a:gd name="T0" fmla="*/ 40 w 40"/>
                              <a:gd name="T1" fmla="*/ 20 h 40"/>
                              <a:gd name="T2" fmla="*/ 0 w 40"/>
                              <a:gd name="T3" fmla="*/ 0 h 40"/>
                              <a:gd name="T4" fmla="*/ 0 w 40"/>
                              <a:gd name="T5" fmla="*/ 40 h 40"/>
                              <a:gd name="T6" fmla="*/ 40 w 40"/>
                              <a:gd name="T7" fmla="*/ 20 h 40"/>
                            </a:gdLst>
                            <a:ahLst/>
                            <a:cxnLst>
                              <a:cxn ang="0">
                                <a:pos x="T0" y="T1"/>
                              </a:cxn>
                              <a:cxn ang="0">
                                <a:pos x="T2" y="T3"/>
                              </a:cxn>
                              <a:cxn ang="0">
                                <a:pos x="T4" y="T5"/>
                              </a:cxn>
                              <a:cxn ang="0">
                                <a:pos x="T6" y="T7"/>
                              </a:cxn>
                            </a:cxnLst>
                            <a:rect l="0" t="0" r="r" b="b"/>
                            <a:pathLst>
                              <a:path w="40" h="40">
                                <a:moveTo>
                                  <a:pt x="40" y="20"/>
                                </a:moveTo>
                                <a:lnTo>
                                  <a:pt x="0" y="0"/>
                                </a:lnTo>
                                <a:lnTo>
                                  <a:pt x="0" y="40"/>
                                </a:lnTo>
                                <a:lnTo>
                                  <a:pt x="40" y="2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1" name="Rectangle 147"/>
                        <wps:cNvSpPr>
                          <a:spLocks noChangeArrowheads="1"/>
                        </wps:cNvSpPr>
                        <wps:spPr bwMode="auto">
                          <a:xfrm>
                            <a:off x="2882265" y="438150"/>
                            <a:ext cx="12446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64E8" w:rsidRDefault="00C664E8">
                              <w:r>
                                <w:rPr>
                                  <w:color w:val="000000"/>
                                  <w:sz w:val="16"/>
                                  <w:szCs w:val="16"/>
                                  <w:lang w:val="en-US"/>
                                </w:rPr>
                                <w:t>No</w:t>
                              </w:r>
                            </w:p>
                          </w:txbxContent>
                        </wps:txbx>
                        <wps:bodyPr rot="0" vert="horz" wrap="none" lIns="0" tIns="0" rIns="0" bIns="0" anchor="t" anchorCtr="0" upright="1">
                          <a:spAutoFit/>
                        </wps:bodyPr>
                      </wps:wsp>
                      <wps:wsp>
                        <wps:cNvPr id="92" name="Line 148"/>
                        <wps:cNvCnPr/>
                        <wps:spPr bwMode="auto">
                          <a:xfrm>
                            <a:off x="1078865" y="1237615"/>
                            <a:ext cx="2540" cy="297815"/>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93" name="Freeform 149"/>
                        <wps:cNvSpPr>
                          <a:spLocks/>
                        </wps:cNvSpPr>
                        <wps:spPr bwMode="auto">
                          <a:xfrm>
                            <a:off x="1038225" y="1491615"/>
                            <a:ext cx="90805" cy="83820"/>
                          </a:xfrm>
                          <a:custGeom>
                            <a:avLst/>
                            <a:gdLst>
                              <a:gd name="T0" fmla="*/ 72 w 143"/>
                              <a:gd name="T1" fmla="*/ 132 h 132"/>
                              <a:gd name="T2" fmla="*/ 143 w 143"/>
                              <a:gd name="T3" fmla="*/ 0 h 132"/>
                              <a:gd name="T4" fmla="*/ 0 w 143"/>
                              <a:gd name="T5" fmla="*/ 0 h 132"/>
                              <a:gd name="T6" fmla="*/ 72 w 143"/>
                              <a:gd name="T7" fmla="*/ 132 h 132"/>
                            </a:gdLst>
                            <a:ahLst/>
                            <a:cxnLst>
                              <a:cxn ang="0">
                                <a:pos x="T0" y="T1"/>
                              </a:cxn>
                              <a:cxn ang="0">
                                <a:pos x="T2" y="T3"/>
                              </a:cxn>
                              <a:cxn ang="0">
                                <a:pos x="T4" y="T5"/>
                              </a:cxn>
                              <a:cxn ang="0">
                                <a:pos x="T6" y="T7"/>
                              </a:cxn>
                            </a:cxnLst>
                            <a:rect l="0" t="0" r="r" b="b"/>
                            <a:pathLst>
                              <a:path w="143" h="132">
                                <a:moveTo>
                                  <a:pt x="72" y="132"/>
                                </a:moveTo>
                                <a:lnTo>
                                  <a:pt x="143" y="0"/>
                                </a:lnTo>
                                <a:lnTo>
                                  <a:pt x="0" y="0"/>
                                </a:lnTo>
                                <a:lnTo>
                                  <a:pt x="72" y="13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 name="Freeform 150"/>
                        <wps:cNvSpPr>
                          <a:spLocks/>
                        </wps:cNvSpPr>
                        <wps:spPr bwMode="auto">
                          <a:xfrm>
                            <a:off x="1038225" y="1491615"/>
                            <a:ext cx="90805" cy="83820"/>
                          </a:xfrm>
                          <a:custGeom>
                            <a:avLst/>
                            <a:gdLst>
                              <a:gd name="T0" fmla="*/ 20 w 40"/>
                              <a:gd name="T1" fmla="*/ 40 h 40"/>
                              <a:gd name="T2" fmla="*/ 40 w 40"/>
                              <a:gd name="T3" fmla="*/ 0 h 40"/>
                              <a:gd name="T4" fmla="*/ 0 w 40"/>
                              <a:gd name="T5" fmla="*/ 0 h 40"/>
                              <a:gd name="T6" fmla="*/ 20 w 40"/>
                              <a:gd name="T7" fmla="*/ 40 h 40"/>
                            </a:gdLst>
                            <a:ahLst/>
                            <a:cxnLst>
                              <a:cxn ang="0">
                                <a:pos x="T0" y="T1"/>
                              </a:cxn>
                              <a:cxn ang="0">
                                <a:pos x="T2" y="T3"/>
                              </a:cxn>
                              <a:cxn ang="0">
                                <a:pos x="T4" y="T5"/>
                              </a:cxn>
                              <a:cxn ang="0">
                                <a:pos x="T6" y="T7"/>
                              </a:cxn>
                            </a:cxnLst>
                            <a:rect l="0" t="0" r="r" b="b"/>
                            <a:pathLst>
                              <a:path w="40" h="40">
                                <a:moveTo>
                                  <a:pt x="20" y="40"/>
                                </a:moveTo>
                                <a:lnTo>
                                  <a:pt x="40" y="0"/>
                                </a:lnTo>
                                <a:lnTo>
                                  <a:pt x="0" y="0"/>
                                </a:lnTo>
                                <a:lnTo>
                                  <a:pt x="20" y="4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5" name="Line 151"/>
                        <wps:cNvCnPr/>
                        <wps:spPr bwMode="auto">
                          <a:xfrm>
                            <a:off x="1088390" y="2249170"/>
                            <a:ext cx="635" cy="28575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96" name="Freeform 152"/>
                        <wps:cNvSpPr>
                          <a:spLocks/>
                        </wps:cNvSpPr>
                        <wps:spPr bwMode="auto">
                          <a:xfrm>
                            <a:off x="1043305" y="2534920"/>
                            <a:ext cx="90170" cy="83820"/>
                          </a:xfrm>
                          <a:custGeom>
                            <a:avLst/>
                            <a:gdLst>
                              <a:gd name="T0" fmla="*/ 71 w 142"/>
                              <a:gd name="T1" fmla="*/ 132 h 132"/>
                              <a:gd name="T2" fmla="*/ 142 w 142"/>
                              <a:gd name="T3" fmla="*/ 0 h 132"/>
                              <a:gd name="T4" fmla="*/ 0 w 142"/>
                              <a:gd name="T5" fmla="*/ 0 h 132"/>
                              <a:gd name="T6" fmla="*/ 71 w 142"/>
                              <a:gd name="T7" fmla="*/ 132 h 132"/>
                            </a:gdLst>
                            <a:ahLst/>
                            <a:cxnLst>
                              <a:cxn ang="0">
                                <a:pos x="T0" y="T1"/>
                              </a:cxn>
                              <a:cxn ang="0">
                                <a:pos x="T2" y="T3"/>
                              </a:cxn>
                              <a:cxn ang="0">
                                <a:pos x="T4" y="T5"/>
                              </a:cxn>
                              <a:cxn ang="0">
                                <a:pos x="T6" y="T7"/>
                              </a:cxn>
                            </a:cxnLst>
                            <a:rect l="0" t="0" r="r" b="b"/>
                            <a:pathLst>
                              <a:path w="142" h="132">
                                <a:moveTo>
                                  <a:pt x="71" y="132"/>
                                </a:moveTo>
                                <a:lnTo>
                                  <a:pt x="142" y="0"/>
                                </a:lnTo>
                                <a:lnTo>
                                  <a:pt x="0" y="0"/>
                                </a:lnTo>
                                <a:lnTo>
                                  <a:pt x="71" y="13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 name="Freeform 153"/>
                        <wps:cNvSpPr>
                          <a:spLocks/>
                        </wps:cNvSpPr>
                        <wps:spPr bwMode="auto">
                          <a:xfrm>
                            <a:off x="1043305" y="2534920"/>
                            <a:ext cx="90170" cy="83820"/>
                          </a:xfrm>
                          <a:custGeom>
                            <a:avLst/>
                            <a:gdLst>
                              <a:gd name="T0" fmla="*/ 20 w 40"/>
                              <a:gd name="T1" fmla="*/ 40 h 40"/>
                              <a:gd name="T2" fmla="*/ 40 w 40"/>
                              <a:gd name="T3" fmla="*/ 0 h 40"/>
                              <a:gd name="T4" fmla="*/ 0 w 40"/>
                              <a:gd name="T5" fmla="*/ 0 h 40"/>
                              <a:gd name="T6" fmla="*/ 20 w 40"/>
                              <a:gd name="T7" fmla="*/ 40 h 40"/>
                            </a:gdLst>
                            <a:ahLst/>
                            <a:cxnLst>
                              <a:cxn ang="0">
                                <a:pos x="T0" y="T1"/>
                              </a:cxn>
                              <a:cxn ang="0">
                                <a:pos x="T2" y="T3"/>
                              </a:cxn>
                              <a:cxn ang="0">
                                <a:pos x="T4" y="T5"/>
                              </a:cxn>
                              <a:cxn ang="0">
                                <a:pos x="T6" y="T7"/>
                              </a:cxn>
                            </a:cxnLst>
                            <a:rect l="0" t="0" r="r" b="b"/>
                            <a:pathLst>
                              <a:path w="40" h="40">
                                <a:moveTo>
                                  <a:pt x="20" y="40"/>
                                </a:moveTo>
                                <a:lnTo>
                                  <a:pt x="40" y="0"/>
                                </a:lnTo>
                                <a:lnTo>
                                  <a:pt x="0" y="0"/>
                                </a:lnTo>
                                <a:lnTo>
                                  <a:pt x="20" y="4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 name="Line 154"/>
                        <wps:cNvCnPr/>
                        <wps:spPr bwMode="auto">
                          <a:xfrm>
                            <a:off x="1085850" y="3267710"/>
                            <a:ext cx="4445" cy="323215"/>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99" name="Freeform 155"/>
                        <wps:cNvSpPr>
                          <a:spLocks/>
                        </wps:cNvSpPr>
                        <wps:spPr bwMode="auto">
                          <a:xfrm>
                            <a:off x="1045210" y="3590925"/>
                            <a:ext cx="90805" cy="83820"/>
                          </a:xfrm>
                          <a:custGeom>
                            <a:avLst/>
                            <a:gdLst>
                              <a:gd name="T0" fmla="*/ 71 w 143"/>
                              <a:gd name="T1" fmla="*/ 132 h 132"/>
                              <a:gd name="T2" fmla="*/ 143 w 143"/>
                              <a:gd name="T3" fmla="*/ 0 h 132"/>
                              <a:gd name="T4" fmla="*/ 0 w 143"/>
                              <a:gd name="T5" fmla="*/ 0 h 132"/>
                              <a:gd name="T6" fmla="*/ 71 w 143"/>
                              <a:gd name="T7" fmla="*/ 132 h 132"/>
                            </a:gdLst>
                            <a:ahLst/>
                            <a:cxnLst>
                              <a:cxn ang="0">
                                <a:pos x="T0" y="T1"/>
                              </a:cxn>
                              <a:cxn ang="0">
                                <a:pos x="T2" y="T3"/>
                              </a:cxn>
                              <a:cxn ang="0">
                                <a:pos x="T4" y="T5"/>
                              </a:cxn>
                              <a:cxn ang="0">
                                <a:pos x="T6" y="T7"/>
                              </a:cxn>
                            </a:cxnLst>
                            <a:rect l="0" t="0" r="r" b="b"/>
                            <a:pathLst>
                              <a:path w="143" h="132">
                                <a:moveTo>
                                  <a:pt x="71" y="132"/>
                                </a:moveTo>
                                <a:lnTo>
                                  <a:pt x="143" y="0"/>
                                </a:lnTo>
                                <a:lnTo>
                                  <a:pt x="0" y="0"/>
                                </a:lnTo>
                                <a:lnTo>
                                  <a:pt x="71" y="13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 name="Freeform 156"/>
                        <wps:cNvSpPr>
                          <a:spLocks/>
                        </wps:cNvSpPr>
                        <wps:spPr bwMode="auto">
                          <a:xfrm>
                            <a:off x="1045210" y="3590925"/>
                            <a:ext cx="90805" cy="83820"/>
                          </a:xfrm>
                          <a:custGeom>
                            <a:avLst/>
                            <a:gdLst>
                              <a:gd name="T0" fmla="*/ 20 w 40"/>
                              <a:gd name="T1" fmla="*/ 40 h 40"/>
                              <a:gd name="T2" fmla="*/ 40 w 40"/>
                              <a:gd name="T3" fmla="*/ 0 h 40"/>
                              <a:gd name="T4" fmla="*/ 0 w 40"/>
                              <a:gd name="T5" fmla="*/ 0 h 40"/>
                              <a:gd name="T6" fmla="*/ 20 w 40"/>
                              <a:gd name="T7" fmla="*/ 40 h 40"/>
                            </a:gdLst>
                            <a:ahLst/>
                            <a:cxnLst>
                              <a:cxn ang="0">
                                <a:pos x="T0" y="T1"/>
                              </a:cxn>
                              <a:cxn ang="0">
                                <a:pos x="T2" y="T3"/>
                              </a:cxn>
                              <a:cxn ang="0">
                                <a:pos x="T4" y="T5"/>
                              </a:cxn>
                              <a:cxn ang="0">
                                <a:pos x="T6" y="T7"/>
                              </a:cxn>
                            </a:cxnLst>
                            <a:rect l="0" t="0" r="r" b="b"/>
                            <a:pathLst>
                              <a:path w="40" h="40">
                                <a:moveTo>
                                  <a:pt x="20" y="40"/>
                                </a:moveTo>
                                <a:lnTo>
                                  <a:pt x="40" y="0"/>
                                </a:lnTo>
                                <a:lnTo>
                                  <a:pt x="0" y="0"/>
                                </a:lnTo>
                                <a:lnTo>
                                  <a:pt x="20" y="4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1" name="Line 157"/>
                        <wps:cNvCnPr/>
                        <wps:spPr bwMode="auto">
                          <a:xfrm>
                            <a:off x="1090295" y="4344035"/>
                            <a:ext cx="635" cy="290195"/>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02" name="Freeform 158"/>
                        <wps:cNvSpPr>
                          <a:spLocks/>
                        </wps:cNvSpPr>
                        <wps:spPr bwMode="auto">
                          <a:xfrm>
                            <a:off x="1045210" y="4634230"/>
                            <a:ext cx="90805" cy="83185"/>
                          </a:xfrm>
                          <a:custGeom>
                            <a:avLst/>
                            <a:gdLst>
                              <a:gd name="T0" fmla="*/ 71 w 143"/>
                              <a:gd name="T1" fmla="*/ 131 h 131"/>
                              <a:gd name="T2" fmla="*/ 143 w 143"/>
                              <a:gd name="T3" fmla="*/ 0 h 131"/>
                              <a:gd name="T4" fmla="*/ 0 w 143"/>
                              <a:gd name="T5" fmla="*/ 0 h 131"/>
                              <a:gd name="T6" fmla="*/ 71 w 143"/>
                              <a:gd name="T7" fmla="*/ 131 h 131"/>
                            </a:gdLst>
                            <a:ahLst/>
                            <a:cxnLst>
                              <a:cxn ang="0">
                                <a:pos x="T0" y="T1"/>
                              </a:cxn>
                              <a:cxn ang="0">
                                <a:pos x="T2" y="T3"/>
                              </a:cxn>
                              <a:cxn ang="0">
                                <a:pos x="T4" y="T5"/>
                              </a:cxn>
                              <a:cxn ang="0">
                                <a:pos x="T6" y="T7"/>
                              </a:cxn>
                            </a:cxnLst>
                            <a:rect l="0" t="0" r="r" b="b"/>
                            <a:pathLst>
                              <a:path w="143" h="131">
                                <a:moveTo>
                                  <a:pt x="71" y="131"/>
                                </a:moveTo>
                                <a:lnTo>
                                  <a:pt x="143" y="0"/>
                                </a:lnTo>
                                <a:lnTo>
                                  <a:pt x="0" y="0"/>
                                </a:lnTo>
                                <a:lnTo>
                                  <a:pt x="71" y="13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 name="Freeform 159"/>
                        <wps:cNvSpPr>
                          <a:spLocks/>
                        </wps:cNvSpPr>
                        <wps:spPr bwMode="auto">
                          <a:xfrm>
                            <a:off x="1045210" y="4634230"/>
                            <a:ext cx="90805" cy="83185"/>
                          </a:xfrm>
                          <a:custGeom>
                            <a:avLst/>
                            <a:gdLst>
                              <a:gd name="T0" fmla="*/ 20 w 40"/>
                              <a:gd name="T1" fmla="*/ 40 h 40"/>
                              <a:gd name="T2" fmla="*/ 40 w 40"/>
                              <a:gd name="T3" fmla="*/ 0 h 40"/>
                              <a:gd name="T4" fmla="*/ 0 w 40"/>
                              <a:gd name="T5" fmla="*/ 0 h 40"/>
                              <a:gd name="T6" fmla="*/ 20 w 40"/>
                              <a:gd name="T7" fmla="*/ 40 h 40"/>
                            </a:gdLst>
                            <a:ahLst/>
                            <a:cxnLst>
                              <a:cxn ang="0">
                                <a:pos x="T0" y="T1"/>
                              </a:cxn>
                              <a:cxn ang="0">
                                <a:pos x="T2" y="T3"/>
                              </a:cxn>
                              <a:cxn ang="0">
                                <a:pos x="T4" y="T5"/>
                              </a:cxn>
                              <a:cxn ang="0">
                                <a:pos x="T6" y="T7"/>
                              </a:cxn>
                            </a:cxnLst>
                            <a:rect l="0" t="0" r="r" b="b"/>
                            <a:pathLst>
                              <a:path w="40" h="40">
                                <a:moveTo>
                                  <a:pt x="20" y="40"/>
                                </a:moveTo>
                                <a:lnTo>
                                  <a:pt x="40" y="0"/>
                                </a:lnTo>
                                <a:lnTo>
                                  <a:pt x="0" y="0"/>
                                </a:lnTo>
                                <a:lnTo>
                                  <a:pt x="20" y="4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 name="Rectangle 160"/>
                        <wps:cNvSpPr>
                          <a:spLocks noChangeArrowheads="1"/>
                        </wps:cNvSpPr>
                        <wps:spPr bwMode="auto">
                          <a:xfrm>
                            <a:off x="2644775" y="1742440"/>
                            <a:ext cx="15811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64E8" w:rsidRDefault="00C664E8">
                              <w:r>
                                <w:rPr>
                                  <w:color w:val="000000"/>
                                  <w:sz w:val="16"/>
                                  <w:szCs w:val="16"/>
                                  <w:lang w:val="en-US"/>
                                </w:rPr>
                                <w:t>Yes</w:t>
                              </w:r>
                            </w:p>
                          </w:txbxContent>
                        </wps:txbx>
                        <wps:bodyPr rot="0" vert="horz" wrap="none" lIns="0" tIns="0" rIns="0" bIns="0" anchor="t" anchorCtr="0" upright="1">
                          <a:spAutoFit/>
                        </wps:bodyPr>
                      </wps:wsp>
                      <wps:wsp>
                        <wps:cNvPr id="105" name="Rectangle 161"/>
                        <wps:cNvSpPr>
                          <a:spLocks noChangeArrowheads="1"/>
                        </wps:cNvSpPr>
                        <wps:spPr bwMode="auto">
                          <a:xfrm>
                            <a:off x="2647315" y="2777490"/>
                            <a:ext cx="15811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64E8" w:rsidRDefault="00C664E8">
                              <w:r>
                                <w:rPr>
                                  <w:color w:val="000000"/>
                                  <w:sz w:val="16"/>
                                  <w:szCs w:val="16"/>
                                  <w:lang w:val="en-US"/>
                                </w:rPr>
                                <w:t>Yes</w:t>
                              </w:r>
                            </w:p>
                          </w:txbxContent>
                        </wps:txbx>
                        <wps:bodyPr rot="0" vert="horz" wrap="none" lIns="0" tIns="0" rIns="0" bIns="0" anchor="t" anchorCtr="0" upright="1">
                          <a:spAutoFit/>
                        </wps:bodyPr>
                      </wps:wsp>
                      <wps:wsp>
                        <wps:cNvPr id="106" name="Rectangle 162"/>
                        <wps:cNvSpPr>
                          <a:spLocks noChangeArrowheads="1"/>
                        </wps:cNvSpPr>
                        <wps:spPr bwMode="auto">
                          <a:xfrm>
                            <a:off x="2649220" y="3829050"/>
                            <a:ext cx="15811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64E8" w:rsidRDefault="00C664E8">
                              <w:r>
                                <w:rPr>
                                  <w:color w:val="000000"/>
                                  <w:sz w:val="16"/>
                                  <w:szCs w:val="16"/>
                                  <w:lang w:val="en-US"/>
                                </w:rPr>
                                <w:t>Yes</w:t>
                              </w:r>
                            </w:p>
                          </w:txbxContent>
                        </wps:txbx>
                        <wps:bodyPr rot="0" vert="horz" wrap="none" lIns="0" tIns="0" rIns="0" bIns="0" anchor="t" anchorCtr="0" upright="1">
                          <a:spAutoFit/>
                        </wps:bodyPr>
                      </wps:wsp>
                      <wps:wsp>
                        <wps:cNvPr id="107" name="Rectangle 163"/>
                        <wps:cNvSpPr>
                          <a:spLocks noChangeArrowheads="1"/>
                        </wps:cNvSpPr>
                        <wps:spPr bwMode="auto">
                          <a:xfrm>
                            <a:off x="2644775" y="4890770"/>
                            <a:ext cx="15811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64E8" w:rsidRDefault="00C664E8">
                              <w:r>
                                <w:rPr>
                                  <w:color w:val="000000"/>
                                  <w:sz w:val="16"/>
                                  <w:szCs w:val="16"/>
                                  <w:lang w:val="en-US"/>
                                </w:rPr>
                                <w:t>Yes</w:t>
                              </w:r>
                            </w:p>
                          </w:txbxContent>
                        </wps:txbx>
                        <wps:bodyPr rot="0" vert="horz" wrap="none" lIns="0" tIns="0" rIns="0" bIns="0" anchor="t" anchorCtr="0" upright="1">
                          <a:spAutoFit/>
                        </wps:bodyPr>
                      </wps:wsp>
                    </wpc:wpc>
                  </a:graphicData>
                </a:graphic>
              </wp:inline>
            </w:drawing>
          </mc:Choice>
          <mc:Fallback>
            <w:pict>
              <v:group id="Canvas 85" o:spid="_x0000_s1026" editas="canvas" style="width:354pt;height:427.5pt;mso-position-horizontal-relative:char;mso-position-vertical-relative:line" coordsize="44958,54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4958;height:54292;visibility:visible;mso-wrap-style:square">
                  <v:fill o:detectmouseclick="t"/>
                  <v:path o:connecttype="none"/>
                </v:shape>
                <v:rect id="Rectangle 86" o:spid="_x0000_s1028" style="position:absolute;top:882;width:26085;height:114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G338EA&#10;AADbAAAADwAAAGRycy9kb3ducmV2LnhtbERPS2sCMRC+F/ofwhS81UQR6a5GKYJQqAcfLXocNuNu&#10;6GaybLK6/nsjCL3Nx/ec+bJ3tbhQG6xnDaOhAkFceGO51PBzWL9/gAgR2WDtmTTcKMBy8foyx9z4&#10;K+/oso+lSCEcctRQxdjkUoaiIodh6BvixJ196zAm2JbStHhN4a6WY6Wm0qHl1FBhQ6uKir995zTw&#10;76bLxjZ238f1NlPKnlammGg9eOs/ZyAi9fFf/HR/mTR/BI9f0gFyc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ERt9/BAAAA2wAAAA8AAAAAAAAAAAAAAAAAmAIAAGRycy9kb3du&#10;cmV2LnhtbFBLBQYAAAAABAAEAPUAAACGAwAAAAA=&#10;" strokeweight=".0005mm"/>
                <v:rect id="Rectangle 87" o:spid="_x0000_s1029" style="position:absolute;left:749;top:539;width:18059;height:165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vecAA&#10;AADbAAAADwAAAGRycy9kb3ducmV2LnhtbESPzYoCMRCE7wu+Q2jB25rRhU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M/vecAAAADbAAAADwAAAAAAAAAAAAAAAACYAgAAZHJzL2Rvd25y&#10;ZXYueG1sUEsFBgAAAAAEAAQA9QAAAIUDAAAAAA==&#10;" filled="f" stroked="f">
                  <v:textbox style="mso-fit-shape-to-text:t" inset="0,0,0,0">
                    <w:txbxContent>
                      <w:p w:rsidR="00C664E8" w:rsidRDefault="00C664E8">
                        <w:r>
                          <w:rPr>
                            <w:color w:val="000000"/>
                            <w:sz w:val="16"/>
                            <w:szCs w:val="16"/>
                            <w:lang w:val="en-US"/>
                          </w:rPr>
                          <w:t>1. Is the entity one or more of the following:</w:t>
                        </w:r>
                      </w:p>
                    </w:txbxContent>
                  </v:textbox>
                </v:rect>
                <v:rect id="Rectangle 88" o:spid="_x0000_s1030" style="position:absolute;left:749;top:1816;width:21558;height:165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1xDsEA&#10;AADbAAAADwAAAGRycy9kb3ducmV2LnhtbESP3YrCMBSE7wXfIRxh7zS1wi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AdcQ7BAAAA2wAAAA8AAAAAAAAAAAAAAAAAmAIAAGRycy9kb3du&#10;cmV2LnhtbFBLBQYAAAAABAAEAPUAAACGAwAAAAA=&#10;" filled="f" stroked="f">
                  <v:textbox style="mso-fit-shape-to-text:t" inset="0,0,0,0">
                    <w:txbxContent>
                      <w:p w:rsidR="00C664E8" w:rsidRDefault="00C664E8">
                        <w:r>
                          <w:rPr>
                            <w:color w:val="000000"/>
                            <w:sz w:val="16"/>
                            <w:szCs w:val="16"/>
                            <w:lang w:val="en-US"/>
                          </w:rPr>
                          <w:t xml:space="preserve">(a) an Australian entity that carries on a business in a </w:t>
                        </w:r>
                      </w:p>
                    </w:txbxContent>
                  </v:textbox>
                </v:rect>
                <v:rect id="Rectangle 89" o:spid="_x0000_s1031" style="position:absolute;left:749;top:3086;width:23984;height:165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HUlcAA&#10;AADbAAAADwAAAGRycy9kb3ducmV2LnhtbESPzYoCMRCE7wu+Q2jB25pRYZ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1HUlcAAAADbAAAADwAAAAAAAAAAAAAAAACYAgAAZHJzL2Rvd25y&#10;ZXYueG1sUEsFBgAAAAAEAAQA9QAAAIUDAAAAAA==&#10;" filled="f" stroked="f">
                  <v:textbox style="mso-fit-shape-to-text:t" inset="0,0,0,0">
                    <w:txbxContent>
                      <w:p w:rsidR="00C664E8" w:rsidRDefault="00C664E8">
                        <w:r>
                          <w:rPr>
                            <w:color w:val="000000"/>
                            <w:sz w:val="16"/>
                            <w:szCs w:val="16"/>
                            <w:lang w:val="en-US"/>
                          </w:rPr>
                          <w:t xml:space="preserve">foreign country at or through a permanent establishment or </w:t>
                        </w:r>
                      </w:p>
                    </w:txbxContent>
                  </v:textbox>
                </v:rect>
                <v:rect id="Rectangle 90" o:spid="_x0000_s1032" style="position:absolute;left:749;top:4362;width:14618;height:165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hM4cEA&#10;AADbAAAADwAAAGRycy9kb3ducmV2LnhtbESPzYoCMRCE74LvEFrwphl1W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C4TOHBAAAA2wAAAA8AAAAAAAAAAAAAAAAAmAIAAGRycy9kb3du&#10;cmV2LnhtbFBLBQYAAAAABAAEAPUAAACGAwAAAAA=&#10;" filled="f" stroked="f">
                  <v:textbox style="mso-fit-shape-to-text:t" inset="0,0,0,0">
                    <w:txbxContent>
                      <w:p w:rsidR="00C664E8" w:rsidRDefault="00C664E8">
                        <w:r>
                          <w:rPr>
                            <w:color w:val="000000"/>
                            <w:sz w:val="16"/>
                            <w:szCs w:val="16"/>
                            <w:lang w:val="en-US"/>
                          </w:rPr>
                          <w:t xml:space="preserve">through an entity that it controls (an  </w:t>
                        </w:r>
                      </w:p>
                    </w:txbxContent>
                  </v:textbox>
                </v:rect>
                <v:rect id="Rectangle 91" o:spid="_x0000_s1033" style="position:absolute;left:15367;top:4362;width:8928;height:16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ZZMMUA&#10;AADbAAAADwAAAGRycy9kb3ducmV2LnhtbESPQWvCQBSE74X+h+UVeim6UbHY1DUUIeBBENMe6u2R&#10;fc2mzb4N2a2J/npXEDwOM/MNs8wG24gjdb52rGAyTkAQl07XXCn4+sxHCxA+IGtsHJOCE3nIVo8P&#10;S0y163lPxyJUIkLYp6jAhNCmUvrSkEU/di1x9H5cZzFE2VVSd9hHuG3kNElepcWa44LBltaGyr/i&#10;3yrId9818VnuX94Wvfstp4fCbFulnp+Gj3cQgYZwD9/aG61gNofrl/gD5Oo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1lkwxQAAANsAAAAPAAAAAAAAAAAAAAAAAJgCAABkcnMv&#10;ZG93bnJldi54bWxQSwUGAAAAAAQABAD1AAAAigMAAAAA&#10;" filled="f" stroked="f">
                  <v:textbox style="mso-fit-shape-to-text:t" inset="0,0,0,0">
                    <w:txbxContent>
                      <w:p w:rsidR="00C664E8" w:rsidRDefault="00C664E8">
                        <w:r>
                          <w:rPr>
                            <w:b/>
                            <w:bCs/>
                            <w:i/>
                            <w:iCs/>
                            <w:color w:val="000000"/>
                            <w:sz w:val="16"/>
                            <w:szCs w:val="16"/>
                            <w:lang w:val="en-US"/>
                          </w:rPr>
                          <w:t xml:space="preserve"> outward investing </w:t>
                        </w:r>
                      </w:p>
                    </w:txbxContent>
                  </v:textbox>
                </v:rect>
                <v:rect id="Rectangle 92" o:spid="_x0000_s1034" style="position:absolute;left:749;top:5632;width:2318;height:165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3DcAA&#10;AADbAAAADwAAAGRycy9kb3ducmV2LnhtbESPzYoCMRCE7wu+Q2jB25pRQW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Z3DcAAAADbAAAADwAAAAAAAAAAAAAAAACYAgAAZHJzL2Rvd25y&#10;ZXYueG1sUEsFBgAAAAAEAAQA9QAAAIUDAAAAAA==&#10;" filled="f" stroked="f">
                  <v:textbox style="mso-fit-shape-to-text:t" inset="0,0,0,0">
                    <w:txbxContent>
                      <w:p w:rsidR="00C664E8" w:rsidRDefault="00C664E8">
                        <w:r>
                          <w:rPr>
                            <w:b/>
                            <w:bCs/>
                            <w:i/>
                            <w:iCs/>
                            <w:color w:val="000000"/>
                            <w:sz w:val="16"/>
                            <w:szCs w:val="16"/>
                            <w:lang w:val="en-US"/>
                          </w:rPr>
                          <w:t>entity</w:t>
                        </w:r>
                      </w:p>
                    </w:txbxContent>
                  </v:textbox>
                </v:rect>
                <v:rect id="Rectangle 93" o:spid="_x0000_s1035" style="position:absolute;left:3067;top:5632;width:914;height:16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hi3MUA&#10;AADbAAAADwAAAGRycy9kb3ducmV2LnhtbESPQWvCQBSE74X+h+UVeim6UcHa1DUUIeBBENMe6u2R&#10;fc2mzb4N2a2J/npXEDwOM/MNs8wG24gjdb52rGAyTkAQl07XXCn4+sxHCxA+IGtsHJOCE3nIVo8P&#10;S0y163lPxyJUIkLYp6jAhNCmUvrSkEU/di1x9H5cZzFE2VVSd9hHuG3kNEnm0mLNccFgS2tD5V/x&#10;bxXku++a+Cz3L2+L3v2W00Nhtq1Sz0/DxzuIQEO4h2/tjVYwe4Xrl/gD5Oo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SGLcxQAAANsAAAAPAAAAAAAAAAAAAAAAAJgCAABkcnMv&#10;ZG93bnJldi54bWxQSwUGAAAAAAQABAD1AAAAigMAAAAA&#10;" filled="f" stroked="f">
                  <v:textbox style="mso-fit-shape-to-text:t" inset="0,0,0,0">
                    <w:txbxContent>
                      <w:p w:rsidR="00C664E8" w:rsidRDefault="00C664E8">
                        <w:r>
                          <w:rPr>
                            <w:color w:val="000000"/>
                            <w:sz w:val="16"/>
                            <w:szCs w:val="16"/>
                            <w:lang w:val="en-US"/>
                          </w:rPr>
                          <w:t>)?</w:t>
                        </w:r>
                      </w:p>
                    </w:txbxContent>
                  </v:textbox>
                </v:rect>
                <v:rect id="Rectangle 94" o:spid="_x0000_s1036" style="position:absolute;left:749;top:6908;width:20993;height:165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VG5L8A&#10;AADbAAAADwAAAGRycy9kb3ducmV2LnhtbERPS2rDMBDdF3IHMYXsarkO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9UbkvwAAANsAAAAPAAAAAAAAAAAAAAAAAJgCAABkcnMvZG93bnJl&#10;di54bWxQSwUGAAAAAAQABAD1AAAAhAMAAAAA&#10;" filled="f" stroked="f">
                  <v:textbox style="mso-fit-shape-to-text:t" inset="0,0,0,0">
                    <w:txbxContent>
                      <w:p w:rsidR="00C664E8" w:rsidRDefault="00C664E8">
                        <w:r>
                          <w:rPr>
                            <w:color w:val="000000"/>
                            <w:sz w:val="16"/>
                            <w:szCs w:val="16"/>
                            <w:lang w:val="en-US"/>
                          </w:rPr>
                          <w:t xml:space="preserve">(b) an Australian entity that is controlled by foreign </w:t>
                        </w:r>
                      </w:p>
                    </w:txbxContent>
                  </v:textbox>
                </v:rect>
                <v:rect id="Rectangle 95" o:spid="_x0000_s1037" style="position:absolute;left:749;top:8178;width:5169;height:165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njf8EA&#10;AADbAAAADwAAAGRycy9kb3ducmV2LnhtbESPzYoCMRCE7wu+Q2jB25pRYd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6543/BAAAA2wAAAA8AAAAAAAAAAAAAAAAAmAIAAGRycy9kb3du&#10;cmV2LnhtbFBLBQYAAAAABAAEAPUAAACGAwAAAAA=&#10;" filled="f" stroked="f">
                  <v:textbox style="mso-fit-shape-to-text:t" inset="0,0,0,0">
                    <w:txbxContent>
                      <w:p w:rsidR="00C664E8" w:rsidRDefault="00C664E8">
                        <w:r>
                          <w:rPr>
                            <w:color w:val="000000"/>
                            <w:sz w:val="16"/>
                            <w:szCs w:val="16"/>
                            <w:lang w:val="en-US"/>
                          </w:rPr>
                          <w:t xml:space="preserve">residents (an </w:t>
                        </w:r>
                      </w:p>
                    </w:txbxContent>
                  </v:textbox>
                </v:rect>
                <v:rect id="Rectangle 96" o:spid="_x0000_s1038" style="position:absolute;left:6515;top:8178;width:9544;height:165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U5n78A&#10;AADbAAAADwAAAGRycy9kb3ducmV2LnhtbERPS2rDMBDdF3IHMYXsarkm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hTmfvwAAANsAAAAPAAAAAAAAAAAAAAAAAJgCAABkcnMvZG93bnJl&#10;di54bWxQSwUGAAAAAAQABAD1AAAAhAMAAAAA&#10;" filled="f" stroked="f">
                  <v:textbox style="mso-fit-shape-to-text:t" inset="0,0,0,0">
                    <w:txbxContent>
                      <w:p w:rsidR="00C664E8" w:rsidRDefault="00C664E8">
                        <w:r>
                          <w:rPr>
                            <w:b/>
                            <w:bCs/>
                            <w:i/>
                            <w:iCs/>
                            <w:color w:val="000000"/>
                            <w:sz w:val="16"/>
                            <w:szCs w:val="16"/>
                            <w:lang w:val="en-US"/>
                          </w:rPr>
                          <w:t>inward investing entity</w:t>
                        </w:r>
                      </w:p>
                    </w:txbxContent>
                  </v:textbox>
                </v:rect>
                <v:rect id="Rectangle 97" o:spid="_x0000_s1039" style="position:absolute;left:16059;top:8178;width:1409;height:16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ssTsQA&#10;AADbAAAADwAAAGRycy9kb3ducmV2LnhtbESPQWvCQBSE70L/w/IKvYhuFBGNrlIKQg+CGHuot0f2&#10;mY3Nvg3ZrYn+elcQPA4z8w2zXHe2EhdqfOlYwWiYgCDOnS65UPBz2AxmIHxA1lg5JgVX8rBevfWW&#10;mGrX8p4uWShEhLBPUYEJoU6l9Lkhi37oauLonVxjMUTZFFI32Ea4reQ4SabSYslxwWBNX4byv+zf&#10;Ktjsfkvim9z357PWnfPxMTPbWqmP9+5zASJQF17hZ/tbK5iM4PEl/gC5u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nrLE7EAAAA2wAAAA8AAAAAAAAAAAAAAAAAmAIAAGRycy9k&#10;b3ducmV2LnhtbFBLBQYAAAAABAAEAPUAAACJAwAAAAA=&#10;" filled="f" stroked="f">
                  <v:textbox style="mso-fit-shape-to-text:t" inset="0,0,0,0">
                    <w:txbxContent>
                      <w:p w:rsidR="00C664E8" w:rsidRDefault="00C664E8">
                        <w:r>
                          <w:rPr>
                            <w:color w:val="000000"/>
                            <w:sz w:val="16"/>
                            <w:szCs w:val="16"/>
                            <w:lang w:val="en-US"/>
                          </w:rPr>
                          <w:t>)?</w:t>
                        </w:r>
                      </w:p>
                    </w:txbxContent>
                  </v:textbox>
                </v:rect>
                <v:rect id="Rectangle 98" o:spid="_x0000_s1040" style="position:absolute;left:749;top:9455;width:22295;height:165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sCc8EA&#10;AADbAAAADwAAAGRycy9kb3ducmV2LnhtbESP3YrCMBSE7wXfIRxh7zS1yC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gbAnPBAAAA2wAAAA8AAAAAAAAAAAAAAAAAmAIAAGRycy9kb3du&#10;cmV2LnhtbFBLBQYAAAAABAAEAPUAAACGAwAAAAA=&#10;" filled="f" stroked="f">
                  <v:textbox style="mso-fit-shape-to-text:t" inset="0,0,0,0">
                    <w:txbxContent>
                      <w:p w:rsidR="00C664E8" w:rsidRDefault="00C664E8">
                        <w:r>
                          <w:rPr>
                            <w:color w:val="000000"/>
                            <w:sz w:val="16"/>
                            <w:szCs w:val="16"/>
                            <w:lang w:val="en-US"/>
                          </w:rPr>
                          <w:t xml:space="preserve">(c) a foreign entity having investments in Australia (an </w:t>
                        </w:r>
                      </w:p>
                    </w:txbxContent>
                  </v:textbox>
                </v:rect>
                <v:rect id="Rectangle 99" o:spid="_x0000_s1041" style="position:absolute;left:749;top:10725;width:9544;height:165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en6MEA&#10;AADbAAAADwAAAGRycy9kb3ducmV2LnhtbESPzYoCMRCE74LvEFrwphl1W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dXp+jBAAAA2wAAAA8AAAAAAAAAAAAAAAAAmAIAAGRycy9kb3du&#10;cmV2LnhtbFBLBQYAAAAABAAEAPUAAACGAwAAAAA=&#10;" filled="f" stroked="f">
                  <v:textbox style="mso-fit-shape-to-text:t" inset="0,0,0,0">
                    <w:txbxContent>
                      <w:p w:rsidR="00C664E8" w:rsidRDefault="00C664E8">
                        <w:r>
                          <w:rPr>
                            <w:b/>
                            <w:bCs/>
                            <w:i/>
                            <w:iCs/>
                            <w:color w:val="000000"/>
                            <w:sz w:val="16"/>
                            <w:szCs w:val="16"/>
                            <w:lang w:val="en-US"/>
                          </w:rPr>
                          <w:t>inward investing entity</w:t>
                        </w:r>
                      </w:p>
                    </w:txbxContent>
                  </v:textbox>
                </v:rect>
                <v:rect id="Rectangle 100" o:spid="_x0000_s1042" style="position:absolute;left:10293;top:10725;width:1403;height:16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yP1sQA&#10;AADbAAAADwAAAGRycy9kb3ducmV2LnhtbESPQWvCQBSE74X+h+UVvIhuFBGNrlIEwYMgxh7q7ZF9&#10;ZmOzb0N2NdFf7xYKPQ4z8w2zXHe2EndqfOlYwWiYgCDOnS65UPB12g5mIHxA1lg5JgUP8rBevb8t&#10;MdWu5SPds1CICGGfogITQp1K6XNDFv3Q1cTRu7jGYoiyKaRusI1wW8lxkkylxZLjgsGaNobyn+xm&#10;FWwP3yXxUx7781nrrvn4nJl9rVTvo/tcgAjUhf/wX3unFUwm8Psl/gC5e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mcj9bEAAAA2wAAAA8AAAAAAAAAAAAAAAAAmAIAAGRycy9k&#10;b3ducmV2LnhtbFBLBQYAAAAABAAEAPUAAACJAwAAAAA=&#10;" filled="f" stroked="f">
                  <v:textbox style="mso-fit-shape-to-text:t" inset="0,0,0,0">
                    <w:txbxContent>
                      <w:p w:rsidR="00C664E8" w:rsidRDefault="00C664E8">
                        <w:r>
                          <w:rPr>
                            <w:color w:val="000000"/>
                            <w:sz w:val="16"/>
                            <w:szCs w:val="16"/>
                            <w:lang w:val="en-US"/>
                          </w:rPr>
                          <w:t>)?</w:t>
                        </w:r>
                      </w:p>
                    </w:txbxContent>
                  </v:textbox>
                </v:rect>
                <v:rect id="Rectangle 101" o:spid="_x0000_s1043" style="position:absolute;left:387;top:15773;width:20155;height:66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mewcMA&#10;AADbAAAADwAAAGRycy9kb3ducmV2LnhtbESPQWsCMRSE74L/IbyCN00qWupqFBEEQQ+trejxsXnd&#10;Dd28LJusrv++EYQeh5n5hlmsOleJKzXBetbwOlIgiHNvLBcavr+2w3cQISIbrDyThjsFWC37vQVm&#10;xt/4k67HWIgE4ZChhjLGOpMy5CU5DCNfEyfvxzcOY5JNIU2DtwR3lRwr9SYdWk4LJda0KSn/PbZO&#10;A58O7WxsY7s/bz9mStnLxuQTrQcv3XoOIlIX/8PP9s5omEzh8SX9AL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ZmewcMAAADbAAAADwAAAAAAAAAAAAAAAACYAgAAZHJzL2Rv&#10;d25yZXYueG1sUEsFBgAAAAAEAAQA9QAAAIgDAAAAAA==&#10;" strokeweight=".0005mm"/>
                <v:rect id="Rectangle 102" o:spid="_x0000_s1044" style="position:absolute;left:1219;top:17837;width:17157;height:165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AEcMAA&#10;AADbAAAADwAAAGRycy9kb3ducmV2LnhtbESPzYoCMRCE7wu+Q2jB25pRRG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yAEcMAAAADbAAAADwAAAAAAAAAAAAAAAACYAgAAZHJzL2Rvd25y&#10;ZXYueG1sUEsFBgAAAAAEAAQA9QAAAIUDAAAAAA==&#10;" filled="f" stroked="f">
                  <v:textbox style="mso-fit-shape-to-text:t" inset="0,0,0,0">
                    <w:txbxContent>
                      <w:p w:rsidR="00C664E8" w:rsidRDefault="00C664E8">
                        <w:r>
                          <w:rPr>
                            <w:color w:val="000000"/>
                            <w:sz w:val="16"/>
                            <w:szCs w:val="16"/>
                            <w:lang w:val="en-US"/>
                          </w:rPr>
                          <w:t xml:space="preserve">2. Is the entity an outward investing entity </w:t>
                        </w:r>
                      </w:p>
                    </w:txbxContent>
                  </v:textbox>
                </v:rect>
                <v:rect id="Rectangle 103" o:spid="_x0000_s1045" style="position:absolute;left:3371;top:19113;width:13291;height:165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yh68EA&#10;AADbAAAADwAAAGRycy9kb3ducmV2LnhtbESPzYoCMRCE74LvEFrwphlFdm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hsoevBAAAA2wAAAA8AAAAAAAAAAAAAAAAAmAIAAGRycy9kb3du&#10;cmV2LnhtbFBLBQYAAAAABAAEAPUAAACGAwAAAAA=&#10;" filled="f" stroked="f">
                  <v:textbox style="mso-fit-shape-to-text:t" inset="0,0,0,0">
                    <w:txbxContent>
                      <w:p w:rsidR="00C664E8" w:rsidRDefault="00C664E8">
                        <w:r>
                          <w:rPr>
                            <w:color w:val="000000"/>
                            <w:sz w:val="16"/>
                            <w:szCs w:val="16"/>
                            <w:lang w:val="en-US"/>
                          </w:rPr>
                          <w:t>(non-ADI)? (see section 820-85)</w:t>
                        </w:r>
                      </w:p>
                    </w:txbxContent>
                  </v:textbox>
                </v:rect>
                <v:rect id="Rectangle 104" o:spid="_x0000_s1046" style="position:absolute;left:431;top:26206;width:20136;height:64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5gxX8AA&#10;AADbAAAADwAAAGRycy9kb3ducmV2LnhtbERPy4rCMBTdC/MP4Q6400QR0WoUEYSBceFrGJeX5k4b&#10;prkpTar1781CcHk47+W6c5W4UROsZw2joQJBnHtjudBwOe8GMxAhIhusPJOGBwVYrz56S8yMv/OR&#10;bqdYiBTCIUMNZYx1JmXIS3IYhr4mTtyfbxzGBJtCmgbvKdxVcqzUVDq0nBpKrGlbUv5/ap0G/tm3&#10;87GN7ffv7jBXyl63Jp9o3f/sNgsQkbr4Fr/cX0bDJI1NX9IPkK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5gxX8AAAADbAAAADwAAAAAAAAAAAAAAAACYAgAAZHJzL2Rvd25y&#10;ZXYueG1sUEsFBgAAAAAEAAQA9QAAAIUDAAAAAA==&#10;" strokeweight=".0005mm"/>
                <v:rect id="Rectangle 105" o:spid="_x0000_s1047" style="position:absolute;left:1473;top:28213;width:16649;height:165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QAsEA&#10;AADbAAAADwAAAGRycy9kb3ducmV2LnhtbESPzYoCMRCE7wu+Q2jB25pRZN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a/kALBAAAA2wAAAA8AAAAAAAAAAAAAAAAAmAIAAGRycy9kb3du&#10;cmV2LnhtbFBLBQYAAAAABAAEAPUAAACGAwAAAAA=&#10;" filled="f" stroked="f">
                  <v:textbox style="mso-fit-shape-to-text:t" inset="0,0,0,0">
                    <w:txbxContent>
                      <w:p w:rsidR="00C664E8" w:rsidRDefault="00C664E8">
                        <w:r>
                          <w:rPr>
                            <w:color w:val="000000"/>
                            <w:sz w:val="16"/>
                            <w:szCs w:val="16"/>
                            <w:lang w:val="en-US"/>
                          </w:rPr>
                          <w:t xml:space="preserve">3. Is the entity an inward investing entity </w:t>
                        </w:r>
                      </w:p>
                    </w:txbxContent>
                  </v:textbox>
                </v:rect>
                <v:rect id="Rectangle 106" o:spid="_x0000_s1048" style="position:absolute;left:3098;top:29483;width:13799;height:165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yvQr8A&#10;AADbAAAADwAAAGRycy9kb3ducmV2LnhtbERPS2rDMBDdF3IHMYXsarmG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CXK9CvwAAANsAAAAPAAAAAAAAAAAAAAAAAJgCAABkcnMvZG93bnJl&#10;di54bWxQSwUGAAAAAAQABAD1AAAAhAMAAAAA&#10;" filled="f" stroked="f">
                  <v:textbox style="mso-fit-shape-to-text:t" inset="0,0,0,0">
                    <w:txbxContent>
                      <w:p w:rsidR="00C664E8" w:rsidRDefault="00C664E8">
                        <w:r>
                          <w:rPr>
                            <w:color w:val="000000"/>
                            <w:sz w:val="16"/>
                            <w:szCs w:val="16"/>
                            <w:lang w:val="en-US"/>
                          </w:rPr>
                          <w:t>(non-ADI)? (see section 820-185)</w:t>
                        </w:r>
                      </w:p>
                    </w:txbxContent>
                  </v:textbox>
                </v:rect>
                <v:rect id="Rectangle 107" o:spid="_x0000_s1049" style="position:absolute;left:406;top:36766;width:20136;height:66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sOH8MA&#10;AADbAAAADwAAAGRycy9kb3ducmV2LnhtbESPQWsCMRSE70L/Q3gFb5ooWupqlCIIBT1YW9HjY/O6&#10;G7p5WTZZXf+9EYQeh5n5hlmsOleJCzXBetYwGioQxLk3lgsNP9+bwTuIEJENVp5Jw40CrJYvvQVm&#10;xl/5iy6HWIgE4ZChhjLGOpMy5CU5DENfEyfv1zcOY5JNIU2D1wR3lRwr9SYdWk4LJda0Lin/O7RO&#10;Ax937WxsY7s9bfYzpex5bfKJ1v3X7mMOIlIX/8PP9qfRMB3B40v6AXJ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3sOH8MAAADbAAAADwAAAAAAAAAAAAAAAACYAgAAZHJzL2Rv&#10;d25yZXYueG1sUEsFBgAAAAAEAAQA9QAAAIgDAAAAAA==&#10;" strokeweight=".0005mm"/>
                <v:rect id="Rectangle 108" o:spid="_x0000_s1050" style="position:absolute;left:1174;top:38830;width:17158;height:165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KUrsEA&#10;AADbAAAADwAAAGRycy9kb3ducmV2LnhtbESP3YrCMBSE7wXfIRxh7zS14C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3ClK7BAAAA2wAAAA8AAAAAAAAAAAAAAAAAmAIAAGRycy9kb3du&#10;cmV2LnhtbFBLBQYAAAAABAAEAPUAAACGAwAAAAA=&#10;" filled="f" stroked="f">
                  <v:textbox style="mso-fit-shape-to-text:t" inset="0,0,0,0">
                    <w:txbxContent>
                      <w:p w:rsidR="00C664E8" w:rsidRDefault="00C664E8">
                        <w:r>
                          <w:rPr>
                            <w:color w:val="000000"/>
                            <w:sz w:val="16"/>
                            <w:szCs w:val="16"/>
                            <w:lang w:val="en-US"/>
                          </w:rPr>
                          <w:t xml:space="preserve">4. Is the entity an outward investing entity </w:t>
                        </w:r>
                      </w:p>
                    </w:txbxContent>
                  </v:textbox>
                </v:rect>
                <v:rect id="Rectangle 109" o:spid="_x0000_s1051" style="position:absolute;left:4070;top:40106;width:11938;height:165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4xNcEA&#10;AADbAAAADwAAAGRycy9kb3ducmV2LnhtbESPzYoCMRCE74LvEFrwphmVX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KOMTXBAAAA2wAAAA8AAAAAAAAAAAAAAAAAmAIAAGRycy9kb3du&#10;cmV2LnhtbFBLBQYAAAAABAAEAPUAAACGAwAAAAA=&#10;" filled="f" stroked="f">
                  <v:textbox style="mso-fit-shape-to-text:t" inset="0,0,0,0">
                    <w:txbxContent>
                      <w:p w:rsidR="00C664E8" w:rsidRDefault="00C664E8">
                        <w:r>
                          <w:rPr>
                            <w:color w:val="000000"/>
                            <w:sz w:val="16"/>
                            <w:szCs w:val="16"/>
                            <w:lang w:val="en-US"/>
                          </w:rPr>
                          <w:t>(ADI)? (see section 820-300)</w:t>
                        </w:r>
                      </w:p>
                    </w:txbxContent>
                  </v:textbox>
                </v:rect>
                <v:rect id="Rectangle 110" o:spid="_x0000_s1052" style="position:absolute;left:33235;top:15709;width:11335;height:68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yth8MA&#10;AADbAAAADwAAAGRycy9kb3ducmV2LnhtbESPQWsCMRSE74L/IbyCN00qWupqFBEEQQ+trejxsXnd&#10;Dd28LJusrv++EYQeh5n5hlmsOleJKzXBetbwOlIgiHNvLBcavr+2w3cQISIbrDyThjsFWC37vQVm&#10;xt/4k67HWIgE4ZChhjLGOpMy5CU5DCNfEyfvxzcOY5JNIU2DtwR3lRwr9SYdWk4LJda0KSn/PbZO&#10;A58O7WxsY7s/bz9mStnLxuQTrQcv3XoOIlIX/8PP9s5omE7g8SX9AL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wyth8MAAADbAAAADwAAAAAAAAAAAAAAAACYAgAAZHJzL2Rv&#10;d25yZXYueG1sUEsFBgAAAAAEAAQA9QAAAIgDAAAAAA==&#10;" strokeweight=".0005mm"/>
                <v:rect id="Rectangle 111" o:spid="_x0000_s1053" style="position:absolute;left:34683;top:17837;width:7881;height:165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sM2sAA&#10;AADbAAAADwAAAGRycy9kb3ducmV2LnhtbESPzYoCMRCE7wu+Q2jB25pRcJ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isM2sAAAADbAAAADwAAAAAAAAAAAAAAAACYAgAAZHJzL2Rvd25y&#10;ZXYueG1sUEsFBgAAAAAEAAQA9QAAAIUDAAAAAA==&#10;" filled="f" stroked="f">
                  <v:textbox style="mso-fit-shape-to-text:t" inset="0,0,0,0">
                    <w:txbxContent>
                      <w:p w:rsidR="00C664E8" w:rsidRDefault="00C664E8">
                        <w:r>
                          <w:rPr>
                            <w:b/>
                            <w:bCs/>
                            <w:color w:val="000000"/>
                            <w:sz w:val="16"/>
                            <w:szCs w:val="16"/>
                            <w:lang w:val="en-US"/>
                          </w:rPr>
                          <w:t>Subdivision 820-B</w:t>
                        </w:r>
                      </w:p>
                    </w:txbxContent>
                  </v:textbox>
                </v:rect>
                <v:rect id="Rectangle 112" o:spid="_x0000_s1054" style="position:absolute;left:37376;top:19113;width:2883;height:165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mSrcAA&#10;AADbAAAADwAAAGRycy9kb3ducmV2LnhtbESPzYoCMRCE7wu+Q2jB25pRUG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vmSrcAAAADbAAAADwAAAAAAAAAAAAAAAACYAgAAZHJzL2Rvd25y&#10;ZXYueG1sUEsFBgAAAAAEAAQA9QAAAIUDAAAAAA==&#10;" filled="f" stroked="f">
                  <v:textbox style="mso-fit-shape-to-text:t" inset="0,0,0,0">
                    <w:txbxContent>
                      <w:p w:rsidR="00C664E8" w:rsidRDefault="00C664E8">
                        <w:r>
                          <w:rPr>
                            <w:color w:val="000000"/>
                            <w:sz w:val="16"/>
                            <w:szCs w:val="16"/>
                            <w:lang w:val="en-US"/>
                          </w:rPr>
                          <w:t>applies</w:t>
                        </w:r>
                      </w:p>
                    </w:txbxContent>
                  </v:textbox>
                </v:rect>
                <v:rect id="Rectangle 113" o:spid="_x0000_s1055" style="position:absolute;left:33235;top:2482;width:11335;height:70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94z8MQA&#10;AADbAAAADwAAAGRycy9kb3ducmV2LnhtbESPQWsCMRSE70L/Q3gFb5ooVevWKEUQBHvQbUt7fGxe&#10;d4Obl2WT1e2/bwqCx2FmvmFWm97V4kJtsJ41TMYKBHHhjeVSw8f7bvQMIkRkg7Vn0vBLATbrh8EK&#10;M+OvfKJLHkuRIBwy1FDF2GRShqIih2HsG+Lk/fjWYUyyLaVp8ZrgrpZTpebSoeW0UGFD24qKc945&#10;Dfz51i2nNnaHr91xqZT93priSevhY//6AiJSH+/hW3tvNMwW8P8l/Q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feM/DEAAAA2wAAAA8AAAAAAAAAAAAAAAAAmAIAAGRycy9k&#10;b3ducmV2LnhtbFBLBQYAAAAABAAEAPUAAACJAwAAAAA=&#10;" strokeweight=".0005mm"/>
                <v:rect id="Rectangle 114" o:spid="_x0000_s1056" style="position:absolute;left:33845;top:4756;width:9233;height:165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qjRL8A&#10;AADbAAAADwAAAGRycy9kb3ducmV2LnhtbERPS2rDMBDdF3IHMYXsarmG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8KqNEvwAAANsAAAAPAAAAAAAAAAAAAAAAAJgCAABkcnMvZG93bnJl&#10;di54bWxQSwUGAAAAAAQABAD1AAAAhAMAAAAA&#10;" filled="f" stroked="f">
                  <v:textbox style="mso-fit-shape-to-text:t" inset="0,0,0,0">
                    <w:txbxContent>
                      <w:p w:rsidR="00C664E8" w:rsidRDefault="00C664E8">
                        <w:r>
                          <w:rPr>
                            <w:color w:val="000000"/>
                            <w:sz w:val="16"/>
                            <w:szCs w:val="16"/>
                            <w:lang w:val="en-US"/>
                          </w:rPr>
                          <w:t xml:space="preserve">This Division does not </w:t>
                        </w:r>
                      </w:p>
                    </w:txbxContent>
                  </v:textbox>
                </v:rect>
                <v:rect id="Rectangle 115" o:spid="_x0000_s1057" style="position:absolute;left:35001;top:6032;width:7366;height:165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YG38EA&#10;AADbAAAADwAAAGRycy9kb3ducmV2LnhtbESPzYoCMRCE7wu+Q2jB25pRcN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NmBt/BAAAA2wAAAA8AAAAAAAAAAAAAAAAAmAIAAGRycy9kb3du&#10;cmV2LnhtbFBLBQYAAAAABAAEAPUAAACGAwAAAAA=&#10;" filled="f" stroked="f">
                  <v:textbox style="mso-fit-shape-to-text:t" inset="0,0,0,0">
                    <w:txbxContent>
                      <w:p w:rsidR="00C664E8" w:rsidRDefault="00C664E8">
                        <w:r>
                          <w:rPr>
                            <w:color w:val="000000"/>
                            <w:sz w:val="16"/>
                            <w:szCs w:val="16"/>
                            <w:lang w:val="en-US"/>
                          </w:rPr>
                          <w:t>apply to the entity</w:t>
                        </w:r>
                      </w:p>
                    </w:txbxContent>
                  </v:textbox>
                </v:rect>
                <v:rect id="Rectangle 116" o:spid="_x0000_s1058" style="position:absolute;left:406;top:47199;width:20136;height:66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thOcEA&#10;AADbAAAADwAAAGRycy9kb3ducmV2LnhtbERPy2oCMRTdF/yHcIXualIpQx2NUgRBsIt2WtHlZXKd&#10;CU5uhknm0b9vFoUuD+e92U2uEQN1wXrW8LxQIIhLbyxXGr6/Dk+vIEJENth4Jg0/FGC3nT1sMDd+&#10;5E8ailiJFMIhRw11jG0uZShrchgWviVO3M13DmOCXSVNh2MKd41cKpVJh5ZTQ40t7Wsq70XvNPD5&#10;vV8tbexPl8PHSil73ZvyRevH+fS2BhFpiv/iP/fRaMjS+vQl/QC5/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ZbYTnBAAAA2wAAAA8AAAAAAAAAAAAAAAAAmAIAAGRycy9kb3du&#10;cmV2LnhtbFBLBQYAAAAABAAEAPUAAACGAwAAAAA=&#10;" strokeweight=".0005mm"/>
                <v:rect id="Rectangle 117" o:spid="_x0000_s1059" style="position:absolute;left:1473;top:49244;width:16649;height:165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zAZMEA&#10;AADbAAAADwAAAGRycy9kb3ducmV2LnhtbESP3YrCMBSE7xf2HcJZ8G5N64VINYosFFS8se4DHJrT&#10;H0xOSpK19e2NIOzlMDPfMJvdZI24kw+9YwX5PANBXDvdc6vg91p+r0CEiKzROCYFDwqw235+bLDQ&#10;buQL3avYigThUKCCLsahkDLUHVkMczcQJ69x3mJM0rdSexwT3Bq5yLKltNhzWuhwoJ+O6lv1ZxXI&#10;a1WOq8r4zJ0WzdkcD5eGnFKzr2m/BhFpiv/hd/ugFSxzeH1JP0B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N8wGTBAAAA2wAAAA8AAAAAAAAAAAAAAAAAmAIAAGRycy9kb3du&#10;cmV2LnhtbFBLBQYAAAAABAAEAPUAAACGAwAAAAA=&#10;" filled="f" stroked="f">
                  <v:textbox style="mso-fit-shape-to-text:t" inset="0,0,0,0">
                    <w:txbxContent>
                      <w:p w:rsidR="00C664E8" w:rsidRDefault="00C664E8">
                        <w:r>
                          <w:rPr>
                            <w:color w:val="000000"/>
                            <w:sz w:val="16"/>
                            <w:szCs w:val="16"/>
                            <w:lang w:val="en-US"/>
                          </w:rPr>
                          <w:t xml:space="preserve">5. Is the entity an inward investing entity </w:t>
                        </w:r>
                      </w:p>
                    </w:txbxContent>
                  </v:textbox>
                </v:rect>
                <v:rect id="Rectangle 118" o:spid="_x0000_s1060" style="position:absolute;left:4095;top:50514;width:11938;height:165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5eE8AA&#10;AADbAAAADwAAAGRycy9kb3ducmV2LnhtbESPzYoCMRCE74LvEFrYm2acg8hoFBEEV/biuA/QTHp+&#10;MOkMSXRm394Iwh6LqvqK2u5Ha8STfOgcK1guMhDEldMdNwp+b6f5GkSIyBqNY1LwRwH2u+lki4V2&#10;A1/pWcZGJAiHAhW0MfaFlKFqyWJYuJ44ebXzFmOSvpHa45Dg1sg8y1bSYsdpocWeji1V9/JhFchb&#10;eRrWpfGZu+T1j/k+X2tySn3NxsMGRKQx/oc/7bNWsMrh/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65eE8AAAADbAAAADwAAAAAAAAAAAAAAAACYAgAAZHJzL2Rvd25y&#10;ZXYueG1sUEsFBgAAAAAEAAQA9QAAAIUDAAAAAA==&#10;" filled="f" stroked="f">
                  <v:textbox style="mso-fit-shape-to-text:t" inset="0,0,0,0">
                    <w:txbxContent>
                      <w:p w:rsidR="00C664E8" w:rsidRDefault="00C664E8">
                        <w:r>
                          <w:rPr>
                            <w:color w:val="000000"/>
                            <w:sz w:val="16"/>
                            <w:szCs w:val="16"/>
                            <w:lang w:val="en-US"/>
                          </w:rPr>
                          <w:t>(ADI)? (see section 820-395)</w:t>
                        </w:r>
                      </w:p>
                    </w:txbxContent>
                  </v:textbox>
                </v:rect>
                <v:rect id="Rectangle 119" o:spid="_x0000_s1061" style="position:absolute;left:33235;top:26079;width:11335;height:68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n/TsQA&#10;AADbAAAADwAAAGRycy9kb3ducmV2LnhtbESPQWsCMRSE74L/IbyCN02qRep2syKCINiD2pb2+Ni8&#10;7oZuXpZNVrf/vhGEHoeZ+YbJ14NrxIW6YD1reJwpEMSlN5YrDe9vu+kziBCRDTaeScMvBVgX41GO&#10;mfFXPtHlHCuRIBwy1FDH2GZShrImh2HmW+LkffvOYUyyq6Tp8JrgrpFzpZbSoeW0UGNL25rKn3Pv&#10;NPDHa7+a29gfPnfHlVL2a2vKJ60nD8PmBUSkIf6H7+290bBcwO1L+gGy+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aJ/07EAAAA2wAAAA8AAAAAAAAAAAAAAAAAmAIAAGRycy9k&#10;b3ducmV2LnhtbFBLBQYAAAAABAAEAPUAAACJAwAAAAA=&#10;" strokeweight=".0005mm"/>
                <v:rect id="Rectangle 120" o:spid="_x0000_s1062" style="position:absolute;left:34639;top:28213;width:7937;height:165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tj/MAA&#10;AADbAAAADwAAAGRycy9kb3ducmV2LnhtbESPzYoCMRCE7wu+Q2jB25pRRG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wtj/MAAAADbAAAADwAAAAAAAAAAAAAAAACYAgAAZHJzL2Rvd25y&#10;ZXYueG1sUEsFBgAAAAAEAAQA9QAAAIUDAAAAAA==&#10;" filled="f" stroked="f">
                  <v:textbox style="mso-fit-shape-to-text:t" inset="0,0,0,0">
                    <w:txbxContent>
                      <w:p w:rsidR="00C664E8" w:rsidRDefault="00C664E8">
                        <w:r>
                          <w:rPr>
                            <w:b/>
                            <w:bCs/>
                            <w:color w:val="000000"/>
                            <w:sz w:val="16"/>
                            <w:szCs w:val="16"/>
                            <w:lang w:val="en-US"/>
                          </w:rPr>
                          <w:t>Subdivision 820-C</w:t>
                        </w:r>
                      </w:p>
                    </w:txbxContent>
                  </v:textbox>
                </v:rect>
                <v:rect id="Rectangle 121" o:spid="_x0000_s1063" style="position:absolute;left:37376;top:29483;width:2883;height:165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fGZ8AA&#10;AADbAAAADwAAAGRycy9kb3ducmV2LnhtbESPzYoCMRCE7wu+Q2jB25pRUG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EfGZ8AAAADbAAAADwAAAAAAAAAAAAAAAACYAgAAZHJzL2Rvd25y&#10;ZXYueG1sUEsFBgAAAAAEAAQA9QAAAIUDAAAAAA==&#10;" filled="f" stroked="f">
                  <v:textbox style="mso-fit-shape-to-text:t" inset="0,0,0,0">
                    <w:txbxContent>
                      <w:p w:rsidR="00C664E8" w:rsidRDefault="00C664E8">
                        <w:r>
                          <w:rPr>
                            <w:color w:val="000000"/>
                            <w:sz w:val="16"/>
                            <w:szCs w:val="16"/>
                            <w:lang w:val="en-US"/>
                          </w:rPr>
                          <w:t>applies</w:t>
                        </w:r>
                      </w:p>
                    </w:txbxContent>
                  </v:textbox>
                </v:rect>
                <v:rect id="Rectangle 122" o:spid="_x0000_s1064" style="position:absolute;left:33235;top:36683;width:11335;height:68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5c1sQA&#10;AADbAAAADwAAAGRycy9kb3ducmV2LnhtbESPT2sCMRTE7wW/Q3hCbzVRylJXo4ggCO2h9Q96fGye&#10;u8HNy7LJ6vrtTaHQ4zAzv2Hmy97V4kZtsJ41jEcKBHHhjeVSw2G/efsAESKywdozaXhQgOVi8DLH&#10;3Pg7/9BtF0uRIBxy1FDF2ORShqIih2HkG+LkXXzrMCbZltK0eE9wV8uJUpl0aDktVNjQuqLiuuuc&#10;Bj5+ddOJjd3nafM9Vcqe16Z41/p12K9mICL18T/8194aDVkGv1/SD5CL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b+XNbEAAAA2wAAAA8AAAAAAAAAAAAAAAAAmAIAAGRycy9k&#10;b3ducmV2LnhtbFBLBQYAAAAABAAEAPUAAACJAwAAAAA=&#10;" strokeweight=".0005mm"/>
                <v:rect id="Rectangle 123" o:spid="_x0000_s1065" style="position:absolute;left:34639;top:38811;width:7937;height:165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n9i8AA&#10;AADbAAAADwAAAGRycy9kb3ducmV2LnhtbESPzYoCMRCE7wu+Q2jB25rRgyujUUQQXPHi6AM0k54f&#10;TDpDEp3ZtzeCsMeiqr6i1tvBGvEkH1rHCmbTDARx6XTLtYLb9fC9BBEiskbjmBT8UYDtZvS1xly7&#10;ni/0LGItEoRDjgqaGLtcylA2ZDFMXUecvMp5izFJX0vtsU9wa+Q8yxbSYstpocGO9g2V9+JhFchr&#10;ceiXhfGZO82rs/k9XipySk3Gw24FItIQ/8Of9lErWPz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9n9i8AAAADbAAAADwAAAAAAAAAAAAAAAACYAgAAZHJzL2Rvd25y&#10;ZXYueG1sUEsFBgAAAAAEAAQA9QAAAIUDAAAAAA==&#10;" filled="f" stroked="f">
                  <v:textbox style="mso-fit-shape-to-text:t" inset="0,0,0,0">
                    <w:txbxContent>
                      <w:p w:rsidR="00C664E8" w:rsidRDefault="00C664E8">
                        <w:r>
                          <w:rPr>
                            <w:b/>
                            <w:bCs/>
                            <w:color w:val="000000"/>
                            <w:sz w:val="16"/>
                            <w:szCs w:val="16"/>
                            <w:lang w:val="en-US"/>
                          </w:rPr>
                          <w:t>Subdivision 820-D</w:t>
                        </w:r>
                      </w:p>
                    </w:txbxContent>
                  </v:textbox>
                </v:rect>
                <v:rect id="Rectangle 124" o:spid="_x0000_s1066" style="position:absolute;left:37376;top:40081;width:2883;height:165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Zp+b0A&#10;AADbAAAADwAAAGRycy9kb3ducmV2LnhtbERPy4rCMBTdC/5DuII7m+pCpBpFBEEHN9b5gEtz+8Dk&#10;piTRdv7eLIRZHs57dxitEW/yoXOsYJnlIIgrpztuFPw+zosNiBCRNRrHpOCPAhz208kOC+0GvtO7&#10;jI1IIRwKVNDG2BdShqoliyFzPXHiauctxgR9I7XHIYVbI1d5vpYWO04NLfZ0aql6li+rQD7K87Ap&#10;jc/dz6q+mevlXpNTaj4bj1sQkcb4L/66L1rBOo1NX9IPkP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8kZp+b0AAADbAAAADwAAAAAAAAAAAAAAAACYAgAAZHJzL2Rvd25yZXYu&#10;eG1sUEsFBgAAAAAEAAQA9QAAAIIDAAAAAA==&#10;" filled="f" stroked="f">
                  <v:textbox style="mso-fit-shape-to-text:t" inset="0,0,0,0">
                    <w:txbxContent>
                      <w:p w:rsidR="00C664E8" w:rsidRDefault="00C664E8">
                        <w:r>
                          <w:rPr>
                            <w:color w:val="000000"/>
                            <w:sz w:val="16"/>
                            <w:szCs w:val="16"/>
                            <w:lang w:val="en-US"/>
                          </w:rPr>
                          <w:t>applies</w:t>
                        </w:r>
                      </w:p>
                    </w:txbxContent>
                  </v:textbox>
                </v:rect>
                <v:rect id="Rectangle 125" o:spid="_x0000_s1067" style="position:absolute;left:33235;top:47072;width:11335;height:6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HIpMQA&#10;AADbAAAADwAAAGRycy9kb3ducmV2LnhtbESPT2sCMRTE7wW/Q3hCbzVRinRXo4ggCO2h9Q96fGye&#10;u8HNy7LJ6vrtTaHQ4zAzv2Hmy97V4kZtsJ41jEcKBHHhjeVSw2G/efsAESKywdozaXhQgOVi8DLH&#10;3Pg7/9BtF0uRIBxy1FDF2ORShqIih2HkG+LkXXzrMCbZltK0eE9wV8uJUlPp0HJaqLChdUXFddc5&#10;DXz86rKJjd3nafOdKWXPa1O8a/067FczEJH6+B/+a2+NhmkGv1/SD5CL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dhyKTEAAAA2wAAAA8AAAAAAAAAAAAAAAAAmAIAAGRycy9k&#10;b3ducmV2LnhtbFBLBQYAAAAABAAEAPUAAACJAwAAAAA=&#10;" strokeweight=".0005mm"/>
                <v:rect id="Rectangle 126" o:spid="_x0000_s1068" style="position:absolute;left:34683;top:49244;width:7881;height:165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nzIr8A&#10;AADbAAAADwAAAGRycy9kb3ducmV2LnhtbERPS2rDMBDdF3IHMYXsarlepMGxEkohkIZu4uQAgzX+&#10;EGlkJMV2bx8tCl0+3r86LNaIiXwYHCt4z3IQxI3TA3cKbtfj2xZEiMgajWNS8EsBDvvVS4WldjNf&#10;aKpjJ1IIhxIV9DGOpZSh6cliyNxInLjWeYsxQd9J7XFO4dbIIs830uLAqaHHkb56au71wyqQ1/o4&#10;b2vjc3cu2h/zfbq05JRavy6fOxCRlvgv/nOftIKPtD5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J6fMivwAAANsAAAAPAAAAAAAAAAAAAAAAAJgCAABkcnMvZG93bnJl&#10;di54bWxQSwUGAAAAAAQABAD1AAAAhAMAAAAA&#10;" filled="f" stroked="f">
                  <v:textbox style="mso-fit-shape-to-text:t" inset="0,0,0,0">
                    <w:txbxContent>
                      <w:p w:rsidR="00C664E8" w:rsidRDefault="00C664E8">
                        <w:r>
                          <w:rPr>
                            <w:b/>
                            <w:bCs/>
                            <w:color w:val="000000"/>
                            <w:sz w:val="16"/>
                            <w:szCs w:val="16"/>
                            <w:lang w:val="en-US"/>
                          </w:rPr>
                          <w:t>Subdivision 820-E</w:t>
                        </w:r>
                      </w:p>
                    </w:txbxContent>
                  </v:textbox>
                </v:rect>
                <v:rect id="Rectangle 127" o:spid="_x0000_s1069" style="position:absolute;left:37376;top:50514;width:2883;height:165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VWucAA&#10;AADbAAAADwAAAGRycy9kb3ducmV2LnhtbESPzYoCMRCE7wu+Q2jB25rRw66MRhFB0MWLow/QTHp+&#10;MOkMSXTGtzeCsMeiqr6iVpvBGvEgH1rHCmbTDARx6XTLtYLrZf+9ABEiskbjmBQ8KcBmPfpaYa5d&#10;z2d6FLEWCcIhRwVNjF0uZSgbshimriNOXuW8xZikr6X22Ce4NXKeZT/SYstpocGOdg2Vt+JuFchL&#10;se8XhfGZ+5tXJ3M8nCtySk3Gw3YJItIQ/8Of9kEr+J3B+0v6AXL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qVWucAAAADbAAAADwAAAAAAAAAAAAAAAACYAgAAZHJzL2Rvd25y&#10;ZXYueG1sUEsFBgAAAAAEAAQA9QAAAIUDAAAAAA==&#10;" filled="f" stroked="f">
                  <v:textbox style="mso-fit-shape-to-text:t" inset="0,0,0,0">
                    <w:txbxContent>
                      <w:p w:rsidR="00C664E8" w:rsidRDefault="00C664E8">
                        <w:r>
                          <w:rPr>
                            <w:color w:val="000000"/>
                            <w:sz w:val="16"/>
                            <w:szCs w:val="16"/>
                            <w:lang w:val="en-US"/>
                          </w:rPr>
                          <w:t>applies</w:t>
                        </w:r>
                      </w:p>
                    </w:txbxContent>
                  </v:textbox>
                </v:rect>
                <v:line id="Line 128" o:spid="_x0000_s1070" style="position:absolute;flip:y;visibility:visible;mso-wrap-style:square" from="20567,19113" to="32308,191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Ypw8sQAAADbAAAADwAAAGRycy9kb3ducmV2LnhtbESPT2sCMRTE74V+h/AKXkSz/qktq1FE&#10;ULzWCnp8bp7J4uZl2URd++mbQsHjMDO/YWaL1lXiRk0oPSsY9DMQxIXXJRsF++917xNEiMgaK8+k&#10;4EEBFvPXlxnm2t/5i267aESCcMhRgY2xzqUMhSWHoe9r4uSdfeMwJtkYqRu8J7ir5DDLJtJhyWnB&#10;Yk0rS8Vld3UKjpsf0y3HXb5Mxu8Pc7CnUbU9KdV5a5dTEJHa+Az/t7dawccQ/r6kHyDn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inDyxAAAANsAAAAPAAAAAAAAAAAA&#10;AAAAAKECAABkcnMvZG93bnJldi54bWxQSwUGAAAAAAQABAD5AAAAkgMAAAAA&#10;" strokeweight=".0005mm"/>
                <v:shape id="Freeform 129" o:spid="_x0000_s1071" style="position:absolute;left:32308;top:18694;width:908;height:838;visibility:visible;mso-wrap-style:square;v-text-anchor:top" coordsize="143,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lMKsMA&#10;AADbAAAADwAAAGRycy9kb3ducmV2LnhtbESPQWvCQBSE7wX/w/KE3uqmRqJNXUUEqVB6MErPj+zr&#10;JjT7NmTXJPrru4VCj8PMfMOst6NtRE+drx0reJ4lIIhLp2s2Ci7nw9MKhA/IGhvHpOBGHrabycMa&#10;c+0GPlFfBCMihH2OCqoQ2lxKX1Zk0c9cSxy9L9dZDFF2RuoOhwi3jZwnSSYt1hwXKmxpX1H5XVyt&#10;ApPI1GeHz4tpxxd+u7/rBeOHUo/TcfcKItAY/sN/7aNWsEzh90v8AXL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6lMKsMAAADbAAAADwAAAAAAAAAAAAAAAACYAgAAZHJzL2Rv&#10;d25yZXYueG1sUEsFBgAAAAAEAAQA9QAAAIgDAAAAAA==&#10;" path="m143,66l,,,132,143,66xe" fillcolor="black" stroked="f">
                  <v:path arrowok="t" o:connecttype="custom" o:connectlocs="90805,41910;0,0;0,83820;90805,41910" o:connectangles="0,0,0,0"/>
                </v:shape>
                <v:shape id="Freeform 130" o:spid="_x0000_s1072" style="position:absolute;left:32308;top:18694;width:908;height:838;visibility:visible;mso-wrap-style:square;v-text-anchor:top" coordsize="4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M5VMMA&#10;AADbAAAADwAAAGRycy9kb3ducmV2LnhtbESPQWsCMRSE74X+h/CE3mrWUqysRilFoVSwuCpeH5vn&#10;Zm3ysiSpbv99IxR6HGbmG2a26J0VFwqx9axgNCxAENdet9wo2O9WjxMQMSFrtJ5JwQ9FWMzv72ZY&#10;an/lLV2q1IgM4ViiApNSV0oZa0MO49B3xNk7+eAwZRkaqQNeM9xZ+VQUY+mw5bxgsKM3Q/VX9e0U&#10;fH5o22IIy825W/vK2NURlwelHgb96xREoj79h//a71rByzPcvuQfIO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oM5VMMAAADbAAAADwAAAAAAAAAAAAAAAACYAgAAZHJzL2Rv&#10;d25yZXYueG1sUEsFBgAAAAAEAAQA9QAAAIgDAAAAAA==&#10;" path="m40,20l,,,40,40,20e" filled="f" strokeweight="0">
                  <v:path arrowok="t" o:connecttype="custom" o:connectlocs="90805,41910;0,0;0,83820;90805,41910" o:connectangles="0,0,0,0"/>
                </v:shape>
                <v:line id="Line 131" o:spid="_x0000_s1073" style="position:absolute;visibility:visible;mso-wrap-style:square" from="20586,29438" to="32308,294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7ExkcMAAADbAAAADwAAAGRycy9kb3ducmV2LnhtbESPT2vCQBTE74V+h+UVequbpv4jukoQ&#10;hIonoxdvj+wzG5p9G7KrSfvpu4LgcZiZ3zDL9WAbcaPO144VfI4SEMSl0zVXCk7H7ccchA/IGhvH&#10;pOCXPKxXry9LzLTr+UC3IlQiQthnqMCE0GZS+tKQRT9yLXH0Lq6zGKLsKqk77CPcNjJNkqm0WHNc&#10;MNjSxlD5U1ytgrPZO7sZ0i8/teO8CH36l+9Spd7fhnwBItAQnuFH+1srmE3g/iX+ALn6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xMZHDAAAA2wAAAA8AAAAAAAAAAAAA&#10;AAAAoQIAAGRycy9kb3ducmV2LnhtbFBLBQYAAAAABAAEAPkAAACRAwAAAAA=&#10;" strokeweight=".0005mm"/>
                <v:shape id="Freeform 132" o:spid="_x0000_s1074" style="position:absolute;left:32308;top:29063;width:908;height:839;visibility:visible;mso-wrap-style:square;v-text-anchor:top" coordsize="143,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7vssIA&#10;AADbAAAADwAAAGRycy9kb3ducmV2LnhtbESPT4vCMBTE7wt+h/AEb2vqKlWrUWRBFGQP/sHzo3mm&#10;xealNFGrn94sLOxxmJnfMPNlaytxp8aXjhUM+gkI4tzpko2C03H9OQHhA7LGyjEpeJKH5aLzMcdM&#10;uwfv6X4IRkQI+wwVFCHUmZQ+L8ii77uaOHoX11gMUTZG6gYfEW4r+ZUkqbRYclwosKbvgvLr4WYV&#10;mEQOfbo+n0zdTnnz2ukR449SvW67moEI1Ib/8F97qxWMU/j9En+AXL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3u+ywgAAANsAAAAPAAAAAAAAAAAAAAAAAJgCAABkcnMvZG93&#10;bnJldi54bWxQSwUGAAAAAAQABAD1AAAAhwMAAAAA&#10;" path="m143,66l,,,132,143,66xe" fillcolor="black" stroked="f">
                  <v:path arrowok="t" o:connecttype="custom" o:connectlocs="90805,41910;0,0;0,83820;90805,41910" o:connectangles="0,0,0,0"/>
                </v:shape>
                <v:shape id="Freeform 133" o:spid="_x0000_s1075" style="position:absolute;left:32308;top:29063;width:908;height:839;visibility:visible;mso-wrap-style:square;v-text-anchor:top" coordsize="4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GnI8IA&#10;AADbAAAADwAAAGRycy9kb3ducmV2LnhtbESPQWsCMRSE7wX/Q3hCbzWrh1q2RimiUFqwdLV4fWye&#10;m63Jy5Kkuv77RhA8DjPzDTNb9M6KE4XYelYwHhUgiGuvW24U7LbrpxcQMSFrtJ5JwYUiLOaDhxmW&#10;2p/5m05VakSGcCxRgUmpK6WMtSGHceQ74uwdfHCYsgyN1AHPGe6snBTFs3TYcl4w2NHSUH2s/pyC&#10;rw9tWwxhtfntPn1l7HqPqx+lHof92yuIRH26h2/td61gOoXrl/wD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UacjwgAAANsAAAAPAAAAAAAAAAAAAAAAAJgCAABkcnMvZG93&#10;bnJldi54bWxQSwUGAAAAAAQABAD1AAAAhwMAAAAA&#10;" path="m40,20l,,,40,40,20e" filled="f" strokeweight="0">
                  <v:path arrowok="t" o:connecttype="custom" o:connectlocs="90805,41910;0,0;0,83820;90805,41910" o:connectangles="0,0,0,0"/>
                </v:shape>
                <v:line id="Line 134" o:spid="_x0000_s1076" style="position:absolute;flip:y;visibility:visible;mso-wrap-style:square" from="20523,40062" to="32308,401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JHGMEAAADbAAAADwAAAGRycy9kb3ducmV2LnhtbERPz2vCMBS+C/4P4Qm7yJq6OTdqo4iw&#10;4VU32I7P5pkUm5fSRK37681B8Pjx/S6XvWvEmbpQe1YwyXIQxJXXNRsFP9+fzx8gQkTW2HgmBVcK&#10;sFwMByUW2l94S+ddNCKFcChQgY2xLaQMlSWHIfMtceIOvnMYE+yM1B1eUrhr5Euez6TDmlODxZbW&#10;lqrj7uQU/H39m3E9HfNxNn27ml+7f202e6WeRv1qDiJSHx/iu3ujFbynselL+gFyc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8YkcYwQAAANsAAAAPAAAAAAAAAAAAAAAA&#10;AKECAABkcnMvZG93bnJldi54bWxQSwUGAAAAAAQABAD5AAAAjwMAAAAA&#10;" strokeweight=".0005mm"/>
                <v:shape id="Freeform 135" o:spid="_x0000_s1077" style="position:absolute;left:32308;top:39643;width:908;height:838;visibility:visible;mso-wrap-style:square;v-text-anchor:top" coordsize="143,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F7wMMA&#10;AADbAAAADwAAAGRycy9kb3ducmV2LnhtbESPQWvCQBSE70L/w/IEb83GVqKmrlIKolB6MIaeH9nX&#10;TWj2bchuTfTXdwsFj8PMfMNsdqNtxYV63zhWME9SEMSV0w0bBeV5/7gC4QOyxtYxKbiSh932YbLB&#10;XLuBT3QpghERwj5HBXUIXS6lr2qy6BPXEUfvy/UWQ5S9kbrHIcJtK5/SNJMWG44LNXb0VlP1XfxY&#10;BSaVzz7bf5amG9d8uL3rBeOHUrPp+PoCItAY7uH/9lErWK7h70v8AXL7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kF7wMMAAADbAAAADwAAAAAAAAAAAAAAAACYAgAAZHJzL2Rv&#10;d25yZXYueG1sUEsFBgAAAAAEAAQA9QAAAIgDAAAAAA==&#10;" path="m143,66l,,,132,143,66xe" fillcolor="black" stroked="f">
                  <v:path arrowok="t" o:connecttype="custom" o:connectlocs="90805,41910;0,0;0,83820;90805,41910" o:connectangles="0,0,0,0"/>
                </v:shape>
                <v:shape id="Freeform 136" o:spid="_x0000_s1078" style="position:absolute;left:32308;top:39643;width:908;height:838;visibility:visible;mso-wrap-style:square;v-text-anchor:top" coordsize="4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1PcL8A&#10;AADbAAAADwAAAGRycy9kb3ducmV2LnhtbERPTWsCMRC9C/0PYQreNGsPIqtRiiiUCkpXS6/DZrpZ&#10;TSZLkur6781B6PHxvher3llxpRBbzwom4wIEce11y42C03E7moGICVmj9UwK7hRhtXwZLLDU/sZf&#10;dK1SI3IIxxIVmJS6UspYG3IYx74jztyvDw5ThqGROuAthzsr34piKh22nBsMdrQ2VF+qP6fg8Klt&#10;iyFs9udu5ytjtz+4+VZq+Nq/z0Ek6tO/+On+0ApmeX3+kn+AXD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gbU9wvwAAANsAAAAPAAAAAAAAAAAAAAAAAJgCAABkcnMvZG93bnJl&#10;di54bWxQSwUGAAAAAAQABAD1AAAAhAMAAAAA&#10;" path="m40,20l,,,40,40,20e" filled="f" strokeweight="0">
                  <v:path arrowok="t" o:connecttype="custom" o:connectlocs="90805,41910;0,0;0,83820;90805,41910" o:connectangles="0,0,0,0"/>
                </v:shape>
                <v:line id="Line 137" o:spid="_x0000_s1079" style="position:absolute;visibility:visible;mso-wrap-style:square" from="20567,50514" to="32308,505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9HtcMAAADbAAAADwAAAGRycy9kb3ducmV2LnhtbESPwWrDMBBE74H8g9hAb7EctwTjRgnG&#10;UGjpKW4uvS3WxjKxVsZSbbdfXwUKPQ4z84Y5nBbbi4lG3zlWsEtSEMSN0x23Ci4fL9schA/IGnvH&#10;pOCbPJyO69UBC+1mPtNUh1ZECPsCFZgQhkJK3xiy6BM3EEfv6kaLIcqxlXrEOcJtL7M03UuLHccF&#10;gwNVhppb/WUVfJp3Z6sle/R7+1TWYc5+yrdMqYfNUj6DCLSE//Bf+1UryHdw/xJ/gD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VfR7XDAAAA2wAAAA8AAAAAAAAAAAAA&#10;AAAAoQIAAGRycy9kb3ducmV2LnhtbFBLBQYAAAAABAAEAPkAAACRAwAAAAA=&#10;" strokeweight=".0005mm"/>
                <v:shape id="Freeform 138" o:spid="_x0000_s1080" style="position:absolute;left:32308;top:50101;width:908;height:832;visibility:visible;mso-wrap-style:square;v-text-anchor:top" coordsize="143,1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YlVMQA&#10;AADbAAAADwAAAGRycy9kb3ducmV2LnhtbESP3YrCMBSE7wXfIRzBO03txSrVKFUQdpGF9ecBDs2x&#10;LTYnJcna6tObhQUvh5n5hlltetOIOzlfW1YwmyYgiAuray4VXM77yQKED8gaG8uk4EEeNuvhYIWZ&#10;th0f6X4KpYgQ9hkqqEJoMyl9UZFBP7UtcfSu1hkMUbpSaoddhJtGpknyIQ3WHBcqbGlXUXE7/RoF&#10;+WOWf5/nbvd8ptv51+HWHcxPrtR41OdLEIH68A7/tz+1gkUKf1/iD5D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5GJVTEAAAA2wAAAA8AAAAAAAAAAAAAAAAAmAIAAGRycy9k&#10;b3ducmV2LnhtbFBLBQYAAAAABAAEAPUAAACJAwAAAAA=&#10;" path="m143,65l,,,131,143,65xe" fillcolor="black" stroked="f">
                  <v:path arrowok="t" o:connecttype="custom" o:connectlocs="90805,41275;0,0;0,83185;90805,41275" o:connectangles="0,0,0,0"/>
                </v:shape>
                <v:shape id="Freeform 139" o:spid="_x0000_s1081" style="position:absolute;left:32308;top:50101;width:908;height:832;visibility:visible;mso-wrap-style:square;v-text-anchor:top" coordsize="4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RB8IA&#10;AADbAAAADwAAAGRycy9kb3ducmV2LnhtbESPQWsCMRSE74X+h/AKvdVsWyiyGkVEQVqodFW8PjbP&#10;zWrysiRRt/++EQoeh5n5hhlPe2fFhUJsPSt4HRQgiGuvW24UbDfLlyGImJA1Ws+k4JciTCePD2Ms&#10;tb/yD12q1IgM4ViiApNSV0oZa0MO48B3xNk7+OAwZRkaqQNeM9xZ+VYUH9Jhy3nBYEdzQ/WpOjsF&#10;609tWwxh8X3svnxl7HKPi51Sz0/9bAQiUZ/u4f/2SisYvsPtS/4Bcv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v9EHwgAAANsAAAAPAAAAAAAAAAAAAAAAAJgCAABkcnMvZG93&#10;bnJldi54bWxQSwUGAAAAAAQABAD1AAAAhwMAAAAA&#10;" path="m40,20l,,,40,40,20e" filled="f" strokeweight="0">
                  <v:path arrowok="t" o:connecttype="custom" o:connectlocs="90805,41593;0,0;0,83185;90805,41593" o:connectangles="0,0,0,0"/>
                </v:shape>
                <v:rect id="Rectangle 140" o:spid="_x0000_s1082" style="position:absolute;left:11785;top:13252;width:1581;height:165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eFBsEA&#10;AADbAAAADwAAAGRycy9kb3ducmV2LnhtbESP3YrCMBSE7xd8h3AE79ZUWZbSNYoIgi7eWPcBDs3p&#10;DyYnJYm2vr0RhL0cZuYbZrUZrRF38qFzrGAxz0AQV0533Cj4u+w/cxAhIms0jknBgwJs1pOPFRba&#10;DXymexkbkSAcClTQxtgXUoaqJYth7nri5NXOW4xJ+kZqj0OCWyOXWfYtLXacFlrsaddSdS1vVoG8&#10;lPshL43P3O+yPpnj4VyTU2o2Hbc/ICKN8T/8bh+0gvwLXl/SD5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MHhQbBAAAA2wAAAA8AAAAAAAAAAAAAAAAAmAIAAGRycy9kb3du&#10;cmV2LnhtbFBLBQYAAAAABAAEAPUAAACGAwAAAAA=&#10;" filled="f" stroked="f">
                  <v:textbox style="mso-fit-shape-to-text:t" inset="0,0,0,0">
                    <w:txbxContent>
                      <w:p w:rsidR="00C664E8" w:rsidRDefault="00C664E8">
                        <w:r>
                          <w:rPr>
                            <w:color w:val="000000"/>
                            <w:sz w:val="16"/>
                            <w:szCs w:val="16"/>
                            <w:lang w:val="en-US"/>
                          </w:rPr>
                          <w:t>Yes</w:t>
                        </w:r>
                      </w:p>
                    </w:txbxContent>
                  </v:textbox>
                </v:rect>
                <v:rect id="Rectangle 141" o:spid="_x0000_s1083" style="position:absolute;left:11944;top:23704;width:1244;height:165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sgncEA&#10;AADbAAAADwAAAGRycy9kb3ducmV2LnhtbESP3YrCMBSE7xd8h3AE79ZUYZfSNYoIgi7eWPcBDs3p&#10;DyYnJYm2vr0RhL0cZuYbZrUZrRF38qFzrGAxz0AQV0533Cj4u+w/cxAhIms0jknBgwJs1pOPFRba&#10;DXymexkbkSAcClTQxtgXUoaqJYth7nri5NXOW4xJ+kZqj0OCWyOXWfYtLXacFlrsaddSdS1vVoG8&#10;lPshL43P3O+yPpnj4VyTU2o2Hbc/ICKN8T/8bh+0gvwLXl/SD5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LIJ3BAAAA2wAAAA8AAAAAAAAAAAAAAAAAmAIAAGRycy9kb3du&#10;cmV2LnhtbFBLBQYAAAAABAAEAPUAAACGAwAAAAA=&#10;" filled="f" stroked="f">
                  <v:textbox style="mso-fit-shape-to-text:t" inset="0,0,0,0">
                    <w:txbxContent>
                      <w:p w:rsidR="00C664E8" w:rsidRDefault="00C664E8">
                        <w:r>
                          <w:rPr>
                            <w:color w:val="000000"/>
                            <w:sz w:val="16"/>
                            <w:szCs w:val="16"/>
                            <w:lang w:val="en-US"/>
                          </w:rPr>
                          <w:t>No</w:t>
                        </w:r>
                      </w:p>
                    </w:txbxContent>
                  </v:textbox>
                </v:rect>
                <v:rect id="Rectangle 142" o:spid="_x0000_s1084" style="position:absolute;left:11944;top:34074;width:1244;height:165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m+6sAA&#10;AADbAAAADwAAAGRycy9kb3ducmV2LnhtbESPzYoCMRCE7wu+Q2hhb2tGDzLMGkUEQWUvjj5AM+n5&#10;YZPOkERnfHsjCB6LqvqKWm1Ga8SdfOgcK5jPMhDEldMdNwqul/1PDiJEZI3GMSl4UIDNevK1wkK7&#10;gc90L2MjEoRDgQraGPtCylC1ZDHMXE+cvNp5izFJ30jtcUhwa+Qiy5bSYsdpocWedi1V/+XNKpCX&#10;cj/kpfGZOy3qP3M8nGtySn1Px+0viEhj/ITf7YNWkC/h9SX9ALl+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Jm+6sAAAADbAAAADwAAAAAAAAAAAAAAAACYAgAAZHJzL2Rvd25y&#10;ZXYueG1sUEsFBgAAAAAEAAQA9QAAAIUDAAAAAA==&#10;" filled="f" stroked="f">
                  <v:textbox style="mso-fit-shape-to-text:t" inset="0,0,0,0">
                    <w:txbxContent>
                      <w:p w:rsidR="00C664E8" w:rsidRDefault="00C664E8">
                        <w:r>
                          <w:rPr>
                            <w:color w:val="000000"/>
                            <w:sz w:val="16"/>
                            <w:szCs w:val="16"/>
                            <w:lang w:val="en-US"/>
                          </w:rPr>
                          <w:t>No</w:t>
                        </w:r>
                      </w:p>
                    </w:txbxContent>
                  </v:textbox>
                </v:rect>
                <v:rect id="Rectangle 143" o:spid="_x0000_s1085" style="position:absolute;left:11988;top:44691;width:1245;height:165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UbccEA&#10;AADbAAAADwAAAGRycy9kb3ducmV2LnhtbESPzYoCMRCE7wu+Q2jB25rRw+4waxQRBF28OO4DNJOe&#10;H0w6QxKd8e2NIOyxqKqvqNVmtEbcyYfOsYLFPANBXDndcaPg77L/zEGEiKzROCYFDwqwWU8+Vlho&#10;N/CZ7mVsRIJwKFBBG2NfSBmqliyGueuJk1c7bzEm6RupPQ4Jbo1cZtmXtNhxWmixp11L1bW8WQXy&#10;Uu6HvDQ+c7/L+mSOh3NNTqnZdNz+gIg0xv/wu33QCvJveH1JP0C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PVG3HBAAAA2wAAAA8AAAAAAAAAAAAAAAAAmAIAAGRycy9kb3du&#10;cmV2LnhtbFBLBQYAAAAABAAEAPUAAACGAwAAAAA=&#10;" filled="f" stroked="f">
                  <v:textbox style="mso-fit-shape-to-text:t" inset="0,0,0,0">
                    <w:txbxContent>
                      <w:p w:rsidR="00C664E8" w:rsidRDefault="00C664E8">
                        <w:r>
                          <w:rPr>
                            <w:color w:val="000000"/>
                            <w:sz w:val="16"/>
                            <w:szCs w:val="16"/>
                            <w:lang w:val="en-US"/>
                          </w:rPr>
                          <w:t>No</w:t>
                        </w:r>
                      </w:p>
                    </w:txbxContent>
                  </v:textbox>
                </v:rect>
                <v:line id="Line 144" o:spid="_x0000_s1086" style="position:absolute;flip:y;visibility:visible;mso-wrap-style:square" from="26085,6013" to="32531,60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bc3P8EAAADbAAAADwAAAGRycy9kb3ducmV2LnhtbERPz2vCMBS+D/Y/hCfsIpo6nUhtlCFs&#10;9DodbMdn80xKm5fSZNrurzeHwY4f3+9iP7hWXKkPtWcFi3kGgrjyumaj4PP0NtuACBFZY+uZFIwU&#10;YL97fCgw1/7GH3Q9RiNSCIccFdgYu1zKUFlyGOa+I07cxfcOY4K9kbrHWwp3rXzOsrV0WHNqsNjR&#10;wVLVHH+cgu/3XzOtV1Nu1quX0XzZ87Itz0o9TYbXLYhIQ/wX/7lLrWCTxqYv6QfI3R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Jtzc/wQAAANsAAAAPAAAAAAAAAAAAAAAA&#10;AKECAABkcnMvZG93bnJldi54bWxQSwUGAAAAAAQABAD5AAAAjwMAAAAA&#10;" strokeweight=".0005mm"/>
                <v:shape id="Freeform 145" o:spid="_x0000_s1087" style="position:absolute;left:32308;top:5613;width:908;height:832;visibility:visible;mso-wrap-style:square;v-text-anchor:top" coordsize="143,1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K3JcMA&#10;AADbAAAADwAAAGRycy9kb3ducmV2LnhtbESP0YrCMBRE34X9h3AF3zTVB3W7RukKC4oIru4HXJpr&#10;W2xuSpK11a83guDjMDNnmMWqM7W4kvOVZQXjUQKCOLe64kLB3+lnOAfhA7LG2jIpuJGH1fKjt8BU&#10;25Z/6XoMhYgQ9ikqKENoUil9XpJBP7INcfTO1hkMUbpCaodthJtaTpJkKg1WHBdKbGhdUn45/hsF&#10;2W2c7U8zt77fJ9+z7e7S7swhU2rQ77IvEIG68A6/2hutYP4Jzy/xB8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OK3JcMAAADbAAAADwAAAAAAAAAAAAAAAACYAgAAZHJzL2Rv&#10;d25yZXYueG1sUEsFBgAAAAAEAAQA9QAAAIgDAAAAAA==&#10;" path="m143,66l,,,131,143,66xe" fillcolor="black" stroked="f">
                  <v:path arrowok="t" o:connecttype="custom" o:connectlocs="90805,41910;0,0;0,83185;90805,41910" o:connectangles="0,0,0,0"/>
                </v:shape>
                <v:shape id="Freeform 146" o:spid="_x0000_s1088" style="position:absolute;left:32308;top:5613;width:908;height:832;visibility:visible;mso-wrap-style:square;v-text-anchor:top" coordsize="4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TZrcAA&#10;AADbAAAADwAAAGRycy9kb3ducmV2LnhtbERPTWsCMRC9C/6HMII3N1sPYrdGKUVBKihdW3odNtPN&#10;tslkSVJd/705FHp8vO/VZnBWXCjEzrOCh6IEQdx43XGr4P28my1BxISs0XomBTeKsFmPRyustL/y&#10;G13q1IocwrFCBSalvpIyNoYcxsL3xJn78sFhyjC0Uge85nBn5bwsF9Jhx7nBYE8vhpqf+tcpOL1q&#10;22EI2+N3f/C1sbtP3H4oNZ0Mz08gEg3pX/zn3msFj3l9/pJ/gFzf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bTZrcAAAADbAAAADwAAAAAAAAAAAAAAAACYAgAAZHJzL2Rvd25y&#10;ZXYueG1sUEsFBgAAAAAEAAQA9QAAAIUDAAAAAA==&#10;" path="m40,20l,,,40,40,20e" filled="f" strokeweight="0">
                  <v:path arrowok="t" o:connecttype="custom" o:connectlocs="90805,41593;0,0;0,83185;90805,41593" o:connectangles="0,0,0,0"/>
                </v:shape>
                <v:rect id="Rectangle 147" o:spid="_x0000_s1089" style="position:absolute;left:28822;top:4381;width:1245;height:165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mwQ8AA&#10;AADbAAAADwAAAGRycy9kb3ducmV2LnhtbESPzYoCMRCE7wu+Q2jB25rRw+KORhFB0MWLow/QTHp+&#10;MOkMSXTGtzeCsMeiqr6iVpvBGvEgH1rHCmbTDARx6XTLtYLrZf+9ABEiskbjmBQ8KcBmPfpaYa5d&#10;z2d6FLEWCcIhRwVNjF0uZSgbshimriNOXuW8xZikr6X22Ce4NXKeZT/SYstpocGOdg2Vt+JuFchL&#10;se8XhfGZ+5tXJ3M8nCtySk3Gw3YJItIQ/8Of9kEr+J3B+0v6AXL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qmwQ8AAAADbAAAADwAAAAAAAAAAAAAAAACYAgAAZHJzL2Rvd25y&#10;ZXYueG1sUEsFBgAAAAAEAAQA9QAAAIUDAAAAAA==&#10;" filled="f" stroked="f">
                  <v:textbox style="mso-fit-shape-to-text:t" inset="0,0,0,0">
                    <w:txbxContent>
                      <w:p w:rsidR="00C664E8" w:rsidRDefault="00C664E8">
                        <w:r>
                          <w:rPr>
                            <w:color w:val="000000"/>
                            <w:sz w:val="16"/>
                            <w:szCs w:val="16"/>
                            <w:lang w:val="en-US"/>
                          </w:rPr>
                          <w:t>No</w:t>
                        </w:r>
                      </w:p>
                    </w:txbxContent>
                  </v:textbox>
                </v:rect>
                <v:line id="Line 148" o:spid="_x0000_s1090" style="position:absolute;visibility:visible;mso-wrap-style:square" from="10788,12376" to="10814,15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FRPH8MAAADbAAAADwAAAGRycy9kb3ducmV2LnhtbESPQWvCQBSE7wX/w/KE3urGbRGNrhKE&#10;QktPjV68PbLPbDD7NmRXE/313UKhx2FmvmE2u9G14kZ9aDxrmM8yEMSVNw3XGo6H95cliBCRDbae&#10;ScOdAuy2k6cN5sYP/E23MtYiQTjkqMHG2OVShsqSwzDzHXHyzr53GJPsa2l6HBLctVJl2UI6bDgt&#10;WOxob6m6lFen4WS/vNuP6jUs3FtRxkE9ik+l9fN0LNYgIo3xP/zX/jAaVgp+v6QfIL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BUTx/DAAAA2wAAAA8AAAAAAAAAAAAA&#10;AAAAoQIAAGRycy9kb3ducmV2LnhtbFBLBQYAAAAABAAEAPkAAACRAwAAAAA=&#10;" strokeweight=".0005mm"/>
                <v:shape id="Freeform 149" o:spid="_x0000_s1091" style="position:absolute;left:10382;top:14916;width:908;height:838;visibility:visible;mso-wrap-style:square;v-text-anchor:top" coordsize="143,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Wq0MMA&#10;AADbAAAADwAAAGRycy9kb3ducmV2LnhtbESPQWvCQBSE74X+h+UVequ7rSIas5FSEAvFQ2Pw/Mg+&#10;N8Hs25BdNe2v7wpCj8PMfMPk69F14kJDaD1reJ0oEMS1Ny1bDdV+87IAESKywc4zafihAOvi8SHH&#10;zPgrf9OljFYkCIcMNTQx9pmUoW7IYZj4njh5Rz84jEkOVpoBrwnuOvmm1Fw6bDktNNjTR0P1qTw7&#10;DVbJaZhvDpXtxyVvf7/MjHGn9fPT+L4CEWmM/+F7+9NoWE7h9iX9AF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6Wq0MMAAADbAAAADwAAAAAAAAAAAAAAAACYAgAAZHJzL2Rv&#10;d25yZXYueG1sUEsFBgAAAAAEAAQA9QAAAIgDAAAAAA==&#10;" path="m72,132l143,,,,72,132xe" fillcolor="black" stroked="f">
                  <v:path arrowok="t" o:connecttype="custom" o:connectlocs="45720,83820;90805,0;0,0;45720,83820" o:connectangles="0,0,0,0"/>
                </v:shape>
                <v:shape id="Freeform 150" o:spid="_x0000_s1092" style="position:absolute;left:10382;top:14916;width:908;height:838;visibility:visible;mso-wrap-style:square;v-text-anchor:top" coordsize="4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frsMA&#10;AADbAAAADwAAAGRycy9kb3ducmV2LnhtbESPQWsCMRSE74X+h/CE3mrWUqSuRilFoVSwuCpeH5vn&#10;Zm3ysiSpbv99IxR6HGbmG2a26J0VFwqx9axgNCxAENdet9wo2O9Wjy8gYkLWaD2Tgh+KsJjf382w&#10;1P7KW7pUqREZwrFEBSalrpQy1oYcxqHviLN38sFhyjI0Uge8Zriz8qkoxtJhy3nBYEdvhuqv6tsp&#10;+PzQtsUQlptzt/aVsasjLg9KPQz61ymIRH36D/+137WCyTPcvuQfIO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o/frsMAAADbAAAADwAAAAAAAAAAAAAAAACYAgAAZHJzL2Rv&#10;d25yZXYueG1sUEsFBgAAAAAEAAQA9QAAAIgDAAAAAA==&#10;" path="m20,40l40,,,,20,40e" filled="f" strokeweight="0">
                  <v:path arrowok="t" o:connecttype="custom" o:connectlocs="45403,83820;90805,0;0,0;45403,83820" o:connectangles="0,0,0,0"/>
                </v:shape>
                <v:line id="Line 151" o:spid="_x0000_s1093" style="position:absolute;visibility:visible;mso-wrap-style:square" from="10883,22491" to="10890,253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73Xa8MAAADbAAAADwAAAGRycy9kb3ducmV2LnhtbESPQWvCQBSE74X+h+UVequbpioaXSUI&#10;QsWT0Yu3R/aZDc2+DdnVpP31XUHwOMzMN8xyPdhG3KjztWMFn6MEBHHpdM2VgtNx+zED4QOyxsYx&#10;KfglD+vV68sSM+16PtCtCJWIEPYZKjAhtJmUvjRk0Y9cSxy9i+sshii7SuoO+wi3jUyTZCot1hwX&#10;DLa0MVT+FFer4Gz2zm6G9MtP7TgvQp/+5btUqfe3IV+ACDSEZ/jR/tYK5hO4f4k/QK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912vDAAAA2wAAAA8AAAAAAAAAAAAA&#10;AAAAoQIAAGRycy9kb3ducmV2LnhtbFBLBQYAAAAABAAEAPkAAACRAwAAAAA=&#10;" strokeweight=".0005mm"/>
                <v:shape id="Freeform 152" o:spid="_x0000_s1094" style="position:absolute;left:10433;top:25349;width:901;height:838;visibility:visible;mso-wrap-style:square;v-text-anchor:top" coordsize="142,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9yu8YA&#10;AADbAAAADwAAAGRycy9kb3ducmV2LnhtbESPT2vCQBTE70K/w/IKXkQ39eCf6CqtWupJaCqKt9fs&#10;axKafRt2V5N++26h4HGYmd8wy3VnanEj5yvLCp5GCQji3OqKCwXHj9fhDIQPyBpry6TghzysVw+9&#10;JabatvxOtywUIkLYp6igDKFJpfR5SQb9yDbE0fuyzmCI0hVSO2wj3NRynCQTabDiuFBiQ5uS8u/s&#10;ahRs3aCbvbRnTXt6O5ymcncZfB6V6j92zwsQgbpwD/+391rBfAJ/X+IPkK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k9yu8YAAADbAAAADwAAAAAAAAAAAAAAAACYAgAAZHJz&#10;L2Rvd25yZXYueG1sUEsFBgAAAAAEAAQA9QAAAIsDAAAAAA==&#10;" path="m71,132l142,,,,71,132xe" fillcolor="black" stroked="f">
                  <v:path arrowok="t" o:connecttype="custom" o:connectlocs="45085,83820;90170,0;0,0;45085,83820" o:connectangles="0,0,0,0"/>
                </v:shape>
                <v:shape id="Freeform 153" o:spid="_x0000_s1095" style="position:absolute;left:10433;top:25349;width:901;height:838;visibility:visible;mso-wrap-style:square;v-text-anchor:top" coordsize="4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1B2cMA&#10;AADbAAAADwAAAGRycy9kb3ducmV2LnhtbESPQWsCMRSE74X+h/CE3mrWHmpdjVKKQqlgcVW8PjbP&#10;zdrkZUlS3f77Rij0OMzMN8xs0TsrLhRi61nBaFiAIK69brlRsN+tHl9AxISs0XomBT8UYTG/v5th&#10;qf2Vt3SpUiMyhGOJCkxKXSllrA05jEPfEWfv5IPDlGVopA54zXBn5VNRPEuHLecFgx29Gaq/qm+n&#10;4PND2xZDWG7O3dpXxq6OuDwo9TDoX6cgEvXpP/zXftcKJmO4fck/QM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l1B2cMAAADbAAAADwAAAAAAAAAAAAAAAACYAgAAZHJzL2Rv&#10;d25yZXYueG1sUEsFBgAAAAAEAAQA9QAAAIgDAAAAAA==&#10;" path="m20,40l40,,,,20,40e" filled="f" strokeweight="0">
                  <v:path arrowok="t" o:connecttype="custom" o:connectlocs="45085,83820;90170,0;0,0;45085,83820" o:connectangles="0,0,0,0"/>
                </v:shape>
                <v:line id="Line 154" o:spid="_x0000_s1096" style="position:absolute;visibility:visible;mso-wrap-style:square" from="10858,32677" to="10902,359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bx49cEAAADbAAAADwAAAGRycy9kb3ducmV2LnhtbERPPWvDMBDdC/kP4gLdajluCY1jJZhA&#10;oKVTnS7ZDutimVgnYymx2l9fDYWOj/dd7aMdxJ0m3ztWsMpyEMSt0z13Cr5Ox6dXED4gaxwck4Jv&#10;8rDfLR4qLLWb+ZPuTehECmFfogITwlhK6VtDFn3mRuLEXdxkMSQ4dVJPOKdwO8giz9fSYs+pweBI&#10;B0PttblZBWfz4ewhFs9+bV/qJszFT/1eKPW4jPUWRKAY/sV/7jetYJPGpi/pB8jd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xvHj1wQAAANsAAAAPAAAAAAAAAAAAAAAA&#10;AKECAABkcnMvZG93bnJldi54bWxQSwUGAAAAAAQABAD5AAAAjwMAAAAA&#10;" strokeweight=".0005mm"/>
                <v:shape id="Freeform 155" o:spid="_x0000_s1097" style="position:absolute;left:10452;top:35909;width:908;height:838;visibility:visible;mso-wrap-style:square;v-text-anchor:top" coordsize="143,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2dOsEA&#10;AADbAAAADwAAAGRycy9kb3ducmV2LnhtbESPT4vCMBTE7wt+h/CEva2pfxBbjSKCKIiHVfH8aJ5p&#10;sXkpTdSun94Iwh6HmfkNM1u0thJ3anzpWEG/l4Agzp0u2Sg4Hdc/ExA+IGusHJOCP/KwmHe+Zphp&#10;9+Bfuh+CERHCPkMFRQh1JqXPC7Loe64mjt7FNRZDlI2RusFHhNtKDpJkLC2WHBcKrGlVUH493KwC&#10;k8ihH6/PJ1O3KW+eOz1i3Cv13W2XUxCB2vAf/rS3WkGawvtL/AFy/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5NnTrBAAAA2wAAAA8AAAAAAAAAAAAAAAAAmAIAAGRycy9kb3du&#10;cmV2LnhtbFBLBQYAAAAABAAEAPUAAACGAwAAAAA=&#10;" path="m71,132l143,,,,71,132xe" fillcolor="black" stroked="f">
                  <v:path arrowok="t" o:connecttype="custom" o:connectlocs="45085,83820;90805,0;0,0;45085,83820" o:connectangles="0,0,0,0"/>
                </v:shape>
                <v:shape id="Freeform 156" o:spid="_x0000_s1098" style="position:absolute;left:10452;top:35909;width:908;height:838;visibility:visible;mso-wrap-style:square;v-text-anchor:top" coordsize="4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mvYcQA&#10;AADcAAAADwAAAGRycy9kb3ducmV2LnhtbESPQUsDMRCF74L/IYzgzWb1IGXbtBRpQRQqrpZeh810&#10;szWZLElst//eORS8zfDevPfNfDkGr06Uch/ZwOOkAkXcRttzZ+D7a/MwBZULskUfmQxcKMNycXsz&#10;x9rGM3/SqSmdkhDONRpwpQy11rl1FDBP4kAs2iGmgEXW1Gmb8CzhweunqnrWAXuWBocDvThqf5rf&#10;YODjzfoeU1pvj8N7bJzf7HG9M+b+blzNQBUay7/5ev1qBb8SfHlGJt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ZJr2HEAAAA3AAAAA8AAAAAAAAAAAAAAAAAmAIAAGRycy9k&#10;b3ducmV2LnhtbFBLBQYAAAAABAAEAPUAAACJAwAAAAA=&#10;" path="m20,40l40,,,,20,40e" filled="f" strokeweight="0">
                  <v:path arrowok="t" o:connecttype="custom" o:connectlocs="45403,83820;90805,0;0,0;45403,83820" o:connectangles="0,0,0,0"/>
                </v:shape>
                <v:line id="Line 157" o:spid="_x0000_s1099" style="position:absolute;visibility:visible;mso-wrap-style:square" from="10902,43440" to="10909,463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WHvIcIAAADcAAAADwAAAGRycy9kb3ducmV2LnhtbERPTWuDQBC9F/Iflgn0VteYIsG4CRII&#10;NPRU20tvgztxJe6suBu1/fXdQqG3ebzPKY+L7cVEo+8cK9gkKQjixumOWwUf7+enHQgfkDX2jknB&#10;F3k4HlYPJRbazfxGUx1aEUPYF6jAhDAUUvrGkEWfuIE4clc3WgwRjq3UI84x3PYyS9NcWuw4Nhgc&#10;6GSoudV3q+DTvDp7WrKtz+1zVYc5+64umVKP66Xagwi0hH/xn/tFx/npBn6fiRfIw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WHvIcIAAADcAAAADwAAAAAAAAAAAAAA&#10;AAChAgAAZHJzL2Rvd25yZXYueG1sUEsFBgAAAAAEAAQA+QAAAJADAAAAAA==&#10;" strokeweight=".0005mm"/>
                <v:shape id="Freeform 158" o:spid="_x0000_s1100" style="position:absolute;left:10452;top:46342;width:908;height:832;visibility:visible;mso-wrap-style:square;v-text-anchor:top" coordsize="143,1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VUCsIA&#10;AADcAAAADwAAAGRycy9kb3ducmV2LnhtbERP24rCMBB9F/yHMMK+aWofVqlG6QrCLiJ4+4ChmW2L&#10;zaQk0Va/3iws+DaHc53lujeNuJPztWUF00kCgriwuuZSweW8Hc9B+ICssbFMCh7kYb0aDpaYadvx&#10;ke6nUIoYwj5DBVUIbSalLyoy6Ce2JY7cr3UGQ4SulNphF8NNI9Mk+ZQGa44NFba0qai4nm5GQf6Y&#10;5vvzzG2ez/Rr9rO7djtzyJX6GPX5AkSgPrzF/+5vHecnKfw9Ey+Qq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VQKwgAAANwAAAAPAAAAAAAAAAAAAAAAAJgCAABkcnMvZG93&#10;bnJldi54bWxQSwUGAAAAAAQABAD1AAAAhwMAAAAA&#10;" path="m71,131l143,,,,71,131xe" fillcolor="black" stroked="f">
                  <v:path arrowok="t" o:connecttype="custom" o:connectlocs="45085,83185;90805,0;0,0;45085,83185" o:connectangles="0,0,0,0"/>
                </v:shape>
                <v:shape id="Freeform 159" o:spid="_x0000_s1101" style="position:absolute;left:10452;top:46342;width:908;height:832;visibility:visible;mso-wrap-style:square;v-text-anchor:top" coordsize="4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sxFsEA&#10;AADcAAAADwAAAGRycy9kb3ducmV2LnhtbERPTWsCMRC9F/wPYYTearYWiqxGkaIgLbS4VbwOm3Gz&#10;mkyWJNXtv28Eobd5vM+ZLXpnxYVCbD0reB4VIIhrr1tuFOy+108TEDEha7SeScEvRVjMBw8zLLW/&#10;8pYuVWpEDuFYogKTUldKGWtDDuPId8SZO/rgMGUYGqkDXnO4s3JcFK/SYcu5wWBHb4bqc/XjFHy9&#10;a9tiCKvPU/fhK2PXB1ztlXoc9sspiER9+hff3Rud5xcvcHsmXyDn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abMRbBAAAA3AAAAA8AAAAAAAAAAAAAAAAAmAIAAGRycy9kb3du&#10;cmV2LnhtbFBLBQYAAAAABAAEAPUAAACGAwAAAAA=&#10;" path="m20,40l40,,,,20,40e" filled="f" strokeweight="0">
                  <v:path arrowok="t" o:connecttype="custom" o:connectlocs="45403,83185;90805,0;0,0;45403,83185" o:connectangles="0,0,0,0"/>
                </v:shape>
                <v:rect id="Rectangle 160" o:spid="_x0000_s1102" style="position:absolute;left:26447;top:17424;width:1581;height:165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C57b8A&#10;AADcAAAADwAAAGRycy9kb3ducmV2LnhtbERP22oCMRB9F/oPYQp9cxOliKxGKYKgpS+ufsCwmb3Q&#10;ZLIk0d3+fVMo+DaHc53tfnJWPCjE3rOGRaFAENfe9NxquF2P8zWImJANWs+k4Yci7Hcvsy2Wxo98&#10;oUeVWpFDOJaooUtpKKWMdUcOY+EH4sw1PjhMGYZWmoBjDndWLpVaSYc954YOBzp0VH9Xd6dBXqvj&#10;uK5sUP5z2XzZ8+nSkNf67XX62IBINKWn+N99Mnm+eoe/Z/IFcvc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XILntvwAAANwAAAAPAAAAAAAAAAAAAAAAAJgCAABkcnMvZG93bnJl&#10;di54bWxQSwUGAAAAAAQABAD1AAAAhAMAAAAA&#10;" filled="f" stroked="f">
                  <v:textbox style="mso-fit-shape-to-text:t" inset="0,0,0,0">
                    <w:txbxContent>
                      <w:p w:rsidR="00C664E8" w:rsidRDefault="00C664E8">
                        <w:r>
                          <w:rPr>
                            <w:color w:val="000000"/>
                            <w:sz w:val="16"/>
                            <w:szCs w:val="16"/>
                            <w:lang w:val="en-US"/>
                          </w:rPr>
                          <w:t>Yes</w:t>
                        </w:r>
                      </w:p>
                    </w:txbxContent>
                  </v:textbox>
                </v:rect>
                <v:rect id="Rectangle 161" o:spid="_x0000_s1103" style="position:absolute;left:26473;top:27774;width:1581;height:165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wcdr8A&#10;AADcAAAADwAAAGRycy9kb3ducmV2LnhtbERP22oCMRB9F/oPYQp9cxOFiqxGKYKgpS+ufsCwmb3Q&#10;ZLIk0d3+fVMo+DaHc53tfnJWPCjE3rOGRaFAENfe9NxquF2P8zWImJANWs+k4Yci7Hcvsy2Wxo98&#10;oUeVWpFDOJaooUtpKKWMdUcOY+EH4sw1PjhMGYZWmoBjDndWLpVaSYc954YOBzp0VH9Xd6dBXqvj&#10;uK5sUP5z2XzZ8+nSkNf67XX62IBINKWn+N99Mnm+eoe/Z/IFcvc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4bBx2vwAAANwAAAAPAAAAAAAAAAAAAAAAAJgCAABkcnMvZG93bnJl&#10;di54bWxQSwUGAAAAAAQABAD1AAAAhAMAAAAA&#10;" filled="f" stroked="f">
                  <v:textbox style="mso-fit-shape-to-text:t" inset="0,0,0,0">
                    <w:txbxContent>
                      <w:p w:rsidR="00C664E8" w:rsidRDefault="00C664E8">
                        <w:r>
                          <w:rPr>
                            <w:color w:val="000000"/>
                            <w:sz w:val="16"/>
                            <w:szCs w:val="16"/>
                            <w:lang w:val="en-US"/>
                          </w:rPr>
                          <w:t>Yes</w:t>
                        </w:r>
                      </w:p>
                    </w:txbxContent>
                  </v:textbox>
                </v:rect>
                <v:rect id="Rectangle 162" o:spid="_x0000_s1104" style="position:absolute;left:26492;top:38290;width:1581;height:165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6CAb4A&#10;AADcAAAADwAAAGRycy9kb3ducmV2LnhtbERPzWoCMRC+F3yHMEJvNdGDyGoUEQQrvbj6AMNm9geT&#10;yZJEd/v2plDwNh/f72x2o7PiSSF2njXMZwoEceVNx42G2/X4tQIRE7JB65k0/FKE3XbyscHC+IEv&#10;9CxTI3IIxwI1tCn1hZSxaslhnPmeOHO1Dw5ThqGRJuCQw52VC6WW0mHHuaHFng4tVffy4TTIa3kc&#10;VqUNyp8X9Y/9Pl1q8lp/Tsf9GkSiMb3F/+6TyfPVEv6eyRfI7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i+ggG+AAAA3AAAAA8AAAAAAAAAAAAAAAAAmAIAAGRycy9kb3ducmV2&#10;LnhtbFBLBQYAAAAABAAEAPUAAACDAwAAAAA=&#10;" filled="f" stroked="f">
                  <v:textbox style="mso-fit-shape-to-text:t" inset="0,0,0,0">
                    <w:txbxContent>
                      <w:p w:rsidR="00C664E8" w:rsidRDefault="00C664E8">
                        <w:r>
                          <w:rPr>
                            <w:color w:val="000000"/>
                            <w:sz w:val="16"/>
                            <w:szCs w:val="16"/>
                            <w:lang w:val="en-US"/>
                          </w:rPr>
                          <w:t>Yes</w:t>
                        </w:r>
                      </w:p>
                    </w:txbxContent>
                  </v:textbox>
                </v:rect>
                <v:rect id="Rectangle 163" o:spid="_x0000_s1105" style="position:absolute;left:26447;top:48907;width:1581;height:165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nmr8A&#10;AADcAAAADwAAAGRycy9kb3ducmV2LnhtbERPzWoCMRC+C32HMIXe3EQPVVajFEHQ0ourDzBsZn9o&#10;MlmS6G7fvikUvM3H9zvb/eSseFCIvWcNi0KBIK696bnVcLse52sQMSEbtJ5Jww9F2O9eZlssjR/5&#10;Qo8qtSKHcCxRQ5fSUEoZ644cxsIPxJlrfHCYMgytNAHHHO6sXCr1Lh32nBs6HOjQUf1d3Z0Gea2O&#10;47qyQfnPZfNlz6dLQ17rt9fpYwMi0ZSe4n/3yeT5agV/z+QL5O4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8ieavwAAANwAAAAPAAAAAAAAAAAAAAAAAJgCAABkcnMvZG93bnJl&#10;di54bWxQSwUGAAAAAAQABAD1AAAAhAMAAAAA&#10;" filled="f" stroked="f">
                  <v:textbox style="mso-fit-shape-to-text:t" inset="0,0,0,0">
                    <w:txbxContent>
                      <w:p w:rsidR="00C664E8" w:rsidRDefault="00C664E8">
                        <w:r>
                          <w:rPr>
                            <w:color w:val="000000"/>
                            <w:sz w:val="16"/>
                            <w:szCs w:val="16"/>
                            <w:lang w:val="en-US"/>
                          </w:rPr>
                          <w:t>Yes</w:t>
                        </w:r>
                      </w:p>
                    </w:txbxContent>
                  </v:textbox>
                </v:rect>
                <w10:anchorlock/>
              </v:group>
            </w:pict>
          </mc:Fallback>
        </mc:AlternateContent>
      </w:r>
    </w:p>
    <w:p w:rsidR="00887330" w:rsidRPr="00583E1A" w:rsidRDefault="00887330" w:rsidP="003C48B0">
      <w:pPr>
        <w:pStyle w:val="ActHead5"/>
      </w:pPr>
      <w:bookmarkStart w:id="174" w:name="_Toc338939248"/>
      <w:r w:rsidRPr="00583E1A">
        <w:rPr>
          <w:rStyle w:val="CharSectno"/>
        </w:rPr>
        <w:lastRenderedPageBreak/>
        <w:t>820</w:t>
      </w:r>
      <w:r w:rsidR="00583E1A">
        <w:rPr>
          <w:rStyle w:val="CharSectno"/>
        </w:rPr>
        <w:noBreakHyphen/>
      </w:r>
      <w:r w:rsidRPr="00583E1A">
        <w:rPr>
          <w:rStyle w:val="CharSectno"/>
        </w:rPr>
        <w:t>10</w:t>
      </w:r>
      <w:r w:rsidRPr="00583E1A">
        <w:t xml:space="preserve">  Map of Division</w:t>
      </w:r>
      <w:bookmarkEnd w:id="174"/>
    </w:p>
    <w:p w:rsidR="00887330" w:rsidRPr="00583E1A" w:rsidRDefault="00887330" w:rsidP="003C48B0">
      <w:pPr>
        <w:pStyle w:val="subsection"/>
        <w:keepNext/>
        <w:keepLines/>
      </w:pPr>
      <w:r w:rsidRPr="00583E1A">
        <w:tab/>
      </w:r>
      <w:r w:rsidRPr="00583E1A">
        <w:tab/>
        <w:t>The following table sets out a map of this Division.</w:t>
      </w:r>
    </w:p>
    <w:p w:rsidR="00887330" w:rsidRPr="00583E1A" w:rsidRDefault="00887330" w:rsidP="003C48B0">
      <w:pPr>
        <w:pStyle w:val="Tabletext"/>
        <w:keepNext/>
        <w:keepLines/>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714"/>
        <w:gridCol w:w="2546"/>
        <w:gridCol w:w="3827"/>
      </w:tblGrid>
      <w:tr w:rsidR="00887330" w:rsidRPr="00583E1A">
        <w:trPr>
          <w:cantSplit/>
          <w:tblHeader/>
        </w:trPr>
        <w:tc>
          <w:tcPr>
            <w:tcW w:w="7087" w:type="dxa"/>
            <w:gridSpan w:val="3"/>
            <w:tcBorders>
              <w:top w:val="single" w:sz="12" w:space="0" w:color="auto"/>
              <w:left w:val="nil"/>
              <w:bottom w:val="nil"/>
              <w:right w:val="nil"/>
            </w:tcBorders>
          </w:tcPr>
          <w:p w:rsidR="00887330" w:rsidRPr="00583E1A" w:rsidRDefault="00887330" w:rsidP="00887330">
            <w:pPr>
              <w:pStyle w:val="Tabletext"/>
              <w:keepNext/>
            </w:pPr>
            <w:r w:rsidRPr="00583E1A">
              <w:rPr>
                <w:b/>
              </w:rPr>
              <w:t>Map of Division</w:t>
            </w:r>
          </w:p>
        </w:tc>
      </w:tr>
      <w:tr w:rsidR="00887330" w:rsidRPr="00583E1A">
        <w:trPr>
          <w:cantSplit/>
          <w:tblHeader/>
        </w:trPr>
        <w:tc>
          <w:tcPr>
            <w:tcW w:w="714" w:type="dxa"/>
            <w:tcBorders>
              <w:top w:val="single" w:sz="6" w:space="0" w:color="auto"/>
              <w:left w:val="nil"/>
              <w:bottom w:val="single" w:sz="12" w:space="0" w:color="auto"/>
              <w:right w:val="nil"/>
            </w:tcBorders>
          </w:tcPr>
          <w:p w:rsidR="00887330" w:rsidRPr="00583E1A" w:rsidRDefault="00887330" w:rsidP="00887330">
            <w:pPr>
              <w:pStyle w:val="Tabletext"/>
            </w:pPr>
            <w:r w:rsidRPr="00583E1A">
              <w:rPr>
                <w:b/>
              </w:rPr>
              <w:t>Item</w:t>
            </w:r>
          </w:p>
        </w:tc>
        <w:tc>
          <w:tcPr>
            <w:tcW w:w="2546" w:type="dxa"/>
            <w:tcBorders>
              <w:top w:val="single" w:sz="6" w:space="0" w:color="auto"/>
              <w:left w:val="nil"/>
              <w:bottom w:val="single" w:sz="12" w:space="0" w:color="auto"/>
              <w:right w:val="nil"/>
            </w:tcBorders>
          </w:tcPr>
          <w:p w:rsidR="00887330" w:rsidRPr="00583E1A" w:rsidRDefault="00887330" w:rsidP="00887330">
            <w:pPr>
              <w:pStyle w:val="Tabletext"/>
            </w:pPr>
            <w:r w:rsidRPr="00583E1A">
              <w:rPr>
                <w:b/>
              </w:rPr>
              <w:t>This Subdivision:</w:t>
            </w:r>
          </w:p>
        </w:tc>
        <w:tc>
          <w:tcPr>
            <w:tcW w:w="3827" w:type="dxa"/>
            <w:tcBorders>
              <w:top w:val="single" w:sz="6" w:space="0" w:color="auto"/>
              <w:left w:val="nil"/>
              <w:bottom w:val="single" w:sz="12" w:space="0" w:color="auto"/>
              <w:right w:val="nil"/>
            </w:tcBorders>
          </w:tcPr>
          <w:p w:rsidR="00887330" w:rsidRPr="00583E1A" w:rsidRDefault="00887330" w:rsidP="00887330">
            <w:pPr>
              <w:pStyle w:val="Tabletext"/>
            </w:pPr>
            <w:r w:rsidRPr="00583E1A">
              <w:rPr>
                <w:b/>
              </w:rPr>
              <w:t>sets out:</w:t>
            </w:r>
          </w:p>
        </w:tc>
      </w:tr>
      <w:tr w:rsidR="00887330" w:rsidRPr="00583E1A">
        <w:trPr>
          <w:cantSplit/>
        </w:trPr>
        <w:tc>
          <w:tcPr>
            <w:tcW w:w="714" w:type="dxa"/>
            <w:tcBorders>
              <w:top w:val="single" w:sz="12" w:space="0" w:color="auto"/>
              <w:left w:val="nil"/>
              <w:bottom w:val="single" w:sz="2" w:space="0" w:color="auto"/>
              <w:right w:val="nil"/>
            </w:tcBorders>
            <w:shd w:val="clear" w:color="auto" w:fill="auto"/>
          </w:tcPr>
          <w:p w:rsidR="00887330" w:rsidRPr="00583E1A" w:rsidRDefault="00887330" w:rsidP="00887330">
            <w:pPr>
              <w:pStyle w:val="Tabletext"/>
            </w:pPr>
            <w:r w:rsidRPr="00583E1A">
              <w:t>1</w:t>
            </w:r>
          </w:p>
        </w:tc>
        <w:tc>
          <w:tcPr>
            <w:tcW w:w="2546" w:type="dxa"/>
            <w:tcBorders>
              <w:top w:val="single" w:sz="12" w:space="0" w:color="auto"/>
              <w:left w:val="nil"/>
              <w:bottom w:val="single" w:sz="2" w:space="0" w:color="auto"/>
              <w:right w:val="nil"/>
            </w:tcBorders>
            <w:shd w:val="clear" w:color="auto" w:fill="auto"/>
          </w:tcPr>
          <w:p w:rsidR="00887330" w:rsidRPr="00583E1A" w:rsidRDefault="00887330" w:rsidP="00887330">
            <w:pPr>
              <w:pStyle w:val="Tabletext"/>
            </w:pPr>
            <w:r w:rsidRPr="00583E1A">
              <w:t>Subdivision</w:t>
            </w:r>
            <w:r w:rsidR="00583E1A">
              <w:t> </w:t>
            </w:r>
            <w:r w:rsidRPr="00583E1A">
              <w:t>820</w:t>
            </w:r>
            <w:r w:rsidR="00583E1A">
              <w:noBreakHyphen/>
            </w:r>
            <w:r w:rsidRPr="00583E1A">
              <w:t>B or 820</w:t>
            </w:r>
            <w:r w:rsidR="00583E1A">
              <w:noBreakHyphen/>
            </w:r>
            <w:r w:rsidRPr="00583E1A">
              <w:t>C</w:t>
            </w:r>
          </w:p>
        </w:tc>
        <w:tc>
          <w:tcPr>
            <w:tcW w:w="3827" w:type="dxa"/>
            <w:tcBorders>
              <w:top w:val="single" w:sz="12" w:space="0" w:color="auto"/>
              <w:left w:val="nil"/>
              <w:bottom w:val="single" w:sz="2" w:space="0" w:color="auto"/>
              <w:right w:val="nil"/>
            </w:tcBorders>
            <w:shd w:val="clear" w:color="auto" w:fill="auto"/>
          </w:tcPr>
          <w:p w:rsidR="00887330" w:rsidRPr="00583E1A" w:rsidRDefault="00887330" w:rsidP="00887330">
            <w:pPr>
              <w:pStyle w:val="Tablea"/>
            </w:pPr>
            <w:r w:rsidRPr="00583E1A">
              <w:t>(a) the meaning of maximum allowable debt for the Subdivision; and</w:t>
            </w:r>
          </w:p>
          <w:p w:rsidR="00887330" w:rsidRPr="00583E1A" w:rsidRDefault="00887330" w:rsidP="00887330">
            <w:pPr>
              <w:pStyle w:val="Tablea"/>
            </w:pPr>
            <w:r w:rsidRPr="00583E1A">
              <w:t>(b) how an entity covered by the Subdivision would have all or a part of its debt deductions disallowed if the maximum allowable debt is exceeded; and</w:t>
            </w:r>
          </w:p>
          <w:p w:rsidR="00887330" w:rsidRPr="00583E1A" w:rsidRDefault="00887330" w:rsidP="00887330">
            <w:pPr>
              <w:pStyle w:val="Tablea"/>
            </w:pPr>
            <w:r w:rsidRPr="00583E1A">
              <w:t>(c) the application of these rules in relation to a part of an income year.</w:t>
            </w:r>
          </w:p>
        </w:tc>
      </w:tr>
      <w:tr w:rsidR="00887330" w:rsidRPr="00583E1A">
        <w:trPr>
          <w:cantSplit/>
        </w:trPr>
        <w:tc>
          <w:tcPr>
            <w:tcW w:w="714" w:type="dxa"/>
            <w:tcBorders>
              <w:top w:val="single" w:sz="2" w:space="0" w:color="auto"/>
              <w:left w:val="nil"/>
              <w:bottom w:val="single" w:sz="2" w:space="0" w:color="auto"/>
              <w:right w:val="nil"/>
            </w:tcBorders>
            <w:shd w:val="clear" w:color="auto" w:fill="auto"/>
          </w:tcPr>
          <w:p w:rsidR="00887330" w:rsidRPr="00583E1A" w:rsidRDefault="00887330" w:rsidP="00887330">
            <w:pPr>
              <w:pStyle w:val="Tabletext"/>
            </w:pPr>
            <w:r w:rsidRPr="00583E1A">
              <w:t>2</w:t>
            </w:r>
          </w:p>
        </w:tc>
        <w:tc>
          <w:tcPr>
            <w:tcW w:w="2546" w:type="dxa"/>
            <w:tcBorders>
              <w:top w:val="single" w:sz="2" w:space="0" w:color="auto"/>
              <w:left w:val="nil"/>
              <w:bottom w:val="single" w:sz="2" w:space="0" w:color="auto"/>
              <w:right w:val="nil"/>
            </w:tcBorders>
            <w:shd w:val="clear" w:color="auto" w:fill="auto"/>
          </w:tcPr>
          <w:p w:rsidR="00887330" w:rsidRPr="00583E1A" w:rsidRDefault="00887330" w:rsidP="00887330">
            <w:pPr>
              <w:pStyle w:val="Tabletext"/>
            </w:pPr>
            <w:r w:rsidRPr="00583E1A">
              <w:t>Subdivision</w:t>
            </w:r>
            <w:r w:rsidR="00583E1A">
              <w:t> </w:t>
            </w:r>
            <w:r w:rsidRPr="00583E1A">
              <w:t>820</w:t>
            </w:r>
            <w:r w:rsidR="00583E1A">
              <w:noBreakHyphen/>
            </w:r>
            <w:r w:rsidRPr="00583E1A">
              <w:t>D or 820</w:t>
            </w:r>
            <w:r w:rsidR="00583E1A">
              <w:noBreakHyphen/>
            </w:r>
            <w:r w:rsidRPr="00583E1A">
              <w:t>E</w:t>
            </w:r>
          </w:p>
        </w:tc>
        <w:tc>
          <w:tcPr>
            <w:tcW w:w="3827" w:type="dxa"/>
            <w:tcBorders>
              <w:top w:val="single" w:sz="2" w:space="0" w:color="auto"/>
              <w:left w:val="nil"/>
              <w:bottom w:val="single" w:sz="2" w:space="0" w:color="auto"/>
              <w:right w:val="nil"/>
            </w:tcBorders>
            <w:shd w:val="clear" w:color="auto" w:fill="auto"/>
          </w:tcPr>
          <w:p w:rsidR="00887330" w:rsidRPr="00583E1A" w:rsidRDefault="00887330" w:rsidP="00887330">
            <w:pPr>
              <w:pStyle w:val="Tablea"/>
            </w:pPr>
            <w:r w:rsidRPr="00583E1A">
              <w:t>(a) the meaning of minimum capital amount for the Subdivision; and</w:t>
            </w:r>
          </w:p>
          <w:p w:rsidR="00887330" w:rsidRPr="00583E1A" w:rsidRDefault="00887330" w:rsidP="00887330">
            <w:pPr>
              <w:pStyle w:val="Tablea"/>
            </w:pPr>
            <w:r w:rsidRPr="00583E1A">
              <w:t>(b) how an entity covered by the Subdivision would have all or a part of its debt deductions disallowed if the minimum capital amount is not reached; and</w:t>
            </w:r>
          </w:p>
          <w:p w:rsidR="00887330" w:rsidRPr="00583E1A" w:rsidRDefault="00887330" w:rsidP="00887330">
            <w:pPr>
              <w:pStyle w:val="Tablea"/>
            </w:pPr>
            <w:r w:rsidRPr="00583E1A">
              <w:t>(c) the application of these rules in relation to a part of an income year.</w:t>
            </w:r>
          </w:p>
        </w:tc>
      </w:tr>
      <w:tr w:rsidR="00887330" w:rsidRPr="00583E1A">
        <w:trPr>
          <w:cantSplit/>
        </w:trPr>
        <w:tc>
          <w:tcPr>
            <w:tcW w:w="714" w:type="dxa"/>
            <w:tcBorders>
              <w:top w:val="single" w:sz="2" w:space="0" w:color="auto"/>
              <w:left w:val="nil"/>
              <w:bottom w:val="single" w:sz="2" w:space="0" w:color="auto"/>
              <w:right w:val="nil"/>
            </w:tcBorders>
            <w:shd w:val="clear" w:color="auto" w:fill="auto"/>
          </w:tcPr>
          <w:p w:rsidR="00887330" w:rsidRPr="00583E1A" w:rsidRDefault="00887330" w:rsidP="00887330">
            <w:pPr>
              <w:pStyle w:val="Tabletext"/>
            </w:pPr>
            <w:r w:rsidRPr="00583E1A">
              <w:t>3A</w:t>
            </w:r>
          </w:p>
        </w:tc>
        <w:tc>
          <w:tcPr>
            <w:tcW w:w="2546" w:type="dxa"/>
            <w:tcBorders>
              <w:top w:val="single" w:sz="2" w:space="0" w:color="auto"/>
              <w:left w:val="nil"/>
              <w:bottom w:val="single" w:sz="2" w:space="0" w:color="auto"/>
              <w:right w:val="nil"/>
            </w:tcBorders>
            <w:shd w:val="clear" w:color="auto" w:fill="auto"/>
          </w:tcPr>
          <w:p w:rsidR="00887330" w:rsidRPr="00583E1A" w:rsidRDefault="00887330" w:rsidP="00887330">
            <w:pPr>
              <w:pStyle w:val="Tabletext"/>
            </w:pPr>
            <w:r w:rsidRPr="00583E1A">
              <w:t>Subdivision</w:t>
            </w:r>
            <w:r w:rsidR="00583E1A">
              <w:t> </w:t>
            </w:r>
            <w:r w:rsidRPr="00583E1A">
              <w:t>820</w:t>
            </w:r>
            <w:r w:rsidR="00583E1A">
              <w:noBreakHyphen/>
            </w:r>
            <w:r w:rsidRPr="00583E1A">
              <w:t>FA</w:t>
            </w:r>
          </w:p>
        </w:tc>
        <w:tc>
          <w:tcPr>
            <w:tcW w:w="3827" w:type="dxa"/>
            <w:tcBorders>
              <w:top w:val="single" w:sz="2" w:space="0" w:color="auto"/>
              <w:left w:val="nil"/>
              <w:bottom w:val="single" w:sz="2" w:space="0" w:color="auto"/>
              <w:right w:val="nil"/>
            </w:tcBorders>
            <w:shd w:val="clear" w:color="auto" w:fill="auto"/>
          </w:tcPr>
          <w:p w:rsidR="00887330" w:rsidRPr="00583E1A" w:rsidRDefault="00887330" w:rsidP="00887330">
            <w:pPr>
              <w:pStyle w:val="Tabletext"/>
            </w:pPr>
            <w:r w:rsidRPr="00583E1A">
              <w:t>how this Division applies to a consolidated group or MEC group.</w:t>
            </w:r>
          </w:p>
        </w:tc>
      </w:tr>
      <w:tr w:rsidR="00887330" w:rsidRPr="00583E1A">
        <w:trPr>
          <w:cantSplit/>
        </w:trPr>
        <w:tc>
          <w:tcPr>
            <w:tcW w:w="714" w:type="dxa"/>
            <w:tcBorders>
              <w:top w:val="single" w:sz="2" w:space="0" w:color="auto"/>
              <w:left w:val="nil"/>
              <w:bottom w:val="single" w:sz="2" w:space="0" w:color="auto"/>
              <w:right w:val="nil"/>
            </w:tcBorders>
            <w:shd w:val="clear" w:color="auto" w:fill="auto"/>
          </w:tcPr>
          <w:p w:rsidR="00887330" w:rsidRPr="00583E1A" w:rsidRDefault="00887330" w:rsidP="00887330">
            <w:pPr>
              <w:pStyle w:val="Tabletext"/>
            </w:pPr>
            <w:r w:rsidRPr="00583E1A">
              <w:t>3B</w:t>
            </w:r>
          </w:p>
        </w:tc>
        <w:tc>
          <w:tcPr>
            <w:tcW w:w="2546" w:type="dxa"/>
            <w:tcBorders>
              <w:top w:val="single" w:sz="2" w:space="0" w:color="auto"/>
              <w:left w:val="nil"/>
              <w:bottom w:val="single" w:sz="2" w:space="0" w:color="auto"/>
              <w:right w:val="nil"/>
            </w:tcBorders>
            <w:shd w:val="clear" w:color="auto" w:fill="auto"/>
          </w:tcPr>
          <w:p w:rsidR="00887330" w:rsidRPr="00583E1A" w:rsidRDefault="00887330" w:rsidP="00887330">
            <w:pPr>
              <w:pStyle w:val="Tabletext"/>
            </w:pPr>
            <w:r w:rsidRPr="00583E1A">
              <w:t>Subdivision</w:t>
            </w:r>
            <w:r w:rsidR="00583E1A">
              <w:t> </w:t>
            </w:r>
            <w:r w:rsidRPr="00583E1A">
              <w:t>820</w:t>
            </w:r>
            <w:r w:rsidR="00583E1A">
              <w:noBreakHyphen/>
            </w:r>
            <w:r w:rsidRPr="00583E1A">
              <w:t>FB</w:t>
            </w:r>
          </w:p>
        </w:tc>
        <w:tc>
          <w:tcPr>
            <w:tcW w:w="3827" w:type="dxa"/>
            <w:tcBorders>
              <w:top w:val="single" w:sz="2" w:space="0" w:color="auto"/>
              <w:left w:val="nil"/>
              <w:bottom w:val="single" w:sz="2" w:space="0" w:color="auto"/>
              <w:right w:val="nil"/>
            </w:tcBorders>
            <w:shd w:val="clear" w:color="auto" w:fill="auto"/>
          </w:tcPr>
          <w:p w:rsidR="00887330" w:rsidRPr="00583E1A" w:rsidRDefault="00887330" w:rsidP="00887330">
            <w:pPr>
              <w:pStyle w:val="Tabletext"/>
            </w:pPr>
            <w:r w:rsidRPr="00583E1A">
              <w:t>special rules for grouping foreign bank branches with a consolidated group, MEC group or single Australian resident company.</w:t>
            </w:r>
          </w:p>
        </w:tc>
      </w:tr>
      <w:tr w:rsidR="00887330" w:rsidRPr="00583E1A">
        <w:trPr>
          <w:cantSplit/>
        </w:trPr>
        <w:tc>
          <w:tcPr>
            <w:tcW w:w="714" w:type="dxa"/>
            <w:tcBorders>
              <w:top w:val="single" w:sz="2" w:space="0" w:color="auto"/>
              <w:left w:val="nil"/>
              <w:bottom w:val="single" w:sz="2" w:space="0" w:color="auto"/>
              <w:right w:val="nil"/>
            </w:tcBorders>
            <w:shd w:val="clear" w:color="auto" w:fill="auto"/>
          </w:tcPr>
          <w:p w:rsidR="00887330" w:rsidRPr="00583E1A" w:rsidRDefault="00887330" w:rsidP="00887330">
            <w:pPr>
              <w:pStyle w:val="Tabletext"/>
            </w:pPr>
            <w:r w:rsidRPr="00583E1A">
              <w:t>4</w:t>
            </w:r>
          </w:p>
        </w:tc>
        <w:tc>
          <w:tcPr>
            <w:tcW w:w="2546" w:type="dxa"/>
            <w:tcBorders>
              <w:top w:val="single" w:sz="2" w:space="0" w:color="auto"/>
              <w:left w:val="nil"/>
              <w:bottom w:val="single" w:sz="2" w:space="0" w:color="auto"/>
              <w:right w:val="nil"/>
            </w:tcBorders>
            <w:shd w:val="clear" w:color="auto" w:fill="auto"/>
          </w:tcPr>
          <w:p w:rsidR="00887330" w:rsidRPr="00583E1A" w:rsidRDefault="00887330" w:rsidP="00887330">
            <w:pPr>
              <w:pStyle w:val="Tabletext"/>
            </w:pPr>
            <w:r w:rsidRPr="00583E1A">
              <w:t>Subdivision</w:t>
            </w:r>
            <w:r w:rsidR="00583E1A">
              <w:t> </w:t>
            </w:r>
            <w:r w:rsidRPr="00583E1A">
              <w:t>820</w:t>
            </w:r>
            <w:r w:rsidR="00583E1A">
              <w:noBreakHyphen/>
            </w:r>
            <w:r w:rsidRPr="00583E1A">
              <w:t>G</w:t>
            </w:r>
          </w:p>
        </w:tc>
        <w:tc>
          <w:tcPr>
            <w:tcW w:w="3827" w:type="dxa"/>
            <w:tcBorders>
              <w:top w:val="single" w:sz="2" w:space="0" w:color="auto"/>
              <w:left w:val="nil"/>
              <w:bottom w:val="single" w:sz="2" w:space="0" w:color="auto"/>
              <w:right w:val="nil"/>
            </w:tcBorders>
            <w:shd w:val="clear" w:color="auto" w:fill="auto"/>
          </w:tcPr>
          <w:p w:rsidR="00887330" w:rsidRPr="00583E1A" w:rsidRDefault="00887330" w:rsidP="00887330">
            <w:pPr>
              <w:pStyle w:val="Tabletext"/>
            </w:pPr>
            <w:r w:rsidRPr="00583E1A">
              <w:t>the methods of calculating the average value of a matter for the purposes of this Division.</w:t>
            </w:r>
          </w:p>
        </w:tc>
      </w:tr>
      <w:tr w:rsidR="00887330" w:rsidRPr="00583E1A">
        <w:trPr>
          <w:cantSplit/>
        </w:trPr>
        <w:tc>
          <w:tcPr>
            <w:tcW w:w="714" w:type="dxa"/>
            <w:tcBorders>
              <w:top w:val="single" w:sz="2" w:space="0" w:color="auto"/>
              <w:left w:val="nil"/>
              <w:bottom w:val="single" w:sz="2" w:space="0" w:color="auto"/>
              <w:right w:val="nil"/>
            </w:tcBorders>
            <w:shd w:val="clear" w:color="auto" w:fill="auto"/>
          </w:tcPr>
          <w:p w:rsidR="00887330" w:rsidRPr="00583E1A" w:rsidRDefault="00887330" w:rsidP="00887330">
            <w:pPr>
              <w:pStyle w:val="Tabletext"/>
            </w:pPr>
            <w:r w:rsidRPr="00583E1A">
              <w:lastRenderedPageBreak/>
              <w:t>5</w:t>
            </w:r>
          </w:p>
        </w:tc>
        <w:tc>
          <w:tcPr>
            <w:tcW w:w="2546" w:type="dxa"/>
            <w:tcBorders>
              <w:top w:val="single" w:sz="2" w:space="0" w:color="auto"/>
              <w:left w:val="nil"/>
              <w:bottom w:val="single" w:sz="2" w:space="0" w:color="auto"/>
              <w:right w:val="nil"/>
            </w:tcBorders>
            <w:shd w:val="clear" w:color="auto" w:fill="auto"/>
          </w:tcPr>
          <w:p w:rsidR="00887330" w:rsidRPr="00583E1A" w:rsidRDefault="00887330" w:rsidP="00887330">
            <w:pPr>
              <w:pStyle w:val="Tabletext"/>
            </w:pPr>
            <w:r w:rsidRPr="00583E1A">
              <w:t>Subdivision</w:t>
            </w:r>
            <w:r w:rsidR="00583E1A">
              <w:t> </w:t>
            </w:r>
            <w:r w:rsidRPr="00583E1A">
              <w:t>820</w:t>
            </w:r>
            <w:r w:rsidR="00583E1A">
              <w:noBreakHyphen/>
            </w:r>
            <w:r w:rsidRPr="00583E1A">
              <w:t>H</w:t>
            </w:r>
          </w:p>
        </w:tc>
        <w:tc>
          <w:tcPr>
            <w:tcW w:w="3827" w:type="dxa"/>
            <w:tcBorders>
              <w:top w:val="single" w:sz="2" w:space="0" w:color="auto"/>
              <w:left w:val="nil"/>
              <w:bottom w:val="single" w:sz="2" w:space="0" w:color="auto"/>
              <w:right w:val="nil"/>
            </w:tcBorders>
            <w:shd w:val="clear" w:color="auto" w:fill="auto"/>
          </w:tcPr>
          <w:p w:rsidR="00887330" w:rsidRPr="00583E1A" w:rsidRDefault="00887330" w:rsidP="00887330">
            <w:pPr>
              <w:pStyle w:val="Tabletext"/>
            </w:pPr>
            <w:r w:rsidRPr="00583E1A">
              <w:t>the rules for determining:</w:t>
            </w:r>
          </w:p>
          <w:p w:rsidR="00887330" w:rsidRPr="00583E1A" w:rsidRDefault="00887330" w:rsidP="00887330">
            <w:pPr>
              <w:pStyle w:val="Tablea"/>
            </w:pPr>
            <w:r w:rsidRPr="00583E1A">
              <w:t>(a) whether or not an Australian entity controls a foreign entity (for the purposes of determining whether or not Subdivision</w:t>
            </w:r>
            <w:r w:rsidR="00583E1A">
              <w:t> </w:t>
            </w:r>
            <w:r w:rsidRPr="00583E1A">
              <w:t>820</w:t>
            </w:r>
            <w:r w:rsidR="00583E1A">
              <w:noBreakHyphen/>
            </w:r>
            <w:r w:rsidRPr="00583E1A">
              <w:t>B or 820</w:t>
            </w:r>
            <w:r w:rsidR="00583E1A">
              <w:noBreakHyphen/>
            </w:r>
            <w:r w:rsidRPr="00583E1A">
              <w:t>D applies to that Australian entity); and</w:t>
            </w:r>
          </w:p>
          <w:p w:rsidR="00887330" w:rsidRPr="00583E1A" w:rsidRDefault="00887330" w:rsidP="00887330">
            <w:pPr>
              <w:pStyle w:val="Tablea"/>
            </w:pPr>
            <w:r w:rsidRPr="00583E1A">
              <w:t>(b) whether or not an Australian entity is controlled by a foreign entity (for the purposes of determining whether or not Subdivision</w:t>
            </w:r>
            <w:r w:rsidR="00583E1A">
              <w:t> </w:t>
            </w:r>
            <w:r w:rsidRPr="00583E1A">
              <w:t>820</w:t>
            </w:r>
            <w:r w:rsidR="00583E1A">
              <w:noBreakHyphen/>
            </w:r>
            <w:r w:rsidRPr="00583E1A">
              <w:t>C applies to that Australian entity).</w:t>
            </w:r>
          </w:p>
        </w:tc>
      </w:tr>
      <w:tr w:rsidR="00887330" w:rsidRPr="00583E1A">
        <w:trPr>
          <w:cantSplit/>
        </w:trPr>
        <w:tc>
          <w:tcPr>
            <w:tcW w:w="714" w:type="dxa"/>
            <w:tcBorders>
              <w:top w:val="single" w:sz="2" w:space="0" w:color="auto"/>
              <w:left w:val="nil"/>
              <w:bottom w:val="single" w:sz="2" w:space="0" w:color="auto"/>
              <w:right w:val="nil"/>
            </w:tcBorders>
            <w:shd w:val="clear" w:color="auto" w:fill="auto"/>
          </w:tcPr>
          <w:p w:rsidR="00887330" w:rsidRPr="00583E1A" w:rsidRDefault="00887330" w:rsidP="00887330">
            <w:pPr>
              <w:pStyle w:val="Tabletext"/>
            </w:pPr>
            <w:r w:rsidRPr="00583E1A">
              <w:t>5A</w:t>
            </w:r>
          </w:p>
        </w:tc>
        <w:tc>
          <w:tcPr>
            <w:tcW w:w="2546" w:type="dxa"/>
            <w:tcBorders>
              <w:top w:val="single" w:sz="2" w:space="0" w:color="auto"/>
              <w:left w:val="nil"/>
              <w:bottom w:val="single" w:sz="2" w:space="0" w:color="auto"/>
              <w:right w:val="nil"/>
            </w:tcBorders>
            <w:shd w:val="clear" w:color="auto" w:fill="auto"/>
          </w:tcPr>
          <w:p w:rsidR="00887330" w:rsidRPr="00583E1A" w:rsidRDefault="00887330" w:rsidP="00887330">
            <w:pPr>
              <w:pStyle w:val="Tabletext"/>
            </w:pPr>
            <w:r w:rsidRPr="00583E1A">
              <w:t>Subdivision</w:t>
            </w:r>
            <w:r w:rsidR="00583E1A">
              <w:t> </w:t>
            </w:r>
            <w:r w:rsidRPr="00583E1A">
              <w:t>820</w:t>
            </w:r>
            <w:r w:rsidR="00583E1A">
              <w:noBreakHyphen/>
            </w:r>
            <w:r w:rsidRPr="00583E1A">
              <w:t>HA</w:t>
            </w:r>
          </w:p>
        </w:tc>
        <w:tc>
          <w:tcPr>
            <w:tcW w:w="3827" w:type="dxa"/>
            <w:tcBorders>
              <w:top w:val="single" w:sz="2" w:space="0" w:color="auto"/>
              <w:left w:val="nil"/>
              <w:bottom w:val="single" w:sz="2" w:space="0" w:color="auto"/>
              <w:right w:val="nil"/>
            </w:tcBorders>
            <w:shd w:val="clear" w:color="auto" w:fill="auto"/>
          </w:tcPr>
          <w:p w:rsidR="00887330" w:rsidRPr="00583E1A" w:rsidRDefault="00887330" w:rsidP="00887330">
            <w:pPr>
              <w:pStyle w:val="Tabletext"/>
            </w:pPr>
            <w:r w:rsidRPr="00583E1A">
              <w:t>the meaning of controlled foreign entity debt and controlled foreign entity equity for the purposes of this Division.</w:t>
            </w:r>
          </w:p>
        </w:tc>
      </w:tr>
      <w:tr w:rsidR="00887330" w:rsidRPr="00583E1A">
        <w:trPr>
          <w:cantSplit/>
        </w:trPr>
        <w:tc>
          <w:tcPr>
            <w:tcW w:w="714" w:type="dxa"/>
            <w:tcBorders>
              <w:top w:val="single" w:sz="2" w:space="0" w:color="auto"/>
              <w:left w:val="nil"/>
              <w:bottom w:val="single" w:sz="2" w:space="0" w:color="auto"/>
              <w:right w:val="nil"/>
            </w:tcBorders>
            <w:shd w:val="clear" w:color="auto" w:fill="auto"/>
          </w:tcPr>
          <w:p w:rsidR="00887330" w:rsidRPr="00583E1A" w:rsidRDefault="00887330" w:rsidP="00887330">
            <w:pPr>
              <w:pStyle w:val="Tabletext"/>
            </w:pPr>
            <w:r w:rsidRPr="00583E1A">
              <w:t>6</w:t>
            </w:r>
          </w:p>
        </w:tc>
        <w:tc>
          <w:tcPr>
            <w:tcW w:w="2546" w:type="dxa"/>
            <w:tcBorders>
              <w:top w:val="single" w:sz="2" w:space="0" w:color="auto"/>
              <w:left w:val="nil"/>
              <w:bottom w:val="single" w:sz="2" w:space="0" w:color="auto"/>
              <w:right w:val="nil"/>
            </w:tcBorders>
            <w:shd w:val="clear" w:color="auto" w:fill="auto"/>
          </w:tcPr>
          <w:p w:rsidR="00887330" w:rsidRPr="00583E1A" w:rsidRDefault="00887330" w:rsidP="00887330">
            <w:pPr>
              <w:pStyle w:val="Tabletext"/>
            </w:pPr>
            <w:r w:rsidRPr="00583E1A">
              <w:t>Subdivision</w:t>
            </w:r>
            <w:r w:rsidR="00583E1A">
              <w:t> </w:t>
            </w:r>
            <w:r w:rsidRPr="00583E1A">
              <w:t>820</w:t>
            </w:r>
            <w:r w:rsidR="00583E1A">
              <w:noBreakHyphen/>
            </w:r>
            <w:r w:rsidRPr="00583E1A">
              <w:t>I</w:t>
            </w:r>
          </w:p>
        </w:tc>
        <w:tc>
          <w:tcPr>
            <w:tcW w:w="3827" w:type="dxa"/>
            <w:tcBorders>
              <w:top w:val="single" w:sz="2" w:space="0" w:color="auto"/>
              <w:left w:val="nil"/>
              <w:bottom w:val="single" w:sz="2" w:space="0" w:color="auto"/>
              <w:right w:val="nil"/>
            </w:tcBorders>
            <w:shd w:val="clear" w:color="auto" w:fill="auto"/>
          </w:tcPr>
          <w:p w:rsidR="00887330" w:rsidRPr="00583E1A" w:rsidRDefault="00887330" w:rsidP="00887330">
            <w:pPr>
              <w:pStyle w:val="Tabletext"/>
            </w:pPr>
            <w:r w:rsidRPr="00583E1A">
              <w:t>the meaning of various concepts about associate entity for the purposes of this Division.</w:t>
            </w:r>
          </w:p>
        </w:tc>
      </w:tr>
      <w:tr w:rsidR="00887330" w:rsidRPr="00583E1A">
        <w:trPr>
          <w:cantSplit/>
        </w:trPr>
        <w:tc>
          <w:tcPr>
            <w:tcW w:w="714" w:type="dxa"/>
            <w:tcBorders>
              <w:top w:val="single" w:sz="2" w:space="0" w:color="auto"/>
              <w:left w:val="nil"/>
              <w:bottom w:val="single" w:sz="2" w:space="0" w:color="auto"/>
              <w:right w:val="nil"/>
            </w:tcBorders>
            <w:shd w:val="clear" w:color="auto" w:fill="auto"/>
          </w:tcPr>
          <w:p w:rsidR="00887330" w:rsidRPr="00583E1A" w:rsidRDefault="00887330" w:rsidP="00887330">
            <w:pPr>
              <w:pStyle w:val="Tabletext"/>
            </w:pPr>
            <w:r w:rsidRPr="00583E1A">
              <w:t>7</w:t>
            </w:r>
          </w:p>
        </w:tc>
        <w:tc>
          <w:tcPr>
            <w:tcW w:w="2546" w:type="dxa"/>
            <w:tcBorders>
              <w:top w:val="single" w:sz="2" w:space="0" w:color="auto"/>
              <w:left w:val="nil"/>
              <w:bottom w:val="single" w:sz="2" w:space="0" w:color="auto"/>
              <w:right w:val="nil"/>
            </w:tcBorders>
            <w:shd w:val="clear" w:color="auto" w:fill="auto"/>
          </w:tcPr>
          <w:p w:rsidR="00887330" w:rsidRPr="00583E1A" w:rsidRDefault="00887330" w:rsidP="00887330">
            <w:pPr>
              <w:pStyle w:val="Tabletext"/>
            </w:pPr>
            <w:r w:rsidRPr="00583E1A">
              <w:t>Subdivision</w:t>
            </w:r>
            <w:r w:rsidR="00583E1A">
              <w:t> </w:t>
            </w:r>
            <w:r w:rsidRPr="00583E1A">
              <w:t>820</w:t>
            </w:r>
            <w:r w:rsidR="00583E1A">
              <w:noBreakHyphen/>
            </w:r>
            <w:r w:rsidRPr="00583E1A">
              <w:t>J</w:t>
            </w:r>
          </w:p>
        </w:tc>
        <w:tc>
          <w:tcPr>
            <w:tcW w:w="3827" w:type="dxa"/>
            <w:tcBorders>
              <w:top w:val="single" w:sz="2" w:space="0" w:color="auto"/>
              <w:left w:val="nil"/>
              <w:bottom w:val="single" w:sz="2" w:space="0" w:color="auto"/>
              <w:right w:val="nil"/>
            </w:tcBorders>
            <w:shd w:val="clear" w:color="auto" w:fill="auto"/>
          </w:tcPr>
          <w:p w:rsidR="00887330" w:rsidRPr="00583E1A" w:rsidRDefault="00887330" w:rsidP="00887330">
            <w:pPr>
              <w:pStyle w:val="Tabletext"/>
            </w:pPr>
            <w:r w:rsidRPr="00583E1A">
              <w:t>the meaning of equity interests in trusts and partnerships for the purposes of this Division.</w:t>
            </w:r>
          </w:p>
        </w:tc>
      </w:tr>
      <w:tr w:rsidR="00887330" w:rsidRPr="00583E1A">
        <w:trPr>
          <w:cantSplit/>
        </w:trPr>
        <w:tc>
          <w:tcPr>
            <w:tcW w:w="714" w:type="dxa"/>
            <w:tcBorders>
              <w:top w:val="single" w:sz="2" w:space="0" w:color="auto"/>
              <w:left w:val="nil"/>
              <w:bottom w:val="single" w:sz="2" w:space="0" w:color="auto"/>
              <w:right w:val="nil"/>
            </w:tcBorders>
            <w:shd w:val="clear" w:color="auto" w:fill="auto"/>
          </w:tcPr>
          <w:p w:rsidR="00887330" w:rsidRPr="00583E1A" w:rsidRDefault="00887330" w:rsidP="00887330">
            <w:pPr>
              <w:pStyle w:val="Tabletext"/>
            </w:pPr>
            <w:r w:rsidRPr="00583E1A">
              <w:t>8</w:t>
            </w:r>
          </w:p>
        </w:tc>
        <w:tc>
          <w:tcPr>
            <w:tcW w:w="2546" w:type="dxa"/>
            <w:tcBorders>
              <w:top w:val="single" w:sz="2" w:space="0" w:color="auto"/>
              <w:left w:val="nil"/>
              <w:bottom w:val="single" w:sz="2" w:space="0" w:color="auto"/>
              <w:right w:val="nil"/>
            </w:tcBorders>
            <w:shd w:val="clear" w:color="auto" w:fill="auto"/>
          </w:tcPr>
          <w:p w:rsidR="00887330" w:rsidRPr="00583E1A" w:rsidRDefault="00887330" w:rsidP="00887330">
            <w:pPr>
              <w:pStyle w:val="Tabletext"/>
            </w:pPr>
            <w:r w:rsidRPr="00583E1A">
              <w:t>Subdivision</w:t>
            </w:r>
            <w:r w:rsidR="00583E1A">
              <w:t> </w:t>
            </w:r>
            <w:r w:rsidRPr="00583E1A">
              <w:t>820</w:t>
            </w:r>
            <w:r w:rsidR="00583E1A">
              <w:noBreakHyphen/>
            </w:r>
            <w:r w:rsidRPr="00583E1A">
              <w:t>K</w:t>
            </w:r>
          </w:p>
        </w:tc>
        <w:tc>
          <w:tcPr>
            <w:tcW w:w="3827" w:type="dxa"/>
            <w:tcBorders>
              <w:top w:val="single" w:sz="2" w:space="0" w:color="auto"/>
              <w:left w:val="nil"/>
              <w:bottom w:val="single" w:sz="2" w:space="0" w:color="auto"/>
              <w:right w:val="nil"/>
            </w:tcBorders>
            <w:shd w:val="clear" w:color="auto" w:fill="auto"/>
          </w:tcPr>
          <w:p w:rsidR="00887330" w:rsidRPr="00583E1A" w:rsidRDefault="00887330" w:rsidP="00887330">
            <w:pPr>
              <w:pStyle w:val="Tabletext"/>
            </w:pPr>
            <w:r w:rsidRPr="00583E1A">
              <w:t>the meaning of zero</w:t>
            </w:r>
            <w:r w:rsidR="00583E1A">
              <w:noBreakHyphen/>
            </w:r>
            <w:r w:rsidRPr="00583E1A">
              <w:t>capital amount for the purposes of this Division.</w:t>
            </w:r>
          </w:p>
        </w:tc>
      </w:tr>
      <w:tr w:rsidR="00887330" w:rsidRPr="00583E1A">
        <w:trPr>
          <w:cantSplit/>
        </w:trPr>
        <w:tc>
          <w:tcPr>
            <w:tcW w:w="714" w:type="dxa"/>
            <w:tcBorders>
              <w:top w:val="single" w:sz="2" w:space="0" w:color="auto"/>
              <w:left w:val="nil"/>
              <w:bottom w:val="single" w:sz="2" w:space="0" w:color="auto"/>
              <w:right w:val="nil"/>
            </w:tcBorders>
            <w:shd w:val="clear" w:color="auto" w:fill="auto"/>
          </w:tcPr>
          <w:p w:rsidR="00887330" w:rsidRPr="00583E1A" w:rsidRDefault="00887330" w:rsidP="00887330">
            <w:pPr>
              <w:pStyle w:val="Tabletext"/>
            </w:pPr>
            <w:r w:rsidRPr="00583E1A">
              <w:t>8A</w:t>
            </w:r>
          </w:p>
        </w:tc>
        <w:tc>
          <w:tcPr>
            <w:tcW w:w="2546" w:type="dxa"/>
            <w:tcBorders>
              <w:top w:val="single" w:sz="2" w:space="0" w:color="auto"/>
              <w:left w:val="nil"/>
              <w:bottom w:val="single" w:sz="2" w:space="0" w:color="auto"/>
              <w:right w:val="nil"/>
            </w:tcBorders>
            <w:shd w:val="clear" w:color="auto" w:fill="auto"/>
          </w:tcPr>
          <w:p w:rsidR="00887330" w:rsidRPr="00583E1A" w:rsidRDefault="00887330" w:rsidP="00887330">
            <w:pPr>
              <w:pStyle w:val="Tabletext"/>
            </w:pPr>
            <w:r w:rsidRPr="00583E1A">
              <w:t>Subdivision</w:t>
            </w:r>
            <w:r w:rsidR="00583E1A">
              <w:t> </w:t>
            </w:r>
            <w:r w:rsidRPr="00583E1A">
              <w:t>820</w:t>
            </w:r>
            <w:r w:rsidR="00583E1A">
              <w:noBreakHyphen/>
            </w:r>
            <w:r w:rsidRPr="00583E1A">
              <w:t>KA</w:t>
            </w:r>
          </w:p>
        </w:tc>
        <w:tc>
          <w:tcPr>
            <w:tcW w:w="3827" w:type="dxa"/>
            <w:tcBorders>
              <w:top w:val="single" w:sz="2" w:space="0" w:color="auto"/>
              <w:left w:val="nil"/>
              <w:bottom w:val="single" w:sz="2" w:space="0" w:color="auto"/>
              <w:right w:val="nil"/>
            </w:tcBorders>
            <w:shd w:val="clear" w:color="auto" w:fill="auto"/>
          </w:tcPr>
          <w:p w:rsidR="00887330" w:rsidRPr="00583E1A" w:rsidRDefault="00887330" w:rsidP="00887330">
            <w:pPr>
              <w:pStyle w:val="Tabletext"/>
            </w:pPr>
            <w:r w:rsidRPr="00583E1A">
              <w:t>the meaning of cost</w:t>
            </w:r>
            <w:r w:rsidR="00583E1A">
              <w:noBreakHyphen/>
            </w:r>
            <w:r w:rsidRPr="00583E1A">
              <w:t>free debt capital, and excluded equity interest, for the purposes of this Division.</w:t>
            </w:r>
          </w:p>
        </w:tc>
      </w:tr>
      <w:tr w:rsidR="00887330" w:rsidRPr="00583E1A">
        <w:trPr>
          <w:cantSplit/>
        </w:trPr>
        <w:tc>
          <w:tcPr>
            <w:tcW w:w="714" w:type="dxa"/>
            <w:tcBorders>
              <w:top w:val="single" w:sz="2" w:space="0" w:color="auto"/>
              <w:left w:val="nil"/>
              <w:bottom w:val="single" w:sz="12" w:space="0" w:color="auto"/>
              <w:right w:val="nil"/>
            </w:tcBorders>
          </w:tcPr>
          <w:p w:rsidR="00887330" w:rsidRPr="00583E1A" w:rsidRDefault="00887330" w:rsidP="00887330">
            <w:pPr>
              <w:pStyle w:val="Tabletext"/>
            </w:pPr>
            <w:r w:rsidRPr="00583E1A">
              <w:t>9</w:t>
            </w:r>
          </w:p>
        </w:tc>
        <w:tc>
          <w:tcPr>
            <w:tcW w:w="2546" w:type="dxa"/>
            <w:tcBorders>
              <w:top w:val="single" w:sz="2" w:space="0" w:color="auto"/>
              <w:left w:val="nil"/>
              <w:bottom w:val="single" w:sz="12" w:space="0" w:color="auto"/>
              <w:right w:val="nil"/>
            </w:tcBorders>
          </w:tcPr>
          <w:p w:rsidR="00887330" w:rsidRPr="00583E1A" w:rsidRDefault="00887330" w:rsidP="00887330">
            <w:pPr>
              <w:pStyle w:val="Tabletext"/>
            </w:pPr>
            <w:r w:rsidRPr="00583E1A">
              <w:t>Subdivision</w:t>
            </w:r>
            <w:r w:rsidR="00583E1A">
              <w:t> </w:t>
            </w:r>
            <w:r w:rsidRPr="00583E1A">
              <w:t>820</w:t>
            </w:r>
            <w:r w:rsidR="00583E1A">
              <w:noBreakHyphen/>
            </w:r>
            <w:r w:rsidRPr="00583E1A">
              <w:t>L</w:t>
            </w:r>
          </w:p>
        </w:tc>
        <w:tc>
          <w:tcPr>
            <w:tcW w:w="3827" w:type="dxa"/>
            <w:tcBorders>
              <w:top w:val="single" w:sz="2" w:space="0" w:color="auto"/>
              <w:left w:val="nil"/>
              <w:bottom w:val="single" w:sz="12" w:space="0" w:color="auto"/>
              <w:right w:val="nil"/>
            </w:tcBorders>
          </w:tcPr>
          <w:p w:rsidR="00887330" w:rsidRPr="00583E1A" w:rsidRDefault="00887330" w:rsidP="00887330">
            <w:pPr>
              <w:pStyle w:val="Tabletext"/>
            </w:pPr>
            <w:r w:rsidRPr="00583E1A">
              <w:t>special record keeping requirements for the purposes of this Division.</w:t>
            </w:r>
          </w:p>
        </w:tc>
      </w:tr>
    </w:tbl>
    <w:p w:rsidR="00887330" w:rsidRPr="00583E1A" w:rsidRDefault="00887330" w:rsidP="00887330">
      <w:pPr>
        <w:pStyle w:val="ActHead4"/>
      </w:pPr>
      <w:bookmarkStart w:id="175" w:name="_Toc338939249"/>
      <w:r w:rsidRPr="00583E1A">
        <w:rPr>
          <w:rStyle w:val="CharSubdNo"/>
        </w:rPr>
        <w:t>Subdivision</w:t>
      </w:r>
      <w:r w:rsidR="00583E1A">
        <w:rPr>
          <w:rStyle w:val="CharSubdNo"/>
        </w:rPr>
        <w:t> </w:t>
      </w:r>
      <w:r w:rsidRPr="00583E1A">
        <w:rPr>
          <w:rStyle w:val="CharSubdNo"/>
        </w:rPr>
        <w:t>820</w:t>
      </w:r>
      <w:r w:rsidR="00583E1A">
        <w:rPr>
          <w:rStyle w:val="CharSubdNo"/>
        </w:rPr>
        <w:noBreakHyphen/>
      </w:r>
      <w:r w:rsidRPr="00583E1A">
        <w:rPr>
          <w:rStyle w:val="CharSubdNo"/>
        </w:rPr>
        <w:t>A</w:t>
      </w:r>
      <w:r w:rsidRPr="00583E1A">
        <w:t>—</w:t>
      </w:r>
      <w:r w:rsidRPr="00583E1A">
        <w:rPr>
          <w:rStyle w:val="CharSubdText"/>
        </w:rPr>
        <w:t>Preliminary</w:t>
      </w:r>
      <w:bookmarkEnd w:id="175"/>
    </w:p>
    <w:p w:rsidR="00887330" w:rsidRPr="00583E1A" w:rsidRDefault="00887330" w:rsidP="00887330">
      <w:pPr>
        <w:pStyle w:val="TofSectsHeading"/>
      </w:pPr>
      <w:r w:rsidRPr="00583E1A">
        <w:t>Table of sections</w:t>
      </w:r>
    </w:p>
    <w:p w:rsidR="00887330" w:rsidRPr="00583E1A" w:rsidRDefault="00887330" w:rsidP="00887330">
      <w:pPr>
        <w:pStyle w:val="TofSectsSection"/>
      </w:pPr>
      <w:r w:rsidRPr="00583E1A">
        <w:t>820</w:t>
      </w:r>
      <w:r w:rsidR="00583E1A">
        <w:noBreakHyphen/>
      </w:r>
      <w:r w:rsidRPr="00583E1A">
        <w:t>30</w:t>
      </w:r>
      <w:r w:rsidRPr="00583E1A">
        <w:tab/>
        <w:t>Object of Division</w:t>
      </w:r>
    </w:p>
    <w:p w:rsidR="00887330" w:rsidRPr="00583E1A" w:rsidRDefault="00887330" w:rsidP="00887330">
      <w:pPr>
        <w:pStyle w:val="TofSectsSection"/>
      </w:pPr>
      <w:r w:rsidRPr="00583E1A">
        <w:t>820</w:t>
      </w:r>
      <w:r w:rsidR="00583E1A">
        <w:noBreakHyphen/>
      </w:r>
      <w:r w:rsidRPr="00583E1A">
        <w:t>32</w:t>
      </w:r>
      <w:r w:rsidRPr="00583E1A">
        <w:tab/>
        <w:t>Exemption for private or domestic assets and non</w:t>
      </w:r>
      <w:r w:rsidR="00583E1A">
        <w:noBreakHyphen/>
      </w:r>
      <w:r w:rsidRPr="00583E1A">
        <w:t>debt liabilities</w:t>
      </w:r>
    </w:p>
    <w:p w:rsidR="00887330" w:rsidRPr="00583E1A" w:rsidRDefault="00887330" w:rsidP="00887330">
      <w:pPr>
        <w:pStyle w:val="TofSectsSection"/>
      </w:pPr>
      <w:r w:rsidRPr="00583E1A">
        <w:t>820</w:t>
      </w:r>
      <w:r w:rsidR="00583E1A">
        <w:noBreakHyphen/>
      </w:r>
      <w:r w:rsidRPr="00583E1A">
        <w:t>35</w:t>
      </w:r>
      <w:r w:rsidRPr="00583E1A">
        <w:tab/>
        <w:t>Application—$250,000 threshold</w:t>
      </w:r>
    </w:p>
    <w:p w:rsidR="00887330" w:rsidRPr="00583E1A" w:rsidRDefault="00887330" w:rsidP="00887330">
      <w:pPr>
        <w:pStyle w:val="TofSectsSection"/>
      </w:pPr>
      <w:r w:rsidRPr="00583E1A">
        <w:t>820</w:t>
      </w:r>
      <w:r w:rsidR="00583E1A">
        <w:noBreakHyphen/>
      </w:r>
      <w:r w:rsidRPr="00583E1A">
        <w:t>37</w:t>
      </w:r>
      <w:r w:rsidRPr="00583E1A">
        <w:tab/>
        <w:t>Application—assets threshold</w:t>
      </w:r>
    </w:p>
    <w:p w:rsidR="00887330" w:rsidRPr="00583E1A" w:rsidRDefault="00887330" w:rsidP="00887330">
      <w:pPr>
        <w:pStyle w:val="TofSectsSection"/>
      </w:pPr>
      <w:r w:rsidRPr="00583E1A">
        <w:t>820</w:t>
      </w:r>
      <w:r w:rsidR="00583E1A">
        <w:noBreakHyphen/>
      </w:r>
      <w:r w:rsidRPr="00583E1A">
        <w:t>39</w:t>
      </w:r>
      <w:r w:rsidRPr="00583E1A">
        <w:tab/>
        <w:t>Exemption of certain special purpose entities</w:t>
      </w:r>
    </w:p>
    <w:p w:rsidR="00887330" w:rsidRPr="00583E1A" w:rsidRDefault="00887330" w:rsidP="00887330">
      <w:pPr>
        <w:pStyle w:val="TofSectsSection"/>
      </w:pPr>
      <w:r w:rsidRPr="00583E1A">
        <w:lastRenderedPageBreak/>
        <w:t>820</w:t>
      </w:r>
      <w:r w:rsidR="00583E1A">
        <w:noBreakHyphen/>
      </w:r>
      <w:r w:rsidRPr="00583E1A">
        <w:t>40</w:t>
      </w:r>
      <w:r w:rsidRPr="00583E1A">
        <w:tab/>
        <w:t>Meaning of debt deduction</w:t>
      </w:r>
    </w:p>
    <w:p w:rsidR="00887330" w:rsidRPr="00583E1A" w:rsidRDefault="00887330" w:rsidP="00887330">
      <w:pPr>
        <w:pStyle w:val="ActHead5"/>
      </w:pPr>
      <w:bookmarkStart w:id="176" w:name="_Toc338939250"/>
      <w:r w:rsidRPr="00583E1A">
        <w:rPr>
          <w:rStyle w:val="CharSectno"/>
        </w:rPr>
        <w:t>820</w:t>
      </w:r>
      <w:r w:rsidR="00583E1A">
        <w:rPr>
          <w:rStyle w:val="CharSectno"/>
        </w:rPr>
        <w:noBreakHyphen/>
      </w:r>
      <w:r w:rsidRPr="00583E1A">
        <w:rPr>
          <w:rStyle w:val="CharSectno"/>
        </w:rPr>
        <w:t>30</w:t>
      </w:r>
      <w:r w:rsidRPr="00583E1A">
        <w:t xml:space="preserve">  Object of Division</w:t>
      </w:r>
      <w:bookmarkEnd w:id="176"/>
    </w:p>
    <w:p w:rsidR="00887330" w:rsidRPr="00583E1A" w:rsidRDefault="00887330" w:rsidP="00887330">
      <w:pPr>
        <w:pStyle w:val="subsection"/>
      </w:pPr>
      <w:r w:rsidRPr="00583E1A">
        <w:tab/>
      </w:r>
      <w:r w:rsidRPr="00583E1A">
        <w:tab/>
        <w:t xml:space="preserve">The Object of this Division is to ensure that the following entities do not reduce their tax liabilities by using an excessive amount of </w:t>
      </w:r>
      <w:r w:rsidR="00583E1A" w:rsidRPr="00583E1A">
        <w:rPr>
          <w:position w:val="6"/>
          <w:sz w:val="16"/>
        </w:rPr>
        <w:t>*</w:t>
      </w:r>
      <w:r w:rsidRPr="00583E1A">
        <w:t>debt capital to finance their Australian operations:</w:t>
      </w:r>
    </w:p>
    <w:p w:rsidR="00887330" w:rsidRPr="00583E1A" w:rsidRDefault="00887330" w:rsidP="00887330">
      <w:pPr>
        <w:pStyle w:val="paragraph"/>
      </w:pPr>
      <w:r w:rsidRPr="00583E1A">
        <w:tab/>
        <w:t>(a)</w:t>
      </w:r>
      <w:r w:rsidRPr="00583E1A">
        <w:tab/>
      </w:r>
      <w:r w:rsidR="00583E1A" w:rsidRPr="00583E1A">
        <w:rPr>
          <w:position w:val="6"/>
          <w:sz w:val="16"/>
        </w:rPr>
        <w:t>*</w:t>
      </w:r>
      <w:r w:rsidRPr="00583E1A">
        <w:t>Australian entities that operate internationally;</w:t>
      </w:r>
    </w:p>
    <w:p w:rsidR="00887330" w:rsidRPr="00583E1A" w:rsidRDefault="00887330" w:rsidP="00887330">
      <w:pPr>
        <w:pStyle w:val="paragraph"/>
      </w:pPr>
      <w:r w:rsidRPr="00583E1A">
        <w:tab/>
        <w:t>(b)</w:t>
      </w:r>
      <w:r w:rsidRPr="00583E1A">
        <w:tab/>
        <w:t>Australian entities that are foreign controlled;</w:t>
      </w:r>
    </w:p>
    <w:p w:rsidR="00887330" w:rsidRPr="00583E1A" w:rsidRDefault="00887330" w:rsidP="00887330">
      <w:pPr>
        <w:pStyle w:val="paragraph"/>
      </w:pPr>
      <w:r w:rsidRPr="00583E1A">
        <w:tab/>
        <w:t>(c)</w:t>
      </w:r>
      <w:r w:rsidRPr="00583E1A">
        <w:tab/>
      </w:r>
      <w:r w:rsidR="00583E1A" w:rsidRPr="00583E1A">
        <w:rPr>
          <w:position w:val="6"/>
          <w:sz w:val="16"/>
        </w:rPr>
        <w:t>*</w:t>
      </w:r>
      <w:r w:rsidRPr="00583E1A">
        <w:t xml:space="preserve">foreign entities that operate in </w:t>
      </w:r>
      <w:smartTag w:uri="urn:schemas-microsoft-com:office:smarttags" w:element="country-region">
        <w:smartTag w:uri="urn:schemas-microsoft-com:office:smarttags" w:element="place">
          <w:r w:rsidRPr="00583E1A">
            <w:t>Australia</w:t>
          </w:r>
        </w:smartTag>
      </w:smartTag>
      <w:r w:rsidRPr="00583E1A">
        <w:t>.</w:t>
      </w:r>
    </w:p>
    <w:p w:rsidR="00896BF9" w:rsidRPr="003509A5" w:rsidRDefault="00896BF9" w:rsidP="00896BF9">
      <w:pPr>
        <w:pStyle w:val="notetext"/>
      </w:pPr>
      <w:r w:rsidRPr="003509A5">
        <w:t>Note:</w:t>
      </w:r>
      <w:r w:rsidRPr="003509A5">
        <w:tab/>
        <w:t>This Division applies in relation to debt deductions of an entity as reduced, if required, in accordance with Subdivision 815</w:t>
      </w:r>
      <w:r w:rsidRPr="003509A5">
        <w:noBreakHyphen/>
        <w:t>A (about cross</w:t>
      </w:r>
      <w:r w:rsidRPr="003509A5">
        <w:noBreakHyphen/>
        <w:t>border transfer pricing).</w:t>
      </w:r>
    </w:p>
    <w:p w:rsidR="00887330" w:rsidRPr="00583E1A" w:rsidRDefault="00887330" w:rsidP="00887330">
      <w:pPr>
        <w:pStyle w:val="ActHead5"/>
      </w:pPr>
      <w:bookmarkStart w:id="177" w:name="_Toc338939251"/>
      <w:r w:rsidRPr="00583E1A">
        <w:rPr>
          <w:rStyle w:val="CharSectno"/>
        </w:rPr>
        <w:t>820</w:t>
      </w:r>
      <w:r w:rsidR="00583E1A">
        <w:rPr>
          <w:rStyle w:val="CharSectno"/>
        </w:rPr>
        <w:noBreakHyphen/>
      </w:r>
      <w:r w:rsidRPr="00583E1A">
        <w:rPr>
          <w:rStyle w:val="CharSectno"/>
        </w:rPr>
        <w:t>32</w:t>
      </w:r>
      <w:r w:rsidRPr="00583E1A">
        <w:t xml:space="preserve">  Exemption for private or domestic assets and non</w:t>
      </w:r>
      <w:r w:rsidR="00583E1A">
        <w:noBreakHyphen/>
      </w:r>
      <w:r w:rsidRPr="00583E1A">
        <w:t>debt liabilities</w:t>
      </w:r>
      <w:bookmarkEnd w:id="177"/>
    </w:p>
    <w:p w:rsidR="00887330" w:rsidRPr="00583E1A" w:rsidRDefault="00887330" w:rsidP="00887330">
      <w:pPr>
        <w:pStyle w:val="subsection"/>
      </w:pPr>
      <w:r w:rsidRPr="00583E1A">
        <w:tab/>
      </w:r>
      <w:r w:rsidRPr="00583E1A">
        <w:tab/>
        <w:t>This Division does not apply to:</w:t>
      </w:r>
    </w:p>
    <w:p w:rsidR="00887330" w:rsidRPr="00583E1A" w:rsidRDefault="00887330" w:rsidP="00887330">
      <w:pPr>
        <w:pStyle w:val="paragraph"/>
      </w:pPr>
      <w:r w:rsidRPr="00583E1A">
        <w:tab/>
        <w:t>(a)</w:t>
      </w:r>
      <w:r w:rsidRPr="00583E1A">
        <w:tab/>
        <w:t>an asset that is used (or held for use) wholly or principally for private or domestic purposes; or</w:t>
      </w:r>
    </w:p>
    <w:p w:rsidR="00887330" w:rsidRPr="00583E1A" w:rsidRDefault="00887330" w:rsidP="00887330">
      <w:pPr>
        <w:pStyle w:val="paragraph"/>
      </w:pPr>
      <w:r w:rsidRPr="00583E1A">
        <w:tab/>
        <w:t>(b)</w:t>
      </w:r>
      <w:r w:rsidRPr="00583E1A">
        <w:tab/>
        <w:t xml:space="preserve">a </w:t>
      </w:r>
      <w:r w:rsidR="00583E1A" w:rsidRPr="00583E1A">
        <w:rPr>
          <w:position w:val="6"/>
          <w:sz w:val="16"/>
        </w:rPr>
        <w:t>*</w:t>
      </w:r>
      <w:r w:rsidRPr="00583E1A">
        <w:t>non</w:t>
      </w:r>
      <w:r w:rsidR="00583E1A">
        <w:noBreakHyphen/>
      </w:r>
      <w:r w:rsidRPr="00583E1A">
        <w:t>debt liability that is wholly or principally of a private or domestic nature.</w:t>
      </w:r>
    </w:p>
    <w:p w:rsidR="00887330" w:rsidRPr="00583E1A" w:rsidRDefault="00887330" w:rsidP="00887330">
      <w:pPr>
        <w:pStyle w:val="ActHead5"/>
      </w:pPr>
      <w:bookmarkStart w:id="178" w:name="_Toc338939252"/>
      <w:r w:rsidRPr="00583E1A">
        <w:rPr>
          <w:rStyle w:val="CharSectno"/>
        </w:rPr>
        <w:t>820</w:t>
      </w:r>
      <w:r w:rsidR="00583E1A">
        <w:rPr>
          <w:rStyle w:val="CharSectno"/>
        </w:rPr>
        <w:noBreakHyphen/>
      </w:r>
      <w:r w:rsidRPr="00583E1A">
        <w:rPr>
          <w:rStyle w:val="CharSectno"/>
        </w:rPr>
        <w:t>35</w:t>
      </w:r>
      <w:r w:rsidRPr="00583E1A">
        <w:t xml:space="preserve">  Application—$250,000 threshold</w:t>
      </w:r>
      <w:bookmarkEnd w:id="178"/>
    </w:p>
    <w:p w:rsidR="00887330" w:rsidRPr="00583E1A" w:rsidRDefault="00887330" w:rsidP="00887330">
      <w:pPr>
        <w:pStyle w:val="subsection"/>
      </w:pPr>
      <w:r w:rsidRPr="00583E1A">
        <w:tab/>
      </w:r>
      <w:r w:rsidRPr="00583E1A">
        <w:tab/>
        <w:t>Subdivision</w:t>
      </w:r>
      <w:r w:rsidR="00583E1A">
        <w:t> </w:t>
      </w:r>
      <w:r w:rsidRPr="00583E1A">
        <w:t>820</w:t>
      </w:r>
      <w:r w:rsidR="00583E1A">
        <w:noBreakHyphen/>
      </w:r>
      <w:r w:rsidRPr="00583E1A">
        <w:t>B, 820</w:t>
      </w:r>
      <w:r w:rsidR="00583E1A">
        <w:noBreakHyphen/>
      </w:r>
      <w:r w:rsidRPr="00583E1A">
        <w:t>C, 820</w:t>
      </w:r>
      <w:r w:rsidR="00583E1A">
        <w:noBreakHyphen/>
      </w:r>
      <w:r w:rsidRPr="00583E1A">
        <w:t>D or 820</w:t>
      </w:r>
      <w:r w:rsidR="00583E1A">
        <w:noBreakHyphen/>
      </w:r>
      <w:r w:rsidRPr="00583E1A">
        <w:t xml:space="preserve">E does not apply to disallow any </w:t>
      </w:r>
      <w:r w:rsidR="00583E1A" w:rsidRPr="00583E1A">
        <w:rPr>
          <w:position w:val="6"/>
          <w:sz w:val="16"/>
        </w:rPr>
        <w:t>*</w:t>
      </w:r>
      <w:r w:rsidRPr="00583E1A">
        <w:t xml:space="preserve">debt deduction of an entity for an income year if the total debt deductions of that entity and all its </w:t>
      </w:r>
      <w:r w:rsidR="00583E1A" w:rsidRPr="00583E1A">
        <w:rPr>
          <w:position w:val="6"/>
          <w:sz w:val="16"/>
        </w:rPr>
        <w:t>*</w:t>
      </w:r>
      <w:r w:rsidRPr="00583E1A">
        <w:t>associate entities for that year are $250,000 or less.</w:t>
      </w:r>
    </w:p>
    <w:p w:rsidR="00887330" w:rsidRPr="00583E1A" w:rsidRDefault="00887330" w:rsidP="00887330">
      <w:pPr>
        <w:pStyle w:val="ActHead5"/>
      </w:pPr>
      <w:bookmarkStart w:id="179" w:name="_Toc338939253"/>
      <w:r w:rsidRPr="00583E1A">
        <w:rPr>
          <w:rStyle w:val="CharSectno"/>
        </w:rPr>
        <w:t>820</w:t>
      </w:r>
      <w:r w:rsidR="00583E1A">
        <w:rPr>
          <w:rStyle w:val="CharSectno"/>
        </w:rPr>
        <w:noBreakHyphen/>
      </w:r>
      <w:r w:rsidRPr="00583E1A">
        <w:rPr>
          <w:rStyle w:val="CharSectno"/>
        </w:rPr>
        <w:t>37</w:t>
      </w:r>
      <w:r w:rsidRPr="00583E1A">
        <w:t xml:space="preserve">  Application—assets threshold</w:t>
      </w:r>
      <w:bookmarkEnd w:id="179"/>
    </w:p>
    <w:p w:rsidR="00887330" w:rsidRPr="00583E1A" w:rsidRDefault="00887330" w:rsidP="00887330">
      <w:pPr>
        <w:pStyle w:val="subsection"/>
      </w:pPr>
      <w:r w:rsidRPr="00583E1A">
        <w:tab/>
        <w:t>(1)</w:t>
      </w:r>
      <w:r w:rsidRPr="00583E1A">
        <w:tab/>
        <w:t>Subdivision</w:t>
      </w:r>
      <w:r w:rsidR="00583E1A">
        <w:t> </w:t>
      </w:r>
      <w:r w:rsidRPr="00583E1A">
        <w:t>820</w:t>
      </w:r>
      <w:r w:rsidR="00583E1A">
        <w:noBreakHyphen/>
      </w:r>
      <w:r w:rsidRPr="00583E1A">
        <w:t>B, 820</w:t>
      </w:r>
      <w:r w:rsidR="00583E1A">
        <w:noBreakHyphen/>
      </w:r>
      <w:r w:rsidRPr="00583E1A">
        <w:t>C, 820</w:t>
      </w:r>
      <w:r w:rsidR="00583E1A">
        <w:noBreakHyphen/>
      </w:r>
      <w:r w:rsidRPr="00583E1A">
        <w:t>D or 820</w:t>
      </w:r>
      <w:r w:rsidR="00583E1A">
        <w:noBreakHyphen/>
      </w:r>
      <w:r w:rsidRPr="00583E1A">
        <w:t xml:space="preserve">E does not apply to disallow any </w:t>
      </w:r>
      <w:r w:rsidR="00583E1A" w:rsidRPr="00583E1A">
        <w:rPr>
          <w:position w:val="6"/>
          <w:sz w:val="16"/>
        </w:rPr>
        <w:t>*</w:t>
      </w:r>
      <w:r w:rsidRPr="00583E1A">
        <w:t>debt deduction of an entity for an income year if:</w:t>
      </w:r>
    </w:p>
    <w:p w:rsidR="00887330" w:rsidRPr="00583E1A" w:rsidRDefault="00887330" w:rsidP="00887330">
      <w:pPr>
        <w:pStyle w:val="paragraph"/>
      </w:pPr>
      <w:r w:rsidRPr="00583E1A">
        <w:tab/>
        <w:t>(a)</w:t>
      </w:r>
      <w:r w:rsidRPr="00583E1A">
        <w:tab/>
        <w:t xml:space="preserve">the entity is an </w:t>
      </w:r>
      <w:r w:rsidR="00583E1A" w:rsidRPr="00583E1A">
        <w:rPr>
          <w:position w:val="6"/>
          <w:sz w:val="16"/>
        </w:rPr>
        <w:t>*</w:t>
      </w:r>
      <w:r w:rsidRPr="00583E1A">
        <w:t>outward investing entity (non</w:t>
      </w:r>
      <w:r w:rsidR="00583E1A">
        <w:noBreakHyphen/>
      </w:r>
      <w:r w:rsidRPr="00583E1A">
        <w:t xml:space="preserve">ADI) or an </w:t>
      </w:r>
      <w:r w:rsidR="00583E1A" w:rsidRPr="00583E1A">
        <w:rPr>
          <w:position w:val="6"/>
          <w:sz w:val="16"/>
        </w:rPr>
        <w:t>*</w:t>
      </w:r>
      <w:r w:rsidRPr="00583E1A">
        <w:t>outward investing entity (ADI) for a period that is all or any part of that year; and</w:t>
      </w:r>
    </w:p>
    <w:p w:rsidR="00887330" w:rsidRPr="00583E1A" w:rsidRDefault="00887330" w:rsidP="00887330">
      <w:pPr>
        <w:pStyle w:val="paragraph"/>
      </w:pPr>
      <w:r w:rsidRPr="00583E1A">
        <w:lastRenderedPageBreak/>
        <w:tab/>
        <w:t>(b)</w:t>
      </w:r>
      <w:r w:rsidRPr="00583E1A">
        <w:tab/>
        <w:t xml:space="preserve">the entity is not also an </w:t>
      </w:r>
      <w:r w:rsidR="00583E1A" w:rsidRPr="00583E1A">
        <w:rPr>
          <w:position w:val="6"/>
          <w:sz w:val="16"/>
        </w:rPr>
        <w:t>*</w:t>
      </w:r>
      <w:r w:rsidRPr="00583E1A">
        <w:t>inward investing entity (non</w:t>
      </w:r>
      <w:r w:rsidR="00583E1A">
        <w:noBreakHyphen/>
      </w:r>
      <w:r w:rsidRPr="00583E1A">
        <w:t xml:space="preserve">ADI) or an </w:t>
      </w:r>
      <w:r w:rsidR="00583E1A" w:rsidRPr="00583E1A">
        <w:rPr>
          <w:position w:val="6"/>
          <w:sz w:val="16"/>
        </w:rPr>
        <w:t>*</w:t>
      </w:r>
      <w:r w:rsidRPr="00583E1A">
        <w:t>inward investing entity (ADI) for all or any part of that period; and</w:t>
      </w:r>
    </w:p>
    <w:p w:rsidR="00887330" w:rsidRPr="00583E1A" w:rsidRDefault="00887330" w:rsidP="0018527D">
      <w:pPr>
        <w:pStyle w:val="paragraph"/>
        <w:keepNext/>
        <w:keepLines/>
      </w:pPr>
      <w:r w:rsidRPr="00583E1A">
        <w:tab/>
        <w:t>(c)</w:t>
      </w:r>
      <w:r w:rsidRPr="00583E1A">
        <w:tab/>
        <w:t>the result of applying the following formula is equal to or greater than 0.9:</w:t>
      </w:r>
    </w:p>
    <w:p w:rsidR="00CB48B4" w:rsidRPr="00583E1A" w:rsidRDefault="00623A5C" w:rsidP="00887330">
      <w:pPr>
        <w:pStyle w:val="Formula"/>
        <w:spacing w:before="60" w:after="60"/>
        <w:ind w:left="1100"/>
      </w:pPr>
      <w:r>
        <w:rPr>
          <w:noProof/>
        </w:rPr>
        <w:drawing>
          <wp:inline distT="0" distB="0" distL="0" distR="0">
            <wp:extent cx="3381375" cy="600075"/>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3381375" cy="600075"/>
                    </a:xfrm>
                    <a:prstGeom prst="rect">
                      <a:avLst/>
                    </a:prstGeom>
                    <a:noFill/>
                    <a:ln>
                      <a:noFill/>
                    </a:ln>
                  </pic:spPr>
                </pic:pic>
              </a:graphicData>
            </a:graphic>
          </wp:inline>
        </w:drawing>
      </w:r>
    </w:p>
    <w:p w:rsidR="00887330" w:rsidRPr="00583E1A" w:rsidRDefault="00887330" w:rsidP="00887330">
      <w:pPr>
        <w:pStyle w:val="subsection2"/>
      </w:pPr>
      <w:r w:rsidRPr="00583E1A">
        <w:t>where:</w:t>
      </w:r>
    </w:p>
    <w:p w:rsidR="00887330" w:rsidRPr="00583E1A" w:rsidRDefault="00887330" w:rsidP="00887330">
      <w:pPr>
        <w:pStyle w:val="Definition"/>
      </w:pPr>
      <w:r w:rsidRPr="00583E1A">
        <w:rPr>
          <w:b/>
          <w:i/>
        </w:rPr>
        <w:t>average Australian assets</w:t>
      </w:r>
      <w:r w:rsidRPr="00583E1A">
        <w:t>:</w:t>
      </w:r>
    </w:p>
    <w:p w:rsidR="00887330" w:rsidRPr="00583E1A" w:rsidRDefault="00887330" w:rsidP="00887330">
      <w:pPr>
        <w:pStyle w:val="paragraph"/>
      </w:pPr>
      <w:r w:rsidRPr="00583E1A">
        <w:tab/>
        <w:t>(a)</w:t>
      </w:r>
      <w:r w:rsidRPr="00583E1A">
        <w:tab/>
        <w:t xml:space="preserve">of an </w:t>
      </w:r>
      <w:r w:rsidR="00583E1A" w:rsidRPr="00583E1A">
        <w:rPr>
          <w:position w:val="6"/>
          <w:sz w:val="16"/>
        </w:rPr>
        <w:t>*</w:t>
      </w:r>
      <w:r w:rsidRPr="00583E1A">
        <w:t>Australian entity—is the average value, for that year, of all the assets of the entity, other than:</w:t>
      </w:r>
    </w:p>
    <w:p w:rsidR="00887330" w:rsidRPr="00583E1A" w:rsidRDefault="00887330" w:rsidP="00887330">
      <w:pPr>
        <w:pStyle w:val="paragraphsub"/>
      </w:pPr>
      <w:r w:rsidRPr="00583E1A">
        <w:tab/>
        <w:t>(i)</w:t>
      </w:r>
      <w:r w:rsidRPr="00583E1A">
        <w:tab/>
        <w:t xml:space="preserve">any assets attributable to the entity’s </w:t>
      </w:r>
      <w:r w:rsidR="00583E1A" w:rsidRPr="00583E1A">
        <w:rPr>
          <w:position w:val="6"/>
          <w:sz w:val="16"/>
        </w:rPr>
        <w:t>*</w:t>
      </w:r>
      <w:r w:rsidRPr="00583E1A">
        <w:t>overseas permanent establishments; or</w:t>
      </w:r>
    </w:p>
    <w:p w:rsidR="00887330" w:rsidRPr="00583E1A" w:rsidRDefault="00887330" w:rsidP="00887330">
      <w:pPr>
        <w:pStyle w:val="paragraphsub"/>
      </w:pPr>
      <w:r w:rsidRPr="00583E1A">
        <w:tab/>
        <w:t>(ii)</w:t>
      </w:r>
      <w:r w:rsidRPr="00583E1A">
        <w:tab/>
        <w:t xml:space="preserve">any </w:t>
      </w:r>
      <w:r w:rsidR="00583E1A" w:rsidRPr="00583E1A">
        <w:rPr>
          <w:position w:val="6"/>
          <w:sz w:val="16"/>
        </w:rPr>
        <w:t>*</w:t>
      </w:r>
      <w:r w:rsidRPr="00583E1A">
        <w:t xml:space="preserve">debt interests held by the entity, to the extent to which any value of the interests is all or a part of the </w:t>
      </w:r>
      <w:r w:rsidR="00583E1A" w:rsidRPr="00583E1A">
        <w:rPr>
          <w:position w:val="6"/>
          <w:sz w:val="16"/>
        </w:rPr>
        <w:t>*</w:t>
      </w:r>
      <w:r w:rsidRPr="00583E1A">
        <w:t>controlled foreign entity debt of the entity; or</w:t>
      </w:r>
    </w:p>
    <w:p w:rsidR="00887330" w:rsidRPr="00583E1A" w:rsidRDefault="00887330" w:rsidP="00887330">
      <w:pPr>
        <w:pStyle w:val="paragraphsub"/>
      </w:pPr>
      <w:r w:rsidRPr="00583E1A">
        <w:tab/>
        <w:t>(iii)</w:t>
      </w:r>
      <w:r w:rsidRPr="00583E1A">
        <w:tab/>
        <w:t xml:space="preserve">any </w:t>
      </w:r>
      <w:r w:rsidR="00583E1A" w:rsidRPr="00583E1A">
        <w:rPr>
          <w:position w:val="6"/>
          <w:sz w:val="16"/>
        </w:rPr>
        <w:t>*</w:t>
      </w:r>
      <w:r w:rsidRPr="00583E1A">
        <w:t xml:space="preserve">equity interests or debt interests held by the entity, to the extent to which any value of the interests is all or a part of the </w:t>
      </w:r>
      <w:r w:rsidR="00583E1A" w:rsidRPr="00583E1A">
        <w:rPr>
          <w:position w:val="6"/>
          <w:sz w:val="16"/>
        </w:rPr>
        <w:t>*</w:t>
      </w:r>
      <w:r w:rsidRPr="00583E1A">
        <w:t>controlled foreign entity equity of the entity; or</w:t>
      </w:r>
    </w:p>
    <w:p w:rsidR="00887330" w:rsidRPr="00583E1A" w:rsidRDefault="00887330" w:rsidP="00887330">
      <w:pPr>
        <w:pStyle w:val="paragraphsub"/>
      </w:pPr>
      <w:r w:rsidRPr="00583E1A">
        <w:tab/>
        <w:t>(iv)</w:t>
      </w:r>
      <w:r w:rsidRPr="00583E1A">
        <w:tab/>
        <w:t xml:space="preserve">any debt interests that are </w:t>
      </w:r>
      <w:r w:rsidR="00583E1A" w:rsidRPr="00583E1A">
        <w:rPr>
          <w:position w:val="6"/>
          <w:sz w:val="16"/>
        </w:rPr>
        <w:t>*</w:t>
      </w:r>
      <w:r w:rsidRPr="00583E1A">
        <w:t xml:space="preserve">issued by </w:t>
      </w:r>
      <w:r w:rsidR="00583E1A" w:rsidRPr="00583E1A">
        <w:rPr>
          <w:position w:val="6"/>
          <w:sz w:val="16"/>
        </w:rPr>
        <w:t>*</w:t>
      </w:r>
      <w:r w:rsidRPr="00583E1A">
        <w:t xml:space="preserve">associates of the entity, that are </w:t>
      </w:r>
      <w:r w:rsidR="00583E1A" w:rsidRPr="00583E1A">
        <w:rPr>
          <w:position w:val="6"/>
          <w:sz w:val="16"/>
        </w:rPr>
        <w:t>*</w:t>
      </w:r>
      <w:r w:rsidRPr="00583E1A">
        <w:t>on issue, and that are held by the entity; or</w:t>
      </w:r>
    </w:p>
    <w:p w:rsidR="00887330" w:rsidRPr="00583E1A" w:rsidRDefault="00887330" w:rsidP="00887330">
      <w:pPr>
        <w:pStyle w:val="paragraphsub"/>
      </w:pPr>
      <w:r w:rsidRPr="00583E1A">
        <w:tab/>
        <w:t>(v)</w:t>
      </w:r>
      <w:r w:rsidRPr="00583E1A">
        <w:tab/>
        <w:t>any equity interests that the entity holds in associates of the entity; and</w:t>
      </w:r>
    </w:p>
    <w:p w:rsidR="00887330" w:rsidRPr="00583E1A" w:rsidRDefault="00887330" w:rsidP="00887330">
      <w:pPr>
        <w:pStyle w:val="paragraph"/>
      </w:pPr>
      <w:r w:rsidRPr="00583E1A">
        <w:tab/>
        <w:t>(b)</w:t>
      </w:r>
      <w:r w:rsidRPr="00583E1A">
        <w:tab/>
        <w:t xml:space="preserve">of a </w:t>
      </w:r>
      <w:r w:rsidR="00583E1A" w:rsidRPr="00583E1A">
        <w:rPr>
          <w:position w:val="6"/>
          <w:sz w:val="16"/>
        </w:rPr>
        <w:t>*</w:t>
      </w:r>
      <w:r w:rsidRPr="00583E1A">
        <w:t>foreign entity—is the average value, for that year, of all the assets of the entity that are:</w:t>
      </w:r>
    </w:p>
    <w:p w:rsidR="00887330" w:rsidRPr="00583E1A" w:rsidRDefault="00887330" w:rsidP="00887330">
      <w:pPr>
        <w:pStyle w:val="paragraphsub"/>
      </w:pPr>
      <w:r w:rsidRPr="00583E1A">
        <w:tab/>
        <w:t>(i)</w:t>
      </w:r>
      <w:r w:rsidRPr="00583E1A">
        <w:tab/>
        <w:t xml:space="preserve">located in </w:t>
      </w:r>
      <w:smartTag w:uri="urn:schemas-microsoft-com:office:smarttags" w:element="country-region">
        <w:smartTag w:uri="urn:schemas-microsoft-com:office:smarttags" w:element="place">
          <w:r w:rsidRPr="00583E1A">
            <w:t>Australia</w:t>
          </w:r>
        </w:smartTag>
      </w:smartTag>
      <w:r w:rsidRPr="00583E1A">
        <w:t>; or</w:t>
      </w:r>
    </w:p>
    <w:p w:rsidR="00887330" w:rsidRPr="00583E1A" w:rsidRDefault="00887330" w:rsidP="00887330">
      <w:pPr>
        <w:pStyle w:val="paragraphsub"/>
      </w:pPr>
      <w:r w:rsidRPr="00583E1A">
        <w:tab/>
        <w:t>(ii)</w:t>
      </w:r>
      <w:r w:rsidRPr="00583E1A">
        <w:tab/>
        <w:t xml:space="preserve">attributable to the entity’s </w:t>
      </w:r>
      <w:r w:rsidR="00583E1A" w:rsidRPr="00583E1A">
        <w:rPr>
          <w:position w:val="6"/>
          <w:sz w:val="16"/>
        </w:rPr>
        <w:t>*</w:t>
      </w:r>
      <w:r w:rsidRPr="00583E1A">
        <w:t>Australian permanent establishments; or</w:t>
      </w:r>
    </w:p>
    <w:p w:rsidR="00887330" w:rsidRPr="00583E1A" w:rsidRDefault="00887330" w:rsidP="00887330">
      <w:pPr>
        <w:pStyle w:val="paragraphsub"/>
      </w:pPr>
      <w:r w:rsidRPr="00583E1A">
        <w:tab/>
        <w:t>(iii)</w:t>
      </w:r>
      <w:r w:rsidRPr="00583E1A">
        <w:tab/>
        <w:t xml:space="preserve">debt interests held by the entity, to the extent to which the interests are covered by </w:t>
      </w:r>
      <w:r w:rsidR="00583E1A">
        <w:t>subsection (</w:t>
      </w:r>
      <w:r w:rsidRPr="00583E1A">
        <w:t>2); or</w:t>
      </w:r>
    </w:p>
    <w:p w:rsidR="00887330" w:rsidRPr="00583E1A" w:rsidRDefault="00887330" w:rsidP="00887330">
      <w:pPr>
        <w:pStyle w:val="paragraphsub"/>
      </w:pPr>
      <w:r w:rsidRPr="00583E1A">
        <w:tab/>
        <w:t>(iv)</w:t>
      </w:r>
      <w:r w:rsidRPr="00583E1A">
        <w:tab/>
        <w:t xml:space="preserve">equity interests held by the entity, to the extent to which the interests are covered by </w:t>
      </w:r>
      <w:r w:rsidR="00583E1A">
        <w:t>subsection (</w:t>
      </w:r>
      <w:r w:rsidRPr="00583E1A">
        <w:t>3);</w:t>
      </w:r>
    </w:p>
    <w:p w:rsidR="00887330" w:rsidRPr="00583E1A" w:rsidRDefault="00887330" w:rsidP="00887330">
      <w:pPr>
        <w:pStyle w:val="paragraph"/>
      </w:pPr>
      <w:r w:rsidRPr="00583E1A">
        <w:tab/>
      </w:r>
      <w:r w:rsidRPr="00583E1A">
        <w:tab/>
        <w:t>other than:</w:t>
      </w:r>
    </w:p>
    <w:p w:rsidR="00887330" w:rsidRPr="00583E1A" w:rsidRDefault="00887330" w:rsidP="00887330">
      <w:pPr>
        <w:pStyle w:val="paragraphsub"/>
      </w:pPr>
      <w:r w:rsidRPr="00583E1A">
        <w:lastRenderedPageBreak/>
        <w:tab/>
        <w:t>(v)</w:t>
      </w:r>
      <w:r w:rsidRPr="00583E1A">
        <w:tab/>
        <w:t>any debt interests that are issued by associates of the entity, that are on issue, and that are held by the entity; or</w:t>
      </w:r>
    </w:p>
    <w:p w:rsidR="00887330" w:rsidRPr="00583E1A" w:rsidRDefault="00887330" w:rsidP="00887330">
      <w:pPr>
        <w:pStyle w:val="paragraphsub"/>
      </w:pPr>
      <w:r w:rsidRPr="00583E1A">
        <w:tab/>
        <w:t>(vi)</w:t>
      </w:r>
      <w:r w:rsidRPr="00583E1A">
        <w:tab/>
        <w:t>any equity interests that the entity holds in associates of the entity.</w:t>
      </w:r>
    </w:p>
    <w:p w:rsidR="00887330" w:rsidRPr="00583E1A" w:rsidRDefault="00887330" w:rsidP="00887330">
      <w:pPr>
        <w:pStyle w:val="Definition"/>
      </w:pPr>
      <w:r w:rsidRPr="00583E1A">
        <w:rPr>
          <w:b/>
          <w:i/>
        </w:rPr>
        <w:t xml:space="preserve">average total assets </w:t>
      </w:r>
      <w:r w:rsidRPr="00583E1A">
        <w:t>of an entity is the average value, for that year, of all the assets of the entity, other than:</w:t>
      </w:r>
    </w:p>
    <w:p w:rsidR="00887330" w:rsidRPr="00583E1A" w:rsidRDefault="00887330" w:rsidP="00887330">
      <w:pPr>
        <w:pStyle w:val="paragraph"/>
      </w:pPr>
      <w:r w:rsidRPr="00583E1A">
        <w:tab/>
        <w:t>(a)</w:t>
      </w:r>
      <w:r w:rsidRPr="00583E1A">
        <w:tab/>
        <w:t xml:space="preserve">any </w:t>
      </w:r>
      <w:r w:rsidR="00583E1A" w:rsidRPr="00583E1A">
        <w:rPr>
          <w:position w:val="6"/>
          <w:sz w:val="16"/>
        </w:rPr>
        <w:t>*</w:t>
      </w:r>
      <w:r w:rsidRPr="00583E1A">
        <w:t xml:space="preserve">debt interests that are </w:t>
      </w:r>
      <w:r w:rsidR="00583E1A" w:rsidRPr="00583E1A">
        <w:rPr>
          <w:position w:val="6"/>
          <w:sz w:val="16"/>
        </w:rPr>
        <w:t>*</w:t>
      </w:r>
      <w:r w:rsidRPr="00583E1A">
        <w:t xml:space="preserve">issued by </w:t>
      </w:r>
      <w:r w:rsidR="00583E1A" w:rsidRPr="00583E1A">
        <w:rPr>
          <w:position w:val="6"/>
          <w:sz w:val="16"/>
        </w:rPr>
        <w:t>*</w:t>
      </w:r>
      <w:r w:rsidRPr="00583E1A">
        <w:t xml:space="preserve">associates of the entity, that are </w:t>
      </w:r>
      <w:r w:rsidR="00583E1A" w:rsidRPr="00583E1A">
        <w:rPr>
          <w:position w:val="6"/>
          <w:sz w:val="16"/>
        </w:rPr>
        <w:t>*</w:t>
      </w:r>
      <w:r w:rsidRPr="00583E1A">
        <w:t>on issue, and that are held by the entity; or</w:t>
      </w:r>
    </w:p>
    <w:p w:rsidR="00887330" w:rsidRPr="00583E1A" w:rsidRDefault="00887330" w:rsidP="00887330">
      <w:pPr>
        <w:pStyle w:val="paragraph"/>
      </w:pPr>
      <w:r w:rsidRPr="00583E1A">
        <w:tab/>
        <w:t>(b)</w:t>
      </w:r>
      <w:r w:rsidRPr="00583E1A">
        <w:tab/>
        <w:t xml:space="preserve">any </w:t>
      </w:r>
      <w:r w:rsidR="00583E1A" w:rsidRPr="00583E1A">
        <w:rPr>
          <w:position w:val="6"/>
          <w:sz w:val="16"/>
        </w:rPr>
        <w:t>*</w:t>
      </w:r>
      <w:r w:rsidRPr="00583E1A">
        <w:t>equity interests that the entity holds in associates of the entity.</w:t>
      </w:r>
    </w:p>
    <w:p w:rsidR="00887330" w:rsidRPr="00583E1A" w:rsidRDefault="00887330" w:rsidP="00887330">
      <w:pPr>
        <w:pStyle w:val="SubsectionHead"/>
      </w:pPr>
      <w:r w:rsidRPr="00583E1A">
        <w:t>Foreign entity—debt interest issued by an Australian entity</w:t>
      </w:r>
    </w:p>
    <w:p w:rsidR="00887330" w:rsidRPr="00583E1A" w:rsidRDefault="00887330" w:rsidP="00887330">
      <w:pPr>
        <w:pStyle w:val="subsection"/>
      </w:pPr>
      <w:r w:rsidRPr="00583E1A">
        <w:tab/>
        <w:t>(2)</w:t>
      </w:r>
      <w:r w:rsidRPr="00583E1A">
        <w:tab/>
        <w:t xml:space="preserve">If a </w:t>
      </w:r>
      <w:r w:rsidR="00583E1A" w:rsidRPr="00583E1A">
        <w:rPr>
          <w:position w:val="6"/>
          <w:sz w:val="16"/>
        </w:rPr>
        <w:t>*</w:t>
      </w:r>
      <w:r w:rsidRPr="00583E1A">
        <w:t xml:space="preserve">foreign entity holds a </w:t>
      </w:r>
      <w:r w:rsidR="00583E1A" w:rsidRPr="00583E1A">
        <w:rPr>
          <w:position w:val="6"/>
          <w:sz w:val="16"/>
        </w:rPr>
        <w:t>*</w:t>
      </w:r>
      <w:r w:rsidRPr="00583E1A">
        <w:t>debt interest that:</w:t>
      </w:r>
    </w:p>
    <w:p w:rsidR="00887330" w:rsidRPr="00583E1A" w:rsidRDefault="00887330" w:rsidP="00887330">
      <w:pPr>
        <w:pStyle w:val="paragraph"/>
      </w:pPr>
      <w:r w:rsidRPr="00583E1A">
        <w:tab/>
        <w:t>(a)</w:t>
      </w:r>
      <w:r w:rsidRPr="00583E1A">
        <w:tab/>
        <w:t xml:space="preserve">was </w:t>
      </w:r>
      <w:r w:rsidR="00583E1A" w:rsidRPr="00583E1A">
        <w:rPr>
          <w:position w:val="6"/>
          <w:sz w:val="16"/>
        </w:rPr>
        <w:t>*</w:t>
      </w:r>
      <w:r w:rsidRPr="00583E1A">
        <w:t xml:space="preserve">issued by an </w:t>
      </w:r>
      <w:r w:rsidR="00583E1A" w:rsidRPr="00583E1A">
        <w:rPr>
          <w:position w:val="6"/>
          <w:sz w:val="16"/>
        </w:rPr>
        <w:t>*</w:t>
      </w:r>
      <w:r w:rsidRPr="00583E1A">
        <w:t>Australian entity; and</w:t>
      </w:r>
    </w:p>
    <w:p w:rsidR="00887330" w:rsidRPr="00583E1A" w:rsidRDefault="00887330" w:rsidP="00887330">
      <w:pPr>
        <w:pStyle w:val="paragraph"/>
      </w:pPr>
      <w:r w:rsidRPr="00583E1A">
        <w:tab/>
        <w:t>(b)</w:t>
      </w:r>
      <w:r w:rsidRPr="00583E1A">
        <w:tab/>
        <w:t xml:space="preserve">is </w:t>
      </w:r>
      <w:r w:rsidR="00583E1A" w:rsidRPr="00583E1A">
        <w:rPr>
          <w:position w:val="6"/>
          <w:sz w:val="16"/>
        </w:rPr>
        <w:t>*</w:t>
      </w:r>
      <w:r w:rsidRPr="00583E1A">
        <w:t>on issue;</w:t>
      </w:r>
    </w:p>
    <w:p w:rsidR="00887330" w:rsidRPr="00583E1A" w:rsidRDefault="00887330" w:rsidP="00887330">
      <w:pPr>
        <w:pStyle w:val="subsection2"/>
      </w:pPr>
      <w:r w:rsidRPr="00583E1A">
        <w:t xml:space="preserve">this subsection covers the interest to the extent to which the interest is not attributable to any </w:t>
      </w:r>
      <w:r w:rsidR="00583E1A" w:rsidRPr="00583E1A">
        <w:rPr>
          <w:position w:val="6"/>
          <w:sz w:val="16"/>
        </w:rPr>
        <w:t>*</w:t>
      </w:r>
      <w:r w:rsidR="004204E8" w:rsidRPr="00583E1A">
        <w:t>overseas permanent establishments</w:t>
      </w:r>
      <w:r w:rsidRPr="00583E1A">
        <w:t xml:space="preserve"> of the Australian entity.</w:t>
      </w:r>
    </w:p>
    <w:p w:rsidR="00887330" w:rsidRPr="00583E1A" w:rsidRDefault="00887330" w:rsidP="00887330">
      <w:pPr>
        <w:pStyle w:val="SubsectionHead"/>
      </w:pPr>
      <w:r w:rsidRPr="00583E1A">
        <w:t>Foreign entity—equity interest in an Australian entity</w:t>
      </w:r>
    </w:p>
    <w:p w:rsidR="00887330" w:rsidRPr="00583E1A" w:rsidRDefault="00887330" w:rsidP="00887330">
      <w:pPr>
        <w:pStyle w:val="subsection"/>
      </w:pPr>
      <w:r w:rsidRPr="00583E1A">
        <w:tab/>
        <w:t>(3)</w:t>
      </w:r>
      <w:r w:rsidRPr="00583E1A">
        <w:tab/>
        <w:t xml:space="preserve">If a </w:t>
      </w:r>
      <w:r w:rsidR="00583E1A" w:rsidRPr="00583E1A">
        <w:rPr>
          <w:position w:val="6"/>
          <w:sz w:val="16"/>
        </w:rPr>
        <w:t>*</w:t>
      </w:r>
      <w:r w:rsidRPr="00583E1A">
        <w:t xml:space="preserve">foreign entity holds an </w:t>
      </w:r>
      <w:r w:rsidR="00583E1A" w:rsidRPr="00583E1A">
        <w:rPr>
          <w:position w:val="6"/>
          <w:sz w:val="16"/>
        </w:rPr>
        <w:t>*</w:t>
      </w:r>
      <w:r w:rsidRPr="00583E1A">
        <w:t xml:space="preserve">equity interest in an </w:t>
      </w:r>
      <w:r w:rsidR="00583E1A" w:rsidRPr="00583E1A">
        <w:rPr>
          <w:position w:val="6"/>
          <w:sz w:val="16"/>
        </w:rPr>
        <w:t>*</w:t>
      </w:r>
      <w:r w:rsidRPr="00583E1A">
        <w:t xml:space="preserve">Australian entity, this subsection covers the interest to the extent to which the interest is not attributable to any </w:t>
      </w:r>
      <w:r w:rsidR="00583E1A" w:rsidRPr="00583E1A">
        <w:rPr>
          <w:position w:val="6"/>
          <w:sz w:val="16"/>
        </w:rPr>
        <w:t>*</w:t>
      </w:r>
      <w:r w:rsidR="004204E8" w:rsidRPr="00583E1A">
        <w:t>overseas permanent establishments</w:t>
      </w:r>
      <w:r w:rsidRPr="00583E1A">
        <w:t xml:space="preserve"> of the Australian entity.</w:t>
      </w:r>
    </w:p>
    <w:p w:rsidR="00887330" w:rsidRPr="00583E1A" w:rsidRDefault="00887330" w:rsidP="00887330">
      <w:pPr>
        <w:pStyle w:val="ActHead5"/>
      </w:pPr>
      <w:bookmarkStart w:id="180" w:name="_Toc338939254"/>
      <w:r w:rsidRPr="00583E1A">
        <w:rPr>
          <w:rStyle w:val="CharSectno"/>
        </w:rPr>
        <w:t>820</w:t>
      </w:r>
      <w:r w:rsidR="00583E1A">
        <w:rPr>
          <w:rStyle w:val="CharSectno"/>
        </w:rPr>
        <w:noBreakHyphen/>
      </w:r>
      <w:r w:rsidRPr="00583E1A">
        <w:rPr>
          <w:rStyle w:val="CharSectno"/>
        </w:rPr>
        <w:t>39</w:t>
      </w:r>
      <w:r w:rsidRPr="00583E1A">
        <w:t xml:space="preserve">  Exemption of certain special purpose entities</w:t>
      </w:r>
      <w:bookmarkEnd w:id="180"/>
    </w:p>
    <w:p w:rsidR="00887330" w:rsidRPr="00583E1A" w:rsidRDefault="00887330" w:rsidP="00887330">
      <w:pPr>
        <w:pStyle w:val="subsection"/>
      </w:pPr>
      <w:r w:rsidRPr="00583E1A">
        <w:tab/>
        <w:t>(</w:t>
      </w:r>
      <w:r w:rsidRPr="00583E1A">
        <w:rPr>
          <w:noProof/>
        </w:rPr>
        <w:t>1</w:t>
      </w:r>
      <w:r w:rsidRPr="00583E1A">
        <w:t>)</w:t>
      </w:r>
      <w:r w:rsidRPr="00583E1A">
        <w:tab/>
        <w:t>Subdivision</w:t>
      </w:r>
      <w:r w:rsidR="00583E1A">
        <w:t> </w:t>
      </w:r>
      <w:r w:rsidRPr="00583E1A">
        <w:t>820</w:t>
      </w:r>
      <w:r w:rsidR="00583E1A">
        <w:noBreakHyphen/>
      </w:r>
      <w:r w:rsidRPr="00583E1A">
        <w:t>B, 820</w:t>
      </w:r>
      <w:r w:rsidR="00583E1A">
        <w:noBreakHyphen/>
      </w:r>
      <w:r w:rsidRPr="00583E1A">
        <w:t>C, 820</w:t>
      </w:r>
      <w:r w:rsidR="00583E1A">
        <w:noBreakHyphen/>
      </w:r>
      <w:r w:rsidRPr="00583E1A">
        <w:t>D or 820</w:t>
      </w:r>
      <w:r w:rsidR="00583E1A">
        <w:noBreakHyphen/>
      </w:r>
      <w:r w:rsidRPr="00583E1A">
        <w:t xml:space="preserve">E does not apply to disallow any </w:t>
      </w:r>
      <w:r w:rsidR="00583E1A" w:rsidRPr="00583E1A">
        <w:rPr>
          <w:position w:val="6"/>
          <w:sz w:val="16"/>
        </w:rPr>
        <w:t>*</w:t>
      </w:r>
      <w:r w:rsidRPr="00583E1A">
        <w:t xml:space="preserve">debt deduction of an entity for an income year if the entity meets the conditions in </w:t>
      </w:r>
      <w:r w:rsidR="00583E1A">
        <w:t>subsection (</w:t>
      </w:r>
      <w:r w:rsidRPr="00583E1A">
        <w:t>3) throughout the income year.</w:t>
      </w:r>
    </w:p>
    <w:p w:rsidR="00887330" w:rsidRPr="00583E1A" w:rsidRDefault="00887330" w:rsidP="00887330">
      <w:pPr>
        <w:pStyle w:val="subsection"/>
      </w:pPr>
      <w:r w:rsidRPr="00583E1A">
        <w:tab/>
        <w:t>(</w:t>
      </w:r>
      <w:r w:rsidRPr="00583E1A">
        <w:rPr>
          <w:noProof/>
        </w:rPr>
        <w:t>2</w:t>
      </w:r>
      <w:r w:rsidRPr="00583E1A">
        <w:t>)</w:t>
      </w:r>
      <w:r w:rsidRPr="00583E1A">
        <w:tab/>
        <w:t>Subdivision</w:t>
      </w:r>
      <w:r w:rsidR="00583E1A">
        <w:t> </w:t>
      </w:r>
      <w:r w:rsidRPr="00583E1A">
        <w:t>820</w:t>
      </w:r>
      <w:r w:rsidR="00583E1A">
        <w:noBreakHyphen/>
      </w:r>
      <w:r w:rsidRPr="00583E1A">
        <w:t>B, 820</w:t>
      </w:r>
      <w:r w:rsidR="00583E1A">
        <w:noBreakHyphen/>
      </w:r>
      <w:r w:rsidRPr="00583E1A">
        <w:t>C, 820</w:t>
      </w:r>
      <w:r w:rsidR="00583E1A">
        <w:noBreakHyphen/>
      </w:r>
      <w:r w:rsidRPr="00583E1A">
        <w:t>D or 820</w:t>
      </w:r>
      <w:r w:rsidR="00583E1A">
        <w:noBreakHyphen/>
      </w:r>
      <w:r w:rsidRPr="00583E1A">
        <w:t xml:space="preserve">E does not apply to disallow any </w:t>
      </w:r>
      <w:r w:rsidR="00583E1A" w:rsidRPr="00583E1A">
        <w:rPr>
          <w:position w:val="6"/>
          <w:sz w:val="16"/>
        </w:rPr>
        <w:t>*</w:t>
      </w:r>
      <w:r w:rsidRPr="00583E1A">
        <w:t xml:space="preserve">debt deduction of an entity for an income year that is an amount incurred by the entity during a part of that year, if the entity meets the conditions in </w:t>
      </w:r>
      <w:r w:rsidR="00583E1A">
        <w:t>subsection (</w:t>
      </w:r>
      <w:r w:rsidRPr="00583E1A">
        <w:t>3) throughout that part.</w:t>
      </w:r>
    </w:p>
    <w:p w:rsidR="00887330" w:rsidRPr="00583E1A" w:rsidRDefault="00887330" w:rsidP="0018527D">
      <w:pPr>
        <w:pStyle w:val="subsection"/>
        <w:keepNext/>
        <w:keepLines/>
      </w:pPr>
      <w:r w:rsidRPr="00583E1A">
        <w:lastRenderedPageBreak/>
        <w:tab/>
        <w:t>(</w:t>
      </w:r>
      <w:r w:rsidRPr="00583E1A">
        <w:rPr>
          <w:noProof/>
        </w:rPr>
        <w:t>3</w:t>
      </w:r>
      <w:r w:rsidRPr="00583E1A">
        <w:t>)</w:t>
      </w:r>
      <w:r w:rsidRPr="00583E1A">
        <w:tab/>
        <w:t>The conditions are:</w:t>
      </w:r>
    </w:p>
    <w:p w:rsidR="00887330" w:rsidRPr="00583E1A" w:rsidRDefault="00887330" w:rsidP="00887330">
      <w:pPr>
        <w:pStyle w:val="paragraph"/>
      </w:pPr>
      <w:r w:rsidRPr="00583E1A">
        <w:tab/>
        <w:t>(</w:t>
      </w:r>
      <w:r w:rsidRPr="00583E1A">
        <w:rPr>
          <w:noProof/>
        </w:rPr>
        <w:t>a</w:t>
      </w:r>
      <w:r w:rsidRPr="00583E1A">
        <w:t>)</w:t>
      </w:r>
      <w:r w:rsidRPr="00583E1A">
        <w:tab/>
        <w:t>the entity is one established for the purposes of managing some or all of the economic risk associated with assets, liabilities or investments (whether the entity assumes the risk from another entity or creates the risk itself); and</w:t>
      </w:r>
    </w:p>
    <w:p w:rsidR="00887330" w:rsidRPr="00583E1A" w:rsidRDefault="00887330" w:rsidP="00887330">
      <w:pPr>
        <w:pStyle w:val="paragraph"/>
      </w:pPr>
      <w:r w:rsidRPr="00583E1A">
        <w:tab/>
        <w:t>(</w:t>
      </w:r>
      <w:r w:rsidRPr="00583E1A">
        <w:rPr>
          <w:noProof/>
        </w:rPr>
        <w:t>b</w:t>
      </w:r>
      <w:r w:rsidRPr="00583E1A">
        <w:t>)</w:t>
      </w:r>
      <w:r w:rsidRPr="00583E1A">
        <w:tab/>
        <w:t xml:space="preserve">the total value of </w:t>
      </w:r>
      <w:r w:rsidR="00583E1A" w:rsidRPr="00583E1A">
        <w:rPr>
          <w:position w:val="6"/>
          <w:sz w:val="16"/>
        </w:rPr>
        <w:t>*</w:t>
      </w:r>
      <w:r w:rsidRPr="00583E1A">
        <w:t>debt interests in the entity is at least 50% of the total value of the entity’s assets; and</w:t>
      </w:r>
    </w:p>
    <w:p w:rsidR="00887330" w:rsidRPr="00583E1A" w:rsidRDefault="00887330" w:rsidP="00887330">
      <w:pPr>
        <w:pStyle w:val="paragraph"/>
      </w:pPr>
      <w:r w:rsidRPr="00583E1A">
        <w:tab/>
        <w:t>(</w:t>
      </w:r>
      <w:r w:rsidRPr="00583E1A">
        <w:rPr>
          <w:noProof/>
        </w:rPr>
        <w:t>c</w:t>
      </w:r>
      <w:r w:rsidRPr="00583E1A">
        <w:t>)</w:t>
      </w:r>
      <w:r w:rsidRPr="00583E1A">
        <w:tab/>
        <w:t>the entity is an insolvency</w:t>
      </w:r>
      <w:r w:rsidR="00583E1A">
        <w:noBreakHyphen/>
      </w:r>
      <w:r w:rsidRPr="00583E1A">
        <w:t>remote special purpose entity according to criteria of an internationally recognised rating agency that are applicable to the entity’s circumstances.</w:t>
      </w:r>
    </w:p>
    <w:p w:rsidR="00887330" w:rsidRPr="00583E1A" w:rsidRDefault="00887330" w:rsidP="00887330">
      <w:pPr>
        <w:pStyle w:val="subsection"/>
      </w:pPr>
      <w:r w:rsidRPr="00583E1A">
        <w:tab/>
        <w:t>(</w:t>
      </w:r>
      <w:r w:rsidRPr="00583E1A">
        <w:rPr>
          <w:noProof/>
        </w:rPr>
        <w:t>4</w:t>
      </w:r>
      <w:r w:rsidRPr="00583E1A">
        <w:t>)</w:t>
      </w:r>
      <w:r w:rsidRPr="00583E1A">
        <w:tab/>
        <w:t xml:space="preserve">The condition in </w:t>
      </w:r>
      <w:r w:rsidR="00583E1A">
        <w:t>paragraph (</w:t>
      </w:r>
      <w:r w:rsidRPr="00583E1A">
        <w:t>3)(c) can be met without the rating agency determining that the entity meets those criteria.</w:t>
      </w:r>
    </w:p>
    <w:p w:rsidR="00B3684A" w:rsidRPr="00583E1A" w:rsidRDefault="00B3684A" w:rsidP="00B3684A">
      <w:pPr>
        <w:pStyle w:val="notetext"/>
      </w:pPr>
      <w:r w:rsidRPr="00583E1A">
        <w:t>Note 1:</w:t>
      </w:r>
      <w:r w:rsidRPr="00583E1A">
        <w:tab/>
        <w:t xml:space="preserve">While an entity meets the conditions in </w:t>
      </w:r>
      <w:r w:rsidR="00583E1A">
        <w:t>subsection (</w:t>
      </w:r>
      <w:r w:rsidRPr="00583E1A">
        <w:t xml:space="preserve">3), it is treated for the purposes of this Division as </w:t>
      </w:r>
      <w:r w:rsidRPr="00583E1A">
        <w:rPr>
          <w:i/>
        </w:rPr>
        <w:t>not</w:t>
      </w:r>
      <w:r w:rsidRPr="00583E1A">
        <w:t xml:space="preserve"> being a member of a consolidated group or MEC group (see section</w:t>
      </w:r>
      <w:r w:rsidR="00583E1A">
        <w:t> </w:t>
      </w:r>
      <w:r w:rsidRPr="00583E1A">
        <w:t>820</w:t>
      </w:r>
      <w:r w:rsidR="00583E1A">
        <w:noBreakHyphen/>
      </w:r>
      <w:r w:rsidRPr="00583E1A">
        <w:t>584).</w:t>
      </w:r>
    </w:p>
    <w:p w:rsidR="00887330" w:rsidRPr="00583E1A" w:rsidRDefault="00887330" w:rsidP="00887330">
      <w:pPr>
        <w:pStyle w:val="notetext"/>
      </w:pPr>
      <w:r w:rsidRPr="00583E1A">
        <w:t>Note 2:</w:t>
      </w:r>
      <w:r w:rsidRPr="00583E1A">
        <w:tab/>
        <w:t>An entity that does not qualify for the exemption in this section may still be a securitisation vehicle under subsection 820</w:t>
      </w:r>
      <w:r w:rsidR="00583E1A">
        <w:noBreakHyphen/>
      </w:r>
      <w:r w:rsidRPr="00583E1A">
        <w:t>942(2), in which case the value of its securitised assets will count towards its zero</w:t>
      </w:r>
      <w:r w:rsidR="00583E1A">
        <w:noBreakHyphen/>
      </w:r>
      <w:r w:rsidRPr="00583E1A">
        <w:t>capital amount under Subdivision</w:t>
      </w:r>
      <w:r w:rsidR="00583E1A">
        <w:t> </w:t>
      </w:r>
      <w:r w:rsidRPr="00583E1A">
        <w:t>820</w:t>
      </w:r>
      <w:r w:rsidR="00583E1A">
        <w:noBreakHyphen/>
      </w:r>
      <w:r w:rsidRPr="00583E1A">
        <w:t>K.</w:t>
      </w:r>
    </w:p>
    <w:p w:rsidR="00887330" w:rsidRPr="00583E1A" w:rsidRDefault="00887330" w:rsidP="00887330">
      <w:pPr>
        <w:pStyle w:val="SubsectionHead"/>
      </w:pPr>
      <w:r w:rsidRPr="00583E1A">
        <w:t>Multi</w:t>
      </w:r>
      <w:r w:rsidR="00583E1A">
        <w:noBreakHyphen/>
      </w:r>
      <w:r w:rsidRPr="00583E1A">
        <w:t>tier special purpose entities</w:t>
      </w:r>
    </w:p>
    <w:p w:rsidR="00887330" w:rsidRPr="00583E1A" w:rsidRDefault="00887330" w:rsidP="00887330">
      <w:pPr>
        <w:pStyle w:val="subsection"/>
      </w:pPr>
      <w:r w:rsidRPr="00583E1A">
        <w:tab/>
        <w:t>(</w:t>
      </w:r>
      <w:r w:rsidRPr="00583E1A">
        <w:rPr>
          <w:noProof/>
        </w:rPr>
        <w:t>5</w:t>
      </w:r>
      <w:r w:rsidRPr="00583E1A">
        <w:t>)</w:t>
      </w:r>
      <w:r w:rsidRPr="00583E1A">
        <w:tab/>
        <w:t xml:space="preserve">An entity is taken to meet the conditions in </w:t>
      </w:r>
      <w:r w:rsidR="00583E1A">
        <w:t>subsection (</w:t>
      </w:r>
      <w:r w:rsidRPr="00583E1A">
        <w:t>3) throughout a period that is all or part of an income year, if the entity is one of 2 or more entities that together satisfy the condition that, assuming:</w:t>
      </w:r>
    </w:p>
    <w:p w:rsidR="00887330" w:rsidRPr="00583E1A" w:rsidRDefault="00887330" w:rsidP="00887330">
      <w:pPr>
        <w:pStyle w:val="paragraph"/>
      </w:pPr>
      <w:r w:rsidRPr="00583E1A">
        <w:tab/>
        <w:t>(</w:t>
      </w:r>
      <w:r w:rsidRPr="00583E1A">
        <w:rPr>
          <w:noProof/>
        </w:rPr>
        <w:t>a</w:t>
      </w:r>
      <w:r w:rsidRPr="00583E1A">
        <w:t>)</w:t>
      </w:r>
      <w:r w:rsidRPr="00583E1A">
        <w:tab/>
        <w:t xml:space="preserve">each of the entities had been a division or part of the same entity (the </w:t>
      </w:r>
      <w:r w:rsidRPr="00583E1A">
        <w:rPr>
          <w:b/>
          <w:i/>
        </w:rPr>
        <w:t>notional entity</w:t>
      </w:r>
      <w:r w:rsidRPr="00583E1A">
        <w:t>), rather than a separate entity, throughout that period; and</w:t>
      </w:r>
    </w:p>
    <w:p w:rsidR="00887330" w:rsidRPr="00583E1A" w:rsidRDefault="00887330" w:rsidP="00887330">
      <w:pPr>
        <w:pStyle w:val="paragraph"/>
      </w:pPr>
      <w:r w:rsidRPr="00583E1A">
        <w:tab/>
        <w:t>(</w:t>
      </w:r>
      <w:r w:rsidRPr="00583E1A">
        <w:rPr>
          <w:noProof/>
        </w:rPr>
        <w:t>b</w:t>
      </w:r>
      <w:r w:rsidRPr="00583E1A">
        <w:t>)</w:t>
      </w:r>
      <w:r w:rsidRPr="00583E1A">
        <w:tab/>
        <w:t>the notional entity had consisted only of those divisions and parts throughout that period;</w:t>
      </w:r>
    </w:p>
    <w:p w:rsidR="00887330" w:rsidRPr="00583E1A" w:rsidRDefault="00887330" w:rsidP="00887330">
      <w:pPr>
        <w:pStyle w:val="subsection2"/>
      </w:pPr>
      <w:r w:rsidRPr="00583E1A">
        <w:t xml:space="preserve">the notional entity would meet the conditions in </w:t>
      </w:r>
      <w:r w:rsidR="00583E1A">
        <w:t>subsection (</w:t>
      </w:r>
      <w:r w:rsidRPr="00583E1A">
        <w:t>3) throughout that period.</w:t>
      </w:r>
    </w:p>
    <w:p w:rsidR="00887330" w:rsidRPr="00583E1A" w:rsidRDefault="00887330" w:rsidP="00887330">
      <w:pPr>
        <w:pStyle w:val="ActHead5"/>
      </w:pPr>
      <w:bookmarkStart w:id="181" w:name="_Toc338939255"/>
      <w:r w:rsidRPr="00583E1A">
        <w:rPr>
          <w:rStyle w:val="CharSectno"/>
        </w:rPr>
        <w:t>820</w:t>
      </w:r>
      <w:r w:rsidR="00583E1A">
        <w:rPr>
          <w:rStyle w:val="CharSectno"/>
        </w:rPr>
        <w:noBreakHyphen/>
      </w:r>
      <w:r w:rsidRPr="00583E1A">
        <w:rPr>
          <w:rStyle w:val="CharSectno"/>
        </w:rPr>
        <w:t>40</w:t>
      </w:r>
      <w:r w:rsidRPr="00583E1A">
        <w:t xml:space="preserve">  Meaning of </w:t>
      </w:r>
      <w:r w:rsidRPr="00583E1A">
        <w:rPr>
          <w:i/>
        </w:rPr>
        <w:t>debt deduction</w:t>
      </w:r>
      <w:bookmarkEnd w:id="181"/>
    </w:p>
    <w:p w:rsidR="00887330" w:rsidRPr="00583E1A" w:rsidRDefault="00887330" w:rsidP="00887330">
      <w:pPr>
        <w:pStyle w:val="subsection"/>
      </w:pPr>
      <w:r w:rsidRPr="00583E1A">
        <w:tab/>
        <w:t>(1)</w:t>
      </w:r>
      <w:r w:rsidRPr="00583E1A">
        <w:tab/>
      </w:r>
      <w:r w:rsidRPr="00583E1A">
        <w:rPr>
          <w:b/>
          <w:i/>
        </w:rPr>
        <w:t>Debt deduction</w:t>
      </w:r>
      <w:r w:rsidRPr="00583E1A">
        <w:t>,</w:t>
      </w:r>
      <w:r w:rsidRPr="00583E1A">
        <w:rPr>
          <w:b/>
          <w:i/>
        </w:rPr>
        <w:t xml:space="preserve"> </w:t>
      </w:r>
      <w:r w:rsidRPr="00583E1A">
        <w:t xml:space="preserve">of an entity and for an income year, is a cost incurred by the entity in relation to a </w:t>
      </w:r>
      <w:r w:rsidR="00583E1A" w:rsidRPr="00583E1A">
        <w:rPr>
          <w:position w:val="6"/>
          <w:sz w:val="16"/>
        </w:rPr>
        <w:t>*</w:t>
      </w:r>
      <w:r w:rsidRPr="00583E1A">
        <w:t>debt interest issued by the entity, to the extent to which:</w:t>
      </w:r>
    </w:p>
    <w:p w:rsidR="00887330" w:rsidRPr="00583E1A" w:rsidRDefault="00887330" w:rsidP="00887330">
      <w:pPr>
        <w:pStyle w:val="paragraph"/>
      </w:pPr>
      <w:r w:rsidRPr="00583E1A">
        <w:lastRenderedPageBreak/>
        <w:tab/>
        <w:t>(a)</w:t>
      </w:r>
      <w:r w:rsidRPr="00583E1A">
        <w:tab/>
        <w:t>the cost is:</w:t>
      </w:r>
    </w:p>
    <w:p w:rsidR="00887330" w:rsidRPr="00583E1A" w:rsidRDefault="00887330" w:rsidP="00887330">
      <w:pPr>
        <w:pStyle w:val="paragraphsub"/>
      </w:pPr>
      <w:r w:rsidRPr="00583E1A">
        <w:tab/>
        <w:t>(i)</w:t>
      </w:r>
      <w:r w:rsidRPr="00583E1A">
        <w:tab/>
        <w:t>interest, an amount in the nature of interest, or any other amount that is calculated by reference to the time value of money; or</w:t>
      </w:r>
    </w:p>
    <w:p w:rsidR="00887330" w:rsidRPr="00583E1A" w:rsidRDefault="00887330" w:rsidP="00887330">
      <w:pPr>
        <w:pStyle w:val="paragraphsub"/>
      </w:pPr>
      <w:r w:rsidRPr="00583E1A">
        <w:tab/>
        <w:t>(ii)</w:t>
      </w:r>
      <w:r w:rsidRPr="00583E1A">
        <w:tab/>
        <w:t xml:space="preserve">the difference between the </w:t>
      </w:r>
      <w:r w:rsidR="00583E1A" w:rsidRPr="00583E1A">
        <w:rPr>
          <w:position w:val="6"/>
          <w:sz w:val="16"/>
        </w:rPr>
        <w:t>*</w:t>
      </w:r>
      <w:r w:rsidRPr="00583E1A">
        <w:t xml:space="preserve">financial benefits received, or to be received, by the entity under the </w:t>
      </w:r>
      <w:r w:rsidR="00583E1A" w:rsidRPr="00583E1A">
        <w:rPr>
          <w:position w:val="6"/>
          <w:sz w:val="16"/>
        </w:rPr>
        <w:t>*</w:t>
      </w:r>
      <w:r w:rsidRPr="00583E1A">
        <w:t>scheme giving rise to the debt interest and the financial benefits provided, or to be provided, under that scheme; or</w:t>
      </w:r>
    </w:p>
    <w:p w:rsidR="00887330" w:rsidRPr="00583E1A" w:rsidRDefault="00887330" w:rsidP="00887330">
      <w:pPr>
        <w:pStyle w:val="paragraphsub"/>
      </w:pPr>
      <w:r w:rsidRPr="00583E1A">
        <w:tab/>
        <w:t>(iii)</w:t>
      </w:r>
      <w:r w:rsidRPr="00583E1A">
        <w:tab/>
        <w:t>any amount directly incurred in obtaining or maintaining the financial benefits received, or to be received, by the entity under the scheme giving rise to the debt interest; or</w:t>
      </w:r>
    </w:p>
    <w:p w:rsidR="00887330" w:rsidRPr="00583E1A" w:rsidRDefault="00887330" w:rsidP="00887330">
      <w:pPr>
        <w:pStyle w:val="paragraphsub"/>
      </w:pPr>
      <w:r w:rsidRPr="00583E1A">
        <w:tab/>
        <w:t>(iv)</w:t>
      </w:r>
      <w:r w:rsidRPr="00583E1A">
        <w:tab/>
        <w:t>any other expense incurred by the entity that is specified in the regulations made for the purposes of this subparagraph; and</w:t>
      </w:r>
    </w:p>
    <w:p w:rsidR="00887330" w:rsidRPr="00583E1A" w:rsidRDefault="00887330" w:rsidP="00887330">
      <w:pPr>
        <w:pStyle w:val="paragraph"/>
      </w:pPr>
      <w:r w:rsidRPr="00583E1A">
        <w:tab/>
        <w:t>(b)</w:t>
      </w:r>
      <w:r w:rsidRPr="00583E1A">
        <w:tab/>
        <w:t>the entity can, apart from this Division, deduct the cost from its assessable income for that year;</w:t>
      </w:r>
    </w:p>
    <w:p w:rsidR="00887330" w:rsidRPr="00583E1A" w:rsidRDefault="00887330" w:rsidP="00887330">
      <w:pPr>
        <w:pStyle w:val="subsection"/>
      </w:pPr>
      <w:r w:rsidRPr="00583E1A">
        <w:tab/>
        <w:t>(2)</w:t>
      </w:r>
      <w:r w:rsidRPr="00583E1A">
        <w:tab/>
        <w:t xml:space="preserve">A cost covered by </w:t>
      </w:r>
      <w:r w:rsidR="00583E1A">
        <w:t>paragraph (</w:t>
      </w:r>
      <w:r w:rsidRPr="00583E1A">
        <w:t>1)(a) includes, but is not limited to, any of the following:</w:t>
      </w:r>
    </w:p>
    <w:p w:rsidR="00887330" w:rsidRPr="00583E1A" w:rsidRDefault="00887330" w:rsidP="00887330">
      <w:pPr>
        <w:pStyle w:val="paragraph"/>
      </w:pPr>
      <w:r w:rsidRPr="00583E1A">
        <w:tab/>
        <w:t>(a)</w:t>
      </w:r>
      <w:r w:rsidRPr="00583E1A">
        <w:tab/>
        <w:t>an amount in substitution for interest;</w:t>
      </w:r>
    </w:p>
    <w:p w:rsidR="00887330" w:rsidRPr="00583E1A" w:rsidRDefault="00887330" w:rsidP="00887330">
      <w:pPr>
        <w:pStyle w:val="paragraph"/>
      </w:pPr>
      <w:r w:rsidRPr="00583E1A">
        <w:tab/>
        <w:t>(b)</w:t>
      </w:r>
      <w:r w:rsidRPr="00583E1A">
        <w:tab/>
        <w:t>a discount in respect of a security;</w:t>
      </w:r>
    </w:p>
    <w:p w:rsidR="00887330" w:rsidRPr="00583E1A" w:rsidRDefault="00887330" w:rsidP="00887330">
      <w:pPr>
        <w:pStyle w:val="paragraph"/>
      </w:pPr>
      <w:r w:rsidRPr="00583E1A">
        <w:tab/>
        <w:t>(c)</w:t>
      </w:r>
      <w:r w:rsidRPr="00583E1A">
        <w:tab/>
        <w:t>a fee or charge in respect of a debt, including application fees, line fees, service fees, brokerage and stamp duty in respect of document registration or security for the debt interest;</w:t>
      </w:r>
    </w:p>
    <w:p w:rsidR="00887330" w:rsidRPr="00583E1A" w:rsidRDefault="00887330" w:rsidP="00887330">
      <w:pPr>
        <w:pStyle w:val="paragraph"/>
      </w:pPr>
      <w:r w:rsidRPr="00583E1A">
        <w:tab/>
        <w:t>(d)</w:t>
      </w:r>
      <w:r w:rsidRPr="00583E1A">
        <w:tab/>
        <w:t xml:space="preserve">an amount that is taken under an </w:t>
      </w:r>
      <w:r w:rsidR="00583E1A" w:rsidRPr="00583E1A">
        <w:rPr>
          <w:position w:val="6"/>
          <w:sz w:val="16"/>
        </w:rPr>
        <w:t>*</w:t>
      </w:r>
      <w:r w:rsidRPr="00583E1A">
        <w:t xml:space="preserve">income tax law to be an amount of interest in respect of a lease, a hire purchase arrangement or any other </w:t>
      </w:r>
      <w:r w:rsidR="00583E1A" w:rsidRPr="00583E1A">
        <w:rPr>
          <w:position w:val="6"/>
          <w:sz w:val="16"/>
        </w:rPr>
        <w:t>*</w:t>
      </w:r>
      <w:r w:rsidRPr="00583E1A">
        <w:t>arrangement specified in that law;</w:t>
      </w:r>
    </w:p>
    <w:p w:rsidR="00887330" w:rsidRPr="00583E1A" w:rsidRDefault="00887330" w:rsidP="00887330">
      <w:pPr>
        <w:pStyle w:val="paragraph"/>
      </w:pPr>
      <w:r w:rsidRPr="00583E1A">
        <w:tab/>
        <w:t>(e)</w:t>
      </w:r>
      <w:r w:rsidRPr="00583E1A">
        <w:tab/>
        <w:t>any loss in respect of:</w:t>
      </w:r>
    </w:p>
    <w:p w:rsidR="00887330" w:rsidRPr="00583E1A" w:rsidRDefault="00887330" w:rsidP="00887330">
      <w:pPr>
        <w:pStyle w:val="paragraphsub"/>
      </w:pPr>
      <w:r w:rsidRPr="00583E1A">
        <w:tab/>
        <w:t>(i)</w:t>
      </w:r>
      <w:r w:rsidRPr="00583E1A">
        <w:tab/>
        <w:t>a reciprocal purchase agreement (otherwise known as a repurchase agreement);</w:t>
      </w:r>
    </w:p>
    <w:p w:rsidR="00887330" w:rsidRPr="00583E1A" w:rsidRDefault="00887330" w:rsidP="00887330">
      <w:pPr>
        <w:pStyle w:val="paragraphsub"/>
      </w:pPr>
      <w:r w:rsidRPr="00583E1A">
        <w:tab/>
        <w:t>(ii)</w:t>
      </w:r>
      <w:r w:rsidRPr="00583E1A">
        <w:tab/>
        <w:t>a sell</w:t>
      </w:r>
      <w:r w:rsidR="00583E1A">
        <w:noBreakHyphen/>
      </w:r>
      <w:r w:rsidRPr="00583E1A">
        <w:t>buyback arrangement;</w:t>
      </w:r>
    </w:p>
    <w:p w:rsidR="00887330" w:rsidRPr="00583E1A" w:rsidRDefault="00887330" w:rsidP="00887330">
      <w:pPr>
        <w:pStyle w:val="paragraphsub"/>
      </w:pPr>
      <w:r w:rsidRPr="00583E1A">
        <w:tab/>
        <w:t>(iii)</w:t>
      </w:r>
      <w:r w:rsidRPr="00583E1A">
        <w:tab/>
        <w:t>a securities loan arrangement;</w:t>
      </w:r>
    </w:p>
    <w:p w:rsidR="00887330" w:rsidRPr="00583E1A" w:rsidRDefault="00887330" w:rsidP="00887330">
      <w:pPr>
        <w:pStyle w:val="paragraph"/>
      </w:pPr>
      <w:r w:rsidRPr="00583E1A">
        <w:tab/>
        <w:t>(f)</w:t>
      </w:r>
      <w:r w:rsidRPr="00583E1A">
        <w:tab/>
        <w:t xml:space="preserve">any amount covered by </w:t>
      </w:r>
      <w:r w:rsidR="00583E1A">
        <w:t>paragraph (</w:t>
      </w:r>
      <w:r w:rsidRPr="00583E1A">
        <w:t>1)(a) that has been assigned or is dealt with in any way on behalf of the party who would otherwise be entitled to that amount.</w:t>
      </w:r>
    </w:p>
    <w:p w:rsidR="00887330" w:rsidRPr="00583E1A" w:rsidRDefault="00887330" w:rsidP="00887330">
      <w:pPr>
        <w:pStyle w:val="subsection"/>
      </w:pPr>
      <w:r w:rsidRPr="00583E1A">
        <w:lastRenderedPageBreak/>
        <w:tab/>
        <w:t>(3)</w:t>
      </w:r>
      <w:r w:rsidRPr="00583E1A">
        <w:tab/>
        <w:t xml:space="preserve">To avoid doubt, the following amounts that are incurred by an entity in relation to a </w:t>
      </w:r>
      <w:r w:rsidR="00583E1A" w:rsidRPr="00583E1A">
        <w:rPr>
          <w:position w:val="6"/>
          <w:sz w:val="16"/>
        </w:rPr>
        <w:t>*</w:t>
      </w:r>
      <w:r w:rsidRPr="00583E1A">
        <w:t xml:space="preserve">debt interest issued by the entity are not covered by </w:t>
      </w:r>
      <w:r w:rsidR="00583E1A">
        <w:t>paragraph (</w:t>
      </w:r>
      <w:r w:rsidRPr="00583E1A">
        <w:t>1)(a):</w:t>
      </w:r>
    </w:p>
    <w:p w:rsidR="00887330" w:rsidRPr="00583E1A" w:rsidRDefault="00887330" w:rsidP="00887330">
      <w:pPr>
        <w:pStyle w:val="paragraph"/>
      </w:pPr>
      <w:r w:rsidRPr="00583E1A">
        <w:tab/>
        <w:t>(a)</w:t>
      </w:r>
      <w:r w:rsidRPr="00583E1A">
        <w:tab/>
        <w:t>losses and outgoings directly associated with hedging or managing the financial risk in respect of the debt interest;</w:t>
      </w:r>
    </w:p>
    <w:p w:rsidR="00887330" w:rsidRPr="00583E1A" w:rsidRDefault="00887330" w:rsidP="00887330">
      <w:pPr>
        <w:pStyle w:val="paragraph"/>
      </w:pPr>
      <w:r w:rsidRPr="00583E1A">
        <w:tab/>
        <w:t>(b)</w:t>
      </w:r>
      <w:r w:rsidRPr="00583E1A">
        <w:tab/>
        <w:t>losses incurred by the entity</w:t>
      </w:r>
      <w:r w:rsidRPr="00583E1A">
        <w:rPr>
          <w:i/>
        </w:rPr>
        <w:t xml:space="preserve"> </w:t>
      </w:r>
      <w:r w:rsidRPr="00583E1A">
        <w:t>in relation to which the following apply:</w:t>
      </w:r>
    </w:p>
    <w:p w:rsidR="00887330" w:rsidRPr="00583E1A" w:rsidRDefault="00887330" w:rsidP="00887330">
      <w:pPr>
        <w:pStyle w:val="paragraphsub"/>
      </w:pPr>
      <w:r w:rsidRPr="00583E1A">
        <w:tab/>
        <w:t>(i)</w:t>
      </w:r>
      <w:r w:rsidRPr="00583E1A">
        <w:tab/>
        <w:t xml:space="preserve">the losses would otherwise be a cost covered by </w:t>
      </w:r>
      <w:r w:rsidR="00583E1A">
        <w:t>subparagraph (</w:t>
      </w:r>
      <w:r w:rsidRPr="00583E1A">
        <w:t>1)(a)(ii); but</w:t>
      </w:r>
    </w:p>
    <w:p w:rsidR="00887330" w:rsidRPr="00583E1A" w:rsidRDefault="00887330" w:rsidP="00887330">
      <w:pPr>
        <w:pStyle w:val="paragraphsub"/>
      </w:pPr>
      <w:r w:rsidRPr="00583E1A">
        <w:tab/>
        <w:t>(ii)</w:t>
      </w:r>
      <w:r w:rsidRPr="00583E1A">
        <w:tab/>
        <w:t>the benefits mentioned in that subparagraph are measured in a foreign currency or a unit of account other than Australian currency (for example, ounces of gold) and the losses have arisen only because of changes in the rate of converting that foreign currency or that unit of account into Australian currency;</w:t>
      </w:r>
    </w:p>
    <w:p w:rsidR="00887330" w:rsidRPr="00583E1A" w:rsidRDefault="00887330" w:rsidP="00887330">
      <w:pPr>
        <w:pStyle w:val="paragraph"/>
      </w:pPr>
      <w:r w:rsidRPr="00583E1A">
        <w:tab/>
        <w:t>(c)</w:t>
      </w:r>
      <w:r w:rsidRPr="00583E1A">
        <w:tab/>
        <w:t>salary or wages;</w:t>
      </w:r>
    </w:p>
    <w:p w:rsidR="00887330" w:rsidRPr="00583E1A" w:rsidRDefault="00887330" w:rsidP="00887330">
      <w:pPr>
        <w:pStyle w:val="paragraph"/>
      </w:pPr>
      <w:r w:rsidRPr="00583E1A">
        <w:tab/>
        <w:t>(d)</w:t>
      </w:r>
      <w:r w:rsidRPr="00583E1A">
        <w:tab/>
        <w:t>rental expenses for a lease if the lease is not a debt interest;</w:t>
      </w:r>
    </w:p>
    <w:p w:rsidR="00887330" w:rsidRPr="00583E1A" w:rsidRDefault="00887330" w:rsidP="00887330">
      <w:pPr>
        <w:pStyle w:val="paragraph"/>
      </w:pPr>
      <w:r w:rsidRPr="00583E1A">
        <w:tab/>
        <w:t>(e)</w:t>
      </w:r>
      <w:r w:rsidRPr="00583E1A">
        <w:tab/>
        <w:t>an expense specified in the regulations made for the purposes of this paragraph.</w:t>
      </w:r>
    </w:p>
    <w:p w:rsidR="00887330" w:rsidRPr="00583E1A" w:rsidRDefault="00887330" w:rsidP="00887330">
      <w:pPr>
        <w:pStyle w:val="ActHead4"/>
      </w:pPr>
      <w:bookmarkStart w:id="182" w:name="_Toc338939256"/>
      <w:r w:rsidRPr="00583E1A">
        <w:rPr>
          <w:rStyle w:val="CharSubdNo"/>
        </w:rPr>
        <w:t>Subdivision</w:t>
      </w:r>
      <w:r w:rsidR="00583E1A">
        <w:rPr>
          <w:rStyle w:val="CharSubdNo"/>
        </w:rPr>
        <w:t> </w:t>
      </w:r>
      <w:r w:rsidRPr="00583E1A">
        <w:rPr>
          <w:rStyle w:val="CharSubdNo"/>
        </w:rPr>
        <w:t>820</w:t>
      </w:r>
      <w:r w:rsidR="00583E1A">
        <w:rPr>
          <w:rStyle w:val="CharSubdNo"/>
        </w:rPr>
        <w:noBreakHyphen/>
      </w:r>
      <w:r w:rsidRPr="00583E1A">
        <w:rPr>
          <w:rStyle w:val="CharSubdNo"/>
        </w:rPr>
        <w:t>B</w:t>
      </w:r>
      <w:r w:rsidRPr="00583E1A">
        <w:t>—</w:t>
      </w:r>
      <w:r w:rsidRPr="00583E1A">
        <w:rPr>
          <w:rStyle w:val="CharSubdText"/>
        </w:rPr>
        <w:t>Thin capitalisation rules for outward investing entities (non</w:t>
      </w:r>
      <w:r w:rsidR="00583E1A">
        <w:rPr>
          <w:rStyle w:val="CharSubdText"/>
        </w:rPr>
        <w:noBreakHyphen/>
      </w:r>
      <w:r w:rsidRPr="00583E1A">
        <w:rPr>
          <w:rStyle w:val="CharSubdText"/>
        </w:rPr>
        <w:t>ADI)</w:t>
      </w:r>
      <w:bookmarkEnd w:id="182"/>
    </w:p>
    <w:p w:rsidR="00887330" w:rsidRPr="00583E1A" w:rsidRDefault="00887330" w:rsidP="00887330">
      <w:pPr>
        <w:pStyle w:val="ActHead4"/>
      </w:pPr>
      <w:bookmarkStart w:id="183" w:name="_Toc338939257"/>
      <w:r w:rsidRPr="00583E1A">
        <w:t>Guide to Subdivision</w:t>
      </w:r>
      <w:r w:rsidR="00583E1A">
        <w:t> </w:t>
      </w:r>
      <w:r w:rsidRPr="00583E1A">
        <w:t>820</w:t>
      </w:r>
      <w:r w:rsidR="00583E1A">
        <w:noBreakHyphen/>
      </w:r>
      <w:r w:rsidRPr="00583E1A">
        <w:t>B</w:t>
      </w:r>
      <w:bookmarkEnd w:id="183"/>
    </w:p>
    <w:p w:rsidR="00887330" w:rsidRPr="00583E1A" w:rsidRDefault="00887330" w:rsidP="00887330">
      <w:pPr>
        <w:pStyle w:val="ActHead5"/>
      </w:pPr>
      <w:bookmarkStart w:id="184" w:name="_Toc338939258"/>
      <w:r w:rsidRPr="00583E1A">
        <w:rPr>
          <w:rStyle w:val="CharSectno"/>
        </w:rPr>
        <w:t>820</w:t>
      </w:r>
      <w:r w:rsidR="00583E1A">
        <w:rPr>
          <w:rStyle w:val="CharSectno"/>
        </w:rPr>
        <w:noBreakHyphen/>
      </w:r>
      <w:r w:rsidRPr="00583E1A">
        <w:rPr>
          <w:rStyle w:val="CharSectno"/>
        </w:rPr>
        <w:t>65</w:t>
      </w:r>
      <w:r w:rsidRPr="00583E1A">
        <w:t xml:space="preserve">  What this Subdivision is about</w:t>
      </w:r>
      <w:bookmarkEnd w:id="184"/>
    </w:p>
    <w:p w:rsidR="00887330" w:rsidRPr="00583E1A" w:rsidRDefault="00887330" w:rsidP="00887330">
      <w:pPr>
        <w:pStyle w:val="BoxText"/>
      </w:pPr>
      <w:r w:rsidRPr="00583E1A">
        <w:t>This Subdivision sets out the thin capitalisation rules that apply to an Australian entity that has certain types of overseas investments and is not an authorised deposit</w:t>
      </w:r>
      <w:r w:rsidR="00583E1A">
        <w:noBreakHyphen/>
      </w:r>
      <w:r w:rsidRPr="00583E1A">
        <w:t xml:space="preserve">taking institution (an </w:t>
      </w:r>
      <w:r w:rsidRPr="00583E1A">
        <w:rPr>
          <w:b/>
          <w:i/>
        </w:rPr>
        <w:t>ADI</w:t>
      </w:r>
      <w:r w:rsidRPr="00583E1A">
        <w:t>). These rules deal with the following matters:</w:t>
      </w:r>
    </w:p>
    <w:p w:rsidR="00887330" w:rsidRPr="00583E1A" w:rsidRDefault="00887330" w:rsidP="00887330">
      <w:pPr>
        <w:pStyle w:val="BoxList"/>
      </w:pPr>
      <w:r w:rsidRPr="00583E1A">
        <w:t>•</w:t>
      </w:r>
      <w:r w:rsidRPr="00583E1A">
        <w:tab/>
        <w:t>how to work out the entity’s maximum allowable debt for an income year;</w:t>
      </w:r>
    </w:p>
    <w:p w:rsidR="00887330" w:rsidRPr="00583E1A" w:rsidRDefault="00887330" w:rsidP="00887330">
      <w:pPr>
        <w:pStyle w:val="BoxList"/>
      </w:pPr>
      <w:r w:rsidRPr="00583E1A">
        <w:t>•</w:t>
      </w:r>
      <w:r w:rsidRPr="00583E1A">
        <w:tab/>
        <w:t>how all or a part of the debt deductions claimed by the entity may be disallowed if the maximum allowable debt is exceeded;</w:t>
      </w:r>
    </w:p>
    <w:p w:rsidR="00887330" w:rsidRPr="00583E1A" w:rsidRDefault="00887330" w:rsidP="00887330">
      <w:pPr>
        <w:pStyle w:val="BoxList"/>
      </w:pPr>
      <w:r w:rsidRPr="00583E1A">
        <w:lastRenderedPageBreak/>
        <w:t>•</w:t>
      </w:r>
      <w:r w:rsidRPr="00583E1A">
        <w:tab/>
        <w:t>how to apply these rules to a period that is less than an income year.</w:t>
      </w:r>
    </w:p>
    <w:p w:rsidR="00887330" w:rsidRPr="00583E1A" w:rsidRDefault="00887330" w:rsidP="00887330">
      <w:pPr>
        <w:pStyle w:val="TofSectsHeading"/>
      </w:pPr>
      <w:r w:rsidRPr="00583E1A">
        <w:t>Table of sections</w:t>
      </w:r>
    </w:p>
    <w:p w:rsidR="00887330" w:rsidRPr="00583E1A" w:rsidRDefault="00887330" w:rsidP="00887330">
      <w:pPr>
        <w:pStyle w:val="TofSectsGroupHeading"/>
      </w:pPr>
      <w:r w:rsidRPr="00583E1A">
        <w:t>Operative provisions</w:t>
      </w:r>
    </w:p>
    <w:p w:rsidR="00887330" w:rsidRPr="00583E1A" w:rsidRDefault="00887330" w:rsidP="00887330">
      <w:pPr>
        <w:pStyle w:val="TofSectsSection"/>
      </w:pPr>
      <w:r w:rsidRPr="00583E1A">
        <w:t>820</w:t>
      </w:r>
      <w:r w:rsidR="00583E1A">
        <w:noBreakHyphen/>
      </w:r>
      <w:r w:rsidRPr="00583E1A">
        <w:t>85</w:t>
      </w:r>
      <w:r w:rsidRPr="00583E1A">
        <w:tab/>
        <w:t>Thin capitalisation rule for outward investing entities (non</w:t>
      </w:r>
      <w:r w:rsidR="00583E1A">
        <w:noBreakHyphen/>
      </w:r>
      <w:r w:rsidRPr="00583E1A">
        <w:t>ADI)</w:t>
      </w:r>
    </w:p>
    <w:p w:rsidR="00887330" w:rsidRPr="00583E1A" w:rsidRDefault="00887330" w:rsidP="00887330">
      <w:pPr>
        <w:pStyle w:val="TofSectsSection"/>
      </w:pPr>
      <w:r w:rsidRPr="00583E1A">
        <w:t>820</w:t>
      </w:r>
      <w:r w:rsidR="00583E1A">
        <w:noBreakHyphen/>
      </w:r>
      <w:r w:rsidRPr="00583E1A">
        <w:t>90</w:t>
      </w:r>
      <w:r w:rsidRPr="00583E1A">
        <w:tab/>
        <w:t>Maximum allowable debt</w:t>
      </w:r>
    </w:p>
    <w:p w:rsidR="00887330" w:rsidRPr="00583E1A" w:rsidRDefault="00887330" w:rsidP="00887330">
      <w:pPr>
        <w:pStyle w:val="TofSectsSection"/>
      </w:pPr>
      <w:r w:rsidRPr="00583E1A">
        <w:t>820</w:t>
      </w:r>
      <w:r w:rsidR="00583E1A">
        <w:noBreakHyphen/>
      </w:r>
      <w:r w:rsidRPr="00583E1A">
        <w:t>95</w:t>
      </w:r>
      <w:r w:rsidRPr="00583E1A">
        <w:tab/>
        <w:t>Safe harbour debt amount—outward investor (general)</w:t>
      </w:r>
    </w:p>
    <w:p w:rsidR="00887330" w:rsidRPr="00583E1A" w:rsidRDefault="00887330" w:rsidP="00887330">
      <w:pPr>
        <w:pStyle w:val="TofSectsSection"/>
      </w:pPr>
      <w:r w:rsidRPr="00583E1A">
        <w:t>820</w:t>
      </w:r>
      <w:r w:rsidR="00583E1A">
        <w:noBreakHyphen/>
      </w:r>
      <w:r w:rsidRPr="00583E1A">
        <w:t>100</w:t>
      </w:r>
      <w:r w:rsidRPr="00583E1A">
        <w:tab/>
        <w:t>Safe harbour debt amount—outward investor (financial)</w:t>
      </w:r>
    </w:p>
    <w:p w:rsidR="00887330" w:rsidRPr="00583E1A" w:rsidRDefault="00887330" w:rsidP="00887330">
      <w:pPr>
        <w:pStyle w:val="TofSectsSection"/>
      </w:pPr>
      <w:r w:rsidRPr="00583E1A">
        <w:t>820</w:t>
      </w:r>
      <w:r w:rsidR="00583E1A">
        <w:noBreakHyphen/>
      </w:r>
      <w:r w:rsidRPr="00583E1A">
        <w:t>105</w:t>
      </w:r>
      <w:r w:rsidRPr="00583E1A">
        <w:tab/>
        <w:t>Arm’s length debt amount</w:t>
      </w:r>
    </w:p>
    <w:p w:rsidR="00887330" w:rsidRPr="00583E1A" w:rsidRDefault="00887330" w:rsidP="00887330">
      <w:pPr>
        <w:pStyle w:val="TofSectsSection"/>
      </w:pPr>
      <w:r w:rsidRPr="00583E1A">
        <w:t>820</w:t>
      </w:r>
      <w:r w:rsidR="00583E1A">
        <w:noBreakHyphen/>
      </w:r>
      <w:r w:rsidRPr="00583E1A">
        <w:t>110</w:t>
      </w:r>
      <w:r w:rsidRPr="00583E1A">
        <w:tab/>
        <w:t>Worldwide gearing debt amount</w:t>
      </w:r>
    </w:p>
    <w:p w:rsidR="00887330" w:rsidRPr="00583E1A" w:rsidRDefault="00887330" w:rsidP="00887330">
      <w:pPr>
        <w:pStyle w:val="TofSectsSection"/>
      </w:pPr>
      <w:r w:rsidRPr="00583E1A">
        <w:t>820</w:t>
      </w:r>
      <w:r w:rsidR="00583E1A">
        <w:noBreakHyphen/>
      </w:r>
      <w:r w:rsidRPr="00583E1A">
        <w:t>115</w:t>
      </w:r>
      <w:r w:rsidRPr="00583E1A">
        <w:tab/>
        <w:t>Amount of debt deduction disallowed</w:t>
      </w:r>
    </w:p>
    <w:p w:rsidR="00887330" w:rsidRPr="00583E1A" w:rsidRDefault="00887330" w:rsidP="00887330">
      <w:pPr>
        <w:pStyle w:val="TofSectsSection"/>
      </w:pPr>
      <w:r w:rsidRPr="00583E1A">
        <w:t>820</w:t>
      </w:r>
      <w:r w:rsidR="00583E1A">
        <w:noBreakHyphen/>
      </w:r>
      <w:r w:rsidRPr="00583E1A">
        <w:t>120</w:t>
      </w:r>
      <w:r w:rsidRPr="00583E1A">
        <w:tab/>
        <w:t>Application to part year periods</w:t>
      </w:r>
    </w:p>
    <w:p w:rsidR="00887330" w:rsidRPr="00583E1A" w:rsidRDefault="00887330" w:rsidP="00887330">
      <w:pPr>
        <w:pStyle w:val="ActHead4"/>
      </w:pPr>
      <w:bookmarkStart w:id="185" w:name="_Toc338939259"/>
      <w:r w:rsidRPr="00583E1A">
        <w:t>Operative provisions</w:t>
      </w:r>
      <w:bookmarkEnd w:id="185"/>
    </w:p>
    <w:p w:rsidR="00887330" w:rsidRPr="00583E1A" w:rsidRDefault="00887330" w:rsidP="00887330">
      <w:pPr>
        <w:pStyle w:val="ActHead5"/>
      </w:pPr>
      <w:bookmarkStart w:id="186" w:name="_Toc338939260"/>
      <w:r w:rsidRPr="00583E1A">
        <w:rPr>
          <w:rStyle w:val="CharSectno"/>
        </w:rPr>
        <w:t>820</w:t>
      </w:r>
      <w:r w:rsidR="00583E1A">
        <w:rPr>
          <w:rStyle w:val="CharSectno"/>
        </w:rPr>
        <w:noBreakHyphen/>
      </w:r>
      <w:r w:rsidRPr="00583E1A">
        <w:rPr>
          <w:rStyle w:val="CharSectno"/>
        </w:rPr>
        <w:t>85</w:t>
      </w:r>
      <w:r w:rsidRPr="00583E1A">
        <w:t xml:space="preserve">  Thin capitalisation rule for outward investing entities (non</w:t>
      </w:r>
      <w:r w:rsidR="00583E1A">
        <w:noBreakHyphen/>
      </w:r>
      <w:r w:rsidRPr="00583E1A">
        <w:t>ADI)</w:t>
      </w:r>
      <w:bookmarkEnd w:id="186"/>
    </w:p>
    <w:p w:rsidR="00887330" w:rsidRPr="00583E1A" w:rsidRDefault="00887330" w:rsidP="00887330">
      <w:pPr>
        <w:pStyle w:val="SubsectionHead"/>
      </w:pPr>
      <w:r w:rsidRPr="00583E1A">
        <w:t>Thin capitalisation rule</w:t>
      </w:r>
    </w:p>
    <w:p w:rsidR="00887330" w:rsidRPr="00583E1A" w:rsidRDefault="00887330" w:rsidP="00887330">
      <w:pPr>
        <w:pStyle w:val="subsection"/>
      </w:pPr>
      <w:r w:rsidRPr="00583E1A">
        <w:tab/>
        <w:t>(1)</w:t>
      </w:r>
      <w:r w:rsidRPr="00583E1A">
        <w:tab/>
        <w:t xml:space="preserve">This subsection disallows all or a part of each </w:t>
      </w:r>
      <w:r w:rsidR="00583E1A" w:rsidRPr="00583E1A">
        <w:rPr>
          <w:position w:val="6"/>
          <w:sz w:val="16"/>
        </w:rPr>
        <w:t>*</w:t>
      </w:r>
      <w:r w:rsidRPr="00583E1A">
        <w:t xml:space="preserve">debt deduction of an entity for an income year (to the extent that it is not attributable to an </w:t>
      </w:r>
      <w:r w:rsidR="00583E1A" w:rsidRPr="00583E1A">
        <w:rPr>
          <w:position w:val="6"/>
          <w:sz w:val="16"/>
        </w:rPr>
        <w:t>*</w:t>
      </w:r>
      <w:r w:rsidRPr="00583E1A">
        <w:t>overseas permanent establishment of the entity) if, for that year:</w:t>
      </w:r>
    </w:p>
    <w:p w:rsidR="00887330" w:rsidRPr="00583E1A" w:rsidRDefault="00887330" w:rsidP="00887330">
      <w:pPr>
        <w:pStyle w:val="paragraph"/>
      </w:pPr>
      <w:r w:rsidRPr="00583E1A">
        <w:tab/>
        <w:t>(a)</w:t>
      </w:r>
      <w:r w:rsidRPr="00583E1A">
        <w:tab/>
        <w:t xml:space="preserve">the entity is an </w:t>
      </w:r>
      <w:r w:rsidR="00583E1A" w:rsidRPr="00583E1A">
        <w:rPr>
          <w:position w:val="6"/>
          <w:sz w:val="16"/>
        </w:rPr>
        <w:t>*</w:t>
      </w:r>
      <w:r w:rsidRPr="00583E1A">
        <w:t>outward investing entity (non</w:t>
      </w:r>
      <w:r w:rsidR="00583E1A">
        <w:noBreakHyphen/>
      </w:r>
      <w:r w:rsidRPr="00583E1A">
        <w:t xml:space="preserve">ADI) (see </w:t>
      </w:r>
      <w:r w:rsidR="00583E1A">
        <w:t>subsection (</w:t>
      </w:r>
      <w:r w:rsidRPr="00583E1A">
        <w:t>2)); and</w:t>
      </w:r>
    </w:p>
    <w:p w:rsidR="00887330" w:rsidRPr="00583E1A" w:rsidRDefault="00887330" w:rsidP="00887330">
      <w:pPr>
        <w:pStyle w:val="paragraph"/>
      </w:pPr>
      <w:r w:rsidRPr="00583E1A">
        <w:tab/>
        <w:t>(b)</w:t>
      </w:r>
      <w:r w:rsidRPr="00583E1A">
        <w:tab/>
        <w:t xml:space="preserve">the entity’s </w:t>
      </w:r>
      <w:r w:rsidR="00583E1A" w:rsidRPr="00583E1A">
        <w:rPr>
          <w:position w:val="6"/>
          <w:sz w:val="16"/>
        </w:rPr>
        <w:t>*</w:t>
      </w:r>
      <w:r w:rsidRPr="00583E1A">
        <w:t xml:space="preserve">adjusted average debt (see </w:t>
      </w:r>
      <w:r w:rsidR="00583E1A">
        <w:t>subsection (</w:t>
      </w:r>
      <w:r w:rsidRPr="00583E1A">
        <w:t xml:space="preserve">3)) exceeds its </w:t>
      </w:r>
      <w:r w:rsidR="00583E1A" w:rsidRPr="00583E1A">
        <w:rPr>
          <w:position w:val="6"/>
          <w:sz w:val="16"/>
        </w:rPr>
        <w:t>*</w:t>
      </w:r>
      <w:r w:rsidRPr="00583E1A">
        <w:t>maximum allowable debt (see section</w:t>
      </w:r>
      <w:r w:rsidR="00583E1A">
        <w:t> </w:t>
      </w:r>
      <w:r w:rsidRPr="00583E1A">
        <w:t>820</w:t>
      </w:r>
      <w:r w:rsidR="00583E1A">
        <w:noBreakHyphen/>
      </w:r>
      <w:r w:rsidRPr="00583E1A">
        <w:t>90).</w:t>
      </w:r>
    </w:p>
    <w:p w:rsidR="00887330" w:rsidRPr="00583E1A" w:rsidRDefault="00887330" w:rsidP="00887330">
      <w:pPr>
        <w:pStyle w:val="notetext"/>
      </w:pPr>
      <w:r w:rsidRPr="00583E1A">
        <w:t>Note 1:</w:t>
      </w:r>
      <w:r w:rsidRPr="00583E1A">
        <w:tab/>
        <w:t>This Subdivision does not apply if the total debt deductions of that entity and all its associate entities for that year are $250,000 or less, see section</w:t>
      </w:r>
      <w:r w:rsidR="00583E1A">
        <w:t> </w:t>
      </w:r>
      <w:r w:rsidRPr="00583E1A">
        <w:t>820</w:t>
      </w:r>
      <w:r w:rsidR="00583E1A">
        <w:noBreakHyphen/>
      </w:r>
      <w:r w:rsidRPr="00583E1A">
        <w:t>35.</w:t>
      </w:r>
    </w:p>
    <w:p w:rsidR="00887330" w:rsidRPr="00583E1A" w:rsidRDefault="00887330" w:rsidP="00887330">
      <w:pPr>
        <w:pStyle w:val="notetext"/>
      </w:pPr>
      <w:r w:rsidRPr="00583E1A">
        <w:t>Note 2:</w:t>
      </w:r>
      <w:r w:rsidRPr="00583E1A">
        <w:tab/>
        <w:t>To work out the amount to be disallowed, see section</w:t>
      </w:r>
      <w:r w:rsidR="00583E1A">
        <w:t> </w:t>
      </w:r>
      <w:r w:rsidRPr="00583E1A">
        <w:t>820</w:t>
      </w:r>
      <w:r w:rsidR="00583E1A">
        <w:noBreakHyphen/>
      </w:r>
      <w:r w:rsidRPr="00583E1A">
        <w:t>115.</w:t>
      </w:r>
    </w:p>
    <w:p w:rsidR="00887330" w:rsidRPr="00583E1A" w:rsidRDefault="00887330" w:rsidP="00887330">
      <w:pPr>
        <w:pStyle w:val="notetext"/>
      </w:pPr>
      <w:r w:rsidRPr="00583E1A">
        <w:t>Note 3:</w:t>
      </w:r>
      <w:r w:rsidRPr="00583E1A">
        <w:tab/>
        <w:t>For the rules that apply to an entity that is an outward investing entity (non</w:t>
      </w:r>
      <w:r w:rsidR="00583E1A">
        <w:noBreakHyphen/>
      </w:r>
      <w:r w:rsidRPr="00583E1A">
        <w:t>ADI) for only a part of an income year, see section</w:t>
      </w:r>
      <w:r w:rsidR="00583E1A">
        <w:t> </w:t>
      </w:r>
      <w:r w:rsidRPr="00583E1A">
        <w:t>820</w:t>
      </w:r>
      <w:r w:rsidR="00583E1A">
        <w:noBreakHyphen/>
      </w:r>
      <w:r w:rsidRPr="00583E1A">
        <w:t xml:space="preserve">120 in conjunction with </w:t>
      </w:r>
      <w:r w:rsidR="00583E1A">
        <w:t>subsection (</w:t>
      </w:r>
      <w:r w:rsidRPr="00583E1A">
        <w:t>2) of this section.</w:t>
      </w:r>
    </w:p>
    <w:p w:rsidR="001D5EDB" w:rsidRPr="00583E1A" w:rsidRDefault="001D5EDB" w:rsidP="001D5EDB">
      <w:pPr>
        <w:pStyle w:val="notetext"/>
      </w:pPr>
      <w:r w:rsidRPr="00583E1A">
        <w:lastRenderedPageBreak/>
        <w:t>Note 4:</w:t>
      </w:r>
      <w:r w:rsidRPr="00583E1A">
        <w:tab/>
        <w:t>A consolidated group or MEC group may be an outward investing entity (non</w:t>
      </w:r>
      <w:r w:rsidR="00583E1A">
        <w:noBreakHyphen/>
      </w:r>
      <w:r w:rsidRPr="00583E1A">
        <w:t>ADI) to which this Subdivision applies: see Subdivisions</w:t>
      </w:r>
      <w:r w:rsidR="00583E1A">
        <w:t> </w:t>
      </w:r>
      <w:r w:rsidRPr="00583E1A">
        <w:t>820</w:t>
      </w:r>
      <w:r w:rsidR="00583E1A">
        <w:noBreakHyphen/>
      </w:r>
      <w:r w:rsidRPr="00583E1A">
        <w:t>FA and 820</w:t>
      </w:r>
      <w:r w:rsidR="00583E1A">
        <w:noBreakHyphen/>
      </w:r>
      <w:r w:rsidRPr="00583E1A">
        <w:t>FB.</w:t>
      </w:r>
    </w:p>
    <w:p w:rsidR="00887330" w:rsidRPr="00583E1A" w:rsidRDefault="00887330" w:rsidP="00887330">
      <w:pPr>
        <w:pStyle w:val="SubsectionHead"/>
      </w:pPr>
      <w:r w:rsidRPr="00583E1A">
        <w:t>Outward investing entity (non</w:t>
      </w:r>
      <w:r w:rsidR="00583E1A">
        <w:noBreakHyphen/>
      </w:r>
      <w:r w:rsidRPr="00583E1A">
        <w:t>ADI)</w:t>
      </w:r>
    </w:p>
    <w:p w:rsidR="00887330" w:rsidRPr="00583E1A" w:rsidRDefault="00887330" w:rsidP="00887330">
      <w:pPr>
        <w:pStyle w:val="subsection"/>
      </w:pPr>
      <w:r w:rsidRPr="00583E1A">
        <w:tab/>
        <w:t>(2)</w:t>
      </w:r>
      <w:r w:rsidRPr="00583E1A">
        <w:tab/>
        <w:t xml:space="preserve">The entity is an </w:t>
      </w:r>
      <w:r w:rsidRPr="00583E1A">
        <w:rPr>
          <w:b/>
          <w:i/>
        </w:rPr>
        <w:t>outward investing entity (non</w:t>
      </w:r>
      <w:r w:rsidR="00583E1A">
        <w:rPr>
          <w:b/>
          <w:i/>
        </w:rPr>
        <w:noBreakHyphen/>
      </w:r>
      <w:r w:rsidRPr="00583E1A">
        <w:rPr>
          <w:b/>
          <w:i/>
        </w:rPr>
        <w:t xml:space="preserve">ADI) </w:t>
      </w:r>
      <w:r w:rsidRPr="00583E1A">
        <w:t>for a period that is all or a part of an income year if, and only if, it is:</w:t>
      </w:r>
    </w:p>
    <w:p w:rsidR="00887330" w:rsidRPr="00583E1A" w:rsidRDefault="00887330" w:rsidP="00887330">
      <w:pPr>
        <w:pStyle w:val="paragraph"/>
      </w:pPr>
      <w:r w:rsidRPr="00583E1A">
        <w:tab/>
        <w:t>(a)</w:t>
      </w:r>
      <w:r w:rsidRPr="00583E1A">
        <w:tab/>
        <w:t xml:space="preserve">an </w:t>
      </w:r>
      <w:r w:rsidR="00583E1A" w:rsidRPr="00583E1A">
        <w:rPr>
          <w:position w:val="6"/>
          <w:sz w:val="16"/>
        </w:rPr>
        <w:t>*</w:t>
      </w:r>
      <w:r w:rsidRPr="00583E1A">
        <w:t>outward investor (general) for that period (as set out in items</w:t>
      </w:r>
      <w:r w:rsidR="00583E1A">
        <w:t> </w:t>
      </w:r>
      <w:r w:rsidRPr="00583E1A">
        <w:t>1 and 3 of the following table); or</w:t>
      </w:r>
    </w:p>
    <w:p w:rsidR="00887330" w:rsidRPr="00583E1A" w:rsidRDefault="00887330" w:rsidP="00887330">
      <w:pPr>
        <w:pStyle w:val="paragraph"/>
      </w:pPr>
      <w:r w:rsidRPr="00583E1A">
        <w:tab/>
        <w:t>(b)</w:t>
      </w:r>
      <w:r w:rsidRPr="00583E1A">
        <w:tab/>
        <w:t xml:space="preserve">an </w:t>
      </w:r>
      <w:r w:rsidR="00583E1A" w:rsidRPr="00583E1A">
        <w:rPr>
          <w:position w:val="6"/>
          <w:sz w:val="16"/>
        </w:rPr>
        <w:t>*</w:t>
      </w:r>
      <w:r w:rsidRPr="00583E1A">
        <w:t>outward investor (financial) for that period (as set out in items</w:t>
      </w:r>
      <w:r w:rsidR="00583E1A">
        <w:t> </w:t>
      </w:r>
      <w:r w:rsidRPr="00583E1A">
        <w:t>2 and 4 of that table).</w:t>
      </w:r>
    </w:p>
    <w:p w:rsidR="00887330" w:rsidRPr="00583E1A" w:rsidRDefault="00887330" w:rsidP="00887330">
      <w:pPr>
        <w:pStyle w:val="Table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708"/>
        <w:gridCol w:w="3402"/>
        <w:gridCol w:w="1417"/>
        <w:gridCol w:w="1418"/>
      </w:tblGrid>
      <w:tr w:rsidR="00887330" w:rsidRPr="00583E1A">
        <w:trPr>
          <w:cantSplit/>
          <w:tblHeader/>
        </w:trPr>
        <w:tc>
          <w:tcPr>
            <w:tcW w:w="6945" w:type="dxa"/>
            <w:gridSpan w:val="4"/>
            <w:tcBorders>
              <w:top w:val="single" w:sz="12" w:space="0" w:color="auto"/>
              <w:left w:val="nil"/>
              <w:bottom w:val="nil"/>
              <w:right w:val="nil"/>
            </w:tcBorders>
          </w:tcPr>
          <w:p w:rsidR="00887330" w:rsidRPr="00583E1A" w:rsidRDefault="00887330" w:rsidP="00887330">
            <w:pPr>
              <w:pStyle w:val="Tabletext"/>
            </w:pPr>
            <w:r w:rsidRPr="00583E1A">
              <w:rPr>
                <w:b/>
              </w:rPr>
              <w:t>Outward investing entity (non</w:t>
            </w:r>
            <w:r w:rsidR="00583E1A">
              <w:rPr>
                <w:b/>
              </w:rPr>
              <w:noBreakHyphen/>
            </w:r>
            <w:r w:rsidRPr="00583E1A">
              <w:rPr>
                <w:b/>
              </w:rPr>
              <w:t>ADI)</w:t>
            </w:r>
          </w:p>
        </w:tc>
      </w:tr>
      <w:tr w:rsidR="00887330" w:rsidRPr="00583E1A">
        <w:trPr>
          <w:cantSplit/>
          <w:tblHeader/>
        </w:trPr>
        <w:tc>
          <w:tcPr>
            <w:tcW w:w="708" w:type="dxa"/>
            <w:tcBorders>
              <w:top w:val="single" w:sz="6" w:space="0" w:color="auto"/>
              <w:left w:val="nil"/>
              <w:bottom w:val="single" w:sz="12" w:space="0" w:color="auto"/>
              <w:right w:val="nil"/>
            </w:tcBorders>
          </w:tcPr>
          <w:p w:rsidR="00887330" w:rsidRPr="00583E1A" w:rsidRDefault="00887330" w:rsidP="00887330">
            <w:pPr>
              <w:pStyle w:val="Tabletext"/>
            </w:pPr>
            <w:r w:rsidRPr="00583E1A">
              <w:rPr>
                <w:b/>
              </w:rPr>
              <w:t>Item</w:t>
            </w:r>
          </w:p>
        </w:tc>
        <w:tc>
          <w:tcPr>
            <w:tcW w:w="3402" w:type="dxa"/>
            <w:tcBorders>
              <w:top w:val="single" w:sz="6" w:space="0" w:color="auto"/>
              <w:left w:val="nil"/>
              <w:bottom w:val="single" w:sz="12" w:space="0" w:color="auto"/>
              <w:right w:val="nil"/>
            </w:tcBorders>
          </w:tcPr>
          <w:p w:rsidR="00887330" w:rsidRPr="00583E1A" w:rsidRDefault="00887330" w:rsidP="00887330">
            <w:pPr>
              <w:pStyle w:val="Tabletext"/>
            </w:pPr>
            <w:r w:rsidRPr="00583E1A">
              <w:rPr>
                <w:b/>
              </w:rPr>
              <w:t>If:</w:t>
            </w:r>
          </w:p>
        </w:tc>
        <w:tc>
          <w:tcPr>
            <w:tcW w:w="1417" w:type="dxa"/>
            <w:tcBorders>
              <w:top w:val="single" w:sz="6" w:space="0" w:color="auto"/>
              <w:left w:val="nil"/>
              <w:bottom w:val="single" w:sz="12" w:space="0" w:color="auto"/>
              <w:right w:val="nil"/>
            </w:tcBorders>
          </w:tcPr>
          <w:p w:rsidR="00887330" w:rsidRPr="00583E1A" w:rsidRDefault="00887330" w:rsidP="00887330">
            <w:pPr>
              <w:pStyle w:val="Tabletext"/>
            </w:pPr>
            <w:r w:rsidRPr="00583E1A">
              <w:rPr>
                <w:b/>
              </w:rPr>
              <w:t>and:</w:t>
            </w:r>
          </w:p>
        </w:tc>
        <w:tc>
          <w:tcPr>
            <w:tcW w:w="1418" w:type="dxa"/>
            <w:tcBorders>
              <w:top w:val="single" w:sz="6" w:space="0" w:color="auto"/>
              <w:left w:val="nil"/>
              <w:bottom w:val="single" w:sz="12" w:space="0" w:color="auto"/>
              <w:right w:val="nil"/>
            </w:tcBorders>
          </w:tcPr>
          <w:p w:rsidR="00887330" w:rsidRPr="00583E1A" w:rsidRDefault="00887330" w:rsidP="00887330">
            <w:pPr>
              <w:pStyle w:val="Tabletext"/>
            </w:pPr>
            <w:r w:rsidRPr="00583E1A">
              <w:rPr>
                <w:b/>
              </w:rPr>
              <w:t>then:</w:t>
            </w:r>
          </w:p>
        </w:tc>
      </w:tr>
      <w:tr w:rsidR="00887330" w:rsidRPr="00583E1A">
        <w:trPr>
          <w:cantSplit/>
        </w:trPr>
        <w:tc>
          <w:tcPr>
            <w:tcW w:w="708" w:type="dxa"/>
            <w:tcBorders>
              <w:top w:val="single" w:sz="12" w:space="0" w:color="auto"/>
              <w:left w:val="nil"/>
              <w:bottom w:val="single" w:sz="2" w:space="0" w:color="auto"/>
              <w:right w:val="nil"/>
            </w:tcBorders>
            <w:shd w:val="clear" w:color="auto" w:fill="auto"/>
          </w:tcPr>
          <w:p w:rsidR="00887330" w:rsidRPr="00583E1A" w:rsidRDefault="00887330" w:rsidP="00887330">
            <w:pPr>
              <w:pStyle w:val="Tabletext"/>
            </w:pPr>
            <w:r w:rsidRPr="00583E1A">
              <w:t>1</w:t>
            </w:r>
          </w:p>
        </w:tc>
        <w:tc>
          <w:tcPr>
            <w:tcW w:w="3402" w:type="dxa"/>
            <w:tcBorders>
              <w:top w:val="single" w:sz="12" w:space="0" w:color="auto"/>
              <w:left w:val="nil"/>
              <w:bottom w:val="single" w:sz="2" w:space="0" w:color="auto"/>
              <w:right w:val="nil"/>
            </w:tcBorders>
            <w:shd w:val="clear" w:color="auto" w:fill="auto"/>
          </w:tcPr>
          <w:p w:rsidR="00887330" w:rsidRPr="00583E1A" w:rsidRDefault="00887330" w:rsidP="00887330">
            <w:pPr>
              <w:pStyle w:val="Tabletext"/>
            </w:pPr>
            <w:r w:rsidRPr="00583E1A">
              <w:t>the entity (the</w:t>
            </w:r>
            <w:r w:rsidRPr="00583E1A">
              <w:rPr>
                <w:i/>
              </w:rPr>
              <w:t xml:space="preserve"> </w:t>
            </w:r>
            <w:r w:rsidRPr="00583E1A">
              <w:rPr>
                <w:b/>
                <w:i/>
              </w:rPr>
              <w:t>relevant entity</w:t>
            </w:r>
            <w:r w:rsidRPr="00583E1A">
              <w:t>) is one or both of the following throughout a period that is all or a part of an income year:</w:t>
            </w:r>
          </w:p>
          <w:p w:rsidR="00887330" w:rsidRPr="00583E1A" w:rsidRDefault="00887330" w:rsidP="00887330">
            <w:pPr>
              <w:pStyle w:val="Tablea"/>
            </w:pPr>
            <w:r w:rsidRPr="00583E1A">
              <w:t xml:space="preserve">(a) an </w:t>
            </w:r>
            <w:r w:rsidR="00583E1A" w:rsidRPr="00583E1A">
              <w:rPr>
                <w:position w:val="6"/>
                <w:sz w:val="16"/>
              </w:rPr>
              <w:t>*</w:t>
            </w:r>
            <w:r w:rsidRPr="00583E1A">
              <w:t xml:space="preserve">Australian controller of at least one </w:t>
            </w:r>
            <w:r w:rsidR="00583E1A" w:rsidRPr="00583E1A">
              <w:rPr>
                <w:position w:val="6"/>
                <w:sz w:val="16"/>
              </w:rPr>
              <w:t>*</w:t>
            </w:r>
            <w:r w:rsidRPr="00583E1A">
              <w:t>Australian controlled foreign entity (not necessarily the same Australian controlled foreign entity throughout that period);</w:t>
            </w:r>
          </w:p>
          <w:p w:rsidR="00887330" w:rsidRPr="00583E1A" w:rsidRDefault="00887330" w:rsidP="00887330">
            <w:pPr>
              <w:pStyle w:val="Tablea"/>
            </w:pPr>
            <w:r w:rsidRPr="00583E1A">
              <w:t xml:space="preserve">(b) an Australian entity that carries on a </w:t>
            </w:r>
            <w:r w:rsidR="00583E1A" w:rsidRPr="00583E1A">
              <w:rPr>
                <w:position w:val="6"/>
                <w:sz w:val="16"/>
              </w:rPr>
              <w:t>*</w:t>
            </w:r>
            <w:r w:rsidRPr="00583E1A">
              <w:t xml:space="preserve">business at or through at least one </w:t>
            </w:r>
            <w:r w:rsidR="00583E1A" w:rsidRPr="00583E1A">
              <w:rPr>
                <w:position w:val="6"/>
                <w:sz w:val="16"/>
              </w:rPr>
              <w:t>*</w:t>
            </w:r>
            <w:r w:rsidRPr="00583E1A">
              <w:t>overseas permanent establishment (not necessarily the same permanent establishment throughout that period)</w:t>
            </w:r>
          </w:p>
        </w:tc>
        <w:tc>
          <w:tcPr>
            <w:tcW w:w="1417" w:type="dxa"/>
            <w:tcBorders>
              <w:top w:val="single" w:sz="12" w:space="0" w:color="auto"/>
              <w:left w:val="nil"/>
              <w:bottom w:val="single" w:sz="2" w:space="0" w:color="auto"/>
              <w:right w:val="nil"/>
            </w:tcBorders>
            <w:shd w:val="clear" w:color="auto" w:fill="auto"/>
          </w:tcPr>
          <w:p w:rsidR="00887330" w:rsidRPr="00583E1A" w:rsidRDefault="00887330" w:rsidP="00887330">
            <w:pPr>
              <w:pStyle w:val="Tabletext"/>
            </w:pPr>
            <w:r w:rsidRPr="00583E1A">
              <w:t xml:space="preserve">the relevant entity is not a </w:t>
            </w:r>
            <w:r w:rsidR="00583E1A" w:rsidRPr="00583E1A">
              <w:rPr>
                <w:position w:val="6"/>
                <w:sz w:val="16"/>
              </w:rPr>
              <w:t>*</w:t>
            </w:r>
            <w:r w:rsidRPr="00583E1A">
              <w:t xml:space="preserve">financial entity, nor an </w:t>
            </w:r>
            <w:r w:rsidR="00583E1A" w:rsidRPr="00583E1A">
              <w:rPr>
                <w:position w:val="6"/>
                <w:sz w:val="16"/>
              </w:rPr>
              <w:t>*</w:t>
            </w:r>
            <w:r w:rsidRPr="00583E1A">
              <w:t>ADI, at any time during that period</w:t>
            </w:r>
          </w:p>
        </w:tc>
        <w:tc>
          <w:tcPr>
            <w:tcW w:w="1418" w:type="dxa"/>
            <w:tcBorders>
              <w:top w:val="single" w:sz="12" w:space="0" w:color="auto"/>
              <w:left w:val="nil"/>
              <w:bottom w:val="single" w:sz="2" w:space="0" w:color="auto"/>
              <w:right w:val="nil"/>
            </w:tcBorders>
            <w:shd w:val="clear" w:color="auto" w:fill="auto"/>
          </w:tcPr>
          <w:p w:rsidR="00887330" w:rsidRPr="00583E1A" w:rsidRDefault="00887330" w:rsidP="00887330">
            <w:pPr>
              <w:pStyle w:val="Tabletext"/>
            </w:pPr>
            <w:r w:rsidRPr="00583E1A">
              <w:t xml:space="preserve">the relevant entity is an </w:t>
            </w:r>
            <w:r w:rsidRPr="00583E1A">
              <w:rPr>
                <w:b/>
                <w:i/>
              </w:rPr>
              <w:t>outward investor (general)</w:t>
            </w:r>
            <w:r w:rsidRPr="00583E1A">
              <w:t xml:space="preserve"> for that period</w:t>
            </w:r>
          </w:p>
        </w:tc>
      </w:tr>
      <w:tr w:rsidR="00887330" w:rsidRPr="00583E1A">
        <w:trPr>
          <w:cantSplit/>
        </w:trPr>
        <w:tc>
          <w:tcPr>
            <w:tcW w:w="708" w:type="dxa"/>
            <w:tcBorders>
              <w:top w:val="single" w:sz="2" w:space="0" w:color="auto"/>
              <w:left w:val="nil"/>
              <w:bottom w:val="single" w:sz="2" w:space="0" w:color="auto"/>
              <w:right w:val="nil"/>
            </w:tcBorders>
            <w:shd w:val="clear" w:color="auto" w:fill="auto"/>
          </w:tcPr>
          <w:p w:rsidR="00887330" w:rsidRPr="00583E1A" w:rsidRDefault="00887330" w:rsidP="00887330">
            <w:pPr>
              <w:pStyle w:val="Tabletext"/>
            </w:pPr>
            <w:r w:rsidRPr="00583E1A">
              <w:t>2</w:t>
            </w:r>
          </w:p>
        </w:tc>
        <w:tc>
          <w:tcPr>
            <w:tcW w:w="3402" w:type="dxa"/>
            <w:tcBorders>
              <w:top w:val="single" w:sz="2" w:space="0" w:color="auto"/>
              <w:left w:val="nil"/>
              <w:bottom w:val="single" w:sz="2" w:space="0" w:color="auto"/>
              <w:right w:val="nil"/>
            </w:tcBorders>
            <w:shd w:val="clear" w:color="auto" w:fill="auto"/>
          </w:tcPr>
          <w:p w:rsidR="00887330" w:rsidRPr="00583E1A" w:rsidRDefault="00887330" w:rsidP="00887330">
            <w:pPr>
              <w:pStyle w:val="Tabletext"/>
            </w:pPr>
            <w:r w:rsidRPr="00583E1A">
              <w:t>the entity (the</w:t>
            </w:r>
            <w:r w:rsidRPr="00583E1A">
              <w:rPr>
                <w:i/>
              </w:rPr>
              <w:t xml:space="preserve"> </w:t>
            </w:r>
            <w:r w:rsidRPr="00583E1A">
              <w:rPr>
                <w:b/>
                <w:i/>
              </w:rPr>
              <w:t>relevant entity</w:t>
            </w:r>
            <w:r w:rsidRPr="00583E1A">
              <w:t>) satisfies this column in item</w:t>
            </w:r>
            <w:r w:rsidR="00583E1A">
              <w:t> </w:t>
            </w:r>
            <w:r w:rsidRPr="00583E1A">
              <w:t>1</w:t>
            </w:r>
          </w:p>
        </w:tc>
        <w:tc>
          <w:tcPr>
            <w:tcW w:w="1417" w:type="dxa"/>
            <w:tcBorders>
              <w:top w:val="single" w:sz="2" w:space="0" w:color="auto"/>
              <w:left w:val="nil"/>
              <w:bottom w:val="single" w:sz="2" w:space="0" w:color="auto"/>
              <w:right w:val="nil"/>
            </w:tcBorders>
            <w:shd w:val="clear" w:color="auto" w:fill="auto"/>
          </w:tcPr>
          <w:p w:rsidR="00887330" w:rsidRPr="00583E1A" w:rsidRDefault="00887330" w:rsidP="00887330">
            <w:pPr>
              <w:pStyle w:val="Tabletext"/>
            </w:pPr>
            <w:r w:rsidRPr="00583E1A">
              <w:t xml:space="preserve">the relevant entity is a </w:t>
            </w:r>
            <w:r w:rsidR="00583E1A" w:rsidRPr="00583E1A">
              <w:rPr>
                <w:position w:val="6"/>
                <w:sz w:val="16"/>
              </w:rPr>
              <w:t>*</w:t>
            </w:r>
            <w:r w:rsidRPr="00583E1A">
              <w:t>financial entity throughout that period</w:t>
            </w:r>
          </w:p>
        </w:tc>
        <w:tc>
          <w:tcPr>
            <w:tcW w:w="1418" w:type="dxa"/>
            <w:tcBorders>
              <w:top w:val="single" w:sz="2" w:space="0" w:color="auto"/>
              <w:left w:val="nil"/>
              <w:bottom w:val="single" w:sz="2" w:space="0" w:color="auto"/>
              <w:right w:val="nil"/>
            </w:tcBorders>
            <w:shd w:val="clear" w:color="auto" w:fill="auto"/>
          </w:tcPr>
          <w:p w:rsidR="00887330" w:rsidRPr="00583E1A" w:rsidRDefault="00887330" w:rsidP="00887330">
            <w:pPr>
              <w:pStyle w:val="Tabletext"/>
            </w:pPr>
            <w:r w:rsidRPr="00583E1A">
              <w:t xml:space="preserve">the relevant entity is an </w:t>
            </w:r>
            <w:r w:rsidRPr="00583E1A">
              <w:rPr>
                <w:b/>
                <w:i/>
              </w:rPr>
              <w:t>outward investor (financial)</w:t>
            </w:r>
            <w:r w:rsidRPr="00583E1A">
              <w:t xml:space="preserve"> for that period</w:t>
            </w:r>
          </w:p>
        </w:tc>
      </w:tr>
      <w:tr w:rsidR="00887330" w:rsidRPr="00583E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 w:type="dxa"/>
            <w:tcBorders>
              <w:top w:val="single" w:sz="2" w:space="0" w:color="auto"/>
              <w:bottom w:val="single" w:sz="2" w:space="0" w:color="auto"/>
            </w:tcBorders>
            <w:shd w:val="clear" w:color="auto" w:fill="auto"/>
          </w:tcPr>
          <w:p w:rsidR="00887330" w:rsidRPr="00583E1A" w:rsidRDefault="00887330" w:rsidP="00887330">
            <w:pPr>
              <w:pStyle w:val="Tabletext"/>
            </w:pPr>
            <w:r w:rsidRPr="00583E1A">
              <w:lastRenderedPageBreak/>
              <w:t>3</w:t>
            </w:r>
          </w:p>
        </w:tc>
        <w:tc>
          <w:tcPr>
            <w:tcW w:w="3402" w:type="dxa"/>
            <w:tcBorders>
              <w:top w:val="single" w:sz="2" w:space="0" w:color="auto"/>
              <w:bottom w:val="single" w:sz="2" w:space="0" w:color="auto"/>
            </w:tcBorders>
            <w:shd w:val="clear" w:color="auto" w:fill="auto"/>
          </w:tcPr>
          <w:p w:rsidR="00887330" w:rsidRPr="00583E1A" w:rsidRDefault="00887330" w:rsidP="00887330">
            <w:pPr>
              <w:pStyle w:val="Tablea"/>
            </w:pPr>
            <w:r w:rsidRPr="00583E1A">
              <w:t>(a) the entity (the</w:t>
            </w:r>
            <w:r w:rsidRPr="00583E1A">
              <w:rPr>
                <w:i/>
              </w:rPr>
              <w:t xml:space="preserve"> </w:t>
            </w:r>
            <w:r w:rsidRPr="00583E1A">
              <w:rPr>
                <w:b/>
                <w:i/>
              </w:rPr>
              <w:t>relevant entity</w:t>
            </w:r>
            <w:r w:rsidRPr="00583E1A">
              <w:t xml:space="preserve">) is an </w:t>
            </w:r>
            <w:r w:rsidR="00583E1A" w:rsidRPr="00583E1A">
              <w:rPr>
                <w:position w:val="6"/>
                <w:sz w:val="16"/>
              </w:rPr>
              <w:t>*</w:t>
            </w:r>
            <w:r w:rsidRPr="00583E1A">
              <w:t>Australian entity throughout a period that is all or a part of an income year; and</w:t>
            </w:r>
          </w:p>
          <w:p w:rsidR="00887330" w:rsidRPr="00583E1A" w:rsidRDefault="00887330" w:rsidP="00887330">
            <w:pPr>
              <w:pStyle w:val="Tablea"/>
            </w:pPr>
            <w:r w:rsidRPr="00583E1A">
              <w:t xml:space="preserve">(b) throughout that period, the relevant entity is an </w:t>
            </w:r>
            <w:r w:rsidR="00583E1A" w:rsidRPr="00583E1A">
              <w:rPr>
                <w:position w:val="6"/>
                <w:sz w:val="16"/>
              </w:rPr>
              <w:t>*</w:t>
            </w:r>
            <w:r w:rsidRPr="00583E1A">
              <w:t>associate entity of another Australian entity; and</w:t>
            </w:r>
          </w:p>
          <w:p w:rsidR="00887330" w:rsidRPr="00583E1A" w:rsidRDefault="00887330" w:rsidP="00887330">
            <w:pPr>
              <w:pStyle w:val="Tablea"/>
            </w:pPr>
            <w:r w:rsidRPr="00583E1A">
              <w:t xml:space="preserve">(c) that other Australian entity is an </w:t>
            </w:r>
            <w:r w:rsidR="00583E1A" w:rsidRPr="00583E1A">
              <w:rPr>
                <w:position w:val="6"/>
                <w:sz w:val="16"/>
              </w:rPr>
              <w:t>*</w:t>
            </w:r>
            <w:r w:rsidRPr="00583E1A">
              <w:t>outward investing entity (non</w:t>
            </w:r>
            <w:r w:rsidR="00583E1A">
              <w:noBreakHyphen/>
            </w:r>
            <w:r w:rsidRPr="00583E1A">
              <w:t xml:space="preserve">ADI) or an </w:t>
            </w:r>
            <w:r w:rsidR="00583E1A" w:rsidRPr="00583E1A">
              <w:rPr>
                <w:position w:val="6"/>
                <w:sz w:val="16"/>
              </w:rPr>
              <w:t>*</w:t>
            </w:r>
            <w:r w:rsidRPr="00583E1A">
              <w:t>outward investing entity (ADI) for that period</w:t>
            </w:r>
          </w:p>
        </w:tc>
        <w:tc>
          <w:tcPr>
            <w:tcW w:w="1417" w:type="dxa"/>
            <w:tcBorders>
              <w:top w:val="single" w:sz="2" w:space="0" w:color="auto"/>
              <w:bottom w:val="single" w:sz="2" w:space="0" w:color="auto"/>
            </w:tcBorders>
            <w:shd w:val="clear" w:color="auto" w:fill="auto"/>
          </w:tcPr>
          <w:p w:rsidR="00887330" w:rsidRPr="00583E1A" w:rsidRDefault="00887330" w:rsidP="00887330">
            <w:pPr>
              <w:pStyle w:val="Tabletext"/>
            </w:pPr>
            <w:r w:rsidRPr="00583E1A">
              <w:t xml:space="preserve">the relevant entity is not a </w:t>
            </w:r>
            <w:r w:rsidR="00583E1A" w:rsidRPr="00583E1A">
              <w:rPr>
                <w:position w:val="6"/>
                <w:sz w:val="16"/>
              </w:rPr>
              <w:t>*</w:t>
            </w:r>
            <w:r w:rsidRPr="00583E1A">
              <w:t xml:space="preserve">financial entity, nor an </w:t>
            </w:r>
            <w:r w:rsidR="00583E1A" w:rsidRPr="00583E1A">
              <w:rPr>
                <w:position w:val="6"/>
                <w:sz w:val="16"/>
              </w:rPr>
              <w:t>*</w:t>
            </w:r>
            <w:r w:rsidRPr="00583E1A">
              <w:t>ADI, at any time during that period</w:t>
            </w:r>
          </w:p>
        </w:tc>
        <w:tc>
          <w:tcPr>
            <w:tcW w:w="1418" w:type="dxa"/>
            <w:tcBorders>
              <w:top w:val="single" w:sz="2" w:space="0" w:color="auto"/>
              <w:bottom w:val="single" w:sz="2" w:space="0" w:color="auto"/>
            </w:tcBorders>
            <w:shd w:val="clear" w:color="auto" w:fill="auto"/>
          </w:tcPr>
          <w:p w:rsidR="00887330" w:rsidRPr="00583E1A" w:rsidRDefault="00887330" w:rsidP="00887330">
            <w:pPr>
              <w:pStyle w:val="Tabletext"/>
            </w:pPr>
            <w:r w:rsidRPr="00583E1A">
              <w:t xml:space="preserve">the relevant entity is an </w:t>
            </w:r>
            <w:r w:rsidRPr="00583E1A">
              <w:rPr>
                <w:b/>
                <w:i/>
              </w:rPr>
              <w:t>outward investor (general)</w:t>
            </w:r>
            <w:r w:rsidRPr="00583E1A">
              <w:t xml:space="preserve"> for that period</w:t>
            </w:r>
          </w:p>
        </w:tc>
      </w:tr>
      <w:tr w:rsidR="00887330" w:rsidRPr="00583E1A">
        <w:trPr>
          <w:cantSplit/>
        </w:trPr>
        <w:tc>
          <w:tcPr>
            <w:tcW w:w="708" w:type="dxa"/>
            <w:tcBorders>
              <w:top w:val="single" w:sz="2" w:space="0" w:color="auto"/>
              <w:left w:val="nil"/>
              <w:bottom w:val="single" w:sz="12" w:space="0" w:color="auto"/>
              <w:right w:val="nil"/>
            </w:tcBorders>
          </w:tcPr>
          <w:p w:rsidR="00887330" w:rsidRPr="00583E1A" w:rsidRDefault="00887330" w:rsidP="00887330">
            <w:pPr>
              <w:pStyle w:val="Tabletext"/>
            </w:pPr>
            <w:r w:rsidRPr="00583E1A">
              <w:t>4</w:t>
            </w:r>
          </w:p>
        </w:tc>
        <w:tc>
          <w:tcPr>
            <w:tcW w:w="3402" w:type="dxa"/>
            <w:tcBorders>
              <w:top w:val="single" w:sz="2" w:space="0" w:color="auto"/>
              <w:left w:val="nil"/>
              <w:bottom w:val="single" w:sz="12" w:space="0" w:color="auto"/>
              <w:right w:val="nil"/>
            </w:tcBorders>
          </w:tcPr>
          <w:p w:rsidR="00887330" w:rsidRPr="00583E1A" w:rsidRDefault="00887330" w:rsidP="00887330">
            <w:pPr>
              <w:pStyle w:val="Tabletext"/>
            </w:pPr>
            <w:r w:rsidRPr="00583E1A">
              <w:t>the entity (the</w:t>
            </w:r>
            <w:r w:rsidRPr="00583E1A">
              <w:rPr>
                <w:i/>
              </w:rPr>
              <w:t xml:space="preserve"> </w:t>
            </w:r>
            <w:r w:rsidRPr="00583E1A">
              <w:rPr>
                <w:b/>
                <w:i/>
              </w:rPr>
              <w:t>relevant entity</w:t>
            </w:r>
            <w:r w:rsidRPr="00583E1A">
              <w:t>) and another Australian entity satisfy this column in item</w:t>
            </w:r>
            <w:r w:rsidR="00583E1A">
              <w:t> </w:t>
            </w:r>
            <w:r w:rsidRPr="00583E1A">
              <w:t>3</w:t>
            </w:r>
          </w:p>
        </w:tc>
        <w:tc>
          <w:tcPr>
            <w:tcW w:w="1417" w:type="dxa"/>
            <w:tcBorders>
              <w:top w:val="single" w:sz="2" w:space="0" w:color="auto"/>
              <w:left w:val="nil"/>
              <w:bottom w:val="single" w:sz="12" w:space="0" w:color="auto"/>
              <w:right w:val="nil"/>
            </w:tcBorders>
          </w:tcPr>
          <w:p w:rsidR="00887330" w:rsidRPr="00583E1A" w:rsidRDefault="00887330" w:rsidP="00887330">
            <w:pPr>
              <w:pStyle w:val="Tabletext"/>
            </w:pPr>
            <w:r w:rsidRPr="00583E1A">
              <w:t xml:space="preserve">the relevant entity is a </w:t>
            </w:r>
            <w:r w:rsidR="00583E1A" w:rsidRPr="00583E1A">
              <w:rPr>
                <w:position w:val="6"/>
                <w:sz w:val="16"/>
              </w:rPr>
              <w:t>*</w:t>
            </w:r>
            <w:r w:rsidRPr="00583E1A">
              <w:t>financial entity throughout that period</w:t>
            </w:r>
          </w:p>
        </w:tc>
        <w:tc>
          <w:tcPr>
            <w:tcW w:w="1418" w:type="dxa"/>
            <w:tcBorders>
              <w:top w:val="single" w:sz="2" w:space="0" w:color="auto"/>
              <w:left w:val="nil"/>
              <w:bottom w:val="single" w:sz="12" w:space="0" w:color="auto"/>
              <w:right w:val="nil"/>
            </w:tcBorders>
          </w:tcPr>
          <w:p w:rsidR="00887330" w:rsidRPr="00583E1A" w:rsidRDefault="00887330" w:rsidP="00887330">
            <w:pPr>
              <w:pStyle w:val="Tabletext"/>
            </w:pPr>
            <w:r w:rsidRPr="00583E1A">
              <w:t xml:space="preserve">the relevant entity is an </w:t>
            </w:r>
            <w:r w:rsidRPr="00583E1A">
              <w:rPr>
                <w:b/>
                <w:i/>
              </w:rPr>
              <w:t>outward investor (financial)</w:t>
            </w:r>
            <w:r w:rsidRPr="00583E1A">
              <w:t xml:space="preserve"> for that period</w:t>
            </w:r>
          </w:p>
        </w:tc>
      </w:tr>
    </w:tbl>
    <w:p w:rsidR="00887330" w:rsidRPr="00583E1A" w:rsidRDefault="00887330" w:rsidP="00887330">
      <w:pPr>
        <w:pStyle w:val="notetext"/>
      </w:pPr>
      <w:r w:rsidRPr="00583E1A">
        <w:t>Note 1:</w:t>
      </w:r>
      <w:r w:rsidRPr="00583E1A">
        <w:tab/>
        <w:t>To determine whether an entity is an Australian controller of an Australian controlled foreign entity, see Subdivision</w:t>
      </w:r>
      <w:r w:rsidR="00583E1A">
        <w:t> </w:t>
      </w:r>
      <w:r w:rsidRPr="00583E1A">
        <w:t>820</w:t>
      </w:r>
      <w:r w:rsidR="00583E1A">
        <w:noBreakHyphen/>
      </w:r>
      <w:r w:rsidRPr="00583E1A">
        <w:t>H.</w:t>
      </w:r>
    </w:p>
    <w:p w:rsidR="00887330" w:rsidRPr="00583E1A" w:rsidRDefault="00887330" w:rsidP="00887330">
      <w:pPr>
        <w:pStyle w:val="notetext"/>
      </w:pPr>
      <w:r w:rsidRPr="00583E1A">
        <w:t>Note 2:</w:t>
      </w:r>
      <w:r w:rsidRPr="00583E1A">
        <w:tab/>
        <w:t>The rules that apply to an outward investor (general) are different from those that apply to an outward investor (financial) in some instances. For example, see sections</w:t>
      </w:r>
      <w:r w:rsidR="00583E1A">
        <w:t> </w:t>
      </w:r>
      <w:r w:rsidRPr="00583E1A">
        <w:t>820</w:t>
      </w:r>
      <w:r w:rsidR="00583E1A">
        <w:noBreakHyphen/>
      </w:r>
      <w:r w:rsidRPr="00583E1A">
        <w:t>95 and 820</w:t>
      </w:r>
      <w:r w:rsidR="00583E1A">
        <w:noBreakHyphen/>
      </w:r>
      <w:r w:rsidRPr="00583E1A">
        <w:t>100.</w:t>
      </w:r>
    </w:p>
    <w:p w:rsidR="00887330" w:rsidRPr="00583E1A" w:rsidRDefault="00887330" w:rsidP="00887330">
      <w:pPr>
        <w:pStyle w:val="SubsectionHead"/>
      </w:pPr>
      <w:r w:rsidRPr="00583E1A">
        <w:t>Adjusted average debt</w:t>
      </w:r>
    </w:p>
    <w:p w:rsidR="00887330" w:rsidRPr="00583E1A" w:rsidRDefault="00887330" w:rsidP="00887330">
      <w:pPr>
        <w:pStyle w:val="subsection"/>
      </w:pPr>
      <w:r w:rsidRPr="00583E1A">
        <w:tab/>
        <w:t>(3)</w:t>
      </w:r>
      <w:r w:rsidRPr="00583E1A">
        <w:tab/>
        <w:t xml:space="preserve">The entity’s </w:t>
      </w:r>
      <w:r w:rsidRPr="00583E1A">
        <w:rPr>
          <w:b/>
          <w:i/>
        </w:rPr>
        <w:t>adjusted average debt</w:t>
      </w:r>
      <w:r w:rsidRPr="00583E1A">
        <w:t xml:space="preserve"> for an income year is the result of applying the method statement in this subsection. In applying the method statement, disregard any amount that is attributable to the entity’s </w:t>
      </w:r>
      <w:r w:rsidR="00583E1A" w:rsidRPr="00583E1A">
        <w:rPr>
          <w:position w:val="6"/>
          <w:sz w:val="16"/>
        </w:rPr>
        <w:t>*</w:t>
      </w:r>
      <w:r w:rsidRPr="00583E1A">
        <w:t>overseas permanent establishments.</w:t>
      </w:r>
    </w:p>
    <w:p w:rsidR="00887330" w:rsidRPr="00583E1A" w:rsidRDefault="00887330" w:rsidP="00887330">
      <w:pPr>
        <w:pStyle w:val="BoxHeadItalic"/>
      </w:pPr>
      <w:r w:rsidRPr="00583E1A">
        <w:t>Method statement</w:t>
      </w:r>
    </w:p>
    <w:p w:rsidR="00887330" w:rsidRPr="00583E1A" w:rsidRDefault="00AE4F7F" w:rsidP="00887330">
      <w:pPr>
        <w:pStyle w:val="BoxStep"/>
      </w:pPr>
      <w:r w:rsidRPr="00583E1A">
        <w:rPr>
          <w:szCs w:val="22"/>
        </w:rPr>
        <w:t>Step 1.</w:t>
      </w:r>
      <w:r w:rsidR="00887330" w:rsidRPr="00583E1A">
        <w:tab/>
        <w:t xml:space="preserve">Work out the average value, for that year (the </w:t>
      </w:r>
      <w:r w:rsidR="00887330" w:rsidRPr="00583E1A">
        <w:rPr>
          <w:b/>
          <w:i/>
        </w:rPr>
        <w:t>relevant year</w:t>
      </w:r>
      <w:r w:rsidR="00887330" w:rsidRPr="00583E1A">
        <w:t xml:space="preserve">), of all the </w:t>
      </w:r>
      <w:r w:rsidR="00583E1A" w:rsidRPr="00583E1A">
        <w:rPr>
          <w:position w:val="6"/>
          <w:sz w:val="16"/>
        </w:rPr>
        <w:t>*</w:t>
      </w:r>
      <w:r w:rsidR="00887330" w:rsidRPr="00583E1A">
        <w:t xml:space="preserve">debt capital of the entity that gives rise to </w:t>
      </w:r>
      <w:r w:rsidR="00583E1A" w:rsidRPr="00583E1A">
        <w:rPr>
          <w:position w:val="6"/>
          <w:sz w:val="16"/>
        </w:rPr>
        <w:t>*</w:t>
      </w:r>
      <w:r w:rsidR="00887330" w:rsidRPr="00583E1A">
        <w:t>debt deductions of the entity for that or any other income year.</w:t>
      </w:r>
    </w:p>
    <w:p w:rsidR="00887330" w:rsidRPr="00583E1A" w:rsidRDefault="00AE4F7F" w:rsidP="00887330">
      <w:pPr>
        <w:pStyle w:val="BoxStep"/>
      </w:pPr>
      <w:r w:rsidRPr="00583E1A">
        <w:rPr>
          <w:szCs w:val="22"/>
        </w:rPr>
        <w:lastRenderedPageBreak/>
        <w:t>Step 2.</w:t>
      </w:r>
      <w:r w:rsidR="00887330" w:rsidRPr="00583E1A">
        <w:rPr>
          <w:i/>
        </w:rPr>
        <w:tab/>
      </w:r>
      <w:r w:rsidR="00887330" w:rsidRPr="00583E1A">
        <w:t xml:space="preserve">Reduce the result of step 1 by the average value, for the relevant year, of all the </w:t>
      </w:r>
      <w:r w:rsidR="00583E1A" w:rsidRPr="00583E1A">
        <w:rPr>
          <w:position w:val="6"/>
          <w:sz w:val="16"/>
        </w:rPr>
        <w:t>*</w:t>
      </w:r>
      <w:r w:rsidR="00887330" w:rsidRPr="00583E1A">
        <w:t>associate entity debt of the entity.</w:t>
      </w:r>
    </w:p>
    <w:p w:rsidR="00887330" w:rsidRPr="00583E1A" w:rsidRDefault="00AE4F7F" w:rsidP="00887330">
      <w:pPr>
        <w:pStyle w:val="BoxStep"/>
      </w:pPr>
      <w:r w:rsidRPr="00583E1A">
        <w:rPr>
          <w:szCs w:val="22"/>
        </w:rPr>
        <w:t>Step 3.</w:t>
      </w:r>
      <w:r w:rsidR="00887330" w:rsidRPr="00583E1A">
        <w:rPr>
          <w:i/>
        </w:rPr>
        <w:tab/>
      </w:r>
      <w:r w:rsidR="00887330" w:rsidRPr="00583E1A">
        <w:t xml:space="preserve">Reduce the result of step 2 by the average value, for the relevant year, of all the </w:t>
      </w:r>
      <w:r w:rsidR="00583E1A" w:rsidRPr="00583E1A">
        <w:rPr>
          <w:position w:val="6"/>
          <w:sz w:val="16"/>
        </w:rPr>
        <w:t>*</w:t>
      </w:r>
      <w:r w:rsidR="00887330" w:rsidRPr="00583E1A">
        <w:t>controlled foreign entity debt of the entity.</w:t>
      </w:r>
    </w:p>
    <w:p w:rsidR="00887330" w:rsidRPr="00583E1A" w:rsidRDefault="00AE4F7F" w:rsidP="00887330">
      <w:pPr>
        <w:pStyle w:val="BoxStep"/>
        <w:keepNext/>
        <w:keepLines/>
      </w:pPr>
      <w:r w:rsidRPr="00583E1A">
        <w:rPr>
          <w:szCs w:val="22"/>
        </w:rPr>
        <w:t>Step 4.</w:t>
      </w:r>
      <w:r w:rsidR="00887330" w:rsidRPr="00583E1A">
        <w:tab/>
        <w:t xml:space="preserve">If the entity is a </w:t>
      </w:r>
      <w:r w:rsidR="00583E1A" w:rsidRPr="00583E1A">
        <w:rPr>
          <w:position w:val="6"/>
          <w:sz w:val="16"/>
        </w:rPr>
        <w:t>*</w:t>
      </w:r>
      <w:r w:rsidR="00887330" w:rsidRPr="00583E1A">
        <w:t xml:space="preserve">financial entity throughout the relevant year, add to the result of step 3 the average value, for the relevant year, of the entity’s </w:t>
      </w:r>
      <w:r w:rsidR="00583E1A" w:rsidRPr="00583E1A">
        <w:rPr>
          <w:position w:val="6"/>
          <w:sz w:val="16"/>
        </w:rPr>
        <w:t>*</w:t>
      </w:r>
      <w:r w:rsidR="00887330" w:rsidRPr="00583E1A">
        <w:t>borrowed securities amount.</w:t>
      </w:r>
    </w:p>
    <w:p w:rsidR="00887330" w:rsidRPr="00583E1A" w:rsidRDefault="00AE4F7F" w:rsidP="00887330">
      <w:pPr>
        <w:pStyle w:val="BoxStep"/>
      </w:pPr>
      <w:r w:rsidRPr="00583E1A">
        <w:rPr>
          <w:szCs w:val="22"/>
        </w:rPr>
        <w:t>Step 5.</w:t>
      </w:r>
      <w:r w:rsidR="00887330" w:rsidRPr="00583E1A">
        <w:tab/>
        <w:t xml:space="preserve">Add to the result of step 4 the average value, for the relevant year, of the </w:t>
      </w:r>
      <w:r w:rsidR="00583E1A" w:rsidRPr="00583E1A">
        <w:rPr>
          <w:position w:val="6"/>
          <w:sz w:val="16"/>
        </w:rPr>
        <w:t>*</w:t>
      </w:r>
      <w:r w:rsidR="00887330" w:rsidRPr="00583E1A">
        <w:t>cost</w:t>
      </w:r>
      <w:r w:rsidR="00583E1A">
        <w:noBreakHyphen/>
      </w:r>
      <w:r w:rsidR="00887330" w:rsidRPr="00583E1A">
        <w:t xml:space="preserve">free debt capital of the entity. The result of this step is the </w:t>
      </w:r>
      <w:r w:rsidR="00887330" w:rsidRPr="00583E1A">
        <w:rPr>
          <w:b/>
          <w:i/>
        </w:rPr>
        <w:t>adjusted average debt</w:t>
      </w:r>
      <w:r w:rsidR="00887330" w:rsidRPr="00583E1A">
        <w:t>.</w:t>
      </w:r>
    </w:p>
    <w:p w:rsidR="00887330" w:rsidRPr="00583E1A" w:rsidRDefault="00887330" w:rsidP="00887330">
      <w:pPr>
        <w:pStyle w:val="notetext"/>
      </w:pPr>
      <w:r w:rsidRPr="00583E1A">
        <w:t>Note:</w:t>
      </w:r>
      <w:r w:rsidRPr="00583E1A">
        <w:tab/>
        <w:t>To calculate an average value for the purposes of this Division, see Subdivision</w:t>
      </w:r>
      <w:r w:rsidR="00583E1A">
        <w:t> </w:t>
      </w:r>
      <w:r w:rsidRPr="00583E1A">
        <w:t>820</w:t>
      </w:r>
      <w:r w:rsidR="00583E1A">
        <w:noBreakHyphen/>
      </w:r>
      <w:r w:rsidRPr="00583E1A">
        <w:t>G.</w:t>
      </w:r>
    </w:p>
    <w:p w:rsidR="00887330" w:rsidRPr="00583E1A" w:rsidRDefault="00887330" w:rsidP="00887330">
      <w:pPr>
        <w:pStyle w:val="subsection"/>
      </w:pPr>
      <w:r w:rsidRPr="00583E1A">
        <w:tab/>
        <w:t>(4)</w:t>
      </w:r>
      <w:r w:rsidRPr="00583E1A">
        <w:tab/>
        <w:t xml:space="preserve">The entity’s </w:t>
      </w:r>
      <w:r w:rsidR="00583E1A" w:rsidRPr="00583E1A">
        <w:rPr>
          <w:position w:val="6"/>
          <w:sz w:val="16"/>
        </w:rPr>
        <w:t>*</w:t>
      </w:r>
      <w:r w:rsidRPr="00583E1A">
        <w:t xml:space="preserve">adjusted average debt does not exceed its </w:t>
      </w:r>
      <w:r w:rsidR="00583E1A" w:rsidRPr="00583E1A">
        <w:rPr>
          <w:position w:val="6"/>
          <w:sz w:val="16"/>
        </w:rPr>
        <w:t>*</w:t>
      </w:r>
      <w:r w:rsidRPr="00583E1A">
        <w:t>maximum allowable debt if the adjusted average debt is nil or a negative amount.</w:t>
      </w:r>
    </w:p>
    <w:p w:rsidR="00887330" w:rsidRPr="00583E1A" w:rsidRDefault="00887330" w:rsidP="00887330">
      <w:pPr>
        <w:pStyle w:val="ActHead5"/>
      </w:pPr>
      <w:bookmarkStart w:id="187" w:name="_Toc338939261"/>
      <w:r w:rsidRPr="00583E1A">
        <w:rPr>
          <w:rStyle w:val="CharSectno"/>
        </w:rPr>
        <w:t>820</w:t>
      </w:r>
      <w:r w:rsidR="00583E1A">
        <w:rPr>
          <w:rStyle w:val="CharSectno"/>
        </w:rPr>
        <w:noBreakHyphen/>
      </w:r>
      <w:r w:rsidRPr="00583E1A">
        <w:rPr>
          <w:rStyle w:val="CharSectno"/>
        </w:rPr>
        <w:t>90</w:t>
      </w:r>
      <w:r w:rsidRPr="00583E1A">
        <w:t xml:space="preserve">  Maximum allowable debt</w:t>
      </w:r>
      <w:bookmarkEnd w:id="187"/>
    </w:p>
    <w:p w:rsidR="00887330" w:rsidRPr="00583E1A" w:rsidRDefault="00887330" w:rsidP="00887330">
      <w:pPr>
        <w:pStyle w:val="SubsectionHead"/>
      </w:pPr>
      <w:r w:rsidRPr="00583E1A">
        <w:t>Entity is not also an inward investment vehicle (general) or inward investment vehicle (financial)</w:t>
      </w:r>
    </w:p>
    <w:p w:rsidR="00887330" w:rsidRPr="00583E1A" w:rsidRDefault="00887330" w:rsidP="00887330">
      <w:pPr>
        <w:pStyle w:val="subsection"/>
      </w:pPr>
      <w:r w:rsidRPr="00583E1A">
        <w:tab/>
        <w:t>(1)</w:t>
      </w:r>
      <w:r w:rsidRPr="00583E1A">
        <w:tab/>
        <w:t xml:space="preserve">The entity’s </w:t>
      </w:r>
      <w:r w:rsidRPr="00583E1A">
        <w:rPr>
          <w:b/>
          <w:i/>
        </w:rPr>
        <w:t>maximum allowable debt</w:t>
      </w:r>
      <w:r w:rsidRPr="00583E1A">
        <w:t xml:space="preserve"> for an income year is the greatest of the following amounts if the entity is not also an </w:t>
      </w:r>
      <w:r w:rsidR="00583E1A" w:rsidRPr="00583E1A">
        <w:rPr>
          <w:position w:val="6"/>
          <w:sz w:val="16"/>
        </w:rPr>
        <w:t>*</w:t>
      </w:r>
      <w:r w:rsidRPr="00583E1A">
        <w:t xml:space="preserve">inward investment vehicle (general) or an </w:t>
      </w:r>
      <w:r w:rsidR="00583E1A" w:rsidRPr="00583E1A">
        <w:rPr>
          <w:position w:val="6"/>
          <w:sz w:val="16"/>
        </w:rPr>
        <w:t>*</w:t>
      </w:r>
      <w:r w:rsidRPr="00583E1A">
        <w:t>inward investment vehicle (financial) for all or any part of that year:</w:t>
      </w:r>
    </w:p>
    <w:p w:rsidR="00887330" w:rsidRPr="00583E1A" w:rsidRDefault="00887330" w:rsidP="00887330">
      <w:pPr>
        <w:pStyle w:val="paragraph"/>
      </w:pPr>
      <w:r w:rsidRPr="00583E1A">
        <w:tab/>
        <w:t>(a)</w:t>
      </w:r>
      <w:r w:rsidRPr="00583E1A">
        <w:tab/>
        <w:t xml:space="preserve">the </w:t>
      </w:r>
      <w:r w:rsidR="00583E1A" w:rsidRPr="00583E1A">
        <w:rPr>
          <w:position w:val="6"/>
          <w:sz w:val="16"/>
        </w:rPr>
        <w:t>*</w:t>
      </w:r>
      <w:r w:rsidRPr="00583E1A">
        <w:t>safe harbour debt amount;</w:t>
      </w:r>
    </w:p>
    <w:p w:rsidR="00887330" w:rsidRPr="00583E1A" w:rsidRDefault="00887330" w:rsidP="00887330">
      <w:pPr>
        <w:pStyle w:val="paragraph"/>
      </w:pPr>
      <w:r w:rsidRPr="00583E1A">
        <w:tab/>
        <w:t>(b)</w:t>
      </w:r>
      <w:r w:rsidRPr="00583E1A">
        <w:tab/>
        <w:t xml:space="preserve">the </w:t>
      </w:r>
      <w:r w:rsidR="00583E1A" w:rsidRPr="00583E1A">
        <w:rPr>
          <w:position w:val="6"/>
          <w:sz w:val="16"/>
        </w:rPr>
        <w:t>*</w:t>
      </w:r>
      <w:r w:rsidRPr="00583E1A">
        <w:t>arm’s length debt amount;</w:t>
      </w:r>
    </w:p>
    <w:p w:rsidR="00887330" w:rsidRPr="00583E1A" w:rsidRDefault="00887330" w:rsidP="00887330">
      <w:pPr>
        <w:pStyle w:val="paragraph"/>
      </w:pPr>
      <w:r w:rsidRPr="00583E1A">
        <w:tab/>
        <w:t>(c)</w:t>
      </w:r>
      <w:r w:rsidRPr="00583E1A">
        <w:tab/>
        <w:t xml:space="preserve">unless the entity has </w:t>
      </w:r>
      <w:r w:rsidR="00583E1A" w:rsidRPr="00583E1A">
        <w:rPr>
          <w:position w:val="6"/>
          <w:sz w:val="16"/>
        </w:rPr>
        <w:t>*</w:t>
      </w:r>
      <w:r w:rsidRPr="00583E1A">
        <w:t xml:space="preserve">worldwide equity of a negative amount—the </w:t>
      </w:r>
      <w:r w:rsidR="00583E1A" w:rsidRPr="00583E1A">
        <w:rPr>
          <w:position w:val="6"/>
          <w:sz w:val="16"/>
        </w:rPr>
        <w:t>*</w:t>
      </w:r>
      <w:r w:rsidRPr="00583E1A">
        <w:t>worldwide gearing debt amount.</w:t>
      </w:r>
    </w:p>
    <w:p w:rsidR="00887330" w:rsidRPr="00583E1A" w:rsidRDefault="00887330" w:rsidP="00887330">
      <w:pPr>
        <w:pStyle w:val="notetext"/>
      </w:pPr>
      <w:r w:rsidRPr="00583E1A">
        <w:t>Note:</w:t>
      </w:r>
      <w:r w:rsidRPr="00583E1A">
        <w:tab/>
        <w:t xml:space="preserve">The safe harbour debt amount and the worldwide gearing debt amount differ depending on whether the entity is an outward investor (general) </w:t>
      </w:r>
      <w:r w:rsidRPr="00583E1A">
        <w:lastRenderedPageBreak/>
        <w:t>or an outward investor (financial), see sections</w:t>
      </w:r>
      <w:r w:rsidR="00583E1A">
        <w:t> </w:t>
      </w:r>
      <w:r w:rsidRPr="00583E1A">
        <w:t>820</w:t>
      </w:r>
      <w:r w:rsidR="00583E1A">
        <w:noBreakHyphen/>
      </w:r>
      <w:r w:rsidRPr="00583E1A">
        <w:t>95, 820</w:t>
      </w:r>
      <w:r w:rsidR="00583E1A">
        <w:noBreakHyphen/>
      </w:r>
      <w:r w:rsidRPr="00583E1A">
        <w:t>100 and 820</w:t>
      </w:r>
      <w:r w:rsidR="00583E1A">
        <w:noBreakHyphen/>
      </w:r>
      <w:r w:rsidRPr="00583E1A">
        <w:t>110.</w:t>
      </w:r>
    </w:p>
    <w:p w:rsidR="00887330" w:rsidRPr="00583E1A" w:rsidRDefault="00887330" w:rsidP="00887330">
      <w:pPr>
        <w:pStyle w:val="SubsectionHead"/>
      </w:pPr>
      <w:r w:rsidRPr="00583E1A">
        <w:t>Entity is also an inward investment vehicle (general) or inward investment vehicle (financial)</w:t>
      </w:r>
    </w:p>
    <w:p w:rsidR="00887330" w:rsidRPr="00583E1A" w:rsidRDefault="00887330" w:rsidP="00887330">
      <w:pPr>
        <w:pStyle w:val="subsection"/>
      </w:pPr>
      <w:r w:rsidRPr="00583E1A">
        <w:tab/>
        <w:t>(2)</w:t>
      </w:r>
      <w:r w:rsidRPr="00583E1A">
        <w:tab/>
        <w:t xml:space="preserve">The entity’s </w:t>
      </w:r>
      <w:r w:rsidRPr="00583E1A">
        <w:rPr>
          <w:b/>
          <w:i/>
        </w:rPr>
        <w:t>maximum allowable debt</w:t>
      </w:r>
      <w:r w:rsidRPr="00583E1A">
        <w:t xml:space="preserve"> for an income year is the greater of the following amounts if the entity is also an </w:t>
      </w:r>
      <w:r w:rsidR="00583E1A" w:rsidRPr="00583E1A">
        <w:rPr>
          <w:position w:val="6"/>
          <w:sz w:val="16"/>
        </w:rPr>
        <w:t>*</w:t>
      </w:r>
      <w:r w:rsidRPr="00583E1A">
        <w:t xml:space="preserve">inward investment vehicle (general) or an </w:t>
      </w:r>
      <w:r w:rsidR="00583E1A" w:rsidRPr="00583E1A">
        <w:rPr>
          <w:position w:val="6"/>
          <w:sz w:val="16"/>
        </w:rPr>
        <w:t>*</w:t>
      </w:r>
      <w:r w:rsidRPr="00583E1A">
        <w:t>inward investment vehicle (financial) for all or any part of that year:</w:t>
      </w:r>
    </w:p>
    <w:p w:rsidR="00887330" w:rsidRPr="00583E1A" w:rsidRDefault="00887330" w:rsidP="00887330">
      <w:pPr>
        <w:pStyle w:val="paragraph"/>
      </w:pPr>
      <w:r w:rsidRPr="00583E1A">
        <w:tab/>
        <w:t>(a)</w:t>
      </w:r>
      <w:r w:rsidRPr="00583E1A">
        <w:tab/>
        <w:t xml:space="preserve">the </w:t>
      </w:r>
      <w:r w:rsidR="00583E1A" w:rsidRPr="00583E1A">
        <w:rPr>
          <w:position w:val="6"/>
          <w:sz w:val="16"/>
        </w:rPr>
        <w:t>*</w:t>
      </w:r>
      <w:r w:rsidRPr="00583E1A">
        <w:t>safe harbour debt amount;</w:t>
      </w:r>
    </w:p>
    <w:p w:rsidR="00887330" w:rsidRPr="00583E1A" w:rsidRDefault="00887330" w:rsidP="00887330">
      <w:pPr>
        <w:pStyle w:val="paragraph"/>
      </w:pPr>
      <w:r w:rsidRPr="00583E1A">
        <w:tab/>
        <w:t>(b)</w:t>
      </w:r>
      <w:r w:rsidRPr="00583E1A">
        <w:tab/>
        <w:t xml:space="preserve">the </w:t>
      </w:r>
      <w:r w:rsidR="00583E1A" w:rsidRPr="00583E1A">
        <w:rPr>
          <w:position w:val="6"/>
          <w:sz w:val="16"/>
        </w:rPr>
        <w:t>*</w:t>
      </w:r>
      <w:r w:rsidRPr="00583E1A">
        <w:t>arm’s length debt amount.</w:t>
      </w:r>
    </w:p>
    <w:p w:rsidR="00887330" w:rsidRPr="00583E1A" w:rsidRDefault="00887330" w:rsidP="00887330">
      <w:pPr>
        <w:pStyle w:val="notetext"/>
      </w:pPr>
      <w:r w:rsidRPr="00583E1A">
        <w:t>Note:</w:t>
      </w:r>
      <w:r w:rsidRPr="00583E1A">
        <w:tab/>
        <w:t>The safe harbour debt amount differs depending on whether the entity is an outward investor (general) or an outward investor (financial), see sections</w:t>
      </w:r>
      <w:r w:rsidR="00583E1A">
        <w:t> </w:t>
      </w:r>
      <w:r w:rsidRPr="00583E1A">
        <w:t>820</w:t>
      </w:r>
      <w:r w:rsidR="00583E1A">
        <w:noBreakHyphen/>
      </w:r>
      <w:r w:rsidRPr="00583E1A">
        <w:t>95 and 820</w:t>
      </w:r>
      <w:r w:rsidR="00583E1A">
        <w:noBreakHyphen/>
      </w:r>
      <w:r w:rsidRPr="00583E1A">
        <w:t>100.</w:t>
      </w:r>
    </w:p>
    <w:p w:rsidR="00887330" w:rsidRPr="00583E1A" w:rsidRDefault="00887330" w:rsidP="00887330">
      <w:pPr>
        <w:pStyle w:val="ActHead5"/>
      </w:pPr>
      <w:bookmarkStart w:id="188" w:name="_Toc338939262"/>
      <w:r w:rsidRPr="00583E1A">
        <w:rPr>
          <w:rStyle w:val="CharSectno"/>
        </w:rPr>
        <w:t>820</w:t>
      </w:r>
      <w:r w:rsidR="00583E1A">
        <w:rPr>
          <w:rStyle w:val="CharSectno"/>
        </w:rPr>
        <w:noBreakHyphen/>
      </w:r>
      <w:r w:rsidRPr="00583E1A">
        <w:rPr>
          <w:rStyle w:val="CharSectno"/>
        </w:rPr>
        <w:t>95</w:t>
      </w:r>
      <w:r w:rsidRPr="00583E1A">
        <w:t xml:space="preserve">  Safe harbour debt amount—outward investor (general)</w:t>
      </w:r>
      <w:bookmarkEnd w:id="188"/>
    </w:p>
    <w:p w:rsidR="00887330" w:rsidRPr="00583E1A" w:rsidRDefault="00887330" w:rsidP="00887330">
      <w:pPr>
        <w:pStyle w:val="subsection"/>
      </w:pPr>
      <w:r w:rsidRPr="00583E1A">
        <w:tab/>
      </w:r>
      <w:r w:rsidRPr="00583E1A">
        <w:tab/>
        <w:t xml:space="preserve">If the entity is an </w:t>
      </w:r>
      <w:r w:rsidR="00583E1A" w:rsidRPr="00583E1A">
        <w:rPr>
          <w:position w:val="6"/>
          <w:sz w:val="16"/>
        </w:rPr>
        <w:t>*</w:t>
      </w:r>
      <w:r w:rsidRPr="00583E1A">
        <w:t xml:space="preserve">outward investor (general) for the income year, the </w:t>
      </w:r>
      <w:r w:rsidRPr="00583E1A">
        <w:rPr>
          <w:b/>
          <w:i/>
        </w:rPr>
        <w:t>safe harbour debt amount</w:t>
      </w:r>
      <w:r w:rsidRPr="00583E1A">
        <w:t xml:space="preserve"> is the result of applying the method statement in this section. In applying the method statement, disregard any amount that is attributable to the entity’s </w:t>
      </w:r>
      <w:r w:rsidR="00583E1A" w:rsidRPr="00583E1A">
        <w:rPr>
          <w:position w:val="6"/>
          <w:sz w:val="16"/>
        </w:rPr>
        <w:t>*</w:t>
      </w:r>
      <w:r w:rsidRPr="00583E1A">
        <w:t>overseas permanent establishments.</w:t>
      </w:r>
    </w:p>
    <w:p w:rsidR="00887330" w:rsidRPr="00583E1A" w:rsidRDefault="00887330" w:rsidP="00887330">
      <w:pPr>
        <w:pStyle w:val="BoxHeadItalic"/>
      </w:pPr>
      <w:r w:rsidRPr="00583E1A">
        <w:t>Method statement</w:t>
      </w:r>
    </w:p>
    <w:p w:rsidR="00887330" w:rsidRPr="00583E1A" w:rsidRDefault="00AE4F7F" w:rsidP="00887330">
      <w:pPr>
        <w:pStyle w:val="BoxStep"/>
      </w:pPr>
      <w:r w:rsidRPr="00583E1A">
        <w:rPr>
          <w:szCs w:val="22"/>
        </w:rPr>
        <w:t>Step 1.</w:t>
      </w:r>
      <w:r w:rsidR="00887330" w:rsidRPr="00583E1A">
        <w:tab/>
        <w:t>Work out the average value, for the income year, of all the assets of the entity.</w:t>
      </w:r>
    </w:p>
    <w:p w:rsidR="00887330" w:rsidRPr="00583E1A" w:rsidRDefault="00AE4F7F" w:rsidP="00887330">
      <w:pPr>
        <w:pStyle w:val="BoxStep"/>
      </w:pPr>
      <w:r w:rsidRPr="00583E1A">
        <w:rPr>
          <w:szCs w:val="22"/>
        </w:rPr>
        <w:t>Step 1A.</w:t>
      </w:r>
      <w:r w:rsidR="00887330" w:rsidRPr="00583E1A">
        <w:tab/>
        <w:t xml:space="preserve">Reduce the result of step 1 by the average value, for that year, of all the </w:t>
      </w:r>
      <w:r w:rsidR="00583E1A" w:rsidRPr="00583E1A">
        <w:rPr>
          <w:position w:val="6"/>
          <w:sz w:val="16"/>
        </w:rPr>
        <w:t>*</w:t>
      </w:r>
      <w:r w:rsidR="00887330" w:rsidRPr="00583E1A">
        <w:t>excluded equity interests in the entity.</w:t>
      </w:r>
    </w:p>
    <w:p w:rsidR="00887330" w:rsidRPr="00583E1A" w:rsidRDefault="00AE4F7F" w:rsidP="00887330">
      <w:pPr>
        <w:pStyle w:val="BoxStep"/>
      </w:pPr>
      <w:r w:rsidRPr="00583E1A">
        <w:rPr>
          <w:szCs w:val="22"/>
        </w:rPr>
        <w:t>Step 2.</w:t>
      </w:r>
      <w:r w:rsidR="00887330" w:rsidRPr="00583E1A">
        <w:rPr>
          <w:i/>
        </w:rPr>
        <w:tab/>
      </w:r>
      <w:r w:rsidR="00887330" w:rsidRPr="00583E1A">
        <w:t xml:space="preserve">Reduce the result of step 1A by the average value, for that year, of all the </w:t>
      </w:r>
      <w:r w:rsidR="00583E1A" w:rsidRPr="00583E1A">
        <w:rPr>
          <w:position w:val="6"/>
          <w:sz w:val="16"/>
        </w:rPr>
        <w:t>*</w:t>
      </w:r>
      <w:r w:rsidR="00887330" w:rsidRPr="00583E1A">
        <w:t>associate entity debt of the entity.</w:t>
      </w:r>
    </w:p>
    <w:p w:rsidR="00887330" w:rsidRPr="00583E1A" w:rsidRDefault="00AE4F7F" w:rsidP="00887330">
      <w:pPr>
        <w:pStyle w:val="BoxStep"/>
      </w:pPr>
      <w:r w:rsidRPr="00583E1A">
        <w:rPr>
          <w:szCs w:val="22"/>
        </w:rPr>
        <w:t>Step 3.</w:t>
      </w:r>
      <w:r w:rsidR="00887330" w:rsidRPr="00583E1A">
        <w:rPr>
          <w:i/>
        </w:rPr>
        <w:tab/>
      </w:r>
      <w:r w:rsidR="00887330" w:rsidRPr="00583E1A">
        <w:t xml:space="preserve">Reduce the result of step 2 by the average value, for that year, of all the </w:t>
      </w:r>
      <w:r w:rsidR="00583E1A" w:rsidRPr="00583E1A">
        <w:rPr>
          <w:position w:val="6"/>
          <w:sz w:val="16"/>
        </w:rPr>
        <w:t>*</w:t>
      </w:r>
      <w:r w:rsidR="00887330" w:rsidRPr="00583E1A">
        <w:t>associate entity equity of the entity.</w:t>
      </w:r>
    </w:p>
    <w:p w:rsidR="00887330" w:rsidRPr="00583E1A" w:rsidRDefault="00AE4F7F" w:rsidP="00887330">
      <w:pPr>
        <w:pStyle w:val="BoxStep"/>
      </w:pPr>
      <w:r w:rsidRPr="00583E1A">
        <w:rPr>
          <w:szCs w:val="22"/>
        </w:rPr>
        <w:lastRenderedPageBreak/>
        <w:t>Step 4.</w:t>
      </w:r>
      <w:r w:rsidR="00887330" w:rsidRPr="00583E1A">
        <w:tab/>
        <w:t xml:space="preserve">Reduce the result of step 3 by the average value, for that year, of all the </w:t>
      </w:r>
      <w:r w:rsidR="00583E1A" w:rsidRPr="00583E1A">
        <w:rPr>
          <w:position w:val="6"/>
          <w:sz w:val="16"/>
        </w:rPr>
        <w:t>*</w:t>
      </w:r>
      <w:r w:rsidR="00887330" w:rsidRPr="00583E1A">
        <w:t>controlled foreign entity debt of the entity.</w:t>
      </w:r>
    </w:p>
    <w:p w:rsidR="00887330" w:rsidRPr="00583E1A" w:rsidRDefault="00AE4F7F" w:rsidP="00887330">
      <w:pPr>
        <w:pStyle w:val="BoxStep"/>
        <w:rPr>
          <w:i/>
        </w:rPr>
      </w:pPr>
      <w:r w:rsidRPr="00583E1A">
        <w:rPr>
          <w:szCs w:val="22"/>
        </w:rPr>
        <w:t>Step 5.</w:t>
      </w:r>
      <w:r w:rsidR="00887330" w:rsidRPr="00583E1A">
        <w:rPr>
          <w:i/>
        </w:rPr>
        <w:tab/>
      </w:r>
      <w:r w:rsidR="00887330" w:rsidRPr="00583E1A">
        <w:t xml:space="preserve">Reduce the result of step 4 by the average value, for that year, of all the </w:t>
      </w:r>
      <w:r w:rsidR="00583E1A" w:rsidRPr="00583E1A">
        <w:rPr>
          <w:position w:val="6"/>
          <w:sz w:val="16"/>
        </w:rPr>
        <w:t>*</w:t>
      </w:r>
      <w:r w:rsidR="00887330" w:rsidRPr="00583E1A">
        <w:t>controlled foreign entity equity of the entity.</w:t>
      </w:r>
    </w:p>
    <w:p w:rsidR="00887330" w:rsidRPr="00583E1A" w:rsidRDefault="00AE4F7F" w:rsidP="00887330">
      <w:pPr>
        <w:pStyle w:val="BoxStep"/>
      </w:pPr>
      <w:r w:rsidRPr="00583E1A">
        <w:rPr>
          <w:szCs w:val="22"/>
        </w:rPr>
        <w:t>Step 6.</w:t>
      </w:r>
      <w:r w:rsidR="00887330" w:rsidRPr="00583E1A">
        <w:tab/>
        <w:t xml:space="preserve">Reduce the result of step 5 by the average value, for that year, of all the </w:t>
      </w:r>
      <w:r w:rsidR="00583E1A" w:rsidRPr="00583E1A">
        <w:rPr>
          <w:position w:val="6"/>
          <w:sz w:val="16"/>
        </w:rPr>
        <w:t>*</w:t>
      </w:r>
      <w:r w:rsidR="00887330" w:rsidRPr="00583E1A">
        <w:t>non</w:t>
      </w:r>
      <w:r w:rsidR="00583E1A">
        <w:noBreakHyphen/>
      </w:r>
      <w:r w:rsidR="00887330" w:rsidRPr="00583E1A">
        <w:t>debt liabilities of the entity. If the result of this step is a negative amount, it is taken to be nil.</w:t>
      </w:r>
    </w:p>
    <w:p w:rsidR="00887330" w:rsidRPr="00583E1A" w:rsidRDefault="00AE4F7F" w:rsidP="00887330">
      <w:pPr>
        <w:pStyle w:val="BoxStep"/>
      </w:pPr>
      <w:r w:rsidRPr="00583E1A">
        <w:rPr>
          <w:szCs w:val="22"/>
        </w:rPr>
        <w:t>Step 7.</w:t>
      </w:r>
      <w:r w:rsidR="00887330" w:rsidRPr="00583E1A">
        <w:tab/>
        <w:t xml:space="preserve">Multiply the result of step 6 by </w:t>
      </w:r>
      <w:r w:rsidR="00887330" w:rsidRPr="00583E1A">
        <w:rPr>
          <w:position w:val="6"/>
          <w:sz w:val="16"/>
        </w:rPr>
        <w:t>3</w:t>
      </w:r>
      <w:r w:rsidR="00887330" w:rsidRPr="00583E1A">
        <w:t>/</w:t>
      </w:r>
      <w:r w:rsidR="00887330" w:rsidRPr="00583E1A">
        <w:rPr>
          <w:sz w:val="16"/>
        </w:rPr>
        <w:t>4</w:t>
      </w:r>
      <w:r w:rsidR="00887330" w:rsidRPr="00583E1A">
        <w:t>.</w:t>
      </w:r>
    </w:p>
    <w:p w:rsidR="00887330" w:rsidRPr="00583E1A" w:rsidRDefault="00AE4F7F" w:rsidP="00887330">
      <w:pPr>
        <w:pStyle w:val="BoxStep"/>
      </w:pPr>
      <w:r w:rsidRPr="00583E1A">
        <w:rPr>
          <w:szCs w:val="22"/>
        </w:rPr>
        <w:t>Step 8.</w:t>
      </w:r>
      <w:r w:rsidR="00887330" w:rsidRPr="00583E1A">
        <w:tab/>
        <w:t xml:space="preserve">Add to the result of step 7 the average value, for that year, of the entity’s </w:t>
      </w:r>
      <w:r w:rsidR="00583E1A" w:rsidRPr="00583E1A">
        <w:rPr>
          <w:position w:val="6"/>
          <w:sz w:val="16"/>
        </w:rPr>
        <w:t>*</w:t>
      </w:r>
      <w:r w:rsidR="00887330" w:rsidRPr="00583E1A">
        <w:t xml:space="preserve">associate entity excess amount. The result of this step is the </w:t>
      </w:r>
      <w:r w:rsidR="00887330" w:rsidRPr="00583E1A">
        <w:rPr>
          <w:b/>
          <w:i/>
        </w:rPr>
        <w:t>safe harbour debt amount</w:t>
      </w:r>
      <w:r w:rsidR="00887330" w:rsidRPr="00583E1A">
        <w:t>.</w:t>
      </w:r>
    </w:p>
    <w:p w:rsidR="00887330" w:rsidRPr="00583E1A" w:rsidRDefault="00887330" w:rsidP="00887330">
      <w:pPr>
        <w:pStyle w:val="notetext"/>
      </w:pPr>
      <w:r w:rsidRPr="00583E1A">
        <w:t>Example:</w:t>
      </w:r>
      <w:r w:rsidRPr="00583E1A">
        <w:tab/>
        <w:t>AK Pty Ltd, a company that is an Australian entity, has an average value of assets (other than assets attributable to its overseas permanent establishments) of $100 million.</w:t>
      </w:r>
    </w:p>
    <w:p w:rsidR="00887330" w:rsidRPr="00583E1A" w:rsidRDefault="00887330" w:rsidP="00887330">
      <w:pPr>
        <w:pStyle w:val="notetext"/>
      </w:pPr>
      <w:r w:rsidRPr="00583E1A">
        <w:tab/>
        <w:t>The average values of its relevant associate entity debt, associate entity equity, controlled foreign entity debt, controlled foreign entity equity and non</w:t>
      </w:r>
      <w:r w:rsidR="00583E1A">
        <w:noBreakHyphen/>
      </w:r>
      <w:r w:rsidRPr="00583E1A">
        <w:t xml:space="preserve">debt liabilities are $10 million, $8 million, $5 million, $2 million and $5 million respectively. Deducting these amounts from the result of step 1 (through the application of steps 2 to 6) leaves $70 million. Multiplying $70 million by </w:t>
      </w:r>
      <w:r w:rsidRPr="00583E1A">
        <w:rPr>
          <w:position w:val="4"/>
          <w:sz w:val="14"/>
        </w:rPr>
        <w:t>3</w:t>
      </w:r>
      <w:r w:rsidRPr="00583E1A">
        <w:t>/</w:t>
      </w:r>
      <w:r w:rsidRPr="00583E1A">
        <w:rPr>
          <w:sz w:val="14"/>
        </w:rPr>
        <w:t>4</w:t>
      </w:r>
      <w:r w:rsidRPr="00583E1A">
        <w:t xml:space="preserve"> results in $52.5 million. As the average value of the company’s associate entity excess amount is $4.5 million, the safe harbour debt amount is therefore $57 million.</w:t>
      </w:r>
    </w:p>
    <w:p w:rsidR="00887330" w:rsidRPr="00583E1A" w:rsidRDefault="00887330" w:rsidP="00887330">
      <w:pPr>
        <w:pStyle w:val="ActHead5"/>
      </w:pPr>
      <w:bookmarkStart w:id="189" w:name="_Toc338939263"/>
      <w:r w:rsidRPr="00583E1A">
        <w:rPr>
          <w:rStyle w:val="CharSectno"/>
        </w:rPr>
        <w:t>820</w:t>
      </w:r>
      <w:r w:rsidR="00583E1A">
        <w:rPr>
          <w:rStyle w:val="CharSectno"/>
        </w:rPr>
        <w:noBreakHyphen/>
      </w:r>
      <w:r w:rsidRPr="00583E1A">
        <w:rPr>
          <w:rStyle w:val="CharSectno"/>
        </w:rPr>
        <w:t>100</w:t>
      </w:r>
      <w:r w:rsidRPr="00583E1A">
        <w:t xml:space="preserve">  Safe harbour debt amount—outward investor (financial)</w:t>
      </w:r>
      <w:bookmarkEnd w:id="189"/>
    </w:p>
    <w:p w:rsidR="00887330" w:rsidRPr="00583E1A" w:rsidRDefault="00887330" w:rsidP="00887330">
      <w:pPr>
        <w:pStyle w:val="subsection"/>
      </w:pPr>
      <w:r w:rsidRPr="00583E1A">
        <w:tab/>
        <w:t>(1)</w:t>
      </w:r>
      <w:r w:rsidRPr="00583E1A">
        <w:tab/>
        <w:t xml:space="preserve">If the entity is an </w:t>
      </w:r>
      <w:r w:rsidR="00583E1A" w:rsidRPr="00583E1A">
        <w:rPr>
          <w:position w:val="6"/>
          <w:sz w:val="16"/>
        </w:rPr>
        <w:t>*</w:t>
      </w:r>
      <w:r w:rsidRPr="00583E1A">
        <w:t xml:space="preserve">outward investor (financial) for the income year, the </w:t>
      </w:r>
      <w:r w:rsidRPr="00583E1A">
        <w:rPr>
          <w:b/>
          <w:i/>
        </w:rPr>
        <w:t>safe harbour debt amount</w:t>
      </w:r>
      <w:r w:rsidRPr="00583E1A">
        <w:t xml:space="preserve"> is the lesser of the following amounts:</w:t>
      </w:r>
    </w:p>
    <w:p w:rsidR="00887330" w:rsidRPr="00583E1A" w:rsidRDefault="00887330" w:rsidP="00887330">
      <w:pPr>
        <w:pStyle w:val="paragraph"/>
      </w:pPr>
      <w:r w:rsidRPr="00583E1A">
        <w:tab/>
        <w:t>(a)</w:t>
      </w:r>
      <w:r w:rsidRPr="00583E1A">
        <w:tab/>
        <w:t xml:space="preserve">the </w:t>
      </w:r>
      <w:r w:rsidR="00583E1A" w:rsidRPr="00583E1A">
        <w:rPr>
          <w:position w:val="6"/>
          <w:sz w:val="16"/>
        </w:rPr>
        <w:t>*</w:t>
      </w:r>
      <w:r w:rsidRPr="00583E1A">
        <w:t xml:space="preserve">total debt amount (worked out under </w:t>
      </w:r>
      <w:r w:rsidR="00583E1A">
        <w:t>subsection (</w:t>
      </w:r>
      <w:r w:rsidRPr="00583E1A">
        <w:t>2));</w:t>
      </w:r>
    </w:p>
    <w:p w:rsidR="00887330" w:rsidRPr="00583E1A" w:rsidRDefault="00887330" w:rsidP="00887330">
      <w:pPr>
        <w:pStyle w:val="paragraph"/>
      </w:pPr>
      <w:r w:rsidRPr="00583E1A">
        <w:tab/>
        <w:t>(b)</w:t>
      </w:r>
      <w:r w:rsidRPr="00583E1A">
        <w:tab/>
        <w:t xml:space="preserve">the </w:t>
      </w:r>
      <w:r w:rsidR="00583E1A" w:rsidRPr="00583E1A">
        <w:rPr>
          <w:position w:val="6"/>
          <w:sz w:val="16"/>
        </w:rPr>
        <w:t>*</w:t>
      </w:r>
      <w:r w:rsidRPr="00583E1A">
        <w:t>adjusted on</w:t>
      </w:r>
      <w:r w:rsidR="00583E1A">
        <w:noBreakHyphen/>
      </w:r>
      <w:r w:rsidRPr="00583E1A">
        <w:t xml:space="preserve">lent amount (worked out under </w:t>
      </w:r>
      <w:r w:rsidR="00583E1A">
        <w:t>subsection (</w:t>
      </w:r>
      <w:r w:rsidRPr="00583E1A">
        <w:t>3)).</w:t>
      </w:r>
    </w:p>
    <w:p w:rsidR="00887330" w:rsidRPr="00583E1A" w:rsidRDefault="00887330" w:rsidP="00887330">
      <w:pPr>
        <w:pStyle w:val="subsection2"/>
      </w:pPr>
      <w:r w:rsidRPr="00583E1A">
        <w:t>However, if the 2 amounts are equal, it is the total debt amount.</w:t>
      </w:r>
    </w:p>
    <w:p w:rsidR="00887330" w:rsidRPr="00583E1A" w:rsidRDefault="00887330" w:rsidP="00887330">
      <w:pPr>
        <w:pStyle w:val="SubsectionHead"/>
      </w:pPr>
      <w:r w:rsidRPr="00583E1A">
        <w:lastRenderedPageBreak/>
        <w:t>Total debt amount</w:t>
      </w:r>
    </w:p>
    <w:p w:rsidR="00887330" w:rsidRPr="00583E1A" w:rsidRDefault="00887330" w:rsidP="00887330">
      <w:pPr>
        <w:pStyle w:val="subsection"/>
      </w:pPr>
      <w:r w:rsidRPr="00583E1A">
        <w:tab/>
        <w:t>(2)</w:t>
      </w:r>
      <w:r w:rsidRPr="00583E1A">
        <w:tab/>
        <w:t xml:space="preserve">The </w:t>
      </w:r>
      <w:r w:rsidRPr="00583E1A">
        <w:rPr>
          <w:b/>
          <w:i/>
        </w:rPr>
        <w:t>total debt amount</w:t>
      </w:r>
      <w:r w:rsidRPr="00583E1A">
        <w:t xml:space="preserve"> is the result of applying the method statement in this subsection. In applying the method statement, disregard any amount that is attributable to the entity’s </w:t>
      </w:r>
      <w:r w:rsidR="00583E1A" w:rsidRPr="00583E1A">
        <w:rPr>
          <w:position w:val="6"/>
          <w:sz w:val="16"/>
        </w:rPr>
        <w:t>*</w:t>
      </w:r>
      <w:r w:rsidRPr="00583E1A">
        <w:t>overseas permanent establishments.</w:t>
      </w:r>
    </w:p>
    <w:p w:rsidR="00887330" w:rsidRPr="00583E1A" w:rsidRDefault="00887330" w:rsidP="00887330">
      <w:pPr>
        <w:pStyle w:val="BoxHeadItalic"/>
        <w:keepNext/>
        <w:keepLines/>
      </w:pPr>
      <w:r w:rsidRPr="00583E1A">
        <w:t>Method statement</w:t>
      </w:r>
    </w:p>
    <w:p w:rsidR="00887330" w:rsidRPr="00583E1A" w:rsidRDefault="00AE4F7F" w:rsidP="00887330">
      <w:pPr>
        <w:pStyle w:val="BoxStep"/>
      </w:pPr>
      <w:r w:rsidRPr="00583E1A">
        <w:rPr>
          <w:szCs w:val="22"/>
        </w:rPr>
        <w:t>Step 1.</w:t>
      </w:r>
      <w:r w:rsidR="00887330" w:rsidRPr="00583E1A">
        <w:tab/>
        <w:t>Work out the average value, for the income year, of all the assets of the entity.</w:t>
      </w:r>
    </w:p>
    <w:p w:rsidR="00887330" w:rsidRPr="00583E1A" w:rsidRDefault="00AE4F7F" w:rsidP="00887330">
      <w:pPr>
        <w:pStyle w:val="BoxStep"/>
      </w:pPr>
      <w:r w:rsidRPr="00583E1A">
        <w:rPr>
          <w:szCs w:val="22"/>
        </w:rPr>
        <w:t>Step 1A.</w:t>
      </w:r>
      <w:r w:rsidR="00887330" w:rsidRPr="00583E1A">
        <w:tab/>
        <w:t xml:space="preserve">Reduce the result of step 1 by the average value, for that year, of all the </w:t>
      </w:r>
      <w:r w:rsidR="00583E1A" w:rsidRPr="00583E1A">
        <w:rPr>
          <w:position w:val="6"/>
          <w:sz w:val="16"/>
        </w:rPr>
        <w:t>*</w:t>
      </w:r>
      <w:r w:rsidR="00887330" w:rsidRPr="00583E1A">
        <w:t>excluded equity interests in the entity.</w:t>
      </w:r>
    </w:p>
    <w:p w:rsidR="00887330" w:rsidRPr="00583E1A" w:rsidRDefault="00AE4F7F" w:rsidP="00887330">
      <w:pPr>
        <w:pStyle w:val="BoxStep"/>
      </w:pPr>
      <w:r w:rsidRPr="00583E1A">
        <w:rPr>
          <w:szCs w:val="22"/>
        </w:rPr>
        <w:t>Step 2.</w:t>
      </w:r>
      <w:r w:rsidR="00887330" w:rsidRPr="00583E1A">
        <w:rPr>
          <w:i/>
        </w:rPr>
        <w:tab/>
      </w:r>
      <w:r w:rsidR="00887330" w:rsidRPr="00583E1A">
        <w:t xml:space="preserve">Reduce the result of step 1A by the average value, for that year, of all the </w:t>
      </w:r>
      <w:r w:rsidR="00583E1A" w:rsidRPr="00583E1A">
        <w:rPr>
          <w:position w:val="6"/>
          <w:sz w:val="16"/>
        </w:rPr>
        <w:t>*</w:t>
      </w:r>
      <w:r w:rsidR="00887330" w:rsidRPr="00583E1A">
        <w:t>associate entity debt of the entity.</w:t>
      </w:r>
    </w:p>
    <w:p w:rsidR="00887330" w:rsidRPr="00583E1A" w:rsidRDefault="00AE4F7F" w:rsidP="00887330">
      <w:pPr>
        <w:pStyle w:val="BoxStep"/>
      </w:pPr>
      <w:r w:rsidRPr="00583E1A">
        <w:rPr>
          <w:szCs w:val="22"/>
        </w:rPr>
        <w:t>Step 3.</w:t>
      </w:r>
      <w:r w:rsidR="00887330" w:rsidRPr="00583E1A">
        <w:rPr>
          <w:i/>
        </w:rPr>
        <w:tab/>
      </w:r>
      <w:r w:rsidR="00887330" w:rsidRPr="00583E1A">
        <w:t xml:space="preserve">Reduce the result of step 2 by the average value, for that year, of all the </w:t>
      </w:r>
      <w:r w:rsidR="00583E1A" w:rsidRPr="00583E1A">
        <w:rPr>
          <w:position w:val="6"/>
          <w:sz w:val="16"/>
        </w:rPr>
        <w:t>*</w:t>
      </w:r>
      <w:r w:rsidR="00887330" w:rsidRPr="00583E1A">
        <w:t>associate entity equity of the entity.</w:t>
      </w:r>
    </w:p>
    <w:p w:rsidR="00887330" w:rsidRPr="00583E1A" w:rsidRDefault="00AE4F7F" w:rsidP="00887330">
      <w:pPr>
        <w:pStyle w:val="BoxStep"/>
      </w:pPr>
      <w:r w:rsidRPr="00583E1A">
        <w:rPr>
          <w:szCs w:val="22"/>
        </w:rPr>
        <w:t>Step 4.</w:t>
      </w:r>
      <w:r w:rsidR="00887330" w:rsidRPr="00583E1A">
        <w:tab/>
        <w:t xml:space="preserve">Reduce the result of step 3 by the average value, for that year, of all the </w:t>
      </w:r>
      <w:r w:rsidR="00583E1A" w:rsidRPr="00583E1A">
        <w:rPr>
          <w:position w:val="6"/>
          <w:sz w:val="16"/>
        </w:rPr>
        <w:t>*</w:t>
      </w:r>
      <w:r w:rsidR="00887330" w:rsidRPr="00583E1A">
        <w:t>controlled foreign entity debt of the entity.</w:t>
      </w:r>
    </w:p>
    <w:p w:rsidR="00887330" w:rsidRPr="00583E1A" w:rsidRDefault="00AE4F7F" w:rsidP="00887330">
      <w:pPr>
        <w:pStyle w:val="BoxStep"/>
        <w:rPr>
          <w:i/>
        </w:rPr>
      </w:pPr>
      <w:r w:rsidRPr="00583E1A">
        <w:rPr>
          <w:szCs w:val="22"/>
        </w:rPr>
        <w:t>Step 5.</w:t>
      </w:r>
      <w:r w:rsidR="00887330" w:rsidRPr="00583E1A">
        <w:rPr>
          <w:i/>
        </w:rPr>
        <w:tab/>
      </w:r>
      <w:r w:rsidR="00887330" w:rsidRPr="00583E1A">
        <w:t xml:space="preserve">Reduce the result of step 4 by the average value, for that year, of all the </w:t>
      </w:r>
      <w:r w:rsidR="00583E1A" w:rsidRPr="00583E1A">
        <w:rPr>
          <w:position w:val="6"/>
          <w:sz w:val="16"/>
        </w:rPr>
        <w:t>*</w:t>
      </w:r>
      <w:r w:rsidR="00887330" w:rsidRPr="00583E1A">
        <w:t>controlled foreign entity equity of the entity.</w:t>
      </w:r>
    </w:p>
    <w:p w:rsidR="00887330" w:rsidRPr="00583E1A" w:rsidRDefault="00AE4F7F" w:rsidP="00887330">
      <w:pPr>
        <w:pStyle w:val="BoxStep"/>
      </w:pPr>
      <w:r w:rsidRPr="00583E1A">
        <w:rPr>
          <w:szCs w:val="22"/>
        </w:rPr>
        <w:t>Step 6.</w:t>
      </w:r>
      <w:r w:rsidR="00887330" w:rsidRPr="00583E1A">
        <w:tab/>
        <w:t xml:space="preserve">Reduce the result of step 5 by the average value, for that year, of all the </w:t>
      </w:r>
      <w:r w:rsidR="00583E1A" w:rsidRPr="00583E1A">
        <w:rPr>
          <w:position w:val="6"/>
          <w:sz w:val="16"/>
        </w:rPr>
        <w:t>*</w:t>
      </w:r>
      <w:r w:rsidR="00887330" w:rsidRPr="00583E1A">
        <w:t>non</w:t>
      </w:r>
      <w:r w:rsidR="00583E1A">
        <w:noBreakHyphen/>
      </w:r>
      <w:r w:rsidR="00887330" w:rsidRPr="00583E1A">
        <w:t>debt liabilities of the entity.</w:t>
      </w:r>
    </w:p>
    <w:p w:rsidR="00887330" w:rsidRPr="00583E1A" w:rsidRDefault="00AE4F7F" w:rsidP="00887330">
      <w:pPr>
        <w:pStyle w:val="BoxStep"/>
      </w:pPr>
      <w:r w:rsidRPr="00583E1A">
        <w:rPr>
          <w:szCs w:val="22"/>
        </w:rPr>
        <w:t>Step 7.</w:t>
      </w:r>
      <w:r w:rsidR="00887330" w:rsidRPr="00583E1A">
        <w:rPr>
          <w:i/>
        </w:rPr>
        <w:tab/>
      </w:r>
      <w:r w:rsidR="00887330" w:rsidRPr="00583E1A">
        <w:t xml:space="preserve">Reduce the result of step 6 by the average value, for that year, of the entity’s </w:t>
      </w:r>
      <w:r w:rsidR="00583E1A" w:rsidRPr="00583E1A">
        <w:rPr>
          <w:position w:val="6"/>
          <w:sz w:val="16"/>
        </w:rPr>
        <w:t>*</w:t>
      </w:r>
      <w:r w:rsidR="00887330" w:rsidRPr="00583E1A">
        <w:t>zero</w:t>
      </w:r>
      <w:r w:rsidR="00583E1A">
        <w:noBreakHyphen/>
      </w:r>
      <w:r w:rsidR="00887330" w:rsidRPr="00583E1A">
        <w:t>capital amount. If the result of this step is a negative amount, it is taken to be nil.</w:t>
      </w:r>
    </w:p>
    <w:p w:rsidR="00887330" w:rsidRPr="00583E1A" w:rsidRDefault="00AE4F7F" w:rsidP="00887330">
      <w:pPr>
        <w:pStyle w:val="BoxStep"/>
      </w:pPr>
      <w:r w:rsidRPr="00583E1A">
        <w:rPr>
          <w:szCs w:val="22"/>
        </w:rPr>
        <w:t>Step 8.</w:t>
      </w:r>
      <w:r w:rsidR="00887330" w:rsidRPr="00583E1A">
        <w:tab/>
        <w:t xml:space="preserve">Multiply the result of step 7 by </w:t>
      </w:r>
      <w:r w:rsidR="00887330" w:rsidRPr="00583E1A">
        <w:rPr>
          <w:position w:val="6"/>
          <w:sz w:val="16"/>
        </w:rPr>
        <w:t>20</w:t>
      </w:r>
      <w:r w:rsidR="00887330" w:rsidRPr="00583E1A">
        <w:t>/</w:t>
      </w:r>
      <w:r w:rsidR="00887330" w:rsidRPr="00583E1A">
        <w:rPr>
          <w:sz w:val="16"/>
        </w:rPr>
        <w:t>21</w:t>
      </w:r>
      <w:r w:rsidR="00887330" w:rsidRPr="00583E1A">
        <w:t>.</w:t>
      </w:r>
    </w:p>
    <w:p w:rsidR="00887330" w:rsidRPr="00583E1A" w:rsidRDefault="00AE4F7F" w:rsidP="00887330">
      <w:pPr>
        <w:pStyle w:val="BoxStep"/>
      </w:pPr>
      <w:r w:rsidRPr="00583E1A">
        <w:rPr>
          <w:szCs w:val="22"/>
        </w:rPr>
        <w:t>Step 9.</w:t>
      </w:r>
      <w:r w:rsidR="00887330" w:rsidRPr="00583E1A">
        <w:rPr>
          <w:i/>
        </w:rPr>
        <w:tab/>
      </w:r>
      <w:r w:rsidR="00887330" w:rsidRPr="00583E1A">
        <w:t xml:space="preserve">Add to the result of step 8 the average value, for that year, of the entity’s </w:t>
      </w:r>
      <w:r w:rsidR="00583E1A" w:rsidRPr="00583E1A">
        <w:rPr>
          <w:position w:val="6"/>
          <w:sz w:val="16"/>
        </w:rPr>
        <w:t>*</w:t>
      </w:r>
      <w:r w:rsidR="00887330" w:rsidRPr="00583E1A">
        <w:t>zero</w:t>
      </w:r>
      <w:r w:rsidR="00583E1A">
        <w:noBreakHyphen/>
      </w:r>
      <w:r w:rsidR="00887330" w:rsidRPr="00583E1A">
        <w:t>capital amount.</w:t>
      </w:r>
    </w:p>
    <w:p w:rsidR="00887330" w:rsidRPr="00583E1A" w:rsidRDefault="00AE4F7F" w:rsidP="00887330">
      <w:pPr>
        <w:pStyle w:val="BoxStep"/>
        <w:rPr>
          <w:i/>
        </w:rPr>
      </w:pPr>
      <w:r w:rsidRPr="00583E1A">
        <w:rPr>
          <w:szCs w:val="22"/>
        </w:rPr>
        <w:lastRenderedPageBreak/>
        <w:t>Step 10.</w:t>
      </w:r>
      <w:r w:rsidR="00887330" w:rsidRPr="00583E1A">
        <w:tab/>
        <w:t xml:space="preserve">Add to the result of step 9 the average value, for that year, of the entity’s </w:t>
      </w:r>
      <w:r w:rsidR="00583E1A" w:rsidRPr="00583E1A">
        <w:rPr>
          <w:position w:val="6"/>
          <w:sz w:val="16"/>
        </w:rPr>
        <w:t>*</w:t>
      </w:r>
      <w:r w:rsidR="00887330" w:rsidRPr="00583E1A">
        <w:t xml:space="preserve">associate entity excess amount. The result of this step is the </w:t>
      </w:r>
      <w:r w:rsidR="00887330" w:rsidRPr="00583E1A">
        <w:rPr>
          <w:b/>
          <w:i/>
        </w:rPr>
        <w:t>total debt amount</w:t>
      </w:r>
      <w:r w:rsidR="00887330" w:rsidRPr="00583E1A">
        <w:t>.</w:t>
      </w:r>
    </w:p>
    <w:p w:rsidR="00887330" w:rsidRPr="00583E1A" w:rsidRDefault="00887330" w:rsidP="00887330">
      <w:pPr>
        <w:pStyle w:val="notetext"/>
      </w:pPr>
      <w:r w:rsidRPr="00583E1A">
        <w:t>Example:</w:t>
      </w:r>
      <w:r w:rsidRPr="00583E1A">
        <w:tab/>
        <w:t>GLM Limited, a company that is an Australian entity, has an average value of assets (other than assets attributable to its overseas permanent establishments) of $160 million.</w:t>
      </w:r>
    </w:p>
    <w:p w:rsidR="00887330" w:rsidRPr="00583E1A" w:rsidRDefault="00887330" w:rsidP="00887330">
      <w:pPr>
        <w:pStyle w:val="notetext"/>
      </w:pPr>
      <w:r w:rsidRPr="00583E1A">
        <w:tab/>
        <w:t>The average values of its relevant associate entity debt, associate entity equity, controlled foreign entity debt, controlled foreign entity equity, non</w:t>
      </w:r>
      <w:r w:rsidR="00583E1A">
        <w:noBreakHyphen/>
      </w:r>
      <w:r w:rsidRPr="00583E1A">
        <w:t xml:space="preserve">debt liabilities and zero capital amount are $5 million, $5 million, $9 million, $6 million, $5 million and $4 million respectively. Deducting these amounts from the result of step 1 (through applying steps 2 to 7) leaves $126 million. Multiplying $126 million by </w:t>
      </w:r>
      <w:r w:rsidRPr="00583E1A">
        <w:rPr>
          <w:position w:val="4"/>
          <w:sz w:val="14"/>
        </w:rPr>
        <w:t>20</w:t>
      </w:r>
      <w:r w:rsidRPr="00583E1A">
        <w:t>/</w:t>
      </w:r>
      <w:r w:rsidRPr="00583E1A">
        <w:rPr>
          <w:sz w:val="14"/>
        </w:rPr>
        <w:t>21</w:t>
      </w:r>
      <w:r w:rsidRPr="00583E1A">
        <w:t xml:space="preserve"> results in $120 million. Adding the average zero capital amount of $4 million results in $124 million. As the company does not have any associate entity excess amount, the total debt amount is therefore $124 million.</w:t>
      </w:r>
    </w:p>
    <w:p w:rsidR="00887330" w:rsidRPr="00583E1A" w:rsidRDefault="00887330" w:rsidP="00887330">
      <w:pPr>
        <w:pStyle w:val="SubsectionHead"/>
      </w:pPr>
      <w:r w:rsidRPr="00583E1A">
        <w:t>Adjusted on</w:t>
      </w:r>
      <w:r w:rsidR="00583E1A">
        <w:noBreakHyphen/>
      </w:r>
      <w:r w:rsidRPr="00583E1A">
        <w:t>lent amount</w:t>
      </w:r>
    </w:p>
    <w:p w:rsidR="00887330" w:rsidRPr="00583E1A" w:rsidRDefault="00887330" w:rsidP="00887330">
      <w:pPr>
        <w:pStyle w:val="subsection"/>
      </w:pPr>
      <w:r w:rsidRPr="00583E1A">
        <w:tab/>
        <w:t>(3)</w:t>
      </w:r>
      <w:r w:rsidRPr="00583E1A">
        <w:tab/>
        <w:t xml:space="preserve">The </w:t>
      </w:r>
      <w:r w:rsidRPr="00583E1A">
        <w:rPr>
          <w:b/>
          <w:i/>
        </w:rPr>
        <w:t>adjusted on</w:t>
      </w:r>
      <w:r w:rsidR="00583E1A">
        <w:rPr>
          <w:b/>
          <w:i/>
        </w:rPr>
        <w:noBreakHyphen/>
      </w:r>
      <w:r w:rsidRPr="00583E1A">
        <w:rPr>
          <w:b/>
          <w:i/>
        </w:rPr>
        <w:t>lent amount</w:t>
      </w:r>
      <w:r w:rsidRPr="00583E1A">
        <w:t xml:space="preserve"> is the result of applying the method statement in this subsection. In applying the method statement, disregard any amount that is attributable to the entity’s </w:t>
      </w:r>
      <w:r w:rsidR="00583E1A" w:rsidRPr="00583E1A">
        <w:rPr>
          <w:position w:val="6"/>
          <w:sz w:val="16"/>
        </w:rPr>
        <w:t>*</w:t>
      </w:r>
      <w:r w:rsidRPr="00583E1A">
        <w:t>overseas permanent establishments.</w:t>
      </w:r>
    </w:p>
    <w:p w:rsidR="00887330" w:rsidRPr="00583E1A" w:rsidRDefault="00887330" w:rsidP="00887330">
      <w:pPr>
        <w:pStyle w:val="BoxHeadItalic"/>
        <w:keepNext/>
        <w:keepLines/>
      </w:pPr>
      <w:r w:rsidRPr="00583E1A">
        <w:t>Method statement</w:t>
      </w:r>
    </w:p>
    <w:p w:rsidR="00887330" w:rsidRPr="00583E1A" w:rsidRDefault="00AE4F7F" w:rsidP="00887330">
      <w:pPr>
        <w:pStyle w:val="BoxStep"/>
      </w:pPr>
      <w:r w:rsidRPr="00583E1A">
        <w:rPr>
          <w:szCs w:val="22"/>
        </w:rPr>
        <w:t>Step 1.</w:t>
      </w:r>
      <w:r w:rsidR="00887330" w:rsidRPr="00583E1A">
        <w:tab/>
        <w:t>Work out the average value, for the income year, of all the assets of the entity.</w:t>
      </w:r>
    </w:p>
    <w:p w:rsidR="00887330" w:rsidRPr="00583E1A" w:rsidRDefault="00AE4F7F" w:rsidP="00887330">
      <w:pPr>
        <w:pStyle w:val="BoxStep"/>
      </w:pPr>
      <w:r w:rsidRPr="00583E1A">
        <w:rPr>
          <w:szCs w:val="22"/>
        </w:rPr>
        <w:t>Step 1A.</w:t>
      </w:r>
      <w:r w:rsidR="00887330" w:rsidRPr="00583E1A">
        <w:tab/>
        <w:t xml:space="preserve">Reduce the result of step 1 by the average value, for that year, of all the </w:t>
      </w:r>
      <w:r w:rsidR="00583E1A" w:rsidRPr="00583E1A">
        <w:rPr>
          <w:position w:val="6"/>
          <w:sz w:val="16"/>
        </w:rPr>
        <w:t>*</w:t>
      </w:r>
      <w:r w:rsidR="00887330" w:rsidRPr="00583E1A">
        <w:t>excluded equity interests in the entity.</w:t>
      </w:r>
    </w:p>
    <w:p w:rsidR="00887330" w:rsidRPr="00583E1A" w:rsidRDefault="00AE4F7F" w:rsidP="00887330">
      <w:pPr>
        <w:pStyle w:val="BoxStep"/>
      </w:pPr>
      <w:r w:rsidRPr="00583E1A">
        <w:rPr>
          <w:szCs w:val="22"/>
        </w:rPr>
        <w:t>Step 2.</w:t>
      </w:r>
      <w:r w:rsidR="00887330" w:rsidRPr="00583E1A">
        <w:rPr>
          <w:i/>
        </w:rPr>
        <w:tab/>
      </w:r>
      <w:r w:rsidR="00887330" w:rsidRPr="00583E1A">
        <w:t xml:space="preserve">Reduce the result of step 1A by the average value, for that year, of all the </w:t>
      </w:r>
      <w:r w:rsidR="00583E1A" w:rsidRPr="00583E1A">
        <w:rPr>
          <w:position w:val="6"/>
          <w:sz w:val="16"/>
        </w:rPr>
        <w:t>*</w:t>
      </w:r>
      <w:r w:rsidR="00887330" w:rsidRPr="00583E1A">
        <w:t>associate entity equity of the entity.</w:t>
      </w:r>
    </w:p>
    <w:p w:rsidR="00887330" w:rsidRPr="00583E1A" w:rsidRDefault="00AE4F7F" w:rsidP="00887330">
      <w:pPr>
        <w:pStyle w:val="BoxStep"/>
      </w:pPr>
      <w:r w:rsidRPr="00583E1A">
        <w:rPr>
          <w:szCs w:val="22"/>
        </w:rPr>
        <w:t>Step 3.</w:t>
      </w:r>
      <w:r w:rsidR="00887330" w:rsidRPr="00583E1A">
        <w:tab/>
        <w:t xml:space="preserve">Reduce the result of step 2 by the average value, for that year, of all the </w:t>
      </w:r>
      <w:r w:rsidR="00583E1A" w:rsidRPr="00583E1A">
        <w:rPr>
          <w:position w:val="6"/>
          <w:sz w:val="16"/>
        </w:rPr>
        <w:t>*</w:t>
      </w:r>
      <w:r w:rsidR="00887330" w:rsidRPr="00583E1A">
        <w:t>controlled foreign entity debt of the entity.</w:t>
      </w:r>
    </w:p>
    <w:p w:rsidR="00887330" w:rsidRPr="00583E1A" w:rsidRDefault="00AE4F7F" w:rsidP="00887330">
      <w:pPr>
        <w:pStyle w:val="BoxStep"/>
        <w:rPr>
          <w:i/>
        </w:rPr>
      </w:pPr>
      <w:r w:rsidRPr="00583E1A">
        <w:rPr>
          <w:szCs w:val="22"/>
        </w:rPr>
        <w:lastRenderedPageBreak/>
        <w:t>Step 4.</w:t>
      </w:r>
      <w:r w:rsidR="00887330" w:rsidRPr="00583E1A">
        <w:rPr>
          <w:i/>
        </w:rPr>
        <w:tab/>
      </w:r>
      <w:r w:rsidR="00887330" w:rsidRPr="00583E1A">
        <w:t xml:space="preserve">Reduce the result of step 3 by the average value, for that year, of all the </w:t>
      </w:r>
      <w:r w:rsidR="00583E1A" w:rsidRPr="00583E1A">
        <w:rPr>
          <w:position w:val="6"/>
          <w:sz w:val="16"/>
        </w:rPr>
        <w:t>*</w:t>
      </w:r>
      <w:r w:rsidR="00887330" w:rsidRPr="00583E1A">
        <w:t>controlled foreign entity equity of the entity.</w:t>
      </w:r>
    </w:p>
    <w:p w:rsidR="00887330" w:rsidRPr="00583E1A" w:rsidRDefault="00AE4F7F" w:rsidP="00887330">
      <w:pPr>
        <w:pStyle w:val="BoxStep"/>
      </w:pPr>
      <w:r w:rsidRPr="00583E1A">
        <w:rPr>
          <w:szCs w:val="22"/>
        </w:rPr>
        <w:t>Step 5.</w:t>
      </w:r>
      <w:r w:rsidR="00887330" w:rsidRPr="00583E1A">
        <w:tab/>
        <w:t xml:space="preserve">Reduce the result of step 4 by the average value, for that year, of all the </w:t>
      </w:r>
      <w:r w:rsidR="00583E1A" w:rsidRPr="00583E1A">
        <w:rPr>
          <w:position w:val="6"/>
          <w:sz w:val="16"/>
        </w:rPr>
        <w:t>*</w:t>
      </w:r>
      <w:r w:rsidR="00887330" w:rsidRPr="00583E1A">
        <w:t>non</w:t>
      </w:r>
      <w:r w:rsidR="00583E1A">
        <w:noBreakHyphen/>
      </w:r>
      <w:r w:rsidR="00887330" w:rsidRPr="00583E1A">
        <w:t>debt liabilities of the entity.</w:t>
      </w:r>
    </w:p>
    <w:p w:rsidR="00887330" w:rsidRPr="00583E1A" w:rsidRDefault="00AE4F7F" w:rsidP="00887330">
      <w:pPr>
        <w:pStyle w:val="BoxStep"/>
        <w:keepNext/>
        <w:keepLines/>
      </w:pPr>
      <w:r w:rsidRPr="00583E1A">
        <w:rPr>
          <w:szCs w:val="22"/>
        </w:rPr>
        <w:t>Step 6.</w:t>
      </w:r>
      <w:r w:rsidR="00887330" w:rsidRPr="00583E1A">
        <w:tab/>
        <w:t xml:space="preserve">Reduce the result of step 5 by the amount (the </w:t>
      </w:r>
      <w:r w:rsidR="00887330" w:rsidRPr="00583E1A">
        <w:rPr>
          <w:b/>
          <w:i/>
        </w:rPr>
        <w:t>average on</w:t>
      </w:r>
      <w:r w:rsidR="00583E1A">
        <w:rPr>
          <w:b/>
          <w:i/>
        </w:rPr>
        <w:noBreakHyphen/>
      </w:r>
      <w:r w:rsidR="00887330" w:rsidRPr="00583E1A">
        <w:rPr>
          <w:b/>
          <w:i/>
        </w:rPr>
        <w:t>lent amount</w:t>
      </w:r>
      <w:r w:rsidR="00887330" w:rsidRPr="00583E1A">
        <w:t xml:space="preserve">) which is the average value, for that year, of the entity’s </w:t>
      </w:r>
      <w:r w:rsidR="00583E1A" w:rsidRPr="00583E1A">
        <w:rPr>
          <w:position w:val="6"/>
          <w:sz w:val="16"/>
        </w:rPr>
        <w:t>*</w:t>
      </w:r>
      <w:r w:rsidR="00887330" w:rsidRPr="00583E1A">
        <w:t>on</w:t>
      </w:r>
      <w:r w:rsidR="00583E1A">
        <w:noBreakHyphen/>
      </w:r>
      <w:r w:rsidR="00887330" w:rsidRPr="00583E1A">
        <w:t xml:space="preserve">lent amount (other than </w:t>
      </w:r>
      <w:r w:rsidR="00583E1A" w:rsidRPr="00583E1A">
        <w:rPr>
          <w:position w:val="6"/>
          <w:sz w:val="16"/>
        </w:rPr>
        <w:t>*</w:t>
      </w:r>
      <w:r w:rsidR="00887330" w:rsidRPr="00583E1A">
        <w:t>controlled foreign entity debt of the entity). If the result of this step is a negative amount, it is taken to be nil.</w:t>
      </w:r>
    </w:p>
    <w:p w:rsidR="00887330" w:rsidRPr="00583E1A" w:rsidRDefault="00AE4F7F" w:rsidP="00887330">
      <w:pPr>
        <w:pStyle w:val="BoxStep"/>
      </w:pPr>
      <w:r w:rsidRPr="00583E1A">
        <w:rPr>
          <w:szCs w:val="22"/>
        </w:rPr>
        <w:t>Step 7.</w:t>
      </w:r>
      <w:r w:rsidR="00887330" w:rsidRPr="00583E1A">
        <w:tab/>
        <w:t xml:space="preserve">Multiply the result of step 6 by </w:t>
      </w:r>
      <w:r w:rsidR="00887330" w:rsidRPr="00583E1A">
        <w:rPr>
          <w:position w:val="6"/>
          <w:sz w:val="16"/>
        </w:rPr>
        <w:t>3</w:t>
      </w:r>
      <w:r w:rsidR="00887330" w:rsidRPr="00583E1A">
        <w:t>/</w:t>
      </w:r>
      <w:r w:rsidR="00887330" w:rsidRPr="00583E1A">
        <w:rPr>
          <w:sz w:val="16"/>
        </w:rPr>
        <w:t>4</w:t>
      </w:r>
      <w:r w:rsidR="00887330" w:rsidRPr="00583E1A">
        <w:t>.</w:t>
      </w:r>
    </w:p>
    <w:p w:rsidR="00887330" w:rsidRPr="00583E1A" w:rsidRDefault="00AE4F7F" w:rsidP="00887330">
      <w:pPr>
        <w:pStyle w:val="BoxStep"/>
      </w:pPr>
      <w:r w:rsidRPr="00583E1A">
        <w:rPr>
          <w:szCs w:val="22"/>
        </w:rPr>
        <w:t>Step 8.</w:t>
      </w:r>
      <w:r w:rsidR="00887330" w:rsidRPr="00583E1A">
        <w:rPr>
          <w:i/>
        </w:rPr>
        <w:tab/>
      </w:r>
      <w:r w:rsidR="00887330" w:rsidRPr="00583E1A">
        <w:t>Add to the result of step 7 the average on</w:t>
      </w:r>
      <w:r w:rsidR="00583E1A">
        <w:noBreakHyphen/>
      </w:r>
      <w:r w:rsidR="00887330" w:rsidRPr="00583E1A">
        <w:t xml:space="preserve">lent amount. </w:t>
      </w:r>
    </w:p>
    <w:p w:rsidR="00887330" w:rsidRPr="00583E1A" w:rsidRDefault="00AE4F7F" w:rsidP="00887330">
      <w:pPr>
        <w:pStyle w:val="BoxStep"/>
      </w:pPr>
      <w:r w:rsidRPr="00583E1A">
        <w:rPr>
          <w:szCs w:val="22"/>
        </w:rPr>
        <w:t>Step 9.</w:t>
      </w:r>
      <w:r w:rsidR="00887330" w:rsidRPr="00583E1A">
        <w:rPr>
          <w:i/>
        </w:rPr>
        <w:tab/>
      </w:r>
      <w:r w:rsidR="00887330" w:rsidRPr="00583E1A">
        <w:t xml:space="preserve">Reduce the result of step 8 by the average value, for that year, of all the </w:t>
      </w:r>
      <w:r w:rsidR="00583E1A" w:rsidRPr="00583E1A">
        <w:rPr>
          <w:position w:val="6"/>
          <w:sz w:val="16"/>
        </w:rPr>
        <w:t>*</w:t>
      </w:r>
      <w:r w:rsidR="00887330" w:rsidRPr="00583E1A">
        <w:t>associate entity debt of the entity.</w:t>
      </w:r>
    </w:p>
    <w:p w:rsidR="00887330" w:rsidRPr="00583E1A" w:rsidRDefault="00AE4F7F" w:rsidP="00887330">
      <w:pPr>
        <w:pStyle w:val="BoxStep"/>
      </w:pPr>
      <w:r w:rsidRPr="00583E1A">
        <w:rPr>
          <w:szCs w:val="22"/>
        </w:rPr>
        <w:t>Step 10.</w:t>
      </w:r>
      <w:r w:rsidR="00887330" w:rsidRPr="00583E1A">
        <w:tab/>
        <w:t xml:space="preserve">Add to the result of step 9 the average value, for that year, of the entity’s </w:t>
      </w:r>
      <w:r w:rsidR="00583E1A" w:rsidRPr="00583E1A">
        <w:rPr>
          <w:position w:val="6"/>
          <w:sz w:val="16"/>
        </w:rPr>
        <w:t>*</w:t>
      </w:r>
      <w:r w:rsidR="00887330" w:rsidRPr="00583E1A">
        <w:t xml:space="preserve">associate entity excess amount. The result of this step is the </w:t>
      </w:r>
      <w:r w:rsidR="00887330" w:rsidRPr="00583E1A">
        <w:rPr>
          <w:b/>
          <w:i/>
        </w:rPr>
        <w:t>adjusted on</w:t>
      </w:r>
      <w:r w:rsidR="00583E1A">
        <w:rPr>
          <w:b/>
          <w:i/>
        </w:rPr>
        <w:noBreakHyphen/>
      </w:r>
      <w:r w:rsidR="00887330" w:rsidRPr="00583E1A">
        <w:rPr>
          <w:b/>
          <w:i/>
        </w:rPr>
        <w:t>lent amount</w:t>
      </w:r>
      <w:r w:rsidR="00887330" w:rsidRPr="00583E1A">
        <w:t>.</w:t>
      </w:r>
    </w:p>
    <w:p w:rsidR="00887330" w:rsidRPr="00583E1A" w:rsidRDefault="00887330" w:rsidP="00887330">
      <w:pPr>
        <w:pStyle w:val="notetext"/>
      </w:pPr>
      <w:r w:rsidRPr="00583E1A">
        <w:t>Example:</w:t>
      </w:r>
      <w:r w:rsidRPr="00583E1A">
        <w:tab/>
        <w:t>GLM Limited, a company that is an Australian entity, has an average value of assets (other than assets attributable to its overseas permanent establishments) of $160 million.</w:t>
      </w:r>
    </w:p>
    <w:p w:rsidR="00887330" w:rsidRPr="00583E1A" w:rsidRDefault="00887330" w:rsidP="00887330">
      <w:pPr>
        <w:pStyle w:val="notetext"/>
      </w:pPr>
      <w:r w:rsidRPr="00583E1A">
        <w:tab/>
        <w:t>The average values of its relevant associate entity equity, controlled foreign entity debt, controlled foreign entity equity, non</w:t>
      </w:r>
      <w:r w:rsidR="00583E1A">
        <w:noBreakHyphen/>
      </w:r>
      <w:r w:rsidRPr="00583E1A">
        <w:t>debt liabilities and on</w:t>
      </w:r>
      <w:r w:rsidR="00583E1A">
        <w:noBreakHyphen/>
      </w:r>
      <w:r w:rsidRPr="00583E1A">
        <w:t xml:space="preserve">lent amount are $5 million, $9 million, $6 million, $5 million and $35 million respectively. Deducting these amounts from the result of step 1 (through applying steps 2 to 6) leaves $100 million. Multiplying $100 million by </w:t>
      </w:r>
      <w:r w:rsidRPr="00583E1A">
        <w:rPr>
          <w:position w:val="4"/>
          <w:sz w:val="14"/>
        </w:rPr>
        <w:t>3</w:t>
      </w:r>
      <w:r w:rsidRPr="00583E1A">
        <w:t>/</w:t>
      </w:r>
      <w:r w:rsidRPr="00583E1A">
        <w:rPr>
          <w:sz w:val="14"/>
        </w:rPr>
        <w:t>4</w:t>
      </w:r>
      <w:r w:rsidRPr="00583E1A">
        <w:t xml:space="preserve"> results in $75 million. Adding the average on</w:t>
      </w:r>
      <w:r w:rsidR="00583E1A">
        <w:noBreakHyphen/>
      </w:r>
      <w:r w:rsidRPr="00583E1A">
        <w:t>lent amount of $35 million results in $110 million. Reducing the result of step 8 by the associate entity debt amount of $5 million equals $105 million. As the company does not have any associate entity excess amount, the adjusted on</w:t>
      </w:r>
      <w:r w:rsidR="00583E1A">
        <w:noBreakHyphen/>
      </w:r>
      <w:r w:rsidRPr="00583E1A">
        <w:t>lent amount is therefore $105 million.</w:t>
      </w:r>
    </w:p>
    <w:p w:rsidR="00887330" w:rsidRPr="00583E1A" w:rsidRDefault="00887330" w:rsidP="003C48B0">
      <w:pPr>
        <w:pStyle w:val="ActHead5"/>
      </w:pPr>
      <w:bookmarkStart w:id="190" w:name="_Toc338939264"/>
      <w:r w:rsidRPr="00583E1A">
        <w:rPr>
          <w:rStyle w:val="CharSectno"/>
        </w:rPr>
        <w:lastRenderedPageBreak/>
        <w:t>820</w:t>
      </w:r>
      <w:r w:rsidR="00583E1A">
        <w:rPr>
          <w:rStyle w:val="CharSectno"/>
        </w:rPr>
        <w:noBreakHyphen/>
      </w:r>
      <w:r w:rsidRPr="00583E1A">
        <w:rPr>
          <w:rStyle w:val="CharSectno"/>
        </w:rPr>
        <w:t>105</w:t>
      </w:r>
      <w:r w:rsidRPr="00583E1A">
        <w:t xml:space="preserve">  Arm’s length debt amount</w:t>
      </w:r>
      <w:bookmarkEnd w:id="190"/>
    </w:p>
    <w:p w:rsidR="00887330" w:rsidRPr="00583E1A" w:rsidRDefault="00887330" w:rsidP="003C48B0">
      <w:pPr>
        <w:pStyle w:val="subsection"/>
        <w:keepNext/>
        <w:keepLines/>
      </w:pPr>
      <w:r w:rsidRPr="00583E1A">
        <w:tab/>
        <w:t>(1)</w:t>
      </w:r>
      <w:r w:rsidRPr="00583E1A">
        <w:tab/>
        <w:t xml:space="preserve">The </w:t>
      </w:r>
      <w:r w:rsidRPr="00583E1A">
        <w:rPr>
          <w:b/>
          <w:i/>
        </w:rPr>
        <w:t>arm’s length debt amount</w:t>
      </w:r>
      <w:r w:rsidRPr="00583E1A">
        <w:t xml:space="preserve"> is a notional amount that, having regard to the factual assumptions set out in </w:t>
      </w:r>
      <w:r w:rsidR="00583E1A">
        <w:t>subsection (</w:t>
      </w:r>
      <w:r w:rsidRPr="00583E1A">
        <w:t xml:space="preserve">2) and the relevant factors mentioned in </w:t>
      </w:r>
      <w:r w:rsidR="00583E1A">
        <w:t>subsection (</w:t>
      </w:r>
      <w:r w:rsidRPr="00583E1A">
        <w:t xml:space="preserve">3), would satisfy both </w:t>
      </w:r>
      <w:r w:rsidR="00583E1A">
        <w:t>paragraphs (</w:t>
      </w:r>
      <w:r w:rsidRPr="00583E1A">
        <w:t>a) and (b):</w:t>
      </w:r>
    </w:p>
    <w:p w:rsidR="00887330" w:rsidRPr="00583E1A" w:rsidRDefault="00887330" w:rsidP="00887330">
      <w:pPr>
        <w:pStyle w:val="paragraph"/>
      </w:pPr>
      <w:r w:rsidRPr="00583E1A">
        <w:tab/>
        <w:t>(a)</w:t>
      </w:r>
      <w:r w:rsidRPr="00583E1A">
        <w:tab/>
        <w:t xml:space="preserve">the amount represents a notional amount of </w:t>
      </w:r>
      <w:r w:rsidR="00583E1A" w:rsidRPr="00583E1A">
        <w:rPr>
          <w:position w:val="6"/>
          <w:sz w:val="16"/>
        </w:rPr>
        <w:t>*</w:t>
      </w:r>
      <w:r w:rsidRPr="00583E1A">
        <w:t>debt capital that:</w:t>
      </w:r>
    </w:p>
    <w:p w:rsidR="00887330" w:rsidRPr="00583E1A" w:rsidRDefault="00887330" w:rsidP="00887330">
      <w:pPr>
        <w:pStyle w:val="paragraphsub"/>
      </w:pPr>
      <w:r w:rsidRPr="00583E1A">
        <w:tab/>
        <w:t>(i)</w:t>
      </w:r>
      <w:r w:rsidRPr="00583E1A">
        <w:tab/>
        <w:t>the entity would reasonably be expected to have throughout the income year; and</w:t>
      </w:r>
    </w:p>
    <w:p w:rsidR="00887330" w:rsidRPr="00583E1A" w:rsidRDefault="00887330" w:rsidP="00887330">
      <w:pPr>
        <w:pStyle w:val="paragraphsub"/>
      </w:pPr>
      <w:r w:rsidRPr="00583E1A">
        <w:tab/>
        <w:t>(ii)</w:t>
      </w:r>
      <w:r w:rsidRPr="00583E1A">
        <w:tab/>
        <w:t xml:space="preserve">would give rise to an amount of </w:t>
      </w:r>
      <w:r w:rsidR="00583E1A" w:rsidRPr="00583E1A">
        <w:rPr>
          <w:position w:val="6"/>
          <w:sz w:val="16"/>
        </w:rPr>
        <w:t>*</w:t>
      </w:r>
      <w:r w:rsidRPr="00583E1A">
        <w:t>debt deductions of the entity for that or any other income year; and</w:t>
      </w:r>
    </w:p>
    <w:p w:rsidR="00887330" w:rsidRPr="00583E1A" w:rsidRDefault="00887330" w:rsidP="00887330">
      <w:pPr>
        <w:pStyle w:val="paragraphsub"/>
      </w:pPr>
      <w:r w:rsidRPr="00583E1A">
        <w:tab/>
        <w:t>(iii)</w:t>
      </w:r>
      <w:r w:rsidRPr="00583E1A">
        <w:tab/>
        <w:t xml:space="preserve">would be attributable to the entity’s Australian business as mentioned in </w:t>
      </w:r>
      <w:r w:rsidR="00583E1A">
        <w:t>subsection (</w:t>
      </w:r>
      <w:r w:rsidRPr="00583E1A">
        <w:t>2);</w:t>
      </w:r>
    </w:p>
    <w:p w:rsidR="00887330" w:rsidRPr="00583E1A" w:rsidRDefault="00887330" w:rsidP="00887330">
      <w:pPr>
        <w:pStyle w:val="paragraph"/>
      </w:pPr>
      <w:r w:rsidRPr="00583E1A">
        <w:tab/>
        <w:t>(b)</w:t>
      </w:r>
      <w:r w:rsidRPr="00583E1A">
        <w:tab/>
        <w:t xml:space="preserve">commercial lending institutions that were not </w:t>
      </w:r>
      <w:r w:rsidR="00583E1A" w:rsidRPr="00583E1A">
        <w:rPr>
          <w:position w:val="6"/>
          <w:sz w:val="16"/>
        </w:rPr>
        <w:t>*</w:t>
      </w:r>
      <w:r w:rsidRPr="00583E1A">
        <w:t xml:space="preserve">associates of the entity (the </w:t>
      </w:r>
      <w:r w:rsidRPr="00583E1A">
        <w:rPr>
          <w:b/>
          <w:i/>
        </w:rPr>
        <w:t>notional lenders</w:t>
      </w:r>
      <w:r w:rsidRPr="00583E1A">
        <w:t xml:space="preserve">) would reasonably be expected to have entered into </w:t>
      </w:r>
      <w:r w:rsidR="00583E1A" w:rsidRPr="00583E1A">
        <w:rPr>
          <w:position w:val="6"/>
          <w:sz w:val="16"/>
        </w:rPr>
        <w:t>*</w:t>
      </w:r>
      <w:r w:rsidRPr="00583E1A">
        <w:t>schemes that would:</w:t>
      </w:r>
    </w:p>
    <w:p w:rsidR="00887330" w:rsidRPr="00583E1A" w:rsidRDefault="00887330" w:rsidP="00887330">
      <w:pPr>
        <w:pStyle w:val="paragraphsub"/>
      </w:pPr>
      <w:r w:rsidRPr="00583E1A">
        <w:tab/>
        <w:t>(i)</w:t>
      </w:r>
      <w:r w:rsidRPr="00583E1A">
        <w:tab/>
        <w:t xml:space="preserve">give rise to </w:t>
      </w:r>
      <w:r w:rsidR="00583E1A" w:rsidRPr="00583E1A">
        <w:rPr>
          <w:position w:val="6"/>
          <w:sz w:val="16"/>
        </w:rPr>
        <w:t>*</w:t>
      </w:r>
      <w:r w:rsidRPr="00583E1A">
        <w:t>debt interests that constituted that notional amount of debt capital of the entity; and</w:t>
      </w:r>
    </w:p>
    <w:p w:rsidR="00887330" w:rsidRPr="00583E1A" w:rsidRDefault="00887330" w:rsidP="00887330">
      <w:pPr>
        <w:pStyle w:val="paragraphsub"/>
      </w:pPr>
      <w:r w:rsidRPr="00583E1A">
        <w:tab/>
        <w:t>(ii)</w:t>
      </w:r>
      <w:r w:rsidRPr="00583E1A">
        <w:tab/>
        <w:t xml:space="preserve">provide for terms and conditions for the debt interests that would reasonably be expected to have applied if the entity and the notional lenders had been dealing at arm’s length with each other throughout the income year mentioned in </w:t>
      </w:r>
      <w:r w:rsidR="00583E1A">
        <w:t>subparagraph (</w:t>
      </w:r>
      <w:r w:rsidRPr="00583E1A">
        <w:t>1)(a)(i).</w:t>
      </w:r>
    </w:p>
    <w:p w:rsidR="00887330" w:rsidRPr="00583E1A" w:rsidRDefault="00887330" w:rsidP="00887330">
      <w:pPr>
        <w:pStyle w:val="notetext"/>
      </w:pPr>
      <w:r w:rsidRPr="00583E1A">
        <w:t>Note:</w:t>
      </w:r>
      <w:r w:rsidRPr="00583E1A">
        <w:tab/>
        <w:t>The entity must keep records in accordance with section</w:t>
      </w:r>
      <w:r w:rsidR="00583E1A">
        <w:t> </w:t>
      </w:r>
      <w:r w:rsidRPr="00583E1A">
        <w:t>820</w:t>
      </w:r>
      <w:r w:rsidR="00583E1A">
        <w:noBreakHyphen/>
      </w:r>
      <w:r w:rsidRPr="00583E1A">
        <w:t>980 if the entity works out an amount under this section.</w:t>
      </w:r>
    </w:p>
    <w:p w:rsidR="00887330" w:rsidRPr="00583E1A" w:rsidRDefault="00887330" w:rsidP="00887330">
      <w:pPr>
        <w:pStyle w:val="SubsectionHead"/>
      </w:pPr>
      <w:r w:rsidRPr="00583E1A">
        <w:t>Factual assumptions</w:t>
      </w:r>
    </w:p>
    <w:p w:rsidR="00887330" w:rsidRPr="00583E1A" w:rsidRDefault="00887330" w:rsidP="00887330">
      <w:pPr>
        <w:pStyle w:val="subsection"/>
      </w:pPr>
      <w:r w:rsidRPr="00583E1A">
        <w:tab/>
        <w:t>(2)</w:t>
      </w:r>
      <w:r w:rsidRPr="00583E1A">
        <w:tab/>
        <w:t>Irrespective of what actually happened during that year, the following assumptions must be made in working out that amount:</w:t>
      </w:r>
    </w:p>
    <w:p w:rsidR="00887330" w:rsidRPr="00583E1A" w:rsidRDefault="00887330" w:rsidP="00887330">
      <w:pPr>
        <w:pStyle w:val="paragraph"/>
      </w:pPr>
      <w:r w:rsidRPr="00583E1A">
        <w:tab/>
        <w:t>(a)</w:t>
      </w:r>
      <w:r w:rsidRPr="00583E1A">
        <w:tab/>
        <w:t xml:space="preserve">the entity’s commercial activities in connection with </w:t>
      </w:r>
      <w:smartTag w:uri="urn:schemas-microsoft-com:office:smarttags" w:element="country-region">
        <w:smartTag w:uri="urn:schemas-microsoft-com:office:smarttags" w:element="place">
          <w:r w:rsidRPr="00583E1A">
            <w:t>Australia</w:t>
          </w:r>
        </w:smartTag>
      </w:smartTag>
      <w:r w:rsidRPr="00583E1A">
        <w:t xml:space="preserve"> (the </w:t>
      </w:r>
      <w:r w:rsidRPr="00583E1A">
        <w:rPr>
          <w:b/>
          <w:i/>
        </w:rPr>
        <w:t>Australian business</w:t>
      </w:r>
      <w:r w:rsidRPr="00583E1A">
        <w:t>) during that year do not include:</w:t>
      </w:r>
    </w:p>
    <w:p w:rsidR="00887330" w:rsidRPr="00583E1A" w:rsidRDefault="00887330" w:rsidP="00887330">
      <w:pPr>
        <w:pStyle w:val="paragraphsub"/>
      </w:pPr>
      <w:r w:rsidRPr="00583E1A">
        <w:tab/>
        <w:t>(i)</w:t>
      </w:r>
      <w:r w:rsidRPr="00583E1A">
        <w:tab/>
        <w:t xml:space="preserve">any </w:t>
      </w:r>
      <w:r w:rsidR="00583E1A" w:rsidRPr="00583E1A">
        <w:rPr>
          <w:position w:val="6"/>
          <w:sz w:val="16"/>
        </w:rPr>
        <w:t>*</w:t>
      </w:r>
      <w:r w:rsidRPr="00583E1A">
        <w:t xml:space="preserve">business carried on by the entity at or through its </w:t>
      </w:r>
      <w:r w:rsidR="00583E1A" w:rsidRPr="00583E1A">
        <w:rPr>
          <w:position w:val="6"/>
          <w:sz w:val="16"/>
        </w:rPr>
        <w:t>*</w:t>
      </w:r>
      <w:r w:rsidRPr="00583E1A">
        <w:t>overseas permanent establishments; and</w:t>
      </w:r>
    </w:p>
    <w:p w:rsidR="00887330" w:rsidRPr="00583E1A" w:rsidRDefault="00887330" w:rsidP="00887330">
      <w:pPr>
        <w:pStyle w:val="paragraphsub"/>
      </w:pPr>
      <w:r w:rsidRPr="00583E1A">
        <w:tab/>
        <w:t>(ii)</w:t>
      </w:r>
      <w:r w:rsidRPr="00583E1A">
        <w:tab/>
        <w:t xml:space="preserve">the holding of any </w:t>
      </w:r>
      <w:r w:rsidR="00583E1A" w:rsidRPr="00583E1A">
        <w:rPr>
          <w:position w:val="6"/>
          <w:sz w:val="16"/>
        </w:rPr>
        <w:t>*</w:t>
      </w:r>
      <w:r w:rsidRPr="00583E1A">
        <w:t xml:space="preserve">associate entity debt, </w:t>
      </w:r>
      <w:r w:rsidR="00583E1A" w:rsidRPr="00583E1A">
        <w:rPr>
          <w:position w:val="6"/>
          <w:sz w:val="16"/>
        </w:rPr>
        <w:t>*</w:t>
      </w:r>
      <w:r w:rsidRPr="00583E1A">
        <w:t xml:space="preserve">controlled foreign entity debt or </w:t>
      </w:r>
      <w:r w:rsidR="00583E1A" w:rsidRPr="00583E1A">
        <w:rPr>
          <w:position w:val="6"/>
          <w:sz w:val="16"/>
        </w:rPr>
        <w:t>*</w:t>
      </w:r>
      <w:r w:rsidRPr="00583E1A">
        <w:t>controlled foreign entity equity; and</w:t>
      </w:r>
    </w:p>
    <w:p w:rsidR="00887330" w:rsidRPr="00583E1A" w:rsidRDefault="00887330" w:rsidP="00887330">
      <w:pPr>
        <w:pStyle w:val="paragraph"/>
      </w:pPr>
      <w:r w:rsidRPr="00583E1A">
        <w:lastRenderedPageBreak/>
        <w:tab/>
        <w:t>(b)</w:t>
      </w:r>
      <w:r w:rsidRPr="00583E1A">
        <w:tab/>
        <w:t>the entity had carried on the Australian business that it actually carried on during that year;</w:t>
      </w:r>
    </w:p>
    <w:p w:rsidR="00887330" w:rsidRPr="00583E1A" w:rsidRDefault="00887330" w:rsidP="00887330">
      <w:pPr>
        <w:pStyle w:val="paragraph"/>
      </w:pPr>
      <w:r w:rsidRPr="00583E1A">
        <w:tab/>
        <w:t>(c)</w:t>
      </w:r>
      <w:r w:rsidRPr="00583E1A">
        <w:tab/>
        <w:t>the nature of the entity’s assets and liabilities (to the extent that they are attributable to the Australian business) had been as they were during that year;</w:t>
      </w:r>
    </w:p>
    <w:p w:rsidR="00887330" w:rsidRPr="00583E1A" w:rsidRDefault="00887330" w:rsidP="00887330">
      <w:pPr>
        <w:pStyle w:val="paragraph"/>
      </w:pPr>
      <w:r w:rsidRPr="00583E1A">
        <w:tab/>
        <w:t>(d)</w:t>
      </w:r>
      <w:r w:rsidRPr="00583E1A">
        <w:tab/>
        <w:t xml:space="preserve">except as stated in </w:t>
      </w:r>
      <w:r w:rsidR="00583E1A">
        <w:t>paragraph (</w:t>
      </w:r>
      <w:r w:rsidRPr="00583E1A">
        <w:t xml:space="preserve">1)(b) and </w:t>
      </w:r>
      <w:r w:rsidR="00583E1A">
        <w:t>paragraphs (</w:t>
      </w:r>
      <w:r w:rsidRPr="00583E1A">
        <w:t>e), (f) and (g) of this subsection, the entity had carried on the Australian business in the same circumstances as what actually existed during that year;</w:t>
      </w:r>
    </w:p>
    <w:p w:rsidR="00887330" w:rsidRPr="00583E1A" w:rsidRDefault="00887330" w:rsidP="00887330">
      <w:pPr>
        <w:pStyle w:val="paragraph"/>
      </w:pPr>
      <w:r w:rsidRPr="00583E1A">
        <w:tab/>
        <w:t>(e)</w:t>
      </w:r>
      <w:r w:rsidRPr="00583E1A">
        <w:tab/>
        <w:t>any guarantee, security or other form of credit support provided to the entity in relation to the Australian business during that year:</w:t>
      </w:r>
    </w:p>
    <w:p w:rsidR="00887330" w:rsidRPr="00583E1A" w:rsidRDefault="00887330" w:rsidP="00887330">
      <w:pPr>
        <w:pStyle w:val="paragraphsub"/>
      </w:pPr>
      <w:r w:rsidRPr="00583E1A">
        <w:tab/>
        <w:t>(i)</w:t>
      </w:r>
      <w:r w:rsidRPr="00583E1A">
        <w:tab/>
        <w:t xml:space="preserve">by its </w:t>
      </w:r>
      <w:r w:rsidR="00583E1A" w:rsidRPr="00583E1A">
        <w:rPr>
          <w:position w:val="6"/>
          <w:sz w:val="16"/>
        </w:rPr>
        <w:t>*</w:t>
      </w:r>
      <w:r w:rsidRPr="00583E1A">
        <w:t>associates; or</w:t>
      </w:r>
    </w:p>
    <w:p w:rsidR="00887330" w:rsidRPr="00583E1A" w:rsidRDefault="00887330" w:rsidP="00887330">
      <w:pPr>
        <w:pStyle w:val="paragraphsub"/>
      </w:pPr>
      <w:r w:rsidRPr="00583E1A">
        <w:tab/>
        <w:t>(ii)</w:t>
      </w:r>
      <w:r w:rsidRPr="00583E1A">
        <w:tab/>
        <w:t>by the use of assets of the entity that are attributable to the entity’s overseas permanent establishments;</w:t>
      </w:r>
    </w:p>
    <w:p w:rsidR="00887330" w:rsidRPr="00583E1A" w:rsidRDefault="00887330" w:rsidP="00887330">
      <w:pPr>
        <w:pStyle w:val="paragraph"/>
      </w:pPr>
      <w:r w:rsidRPr="00583E1A">
        <w:tab/>
      </w:r>
      <w:r w:rsidRPr="00583E1A">
        <w:tab/>
        <w:t>is taken not to have been received by the entity;</w:t>
      </w:r>
    </w:p>
    <w:p w:rsidR="00887330" w:rsidRPr="00583E1A" w:rsidRDefault="00887330" w:rsidP="00887330">
      <w:pPr>
        <w:pStyle w:val="paragraph"/>
      </w:pPr>
      <w:r w:rsidRPr="00583E1A">
        <w:tab/>
        <w:t>(f)</w:t>
      </w:r>
      <w:r w:rsidRPr="00583E1A">
        <w:tab/>
        <w:t>the entity’s only activities during that year were the Australian business;</w:t>
      </w:r>
    </w:p>
    <w:p w:rsidR="00887330" w:rsidRPr="00583E1A" w:rsidRDefault="00887330" w:rsidP="00887330">
      <w:pPr>
        <w:pStyle w:val="paragraph"/>
      </w:pPr>
      <w:r w:rsidRPr="00583E1A">
        <w:tab/>
        <w:t>(g)</w:t>
      </w:r>
      <w:r w:rsidRPr="00583E1A">
        <w:tab/>
        <w:t xml:space="preserve">the entity’s only assets and liabilities during that year were those referred to in </w:t>
      </w:r>
      <w:r w:rsidR="00583E1A">
        <w:t>paragraph (</w:t>
      </w:r>
      <w:r w:rsidRPr="00583E1A">
        <w:t>c) of this subsection.</w:t>
      </w:r>
    </w:p>
    <w:p w:rsidR="00887330" w:rsidRPr="00583E1A" w:rsidRDefault="00887330" w:rsidP="00887330">
      <w:pPr>
        <w:pStyle w:val="subsection2"/>
      </w:pPr>
      <w:r w:rsidRPr="00583E1A">
        <w:t xml:space="preserve">However, the assumptions set out in </w:t>
      </w:r>
      <w:r w:rsidR="00583E1A">
        <w:t>paragraphs (</w:t>
      </w:r>
      <w:r w:rsidRPr="00583E1A">
        <w:t xml:space="preserve">f) and (g) of this subsection are not to be made in taking into account the relevant factors mentioned in </w:t>
      </w:r>
      <w:r w:rsidR="00583E1A">
        <w:t>subsection (</w:t>
      </w:r>
      <w:r w:rsidRPr="00583E1A">
        <w:t>3).</w:t>
      </w:r>
    </w:p>
    <w:p w:rsidR="00887330" w:rsidRPr="00583E1A" w:rsidRDefault="00887330" w:rsidP="00887330">
      <w:pPr>
        <w:pStyle w:val="SubsectionHead"/>
      </w:pPr>
      <w:r w:rsidRPr="00583E1A">
        <w:t>Relevant factors</w:t>
      </w:r>
    </w:p>
    <w:p w:rsidR="00887330" w:rsidRPr="00583E1A" w:rsidRDefault="00887330" w:rsidP="00887330">
      <w:pPr>
        <w:pStyle w:val="subsection"/>
      </w:pPr>
      <w:r w:rsidRPr="00583E1A">
        <w:tab/>
        <w:t>(3)</w:t>
      </w:r>
      <w:r w:rsidRPr="00583E1A">
        <w:tab/>
        <w:t xml:space="preserve">On the basis of the factual assumptions set out in </w:t>
      </w:r>
      <w:r w:rsidR="00583E1A">
        <w:t>subsection (</w:t>
      </w:r>
      <w:r w:rsidRPr="00583E1A">
        <w:t xml:space="preserve">2), the following factors must be taken into account in determining whether or not an amount satisfies </w:t>
      </w:r>
      <w:r w:rsidR="00583E1A">
        <w:t>paragraphs (</w:t>
      </w:r>
      <w:r w:rsidRPr="00583E1A">
        <w:t>1)(a) and (b):</w:t>
      </w:r>
    </w:p>
    <w:p w:rsidR="00887330" w:rsidRPr="00583E1A" w:rsidRDefault="00887330" w:rsidP="00887330">
      <w:pPr>
        <w:pStyle w:val="paragraph"/>
      </w:pPr>
      <w:r w:rsidRPr="00583E1A">
        <w:tab/>
        <w:t>(a)</w:t>
      </w:r>
      <w:r w:rsidRPr="00583E1A">
        <w:tab/>
        <w:t>the functions performed, the assets used, and the risks assumed, by the entity in relation to the Australian business throughout that year;</w:t>
      </w:r>
    </w:p>
    <w:p w:rsidR="00887330" w:rsidRPr="00583E1A" w:rsidRDefault="00887330" w:rsidP="00887330">
      <w:pPr>
        <w:pStyle w:val="paragraph"/>
      </w:pPr>
      <w:r w:rsidRPr="00583E1A">
        <w:tab/>
        <w:t>(b)</w:t>
      </w:r>
      <w:r w:rsidRPr="00583E1A">
        <w:tab/>
        <w:t xml:space="preserve">the terms and conditions of the </w:t>
      </w:r>
      <w:r w:rsidR="00583E1A" w:rsidRPr="00583E1A">
        <w:rPr>
          <w:position w:val="6"/>
          <w:sz w:val="16"/>
        </w:rPr>
        <w:t>*</w:t>
      </w:r>
      <w:r w:rsidRPr="00583E1A">
        <w:t>debt capital that the entity actually had in relation to the Australian business throughout that year;</w:t>
      </w:r>
    </w:p>
    <w:p w:rsidR="00887330" w:rsidRPr="00583E1A" w:rsidRDefault="00887330" w:rsidP="00887330">
      <w:pPr>
        <w:pStyle w:val="paragraph"/>
      </w:pPr>
      <w:r w:rsidRPr="00583E1A">
        <w:tab/>
        <w:t>(c)</w:t>
      </w:r>
      <w:r w:rsidRPr="00583E1A">
        <w:tab/>
        <w:t xml:space="preserve">the nature of, and title to, any assets of the entity attributable to the Australian business that were available to the entity </w:t>
      </w:r>
      <w:r w:rsidRPr="00583E1A">
        <w:lastRenderedPageBreak/>
        <w:t>throughout that year as security for its debt capital for that business;</w:t>
      </w:r>
    </w:p>
    <w:p w:rsidR="00887330" w:rsidRPr="00583E1A" w:rsidRDefault="00887330" w:rsidP="00887330">
      <w:pPr>
        <w:pStyle w:val="paragraph"/>
      </w:pPr>
      <w:r w:rsidRPr="00583E1A">
        <w:tab/>
        <w:t>(d)</w:t>
      </w:r>
      <w:r w:rsidRPr="00583E1A">
        <w:tab/>
        <w:t xml:space="preserve">the purposes for which </w:t>
      </w:r>
      <w:r w:rsidR="00583E1A" w:rsidRPr="00583E1A">
        <w:rPr>
          <w:position w:val="6"/>
          <w:sz w:val="16"/>
        </w:rPr>
        <w:t>*</w:t>
      </w:r>
      <w:r w:rsidRPr="00583E1A">
        <w:t>schemes for debt capital had been actually entered into by the entity in relation to the Australian business throughout that year;</w:t>
      </w:r>
    </w:p>
    <w:p w:rsidR="00887330" w:rsidRPr="00583E1A" w:rsidRDefault="00887330" w:rsidP="00887330">
      <w:pPr>
        <w:pStyle w:val="paragraph"/>
      </w:pPr>
      <w:r w:rsidRPr="00583E1A">
        <w:tab/>
        <w:t>(e)</w:t>
      </w:r>
      <w:r w:rsidRPr="00583E1A">
        <w:tab/>
        <w:t>the entity’s capacity to meet all its liabilities in relation to the Australian business (whether during that year or at any other time);</w:t>
      </w:r>
    </w:p>
    <w:p w:rsidR="00887330" w:rsidRPr="00583E1A" w:rsidRDefault="00887330" w:rsidP="00887330">
      <w:pPr>
        <w:pStyle w:val="paragraph"/>
      </w:pPr>
      <w:r w:rsidRPr="00583E1A">
        <w:tab/>
        <w:t>(f)</w:t>
      </w:r>
      <w:r w:rsidRPr="00583E1A">
        <w:tab/>
        <w:t xml:space="preserve">the profit of the entity (within the meaning of the </w:t>
      </w:r>
      <w:r w:rsidR="00583E1A" w:rsidRPr="00583E1A">
        <w:rPr>
          <w:position w:val="6"/>
          <w:sz w:val="16"/>
        </w:rPr>
        <w:t>*</w:t>
      </w:r>
      <w:r w:rsidRPr="00583E1A">
        <w:t>accounting standards), and the return on its capital, in relation to the Australian business (whether during that year or at any other time);</w:t>
      </w:r>
    </w:p>
    <w:p w:rsidR="00887330" w:rsidRPr="00583E1A" w:rsidRDefault="00887330" w:rsidP="00887330">
      <w:pPr>
        <w:pStyle w:val="paragraph"/>
      </w:pPr>
      <w:r w:rsidRPr="00583E1A">
        <w:tab/>
        <w:t>(g)</w:t>
      </w:r>
      <w:r w:rsidRPr="00583E1A">
        <w:tab/>
        <w:t>the debt to equity ratios of the following throughout that year:</w:t>
      </w:r>
    </w:p>
    <w:p w:rsidR="00887330" w:rsidRPr="00583E1A" w:rsidRDefault="00887330" w:rsidP="00887330">
      <w:pPr>
        <w:pStyle w:val="paragraphsub"/>
      </w:pPr>
      <w:r w:rsidRPr="00583E1A">
        <w:tab/>
        <w:t>(i)</w:t>
      </w:r>
      <w:r w:rsidRPr="00583E1A">
        <w:tab/>
        <w:t>the entity;</w:t>
      </w:r>
    </w:p>
    <w:p w:rsidR="00887330" w:rsidRPr="00583E1A" w:rsidRDefault="00887330" w:rsidP="00887330">
      <w:pPr>
        <w:pStyle w:val="paragraphsub"/>
      </w:pPr>
      <w:r w:rsidRPr="00583E1A">
        <w:tab/>
        <w:t>(ii)</w:t>
      </w:r>
      <w:r w:rsidRPr="00583E1A">
        <w:tab/>
        <w:t>the entity in relation to the Australian business;</w:t>
      </w:r>
    </w:p>
    <w:p w:rsidR="00887330" w:rsidRPr="00583E1A" w:rsidRDefault="00887330" w:rsidP="00887330">
      <w:pPr>
        <w:pStyle w:val="paragraphsub"/>
      </w:pPr>
      <w:r w:rsidRPr="00583E1A">
        <w:tab/>
        <w:t>(iii)</w:t>
      </w:r>
      <w:r w:rsidRPr="00583E1A">
        <w:tab/>
        <w:t xml:space="preserve">each of the entity’s </w:t>
      </w:r>
      <w:r w:rsidR="00583E1A" w:rsidRPr="00583E1A">
        <w:rPr>
          <w:position w:val="6"/>
          <w:sz w:val="16"/>
        </w:rPr>
        <w:t>*</w:t>
      </w:r>
      <w:r w:rsidRPr="00583E1A">
        <w:t>associate entities that engage in commercial activities similar to the Australian business;</w:t>
      </w:r>
    </w:p>
    <w:p w:rsidR="00887330" w:rsidRPr="00583E1A" w:rsidRDefault="00887330" w:rsidP="00887330">
      <w:pPr>
        <w:pStyle w:val="paragraph"/>
      </w:pPr>
      <w:r w:rsidRPr="00583E1A">
        <w:tab/>
        <w:t>(h)</w:t>
      </w:r>
      <w:r w:rsidRPr="00583E1A">
        <w:tab/>
        <w:t>the commercial practices adopted by independent parties dealing with each other at arm’s length in the industry in which the entity carries on the Australian business throughout that year (whether in Australia or in comparable markets elsewhere);</w:t>
      </w:r>
    </w:p>
    <w:p w:rsidR="00887330" w:rsidRPr="00583E1A" w:rsidRDefault="00887330" w:rsidP="00887330">
      <w:pPr>
        <w:pStyle w:val="paragraph"/>
      </w:pPr>
      <w:r w:rsidRPr="00583E1A">
        <w:tab/>
        <w:t>(i)</w:t>
      </w:r>
      <w:r w:rsidRPr="00583E1A">
        <w:tab/>
        <w:t>the way in which the entity financed its commercial activities (other than the Australian business) throughout that year;</w:t>
      </w:r>
    </w:p>
    <w:p w:rsidR="00887330" w:rsidRPr="00583E1A" w:rsidRDefault="00887330" w:rsidP="00887330">
      <w:pPr>
        <w:pStyle w:val="paragraph"/>
      </w:pPr>
      <w:r w:rsidRPr="00583E1A">
        <w:tab/>
        <w:t>(j)</w:t>
      </w:r>
      <w:r w:rsidRPr="00583E1A">
        <w:tab/>
        <w:t>the general state of the Australian economy throughout that year;</w:t>
      </w:r>
    </w:p>
    <w:p w:rsidR="00887330" w:rsidRPr="00583E1A" w:rsidRDefault="00887330" w:rsidP="00887330">
      <w:pPr>
        <w:pStyle w:val="paragraph"/>
      </w:pPr>
      <w:r w:rsidRPr="00583E1A">
        <w:tab/>
        <w:t>(k)</w:t>
      </w:r>
      <w:r w:rsidRPr="00583E1A">
        <w:tab/>
        <w:t xml:space="preserve">all of the above factors existing at the time when the entity last entered into a scheme that gave rise to an actual </w:t>
      </w:r>
      <w:r w:rsidR="00583E1A" w:rsidRPr="00583E1A">
        <w:rPr>
          <w:position w:val="6"/>
          <w:sz w:val="16"/>
        </w:rPr>
        <w:t>*</w:t>
      </w:r>
      <w:r w:rsidRPr="00583E1A">
        <w:t xml:space="preserve">debt interest attributable to the Australian business that remains </w:t>
      </w:r>
      <w:r w:rsidR="00583E1A" w:rsidRPr="00583E1A">
        <w:rPr>
          <w:position w:val="6"/>
          <w:sz w:val="16"/>
        </w:rPr>
        <w:t>*</w:t>
      </w:r>
      <w:r w:rsidRPr="00583E1A">
        <w:t>on issue throughout that year;</w:t>
      </w:r>
    </w:p>
    <w:p w:rsidR="00887330" w:rsidRPr="00583E1A" w:rsidRDefault="00887330" w:rsidP="00887330">
      <w:pPr>
        <w:pStyle w:val="paragraph"/>
      </w:pPr>
      <w:r w:rsidRPr="00583E1A">
        <w:tab/>
        <w:t>(l)</w:t>
      </w:r>
      <w:r w:rsidRPr="00583E1A">
        <w:tab/>
        <w:t xml:space="preserve">any other factors which are specified in the regulations made for the purposes of this section, including factors specific to an </w:t>
      </w:r>
      <w:r w:rsidR="00583E1A" w:rsidRPr="00583E1A">
        <w:rPr>
          <w:position w:val="6"/>
          <w:sz w:val="16"/>
        </w:rPr>
        <w:t>*</w:t>
      </w:r>
      <w:r w:rsidRPr="00583E1A">
        <w:t xml:space="preserve">outward investor (general) or an </w:t>
      </w:r>
      <w:r w:rsidR="00583E1A" w:rsidRPr="00583E1A">
        <w:rPr>
          <w:position w:val="6"/>
          <w:sz w:val="16"/>
        </w:rPr>
        <w:t>*</w:t>
      </w:r>
      <w:r w:rsidRPr="00583E1A">
        <w:t>outward investor (financial).</w:t>
      </w:r>
    </w:p>
    <w:p w:rsidR="00887330" w:rsidRPr="00583E1A" w:rsidRDefault="00887330" w:rsidP="00887330">
      <w:pPr>
        <w:pStyle w:val="SubsectionHead"/>
      </w:pPr>
      <w:r w:rsidRPr="00583E1A">
        <w:lastRenderedPageBreak/>
        <w:t>Commissioner’s power</w:t>
      </w:r>
    </w:p>
    <w:p w:rsidR="00887330" w:rsidRPr="00583E1A" w:rsidRDefault="00887330" w:rsidP="00887330">
      <w:pPr>
        <w:pStyle w:val="subsection"/>
      </w:pPr>
      <w:r w:rsidRPr="00583E1A">
        <w:tab/>
        <w:t>(4)</w:t>
      </w:r>
      <w:r w:rsidRPr="00583E1A">
        <w:tab/>
        <w:t>If the Commissioner considers an amount worked out by the entity under this section does not appropriately take into account the factual assumptions and the relevant factors, the Commissioner may substitute another amount that the Commissioner considers better reflects those assumptions and factors.</w:t>
      </w:r>
    </w:p>
    <w:p w:rsidR="00887330" w:rsidRPr="00583E1A" w:rsidRDefault="00887330" w:rsidP="00887330">
      <w:pPr>
        <w:pStyle w:val="ActHead5"/>
      </w:pPr>
      <w:bookmarkStart w:id="191" w:name="_Toc338939265"/>
      <w:r w:rsidRPr="00583E1A">
        <w:rPr>
          <w:rStyle w:val="CharSectno"/>
        </w:rPr>
        <w:t>820</w:t>
      </w:r>
      <w:r w:rsidR="00583E1A">
        <w:rPr>
          <w:rStyle w:val="CharSectno"/>
        </w:rPr>
        <w:noBreakHyphen/>
      </w:r>
      <w:r w:rsidRPr="00583E1A">
        <w:rPr>
          <w:rStyle w:val="CharSectno"/>
        </w:rPr>
        <w:t>110</w:t>
      </w:r>
      <w:r w:rsidRPr="00583E1A">
        <w:t xml:space="preserve">  Worldwide gearing debt amount</w:t>
      </w:r>
      <w:bookmarkEnd w:id="191"/>
    </w:p>
    <w:p w:rsidR="00887330" w:rsidRPr="00583E1A" w:rsidRDefault="00887330" w:rsidP="00887330">
      <w:pPr>
        <w:pStyle w:val="SubsectionHead"/>
      </w:pPr>
      <w:r w:rsidRPr="00583E1A">
        <w:t>Outward investor (general)</w:t>
      </w:r>
    </w:p>
    <w:p w:rsidR="00887330" w:rsidRPr="00583E1A" w:rsidRDefault="00887330" w:rsidP="00887330">
      <w:pPr>
        <w:pStyle w:val="subsection"/>
      </w:pPr>
      <w:r w:rsidRPr="00583E1A">
        <w:tab/>
        <w:t>(1)</w:t>
      </w:r>
      <w:r w:rsidRPr="00583E1A">
        <w:tab/>
        <w:t xml:space="preserve">If the entity is an </w:t>
      </w:r>
      <w:r w:rsidR="00583E1A" w:rsidRPr="00583E1A">
        <w:rPr>
          <w:position w:val="6"/>
          <w:sz w:val="16"/>
        </w:rPr>
        <w:t>*</w:t>
      </w:r>
      <w:r w:rsidRPr="00583E1A">
        <w:t xml:space="preserve">outward investor (general) for the income year, the </w:t>
      </w:r>
      <w:r w:rsidRPr="00583E1A">
        <w:rPr>
          <w:b/>
          <w:i/>
        </w:rPr>
        <w:t>worldwide gearing debt amount</w:t>
      </w:r>
      <w:r w:rsidRPr="00583E1A">
        <w:t xml:space="preserve"> is the result of applying the method statement in this subsection.</w:t>
      </w:r>
    </w:p>
    <w:p w:rsidR="00887330" w:rsidRPr="00583E1A" w:rsidRDefault="00887330" w:rsidP="00887330">
      <w:pPr>
        <w:pStyle w:val="BoxHeadItalic"/>
        <w:keepNext/>
        <w:keepLines/>
      </w:pPr>
      <w:r w:rsidRPr="00583E1A">
        <w:t>Method statement</w:t>
      </w:r>
    </w:p>
    <w:p w:rsidR="00887330" w:rsidRPr="00583E1A" w:rsidRDefault="00AE4F7F" w:rsidP="00887330">
      <w:pPr>
        <w:pStyle w:val="BoxStep"/>
        <w:keepNext/>
        <w:keepLines/>
      </w:pPr>
      <w:r w:rsidRPr="00583E1A">
        <w:rPr>
          <w:szCs w:val="22"/>
        </w:rPr>
        <w:t>Step 1.</w:t>
      </w:r>
      <w:r w:rsidR="00887330" w:rsidRPr="00583E1A">
        <w:tab/>
        <w:t xml:space="preserve">Divide the average value of all the entity’s </w:t>
      </w:r>
      <w:r w:rsidR="00583E1A" w:rsidRPr="00583E1A">
        <w:rPr>
          <w:position w:val="6"/>
          <w:sz w:val="16"/>
        </w:rPr>
        <w:t>*</w:t>
      </w:r>
      <w:r w:rsidR="00887330" w:rsidRPr="00583E1A">
        <w:t xml:space="preserve">worldwide debt for the income year by the average value of all the entity’s </w:t>
      </w:r>
      <w:r w:rsidR="00583E1A" w:rsidRPr="00583E1A">
        <w:rPr>
          <w:position w:val="6"/>
          <w:sz w:val="16"/>
        </w:rPr>
        <w:t>*</w:t>
      </w:r>
      <w:r w:rsidR="00887330" w:rsidRPr="00583E1A">
        <w:t>worldwide equity for that year.</w:t>
      </w:r>
    </w:p>
    <w:p w:rsidR="00887330" w:rsidRPr="00583E1A" w:rsidRDefault="00AE4F7F" w:rsidP="00887330">
      <w:pPr>
        <w:pStyle w:val="BoxStep"/>
      </w:pPr>
      <w:r w:rsidRPr="00583E1A">
        <w:rPr>
          <w:szCs w:val="22"/>
        </w:rPr>
        <w:t>Step 2.</w:t>
      </w:r>
      <w:r w:rsidR="00887330" w:rsidRPr="00583E1A">
        <w:tab/>
        <w:t xml:space="preserve">Multiply the result of step 1 by </w:t>
      </w:r>
      <w:r w:rsidR="00887330" w:rsidRPr="00583E1A">
        <w:rPr>
          <w:position w:val="6"/>
          <w:sz w:val="16"/>
        </w:rPr>
        <w:t>12</w:t>
      </w:r>
      <w:r w:rsidR="00887330" w:rsidRPr="00583E1A">
        <w:t>/</w:t>
      </w:r>
      <w:r w:rsidR="00887330" w:rsidRPr="00583E1A">
        <w:rPr>
          <w:sz w:val="16"/>
        </w:rPr>
        <w:t>10</w:t>
      </w:r>
      <w:r w:rsidR="00887330" w:rsidRPr="00583E1A">
        <w:t>.</w:t>
      </w:r>
    </w:p>
    <w:p w:rsidR="00887330" w:rsidRPr="00583E1A" w:rsidRDefault="00AE4F7F" w:rsidP="00887330">
      <w:pPr>
        <w:pStyle w:val="BoxStep"/>
      </w:pPr>
      <w:r w:rsidRPr="00583E1A">
        <w:rPr>
          <w:szCs w:val="22"/>
        </w:rPr>
        <w:t>Step 3.</w:t>
      </w:r>
      <w:r w:rsidR="00887330" w:rsidRPr="00583E1A">
        <w:tab/>
        <w:t>Add 1 to the result of step 2.</w:t>
      </w:r>
    </w:p>
    <w:p w:rsidR="00887330" w:rsidRPr="00583E1A" w:rsidRDefault="00AE4F7F" w:rsidP="00887330">
      <w:pPr>
        <w:pStyle w:val="BoxStep"/>
      </w:pPr>
      <w:r w:rsidRPr="00583E1A">
        <w:rPr>
          <w:szCs w:val="22"/>
        </w:rPr>
        <w:t>Step 4.</w:t>
      </w:r>
      <w:r w:rsidR="00887330" w:rsidRPr="00583E1A">
        <w:rPr>
          <w:i/>
        </w:rPr>
        <w:tab/>
      </w:r>
      <w:r w:rsidR="00887330" w:rsidRPr="00583E1A">
        <w:t>Divide the result of step 2 by the result of step 3.</w:t>
      </w:r>
    </w:p>
    <w:p w:rsidR="00887330" w:rsidRPr="00583E1A" w:rsidRDefault="00AE4F7F" w:rsidP="00887330">
      <w:pPr>
        <w:pStyle w:val="BoxStep"/>
      </w:pPr>
      <w:r w:rsidRPr="00583E1A">
        <w:rPr>
          <w:szCs w:val="22"/>
        </w:rPr>
        <w:t>Step 5.</w:t>
      </w:r>
      <w:r w:rsidR="00887330" w:rsidRPr="00583E1A">
        <w:rPr>
          <w:i/>
        </w:rPr>
        <w:tab/>
      </w:r>
      <w:r w:rsidR="00887330" w:rsidRPr="00583E1A">
        <w:t>Multiply the result of step 4 in this method statement by the result of step 6 in the method statement in section</w:t>
      </w:r>
      <w:r w:rsidR="00583E1A">
        <w:t> </w:t>
      </w:r>
      <w:r w:rsidR="00887330" w:rsidRPr="00583E1A">
        <w:t>820</w:t>
      </w:r>
      <w:r w:rsidR="00583E1A">
        <w:noBreakHyphen/>
      </w:r>
      <w:r w:rsidR="00887330" w:rsidRPr="00583E1A">
        <w:t>95.</w:t>
      </w:r>
    </w:p>
    <w:p w:rsidR="00887330" w:rsidRPr="00583E1A" w:rsidRDefault="00AE4F7F" w:rsidP="00887330">
      <w:pPr>
        <w:pStyle w:val="BoxStep"/>
        <w:rPr>
          <w:i/>
        </w:rPr>
      </w:pPr>
      <w:r w:rsidRPr="00583E1A">
        <w:rPr>
          <w:szCs w:val="22"/>
        </w:rPr>
        <w:t>Step 6.</w:t>
      </w:r>
      <w:r w:rsidR="00887330" w:rsidRPr="00583E1A">
        <w:tab/>
        <w:t xml:space="preserve">Add to the result of step 5 the average value, for that year, of the entity’s </w:t>
      </w:r>
      <w:r w:rsidR="00583E1A" w:rsidRPr="00583E1A">
        <w:rPr>
          <w:position w:val="6"/>
          <w:sz w:val="16"/>
        </w:rPr>
        <w:t>*</w:t>
      </w:r>
      <w:r w:rsidR="00887330" w:rsidRPr="00583E1A">
        <w:t xml:space="preserve">associate entity excess amount. The result of this step is the </w:t>
      </w:r>
      <w:r w:rsidR="00887330" w:rsidRPr="00583E1A">
        <w:rPr>
          <w:b/>
          <w:i/>
        </w:rPr>
        <w:t>worldwide gearing debt amount</w:t>
      </w:r>
      <w:r w:rsidR="00887330" w:rsidRPr="00583E1A">
        <w:t>.</w:t>
      </w:r>
    </w:p>
    <w:p w:rsidR="00887330" w:rsidRPr="00583E1A" w:rsidRDefault="00887330" w:rsidP="00887330">
      <w:pPr>
        <w:pStyle w:val="notetext"/>
      </w:pPr>
      <w:r w:rsidRPr="00583E1A">
        <w:t>Example:</w:t>
      </w:r>
      <w:r w:rsidRPr="00583E1A">
        <w:tab/>
        <w:t>AK Pty Ltd, a company that is an Australian entity, has an average value of worldwide debt of $83.4 million and an average value of worldwide equity of $27 million. The result of applying steps 1 and 2 is therefore 3.706. Dividing 3.706 by 4.706 (through applying steps 3 and 4) and multiplying the result by $70 million (which is the result of step 6 in the method statement in section</w:t>
      </w:r>
      <w:r w:rsidR="00583E1A">
        <w:t> </w:t>
      </w:r>
      <w:r w:rsidRPr="00583E1A">
        <w:t>820</w:t>
      </w:r>
      <w:r w:rsidR="00583E1A">
        <w:noBreakHyphen/>
      </w:r>
      <w:r w:rsidRPr="00583E1A">
        <w:t xml:space="preserve">95) equals $55.13 </w:t>
      </w:r>
      <w:r w:rsidRPr="00583E1A">
        <w:lastRenderedPageBreak/>
        <w:t>million. As the average value of the company’s associate entity excess amount is $4.5 million, the worldwide gearing debt amount is therefore $59.63 million.</w:t>
      </w:r>
    </w:p>
    <w:p w:rsidR="00887330" w:rsidRPr="00583E1A" w:rsidRDefault="00887330" w:rsidP="00887330">
      <w:pPr>
        <w:pStyle w:val="SubsectionHead"/>
      </w:pPr>
      <w:r w:rsidRPr="00583E1A">
        <w:t>Outward investor (financial)</w:t>
      </w:r>
    </w:p>
    <w:p w:rsidR="00887330" w:rsidRPr="00583E1A" w:rsidRDefault="00887330" w:rsidP="00887330">
      <w:pPr>
        <w:pStyle w:val="subsection"/>
      </w:pPr>
      <w:r w:rsidRPr="00583E1A">
        <w:tab/>
        <w:t>(2)</w:t>
      </w:r>
      <w:r w:rsidRPr="00583E1A">
        <w:tab/>
        <w:t xml:space="preserve">If the entity is an </w:t>
      </w:r>
      <w:r w:rsidR="00583E1A" w:rsidRPr="00583E1A">
        <w:rPr>
          <w:position w:val="6"/>
          <w:sz w:val="16"/>
        </w:rPr>
        <w:t>*</w:t>
      </w:r>
      <w:r w:rsidRPr="00583E1A">
        <w:t xml:space="preserve">outward investor (financial) for that year, the </w:t>
      </w:r>
      <w:r w:rsidRPr="00583E1A">
        <w:rPr>
          <w:b/>
          <w:i/>
        </w:rPr>
        <w:t>worldwide gearing debt amount</w:t>
      </w:r>
      <w:r w:rsidRPr="00583E1A">
        <w:t xml:space="preserve"> is the result of applying the method statement in this subsection.</w:t>
      </w:r>
    </w:p>
    <w:p w:rsidR="00887330" w:rsidRPr="00583E1A" w:rsidRDefault="00887330" w:rsidP="00887330">
      <w:pPr>
        <w:pStyle w:val="BoxHeadItalic"/>
      </w:pPr>
      <w:r w:rsidRPr="00583E1A">
        <w:t>Method statement</w:t>
      </w:r>
    </w:p>
    <w:p w:rsidR="00887330" w:rsidRPr="00583E1A" w:rsidRDefault="00AE4F7F" w:rsidP="00887330">
      <w:pPr>
        <w:pStyle w:val="BoxStep"/>
      </w:pPr>
      <w:r w:rsidRPr="00583E1A">
        <w:rPr>
          <w:szCs w:val="22"/>
        </w:rPr>
        <w:t>Step 1.</w:t>
      </w:r>
      <w:r w:rsidR="00887330" w:rsidRPr="00583E1A">
        <w:tab/>
        <w:t xml:space="preserve">Divide the average value of all the entity’s </w:t>
      </w:r>
      <w:r w:rsidR="00583E1A" w:rsidRPr="00583E1A">
        <w:rPr>
          <w:position w:val="6"/>
          <w:sz w:val="16"/>
        </w:rPr>
        <w:t>*</w:t>
      </w:r>
      <w:r w:rsidR="00887330" w:rsidRPr="00583E1A">
        <w:t xml:space="preserve">worldwide debt for the income year by the average value of all the entity’s </w:t>
      </w:r>
      <w:r w:rsidR="00583E1A" w:rsidRPr="00583E1A">
        <w:rPr>
          <w:position w:val="6"/>
          <w:sz w:val="16"/>
        </w:rPr>
        <w:t>*</w:t>
      </w:r>
      <w:r w:rsidR="00887330" w:rsidRPr="00583E1A">
        <w:t>worldwide equity for that year.</w:t>
      </w:r>
    </w:p>
    <w:p w:rsidR="00887330" w:rsidRPr="00583E1A" w:rsidRDefault="00AE4F7F" w:rsidP="00887330">
      <w:pPr>
        <w:pStyle w:val="BoxStep"/>
      </w:pPr>
      <w:r w:rsidRPr="00583E1A">
        <w:rPr>
          <w:szCs w:val="22"/>
        </w:rPr>
        <w:t>Step 2.</w:t>
      </w:r>
      <w:r w:rsidR="00887330" w:rsidRPr="00583E1A">
        <w:tab/>
        <w:t xml:space="preserve">Multiply the result of step 1 by </w:t>
      </w:r>
      <w:r w:rsidR="00887330" w:rsidRPr="00583E1A">
        <w:rPr>
          <w:position w:val="6"/>
          <w:sz w:val="16"/>
        </w:rPr>
        <w:t>12</w:t>
      </w:r>
      <w:r w:rsidR="00887330" w:rsidRPr="00583E1A">
        <w:t>/</w:t>
      </w:r>
      <w:r w:rsidR="00887330" w:rsidRPr="00583E1A">
        <w:rPr>
          <w:sz w:val="16"/>
        </w:rPr>
        <w:t>10</w:t>
      </w:r>
      <w:r w:rsidR="00887330" w:rsidRPr="00583E1A">
        <w:t>.</w:t>
      </w:r>
    </w:p>
    <w:p w:rsidR="00887330" w:rsidRPr="00583E1A" w:rsidRDefault="00AE4F7F" w:rsidP="00887330">
      <w:pPr>
        <w:pStyle w:val="BoxStep"/>
      </w:pPr>
      <w:r w:rsidRPr="00583E1A">
        <w:rPr>
          <w:szCs w:val="22"/>
        </w:rPr>
        <w:t>Step 3.</w:t>
      </w:r>
      <w:r w:rsidR="00887330" w:rsidRPr="00583E1A">
        <w:tab/>
        <w:t>Add 1 to the result of step 2.</w:t>
      </w:r>
    </w:p>
    <w:p w:rsidR="00887330" w:rsidRPr="00583E1A" w:rsidRDefault="00AE4F7F" w:rsidP="00887330">
      <w:pPr>
        <w:pStyle w:val="BoxStep"/>
      </w:pPr>
      <w:r w:rsidRPr="00583E1A">
        <w:rPr>
          <w:szCs w:val="22"/>
        </w:rPr>
        <w:t>Step 4.</w:t>
      </w:r>
      <w:r w:rsidR="00887330" w:rsidRPr="00583E1A">
        <w:rPr>
          <w:i/>
        </w:rPr>
        <w:tab/>
      </w:r>
      <w:r w:rsidR="00887330" w:rsidRPr="00583E1A">
        <w:t>Divide the result of step 2 by the result of step 3.</w:t>
      </w:r>
    </w:p>
    <w:p w:rsidR="00887330" w:rsidRPr="00583E1A" w:rsidRDefault="00AE4F7F" w:rsidP="00887330">
      <w:pPr>
        <w:pStyle w:val="BoxStep"/>
      </w:pPr>
      <w:r w:rsidRPr="00583E1A">
        <w:rPr>
          <w:szCs w:val="22"/>
        </w:rPr>
        <w:t>Step 5.</w:t>
      </w:r>
      <w:r w:rsidR="00887330" w:rsidRPr="00583E1A">
        <w:rPr>
          <w:i/>
        </w:rPr>
        <w:tab/>
      </w:r>
      <w:r w:rsidR="00887330" w:rsidRPr="00583E1A">
        <w:t>Multiply the result of step 4 in this method statement by the result of step 7 in the method statement in subsection 820</w:t>
      </w:r>
      <w:r w:rsidR="00583E1A">
        <w:noBreakHyphen/>
      </w:r>
      <w:r w:rsidR="00887330" w:rsidRPr="00583E1A">
        <w:t>100(2).</w:t>
      </w:r>
    </w:p>
    <w:p w:rsidR="00887330" w:rsidRPr="00583E1A" w:rsidRDefault="00AE4F7F" w:rsidP="00887330">
      <w:pPr>
        <w:pStyle w:val="BoxStep"/>
      </w:pPr>
      <w:r w:rsidRPr="00583E1A">
        <w:rPr>
          <w:szCs w:val="22"/>
        </w:rPr>
        <w:t>Step 6.</w:t>
      </w:r>
      <w:r w:rsidR="00887330" w:rsidRPr="00583E1A">
        <w:rPr>
          <w:i/>
        </w:rPr>
        <w:tab/>
      </w:r>
      <w:r w:rsidR="00887330" w:rsidRPr="00583E1A">
        <w:t xml:space="preserve">Add to the result of step 5 the average value, for that year, of the entity’s </w:t>
      </w:r>
      <w:r w:rsidR="00583E1A" w:rsidRPr="00583E1A">
        <w:rPr>
          <w:position w:val="6"/>
          <w:sz w:val="16"/>
        </w:rPr>
        <w:t>*</w:t>
      </w:r>
      <w:r w:rsidR="00887330" w:rsidRPr="00583E1A">
        <w:t>zero</w:t>
      </w:r>
      <w:r w:rsidR="00583E1A">
        <w:noBreakHyphen/>
      </w:r>
      <w:r w:rsidR="00887330" w:rsidRPr="00583E1A">
        <w:t>capital amount (other than any zero</w:t>
      </w:r>
      <w:r w:rsidR="00583E1A">
        <w:noBreakHyphen/>
      </w:r>
      <w:r w:rsidR="00887330" w:rsidRPr="00583E1A">
        <w:t xml:space="preserve">capital amount that is attributable to the entity’s </w:t>
      </w:r>
      <w:r w:rsidR="00583E1A" w:rsidRPr="00583E1A">
        <w:rPr>
          <w:position w:val="6"/>
          <w:sz w:val="16"/>
        </w:rPr>
        <w:t>*</w:t>
      </w:r>
      <w:r w:rsidR="00887330" w:rsidRPr="00583E1A">
        <w:t>overseas permanent establishments).</w:t>
      </w:r>
    </w:p>
    <w:p w:rsidR="00887330" w:rsidRPr="00583E1A" w:rsidRDefault="00AE4F7F" w:rsidP="00887330">
      <w:pPr>
        <w:pStyle w:val="BoxStep"/>
        <w:rPr>
          <w:i/>
        </w:rPr>
      </w:pPr>
      <w:r w:rsidRPr="00583E1A">
        <w:rPr>
          <w:szCs w:val="22"/>
        </w:rPr>
        <w:t>Step 7.</w:t>
      </w:r>
      <w:r w:rsidR="00887330" w:rsidRPr="00583E1A">
        <w:tab/>
        <w:t xml:space="preserve">Add to the result of step 6 the average value, for that year, of the entity’s </w:t>
      </w:r>
      <w:r w:rsidR="00583E1A" w:rsidRPr="00583E1A">
        <w:rPr>
          <w:position w:val="6"/>
          <w:sz w:val="16"/>
        </w:rPr>
        <w:t>*</w:t>
      </w:r>
      <w:r w:rsidR="00887330" w:rsidRPr="00583E1A">
        <w:t xml:space="preserve">associate entity excess amount. The result of this step is the </w:t>
      </w:r>
      <w:r w:rsidR="00887330" w:rsidRPr="00583E1A">
        <w:rPr>
          <w:b/>
          <w:i/>
        </w:rPr>
        <w:t>worldwide gearing debt amount</w:t>
      </w:r>
      <w:r w:rsidR="00887330" w:rsidRPr="00583E1A">
        <w:t>.</w:t>
      </w:r>
    </w:p>
    <w:p w:rsidR="00887330" w:rsidRPr="00583E1A" w:rsidRDefault="00887330" w:rsidP="00887330">
      <w:pPr>
        <w:pStyle w:val="notetext"/>
      </w:pPr>
      <w:r w:rsidRPr="00583E1A">
        <w:t>Example:</w:t>
      </w:r>
      <w:r w:rsidRPr="00583E1A">
        <w:tab/>
        <w:t>GLM Limited, a company that is an Australian entity, has an average value of worldwide debt of $120 million and an average value of worldwide equity of $40 million. The result of applying steps 1 and 2 is therefore 3.6. Dividing 3.6 by 4.6 (through applying steps 3 and 4) and multiplying the result by $126 million (which is the result of step 7 of the method statement in subsection 820</w:t>
      </w:r>
      <w:r w:rsidR="00583E1A">
        <w:noBreakHyphen/>
      </w:r>
      <w:r w:rsidRPr="00583E1A">
        <w:t>100(2)) equals $98.61 million. The average value of zero</w:t>
      </w:r>
      <w:r w:rsidR="00583E1A">
        <w:noBreakHyphen/>
      </w:r>
      <w:r w:rsidRPr="00583E1A">
        <w:t>capital amount (see step 7 of the method statement in subsection 820</w:t>
      </w:r>
      <w:r w:rsidR="00583E1A">
        <w:noBreakHyphen/>
      </w:r>
      <w:r w:rsidRPr="00583E1A">
        <w:t xml:space="preserve">100(2)) is $4 million. Adding that </w:t>
      </w:r>
      <w:r w:rsidRPr="00583E1A">
        <w:lastRenderedPageBreak/>
        <w:t>amount to $98.61 million results in $102.61 million. As the company does not have any associate entity excess amount, the worldwide gearing debt amount is therefore $102.61 million.</w:t>
      </w:r>
    </w:p>
    <w:p w:rsidR="00887330" w:rsidRPr="00583E1A" w:rsidRDefault="00887330" w:rsidP="00887330">
      <w:pPr>
        <w:pStyle w:val="ActHead5"/>
      </w:pPr>
      <w:bookmarkStart w:id="192" w:name="_Toc338939266"/>
      <w:r w:rsidRPr="00583E1A">
        <w:rPr>
          <w:rStyle w:val="CharSectno"/>
        </w:rPr>
        <w:t>820</w:t>
      </w:r>
      <w:r w:rsidR="00583E1A">
        <w:rPr>
          <w:rStyle w:val="CharSectno"/>
        </w:rPr>
        <w:noBreakHyphen/>
      </w:r>
      <w:r w:rsidRPr="00583E1A">
        <w:rPr>
          <w:rStyle w:val="CharSectno"/>
        </w:rPr>
        <w:t>115</w:t>
      </w:r>
      <w:r w:rsidRPr="00583E1A">
        <w:t xml:space="preserve">  Amount of debt deduction disallowed</w:t>
      </w:r>
      <w:bookmarkEnd w:id="192"/>
    </w:p>
    <w:p w:rsidR="00887330" w:rsidRPr="00583E1A" w:rsidRDefault="00887330" w:rsidP="00887330">
      <w:pPr>
        <w:pStyle w:val="subsection"/>
      </w:pPr>
      <w:r w:rsidRPr="00583E1A">
        <w:tab/>
      </w:r>
      <w:r w:rsidRPr="00583E1A">
        <w:tab/>
        <w:t xml:space="preserve">The amount of </w:t>
      </w:r>
      <w:r w:rsidR="00583E1A" w:rsidRPr="00583E1A">
        <w:rPr>
          <w:position w:val="6"/>
          <w:sz w:val="16"/>
        </w:rPr>
        <w:t>*</w:t>
      </w:r>
      <w:r w:rsidRPr="00583E1A">
        <w:t>debt deduction disallowed under subsection 820</w:t>
      </w:r>
      <w:r w:rsidR="00583E1A">
        <w:noBreakHyphen/>
      </w:r>
      <w:r w:rsidRPr="00583E1A">
        <w:t>85(1) is worked out using the following formula:</w:t>
      </w:r>
    </w:p>
    <w:p w:rsidR="00CB48B4" w:rsidRPr="00583E1A" w:rsidRDefault="00623A5C" w:rsidP="00887330">
      <w:pPr>
        <w:pStyle w:val="Formula"/>
        <w:spacing w:before="60" w:after="60"/>
      </w:pPr>
      <w:r>
        <w:rPr>
          <w:noProof/>
        </w:rPr>
        <w:drawing>
          <wp:inline distT="0" distB="0" distL="0" distR="0">
            <wp:extent cx="1828800" cy="3810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1828800" cy="381000"/>
                    </a:xfrm>
                    <a:prstGeom prst="rect">
                      <a:avLst/>
                    </a:prstGeom>
                    <a:noFill/>
                    <a:ln>
                      <a:noFill/>
                    </a:ln>
                  </pic:spPr>
                </pic:pic>
              </a:graphicData>
            </a:graphic>
          </wp:inline>
        </w:drawing>
      </w:r>
    </w:p>
    <w:p w:rsidR="00887330" w:rsidRPr="00583E1A" w:rsidRDefault="00887330" w:rsidP="00887330">
      <w:pPr>
        <w:pStyle w:val="subsection2"/>
      </w:pPr>
      <w:r w:rsidRPr="00583E1A">
        <w:t>where:</w:t>
      </w:r>
    </w:p>
    <w:p w:rsidR="00887330" w:rsidRPr="00583E1A" w:rsidRDefault="00887330" w:rsidP="00887330">
      <w:pPr>
        <w:pStyle w:val="Definition"/>
      </w:pPr>
      <w:r w:rsidRPr="00583E1A">
        <w:rPr>
          <w:b/>
          <w:i/>
        </w:rPr>
        <w:t>average debt</w:t>
      </w:r>
      <w:r w:rsidRPr="00583E1A">
        <w:t xml:space="preserve"> means the sum of:</w:t>
      </w:r>
    </w:p>
    <w:p w:rsidR="00887330" w:rsidRPr="00583E1A" w:rsidRDefault="00887330" w:rsidP="00887330">
      <w:pPr>
        <w:pStyle w:val="paragraph"/>
      </w:pPr>
      <w:r w:rsidRPr="00583E1A">
        <w:tab/>
        <w:t>(a)</w:t>
      </w:r>
      <w:r w:rsidRPr="00583E1A">
        <w:tab/>
        <w:t xml:space="preserve">the average value, for the income year, of the entity’s </w:t>
      </w:r>
      <w:r w:rsidR="00583E1A" w:rsidRPr="00583E1A">
        <w:rPr>
          <w:position w:val="6"/>
          <w:sz w:val="16"/>
        </w:rPr>
        <w:t>*</w:t>
      </w:r>
      <w:r w:rsidRPr="00583E1A">
        <w:t>debt capital that is covered by step 1 of the method statement in subsection 820</w:t>
      </w:r>
      <w:r w:rsidR="00583E1A">
        <w:noBreakHyphen/>
      </w:r>
      <w:r w:rsidRPr="00583E1A">
        <w:t>85(3); and</w:t>
      </w:r>
    </w:p>
    <w:p w:rsidR="00887330" w:rsidRPr="00583E1A" w:rsidRDefault="00887330" w:rsidP="00887330">
      <w:pPr>
        <w:pStyle w:val="paragraph"/>
      </w:pPr>
      <w:r w:rsidRPr="00583E1A">
        <w:tab/>
        <w:t>(b)</w:t>
      </w:r>
      <w:r w:rsidRPr="00583E1A">
        <w:tab/>
        <w:t xml:space="preserve">the average value, for that year, of the entity’s </w:t>
      </w:r>
      <w:r w:rsidR="00583E1A" w:rsidRPr="00583E1A">
        <w:rPr>
          <w:position w:val="6"/>
          <w:sz w:val="16"/>
        </w:rPr>
        <w:t>*</w:t>
      </w:r>
      <w:r w:rsidRPr="00583E1A">
        <w:t>cost</w:t>
      </w:r>
      <w:r w:rsidR="00583E1A">
        <w:noBreakHyphen/>
      </w:r>
      <w:r w:rsidRPr="00583E1A">
        <w:t>free debt capital that is covered by step 5 of that method statement;</w:t>
      </w:r>
    </w:p>
    <w:p w:rsidR="00887330" w:rsidRPr="00583E1A" w:rsidRDefault="00887330" w:rsidP="00887330">
      <w:pPr>
        <w:pStyle w:val="subsection2"/>
      </w:pPr>
      <w:r w:rsidRPr="00583E1A">
        <w:t xml:space="preserve">(disregarding any amount that is attributable to the entity’s </w:t>
      </w:r>
      <w:r w:rsidR="00583E1A" w:rsidRPr="00583E1A">
        <w:rPr>
          <w:position w:val="6"/>
          <w:sz w:val="16"/>
        </w:rPr>
        <w:t>*</w:t>
      </w:r>
      <w:r w:rsidRPr="00583E1A">
        <w:t>overseas permanent establishments in working out the average values).</w:t>
      </w:r>
    </w:p>
    <w:p w:rsidR="00887330" w:rsidRPr="00583E1A" w:rsidRDefault="00887330" w:rsidP="00887330">
      <w:pPr>
        <w:pStyle w:val="Definition"/>
      </w:pPr>
      <w:r w:rsidRPr="00583E1A">
        <w:rPr>
          <w:b/>
          <w:i/>
        </w:rPr>
        <w:t>debt deduction</w:t>
      </w:r>
      <w:r w:rsidRPr="00583E1A">
        <w:t xml:space="preserve"> means each </w:t>
      </w:r>
      <w:r w:rsidR="00583E1A" w:rsidRPr="00583E1A">
        <w:rPr>
          <w:position w:val="6"/>
          <w:sz w:val="16"/>
        </w:rPr>
        <w:t>*</w:t>
      </w:r>
      <w:r w:rsidRPr="00583E1A">
        <w:t>debt deduction covered by subsection 820</w:t>
      </w:r>
      <w:r w:rsidR="00583E1A">
        <w:noBreakHyphen/>
      </w:r>
      <w:r w:rsidRPr="00583E1A">
        <w:t>85(1).</w:t>
      </w:r>
    </w:p>
    <w:p w:rsidR="00887330" w:rsidRPr="00583E1A" w:rsidRDefault="00887330" w:rsidP="00887330">
      <w:pPr>
        <w:pStyle w:val="Definition"/>
      </w:pPr>
      <w:r w:rsidRPr="00583E1A">
        <w:rPr>
          <w:b/>
          <w:i/>
        </w:rPr>
        <w:t>excess debt</w:t>
      </w:r>
      <w:r w:rsidRPr="00583E1A">
        <w:t xml:space="preserve"> means the amount by which the entity’s </w:t>
      </w:r>
      <w:r w:rsidR="00583E1A" w:rsidRPr="00583E1A">
        <w:rPr>
          <w:position w:val="6"/>
          <w:sz w:val="16"/>
        </w:rPr>
        <w:t>*</w:t>
      </w:r>
      <w:r w:rsidRPr="00583E1A">
        <w:t>adjusted average debt for that year (see subsection 820</w:t>
      </w:r>
      <w:r w:rsidR="00583E1A">
        <w:noBreakHyphen/>
      </w:r>
      <w:r w:rsidRPr="00583E1A">
        <w:t xml:space="preserve">85(3)) exceeds its </w:t>
      </w:r>
      <w:r w:rsidR="00583E1A" w:rsidRPr="00583E1A">
        <w:rPr>
          <w:position w:val="6"/>
          <w:sz w:val="16"/>
        </w:rPr>
        <w:t>*</w:t>
      </w:r>
      <w:r w:rsidRPr="00583E1A">
        <w:t>maximum allowable debt for that year.</w:t>
      </w:r>
    </w:p>
    <w:p w:rsidR="00887330" w:rsidRPr="00583E1A" w:rsidRDefault="00887330" w:rsidP="00887330">
      <w:pPr>
        <w:pStyle w:val="notetext"/>
      </w:pPr>
      <w:r w:rsidRPr="00583E1A">
        <w:t>Note:</w:t>
      </w:r>
      <w:r w:rsidRPr="00583E1A">
        <w:tab/>
        <w:t>The disallowed amount also does not form part of the cost base of a CGT asset. See section</w:t>
      </w:r>
      <w:r w:rsidR="00583E1A">
        <w:t> </w:t>
      </w:r>
      <w:r w:rsidRPr="00583E1A">
        <w:t>110</w:t>
      </w:r>
      <w:r w:rsidR="00583E1A">
        <w:noBreakHyphen/>
      </w:r>
      <w:r w:rsidRPr="00583E1A">
        <w:t>54.</w:t>
      </w:r>
    </w:p>
    <w:p w:rsidR="00887330" w:rsidRPr="00583E1A" w:rsidRDefault="00887330" w:rsidP="00887330">
      <w:pPr>
        <w:pStyle w:val="ActHead5"/>
      </w:pPr>
      <w:bookmarkStart w:id="193" w:name="_Toc338939267"/>
      <w:r w:rsidRPr="00583E1A">
        <w:rPr>
          <w:rStyle w:val="CharSectno"/>
        </w:rPr>
        <w:t>820</w:t>
      </w:r>
      <w:r w:rsidR="00583E1A">
        <w:rPr>
          <w:rStyle w:val="CharSectno"/>
        </w:rPr>
        <w:noBreakHyphen/>
      </w:r>
      <w:r w:rsidRPr="00583E1A">
        <w:rPr>
          <w:rStyle w:val="CharSectno"/>
        </w:rPr>
        <w:t>120</w:t>
      </w:r>
      <w:r w:rsidRPr="00583E1A">
        <w:t xml:space="preserve">  Application to part year periods</w:t>
      </w:r>
      <w:bookmarkEnd w:id="193"/>
    </w:p>
    <w:p w:rsidR="00887330" w:rsidRPr="00583E1A" w:rsidRDefault="00887330" w:rsidP="00887330">
      <w:pPr>
        <w:pStyle w:val="subsection"/>
      </w:pPr>
      <w:r w:rsidRPr="00583E1A">
        <w:tab/>
        <w:t>(1)</w:t>
      </w:r>
      <w:r w:rsidRPr="00583E1A">
        <w:tab/>
        <w:t xml:space="preserve">This subsection disallows all or a part of each </w:t>
      </w:r>
      <w:r w:rsidR="00583E1A" w:rsidRPr="00583E1A">
        <w:rPr>
          <w:position w:val="6"/>
          <w:sz w:val="16"/>
        </w:rPr>
        <w:t>*</w:t>
      </w:r>
      <w:r w:rsidRPr="00583E1A">
        <w:t xml:space="preserve">debt deduction of an entity for an income year that is an amount incurred by the entity during a period that is a part of that year (to the extent that it is not attributable to an </w:t>
      </w:r>
      <w:r w:rsidR="00583E1A" w:rsidRPr="00583E1A">
        <w:rPr>
          <w:position w:val="6"/>
          <w:sz w:val="16"/>
        </w:rPr>
        <w:t>*</w:t>
      </w:r>
      <w:r w:rsidRPr="00583E1A">
        <w:t>overseas permanent establishment of the entity), if:</w:t>
      </w:r>
    </w:p>
    <w:p w:rsidR="00887330" w:rsidRPr="00583E1A" w:rsidRDefault="00887330" w:rsidP="00887330">
      <w:pPr>
        <w:pStyle w:val="paragraph"/>
      </w:pPr>
      <w:r w:rsidRPr="00583E1A">
        <w:tab/>
        <w:t>(a)</w:t>
      </w:r>
      <w:r w:rsidRPr="00583E1A">
        <w:tab/>
        <w:t xml:space="preserve">the entity is an </w:t>
      </w:r>
      <w:r w:rsidR="00583E1A" w:rsidRPr="00583E1A">
        <w:rPr>
          <w:position w:val="6"/>
          <w:sz w:val="16"/>
        </w:rPr>
        <w:t>*</w:t>
      </w:r>
      <w:r w:rsidRPr="00583E1A">
        <w:t>outward investing entity (non</w:t>
      </w:r>
      <w:r w:rsidR="00583E1A">
        <w:noBreakHyphen/>
      </w:r>
      <w:r w:rsidRPr="00583E1A">
        <w:t>ADI) for that period; and</w:t>
      </w:r>
    </w:p>
    <w:p w:rsidR="00887330" w:rsidRPr="00583E1A" w:rsidRDefault="00887330" w:rsidP="00887330">
      <w:pPr>
        <w:pStyle w:val="paragraph"/>
      </w:pPr>
      <w:r w:rsidRPr="00583E1A">
        <w:lastRenderedPageBreak/>
        <w:tab/>
        <w:t>(b)</w:t>
      </w:r>
      <w:r w:rsidRPr="00583E1A">
        <w:tab/>
        <w:t xml:space="preserve">the entity’s </w:t>
      </w:r>
      <w:r w:rsidR="00583E1A" w:rsidRPr="00583E1A">
        <w:rPr>
          <w:position w:val="6"/>
          <w:sz w:val="16"/>
        </w:rPr>
        <w:t>*</w:t>
      </w:r>
      <w:r w:rsidRPr="00583E1A">
        <w:t xml:space="preserve">adjusted average debt for that period exceeds the entity’s </w:t>
      </w:r>
      <w:r w:rsidR="00583E1A" w:rsidRPr="00583E1A">
        <w:rPr>
          <w:position w:val="6"/>
          <w:sz w:val="16"/>
        </w:rPr>
        <w:t>*</w:t>
      </w:r>
      <w:r w:rsidRPr="00583E1A">
        <w:t>maximum allowable debt for that period.</w:t>
      </w:r>
    </w:p>
    <w:p w:rsidR="00887330" w:rsidRPr="00583E1A" w:rsidRDefault="00887330" w:rsidP="00887330">
      <w:pPr>
        <w:pStyle w:val="notetext"/>
      </w:pPr>
      <w:r w:rsidRPr="00583E1A">
        <w:t>Note:</w:t>
      </w:r>
      <w:r w:rsidRPr="00583E1A">
        <w:tab/>
        <w:t>To determine whether an entity is an outward investing entity (non</w:t>
      </w:r>
      <w:r w:rsidR="00583E1A">
        <w:noBreakHyphen/>
      </w:r>
      <w:r w:rsidRPr="00583E1A">
        <w:t>ADI) for that period, see subsection 820</w:t>
      </w:r>
      <w:r w:rsidR="00583E1A">
        <w:noBreakHyphen/>
      </w:r>
      <w:r w:rsidRPr="00583E1A">
        <w:t>85(2).</w:t>
      </w:r>
    </w:p>
    <w:p w:rsidR="00887330" w:rsidRPr="00583E1A" w:rsidRDefault="00887330" w:rsidP="00887330">
      <w:pPr>
        <w:pStyle w:val="subsection"/>
      </w:pPr>
      <w:r w:rsidRPr="00583E1A">
        <w:tab/>
        <w:t>(2)</w:t>
      </w:r>
      <w:r w:rsidRPr="00583E1A">
        <w:tab/>
        <w:t xml:space="preserve">The entity’s </w:t>
      </w:r>
      <w:r w:rsidRPr="00583E1A">
        <w:rPr>
          <w:b/>
          <w:i/>
        </w:rPr>
        <w:t>adjusted average debt</w:t>
      </w:r>
      <w:r w:rsidRPr="00583E1A">
        <w:t xml:space="preserve"> for that period is the result of applying the method statement in this subsection. In applying the method statement, disregard any amount that is attributable to the entity’s </w:t>
      </w:r>
      <w:r w:rsidR="00583E1A" w:rsidRPr="00583E1A">
        <w:rPr>
          <w:position w:val="6"/>
          <w:sz w:val="16"/>
        </w:rPr>
        <w:t>*</w:t>
      </w:r>
      <w:r w:rsidRPr="00583E1A">
        <w:t>overseas permanent establishments.</w:t>
      </w:r>
    </w:p>
    <w:p w:rsidR="00887330" w:rsidRPr="00583E1A" w:rsidRDefault="00887330" w:rsidP="00887330">
      <w:pPr>
        <w:pStyle w:val="BoxHeadItalic"/>
        <w:keepNext/>
        <w:keepLines/>
      </w:pPr>
      <w:r w:rsidRPr="00583E1A">
        <w:t>Method statement</w:t>
      </w:r>
    </w:p>
    <w:p w:rsidR="00887330" w:rsidRPr="00583E1A" w:rsidRDefault="00AE4F7F" w:rsidP="00887330">
      <w:pPr>
        <w:pStyle w:val="BoxStep"/>
      </w:pPr>
      <w:r w:rsidRPr="00583E1A">
        <w:rPr>
          <w:szCs w:val="22"/>
        </w:rPr>
        <w:t>Step 1.</w:t>
      </w:r>
      <w:r w:rsidR="00887330" w:rsidRPr="00583E1A">
        <w:tab/>
        <w:t xml:space="preserve">Work out the average value, for that period, of all the </w:t>
      </w:r>
      <w:r w:rsidR="00583E1A" w:rsidRPr="00583E1A">
        <w:rPr>
          <w:position w:val="6"/>
          <w:sz w:val="16"/>
        </w:rPr>
        <w:t>*</w:t>
      </w:r>
      <w:r w:rsidR="00887330" w:rsidRPr="00583E1A">
        <w:t xml:space="preserve">debt capital of the entity that gives rise to </w:t>
      </w:r>
      <w:r w:rsidR="00583E1A" w:rsidRPr="00583E1A">
        <w:rPr>
          <w:position w:val="6"/>
          <w:sz w:val="16"/>
        </w:rPr>
        <w:t>*</w:t>
      </w:r>
      <w:r w:rsidR="00887330" w:rsidRPr="00583E1A">
        <w:t>debt deductions of the entity for that or any other income year.</w:t>
      </w:r>
    </w:p>
    <w:p w:rsidR="00887330" w:rsidRPr="00583E1A" w:rsidRDefault="00AE4F7F" w:rsidP="00887330">
      <w:pPr>
        <w:pStyle w:val="BoxStep"/>
      </w:pPr>
      <w:r w:rsidRPr="00583E1A">
        <w:rPr>
          <w:szCs w:val="22"/>
        </w:rPr>
        <w:t>Step 2.</w:t>
      </w:r>
      <w:r w:rsidR="00887330" w:rsidRPr="00583E1A">
        <w:rPr>
          <w:i/>
        </w:rPr>
        <w:tab/>
      </w:r>
      <w:r w:rsidR="00887330" w:rsidRPr="00583E1A">
        <w:t xml:space="preserve">Reduce the result of step 1 by the average value, for that period, of all the </w:t>
      </w:r>
      <w:r w:rsidR="00583E1A" w:rsidRPr="00583E1A">
        <w:rPr>
          <w:position w:val="6"/>
          <w:sz w:val="16"/>
        </w:rPr>
        <w:t>*</w:t>
      </w:r>
      <w:r w:rsidR="00887330" w:rsidRPr="00583E1A">
        <w:t>associate entity debt of the entity.</w:t>
      </w:r>
    </w:p>
    <w:p w:rsidR="00887330" w:rsidRPr="00583E1A" w:rsidRDefault="00AE4F7F" w:rsidP="00887330">
      <w:pPr>
        <w:pStyle w:val="BoxStep"/>
      </w:pPr>
      <w:r w:rsidRPr="00583E1A">
        <w:rPr>
          <w:szCs w:val="22"/>
        </w:rPr>
        <w:t>Step 3.</w:t>
      </w:r>
      <w:r w:rsidR="00887330" w:rsidRPr="00583E1A">
        <w:rPr>
          <w:i/>
        </w:rPr>
        <w:tab/>
      </w:r>
      <w:r w:rsidR="00887330" w:rsidRPr="00583E1A">
        <w:t xml:space="preserve">Reduce the result of step 2 by the average value, for that period, of all the </w:t>
      </w:r>
      <w:r w:rsidR="00583E1A" w:rsidRPr="00583E1A">
        <w:rPr>
          <w:position w:val="6"/>
          <w:sz w:val="16"/>
        </w:rPr>
        <w:t>*</w:t>
      </w:r>
      <w:r w:rsidR="00887330" w:rsidRPr="00583E1A">
        <w:t>controlled foreign entity debt of the entity.</w:t>
      </w:r>
    </w:p>
    <w:p w:rsidR="00887330" w:rsidRPr="00583E1A" w:rsidRDefault="00AE4F7F" w:rsidP="00887330">
      <w:pPr>
        <w:pStyle w:val="BoxStep"/>
      </w:pPr>
      <w:r w:rsidRPr="00583E1A">
        <w:rPr>
          <w:szCs w:val="22"/>
        </w:rPr>
        <w:t>Step 4.</w:t>
      </w:r>
      <w:r w:rsidR="00887330" w:rsidRPr="00583E1A">
        <w:tab/>
        <w:t xml:space="preserve">If the entity is a </w:t>
      </w:r>
      <w:r w:rsidR="00583E1A" w:rsidRPr="00583E1A">
        <w:rPr>
          <w:position w:val="6"/>
          <w:sz w:val="16"/>
        </w:rPr>
        <w:t>*</w:t>
      </w:r>
      <w:r w:rsidR="00887330" w:rsidRPr="00583E1A">
        <w:t xml:space="preserve">financial entity throughout that period, add to the result of step 3 the average value, for that period, of the entity’s </w:t>
      </w:r>
      <w:r w:rsidR="00583E1A" w:rsidRPr="00583E1A">
        <w:rPr>
          <w:position w:val="6"/>
          <w:sz w:val="16"/>
        </w:rPr>
        <w:t>*</w:t>
      </w:r>
      <w:r w:rsidR="00887330" w:rsidRPr="00583E1A">
        <w:t>borrowed securities amount.</w:t>
      </w:r>
    </w:p>
    <w:p w:rsidR="00887330" w:rsidRPr="00583E1A" w:rsidRDefault="00AE4F7F" w:rsidP="00887330">
      <w:pPr>
        <w:pStyle w:val="BoxStep"/>
      </w:pPr>
      <w:r w:rsidRPr="00583E1A">
        <w:rPr>
          <w:szCs w:val="22"/>
        </w:rPr>
        <w:t>Step 5.</w:t>
      </w:r>
      <w:r w:rsidR="00887330" w:rsidRPr="00583E1A">
        <w:tab/>
        <w:t xml:space="preserve">Add to the result of step 4 the average value, for that period, of the </w:t>
      </w:r>
      <w:r w:rsidR="00583E1A" w:rsidRPr="00583E1A">
        <w:rPr>
          <w:position w:val="6"/>
          <w:sz w:val="16"/>
        </w:rPr>
        <w:t>*</w:t>
      </w:r>
      <w:r w:rsidR="00887330" w:rsidRPr="00583E1A">
        <w:t>cost</w:t>
      </w:r>
      <w:r w:rsidR="00583E1A">
        <w:noBreakHyphen/>
      </w:r>
      <w:r w:rsidR="00887330" w:rsidRPr="00583E1A">
        <w:t xml:space="preserve">free debt capital of the entity. The result of this step is the </w:t>
      </w:r>
      <w:r w:rsidR="00887330" w:rsidRPr="00583E1A">
        <w:rPr>
          <w:b/>
          <w:i/>
        </w:rPr>
        <w:t>adjusted average debt</w:t>
      </w:r>
      <w:r w:rsidR="00887330" w:rsidRPr="00583E1A">
        <w:t>.</w:t>
      </w:r>
    </w:p>
    <w:p w:rsidR="00887330" w:rsidRPr="00583E1A" w:rsidRDefault="00887330" w:rsidP="00887330">
      <w:pPr>
        <w:pStyle w:val="subsection"/>
      </w:pPr>
      <w:r w:rsidRPr="00583E1A">
        <w:tab/>
        <w:t>(3)</w:t>
      </w:r>
      <w:r w:rsidRPr="00583E1A">
        <w:tab/>
        <w:t xml:space="preserve">The entity’s </w:t>
      </w:r>
      <w:r w:rsidR="00583E1A" w:rsidRPr="00583E1A">
        <w:rPr>
          <w:position w:val="6"/>
          <w:sz w:val="16"/>
        </w:rPr>
        <w:t>*</w:t>
      </w:r>
      <w:r w:rsidRPr="00583E1A">
        <w:t xml:space="preserve">adjusted average debt does not exceed its </w:t>
      </w:r>
      <w:r w:rsidR="00583E1A" w:rsidRPr="00583E1A">
        <w:rPr>
          <w:position w:val="6"/>
          <w:sz w:val="16"/>
        </w:rPr>
        <w:t>*</w:t>
      </w:r>
      <w:r w:rsidRPr="00583E1A">
        <w:t>maximum allowable debt if the adjusted average debt is nil or a negative amount.</w:t>
      </w:r>
    </w:p>
    <w:p w:rsidR="00887330" w:rsidRPr="00583E1A" w:rsidRDefault="00887330" w:rsidP="00887330">
      <w:pPr>
        <w:pStyle w:val="subsection"/>
      </w:pPr>
      <w:r w:rsidRPr="00583E1A">
        <w:tab/>
        <w:t>(4)</w:t>
      </w:r>
      <w:r w:rsidRPr="00583E1A">
        <w:tab/>
        <w:t>For the purposes of determining:</w:t>
      </w:r>
    </w:p>
    <w:p w:rsidR="00887330" w:rsidRPr="00583E1A" w:rsidRDefault="00887330" w:rsidP="00887330">
      <w:pPr>
        <w:pStyle w:val="paragraph"/>
      </w:pPr>
      <w:r w:rsidRPr="00583E1A">
        <w:tab/>
        <w:t>(a)</w:t>
      </w:r>
      <w:r w:rsidRPr="00583E1A">
        <w:tab/>
        <w:t xml:space="preserve">the </w:t>
      </w:r>
      <w:r w:rsidR="00583E1A" w:rsidRPr="00583E1A">
        <w:rPr>
          <w:position w:val="6"/>
          <w:sz w:val="16"/>
        </w:rPr>
        <w:t>*</w:t>
      </w:r>
      <w:r w:rsidRPr="00583E1A">
        <w:t xml:space="preserve">maximum allowable debt for the period mentioned in </w:t>
      </w:r>
      <w:r w:rsidR="00583E1A">
        <w:t>subsection (</w:t>
      </w:r>
      <w:r w:rsidRPr="00583E1A">
        <w:t>1); and</w:t>
      </w:r>
    </w:p>
    <w:p w:rsidR="00887330" w:rsidRPr="00583E1A" w:rsidRDefault="00887330" w:rsidP="00887330">
      <w:pPr>
        <w:pStyle w:val="paragraph"/>
      </w:pPr>
      <w:r w:rsidRPr="00583E1A">
        <w:tab/>
        <w:t>(b)</w:t>
      </w:r>
      <w:r w:rsidRPr="00583E1A">
        <w:tab/>
        <w:t xml:space="preserve">the amount of each </w:t>
      </w:r>
      <w:r w:rsidR="00583E1A" w:rsidRPr="00583E1A">
        <w:rPr>
          <w:position w:val="6"/>
          <w:sz w:val="16"/>
        </w:rPr>
        <w:t>*</w:t>
      </w:r>
      <w:r w:rsidRPr="00583E1A">
        <w:t>debt deduction to be disallowed;</w:t>
      </w:r>
    </w:p>
    <w:p w:rsidR="00887330" w:rsidRPr="00583E1A" w:rsidRDefault="00887330" w:rsidP="00887330">
      <w:pPr>
        <w:pStyle w:val="subsection2"/>
      </w:pPr>
      <w:r w:rsidRPr="00583E1A">
        <w:lastRenderedPageBreak/>
        <w:t>sections</w:t>
      </w:r>
      <w:r w:rsidR="00583E1A">
        <w:t> </w:t>
      </w:r>
      <w:r w:rsidRPr="00583E1A">
        <w:t>820</w:t>
      </w:r>
      <w:r w:rsidR="00583E1A">
        <w:noBreakHyphen/>
      </w:r>
      <w:r w:rsidRPr="00583E1A">
        <w:t>90 to 820</w:t>
      </w:r>
      <w:r w:rsidR="00583E1A">
        <w:noBreakHyphen/>
      </w:r>
      <w:r w:rsidRPr="00583E1A">
        <w:t>115 apply in relation to that entity and that period with the modifications set out in the following table:</w:t>
      </w:r>
    </w:p>
    <w:p w:rsidR="00887330" w:rsidRPr="00583E1A" w:rsidRDefault="00887330" w:rsidP="00887330">
      <w:pPr>
        <w:pStyle w:val="Table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708"/>
        <w:gridCol w:w="2268"/>
        <w:gridCol w:w="4134"/>
      </w:tblGrid>
      <w:tr w:rsidR="00887330" w:rsidRPr="00583E1A">
        <w:trPr>
          <w:cantSplit/>
          <w:tblHeader/>
        </w:trPr>
        <w:tc>
          <w:tcPr>
            <w:tcW w:w="7110" w:type="dxa"/>
            <w:gridSpan w:val="3"/>
            <w:tcBorders>
              <w:top w:val="single" w:sz="12" w:space="0" w:color="auto"/>
              <w:left w:val="nil"/>
              <w:bottom w:val="nil"/>
              <w:right w:val="nil"/>
            </w:tcBorders>
          </w:tcPr>
          <w:p w:rsidR="00887330" w:rsidRPr="00583E1A" w:rsidRDefault="00887330" w:rsidP="00887330">
            <w:pPr>
              <w:pStyle w:val="Tabletext"/>
            </w:pPr>
            <w:r w:rsidRPr="00583E1A">
              <w:rPr>
                <w:b/>
              </w:rPr>
              <w:t>Modifications of sections</w:t>
            </w:r>
            <w:r w:rsidR="00583E1A">
              <w:rPr>
                <w:b/>
              </w:rPr>
              <w:t> </w:t>
            </w:r>
            <w:r w:rsidRPr="00583E1A">
              <w:rPr>
                <w:b/>
              </w:rPr>
              <w:t>820</w:t>
            </w:r>
            <w:r w:rsidR="00583E1A">
              <w:rPr>
                <w:b/>
              </w:rPr>
              <w:noBreakHyphen/>
            </w:r>
            <w:r w:rsidRPr="00583E1A">
              <w:rPr>
                <w:b/>
              </w:rPr>
              <w:t>90 to 820</w:t>
            </w:r>
            <w:r w:rsidR="00583E1A">
              <w:rPr>
                <w:b/>
              </w:rPr>
              <w:noBreakHyphen/>
            </w:r>
            <w:r w:rsidRPr="00583E1A">
              <w:rPr>
                <w:b/>
              </w:rPr>
              <w:t>115</w:t>
            </w:r>
          </w:p>
        </w:tc>
      </w:tr>
      <w:tr w:rsidR="00887330" w:rsidRPr="00583E1A">
        <w:trPr>
          <w:cantSplit/>
          <w:tblHeader/>
        </w:trPr>
        <w:tc>
          <w:tcPr>
            <w:tcW w:w="708" w:type="dxa"/>
            <w:tcBorders>
              <w:top w:val="single" w:sz="6" w:space="0" w:color="auto"/>
              <w:left w:val="nil"/>
              <w:bottom w:val="single" w:sz="12" w:space="0" w:color="auto"/>
              <w:right w:val="nil"/>
            </w:tcBorders>
          </w:tcPr>
          <w:p w:rsidR="00887330" w:rsidRPr="00583E1A" w:rsidRDefault="00887330" w:rsidP="00887330">
            <w:pPr>
              <w:pStyle w:val="Tabletext"/>
            </w:pPr>
            <w:r w:rsidRPr="00583E1A">
              <w:rPr>
                <w:b/>
              </w:rPr>
              <w:t>Item</w:t>
            </w:r>
          </w:p>
        </w:tc>
        <w:tc>
          <w:tcPr>
            <w:tcW w:w="2268" w:type="dxa"/>
            <w:tcBorders>
              <w:top w:val="single" w:sz="6" w:space="0" w:color="auto"/>
              <w:left w:val="nil"/>
              <w:bottom w:val="single" w:sz="12" w:space="0" w:color="auto"/>
              <w:right w:val="nil"/>
            </w:tcBorders>
          </w:tcPr>
          <w:p w:rsidR="00887330" w:rsidRPr="00583E1A" w:rsidRDefault="00887330" w:rsidP="00887330">
            <w:pPr>
              <w:pStyle w:val="Tabletext"/>
            </w:pPr>
            <w:r w:rsidRPr="00583E1A">
              <w:rPr>
                <w:b/>
              </w:rPr>
              <w:t>Provisions</w:t>
            </w:r>
          </w:p>
        </w:tc>
        <w:tc>
          <w:tcPr>
            <w:tcW w:w="4134" w:type="dxa"/>
            <w:tcBorders>
              <w:top w:val="single" w:sz="6" w:space="0" w:color="auto"/>
              <w:left w:val="nil"/>
              <w:bottom w:val="single" w:sz="12" w:space="0" w:color="auto"/>
              <w:right w:val="nil"/>
            </w:tcBorders>
          </w:tcPr>
          <w:p w:rsidR="00887330" w:rsidRPr="00583E1A" w:rsidRDefault="00887330" w:rsidP="00887330">
            <w:pPr>
              <w:pStyle w:val="Tabletext"/>
            </w:pPr>
            <w:r w:rsidRPr="00583E1A">
              <w:rPr>
                <w:b/>
              </w:rPr>
              <w:t>Modifications</w:t>
            </w:r>
          </w:p>
        </w:tc>
      </w:tr>
      <w:tr w:rsidR="00887330" w:rsidRPr="00583E1A">
        <w:trPr>
          <w:cantSplit/>
        </w:trPr>
        <w:tc>
          <w:tcPr>
            <w:tcW w:w="708" w:type="dxa"/>
            <w:tcBorders>
              <w:top w:val="single" w:sz="12" w:space="0" w:color="auto"/>
              <w:left w:val="nil"/>
              <w:bottom w:val="single" w:sz="2" w:space="0" w:color="auto"/>
              <w:right w:val="nil"/>
            </w:tcBorders>
            <w:shd w:val="clear" w:color="auto" w:fill="auto"/>
          </w:tcPr>
          <w:p w:rsidR="00887330" w:rsidRPr="00583E1A" w:rsidRDefault="00887330" w:rsidP="00887330">
            <w:pPr>
              <w:pStyle w:val="Tabletext"/>
            </w:pPr>
            <w:r w:rsidRPr="00583E1A">
              <w:t>1</w:t>
            </w:r>
          </w:p>
        </w:tc>
        <w:tc>
          <w:tcPr>
            <w:tcW w:w="2268" w:type="dxa"/>
            <w:tcBorders>
              <w:top w:val="single" w:sz="12" w:space="0" w:color="auto"/>
              <w:left w:val="nil"/>
              <w:bottom w:val="single" w:sz="2" w:space="0" w:color="auto"/>
              <w:right w:val="nil"/>
            </w:tcBorders>
            <w:shd w:val="clear" w:color="auto" w:fill="auto"/>
          </w:tcPr>
          <w:p w:rsidR="00887330" w:rsidRPr="00583E1A" w:rsidRDefault="00887330" w:rsidP="00887330">
            <w:pPr>
              <w:pStyle w:val="Tabletext"/>
            </w:pPr>
            <w:r w:rsidRPr="00583E1A">
              <w:t>Sections</w:t>
            </w:r>
            <w:r w:rsidR="00583E1A">
              <w:t> </w:t>
            </w:r>
            <w:r w:rsidRPr="00583E1A">
              <w:t>820</w:t>
            </w:r>
            <w:r w:rsidR="00583E1A">
              <w:noBreakHyphen/>
            </w:r>
            <w:r w:rsidRPr="00583E1A">
              <w:t>90 to 820</w:t>
            </w:r>
            <w:r w:rsidR="00583E1A">
              <w:noBreakHyphen/>
            </w:r>
            <w:r w:rsidRPr="00583E1A">
              <w:t>115</w:t>
            </w:r>
          </w:p>
        </w:tc>
        <w:tc>
          <w:tcPr>
            <w:tcW w:w="4134" w:type="dxa"/>
            <w:tcBorders>
              <w:top w:val="single" w:sz="12" w:space="0" w:color="auto"/>
              <w:left w:val="nil"/>
              <w:bottom w:val="single" w:sz="2" w:space="0" w:color="auto"/>
              <w:right w:val="nil"/>
            </w:tcBorders>
            <w:shd w:val="clear" w:color="auto" w:fill="auto"/>
          </w:tcPr>
          <w:p w:rsidR="00887330" w:rsidRPr="00583E1A" w:rsidRDefault="00887330" w:rsidP="00887330">
            <w:pPr>
              <w:pStyle w:val="Tabletext"/>
            </w:pPr>
            <w:r w:rsidRPr="00583E1A">
              <w:t>A reference to an income year is taken to be a reference to that period</w:t>
            </w:r>
          </w:p>
        </w:tc>
      </w:tr>
      <w:tr w:rsidR="00887330" w:rsidRPr="00583E1A">
        <w:trPr>
          <w:cantSplit/>
        </w:trPr>
        <w:tc>
          <w:tcPr>
            <w:tcW w:w="708" w:type="dxa"/>
            <w:tcBorders>
              <w:top w:val="single" w:sz="2" w:space="0" w:color="auto"/>
              <w:left w:val="nil"/>
              <w:bottom w:val="single" w:sz="2" w:space="0" w:color="auto"/>
              <w:right w:val="nil"/>
            </w:tcBorders>
            <w:shd w:val="clear" w:color="auto" w:fill="auto"/>
          </w:tcPr>
          <w:p w:rsidR="00887330" w:rsidRPr="00583E1A" w:rsidRDefault="00887330" w:rsidP="00887330">
            <w:pPr>
              <w:pStyle w:val="Tabletext"/>
            </w:pPr>
            <w:r w:rsidRPr="00583E1A">
              <w:t>2</w:t>
            </w:r>
          </w:p>
        </w:tc>
        <w:tc>
          <w:tcPr>
            <w:tcW w:w="2268" w:type="dxa"/>
            <w:tcBorders>
              <w:top w:val="single" w:sz="2" w:space="0" w:color="auto"/>
              <w:left w:val="nil"/>
              <w:bottom w:val="single" w:sz="2" w:space="0" w:color="auto"/>
              <w:right w:val="nil"/>
            </w:tcBorders>
            <w:shd w:val="clear" w:color="auto" w:fill="auto"/>
          </w:tcPr>
          <w:p w:rsidR="00887330" w:rsidRPr="00583E1A" w:rsidRDefault="00887330" w:rsidP="00887330">
            <w:pPr>
              <w:pStyle w:val="Tabletext"/>
            </w:pPr>
            <w:r w:rsidRPr="00583E1A">
              <w:t>Section</w:t>
            </w:r>
            <w:r w:rsidR="00583E1A">
              <w:t> </w:t>
            </w:r>
            <w:r w:rsidRPr="00583E1A">
              <w:t>820</w:t>
            </w:r>
            <w:r w:rsidR="00583E1A">
              <w:noBreakHyphen/>
            </w:r>
            <w:r w:rsidRPr="00583E1A">
              <w:t>115</w:t>
            </w:r>
          </w:p>
        </w:tc>
        <w:tc>
          <w:tcPr>
            <w:tcW w:w="4134" w:type="dxa"/>
            <w:tcBorders>
              <w:top w:val="single" w:sz="2" w:space="0" w:color="auto"/>
              <w:left w:val="nil"/>
              <w:bottom w:val="single" w:sz="2" w:space="0" w:color="auto"/>
              <w:right w:val="nil"/>
            </w:tcBorders>
            <w:shd w:val="clear" w:color="auto" w:fill="auto"/>
          </w:tcPr>
          <w:p w:rsidR="00887330" w:rsidRPr="00583E1A" w:rsidRDefault="00887330" w:rsidP="00887330">
            <w:pPr>
              <w:pStyle w:val="Tabletext"/>
            </w:pPr>
            <w:r w:rsidRPr="00583E1A">
              <w:t>A reference to subsection 820</w:t>
            </w:r>
            <w:r w:rsidR="00583E1A">
              <w:noBreakHyphen/>
            </w:r>
            <w:r w:rsidRPr="00583E1A">
              <w:t xml:space="preserve">85(1) is taken to be a reference to </w:t>
            </w:r>
            <w:r w:rsidR="00583E1A">
              <w:t>subsection (</w:t>
            </w:r>
            <w:r w:rsidRPr="00583E1A">
              <w:t>1) of this section</w:t>
            </w:r>
          </w:p>
        </w:tc>
      </w:tr>
      <w:tr w:rsidR="00887330" w:rsidRPr="00583E1A">
        <w:trPr>
          <w:cantSplit/>
        </w:trPr>
        <w:tc>
          <w:tcPr>
            <w:tcW w:w="708" w:type="dxa"/>
            <w:tcBorders>
              <w:top w:val="single" w:sz="2" w:space="0" w:color="auto"/>
              <w:left w:val="nil"/>
              <w:bottom w:val="single" w:sz="12" w:space="0" w:color="auto"/>
              <w:right w:val="nil"/>
            </w:tcBorders>
          </w:tcPr>
          <w:p w:rsidR="00887330" w:rsidRPr="00583E1A" w:rsidRDefault="00887330" w:rsidP="00887330">
            <w:pPr>
              <w:pStyle w:val="Tabletext"/>
            </w:pPr>
            <w:r w:rsidRPr="00583E1A">
              <w:t>3</w:t>
            </w:r>
          </w:p>
        </w:tc>
        <w:tc>
          <w:tcPr>
            <w:tcW w:w="2268" w:type="dxa"/>
            <w:tcBorders>
              <w:top w:val="single" w:sz="2" w:space="0" w:color="auto"/>
              <w:left w:val="nil"/>
              <w:bottom w:val="single" w:sz="12" w:space="0" w:color="auto"/>
              <w:right w:val="nil"/>
            </w:tcBorders>
          </w:tcPr>
          <w:p w:rsidR="00887330" w:rsidRPr="00583E1A" w:rsidRDefault="00887330" w:rsidP="00887330">
            <w:pPr>
              <w:pStyle w:val="Tabletext"/>
            </w:pPr>
            <w:r w:rsidRPr="00583E1A">
              <w:t>Section</w:t>
            </w:r>
            <w:r w:rsidR="00583E1A">
              <w:t> </w:t>
            </w:r>
            <w:r w:rsidRPr="00583E1A">
              <w:t>820</w:t>
            </w:r>
            <w:r w:rsidR="00583E1A">
              <w:noBreakHyphen/>
            </w:r>
            <w:r w:rsidRPr="00583E1A">
              <w:t>115</w:t>
            </w:r>
          </w:p>
        </w:tc>
        <w:tc>
          <w:tcPr>
            <w:tcW w:w="4134" w:type="dxa"/>
            <w:tcBorders>
              <w:top w:val="single" w:sz="2" w:space="0" w:color="auto"/>
              <w:left w:val="nil"/>
              <w:bottom w:val="single" w:sz="12" w:space="0" w:color="auto"/>
              <w:right w:val="nil"/>
            </w:tcBorders>
          </w:tcPr>
          <w:p w:rsidR="00887330" w:rsidRPr="00583E1A" w:rsidRDefault="00887330" w:rsidP="00887330">
            <w:pPr>
              <w:pStyle w:val="Tabletext"/>
            </w:pPr>
            <w:r w:rsidRPr="00583E1A">
              <w:rPr>
                <w:b/>
                <w:i/>
              </w:rPr>
              <w:t>adjusted average debt</w:t>
            </w:r>
            <w:r w:rsidRPr="00583E1A">
              <w:t xml:space="preserve"> is taken to have the meaning given by </w:t>
            </w:r>
            <w:r w:rsidR="00583E1A">
              <w:t>subsection (</w:t>
            </w:r>
            <w:r w:rsidRPr="00583E1A">
              <w:t>2) of this section</w:t>
            </w:r>
          </w:p>
          <w:p w:rsidR="00887330" w:rsidRPr="00583E1A" w:rsidRDefault="00887330" w:rsidP="00887330">
            <w:pPr>
              <w:pStyle w:val="Tabletext"/>
            </w:pPr>
            <w:r w:rsidRPr="00583E1A">
              <w:rPr>
                <w:b/>
                <w:i/>
              </w:rPr>
              <w:t>average debt</w:t>
            </w:r>
            <w:r w:rsidRPr="00583E1A">
              <w:t xml:space="preserve"> is taken to be the sum of:</w:t>
            </w:r>
          </w:p>
          <w:p w:rsidR="00887330" w:rsidRPr="00583E1A" w:rsidRDefault="00887330" w:rsidP="00887330">
            <w:pPr>
              <w:pStyle w:val="Tablea"/>
            </w:pPr>
            <w:r w:rsidRPr="00583E1A">
              <w:t>(a)</w:t>
            </w:r>
            <w:r w:rsidRPr="00583E1A">
              <w:tab/>
              <w:t xml:space="preserve">the average value, for that period, of the entity’s </w:t>
            </w:r>
            <w:r w:rsidR="00583E1A" w:rsidRPr="00583E1A">
              <w:rPr>
                <w:position w:val="6"/>
                <w:sz w:val="16"/>
              </w:rPr>
              <w:t>*</w:t>
            </w:r>
            <w:r w:rsidRPr="00583E1A">
              <w:t xml:space="preserve">debt capital that is covered by step 1 of the method statement in </w:t>
            </w:r>
            <w:r w:rsidR="00583E1A">
              <w:t>subsection (</w:t>
            </w:r>
            <w:r w:rsidRPr="00583E1A">
              <w:t>2) of this section; and</w:t>
            </w:r>
          </w:p>
          <w:p w:rsidR="00887330" w:rsidRPr="00583E1A" w:rsidRDefault="00887330" w:rsidP="00887330">
            <w:pPr>
              <w:pStyle w:val="Tablea"/>
            </w:pPr>
            <w:r w:rsidRPr="00583E1A">
              <w:t>(b)</w:t>
            </w:r>
            <w:r w:rsidRPr="00583E1A">
              <w:tab/>
              <w:t xml:space="preserve">the average value, for that period, of the entity’s </w:t>
            </w:r>
            <w:r w:rsidR="00583E1A" w:rsidRPr="00583E1A">
              <w:rPr>
                <w:position w:val="6"/>
                <w:sz w:val="16"/>
              </w:rPr>
              <w:t>*</w:t>
            </w:r>
            <w:r w:rsidRPr="00583E1A">
              <w:t>cost</w:t>
            </w:r>
            <w:r w:rsidR="00583E1A">
              <w:noBreakHyphen/>
            </w:r>
            <w:r w:rsidRPr="00583E1A">
              <w:t>free debt capital that is covered by step 5 of that method statement;</w:t>
            </w:r>
          </w:p>
          <w:p w:rsidR="00887330" w:rsidRPr="00583E1A" w:rsidRDefault="00887330" w:rsidP="00887330">
            <w:pPr>
              <w:pStyle w:val="Tabletext"/>
            </w:pPr>
            <w:r w:rsidRPr="00583E1A">
              <w:t xml:space="preserve">(disregarding any amount that is attributable to the entity’s </w:t>
            </w:r>
            <w:r w:rsidR="00583E1A" w:rsidRPr="00583E1A">
              <w:rPr>
                <w:position w:val="6"/>
                <w:sz w:val="16"/>
              </w:rPr>
              <w:t>*</w:t>
            </w:r>
            <w:r w:rsidRPr="00583E1A">
              <w:t>overseas permanent establishments in working out the average values).</w:t>
            </w:r>
          </w:p>
        </w:tc>
      </w:tr>
    </w:tbl>
    <w:p w:rsidR="00887330" w:rsidRPr="00583E1A" w:rsidRDefault="00887330" w:rsidP="00887330">
      <w:pPr>
        <w:pStyle w:val="ActHead4"/>
      </w:pPr>
      <w:bookmarkStart w:id="194" w:name="_Toc338939268"/>
      <w:r w:rsidRPr="00583E1A">
        <w:rPr>
          <w:rStyle w:val="CharSubdNo"/>
        </w:rPr>
        <w:t>Subdivision</w:t>
      </w:r>
      <w:r w:rsidR="00583E1A">
        <w:rPr>
          <w:rStyle w:val="CharSubdNo"/>
        </w:rPr>
        <w:t> </w:t>
      </w:r>
      <w:r w:rsidRPr="00583E1A">
        <w:rPr>
          <w:rStyle w:val="CharSubdNo"/>
        </w:rPr>
        <w:t>820</w:t>
      </w:r>
      <w:r w:rsidR="00583E1A">
        <w:rPr>
          <w:rStyle w:val="CharSubdNo"/>
        </w:rPr>
        <w:noBreakHyphen/>
      </w:r>
      <w:r w:rsidRPr="00583E1A">
        <w:rPr>
          <w:rStyle w:val="CharSubdNo"/>
        </w:rPr>
        <w:t>C</w:t>
      </w:r>
      <w:r w:rsidRPr="00583E1A">
        <w:t>—</w:t>
      </w:r>
      <w:r w:rsidRPr="00583E1A">
        <w:rPr>
          <w:rStyle w:val="CharSubdText"/>
        </w:rPr>
        <w:t>Thin capitalisation rules for inward investing entities (non</w:t>
      </w:r>
      <w:r w:rsidR="00583E1A">
        <w:rPr>
          <w:rStyle w:val="CharSubdText"/>
        </w:rPr>
        <w:noBreakHyphen/>
      </w:r>
      <w:r w:rsidRPr="00583E1A">
        <w:rPr>
          <w:rStyle w:val="CharSubdText"/>
        </w:rPr>
        <w:t>ADI)</w:t>
      </w:r>
      <w:bookmarkEnd w:id="194"/>
    </w:p>
    <w:p w:rsidR="00887330" w:rsidRPr="00583E1A" w:rsidRDefault="00887330" w:rsidP="00887330">
      <w:pPr>
        <w:pStyle w:val="ActHead4"/>
      </w:pPr>
      <w:bookmarkStart w:id="195" w:name="_Toc338939269"/>
      <w:r w:rsidRPr="00583E1A">
        <w:t>Guide to Subdivision</w:t>
      </w:r>
      <w:r w:rsidR="00583E1A">
        <w:t> </w:t>
      </w:r>
      <w:r w:rsidRPr="00583E1A">
        <w:t>820</w:t>
      </w:r>
      <w:r w:rsidR="00583E1A">
        <w:noBreakHyphen/>
      </w:r>
      <w:r w:rsidRPr="00583E1A">
        <w:t>C</w:t>
      </w:r>
      <w:bookmarkEnd w:id="195"/>
    </w:p>
    <w:p w:rsidR="00887330" w:rsidRPr="00583E1A" w:rsidRDefault="00887330" w:rsidP="00887330">
      <w:pPr>
        <w:pStyle w:val="ActHead5"/>
      </w:pPr>
      <w:bookmarkStart w:id="196" w:name="_Toc338939270"/>
      <w:r w:rsidRPr="00583E1A">
        <w:rPr>
          <w:rStyle w:val="CharSectno"/>
        </w:rPr>
        <w:t>820</w:t>
      </w:r>
      <w:r w:rsidR="00583E1A">
        <w:rPr>
          <w:rStyle w:val="CharSectno"/>
        </w:rPr>
        <w:noBreakHyphen/>
      </w:r>
      <w:r w:rsidRPr="00583E1A">
        <w:rPr>
          <w:rStyle w:val="CharSectno"/>
        </w:rPr>
        <w:t>180</w:t>
      </w:r>
      <w:r w:rsidRPr="00583E1A">
        <w:t xml:space="preserve">  What this Subdivision is about</w:t>
      </w:r>
      <w:bookmarkEnd w:id="196"/>
    </w:p>
    <w:p w:rsidR="00887330" w:rsidRPr="00583E1A" w:rsidRDefault="00887330" w:rsidP="00887330">
      <w:pPr>
        <w:pStyle w:val="BoxText"/>
      </w:pPr>
      <w:r w:rsidRPr="00583E1A">
        <w:t>This Subdivision sets out the thin capitalisation rules that apply to a foreign entity or a foreign controlled Australian entity that is not an authorised deposit</w:t>
      </w:r>
      <w:r w:rsidR="00583E1A">
        <w:noBreakHyphen/>
      </w:r>
      <w:r w:rsidRPr="00583E1A">
        <w:t xml:space="preserve">taking institution (an </w:t>
      </w:r>
      <w:r w:rsidRPr="00583E1A">
        <w:rPr>
          <w:b/>
          <w:i/>
        </w:rPr>
        <w:t>ADI</w:t>
      </w:r>
      <w:r w:rsidRPr="00583E1A">
        <w:t>). These rules deal with the following matters:</w:t>
      </w:r>
    </w:p>
    <w:p w:rsidR="00887330" w:rsidRPr="00583E1A" w:rsidRDefault="00887330" w:rsidP="00887330">
      <w:pPr>
        <w:pStyle w:val="BoxList"/>
      </w:pPr>
      <w:r w:rsidRPr="00583E1A">
        <w:t>•</w:t>
      </w:r>
      <w:r w:rsidRPr="00583E1A">
        <w:tab/>
        <w:t>how to work out the entity’s maximum allowable debt for an income year;</w:t>
      </w:r>
    </w:p>
    <w:p w:rsidR="00887330" w:rsidRPr="00583E1A" w:rsidRDefault="00887330" w:rsidP="00887330">
      <w:pPr>
        <w:pStyle w:val="BoxList"/>
      </w:pPr>
      <w:r w:rsidRPr="00583E1A">
        <w:lastRenderedPageBreak/>
        <w:t>•</w:t>
      </w:r>
      <w:r w:rsidRPr="00583E1A">
        <w:tab/>
        <w:t>how all or a part of the debt deductions claimed by the entity may be disallowed if the maximum allowable debt is exceeded;</w:t>
      </w:r>
    </w:p>
    <w:p w:rsidR="00887330" w:rsidRPr="00583E1A" w:rsidRDefault="00887330" w:rsidP="00887330">
      <w:pPr>
        <w:pStyle w:val="BoxList"/>
      </w:pPr>
      <w:r w:rsidRPr="00583E1A">
        <w:t>•</w:t>
      </w:r>
      <w:r w:rsidRPr="00583E1A">
        <w:tab/>
        <w:t>how to apply these rules to a period that is less than an income year.</w:t>
      </w:r>
    </w:p>
    <w:p w:rsidR="00887330" w:rsidRPr="00583E1A" w:rsidRDefault="00887330" w:rsidP="00887330">
      <w:pPr>
        <w:pStyle w:val="TofSectsHeading"/>
      </w:pPr>
      <w:r w:rsidRPr="00583E1A">
        <w:t>Table of sections</w:t>
      </w:r>
    </w:p>
    <w:p w:rsidR="00887330" w:rsidRPr="00583E1A" w:rsidRDefault="00887330" w:rsidP="00887330">
      <w:pPr>
        <w:pStyle w:val="TofSectsGroupHeading"/>
      </w:pPr>
      <w:r w:rsidRPr="00583E1A">
        <w:t>Operative provisions</w:t>
      </w:r>
    </w:p>
    <w:p w:rsidR="00887330" w:rsidRPr="00583E1A" w:rsidRDefault="00887330" w:rsidP="00887330">
      <w:pPr>
        <w:pStyle w:val="TofSectsSection"/>
      </w:pPr>
      <w:r w:rsidRPr="00583E1A">
        <w:t>820</w:t>
      </w:r>
      <w:r w:rsidR="00583E1A">
        <w:noBreakHyphen/>
      </w:r>
      <w:r w:rsidRPr="00583E1A">
        <w:t>185</w:t>
      </w:r>
      <w:r w:rsidRPr="00583E1A">
        <w:tab/>
        <w:t>Thin capitalisation rule for inward investing entities (non</w:t>
      </w:r>
      <w:r w:rsidR="00583E1A">
        <w:noBreakHyphen/>
      </w:r>
      <w:r w:rsidRPr="00583E1A">
        <w:t>ADI)</w:t>
      </w:r>
    </w:p>
    <w:p w:rsidR="00887330" w:rsidRPr="00583E1A" w:rsidRDefault="00887330" w:rsidP="00887330">
      <w:pPr>
        <w:pStyle w:val="TofSectsSection"/>
      </w:pPr>
      <w:r w:rsidRPr="00583E1A">
        <w:t>820</w:t>
      </w:r>
      <w:r w:rsidR="00583E1A">
        <w:noBreakHyphen/>
      </w:r>
      <w:r w:rsidRPr="00583E1A">
        <w:t>190</w:t>
      </w:r>
      <w:r w:rsidRPr="00583E1A">
        <w:tab/>
        <w:t>Maximum allowable debt</w:t>
      </w:r>
    </w:p>
    <w:p w:rsidR="00887330" w:rsidRPr="00583E1A" w:rsidRDefault="00887330" w:rsidP="00887330">
      <w:pPr>
        <w:pStyle w:val="TofSectsSection"/>
      </w:pPr>
      <w:r w:rsidRPr="00583E1A">
        <w:t>820</w:t>
      </w:r>
      <w:r w:rsidR="00583E1A">
        <w:noBreakHyphen/>
      </w:r>
      <w:r w:rsidRPr="00583E1A">
        <w:t>195</w:t>
      </w:r>
      <w:r w:rsidRPr="00583E1A">
        <w:tab/>
        <w:t>Safe harbour debt amount—inward investment vehicle (general)</w:t>
      </w:r>
    </w:p>
    <w:p w:rsidR="00887330" w:rsidRPr="00583E1A" w:rsidRDefault="00887330" w:rsidP="00887330">
      <w:pPr>
        <w:pStyle w:val="TofSectsSection"/>
      </w:pPr>
      <w:r w:rsidRPr="00583E1A">
        <w:t>820</w:t>
      </w:r>
      <w:r w:rsidR="00583E1A">
        <w:noBreakHyphen/>
      </w:r>
      <w:r w:rsidRPr="00583E1A">
        <w:t>200</w:t>
      </w:r>
      <w:r w:rsidRPr="00583E1A">
        <w:tab/>
        <w:t>Safe harbour debt amount—inward investment vehicle (financial)</w:t>
      </w:r>
    </w:p>
    <w:p w:rsidR="00887330" w:rsidRPr="00583E1A" w:rsidRDefault="00887330" w:rsidP="00887330">
      <w:pPr>
        <w:pStyle w:val="TofSectsSection"/>
      </w:pPr>
      <w:r w:rsidRPr="00583E1A">
        <w:t>820</w:t>
      </w:r>
      <w:r w:rsidR="00583E1A">
        <w:noBreakHyphen/>
      </w:r>
      <w:r w:rsidRPr="00583E1A">
        <w:t>205</w:t>
      </w:r>
      <w:r w:rsidRPr="00583E1A">
        <w:tab/>
        <w:t>Safe harbour debt amount—inward investor (general)</w:t>
      </w:r>
    </w:p>
    <w:p w:rsidR="00887330" w:rsidRPr="00583E1A" w:rsidRDefault="00887330" w:rsidP="00887330">
      <w:pPr>
        <w:pStyle w:val="TofSectsSection"/>
      </w:pPr>
      <w:r w:rsidRPr="00583E1A">
        <w:t>820</w:t>
      </w:r>
      <w:r w:rsidR="00583E1A">
        <w:noBreakHyphen/>
      </w:r>
      <w:r w:rsidRPr="00583E1A">
        <w:t>210</w:t>
      </w:r>
      <w:r w:rsidRPr="00583E1A">
        <w:tab/>
        <w:t>Safe harbour debt amount—inward investor (financial)</w:t>
      </w:r>
    </w:p>
    <w:p w:rsidR="00887330" w:rsidRPr="00583E1A" w:rsidRDefault="00887330" w:rsidP="00887330">
      <w:pPr>
        <w:pStyle w:val="TofSectsSection"/>
      </w:pPr>
      <w:r w:rsidRPr="00583E1A">
        <w:t>820</w:t>
      </w:r>
      <w:r w:rsidR="00583E1A">
        <w:noBreakHyphen/>
      </w:r>
      <w:r w:rsidRPr="00583E1A">
        <w:t>215</w:t>
      </w:r>
      <w:r w:rsidRPr="00583E1A">
        <w:tab/>
        <w:t>Arm’s length debt amount</w:t>
      </w:r>
    </w:p>
    <w:p w:rsidR="00887330" w:rsidRPr="00583E1A" w:rsidRDefault="00887330" w:rsidP="00887330">
      <w:pPr>
        <w:pStyle w:val="TofSectsSection"/>
      </w:pPr>
      <w:r w:rsidRPr="00583E1A">
        <w:t>820</w:t>
      </w:r>
      <w:r w:rsidR="00583E1A">
        <w:noBreakHyphen/>
      </w:r>
      <w:r w:rsidRPr="00583E1A">
        <w:t>220</w:t>
      </w:r>
      <w:r w:rsidRPr="00583E1A">
        <w:tab/>
        <w:t>Amount of debt deduction disallowed</w:t>
      </w:r>
    </w:p>
    <w:p w:rsidR="00887330" w:rsidRPr="00583E1A" w:rsidRDefault="00887330" w:rsidP="00887330">
      <w:pPr>
        <w:pStyle w:val="TofSectsSection"/>
      </w:pPr>
      <w:r w:rsidRPr="00583E1A">
        <w:t>820</w:t>
      </w:r>
      <w:r w:rsidR="00583E1A">
        <w:noBreakHyphen/>
      </w:r>
      <w:r w:rsidRPr="00583E1A">
        <w:t>225</w:t>
      </w:r>
      <w:r w:rsidRPr="00583E1A">
        <w:tab/>
        <w:t>Application to part year periods</w:t>
      </w:r>
    </w:p>
    <w:p w:rsidR="00887330" w:rsidRPr="00583E1A" w:rsidRDefault="00887330" w:rsidP="00887330">
      <w:pPr>
        <w:pStyle w:val="ActHead4"/>
      </w:pPr>
      <w:bookmarkStart w:id="197" w:name="_Toc338939271"/>
      <w:r w:rsidRPr="00583E1A">
        <w:t>Operative provisions</w:t>
      </w:r>
      <w:bookmarkEnd w:id="197"/>
    </w:p>
    <w:p w:rsidR="00887330" w:rsidRPr="00583E1A" w:rsidRDefault="00887330" w:rsidP="00887330">
      <w:pPr>
        <w:pStyle w:val="ActHead5"/>
      </w:pPr>
      <w:bookmarkStart w:id="198" w:name="_Toc338939272"/>
      <w:r w:rsidRPr="00583E1A">
        <w:rPr>
          <w:rStyle w:val="CharSectno"/>
        </w:rPr>
        <w:t>820</w:t>
      </w:r>
      <w:r w:rsidR="00583E1A">
        <w:rPr>
          <w:rStyle w:val="CharSectno"/>
        </w:rPr>
        <w:noBreakHyphen/>
      </w:r>
      <w:r w:rsidRPr="00583E1A">
        <w:rPr>
          <w:rStyle w:val="CharSectno"/>
        </w:rPr>
        <w:t>185</w:t>
      </w:r>
      <w:r w:rsidRPr="00583E1A">
        <w:t xml:space="preserve">  Thin capitalisation rule for inward investing entities (non</w:t>
      </w:r>
      <w:r w:rsidR="00583E1A">
        <w:noBreakHyphen/>
      </w:r>
      <w:r w:rsidRPr="00583E1A">
        <w:t>ADI)</w:t>
      </w:r>
      <w:bookmarkEnd w:id="198"/>
    </w:p>
    <w:p w:rsidR="00887330" w:rsidRPr="00583E1A" w:rsidRDefault="00887330" w:rsidP="00887330">
      <w:pPr>
        <w:pStyle w:val="SubsectionHead"/>
      </w:pPr>
      <w:r w:rsidRPr="00583E1A">
        <w:t>Thin capitalisation rule</w:t>
      </w:r>
    </w:p>
    <w:p w:rsidR="00887330" w:rsidRPr="00583E1A" w:rsidRDefault="00887330" w:rsidP="00887330">
      <w:pPr>
        <w:pStyle w:val="subsection"/>
      </w:pPr>
      <w:r w:rsidRPr="00583E1A">
        <w:tab/>
        <w:t>(1)</w:t>
      </w:r>
      <w:r w:rsidRPr="00583E1A">
        <w:tab/>
        <w:t xml:space="preserve">This subsection disallows all or a part of each </w:t>
      </w:r>
      <w:r w:rsidR="00583E1A" w:rsidRPr="00583E1A">
        <w:rPr>
          <w:position w:val="6"/>
          <w:sz w:val="16"/>
        </w:rPr>
        <w:t>*</w:t>
      </w:r>
      <w:r w:rsidRPr="00583E1A">
        <w:t>debt deduction of an entity for an income year if:</w:t>
      </w:r>
    </w:p>
    <w:p w:rsidR="00887330" w:rsidRPr="00583E1A" w:rsidRDefault="00887330" w:rsidP="00887330">
      <w:pPr>
        <w:pStyle w:val="paragraph"/>
      </w:pPr>
      <w:r w:rsidRPr="00583E1A">
        <w:tab/>
        <w:t>(a)</w:t>
      </w:r>
      <w:r w:rsidRPr="00583E1A">
        <w:tab/>
        <w:t xml:space="preserve">the entity is an </w:t>
      </w:r>
      <w:r w:rsidR="00583E1A" w:rsidRPr="00583E1A">
        <w:rPr>
          <w:position w:val="6"/>
          <w:sz w:val="16"/>
        </w:rPr>
        <w:t>*</w:t>
      </w:r>
      <w:r w:rsidRPr="00583E1A">
        <w:t>inward investing entity (non</w:t>
      </w:r>
      <w:r w:rsidR="00583E1A">
        <w:noBreakHyphen/>
      </w:r>
      <w:r w:rsidRPr="00583E1A">
        <w:t xml:space="preserve">ADI) for that year (see </w:t>
      </w:r>
      <w:r w:rsidR="00583E1A">
        <w:t>subsection (</w:t>
      </w:r>
      <w:r w:rsidRPr="00583E1A">
        <w:t xml:space="preserve">2)), but is not also an </w:t>
      </w:r>
      <w:r w:rsidR="00583E1A" w:rsidRPr="00583E1A">
        <w:rPr>
          <w:position w:val="6"/>
          <w:sz w:val="16"/>
        </w:rPr>
        <w:t>*</w:t>
      </w:r>
      <w:r w:rsidRPr="00583E1A">
        <w:t>outward investing entity (non</w:t>
      </w:r>
      <w:r w:rsidR="00583E1A">
        <w:noBreakHyphen/>
      </w:r>
      <w:r w:rsidRPr="00583E1A">
        <w:t>ADI) (see section</w:t>
      </w:r>
      <w:r w:rsidR="00583E1A">
        <w:t> </w:t>
      </w:r>
      <w:r w:rsidRPr="00583E1A">
        <w:t>820</w:t>
      </w:r>
      <w:r w:rsidR="00583E1A">
        <w:noBreakHyphen/>
      </w:r>
      <w:r w:rsidRPr="00583E1A">
        <w:t>85) for all or any part of that year; and</w:t>
      </w:r>
    </w:p>
    <w:p w:rsidR="00887330" w:rsidRPr="00583E1A" w:rsidRDefault="00887330" w:rsidP="00887330">
      <w:pPr>
        <w:pStyle w:val="paragraph"/>
      </w:pPr>
      <w:r w:rsidRPr="00583E1A">
        <w:tab/>
        <w:t>(b)</w:t>
      </w:r>
      <w:r w:rsidRPr="00583E1A">
        <w:tab/>
        <w:t xml:space="preserve">for that year, the entity’s </w:t>
      </w:r>
      <w:r w:rsidR="00583E1A" w:rsidRPr="00583E1A">
        <w:rPr>
          <w:position w:val="6"/>
          <w:sz w:val="16"/>
        </w:rPr>
        <w:t>*</w:t>
      </w:r>
      <w:r w:rsidRPr="00583E1A">
        <w:t xml:space="preserve">adjusted average debt (see </w:t>
      </w:r>
      <w:r w:rsidR="00583E1A">
        <w:t>subsection (</w:t>
      </w:r>
      <w:r w:rsidRPr="00583E1A">
        <w:t xml:space="preserve">3)) exceeds its </w:t>
      </w:r>
      <w:r w:rsidR="00583E1A" w:rsidRPr="00583E1A">
        <w:rPr>
          <w:position w:val="6"/>
          <w:sz w:val="16"/>
        </w:rPr>
        <w:t>*</w:t>
      </w:r>
      <w:r w:rsidRPr="00583E1A">
        <w:t>maximum allowable debt (see section</w:t>
      </w:r>
      <w:r w:rsidR="00583E1A">
        <w:t> </w:t>
      </w:r>
      <w:r w:rsidRPr="00583E1A">
        <w:t>820</w:t>
      </w:r>
      <w:r w:rsidR="00583E1A">
        <w:noBreakHyphen/>
      </w:r>
      <w:r w:rsidRPr="00583E1A">
        <w:t>190).</w:t>
      </w:r>
    </w:p>
    <w:p w:rsidR="00887330" w:rsidRPr="00583E1A" w:rsidRDefault="00887330" w:rsidP="00887330">
      <w:pPr>
        <w:pStyle w:val="notetext"/>
      </w:pPr>
      <w:r w:rsidRPr="00583E1A">
        <w:t>Note 1:</w:t>
      </w:r>
      <w:r w:rsidRPr="00583E1A">
        <w:tab/>
        <w:t>This Subdivision does not apply if the total debt deductions of that entity and all its associate entities for that year are $250,000 or less, see section</w:t>
      </w:r>
      <w:r w:rsidR="00583E1A">
        <w:t> </w:t>
      </w:r>
      <w:r w:rsidRPr="00583E1A">
        <w:t>820</w:t>
      </w:r>
      <w:r w:rsidR="00583E1A">
        <w:noBreakHyphen/>
      </w:r>
      <w:r w:rsidRPr="00583E1A">
        <w:t>35.</w:t>
      </w:r>
    </w:p>
    <w:p w:rsidR="00887330" w:rsidRPr="00583E1A" w:rsidRDefault="00887330" w:rsidP="00887330">
      <w:pPr>
        <w:pStyle w:val="notetext"/>
      </w:pPr>
      <w:r w:rsidRPr="00583E1A">
        <w:lastRenderedPageBreak/>
        <w:t>Note 2:</w:t>
      </w:r>
      <w:r w:rsidRPr="00583E1A">
        <w:tab/>
        <w:t>To work out the amount to be disallowed, see section</w:t>
      </w:r>
      <w:r w:rsidR="00583E1A">
        <w:t> </w:t>
      </w:r>
      <w:r w:rsidRPr="00583E1A">
        <w:t>820</w:t>
      </w:r>
      <w:r w:rsidR="00583E1A">
        <w:noBreakHyphen/>
      </w:r>
      <w:r w:rsidRPr="00583E1A">
        <w:t>220.</w:t>
      </w:r>
    </w:p>
    <w:p w:rsidR="00887330" w:rsidRPr="00583E1A" w:rsidRDefault="00887330" w:rsidP="00887330">
      <w:pPr>
        <w:pStyle w:val="notetext"/>
      </w:pPr>
      <w:r w:rsidRPr="00583E1A">
        <w:t>Note 3:</w:t>
      </w:r>
      <w:r w:rsidRPr="00583E1A">
        <w:tab/>
        <w:t>For the rules that apply to an entity that is an outward investing entity (non</w:t>
      </w:r>
      <w:r w:rsidR="00583E1A">
        <w:noBreakHyphen/>
      </w:r>
      <w:r w:rsidRPr="00583E1A">
        <w:t>ADI) as well as an inward investing entity (non</w:t>
      </w:r>
      <w:r w:rsidR="00583E1A">
        <w:noBreakHyphen/>
      </w:r>
      <w:r w:rsidRPr="00583E1A">
        <w:t>ADI), see Subdivision</w:t>
      </w:r>
      <w:r w:rsidR="00583E1A">
        <w:t> </w:t>
      </w:r>
      <w:r w:rsidRPr="00583E1A">
        <w:t>820</w:t>
      </w:r>
      <w:r w:rsidR="00583E1A">
        <w:noBreakHyphen/>
      </w:r>
      <w:r w:rsidRPr="00583E1A">
        <w:t>B.</w:t>
      </w:r>
    </w:p>
    <w:p w:rsidR="00887330" w:rsidRPr="00583E1A" w:rsidRDefault="00887330" w:rsidP="00887330">
      <w:pPr>
        <w:pStyle w:val="notetext"/>
      </w:pPr>
      <w:r w:rsidRPr="00583E1A">
        <w:t>Note 4:</w:t>
      </w:r>
      <w:r w:rsidRPr="00583E1A">
        <w:tab/>
        <w:t>For the rules that apply to an entity that is an inward investing entity (non</w:t>
      </w:r>
      <w:r w:rsidR="00583E1A">
        <w:noBreakHyphen/>
      </w:r>
      <w:r w:rsidRPr="00583E1A">
        <w:t>ADI) for only a part of an income year, see section</w:t>
      </w:r>
      <w:r w:rsidR="00583E1A">
        <w:t> </w:t>
      </w:r>
      <w:r w:rsidRPr="00583E1A">
        <w:t>820</w:t>
      </w:r>
      <w:r w:rsidR="00583E1A">
        <w:noBreakHyphen/>
      </w:r>
      <w:r w:rsidRPr="00583E1A">
        <w:t xml:space="preserve">225 in conjunction with </w:t>
      </w:r>
      <w:r w:rsidR="00583E1A">
        <w:t>subsection (</w:t>
      </w:r>
      <w:r w:rsidRPr="00583E1A">
        <w:t>2) of this section.</w:t>
      </w:r>
    </w:p>
    <w:p w:rsidR="00887330" w:rsidRPr="00583E1A" w:rsidRDefault="00887330" w:rsidP="00887330">
      <w:pPr>
        <w:pStyle w:val="notetext"/>
      </w:pPr>
      <w:r w:rsidRPr="00583E1A">
        <w:t>Note 5:</w:t>
      </w:r>
      <w:r w:rsidRPr="00583E1A">
        <w:tab/>
        <w:t>To calculate an average value for the purposes of this Division, see Subdivision</w:t>
      </w:r>
      <w:r w:rsidR="00583E1A">
        <w:t> </w:t>
      </w:r>
      <w:r w:rsidRPr="00583E1A">
        <w:t>820</w:t>
      </w:r>
      <w:r w:rsidR="00583E1A">
        <w:noBreakHyphen/>
      </w:r>
      <w:r w:rsidRPr="00583E1A">
        <w:t>G.</w:t>
      </w:r>
    </w:p>
    <w:p w:rsidR="00F82A1A" w:rsidRPr="00583E1A" w:rsidRDefault="00F82A1A" w:rsidP="00F82A1A">
      <w:pPr>
        <w:pStyle w:val="notetext"/>
      </w:pPr>
      <w:r w:rsidRPr="00583E1A">
        <w:t>Note 6:</w:t>
      </w:r>
      <w:r w:rsidRPr="00583E1A">
        <w:tab/>
        <w:t>A consolidated group or MEC group may be an inward investing entity (non</w:t>
      </w:r>
      <w:r w:rsidR="00583E1A">
        <w:noBreakHyphen/>
      </w:r>
      <w:r w:rsidRPr="00583E1A">
        <w:t>ADI) to which this Subdivision applies: see Subdivisions</w:t>
      </w:r>
      <w:r w:rsidR="00583E1A">
        <w:t> </w:t>
      </w:r>
      <w:r w:rsidRPr="00583E1A">
        <w:t>820</w:t>
      </w:r>
      <w:r w:rsidR="00583E1A">
        <w:noBreakHyphen/>
      </w:r>
      <w:r w:rsidRPr="00583E1A">
        <w:t>FA and 820</w:t>
      </w:r>
      <w:r w:rsidR="00583E1A">
        <w:noBreakHyphen/>
      </w:r>
      <w:r w:rsidRPr="00583E1A">
        <w:t>FB.</w:t>
      </w:r>
    </w:p>
    <w:p w:rsidR="00887330" w:rsidRPr="00583E1A" w:rsidRDefault="00887330" w:rsidP="00887330">
      <w:pPr>
        <w:pStyle w:val="SubsectionHead"/>
      </w:pPr>
      <w:r w:rsidRPr="00583E1A">
        <w:t>Inward investing entity (non</w:t>
      </w:r>
      <w:r w:rsidR="00583E1A">
        <w:noBreakHyphen/>
      </w:r>
      <w:r w:rsidRPr="00583E1A">
        <w:t>ADI)</w:t>
      </w:r>
    </w:p>
    <w:p w:rsidR="00887330" w:rsidRPr="00583E1A" w:rsidRDefault="00887330" w:rsidP="00887330">
      <w:pPr>
        <w:pStyle w:val="subsection"/>
      </w:pPr>
      <w:r w:rsidRPr="00583E1A">
        <w:tab/>
        <w:t>(2)</w:t>
      </w:r>
      <w:r w:rsidRPr="00583E1A">
        <w:tab/>
        <w:t xml:space="preserve">The entity is an </w:t>
      </w:r>
      <w:r w:rsidRPr="00583E1A">
        <w:rPr>
          <w:b/>
          <w:i/>
        </w:rPr>
        <w:t>inward investing entity (non</w:t>
      </w:r>
      <w:r w:rsidR="00583E1A">
        <w:rPr>
          <w:b/>
          <w:i/>
        </w:rPr>
        <w:noBreakHyphen/>
      </w:r>
      <w:r w:rsidRPr="00583E1A">
        <w:rPr>
          <w:b/>
          <w:i/>
        </w:rPr>
        <w:t xml:space="preserve">ADI) </w:t>
      </w:r>
      <w:r w:rsidRPr="00583E1A">
        <w:t>for a period that is all or a part of an income year if, and only if, it is:</w:t>
      </w:r>
    </w:p>
    <w:p w:rsidR="00887330" w:rsidRPr="00583E1A" w:rsidRDefault="00887330" w:rsidP="00887330">
      <w:pPr>
        <w:pStyle w:val="paragraph"/>
      </w:pPr>
      <w:r w:rsidRPr="00583E1A">
        <w:tab/>
        <w:t>(a)</w:t>
      </w:r>
      <w:r w:rsidRPr="00583E1A">
        <w:tab/>
        <w:t xml:space="preserve">an </w:t>
      </w:r>
      <w:r w:rsidR="00583E1A" w:rsidRPr="00583E1A">
        <w:rPr>
          <w:position w:val="6"/>
          <w:sz w:val="16"/>
        </w:rPr>
        <w:t>*</w:t>
      </w:r>
      <w:r w:rsidRPr="00583E1A">
        <w:t>inward investment vehicle (general) for that period (as set out in item</w:t>
      </w:r>
      <w:r w:rsidR="00583E1A">
        <w:t> </w:t>
      </w:r>
      <w:r w:rsidRPr="00583E1A">
        <w:t>1 of the following table); or</w:t>
      </w:r>
    </w:p>
    <w:p w:rsidR="00887330" w:rsidRPr="00583E1A" w:rsidRDefault="00887330" w:rsidP="00887330">
      <w:pPr>
        <w:pStyle w:val="paragraph"/>
      </w:pPr>
      <w:r w:rsidRPr="00583E1A">
        <w:tab/>
        <w:t>(b)</w:t>
      </w:r>
      <w:r w:rsidRPr="00583E1A">
        <w:tab/>
        <w:t xml:space="preserve">an </w:t>
      </w:r>
      <w:r w:rsidR="00583E1A" w:rsidRPr="00583E1A">
        <w:rPr>
          <w:position w:val="6"/>
          <w:sz w:val="16"/>
        </w:rPr>
        <w:t>*</w:t>
      </w:r>
      <w:r w:rsidRPr="00583E1A">
        <w:t>inward investment vehicle (financial) for that period (as set out in item</w:t>
      </w:r>
      <w:r w:rsidR="00583E1A">
        <w:t> </w:t>
      </w:r>
      <w:r w:rsidRPr="00583E1A">
        <w:t>2 of that table); or</w:t>
      </w:r>
    </w:p>
    <w:p w:rsidR="00887330" w:rsidRPr="00583E1A" w:rsidRDefault="00887330" w:rsidP="00887330">
      <w:pPr>
        <w:pStyle w:val="paragraph"/>
      </w:pPr>
      <w:r w:rsidRPr="00583E1A">
        <w:tab/>
        <w:t>(c)</w:t>
      </w:r>
      <w:r w:rsidRPr="00583E1A">
        <w:tab/>
        <w:t xml:space="preserve">an </w:t>
      </w:r>
      <w:r w:rsidR="00583E1A" w:rsidRPr="00583E1A">
        <w:rPr>
          <w:position w:val="6"/>
          <w:sz w:val="16"/>
        </w:rPr>
        <w:t>*</w:t>
      </w:r>
      <w:r w:rsidRPr="00583E1A">
        <w:t>inward investor (general) for that period (as set out in item</w:t>
      </w:r>
      <w:r w:rsidR="00583E1A">
        <w:t> </w:t>
      </w:r>
      <w:r w:rsidRPr="00583E1A">
        <w:t>3 of that table); or</w:t>
      </w:r>
    </w:p>
    <w:p w:rsidR="00887330" w:rsidRPr="00583E1A" w:rsidRDefault="00887330" w:rsidP="00887330">
      <w:pPr>
        <w:pStyle w:val="paragraph"/>
      </w:pPr>
      <w:r w:rsidRPr="00583E1A">
        <w:tab/>
        <w:t>(d)</w:t>
      </w:r>
      <w:r w:rsidRPr="00583E1A">
        <w:tab/>
        <w:t xml:space="preserve">an </w:t>
      </w:r>
      <w:r w:rsidR="00583E1A" w:rsidRPr="00583E1A">
        <w:rPr>
          <w:position w:val="6"/>
          <w:sz w:val="16"/>
        </w:rPr>
        <w:t>*</w:t>
      </w:r>
      <w:r w:rsidRPr="00583E1A">
        <w:t>inward investor (financial) for that period (as set out in item</w:t>
      </w:r>
      <w:r w:rsidR="00583E1A">
        <w:t> </w:t>
      </w:r>
      <w:r w:rsidRPr="00583E1A">
        <w:t>4 of that table).</w:t>
      </w:r>
    </w:p>
    <w:p w:rsidR="00887330" w:rsidRPr="00583E1A" w:rsidRDefault="00887330" w:rsidP="00887330">
      <w:pPr>
        <w:pStyle w:val="Table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714"/>
        <w:gridCol w:w="2546"/>
        <w:gridCol w:w="1913"/>
        <w:gridCol w:w="1914"/>
      </w:tblGrid>
      <w:tr w:rsidR="00887330" w:rsidRPr="00583E1A">
        <w:trPr>
          <w:cantSplit/>
          <w:tblHeader/>
        </w:trPr>
        <w:tc>
          <w:tcPr>
            <w:tcW w:w="7087" w:type="dxa"/>
            <w:gridSpan w:val="4"/>
            <w:tcBorders>
              <w:top w:val="single" w:sz="12" w:space="0" w:color="auto"/>
              <w:left w:val="nil"/>
              <w:bottom w:val="nil"/>
              <w:right w:val="nil"/>
            </w:tcBorders>
          </w:tcPr>
          <w:p w:rsidR="00887330" w:rsidRPr="00583E1A" w:rsidRDefault="00887330" w:rsidP="00887330">
            <w:pPr>
              <w:pStyle w:val="Tabletext"/>
            </w:pPr>
            <w:r w:rsidRPr="00583E1A">
              <w:rPr>
                <w:b/>
              </w:rPr>
              <w:t>Inward investing entity (non</w:t>
            </w:r>
            <w:r w:rsidR="00583E1A">
              <w:rPr>
                <w:b/>
              </w:rPr>
              <w:noBreakHyphen/>
            </w:r>
            <w:r w:rsidRPr="00583E1A">
              <w:rPr>
                <w:b/>
              </w:rPr>
              <w:t>ADI)</w:t>
            </w:r>
          </w:p>
        </w:tc>
      </w:tr>
      <w:tr w:rsidR="00887330" w:rsidRPr="00583E1A">
        <w:trPr>
          <w:cantSplit/>
          <w:tblHeader/>
        </w:trPr>
        <w:tc>
          <w:tcPr>
            <w:tcW w:w="714" w:type="dxa"/>
            <w:tcBorders>
              <w:top w:val="single" w:sz="6" w:space="0" w:color="auto"/>
              <w:left w:val="nil"/>
              <w:bottom w:val="single" w:sz="12" w:space="0" w:color="auto"/>
              <w:right w:val="nil"/>
            </w:tcBorders>
          </w:tcPr>
          <w:p w:rsidR="00887330" w:rsidRPr="00583E1A" w:rsidRDefault="00887330" w:rsidP="00887330">
            <w:pPr>
              <w:pStyle w:val="Tabletext"/>
            </w:pPr>
            <w:r w:rsidRPr="00583E1A">
              <w:rPr>
                <w:b/>
              </w:rPr>
              <w:t>Item</w:t>
            </w:r>
          </w:p>
        </w:tc>
        <w:tc>
          <w:tcPr>
            <w:tcW w:w="2546" w:type="dxa"/>
            <w:tcBorders>
              <w:top w:val="single" w:sz="6" w:space="0" w:color="auto"/>
              <w:left w:val="nil"/>
              <w:bottom w:val="single" w:sz="12" w:space="0" w:color="auto"/>
              <w:right w:val="nil"/>
            </w:tcBorders>
          </w:tcPr>
          <w:p w:rsidR="00887330" w:rsidRPr="00583E1A" w:rsidRDefault="00887330" w:rsidP="00887330">
            <w:pPr>
              <w:pStyle w:val="Tabletext"/>
            </w:pPr>
            <w:r w:rsidRPr="00583E1A">
              <w:rPr>
                <w:b/>
              </w:rPr>
              <w:t>If the entity is a:</w:t>
            </w:r>
          </w:p>
        </w:tc>
        <w:tc>
          <w:tcPr>
            <w:tcW w:w="1913" w:type="dxa"/>
            <w:tcBorders>
              <w:top w:val="single" w:sz="6" w:space="0" w:color="auto"/>
              <w:left w:val="nil"/>
              <w:bottom w:val="single" w:sz="12" w:space="0" w:color="auto"/>
              <w:right w:val="nil"/>
            </w:tcBorders>
          </w:tcPr>
          <w:p w:rsidR="00887330" w:rsidRPr="00583E1A" w:rsidRDefault="00887330" w:rsidP="00887330">
            <w:pPr>
              <w:pStyle w:val="Tabletext"/>
            </w:pPr>
            <w:r w:rsidRPr="00583E1A">
              <w:rPr>
                <w:b/>
              </w:rPr>
              <w:t>and the entity:</w:t>
            </w:r>
          </w:p>
        </w:tc>
        <w:tc>
          <w:tcPr>
            <w:tcW w:w="1914" w:type="dxa"/>
            <w:tcBorders>
              <w:top w:val="single" w:sz="6" w:space="0" w:color="auto"/>
              <w:left w:val="nil"/>
              <w:bottom w:val="single" w:sz="12" w:space="0" w:color="auto"/>
              <w:right w:val="nil"/>
            </w:tcBorders>
          </w:tcPr>
          <w:p w:rsidR="00887330" w:rsidRPr="00583E1A" w:rsidRDefault="00887330" w:rsidP="00887330">
            <w:pPr>
              <w:pStyle w:val="Tabletext"/>
            </w:pPr>
            <w:r w:rsidRPr="00583E1A">
              <w:rPr>
                <w:b/>
              </w:rPr>
              <w:t>the entity is an:</w:t>
            </w:r>
          </w:p>
        </w:tc>
      </w:tr>
      <w:tr w:rsidR="00887330" w:rsidRPr="00583E1A">
        <w:trPr>
          <w:cantSplit/>
        </w:trPr>
        <w:tc>
          <w:tcPr>
            <w:tcW w:w="714" w:type="dxa"/>
            <w:tcBorders>
              <w:top w:val="single" w:sz="12" w:space="0" w:color="auto"/>
              <w:left w:val="nil"/>
              <w:bottom w:val="single" w:sz="2" w:space="0" w:color="auto"/>
              <w:right w:val="nil"/>
            </w:tcBorders>
            <w:shd w:val="clear" w:color="auto" w:fill="auto"/>
          </w:tcPr>
          <w:p w:rsidR="00887330" w:rsidRPr="00583E1A" w:rsidRDefault="00887330" w:rsidP="00887330">
            <w:pPr>
              <w:pStyle w:val="Tabletext"/>
            </w:pPr>
            <w:r w:rsidRPr="00583E1A">
              <w:t>1</w:t>
            </w:r>
          </w:p>
        </w:tc>
        <w:tc>
          <w:tcPr>
            <w:tcW w:w="2546" w:type="dxa"/>
            <w:tcBorders>
              <w:top w:val="single" w:sz="12" w:space="0" w:color="auto"/>
              <w:left w:val="nil"/>
              <w:bottom w:val="single" w:sz="2" w:space="0" w:color="auto"/>
              <w:right w:val="nil"/>
            </w:tcBorders>
            <w:shd w:val="clear" w:color="auto" w:fill="auto"/>
          </w:tcPr>
          <w:p w:rsidR="00887330" w:rsidRPr="00583E1A" w:rsidRDefault="00583E1A" w:rsidP="00887330">
            <w:pPr>
              <w:pStyle w:val="Tabletext"/>
            </w:pPr>
            <w:r w:rsidRPr="00583E1A">
              <w:rPr>
                <w:position w:val="6"/>
                <w:sz w:val="16"/>
              </w:rPr>
              <w:t>*</w:t>
            </w:r>
            <w:r w:rsidR="00887330" w:rsidRPr="00583E1A">
              <w:t>foreign controlled Australian entity throughout a period that is all or a part of an income year</w:t>
            </w:r>
          </w:p>
        </w:tc>
        <w:tc>
          <w:tcPr>
            <w:tcW w:w="1913" w:type="dxa"/>
            <w:tcBorders>
              <w:top w:val="single" w:sz="12" w:space="0" w:color="auto"/>
              <w:left w:val="nil"/>
              <w:bottom w:val="single" w:sz="2" w:space="0" w:color="auto"/>
              <w:right w:val="nil"/>
            </w:tcBorders>
            <w:shd w:val="clear" w:color="auto" w:fill="auto"/>
          </w:tcPr>
          <w:p w:rsidR="00887330" w:rsidRPr="00583E1A" w:rsidRDefault="00887330" w:rsidP="00887330">
            <w:pPr>
              <w:pStyle w:val="Tabletext"/>
            </w:pPr>
            <w:r w:rsidRPr="00583E1A">
              <w:t xml:space="preserve">is not a </w:t>
            </w:r>
            <w:r w:rsidR="00583E1A" w:rsidRPr="00583E1A">
              <w:rPr>
                <w:position w:val="6"/>
                <w:sz w:val="16"/>
              </w:rPr>
              <w:t>*</w:t>
            </w:r>
            <w:r w:rsidRPr="00583E1A">
              <w:t xml:space="preserve">financial entity, nor an </w:t>
            </w:r>
            <w:r w:rsidR="00583E1A" w:rsidRPr="00583E1A">
              <w:rPr>
                <w:position w:val="6"/>
                <w:sz w:val="16"/>
              </w:rPr>
              <w:t>*</w:t>
            </w:r>
            <w:r w:rsidRPr="00583E1A">
              <w:t>ADI, at any time during that period</w:t>
            </w:r>
          </w:p>
        </w:tc>
        <w:tc>
          <w:tcPr>
            <w:tcW w:w="1914" w:type="dxa"/>
            <w:tcBorders>
              <w:top w:val="single" w:sz="12" w:space="0" w:color="auto"/>
              <w:left w:val="nil"/>
              <w:bottom w:val="single" w:sz="2" w:space="0" w:color="auto"/>
              <w:right w:val="nil"/>
            </w:tcBorders>
            <w:shd w:val="clear" w:color="auto" w:fill="auto"/>
          </w:tcPr>
          <w:p w:rsidR="00887330" w:rsidRPr="00583E1A" w:rsidRDefault="00887330" w:rsidP="00887330">
            <w:pPr>
              <w:pStyle w:val="Tabletext"/>
            </w:pPr>
            <w:r w:rsidRPr="00583E1A">
              <w:rPr>
                <w:b/>
                <w:i/>
              </w:rPr>
              <w:t>inward investment vehicle (general)</w:t>
            </w:r>
            <w:r w:rsidRPr="00583E1A">
              <w:t xml:space="preserve"> for that period</w:t>
            </w:r>
          </w:p>
        </w:tc>
      </w:tr>
      <w:tr w:rsidR="00887330" w:rsidRPr="00583E1A">
        <w:trPr>
          <w:cantSplit/>
        </w:trPr>
        <w:tc>
          <w:tcPr>
            <w:tcW w:w="714" w:type="dxa"/>
            <w:tcBorders>
              <w:top w:val="single" w:sz="2" w:space="0" w:color="auto"/>
              <w:left w:val="nil"/>
              <w:bottom w:val="single" w:sz="2" w:space="0" w:color="auto"/>
              <w:right w:val="nil"/>
            </w:tcBorders>
            <w:shd w:val="clear" w:color="auto" w:fill="auto"/>
          </w:tcPr>
          <w:p w:rsidR="00887330" w:rsidRPr="00583E1A" w:rsidRDefault="00887330" w:rsidP="00887330">
            <w:pPr>
              <w:pStyle w:val="Tabletext"/>
            </w:pPr>
            <w:r w:rsidRPr="00583E1A">
              <w:t>2</w:t>
            </w:r>
          </w:p>
        </w:tc>
        <w:tc>
          <w:tcPr>
            <w:tcW w:w="2546" w:type="dxa"/>
            <w:tcBorders>
              <w:top w:val="single" w:sz="2" w:space="0" w:color="auto"/>
              <w:left w:val="nil"/>
              <w:bottom w:val="single" w:sz="2" w:space="0" w:color="auto"/>
              <w:right w:val="nil"/>
            </w:tcBorders>
            <w:shd w:val="clear" w:color="auto" w:fill="auto"/>
          </w:tcPr>
          <w:p w:rsidR="00887330" w:rsidRPr="00583E1A" w:rsidRDefault="00583E1A" w:rsidP="00887330">
            <w:pPr>
              <w:pStyle w:val="Tabletext"/>
            </w:pPr>
            <w:r w:rsidRPr="00583E1A">
              <w:rPr>
                <w:position w:val="6"/>
                <w:sz w:val="16"/>
              </w:rPr>
              <w:t>*</w:t>
            </w:r>
            <w:r w:rsidR="00887330" w:rsidRPr="00583E1A">
              <w:t>foreign controlled Australian entity throughout a period that is all or a part of an income year</w:t>
            </w:r>
          </w:p>
        </w:tc>
        <w:tc>
          <w:tcPr>
            <w:tcW w:w="1913" w:type="dxa"/>
            <w:tcBorders>
              <w:top w:val="single" w:sz="2" w:space="0" w:color="auto"/>
              <w:left w:val="nil"/>
              <w:bottom w:val="single" w:sz="2" w:space="0" w:color="auto"/>
              <w:right w:val="nil"/>
            </w:tcBorders>
            <w:shd w:val="clear" w:color="auto" w:fill="auto"/>
          </w:tcPr>
          <w:p w:rsidR="00887330" w:rsidRPr="00583E1A" w:rsidRDefault="00887330" w:rsidP="00887330">
            <w:pPr>
              <w:pStyle w:val="Tabletext"/>
            </w:pPr>
            <w:r w:rsidRPr="00583E1A">
              <w:t xml:space="preserve">is a </w:t>
            </w:r>
            <w:r w:rsidR="00583E1A" w:rsidRPr="00583E1A">
              <w:rPr>
                <w:position w:val="6"/>
                <w:sz w:val="16"/>
              </w:rPr>
              <w:t>*</w:t>
            </w:r>
            <w:r w:rsidRPr="00583E1A">
              <w:t>financial entity throughout that period</w:t>
            </w:r>
          </w:p>
        </w:tc>
        <w:tc>
          <w:tcPr>
            <w:tcW w:w="1914" w:type="dxa"/>
            <w:tcBorders>
              <w:top w:val="single" w:sz="2" w:space="0" w:color="auto"/>
              <w:left w:val="nil"/>
              <w:bottom w:val="single" w:sz="2" w:space="0" w:color="auto"/>
              <w:right w:val="nil"/>
            </w:tcBorders>
            <w:shd w:val="clear" w:color="auto" w:fill="auto"/>
          </w:tcPr>
          <w:p w:rsidR="00887330" w:rsidRPr="00583E1A" w:rsidRDefault="00887330" w:rsidP="00887330">
            <w:pPr>
              <w:pStyle w:val="Tabletext"/>
            </w:pPr>
            <w:r w:rsidRPr="00583E1A">
              <w:rPr>
                <w:b/>
                <w:i/>
              </w:rPr>
              <w:t xml:space="preserve">inward investment vehicle (financial) </w:t>
            </w:r>
            <w:r w:rsidRPr="00583E1A">
              <w:t>for that period</w:t>
            </w:r>
          </w:p>
        </w:tc>
      </w:tr>
      <w:tr w:rsidR="00887330" w:rsidRPr="00583E1A">
        <w:trPr>
          <w:cantSplit/>
        </w:trPr>
        <w:tc>
          <w:tcPr>
            <w:tcW w:w="714" w:type="dxa"/>
            <w:tcBorders>
              <w:top w:val="single" w:sz="2" w:space="0" w:color="auto"/>
              <w:left w:val="nil"/>
              <w:bottom w:val="single" w:sz="2" w:space="0" w:color="auto"/>
              <w:right w:val="nil"/>
            </w:tcBorders>
            <w:shd w:val="clear" w:color="auto" w:fill="auto"/>
          </w:tcPr>
          <w:p w:rsidR="00887330" w:rsidRPr="00583E1A" w:rsidRDefault="00887330" w:rsidP="00887330">
            <w:pPr>
              <w:pStyle w:val="Tabletext"/>
            </w:pPr>
            <w:r w:rsidRPr="00583E1A">
              <w:lastRenderedPageBreak/>
              <w:t>3</w:t>
            </w:r>
          </w:p>
        </w:tc>
        <w:tc>
          <w:tcPr>
            <w:tcW w:w="2546" w:type="dxa"/>
            <w:tcBorders>
              <w:top w:val="single" w:sz="2" w:space="0" w:color="auto"/>
              <w:left w:val="nil"/>
              <w:bottom w:val="single" w:sz="2" w:space="0" w:color="auto"/>
              <w:right w:val="nil"/>
            </w:tcBorders>
            <w:shd w:val="clear" w:color="auto" w:fill="auto"/>
          </w:tcPr>
          <w:p w:rsidR="00887330" w:rsidRPr="00583E1A" w:rsidRDefault="00583E1A" w:rsidP="00887330">
            <w:pPr>
              <w:pStyle w:val="Tabletext"/>
            </w:pPr>
            <w:r w:rsidRPr="00583E1A">
              <w:rPr>
                <w:position w:val="6"/>
                <w:sz w:val="16"/>
              </w:rPr>
              <w:t>*</w:t>
            </w:r>
            <w:r w:rsidR="00887330" w:rsidRPr="00583E1A">
              <w:t>foreign entity throughout a period that is all or a part of an income year</w:t>
            </w:r>
          </w:p>
        </w:tc>
        <w:tc>
          <w:tcPr>
            <w:tcW w:w="1913" w:type="dxa"/>
            <w:tcBorders>
              <w:top w:val="single" w:sz="2" w:space="0" w:color="auto"/>
              <w:left w:val="nil"/>
              <w:bottom w:val="single" w:sz="2" w:space="0" w:color="auto"/>
              <w:right w:val="nil"/>
            </w:tcBorders>
            <w:shd w:val="clear" w:color="auto" w:fill="auto"/>
          </w:tcPr>
          <w:p w:rsidR="00887330" w:rsidRPr="00583E1A" w:rsidRDefault="00887330" w:rsidP="00887330">
            <w:pPr>
              <w:pStyle w:val="Tabletext"/>
            </w:pPr>
            <w:r w:rsidRPr="00583E1A">
              <w:t xml:space="preserve">is not a </w:t>
            </w:r>
            <w:r w:rsidR="00583E1A" w:rsidRPr="00583E1A">
              <w:rPr>
                <w:position w:val="6"/>
                <w:sz w:val="16"/>
              </w:rPr>
              <w:t>*</w:t>
            </w:r>
            <w:r w:rsidRPr="00583E1A">
              <w:t xml:space="preserve">financial entity, nor an </w:t>
            </w:r>
            <w:r w:rsidR="00583E1A" w:rsidRPr="00583E1A">
              <w:rPr>
                <w:position w:val="6"/>
                <w:sz w:val="16"/>
              </w:rPr>
              <w:t>*</w:t>
            </w:r>
            <w:r w:rsidRPr="00583E1A">
              <w:t>ADI, at any time during that period</w:t>
            </w:r>
          </w:p>
        </w:tc>
        <w:tc>
          <w:tcPr>
            <w:tcW w:w="1914" w:type="dxa"/>
            <w:tcBorders>
              <w:top w:val="single" w:sz="2" w:space="0" w:color="auto"/>
              <w:left w:val="nil"/>
              <w:bottom w:val="single" w:sz="2" w:space="0" w:color="auto"/>
              <w:right w:val="nil"/>
            </w:tcBorders>
            <w:shd w:val="clear" w:color="auto" w:fill="auto"/>
          </w:tcPr>
          <w:p w:rsidR="00887330" w:rsidRPr="00583E1A" w:rsidRDefault="00887330" w:rsidP="00887330">
            <w:pPr>
              <w:pStyle w:val="Tabletext"/>
            </w:pPr>
            <w:r w:rsidRPr="00583E1A">
              <w:rPr>
                <w:b/>
                <w:i/>
              </w:rPr>
              <w:t xml:space="preserve">inward investor (general) </w:t>
            </w:r>
            <w:r w:rsidRPr="00583E1A">
              <w:t>for that period</w:t>
            </w:r>
          </w:p>
        </w:tc>
      </w:tr>
      <w:tr w:rsidR="00887330" w:rsidRPr="00583E1A">
        <w:trPr>
          <w:cantSplit/>
        </w:trPr>
        <w:tc>
          <w:tcPr>
            <w:tcW w:w="714" w:type="dxa"/>
            <w:tcBorders>
              <w:top w:val="single" w:sz="2" w:space="0" w:color="auto"/>
              <w:left w:val="nil"/>
              <w:bottom w:val="single" w:sz="12" w:space="0" w:color="auto"/>
              <w:right w:val="nil"/>
            </w:tcBorders>
          </w:tcPr>
          <w:p w:rsidR="00887330" w:rsidRPr="00583E1A" w:rsidRDefault="00887330" w:rsidP="00887330">
            <w:pPr>
              <w:pStyle w:val="Tabletext"/>
            </w:pPr>
            <w:r w:rsidRPr="00583E1A">
              <w:t>4</w:t>
            </w:r>
          </w:p>
        </w:tc>
        <w:tc>
          <w:tcPr>
            <w:tcW w:w="2546" w:type="dxa"/>
            <w:tcBorders>
              <w:top w:val="single" w:sz="2" w:space="0" w:color="auto"/>
              <w:left w:val="nil"/>
              <w:bottom w:val="single" w:sz="12" w:space="0" w:color="auto"/>
              <w:right w:val="nil"/>
            </w:tcBorders>
          </w:tcPr>
          <w:p w:rsidR="00887330" w:rsidRPr="00583E1A" w:rsidRDefault="00583E1A" w:rsidP="00887330">
            <w:pPr>
              <w:pStyle w:val="Tabletext"/>
            </w:pPr>
            <w:r w:rsidRPr="00583E1A">
              <w:rPr>
                <w:position w:val="6"/>
                <w:sz w:val="16"/>
              </w:rPr>
              <w:t>*</w:t>
            </w:r>
            <w:r w:rsidR="00887330" w:rsidRPr="00583E1A">
              <w:t>foreign entity throughout a period that is all or a part of an income year</w:t>
            </w:r>
          </w:p>
        </w:tc>
        <w:tc>
          <w:tcPr>
            <w:tcW w:w="1913" w:type="dxa"/>
            <w:tcBorders>
              <w:top w:val="single" w:sz="2" w:space="0" w:color="auto"/>
              <w:left w:val="nil"/>
              <w:bottom w:val="single" w:sz="12" w:space="0" w:color="auto"/>
              <w:right w:val="nil"/>
            </w:tcBorders>
          </w:tcPr>
          <w:p w:rsidR="00887330" w:rsidRPr="00583E1A" w:rsidRDefault="00887330" w:rsidP="00887330">
            <w:pPr>
              <w:pStyle w:val="Tabletext"/>
            </w:pPr>
            <w:r w:rsidRPr="00583E1A">
              <w:t xml:space="preserve">is a </w:t>
            </w:r>
            <w:r w:rsidR="00583E1A" w:rsidRPr="00583E1A">
              <w:rPr>
                <w:position w:val="6"/>
                <w:sz w:val="16"/>
              </w:rPr>
              <w:t>*</w:t>
            </w:r>
            <w:r w:rsidRPr="00583E1A">
              <w:t>financial entity throughout that period</w:t>
            </w:r>
          </w:p>
        </w:tc>
        <w:tc>
          <w:tcPr>
            <w:tcW w:w="1914" w:type="dxa"/>
            <w:tcBorders>
              <w:top w:val="single" w:sz="2" w:space="0" w:color="auto"/>
              <w:left w:val="nil"/>
              <w:bottom w:val="single" w:sz="12" w:space="0" w:color="auto"/>
              <w:right w:val="nil"/>
            </w:tcBorders>
          </w:tcPr>
          <w:p w:rsidR="00887330" w:rsidRPr="00583E1A" w:rsidRDefault="00887330" w:rsidP="00887330">
            <w:pPr>
              <w:pStyle w:val="Tabletext"/>
            </w:pPr>
            <w:r w:rsidRPr="00583E1A">
              <w:rPr>
                <w:b/>
                <w:i/>
              </w:rPr>
              <w:t xml:space="preserve">inward investor (financial) </w:t>
            </w:r>
            <w:r w:rsidRPr="00583E1A">
              <w:t>for that period</w:t>
            </w:r>
          </w:p>
        </w:tc>
      </w:tr>
    </w:tbl>
    <w:p w:rsidR="00887330" w:rsidRPr="00583E1A" w:rsidRDefault="00887330" w:rsidP="00887330">
      <w:pPr>
        <w:pStyle w:val="notetext"/>
      </w:pPr>
      <w:r w:rsidRPr="00583E1A">
        <w:t>Note 1:</w:t>
      </w:r>
      <w:r w:rsidRPr="00583E1A">
        <w:tab/>
        <w:t>To determine whether an entity is a foreign controlled Australian entity, see Subdivision</w:t>
      </w:r>
      <w:r w:rsidR="00583E1A">
        <w:t> </w:t>
      </w:r>
      <w:r w:rsidRPr="00583E1A">
        <w:t>820</w:t>
      </w:r>
      <w:r w:rsidR="00583E1A">
        <w:noBreakHyphen/>
      </w:r>
      <w:r w:rsidRPr="00583E1A">
        <w:t>H.</w:t>
      </w:r>
    </w:p>
    <w:p w:rsidR="00887330" w:rsidRPr="00583E1A" w:rsidRDefault="00887330" w:rsidP="00887330">
      <w:pPr>
        <w:pStyle w:val="notetext"/>
      </w:pPr>
      <w:r w:rsidRPr="00583E1A">
        <w:t>Note 2:</w:t>
      </w:r>
      <w:r w:rsidRPr="00583E1A">
        <w:tab/>
        <w:t>The rules that apply to these 4 types of entities are different in some instances. For example, see sections</w:t>
      </w:r>
      <w:r w:rsidR="00583E1A">
        <w:t> </w:t>
      </w:r>
      <w:r w:rsidRPr="00583E1A">
        <w:t>820</w:t>
      </w:r>
      <w:r w:rsidR="00583E1A">
        <w:noBreakHyphen/>
      </w:r>
      <w:r w:rsidRPr="00583E1A">
        <w:t>195 to 820</w:t>
      </w:r>
      <w:r w:rsidR="00583E1A">
        <w:noBreakHyphen/>
      </w:r>
      <w:r w:rsidRPr="00583E1A">
        <w:t>210.</w:t>
      </w:r>
    </w:p>
    <w:p w:rsidR="00887330" w:rsidRPr="00583E1A" w:rsidRDefault="00887330" w:rsidP="00887330">
      <w:pPr>
        <w:pStyle w:val="notetext"/>
      </w:pPr>
      <w:r w:rsidRPr="00583E1A">
        <w:t>Note 3:</w:t>
      </w:r>
      <w:r w:rsidRPr="00583E1A">
        <w:tab/>
        <w:t>An entity covered by item</w:t>
      </w:r>
      <w:r w:rsidR="00583E1A">
        <w:t> </w:t>
      </w:r>
      <w:r w:rsidRPr="00583E1A">
        <w:t>3 or 4 of the table may be required to keep certain records, see Subdivision</w:t>
      </w:r>
      <w:r w:rsidR="00583E1A">
        <w:t> </w:t>
      </w:r>
      <w:r w:rsidRPr="00583E1A">
        <w:t>820</w:t>
      </w:r>
      <w:r w:rsidR="00583E1A">
        <w:noBreakHyphen/>
      </w:r>
      <w:r w:rsidRPr="00583E1A">
        <w:t>L.</w:t>
      </w:r>
    </w:p>
    <w:p w:rsidR="00887330" w:rsidRPr="00583E1A" w:rsidRDefault="00887330" w:rsidP="00887330">
      <w:pPr>
        <w:pStyle w:val="SubsectionHead"/>
      </w:pPr>
      <w:r w:rsidRPr="00583E1A">
        <w:t>Adjusted average debt</w:t>
      </w:r>
    </w:p>
    <w:p w:rsidR="00887330" w:rsidRPr="00583E1A" w:rsidRDefault="00887330" w:rsidP="00887330">
      <w:pPr>
        <w:pStyle w:val="subsection"/>
      </w:pPr>
      <w:r w:rsidRPr="00583E1A">
        <w:tab/>
        <w:t>(3)</w:t>
      </w:r>
      <w:r w:rsidRPr="00583E1A">
        <w:tab/>
        <w:t xml:space="preserve">The entity’s </w:t>
      </w:r>
      <w:r w:rsidRPr="00583E1A">
        <w:rPr>
          <w:b/>
          <w:i/>
        </w:rPr>
        <w:t>adjusted average debt</w:t>
      </w:r>
      <w:r w:rsidRPr="00583E1A">
        <w:t xml:space="preserve"> for an income year is the result of applying the method statement in this subsection.</w:t>
      </w:r>
    </w:p>
    <w:p w:rsidR="00887330" w:rsidRPr="00583E1A" w:rsidRDefault="00887330" w:rsidP="00887330">
      <w:pPr>
        <w:pStyle w:val="BoxHeadItalic"/>
      </w:pPr>
      <w:r w:rsidRPr="00583E1A">
        <w:t>Method statement</w:t>
      </w:r>
    </w:p>
    <w:p w:rsidR="00887330" w:rsidRPr="00583E1A" w:rsidRDefault="00AE4F7F" w:rsidP="00887330">
      <w:pPr>
        <w:pStyle w:val="BoxStep"/>
      </w:pPr>
      <w:r w:rsidRPr="00583E1A">
        <w:rPr>
          <w:szCs w:val="22"/>
        </w:rPr>
        <w:t>Step 1.</w:t>
      </w:r>
      <w:r w:rsidR="00887330" w:rsidRPr="00583E1A">
        <w:tab/>
        <w:t xml:space="preserve">Work out the average value, for that year (the </w:t>
      </w:r>
      <w:r w:rsidR="00887330" w:rsidRPr="00583E1A">
        <w:rPr>
          <w:b/>
          <w:i/>
        </w:rPr>
        <w:t>relevant year</w:t>
      </w:r>
      <w:r w:rsidR="00887330" w:rsidRPr="00583E1A">
        <w:t xml:space="preserve">), of all the </w:t>
      </w:r>
      <w:r w:rsidR="00583E1A" w:rsidRPr="00583E1A">
        <w:rPr>
          <w:position w:val="6"/>
          <w:sz w:val="16"/>
        </w:rPr>
        <w:t>*</w:t>
      </w:r>
      <w:r w:rsidR="00887330" w:rsidRPr="00583E1A">
        <w:t xml:space="preserve">debt capital of the entity that gives rise to </w:t>
      </w:r>
      <w:r w:rsidR="00583E1A" w:rsidRPr="00583E1A">
        <w:rPr>
          <w:position w:val="6"/>
          <w:sz w:val="16"/>
        </w:rPr>
        <w:t>*</w:t>
      </w:r>
      <w:r w:rsidR="00887330" w:rsidRPr="00583E1A">
        <w:t>debt deductions of the entity for that or any other income year.</w:t>
      </w:r>
    </w:p>
    <w:p w:rsidR="00887330" w:rsidRPr="00583E1A" w:rsidRDefault="00AE4F7F" w:rsidP="00887330">
      <w:pPr>
        <w:pStyle w:val="BoxStep"/>
      </w:pPr>
      <w:r w:rsidRPr="00583E1A">
        <w:rPr>
          <w:szCs w:val="22"/>
        </w:rPr>
        <w:t>Step 2.</w:t>
      </w:r>
      <w:r w:rsidR="00887330" w:rsidRPr="00583E1A">
        <w:rPr>
          <w:i/>
        </w:rPr>
        <w:tab/>
      </w:r>
      <w:r w:rsidR="00887330" w:rsidRPr="00583E1A">
        <w:t>Reduce the result of step 1 by the average value, for the relevant year, of:</w:t>
      </w:r>
    </w:p>
    <w:p w:rsidR="00887330" w:rsidRPr="00583E1A" w:rsidRDefault="00887330" w:rsidP="00887330">
      <w:pPr>
        <w:pStyle w:val="BoxPara"/>
      </w:pPr>
      <w:r w:rsidRPr="00583E1A">
        <w:tab/>
        <w:t>(a)</w:t>
      </w:r>
      <w:r w:rsidRPr="00583E1A">
        <w:tab/>
        <w:t xml:space="preserve">if the entity is an </w:t>
      </w:r>
      <w:r w:rsidR="00583E1A" w:rsidRPr="00583E1A">
        <w:rPr>
          <w:position w:val="6"/>
          <w:sz w:val="16"/>
        </w:rPr>
        <w:t>*</w:t>
      </w:r>
      <w:r w:rsidRPr="00583E1A">
        <w:t xml:space="preserve">inward investment vehicle (general) or an </w:t>
      </w:r>
      <w:r w:rsidR="00583E1A" w:rsidRPr="00583E1A">
        <w:rPr>
          <w:position w:val="6"/>
          <w:sz w:val="16"/>
        </w:rPr>
        <w:t>*</w:t>
      </w:r>
      <w:r w:rsidRPr="00583E1A">
        <w:t xml:space="preserve">inward investment vehicle (financial) for that year—all the </w:t>
      </w:r>
      <w:r w:rsidR="00583E1A" w:rsidRPr="00583E1A">
        <w:rPr>
          <w:position w:val="6"/>
          <w:sz w:val="16"/>
        </w:rPr>
        <w:t>*</w:t>
      </w:r>
      <w:r w:rsidRPr="00583E1A">
        <w:t>associate entity debt of the entity; or</w:t>
      </w:r>
    </w:p>
    <w:p w:rsidR="00887330" w:rsidRPr="00583E1A" w:rsidRDefault="00887330" w:rsidP="00887330">
      <w:pPr>
        <w:pStyle w:val="BoxPara"/>
        <w:keepNext/>
        <w:keepLines/>
      </w:pPr>
      <w:r w:rsidRPr="00583E1A">
        <w:lastRenderedPageBreak/>
        <w:tab/>
        <w:t>(b)</w:t>
      </w:r>
      <w:r w:rsidRPr="00583E1A">
        <w:tab/>
        <w:t xml:space="preserve">if the entity is an </w:t>
      </w:r>
      <w:r w:rsidR="00583E1A" w:rsidRPr="00583E1A">
        <w:rPr>
          <w:position w:val="6"/>
          <w:sz w:val="16"/>
        </w:rPr>
        <w:t>*</w:t>
      </w:r>
      <w:r w:rsidRPr="00583E1A">
        <w:t xml:space="preserve">inward investor (general) or an </w:t>
      </w:r>
      <w:r w:rsidR="00583E1A" w:rsidRPr="00583E1A">
        <w:rPr>
          <w:position w:val="6"/>
          <w:sz w:val="16"/>
        </w:rPr>
        <w:t>*</w:t>
      </w:r>
      <w:r w:rsidRPr="00583E1A">
        <w:t xml:space="preserve">inward investor (financial) for that year—all the associate entity debt of the entity, to the extent that it is attributable to the entity’s </w:t>
      </w:r>
      <w:r w:rsidR="00583E1A" w:rsidRPr="00583E1A">
        <w:rPr>
          <w:position w:val="6"/>
          <w:sz w:val="16"/>
        </w:rPr>
        <w:t>*</w:t>
      </w:r>
      <w:r w:rsidRPr="00583E1A">
        <w:t>Australian permanent establishments.</w:t>
      </w:r>
    </w:p>
    <w:p w:rsidR="00887330" w:rsidRPr="00583E1A" w:rsidRDefault="00AE4F7F" w:rsidP="00887330">
      <w:pPr>
        <w:pStyle w:val="BoxStep"/>
      </w:pPr>
      <w:r w:rsidRPr="00583E1A">
        <w:rPr>
          <w:szCs w:val="22"/>
        </w:rPr>
        <w:t>Step 3.</w:t>
      </w:r>
      <w:r w:rsidR="00887330" w:rsidRPr="00583E1A">
        <w:tab/>
        <w:t xml:space="preserve">If the entity is a </w:t>
      </w:r>
      <w:r w:rsidR="00583E1A" w:rsidRPr="00583E1A">
        <w:rPr>
          <w:position w:val="6"/>
          <w:sz w:val="16"/>
        </w:rPr>
        <w:t>*</w:t>
      </w:r>
      <w:r w:rsidR="00887330" w:rsidRPr="00583E1A">
        <w:t xml:space="preserve">financial entity throughout the relevant year, add to the result of step 2 the average value, for the relevant year, of the entity’s </w:t>
      </w:r>
      <w:r w:rsidR="00583E1A" w:rsidRPr="00583E1A">
        <w:rPr>
          <w:position w:val="6"/>
          <w:sz w:val="16"/>
        </w:rPr>
        <w:t>*</w:t>
      </w:r>
      <w:r w:rsidR="00887330" w:rsidRPr="00583E1A">
        <w:t>borrowed securities amount.</w:t>
      </w:r>
    </w:p>
    <w:p w:rsidR="00887330" w:rsidRPr="00583E1A" w:rsidRDefault="00AE4F7F" w:rsidP="00887330">
      <w:pPr>
        <w:pStyle w:val="BoxStep"/>
      </w:pPr>
      <w:r w:rsidRPr="00583E1A">
        <w:rPr>
          <w:szCs w:val="22"/>
        </w:rPr>
        <w:t>Step 4.</w:t>
      </w:r>
      <w:r w:rsidR="00887330" w:rsidRPr="00583E1A">
        <w:tab/>
        <w:t xml:space="preserve">Add to the result of step 3 the average value, for the relevant year, of the </w:t>
      </w:r>
      <w:r w:rsidR="00583E1A" w:rsidRPr="00583E1A">
        <w:rPr>
          <w:position w:val="6"/>
          <w:sz w:val="16"/>
        </w:rPr>
        <w:t>*</w:t>
      </w:r>
      <w:r w:rsidR="00887330" w:rsidRPr="00583E1A">
        <w:t>cost</w:t>
      </w:r>
      <w:r w:rsidR="00583E1A">
        <w:noBreakHyphen/>
      </w:r>
      <w:r w:rsidR="00887330" w:rsidRPr="00583E1A">
        <w:t xml:space="preserve">free debt capital of the entity. The result of this step is the </w:t>
      </w:r>
      <w:r w:rsidR="00887330" w:rsidRPr="00583E1A">
        <w:rPr>
          <w:b/>
          <w:i/>
        </w:rPr>
        <w:t>adjusted average debt.</w:t>
      </w:r>
    </w:p>
    <w:p w:rsidR="00887330" w:rsidRPr="00583E1A" w:rsidRDefault="00887330" w:rsidP="00887330">
      <w:pPr>
        <w:pStyle w:val="notetext"/>
      </w:pPr>
      <w:r w:rsidRPr="00583E1A">
        <w:t>Note:</w:t>
      </w:r>
      <w:r w:rsidRPr="00583E1A">
        <w:tab/>
        <w:t>To calculate an average value for the purposes of this Division, see Subdivision</w:t>
      </w:r>
      <w:r w:rsidR="00583E1A">
        <w:t> </w:t>
      </w:r>
      <w:r w:rsidRPr="00583E1A">
        <w:t>820</w:t>
      </w:r>
      <w:r w:rsidR="00583E1A">
        <w:noBreakHyphen/>
      </w:r>
      <w:r w:rsidRPr="00583E1A">
        <w:t>G.</w:t>
      </w:r>
    </w:p>
    <w:p w:rsidR="00887330" w:rsidRPr="00583E1A" w:rsidRDefault="00887330" w:rsidP="00887330">
      <w:pPr>
        <w:pStyle w:val="subsection"/>
      </w:pPr>
      <w:r w:rsidRPr="00583E1A">
        <w:tab/>
        <w:t>(4)</w:t>
      </w:r>
      <w:r w:rsidRPr="00583E1A">
        <w:tab/>
        <w:t xml:space="preserve">The entity’s </w:t>
      </w:r>
      <w:r w:rsidR="00583E1A" w:rsidRPr="00583E1A">
        <w:rPr>
          <w:position w:val="6"/>
          <w:sz w:val="16"/>
        </w:rPr>
        <w:t>*</w:t>
      </w:r>
      <w:r w:rsidRPr="00583E1A">
        <w:t xml:space="preserve">adjusted average debt does not exceed its </w:t>
      </w:r>
      <w:r w:rsidR="00583E1A" w:rsidRPr="00583E1A">
        <w:rPr>
          <w:position w:val="6"/>
          <w:sz w:val="16"/>
        </w:rPr>
        <w:t>*</w:t>
      </w:r>
      <w:r w:rsidRPr="00583E1A">
        <w:t>maximum allowable debt if the adjusted average debt is nil or a negative amount.</w:t>
      </w:r>
    </w:p>
    <w:p w:rsidR="00887330" w:rsidRPr="00583E1A" w:rsidRDefault="00887330" w:rsidP="00887330">
      <w:pPr>
        <w:pStyle w:val="ActHead5"/>
      </w:pPr>
      <w:bookmarkStart w:id="199" w:name="_Toc338939273"/>
      <w:r w:rsidRPr="00583E1A">
        <w:rPr>
          <w:rStyle w:val="CharSectno"/>
        </w:rPr>
        <w:t>820</w:t>
      </w:r>
      <w:r w:rsidR="00583E1A">
        <w:rPr>
          <w:rStyle w:val="CharSectno"/>
        </w:rPr>
        <w:noBreakHyphen/>
      </w:r>
      <w:r w:rsidRPr="00583E1A">
        <w:rPr>
          <w:rStyle w:val="CharSectno"/>
        </w:rPr>
        <w:t>190</w:t>
      </w:r>
      <w:r w:rsidRPr="00583E1A">
        <w:t xml:space="preserve">  Maximum allowable debt</w:t>
      </w:r>
      <w:bookmarkEnd w:id="199"/>
    </w:p>
    <w:p w:rsidR="00887330" w:rsidRPr="00583E1A" w:rsidRDefault="00887330" w:rsidP="00887330">
      <w:pPr>
        <w:pStyle w:val="subsection"/>
      </w:pPr>
      <w:r w:rsidRPr="00583E1A">
        <w:tab/>
      </w:r>
      <w:r w:rsidRPr="00583E1A">
        <w:tab/>
        <w:t xml:space="preserve">The entity’s </w:t>
      </w:r>
      <w:r w:rsidRPr="00583E1A">
        <w:rPr>
          <w:b/>
          <w:i/>
        </w:rPr>
        <w:t>maximum allowable debt</w:t>
      </w:r>
      <w:r w:rsidRPr="00583E1A">
        <w:t xml:space="preserve"> for an income year is the greater of the following amounts:</w:t>
      </w:r>
    </w:p>
    <w:p w:rsidR="00887330" w:rsidRPr="00583E1A" w:rsidRDefault="00887330" w:rsidP="00887330">
      <w:pPr>
        <w:pStyle w:val="paragraph"/>
      </w:pPr>
      <w:r w:rsidRPr="00583E1A">
        <w:tab/>
        <w:t>(a)</w:t>
      </w:r>
      <w:r w:rsidRPr="00583E1A">
        <w:tab/>
        <w:t xml:space="preserve">the </w:t>
      </w:r>
      <w:r w:rsidR="00583E1A" w:rsidRPr="00583E1A">
        <w:rPr>
          <w:position w:val="6"/>
          <w:sz w:val="16"/>
        </w:rPr>
        <w:t>*</w:t>
      </w:r>
      <w:r w:rsidRPr="00583E1A">
        <w:t>safe harbour debt amount;</w:t>
      </w:r>
    </w:p>
    <w:p w:rsidR="00887330" w:rsidRPr="00583E1A" w:rsidRDefault="00887330" w:rsidP="00887330">
      <w:pPr>
        <w:pStyle w:val="paragraph"/>
      </w:pPr>
      <w:r w:rsidRPr="00583E1A">
        <w:tab/>
        <w:t>(b)</w:t>
      </w:r>
      <w:r w:rsidRPr="00583E1A">
        <w:tab/>
        <w:t xml:space="preserve">the </w:t>
      </w:r>
      <w:r w:rsidR="00583E1A" w:rsidRPr="00583E1A">
        <w:rPr>
          <w:position w:val="6"/>
          <w:sz w:val="16"/>
        </w:rPr>
        <w:t>*</w:t>
      </w:r>
      <w:r w:rsidRPr="00583E1A">
        <w:t>arm’s length debt amount.</w:t>
      </w:r>
    </w:p>
    <w:p w:rsidR="00887330" w:rsidRPr="00583E1A" w:rsidRDefault="00887330" w:rsidP="00887330">
      <w:pPr>
        <w:pStyle w:val="notetext"/>
      </w:pPr>
      <w:r w:rsidRPr="00583E1A">
        <w:t>Note:</w:t>
      </w:r>
      <w:r w:rsidRPr="00583E1A">
        <w:tab/>
        <w:t>The safe harbour debt amount differs depending on whether the entity is an inward investment vehicle (general), inward investment vehicle (financial), inward investor (general) or inward investor (financial), see sections</w:t>
      </w:r>
      <w:r w:rsidR="00583E1A">
        <w:t> </w:t>
      </w:r>
      <w:r w:rsidRPr="00583E1A">
        <w:t>820</w:t>
      </w:r>
      <w:r w:rsidR="00583E1A">
        <w:noBreakHyphen/>
      </w:r>
      <w:r w:rsidRPr="00583E1A">
        <w:t>195 to 820</w:t>
      </w:r>
      <w:r w:rsidR="00583E1A">
        <w:noBreakHyphen/>
      </w:r>
      <w:r w:rsidRPr="00583E1A">
        <w:t>215.</w:t>
      </w:r>
    </w:p>
    <w:p w:rsidR="00887330" w:rsidRPr="00583E1A" w:rsidRDefault="00887330" w:rsidP="00887330">
      <w:pPr>
        <w:pStyle w:val="ActHead5"/>
      </w:pPr>
      <w:bookmarkStart w:id="200" w:name="_Toc338939274"/>
      <w:r w:rsidRPr="00583E1A">
        <w:rPr>
          <w:rStyle w:val="CharSectno"/>
        </w:rPr>
        <w:t>820</w:t>
      </w:r>
      <w:r w:rsidR="00583E1A">
        <w:rPr>
          <w:rStyle w:val="CharSectno"/>
        </w:rPr>
        <w:noBreakHyphen/>
      </w:r>
      <w:r w:rsidRPr="00583E1A">
        <w:rPr>
          <w:rStyle w:val="CharSectno"/>
        </w:rPr>
        <w:t>195</w:t>
      </w:r>
      <w:r w:rsidRPr="00583E1A">
        <w:t xml:space="preserve">  Safe harbour debt amount—inward investment vehicle (general)</w:t>
      </w:r>
      <w:bookmarkEnd w:id="200"/>
    </w:p>
    <w:p w:rsidR="00887330" w:rsidRPr="00583E1A" w:rsidRDefault="00887330" w:rsidP="00887330">
      <w:pPr>
        <w:pStyle w:val="subsection"/>
      </w:pPr>
      <w:r w:rsidRPr="00583E1A">
        <w:tab/>
      </w:r>
      <w:r w:rsidRPr="00583E1A">
        <w:tab/>
        <w:t xml:space="preserve">If the entity is an </w:t>
      </w:r>
      <w:r w:rsidR="00583E1A" w:rsidRPr="00583E1A">
        <w:rPr>
          <w:position w:val="6"/>
          <w:sz w:val="16"/>
        </w:rPr>
        <w:t>*</w:t>
      </w:r>
      <w:r w:rsidRPr="00583E1A">
        <w:t xml:space="preserve">inward investment vehicle (general) for the income year, the </w:t>
      </w:r>
      <w:r w:rsidRPr="00583E1A">
        <w:rPr>
          <w:b/>
          <w:i/>
        </w:rPr>
        <w:t>safe harbour debt amount</w:t>
      </w:r>
      <w:r w:rsidRPr="00583E1A">
        <w:t xml:space="preserve"> is the result of applying the method statement in this section.</w:t>
      </w:r>
    </w:p>
    <w:p w:rsidR="00887330" w:rsidRPr="00583E1A" w:rsidRDefault="00887330" w:rsidP="00887330">
      <w:pPr>
        <w:pStyle w:val="BoxHeadItalic"/>
      </w:pPr>
      <w:r w:rsidRPr="00583E1A">
        <w:lastRenderedPageBreak/>
        <w:t>Method statement</w:t>
      </w:r>
    </w:p>
    <w:p w:rsidR="00887330" w:rsidRPr="00583E1A" w:rsidRDefault="00AE4F7F" w:rsidP="00887330">
      <w:pPr>
        <w:pStyle w:val="BoxStep"/>
      </w:pPr>
      <w:r w:rsidRPr="00583E1A">
        <w:rPr>
          <w:szCs w:val="22"/>
        </w:rPr>
        <w:t>Step 1.</w:t>
      </w:r>
      <w:r w:rsidR="00887330" w:rsidRPr="00583E1A">
        <w:tab/>
        <w:t>Work out the average value, for the income year, of all the assets of the entity.</w:t>
      </w:r>
    </w:p>
    <w:p w:rsidR="00887330" w:rsidRPr="00583E1A" w:rsidRDefault="00AE4F7F" w:rsidP="00887330">
      <w:pPr>
        <w:pStyle w:val="BoxStep"/>
      </w:pPr>
      <w:r w:rsidRPr="00583E1A">
        <w:rPr>
          <w:szCs w:val="22"/>
        </w:rPr>
        <w:t>Step 1A.</w:t>
      </w:r>
      <w:r w:rsidR="00887330" w:rsidRPr="00583E1A">
        <w:tab/>
        <w:t xml:space="preserve">Reduce the result of step 1 by the average value, for that year, of all the </w:t>
      </w:r>
      <w:r w:rsidR="00583E1A" w:rsidRPr="00583E1A">
        <w:rPr>
          <w:position w:val="6"/>
          <w:sz w:val="16"/>
        </w:rPr>
        <w:t>*</w:t>
      </w:r>
      <w:r w:rsidR="00887330" w:rsidRPr="00583E1A">
        <w:t>excluded equity interests in the entity.</w:t>
      </w:r>
    </w:p>
    <w:p w:rsidR="00887330" w:rsidRPr="00583E1A" w:rsidRDefault="00AE4F7F" w:rsidP="00887330">
      <w:pPr>
        <w:pStyle w:val="BoxStep"/>
      </w:pPr>
      <w:r w:rsidRPr="00583E1A">
        <w:rPr>
          <w:szCs w:val="22"/>
        </w:rPr>
        <w:t>Step 2.</w:t>
      </w:r>
      <w:r w:rsidR="00887330" w:rsidRPr="00583E1A">
        <w:rPr>
          <w:i/>
        </w:rPr>
        <w:tab/>
      </w:r>
      <w:r w:rsidR="00887330" w:rsidRPr="00583E1A">
        <w:t xml:space="preserve">Reduce the result of step 1A by the average value, for that year, of all the </w:t>
      </w:r>
      <w:r w:rsidR="00583E1A" w:rsidRPr="00583E1A">
        <w:rPr>
          <w:position w:val="6"/>
          <w:sz w:val="16"/>
        </w:rPr>
        <w:t>*</w:t>
      </w:r>
      <w:r w:rsidR="00887330" w:rsidRPr="00583E1A">
        <w:t>associate entity debt of the entity.</w:t>
      </w:r>
    </w:p>
    <w:p w:rsidR="00887330" w:rsidRPr="00583E1A" w:rsidRDefault="00AE4F7F" w:rsidP="00887330">
      <w:pPr>
        <w:pStyle w:val="BoxStep"/>
        <w:rPr>
          <w:i/>
        </w:rPr>
      </w:pPr>
      <w:r w:rsidRPr="00583E1A">
        <w:rPr>
          <w:szCs w:val="22"/>
        </w:rPr>
        <w:t>Step 3.</w:t>
      </w:r>
      <w:r w:rsidR="00887330" w:rsidRPr="00583E1A">
        <w:rPr>
          <w:i/>
        </w:rPr>
        <w:tab/>
      </w:r>
      <w:r w:rsidR="00887330" w:rsidRPr="00583E1A">
        <w:t xml:space="preserve">Reduce the result of step 2 by the average value, for that year, of all the </w:t>
      </w:r>
      <w:r w:rsidR="00583E1A" w:rsidRPr="00583E1A">
        <w:rPr>
          <w:position w:val="6"/>
          <w:sz w:val="16"/>
        </w:rPr>
        <w:t>*</w:t>
      </w:r>
      <w:r w:rsidR="00887330" w:rsidRPr="00583E1A">
        <w:t>associate entity equity of the entity.</w:t>
      </w:r>
    </w:p>
    <w:p w:rsidR="00887330" w:rsidRPr="00583E1A" w:rsidRDefault="00AE4F7F" w:rsidP="00887330">
      <w:pPr>
        <w:pStyle w:val="BoxStep"/>
      </w:pPr>
      <w:r w:rsidRPr="00583E1A">
        <w:rPr>
          <w:szCs w:val="22"/>
        </w:rPr>
        <w:t>Step 4.</w:t>
      </w:r>
      <w:r w:rsidR="00887330" w:rsidRPr="00583E1A">
        <w:tab/>
        <w:t xml:space="preserve">Reduce the result of step 3 by the average value, for that year, of all the </w:t>
      </w:r>
      <w:r w:rsidR="00583E1A" w:rsidRPr="00583E1A">
        <w:rPr>
          <w:position w:val="6"/>
          <w:sz w:val="16"/>
        </w:rPr>
        <w:t>*</w:t>
      </w:r>
      <w:r w:rsidR="00887330" w:rsidRPr="00583E1A">
        <w:t>non</w:t>
      </w:r>
      <w:r w:rsidR="00583E1A">
        <w:noBreakHyphen/>
      </w:r>
      <w:r w:rsidR="00887330" w:rsidRPr="00583E1A">
        <w:t>debt liabilities of the entity. If the result of this step is a negative amount, it is taken to be nil.</w:t>
      </w:r>
    </w:p>
    <w:p w:rsidR="00887330" w:rsidRPr="00583E1A" w:rsidRDefault="00AE4F7F" w:rsidP="00887330">
      <w:pPr>
        <w:pStyle w:val="BoxStep"/>
      </w:pPr>
      <w:r w:rsidRPr="00583E1A">
        <w:rPr>
          <w:szCs w:val="22"/>
        </w:rPr>
        <w:t>Step 5.</w:t>
      </w:r>
      <w:r w:rsidR="00887330" w:rsidRPr="00583E1A">
        <w:tab/>
        <w:t xml:space="preserve">Multiply the result of step 4 by </w:t>
      </w:r>
      <w:r w:rsidR="00887330" w:rsidRPr="00583E1A">
        <w:rPr>
          <w:position w:val="6"/>
          <w:sz w:val="16"/>
        </w:rPr>
        <w:t>3</w:t>
      </w:r>
      <w:r w:rsidR="00887330" w:rsidRPr="00583E1A">
        <w:t>/</w:t>
      </w:r>
      <w:r w:rsidR="00887330" w:rsidRPr="00583E1A">
        <w:rPr>
          <w:sz w:val="16"/>
        </w:rPr>
        <w:t>4</w:t>
      </w:r>
      <w:r w:rsidR="00887330" w:rsidRPr="00583E1A">
        <w:t>.</w:t>
      </w:r>
    </w:p>
    <w:p w:rsidR="00887330" w:rsidRPr="00583E1A" w:rsidRDefault="00AE4F7F" w:rsidP="00887330">
      <w:pPr>
        <w:pStyle w:val="BoxStep"/>
      </w:pPr>
      <w:r w:rsidRPr="00583E1A">
        <w:rPr>
          <w:szCs w:val="22"/>
        </w:rPr>
        <w:t>Step 6.</w:t>
      </w:r>
      <w:r w:rsidR="00887330" w:rsidRPr="00583E1A">
        <w:tab/>
        <w:t xml:space="preserve">Add to the result of step 5 the average value, for that year, of the entity’s </w:t>
      </w:r>
      <w:r w:rsidR="00583E1A" w:rsidRPr="00583E1A">
        <w:rPr>
          <w:position w:val="6"/>
          <w:sz w:val="16"/>
        </w:rPr>
        <w:t>*</w:t>
      </w:r>
      <w:r w:rsidR="00887330" w:rsidRPr="00583E1A">
        <w:t xml:space="preserve">associate entity excess amount. The result of this step is the </w:t>
      </w:r>
      <w:r w:rsidR="00887330" w:rsidRPr="00583E1A">
        <w:rPr>
          <w:b/>
          <w:i/>
        </w:rPr>
        <w:t>safe harbour debt amount</w:t>
      </w:r>
      <w:r w:rsidR="00887330" w:rsidRPr="00583E1A">
        <w:t>.</w:t>
      </w:r>
    </w:p>
    <w:p w:rsidR="00887330" w:rsidRPr="00583E1A" w:rsidRDefault="00887330" w:rsidP="00887330">
      <w:pPr>
        <w:pStyle w:val="notetext"/>
      </w:pPr>
      <w:r w:rsidRPr="00583E1A">
        <w:t>Example:</w:t>
      </w:r>
      <w:r w:rsidRPr="00583E1A">
        <w:tab/>
        <w:t>ALWZ Ltd, a company that is an Australian entity, has an average value of assets of $100 million.</w:t>
      </w:r>
    </w:p>
    <w:p w:rsidR="00887330" w:rsidRPr="00583E1A" w:rsidRDefault="00887330" w:rsidP="00887330">
      <w:pPr>
        <w:pStyle w:val="notetext"/>
      </w:pPr>
      <w:r w:rsidRPr="00583E1A">
        <w:tab/>
        <w:t>The average values of its associate entity debt, associate entity equity and non</w:t>
      </w:r>
      <w:r w:rsidR="00583E1A">
        <w:noBreakHyphen/>
      </w:r>
      <w:r w:rsidRPr="00583E1A">
        <w:t xml:space="preserve">debt liabilities are $10 million, $5 million and $5 million respectively. Deducting these amounts from the result of step 1 (through applying steps 2 to 4) leaves $80 million. Multiplying $80 million by </w:t>
      </w:r>
      <w:r w:rsidRPr="00583E1A">
        <w:rPr>
          <w:position w:val="4"/>
          <w:sz w:val="14"/>
        </w:rPr>
        <w:t>3</w:t>
      </w:r>
      <w:r w:rsidRPr="00583E1A">
        <w:t>/</w:t>
      </w:r>
      <w:r w:rsidRPr="00583E1A">
        <w:rPr>
          <w:sz w:val="14"/>
        </w:rPr>
        <w:t>4</w:t>
      </w:r>
      <w:r w:rsidRPr="00583E1A">
        <w:rPr>
          <w:sz w:val="20"/>
        </w:rPr>
        <w:t xml:space="preserve"> </w:t>
      </w:r>
      <w:r w:rsidRPr="00583E1A">
        <w:t>results in $60 million. As the average value of the company’s associate entity excess amount is $2 million, the safe harbour debt amount is therefore $62 million.</w:t>
      </w:r>
    </w:p>
    <w:p w:rsidR="00887330" w:rsidRPr="00583E1A" w:rsidRDefault="00887330" w:rsidP="00887330">
      <w:pPr>
        <w:pStyle w:val="ActHead5"/>
      </w:pPr>
      <w:bookmarkStart w:id="201" w:name="_Toc338939275"/>
      <w:r w:rsidRPr="00583E1A">
        <w:rPr>
          <w:rStyle w:val="CharSectno"/>
        </w:rPr>
        <w:t>820</w:t>
      </w:r>
      <w:r w:rsidR="00583E1A">
        <w:rPr>
          <w:rStyle w:val="CharSectno"/>
        </w:rPr>
        <w:noBreakHyphen/>
      </w:r>
      <w:r w:rsidRPr="00583E1A">
        <w:rPr>
          <w:rStyle w:val="CharSectno"/>
        </w:rPr>
        <w:t>200</w:t>
      </w:r>
      <w:r w:rsidRPr="00583E1A">
        <w:t xml:space="preserve">  Safe harbour debt amount—inward investment vehicle (financial)</w:t>
      </w:r>
      <w:bookmarkEnd w:id="201"/>
    </w:p>
    <w:p w:rsidR="00887330" w:rsidRPr="00583E1A" w:rsidRDefault="00887330" w:rsidP="00887330">
      <w:pPr>
        <w:pStyle w:val="subsection"/>
      </w:pPr>
      <w:r w:rsidRPr="00583E1A">
        <w:tab/>
        <w:t>(1)</w:t>
      </w:r>
      <w:r w:rsidRPr="00583E1A">
        <w:tab/>
        <w:t xml:space="preserve">If the entity is an </w:t>
      </w:r>
      <w:r w:rsidR="00583E1A" w:rsidRPr="00583E1A">
        <w:rPr>
          <w:position w:val="6"/>
          <w:sz w:val="16"/>
        </w:rPr>
        <w:t>*</w:t>
      </w:r>
      <w:r w:rsidRPr="00583E1A">
        <w:t xml:space="preserve">inward investment vehicle (financial) for the income year, the </w:t>
      </w:r>
      <w:r w:rsidRPr="00583E1A">
        <w:rPr>
          <w:b/>
          <w:i/>
        </w:rPr>
        <w:t>safe harbour debt amount</w:t>
      </w:r>
      <w:r w:rsidRPr="00583E1A">
        <w:t xml:space="preserve"> is the lesser of the following amounts:</w:t>
      </w:r>
    </w:p>
    <w:p w:rsidR="00887330" w:rsidRPr="00583E1A" w:rsidRDefault="00887330" w:rsidP="00887330">
      <w:pPr>
        <w:pStyle w:val="paragraph"/>
      </w:pPr>
      <w:r w:rsidRPr="00583E1A">
        <w:lastRenderedPageBreak/>
        <w:tab/>
        <w:t>(a)</w:t>
      </w:r>
      <w:r w:rsidRPr="00583E1A">
        <w:tab/>
        <w:t xml:space="preserve">the </w:t>
      </w:r>
      <w:r w:rsidR="00583E1A" w:rsidRPr="00583E1A">
        <w:rPr>
          <w:position w:val="6"/>
          <w:sz w:val="16"/>
        </w:rPr>
        <w:t>*</w:t>
      </w:r>
      <w:r w:rsidRPr="00583E1A">
        <w:t xml:space="preserve">total debt amount (worked out under </w:t>
      </w:r>
      <w:r w:rsidR="00583E1A">
        <w:t>subsection (</w:t>
      </w:r>
      <w:r w:rsidRPr="00583E1A">
        <w:t>2));</w:t>
      </w:r>
    </w:p>
    <w:p w:rsidR="00887330" w:rsidRPr="00583E1A" w:rsidRDefault="00887330" w:rsidP="00887330">
      <w:pPr>
        <w:pStyle w:val="paragraph"/>
      </w:pPr>
      <w:r w:rsidRPr="00583E1A">
        <w:tab/>
        <w:t>(b)</w:t>
      </w:r>
      <w:r w:rsidRPr="00583E1A">
        <w:tab/>
        <w:t xml:space="preserve">the </w:t>
      </w:r>
      <w:r w:rsidR="00583E1A" w:rsidRPr="00583E1A">
        <w:rPr>
          <w:position w:val="6"/>
          <w:sz w:val="16"/>
        </w:rPr>
        <w:t>*</w:t>
      </w:r>
      <w:r w:rsidRPr="00583E1A">
        <w:t>adjusted on</w:t>
      </w:r>
      <w:r w:rsidR="00583E1A">
        <w:noBreakHyphen/>
      </w:r>
      <w:r w:rsidRPr="00583E1A">
        <w:t xml:space="preserve">lent amount (worked out under </w:t>
      </w:r>
      <w:r w:rsidR="00583E1A">
        <w:t>subsection (</w:t>
      </w:r>
      <w:r w:rsidRPr="00583E1A">
        <w:t>3)).</w:t>
      </w:r>
    </w:p>
    <w:p w:rsidR="00887330" w:rsidRPr="00583E1A" w:rsidRDefault="00887330" w:rsidP="00887330">
      <w:pPr>
        <w:pStyle w:val="subsection2"/>
      </w:pPr>
      <w:r w:rsidRPr="00583E1A">
        <w:t>However, if the 2 amounts are equal, it is the total debt amount.</w:t>
      </w:r>
    </w:p>
    <w:p w:rsidR="00887330" w:rsidRPr="00583E1A" w:rsidRDefault="00887330" w:rsidP="00887330">
      <w:pPr>
        <w:pStyle w:val="SubsectionHead"/>
      </w:pPr>
      <w:r w:rsidRPr="00583E1A">
        <w:t>Total debt amount</w:t>
      </w:r>
    </w:p>
    <w:p w:rsidR="00887330" w:rsidRPr="00583E1A" w:rsidRDefault="00887330" w:rsidP="00887330">
      <w:pPr>
        <w:pStyle w:val="subsection"/>
      </w:pPr>
      <w:r w:rsidRPr="00583E1A">
        <w:tab/>
        <w:t>(2)</w:t>
      </w:r>
      <w:r w:rsidRPr="00583E1A">
        <w:tab/>
        <w:t xml:space="preserve">The </w:t>
      </w:r>
      <w:r w:rsidRPr="00583E1A">
        <w:rPr>
          <w:b/>
          <w:i/>
        </w:rPr>
        <w:t>total debt amount</w:t>
      </w:r>
      <w:r w:rsidRPr="00583E1A">
        <w:t xml:space="preserve"> is the result of the method statement in this subsection.</w:t>
      </w:r>
    </w:p>
    <w:p w:rsidR="00887330" w:rsidRPr="00583E1A" w:rsidRDefault="00887330" w:rsidP="00887330">
      <w:pPr>
        <w:pStyle w:val="BoxHeadItalic"/>
      </w:pPr>
      <w:r w:rsidRPr="00583E1A">
        <w:t>Method statement</w:t>
      </w:r>
    </w:p>
    <w:p w:rsidR="00887330" w:rsidRPr="00583E1A" w:rsidRDefault="00AE4F7F" w:rsidP="00887330">
      <w:pPr>
        <w:pStyle w:val="BoxStep"/>
      </w:pPr>
      <w:r w:rsidRPr="00583E1A">
        <w:rPr>
          <w:szCs w:val="22"/>
        </w:rPr>
        <w:t>Step 1.</w:t>
      </w:r>
      <w:r w:rsidR="00887330" w:rsidRPr="00583E1A">
        <w:tab/>
        <w:t>Work out the average value, for the income year, of all the assets of the entity.</w:t>
      </w:r>
    </w:p>
    <w:p w:rsidR="00887330" w:rsidRPr="00583E1A" w:rsidRDefault="00AE4F7F" w:rsidP="00887330">
      <w:pPr>
        <w:pStyle w:val="BoxStep"/>
      </w:pPr>
      <w:r w:rsidRPr="00583E1A">
        <w:rPr>
          <w:szCs w:val="22"/>
        </w:rPr>
        <w:t>Step 1A.</w:t>
      </w:r>
      <w:r w:rsidR="00887330" w:rsidRPr="00583E1A">
        <w:tab/>
        <w:t xml:space="preserve">Reduce the result of step 1 by the average value, for that year, of all the </w:t>
      </w:r>
      <w:r w:rsidR="00583E1A" w:rsidRPr="00583E1A">
        <w:rPr>
          <w:position w:val="6"/>
          <w:sz w:val="16"/>
        </w:rPr>
        <w:t>*</w:t>
      </w:r>
      <w:r w:rsidR="00887330" w:rsidRPr="00583E1A">
        <w:t>excluded equity interests in the entity.</w:t>
      </w:r>
    </w:p>
    <w:p w:rsidR="00887330" w:rsidRPr="00583E1A" w:rsidRDefault="00AE4F7F" w:rsidP="00887330">
      <w:pPr>
        <w:pStyle w:val="BoxStep"/>
      </w:pPr>
      <w:r w:rsidRPr="00583E1A">
        <w:rPr>
          <w:szCs w:val="22"/>
        </w:rPr>
        <w:t>Step 2.</w:t>
      </w:r>
      <w:r w:rsidR="00887330" w:rsidRPr="00583E1A">
        <w:rPr>
          <w:i/>
        </w:rPr>
        <w:tab/>
      </w:r>
      <w:r w:rsidR="00887330" w:rsidRPr="00583E1A">
        <w:t xml:space="preserve">Reduce the result of step 1A by the average value, for that year, of all the </w:t>
      </w:r>
      <w:r w:rsidR="00583E1A" w:rsidRPr="00583E1A">
        <w:rPr>
          <w:position w:val="6"/>
          <w:sz w:val="16"/>
        </w:rPr>
        <w:t>*</w:t>
      </w:r>
      <w:r w:rsidR="00887330" w:rsidRPr="00583E1A">
        <w:t>associate entity debt of the entity.</w:t>
      </w:r>
    </w:p>
    <w:p w:rsidR="00887330" w:rsidRPr="00583E1A" w:rsidRDefault="00AE4F7F" w:rsidP="00887330">
      <w:pPr>
        <w:pStyle w:val="BoxStep"/>
      </w:pPr>
      <w:r w:rsidRPr="00583E1A">
        <w:rPr>
          <w:szCs w:val="22"/>
        </w:rPr>
        <w:t>Step 3.</w:t>
      </w:r>
      <w:r w:rsidR="00887330" w:rsidRPr="00583E1A">
        <w:tab/>
        <w:t xml:space="preserve">Reduce the result of step 2 by the average value, for that year, of all the </w:t>
      </w:r>
      <w:r w:rsidR="00583E1A" w:rsidRPr="00583E1A">
        <w:rPr>
          <w:position w:val="6"/>
          <w:sz w:val="16"/>
        </w:rPr>
        <w:t>*</w:t>
      </w:r>
      <w:r w:rsidR="00887330" w:rsidRPr="00583E1A">
        <w:t>associate entity equity of the entity.</w:t>
      </w:r>
    </w:p>
    <w:p w:rsidR="00887330" w:rsidRPr="00583E1A" w:rsidRDefault="00AE4F7F" w:rsidP="00887330">
      <w:pPr>
        <w:pStyle w:val="BoxStep"/>
      </w:pPr>
      <w:r w:rsidRPr="00583E1A">
        <w:rPr>
          <w:szCs w:val="22"/>
        </w:rPr>
        <w:t>Step 4.</w:t>
      </w:r>
      <w:r w:rsidR="00887330" w:rsidRPr="00583E1A">
        <w:tab/>
        <w:t xml:space="preserve">Reduce the result of step 3 by the average value, for that year, of all the </w:t>
      </w:r>
      <w:r w:rsidR="00583E1A" w:rsidRPr="00583E1A">
        <w:rPr>
          <w:position w:val="6"/>
          <w:sz w:val="16"/>
        </w:rPr>
        <w:t>*</w:t>
      </w:r>
      <w:r w:rsidR="00887330" w:rsidRPr="00583E1A">
        <w:t>non</w:t>
      </w:r>
      <w:r w:rsidR="00583E1A">
        <w:noBreakHyphen/>
      </w:r>
      <w:r w:rsidR="00887330" w:rsidRPr="00583E1A">
        <w:t>debt liabilities of the entity.</w:t>
      </w:r>
    </w:p>
    <w:p w:rsidR="00887330" w:rsidRPr="00583E1A" w:rsidRDefault="00AE4F7F" w:rsidP="00887330">
      <w:pPr>
        <w:pStyle w:val="BoxStep"/>
      </w:pPr>
      <w:r w:rsidRPr="00583E1A">
        <w:rPr>
          <w:szCs w:val="22"/>
        </w:rPr>
        <w:t>Step 5.</w:t>
      </w:r>
      <w:r w:rsidR="00887330" w:rsidRPr="00583E1A">
        <w:rPr>
          <w:i/>
        </w:rPr>
        <w:tab/>
      </w:r>
      <w:r w:rsidR="00887330" w:rsidRPr="00583E1A">
        <w:t xml:space="preserve">Reduce the result of step 4 by the average value, for that year, of the entity’s </w:t>
      </w:r>
      <w:r w:rsidR="00583E1A" w:rsidRPr="00583E1A">
        <w:rPr>
          <w:position w:val="6"/>
          <w:sz w:val="16"/>
        </w:rPr>
        <w:t>*</w:t>
      </w:r>
      <w:r w:rsidR="00887330" w:rsidRPr="00583E1A">
        <w:t>zero</w:t>
      </w:r>
      <w:r w:rsidR="00583E1A">
        <w:noBreakHyphen/>
      </w:r>
      <w:r w:rsidR="00887330" w:rsidRPr="00583E1A">
        <w:t>capital amount. If the result of this step is a negative amount, it is taken to be nil.</w:t>
      </w:r>
    </w:p>
    <w:p w:rsidR="00887330" w:rsidRPr="00583E1A" w:rsidRDefault="00AE4F7F" w:rsidP="00887330">
      <w:pPr>
        <w:pStyle w:val="BoxStep"/>
      </w:pPr>
      <w:r w:rsidRPr="00583E1A">
        <w:rPr>
          <w:szCs w:val="22"/>
        </w:rPr>
        <w:t>Step 6.</w:t>
      </w:r>
      <w:r w:rsidR="00887330" w:rsidRPr="00583E1A">
        <w:tab/>
        <w:t xml:space="preserve">Multiply the result of step 5 by </w:t>
      </w:r>
      <w:r w:rsidR="00887330" w:rsidRPr="00583E1A">
        <w:rPr>
          <w:position w:val="6"/>
          <w:sz w:val="16"/>
        </w:rPr>
        <w:t>20</w:t>
      </w:r>
      <w:r w:rsidR="00887330" w:rsidRPr="00583E1A">
        <w:t>/</w:t>
      </w:r>
      <w:r w:rsidR="00887330" w:rsidRPr="00583E1A">
        <w:rPr>
          <w:sz w:val="16"/>
        </w:rPr>
        <w:t>21</w:t>
      </w:r>
      <w:r w:rsidR="00887330" w:rsidRPr="00583E1A">
        <w:t>.</w:t>
      </w:r>
    </w:p>
    <w:p w:rsidR="00887330" w:rsidRPr="00583E1A" w:rsidRDefault="00AE4F7F" w:rsidP="00887330">
      <w:pPr>
        <w:pStyle w:val="BoxStep"/>
      </w:pPr>
      <w:r w:rsidRPr="00583E1A">
        <w:rPr>
          <w:szCs w:val="22"/>
        </w:rPr>
        <w:t>Step 7.</w:t>
      </w:r>
      <w:r w:rsidR="00887330" w:rsidRPr="00583E1A">
        <w:rPr>
          <w:i/>
        </w:rPr>
        <w:tab/>
      </w:r>
      <w:r w:rsidR="00887330" w:rsidRPr="00583E1A">
        <w:t xml:space="preserve">Add to the result of step 6 the average value, for that year, of the entity’s </w:t>
      </w:r>
      <w:r w:rsidR="00583E1A" w:rsidRPr="00583E1A">
        <w:rPr>
          <w:position w:val="6"/>
          <w:sz w:val="16"/>
        </w:rPr>
        <w:t>*</w:t>
      </w:r>
      <w:r w:rsidR="00887330" w:rsidRPr="00583E1A">
        <w:t>zero</w:t>
      </w:r>
      <w:r w:rsidR="00583E1A">
        <w:noBreakHyphen/>
      </w:r>
      <w:r w:rsidR="00887330" w:rsidRPr="00583E1A">
        <w:t>capital amount.</w:t>
      </w:r>
    </w:p>
    <w:p w:rsidR="00887330" w:rsidRPr="00583E1A" w:rsidRDefault="00AE4F7F" w:rsidP="00887330">
      <w:pPr>
        <w:pStyle w:val="BoxStep"/>
      </w:pPr>
      <w:r w:rsidRPr="00583E1A">
        <w:rPr>
          <w:szCs w:val="22"/>
        </w:rPr>
        <w:t>Step 8.</w:t>
      </w:r>
      <w:r w:rsidR="00887330" w:rsidRPr="00583E1A">
        <w:tab/>
        <w:t xml:space="preserve">Add to the result of step 7 the average value, for that year, of the entity’s </w:t>
      </w:r>
      <w:r w:rsidR="00583E1A" w:rsidRPr="00583E1A">
        <w:rPr>
          <w:position w:val="6"/>
          <w:sz w:val="16"/>
        </w:rPr>
        <w:t>*</w:t>
      </w:r>
      <w:r w:rsidR="00887330" w:rsidRPr="00583E1A">
        <w:t xml:space="preserve">associate entity excess amount. The result of this step is the </w:t>
      </w:r>
      <w:r w:rsidR="00887330" w:rsidRPr="00583E1A">
        <w:rPr>
          <w:b/>
          <w:i/>
        </w:rPr>
        <w:t>total debt amount</w:t>
      </w:r>
      <w:r w:rsidR="00887330" w:rsidRPr="00583E1A">
        <w:t>.</w:t>
      </w:r>
    </w:p>
    <w:p w:rsidR="00887330" w:rsidRPr="00583E1A" w:rsidRDefault="00887330" w:rsidP="00887330">
      <w:pPr>
        <w:pStyle w:val="notetext"/>
      </w:pPr>
      <w:r w:rsidRPr="00583E1A">
        <w:lastRenderedPageBreak/>
        <w:t>Example:</w:t>
      </w:r>
      <w:r w:rsidRPr="00583E1A">
        <w:tab/>
        <w:t>KJW Finance Pty Ltd, a company that is an Australian entity, has an average value of assets of $120 million.</w:t>
      </w:r>
    </w:p>
    <w:p w:rsidR="00887330" w:rsidRPr="00583E1A" w:rsidRDefault="00887330" w:rsidP="00887330">
      <w:pPr>
        <w:pStyle w:val="notetext"/>
      </w:pPr>
      <w:r w:rsidRPr="00583E1A">
        <w:tab/>
        <w:t>The average values of its associate entity debt, associate entity equity, its non</w:t>
      </w:r>
      <w:r w:rsidR="00583E1A">
        <w:noBreakHyphen/>
      </w:r>
      <w:r w:rsidRPr="00583E1A">
        <w:t>debt liabilities and its zero</w:t>
      </w:r>
      <w:r w:rsidR="00583E1A">
        <w:noBreakHyphen/>
      </w:r>
      <w:r w:rsidRPr="00583E1A">
        <w:t xml:space="preserve">capital amount are $5 million, $3 million, $2 million and $5 million respectively. Deducting these amounts from the result of step 1 (through applying steps 2 to 5) leaves $105 million. Multiplying $105 million by </w:t>
      </w:r>
      <w:r w:rsidRPr="00583E1A">
        <w:rPr>
          <w:position w:val="4"/>
          <w:sz w:val="14"/>
        </w:rPr>
        <w:t>20</w:t>
      </w:r>
      <w:r w:rsidRPr="00583E1A">
        <w:t>/</w:t>
      </w:r>
      <w:r w:rsidRPr="00583E1A">
        <w:rPr>
          <w:sz w:val="14"/>
        </w:rPr>
        <w:t>21</w:t>
      </w:r>
      <w:r w:rsidRPr="00583E1A">
        <w:t xml:space="preserve"> results in $100 million. Adding the zero</w:t>
      </w:r>
      <w:r w:rsidR="00583E1A">
        <w:noBreakHyphen/>
      </w:r>
      <w:r w:rsidRPr="00583E1A">
        <w:t>capital amount of $5 million to $100 million results in $105 million. As the company does not have any associate entity excess amount, the total debt amount is therefore $105 million.</w:t>
      </w:r>
    </w:p>
    <w:p w:rsidR="00887330" w:rsidRPr="00583E1A" w:rsidRDefault="00887330" w:rsidP="00887330">
      <w:pPr>
        <w:pStyle w:val="SubsectionHead"/>
      </w:pPr>
      <w:r w:rsidRPr="00583E1A">
        <w:t>Adjusted on</w:t>
      </w:r>
      <w:r w:rsidR="00583E1A">
        <w:noBreakHyphen/>
      </w:r>
      <w:r w:rsidRPr="00583E1A">
        <w:t>lent amount</w:t>
      </w:r>
    </w:p>
    <w:p w:rsidR="00887330" w:rsidRPr="00583E1A" w:rsidRDefault="00887330" w:rsidP="00887330">
      <w:pPr>
        <w:pStyle w:val="subsection"/>
      </w:pPr>
      <w:r w:rsidRPr="00583E1A">
        <w:tab/>
        <w:t>(3)</w:t>
      </w:r>
      <w:r w:rsidRPr="00583E1A">
        <w:tab/>
        <w:t xml:space="preserve">The </w:t>
      </w:r>
      <w:r w:rsidRPr="00583E1A">
        <w:rPr>
          <w:b/>
          <w:i/>
        </w:rPr>
        <w:t>adjusted on</w:t>
      </w:r>
      <w:r w:rsidR="00583E1A">
        <w:rPr>
          <w:b/>
          <w:i/>
        </w:rPr>
        <w:noBreakHyphen/>
      </w:r>
      <w:r w:rsidRPr="00583E1A">
        <w:rPr>
          <w:b/>
          <w:i/>
        </w:rPr>
        <w:t>lent amount</w:t>
      </w:r>
      <w:r w:rsidRPr="00583E1A">
        <w:t xml:space="preserve"> is the result of applying the method statement in this subsection.</w:t>
      </w:r>
    </w:p>
    <w:p w:rsidR="00887330" w:rsidRPr="00583E1A" w:rsidRDefault="00887330" w:rsidP="00887330">
      <w:pPr>
        <w:pStyle w:val="BoxHeadItalic"/>
        <w:keepNext/>
        <w:keepLines/>
      </w:pPr>
      <w:r w:rsidRPr="00583E1A">
        <w:t>Method statement</w:t>
      </w:r>
    </w:p>
    <w:p w:rsidR="00887330" w:rsidRPr="00583E1A" w:rsidRDefault="00AE4F7F" w:rsidP="00887330">
      <w:pPr>
        <w:pStyle w:val="BoxStep"/>
      </w:pPr>
      <w:r w:rsidRPr="00583E1A">
        <w:rPr>
          <w:szCs w:val="22"/>
        </w:rPr>
        <w:t>Step 1.</w:t>
      </w:r>
      <w:r w:rsidR="00887330" w:rsidRPr="00583E1A">
        <w:tab/>
        <w:t>Work out the average value, for the income year, of all the assets of the entity.</w:t>
      </w:r>
    </w:p>
    <w:p w:rsidR="00887330" w:rsidRPr="00583E1A" w:rsidRDefault="00AE4F7F" w:rsidP="00887330">
      <w:pPr>
        <w:pStyle w:val="BoxStep"/>
      </w:pPr>
      <w:r w:rsidRPr="00583E1A">
        <w:rPr>
          <w:szCs w:val="22"/>
        </w:rPr>
        <w:t>Step 1A.</w:t>
      </w:r>
      <w:r w:rsidR="00887330" w:rsidRPr="00583E1A">
        <w:tab/>
        <w:t xml:space="preserve">Reduce the result of step 1 by the average value, for that year, of all the </w:t>
      </w:r>
      <w:r w:rsidR="00583E1A" w:rsidRPr="00583E1A">
        <w:rPr>
          <w:position w:val="6"/>
          <w:sz w:val="16"/>
        </w:rPr>
        <w:t>*</w:t>
      </w:r>
      <w:r w:rsidR="00887330" w:rsidRPr="00583E1A">
        <w:t>excluded equity interests in the entity.</w:t>
      </w:r>
    </w:p>
    <w:p w:rsidR="00887330" w:rsidRPr="00583E1A" w:rsidRDefault="00AE4F7F" w:rsidP="00887330">
      <w:pPr>
        <w:pStyle w:val="BoxStep"/>
      </w:pPr>
      <w:r w:rsidRPr="00583E1A">
        <w:rPr>
          <w:szCs w:val="22"/>
        </w:rPr>
        <w:t>Step 2.</w:t>
      </w:r>
      <w:r w:rsidR="00887330" w:rsidRPr="00583E1A">
        <w:tab/>
        <w:t xml:space="preserve">Reduce the result of step 1A by the average value, for that year, of all the </w:t>
      </w:r>
      <w:r w:rsidR="00583E1A" w:rsidRPr="00583E1A">
        <w:rPr>
          <w:position w:val="6"/>
          <w:sz w:val="16"/>
        </w:rPr>
        <w:t>*</w:t>
      </w:r>
      <w:r w:rsidR="00887330" w:rsidRPr="00583E1A">
        <w:t>associate entity equity of the entity.</w:t>
      </w:r>
    </w:p>
    <w:p w:rsidR="00887330" w:rsidRPr="00583E1A" w:rsidRDefault="00AE4F7F" w:rsidP="00887330">
      <w:pPr>
        <w:pStyle w:val="BoxStep"/>
      </w:pPr>
      <w:r w:rsidRPr="00583E1A">
        <w:rPr>
          <w:szCs w:val="22"/>
        </w:rPr>
        <w:t>Step 3.</w:t>
      </w:r>
      <w:r w:rsidR="00887330" w:rsidRPr="00583E1A">
        <w:rPr>
          <w:i/>
        </w:rPr>
        <w:tab/>
      </w:r>
      <w:r w:rsidR="00887330" w:rsidRPr="00583E1A">
        <w:t xml:space="preserve">Reduce the result of step 2 by the average value, for that year, of all the </w:t>
      </w:r>
      <w:r w:rsidR="00583E1A" w:rsidRPr="00583E1A">
        <w:rPr>
          <w:position w:val="6"/>
          <w:sz w:val="16"/>
        </w:rPr>
        <w:t>*</w:t>
      </w:r>
      <w:r w:rsidR="00887330" w:rsidRPr="00583E1A">
        <w:t>non</w:t>
      </w:r>
      <w:r w:rsidR="00583E1A">
        <w:noBreakHyphen/>
      </w:r>
      <w:r w:rsidR="00887330" w:rsidRPr="00583E1A">
        <w:t>debt liabilities of the entity.</w:t>
      </w:r>
    </w:p>
    <w:p w:rsidR="00887330" w:rsidRPr="00583E1A" w:rsidRDefault="00AE4F7F" w:rsidP="00887330">
      <w:pPr>
        <w:pStyle w:val="BoxStep"/>
        <w:keepNext/>
        <w:keepLines/>
      </w:pPr>
      <w:r w:rsidRPr="00583E1A">
        <w:rPr>
          <w:szCs w:val="22"/>
        </w:rPr>
        <w:t>Step 4.</w:t>
      </w:r>
      <w:r w:rsidR="00887330" w:rsidRPr="00583E1A">
        <w:tab/>
        <w:t xml:space="preserve">Reduce the result of step 3 by the amount (the </w:t>
      </w:r>
      <w:r w:rsidR="00887330" w:rsidRPr="00583E1A">
        <w:rPr>
          <w:b/>
          <w:i/>
        </w:rPr>
        <w:t>average on</w:t>
      </w:r>
      <w:r w:rsidR="00583E1A">
        <w:rPr>
          <w:b/>
          <w:i/>
        </w:rPr>
        <w:noBreakHyphen/>
      </w:r>
      <w:r w:rsidR="00887330" w:rsidRPr="00583E1A">
        <w:rPr>
          <w:b/>
          <w:i/>
        </w:rPr>
        <w:t>lent amount</w:t>
      </w:r>
      <w:r w:rsidR="00887330" w:rsidRPr="00583E1A">
        <w:t xml:space="preserve">) which is the average value, for that year, of the entity’s </w:t>
      </w:r>
      <w:r w:rsidR="00583E1A" w:rsidRPr="00583E1A">
        <w:rPr>
          <w:position w:val="6"/>
          <w:sz w:val="16"/>
        </w:rPr>
        <w:t>*</w:t>
      </w:r>
      <w:r w:rsidR="00887330" w:rsidRPr="00583E1A">
        <w:t>on</w:t>
      </w:r>
      <w:r w:rsidR="00583E1A">
        <w:noBreakHyphen/>
      </w:r>
      <w:r w:rsidR="00887330" w:rsidRPr="00583E1A">
        <w:t>lent amount. If the result of this step is a negative amount, it is taken to be nil.</w:t>
      </w:r>
    </w:p>
    <w:p w:rsidR="00887330" w:rsidRPr="00583E1A" w:rsidRDefault="00AE4F7F" w:rsidP="00887330">
      <w:pPr>
        <w:pStyle w:val="BoxStep"/>
      </w:pPr>
      <w:r w:rsidRPr="00583E1A">
        <w:rPr>
          <w:szCs w:val="22"/>
        </w:rPr>
        <w:t>Step 5.</w:t>
      </w:r>
      <w:r w:rsidR="00887330" w:rsidRPr="00583E1A">
        <w:tab/>
        <w:t xml:space="preserve">Multiply the result of step 4 by </w:t>
      </w:r>
      <w:r w:rsidR="00887330" w:rsidRPr="00583E1A">
        <w:rPr>
          <w:position w:val="6"/>
          <w:sz w:val="16"/>
        </w:rPr>
        <w:t>3</w:t>
      </w:r>
      <w:r w:rsidR="00887330" w:rsidRPr="00583E1A">
        <w:t>/</w:t>
      </w:r>
      <w:r w:rsidR="00887330" w:rsidRPr="00583E1A">
        <w:rPr>
          <w:sz w:val="16"/>
        </w:rPr>
        <w:t>4</w:t>
      </w:r>
      <w:r w:rsidR="00887330" w:rsidRPr="00583E1A">
        <w:t>.</w:t>
      </w:r>
    </w:p>
    <w:p w:rsidR="00887330" w:rsidRPr="00583E1A" w:rsidRDefault="00AE4F7F" w:rsidP="00887330">
      <w:pPr>
        <w:pStyle w:val="BoxStep"/>
      </w:pPr>
      <w:r w:rsidRPr="00583E1A">
        <w:rPr>
          <w:szCs w:val="22"/>
        </w:rPr>
        <w:t>Step 6.</w:t>
      </w:r>
      <w:r w:rsidR="00887330" w:rsidRPr="00583E1A">
        <w:rPr>
          <w:i/>
        </w:rPr>
        <w:tab/>
      </w:r>
      <w:r w:rsidR="00887330" w:rsidRPr="00583E1A">
        <w:t>Add to the result of step 5 the average on</w:t>
      </w:r>
      <w:r w:rsidR="00583E1A">
        <w:noBreakHyphen/>
      </w:r>
      <w:r w:rsidR="00887330" w:rsidRPr="00583E1A">
        <w:t>lent amount.</w:t>
      </w:r>
    </w:p>
    <w:p w:rsidR="00887330" w:rsidRPr="00583E1A" w:rsidRDefault="00AE4F7F" w:rsidP="00887330">
      <w:pPr>
        <w:pStyle w:val="BoxStep"/>
      </w:pPr>
      <w:r w:rsidRPr="00583E1A">
        <w:rPr>
          <w:szCs w:val="22"/>
        </w:rPr>
        <w:t>Step 7.</w:t>
      </w:r>
      <w:r w:rsidR="00887330" w:rsidRPr="00583E1A">
        <w:rPr>
          <w:i/>
        </w:rPr>
        <w:tab/>
      </w:r>
      <w:r w:rsidR="00887330" w:rsidRPr="00583E1A">
        <w:t xml:space="preserve">Reduce the result of step 6 by the average value, for that year, of all the </w:t>
      </w:r>
      <w:r w:rsidR="00583E1A" w:rsidRPr="00583E1A">
        <w:rPr>
          <w:position w:val="6"/>
          <w:sz w:val="16"/>
        </w:rPr>
        <w:t>*</w:t>
      </w:r>
      <w:r w:rsidR="00887330" w:rsidRPr="00583E1A">
        <w:t>associate entity debt of the entity.</w:t>
      </w:r>
    </w:p>
    <w:p w:rsidR="00887330" w:rsidRPr="00583E1A" w:rsidRDefault="00AE4F7F" w:rsidP="00887330">
      <w:pPr>
        <w:pStyle w:val="BoxStep"/>
      </w:pPr>
      <w:r w:rsidRPr="00583E1A">
        <w:rPr>
          <w:szCs w:val="22"/>
        </w:rPr>
        <w:lastRenderedPageBreak/>
        <w:t>Step 8.</w:t>
      </w:r>
      <w:r w:rsidR="00887330" w:rsidRPr="00583E1A">
        <w:tab/>
        <w:t xml:space="preserve">Add to the result of step 7 the average value, for that year, of the entity’s </w:t>
      </w:r>
      <w:r w:rsidR="00583E1A" w:rsidRPr="00583E1A">
        <w:rPr>
          <w:position w:val="6"/>
          <w:sz w:val="16"/>
        </w:rPr>
        <w:t>*</w:t>
      </w:r>
      <w:r w:rsidR="00887330" w:rsidRPr="00583E1A">
        <w:t xml:space="preserve">associate entity excess amount. The result of this step is the </w:t>
      </w:r>
      <w:r w:rsidR="00887330" w:rsidRPr="00583E1A">
        <w:rPr>
          <w:b/>
          <w:i/>
        </w:rPr>
        <w:t>adjusted on</w:t>
      </w:r>
      <w:r w:rsidR="00583E1A">
        <w:rPr>
          <w:b/>
          <w:i/>
        </w:rPr>
        <w:noBreakHyphen/>
      </w:r>
      <w:r w:rsidR="00887330" w:rsidRPr="00583E1A">
        <w:rPr>
          <w:b/>
          <w:i/>
        </w:rPr>
        <w:t>lent amount</w:t>
      </w:r>
      <w:r w:rsidR="00887330" w:rsidRPr="00583E1A">
        <w:t>.</w:t>
      </w:r>
    </w:p>
    <w:p w:rsidR="00887330" w:rsidRPr="00583E1A" w:rsidRDefault="00887330" w:rsidP="00887330">
      <w:pPr>
        <w:pStyle w:val="notetext"/>
      </w:pPr>
      <w:r w:rsidRPr="00583E1A">
        <w:t>Example:</w:t>
      </w:r>
      <w:r w:rsidRPr="00583E1A">
        <w:tab/>
        <w:t>KJW Finance Pty Ltd, a company that is an Australian entity, has an average value of assets of $120 million.</w:t>
      </w:r>
    </w:p>
    <w:p w:rsidR="00887330" w:rsidRPr="00583E1A" w:rsidRDefault="00887330" w:rsidP="00887330">
      <w:pPr>
        <w:pStyle w:val="notetext"/>
      </w:pPr>
      <w:r w:rsidRPr="00583E1A">
        <w:tab/>
        <w:t>The average values of its associate entity equity, non</w:t>
      </w:r>
      <w:r w:rsidR="00583E1A">
        <w:noBreakHyphen/>
      </w:r>
      <w:r w:rsidRPr="00583E1A">
        <w:t>debt liabilities and on</w:t>
      </w:r>
      <w:r w:rsidR="00583E1A">
        <w:noBreakHyphen/>
      </w:r>
      <w:r w:rsidRPr="00583E1A">
        <w:t xml:space="preserve">lent amount are $3 million, $2 million and $35 million respectively. Deducting these amounts from the result of step 1 (through applying steps 2 to 4) leaves $80 million. Multiplying $80 million by </w:t>
      </w:r>
      <w:r w:rsidRPr="00583E1A">
        <w:rPr>
          <w:position w:val="4"/>
          <w:sz w:val="14"/>
        </w:rPr>
        <w:t>3</w:t>
      </w:r>
      <w:r w:rsidRPr="00583E1A">
        <w:t>/</w:t>
      </w:r>
      <w:r w:rsidRPr="00583E1A">
        <w:rPr>
          <w:sz w:val="14"/>
        </w:rPr>
        <w:t>4</w:t>
      </w:r>
      <w:r w:rsidRPr="00583E1A">
        <w:t xml:space="preserve"> results in $60 million. Adding the average on</w:t>
      </w:r>
      <w:r w:rsidR="00583E1A">
        <w:noBreakHyphen/>
      </w:r>
      <w:r w:rsidRPr="00583E1A">
        <w:t>lent amount of $35 million results in $95 million. Reducing $95 million by the associate entity debt amount of $5 million results in $90 million. As the company does not have any associate entity excess amount, the adjusted on</w:t>
      </w:r>
      <w:r w:rsidR="00583E1A">
        <w:noBreakHyphen/>
      </w:r>
      <w:r w:rsidRPr="00583E1A">
        <w:t>lent amount is therefore $90 million.</w:t>
      </w:r>
    </w:p>
    <w:p w:rsidR="00887330" w:rsidRPr="00583E1A" w:rsidRDefault="00887330" w:rsidP="00887330">
      <w:pPr>
        <w:pStyle w:val="ActHead5"/>
      </w:pPr>
      <w:bookmarkStart w:id="202" w:name="_Toc338939276"/>
      <w:r w:rsidRPr="00583E1A">
        <w:rPr>
          <w:rStyle w:val="CharSectno"/>
        </w:rPr>
        <w:t>820</w:t>
      </w:r>
      <w:r w:rsidR="00583E1A">
        <w:rPr>
          <w:rStyle w:val="CharSectno"/>
        </w:rPr>
        <w:noBreakHyphen/>
      </w:r>
      <w:r w:rsidRPr="00583E1A">
        <w:rPr>
          <w:rStyle w:val="CharSectno"/>
        </w:rPr>
        <w:t>205</w:t>
      </w:r>
      <w:r w:rsidRPr="00583E1A">
        <w:t xml:space="preserve">  Safe harbour debt amount—inward investor (general)</w:t>
      </w:r>
      <w:bookmarkEnd w:id="202"/>
    </w:p>
    <w:p w:rsidR="00887330" w:rsidRPr="00583E1A" w:rsidRDefault="00887330" w:rsidP="00887330">
      <w:pPr>
        <w:pStyle w:val="subsection"/>
      </w:pPr>
      <w:r w:rsidRPr="00583E1A">
        <w:tab/>
      </w:r>
      <w:r w:rsidRPr="00583E1A">
        <w:tab/>
        <w:t xml:space="preserve">If the entity is an </w:t>
      </w:r>
      <w:r w:rsidR="00583E1A" w:rsidRPr="00583E1A">
        <w:rPr>
          <w:position w:val="6"/>
          <w:sz w:val="16"/>
        </w:rPr>
        <w:t>*</w:t>
      </w:r>
      <w:r w:rsidRPr="00583E1A">
        <w:t xml:space="preserve">inward investor (general) for the income year, the </w:t>
      </w:r>
      <w:r w:rsidRPr="00583E1A">
        <w:rPr>
          <w:b/>
          <w:i/>
        </w:rPr>
        <w:t>safe harbour debt amount</w:t>
      </w:r>
      <w:r w:rsidRPr="00583E1A">
        <w:t xml:space="preserve"> is the result of applying the method statement in this section.</w:t>
      </w:r>
    </w:p>
    <w:p w:rsidR="00887330" w:rsidRPr="00583E1A" w:rsidRDefault="00887330" w:rsidP="00887330">
      <w:pPr>
        <w:pStyle w:val="BoxHeadItalic"/>
        <w:keepNext/>
        <w:keepLines/>
      </w:pPr>
      <w:r w:rsidRPr="00583E1A">
        <w:t>Method statement</w:t>
      </w:r>
    </w:p>
    <w:p w:rsidR="00887330" w:rsidRPr="00583E1A" w:rsidRDefault="00AE4F7F" w:rsidP="00887330">
      <w:pPr>
        <w:pStyle w:val="BoxStep"/>
      </w:pPr>
      <w:r w:rsidRPr="00583E1A">
        <w:rPr>
          <w:szCs w:val="22"/>
        </w:rPr>
        <w:t>Step 1.</w:t>
      </w:r>
      <w:r w:rsidR="00887330" w:rsidRPr="00583E1A">
        <w:tab/>
        <w:t xml:space="preserve">Work out the average value, for the income year, of all of the following assets of the entity (the </w:t>
      </w:r>
      <w:r w:rsidR="00887330" w:rsidRPr="00583E1A">
        <w:rPr>
          <w:b/>
          <w:i/>
        </w:rPr>
        <w:t>Australian investments</w:t>
      </w:r>
      <w:r w:rsidR="00887330" w:rsidRPr="00583E1A">
        <w:t>):</w:t>
      </w:r>
    </w:p>
    <w:p w:rsidR="00887330" w:rsidRPr="00583E1A" w:rsidRDefault="00887330" w:rsidP="00887330">
      <w:pPr>
        <w:pStyle w:val="BoxPara"/>
      </w:pPr>
      <w:r w:rsidRPr="00583E1A">
        <w:tab/>
        <w:t>(a)</w:t>
      </w:r>
      <w:r w:rsidRPr="00583E1A">
        <w:tab/>
        <w:t xml:space="preserve">assets that are attributable to the entity’s </w:t>
      </w:r>
      <w:r w:rsidR="00583E1A" w:rsidRPr="00583E1A">
        <w:rPr>
          <w:position w:val="6"/>
          <w:sz w:val="16"/>
        </w:rPr>
        <w:t>*</w:t>
      </w:r>
      <w:r w:rsidRPr="00583E1A">
        <w:t>Australian permanent establishments;</w:t>
      </w:r>
    </w:p>
    <w:p w:rsidR="00887330" w:rsidRPr="00583E1A" w:rsidRDefault="00887330" w:rsidP="00887330">
      <w:pPr>
        <w:pStyle w:val="BoxPara"/>
      </w:pPr>
      <w:r w:rsidRPr="00583E1A">
        <w:tab/>
        <w:t>(b)</w:t>
      </w:r>
      <w:r w:rsidRPr="00583E1A">
        <w:tab/>
        <w:t>other assets that are held for the purposes of producing the entity’s assessable income.</w:t>
      </w:r>
    </w:p>
    <w:p w:rsidR="00887330" w:rsidRPr="00583E1A" w:rsidRDefault="00AE4F7F" w:rsidP="00887330">
      <w:pPr>
        <w:pStyle w:val="BoxStep"/>
      </w:pPr>
      <w:r w:rsidRPr="00583E1A">
        <w:rPr>
          <w:szCs w:val="22"/>
        </w:rPr>
        <w:t>Step 1A.</w:t>
      </w:r>
      <w:r w:rsidR="00887330" w:rsidRPr="00583E1A">
        <w:tab/>
        <w:t xml:space="preserve">Reduce the result of step 1 by the average value, for that year, of all the </w:t>
      </w:r>
      <w:r w:rsidR="00583E1A" w:rsidRPr="00583E1A">
        <w:rPr>
          <w:position w:val="6"/>
          <w:sz w:val="16"/>
        </w:rPr>
        <w:t>*</w:t>
      </w:r>
      <w:r w:rsidR="00887330" w:rsidRPr="00583E1A">
        <w:t>excluded equity interests in the entity.</w:t>
      </w:r>
    </w:p>
    <w:p w:rsidR="00887330" w:rsidRPr="00583E1A" w:rsidRDefault="00AE4F7F" w:rsidP="00887330">
      <w:pPr>
        <w:pStyle w:val="BoxStep"/>
      </w:pPr>
      <w:r w:rsidRPr="00583E1A">
        <w:rPr>
          <w:szCs w:val="22"/>
        </w:rPr>
        <w:t>Step 2.</w:t>
      </w:r>
      <w:r w:rsidR="00887330" w:rsidRPr="00583E1A">
        <w:rPr>
          <w:i/>
        </w:rPr>
        <w:tab/>
      </w:r>
      <w:r w:rsidR="00887330" w:rsidRPr="00583E1A">
        <w:t xml:space="preserve">Reduce the result of step 1A by the average value, for that year, of all the </w:t>
      </w:r>
      <w:r w:rsidR="00583E1A" w:rsidRPr="00583E1A">
        <w:rPr>
          <w:position w:val="6"/>
          <w:sz w:val="16"/>
        </w:rPr>
        <w:t>*</w:t>
      </w:r>
      <w:r w:rsidR="00887330" w:rsidRPr="00583E1A">
        <w:t>associate entity debt of the entity that has arisen because of the Australian investments.</w:t>
      </w:r>
    </w:p>
    <w:p w:rsidR="00887330" w:rsidRPr="00583E1A" w:rsidRDefault="00AE4F7F" w:rsidP="00887330">
      <w:pPr>
        <w:pStyle w:val="BoxStep"/>
        <w:rPr>
          <w:i/>
        </w:rPr>
      </w:pPr>
      <w:r w:rsidRPr="00583E1A">
        <w:rPr>
          <w:szCs w:val="22"/>
        </w:rPr>
        <w:lastRenderedPageBreak/>
        <w:t>Step 3.</w:t>
      </w:r>
      <w:r w:rsidR="00887330" w:rsidRPr="00583E1A">
        <w:rPr>
          <w:i/>
        </w:rPr>
        <w:tab/>
      </w:r>
      <w:r w:rsidR="00887330" w:rsidRPr="00583E1A">
        <w:t xml:space="preserve">Reduce the result of step 2 by the average value, for that year, of all the </w:t>
      </w:r>
      <w:r w:rsidR="00583E1A" w:rsidRPr="00583E1A">
        <w:rPr>
          <w:position w:val="6"/>
          <w:sz w:val="16"/>
        </w:rPr>
        <w:t>*</w:t>
      </w:r>
      <w:r w:rsidR="00887330" w:rsidRPr="00583E1A">
        <w:t>associate entity equity of the entity that has arisen because of the Australian investments.</w:t>
      </w:r>
    </w:p>
    <w:p w:rsidR="00887330" w:rsidRPr="00583E1A" w:rsidRDefault="00AE4F7F" w:rsidP="00887330">
      <w:pPr>
        <w:pStyle w:val="BoxStep"/>
      </w:pPr>
      <w:r w:rsidRPr="00583E1A">
        <w:rPr>
          <w:szCs w:val="22"/>
        </w:rPr>
        <w:t>Step 4.</w:t>
      </w:r>
      <w:r w:rsidR="00887330" w:rsidRPr="00583E1A">
        <w:tab/>
        <w:t xml:space="preserve">Reduce the result of step 3 by the average value, for that year, of all the </w:t>
      </w:r>
      <w:r w:rsidR="00583E1A" w:rsidRPr="00583E1A">
        <w:rPr>
          <w:position w:val="6"/>
          <w:sz w:val="16"/>
        </w:rPr>
        <w:t>*</w:t>
      </w:r>
      <w:r w:rsidR="00887330" w:rsidRPr="00583E1A">
        <w:t>non</w:t>
      </w:r>
      <w:r w:rsidR="00583E1A">
        <w:noBreakHyphen/>
      </w:r>
      <w:r w:rsidR="00887330" w:rsidRPr="00583E1A">
        <w:t>debt liabilities of the entity that have arisen because of the Australian investments. If the result of this step is a negative amount, it is taken to be nil.</w:t>
      </w:r>
    </w:p>
    <w:p w:rsidR="00887330" w:rsidRPr="00583E1A" w:rsidRDefault="00AE4F7F" w:rsidP="00887330">
      <w:pPr>
        <w:pStyle w:val="BoxStep"/>
      </w:pPr>
      <w:r w:rsidRPr="00583E1A">
        <w:rPr>
          <w:szCs w:val="22"/>
        </w:rPr>
        <w:t>Step 5.</w:t>
      </w:r>
      <w:r w:rsidR="00887330" w:rsidRPr="00583E1A">
        <w:tab/>
        <w:t xml:space="preserve">Multiply the result of step 4 by </w:t>
      </w:r>
      <w:r w:rsidR="00887330" w:rsidRPr="00583E1A">
        <w:rPr>
          <w:position w:val="6"/>
          <w:sz w:val="16"/>
        </w:rPr>
        <w:t>3</w:t>
      </w:r>
      <w:r w:rsidR="00887330" w:rsidRPr="00583E1A">
        <w:t>/</w:t>
      </w:r>
      <w:r w:rsidR="00887330" w:rsidRPr="00583E1A">
        <w:rPr>
          <w:sz w:val="16"/>
        </w:rPr>
        <w:t>4</w:t>
      </w:r>
      <w:r w:rsidR="00887330" w:rsidRPr="00583E1A">
        <w:t>.</w:t>
      </w:r>
    </w:p>
    <w:p w:rsidR="00887330" w:rsidRPr="00583E1A" w:rsidRDefault="00AE4F7F" w:rsidP="00887330">
      <w:pPr>
        <w:pStyle w:val="BoxStep"/>
      </w:pPr>
      <w:r w:rsidRPr="00583E1A">
        <w:rPr>
          <w:szCs w:val="22"/>
        </w:rPr>
        <w:t>Step 6.</w:t>
      </w:r>
      <w:r w:rsidR="00887330" w:rsidRPr="00583E1A">
        <w:tab/>
        <w:t xml:space="preserve">Add to the result of step 5 the average value, for that year, of the entity’s </w:t>
      </w:r>
      <w:r w:rsidR="00583E1A" w:rsidRPr="00583E1A">
        <w:rPr>
          <w:position w:val="6"/>
          <w:sz w:val="16"/>
        </w:rPr>
        <w:t>*</w:t>
      </w:r>
      <w:r w:rsidR="00887330" w:rsidRPr="00583E1A">
        <w:t xml:space="preserve">associate entity excess amount. The result of this step is the </w:t>
      </w:r>
      <w:r w:rsidR="00887330" w:rsidRPr="00583E1A">
        <w:rPr>
          <w:b/>
          <w:i/>
        </w:rPr>
        <w:t>safe harbour debt amount</w:t>
      </w:r>
      <w:r w:rsidR="00887330" w:rsidRPr="00583E1A">
        <w:t>.</w:t>
      </w:r>
    </w:p>
    <w:p w:rsidR="00887330" w:rsidRPr="00583E1A" w:rsidRDefault="00887330" w:rsidP="00887330">
      <w:pPr>
        <w:pStyle w:val="notetext"/>
      </w:pPr>
      <w:r w:rsidRPr="00583E1A">
        <w:t>Example:</w:t>
      </w:r>
      <w:r w:rsidRPr="00583E1A">
        <w:tab/>
        <w:t>RJ Corporation is a company that is not an Australian entity. The average value of its Australian investments is $100 million.</w:t>
      </w:r>
    </w:p>
    <w:p w:rsidR="00887330" w:rsidRPr="00583E1A" w:rsidRDefault="00887330" w:rsidP="00887330">
      <w:pPr>
        <w:pStyle w:val="notetext"/>
      </w:pPr>
      <w:r w:rsidRPr="00583E1A">
        <w:tab/>
        <w:t>The average value of its relevant associate entity debt, associate entity equity and non</w:t>
      </w:r>
      <w:r w:rsidR="00583E1A">
        <w:noBreakHyphen/>
      </w:r>
      <w:r w:rsidRPr="00583E1A">
        <w:t xml:space="preserve">debt liabilities is $10 million, $5 million and $5 million respectively. Deducting those amounts from the result of step 1 leaves $80 million. Multiplying $80 million by </w:t>
      </w:r>
      <w:r w:rsidRPr="00583E1A">
        <w:rPr>
          <w:position w:val="4"/>
          <w:sz w:val="14"/>
        </w:rPr>
        <w:t>3</w:t>
      </w:r>
      <w:r w:rsidRPr="00583E1A">
        <w:t>/</w:t>
      </w:r>
      <w:r w:rsidRPr="00583E1A">
        <w:rPr>
          <w:sz w:val="14"/>
        </w:rPr>
        <w:t>4</w:t>
      </w:r>
      <w:r w:rsidRPr="00583E1A">
        <w:t xml:space="preserve"> results in $60 million. As the company does not have any associate entity excess amount, the safe harbour debt amount is therefore $60 million.</w:t>
      </w:r>
    </w:p>
    <w:p w:rsidR="00887330" w:rsidRPr="00583E1A" w:rsidRDefault="00887330" w:rsidP="00887330">
      <w:pPr>
        <w:pStyle w:val="ActHead5"/>
      </w:pPr>
      <w:bookmarkStart w:id="203" w:name="_Toc338939277"/>
      <w:r w:rsidRPr="00583E1A">
        <w:rPr>
          <w:rStyle w:val="CharSectno"/>
        </w:rPr>
        <w:t>820</w:t>
      </w:r>
      <w:r w:rsidR="00583E1A">
        <w:rPr>
          <w:rStyle w:val="CharSectno"/>
        </w:rPr>
        <w:noBreakHyphen/>
      </w:r>
      <w:r w:rsidRPr="00583E1A">
        <w:rPr>
          <w:rStyle w:val="CharSectno"/>
        </w:rPr>
        <w:t>210</w:t>
      </w:r>
      <w:r w:rsidRPr="00583E1A">
        <w:t xml:space="preserve">  Safe harbour debt amount—inward investor (financial)</w:t>
      </w:r>
      <w:bookmarkEnd w:id="203"/>
    </w:p>
    <w:p w:rsidR="00887330" w:rsidRPr="00583E1A" w:rsidRDefault="00887330" w:rsidP="00887330">
      <w:pPr>
        <w:pStyle w:val="subsection"/>
      </w:pPr>
      <w:r w:rsidRPr="00583E1A">
        <w:tab/>
        <w:t>(1)</w:t>
      </w:r>
      <w:r w:rsidRPr="00583E1A">
        <w:tab/>
        <w:t xml:space="preserve">If the entity is an </w:t>
      </w:r>
      <w:r w:rsidR="00583E1A" w:rsidRPr="00583E1A">
        <w:rPr>
          <w:position w:val="6"/>
          <w:sz w:val="16"/>
        </w:rPr>
        <w:t>*</w:t>
      </w:r>
      <w:r w:rsidRPr="00583E1A">
        <w:t xml:space="preserve">inward investor (financial) for that year, the </w:t>
      </w:r>
      <w:r w:rsidRPr="00583E1A">
        <w:rPr>
          <w:b/>
          <w:i/>
        </w:rPr>
        <w:t>safe harbour debt amount</w:t>
      </w:r>
      <w:r w:rsidRPr="00583E1A">
        <w:t xml:space="preserve"> is the lesser of the following amounts:</w:t>
      </w:r>
    </w:p>
    <w:p w:rsidR="00887330" w:rsidRPr="00583E1A" w:rsidRDefault="00887330" w:rsidP="00887330">
      <w:pPr>
        <w:pStyle w:val="paragraph"/>
      </w:pPr>
      <w:r w:rsidRPr="00583E1A">
        <w:tab/>
        <w:t>(a)</w:t>
      </w:r>
      <w:r w:rsidRPr="00583E1A">
        <w:tab/>
        <w:t xml:space="preserve">the </w:t>
      </w:r>
      <w:r w:rsidR="00583E1A" w:rsidRPr="00583E1A">
        <w:rPr>
          <w:position w:val="6"/>
          <w:sz w:val="16"/>
        </w:rPr>
        <w:t>*</w:t>
      </w:r>
      <w:r w:rsidRPr="00583E1A">
        <w:t xml:space="preserve">total debt amount (worked out under </w:t>
      </w:r>
      <w:r w:rsidR="00583E1A">
        <w:t>subsection (</w:t>
      </w:r>
      <w:r w:rsidRPr="00583E1A">
        <w:t>2));</w:t>
      </w:r>
    </w:p>
    <w:p w:rsidR="00887330" w:rsidRPr="00583E1A" w:rsidRDefault="00887330" w:rsidP="00887330">
      <w:pPr>
        <w:pStyle w:val="paragraph"/>
      </w:pPr>
      <w:r w:rsidRPr="00583E1A">
        <w:tab/>
        <w:t>(b)</w:t>
      </w:r>
      <w:r w:rsidRPr="00583E1A">
        <w:tab/>
        <w:t xml:space="preserve">the </w:t>
      </w:r>
      <w:r w:rsidR="00583E1A" w:rsidRPr="00583E1A">
        <w:rPr>
          <w:position w:val="6"/>
          <w:sz w:val="16"/>
        </w:rPr>
        <w:t>*</w:t>
      </w:r>
      <w:r w:rsidRPr="00583E1A">
        <w:t>adjusted on</w:t>
      </w:r>
      <w:r w:rsidR="00583E1A">
        <w:noBreakHyphen/>
      </w:r>
      <w:r w:rsidRPr="00583E1A">
        <w:t xml:space="preserve">lent amount (worked out under </w:t>
      </w:r>
      <w:r w:rsidR="00583E1A">
        <w:t>subsection (</w:t>
      </w:r>
      <w:r w:rsidRPr="00583E1A">
        <w:t>3)).</w:t>
      </w:r>
    </w:p>
    <w:p w:rsidR="00887330" w:rsidRPr="00583E1A" w:rsidRDefault="00887330" w:rsidP="00887330">
      <w:pPr>
        <w:pStyle w:val="subsection2"/>
      </w:pPr>
      <w:r w:rsidRPr="00583E1A">
        <w:t>However, if the 2 amounts are equal, it is the total debt amount.</w:t>
      </w:r>
    </w:p>
    <w:p w:rsidR="00887330" w:rsidRPr="00583E1A" w:rsidRDefault="00887330" w:rsidP="00887330">
      <w:pPr>
        <w:pStyle w:val="SubsectionHead"/>
      </w:pPr>
      <w:r w:rsidRPr="00583E1A">
        <w:t>Total debt amount</w:t>
      </w:r>
    </w:p>
    <w:p w:rsidR="00887330" w:rsidRPr="00583E1A" w:rsidRDefault="00887330" w:rsidP="00887330">
      <w:pPr>
        <w:pStyle w:val="subsection"/>
      </w:pPr>
      <w:r w:rsidRPr="00583E1A">
        <w:tab/>
        <w:t>(2)</w:t>
      </w:r>
      <w:r w:rsidRPr="00583E1A">
        <w:tab/>
        <w:t xml:space="preserve">The </w:t>
      </w:r>
      <w:r w:rsidRPr="00583E1A">
        <w:rPr>
          <w:b/>
          <w:i/>
        </w:rPr>
        <w:t>total debt amount</w:t>
      </w:r>
      <w:r w:rsidRPr="00583E1A">
        <w:t xml:space="preserve"> is the result of applying the method statement in this subsection.</w:t>
      </w:r>
    </w:p>
    <w:p w:rsidR="00887330" w:rsidRPr="00583E1A" w:rsidRDefault="00887330" w:rsidP="00887330">
      <w:pPr>
        <w:pStyle w:val="BoxHeadItalic"/>
        <w:keepNext/>
      </w:pPr>
      <w:r w:rsidRPr="00583E1A">
        <w:lastRenderedPageBreak/>
        <w:t>Method statement</w:t>
      </w:r>
    </w:p>
    <w:p w:rsidR="00887330" w:rsidRPr="00583E1A" w:rsidRDefault="00AE4F7F" w:rsidP="00887330">
      <w:pPr>
        <w:pStyle w:val="BoxStep"/>
      </w:pPr>
      <w:r w:rsidRPr="00583E1A">
        <w:rPr>
          <w:szCs w:val="22"/>
        </w:rPr>
        <w:t>Step 1.</w:t>
      </w:r>
      <w:r w:rsidR="00887330" w:rsidRPr="00583E1A">
        <w:tab/>
        <w:t xml:space="preserve">Work out the average value, for the income year, of all of the following assets of the entity (the </w:t>
      </w:r>
      <w:r w:rsidR="00887330" w:rsidRPr="00583E1A">
        <w:rPr>
          <w:b/>
          <w:i/>
        </w:rPr>
        <w:t>Australian investments</w:t>
      </w:r>
      <w:r w:rsidR="00887330" w:rsidRPr="00583E1A">
        <w:t>):</w:t>
      </w:r>
    </w:p>
    <w:p w:rsidR="00887330" w:rsidRPr="00583E1A" w:rsidRDefault="00887330" w:rsidP="00887330">
      <w:pPr>
        <w:pStyle w:val="BoxPara"/>
      </w:pPr>
      <w:r w:rsidRPr="00583E1A">
        <w:tab/>
        <w:t>(a)</w:t>
      </w:r>
      <w:r w:rsidRPr="00583E1A">
        <w:tab/>
        <w:t xml:space="preserve">assets that are attributable to the entity’s </w:t>
      </w:r>
      <w:r w:rsidR="00583E1A" w:rsidRPr="00583E1A">
        <w:rPr>
          <w:position w:val="6"/>
          <w:sz w:val="16"/>
        </w:rPr>
        <w:t>*</w:t>
      </w:r>
      <w:r w:rsidRPr="00583E1A">
        <w:t>Australian permanent establishments;</w:t>
      </w:r>
    </w:p>
    <w:p w:rsidR="00887330" w:rsidRPr="00583E1A" w:rsidRDefault="00887330" w:rsidP="00887330">
      <w:pPr>
        <w:pStyle w:val="BoxPara"/>
      </w:pPr>
      <w:r w:rsidRPr="00583E1A">
        <w:tab/>
        <w:t>(b)</w:t>
      </w:r>
      <w:r w:rsidRPr="00583E1A">
        <w:tab/>
        <w:t>other assets that are held for the purposes of producing the entity’s assessable income.</w:t>
      </w:r>
    </w:p>
    <w:p w:rsidR="00887330" w:rsidRPr="00583E1A" w:rsidRDefault="00AE4F7F" w:rsidP="00887330">
      <w:pPr>
        <w:pStyle w:val="BoxStep"/>
      </w:pPr>
      <w:r w:rsidRPr="00583E1A">
        <w:rPr>
          <w:szCs w:val="22"/>
        </w:rPr>
        <w:t>Step 1A.</w:t>
      </w:r>
      <w:r w:rsidR="00887330" w:rsidRPr="00583E1A">
        <w:tab/>
        <w:t xml:space="preserve">Reduce the result of step 1 by the average value, for that year, of all the </w:t>
      </w:r>
      <w:r w:rsidR="00583E1A" w:rsidRPr="00583E1A">
        <w:rPr>
          <w:position w:val="6"/>
          <w:sz w:val="16"/>
        </w:rPr>
        <w:t>*</w:t>
      </w:r>
      <w:r w:rsidR="00887330" w:rsidRPr="00583E1A">
        <w:t>excluded equity interests in the entity.</w:t>
      </w:r>
    </w:p>
    <w:p w:rsidR="00887330" w:rsidRPr="00583E1A" w:rsidRDefault="00AE4F7F" w:rsidP="00887330">
      <w:pPr>
        <w:pStyle w:val="BoxStep"/>
      </w:pPr>
      <w:r w:rsidRPr="00583E1A">
        <w:rPr>
          <w:szCs w:val="22"/>
        </w:rPr>
        <w:t>Step 2.</w:t>
      </w:r>
      <w:r w:rsidR="00887330" w:rsidRPr="00583E1A">
        <w:rPr>
          <w:i/>
        </w:rPr>
        <w:tab/>
      </w:r>
      <w:r w:rsidR="00887330" w:rsidRPr="00583E1A">
        <w:t xml:space="preserve">Reduce the result of step 1A by the average value, for that year, of all the </w:t>
      </w:r>
      <w:r w:rsidR="00583E1A" w:rsidRPr="00583E1A">
        <w:rPr>
          <w:position w:val="6"/>
          <w:sz w:val="16"/>
        </w:rPr>
        <w:t>*</w:t>
      </w:r>
      <w:r w:rsidR="00887330" w:rsidRPr="00583E1A">
        <w:t>associate entity debt of the entity that has arisen because of the Australian investments.</w:t>
      </w:r>
    </w:p>
    <w:p w:rsidR="00887330" w:rsidRPr="00583E1A" w:rsidRDefault="00AE4F7F" w:rsidP="00887330">
      <w:pPr>
        <w:pStyle w:val="BoxStep"/>
        <w:rPr>
          <w:i/>
        </w:rPr>
      </w:pPr>
      <w:r w:rsidRPr="00583E1A">
        <w:rPr>
          <w:szCs w:val="22"/>
        </w:rPr>
        <w:t>Step 3.</w:t>
      </w:r>
      <w:r w:rsidR="00887330" w:rsidRPr="00583E1A">
        <w:rPr>
          <w:i/>
        </w:rPr>
        <w:tab/>
      </w:r>
      <w:r w:rsidR="00887330" w:rsidRPr="00583E1A">
        <w:t xml:space="preserve">Reduce the result of step 2 by the average value, for that year, of all the </w:t>
      </w:r>
      <w:r w:rsidR="00583E1A" w:rsidRPr="00583E1A">
        <w:rPr>
          <w:position w:val="6"/>
          <w:sz w:val="16"/>
        </w:rPr>
        <w:t>*</w:t>
      </w:r>
      <w:r w:rsidR="00887330" w:rsidRPr="00583E1A">
        <w:t>associate entity equity of the entity that has arisen because of the Australian investments.</w:t>
      </w:r>
    </w:p>
    <w:p w:rsidR="00887330" w:rsidRPr="00583E1A" w:rsidRDefault="00AE4F7F" w:rsidP="00887330">
      <w:pPr>
        <w:pStyle w:val="BoxStep"/>
      </w:pPr>
      <w:r w:rsidRPr="00583E1A">
        <w:rPr>
          <w:szCs w:val="22"/>
        </w:rPr>
        <w:t>Step 4.</w:t>
      </w:r>
      <w:r w:rsidR="00887330" w:rsidRPr="00583E1A">
        <w:tab/>
        <w:t xml:space="preserve">Reduce the result of step 3 by the average value, for that year, of all the </w:t>
      </w:r>
      <w:r w:rsidR="00583E1A" w:rsidRPr="00583E1A">
        <w:rPr>
          <w:position w:val="6"/>
          <w:sz w:val="16"/>
        </w:rPr>
        <w:t>*</w:t>
      </w:r>
      <w:r w:rsidR="00887330" w:rsidRPr="00583E1A">
        <w:t>non</w:t>
      </w:r>
      <w:r w:rsidR="00583E1A">
        <w:noBreakHyphen/>
      </w:r>
      <w:r w:rsidR="00887330" w:rsidRPr="00583E1A">
        <w:t>debt liabilities of the entity that have arisen because of the Australian investments.</w:t>
      </w:r>
    </w:p>
    <w:p w:rsidR="00887330" w:rsidRPr="00583E1A" w:rsidRDefault="00AE4F7F" w:rsidP="00887330">
      <w:pPr>
        <w:pStyle w:val="BoxStep"/>
      </w:pPr>
      <w:r w:rsidRPr="00583E1A">
        <w:rPr>
          <w:szCs w:val="22"/>
        </w:rPr>
        <w:t>Step 5.</w:t>
      </w:r>
      <w:r w:rsidR="00887330" w:rsidRPr="00583E1A">
        <w:rPr>
          <w:i/>
        </w:rPr>
        <w:tab/>
      </w:r>
      <w:r w:rsidR="00887330" w:rsidRPr="00583E1A">
        <w:t xml:space="preserve">Reduce the result of step 4 by the average value, for that year, of the entity’s </w:t>
      </w:r>
      <w:r w:rsidR="00583E1A" w:rsidRPr="00583E1A">
        <w:rPr>
          <w:position w:val="6"/>
          <w:sz w:val="16"/>
        </w:rPr>
        <w:t>*</w:t>
      </w:r>
      <w:r w:rsidR="00887330" w:rsidRPr="00583E1A">
        <w:t>zero</w:t>
      </w:r>
      <w:r w:rsidR="00583E1A">
        <w:noBreakHyphen/>
      </w:r>
      <w:r w:rsidR="00887330" w:rsidRPr="00583E1A">
        <w:t>capital amount that has arisen because of the Australian investments. If the result of this step is a negative amount, it is taken to be nil.</w:t>
      </w:r>
    </w:p>
    <w:p w:rsidR="00887330" w:rsidRPr="00583E1A" w:rsidRDefault="00AE4F7F" w:rsidP="00887330">
      <w:pPr>
        <w:pStyle w:val="BoxStep"/>
      </w:pPr>
      <w:r w:rsidRPr="00583E1A">
        <w:rPr>
          <w:szCs w:val="22"/>
        </w:rPr>
        <w:t>Step 6.</w:t>
      </w:r>
      <w:r w:rsidR="00887330" w:rsidRPr="00583E1A">
        <w:tab/>
        <w:t xml:space="preserve">Multiply the result of step 5 by </w:t>
      </w:r>
      <w:r w:rsidR="00887330" w:rsidRPr="00583E1A">
        <w:rPr>
          <w:position w:val="6"/>
          <w:sz w:val="16"/>
        </w:rPr>
        <w:t>20</w:t>
      </w:r>
      <w:r w:rsidR="00887330" w:rsidRPr="00583E1A">
        <w:t>/</w:t>
      </w:r>
      <w:r w:rsidR="00887330" w:rsidRPr="00583E1A">
        <w:rPr>
          <w:sz w:val="16"/>
        </w:rPr>
        <w:t>21</w:t>
      </w:r>
      <w:r w:rsidR="00887330" w:rsidRPr="00583E1A">
        <w:t>.</w:t>
      </w:r>
    </w:p>
    <w:p w:rsidR="00887330" w:rsidRPr="00583E1A" w:rsidRDefault="00AE4F7F" w:rsidP="00887330">
      <w:pPr>
        <w:pStyle w:val="BoxStep"/>
      </w:pPr>
      <w:r w:rsidRPr="00583E1A">
        <w:rPr>
          <w:szCs w:val="22"/>
        </w:rPr>
        <w:t>Step 7.</w:t>
      </w:r>
      <w:r w:rsidR="00887330" w:rsidRPr="00583E1A">
        <w:rPr>
          <w:i/>
        </w:rPr>
        <w:tab/>
      </w:r>
      <w:r w:rsidR="00887330" w:rsidRPr="00583E1A">
        <w:t xml:space="preserve">Add to the result of step 6 the average value, for that year, of the entity’s </w:t>
      </w:r>
      <w:r w:rsidR="00583E1A" w:rsidRPr="00583E1A">
        <w:rPr>
          <w:position w:val="6"/>
          <w:sz w:val="16"/>
        </w:rPr>
        <w:t>*</w:t>
      </w:r>
      <w:r w:rsidR="00887330" w:rsidRPr="00583E1A">
        <w:t>zero</w:t>
      </w:r>
      <w:r w:rsidR="00583E1A">
        <w:noBreakHyphen/>
      </w:r>
      <w:r w:rsidR="00887330" w:rsidRPr="00583E1A">
        <w:t>capital amount that has arisen because of the Australian investments.</w:t>
      </w:r>
    </w:p>
    <w:p w:rsidR="00887330" w:rsidRPr="00583E1A" w:rsidRDefault="00AE4F7F" w:rsidP="00887330">
      <w:pPr>
        <w:pStyle w:val="BoxStep"/>
        <w:rPr>
          <w:i/>
        </w:rPr>
      </w:pPr>
      <w:r w:rsidRPr="00583E1A">
        <w:rPr>
          <w:szCs w:val="22"/>
        </w:rPr>
        <w:lastRenderedPageBreak/>
        <w:t>Step 8.</w:t>
      </w:r>
      <w:r w:rsidR="00887330" w:rsidRPr="00583E1A">
        <w:tab/>
        <w:t xml:space="preserve">Add to the result of step 7 the average value, for that year, of the entity’s </w:t>
      </w:r>
      <w:r w:rsidR="00583E1A" w:rsidRPr="00583E1A">
        <w:rPr>
          <w:position w:val="6"/>
          <w:sz w:val="16"/>
        </w:rPr>
        <w:t>*</w:t>
      </w:r>
      <w:r w:rsidR="00887330" w:rsidRPr="00583E1A">
        <w:t xml:space="preserve">associate entity excess amount. The result of this step is the </w:t>
      </w:r>
      <w:r w:rsidR="00887330" w:rsidRPr="00583E1A">
        <w:rPr>
          <w:b/>
          <w:i/>
        </w:rPr>
        <w:t>total debt amount</w:t>
      </w:r>
      <w:r w:rsidR="00887330" w:rsidRPr="00583E1A">
        <w:t>.</w:t>
      </w:r>
    </w:p>
    <w:p w:rsidR="00887330" w:rsidRPr="00583E1A" w:rsidRDefault="00887330" w:rsidP="00887330">
      <w:pPr>
        <w:pStyle w:val="notetext"/>
      </w:pPr>
      <w:r w:rsidRPr="00583E1A">
        <w:t>Example:</w:t>
      </w:r>
      <w:r w:rsidRPr="00583E1A">
        <w:tab/>
        <w:t>FXS Financial SA is a company that is not an Australian entity. The average value of its Australian investments is $120 million.</w:t>
      </w:r>
    </w:p>
    <w:p w:rsidR="00887330" w:rsidRPr="00583E1A" w:rsidRDefault="00887330" w:rsidP="00887330">
      <w:pPr>
        <w:pStyle w:val="notetext"/>
      </w:pPr>
      <w:r w:rsidRPr="00583E1A">
        <w:tab/>
        <w:t>The average value of its relevant associate entity debt, associate entity equity, non</w:t>
      </w:r>
      <w:r w:rsidR="00583E1A">
        <w:noBreakHyphen/>
      </w:r>
      <w:r w:rsidRPr="00583E1A">
        <w:t>debt liabilities and zero</w:t>
      </w:r>
      <w:r w:rsidR="00583E1A">
        <w:noBreakHyphen/>
      </w:r>
      <w:r w:rsidRPr="00583E1A">
        <w:t xml:space="preserve">capital amount are $5 million, $2 million, $3 million and $5 million respectively. Deducting those amounts from the result of step 1 (through applying steps 2 to 5) leaves $105 million. Multiplying $105 million by </w:t>
      </w:r>
      <w:r w:rsidRPr="00583E1A">
        <w:rPr>
          <w:position w:val="4"/>
          <w:sz w:val="14"/>
        </w:rPr>
        <w:t>20</w:t>
      </w:r>
      <w:r w:rsidRPr="00583E1A">
        <w:t>/</w:t>
      </w:r>
      <w:r w:rsidRPr="00583E1A">
        <w:rPr>
          <w:sz w:val="14"/>
        </w:rPr>
        <w:t>21</w:t>
      </w:r>
      <w:r w:rsidRPr="00583E1A">
        <w:t xml:space="preserve"> results in $100 million. Adding the average zero</w:t>
      </w:r>
      <w:r w:rsidR="00583E1A">
        <w:noBreakHyphen/>
      </w:r>
      <w:r w:rsidRPr="00583E1A">
        <w:t>capital amount of $5 million results in $105 million. As the company does not have any associate entity excess amount, the total debt amount is therefore $105 million.</w:t>
      </w:r>
    </w:p>
    <w:p w:rsidR="00887330" w:rsidRPr="00583E1A" w:rsidRDefault="00887330" w:rsidP="00887330">
      <w:pPr>
        <w:pStyle w:val="SubsectionHead"/>
      </w:pPr>
      <w:r w:rsidRPr="00583E1A">
        <w:t>Adjusted on</w:t>
      </w:r>
      <w:r w:rsidR="00583E1A">
        <w:noBreakHyphen/>
      </w:r>
      <w:r w:rsidRPr="00583E1A">
        <w:t>lent amount</w:t>
      </w:r>
    </w:p>
    <w:p w:rsidR="00887330" w:rsidRPr="00583E1A" w:rsidRDefault="00887330" w:rsidP="00887330">
      <w:pPr>
        <w:pStyle w:val="subsection"/>
      </w:pPr>
      <w:r w:rsidRPr="00583E1A">
        <w:tab/>
        <w:t>(3)</w:t>
      </w:r>
      <w:r w:rsidRPr="00583E1A">
        <w:tab/>
        <w:t xml:space="preserve">The </w:t>
      </w:r>
      <w:r w:rsidRPr="00583E1A">
        <w:rPr>
          <w:b/>
          <w:i/>
        </w:rPr>
        <w:t>adjusted on</w:t>
      </w:r>
      <w:r w:rsidR="00583E1A">
        <w:rPr>
          <w:b/>
          <w:i/>
        </w:rPr>
        <w:noBreakHyphen/>
      </w:r>
      <w:r w:rsidRPr="00583E1A">
        <w:rPr>
          <w:b/>
          <w:i/>
        </w:rPr>
        <w:t>lent amount</w:t>
      </w:r>
      <w:r w:rsidRPr="00583E1A">
        <w:t xml:space="preserve"> is the result of applying the method statement in this subsection.</w:t>
      </w:r>
    </w:p>
    <w:p w:rsidR="00887330" w:rsidRPr="00583E1A" w:rsidRDefault="00887330" w:rsidP="00887330">
      <w:pPr>
        <w:pStyle w:val="BoxHeadItalic"/>
        <w:keepNext/>
        <w:keepLines/>
      </w:pPr>
      <w:r w:rsidRPr="00583E1A">
        <w:t>Method statement</w:t>
      </w:r>
    </w:p>
    <w:p w:rsidR="00887330" w:rsidRPr="00583E1A" w:rsidRDefault="00AE4F7F" w:rsidP="00887330">
      <w:pPr>
        <w:pStyle w:val="BoxStep"/>
      </w:pPr>
      <w:r w:rsidRPr="00583E1A">
        <w:rPr>
          <w:szCs w:val="22"/>
        </w:rPr>
        <w:t>Step 1.</w:t>
      </w:r>
      <w:r w:rsidR="00887330" w:rsidRPr="00583E1A">
        <w:tab/>
        <w:t xml:space="preserve">Work out the average value, for the income year, of all of the following assets of the entity (the </w:t>
      </w:r>
      <w:r w:rsidR="00887330" w:rsidRPr="00583E1A">
        <w:rPr>
          <w:b/>
          <w:i/>
        </w:rPr>
        <w:t>Australian investments</w:t>
      </w:r>
      <w:r w:rsidR="00887330" w:rsidRPr="00583E1A">
        <w:t>):</w:t>
      </w:r>
    </w:p>
    <w:p w:rsidR="00887330" w:rsidRPr="00583E1A" w:rsidRDefault="00887330" w:rsidP="00887330">
      <w:pPr>
        <w:pStyle w:val="BoxPara"/>
      </w:pPr>
      <w:r w:rsidRPr="00583E1A">
        <w:tab/>
        <w:t>(a)</w:t>
      </w:r>
      <w:r w:rsidRPr="00583E1A">
        <w:tab/>
        <w:t xml:space="preserve">assets that are attributable to the entity’s </w:t>
      </w:r>
      <w:r w:rsidR="00583E1A" w:rsidRPr="00583E1A">
        <w:rPr>
          <w:position w:val="6"/>
          <w:sz w:val="16"/>
        </w:rPr>
        <w:t>*</w:t>
      </w:r>
      <w:r w:rsidRPr="00583E1A">
        <w:t>Australian permanent establishments;</w:t>
      </w:r>
    </w:p>
    <w:p w:rsidR="00887330" w:rsidRPr="00583E1A" w:rsidRDefault="00887330" w:rsidP="00887330">
      <w:pPr>
        <w:pStyle w:val="BoxPara"/>
      </w:pPr>
      <w:r w:rsidRPr="00583E1A">
        <w:tab/>
        <w:t>(b)</w:t>
      </w:r>
      <w:r w:rsidRPr="00583E1A">
        <w:tab/>
        <w:t>other assets that are held for the purposes of producing the entity’s assessable income.</w:t>
      </w:r>
    </w:p>
    <w:p w:rsidR="00887330" w:rsidRPr="00583E1A" w:rsidRDefault="00AE4F7F" w:rsidP="00887330">
      <w:pPr>
        <w:pStyle w:val="BoxStep"/>
      </w:pPr>
      <w:r w:rsidRPr="00583E1A">
        <w:rPr>
          <w:szCs w:val="22"/>
        </w:rPr>
        <w:t>Step 1A.</w:t>
      </w:r>
      <w:r w:rsidR="00887330" w:rsidRPr="00583E1A">
        <w:tab/>
        <w:t xml:space="preserve">Reduce the result of step 1 by the average value, for that year, of all the </w:t>
      </w:r>
      <w:r w:rsidR="00583E1A" w:rsidRPr="00583E1A">
        <w:rPr>
          <w:position w:val="6"/>
          <w:sz w:val="16"/>
        </w:rPr>
        <w:t>*</w:t>
      </w:r>
      <w:r w:rsidR="00887330" w:rsidRPr="00583E1A">
        <w:t>excluded equity interests in the entity.</w:t>
      </w:r>
    </w:p>
    <w:p w:rsidR="00887330" w:rsidRPr="00583E1A" w:rsidRDefault="00AE4F7F" w:rsidP="00887330">
      <w:pPr>
        <w:pStyle w:val="BoxStep"/>
        <w:rPr>
          <w:i/>
        </w:rPr>
      </w:pPr>
      <w:r w:rsidRPr="00583E1A">
        <w:rPr>
          <w:szCs w:val="22"/>
        </w:rPr>
        <w:t>Step 2.</w:t>
      </w:r>
      <w:r w:rsidR="00887330" w:rsidRPr="00583E1A">
        <w:rPr>
          <w:i/>
        </w:rPr>
        <w:tab/>
      </w:r>
      <w:r w:rsidR="00887330" w:rsidRPr="00583E1A">
        <w:t xml:space="preserve">Reduce the result of step 1A by the average value, for that year, of all the </w:t>
      </w:r>
      <w:r w:rsidR="00583E1A" w:rsidRPr="00583E1A">
        <w:rPr>
          <w:position w:val="6"/>
          <w:sz w:val="16"/>
        </w:rPr>
        <w:t>*</w:t>
      </w:r>
      <w:r w:rsidR="00887330" w:rsidRPr="00583E1A">
        <w:t>associate entity equity of the entity that has arisen because of the Australian investments.</w:t>
      </w:r>
    </w:p>
    <w:p w:rsidR="00887330" w:rsidRPr="00583E1A" w:rsidRDefault="00AE4F7F" w:rsidP="00887330">
      <w:pPr>
        <w:pStyle w:val="BoxStep"/>
      </w:pPr>
      <w:r w:rsidRPr="00583E1A">
        <w:rPr>
          <w:szCs w:val="22"/>
        </w:rPr>
        <w:lastRenderedPageBreak/>
        <w:t>Step 3.</w:t>
      </w:r>
      <w:r w:rsidR="00887330" w:rsidRPr="00583E1A">
        <w:tab/>
        <w:t xml:space="preserve">Reduce the result of step 2 by the average value, for that year, of all the </w:t>
      </w:r>
      <w:r w:rsidR="00583E1A" w:rsidRPr="00583E1A">
        <w:rPr>
          <w:position w:val="6"/>
          <w:sz w:val="16"/>
        </w:rPr>
        <w:t>*</w:t>
      </w:r>
      <w:r w:rsidR="00887330" w:rsidRPr="00583E1A">
        <w:t>non</w:t>
      </w:r>
      <w:r w:rsidR="00583E1A">
        <w:noBreakHyphen/>
      </w:r>
      <w:r w:rsidR="00887330" w:rsidRPr="00583E1A">
        <w:t>debt liabilities of the entity that has arisen because of the Australian investments.</w:t>
      </w:r>
    </w:p>
    <w:p w:rsidR="00887330" w:rsidRPr="00583E1A" w:rsidRDefault="00AE4F7F" w:rsidP="00887330">
      <w:pPr>
        <w:pStyle w:val="BoxStep"/>
      </w:pPr>
      <w:r w:rsidRPr="00583E1A">
        <w:rPr>
          <w:szCs w:val="22"/>
        </w:rPr>
        <w:t>Step 4.</w:t>
      </w:r>
      <w:r w:rsidR="00887330" w:rsidRPr="00583E1A">
        <w:tab/>
        <w:t xml:space="preserve">Reduce the result of step 3 by the amount (the </w:t>
      </w:r>
      <w:r w:rsidR="00887330" w:rsidRPr="00583E1A">
        <w:rPr>
          <w:b/>
          <w:i/>
        </w:rPr>
        <w:t>average on</w:t>
      </w:r>
      <w:r w:rsidR="00583E1A">
        <w:rPr>
          <w:b/>
          <w:i/>
        </w:rPr>
        <w:noBreakHyphen/>
      </w:r>
      <w:r w:rsidR="00887330" w:rsidRPr="00583E1A">
        <w:rPr>
          <w:b/>
          <w:i/>
        </w:rPr>
        <w:t>lent amount</w:t>
      </w:r>
      <w:r w:rsidR="00887330" w:rsidRPr="00583E1A">
        <w:t xml:space="preserve">) which is the average value, for that year, of the </w:t>
      </w:r>
      <w:r w:rsidR="00583E1A" w:rsidRPr="00583E1A">
        <w:rPr>
          <w:position w:val="6"/>
          <w:sz w:val="16"/>
        </w:rPr>
        <w:t>*</w:t>
      </w:r>
      <w:r w:rsidR="00887330" w:rsidRPr="00583E1A">
        <w:t>on</w:t>
      </w:r>
      <w:r w:rsidR="00583E1A">
        <w:noBreakHyphen/>
      </w:r>
      <w:r w:rsidR="00887330" w:rsidRPr="00583E1A">
        <w:t>lent amount of the entity (to the extent that it is the value of all or a part of the Australian investments). If the result of this step is a negative amount, it is taken to be nil.</w:t>
      </w:r>
    </w:p>
    <w:p w:rsidR="00887330" w:rsidRPr="00583E1A" w:rsidRDefault="00AE4F7F" w:rsidP="00887330">
      <w:pPr>
        <w:pStyle w:val="BoxStep"/>
      </w:pPr>
      <w:r w:rsidRPr="00583E1A">
        <w:rPr>
          <w:szCs w:val="22"/>
        </w:rPr>
        <w:t>Step 5.</w:t>
      </w:r>
      <w:r w:rsidR="00887330" w:rsidRPr="00583E1A">
        <w:tab/>
        <w:t xml:space="preserve">Multiply the result of step 4 by </w:t>
      </w:r>
      <w:r w:rsidR="00887330" w:rsidRPr="00583E1A">
        <w:rPr>
          <w:position w:val="6"/>
          <w:sz w:val="16"/>
        </w:rPr>
        <w:t>3</w:t>
      </w:r>
      <w:r w:rsidR="00887330" w:rsidRPr="00583E1A">
        <w:t>/</w:t>
      </w:r>
      <w:r w:rsidR="00887330" w:rsidRPr="00583E1A">
        <w:rPr>
          <w:sz w:val="16"/>
        </w:rPr>
        <w:t>4</w:t>
      </w:r>
      <w:r w:rsidR="00887330" w:rsidRPr="00583E1A">
        <w:t>.</w:t>
      </w:r>
    </w:p>
    <w:p w:rsidR="00887330" w:rsidRPr="00583E1A" w:rsidRDefault="00AE4F7F" w:rsidP="00887330">
      <w:pPr>
        <w:pStyle w:val="BoxStep"/>
      </w:pPr>
      <w:r w:rsidRPr="00583E1A">
        <w:rPr>
          <w:szCs w:val="22"/>
        </w:rPr>
        <w:t>Step 6.</w:t>
      </w:r>
      <w:r w:rsidR="00887330" w:rsidRPr="00583E1A">
        <w:tab/>
        <w:t>Add to the result of step 5 the average on</w:t>
      </w:r>
      <w:r w:rsidR="00583E1A">
        <w:noBreakHyphen/>
      </w:r>
      <w:r w:rsidR="00887330" w:rsidRPr="00583E1A">
        <w:t>lent amount.</w:t>
      </w:r>
    </w:p>
    <w:p w:rsidR="00887330" w:rsidRPr="00583E1A" w:rsidRDefault="00AE4F7F" w:rsidP="00887330">
      <w:pPr>
        <w:pStyle w:val="BoxStep"/>
        <w:keepNext/>
      </w:pPr>
      <w:r w:rsidRPr="00583E1A">
        <w:rPr>
          <w:szCs w:val="22"/>
        </w:rPr>
        <w:t>Step 7.</w:t>
      </w:r>
      <w:r w:rsidR="00887330" w:rsidRPr="00583E1A">
        <w:rPr>
          <w:i/>
        </w:rPr>
        <w:tab/>
      </w:r>
      <w:r w:rsidR="00887330" w:rsidRPr="00583E1A">
        <w:t xml:space="preserve">Reduce the result of step 6 by the average value, for that year, of all the </w:t>
      </w:r>
      <w:r w:rsidR="00583E1A" w:rsidRPr="00583E1A">
        <w:rPr>
          <w:position w:val="6"/>
          <w:sz w:val="16"/>
        </w:rPr>
        <w:t>*</w:t>
      </w:r>
      <w:r w:rsidR="00887330" w:rsidRPr="00583E1A">
        <w:t>associate entity debt of the entity that has arisen because of the Australian investments. If the result of this step is a negative amount, it is taken to be nil.</w:t>
      </w:r>
    </w:p>
    <w:p w:rsidR="00887330" w:rsidRPr="00583E1A" w:rsidRDefault="00AE4F7F" w:rsidP="00887330">
      <w:pPr>
        <w:pStyle w:val="BoxStep"/>
      </w:pPr>
      <w:r w:rsidRPr="00583E1A">
        <w:rPr>
          <w:szCs w:val="22"/>
        </w:rPr>
        <w:t>Step 8.</w:t>
      </w:r>
      <w:r w:rsidR="00887330" w:rsidRPr="00583E1A">
        <w:tab/>
        <w:t xml:space="preserve">Add to the result of step 7 the average value, for that year, of the entity’s </w:t>
      </w:r>
      <w:r w:rsidR="00583E1A" w:rsidRPr="00583E1A">
        <w:rPr>
          <w:position w:val="6"/>
          <w:sz w:val="16"/>
        </w:rPr>
        <w:t>*</w:t>
      </w:r>
      <w:r w:rsidR="00887330" w:rsidRPr="00583E1A">
        <w:t xml:space="preserve">associate entity excess amount. The result of this step is the </w:t>
      </w:r>
      <w:r w:rsidR="00887330" w:rsidRPr="00583E1A">
        <w:rPr>
          <w:b/>
          <w:i/>
        </w:rPr>
        <w:t>adjusted on</w:t>
      </w:r>
      <w:r w:rsidR="00583E1A">
        <w:rPr>
          <w:b/>
          <w:i/>
        </w:rPr>
        <w:noBreakHyphen/>
      </w:r>
      <w:r w:rsidR="00887330" w:rsidRPr="00583E1A">
        <w:rPr>
          <w:b/>
          <w:i/>
        </w:rPr>
        <w:t>lent amount</w:t>
      </w:r>
      <w:r w:rsidR="00887330" w:rsidRPr="00583E1A">
        <w:t>.</w:t>
      </w:r>
    </w:p>
    <w:p w:rsidR="00887330" w:rsidRPr="00583E1A" w:rsidRDefault="00887330" w:rsidP="00887330">
      <w:pPr>
        <w:pStyle w:val="notetext"/>
      </w:pPr>
      <w:r w:rsidRPr="00583E1A">
        <w:t>Example:</w:t>
      </w:r>
      <w:r w:rsidRPr="00583E1A">
        <w:tab/>
        <w:t>FXS Financial SA is a company that is not an Australian entity. The average value of its Australian investments is $120 million.</w:t>
      </w:r>
    </w:p>
    <w:p w:rsidR="00887330" w:rsidRPr="00583E1A" w:rsidRDefault="00887330" w:rsidP="00887330">
      <w:pPr>
        <w:pStyle w:val="notetext"/>
      </w:pPr>
      <w:r w:rsidRPr="00583E1A">
        <w:tab/>
        <w:t>The average value of its relevant associate entity equity, non</w:t>
      </w:r>
      <w:r w:rsidR="00583E1A">
        <w:noBreakHyphen/>
      </w:r>
      <w:r w:rsidRPr="00583E1A">
        <w:t>debt liabilities and on</w:t>
      </w:r>
      <w:r w:rsidR="00583E1A">
        <w:noBreakHyphen/>
      </w:r>
      <w:r w:rsidRPr="00583E1A">
        <w:t xml:space="preserve">lent amount are $2 million, $3 million and $35 million respectively. Deducting those amounts from the result of step 1 (through applying steps 2 to 4) leaves $80 million. Multiplying $80 million by </w:t>
      </w:r>
      <w:r w:rsidRPr="00583E1A">
        <w:rPr>
          <w:position w:val="4"/>
          <w:sz w:val="14"/>
        </w:rPr>
        <w:t>3</w:t>
      </w:r>
      <w:r w:rsidRPr="00583E1A">
        <w:t>/</w:t>
      </w:r>
      <w:r w:rsidRPr="00583E1A">
        <w:rPr>
          <w:sz w:val="14"/>
        </w:rPr>
        <w:t>4</w:t>
      </w:r>
      <w:r w:rsidRPr="00583E1A">
        <w:t xml:space="preserve"> results in $60 million. Adding the average on</w:t>
      </w:r>
      <w:r w:rsidR="00583E1A">
        <w:noBreakHyphen/>
      </w:r>
      <w:r w:rsidRPr="00583E1A">
        <w:t>lent amount of $35 million results in $95 million. Reducing the result of step 6 by the associate entity debt amount of $5 million results in $90 million. As the company does not have any associate entity excess amount, the adjusted on</w:t>
      </w:r>
      <w:r w:rsidR="00583E1A">
        <w:noBreakHyphen/>
      </w:r>
      <w:r w:rsidRPr="00583E1A">
        <w:t>lent amount is therefore $90 million.</w:t>
      </w:r>
    </w:p>
    <w:p w:rsidR="00887330" w:rsidRPr="00583E1A" w:rsidRDefault="00887330" w:rsidP="00887330">
      <w:pPr>
        <w:pStyle w:val="ActHead5"/>
      </w:pPr>
      <w:bookmarkStart w:id="204" w:name="_Toc338939278"/>
      <w:r w:rsidRPr="00583E1A">
        <w:rPr>
          <w:rStyle w:val="CharSectno"/>
        </w:rPr>
        <w:t>820</w:t>
      </w:r>
      <w:r w:rsidR="00583E1A">
        <w:rPr>
          <w:rStyle w:val="CharSectno"/>
        </w:rPr>
        <w:noBreakHyphen/>
      </w:r>
      <w:r w:rsidRPr="00583E1A">
        <w:rPr>
          <w:rStyle w:val="CharSectno"/>
        </w:rPr>
        <w:t>215</w:t>
      </w:r>
      <w:r w:rsidRPr="00583E1A">
        <w:t xml:space="preserve">  Arm’s length debt amount</w:t>
      </w:r>
      <w:bookmarkEnd w:id="204"/>
    </w:p>
    <w:p w:rsidR="00887330" w:rsidRPr="00583E1A" w:rsidRDefault="00887330" w:rsidP="00887330">
      <w:pPr>
        <w:pStyle w:val="subsection"/>
      </w:pPr>
      <w:r w:rsidRPr="00583E1A">
        <w:tab/>
        <w:t>(1)</w:t>
      </w:r>
      <w:r w:rsidRPr="00583E1A">
        <w:tab/>
        <w:t xml:space="preserve">The </w:t>
      </w:r>
      <w:r w:rsidRPr="00583E1A">
        <w:rPr>
          <w:b/>
          <w:i/>
        </w:rPr>
        <w:t>arm’s length debt amount</w:t>
      </w:r>
      <w:r w:rsidRPr="00583E1A">
        <w:t xml:space="preserve"> is a notional amount that, having regard to the factual assumptions set out in </w:t>
      </w:r>
      <w:r w:rsidR="00583E1A">
        <w:t>subsection (</w:t>
      </w:r>
      <w:r w:rsidRPr="00583E1A">
        <w:t xml:space="preserve">2) and the relevant factors mentioned in </w:t>
      </w:r>
      <w:r w:rsidR="00583E1A">
        <w:t>subsection (</w:t>
      </w:r>
      <w:r w:rsidRPr="00583E1A">
        <w:t xml:space="preserve">3), would satisfy both </w:t>
      </w:r>
      <w:r w:rsidR="00583E1A">
        <w:t>paragraphs (</w:t>
      </w:r>
      <w:r w:rsidRPr="00583E1A">
        <w:t>a) and (b):</w:t>
      </w:r>
    </w:p>
    <w:p w:rsidR="00887330" w:rsidRPr="00583E1A" w:rsidRDefault="00887330" w:rsidP="00887330">
      <w:pPr>
        <w:pStyle w:val="paragraph"/>
      </w:pPr>
      <w:r w:rsidRPr="00583E1A">
        <w:lastRenderedPageBreak/>
        <w:tab/>
        <w:t>(a)</w:t>
      </w:r>
      <w:r w:rsidRPr="00583E1A">
        <w:tab/>
        <w:t xml:space="preserve">the amount represents a notional amount of </w:t>
      </w:r>
      <w:r w:rsidR="00583E1A" w:rsidRPr="00583E1A">
        <w:rPr>
          <w:position w:val="6"/>
          <w:sz w:val="16"/>
        </w:rPr>
        <w:t>*</w:t>
      </w:r>
      <w:r w:rsidRPr="00583E1A">
        <w:t>debt capital that:</w:t>
      </w:r>
    </w:p>
    <w:p w:rsidR="00887330" w:rsidRPr="00583E1A" w:rsidRDefault="00887330" w:rsidP="00887330">
      <w:pPr>
        <w:pStyle w:val="paragraphsub"/>
      </w:pPr>
      <w:r w:rsidRPr="00583E1A">
        <w:tab/>
        <w:t>(i)</w:t>
      </w:r>
      <w:r w:rsidRPr="00583E1A">
        <w:tab/>
        <w:t>the entity would reasonably be expected to have throughout the income year; and</w:t>
      </w:r>
    </w:p>
    <w:p w:rsidR="00887330" w:rsidRPr="00583E1A" w:rsidRDefault="00887330" w:rsidP="00887330">
      <w:pPr>
        <w:pStyle w:val="paragraphsub"/>
      </w:pPr>
      <w:r w:rsidRPr="00583E1A">
        <w:tab/>
        <w:t>(ii)</w:t>
      </w:r>
      <w:r w:rsidRPr="00583E1A">
        <w:tab/>
        <w:t xml:space="preserve">would give rise to an amount of </w:t>
      </w:r>
      <w:r w:rsidR="00583E1A" w:rsidRPr="00583E1A">
        <w:rPr>
          <w:position w:val="6"/>
          <w:sz w:val="16"/>
        </w:rPr>
        <w:t>*</w:t>
      </w:r>
      <w:r w:rsidRPr="00583E1A">
        <w:t>debt deductions of the entity for that or any other income year; and</w:t>
      </w:r>
    </w:p>
    <w:p w:rsidR="00887330" w:rsidRPr="00583E1A" w:rsidRDefault="00887330" w:rsidP="00887330">
      <w:pPr>
        <w:pStyle w:val="paragraphsub"/>
      </w:pPr>
      <w:r w:rsidRPr="00583E1A">
        <w:tab/>
        <w:t>(iii)</w:t>
      </w:r>
      <w:r w:rsidRPr="00583E1A">
        <w:tab/>
        <w:t xml:space="preserve">would be attributable to the entity’s Australian business as mentioned in </w:t>
      </w:r>
      <w:r w:rsidR="00583E1A">
        <w:t>subsection (</w:t>
      </w:r>
      <w:r w:rsidRPr="00583E1A">
        <w:t>2);</w:t>
      </w:r>
    </w:p>
    <w:p w:rsidR="00887330" w:rsidRPr="00583E1A" w:rsidRDefault="00887330" w:rsidP="00887330">
      <w:pPr>
        <w:pStyle w:val="paragraph"/>
      </w:pPr>
      <w:r w:rsidRPr="00583E1A">
        <w:tab/>
        <w:t>(b)</w:t>
      </w:r>
      <w:r w:rsidRPr="00583E1A">
        <w:tab/>
        <w:t xml:space="preserve">commercial lending institutions that were not </w:t>
      </w:r>
      <w:r w:rsidR="00583E1A" w:rsidRPr="00583E1A">
        <w:rPr>
          <w:position w:val="6"/>
          <w:sz w:val="16"/>
        </w:rPr>
        <w:t>*</w:t>
      </w:r>
      <w:r w:rsidRPr="00583E1A">
        <w:t xml:space="preserve">associates of the entity (the </w:t>
      </w:r>
      <w:r w:rsidRPr="00583E1A">
        <w:rPr>
          <w:b/>
          <w:i/>
        </w:rPr>
        <w:t>notional lenders</w:t>
      </w:r>
      <w:r w:rsidRPr="00583E1A">
        <w:t xml:space="preserve">) would reasonably be expected to have entered into </w:t>
      </w:r>
      <w:r w:rsidR="00583E1A" w:rsidRPr="00583E1A">
        <w:rPr>
          <w:position w:val="6"/>
          <w:sz w:val="16"/>
        </w:rPr>
        <w:t>*</w:t>
      </w:r>
      <w:r w:rsidRPr="00583E1A">
        <w:t>schemes that would:</w:t>
      </w:r>
    </w:p>
    <w:p w:rsidR="00887330" w:rsidRPr="00583E1A" w:rsidRDefault="00887330" w:rsidP="00887330">
      <w:pPr>
        <w:pStyle w:val="paragraphsub"/>
      </w:pPr>
      <w:r w:rsidRPr="00583E1A">
        <w:tab/>
        <w:t>(i)</w:t>
      </w:r>
      <w:r w:rsidRPr="00583E1A">
        <w:tab/>
        <w:t xml:space="preserve">give rise to </w:t>
      </w:r>
      <w:r w:rsidR="00583E1A" w:rsidRPr="00583E1A">
        <w:rPr>
          <w:position w:val="6"/>
          <w:sz w:val="16"/>
        </w:rPr>
        <w:t>*</w:t>
      </w:r>
      <w:r w:rsidRPr="00583E1A">
        <w:t>debt interests that constituted that notional amount of debt capital of the entity; and</w:t>
      </w:r>
    </w:p>
    <w:p w:rsidR="00887330" w:rsidRPr="00583E1A" w:rsidRDefault="00887330" w:rsidP="00887330">
      <w:pPr>
        <w:pStyle w:val="paragraphsub"/>
      </w:pPr>
      <w:r w:rsidRPr="00583E1A">
        <w:tab/>
        <w:t>(ii)</w:t>
      </w:r>
      <w:r w:rsidRPr="00583E1A">
        <w:tab/>
        <w:t xml:space="preserve">provide for terms and conditions for the debt interests that would reasonably be expected to have applied if the entity and the notional lenders had been dealing at arm’s length with each other throughout the income year mentioned in </w:t>
      </w:r>
      <w:r w:rsidR="00583E1A">
        <w:t>subparagraph (</w:t>
      </w:r>
      <w:r w:rsidRPr="00583E1A">
        <w:t>1)(a)(i).</w:t>
      </w:r>
    </w:p>
    <w:p w:rsidR="00887330" w:rsidRPr="00583E1A" w:rsidRDefault="00887330" w:rsidP="00887330">
      <w:pPr>
        <w:pStyle w:val="notetext"/>
      </w:pPr>
      <w:r w:rsidRPr="00583E1A">
        <w:t>Note:</w:t>
      </w:r>
      <w:r w:rsidRPr="00583E1A">
        <w:tab/>
        <w:t>The entity must keep records in accordance with section</w:t>
      </w:r>
      <w:r w:rsidR="00583E1A">
        <w:t> </w:t>
      </w:r>
      <w:r w:rsidRPr="00583E1A">
        <w:t>820</w:t>
      </w:r>
      <w:r w:rsidR="00583E1A">
        <w:noBreakHyphen/>
      </w:r>
      <w:r w:rsidRPr="00583E1A">
        <w:t>980 if the entity works out an amount under this section.</w:t>
      </w:r>
    </w:p>
    <w:p w:rsidR="00887330" w:rsidRPr="00583E1A" w:rsidRDefault="00887330" w:rsidP="00887330">
      <w:pPr>
        <w:pStyle w:val="SubsectionHead"/>
      </w:pPr>
      <w:r w:rsidRPr="00583E1A">
        <w:t>Factual assumptions</w:t>
      </w:r>
    </w:p>
    <w:p w:rsidR="00887330" w:rsidRPr="00583E1A" w:rsidRDefault="00887330" w:rsidP="00887330">
      <w:pPr>
        <w:pStyle w:val="subsection"/>
      </w:pPr>
      <w:r w:rsidRPr="00583E1A">
        <w:tab/>
        <w:t>(2)</w:t>
      </w:r>
      <w:r w:rsidRPr="00583E1A">
        <w:tab/>
        <w:t>Irrespective of what actually happened during that year, the following assumptions must be made in working out that amount:</w:t>
      </w:r>
    </w:p>
    <w:p w:rsidR="00887330" w:rsidRPr="00583E1A" w:rsidRDefault="00887330" w:rsidP="00887330">
      <w:pPr>
        <w:pStyle w:val="paragraph"/>
      </w:pPr>
      <w:r w:rsidRPr="00583E1A">
        <w:tab/>
        <w:t>(a)</w:t>
      </w:r>
      <w:r w:rsidRPr="00583E1A">
        <w:tab/>
        <w:t xml:space="preserve">the entity’s commercial activities in connection with </w:t>
      </w:r>
      <w:smartTag w:uri="urn:schemas-microsoft-com:office:smarttags" w:element="country-region">
        <w:smartTag w:uri="urn:schemas-microsoft-com:office:smarttags" w:element="place">
          <w:r w:rsidRPr="00583E1A">
            <w:t>Australia</w:t>
          </w:r>
        </w:smartTag>
      </w:smartTag>
      <w:r w:rsidRPr="00583E1A">
        <w:t xml:space="preserve"> (the </w:t>
      </w:r>
      <w:r w:rsidRPr="00583E1A">
        <w:rPr>
          <w:b/>
          <w:i/>
        </w:rPr>
        <w:t>Australian business</w:t>
      </w:r>
      <w:r w:rsidRPr="00583E1A">
        <w:t>) during that year:</w:t>
      </w:r>
    </w:p>
    <w:p w:rsidR="00887330" w:rsidRPr="00583E1A" w:rsidRDefault="00887330" w:rsidP="00887330">
      <w:pPr>
        <w:pStyle w:val="paragraphsub"/>
      </w:pPr>
      <w:r w:rsidRPr="00583E1A">
        <w:tab/>
        <w:t>(i)</w:t>
      </w:r>
      <w:r w:rsidRPr="00583E1A">
        <w:tab/>
        <w:t xml:space="preserve">if the entity is an </w:t>
      </w:r>
      <w:r w:rsidR="00583E1A" w:rsidRPr="00583E1A">
        <w:rPr>
          <w:position w:val="6"/>
          <w:sz w:val="16"/>
        </w:rPr>
        <w:t>*</w:t>
      </w:r>
      <w:r w:rsidRPr="00583E1A">
        <w:t xml:space="preserve">inward investment vehicle (general) or </w:t>
      </w:r>
      <w:r w:rsidR="00583E1A" w:rsidRPr="00583E1A">
        <w:rPr>
          <w:position w:val="6"/>
          <w:sz w:val="16"/>
        </w:rPr>
        <w:t>*</w:t>
      </w:r>
      <w:r w:rsidRPr="00583E1A">
        <w:t xml:space="preserve">inward investment vehicle (financial) for that year—do not include the holding of any </w:t>
      </w:r>
      <w:r w:rsidR="00583E1A" w:rsidRPr="00583E1A">
        <w:rPr>
          <w:position w:val="6"/>
          <w:sz w:val="16"/>
        </w:rPr>
        <w:t>*</w:t>
      </w:r>
      <w:r w:rsidRPr="00583E1A">
        <w:t>associate entity debt; and</w:t>
      </w:r>
    </w:p>
    <w:p w:rsidR="00887330" w:rsidRPr="00583E1A" w:rsidRDefault="00887330" w:rsidP="00887330">
      <w:pPr>
        <w:pStyle w:val="paragraphsub"/>
      </w:pPr>
      <w:r w:rsidRPr="00583E1A">
        <w:tab/>
        <w:t>(ii)</w:t>
      </w:r>
      <w:r w:rsidRPr="00583E1A">
        <w:tab/>
        <w:t xml:space="preserve">if the entity is an </w:t>
      </w:r>
      <w:r w:rsidR="00583E1A" w:rsidRPr="00583E1A">
        <w:rPr>
          <w:position w:val="6"/>
          <w:sz w:val="16"/>
        </w:rPr>
        <w:t>*</w:t>
      </w:r>
      <w:r w:rsidRPr="00583E1A">
        <w:t xml:space="preserve">inward investor (general) or </w:t>
      </w:r>
      <w:r w:rsidR="00583E1A" w:rsidRPr="00583E1A">
        <w:rPr>
          <w:position w:val="6"/>
          <w:sz w:val="16"/>
        </w:rPr>
        <w:t>*</w:t>
      </w:r>
      <w:r w:rsidRPr="00583E1A">
        <w:t>inward investor (financial) for that year—consist only of its Australian investments (within the meaning of section</w:t>
      </w:r>
      <w:r w:rsidR="00583E1A">
        <w:t> </w:t>
      </w:r>
      <w:r w:rsidRPr="00583E1A">
        <w:t>820</w:t>
      </w:r>
      <w:r w:rsidR="00583E1A">
        <w:noBreakHyphen/>
      </w:r>
      <w:r w:rsidRPr="00583E1A">
        <w:t>205 or 820</w:t>
      </w:r>
      <w:r w:rsidR="00583E1A">
        <w:noBreakHyphen/>
      </w:r>
      <w:r w:rsidRPr="00583E1A">
        <w:t xml:space="preserve">210, as appropriate), other than the holding of any associate entity debt that is attributable to its </w:t>
      </w:r>
      <w:r w:rsidR="00583E1A" w:rsidRPr="00583E1A">
        <w:rPr>
          <w:position w:val="6"/>
          <w:sz w:val="16"/>
        </w:rPr>
        <w:t>*</w:t>
      </w:r>
      <w:r w:rsidRPr="00583E1A">
        <w:t>Australian permanent establishments;</w:t>
      </w:r>
    </w:p>
    <w:p w:rsidR="00887330" w:rsidRPr="00583E1A" w:rsidRDefault="00887330" w:rsidP="00887330">
      <w:pPr>
        <w:pStyle w:val="paragraph"/>
      </w:pPr>
      <w:r w:rsidRPr="00583E1A">
        <w:tab/>
        <w:t>(b)</w:t>
      </w:r>
      <w:r w:rsidRPr="00583E1A">
        <w:tab/>
        <w:t>the entity had carried on the Australian business that it actually carried on during that year;</w:t>
      </w:r>
    </w:p>
    <w:p w:rsidR="00887330" w:rsidRPr="00583E1A" w:rsidRDefault="00887330" w:rsidP="00887330">
      <w:pPr>
        <w:pStyle w:val="paragraph"/>
      </w:pPr>
      <w:r w:rsidRPr="00583E1A">
        <w:lastRenderedPageBreak/>
        <w:tab/>
        <w:t>(c)</w:t>
      </w:r>
      <w:r w:rsidRPr="00583E1A">
        <w:tab/>
        <w:t>the nature of the entity’s assets and liabilities (to the extent that they are attributable to the Australian business) had been as they were during that year;</w:t>
      </w:r>
    </w:p>
    <w:p w:rsidR="00887330" w:rsidRPr="00583E1A" w:rsidRDefault="00887330" w:rsidP="00887330">
      <w:pPr>
        <w:pStyle w:val="paragraph"/>
      </w:pPr>
      <w:r w:rsidRPr="00583E1A">
        <w:tab/>
        <w:t>(d)</w:t>
      </w:r>
      <w:r w:rsidRPr="00583E1A">
        <w:tab/>
        <w:t xml:space="preserve">except as stated in </w:t>
      </w:r>
      <w:r w:rsidR="00583E1A">
        <w:t>paragraph (</w:t>
      </w:r>
      <w:r w:rsidRPr="00583E1A">
        <w:t xml:space="preserve">1)(b) and </w:t>
      </w:r>
      <w:r w:rsidR="00583E1A">
        <w:t>paragraphs (</w:t>
      </w:r>
      <w:r w:rsidRPr="00583E1A">
        <w:t>e), (f) and (g) of this subsection, the entity had carried on the Australian business in the same circumstances as what actually existed during that year;</w:t>
      </w:r>
    </w:p>
    <w:p w:rsidR="00887330" w:rsidRPr="00583E1A" w:rsidRDefault="00887330" w:rsidP="00887330">
      <w:pPr>
        <w:pStyle w:val="paragraph"/>
      </w:pPr>
      <w:r w:rsidRPr="00583E1A">
        <w:tab/>
        <w:t>(e)</w:t>
      </w:r>
      <w:r w:rsidRPr="00583E1A">
        <w:tab/>
        <w:t>any guarantee, security or other form of credit support provided to the entity in relation to the Australian business during that year:</w:t>
      </w:r>
    </w:p>
    <w:p w:rsidR="00887330" w:rsidRPr="00583E1A" w:rsidRDefault="00887330" w:rsidP="00887330">
      <w:pPr>
        <w:pStyle w:val="paragraphsub"/>
      </w:pPr>
      <w:r w:rsidRPr="00583E1A">
        <w:tab/>
        <w:t>(i)</w:t>
      </w:r>
      <w:r w:rsidRPr="00583E1A">
        <w:tab/>
        <w:t xml:space="preserve">by its </w:t>
      </w:r>
      <w:r w:rsidR="00583E1A" w:rsidRPr="00583E1A">
        <w:rPr>
          <w:position w:val="6"/>
          <w:sz w:val="16"/>
        </w:rPr>
        <w:t>*</w:t>
      </w:r>
      <w:r w:rsidRPr="00583E1A">
        <w:t>associates; or</w:t>
      </w:r>
    </w:p>
    <w:p w:rsidR="00887330" w:rsidRPr="00583E1A" w:rsidRDefault="00887330" w:rsidP="00887330">
      <w:pPr>
        <w:pStyle w:val="paragraphsub"/>
      </w:pPr>
      <w:r w:rsidRPr="00583E1A">
        <w:tab/>
        <w:t>(ii)</w:t>
      </w:r>
      <w:r w:rsidRPr="00583E1A">
        <w:tab/>
        <w:t>by the use of assets of the entity that are attributable to the entity’s overseas permanent establishments;</w:t>
      </w:r>
    </w:p>
    <w:p w:rsidR="00887330" w:rsidRPr="00583E1A" w:rsidRDefault="00887330" w:rsidP="00887330">
      <w:pPr>
        <w:pStyle w:val="paragraph"/>
      </w:pPr>
      <w:r w:rsidRPr="00583E1A">
        <w:tab/>
      </w:r>
      <w:r w:rsidRPr="00583E1A">
        <w:tab/>
        <w:t>is taken not to have been received by the entity;</w:t>
      </w:r>
    </w:p>
    <w:p w:rsidR="00887330" w:rsidRPr="00583E1A" w:rsidRDefault="00887330" w:rsidP="00887330">
      <w:pPr>
        <w:pStyle w:val="paragraph"/>
      </w:pPr>
      <w:r w:rsidRPr="00583E1A">
        <w:tab/>
        <w:t>(f)</w:t>
      </w:r>
      <w:r w:rsidRPr="00583E1A">
        <w:tab/>
        <w:t>the entity’s only activities during that year were the Australian business;</w:t>
      </w:r>
    </w:p>
    <w:p w:rsidR="00887330" w:rsidRPr="00583E1A" w:rsidRDefault="00887330" w:rsidP="00887330">
      <w:pPr>
        <w:pStyle w:val="paragraph"/>
      </w:pPr>
      <w:r w:rsidRPr="00583E1A">
        <w:tab/>
        <w:t>(g)</w:t>
      </w:r>
      <w:r w:rsidRPr="00583E1A">
        <w:tab/>
        <w:t xml:space="preserve">the entity’s only assets and liabilities during that year were those referred to in </w:t>
      </w:r>
      <w:r w:rsidR="00583E1A">
        <w:t>paragraph (</w:t>
      </w:r>
      <w:r w:rsidRPr="00583E1A">
        <w:t>c) of this subsection.</w:t>
      </w:r>
    </w:p>
    <w:p w:rsidR="00887330" w:rsidRPr="00583E1A" w:rsidRDefault="00887330" w:rsidP="00887330">
      <w:pPr>
        <w:pStyle w:val="subsection2"/>
      </w:pPr>
      <w:r w:rsidRPr="00583E1A">
        <w:t xml:space="preserve">However, the assumptions set out in </w:t>
      </w:r>
      <w:r w:rsidR="00583E1A">
        <w:t>paragraphs (</w:t>
      </w:r>
      <w:r w:rsidRPr="00583E1A">
        <w:t xml:space="preserve">f) and (g) of this subsection are not to be made in taking into account the relevant factors mentioned in </w:t>
      </w:r>
      <w:r w:rsidR="00583E1A">
        <w:t>subsection (</w:t>
      </w:r>
      <w:r w:rsidRPr="00583E1A">
        <w:t>3).</w:t>
      </w:r>
    </w:p>
    <w:p w:rsidR="00887330" w:rsidRPr="00583E1A" w:rsidRDefault="00887330" w:rsidP="00887330">
      <w:pPr>
        <w:pStyle w:val="SubsectionHead"/>
      </w:pPr>
      <w:r w:rsidRPr="00583E1A">
        <w:t>Relevant factors</w:t>
      </w:r>
    </w:p>
    <w:p w:rsidR="00887330" w:rsidRPr="00583E1A" w:rsidRDefault="00887330" w:rsidP="00887330">
      <w:pPr>
        <w:pStyle w:val="subsection"/>
      </w:pPr>
      <w:r w:rsidRPr="00583E1A">
        <w:tab/>
        <w:t>(3)</w:t>
      </w:r>
      <w:r w:rsidRPr="00583E1A">
        <w:tab/>
        <w:t xml:space="preserve">On the basis of the factual assumptions set out in </w:t>
      </w:r>
      <w:r w:rsidR="00583E1A">
        <w:t>subsection (</w:t>
      </w:r>
      <w:r w:rsidRPr="00583E1A">
        <w:t xml:space="preserve">2), the following factors must be taken into account in determining whether or not an amount satisfies </w:t>
      </w:r>
      <w:r w:rsidR="00583E1A">
        <w:t>paragraphs (</w:t>
      </w:r>
      <w:r w:rsidRPr="00583E1A">
        <w:t>1)(a) and (b):</w:t>
      </w:r>
    </w:p>
    <w:p w:rsidR="00887330" w:rsidRPr="00583E1A" w:rsidRDefault="00887330" w:rsidP="00887330">
      <w:pPr>
        <w:pStyle w:val="paragraph"/>
      </w:pPr>
      <w:r w:rsidRPr="00583E1A">
        <w:tab/>
        <w:t>(a)</w:t>
      </w:r>
      <w:r w:rsidRPr="00583E1A">
        <w:tab/>
        <w:t>the functions performed, the assets used, and the risks assumed, by the entity in relation to the Australian business throughout that year;</w:t>
      </w:r>
    </w:p>
    <w:p w:rsidR="00887330" w:rsidRPr="00583E1A" w:rsidRDefault="00887330" w:rsidP="00887330">
      <w:pPr>
        <w:pStyle w:val="paragraph"/>
      </w:pPr>
      <w:r w:rsidRPr="00583E1A">
        <w:tab/>
        <w:t>(b)</w:t>
      </w:r>
      <w:r w:rsidRPr="00583E1A">
        <w:tab/>
        <w:t xml:space="preserve">the terms and conditions of the </w:t>
      </w:r>
      <w:r w:rsidR="00583E1A" w:rsidRPr="00583E1A">
        <w:rPr>
          <w:position w:val="6"/>
          <w:sz w:val="16"/>
        </w:rPr>
        <w:t>*</w:t>
      </w:r>
      <w:r w:rsidRPr="00583E1A">
        <w:t>debt capital that the entity actually had in relation to the Australian business throughout that year;</w:t>
      </w:r>
    </w:p>
    <w:p w:rsidR="00887330" w:rsidRPr="00583E1A" w:rsidRDefault="00887330" w:rsidP="00887330">
      <w:pPr>
        <w:pStyle w:val="paragraph"/>
      </w:pPr>
      <w:r w:rsidRPr="00583E1A">
        <w:tab/>
        <w:t>(c)</w:t>
      </w:r>
      <w:r w:rsidRPr="00583E1A">
        <w:tab/>
        <w:t>the nature of, and title to, any assets of the entity attributable to the Australian business that were available to the entity throughout that year as security for its debt capital for that business;</w:t>
      </w:r>
    </w:p>
    <w:p w:rsidR="00887330" w:rsidRPr="00583E1A" w:rsidRDefault="00887330" w:rsidP="00887330">
      <w:pPr>
        <w:pStyle w:val="paragraph"/>
      </w:pPr>
      <w:r w:rsidRPr="00583E1A">
        <w:lastRenderedPageBreak/>
        <w:tab/>
        <w:t>(d)</w:t>
      </w:r>
      <w:r w:rsidRPr="00583E1A">
        <w:tab/>
        <w:t xml:space="preserve">the purposes for which </w:t>
      </w:r>
      <w:r w:rsidR="00583E1A" w:rsidRPr="00583E1A">
        <w:rPr>
          <w:position w:val="6"/>
          <w:sz w:val="16"/>
        </w:rPr>
        <w:t>*</w:t>
      </w:r>
      <w:r w:rsidRPr="00583E1A">
        <w:t>schemes for debt capital had been actually entered into by the entity in relation to the Australian business throughout that year;</w:t>
      </w:r>
    </w:p>
    <w:p w:rsidR="00887330" w:rsidRPr="00583E1A" w:rsidRDefault="00887330" w:rsidP="00887330">
      <w:pPr>
        <w:pStyle w:val="paragraph"/>
      </w:pPr>
      <w:r w:rsidRPr="00583E1A">
        <w:tab/>
        <w:t>(e)</w:t>
      </w:r>
      <w:r w:rsidRPr="00583E1A">
        <w:tab/>
        <w:t>the entity’s capacity to meet all its liabilities in relation to the Australian business (whether during that year or at any other time);</w:t>
      </w:r>
    </w:p>
    <w:p w:rsidR="00887330" w:rsidRPr="00583E1A" w:rsidRDefault="00887330" w:rsidP="00887330">
      <w:pPr>
        <w:pStyle w:val="paragraph"/>
      </w:pPr>
      <w:r w:rsidRPr="00583E1A">
        <w:tab/>
        <w:t>(f)</w:t>
      </w:r>
      <w:r w:rsidRPr="00583E1A">
        <w:tab/>
        <w:t xml:space="preserve">the profit of the entity (within the meaning of the </w:t>
      </w:r>
      <w:r w:rsidR="00583E1A" w:rsidRPr="00583E1A">
        <w:rPr>
          <w:position w:val="6"/>
          <w:sz w:val="16"/>
        </w:rPr>
        <w:t>*</w:t>
      </w:r>
      <w:r w:rsidRPr="00583E1A">
        <w:t>accounting standards), and the return on its capital, in relation to the Australian business (whether during that year or at any other time);</w:t>
      </w:r>
    </w:p>
    <w:p w:rsidR="00887330" w:rsidRPr="00583E1A" w:rsidRDefault="00887330" w:rsidP="00887330">
      <w:pPr>
        <w:pStyle w:val="paragraph"/>
      </w:pPr>
      <w:r w:rsidRPr="00583E1A">
        <w:tab/>
        <w:t>(g)</w:t>
      </w:r>
      <w:r w:rsidRPr="00583E1A">
        <w:tab/>
        <w:t>the debt to equity ratios of the following throughout that year:</w:t>
      </w:r>
    </w:p>
    <w:p w:rsidR="00887330" w:rsidRPr="00583E1A" w:rsidRDefault="00887330" w:rsidP="00887330">
      <w:pPr>
        <w:pStyle w:val="paragraphsub"/>
      </w:pPr>
      <w:r w:rsidRPr="00583E1A">
        <w:tab/>
        <w:t>(i)</w:t>
      </w:r>
      <w:r w:rsidRPr="00583E1A">
        <w:tab/>
        <w:t>the entity;</w:t>
      </w:r>
    </w:p>
    <w:p w:rsidR="00887330" w:rsidRPr="00583E1A" w:rsidRDefault="00887330" w:rsidP="00887330">
      <w:pPr>
        <w:pStyle w:val="paragraphsub"/>
      </w:pPr>
      <w:r w:rsidRPr="00583E1A">
        <w:tab/>
        <w:t>(ii)</w:t>
      </w:r>
      <w:r w:rsidRPr="00583E1A">
        <w:tab/>
        <w:t>the entity in relation to the Australian business;</w:t>
      </w:r>
    </w:p>
    <w:p w:rsidR="00887330" w:rsidRPr="00583E1A" w:rsidRDefault="00887330" w:rsidP="00887330">
      <w:pPr>
        <w:pStyle w:val="paragraphsub"/>
      </w:pPr>
      <w:r w:rsidRPr="00583E1A">
        <w:tab/>
        <w:t>(iii)</w:t>
      </w:r>
      <w:r w:rsidRPr="00583E1A">
        <w:tab/>
        <w:t xml:space="preserve">each of the entity’s </w:t>
      </w:r>
      <w:r w:rsidR="00583E1A" w:rsidRPr="00583E1A">
        <w:rPr>
          <w:position w:val="6"/>
          <w:sz w:val="16"/>
        </w:rPr>
        <w:t>*</w:t>
      </w:r>
      <w:r w:rsidRPr="00583E1A">
        <w:t>associate entities that engage in commercial activities similar to the Australian business;</w:t>
      </w:r>
    </w:p>
    <w:p w:rsidR="00887330" w:rsidRPr="00583E1A" w:rsidRDefault="00887330" w:rsidP="00887330">
      <w:pPr>
        <w:pStyle w:val="paragraph"/>
      </w:pPr>
      <w:r w:rsidRPr="00583E1A">
        <w:tab/>
        <w:t>(h)</w:t>
      </w:r>
      <w:r w:rsidRPr="00583E1A">
        <w:tab/>
        <w:t>the commercial practices adopted by independent parties dealing with each other at arm’s length in the industry in which the entity carries on the Australian business throughout that year (whether in Australia or in comparable markets elsewhere);</w:t>
      </w:r>
    </w:p>
    <w:p w:rsidR="00887330" w:rsidRPr="00583E1A" w:rsidRDefault="00887330" w:rsidP="00887330">
      <w:pPr>
        <w:pStyle w:val="paragraph"/>
      </w:pPr>
      <w:r w:rsidRPr="00583E1A">
        <w:tab/>
        <w:t>(i)</w:t>
      </w:r>
      <w:r w:rsidRPr="00583E1A">
        <w:tab/>
        <w:t>the general state of the Australian economy throughout that year;</w:t>
      </w:r>
    </w:p>
    <w:p w:rsidR="00887330" w:rsidRPr="00583E1A" w:rsidRDefault="00887330" w:rsidP="00887330">
      <w:pPr>
        <w:pStyle w:val="paragraph"/>
      </w:pPr>
      <w:r w:rsidRPr="00583E1A">
        <w:tab/>
        <w:t>(j)</w:t>
      </w:r>
      <w:r w:rsidRPr="00583E1A">
        <w:tab/>
        <w:t xml:space="preserve">all of the above factors existing at the time when the entity last entered into a </w:t>
      </w:r>
      <w:r w:rsidR="00583E1A" w:rsidRPr="00583E1A">
        <w:rPr>
          <w:position w:val="6"/>
          <w:sz w:val="16"/>
        </w:rPr>
        <w:t>*</w:t>
      </w:r>
      <w:r w:rsidRPr="00583E1A">
        <w:t xml:space="preserve">scheme that gave rise to an actual </w:t>
      </w:r>
      <w:r w:rsidR="00583E1A" w:rsidRPr="00583E1A">
        <w:rPr>
          <w:position w:val="6"/>
          <w:sz w:val="16"/>
        </w:rPr>
        <w:t>*</w:t>
      </w:r>
      <w:r w:rsidRPr="00583E1A">
        <w:t xml:space="preserve">debt interest attributable to the Australian business that remains </w:t>
      </w:r>
      <w:r w:rsidR="00583E1A" w:rsidRPr="00583E1A">
        <w:rPr>
          <w:position w:val="6"/>
          <w:sz w:val="16"/>
        </w:rPr>
        <w:t>*</w:t>
      </w:r>
      <w:r w:rsidRPr="00583E1A">
        <w:t>on issue throughout that year;</w:t>
      </w:r>
    </w:p>
    <w:p w:rsidR="00887330" w:rsidRPr="00583E1A" w:rsidRDefault="00887330" w:rsidP="00887330">
      <w:pPr>
        <w:pStyle w:val="paragraph"/>
      </w:pPr>
      <w:r w:rsidRPr="00583E1A">
        <w:tab/>
        <w:t>(k)</w:t>
      </w:r>
      <w:r w:rsidRPr="00583E1A">
        <w:tab/>
        <w:t xml:space="preserve">any other factors which are specified in the regulations made for the purposes of this section, including factors that are specific to an </w:t>
      </w:r>
      <w:r w:rsidR="00583E1A" w:rsidRPr="00583E1A">
        <w:rPr>
          <w:position w:val="6"/>
          <w:sz w:val="16"/>
        </w:rPr>
        <w:t>*</w:t>
      </w:r>
      <w:r w:rsidRPr="00583E1A">
        <w:t xml:space="preserve">inward investment vehicle (general), an </w:t>
      </w:r>
      <w:r w:rsidR="00583E1A" w:rsidRPr="00583E1A">
        <w:rPr>
          <w:position w:val="6"/>
          <w:sz w:val="16"/>
        </w:rPr>
        <w:t>*</w:t>
      </w:r>
      <w:r w:rsidRPr="00583E1A">
        <w:t xml:space="preserve">inward investment vehicle (financial), an </w:t>
      </w:r>
      <w:r w:rsidR="00583E1A" w:rsidRPr="00583E1A">
        <w:rPr>
          <w:position w:val="6"/>
          <w:sz w:val="16"/>
        </w:rPr>
        <w:t>*</w:t>
      </w:r>
      <w:r w:rsidRPr="00583E1A">
        <w:t xml:space="preserve">inward investor (general) or an </w:t>
      </w:r>
      <w:r w:rsidR="00583E1A" w:rsidRPr="00583E1A">
        <w:rPr>
          <w:position w:val="6"/>
          <w:sz w:val="16"/>
        </w:rPr>
        <w:t>*</w:t>
      </w:r>
      <w:r w:rsidRPr="00583E1A">
        <w:t>inward investor (financial).</w:t>
      </w:r>
    </w:p>
    <w:p w:rsidR="00887330" w:rsidRPr="00583E1A" w:rsidRDefault="00887330" w:rsidP="00887330">
      <w:pPr>
        <w:pStyle w:val="SubsectionHead"/>
      </w:pPr>
      <w:r w:rsidRPr="00583E1A">
        <w:t>Commissioner’s power</w:t>
      </w:r>
    </w:p>
    <w:p w:rsidR="00887330" w:rsidRPr="00583E1A" w:rsidRDefault="00887330" w:rsidP="00887330">
      <w:pPr>
        <w:pStyle w:val="subsection"/>
      </w:pPr>
      <w:r w:rsidRPr="00583E1A">
        <w:tab/>
        <w:t>(4)</w:t>
      </w:r>
      <w:r w:rsidRPr="00583E1A">
        <w:tab/>
        <w:t xml:space="preserve">If the Commissioner considers an amount worked out by the entity under this section does not appropriately take into account the factual assumptions and the relevant factors, the Commissioner </w:t>
      </w:r>
      <w:r w:rsidRPr="00583E1A">
        <w:lastRenderedPageBreak/>
        <w:t>may substitute another amount that the Commissioner considers better reflects those assumptions and factors.</w:t>
      </w:r>
    </w:p>
    <w:p w:rsidR="00887330" w:rsidRPr="00583E1A" w:rsidRDefault="00887330" w:rsidP="00887330">
      <w:pPr>
        <w:pStyle w:val="ActHead5"/>
      </w:pPr>
      <w:bookmarkStart w:id="205" w:name="_Toc338939279"/>
      <w:r w:rsidRPr="00583E1A">
        <w:rPr>
          <w:rStyle w:val="CharSectno"/>
        </w:rPr>
        <w:t>820</w:t>
      </w:r>
      <w:r w:rsidR="00583E1A">
        <w:rPr>
          <w:rStyle w:val="CharSectno"/>
        </w:rPr>
        <w:noBreakHyphen/>
      </w:r>
      <w:r w:rsidRPr="00583E1A">
        <w:rPr>
          <w:rStyle w:val="CharSectno"/>
        </w:rPr>
        <w:t>220</w:t>
      </w:r>
      <w:r w:rsidRPr="00583E1A">
        <w:t xml:space="preserve">  Amount of debt deduction disallowed</w:t>
      </w:r>
      <w:bookmarkEnd w:id="205"/>
    </w:p>
    <w:p w:rsidR="00887330" w:rsidRPr="00583E1A" w:rsidRDefault="00887330" w:rsidP="00887330">
      <w:pPr>
        <w:pStyle w:val="subsection"/>
      </w:pPr>
      <w:r w:rsidRPr="00583E1A">
        <w:tab/>
      </w:r>
      <w:r w:rsidRPr="00583E1A">
        <w:tab/>
        <w:t xml:space="preserve">The amount of </w:t>
      </w:r>
      <w:r w:rsidR="00583E1A" w:rsidRPr="00583E1A">
        <w:rPr>
          <w:position w:val="6"/>
          <w:sz w:val="16"/>
        </w:rPr>
        <w:t>*</w:t>
      </w:r>
      <w:r w:rsidRPr="00583E1A">
        <w:t>debt deduction disallowed under subsection 820</w:t>
      </w:r>
      <w:r w:rsidR="00583E1A">
        <w:noBreakHyphen/>
      </w:r>
      <w:r w:rsidRPr="00583E1A">
        <w:t>185(1) is worked out using the following formula:</w:t>
      </w:r>
    </w:p>
    <w:p w:rsidR="00CB48B4" w:rsidRPr="00583E1A" w:rsidRDefault="00623A5C" w:rsidP="00887330">
      <w:pPr>
        <w:pStyle w:val="Formula"/>
        <w:spacing w:before="60" w:after="60"/>
      </w:pPr>
      <w:r>
        <w:rPr>
          <w:noProof/>
        </w:rPr>
        <w:drawing>
          <wp:inline distT="0" distB="0" distL="0" distR="0">
            <wp:extent cx="1828800" cy="3810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1828800" cy="381000"/>
                    </a:xfrm>
                    <a:prstGeom prst="rect">
                      <a:avLst/>
                    </a:prstGeom>
                    <a:noFill/>
                    <a:ln>
                      <a:noFill/>
                    </a:ln>
                  </pic:spPr>
                </pic:pic>
              </a:graphicData>
            </a:graphic>
          </wp:inline>
        </w:drawing>
      </w:r>
    </w:p>
    <w:p w:rsidR="00887330" w:rsidRPr="00583E1A" w:rsidRDefault="00887330" w:rsidP="00887330">
      <w:pPr>
        <w:pStyle w:val="subsection2"/>
      </w:pPr>
      <w:r w:rsidRPr="00583E1A">
        <w:t>where:</w:t>
      </w:r>
    </w:p>
    <w:p w:rsidR="00887330" w:rsidRPr="00583E1A" w:rsidRDefault="00887330" w:rsidP="00887330">
      <w:pPr>
        <w:pStyle w:val="Definition"/>
      </w:pPr>
      <w:r w:rsidRPr="00583E1A">
        <w:rPr>
          <w:b/>
          <w:i/>
        </w:rPr>
        <w:t>average debt</w:t>
      </w:r>
      <w:r w:rsidRPr="00583E1A">
        <w:t xml:space="preserve"> means the sum of:</w:t>
      </w:r>
    </w:p>
    <w:p w:rsidR="00887330" w:rsidRPr="00583E1A" w:rsidRDefault="00887330" w:rsidP="00887330">
      <w:pPr>
        <w:pStyle w:val="paragraph"/>
      </w:pPr>
      <w:r w:rsidRPr="00583E1A">
        <w:tab/>
        <w:t>(a)</w:t>
      </w:r>
      <w:r w:rsidRPr="00583E1A">
        <w:tab/>
        <w:t xml:space="preserve">the average value, for the income year, of the entity’s </w:t>
      </w:r>
      <w:r w:rsidR="00583E1A" w:rsidRPr="00583E1A">
        <w:rPr>
          <w:position w:val="6"/>
          <w:sz w:val="16"/>
        </w:rPr>
        <w:t>*</w:t>
      </w:r>
      <w:r w:rsidRPr="00583E1A">
        <w:t>debt capital that is covered by step 1 of the method statement in subsection 820</w:t>
      </w:r>
      <w:r w:rsidR="00583E1A">
        <w:noBreakHyphen/>
      </w:r>
      <w:r w:rsidRPr="00583E1A">
        <w:t>185(3); and</w:t>
      </w:r>
    </w:p>
    <w:p w:rsidR="00887330" w:rsidRPr="00583E1A" w:rsidRDefault="00887330" w:rsidP="00887330">
      <w:pPr>
        <w:pStyle w:val="paragraph"/>
      </w:pPr>
      <w:r w:rsidRPr="00583E1A">
        <w:tab/>
        <w:t>(b)</w:t>
      </w:r>
      <w:r w:rsidRPr="00583E1A">
        <w:tab/>
        <w:t xml:space="preserve">the average value, for that year, of the entity’s </w:t>
      </w:r>
      <w:r w:rsidR="00583E1A" w:rsidRPr="00583E1A">
        <w:rPr>
          <w:position w:val="6"/>
          <w:sz w:val="16"/>
        </w:rPr>
        <w:t>*</w:t>
      </w:r>
      <w:r w:rsidRPr="00583E1A">
        <w:t>cost</w:t>
      </w:r>
      <w:r w:rsidR="00583E1A">
        <w:noBreakHyphen/>
      </w:r>
      <w:r w:rsidRPr="00583E1A">
        <w:t>free debt capital that is covered by step 4 of that method statement.</w:t>
      </w:r>
    </w:p>
    <w:p w:rsidR="00887330" w:rsidRPr="00583E1A" w:rsidRDefault="00887330" w:rsidP="00887330">
      <w:pPr>
        <w:pStyle w:val="Definition"/>
      </w:pPr>
      <w:r w:rsidRPr="00583E1A">
        <w:rPr>
          <w:b/>
          <w:i/>
        </w:rPr>
        <w:t xml:space="preserve">debt deduction </w:t>
      </w:r>
      <w:r w:rsidRPr="00583E1A">
        <w:t xml:space="preserve">means each </w:t>
      </w:r>
      <w:r w:rsidR="00583E1A" w:rsidRPr="00583E1A">
        <w:rPr>
          <w:position w:val="6"/>
          <w:sz w:val="16"/>
        </w:rPr>
        <w:t>*</w:t>
      </w:r>
      <w:r w:rsidRPr="00583E1A">
        <w:t>debt deduction of the entity for that year.</w:t>
      </w:r>
    </w:p>
    <w:p w:rsidR="00887330" w:rsidRPr="00583E1A" w:rsidRDefault="00887330" w:rsidP="00887330">
      <w:pPr>
        <w:pStyle w:val="Definition"/>
      </w:pPr>
      <w:r w:rsidRPr="00583E1A">
        <w:rPr>
          <w:b/>
          <w:i/>
        </w:rPr>
        <w:t>excess debt</w:t>
      </w:r>
      <w:r w:rsidRPr="00583E1A">
        <w:t xml:space="preserve"> means the amount by which the </w:t>
      </w:r>
      <w:r w:rsidR="00583E1A" w:rsidRPr="00583E1A">
        <w:rPr>
          <w:position w:val="6"/>
          <w:sz w:val="16"/>
        </w:rPr>
        <w:t>*</w:t>
      </w:r>
      <w:r w:rsidRPr="00583E1A">
        <w:t>adjusted average debt (see subsection 820</w:t>
      </w:r>
      <w:r w:rsidR="00583E1A">
        <w:noBreakHyphen/>
      </w:r>
      <w:r w:rsidRPr="00583E1A">
        <w:t xml:space="preserve">185(3)) exceeds the entity’s </w:t>
      </w:r>
      <w:r w:rsidR="00583E1A" w:rsidRPr="00583E1A">
        <w:rPr>
          <w:position w:val="6"/>
          <w:sz w:val="16"/>
        </w:rPr>
        <w:t>*</w:t>
      </w:r>
      <w:r w:rsidRPr="00583E1A">
        <w:t>maximum allowable debt for that year.</w:t>
      </w:r>
    </w:p>
    <w:p w:rsidR="00887330" w:rsidRPr="00583E1A" w:rsidRDefault="00887330" w:rsidP="00887330">
      <w:pPr>
        <w:pStyle w:val="notetext"/>
      </w:pPr>
      <w:r w:rsidRPr="00583E1A">
        <w:t>Note:</w:t>
      </w:r>
      <w:r w:rsidRPr="00583E1A">
        <w:tab/>
        <w:t>The disallowed amount also does not form part of the cost base of a CGT asset. See section</w:t>
      </w:r>
      <w:r w:rsidR="00583E1A">
        <w:t> </w:t>
      </w:r>
      <w:r w:rsidRPr="00583E1A">
        <w:t>110</w:t>
      </w:r>
      <w:r w:rsidR="00583E1A">
        <w:noBreakHyphen/>
      </w:r>
      <w:r w:rsidRPr="00583E1A">
        <w:t>54.</w:t>
      </w:r>
    </w:p>
    <w:p w:rsidR="00887330" w:rsidRPr="00583E1A" w:rsidRDefault="00887330" w:rsidP="00887330">
      <w:pPr>
        <w:pStyle w:val="ActHead5"/>
      </w:pPr>
      <w:bookmarkStart w:id="206" w:name="_Toc338939280"/>
      <w:r w:rsidRPr="00583E1A">
        <w:rPr>
          <w:rStyle w:val="CharSectno"/>
        </w:rPr>
        <w:t>820</w:t>
      </w:r>
      <w:r w:rsidR="00583E1A">
        <w:rPr>
          <w:rStyle w:val="CharSectno"/>
        </w:rPr>
        <w:noBreakHyphen/>
      </w:r>
      <w:r w:rsidRPr="00583E1A">
        <w:rPr>
          <w:rStyle w:val="CharSectno"/>
        </w:rPr>
        <w:t>225</w:t>
      </w:r>
      <w:r w:rsidRPr="00583E1A">
        <w:t xml:space="preserve">  Application to part year periods</w:t>
      </w:r>
      <w:bookmarkEnd w:id="206"/>
    </w:p>
    <w:p w:rsidR="00887330" w:rsidRPr="00583E1A" w:rsidRDefault="00887330" w:rsidP="00887330">
      <w:pPr>
        <w:pStyle w:val="subsection"/>
      </w:pPr>
      <w:r w:rsidRPr="00583E1A">
        <w:tab/>
        <w:t>(1)</w:t>
      </w:r>
      <w:r w:rsidRPr="00583E1A">
        <w:tab/>
        <w:t xml:space="preserve">This subsection disallows all or a part of each </w:t>
      </w:r>
      <w:r w:rsidR="00583E1A" w:rsidRPr="00583E1A">
        <w:rPr>
          <w:position w:val="6"/>
          <w:sz w:val="16"/>
        </w:rPr>
        <w:t>*</w:t>
      </w:r>
      <w:r w:rsidRPr="00583E1A">
        <w:t>debt deduction of an entity for an income year that is an amount incurred by the entity during a period that is a part of that year, if:</w:t>
      </w:r>
    </w:p>
    <w:p w:rsidR="00887330" w:rsidRPr="00583E1A" w:rsidRDefault="00887330" w:rsidP="00887330">
      <w:pPr>
        <w:pStyle w:val="paragraph"/>
      </w:pPr>
      <w:r w:rsidRPr="00583E1A">
        <w:tab/>
        <w:t>(a)</w:t>
      </w:r>
      <w:r w:rsidRPr="00583E1A">
        <w:tab/>
        <w:t xml:space="preserve">the entity is an </w:t>
      </w:r>
      <w:r w:rsidR="00583E1A" w:rsidRPr="00583E1A">
        <w:rPr>
          <w:position w:val="6"/>
          <w:sz w:val="16"/>
        </w:rPr>
        <w:t>*</w:t>
      </w:r>
      <w:r w:rsidRPr="00583E1A">
        <w:t>inward investing entity (non</w:t>
      </w:r>
      <w:r w:rsidR="00583E1A">
        <w:noBreakHyphen/>
      </w:r>
      <w:r w:rsidRPr="00583E1A">
        <w:t xml:space="preserve">ADI) for that period, but is not also an </w:t>
      </w:r>
      <w:r w:rsidR="00583E1A" w:rsidRPr="00583E1A">
        <w:rPr>
          <w:position w:val="6"/>
          <w:sz w:val="16"/>
        </w:rPr>
        <w:t>*</w:t>
      </w:r>
      <w:r w:rsidRPr="00583E1A">
        <w:t>outward investing entity (non</w:t>
      </w:r>
      <w:r w:rsidR="00583E1A">
        <w:noBreakHyphen/>
      </w:r>
      <w:r w:rsidRPr="00583E1A">
        <w:t>ADI) for all or any part of that period; and</w:t>
      </w:r>
    </w:p>
    <w:p w:rsidR="00887330" w:rsidRPr="00583E1A" w:rsidRDefault="00887330" w:rsidP="00887330">
      <w:pPr>
        <w:pStyle w:val="paragraph"/>
      </w:pPr>
      <w:r w:rsidRPr="00583E1A">
        <w:tab/>
        <w:t>(b)</w:t>
      </w:r>
      <w:r w:rsidRPr="00583E1A">
        <w:tab/>
        <w:t xml:space="preserve">the entity’s </w:t>
      </w:r>
      <w:r w:rsidR="00583E1A" w:rsidRPr="00583E1A">
        <w:rPr>
          <w:position w:val="6"/>
          <w:sz w:val="16"/>
        </w:rPr>
        <w:t>*</w:t>
      </w:r>
      <w:r w:rsidRPr="00583E1A">
        <w:t xml:space="preserve">adjusted average debt for that period exceeds the entity’s </w:t>
      </w:r>
      <w:r w:rsidR="00583E1A" w:rsidRPr="00583E1A">
        <w:rPr>
          <w:position w:val="6"/>
          <w:sz w:val="16"/>
        </w:rPr>
        <w:t>*</w:t>
      </w:r>
      <w:r w:rsidRPr="00583E1A">
        <w:t>maximum allowable debt for that period.</w:t>
      </w:r>
    </w:p>
    <w:p w:rsidR="00887330" w:rsidRPr="00583E1A" w:rsidRDefault="00887330" w:rsidP="00887330">
      <w:pPr>
        <w:pStyle w:val="notetext"/>
      </w:pPr>
      <w:r w:rsidRPr="00583E1A">
        <w:t>Note:</w:t>
      </w:r>
      <w:r w:rsidRPr="00583E1A">
        <w:tab/>
        <w:t>To determine whether an entity is an inward investing entity (non</w:t>
      </w:r>
      <w:r w:rsidR="00583E1A">
        <w:noBreakHyphen/>
      </w:r>
      <w:r w:rsidRPr="00583E1A">
        <w:t>ADI) for a period, see subsection 820</w:t>
      </w:r>
      <w:r w:rsidR="00583E1A">
        <w:noBreakHyphen/>
      </w:r>
      <w:r w:rsidRPr="00583E1A">
        <w:t>185(2).</w:t>
      </w:r>
    </w:p>
    <w:p w:rsidR="00887330" w:rsidRPr="00583E1A" w:rsidRDefault="00887330" w:rsidP="00887330">
      <w:pPr>
        <w:pStyle w:val="subsection"/>
      </w:pPr>
      <w:r w:rsidRPr="00583E1A">
        <w:lastRenderedPageBreak/>
        <w:tab/>
        <w:t>(2)</w:t>
      </w:r>
      <w:r w:rsidRPr="00583E1A">
        <w:tab/>
        <w:t xml:space="preserve">The entity’s </w:t>
      </w:r>
      <w:r w:rsidRPr="00583E1A">
        <w:rPr>
          <w:b/>
          <w:i/>
        </w:rPr>
        <w:t>adjusted average debt</w:t>
      </w:r>
      <w:r w:rsidRPr="00583E1A">
        <w:t xml:space="preserve"> for that period is the result of applying the method statement in this subsection.</w:t>
      </w:r>
    </w:p>
    <w:p w:rsidR="00887330" w:rsidRPr="00583E1A" w:rsidRDefault="00887330" w:rsidP="00887330">
      <w:pPr>
        <w:pStyle w:val="BoxHeadItalic"/>
        <w:keepNext/>
      </w:pPr>
      <w:r w:rsidRPr="00583E1A">
        <w:t>Method statement</w:t>
      </w:r>
    </w:p>
    <w:p w:rsidR="00887330" w:rsidRPr="00583E1A" w:rsidRDefault="00AE4F7F" w:rsidP="00887330">
      <w:pPr>
        <w:pStyle w:val="BoxStep"/>
      </w:pPr>
      <w:r w:rsidRPr="00583E1A">
        <w:rPr>
          <w:szCs w:val="22"/>
        </w:rPr>
        <w:t>Step 1.</w:t>
      </w:r>
      <w:r w:rsidR="00887330" w:rsidRPr="00583E1A">
        <w:tab/>
        <w:t xml:space="preserve">Work out the average value, for that period, of all the </w:t>
      </w:r>
      <w:r w:rsidR="00583E1A" w:rsidRPr="00583E1A">
        <w:rPr>
          <w:position w:val="6"/>
          <w:sz w:val="16"/>
        </w:rPr>
        <w:t>*</w:t>
      </w:r>
      <w:r w:rsidR="00887330" w:rsidRPr="00583E1A">
        <w:t xml:space="preserve">debt capital of the entity that gives rise to </w:t>
      </w:r>
      <w:r w:rsidR="00583E1A" w:rsidRPr="00583E1A">
        <w:rPr>
          <w:position w:val="6"/>
          <w:sz w:val="16"/>
        </w:rPr>
        <w:t>*</w:t>
      </w:r>
      <w:r w:rsidR="00887330" w:rsidRPr="00583E1A">
        <w:t>debt deductions of the entity for that or any other income year.</w:t>
      </w:r>
    </w:p>
    <w:p w:rsidR="00887330" w:rsidRPr="00583E1A" w:rsidRDefault="00AE4F7F" w:rsidP="00887330">
      <w:pPr>
        <w:pStyle w:val="BoxStep"/>
      </w:pPr>
      <w:r w:rsidRPr="00583E1A">
        <w:rPr>
          <w:szCs w:val="22"/>
        </w:rPr>
        <w:t>Step 2.</w:t>
      </w:r>
      <w:r w:rsidR="00887330" w:rsidRPr="00583E1A">
        <w:rPr>
          <w:i/>
        </w:rPr>
        <w:tab/>
      </w:r>
      <w:r w:rsidR="00887330" w:rsidRPr="00583E1A">
        <w:t>Reduce the result of step 1 by the average value, for that period, of:</w:t>
      </w:r>
    </w:p>
    <w:p w:rsidR="00887330" w:rsidRPr="00583E1A" w:rsidRDefault="00887330" w:rsidP="00887330">
      <w:pPr>
        <w:pStyle w:val="BoxPara"/>
      </w:pPr>
      <w:r w:rsidRPr="00583E1A">
        <w:tab/>
        <w:t>(a)</w:t>
      </w:r>
      <w:r w:rsidRPr="00583E1A">
        <w:tab/>
        <w:t xml:space="preserve">if the entity is an </w:t>
      </w:r>
      <w:r w:rsidR="00583E1A" w:rsidRPr="00583E1A">
        <w:rPr>
          <w:position w:val="6"/>
          <w:sz w:val="16"/>
        </w:rPr>
        <w:t>*</w:t>
      </w:r>
      <w:r w:rsidRPr="00583E1A">
        <w:t xml:space="preserve">inward investment vehicle (general) or an </w:t>
      </w:r>
      <w:r w:rsidR="00583E1A" w:rsidRPr="00583E1A">
        <w:rPr>
          <w:position w:val="6"/>
          <w:sz w:val="16"/>
        </w:rPr>
        <w:t>*</w:t>
      </w:r>
      <w:r w:rsidRPr="00583E1A">
        <w:t xml:space="preserve">inward investment vehicle (financial) for that period—all the </w:t>
      </w:r>
      <w:r w:rsidR="00583E1A" w:rsidRPr="00583E1A">
        <w:rPr>
          <w:position w:val="6"/>
          <w:sz w:val="16"/>
        </w:rPr>
        <w:t>*</w:t>
      </w:r>
      <w:r w:rsidRPr="00583E1A">
        <w:t>associate entity debt of the entity; or</w:t>
      </w:r>
    </w:p>
    <w:p w:rsidR="00887330" w:rsidRPr="00583E1A" w:rsidRDefault="00887330" w:rsidP="00887330">
      <w:pPr>
        <w:pStyle w:val="BoxPara"/>
        <w:keepNext/>
        <w:keepLines/>
      </w:pPr>
      <w:r w:rsidRPr="00583E1A">
        <w:tab/>
        <w:t>(b)</w:t>
      </w:r>
      <w:r w:rsidRPr="00583E1A">
        <w:tab/>
        <w:t xml:space="preserve">if the entity is an </w:t>
      </w:r>
      <w:r w:rsidR="00583E1A" w:rsidRPr="00583E1A">
        <w:rPr>
          <w:position w:val="6"/>
          <w:sz w:val="16"/>
        </w:rPr>
        <w:t>*</w:t>
      </w:r>
      <w:r w:rsidRPr="00583E1A">
        <w:t xml:space="preserve">inward investor (general) or an </w:t>
      </w:r>
      <w:r w:rsidR="00583E1A" w:rsidRPr="00583E1A">
        <w:rPr>
          <w:position w:val="6"/>
          <w:sz w:val="16"/>
        </w:rPr>
        <w:t>*</w:t>
      </w:r>
      <w:r w:rsidRPr="00583E1A">
        <w:t xml:space="preserve">inward investor (financial) for that period—all the associate entity debt of the entity, to the extent that it is attributable to the entity’s </w:t>
      </w:r>
      <w:r w:rsidR="00583E1A" w:rsidRPr="00583E1A">
        <w:rPr>
          <w:position w:val="6"/>
          <w:sz w:val="16"/>
        </w:rPr>
        <w:t>*</w:t>
      </w:r>
      <w:r w:rsidRPr="00583E1A">
        <w:t>Australian permanent establishments.</w:t>
      </w:r>
    </w:p>
    <w:p w:rsidR="00887330" w:rsidRPr="00583E1A" w:rsidRDefault="00AE4F7F" w:rsidP="00887330">
      <w:pPr>
        <w:pStyle w:val="BoxStep"/>
        <w:keepNext/>
        <w:keepLines/>
      </w:pPr>
      <w:r w:rsidRPr="00583E1A">
        <w:rPr>
          <w:szCs w:val="22"/>
        </w:rPr>
        <w:t>Step 3.</w:t>
      </w:r>
      <w:r w:rsidR="00887330" w:rsidRPr="00583E1A">
        <w:tab/>
        <w:t xml:space="preserve">If the entity is a </w:t>
      </w:r>
      <w:r w:rsidR="00583E1A" w:rsidRPr="00583E1A">
        <w:rPr>
          <w:position w:val="6"/>
          <w:sz w:val="16"/>
        </w:rPr>
        <w:t>*</w:t>
      </w:r>
      <w:r w:rsidR="00887330" w:rsidRPr="00583E1A">
        <w:t xml:space="preserve">financial entity throughout that period, add to the result of step 2 the average value, for that period, of the entity’s </w:t>
      </w:r>
      <w:r w:rsidR="00583E1A" w:rsidRPr="00583E1A">
        <w:rPr>
          <w:position w:val="6"/>
          <w:sz w:val="16"/>
        </w:rPr>
        <w:t>*</w:t>
      </w:r>
      <w:r w:rsidR="00887330" w:rsidRPr="00583E1A">
        <w:t>borrowed securities amount.</w:t>
      </w:r>
    </w:p>
    <w:p w:rsidR="00887330" w:rsidRPr="00583E1A" w:rsidRDefault="00AE4F7F" w:rsidP="00887330">
      <w:pPr>
        <w:pStyle w:val="BoxStep"/>
      </w:pPr>
      <w:r w:rsidRPr="00583E1A">
        <w:rPr>
          <w:szCs w:val="22"/>
        </w:rPr>
        <w:t>Step 4.</w:t>
      </w:r>
      <w:r w:rsidR="00887330" w:rsidRPr="00583E1A">
        <w:tab/>
        <w:t xml:space="preserve">Add to the result of step 3 the average value, for that period, of the </w:t>
      </w:r>
      <w:r w:rsidR="00583E1A" w:rsidRPr="00583E1A">
        <w:rPr>
          <w:position w:val="6"/>
          <w:sz w:val="16"/>
        </w:rPr>
        <w:t>*</w:t>
      </w:r>
      <w:r w:rsidR="00887330" w:rsidRPr="00583E1A">
        <w:t>cost</w:t>
      </w:r>
      <w:r w:rsidR="00583E1A">
        <w:noBreakHyphen/>
      </w:r>
      <w:r w:rsidR="00887330" w:rsidRPr="00583E1A">
        <w:t xml:space="preserve">free debt capital of the entity. The result of this step is the </w:t>
      </w:r>
      <w:r w:rsidR="00887330" w:rsidRPr="00583E1A">
        <w:rPr>
          <w:b/>
          <w:i/>
        </w:rPr>
        <w:t>adjusted average debt</w:t>
      </w:r>
      <w:r w:rsidR="00887330" w:rsidRPr="00583E1A">
        <w:t>.</w:t>
      </w:r>
    </w:p>
    <w:p w:rsidR="00887330" w:rsidRPr="00583E1A" w:rsidRDefault="00887330" w:rsidP="00887330">
      <w:pPr>
        <w:pStyle w:val="notetext"/>
      </w:pPr>
      <w:r w:rsidRPr="00583E1A">
        <w:t>Note:</w:t>
      </w:r>
      <w:r w:rsidRPr="00583E1A">
        <w:tab/>
        <w:t>To calculate an average value for the purposes of this Division, see Subdivision</w:t>
      </w:r>
      <w:r w:rsidR="00583E1A">
        <w:t> </w:t>
      </w:r>
      <w:r w:rsidRPr="00583E1A">
        <w:t>820</w:t>
      </w:r>
      <w:r w:rsidR="00583E1A">
        <w:noBreakHyphen/>
      </w:r>
      <w:r w:rsidRPr="00583E1A">
        <w:t>G.</w:t>
      </w:r>
    </w:p>
    <w:p w:rsidR="00887330" w:rsidRPr="00583E1A" w:rsidRDefault="00887330" w:rsidP="00887330">
      <w:pPr>
        <w:pStyle w:val="subsection"/>
      </w:pPr>
      <w:r w:rsidRPr="00583E1A">
        <w:tab/>
        <w:t>(2A)</w:t>
      </w:r>
      <w:r w:rsidRPr="00583E1A">
        <w:tab/>
        <w:t xml:space="preserve">The entity’s </w:t>
      </w:r>
      <w:r w:rsidR="00583E1A" w:rsidRPr="00583E1A">
        <w:rPr>
          <w:position w:val="6"/>
          <w:sz w:val="16"/>
        </w:rPr>
        <w:t>*</w:t>
      </w:r>
      <w:r w:rsidRPr="00583E1A">
        <w:t xml:space="preserve">adjusted average debt does not exceed its </w:t>
      </w:r>
      <w:r w:rsidR="00583E1A" w:rsidRPr="00583E1A">
        <w:rPr>
          <w:position w:val="6"/>
          <w:sz w:val="16"/>
        </w:rPr>
        <w:t>*</w:t>
      </w:r>
      <w:r w:rsidRPr="00583E1A">
        <w:t>maximum allowable debt if the adjusted average debt is nil or a negative amount.</w:t>
      </w:r>
    </w:p>
    <w:p w:rsidR="00887330" w:rsidRPr="00583E1A" w:rsidRDefault="00887330" w:rsidP="00887330">
      <w:pPr>
        <w:pStyle w:val="subsection"/>
      </w:pPr>
      <w:r w:rsidRPr="00583E1A">
        <w:tab/>
        <w:t>(3)</w:t>
      </w:r>
      <w:r w:rsidRPr="00583E1A">
        <w:tab/>
        <w:t>For the purposes of determining:</w:t>
      </w:r>
    </w:p>
    <w:p w:rsidR="00887330" w:rsidRPr="00583E1A" w:rsidRDefault="00887330" w:rsidP="00887330">
      <w:pPr>
        <w:pStyle w:val="paragraph"/>
      </w:pPr>
      <w:r w:rsidRPr="00583E1A">
        <w:tab/>
        <w:t>(a)</w:t>
      </w:r>
      <w:r w:rsidRPr="00583E1A">
        <w:tab/>
        <w:t xml:space="preserve">the </w:t>
      </w:r>
      <w:r w:rsidR="00583E1A" w:rsidRPr="00583E1A">
        <w:rPr>
          <w:position w:val="6"/>
          <w:sz w:val="16"/>
        </w:rPr>
        <w:t>*</w:t>
      </w:r>
      <w:r w:rsidRPr="00583E1A">
        <w:t xml:space="preserve">maximum allowable debt for the period mentioned in </w:t>
      </w:r>
      <w:r w:rsidR="00583E1A">
        <w:t>subsection (</w:t>
      </w:r>
      <w:r w:rsidRPr="00583E1A">
        <w:t>1); and</w:t>
      </w:r>
    </w:p>
    <w:p w:rsidR="00887330" w:rsidRPr="00583E1A" w:rsidRDefault="00887330" w:rsidP="00887330">
      <w:pPr>
        <w:pStyle w:val="paragraph"/>
      </w:pPr>
      <w:r w:rsidRPr="00583E1A">
        <w:lastRenderedPageBreak/>
        <w:tab/>
        <w:t>(b)</w:t>
      </w:r>
      <w:r w:rsidRPr="00583E1A">
        <w:tab/>
        <w:t xml:space="preserve">the amount of each </w:t>
      </w:r>
      <w:r w:rsidR="00583E1A" w:rsidRPr="00583E1A">
        <w:rPr>
          <w:position w:val="6"/>
          <w:sz w:val="16"/>
        </w:rPr>
        <w:t>*</w:t>
      </w:r>
      <w:r w:rsidRPr="00583E1A">
        <w:t>debt deduction to be disallowed;</w:t>
      </w:r>
    </w:p>
    <w:p w:rsidR="00887330" w:rsidRPr="00583E1A" w:rsidRDefault="00887330" w:rsidP="00887330">
      <w:pPr>
        <w:pStyle w:val="subsection2"/>
      </w:pPr>
      <w:r w:rsidRPr="00583E1A">
        <w:t>sections</w:t>
      </w:r>
      <w:r w:rsidR="00583E1A">
        <w:t> </w:t>
      </w:r>
      <w:r w:rsidRPr="00583E1A">
        <w:t>820</w:t>
      </w:r>
      <w:r w:rsidR="00583E1A">
        <w:noBreakHyphen/>
      </w:r>
      <w:r w:rsidRPr="00583E1A">
        <w:t>190 to 820</w:t>
      </w:r>
      <w:r w:rsidR="00583E1A">
        <w:noBreakHyphen/>
      </w:r>
      <w:r w:rsidRPr="00583E1A">
        <w:t>220 apply in relation to that entity and that period with the modifications set out in the following table:</w:t>
      </w:r>
    </w:p>
    <w:p w:rsidR="00887330" w:rsidRPr="00583E1A" w:rsidRDefault="00887330" w:rsidP="00887330">
      <w:pPr>
        <w:pStyle w:val="Table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708"/>
        <w:gridCol w:w="2268"/>
        <w:gridCol w:w="4134"/>
      </w:tblGrid>
      <w:tr w:rsidR="00887330" w:rsidRPr="00583E1A">
        <w:trPr>
          <w:cantSplit/>
          <w:tblHeader/>
        </w:trPr>
        <w:tc>
          <w:tcPr>
            <w:tcW w:w="7110" w:type="dxa"/>
            <w:gridSpan w:val="3"/>
            <w:tcBorders>
              <w:top w:val="single" w:sz="12" w:space="0" w:color="auto"/>
              <w:left w:val="nil"/>
              <w:bottom w:val="nil"/>
              <w:right w:val="nil"/>
            </w:tcBorders>
          </w:tcPr>
          <w:p w:rsidR="00887330" w:rsidRPr="00583E1A" w:rsidRDefault="00887330" w:rsidP="00887330">
            <w:pPr>
              <w:pStyle w:val="Tabletext"/>
            </w:pPr>
            <w:r w:rsidRPr="00583E1A">
              <w:rPr>
                <w:b/>
              </w:rPr>
              <w:t>Modifications of sections</w:t>
            </w:r>
            <w:r w:rsidR="00583E1A">
              <w:rPr>
                <w:b/>
              </w:rPr>
              <w:t> </w:t>
            </w:r>
            <w:r w:rsidRPr="00583E1A">
              <w:rPr>
                <w:b/>
              </w:rPr>
              <w:t>820</w:t>
            </w:r>
            <w:r w:rsidR="00583E1A">
              <w:rPr>
                <w:b/>
              </w:rPr>
              <w:noBreakHyphen/>
            </w:r>
            <w:r w:rsidRPr="00583E1A">
              <w:rPr>
                <w:b/>
              </w:rPr>
              <w:t>190 to 820</w:t>
            </w:r>
            <w:r w:rsidR="00583E1A">
              <w:rPr>
                <w:b/>
              </w:rPr>
              <w:noBreakHyphen/>
            </w:r>
            <w:r w:rsidRPr="00583E1A">
              <w:rPr>
                <w:b/>
              </w:rPr>
              <w:t>220</w:t>
            </w:r>
          </w:p>
        </w:tc>
      </w:tr>
      <w:tr w:rsidR="00887330" w:rsidRPr="00583E1A">
        <w:trPr>
          <w:cantSplit/>
          <w:tblHeader/>
        </w:trPr>
        <w:tc>
          <w:tcPr>
            <w:tcW w:w="708" w:type="dxa"/>
            <w:tcBorders>
              <w:top w:val="single" w:sz="6" w:space="0" w:color="auto"/>
              <w:left w:val="nil"/>
              <w:bottom w:val="single" w:sz="12" w:space="0" w:color="auto"/>
              <w:right w:val="nil"/>
            </w:tcBorders>
          </w:tcPr>
          <w:p w:rsidR="00887330" w:rsidRPr="00583E1A" w:rsidRDefault="00887330" w:rsidP="00887330">
            <w:pPr>
              <w:pStyle w:val="Tabletext"/>
            </w:pPr>
            <w:r w:rsidRPr="00583E1A">
              <w:rPr>
                <w:b/>
              </w:rPr>
              <w:t>Item</w:t>
            </w:r>
          </w:p>
        </w:tc>
        <w:tc>
          <w:tcPr>
            <w:tcW w:w="2268" w:type="dxa"/>
            <w:tcBorders>
              <w:top w:val="single" w:sz="6" w:space="0" w:color="auto"/>
              <w:left w:val="nil"/>
              <w:bottom w:val="single" w:sz="12" w:space="0" w:color="auto"/>
              <w:right w:val="nil"/>
            </w:tcBorders>
          </w:tcPr>
          <w:p w:rsidR="00887330" w:rsidRPr="00583E1A" w:rsidRDefault="00887330" w:rsidP="00887330">
            <w:pPr>
              <w:pStyle w:val="Tabletext"/>
            </w:pPr>
            <w:r w:rsidRPr="00583E1A">
              <w:rPr>
                <w:b/>
              </w:rPr>
              <w:t>Provisions</w:t>
            </w:r>
          </w:p>
        </w:tc>
        <w:tc>
          <w:tcPr>
            <w:tcW w:w="4134" w:type="dxa"/>
            <w:tcBorders>
              <w:top w:val="single" w:sz="6" w:space="0" w:color="auto"/>
              <w:left w:val="nil"/>
              <w:bottom w:val="single" w:sz="12" w:space="0" w:color="auto"/>
              <w:right w:val="nil"/>
            </w:tcBorders>
          </w:tcPr>
          <w:p w:rsidR="00887330" w:rsidRPr="00583E1A" w:rsidRDefault="00887330" w:rsidP="00887330">
            <w:pPr>
              <w:pStyle w:val="Tabletext"/>
            </w:pPr>
            <w:r w:rsidRPr="00583E1A">
              <w:rPr>
                <w:b/>
              </w:rPr>
              <w:t>Modifications</w:t>
            </w:r>
          </w:p>
        </w:tc>
      </w:tr>
      <w:tr w:rsidR="00887330" w:rsidRPr="00583E1A">
        <w:trPr>
          <w:cantSplit/>
        </w:trPr>
        <w:tc>
          <w:tcPr>
            <w:tcW w:w="708" w:type="dxa"/>
            <w:tcBorders>
              <w:top w:val="single" w:sz="12" w:space="0" w:color="auto"/>
              <w:left w:val="nil"/>
              <w:bottom w:val="single" w:sz="2" w:space="0" w:color="auto"/>
              <w:right w:val="nil"/>
            </w:tcBorders>
            <w:shd w:val="clear" w:color="auto" w:fill="auto"/>
          </w:tcPr>
          <w:p w:rsidR="00887330" w:rsidRPr="00583E1A" w:rsidRDefault="00887330" w:rsidP="00887330">
            <w:pPr>
              <w:pStyle w:val="Tabletext"/>
            </w:pPr>
            <w:r w:rsidRPr="00583E1A">
              <w:t>1</w:t>
            </w:r>
          </w:p>
        </w:tc>
        <w:tc>
          <w:tcPr>
            <w:tcW w:w="2268" w:type="dxa"/>
            <w:tcBorders>
              <w:top w:val="single" w:sz="12" w:space="0" w:color="auto"/>
              <w:left w:val="nil"/>
              <w:bottom w:val="single" w:sz="2" w:space="0" w:color="auto"/>
              <w:right w:val="nil"/>
            </w:tcBorders>
            <w:shd w:val="clear" w:color="auto" w:fill="auto"/>
          </w:tcPr>
          <w:p w:rsidR="00887330" w:rsidRPr="00583E1A" w:rsidRDefault="00887330" w:rsidP="00887330">
            <w:pPr>
              <w:pStyle w:val="Tabletext"/>
            </w:pPr>
            <w:r w:rsidRPr="00583E1A">
              <w:t>Sections</w:t>
            </w:r>
            <w:r w:rsidR="00583E1A">
              <w:t> </w:t>
            </w:r>
            <w:r w:rsidRPr="00583E1A">
              <w:t>820</w:t>
            </w:r>
            <w:r w:rsidR="00583E1A">
              <w:noBreakHyphen/>
            </w:r>
            <w:r w:rsidRPr="00583E1A">
              <w:t>190 to 820</w:t>
            </w:r>
            <w:r w:rsidR="00583E1A">
              <w:noBreakHyphen/>
            </w:r>
            <w:r w:rsidRPr="00583E1A">
              <w:t>220</w:t>
            </w:r>
          </w:p>
        </w:tc>
        <w:tc>
          <w:tcPr>
            <w:tcW w:w="4134" w:type="dxa"/>
            <w:tcBorders>
              <w:top w:val="single" w:sz="12" w:space="0" w:color="auto"/>
              <w:left w:val="nil"/>
              <w:bottom w:val="single" w:sz="2" w:space="0" w:color="auto"/>
              <w:right w:val="nil"/>
            </w:tcBorders>
            <w:shd w:val="clear" w:color="auto" w:fill="auto"/>
          </w:tcPr>
          <w:p w:rsidR="00887330" w:rsidRPr="00583E1A" w:rsidRDefault="00887330" w:rsidP="00887330">
            <w:pPr>
              <w:pStyle w:val="Tabletext"/>
            </w:pPr>
            <w:r w:rsidRPr="00583E1A">
              <w:t>A reference to an income year is taken to be a reference to that period</w:t>
            </w:r>
          </w:p>
        </w:tc>
      </w:tr>
      <w:tr w:rsidR="00887330" w:rsidRPr="00583E1A">
        <w:trPr>
          <w:cantSplit/>
        </w:trPr>
        <w:tc>
          <w:tcPr>
            <w:tcW w:w="708" w:type="dxa"/>
            <w:tcBorders>
              <w:top w:val="single" w:sz="2" w:space="0" w:color="auto"/>
              <w:left w:val="nil"/>
              <w:bottom w:val="single" w:sz="2" w:space="0" w:color="auto"/>
              <w:right w:val="nil"/>
            </w:tcBorders>
            <w:shd w:val="clear" w:color="auto" w:fill="auto"/>
          </w:tcPr>
          <w:p w:rsidR="00887330" w:rsidRPr="00583E1A" w:rsidRDefault="00887330" w:rsidP="00887330">
            <w:pPr>
              <w:pStyle w:val="Tabletext"/>
            </w:pPr>
            <w:r w:rsidRPr="00583E1A">
              <w:t>2</w:t>
            </w:r>
          </w:p>
        </w:tc>
        <w:tc>
          <w:tcPr>
            <w:tcW w:w="2268" w:type="dxa"/>
            <w:tcBorders>
              <w:top w:val="single" w:sz="2" w:space="0" w:color="auto"/>
              <w:left w:val="nil"/>
              <w:bottom w:val="single" w:sz="2" w:space="0" w:color="auto"/>
              <w:right w:val="nil"/>
            </w:tcBorders>
            <w:shd w:val="clear" w:color="auto" w:fill="auto"/>
          </w:tcPr>
          <w:p w:rsidR="00887330" w:rsidRPr="00583E1A" w:rsidRDefault="00887330" w:rsidP="00887330">
            <w:pPr>
              <w:pStyle w:val="Tabletext"/>
            </w:pPr>
            <w:r w:rsidRPr="00583E1A">
              <w:t>Section</w:t>
            </w:r>
            <w:r w:rsidR="00583E1A">
              <w:t> </w:t>
            </w:r>
            <w:r w:rsidRPr="00583E1A">
              <w:t>820</w:t>
            </w:r>
            <w:r w:rsidR="00583E1A">
              <w:noBreakHyphen/>
            </w:r>
            <w:r w:rsidRPr="00583E1A">
              <w:t>220</w:t>
            </w:r>
          </w:p>
        </w:tc>
        <w:tc>
          <w:tcPr>
            <w:tcW w:w="4134" w:type="dxa"/>
            <w:tcBorders>
              <w:top w:val="single" w:sz="2" w:space="0" w:color="auto"/>
              <w:left w:val="nil"/>
              <w:bottom w:val="single" w:sz="2" w:space="0" w:color="auto"/>
              <w:right w:val="nil"/>
            </w:tcBorders>
            <w:shd w:val="clear" w:color="auto" w:fill="auto"/>
          </w:tcPr>
          <w:p w:rsidR="00887330" w:rsidRPr="00583E1A" w:rsidRDefault="00887330" w:rsidP="00887330">
            <w:pPr>
              <w:pStyle w:val="Tabletext"/>
            </w:pPr>
            <w:r w:rsidRPr="00583E1A">
              <w:t>A reference to subsection 820</w:t>
            </w:r>
            <w:r w:rsidR="00583E1A">
              <w:noBreakHyphen/>
            </w:r>
            <w:r w:rsidRPr="00583E1A">
              <w:t xml:space="preserve">185(1) is taken to be a reference to </w:t>
            </w:r>
            <w:r w:rsidR="00583E1A">
              <w:t>subsection (</w:t>
            </w:r>
            <w:r w:rsidRPr="00583E1A">
              <w:t>1) of this section</w:t>
            </w:r>
          </w:p>
        </w:tc>
      </w:tr>
      <w:tr w:rsidR="00887330" w:rsidRPr="00583E1A">
        <w:trPr>
          <w:cantSplit/>
        </w:trPr>
        <w:tc>
          <w:tcPr>
            <w:tcW w:w="708" w:type="dxa"/>
            <w:tcBorders>
              <w:top w:val="single" w:sz="2" w:space="0" w:color="auto"/>
              <w:left w:val="nil"/>
              <w:bottom w:val="single" w:sz="12" w:space="0" w:color="auto"/>
              <w:right w:val="nil"/>
            </w:tcBorders>
          </w:tcPr>
          <w:p w:rsidR="00887330" w:rsidRPr="00583E1A" w:rsidRDefault="00887330" w:rsidP="00887330">
            <w:pPr>
              <w:pStyle w:val="Tabletext"/>
            </w:pPr>
            <w:r w:rsidRPr="00583E1A">
              <w:t>3</w:t>
            </w:r>
          </w:p>
        </w:tc>
        <w:tc>
          <w:tcPr>
            <w:tcW w:w="2268" w:type="dxa"/>
            <w:tcBorders>
              <w:top w:val="single" w:sz="2" w:space="0" w:color="auto"/>
              <w:left w:val="nil"/>
              <w:bottom w:val="single" w:sz="12" w:space="0" w:color="auto"/>
              <w:right w:val="nil"/>
            </w:tcBorders>
          </w:tcPr>
          <w:p w:rsidR="00887330" w:rsidRPr="00583E1A" w:rsidRDefault="00887330" w:rsidP="00887330">
            <w:pPr>
              <w:pStyle w:val="Tabletext"/>
            </w:pPr>
            <w:r w:rsidRPr="00583E1A">
              <w:t>Section</w:t>
            </w:r>
            <w:r w:rsidR="00583E1A">
              <w:t> </w:t>
            </w:r>
            <w:r w:rsidRPr="00583E1A">
              <w:t>820</w:t>
            </w:r>
            <w:r w:rsidR="00583E1A">
              <w:noBreakHyphen/>
            </w:r>
            <w:r w:rsidRPr="00583E1A">
              <w:t>220</w:t>
            </w:r>
          </w:p>
        </w:tc>
        <w:tc>
          <w:tcPr>
            <w:tcW w:w="4134" w:type="dxa"/>
            <w:tcBorders>
              <w:top w:val="single" w:sz="2" w:space="0" w:color="auto"/>
              <w:left w:val="nil"/>
              <w:bottom w:val="single" w:sz="12" w:space="0" w:color="auto"/>
              <w:right w:val="nil"/>
            </w:tcBorders>
          </w:tcPr>
          <w:p w:rsidR="00887330" w:rsidRPr="00583E1A" w:rsidRDefault="00887330" w:rsidP="00887330">
            <w:pPr>
              <w:pStyle w:val="Tabletext"/>
            </w:pPr>
            <w:r w:rsidRPr="00583E1A">
              <w:rPr>
                <w:b/>
                <w:i/>
              </w:rPr>
              <w:t xml:space="preserve">adjusted average debt </w:t>
            </w:r>
            <w:r w:rsidRPr="00583E1A">
              <w:t xml:space="preserve">is taken to have the meaning given by </w:t>
            </w:r>
            <w:r w:rsidR="00583E1A">
              <w:t>subsection (</w:t>
            </w:r>
            <w:r w:rsidRPr="00583E1A">
              <w:t>2) of this section</w:t>
            </w:r>
          </w:p>
          <w:p w:rsidR="00887330" w:rsidRPr="00583E1A" w:rsidRDefault="00887330" w:rsidP="00887330">
            <w:pPr>
              <w:pStyle w:val="Tabletext"/>
            </w:pPr>
            <w:r w:rsidRPr="00583E1A">
              <w:rPr>
                <w:b/>
                <w:i/>
              </w:rPr>
              <w:t>average debt</w:t>
            </w:r>
            <w:r w:rsidRPr="00583E1A">
              <w:t xml:space="preserve"> is taken to be the sum of:</w:t>
            </w:r>
          </w:p>
          <w:p w:rsidR="00887330" w:rsidRPr="00583E1A" w:rsidRDefault="00887330" w:rsidP="00887330">
            <w:pPr>
              <w:pStyle w:val="Tablea"/>
            </w:pPr>
            <w:r w:rsidRPr="00583E1A">
              <w:t>(a)</w:t>
            </w:r>
            <w:r w:rsidRPr="00583E1A">
              <w:tab/>
              <w:t xml:space="preserve">the average value, for that period, of the entity’s </w:t>
            </w:r>
            <w:r w:rsidR="00583E1A" w:rsidRPr="00583E1A">
              <w:rPr>
                <w:position w:val="6"/>
                <w:sz w:val="16"/>
              </w:rPr>
              <w:t>*</w:t>
            </w:r>
            <w:r w:rsidRPr="00583E1A">
              <w:t xml:space="preserve">debt capital that is covered by step 1 of the method statement in </w:t>
            </w:r>
            <w:r w:rsidR="00583E1A">
              <w:t>subsection (</w:t>
            </w:r>
            <w:r w:rsidRPr="00583E1A">
              <w:t>2) of this section; and</w:t>
            </w:r>
          </w:p>
          <w:p w:rsidR="00887330" w:rsidRPr="00583E1A" w:rsidRDefault="00887330" w:rsidP="00887330">
            <w:pPr>
              <w:pStyle w:val="Tablea"/>
            </w:pPr>
            <w:r w:rsidRPr="00583E1A">
              <w:t>(b)</w:t>
            </w:r>
            <w:r w:rsidRPr="00583E1A">
              <w:tab/>
              <w:t xml:space="preserve">the average value, for that period, of the entity’s </w:t>
            </w:r>
            <w:r w:rsidR="00583E1A" w:rsidRPr="00583E1A">
              <w:rPr>
                <w:position w:val="6"/>
                <w:sz w:val="16"/>
              </w:rPr>
              <w:t>*</w:t>
            </w:r>
            <w:r w:rsidRPr="00583E1A">
              <w:t>cost</w:t>
            </w:r>
            <w:r w:rsidR="00583E1A">
              <w:noBreakHyphen/>
            </w:r>
            <w:r w:rsidRPr="00583E1A">
              <w:t>free debt capital that is covered by step 4 of that method statement.</w:t>
            </w:r>
          </w:p>
        </w:tc>
      </w:tr>
    </w:tbl>
    <w:p w:rsidR="00887330" w:rsidRPr="00583E1A" w:rsidRDefault="00887330" w:rsidP="00887330">
      <w:pPr>
        <w:pStyle w:val="ActHead4"/>
      </w:pPr>
      <w:bookmarkStart w:id="207" w:name="_Toc338939281"/>
      <w:r w:rsidRPr="00583E1A">
        <w:rPr>
          <w:rStyle w:val="CharSubdNo"/>
        </w:rPr>
        <w:t>Subdivision</w:t>
      </w:r>
      <w:r w:rsidR="00583E1A">
        <w:rPr>
          <w:rStyle w:val="CharSubdNo"/>
        </w:rPr>
        <w:t> </w:t>
      </w:r>
      <w:r w:rsidRPr="00583E1A">
        <w:rPr>
          <w:rStyle w:val="CharSubdNo"/>
        </w:rPr>
        <w:t>820</w:t>
      </w:r>
      <w:r w:rsidR="00583E1A">
        <w:rPr>
          <w:rStyle w:val="CharSubdNo"/>
        </w:rPr>
        <w:noBreakHyphen/>
      </w:r>
      <w:r w:rsidRPr="00583E1A">
        <w:rPr>
          <w:rStyle w:val="CharSubdNo"/>
        </w:rPr>
        <w:t>D</w:t>
      </w:r>
      <w:r w:rsidRPr="00583E1A">
        <w:t>—</w:t>
      </w:r>
      <w:r w:rsidRPr="00583E1A">
        <w:rPr>
          <w:rStyle w:val="CharSubdText"/>
        </w:rPr>
        <w:t>Thin capitalisation rules for outward investing entities (ADI)</w:t>
      </w:r>
      <w:bookmarkEnd w:id="207"/>
    </w:p>
    <w:p w:rsidR="00887330" w:rsidRPr="00583E1A" w:rsidRDefault="00887330" w:rsidP="00887330">
      <w:pPr>
        <w:pStyle w:val="ActHead4"/>
      </w:pPr>
      <w:bookmarkStart w:id="208" w:name="_Toc338939282"/>
      <w:r w:rsidRPr="00583E1A">
        <w:t>Guide to Subdivision</w:t>
      </w:r>
      <w:r w:rsidR="00583E1A">
        <w:t> </w:t>
      </w:r>
      <w:r w:rsidRPr="00583E1A">
        <w:t>820</w:t>
      </w:r>
      <w:r w:rsidR="00583E1A">
        <w:noBreakHyphen/>
      </w:r>
      <w:r w:rsidRPr="00583E1A">
        <w:t>D</w:t>
      </w:r>
      <w:bookmarkEnd w:id="208"/>
    </w:p>
    <w:p w:rsidR="00887330" w:rsidRPr="00583E1A" w:rsidRDefault="00887330" w:rsidP="00887330">
      <w:pPr>
        <w:pStyle w:val="ActHead5"/>
      </w:pPr>
      <w:bookmarkStart w:id="209" w:name="_Toc338939283"/>
      <w:r w:rsidRPr="00583E1A">
        <w:rPr>
          <w:rStyle w:val="CharSectno"/>
        </w:rPr>
        <w:t>820</w:t>
      </w:r>
      <w:r w:rsidR="00583E1A">
        <w:rPr>
          <w:rStyle w:val="CharSectno"/>
        </w:rPr>
        <w:noBreakHyphen/>
      </w:r>
      <w:r w:rsidRPr="00583E1A">
        <w:rPr>
          <w:rStyle w:val="CharSectno"/>
        </w:rPr>
        <w:t>295</w:t>
      </w:r>
      <w:r w:rsidRPr="00583E1A">
        <w:t xml:space="preserve">  What this Subdivision is about</w:t>
      </w:r>
      <w:bookmarkEnd w:id="209"/>
    </w:p>
    <w:p w:rsidR="00887330" w:rsidRPr="00583E1A" w:rsidRDefault="00887330" w:rsidP="00887330">
      <w:pPr>
        <w:pStyle w:val="BoxText"/>
      </w:pPr>
      <w:r w:rsidRPr="00583E1A">
        <w:t>This Subdivision sets out the thin capitalisation rules that apply to an entity that is both an authorised deposit</w:t>
      </w:r>
      <w:r w:rsidR="00583E1A">
        <w:noBreakHyphen/>
      </w:r>
      <w:r w:rsidRPr="00583E1A">
        <w:t>taking institution</w:t>
      </w:r>
      <w:r w:rsidRPr="00583E1A">
        <w:rPr>
          <w:i/>
        </w:rPr>
        <w:t xml:space="preserve"> </w:t>
      </w:r>
      <w:r w:rsidRPr="00583E1A">
        <w:t xml:space="preserve">(an </w:t>
      </w:r>
      <w:r w:rsidRPr="00583E1A">
        <w:rPr>
          <w:b/>
          <w:i/>
        </w:rPr>
        <w:t>ADI</w:t>
      </w:r>
      <w:r w:rsidRPr="00583E1A">
        <w:t>) and an Australian entity that has certain types of overseas investments. These rules deal with the following matters:</w:t>
      </w:r>
    </w:p>
    <w:p w:rsidR="00887330" w:rsidRPr="00583E1A" w:rsidRDefault="00887330" w:rsidP="00887330">
      <w:pPr>
        <w:pStyle w:val="BoxList"/>
      </w:pPr>
      <w:r w:rsidRPr="00583E1A">
        <w:t>•</w:t>
      </w:r>
      <w:r w:rsidRPr="00583E1A">
        <w:tab/>
        <w:t>how to work out the entity’s minimum capital amount for an income year;</w:t>
      </w:r>
    </w:p>
    <w:p w:rsidR="00887330" w:rsidRPr="00583E1A" w:rsidRDefault="00887330" w:rsidP="00887330">
      <w:pPr>
        <w:pStyle w:val="BoxList"/>
      </w:pPr>
      <w:r w:rsidRPr="00583E1A">
        <w:lastRenderedPageBreak/>
        <w:t>•</w:t>
      </w:r>
      <w:r w:rsidRPr="00583E1A">
        <w:tab/>
        <w:t>how all or a part of the debt deductions claimed by the entity may be disallowed if the minimum capital amount is not reached;</w:t>
      </w:r>
    </w:p>
    <w:p w:rsidR="00887330" w:rsidRPr="00583E1A" w:rsidRDefault="00887330" w:rsidP="00887330">
      <w:pPr>
        <w:pStyle w:val="BoxList"/>
      </w:pPr>
      <w:r w:rsidRPr="00583E1A">
        <w:t>•</w:t>
      </w:r>
      <w:r w:rsidRPr="00583E1A">
        <w:tab/>
        <w:t>how to apply these rules to a period that is less than an income year.</w:t>
      </w:r>
    </w:p>
    <w:p w:rsidR="00887330" w:rsidRPr="00583E1A" w:rsidRDefault="00887330" w:rsidP="00887330">
      <w:pPr>
        <w:pStyle w:val="TofSectsHeading"/>
        <w:keepNext/>
        <w:keepLines/>
      </w:pPr>
      <w:r w:rsidRPr="00583E1A">
        <w:t>Table of sections</w:t>
      </w:r>
    </w:p>
    <w:p w:rsidR="00887330" w:rsidRPr="00583E1A" w:rsidRDefault="00887330" w:rsidP="00887330">
      <w:pPr>
        <w:pStyle w:val="TofSectsGroupHeading"/>
      </w:pPr>
      <w:r w:rsidRPr="00583E1A">
        <w:t>Operative provisions</w:t>
      </w:r>
    </w:p>
    <w:p w:rsidR="00887330" w:rsidRPr="00583E1A" w:rsidRDefault="00887330" w:rsidP="00887330">
      <w:pPr>
        <w:pStyle w:val="TofSectsSection"/>
        <w:keepNext/>
      </w:pPr>
      <w:r w:rsidRPr="00583E1A">
        <w:t>820</w:t>
      </w:r>
      <w:r w:rsidR="00583E1A">
        <w:noBreakHyphen/>
      </w:r>
      <w:r w:rsidRPr="00583E1A">
        <w:t>300</w:t>
      </w:r>
      <w:r w:rsidRPr="00583E1A">
        <w:tab/>
        <w:t>Thin capitalisation rule for outward investing entities (ADI)</w:t>
      </w:r>
    </w:p>
    <w:p w:rsidR="00887330" w:rsidRPr="00583E1A" w:rsidRDefault="00887330" w:rsidP="00887330">
      <w:pPr>
        <w:pStyle w:val="TofSectsSection"/>
      </w:pPr>
      <w:r w:rsidRPr="00583E1A">
        <w:t>820</w:t>
      </w:r>
      <w:r w:rsidR="00583E1A">
        <w:noBreakHyphen/>
      </w:r>
      <w:r w:rsidRPr="00583E1A">
        <w:t>305</w:t>
      </w:r>
      <w:r w:rsidRPr="00583E1A">
        <w:tab/>
        <w:t>Minimum capital amount</w:t>
      </w:r>
    </w:p>
    <w:p w:rsidR="00887330" w:rsidRPr="00583E1A" w:rsidRDefault="00887330" w:rsidP="00887330">
      <w:pPr>
        <w:pStyle w:val="TofSectsSection"/>
      </w:pPr>
      <w:r w:rsidRPr="00583E1A">
        <w:t>820</w:t>
      </w:r>
      <w:r w:rsidR="00583E1A">
        <w:noBreakHyphen/>
      </w:r>
      <w:r w:rsidRPr="00583E1A">
        <w:t>310</w:t>
      </w:r>
      <w:r w:rsidRPr="00583E1A">
        <w:tab/>
        <w:t>Safe harbour capital amount</w:t>
      </w:r>
    </w:p>
    <w:p w:rsidR="00887330" w:rsidRPr="00583E1A" w:rsidRDefault="00887330" w:rsidP="00887330">
      <w:pPr>
        <w:pStyle w:val="TofSectsSection"/>
      </w:pPr>
      <w:r w:rsidRPr="00583E1A">
        <w:t>820</w:t>
      </w:r>
      <w:r w:rsidR="00583E1A">
        <w:noBreakHyphen/>
      </w:r>
      <w:r w:rsidRPr="00583E1A">
        <w:t>315</w:t>
      </w:r>
      <w:r w:rsidRPr="00583E1A">
        <w:tab/>
        <w:t>Arm’s length capital amount</w:t>
      </w:r>
    </w:p>
    <w:p w:rsidR="00887330" w:rsidRPr="00583E1A" w:rsidRDefault="00887330" w:rsidP="00887330">
      <w:pPr>
        <w:pStyle w:val="TofSectsSection"/>
      </w:pPr>
      <w:r w:rsidRPr="00583E1A">
        <w:t>820</w:t>
      </w:r>
      <w:r w:rsidR="00583E1A">
        <w:noBreakHyphen/>
      </w:r>
      <w:r w:rsidRPr="00583E1A">
        <w:t>320</w:t>
      </w:r>
      <w:r w:rsidRPr="00583E1A">
        <w:tab/>
        <w:t>Worldwide capital amount</w:t>
      </w:r>
    </w:p>
    <w:p w:rsidR="00887330" w:rsidRPr="00583E1A" w:rsidRDefault="00887330" w:rsidP="00887330">
      <w:pPr>
        <w:pStyle w:val="TofSectsSection"/>
      </w:pPr>
      <w:r w:rsidRPr="00583E1A">
        <w:t>820</w:t>
      </w:r>
      <w:r w:rsidR="00583E1A">
        <w:noBreakHyphen/>
      </w:r>
      <w:r w:rsidRPr="00583E1A">
        <w:t>325</w:t>
      </w:r>
      <w:r w:rsidRPr="00583E1A">
        <w:tab/>
        <w:t>Amount of debt deduction disallowed</w:t>
      </w:r>
    </w:p>
    <w:p w:rsidR="00887330" w:rsidRPr="00583E1A" w:rsidRDefault="00887330" w:rsidP="00887330">
      <w:pPr>
        <w:pStyle w:val="TofSectsSection"/>
      </w:pPr>
      <w:r w:rsidRPr="00583E1A">
        <w:t>820</w:t>
      </w:r>
      <w:r w:rsidR="00583E1A">
        <w:noBreakHyphen/>
      </w:r>
      <w:r w:rsidRPr="00583E1A">
        <w:t>330</w:t>
      </w:r>
      <w:r w:rsidRPr="00583E1A">
        <w:tab/>
        <w:t>Application to part year periods</w:t>
      </w:r>
    </w:p>
    <w:p w:rsidR="00887330" w:rsidRPr="00583E1A" w:rsidRDefault="00887330" w:rsidP="00887330">
      <w:pPr>
        <w:pStyle w:val="ActHead4"/>
      </w:pPr>
      <w:bookmarkStart w:id="210" w:name="_Toc338939284"/>
      <w:r w:rsidRPr="00583E1A">
        <w:t>Operative provisions</w:t>
      </w:r>
      <w:bookmarkEnd w:id="210"/>
    </w:p>
    <w:p w:rsidR="00887330" w:rsidRPr="00583E1A" w:rsidRDefault="00887330" w:rsidP="00887330">
      <w:pPr>
        <w:pStyle w:val="ActHead5"/>
      </w:pPr>
      <w:bookmarkStart w:id="211" w:name="_Toc338939285"/>
      <w:r w:rsidRPr="00583E1A">
        <w:rPr>
          <w:rStyle w:val="CharSectno"/>
        </w:rPr>
        <w:t>820</w:t>
      </w:r>
      <w:r w:rsidR="00583E1A">
        <w:rPr>
          <w:rStyle w:val="CharSectno"/>
        </w:rPr>
        <w:noBreakHyphen/>
      </w:r>
      <w:r w:rsidRPr="00583E1A">
        <w:rPr>
          <w:rStyle w:val="CharSectno"/>
        </w:rPr>
        <w:t>300</w:t>
      </w:r>
      <w:r w:rsidRPr="00583E1A">
        <w:t xml:space="preserve">  Thin capitalisation rule for outward investing entities (ADI)</w:t>
      </w:r>
      <w:bookmarkEnd w:id="211"/>
    </w:p>
    <w:p w:rsidR="00887330" w:rsidRPr="00583E1A" w:rsidRDefault="00887330" w:rsidP="00887330">
      <w:pPr>
        <w:pStyle w:val="SubsectionHead"/>
      </w:pPr>
      <w:r w:rsidRPr="00583E1A">
        <w:t>Thin capitalisation rule</w:t>
      </w:r>
    </w:p>
    <w:p w:rsidR="00887330" w:rsidRPr="00583E1A" w:rsidRDefault="00887330" w:rsidP="00887330">
      <w:pPr>
        <w:pStyle w:val="subsection"/>
      </w:pPr>
      <w:r w:rsidRPr="00583E1A">
        <w:tab/>
        <w:t>(1)</w:t>
      </w:r>
      <w:r w:rsidRPr="00583E1A">
        <w:tab/>
        <w:t xml:space="preserve">This subsection disallows all or a part of each </w:t>
      </w:r>
      <w:r w:rsidR="00583E1A" w:rsidRPr="00583E1A">
        <w:rPr>
          <w:position w:val="6"/>
          <w:sz w:val="16"/>
        </w:rPr>
        <w:t>*</w:t>
      </w:r>
      <w:r w:rsidRPr="00583E1A">
        <w:t xml:space="preserve">debt deduction of an entity for an income year (to the extent that it is not attributable to an </w:t>
      </w:r>
      <w:r w:rsidR="00583E1A" w:rsidRPr="00583E1A">
        <w:rPr>
          <w:position w:val="6"/>
          <w:sz w:val="16"/>
        </w:rPr>
        <w:t>*</w:t>
      </w:r>
      <w:r w:rsidRPr="00583E1A">
        <w:t>overseas permanent establishment of the entity) if, for that year:</w:t>
      </w:r>
    </w:p>
    <w:p w:rsidR="00887330" w:rsidRPr="00583E1A" w:rsidRDefault="00887330" w:rsidP="00887330">
      <w:pPr>
        <w:pStyle w:val="paragraph"/>
      </w:pPr>
      <w:r w:rsidRPr="00583E1A">
        <w:tab/>
        <w:t>(a)</w:t>
      </w:r>
      <w:r w:rsidRPr="00583E1A">
        <w:tab/>
        <w:t xml:space="preserve">the entity is an </w:t>
      </w:r>
      <w:r w:rsidR="00583E1A" w:rsidRPr="00583E1A">
        <w:rPr>
          <w:position w:val="6"/>
          <w:sz w:val="16"/>
        </w:rPr>
        <w:t>*</w:t>
      </w:r>
      <w:r w:rsidRPr="00583E1A">
        <w:t xml:space="preserve">outward investing entity (ADI) (see </w:t>
      </w:r>
      <w:r w:rsidR="00583E1A">
        <w:t>subsection (</w:t>
      </w:r>
      <w:r w:rsidRPr="00583E1A">
        <w:t>2)); and</w:t>
      </w:r>
    </w:p>
    <w:p w:rsidR="00887330" w:rsidRPr="00583E1A" w:rsidRDefault="00887330" w:rsidP="00887330">
      <w:pPr>
        <w:pStyle w:val="paragraph"/>
      </w:pPr>
      <w:r w:rsidRPr="00583E1A">
        <w:tab/>
        <w:t>(b)</w:t>
      </w:r>
      <w:r w:rsidRPr="00583E1A">
        <w:tab/>
        <w:t xml:space="preserve">the entity’s </w:t>
      </w:r>
      <w:r w:rsidR="00583E1A" w:rsidRPr="00583E1A">
        <w:rPr>
          <w:position w:val="6"/>
          <w:sz w:val="16"/>
        </w:rPr>
        <w:t>*</w:t>
      </w:r>
      <w:r w:rsidRPr="00583E1A">
        <w:t xml:space="preserve">adjusted average equity capital (see </w:t>
      </w:r>
      <w:r w:rsidR="00583E1A">
        <w:t>subsection (</w:t>
      </w:r>
      <w:r w:rsidRPr="00583E1A">
        <w:t xml:space="preserve">3)) is less than the entity’s </w:t>
      </w:r>
      <w:r w:rsidR="00583E1A" w:rsidRPr="00583E1A">
        <w:rPr>
          <w:position w:val="6"/>
          <w:sz w:val="16"/>
        </w:rPr>
        <w:t>*</w:t>
      </w:r>
      <w:r w:rsidRPr="00583E1A">
        <w:t>minimum capital amount (see section</w:t>
      </w:r>
      <w:r w:rsidR="00583E1A">
        <w:t> </w:t>
      </w:r>
      <w:r w:rsidRPr="00583E1A">
        <w:t>820</w:t>
      </w:r>
      <w:r w:rsidR="00583E1A">
        <w:noBreakHyphen/>
      </w:r>
      <w:r w:rsidRPr="00583E1A">
        <w:t>305).</w:t>
      </w:r>
    </w:p>
    <w:p w:rsidR="00887330" w:rsidRPr="00583E1A" w:rsidRDefault="00887330" w:rsidP="00887330">
      <w:pPr>
        <w:pStyle w:val="notetext"/>
      </w:pPr>
      <w:r w:rsidRPr="00583E1A">
        <w:t>Note 1:</w:t>
      </w:r>
      <w:r w:rsidRPr="00583E1A">
        <w:tab/>
        <w:t>This Subdivision does not apply if the total debt deductions of that entity and all its associate entities for that year are $250,000 or less, see section</w:t>
      </w:r>
      <w:r w:rsidR="00583E1A">
        <w:t> </w:t>
      </w:r>
      <w:r w:rsidRPr="00583E1A">
        <w:t>820</w:t>
      </w:r>
      <w:r w:rsidR="00583E1A">
        <w:noBreakHyphen/>
      </w:r>
      <w:r w:rsidRPr="00583E1A">
        <w:t>35.</w:t>
      </w:r>
    </w:p>
    <w:p w:rsidR="00887330" w:rsidRPr="00583E1A" w:rsidRDefault="00887330" w:rsidP="00887330">
      <w:pPr>
        <w:pStyle w:val="notetext"/>
      </w:pPr>
      <w:r w:rsidRPr="00583E1A">
        <w:t>Note 2:</w:t>
      </w:r>
      <w:r w:rsidRPr="00583E1A">
        <w:tab/>
        <w:t>To work out the amount to be disallowed, see section</w:t>
      </w:r>
      <w:r w:rsidR="00583E1A">
        <w:t> </w:t>
      </w:r>
      <w:r w:rsidRPr="00583E1A">
        <w:t>820</w:t>
      </w:r>
      <w:r w:rsidR="00583E1A">
        <w:noBreakHyphen/>
      </w:r>
      <w:r w:rsidRPr="00583E1A">
        <w:t>325.</w:t>
      </w:r>
    </w:p>
    <w:p w:rsidR="00887330" w:rsidRPr="00583E1A" w:rsidRDefault="00887330" w:rsidP="00887330">
      <w:pPr>
        <w:pStyle w:val="notetext"/>
      </w:pPr>
      <w:r w:rsidRPr="00583E1A">
        <w:lastRenderedPageBreak/>
        <w:t>Note 3:</w:t>
      </w:r>
      <w:r w:rsidRPr="00583E1A">
        <w:tab/>
        <w:t>For the rules that apply to an entity that is an outward investing entity (ADI) for only part of an income year, see section</w:t>
      </w:r>
      <w:r w:rsidR="00583E1A">
        <w:t> </w:t>
      </w:r>
      <w:r w:rsidRPr="00583E1A">
        <w:t>820</w:t>
      </w:r>
      <w:r w:rsidR="00583E1A">
        <w:noBreakHyphen/>
      </w:r>
      <w:r w:rsidRPr="00583E1A">
        <w:t xml:space="preserve">330 in conjunction with </w:t>
      </w:r>
      <w:r w:rsidR="00583E1A">
        <w:t>subsection (</w:t>
      </w:r>
      <w:r w:rsidRPr="00583E1A">
        <w:t>2) of this section.</w:t>
      </w:r>
    </w:p>
    <w:p w:rsidR="000606CD" w:rsidRPr="00583E1A" w:rsidRDefault="000606CD" w:rsidP="000606CD">
      <w:pPr>
        <w:pStyle w:val="notetext"/>
      </w:pPr>
      <w:r w:rsidRPr="00583E1A">
        <w:t>Note 4:</w:t>
      </w:r>
      <w:r w:rsidRPr="00583E1A">
        <w:tab/>
        <w:t>A consolidated group or MEC group may be an outward investing entity (ADI) to which this Subdivision applies: see Subdivisions</w:t>
      </w:r>
      <w:r w:rsidR="00583E1A">
        <w:t> </w:t>
      </w:r>
      <w:r w:rsidRPr="00583E1A">
        <w:t>820</w:t>
      </w:r>
      <w:r w:rsidR="00583E1A">
        <w:noBreakHyphen/>
      </w:r>
      <w:r w:rsidRPr="00583E1A">
        <w:t>FA and 820</w:t>
      </w:r>
      <w:r w:rsidR="00583E1A">
        <w:noBreakHyphen/>
      </w:r>
      <w:r w:rsidRPr="00583E1A">
        <w:t>FB.</w:t>
      </w:r>
    </w:p>
    <w:p w:rsidR="00887330" w:rsidRPr="00583E1A" w:rsidRDefault="00887330" w:rsidP="00887330">
      <w:pPr>
        <w:pStyle w:val="SubsectionHead"/>
      </w:pPr>
      <w:r w:rsidRPr="00583E1A">
        <w:t>Outward investing entity (ADI)</w:t>
      </w:r>
    </w:p>
    <w:p w:rsidR="00887330" w:rsidRPr="00583E1A" w:rsidRDefault="00887330" w:rsidP="00887330">
      <w:pPr>
        <w:pStyle w:val="subsection"/>
      </w:pPr>
      <w:r w:rsidRPr="00583E1A">
        <w:tab/>
        <w:t>(2)</w:t>
      </w:r>
      <w:r w:rsidRPr="00583E1A">
        <w:tab/>
        <w:t xml:space="preserve">The entity is an </w:t>
      </w:r>
      <w:r w:rsidRPr="00583E1A">
        <w:rPr>
          <w:b/>
          <w:i/>
        </w:rPr>
        <w:t>outward investing entity (ADI)</w:t>
      </w:r>
      <w:r w:rsidRPr="00583E1A">
        <w:t xml:space="preserve"> for a period that is all or a part of an income year if, and only if, throughout that period, the entity is an </w:t>
      </w:r>
      <w:r w:rsidR="00583E1A" w:rsidRPr="00583E1A">
        <w:rPr>
          <w:position w:val="6"/>
          <w:sz w:val="16"/>
        </w:rPr>
        <w:t>*</w:t>
      </w:r>
      <w:r w:rsidRPr="00583E1A">
        <w:t>ADI to which at least one of the following paragraphs applies:</w:t>
      </w:r>
    </w:p>
    <w:p w:rsidR="00887330" w:rsidRPr="00583E1A" w:rsidRDefault="00887330" w:rsidP="00887330">
      <w:pPr>
        <w:pStyle w:val="paragraph"/>
      </w:pPr>
      <w:r w:rsidRPr="00583E1A">
        <w:tab/>
        <w:t>(a)</w:t>
      </w:r>
      <w:r w:rsidRPr="00583E1A">
        <w:tab/>
        <w:t xml:space="preserve">the entity is an </w:t>
      </w:r>
      <w:r w:rsidR="00583E1A" w:rsidRPr="00583E1A">
        <w:rPr>
          <w:position w:val="6"/>
          <w:sz w:val="16"/>
        </w:rPr>
        <w:t>*</w:t>
      </w:r>
      <w:r w:rsidRPr="00583E1A">
        <w:t xml:space="preserve">Australian controller of at least one </w:t>
      </w:r>
      <w:r w:rsidR="00583E1A" w:rsidRPr="00583E1A">
        <w:rPr>
          <w:position w:val="6"/>
          <w:sz w:val="16"/>
        </w:rPr>
        <w:t>*</w:t>
      </w:r>
      <w:r w:rsidRPr="00583E1A">
        <w:t>Australian controlled foreign entity (not necessarily the same Australian controlled foreign entity throughout that period);</w:t>
      </w:r>
    </w:p>
    <w:p w:rsidR="00887330" w:rsidRPr="00583E1A" w:rsidRDefault="00887330" w:rsidP="00887330">
      <w:pPr>
        <w:pStyle w:val="paragraph"/>
      </w:pPr>
      <w:r w:rsidRPr="00583E1A">
        <w:tab/>
        <w:t>(b)</w:t>
      </w:r>
      <w:r w:rsidRPr="00583E1A">
        <w:tab/>
        <w:t xml:space="preserve">the entity is an </w:t>
      </w:r>
      <w:r w:rsidR="00583E1A" w:rsidRPr="00583E1A">
        <w:rPr>
          <w:position w:val="6"/>
          <w:sz w:val="16"/>
        </w:rPr>
        <w:t>*</w:t>
      </w:r>
      <w:r w:rsidRPr="00583E1A">
        <w:t xml:space="preserve">Australian entity that carries on a </w:t>
      </w:r>
      <w:r w:rsidR="00583E1A" w:rsidRPr="00583E1A">
        <w:rPr>
          <w:position w:val="6"/>
          <w:sz w:val="16"/>
        </w:rPr>
        <w:t>*</w:t>
      </w:r>
      <w:r w:rsidRPr="00583E1A">
        <w:t xml:space="preserve">business at or through at least one </w:t>
      </w:r>
      <w:r w:rsidR="00583E1A" w:rsidRPr="00583E1A">
        <w:rPr>
          <w:position w:val="6"/>
          <w:sz w:val="16"/>
        </w:rPr>
        <w:t>*</w:t>
      </w:r>
      <w:r w:rsidRPr="00583E1A">
        <w:t>overseas permanent establishment (not necessarily the same permanent establishment throughout that period);</w:t>
      </w:r>
    </w:p>
    <w:p w:rsidR="00887330" w:rsidRPr="00583E1A" w:rsidRDefault="00887330" w:rsidP="00887330">
      <w:pPr>
        <w:pStyle w:val="paragraph"/>
      </w:pPr>
      <w:r w:rsidRPr="00583E1A">
        <w:tab/>
        <w:t>(c)</w:t>
      </w:r>
      <w:r w:rsidRPr="00583E1A">
        <w:tab/>
        <w:t>the entity is:</w:t>
      </w:r>
    </w:p>
    <w:p w:rsidR="00887330" w:rsidRPr="00583E1A" w:rsidRDefault="00887330" w:rsidP="00887330">
      <w:pPr>
        <w:pStyle w:val="paragraphsub"/>
      </w:pPr>
      <w:r w:rsidRPr="00583E1A">
        <w:tab/>
        <w:t>(i)</w:t>
      </w:r>
      <w:r w:rsidRPr="00583E1A">
        <w:tab/>
        <w:t>an Australian entity; and</w:t>
      </w:r>
    </w:p>
    <w:p w:rsidR="00887330" w:rsidRPr="00583E1A" w:rsidRDefault="00887330" w:rsidP="00887330">
      <w:pPr>
        <w:pStyle w:val="paragraphsub"/>
      </w:pPr>
      <w:r w:rsidRPr="00583E1A">
        <w:tab/>
        <w:t>(ii)</w:t>
      </w:r>
      <w:r w:rsidRPr="00583E1A">
        <w:tab/>
        <w:t xml:space="preserve">an </w:t>
      </w:r>
      <w:r w:rsidR="00583E1A" w:rsidRPr="00583E1A">
        <w:rPr>
          <w:position w:val="6"/>
          <w:sz w:val="16"/>
        </w:rPr>
        <w:t>*</w:t>
      </w:r>
      <w:r w:rsidRPr="00583E1A">
        <w:t xml:space="preserve">associate entity of another entity that is an </w:t>
      </w:r>
      <w:r w:rsidR="00583E1A" w:rsidRPr="00583E1A">
        <w:rPr>
          <w:position w:val="6"/>
          <w:sz w:val="16"/>
        </w:rPr>
        <w:t>*</w:t>
      </w:r>
      <w:r w:rsidRPr="00583E1A">
        <w:t>outward investing entity (non</w:t>
      </w:r>
      <w:r w:rsidR="00583E1A">
        <w:noBreakHyphen/>
      </w:r>
      <w:r w:rsidRPr="00583E1A">
        <w:t xml:space="preserve">ADI) or an </w:t>
      </w:r>
      <w:r w:rsidR="00583E1A" w:rsidRPr="00583E1A">
        <w:rPr>
          <w:position w:val="6"/>
          <w:sz w:val="16"/>
        </w:rPr>
        <w:t>*</w:t>
      </w:r>
      <w:r w:rsidRPr="00583E1A">
        <w:t>outward investing entity (ADI) for that period.</w:t>
      </w:r>
    </w:p>
    <w:p w:rsidR="00887330" w:rsidRPr="00583E1A" w:rsidRDefault="00887330" w:rsidP="00887330">
      <w:pPr>
        <w:pStyle w:val="notetext"/>
      </w:pPr>
      <w:r w:rsidRPr="00583E1A">
        <w:t>Note:</w:t>
      </w:r>
      <w:r w:rsidRPr="00583E1A">
        <w:tab/>
        <w:t>To determine whether an entity is an Australian controller of an Australian controlled foreign entity, see Subdivision</w:t>
      </w:r>
      <w:r w:rsidR="00583E1A">
        <w:t> </w:t>
      </w:r>
      <w:r w:rsidRPr="00583E1A">
        <w:t>820</w:t>
      </w:r>
      <w:r w:rsidR="00583E1A">
        <w:noBreakHyphen/>
      </w:r>
      <w:r w:rsidRPr="00583E1A">
        <w:t>H.</w:t>
      </w:r>
    </w:p>
    <w:p w:rsidR="00887330" w:rsidRPr="00583E1A" w:rsidRDefault="00887330" w:rsidP="00887330">
      <w:pPr>
        <w:pStyle w:val="SubsectionHead"/>
      </w:pPr>
      <w:r w:rsidRPr="00583E1A">
        <w:t>Adjusted average equity capital</w:t>
      </w:r>
    </w:p>
    <w:p w:rsidR="00887330" w:rsidRPr="00583E1A" w:rsidRDefault="00887330" w:rsidP="00887330">
      <w:pPr>
        <w:pStyle w:val="subsection"/>
      </w:pPr>
      <w:r w:rsidRPr="00583E1A">
        <w:tab/>
        <w:t>(3)</w:t>
      </w:r>
      <w:r w:rsidRPr="00583E1A">
        <w:tab/>
        <w:t xml:space="preserve">The entity’s </w:t>
      </w:r>
      <w:r w:rsidRPr="00583E1A">
        <w:rPr>
          <w:b/>
          <w:i/>
        </w:rPr>
        <w:t>adjusted average equity capital</w:t>
      </w:r>
      <w:r w:rsidRPr="00583E1A">
        <w:t xml:space="preserve"> for an income year is:</w:t>
      </w:r>
    </w:p>
    <w:p w:rsidR="00887330" w:rsidRPr="00583E1A" w:rsidRDefault="00887330" w:rsidP="00887330">
      <w:pPr>
        <w:pStyle w:val="paragraph"/>
      </w:pPr>
      <w:r w:rsidRPr="00583E1A">
        <w:tab/>
        <w:t>(a)</w:t>
      </w:r>
      <w:r w:rsidRPr="00583E1A">
        <w:tab/>
        <w:t xml:space="preserve">the average value, for that year, of all the </w:t>
      </w:r>
      <w:r w:rsidR="00583E1A" w:rsidRPr="00583E1A">
        <w:rPr>
          <w:position w:val="6"/>
          <w:sz w:val="16"/>
        </w:rPr>
        <w:t>*</w:t>
      </w:r>
      <w:r w:rsidRPr="00583E1A">
        <w:t xml:space="preserve">ADI equity capital of the entity (other than ADI equity capital attributable to its </w:t>
      </w:r>
      <w:r w:rsidR="00583E1A" w:rsidRPr="00583E1A">
        <w:rPr>
          <w:position w:val="6"/>
          <w:sz w:val="16"/>
        </w:rPr>
        <w:t>*</w:t>
      </w:r>
      <w:r w:rsidRPr="00583E1A">
        <w:t>overseas permanent establishments); minus</w:t>
      </w:r>
    </w:p>
    <w:p w:rsidR="00887330" w:rsidRPr="00583E1A" w:rsidRDefault="00887330" w:rsidP="00887330">
      <w:pPr>
        <w:pStyle w:val="paragraph"/>
      </w:pPr>
      <w:r w:rsidRPr="00583E1A">
        <w:tab/>
        <w:t>(b)</w:t>
      </w:r>
      <w:r w:rsidRPr="00583E1A">
        <w:tab/>
        <w:t xml:space="preserve">the average value, for that year, of all the </w:t>
      </w:r>
      <w:r w:rsidR="00583E1A" w:rsidRPr="00583E1A">
        <w:rPr>
          <w:position w:val="6"/>
          <w:sz w:val="16"/>
        </w:rPr>
        <w:t>*</w:t>
      </w:r>
      <w:r w:rsidRPr="00583E1A">
        <w:t>controlled foreign entity equity of the entity (other than controlled foreign entity equity attributable to its overseas permanent establishments).</w:t>
      </w:r>
    </w:p>
    <w:p w:rsidR="00887330" w:rsidRPr="00583E1A" w:rsidRDefault="00887330" w:rsidP="00887330">
      <w:pPr>
        <w:pStyle w:val="notetext"/>
      </w:pPr>
      <w:r w:rsidRPr="00583E1A">
        <w:t>Note:</w:t>
      </w:r>
      <w:r w:rsidRPr="00583E1A">
        <w:tab/>
        <w:t>To calculate an average value for the purposes of this Division, see Subdivision</w:t>
      </w:r>
      <w:r w:rsidR="00583E1A">
        <w:t> </w:t>
      </w:r>
      <w:r w:rsidRPr="00583E1A">
        <w:t>820</w:t>
      </w:r>
      <w:r w:rsidR="00583E1A">
        <w:noBreakHyphen/>
      </w:r>
      <w:r w:rsidRPr="00583E1A">
        <w:t>G.</w:t>
      </w:r>
    </w:p>
    <w:p w:rsidR="008637DD" w:rsidRPr="007023A5" w:rsidRDefault="008637DD" w:rsidP="008637DD">
      <w:pPr>
        <w:pStyle w:val="subsection"/>
      </w:pPr>
      <w:r w:rsidRPr="007023A5">
        <w:lastRenderedPageBreak/>
        <w:tab/>
        <w:t>(4)</w:t>
      </w:r>
      <w:r w:rsidRPr="007023A5">
        <w:tab/>
        <w:t xml:space="preserve">For the purposes of paragraph (3)(a), treat treasury shares (within the meaning of </w:t>
      </w:r>
      <w:r w:rsidRPr="007023A5">
        <w:rPr>
          <w:position w:val="6"/>
          <w:sz w:val="16"/>
        </w:rPr>
        <w:t>*</w:t>
      </w:r>
      <w:r w:rsidRPr="007023A5">
        <w:t xml:space="preserve">accounting standard AASB 132) in the entity as included in the </w:t>
      </w:r>
      <w:r w:rsidRPr="007023A5">
        <w:rPr>
          <w:position w:val="6"/>
          <w:sz w:val="16"/>
        </w:rPr>
        <w:t>*</w:t>
      </w:r>
      <w:r w:rsidRPr="007023A5">
        <w:t xml:space="preserve">ADI equity capital of the entity, to the extent that those shares are part of the entity’s eligible tier 1 capital (within the meaning of the </w:t>
      </w:r>
      <w:r w:rsidRPr="007023A5">
        <w:rPr>
          <w:position w:val="6"/>
          <w:sz w:val="16"/>
        </w:rPr>
        <w:t>*</w:t>
      </w:r>
      <w:r w:rsidRPr="007023A5">
        <w:t>prudential standards).</w:t>
      </w:r>
    </w:p>
    <w:p w:rsidR="00887330" w:rsidRPr="00583E1A" w:rsidRDefault="00887330" w:rsidP="00887330">
      <w:pPr>
        <w:pStyle w:val="ActHead5"/>
      </w:pPr>
      <w:bookmarkStart w:id="212" w:name="_Toc338939286"/>
      <w:r w:rsidRPr="00583E1A">
        <w:rPr>
          <w:rStyle w:val="CharSectno"/>
        </w:rPr>
        <w:t>820</w:t>
      </w:r>
      <w:r w:rsidR="00583E1A">
        <w:rPr>
          <w:rStyle w:val="CharSectno"/>
        </w:rPr>
        <w:noBreakHyphen/>
      </w:r>
      <w:r w:rsidRPr="00583E1A">
        <w:rPr>
          <w:rStyle w:val="CharSectno"/>
        </w:rPr>
        <w:t>305</w:t>
      </w:r>
      <w:r w:rsidRPr="00583E1A">
        <w:t xml:space="preserve">  Minimum capital amount</w:t>
      </w:r>
      <w:bookmarkEnd w:id="212"/>
    </w:p>
    <w:p w:rsidR="00887330" w:rsidRPr="00583E1A" w:rsidRDefault="00887330" w:rsidP="00887330">
      <w:pPr>
        <w:pStyle w:val="subsection"/>
      </w:pPr>
      <w:r w:rsidRPr="00583E1A">
        <w:tab/>
      </w:r>
      <w:r w:rsidRPr="00583E1A">
        <w:tab/>
        <w:t xml:space="preserve">The entity’s </w:t>
      </w:r>
      <w:r w:rsidRPr="00583E1A">
        <w:rPr>
          <w:b/>
          <w:i/>
        </w:rPr>
        <w:t>minimum capital amount</w:t>
      </w:r>
      <w:r w:rsidRPr="00583E1A">
        <w:t xml:space="preserve"> for an income year is the least of the following amounts:</w:t>
      </w:r>
    </w:p>
    <w:p w:rsidR="00887330" w:rsidRPr="00583E1A" w:rsidRDefault="00887330" w:rsidP="00887330">
      <w:pPr>
        <w:pStyle w:val="paragraph"/>
      </w:pPr>
      <w:r w:rsidRPr="00583E1A">
        <w:tab/>
        <w:t>(a)</w:t>
      </w:r>
      <w:r w:rsidRPr="00583E1A">
        <w:tab/>
        <w:t xml:space="preserve">the </w:t>
      </w:r>
      <w:r w:rsidR="00583E1A" w:rsidRPr="00583E1A">
        <w:rPr>
          <w:position w:val="6"/>
          <w:sz w:val="16"/>
        </w:rPr>
        <w:t>*</w:t>
      </w:r>
      <w:r w:rsidRPr="00583E1A">
        <w:t>safe harbour capital amount;</w:t>
      </w:r>
    </w:p>
    <w:p w:rsidR="00887330" w:rsidRPr="00583E1A" w:rsidRDefault="00887330" w:rsidP="00887330">
      <w:pPr>
        <w:pStyle w:val="paragraph"/>
      </w:pPr>
      <w:r w:rsidRPr="00583E1A">
        <w:tab/>
        <w:t>(b)</w:t>
      </w:r>
      <w:r w:rsidRPr="00583E1A">
        <w:tab/>
        <w:t xml:space="preserve">the </w:t>
      </w:r>
      <w:r w:rsidR="00583E1A" w:rsidRPr="00583E1A">
        <w:rPr>
          <w:position w:val="6"/>
          <w:sz w:val="16"/>
        </w:rPr>
        <w:t>*</w:t>
      </w:r>
      <w:r w:rsidRPr="00583E1A">
        <w:t>arm’s length capital amount;</w:t>
      </w:r>
    </w:p>
    <w:p w:rsidR="00887330" w:rsidRPr="00583E1A" w:rsidRDefault="00887330" w:rsidP="00887330">
      <w:pPr>
        <w:pStyle w:val="paragraph"/>
      </w:pPr>
      <w:r w:rsidRPr="00583E1A">
        <w:tab/>
        <w:t>(c)</w:t>
      </w:r>
      <w:r w:rsidRPr="00583E1A">
        <w:tab/>
        <w:t xml:space="preserve">the </w:t>
      </w:r>
      <w:r w:rsidR="00583E1A" w:rsidRPr="00583E1A">
        <w:rPr>
          <w:position w:val="6"/>
          <w:sz w:val="16"/>
        </w:rPr>
        <w:t>*</w:t>
      </w:r>
      <w:r w:rsidRPr="00583E1A">
        <w:t>worldwide capital amount.</w:t>
      </w:r>
    </w:p>
    <w:p w:rsidR="00887330" w:rsidRPr="00583E1A" w:rsidRDefault="00887330" w:rsidP="00887330">
      <w:pPr>
        <w:pStyle w:val="notetext"/>
      </w:pPr>
      <w:r w:rsidRPr="00583E1A">
        <w:t>Note:</w:t>
      </w:r>
      <w:r w:rsidRPr="00583E1A">
        <w:tab/>
        <w:t>The entity cannot use the worldwide capital amount if the entity is also a foreign controlled Australian entity throughout that year, see section</w:t>
      </w:r>
      <w:r w:rsidR="00583E1A">
        <w:t> </w:t>
      </w:r>
      <w:r w:rsidRPr="00583E1A">
        <w:t>820</w:t>
      </w:r>
      <w:r w:rsidR="00583E1A">
        <w:noBreakHyphen/>
      </w:r>
      <w:r w:rsidRPr="00583E1A">
        <w:t>320.</w:t>
      </w:r>
    </w:p>
    <w:p w:rsidR="00887330" w:rsidRPr="00583E1A" w:rsidRDefault="00887330" w:rsidP="00887330">
      <w:pPr>
        <w:pStyle w:val="ActHead5"/>
      </w:pPr>
      <w:bookmarkStart w:id="213" w:name="_Toc338939287"/>
      <w:r w:rsidRPr="00583E1A">
        <w:rPr>
          <w:rStyle w:val="CharSectno"/>
        </w:rPr>
        <w:t>820</w:t>
      </w:r>
      <w:r w:rsidR="00583E1A">
        <w:rPr>
          <w:rStyle w:val="CharSectno"/>
        </w:rPr>
        <w:noBreakHyphen/>
      </w:r>
      <w:r w:rsidRPr="00583E1A">
        <w:rPr>
          <w:rStyle w:val="CharSectno"/>
        </w:rPr>
        <w:t>310</w:t>
      </w:r>
      <w:r w:rsidRPr="00583E1A">
        <w:t xml:space="preserve">  Safe harbour capital amount</w:t>
      </w:r>
      <w:bookmarkEnd w:id="213"/>
    </w:p>
    <w:p w:rsidR="00887330" w:rsidRPr="00583E1A" w:rsidRDefault="00887330" w:rsidP="00887330">
      <w:pPr>
        <w:pStyle w:val="subsection"/>
      </w:pPr>
      <w:r w:rsidRPr="00583E1A">
        <w:tab/>
      </w:r>
      <w:r w:rsidR="00D31925" w:rsidRPr="007023A5">
        <w:t>(1)</w:t>
      </w:r>
      <w:r w:rsidRPr="00583E1A">
        <w:tab/>
        <w:t xml:space="preserve">The </w:t>
      </w:r>
      <w:r w:rsidRPr="00583E1A">
        <w:rPr>
          <w:b/>
          <w:i/>
        </w:rPr>
        <w:t>safe harbour capital amount</w:t>
      </w:r>
      <w:r w:rsidRPr="00583E1A">
        <w:t xml:space="preserve"> is the result of applying the method statement in this section. </w:t>
      </w:r>
    </w:p>
    <w:p w:rsidR="00887330" w:rsidRPr="00583E1A" w:rsidRDefault="00887330" w:rsidP="00887330">
      <w:pPr>
        <w:pStyle w:val="BoxHeadItalic"/>
        <w:keepNext/>
      </w:pPr>
      <w:r w:rsidRPr="00583E1A">
        <w:t>Method statement</w:t>
      </w:r>
    </w:p>
    <w:p w:rsidR="00085C7C" w:rsidRPr="007023A5" w:rsidRDefault="00085C7C" w:rsidP="00085C7C">
      <w:pPr>
        <w:pStyle w:val="BoxStep"/>
      </w:pPr>
      <w:r w:rsidRPr="007023A5">
        <w:t>Step 1.</w:t>
      </w:r>
      <w:r w:rsidRPr="007023A5">
        <w:tab/>
        <w:t>Work out the average value, for the income year, of all the entity’s:</w:t>
      </w:r>
    </w:p>
    <w:p w:rsidR="00085C7C" w:rsidRPr="007023A5" w:rsidRDefault="00085C7C" w:rsidP="00085C7C">
      <w:pPr>
        <w:pStyle w:val="BoxPara"/>
      </w:pPr>
      <w:r w:rsidRPr="007023A5">
        <w:tab/>
        <w:t>(aa)</w:t>
      </w:r>
      <w:r w:rsidRPr="007023A5">
        <w:tab/>
      </w:r>
      <w:r w:rsidRPr="007023A5">
        <w:rPr>
          <w:position w:val="6"/>
          <w:sz w:val="16"/>
        </w:rPr>
        <w:t>*</w:t>
      </w:r>
      <w:r w:rsidRPr="007023A5">
        <w:t>risk</w:t>
      </w:r>
      <w:r w:rsidRPr="007023A5">
        <w:noBreakHyphen/>
        <w:t>weighted assets; and</w:t>
      </w:r>
    </w:p>
    <w:p w:rsidR="00085C7C" w:rsidRPr="007023A5" w:rsidRDefault="00085C7C" w:rsidP="00085C7C">
      <w:pPr>
        <w:pStyle w:val="BoxPara"/>
      </w:pPr>
      <w:r w:rsidRPr="007023A5">
        <w:tab/>
        <w:t>(ab)</w:t>
      </w:r>
      <w:r w:rsidRPr="007023A5">
        <w:tab/>
        <w:t>intangible assets comprising capitalised software expenses;</w:t>
      </w:r>
    </w:p>
    <w:p w:rsidR="00085C7C" w:rsidRPr="007023A5" w:rsidRDefault="00085C7C" w:rsidP="00085C7C">
      <w:pPr>
        <w:pStyle w:val="BoxStep"/>
      </w:pPr>
      <w:r w:rsidRPr="007023A5">
        <w:tab/>
        <w:t>that are attributable to none of the following:</w:t>
      </w:r>
    </w:p>
    <w:p w:rsidR="00887330" w:rsidRPr="00583E1A" w:rsidRDefault="00887330" w:rsidP="00887330">
      <w:pPr>
        <w:pStyle w:val="BoxPara"/>
      </w:pPr>
      <w:r w:rsidRPr="00583E1A">
        <w:tab/>
        <w:t>(a)</w:t>
      </w:r>
      <w:r w:rsidRPr="00583E1A">
        <w:tab/>
        <w:t xml:space="preserve">the entity’s </w:t>
      </w:r>
      <w:r w:rsidR="00583E1A" w:rsidRPr="00583E1A">
        <w:rPr>
          <w:position w:val="6"/>
          <w:sz w:val="16"/>
        </w:rPr>
        <w:t>*</w:t>
      </w:r>
      <w:r w:rsidRPr="00583E1A">
        <w:t>overseas permanent establishments;</w:t>
      </w:r>
    </w:p>
    <w:p w:rsidR="00887330" w:rsidRPr="00583E1A" w:rsidRDefault="00887330" w:rsidP="00475F8D">
      <w:pPr>
        <w:pStyle w:val="BoxPara"/>
        <w:keepNext/>
        <w:keepLines/>
      </w:pPr>
      <w:r w:rsidRPr="00583E1A">
        <w:lastRenderedPageBreak/>
        <w:tab/>
        <w:t>(b)</w:t>
      </w:r>
      <w:r w:rsidRPr="00583E1A">
        <w:tab/>
        <w:t xml:space="preserve">assets comprised by the </w:t>
      </w:r>
      <w:r w:rsidR="00583E1A" w:rsidRPr="00583E1A">
        <w:rPr>
          <w:position w:val="6"/>
          <w:sz w:val="16"/>
        </w:rPr>
        <w:t>*</w:t>
      </w:r>
      <w:r w:rsidRPr="00583E1A">
        <w:t>controlled foreign entity equity of the entity (other than controlled foreign entity equity attributable to the entity’s overseas permanent establishments);</w:t>
      </w:r>
    </w:p>
    <w:p w:rsidR="00887330" w:rsidRPr="00583E1A" w:rsidRDefault="00887330" w:rsidP="00887330">
      <w:pPr>
        <w:pStyle w:val="BoxPara"/>
        <w:keepNext/>
        <w:keepLines/>
      </w:pPr>
      <w:r w:rsidRPr="00583E1A">
        <w:tab/>
        <w:t>(c)</w:t>
      </w:r>
      <w:r w:rsidRPr="00583E1A">
        <w:tab/>
        <w:t xml:space="preserve">assets for which </w:t>
      </w:r>
      <w:r w:rsidR="00583E1A" w:rsidRPr="00583E1A">
        <w:rPr>
          <w:position w:val="6"/>
          <w:sz w:val="16"/>
        </w:rPr>
        <w:t>*</w:t>
      </w:r>
      <w:r w:rsidRPr="00583E1A">
        <w:t>prudential capital deductions must be made by the entity (other than prudential capital deductions attributable to the entity’s overseas permanent establishments).</w:t>
      </w:r>
    </w:p>
    <w:p w:rsidR="00887330" w:rsidRPr="00583E1A" w:rsidRDefault="00AE4F7F" w:rsidP="00887330">
      <w:pPr>
        <w:pStyle w:val="BoxStep"/>
      </w:pPr>
      <w:r w:rsidRPr="00583E1A">
        <w:rPr>
          <w:szCs w:val="22"/>
        </w:rPr>
        <w:t>Step 2.</w:t>
      </w:r>
      <w:r w:rsidR="00887330" w:rsidRPr="00583E1A">
        <w:tab/>
        <w:t>Multiply the result of step 1 by 4%.</w:t>
      </w:r>
    </w:p>
    <w:p w:rsidR="00781E5A" w:rsidRPr="007023A5" w:rsidRDefault="00781E5A" w:rsidP="00781E5A">
      <w:pPr>
        <w:pStyle w:val="BoxStep"/>
      </w:pPr>
      <w:r w:rsidRPr="007023A5">
        <w:t>Step 3.</w:t>
      </w:r>
      <w:r w:rsidRPr="007023A5">
        <w:tab/>
        <w:t xml:space="preserve">Add to the result of step 2 the average value, for that year, of all the </w:t>
      </w:r>
      <w:r w:rsidRPr="007023A5">
        <w:rPr>
          <w:position w:val="6"/>
          <w:sz w:val="16"/>
        </w:rPr>
        <w:t>*</w:t>
      </w:r>
      <w:r w:rsidRPr="007023A5">
        <w:t>tier 1 prudential capital deductions for the entity, to the extent that they are not attributable to:</w:t>
      </w:r>
    </w:p>
    <w:p w:rsidR="00781E5A" w:rsidRPr="007023A5" w:rsidRDefault="00781E5A" w:rsidP="00781E5A">
      <w:pPr>
        <w:pStyle w:val="BoxPara"/>
      </w:pPr>
      <w:r w:rsidRPr="007023A5">
        <w:tab/>
        <w:t>(a)</w:t>
      </w:r>
      <w:r w:rsidRPr="007023A5">
        <w:tab/>
        <w:t xml:space="preserve">any of the entity’s </w:t>
      </w:r>
      <w:r w:rsidRPr="007023A5">
        <w:rPr>
          <w:position w:val="6"/>
          <w:sz w:val="16"/>
        </w:rPr>
        <w:t>*</w:t>
      </w:r>
      <w:r w:rsidRPr="007023A5">
        <w:t>overseas permanent establishments; or</w:t>
      </w:r>
    </w:p>
    <w:p w:rsidR="00781E5A" w:rsidRPr="007023A5" w:rsidRDefault="00781E5A" w:rsidP="00781E5A">
      <w:pPr>
        <w:pStyle w:val="BoxPara"/>
      </w:pPr>
      <w:r w:rsidRPr="007023A5">
        <w:tab/>
        <w:t>(b)</w:t>
      </w:r>
      <w:r w:rsidRPr="007023A5">
        <w:tab/>
        <w:t xml:space="preserve">any </w:t>
      </w:r>
      <w:r w:rsidRPr="007023A5">
        <w:rPr>
          <w:position w:val="6"/>
          <w:sz w:val="16"/>
        </w:rPr>
        <w:t>*</w:t>
      </w:r>
      <w:r w:rsidRPr="007023A5">
        <w:t xml:space="preserve">Australian controlled foreign entities of which the entity is an </w:t>
      </w:r>
      <w:r w:rsidRPr="007023A5">
        <w:rPr>
          <w:position w:val="6"/>
          <w:sz w:val="16"/>
        </w:rPr>
        <w:t>*</w:t>
      </w:r>
      <w:r w:rsidRPr="007023A5">
        <w:t>Australian controller; or</w:t>
      </w:r>
    </w:p>
    <w:p w:rsidR="00781E5A" w:rsidRPr="007023A5" w:rsidRDefault="00781E5A" w:rsidP="00781E5A">
      <w:pPr>
        <w:pStyle w:val="BoxPara"/>
      </w:pPr>
      <w:r w:rsidRPr="007023A5">
        <w:tab/>
        <w:t>(c)</w:t>
      </w:r>
      <w:r w:rsidRPr="007023A5">
        <w:tab/>
        <w:t xml:space="preserve">any of the entity’s goodwill or intangible assets which relate to the excess mentioned in paragraph 5.3 of </w:t>
      </w:r>
      <w:r w:rsidRPr="007023A5">
        <w:rPr>
          <w:position w:val="6"/>
          <w:sz w:val="16"/>
        </w:rPr>
        <w:t>*</w:t>
      </w:r>
      <w:r w:rsidRPr="007023A5">
        <w:t xml:space="preserve">accounting standard AASB 1038, as issued on 17 November 1998, to the extent that the excess is referrable to </w:t>
      </w:r>
      <w:r w:rsidRPr="007023A5">
        <w:rPr>
          <w:position w:val="6"/>
          <w:sz w:val="16"/>
        </w:rPr>
        <w:t>*</w:t>
      </w:r>
      <w:r w:rsidRPr="007023A5">
        <w:t>VBIF; or</w:t>
      </w:r>
    </w:p>
    <w:p w:rsidR="00781E5A" w:rsidRPr="007023A5" w:rsidRDefault="00781E5A" w:rsidP="00781E5A">
      <w:pPr>
        <w:pStyle w:val="BoxNote"/>
      </w:pPr>
      <w:r w:rsidRPr="007023A5">
        <w:tab/>
        <w:t>Note:</w:t>
      </w:r>
      <w:r w:rsidRPr="007023A5">
        <w:tab/>
        <w:t>Paragraph 5.3 of that accounting standard applies to any excess of the net market values of an interest in a subsidiary over the net amount of that subsidiary’s assets and liabilities.</w:t>
      </w:r>
    </w:p>
    <w:p w:rsidR="00781E5A" w:rsidRPr="007023A5" w:rsidRDefault="00781E5A" w:rsidP="00781E5A">
      <w:pPr>
        <w:pStyle w:val="BoxPara"/>
      </w:pPr>
      <w:r w:rsidRPr="007023A5">
        <w:tab/>
        <w:t>(d)</w:t>
      </w:r>
      <w:r w:rsidRPr="007023A5">
        <w:tab/>
        <w:t>any of the entity’s intangible assets comprising capitalised software expenses.</w:t>
      </w:r>
    </w:p>
    <w:p w:rsidR="00781E5A" w:rsidRPr="007023A5" w:rsidRDefault="00781E5A" w:rsidP="00781E5A">
      <w:pPr>
        <w:pStyle w:val="BoxStep"/>
      </w:pPr>
      <w:r w:rsidRPr="007023A5">
        <w:tab/>
        <w:t xml:space="preserve">The result of this step is the </w:t>
      </w:r>
      <w:r w:rsidRPr="007023A5">
        <w:rPr>
          <w:b/>
          <w:i/>
        </w:rPr>
        <w:t>safe harbour capital amount</w:t>
      </w:r>
      <w:r w:rsidRPr="007023A5">
        <w:t>.</w:t>
      </w:r>
    </w:p>
    <w:p w:rsidR="00887330" w:rsidRPr="00583E1A" w:rsidRDefault="00887330" w:rsidP="00887330">
      <w:pPr>
        <w:pStyle w:val="notetext"/>
      </w:pPr>
      <w:r w:rsidRPr="00583E1A">
        <w:t>Example:</w:t>
      </w:r>
      <w:r w:rsidRPr="00583E1A">
        <w:tab/>
        <w:t xml:space="preserve">The Southern Cross Bank is an Australian bank that carries on its banking business through its overseas permanent establishments and through foreign entities that it controls. For the income year, its </w:t>
      </w:r>
      <w:r w:rsidRPr="00583E1A">
        <w:lastRenderedPageBreak/>
        <w:t xml:space="preserve">average value of </w:t>
      </w:r>
      <w:r w:rsidR="00781E5A" w:rsidRPr="007023A5">
        <w:t>risk</w:t>
      </w:r>
      <w:r w:rsidR="00781E5A" w:rsidRPr="007023A5">
        <w:noBreakHyphen/>
        <w:t>weighted assets and intangible assets comprising capitalised software expenses is $150 million (having discounted those assets</w:t>
      </w:r>
      <w:r w:rsidRPr="00583E1A">
        <w:t xml:space="preserve"> that are excluded by step 1) and the average value of its relevant tier 1 prudential capital deductions is $2 million. Multiplying $150 million by 4% equals $6 million, which is the result of step 2. Adding $2 million to $6 million equals $8 million, which is the safe harbour capital amount.</w:t>
      </w:r>
    </w:p>
    <w:p w:rsidR="00AF0498" w:rsidRPr="007023A5" w:rsidRDefault="00AF0498" w:rsidP="00AF0498">
      <w:pPr>
        <w:pStyle w:val="subsection"/>
      </w:pPr>
      <w:r w:rsidRPr="007023A5">
        <w:tab/>
        <w:t>(2)</w:t>
      </w:r>
      <w:r w:rsidRPr="007023A5">
        <w:tab/>
      </w:r>
      <w:r w:rsidRPr="007023A5">
        <w:rPr>
          <w:b/>
          <w:i/>
        </w:rPr>
        <w:t>VBIF</w:t>
      </w:r>
      <w:r w:rsidRPr="007023A5">
        <w:t xml:space="preserve"> is the value of business in force at the time of acquisition of the relevant subsidiary (within the meaning of paragraph 5.3 of </w:t>
      </w:r>
      <w:r w:rsidRPr="007023A5">
        <w:rPr>
          <w:position w:val="6"/>
          <w:sz w:val="16"/>
        </w:rPr>
        <w:t>*</w:t>
      </w:r>
      <w:r w:rsidRPr="007023A5">
        <w:t>accounting standard AASB 1038, as issued on 17 November 1998) of the entity.</w:t>
      </w:r>
    </w:p>
    <w:p w:rsidR="00AF0498" w:rsidRPr="007023A5" w:rsidRDefault="00AF0498" w:rsidP="00AF0498">
      <w:pPr>
        <w:pStyle w:val="subsection"/>
      </w:pPr>
      <w:r w:rsidRPr="007023A5">
        <w:tab/>
        <w:t>(3)</w:t>
      </w:r>
      <w:r w:rsidRPr="007023A5">
        <w:tab/>
      </w:r>
      <w:r w:rsidRPr="007023A5">
        <w:rPr>
          <w:position w:val="6"/>
          <w:sz w:val="16"/>
        </w:rPr>
        <w:t>*</w:t>
      </w:r>
      <w:r w:rsidRPr="007023A5">
        <w:t xml:space="preserve">VBIF is taken to be nil at all times unless the value of VBIF at the time of acquisition of the relevant subsidiary was worked out by an </w:t>
      </w:r>
      <w:r w:rsidRPr="007023A5">
        <w:rPr>
          <w:position w:val="6"/>
          <w:sz w:val="16"/>
        </w:rPr>
        <w:t>*</w:t>
      </w:r>
      <w:r w:rsidRPr="007023A5">
        <w:t>actuary according to Australian actuarial practice.</w:t>
      </w:r>
    </w:p>
    <w:p w:rsidR="00887330" w:rsidRPr="00583E1A" w:rsidRDefault="00887330" w:rsidP="00887330">
      <w:pPr>
        <w:pStyle w:val="ActHead5"/>
      </w:pPr>
      <w:bookmarkStart w:id="214" w:name="_Toc338939288"/>
      <w:r w:rsidRPr="00583E1A">
        <w:rPr>
          <w:rStyle w:val="CharSectno"/>
        </w:rPr>
        <w:t>820</w:t>
      </w:r>
      <w:r w:rsidR="00583E1A">
        <w:rPr>
          <w:rStyle w:val="CharSectno"/>
        </w:rPr>
        <w:noBreakHyphen/>
      </w:r>
      <w:r w:rsidRPr="00583E1A">
        <w:rPr>
          <w:rStyle w:val="CharSectno"/>
        </w:rPr>
        <w:t>315</w:t>
      </w:r>
      <w:r w:rsidRPr="00583E1A">
        <w:t xml:space="preserve">  Arm’s length capital amount</w:t>
      </w:r>
      <w:bookmarkEnd w:id="214"/>
    </w:p>
    <w:p w:rsidR="00887330" w:rsidRPr="00583E1A" w:rsidRDefault="00887330" w:rsidP="00887330">
      <w:pPr>
        <w:pStyle w:val="subsection"/>
      </w:pPr>
      <w:r w:rsidRPr="00583E1A">
        <w:tab/>
        <w:t>(1)</w:t>
      </w:r>
      <w:r w:rsidRPr="00583E1A">
        <w:tab/>
        <w:t xml:space="preserve">The </w:t>
      </w:r>
      <w:r w:rsidRPr="00583E1A">
        <w:rPr>
          <w:b/>
          <w:i/>
        </w:rPr>
        <w:t>arm’s length capital amount</w:t>
      </w:r>
      <w:r w:rsidRPr="00583E1A">
        <w:t xml:space="preserve"> is a notional amount that, having regard to:</w:t>
      </w:r>
    </w:p>
    <w:p w:rsidR="00887330" w:rsidRPr="00583E1A" w:rsidRDefault="00887330" w:rsidP="00887330">
      <w:pPr>
        <w:pStyle w:val="paragraph"/>
      </w:pPr>
      <w:r w:rsidRPr="00583E1A">
        <w:tab/>
        <w:t>(a)</w:t>
      </w:r>
      <w:r w:rsidRPr="00583E1A">
        <w:tab/>
        <w:t xml:space="preserve">the factual assumptions set out in </w:t>
      </w:r>
      <w:r w:rsidR="00583E1A">
        <w:t>subsection (</w:t>
      </w:r>
      <w:r w:rsidRPr="00583E1A">
        <w:t>2); and</w:t>
      </w:r>
    </w:p>
    <w:p w:rsidR="00887330" w:rsidRPr="00583E1A" w:rsidRDefault="00887330" w:rsidP="00887330">
      <w:pPr>
        <w:pStyle w:val="paragraph"/>
      </w:pPr>
      <w:r w:rsidRPr="00583E1A">
        <w:tab/>
        <w:t>(b)</w:t>
      </w:r>
      <w:r w:rsidRPr="00583E1A">
        <w:tab/>
        <w:t xml:space="preserve">the relevant factors mentioned in </w:t>
      </w:r>
      <w:r w:rsidR="00583E1A">
        <w:t>subsection (</w:t>
      </w:r>
      <w:r w:rsidRPr="00583E1A">
        <w:t>3);</w:t>
      </w:r>
    </w:p>
    <w:p w:rsidR="00887330" w:rsidRPr="00583E1A" w:rsidRDefault="00887330" w:rsidP="00887330">
      <w:pPr>
        <w:pStyle w:val="subsection2"/>
      </w:pPr>
      <w:r w:rsidRPr="00583E1A">
        <w:t xml:space="preserve">would represent the minimum amount of </w:t>
      </w:r>
      <w:r w:rsidR="00583E1A" w:rsidRPr="00583E1A">
        <w:rPr>
          <w:position w:val="6"/>
          <w:sz w:val="16"/>
        </w:rPr>
        <w:t>*</w:t>
      </w:r>
      <w:r w:rsidRPr="00583E1A">
        <w:t xml:space="preserve">equity capital that the entity would reasonably be expected to have in carrying on the Australian business mentioned in </w:t>
      </w:r>
      <w:r w:rsidR="00583E1A">
        <w:t>subsection (</w:t>
      </w:r>
      <w:r w:rsidRPr="00583E1A">
        <w:t>2) throughout the income year if, throughout that year:</w:t>
      </w:r>
    </w:p>
    <w:p w:rsidR="00887330" w:rsidRPr="00583E1A" w:rsidRDefault="00887330" w:rsidP="00887330">
      <w:pPr>
        <w:pStyle w:val="paragraph"/>
      </w:pPr>
      <w:r w:rsidRPr="00583E1A">
        <w:tab/>
        <w:t>(c)</w:t>
      </w:r>
      <w:r w:rsidRPr="00583E1A">
        <w:tab/>
        <w:t>the part of the entity carrying on that business had operated as if it were a separate entity; and</w:t>
      </w:r>
    </w:p>
    <w:p w:rsidR="00887330" w:rsidRPr="00583E1A" w:rsidRDefault="00887330" w:rsidP="00887330">
      <w:pPr>
        <w:pStyle w:val="paragraph"/>
      </w:pPr>
      <w:r w:rsidRPr="00583E1A">
        <w:tab/>
        <w:t>(d)</w:t>
      </w:r>
      <w:r w:rsidRPr="00583E1A">
        <w:tab/>
        <w:t>that separate entity had been dealing at arm’s length with:</w:t>
      </w:r>
    </w:p>
    <w:p w:rsidR="00887330" w:rsidRPr="00583E1A" w:rsidRDefault="00887330" w:rsidP="00887330">
      <w:pPr>
        <w:pStyle w:val="paragraphsub"/>
      </w:pPr>
      <w:r w:rsidRPr="00583E1A">
        <w:tab/>
        <w:t>(i)</w:t>
      </w:r>
      <w:r w:rsidRPr="00583E1A">
        <w:tab/>
        <w:t>the other part of the entity; and</w:t>
      </w:r>
    </w:p>
    <w:p w:rsidR="00887330" w:rsidRPr="00583E1A" w:rsidRDefault="00887330" w:rsidP="00887330">
      <w:pPr>
        <w:pStyle w:val="paragraphsub"/>
      </w:pPr>
      <w:r w:rsidRPr="00583E1A">
        <w:tab/>
        <w:t>(ii)</w:t>
      </w:r>
      <w:r w:rsidRPr="00583E1A">
        <w:tab/>
        <w:t xml:space="preserve">all the </w:t>
      </w:r>
      <w:r w:rsidR="00583E1A" w:rsidRPr="00583E1A">
        <w:rPr>
          <w:position w:val="6"/>
          <w:sz w:val="16"/>
        </w:rPr>
        <w:t>*</w:t>
      </w:r>
      <w:r w:rsidRPr="00583E1A">
        <w:t xml:space="preserve">Australian controlled foreign entities of which the entity is an </w:t>
      </w:r>
      <w:r w:rsidR="00583E1A" w:rsidRPr="00583E1A">
        <w:rPr>
          <w:position w:val="6"/>
          <w:sz w:val="16"/>
        </w:rPr>
        <w:t>*</w:t>
      </w:r>
      <w:r w:rsidRPr="00583E1A">
        <w:t>Australian controller.</w:t>
      </w:r>
    </w:p>
    <w:p w:rsidR="00887330" w:rsidRPr="00583E1A" w:rsidRDefault="00887330" w:rsidP="00887330">
      <w:pPr>
        <w:pStyle w:val="notetext"/>
      </w:pPr>
      <w:r w:rsidRPr="00583E1A">
        <w:t>Note:</w:t>
      </w:r>
      <w:r w:rsidRPr="00583E1A">
        <w:tab/>
        <w:t>The entity must keep records in accordance with section</w:t>
      </w:r>
      <w:r w:rsidR="00583E1A">
        <w:t> </w:t>
      </w:r>
      <w:r w:rsidRPr="00583E1A">
        <w:t>820</w:t>
      </w:r>
      <w:r w:rsidR="00583E1A">
        <w:noBreakHyphen/>
      </w:r>
      <w:r w:rsidRPr="00583E1A">
        <w:t>980 if the entity works out an amount under this section.</w:t>
      </w:r>
    </w:p>
    <w:p w:rsidR="00887330" w:rsidRPr="00583E1A" w:rsidRDefault="00887330" w:rsidP="00887330">
      <w:pPr>
        <w:pStyle w:val="SubsectionHead"/>
      </w:pPr>
      <w:r w:rsidRPr="00583E1A">
        <w:t>Factual assumptions</w:t>
      </w:r>
    </w:p>
    <w:p w:rsidR="00887330" w:rsidRPr="00583E1A" w:rsidRDefault="00887330" w:rsidP="00887330">
      <w:pPr>
        <w:pStyle w:val="subsection"/>
      </w:pPr>
      <w:r w:rsidRPr="00583E1A">
        <w:tab/>
        <w:t>(2)</w:t>
      </w:r>
      <w:r w:rsidRPr="00583E1A">
        <w:tab/>
        <w:t>Irrespective of what actually happened during that year, the following assumptions must be made in working out that minimum amount:</w:t>
      </w:r>
    </w:p>
    <w:p w:rsidR="00887330" w:rsidRPr="00583E1A" w:rsidRDefault="00887330" w:rsidP="00887330">
      <w:pPr>
        <w:pStyle w:val="paragraph"/>
      </w:pPr>
      <w:r w:rsidRPr="00583E1A">
        <w:lastRenderedPageBreak/>
        <w:tab/>
        <w:t>(a)</w:t>
      </w:r>
      <w:r w:rsidRPr="00583E1A">
        <w:tab/>
        <w:t xml:space="preserve">the entity’s commercial activities in connection with </w:t>
      </w:r>
      <w:smartTag w:uri="urn:schemas-microsoft-com:office:smarttags" w:element="country-region">
        <w:smartTag w:uri="urn:schemas-microsoft-com:office:smarttags" w:element="place">
          <w:r w:rsidRPr="00583E1A">
            <w:t>Australia</w:t>
          </w:r>
        </w:smartTag>
      </w:smartTag>
      <w:r w:rsidRPr="00583E1A">
        <w:t xml:space="preserve"> (the </w:t>
      </w:r>
      <w:r w:rsidRPr="00583E1A">
        <w:rPr>
          <w:b/>
          <w:i/>
        </w:rPr>
        <w:t>Australian business</w:t>
      </w:r>
      <w:r w:rsidRPr="00583E1A">
        <w:t>) during that year do not include:</w:t>
      </w:r>
    </w:p>
    <w:p w:rsidR="00887330" w:rsidRPr="00583E1A" w:rsidRDefault="00887330" w:rsidP="00887330">
      <w:pPr>
        <w:pStyle w:val="paragraphsub"/>
      </w:pPr>
      <w:r w:rsidRPr="00583E1A">
        <w:tab/>
        <w:t>(i)</w:t>
      </w:r>
      <w:r w:rsidRPr="00583E1A">
        <w:tab/>
        <w:t xml:space="preserve">any </w:t>
      </w:r>
      <w:r w:rsidR="00583E1A" w:rsidRPr="00583E1A">
        <w:rPr>
          <w:position w:val="6"/>
          <w:sz w:val="16"/>
        </w:rPr>
        <w:t>*</w:t>
      </w:r>
      <w:r w:rsidRPr="00583E1A">
        <w:t xml:space="preserve">business carried on by the entity at or through its </w:t>
      </w:r>
      <w:r w:rsidR="00583E1A" w:rsidRPr="00583E1A">
        <w:rPr>
          <w:position w:val="6"/>
          <w:sz w:val="16"/>
        </w:rPr>
        <w:t>*</w:t>
      </w:r>
      <w:r w:rsidRPr="00583E1A">
        <w:t>overseas permanent establishments; or</w:t>
      </w:r>
    </w:p>
    <w:p w:rsidR="00887330" w:rsidRPr="00583E1A" w:rsidRDefault="00887330" w:rsidP="00887330">
      <w:pPr>
        <w:pStyle w:val="paragraphsub"/>
      </w:pPr>
      <w:r w:rsidRPr="00583E1A">
        <w:tab/>
        <w:t>(ii)</w:t>
      </w:r>
      <w:r w:rsidRPr="00583E1A">
        <w:tab/>
        <w:t xml:space="preserve">the holding of any </w:t>
      </w:r>
      <w:r w:rsidR="00583E1A" w:rsidRPr="00583E1A">
        <w:rPr>
          <w:position w:val="6"/>
          <w:sz w:val="16"/>
        </w:rPr>
        <w:t>*</w:t>
      </w:r>
      <w:r w:rsidRPr="00583E1A">
        <w:t>controlled foreign entity equity;</w:t>
      </w:r>
    </w:p>
    <w:p w:rsidR="00887330" w:rsidRPr="00583E1A" w:rsidRDefault="00887330" w:rsidP="00887330">
      <w:pPr>
        <w:pStyle w:val="paragraph"/>
      </w:pPr>
      <w:r w:rsidRPr="00583E1A">
        <w:tab/>
        <w:t>(b)</w:t>
      </w:r>
      <w:r w:rsidRPr="00583E1A">
        <w:tab/>
        <w:t>the entity had carried on the Australian business that it actually carried on during that year;</w:t>
      </w:r>
    </w:p>
    <w:p w:rsidR="00887330" w:rsidRPr="00583E1A" w:rsidRDefault="00887330" w:rsidP="00887330">
      <w:pPr>
        <w:pStyle w:val="paragraph"/>
      </w:pPr>
      <w:r w:rsidRPr="00583E1A">
        <w:tab/>
        <w:t>(c)</w:t>
      </w:r>
      <w:r w:rsidRPr="00583E1A">
        <w:tab/>
        <w:t>the nature of the entity’s assets and liabilities (to the extent that they are attributable to the Australian business) had been as they were during that year;</w:t>
      </w:r>
    </w:p>
    <w:p w:rsidR="00887330" w:rsidRPr="00583E1A" w:rsidRDefault="00887330" w:rsidP="00887330">
      <w:pPr>
        <w:pStyle w:val="paragraph"/>
      </w:pPr>
      <w:r w:rsidRPr="00583E1A">
        <w:tab/>
        <w:t>(d)</w:t>
      </w:r>
      <w:r w:rsidRPr="00583E1A">
        <w:tab/>
        <w:t xml:space="preserve">except as mentioned in </w:t>
      </w:r>
      <w:r w:rsidR="00583E1A">
        <w:t>subsection (</w:t>
      </w:r>
      <w:r w:rsidRPr="00583E1A">
        <w:t>1), the entity had carried on the Australian business in the same circumstances as what actually existed during that year.</w:t>
      </w:r>
    </w:p>
    <w:p w:rsidR="00887330" w:rsidRPr="00583E1A" w:rsidRDefault="00887330" w:rsidP="00887330">
      <w:pPr>
        <w:pStyle w:val="SubsectionHead"/>
      </w:pPr>
      <w:r w:rsidRPr="00583E1A">
        <w:t>Relevant factors</w:t>
      </w:r>
    </w:p>
    <w:p w:rsidR="00887330" w:rsidRPr="00583E1A" w:rsidRDefault="00887330" w:rsidP="00887330">
      <w:pPr>
        <w:pStyle w:val="subsection"/>
      </w:pPr>
      <w:r w:rsidRPr="00583E1A">
        <w:tab/>
        <w:t>(3)</w:t>
      </w:r>
      <w:r w:rsidRPr="00583E1A">
        <w:tab/>
        <w:t xml:space="preserve">On the basis of the factual assumptions set out in </w:t>
      </w:r>
      <w:r w:rsidR="00583E1A">
        <w:t>subsection (</w:t>
      </w:r>
      <w:r w:rsidRPr="00583E1A">
        <w:t>2), the following factors must be taken into account in determining that minimum amount:</w:t>
      </w:r>
    </w:p>
    <w:p w:rsidR="00887330" w:rsidRPr="00583E1A" w:rsidRDefault="00887330" w:rsidP="00887330">
      <w:pPr>
        <w:pStyle w:val="paragraph"/>
      </w:pPr>
      <w:r w:rsidRPr="00583E1A">
        <w:tab/>
        <w:t>(a)</w:t>
      </w:r>
      <w:r w:rsidRPr="00583E1A">
        <w:tab/>
        <w:t>the functions performed, the assets used, and the risks assumed, throughout that year, by:</w:t>
      </w:r>
    </w:p>
    <w:p w:rsidR="00887330" w:rsidRPr="00583E1A" w:rsidRDefault="00887330" w:rsidP="00887330">
      <w:pPr>
        <w:pStyle w:val="paragraphsub"/>
      </w:pPr>
      <w:r w:rsidRPr="00583E1A">
        <w:tab/>
        <w:t>(i)</w:t>
      </w:r>
      <w:r w:rsidRPr="00583E1A">
        <w:tab/>
        <w:t>the entity; and</w:t>
      </w:r>
    </w:p>
    <w:p w:rsidR="00887330" w:rsidRPr="00583E1A" w:rsidRDefault="00887330" w:rsidP="00887330">
      <w:pPr>
        <w:pStyle w:val="paragraphsub"/>
      </w:pPr>
      <w:r w:rsidRPr="00583E1A">
        <w:tab/>
        <w:t>(ii)</w:t>
      </w:r>
      <w:r w:rsidRPr="00583E1A">
        <w:tab/>
        <w:t>the entity in relation to the Australian business;</w:t>
      </w:r>
    </w:p>
    <w:p w:rsidR="00887330" w:rsidRPr="00583E1A" w:rsidRDefault="00887330" w:rsidP="00887330">
      <w:pPr>
        <w:pStyle w:val="paragraph"/>
      </w:pPr>
      <w:r w:rsidRPr="00583E1A">
        <w:tab/>
        <w:t>(b)</w:t>
      </w:r>
      <w:r w:rsidRPr="00583E1A">
        <w:tab/>
        <w:t>the credit rating of the entity throughout that year, including the effect of that credit rating on all of the following:</w:t>
      </w:r>
    </w:p>
    <w:p w:rsidR="00887330" w:rsidRPr="00583E1A" w:rsidRDefault="00887330" w:rsidP="00887330">
      <w:pPr>
        <w:pStyle w:val="paragraphsub"/>
      </w:pPr>
      <w:r w:rsidRPr="00583E1A">
        <w:tab/>
        <w:t>(i)</w:t>
      </w:r>
      <w:r w:rsidRPr="00583E1A">
        <w:tab/>
        <w:t>the entity’s ability to borrow in relation to the Australian business;</w:t>
      </w:r>
    </w:p>
    <w:p w:rsidR="00887330" w:rsidRPr="00583E1A" w:rsidRDefault="00887330" w:rsidP="00887330">
      <w:pPr>
        <w:pStyle w:val="paragraphsub"/>
      </w:pPr>
      <w:r w:rsidRPr="00583E1A">
        <w:tab/>
        <w:t>(ii)</w:t>
      </w:r>
      <w:r w:rsidRPr="00583E1A">
        <w:tab/>
        <w:t>the interest rate at which the entity borrowed in relation to that business;</w:t>
      </w:r>
    </w:p>
    <w:p w:rsidR="00887330" w:rsidRPr="00583E1A" w:rsidRDefault="00887330" w:rsidP="00887330">
      <w:pPr>
        <w:pStyle w:val="paragraphsub"/>
      </w:pPr>
      <w:r w:rsidRPr="00583E1A">
        <w:tab/>
        <w:t>(iii)</w:t>
      </w:r>
      <w:r w:rsidRPr="00583E1A">
        <w:tab/>
        <w:t>the entity’s gross profit margin in relation to that business;</w:t>
      </w:r>
    </w:p>
    <w:p w:rsidR="00887330" w:rsidRPr="00583E1A" w:rsidRDefault="00887330" w:rsidP="00887330">
      <w:pPr>
        <w:pStyle w:val="paragraph"/>
      </w:pPr>
      <w:r w:rsidRPr="00583E1A">
        <w:tab/>
        <w:t>(c)</w:t>
      </w:r>
      <w:r w:rsidRPr="00583E1A">
        <w:tab/>
        <w:t>the capital ratios of the following throughout that year:</w:t>
      </w:r>
    </w:p>
    <w:p w:rsidR="00887330" w:rsidRPr="00583E1A" w:rsidRDefault="00887330" w:rsidP="00887330">
      <w:pPr>
        <w:pStyle w:val="paragraphsub"/>
      </w:pPr>
      <w:r w:rsidRPr="00583E1A">
        <w:tab/>
        <w:t>(i)</w:t>
      </w:r>
      <w:r w:rsidRPr="00583E1A">
        <w:tab/>
        <w:t>the entity;</w:t>
      </w:r>
    </w:p>
    <w:p w:rsidR="00887330" w:rsidRPr="00583E1A" w:rsidRDefault="00887330" w:rsidP="00887330">
      <w:pPr>
        <w:pStyle w:val="paragraphsub"/>
      </w:pPr>
      <w:r w:rsidRPr="00583E1A">
        <w:tab/>
        <w:t>(ii)</w:t>
      </w:r>
      <w:r w:rsidRPr="00583E1A">
        <w:tab/>
        <w:t>the entity in relation to the Australian business;</w:t>
      </w:r>
    </w:p>
    <w:p w:rsidR="00887330" w:rsidRPr="00583E1A" w:rsidRDefault="00887330" w:rsidP="00887330">
      <w:pPr>
        <w:pStyle w:val="paragraphsub"/>
      </w:pPr>
      <w:r w:rsidRPr="00583E1A">
        <w:tab/>
        <w:t>(iii)</w:t>
      </w:r>
      <w:r w:rsidRPr="00583E1A">
        <w:tab/>
        <w:t xml:space="preserve">each of the entity’s </w:t>
      </w:r>
      <w:r w:rsidR="00583E1A" w:rsidRPr="00583E1A">
        <w:rPr>
          <w:position w:val="6"/>
          <w:sz w:val="16"/>
        </w:rPr>
        <w:t>*</w:t>
      </w:r>
      <w:r w:rsidRPr="00583E1A">
        <w:t>associate entities that engage in commercial activities similar to the Australian business;</w:t>
      </w:r>
    </w:p>
    <w:p w:rsidR="00887330" w:rsidRPr="00583E1A" w:rsidRDefault="00887330" w:rsidP="00887330">
      <w:pPr>
        <w:pStyle w:val="paragraph"/>
      </w:pPr>
      <w:r w:rsidRPr="00583E1A">
        <w:lastRenderedPageBreak/>
        <w:tab/>
        <w:t>(d)</w:t>
      </w:r>
      <w:r w:rsidRPr="00583E1A">
        <w:tab/>
        <w:t xml:space="preserve">the purposes for which </w:t>
      </w:r>
      <w:r w:rsidR="00583E1A" w:rsidRPr="00583E1A">
        <w:rPr>
          <w:position w:val="6"/>
          <w:sz w:val="16"/>
        </w:rPr>
        <w:t>*</w:t>
      </w:r>
      <w:r w:rsidRPr="00583E1A">
        <w:t xml:space="preserve">schemes for </w:t>
      </w:r>
      <w:r w:rsidR="00583E1A" w:rsidRPr="00583E1A">
        <w:rPr>
          <w:position w:val="6"/>
          <w:sz w:val="16"/>
        </w:rPr>
        <w:t>*</w:t>
      </w:r>
      <w:r w:rsidRPr="00583E1A">
        <w:t xml:space="preserve">debt capital and for </w:t>
      </w:r>
      <w:r w:rsidR="00583E1A" w:rsidRPr="00583E1A">
        <w:rPr>
          <w:position w:val="6"/>
          <w:sz w:val="16"/>
        </w:rPr>
        <w:t>*</w:t>
      </w:r>
      <w:r w:rsidRPr="00583E1A">
        <w:t>equity capital had been actually entered into, throughout that year, by:</w:t>
      </w:r>
    </w:p>
    <w:p w:rsidR="00887330" w:rsidRPr="00583E1A" w:rsidRDefault="00887330" w:rsidP="00887330">
      <w:pPr>
        <w:pStyle w:val="paragraphsub"/>
      </w:pPr>
      <w:r w:rsidRPr="00583E1A">
        <w:tab/>
        <w:t>(i)</w:t>
      </w:r>
      <w:r w:rsidRPr="00583E1A">
        <w:tab/>
        <w:t>the entity; and</w:t>
      </w:r>
    </w:p>
    <w:p w:rsidR="00887330" w:rsidRPr="00583E1A" w:rsidRDefault="00887330" w:rsidP="00887330">
      <w:pPr>
        <w:pStyle w:val="paragraphsub"/>
      </w:pPr>
      <w:r w:rsidRPr="00583E1A">
        <w:tab/>
        <w:t>(ii)</w:t>
      </w:r>
      <w:r w:rsidRPr="00583E1A">
        <w:tab/>
        <w:t>the entity in relation to the Australian business;</w:t>
      </w:r>
    </w:p>
    <w:p w:rsidR="00887330" w:rsidRPr="00583E1A" w:rsidRDefault="00887330" w:rsidP="00887330">
      <w:pPr>
        <w:pStyle w:val="paragraph"/>
      </w:pPr>
      <w:r w:rsidRPr="00583E1A">
        <w:tab/>
        <w:t>(e)</w:t>
      </w:r>
      <w:r w:rsidRPr="00583E1A">
        <w:tab/>
        <w:t xml:space="preserve">the profit (within the meaning of the </w:t>
      </w:r>
      <w:r w:rsidR="00583E1A" w:rsidRPr="00583E1A">
        <w:rPr>
          <w:position w:val="6"/>
          <w:sz w:val="16"/>
        </w:rPr>
        <w:t>*</w:t>
      </w:r>
      <w:r w:rsidRPr="00583E1A">
        <w:t>accounting standards), and the return on capital, whether during that year or at any other time, of:</w:t>
      </w:r>
    </w:p>
    <w:p w:rsidR="00887330" w:rsidRPr="00583E1A" w:rsidRDefault="00887330" w:rsidP="00887330">
      <w:pPr>
        <w:pStyle w:val="paragraphsub"/>
      </w:pPr>
      <w:r w:rsidRPr="00583E1A">
        <w:tab/>
        <w:t>(i)</w:t>
      </w:r>
      <w:r w:rsidRPr="00583E1A">
        <w:tab/>
        <w:t>the entity; and</w:t>
      </w:r>
    </w:p>
    <w:p w:rsidR="00887330" w:rsidRPr="00583E1A" w:rsidRDefault="00887330" w:rsidP="00887330">
      <w:pPr>
        <w:pStyle w:val="paragraphsub"/>
      </w:pPr>
      <w:r w:rsidRPr="00583E1A">
        <w:tab/>
        <w:t>(ii)</w:t>
      </w:r>
      <w:r w:rsidRPr="00583E1A">
        <w:tab/>
        <w:t>the entity in relation to the Australian business;</w:t>
      </w:r>
    </w:p>
    <w:p w:rsidR="00887330" w:rsidRPr="00583E1A" w:rsidRDefault="00887330" w:rsidP="00887330">
      <w:pPr>
        <w:pStyle w:val="paragraph"/>
      </w:pPr>
      <w:r w:rsidRPr="00583E1A">
        <w:tab/>
        <w:t>(f)</w:t>
      </w:r>
      <w:r w:rsidRPr="00583E1A">
        <w:tab/>
        <w:t>the commercial practices adopted by independent parties dealing with each other at arm’s length in the industry in which the entity carries on the Australian business throughout that year (whether in Australia or in comparable markets elsewhere);</w:t>
      </w:r>
    </w:p>
    <w:p w:rsidR="00887330" w:rsidRPr="00583E1A" w:rsidRDefault="00887330" w:rsidP="00887330">
      <w:pPr>
        <w:pStyle w:val="paragraph"/>
      </w:pPr>
      <w:r w:rsidRPr="00583E1A">
        <w:tab/>
        <w:t>(g)</w:t>
      </w:r>
      <w:r w:rsidRPr="00583E1A">
        <w:tab/>
        <w:t>the way in which the entity financed its business (other than the Australian business) throughout that year;</w:t>
      </w:r>
    </w:p>
    <w:p w:rsidR="00887330" w:rsidRPr="00583E1A" w:rsidRDefault="00887330" w:rsidP="00887330">
      <w:pPr>
        <w:pStyle w:val="paragraph"/>
      </w:pPr>
      <w:r w:rsidRPr="00583E1A">
        <w:tab/>
        <w:t>(h)</w:t>
      </w:r>
      <w:r w:rsidRPr="00583E1A">
        <w:tab/>
        <w:t>the general state of the Australian economy throughout that year;</w:t>
      </w:r>
    </w:p>
    <w:p w:rsidR="00887330" w:rsidRPr="00583E1A" w:rsidRDefault="00887330" w:rsidP="00887330">
      <w:pPr>
        <w:pStyle w:val="paragraph"/>
      </w:pPr>
      <w:r w:rsidRPr="00583E1A">
        <w:tab/>
        <w:t>(i)</w:t>
      </w:r>
      <w:r w:rsidRPr="00583E1A">
        <w:tab/>
        <w:t>any other factors which are specified in the regulations made for the purposes of this section.</w:t>
      </w:r>
    </w:p>
    <w:p w:rsidR="00887330" w:rsidRPr="00583E1A" w:rsidRDefault="00887330" w:rsidP="00887330">
      <w:pPr>
        <w:pStyle w:val="SubsectionHead"/>
      </w:pPr>
      <w:r w:rsidRPr="00583E1A">
        <w:t>Commissioner’s power</w:t>
      </w:r>
    </w:p>
    <w:p w:rsidR="00887330" w:rsidRPr="00583E1A" w:rsidRDefault="00887330" w:rsidP="00887330">
      <w:pPr>
        <w:pStyle w:val="subsection"/>
      </w:pPr>
      <w:r w:rsidRPr="00583E1A">
        <w:tab/>
        <w:t>(4)</w:t>
      </w:r>
      <w:r w:rsidRPr="00583E1A">
        <w:tab/>
        <w:t>If the Commissioner considers an amount worked out by the entity under this section does not appropriately take into account the factual assumptions and the relevant factors, the Commissioner may substitute another amount that the Commissioner considers better reflects those assumptions and factors.</w:t>
      </w:r>
    </w:p>
    <w:p w:rsidR="00887330" w:rsidRPr="00583E1A" w:rsidRDefault="00887330" w:rsidP="00887330">
      <w:pPr>
        <w:pStyle w:val="ActHead5"/>
      </w:pPr>
      <w:bookmarkStart w:id="215" w:name="_Toc338939289"/>
      <w:r w:rsidRPr="00583E1A">
        <w:rPr>
          <w:rStyle w:val="CharSectno"/>
        </w:rPr>
        <w:t>820</w:t>
      </w:r>
      <w:r w:rsidR="00583E1A">
        <w:rPr>
          <w:rStyle w:val="CharSectno"/>
        </w:rPr>
        <w:noBreakHyphen/>
      </w:r>
      <w:r w:rsidRPr="00583E1A">
        <w:rPr>
          <w:rStyle w:val="CharSectno"/>
        </w:rPr>
        <w:t>320</w:t>
      </w:r>
      <w:r w:rsidRPr="00583E1A">
        <w:t xml:space="preserve">  Worldwide capital amount</w:t>
      </w:r>
      <w:bookmarkEnd w:id="215"/>
    </w:p>
    <w:p w:rsidR="00887330" w:rsidRPr="00583E1A" w:rsidRDefault="00887330" w:rsidP="00887330">
      <w:pPr>
        <w:pStyle w:val="subsection"/>
      </w:pPr>
      <w:r w:rsidRPr="00583E1A">
        <w:tab/>
        <w:t>(1)</w:t>
      </w:r>
      <w:r w:rsidRPr="00583E1A">
        <w:tab/>
        <w:t xml:space="preserve">This section only applies if the entity is not also a </w:t>
      </w:r>
      <w:r w:rsidR="00583E1A" w:rsidRPr="00583E1A">
        <w:rPr>
          <w:position w:val="6"/>
          <w:sz w:val="16"/>
        </w:rPr>
        <w:t>*</w:t>
      </w:r>
      <w:r w:rsidRPr="00583E1A">
        <w:t>foreign controlled Australian entity throughout the income year.</w:t>
      </w:r>
    </w:p>
    <w:p w:rsidR="00887330" w:rsidRPr="00583E1A" w:rsidRDefault="00887330" w:rsidP="00887330">
      <w:pPr>
        <w:pStyle w:val="subsection"/>
      </w:pPr>
      <w:r w:rsidRPr="00583E1A">
        <w:tab/>
        <w:t>(2)</w:t>
      </w:r>
      <w:r w:rsidRPr="00583E1A">
        <w:tab/>
        <w:t xml:space="preserve">The </w:t>
      </w:r>
      <w:r w:rsidRPr="00583E1A">
        <w:rPr>
          <w:b/>
          <w:i/>
        </w:rPr>
        <w:t>worldwide capital amount</w:t>
      </w:r>
      <w:r w:rsidRPr="00583E1A">
        <w:t xml:space="preserve"> is the result of applying the method statement in this subsection.</w:t>
      </w:r>
    </w:p>
    <w:p w:rsidR="00887330" w:rsidRPr="00583E1A" w:rsidRDefault="00887330" w:rsidP="00641800">
      <w:pPr>
        <w:pStyle w:val="BoxHeadItalic"/>
        <w:keepNext/>
        <w:keepLines/>
      </w:pPr>
      <w:r w:rsidRPr="00583E1A">
        <w:lastRenderedPageBreak/>
        <w:t>Method statement</w:t>
      </w:r>
    </w:p>
    <w:p w:rsidR="00887330" w:rsidRPr="00583E1A" w:rsidRDefault="00AE4F7F" w:rsidP="00887330">
      <w:pPr>
        <w:pStyle w:val="BoxStep"/>
      </w:pPr>
      <w:r w:rsidRPr="00583E1A">
        <w:rPr>
          <w:szCs w:val="22"/>
        </w:rPr>
        <w:t>Step 1.</w:t>
      </w:r>
      <w:r w:rsidR="00887330" w:rsidRPr="00583E1A">
        <w:tab/>
        <w:t xml:space="preserve">Work out the average value, for the income year, of all the </w:t>
      </w:r>
      <w:r w:rsidR="00583E1A" w:rsidRPr="00583E1A">
        <w:rPr>
          <w:position w:val="6"/>
          <w:sz w:val="16"/>
        </w:rPr>
        <w:t>*</w:t>
      </w:r>
      <w:r w:rsidR="00887330" w:rsidRPr="00583E1A">
        <w:t>risk</w:t>
      </w:r>
      <w:r w:rsidR="00583E1A">
        <w:noBreakHyphen/>
      </w:r>
      <w:r w:rsidR="00887330" w:rsidRPr="00583E1A">
        <w:t>weighted assets of the entity, other than risk</w:t>
      </w:r>
      <w:r w:rsidR="00583E1A">
        <w:noBreakHyphen/>
      </w:r>
      <w:r w:rsidR="00887330" w:rsidRPr="00583E1A">
        <w:t>weighted assets attributable to any of the following:</w:t>
      </w:r>
    </w:p>
    <w:p w:rsidR="00887330" w:rsidRPr="00583E1A" w:rsidRDefault="00887330" w:rsidP="00887330">
      <w:pPr>
        <w:pStyle w:val="BoxPara"/>
      </w:pPr>
      <w:r w:rsidRPr="00583E1A">
        <w:tab/>
        <w:t>(a)</w:t>
      </w:r>
      <w:r w:rsidRPr="00583E1A">
        <w:tab/>
        <w:t xml:space="preserve">the entity’s </w:t>
      </w:r>
      <w:r w:rsidR="00583E1A" w:rsidRPr="00583E1A">
        <w:rPr>
          <w:position w:val="6"/>
          <w:sz w:val="16"/>
        </w:rPr>
        <w:t>*</w:t>
      </w:r>
      <w:r w:rsidRPr="00583E1A">
        <w:t>overseas permanent establishments;</w:t>
      </w:r>
    </w:p>
    <w:p w:rsidR="00887330" w:rsidRPr="00583E1A" w:rsidRDefault="00887330" w:rsidP="00887330">
      <w:pPr>
        <w:pStyle w:val="BoxPara"/>
      </w:pPr>
      <w:r w:rsidRPr="00583E1A">
        <w:tab/>
        <w:t>(b)</w:t>
      </w:r>
      <w:r w:rsidRPr="00583E1A">
        <w:tab/>
        <w:t xml:space="preserve">assets comprised by the </w:t>
      </w:r>
      <w:r w:rsidR="00583E1A" w:rsidRPr="00583E1A">
        <w:rPr>
          <w:position w:val="6"/>
          <w:sz w:val="16"/>
        </w:rPr>
        <w:t>*</w:t>
      </w:r>
      <w:r w:rsidRPr="00583E1A">
        <w:t>controlled foreign entity equity of the entity;</w:t>
      </w:r>
    </w:p>
    <w:p w:rsidR="00887330" w:rsidRPr="00583E1A" w:rsidRDefault="00887330" w:rsidP="00887330">
      <w:pPr>
        <w:pStyle w:val="BoxPara"/>
      </w:pPr>
      <w:r w:rsidRPr="00583E1A">
        <w:tab/>
        <w:t>(c)</w:t>
      </w:r>
      <w:r w:rsidRPr="00583E1A">
        <w:tab/>
        <w:t xml:space="preserve">assets for which </w:t>
      </w:r>
      <w:r w:rsidR="00583E1A" w:rsidRPr="00583E1A">
        <w:rPr>
          <w:position w:val="6"/>
          <w:sz w:val="16"/>
        </w:rPr>
        <w:t>*</w:t>
      </w:r>
      <w:r w:rsidRPr="00583E1A">
        <w:t>prudential capital deductions must be made by the entity.</w:t>
      </w:r>
    </w:p>
    <w:p w:rsidR="00887330" w:rsidRPr="00583E1A" w:rsidRDefault="00AE4F7F" w:rsidP="00887330">
      <w:pPr>
        <w:pStyle w:val="BoxStep"/>
      </w:pPr>
      <w:r w:rsidRPr="00583E1A">
        <w:rPr>
          <w:szCs w:val="22"/>
        </w:rPr>
        <w:t>Step 2.</w:t>
      </w:r>
      <w:r w:rsidR="00887330" w:rsidRPr="00583E1A">
        <w:tab/>
        <w:t xml:space="preserve">Multiply the entity’s worldwide group capital ratio for that year (see </w:t>
      </w:r>
      <w:r w:rsidR="00583E1A">
        <w:t>subsection (</w:t>
      </w:r>
      <w:r w:rsidR="00887330" w:rsidRPr="00583E1A">
        <w:t xml:space="preserve">3)) by </w:t>
      </w:r>
      <w:r w:rsidR="00887330" w:rsidRPr="00583E1A">
        <w:rPr>
          <w:position w:val="6"/>
          <w:sz w:val="16"/>
        </w:rPr>
        <w:t>8</w:t>
      </w:r>
      <w:r w:rsidR="00887330" w:rsidRPr="00583E1A">
        <w:t>/</w:t>
      </w:r>
      <w:r w:rsidR="00887330" w:rsidRPr="00583E1A">
        <w:rPr>
          <w:sz w:val="16"/>
        </w:rPr>
        <w:t>10</w:t>
      </w:r>
      <w:r w:rsidR="00887330" w:rsidRPr="00583E1A">
        <w:t>.</w:t>
      </w:r>
    </w:p>
    <w:p w:rsidR="00887330" w:rsidRPr="00583E1A" w:rsidRDefault="00AE4F7F" w:rsidP="00887330">
      <w:pPr>
        <w:pStyle w:val="BoxStep"/>
      </w:pPr>
      <w:r w:rsidRPr="00583E1A">
        <w:rPr>
          <w:szCs w:val="22"/>
        </w:rPr>
        <w:t>Step 3.</w:t>
      </w:r>
      <w:r w:rsidR="00887330" w:rsidRPr="00583E1A">
        <w:rPr>
          <w:i/>
        </w:rPr>
        <w:tab/>
      </w:r>
      <w:r w:rsidR="00887330" w:rsidRPr="00583E1A">
        <w:t>Multiply the result of step 1 by the result of step 2.</w:t>
      </w:r>
    </w:p>
    <w:p w:rsidR="00887330" w:rsidRPr="00583E1A" w:rsidRDefault="00AE4F7F" w:rsidP="00887330">
      <w:pPr>
        <w:pStyle w:val="BoxStep"/>
        <w:keepNext/>
        <w:keepLines/>
      </w:pPr>
      <w:r w:rsidRPr="00583E1A">
        <w:rPr>
          <w:szCs w:val="22"/>
        </w:rPr>
        <w:t>Step 4.</w:t>
      </w:r>
      <w:r w:rsidR="00887330" w:rsidRPr="00583E1A">
        <w:rPr>
          <w:i/>
        </w:rPr>
        <w:tab/>
      </w:r>
      <w:r w:rsidR="00887330" w:rsidRPr="00583E1A">
        <w:t xml:space="preserve">Add to the result of step 3 the average value, for that year, of all the </w:t>
      </w:r>
      <w:r w:rsidR="00583E1A" w:rsidRPr="00583E1A">
        <w:rPr>
          <w:position w:val="6"/>
          <w:sz w:val="16"/>
        </w:rPr>
        <w:t>*</w:t>
      </w:r>
      <w:r w:rsidR="00887330" w:rsidRPr="00583E1A">
        <w:t xml:space="preserve">tier 1 prudential capital deductions for the entity (to the extent that they are not attributable to any of the entity’s </w:t>
      </w:r>
      <w:r w:rsidR="00583E1A" w:rsidRPr="00583E1A">
        <w:rPr>
          <w:position w:val="6"/>
          <w:sz w:val="16"/>
        </w:rPr>
        <w:t>*</w:t>
      </w:r>
      <w:r w:rsidR="00887330" w:rsidRPr="00583E1A">
        <w:t xml:space="preserve">overseas permanent establishments or to any </w:t>
      </w:r>
      <w:r w:rsidR="00583E1A" w:rsidRPr="00583E1A">
        <w:rPr>
          <w:position w:val="6"/>
          <w:sz w:val="16"/>
        </w:rPr>
        <w:t>*</w:t>
      </w:r>
      <w:r w:rsidR="00887330" w:rsidRPr="00583E1A">
        <w:t xml:space="preserve">Australian controlled foreign entities of which the entity is an </w:t>
      </w:r>
      <w:r w:rsidR="00583E1A" w:rsidRPr="00583E1A">
        <w:rPr>
          <w:position w:val="6"/>
          <w:sz w:val="16"/>
        </w:rPr>
        <w:t>*</w:t>
      </w:r>
      <w:r w:rsidR="00887330" w:rsidRPr="00583E1A">
        <w:t xml:space="preserve">Australian controller). The result of this step is the </w:t>
      </w:r>
      <w:r w:rsidR="00887330" w:rsidRPr="00583E1A">
        <w:rPr>
          <w:b/>
          <w:i/>
        </w:rPr>
        <w:t>worldwide capital amount</w:t>
      </w:r>
      <w:r w:rsidR="00887330" w:rsidRPr="00583E1A">
        <w:rPr>
          <w:i/>
        </w:rPr>
        <w:t>.</w:t>
      </w:r>
    </w:p>
    <w:p w:rsidR="00887330" w:rsidRPr="00583E1A" w:rsidRDefault="00887330" w:rsidP="00887330">
      <w:pPr>
        <w:pStyle w:val="notetext"/>
      </w:pPr>
      <w:r w:rsidRPr="00583E1A">
        <w:t>Example:</w:t>
      </w:r>
      <w:r w:rsidRPr="00583E1A">
        <w:tab/>
        <w:t>Southern Cross Bank has an average value of risk</w:t>
      </w:r>
      <w:r w:rsidR="00583E1A">
        <w:noBreakHyphen/>
      </w:r>
      <w:r w:rsidRPr="00583E1A">
        <w:t>weighted assets of $150 million (having discounted those risk</w:t>
      </w:r>
      <w:r w:rsidR="00583E1A">
        <w:noBreakHyphen/>
      </w:r>
      <w:r w:rsidRPr="00583E1A">
        <w:t xml:space="preserve">weighted assets that are excluded by step 1) and the average value of its relevant tier 1 prudential capital deductions is $2 million. The entity’s worldwide group capital ratio is 0.0875. Multiplying that ratio by </w:t>
      </w:r>
      <w:r w:rsidRPr="00583E1A">
        <w:rPr>
          <w:position w:val="4"/>
          <w:sz w:val="14"/>
        </w:rPr>
        <w:t>8</w:t>
      </w:r>
      <w:r w:rsidRPr="00583E1A">
        <w:t>/</w:t>
      </w:r>
      <w:r w:rsidRPr="00583E1A">
        <w:rPr>
          <w:sz w:val="14"/>
        </w:rPr>
        <w:t>10</w:t>
      </w:r>
      <w:r w:rsidRPr="00583E1A">
        <w:t xml:space="preserve"> equals 0.07, which is the result of step 2. Multiplying $150 million by 0.07 equals $10.5 million, which is the result of step 3. Adding that amount to the average value of the relevant tier 1 prudential capital deductions equals $12.5 million, which is the worldwide capital amount.</w:t>
      </w:r>
    </w:p>
    <w:p w:rsidR="00887330" w:rsidRPr="00583E1A" w:rsidRDefault="00887330" w:rsidP="00887330">
      <w:pPr>
        <w:pStyle w:val="SubsectionHead"/>
      </w:pPr>
      <w:r w:rsidRPr="00583E1A">
        <w:t>Worldwide group capital ratio</w:t>
      </w:r>
    </w:p>
    <w:p w:rsidR="00887330" w:rsidRPr="00583E1A" w:rsidRDefault="00887330" w:rsidP="00887330">
      <w:pPr>
        <w:pStyle w:val="subsection"/>
        <w:rPr>
          <w:b/>
          <w:i/>
        </w:rPr>
      </w:pPr>
      <w:r w:rsidRPr="00583E1A">
        <w:tab/>
        <w:t>(3)</w:t>
      </w:r>
      <w:r w:rsidRPr="00583E1A">
        <w:tab/>
        <w:t xml:space="preserve">The entity’s </w:t>
      </w:r>
      <w:r w:rsidRPr="00583E1A">
        <w:rPr>
          <w:b/>
          <w:i/>
        </w:rPr>
        <w:t>worldwide group capital ratio</w:t>
      </w:r>
      <w:r w:rsidRPr="00583E1A">
        <w:t xml:space="preserve"> for the income year is the result of applying the method statement in this subsection.</w:t>
      </w:r>
    </w:p>
    <w:p w:rsidR="00887330" w:rsidRPr="00583E1A" w:rsidRDefault="00887330" w:rsidP="00887330">
      <w:pPr>
        <w:pStyle w:val="BoxHeadItalic"/>
        <w:keepNext/>
        <w:keepLines/>
      </w:pPr>
      <w:r w:rsidRPr="00583E1A">
        <w:lastRenderedPageBreak/>
        <w:t>Method statement</w:t>
      </w:r>
    </w:p>
    <w:p w:rsidR="00887330" w:rsidRPr="00583E1A" w:rsidRDefault="00AE4F7F" w:rsidP="00887330">
      <w:pPr>
        <w:pStyle w:val="BoxStep"/>
        <w:keepNext/>
        <w:keepLines/>
      </w:pPr>
      <w:r w:rsidRPr="00583E1A">
        <w:rPr>
          <w:szCs w:val="22"/>
        </w:rPr>
        <w:t>Step 1.</w:t>
      </w:r>
      <w:r w:rsidR="00887330" w:rsidRPr="00583E1A">
        <w:tab/>
        <w:t xml:space="preserve">Work out the average value, for the income year, of the tier 1 capital (within the meaning of the </w:t>
      </w:r>
      <w:r w:rsidR="00583E1A" w:rsidRPr="00583E1A">
        <w:rPr>
          <w:position w:val="6"/>
          <w:sz w:val="16"/>
        </w:rPr>
        <w:t>*</w:t>
      </w:r>
      <w:r w:rsidR="00887330" w:rsidRPr="00583E1A">
        <w:t>prudential standards) of the consolidated group of which the entity is a member (within the meaning of those standards) in accordance with those standards.</w:t>
      </w:r>
    </w:p>
    <w:p w:rsidR="00887330" w:rsidRPr="00583E1A" w:rsidRDefault="00AE4F7F" w:rsidP="00887330">
      <w:pPr>
        <w:pStyle w:val="BoxStep"/>
      </w:pPr>
      <w:r w:rsidRPr="00583E1A">
        <w:rPr>
          <w:szCs w:val="22"/>
        </w:rPr>
        <w:t>Step 2.</w:t>
      </w:r>
      <w:r w:rsidR="00887330" w:rsidRPr="00583E1A">
        <w:tab/>
        <w:t xml:space="preserve">Divide the result of step 1 by the average value, for that year, of the </w:t>
      </w:r>
      <w:r w:rsidR="00583E1A" w:rsidRPr="00583E1A">
        <w:rPr>
          <w:position w:val="6"/>
          <w:sz w:val="16"/>
        </w:rPr>
        <w:t>*</w:t>
      </w:r>
      <w:r w:rsidR="00887330" w:rsidRPr="00583E1A">
        <w:t>risk</w:t>
      </w:r>
      <w:r w:rsidR="00583E1A">
        <w:noBreakHyphen/>
      </w:r>
      <w:r w:rsidR="00887330" w:rsidRPr="00583E1A">
        <w:t xml:space="preserve">weighted assets of that group in accordance with the </w:t>
      </w:r>
      <w:r w:rsidR="00583E1A" w:rsidRPr="00583E1A">
        <w:rPr>
          <w:position w:val="6"/>
          <w:sz w:val="16"/>
        </w:rPr>
        <w:t>*</w:t>
      </w:r>
      <w:r w:rsidR="00887330" w:rsidRPr="00583E1A">
        <w:t xml:space="preserve">prudential standards. The result is the </w:t>
      </w:r>
      <w:r w:rsidR="00887330" w:rsidRPr="00583E1A">
        <w:rPr>
          <w:b/>
          <w:i/>
        </w:rPr>
        <w:t>worldwide group capital ratio</w:t>
      </w:r>
      <w:r w:rsidR="00887330" w:rsidRPr="00583E1A">
        <w:t>.</w:t>
      </w:r>
    </w:p>
    <w:p w:rsidR="00887330" w:rsidRPr="00583E1A" w:rsidRDefault="00887330" w:rsidP="00887330">
      <w:pPr>
        <w:pStyle w:val="notetext"/>
      </w:pPr>
      <w:r w:rsidRPr="00583E1A">
        <w:t>Example:</w:t>
      </w:r>
      <w:r w:rsidRPr="00583E1A">
        <w:tab/>
        <w:t>For the Southern Cross Bank, the average value of the tier 1 capital for the relevant consolidated group is $14 million. Dividing $14 million by the group’s risk weighted assets of $160 million equals 0.0875, which is the worldwide group capital ratio.</w:t>
      </w:r>
    </w:p>
    <w:p w:rsidR="00887330" w:rsidRPr="00583E1A" w:rsidRDefault="00887330" w:rsidP="00887330">
      <w:pPr>
        <w:pStyle w:val="ActHead5"/>
      </w:pPr>
      <w:bookmarkStart w:id="216" w:name="_Toc338939290"/>
      <w:r w:rsidRPr="00583E1A">
        <w:rPr>
          <w:rStyle w:val="CharSectno"/>
        </w:rPr>
        <w:t>820</w:t>
      </w:r>
      <w:r w:rsidR="00583E1A">
        <w:rPr>
          <w:rStyle w:val="CharSectno"/>
        </w:rPr>
        <w:noBreakHyphen/>
      </w:r>
      <w:r w:rsidRPr="00583E1A">
        <w:rPr>
          <w:rStyle w:val="CharSectno"/>
        </w:rPr>
        <w:t>325</w:t>
      </w:r>
      <w:r w:rsidRPr="00583E1A">
        <w:t xml:space="preserve">  Amount of debt deduction disallowed</w:t>
      </w:r>
      <w:bookmarkEnd w:id="216"/>
    </w:p>
    <w:p w:rsidR="00887330" w:rsidRPr="00583E1A" w:rsidRDefault="00887330" w:rsidP="00887330">
      <w:pPr>
        <w:pStyle w:val="subsection"/>
      </w:pPr>
      <w:r w:rsidRPr="00583E1A">
        <w:tab/>
      </w:r>
      <w:r w:rsidRPr="00583E1A">
        <w:tab/>
        <w:t xml:space="preserve">The amount of </w:t>
      </w:r>
      <w:r w:rsidR="00583E1A" w:rsidRPr="00583E1A">
        <w:rPr>
          <w:position w:val="6"/>
          <w:sz w:val="16"/>
        </w:rPr>
        <w:t>*</w:t>
      </w:r>
      <w:r w:rsidRPr="00583E1A">
        <w:t>debt deduction disallowed under subsection 820</w:t>
      </w:r>
      <w:r w:rsidR="00583E1A">
        <w:noBreakHyphen/>
      </w:r>
      <w:r w:rsidRPr="00583E1A">
        <w:t>300(1) is worked out using the following formula:</w:t>
      </w:r>
    </w:p>
    <w:p w:rsidR="00CB48B4" w:rsidRPr="00583E1A" w:rsidRDefault="00623A5C" w:rsidP="00887330">
      <w:pPr>
        <w:pStyle w:val="Formula"/>
        <w:spacing w:before="60" w:after="60"/>
      </w:pPr>
      <w:r>
        <w:rPr>
          <w:noProof/>
        </w:rPr>
        <w:drawing>
          <wp:inline distT="0" distB="0" distL="0" distR="0">
            <wp:extent cx="1971675" cy="3810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1971675" cy="381000"/>
                    </a:xfrm>
                    <a:prstGeom prst="rect">
                      <a:avLst/>
                    </a:prstGeom>
                    <a:noFill/>
                    <a:ln>
                      <a:noFill/>
                    </a:ln>
                  </pic:spPr>
                </pic:pic>
              </a:graphicData>
            </a:graphic>
          </wp:inline>
        </w:drawing>
      </w:r>
    </w:p>
    <w:p w:rsidR="00887330" w:rsidRPr="00583E1A" w:rsidRDefault="00887330" w:rsidP="00887330">
      <w:pPr>
        <w:pStyle w:val="subsection2"/>
      </w:pPr>
      <w:r w:rsidRPr="00583E1A">
        <w:t>where:</w:t>
      </w:r>
    </w:p>
    <w:p w:rsidR="00887330" w:rsidRPr="00583E1A" w:rsidRDefault="00887330" w:rsidP="00887330">
      <w:pPr>
        <w:pStyle w:val="Definition"/>
      </w:pPr>
      <w:r w:rsidRPr="00583E1A">
        <w:rPr>
          <w:b/>
          <w:i/>
        </w:rPr>
        <w:t>average debt</w:t>
      </w:r>
      <w:r w:rsidRPr="00583E1A">
        <w:t xml:space="preserve"> means the average value, for the income year, of all the </w:t>
      </w:r>
      <w:r w:rsidR="00583E1A" w:rsidRPr="00583E1A">
        <w:rPr>
          <w:position w:val="6"/>
          <w:sz w:val="16"/>
        </w:rPr>
        <w:t>*</w:t>
      </w:r>
      <w:r w:rsidRPr="00583E1A">
        <w:t xml:space="preserve">debt capital of the entity that gives rise to </w:t>
      </w:r>
      <w:r w:rsidR="00583E1A" w:rsidRPr="00583E1A">
        <w:rPr>
          <w:position w:val="6"/>
          <w:sz w:val="16"/>
        </w:rPr>
        <w:t>*</w:t>
      </w:r>
      <w:r w:rsidRPr="00583E1A">
        <w:t xml:space="preserve">debt deductions of the entity for that or any other income year (other than any debt capital that is attributable to any of the entity’s </w:t>
      </w:r>
      <w:r w:rsidR="00583E1A" w:rsidRPr="00583E1A">
        <w:rPr>
          <w:position w:val="6"/>
          <w:sz w:val="16"/>
        </w:rPr>
        <w:t>*</w:t>
      </w:r>
      <w:r w:rsidRPr="00583E1A">
        <w:t>overseas permanent establishments).</w:t>
      </w:r>
    </w:p>
    <w:p w:rsidR="00887330" w:rsidRPr="00583E1A" w:rsidRDefault="00887330" w:rsidP="00887330">
      <w:pPr>
        <w:pStyle w:val="Definition"/>
      </w:pPr>
      <w:r w:rsidRPr="00583E1A">
        <w:rPr>
          <w:b/>
          <w:i/>
        </w:rPr>
        <w:t xml:space="preserve">capital shortfall </w:t>
      </w:r>
      <w:r w:rsidRPr="00583E1A">
        <w:t xml:space="preserve">means the amount by which the </w:t>
      </w:r>
      <w:r w:rsidR="00583E1A" w:rsidRPr="00583E1A">
        <w:rPr>
          <w:position w:val="6"/>
          <w:sz w:val="16"/>
        </w:rPr>
        <w:t>*</w:t>
      </w:r>
      <w:r w:rsidRPr="00583E1A">
        <w:t>adjusted average equity capital of the entity for that year (see subsection 820</w:t>
      </w:r>
      <w:r w:rsidR="00583E1A">
        <w:noBreakHyphen/>
      </w:r>
      <w:r w:rsidRPr="00583E1A">
        <w:t xml:space="preserve">300(3)) is less than the entity’s </w:t>
      </w:r>
      <w:r w:rsidR="00583E1A" w:rsidRPr="00583E1A">
        <w:rPr>
          <w:position w:val="6"/>
          <w:sz w:val="16"/>
        </w:rPr>
        <w:t>*</w:t>
      </w:r>
      <w:r w:rsidRPr="00583E1A">
        <w:t>minimum capital amount for that year.</w:t>
      </w:r>
    </w:p>
    <w:p w:rsidR="00887330" w:rsidRPr="00583E1A" w:rsidRDefault="00887330" w:rsidP="00887330">
      <w:pPr>
        <w:pStyle w:val="Definition"/>
      </w:pPr>
      <w:r w:rsidRPr="00583E1A">
        <w:rPr>
          <w:b/>
          <w:i/>
        </w:rPr>
        <w:t xml:space="preserve">debt deduction </w:t>
      </w:r>
      <w:r w:rsidRPr="00583E1A">
        <w:t xml:space="preserve">means each </w:t>
      </w:r>
      <w:r w:rsidR="00583E1A" w:rsidRPr="00583E1A">
        <w:rPr>
          <w:position w:val="6"/>
          <w:sz w:val="16"/>
        </w:rPr>
        <w:t>*</w:t>
      </w:r>
      <w:r w:rsidRPr="00583E1A">
        <w:t>debt deduction covered by subsection 820</w:t>
      </w:r>
      <w:r w:rsidR="00583E1A">
        <w:noBreakHyphen/>
      </w:r>
      <w:r w:rsidRPr="00583E1A">
        <w:t>300(1).</w:t>
      </w:r>
    </w:p>
    <w:p w:rsidR="00887330" w:rsidRPr="00583E1A" w:rsidRDefault="00887330" w:rsidP="00887330">
      <w:pPr>
        <w:pStyle w:val="notetext"/>
      </w:pPr>
      <w:r w:rsidRPr="00583E1A">
        <w:t>Note:</w:t>
      </w:r>
      <w:r w:rsidRPr="00583E1A">
        <w:tab/>
        <w:t>The disallowed amount also does not form part of the cost base of a CGT asset. See section</w:t>
      </w:r>
      <w:r w:rsidR="00583E1A">
        <w:t> </w:t>
      </w:r>
      <w:r w:rsidRPr="00583E1A">
        <w:t>110</w:t>
      </w:r>
      <w:r w:rsidR="00583E1A">
        <w:noBreakHyphen/>
      </w:r>
      <w:r w:rsidRPr="00583E1A">
        <w:t>54.</w:t>
      </w:r>
    </w:p>
    <w:p w:rsidR="00887330" w:rsidRPr="00583E1A" w:rsidRDefault="00887330" w:rsidP="00887330">
      <w:pPr>
        <w:pStyle w:val="ActHead5"/>
      </w:pPr>
      <w:bookmarkStart w:id="217" w:name="_Toc338939291"/>
      <w:r w:rsidRPr="00583E1A">
        <w:rPr>
          <w:rStyle w:val="CharSectno"/>
        </w:rPr>
        <w:lastRenderedPageBreak/>
        <w:t>820</w:t>
      </w:r>
      <w:r w:rsidR="00583E1A">
        <w:rPr>
          <w:rStyle w:val="CharSectno"/>
        </w:rPr>
        <w:noBreakHyphen/>
      </w:r>
      <w:r w:rsidRPr="00583E1A">
        <w:rPr>
          <w:rStyle w:val="CharSectno"/>
        </w:rPr>
        <w:t>330</w:t>
      </w:r>
      <w:r w:rsidRPr="00583E1A">
        <w:t xml:space="preserve">  Application to part year periods</w:t>
      </w:r>
      <w:bookmarkEnd w:id="217"/>
    </w:p>
    <w:p w:rsidR="00887330" w:rsidRPr="00583E1A" w:rsidRDefault="00887330" w:rsidP="00887330">
      <w:pPr>
        <w:pStyle w:val="subsection"/>
      </w:pPr>
      <w:r w:rsidRPr="00583E1A">
        <w:tab/>
        <w:t>(1)</w:t>
      </w:r>
      <w:r w:rsidRPr="00583E1A">
        <w:tab/>
        <w:t xml:space="preserve">This subsection disallows all or a part of each </w:t>
      </w:r>
      <w:r w:rsidR="00583E1A" w:rsidRPr="00583E1A">
        <w:rPr>
          <w:position w:val="6"/>
          <w:sz w:val="16"/>
        </w:rPr>
        <w:t>*</w:t>
      </w:r>
      <w:r w:rsidRPr="00583E1A">
        <w:t xml:space="preserve">debt deduction of an entity for an income year that is an amount incurred by the entity during a period that is a part of that year (to the extent that it is not attributable to an </w:t>
      </w:r>
      <w:r w:rsidR="00583E1A" w:rsidRPr="00583E1A">
        <w:rPr>
          <w:position w:val="6"/>
          <w:sz w:val="16"/>
        </w:rPr>
        <w:t>*</w:t>
      </w:r>
      <w:r w:rsidRPr="00583E1A">
        <w:t>overseas permanent establishment of the entity) if, for that period:</w:t>
      </w:r>
    </w:p>
    <w:p w:rsidR="00887330" w:rsidRPr="00583E1A" w:rsidRDefault="00887330" w:rsidP="00887330">
      <w:pPr>
        <w:pStyle w:val="paragraph"/>
      </w:pPr>
      <w:r w:rsidRPr="00583E1A">
        <w:tab/>
        <w:t>(a)</w:t>
      </w:r>
      <w:r w:rsidRPr="00583E1A">
        <w:tab/>
        <w:t xml:space="preserve">the entity is an </w:t>
      </w:r>
      <w:r w:rsidR="00583E1A" w:rsidRPr="00583E1A">
        <w:rPr>
          <w:position w:val="6"/>
          <w:sz w:val="16"/>
        </w:rPr>
        <w:t>*</w:t>
      </w:r>
      <w:r w:rsidRPr="00583E1A">
        <w:t>outward investing entity (ADI); and</w:t>
      </w:r>
    </w:p>
    <w:p w:rsidR="00887330" w:rsidRPr="00583E1A" w:rsidRDefault="00887330" w:rsidP="00887330">
      <w:pPr>
        <w:pStyle w:val="paragraph"/>
      </w:pPr>
      <w:r w:rsidRPr="00583E1A">
        <w:tab/>
        <w:t>(b)</w:t>
      </w:r>
      <w:r w:rsidRPr="00583E1A">
        <w:tab/>
        <w:t xml:space="preserve">the </w:t>
      </w:r>
      <w:r w:rsidR="00583E1A" w:rsidRPr="00583E1A">
        <w:rPr>
          <w:position w:val="6"/>
          <w:sz w:val="16"/>
        </w:rPr>
        <w:t>*</w:t>
      </w:r>
      <w:r w:rsidRPr="00583E1A">
        <w:t xml:space="preserve">adjusted average equity capital of the entity is less than the entity’s </w:t>
      </w:r>
      <w:r w:rsidR="00583E1A" w:rsidRPr="00583E1A">
        <w:rPr>
          <w:position w:val="6"/>
          <w:sz w:val="16"/>
        </w:rPr>
        <w:t>*</w:t>
      </w:r>
      <w:r w:rsidRPr="00583E1A">
        <w:t>minimum capital amount.</w:t>
      </w:r>
    </w:p>
    <w:p w:rsidR="00887330" w:rsidRPr="00583E1A" w:rsidRDefault="00887330" w:rsidP="00887330">
      <w:pPr>
        <w:pStyle w:val="notetext"/>
      </w:pPr>
      <w:r w:rsidRPr="00583E1A">
        <w:t>Note:</w:t>
      </w:r>
      <w:r w:rsidRPr="00583E1A">
        <w:tab/>
        <w:t>To determine whether an entity is an outward investing entity (non</w:t>
      </w:r>
      <w:r w:rsidR="00583E1A">
        <w:noBreakHyphen/>
      </w:r>
      <w:r w:rsidRPr="00583E1A">
        <w:t>ADI) for that period, see subsection 820</w:t>
      </w:r>
      <w:r w:rsidR="00583E1A">
        <w:noBreakHyphen/>
      </w:r>
      <w:r w:rsidRPr="00583E1A">
        <w:t>300(2).</w:t>
      </w:r>
    </w:p>
    <w:p w:rsidR="00887330" w:rsidRPr="00583E1A" w:rsidRDefault="00887330" w:rsidP="00887330">
      <w:pPr>
        <w:pStyle w:val="subsection"/>
      </w:pPr>
      <w:r w:rsidRPr="00583E1A">
        <w:tab/>
        <w:t>(2)</w:t>
      </w:r>
      <w:r w:rsidRPr="00583E1A">
        <w:tab/>
        <w:t xml:space="preserve">The entity’s </w:t>
      </w:r>
      <w:r w:rsidRPr="00583E1A">
        <w:rPr>
          <w:b/>
          <w:i/>
        </w:rPr>
        <w:t>adjusted average equity capital</w:t>
      </w:r>
      <w:r w:rsidRPr="00583E1A">
        <w:t xml:space="preserve"> for that period is:</w:t>
      </w:r>
    </w:p>
    <w:p w:rsidR="00887330" w:rsidRPr="00583E1A" w:rsidRDefault="00887330" w:rsidP="00887330">
      <w:pPr>
        <w:pStyle w:val="paragraph"/>
      </w:pPr>
      <w:r w:rsidRPr="00583E1A">
        <w:tab/>
        <w:t>(a)</w:t>
      </w:r>
      <w:r w:rsidRPr="00583E1A">
        <w:tab/>
        <w:t xml:space="preserve">the average value, for that period, of all the </w:t>
      </w:r>
      <w:r w:rsidR="00583E1A" w:rsidRPr="00583E1A">
        <w:rPr>
          <w:position w:val="6"/>
          <w:sz w:val="16"/>
        </w:rPr>
        <w:t>*</w:t>
      </w:r>
      <w:r w:rsidRPr="00583E1A">
        <w:t xml:space="preserve">ADI equity capital of the entity (other than ADI equity capital attributable to any of its </w:t>
      </w:r>
      <w:r w:rsidR="00583E1A" w:rsidRPr="00583E1A">
        <w:rPr>
          <w:position w:val="6"/>
          <w:sz w:val="16"/>
        </w:rPr>
        <w:t>*</w:t>
      </w:r>
      <w:r w:rsidRPr="00583E1A">
        <w:t>overseas permanent establishments); minus</w:t>
      </w:r>
    </w:p>
    <w:p w:rsidR="00887330" w:rsidRPr="00583E1A" w:rsidRDefault="00887330" w:rsidP="00887330">
      <w:pPr>
        <w:pStyle w:val="paragraph"/>
      </w:pPr>
      <w:r w:rsidRPr="00583E1A">
        <w:tab/>
        <w:t>(b)</w:t>
      </w:r>
      <w:r w:rsidRPr="00583E1A">
        <w:tab/>
        <w:t xml:space="preserve">the average value, for that period, of all the </w:t>
      </w:r>
      <w:r w:rsidR="00583E1A" w:rsidRPr="00583E1A">
        <w:rPr>
          <w:position w:val="6"/>
          <w:sz w:val="16"/>
        </w:rPr>
        <w:t>*</w:t>
      </w:r>
      <w:r w:rsidRPr="00583E1A">
        <w:t>controlled foreign entity equity of the entity (other than controlled foreign entity equity attributable to any of its overseas permanent establishments).</w:t>
      </w:r>
    </w:p>
    <w:p w:rsidR="00887330" w:rsidRPr="00583E1A" w:rsidRDefault="00887330" w:rsidP="00887330">
      <w:pPr>
        <w:pStyle w:val="subsection"/>
      </w:pPr>
      <w:r w:rsidRPr="00583E1A">
        <w:tab/>
        <w:t>(3)</w:t>
      </w:r>
      <w:r w:rsidRPr="00583E1A">
        <w:tab/>
        <w:t>For the purposes of determining:</w:t>
      </w:r>
    </w:p>
    <w:p w:rsidR="00887330" w:rsidRPr="00583E1A" w:rsidRDefault="00887330" w:rsidP="00887330">
      <w:pPr>
        <w:pStyle w:val="paragraph"/>
      </w:pPr>
      <w:r w:rsidRPr="00583E1A">
        <w:tab/>
        <w:t>(a)</w:t>
      </w:r>
      <w:r w:rsidRPr="00583E1A">
        <w:tab/>
        <w:t xml:space="preserve">the entity’s </w:t>
      </w:r>
      <w:r w:rsidR="00583E1A" w:rsidRPr="00583E1A">
        <w:rPr>
          <w:position w:val="6"/>
          <w:sz w:val="16"/>
        </w:rPr>
        <w:t>*</w:t>
      </w:r>
      <w:r w:rsidRPr="00583E1A">
        <w:t>minimum capital amount for that period; and</w:t>
      </w:r>
    </w:p>
    <w:p w:rsidR="00887330" w:rsidRPr="00583E1A" w:rsidRDefault="00887330" w:rsidP="00887330">
      <w:pPr>
        <w:pStyle w:val="paragraph"/>
      </w:pPr>
      <w:r w:rsidRPr="00583E1A">
        <w:tab/>
        <w:t>(b)</w:t>
      </w:r>
      <w:r w:rsidRPr="00583E1A">
        <w:tab/>
        <w:t xml:space="preserve">the amount of each </w:t>
      </w:r>
      <w:r w:rsidR="00583E1A" w:rsidRPr="00583E1A">
        <w:rPr>
          <w:position w:val="6"/>
          <w:sz w:val="16"/>
        </w:rPr>
        <w:t>*</w:t>
      </w:r>
      <w:r w:rsidRPr="00583E1A">
        <w:t>debt deduction to be disallowed;</w:t>
      </w:r>
    </w:p>
    <w:p w:rsidR="00887330" w:rsidRPr="00583E1A" w:rsidRDefault="00887330" w:rsidP="00887330">
      <w:pPr>
        <w:pStyle w:val="subsection2"/>
      </w:pPr>
      <w:r w:rsidRPr="00583E1A">
        <w:t>sections</w:t>
      </w:r>
      <w:r w:rsidR="00583E1A">
        <w:t> </w:t>
      </w:r>
      <w:r w:rsidRPr="00583E1A">
        <w:t>820</w:t>
      </w:r>
      <w:r w:rsidR="00583E1A">
        <w:noBreakHyphen/>
      </w:r>
      <w:r w:rsidRPr="00583E1A">
        <w:t>305 to 820</w:t>
      </w:r>
      <w:r w:rsidR="00583E1A">
        <w:noBreakHyphen/>
      </w:r>
      <w:r w:rsidRPr="00583E1A">
        <w:t>325 apply in relation to that entity and that period with the modifications set out in the following table:</w:t>
      </w:r>
    </w:p>
    <w:p w:rsidR="00887330" w:rsidRPr="00583E1A" w:rsidRDefault="00887330" w:rsidP="00887330">
      <w:pPr>
        <w:pStyle w:val="Table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708"/>
        <w:gridCol w:w="2268"/>
        <w:gridCol w:w="4134"/>
      </w:tblGrid>
      <w:tr w:rsidR="00887330" w:rsidRPr="00583E1A">
        <w:trPr>
          <w:cantSplit/>
          <w:tblHeader/>
        </w:trPr>
        <w:tc>
          <w:tcPr>
            <w:tcW w:w="7110" w:type="dxa"/>
            <w:gridSpan w:val="3"/>
            <w:tcBorders>
              <w:top w:val="single" w:sz="12" w:space="0" w:color="auto"/>
              <w:left w:val="nil"/>
              <w:bottom w:val="nil"/>
              <w:right w:val="nil"/>
            </w:tcBorders>
          </w:tcPr>
          <w:p w:rsidR="00887330" w:rsidRPr="00583E1A" w:rsidRDefault="00887330" w:rsidP="00887330">
            <w:pPr>
              <w:pStyle w:val="Tabletext"/>
            </w:pPr>
            <w:r w:rsidRPr="00583E1A">
              <w:rPr>
                <w:b/>
              </w:rPr>
              <w:t>Modifications of sections</w:t>
            </w:r>
            <w:r w:rsidR="00583E1A">
              <w:rPr>
                <w:b/>
              </w:rPr>
              <w:t> </w:t>
            </w:r>
            <w:r w:rsidRPr="00583E1A">
              <w:rPr>
                <w:b/>
              </w:rPr>
              <w:t>820</w:t>
            </w:r>
            <w:r w:rsidR="00583E1A">
              <w:rPr>
                <w:b/>
              </w:rPr>
              <w:noBreakHyphen/>
            </w:r>
            <w:r w:rsidRPr="00583E1A">
              <w:rPr>
                <w:b/>
              </w:rPr>
              <w:t>305 to 820</w:t>
            </w:r>
            <w:r w:rsidR="00583E1A">
              <w:rPr>
                <w:b/>
              </w:rPr>
              <w:noBreakHyphen/>
            </w:r>
            <w:r w:rsidRPr="00583E1A">
              <w:rPr>
                <w:b/>
              </w:rPr>
              <w:t>325</w:t>
            </w:r>
          </w:p>
        </w:tc>
      </w:tr>
      <w:tr w:rsidR="00887330" w:rsidRPr="00583E1A">
        <w:trPr>
          <w:cantSplit/>
          <w:tblHeader/>
        </w:trPr>
        <w:tc>
          <w:tcPr>
            <w:tcW w:w="708" w:type="dxa"/>
            <w:tcBorders>
              <w:top w:val="single" w:sz="6" w:space="0" w:color="auto"/>
              <w:left w:val="nil"/>
              <w:bottom w:val="single" w:sz="12" w:space="0" w:color="auto"/>
              <w:right w:val="nil"/>
            </w:tcBorders>
          </w:tcPr>
          <w:p w:rsidR="00887330" w:rsidRPr="00583E1A" w:rsidRDefault="00887330" w:rsidP="00887330">
            <w:pPr>
              <w:pStyle w:val="Tabletext"/>
            </w:pPr>
            <w:r w:rsidRPr="00583E1A">
              <w:rPr>
                <w:b/>
              </w:rPr>
              <w:t>Item</w:t>
            </w:r>
          </w:p>
        </w:tc>
        <w:tc>
          <w:tcPr>
            <w:tcW w:w="2268" w:type="dxa"/>
            <w:tcBorders>
              <w:top w:val="single" w:sz="6" w:space="0" w:color="auto"/>
              <w:left w:val="nil"/>
              <w:bottom w:val="single" w:sz="12" w:space="0" w:color="auto"/>
              <w:right w:val="nil"/>
            </w:tcBorders>
          </w:tcPr>
          <w:p w:rsidR="00887330" w:rsidRPr="00583E1A" w:rsidRDefault="00887330" w:rsidP="00887330">
            <w:pPr>
              <w:pStyle w:val="Tabletext"/>
            </w:pPr>
            <w:r w:rsidRPr="00583E1A">
              <w:rPr>
                <w:b/>
              </w:rPr>
              <w:t>Provisions</w:t>
            </w:r>
          </w:p>
        </w:tc>
        <w:tc>
          <w:tcPr>
            <w:tcW w:w="4134" w:type="dxa"/>
            <w:tcBorders>
              <w:top w:val="single" w:sz="6" w:space="0" w:color="auto"/>
              <w:left w:val="nil"/>
              <w:bottom w:val="single" w:sz="12" w:space="0" w:color="auto"/>
              <w:right w:val="nil"/>
            </w:tcBorders>
          </w:tcPr>
          <w:p w:rsidR="00887330" w:rsidRPr="00583E1A" w:rsidRDefault="00887330" w:rsidP="00887330">
            <w:pPr>
              <w:pStyle w:val="Tabletext"/>
            </w:pPr>
            <w:r w:rsidRPr="00583E1A">
              <w:rPr>
                <w:b/>
              </w:rPr>
              <w:t>Modifications</w:t>
            </w:r>
          </w:p>
        </w:tc>
      </w:tr>
      <w:tr w:rsidR="00887330" w:rsidRPr="00583E1A">
        <w:trPr>
          <w:cantSplit/>
        </w:trPr>
        <w:tc>
          <w:tcPr>
            <w:tcW w:w="708" w:type="dxa"/>
            <w:tcBorders>
              <w:top w:val="single" w:sz="12" w:space="0" w:color="auto"/>
              <w:left w:val="nil"/>
              <w:bottom w:val="single" w:sz="2" w:space="0" w:color="auto"/>
              <w:right w:val="nil"/>
            </w:tcBorders>
            <w:shd w:val="clear" w:color="auto" w:fill="auto"/>
          </w:tcPr>
          <w:p w:rsidR="00887330" w:rsidRPr="00583E1A" w:rsidRDefault="00887330" w:rsidP="00887330">
            <w:pPr>
              <w:pStyle w:val="Tabletext"/>
            </w:pPr>
            <w:r w:rsidRPr="00583E1A">
              <w:t>1</w:t>
            </w:r>
          </w:p>
        </w:tc>
        <w:tc>
          <w:tcPr>
            <w:tcW w:w="2268" w:type="dxa"/>
            <w:tcBorders>
              <w:top w:val="single" w:sz="12" w:space="0" w:color="auto"/>
              <w:left w:val="nil"/>
              <w:bottom w:val="single" w:sz="2" w:space="0" w:color="auto"/>
              <w:right w:val="nil"/>
            </w:tcBorders>
            <w:shd w:val="clear" w:color="auto" w:fill="auto"/>
          </w:tcPr>
          <w:p w:rsidR="00887330" w:rsidRPr="00583E1A" w:rsidRDefault="00887330" w:rsidP="00887330">
            <w:pPr>
              <w:pStyle w:val="Tabletext"/>
            </w:pPr>
            <w:r w:rsidRPr="00583E1A">
              <w:t>Sections</w:t>
            </w:r>
            <w:r w:rsidR="00583E1A">
              <w:t> </w:t>
            </w:r>
            <w:r w:rsidRPr="00583E1A">
              <w:t>820</w:t>
            </w:r>
            <w:r w:rsidR="00583E1A">
              <w:noBreakHyphen/>
            </w:r>
            <w:r w:rsidRPr="00583E1A">
              <w:t>305 to 820</w:t>
            </w:r>
            <w:r w:rsidR="00583E1A">
              <w:noBreakHyphen/>
            </w:r>
            <w:r w:rsidRPr="00583E1A">
              <w:t>325</w:t>
            </w:r>
          </w:p>
        </w:tc>
        <w:tc>
          <w:tcPr>
            <w:tcW w:w="4134" w:type="dxa"/>
            <w:tcBorders>
              <w:top w:val="single" w:sz="12" w:space="0" w:color="auto"/>
              <w:left w:val="nil"/>
              <w:bottom w:val="single" w:sz="2" w:space="0" w:color="auto"/>
              <w:right w:val="nil"/>
            </w:tcBorders>
            <w:shd w:val="clear" w:color="auto" w:fill="auto"/>
          </w:tcPr>
          <w:p w:rsidR="00887330" w:rsidRPr="00583E1A" w:rsidRDefault="00887330" w:rsidP="00887330">
            <w:pPr>
              <w:pStyle w:val="Tabletext"/>
            </w:pPr>
            <w:r w:rsidRPr="00583E1A">
              <w:t>A reference to an income year is taken to be a reference to that period</w:t>
            </w:r>
          </w:p>
        </w:tc>
      </w:tr>
      <w:tr w:rsidR="00887330" w:rsidRPr="00583E1A">
        <w:trPr>
          <w:cantSplit/>
        </w:trPr>
        <w:tc>
          <w:tcPr>
            <w:tcW w:w="708" w:type="dxa"/>
            <w:tcBorders>
              <w:top w:val="single" w:sz="2" w:space="0" w:color="auto"/>
              <w:left w:val="nil"/>
              <w:bottom w:val="single" w:sz="2" w:space="0" w:color="auto"/>
              <w:right w:val="nil"/>
            </w:tcBorders>
            <w:shd w:val="clear" w:color="auto" w:fill="auto"/>
          </w:tcPr>
          <w:p w:rsidR="00887330" w:rsidRPr="00583E1A" w:rsidRDefault="00887330" w:rsidP="00887330">
            <w:pPr>
              <w:pStyle w:val="Tabletext"/>
            </w:pPr>
            <w:r w:rsidRPr="00583E1A">
              <w:t>2</w:t>
            </w:r>
          </w:p>
        </w:tc>
        <w:tc>
          <w:tcPr>
            <w:tcW w:w="2268" w:type="dxa"/>
            <w:tcBorders>
              <w:top w:val="single" w:sz="2" w:space="0" w:color="auto"/>
              <w:left w:val="nil"/>
              <w:bottom w:val="single" w:sz="2" w:space="0" w:color="auto"/>
              <w:right w:val="nil"/>
            </w:tcBorders>
            <w:shd w:val="clear" w:color="auto" w:fill="auto"/>
          </w:tcPr>
          <w:p w:rsidR="00887330" w:rsidRPr="00583E1A" w:rsidRDefault="00887330" w:rsidP="00887330">
            <w:pPr>
              <w:pStyle w:val="Tabletext"/>
            </w:pPr>
            <w:r w:rsidRPr="00583E1A">
              <w:t>Section</w:t>
            </w:r>
            <w:r w:rsidR="00583E1A">
              <w:t> </w:t>
            </w:r>
            <w:r w:rsidRPr="00583E1A">
              <w:t>820</w:t>
            </w:r>
            <w:r w:rsidR="00583E1A">
              <w:noBreakHyphen/>
            </w:r>
            <w:r w:rsidRPr="00583E1A">
              <w:t>325</w:t>
            </w:r>
          </w:p>
        </w:tc>
        <w:tc>
          <w:tcPr>
            <w:tcW w:w="4134" w:type="dxa"/>
            <w:tcBorders>
              <w:top w:val="single" w:sz="2" w:space="0" w:color="auto"/>
              <w:left w:val="nil"/>
              <w:bottom w:val="single" w:sz="2" w:space="0" w:color="auto"/>
              <w:right w:val="nil"/>
            </w:tcBorders>
            <w:shd w:val="clear" w:color="auto" w:fill="auto"/>
          </w:tcPr>
          <w:p w:rsidR="00887330" w:rsidRPr="00583E1A" w:rsidRDefault="00887330" w:rsidP="00887330">
            <w:pPr>
              <w:pStyle w:val="Tabletext"/>
            </w:pPr>
            <w:r w:rsidRPr="00583E1A">
              <w:t>A reference to subsection 820</w:t>
            </w:r>
            <w:r w:rsidR="00583E1A">
              <w:noBreakHyphen/>
            </w:r>
            <w:r w:rsidRPr="00583E1A">
              <w:t xml:space="preserve">300(1) is taken to be a reference to </w:t>
            </w:r>
            <w:r w:rsidR="00583E1A">
              <w:t>subsection (</w:t>
            </w:r>
            <w:r w:rsidRPr="00583E1A">
              <w:t>1) of this section</w:t>
            </w:r>
          </w:p>
        </w:tc>
      </w:tr>
      <w:tr w:rsidR="00887330" w:rsidRPr="00583E1A">
        <w:trPr>
          <w:cantSplit/>
        </w:trPr>
        <w:tc>
          <w:tcPr>
            <w:tcW w:w="708" w:type="dxa"/>
            <w:tcBorders>
              <w:top w:val="single" w:sz="2" w:space="0" w:color="auto"/>
              <w:left w:val="nil"/>
              <w:bottom w:val="single" w:sz="12" w:space="0" w:color="auto"/>
              <w:right w:val="nil"/>
            </w:tcBorders>
          </w:tcPr>
          <w:p w:rsidR="00887330" w:rsidRPr="00583E1A" w:rsidRDefault="00887330" w:rsidP="00887330">
            <w:pPr>
              <w:pStyle w:val="Tabletext"/>
            </w:pPr>
            <w:r w:rsidRPr="00583E1A">
              <w:lastRenderedPageBreak/>
              <w:t>3</w:t>
            </w:r>
          </w:p>
        </w:tc>
        <w:tc>
          <w:tcPr>
            <w:tcW w:w="2268" w:type="dxa"/>
            <w:tcBorders>
              <w:top w:val="single" w:sz="2" w:space="0" w:color="auto"/>
              <w:left w:val="nil"/>
              <w:bottom w:val="single" w:sz="12" w:space="0" w:color="auto"/>
              <w:right w:val="nil"/>
            </w:tcBorders>
          </w:tcPr>
          <w:p w:rsidR="00887330" w:rsidRPr="00583E1A" w:rsidRDefault="00887330" w:rsidP="00887330">
            <w:pPr>
              <w:pStyle w:val="Tabletext"/>
            </w:pPr>
            <w:r w:rsidRPr="00583E1A">
              <w:t>Section</w:t>
            </w:r>
            <w:r w:rsidR="00583E1A">
              <w:t> </w:t>
            </w:r>
            <w:r w:rsidRPr="00583E1A">
              <w:t>820</w:t>
            </w:r>
            <w:r w:rsidR="00583E1A">
              <w:noBreakHyphen/>
            </w:r>
            <w:r w:rsidRPr="00583E1A">
              <w:t>325</w:t>
            </w:r>
          </w:p>
        </w:tc>
        <w:tc>
          <w:tcPr>
            <w:tcW w:w="4134" w:type="dxa"/>
            <w:tcBorders>
              <w:top w:val="single" w:sz="2" w:space="0" w:color="auto"/>
              <w:left w:val="nil"/>
              <w:bottom w:val="single" w:sz="12" w:space="0" w:color="auto"/>
              <w:right w:val="nil"/>
            </w:tcBorders>
          </w:tcPr>
          <w:p w:rsidR="00887330" w:rsidRPr="00583E1A" w:rsidRDefault="00887330" w:rsidP="00887330">
            <w:pPr>
              <w:pStyle w:val="Tabletext"/>
            </w:pPr>
            <w:r w:rsidRPr="00583E1A">
              <w:rPr>
                <w:b/>
                <w:i/>
              </w:rPr>
              <w:t>adjusted average equity capital</w:t>
            </w:r>
            <w:r w:rsidRPr="00583E1A">
              <w:t xml:space="preserve"> has the meaning given by </w:t>
            </w:r>
            <w:r w:rsidR="00583E1A">
              <w:t>subsection (</w:t>
            </w:r>
            <w:r w:rsidRPr="00583E1A">
              <w:t>2) of this section</w:t>
            </w:r>
          </w:p>
          <w:p w:rsidR="00887330" w:rsidRPr="00583E1A" w:rsidRDefault="00887330" w:rsidP="00887330">
            <w:pPr>
              <w:pStyle w:val="Tabletext"/>
            </w:pPr>
            <w:r w:rsidRPr="00583E1A">
              <w:rPr>
                <w:b/>
                <w:i/>
              </w:rPr>
              <w:t>average debt</w:t>
            </w:r>
            <w:r w:rsidRPr="00583E1A">
              <w:t xml:space="preserve"> is taken to be the average value, for that period, of all the </w:t>
            </w:r>
            <w:r w:rsidR="00583E1A" w:rsidRPr="00583E1A">
              <w:rPr>
                <w:position w:val="6"/>
                <w:sz w:val="16"/>
              </w:rPr>
              <w:t>*</w:t>
            </w:r>
            <w:r w:rsidRPr="00583E1A">
              <w:t xml:space="preserve">debt capital of the entity that gives rise to </w:t>
            </w:r>
            <w:r w:rsidR="00583E1A" w:rsidRPr="00583E1A">
              <w:rPr>
                <w:position w:val="6"/>
                <w:sz w:val="16"/>
              </w:rPr>
              <w:t>*</w:t>
            </w:r>
            <w:r w:rsidRPr="00583E1A">
              <w:t xml:space="preserve">debt deductions of the entity for that or any other income year, to the extent that the debt capital is not attributable to any of the entity’s </w:t>
            </w:r>
            <w:r w:rsidR="00583E1A" w:rsidRPr="00583E1A">
              <w:rPr>
                <w:position w:val="6"/>
                <w:sz w:val="16"/>
              </w:rPr>
              <w:t>*</w:t>
            </w:r>
            <w:r w:rsidRPr="00583E1A">
              <w:t>overseas permanent establishments</w:t>
            </w:r>
          </w:p>
        </w:tc>
      </w:tr>
    </w:tbl>
    <w:p w:rsidR="00887330" w:rsidRPr="00583E1A" w:rsidRDefault="00887330" w:rsidP="00887330">
      <w:pPr>
        <w:pStyle w:val="ActHead4"/>
      </w:pPr>
      <w:bookmarkStart w:id="218" w:name="_Toc338939292"/>
      <w:r w:rsidRPr="00583E1A">
        <w:rPr>
          <w:rStyle w:val="CharSubdNo"/>
        </w:rPr>
        <w:t>Subdivision</w:t>
      </w:r>
      <w:r w:rsidR="00583E1A">
        <w:rPr>
          <w:rStyle w:val="CharSubdNo"/>
        </w:rPr>
        <w:t> </w:t>
      </w:r>
      <w:r w:rsidRPr="00583E1A">
        <w:rPr>
          <w:rStyle w:val="CharSubdNo"/>
        </w:rPr>
        <w:t>820</w:t>
      </w:r>
      <w:r w:rsidR="00583E1A">
        <w:rPr>
          <w:rStyle w:val="CharSubdNo"/>
        </w:rPr>
        <w:noBreakHyphen/>
      </w:r>
      <w:r w:rsidRPr="00583E1A">
        <w:rPr>
          <w:rStyle w:val="CharSubdNo"/>
        </w:rPr>
        <w:t>E</w:t>
      </w:r>
      <w:r w:rsidRPr="00583E1A">
        <w:t>—</w:t>
      </w:r>
      <w:r w:rsidRPr="00583E1A">
        <w:rPr>
          <w:rStyle w:val="CharSubdText"/>
        </w:rPr>
        <w:t>Thin capitalisation rules for inward investing entities (ADI)</w:t>
      </w:r>
      <w:bookmarkEnd w:id="218"/>
    </w:p>
    <w:p w:rsidR="00887330" w:rsidRPr="00583E1A" w:rsidRDefault="00887330" w:rsidP="00887330">
      <w:pPr>
        <w:pStyle w:val="ActHead4"/>
      </w:pPr>
      <w:bookmarkStart w:id="219" w:name="_Toc338939293"/>
      <w:r w:rsidRPr="00583E1A">
        <w:t>Guide to Subdivision</w:t>
      </w:r>
      <w:r w:rsidR="00583E1A">
        <w:t> </w:t>
      </w:r>
      <w:r w:rsidRPr="00583E1A">
        <w:t>820</w:t>
      </w:r>
      <w:r w:rsidR="00583E1A">
        <w:noBreakHyphen/>
      </w:r>
      <w:r w:rsidRPr="00583E1A">
        <w:t>E</w:t>
      </w:r>
      <w:bookmarkEnd w:id="219"/>
    </w:p>
    <w:p w:rsidR="00887330" w:rsidRPr="00583E1A" w:rsidRDefault="00887330" w:rsidP="00887330">
      <w:pPr>
        <w:pStyle w:val="ActHead5"/>
      </w:pPr>
      <w:bookmarkStart w:id="220" w:name="_Toc338939294"/>
      <w:r w:rsidRPr="00583E1A">
        <w:rPr>
          <w:rStyle w:val="CharSectno"/>
        </w:rPr>
        <w:t>820</w:t>
      </w:r>
      <w:r w:rsidR="00583E1A">
        <w:rPr>
          <w:rStyle w:val="CharSectno"/>
        </w:rPr>
        <w:noBreakHyphen/>
      </w:r>
      <w:r w:rsidRPr="00583E1A">
        <w:rPr>
          <w:rStyle w:val="CharSectno"/>
        </w:rPr>
        <w:t>390</w:t>
      </w:r>
      <w:r w:rsidRPr="00583E1A">
        <w:t xml:space="preserve">  What this Subdivision is about</w:t>
      </w:r>
      <w:bookmarkEnd w:id="220"/>
    </w:p>
    <w:p w:rsidR="00887330" w:rsidRPr="00583E1A" w:rsidRDefault="00887330" w:rsidP="00887330">
      <w:pPr>
        <w:pStyle w:val="BoxText"/>
      </w:pPr>
      <w:r w:rsidRPr="00583E1A">
        <w:t>This Subdivision applies to a foreign entity that is an authorised deposit</w:t>
      </w:r>
      <w:r w:rsidR="00583E1A">
        <w:noBreakHyphen/>
      </w:r>
      <w:r w:rsidRPr="00583E1A">
        <w:t xml:space="preserve">taking institution (an </w:t>
      </w:r>
      <w:r w:rsidRPr="00583E1A">
        <w:rPr>
          <w:b/>
          <w:i/>
        </w:rPr>
        <w:t>ADI</w:t>
      </w:r>
      <w:r w:rsidRPr="00583E1A">
        <w:t>). These rules deal with the following matters:</w:t>
      </w:r>
    </w:p>
    <w:p w:rsidR="00887330" w:rsidRPr="00583E1A" w:rsidRDefault="00887330" w:rsidP="00887330">
      <w:pPr>
        <w:pStyle w:val="BoxList"/>
      </w:pPr>
      <w:r w:rsidRPr="00583E1A">
        <w:t>•</w:t>
      </w:r>
      <w:r w:rsidRPr="00583E1A">
        <w:tab/>
        <w:t>how to work out the entity’s minimum capital amount for an income year;</w:t>
      </w:r>
    </w:p>
    <w:p w:rsidR="00887330" w:rsidRPr="00583E1A" w:rsidRDefault="00887330" w:rsidP="00887330">
      <w:pPr>
        <w:pStyle w:val="BoxList"/>
      </w:pPr>
      <w:r w:rsidRPr="00583E1A">
        <w:t>•</w:t>
      </w:r>
      <w:r w:rsidRPr="00583E1A">
        <w:tab/>
        <w:t>how all or a part of the debt deductions claimed by the entity may be disallowed if the minimum capital amount is not reached;</w:t>
      </w:r>
    </w:p>
    <w:p w:rsidR="00887330" w:rsidRPr="00583E1A" w:rsidRDefault="00887330" w:rsidP="00887330">
      <w:pPr>
        <w:pStyle w:val="BoxList"/>
      </w:pPr>
      <w:r w:rsidRPr="00583E1A">
        <w:t>•</w:t>
      </w:r>
      <w:r w:rsidRPr="00583E1A">
        <w:tab/>
        <w:t>how to apply these rules to a period that is less than an income year.</w:t>
      </w:r>
    </w:p>
    <w:p w:rsidR="00887330" w:rsidRPr="00583E1A" w:rsidRDefault="00887330" w:rsidP="00887330">
      <w:pPr>
        <w:pStyle w:val="TofSectsHeading"/>
        <w:pageBreakBefore/>
      </w:pPr>
      <w:r w:rsidRPr="00583E1A">
        <w:lastRenderedPageBreak/>
        <w:t>Table of sections</w:t>
      </w:r>
    </w:p>
    <w:p w:rsidR="00887330" w:rsidRPr="00583E1A" w:rsidRDefault="00887330" w:rsidP="00887330">
      <w:pPr>
        <w:pStyle w:val="TofSectsGroupHeading"/>
      </w:pPr>
      <w:r w:rsidRPr="00583E1A">
        <w:t>Operative provisions</w:t>
      </w:r>
    </w:p>
    <w:p w:rsidR="00887330" w:rsidRPr="00583E1A" w:rsidRDefault="00887330" w:rsidP="00887330">
      <w:pPr>
        <w:pStyle w:val="TofSectsSection"/>
      </w:pPr>
      <w:r w:rsidRPr="00583E1A">
        <w:t>820</w:t>
      </w:r>
      <w:r w:rsidR="00583E1A">
        <w:noBreakHyphen/>
      </w:r>
      <w:r w:rsidRPr="00583E1A">
        <w:t>395</w:t>
      </w:r>
      <w:r w:rsidRPr="00583E1A">
        <w:tab/>
        <w:t>Thin capitalisation rule for inward investing entities (ADI)</w:t>
      </w:r>
    </w:p>
    <w:p w:rsidR="00887330" w:rsidRPr="00583E1A" w:rsidRDefault="00887330" w:rsidP="00887330">
      <w:pPr>
        <w:pStyle w:val="TofSectsSection"/>
      </w:pPr>
      <w:r w:rsidRPr="00583E1A">
        <w:t>820</w:t>
      </w:r>
      <w:r w:rsidR="00583E1A">
        <w:noBreakHyphen/>
      </w:r>
      <w:r w:rsidRPr="00583E1A">
        <w:t>400</w:t>
      </w:r>
      <w:r w:rsidRPr="00583E1A">
        <w:tab/>
        <w:t>Minimum capital amount</w:t>
      </w:r>
    </w:p>
    <w:p w:rsidR="00887330" w:rsidRPr="00583E1A" w:rsidRDefault="00887330" w:rsidP="00887330">
      <w:pPr>
        <w:pStyle w:val="TofSectsSection"/>
      </w:pPr>
      <w:r w:rsidRPr="00583E1A">
        <w:t>820</w:t>
      </w:r>
      <w:r w:rsidR="00583E1A">
        <w:noBreakHyphen/>
      </w:r>
      <w:r w:rsidRPr="00583E1A">
        <w:t>405</w:t>
      </w:r>
      <w:r w:rsidRPr="00583E1A">
        <w:tab/>
        <w:t>Safe harbour capital amount</w:t>
      </w:r>
    </w:p>
    <w:p w:rsidR="00887330" w:rsidRPr="00583E1A" w:rsidRDefault="00887330" w:rsidP="00887330">
      <w:pPr>
        <w:pStyle w:val="TofSectsSection"/>
      </w:pPr>
      <w:r w:rsidRPr="00583E1A">
        <w:t>820</w:t>
      </w:r>
      <w:r w:rsidR="00583E1A">
        <w:noBreakHyphen/>
      </w:r>
      <w:r w:rsidRPr="00583E1A">
        <w:t>410</w:t>
      </w:r>
      <w:r w:rsidRPr="00583E1A">
        <w:tab/>
        <w:t>Arm’s length capital amount</w:t>
      </w:r>
    </w:p>
    <w:p w:rsidR="00887330" w:rsidRPr="00583E1A" w:rsidRDefault="00887330" w:rsidP="00887330">
      <w:pPr>
        <w:pStyle w:val="TofSectsSection"/>
      </w:pPr>
      <w:r w:rsidRPr="00583E1A">
        <w:t>820</w:t>
      </w:r>
      <w:r w:rsidR="00583E1A">
        <w:noBreakHyphen/>
      </w:r>
      <w:r w:rsidRPr="00583E1A">
        <w:t>415</w:t>
      </w:r>
      <w:r w:rsidRPr="00583E1A">
        <w:tab/>
        <w:t>Amount of debt deduction disallowed</w:t>
      </w:r>
    </w:p>
    <w:p w:rsidR="00887330" w:rsidRPr="00583E1A" w:rsidRDefault="00887330" w:rsidP="00887330">
      <w:pPr>
        <w:pStyle w:val="TofSectsSection"/>
      </w:pPr>
      <w:r w:rsidRPr="00583E1A">
        <w:t>820</w:t>
      </w:r>
      <w:r w:rsidR="00583E1A">
        <w:noBreakHyphen/>
      </w:r>
      <w:r w:rsidRPr="00583E1A">
        <w:t>420</w:t>
      </w:r>
      <w:r w:rsidRPr="00583E1A">
        <w:tab/>
        <w:t>Application to part year periods</w:t>
      </w:r>
    </w:p>
    <w:p w:rsidR="00887330" w:rsidRPr="00583E1A" w:rsidRDefault="00887330" w:rsidP="00887330">
      <w:pPr>
        <w:pStyle w:val="ActHead4"/>
      </w:pPr>
      <w:bookmarkStart w:id="221" w:name="_Toc338939295"/>
      <w:r w:rsidRPr="00583E1A">
        <w:t>Operative provisions</w:t>
      </w:r>
      <w:bookmarkEnd w:id="221"/>
    </w:p>
    <w:p w:rsidR="00887330" w:rsidRPr="00583E1A" w:rsidRDefault="00887330" w:rsidP="00887330">
      <w:pPr>
        <w:pStyle w:val="ActHead5"/>
      </w:pPr>
      <w:bookmarkStart w:id="222" w:name="_Toc338939296"/>
      <w:r w:rsidRPr="00583E1A">
        <w:rPr>
          <w:rStyle w:val="CharSectno"/>
        </w:rPr>
        <w:t>820</w:t>
      </w:r>
      <w:r w:rsidR="00583E1A">
        <w:rPr>
          <w:rStyle w:val="CharSectno"/>
        </w:rPr>
        <w:noBreakHyphen/>
      </w:r>
      <w:r w:rsidRPr="00583E1A">
        <w:rPr>
          <w:rStyle w:val="CharSectno"/>
        </w:rPr>
        <w:t>395</w:t>
      </w:r>
      <w:r w:rsidRPr="00583E1A">
        <w:t xml:space="preserve">  Thin capitalisation rule for inward investing entities (ADI)</w:t>
      </w:r>
      <w:bookmarkEnd w:id="222"/>
    </w:p>
    <w:p w:rsidR="00887330" w:rsidRPr="00583E1A" w:rsidRDefault="00887330" w:rsidP="00887330">
      <w:pPr>
        <w:pStyle w:val="SubsectionHead"/>
      </w:pPr>
      <w:r w:rsidRPr="00583E1A">
        <w:t>Thin capitalisation rule</w:t>
      </w:r>
    </w:p>
    <w:p w:rsidR="00887330" w:rsidRPr="00583E1A" w:rsidRDefault="00887330" w:rsidP="00887330">
      <w:pPr>
        <w:pStyle w:val="subsection"/>
      </w:pPr>
      <w:r w:rsidRPr="00583E1A">
        <w:tab/>
        <w:t>(1)</w:t>
      </w:r>
      <w:r w:rsidRPr="00583E1A">
        <w:tab/>
        <w:t xml:space="preserve">This subsection disallows all or a part of each </w:t>
      </w:r>
      <w:r w:rsidR="00583E1A" w:rsidRPr="00583E1A">
        <w:rPr>
          <w:position w:val="6"/>
          <w:sz w:val="16"/>
        </w:rPr>
        <w:t>*</w:t>
      </w:r>
      <w:r w:rsidRPr="00583E1A">
        <w:t>debt deduction of an entity for an income year if, for that year:</w:t>
      </w:r>
    </w:p>
    <w:p w:rsidR="00887330" w:rsidRPr="00583E1A" w:rsidRDefault="00887330" w:rsidP="00887330">
      <w:pPr>
        <w:pStyle w:val="paragraph"/>
      </w:pPr>
      <w:r w:rsidRPr="00583E1A">
        <w:tab/>
        <w:t>(a)</w:t>
      </w:r>
      <w:r w:rsidRPr="00583E1A">
        <w:tab/>
        <w:t xml:space="preserve">the entity is an </w:t>
      </w:r>
      <w:r w:rsidR="00583E1A" w:rsidRPr="00583E1A">
        <w:rPr>
          <w:position w:val="6"/>
          <w:sz w:val="16"/>
        </w:rPr>
        <w:t>*</w:t>
      </w:r>
      <w:r w:rsidRPr="00583E1A">
        <w:t xml:space="preserve">inward investing entity (ADI) (see </w:t>
      </w:r>
      <w:r w:rsidR="00583E1A">
        <w:t>subsection (</w:t>
      </w:r>
      <w:r w:rsidRPr="00583E1A">
        <w:t>2)); and</w:t>
      </w:r>
    </w:p>
    <w:p w:rsidR="00887330" w:rsidRPr="00583E1A" w:rsidRDefault="00887330" w:rsidP="00887330">
      <w:pPr>
        <w:pStyle w:val="paragraph"/>
      </w:pPr>
      <w:r w:rsidRPr="00583E1A">
        <w:tab/>
        <w:t>(b)</w:t>
      </w:r>
      <w:r w:rsidRPr="00583E1A">
        <w:tab/>
        <w:t xml:space="preserve">the entity’s </w:t>
      </w:r>
      <w:r w:rsidR="00583E1A" w:rsidRPr="00583E1A">
        <w:rPr>
          <w:position w:val="6"/>
          <w:sz w:val="16"/>
        </w:rPr>
        <w:t>*</w:t>
      </w:r>
      <w:r w:rsidRPr="00583E1A">
        <w:t xml:space="preserve">average equity capital (see </w:t>
      </w:r>
      <w:r w:rsidR="00583E1A">
        <w:t>subsection (</w:t>
      </w:r>
      <w:r w:rsidRPr="00583E1A">
        <w:t xml:space="preserve">3)) is less than its </w:t>
      </w:r>
      <w:r w:rsidR="00583E1A" w:rsidRPr="00583E1A">
        <w:rPr>
          <w:position w:val="6"/>
          <w:sz w:val="16"/>
        </w:rPr>
        <w:t>*</w:t>
      </w:r>
      <w:r w:rsidRPr="00583E1A">
        <w:t>minimum capital amount (see section</w:t>
      </w:r>
      <w:r w:rsidR="00583E1A">
        <w:t> </w:t>
      </w:r>
      <w:r w:rsidRPr="00583E1A">
        <w:t>820</w:t>
      </w:r>
      <w:r w:rsidR="00583E1A">
        <w:noBreakHyphen/>
      </w:r>
      <w:r w:rsidRPr="00583E1A">
        <w:t>400);</w:t>
      </w:r>
    </w:p>
    <w:p w:rsidR="00887330" w:rsidRPr="00583E1A" w:rsidRDefault="00887330" w:rsidP="00887330">
      <w:pPr>
        <w:pStyle w:val="subsection2"/>
      </w:pPr>
      <w:r w:rsidRPr="00583E1A">
        <w:t>to the extent that the debt deduction:</w:t>
      </w:r>
    </w:p>
    <w:p w:rsidR="00887330" w:rsidRPr="00583E1A" w:rsidRDefault="00887330" w:rsidP="00887330">
      <w:pPr>
        <w:pStyle w:val="paragraph"/>
      </w:pPr>
      <w:r w:rsidRPr="00583E1A">
        <w:tab/>
        <w:t>(c)</w:t>
      </w:r>
      <w:r w:rsidRPr="00583E1A">
        <w:tab/>
        <w:t xml:space="preserve">is attributable to an </w:t>
      </w:r>
      <w:r w:rsidR="00583E1A" w:rsidRPr="00583E1A">
        <w:rPr>
          <w:position w:val="6"/>
          <w:sz w:val="16"/>
        </w:rPr>
        <w:t>*</w:t>
      </w:r>
      <w:r w:rsidRPr="00583E1A">
        <w:t>Australian permanent establishment of the entity at or through which it carries on its banking business; and</w:t>
      </w:r>
    </w:p>
    <w:p w:rsidR="00887330" w:rsidRPr="00583E1A" w:rsidRDefault="00887330" w:rsidP="00887330">
      <w:pPr>
        <w:pStyle w:val="paragraph"/>
      </w:pPr>
      <w:r w:rsidRPr="00583E1A">
        <w:tab/>
        <w:t>(d)</w:t>
      </w:r>
      <w:r w:rsidRPr="00583E1A">
        <w:tab/>
        <w:t xml:space="preserve">is not an </w:t>
      </w:r>
      <w:r w:rsidR="00583E1A" w:rsidRPr="00583E1A">
        <w:rPr>
          <w:position w:val="6"/>
          <w:sz w:val="16"/>
        </w:rPr>
        <w:t>*</w:t>
      </w:r>
      <w:r w:rsidRPr="00583E1A">
        <w:t xml:space="preserve">allowable </w:t>
      </w:r>
      <w:smartTag w:uri="urn:schemas-microsoft-com:office:smarttags" w:element="place">
        <w:r w:rsidRPr="00583E1A">
          <w:t>OB</w:t>
        </w:r>
      </w:smartTag>
      <w:r w:rsidRPr="00583E1A">
        <w:t xml:space="preserve"> deduction.</w:t>
      </w:r>
    </w:p>
    <w:p w:rsidR="00887330" w:rsidRPr="00583E1A" w:rsidRDefault="00887330" w:rsidP="00887330">
      <w:pPr>
        <w:pStyle w:val="notetext"/>
      </w:pPr>
      <w:r w:rsidRPr="00583E1A">
        <w:t>Note 1:</w:t>
      </w:r>
      <w:r w:rsidRPr="00583E1A">
        <w:tab/>
        <w:t>This Subdivision does not apply if the total debt deductions of that entity and all its associate entities for that year are $250,000 or less, see section</w:t>
      </w:r>
      <w:r w:rsidR="00583E1A">
        <w:t> </w:t>
      </w:r>
      <w:r w:rsidRPr="00583E1A">
        <w:t>820</w:t>
      </w:r>
      <w:r w:rsidR="00583E1A">
        <w:noBreakHyphen/>
      </w:r>
      <w:r w:rsidRPr="00583E1A">
        <w:t>35.</w:t>
      </w:r>
    </w:p>
    <w:p w:rsidR="00887330" w:rsidRPr="00583E1A" w:rsidRDefault="00887330" w:rsidP="00887330">
      <w:pPr>
        <w:pStyle w:val="notetext"/>
      </w:pPr>
      <w:r w:rsidRPr="00583E1A">
        <w:t>Note 2:</w:t>
      </w:r>
      <w:r w:rsidRPr="00583E1A">
        <w:tab/>
        <w:t>To work out the amount to be disallowed, see section</w:t>
      </w:r>
      <w:r w:rsidR="00583E1A">
        <w:t> </w:t>
      </w:r>
      <w:r w:rsidRPr="00583E1A">
        <w:t>820</w:t>
      </w:r>
      <w:r w:rsidR="00583E1A">
        <w:noBreakHyphen/>
      </w:r>
      <w:r w:rsidRPr="00583E1A">
        <w:t>415.</w:t>
      </w:r>
    </w:p>
    <w:p w:rsidR="00887330" w:rsidRPr="00583E1A" w:rsidRDefault="00887330" w:rsidP="00887330">
      <w:pPr>
        <w:pStyle w:val="notetext"/>
      </w:pPr>
      <w:r w:rsidRPr="00583E1A">
        <w:t>Note 3:</w:t>
      </w:r>
      <w:r w:rsidRPr="00583E1A">
        <w:tab/>
        <w:t>For the rules that apply to an entity that is an inward investing entity (ADI) for part of an income year, see section</w:t>
      </w:r>
      <w:r w:rsidR="00583E1A">
        <w:t> </w:t>
      </w:r>
      <w:r w:rsidRPr="00583E1A">
        <w:t>820</w:t>
      </w:r>
      <w:r w:rsidR="00583E1A">
        <w:noBreakHyphen/>
      </w:r>
      <w:r w:rsidRPr="00583E1A">
        <w:t xml:space="preserve">420 in conjunction with </w:t>
      </w:r>
      <w:r w:rsidR="00583E1A">
        <w:t>subsection (</w:t>
      </w:r>
      <w:r w:rsidRPr="00583E1A">
        <w:t>2) of this section.</w:t>
      </w:r>
    </w:p>
    <w:p w:rsidR="003B7C03" w:rsidRPr="00583E1A" w:rsidRDefault="003B7C03" w:rsidP="003B7C03">
      <w:pPr>
        <w:pStyle w:val="notetext"/>
      </w:pPr>
      <w:r w:rsidRPr="00583E1A">
        <w:t>Note 4:</w:t>
      </w:r>
      <w:r w:rsidRPr="00583E1A">
        <w:tab/>
        <w:t>A consolidated group or MEC group may be an inward investing entity (ADI) to which this Subdivision applies: see Subdivision</w:t>
      </w:r>
      <w:r w:rsidR="00583E1A">
        <w:t> </w:t>
      </w:r>
      <w:r w:rsidRPr="00583E1A">
        <w:t>820</w:t>
      </w:r>
      <w:r w:rsidR="00583E1A">
        <w:noBreakHyphen/>
      </w:r>
      <w:r w:rsidRPr="00583E1A">
        <w:t>FB.</w:t>
      </w:r>
    </w:p>
    <w:p w:rsidR="00887330" w:rsidRPr="00583E1A" w:rsidRDefault="00887330" w:rsidP="00887330">
      <w:pPr>
        <w:pStyle w:val="SubsectionHead"/>
      </w:pPr>
      <w:r w:rsidRPr="00583E1A">
        <w:lastRenderedPageBreak/>
        <w:t>Inward investing entity (ADI)</w:t>
      </w:r>
    </w:p>
    <w:p w:rsidR="00887330" w:rsidRPr="00583E1A" w:rsidRDefault="00887330" w:rsidP="00887330">
      <w:pPr>
        <w:pStyle w:val="subsection"/>
      </w:pPr>
      <w:r w:rsidRPr="00583E1A">
        <w:tab/>
        <w:t>(2)</w:t>
      </w:r>
      <w:r w:rsidRPr="00583E1A">
        <w:tab/>
        <w:t xml:space="preserve">The entity is an </w:t>
      </w:r>
      <w:r w:rsidRPr="00583E1A">
        <w:rPr>
          <w:b/>
          <w:i/>
        </w:rPr>
        <w:t>inward investing entity</w:t>
      </w:r>
      <w:r w:rsidRPr="00583E1A">
        <w:t xml:space="preserve"> </w:t>
      </w:r>
      <w:r w:rsidRPr="00583E1A">
        <w:rPr>
          <w:b/>
          <w:i/>
        </w:rPr>
        <w:t>(ADI)</w:t>
      </w:r>
      <w:r w:rsidRPr="00583E1A">
        <w:t xml:space="preserve"> for a period that is all or a part of an income year if, and only if, throughout that period, the entity is a </w:t>
      </w:r>
      <w:r w:rsidR="00583E1A" w:rsidRPr="00583E1A">
        <w:rPr>
          <w:position w:val="6"/>
          <w:sz w:val="16"/>
        </w:rPr>
        <w:t>*</w:t>
      </w:r>
      <w:r w:rsidRPr="00583E1A">
        <w:t xml:space="preserve">foreign bank that carries on its banking business in </w:t>
      </w:r>
      <w:smartTag w:uri="urn:schemas-microsoft-com:office:smarttags" w:element="country-region">
        <w:smartTag w:uri="urn:schemas-microsoft-com:office:smarttags" w:element="place">
          <w:r w:rsidRPr="00583E1A">
            <w:t>Australia</w:t>
          </w:r>
        </w:smartTag>
      </w:smartTag>
      <w:r w:rsidRPr="00583E1A">
        <w:t xml:space="preserve"> at or through one or more of its </w:t>
      </w:r>
      <w:r w:rsidR="00583E1A" w:rsidRPr="00583E1A">
        <w:rPr>
          <w:position w:val="6"/>
          <w:sz w:val="16"/>
        </w:rPr>
        <w:t>*</w:t>
      </w:r>
      <w:r w:rsidRPr="00583E1A">
        <w:t>Australian permanent establishments.</w:t>
      </w:r>
    </w:p>
    <w:p w:rsidR="00887330" w:rsidRPr="00583E1A" w:rsidRDefault="00887330" w:rsidP="00887330">
      <w:pPr>
        <w:pStyle w:val="notetext"/>
      </w:pPr>
      <w:r w:rsidRPr="00583E1A">
        <w:t>Note:</w:t>
      </w:r>
      <w:r w:rsidRPr="00583E1A">
        <w:tab/>
        <w:t>The entity is required to keep certain records, see Subdivision</w:t>
      </w:r>
      <w:r w:rsidR="00583E1A">
        <w:t> </w:t>
      </w:r>
      <w:r w:rsidRPr="00583E1A">
        <w:t>820</w:t>
      </w:r>
      <w:r w:rsidR="00583E1A">
        <w:noBreakHyphen/>
      </w:r>
      <w:r w:rsidRPr="00583E1A">
        <w:t>L.</w:t>
      </w:r>
    </w:p>
    <w:p w:rsidR="00887330" w:rsidRPr="00583E1A" w:rsidRDefault="00887330" w:rsidP="00887330">
      <w:pPr>
        <w:pStyle w:val="SubsectionHead"/>
      </w:pPr>
      <w:r w:rsidRPr="00583E1A">
        <w:t>Average equity capital</w:t>
      </w:r>
    </w:p>
    <w:p w:rsidR="00887330" w:rsidRPr="00583E1A" w:rsidRDefault="00887330" w:rsidP="00887330">
      <w:pPr>
        <w:pStyle w:val="subsection"/>
      </w:pPr>
      <w:r w:rsidRPr="00583E1A">
        <w:tab/>
        <w:t>(3)</w:t>
      </w:r>
      <w:r w:rsidRPr="00583E1A">
        <w:tab/>
        <w:t xml:space="preserve">The entity’s </w:t>
      </w:r>
      <w:r w:rsidRPr="00583E1A">
        <w:rPr>
          <w:b/>
          <w:i/>
        </w:rPr>
        <w:t xml:space="preserve">average equity capital </w:t>
      </w:r>
      <w:r w:rsidRPr="00583E1A">
        <w:t>for an income year is the sum of the following:</w:t>
      </w:r>
    </w:p>
    <w:p w:rsidR="00887330" w:rsidRPr="00583E1A" w:rsidRDefault="00887330" w:rsidP="00887330">
      <w:pPr>
        <w:pStyle w:val="paragraph"/>
      </w:pPr>
      <w:r w:rsidRPr="00583E1A">
        <w:tab/>
        <w:t>(a)</w:t>
      </w:r>
      <w:r w:rsidRPr="00583E1A">
        <w:tab/>
        <w:t xml:space="preserve">the average value, for that year, of the </w:t>
      </w:r>
      <w:r w:rsidR="00583E1A" w:rsidRPr="00583E1A">
        <w:rPr>
          <w:position w:val="6"/>
          <w:sz w:val="16"/>
        </w:rPr>
        <w:t>*</w:t>
      </w:r>
      <w:r w:rsidRPr="00583E1A">
        <w:t>ADI equity capital of the entity that:</w:t>
      </w:r>
    </w:p>
    <w:p w:rsidR="00887330" w:rsidRPr="00583E1A" w:rsidRDefault="00887330" w:rsidP="00887330">
      <w:pPr>
        <w:pStyle w:val="paragraphsub"/>
      </w:pPr>
      <w:r w:rsidRPr="00583E1A">
        <w:tab/>
        <w:t>(i)</w:t>
      </w:r>
      <w:r w:rsidRPr="00583E1A">
        <w:tab/>
        <w:t xml:space="preserve">is attributable to the </w:t>
      </w:r>
      <w:r w:rsidR="00583E1A" w:rsidRPr="00583E1A">
        <w:rPr>
          <w:position w:val="6"/>
          <w:sz w:val="16"/>
        </w:rPr>
        <w:t>*</w:t>
      </w:r>
      <w:r w:rsidRPr="00583E1A">
        <w:t xml:space="preserve">Australian permanent establishments at or through which it carries on its banking business in </w:t>
      </w:r>
      <w:smartTag w:uri="urn:schemas-microsoft-com:office:smarttags" w:element="country-region">
        <w:smartTag w:uri="urn:schemas-microsoft-com:office:smarttags" w:element="place">
          <w:r w:rsidRPr="00583E1A">
            <w:t>Australia</w:t>
          </w:r>
        </w:smartTag>
      </w:smartTag>
      <w:r w:rsidRPr="00583E1A">
        <w:t>; but</w:t>
      </w:r>
    </w:p>
    <w:p w:rsidR="00887330" w:rsidRPr="00583E1A" w:rsidRDefault="00887330" w:rsidP="00887330">
      <w:pPr>
        <w:pStyle w:val="paragraphsub"/>
      </w:pPr>
      <w:r w:rsidRPr="00583E1A">
        <w:tab/>
        <w:t>(ii)</w:t>
      </w:r>
      <w:r w:rsidRPr="00583E1A">
        <w:tab/>
        <w:t xml:space="preserve">has not been allocated to the </w:t>
      </w:r>
      <w:r w:rsidR="00583E1A" w:rsidRPr="00583E1A">
        <w:rPr>
          <w:position w:val="6"/>
          <w:sz w:val="16"/>
        </w:rPr>
        <w:t>*</w:t>
      </w:r>
      <w:r w:rsidRPr="00583E1A">
        <w:t>OB activities of the Australian permanent establishments;</w:t>
      </w:r>
    </w:p>
    <w:p w:rsidR="00887330" w:rsidRPr="00583E1A" w:rsidRDefault="00887330" w:rsidP="00887330">
      <w:pPr>
        <w:pStyle w:val="paragraph"/>
      </w:pPr>
      <w:r w:rsidRPr="00583E1A">
        <w:tab/>
        <w:t>(b)</w:t>
      </w:r>
      <w:r w:rsidRPr="00583E1A">
        <w:tab/>
        <w:t>the average value, for that year, of the total amounts that:</w:t>
      </w:r>
    </w:p>
    <w:p w:rsidR="00887330" w:rsidRPr="00583E1A" w:rsidRDefault="00887330" w:rsidP="00887330">
      <w:pPr>
        <w:pStyle w:val="paragraphsub"/>
      </w:pPr>
      <w:r w:rsidRPr="00583E1A">
        <w:tab/>
        <w:t>(i)</w:t>
      </w:r>
      <w:r w:rsidRPr="00583E1A">
        <w:tab/>
        <w:t>are made available by the entity to the Australian permanent establishments of the entity as loans to the Australian permanent establishments; and</w:t>
      </w:r>
    </w:p>
    <w:p w:rsidR="00887330" w:rsidRPr="00583E1A" w:rsidRDefault="00887330" w:rsidP="00887330">
      <w:pPr>
        <w:pStyle w:val="paragraphsub"/>
      </w:pPr>
      <w:r w:rsidRPr="00583E1A">
        <w:tab/>
        <w:t>(ii)</w:t>
      </w:r>
      <w:r w:rsidRPr="00583E1A">
        <w:tab/>
        <w:t xml:space="preserve">do not give rise to any </w:t>
      </w:r>
      <w:r w:rsidR="00583E1A" w:rsidRPr="00583E1A">
        <w:rPr>
          <w:position w:val="6"/>
          <w:sz w:val="16"/>
        </w:rPr>
        <w:t>*</w:t>
      </w:r>
      <w:r w:rsidRPr="00583E1A">
        <w:t>debt deductions of the entity for that or any other income year.</w:t>
      </w:r>
    </w:p>
    <w:p w:rsidR="00887330" w:rsidRPr="00583E1A" w:rsidRDefault="00887330" w:rsidP="00887330">
      <w:pPr>
        <w:pStyle w:val="notetext"/>
      </w:pPr>
      <w:r w:rsidRPr="00583E1A">
        <w:t>Note:</w:t>
      </w:r>
      <w:r w:rsidRPr="00583E1A">
        <w:tab/>
        <w:t>To calculate an average value for the purposes of this Division, see Subdivision</w:t>
      </w:r>
      <w:r w:rsidR="00583E1A">
        <w:t> </w:t>
      </w:r>
      <w:r w:rsidRPr="00583E1A">
        <w:t>820</w:t>
      </w:r>
      <w:r w:rsidR="00583E1A">
        <w:noBreakHyphen/>
      </w:r>
      <w:r w:rsidRPr="00583E1A">
        <w:t>G.</w:t>
      </w:r>
    </w:p>
    <w:p w:rsidR="00887330" w:rsidRPr="00583E1A" w:rsidRDefault="00887330" w:rsidP="00887330">
      <w:pPr>
        <w:pStyle w:val="ActHead5"/>
      </w:pPr>
      <w:bookmarkStart w:id="223" w:name="_Toc338939297"/>
      <w:r w:rsidRPr="00583E1A">
        <w:rPr>
          <w:rStyle w:val="CharSectno"/>
        </w:rPr>
        <w:t>820</w:t>
      </w:r>
      <w:r w:rsidR="00583E1A">
        <w:rPr>
          <w:rStyle w:val="CharSectno"/>
        </w:rPr>
        <w:noBreakHyphen/>
      </w:r>
      <w:r w:rsidRPr="00583E1A">
        <w:rPr>
          <w:rStyle w:val="CharSectno"/>
        </w:rPr>
        <w:t>400</w:t>
      </w:r>
      <w:r w:rsidRPr="00583E1A">
        <w:t xml:space="preserve">  Minimum capital amount</w:t>
      </w:r>
      <w:bookmarkEnd w:id="223"/>
    </w:p>
    <w:p w:rsidR="00887330" w:rsidRPr="00583E1A" w:rsidRDefault="00887330" w:rsidP="00887330">
      <w:pPr>
        <w:pStyle w:val="subsection"/>
      </w:pPr>
      <w:r w:rsidRPr="00583E1A">
        <w:tab/>
      </w:r>
      <w:r w:rsidRPr="00583E1A">
        <w:tab/>
        <w:t xml:space="preserve">The entity’s </w:t>
      </w:r>
      <w:r w:rsidRPr="00583E1A">
        <w:rPr>
          <w:b/>
          <w:i/>
        </w:rPr>
        <w:t>minimum capital amount</w:t>
      </w:r>
      <w:r w:rsidRPr="00583E1A">
        <w:t xml:space="preserve"> for an income year is the lesser of the following amounts:</w:t>
      </w:r>
    </w:p>
    <w:p w:rsidR="00887330" w:rsidRPr="00583E1A" w:rsidRDefault="00887330" w:rsidP="00887330">
      <w:pPr>
        <w:pStyle w:val="paragraph"/>
      </w:pPr>
      <w:r w:rsidRPr="00583E1A">
        <w:tab/>
        <w:t>(a)</w:t>
      </w:r>
      <w:r w:rsidRPr="00583E1A">
        <w:tab/>
        <w:t xml:space="preserve">the </w:t>
      </w:r>
      <w:r w:rsidR="00583E1A" w:rsidRPr="00583E1A">
        <w:rPr>
          <w:position w:val="6"/>
          <w:sz w:val="16"/>
        </w:rPr>
        <w:t>*</w:t>
      </w:r>
      <w:r w:rsidRPr="00583E1A">
        <w:t>safe harbour capital amount;</w:t>
      </w:r>
    </w:p>
    <w:p w:rsidR="00887330" w:rsidRPr="00583E1A" w:rsidRDefault="00887330" w:rsidP="00887330">
      <w:pPr>
        <w:pStyle w:val="paragraph"/>
      </w:pPr>
      <w:r w:rsidRPr="00583E1A">
        <w:tab/>
        <w:t>(b)</w:t>
      </w:r>
      <w:r w:rsidRPr="00583E1A">
        <w:tab/>
        <w:t xml:space="preserve">the </w:t>
      </w:r>
      <w:r w:rsidR="00583E1A" w:rsidRPr="00583E1A">
        <w:rPr>
          <w:position w:val="6"/>
          <w:sz w:val="16"/>
        </w:rPr>
        <w:t>*</w:t>
      </w:r>
      <w:r w:rsidRPr="00583E1A">
        <w:t>arm’s length capital amount.</w:t>
      </w:r>
    </w:p>
    <w:p w:rsidR="00887330" w:rsidRPr="00583E1A" w:rsidRDefault="00887330" w:rsidP="00887330">
      <w:pPr>
        <w:pStyle w:val="ActHead5"/>
      </w:pPr>
      <w:bookmarkStart w:id="224" w:name="_Toc338939298"/>
      <w:r w:rsidRPr="00583E1A">
        <w:rPr>
          <w:rStyle w:val="CharSectno"/>
        </w:rPr>
        <w:lastRenderedPageBreak/>
        <w:t>820</w:t>
      </w:r>
      <w:r w:rsidR="00583E1A">
        <w:rPr>
          <w:rStyle w:val="CharSectno"/>
        </w:rPr>
        <w:noBreakHyphen/>
      </w:r>
      <w:r w:rsidRPr="00583E1A">
        <w:rPr>
          <w:rStyle w:val="CharSectno"/>
        </w:rPr>
        <w:t>405</w:t>
      </w:r>
      <w:r w:rsidRPr="00583E1A">
        <w:t xml:space="preserve">  Safe harbour capital amount</w:t>
      </w:r>
      <w:bookmarkEnd w:id="224"/>
    </w:p>
    <w:p w:rsidR="00887330" w:rsidRPr="00583E1A" w:rsidRDefault="00887330" w:rsidP="00887330">
      <w:pPr>
        <w:pStyle w:val="subsection"/>
      </w:pPr>
      <w:r w:rsidRPr="00583E1A">
        <w:tab/>
      </w:r>
      <w:r w:rsidRPr="00583E1A">
        <w:tab/>
        <w:t xml:space="preserve">The entity’s </w:t>
      </w:r>
      <w:r w:rsidRPr="00583E1A">
        <w:rPr>
          <w:b/>
          <w:i/>
        </w:rPr>
        <w:t>safe harbour capital amount</w:t>
      </w:r>
      <w:r w:rsidRPr="00583E1A">
        <w:t xml:space="preserve"> for the income year is the result of applying the method statement in this section.</w:t>
      </w:r>
    </w:p>
    <w:p w:rsidR="00887330" w:rsidRPr="00583E1A" w:rsidRDefault="00887330" w:rsidP="00887330">
      <w:pPr>
        <w:pStyle w:val="BoxHeadItalic"/>
      </w:pPr>
      <w:r w:rsidRPr="00583E1A">
        <w:t>Method statement</w:t>
      </w:r>
    </w:p>
    <w:p w:rsidR="00887330" w:rsidRPr="00583E1A" w:rsidRDefault="00AE4F7F" w:rsidP="00887330">
      <w:pPr>
        <w:pStyle w:val="BoxStep"/>
      </w:pPr>
      <w:r w:rsidRPr="00583E1A">
        <w:rPr>
          <w:szCs w:val="22"/>
        </w:rPr>
        <w:t>Step 1.</w:t>
      </w:r>
      <w:r w:rsidR="00887330" w:rsidRPr="00583E1A">
        <w:tab/>
        <w:t xml:space="preserve">Work out the average value, for the income year, of that part of the </w:t>
      </w:r>
      <w:r w:rsidR="00583E1A" w:rsidRPr="00583E1A">
        <w:rPr>
          <w:position w:val="6"/>
          <w:sz w:val="16"/>
        </w:rPr>
        <w:t>*</w:t>
      </w:r>
      <w:r w:rsidR="00887330" w:rsidRPr="00583E1A">
        <w:t>risk</w:t>
      </w:r>
      <w:r w:rsidR="00583E1A">
        <w:noBreakHyphen/>
      </w:r>
      <w:r w:rsidR="00887330" w:rsidRPr="00583E1A">
        <w:t>weighted assets of the entity that:</w:t>
      </w:r>
    </w:p>
    <w:p w:rsidR="00887330" w:rsidRPr="00583E1A" w:rsidRDefault="00887330" w:rsidP="00887330">
      <w:pPr>
        <w:pStyle w:val="BoxPara"/>
      </w:pPr>
      <w:r w:rsidRPr="00583E1A">
        <w:tab/>
        <w:t>(a)</w:t>
      </w:r>
      <w:r w:rsidRPr="00583E1A">
        <w:tab/>
        <w:t xml:space="preserve">is attributable to the </w:t>
      </w:r>
      <w:r w:rsidR="00583E1A" w:rsidRPr="00583E1A">
        <w:rPr>
          <w:position w:val="6"/>
          <w:sz w:val="16"/>
        </w:rPr>
        <w:t>*</w:t>
      </w:r>
      <w:r w:rsidRPr="00583E1A">
        <w:t xml:space="preserve">Australian permanent establishments at or through which it carries on its banking business in </w:t>
      </w:r>
      <w:smartTag w:uri="urn:schemas-microsoft-com:office:smarttags" w:element="country-region">
        <w:smartTag w:uri="urn:schemas-microsoft-com:office:smarttags" w:element="place">
          <w:r w:rsidRPr="00583E1A">
            <w:t>Australia</w:t>
          </w:r>
        </w:smartTag>
      </w:smartTag>
      <w:r w:rsidRPr="00583E1A">
        <w:t>; but</w:t>
      </w:r>
    </w:p>
    <w:p w:rsidR="00887330" w:rsidRPr="00583E1A" w:rsidRDefault="00887330" w:rsidP="00887330">
      <w:pPr>
        <w:pStyle w:val="BoxPara"/>
      </w:pPr>
      <w:r w:rsidRPr="00583E1A">
        <w:tab/>
        <w:t>(b)</w:t>
      </w:r>
      <w:r w:rsidRPr="00583E1A">
        <w:tab/>
        <w:t xml:space="preserve">is not attributable to the </w:t>
      </w:r>
      <w:r w:rsidR="00583E1A" w:rsidRPr="00583E1A">
        <w:rPr>
          <w:position w:val="6"/>
          <w:sz w:val="16"/>
        </w:rPr>
        <w:t>*</w:t>
      </w:r>
      <w:r w:rsidRPr="00583E1A">
        <w:t>OB activities of the Australian permanent establishments.</w:t>
      </w:r>
    </w:p>
    <w:p w:rsidR="00887330" w:rsidRPr="00583E1A" w:rsidRDefault="00AE4F7F" w:rsidP="00887330">
      <w:pPr>
        <w:pStyle w:val="BoxStep"/>
        <w:rPr>
          <w:i/>
        </w:rPr>
      </w:pPr>
      <w:r w:rsidRPr="00583E1A">
        <w:rPr>
          <w:szCs w:val="22"/>
        </w:rPr>
        <w:t>Step 2.</w:t>
      </w:r>
      <w:r w:rsidR="00887330" w:rsidRPr="00583E1A">
        <w:tab/>
        <w:t xml:space="preserve">Multiply the result of step 1 by 4%. The result of this step is the </w:t>
      </w:r>
      <w:r w:rsidR="00887330" w:rsidRPr="00583E1A">
        <w:rPr>
          <w:b/>
          <w:i/>
        </w:rPr>
        <w:t>safe harbour capital amount</w:t>
      </w:r>
      <w:r w:rsidR="00887330" w:rsidRPr="00583E1A">
        <w:rPr>
          <w:i/>
        </w:rPr>
        <w:t>.</w:t>
      </w:r>
    </w:p>
    <w:p w:rsidR="00887330" w:rsidRPr="00583E1A" w:rsidRDefault="00887330" w:rsidP="00887330">
      <w:pPr>
        <w:pStyle w:val="notetext"/>
      </w:pPr>
      <w:r w:rsidRPr="00583E1A">
        <w:t>Example:</w:t>
      </w:r>
      <w:r w:rsidRPr="00583E1A">
        <w:tab/>
        <w:t xml:space="preserve">The Global Bank is a foreign bank that carries on its banking business in </w:t>
      </w:r>
      <w:smartTag w:uri="urn:schemas-microsoft-com:office:smarttags" w:element="country-region">
        <w:smartTag w:uri="urn:schemas-microsoft-com:office:smarttags" w:element="place">
          <w:r w:rsidRPr="00583E1A">
            <w:t>Australia</w:t>
          </w:r>
        </w:smartTag>
      </w:smartTag>
      <w:r w:rsidRPr="00583E1A">
        <w:t xml:space="preserve"> through a permanent establishment. The average value of its relevant risk</w:t>
      </w:r>
      <w:r w:rsidR="00583E1A">
        <w:noBreakHyphen/>
      </w:r>
      <w:r w:rsidRPr="00583E1A">
        <w:t>weighted assets is $140 million. Multiplying that amount by 4% results in $5.6 million, which is the safe harbour capital amount.</w:t>
      </w:r>
    </w:p>
    <w:p w:rsidR="00887330" w:rsidRPr="00583E1A" w:rsidRDefault="00887330" w:rsidP="00887330">
      <w:pPr>
        <w:pStyle w:val="ActHead5"/>
      </w:pPr>
      <w:bookmarkStart w:id="225" w:name="_Toc338939299"/>
      <w:r w:rsidRPr="00583E1A">
        <w:rPr>
          <w:rStyle w:val="CharSectno"/>
        </w:rPr>
        <w:t>820</w:t>
      </w:r>
      <w:r w:rsidR="00583E1A">
        <w:rPr>
          <w:rStyle w:val="CharSectno"/>
        </w:rPr>
        <w:noBreakHyphen/>
      </w:r>
      <w:r w:rsidRPr="00583E1A">
        <w:rPr>
          <w:rStyle w:val="CharSectno"/>
        </w:rPr>
        <w:t>410</w:t>
      </w:r>
      <w:r w:rsidRPr="00583E1A">
        <w:t xml:space="preserve">  Arm’s length capital amount</w:t>
      </w:r>
      <w:bookmarkEnd w:id="225"/>
    </w:p>
    <w:p w:rsidR="00887330" w:rsidRPr="00583E1A" w:rsidRDefault="00887330" w:rsidP="00887330">
      <w:pPr>
        <w:pStyle w:val="subsection"/>
      </w:pPr>
      <w:r w:rsidRPr="00583E1A">
        <w:tab/>
        <w:t>(1)</w:t>
      </w:r>
      <w:r w:rsidRPr="00583E1A">
        <w:tab/>
        <w:t xml:space="preserve">The </w:t>
      </w:r>
      <w:r w:rsidRPr="00583E1A">
        <w:rPr>
          <w:b/>
          <w:i/>
        </w:rPr>
        <w:t>arm’s length capital amount</w:t>
      </w:r>
      <w:r w:rsidRPr="00583E1A">
        <w:t xml:space="preserve"> is a notional amount that, having regard to:</w:t>
      </w:r>
    </w:p>
    <w:p w:rsidR="00887330" w:rsidRPr="00583E1A" w:rsidRDefault="00887330" w:rsidP="00887330">
      <w:pPr>
        <w:pStyle w:val="paragraph"/>
      </w:pPr>
      <w:r w:rsidRPr="00583E1A">
        <w:tab/>
        <w:t>(a)</w:t>
      </w:r>
      <w:r w:rsidRPr="00583E1A">
        <w:tab/>
        <w:t xml:space="preserve">the factual assumptions set out in </w:t>
      </w:r>
      <w:r w:rsidR="00583E1A">
        <w:t>subsection (</w:t>
      </w:r>
      <w:r w:rsidRPr="00583E1A">
        <w:t>2); and</w:t>
      </w:r>
    </w:p>
    <w:p w:rsidR="00887330" w:rsidRPr="00583E1A" w:rsidRDefault="00887330" w:rsidP="00887330">
      <w:pPr>
        <w:pStyle w:val="paragraph"/>
      </w:pPr>
      <w:r w:rsidRPr="00583E1A">
        <w:tab/>
        <w:t>(b)</w:t>
      </w:r>
      <w:r w:rsidRPr="00583E1A">
        <w:tab/>
        <w:t xml:space="preserve">the relevant factors mentioned in </w:t>
      </w:r>
      <w:r w:rsidR="00583E1A">
        <w:t>subsection (</w:t>
      </w:r>
      <w:r w:rsidRPr="00583E1A">
        <w:t>3);</w:t>
      </w:r>
    </w:p>
    <w:p w:rsidR="00887330" w:rsidRPr="00583E1A" w:rsidRDefault="00887330" w:rsidP="00887330">
      <w:pPr>
        <w:pStyle w:val="subsection2"/>
      </w:pPr>
      <w:r w:rsidRPr="00583E1A">
        <w:t xml:space="preserve">would represent the minimum amount of </w:t>
      </w:r>
      <w:r w:rsidR="00583E1A" w:rsidRPr="00583E1A">
        <w:rPr>
          <w:position w:val="6"/>
          <w:sz w:val="16"/>
        </w:rPr>
        <w:t>*</w:t>
      </w:r>
      <w:r w:rsidRPr="00583E1A">
        <w:t xml:space="preserve">equity capital that the entity would reasonably be expected to have in carrying on the Australian business mentioned in </w:t>
      </w:r>
      <w:r w:rsidR="00583E1A">
        <w:t>subsection (</w:t>
      </w:r>
      <w:r w:rsidRPr="00583E1A">
        <w:t>2) throughout the income year if, throughout that year:</w:t>
      </w:r>
    </w:p>
    <w:p w:rsidR="00887330" w:rsidRPr="00583E1A" w:rsidRDefault="00887330" w:rsidP="00887330">
      <w:pPr>
        <w:pStyle w:val="paragraph"/>
      </w:pPr>
      <w:r w:rsidRPr="00583E1A">
        <w:tab/>
        <w:t>(c)</w:t>
      </w:r>
      <w:r w:rsidRPr="00583E1A">
        <w:tab/>
        <w:t>the part of the entity carrying on that business had operated as if it were a separate entity; and</w:t>
      </w:r>
    </w:p>
    <w:p w:rsidR="00887330" w:rsidRPr="00583E1A" w:rsidRDefault="00887330" w:rsidP="00887330">
      <w:pPr>
        <w:pStyle w:val="paragraph"/>
      </w:pPr>
      <w:r w:rsidRPr="00583E1A">
        <w:tab/>
        <w:t>(d)</w:t>
      </w:r>
      <w:r w:rsidRPr="00583E1A">
        <w:tab/>
        <w:t>that separate entity had been dealing at arm’s length with the other part of the entity.</w:t>
      </w:r>
    </w:p>
    <w:p w:rsidR="00887330" w:rsidRPr="00583E1A" w:rsidRDefault="00887330" w:rsidP="00887330">
      <w:pPr>
        <w:pStyle w:val="notetext"/>
      </w:pPr>
      <w:r w:rsidRPr="00583E1A">
        <w:lastRenderedPageBreak/>
        <w:t>Note:</w:t>
      </w:r>
      <w:r w:rsidRPr="00583E1A">
        <w:tab/>
        <w:t>The entity must keep records in accordance with section</w:t>
      </w:r>
      <w:r w:rsidR="00583E1A">
        <w:t> </w:t>
      </w:r>
      <w:r w:rsidRPr="00583E1A">
        <w:t>820</w:t>
      </w:r>
      <w:r w:rsidR="00583E1A">
        <w:noBreakHyphen/>
      </w:r>
      <w:r w:rsidRPr="00583E1A">
        <w:t>980 if the entity works out an amount under this section.</w:t>
      </w:r>
    </w:p>
    <w:p w:rsidR="00887330" w:rsidRPr="00583E1A" w:rsidRDefault="00887330" w:rsidP="00887330">
      <w:pPr>
        <w:pStyle w:val="SubsectionHead"/>
      </w:pPr>
      <w:r w:rsidRPr="00583E1A">
        <w:t>Factual assumptions</w:t>
      </w:r>
    </w:p>
    <w:p w:rsidR="00887330" w:rsidRPr="00583E1A" w:rsidRDefault="00887330" w:rsidP="00887330">
      <w:pPr>
        <w:pStyle w:val="subsection"/>
      </w:pPr>
      <w:r w:rsidRPr="00583E1A">
        <w:tab/>
        <w:t>(2)</w:t>
      </w:r>
      <w:r w:rsidRPr="00583E1A">
        <w:tab/>
        <w:t>Irrespective of what actually happened during that year, the following assumptions must be made in working out that minimum amount:</w:t>
      </w:r>
    </w:p>
    <w:p w:rsidR="00887330" w:rsidRPr="00583E1A" w:rsidRDefault="00887330" w:rsidP="00887330">
      <w:pPr>
        <w:pStyle w:val="paragraph"/>
      </w:pPr>
      <w:r w:rsidRPr="00583E1A">
        <w:tab/>
        <w:t>(a)</w:t>
      </w:r>
      <w:r w:rsidRPr="00583E1A">
        <w:tab/>
        <w:t xml:space="preserve">the entity’s commercial activities in connection with </w:t>
      </w:r>
      <w:smartTag w:uri="urn:schemas-microsoft-com:office:smarttags" w:element="country-region">
        <w:smartTag w:uri="urn:schemas-microsoft-com:office:smarttags" w:element="place">
          <w:r w:rsidRPr="00583E1A">
            <w:t>Australia</w:t>
          </w:r>
        </w:smartTag>
      </w:smartTag>
      <w:r w:rsidRPr="00583E1A">
        <w:t xml:space="preserve"> (the </w:t>
      </w:r>
      <w:r w:rsidRPr="00583E1A">
        <w:rPr>
          <w:b/>
          <w:i/>
        </w:rPr>
        <w:t>Australian business</w:t>
      </w:r>
      <w:r w:rsidRPr="00583E1A">
        <w:t xml:space="preserve">) during that year consist only of banking business attributable to its </w:t>
      </w:r>
      <w:r w:rsidR="00583E1A" w:rsidRPr="00583E1A">
        <w:rPr>
          <w:position w:val="6"/>
          <w:sz w:val="16"/>
        </w:rPr>
        <w:t>*</w:t>
      </w:r>
      <w:r w:rsidRPr="00583E1A">
        <w:t xml:space="preserve">Australian permanent establishments (other than its </w:t>
      </w:r>
      <w:r w:rsidR="00583E1A" w:rsidRPr="00583E1A">
        <w:rPr>
          <w:position w:val="6"/>
          <w:sz w:val="16"/>
        </w:rPr>
        <w:t>*</w:t>
      </w:r>
      <w:r w:rsidRPr="00583E1A">
        <w:t>OB activities);</w:t>
      </w:r>
    </w:p>
    <w:p w:rsidR="00887330" w:rsidRPr="00583E1A" w:rsidRDefault="00887330" w:rsidP="00887330">
      <w:pPr>
        <w:pStyle w:val="paragraph"/>
      </w:pPr>
      <w:r w:rsidRPr="00583E1A">
        <w:tab/>
        <w:t>(b)</w:t>
      </w:r>
      <w:r w:rsidRPr="00583E1A">
        <w:tab/>
        <w:t>the entity had carried on the Australian business that it actually carried on during that year;</w:t>
      </w:r>
    </w:p>
    <w:p w:rsidR="00887330" w:rsidRPr="00583E1A" w:rsidRDefault="00887330" w:rsidP="00887330">
      <w:pPr>
        <w:pStyle w:val="paragraph"/>
      </w:pPr>
      <w:r w:rsidRPr="00583E1A">
        <w:tab/>
        <w:t>(c)</w:t>
      </w:r>
      <w:r w:rsidRPr="00583E1A">
        <w:tab/>
        <w:t>the nature of the entity’s assets and liabilities (to the extent that they are attributable to the Australian business) had been as they were during that year;</w:t>
      </w:r>
    </w:p>
    <w:p w:rsidR="00887330" w:rsidRPr="00583E1A" w:rsidRDefault="00887330" w:rsidP="00887330">
      <w:pPr>
        <w:pStyle w:val="paragraph"/>
      </w:pPr>
      <w:r w:rsidRPr="00583E1A">
        <w:tab/>
        <w:t>(d)</w:t>
      </w:r>
      <w:r w:rsidRPr="00583E1A">
        <w:tab/>
        <w:t xml:space="preserve">except as mentioned in </w:t>
      </w:r>
      <w:r w:rsidR="00583E1A">
        <w:t>subsection (</w:t>
      </w:r>
      <w:r w:rsidRPr="00583E1A">
        <w:t>1), the entity had carried on the Australian business in the same circumstances as what actually happened during that year.</w:t>
      </w:r>
    </w:p>
    <w:p w:rsidR="00887330" w:rsidRPr="00583E1A" w:rsidRDefault="00887330" w:rsidP="00887330">
      <w:pPr>
        <w:pStyle w:val="SubsectionHead"/>
      </w:pPr>
      <w:r w:rsidRPr="00583E1A">
        <w:t>Relevant factors</w:t>
      </w:r>
    </w:p>
    <w:p w:rsidR="00887330" w:rsidRPr="00583E1A" w:rsidRDefault="00887330" w:rsidP="00887330">
      <w:pPr>
        <w:pStyle w:val="subsection"/>
      </w:pPr>
      <w:r w:rsidRPr="00583E1A">
        <w:tab/>
        <w:t>(3)</w:t>
      </w:r>
      <w:r w:rsidRPr="00583E1A">
        <w:tab/>
        <w:t xml:space="preserve">On the basis of the factual assumptions set out in </w:t>
      </w:r>
      <w:r w:rsidR="00583E1A">
        <w:t>subsection (</w:t>
      </w:r>
      <w:r w:rsidRPr="00583E1A">
        <w:t>2), the following factors must be taken into account in determining that minimum amount:</w:t>
      </w:r>
    </w:p>
    <w:p w:rsidR="00887330" w:rsidRPr="00583E1A" w:rsidRDefault="00887330" w:rsidP="00887330">
      <w:pPr>
        <w:pStyle w:val="paragraph"/>
      </w:pPr>
      <w:r w:rsidRPr="00583E1A">
        <w:tab/>
        <w:t>(a)</w:t>
      </w:r>
      <w:r w:rsidRPr="00583E1A">
        <w:tab/>
        <w:t>the functions performed, the assets used, and the risks assumed, throughout that year, by:</w:t>
      </w:r>
    </w:p>
    <w:p w:rsidR="00887330" w:rsidRPr="00583E1A" w:rsidRDefault="00887330" w:rsidP="00887330">
      <w:pPr>
        <w:pStyle w:val="paragraphsub"/>
      </w:pPr>
      <w:r w:rsidRPr="00583E1A">
        <w:tab/>
        <w:t>(i)</w:t>
      </w:r>
      <w:r w:rsidRPr="00583E1A">
        <w:tab/>
        <w:t>the entity; and</w:t>
      </w:r>
    </w:p>
    <w:p w:rsidR="00887330" w:rsidRPr="00583E1A" w:rsidRDefault="00887330" w:rsidP="00887330">
      <w:pPr>
        <w:pStyle w:val="paragraphsub"/>
      </w:pPr>
      <w:r w:rsidRPr="00583E1A">
        <w:tab/>
        <w:t>(ii)</w:t>
      </w:r>
      <w:r w:rsidRPr="00583E1A">
        <w:tab/>
        <w:t>the entity in relation to the Australian business;</w:t>
      </w:r>
    </w:p>
    <w:p w:rsidR="00887330" w:rsidRPr="00583E1A" w:rsidRDefault="00887330" w:rsidP="00887330">
      <w:pPr>
        <w:pStyle w:val="paragraph"/>
      </w:pPr>
      <w:r w:rsidRPr="00583E1A">
        <w:tab/>
        <w:t>(b)</w:t>
      </w:r>
      <w:r w:rsidRPr="00583E1A">
        <w:tab/>
        <w:t>the credit rating of the entity throughout that year, including the effect of that credit rating on all of the following:</w:t>
      </w:r>
    </w:p>
    <w:p w:rsidR="00887330" w:rsidRPr="00583E1A" w:rsidRDefault="00887330" w:rsidP="00887330">
      <w:pPr>
        <w:pStyle w:val="paragraphsub"/>
      </w:pPr>
      <w:r w:rsidRPr="00583E1A">
        <w:tab/>
        <w:t>(i)</w:t>
      </w:r>
      <w:r w:rsidRPr="00583E1A">
        <w:tab/>
        <w:t>the entity’s ability to borrow in relation to the Australian business;</w:t>
      </w:r>
    </w:p>
    <w:p w:rsidR="00887330" w:rsidRPr="00583E1A" w:rsidRDefault="00887330" w:rsidP="00887330">
      <w:pPr>
        <w:pStyle w:val="paragraphsub"/>
      </w:pPr>
      <w:r w:rsidRPr="00583E1A">
        <w:tab/>
        <w:t>(ii)</w:t>
      </w:r>
      <w:r w:rsidRPr="00583E1A">
        <w:tab/>
        <w:t>the interest rate at which the entity borrowed in relation to that business;</w:t>
      </w:r>
    </w:p>
    <w:p w:rsidR="00887330" w:rsidRPr="00583E1A" w:rsidRDefault="00887330" w:rsidP="00887330">
      <w:pPr>
        <w:pStyle w:val="paragraphsub"/>
      </w:pPr>
      <w:r w:rsidRPr="00583E1A">
        <w:tab/>
        <w:t>(iii)</w:t>
      </w:r>
      <w:r w:rsidRPr="00583E1A">
        <w:tab/>
        <w:t>the entity’s gross profit margin in relation to that business;</w:t>
      </w:r>
    </w:p>
    <w:p w:rsidR="00887330" w:rsidRPr="00583E1A" w:rsidRDefault="00887330" w:rsidP="007D2F4E">
      <w:pPr>
        <w:pStyle w:val="paragraph"/>
        <w:keepNext/>
      </w:pPr>
      <w:r w:rsidRPr="00583E1A">
        <w:lastRenderedPageBreak/>
        <w:tab/>
        <w:t>(c)</w:t>
      </w:r>
      <w:r w:rsidRPr="00583E1A">
        <w:tab/>
        <w:t>the capital ratios of the following throughout that year:</w:t>
      </w:r>
    </w:p>
    <w:p w:rsidR="00887330" w:rsidRPr="00583E1A" w:rsidRDefault="00887330" w:rsidP="007D2F4E">
      <w:pPr>
        <w:pStyle w:val="paragraphsub"/>
        <w:keepNext/>
      </w:pPr>
      <w:r w:rsidRPr="00583E1A">
        <w:tab/>
        <w:t>(i)</w:t>
      </w:r>
      <w:r w:rsidRPr="00583E1A">
        <w:tab/>
        <w:t>the entity;</w:t>
      </w:r>
    </w:p>
    <w:p w:rsidR="00887330" w:rsidRPr="00583E1A" w:rsidRDefault="00887330" w:rsidP="00887330">
      <w:pPr>
        <w:pStyle w:val="paragraphsub"/>
      </w:pPr>
      <w:r w:rsidRPr="00583E1A">
        <w:tab/>
        <w:t>(ii)</w:t>
      </w:r>
      <w:r w:rsidRPr="00583E1A">
        <w:tab/>
        <w:t>the entity in relation to the Australian business;</w:t>
      </w:r>
    </w:p>
    <w:p w:rsidR="00887330" w:rsidRPr="00583E1A" w:rsidRDefault="00887330" w:rsidP="00887330">
      <w:pPr>
        <w:pStyle w:val="paragraphsub"/>
      </w:pPr>
      <w:r w:rsidRPr="00583E1A">
        <w:tab/>
        <w:t>(iii)</w:t>
      </w:r>
      <w:r w:rsidRPr="00583E1A">
        <w:tab/>
        <w:t xml:space="preserve">each of the entity’s </w:t>
      </w:r>
      <w:r w:rsidR="00583E1A" w:rsidRPr="00583E1A">
        <w:rPr>
          <w:position w:val="6"/>
          <w:sz w:val="16"/>
        </w:rPr>
        <w:t>*</w:t>
      </w:r>
      <w:r w:rsidRPr="00583E1A">
        <w:t>associate entities that engage in commercial activities similar to the Australian business;</w:t>
      </w:r>
    </w:p>
    <w:p w:rsidR="00887330" w:rsidRPr="00583E1A" w:rsidRDefault="00887330" w:rsidP="00887330">
      <w:pPr>
        <w:pStyle w:val="paragraph"/>
      </w:pPr>
      <w:r w:rsidRPr="00583E1A">
        <w:tab/>
        <w:t>(d)</w:t>
      </w:r>
      <w:r w:rsidRPr="00583E1A">
        <w:tab/>
        <w:t xml:space="preserve">the purposes for which </w:t>
      </w:r>
      <w:r w:rsidR="00583E1A" w:rsidRPr="00583E1A">
        <w:rPr>
          <w:position w:val="6"/>
          <w:sz w:val="16"/>
        </w:rPr>
        <w:t>*</w:t>
      </w:r>
      <w:r w:rsidRPr="00583E1A">
        <w:t xml:space="preserve">schemes for </w:t>
      </w:r>
      <w:r w:rsidR="00583E1A" w:rsidRPr="00583E1A">
        <w:rPr>
          <w:position w:val="6"/>
          <w:sz w:val="16"/>
        </w:rPr>
        <w:t>*</w:t>
      </w:r>
      <w:r w:rsidRPr="00583E1A">
        <w:t xml:space="preserve">debt capital and for </w:t>
      </w:r>
      <w:r w:rsidR="00583E1A" w:rsidRPr="00583E1A">
        <w:rPr>
          <w:position w:val="6"/>
          <w:sz w:val="16"/>
        </w:rPr>
        <w:t>*</w:t>
      </w:r>
      <w:r w:rsidRPr="00583E1A">
        <w:t>equity capital had been actually entered into, throughout that year, by:</w:t>
      </w:r>
    </w:p>
    <w:p w:rsidR="00887330" w:rsidRPr="00583E1A" w:rsidRDefault="00887330" w:rsidP="00887330">
      <w:pPr>
        <w:pStyle w:val="paragraphsub"/>
      </w:pPr>
      <w:r w:rsidRPr="00583E1A">
        <w:tab/>
        <w:t>(i)</w:t>
      </w:r>
      <w:r w:rsidRPr="00583E1A">
        <w:tab/>
        <w:t>the entity; and</w:t>
      </w:r>
    </w:p>
    <w:p w:rsidR="00887330" w:rsidRPr="00583E1A" w:rsidRDefault="00887330" w:rsidP="00887330">
      <w:pPr>
        <w:pStyle w:val="paragraphsub"/>
      </w:pPr>
      <w:r w:rsidRPr="00583E1A">
        <w:tab/>
        <w:t>(ii)</w:t>
      </w:r>
      <w:r w:rsidRPr="00583E1A">
        <w:tab/>
        <w:t>the entity in relation to the Australian business;</w:t>
      </w:r>
    </w:p>
    <w:p w:rsidR="00887330" w:rsidRPr="00583E1A" w:rsidRDefault="00887330" w:rsidP="00887330">
      <w:pPr>
        <w:pStyle w:val="paragraph"/>
      </w:pPr>
      <w:r w:rsidRPr="00583E1A">
        <w:tab/>
        <w:t>(e)</w:t>
      </w:r>
      <w:r w:rsidRPr="00583E1A">
        <w:tab/>
        <w:t xml:space="preserve">the profit (within the meaning of the </w:t>
      </w:r>
      <w:r w:rsidR="00583E1A" w:rsidRPr="00583E1A">
        <w:rPr>
          <w:position w:val="6"/>
          <w:sz w:val="16"/>
        </w:rPr>
        <w:t>*</w:t>
      </w:r>
      <w:r w:rsidRPr="00583E1A">
        <w:t>accounting standards or any other accounting standards that would otherwise apply to the entity), and the return on capital, whether during that year or at any other time, of:</w:t>
      </w:r>
    </w:p>
    <w:p w:rsidR="00887330" w:rsidRPr="00583E1A" w:rsidRDefault="00887330" w:rsidP="00887330">
      <w:pPr>
        <w:pStyle w:val="paragraphsub"/>
      </w:pPr>
      <w:r w:rsidRPr="00583E1A">
        <w:tab/>
        <w:t>(i)</w:t>
      </w:r>
      <w:r w:rsidRPr="00583E1A">
        <w:tab/>
        <w:t>the entity; and</w:t>
      </w:r>
    </w:p>
    <w:p w:rsidR="00887330" w:rsidRPr="00583E1A" w:rsidRDefault="00887330" w:rsidP="00887330">
      <w:pPr>
        <w:pStyle w:val="paragraphsub"/>
      </w:pPr>
      <w:r w:rsidRPr="00583E1A">
        <w:tab/>
        <w:t>(ii)</w:t>
      </w:r>
      <w:r w:rsidRPr="00583E1A">
        <w:tab/>
        <w:t>the entity in relation to the Australian business;</w:t>
      </w:r>
    </w:p>
    <w:p w:rsidR="00887330" w:rsidRPr="00583E1A" w:rsidRDefault="00887330" w:rsidP="00887330">
      <w:pPr>
        <w:pStyle w:val="paragraph"/>
      </w:pPr>
      <w:r w:rsidRPr="00583E1A">
        <w:tab/>
        <w:t>(f)</w:t>
      </w:r>
      <w:r w:rsidRPr="00583E1A">
        <w:tab/>
        <w:t>the commercial practices adopted by independent parties dealing with each other at arm’s length in the industry in which the entity carries on the Australian business throughout that year (whether in Australia or in comparable markets elsewhere);</w:t>
      </w:r>
    </w:p>
    <w:p w:rsidR="00887330" w:rsidRPr="00583E1A" w:rsidRDefault="00887330" w:rsidP="00887330">
      <w:pPr>
        <w:pStyle w:val="paragraph"/>
      </w:pPr>
      <w:r w:rsidRPr="00583E1A">
        <w:tab/>
        <w:t>(g)</w:t>
      </w:r>
      <w:r w:rsidRPr="00583E1A">
        <w:tab/>
        <w:t>the general state of the Australian economy throughout that year;</w:t>
      </w:r>
    </w:p>
    <w:p w:rsidR="00887330" w:rsidRPr="00583E1A" w:rsidRDefault="00887330" w:rsidP="00887330">
      <w:pPr>
        <w:pStyle w:val="paragraph"/>
      </w:pPr>
      <w:r w:rsidRPr="00583E1A">
        <w:tab/>
        <w:t>(h)</w:t>
      </w:r>
      <w:r w:rsidRPr="00583E1A">
        <w:tab/>
        <w:t>any other factors which are specified in the regulations made for the purposes of this section.</w:t>
      </w:r>
    </w:p>
    <w:p w:rsidR="00887330" w:rsidRPr="00583E1A" w:rsidRDefault="00887330" w:rsidP="00887330">
      <w:pPr>
        <w:pStyle w:val="SubsectionHead"/>
      </w:pPr>
      <w:r w:rsidRPr="00583E1A">
        <w:t>Commissioner’s power</w:t>
      </w:r>
    </w:p>
    <w:p w:rsidR="00887330" w:rsidRPr="00583E1A" w:rsidRDefault="00887330" w:rsidP="00887330">
      <w:pPr>
        <w:pStyle w:val="subsection"/>
      </w:pPr>
      <w:r w:rsidRPr="00583E1A">
        <w:tab/>
        <w:t>(4)</w:t>
      </w:r>
      <w:r w:rsidRPr="00583E1A">
        <w:tab/>
        <w:t>If the Commissioner considers an amount worked out by the entity under this section does not appropriately take into account the factual assumptions and the relevant factors, the Commissioner may substitute another amount that the Commissioner considers better reflects those assumptions and factors.</w:t>
      </w:r>
    </w:p>
    <w:p w:rsidR="00887330" w:rsidRPr="00583E1A" w:rsidRDefault="00887330" w:rsidP="00887330">
      <w:pPr>
        <w:pStyle w:val="ActHead5"/>
      </w:pPr>
      <w:bookmarkStart w:id="226" w:name="_Toc338939300"/>
      <w:r w:rsidRPr="00583E1A">
        <w:rPr>
          <w:rStyle w:val="CharSectno"/>
        </w:rPr>
        <w:t>820</w:t>
      </w:r>
      <w:r w:rsidR="00583E1A">
        <w:rPr>
          <w:rStyle w:val="CharSectno"/>
        </w:rPr>
        <w:noBreakHyphen/>
      </w:r>
      <w:r w:rsidRPr="00583E1A">
        <w:rPr>
          <w:rStyle w:val="CharSectno"/>
        </w:rPr>
        <w:t>415</w:t>
      </w:r>
      <w:r w:rsidRPr="00583E1A">
        <w:t xml:space="preserve">  Amount of debt deduction disallowed</w:t>
      </w:r>
      <w:bookmarkEnd w:id="226"/>
    </w:p>
    <w:p w:rsidR="00887330" w:rsidRPr="00583E1A" w:rsidRDefault="00887330" w:rsidP="00887330">
      <w:pPr>
        <w:pStyle w:val="subsection"/>
      </w:pPr>
      <w:r w:rsidRPr="00583E1A">
        <w:tab/>
      </w:r>
      <w:r w:rsidRPr="00583E1A">
        <w:tab/>
        <w:t xml:space="preserve">The amount of </w:t>
      </w:r>
      <w:r w:rsidR="00583E1A" w:rsidRPr="00583E1A">
        <w:rPr>
          <w:position w:val="6"/>
          <w:sz w:val="16"/>
        </w:rPr>
        <w:t>*</w:t>
      </w:r>
      <w:r w:rsidRPr="00583E1A">
        <w:t>debt deduction disallowed under subsection 820</w:t>
      </w:r>
      <w:r w:rsidR="00583E1A">
        <w:noBreakHyphen/>
      </w:r>
      <w:r w:rsidRPr="00583E1A">
        <w:t>395(1) is worked out using the following formula:</w:t>
      </w:r>
    </w:p>
    <w:p w:rsidR="00CB48B4" w:rsidRPr="00583E1A" w:rsidRDefault="00623A5C" w:rsidP="00887330">
      <w:pPr>
        <w:pStyle w:val="Formula"/>
        <w:spacing w:before="60" w:after="60"/>
      </w:pPr>
      <w:r>
        <w:rPr>
          <w:noProof/>
        </w:rPr>
        <w:lastRenderedPageBreak/>
        <w:drawing>
          <wp:inline distT="0" distB="0" distL="0" distR="0">
            <wp:extent cx="1971675" cy="3810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971675" cy="381000"/>
                    </a:xfrm>
                    <a:prstGeom prst="rect">
                      <a:avLst/>
                    </a:prstGeom>
                    <a:noFill/>
                    <a:ln>
                      <a:noFill/>
                    </a:ln>
                  </pic:spPr>
                </pic:pic>
              </a:graphicData>
            </a:graphic>
          </wp:inline>
        </w:drawing>
      </w:r>
    </w:p>
    <w:p w:rsidR="00887330" w:rsidRPr="00583E1A" w:rsidRDefault="00887330" w:rsidP="00887330">
      <w:pPr>
        <w:pStyle w:val="subsection2"/>
      </w:pPr>
      <w:r w:rsidRPr="00583E1A">
        <w:t>where:</w:t>
      </w:r>
    </w:p>
    <w:p w:rsidR="00887330" w:rsidRPr="00583E1A" w:rsidRDefault="00887330" w:rsidP="00887330">
      <w:pPr>
        <w:pStyle w:val="Definition"/>
      </w:pPr>
      <w:r w:rsidRPr="00583E1A">
        <w:rPr>
          <w:b/>
          <w:i/>
        </w:rPr>
        <w:t>average debt</w:t>
      </w:r>
      <w:r w:rsidRPr="00583E1A">
        <w:t xml:space="preserve"> means the average value, for the income year, of all the </w:t>
      </w:r>
      <w:r w:rsidR="00583E1A" w:rsidRPr="00583E1A">
        <w:rPr>
          <w:position w:val="6"/>
          <w:sz w:val="16"/>
        </w:rPr>
        <w:t>*</w:t>
      </w:r>
      <w:r w:rsidRPr="00583E1A">
        <w:t xml:space="preserve">debt capital of the entity that gives rise to </w:t>
      </w:r>
      <w:r w:rsidR="00583E1A" w:rsidRPr="00583E1A">
        <w:rPr>
          <w:position w:val="6"/>
          <w:sz w:val="16"/>
        </w:rPr>
        <w:t>*</w:t>
      </w:r>
      <w:r w:rsidRPr="00583E1A">
        <w:t xml:space="preserve">debt deductions of the entity (other than </w:t>
      </w:r>
      <w:r w:rsidR="00583E1A" w:rsidRPr="00583E1A">
        <w:rPr>
          <w:position w:val="6"/>
          <w:sz w:val="16"/>
        </w:rPr>
        <w:t>*</w:t>
      </w:r>
      <w:r w:rsidRPr="00583E1A">
        <w:t xml:space="preserve">allowable </w:t>
      </w:r>
      <w:smartTag w:uri="urn:schemas-microsoft-com:office:smarttags" w:element="place">
        <w:r w:rsidRPr="00583E1A">
          <w:t>OB</w:t>
        </w:r>
      </w:smartTag>
      <w:r w:rsidRPr="00583E1A">
        <w:t xml:space="preserve"> deductions) for that or any other income year.</w:t>
      </w:r>
    </w:p>
    <w:p w:rsidR="00887330" w:rsidRPr="00583E1A" w:rsidRDefault="00887330" w:rsidP="00887330">
      <w:pPr>
        <w:pStyle w:val="Definition"/>
      </w:pPr>
      <w:r w:rsidRPr="00583E1A">
        <w:rPr>
          <w:b/>
          <w:i/>
        </w:rPr>
        <w:t xml:space="preserve">capital shortfall </w:t>
      </w:r>
      <w:r w:rsidRPr="00583E1A">
        <w:t xml:space="preserve">means the amount by which the entity’s </w:t>
      </w:r>
      <w:r w:rsidR="00583E1A" w:rsidRPr="00583E1A">
        <w:rPr>
          <w:position w:val="6"/>
          <w:sz w:val="16"/>
        </w:rPr>
        <w:t>*</w:t>
      </w:r>
      <w:r w:rsidRPr="00583E1A">
        <w:t>average equity capital for that year (see subsection 820</w:t>
      </w:r>
      <w:r w:rsidR="00583E1A">
        <w:noBreakHyphen/>
      </w:r>
      <w:r w:rsidRPr="00583E1A">
        <w:t xml:space="preserve">395(3)) is less than the entity’s </w:t>
      </w:r>
      <w:r w:rsidR="00583E1A" w:rsidRPr="00583E1A">
        <w:rPr>
          <w:position w:val="6"/>
          <w:sz w:val="16"/>
        </w:rPr>
        <w:t>*</w:t>
      </w:r>
      <w:r w:rsidRPr="00583E1A">
        <w:t>minimum capital amount for that year.</w:t>
      </w:r>
    </w:p>
    <w:p w:rsidR="00887330" w:rsidRPr="00583E1A" w:rsidRDefault="00887330" w:rsidP="00887330">
      <w:pPr>
        <w:pStyle w:val="Definition"/>
      </w:pPr>
      <w:r w:rsidRPr="00583E1A">
        <w:rPr>
          <w:b/>
          <w:i/>
        </w:rPr>
        <w:t xml:space="preserve">debt deduction </w:t>
      </w:r>
      <w:r w:rsidRPr="00583E1A">
        <w:t xml:space="preserve">means each </w:t>
      </w:r>
      <w:r w:rsidR="00583E1A" w:rsidRPr="00583E1A">
        <w:rPr>
          <w:position w:val="6"/>
          <w:sz w:val="16"/>
        </w:rPr>
        <w:t>*</w:t>
      </w:r>
      <w:r w:rsidRPr="00583E1A">
        <w:t xml:space="preserve">debt deduction of the entity (other than </w:t>
      </w:r>
      <w:r w:rsidR="00583E1A" w:rsidRPr="00583E1A">
        <w:rPr>
          <w:position w:val="6"/>
          <w:sz w:val="16"/>
        </w:rPr>
        <w:t>*</w:t>
      </w:r>
      <w:r w:rsidRPr="00583E1A">
        <w:t xml:space="preserve">allowable </w:t>
      </w:r>
      <w:smartTag w:uri="urn:schemas-microsoft-com:office:smarttags" w:element="place">
        <w:r w:rsidRPr="00583E1A">
          <w:t>OB</w:t>
        </w:r>
      </w:smartTag>
      <w:r w:rsidRPr="00583E1A">
        <w:t xml:space="preserve"> deduction) for the income year.</w:t>
      </w:r>
    </w:p>
    <w:p w:rsidR="00887330" w:rsidRPr="00583E1A" w:rsidRDefault="00887330" w:rsidP="00887330">
      <w:pPr>
        <w:pStyle w:val="notetext"/>
      </w:pPr>
      <w:r w:rsidRPr="00583E1A">
        <w:t>Note:</w:t>
      </w:r>
      <w:r w:rsidRPr="00583E1A">
        <w:tab/>
        <w:t>The disallowed amount also does not form part of the cost base of a CGT asset. See section</w:t>
      </w:r>
      <w:r w:rsidR="00583E1A">
        <w:t> </w:t>
      </w:r>
      <w:r w:rsidRPr="00583E1A">
        <w:t>110</w:t>
      </w:r>
      <w:r w:rsidR="00583E1A">
        <w:noBreakHyphen/>
      </w:r>
      <w:r w:rsidRPr="00583E1A">
        <w:t>54.</w:t>
      </w:r>
    </w:p>
    <w:p w:rsidR="00887330" w:rsidRPr="00583E1A" w:rsidRDefault="00887330" w:rsidP="00887330">
      <w:pPr>
        <w:pStyle w:val="ActHead5"/>
      </w:pPr>
      <w:bookmarkStart w:id="227" w:name="_Toc338939301"/>
      <w:r w:rsidRPr="00583E1A">
        <w:rPr>
          <w:rStyle w:val="CharSectno"/>
        </w:rPr>
        <w:t>820</w:t>
      </w:r>
      <w:r w:rsidR="00583E1A">
        <w:rPr>
          <w:rStyle w:val="CharSectno"/>
        </w:rPr>
        <w:noBreakHyphen/>
      </w:r>
      <w:r w:rsidRPr="00583E1A">
        <w:rPr>
          <w:rStyle w:val="CharSectno"/>
        </w:rPr>
        <w:t>420</w:t>
      </w:r>
      <w:r w:rsidRPr="00583E1A">
        <w:t xml:space="preserve">  Application to part year periods</w:t>
      </w:r>
      <w:bookmarkEnd w:id="227"/>
    </w:p>
    <w:p w:rsidR="00887330" w:rsidRPr="00583E1A" w:rsidRDefault="00887330" w:rsidP="00887330">
      <w:pPr>
        <w:pStyle w:val="subsection"/>
      </w:pPr>
      <w:r w:rsidRPr="00583E1A">
        <w:tab/>
        <w:t>(1)</w:t>
      </w:r>
      <w:r w:rsidRPr="00583E1A">
        <w:tab/>
        <w:t xml:space="preserve">This subsection disallows all or a part of each </w:t>
      </w:r>
      <w:r w:rsidR="00583E1A" w:rsidRPr="00583E1A">
        <w:rPr>
          <w:position w:val="6"/>
          <w:sz w:val="16"/>
        </w:rPr>
        <w:t>*</w:t>
      </w:r>
      <w:r w:rsidRPr="00583E1A">
        <w:t>debt deduction of an entity for an income year that is an amount incurred by the entity during a period that is a part of that year if, for that period:</w:t>
      </w:r>
    </w:p>
    <w:p w:rsidR="00887330" w:rsidRPr="00583E1A" w:rsidRDefault="00887330" w:rsidP="00887330">
      <w:pPr>
        <w:pStyle w:val="paragraph"/>
      </w:pPr>
      <w:r w:rsidRPr="00583E1A">
        <w:tab/>
        <w:t>(a)</w:t>
      </w:r>
      <w:r w:rsidRPr="00583E1A">
        <w:tab/>
        <w:t xml:space="preserve">the entity is an </w:t>
      </w:r>
      <w:r w:rsidR="00583E1A" w:rsidRPr="00583E1A">
        <w:rPr>
          <w:position w:val="6"/>
          <w:sz w:val="16"/>
        </w:rPr>
        <w:t>*</w:t>
      </w:r>
      <w:r w:rsidRPr="00583E1A">
        <w:t>inward investing entity (ADI); and</w:t>
      </w:r>
    </w:p>
    <w:p w:rsidR="00887330" w:rsidRPr="00583E1A" w:rsidRDefault="00887330" w:rsidP="00887330">
      <w:pPr>
        <w:pStyle w:val="paragraph"/>
      </w:pPr>
      <w:r w:rsidRPr="00583E1A">
        <w:tab/>
        <w:t>(b)</w:t>
      </w:r>
      <w:r w:rsidRPr="00583E1A">
        <w:tab/>
        <w:t xml:space="preserve">the entity’s </w:t>
      </w:r>
      <w:r w:rsidR="00583E1A" w:rsidRPr="00583E1A">
        <w:rPr>
          <w:position w:val="6"/>
          <w:sz w:val="16"/>
        </w:rPr>
        <w:t>*</w:t>
      </w:r>
      <w:r w:rsidRPr="00583E1A">
        <w:t xml:space="preserve">average equity capital is less than its </w:t>
      </w:r>
      <w:r w:rsidR="00583E1A" w:rsidRPr="00583E1A">
        <w:rPr>
          <w:position w:val="6"/>
          <w:sz w:val="16"/>
        </w:rPr>
        <w:t>*</w:t>
      </w:r>
      <w:r w:rsidRPr="00583E1A">
        <w:t>minimum capital amount;</w:t>
      </w:r>
    </w:p>
    <w:p w:rsidR="00887330" w:rsidRPr="00583E1A" w:rsidRDefault="00887330" w:rsidP="00887330">
      <w:pPr>
        <w:pStyle w:val="subsection2"/>
      </w:pPr>
      <w:r w:rsidRPr="00583E1A">
        <w:t>to the extent that the debt deduction:</w:t>
      </w:r>
    </w:p>
    <w:p w:rsidR="00887330" w:rsidRPr="00583E1A" w:rsidRDefault="00887330" w:rsidP="00887330">
      <w:pPr>
        <w:pStyle w:val="paragraph"/>
      </w:pPr>
      <w:r w:rsidRPr="00583E1A">
        <w:tab/>
        <w:t>(c)</w:t>
      </w:r>
      <w:r w:rsidRPr="00583E1A">
        <w:tab/>
        <w:t xml:space="preserve">is attributable to an </w:t>
      </w:r>
      <w:r w:rsidR="00583E1A" w:rsidRPr="00583E1A">
        <w:rPr>
          <w:position w:val="6"/>
          <w:sz w:val="16"/>
        </w:rPr>
        <w:t>*</w:t>
      </w:r>
      <w:r w:rsidRPr="00583E1A">
        <w:t>Australian permanent establishment of the entity at or through which it carries on its banking business; and</w:t>
      </w:r>
    </w:p>
    <w:p w:rsidR="00887330" w:rsidRPr="00583E1A" w:rsidRDefault="00887330" w:rsidP="00887330">
      <w:pPr>
        <w:pStyle w:val="paragraph"/>
      </w:pPr>
      <w:r w:rsidRPr="00583E1A">
        <w:tab/>
        <w:t>(d)</w:t>
      </w:r>
      <w:r w:rsidRPr="00583E1A">
        <w:tab/>
        <w:t xml:space="preserve">is not an </w:t>
      </w:r>
      <w:r w:rsidR="00583E1A" w:rsidRPr="00583E1A">
        <w:rPr>
          <w:position w:val="6"/>
          <w:sz w:val="16"/>
        </w:rPr>
        <w:t>*</w:t>
      </w:r>
      <w:r w:rsidRPr="00583E1A">
        <w:t xml:space="preserve">allowable </w:t>
      </w:r>
      <w:smartTag w:uri="urn:schemas-microsoft-com:office:smarttags" w:element="place">
        <w:r w:rsidRPr="00583E1A">
          <w:t>OB</w:t>
        </w:r>
      </w:smartTag>
      <w:r w:rsidRPr="00583E1A">
        <w:t xml:space="preserve"> deduction.</w:t>
      </w:r>
    </w:p>
    <w:p w:rsidR="00887330" w:rsidRPr="00583E1A" w:rsidRDefault="00887330" w:rsidP="00887330">
      <w:pPr>
        <w:pStyle w:val="notetext"/>
      </w:pPr>
      <w:r w:rsidRPr="00583E1A">
        <w:t>Note:</w:t>
      </w:r>
      <w:r w:rsidRPr="00583E1A">
        <w:tab/>
        <w:t>To determine whether an entity is an inward investing entity (ADI) for that period, see subsection 820</w:t>
      </w:r>
      <w:r w:rsidR="00583E1A">
        <w:noBreakHyphen/>
      </w:r>
      <w:r w:rsidRPr="00583E1A">
        <w:t>395(2).</w:t>
      </w:r>
    </w:p>
    <w:p w:rsidR="00887330" w:rsidRPr="00583E1A" w:rsidRDefault="00887330" w:rsidP="00887330">
      <w:pPr>
        <w:pStyle w:val="subsection"/>
      </w:pPr>
      <w:r w:rsidRPr="00583E1A">
        <w:tab/>
        <w:t>(2)</w:t>
      </w:r>
      <w:r w:rsidRPr="00583E1A">
        <w:tab/>
        <w:t xml:space="preserve">The entity’s </w:t>
      </w:r>
      <w:r w:rsidRPr="00583E1A">
        <w:rPr>
          <w:b/>
          <w:i/>
        </w:rPr>
        <w:t>average equity capital</w:t>
      </w:r>
      <w:r w:rsidRPr="00583E1A">
        <w:t xml:space="preserve"> for that period is the sum of the following:</w:t>
      </w:r>
    </w:p>
    <w:p w:rsidR="00887330" w:rsidRPr="00583E1A" w:rsidRDefault="00887330" w:rsidP="00887330">
      <w:pPr>
        <w:pStyle w:val="paragraph"/>
      </w:pPr>
      <w:r w:rsidRPr="00583E1A">
        <w:tab/>
        <w:t>(a)</w:t>
      </w:r>
      <w:r w:rsidRPr="00583E1A">
        <w:tab/>
        <w:t xml:space="preserve">the average value, for that period, of the </w:t>
      </w:r>
      <w:r w:rsidR="00583E1A" w:rsidRPr="00583E1A">
        <w:rPr>
          <w:position w:val="6"/>
          <w:sz w:val="16"/>
        </w:rPr>
        <w:t>*</w:t>
      </w:r>
      <w:r w:rsidRPr="00583E1A">
        <w:t>equity capital of the entity that:</w:t>
      </w:r>
    </w:p>
    <w:p w:rsidR="00887330" w:rsidRPr="00583E1A" w:rsidRDefault="00887330" w:rsidP="00887330">
      <w:pPr>
        <w:pStyle w:val="paragraphsub"/>
      </w:pPr>
      <w:r w:rsidRPr="00583E1A">
        <w:lastRenderedPageBreak/>
        <w:tab/>
        <w:t>(i)</w:t>
      </w:r>
      <w:r w:rsidRPr="00583E1A">
        <w:tab/>
        <w:t xml:space="preserve">is attributable to its </w:t>
      </w:r>
      <w:r w:rsidR="00583E1A" w:rsidRPr="00583E1A">
        <w:rPr>
          <w:position w:val="6"/>
          <w:sz w:val="16"/>
        </w:rPr>
        <w:t>*</w:t>
      </w:r>
      <w:r w:rsidRPr="00583E1A">
        <w:t xml:space="preserve">Australian permanent establishments at or through which it carries on its banking business in </w:t>
      </w:r>
      <w:smartTag w:uri="urn:schemas-microsoft-com:office:smarttags" w:element="country-region">
        <w:smartTag w:uri="urn:schemas-microsoft-com:office:smarttags" w:element="place">
          <w:r w:rsidRPr="00583E1A">
            <w:t>Australia</w:t>
          </w:r>
        </w:smartTag>
      </w:smartTag>
      <w:r w:rsidRPr="00583E1A">
        <w:t>; but</w:t>
      </w:r>
    </w:p>
    <w:p w:rsidR="00887330" w:rsidRPr="00583E1A" w:rsidRDefault="00887330" w:rsidP="00887330">
      <w:pPr>
        <w:pStyle w:val="paragraphsub"/>
      </w:pPr>
      <w:r w:rsidRPr="00583E1A">
        <w:tab/>
        <w:t>(ii)</w:t>
      </w:r>
      <w:r w:rsidRPr="00583E1A">
        <w:tab/>
        <w:t xml:space="preserve">has not been allocated to the </w:t>
      </w:r>
      <w:r w:rsidR="00583E1A" w:rsidRPr="00583E1A">
        <w:rPr>
          <w:position w:val="6"/>
          <w:sz w:val="16"/>
        </w:rPr>
        <w:t>*</w:t>
      </w:r>
      <w:r w:rsidRPr="00583E1A">
        <w:t>OB activities of the Australian permanent establishments;</w:t>
      </w:r>
    </w:p>
    <w:p w:rsidR="00887330" w:rsidRPr="00583E1A" w:rsidRDefault="00887330" w:rsidP="00887330">
      <w:pPr>
        <w:pStyle w:val="paragraph"/>
      </w:pPr>
      <w:r w:rsidRPr="00583E1A">
        <w:tab/>
        <w:t>(b)</w:t>
      </w:r>
      <w:r w:rsidRPr="00583E1A">
        <w:tab/>
        <w:t>the average value, for that period, of the total amounts that:</w:t>
      </w:r>
    </w:p>
    <w:p w:rsidR="00887330" w:rsidRPr="00583E1A" w:rsidRDefault="00887330" w:rsidP="00887330">
      <w:pPr>
        <w:pStyle w:val="paragraphsub"/>
      </w:pPr>
      <w:r w:rsidRPr="00583E1A">
        <w:tab/>
        <w:t>(i)</w:t>
      </w:r>
      <w:r w:rsidRPr="00583E1A">
        <w:tab/>
        <w:t>are made available by the entity to the Australian permanent establishments of the entity as loans to the Australian permanent establishments; and</w:t>
      </w:r>
    </w:p>
    <w:p w:rsidR="00887330" w:rsidRPr="00583E1A" w:rsidRDefault="00887330" w:rsidP="00887330">
      <w:pPr>
        <w:pStyle w:val="paragraphsub"/>
      </w:pPr>
      <w:r w:rsidRPr="00583E1A">
        <w:tab/>
        <w:t>(ii)</w:t>
      </w:r>
      <w:r w:rsidRPr="00583E1A">
        <w:tab/>
        <w:t xml:space="preserve">do not give rise to any </w:t>
      </w:r>
      <w:r w:rsidR="00583E1A" w:rsidRPr="00583E1A">
        <w:rPr>
          <w:position w:val="6"/>
          <w:sz w:val="16"/>
        </w:rPr>
        <w:t>*</w:t>
      </w:r>
      <w:r w:rsidRPr="00583E1A">
        <w:t>debt deductions of the entity for that or any other income year.</w:t>
      </w:r>
    </w:p>
    <w:p w:rsidR="00887330" w:rsidRPr="00583E1A" w:rsidRDefault="00887330" w:rsidP="00887330">
      <w:pPr>
        <w:pStyle w:val="subsection"/>
      </w:pPr>
      <w:r w:rsidRPr="00583E1A">
        <w:tab/>
        <w:t>(3)</w:t>
      </w:r>
      <w:r w:rsidRPr="00583E1A">
        <w:tab/>
        <w:t>For the purposes of determining:</w:t>
      </w:r>
    </w:p>
    <w:p w:rsidR="00887330" w:rsidRPr="00583E1A" w:rsidRDefault="00887330" w:rsidP="00887330">
      <w:pPr>
        <w:pStyle w:val="paragraph"/>
      </w:pPr>
      <w:r w:rsidRPr="00583E1A">
        <w:tab/>
        <w:t>(a)</w:t>
      </w:r>
      <w:r w:rsidRPr="00583E1A">
        <w:tab/>
        <w:t xml:space="preserve">the entity’s </w:t>
      </w:r>
      <w:r w:rsidR="00583E1A" w:rsidRPr="00583E1A">
        <w:rPr>
          <w:position w:val="6"/>
          <w:sz w:val="16"/>
        </w:rPr>
        <w:t>*</w:t>
      </w:r>
      <w:r w:rsidRPr="00583E1A">
        <w:t>minimum capital amount for that period; and</w:t>
      </w:r>
    </w:p>
    <w:p w:rsidR="00887330" w:rsidRPr="00583E1A" w:rsidRDefault="00887330" w:rsidP="00887330">
      <w:pPr>
        <w:pStyle w:val="paragraph"/>
      </w:pPr>
      <w:r w:rsidRPr="00583E1A">
        <w:tab/>
        <w:t>(b)</w:t>
      </w:r>
      <w:r w:rsidRPr="00583E1A">
        <w:tab/>
        <w:t xml:space="preserve">the amount of each </w:t>
      </w:r>
      <w:r w:rsidR="00583E1A" w:rsidRPr="00583E1A">
        <w:rPr>
          <w:position w:val="6"/>
          <w:sz w:val="16"/>
        </w:rPr>
        <w:t>*</w:t>
      </w:r>
      <w:r w:rsidRPr="00583E1A">
        <w:t>debt deduction to be disallowed;</w:t>
      </w:r>
    </w:p>
    <w:p w:rsidR="00887330" w:rsidRPr="00583E1A" w:rsidRDefault="00887330" w:rsidP="00887330">
      <w:pPr>
        <w:pStyle w:val="subsection2"/>
      </w:pPr>
      <w:r w:rsidRPr="00583E1A">
        <w:t>sections</w:t>
      </w:r>
      <w:r w:rsidR="00583E1A">
        <w:t> </w:t>
      </w:r>
      <w:r w:rsidRPr="00583E1A">
        <w:t>820</w:t>
      </w:r>
      <w:r w:rsidR="00583E1A">
        <w:noBreakHyphen/>
      </w:r>
      <w:r w:rsidRPr="00583E1A">
        <w:t>400 to 820</w:t>
      </w:r>
      <w:r w:rsidR="00583E1A">
        <w:noBreakHyphen/>
      </w:r>
      <w:r w:rsidRPr="00583E1A">
        <w:t>415 apply in relation to that entity and that period with the modifications set out in the following table:</w:t>
      </w:r>
    </w:p>
    <w:p w:rsidR="00887330" w:rsidRPr="00583E1A" w:rsidRDefault="00887330" w:rsidP="00887330">
      <w:pPr>
        <w:pStyle w:val="Table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708"/>
        <w:gridCol w:w="2410"/>
        <w:gridCol w:w="3992"/>
      </w:tblGrid>
      <w:tr w:rsidR="00887330" w:rsidRPr="00583E1A">
        <w:trPr>
          <w:cantSplit/>
          <w:tblHeader/>
        </w:trPr>
        <w:tc>
          <w:tcPr>
            <w:tcW w:w="7110" w:type="dxa"/>
            <w:gridSpan w:val="3"/>
            <w:tcBorders>
              <w:top w:val="single" w:sz="12" w:space="0" w:color="auto"/>
              <w:left w:val="nil"/>
              <w:bottom w:val="nil"/>
              <w:right w:val="nil"/>
            </w:tcBorders>
          </w:tcPr>
          <w:p w:rsidR="00887330" w:rsidRPr="00583E1A" w:rsidRDefault="00887330" w:rsidP="00887330">
            <w:pPr>
              <w:pStyle w:val="Tabletext"/>
            </w:pPr>
            <w:r w:rsidRPr="00583E1A">
              <w:rPr>
                <w:b/>
              </w:rPr>
              <w:t>Modifications of sections</w:t>
            </w:r>
            <w:r w:rsidR="00583E1A">
              <w:rPr>
                <w:b/>
              </w:rPr>
              <w:t> </w:t>
            </w:r>
            <w:r w:rsidRPr="00583E1A">
              <w:rPr>
                <w:b/>
              </w:rPr>
              <w:t>820</w:t>
            </w:r>
            <w:r w:rsidR="00583E1A">
              <w:rPr>
                <w:b/>
              </w:rPr>
              <w:noBreakHyphen/>
            </w:r>
            <w:r w:rsidRPr="00583E1A">
              <w:rPr>
                <w:b/>
              </w:rPr>
              <w:t>400 to 820</w:t>
            </w:r>
            <w:r w:rsidR="00583E1A">
              <w:rPr>
                <w:b/>
              </w:rPr>
              <w:noBreakHyphen/>
            </w:r>
            <w:r w:rsidRPr="00583E1A">
              <w:rPr>
                <w:b/>
              </w:rPr>
              <w:t>415</w:t>
            </w:r>
          </w:p>
        </w:tc>
      </w:tr>
      <w:tr w:rsidR="00887330" w:rsidRPr="00583E1A">
        <w:trPr>
          <w:cantSplit/>
          <w:tblHeader/>
        </w:trPr>
        <w:tc>
          <w:tcPr>
            <w:tcW w:w="708" w:type="dxa"/>
            <w:tcBorders>
              <w:top w:val="single" w:sz="6" w:space="0" w:color="auto"/>
              <w:left w:val="nil"/>
              <w:bottom w:val="single" w:sz="12" w:space="0" w:color="auto"/>
              <w:right w:val="nil"/>
            </w:tcBorders>
          </w:tcPr>
          <w:p w:rsidR="00887330" w:rsidRPr="00583E1A" w:rsidRDefault="00887330" w:rsidP="00887330">
            <w:pPr>
              <w:pStyle w:val="Tabletext"/>
            </w:pPr>
            <w:r w:rsidRPr="00583E1A">
              <w:rPr>
                <w:b/>
              </w:rPr>
              <w:t>Item</w:t>
            </w:r>
          </w:p>
        </w:tc>
        <w:tc>
          <w:tcPr>
            <w:tcW w:w="2410" w:type="dxa"/>
            <w:tcBorders>
              <w:top w:val="single" w:sz="6" w:space="0" w:color="auto"/>
              <w:left w:val="nil"/>
              <w:bottom w:val="single" w:sz="12" w:space="0" w:color="auto"/>
              <w:right w:val="nil"/>
            </w:tcBorders>
          </w:tcPr>
          <w:p w:rsidR="00887330" w:rsidRPr="00583E1A" w:rsidRDefault="00887330" w:rsidP="00887330">
            <w:pPr>
              <w:pStyle w:val="Tabletext"/>
            </w:pPr>
            <w:r w:rsidRPr="00583E1A">
              <w:rPr>
                <w:b/>
              </w:rPr>
              <w:t>Provisions</w:t>
            </w:r>
          </w:p>
        </w:tc>
        <w:tc>
          <w:tcPr>
            <w:tcW w:w="3992" w:type="dxa"/>
            <w:tcBorders>
              <w:top w:val="single" w:sz="6" w:space="0" w:color="auto"/>
              <w:left w:val="nil"/>
              <w:bottom w:val="single" w:sz="12" w:space="0" w:color="auto"/>
              <w:right w:val="nil"/>
            </w:tcBorders>
          </w:tcPr>
          <w:p w:rsidR="00887330" w:rsidRPr="00583E1A" w:rsidRDefault="00887330" w:rsidP="00887330">
            <w:pPr>
              <w:pStyle w:val="Tabletext"/>
            </w:pPr>
            <w:r w:rsidRPr="00583E1A">
              <w:rPr>
                <w:b/>
              </w:rPr>
              <w:t>Modifications</w:t>
            </w:r>
          </w:p>
        </w:tc>
      </w:tr>
      <w:tr w:rsidR="00887330" w:rsidRPr="00583E1A">
        <w:trPr>
          <w:cantSplit/>
        </w:trPr>
        <w:tc>
          <w:tcPr>
            <w:tcW w:w="708" w:type="dxa"/>
            <w:tcBorders>
              <w:top w:val="single" w:sz="12" w:space="0" w:color="auto"/>
              <w:left w:val="nil"/>
              <w:bottom w:val="single" w:sz="2" w:space="0" w:color="auto"/>
              <w:right w:val="nil"/>
            </w:tcBorders>
            <w:shd w:val="clear" w:color="auto" w:fill="auto"/>
          </w:tcPr>
          <w:p w:rsidR="00887330" w:rsidRPr="00583E1A" w:rsidRDefault="00887330" w:rsidP="00887330">
            <w:pPr>
              <w:pStyle w:val="Tabletext"/>
            </w:pPr>
            <w:r w:rsidRPr="00583E1A">
              <w:t>1</w:t>
            </w:r>
          </w:p>
        </w:tc>
        <w:tc>
          <w:tcPr>
            <w:tcW w:w="2410" w:type="dxa"/>
            <w:tcBorders>
              <w:top w:val="single" w:sz="12" w:space="0" w:color="auto"/>
              <w:left w:val="nil"/>
              <w:bottom w:val="single" w:sz="2" w:space="0" w:color="auto"/>
              <w:right w:val="nil"/>
            </w:tcBorders>
            <w:shd w:val="clear" w:color="auto" w:fill="auto"/>
          </w:tcPr>
          <w:p w:rsidR="00887330" w:rsidRPr="00583E1A" w:rsidRDefault="00887330" w:rsidP="00887330">
            <w:pPr>
              <w:pStyle w:val="Tabletext"/>
            </w:pPr>
            <w:r w:rsidRPr="00583E1A">
              <w:t>Sections</w:t>
            </w:r>
            <w:r w:rsidR="00583E1A">
              <w:t> </w:t>
            </w:r>
            <w:r w:rsidRPr="00583E1A">
              <w:t>820</w:t>
            </w:r>
            <w:r w:rsidR="00583E1A">
              <w:noBreakHyphen/>
            </w:r>
            <w:r w:rsidRPr="00583E1A">
              <w:t>400 to 820</w:t>
            </w:r>
            <w:r w:rsidR="00583E1A">
              <w:noBreakHyphen/>
            </w:r>
            <w:r w:rsidRPr="00583E1A">
              <w:t>415</w:t>
            </w:r>
          </w:p>
        </w:tc>
        <w:tc>
          <w:tcPr>
            <w:tcW w:w="3992" w:type="dxa"/>
            <w:tcBorders>
              <w:top w:val="single" w:sz="12" w:space="0" w:color="auto"/>
              <w:left w:val="nil"/>
              <w:bottom w:val="single" w:sz="2" w:space="0" w:color="auto"/>
              <w:right w:val="nil"/>
            </w:tcBorders>
            <w:shd w:val="clear" w:color="auto" w:fill="auto"/>
          </w:tcPr>
          <w:p w:rsidR="00887330" w:rsidRPr="00583E1A" w:rsidRDefault="00887330" w:rsidP="00887330">
            <w:pPr>
              <w:pStyle w:val="Tabletext"/>
            </w:pPr>
            <w:r w:rsidRPr="00583E1A">
              <w:t>A reference to an income year is taken to be a reference to that period</w:t>
            </w:r>
          </w:p>
        </w:tc>
      </w:tr>
      <w:tr w:rsidR="00887330" w:rsidRPr="00583E1A">
        <w:trPr>
          <w:cantSplit/>
        </w:trPr>
        <w:tc>
          <w:tcPr>
            <w:tcW w:w="708" w:type="dxa"/>
            <w:tcBorders>
              <w:top w:val="single" w:sz="2" w:space="0" w:color="auto"/>
              <w:left w:val="nil"/>
              <w:bottom w:val="single" w:sz="2" w:space="0" w:color="auto"/>
              <w:right w:val="nil"/>
            </w:tcBorders>
            <w:shd w:val="clear" w:color="auto" w:fill="auto"/>
          </w:tcPr>
          <w:p w:rsidR="00887330" w:rsidRPr="00583E1A" w:rsidRDefault="00887330" w:rsidP="00887330">
            <w:pPr>
              <w:pStyle w:val="Tabletext"/>
            </w:pPr>
            <w:r w:rsidRPr="00583E1A">
              <w:t>2</w:t>
            </w:r>
          </w:p>
        </w:tc>
        <w:tc>
          <w:tcPr>
            <w:tcW w:w="2410" w:type="dxa"/>
            <w:tcBorders>
              <w:top w:val="single" w:sz="2" w:space="0" w:color="auto"/>
              <w:left w:val="nil"/>
              <w:bottom w:val="single" w:sz="2" w:space="0" w:color="auto"/>
              <w:right w:val="nil"/>
            </w:tcBorders>
            <w:shd w:val="clear" w:color="auto" w:fill="auto"/>
          </w:tcPr>
          <w:p w:rsidR="00887330" w:rsidRPr="00583E1A" w:rsidRDefault="00887330" w:rsidP="00887330">
            <w:pPr>
              <w:pStyle w:val="Tabletext"/>
            </w:pPr>
            <w:r w:rsidRPr="00583E1A">
              <w:t>Section</w:t>
            </w:r>
            <w:r w:rsidR="00583E1A">
              <w:t> </w:t>
            </w:r>
            <w:r w:rsidRPr="00583E1A">
              <w:t>820</w:t>
            </w:r>
            <w:r w:rsidR="00583E1A">
              <w:noBreakHyphen/>
            </w:r>
            <w:r w:rsidRPr="00583E1A">
              <w:t>415</w:t>
            </w:r>
          </w:p>
        </w:tc>
        <w:tc>
          <w:tcPr>
            <w:tcW w:w="3992" w:type="dxa"/>
            <w:tcBorders>
              <w:top w:val="single" w:sz="2" w:space="0" w:color="auto"/>
              <w:left w:val="nil"/>
              <w:bottom w:val="single" w:sz="2" w:space="0" w:color="auto"/>
              <w:right w:val="nil"/>
            </w:tcBorders>
            <w:shd w:val="clear" w:color="auto" w:fill="auto"/>
          </w:tcPr>
          <w:p w:rsidR="00887330" w:rsidRPr="00583E1A" w:rsidRDefault="00887330" w:rsidP="00887330">
            <w:pPr>
              <w:pStyle w:val="Tabletext"/>
            </w:pPr>
            <w:r w:rsidRPr="00583E1A">
              <w:t>The reference to subsection 820</w:t>
            </w:r>
            <w:r w:rsidR="00583E1A">
              <w:noBreakHyphen/>
            </w:r>
            <w:r w:rsidRPr="00583E1A">
              <w:t xml:space="preserve">395(1) is taken to be a reference to </w:t>
            </w:r>
            <w:r w:rsidR="00583E1A">
              <w:t>subsection (</w:t>
            </w:r>
            <w:r w:rsidRPr="00583E1A">
              <w:t>1) of this section</w:t>
            </w:r>
          </w:p>
        </w:tc>
      </w:tr>
      <w:tr w:rsidR="00887330" w:rsidRPr="00583E1A">
        <w:trPr>
          <w:cantSplit/>
        </w:trPr>
        <w:tc>
          <w:tcPr>
            <w:tcW w:w="708" w:type="dxa"/>
            <w:tcBorders>
              <w:top w:val="single" w:sz="2" w:space="0" w:color="auto"/>
              <w:left w:val="nil"/>
              <w:bottom w:val="single" w:sz="12" w:space="0" w:color="auto"/>
              <w:right w:val="nil"/>
            </w:tcBorders>
          </w:tcPr>
          <w:p w:rsidR="00887330" w:rsidRPr="00583E1A" w:rsidRDefault="00887330" w:rsidP="00887330">
            <w:pPr>
              <w:pStyle w:val="Tabletext"/>
            </w:pPr>
            <w:r w:rsidRPr="00583E1A">
              <w:t>3</w:t>
            </w:r>
          </w:p>
        </w:tc>
        <w:tc>
          <w:tcPr>
            <w:tcW w:w="2410" w:type="dxa"/>
            <w:tcBorders>
              <w:top w:val="single" w:sz="2" w:space="0" w:color="auto"/>
              <w:left w:val="nil"/>
              <w:bottom w:val="single" w:sz="12" w:space="0" w:color="auto"/>
              <w:right w:val="nil"/>
            </w:tcBorders>
          </w:tcPr>
          <w:p w:rsidR="00887330" w:rsidRPr="00583E1A" w:rsidRDefault="00887330" w:rsidP="00887330">
            <w:pPr>
              <w:pStyle w:val="Tabletext"/>
            </w:pPr>
            <w:r w:rsidRPr="00583E1A">
              <w:t>Section</w:t>
            </w:r>
            <w:r w:rsidR="00583E1A">
              <w:t> </w:t>
            </w:r>
            <w:r w:rsidRPr="00583E1A">
              <w:t>820</w:t>
            </w:r>
            <w:r w:rsidR="00583E1A">
              <w:noBreakHyphen/>
            </w:r>
            <w:r w:rsidRPr="00583E1A">
              <w:t>415</w:t>
            </w:r>
          </w:p>
        </w:tc>
        <w:tc>
          <w:tcPr>
            <w:tcW w:w="3992" w:type="dxa"/>
            <w:tcBorders>
              <w:top w:val="single" w:sz="2" w:space="0" w:color="auto"/>
              <w:left w:val="nil"/>
              <w:bottom w:val="single" w:sz="12" w:space="0" w:color="auto"/>
              <w:right w:val="nil"/>
            </w:tcBorders>
          </w:tcPr>
          <w:p w:rsidR="00887330" w:rsidRPr="00583E1A" w:rsidRDefault="00887330" w:rsidP="00887330">
            <w:pPr>
              <w:pStyle w:val="Tabletext"/>
            </w:pPr>
            <w:r w:rsidRPr="00583E1A">
              <w:rPr>
                <w:b/>
                <w:i/>
              </w:rPr>
              <w:t>average debt</w:t>
            </w:r>
            <w:r w:rsidRPr="00583E1A">
              <w:t xml:space="preserve"> is taken to be the average value, for that period, of all the </w:t>
            </w:r>
            <w:r w:rsidR="00583E1A" w:rsidRPr="00583E1A">
              <w:rPr>
                <w:position w:val="6"/>
                <w:sz w:val="16"/>
              </w:rPr>
              <w:t>*</w:t>
            </w:r>
            <w:r w:rsidRPr="00583E1A">
              <w:t xml:space="preserve">debt capital of the entity that gives rise to its </w:t>
            </w:r>
            <w:r w:rsidR="00583E1A" w:rsidRPr="00583E1A">
              <w:rPr>
                <w:position w:val="6"/>
                <w:sz w:val="16"/>
              </w:rPr>
              <w:t>*</w:t>
            </w:r>
            <w:r w:rsidRPr="00583E1A">
              <w:t xml:space="preserve">debt deductions (other than </w:t>
            </w:r>
            <w:r w:rsidR="00583E1A" w:rsidRPr="00583E1A">
              <w:rPr>
                <w:position w:val="6"/>
                <w:sz w:val="16"/>
              </w:rPr>
              <w:t>*</w:t>
            </w:r>
            <w:r w:rsidRPr="00583E1A">
              <w:t xml:space="preserve">allowable </w:t>
            </w:r>
            <w:smartTag w:uri="urn:schemas-microsoft-com:office:smarttags" w:element="place">
              <w:r w:rsidRPr="00583E1A">
                <w:t>OB</w:t>
              </w:r>
            </w:smartTag>
            <w:r w:rsidRPr="00583E1A">
              <w:t xml:space="preserve"> deductions) for that year that are amounts incurred by the entity during that period</w:t>
            </w:r>
          </w:p>
          <w:p w:rsidR="00887330" w:rsidRPr="00583E1A" w:rsidRDefault="00887330" w:rsidP="00887330">
            <w:pPr>
              <w:pStyle w:val="Tabletext"/>
            </w:pPr>
            <w:r w:rsidRPr="00583E1A">
              <w:rPr>
                <w:b/>
                <w:i/>
              </w:rPr>
              <w:t>average equity capital</w:t>
            </w:r>
            <w:r w:rsidRPr="00583E1A">
              <w:t xml:space="preserve"> has the meaning given by </w:t>
            </w:r>
            <w:r w:rsidR="00583E1A">
              <w:t>subsection (</w:t>
            </w:r>
            <w:r w:rsidRPr="00583E1A">
              <w:t>2) of this section</w:t>
            </w:r>
          </w:p>
        </w:tc>
      </w:tr>
    </w:tbl>
    <w:p w:rsidR="00887330" w:rsidRPr="00583E1A" w:rsidRDefault="00887330" w:rsidP="00887330">
      <w:pPr>
        <w:pStyle w:val="ActHead4"/>
      </w:pPr>
      <w:bookmarkStart w:id="228" w:name="_Toc338939302"/>
      <w:r w:rsidRPr="00583E1A">
        <w:rPr>
          <w:rStyle w:val="CharSubdNo"/>
        </w:rPr>
        <w:lastRenderedPageBreak/>
        <w:t>Subdivision</w:t>
      </w:r>
      <w:r w:rsidR="00583E1A">
        <w:rPr>
          <w:rStyle w:val="CharSubdNo"/>
        </w:rPr>
        <w:t> </w:t>
      </w:r>
      <w:r w:rsidRPr="00583E1A">
        <w:rPr>
          <w:rStyle w:val="CharSubdNo"/>
        </w:rPr>
        <w:t>820</w:t>
      </w:r>
      <w:r w:rsidR="00583E1A">
        <w:rPr>
          <w:rStyle w:val="CharSubdNo"/>
        </w:rPr>
        <w:noBreakHyphen/>
      </w:r>
      <w:r w:rsidRPr="00583E1A">
        <w:rPr>
          <w:rStyle w:val="CharSubdNo"/>
        </w:rPr>
        <w:t>EA</w:t>
      </w:r>
      <w:r w:rsidRPr="00583E1A">
        <w:t>—</w:t>
      </w:r>
      <w:r w:rsidRPr="00583E1A">
        <w:rPr>
          <w:rStyle w:val="CharSubdText"/>
        </w:rPr>
        <w:t>Some financial entities may choose to be treated as ADIs</w:t>
      </w:r>
      <w:bookmarkEnd w:id="228"/>
    </w:p>
    <w:p w:rsidR="00887330" w:rsidRPr="00583E1A" w:rsidRDefault="00887330" w:rsidP="00887330">
      <w:pPr>
        <w:pStyle w:val="TofSectsHeading"/>
        <w:keepNext/>
        <w:keepLines/>
      </w:pPr>
      <w:r w:rsidRPr="00583E1A">
        <w:t>Table of sections</w:t>
      </w:r>
    </w:p>
    <w:p w:rsidR="00887330" w:rsidRPr="00583E1A" w:rsidRDefault="00887330" w:rsidP="00887330">
      <w:pPr>
        <w:pStyle w:val="TofSectsSection"/>
      </w:pPr>
      <w:r w:rsidRPr="00583E1A">
        <w:t>820</w:t>
      </w:r>
      <w:r w:rsidR="00583E1A">
        <w:noBreakHyphen/>
      </w:r>
      <w:r w:rsidRPr="00583E1A">
        <w:t>430</w:t>
      </w:r>
      <w:r w:rsidRPr="00583E1A">
        <w:tab/>
        <w:t>When choice can be made, and what effect it has</w:t>
      </w:r>
    </w:p>
    <w:p w:rsidR="00887330" w:rsidRPr="00583E1A" w:rsidRDefault="00887330" w:rsidP="00887330">
      <w:pPr>
        <w:pStyle w:val="TofSectsSection"/>
      </w:pPr>
      <w:r w:rsidRPr="00583E1A">
        <w:t>820</w:t>
      </w:r>
      <w:r w:rsidR="00583E1A">
        <w:noBreakHyphen/>
      </w:r>
      <w:r w:rsidRPr="00583E1A">
        <w:t>435</w:t>
      </w:r>
      <w:r w:rsidRPr="00583E1A">
        <w:tab/>
        <w:t>Conditions</w:t>
      </w:r>
    </w:p>
    <w:p w:rsidR="00887330" w:rsidRPr="00583E1A" w:rsidRDefault="00887330" w:rsidP="00887330">
      <w:pPr>
        <w:pStyle w:val="TofSectsSection"/>
      </w:pPr>
      <w:r w:rsidRPr="00583E1A">
        <w:t>820</w:t>
      </w:r>
      <w:r w:rsidR="00583E1A">
        <w:noBreakHyphen/>
      </w:r>
      <w:r w:rsidRPr="00583E1A">
        <w:t>440</w:t>
      </w:r>
      <w:r w:rsidRPr="00583E1A">
        <w:tab/>
        <w:t>Revocation of choice</w:t>
      </w:r>
    </w:p>
    <w:p w:rsidR="008F792C" w:rsidRPr="00583E1A" w:rsidRDefault="008F792C" w:rsidP="00887330">
      <w:pPr>
        <w:pStyle w:val="TofSectsSection"/>
      </w:pPr>
      <w:r w:rsidRPr="00583E1A">
        <w:t>820</w:t>
      </w:r>
      <w:r w:rsidR="00583E1A">
        <w:noBreakHyphen/>
      </w:r>
      <w:r w:rsidRPr="00583E1A">
        <w:t>445</w:t>
      </w:r>
      <w:r w:rsidRPr="00583E1A">
        <w:tab/>
        <w:t>How this Subdivision interacts with Subdivision</w:t>
      </w:r>
      <w:r w:rsidR="00583E1A">
        <w:t> </w:t>
      </w:r>
      <w:r w:rsidRPr="00583E1A">
        <w:t>820</w:t>
      </w:r>
      <w:r w:rsidR="00583E1A">
        <w:noBreakHyphen/>
      </w:r>
      <w:r w:rsidRPr="00583E1A">
        <w:t>FA</w:t>
      </w:r>
    </w:p>
    <w:p w:rsidR="00887330" w:rsidRPr="00583E1A" w:rsidRDefault="00887330" w:rsidP="00887330">
      <w:pPr>
        <w:pStyle w:val="ActHead5"/>
      </w:pPr>
      <w:bookmarkStart w:id="229" w:name="_Toc338939303"/>
      <w:r w:rsidRPr="00583E1A">
        <w:rPr>
          <w:rStyle w:val="CharSectno"/>
        </w:rPr>
        <w:t>820</w:t>
      </w:r>
      <w:r w:rsidR="00583E1A">
        <w:rPr>
          <w:rStyle w:val="CharSectno"/>
        </w:rPr>
        <w:noBreakHyphen/>
      </w:r>
      <w:r w:rsidRPr="00583E1A">
        <w:rPr>
          <w:rStyle w:val="CharSectno"/>
        </w:rPr>
        <w:t>430</w:t>
      </w:r>
      <w:r w:rsidRPr="00583E1A">
        <w:t xml:space="preserve">  When choice can be made, and what effect it has</w:t>
      </w:r>
      <w:bookmarkEnd w:id="229"/>
    </w:p>
    <w:p w:rsidR="00887330" w:rsidRPr="00583E1A" w:rsidRDefault="00887330" w:rsidP="00887330">
      <w:pPr>
        <w:pStyle w:val="subsection"/>
      </w:pPr>
      <w:r w:rsidRPr="00583E1A">
        <w:tab/>
        <w:t>(</w:t>
      </w:r>
      <w:r w:rsidRPr="00583E1A">
        <w:rPr>
          <w:noProof/>
        </w:rPr>
        <w:t>1</w:t>
      </w:r>
      <w:r w:rsidRPr="00583E1A">
        <w:t>)</w:t>
      </w:r>
      <w:r w:rsidRPr="00583E1A">
        <w:tab/>
        <w:t xml:space="preserve">An entity may choose to be treated, for the purposes of this Division (except this Subdivision), as set out in the table. However, the entity can make the choice only if </w:t>
      </w:r>
      <w:r w:rsidR="00583E1A">
        <w:t>subsection (</w:t>
      </w:r>
      <w:r w:rsidRPr="00583E1A">
        <w:t>5) is satisfied.</w:t>
      </w:r>
    </w:p>
    <w:p w:rsidR="00887330" w:rsidRPr="00583E1A" w:rsidRDefault="00887330" w:rsidP="00887330">
      <w:pPr>
        <w:pStyle w:val="Tabletext"/>
      </w:pPr>
    </w:p>
    <w:tbl>
      <w:tblPr>
        <w:tblW w:w="0" w:type="auto"/>
        <w:tblInd w:w="113" w:type="dxa"/>
        <w:tblLayout w:type="fixed"/>
        <w:tblLook w:val="0000" w:firstRow="0" w:lastRow="0" w:firstColumn="0" w:lastColumn="0" w:noHBand="0" w:noVBand="0"/>
      </w:tblPr>
      <w:tblGrid>
        <w:gridCol w:w="714"/>
        <w:gridCol w:w="3189"/>
        <w:gridCol w:w="3189"/>
      </w:tblGrid>
      <w:tr w:rsidR="00887330" w:rsidRPr="00583E1A">
        <w:trPr>
          <w:cantSplit/>
          <w:tblHeader/>
        </w:trPr>
        <w:tc>
          <w:tcPr>
            <w:tcW w:w="7092" w:type="dxa"/>
            <w:gridSpan w:val="3"/>
            <w:tcBorders>
              <w:top w:val="single" w:sz="12" w:space="0" w:color="auto"/>
            </w:tcBorders>
          </w:tcPr>
          <w:p w:rsidR="00887330" w:rsidRPr="00583E1A" w:rsidRDefault="00887330" w:rsidP="00887330">
            <w:pPr>
              <w:pStyle w:val="Tabletext"/>
              <w:keepNext/>
              <w:rPr>
                <w:b/>
              </w:rPr>
            </w:pPr>
            <w:r w:rsidRPr="00583E1A">
              <w:rPr>
                <w:b/>
              </w:rPr>
              <w:t>Choice by financial entity to be treated as an ADI</w:t>
            </w:r>
          </w:p>
        </w:tc>
      </w:tr>
      <w:tr w:rsidR="00887330" w:rsidRPr="00583E1A">
        <w:trPr>
          <w:cantSplit/>
          <w:tblHeader/>
        </w:trPr>
        <w:tc>
          <w:tcPr>
            <w:tcW w:w="714" w:type="dxa"/>
          </w:tcPr>
          <w:p w:rsidR="00887330" w:rsidRPr="00583E1A" w:rsidRDefault="00887330" w:rsidP="00887330">
            <w:pPr>
              <w:pStyle w:val="Tabletext"/>
              <w:keepNext/>
              <w:rPr>
                <w:b/>
              </w:rPr>
            </w:pPr>
          </w:p>
        </w:tc>
        <w:tc>
          <w:tcPr>
            <w:tcW w:w="3189" w:type="dxa"/>
          </w:tcPr>
          <w:p w:rsidR="00887330" w:rsidRPr="00583E1A" w:rsidRDefault="00887330" w:rsidP="00887330">
            <w:pPr>
              <w:pStyle w:val="Tabletext"/>
              <w:keepNext/>
              <w:rPr>
                <w:b/>
              </w:rPr>
            </w:pPr>
            <w:r w:rsidRPr="00583E1A">
              <w:rPr>
                <w:b/>
              </w:rPr>
              <w:t>Column 1</w:t>
            </w:r>
          </w:p>
        </w:tc>
        <w:tc>
          <w:tcPr>
            <w:tcW w:w="3189" w:type="dxa"/>
          </w:tcPr>
          <w:p w:rsidR="00887330" w:rsidRPr="00583E1A" w:rsidRDefault="00887330" w:rsidP="00887330">
            <w:pPr>
              <w:pStyle w:val="Tabletext"/>
              <w:keepNext/>
              <w:rPr>
                <w:b/>
              </w:rPr>
            </w:pPr>
            <w:r w:rsidRPr="00583E1A">
              <w:rPr>
                <w:b/>
              </w:rPr>
              <w:t>Column 2</w:t>
            </w:r>
          </w:p>
        </w:tc>
      </w:tr>
      <w:tr w:rsidR="00887330" w:rsidRPr="00583E1A">
        <w:trPr>
          <w:cantSplit/>
          <w:tblHeader/>
        </w:trPr>
        <w:tc>
          <w:tcPr>
            <w:tcW w:w="714" w:type="dxa"/>
            <w:tcBorders>
              <w:top w:val="single" w:sz="6" w:space="0" w:color="auto"/>
              <w:bottom w:val="single" w:sz="12" w:space="0" w:color="auto"/>
            </w:tcBorders>
          </w:tcPr>
          <w:p w:rsidR="00887330" w:rsidRPr="00583E1A" w:rsidRDefault="00887330" w:rsidP="00887330">
            <w:pPr>
              <w:pStyle w:val="Tabletext"/>
              <w:keepNext/>
              <w:rPr>
                <w:b/>
              </w:rPr>
            </w:pPr>
            <w:r w:rsidRPr="00583E1A">
              <w:rPr>
                <w:b/>
              </w:rPr>
              <w:t>Item</w:t>
            </w:r>
          </w:p>
        </w:tc>
        <w:tc>
          <w:tcPr>
            <w:tcW w:w="3189" w:type="dxa"/>
            <w:tcBorders>
              <w:top w:val="single" w:sz="6" w:space="0" w:color="auto"/>
              <w:bottom w:val="single" w:sz="12" w:space="0" w:color="auto"/>
            </w:tcBorders>
          </w:tcPr>
          <w:p w:rsidR="00887330" w:rsidRPr="00583E1A" w:rsidRDefault="00887330" w:rsidP="00887330">
            <w:pPr>
              <w:pStyle w:val="Tabletext"/>
              <w:keepNext/>
              <w:rPr>
                <w:b/>
              </w:rPr>
            </w:pPr>
            <w:r w:rsidRPr="00583E1A">
              <w:rPr>
                <w:b/>
              </w:rPr>
              <w:t>For a period that the choice covers, and for which the entity would, apart from this Subdivision, have been:</w:t>
            </w:r>
          </w:p>
        </w:tc>
        <w:tc>
          <w:tcPr>
            <w:tcW w:w="3189" w:type="dxa"/>
            <w:tcBorders>
              <w:top w:val="single" w:sz="6" w:space="0" w:color="auto"/>
              <w:bottom w:val="single" w:sz="12" w:space="0" w:color="auto"/>
            </w:tcBorders>
          </w:tcPr>
          <w:p w:rsidR="00887330" w:rsidRPr="00583E1A" w:rsidRDefault="00887330" w:rsidP="00887330">
            <w:pPr>
              <w:pStyle w:val="Tabletext"/>
              <w:keepNext/>
              <w:rPr>
                <w:b/>
              </w:rPr>
            </w:pPr>
            <w:r w:rsidRPr="00583E1A">
              <w:rPr>
                <w:b/>
              </w:rPr>
              <w:t>The entity is treated as if it had instead been:</w:t>
            </w:r>
          </w:p>
        </w:tc>
      </w:tr>
      <w:tr w:rsidR="00887330" w:rsidRPr="00583E1A">
        <w:trPr>
          <w:cantSplit/>
        </w:trPr>
        <w:tc>
          <w:tcPr>
            <w:tcW w:w="714" w:type="dxa"/>
            <w:tcBorders>
              <w:top w:val="single" w:sz="12" w:space="0" w:color="auto"/>
              <w:bottom w:val="single" w:sz="2" w:space="0" w:color="auto"/>
            </w:tcBorders>
          </w:tcPr>
          <w:p w:rsidR="00887330" w:rsidRPr="00583E1A" w:rsidRDefault="00887330" w:rsidP="00887330">
            <w:pPr>
              <w:pStyle w:val="Tabletext"/>
            </w:pPr>
            <w:r w:rsidRPr="00583E1A">
              <w:t>1</w:t>
            </w:r>
          </w:p>
        </w:tc>
        <w:tc>
          <w:tcPr>
            <w:tcW w:w="3189" w:type="dxa"/>
            <w:tcBorders>
              <w:top w:val="single" w:sz="12" w:space="0" w:color="auto"/>
              <w:bottom w:val="single" w:sz="2" w:space="0" w:color="auto"/>
            </w:tcBorders>
          </w:tcPr>
          <w:p w:rsidR="00887330" w:rsidRPr="00583E1A" w:rsidRDefault="00887330" w:rsidP="00887330">
            <w:pPr>
              <w:pStyle w:val="Tabletext"/>
            </w:pPr>
            <w:r w:rsidRPr="00583E1A">
              <w:t xml:space="preserve">an </w:t>
            </w:r>
            <w:r w:rsidR="00583E1A" w:rsidRPr="00583E1A">
              <w:rPr>
                <w:position w:val="6"/>
                <w:sz w:val="16"/>
              </w:rPr>
              <w:t>*</w:t>
            </w:r>
            <w:r w:rsidRPr="00583E1A">
              <w:t>outward investor (financial)</w:t>
            </w:r>
          </w:p>
        </w:tc>
        <w:tc>
          <w:tcPr>
            <w:tcW w:w="3189" w:type="dxa"/>
            <w:tcBorders>
              <w:top w:val="single" w:sz="12" w:space="0" w:color="auto"/>
              <w:bottom w:val="single" w:sz="2" w:space="0" w:color="auto"/>
            </w:tcBorders>
          </w:tcPr>
          <w:p w:rsidR="00887330" w:rsidRPr="00583E1A" w:rsidRDefault="00887330" w:rsidP="00887330">
            <w:pPr>
              <w:pStyle w:val="Tabletext"/>
            </w:pPr>
            <w:r w:rsidRPr="00583E1A">
              <w:t xml:space="preserve">an </w:t>
            </w:r>
            <w:r w:rsidR="00583E1A" w:rsidRPr="00583E1A">
              <w:rPr>
                <w:position w:val="6"/>
                <w:sz w:val="16"/>
              </w:rPr>
              <w:t>*</w:t>
            </w:r>
            <w:r w:rsidRPr="00583E1A">
              <w:t>outward investing entity (ADI)</w:t>
            </w:r>
          </w:p>
        </w:tc>
      </w:tr>
      <w:tr w:rsidR="00887330" w:rsidRPr="00583E1A">
        <w:trPr>
          <w:cantSplit/>
        </w:trPr>
        <w:tc>
          <w:tcPr>
            <w:tcW w:w="714" w:type="dxa"/>
            <w:tcBorders>
              <w:top w:val="single" w:sz="2" w:space="0" w:color="auto"/>
              <w:bottom w:val="single" w:sz="2" w:space="0" w:color="auto"/>
            </w:tcBorders>
          </w:tcPr>
          <w:p w:rsidR="00887330" w:rsidRPr="00583E1A" w:rsidRDefault="00887330" w:rsidP="00887330">
            <w:pPr>
              <w:pStyle w:val="Tabletext"/>
            </w:pPr>
            <w:r w:rsidRPr="00583E1A">
              <w:t>2</w:t>
            </w:r>
          </w:p>
        </w:tc>
        <w:tc>
          <w:tcPr>
            <w:tcW w:w="3189" w:type="dxa"/>
            <w:tcBorders>
              <w:top w:val="single" w:sz="2" w:space="0" w:color="auto"/>
              <w:bottom w:val="single" w:sz="2" w:space="0" w:color="auto"/>
            </w:tcBorders>
          </w:tcPr>
          <w:p w:rsidR="00887330" w:rsidRPr="00583E1A" w:rsidRDefault="00887330" w:rsidP="00887330">
            <w:pPr>
              <w:pStyle w:val="Tabletext"/>
            </w:pPr>
            <w:r w:rsidRPr="00583E1A">
              <w:t xml:space="preserve">an </w:t>
            </w:r>
            <w:r w:rsidR="00583E1A" w:rsidRPr="00583E1A">
              <w:rPr>
                <w:position w:val="6"/>
                <w:sz w:val="16"/>
              </w:rPr>
              <w:t>*</w:t>
            </w:r>
            <w:r w:rsidRPr="00583E1A">
              <w:t>inward investor (financial)</w:t>
            </w:r>
          </w:p>
        </w:tc>
        <w:tc>
          <w:tcPr>
            <w:tcW w:w="3189" w:type="dxa"/>
            <w:tcBorders>
              <w:top w:val="single" w:sz="2" w:space="0" w:color="auto"/>
              <w:bottom w:val="single" w:sz="2" w:space="0" w:color="auto"/>
            </w:tcBorders>
          </w:tcPr>
          <w:p w:rsidR="00887330" w:rsidRPr="00583E1A" w:rsidRDefault="00887330" w:rsidP="00887330">
            <w:pPr>
              <w:pStyle w:val="Tabletext"/>
            </w:pPr>
            <w:r w:rsidRPr="00583E1A">
              <w:t xml:space="preserve">an </w:t>
            </w:r>
            <w:r w:rsidR="00583E1A" w:rsidRPr="00583E1A">
              <w:rPr>
                <w:position w:val="6"/>
                <w:sz w:val="16"/>
              </w:rPr>
              <w:t>*</w:t>
            </w:r>
            <w:r w:rsidRPr="00583E1A">
              <w:t>inward investing entity (ADI)</w:t>
            </w:r>
          </w:p>
        </w:tc>
      </w:tr>
      <w:tr w:rsidR="00887330" w:rsidRPr="00583E1A">
        <w:trPr>
          <w:cantSplit/>
        </w:trPr>
        <w:tc>
          <w:tcPr>
            <w:tcW w:w="714" w:type="dxa"/>
            <w:tcBorders>
              <w:top w:val="single" w:sz="2" w:space="0" w:color="auto"/>
              <w:bottom w:val="single" w:sz="12" w:space="0" w:color="auto"/>
            </w:tcBorders>
          </w:tcPr>
          <w:p w:rsidR="00887330" w:rsidRPr="00583E1A" w:rsidRDefault="00887330" w:rsidP="00887330">
            <w:pPr>
              <w:pStyle w:val="Tabletext"/>
            </w:pPr>
            <w:r w:rsidRPr="00583E1A">
              <w:t>3</w:t>
            </w:r>
          </w:p>
        </w:tc>
        <w:tc>
          <w:tcPr>
            <w:tcW w:w="3189" w:type="dxa"/>
            <w:tcBorders>
              <w:top w:val="single" w:sz="2" w:space="0" w:color="auto"/>
              <w:bottom w:val="single" w:sz="12" w:space="0" w:color="auto"/>
            </w:tcBorders>
          </w:tcPr>
          <w:p w:rsidR="00887330" w:rsidRPr="00583E1A" w:rsidRDefault="00887330" w:rsidP="00887330">
            <w:pPr>
              <w:pStyle w:val="Tabletext"/>
            </w:pPr>
            <w:r w:rsidRPr="00583E1A">
              <w:t xml:space="preserve">an </w:t>
            </w:r>
            <w:r w:rsidR="00583E1A" w:rsidRPr="00583E1A">
              <w:rPr>
                <w:position w:val="6"/>
                <w:sz w:val="16"/>
              </w:rPr>
              <w:t>*</w:t>
            </w:r>
            <w:r w:rsidRPr="00583E1A">
              <w:t>inward investment vehicle (financial)</w:t>
            </w:r>
          </w:p>
        </w:tc>
        <w:tc>
          <w:tcPr>
            <w:tcW w:w="3189" w:type="dxa"/>
            <w:tcBorders>
              <w:top w:val="single" w:sz="2" w:space="0" w:color="auto"/>
              <w:bottom w:val="single" w:sz="12" w:space="0" w:color="auto"/>
            </w:tcBorders>
          </w:tcPr>
          <w:p w:rsidR="00887330" w:rsidRPr="00583E1A" w:rsidRDefault="00887330" w:rsidP="00887330">
            <w:pPr>
              <w:pStyle w:val="Tabletext"/>
            </w:pPr>
            <w:r w:rsidRPr="00583E1A">
              <w:t xml:space="preserve">an </w:t>
            </w:r>
            <w:r w:rsidR="00583E1A" w:rsidRPr="00583E1A">
              <w:rPr>
                <w:position w:val="6"/>
                <w:sz w:val="16"/>
              </w:rPr>
              <w:t>*</w:t>
            </w:r>
            <w:r w:rsidRPr="00583E1A">
              <w:t>outward investing entity (ADI)</w:t>
            </w:r>
          </w:p>
        </w:tc>
      </w:tr>
    </w:tbl>
    <w:p w:rsidR="00887330" w:rsidRPr="00583E1A" w:rsidRDefault="00887330" w:rsidP="00887330">
      <w:pPr>
        <w:pStyle w:val="subsection"/>
      </w:pPr>
      <w:r w:rsidRPr="00583E1A">
        <w:tab/>
        <w:t>(</w:t>
      </w:r>
      <w:r w:rsidRPr="00583E1A">
        <w:rPr>
          <w:noProof/>
        </w:rPr>
        <w:t>2</w:t>
      </w:r>
      <w:r w:rsidRPr="00583E1A">
        <w:t>)</w:t>
      </w:r>
      <w:r w:rsidRPr="00583E1A">
        <w:tab/>
        <w:t>The choice:</w:t>
      </w:r>
    </w:p>
    <w:p w:rsidR="00887330" w:rsidRPr="00583E1A" w:rsidRDefault="00887330" w:rsidP="00887330">
      <w:pPr>
        <w:pStyle w:val="paragraph"/>
      </w:pPr>
      <w:r w:rsidRPr="00583E1A">
        <w:tab/>
        <w:t>(</w:t>
      </w:r>
      <w:r w:rsidRPr="00583E1A">
        <w:rPr>
          <w:noProof/>
        </w:rPr>
        <w:t>a</w:t>
      </w:r>
      <w:r w:rsidRPr="00583E1A">
        <w:t>)</w:t>
      </w:r>
      <w:r w:rsidRPr="00583E1A">
        <w:tab/>
        <w:t xml:space="preserve">has effect accordingly, except as provided in </w:t>
      </w:r>
      <w:r w:rsidR="00583E1A">
        <w:t>subsection (</w:t>
      </w:r>
      <w:r w:rsidRPr="00583E1A">
        <w:t>4); and</w:t>
      </w:r>
    </w:p>
    <w:p w:rsidR="00887330" w:rsidRPr="00583E1A" w:rsidRDefault="00887330" w:rsidP="00887330">
      <w:pPr>
        <w:pStyle w:val="paragraph"/>
      </w:pPr>
      <w:r w:rsidRPr="00583E1A">
        <w:tab/>
        <w:t>(</w:t>
      </w:r>
      <w:r w:rsidRPr="00583E1A">
        <w:rPr>
          <w:noProof/>
        </w:rPr>
        <w:t>b</w:t>
      </w:r>
      <w:r w:rsidRPr="00583E1A">
        <w:t>)</w:t>
      </w:r>
      <w:r w:rsidRPr="00583E1A">
        <w:tab/>
        <w:t>ceases to have effect only as provided in this Subdivision; and</w:t>
      </w:r>
    </w:p>
    <w:p w:rsidR="00887330" w:rsidRPr="00583E1A" w:rsidRDefault="00887330" w:rsidP="00887330">
      <w:pPr>
        <w:pStyle w:val="paragraph"/>
      </w:pPr>
      <w:r w:rsidRPr="00583E1A">
        <w:tab/>
        <w:t>(</w:t>
      </w:r>
      <w:r w:rsidRPr="00583E1A">
        <w:rPr>
          <w:noProof/>
        </w:rPr>
        <w:t>c</w:t>
      </w:r>
      <w:r w:rsidRPr="00583E1A">
        <w:t>)</w:t>
      </w:r>
      <w:r w:rsidRPr="00583E1A">
        <w:tab/>
        <w:t>covers each period:</w:t>
      </w:r>
    </w:p>
    <w:p w:rsidR="00887330" w:rsidRPr="00583E1A" w:rsidRDefault="00887330" w:rsidP="00887330">
      <w:pPr>
        <w:pStyle w:val="paragraphsub"/>
      </w:pPr>
      <w:r w:rsidRPr="00583E1A">
        <w:tab/>
        <w:t>(</w:t>
      </w:r>
      <w:r w:rsidRPr="00583E1A">
        <w:rPr>
          <w:noProof/>
        </w:rPr>
        <w:t>i</w:t>
      </w:r>
      <w:r w:rsidRPr="00583E1A">
        <w:t>)</w:t>
      </w:r>
      <w:r w:rsidRPr="00583E1A">
        <w:tab/>
        <w:t>that started on or after a day specified in the choice (or on the day the choice is made if no day is specified); and</w:t>
      </w:r>
    </w:p>
    <w:p w:rsidR="00887330" w:rsidRPr="00583E1A" w:rsidRDefault="00887330" w:rsidP="00887330">
      <w:pPr>
        <w:pStyle w:val="paragraphsub"/>
      </w:pPr>
      <w:r w:rsidRPr="00583E1A">
        <w:tab/>
        <w:t>(</w:t>
      </w:r>
      <w:r w:rsidRPr="00583E1A">
        <w:rPr>
          <w:noProof/>
        </w:rPr>
        <w:t>ii</w:t>
      </w:r>
      <w:r w:rsidRPr="00583E1A">
        <w:t>)</w:t>
      </w:r>
      <w:r w:rsidRPr="00583E1A">
        <w:tab/>
        <w:t>that is all or part of an income year.</w:t>
      </w:r>
    </w:p>
    <w:p w:rsidR="00887330" w:rsidRPr="00583E1A" w:rsidRDefault="00887330" w:rsidP="00887330">
      <w:pPr>
        <w:pStyle w:val="subsection"/>
      </w:pPr>
      <w:r w:rsidRPr="00583E1A">
        <w:lastRenderedPageBreak/>
        <w:tab/>
        <w:t>(</w:t>
      </w:r>
      <w:r w:rsidRPr="00583E1A">
        <w:rPr>
          <w:noProof/>
        </w:rPr>
        <w:t>3</w:t>
      </w:r>
      <w:r w:rsidRPr="00583E1A">
        <w:t>)</w:t>
      </w:r>
      <w:r w:rsidRPr="00583E1A">
        <w:tab/>
        <w:t>Subdivision</w:t>
      </w:r>
      <w:r w:rsidR="00583E1A">
        <w:t> </w:t>
      </w:r>
      <w:r w:rsidRPr="00583E1A">
        <w:t>820</w:t>
      </w:r>
      <w:r w:rsidR="00583E1A">
        <w:noBreakHyphen/>
      </w:r>
      <w:r w:rsidRPr="00583E1A">
        <w:t xml:space="preserve">E applies to the entity, in relation to a period for which this section treats it as an </w:t>
      </w:r>
      <w:r w:rsidR="00583E1A" w:rsidRPr="00583E1A">
        <w:rPr>
          <w:position w:val="6"/>
          <w:sz w:val="16"/>
        </w:rPr>
        <w:t>*</w:t>
      </w:r>
      <w:r w:rsidRPr="00583E1A">
        <w:t xml:space="preserve">inward investing entity (ADI), as if all the entity’s </w:t>
      </w:r>
      <w:r w:rsidR="00583E1A" w:rsidRPr="00583E1A">
        <w:rPr>
          <w:position w:val="6"/>
          <w:sz w:val="16"/>
        </w:rPr>
        <w:t>*</w:t>
      </w:r>
      <w:r w:rsidRPr="00583E1A">
        <w:t>business were banking business of the entity.</w:t>
      </w:r>
    </w:p>
    <w:p w:rsidR="00887330" w:rsidRPr="00583E1A" w:rsidRDefault="00887330" w:rsidP="00887330">
      <w:pPr>
        <w:pStyle w:val="subsection"/>
      </w:pPr>
      <w:r w:rsidRPr="00583E1A">
        <w:tab/>
        <w:t>(</w:t>
      </w:r>
      <w:r w:rsidRPr="00583E1A">
        <w:rPr>
          <w:noProof/>
        </w:rPr>
        <w:t>4</w:t>
      </w:r>
      <w:r w:rsidRPr="00583E1A">
        <w:t>)</w:t>
      </w:r>
      <w:r w:rsidRPr="00583E1A">
        <w:tab/>
        <w:t>The choice does not have effect for the purposes of determining whether the entity is covered by paragraph 820</w:t>
      </w:r>
      <w:r w:rsidR="00583E1A">
        <w:noBreakHyphen/>
      </w:r>
      <w:r w:rsidRPr="00583E1A">
        <w:t>910(2)(a) (about working out the associate entity debt of another entity).</w:t>
      </w:r>
    </w:p>
    <w:p w:rsidR="00887330" w:rsidRPr="00583E1A" w:rsidRDefault="00887330" w:rsidP="00887330">
      <w:pPr>
        <w:pStyle w:val="SubsectionHead"/>
      </w:pPr>
      <w:r w:rsidRPr="00583E1A">
        <w:t>Conditions for making the choice</w:t>
      </w:r>
    </w:p>
    <w:p w:rsidR="00887330" w:rsidRPr="00583E1A" w:rsidRDefault="00887330" w:rsidP="00887330">
      <w:pPr>
        <w:pStyle w:val="subsection"/>
      </w:pPr>
      <w:r w:rsidRPr="00583E1A">
        <w:tab/>
        <w:t>(</w:t>
      </w:r>
      <w:r w:rsidRPr="00583E1A">
        <w:rPr>
          <w:noProof/>
        </w:rPr>
        <w:t>5</w:t>
      </w:r>
      <w:r w:rsidRPr="00583E1A">
        <w:t>)</w:t>
      </w:r>
      <w:r w:rsidRPr="00583E1A">
        <w:tab/>
        <w:t>For the income year that is or includes the first period for which the entity would be treated in accordance with the choice, the entity must satisfy:</w:t>
      </w:r>
    </w:p>
    <w:p w:rsidR="00887330" w:rsidRPr="00583E1A" w:rsidRDefault="00887330" w:rsidP="00887330">
      <w:pPr>
        <w:pStyle w:val="paragraph"/>
      </w:pPr>
      <w:r w:rsidRPr="00583E1A">
        <w:tab/>
        <w:t>(</w:t>
      </w:r>
      <w:r w:rsidRPr="00583E1A">
        <w:rPr>
          <w:noProof/>
        </w:rPr>
        <w:t>a</w:t>
      </w:r>
      <w:r w:rsidRPr="00583E1A">
        <w:t>)</w:t>
      </w:r>
      <w:r w:rsidRPr="00583E1A">
        <w:tab/>
        <w:t>subsection 820</w:t>
      </w:r>
      <w:r w:rsidR="00583E1A">
        <w:noBreakHyphen/>
      </w:r>
      <w:r w:rsidRPr="00583E1A">
        <w:t>435(1); or</w:t>
      </w:r>
    </w:p>
    <w:p w:rsidR="00887330" w:rsidRPr="00583E1A" w:rsidRDefault="00887330" w:rsidP="00887330">
      <w:pPr>
        <w:pStyle w:val="paragraph"/>
      </w:pPr>
      <w:r w:rsidRPr="00583E1A">
        <w:tab/>
        <w:t>(</w:t>
      </w:r>
      <w:r w:rsidRPr="00583E1A">
        <w:rPr>
          <w:noProof/>
        </w:rPr>
        <w:t>b</w:t>
      </w:r>
      <w:r w:rsidRPr="00583E1A">
        <w:t>)</w:t>
      </w:r>
      <w:r w:rsidRPr="00583E1A">
        <w:tab/>
        <w:t>subsections 820</w:t>
      </w:r>
      <w:r w:rsidR="00583E1A">
        <w:noBreakHyphen/>
      </w:r>
      <w:r w:rsidRPr="00583E1A">
        <w:t>435(2) and (3).</w:t>
      </w:r>
    </w:p>
    <w:p w:rsidR="00887330" w:rsidRPr="00583E1A" w:rsidRDefault="00887330" w:rsidP="00887330">
      <w:pPr>
        <w:pStyle w:val="subsection2"/>
      </w:pPr>
      <w:r w:rsidRPr="00583E1A">
        <w:t xml:space="preserve">Also, the entity must </w:t>
      </w:r>
      <w:r w:rsidRPr="00583E1A">
        <w:rPr>
          <w:i/>
        </w:rPr>
        <w:t>not</w:t>
      </w:r>
      <w:r w:rsidRPr="00583E1A">
        <w:t xml:space="preserve"> have made a previous choice under this section that has ceased to have effect.</w:t>
      </w:r>
    </w:p>
    <w:p w:rsidR="00887330" w:rsidRPr="00583E1A" w:rsidRDefault="00887330" w:rsidP="00887330">
      <w:pPr>
        <w:pStyle w:val="SubsectionHead"/>
      </w:pPr>
      <w:r w:rsidRPr="00583E1A">
        <w:t>Conditions are retested every 3 years</w:t>
      </w:r>
    </w:p>
    <w:p w:rsidR="00887330" w:rsidRPr="00583E1A" w:rsidRDefault="00887330" w:rsidP="00887330">
      <w:pPr>
        <w:pStyle w:val="subsection"/>
      </w:pPr>
      <w:r w:rsidRPr="00583E1A">
        <w:tab/>
        <w:t>(</w:t>
      </w:r>
      <w:r w:rsidRPr="00583E1A">
        <w:rPr>
          <w:noProof/>
        </w:rPr>
        <w:t>6</w:t>
      </w:r>
      <w:r w:rsidRPr="00583E1A">
        <w:t>)</w:t>
      </w:r>
      <w:r w:rsidRPr="00583E1A">
        <w:tab/>
        <w:t xml:space="preserve">The choice ceases to have effect, or is taken to have ceased to have effect, as appropriate, at the </w:t>
      </w:r>
      <w:r w:rsidRPr="00583E1A">
        <w:rPr>
          <w:i/>
        </w:rPr>
        <w:t>end</w:t>
      </w:r>
      <w:r w:rsidRPr="00583E1A">
        <w:t xml:space="preserve"> of an income year covered by </w:t>
      </w:r>
      <w:r w:rsidR="00583E1A">
        <w:t>subsection (</w:t>
      </w:r>
      <w:r w:rsidRPr="00583E1A">
        <w:t>7) of this section, unless the entity:</w:t>
      </w:r>
    </w:p>
    <w:p w:rsidR="00887330" w:rsidRPr="00583E1A" w:rsidRDefault="00887330" w:rsidP="00887330">
      <w:pPr>
        <w:pStyle w:val="paragraph"/>
      </w:pPr>
      <w:r w:rsidRPr="00583E1A">
        <w:tab/>
        <w:t>(</w:t>
      </w:r>
      <w:r w:rsidRPr="00583E1A">
        <w:rPr>
          <w:noProof/>
        </w:rPr>
        <w:t>a</w:t>
      </w:r>
      <w:r w:rsidRPr="00583E1A">
        <w:t>)</w:t>
      </w:r>
      <w:r w:rsidRPr="00583E1A">
        <w:tab/>
        <w:t>satisfies subsection 820</w:t>
      </w:r>
      <w:r w:rsidR="00583E1A">
        <w:noBreakHyphen/>
      </w:r>
      <w:r w:rsidRPr="00583E1A">
        <w:t>435(1) for that income year; or</w:t>
      </w:r>
    </w:p>
    <w:p w:rsidR="00887330" w:rsidRPr="00583E1A" w:rsidRDefault="00887330" w:rsidP="00887330">
      <w:pPr>
        <w:pStyle w:val="paragraph"/>
      </w:pPr>
      <w:r w:rsidRPr="00583E1A">
        <w:tab/>
        <w:t>(</w:t>
      </w:r>
      <w:r w:rsidRPr="00583E1A">
        <w:rPr>
          <w:noProof/>
        </w:rPr>
        <w:t>b</w:t>
      </w:r>
      <w:r w:rsidRPr="00583E1A">
        <w:t>)</w:t>
      </w:r>
      <w:r w:rsidRPr="00583E1A">
        <w:tab/>
        <w:t>satisfies subsections 820</w:t>
      </w:r>
      <w:r w:rsidR="00583E1A">
        <w:noBreakHyphen/>
      </w:r>
      <w:r w:rsidRPr="00583E1A">
        <w:t>435(2) and (3) for that income year.</w:t>
      </w:r>
    </w:p>
    <w:p w:rsidR="00887330" w:rsidRPr="00583E1A" w:rsidRDefault="00887330" w:rsidP="00887330">
      <w:pPr>
        <w:pStyle w:val="subsection"/>
      </w:pPr>
      <w:r w:rsidRPr="00583E1A">
        <w:tab/>
        <w:t>(</w:t>
      </w:r>
      <w:r w:rsidRPr="00583E1A">
        <w:rPr>
          <w:noProof/>
        </w:rPr>
        <w:t>7</w:t>
      </w:r>
      <w:r w:rsidRPr="00583E1A">
        <w:t>)</w:t>
      </w:r>
      <w:r w:rsidRPr="00583E1A">
        <w:tab/>
        <w:t xml:space="preserve">This subsection covers every third income year after the one referred to in </w:t>
      </w:r>
      <w:r w:rsidR="00583E1A">
        <w:t>subsection (</w:t>
      </w:r>
      <w:r w:rsidRPr="00583E1A">
        <w:t>5).</w:t>
      </w:r>
    </w:p>
    <w:p w:rsidR="00887330" w:rsidRPr="00583E1A" w:rsidRDefault="00887330" w:rsidP="00887330">
      <w:pPr>
        <w:pStyle w:val="ActHead5"/>
      </w:pPr>
      <w:bookmarkStart w:id="230" w:name="_Toc338939304"/>
      <w:r w:rsidRPr="00583E1A">
        <w:rPr>
          <w:rStyle w:val="CharSectno"/>
        </w:rPr>
        <w:t>820</w:t>
      </w:r>
      <w:r w:rsidR="00583E1A">
        <w:rPr>
          <w:rStyle w:val="CharSectno"/>
        </w:rPr>
        <w:noBreakHyphen/>
      </w:r>
      <w:r w:rsidRPr="00583E1A">
        <w:rPr>
          <w:rStyle w:val="CharSectno"/>
        </w:rPr>
        <w:t>435</w:t>
      </w:r>
      <w:r w:rsidRPr="00583E1A">
        <w:t xml:space="preserve">  Conditions</w:t>
      </w:r>
      <w:bookmarkEnd w:id="230"/>
    </w:p>
    <w:p w:rsidR="00887330" w:rsidRPr="00583E1A" w:rsidRDefault="00887330" w:rsidP="00887330">
      <w:pPr>
        <w:pStyle w:val="subsection"/>
      </w:pPr>
      <w:r w:rsidRPr="00583E1A">
        <w:tab/>
        <w:t>(</w:t>
      </w:r>
      <w:r w:rsidRPr="00583E1A">
        <w:rPr>
          <w:noProof/>
        </w:rPr>
        <w:t>1</w:t>
      </w:r>
      <w:r w:rsidRPr="00583E1A">
        <w:t>)</w:t>
      </w:r>
      <w:r w:rsidRPr="00583E1A">
        <w:tab/>
        <w:t xml:space="preserve">An entity satisfies this subsection for an income year if the average value, for that income year, of the entity’s </w:t>
      </w:r>
      <w:r w:rsidR="00583E1A" w:rsidRPr="00583E1A">
        <w:rPr>
          <w:position w:val="6"/>
          <w:sz w:val="16"/>
        </w:rPr>
        <w:t>*</w:t>
      </w:r>
      <w:r w:rsidRPr="00583E1A">
        <w:t>on</w:t>
      </w:r>
      <w:r w:rsidR="00583E1A">
        <w:noBreakHyphen/>
      </w:r>
      <w:r w:rsidRPr="00583E1A">
        <w:t>lent amount is at least 80% of the average value, for that income year, of all the entity’s assets.</w:t>
      </w:r>
    </w:p>
    <w:p w:rsidR="00887330" w:rsidRPr="00583E1A" w:rsidRDefault="00887330" w:rsidP="00887330">
      <w:pPr>
        <w:pStyle w:val="subsection"/>
      </w:pPr>
      <w:r w:rsidRPr="00583E1A">
        <w:tab/>
        <w:t>(</w:t>
      </w:r>
      <w:r w:rsidRPr="00583E1A">
        <w:rPr>
          <w:noProof/>
        </w:rPr>
        <w:t>2</w:t>
      </w:r>
      <w:r w:rsidRPr="00583E1A">
        <w:t>)</w:t>
      </w:r>
      <w:r w:rsidRPr="00583E1A">
        <w:tab/>
        <w:t>An entity satisfies this subsection for an income year if the first period that is all or part of that income year, and for which the entity would be treated in accordance with a choice under section</w:t>
      </w:r>
      <w:r w:rsidR="00583E1A">
        <w:t> </w:t>
      </w:r>
      <w:r w:rsidRPr="00583E1A">
        <w:t>820</w:t>
      </w:r>
      <w:r w:rsidR="00583E1A">
        <w:noBreakHyphen/>
      </w:r>
      <w:r w:rsidRPr="00583E1A">
        <w:t>430, consists of one or more periods, each of which is either or both of these:</w:t>
      </w:r>
    </w:p>
    <w:p w:rsidR="00887330" w:rsidRPr="00583E1A" w:rsidRDefault="00887330" w:rsidP="00887330">
      <w:pPr>
        <w:pStyle w:val="paragraph"/>
      </w:pPr>
      <w:r w:rsidRPr="00583E1A">
        <w:lastRenderedPageBreak/>
        <w:tab/>
        <w:t>(</w:t>
      </w:r>
      <w:r w:rsidRPr="00583E1A">
        <w:rPr>
          <w:noProof/>
        </w:rPr>
        <w:t>a</w:t>
      </w:r>
      <w:r w:rsidRPr="00583E1A">
        <w:t>)</w:t>
      </w:r>
      <w:r w:rsidRPr="00583E1A">
        <w:tab/>
        <w:t xml:space="preserve">a period throughout which the entity is a </w:t>
      </w:r>
      <w:r w:rsidR="00583E1A" w:rsidRPr="00583E1A">
        <w:rPr>
          <w:position w:val="6"/>
          <w:sz w:val="16"/>
        </w:rPr>
        <w:t>*</w:t>
      </w:r>
      <w:r w:rsidRPr="00583E1A">
        <w:t xml:space="preserve">financial entity because of </w:t>
      </w:r>
      <w:r w:rsidR="00583E1A">
        <w:t>paragraph (</w:t>
      </w:r>
      <w:r w:rsidRPr="00583E1A">
        <w:t xml:space="preserve">d) of the definition of </w:t>
      </w:r>
      <w:r w:rsidRPr="00583E1A">
        <w:rPr>
          <w:b/>
          <w:i/>
        </w:rPr>
        <w:t>financial entity</w:t>
      </w:r>
      <w:r w:rsidRPr="00583E1A">
        <w:t xml:space="preserve"> in subsection 995</w:t>
      </w:r>
      <w:r w:rsidR="00583E1A">
        <w:noBreakHyphen/>
      </w:r>
      <w:r w:rsidRPr="00583E1A">
        <w:t>1(1) (which covers licensed (or exempt) dealers in derivatives);</w:t>
      </w:r>
    </w:p>
    <w:p w:rsidR="00887330" w:rsidRPr="00583E1A" w:rsidRDefault="00887330" w:rsidP="00887330">
      <w:pPr>
        <w:pStyle w:val="paragraph"/>
      </w:pPr>
      <w:r w:rsidRPr="00583E1A">
        <w:tab/>
        <w:t>(</w:t>
      </w:r>
      <w:r w:rsidRPr="00583E1A">
        <w:rPr>
          <w:noProof/>
        </w:rPr>
        <w:t>b</w:t>
      </w:r>
      <w:r w:rsidRPr="00583E1A">
        <w:t>)</w:t>
      </w:r>
      <w:r w:rsidRPr="00583E1A">
        <w:tab/>
        <w:t>a period throughout which:</w:t>
      </w:r>
    </w:p>
    <w:p w:rsidR="00887330" w:rsidRPr="00583E1A" w:rsidRDefault="00887330" w:rsidP="00887330">
      <w:pPr>
        <w:pStyle w:val="paragraphsub"/>
      </w:pPr>
      <w:r w:rsidRPr="00583E1A">
        <w:tab/>
        <w:t>(</w:t>
      </w:r>
      <w:r w:rsidRPr="00583E1A">
        <w:rPr>
          <w:noProof/>
        </w:rPr>
        <w:t>i</w:t>
      </w:r>
      <w:r w:rsidRPr="00583E1A">
        <w:t>)</w:t>
      </w:r>
      <w:r w:rsidRPr="00583E1A">
        <w:tab/>
        <w:t xml:space="preserve">the entity is the </w:t>
      </w:r>
      <w:r w:rsidR="00583E1A" w:rsidRPr="00583E1A">
        <w:rPr>
          <w:position w:val="6"/>
          <w:sz w:val="16"/>
        </w:rPr>
        <w:t>*</w:t>
      </w:r>
      <w:r w:rsidRPr="00583E1A">
        <w:t xml:space="preserve">head company of a </w:t>
      </w:r>
      <w:r w:rsidR="00583E1A" w:rsidRPr="00583E1A">
        <w:rPr>
          <w:position w:val="6"/>
          <w:sz w:val="16"/>
        </w:rPr>
        <w:t>*</w:t>
      </w:r>
      <w:r w:rsidRPr="00583E1A">
        <w:t xml:space="preserve">consolidated group or </w:t>
      </w:r>
      <w:r w:rsidR="00583E1A" w:rsidRPr="00583E1A">
        <w:rPr>
          <w:position w:val="6"/>
          <w:sz w:val="16"/>
        </w:rPr>
        <w:t>*</w:t>
      </w:r>
      <w:r w:rsidRPr="00583E1A">
        <w:t>MEC group; and</w:t>
      </w:r>
    </w:p>
    <w:p w:rsidR="00887330" w:rsidRPr="00583E1A" w:rsidRDefault="00887330" w:rsidP="00887330">
      <w:pPr>
        <w:pStyle w:val="paragraphsub"/>
      </w:pPr>
      <w:r w:rsidRPr="00583E1A">
        <w:tab/>
        <w:t>(</w:t>
      </w:r>
      <w:r w:rsidRPr="00583E1A">
        <w:rPr>
          <w:noProof/>
        </w:rPr>
        <w:t>ii</w:t>
      </w:r>
      <w:r w:rsidRPr="00583E1A">
        <w:t>)</w:t>
      </w:r>
      <w:r w:rsidRPr="00583E1A">
        <w:tab/>
        <w:t xml:space="preserve">at least one </w:t>
      </w:r>
      <w:r w:rsidR="00583E1A" w:rsidRPr="00583E1A">
        <w:rPr>
          <w:position w:val="6"/>
          <w:sz w:val="16"/>
        </w:rPr>
        <w:t>*</w:t>
      </w:r>
      <w:r w:rsidRPr="00583E1A">
        <w:t>member of the group is a financial entity because of that paragraph.</w:t>
      </w:r>
    </w:p>
    <w:p w:rsidR="00887330" w:rsidRPr="00583E1A" w:rsidRDefault="00887330" w:rsidP="00887330">
      <w:pPr>
        <w:pStyle w:val="subsection"/>
      </w:pPr>
      <w:r w:rsidRPr="00583E1A">
        <w:tab/>
        <w:t>(</w:t>
      </w:r>
      <w:r w:rsidRPr="00583E1A">
        <w:rPr>
          <w:noProof/>
        </w:rPr>
        <w:t>3</w:t>
      </w:r>
      <w:r w:rsidRPr="00583E1A">
        <w:t>)</w:t>
      </w:r>
      <w:r w:rsidRPr="00583E1A">
        <w:tab/>
        <w:t xml:space="preserve">An entity satisfies this subsection for an income year if it satisfies </w:t>
      </w:r>
      <w:r w:rsidR="00583E1A">
        <w:t>subsection (</w:t>
      </w:r>
      <w:r w:rsidRPr="00583E1A">
        <w:t>2) and the amount worked out using this formula is greater than or equal to 0.8:</w:t>
      </w:r>
    </w:p>
    <w:p w:rsidR="00CB48B4" w:rsidRPr="00583E1A" w:rsidRDefault="00623A5C" w:rsidP="00887330">
      <w:pPr>
        <w:pStyle w:val="Formula"/>
      </w:pPr>
      <w:r>
        <w:rPr>
          <w:noProof/>
        </w:rPr>
        <w:drawing>
          <wp:inline distT="0" distB="0" distL="0" distR="0">
            <wp:extent cx="3200400" cy="75247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3200400" cy="752475"/>
                    </a:xfrm>
                    <a:prstGeom prst="rect">
                      <a:avLst/>
                    </a:prstGeom>
                    <a:noFill/>
                    <a:ln>
                      <a:noFill/>
                    </a:ln>
                  </pic:spPr>
                </pic:pic>
              </a:graphicData>
            </a:graphic>
          </wp:inline>
        </w:drawing>
      </w:r>
    </w:p>
    <w:p w:rsidR="00887330" w:rsidRPr="00583E1A" w:rsidRDefault="00887330" w:rsidP="00887330">
      <w:pPr>
        <w:pStyle w:val="subsection2"/>
      </w:pPr>
      <w:r w:rsidRPr="00583E1A">
        <w:t>where:</w:t>
      </w:r>
    </w:p>
    <w:p w:rsidR="00887330" w:rsidRPr="00583E1A" w:rsidRDefault="00887330" w:rsidP="00887330">
      <w:pPr>
        <w:pStyle w:val="Definition"/>
      </w:pPr>
      <w:r w:rsidRPr="00583E1A">
        <w:rPr>
          <w:b/>
          <w:i/>
        </w:rPr>
        <w:t>on</w:t>
      </w:r>
      <w:r w:rsidR="00583E1A">
        <w:rPr>
          <w:b/>
          <w:i/>
        </w:rPr>
        <w:noBreakHyphen/>
      </w:r>
      <w:r w:rsidRPr="00583E1A">
        <w:rPr>
          <w:b/>
          <w:i/>
        </w:rPr>
        <w:t>lent amount</w:t>
      </w:r>
      <w:r w:rsidRPr="00583E1A">
        <w:t xml:space="preserve"> means the average value, for that income year, of the entity’s </w:t>
      </w:r>
      <w:r w:rsidR="00583E1A" w:rsidRPr="00583E1A">
        <w:rPr>
          <w:position w:val="6"/>
          <w:sz w:val="16"/>
        </w:rPr>
        <w:t>*</w:t>
      </w:r>
      <w:r w:rsidRPr="00583E1A">
        <w:t>on</w:t>
      </w:r>
      <w:r w:rsidR="00583E1A">
        <w:noBreakHyphen/>
      </w:r>
      <w:r w:rsidRPr="00583E1A">
        <w:t>lent amount.</w:t>
      </w:r>
    </w:p>
    <w:p w:rsidR="00887330" w:rsidRPr="00583E1A" w:rsidRDefault="00887330" w:rsidP="00887330">
      <w:pPr>
        <w:pStyle w:val="Definition"/>
      </w:pPr>
      <w:r w:rsidRPr="00583E1A">
        <w:rPr>
          <w:b/>
          <w:i/>
        </w:rPr>
        <w:t>total assets</w:t>
      </w:r>
      <w:r w:rsidRPr="00583E1A">
        <w:t xml:space="preserve"> means the average value, for that income year, of all the entity’s assets.</w:t>
      </w:r>
    </w:p>
    <w:p w:rsidR="00887330" w:rsidRPr="00583E1A" w:rsidRDefault="00887330" w:rsidP="00887330">
      <w:pPr>
        <w:pStyle w:val="Definition"/>
      </w:pPr>
      <w:r w:rsidRPr="00583E1A">
        <w:rPr>
          <w:b/>
          <w:i/>
        </w:rPr>
        <w:t>UG on derivatives</w:t>
      </w:r>
      <w:r w:rsidRPr="00583E1A">
        <w:t xml:space="preserve"> means the average value, for that income year, of the entity’s assets consisting of unrealised gains on trading derivatives within the meaning of the </w:t>
      </w:r>
      <w:r w:rsidRPr="00583E1A">
        <w:rPr>
          <w:i/>
        </w:rPr>
        <w:t>Corporations Act 2001</w:t>
      </w:r>
      <w:r w:rsidRPr="00583E1A">
        <w:t>.</w:t>
      </w:r>
    </w:p>
    <w:p w:rsidR="00887330" w:rsidRPr="00583E1A" w:rsidRDefault="00887330" w:rsidP="00887330">
      <w:pPr>
        <w:pStyle w:val="Definition"/>
      </w:pPr>
      <w:r w:rsidRPr="00583E1A">
        <w:rPr>
          <w:b/>
          <w:i/>
        </w:rPr>
        <w:t>UL on derivatives</w:t>
      </w:r>
      <w:r w:rsidRPr="00583E1A">
        <w:t xml:space="preserve"> means the lesser of:</w:t>
      </w:r>
    </w:p>
    <w:p w:rsidR="00887330" w:rsidRPr="00583E1A" w:rsidRDefault="00887330" w:rsidP="00887330">
      <w:pPr>
        <w:pStyle w:val="paragraph"/>
      </w:pPr>
      <w:r w:rsidRPr="00583E1A">
        <w:tab/>
        <w:t>(a)</w:t>
      </w:r>
      <w:r w:rsidRPr="00583E1A">
        <w:tab/>
        <w:t xml:space="preserve">the average value, for that income year, of the entity’s liabilities consisting of unrealised losses on trading derivatives within the meaning of the </w:t>
      </w:r>
      <w:r w:rsidRPr="00583E1A">
        <w:rPr>
          <w:i/>
        </w:rPr>
        <w:t>Corporations Act 2001</w:t>
      </w:r>
      <w:r w:rsidRPr="00583E1A">
        <w:t>; and</w:t>
      </w:r>
    </w:p>
    <w:p w:rsidR="00887330" w:rsidRPr="00583E1A" w:rsidRDefault="00887330" w:rsidP="00887330">
      <w:pPr>
        <w:pStyle w:val="paragraph"/>
      </w:pPr>
      <w:r w:rsidRPr="00583E1A">
        <w:tab/>
        <w:t>(b)</w:t>
      </w:r>
      <w:r w:rsidRPr="00583E1A">
        <w:tab/>
        <w:t>the average value, for that income year, of the entity’s assets consisting of unrealised gains on trading derivatives within the meaning of that Act.</w:t>
      </w:r>
    </w:p>
    <w:p w:rsidR="00887330" w:rsidRPr="00583E1A" w:rsidRDefault="00887330" w:rsidP="00887330">
      <w:pPr>
        <w:pStyle w:val="SubsectionHead"/>
      </w:pPr>
      <w:r w:rsidRPr="00583E1A">
        <w:lastRenderedPageBreak/>
        <w:t>On</w:t>
      </w:r>
      <w:r w:rsidR="00583E1A">
        <w:noBreakHyphen/>
      </w:r>
      <w:r w:rsidRPr="00583E1A">
        <w:t>lent amount increased for financial entity whose assets include precious metals</w:t>
      </w:r>
    </w:p>
    <w:p w:rsidR="00887330" w:rsidRPr="00583E1A" w:rsidRDefault="00887330" w:rsidP="00887330">
      <w:pPr>
        <w:pStyle w:val="subsection"/>
      </w:pPr>
      <w:r w:rsidRPr="00583E1A">
        <w:tab/>
        <w:t>(</w:t>
      </w:r>
      <w:r w:rsidRPr="00583E1A">
        <w:rPr>
          <w:noProof/>
        </w:rPr>
        <w:t>4</w:t>
      </w:r>
      <w:r w:rsidRPr="00583E1A">
        <w:t>)</w:t>
      </w:r>
      <w:r w:rsidRPr="00583E1A">
        <w:tab/>
        <w:t xml:space="preserve">In working out whether an entity satisfies </w:t>
      </w:r>
      <w:r w:rsidR="00583E1A">
        <w:t>subsection (</w:t>
      </w:r>
      <w:r w:rsidRPr="00583E1A">
        <w:t xml:space="preserve">1) or (3) for an income year, the average value, for that income year, of the entity’s </w:t>
      </w:r>
      <w:r w:rsidR="00583E1A" w:rsidRPr="00583E1A">
        <w:rPr>
          <w:position w:val="6"/>
          <w:sz w:val="16"/>
        </w:rPr>
        <w:t>*</w:t>
      </w:r>
      <w:r w:rsidRPr="00583E1A">
        <w:t>on</w:t>
      </w:r>
      <w:r w:rsidR="00583E1A">
        <w:noBreakHyphen/>
      </w:r>
      <w:r w:rsidRPr="00583E1A">
        <w:t xml:space="preserve">lent amount is increased by the average value, for that income year, of the entity’s assets that consist of </w:t>
      </w:r>
      <w:r w:rsidR="00583E1A" w:rsidRPr="00583E1A">
        <w:rPr>
          <w:position w:val="6"/>
          <w:sz w:val="16"/>
        </w:rPr>
        <w:t>*</w:t>
      </w:r>
      <w:r w:rsidRPr="00583E1A">
        <w:t xml:space="preserve">precious metals, but only if the entity satisfies </w:t>
      </w:r>
      <w:r w:rsidR="00583E1A">
        <w:t>subsection (</w:t>
      </w:r>
      <w:r w:rsidRPr="00583E1A">
        <w:t>5) for that income year.</w:t>
      </w:r>
    </w:p>
    <w:p w:rsidR="00887330" w:rsidRPr="00583E1A" w:rsidRDefault="00887330" w:rsidP="00887330">
      <w:pPr>
        <w:pStyle w:val="subsection"/>
      </w:pPr>
      <w:r w:rsidRPr="00583E1A">
        <w:tab/>
        <w:t>(</w:t>
      </w:r>
      <w:r w:rsidRPr="00583E1A">
        <w:rPr>
          <w:noProof/>
        </w:rPr>
        <w:t>5</w:t>
      </w:r>
      <w:r w:rsidRPr="00583E1A">
        <w:t>)</w:t>
      </w:r>
      <w:r w:rsidRPr="00583E1A">
        <w:tab/>
        <w:t>An entity satisfies this subsection for an income year if the first period that is all or part of that income year, and for which the entity would be treated in accordance with a choice under section</w:t>
      </w:r>
      <w:r w:rsidR="00583E1A">
        <w:t> </w:t>
      </w:r>
      <w:r w:rsidRPr="00583E1A">
        <w:t>820</w:t>
      </w:r>
      <w:r w:rsidR="00583E1A">
        <w:noBreakHyphen/>
      </w:r>
      <w:r w:rsidRPr="00583E1A">
        <w:t>430, consists of one or more periods, each of which is either or both of these:</w:t>
      </w:r>
    </w:p>
    <w:p w:rsidR="00887330" w:rsidRPr="00583E1A" w:rsidRDefault="00887330" w:rsidP="00887330">
      <w:pPr>
        <w:pStyle w:val="paragraph"/>
      </w:pPr>
      <w:r w:rsidRPr="00583E1A">
        <w:tab/>
        <w:t>(</w:t>
      </w:r>
      <w:r w:rsidRPr="00583E1A">
        <w:rPr>
          <w:noProof/>
        </w:rPr>
        <w:t>a</w:t>
      </w:r>
      <w:r w:rsidRPr="00583E1A">
        <w:t>)</w:t>
      </w:r>
      <w:r w:rsidRPr="00583E1A">
        <w:tab/>
        <w:t xml:space="preserve">a period throughout which the entity is a </w:t>
      </w:r>
      <w:r w:rsidR="00583E1A" w:rsidRPr="00583E1A">
        <w:rPr>
          <w:position w:val="6"/>
          <w:sz w:val="16"/>
        </w:rPr>
        <w:t>*</w:t>
      </w:r>
      <w:r w:rsidRPr="00583E1A">
        <w:t>financial entity;</w:t>
      </w:r>
    </w:p>
    <w:p w:rsidR="00887330" w:rsidRPr="00583E1A" w:rsidRDefault="00887330" w:rsidP="00887330">
      <w:pPr>
        <w:pStyle w:val="paragraph"/>
      </w:pPr>
      <w:r w:rsidRPr="00583E1A">
        <w:tab/>
        <w:t>(</w:t>
      </w:r>
      <w:r w:rsidRPr="00583E1A">
        <w:rPr>
          <w:noProof/>
        </w:rPr>
        <w:t>b</w:t>
      </w:r>
      <w:r w:rsidRPr="00583E1A">
        <w:t>)</w:t>
      </w:r>
      <w:r w:rsidRPr="00583E1A">
        <w:tab/>
        <w:t>a period throughout which:</w:t>
      </w:r>
    </w:p>
    <w:p w:rsidR="00887330" w:rsidRPr="00583E1A" w:rsidRDefault="00887330" w:rsidP="00887330">
      <w:pPr>
        <w:pStyle w:val="paragraphsub"/>
      </w:pPr>
      <w:r w:rsidRPr="00583E1A">
        <w:tab/>
        <w:t>(</w:t>
      </w:r>
      <w:r w:rsidRPr="00583E1A">
        <w:rPr>
          <w:noProof/>
        </w:rPr>
        <w:t>i</w:t>
      </w:r>
      <w:r w:rsidRPr="00583E1A">
        <w:t>)</w:t>
      </w:r>
      <w:r w:rsidRPr="00583E1A">
        <w:tab/>
        <w:t xml:space="preserve">the entity is the </w:t>
      </w:r>
      <w:r w:rsidR="00583E1A" w:rsidRPr="00583E1A">
        <w:rPr>
          <w:position w:val="6"/>
          <w:sz w:val="16"/>
        </w:rPr>
        <w:t>*</w:t>
      </w:r>
      <w:r w:rsidRPr="00583E1A">
        <w:t xml:space="preserve">head company of a </w:t>
      </w:r>
      <w:r w:rsidR="00583E1A" w:rsidRPr="00583E1A">
        <w:rPr>
          <w:position w:val="6"/>
          <w:sz w:val="16"/>
        </w:rPr>
        <w:t>*</w:t>
      </w:r>
      <w:r w:rsidRPr="00583E1A">
        <w:t xml:space="preserve">consolidated group or </w:t>
      </w:r>
      <w:r w:rsidR="00583E1A" w:rsidRPr="00583E1A">
        <w:rPr>
          <w:position w:val="6"/>
          <w:sz w:val="16"/>
        </w:rPr>
        <w:t>*</w:t>
      </w:r>
      <w:r w:rsidRPr="00583E1A">
        <w:t>MEC group; and</w:t>
      </w:r>
    </w:p>
    <w:p w:rsidR="00887330" w:rsidRPr="00583E1A" w:rsidRDefault="00887330" w:rsidP="00887330">
      <w:pPr>
        <w:pStyle w:val="paragraphsub"/>
      </w:pPr>
      <w:r w:rsidRPr="00583E1A">
        <w:tab/>
        <w:t>(</w:t>
      </w:r>
      <w:r w:rsidRPr="00583E1A">
        <w:rPr>
          <w:noProof/>
        </w:rPr>
        <w:t>ii</w:t>
      </w:r>
      <w:r w:rsidRPr="00583E1A">
        <w:t>)</w:t>
      </w:r>
      <w:r w:rsidRPr="00583E1A">
        <w:tab/>
        <w:t xml:space="preserve">at least one </w:t>
      </w:r>
      <w:r w:rsidR="00583E1A" w:rsidRPr="00583E1A">
        <w:rPr>
          <w:position w:val="6"/>
          <w:sz w:val="16"/>
        </w:rPr>
        <w:t>*</w:t>
      </w:r>
      <w:r w:rsidRPr="00583E1A">
        <w:t>member of the group is a financial entity.</w:t>
      </w:r>
    </w:p>
    <w:p w:rsidR="00887330" w:rsidRPr="00583E1A" w:rsidRDefault="00887330" w:rsidP="00887330">
      <w:pPr>
        <w:pStyle w:val="ActHead5"/>
      </w:pPr>
      <w:bookmarkStart w:id="231" w:name="_Toc338939305"/>
      <w:r w:rsidRPr="00583E1A">
        <w:rPr>
          <w:rStyle w:val="CharSectno"/>
        </w:rPr>
        <w:t>820</w:t>
      </w:r>
      <w:r w:rsidR="00583E1A">
        <w:rPr>
          <w:rStyle w:val="CharSectno"/>
        </w:rPr>
        <w:noBreakHyphen/>
      </w:r>
      <w:r w:rsidRPr="00583E1A">
        <w:rPr>
          <w:rStyle w:val="CharSectno"/>
        </w:rPr>
        <w:t>440</w:t>
      </w:r>
      <w:r w:rsidRPr="00583E1A">
        <w:t xml:space="preserve">  Revocation of choice</w:t>
      </w:r>
      <w:bookmarkEnd w:id="231"/>
    </w:p>
    <w:p w:rsidR="00887330" w:rsidRPr="00583E1A" w:rsidRDefault="00887330" w:rsidP="00887330">
      <w:pPr>
        <w:pStyle w:val="subsection"/>
      </w:pPr>
      <w:r w:rsidRPr="00583E1A">
        <w:tab/>
        <w:t>(</w:t>
      </w:r>
      <w:r w:rsidRPr="00583E1A">
        <w:rPr>
          <w:noProof/>
        </w:rPr>
        <w:t>1</w:t>
      </w:r>
      <w:r w:rsidRPr="00583E1A">
        <w:t>)</w:t>
      </w:r>
      <w:r w:rsidRPr="00583E1A">
        <w:tab/>
        <w:t>A choice under section</w:t>
      </w:r>
      <w:r w:rsidR="00583E1A">
        <w:t> </w:t>
      </w:r>
      <w:r w:rsidRPr="00583E1A">
        <w:t>820</w:t>
      </w:r>
      <w:r w:rsidR="00583E1A">
        <w:noBreakHyphen/>
      </w:r>
      <w:r w:rsidRPr="00583E1A">
        <w:t>430 can be revoked only with the written approval of the Commissioner. The Commissioner may approve a revocation only if satisfied that the entity’s circumstances have changed significantly since the choice was made.</w:t>
      </w:r>
    </w:p>
    <w:p w:rsidR="00887330" w:rsidRPr="00583E1A" w:rsidRDefault="00887330" w:rsidP="00887330">
      <w:pPr>
        <w:pStyle w:val="subsection"/>
      </w:pPr>
      <w:r w:rsidRPr="00583E1A">
        <w:tab/>
        <w:t>(</w:t>
      </w:r>
      <w:r w:rsidRPr="00583E1A">
        <w:rPr>
          <w:noProof/>
        </w:rPr>
        <w:t>2</w:t>
      </w:r>
      <w:r w:rsidRPr="00583E1A">
        <w:t>)</w:t>
      </w:r>
      <w:r w:rsidRPr="00583E1A">
        <w:tab/>
        <w:t>If revoked, the choice does not have effect for a period that starts on or after the day on which the Commissioner’s approval is given, unless the revocation is expressed to take effect on an earlier day. In that case, it does not have effect for a period that starts on or after the earlier day.</w:t>
      </w:r>
    </w:p>
    <w:p w:rsidR="00091951" w:rsidRPr="00583E1A" w:rsidRDefault="00091951" w:rsidP="00091951">
      <w:pPr>
        <w:pStyle w:val="ActHead5"/>
      </w:pPr>
      <w:bookmarkStart w:id="232" w:name="_Toc338939306"/>
      <w:r w:rsidRPr="00583E1A">
        <w:rPr>
          <w:rStyle w:val="CharSectno"/>
        </w:rPr>
        <w:t>820</w:t>
      </w:r>
      <w:r w:rsidR="00583E1A">
        <w:rPr>
          <w:rStyle w:val="CharSectno"/>
        </w:rPr>
        <w:noBreakHyphen/>
      </w:r>
      <w:r w:rsidRPr="00583E1A">
        <w:rPr>
          <w:rStyle w:val="CharSectno"/>
        </w:rPr>
        <w:t>445</w:t>
      </w:r>
      <w:r w:rsidRPr="00583E1A">
        <w:t xml:space="preserve">  How this Subdivision interacts with Subdivision</w:t>
      </w:r>
      <w:r w:rsidR="00583E1A">
        <w:t> </w:t>
      </w:r>
      <w:r w:rsidRPr="00583E1A">
        <w:t>820</w:t>
      </w:r>
      <w:r w:rsidR="00583E1A">
        <w:noBreakHyphen/>
      </w:r>
      <w:r w:rsidRPr="00583E1A">
        <w:t>FA</w:t>
      </w:r>
      <w:bookmarkEnd w:id="232"/>
    </w:p>
    <w:p w:rsidR="00887330" w:rsidRPr="00583E1A" w:rsidRDefault="00887330" w:rsidP="00887330">
      <w:pPr>
        <w:pStyle w:val="subsection"/>
      </w:pPr>
      <w:r w:rsidRPr="00583E1A">
        <w:tab/>
      </w:r>
      <w:r w:rsidRPr="00583E1A">
        <w:tab/>
        <w:t>A choice under section</w:t>
      </w:r>
      <w:r w:rsidR="00583E1A">
        <w:t> </w:t>
      </w:r>
      <w:r w:rsidRPr="00583E1A">
        <w:t>820</w:t>
      </w:r>
      <w:r w:rsidR="00583E1A">
        <w:noBreakHyphen/>
      </w:r>
      <w:r w:rsidRPr="00583E1A">
        <w:t xml:space="preserve">430 does not have effect for so much of a period as happens while the entity is a </w:t>
      </w:r>
      <w:r w:rsidR="00583E1A" w:rsidRPr="00583E1A">
        <w:rPr>
          <w:position w:val="6"/>
          <w:sz w:val="16"/>
        </w:rPr>
        <w:t>*</w:t>
      </w:r>
      <w:r w:rsidRPr="00583E1A">
        <w:t xml:space="preserve">subsidiary member of a </w:t>
      </w:r>
      <w:r w:rsidR="00583E1A" w:rsidRPr="00583E1A">
        <w:rPr>
          <w:position w:val="6"/>
          <w:sz w:val="16"/>
        </w:rPr>
        <w:t>*</w:t>
      </w:r>
      <w:r w:rsidRPr="00583E1A">
        <w:t xml:space="preserve">consolidated group or </w:t>
      </w:r>
      <w:r w:rsidR="00583E1A" w:rsidRPr="00583E1A">
        <w:rPr>
          <w:position w:val="6"/>
          <w:sz w:val="16"/>
        </w:rPr>
        <w:t>*</w:t>
      </w:r>
      <w:r w:rsidRPr="00583E1A">
        <w:t>MEC group.</w:t>
      </w:r>
    </w:p>
    <w:p w:rsidR="00887330" w:rsidRPr="00583E1A" w:rsidRDefault="00887330" w:rsidP="00887330">
      <w:pPr>
        <w:pStyle w:val="notetext"/>
      </w:pPr>
      <w:r w:rsidRPr="00583E1A">
        <w:lastRenderedPageBreak/>
        <w:t>Note:</w:t>
      </w:r>
      <w:r w:rsidRPr="00583E1A">
        <w:tab/>
        <w:t>If the head company of the group makes a choice under that section, that choice will have effect instead.</w:t>
      </w:r>
    </w:p>
    <w:p w:rsidR="00887330" w:rsidRPr="00583E1A" w:rsidRDefault="00887330" w:rsidP="00887330">
      <w:pPr>
        <w:pStyle w:val="ActHead4"/>
      </w:pPr>
      <w:bookmarkStart w:id="233" w:name="_Toc338939307"/>
      <w:r w:rsidRPr="00583E1A">
        <w:rPr>
          <w:rStyle w:val="CharSubdNo"/>
        </w:rPr>
        <w:t>Subdivision</w:t>
      </w:r>
      <w:r w:rsidR="00583E1A">
        <w:rPr>
          <w:rStyle w:val="CharSubdNo"/>
        </w:rPr>
        <w:t> </w:t>
      </w:r>
      <w:r w:rsidRPr="00583E1A">
        <w:rPr>
          <w:rStyle w:val="CharSubdNo"/>
        </w:rPr>
        <w:t>820</w:t>
      </w:r>
      <w:r w:rsidR="00583E1A">
        <w:rPr>
          <w:rStyle w:val="CharSubdNo"/>
        </w:rPr>
        <w:noBreakHyphen/>
      </w:r>
      <w:r w:rsidRPr="00583E1A">
        <w:rPr>
          <w:rStyle w:val="CharSubdNo"/>
        </w:rPr>
        <w:t>FA</w:t>
      </w:r>
      <w:r w:rsidRPr="00583E1A">
        <w:t>—</w:t>
      </w:r>
      <w:r w:rsidRPr="00583E1A">
        <w:rPr>
          <w:rStyle w:val="CharSubdText"/>
        </w:rPr>
        <w:t>How the thin capitalisation rules apply to consolidated groups and MEC groups</w:t>
      </w:r>
      <w:bookmarkEnd w:id="233"/>
    </w:p>
    <w:p w:rsidR="00887330" w:rsidRPr="00583E1A" w:rsidRDefault="00887330" w:rsidP="00887330">
      <w:pPr>
        <w:pStyle w:val="ActHead4"/>
      </w:pPr>
      <w:bookmarkStart w:id="234" w:name="_Toc338939308"/>
      <w:r w:rsidRPr="00583E1A">
        <w:t>Guide to Subdivision</w:t>
      </w:r>
      <w:r w:rsidR="00583E1A">
        <w:t> </w:t>
      </w:r>
      <w:r w:rsidRPr="00583E1A">
        <w:t>820</w:t>
      </w:r>
      <w:r w:rsidR="00583E1A">
        <w:noBreakHyphen/>
      </w:r>
      <w:r w:rsidRPr="00583E1A">
        <w:t>FA</w:t>
      </w:r>
      <w:bookmarkEnd w:id="234"/>
    </w:p>
    <w:p w:rsidR="00887330" w:rsidRPr="00583E1A" w:rsidRDefault="00887330" w:rsidP="00887330">
      <w:pPr>
        <w:pStyle w:val="ActHead5"/>
      </w:pPr>
      <w:bookmarkStart w:id="235" w:name="_Toc338939309"/>
      <w:r w:rsidRPr="00583E1A">
        <w:rPr>
          <w:rStyle w:val="CharSectno"/>
        </w:rPr>
        <w:t>820</w:t>
      </w:r>
      <w:r w:rsidR="00583E1A">
        <w:rPr>
          <w:rStyle w:val="CharSectno"/>
        </w:rPr>
        <w:noBreakHyphen/>
      </w:r>
      <w:r w:rsidRPr="00583E1A">
        <w:rPr>
          <w:rStyle w:val="CharSectno"/>
        </w:rPr>
        <w:t>579</w:t>
      </w:r>
      <w:r w:rsidRPr="00583E1A">
        <w:t xml:space="preserve">  What this Subdivision is about</w:t>
      </w:r>
      <w:bookmarkEnd w:id="235"/>
    </w:p>
    <w:p w:rsidR="00887330" w:rsidRPr="00583E1A" w:rsidRDefault="00887330" w:rsidP="00887330">
      <w:pPr>
        <w:pStyle w:val="BoxText"/>
      </w:pPr>
      <w:r w:rsidRPr="00583E1A">
        <w:t>This Subdivision tells you:</w:t>
      </w:r>
    </w:p>
    <w:p w:rsidR="00887330" w:rsidRPr="00583E1A" w:rsidRDefault="00887330" w:rsidP="00887330">
      <w:pPr>
        <w:pStyle w:val="BoxList"/>
      </w:pPr>
      <w:r w:rsidRPr="00583E1A">
        <w:t>•</w:t>
      </w:r>
      <w:r w:rsidRPr="00583E1A">
        <w:tab/>
        <w:t>how to classify the head company of a consolidated group or MEC group (in terms of which Subdivision of this Division to apply to the head company); and</w:t>
      </w:r>
    </w:p>
    <w:p w:rsidR="00887330" w:rsidRPr="00583E1A" w:rsidRDefault="00887330" w:rsidP="00887330">
      <w:pPr>
        <w:pStyle w:val="BoxList"/>
      </w:pPr>
      <w:r w:rsidRPr="00583E1A">
        <w:t>•</w:t>
      </w:r>
      <w:r w:rsidRPr="00583E1A">
        <w:tab/>
        <w:t>how to apply this Division to the head company (including how the application is modified).</w:t>
      </w:r>
    </w:p>
    <w:p w:rsidR="00887330" w:rsidRPr="00583E1A" w:rsidRDefault="00887330" w:rsidP="00887330">
      <w:pPr>
        <w:pStyle w:val="TofSectsHeading"/>
      </w:pPr>
      <w:r w:rsidRPr="00583E1A">
        <w:t>Table of sections</w:t>
      </w:r>
    </w:p>
    <w:p w:rsidR="00887330" w:rsidRPr="00583E1A" w:rsidRDefault="00887330" w:rsidP="00887330">
      <w:pPr>
        <w:pStyle w:val="TofSectsGroupHeading"/>
      </w:pPr>
      <w:r w:rsidRPr="00583E1A">
        <w:t>Operative provisions</w:t>
      </w:r>
    </w:p>
    <w:p w:rsidR="00887330" w:rsidRPr="00583E1A" w:rsidRDefault="00887330" w:rsidP="00887330">
      <w:pPr>
        <w:pStyle w:val="TofSectsSection"/>
      </w:pPr>
      <w:r w:rsidRPr="00583E1A">
        <w:t>820</w:t>
      </w:r>
      <w:r w:rsidR="00583E1A">
        <w:noBreakHyphen/>
      </w:r>
      <w:r w:rsidRPr="00583E1A">
        <w:t>581</w:t>
      </w:r>
      <w:r w:rsidRPr="00583E1A">
        <w:tab/>
        <w:t>How this Division applies to head company for income year in which group comes into existence or ceases to exist</w:t>
      </w:r>
    </w:p>
    <w:p w:rsidR="00887330" w:rsidRPr="00583E1A" w:rsidRDefault="00887330" w:rsidP="00887330">
      <w:pPr>
        <w:pStyle w:val="TofSectsSection"/>
      </w:pPr>
      <w:r w:rsidRPr="00583E1A">
        <w:t>820</w:t>
      </w:r>
      <w:r w:rsidR="00583E1A">
        <w:noBreakHyphen/>
      </w:r>
      <w:r w:rsidRPr="00583E1A">
        <w:t>583</w:t>
      </w:r>
      <w:r w:rsidRPr="00583E1A">
        <w:tab/>
        <w:t>Classification of head company</w:t>
      </w:r>
    </w:p>
    <w:p w:rsidR="00887330" w:rsidRPr="00583E1A" w:rsidRDefault="00887330" w:rsidP="00887330">
      <w:pPr>
        <w:pStyle w:val="TofSectsSection"/>
      </w:pPr>
      <w:r w:rsidRPr="00583E1A">
        <w:t>820</w:t>
      </w:r>
      <w:r w:rsidR="00583E1A">
        <w:noBreakHyphen/>
      </w:r>
      <w:r w:rsidRPr="00583E1A">
        <w:t>584</w:t>
      </w:r>
      <w:r w:rsidRPr="00583E1A">
        <w:tab/>
        <w:t>Exempt special purpose entities treated as not being member of group</w:t>
      </w:r>
    </w:p>
    <w:p w:rsidR="00887330" w:rsidRPr="00583E1A" w:rsidRDefault="00887330" w:rsidP="00887330">
      <w:pPr>
        <w:pStyle w:val="TofSectsSection"/>
      </w:pPr>
      <w:r w:rsidRPr="00583E1A">
        <w:t>820</w:t>
      </w:r>
      <w:r w:rsidR="00583E1A">
        <w:noBreakHyphen/>
      </w:r>
      <w:r w:rsidRPr="00583E1A">
        <w:t>585</w:t>
      </w:r>
      <w:r w:rsidRPr="00583E1A">
        <w:tab/>
        <w:t>Exemption for consolidated group headed by foreign</w:t>
      </w:r>
      <w:r w:rsidR="00583E1A">
        <w:noBreakHyphen/>
      </w:r>
      <w:r w:rsidRPr="00583E1A">
        <w:t>controlled Australian ADI or its holding company</w:t>
      </w:r>
    </w:p>
    <w:p w:rsidR="00887330" w:rsidRPr="00583E1A" w:rsidRDefault="00887330" w:rsidP="00887330">
      <w:pPr>
        <w:pStyle w:val="TofSectsSection"/>
      </w:pPr>
      <w:r w:rsidRPr="00583E1A">
        <w:t>820</w:t>
      </w:r>
      <w:r w:rsidR="00583E1A">
        <w:noBreakHyphen/>
      </w:r>
      <w:r w:rsidRPr="00583E1A">
        <w:t>587</w:t>
      </w:r>
      <w:r w:rsidRPr="00583E1A">
        <w:tab/>
        <w:t>Additional application of Subdivision</w:t>
      </w:r>
      <w:r w:rsidR="00583E1A">
        <w:t> </w:t>
      </w:r>
      <w:r w:rsidRPr="00583E1A">
        <w:t>820</w:t>
      </w:r>
      <w:r w:rsidR="00583E1A">
        <w:noBreakHyphen/>
      </w:r>
      <w:r w:rsidRPr="00583E1A">
        <w:t>D to MEC group that includes foreign</w:t>
      </w:r>
      <w:r w:rsidR="00583E1A">
        <w:noBreakHyphen/>
      </w:r>
      <w:r w:rsidRPr="00583E1A">
        <w:t>controlled Australian ADI</w:t>
      </w:r>
    </w:p>
    <w:p w:rsidR="00851C49" w:rsidRPr="00583E1A" w:rsidRDefault="00851C49" w:rsidP="00887330">
      <w:pPr>
        <w:pStyle w:val="TofSectsSection"/>
      </w:pPr>
      <w:r w:rsidRPr="00583E1A">
        <w:t>820</w:t>
      </w:r>
      <w:r w:rsidR="00583E1A">
        <w:noBreakHyphen/>
      </w:r>
      <w:r w:rsidRPr="00583E1A">
        <w:t>588</w:t>
      </w:r>
      <w:r w:rsidRPr="00583E1A">
        <w:tab/>
        <w:t>Choice to treat specialist credit card institutions as being financial entities and not ADIs</w:t>
      </w:r>
    </w:p>
    <w:p w:rsidR="00887330" w:rsidRPr="00583E1A" w:rsidRDefault="00887330" w:rsidP="00887330">
      <w:pPr>
        <w:pStyle w:val="TofSectsSection"/>
      </w:pPr>
      <w:r w:rsidRPr="00583E1A">
        <w:t>820</w:t>
      </w:r>
      <w:r w:rsidR="00583E1A">
        <w:noBreakHyphen/>
      </w:r>
      <w:r w:rsidRPr="00583E1A">
        <w:t>589</w:t>
      </w:r>
      <w:r w:rsidRPr="00583E1A">
        <w:tab/>
        <w:t>How Subdivision</w:t>
      </w:r>
      <w:r w:rsidR="00583E1A">
        <w:t> </w:t>
      </w:r>
      <w:r w:rsidRPr="00583E1A">
        <w:t>820</w:t>
      </w:r>
      <w:r w:rsidR="00583E1A">
        <w:noBreakHyphen/>
      </w:r>
      <w:r w:rsidRPr="00583E1A">
        <w:t>D applies to a MEC group</w:t>
      </w:r>
    </w:p>
    <w:p w:rsidR="00887330" w:rsidRPr="00583E1A" w:rsidRDefault="00887330" w:rsidP="00887330">
      <w:pPr>
        <w:pStyle w:val="ActHead4"/>
      </w:pPr>
      <w:bookmarkStart w:id="236" w:name="_Toc338939310"/>
      <w:r w:rsidRPr="00583E1A">
        <w:t>Operative provisions</w:t>
      </w:r>
      <w:bookmarkEnd w:id="236"/>
    </w:p>
    <w:p w:rsidR="00887330" w:rsidRPr="00583E1A" w:rsidRDefault="00887330" w:rsidP="00887330">
      <w:pPr>
        <w:pStyle w:val="ActHead5"/>
      </w:pPr>
      <w:bookmarkStart w:id="237" w:name="_Toc338939311"/>
      <w:r w:rsidRPr="00583E1A">
        <w:rPr>
          <w:rStyle w:val="CharSectno"/>
        </w:rPr>
        <w:t>820</w:t>
      </w:r>
      <w:r w:rsidR="00583E1A">
        <w:rPr>
          <w:rStyle w:val="CharSectno"/>
        </w:rPr>
        <w:noBreakHyphen/>
      </w:r>
      <w:r w:rsidRPr="00583E1A">
        <w:rPr>
          <w:rStyle w:val="CharSectno"/>
        </w:rPr>
        <w:t>581</w:t>
      </w:r>
      <w:r w:rsidRPr="00583E1A">
        <w:t xml:space="preserve">  How this Division applies to head company for income year in which group comes into existence or ceases to exist</w:t>
      </w:r>
      <w:bookmarkEnd w:id="237"/>
    </w:p>
    <w:p w:rsidR="00887330" w:rsidRPr="00583E1A" w:rsidRDefault="00887330" w:rsidP="00887330">
      <w:pPr>
        <w:pStyle w:val="subsection"/>
      </w:pPr>
      <w:r w:rsidRPr="00583E1A">
        <w:tab/>
      </w:r>
      <w:r w:rsidRPr="00583E1A">
        <w:tab/>
        <w:t xml:space="preserve">If a </w:t>
      </w:r>
      <w:r w:rsidR="00583E1A" w:rsidRPr="00583E1A">
        <w:rPr>
          <w:position w:val="6"/>
          <w:sz w:val="16"/>
        </w:rPr>
        <w:t>*</w:t>
      </w:r>
      <w:r w:rsidRPr="00583E1A">
        <w:t xml:space="preserve">consolidated group or </w:t>
      </w:r>
      <w:r w:rsidR="00583E1A" w:rsidRPr="00583E1A">
        <w:rPr>
          <w:position w:val="6"/>
          <w:sz w:val="16"/>
        </w:rPr>
        <w:t>*</w:t>
      </w:r>
      <w:r w:rsidRPr="00583E1A">
        <w:t>MEC group:</w:t>
      </w:r>
    </w:p>
    <w:p w:rsidR="00887330" w:rsidRPr="00583E1A" w:rsidRDefault="00887330" w:rsidP="00887330">
      <w:pPr>
        <w:pStyle w:val="paragraph"/>
      </w:pPr>
      <w:r w:rsidRPr="00583E1A">
        <w:lastRenderedPageBreak/>
        <w:tab/>
        <w:t>(a)</w:t>
      </w:r>
      <w:r w:rsidRPr="00583E1A">
        <w:tab/>
        <w:t>comes into existence at a time during an income year that is not the start of the income year; or</w:t>
      </w:r>
    </w:p>
    <w:p w:rsidR="00887330" w:rsidRPr="00583E1A" w:rsidRDefault="00887330" w:rsidP="00887330">
      <w:pPr>
        <w:pStyle w:val="paragraph"/>
      </w:pPr>
      <w:r w:rsidRPr="00583E1A">
        <w:tab/>
        <w:t>(b)</w:t>
      </w:r>
      <w:r w:rsidRPr="00583E1A">
        <w:tab/>
        <w:t>ceases to exist at a time during an income year that is not the end of the income year;</w:t>
      </w:r>
    </w:p>
    <w:p w:rsidR="00887330" w:rsidRPr="00583E1A" w:rsidRDefault="00887330" w:rsidP="00887330">
      <w:pPr>
        <w:pStyle w:val="subsection2"/>
      </w:pPr>
      <w:r w:rsidRPr="00583E1A">
        <w:t>then, for each of the following periods during that income year:</w:t>
      </w:r>
    </w:p>
    <w:p w:rsidR="00887330" w:rsidRPr="00583E1A" w:rsidRDefault="00887330" w:rsidP="00887330">
      <w:pPr>
        <w:pStyle w:val="paragraph"/>
      </w:pPr>
      <w:r w:rsidRPr="00583E1A">
        <w:tab/>
        <w:t>(c)</w:t>
      </w:r>
      <w:r w:rsidRPr="00583E1A">
        <w:tab/>
        <w:t xml:space="preserve">a period throughout which a company is the </w:t>
      </w:r>
      <w:r w:rsidR="00583E1A" w:rsidRPr="00583E1A">
        <w:rPr>
          <w:position w:val="6"/>
          <w:sz w:val="16"/>
        </w:rPr>
        <w:t>*</w:t>
      </w:r>
      <w:r w:rsidRPr="00583E1A">
        <w:t>head company of that group; or</w:t>
      </w:r>
    </w:p>
    <w:p w:rsidR="00887330" w:rsidRPr="00583E1A" w:rsidRDefault="00887330" w:rsidP="00887330">
      <w:pPr>
        <w:pStyle w:val="paragraph"/>
      </w:pPr>
      <w:r w:rsidRPr="00583E1A">
        <w:tab/>
        <w:t>(d)</w:t>
      </w:r>
      <w:r w:rsidRPr="00583E1A">
        <w:tab/>
        <w:t>a period throughout which that company is the head company of a different consolidated group or MEC group; or</w:t>
      </w:r>
    </w:p>
    <w:p w:rsidR="00887330" w:rsidRPr="00583E1A" w:rsidRDefault="00887330" w:rsidP="00887330">
      <w:pPr>
        <w:pStyle w:val="paragraph"/>
      </w:pPr>
      <w:r w:rsidRPr="00583E1A">
        <w:tab/>
        <w:t>(e)</w:t>
      </w:r>
      <w:r w:rsidRPr="00583E1A">
        <w:tab/>
        <w:t xml:space="preserve">a period throughout which that company is a </w:t>
      </w:r>
      <w:r w:rsidR="00583E1A" w:rsidRPr="00583E1A">
        <w:rPr>
          <w:position w:val="6"/>
          <w:sz w:val="16"/>
        </w:rPr>
        <w:t>*</w:t>
      </w:r>
      <w:r w:rsidRPr="00583E1A">
        <w:t>member of no consolidated group or MEC group;</w:t>
      </w:r>
    </w:p>
    <w:p w:rsidR="00887330" w:rsidRPr="00583E1A" w:rsidRDefault="00887330" w:rsidP="00887330">
      <w:pPr>
        <w:pStyle w:val="subsection2"/>
      </w:pPr>
      <w:r w:rsidRPr="00583E1A">
        <w:t>this Division (except this section) is to have either:</w:t>
      </w:r>
    </w:p>
    <w:p w:rsidR="00887330" w:rsidRPr="00583E1A" w:rsidRDefault="00887330" w:rsidP="00887330">
      <w:pPr>
        <w:pStyle w:val="paragraph"/>
      </w:pPr>
      <w:r w:rsidRPr="00583E1A">
        <w:tab/>
        <w:t>(f)</w:t>
      </w:r>
      <w:r w:rsidRPr="00583E1A">
        <w:tab/>
        <w:t>a single application in relation to the whole of the period; or</w:t>
      </w:r>
    </w:p>
    <w:p w:rsidR="00887330" w:rsidRPr="00583E1A" w:rsidRDefault="00887330" w:rsidP="00887330">
      <w:pPr>
        <w:pStyle w:val="paragraph"/>
      </w:pPr>
      <w:r w:rsidRPr="00583E1A">
        <w:tab/>
        <w:t>(g)</w:t>
      </w:r>
      <w:r w:rsidRPr="00583E1A">
        <w:tab/>
        <w:t>2 or more applications, each in relation to a part of that period.</w:t>
      </w:r>
    </w:p>
    <w:p w:rsidR="00887330" w:rsidRPr="00583E1A" w:rsidRDefault="00887330" w:rsidP="00887330">
      <w:pPr>
        <w:pStyle w:val="notetext"/>
      </w:pPr>
      <w:r w:rsidRPr="00583E1A">
        <w:t>Example:</w:t>
      </w:r>
      <w:r w:rsidRPr="00583E1A">
        <w:tab/>
        <w:t>Austco Ltd is not a member of a consolidated group for the first 6 months of an income year, but then becomes the head company of a consolidated group which continues in existence for the rest of the income year.</w:t>
      </w:r>
    </w:p>
    <w:p w:rsidR="00887330" w:rsidRPr="00583E1A" w:rsidRDefault="00887330" w:rsidP="00887330">
      <w:pPr>
        <w:pStyle w:val="notetext"/>
      </w:pPr>
      <w:r w:rsidRPr="00583E1A">
        <w:tab/>
        <w:t>For those first 6 months Austco is an outward investor (general) under section</w:t>
      </w:r>
      <w:r w:rsidR="00583E1A">
        <w:t> </w:t>
      </w:r>
      <w:r w:rsidRPr="00583E1A">
        <w:t>820</w:t>
      </w:r>
      <w:r w:rsidR="00583E1A">
        <w:noBreakHyphen/>
      </w:r>
      <w:r w:rsidRPr="00583E1A">
        <w:t>85. For the rest of the income year Austco is an outward investor (general) under subsection 820</w:t>
      </w:r>
      <w:r w:rsidR="00583E1A">
        <w:noBreakHyphen/>
      </w:r>
      <w:r w:rsidRPr="00583E1A">
        <w:t>583(2).</w:t>
      </w:r>
    </w:p>
    <w:p w:rsidR="00887330" w:rsidRPr="00583E1A" w:rsidRDefault="00887330" w:rsidP="00887330">
      <w:pPr>
        <w:pStyle w:val="notetext"/>
      </w:pPr>
      <w:r w:rsidRPr="00583E1A">
        <w:tab/>
        <w:t>This section ensures that section</w:t>
      </w:r>
      <w:r w:rsidR="00583E1A">
        <w:t> </w:t>
      </w:r>
      <w:r w:rsidRPr="00583E1A">
        <w:t>820</w:t>
      </w:r>
      <w:r w:rsidR="00583E1A">
        <w:noBreakHyphen/>
      </w:r>
      <w:r w:rsidRPr="00583E1A">
        <w:t>120 (about part year periods) applies to Austco instead of section</w:t>
      </w:r>
      <w:r w:rsidR="00583E1A">
        <w:t> </w:t>
      </w:r>
      <w:r w:rsidRPr="00583E1A">
        <w:t>820</w:t>
      </w:r>
      <w:r w:rsidR="00583E1A">
        <w:noBreakHyphen/>
      </w:r>
      <w:r w:rsidRPr="00583E1A">
        <w:t>85, so that Subdivision</w:t>
      </w:r>
      <w:r w:rsidR="00583E1A">
        <w:t> </w:t>
      </w:r>
      <w:r w:rsidRPr="00583E1A">
        <w:t>820</w:t>
      </w:r>
      <w:r w:rsidR="00583E1A">
        <w:noBreakHyphen/>
      </w:r>
      <w:r w:rsidRPr="00583E1A">
        <w:t>B has 2 separate applications to Austco: one for the first 6 months and the other for the rest of the income year. Under the second application, account is taken of the position of the subsidiary members that are taken to be part of Austco as head company of the consolidated group.</w:t>
      </w:r>
    </w:p>
    <w:p w:rsidR="00887330" w:rsidRPr="00583E1A" w:rsidRDefault="00887330" w:rsidP="00887330">
      <w:pPr>
        <w:pStyle w:val="ActHead5"/>
      </w:pPr>
      <w:bookmarkStart w:id="238" w:name="_Toc338939312"/>
      <w:r w:rsidRPr="00583E1A">
        <w:rPr>
          <w:rStyle w:val="CharSectno"/>
        </w:rPr>
        <w:t>820</w:t>
      </w:r>
      <w:r w:rsidR="00583E1A">
        <w:rPr>
          <w:rStyle w:val="CharSectno"/>
        </w:rPr>
        <w:noBreakHyphen/>
      </w:r>
      <w:r w:rsidRPr="00583E1A">
        <w:rPr>
          <w:rStyle w:val="CharSectno"/>
        </w:rPr>
        <w:t>583</w:t>
      </w:r>
      <w:r w:rsidRPr="00583E1A">
        <w:t xml:space="preserve">  Classification of head company</w:t>
      </w:r>
      <w:bookmarkEnd w:id="238"/>
    </w:p>
    <w:p w:rsidR="00887330" w:rsidRPr="00583E1A" w:rsidRDefault="00887330" w:rsidP="00887330">
      <w:pPr>
        <w:pStyle w:val="SubsectionHead"/>
      </w:pPr>
      <w:r w:rsidRPr="00583E1A">
        <w:t>Outward investing entity (non</w:t>
      </w:r>
      <w:r w:rsidR="00583E1A">
        <w:noBreakHyphen/>
      </w:r>
      <w:r w:rsidRPr="00583E1A">
        <w:t>ADI)</w:t>
      </w:r>
    </w:p>
    <w:p w:rsidR="00887330" w:rsidRPr="00583E1A" w:rsidRDefault="00887330" w:rsidP="00887330">
      <w:pPr>
        <w:pStyle w:val="subsection"/>
      </w:pPr>
      <w:r w:rsidRPr="00583E1A">
        <w:tab/>
        <w:t>(1)</w:t>
      </w:r>
      <w:r w:rsidRPr="00583E1A">
        <w:tab/>
        <w:t xml:space="preserve">The </w:t>
      </w:r>
      <w:r w:rsidR="00583E1A" w:rsidRPr="00583E1A">
        <w:rPr>
          <w:position w:val="6"/>
          <w:sz w:val="16"/>
        </w:rPr>
        <w:t>*</w:t>
      </w:r>
      <w:r w:rsidRPr="00583E1A">
        <w:t xml:space="preserve">head company of a </w:t>
      </w:r>
      <w:r w:rsidR="00583E1A" w:rsidRPr="00583E1A">
        <w:rPr>
          <w:position w:val="6"/>
          <w:sz w:val="16"/>
        </w:rPr>
        <w:t>*</w:t>
      </w:r>
      <w:r w:rsidRPr="00583E1A">
        <w:t xml:space="preserve">consolidated group or of a </w:t>
      </w:r>
      <w:r w:rsidR="00583E1A" w:rsidRPr="00583E1A">
        <w:rPr>
          <w:position w:val="6"/>
          <w:sz w:val="16"/>
        </w:rPr>
        <w:t>*</w:t>
      </w:r>
      <w:r w:rsidRPr="00583E1A">
        <w:t xml:space="preserve">MEC group is an </w:t>
      </w:r>
      <w:r w:rsidRPr="00583E1A">
        <w:rPr>
          <w:b/>
          <w:i/>
        </w:rPr>
        <w:t>outward investing entity (non</w:t>
      </w:r>
      <w:r w:rsidR="00583E1A">
        <w:rPr>
          <w:b/>
          <w:i/>
        </w:rPr>
        <w:noBreakHyphen/>
      </w:r>
      <w:r w:rsidRPr="00583E1A">
        <w:rPr>
          <w:b/>
          <w:i/>
        </w:rPr>
        <w:t>ADI)</w:t>
      </w:r>
      <w:r w:rsidRPr="00583E1A">
        <w:t xml:space="preserve"> for a period that is all or part of an income year if, and only if, it is:</w:t>
      </w:r>
    </w:p>
    <w:p w:rsidR="00887330" w:rsidRPr="00583E1A" w:rsidRDefault="00887330" w:rsidP="00887330">
      <w:pPr>
        <w:pStyle w:val="paragraph"/>
      </w:pPr>
      <w:r w:rsidRPr="00583E1A">
        <w:tab/>
        <w:t>(a)</w:t>
      </w:r>
      <w:r w:rsidRPr="00583E1A">
        <w:tab/>
        <w:t xml:space="preserve">an </w:t>
      </w:r>
      <w:r w:rsidR="00583E1A" w:rsidRPr="00583E1A">
        <w:rPr>
          <w:position w:val="6"/>
          <w:sz w:val="16"/>
        </w:rPr>
        <w:t>*</w:t>
      </w:r>
      <w:r w:rsidRPr="00583E1A">
        <w:t xml:space="preserve">outward investor (general) for that period (because of </w:t>
      </w:r>
      <w:r w:rsidR="00583E1A">
        <w:t>subsection (</w:t>
      </w:r>
      <w:r w:rsidRPr="00583E1A">
        <w:t>2)); or</w:t>
      </w:r>
    </w:p>
    <w:p w:rsidR="00887330" w:rsidRPr="00583E1A" w:rsidRDefault="00887330" w:rsidP="00887330">
      <w:pPr>
        <w:pStyle w:val="paragraph"/>
      </w:pPr>
      <w:r w:rsidRPr="00583E1A">
        <w:tab/>
        <w:t>(b)</w:t>
      </w:r>
      <w:r w:rsidRPr="00583E1A">
        <w:tab/>
        <w:t xml:space="preserve">an </w:t>
      </w:r>
      <w:r w:rsidR="00583E1A" w:rsidRPr="00583E1A">
        <w:rPr>
          <w:position w:val="6"/>
          <w:sz w:val="16"/>
        </w:rPr>
        <w:t>*</w:t>
      </w:r>
      <w:r w:rsidRPr="00583E1A">
        <w:t xml:space="preserve">outward investor (financial) for that period (because of </w:t>
      </w:r>
      <w:r w:rsidR="00583E1A">
        <w:t>subsection (</w:t>
      </w:r>
      <w:r w:rsidRPr="00583E1A">
        <w:t>3)).</w:t>
      </w:r>
    </w:p>
    <w:p w:rsidR="00887330" w:rsidRPr="00583E1A" w:rsidRDefault="00887330" w:rsidP="00887330">
      <w:pPr>
        <w:pStyle w:val="SubsectionHead"/>
      </w:pPr>
      <w:r w:rsidRPr="00583E1A">
        <w:lastRenderedPageBreak/>
        <w:t>Outward investor (general)</w:t>
      </w:r>
    </w:p>
    <w:p w:rsidR="00887330" w:rsidRPr="00583E1A" w:rsidRDefault="00887330" w:rsidP="00887330">
      <w:pPr>
        <w:pStyle w:val="subsection"/>
      </w:pPr>
      <w:r w:rsidRPr="00583E1A">
        <w:tab/>
        <w:t>(2)</w:t>
      </w:r>
      <w:r w:rsidRPr="00583E1A">
        <w:tab/>
        <w:t xml:space="preserve">The </w:t>
      </w:r>
      <w:r w:rsidR="00583E1A" w:rsidRPr="00583E1A">
        <w:rPr>
          <w:position w:val="6"/>
          <w:sz w:val="16"/>
        </w:rPr>
        <w:t>*</w:t>
      </w:r>
      <w:r w:rsidRPr="00583E1A">
        <w:t xml:space="preserve">head company of a </w:t>
      </w:r>
      <w:r w:rsidR="00583E1A" w:rsidRPr="00583E1A">
        <w:rPr>
          <w:position w:val="6"/>
          <w:sz w:val="16"/>
        </w:rPr>
        <w:t>*</w:t>
      </w:r>
      <w:r w:rsidRPr="00583E1A">
        <w:t xml:space="preserve">consolidated group or of a </w:t>
      </w:r>
      <w:r w:rsidR="00583E1A" w:rsidRPr="00583E1A">
        <w:rPr>
          <w:position w:val="6"/>
          <w:sz w:val="16"/>
        </w:rPr>
        <w:t>*</w:t>
      </w:r>
      <w:r w:rsidRPr="00583E1A">
        <w:t xml:space="preserve">MEC group is an </w:t>
      </w:r>
      <w:r w:rsidRPr="00583E1A">
        <w:rPr>
          <w:b/>
          <w:i/>
        </w:rPr>
        <w:t>outward investor (general)</w:t>
      </w:r>
      <w:r w:rsidRPr="00583E1A">
        <w:t xml:space="preserve"> for a period that is all or part of an income year if:</w:t>
      </w:r>
    </w:p>
    <w:p w:rsidR="00887330" w:rsidRPr="00583E1A" w:rsidRDefault="00887330" w:rsidP="00887330">
      <w:pPr>
        <w:pStyle w:val="paragraph"/>
      </w:pPr>
      <w:r w:rsidRPr="00583E1A">
        <w:tab/>
        <w:t>(a)</w:t>
      </w:r>
      <w:r w:rsidRPr="00583E1A">
        <w:tab/>
        <w:t>for that period, the head company satisfies the condition in the second column of item</w:t>
      </w:r>
      <w:r w:rsidR="00583E1A">
        <w:t> </w:t>
      </w:r>
      <w:r w:rsidRPr="00583E1A">
        <w:t>1 or 3 of the table in subsection 820</w:t>
      </w:r>
      <w:r w:rsidR="00583E1A">
        <w:noBreakHyphen/>
      </w:r>
      <w:r w:rsidRPr="00583E1A">
        <w:t>85(2); and</w:t>
      </w:r>
    </w:p>
    <w:p w:rsidR="00887330" w:rsidRPr="00583E1A" w:rsidRDefault="00887330" w:rsidP="00887330">
      <w:pPr>
        <w:pStyle w:val="paragraph"/>
      </w:pPr>
      <w:r w:rsidRPr="00583E1A">
        <w:tab/>
        <w:t>(b)</w:t>
      </w:r>
      <w:r w:rsidRPr="00583E1A">
        <w:tab/>
        <w:t xml:space="preserve">no </w:t>
      </w:r>
      <w:r w:rsidR="00583E1A" w:rsidRPr="00583E1A">
        <w:rPr>
          <w:position w:val="6"/>
          <w:sz w:val="16"/>
        </w:rPr>
        <w:t>*</w:t>
      </w:r>
      <w:r w:rsidRPr="00583E1A">
        <w:t xml:space="preserve">member of the group is a </w:t>
      </w:r>
      <w:r w:rsidR="00583E1A" w:rsidRPr="00583E1A">
        <w:rPr>
          <w:position w:val="6"/>
          <w:sz w:val="16"/>
        </w:rPr>
        <w:t>*</w:t>
      </w:r>
      <w:r w:rsidRPr="00583E1A">
        <w:t xml:space="preserve">financial entity or </w:t>
      </w:r>
      <w:r w:rsidR="00583E1A" w:rsidRPr="00583E1A">
        <w:rPr>
          <w:position w:val="6"/>
          <w:sz w:val="16"/>
        </w:rPr>
        <w:t>*</w:t>
      </w:r>
      <w:r w:rsidRPr="00583E1A">
        <w:t>ADI at any time during that period.</w:t>
      </w:r>
    </w:p>
    <w:p w:rsidR="00887330" w:rsidRPr="00583E1A" w:rsidRDefault="00887330" w:rsidP="00887330">
      <w:pPr>
        <w:pStyle w:val="SubsectionHead"/>
      </w:pPr>
      <w:r w:rsidRPr="00583E1A">
        <w:t>Outward investor (financial)</w:t>
      </w:r>
    </w:p>
    <w:p w:rsidR="00887330" w:rsidRPr="00583E1A" w:rsidRDefault="00887330" w:rsidP="00887330">
      <w:pPr>
        <w:pStyle w:val="subsection"/>
      </w:pPr>
      <w:r w:rsidRPr="00583E1A">
        <w:tab/>
        <w:t>(3)</w:t>
      </w:r>
      <w:r w:rsidRPr="00583E1A">
        <w:tab/>
        <w:t xml:space="preserve">The </w:t>
      </w:r>
      <w:r w:rsidR="00583E1A" w:rsidRPr="00583E1A">
        <w:rPr>
          <w:position w:val="6"/>
          <w:sz w:val="16"/>
        </w:rPr>
        <w:t>*</w:t>
      </w:r>
      <w:r w:rsidRPr="00583E1A">
        <w:t xml:space="preserve">head company of a </w:t>
      </w:r>
      <w:r w:rsidR="00583E1A" w:rsidRPr="00583E1A">
        <w:rPr>
          <w:position w:val="6"/>
          <w:sz w:val="16"/>
        </w:rPr>
        <w:t>*</w:t>
      </w:r>
      <w:r w:rsidRPr="00583E1A">
        <w:t xml:space="preserve">consolidated group or of a </w:t>
      </w:r>
      <w:r w:rsidR="00583E1A" w:rsidRPr="00583E1A">
        <w:rPr>
          <w:position w:val="6"/>
          <w:sz w:val="16"/>
        </w:rPr>
        <w:t>*</w:t>
      </w:r>
      <w:r w:rsidRPr="00583E1A">
        <w:t>MEC group is</w:t>
      </w:r>
      <w:r w:rsidRPr="00583E1A">
        <w:rPr>
          <w:i/>
        </w:rPr>
        <w:t xml:space="preserve"> </w:t>
      </w:r>
      <w:r w:rsidRPr="00583E1A">
        <w:t xml:space="preserve">an </w:t>
      </w:r>
      <w:r w:rsidRPr="00583E1A">
        <w:rPr>
          <w:b/>
          <w:i/>
        </w:rPr>
        <w:t>outward investor (financial)</w:t>
      </w:r>
      <w:r w:rsidRPr="00583E1A">
        <w:t xml:space="preserve"> for a period that is all or part of an income year if:</w:t>
      </w:r>
    </w:p>
    <w:p w:rsidR="00887330" w:rsidRPr="00583E1A" w:rsidRDefault="00887330" w:rsidP="00887330">
      <w:pPr>
        <w:pStyle w:val="paragraph"/>
      </w:pPr>
      <w:r w:rsidRPr="00583E1A">
        <w:tab/>
        <w:t>(a)</w:t>
      </w:r>
      <w:r w:rsidRPr="00583E1A">
        <w:tab/>
        <w:t>for that period, the head company satisfies the condition in the second column of item</w:t>
      </w:r>
      <w:r w:rsidR="00583E1A">
        <w:t> </w:t>
      </w:r>
      <w:r w:rsidRPr="00583E1A">
        <w:t>1 or 3 of the table in subsection 820</w:t>
      </w:r>
      <w:r w:rsidR="00583E1A">
        <w:noBreakHyphen/>
      </w:r>
      <w:r w:rsidRPr="00583E1A">
        <w:t>85(2); and</w:t>
      </w:r>
    </w:p>
    <w:p w:rsidR="00887330" w:rsidRPr="00583E1A" w:rsidRDefault="00887330" w:rsidP="00887330">
      <w:pPr>
        <w:pStyle w:val="paragraph"/>
      </w:pPr>
      <w:r w:rsidRPr="00583E1A">
        <w:tab/>
        <w:t>(b)</w:t>
      </w:r>
      <w:r w:rsidRPr="00583E1A">
        <w:tab/>
        <w:t xml:space="preserve">throughout that period, there is at least one </w:t>
      </w:r>
      <w:r w:rsidR="00583E1A" w:rsidRPr="00583E1A">
        <w:rPr>
          <w:position w:val="6"/>
          <w:sz w:val="16"/>
        </w:rPr>
        <w:t>*</w:t>
      </w:r>
      <w:r w:rsidRPr="00583E1A">
        <w:t xml:space="preserve">member of the group that is a </w:t>
      </w:r>
      <w:r w:rsidR="00583E1A" w:rsidRPr="00583E1A">
        <w:rPr>
          <w:position w:val="6"/>
          <w:sz w:val="16"/>
        </w:rPr>
        <w:t>*</w:t>
      </w:r>
      <w:r w:rsidRPr="00583E1A">
        <w:t>financial entity; and</w:t>
      </w:r>
    </w:p>
    <w:p w:rsidR="00887330" w:rsidRPr="00583E1A" w:rsidRDefault="00887330" w:rsidP="00887330">
      <w:pPr>
        <w:pStyle w:val="paragraph"/>
      </w:pPr>
      <w:r w:rsidRPr="00583E1A">
        <w:tab/>
        <w:t>(c)</w:t>
      </w:r>
      <w:r w:rsidRPr="00583E1A">
        <w:tab/>
        <w:t xml:space="preserve">no </w:t>
      </w:r>
      <w:r w:rsidR="00583E1A" w:rsidRPr="00583E1A">
        <w:rPr>
          <w:position w:val="6"/>
          <w:sz w:val="16"/>
        </w:rPr>
        <w:t>*</w:t>
      </w:r>
      <w:r w:rsidRPr="00583E1A">
        <w:t xml:space="preserve">member of the group is an </w:t>
      </w:r>
      <w:r w:rsidR="00583E1A" w:rsidRPr="00583E1A">
        <w:rPr>
          <w:position w:val="6"/>
          <w:sz w:val="16"/>
        </w:rPr>
        <w:t>*</w:t>
      </w:r>
      <w:r w:rsidRPr="00583E1A">
        <w:t>ADI at any time during that period.</w:t>
      </w:r>
    </w:p>
    <w:p w:rsidR="00887330" w:rsidRPr="00583E1A" w:rsidRDefault="00887330" w:rsidP="00887330">
      <w:pPr>
        <w:pStyle w:val="SubsectionHead"/>
      </w:pPr>
      <w:r w:rsidRPr="00583E1A">
        <w:t>Inward investing entity (non</w:t>
      </w:r>
      <w:r w:rsidR="00583E1A">
        <w:noBreakHyphen/>
      </w:r>
      <w:r w:rsidRPr="00583E1A">
        <w:t>ADI)</w:t>
      </w:r>
    </w:p>
    <w:p w:rsidR="00887330" w:rsidRPr="00583E1A" w:rsidRDefault="00887330" w:rsidP="00887330">
      <w:pPr>
        <w:pStyle w:val="subsection"/>
      </w:pPr>
      <w:r w:rsidRPr="00583E1A">
        <w:tab/>
        <w:t>(4)</w:t>
      </w:r>
      <w:r w:rsidRPr="00583E1A">
        <w:tab/>
        <w:t xml:space="preserve">The </w:t>
      </w:r>
      <w:r w:rsidR="00583E1A" w:rsidRPr="00583E1A">
        <w:rPr>
          <w:position w:val="6"/>
          <w:sz w:val="16"/>
        </w:rPr>
        <w:t>*</w:t>
      </w:r>
      <w:r w:rsidRPr="00583E1A">
        <w:t xml:space="preserve">head company of a </w:t>
      </w:r>
      <w:r w:rsidR="00583E1A" w:rsidRPr="00583E1A">
        <w:rPr>
          <w:position w:val="6"/>
          <w:sz w:val="16"/>
        </w:rPr>
        <w:t>*</w:t>
      </w:r>
      <w:r w:rsidRPr="00583E1A">
        <w:t xml:space="preserve">consolidated group or of a </w:t>
      </w:r>
      <w:r w:rsidR="00583E1A" w:rsidRPr="00583E1A">
        <w:rPr>
          <w:position w:val="6"/>
          <w:sz w:val="16"/>
        </w:rPr>
        <w:t>*</w:t>
      </w:r>
      <w:r w:rsidRPr="00583E1A">
        <w:t xml:space="preserve">MEC group is an </w:t>
      </w:r>
      <w:r w:rsidRPr="00583E1A">
        <w:rPr>
          <w:b/>
          <w:i/>
        </w:rPr>
        <w:t>inward investing entity (non</w:t>
      </w:r>
      <w:r w:rsidR="00583E1A">
        <w:rPr>
          <w:b/>
          <w:i/>
        </w:rPr>
        <w:noBreakHyphen/>
      </w:r>
      <w:r w:rsidRPr="00583E1A">
        <w:rPr>
          <w:b/>
          <w:i/>
        </w:rPr>
        <w:t>ADI)</w:t>
      </w:r>
      <w:r w:rsidRPr="00583E1A">
        <w:t xml:space="preserve"> for a period that is all or part of an income year if, and only if, it is:</w:t>
      </w:r>
    </w:p>
    <w:p w:rsidR="00887330" w:rsidRPr="00583E1A" w:rsidRDefault="00887330" w:rsidP="00887330">
      <w:pPr>
        <w:pStyle w:val="paragraph"/>
      </w:pPr>
      <w:r w:rsidRPr="00583E1A">
        <w:tab/>
        <w:t>(a)</w:t>
      </w:r>
      <w:r w:rsidRPr="00583E1A">
        <w:tab/>
        <w:t xml:space="preserve">an </w:t>
      </w:r>
      <w:r w:rsidR="00583E1A" w:rsidRPr="00583E1A">
        <w:rPr>
          <w:position w:val="6"/>
          <w:sz w:val="16"/>
        </w:rPr>
        <w:t>*</w:t>
      </w:r>
      <w:r w:rsidRPr="00583E1A">
        <w:t xml:space="preserve">inward investment vehicle (general) for that period (because of </w:t>
      </w:r>
      <w:r w:rsidR="00583E1A">
        <w:t>subsection (</w:t>
      </w:r>
      <w:r w:rsidRPr="00583E1A">
        <w:t>5)); or</w:t>
      </w:r>
    </w:p>
    <w:p w:rsidR="00887330" w:rsidRPr="00583E1A" w:rsidRDefault="00887330" w:rsidP="00887330">
      <w:pPr>
        <w:pStyle w:val="paragraph"/>
      </w:pPr>
      <w:r w:rsidRPr="00583E1A">
        <w:tab/>
        <w:t>(b)</w:t>
      </w:r>
      <w:r w:rsidRPr="00583E1A">
        <w:tab/>
        <w:t xml:space="preserve">an </w:t>
      </w:r>
      <w:r w:rsidR="00583E1A" w:rsidRPr="00583E1A">
        <w:rPr>
          <w:position w:val="6"/>
          <w:sz w:val="16"/>
        </w:rPr>
        <w:t>*</w:t>
      </w:r>
      <w:r w:rsidRPr="00583E1A">
        <w:t xml:space="preserve">inward investment vehicle (financial) for that period (because of </w:t>
      </w:r>
      <w:r w:rsidR="00583E1A">
        <w:t>subsection (</w:t>
      </w:r>
      <w:r w:rsidRPr="00583E1A">
        <w:t>6)).</w:t>
      </w:r>
    </w:p>
    <w:p w:rsidR="00887330" w:rsidRPr="00583E1A" w:rsidRDefault="00887330" w:rsidP="00887330">
      <w:pPr>
        <w:pStyle w:val="SubsectionHead"/>
      </w:pPr>
      <w:r w:rsidRPr="00583E1A">
        <w:t>Inward investment vehicle (general)</w:t>
      </w:r>
    </w:p>
    <w:p w:rsidR="00887330" w:rsidRPr="00583E1A" w:rsidRDefault="00887330" w:rsidP="00887330">
      <w:pPr>
        <w:pStyle w:val="subsection"/>
      </w:pPr>
      <w:r w:rsidRPr="00583E1A">
        <w:tab/>
        <w:t>(5)</w:t>
      </w:r>
      <w:r w:rsidRPr="00583E1A">
        <w:tab/>
        <w:t xml:space="preserve">The </w:t>
      </w:r>
      <w:r w:rsidR="00583E1A" w:rsidRPr="00583E1A">
        <w:rPr>
          <w:position w:val="6"/>
          <w:sz w:val="16"/>
        </w:rPr>
        <w:t>*</w:t>
      </w:r>
      <w:r w:rsidRPr="00583E1A">
        <w:t xml:space="preserve">head company of a </w:t>
      </w:r>
      <w:r w:rsidR="00583E1A" w:rsidRPr="00583E1A">
        <w:rPr>
          <w:position w:val="6"/>
          <w:sz w:val="16"/>
        </w:rPr>
        <w:t>*</w:t>
      </w:r>
      <w:r w:rsidRPr="00583E1A">
        <w:t xml:space="preserve">consolidated group or of a </w:t>
      </w:r>
      <w:r w:rsidR="00583E1A" w:rsidRPr="00583E1A">
        <w:rPr>
          <w:position w:val="6"/>
          <w:sz w:val="16"/>
        </w:rPr>
        <w:t>*</w:t>
      </w:r>
      <w:r w:rsidRPr="00583E1A">
        <w:t xml:space="preserve">MEC group is an </w:t>
      </w:r>
      <w:r w:rsidRPr="00583E1A">
        <w:rPr>
          <w:b/>
          <w:i/>
        </w:rPr>
        <w:t>inward investment vehicle (general)</w:t>
      </w:r>
      <w:r w:rsidRPr="00583E1A">
        <w:t xml:space="preserve"> for a period that is all or part of an income year if:</w:t>
      </w:r>
    </w:p>
    <w:p w:rsidR="00887330" w:rsidRPr="00583E1A" w:rsidRDefault="00887330" w:rsidP="00887330">
      <w:pPr>
        <w:pStyle w:val="paragraph"/>
      </w:pPr>
      <w:r w:rsidRPr="00583E1A">
        <w:lastRenderedPageBreak/>
        <w:tab/>
        <w:t>(a)</w:t>
      </w:r>
      <w:r w:rsidRPr="00583E1A">
        <w:tab/>
        <w:t xml:space="preserve">throughout that period, the head company is a </w:t>
      </w:r>
      <w:r w:rsidR="00583E1A" w:rsidRPr="00583E1A">
        <w:rPr>
          <w:position w:val="6"/>
          <w:sz w:val="16"/>
        </w:rPr>
        <w:t>*</w:t>
      </w:r>
      <w:r w:rsidRPr="00583E1A">
        <w:t>foreign controlled Australian entity; and</w:t>
      </w:r>
    </w:p>
    <w:p w:rsidR="00887330" w:rsidRPr="00583E1A" w:rsidRDefault="00887330" w:rsidP="00887330">
      <w:pPr>
        <w:pStyle w:val="paragraph"/>
      </w:pPr>
      <w:r w:rsidRPr="00583E1A">
        <w:tab/>
        <w:t>(b)</w:t>
      </w:r>
      <w:r w:rsidRPr="00583E1A">
        <w:tab/>
        <w:t xml:space="preserve">no member of the group is a </w:t>
      </w:r>
      <w:r w:rsidR="00583E1A" w:rsidRPr="00583E1A">
        <w:rPr>
          <w:position w:val="6"/>
          <w:sz w:val="16"/>
        </w:rPr>
        <w:t>*</w:t>
      </w:r>
      <w:r w:rsidRPr="00583E1A">
        <w:t xml:space="preserve">financial entity or </w:t>
      </w:r>
      <w:r w:rsidR="00583E1A" w:rsidRPr="00583E1A">
        <w:rPr>
          <w:position w:val="6"/>
          <w:sz w:val="16"/>
        </w:rPr>
        <w:t>*</w:t>
      </w:r>
      <w:r w:rsidRPr="00583E1A">
        <w:t>ADI at any time during that period;</w:t>
      </w:r>
    </w:p>
    <w:p w:rsidR="00887330" w:rsidRPr="00583E1A" w:rsidRDefault="00887330" w:rsidP="00887330">
      <w:pPr>
        <w:pStyle w:val="subsection2"/>
      </w:pPr>
      <w:r w:rsidRPr="00583E1A">
        <w:t xml:space="preserve">unless the head company is an </w:t>
      </w:r>
      <w:r w:rsidR="00583E1A" w:rsidRPr="00583E1A">
        <w:rPr>
          <w:position w:val="6"/>
          <w:sz w:val="16"/>
        </w:rPr>
        <w:t>*</w:t>
      </w:r>
      <w:r w:rsidRPr="00583E1A">
        <w:t>outward investing entity (non</w:t>
      </w:r>
      <w:r w:rsidR="00583E1A">
        <w:noBreakHyphen/>
      </w:r>
      <w:r w:rsidRPr="00583E1A">
        <w:t>ADI) for all or part of that period.</w:t>
      </w:r>
    </w:p>
    <w:p w:rsidR="00887330" w:rsidRPr="00583E1A" w:rsidRDefault="00887330" w:rsidP="00887330">
      <w:pPr>
        <w:pStyle w:val="SubsectionHead"/>
      </w:pPr>
      <w:r w:rsidRPr="00583E1A">
        <w:t>Inward investment vehicle (financial)</w:t>
      </w:r>
    </w:p>
    <w:p w:rsidR="00887330" w:rsidRPr="00583E1A" w:rsidRDefault="00887330" w:rsidP="00887330">
      <w:pPr>
        <w:pStyle w:val="subsection"/>
      </w:pPr>
      <w:r w:rsidRPr="00583E1A">
        <w:tab/>
        <w:t>(6)</w:t>
      </w:r>
      <w:r w:rsidRPr="00583E1A">
        <w:tab/>
        <w:t xml:space="preserve">The </w:t>
      </w:r>
      <w:r w:rsidR="00583E1A" w:rsidRPr="00583E1A">
        <w:rPr>
          <w:position w:val="6"/>
          <w:sz w:val="16"/>
        </w:rPr>
        <w:t>*</w:t>
      </w:r>
      <w:r w:rsidRPr="00583E1A">
        <w:t xml:space="preserve">head company of a </w:t>
      </w:r>
      <w:r w:rsidR="00583E1A" w:rsidRPr="00583E1A">
        <w:rPr>
          <w:position w:val="6"/>
          <w:sz w:val="16"/>
        </w:rPr>
        <w:t>*</w:t>
      </w:r>
      <w:r w:rsidRPr="00583E1A">
        <w:t xml:space="preserve">consolidated group or of a </w:t>
      </w:r>
      <w:r w:rsidR="00583E1A" w:rsidRPr="00583E1A">
        <w:rPr>
          <w:position w:val="6"/>
          <w:sz w:val="16"/>
        </w:rPr>
        <w:t>*</w:t>
      </w:r>
      <w:r w:rsidRPr="00583E1A">
        <w:t xml:space="preserve">MEC group is an </w:t>
      </w:r>
      <w:r w:rsidRPr="00583E1A">
        <w:rPr>
          <w:b/>
          <w:i/>
        </w:rPr>
        <w:t>inward investment vehicle (financial)</w:t>
      </w:r>
      <w:r w:rsidRPr="00583E1A">
        <w:t xml:space="preserve"> for a period that is all or part of an income year if:</w:t>
      </w:r>
    </w:p>
    <w:p w:rsidR="00887330" w:rsidRPr="00583E1A" w:rsidRDefault="00887330" w:rsidP="00887330">
      <w:pPr>
        <w:pStyle w:val="paragraph"/>
      </w:pPr>
      <w:r w:rsidRPr="00583E1A">
        <w:tab/>
        <w:t>(a)</w:t>
      </w:r>
      <w:r w:rsidRPr="00583E1A">
        <w:tab/>
        <w:t xml:space="preserve">throughout that period, the head company is a </w:t>
      </w:r>
      <w:r w:rsidR="00583E1A" w:rsidRPr="00583E1A">
        <w:rPr>
          <w:position w:val="6"/>
          <w:sz w:val="16"/>
        </w:rPr>
        <w:t>*</w:t>
      </w:r>
      <w:r w:rsidRPr="00583E1A">
        <w:t>foreign controlled Australian entity; and</w:t>
      </w:r>
    </w:p>
    <w:p w:rsidR="00887330" w:rsidRPr="00583E1A" w:rsidRDefault="00887330" w:rsidP="00887330">
      <w:pPr>
        <w:pStyle w:val="paragraph"/>
      </w:pPr>
      <w:r w:rsidRPr="00583E1A">
        <w:tab/>
        <w:t>(b)</w:t>
      </w:r>
      <w:r w:rsidRPr="00583E1A">
        <w:tab/>
        <w:t xml:space="preserve">throughout that period, there is at least one </w:t>
      </w:r>
      <w:r w:rsidR="00583E1A" w:rsidRPr="00583E1A">
        <w:rPr>
          <w:position w:val="6"/>
          <w:sz w:val="16"/>
        </w:rPr>
        <w:t>*</w:t>
      </w:r>
      <w:r w:rsidRPr="00583E1A">
        <w:t xml:space="preserve">member of the group that is a </w:t>
      </w:r>
      <w:r w:rsidR="00583E1A" w:rsidRPr="00583E1A">
        <w:rPr>
          <w:position w:val="6"/>
          <w:sz w:val="16"/>
        </w:rPr>
        <w:t>*</w:t>
      </w:r>
      <w:r w:rsidRPr="00583E1A">
        <w:t>financial entity; and</w:t>
      </w:r>
    </w:p>
    <w:p w:rsidR="00887330" w:rsidRPr="00583E1A" w:rsidRDefault="00887330" w:rsidP="00887330">
      <w:pPr>
        <w:pStyle w:val="paragraph"/>
      </w:pPr>
      <w:r w:rsidRPr="00583E1A">
        <w:tab/>
        <w:t>(c)</w:t>
      </w:r>
      <w:r w:rsidRPr="00583E1A">
        <w:tab/>
        <w:t xml:space="preserve">no member of the group is an </w:t>
      </w:r>
      <w:r w:rsidR="00583E1A" w:rsidRPr="00583E1A">
        <w:rPr>
          <w:position w:val="6"/>
          <w:sz w:val="16"/>
        </w:rPr>
        <w:t>*</w:t>
      </w:r>
      <w:r w:rsidRPr="00583E1A">
        <w:t>ADI at any time during that period;</w:t>
      </w:r>
    </w:p>
    <w:p w:rsidR="00887330" w:rsidRPr="00583E1A" w:rsidRDefault="00887330" w:rsidP="00887330">
      <w:pPr>
        <w:pStyle w:val="subsection2"/>
      </w:pPr>
      <w:r w:rsidRPr="00583E1A">
        <w:t xml:space="preserve">unless the head company is an </w:t>
      </w:r>
      <w:r w:rsidR="00583E1A" w:rsidRPr="00583E1A">
        <w:rPr>
          <w:position w:val="6"/>
          <w:sz w:val="16"/>
        </w:rPr>
        <w:t>*</w:t>
      </w:r>
      <w:r w:rsidRPr="00583E1A">
        <w:t>outward investing entity (non</w:t>
      </w:r>
      <w:r w:rsidR="00583E1A">
        <w:noBreakHyphen/>
      </w:r>
      <w:r w:rsidRPr="00583E1A">
        <w:t>ADI) for all or part of that period.</w:t>
      </w:r>
    </w:p>
    <w:p w:rsidR="00887330" w:rsidRPr="00583E1A" w:rsidRDefault="00887330" w:rsidP="00887330">
      <w:pPr>
        <w:pStyle w:val="SubsectionHead"/>
      </w:pPr>
      <w:r w:rsidRPr="00583E1A">
        <w:t>Outward investing entity (ADI)</w:t>
      </w:r>
    </w:p>
    <w:p w:rsidR="00887330" w:rsidRPr="00583E1A" w:rsidRDefault="00887330" w:rsidP="00887330">
      <w:pPr>
        <w:pStyle w:val="subsection"/>
      </w:pPr>
      <w:r w:rsidRPr="00583E1A">
        <w:tab/>
        <w:t>(7)</w:t>
      </w:r>
      <w:r w:rsidRPr="00583E1A">
        <w:tab/>
        <w:t xml:space="preserve">The </w:t>
      </w:r>
      <w:r w:rsidR="00583E1A" w:rsidRPr="00583E1A">
        <w:rPr>
          <w:position w:val="6"/>
          <w:sz w:val="16"/>
        </w:rPr>
        <w:t>*</w:t>
      </w:r>
      <w:r w:rsidRPr="00583E1A">
        <w:t xml:space="preserve">head company of a </w:t>
      </w:r>
      <w:r w:rsidR="00583E1A" w:rsidRPr="00583E1A">
        <w:rPr>
          <w:position w:val="6"/>
          <w:sz w:val="16"/>
        </w:rPr>
        <w:t>*</w:t>
      </w:r>
      <w:r w:rsidRPr="00583E1A">
        <w:t xml:space="preserve">consolidated group or of a </w:t>
      </w:r>
      <w:r w:rsidR="00583E1A" w:rsidRPr="00583E1A">
        <w:rPr>
          <w:position w:val="6"/>
          <w:sz w:val="16"/>
        </w:rPr>
        <w:t>*</w:t>
      </w:r>
      <w:r w:rsidRPr="00583E1A">
        <w:t xml:space="preserve">MEC group is an </w:t>
      </w:r>
      <w:r w:rsidRPr="00583E1A">
        <w:rPr>
          <w:b/>
          <w:i/>
        </w:rPr>
        <w:t>outward investing entity (ADI)</w:t>
      </w:r>
      <w:r w:rsidRPr="00583E1A">
        <w:t xml:space="preserve"> for a period that is all or part of an income year if, and only if:</w:t>
      </w:r>
    </w:p>
    <w:p w:rsidR="00887330" w:rsidRPr="00583E1A" w:rsidRDefault="00887330" w:rsidP="00887330">
      <w:pPr>
        <w:pStyle w:val="paragraph"/>
      </w:pPr>
      <w:r w:rsidRPr="00583E1A">
        <w:tab/>
        <w:t>(a)</w:t>
      </w:r>
      <w:r w:rsidRPr="00583E1A">
        <w:tab/>
        <w:t>apart from Part</w:t>
      </w:r>
      <w:r w:rsidR="00583E1A">
        <w:t> </w:t>
      </w:r>
      <w:r w:rsidRPr="00583E1A">
        <w:t>3</w:t>
      </w:r>
      <w:r w:rsidR="00583E1A">
        <w:noBreakHyphen/>
      </w:r>
      <w:r w:rsidRPr="00583E1A">
        <w:t xml:space="preserve">90 (about consolidation of groups) and this Subdivision, at least one </w:t>
      </w:r>
      <w:r w:rsidR="00583E1A" w:rsidRPr="00583E1A">
        <w:rPr>
          <w:position w:val="6"/>
          <w:sz w:val="16"/>
        </w:rPr>
        <w:t>*</w:t>
      </w:r>
      <w:r w:rsidRPr="00583E1A">
        <w:t xml:space="preserve">member of the group would be an </w:t>
      </w:r>
      <w:r w:rsidR="00583E1A" w:rsidRPr="00583E1A">
        <w:rPr>
          <w:position w:val="6"/>
          <w:sz w:val="16"/>
        </w:rPr>
        <w:t>*</w:t>
      </w:r>
      <w:r w:rsidRPr="00583E1A">
        <w:t>outward investing entity (ADI) for that period; or</w:t>
      </w:r>
    </w:p>
    <w:p w:rsidR="00887330" w:rsidRPr="00583E1A" w:rsidRDefault="00887330" w:rsidP="00887330">
      <w:pPr>
        <w:pStyle w:val="paragraph"/>
      </w:pPr>
      <w:r w:rsidRPr="00583E1A">
        <w:tab/>
        <w:t>(b)</w:t>
      </w:r>
      <w:r w:rsidRPr="00583E1A">
        <w:tab/>
        <w:t>these conditions are met:</w:t>
      </w:r>
    </w:p>
    <w:p w:rsidR="00887330" w:rsidRPr="00583E1A" w:rsidRDefault="00887330" w:rsidP="00887330">
      <w:pPr>
        <w:pStyle w:val="paragraphsub"/>
      </w:pPr>
      <w:r w:rsidRPr="00583E1A">
        <w:tab/>
        <w:t>(i)</w:t>
      </w:r>
      <w:r w:rsidRPr="00583E1A">
        <w:tab/>
        <w:t xml:space="preserve">at least one member of the group would, apart from that Part and this Subdivision, be an </w:t>
      </w:r>
      <w:r w:rsidR="00583E1A" w:rsidRPr="00583E1A">
        <w:rPr>
          <w:position w:val="6"/>
          <w:sz w:val="16"/>
        </w:rPr>
        <w:t>*</w:t>
      </w:r>
      <w:r w:rsidRPr="00583E1A">
        <w:t>outward investing entity (non</w:t>
      </w:r>
      <w:r w:rsidR="00583E1A">
        <w:noBreakHyphen/>
      </w:r>
      <w:r w:rsidRPr="00583E1A">
        <w:t>ADI) for that period; and</w:t>
      </w:r>
    </w:p>
    <w:p w:rsidR="00887330" w:rsidRPr="00583E1A" w:rsidRDefault="00887330" w:rsidP="00887330">
      <w:pPr>
        <w:pStyle w:val="paragraphsub"/>
      </w:pPr>
      <w:r w:rsidRPr="00583E1A">
        <w:tab/>
        <w:t>(ii)</w:t>
      </w:r>
      <w:r w:rsidRPr="00583E1A">
        <w:tab/>
        <w:t xml:space="preserve">at least one member of the group is an </w:t>
      </w:r>
      <w:r w:rsidR="00583E1A" w:rsidRPr="00583E1A">
        <w:rPr>
          <w:position w:val="6"/>
          <w:sz w:val="16"/>
        </w:rPr>
        <w:t>*</w:t>
      </w:r>
      <w:r w:rsidRPr="00583E1A">
        <w:t>ADI throughout that period.</w:t>
      </w:r>
    </w:p>
    <w:p w:rsidR="00887330" w:rsidRPr="00583E1A" w:rsidRDefault="00887330" w:rsidP="00887330">
      <w:pPr>
        <w:pStyle w:val="ActHead5"/>
      </w:pPr>
      <w:bookmarkStart w:id="239" w:name="_Toc338939313"/>
      <w:r w:rsidRPr="00583E1A">
        <w:rPr>
          <w:rStyle w:val="CharSectno"/>
        </w:rPr>
        <w:lastRenderedPageBreak/>
        <w:t>820</w:t>
      </w:r>
      <w:r w:rsidR="00583E1A">
        <w:rPr>
          <w:rStyle w:val="CharSectno"/>
        </w:rPr>
        <w:noBreakHyphen/>
      </w:r>
      <w:r w:rsidRPr="00583E1A">
        <w:rPr>
          <w:rStyle w:val="CharSectno"/>
        </w:rPr>
        <w:t>584</w:t>
      </w:r>
      <w:r w:rsidRPr="00583E1A">
        <w:t xml:space="preserve">  Exempt special purpose entities treated as not being member of group</w:t>
      </w:r>
      <w:bookmarkEnd w:id="239"/>
    </w:p>
    <w:p w:rsidR="00887330" w:rsidRPr="00583E1A" w:rsidRDefault="00887330" w:rsidP="00887330">
      <w:pPr>
        <w:pStyle w:val="subsection"/>
      </w:pPr>
      <w:r w:rsidRPr="00583E1A">
        <w:tab/>
      </w:r>
      <w:r w:rsidRPr="00583E1A">
        <w:tab/>
        <w:t>While an entity meets the conditions in subsection 820</w:t>
      </w:r>
      <w:r w:rsidR="00583E1A">
        <w:noBreakHyphen/>
      </w:r>
      <w:r w:rsidRPr="00583E1A">
        <w:t>39(3) (about insolvency</w:t>
      </w:r>
      <w:r w:rsidR="00583E1A">
        <w:noBreakHyphen/>
      </w:r>
      <w:r w:rsidRPr="00583E1A">
        <w:t xml:space="preserve">remote special purpose entities established to manage economic risk), the entity is treated for the purposes of this Division (except this section) as </w:t>
      </w:r>
      <w:r w:rsidRPr="00583E1A">
        <w:rPr>
          <w:i/>
        </w:rPr>
        <w:t>not</w:t>
      </w:r>
      <w:r w:rsidRPr="00583E1A">
        <w:t xml:space="preserve"> being a </w:t>
      </w:r>
      <w:r w:rsidR="00583E1A" w:rsidRPr="00583E1A">
        <w:rPr>
          <w:position w:val="6"/>
          <w:sz w:val="16"/>
        </w:rPr>
        <w:t>*</w:t>
      </w:r>
      <w:r w:rsidRPr="00583E1A">
        <w:t xml:space="preserve">member of a </w:t>
      </w:r>
      <w:r w:rsidR="00583E1A" w:rsidRPr="00583E1A">
        <w:rPr>
          <w:position w:val="6"/>
          <w:sz w:val="16"/>
        </w:rPr>
        <w:t>*</w:t>
      </w:r>
      <w:r w:rsidRPr="00583E1A">
        <w:t xml:space="preserve">consolidated group or </w:t>
      </w:r>
      <w:r w:rsidR="00583E1A" w:rsidRPr="00583E1A">
        <w:rPr>
          <w:position w:val="6"/>
          <w:sz w:val="16"/>
        </w:rPr>
        <w:t>*</w:t>
      </w:r>
      <w:r w:rsidRPr="00583E1A">
        <w:t>MEC group of which it is a member.</w:t>
      </w:r>
    </w:p>
    <w:p w:rsidR="00887330" w:rsidRPr="00583E1A" w:rsidRDefault="00887330" w:rsidP="00887330">
      <w:pPr>
        <w:pStyle w:val="notetext"/>
      </w:pPr>
      <w:r w:rsidRPr="00583E1A">
        <w:t>Note:</w:t>
      </w:r>
      <w:r w:rsidRPr="00583E1A">
        <w:tab/>
        <w:t>This section has the effect that the circumstances of the entity are not taken into account in applying this Division to the head company of the group. The entity itself is exempt from this Division because of section</w:t>
      </w:r>
      <w:r w:rsidR="00583E1A">
        <w:t> </w:t>
      </w:r>
      <w:r w:rsidRPr="00583E1A">
        <w:t>820</w:t>
      </w:r>
      <w:r w:rsidR="00583E1A">
        <w:noBreakHyphen/>
      </w:r>
      <w:r w:rsidRPr="00583E1A">
        <w:t>39.</w:t>
      </w:r>
    </w:p>
    <w:p w:rsidR="00887330" w:rsidRPr="00583E1A" w:rsidRDefault="00887330" w:rsidP="00887330">
      <w:pPr>
        <w:pStyle w:val="ActHead5"/>
      </w:pPr>
      <w:bookmarkStart w:id="240" w:name="_Toc338939314"/>
      <w:r w:rsidRPr="00583E1A">
        <w:rPr>
          <w:rStyle w:val="CharSectno"/>
        </w:rPr>
        <w:t>820</w:t>
      </w:r>
      <w:r w:rsidR="00583E1A">
        <w:rPr>
          <w:rStyle w:val="CharSectno"/>
        </w:rPr>
        <w:noBreakHyphen/>
      </w:r>
      <w:r w:rsidRPr="00583E1A">
        <w:rPr>
          <w:rStyle w:val="CharSectno"/>
        </w:rPr>
        <w:t>585</w:t>
      </w:r>
      <w:r w:rsidRPr="00583E1A">
        <w:t xml:space="preserve">  Exemption for consolidated group headed by foreign</w:t>
      </w:r>
      <w:r w:rsidR="00583E1A">
        <w:noBreakHyphen/>
      </w:r>
      <w:r w:rsidRPr="00583E1A">
        <w:t>controlled Australian ADI or its holding company</w:t>
      </w:r>
      <w:bookmarkEnd w:id="240"/>
    </w:p>
    <w:p w:rsidR="00887330" w:rsidRPr="00583E1A" w:rsidRDefault="00887330" w:rsidP="00887330">
      <w:pPr>
        <w:pStyle w:val="subsection"/>
      </w:pPr>
      <w:r w:rsidRPr="00583E1A">
        <w:tab/>
        <w:t>(1)</w:t>
      </w:r>
      <w:r w:rsidRPr="00583E1A">
        <w:tab/>
        <w:t xml:space="preserve">This Division does not disallow any of a </w:t>
      </w:r>
      <w:r w:rsidR="00583E1A" w:rsidRPr="00583E1A">
        <w:rPr>
          <w:position w:val="6"/>
          <w:sz w:val="16"/>
        </w:rPr>
        <w:t>*</w:t>
      </w:r>
      <w:r w:rsidRPr="00583E1A">
        <w:t>debt deduction for an income year if:</w:t>
      </w:r>
    </w:p>
    <w:p w:rsidR="00887330" w:rsidRPr="00583E1A" w:rsidRDefault="00887330" w:rsidP="00887330">
      <w:pPr>
        <w:pStyle w:val="paragraph"/>
      </w:pPr>
      <w:r w:rsidRPr="00583E1A">
        <w:tab/>
        <w:t>(a)</w:t>
      </w:r>
      <w:r w:rsidRPr="00583E1A">
        <w:tab/>
        <w:t xml:space="preserve">the debt deduction is of the </w:t>
      </w:r>
      <w:r w:rsidR="00583E1A" w:rsidRPr="00583E1A">
        <w:rPr>
          <w:position w:val="6"/>
          <w:sz w:val="16"/>
        </w:rPr>
        <w:t>*</w:t>
      </w:r>
      <w:r w:rsidRPr="00583E1A">
        <w:t xml:space="preserve">head company of a </w:t>
      </w:r>
      <w:r w:rsidR="00583E1A" w:rsidRPr="00583E1A">
        <w:rPr>
          <w:position w:val="6"/>
          <w:sz w:val="16"/>
        </w:rPr>
        <w:t>*</w:t>
      </w:r>
      <w:r w:rsidRPr="00583E1A">
        <w:t xml:space="preserve">consolidated group and the head company satisfies </w:t>
      </w:r>
      <w:r w:rsidR="00583E1A">
        <w:t>subsection (</w:t>
      </w:r>
      <w:r w:rsidRPr="00583E1A">
        <w:t>2) for that income year; or</w:t>
      </w:r>
    </w:p>
    <w:p w:rsidR="00887330" w:rsidRPr="00583E1A" w:rsidRDefault="00887330" w:rsidP="00887330">
      <w:pPr>
        <w:pStyle w:val="paragraph"/>
      </w:pPr>
      <w:r w:rsidRPr="00583E1A">
        <w:tab/>
        <w:t>(b)</w:t>
      </w:r>
      <w:r w:rsidRPr="00583E1A">
        <w:tab/>
        <w:t xml:space="preserve">the debt deduction is an amount incurred by the head company of a consolidated group during a period that is part of that income year, and the head company satisfies </w:t>
      </w:r>
      <w:r w:rsidR="00583E1A">
        <w:t>subsection (</w:t>
      </w:r>
      <w:r w:rsidRPr="00583E1A">
        <w:t>2) for that period.</w:t>
      </w:r>
    </w:p>
    <w:p w:rsidR="00887330" w:rsidRPr="00583E1A" w:rsidRDefault="00887330" w:rsidP="00887330">
      <w:pPr>
        <w:pStyle w:val="subsection"/>
      </w:pPr>
      <w:r w:rsidRPr="00583E1A">
        <w:tab/>
        <w:t>(2)</w:t>
      </w:r>
      <w:r w:rsidRPr="00583E1A">
        <w:tab/>
        <w:t xml:space="preserve">The </w:t>
      </w:r>
      <w:r w:rsidR="00583E1A" w:rsidRPr="00583E1A">
        <w:rPr>
          <w:position w:val="6"/>
          <w:sz w:val="16"/>
        </w:rPr>
        <w:t>*</w:t>
      </w:r>
      <w:r w:rsidRPr="00583E1A">
        <w:t>head company satisfies this subsection for a period that is all or part of an income year if, throughout that period:</w:t>
      </w:r>
    </w:p>
    <w:p w:rsidR="00887330" w:rsidRPr="00583E1A" w:rsidRDefault="00887330" w:rsidP="00887330">
      <w:pPr>
        <w:pStyle w:val="paragraph"/>
      </w:pPr>
      <w:r w:rsidRPr="00583E1A">
        <w:tab/>
        <w:t>(a)</w:t>
      </w:r>
      <w:r w:rsidRPr="00583E1A">
        <w:tab/>
        <w:t xml:space="preserve">the head company is both a </w:t>
      </w:r>
      <w:r w:rsidR="00583E1A" w:rsidRPr="00583E1A">
        <w:rPr>
          <w:position w:val="6"/>
          <w:sz w:val="16"/>
        </w:rPr>
        <w:t>*</w:t>
      </w:r>
      <w:r w:rsidRPr="00583E1A">
        <w:t xml:space="preserve">foreign controlled Australian company and an </w:t>
      </w:r>
      <w:r w:rsidR="00583E1A" w:rsidRPr="00583E1A">
        <w:rPr>
          <w:position w:val="6"/>
          <w:sz w:val="16"/>
        </w:rPr>
        <w:t>*</w:t>
      </w:r>
      <w:r w:rsidRPr="00583E1A">
        <w:t>ADI (and would also be an ADI apart from Part</w:t>
      </w:r>
      <w:r w:rsidR="00583E1A">
        <w:t> </w:t>
      </w:r>
      <w:r w:rsidRPr="00583E1A">
        <w:t>3</w:t>
      </w:r>
      <w:r w:rsidR="00583E1A">
        <w:noBreakHyphen/>
      </w:r>
      <w:r w:rsidRPr="00583E1A">
        <w:t>90 (about consolidation of groups)); or</w:t>
      </w:r>
    </w:p>
    <w:p w:rsidR="00887330" w:rsidRPr="00583E1A" w:rsidRDefault="00887330" w:rsidP="00887330">
      <w:pPr>
        <w:pStyle w:val="paragraph"/>
      </w:pPr>
      <w:r w:rsidRPr="00583E1A">
        <w:tab/>
        <w:t>(b)</w:t>
      </w:r>
      <w:r w:rsidRPr="00583E1A">
        <w:tab/>
        <w:t>the head company:</w:t>
      </w:r>
    </w:p>
    <w:p w:rsidR="00887330" w:rsidRPr="00583E1A" w:rsidRDefault="00887330" w:rsidP="00887330">
      <w:pPr>
        <w:pStyle w:val="paragraphsub"/>
      </w:pPr>
      <w:r w:rsidRPr="00583E1A">
        <w:tab/>
        <w:t>(i)</w:t>
      </w:r>
      <w:r w:rsidRPr="00583E1A">
        <w:tab/>
        <w:t xml:space="preserve">is a </w:t>
      </w:r>
      <w:r w:rsidR="00583E1A" w:rsidRPr="00583E1A">
        <w:rPr>
          <w:position w:val="6"/>
          <w:sz w:val="16"/>
        </w:rPr>
        <w:t>*</w:t>
      </w:r>
      <w:r w:rsidRPr="00583E1A">
        <w:t>foreign controlled Australian company; and</w:t>
      </w:r>
    </w:p>
    <w:p w:rsidR="00887330" w:rsidRPr="00583E1A" w:rsidRDefault="00887330" w:rsidP="00887330">
      <w:pPr>
        <w:pStyle w:val="paragraphsub"/>
      </w:pPr>
      <w:r w:rsidRPr="00583E1A">
        <w:tab/>
        <w:t>(ii)</w:t>
      </w:r>
      <w:r w:rsidRPr="00583E1A">
        <w:tab/>
        <w:t xml:space="preserve">beneficially owns all the </w:t>
      </w:r>
      <w:r w:rsidR="00583E1A" w:rsidRPr="00583E1A">
        <w:rPr>
          <w:position w:val="6"/>
          <w:sz w:val="16"/>
        </w:rPr>
        <w:t>*</w:t>
      </w:r>
      <w:r w:rsidRPr="00583E1A">
        <w:t xml:space="preserve">membership interests in a </w:t>
      </w:r>
      <w:r w:rsidR="00583E1A" w:rsidRPr="00583E1A">
        <w:rPr>
          <w:position w:val="6"/>
          <w:sz w:val="16"/>
        </w:rPr>
        <w:t>*</w:t>
      </w:r>
      <w:r w:rsidRPr="00583E1A">
        <w:t xml:space="preserve">member of the group that is both a </w:t>
      </w:r>
      <w:r w:rsidR="00583E1A" w:rsidRPr="00583E1A">
        <w:rPr>
          <w:position w:val="6"/>
          <w:sz w:val="16"/>
        </w:rPr>
        <w:t>*</w:t>
      </w:r>
      <w:r w:rsidRPr="00583E1A">
        <w:t xml:space="preserve">foreign controlled Australian entity and an </w:t>
      </w:r>
      <w:r w:rsidR="00583E1A" w:rsidRPr="00583E1A">
        <w:rPr>
          <w:position w:val="6"/>
          <w:sz w:val="16"/>
        </w:rPr>
        <w:t>*</w:t>
      </w:r>
      <w:r w:rsidRPr="00583E1A">
        <w:t>ADI throughout that period; and</w:t>
      </w:r>
    </w:p>
    <w:p w:rsidR="00887330" w:rsidRPr="00583E1A" w:rsidRDefault="00887330" w:rsidP="00887330">
      <w:pPr>
        <w:pStyle w:val="paragraphsub"/>
      </w:pPr>
      <w:r w:rsidRPr="00583E1A">
        <w:tab/>
        <w:t>(iii)</w:t>
      </w:r>
      <w:r w:rsidRPr="00583E1A">
        <w:tab/>
        <w:t>would, apart from Part</w:t>
      </w:r>
      <w:r w:rsidR="00583E1A">
        <w:t> </w:t>
      </w:r>
      <w:r w:rsidRPr="00583E1A">
        <w:t>3</w:t>
      </w:r>
      <w:r w:rsidR="00583E1A">
        <w:noBreakHyphen/>
      </w:r>
      <w:r w:rsidRPr="00583E1A">
        <w:t xml:space="preserve">90 (about consolidation of groups), have no other assets and no </w:t>
      </w:r>
      <w:r w:rsidR="00583E1A" w:rsidRPr="00583E1A">
        <w:rPr>
          <w:position w:val="6"/>
          <w:sz w:val="16"/>
        </w:rPr>
        <w:t>*</w:t>
      </w:r>
      <w:r w:rsidRPr="00583E1A">
        <w:t>debt capital;</w:t>
      </w:r>
    </w:p>
    <w:p w:rsidR="00887330" w:rsidRPr="00583E1A" w:rsidRDefault="00887330" w:rsidP="00887330">
      <w:pPr>
        <w:pStyle w:val="subsection2"/>
      </w:pPr>
      <w:r w:rsidRPr="00583E1A">
        <w:lastRenderedPageBreak/>
        <w:t xml:space="preserve">unless at least one member of the group would, apart from that Part and this Subdivision, be an </w:t>
      </w:r>
      <w:r w:rsidR="00583E1A" w:rsidRPr="00583E1A">
        <w:rPr>
          <w:position w:val="6"/>
          <w:sz w:val="16"/>
        </w:rPr>
        <w:t>*</w:t>
      </w:r>
      <w:r w:rsidRPr="00583E1A">
        <w:t>outward investing entity (non</w:t>
      </w:r>
      <w:r w:rsidR="00583E1A">
        <w:noBreakHyphen/>
      </w:r>
      <w:r w:rsidRPr="00583E1A">
        <w:t xml:space="preserve">ADI) or </w:t>
      </w:r>
      <w:r w:rsidR="00583E1A" w:rsidRPr="00583E1A">
        <w:rPr>
          <w:position w:val="6"/>
          <w:sz w:val="16"/>
        </w:rPr>
        <w:t>*</w:t>
      </w:r>
      <w:r w:rsidRPr="00583E1A">
        <w:t>outward investing entity (ADI) for all or part of that period.</w:t>
      </w:r>
    </w:p>
    <w:p w:rsidR="001D6F05" w:rsidRPr="00583E1A" w:rsidRDefault="001D6F05" w:rsidP="001D6F05">
      <w:pPr>
        <w:pStyle w:val="subsection"/>
      </w:pPr>
      <w:r w:rsidRPr="00583E1A">
        <w:tab/>
        <w:t>(3)</w:t>
      </w:r>
      <w:r w:rsidRPr="00583E1A">
        <w:tab/>
      </w:r>
      <w:r w:rsidR="00583E1A">
        <w:t>Subsection (</w:t>
      </w:r>
      <w:r w:rsidRPr="00583E1A">
        <w:t xml:space="preserve">1) does not apply if, at each time in the period mentioned in </w:t>
      </w:r>
      <w:r w:rsidR="00583E1A">
        <w:t>subsection (</w:t>
      </w:r>
      <w:r w:rsidRPr="00583E1A">
        <w:t xml:space="preserve">2), all the </w:t>
      </w:r>
      <w:r w:rsidR="00583E1A" w:rsidRPr="00583E1A">
        <w:rPr>
          <w:position w:val="6"/>
          <w:sz w:val="16"/>
        </w:rPr>
        <w:t>*</w:t>
      </w:r>
      <w:r w:rsidRPr="00583E1A">
        <w:t xml:space="preserve">ADIs that are </w:t>
      </w:r>
      <w:r w:rsidR="00583E1A" w:rsidRPr="00583E1A">
        <w:rPr>
          <w:position w:val="6"/>
          <w:sz w:val="16"/>
        </w:rPr>
        <w:t>*</w:t>
      </w:r>
      <w:r w:rsidRPr="00583E1A">
        <w:t xml:space="preserve">members of the group then are </w:t>
      </w:r>
      <w:r w:rsidR="00583E1A" w:rsidRPr="00583E1A">
        <w:rPr>
          <w:position w:val="6"/>
          <w:sz w:val="16"/>
        </w:rPr>
        <w:t>*</w:t>
      </w:r>
      <w:r w:rsidRPr="00583E1A">
        <w:t>specialist credit card institutions.</w:t>
      </w:r>
    </w:p>
    <w:p w:rsidR="00887330" w:rsidRPr="00583E1A" w:rsidRDefault="00887330" w:rsidP="00887330">
      <w:pPr>
        <w:pStyle w:val="ActHead5"/>
      </w:pPr>
      <w:bookmarkStart w:id="241" w:name="_Toc338939315"/>
      <w:r w:rsidRPr="00583E1A">
        <w:rPr>
          <w:rStyle w:val="CharSectno"/>
        </w:rPr>
        <w:t>820</w:t>
      </w:r>
      <w:r w:rsidR="00583E1A">
        <w:rPr>
          <w:rStyle w:val="CharSectno"/>
        </w:rPr>
        <w:noBreakHyphen/>
      </w:r>
      <w:r w:rsidRPr="00583E1A">
        <w:rPr>
          <w:rStyle w:val="CharSectno"/>
        </w:rPr>
        <w:t>587</w:t>
      </w:r>
      <w:r w:rsidRPr="00583E1A">
        <w:t xml:space="preserve">  Additional application of Subdivision</w:t>
      </w:r>
      <w:r w:rsidR="00583E1A">
        <w:t> </w:t>
      </w:r>
      <w:r w:rsidRPr="00583E1A">
        <w:t>820</w:t>
      </w:r>
      <w:r w:rsidR="00583E1A">
        <w:noBreakHyphen/>
      </w:r>
      <w:r w:rsidRPr="00583E1A">
        <w:t>D to MEC group that includes foreign</w:t>
      </w:r>
      <w:r w:rsidR="00583E1A">
        <w:noBreakHyphen/>
      </w:r>
      <w:r w:rsidRPr="00583E1A">
        <w:t>controlled Australian ADI</w:t>
      </w:r>
      <w:bookmarkEnd w:id="241"/>
    </w:p>
    <w:p w:rsidR="00887330" w:rsidRPr="00583E1A" w:rsidRDefault="00887330" w:rsidP="00887330">
      <w:pPr>
        <w:pStyle w:val="subsection"/>
      </w:pPr>
      <w:r w:rsidRPr="00583E1A">
        <w:tab/>
      </w:r>
      <w:r w:rsidRPr="00583E1A">
        <w:tab/>
        <w:t>Subdivision</w:t>
      </w:r>
      <w:r w:rsidR="00583E1A">
        <w:t> </w:t>
      </w:r>
      <w:r w:rsidRPr="00583E1A">
        <w:t>820</w:t>
      </w:r>
      <w:r w:rsidR="00583E1A">
        <w:noBreakHyphen/>
      </w:r>
      <w:r w:rsidRPr="00583E1A">
        <w:t xml:space="preserve">D applies to the </w:t>
      </w:r>
      <w:r w:rsidR="00583E1A" w:rsidRPr="00583E1A">
        <w:rPr>
          <w:position w:val="6"/>
          <w:sz w:val="16"/>
        </w:rPr>
        <w:t>*</w:t>
      </w:r>
      <w:r w:rsidRPr="00583E1A">
        <w:t xml:space="preserve">head company of a </w:t>
      </w:r>
      <w:r w:rsidR="00583E1A" w:rsidRPr="00583E1A">
        <w:rPr>
          <w:position w:val="6"/>
          <w:sz w:val="16"/>
        </w:rPr>
        <w:t>*</w:t>
      </w:r>
      <w:r w:rsidRPr="00583E1A">
        <w:t xml:space="preserve">MEC group as if it were an </w:t>
      </w:r>
      <w:r w:rsidR="00583E1A" w:rsidRPr="00583E1A">
        <w:rPr>
          <w:position w:val="6"/>
          <w:sz w:val="16"/>
        </w:rPr>
        <w:t>*</w:t>
      </w:r>
      <w:r w:rsidRPr="00583E1A">
        <w:t>outward investing entity (ADI) for a period that is all or part of an income year if:</w:t>
      </w:r>
    </w:p>
    <w:p w:rsidR="00887330" w:rsidRPr="00583E1A" w:rsidRDefault="00887330" w:rsidP="00887330">
      <w:pPr>
        <w:pStyle w:val="paragraph"/>
      </w:pPr>
      <w:r w:rsidRPr="00583E1A">
        <w:tab/>
        <w:t>(a)</w:t>
      </w:r>
      <w:r w:rsidRPr="00583E1A">
        <w:tab/>
        <w:t xml:space="preserve">the head company is </w:t>
      </w:r>
      <w:r w:rsidRPr="00583E1A">
        <w:rPr>
          <w:i/>
        </w:rPr>
        <w:t>not</w:t>
      </w:r>
      <w:r w:rsidRPr="00583E1A">
        <w:t xml:space="preserve"> an outward investing entity (ADI) for that period; and</w:t>
      </w:r>
    </w:p>
    <w:p w:rsidR="00887330" w:rsidRPr="00583E1A" w:rsidRDefault="00887330" w:rsidP="00887330">
      <w:pPr>
        <w:pStyle w:val="paragraph"/>
      </w:pPr>
      <w:r w:rsidRPr="00583E1A">
        <w:tab/>
        <w:t>(b)</w:t>
      </w:r>
      <w:r w:rsidRPr="00583E1A">
        <w:tab/>
        <w:t xml:space="preserve">throughout that period, at least one </w:t>
      </w:r>
      <w:r w:rsidR="00583E1A" w:rsidRPr="00583E1A">
        <w:rPr>
          <w:position w:val="6"/>
          <w:sz w:val="16"/>
        </w:rPr>
        <w:t>*</w:t>
      </w:r>
      <w:r w:rsidRPr="00583E1A">
        <w:t xml:space="preserve">member of the group is both a </w:t>
      </w:r>
      <w:r w:rsidR="00583E1A" w:rsidRPr="00583E1A">
        <w:rPr>
          <w:position w:val="6"/>
          <w:sz w:val="16"/>
        </w:rPr>
        <w:t>*</w:t>
      </w:r>
      <w:r w:rsidRPr="00583E1A">
        <w:t xml:space="preserve">foreign controlled Australian entity and an </w:t>
      </w:r>
      <w:r w:rsidR="00583E1A" w:rsidRPr="00583E1A">
        <w:rPr>
          <w:position w:val="6"/>
          <w:sz w:val="16"/>
        </w:rPr>
        <w:t>*</w:t>
      </w:r>
      <w:r w:rsidRPr="00583E1A">
        <w:t>ADI; and</w:t>
      </w:r>
    </w:p>
    <w:p w:rsidR="00887330" w:rsidRPr="00583E1A" w:rsidRDefault="00887330" w:rsidP="00887330">
      <w:pPr>
        <w:pStyle w:val="paragraph"/>
      </w:pPr>
      <w:r w:rsidRPr="00583E1A">
        <w:tab/>
        <w:t>(c)</w:t>
      </w:r>
      <w:r w:rsidRPr="00583E1A">
        <w:tab/>
        <w:t xml:space="preserve">throughout that period, there is at least one </w:t>
      </w:r>
      <w:r w:rsidR="00583E1A" w:rsidRPr="00583E1A">
        <w:rPr>
          <w:position w:val="6"/>
          <w:sz w:val="16"/>
        </w:rPr>
        <w:t>*</w:t>
      </w:r>
      <w:r w:rsidRPr="00583E1A">
        <w:t>eligible tier</w:t>
      </w:r>
      <w:r w:rsidR="00583E1A">
        <w:noBreakHyphen/>
      </w:r>
      <w:r w:rsidRPr="00583E1A">
        <w:t xml:space="preserve">1 company of the </w:t>
      </w:r>
      <w:r w:rsidR="00583E1A" w:rsidRPr="00583E1A">
        <w:rPr>
          <w:position w:val="6"/>
          <w:sz w:val="16"/>
        </w:rPr>
        <w:t>*</w:t>
      </w:r>
      <w:r w:rsidRPr="00583E1A">
        <w:t>top company for the group that:</w:t>
      </w:r>
    </w:p>
    <w:p w:rsidR="00887330" w:rsidRPr="00583E1A" w:rsidRDefault="00887330" w:rsidP="00887330">
      <w:pPr>
        <w:pStyle w:val="paragraphsub"/>
      </w:pPr>
      <w:r w:rsidRPr="00583E1A">
        <w:tab/>
        <w:t>(i)</w:t>
      </w:r>
      <w:r w:rsidRPr="00583E1A">
        <w:tab/>
        <w:t>is a member of the group; and</w:t>
      </w:r>
    </w:p>
    <w:p w:rsidR="00887330" w:rsidRPr="00583E1A" w:rsidRDefault="00887330" w:rsidP="00887330">
      <w:pPr>
        <w:pStyle w:val="paragraphsub"/>
      </w:pPr>
      <w:r w:rsidRPr="00583E1A">
        <w:tab/>
        <w:t>(ii)</w:t>
      </w:r>
      <w:r w:rsidRPr="00583E1A">
        <w:tab/>
        <w:t xml:space="preserve">is </w:t>
      </w:r>
      <w:r w:rsidRPr="00583E1A">
        <w:rPr>
          <w:i/>
        </w:rPr>
        <w:t>not</w:t>
      </w:r>
      <w:r w:rsidRPr="00583E1A">
        <w:t xml:space="preserve"> an ADI; and</w:t>
      </w:r>
    </w:p>
    <w:p w:rsidR="00887330" w:rsidRPr="00583E1A" w:rsidRDefault="00887330" w:rsidP="00887330">
      <w:pPr>
        <w:pStyle w:val="paragraphsub"/>
      </w:pPr>
      <w:r w:rsidRPr="00583E1A">
        <w:tab/>
        <w:t>(iii)</w:t>
      </w:r>
      <w:r w:rsidRPr="00583E1A">
        <w:tab/>
        <w:t xml:space="preserve">has no </w:t>
      </w:r>
      <w:r w:rsidR="00583E1A" w:rsidRPr="00583E1A">
        <w:rPr>
          <w:position w:val="6"/>
          <w:sz w:val="16"/>
        </w:rPr>
        <w:t>*</w:t>
      </w:r>
      <w:r w:rsidRPr="00583E1A">
        <w:t>wholly</w:t>
      </w:r>
      <w:r w:rsidR="00583E1A">
        <w:noBreakHyphen/>
      </w:r>
      <w:r w:rsidRPr="00583E1A">
        <w:t>owned subsidiary that is an ADI.</w:t>
      </w:r>
    </w:p>
    <w:p w:rsidR="00717CBC" w:rsidRPr="00583E1A" w:rsidRDefault="00717CBC" w:rsidP="00717CBC">
      <w:pPr>
        <w:pStyle w:val="ActHead5"/>
      </w:pPr>
      <w:bookmarkStart w:id="242" w:name="_Toc338939316"/>
      <w:r w:rsidRPr="00583E1A">
        <w:rPr>
          <w:rStyle w:val="CharSectno"/>
        </w:rPr>
        <w:t>820</w:t>
      </w:r>
      <w:r w:rsidR="00583E1A">
        <w:rPr>
          <w:rStyle w:val="CharSectno"/>
        </w:rPr>
        <w:noBreakHyphen/>
      </w:r>
      <w:r w:rsidRPr="00583E1A">
        <w:rPr>
          <w:rStyle w:val="CharSectno"/>
        </w:rPr>
        <w:t>588</w:t>
      </w:r>
      <w:r w:rsidRPr="00583E1A">
        <w:t xml:space="preserve">  Choice to treat specialist credit card institutions as being financial entities and not ADIs</w:t>
      </w:r>
      <w:bookmarkEnd w:id="242"/>
    </w:p>
    <w:p w:rsidR="00717CBC" w:rsidRPr="00583E1A" w:rsidRDefault="00717CBC" w:rsidP="00717CBC">
      <w:pPr>
        <w:pStyle w:val="subsection"/>
      </w:pPr>
      <w:r w:rsidRPr="00583E1A">
        <w:tab/>
        <w:t>(1)</w:t>
      </w:r>
      <w:r w:rsidRPr="00583E1A">
        <w:tab/>
        <w:t xml:space="preserve">If the conditions in </w:t>
      </w:r>
      <w:r w:rsidR="00583E1A">
        <w:t>subsection (</w:t>
      </w:r>
      <w:r w:rsidRPr="00583E1A">
        <w:t xml:space="preserve">2) are met in relation to a </w:t>
      </w:r>
      <w:r w:rsidR="00583E1A" w:rsidRPr="00583E1A">
        <w:rPr>
          <w:position w:val="6"/>
          <w:sz w:val="16"/>
        </w:rPr>
        <w:t>*</w:t>
      </w:r>
      <w:r w:rsidRPr="00583E1A">
        <w:t xml:space="preserve">consolidated group or </w:t>
      </w:r>
      <w:r w:rsidR="00583E1A" w:rsidRPr="00583E1A">
        <w:rPr>
          <w:position w:val="6"/>
          <w:sz w:val="16"/>
        </w:rPr>
        <w:t>*</w:t>
      </w:r>
      <w:r w:rsidRPr="00583E1A">
        <w:t>MEC group and a period that is all or part of an income year, this Division (except this section) has effect as if:</w:t>
      </w:r>
    </w:p>
    <w:p w:rsidR="00717CBC" w:rsidRPr="00583E1A" w:rsidRDefault="00717CBC" w:rsidP="00717CBC">
      <w:pPr>
        <w:pStyle w:val="paragraph"/>
      </w:pPr>
      <w:r w:rsidRPr="00583E1A">
        <w:tab/>
        <w:t>(a)</w:t>
      </w:r>
      <w:r w:rsidRPr="00583E1A">
        <w:tab/>
        <w:t xml:space="preserve">none of the </w:t>
      </w:r>
      <w:r w:rsidR="00583E1A" w:rsidRPr="00583E1A">
        <w:rPr>
          <w:position w:val="6"/>
          <w:sz w:val="16"/>
        </w:rPr>
        <w:t>*</w:t>
      </w:r>
      <w:r w:rsidRPr="00583E1A">
        <w:t xml:space="preserve">members of the group were an </w:t>
      </w:r>
      <w:r w:rsidR="00583E1A" w:rsidRPr="00583E1A">
        <w:rPr>
          <w:position w:val="6"/>
          <w:sz w:val="16"/>
        </w:rPr>
        <w:t>*</w:t>
      </w:r>
      <w:r w:rsidRPr="00583E1A">
        <w:t>ADI at any time in the period; and</w:t>
      </w:r>
    </w:p>
    <w:p w:rsidR="00717CBC" w:rsidRPr="00583E1A" w:rsidRDefault="00717CBC" w:rsidP="00717CBC">
      <w:pPr>
        <w:pStyle w:val="paragraph"/>
      </w:pPr>
      <w:r w:rsidRPr="00583E1A">
        <w:tab/>
        <w:t>(b)</w:t>
      </w:r>
      <w:r w:rsidRPr="00583E1A">
        <w:tab/>
        <w:t xml:space="preserve">each member of the group that is an ADI (ignoring </w:t>
      </w:r>
      <w:r w:rsidR="00583E1A">
        <w:t>paragraph (</w:t>
      </w:r>
      <w:r w:rsidRPr="00583E1A">
        <w:t>a)) at any time in the period were a financial entity at that time.</w:t>
      </w:r>
    </w:p>
    <w:p w:rsidR="00717CBC" w:rsidRPr="00583E1A" w:rsidRDefault="00717CBC" w:rsidP="00717CBC">
      <w:pPr>
        <w:pStyle w:val="notetext"/>
      </w:pPr>
      <w:r w:rsidRPr="00583E1A">
        <w:t>Note 1:</w:t>
      </w:r>
      <w:r w:rsidRPr="00583E1A">
        <w:tab/>
        <w:t>One result of this Division having effect in that way is that Subdivision</w:t>
      </w:r>
      <w:r w:rsidR="00583E1A">
        <w:t> </w:t>
      </w:r>
      <w:r w:rsidRPr="00583E1A">
        <w:t>820</w:t>
      </w:r>
      <w:r w:rsidR="00583E1A">
        <w:noBreakHyphen/>
      </w:r>
      <w:r w:rsidRPr="00583E1A">
        <w:t>D (and related provisions, such as section</w:t>
      </w:r>
      <w:r w:rsidR="00583E1A">
        <w:t> </w:t>
      </w:r>
      <w:r w:rsidRPr="00583E1A">
        <w:t>820</w:t>
      </w:r>
      <w:r w:rsidR="00583E1A">
        <w:noBreakHyphen/>
      </w:r>
      <w:r w:rsidRPr="00583E1A">
        <w:t>589) will not apply in relation to the head company, because:</w:t>
      </w:r>
    </w:p>
    <w:p w:rsidR="00717CBC" w:rsidRPr="00583E1A" w:rsidRDefault="00717CBC" w:rsidP="008F1666">
      <w:pPr>
        <w:pStyle w:val="notepara"/>
        <w:spacing w:before="40"/>
        <w:ind w:left="2354" w:hanging="369"/>
      </w:pPr>
      <w:r w:rsidRPr="00583E1A">
        <w:lastRenderedPageBreak/>
        <w:t>(a)</w:t>
      </w:r>
      <w:r w:rsidRPr="00583E1A">
        <w:tab/>
        <w:t>the head company of the group will not be classified under section</w:t>
      </w:r>
      <w:r w:rsidR="00583E1A">
        <w:t> </w:t>
      </w:r>
      <w:r w:rsidRPr="00583E1A">
        <w:t>820</w:t>
      </w:r>
      <w:r w:rsidR="00583E1A">
        <w:noBreakHyphen/>
      </w:r>
      <w:r w:rsidRPr="00583E1A">
        <w:t>583 as an outward investing entity (ADI); and</w:t>
      </w:r>
    </w:p>
    <w:p w:rsidR="00717CBC" w:rsidRPr="00583E1A" w:rsidRDefault="00717CBC" w:rsidP="008F1666">
      <w:pPr>
        <w:pStyle w:val="notepara"/>
        <w:spacing w:before="40"/>
        <w:ind w:left="2354" w:hanging="369"/>
      </w:pPr>
      <w:r w:rsidRPr="00583E1A">
        <w:t>(b)</w:t>
      </w:r>
      <w:r w:rsidRPr="00583E1A">
        <w:tab/>
        <w:t>section</w:t>
      </w:r>
      <w:r w:rsidR="00583E1A">
        <w:t> </w:t>
      </w:r>
      <w:r w:rsidRPr="00583E1A">
        <w:t>820</w:t>
      </w:r>
      <w:r w:rsidR="00583E1A">
        <w:noBreakHyphen/>
      </w:r>
      <w:r w:rsidRPr="00583E1A">
        <w:t>587 will not apply that Subdivision.</w:t>
      </w:r>
    </w:p>
    <w:p w:rsidR="00717CBC" w:rsidRPr="00583E1A" w:rsidRDefault="00717CBC" w:rsidP="00717CBC">
      <w:pPr>
        <w:pStyle w:val="notetext"/>
      </w:pPr>
      <w:r w:rsidRPr="00583E1A">
        <w:t>Note 2:</w:t>
      </w:r>
      <w:r w:rsidRPr="00583E1A">
        <w:tab/>
        <w:t>Another result of this Division having effect in that way is that Subdivision</w:t>
      </w:r>
      <w:r w:rsidR="00583E1A">
        <w:t> </w:t>
      </w:r>
      <w:r w:rsidRPr="00583E1A">
        <w:t>820</w:t>
      </w:r>
      <w:r w:rsidR="00583E1A">
        <w:noBreakHyphen/>
      </w:r>
      <w:r w:rsidRPr="00583E1A">
        <w:t>B or 820</w:t>
      </w:r>
      <w:r w:rsidR="00583E1A">
        <w:noBreakHyphen/>
      </w:r>
      <w:r w:rsidRPr="00583E1A">
        <w:t>C may apply in relation to the head company, because it may be classified under section</w:t>
      </w:r>
      <w:r w:rsidR="00583E1A">
        <w:t> </w:t>
      </w:r>
      <w:r w:rsidRPr="00583E1A">
        <w:t>820</w:t>
      </w:r>
      <w:r w:rsidR="00583E1A">
        <w:noBreakHyphen/>
      </w:r>
      <w:r w:rsidRPr="00583E1A">
        <w:t>583 as either:</w:t>
      </w:r>
    </w:p>
    <w:p w:rsidR="00717CBC" w:rsidRPr="00583E1A" w:rsidRDefault="00717CBC" w:rsidP="008F1666">
      <w:pPr>
        <w:pStyle w:val="notepara"/>
        <w:spacing w:before="40"/>
        <w:ind w:left="2354" w:hanging="369"/>
      </w:pPr>
      <w:r w:rsidRPr="00583E1A">
        <w:t>(a)</w:t>
      </w:r>
      <w:r w:rsidRPr="00583E1A">
        <w:tab/>
        <w:t>an outward investing entity (non</w:t>
      </w:r>
      <w:r w:rsidR="00583E1A">
        <w:noBreakHyphen/>
      </w:r>
      <w:r w:rsidRPr="00583E1A">
        <w:t>ADI) and an outward investor (financial); or</w:t>
      </w:r>
    </w:p>
    <w:p w:rsidR="00717CBC" w:rsidRPr="00583E1A" w:rsidRDefault="00717CBC" w:rsidP="008F1666">
      <w:pPr>
        <w:pStyle w:val="notepara"/>
        <w:spacing w:before="40"/>
        <w:ind w:left="2354" w:hanging="369"/>
      </w:pPr>
      <w:r w:rsidRPr="00583E1A">
        <w:t>(b)</w:t>
      </w:r>
      <w:r w:rsidRPr="00583E1A">
        <w:tab/>
        <w:t>an inward investing entity (non</w:t>
      </w:r>
      <w:r w:rsidR="00583E1A">
        <w:noBreakHyphen/>
      </w:r>
      <w:r w:rsidRPr="00583E1A">
        <w:t>ADI) and an inward investment vehicle (financial).</w:t>
      </w:r>
    </w:p>
    <w:p w:rsidR="00717CBC" w:rsidRPr="00583E1A" w:rsidRDefault="00717CBC" w:rsidP="00717CBC">
      <w:pPr>
        <w:pStyle w:val="subsection"/>
      </w:pPr>
      <w:r w:rsidRPr="00583E1A">
        <w:tab/>
        <w:t>(2)</w:t>
      </w:r>
      <w:r w:rsidRPr="00583E1A">
        <w:tab/>
        <w:t>The conditions are that:</w:t>
      </w:r>
    </w:p>
    <w:p w:rsidR="00717CBC" w:rsidRPr="00583E1A" w:rsidRDefault="00717CBC" w:rsidP="00717CBC">
      <w:pPr>
        <w:pStyle w:val="paragraph"/>
      </w:pPr>
      <w:r w:rsidRPr="00583E1A">
        <w:tab/>
        <w:t>(a)</w:t>
      </w:r>
      <w:r w:rsidRPr="00583E1A">
        <w:tab/>
        <w:t xml:space="preserve">at all times in the period at least one </w:t>
      </w:r>
      <w:r w:rsidR="00583E1A" w:rsidRPr="00583E1A">
        <w:rPr>
          <w:position w:val="6"/>
          <w:sz w:val="16"/>
        </w:rPr>
        <w:t>*</w:t>
      </w:r>
      <w:r w:rsidRPr="00583E1A">
        <w:t xml:space="preserve">member of the </w:t>
      </w:r>
      <w:r w:rsidR="00583E1A" w:rsidRPr="00583E1A">
        <w:rPr>
          <w:position w:val="6"/>
          <w:sz w:val="16"/>
        </w:rPr>
        <w:t>*</w:t>
      </w:r>
      <w:r w:rsidRPr="00583E1A">
        <w:t xml:space="preserve">consolidated group or </w:t>
      </w:r>
      <w:r w:rsidR="00583E1A" w:rsidRPr="00583E1A">
        <w:rPr>
          <w:position w:val="6"/>
          <w:sz w:val="16"/>
        </w:rPr>
        <w:t>*</w:t>
      </w:r>
      <w:r w:rsidRPr="00583E1A">
        <w:t xml:space="preserve">MEC group is an </w:t>
      </w:r>
      <w:r w:rsidR="00583E1A" w:rsidRPr="00583E1A">
        <w:rPr>
          <w:position w:val="6"/>
          <w:sz w:val="16"/>
        </w:rPr>
        <w:t>*</w:t>
      </w:r>
      <w:r w:rsidRPr="00583E1A">
        <w:t>ADI; and</w:t>
      </w:r>
    </w:p>
    <w:p w:rsidR="00717CBC" w:rsidRPr="00583E1A" w:rsidRDefault="00717CBC" w:rsidP="00717CBC">
      <w:pPr>
        <w:pStyle w:val="paragraph"/>
      </w:pPr>
      <w:r w:rsidRPr="00583E1A">
        <w:tab/>
        <w:t>(b)</w:t>
      </w:r>
      <w:r w:rsidRPr="00583E1A">
        <w:tab/>
        <w:t xml:space="preserve">each ADI that is a member of the group at any time in the period is a </w:t>
      </w:r>
      <w:r w:rsidR="00583E1A" w:rsidRPr="00583E1A">
        <w:rPr>
          <w:position w:val="6"/>
          <w:sz w:val="16"/>
        </w:rPr>
        <w:t>*</w:t>
      </w:r>
      <w:r w:rsidRPr="00583E1A">
        <w:t>specialist credit card institution at that time; and</w:t>
      </w:r>
    </w:p>
    <w:p w:rsidR="00717CBC" w:rsidRPr="00583E1A" w:rsidRDefault="00717CBC" w:rsidP="00717CBC">
      <w:pPr>
        <w:pStyle w:val="paragraph"/>
      </w:pPr>
      <w:r w:rsidRPr="00583E1A">
        <w:tab/>
        <w:t>(c)</w:t>
      </w:r>
      <w:r w:rsidRPr="00583E1A">
        <w:tab/>
        <w:t xml:space="preserve">the </w:t>
      </w:r>
      <w:r w:rsidR="00583E1A" w:rsidRPr="00583E1A">
        <w:rPr>
          <w:position w:val="6"/>
          <w:sz w:val="16"/>
        </w:rPr>
        <w:t>*</w:t>
      </w:r>
      <w:r w:rsidRPr="00583E1A">
        <w:t xml:space="preserve">head company of the group for the period chooses, before lodging its </w:t>
      </w:r>
      <w:r w:rsidR="00583E1A" w:rsidRPr="00583E1A">
        <w:rPr>
          <w:position w:val="6"/>
          <w:sz w:val="16"/>
        </w:rPr>
        <w:t>*</w:t>
      </w:r>
      <w:r w:rsidRPr="00583E1A">
        <w:t xml:space="preserve">income tax return for the income year, that this Division should have effect in that way in relation to the group and every period for which the conditions in </w:t>
      </w:r>
      <w:r w:rsidR="00583E1A">
        <w:t>paragraphs (</w:t>
      </w:r>
      <w:r w:rsidRPr="00583E1A">
        <w:t>a) and (b) are met in the income year.</w:t>
      </w:r>
    </w:p>
    <w:p w:rsidR="00717CBC" w:rsidRPr="00583E1A" w:rsidRDefault="00717CBC" w:rsidP="00717CBC">
      <w:pPr>
        <w:pStyle w:val="subsection"/>
      </w:pPr>
      <w:r w:rsidRPr="00583E1A">
        <w:tab/>
        <w:t>(3)</w:t>
      </w:r>
      <w:r w:rsidRPr="00583E1A">
        <w:tab/>
        <w:t xml:space="preserve">An </w:t>
      </w:r>
      <w:r w:rsidR="00583E1A" w:rsidRPr="00583E1A">
        <w:rPr>
          <w:position w:val="6"/>
          <w:sz w:val="16"/>
        </w:rPr>
        <w:t>*</w:t>
      </w:r>
      <w:r w:rsidRPr="00583E1A">
        <w:t xml:space="preserve">ADI is a </w:t>
      </w:r>
      <w:r w:rsidRPr="00583E1A">
        <w:rPr>
          <w:b/>
          <w:i/>
        </w:rPr>
        <w:t>specialist credit card institution</w:t>
      </w:r>
      <w:r w:rsidRPr="00583E1A">
        <w:t xml:space="preserve"> at a time if, at that time, the ADI’s authority under section</w:t>
      </w:r>
      <w:r w:rsidR="00583E1A">
        <w:t> </w:t>
      </w:r>
      <w:r w:rsidRPr="00583E1A">
        <w:t xml:space="preserve">9 of the </w:t>
      </w:r>
      <w:r w:rsidRPr="00583E1A">
        <w:rPr>
          <w:i/>
        </w:rPr>
        <w:t>Banking Act 1959</w:t>
      </w:r>
      <w:r w:rsidRPr="00583E1A">
        <w:t xml:space="preserve"> to carry on banking business (as defined in that Act) authorises the ADI to carry on only banking business that:</w:t>
      </w:r>
    </w:p>
    <w:p w:rsidR="00717CBC" w:rsidRPr="00583E1A" w:rsidRDefault="00717CBC" w:rsidP="00717CBC">
      <w:pPr>
        <w:pStyle w:val="paragraph"/>
      </w:pPr>
      <w:r w:rsidRPr="00583E1A">
        <w:tab/>
        <w:t>(a)</w:t>
      </w:r>
      <w:r w:rsidRPr="00583E1A">
        <w:tab/>
        <w:t xml:space="preserve">is participation in a payment system (as defined in the </w:t>
      </w:r>
      <w:r w:rsidRPr="00583E1A">
        <w:rPr>
          <w:i/>
        </w:rPr>
        <w:t>Payment Systems (Regulation) Act 1998</w:t>
      </w:r>
      <w:r w:rsidRPr="00583E1A">
        <w:t>) that is a credit card scheme and is designated under section</w:t>
      </w:r>
      <w:r w:rsidR="00583E1A">
        <w:t> </w:t>
      </w:r>
      <w:r w:rsidRPr="00583E1A">
        <w:t>11 of that Act; and</w:t>
      </w:r>
    </w:p>
    <w:p w:rsidR="00717CBC" w:rsidRPr="00583E1A" w:rsidRDefault="00717CBC" w:rsidP="00717CBC">
      <w:pPr>
        <w:pStyle w:val="paragraph"/>
      </w:pPr>
      <w:r w:rsidRPr="00583E1A">
        <w:tab/>
        <w:t>(b)</w:t>
      </w:r>
      <w:r w:rsidRPr="00583E1A">
        <w:tab/>
        <w:t>is either or both of the following:</w:t>
      </w:r>
    </w:p>
    <w:p w:rsidR="00717CBC" w:rsidRPr="00583E1A" w:rsidRDefault="00717CBC" w:rsidP="00717CBC">
      <w:pPr>
        <w:pStyle w:val="paragraphsub"/>
      </w:pPr>
      <w:r w:rsidRPr="00583E1A">
        <w:tab/>
        <w:t>(i)</w:t>
      </w:r>
      <w:r w:rsidRPr="00583E1A">
        <w:tab/>
        <w:t xml:space="preserve">credit card acquiring (as defined in regulations made for the purposes of the </w:t>
      </w:r>
      <w:r w:rsidRPr="00583E1A">
        <w:rPr>
          <w:i/>
        </w:rPr>
        <w:t>Banking Act 1959</w:t>
      </w:r>
      <w:r w:rsidRPr="00583E1A">
        <w:t>);</w:t>
      </w:r>
    </w:p>
    <w:p w:rsidR="00717CBC" w:rsidRPr="00583E1A" w:rsidRDefault="00717CBC" w:rsidP="00717CBC">
      <w:pPr>
        <w:pStyle w:val="paragraphsub"/>
      </w:pPr>
      <w:r w:rsidRPr="00583E1A">
        <w:tab/>
        <w:t>(ii)</w:t>
      </w:r>
      <w:r w:rsidRPr="00583E1A">
        <w:tab/>
        <w:t>credit card issuing (as defined in those regulations).</w:t>
      </w:r>
    </w:p>
    <w:p w:rsidR="00717CBC" w:rsidRPr="00583E1A" w:rsidRDefault="00717CBC" w:rsidP="00717CBC">
      <w:pPr>
        <w:pStyle w:val="subsection"/>
      </w:pPr>
      <w:r w:rsidRPr="00583E1A">
        <w:tab/>
        <w:t>(4)</w:t>
      </w:r>
      <w:r w:rsidRPr="00583E1A">
        <w:tab/>
        <w:t xml:space="preserve">To avoid doubt, a choice for the purposes of </w:t>
      </w:r>
      <w:r w:rsidR="00583E1A">
        <w:t>paragraph (</w:t>
      </w:r>
      <w:r w:rsidRPr="00583E1A">
        <w:t>2)(c) cannot be revoked.</w:t>
      </w:r>
    </w:p>
    <w:p w:rsidR="00887330" w:rsidRPr="00583E1A" w:rsidRDefault="00887330" w:rsidP="00887330">
      <w:pPr>
        <w:pStyle w:val="ActHead5"/>
      </w:pPr>
      <w:bookmarkStart w:id="243" w:name="_Toc338939317"/>
      <w:r w:rsidRPr="00583E1A">
        <w:rPr>
          <w:rStyle w:val="CharSectno"/>
        </w:rPr>
        <w:lastRenderedPageBreak/>
        <w:t>820</w:t>
      </w:r>
      <w:r w:rsidR="00583E1A">
        <w:rPr>
          <w:rStyle w:val="CharSectno"/>
        </w:rPr>
        <w:noBreakHyphen/>
      </w:r>
      <w:r w:rsidRPr="00583E1A">
        <w:rPr>
          <w:rStyle w:val="CharSectno"/>
        </w:rPr>
        <w:t>589</w:t>
      </w:r>
      <w:r w:rsidRPr="00583E1A">
        <w:t xml:space="preserve">  How Subdivision</w:t>
      </w:r>
      <w:r w:rsidR="00583E1A">
        <w:t> </w:t>
      </w:r>
      <w:r w:rsidRPr="00583E1A">
        <w:t>820</w:t>
      </w:r>
      <w:r w:rsidR="00583E1A">
        <w:noBreakHyphen/>
      </w:r>
      <w:r w:rsidRPr="00583E1A">
        <w:t>D applies to a MEC group</w:t>
      </w:r>
      <w:bookmarkEnd w:id="243"/>
    </w:p>
    <w:p w:rsidR="00887330" w:rsidRPr="00583E1A" w:rsidRDefault="00887330" w:rsidP="00887330">
      <w:pPr>
        <w:pStyle w:val="subsection"/>
      </w:pPr>
      <w:r w:rsidRPr="00583E1A">
        <w:tab/>
        <w:t>(</w:t>
      </w:r>
      <w:r w:rsidRPr="00583E1A">
        <w:rPr>
          <w:noProof/>
        </w:rPr>
        <w:t>1</w:t>
      </w:r>
      <w:r w:rsidRPr="00583E1A">
        <w:t>)</w:t>
      </w:r>
      <w:r w:rsidRPr="00583E1A">
        <w:tab/>
        <w:t xml:space="preserve">This section has effect for the purposes of working out the </w:t>
      </w:r>
      <w:r w:rsidR="00583E1A" w:rsidRPr="00583E1A">
        <w:rPr>
          <w:position w:val="6"/>
          <w:sz w:val="16"/>
        </w:rPr>
        <w:t>*</w:t>
      </w:r>
      <w:r w:rsidRPr="00583E1A">
        <w:t xml:space="preserve">adjusted average equity capital of the </w:t>
      </w:r>
      <w:r w:rsidR="00583E1A" w:rsidRPr="00583E1A">
        <w:rPr>
          <w:position w:val="6"/>
          <w:sz w:val="16"/>
        </w:rPr>
        <w:t>*</w:t>
      </w:r>
      <w:r w:rsidRPr="00583E1A">
        <w:t xml:space="preserve">head company of a </w:t>
      </w:r>
      <w:r w:rsidR="00583E1A" w:rsidRPr="00583E1A">
        <w:rPr>
          <w:position w:val="6"/>
          <w:sz w:val="16"/>
        </w:rPr>
        <w:t>*</w:t>
      </w:r>
      <w:r w:rsidRPr="00583E1A">
        <w:t xml:space="preserve">MEC group for a period (the </w:t>
      </w:r>
      <w:r w:rsidRPr="00583E1A">
        <w:rPr>
          <w:b/>
          <w:i/>
        </w:rPr>
        <w:t>test period</w:t>
      </w:r>
      <w:r w:rsidRPr="00583E1A">
        <w:t>) that is all or part of an income year if Subdivision</w:t>
      </w:r>
      <w:r w:rsidR="00583E1A">
        <w:t> </w:t>
      </w:r>
      <w:r w:rsidRPr="00583E1A">
        <w:t>820</w:t>
      </w:r>
      <w:r w:rsidR="00583E1A">
        <w:noBreakHyphen/>
      </w:r>
      <w:r w:rsidRPr="00583E1A">
        <w:t>D applies to the head company in relation to that period.</w:t>
      </w:r>
    </w:p>
    <w:p w:rsidR="00887330" w:rsidRPr="00583E1A" w:rsidRDefault="00887330" w:rsidP="00887330">
      <w:pPr>
        <w:pStyle w:val="notetext"/>
      </w:pPr>
      <w:r w:rsidRPr="00583E1A">
        <w:t>Note:</w:t>
      </w:r>
      <w:r w:rsidRPr="00583E1A">
        <w:tab/>
        <w:t>Section</w:t>
      </w:r>
      <w:r w:rsidR="00583E1A">
        <w:t> </w:t>
      </w:r>
      <w:r w:rsidRPr="00583E1A">
        <w:t>820</w:t>
      </w:r>
      <w:r w:rsidR="00583E1A">
        <w:noBreakHyphen/>
      </w:r>
      <w:r w:rsidRPr="00583E1A">
        <w:t>587 extends the application of Subdivision</w:t>
      </w:r>
      <w:r w:rsidR="00583E1A">
        <w:t> </w:t>
      </w:r>
      <w:r w:rsidRPr="00583E1A">
        <w:t>820</w:t>
      </w:r>
      <w:r w:rsidR="00583E1A">
        <w:noBreakHyphen/>
      </w:r>
      <w:r w:rsidRPr="00583E1A">
        <w:t>D.</w:t>
      </w:r>
    </w:p>
    <w:p w:rsidR="00887330" w:rsidRPr="00583E1A" w:rsidRDefault="00887330" w:rsidP="00887330">
      <w:pPr>
        <w:pStyle w:val="subsection"/>
      </w:pPr>
      <w:r w:rsidRPr="00583E1A">
        <w:tab/>
        <w:t>(</w:t>
      </w:r>
      <w:r w:rsidRPr="00583E1A">
        <w:rPr>
          <w:noProof/>
        </w:rPr>
        <w:t>2</w:t>
      </w:r>
      <w:r w:rsidRPr="00583E1A">
        <w:t>)</w:t>
      </w:r>
      <w:r w:rsidRPr="00583E1A">
        <w:tab/>
        <w:t xml:space="preserve">The </w:t>
      </w:r>
      <w:r w:rsidR="00583E1A" w:rsidRPr="00583E1A">
        <w:rPr>
          <w:position w:val="6"/>
          <w:sz w:val="16"/>
        </w:rPr>
        <w:t>*</w:t>
      </w:r>
      <w:r w:rsidRPr="00583E1A">
        <w:t xml:space="preserve">head company’s </w:t>
      </w:r>
      <w:r w:rsidR="00583E1A" w:rsidRPr="00583E1A">
        <w:rPr>
          <w:position w:val="6"/>
          <w:sz w:val="16"/>
        </w:rPr>
        <w:t>*</w:t>
      </w:r>
      <w:r w:rsidRPr="00583E1A">
        <w:t>ADI equity capital at a particular time during the test period is to be worked out:</w:t>
      </w:r>
    </w:p>
    <w:p w:rsidR="00887330" w:rsidRPr="00583E1A" w:rsidRDefault="00887330" w:rsidP="00887330">
      <w:pPr>
        <w:pStyle w:val="paragraph"/>
      </w:pPr>
      <w:r w:rsidRPr="00583E1A">
        <w:tab/>
        <w:t>(</w:t>
      </w:r>
      <w:r w:rsidRPr="00583E1A">
        <w:rPr>
          <w:noProof/>
        </w:rPr>
        <w:t>a</w:t>
      </w:r>
      <w:r w:rsidRPr="00583E1A">
        <w:t>)</w:t>
      </w:r>
      <w:r w:rsidRPr="00583E1A">
        <w:tab/>
        <w:t xml:space="preserve">taking into account an </w:t>
      </w:r>
      <w:r w:rsidR="00583E1A" w:rsidRPr="00583E1A">
        <w:rPr>
          <w:position w:val="6"/>
          <w:sz w:val="16"/>
        </w:rPr>
        <w:t>*</w:t>
      </w:r>
      <w:r w:rsidRPr="00583E1A">
        <w:t xml:space="preserve">equity interest or </w:t>
      </w:r>
      <w:r w:rsidR="00583E1A" w:rsidRPr="00583E1A">
        <w:rPr>
          <w:position w:val="6"/>
          <w:sz w:val="16"/>
        </w:rPr>
        <w:t>*</w:t>
      </w:r>
      <w:r w:rsidRPr="00583E1A">
        <w:t xml:space="preserve">debt interest in the head company only if it is held at that time by an entity that is </w:t>
      </w:r>
      <w:r w:rsidRPr="00583E1A">
        <w:rPr>
          <w:i/>
        </w:rPr>
        <w:t>not</w:t>
      </w:r>
      <w:r w:rsidRPr="00583E1A">
        <w:t xml:space="preserve"> a member of the group; and</w:t>
      </w:r>
    </w:p>
    <w:p w:rsidR="00887330" w:rsidRPr="00583E1A" w:rsidRDefault="00887330" w:rsidP="00887330">
      <w:pPr>
        <w:pStyle w:val="paragraph"/>
      </w:pPr>
      <w:r w:rsidRPr="00583E1A">
        <w:tab/>
        <w:t>(</w:t>
      </w:r>
      <w:r w:rsidRPr="00583E1A">
        <w:rPr>
          <w:noProof/>
        </w:rPr>
        <w:t>b</w:t>
      </w:r>
      <w:r w:rsidRPr="00583E1A">
        <w:t>)</w:t>
      </w:r>
      <w:r w:rsidRPr="00583E1A">
        <w:tab/>
        <w:t xml:space="preserve">on the basis that an equity interest or debt interest in an </w:t>
      </w:r>
      <w:r w:rsidR="00583E1A" w:rsidRPr="00583E1A">
        <w:rPr>
          <w:position w:val="6"/>
          <w:sz w:val="16"/>
        </w:rPr>
        <w:t>*</w:t>
      </w:r>
      <w:r w:rsidRPr="00583E1A">
        <w:t>eligible tier</w:t>
      </w:r>
      <w:r w:rsidR="00583E1A">
        <w:noBreakHyphen/>
      </w:r>
      <w:r w:rsidRPr="00583E1A">
        <w:t xml:space="preserve">1 company (other than the head company) that is a member of the group at that time is treated as an equity interest or debt interest (as appropriate) in the head company, but only if it is held at that time by an entity that is </w:t>
      </w:r>
      <w:r w:rsidRPr="00583E1A">
        <w:rPr>
          <w:i/>
        </w:rPr>
        <w:t>not</w:t>
      </w:r>
      <w:r w:rsidRPr="00583E1A">
        <w:t xml:space="preserve"> a member of the group; and</w:t>
      </w:r>
    </w:p>
    <w:p w:rsidR="00887330" w:rsidRPr="00583E1A" w:rsidRDefault="00887330" w:rsidP="00887330">
      <w:pPr>
        <w:pStyle w:val="paragraph"/>
      </w:pPr>
      <w:r w:rsidRPr="00583E1A">
        <w:tab/>
        <w:t>(</w:t>
      </w:r>
      <w:r w:rsidRPr="00583E1A">
        <w:rPr>
          <w:noProof/>
        </w:rPr>
        <w:t>c</w:t>
      </w:r>
      <w:r w:rsidRPr="00583E1A">
        <w:t>)</w:t>
      </w:r>
      <w:r w:rsidRPr="00583E1A">
        <w:tab/>
        <w:t>on the basis of the information that would be contained in a set of consolidated accounts:</w:t>
      </w:r>
    </w:p>
    <w:p w:rsidR="00887330" w:rsidRPr="00583E1A" w:rsidRDefault="00887330" w:rsidP="00887330">
      <w:pPr>
        <w:pStyle w:val="paragraphsub"/>
      </w:pPr>
      <w:r w:rsidRPr="00583E1A">
        <w:tab/>
        <w:t>(</w:t>
      </w:r>
      <w:r w:rsidRPr="00583E1A">
        <w:rPr>
          <w:noProof/>
        </w:rPr>
        <w:t>i</w:t>
      </w:r>
      <w:r w:rsidRPr="00583E1A">
        <w:t>)</w:t>
      </w:r>
      <w:r w:rsidRPr="00583E1A">
        <w:tab/>
        <w:t xml:space="preserve">prepared, in accordance with the </w:t>
      </w:r>
      <w:r w:rsidR="00583E1A" w:rsidRPr="00583E1A">
        <w:rPr>
          <w:position w:val="6"/>
          <w:sz w:val="16"/>
        </w:rPr>
        <w:t>*</w:t>
      </w:r>
      <w:r w:rsidRPr="00583E1A">
        <w:t>accounting standard on consolidated accounts, as at that time; and</w:t>
      </w:r>
    </w:p>
    <w:p w:rsidR="00887330" w:rsidRPr="00583E1A" w:rsidRDefault="00887330" w:rsidP="00887330">
      <w:pPr>
        <w:pStyle w:val="paragraphsub"/>
      </w:pPr>
      <w:r w:rsidRPr="00583E1A">
        <w:tab/>
        <w:t>(</w:t>
      </w:r>
      <w:r w:rsidRPr="00583E1A">
        <w:rPr>
          <w:noProof/>
        </w:rPr>
        <w:t>ii</w:t>
      </w:r>
      <w:r w:rsidRPr="00583E1A">
        <w:t>)</w:t>
      </w:r>
      <w:r w:rsidRPr="00583E1A">
        <w:tab/>
        <w:t>covering the members of the group as at that time.</w:t>
      </w:r>
    </w:p>
    <w:p w:rsidR="00887330" w:rsidRPr="00583E1A" w:rsidRDefault="00887330" w:rsidP="00AC16C7">
      <w:pPr>
        <w:pStyle w:val="ActHead4"/>
      </w:pPr>
      <w:bookmarkStart w:id="244" w:name="_Toc338939318"/>
      <w:r w:rsidRPr="00583E1A">
        <w:rPr>
          <w:rStyle w:val="CharSubdNo"/>
        </w:rPr>
        <w:lastRenderedPageBreak/>
        <w:t>Subdivision</w:t>
      </w:r>
      <w:r w:rsidR="00583E1A">
        <w:rPr>
          <w:rStyle w:val="CharSubdNo"/>
        </w:rPr>
        <w:t> </w:t>
      </w:r>
      <w:r w:rsidRPr="00583E1A">
        <w:rPr>
          <w:rStyle w:val="CharSubdNo"/>
        </w:rPr>
        <w:t>820</w:t>
      </w:r>
      <w:r w:rsidR="00583E1A">
        <w:rPr>
          <w:rStyle w:val="CharSubdNo"/>
        </w:rPr>
        <w:noBreakHyphen/>
      </w:r>
      <w:r w:rsidRPr="00583E1A">
        <w:rPr>
          <w:rStyle w:val="CharSubdNo"/>
        </w:rPr>
        <w:t>FB</w:t>
      </w:r>
      <w:r w:rsidRPr="00583E1A">
        <w:t>—</w:t>
      </w:r>
      <w:r w:rsidRPr="00583E1A">
        <w:rPr>
          <w:rStyle w:val="CharSubdText"/>
        </w:rPr>
        <w:t>Grouping branches of foreign banks and foreign financial entities with a consolidated group, MEC group or single Australian resident company</w:t>
      </w:r>
      <w:bookmarkEnd w:id="244"/>
    </w:p>
    <w:p w:rsidR="00887330" w:rsidRPr="00583E1A" w:rsidRDefault="00887330" w:rsidP="00AC16C7">
      <w:pPr>
        <w:pStyle w:val="ActHead4"/>
      </w:pPr>
      <w:bookmarkStart w:id="245" w:name="_Toc338939319"/>
      <w:r w:rsidRPr="00583E1A">
        <w:t>Guide to Subdivision</w:t>
      </w:r>
      <w:r w:rsidR="00583E1A">
        <w:t> </w:t>
      </w:r>
      <w:r w:rsidRPr="00583E1A">
        <w:t>820</w:t>
      </w:r>
      <w:r w:rsidR="00583E1A">
        <w:noBreakHyphen/>
      </w:r>
      <w:r w:rsidRPr="00583E1A">
        <w:t>FB</w:t>
      </w:r>
      <w:bookmarkEnd w:id="245"/>
    </w:p>
    <w:p w:rsidR="00887330" w:rsidRPr="00583E1A" w:rsidRDefault="00887330" w:rsidP="00AC16C7">
      <w:pPr>
        <w:pStyle w:val="ActHead5"/>
      </w:pPr>
      <w:bookmarkStart w:id="246" w:name="_Toc338939320"/>
      <w:r w:rsidRPr="00583E1A">
        <w:rPr>
          <w:rStyle w:val="CharSectno"/>
        </w:rPr>
        <w:t>820</w:t>
      </w:r>
      <w:r w:rsidR="00583E1A">
        <w:rPr>
          <w:rStyle w:val="CharSectno"/>
        </w:rPr>
        <w:noBreakHyphen/>
      </w:r>
      <w:r w:rsidRPr="00583E1A">
        <w:rPr>
          <w:rStyle w:val="CharSectno"/>
        </w:rPr>
        <w:t>595</w:t>
      </w:r>
      <w:r w:rsidRPr="00583E1A">
        <w:t xml:space="preserve">  What this Subdivision is about</w:t>
      </w:r>
      <w:bookmarkEnd w:id="246"/>
    </w:p>
    <w:p w:rsidR="00887330" w:rsidRPr="00583E1A" w:rsidRDefault="00887330" w:rsidP="00AC16C7">
      <w:pPr>
        <w:pStyle w:val="BoxText"/>
        <w:keepNext/>
      </w:pPr>
      <w:r w:rsidRPr="00583E1A">
        <w:t>If:</w:t>
      </w:r>
    </w:p>
    <w:p w:rsidR="00887330" w:rsidRPr="00583E1A" w:rsidRDefault="00887330" w:rsidP="00AC16C7">
      <w:pPr>
        <w:pStyle w:val="BoxPara"/>
        <w:keepNext/>
      </w:pPr>
      <w:r w:rsidRPr="00583E1A">
        <w:tab/>
        <w:t>(a)</w:t>
      </w:r>
      <w:r w:rsidRPr="00583E1A">
        <w:tab/>
        <w:t>the head company of a consolidated group or MEC group; or</w:t>
      </w:r>
    </w:p>
    <w:p w:rsidR="00887330" w:rsidRPr="00583E1A" w:rsidRDefault="00887330" w:rsidP="00887330">
      <w:pPr>
        <w:pStyle w:val="BoxPara"/>
      </w:pPr>
      <w:r w:rsidRPr="00583E1A">
        <w:tab/>
        <w:t>(b)</w:t>
      </w:r>
      <w:r w:rsidRPr="00583E1A">
        <w:tab/>
        <w:t>an Australian company that cannot consolidate;</w:t>
      </w:r>
    </w:p>
    <w:p w:rsidR="00887330" w:rsidRPr="00583E1A" w:rsidRDefault="00887330" w:rsidP="00887330">
      <w:pPr>
        <w:pStyle w:val="BoxText"/>
      </w:pPr>
      <w:r w:rsidRPr="00583E1A">
        <w:t>is a member of the same wholly</w:t>
      </w:r>
      <w:r w:rsidR="00583E1A">
        <w:noBreakHyphen/>
      </w:r>
      <w:r w:rsidRPr="00583E1A">
        <w:t>owned group as a foreign bank or foreign financial entity, the company can choose to treat as part of itself the Australian branches of the foreign bank or foreign financial entity, affecting how the rest of this Division applies.</w:t>
      </w:r>
    </w:p>
    <w:p w:rsidR="00887330" w:rsidRPr="00583E1A" w:rsidRDefault="00887330" w:rsidP="00887330">
      <w:pPr>
        <w:pStyle w:val="TofSectsHeading"/>
        <w:keepNext/>
      </w:pPr>
      <w:r w:rsidRPr="00583E1A">
        <w:t>Table of sections</w:t>
      </w:r>
    </w:p>
    <w:p w:rsidR="00887330" w:rsidRPr="00583E1A" w:rsidRDefault="00887330" w:rsidP="00887330">
      <w:pPr>
        <w:pStyle w:val="TofSectsGroupHeading"/>
        <w:keepNext/>
      </w:pPr>
      <w:r w:rsidRPr="00583E1A">
        <w:t>Choice to group with branches of foreign banks and foreign financial entities</w:t>
      </w:r>
    </w:p>
    <w:p w:rsidR="00887330" w:rsidRPr="00583E1A" w:rsidRDefault="00887330" w:rsidP="00887330">
      <w:pPr>
        <w:pStyle w:val="TofSectsSection"/>
      </w:pPr>
      <w:r w:rsidRPr="00583E1A">
        <w:t>820</w:t>
      </w:r>
      <w:r w:rsidR="00583E1A">
        <w:noBreakHyphen/>
      </w:r>
      <w:r w:rsidRPr="00583E1A">
        <w:t>597</w:t>
      </w:r>
      <w:r w:rsidRPr="00583E1A">
        <w:tab/>
        <w:t>Choice by head company of consolidated group or MEC group</w:t>
      </w:r>
    </w:p>
    <w:p w:rsidR="00887330" w:rsidRPr="00583E1A" w:rsidRDefault="00887330" w:rsidP="00887330">
      <w:pPr>
        <w:pStyle w:val="TofSectsSection"/>
      </w:pPr>
      <w:r w:rsidRPr="00583E1A">
        <w:t>820</w:t>
      </w:r>
      <w:r w:rsidR="00583E1A">
        <w:noBreakHyphen/>
      </w:r>
      <w:r w:rsidRPr="00583E1A">
        <w:t>599</w:t>
      </w:r>
      <w:r w:rsidRPr="00583E1A">
        <w:tab/>
        <w:t>Choice by Australian resident company outside consolidatable group and MEC group</w:t>
      </w:r>
    </w:p>
    <w:p w:rsidR="00887330" w:rsidRPr="00583E1A" w:rsidRDefault="00887330" w:rsidP="00887330">
      <w:pPr>
        <w:pStyle w:val="TofSectsGroupHeading"/>
      </w:pPr>
      <w:r w:rsidRPr="00583E1A">
        <w:t>Effect of choice</w:t>
      </w:r>
    </w:p>
    <w:p w:rsidR="00887330" w:rsidRPr="00583E1A" w:rsidRDefault="00887330" w:rsidP="00887330">
      <w:pPr>
        <w:pStyle w:val="TofSectsSection"/>
      </w:pPr>
      <w:r w:rsidRPr="00583E1A">
        <w:t>820</w:t>
      </w:r>
      <w:r w:rsidR="00583E1A">
        <w:noBreakHyphen/>
      </w:r>
      <w:r w:rsidRPr="00583E1A">
        <w:t>601</w:t>
      </w:r>
      <w:r w:rsidRPr="00583E1A">
        <w:tab/>
        <w:t>Application</w:t>
      </w:r>
    </w:p>
    <w:p w:rsidR="00887330" w:rsidRPr="00583E1A" w:rsidRDefault="00887330" w:rsidP="00887330">
      <w:pPr>
        <w:pStyle w:val="TofSectsSection"/>
      </w:pPr>
      <w:r w:rsidRPr="00583E1A">
        <w:t>820</w:t>
      </w:r>
      <w:r w:rsidR="00583E1A">
        <w:noBreakHyphen/>
      </w:r>
      <w:r w:rsidRPr="00583E1A">
        <w:t>603</w:t>
      </w:r>
      <w:r w:rsidRPr="00583E1A">
        <w:tab/>
        <w:t>General</w:t>
      </w:r>
    </w:p>
    <w:p w:rsidR="00887330" w:rsidRPr="00583E1A" w:rsidRDefault="00887330" w:rsidP="00887330">
      <w:pPr>
        <w:pStyle w:val="TofSectsSection"/>
      </w:pPr>
      <w:r w:rsidRPr="00583E1A">
        <w:t>820</w:t>
      </w:r>
      <w:r w:rsidR="00583E1A">
        <w:noBreakHyphen/>
      </w:r>
      <w:r w:rsidRPr="00583E1A">
        <w:t>605</w:t>
      </w:r>
      <w:r w:rsidRPr="00583E1A">
        <w:tab/>
        <w:t>Effect on establishment entity if certain debt deductions disallowed</w:t>
      </w:r>
    </w:p>
    <w:p w:rsidR="00887330" w:rsidRPr="00583E1A" w:rsidRDefault="00887330" w:rsidP="00887330">
      <w:pPr>
        <w:pStyle w:val="TofSectsSection"/>
      </w:pPr>
      <w:r w:rsidRPr="00583E1A">
        <w:t>820</w:t>
      </w:r>
      <w:r w:rsidR="00583E1A">
        <w:noBreakHyphen/>
      </w:r>
      <w:r w:rsidRPr="00583E1A">
        <w:t>607</w:t>
      </w:r>
      <w:r w:rsidRPr="00583E1A">
        <w:tab/>
        <w:t>Effect on test periods under this Division</w:t>
      </w:r>
    </w:p>
    <w:p w:rsidR="00887330" w:rsidRPr="00583E1A" w:rsidRDefault="00887330" w:rsidP="00887330">
      <w:pPr>
        <w:pStyle w:val="TofSectsSection"/>
      </w:pPr>
      <w:r w:rsidRPr="00583E1A">
        <w:t>820</w:t>
      </w:r>
      <w:r w:rsidR="00583E1A">
        <w:noBreakHyphen/>
      </w:r>
      <w:r w:rsidRPr="00583E1A">
        <w:t>609</w:t>
      </w:r>
      <w:r w:rsidRPr="00583E1A">
        <w:tab/>
        <w:t>Effect on classification of head company or single company</w:t>
      </w:r>
    </w:p>
    <w:p w:rsidR="004E0BA5" w:rsidRPr="00583E1A" w:rsidRDefault="004E0BA5" w:rsidP="00887330">
      <w:pPr>
        <w:pStyle w:val="TofSectsSection"/>
      </w:pPr>
      <w:r w:rsidRPr="00583E1A">
        <w:t>820</w:t>
      </w:r>
      <w:r w:rsidR="00583E1A">
        <w:noBreakHyphen/>
      </w:r>
      <w:r w:rsidRPr="00583E1A">
        <w:t>610</w:t>
      </w:r>
      <w:r w:rsidRPr="00583E1A">
        <w:tab/>
        <w:t>Choice not to be outward investing entity (ADI) or inward investing entity (ADI)</w:t>
      </w:r>
    </w:p>
    <w:p w:rsidR="00887330" w:rsidRPr="00583E1A" w:rsidRDefault="00887330" w:rsidP="00887330">
      <w:pPr>
        <w:pStyle w:val="TofSectsSection"/>
      </w:pPr>
      <w:r w:rsidRPr="00583E1A">
        <w:t>820</w:t>
      </w:r>
      <w:r w:rsidR="00583E1A">
        <w:noBreakHyphen/>
      </w:r>
      <w:r w:rsidRPr="00583E1A">
        <w:t>611</w:t>
      </w:r>
      <w:r w:rsidRPr="00583E1A">
        <w:tab/>
        <w:t>Values to be based on what would be in consolidated accounts for group</w:t>
      </w:r>
    </w:p>
    <w:p w:rsidR="00887330" w:rsidRPr="00583E1A" w:rsidRDefault="00887330" w:rsidP="00887330">
      <w:pPr>
        <w:pStyle w:val="TofSectsSection"/>
      </w:pPr>
      <w:r w:rsidRPr="00583E1A">
        <w:t>820</w:t>
      </w:r>
      <w:r w:rsidR="00583E1A">
        <w:noBreakHyphen/>
      </w:r>
      <w:r w:rsidRPr="00583E1A">
        <w:t>613</w:t>
      </w:r>
      <w:r w:rsidRPr="00583E1A">
        <w:tab/>
        <w:t>How Subdivision</w:t>
      </w:r>
      <w:r w:rsidR="00583E1A">
        <w:t> </w:t>
      </w:r>
      <w:r w:rsidRPr="00583E1A">
        <w:t>820</w:t>
      </w:r>
      <w:r w:rsidR="00583E1A">
        <w:noBreakHyphen/>
      </w:r>
      <w:r w:rsidRPr="00583E1A">
        <w:t>D applies</w:t>
      </w:r>
    </w:p>
    <w:p w:rsidR="00887330" w:rsidRPr="00583E1A" w:rsidRDefault="00887330" w:rsidP="00887330">
      <w:pPr>
        <w:pStyle w:val="TofSectsSection"/>
      </w:pPr>
      <w:r w:rsidRPr="00583E1A">
        <w:t>820</w:t>
      </w:r>
      <w:r w:rsidR="00583E1A">
        <w:noBreakHyphen/>
      </w:r>
      <w:r w:rsidRPr="00583E1A">
        <w:t>615</w:t>
      </w:r>
      <w:r w:rsidRPr="00583E1A">
        <w:tab/>
        <w:t>How Subdivision</w:t>
      </w:r>
      <w:r w:rsidR="00583E1A">
        <w:t> </w:t>
      </w:r>
      <w:r w:rsidRPr="00583E1A">
        <w:t>820</w:t>
      </w:r>
      <w:r w:rsidR="00583E1A">
        <w:noBreakHyphen/>
      </w:r>
      <w:r w:rsidRPr="00583E1A">
        <w:t>E applies</w:t>
      </w:r>
    </w:p>
    <w:p w:rsidR="00887330" w:rsidRPr="00583E1A" w:rsidRDefault="00887330" w:rsidP="00887330">
      <w:pPr>
        <w:pStyle w:val="ActHead4"/>
      </w:pPr>
      <w:bookmarkStart w:id="247" w:name="_Toc338939321"/>
      <w:r w:rsidRPr="00583E1A">
        <w:lastRenderedPageBreak/>
        <w:t>Choice to group with branches of foreign banks and foreign financial entities</w:t>
      </w:r>
      <w:bookmarkEnd w:id="247"/>
    </w:p>
    <w:p w:rsidR="00887330" w:rsidRPr="00583E1A" w:rsidRDefault="00887330" w:rsidP="00887330">
      <w:pPr>
        <w:pStyle w:val="ActHead5"/>
      </w:pPr>
      <w:bookmarkStart w:id="248" w:name="_Toc338939322"/>
      <w:r w:rsidRPr="00583E1A">
        <w:rPr>
          <w:rStyle w:val="CharSectno"/>
        </w:rPr>
        <w:t>820</w:t>
      </w:r>
      <w:r w:rsidR="00583E1A">
        <w:rPr>
          <w:rStyle w:val="CharSectno"/>
        </w:rPr>
        <w:noBreakHyphen/>
      </w:r>
      <w:r w:rsidRPr="00583E1A">
        <w:rPr>
          <w:rStyle w:val="CharSectno"/>
        </w:rPr>
        <w:t>597</w:t>
      </w:r>
      <w:r w:rsidRPr="00583E1A">
        <w:t xml:space="preserve">  Choice by head company of consolidated group or MEC group</w:t>
      </w:r>
      <w:bookmarkEnd w:id="248"/>
    </w:p>
    <w:p w:rsidR="00887330" w:rsidRPr="00583E1A" w:rsidRDefault="00887330" w:rsidP="00887330">
      <w:pPr>
        <w:pStyle w:val="subsection"/>
      </w:pPr>
      <w:r w:rsidRPr="00583E1A">
        <w:tab/>
        <w:t>(1)</w:t>
      </w:r>
      <w:r w:rsidRPr="00583E1A">
        <w:tab/>
        <w:t xml:space="preserve">This section applies if there is a period (the </w:t>
      </w:r>
      <w:r w:rsidRPr="00583E1A">
        <w:rPr>
          <w:b/>
          <w:i/>
        </w:rPr>
        <w:t>grouping period</w:t>
      </w:r>
      <w:r w:rsidRPr="00583E1A">
        <w:t>) for which all these conditions are met:</w:t>
      </w:r>
    </w:p>
    <w:p w:rsidR="00887330" w:rsidRPr="00583E1A" w:rsidRDefault="00887330" w:rsidP="00887330">
      <w:pPr>
        <w:pStyle w:val="paragraph"/>
      </w:pPr>
      <w:r w:rsidRPr="00583E1A">
        <w:tab/>
        <w:t>(a)</w:t>
      </w:r>
      <w:r w:rsidRPr="00583E1A">
        <w:tab/>
        <w:t xml:space="preserve">the period was all or part of an income year of the </w:t>
      </w:r>
      <w:r w:rsidR="00583E1A" w:rsidRPr="00583E1A">
        <w:rPr>
          <w:position w:val="6"/>
          <w:sz w:val="16"/>
        </w:rPr>
        <w:t>*</w:t>
      </w:r>
      <w:r w:rsidRPr="00583E1A">
        <w:t xml:space="preserve">head company of a </w:t>
      </w:r>
      <w:r w:rsidR="00583E1A" w:rsidRPr="00583E1A">
        <w:rPr>
          <w:position w:val="6"/>
          <w:sz w:val="16"/>
        </w:rPr>
        <w:t>*</w:t>
      </w:r>
      <w:r w:rsidRPr="00583E1A">
        <w:t xml:space="preserve">consolidated group or </w:t>
      </w:r>
      <w:r w:rsidR="00583E1A" w:rsidRPr="00583E1A">
        <w:rPr>
          <w:position w:val="6"/>
          <w:sz w:val="16"/>
        </w:rPr>
        <w:t>*</w:t>
      </w:r>
      <w:r w:rsidRPr="00583E1A">
        <w:t>MEC group;</w:t>
      </w:r>
    </w:p>
    <w:p w:rsidR="00887330" w:rsidRPr="00583E1A" w:rsidRDefault="00887330" w:rsidP="00887330">
      <w:pPr>
        <w:pStyle w:val="paragraph"/>
      </w:pPr>
      <w:r w:rsidRPr="00583E1A">
        <w:tab/>
        <w:t>(b)</w:t>
      </w:r>
      <w:r w:rsidRPr="00583E1A">
        <w:tab/>
        <w:t>the consolidated group or MEC group existed throughout the period;</w:t>
      </w:r>
    </w:p>
    <w:p w:rsidR="00887330" w:rsidRPr="00583E1A" w:rsidRDefault="00887330" w:rsidP="00887330">
      <w:pPr>
        <w:pStyle w:val="paragraph"/>
      </w:pPr>
      <w:r w:rsidRPr="00583E1A">
        <w:tab/>
        <w:t>(c)</w:t>
      </w:r>
      <w:r w:rsidRPr="00583E1A">
        <w:tab/>
        <w:t xml:space="preserve">the head company and an entity (the </w:t>
      </w:r>
      <w:r w:rsidRPr="00583E1A">
        <w:rPr>
          <w:b/>
          <w:i/>
        </w:rPr>
        <w:t>establishment entity</w:t>
      </w:r>
      <w:r w:rsidRPr="00583E1A">
        <w:t xml:space="preserve">) covered by one of the following subparagraphs are both members of the same </w:t>
      </w:r>
      <w:r w:rsidR="00583E1A" w:rsidRPr="00583E1A">
        <w:rPr>
          <w:position w:val="6"/>
          <w:sz w:val="16"/>
        </w:rPr>
        <w:t>*</w:t>
      </w:r>
      <w:r w:rsidRPr="00583E1A">
        <w:t>wholly</w:t>
      </w:r>
      <w:r w:rsidR="00583E1A">
        <w:noBreakHyphen/>
      </w:r>
      <w:r w:rsidRPr="00583E1A">
        <w:t>owned group throughout the period:</w:t>
      </w:r>
    </w:p>
    <w:p w:rsidR="00887330" w:rsidRPr="00583E1A" w:rsidRDefault="00887330" w:rsidP="00887330">
      <w:pPr>
        <w:pStyle w:val="paragraphsub"/>
      </w:pPr>
      <w:r w:rsidRPr="00583E1A">
        <w:tab/>
        <w:t>(i)</w:t>
      </w:r>
      <w:r w:rsidRPr="00583E1A">
        <w:tab/>
        <w:t xml:space="preserve">a </w:t>
      </w:r>
      <w:r w:rsidR="00583E1A" w:rsidRPr="00583E1A">
        <w:rPr>
          <w:position w:val="6"/>
          <w:sz w:val="16"/>
        </w:rPr>
        <w:t>*</w:t>
      </w:r>
      <w:r w:rsidRPr="00583E1A">
        <w:t xml:space="preserve">foreign bank that carried on its banking </w:t>
      </w:r>
      <w:r w:rsidR="00583E1A" w:rsidRPr="00583E1A">
        <w:rPr>
          <w:position w:val="6"/>
          <w:sz w:val="16"/>
        </w:rPr>
        <w:t>*</w:t>
      </w:r>
      <w:r w:rsidRPr="00583E1A">
        <w:t xml:space="preserve">business in </w:t>
      </w:r>
      <w:smartTag w:uri="urn:schemas-microsoft-com:office:smarttags" w:element="country-region">
        <w:smartTag w:uri="urn:schemas-microsoft-com:office:smarttags" w:element="place">
          <w:r w:rsidRPr="00583E1A">
            <w:t>Australia</w:t>
          </w:r>
        </w:smartTag>
      </w:smartTag>
      <w:r w:rsidRPr="00583E1A">
        <w:t xml:space="preserve"> through at least one </w:t>
      </w:r>
      <w:r w:rsidR="00583E1A" w:rsidRPr="00583E1A">
        <w:rPr>
          <w:position w:val="6"/>
          <w:sz w:val="16"/>
        </w:rPr>
        <w:t>*</w:t>
      </w:r>
      <w:r w:rsidRPr="00583E1A">
        <w:t>Australian permanent establishment at each time in the period;</w:t>
      </w:r>
    </w:p>
    <w:p w:rsidR="00887330" w:rsidRPr="00583E1A" w:rsidRDefault="00887330" w:rsidP="00887330">
      <w:pPr>
        <w:pStyle w:val="paragraphsub"/>
      </w:pPr>
      <w:r w:rsidRPr="00583E1A">
        <w:tab/>
        <w:t>(ii)</w:t>
      </w:r>
      <w:r w:rsidRPr="00583E1A">
        <w:tab/>
        <w:t xml:space="preserve">a </w:t>
      </w:r>
      <w:r w:rsidR="00583E1A" w:rsidRPr="00583E1A">
        <w:rPr>
          <w:position w:val="6"/>
          <w:sz w:val="16"/>
        </w:rPr>
        <w:t>*</w:t>
      </w:r>
      <w:r w:rsidRPr="00583E1A">
        <w:t xml:space="preserve">foreign entity that was a </w:t>
      </w:r>
      <w:r w:rsidR="00583E1A" w:rsidRPr="00583E1A">
        <w:rPr>
          <w:position w:val="6"/>
          <w:sz w:val="16"/>
        </w:rPr>
        <w:t>*</w:t>
      </w:r>
      <w:r w:rsidRPr="00583E1A">
        <w:t>financial entity and had at least one Australian permanent establishment at each time in the period;</w:t>
      </w:r>
    </w:p>
    <w:p w:rsidR="00887330" w:rsidRPr="00583E1A" w:rsidRDefault="00887330" w:rsidP="00887330">
      <w:pPr>
        <w:pStyle w:val="paragraph"/>
      </w:pPr>
      <w:r w:rsidRPr="00583E1A">
        <w:tab/>
        <w:t>(d)</w:t>
      </w:r>
      <w:r w:rsidRPr="00583E1A">
        <w:tab/>
        <w:t xml:space="preserve">there is not a longer period in the income year for which the conditions in </w:t>
      </w:r>
      <w:r w:rsidR="00583E1A">
        <w:t>paragraphs (</w:t>
      </w:r>
      <w:r w:rsidRPr="00583E1A">
        <w:t>a), (b) and (c) are met in relation to the head company and the establishment entity.</w:t>
      </w:r>
    </w:p>
    <w:p w:rsidR="00887330" w:rsidRPr="00583E1A" w:rsidRDefault="00887330" w:rsidP="00887330">
      <w:pPr>
        <w:pStyle w:val="notetext"/>
      </w:pPr>
      <w:r w:rsidRPr="00583E1A">
        <w:t>Note:</w:t>
      </w:r>
      <w:r w:rsidRPr="00583E1A">
        <w:tab/>
        <w:t>It does not matter whether the income year ended on the same day for the head company and the establishment entity.</w:t>
      </w:r>
    </w:p>
    <w:p w:rsidR="00887330" w:rsidRPr="00583E1A" w:rsidRDefault="00887330" w:rsidP="00887330">
      <w:pPr>
        <w:pStyle w:val="subsection"/>
      </w:pPr>
      <w:r w:rsidRPr="00583E1A">
        <w:tab/>
        <w:t>(2)</w:t>
      </w:r>
      <w:r w:rsidRPr="00583E1A">
        <w:tab/>
        <w:t xml:space="preserve">The </w:t>
      </w:r>
      <w:r w:rsidR="00583E1A" w:rsidRPr="00583E1A">
        <w:rPr>
          <w:position w:val="6"/>
          <w:sz w:val="16"/>
        </w:rPr>
        <w:t>*</w:t>
      </w:r>
      <w:r w:rsidRPr="00583E1A">
        <w:t xml:space="preserve">head company may choose to have all of the </w:t>
      </w:r>
      <w:r w:rsidR="00583E1A" w:rsidRPr="00583E1A">
        <w:rPr>
          <w:position w:val="6"/>
          <w:sz w:val="16"/>
        </w:rPr>
        <w:t>*</w:t>
      </w:r>
      <w:r w:rsidRPr="00583E1A">
        <w:t>Australian permanent establishments of the establishment entity treated as part of the head company for the grouping period for the purposes of this Division.</w:t>
      </w:r>
    </w:p>
    <w:p w:rsidR="00887330" w:rsidRPr="00583E1A" w:rsidRDefault="00887330" w:rsidP="00887330">
      <w:pPr>
        <w:pStyle w:val="subsection"/>
      </w:pPr>
      <w:r w:rsidRPr="00583E1A">
        <w:tab/>
        <w:t>(3)</w:t>
      </w:r>
      <w:r w:rsidRPr="00583E1A">
        <w:tab/>
        <w:t xml:space="preserve">If the conditions in </w:t>
      </w:r>
      <w:r w:rsidR="00583E1A">
        <w:t>subsection (</w:t>
      </w:r>
      <w:r w:rsidRPr="00583E1A">
        <w:t xml:space="preserve">1) are met in relation to the </w:t>
      </w:r>
      <w:r w:rsidR="00583E1A" w:rsidRPr="00583E1A">
        <w:rPr>
          <w:position w:val="6"/>
          <w:sz w:val="16"/>
        </w:rPr>
        <w:t>*</w:t>
      </w:r>
      <w:r w:rsidRPr="00583E1A">
        <w:t>head company and more than one other establishment entity, the head company may make a different choice in relation to each of the other establishment entities.</w:t>
      </w:r>
    </w:p>
    <w:p w:rsidR="00887330" w:rsidRPr="00583E1A" w:rsidRDefault="00887330" w:rsidP="00887330">
      <w:pPr>
        <w:pStyle w:val="ActHead5"/>
      </w:pPr>
      <w:bookmarkStart w:id="249" w:name="_Toc338939323"/>
      <w:r w:rsidRPr="00583E1A">
        <w:rPr>
          <w:rStyle w:val="CharSectno"/>
        </w:rPr>
        <w:lastRenderedPageBreak/>
        <w:t>820</w:t>
      </w:r>
      <w:r w:rsidR="00583E1A">
        <w:rPr>
          <w:rStyle w:val="CharSectno"/>
        </w:rPr>
        <w:noBreakHyphen/>
      </w:r>
      <w:r w:rsidRPr="00583E1A">
        <w:rPr>
          <w:rStyle w:val="CharSectno"/>
        </w:rPr>
        <w:t>599</w:t>
      </w:r>
      <w:r w:rsidRPr="00583E1A">
        <w:t xml:space="preserve">  Choice by Australian resident company outside consolidatable group and MEC group</w:t>
      </w:r>
      <w:bookmarkEnd w:id="249"/>
    </w:p>
    <w:p w:rsidR="00887330" w:rsidRPr="00583E1A" w:rsidRDefault="00887330" w:rsidP="00887330">
      <w:pPr>
        <w:pStyle w:val="subsection"/>
      </w:pPr>
      <w:r w:rsidRPr="00583E1A">
        <w:tab/>
        <w:t>(1)</w:t>
      </w:r>
      <w:r w:rsidRPr="00583E1A">
        <w:tab/>
        <w:t xml:space="preserve">This section applies if there is a period (also the </w:t>
      </w:r>
      <w:r w:rsidRPr="00583E1A">
        <w:rPr>
          <w:b/>
          <w:i/>
        </w:rPr>
        <w:t>grouping period</w:t>
      </w:r>
      <w:r w:rsidRPr="00583E1A">
        <w:t>) for which all these conditions are met:</w:t>
      </w:r>
    </w:p>
    <w:p w:rsidR="00887330" w:rsidRPr="00583E1A" w:rsidRDefault="00887330" w:rsidP="00887330">
      <w:pPr>
        <w:pStyle w:val="paragraph"/>
      </w:pPr>
      <w:r w:rsidRPr="00583E1A">
        <w:tab/>
        <w:t>(a)</w:t>
      </w:r>
      <w:r w:rsidRPr="00583E1A">
        <w:tab/>
        <w:t xml:space="preserve">the period was all or part of an income year of a company (the </w:t>
      </w:r>
      <w:r w:rsidRPr="00583E1A">
        <w:rPr>
          <w:b/>
          <w:i/>
        </w:rPr>
        <w:t>single company</w:t>
      </w:r>
      <w:r w:rsidRPr="00583E1A">
        <w:t>);</w:t>
      </w:r>
    </w:p>
    <w:p w:rsidR="00887330" w:rsidRPr="00583E1A" w:rsidRDefault="00887330" w:rsidP="00887330">
      <w:pPr>
        <w:pStyle w:val="paragraph"/>
      </w:pPr>
      <w:r w:rsidRPr="00583E1A">
        <w:tab/>
        <w:t>(b)</w:t>
      </w:r>
      <w:r w:rsidRPr="00583E1A">
        <w:tab/>
        <w:t>throughout the period the single company:</w:t>
      </w:r>
    </w:p>
    <w:p w:rsidR="00887330" w:rsidRPr="00583E1A" w:rsidRDefault="00887330" w:rsidP="00887330">
      <w:pPr>
        <w:pStyle w:val="paragraphsub"/>
      </w:pPr>
      <w:r w:rsidRPr="00583E1A">
        <w:tab/>
        <w:t>(i)</w:t>
      </w:r>
      <w:r w:rsidRPr="00583E1A">
        <w:tab/>
        <w:t xml:space="preserve">was an </w:t>
      </w:r>
      <w:r w:rsidR="00583E1A" w:rsidRPr="00583E1A">
        <w:rPr>
          <w:position w:val="6"/>
          <w:sz w:val="16"/>
        </w:rPr>
        <w:t>*</w:t>
      </w:r>
      <w:r w:rsidRPr="00583E1A">
        <w:t>Australian entity; and</w:t>
      </w:r>
    </w:p>
    <w:p w:rsidR="00887330" w:rsidRPr="00583E1A" w:rsidRDefault="00887330" w:rsidP="00887330">
      <w:pPr>
        <w:pStyle w:val="paragraphsub"/>
      </w:pPr>
      <w:r w:rsidRPr="00583E1A">
        <w:tab/>
        <w:t>(ii)</w:t>
      </w:r>
      <w:r w:rsidRPr="00583E1A">
        <w:tab/>
        <w:t xml:space="preserve">was not a </w:t>
      </w:r>
      <w:r w:rsidR="00583E1A" w:rsidRPr="00583E1A">
        <w:rPr>
          <w:position w:val="6"/>
          <w:sz w:val="16"/>
        </w:rPr>
        <w:t>*</w:t>
      </w:r>
      <w:r w:rsidRPr="00583E1A">
        <w:t>prescribed dual resident; and</w:t>
      </w:r>
    </w:p>
    <w:p w:rsidR="00887330" w:rsidRPr="00583E1A" w:rsidRDefault="00887330" w:rsidP="00887330">
      <w:pPr>
        <w:pStyle w:val="paragraphsub"/>
      </w:pPr>
      <w:r w:rsidRPr="00583E1A">
        <w:tab/>
        <w:t>(iii)</w:t>
      </w:r>
      <w:r w:rsidRPr="00583E1A">
        <w:tab/>
        <w:t xml:space="preserve">was not a </w:t>
      </w:r>
      <w:r w:rsidR="00583E1A" w:rsidRPr="00583E1A">
        <w:rPr>
          <w:position w:val="6"/>
          <w:sz w:val="16"/>
        </w:rPr>
        <w:t>*</w:t>
      </w:r>
      <w:r w:rsidRPr="00583E1A">
        <w:t xml:space="preserve">member of a </w:t>
      </w:r>
      <w:r w:rsidR="00583E1A" w:rsidRPr="00583E1A">
        <w:rPr>
          <w:position w:val="6"/>
          <w:sz w:val="16"/>
        </w:rPr>
        <w:t>*</w:t>
      </w:r>
      <w:r w:rsidRPr="00583E1A">
        <w:t>consolidatable group; and</w:t>
      </w:r>
    </w:p>
    <w:p w:rsidR="00887330" w:rsidRPr="00583E1A" w:rsidRDefault="00887330" w:rsidP="00887330">
      <w:pPr>
        <w:pStyle w:val="paragraphsub"/>
      </w:pPr>
      <w:r w:rsidRPr="00583E1A">
        <w:tab/>
        <w:t>(iv)</w:t>
      </w:r>
      <w:r w:rsidRPr="00583E1A">
        <w:tab/>
        <w:t xml:space="preserve">was not a member of a </w:t>
      </w:r>
      <w:r w:rsidR="00583E1A" w:rsidRPr="00583E1A">
        <w:rPr>
          <w:position w:val="6"/>
          <w:sz w:val="16"/>
        </w:rPr>
        <w:t>*</w:t>
      </w:r>
      <w:r w:rsidRPr="00583E1A">
        <w:t>consolidated group; and</w:t>
      </w:r>
    </w:p>
    <w:p w:rsidR="00887330" w:rsidRPr="00583E1A" w:rsidRDefault="00887330" w:rsidP="00887330">
      <w:pPr>
        <w:pStyle w:val="paragraphsub"/>
      </w:pPr>
      <w:r w:rsidRPr="00583E1A">
        <w:tab/>
        <w:t>(v)</w:t>
      </w:r>
      <w:r w:rsidRPr="00583E1A">
        <w:tab/>
        <w:t xml:space="preserve">was not a member of a </w:t>
      </w:r>
      <w:r w:rsidR="00583E1A" w:rsidRPr="00583E1A">
        <w:rPr>
          <w:position w:val="6"/>
          <w:sz w:val="16"/>
        </w:rPr>
        <w:t>*</w:t>
      </w:r>
      <w:r w:rsidRPr="00583E1A">
        <w:t>MEC group;</w:t>
      </w:r>
    </w:p>
    <w:p w:rsidR="00887330" w:rsidRPr="00583E1A" w:rsidRDefault="00887330" w:rsidP="00887330">
      <w:pPr>
        <w:pStyle w:val="paragraph"/>
      </w:pPr>
      <w:r w:rsidRPr="00583E1A">
        <w:tab/>
        <w:t>(c)</w:t>
      </w:r>
      <w:r w:rsidRPr="00583E1A">
        <w:tab/>
        <w:t xml:space="preserve">the single company and an entity (the </w:t>
      </w:r>
      <w:r w:rsidRPr="00583E1A">
        <w:rPr>
          <w:b/>
          <w:i/>
        </w:rPr>
        <w:t>establishment entity</w:t>
      </w:r>
      <w:r w:rsidRPr="00583E1A">
        <w:t xml:space="preserve">) covered by one of the following subparagraphs are both members of the same </w:t>
      </w:r>
      <w:r w:rsidR="00583E1A" w:rsidRPr="00583E1A">
        <w:rPr>
          <w:position w:val="6"/>
          <w:sz w:val="16"/>
        </w:rPr>
        <w:t>*</w:t>
      </w:r>
      <w:r w:rsidRPr="00583E1A">
        <w:t>wholly</w:t>
      </w:r>
      <w:r w:rsidR="00583E1A">
        <w:noBreakHyphen/>
      </w:r>
      <w:r w:rsidRPr="00583E1A">
        <w:t>owned group throughout the period:</w:t>
      </w:r>
    </w:p>
    <w:p w:rsidR="00887330" w:rsidRPr="00583E1A" w:rsidRDefault="00887330" w:rsidP="00887330">
      <w:pPr>
        <w:pStyle w:val="paragraphsub"/>
      </w:pPr>
      <w:r w:rsidRPr="00583E1A">
        <w:tab/>
        <w:t>(i)</w:t>
      </w:r>
      <w:r w:rsidRPr="00583E1A">
        <w:tab/>
        <w:t xml:space="preserve">a </w:t>
      </w:r>
      <w:r w:rsidR="00583E1A" w:rsidRPr="00583E1A">
        <w:rPr>
          <w:position w:val="6"/>
          <w:sz w:val="16"/>
        </w:rPr>
        <w:t>*</w:t>
      </w:r>
      <w:r w:rsidRPr="00583E1A">
        <w:t xml:space="preserve">foreign bank that carried on its banking </w:t>
      </w:r>
      <w:r w:rsidR="00583E1A" w:rsidRPr="00583E1A">
        <w:rPr>
          <w:position w:val="6"/>
          <w:sz w:val="16"/>
        </w:rPr>
        <w:t>*</w:t>
      </w:r>
      <w:r w:rsidRPr="00583E1A">
        <w:t xml:space="preserve">business in </w:t>
      </w:r>
      <w:smartTag w:uri="urn:schemas-microsoft-com:office:smarttags" w:element="country-region">
        <w:smartTag w:uri="urn:schemas-microsoft-com:office:smarttags" w:element="place">
          <w:r w:rsidRPr="00583E1A">
            <w:t>Australia</w:t>
          </w:r>
        </w:smartTag>
      </w:smartTag>
      <w:r w:rsidRPr="00583E1A">
        <w:t xml:space="preserve"> through at least one </w:t>
      </w:r>
      <w:r w:rsidR="00583E1A" w:rsidRPr="00583E1A">
        <w:rPr>
          <w:position w:val="6"/>
          <w:sz w:val="16"/>
        </w:rPr>
        <w:t>*</w:t>
      </w:r>
      <w:r w:rsidRPr="00583E1A">
        <w:t>Australian permanent establishment at each time in the period;</w:t>
      </w:r>
    </w:p>
    <w:p w:rsidR="00887330" w:rsidRPr="00583E1A" w:rsidRDefault="00887330" w:rsidP="00887330">
      <w:pPr>
        <w:pStyle w:val="paragraphsub"/>
      </w:pPr>
      <w:r w:rsidRPr="00583E1A">
        <w:tab/>
        <w:t>(ii)</w:t>
      </w:r>
      <w:r w:rsidRPr="00583E1A">
        <w:tab/>
        <w:t xml:space="preserve">a </w:t>
      </w:r>
      <w:r w:rsidR="00583E1A" w:rsidRPr="00583E1A">
        <w:rPr>
          <w:position w:val="6"/>
          <w:sz w:val="16"/>
        </w:rPr>
        <w:t>*</w:t>
      </w:r>
      <w:r w:rsidRPr="00583E1A">
        <w:t xml:space="preserve">foreign entity that was a </w:t>
      </w:r>
      <w:r w:rsidR="00583E1A" w:rsidRPr="00583E1A">
        <w:rPr>
          <w:position w:val="6"/>
          <w:sz w:val="16"/>
        </w:rPr>
        <w:t>*</w:t>
      </w:r>
      <w:r w:rsidRPr="00583E1A">
        <w:t>financial entity and had at least one Australian permanent establishment at each time in the period;</w:t>
      </w:r>
    </w:p>
    <w:p w:rsidR="00887330" w:rsidRPr="00583E1A" w:rsidRDefault="00887330" w:rsidP="00887330">
      <w:pPr>
        <w:pStyle w:val="paragraph"/>
      </w:pPr>
      <w:r w:rsidRPr="00583E1A">
        <w:tab/>
        <w:t>(d)</w:t>
      </w:r>
      <w:r w:rsidRPr="00583E1A">
        <w:tab/>
        <w:t xml:space="preserve">there is not a longer period in the income year for which the conditions in </w:t>
      </w:r>
      <w:r w:rsidR="00583E1A">
        <w:t>paragraphs (</w:t>
      </w:r>
      <w:r w:rsidRPr="00583E1A">
        <w:t>a), (b) and (c) are met in relation to the single company and the establishment entity.</w:t>
      </w:r>
    </w:p>
    <w:p w:rsidR="00887330" w:rsidRPr="00583E1A" w:rsidRDefault="00887330" w:rsidP="00887330">
      <w:pPr>
        <w:pStyle w:val="notetext"/>
      </w:pPr>
      <w:r w:rsidRPr="00583E1A">
        <w:t>Note:</w:t>
      </w:r>
      <w:r w:rsidRPr="00583E1A">
        <w:tab/>
        <w:t>It does not matter whether the income year ended on the same day for the single company and the establishment entity.</w:t>
      </w:r>
    </w:p>
    <w:p w:rsidR="00887330" w:rsidRPr="00583E1A" w:rsidRDefault="00887330" w:rsidP="00887330">
      <w:pPr>
        <w:pStyle w:val="subsection"/>
      </w:pPr>
      <w:r w:rsidRPr="00583E1A">
        <w:tab/>
        <w:t>(2)</w:t>
      </w:r>
      <w:r w:rsidRPr="00583E1A">
        <w:tab/>
        <w:t xml:space="preserve">The single company may choose to have all of the </w:t>
      </w:r>
      <w:r w:rsidR="00583E1A" w:rsidRPr="00583E1A">
        <w:rPr>
          <w:position w:val="6"/>
          <w:sz w:val="16"/>
        </w:rPr>
        <w:t>*</w:t>
      </w:r>
      <w:r w:rsidRPr="00583E1A">
        <w:t>Australian permanent establishments of the establishment entity treated as part of the single company for the grouping period for the purposes of this Division.</w:t>
      </w:r>
    </w:p>
    <w:p w:rsidR="00887330" w:rsidRPr="00583E1A" w:rsidRDefault="00887330" w:rsidP="00887330">
      <w:pPr>
        <w:pStyle w:val="subsection"/>
      </w:pPr>
      <w:r w:rsidRPr="00583E1A">
        <w:tab/>
        <w:t>(3)</w:t>
      </w:r>
      <w:r w:rsidRPr="00583E1A">
        <w:tab/>
        <w:t xml:space="preserve">If the conditions in </w:t>
      </w:r>
      <w:r w:rsidR="00583E1A">
        <w:t>subsection (</w:t>
      </w:r>
      <w:r w:rsidRPr="00583E1A">
        <w:t>1) are met in relation to the single company and more than one other establishment entity, the single company may make a different choice in relation to each of the other establishment entities.</w:t>
      </w:r>
    </w:p>
    <w:p w:rsidR="00887330" w:rsidRPr="00583E1A" w:rsidRDefault="00887330" w:rsidP="00887330">
      <w:pPr>
        <w:pStyle w:val="ActHead4"/>
      </w:pPr>
      <w:bookmarkStart w:id="250" w:name="_Toc338939324"/>
      <w:r w:rsidRPr="00583E1A">
        <w:lastRenderedPageBreak/>
        <w:t>Effect of choice</w:t>
      </w:r>
      <w:bookmarkEnd w:id="250"/>
    </w:p>
    <w:p w:rsidR="00887330" w:rsidRPr="00583E1A" w:rsidRDefault="00887330" w:rsidP="00887330">
      <w:pPr>
        <w:pStyle w:val="ActHead5"/>
      </w:pPr>
      <w:bookmarkStart w:id="251" w:name="_Toc338939325"/>
      <w:r w:rsidRPr="00583E1A">
        <w:rPr>
          <w:rStyle w:val="CharSectno"/>
        </w:rPr>
        <w:t>820</w:t>
      </w:r>
      <w:r w:rsidR="00583E1A">
        <w:rPr>
          <w:rStyle w:val="CharSectno"/>
        </w:rPr>
        <w:noBreakHyphen/>
      </w:r>
      <w:r w:rsidRPr="00583E1A">
        <w:rPr>
          <w:rStyle w:val="CharSectno"/>
        </w:rPr>
        <w:t>601</w:t>
      </w:r>
      <w:r w:rsidRPr="00583E1A">
        <w:t xml:space="preserve">  Application</w:t>
      </w:r>
      <w:bookmarkEnd w:id="251"/>
    </w:p>
    <w:p w:rsidR="00887330" w:rsidRPr="00583E1A" w:rsidRDefault="00887330" w:rsidP="00887330">
      <w:pPr>
        <w:pStyle w:val="subsection"/>
      </w:pPr>
      <w:r w:rsidRPr="00583E1A">
        <w:tab/>
      </w:r>
      <w:r w:rsidRPr="00583E1A">
        <w:tab/>
        <w:t>Sections</w:t>
      </w:r>
      <w:r w:rsidR="00583E1A">
        <w:t> </w:t>
      </w:r>
      <w:r w:rsidRPr="00583E1A">
        <w:t>820</w:t>
      </w:r>
      <w:r w:rsidR="00583E1A">
        <w:noBreakHyphen/>
      </w:r>
      <w:r w:rsidRPr="00583E1A">
        <w:t xml:space="preserve">603 to </w:t>
      </w:r>
      <w:r w:rsidR="004A38FB" w:rsidRPr="00583E1A">
        <w:t>820</w:t>
      </w:r>
      <w:r w:rsidR="00583E1A">
        <w:noBreakHyphen/>
      </w:r>
      <w:r w:rsidR="004A38FB" w:rsidRPr="00583E1A">
        <w:t>615</w:t>
      </w:r>
      <w:r w:rsidRPr="00583E1A">
        <w:t xml:space="preserve"> apply if a choice is made under section</w:t>
      </w:r>
      <w:r w:rsidR="00583E1A">
        <w:t> </w:t>
      </w:r>
      <w:r w:rsidRPr="00583E1A">
        <w:t>820</w:t>
      </w:r>
      <w:r w:rsidR="00583E1A">
        <w:noBreakHyphen/>
      </w:r>
      <w:r w:rsidRPr="00583E1A">
        <w:t>597 or 820</w:t>
      </w:r>
      <w:r w:rsidR="00583E1A">
        <w:noBreakHyphen/>
      </w:r>
      <w:r w:rsidRPr="00583E1A">
        <w:t>599.</w:t>
      </w:r>
    </w:p>
    <w:p w:rsidR="00887330" w:rsidRPr="00583E1A" w:rsidRDefault="00887330" w:rsidP="00887330">
      <w:pPr>
        <w:pStyle w:val="ActHead5"/>
      </w:pPr>
      <w:bookmarkStart w:id="252" w:name="_Toc338939326"/>
      <w:r w:rsidRPr="00583E1A">
        <w:rPr>
          <w:rStyle w:val="CharSectno"/>
        </w:rPr>
        <w:t>820</w:t>
      </w:r>
      <w:r w:rsidR="00583E1A">
        <w:rPr>
          <w:rStyle w:val="CharSectno"/>
        </w:rPr>
        <w:noBreakHyphen/>
      </w:r>
      <w:r w:rsidRPr="00583E1A">
        <w:rPr>
          <w:rStyle w:val="CharSectno"/>
        </w:rPr>
        <w:t>603</w:t>
      </w:r>
      <w:r w:rsidRPr="00583E1A">
        <w:t xml:space="preserve">  General</w:t>
      </w:r>
      <w:bookmarkEnd w:id="252"/>
    </w:p>
    <w:p w:rsidR="00887330" w:rsidRPr="00583E1A" w:rsidRDefault="00887330" w:rsidP="00887330">
      <w:pPr>
        <w:pStyle w:val="subsection"/>
      </w:pPr>
      <w:r w:rsidRPr="00583E1A">
        <w:tab/>
        <w:t>(1)</w:t>
      </w:r>
      <w:r w:rsidRPr="00583E1A">
        <w:tab/>
        <w:t xml:space="preserve">The choice cannot be revoked in relation to the grouping period. It binds the </w:t>
      </w:r>
      <w:r w:rsidR="00583E1A" w:rsidRPr="00583E1A">
        <w:rPr>
          <w:position w:val="6"/>
          <w:sz w:val="16"/>
        </w:rPr>
        <w:t>*</w:t>
      </w:r>
      <w:r w:rsidRPr="00583E1A">
        <w:t>head company or the single company, as appropriate, and the establishment entity.</w:t>
      </w:r>
    </w:p>
    <w:p w:rsidR="00887330" w:rsidRPr="00583E1A" w:rsidRDefault="00887330" w:rsidP="00887330">
      <w:pPr>
        <w:pStyle w:val="subsection"/>
      </w:pPr>
      <w:r w:rsidRPr="00583E1A">
        <w:tab/>
        <w:t>(2)</w:t>
      </w:r>
      <w:r w:rsidRPr="00583E1A">
        <w:tab/>
        <w:t>The rest of this section applies:</w:t>
      </w:r>
    </w:p>
    <w:p w:rsidR="00887330" w:rsidRPr="00583E1A" w:rsidRDefault="00887330" w:rsidP="00887330">
      <w:pPr>
        <w:pStyle w:val="paragraph"/>
      </w:pPr>
      <w:r w:rsidRPr="00583E1A">
        <w:tab/>
        <w:t>(a)</w:t>
      </w:r>
      <w:r w:rsidRPr="00583E1A">
        <w:tab/>
        <w:t xml:space="preserve">to each </w:t>
      </w:r>
      <w:r w:rsidR="00583E1A" w:rsidRPr="00583E1A">
        <w:rPr>
          <w:position w:val="6"/>
          <w:sz w:val="16"/>
        </w:rPr>
        <w:t>*</w:t>
      </w:r>
      <w:r w:rsidRPr="00583E1A">
        <w:t>Australian permanent establishment that:</w:t>
      </w:r>
    </w:p>
    <w:p w:rsidR="00887330" w:rsidRPr="00583E1A" w:rsidRDefault="00887330" w:rsidP="00887330">
      <w:pPr>
        <w:pStyle w:val="paragraphsub"/>
      </w:pPr>
      <w:r w:rsidRPr="00583E1A">
        <w:tab/>
        <w:t>(i)</w:t>
      </w:r>
      <w:r w:rsidRPr="00583E1A">
        <w:tab/>
        <w:t>was an Australian permanent establishment of the establishment entity; and</w:t>
      </w:r>
    </w:p>
    <w:p w:rsidR="00887330" w:rsidRPr="00583E1A" w:rsidRDefault="00887330" w:rsidP="00887330">
      <w:pPr>
        <w:pStyle w:val="paragraphsub"/>
      </w:pPr>
      <w:r w:rsidRPr="00583E1A">
        <w:tab/>
        <w:t>(ii)</w:t>
      </w:r>
      <w:r w:rsidRPr="00583E1A">
        <w:tab/>
        <w:t xml:space="preserve">if the establishment entity was a </w:t>
      </w:r>
      <w:r w:rsidR="00583E1A" w:rsidRPr="00583E1A">
        <w:rPr>
          <w:position w:val="6"/>
          <w:sz w:val="16"/>
        </w:rPr>
        <w:t>*</w:t>
      </w:r>
      <w:r w:rsidRPr="00583E1A">
        <w:t xml:space="preserve">foreign bank—was an Australian permanent establishment through which the entity carried on banking </w:t>
      </w:r>
      <w:r w:rsidR="00583E1A" w:rsidRPr="00583E1A">
        <w:rPr>
          <w:position w:val="6"/>
          <w:sz w:val="16"/>
        </w:rPr>
        <w:t>*</w:t>
      </w:r>
      <w:r w:rsidRPr="00583E1A">
        <w:t xml:space="preserve">business in </w:t>
      </w:r>
      <w:smartTag w:uri="urn:schemas-microsoft-com:office:smarttags" w:element="country-region">
        <w:smartTag w:uri="urn:schemas-microsoft-com:office:smarttags" w:element="place">
          <w:r w:rsidRPr="00583E1A">
            <w:t>Australia</w:t>
          </w:r>
        </w:smartTag>
      </w:smartTag>
      <w:r w:rsidRPr="00583E1A">
        <w:t xml:space="preserve"> at any time in the grouping period; and</w:t>
      </w:r>
    </w:p>
    <w:p w:rsidR="00887330" w:rsidRPr="00583E1A" w:rsidRDefault="00887330" w:rsidP="00887330">
      <w:pPr>
        <w:pStyle w:val="paragraph"/>
      </w:pPr>
      <w:r w:rsidRPr="00583E1A">
        <w:tab/>
        <w:t>(b)</w:t>
      </w:r>
      <w:r w:rsidRPr="00583E1A">
        <w:tab/>
        <w:t xml:space="preserve">in relation to each time (the </w:t>
      </w:r>
      <w:r w:rsidRPr="00583E1A">
        <w:rPr>
          <w:b/>
          <w:i/>
        </w:rPr>
        <w:t>test time</w:t>
      </w:r>
      <w:r w:rsidRPr="00583E1A">
        <w:t>) that was in the grouping period and was when the Australian permanent establishment:</w:t>
      </w:r>
    </w:p>
    <w:p w:rsidR="00887330" w:rsidRPr="00583E1A" w:rsidRDefault="00887330" w:rsidP="00887330">
      <w:pPr>
        <w:pStyle w:val="paragraphsub"/>
      </w:pPr>
      <w:r w:rsidRPr="00583E1A">
        <w:tab/>
        <w:t>(i)</w:t>
      </w:r>
      <w:r w:rsidRPr="00583E1A">
        <w:tab/>
        <w:t>was an Australian permanent establishment of the establishment entity; and</w:t>
      </w:r>
    </w:p>
    <w:p w:rsidR="00887330" w:rsidRPr="00583E1A" w:rsidRDefault="00887330" w:rsidP="00887330">
      <w:pPr>
        <w:pStyle w:val="paragraphsub"/>
      </w:pPr>
      <w:r w:rsidRPr="00583E1A">
        <w:tab/>
        <w:t>(ii)</w:t>
      </w:r>
      <w:r w:rsidRPr="00583E1A">
        <w:tab/>
        <w:t xml:space="preserve">if the establishment entity was a foreign bank—was an Australian permanent establishment through which the entity carried on banking business in </w:t>
      </w:r>
      <w:smartTag w:uri="urn:schemas-microsoft-com:office:smarttags" w:element="country-region">
        <w:smartTag w:uri="urn:schemas-microsoft-com:office:smarttags" w:element="place">
          <w:r w:rsidRPr="00583E1A">
            <w:t>Australia</w:t>
          </w:r>
        </w:smartTag>
      </w:smartTag>
      <w:r w:rsidRPr="00583E1A">
        <w:t>.</w:t>
      </w:r>
    </w:p>
    <w:p w:rsidR="00887330" w:rsidRPr="00583E1A" w:rsidRDefault="00887330" w:rsidP="00887330">
      <w:pPr>
        <w:pStyle w:val="subsection"/>
      </w:pPr>
      <w:r w:rsidRPr="00583E1A">
        <w:tab/>
        <w:t>(3)</w:t>
      </w:r>
      <w:r w:rsidRPr="00583E1A">
        <w:tab/>
        <w:t>In the case of a choice under section</w:t>
      </w:r>
      <w:r w:rsidR="00583E1A">
        <w:t> </w:t>
      </w:r>
      <w:r w:rsidRPr="00583E1A">
        <w:t>820</w:t>
      </w:r>
      <w:r w:rsidR="00583E1A">
        <w:noBreakHyphen/>
      </w:r>
      <w:r w:rsidRPr="00583E1A">
        <w:t>597, this Division (except Subdivision</w:t>
      </w:r>
      <w:r w:rsidR="00583E1A">
        <w:t> </w:t>
      </w:r>
      <w:r w:rsidRPr="00583E1A">
        <w:t>820</w:t>
      </w:r>
      <w:r w:rsidR="00583E1A">
        <w:noBreakHyphen/>
      </w:r>
      <w:r w:rsidRPr="00583E1A">
        <w:t>FA, this Subdivision and Subdivision</w:t>
      </w:r>
      <w:r w:rsidR="00583E1A">
        <w:t> </w:t>
      </w:r>
      <w:r w:rsidRPr="00583E1A">
        <w:t>820</w:t>
      </w:r>
      <w:r w:rsidR="00583E1A">
        <w:noBreakHyphen/>
      </w:r>
      <w:r w:rsidRPr="00583E1A">
        <w:t xml:space="preserve">L) applies as if, at the test time, the </w:t>
      </w:r>
      <w:r w:rsidR="00583E1A" w:rsidRPr="00583E1A">
        <w:rPr>
          <w:position w:val="6"/>
          <w:sz w:val="16"/>
        </w:rPr>
        <w:t>*</w:t>
      </w:r>
      <w:r w:rsidRPr="00583E1A">
        <w:t>Australian permanent establishment:</w:t>
      </w:r>
    </w:p>
    <w:p w:rsidR="00887330" w:rsidRPr="00583E1A" w:rsidRDefault="00887330" w:rsidP="00887330">
      <w:pPr>
        <w:pStyle w:val="paragraph"/>
      </w:pPr>
      <w:r w:rsidRPr="00583E1A">
        <w:tab/>
        <w:t>(a)</w:t>
      </w:r>
      <w:r w:rsidRPr="00583E1A">
        <w:tab/>
        <w:t xml:space="preserve">had been part of the </w:t>
      </w:r>
      <w:r w:rsidR="00583E1A" w:rsidRPr="00583E1A">
        <w:rPr>
          <w:position w:val="6"/>
          <w:sz w:val="16"/>
        </w:rPr>
        <w:t>*</w:t>
      </w:r>
      <w:r w:rsidRPr="00583E1A">
        <w:t>head company; and</w:t>
      </w:r>
    </w:p>
    <w:p w:rsidR="00887330" w:rsidRPr="00583E1A" w:rsidRDefault="00887330" w:rsidP="00887330">
      <w:pPr>
        <w:pStyle w:val="paragraph"/>
      </w:pPr>
      <w:r w:rsidRPr="00583E1A">
        <w:tab/>
        <w:t>(b)</w:t>
      </w:r>
      <w:r w:rsidRPr="00583E1A">
        <w:tab/>
        <w:t xml:space="preserve">had </w:t>
      </w:r>
      <w:r w:rsidRPr="00583E1A">
        <w:rPr>
          <w:i/>
        </w:rPr>
        <w:t>not</w:t>
      </w:r>
      <w:r w:rsidRPr="00583E1A">
        <w:t xml:space="preserve"> been part of the establishment entity; and</w:t>
      </w:r>
    </w:p>
    <w:p w:rsidR="00887330" w:rsidRPr="00583E1A" w:rsidRDefault="00887330" w:rsidP="00887330">
      <w:pPr>
        <w:pStyle w:val="paragraph"/>
      </w:pPr>
      <w:r w:rsidRPr="00583E1A">
        <w:tab/>
        <w:t>(c)</w:t>
      </w:r>
      <w:r w:rsidRPr="00583E1A">
        <w:tab/>
        <w:t xml:space="preserve">were a </w:t>
      </w:r>
      <w:r w:rsidR="00583E1A" w:rsidRPr="00583E1A">
        <w:rPr>
          <w:position w:val="6"/>
          <w:sz w:val="16"/>
        </w:rPr>
        <w:t>*</w:t>
      </w:r>
      <w:r w:rsidRPr="00583E1A">
        <w:t xml:space="preserve">subsidiary member of the </w:t>
      </w:r>
      <w:r w:rsidR="00583E1A" w:rsidRPr="00583E1A">
        <w:rPr>
          <w:position w:val="6"/>
          <w:sz w:val="16"/>
        </w:rPr>
        <w:t>*</w:t>
      </w:r>
      <w:r w:rsidRPr="00583E1A">
        <w:t xml:space="preserve">consolidated group or </w:t>
      </w:r>
      <w:r w:rsidR="00583E1A" w:rsidRPr="00583E1A">
        <w:rPr>
          <w:position w:val="6"/>
          <w:sz w:val="16"/>
        </w:rPr>
        <w:t>*</w:t>
      </w:r>
      <w:r w:rsidRPr="00583E1A">
        <w:t>MEC group.</w:t>
      </w:r>
    </w:p>
    <w:p w:rsidR="00887330" w:rsidRPr="00583E1A" w:rsidRDefault="00887330" w:rsidP="00887330">
      <w:pPr>
        <w:pStyle w:val="subsection"/>
      </w:pPr>
      <w:r w:rsidRPr="00583E1A">
        <w:lastRenderedPageBreak/>
        <w:tab/>
        <w:t>(4)</w:t>
      </w:r>
      <w:r w:rsidRPr="00583E1A">
        <w:tab/>
        <w:t>In the case of a choice under section</w:t>
      </w:r>
      <w:r w:rsidR="00583E1A">
        <w:t> </w:t>
      </w:r>
      <w:r w:rsidRPr="00583E1A">
        <w:t>820</w:t>
      </w:r>
      <w:r w:rsidR="00583E1A">
        <w:noBreakHyphen/>
      </w:r>
      <w:r w:rsidRPr="00583E1A">
        <w:t>599, this Division (except Subdivision</w:t>
      </w:r>
      <w:r w:rsidR="00583E1A">
        <w:t> </w:t>
      </w:r>
      <w:r w:rsidRPr="00583E1A">
        <w:t>820</w:t>
      </w:r>
      <w:r w:rsidR="00583E1A">
        <w:noBreakHyphen/>
      </w:r>
      <w:r w:rsidRPr="00583E1A">
        <w:t>FA, this Subdivision and Subdivision</w:t>
      </w:r>
      <w:r w:rsidR="00583E1A">
        <w:t> </w:t>
      </w:r>
      <w:r w:rsidRPr="00583E1A">
        <w:t>820</w:t>
      </w:r>
      <w:r w:rsidR="00583E1A">
        <w:noBreakHyphen/>
      </w:r>
      <w:r w:rsidRPr="00583E1A">
        <w:t>L) applies as if, at the test time:</w:t>
      </w:r>
    </w:p>
    <w:p w:rsidR="00887330" w:rsidRPr="00583E1A" w:rsidRDefault="00887330" w:rsidP="00887330">
      <w:pPr>
        <w:pStyle w:val="paragraph"/>
      </w:pPr>
      <w:r w:rsidRPr="00583E1A">
        <w:tab/>
        <w:t>(a)</w:t>
      </w:r>
      <w:r w:rsidRPr="00583E1A">
        <w:tab/>
        <w:t xml:space="preserve">the </w:t>
      </w:r>
      <w:r w:rsidR="00583E1A" w:rsidRPr="00583E1A">
        <w:rPr>
          <w:position w:val="6"/>
          <w:sz w:val="16"/>
        </w:rPr>
        <w:t>*</w:t>
      </w:r>
      <w:r w:rsidRPr="00583E1A">
        <w:t xml:space="preserve">Australian permanent establishment had been part of the single company and had </w:t>
      </w:r>
      <w:r w:rsidRPr="00583E1A">
        <w:rPr>
          <w:i/>
        </w:rPr>
        <w:t>not</w:t>
      </w:r>
      <w:r w:rsidRPr="00583E1A">
        <w:t xml:space="preserve"> been part of the establishment entity; and</w:t>
      </w:r>
    </w:p>
    <w:p w:rsidR="00887330" w:rsidRPr="00583E1A" w:rsidRDefault="00887330" w:rsidP="00887330">
      <w:pPr>
        <w:pStyle w:val="paragraph"/>
      </w:pPr>
      <w:r w:rsidRPr="00583E1A">
        <w:tab/>
        <w:t>(b)</w:t>
      </w:r>
      <w:r w:rsidRPr="00583E1A">
        <w:tab/>
        <w:t xml:space="preserve">the single company were a </w:t>
      </w:r>
      <w:r w:rsidR="00583E1A" w:rsidRPr="00583E1A">
        <w:rPr>
          <w:position w:val="6"/>
          <w:sz w:val="16"/>
        </w:rPr>
        <w:t>*</w:t>
      </w:r>
      <w:r w:rsidRPr="00583E1A">
        <w:t xml:space="preserve">consolidated group of which the single company was the </w:t>
      </w:r>
      <w:r w:rsidR="00583E1A" w:rsidRPr="00583E1A">
        <w:rPr>
          <w:position w:val="6"/>
          <w:sz w:val="16"/>
        </w:rPr>
        <w:t>*</w:t>
      </w:r>
      <w:r w:rsidRPr="00583E1A">
        <w:t xml:space="preserve">head company and the Australian permanent establishment was a </w:t>
      </w:r>
      <w:r w:rsidR="00583E1A" w:rsidRPr="00583E1A">
        <w:rPr>
          <w:position w:val="6"/>
          <w:sz w:val="16"/>
        </w:rPr>
        <w:t>*</w:t>
      </w:r>
      <w:r w:rsidRPr="00583E1A">
        <w:t>subsidiary member.</w:t>
      </w:r>
    </w:p>
    <w:p w:rsidR="00887330" w:rsidRPr="00583E1A" w:rsidRDefault="00887330" w:rsidP="00887330">
      <w:pPr>
        <w:pStyle w:val="subsection"/>
      </w:pPr>
      <w:r w:rsidRPr="00583E1A">
        <w:tab/>
        <w:t>(5)</w:t>
      </w:r>
      <w:r w:rsidRPr="00583E1A">
        <w:tab/>
        <w:t xml:space="preserve">In either case, without limiting </w:t>
      </w:r>
      <w:r w:rsidR="00583E1A">
        <w:t>subsection (</w:t>
      </w:r>
      <w:r w:rsidRPr="00583E1A">
        <w:t>3) or (4), this Division (except Subdivision</w:t>
      </w:r>
      <w:r w:rsidR="00583E1A">
        <w:t> </w:t>
      </w:r>
      <w:r w:rsidRPr="00583E1A">
        <w:t>820</w:t>
      </w:r>
      <w:r w:rsidR="00583E1A">
        <w:noBreakHyphen/>
      </w:r>
      <w:r w:rsidRPr="00583E1A">
        <w:t>FA, this Subdivision and Subdivision</w:t>
      </w:r>
      <w:r w:rsidR="00583E1A">
        <w:t> </w:t>
      </w:r>
      <w:r w:rsidRPr="00583E1A">
        <w:t>820</w:t>
      </w:r>
      <w:r w:rsidR="00583E1A">
        <w:noBreakHyphen/>
      </w:r>
      <w:r w:rsidRPr="00583E1A">
        <w:t>L) applies as if:</w:t>
      </w:r>
    </w:p>
    <w:p w:rsidR="00887330" w:rsidRPr="00583E1A" w:rsidRDefault="00887330" w:rsidP="00887330">
      <w:pPr>
        <w:pStyle w:val="paragraph"/>
      </w:pPr>
      <w:r w:rsidRPr="00583E1A">
        <w:tab/>
        <w:t>(a)</w:t>
      </w:r>
      <w:r w:rsidRPr="00583E1A">
        <w:tab/>
        <w:t xml:space="preserve">the </w:t>
      </w:r>
      <w:r w:rsidR="00583E1A" w:rsidRPr="00583E1A">
        <w:rPr>
          <w:position w:val="6"/>
          <w:sz w:val="16"/>
        </w:rPr>
        <w:t>*</w:t>
      </w:r>
      <w:r w:rsidRPr="00583E1A">
        <w:t>Australian permanent establishment were an entity at that time; and</w:t>
      </w:r>
    </w:p>
    <w:p w:rsidR="00887330" w:rsidRPr="00583E1A" w:rsidRDefault="00887330" w:rsidP="00887330">
      <w:pPr>
        <w:pStyle w:val="paragraph"/>
      </w:pPr>
      <w:r w:rsidRPr="00583E1A">
        <w:tab/>
        <w:t>(b)</w:t>
      </w:r>
      <w:r w:rsidRPr="00583E1A">
        <w:tab/>
        <w:t>each asset and liability of the establishment entity at the test time that is attributable to the Australian permanent establishment were an asset or liability of the Australian permanent establishment at that time; and</w:t>
      </w:r>
    </w:p>
    <w:p w:rsidR="00887330" w:rsidRPr="00583E1A" w:rsidRDefault="00887330" w:rsidP="00887330">
      <w:pPr>
        <w:pStyle w:val="paragraph"/>
      </w:pPr>
      <w:r w:rsidRPr="00583E1A">
        <w:tab/>
        <w:t>(c)</w:t>
      </w:r>
      <w:r w:rsidRPr="00583E1A">
        <w:tab/>
        <w:t xml:space="preserve">without limiting </w:t>
      </w:r>
      <w:r w:rsidR="00583E1A">
        <w:t>paragraph (</w:t>
      </w:r>
      <w:r w:rsidRPr="00583E1A">
        <w:t>b) of this subsection, each cost that:</w:t>
      </w:r>
    </w:p>
    <w:p w:rsidR="00887330" w:rsidRPr="00583E1A" w:rsidRDefault="00887330" w:rsidP="00887330">
      <w:pPr>
        <w:pStyle w:val="paragraphsub"/>
      </w:pPr>
      <w:r w:rsidRPr="00583E1A">
        <w:tab/>
        <w:t>(i)</w:t>
      </w:r>
      <w:r w:rsidRPr="00583E1A">
        <w:tab/>
        <w:t xml:space="preserve">is a </w:t>
      </w:r>
      <w:r w:rsidR="00583E1A" w:rsidRPr="00583E1A">
        <w:rPr>
          <w:position w:val="6"/>
          <w:sz w:val="16"/>
        </w:rPr>
        <w:t>*</w:t>
      </w:r>
      <w:r w:rsidRPr="00583E1A">
        <w:t>debt deduction of the establishment entity incurred at the test time; and</w:t>
      </w:r>
    </w:p>
    <w:p w:rsidR="00887330" w:rsidRPr="00583E1A" w:rsidRDefault="00887330" w:rsidP="00887330">
      <w:pPr>
        <w:pStyle w:val="paragraphsub"/>
      </w:pPr>
      <w:r w:rsidRPr="00583E1A">
        <w:tab/>
        <w:t>(ii)</w:t>
      </w:r>
      <w:r w:rsidRPr="00583E1A">
        <w:tab/>
        <w:t>is attributable to the Australian permanent establishment;</w:t>
      </w:r>
    </w:p>
    <w:p w:rsidR="00887330" w:rsidRPr="00583E1A" w:rsidRDefault="00887330" w:rsidP="00887330">
      <w:pPr>
        <w:pStyle w:val="paragraph"/>
      </w:pPr>
      <w:r w:rsidRPr="00583E1A">
        <w:tab/>
      </w:r>
      <w:r w:rsidRPr="00583E1A">
        <w:tab/>
        <w:t>were a cost incurred by the Australian permanent establishment at that time;</w:t>
      </w:r>
    </w:p>
    <w:p w:rsidR="00887330" w:rsidRPr="00583E1A" w:rsidRDefault="00887330" w:rsidP="00887330">
      <w:pPr>
        <w:pStyle w:val="TLPnoteright"/>
      </w:pPr>
      <w:r w:rsidRPr="00583E1A">
        <w:t>For the effects of disallowing debt deductions, see section</w:t>
      </w:r>
      <w:r w:rsidR="00583E1A">
        <w:t> </w:t>
      </w:r>
      <w:r w:rsidRPr="00583E1A">
        <w:t>820</w:t>
      </w:r>
      <w:r w:rsidR="00583E1A">
        <w:noBreakHyphen/>
      </w:r>
      <w:r w:rsidRPr="00583E1A">
        <w:t>605.</w:t>
      </w:r>
    </w:p>
    <w:p w:rsidR="00887330" w:rsidRPr="00583E1A" w:rsidRDefault="00887330" w:rsidP="00887330">
      <w:pPr>
        <w:pStyle w:val="subsection"/>
      </w:pPr>
      <w:r w:rsidRPr="00583E1A">
        <w:tab/>
        <w:t>(6)</w:t>
      </w:r>
      <w:r w:rsidRPr="00583E1A">
        <w:tab/>
        <w:t>However, the application of this Division because of this section is subject to the modifications set out in sections</w:t>
      </w:r>
      <w:r w:rsidR="00583E1A">
        <w:t> </w:t>
      </w:r>
      <w:r w:rsidRPr="00583E1A">
        <w:t>820</w:t>
      </w:r>
      <w:r w:rsidR="00583E1A">
        <w:noBreakHyphen/>
      </w:r>
      <w:r w:rsidRPr="00583E1A">
        <w:t xml:space="preserve">607 to </w:t>
      </w:r>
      <w:r w:rsidR="001F4205" w:rsidRPr="00583E1A">
        <w:t>820</w:t>
      </w:r>
      <w:r w:rsidR="00583E1A">
        <w:noBreakHyphen/>
      </w:r>
      <w:r w:rsidR="001F4205" w:rsidRPr="00583E1A">
        <w:t>615</w:t>
      </w:r>
      <w:r w:rsidRPr="00583E1A">
        <w:t>.</w:t>
      </w:r>
    </w:p>
    <w:p w:rsidR="00887330" w:rsidRPr="00583E1A" w:rsidRDefault="00887330" w:rsidP="00887330">
      <w:pPr>
        <w:pStyle w:val="subsection"/>
      </w:pPr>
      <w:r w:rsidRPr="00583E1A">
        <w:tab/>
        <w:t>(7)</w:t>
      </w:r>
      <w:r w:rsidRPr="00583E1A">
        <w:tab/>
        <w:t xml:space="preserve">For the purposes of this Division (as applying because of this Subdivision), this Act (except this Division) applies as if the matters referred to in </w:t>
      </w:r>
      <w:r w:rsidR="00583E1A">
        <w:t>subsections (</w:t>
      </w:r>
      <w:r w:rsidRPr="00583E1A">
        <w:t>3), (4) and (5) of this section were the case.</w:t>
      </w:r>
    </w:p>
    <w:p w:rsidR="00887330" w:rsidRPr="00583E1A" w:rsidRDefault="00887330" w:rsidP="00887330">
      <w:pPr>
        <w:pStyle w:val="notetext"/>
      </w:pPr>
      <w:r w:rsidRPr="00583E1A">
        <w:t>Note:</w:t>
      </w:r>
      <w:r w:rsidRPr="00583E1A">
        <w:tab/>
        <w:t>For example, this means that a head company is treated for the purposes of this Division as if it had debt deductions based on the actual costs incurred by an Australian permanent establishment while it is treated as part of the head company because of this section.</w:t>
      </w:r>
    </w:p>
    <w:p w:rsidR="00887330" w:rsidRPr="00583E1A" w:rsidRDefault="00887330" w:rsidP="00887330">
      <w:pPr>
        <w:pStyle w:val="ActHead5"/>
      </w:pPr>
      <w:bookmarkStart w:id="253" w:name="_Toc338939327"/>
      <w:r w:rsidRPr="00583E1A">
        <w:rPr>
          <w:rStyle w:val="CharSectno"/>
        </w:rPr>
        <w:lastRenderedPageBreak/>
        <w:t>820</w:t>
      </w:r>
      <w:r w:rsidR="00583E1A">
        <w:rPr>
          <w:rStyle w:val="CharSectno"/>
        </w:rPr>
        <w:noBreakHyphen/>
      </w:r>
      <w:r w:rsidRPr="00583E1A">
        <w:rPr>
          <w:rStyle w:val="CharSectno"/>
        </w:rPr>
        <w:t>605</w:t>
      </w:r>
      <w:r w:rsidRPr="00583E1A">
        <w:t xml:space="preserve">  Effect on establishment entity if certain debt deductions disallowed</w:t>
      </w:r>
      <w:bookmarkEnd w:id="253"/>
    </w:p>
    <w:p w:rsidR="00887330" w:rsidRPr="00583E1A" w:rsidRDefault="00887330" w:rsidP="00887330">
      <w:pPr>
        <w:pStyle w:val="subsection"/>
      </w:pPr>
      <w:r w:rsidRPr="00583E1A">
        <w:tab/>
      </w:r>
      <w:r w:rsidRPr="00583E1A">
        <w:tab/>
        <w:t>If:</w:t>
      </w:r>
    </w:p>
    <w:p w:rsidR="00887330" w:rsidRPr="00583E1A" w:rsidRDefault="00887330" w:rsidP="00887330">
      <w:pPr>
        <w:pStyle w:val="paragraph"/>
      </w:pPr>
      <w:r w:rsidRPr="00583E1A">
        <w:tab/>
        <w:t>(a)</w:t>
      </w:r>
      <w:r w:rsidRPr="00583E1A">
        <w:tab/>
        <w:t xml:space="preserve">apart from this Division, a </w:t>
      </w:r>
      <w:r w:rsidR="00583E1A" w:rsidRPr="00583E1A">
        <w:rPr>
          <w:position w:val="6"/>
          <w:sz w:val="16"/>
        </w:rPr>
        <w:t>*</w:t>
      </w:r>
      <w:r w:rsidRPr="00583E1A">
        <w:t>debt deduction would be a deduction of the establishment entity for an income year; and</w:t>
      </w:r>
    </w:p>
    <w:p w:rsidR="00887330" w:rsidRPr="00583E1A" w:rsidRDefault="00887330" w:rsidP="00887330">
      <w:pPr>
        <w:pStyle w:val="paragraph"/>
      </w:pPr>
      <w:r w:rsidRPr="00583E1A">
        <w:tab/>
        <w:t>(b)</w:t>
      </w:r>
      <w:r w:rsidRPr="00583E1A">
        <w:tab/>
        <w:t xml:space="preserve">this Division (as applying because of this Subdivision) disallows all or part of the deduction (treated as a deduction of the </w:t>
      </w:r>
      <w:r w:rsidR="00583E1A" w:rsidRPr="00583E1A">
        <w:rPr>
          <w:position w:val="6"/>
          <w:sz w:val="16"/>
        </w:rPr>
        <w:t>*</w:t>
      </w:r>
      <w:r w:rsidRPr="00583E1A">
        <w:t>head company or single company);</w:t>
      </w:r>
    </w:p>
    <w:p w:rsidR="00887330" w:rsidRPr="00583E1A" w:rsidRDefault="00887330" w:rsidP="00887330">
      <w:pPr>
        <w:pStyle w:val="subsection2"/>
      </w:pPr>
      <w:r w:rsidRPr="00583E1A">
        <w:t>this section disallows the deduction of the establishment entity, or that part of it, as appropriate.</w:t>
      </w:r>
    </w:p>
    <w:p w:rsidR="00887330" w:rsidRPr="00583E1A" w:rsidRDefault="00887330" w:rsidP="00887330">
      <w:pPr>
        <w:pStyle w:val="notetext"/>
      </w:pPr>
      <w:r w:rsidRPr="00583E1A">
        <w:t>Note 1A:</w:t>
      </w:r>
      <w:r w:rsidRPr="00583E1A">
        <w:tab/>
        <w:t>The disallowed amount also does not form part of the cost base of a CGT asset. See section</w:t>
      </w:r>
      <w:r w:rsidR="00583E1A">
        <w:t> </w:t>
      </w:r>
      <w:r w:rsidRPr="00583E1A">
        <w:t>110</w:t>
      </w:r>
      <w:r w:rsidR="00583E1A">
        <w:noBreakHyphen/>
      </w:r>
      <w:r w:rsidRPr="00583E1A">
        <w:t>54.</w:t>
      </w:r>
    </w:p>
    <w:p w:rsidR="00887330" w:rsidRPr="00583E1A" w:rsidRDefault="00887330" w:rsidP="00887330">
      <w:pPr>
        <w:pStyle w:val="notetext"/>
      </w:pPr>
      <w:r w:rsidRPr="00583E1A">
        <w:t>Note 1:</w:t>
      </w:r>
      <w:r w:rsidRPr="00583E1A">
        <w:tab/>
        <w:t>This Division does not disallow a debt deduction that the establishment entity incurs during the grouping period and that consists of a cost that is:</w:t>
      </w:r>
    </w:p>
    <w:p w:rsidR="00887330" w:rsidRPr="00583E1A" w:rsidRDefault="00887330" w:rsidP="00887330">
      <w:pPr>
        <w:pStyle w:val="TLPNotebullet"/>
        <w:tabs>
          <w:tab w:val="clear" w:pos="2517"/>
        </w:tabs>
      </w:pPr>
      <w:r w:rsidRPr="00583E1A">
        <w:t>attributable to an Australian permanent establishment covered by the choice under section</w:t>
      </w:r>
      <w:r w:rsidR="00583E1A">
        <w:t> </w:t>
      </w:r>
      <w:r w:rsidRPr="00583E1A">
        <w:t>820</w:t>
      </w:r>
      <w:r w:rsidR="00583E1A">
        <w:noBreakHyphen/>
      </w:r>
      <w:r w:rsidRPr="00583E1A">
        <w:t>597 or 820</w:t>
      </w:r>
      <w:r w:rsidR="00583E1A">
        <w:noBreakHyphen/>
      </w:r>
      <w:r w:rsidRPr="00583E1A">
        <w:t>599; and</w:t>
      </w:r>
    </w:p>
    <w:p w:rsidR="00887330" w:rsidRPr="00583E1A" w:rsidRDefault="00887330" w:rsidP="00887330">
      <w:pPr>
        <w:pStyle w:val="TLPNotebullet"/>
        <w:tabs>
          <w:tab w:val="clear" w:pos="2517"/>
        </w:tabs>
      </w:pPr>
      <w:r w:rsidRPr="00583E1A">
        <w:t>paid or owed to the head company or single company.</w:t>
      </w:r>
    </w:p>
    <w:p w:rsidR="00887330" w:rsidRPr="00583E1A" w:rsidRDefault="00887330" w:rsidP="00887330">
      <w:pPr>
        <w:pStyle w:val="notetext"/>
      </w:pPr>
      <w:r w:rsidRPr="00583E1A">
        <w:tab/>
        <w:t>The cost is not a debt deduction of the head company or single company for the purposes of this Division as applying because of this Subdivision. This is because subsection 820</w:t>
      </w:r>
      <w:r w:rsidR="00583E1A">
        <w:noBreakHyphen/>
      </w:r>
      <w:r w:rsidRPr="00583E1A">
        <w:t>603(3) or (4) treats the Australian permanent establishment as being part of the head company or single company, so the cost is treated as being paid or owed by the head company or single company to itself.</w:t>
      </w:r>
    </w:p>
    <w:p w:rsidR="00887330" w:rsidRPr="00583E1A" w:rsidRDefault="00887330" w:rsidP="00887330">
      <w:pPr>
        <w:pStyle w:val="notetext"/>
      </w:pPr>
      <w:r w:rsidRPr="00583E1A">
        <w:tab/>
        <w:t>Because subsection 820</w:t>
      </w:r>
      <w:r w:rsidR="00583E1A">
        <w:noBreakHyphen/>
      </w:r>
      <w:r w:rsidRPr="00583E1A">
        <w:t>603(3) or (4) also treats the Australian permanent establishment as not being part of the establishment entity, the cost is not a debt deduction of the establishment entity, so it is not disallowed by this Division as applying to the establishment entity.</w:t>
      </w:r>
    </w:p>
    <w:p w:rsidR="00887330" w:rsidRPr="00583E1A" w:rsidRDefault="00887330" w:rsidP="00887330">
      <w:pPr>
        <w:pStyle w:val="notetext"/>
      </w:pPr>
      <w:r w:rsidRPr="00583E1A">
        <w:t>Note 2:</w:t>
      </w:r>
      <w:r w:rsidRPr="00583E1A">
        <w:tab/>
        <w:t>This Division also does not disallow a debt deduction that the head company or single company incurs during the grouping period and that consists of a cost that is:</w:t>
      </w:r>
    </w:p>
    <w:p w:rsidR="00887330" w:rsidRPr="00583E1A" w:rsidRDefault="00887330" w:rsidP="00887330">
      <w:pPr>
        <w:pStyle w:val="TLPNotebullet"/>
        <w:tabs>
          <w:tab w:val="clear" w:pos="2517"/>
        </w:tabs>
      </w:pPr>
      <w:r w:rsidRPr="00583E1A">
        <w:t>paid or owed to the establishment entity; and</w:t>
      </w:r>
    </w:p>
    <w:p w:rsidR="00887330" w:rsidRPr="00583E1A" w:rsidRDefault="00887330" w:rsidP="00887330">
      <w:pPr>
        <w:pStyle w:val="TLPNotebullet"/>
        <w:tabs>
          <w:tab w:val="clear" w:pos="2517"/>
        </w:tabs>
      </w:pPr>
      <w:r w:rsidRPr="00583E1A">
        <w:t>is attributable to an Australian permanent establishment covered by the choice under section</w:t>
      </w:r>
      <w:r w:rsidR="00583E1A">
        <w:t> </w:t>
      </w:r>
      <w:r w:rsidRPr="00583E1A">
        <w:t>820</w:t>
      </w:r>
      <w:r w:rsidR="00583E1A">
        <w:noBreakHyphen/>
      </w:r>
      <w:r w:rsidRPr="00583E1A">
        <w:t>597 or 820</w:t>
      </w:r>
      <w:r w:rsidR="00583E1A">
        <w:noBreakHyphen/>
      </w:r>
      <w:r w:rsidRPr="00583E1A">
        <w:t>599.</w:t>
      </w:r>
    </w:p>
    <w:p w:rsidR="00887330" w:rsidRPr="00583E1A" w:rsidRDefault="00887330" w:rsidP="00F42B5E">
      <w:pPr>
        <w:pStyle w:val="notetext"/>
        <w:keepNext/>
        <w:keepLines/>
      </w:pPr>
      <w:r w:rsidRPr="00583E1A">
        <w:lastRenderedPageBreak/>
        <w:tab/>
        <w:t>The cost is not a debt deduction of the head company or single company for the purposes of this Division as applying because of this Subdivision. This is because subsection 820</w:t>
      </w:r>
      <w:r w:rsidR="00583E1A">
        <w:noBreakHyphen/>
      </w:r>
      <w:r w:rsidRPr="00583E1A">
        <w:t>603(3) or (4) treats the Australian permanent establishment as being part of the head company or single company, so the cost is treated as being paid or owed by the head company or single company to itself.</w:t>
      </w:r>
    </w:p>
    <w:p w:rsidR="00887330" w:rsidRPr="00583E1A" w:rsidRDefault="00887330" w:rsidP="00887330">
      <w:pPr>
        <w:pStyle w:val="ActHead5"/>
      </w:pPr>
      <w:bookmarkStart w:id="254" w:name="_Toc338939328"/>
      <w:r w:rsidRPr="00583E1A">
        <w:rPr>
          <w:rStyle w:val="CharSectno"/>
        </w:rPr>
        <w:t>820</w:t>
      </w:r>
      <w:r w:rsidR="00583E1A">
        <w:rPr>
          <w:rStyle w:val="CharSectno"/>
        </w:rPr>
        <w:noBreakHyphen/>
      </w:r>
      <w:r w:rsidRPr="00583E1A">
        <w:rPr>
          <w:rStyle w:val="CharSectno"/>
        </w:rPr>
        <w:t>607</w:t>
      </w:r>
      <w:r w:rsidRPr="00583E1A">
        <w:t xml:space="preserve">  Effect on test periods under this Division</w:t>
      </w:r>
      <w:bookmarkEnd w:id="254"/>
    </w:p>
    <w:p w:rsidR="00887330" w:rsidRPr="00583E1A" w:rsidRDefault="00887330" w:rsidP="00887330">
      <w:pPr>
        <w:pStyle w:val="subsection"/>
      </w:pPr>
      <w:r w:rsidRPr="00583E1A">
        <w:tab/>
      </w:r>
      <w:r w:rsidRPr="00583E1A">
        <w:tab/>
        <w:t xml:space="preserve">If, apart from this section, this Division (except this Subdivision) would have a single application to the </w:t>
      </w:r>
      <w:r w:rsidR="00583E1A" w:rsidRPr="00583E1A">
        <w:rPr>
          <w:position w:val="6"/>
          <w:sz w:val="16"/>
        </w:rPr>
        <w:t>*</w:t>
      </w:r>
      <w:r w:rsidRPr="00583E1A">
        <w:t xml:space="preserve">head company or single company, or to the establishment entity, in relation to a period (the </w:t>
      </w:r>
      <w:r w:rsidRPr="00583E1A">
        <w:rPr>
          <w:b/>
          <w:i/>
        </w:rPr>
        <w:t>test period</w:t>
      </w:r>
      <w:r w:rsidRPr="00583E1A">
        <w:t>) that:</w:t>
      </w:r>
    </w:p>
    <w:p w:rsidR="00887330" w:rsidRPr="00583E1A" w:rsidRDefault="00887330" w:rsidP="00887330">
      <w:pPr>
        <w:pStyle w:val="paragraph"/>
      </w:pPr>
      <w:r w:rsidRPr="00583E1A">
        <w:tab/>
        <w:t>(a)</w:t>
      </w:r>
      <w:r w:rsidRPr="00583E1A">
        <w:tab/>
        <w:t>is all or part of an income year of that entity; and</w:t>
      </w:r>
    </w:p>
    <w:p w:rsidR="00887330" w:rsidRPr="00583E1A" w:rsidRDefault="00887330" w:rsidP="00887330">
      <w:pPr>
        <w:pStyle w:val="paragraph"/>
      </w:pPr>
      <w:r w:rsidRPr="00583E1A">
        <w:tab/>
        <w:t>(b)</w:t>
      </w:r>
      <w:r w:rsidRPr="00583E1A">
        <w:tab/>
        <w:t>overlaps the grouping period;</w:t>
      </w:r>
    </w:p>
    <w:p w:rsidR="00887330" w:rsidRPr="00583E1A" w:rsidRDefault="00887330" w:rsidP="00887330">
      <w:pPr>
        <w:pStyle w:val="subsection2"/>
      </w:pPr>
      <w:r w:rsidRPr="00583E1A">
        <w:t>this Division (except this section) is to have separate applications to that entity as follows:</w:t>
      </w:r>
    </w:p>
    <w:p w:rsidR="00887330" w:rsidRPr="00583E1A" w:rsidRDefault="00887330" w:rsidP="00887330">
      <w:pPr>
        <w:pStyle w:val="paragraph"/>
      </w:pPr>
      <w:r w:rsidRPr="00583E1A">
        <w:tab/>
        <w:t>(c)</w:t>
      </w:r>
      <w:r w:rsidRPr="00583E1A">
        <w:tab/>
        <w:t>a single application in relation to the period of overlap; and</w:t>
      </w:r>
    </w:p>
    <w:p w:rsidR="00887330" w:rsidRPr="00583E1A" w:rsidRDefault="00887330" w:rsidP="00887330">
      <w:pPr>
        <w:pStyle w:val="paragraph"/>
      </w:pPr>
      <w:r w:rsidRPr="00583E1A">
        <w:tab/>
        <w:t>(d)</w:t>
      </w:r>
      <w:r w:rsidRPr="00583E1A">
        <w:tab/>
        <w:t>a single application in relation to the part (if any) of the test period that is before the period of overlap; and</w:t>
      </w:r>
    </w:p>
    <w:p w:rsidR="00887330" w:rsidRPr="00583E1A" w:rsidRDefault="00887330" w:rsidP="00887330">
      <w:pPr>
        <w:pStyle w:val="paragraph"/>
      </w:pPr>
      <w:r w:rsidRPr="00583E1A">
        <w:tab/>
        <w:t>(e)</w:t>
      </w:r>
      <w:r w:rsidRPr="00583E1A">
        <w:tab/>
        <w:t>a single application in relation to the part (if any) of the test period that is after the period of overlap.</w:t>
      </w:r>
    </w:p>
    <w:p w:rsidR="00887330" w:rsidRPr="00583E1A" w:rsidRDefault="00887330" w:rsidP="00887330">
      <w:pPr>
        <w:pStyle w:val="ActHead5"/>
      </w:pPr>
      <w:bookmarkStart w:id="255" w:name="_Toc338939329"/>
      <w:r w:rsidRPr="00583E1A">
        <w:rPr>
          <w:rStyle w:val="CharSectno"/>
        </w:rPr>
        <w:t>820</w:t>
      </w:r>
      <w:r w:rsidR="00583E1A">
        <w:rPr>
          <w:rStyle w:val="CharSectno"/>
        </w:rPr>
        <w:noBreakHyphen/>
      </w:r>
      <w:r w:rsidRPr="00583E1A">
        <w:rPr>
          <w:rStyle w:val="CharSectno"/>
        </w:rPr>
        <w:t>609</w:t>
      </w:r>
      <w:r w:rsidRPr="00583E1A">
        <w:t xml:space="preserve">  Effect on classification of head company or single company</w:t>
      </w:r>
      <w:bookmarkEnd w:id="255"/>
    </w:p>
    <w:p w:rsidR="00887330" w:rsidRPr="00583E1A" w:rsidRDefault="00887330" w:rsidP="00887330">
      <w:pPr>
        <w:pStyle w:val="subsection"/>
      </w:pPr>
      <w:r w:rsidRPr="00583E1A">
        <w:tab/>
        <w:t>(1)</w:t>
      </w:r>
      <w:r w:rsidRPr="00583E1A">
        <w:tab/>
        <w:t xml:space="preserve">The </w:t>
      </w:r>
      <w:r w:rsidR="00583E1A" w:rsidRPr="00583E1A">
        <w:rPr>
          <w:position w:val="6"/>
          <w:sz w:val="16"/>
        </w:rPr>
        <w:t>*</w:t>
      </w:r>
      <w:r w:rsidRPr="00583E1A">
        <w:t xml:space="preserve">head company or single company is an </w:t>
      </w:r>
      <w:r w:rsidRPr="00583E1A">
        <w:rPr>
          <w:b/>
          <w:i/>
        </w:rPr>
        <w:t>outward investing entity (ADI)</w:t>
      </w:r>
      <w:r w:rsidRPr="00583E1A">
        <w:t xml:space="preserve"> for a period (the </w:t>
      </w:r>
      <w:r w:rsidRPr="00583E1A">
        <w:rPr>
          <w:b/>
          <w:i/>
        </w:rPr>
        <w:t>trial period</w:t>
      </w:r>
      <w:r w:rsidRPr="00583E1A">
        <w:t>) that is all or part of the grouping period if:</w:t>
      </w:r>
    </w:p>
    <w:p w:rsidR="00887330" w:rsidRPr="00583E1A" w:rsidRDefault="00887330" w:rsidP="00887330">
      <w:pPr>
        <w:pStyle w:val="paragraph"/>
      </w:pPr>
      <w:r w:rsidRPr="00583E1A">
        <w:tab/>
        <w:t>(a)</w:t>
      </w:r>
      <w:r w:rsidRPr="00583E1A">
        <w:tab/>
        <w:t xml:space="preserve">apart from this Subdivision, the head company or single company would be an </w:t>
      </w:r>
      <w:r w:rsidR="00583E1A" w:rsidRPr="00583E1A">
        <w:rPr>
          <w:position w:val="6"/>
          <w:sz w:val="16"/>
        </w:rPr>
        <w:t>*</w:t>
      </w:r>
      <w:r w:rsidRPr="00583E1A">
        <w:t>outward investing entity (ADI) for the trial period; or</w:t>
      </w:r>
    </w:p>
    <w:p w:rsidR="00887330" w:rsidRPr="00583E1A" w:rsidRDefault="00887330" w:rsidP="00887330">
      <w:pPr>
        <w:pStyle w:val="paragraph"/>
      </w:pPr>
      <w:r w:rsidRPr="00583E1A">
        <w:tab/>
        <w:t>(b)</w:t>
      </w:r>
      <w:r w:rsidRPr="00583E1A">
        <w:tab/>
        <w:t>apart from this Subdivision, the head company or single company would be:</w:t>
      </w:r>
    </w:p>
    <w:p w:rsidR="00887330" w:rsidRPr="00583E1A" w:rsidRDefault="00887330" w:rsidP="00887330">
      <w:pPr>
        <w:pStyle w:val="paragraphsub"/>
      </w:pPr>
      <w:r w:rsidRPr="00583E1A">
        <w:tab/>
        <w:t>(i)</w:t>
      </w:r>
      <w:r w:rsidRPr="00583E1A">
        <w:tab/>
        <w:t xml:space="preserve">an </w:t>
      </w:r>
      <w:r w:rsidR="00583E1A" w:rsidRPr="00583E1A">
        <w:rPr>
          <w:position w:val="6"/>
          <w:sz w:val="16"/>
        </w:rPr>
        <w:t>*</w:t>
      </w:r>
      <w:r w:rsidRPr="00583E1A">
        <w:t>outward investing entity (non</w:t>
      </w:r>
      <w:r w:rsidR="00583E1A">
        <w:noBreakHyphen/>
      </w:r>
      <w:r w:rsidRPr="00583E1A">
        <w:t xml:space="preserve">ADI) and an </w:t>
      </w:r>
      <w:r w:rsidR="00583E1A" w:rsidRPr="00583E1A">
        <w:rPr>
          <w:position w:val="6"/>
          <w:sz w:val="16"/>
        </w:rPr>
        <w:t>*</w:t>
      </w:r>
      <w:r w:rsidRPr="00583E1A">
        <w:t>outward investor (financial) for the trial period; or</w:t>
      </w:r>
    </w:p>
    <w:p w:rsidR="00887330" w:rsidRPr="00583E1A" w:rsidRDefault="00887330" w:rsidP="00887330">
      <w:pPr>
        <w:pStyle w:val="paragraphsub"/>
      </w:pPr>
      <w:r w:rsidRPr="00583E1A">
        <w:tab/>
        <w:t>(ii)</w:t>
      </w:r>
      <w:r w:rsidRPr="00583E1A">
        <w:tab/>
        <w:t xml:space="preserve">an </w:t>
      </w:r>
      <w:r w:rsidR="00583E1A" w:rsidRPr="00583E1A">
        <w:rPr>
          <w:position w:val="6"/>
          <w:sz w:val="16"/>
        </w:rPr>
        <w:t>*</w:t>
      </w:r>
      <w:r w:rsidRPr="00583E1A">
        <w:t>outward investing entity (non</w:t>
      </w:r>
      <w:r w:rsidR="00583E1A">
        <w:noBreakHyphen/>
      </w:r>
      <w:r w:rsidRPr="00583E1A">
        <w:t xml:space="preserve">ADI) and an </w:t>
      </w:r>
      <w:r w:rsidR="00583E1A" w:rsidRPr="00583E1A">
        <w:rPr>
          <w:position w:val="6"/>
          <w:sz w:val="16"/>
        </w:rPr>
        <w:t>*</w:t>
      </w:r>
      <w:r w:rsidRPr="00583E1A">
        <w:t>outward investor (general) for the trial period;</w:t>
      </w:r>
    </w:p>
    <w:p w:rsidR="00887330" w:rsidRPr="00583E1A" w:rsidRDefault="00887330" w:rsidP="00887330">
      <w:pPr>
        <w:pStyle w:val="paragraph"/>
      </w:pPr>
      <w:r w:rsidRPr="00583E1A">
        <w:tab/>
      </w:r>
      <w:r w:rsidRPr="00583E1A">
        <w:tab/>
        <w:t xml:space="preserve">and at least one of the </w:t>
      </w:r>
      <w:r w:rsidR="00583E1A" w:rsidRPr="00583E1A">
        <w:rPr>
          <w:position w:val="6"/>
          <w:sz w:val="16"/>
        </w:rPr>
        <w:t>*</w:t>
      </w:r>
      <w:r w:rsidRPr="00583E1A">
        <w:t xml:space="preserve">Australian permanent establishments is a </w:t>
      </w:r>
      <w:r w:rsidR="00583E1A" w:rsidRPr="00583E1A">
        <w:rPr>
          <w:position w:val="6"/>
          <w:sz w:val="16"/>
        </w:rPr>
        <w:t>*</w:t>
      </w:r>
      <w:r w:rsidRPr="00583E1A">
        <w:t xml:space="preserve">permanent establishment through which a </w:t>
      </w:r>
      <w:r w:rsidR="00583E1A" w:rsidRPr="00583E1A">
        <w:rPr>
          <w:position w:val="6"/>
          <w:sz w:val="16"/>
        </w:rPr>
        <w:t>*</w:t>
      </w:r>
      <w:r w:rsidRPr="00583E1A">
        <w:t xml:space="preserve">foreign bank carries on banking </w:t>
      </w:r>
      <w:r w:rsidR="00583E1A" w:rsidRPr="00583E1A">
        <w:rPr>
          <w:position w:val="6"/>
          <w:sz w:val="16"/>
        </w:rPr>
        <w:t>*</w:t>
      </w:r>
      <w:r w:rsidRPr="00583E1A">
        <w:t xml:space="preserve">business in </w:t>
      </w:r>
      <w:smartTag w:uri="urn:schemas-microsoft-com:office:smarttags" w:element="country-region">
        <w:smartTag w:uri="urn:schemas-microsoft-com:office:smarttags" w:element="place">
          <w:r w:rsidRPr="00583E1A">
            <w:t>Australia</w:t>
          </w:r>
        </w:smartTag>
      </w:smartTag>
      <w:r w:rsidRPr="00583E1A">
        <w:t>.</w:t>
      </w:r>
    </w:p>
    <w:p w:rsidR="00887330" w:rsidRPr="00583E1A" w:rsidRDefault="00887330" w:rsidP="00887330">
      <w:pPr>
        <w:pStyle w:val="subsection"/>
      </w:pPr>
      <w:r w:rsidRPr="00583E1A">
        <w:lastRenderedPageBreak/>
        <w:tab/>
        <w:t>(2)</w:t>
      </w:r>
      <w:r w:rsidRPr="00583E1A">
        <w:tab/>
        <w:t xml:space="preserve">The </w:t>
      </w:r>
      <w:r w:rsidR="00583E1A" w:rsidRPr="00583E1A">
        <w:rPr>
          <w:position w:val="6"/>
          <w:sz w:val="16"/>
        </w:rPr>
        <w:t>*</w:t>
      </w:r>
      <w:r w:rsidRPr="00583E1A">
        <w:t xml:space="preserve">head company is also an </w:t>
      </w:r>
      <w:r w:rsidRPr="00583E1A">
        <w:rPr>
          <w:b/>
          <w:i/>
        </w:rPr>
        <w:t>outward investing entity (ADI)</w:t>
      </w:r>
      <w:r w:rsidRPr="00583E1A">
        <w:t xml:space="preserve"> for the trial period if, apart from this Subdivision:</w:t>
      </w:r>
    </w:p>
    <w:p w:rsidR="003D2F22" w:rsidRPr="00583E1A" w:rsidRDefault="003D2F22" w:rsidP="003D2F22">
      <w:pPr>
        <w:pStyle w:val="paragraph"/>
      </w:pPr>
      <w:r w:rsidRPr="00583E1A">
        <w:tab/>
        <w:t>(a)</w:t>
      </w:r>
      <w:r w:rsidRPr="00583E1A">
        <w:tab/>
        <w:t>section</w:t>
      </w:r>
      <w:r w:rsidR="00583E1A">
        <w:t> </w:t>
      </w:r>
      <w:r w:rsidRPr="00583E1A">
        <w:t>820</w:t>
      </w:r>
      <w:r w:rsidR="00583E1A">
        <w:noBreakHyphen/>
      </w:r>
      <w:r w:rsidRPr="00583E1A">
        <w:t xml:space="preserve">585 would prevent the disallowance of a </w:t>
      </w:r>
      <w:r w:rsidR="00583E1A" w:rsidRPr="00583E1A">
        <w:rPr>
          <w:position w:val="6"/>
          <w:sz w:val="16"/>
        </w:rPr>
        <w:t>*</w:t>
      </w:r>
      <w:r w:rsidRPr="00583E1A">
        <w:t>debt deduction for the income year including the trial period; or</w:t>
      </w:r>
    </w:p>
    <w:p w:rsidR="00887330" w:rsidRPr="00583E1A" w:rsidRDefault="00887330" w:rsidP="00887330">
      <w:pPr>
        <w:pStyle w:val="paragraph"/>
      </w:pPr>
      <w:r w:rsidRPr="00583E1A">
        <w:tab/>
        <w:t>(b)</w:t>
      </w:r>
      <w:r w:rsidRPr="00583E1A">
        <w:tab/>
        <w:t>section</w:t>
      </w:r>
      <w:r w:rsidR="00583E1A">
        <w:t> </w:t>
      </w:r>
      <w:r w:rsidRPr="00583E1A">
        <w:t>820</w:t>
      </w:r>
      <w:r w:rsidR="00583E1A">
        <w:noBreakHyphen/>
      </w:r>
      <w:r w:rsidRPr="00583E1A">
        <w:t>587 would apply Subdivision</w:t>
      </w:r>
      <w:r w:rsidR="00583E1A">
        <w:t> </w:t>
      </w:r>
      <w:r w:rsidRPr="00583E1A">
        <w:t>820</w:t>
      </w:r>
      <w:r w:rsidR="00583E1A">
        <w:noBreakHyphen/>
      </w:r>
      <w:r w:rsidRPr="00583E1A">
        <w:t xml:space="preserve">D to the head company as if it were an </w:t>
      </w:r>
      <w:r w:rsidR="00583E1A" w:rsidRPr="00583E1A">
        <w:rPr>
          <w:position w:val="6"/>
          <w:sz w:val="16"/>
        </w:rPr>
        <w:t>*</w:t>
      </w:r>
      <w:r w:rsidRPr="00583E1A">
        <w:t>outward investing entity (ADI) for the trial period.</w:t>
      </w:r>
    </w:p>
    <w:p w:rsidR="00887330" w:rsidRPr="00583E1A" w:rsidRDefault="00887330" w:rsidP="00887330">
      <w:pPr>
        <w:pStyle w:val="subsection"/>
      </w:pPr>
      <w:r w:rsidRPr="00583E1A">
        <w:tab/>
        <w:t>(3)</w:t>
      </w:r>
      <w:r w:rsidRPr="00583E1A">
        <w:tab/>
        <w:t xml:space="preserve">The single company is also an </w:t>
      </w:r>
      <w:r w:rsidRPr="00583E1A">
        <w:rPr>
          <w:b/>
          <w:i/>
        </w:rPr>
        <w:t>outward investing entity (ADI)</w:t>
      </w:r>
      <w:r w:rsidRPr="00583E1A">
        <w:t xml:space="preserve"> for the trial period if it is both a </w:t>
      </w:r>
      <w:r w:rsidR="00583E1A" w:rsidRPr="00583E1A">
        <w:rPr>
          <w:position w:val="6"/>
          <w:sz w:val="16"/>
        </w:rPr>
        <w:t>*</w:t>
      </w:r>
      <w:r w:rsidRPr="00583E1A">
        <w:t xml:space="preserve">foreign controlled Australian company and an </w:t>
      </w:r>
      <w:r w:rsidR="00583E1A" w:rsidRPr="00583E1A">
        <w:rPr>
          <w:position w:val="6"/>
          <w:sz w:val="16"/>
        </w:rPr>
        <w:t>*</w:t>
      </w:r>
      <w:r w:rsidRPr="00583E1A">
        <w:t>ADI for that period.</w:t>
      </w:r>
    </w:p>
    <w:p w:rsidR="00887330" w:rsidRPr="00583E1A" w:rsidRDefault="00887330" w:rsidP="00887330">
      <w:pPr>
        <w:pStyle w:val="subsection"/>
      </w:pPr>
      <w:r w:rsidRPr="00583E1A">
        <w:tab/>
        <w:t>(4)</w:t>
      </w:r>
      <w:r w:rsidRPr="00583E1A">
        <w:tab/>
        <w:t xml:space="preserve">The </w:t>
      </w:r>
      <w:r w:rsidR="00583E1A" w:rsidRPr="00583E1A">
        <w:rPr>
          <w:position w:val="6"/>
          <w:sz w:val="16"/>
        </w:rPr>
        <w:t>*</w:t>
      </w:r>
      <w:r w:rsidRPr="00583E1A">
        <w:t xml:space="preserve">head company or single company is an </w:t>
      </w:r>
      <w:r w:rsidRPr="00583E1A">
        <w:rPr>
          <w:b/>
          <w:i/>
        </w:rPr>
        <w:t>inward investing entity (ADI)</w:t>
      </w:r>
      <w:r w:rsidRPr="00583E1A">
        <w:t xml:space="preserve"> for the trial period if:</w:t>
      </w:r>
    </w:p>
    <w:p w:rsidR="00887330" w:rsidRPr="00583E1A" w:rsidRDefault="00887330" w:rsidP="00887330">
      <w:pPr>
        <w:pStyle w:val="paragraph"/>
      </w:pPr>
      <w:r w:rsidRPr="00583E1A">
        <w:tab/>
        <w:t>(a)</w:t>
      </w:r>
      <w:r w:rsidRPr="00583E1A">
        <w:tab/>
        <w:t xml:space="preserve">apart from this Subdivision, it would be an </w:t>
      </w:r>
      <w:r w:rsidR="00583E1A" w:rsidRPr="00583E1A">
        <w:rPr>
          <w:position w:val="6"/>
          <w:sz w:val="16"/>
        </w:rPr>
        <w:t>*</w:t>
      </w:r>
      <w:r w:rsidRPr="00583E1A">
        <w:t xml:space="preserve">inward investment vehicle (general) or an </w:t>
      </w:r>
      <w:r w:rsidR="00583E1A" w:rsidRPr="00583E1A">
        <w:rPr>
          <w:position w:val="6"/>
          <w:sz w:val="16"/>
        </w:rPr>
        <w:t>*</w:t>
      </w:r>
      <w:r w:rsidRPr="00583E1A">
        <w:t xml:space="preserve">inward investment vehicle (financial), and not an </w:t>
      </w:r>
      <w:r w:rsidR="00583E1A" w:rsidRPr="00583E1A">
        <w:rPr>
          <w:position w:val="6"/>
          <w:sz w:val="16"/>
        </w:rPr>
        <w:t>*</w:t>
      </w:r>
      <w:r w:rsidRPr="00583E1A">
        <w:t xml:space="preserve">outward investor (general) or an </w:t>
      </w:r>
      <w:r w:rsidR="00583E1A" w:rsidRPr="00583E1A">
        <w:rPr>
          <w:position w:val="6"/>
          <w:sz w:val="16"/>
        </w:rPr>
        <w:t>*</w:t>
      </w:r>
      <w:r w:rsidRPr="00583E1A">
        <w:t>outward investor (financial), for the trial period; and</w:t>
      </w:r>
    </w:p>
    <w:p w:rsidR="00887330" w:rsidRPr="00583E1A" w:rsidRDefault="00887330" w:rsidP="00887330">
      <w:pPr>
        <w:pStyle w:val="paragraph"/>
      </w:pPr>
      <w:r w:rsidRPr="00583E1A">
        <w:tab/>
        <w:t>(b)</w:t>
      </w:r>
      <w:r w:rsidRPr="00583E1A">
        <w:tab/>
        <w:t xml:space="preserve">at least one of the </w:t>
      </w:r>
      <w:r w:rsidR="00583E1A" w:rsidRPr="00583E1A">
        <w:rPr>
          <w:position w:val="6"/>
          <w:sz w:val="16"/>
        </w:rPr>
        <w:t>*</w:t>
      </w:r>
      <w:r w:rsidRPr="00583E1A">
        <w:t xml:space="preserve">Australian permanent establishments is a </w:t>
      </w:r>
      <w:r w:rsidR="00583E1A" w:rsidRPr="00583E1A">
        <w:rPr>
          <w:position w:val="6"/>
          <w:sz w:val="16"/>
        </w:rPr>
        <w:t>*</w:t>
      </w:r>
      <w:r w:rsidRPr="00583E1A">
        <w:t xml:space="preserve">permanent establishment through which a </w:t>
      </w:r>
      <w:r w:rsidR="00583E1A" w:rsidRPr="00583E1A">
        <w:rPr>
          <w:position w:val="6"/>
          <w:sz w:val="16"/>
        </w:rPr>
        <w:t>*</w:t>
      </w:r>
      <w:r w:rsidRPr="00583E1A">
        <w:t xml:space="preserve">foreign bank carries on banking </w:t>
      </w:r>
      <w:r w:rsidR="00583E1A" w:rsidRPr="00583E1A">
        <w:rPr>
          <w:position w:val="6"/>
          <w:sz w:val="16"/>
        </w:rPr>
        <w:t>*</w:t>
      </w:r>
      <w:r w:rsidRPr="00583E1A">
        <w:t xml:space="preserve">business in </w:t>
      </w:r>
      <w:smartTag w:uri="urn:schemas-microsoft-com:office:smarttags" w:element="country-region">
        <w:smartTag w:uri="urn:schemas-microsoft-com:office:smarttags" w:element="place">
          <w:r w:rsidRPr="00583E1A">
            <w:t>Australia</w:t>
          </w:r>
        </w:smartTag>
      </w:smartTag>
      <w:r w:rsidRPr="00583E1A">
        <w:t>.</w:t>
      </w:r>
    </w:p>
    <w:p w:rsidR="00887330" w:rsidRPr="00583E1A" w:rsidRDefault="00887330" w:rsidP="00887330">
      <w:pPr>
        <w:pStyle w:val="subsection"/>
      </w:pPr>
      <w:r w:rsidRPr="00583E1A">
        <w:tab/>
        <w:t>(5)</w:t>
      </w:r>
      <w:r w:rsidRPr="00583E1A">
        <w:tab/>
        <w:t xml:space="preserve">The </w:t>
      </w:r>
      <w:r w:rsidR="00583E1A" w:rsidRPr="00583E1A">
        <w:rPr>
          <w:position w:val="6"/>
          <w:sz w:val="16"/>
        </w:rPr>
        <w:t>*</w:t>
      </w:r>
      <w:r w:rsidRPr="00583E1A">
        <w:t xml:space="preserve">head company or single company is an </w:t>
      </w:r>
      <w:r w:rsidRPr="00583E1A">
        <w:rPr>
          <w:b/>
          <w:i/>
        </w:rPr>
        <w:t>outward investing entity (non</w:t>
      </w:r>
      <w:r w:rsidR="00583E1A">
        <w:rPr>
          <w:b/>
          <w:i/>
        </w:rPr>
        <w:noBreakHyphen/>
      </w:r>
      <w:r w:rsidRPr="00583E1A">
        <w:rPr>
          <w:b/>
          <w:i/>
        </w:rPr>
        <w:t>ADI)</w:t>
      </w:r>
      <w:r w:rsidRPr="00583E1A">
        <w:t xml:space="preserve"> and an </w:t>
      </w:r>
      <w:r w:rsidRPr="00583E1A">
        <w:rPr>
          <w:b/>
          <w:i/>
        </w:rPr>
        <w:t>outward investor (financial)</w:t>
      </w:r>
      <w:r w:rsidRPr="00583E1A">
        <w:t xml:space="preserve"> for the trial period if, apart from this Subdivision, it would be an </w:t>
      </w:r>
      <w:r w:rsidR="00583E1A" w:rsidRPr="00583E1A">
        <w:rPr>
          <w:position w:val="6"/>
          <w:sz w:val="16"/>
        </w:rPr>
        <w:t>*</w:t>
      </w:r>
      <w:r w:rsidRPr="00583E1A">
        <w:t>outward investing entity (non</w:t>
      </w:r>
      <w:r w:rsidR="00583E1A">
        <w:noBreakHyphen/>
      </w:r>
      <w:r w:rsidRPr="00583E1A">
        <w:t>ADI) and:</w:t>
      </w:r>
    </w:p>
    <w:p w:rsidR="00887330" w:rsidRPr="00583E1A" w:rsidRDefault="00887330" w:rsidP="00887330">
      <w:pPr>
        <w:pStyle w:val="paragraph"/>
      </w:pPr>
      <w:r w:rsidRPr="00583E1A">
        <w:tab/>
        <w:t>(a)</w:t>
      </w:r>
      <w:r w:rsidRPr="00583E1A">
        <w:tab/>
        <w:t xml:space="preserve">an </w:t>
      </w:r>
      <w:r w:rsidR="00583E1A" w:rsidRPr="00583E1A">
        <w:rPr>
          <w:position w:val="6"/>
          <w:sz w:val="16"/>
        </w:rPr>
        <w:t>*</w:t>
      </w:r>
      <w:r w:rsidRPr="00583E1A">
        <w:t>outward investor (financial); or</w:t>
      </w:r>
    </w:p>
    <w:p w:rsidR="00887330" w:rsidRPr="00583E1A" w:rsidRDefault="00887330" w:rsidP="00887330">
      <w:pPr>
        <w:pStyle w:val="paragraph"/>
      </w:pPr>
      <w:r w:rsidRPr="00583E1A">
        <w:tab/>
        <w:t>(b)</w:t>
      </w:r>
      <w:r w:rsidRPr="00583E1A">
        <w:tab/>
        <w:t xml:space="preserve">an </w:t>
      </w:r>
      <w:r w:rsidR="00583E1A" w:rsidRPr="00583E1A">
        <w:rPr>
          <w:position w:val="6"/>
          <w:sz w:val="16"/>
        </w:rPr>
        <w:t>*</w:t>
      </w:r>
      <w:r w:rsidRPr="00583E1A">
        <w:t>outward investor (general);</w:t>
      </w:r>
    </w:p>
    <w:p w:rsidR="00887330" w:rsidRPr="00583E1A" w:rsidRDefault="00887330" w:rsidP="00887330">
      <w:pPr>
        <w:pStyle w:val="subsection2"/>
      </w:pPr>
      <w:r w:rsidRPr="00583E1A">
        <w:t>for that period, and:</w:t>
      </w:r>
    </w:p>
    <w:p w:rsidR="00887330" w:rsidRPr="00583E1A" w:rsidRDefault="00887330" w:rsidP="00887330">
      <w:pPr>
        <w:pStyle w:val="paragraph"/>
      </w:pPr>
      <w:r w:rsidRPr="00583E1A">
        <w:tab/>
        <w:t>(c)</w:t>
      </w:r>
      <w:r w:rsidRPr="00583E1A">
        <w:tab/>
        <w:t xml:space="preserve">at least one of the </w:t>
      </w:r>
      <w:r w:rsidR="00583E1A" w:rsidRPr="00583E1A">
        <w:rPr>
          <w:position w:val="6"/>
          <w:sz w:val="16"/>
        </w:rPr>
        <w:t>*</w:t>
      </w:r>
      <w:r w:rsidRPr="00583E1A">
        <w:t xml:space="preserve">Australian permanent establishments is a </w:t>
      </w:r>
      <w:r w:rsidR="00583E1A" w:rsidRPr="00583E1A">
        <w:rPr>
          <w:position w:val="6"/>
          <w:sz w:val="16"/>
        </w:rPr>
        <w:t>*</w:t>
      </w:r>
      <w:r w:rsidRPr="00583E1A">
        <w:t xml:space="preserve">permanent establishment of a </w:t>
      </w:r>
      <w:r w:rsidR="00583E1A" w:rsidRPr="00583E1A">
        <w:rPr>
          <w:position w:val="6"/>
          <w:sz w:val="16"/>
        </w:rPr>
        <w:t>*</w:t>
      </w:r>
      <w:r w:rsidRPr="00583E1A">
        <w:t xml:space="preserve">foreign entity that is a </w:t>
      </w:r>
      <w:r w:rsidR="00583E1A" w:rsidRPr="00583E1A">
        <w:rPr>
          <w:position w:val="6"/>
          <w:sz w:val="16"/>
        </w:rPr>
        <w:t>*</w:t>
      </w:r>
      <w:r w:rsidRPr="00583E1A">
        <w:t>financial entity; and</w:t>
      </w:r>
    </w:p>
    <w:p w:rsidR="00887330" w:rsidRPr="00583E1A" w:rsidRDefault="00887330" w:rsidP="00887330">
      <w:pPr>
        <w:pStyle w:val="paragraph"/>
      </w:pPr>
      <w:r w:rsidRPr="00583E1A">
        <w:tab/>
        <w:t>(d)</w:t>
      </w:r>
      <w:r w:rsidRPr="00583E1A">
        <w:tab/>
        <w:t xml:space="preserve">none of the Australian permanent establishments is a permanent establishment through which a </w:t>
      </w:r>
      <w:r w:rsidR="00583E1A" w:rsidRPr="00583E1A">
        <w:rPr>
          <w:position w:val="6"/>
          <w:sz w:val="16"/>
        </w:rPr>
        <w:t>*</w:t>
      </w:r>
      <w:r w:rsidRPr="00583E1A">
        <w:t xml:space="preserve">foreign bank carries on banking </w:t>
      </w:r>
      <w:r w:rsidR="00583E1A" w:rsidRPr="00583E1A">
        <w:rPr>
          <w:position w:val="6"/>
          <w:sz w:val="16"/>
        </w:rPr>
        <w:t>*</w:t>
      </w:r>
      <w:r w:rsidRPr="00583E1A">
        <w:t xml:space="preserve">business in </w:t>
      </w:r>
      <w:smartTag w:uri="urn:schemas-microsoft-com:office:smarttags" w:element="country-region">
        <w:smartTag w:uri="urn:schemas-microsoft-com:office:smarttags" w:element="place">
          <w:r w:rsidRPr="00583E1A">
            <w:t>Australia</w:t>
          </w:r>
        </w:smartTag>
      </w:smartTag>
      <w:r w:rsidRPr="00583E1A">
        <w:t>.</w:t>
      </w:r>
    </w:p>
    <w:p w:rsidR="00887330" w:rsidRPr="00583E1A" w:rsidRDefault="00887330" w:rsidP="00887330">
      <w:pPr>
        <w:pStyle w:val="subsection"/>
      </w:pPr>
      <w:r w:rsidRPr="00583E1A">
        <w:tab/>
        <w:t>(6)</w:t>
      </w:r>
      <w:r w:rsidRPr="00583E1A">
        <w:tab/>
        <w:t xml:space="preserve">The </w:t>
      </w:r>
      <w:r w:rsidR="00583E1A" w:rsidRPr="00583E1A">
        <w:rPr>
          <w:position w:val="6"/>
          <w:sz w:val="16"/>
        </w:rPr>
        <w:t>*</w:t>
      </w:r>
      <w:r w:rsidRPr="00583E1A">
        <w:t xml:space="preserve">head company or single company is an </w:t>
      </w:r>
      <w:r w:rsidRPr="00583E1A">
        <w:rPr>
          <w:b/>
          <w:i/>
        </w:rPr>
        <w:t>inward investing entity (non</w:t>
      </w:r>
      <w:r w:rsidR="00583E1A">
        <w:rPr>
          <w:b/>
          <w:i/>
        </w:rPr>
        <w:noBreakHyphen/>
      </w:r>
      <w:r w:rsidRPr="00583E1A">
        <w:rPr>
          <w:b/>
          <w:i/>
        </w:rPr>
        <w:t>ADI)</w:t>
      </w:r>
      <w:r w:rsidRPr="00583E1A">
        <w:t xml:space="preserve"> and an </w:t>
      </w:r>
      <w:r w:rsidRPr="00583E1A">
        <w:rPr>
          <w:b/>
          <w:i/>
        </w:rPr>
        <w:t>inward investment vehicle (financial)</w:t>
      </w:r>
      <w:r w:rsidRPr="00583E1A">
        <w:t xml:space="preserve"> for </w:t>
      </w:r>
      <w:r w:rsidRPr="00583E1A">
        <w:lastRenderedPageBreak/>
        <w:t xml:space="preserve">the trial period if, apart from this Subdivision, it would be an </w:t>
      </w:r>
      <w:r w:rsidR="00583E1A" w:rsidRPr="00583E1A">
        <w:rPr>
          <w:position w:val="6"/>
          <w:sz w:val="16"/>
        </w:rPr>
        <w:t>*</w:t>
      </w:r>
      <w:r w:rsidRPr="00583E1A">
        <w:t>inward investing entity (non</w:t>
      </w:r>
      <w:r w:rsidR="00583E1A">
        <w:noBreakHyphen/>
      </w:r>
      <w:r w:rsidRPr="00583E1A">
        <w:t>ADI) and:</w:t>
      </w:r>
    </w:p>
    <w:p w:rsidR="00887330" w:rsidRPr="00583E1A" w:rsidRDefault="00887330" w:rsidP="00887330">
      <w:pPr>
        <w:pStyle w:val="paragraph"/>
      </w:pPr>
      <w:r w:rsidRPr="00583E1A">
        <w:tab/>
        <w:t>(a)</w:t>
      </w:r>
      <w:r w:rsidRPr="00583E1A">
        <w:tab/>
        <w:t xml:space="preserve">an </w:t>
      </w:r>
      <w:r w:rsidR="00583E1A" w:rsidRPr="00583E1A">
        <w:rPr>
          <w:position w:val="6"/>
          <w:sz w:val="16"/>
        </w:rPr>
        <w:t>*</w:t>
      </w:r>
      <w:r w:rsidRPr="00583E1A">
        <w:t>inward investment vehicle (financial); or</w:t>
      </w:r>
    </w:p>
    <w:p w:rsidR="00887330" w:rsidRPr="00583E1A" w:rsidRDefault="00887330" w:rsidP="00887330">
      <w:pPr>
        <w:pStyle w:val="paragraph"/>
      </w:pPr>
      <w:r w:rsidRPr="00583E1A">
        <w:tab/>
        <w:t>(b)</w:t>
      </w:r>
      <w:r w:rsidRPr="00583E1A">
        <w:tab/>
        <w:t xml:space="preserve">an </w:t>
      </w:r>
      <w:r w:rsidR="00583E1A" w:rsidRPr="00583E1A">
        <w:rPr>
          <w:position w:val="6"/>
          <w:sz w:val="16"/>
        </w:rPr>
        <w:t>*</w:t>
      </w:r>
      <w:r w:rsidRPr="00583E1A">
        <w:t>inward investment vehicle (general);</w:t>
      </w:r>
    </w:p>
    <w:p w:rsidR="00887330" w:rsidRPr="00583E1A" w:rsidRDefault="00887330" w:rsidP="00887330">
      <w:pPr>
        <w:pStyle w:val="subsection2"/>
      </w:pPr>
      <w:r w:rsidRPr="00583E1A">
        <w:t xml:space="preserve">for that period and not an </w:t>
      </w:r>
      <w:r w:rsidR="00583E1A" w:rsidRPr="00583E1A">
        <w:rPr>
          <w:position w:val="6"/>
          <w:sz w:val="16"/>
        </w:rPr>
        <w:t>*</w:t>
      </w:r>
      <w:r w:rsidRPr="00583E1A">
        <w:t xml:space="preserve">outward investor (general) or an </w:t>
      </w:r>
      <w:r w:rsidR="00583E1A" w:rsidRPr="00583E1A">
        <w:rPr>
          <w:position w:val="6"/>
          <w:sz w:val="16"/>
        </w:rPr>
        <w:t>*</w:t>
      </w:r>
      <w:r w:rsidRPr="00583E1A">
        <w:t>outward investor (financial) for that period and:</w:t>
      </w:r>
    </w:p>
    <w:p w:rsidR="00887330" w:rsidRPr="00583E1A" w:rsidRDefault="00887330" w:rsidP="00887330">
      <w:pPr>
        <w:pStyle w:val="paragraph"/>
      </w:pPr>
      <w:r w:rsidRPr="00583E1A">
        <w:tab/>
        <w:t>(c)</w:t>
      </w:r>
      <w:r w:rsidRPr="00583E1A">
        <w:tab/>
        <w:t xml:space="preserve">at least one of the </w:t>
      </w:r>
      <w:r w:rsidR="00583E1A" w:rsidRPr="00583E1A">
        <w:rPr>
          <w:position w:val="6"/>
          <w:sz w:val="16"/>
        </w:rPr>
        <w:t>*</w:t>
      </w:r>
      <w:r w:rsidRPr="00583E1A">
        <w:t xml:space="preserve">Australian permanent establishments is a </w:t>
      </w:r>
      <w:r w:rsidR="00583E1A" w:rsidRPr="00583E1A">
        <w:rPr>
          <w:position w:val="6"/>
          <w:sz w:val="16"/>
        </w:rPr>
        <w:t>*</w:t>
      </w:r>
      <w:r w:rsidRPr="00583E1A">
        <w:t xml:space="preserve">permanent establishment of a </w:t>
      </w:r>
      <w:r w:rsidR="00583E1A" w:rsidRPr="00583E1A">
        <w:rPr>
          <w:position w:val="6"/>
          <w:sz w:val="16"/>
        </w:rPr>
        <w:t>*</w:t>
      </w:r>
      <w:r w:rsidRPr="00583E1A">
        <w:t xml:space="preserve">foreign entity that is a </w:t>
      </w:r>
      <w:r w:rsidR="00583E1A" w:rsidRPr="00583E1A">
        <w:rPr>
          <w:position w:val="6"/>
          <w:sz w:val="16"/>
        </w:rPr>
        <w:t>*</w:t>
      </w:r>
      <w:r w:rsidRPr="00583E1A">
        <w:t>financial entity; and</w:t>
      </w:r>
    </w:p>
    <w:p w:rsidR="00887330" w:rsidRPr="00583E1A" w:rsidRDefault="00887330" w:rsidP="00887330">
      <w:pPr>
        <w:pStyle w:val="paragraph"/>
      </w:pPr>
      <w:r w:rsidRPr="00583E1A">
        <w:tab/>
        <w:t>(d)</w:t>
      </w:r>
      <w:r w:rsidRPr="00583E1A">
        <w:tab/>
        <w:t xml:space="preserve">none of the Australian permanent establishments is a permanent establishment through which a </w:t>
      </w:r>
      <w:r w:rsidR="00583E1A" w:rsidRPr="00583E1A">
        <w:rPr>
          <w:position w:val="6"/>
          <w:sz w:val="16"/>
        </w:rPr>
        <w:t>*</w:t>
      </w:r>
      <w:r w:rsidRPr="00583E1A">
        <w:t xml:space="preserve">foreign bank carries on banking </w:t>
      </w:r>
      <w:r w:rsidR="00583E1A" w:rsidRPr="00583E1A">
        <w:rPr>
          <w:position w:val="6"/>
          <w:sz w:val="16"/>
        </w:rPr>
        <w:t>*</w:t>
      </w:r>
      <w:r w:rsidRPr="00583E1A">
        <w:t xml:space="preserve">business in </w:t>
      </w:r>
      <w:smartTag w:uri="urn:schemas-microsoft-com:office:smarttags" w:element="country-region">
        <w:smartTag w:uri="urn:schemas-microsoft-com:office:smarttags" w:element="place">
          <w:r w:rsidRPr="00583E1A">
            <w:t>Australia</w:t>
          </w:r>
        </w:smartTag>
      </w:smartTag>
      <w:r w:rsidRPr="00583E1A">
        <w:t>.</w:t>
      </w:r>
    </w:p>
    <w:p w:rsidR="00887330" w:rsidRPr="00583E1A" w:rsidRDefault="00887330" w:rsidP="00887330">
      <w:pPr>
        <w:pStyle w:val="subsection"/>
      </w:pPr>
      <w:r w:rsidRPr="00583E1A">
        <w:tab/>
        <w:t>(7)</w:t>
      </w:r>
      <w:r w:rsidRPr="00583E1A">
        <w:tab/>
        <w:t>This section has effect despite any other provision of this Division, except Subdivision</w:t>
      </w:r>
      <w:r w:rsidR="00583E1A">
        <w:t> </w:t>
      </w:r>
      <w:r w:rsidRPr="00583E1A">
        <w:t>820</w:t>
      </w:r>
      <w:r w:rsidR="00583E1A">
        <w:noBreakHyphen/>
      </w:r>
      <w:r w:rsidRPr="00583E1A">
        <w:t>EA</w:t>
      </w:r>
      <w:r w:rsidR="00B36209" w:rsidRPr="00583E1A">
        <w:t xml:space="preserve"> and section</w:t>
      </w:r>
      <w:r w:rsidR="00583E1A">
        <w:t> </w:t>
      </w:r>
      <w:r w:rsidR="00B36209" w:rsidRPr="00583E1A">
        <w:t>820</w:t>
      </w:r>
      <w:r w:rsidR="00583E1A">
        <w:noBreakHyphen/>
      </w:r>
      <w:r w:rsidR="00B36209" w:rsidRPr="00583E1A">
        <w:t>610</w:t>
      </w:r>
      <w:r w:rsidRPr="00583E1A">
        <w:t>.</w:t>
      </w:r>
    </w:p>
    <w:p w:rsidR="00887330" w:rsidRPr="00583E1A" w:rsidRDefault="00887330" w:rsidP="00887330">
      <w:pPr>
        <w:pStyle w:val="notetext"/>
      </w:pPr>
      <w:r w:rsidRPr="00583E1A">
        <w:t>Note:</w:t>
      </w:r>
      <w:r w:rsidRPr="00583E1A">
        <w:tab/>
        <w:t>If the head company or single company is an outward investor (financial) or inward investment vehicle (financial) under this section and satisfies subsection 820</w:t>
      </w:r>
      <w:r w:rsidR="00583E1A">
        <w:noBreakHyphen/>
      </w:r>
      <w:r w:rsidRPr="00583E1A">
        <w:t>430(5), it may choose under Subdivision</w:t>
      </w:r>
      <w:r w:rsidR="00583E1A">
        <w:t> </w:t>
      </w:r>
      <w:r w:rsidRPr="00583E1A">
        <w:t>820</w:t>
      </w:r>
      <w:r w:rsidR="00583E1A">
        <w:noBreakHyphen/>
      </w:r>
      <w:r w:rsidRPr="00583E1A">
        <w:t>EA to be treated as an outward investing entity (ADI). Section</w:t>
      </w:r>
      <w:r w:rsidR="00583E1A">
        <w:t> </w:t>
      </w:r>
      <w:r w:rsidRPr="00583E1A">
        <w:t>820</w:t>
      </w:r>
      <w:r w:rsidR="00583E1A">
        <w:noBreakHyphen/>
      </w:r>
      <w:r w:rsidRPr="00583E1A">
        <w:t>603 affects whether the company satisfies that subsection, by treating as part of the company each relevant foreign financial entity’s Australian permanent establishment.</w:t>
      </w:r>
    </w:p>
    <w:p w:rsidR="001014B0" w:rsidRPr="00583E1A" w:rsidRDefault="001014B0" w:rsidP="001014B0">
      <w:pPr>
        <w:pStyle w:val="ActHead5"/>
      </w:pPr>
      <w:bookmarkStart w:id="256" w:name="_Toc338939330"/>
      <w:r w:rsidRPr="00583E1A">
        <w:rPr>
          <w:rStyle w:val="CharSectno"/>
        </w:rPr>
        <w:t>820</w:t>
      </w:r>
      <w:r w:rsidR="00583E1A">
        <w:rPr>
          <w:rStyle w:val="CharSectno"/>
        </w:rPr>
        <w:noBreakHyphen/>
      </w:r>
      <w:r w:rsidRPr="00583E1A">
        <w:rPr>
          <w:rStyle w:val="CharSectno"/>
        </w:rPr>
        <w:t>610</w:t>
      </w:r>
      <w:r w:rsidRPr="00583E1A">
        <w:t xml:space="preserve">  Choice not to be outward investing entity (ADI) or inward investing entity (ADI)</w:t>
      </w:r>
      <w:bookmarkEnd w:id="256"/>
    </w:p>
    <w:p w:rsidR="001014B0" w:rsidRPr="00583E1A" w:rsidRDefault="001014B0" w:rsidP="001014B0">
      <w:pPr>
        <w:pStyle w:val="subsection"/>
      </w:pPr>
      <w:r w:rsidRPr="00583E1A">
        <w:tab/>
        <w:t>(1)</w:t>
      </w:r>
      <w:r w:rsidRPr="00583E1A">
        <w:tab/>
        <w:t>This section applies if:</w:t>
      </w:r>
    </w:p>
    <w:p w:rsidR="001014B0" w:rsidRPr="00583E1A" w:rsidRDefault="001014B0" w:rsidP="001014B0">
      <w:pPr>
        <w:pStyle w:val="paragraph"/>
      </w:pPr>
      <w:r w:rsidRPr="00583E1A">
        <w:tab/>
        <w:t>(a)</w:t>
      </w:r>
      <w:r w:rsidRPr="00583E1A">
        <w:tab/>
        <w:t xml:space="preserve">apart from this section, the </w:t>
      </w:r>
      <w:r w:rsidR="00583E1A" w:rsidRPr="00583E1A">
        <w:rPr>
          <w:position w:val="6"/>
          <w:sz w:val="16"/>
        </w:rPr>
        <w:t>*</w:t>
      </w:r>
      <w:r w:rsidRPr="00583E1A">
        <w:t>head company or single company would, under section</w:t>
      </w:r>
      <w:r w:rsidR="00583E1A">
        <w:t> </w:t>
      </w:r>
      <w:r w:rsidRPr="00583E1A">
        <w:t>820</w:t>
      </w:r>
      <w:r w:rsidR="00583E1A">
        <w:noBreakHyphen/>
      </w:r>
      <w:r w:rsidRPr="00583E1A">
        <w:t xml:space="preserve">609, be an </w:t>
      </w:r>
      <w:r w:rsidR="00583E1A" w:rsidRPr="00583E1A">
        <w:rPr>
          <w:position w:val="6"/>
          <w:sz w:val="16"/>
        </w:rPr>
        <w:t>*</w:t>
      </w:r>
      <w:r w:rsidRPr="00583E1A">
        <w:t xml:space="preserve">outward investing entity (ADI) or an </w:t>
      </w:r>
      <w:r w:rsidR="00583E1A" w:rsidRPr="00583E1A">
        <w:rPr>
          <w:position w:val="6"/>
          <w:sz w:val="16"/>
        </w:rPr>
        <w:t>*</w:t>
      </w:r>
      <w:r w:rsidRPr="00583E1A">
        <w:t>inward investing entity (ADI) for the trial period; and</w:t>
      </w:r>
    </w:p>
    <w:p w:rsidR="001014B0" w:rsidRPr="00583E1A" w:rsidRDefault="001014B0" w:rsidP="001014B0">
      <w:pPr>
        <w:pStyle w:val="paragraph"/>
      </w:pPr>
      <w:r w:rsidRPr="00583E1A">
        <w:tab/>
        <w:t>(b)</w:t>
      </w:r>
      <w:r w:rsidRPr="00583E1A">
        <w:tab/>
        <w:t xml:space="preserve">at all times in the trial period, each of the following entities that is an </w:t>
      </w:r>
      <w:r w:rsidR="00583E1A" w:rsidRPr="00583E1A">
        <w:rPr>
          <w:position w:val="6"/>
          <w:sz w:val="16"/>
        </w:rPr>
        <w:t>*</w:t>
      </w:r>
      <w:r w:rsidRPr="00583E1A">
        <w:t xml:space="preserve">ADI is a </w:t>
      </w:r>
      <w:r w:rsidR="00583E1A" w:rsidRPr="00583E1A">
        <w:rPr>
          <w:position w:val="6"/>
          <w:sz w:val="16"/>
        </w:rPr>
        <w:t>*</w:t>
      </w:r>
      <w:r w:rsidRPr="00583E1A">
        <w:t>specialist credit card institution:</w:t>
      </w:r>
    </w:p>
    <w:p w:rsidR="001014B0" w:rsidRPr="00583E1A" w:rsidRDefault="001014B0" w:rsidP="001014B0">
      <w:pPr>
        <w:pStyle w:val="paragraphsub"/>
      </w:pPr>
      <w:r w:rsidRPr="00583E1A">
        <w:tab/>
        <w:t>(i)</w:t>
      </w:r>
      <w:r w:rsidRPr="00583E1A">
        <w:tab/>
        <w:t>the head company or single company;</w:t>
      </w:r>
    </w:p>
    <w:p w:rsidR="001014B0" w:rsidRPr="00583E1A" w:rsidRDefault="001014B0" w:rsidP="001014B0">
      <w:pPr>
        <w:pStyle w:val="paragraphsub"/>
      </w:pPr>
      <w:r w:rsidRPr="00583E1A">
        <w:tab/>
        <w:t>(ii)</w:t>
      </w:r>
      <w:r w:rsidRPr="00583E1A">
        <w:tab/>
        <w:t xml:space="preserve">an establishment entity whose </w:t>
      </w:r>
      <w:r w:rsidR="00583E1A" w:rsidRPr="00583E1A">
        <w:rPr>
          <w:position w:val="6"/>
          <w:sz w:val="16"/>
        </w:rPr>
        <w:t>*</w:t>
      </w:r>
      <w:r w:rsidRPr="00583E1A">
        <w:t>Australian permanent establishments the head company or single company has chosen under section</w:t>
      </w:r>
      <w:r w:rsidR="00583E1A">
        <w:t> </w:t>
      </w:r>
      <w:r w:rsidRPr="00583E1A">
        <w:t>820</w:t>
      </w:r>
      <w:r w:rsidR="00583E1A">
        <w:noBreakHyphen/>
      </w:r>
      <w:r w:rsidRPr="00583E1A">
        <w:t>597 or 820</w:t>
      </w:r>
      <w:r w:rsidR="00583E1A">
        <w:noBreakHyphen/>
      </w:r>
      <w:r w:rsidRPr="00583E1A">
        <w:t>599 to have treated as part of the company for the period.</w:t>
      </w:r>
    </w:p>
    <w:p w:rsidR="001014B0" w:rsidRPr="00583E1A" w:rsidRDefault="001014B0" w:rsidP="001014B0">
      <w:pPr>
        <w:pStyle w:val="subsection"/>
      </w:pPr>
      <w:r w:rsidRPr="00583E1A">
        <w:lastRenderedPageBreak/>
        <w:tab/>
        <w:t>(2)</w:t>
      </w:r>
      <w:r w:rsidRPr="00583E1A">
        <w:tab/>
        <w:t xml:space="preserve">The </w:t>
      </w:r>
      <w:r w:rsidR="00583E1A" w:rsidRPr="00583E1A">
        <w:rPr>
          <w:position w:val="6"/>
          <w:sz w:val="16"/>
        </w:rPr>
        <w:t>*</w:t>
      </w:r>
      <w:r w:rsidRPr="00583E1A">
        <w:t xml:space="preserve">head company or single company is an </w:t>
      </w:r>
      <w:r w:rsidRPr="00583E1A">
        <w:rPr>
          <w:b/>
          <w:i/>
        </w:rPr>
        <w:t>outward investing entity (non</w:t>
      </w:r>
      <w:r w:rsidR="00583E1A">
        <w:rPr>
          <w:b/>
          <w:i/>
        </w:rPr>
        <w:noBreakHyphen/>
      </w:r>
      <w:r w:rsidRPr="00583E1A">
        <w:rPr>
          <w:b/>
          <w:i/>
        </w:rPr>
        <w:t>ADI)</w:t>
      </w:r>
      <w:r w:rsidRPr="00583E1A">
        <w:t xml:space="preserve"> and an </w:t>
      </w:r>
      <w:r w:rsidRPr="00583E1A">
        <w:rPr>
          <w:b/>
          <w:i/>
        </w:rPr>
        <w:t>outward investor (financial)</w:t>
      </w:r>
      <w:r w:rsidRPr="00583E1A">
        <w:t xml:space="preserve"> for the trial period if:</w:t>
      </w:r>
    </w:p>
    <w:p w:rsidR="001014B0" w:rsidRPr="00583E1A" w:rsidRDefault="001014B0" w:rsidP="001014B0">
      <w:pPr>
        <w:pStyle w:val="paragraph"/>
      </w:pPr>
      <w:r w:rsidRPr="00583E1A">
        <w:tab/>
        <w:t>(a)</w:t>
      </w:r>
      <w:r w:rsidRPr="00583E1A">
        <w:tab/>
        <w:t>apart from this section, the company would, under section</w:t>
      </w:r>
      <w:r w:rsidR="00583E1A">
        <w:t> </w:t>
      </w:r>
      <w:r w:rsidRPr="00583E1A">
        <w:t>820</w:t>
      </w:r>
      <w:r w:rsidR="00583E1A">
        <w:noBreakHyphen/>
      </w:r>
      <w:r w:rsidRPr="00583E1A">
        <w:t xml:space="preserve">609, be an </w:t>
      </w:r>
      <w:r w:rsidR="00583E1A" w:rsidRPr="00583E1A">
        <w:rPr>
          <w:position w:val="6"/>
          <w:sz w:val="16"/>
        </w:rPr>
        <w:t>*</w:t>
      </w:r>
      <w:r w:rsidRPr="00583E1A">
        <w:t>outward investing entity (ADI) for the trial period; and</w:t>
      </w:r>
    </w:p>
    <w:p w:rsidR="001014B0" w:rsidRPr="00583E1A" w:rsidRDefault="001014B0" w:rsidP="001014B0">
      <w:pPr>
        <w:pStyle w:val="paragraph"/>
      </w:pPr>
      <w:r w:rsidRPr="00583E1A">
        <w:tab/>
        <w:t>(b)</w:t>
      </w:r>
      <w:r w:rsidRPr="00583E1A">
        <w:tab/>
        <w:t xml:space="preserve">the company chooses, before lodging its </w:t>
      </w:r>
      <w:r w:rsidR="00583E1A" w:rsidRPr="00583E1A">
        <w:rPr>
          <w:position w:val="6"/>
          <w:sz w:val="16"/>
        </w:rPr>
        <w:t>*</w:t>
      </w:r>
      <w:r w:rsidRPr="00583E1A">
        <w:t>income tax return for the income year including the trial period, to be an outward investing entity (non</w:t>
      </w:r>
      <w:r w:rsidR="00583E1A">
        <w:noBreakHyphen/>
      </w:r>
      <w:r w:rsidRPr="00583E1A">
        <w:t>ADI) and an outward investor (financial) for that period.</w:t>
      </w:r>
    </w:p>
    <w:p w:rsidR="001014B0" w:rsidRPr="00583E1A" w:rsidRDefault="001014B0" w:rsidP="001014B0">
      <w:pPr>
        <w:pStyle w:val="subsection"/>
      </w:pPr>
      <w:r w:rsidRPr="00583E1A">
        <w:tab/>
        <w:t>(3)</w:t>
      </w:r>
      <w:r w:rsidRPr="00583E1A">
        <w:tab/>
        <w:t xml:space="preserve">The </w:t>
      </w:r>
      <w:r w:rsidR="00583E1A" w:rsidRPr="00583E1A">
        <w:rPr>
          <w:position w:val="6"/>
          <w:sz w:val="16"/>
        </w:rPr>
        <w:t>*</w:t>
      </w:r>
      <w:r w:rsidRPr="00583E1A">
        <w:t xml:space="preserve">head company or single company is an </w:t>
      </w:r>
      <w:r w:rsidRPr="00583E1A">
        <w:rPr>
          <w:b/>
          <w:i/>
        </w:rPr>
        <w:t>inward investing entity (non</w:t>
      </w:r>
      <w:r w:rsidR="00583E1A">
        <w:rPr>
          <w:b/>
          <w:i/>
        </w:rPr>
        <w:noBreakHyphen/>
      </w:r>
      <w:r w:rsidRPr="00583E1A">
        <w:rPr>
          <w:b/>
          <w:i/>
        </w:rPr>
        <w:t>ADI)</w:t>
      </w:r>
      <w:r w:rsidRPr="00583E1A">
        <w:t xml:space="preserve"> and an </w:t>
      </w:r>
      <w:r w:rsidRPr="00583E1A">
        <w:rPr>
          <w:b/>
          <w:i/>
        </w:rPr>
        <w:t>inward investment vehicle (financial)</w:t>
      </w:r>
      <w:r w:rsidRPr="00583E1A">
        <w:t xml:space="preserve"> for the trial period if:</w:t>
      </w:r>
    </w:p>
    <w:p w:rsidR="001014B0" w:rsidRPr="00583E1A" w:rsidRDefault="001014B0" w:rsidP="001014B0">
      <w:pPr>
        <w:pStyle w:val="paragraph"/>
      </w:pPr>
      <w:r w:rsidRPr="00583E1A">
        <w:tab/>
        <w:t>(a)</w:t>
      </w:r>
      <w:r w:rsidRPr="00583E1A">
        <w:tab/>
        <w:t>apart from this section, the company would, under section</w:t>
      </w:r>
      <w:r w:rsidR="00583E1A">
        <w:t> </w:t>
      </w:r>
      <w:r w:rsidRPr="00583E1A">
        <w:t>820</w:t>
      </w:r>
      <w:r w:rsidR="00583E1A">
        <w:noBreakHyphen/>
      </w:r>
      <w:r w:rsidRPr="00583E1A">
        <w:t xml:space="preserve">609, be an </w:t>
      </w:r>
      <w:r w:rsidR="00583E1A" w:rsidRPr="00583E1A">
        <w:rPr>
          <w:position w:val="6"/>
          <w:sz w:val="16"/>
        </w:rPr>
        <w:t>*</w:t>
      </w:r>
      <w:r w:rsidRPr="00583E1A">
        <w:t>inward investing entity (ADI) for the trial period; and</w:t>
      </w:r>
    </w:p>
    <w:p w:rsidR="001014B0" w:rsidRPr="00583E1A" w:rsidRDefault="001014B0" w:rsidP="001014B0">
      <w:pPr>
        <w:pStyle w:val="paragraph"/>
      </w:pPr>
      <w:r w:rsidRPr="00583E1A">
        <w:tab/>
        <w:t>(b)</w:t>
      </w:r>
      <w:r w:rsidRPr="00583E1A">
        <w:tab/>
        <w:t xml:space="preserve">the company chooses, before lodging its </w:t>
      </w:r>
      <w:r w:rsidR="00583E1A" w:rsidRPr="00583E1A">
        <w:rPr>
          <w:position w:val="6"/>
          <w:sz w:val="16"/>
        </w:rPr>
        <w:t>*</w:t>
      </w:r>
      <w:r w:rsidRPr="00583E1A">
        <w:t>income tax return for the income year including the trial period, to be an inward investing entity (non</w:t>
      </w:r>
      <w:r w:rsidR="00583E1A">
        <w:noBreakHyphen/>
      </w:r>
      <w:r w:rsidRPr="00583E1A">
        <w:t>ADI) and an inward investment vehicle (financial) for that period.</w:t>
      </w:r>
    </w:p>
    <w:p w:rsidR="001014B0" w:rsidRPr="00583E1A" w:rsidRDefault="001014B0" w:rsidP="001014B0">
      <w:pPr>
        <w:pStyle w:val="subsection"/>
      </w:pPr>
      <w:r w:rsidRPr="00583E1A">
        <w:tab/>
        <w:t>(4)</w:t>
      </w:r>
      <w:r w:rsidRPr="00583E1A">
        <w:tab/>
        <w:t>This section has effect despite sections</w:t>
      </w:r>
      <w:r w:rsidR="00583E1A">
        <w:t> </w:t>
      </w:r>
      <w:r w:rsidRPr="00583E1A">
        <w:t>820</w:t>
      </w:r>
      <w:r w:rsidR="00583E1A">
        <w:noBreakHyphen/>
      </w:r>
      <w:r w:rsidRPr="00583E1A">
        <w:t>85, 820</w:t>
      </w:r>
      <w:r w:rsidR="00583E1A">
        <w:noBreakHyphen/>
      </w:r>
      <w:r w:rsidRPr="00583E1A">
        <w:t>185 and 820</w:t>
      </w:r>
      <w:r w:rsidR="00583E1A">
        <w:noBreakHyphen/>
      </w:r>
      <w:r w:rsidRPr="00583E1A">
        <w:t>609.</w:t>
      </w:r>
    </w:p>
    <w:p w:rsidR="00887330" w:rsidRPr="00583E1A" w:rsidRDefault="00887330" w:rsidP="00887330">
      <w:pPr>
        <w:pStyle w:val="ActHead5"/>
      </w:pPr>
      <w:bookmarkStart w:id="257" w:name="_Toc338939331"/>
      <w:r w:rsidRPr="00583E1A">
        <w:rPr>
          <w:rStyle w:val="CharSectno"/>
        </w:rPr>
        <w:t>820</w:t>
      </w:r>
      <w:r w:rsidR="00583E1A">
        <w:rPr>
          <w:rStyle w:val="CharSectno"/>
        </w:rPr>
        <w:noBreakHyphen/>
      </w:r>
      <w:r w:rsidRPr="00583E1A">
        <w:rPr>
          <w:rStyle w:val="CharSectno"/>
        </w:rPr>
        <w:t>611</w:t>
      </w:r>
      <w:r w:rsidRPr="00583E1A">
        <w:t xml:space="preserve">  Values to be based on what would be in consolidated accounts for group</w:t>
      </w:r>
      <w:bookmarkEnd w:id="257"/>
    </w:p>
    <w:p w:rsidR="00887330" w:rsidRPr="00583E1A" w:rsidRDefault="00887330" w:rsidP="00887330">
      <w:pPr>
        <w:pStyle w:val="subsection"/>
      </w:pPr>
      <w:r w:rsidRPr="00583E1A">
        <w:tab/>
        <w:t>(1)</w:t>
      </w:r>
      <w:r w:rsidRPr="00583E1A">
        <w:tab/>
        <w:t>For the purposes of this Division as applying because of this Subdivision, the value or amount of a particular matter as at a particular time during the grouping period is to be worked out, so far as practicable, on the basis of the information that would be contained in a set of consolidated accounts:</w:t>
      </w:r>
    </w:p>
    <w:p w:rsidR="00887330" w:rsidRPr="00583E1A" w:rsidRDefault="00887330" w:rsidP="00887330">
      <w:pPr>
        <w:pStyle w:val="paragraph"/>
      </w:pPr>
      <w:r w:rsidRPr="00583E1A">
        <w:tab/>
        <w:t>(a)</w:t>
      </w:r>
      <w:r w:rsidRPr="00583E1A">
        <w:tab/>
        <w:t xml:space="preserve">prepared, in accordance with the </w:t>
      </w:r>
      <w:r w:rsidR="00583E1A" w:rsidRPr="00583E1A">
        <w:rPr>
          <w:position w:val="6"/>
          <w:sz w:val="16"/>
        </w:rPr>
        <w:t>*</w:t>
      </w:r>
      <w:r w:rsidRPr="00583E1A">
        <w:t>accounting standard on consolidated accounts, as at that time; and</w:t>
      </w:r>
    </w:p>
    <w:p w:rsidR="00887330" w:rsidRPr="00583E1A" w:rsidRDefault="00887330" w:rsidP="00887330">
      <w:pPr>
        <w:pStyle w:val="paragraph"/>
      </w:pPr>
      <w:r w:rsidRPr="00583E1A">
        <w:tab/>
        <w:t>(b)</w:t>
      </w:r>
      <w:r w:rsidRPr="00583E1A">
        <w:tab/>
        <w:t xml:space="preserve">covering the </w:t>
      </w:r>
      <w:r w:rsidR="00583E1A" w:rsidRPr="00583E1A">
        <w:rPr>
          <w:position w:val="6"/>
          <w:sz w:val="16"/>
        </w:rPr>
        <w:t>*</w:t>
      </w:r>
      <w:r w:rsidRPr="00583E1A">
        <w:t xml:space="preserve">consolidated group, </w:t>
      </w:r>
      <w:r w:rsidR="00583E1A" w:rsidRPr="00583E1A">
        <w:rPr>
          <w:position w:val="6"/>
          <w:sz w:val="16"/>
        </w:rPr>
        <w:t>*</w:t>
      </w:r>
      <w:r w:rsidRPr="00583E1A">
        <w:t xml:space="preserve">MEC group or single company, as appropriate, and each </w:t>
      </w:r>
      <w:r w:rsidR="00583E1A" w:rsidRPr="00583E1A">
        <w:rPr>
          <w:position w:val="6"/>
          <w:sz w:val="16"/>
        </w:rPr>
        <w:t>*</w:t>
      </w:r>
      <w:r w:rsidRPr="00583E1A">
        <w:t>Australian permanent establishment that section</w:t>
      </w:r>
      <w:r w:rsidR="00583E1A">
        <w:t> </w:t>
      </w:r>
      <w:r w:rsidRPr="00583E1A">
        <w:t>820</w:t>
      </w:r>
      <w:r w:rsidR="00583E1A">
        <w:noBreakHyphen/>
      </w:r>
      <w:r w:rsidRPr="00583E1A">
        <w:t xml:space="preserve">603 treats as part of the </w:t>
      </w:r>
      <w:r w:rsidR="00583E1A" w:rsidRPr="00583E1A">
        <w:rPr>
          <w:position w:val="6"/>
          <w:sz w:val="16"/>
        </w:rPr>
        <w:t>*</w:t>
      </w:r>
      <w:r w:rsidRPr="00583E1A">
        <w:t>head company or single company at that time.</w:t>
      </w:r>
    </w:p>
    <w:p w:rsidR="00887330" w:rsidRPr="00583E1A" w:rsidRDefault="00887330" w:rsidP="00887330">
      <w:pPr>
        <w:pStyle w:val="notetext"/>
      </w:pPr>
      <w:r w:rsidRPr="00583E1A">
        <w:lastRenderedPageBreak/>
        <w:t>Note:</w:t>
      </w:r>
      <w:r w:rsidRPr="00583E1A">
        <w:tab/>
        <w:t>This subsection does not depend on whether such a set of consolidated accounts was prepared, or had to be prepared, for other purposes.</w:t>
      </w:r>
    </w:p>
    <w:p w:rsidR="00887330" w:rsidRPr="00583E1A" w:rsidRDefault="00887330" w:rsidP="00887330">
      <w:pPr>
        <w:pStyle w:val="subsection"/>
      </w:pPr>
      <w:r w:rsidRPr="00583E1A">
        <w:tab/>
        <w:t>(2)</w:t>
      </w:r>
      <w:r w:rsidRPr="00583E1A">
        <w:tab/>
        <w:t xml:space="preserve">To avoid doubt, </w:t>
      </w:r>
      <w:r w:rsidR="00583E1A">
        <w:t>subsection (</w:t>
      </w:r>
      <w:r w:rsidRPr="00583E1A">
        <w:t>1) also applies to working out the value or amount, as at a particular time, of a matter mentioned in any of sections</w:t>
      </w:r>
      <w:r w:rsidR="00583E1A">
        <w:t> </w:t>
      </w:r>
      <w:r w:rsidRPr="00583E1A">
        <w:t>820</w:t>
      </w:r>
      <w:r w:rsidR="00583E1A">
        <w:noBreakHyphen/>
      </w:r>
      <w:r w:rsidRPr="00583E1A">
        <w:t xml:space="preserve">613 to </w:t>
      </w:r>
      <w:r w:rsidR="00C63045" w:rsidRPr="00583E1A">
        <w:t>820</w:t>
      </w:r>
      <w:r w:rsidR="00583E1A">
        <w:noBreakHyphen/>
      </w:r>
      <w:r w:rsidR="00C63045" w:rsidRPr="00583E1A">
        <w:t>615</w:t>
      </w:r>
      <w:r w:rsidRPr="00583E1A">
        <w:t>.</w:t>
      </w:r>
    </w:p>
    <w:p w:rsidR="00887330" w:rsidRPr="00583E1A" w:rsidRDefault="00887330" w:rsidP="00887330">
      <w:pPr>
        <w:pStyle w:val="ActHead5"/>
      </w:pPr>
      <w:bookmarkStart w:id="258" w:name="_Toc338939332"/>
      <w:r w:rsidRPr="00583E1A">
        <w:rPr>
          <w:rStyle w:val="CharSectno"/>
        </w:rPr>
        <w:t>820</w:t>
      </w:r>
      <w:r w:rsidR="00583E1A">
        <w:rPr>
          <w:rStyle w:val="CharSectno"/>
        </w:rPr>
        <w:noBreakHyphen/>
      </w:r>
      <w:r w:rsidRPr="00583E1A">
        <w:rPr>
          <w:rStyle w:val="CharSectno"/>
        </w:rPr>
        <w:t>613</w:t>
      </w:r>
      <w:r w:rsidRPr="00583E1A">
        <w:t xml:space="preserve">  How Subdivision</w:t>
      </w:r>
      <w:r w:rsidR="00583E1A">
        <w:t> </w:t>
      </w:r>
      <w:r w:rsidRPr="00583E1A">
        <w:t>820</w:t>
      </w:r>
      <w:r w:rsidR="00583E1A">
        <w:noBreakHyphen/>
      </w:r>
      <w:r w:rsidRPr="00583E1A">
        <w:t>D applies</w:t>
      </w:r>
      <w:bookmarkEnd w:id="258"/>
    </w:p>
    <w:p w:rsidR="00887330" w:rsidRPr="00583E1A" w:rsidRDefault="00887330" w:rsidP="00887330">
      <w:pPr>
        <w:pStyle w:val="subsection"/>
      </w:pPr>
      <w:r w:rsidRPr="00583E1A">
        <w:tab/>
        <w:t>(1)</w:t>
      </w:r>
      <w:r w:rsidRPr="00583E1A">
        <w:tab/>
        <w:t>This section has effect for the purposes of applying Subdivision</w:t>
      </w:r>
      <w:r w:rsidR="00583E1A">
        <w:t> </w:t>
      </w:r>
      <w:r w:rsidRPr="00583E1A">
        <w:t>820</w:t>
      </w:r>
      <w:r w:rsidR="00583E1A">
        <w:noBreakHyphen/>
      </w:r>
      <w:r w:rsidRPr="00583E1A">
        <w:t xml:space="preserve">D to the </w:t>
      </w:r>
      <w:r w:rsidR="00583E1A" w:rsidRPr="00583E1A">
        <w:rPr>
          <w:position w:val="6"/>
          <w:sz w:val="16"/>
        </w:rPr>
        <w:t>*</w:t>
      </w:r>
      <w:r w:rsidRPr="00583E1A">
        <w:t xml:space="preserve">head company or single company in relation to a period (the </w:t>
      </w:r>
      <w:r w:rsidRPr="00583E1A">
        <w:rPr>
          <w:b/>
          <w:i/>
        </w:rPr>
        <w:t>test period</w:t>
      </w:r>
      <w:r w:rsidRPr="00583E1A">
        <w:t>) that is all or part of the grouping period.</w:t>
      </w:r>
    </w:p>
    <w:p w:rsidR="00887330" w:rsidRPr="00583E1A" w:rsidRDefault="00887330" w:rsidP="00887330">
      <w:pPr>
        <w:pStyle w:val="notetext"/>
      </w:pPr>
      <w:r w:rsidRPr="00583E1A">
        <w:t>Note:</w:t>
      </w:r>
      <w:r w:rsidRPr="00583E1A">
        <w:tab/>
        <w:t>Subdivision</w:t>
      </w:r>
      <w:r w:rsidR="00583E1A">
        <w:t> </w:t>
      </w:r>
      <w:r w:rsidRPr="00583E1A">
        <w:t>820</w:t>
      </w:r>
      <w:r w:rsidR="00583E1A">
        <w:noBreakHyphen/>
      </w:r>
      <w:r w:rsidRPr="00583E1A">
        <w:t>D applies to the head company or single company if it is classified as an outward investing entity (ADI) because of section</w:t>
      </w:r>
      <w:r w:rsidR="00583E1A">
        <w:t> </w:t>
      </w:r>
      <w:r w:rsidRPr="00583E1A">
        <w:t>820</w:t>
      </w:r>
      <w:r w:rsidR="00583E1A">
        <w:noBreakHyphen/>
      </w:r>
      <w:r w:rsidRPr="00583E1A">
        <w:t>609, either alone or in conjunction with a choice made by the company under section</w:t>
      </w:r>
      <w:r w:rsidR="00583E1A">
        <w:t> </w:t>
      </w:r>
      <w:r w:rsidRPr="00583E1A">
        <w:t>820</w:t>
      </w:r>
      <w:r w:rsidR="00583E1A">
        <w:noBreakHyphen/>
      </w:r>
      <w:r w:rsidRPr="00583E1A">
        <w:t>430.</w:t>
      </w:r>
    </w:p>
    <w:p w:rsidR="00887330" w:rsidRPr="00583E1A" w:rsidRDefault="00887330" w:rsidP="00887330">
      <w:pPr>
        <w:pStyle w:val="SubsectionHead"/>
      </w:pPr>
      <w:r w:rsidRPr="00583E1A">
        <w:t>Adjusted average equity capital</w:t>
      </w:r>
    </w:p>
    <w:p w:rsidR="00887330" w:rsidRPr="00583E1A" w:rsidRDefault="00887330" w:rsidP="00887330">
      <w:pPr>
        <w:pStyle w:val="subsection"/>
      </w:pPr>
      <w:r w:rsidRPr="00583E1A">
        <w:tab/>
        <w:t>(2)</w:t>
      </w:r>
      <w:r w:rsidRPr="00583E1A">
        <w:tab/>
        <w:t xml:space="preserve">The </w:t>
      </w:r>
      <w:r w:rsidR="00583E1A" w:rsidRPr="00583E1A">
        <w:rPr>
          <w:position w:val="6"/>
          <w:sz w:val="16"/>
        </w:rPr>
        <w:t>*</w:t>
      </w:r>
      <w:r w:rsidRPr="00583E1A">
        <w:t xml:space="preserve">adjusted average equity capital of the </w:t>
      </w:r>
      <w:r w:rsidR="00583E1A" w:rsidRPr="00583E1A">
        <w:rPr>
          <w:position w:val="6"/>
          <w:sz w:val="16"/>
        </w:rPr>
        <w:t>*</w:t>
      </w:r>
      <w:r w:rsidRPr="00583E1A">
        <w:t xml:space="preserve">head company or single company for the test period is increased by the average value, for the period, of the amount worked out under </w:t>
      </w:r>
      <w:r w:rsidR="00583E1A">
        <w:t>subsection (</w:t>
      </w:r>
      <w:r w:rsidRPr="00583E1A">
        <w:t>3).</w:t>
      </w:r>
    </w:p>
    <w:p w:rsidR="00887330" w:rsidRPr="00583E1A" w:rsidRDefault="00887330" w:rsidP="00887330">
      <w:pPr>
        <w:pStyle w:val="notetext"/>
      </w:pPr>
      <w:r w:rsidRPr="00583E1A">
        <w:t>Note 1:</w:t>
      </w:r>
      <w:r w:rsidRPr="00583E1A">
        <w:tab/>
        <w:t>In the case of a choice under section</w:t>
      </w:r>
      <w:r w:rsidR="00583E1A">
        <w:t> </w:t>
      </w:r>
      <w:r w:rsidRPr="00583E1A">
        <w:t>820</w:t>
      </w:r>
      <w:r w:rsidR="00583E1A">
        <w:noBreakHyphen/>
      </w:r>
      <w:r w:rsidRPr="00583E1A">
        <w:t>599, paragraph 820</w:t>
      </w:r>
      <w:r w:rsidR="00583E1A">
        <w:noBreakHyphen/>
      </w:r>
      <w:r w:rsidRPr="00583E1A">
        <w:t>603(4)(b) treats the single company and the relevant Australian permanent establishments as a consolidated group.</w:t>
      </w:r>
    </w:p>
    <w:p w:rsidR="00887330" w:rsidRPr="00583E1A" w:rsidRDefault="00887330" w:rsidP="00887330">
      <w:pPr>
        <w:pStyle w:val="notetext"/>
      </w:pPr>
      <w:r w:rsidRPr="00583E1A">
        <w:t>Note 2:</w:t>
      </w:r>
      <w:r w:rsidRPr="00583E1A">
        <w:tab/>
        <w:t>To calculate an average value for the purposes of this Division, see Subdivision</w:t>
      </w:r>
      <w:r w:rsidR="00583E1A">
        <w:t> </w:t>
      </w:r>
      <w:r w:rsidRPr="00583E1A">
        <w:t>820</w:t>
      </w:r>
      <w:r w:rsidR="00583E1A">
        <w:noBreakHyphen/>
      </w:r>
      <w:r w:rsidRPr="00583E1A">
        <w:t>G.</w:t>
      </w:r>
    </w:p>
    <w:p w:rsidR="00887330" w:rsidRPr="00583E1A" w:rsidRDefault="00887330" w:rsidP="00887330">
      <w:pPr>
        <w:pStyle w:val="subsection"/>
      </w:pPr>
      <w:r w:rsidRPr="00583E1A">
        <w:tab/>
        <w:t>(3)</w:t>
      </w:r>
      <w:r w:rsidRPr="00583E1A">
        <w:tab/>
        <w:t xml:space="preserve">The amount worked out under this subsection as at a particular day is the total of the amounts worked out under the following paragraphs for each of the establishment entity’s </w:t>
      </w:r>
      <w:r w:rsidR="00583E1A" w:rsidRPr="00583E1A">
        <w:rPr>
          <w:position w:val="6"/>
          <w:sz w:val="16"/>
        </w:rPr>
        <w:t>*</w:t>
      </w:r>
      <w:r w:rsidRPr="00583E1A">
        <w:t>Australian permanent establishments that section</w:t>
      </w:r>
      <w:r w:rsidR="00583E1A">
        <w:t> </w:t>
      </w:r>
      <w:r w:rsidRPr="00583E1A">
        <w:t>820</w:t>
      </w:r>
      <w:r w:rsidR="00583E1A">
        <w:noBreakHyphen/>
      </w:r>
      <w:r w:rsidRPr="00583E1A">
        <w:t xml:space="preserve">603 treats as part of the </w:t>
      </w:r>
      <w:r w:rsidR="00583E1A" w:rsidRPr="00583E1A">
        <w:rPr>
          <w:position w:val="6"/>
          <w:sz w:val="16"/>
        </w:rPr>
        <w:t>*</w:t>
      </w:r>
      <w:r w:rsidRPr="00583E1A">
        <w:t>head company or single company on that day:</w:t>
      </w:r>
    </w:p>
    <w:p w:rsidR="00887330" w:rsidRPr="00583E1A" w:rsidRDefault="00887330" w:rsidP="00887330">
      <w:pPr>
        <w:pStyle w:val="paragraph"/>
      </w:pPr>
      <w:r w:rsidRPr="00583E1A">
        <w:tab/>
        <w:t>(a)</w:t>
      </w:r>
      <w:r w:rsidRPr="00583E1A">
        <w:tab/>
        <w:t xml:space="preserve">so much of the establishment entity’s </w:t>
      </w:r>
      <w:r w:rsidR="00583E1A" w:rsidRPr="00583E1A">
        <w:rPr>
          <w:position w:val="6"/>
          <w:sz w:val="16"/>
        </w:rPr>
        <w:t>*</w:t>
      </w:r>
      <w:r w:rsidRPr="00583E1A">
        <w:t>ADI equity capital, at the end of the day, as:</w:t>
      </w:r>
    </w:p>
    <w:p w:rsidR="00887330" w:rsidRPr="00583E1A" w:rsidRDefault="00887330" w:rsidP="00887330">
      <w:pPr>
        <w:pStyle w:val="paragraphsub"/>
      </w:pPr>
      <w:r w:rsidRPr="00583E1A">
        <w:tab/>
        <w:t>(i)</w:t>
      </w:r>
      <w:r w:rsidRPr="00583E1A">
        <w:tab/>
        <w:t>is attributable to that Australian permanent establishment; and</w:t>
      </w:r>
    </w:p>
    <w:p w:rsidR="00887330" w:rsidRPr="00583E1A" w:rsidRDefault="00887330" w:rsidP="00887330">
      <w:pPr>
        <w:pStyle w:val="paragraphsub"/>
      </w:pPr>
      <w:r w:rsidRPr="00583E1A">
        <w:tab/>
        <w:t>(ii)</w:t>
      </w:r>
      <w:r w:rsidRPr="00583E1A">
        <w:tab/>
        <w:t xml:space="preserve">has not been allocated to the </w:t>
      </w:r>
      <w:r w:rsidR="00583E1A" w:rsidRPr="00583E1A">
        <w:rPr>
          <w:position w:val="6"/>
          <w:sz w:val="16"/>
        </w:rPr>
        <w:t>*</w:t>
      </w:r>
      <w:r w:rsidRPr="00583E1A">
        <w:t>OB activities of the entity;</w:t>
      </w:r>
    </w:p>
    <w:p w:rsidR="00887330" w:rsidRPr="00583E1A" w:rsidRDefault="00887330" w:rsidP="00307CC1">
      <w:pPr>
        <w:pStyle w:val="paragraph"/>
        <w:keepNext/>
      </w:pPr>
      <w:r w:rsidRPr="00583E1A">
        <w:lastRenderedPageBreak/>
        <w:tab/>
        <w:t>(b)</w:t>
      </w:r>
      <w:r w:rsidRPr="00583E1A">
        <w:tab/>
        <w:t>the amounts that, as at the end of that day:</w:t>
      </w:r>
    </w:p>
    <w:p w:rsidR="00887330" w:rsidRPr="00583E1A" w:rsidRDefault="00887330" w:rsidP="00307CC1">
      <w:pPr>
        <w:pStyle w:val="paragraphsub"/>
        <w:keepNext/>
      </w:pPr>
      <w:r w:rsidRPr="00583E1A">
        <w:tab/>
        <w:t>(i)</w:t>
      </w:r>
      <w:r w:rsidRPr="00583E1A">
        <w:tab/>
        <w:t>are made available by the establishment entity to the Australian permanent establishment as loans to it; and</w:t>
      </w:r>
    </w:p>
    <w:p w:rsidR="00887330" w:rsidRPr="00583E1A" w:rsidRDefault="00887330" w:rsidP="00887330">
      <w:pPr>
        <w:pStyle w:val="paragraphsub"/>
      </w:pPr>
      <w:r w:rsidRPr="00583E1A">
        <w:tab/>
        <w:t>(ii)</w:t>
      </w:r>
      <w:r w:rsidRPr="00583E1A">
        <w:tab/>
        <w:t xml:space="preserve">do not give rise to any </w:t>
      </w:r>
      <w:r w:rsidR="00583E1A" w:rsidRPr="00583E1A">
        <w:rPr>
          <w:position w:val="6"/>
          <w:sz w:val="16"/>
        </w:rPr>
        <w:t>*</w:t>
      </w:r>
      <w:r w:rsidRPr="00583E1A">
        <w:t>debt deductions of the entity for the income year or any other income year.</w:t>
      </w:r>
    </w:p>
    <w:p w:rsidR="00887330" w:rsidRPr="00583E1A" w:rsidRDefault="00887330" w:rsidP="00887330">
      <w:pPr>
        <w:pStyle w:val="notetext"/>
      </w:pPr>
      <w:r w:rsidRPr="00583E1A">
        <w:t>Note:</w:t>
      </w:r>
      <w:r w:rsidRPr="00583E1A">
        <w:tab/>
        <w:t>The amounts are to be worked out, so far as practicable, on the basis of the information that would be contained in a set of consolidated accounts. See section</w:t>
      </w:r>
      <w:r w:rsidR="00583E1A">
        <w:t> </w:t>
      </w:r>
      <w:r w:rsidRPr="00583E1A">
        <w:t>820</w:t>
      </w:r>
      <w:r w:rsidR="00583E1A">
        <w:noBreakHyphen/>
      </w:r>
      <w:r w:rsidRPr="00583E1A">
        <w:t>611.</w:t>
      </w:r>
    </w:p>
    <w:p w:rsidR="00887330" w:rsidRPr="00583E1A" w:rsidRDefault="00887330" w:rsidP="00887330">
      <w:pPr>
        <w:pStyle w:val="SubsectionHead"/>
      </w:pPr>
      <w:r w:rsidRPr="00583E1A">
        <w:t>Risk</w:t>
      </w:r>
      <w:r w:rsidR="00583E1A">
        <w:noBreakHyphen/>
      </w:r>
      <w:r w:rsidRPr="00583E1A">
        <w:t>weighted assets</w:t>
      </w:r>
    </w:p>
    <w:p w:rsidR="00887330" w:rsidRPr="00583E1A" w:rsidRDefault="00887330" w:rsidP="00887330">
      <w:pPr>
        <w:pStyle w:val="subsection"/>
      </w:pPr>
      <w:r w:rsidRPr="00583E1A">
        <w:tab/>
        <w:t>(4)</w:t>
      </w:r>
      <w:r w:rsidRPr="00583E1A">
        <w:tab/>
        <w:t xml:space="preserve">For each of the establishment entity’s </w:t>
      </w:r>
      <w:r w:rsidR="00583E1A" w:rsidRPr="00583E1A">
        <w:rPr>
          <w:position w:val="6"/>
          <w:sz w:val="16"/>
        </w:rPr>
        <w:t>*</w:t>
      </w:r>
      <w:r w:rsidRPr="00583E1A">
        <w:t xml:space="preserve">Australian permanent establishments that is covered by the choice, the </w:t>
      </w:r>
      <w:r w:rsidR="00583E1A" w:rsidRPr="00583E1A">
        <w:rPr>
          <w:position w:val="6"/>
          <w:sz w:val="16"/>
        </w:rPr>
        <w:t>*</w:t>
      </w:r>
      <w:r w:rsidRPr="00583E1A">
        <w:t>risk</w:t>
      </w:r>
      <w:r w:rsidR="00583E1A">
        <w:noBreakHyphen/>
      </w:r>
      <w:r w:rsidRPr="00583E1A">
        <w:t xml:space="preserve">weighted assets of the </w:t>
      </w:r>
      <w:r w:rsidR="00583E1A" w:rsidRPr="00583E1A">
        <w:rPr>
          <w:position w:val="6"/>
          <w:sz w:val="16"/>
        </w:rPr>
        <w:t>*</w:t>
      </w:r>
      <w:r w:rsidRPr="00583E1A">
        <w:t>head company or single company include that part of the entity’s risk</w:t>
      </w:r>
      <w:r w:rsidR="00583E1A">
        <w:noBreakHyphen/>
      </w:r>
      <w:r w:rsidRPr="00583E1A">
        <w:t>weighted assets that:</w:t>
      </w:r>
    </w:p>
    <w:p w:rsidR="00887330" w:rsidRPr="00583E1A" w:rsidRDefault="00887330" w:rsidP="00887330">
      <w:pPr>
        <w:pStyle w:val="paragraph"/>
      </w:pPr>
      <w:r w:rsidRPr="00583E1A">
        <w:tab/>
        <w:t>(a)</w:t>
      </w:r>
      <w:r w:rsidRPr="00583E1A">
        <w:tab/>
        <w:t>is attributable to that Australian permanent establishment; and</w:t>
      </w:r>
    </w:p>
    <w:p w:rsidR="00887330" w:rsidRPr="00583E1A" w:rsidRDefault="00887330" w:rsidP="00887330">
      <w:pPr>
        <w:pStyle w:val="paragraph"/>
      </w:pPr>
      <w:r w:rsidRPr="00583E1A">
        <w:tab/>
        <w:t>(b)</w:t>
      </w:r>
      <w:r w:rsidRPr="00583E1A">
        <w:tab/>
        <w:t xml:space="preserve">is not attributable to the entity’s </w:t>
      </w:r>
      <w:r w:rsidR="00583E1A" w:rsidRPr="00583E1A">
        <w:rPr>
          <w:position w:val="6"/>
          <w:sz w:val="16"/>
        </w:rPr>
        <w:t>*</w:t>
      </w:r>
      <w:r w:rsidRPr="00583E1A">
        <w:t>OB activities.</w:t>
      </w:r>
    </w:p>
    <w:p w:rsidR="00887330" w:rsidRPr="00583E1A" w:rsidRDefault="00887330" w:rsidP="00887330">
      <w:pPr>
        <w:pStyle w:val="ActHead5"/>
      </w:pPr>
      <w:bookmarkStart w:id="259" w:name="_Toc338939333"/>
      <w:r w:rsidRPr="00583E1A">
        <w:rPr>
          <w:rStyle w:val="CharSectno"/>
        </w:rPr>
        <w:t>820</w:t>
      </w:r>
      <w:r w:rsidR="00583E1A">
        <w:rPr>
          <w:rStyle w:val="CharSectno"/>
        </w:rPr>
        <w:noBreakHyphen/>
      </w:r>
      <w:r w:rsidRPr="00583E1A">
        <w:rPr>
          <w:rStyle w:val="CharSectno"/>
        </w:rPr>
        <w:t>615</w:t>
      </w:r>
      <w:r w:rsidRPr="00583E1A">
        <w:t xml:space="preserve">  How Subdivision</w:t>
      </w:r>
      <w:r w:rsidR="00583E1A">
        <w:t> </w:t>
      </w:r>
      <w:r w:rsidRPr="00583E1A">
        <w:t>820</w:t>
      </w:r>
      <w:r w:rsidR="00583E1A">
        <w:noBreakHyphen/>
      </w:r>
      <w:r w:rsidRPr="00583E1A">
        <w:t>E applies</w:t>
      </w:r>
      <w:bookmarkEnd w:id="259"/>
    </w:p>
    <w:p w:rsidR="00887330" w:rsidRPr="00583E1A" w:rsidRDefault="00887330" w:rsidP="00887330">
      <w:pPr>
        <w:pStyle w:val="subsection"/>
      </w:pPr>
      <w:r w:rsidRPr="00583E1A">
        <w:tab/>
        <w:t>(1)</w:t>
      </w:r>
      <w:r w:rsidRPr="00583E1A">
        <w:tab/>
        <w:t>This section has effect for the purposes of applying Subdivision</w:t>
      </w:r>
      <w:r w:rsidR="00583E1A">
        <w:t> </w:t>
      </w:r>
      <w:r w:rsidRPr="00583E1A">
        <w:t>820</w:t>
      </w:r>
      <w:r w:rsidR="00583E1A">
        <w:noBreakHyphen/>
      </w:r>
      <w:r w:rsidRPr="00583E1A">
        <w:t xml:space="preserve">E to the </w:t>
      </w:r>
      <w:r w:rsidR="00583E1A" w:rsidRPr="00583E1A">
        <w:rPr>
          <w:position w:val="6"/>
          <w:sz w:val="16"/>
        </w:rPr>
        <w:t>*</w:t>
      </w:r>
      <w:r w:rsidRPr="00583E1A">
        <w:t xml:space="preserve">head company or single company in relation to a period (the </w:t>
      </w:r>
      <w:r w:rsidRPr="00583E1A">
        <w:rPr>
          <w:b/>
          <w:i/>
        </w:rPr>
        <w:t>test period</w:t>
      </w:r>
      <w:r w:rsidRPr="00583E1A">
        <w:t>) that is all or part of the grouping period.</w:t>
      </w:r>
    </w:p>
    <w:p w:rsidR="00887330" w:rsidRPr="00583E1A" w:rsidRDefault="00887330" w:rsidP="00887330">
      <w:pPr>
        <w:pStyle w:val="notetext"/>
      </w:pPr>
      <w:r w:rsidRPr="00583E1A">
        <w:t>Note:</w:t>
      </w:r>
      <w:r w:rsidRPr="00583E1A">
        <w:tab/>
        <w:t>Subdivision</w:t>
      </w:r>
      <w:r w:rsidR="00583E1A">
        <w:t> </w:t>
      </w:r>
      <w:r w:rsidRPr="00583E1A">
        <w:t>820</w:t>
      </w:r>
      <w:r w:rsidR="00583E1A">
        <w:noBreakHyphen/>
      </w:r>
      <w:r w:rsidRPr="00583E1A">
        <w:t>E applies to the head company or single company if it is classified as an inward investing entity (ADI) because of section</w:t>
      </w:r>
      <w:r w:rsidR="00583E1A">
        <w:t> </w:t>
      </w:r>
      <w:r w:rsidRPr="00583E1A">
        <w:t>820</w:t>
      </w:r>
      <w:r w:rsidR="00583E1A">
        <w:noBreakHyphen/>
      </w:r>
      <w:r w:rsidRPr="00583E1A">
        <w:t>609.</w:t>
      </w:r>
    </w:p>
    <w:p w:rsidR="00887330" w:rsidRPr="00583E1A" w:rsidRDefault="00887330" w:rsidP="00887330">
      <w:pPr>
        <w:pStyle w:val="SubsectionHead"/>
      </w:pPr>
      <w:r w:rsidRPr="00583E1A">
        <w:t>Average equity capital</w:t>
      </w:r>
    </w:p>
    <w:p w:rsidR="00887330" w:rsidRPr="00583E1A" w:rsidRDefault="00887330" w:rsidP="00887330">
      <w:pPr>
        <w:pStyle w:val="subsection"/>
      </w:pPr>
      <w:r w:rsidRPr="00583E1A">
        <w:tab/>
        <w:t>(2)</w:t>
      </w:r>
      <w:r w:rsidRPr="00583E1A">
        <w:tab/>
        <w:t xml:space="preserve">The </w:t>
      </w:r>
      <w:r w:rsidRPr="00583E1A">
        <w:rPr>
          <w:b/>
          <w:i/>
        </w:rPr>
        <w:t>average equity capital</w:t>
      </w:r>
      <w:r w:rsidRPr="00583E1A">
        <w:rPr>
          <w:position w:val="6"/>
          <w:sz w:val="16"/>
        </w:rPr>
        <w:t xml:space="preserve"> </w:t>
      </w:r>
      <w:r w:rsidRPr="00583E1A">
        <w:t xml:space="preserve">of the </w:t>
      </w:r>
      <w:r w:rsidR="00583E1A" w:rsidRPr="00583E1A">
        <w:rPr>
          <w:position w:val="6"/>
          <w:sz w:val="16"/>
        </w:rPr>
        <w:t>*</w:t>
      </w:r>
      <w:r w:rsidRPr="00583E1A">
        <w:t>head company or single company for the test period is:</w:t>
      </w:r>
    </w:p>
    <w:p w:rsidR="00887330" w:rsidRPr="00583E1A" w:rsidRDefault="00887330" w:rsidP="00887330">
      <w:pPr>
        <w:pStyle w:val="paragraph"/>
      </w:pPr>
      <w:r w:rsidRPr="00583E1A">
        <w:tab/>
        <w:t>(a)</w:t>
      </w:r>
      <w:r w:rsidRPr="00583E1A">
        <w:tab/>
        <w:t xml:space="preserve">the average value, for that period, of all the </w:t>
      </w:r>
      <w:r w:rsidR="00583E1A" w:rsidRPr="00583E1A">
        <w:rPr>
          <w:position w:val="6"/>
          <w:sz w:val="16"/>
        </w:rPr>
        <w:t>*</w:t>
      </w:r>
      <w:r w:rsidRPr="00583E1A">
        <w:t>ADI equity capital of the company; plus</w:t>
      </w:r>
    </w:p>
    <w:p w:rsidR="00887330" w:rsidRPr="00583E1A" w:rsidRDefault="00887330" w:rsidP="00887330">
      <w:pPr>
        <w:pStyle w:val="paragraph"/>
      </w:pPr>
      <w:r w:rsidRPr="00583E1A">
        <w:tab/>
        <w:t>(b)</w:t>
      </w:r>
      <w:r w:rsidRPr="00583E1A">
        <w:tab/>
        <w:t>the average value, for that period, of the amount worked out under subsection 820</w:t>
      </w:r>
      <w:r w:rsidR="00583E1A">
        <w:noBreakHyphen/>
      </w:r>
      <w:r w:rsidRPr="00583E1A">
        <w:t>613(3).</w:t>
      </w:r>
    </w:p>
    <w:p w:rsidR="00887330" w:rsidRPr="00583E1A" w:rsidRDefault="00887330" w:rsidP="00887330">
      <w:pPr>
        <w:pStyle w:val="notetext"/>
      </w:pPr>
      <w:r w:rsidRPr="00583E1A">
        <w:t>Note 1:</w:t>
      </w:r>
      <w:r w:rsidRPr="00583E1A">
        <w:tab/>
        <w:t>In the case of a choice under section</w:t>
      </w:r>
      <w:r w:rsidR="00583E1A">
        <w:t> </w:t>
      </w:r>
      <w:r w:rsidRPr="00583E1A">
        <w:t>820</w:t>
      </w:r>
      <w:r w:rsidR="00583E1A">
        <w:noBreakHyphen/>
      </w:r>
      <w:r w:rsidRPr="00583E1A">
        <w:t>599, paragraph 820</w:t>
      </w:r>
      <w:r w:rsidR="00583E1A">
        <w:noBreakHyphen/>
      </w:r>
      <w:r w:rsidRPr="00583E1A">
        <w:t>603(4)(b) treats the single company and the relevant Australian permanent establishments as a consolidated group.</w:t>
      </w:r>
    </w:p>
    <w:p w:rsidR="00887330" w:rsidRPr="00583E1A" w:rsidRDefault="00887330" w:rsidP="00887330">
      <w:pPr>
        <w:pStyle w:val="notetext"/>
      </w:pPr>
      <w:r w:rsidRPr="00583E1A">
        <w:lastRenderedPageBreak/>
        <w:t>Note 2:</w:t>
      </w:r>
      <w:r w:rsidRPr="00583E1A">
        <w:tab/>
        <w:t>To calculate an average value for the purposes of this Division, see Subdivision</w:t>
      </w:r>
      <w:r w:rsidR="00583E1A">
        <w:t> </w:t>
      </w:r>
      <w:r w:rsidRPr="00583E1A">
        <w:t>820</w:t>
      </w:r>
      <w:r w:rsidR="00583E1A">
        <w:noBreakHyphen/>
      </w:r>
      <w:r w:rsidRPr="00583E1A">
        <w:t>G.</w:t>
      </w:r>
    </w:p>
    <w:p w:rsidR="00887330" w:rsidRPr="00583E1A" w:rsidRDefault="00887330" w:rsidP="00887330">
      <w:pPr>
        <w:pStyle w:val="SubsectionHead"/>
      </w:pPr>
      <w:r w:rsidRPr="00583E1A">
        <w:t>Safe harbour capital amount</w:t>
      </w:r>
    </w:p>
    <w:p w:rsidR="00887330" w:rsidRPr="00583E1A" w:rsidRDefault="00887330" w:rsidP="00887330">
      <w:pPr>
        <w:pStyle w:val="subsection"/>
      </w:pPr>
      <w:r w:rsidRPr="00583E1A">
        <w:tab/>
        <w:t>(3)</w:t>
      </w:r>
      <w:r w:rsidRPr="00583E1A">
        <w:tab/>
        <w:t xml:space="preserve">The </w:t>
      </w:r>
      <w:r w:rsidRPr="00583E1A">
        <w:rPr>
          <w:b/>
          <w:i/>
        </w:rPr>
        <w:t>safe harbour capital amount</w:t>
      </w:r>
      <w:r w:rsidRPr="00583E1A">
        <w:t xml:space="preserve"> of the </w:t>
      </w:r>
      <w:r w:rsidR="00583E1A" w:rsidRPr="00583E1A">
        <w:rPr>
          <w:position w:val="6"/>
          <w:sz w:val="16"/>
        </w:rPr>
        <w:t>*</w:t>
      </w:r>
      <w:r w:rsidRPr="00583E1A">
        <w:t>head company or single company for the test period is worked out using the following method statement.</w:t>
      </w:r>
    </w:p>
    <w:p w:rsidR="00887330" w:rsidRPr="00583E1A" w:rsidRDefault="00887330" w:rsidP="00887330">
      <w:pPr>
        <w:pStyle w:val="BoxHeadItalic"/>
        <w:keepNext/>
      </w:pPr>
      <w:r w:rsidRPr="00583E1A">
        <w:t>Method statement</w:t>
      </w:r>
    </w:p>
    <w:p w:rsidR="00887330" w:rsidRPr="00583E1A" w:rsidRDefault="00AE4F7F" w:rsidP="00887330">
      <w:pPr>
        <w:pStyle w:val="BoxStep"/>
      </w:pPr>
      <w:r w:rsidRPr="00583E1A">
        <w:rPr>
          <w:szCs w:val="22"/>
        </w:rPr>
        <w:t>Step 1.</w:t>
      </w:r>
      <w:r w:rsidR="00887330" w:rsidRPr="00583E1A">
        <w:tab/>
        <w:t xml:space="preserve">Work out the average value, for the test period, of the </w:t>
      </w:r>
      <w:r w:rsidR="00583E1A" w:rsidRPr="00583E1A">
        <w:rPr>
          <w:position w:val="6"/>
          <w:sz w:val="16"/>
        </w:rPr>
        <w:t>*</w:t>
      </w:r>
      <w:r w:rsidR="00887330" w:rsidRPr="00583E1A">
        <w:t xml:space="preserve">head company’s or single company’s </w:t>
      </w:r>
      <w:r w:rsidR="00583E1A" w:rsidRPr="00583E1A">
        <w:rPr>
          <w:position w:val="6"/>
          <w:sz w:val="16"/>
        </w:rPr>
        <w:t>*</w:t>
      </w:r>
      <w:r w:rsidR="00887330" w:rsidRPr="00583E1A">
        <w:t>risk</w:t>
      </w:r>
      <w:r w:rsidR="00583E1A">
        <w:noBreakHyphen/>
      </w:r>
      <w:r w:rsidR="00887330" w:rsidRPr="00583E1A">
        <w:t>weighted assets.</w:t>
      </w:r>
    </w:p>
    <w:p w:rsidR="00887330" w:rsidRPr="00583E1A" w:rsidRDefault="00AE4F7F" w:rsidP="00887330">
      <w:pPr>
        <w:pStyle w:val="BoxStep"/>
      </w:pPr>
      <w:r w:rsidRPr="00583E1A">
        <w:rPr>
          <w:szCs w:val="22"/>
        </w:rPr>
        <w:t>Step 2.</w:t>
      </w:r>
      <w:r w:rsidR="00887330" w:rsidRPr="00583E1A">
        <w:tab/>
        <w:t xml:space="preserve">Multiply the result of step 1 by 4%. The result of this step is the </w:t>
      </w:r>
      <w:r w:rsidR="00887330" w:rsidRPr="00583E1A">
        <w:rPr>
          <w:b/>
          <w:i/>
        </w:rPr>
        <w:t>safe harbour capital amount</w:t>
      </w:r>
      <w:r w:rsidR="00887330" w:rsidRPr="00583E1A">
        <w:t>.</w:t>
      </w:r>
    </w:p>
    <w:p w:rsidR="00887330" w:rsidRPr="00583E1A" w:rsidRDefault="00887330" w:rsidP="00887330">
      <w:pPr>
        <w:pStyle w:val="SubsectionHead"/>
      </w:pPr>
      <w:r w:rsidRPr="00583E1A">
        <w:t>Risk</w:t>
      </w:r>
      <w:r w:rsidR="00583E1A">
        <w:noBreakHyphen/>
      </w:r>
      <w:r w:rsidRPr="00583E1A">
        <w:t>weighted assets</w:t>
      </w:r>
    </w:p>
    <w:p w:rsidR="00887330" w:rsidRPr="00583E1A" w:rsidRDefault="00887330" w:rsidP="00887330">
      <w:pPr>
        <w:pStyle w:val="subsection"/>
      </w:pPr>
      <w:r w:rsidRPr="00583E1A">
        <w:tab/>
        <w:t>(4)</w:t>
      </w:r>
      <w:r w:rsidRPr="00583E1A">
        <w:tab/>
        <w:t xml:space="preserve">For each of the establishment entity’s </w:t>
      </w:r>
      <w:r w:rsidR="00583E1A" w:rsidRPr="00583E1A">
        <w:rPr>
          <w:position w:val="6"/>
          <w:sz w:val="16"/>
        </w:rPr>
        <w:t>*</w:t>
      </w:r>
      <w:r w:rsidRPr="00583E1A">
        <w:t xml:space="preserve">Australian permanent establishments covered by the choice, the </w:t>
      </w:r>
      <w:r w:rsidR="00583E1A" w:rsidRPr="00583E1A">
        <w:rPr>
          <w:position w:val="6"/>
          <w:sz w:val="16"/>
        </w:rPr>
        <w:t>*</w:t>
      </w:r>
      <w:r w:rsidRPr="00583E1A">
        <w:t>risk</w:t>
      </w:r>
      <w:r w:rsidR="00583E1A">
        <w:noBreakHyphen/>
      </w:r>
      <w:r w:rsidRPr="00583E1A">
        <w:t xml:space="preserve">weighted assets of the </w:t>
      </w:r>
      <w:r w:rsidR="00583E1A" w:rsidRPr="00583E1A">
        <w:rPr>
          <w:position w:val="6"/>
          <w:sz w:val="16"/>
        </w:rPr>
        <w:t>*</w:t>
      </w:r>
      <w:r w:rsidRPr="00583E1A">
        <w:t>head company or single company include that part of the entity’s risk</w:t>
      </w:r>
      <w:r w:rsidR="00583E1A">
        <w:noBreakHyphen/>
      </w:r>
      <w:r w:rsidRPr="00583E1A">
        <w:t>weighted assets that:</w:t>
      </w:r>
    </w:p>
    <w:p w:rsidR="00887330" w:rsidRPr="00583E1A" w:rsidRDefault="00887330" w:rsidP="00887330">
      <w:pPr>
        <w:pStyle w:val="paragraph"/>
      </w:pPr>
      <w:r w:rsidRPr="00583E1A">
        <w:tab/>
        <w:t>(a)</w:t>
      </w:r>
      <w:r w:rsidRPr="00583E1A">
        <w:tab/>
        <w:t>is attributable to that Australian permanent establishment; and</w:t>
      </w:r>
    </w:p>
    <w:p w:rsidR="00887330" w:rsidRPr="00583E1A" w:rsidRDefault="00887330" w:rsidP="00887330">
      <w:pPr>
        <w:pStyle w:val="paragraph"/>
      </w:pPr>
      <w:r w:rsidRPr="00583E1A">
        <w:tab/>
        <w:t>(b)</w:t>
      </w:r>
      <w:r w:rsidRPr="00583E1A">
        <w:tab/>
        <w:t xml:space="preserve">is not attributable to the entity’s </w:t>
      </w:r>
      <w:r w:rsidR="00583E1A" w:rsidRPr="00583E1A">
        <w:rPr>
          <w:position w:val="6"/>
          <w:sz w:val="16"/>
        </w:rPr>
        <w:t>*</w:t>
      </w:r>
      <w:r w:rsidRPr="00583E1A">
        <w:t>OB activities.</w:t>
      </w:r>
    </w:p>
    <w:p w:rsidR="00887330" w:rsidRPr="00583E1A" w:rsidRDefault="00887330" w:rsidP="00887330">
      <w:pPr>
        <w:pStyle w:val="ActHead4"/>
      </w:pPr>
      <w:bookmarkStart w:id="260" w:name="_Toc338939334"/>
      <w:r w:rsidRPr="00583E1A">
        <w:rPr>
          <w:rStyle w:val="CharSubdNo"/>
        </w:rPr>
        <w:t>Subdivision</w:t>
      </w:r>
      <w:r w:rsidR="00583E1A">
        <w:rPr>
          <w:rStyle w:val="CharSubdNo"/>
        </w:rPr>
        <w:t> </w:t>
      </w:r>
      <w:r w:rsidRPr="00583E1A">
        <w:rPr>
          <w:rStyle w:val="CharSubdNo"/>
        </w:rPr>
        <w:t>820</w:t>
      </w:r>
      <w:r w:rsidR="00583E1A">
        <w:rPr>
          <w:rStyle w:val="CharSubdNo"/>
        </w:rPr>
        <w:noBreakHyphen/>
      </w:r>
      <w:r w:rsidRPr="00583E1A">
        <w:rPr>
          <w:rStyle w:val="CharSubdNo"/>
        </w:rPr>
        <w:t>G</w:t>
      </w:r>
      <w:r w:rsidRPr="00583E1A">
        <w:t>—</w:t>
      </w:r>
      <w:r w:rsidRPr="00583E1A">
        <w:rPr>
          <w:rStyle w:val="CharSubdText"/>
        </w:rPr>
        <w:t>Calculating the average values</w:t>
      </w:r>
      <w:bookmarkEnd w:id="260"/>
    </w:p>
    <w:p w:rsidR="00887330" w:rsidRPr="00583E1A" w:rsidRDefault="00887330" w:rsidP="00887330">
      <w:pPr>
        <w:pStyle w:val="ActHead4"/>
      </w:pPr>
      <w:bookmarkStart w:id="261" w:name="_Toc338939335"/>
      <w:r w:rsidRPr="00583E1A">
        <w:t>Guide to Subdivision</w:t>
      </w:r>
      <w:r w:rsidR="00583E1A">
        <w:t> </w:t>
      </w:r>
      <w:r w:rsidRPr="00583E1A">
        <w:t>820</w:t>
      </w:r>
      <w:r w:rsidR="00583E1A">
        <w:noBreakHyphen/>
      </w:r>
      <w:r w:rsidRPr="00583E1A">
        <w:t>G</w:t>
      </w:r>
      <w:bookmarkEnd w:id="261"/>
    </w:p>
    <w:p w:rsidR="00887330" w:rsidRPr="00583E1A" w:rsidRDefault="00887330" w:rsidP="00887330">
      <w:pPr>
        <w:pStyle w:val="ActHead5"/>
      </w:pPr>
      <w:bookmarkStart w:id="262" w:name="_Toc338939336"/>
      <w:r w:rsidRPr="00583E1A">
        <w:rPr>
          <w:rStyle w:val="CharSectno"/>
        </w:rPr>
        <w:t>820</w:t>
      </w:r>
      <w:r w:rsidR="00583E1A">
        <w:rPr>
          <w:rStyle w:val="CharSectno"/>
        </w:rPr>
        <w:noBreakHyphen/>
      </w:r>
      <w:r w:rsidRPr="00583E1A">
        <w:rPr>
          <w:rStyle w:val="CharSectno"/>
        </w:rPr>
        <w:t>625</w:t>
      </w:r>
      <w:r w:rsidRPr="00583E1A">
        <w:t xml:space="preserve">  What this Subdivision is about</w:t>
      </w:r>
      <w:bookmarkEnd w:id="262"/>
    </w:p>
    <w:p w:rsidR="00887330" w:rsidRPr="00583E1A" w:rsidRDefault="00887330" w:rsidP="00887330">
      <w:pPr>
        <w:pStyle w:val="BoxText"/>
      </w:pPr>
      <w:r w:rsidRPr="00583E1A">
        <w:t>This Subdivision sets out the methods of calculating the average values for the purposes of this Division. It also includes special rules about values and valuation that are relevant to that calculation.</w:t>
      </w:r>
    </w:p>
    <w:p w:rsidR="00887330" w:rsidRPr="00583E1A" w:rsidRDefault="00887330" w:rsidP="00887330">
      <w:pPr>
        <w:pStyle w:val="notetext"/>
      </w:pPr>
      <w:r w:rsidRPr="00583E1A">
        <w:lastRenderedPageBreak/>
        <w:t>Note:</w:t>
      </w:r>
      <w:r w:rsidRPr="00583E1A">
        <w:tab/>
        <w:t>Section</w:t>
      </w:r>
      <w:r w:rsidR="00583E1A">
        <w:t> </w:t>
      </w:r>
      <w:r w:rsidRPr="00583E1A">
        <w:t>820</w:t>
      </w:r>
      <w:r w:rsidR="00583E1A">
        <w:noBreakHyphen/>
      </w:r>
      <w:r w:rsidRPr="00583E1A">
        <w:t xml:space="preserve">25 of the </w:t>
      </w:r>
      <w:r w:rsidRPr="00583E1A">
        <w:rPr>
          <w:i/>
        </w:rPr>
        <w:t>Income Tax (Transitional Provisions) Act 1997</w:t>
      </w:r>
      <w:r w:rsidRPr="00583E1A">
        <w:t xml:space="preserve"> provides for a transitional rule that affects the operation of this Subdivision in relation to an income year that begins before 1</w:t>
      </w:r>
      <w:r w:rsidR="00583E1A">
        <w:t> </w:t>
      </w:r>
      <w:r w:rsidRPr="00583E1A">
        <w:t>July 2002 and ends before 30</w:t>
      </w:r>
      <w:r w:rsidR="00583E1A">
        <w:t> </w:t>
      </w:r>
      <w:r w:rsidRPr="00583E1A">
        <w:t>June 2003.</w:t>
      </w:r>
    </w:p>
    <w:p w:rsidR="00887330" w:rsidRPr="00583E1A" w:rsidRDefault="00887330" w:rsidP="006800B4">
      <w:pPr>
        <w:pStyle w:val="TofSectsHeading"/>
        <w:keepNext/>
        <w:keepLines/>
      </w:pPr>
      <w:r w:rsidRPr="00583E1A">
        <w:t>Table of sections</w:t>
      </w:r>
    </w:p>
    <w:p w:rsidR="00887330" w:rsidRPr="00583E1A" w:rsidRDefault="00887330" w:rsidP="006800B4">
      <w:pPr>
        <w:pStyle w:val="TofSectsGroupHeading"/>
        <w:keepNext/>
      </w:pPr>
      <w:r w:rsidRPr="00583E1A">
        <w:t>How to calculate the average values</w:t>
      </w:r>
    </w:p>
    <w:p w:rsidR="00887330" w:rsidRPr="00583E1A" w:rsidRDefault="00887330" w:rsidP="00887330">
      <w:pPr>
        <w:pStyle w:val="TofSectsSection"/>
        <w:keepNext/>
      </w:pPr>
      <w:r w:rsidRPr="00583E1A">
        <w:t>820</w:t>
      </w:r>
      <w:r w:rsidR="00583E1A">
        <w:noBreakHyphen/>
      </w:r>
      <w:r w:rsidRPr="00583E1A">
        <w:t>630</w:t>
      </w:r>
      <w:r w:rsidRPr="00583E1A">
        <w:tab/>
        <w:t>Methods of calculating average values</w:t>
      </w:r>
    </w:p>
    <w:p w:rsidR="00887330" w:rsidRPr="00583E1A" w:rsidRDefault="00887330" w:rsidP="00887330">
      <w:pPr>
        <w:pStyle w:val="TofSectsSection"/>
        <w:keepNext/>
      </w:pPr>
      <w:r w:rsidRPr="00583E1A">
        <w:t>820</w:t>
      </w:r>
      <w:r w:rsidR="00583E1A">
        <w:noBreakHyphen/>
      </w:r>
      <w:r w:rsidRPr="00583E1A">
        <w:t>635</w:t>
      </w:r>
      <w:r w:rsidRPr="00583E1A">
        <w:tab/>
        <w:t>The opening and closing balances method</w:t>
      </w:r>
    </w:p>
    <w:p w:rsidR="00887330" w:rsidRPr="00583E1A" w:rsidRDefault="00887330" w:rsidP="00887330">
      <w:pPr>
        <w:pStyle w:val="TofSectsSection"/>
      </w:pPr>
      <w:r w:rsidRPr="00583E1A">
        <w:t>820</w:t>
      </w:r>
      <w:r w:rsidR="00583E1A">
        <w:noBreakHyphen/>
      </w:r>
      <w:r w:rsidRPr="00583E1A">
        <w:t>640</w:t>
      </w:r>
      <w:r w:rsidRPr="00583E1A">
        <w:tab/>
        <w:t>The 3 measurement days method</w:t>
      </w:r>
    </w:p>
    <w:p w:rsidR="00887330" w:rsidRPr="00583E1A" w:rsidRDefault="00887330" w:rsidP="00887330">
      <w:pPr>
        <w:pStyle w:val="TofSectsSection"/>
      </w:pPr>
      <w:r w:rsidRPr="00583E1A">
        <w:t>820</w:t>
      </w:r>
      <w:r w:rsidR="00583E1A">
        <w:noBreakHyphen/>
      </w:r>
      <w:r w:rsidRPr="00583E1A">
        <w:t>645</w:t>
      </w:r>
      <w:r w:rsidRPr="00583E1A">
        <w:tab/>
        <w:t>The frequent measurement method</w:t>
      </w:r>
    </w:p>
    <w:p w:rsidR="00887330" w:rsidRPr="00583E1A" w:rsidRDefault="00887330" w:rsidP="00887330">
      <w:pPr>
        <w:pStyle w:val="TofSectsGroupHeading"/>
      </w:pPr>
      <w:r w:rsidRPr="00583E1A">
        <w:t>Special rules about values and valuation</w:t>
      </w:r>
    </w:p>
    <w:p w:rsidR="00887330" w:rsidRPr="00583E1A" w:rsidRDefault="00887330" w:rsidP="00887330">
      <w:pPr>
        <w:pStyle w:val="TofSectsSection"/>
      </w:pPr>
      <w:r w:rsidRPr="00583E1A">
        <w:t>820</w:t>
      </w:r>
      <w:r w:rsidR="00583E1A">
        <w:noBreakHyphen/>
      </w:r>
      <w:r w:rsidRPr="00583E1A">
        <w:t>675</w:t>
      </w:r>
      <w:r w:rsidRPr="00583E1A">
        <w:tab/>
        <w:t>Amount to be expressed in Australian currency</w:t>
      </w:r>
    </w:p>
    <w:p w:rsidR="00887330" w:rsidRPr="00583E1A" w:rsidRDefault="00887330" w:rsidP="00887330">
      <w:pPr>
        <w:pStyle w:val="TofSectsSection"/>
      </w:pPr>
      <w:r w:rsidRPr="00583E1A">
        <w:t>820</w:t>
      </w:r>
      <w:r w:rsidR="00583E1A">
        <w:noBreakHyphen/>
      </w:r>
      <w:r w:rsidRPr="00583E1A">
        <w:t>680</w:t>
      </w:r>
      <w:r w:rsidRPr="00583E1A">
        <w:tab/>
        <w:t>Valuation of assets, liabilities and equity capital</w:t>
      </w:r>
    </w:p>
    <w:p w:rsidR="003B37BA" w:rsidRPr="00583E1A" w:rsidRDefault="003B37BA" w:rsidP="003B37BA">
      <w:pPr>
        <w:pStyle w:val="TofSectsSection"/>
      </w:pPr>
      <w:r w:rsidRPr="00583E1A">
        <w:t>820</w:t>
      </w:r>
      <w:r w:rsidR="00583E1A">
        <w:noBreakHyphen/>
      </w:r>
      <w:r w:rsidRPr="00583E1A">
        <w:t>682</w:t>
      </w:r>
      <w:r w:rsidRPr="00583E1A">
        <w:tab/>
        <w:t>Recognition of assets and liabilities—modifying application of accounting standards</w:t>
      </w:r>
    </w:p>
    <w:p w:rsidR="003B37BA" w:rsidRPr="00583E1A" w:rsidRDefault="003B37BA" w:rsidP="003B37BA">
      <w:pPr>
        <w:pStyle w:val="TofSectsSection"/>
      </w:pPr>
      <w:r w:rsidRPr="00583E1A">
        <w:t>820</w:t>
      </w:r>
      <w:r w:rsidR="00583E1A">
        <w:noBreakHyphen/>
      </w:r>
      <w:r w:rsidRPr="00583E1A">
        <w:t>683</w:t>
      </w:r>
      <w:r w:rsidRPr="00583E1A">
        <w:tab/>
        <w:t>Recognition of internally generated intangible items—modifying application of accounting standards</w:t>
      </w:r>
    </w:p>
    <w:p w:rsidR="003B37BA" w:rsidRPr="00583E1A" w:rsidRDefault="003B37BA" w:rsidP="003B37BA">
      <w:pPr>
        <w:pStyle w:val="TofSectsSection"/>
      </w:pPr>
      <w:r w:rsidRPr="00583E1A">
        <w:t>820</w:t>
      </w:r>
      <w:r w:rsidR="00583E1A">
        <w:noBreakHyphen/>
      </w:r>
      <w:r w:rsidRPr="00583E1A">
        <w:t>684</w:t>
      </w:r>
      <w:r w:rsidRPr="00583E1A">
        <w:tab/>
        <w:t>Valuation of intangible assets if no active market—modifying application of accounting standards</w:t>
      </w:r>
    </w:p>
    <w:p w:rsidR="00887330" w:rsidRPr="00583E1A" w:rsidRDefault="00887330" w:rsidP="00887330">
      <w:pPr>
        <w:pStyle w:val="TofSectsSection"/>
      </w:pPr>
      <w:r w:rsidRPr="00583E1A">
        <w:t>820</w:t>
      </w:r>
      <w:r w:rsidR="00583E1A">
        <w:noBreakHyphen/>
      </w:r>
      <w:r w:rsidRPr="00583E1A">
        <w:t>685</w:t>
      </w:r>
      <w:r w:rsidRPr="00583E1A">
        <w:tab/>
        <w:t>Valuation of debt capital</w:t>
      </w:r>
    </w:p>
    <w:p w:rsidR="00887330" w:rsidRPr="00583E1A" w:rsidRDefault="00887330" w:rsidP="00887330">
      <w:pPr>
        <w:pStyle w:val="TofSectsSection"/>
      </w:pPr>
      <w:r w:rsidRPr="00583E1A">
        <w:t>820</w:t>
      </w:r>
      <w:r w:rsidR="00583E1A">
        <w:noBreakHyphen/>
      </w:r>
      <w:r w:rsidRPr="00583E1A">
        <w:t>690</w:t>
      </w:r>
      <w:r w:rsidRPr="00583E1A">
        <w:tab/>
        <w:t>Commissioner’s power</w:t>
      </w:r>
    </w:p>
    <w:p w:rsidR="00887330" w:rsidRPr="00583E1A" w:rsidRDefault="00887330" w:rsidP="00887330">
      <w:pPr>
        <w:pStyle w:val="ActHead4"/>
      </w:pPr>
      <w:bookmarkStart w:id="263" w:name="_Toc338939337"/>
      <w:r w:rsidRPr="00583E1A">
        <w:t>How to calculate the average values</w:t>
      </w:r>
      <w:bookmarkEnd w:id="263"/>
    </w:p>
    <w:p w:rsidR="00887330" w:rsidRPr="00583E1A" w:rsidRDefault="00887330" w:rsidP="00887330">
      <w:pPr>
        <w:pStyle w:val="ActHead5"/>
      </w:pPr>
      <w:bookmarkStart w:id="264" w:name="_Toc338939338"/>
      <w:r w:rsidRPr="00583E1A">
        <w:rPr>
          <w:rStyle w:val="CharSectno"/>
        </w:rPr>
        <w:t>820</w:t>
      </w:r>
      <w:r w:rsidR="00583E1A">
        <w:rPr>
          <w:rStyle w:val="CharSectno"/>
        </w:rPr>
        <w:noBreakHyphen/>
      </w:r>
      <w:r w:rsidRPr="00583E1A">
        <w:rPr>
          <w:rStyle w:val="CharSectno"/>
        </w:rPr>
        <w:t>630</w:t>
      </w:r>
      <w:r w:rsidRPr="00583E1A">
        <w:t xml:space="preserve">  Methods of calculating average values</w:t>
      </w:r>
      <w:bookmarkEnd w:id="264"/>
    </w:p>
    <w:p w:rsidR="00887330" w:rsidRPr="00583E1A" w:rsidRDefault="00887330" w:rsidP="00887330">
      <w:pPr>
        <w:pStyle w:val="SubsectionHead"/>
      </w:pPr>
      <w:r w:rsidRPr="00583E1A">
        <w:t>Methods of calculation for entities that are not ADIs</w:t>
      </w:r>
    </w:p>
    <w:p w:rsidR="00887330" w:rsidRPr="00583E1A" w:rsidRDefault="00887330" w:rsidP="00887330">
      <w:pPr>
        <w:pStyle w:val="subsection"/>
      </w:pPr>
      <w:r w:rsidRPr="00583E1A">
        <w:tab/>
        <w:t>(1)</w:t>
      </w:r>
      <w:r w:rsidRPr="00583E1A">
        <w:tab/>
        <w:t>An entity to which Subdivision</w:t>
      </w:r>
      <w:r w:rsidR="00583E1A">
        <w:t> </w:t>
      </w:r>
      <w:r w:rsidRPr="00583E1A">
        <w:t>820</w:t>
      </w:r>
      <w:r w:rsidR="00583E1A">
        <w:noBreakHyphen/>
      </w:r>
      <w:r w:rsidRPr="00583E1A">
        <w:t>B or 820</w:t>
      </w:r>
      <w:r w:rsidR="00583E1A">
        <w:noBreakHyphen/>
      </w:r>
      <w:r w:rsidRPr="00583E1A">
        <w:t>C applies for a period that is all or a part of an income year must use one of the following methods to calculate the average value of a matter mentioned in that Subdivision for the purposes of that application:</w:t>
      </w:r>
    </w:p>
    <w:p w:rsidR="00887330" w:rsidRPr="00583E1A" w:rsidRDefault="00887330" w:rsidP="00887330">
      <w:pPr>
        <w:pStyle w:val="paragraph"/>
      </w:pPr>
      <w:r w:rsidRPr="00583E1A">
        <w:tab/>
        <w:t>(a)</w:t>
      </w:r>
      <w:r w:rsidRPr="00583E1A">
        <w:tab/>
        <w:t>the method set out in section</w:t>
      </w:r>
      <w:r w:rsidR="00583E1A">
        <w:t> </w:t>
      </w:r>
      <w:r w:rsidRPr="00583E1A">
        <w:t>820</w:t>
      </w:r>
      <w:r w:rsidR="00583E1A">
        <w:noBreakHyphen/>
      </w:r>
      <w:r w:rsidRPr="00583E1A">
        <w:t>635</w:t>
      </w:r>
      <w:r w:rsidRPr="00583E1A">
        <w:rPr>
          <w:b/>
          <w:i/>
        </w:rPr>
        <w:t xml:space="preserve"> </w:t>
      </w:r>
      <w:r w:rsidRPr="00583E1A">
        <w:t xml:space="preserve">(the </w:t>
      </w:r>
      <w:r w:rsidRPr="00583E1A">
        <w:rPr>
          <w:b/>
          <w:i/>
        </w:rPr>
        <w:t>opening and closing balances method</w:t>
      </w:r>
      <w:r w:rsidRPr="00583E1A">
        <w:t>);</w:t>
      </w:r>
    </w:p>
    <w:p w:rsidR="00887330" w:rsidRPr="00583E1A" w:rsidRDefault="00887330" w:rsidP="00887330">
      <w:pPr>
        <w:pStyle w:val="paragraph"/>
      </w:pPr>
      <w:r w:rsidRPr="00583E1A">
        <w:tab/>
        <w:t>(b)</w:t>
      </w:r>
      <w:r w:rsidRPr="00583E1A">
        <w:tab/>
        <w:t>the method set out in section</w:t>
      </w:r>
      <w:r w:rsidR="00583E1A">
        <w:t> </w:t>
      </w:r>
      <w:r w:rsidRPr="00583E1A">
        <w:t>820</w:t>
      </w:r>
      <w:r w:rsidR="00583E1A">
        <w:noBreakHyphen/>
      </w:r>
      <w:r w:rsidRPr="00583E1A">
        <w:t xml:space="preserve">640 (the </w:t>
      </w:r>
      <w:r w:rsidRPr="00583E1A">
        <w:rPr>
          <w:b/>
          <w:i/>
        </w:rPr>
        <w:t>3 measurement days method</w:t>
      </w:r>
      <w:r w:rsidRPr="00583E1A">
        <w:t>);</w:t>
      </w:r>
    </w:p>
    <w:p w:rsidR="00887330" w:rsidRPr="00583E1A" w:rsidRDefault="00887330" w:rsidP="00887330">
      <w:pPr>
        <w:pStyle w:val="paragraph"/>
      </w:pPr>
      <w:r w:rsidRPr="00583E1A">
        <w:tab/>
        <w:t>(c)</w:t>
      </w:r>
      <w:r w:rsidRPr="00583E1A">
        <w:tab/>
        <w:t>the method set out in section</w:t>
      </w:r>
      <w:r w:rsidR="00583E1A">
        <w:t> </w:t>
      </w:r>
      <w:r w:rsidRPr="00583E1A">
        <w:t>820</w:t>
      </w:r>
      <w:r w:rsidR="00583E1A">
        <w:noBreakHyphen/>
      </w:r>
      <w:r w:rsidRPr="00583E1A">
        <w:t xml:space="preserve">645 (the </w:t>
      </w:r>
      <w:r w:rsidRPr="00583E1A">
        <w:rPr>
          <w:b/>
          <w:i/>
        </w:rPr>
        <w:t>frequent measurement method</w:t>
      </w:r>
      <w:r w:rsidRPr="00583E1A">
        <w:t>).</w:t>
      </w:r>
    </w:p>
    <w:p w:rsidR="00887330" w:rsidRPr="00583E1A" w:rsidRDefault="00887330" w:rsidP="00887330">
      <w:pPr>
        <w:pStyle w:val="notetext"/>
      </w:pPr>
      <w:r w:rsidRPr="00583E1A">
        <w:lastRenderedPageBreak/>
        <w:t>Note 1:</w:t>
      </w:r>
      <w:r w:rsidRPr="00583E1A">
        <w:tab/>
        <w:t>This subsection therefore applies only to an outward investing entity (non</w:t>
      </w:r>
      <w:r w:rsidR="00583E1A">
        <w:noBreakHyphen/>
      </w:r>
      <w:r w:rsidRPr="00583E1A">
        <w:t>ADI) or an inward investing entity (non</w:t>
      </w:r>
      <w:r w:rsidR="00583E1A">
        <w:noBreakHyphen/>
      </w:r>
      <w:r w:rsidRPr="00583E1A">
        <w:t>ADI).</w:t>
      </w:r>
    </w:p>
    <w:p w:rsidR="00887330" w:rsidRPr="00583E1A" w:rsidRDefault="00887330" w:rsidP="00887330">
      <w:pPr>
        <w:pStyle w:val="notetext"/>
      </w:pPr>
      <w:r w:rsidRPr="00583E1A">
        <w:t>Note 2:</w:t>
      </w:r>
      <w:r w:rsidRPr="00583E1A">
        <w:tab/>
        <w:t>An entity cannot apply the 3 measurement days method if it is unable to meet the requirements in subsection 820</w:t>
      </w:r>
      <w:r w:rsidR="00583E1A">
        <w:noBreakHyphen/>
      </w:r>
      <w:r w:rsidRPr="00583E1A">
        <w:t>640(1). An entity’s ability to apply that method may therefore be limited.</w:t>
      </w:r>
    </w:p>
    <w:p w:rsidR="00887330" w:rsidRPr="00583E1A" w:rsidRDefault="00887330" w:rsidP="00887330">
      <w:pPr>
        <w:pStyle w:val="subsection"/>
      </w:pPr>
      <w:r w:rsidRPr="00583E1A">
        <w:tab/>
        <w:t>(2)</w:t>
      </w:r>
      <w:r w:rsidRPr="00583E1A">
        <w:tab/>
        <w:t>The entity must use the same method to calculate all such average values for that period for the purposes of that application.</w:t>
      </w:r>
    </w:p>
    <w:p w:rsidR="00887330" w:rsidRPr="00583E1A" w:rsidRDefault="00887330" w:rsidP="00887330">
      <w:pPr>
        <w:pStyle w:val="SubsectionHead"/>
      </w:pPr>
      <w:r w:rsidRPr="00583E1A">
        <w:t>Commissioner’s power</w:t>
      </w:r>
    </w:p>
    <w:p w:rsidR="00887330" w:rsidRPr="00583E1A" w:rsidRDefault="00887330" w:rsidP="00887330">
      <w:pPr>
        <w:pStyle w:val="subsection"/>
      </w:pPr>
      <w:r w:rsidRPr="00583E1A">
        <w:tab/>
        <w:t>(3)</w:t>
      </w:r>
      <w:r w:rsidRPr="00583E1A">
        <w:tab/>
        <w:t xml:space="preserve">If the entity fails to comply with </w:t>
      </w:r>
      <w:r w:rsidR="00583E1A">
        <w:t>subsection (</w:t>
      </w:r>
      <w:r w:rsidRPr="00583E1A">
        <w:t>2), the Commissioner may, irrespective of the methods used by the entity, recalculate all the average values for the entity and that period by using the opening and closing balances method.</w:t>
      </w:r>
    </w:p>
    <w:p w:rsidR="00887330" w:rsidRPr="00583E1A" w:rsidRDefault="00887330" w:rsidP="00887330">
      <w:pPr>
        <w:pStyle w:val="SubsectionHead"/>
      </w:pPr>
      <w:r w:rsidRPr="00583E1A">
        <w:t>Method of calculation for ADIs</w:t>
      </w:r>
    </w:p>
    <w:p w:rsidR="00887330" w:rsidRPr="00583E1A" w:rsidRDefault="00887330" w:rsidP="00887330">
      <w:pPr>
        <w:pStyle w:val="subsection"/>
      </w:pPr>
      <w:r w:rsidRPr="00583E1A">
        <w:tab/>
        <w:t>(4)</w:t>
      </w:r>
      <w:r w:rsidRPr="00583E1A">
        <w:tab/>
        <w:t>An entity to which Subdivision</w:t>
      </w:r>
      <w:r w:rsidR="00583E1A">
        <w:t> </w:t>
      </w:r>
      <w:r w:rsidRPr="00583E1A">
        <w:t>820</w:t>
      </w:r>
      <w:r w:rsidR="00583E1A">
        <w:noBreakHyphen/>
      </w:r>
      <w:r w:rsidRPr="00583E1A">
        <w:t>D or 820</w:t>
      </w:r>
      <w:r w:rsidR="00583E1A">
        <w:noBreakHyphen/>
      </w:r>
      <w:r w:rsidRPr="00583E1A">
        <w:t>E applies for a period that is all or a part of an income year must use the frequent measurement method to calculate the average value of a matter mentioned in that Subdivision for the purposes of that application.</w:t>
      </w:r>
    </w:p>
    <w:p w:rsidR="00887330" w:rsidRPr="00583E1A" w:rsidRDefault="00887330" w:rsidP="00887330">
      <w:pPr>
        <w:pStyle w:val="notetext"/>
      </w:pPr>
      <w:r w:rsidRPr="00583E1A">
        <w:t>Note:</w:t>
      </w:r>
      <w:r w:rsidRPr="00583E1A">
        <w:tab/>
        <w:t>This subsection therefore applies only to an outward investing entity (ADI) or an inward investing entity (ADI).</w:t>
      </w:r>
    </w:p>
    <w:p w:rsidR="00887330" w:rsidRPr="00583E1A" w:rsidRDefault="00887330" w:rsidP="00887330">
      <w:pPr>
        <w:pStyle w:val="ActHead5"/>
      </w:pPr>
      <w:bookmarkStart w:id="265" w:name="_Toc338939339"/>
      <w:r w:rsidRPr="00583E1A">
        <w:rPr>
          <w:rStyle w:val="CharSectno"/>
        </w:rPr>
        <w:t>820</w:t>
      </w:r>
      <w:r w:rsidR="00583E1A">
        <w:rPr>
          <w:rStyle w:val="CharSectno"/>
        </w:rPr>
        <w:noBreakHyphen/>
      </w:r>
      <w:r w:rsidRPr="00583E1A">
        <w:rPr>
          <w:rStyle w:val="CharSectno"/>
        </w:rPr>
        <w:t>635</w:t>
      </w:r>
      <w:r w:rsidRPr="00583E1A">
        <w:t xml:space="preserve">  The opening and closing balances method</w:t>
      </w:r>
      <w:bookmarkEnd w:id="265"/>
    </w:p>
    <w:p w:rsidR="00887330" w:rsidRPr="00583E1A" w:rsidRDefault="00887330" w:rsidP="00887330">
      <w:pPr>
        <w:pStyle w:val="subsection"/>
      </w:pPr>
      <w:r w:rsidRPr="00583E1A">
        <w:tab/>
      </w:r>
      <w:r w:rsidRPr="00583E1A">
        <w:tab/>
        <w:t>An entity that uses the opening and closing balances method for a period must apply the following method statement to calculate the average value of a matter for that period.</w:t>
      </w:r>
    </w:p>
    <w:p w:rsidR="00887330" w:rsidRPr="00583E1A" w:rsidRDefault="00887330" w:rsidP="00887330">
      <w:pPr>
        <w:pStyle w:val="BoxStep"/>
        <w:keepNext/>
        <w:rPr>
          <w:i/>
        </w:rPr>
      </w:pPr>
      <w:r w:rsidRPr="00583E1A">
        <w:rPr>
          <w:i/>
        </w:rPr>
        <w:t>Method statement</w:t>
      </w:r>
    </w:p>
    <w:p w:rsidR="00887330" w:rsidRPr="00583E1A" w:rsidRDefault="00AE4F7F" w:rsidP="00887330">
      <w:pPr>
        <w:pStyle w:val="BoxStep"/>
      </w:pPr>
      <w:r w:rsidRPr="00583E1A">
        <w:rPr>
          <w:szCs w:val="22"/>
        </w:rPr>
        <w:t>Step 1.</w:t>
      </w:r>
      <w:r w:rsidR="00887330" w:rsidRPr="00583E1A">
        <w:tab/>
        <w:t>Work out the value of the particular matter as at the first day of that period</w:t>
      </w:r>
      <w:r w:rsidR="00887330" w:rsidRPr="00583E1A">
        <w:rPr>
          <w:i/>
        </w:rPr>
        <w:t>.</w:t>
      </w:r>
    </w:p>
    <w:p w:rsidR="00887330" w:rsidRPr="00583E1A" w:rsidRDefault="00AE4F7F" w:rsidP="00887330">
      <w:pPr>
        <w:pStyle w:val="BoxStep"/>
      </w:pPr>
      <w:r w:rsidRPr="00583E1A">
        <w:rPr>
          <w:szCs w:val="22"/>
        </w:rPr>
        <w:t>Step 2.</w:t>
      </w:r>
      <w:r w:rsidR="00887330" w:rsidRPr="00583E1A">
        <w:tab/>
        <w:t>Work out the value of the particular matter as at the last day of that period.</w:t>
      </w:r>
    </w:p>
    <w:p w:rsidR="00887330" w:rsidRPr="00583E1A" w:rsidRDefault="00AE4F7F" w:rsidP="00887330">
      <w:pPr>
        <w:pStyle w:val="BoxStep"/>
      </w:pPr>
      <w:r w:rsidRPr="00583E1A">
        <w:rPr>
          <w:szCs w:val="22"/>
        </w:rPr>
        <w:t>Step 3.</w:t>
      </w:r>
      <w:r w:rsidR="00887330" w:rsidRPr="00583E1A">
        <w:tab/>
        <w:t>Add the results of steps 1 and 2.</w:t>
      </w:r>
    </w:p>
    <w:p w:rsidR="00887330" w:rsidRPr="00583E1A" w:rsidRDefault="00AE4F7F" w:rsidP="00887330">
      <w:pPr>
        <w:pStyle w:val="BoxStep"/>
      </w:pPr>
      <w:r w:rsidRPr="00583E1A">
        <w:rPr>
          <w:szCs w:val="22"/>
        </w:rPr>
        <w:lastRenderedPageBreak/>
        <w:t>Step 4.</w:t>
      </w:r>
      <w:r w:rsidR="00887330" w:rsidRPr="00583E1A">
        <w:rPr>
          <w:i/>
        </w:rPr>
        <w:tab/>
      </w:r>
      <w:r w:rsidR="00887330" w:rsidRPr="00583E1A">
        <w:t>Divide the result of step 3 by 2. The result of this step is the average value.</w:t>
      </w:r>
    </w:p>
    <w:p w:rsidR="00887330" w:rsidRPr="00583E1A" w:rsidRDefault="00887330" w:rsidP="00887330">
      <w:pPr>
        <w:pStyle w:val="notetext"/>
      </w:pPr>
      <w:r w:rsidRPr="00583E1A">
        <w:t>Example:</w:t>
      </w:r>
      <w:r w:rsidRPr="00583E1A">
        <w:tab/>
        <w:t>ALWZ Corporation, a company that is an Australian entity, held assets valued at $95 million on the first day of an income year. It held assets valued at $105 million at the end of that year. Adding those amounts and dividing the result by 2 gives the average value of its assets for that year, which is $100 million.</w:t>
      </w:r>
    </w:p>
    <w:p w:rsidR="00887330" w:rsidRPr="00583E1A" w:rsidRDefault="00887330" w:rsidP="00887330">
      <w:pPr>
        <w:pStyle w:val="ActHead5"/>
      </w:pPr>
      <w:bookmarkStart w:id="266" w:name="_Toc338939340"/>
      <w:r w:rsidRPr="00583E1A">
        <w:rPr>
          <w:rStyle w:val="CharSectno"/>
        </w:rPr>
        <w:t>820</w:t>
      </w:r>
      <w:r w:rsidR="00583E1A">
        <w:rPr>
          <w:rStyle w:val="CharSectno"/>
        </w:rPr>
        <w:noBreakHyphen/>
      </w:r>
      <w:r w:rsidRPr="00583E1A">
        <w:rPr>
          <w:rStyle w:val="CharSectno"/>
        </w:rPr>
        <w:t>640</w:t>
      </w:r>
      <w:r w:rsidRPr="00583E1A">
        <w:t xml:space="preserve">  The 3 measurement days method</w:t>
      </w:r>
      <w:bookmarkEnd w:id="266"/>
    </w:p>
    <w:p w:rsidR="00887330" w:rsidRPr="00583E1A" w:rsidRDefault="00887330" w:rsidP="00887330">
      <w:pPr>
        <w:pStyle w:val="SubsectionHead"/>
      </w:pPr>
      <w:r w:rsidRPr="00583E1A">
        <w:t>Application</w:t>
      </w:r>
    </w:p>
    <w:p w:rsidR="00887330" w:rsidRPr="00583E1A" w:rsidRDefault="00887330" w:rsidP="00887330">
      <w:pPr>
        <w:pStyle w:val="subsection"/>
      </w:pPr>
      <w:r w:rsidRPr="00583E1A">
        <w:tab/>
        <w:t>(1)</w:t>
      </w:r>
      <w:r w:rsidRPr="00583E1A">
        <w:tab/>
        <w:t>An entity must not use the 3 measurement days method for a period that is a part of an income year unless the following days occur during that period:</w:t>
      </w:r>
    </w:p>
    <w:p w:rsidR="00887330" w:rsidRPr="00583E1A" w:rsidRDefault="00887330" w:rsidP="00887330">
      <w:pPr>
        <w:pStyle w:val="paragraph"/>
      </w:pPr>
      <w:r w:rsidRPr="00583E1A">
        <w:tab/>
        <w:t>(a)</w:t>
      </w:r>
      <w:r w:rsidRPr="00583E1A">
        <w:tab/>
        <w:t>the last day of the first half of the income year;</w:t>
      </w:r>
    </w:p>
    <w:p w:rsidR="00887330" w:rsidRPr="00583E1A" w:rsidRDefault="00887330" w:rsidP="00887330">
      <w:pPr>
        <w:pStyle w:val="paragraph"/>
      </w:pPr>
      <w:r w:rsidRPr="00583E1A">
        <w:tab/>
        <w:t>(b)</w:t>
      </w:r>
      <w:r w:rsidRPr="00583E1A">
        <w:tab/>
        <w:t>one or both of the following days:</w:t>
      </w:r>
    </w:p>
    <w:p w:rsidR="00887330" w:rsidRPr="00583E1A" w:rsidRDefault="00887330" w:rsidP="00887330">
      <w:pPr>
        <w:pStyle w:val="paragraphsub"/>
      </w:pPr>
      <w:r w:rsidRPr="00583E1A">
        <w:tab/>
        <w:t>(i)</w:t>
      </w:r>
      <w:r w:rsidRPr="00583E1A">
        <w:tab/>
        <w:t>the first day of that year;</w:t>
      </w:r>
    </w:p>
    <w:p w:rsidR="00887330" w:rsidRPr="00583E1A" w:rsidRDefault="00887330" w:rsidP="00887330">
      <w:pPr>
        <w:pStyle w:val="paragraphsub"/>
      </w:pPr>
      <w:r w:rsidRPr="00583E1A">
        <w:tab/>
        <w:t>(ii)</w:t>
      </w:r>
      <w:r w:rsidRPr="00583E1A">
        <w:tab/>
        <w:t>the last day of that year.</w:t>
      </w:r>
    </w:p>
    <w:p w:rsidR="00887330" w:rsidRPr="00583E1A" w:rsidRDefault="00887330" w:rsidP="00887330">
      <w:pPr>
        <w:pStyle w:val="SubsectionHead"/>
      </w:pPr>
      <w:r w:rsidRPr="00583E1A">
        <w:t>Method statement</w:t>
      </w:r>
    </w:p>
    <w:p w:rsidR="00887330" w:rsidRPr="00583E1A" w:rsidRDefault="00887330" w:rsidP="00887330">
      <w:pPr>
        <w:pStyle w:val="subsection"/>
      </w:pPr>
      <w:r w:rsidRPr="00583E1A">
        <w:tab/>
        <w:t>(2)</w:t>
      </w:r>
      <w:r w:rsidRPr="00583E1A">
        <w:tab/>
        <w:t>An entity that uses the 3 measurement days method for a period must apply the following method statement to calculate the average value of a matter for that period.</w:t>
      </w:r>
    </w:p>
    <w:p w:rsidR="00887330" w:rsidRPr="00583E1A" w:rsidRDefault="00887330" w:rsidP="00887330">
      <w:pPr>
        <w:pStyle w:val="BoxHeadItalic"/>
        <w:keepNext/>
      </w:pPr>
      <w:r w:rsidRPr="00583E1A">
        <w:t>Method statement</w:t>
      </w:r>
    </w:p>
    <w:p w:rsidR="00887330" w:rsidRPr="00583E1A" w:rsidRDefault="00AE4F7F" w:rsidP="00887330">
      <w:pPr>
        <w:pStyle w:val="BoxStep"/>
      </w:pPr>
      <w:r w:rsidRPr="00583E1A">
        <w:rPr>
          <w:szCs w:val="22"/>
        </w:rPr>
        <w:t>Step 1.</w:t>
      </w:r>
      <w:r w:rsidR="00887330" w:rsidRPr="00583E1A">
        <w:tab/>
        <w:t xml:space="preserve">Work out the value of the particular matter as at the first measurement day (see </w:t>
      </w:r>
      <w:r w:rsidR="00583E1A">
        <w:t>subsection (</w:t>
      </w:r>
      <w:r w:rsidR="00887330" w:rsidRPr="00583E1A">
        <w:t>3)).</w:t>
      </w:r>
    </w:p>
    <w:p w:rsidR="00887330" w:rsidRPr="00583E1A" w:rsidRDefault="00AE4F7F" w:rsidP="00887330">
      <w:pPr>
        <w:pStyle w:val="BoxStep"/>
      </w:pPr>
      <w:r w:rsidRPr="00583E1A">
        <w:rPr>
          <w:szCs w:val="22"/>
        </w:rPr>
        <w:t>Step 2.</w:t>
      </w:r>
      <w:r w:rsidR="00887330" w:rsidRPr="00583E1A">
        <w:tab/>
        <w:t xml:space="preserve">Work out the value of the particular matter as at the second measurement day (see </w:t>
      </w:r>
      <w:r w:rsidR="00583E1A">
        <w:t>subsection (</w:t>
      </w:r>
      <w:r w:rsidR="00887330" w:rsidRPr="00583E1A">
        <w:t>3)).</w:t>
      </w:r>
    </w:p>
    <w:p w:rsidR="00887330" w:rsidRPr="00583E1A" w:rsidRDefault="00AE4F7F" w:rsidP="00887330">
      <w:pPr>
        <w:pStyle w:val="BoxStep"/>
      </w:pPr>
      <w:r w:rsidRPr="00583E1A">
        <w:rPr>
          <w:szCs w:val="22"/>
        </w:rPr>
        <w:t>Step 3.</w:t>
      </w:r>
      <w:r w:rsidR="00887330" w:rsidRPr="00583E1A">
        <w:tab/>
        <w:t xml:space="preserve">Work out the value of the particular matter as at the third measurement day (see </w:t>
      </w:r>
      <w:r w:rsidR="00583E1A">
        <w:t>subsection (</w:t>
      </w:r>
      <w:r w:rsidR="00887330" w:rsidRPr="00583E1A">
        <w:t>3)).</w:t>
      </w:r>
    </w:p>
    <w:p w:rsidR="00887330" w:rsidRPr="00583E1A" w:rsidRDefault="00AE4F7F" w:rsidP="00887330">
      <w:pPr>
        <w:pStyle w:val="BoxStep"/>
      </w:pPr>
      <w:r w:rsidRPr="00583E1A">
        <w:rPr>
          <w:szCs w:val="22"/>
        </w:rPr>
        <w:t>Step 4.</w:t>
      </w:r>
      <w:r w:rsidR="00887330" w:rsidRPr="00583E1A">
        <w:rPr>
          <w:i/>
        </w:rPr>
        <w:tab/>
      </w:r>
      <w:r w:rsidR="00887330" w:rsidRPr="00583E1A">
        <w:t>Add the results of steps 1, 2 and 3.</w:t>
      </w:r>
    </w:p>
    <w:p w:rsidR="00887330" w:rsidRPr="00583E1A" w:rsidRDefault="00AE4F7F" w:rsidP="00887330">
      <w:pPr>
        <w:pStyle w:val="BoxStep"/>
      </w:pPr>
      <w:r w:rsidRPr="00583E1A">
        <w:rPr>
          <w:szCs w:val="22"/>
        </w:rPr>
        <w:lastRenderedPageBreak/>
        <w:t>Step 5.</w:t>
      </w:r>
      <w:r w:rsidR="00887330" w:rsidRPr="00583E1A">
        <w:rPr>
          <w:i/>
        </w:rPr>
        <w:tab/>
      </w:r>
      <w:r w:rsidR="00887330" w:rsidRPr="00583E1A">
        <w:t>Divide the result of step 4 by 3. The result of this step is the average value.</w:t>
      </w:r>
    </w:p>
    <w:p w:rsidR="00887330" w:rsidRPr="00583E1A" w:rsidRDefault="00887330" w:rsidP="00887330">
      <w:pPr>
        <w:pStyle w:val="notetext"/>
      </w:pPr>
      <w:r w:rsidRPr="00583E1A">
        <w:t>Example:</w:t>
      </w:r>
      <w:r w:rsidRPr="00583E1A">
        <w:tab/>
        <w:t>RJ Corporation held assets valued at $115 million on the first day of an income year. It held assets valued at $105 million on the last day of the first half of that year, and $80 million on the last day of that year. Adding these amounts and dividing the result by 3 gives the average value of its assets for that year, which is $100 million.</w:t>
      </w:r>
    </w:p>
    <w:p w:rsidR="00887330" w:rsidRPr="00583E1A" w:rsidRDefault="00887330" w:rsidP="00887330">
      <w:pPr>
        <w:pStyle w:val="SubsectionHead"/>
      </w:pPr>
      <w:r w:rsidRPr="00583E1A">
        <w:t>Measurement days</w:t>
      </w:r>
    </w:p>
    <w:p w:rsidR="00887330" w:rsidRPr="00583E1A" w:rsidRDefault="00887330" w:rsidP="00887330">
      <w:pPr>
        <w:pStyle w:val="subsection"/>
      </w:pPr>
      <w:r w:rsidRPr="00583E1A">
        <w:tab/>
        <w:t>(3)</w:t>
      </w:r>
      <w:r w:rsidRPr="00583E1A">
        <w:tab/>
        <w:t xml:space="preserve">The following are the </w:t>
      </w:r>
      <w:r w:rsidRPr="00583E1A">
        <w:rPr>
          <w:b/>
          <w:i/>
        </w:rPr>
        <w:t>first</w:t>
      </w:r>
      <w:r w:rsidRPr="00583E1A">
        <w:t xml:space="preserve">, </w:t>
      </w:r>
      <w:r w:rsidRPr="00583E1A">
        <w:rPr>
          <w:b/>
          <w:i/>
        </w:rPr>
        <w:t>second</w:t>
      </w:r>
      <w:r w:rsidRPr="00583E1A">
        <w:t xml:space="preserve"> and </w:t>
      </w:r>
      <w:r w:rsidRPr="00583E1A">
        <w:rPr>
          <w:b/>
          <w:i/>
        </w:rPr>
        <w:t>third measurement days</w:t>
      </w:r>
      <w:r w:rsidRPr="00583E1A">
        <w:t>:</w:t>
      </w:r>
    </w:p>
    <w:p w:rsidR="00887330" w:rsidRPr="00583E1A" w:rsidRDefault="00887330" w:rsidP="00887330">
      <w:pPr>
        <w:pStyle w:val="paragraph"/>
      </w:pPr>
      <w:r w:rsidRPr="00583E1A">
        <w:tab/>
        <w:t>(a)</w:t>
      </w:r>
      <w:r w:rsidRPr="00583E1A">
        <w:tab/>
        <w:t xml:space="preserve">the </w:t>
      </w:r>
      <w:r w:rsidRPr="00583E1A">
        <w:rPr>
          <w:b/>
          <w:i/>
        </w:rPr>
        <w:t>first measurement day</w:t>
      </w:r>
      <w:r w:rsidRPr="00583E1A">
        <w:t xml:space="preserve"> is the first day of the income year if it occurs during that period, otherwise it is the first day of that period;</w:t>
      </w:r>
    </w:p>
    <w:p w:rsidR="00887330" w:rsidRPr="00583E1A" w:rsidRDefault="00887330" w:rsidP="00887330">
      <w:pPr>
        <w:pStyle w:val="paragraph"/>
      </w:pPr>
      <w:r w:rsidRPr="00583E1A">
        <w:tab/>
        <w:t>(b)</w:t>
      </w:r>
      <w:r w:rsidRPr="00583E1A">
        <w:tab/>
        <w:t xml:space="preserve">the </w:t>
      </w:r>
      <w:r w:rsidRPr="00583E1A">
        <w:rPr>
          <w:b/>
          <w:i/>
        </w:rPr>
        <w:t>second measurement day</w:t>
      </w:r>
      <w:r w:rsidRPr="00583E1A">
        <w:t xml:space="preserve"> is the last day of the first half of that year;</w:t>
      </w:r>
    </w:p>
    <w:p w:rsidR="00887330" w:rsidRPr="00583E1A" w:rsidRDefault="00887330" w:rsidP="00887330">
      <w:pPr>
        <w:pStyle w:val="paragraph"/>
      </w:pPr>
      <w:r w:rsidRPr="00583E1A">
        <w:tab/>
        <w:t>(c)</w:t>
      </w:r>
      <w:r w:rsidRPr="00583E1A">
        <w:tab/>
        <w:t xml:space="preserve">the </w:t>
      </w:r>
      <w:r w:rsidRPr="00583E1A">
        <w:rPr>
          <w:b/>
          <w:i/>
        </w:rPr>
        <w:t>third measurement day</w:t>
      </w:r>
      <w:r w:rsidRPr="00583E1A">
        <w:t xml:space="preserve"> is the last day of that year if it occurs during that period, otherwise it is the last day of that period.</w:t>
      </w:r>
    </w:p>
    <w:p w:rsidR="00887330" w:rsidRPr="00583E1A" w:rsidRDefault="00887330" w:rsidP="00887330">
      <w:pPr>
        <w:pStyle w:val="ActHead5"/>
      </w:pPr>
      <w:bookmarkStart w:id="267" w:name="_Toc338939341"/>
      <w:r w:rsidRPr="00583E1A">
        <w:rPr>
          <w:rStyle w:val="CharSectno"/>
        </w:rPr>
        <w:t>820</w:t>
      </w:r>
      <w:r w:rsidR="00583E1A">
        <w:rPr>
          <w:rStyle w:val="CharSectno"/>
        </w:rPr>
        <w:noBreakHyphen/>
      </w:r>
      <w:r w:rsidRPr="00583E1A">
        <w:rPr>
          <w:rStyle w:val="CharSectno"/>
        </w:rPr>
        <w:t>645</w:t>
      </w:r>
      <w:r w:rsidRPr="00583E1A">
        <w:t xml:space="preserve">  The frequent measurement method</w:t>
      </w:r>
      <w:bookmarkEnd w:id="267"/>
    </w:p>
    <w:p w:rsidR="00887330" w:rsidRPr="00583E1A" w:rsidRDefault="00887330" w:rsidP="00887330">
      <w:pPr>
        <w:pStyle w:val="subsection"/>
      </w:pPr>
      <w:r w:rsidRPr="00583E1A">
        <w:tab/>
        <w:t>(1)</w:t>
      </w:r>
      <w:r w:rsidRPr="00583E1A">
        <w:tab/>
        <w:t xml:space="preserve">An entity that uses the frequent measurement method for a period (the </w:t>
      </w:r>
      <w:r w:rsidRPr="00583E1A">
        <w:rPr>
          <w:b/>
          <w:i/>
        </w:rPr>
        <w:t>measurement period</w:t>
      </w:r>
      <w:r w:rsidRPr="00583E1A">
        <w:t>) must calculate the average value of a matter for that period by applying:</w:t>
      </w:r>
    </w:p>
    <w:p w:rsidR="00887330" w:rsidRPr="00583E1A" w:rsidRDefault="00887330" w:rsidP="00887330">
      <w:pPr>
        <w:pStyle w:val="paragraph"/>
      </w:pPr>
      <w:r w:rsidRPr="00583E1A">
        <w:tab/>
        <w:t>(a)</w:t>
      </w:r>
      <w:r w:rsidRPr="00583E1A">
        <w:tab/>
        <w:t xml:space="preserve">the method statement in </w:t>
      </w:r>
      <w:r w:rsidR="00583E1A">
        <w:t>subsection (</w:t>
      </w:r>
      <w:r w:rsidRPr="00583E1A">
        <w:t>2) (generally based on quarterly periods); or</w:t>
      </w:r>
    </w:p>
    <w:p w:rsidR="00887330" w:rsidRPr="00583E1A" w:rsidRDefault="00887330" w:rsidP="00887330">
      <w:pPr>
        <w:pStyle w:val="paragraph"/>
      </w:pPr>
      <w:r w:rsidRPr="00583E1A">
        <w:tab/>
        <w:t>(b)</w:t>
      </w:r>
      <w:r w:rsidRPr="00583E1A">
        <w:tab/>
        <w:t xml:space="preserve">the method statement in </w:t>
      </w:r>
      <w:r w:rsidR="00583E1A">
        <w:t>subsection (</w:t>
      </w:r>
      <w:r w:rsidRPr="00583E1A">
        <w:t>4) (generally based on regular intervals).</w:t>
      </w:r>
    </w:p>
    <w:p w:rsidR="00887330" w:rsidRPr="00583E1A" w:rsidRDefault="00887330" w:rsidP="00887330">
      <w:pPr>
        <w:pStyle w:val="subsection2"/>
      </w:pPr>
      <w:r w:rsidRPr="00583E1A">
        <w:t xml:space="preserve">This section does not prevent the entity from applying the method statement in </w:t>
      </w:r>
      <w:r w:rsidR="00583E1A">
        <w:t>subsection (</w:t>
      </w:r>
      <w:r w:rsidRPr="00583E1A">
        <w:t xml:space="preserve">2) for one matter and the method statement in </w:t>
      </w:r>
      <w:r w:rsidR="00583E1A">
        <w:t>subsection (</w:t>
      </w:r>
      <w:r w:rsidRPr="00583E1A">
        <w:t>4) for another matter in relation to that period.</w:t>
      </w:r>
    </w:p>
    <w:p w:rsidR="00887330" w:rsidRPr="00583E1A" w:rsidRDefault="00887330" w:rsidP="00887330">
      <w:pPr>
        <w:pStyle w:val="subsection"/>
      </w:pPr>
      <w:r w:rsidRPr="00583E1A">
        <w:tab/>
        <w:t>(2)</w:t>
      </w:r>
      <w:r w:rsidRPr="00583E1A">
        <w:tab/>
        <w:t xml:space="preserve">This is the method statement for the purposes of </w:t>
      </w:r>
      <w:r w:rsidR="00583E1A">
        <w:t>paragraph (</w:t>
      </w:r>
      <w:r w:rsidRPr="00583E1A">
        <w:t>1)(a).</w:t>
      </w:r>
    </w:p>
    <w:p w:rsidR="00887330" w:rsidRPr="00583E1A" w:rsidRDefault="00887330" w:rsidP="007241A9">
      <w:pPr>
        <w:pStyle w:val="BoxHeadItalic"/>
        <w:keepNext/>
      </w:pPr>
      <w:r w:rsidRPr="00583E1A">
        <w:lastRenderedPageBreak/>
        <w:t>Method statement</w:t>
      </w:r>
    </w:p>
    <w:p w:rsidR="00887330" w:rsidRPr="00583E1A" w:rsidRDefault="00AE4F7F" w:rsidP="007241A9">
      <w:pPr>
        <w:pStyle w:val="BoxStep"/>
        <w:keepNext/>
      </w:pPr>
      <w:r w:rsidRPr="00583E1A">
        <w:rPr>
          <w:szCs w:val="22"/>
        </w:rPr>
        <w:t>Step 1.</w:t>
      </w:r>
      <w:r w:rsidR="00887330" w:rsidRPr="00583E1A">
        <w:tab/>
        <w:t>Work out the value of the particular matter as at each of the following measurement days:</w:t>
      </w:r>
    </w:p>
    <w:p w:rsidR="00887330" w:rsidRPr="00583E1A" w:rsidRDefault="00887330" w:rsidP="00887330">
      <w:pPr>
        <w:pStyle w:val="BoxPara"/>
      </w:pPr>
      <w:r w:rsidRPr="00583E1A">
        <w:tab/>
        <w:t>(a)</w:t>
      </w:r>
      <w:r w:rsidRPr="00583E1A">
        <w:tab/>
        <w:t>the first day of the measurement period;</w:t>
      </w:r>
    </w:p>
    <w:p w:rsidR="00887330" w:rsidRPr="00583E1A" w:rsidRDefault="00887330" w:rsidP="00887330">
      <w:pPr>
        <w:pStyle w:val="BoxPara"/>
      </w:pPr>
      <w:r w:rsidRPr="00583E1A">
        <w:tab/>
        <w:t>(b)</w:t>
      </w:r>
      <w:r w:rsidRPr="00583E1A">
        <w:tab/>
        <w:t xml:space="preserve">the last day of each quarterly period of that income year (see </w:t>
      </w:r>
      <w:r w:rsidR="00583E1A">
        <w:t>subsection (</w:t>
      </w:r>
      <w:r w:rsidRPr="00583E1A">
        <w:t>3)) that occurs during the measurement period (if any);</w:t>
      </w:r>
    </w:p>
    <w:p w:rsidR="00887330" w:rsidRPr="00583E1A" w:rsidRDefault="00887330" w:rsidP="00887330">
      <w:pPr>
        <w:pStyle w:val="BoxPara"/>
      </w:pPr>
      <w:r w:rsidRPr="00583E1A">
        <w:tab/>
        <w:t>(c)</w:t>
      </w:r>
      <w:r w:rsidRPr="00583E1A">
        <w:tab/>
        <w:t xml:space="preserve">the last day of the measurement period if it is not a day covered by </w:t>
      </w:r>
      <w:r w:rsidR="00583E1A">
        <w:t>paragraph (</w:t>
      </w:r>
      <w:r w:rsidRPr="00583E1A">
        <w:t>b).</w:t>
      </w:r>
    </w:p>
    <w:p w:rsidR="00887330" w:rsidRPr="00583E1A" w:rsidRDefault="00AE4F7F" w:rsidP="00887330">
      <w:pPr>
        <w:pStyle w:val="BoxStep"/>
      </w:pPr>
      <w:r w:rsidRPr="00583E1A">
        <w:rPr>
          <w:szCs w:val="22"/>
        </w:rPr>
        <w:t>Step 2.</w:t>
      </w:r>
      <w:r w:rsidR="00887330" w:rsidRPr="00583E1A">
        <w:tab/>
        <w:t>Add up those values.</w:t>
      </w:r>
    </w:p>
    <w:p w:rsidR="00887330" w:rsidRPr="00583E1A" w:rsidRDefault="00AE4F7F" w:rsidP="00887330">
      <w:pPr>
        <w:pStyle w:val="BoxStep"/>
      </w:pPr>
      <w:r w:rsidRPr="00583E1A">
        <w:rPr>
          <w:szCs w:val="22"/>
        </w:rPr>
        <w:t>Step 3.</w:t>
      </w:r>
      <w:r w:rsidR="00887330" w:rsidRPr="00583E1A">
        <w:tab/>
        <w:t>Divide the result of step 2 by the number of measurement days. The result of this step is the average value.</w:t>
      </w:r>
    </w:p>
    <w:p w:rsidR="00887330" w:rsidRPr="00583E1A" w:rsidRDefault="00887330" w:rsidP="00887330">
      <w:pPr>
        <w:pStyle w:val="notetext"/>
      </w:pPr>
      <w:r w:rsidRPr="00583E1A">
        <w:t>Example:</w:t>
      </w:r>
      <w:r w:rsidRPr="00583E1A">
        <w:tab/>
        <w:t>KJW Finance Corporation, a company that is an Australian entity, held assets valued at $130 million on the first day of an income year. On the last day of each quarterly period for that year it held assets valued at $140 million, $120 million, $110 million and $100 million respectively. Adding these amounts and dividing the result by 5 gives the average value of its assets for that year, which is $120 million.</w:t>
      </w:r>
    </w:p>
    <w:p w:rsidR="00887330" w:rsidRPr="00583E1A" w:rsidRDefault="00887330" w:rsidP="00887330">
      <w:pPr>
        <w:pStyle w:val="SubsectionHead"/>
      </w:pPr>
      <w:r w:rsidRPr="00583E1A">
        <w:t>Quarterly period</w:t>
      </w:r>
    </w:p>
    <w:p w:rsidR="00887330" w:rsidRPr="00583E1A" w:rsidRDefault="00887330" w:rsidP="00887330">
      <w:pPr>
        <w:pStyle w:val="subsection"/>
      </w:pPr>
      <w:r w:rsidRPr="00583E1A">
        <w:tab/>
        <w:t>(3)</w:t>
      </w:r>
      <w:r w:rsidRPr="00583E1A">
        <w:tab/>
        <w:t xml:space="preserve">The </w:t>
      </w:r>
      <w:r w:rsidRPr="00583E1A">
        <w:rPr>
          <w:b/>
          <w:i/>
        </w:rPr>
        <w:t>quarterly periods of the income year</w:t>
      </w:r>
      <w:r w:rsidRPr="00583E1A">
        <w:t xml:space="preserve"> are:</w:t>
      </w:r>
    </w:p>
    <w:p w:rsidR="00887330" w:rsidRPr="00583E1A" w:rsidRDefault="00887330" w:rsidP="00887330">
      <w:pPr>
        <w:pStyle w:val="paragraph"/>
      </w:pPr>
      <w:r w:rsidRPr="00583E1A">
        <w:tab/>
        <w:t>(a)</w:t>
      </w:r>
      <w:r w:rsidRPr="00583E1A">
        <w:tab/>
        <w:t>the period consisting of the first, second and third months of that year; and</w:t>
      </w:r>
    </w:p>
    <w:p w:rsidR="00887330" w:rsidRPr="00583E1A" w:rsidRDefault="00887330" w:rsidP="00887330">
      <w:pPr>
        <w:pStyle w:val="paragraph"/>
      </w:pPr>
      <w:r w:rsidRPr="00583E1A">
        <w:tab/>
        <w:t>(b)</w:t>
      </w:r>
      <w:r w:rsidRPr="00583E1A">
        <w:tab/>
        <w:t>each successive period of 3 months that occurs after that period during that year.</w:t>
      </w:r>
    </w:p>
    <w:p w:rsidR="00887330" w:rsidRPr="00583E1A" w:rsidRDefault="00887330" w:rsidP="007241A9">
      <w:pPr>
        <w:pStyle w:val="subsection"/>
        <w:keepNext/>
      </w:pPr>
      <w:r w:rsidRPr="00583E1A">
        <w:lastRenderedPageBreak/>
        <w:tab/>
        <w:t>(4)</w:t>
      </w:r>
      <w:r w:rsidRPr="00583E1A">
        <w:tab/>
        <w:t xml:space="preserve">This is the method statement for the purposes of </w:t>
      </w:r>
      <w:r w:rsidR="00583E1A">
        <w:t>paragraph (</w:t>
      </w:r>
      <w:r w:rsidRPr="00583E1A">
        <w:t>1)(b):</w:t>
      </w:r>
    </w:p>
    <w:p w:rsidR="00887330" w:rsidRPr="00583E1A" w:rsidRDefault="00887330" w:rsidP="007241A9">
      <w:pPr>
        <w:pStyle w:val="BoxHeadItalic"/>
        <w:keepNext/>
      </w:pPr>
      <w:r w:rsidRPr="00583E1A">
        <w:t>Method statement</w:t>
      </w:r>
    </w:p>
    <w:p w:rsidR="00887330" w:rsidRPr="00583E1A" w:rsidRDefault="00AE4F7F" w:rsidP="007241A9">
      <w:pPr>
        <w:pStyle w:val="BoxStep"/>
        <w:keepNext/>
      </w:pPr>
      <w:r w:rsidRPr="00583E1A">
        <w:rPr>
          <w:szCs w:val="22"/>
        </w:rPr>
        <w:t>Step 1.</w:t>
      </w:r>
      <w:r w:rsidR="00887330" w:rsidRPr="00583E1A">
        <w:tab/>
        <w:t>Work out the value of the particular matter as at each of the following measurement days:</w:t>
      </w:r>
    </w:p>
    <w:p w:rsidR="00887330" w:rsidRPr="00583E1A" w:rsidRDefault="00887330" w:rsidP="00887330">
      <w:pPr>
        <w:pStyle w:val="BoxPara"/>
      </w:pPr>
      <w:r w:rsidRPr="00583E1A">
        <w:tab/>
        <w:t>(a)</w:t>
      </w:r>
      <w:r w:rsidRPr="00583E1A">
        <w:tab/>
        <w:t>the first day of the measurement period;</w:t>
      </w:r>
    </w:p>
    <w:p w:rsidR="00887330" w:rsidRPr="00583E1A" w:rsidRDefault="00887330" w:rsidP="00887330">
      <w:pPr>
        <w:pStyle w:val="BoxPara"/>
      </w:pPr>
      <w:r w:rsidRPr="00583E1A">
        <w:tab/>
        <w:t>(b)</w:t>
      </w:r>
      <w:r w:rsidRPr="00583E1A">
        <w:tab/>
        <w:t xml:space="preserve">the last day of each regular interval for the measurement period (see </w:t>
      </w:r>
      <w:r w:rsidR="00583E1A">
        <w:t>subsection (</w:t>
      </w:r>
      <w:r w:rsidRPr="00583E1A">
        <w:t>5));</w:t>
      </w:r>
    </w:p>
    <w:p w:rsidR="00887330" w:rsidRPr="00583E1A" w:rsidRDefault="00887330" w:rsidP="00887330">
      <w:pPr>
        <w:pStyle w:val="BoxPara"/>
      </w:pPr>
      <w:r w:rsidRPr="00583E1A">
        <w:tab/>
        <w:t>(c)</w:t>
      </w:r>
      <w:r w:rsidRPr="00583E1A">
        <w:tab/>
        <w:t xml:space="preserve">the last day of the measurement period if it is not a day mentioned in </w:t>
      </w:r>
      <w:r w:rsidR="00583E1A">
        <w:t>paragraph (</w:t>
      </w:r>
      <w:r w:rsidRPr="00583E1A">
        <w:t>b).</w:t>
      </w:r>
    </w:p>
    <w:p w:rsidR="00887330" w:rsidRPr="00583E1A" w:rsidRDefault="00AE4F7F" w:rsidP="00887330">
      <w:pPr>
        <w:pStyle w:val="BoxStep"/>
      </w:pPr>
      <w:r w:rsidRPr="00583E1A">
        <w:rPr>
          <w:szCs w:val="22"/>
        </w:rPr>
        <w:t>Step 2.</w:t>
      </w:r>
      <w:r w:rsidR="00887330" w:rsidRPr="00583E1A">
        <w:tab/>
        <w:t>Add up those values.</w:t>
      </w:r>
    </w:p>
    <w:p w:rsidR="00887330" w:rsidRPr="00583E1A" w:rsidRDefault="00AE4F7F" w:rsidP="00887330">
      <w:pPr>
        <w:pStyle w:val="BoxStep"/>
      </w:pPr>
      <w:r w:rsidRPr="00583E1A">
        <w:rPr>
          <w:szCs w:val="22"/>
        </w:rPr>
        <w:t>Step 3.</w:t>
      </w:r>
      <w:r w:rsidR="00887330" w:rsidRPr="00583E1A">
        <w:tab/>
        <w:t>Divide the result of step 2 by the number of measurement days. The result of this step is the average value.</w:t>
      </w:r>
    </w:p>
    <w:p w:rsidR="00887330" w:rsidRPr="00583E1A" w:rsidRDefault="00887330" w:rsidP="00887330">
      <w:pPr>
        <w:pStyle w:val="notetext"/>
      </w:pPr>
      <w:r w:rsidRPr="00583E1A">
        <w:t>Example:</w:t>
      </w:r>
      <w:r w:rsidRPr="00583E1A">
        <w:tab/>
        <w:t>TW Corporation, a company that is an Australian entity, adopts a weekly interval for the purposes of this subsection. The measurement period is a period of 12 weeks. On the first day of that period it had $70 million of debt capital. Its debt capital was $80 million on the last day of each of the first 7 weeks, and $95 million on the last day of the remaining 5 weeks. Adding these amounts and dividing the result by 13 (the number of measurement days) gives the average value of its debt capital for that period, which is $85 million.</w:t>
      </w:r>
    </w:p>
    <w:p w:rsidR="00887330" w:rsidRPr="00583E1A" w:rsidRDefault="00887330" w:rsidP="00887330">
      <w:pPr>
        <w:pStyle w:val="SubsectionHead"/>
      </w:pPr>
      <w:r w:rsidRPr="00583E1A">
        <w:t>Regular intervals</w:t>
      </w:r>
    </w:p>
    <w:p w:rsidR="00887330" w:rsidRPr="00583E1A" w:rsidRDefault="00887330" w:rsidP="00887330">
      <w:pPr>
        <w:pStyle w:val="subsection"/>
      </w:pPr>
      <w:r w:rsidRPr="00583E1A">
        <w:tab/>
        <w:t>(5)</w:t>
      </w:r>
      <w:r w:rsidRPr="00583E1A">
        <w:tab/>
        <w:t xml:space="preserve">The </w:t>
      </w:r>
      <w:r w:rsidRPr="00583E1A">
        <w:rPr>
          <w:b/>
          <w:i/>
        </w:rPr>
        <w:t>regular intervals</w:t>
      </w:r>
      <w:r w:rsidRPr="00583E1A">
        <w:t xml:space="preserve"> for the measurement period are:</w:t>
      </w:r>
    </w:p>
    <w:p w:rsidR="00887330" w:rsidRPr="00583E1A" w:rsidRDefault="00887330" w:rsidP="00887330">
      <w:pPr>
        <w:pStyle w:val="paragraph"/>
      </w:pPr>
      <w:r w:rsidRPr="00583E1A">
        <w:tab/>
        <w:t>(a)</w:t>
      </w:r>
      <w:r w:rsidRPr="00583E1A">
        <w:tab/>
        <w:t>a period which consists of a fixed number of days or months (not less than one day and not more than 3 months) adopted by the entity and begins at the start of the first day of the measurement period; and</w:t>
      </w:r>
    </w:p>
    <w:p w:rsidR="00887330" w:rsidRPr="00583E1A" w:rsidRDefault="00887330" w:rsidP="00887330">
      <w:pPr>
        <w:pStyle w:val="paragraph"/>
      </w:pPr>
      <w:r w:rsidRPr="00583E1A">
        <w:tab/>
        <w:t>(b)</w:t>
      </w:r>
      <w:r w:rsidRPr="00583E1A">
        <w:tab/>
        <w:t>each successive period of the same duration that occurs during the measurement period.</w:t>
      </w:r>
    </w:p>
    <w:p w:rsidR="00887330" w:rsidRPr="00583E1A" w:rsidRDefault="00887330" w:rsidP="00887330">
      <w:pPr>
        <w:pStyle w:val="notetext"/>
      </w:pPr>
      <w:r w:rsidRPr="00583E1A">
        <w:t>Note:</w:t>
      </w:r>
      <w:r w:rsidRPr="00583E1A">
        <w:tab/>
        <w:t>Examples of a regular interval therefore include a daily, weekly, fortnightly, monthly or quarterly interval.</w:t>
      </w:r>
    </w:p>
    <w:p w:rsidR="00887330" w:rsidRPr="00583E1A" w:rsidRDefault="00887330" w:rsidP="00887330">
      <w:pPr>
        <w:pStyle w:val="subsection"/>
      </w:pPr>
      <w:r w:rsidRPr="00583E1A">
        <w:lastRenderedPageBreak/>
        <w:tab/>
        <w:t>(6)</w:t>
      </w:r>
      <w:r w:rsidRPr="00583E1A">
        <w:tab/>
        <w:t xml:space="preserve">The entity must use the same regular intervals when calculating the average values of different matters under </w:t>
      </w:r>
      <w:r w:rsidR="00583E1A">
        <w:t>subsection (</w:t>
      </w:r>
      <w:r w:rsidRPr="00583E1A">
        <w:t>4) for that period.</w:t>
      </w:r>
    </w:p>
    <w:p w:rsidR="00887330" w:rsidRPr="00583E1A" w:rsidRDefault="00887330" w:rsidP="00887330">
      <w:pPr>
        <w:pStyle w:val="ActHead4"/>
      </w:pPr>
      <w:bookmarkStart w:id="268" w:name="_Toc338939342"/>
      <w:r w:rsidRPr="00583E1A">
        <w:t>Special rules about values and valuation</w:t>
      </w:r>
      <w:bookmarkEnd w:id="268"/>
    </w:p>
    <w:p w:rsidR="00887330" w:rsidRPr="00583E1A" w:rsidRDefault="00887330" w:rsidP="00887330">
      <w:pPr>
        <w:pStyle w:val="ActHead5"/>
      </w:pPr>
      <w:bookmarkStart w:id="269" w:name="_Toc338939343"/>
      <w:r w:rsidRPr="00583E1A">
        <w:rPr>
          <w:rStyle w:val="CharSectno"/>
        </w:rPr>
        <w:t>820</w:t>
      </w:r>
      <w:r w:rsidR="00583E1A">
        <w:rPr>
          <w:rStyle w:val="CharSectno"/>
        </w:rPr>
        <w:noBreakHyphen/>
      </w:r>
      <w:r w:rsidRPr="00583E1A">
        <w:rPr>
          <w:rStyle w:val="CharSectno"/>
        </w:rPr>
        <w:t>675</w:t>
      </w:r>
      <w:r w:rsidRPr="00583E1A">
        <w:t xml:space="preserve">  Amount to be expressed in Australian currency</w:t>
      </w:r>
      <w:bookmarkEnd w:id="269"/>
    </w:p>
    <w:p w:rsidR="00887330" w:rsidRPr="00583E1A" w:rsidRDefault="00887330" w:rsidP="00887330">
      <w:pPr>
        <w:pStyle w:val="subsection"/>
      </w:pPr>
      <w:r w:rsidRPr="00583E1A">
        <w:tab/>
        <w:t>(1)</w:t>
      </w:r>
      <w:r w:rsidRPr="00583E1A">
        <w:tab/>
        <w:t>For the purposes of this Division, an amount (including a value used in a calculation under this Division) is to be expressed in Australian currency.</w:t>
      </w:r>
    </w:p>
    <w:p w:rsidR="00887330" w:rsidRPr="00583E1A" w:rsidRDefault="00887330" w:rsidP="00887330">
      <w:pPr>
        <w:pStyle w:val="subsection"/>
      </w:pPr>
      <w:r w:rsidRPr="00583E1A">
        <w:tab/>
        <w:t>(2)</w:t>
      </w:r>
      <w:r w:rsidRPr="00583E1A">
        <w:tab/>
        <w:t xml:space="preserve">An entity must comply with the </w:t>
      </w:r>
      <w:r w:rsidR="00583E1A" w:rsidRPr="00583E1A">
        <w:rPr>
          <w:position w:val="6"/>
          <w:sz w:val="16"/>
        </w:rPr>
        <w:t>*</w:t>
      </w:r>
      <w:r w:rsidRPr="00583E1A">
        <w:t>accounting standards in converting an amount into Australian currency.</w:t>
      </w:r>
    </w:p>
    <w:p w:rsidR="00887330" w:rsidRPr="00583E1A" w:rsidRDefault="00887330" w:rsidP="00887330">
      <w:pPr>
        <w:pStyle w:val="subsection"/>
      </w:pPr>
      <w:r w:rsidRPr="00583E1A">
        <w:tab/>
        <w:t>(3)</w:t>
      </w:r>
      <w:r w:rsidRPr="00583E1A">
        <w:tab/>
      </w:r>
      <w:r w:rsidR="00583E1A">
        <w:t>Subsection (</w:t>
      </w:r>
      <w:r w:rsidRPr="00583E1A">
        <w:t xml:space="preserve">2) has effect whether the </w:t>
      </w:r>
      <w:r w:rsidR="00583E1A" w:rsidRPr="00583E1A">
        <w:rPr>
          <w:position w:val="6"/>
          <w:sz w:val="16"/>
        </w:rPr>
        <w:t>*</w:t>
      </w:r>
      <w:r w:rsidRPr="00583E1A">
        <w:t>accounting standard would otherwise apply to the entity or not.</w:t>
      </w:r>
    </w:p>
    <w:p w:rsidR="00887330" w:rsidRPr="00583E1A" w:rsidRDefault="00887330" w:rsidP="00887330">
      <w:pPr>
        <w:pStyle w:val="ActHead5"/>
      </w:pPr>
      <w:bookmarkStart w:id="270" w:name="_Toc338939344"/>
      <w:r w:rsidRPr="00583E1A">
        <w:rPr>
          <w:rStyle w:val="CharSectno"/>
        </w:rPr>
        <w:t>820</w:t>
      </w:r>
      <w:r w:rsidR="00583E1A">
        <w:rPr>
          <w:rStyle w:val="CharSectno"/>
        </w:rPr>
        <w:noBreakHyphen/>
      </w:r>
      <w:r w:rsidRPr="00583E1A">
        <w:rPr>
          <w:rStyle w:val="CharSectno"/>
        </w:rPr>
        <w:t>680</w:t>
      </w:r>
      <w:r w:rsidRPr="00583E1A">
        <w:t xml:space="preserve">  Valuation of assets, liabilities and equity capital</w:t>
      </w:r>
      <w:bookmarkEnd w:id="270"/>
    </w:p>
    <w:p w:rsidR="00887330" w:rsidRPr="00583E1A" w:rsidRDefault="00887330" w:rsidP="00887330">
      <w:pPr>
        <w:pStyle w:val="subsection"/>
      </w:pPr>
      <w:r w:rsidRPr="00583E1A">
        <w:tab/>
        <w:t>(1)</w:t>
      </w:r>
      <w:r w:rsidRPr="00583E1A">
        <w:tab/>
        <w:t xml:space="preserve">For the purposes of this Division, an entity must comply with the </w:t>
      </w:r>
      <w:r w:rsidR="00583E1A" w:rsidRPr="00583E1A">
        <w:rPr>
          <w:position w:val="6"/>
          <w:sz w:val="16"/>
        </w:rPr>
        <w:t>*</w:t>
      </w:r>
      <w:r w:rsidRPr="00583E1A">
        <w:t>accounting standards in determining what are its assets and liabilities and in calculating:</w:t>
      </w:r>
    </w:p>
    <w:p w:rsidR="00887330" w:rsidRPr="00583E1A" w:rsidRDefault="00887330" w:rsidP="00887330">
      <w:pPr>
        <w:pStyle w:val="paragraph"/>
      </w:pPr>
      <w:r w:rsidRPr="00583E1A">
        <w:tab/>
        <w:t>(a)</w:t>
      </w:r>
      <w:r w:rsidRPr="00583E1A">
        <w:tab/>
        <w:t>the value of its assets (including revaluing its assets for the purposes of that calculation); and</w:t>
      </w:r>
    </w:p>
    <w:p w:rsidR="00887330" w:rsidRPr="00583E1A" w:rsidRDefault="00887330" w:rsidP="00887330">
      <w:pPr>
        <w:pStyle w:val="paragraph"/>
      </w:pPr>
      <w:r w:rsidRPr="00583E1A">
        <w:tab/>
        <w:t>(b)</w:t>
      </w:r>
      <w:r w:rsidRPr="00583E1A">
        <w:tab/>
        <w:t xml:space="preserve">the value of its liabilities (including its </w:t>
      </w:r>
      <w:r w:rsidR="00583E1A" w:rsidRPr="00583E1A">
        <w:rPr>
          <w:position w:val="6"/>
          <w:sz w:val="16"/>
        </w:rPr>
        <w:t>*</w:t>
      </w:r>
      <w:r w:rsidRPr="00583E1A">
        <w:t>debt capital); and</w:t>
      </w:r>
    </w:p>
    <w:p w:rsidR="00887330" w:rsidRPr="00583E1A" w:rsidRDefault="00887330" w:rsidP="00887330">
      <w:pPr>
        <w:pStyle w:val="paragraph"/>
      </w:pPr>
      <w:r w:rsidRPr="00583E1A">
        <w:tab/>
        <w:t>(c)</w:t>
      </w:r>
      <w:r w:rsidRPr="00583E1A">
        <w:tab/>
        <w:t xml:space="preserve">the value of its </w:t>
      </w:r>
      <w:r w:rsidR="00583E1A" w:rsidRPr="00583E1A">
        <w:rPr>
          <w:position w:val="6"/>
          <w:sz w:val="16"/>
        </w:rPr>
        <w:t>*</w:t>
      </w:r>
      <w:r w:rsidRPr="00583E1A">
        <w:t>equity capital.</w:t>
      </w:r>
    </w:p>
    <w:p w:rsidR="003B37BA" w:rsidRPr="00583E1A" w:rsidRDefault="003B37BA" w:rsidP="003B37BA">
      <w:pPr>
        <w:pStyle w:val="notetext"/>
      </w:pPr>
      <w:r w:rsidRPr="00583E1A">
        <w:t>Note:</w:t>
      </w:r>
      <w:r w:rsidRPr="00583E1A">
        <w:tab/>
        <w:t>This requirement to comply with the accounting standards is modified in certain cases (see sections</w:t>
      </w:r>
      <w:r w:rsidR="00857585">
        <w:t> </w:t>
      </w:r>
      <w:r w:rsidR="00857585" w:rsidRPr="007023A5">
        <w:t>820</w:t>
      </w:r>
      <w:r w:rsidR="00857585" w:rsidRPr="007023A5">
        <w:noBreakHyphen/>
        <w:t>310,</w:t>
      </w:r>
      <w:r w:rsidR="00583E1A">
        <w:t> </w:t>
      </w:r>
      <w:r w:rsidRPr="00583E1A">
        <w:t>820</w:t>
      </w:r>
      <w:r w:rsidR="00583E1A">
        <w:noBreakHyphen/>
      </w:r>
      <w:r w:rsidRPr="00583E1A">
        <w:t>682, 820</w:t>
      </w:r>
      <w:r w:rsidR="00583E1A">
        <w:noBreakHyphen/>
      </w:r>
      <w:r w:rsidRPr="00583E1A">
        <w:t>683 and 820</w:t>
      </w:r>
      <w:r w:rsidR="00583E1A">
        <w:noBreakHyphen/>
      </w:r>
      <w:r w:rsidRPr="00583E1A">
        <w:t>684).</w:t>
      </w:r>
    </w:p>
    <w:p w:rsidR="00887330" w:rsidRPr="00583E1A" w:rsidRDefault="00887330" w:rsidP="00887330">
      <w:pPr>
        <w:pStyle w:val="subsection"/>
        <w:rPr>
          <w:color w:val="000000"/>
        </w:rPr>
      </w:pPr>
      <w:r w:rsidRPr="00583E1A">
        <w:tab/>
        <w:t>(1A)</w:t>
      </w:r>
      <w:r w:rsidRPr="00583E1A">
        <w:tab/>
        <w:t xml:space="preserve">In particular, for the purposes of this Division, the entity has an asset or liability at a particular time if, and only if, according to the </w:t>
      </w:r>
      <w:r w:rsidR="00583E1A" w:rsidRPr="00583E1A">
        <w:rPr>
          <w:position w:val="6"/>
          <w:sz w:val="16"/>
        </w:rPr>
        <w:t>*</w:t>
      </w:r>
      <w:r w:rsidRPr="00583E1A">
        <w:t xml:space="preserve">accounting standards, the asset or liability </w:t>
      </w:r>
      <w:r w:rsidRPr="00583E1A">
        <w:rPr>
          <w:color w:val="000000"/>
        </w:rPr>
        <w:t>can or must be recognised at that time.</w:t>
      </w:r>
    </w:p>
    <w:p w:rsidR="003B37BA" w:rsidRPr="00583E1A" w:rsidRDefault="003B37BA" w:rsidP="003B37BA">
      <w:pPr>
        <w:pStyle w:val="notetext"/>
      </w:pPr>
      <w:r w:rsidRPr="00583E1A">
        <w:t>Note:</w:t>
      </w:r>
      <w:r w:rsidRPr="00583E1A">
        <w:tab/>
        <w:t>This application of the accounting standards is modified in certain cases (see sections</w:t>
      </w:r>
      <w:r w:rsidR="00583E1A">
        <w:t> </w:t>
      </w:r>
      <w:r w:rsidRPr="00583E1A">
        <w:t>820</w:t>
      </w:r>
      <w:r w:rsidR="00583E1A">
        <w:noBreakHyphen/>
      </w:r>
      <w:r w:rsidRPr="00583E1A">
        <w:t>682 and 820</w:t>
      </w:r>
      <w:r w:rsidR="00583E1A">
        <w:noBreakHyphen/>
      </w:r>
      <w:r w:rsidRPr="00583E1A">
        <w:t>683).</w:t>
      </w:r>
    </w:p>
    <w:p w:rsidR="00887330" w:rsidRPr="00583E1A" w:rsidRDefault="00887330" w:rsidP="00887330">
      <w:pPr>
        <w:pStyle w:val="SubsectionHead"/>
      </w:pPr>
      <w:r w:rsidRPr="00583E1A">
        <w:lastRenderedPageBreak/>
        <w:t>Requirements for revaluation of assets</w:t>
      </w:r>
    </w:p>
    <w:p w:rsidR="00887330" w:rsidRPr="00583E1A" w:rsidRDefault="00887330" w:rsidP="00887330">
      <w:pPr>
        <w:pStyle w:val="subsection"/>
      </w:pPr>
      <w:r w:rsidRPr="00583E1A">
        <w:tab/>
        <w:t>(2)</w:t>
      </w:r>
      <w:r w:rsidRPr="00583E1A">
        <w:tab/>
        <w:t xml:space="preserve">A revaluation of assets mentioned in </w:t>
      </w:r>
      <w:r w:rsidR="00583E1A">
        <w:t>paragraph (</w:t>
      </w:r>
      <w:r w:rsidRPr="00583E1A">
        <w:t>1)(a) must be made by a person:</w:t>
      </w:r>
    </w:p>
    <w:p w:rsidR="00887330" w:rsidRPr="00583E1A" w:rsidRDefault="00887330" w:rsidP="00887330">
      <w:pPr>
        <w:pStyle w:val="paragraph"/>
      </w:pPr>
      <w:r w:rsidRPr="00583E1A">
        <w:tab/>
        <w:t>(a)</w:t>
      </w:r>
      <w:r w:rsidRPr="00583E1A">
        <w:tab/>
        <w:t>who is an expert in valuing such assets; and</w:t>
      </w:r>
    </w:p>
    <w:p w:rsidR="00887330" w:rsidRPr="00583E1A" w:rsidRDefault="00887330" w:rsidP="00887330">
      <w:pPr>
        <w:pStyle w:val="paragraph"/>
      </w:pPr>
      <w:r w:rsidRPr="00583E1A">
        <w:tab/>
        <w:t>(b)</w:t>
      </w:r>
      <w:r w:rsidRPr="00583E1A">
        <w:tab/>
        <w:t>whose pecuniary or other interests could not reasonably be regarded as being capable of affecting the person’s ability to give an unbiased opinion in relation to that revaluation.</w:t>
      </w:r>
    </w:p>
    <w:p w:rsidR="003B37BA" w:rsidRPr="00583E1A" w:rsidRDefault="003B37BA" w:rsidP="003B37BA">
      <w:pPr>
        <w:pStyle w:val="notetext"/>
      </w:pPr>
      <w:r w:rsidRPr="00583E1A">
        <w:t>Note 1:</w:t>
      </w:r>
      <w:r w:rsidRPr="00583E1A">
        <w:tab/>
        <w:t>The entity must also keep records in accordance with section</w:t>
      </w:r>
      <w:r w:rsidR="00583E1A">
        <w:t> </w:t>
      </w:r>
      <w:r w:rsidRPr="00583E1A">
        <w:t>820</w:t>
      </w:r>
      <w:r w:rsidR="00583E1A">
        <w:noBreakHyphen/>
      </w:r>
      <w:r w:rsidRPr="00583E1A">
        <w:t xml:space="preserve">985 about the revaluation, unless the exception in </w:t>
      </w:r>
      <w:r w:rsidR="00583E1A">
        <w:t>subsection (</w:t>
      </w:r>
      <w:r w:rsidRPr="00583E1A">
        <w:t>2A) of this section applies.</w:t>
      </w:r>
    </w:p>
    <w:p w:rsidR="003B37BA" w:rsidRPr="00583E1A" w:rsidRDefault="003B37BA" w:rsidP="003B37BA">
      <w:pPr>
        <w:pStyle w:val="notetext"/>
      </w:pPr>
      <w:r w:rsidRPr="00583E1A">
        <w:t>Note 2:</w:t>
      </w:r>
      <w:r w:rsidRPr="00583E1A">
        <w:tab/>
        <w:t>This subsection also applies to some revaluations that are not allowed by the accounting standards (see subsection 820</w:t>
      </w:r>
      <w:r w:rsidR="00583E1A">
        <w:noBreakHyphen/>
      </w:r>
      <w:r w:rsidRPr="00583E1A">
        <w:t>684(5)).</w:t>
      </w:r>
    </w:p>
    <w:p w:rsidR="00887330" w:rsidRPr="00583E1A" w:rsidRDefault="00887330" w:rsidP="00887330">
      <w:pPr>
        <w:pStyle w:val="SubsectionHead"/>
      </w:pPr>
      <w:r w:rsidRPr="00583E1A">
        <w:t>Revaluation reflected in statutory financial statements for the same period</w:t>
      </w:r>
    </w:p>
    <w:p w:rsidR="00887330" w:rsidRPr="00583E1A" w:rsidRDefault="00887330" w:rsidP="00887330">
      <w:pPr>
        <w:pStyle w:val="subsection"/>
      </w:pPr>
      <w:r w:rsidRPr="00583E1A">
        <w:tab/>
        <w:t>(2A)</w:t>
      </w:r>
      <w:r w:rsidRPr="00583E1A">
        <w:tab/>
        <w:t xml:space="preserve">A revaluation of an asset need not comply with </w:t>
      </w:r>
      <w:r w:rsidR="00583E1A">
        <w:t>subsection (</w:t>
      </w:r>
      <w:r w:rsidRPr="00583E1A">
        <w:t>2) if:</w:t>
      </w:r>
    </w:p>
    <w:p w:rsidR="00887330" w:rsidRPr="00583E1A" w:rsidRDefault="00887330" w:rsidP="00887330">
      <w:pPr>
        <w:pStyle w:val="paragraph"/>
      </w:pPr>
      <w:r w:rsidRPr="00583E1A">
        <w:tab/>
        <w:t>(</w:t>
      </w:r>
      <w:r w:rsidRPr="00583E1A">
        <w:rPr>
          <w:noProof/>
        </w:rPr>
        <w:t>a</w:t>
      </w:r>
      <w:r w:rsidRPr="00583E1A">
        <w:t>)</w:t>
      </w:r>
      <w:r w:rsidRPr="00583E1A">
        <w:tab/>
        <w:t>the revaluation is for the purpose of the entity calculating the value of its assets for the purposes of this Division as applying to the entity for a particular period; and</w:t>
      </w:r>
    </w:p>
    <w:p w:rsidR="00887330" w:rsidRPr="00583E1A" w:rsidRDefault="00887330" w:rsidP="00887330">
      <w:pPr>
        <w:pStyle w:val="paragraph"/>
      </w:pPr>
      <w:r w:rsidRPr="00583E1A">
        <w:tab/>
        <w:t>(</w:t>
      </w:r>
      <w:r w:rsidRPr="00583E1A">
        <w:rPr>
          <w:noProof/>
        </w:rPr>
        <w:t>b</w:t>
      </w:r>
      <w:r w:rsidRPr="00583E1A">
        <w:t>)</w:t>
      </w:r>
      <w:r w:rsidRPr="00583E1A">
        <w:tab/>
        <w:t>the entity is required by an Australian law to prepare financial statements for a period that is or includes all or part of that period; and</w:t>
      </w:r>
    </w:p>
    <w:p w:rsidR="00887330" w:rsidRPr="00583E1A" w:rsidRDefault="00887330" w:rsidP="00887330">
      <w:pPr>
        <w:pStyle w:val="paragraph"/>
      </w:pPr>
      <w:r w:rsidRPr="00583E1A">
        <w:tab/>
        <w:t>(</w:t>
      </w:r>
      <w:r w:rsidRPr="00583E1A">
        <w:rPr>
          <w:noProof/>
        </w:rPr>
        <w:t>c</w:t>
      </w:r>
      <w:r w:rsidRPr="00583E1A">
        <w:t>)</w:t>
      </w:r>
      <w:r w:rsidRPr="00583E1A">
        <w:tab/>
        <w:t>those financial statements reflect the revaluation.</w:t>
      </w:r>
    </w:p>
    <w:p w:rsidR="00887330" w:rsidRPr="00583E1A" w:rsidRDefault="00887330" w:rsidP="00887330">
      <w:pPr>
        <w:pStyle w:val="SubsectionHead"/>
      </w:pPr>
      <w:r w:rsidRPr="00583E1A">
        <w:t>External validation of a revaluation made internally</w:t>
      </w:r>
    </w:p>
    <w:p w:rsidR="00887330" w:rsidRPr="00583E1A" w:rsidRDefault="00887330" w:rsidP="00887330">
      <w:pPr>
        <w:pStyle w:val="subsection"/>
      </w:pPr>
      <w:r w:rsidRPr="00583E1A">
        <w:tab/>
        <w:t>(2B)</w:t>
      </w:r>
      <w:r w:rsidRPr="00583E1A">
        <w:tab/>
        <w:t xml:space="preserve">A revaluation of assets mentioned in </w:t>
      </w:r>
      <w:r w:rsidR="00583E1A">
        <w:t>paragraph (</w:t>
      </w:r>
      <w:r w:rsidRPr="00583E1A">
        <w:t xml:space="preserve">1)(a) may be made by a person (the </w:t>
      </w:r>
      <w:r w:rsidRPr="00583E1A">
        <w:rPr>
          <w:b/>
          <w:i/>
        </w:rPr>
        <w:t>internal expert</w:t>
      </w:r>
      <w:r w:rsidRPr="00583E1A">
        <w:t>) if:</w:t>
      </w:r>
    </w:p>
    <w:p w:rsidR="00887330" w:rsidRPr="00583E1A" w:rsidRDefault="00887330" w:rsidP="00887330">
      <w:pPr>
        <w:pStyle w:val="paragraph"/>
      </w:pPr>
      <w:r w:rsidRPr="00583E1A">
        <w:tab/>
        <w:t>(</w:t>
      </w:r>
      <w:r w:rsidRPr="00583E1A">
        <w:rPr>
          <w:noProof/>
        </w:rPr>
        <w:t>a</w:t>
      </w:r>
      <w:r w:rsidRPr="00583E1A">
        <w:t>)</w:t>
      </w:r>
      <w:r w:rsidRPr="00583E1A">
        <w:tab/>
        <w:t xml:space="preserve">apart from this subsection, </w:t>
      </w:r>
      <w:r w:rsidR="00583E1A">
        <w:t>paragraph (</w:t>
      </w:r>
      <w:r w:rsidRPr="00583E1A">
        <w:t>2)(b) would prevent the internal expert from making the revaluation, but only because, in making it, he or she would be:</w:t>
      </w:r>
    </w:p>
    <w:p w:rsidR="00887330" w:rsidRPr="00583E1A" w:rsidRDefault="00887330" w:rsidP="00887330">
      <w:pPr>
        <w:pStyle w:val="paragraphsub"/>
      </w:pPr>
      <w:r w:rsidRPr="00583E1A">
        <w:tab/>
        <w:t>(</w:t>
      </w:r>
      <w:r w:rsidRPr="00583E1A">
        <w:rPr>
          <w:noProof/>
        </w:rPr>
        <w:t>i</w:t>
      </w:r>
      <w:r w:rsidRPr="00583E1A">
        <w:t>)</w:t>
      </w:r>
      <w:r w:rsidRPr="00583E1A">
        <w:tab/>
        <w:t>performing duties as an employee of the entity; or</w:t>
      </w:r>
    </w:p>
    <w:p w:rsidR="00887330" w:rsidRPr="00583E1A" w:rsidRDefault="00887330" w:rsidP="00887330">
      <w:pPr>
        <w:pStyle w:val="paragraphsub"/>
      </w:pPr>
      <w:r w:rsidRPr="00583E1A">
        <w:tab/>
        <w:t>(</w:t>
      </w:r>
      <w:r w:rsidRPr="00583E1A">
        <w:rPr>
          <w:noProof/>
        </w:rPr>
        <w:t>ii</w:t>
      </w:r>
      <w:r w:rsidRPr="00583E1A">
        <w:t>)</w:t>
      </w:r>
      <w:r w:rsidRPr="00583E1A">
        <w:tab/>
        <w:t xml:space="preserve">providing services under an </w:t>
      </w:r>
      <w:r w:rsidR="00583E1A" w:rsidRPr="00583E1A">
        <w:rPr>
          <w:position w:val="6"/>
          <w:sz w:val="16"/>
        </w:rPr>
        <w:t>*</w:t>
      </w:r>
      <w:r w:rsidRPr="00583E1A">
        <w:t>arrangement with the entity that is substantially similar to a contract of employment; and</w:t>
      </w:r>
    </w:p>
    <w:p w:rsidR="00887330" w:rsidRPr="00583E1A" w:rsidRDefault="00887330" w:rsidP="00A504C5">
      <w:pPr>
        <w:pStyle w:val="paragraph"/>
        <w:keepNext/>
        <w:keepLines/>
      </w:pPr>
      <w:r w:rsidRPr="00583E1A">
        <w:lastRenderedPageBreak/>
        <w:tab/>
        <w:t>(</w:t>
      </w:r>
      <w:r w:rsidRPr="00583E1A">
        <w:rPr>
          <w:noProof/>
        </w:rPr>
        <w:t>b</w:t>
      </w:r>
      <w:r w:rsidRPr="00583E1A">
        <w:t>)</w:t>
      </w:r>
      <w:r w:rsidRPr="00583E1A">
        <w:tab/>
        <w:t xml:space="preserve">another person (the </w:t>
      </w:r>
      <w:r w:rsidRPr="00583E1A">
        <w:rPr>
          <w:b/>
          <w:i/>
        </w:rPr>
        <w:t>external expert</w:t>
      </w:r>
      <w:r w:rsidRPr="00583E1A">
        <w:t>):</w:t>
      </w:r>
    </w:p>
    <w:p w:rsidR="00887330" w:rsidRPr="00583E1A" w:rsidRDefault="00887330" w:rsidP="00887330">
      <w:pPr>
        <w:pStyle w:val="paragraphsub"/>
      </w:pPr>
      <w:r w:rsidRPr="00583E1A">
        <w:tab/>
        <w:t>(</w:t>
      </w:r>
      <w:r w:rsidRPr="00583E1A">
        <w:rPr>
          <w:noProof/>
        </w:rPr>
        <w:t>i</w:t>
      </w:r>
      <w:r w:rsidRPr="00583E1A">
        <w:t>)</w:t>
      </w:r>
      <w:r w:rsidRPr="00583E1A">
        <w:tab/>
        <w:t xml:space="preserve">is not prevented by </w:t>
      </w:r>
      <w:r w:rsidR="00583E1A">
        <w:t>subsection (</w:t>
      </w:r>
      <w:r w:rsidRPr="00583E1A">
        <w:t>2) from making the revaluation; and</w:t>
      </w:r>
    </w:p>
    <w:p w:rsidR="00887330" w:rsidRPr="00583E1A" w:rsidRDefault="00887330" w:rsidP="00887330">
      <w:pPr>
        <w:pStyle w:val="paragraphsub"/>
      </w:pPr>
      <w:r w:rsidRPr="00583E1A">
        <w:tab/>
        <w:t>(</w:t>
      </w:r>
      <w:r w:rsidRPr="00583E1A">
        <w:rPr>
          <w:noProof/>
        </w:rPr>
        <w:t>ii</w:t>
      </w:r>
      <w:r w:rsidRPr="00583E1A">
        <w:t>)</w:t>
      </w:r>
      <w:r w:rsidRPr="00583E1A">
        <w:tab/>
        <w:t>has reviewed the methodology for making it (including the validity of any assumptions to be made, and the accuracy and reliability of the data and other information to be used); and</w:t>
      </w:r>
    </w:p>
    <w:p w:rsidR="00887330" w:rsidRPr="00583E1A" w:rsidRDefault="00887330" w:rsidP="00887330">
      <w:pPr>
        <w:pStyle w:val="paragraphsub"/>
      </w:pPr>
      <w:r w:rsidRPr="00583E1A">
        <w:tab/>
        <w:t>(</w:t>
      </w:r>
      <w:r w:rsidRPr="00583E1A">
        <w:rPr>
          <w:noProof/>
        </w:rPr>
        <w:t>iii</w:t>
      </w:r>
      <w:r w:rsidRPr="00583E1A">
        <w:t>)</w:t>
      </w:r>
      <w:r w:rsidRPr="00583E1A">
        <w:tab/>
        <w:t>has agreed that that methodology is suitable for making it; and</w:t>
      </w:r>
    </w:p>
    <w:p w:rsidR="00887330" w:rsidRPr="00583E1A" w:rsidRDefault="00887330" w:rsidP="00887330">
      <w:pPr>
        <w:pStyle w:val="paragraph"/>
      </w:pPr>
      <w:r w:rsidRPr="00583E1A">
        <w:tab/>
        <w:t>(</w:t>
      </w:r>
      <w:r w:rsidRPr="00583E1A">
        <w:rPr>
          <w:noProof/>
        </w:rPr>
        <w:t>c</w:t>
      </w:r>
      <w:r w:rsidRPr="00583E1A">
        <w:t>)</w:t>
      </w:r>
      <w:r w:rsidRPr="00583E1A">
        <w:tab/>
        <w:t>the internal expert makes the revaluation in accordance with that methodology.</w:t>
      </w:r>
    </w:p>
    <w:p w:rsidR="003B37BA" w:rsidRPr="00583E1A" w:rsidRDefault="003B37BA" w:rsidP="003B37BA">
      <w:pPr>
        <w:pStyle w:val="notetext"/>
      </w:pPr>
      <w:r w:rsidRPr="00583E1A">
        <w:t>Note:</w:t>
      </w:r>
      <w:r w:rsidRPr="00583E1A">
        <w:tab/>
        <w:t>This subsection also applies to some revaluations that are not allowed by the accounting standards (see subsection 820</w:t>
      </w:r>
      <w:r w:rsidR="00583E1A">
        <w:noBreakHyphen/>
      </w:r>
      <w:r w:rsidRPr="00583E1A">
        <w:t>684(5)).</w:t>
      </w:r>
    </w:p>
    <w:p w:rsidR="00887330" w:rsidRPr="00583E1A" w:rsidRDefault="00887330" w:rsidP="00887330">
      <w:pPr>
        <w:pStyle w:val="SubsectionHead"/>
      </w:pPr>
      <w:r w:rsidRPr="00583E1A">
        <w:t>Revaluation of individual assets</w:t>
      </w:r>
    </w:p>
    <w:p w:rsidR="00887330" w:rsidRPr="00583E1A" w:rsidRDefault="00887330" w:rsidP="00887330">
      <w:pPr>
        <w:pStyle w:val="subsection"/>
      </w:pPr>
      <w:r w:rsidRPr="00583E1A">
        <w:tab/>
        <w:t>(2C)</w:t>
      </w:r>
      <w:r w:rsidRPr="00583E1A">
        <w:tab/>
      </w:r>
      <w:r w:rsidR="00583E1A">
        <w:t>Subsection (</w:t>
      </w:r>
      <w:r w:rsidRPr="00583E1A">
        <w:t xml:space="preserve">1) does not prevent the entity from revaluing one or more assets in a class of assets (as distinct from revaluing all the assets in the class) if the value of no asset in that class has fallen since the entity last calculated the total value of all the assets in that class in accordance with the </w:t>
      </w:r>
      <w:r w:rsidR="00583E1A" w:rsidRPr="00583E1A">
        <w:rPr>
          <w:position w:val="6"/>
          <w:sz w:val="16"/>
        </w:rPr>
        <w:t>*</w:t>
      </w:r>
      <w:r w:rsidRPr="00583E1A">
        <w:t>accounting standards.</w:t>
      </w:r>
    </w:p>
    <w:p w:rsidR="00887330" w:rsidRPr="00583E1A" w:rsidRDefault="00887330" w:rsidP="00887330">
      <w:pPr>
        <w:pStyle w:val="SubsectionHead"/>
      </w:pPr>
      <w:r w:rsidRPr="00583E1A">
        <w:t>When further revaluation of assets required</w:t>
      </w:r>
    </w:p>
    <w:p w:rsidR="00887330" w:rsidRPr="00583E1A" w:rsidRDefault="00887330" w:rsidP="00887330">
      <w:pPr>
        <w:pStyle w:val="subsection"/>
      </w:pPr>
      <w:r w:rsidRPr="00583E1A">
        <w:tab/>
        <w:t>(2D)</w:t>
      </w:r>
      <w:r w:rsidRPr="00583E1A">
        <w:tab/>
        <w:t>If:</w:t>
      </w:r>
    </w:p>
    <w:p w:rsidR="00887330" w:rsidRPr="00583E1A" w:rsidRDefault="00887330" w:rsidP="00887330">
      <w:pPr>
        <w:pStyle w:val="paragraph"/>
      </w:pPr>
      <w:r w:rsidRPr="00583E1A">
        <w:tab/>
        <w:t>(</w:t>
      </w:r>
      <w:r w:rsidRPr="00583E1A">
        <w:rPr>
          <w:noProof/>
        </w:rPr>
        <w:t>a</w:t>
      </w:r>
      <w:r w:rsidRPr="00583E1A">
        <w:t>)</w:t>
      </w:r>
      <w:r w:rsidRPr="00583E1A">
        <w:tab/>
        <w:t xml:space="preserve">the entity revalues one or more assets (whether constituting a class of assets or not) for the purpose of calculating the value of its assets for the purposes of this Division as applying to the entity for a particular period (the </w:t>
      </w:r>
      <w:r w:rsidRPr="00583E1A">
        <w:rPr>
          <w:b/>
          <w:i/>
        </w:rPr>
        <w:t>first period</w:t>
      </w:r>
      <w:r w:rsidRPr="00583E1A">
        <w:t>); and</w:t>
      </w:r>
    </w:p>
    <w:p w:rsidR="00887330" w:rsidRPr="00583E1A" w:rsidRDefault="00887330" w:rsidP="00887330">
      <w:pPr>
        <w:pStyle w:val="paragraph"/>
      </w:pPr>
      <w:r w:rsidRPr="00583E1A">
        <w:tab/>
        <w:t>(</w:t>
      </w:r>
      <w:r w:rsidRPr="00583E1A">
        <w:rPr>
          <w:noProof/>
        </w:rPr>
        <w:t>b</w:t>
      </w:r>
      <w:r w:rsidRPr="00583E1A">
        <w:t>)</w:t>
      </w:r>
      <w:r w:rsidRPr="00583E1A">
        <w:tab/>
        <w:t xml:space="preserve">the revaluation is </w:t>
      </w:r>
      <w:r w:rsidRPr="00583E1A">
        <w:rPr>
          <w:i/>
        </w:rPr>
        <w:t>not</w:t>
      </w:r>
      <w:r w:rsidRPr="00583E1A">
        <w:t xml:space="preserve"> required by the </w:t>
      </w:r>
      <w:r w:rsidR="00583E1A" w:rsidRPr="00583E1A">
        <w:rPr>
          <w:position w:val="6"/>
          <w:sz w:val="16"/>
        </w:rPr>
        <w:t>*</w:t>
      </w:r>
      <w:r w:rsidRPr="00583E1A">
        <w:t>accounting standards; and</w:t>
      </w:r>
    </w:p>
    <w:p w:rsidR="00887330" w:rsidRPr="00583E1A" w:rsidRDefault="00887330" w:rsidP="00887330">
      <w:pPr>
        <w:pStyle w:val="paragraph"/>
      </w:pPr>
      <w:r w:rsidRPr="00583E1A">
        <w:tab/>
        <w:t>(</w:t>
      </w:r>
      <w:r w:rsidRPr="00583E1A">
        <w:rPr>
          <w:noProof/>
        </w:rPr>
        <w:t>c</w:t>
      </w:r>
      <w:r w:rsidRPr="00583E1A">
        <w:t>)</w:t>
      </w:r>
      <w:r w:rsidRPr="00583E1A">
        <w:tab/>
        <w:t xml:space="preserve">if the revaluation </w:t>
      </w:r>
      <w:r w:rsidRPr="00583E1A">
        <w:rPr>
          <w:i/>
        </w:rPr>
        <w:t>had</w:t>
      </w:r>
      <w:r w:rsidRPr="00583E1A">
        <w:t xml:space="preserve"> been required by the accounting standards, the entity could have relied on it in preparing financial statements that the entity is required by an Australian law to prepare for a period (the </w:t>
      </w:r>
      <w:r w:rsidRPr="00583E1A">
        <w:rPr>
          <w:b/>
          <w:i/>
        </w:rPr>
        <w:t>later period</w:t>
      </w:r>
      <w:r w:rsidRPr="00583E1A">
        <w:t xml:space="preserve">) that ends </w:t>
      </w:r>
      <w:r w:rsidRPr="00583E1A">
        <w:rPr>
          <w:i/>
        </w:rPr>
        <w:t>after</w:t>
      </w:r>
      <w:r w:rsidRPr="00583E1A">
        <w:t xml:space="preserve"> the first period;</w:t>
      </w:r>
    </w:p>
    <w:p w:rsidR="00887330" w:rsidRPr="00583E1A" w:rsidRDefault="00887330" w:rsidP="00887330">
      <w:pPr>
        <w:pStyle w:val="subsection2"/>
      </w:pPr>
      <w:r w:rsidRPr="00583E1A">
        <w:t>the entity may also rely on the revaluation in calculating the value of its assets for the purposes of this Division as applying to the entity for a period that is or includes all or part of the later period.</w:t>
      </w:r>
    </w:p>
    <w:p w:rsidR="00887330" w:rsidRPr="00583E1A" w:rsidRDefault="00887330" w:rsidP="00887330">
      <w:pPr>
        <w:pStyle w:val="subsection"/>
      </w:pPr>
      <w:r w:rsidRPr="00583E1A">
        <w:lastRenderedPageBreak/>
        <w:tab/>
        <w:t>(2E)</w:t>
      </w:r>
      <w:r w:rsidRPr="00583E1A">
        <w:tab/>
        <w:t xml:space="preserve">If </w:t>
      </w:r>
      <w:r w:rsidR="00583E1A">
        <w:t>subsection (</w:t>
      </w:r>
      <w:r w:rsidRPr="00583E1A">
        <w:t xml:space="preserve">2D) does </w:t>
      </w:r>
      <w:r w:rsidRPr="00583E1A">
        <w:rPr>
          <w:i/>
        </w:rPr>
        <w:t>not</w:t>
      </w:r>
      <w:r w:rsidRPr="00583E1A">
        <w:t xml:space="preserve"> permit the entity to rely on the revaluation in calculating the value of its assets for the purposes of this Division as applying to the entity for a period that is later than the first period, the revaluation is disregarded in determining whether </w:t>
      </w:r>
      <w:r w:rsidR="00583E1A">
        <w:t>subsection (</w:t>
      </w:r>
      <w:r w:rsidRPr="00583E1A">
        <w:t>1) requires the entity to revalue the one or more assets in calculating the value of its assets for those purposes.</w:t>
      </w:r>
    </w:p>
    <w:p w:rsidR="00887330" w:rsidRPr="00583E1A" w:rsidRDefault="00887330" w:rsidP="00887330">
      <w:pPr>
        <w:pStyle w:val="notetext"/>
      </w:pPr>
      <w:r w:rsidRPr="00583E1A">
        <w:t>Note:</w:t>
      </w:r>
      <w:r w:rsidRPr="00583E1A">
        <w:tab/>
        <w:t>As a result, the entity may not be required to make a further revaluation of the one or more assets. However, if the entity does not, it must use the value of the one or more assets that is reflected in financial statements for the relevant period that comply with the accounting standards.</w:t>
      </w:r>
    </w:p>
    <w:p w:rsidR="00887330" w:rsidRPr="00583E1A" w:rsidRDefault="00887330" w:rsidP="00887330">
      <w:pPr>
        <w:pStyle w:val="SubsectionHead"/>
      </w:pPr>
      <w:r w:rsidRPr="00583E1A">
        <w:t>Accounting standards need not otherwise apply to the entity</w:t>
      </w:r>
    </w:p>
    <w:p w:rsidR="00887330" w:rsidRPr="00583E1A" w:rsidRDefault="00887330" w:rsidP="00887330">
      <w:pPr>
        <w:pStyle w:val="subsection"/>
      </w:pPr>
      <w:r w:rsidRPr="00583E1A">
        <w:tab/>
        <w:t>(3)</w:t>
      </w:r>
      <w:r w:rsidRPr="00583E1A">
        <w:tab/>
      </w:r>
      <w:r w:rsidR="00583E1A">
        <w:t>Subsection (</w:t>
      </w:r>
      <w:r w:rsidRPr="00583E1A">
        <w:t xml:space="preserve">1) has effect whether the </w:t>
      </w:r>
      <w:r w:rsidR="00583E1A" w:rsidRPr="00583E1A">
        <w:rPr>
          <w:position w:val="6"/>
          <w:sz w:val="16"/>
        </w:rPr>
        <w:t>*</w:t>
      </w:r>
      <w:r w:rsidRPr="00583E1A">
        <w:t>accounting standard would otherwise apply to the entity or not.</w:t>
      </w:r>
    </w:p>
    <w:p w:rsidR="003B37BA" w:rsidRPr="00583E1A" w:rsidRDefault="003B37BA" w:rsidP="003B37BA">
      <w:pPr>
        <w:pStyle w:val="ActHead5"/>
      </w:pPr>
      <w:bookmarkStart w:id="271" w:name="_Toc338939345"/>
      <w:r w:rsidRPr="00583E1A">
        <w:rPr>
          <w:rStyle w:val="CharSectno"/>
        </w:rPr>
        <w:t>820</w:t>
      </w:r>
      <w:r w:rsidR="00583E1A">
        <w:rPr>
          <w:rStyle w:val="CharSectno"/>
        </w:rPr>
        <w:noBreakHyphen/>
      </w:r>
      <w:r w:rsidRPr="00583E1A">
        <w:rPr>
          <w:rStyle w:val="CharSectno"/>
        </w:rPr>
        <w:t>682</w:t>
      </w:r>
      <w:r w:rsidRPr="00583E1A">
        <w:t xml:space="preserve">  Recognition of assets and liabilities—modifying application of accounting standards</w:t>
      </w:r>
      <w:bookmarkEnd w:id="271"/>
    </w:p>
    <w:p w:rsidR="003B37BA" w:rsidRPr="00583E1A" w:rsidRDefault="003B37BA" w:rsidP="003B37BA">
      <w:pPr>
        <w:pStyle w:val="SubsectionHead"/>
      </w:pPr>
      <w:r w:rsidRPr="00583E1A">
        <w:t>Deferred tax assets and deferred tax liabilities</w:t>
      </w:r>
    </w:p>
    <w:p w:rsidR="003B37BA" w:rsidRPr="00583E1A" w:rsidRDefault="003B37BA" w:rsidP="003B37BA">
      <w:pPr>
        <w:pStyle w:val="subsection"/>
      </w:pPr>
      <w:r w:rsidRPr="00583E1A">
        <w:tab/>
        <w:t>(1)</w:t>
      </w:r>
      <w:r w:rsidRPr="00583E1A">
        <w:tab/>
        <w:t>Despite subsections 820</w:t>
      </w:r>
      <w:r w:rsidR="00583E1A">
        <w:noBreakHyphen/>
      </w:r>
      <w:r w:rsidRPr="00583E1A">
        <w:t>680(1) and (1A), an entity must not recognise:</w:t>
      </w:r>
    </w:p>
    <w:p w:rsidR="003B37BA" w:rsidRPr="00583E1A" w:rsidRDefault="003B37BA" w:rsidP="003B37BA">
      <w:pPr>
        <w:pStyle w:val="paragraph"/>
      </w:pPr>
      <w:r w:rsidRPr="00583E1A">
        <w:tab/>
        <w:t>(a)</w:t>
      </w:r>
      <w:r w:rsidRPr="00583E1A">
        <w:tab/>
        <w:t xml:space="preserve">a deferred tax liability (within the meaning of the </w:t>
      </w:r>
      <w:r w:rsidR="00583E1A" w:rsidRPr="00583E1A">
        <w:rPr>
          <w:position w:val="6"/>
          <w:sz w:val="16"/>
        </w:rPr>
        <w:t>*</w:t>
      </w:r>
      <w:r w:rsidRPr="00583E1A">
        <w:t>accounting standards) as a liability for the purposes of this Division; or</w:t>
      </w:r>
    </w:p>
    <w:p w:rsidR="003B37BA" w:rsidRPr="00583E1A" w:rsidRDefault="003B37BA" w:rsidP="003B37BA">
      <w:pPr>
        <w:pStyle w:val="paragraph"/>
      </w:pPr>
      <w:r w:rsidRPr="00583E1A">
        <w:tab/>
        <w:t>(b)</w:t>
      </w:r>
      <w:r w:rsidRPr="00583E1A">
        <w:tab/>
        <w:t>a deferred tax asset (within the meaning of the accounting standards) as an asset for the purposes of this Division.</w:t>
      </w:r>
    </w:p>
    <w:p w:rsidR="003B37BA" w:rsidRPr="00583E1A" w:rsidRDefault="003B37BA" w:rsidP="003B37BA">
      <w:pPr>
        <w:pStyle w:val="notetext"/>
      </w:pPr>
      <w:r w:rsidRPr="00583E1A">
        <w:t>Note:</w:t>
      </w:r>
      <w:r w:rsidRPr="00583E1A">
        <w:tab/>
        <w:t>Subsections 820</w:t>
      </w:r>
      <w:r w:rsidR="00583E1A">
        <w:noBreakHyphen/>
      </w:r>
      <w:r w:rsidRPr="00583E1A">
        <w:t>680(1) and (1A) require compliance with accounting standards.</w:t>
      </w:r>
    </w:p>
    <w:p w:rsidR="003B37BA" w:rsidRPr="00583E1A" w:rsidRDefault="003B37BA" w:rsidP="003B37BA">
      <w:pPr>
        <w:pStyle w:val="SubsectionHead"/>
      </w:pPr>
      <w:r w:rsidRPr="00583E1A">
        <w:t>Surpluses and deficits in defined benefit superannuation plans</w:t>
      </w:r>
    </w:p>
    <w:p w:rsidR="003B37BA" w:rsidRPr="00583E1A" w:rsidRDefault="003B37BA" w:rsidP="003B37BA">
      <w:pPr>
        <w:pStyle w:val="subsection"/>
      </w:pPr>
      <w:r w:rsidRPr="00583E1A">
        <w:tab/>
        <w:t>(2)</w:t>
      </w:r>
      <w:r w:rsidRPr="00583E1A">
        <w:tab/>
        <w:t>Despite subsections 820</w:t>
      </w:r>
      <w:r w:rsidR="00583E1A">
        <w:noBreakHyphen/>
      </w:r>
      <w:r w:rsidRPr="00583E1A">
        <w:t xml:space="preserve">680(1) and (1A), an entity must not recognise an amount relating to a defined benefit plan (within the meaning of the </w:t>
      </w:r>
      <w:r w:rsidR="00583E1A" w:rsidRPr="00583E1A">
        <w:rPr>
          <w:position w:val="6"/>
          <w:sz w:val="16"/>
        </w:rPr>
        <w:t>*</w:t>
      </w:r>
      <w:r w:rsidRPr="00583E1A">
        <w:t>accounting standards) as:</w:t>
      </w:r>
    </w:p>
    <w:p w:rsidR="003B37BA" w:rsidRPr="00583E1A" w:rsidRDefault="003B37BA" w:rsidP="003B37BA">
      <w:pPr>
        <w:pStyle w:val="paragraph"/>
      </w:pPr>
      <w:r w:rsidRPr="00583E1A">
        <w:tab/>
        <w:t>(a)</w:t>
      </w:r>
      <w:r w:rsidRPr="00583E1A">
        <w:tab/>
        <w:t>a liability for the purposes of this Division; or</w:t>
      </w:r>
    </w:p>
    <w:p w:rsidR="003B37BA" w:rsidRPr="00583E1A" w:rsidRDefault="003B37BA" w:rsidP="003B37BA">
      <w:pPr>
        <w:pStyle w:val="paragraph"/>
      </w:pPr>
      <w:r w:rsidRPr="00583E1A">
        <w:tab/>
        <w:t>(b)</w:t>
      </w:r>
      <w:r w:rsidRPr="00583E1A">
        <w:tab/>
        <w:t>an asset for the purposes of this Division.</w:t>
      </w:r>
    </w:p>
    <w:p w:rsidR="003B37BA" w:rsidRPr="00583E1A" w:rsidRDefault="003B37BA" w:rsidP="003B37BA">
      <w:pPr>
        <w:pStyle w:val="notetext"/>
      </w:pPr>
      <w:r w:rsidRPr="00583E1A">
        <w:t>Note:</w:t>
      </w:r>
      <w:r w:rsidRPr="00583E1A">
        <w:tab/>
        <w:t>Subsections 820</w:t>
      </w:r>
      <w:r w:rsidR="00583E1A">
        <w:noBreakHyphen/>
      </w:r>
      <w:r w:rsidRPr="00583E1A">
        <w:t>680(1) and (1A) require compliance with accounting standards.</w:t>
      </w:r>
    </w:p>
    <w:p w:rsidR="003B37BA" w:rsidRPr="00583E1A" w:rsidRDefault="003B37BA" w:rsidP="003B37BA">
      <w:pPr>
        <w:pStyle w:val="SubsectionHead"/>
      </w:pPr>
      <w:r w:rsidRPr="00583E1A">
        <w:lastRenderedPageBreak/>
        <w:t>Not applicable to ADIs</w:t>
      </w:r>
    </w:p>
    <w:p w:rsidR="003B37BA" w:rsidRPr="00583E1A" w:rsidRDefault="003B37BA" w:rsidP="003B37BA">
      <w:pPr>
        <w:pStyle w:val="subsection"/>
      </w:pPr>
      <w:r w:rsidRPr="00583E1A">
        <w:tab/>
        <w:t>(3)</w:t>
      </w:r>
      <w:r w:rsidRPr="00583E1A">
        <w:tab/>
        <w:t xml:space="preserve">This section does not apply in relation to an entity for a period if, for the period, the entity is an </w:t>
      </w:r>
      <w:r w:rsidR="00583E1A" w:rsidRPr="00583E1A">
        <w:rPr>
          <w:position w:val="6"/>
          <w:sz w:val="16"/>
        </w:rPr>
        <w:t>*</w:t>
      </w:r>
      <w:r w:rsidRPr="00583E1A">
        <w:t xml:space="preserve">outward investing entity (ADI) or an </w:t>
      </w:r>
      <w:r w:rsidR="00583E1A" w:rsidRPr="00583E1A">
        <w:rPr>
          <w:position w:val="6"/>
          <w:sz w:val="16"/>
        </w:rPr>
        <w:t>*</w:t>
      </w:r>
      <w:r w:rsidRPr="00583E1A">
        <w:t>inward investing entity (ADI).</w:t>
      </w:r>
    </w:p>
    <w:p w:rsidR="003B37BA" w:rsidRPr="00583E1A" w:rsidRDefault="003B37BA" w:rsidP="003B37BA">
      <w:pPr>
        <w:pStyle w:val="SubsectionHead"/>
      </w:pPr>
      <w:r w:rsidRPr="00583E1A">
        <w:t>Not applicable to records about Australian permanent establishments</w:t>
      </w:r>
    </w:p>
    <w:p w:rsidR="003B37BA" w:rsidRPr="00583E1A" w:rsidRDefault="003B37BA" w:rsidP="003B37BA">
      <w:pPr>
        <w:pStyle w:val="subsection"/>
      </w:pPr>
      <w:r w:rsidRPr="00583E1A">
        <w:tab/>
        <w:t>(4)</w:t>
      </w:r>
      <w:r w:rsidRPr="00583E1A">
        <w:tab/>
        <w:t>This section does not apply for the purposes of section</w:t>
      </w:r>
      <w:r w:rsidR="00583E1A">
        <w:t> </w:t>
      </w:r>
      <w:r w:rsidRPr="00583E1A">
        <w:t>820</w:t>
      </w:r>
      <w:r w:rsidR="00583E1A">
        <w:noBreakHyphen/>
      </w:r>
      <w:r w:rsidRPr="00583E1A">
        <w:t>960.</w:t>
      </w:r>
    </w:p>
    <w:p w:rsidR="003B37BA" w:rsidRPr="00583E1A" w:rsidRDefault="003B37BA" w:rsidP="003B37BA">
      <w:pPr>
        <w:pStyle w:val="ActHead5"/>
      </w:pPr>
      <w:bookmarkStart w:id="272" w:name="_Toc338939346"/>
      <w:r w:rsidRPr="00583E1A">
        <w:rPr>
          <w:rStyle w:val="CharSectno"/>
        </w:rPr>
        <w:t>820</w:t>
      </w:r>
      <w:r w:rsidR="00583E1A">
        <w:rPr>
          <w:rStyle w:val="CharSectno"/>
        </w:rPr>
        <w:noBreakHyphen/>
      </w:r>
      <w:r w:rsidRPr="00583E1A">
        <w:rPr>
          <w:rStyle w:val="CharSectno"/>
        </w:rPr>
        <w:t>683</w:t>
      </w:r>
      <w:r w:rsidRPr="00583E1A">
        <w:t xml:space="preserve">  Recognition of internally generated intangible items—modifying application of accounting standards</w:t>
      </w:r>
      <w:bookmarkEnd w:id="272"/>
    </w:p>
    <w:p w:rsidR="003B37BA" w:rsidRPr="00583E1A" w:rsidRDefault="003B37BA" w:rsidP="003B37BA">
      <w:pPr>
        <w:pStyle w:val="SubsectionHead"/>
      </w:pPr>
      <w:r w:rsidRPr="00583E1A">
        <w:t>Accounting standards prevent recognition of some items</w:t>
      </w:r>
    </w:p>
    <w:p w:rsidR="003B37BA" w:rsidRPr="00583E1A" w:rsidRDefault="003B37BA" w:rsidP="003B37BA">
      <w:pPr>
        <w:pStyle w:val="subsection"/>
      </w:pPr>
      <w:r w:rsidRPr="00583E1A">
        <w:tab/>
        <w:t>(1)</w:t>
      </w:r>
      <w:r w:rsidRPr="00583E1A">
        <w:tab/>
      </w:r>
      <w:r w:rsidR="00583E1A">
        <w:t>Subsection (</w:t>
      </w:r>
      <w:r w:rsidRPr="00583E1A">
        <w:t xml:space="preserve">2) applies in relation to an item, other than internally generated goodwill (within the meaning of </w:t>
      </w:r>
      <w:r w:rsidR="00583E1A" w:rsidRPr="00583E1A">
        <w:rPr>
          <w:position w:val="6"/>
          <w:sz w:val="16"/>
        </w:rPr>
        <w:t>*</w:t>
      </w:r>
      <w:r w:rsidRPr="00583E1A">
        <w:t>accounting standard AASB 138), if:</w:t>
      </w:r>
    </w:p>
    <w:p w:rsidR="003B37BA" w:rsidRPr="00583E1A" w:rsidRDefault="003B37BA" w:rsidP="003B37BA">
      <w:pPr>
        <w:pStyle w:val="paragraph"/>
      </w:pPr>
      <w:r w:rsidRPr="00583E1A">
        <w:tab/>
        <w:t>(a)</w:t>
      </w:r>
      <w:r w:rsidRPr="00583E1A">
        <w:tab/>
        <w:t>the item cannot be recognised under that standard as an internally generated intangible asset (within the meaning of that standard) because that standard determines that the cost of the item cannot be distinguished from the cost of developing the entity’s business as a whole; and</w:t>
      </w:r>
    </w:p>
    <w:p w:rsidR="003B37BA" w:rsidRPr="00583E1A" w:rsidRDefault="003B37BA" w:rsidP="003B37BA">
      <w:pPr>
        <w:pStyle w:val="paragraph"/>
      </w:pPr>
      <w:r w:rsidRPr="00583E1A">
        <w:tab/>
        <w:t>(b)</w:t>
      </w:r>
      <w:r w:rsidRPr="00583E1A">
        <w:tab/>
        <w:t>the item would otherwise meet criteria under that standard for recognition as such an asset.</w:t>
      </w:r>
    </w:p>
    <w:p w:rsidR="003B37BA" w:rsidRPr="00583E1A" w:rsidRDefault="003B37BA" w:rsidP="003B37BA">
      <w:pPr>
        <w:pStyle w:val="notetext"/>
      </w:pPr>
      <w:r w:rsidRPr="00583E1A">
        <w:t>Note 1:</w:t>
      </w:r>
      <w:r w:rsidRPr="00583E1A">
        <w:tab/>
        <w:t>As a general rule, an entity must comply with the accounting standards when recognising its assets for the purposes of this Division (see subsections 820</w:t>
      </w:r>
      <w:r w:rsidR="00583E1A">
        <w:noBreakHyphen/>
      </w:r>
      <w:r w:rsidRPr="00583E1A">
        <w:t>680(1) and (1A)).</w:t>
      </w:r>
    </w:p>
    <w:p w:rsidR="003B37BA" w:rsidRPr="00583E1A" w:rsidRDefault="003B37BA" w:rsidP="003B37BA">
      <w:pPr>
        <w:pStyle w:val="notetext"/>
      </w:pPr>
      <w:r w:rsidRPr="00583E1A">
        <w:t>Note 2:</w:t>
      </w:r>
      <w:r w:rsidRPr="00583E1A">
        <w:tab/>
        <w:t xml:space="preserve">This section does not apply to ADIs (see </w:t>
      </w:r>
      <w:r w:rsidR="00583E1A">
        <w:t>subsection (</w:t>
      </w:r>
      <w:r w:rsidRPr="00583E1A">
        <w:t>6)).</w:t>
      </w:r>
    </w:p>
    <w:p w:rsidR="003B37BA" w:rsidRPr="00583E1A" w:rsidRDefault="003B37BA" w:rsidP="003B37BA">
      <w:pPr>
        <w:pStyle w:val="SubsectionHead"/>
      </w:pPr>
      <w:r w:rsidRPr="00583E1A">
        <w:t>Entity may choose to recognise the item as an intangible asset</w:t>
      </w:r>
    </w:p>
    <w:p w:rsidR="003B37BA" w:rsidRPr="00583E1A" w:rsidRDefault="003B37BA" w:rsidP="003B37BA">
      <w:pPr>
        <w:pStyle w:val="subsection"/>
      </w:pPr>
      <w:r w:rsidRPr="00583E1A">
        <w:tab/>
        <w:t>(2)</w:t>
      </w:r>
      <w:r w:rsidRPr="00583E1A">
        <w:tab/>
        <w:t>Despite subsections 820</w:t>
      </w:r>
      <w:r w:rsidR="00583E1A">
        <w:noBreakHyphen/>
      </w:r>
      <w:r w:rsidRPr="00583E1A">
        <w:t>680(1) and (1A), the entity may choose to recognise the item as such an asset for a period for the purposes of this Division (other than section</w:t>
      </w:r>
      <w:r w:rsidR="00583E1A">
        <w:t> </w:t>
      </w:r>
      <w:r w:rsidRPr="00583E1A">
        <w:t>820</w:t>
      </w:r>
      <w:r w:rsidR="00583E1A">
        <w:noBreakHyphen/>
      </w:r>
      <w:r w:rsidRPr="00583E1A">
        <w:t>960).</w:t>
      </w:r>
    </w:p>
    <w:p w:rsidR="003B37BA" w:rsidRPr="00583E1A" w:rsidRDefault="003B37BA" w:rsidP="003B37BA">
      <w:pPr>
        <w:pStyle w:val="notetext"/>
      </w:pPr>
      <w:r w:rsidRPr="00583E1A">
        <w:t>Note:</w:t>
      </w:r>
      <w:r w:rsidRPr="00583E1A">
        <w:tab/>
        <w:t>Section</w:t>
      </w:r>
      <w:r w:rsidR="00583E1A">
        <w:t> </w:t>
      </w:r>
      <w:r w:rsidRPr="00583E1A">
        <w:t>820</w:t>
      </w:r>
      <w:r w:rsidR="00583E1A">
        <w:noBreakHyphen/>
      </w:r>
      <w:r w:rsidRPr="00583E1A">
        <w:t>960 is about records for Australian permanent establishments.</w:t>
      </w:r>
    </w:p>
    <w:p w:rsidR="003B37BA" w:rsidRPr="00583E1A" w:rsidRDefault="003B37BA" w:rsidP="00F42B5E">
      <w:pPr>
        <w:pStyle w:val="subsection"/>
        <w:keepNext/>
        <w:keepLines/>
      </w:pPr>
      <w:r w:rsidRPr="00583E1A">
        <w:lastRenderedPageBreak/>
        <w:tab/>
        <w:t>(3)</w:t>
      </w:r>
      <w:r w:rsidRPr="00583E1A">
        <w:tab/>
        <w:t xml:space="preserve">A choice under </w:t>
      </w:r>
      <w:r w:rsidR="00583E1A">
        <w:t>subsection (</w:t>
      </w:r>
      <w:r w:rsidRPr="00583E1A">
        <w:t>2):</w:t>
      </w:r>
    </w:p>
    <w:p w:rsidR="003B37BA" w:rsidRPr="00583E1A" w:rsidRDefault="003B37BA" w:rsidP="00F42B5E">
      <w:pPr>
        <w:pStyle w:val="paragraph"/>
        <w:keepNext/>
        <w:keepLines/>
      </w:pPr>
      <w:r w:rsidRPr="00583E1A">
        <w:tab/>
        <w:t>(a)</w:t>
      </w:r>
      <w:r w:rsidRPr="00583E1A">
        <w:tab/>
        <w:t>must be in writing and may cover more than one item; and</w:t>
      </w:r>
    </w:p>
    <w:p w:rsidR="003B37BA" w:rsidRPr="00583E1A" w:rsidRDefault="003B37BA" w:rsidP="003B37BA">
      <w:pPr>
        <w:pStyle w:val="paragraph"/>
      </w:pPr>
      <w:r w:rsidRPr="00583E1A">
        <w:tab/>
        <w:t>(b)</w:t>
      </w:r>
      <w:r w:rsidRPr="00583E1A">
        <w:tab/>
        <w:t xml:space="preserve">must be made before the due day for lodging the entity’s </w:t>
      </w:r>
      <w:r w:rsidR="00583E1A" w:rsidRPr="00583E1A">
        <w:rPr>
          <w:position w:val="6"/>
          <w:sz w:val="16"/>
        </w:rPr>
        <w:t>*</w:t>
      </w:r>
      <w:r w:rsidRPr="00583E1A">
        <w:t>income tax return for the income year that is, or that includes, the period; and</w:t>
      </w:r>
    </w:p>
    <w:p w:rsidR="003B37BA" w:rsidRPr="00583E1A" w:rsidRDefault="003B37BA" w:rsidP="003B37BA">
      <w:pPr>
        <w:pStyle w:val="paragraph"/>
      </w:pPr>
      <w:r w:rsidRPr="00583E1A">
        <w:tab/>
        <w:t>(c)</w:t>
      </w:r>
      <w:r w:rsidRPr="00583E1A">
        <w:tab/>
        <w:t xml:space="preserve">subject to </w:t>
      </w:r>
      <w:r w:rsidR="00583E1A">
        <w:t>subsection (</w:t>
      </w:r>
      <w:r w:rsidRPr="00583E1A">
        <w:t>4), has effect, for the entity and the item, for the period and each later period.</w:t>
      </w:r>
    </w:p>
    <w:p w:rsidR="003B37BA" w:rsidRPr="00583E1A" w:rsidRDefault="003B37BA" w:rsidP="003B37BA">
      <w:pPr>
        <w:pStyle w:val="subsection"/>
      </w:pPr>
      <w:r w:rsidRPr="00583E1A">
        <w:tab/>
        <w:t>(4)</w:t>
      </w:r>
      <w:r w:rsidRPr="00583E1A">
        <w:tab/>
        <w:t xml:space="preserve">The entity may, in writing, revoke a choice under </w:t>
      </w:r>
      <w:r w:rsidR="00583E1A">
        <w:t>subsection (</w:t>
      </w:r>
      <w:r w:rsidRPr="00583E1A">
        <w:t>2). The revocation has effect:</w:t>
      </w:r>
    </w:p>
    <w:p w:rsidR="003B37BA" w:rsidRPr="00583E1A" w:rsidRDefault="003B37BA" w:rsidP="003B37BA">
      <w:pPr>
        <w:pStyle w:val="paragraph"/>
      </w:pPr>
      <w:r w:rsidRPr="00583E1A">
        <w:tab/>
        <w:t>(a)</w:t>
      </w:r>
      <w:r w:rsidRPr="00583E1A">
        <w:tab/>
        <w:t xml:space="preserve">for each period in the income year for which the entity is next required to lodge an </w:t>
      </w:r>
      <w:r w:rsidR="00583E1A" w:rsidRPr="00583E1A">
        <w:rPr>
          <w:position w:val="6"/>
          <w:sz w:val="16"/>
        </w:rPr>
        <w:t>*</w:t>
      </w:r>
      <w:r w:rsidRPr="00583E1A">
        <w:t>income tax return; and</w:t>
      </w:r>
    </w:p>
    <w:p w:rsidR="003B37BA" w:rsidRPr="00583E1A" w:rsidRDefault="003B37BA" w:rsidP="003B37BA">
      <w:pPr>
        <w:pStyle w:val="paragraph"/>
      </w:pPr>
      <w:r w:rsidRPr="00583E1A">
        <w:tab/>
        <w:t>(b)</w:t>
      </w:r>
      <w:r w:rsidRPr="00583E1A">
        <w:tab/>
        <w:t>for each later period.</w:t>
      </w:r>
    </w:p>
    <w:p w:rsidR="003B37BA" w:rsidRPr="00583E1A" w:rsidRDefault="003B37BA" w:rsidP="003B37BA">
      <w:pPr>
        <w:pStyle w:val="subsection"/>
      </w:pPr>
      <w:r w:rsidRPr="00583E1A">
        <w:tab/>
        <w:t>(5)</w:t>
      </w:r>
      <w:r w:rsidRPr="00583E1A">
        <w:tab/>
        <w:t>When:</w:t>
      </w:r>
    </w:p>
    <w:p w:rsidR="003B37BA" w:rsidRPr="00583E1A" w:rsidRDefault="003B37BA" w:rsidP="003B37BA">
      <w:pPr>
        <w:pStyle w:val="paragraph"/>
      </w:pPr>
      <w:r w:rsidRPr="00583E1A">
        <w:tab/>
        <w:t>(a)</w:t>
      </w:r>
      <w:r w:rsidRPr="00583E1A">
        <w:tab/>
        <w:t>recognising an item as an asset under this section; and</w:t>
      </w:r>
    </w:p>
    <w:p w:rsidR="003B37BA" w:rsidRPr="00583E1A" w:rsidRDefault="003B37BA" w:rsidP="003B37BA">
      <w:pPr>
        <w:pStyle w:val="paragraph"/>
      </w:pPr>
      <w:r w:rsidRPr="00583E1A">
        <w:tab/>
        <w:t>(b)</w:t>
      </w:r>
      <w:r w:rsidRPr="00583E1A">
        <w:tab/>
        <w:t>calculating the value of the asset (including revaluing the asset);</w:t>
      </w:r>
    </w:p>
    <w:p w:rsidR="003B37BA" w:rsidRPr="00583E1A" w:rsidRDefault="003B37BA" w:rsidP="003B37BA">
      <w:pPr>
        <w:pStyle w:val="subsection2"/>
      </w:pPr>
      <w:r w:rsidRPr="00583E1A">
        <w:t xml:space="preserve">the entity must, to the maximum extent possible, comply with the </w:t>
      </w:r>
      <w:r w:rsidR="00583E1A" w:rsidRPr="00583E1A">
        <w:rPr>
          <w:position w:val="6"/>
          <w:sz w:val="16"/>
        </w:rPr>
        <w:t>*</w:t>
      </w:r>
      <w:r w:rsidRPr="00583E1A">
        <w:t>accounting standards as if the recognition were allowed by those standards. This subsection has effect subject to section</w:t>
      </w:r>
      <w:r w:rsidR="00583E1A">
        <w:t> </w:t>
      </w:r>
      <w:r w:rsidRPr="00583E1A">
        <w:t>820</w:t>
      </w:r>
      <w:r w:rsidR="00583E1A">
        <w:noBreakHyphen/>
      </w:r>
      <w:r w:rsidRPr="00583E1A">
        <w:t>684.</w:t>
      </w:r>
    </w:p>
    <w:p w:rsidR="003B37BA" w:rsidRPr="00583E1A" w:rsidRDefault="003B37BA" w:rsidP="003B37BA">
      <w:pPr>
        <w:pStyle w:val="notetext"/>
      </w:pPr>
      <w:r w:rsidRPr="00583E1A">
        <w:t>Note:</w:t>
      </w:r>
      <w:r w:rsidRPr="00583E1A">
        <w:tab/>
        <w:t>Section</w:t>
      </w:r>
      <w:r w:rsidR="00583E1A">
        <w:t> </w:t>
      </w:r>
      <w:r w:rsidRPr="00583E1A">
        <w:t>820</w:t>
      </w:r>
      <w:r w:rsidR="00583E1A">
        <w:noBreakHyphen/>
      </w:r>
      <w:r w:rsidRPr="00583E1A">
        <w:t>684 will allow the entity to revalue the asset even if accounting standard AASB 138 would prevent this because of the absence of an active market.</w:t>
      </w:r>
    </w:p>
    <w:p w:rsidR="003B37BA" w:rsidRPr="00583E1A" w:rsidRDefault="003B37BA" w:rsidP="003B37BA">
      <w:pPr>
        <w:pStyle w:val="SubsectionHead"/>
      </w:pPr>
      <w:r w:rsidRPr="00583E1A">
        <w:t>Choice not available to ADIs</w:t>
      </w:r>
    </w:p>
    <w:p w:rsidR="003B37BA" w:rsidRPr="00583E1A" w:rsidRDefault="003B37BA" w:rsidP="003B37BA">
      <w:pPr>
        <w:pStyle w:val="subsection"/>
      </w:pPr>
      <w:r w:rsidRPr="00583E1A">
        <w:tab/>
        <w:t>(6)</w:t>
      </w:r>
      <w:r w:rsidRPr="00583E1A">
        <w:tab/>
        <w:t xml:space="preserve">An entity cannot make a choice under </w:t>
      </w:r>
      <w:r w:rsidR="00583E1A">
        <w:t>subsection (</w:t>
      </w:r>
      <w:r w:rsidRPr="00583E1A">
        <w:t xml:space="preserve">2) for a period if, for the period, the entity is an </w:t>
      </w:r>
      <w:r w:rsidR="00583E1A" w:rsidRPr="00583E1A">
        <w:rPr>
          <w:position w:val="6"/>
          <w:sz w:val="16"/>
        </w:rPr>
        <w:t>*</w:t>
      </w:r>
      <w:r w:rsidRPr="00583E1A">
        <w:t xml:space="preserve">outward investing entity (ADI) or an </w:t>
      </w:r>
      <w:r w:rsidR="00583E1A" w:rsidRPr="00583E1A">
        <w:rPr>
          <w:position w:val="6"/>
          <w:sz w:val="16"/>
        </w:rPr>
        <w:t>*</w:t>
      </w:r>
      <w:r w:rsidRPr="00583E1A">
        <w:t>inward investing entity (ADI).</w:t>
      </w:r>
    </w:p>
    <w:p w:rsidR="003B37BA" w:rsidRPr="00583E1A" w:rsidRDefault="003B37BA" w:rsidP="003B37BA">
      <w:pPr>
        <w:pStyle w:val="ActHead5"/>
      </w:pPr>
      <w:bookmarkStart w:id="273" w:name="_Toc338939347"/>
      <w:r w:rsidRPr="00583E1A">
        <w:rPr>
          <w:rStyle w:val="CharSectno"/>
        </w:rPr>
        <w:t>820</w:t>
      </w:r>
      <w:r w:rsidR="00583E1A">
        <w:rPr>
          <w:rStyle w:val="CharSectno"/>
        </w:rPr>
        <w:noBreakHyphen/>
      </w:r>
      <w:r w:rsidRPr="00583E1A">
        <w:rPr>
          <w:rStyle w:val="CharSectno"/>
        </w:rPr>
        <w:t>684</w:t>
      </w:r>
      <w:r w:rsidRPr="00583E1A">
        <w:t xml:space="preserve">  Valuation of intangible assets if no active market—modifying application of accounting standards</w:t>
      </w:r>
      <w:bookmarkEnd w:id="273"/>
    </w:p>
    <w:p w:rsidR="003B37BA" w:rsidRPr="00583E1A" w:rsidRDefault="003B37BA" w:rsidP="003B37BA">
      <w:pPr>
        <w:pStyle w:val="SubsectionHead"/>
      </w:pPr>
      <w:r w:rsidRPr="00583E1A">
        <w:t>Accounting standards prevent revaluation of some assets</w:t>
      </w:r>
    </w:p>
    <w:p w:rsidR="003B37BA" w:rsidRPr="00583E1A" w:rsidRDefault="003B37BA" w:rsidP="003B37BA">
      <w:pPr>
        <w:pStyle w:val="subsection"/>
      </w:pPr>
      <w:r w:rsidRPr="00583E1A">
        <w:tab/>
        <w:t>(1)</w:t>
      </w:r>
      <w:r w:rsidRPr="00583E1A">
        <w:tab/>
      </w:r>
      <w:r w:rsidR="00583E1A">
        <w:t>Subsection (</w:t>
      </w:r>
      <w:r w:rsidRPr="00583E1A">
        <w:t xml:space="preserve">2) applies if complying with </w:t>
      </w:r>
      <w:r w:rsidR="00583E1A" w:rsidRPr="00583E1A">
        <w:rPr>
          <w:position w:val="6"/>
          <w:sz w:val="16"/>
        </w:rPr>
        <w:t>*</w:t>
      </w:r>
      <w:r w:rsidRPr="00583E1A">
        <w:t>accounting standard AASB 138 would prevent an entity from revaluing an intangible asset (within the meaning of that standard) because of the absence of an active market (within the meaning of that standard).</w:t>
      </w:r>
    </w:p>
    <w:p w:rsidR="003B37BA" w:rsidRPr="00583E1A" w:rsidRDefault="003B37BA" w:rsidP="003B37BA">
      <w:pPr>
        <w:pStyle w:val="notetext"/>
      </w:pPr>
      <w:r w:rsidRPr="00583E1A">
        <w:lastRenderedPageBreak/>
        <w:t>Note 1:</w:t>
      </w:r>
      <w:r w:rsidRPr="00583E1A">
        <w:tab/>
        <w:t>As a general rule, an entity must comply with the accounting standards when revaluing its assets for the purposes of this Division (see subsection 820</w:t>
      </w:r>
      <w:r w:rsidR="00583E1A">
        <w:noBreakHyphen/>
      </w:r>
      <w:r w:rsidRPr="00583E1A">
        <w:t>680(1)).</w:t>
      </w:r>
    </w:p>
    <w:p w:rsidR="003B37BA" w:rsidRPr="00583E1A" w:rsidRDefault="003B37BA" w:rsidP="003B37BA">
      <w:pPr>
        <w:pStyle w:val="notetext"/>
      </w:pPr>
      <w:r w:rsidRPr="00583E1A">
        <w:t>Note 2:</w:t>
      </w:r>
      <w:r w:rsidRPr="00583E1A">
        <w:tab/>
        <w:t xml:space="preserve">This section does not apply to ADIs (see </w:t>
      </w:r>
      <w:r w:rsidR="00583E1A">
        <w:t>subsection (</w:t>
      </w:r>
      <w:r w:rsidRPr="00583E1A">
        <w:t>7)).</w:t>
      </w:r>
    </w:p>
    <w:p w:rsidR="003B37BA" w:rsidRPr="00583E1A" w:rsidRDefault="003B37BA" w:rsidP="003B37BA">
      <w:pPr>
        <w:pStyle w:val="SubsectionHead"/>
      </w:pPr>
      <w:r w:rsidRPr="00583E1A">
        <w:t>Entity may choose to revalue the asset</w:t>
      </w:r>
    </w:p>
    <w:p w:rsidR="003B37BA" w:rsidRPr="00583E1A" w:rsidRDefault="003B37BA" w:rsidP="003B37BA">
      <w:pPr>
        <w:pStyle w:val="subsection"/>
      </w:pPr>
      <w:r w:rsidRPr="00583E1A">
        <w:tab/>
        <w:t>(2)</w:t>
      </w:r>
      <w:r w:rsidRPr="00583E1A">
        <w:tab/>
        <w:t>Despite subsection 820</w:t>
      </w:r>
      <w:r w:rsidR="00583E1A">
        <w:noBreakHyphen/>
      </w:r>
      <w:r w:rsidRPr="00583E1A">
        <w:t>680(1), the entity may choose to revalue the asset for a period for the purposes of this Division (other than section</w:t>
      </w:r>
      <w:r w:rsidR="00583E1A">
        <w:t> </w:t>
      </w:r>
      <w:r w:rsidRPr="00583E1A">
        <w:t>820</w:t>
      </w:r>
      <w:r w:rsidR="00583E1A">
        <w:noBreakHyphen/>
      </w:r>
      <w:r w:rsidRPr="00583E1A">
        <w:t>960).</w:t>
      </w:r>
    </w:p>
    <w:p w:rsidR="003B37BA" w:rsidRPr="00583E1A" w:rsidRDefault="003B37BA" w:rsidP="003B37BA">
      <w:pPr>
        <w:pStyle w:val="notetext"/>
      </w:pPr>
      <w:r w:rsidRPr="00583E1A">
        <w:t>Note:</w:t>
      </w:r>
      <w:r w:rsidRPr="00583E1A">
        <w:tab/>
        <w:t>Section</w:t>
      </w:r>
      <w:r w:rsidR="00583E1A">
        <w:t> </w:t>
      </w:r>
      <w:r w:rsidRPr="00583E1A">
        <w:t>820</w:t>
      </w:r>
      <w:r w:rsidR="00583E1A">
        <w:noBreakHyphen/>
      </w:r>
      <w:r w:rsidRPr="00583E1A">
        <w:t>960 is about records for Australian permanent establishments.</w:t>
      </w:r>
    </w:p>
    <w:p w:rsidR="003B37BA" w:rsidRPr="00583E1A" w:rsidRDefault="003B37BA" w:rsidP="003B37BA">
      <w:pPr>
        <w:pStyle w:val="subsection"/>
      </w:pPr>
      <w:r w:rsidRPr="00583E1A">
        <w:tab/>
        <w:t>(3)</w:t>
      </w:r>
      <w:r w:rsidRPr="00583E1A">
        <w:tab/>
        <w:t xml:space="preserve">A choice under </w:t>
      </w:r>
      <w:r w:rsidR="00583E1A">
        <w:t>subsection (</w:t>
      </w:r>
      <w:r w:rsidRPr="00583E1A">
        <w:t>2):</w:t>
      </w:r>
    </w:p>
    <w:p w:rsidR="003B37BA" w:rsidRPr="00583E1A" w:rsidRDefault="003B37BA" w:rsidP="003B37BA">
      <w:pPr>
        <w:pStyle w:val="paragraph"/>
      </w:pPr>
      <w:r w:rsidRPr="00583E1A">
        <w:tab/>
        <w:t>(a)</w:t>
      </w:r>
      <w:r w:rsidRPr="00583E1A">
        <w:tab/>
        <w:t>must be in writing and may cover more than one asset; and</w:t>
      </w:r>
    </w:p>
    <w:p w:rsidR="003B37BA" w:rsidRPr="00583E1A" w:rsidRDefault="003B37BA" w:rsidP="003B37BA">
      <w:pPr>
        <w:pStyle w:val="paragraph"/>
      </w:pPr>
      <w:r w:rsidRPr="00583E1A">
        <w:tab/>
        <w:t>(b)</w:t>
      </w:r>
      <w:r w:rsidRPr="00583E1A">
        <w:tab/>
        <w:t xml:space="preserve">must be made before the due day for lodging the entity’s </w:t>
      </w:r>
      <w:r w:rsidR="00583E1A" w:rsidRPr="00583E1A">
        <w:rPr>
          <w:position w:val="6"/>
          <w:sz w:val="16"/>
        </w:rPr>
        <w:t>*</w:t>
      </w:r>
      <w:r w:rsidRPr="00583E1A">
        <w:t>income tax return for the income year that is, or that includes, the period; and</w:t>
      </w:r>
    </w:p>
    <w:p w:rsidR="003B37BA" w:rsidRPr="00583E1A" w:rsidRDefault="003B37BA" w:rsidP="003B37BA">
      <w:pPr>
        <w:pStyle w:val="paragraph"/>
      </w:pPr>
      <w:r w:rsidRPr="00583E1A">
        <w:tab/>
        <w:t>(c)</w:t>
      </w:r>
      <w:r w:rsidRPr="00583E1A">
        <w:tab/>
        <w:t xml:space="preserve">subject to </w:t>
      </w:r>
      <w:r w:rsidR="00583E1A">
        <w:t>subsection (</w:t>
      </w:r>
      <w:r w:rsidRPr="00583E1A">
        <w:t>4), has effect, for the entity and the item, for the period and each later period.</w:t>
      </w:r>
    </w:p>
    <w:p w:rsidR="003B37BA" w:rsidRPr="00583E1A" w:rsidRDefault="003B37BA" w:rsidP="003B37BA">
      <w:pPr>
        <w:pStyle w:val="subsection"/>
      </w:pPr>
      <w:r w:rsidRPr="00583E1A">
        <w:tab/>
        <w:t>(4)</w:t>
      </w:r>
      <w:r w:rsidRPr="00583E1A">
        <w:tab/>
        <w:t xml:space="preserve">The entity may, in writing, revoke a choice under </w:t>
      </w:r>
      <w:r w:rsidR="00583E1A">
        <w:t>subsection (</w:t>
      </w:r>
      <w:r w:rsidRPr="00583E1A">
        <w:t>2). The revocation has effect:</w:t>
      </w:r>
    </w:p>
    <w:p w:rsidR="003B37BA" w:rsidRPr="00583E1A" w:rsidRDefault="003B37BA" w:rsidP="003B37BA">
      <w:pPr>
        <w:pStyle w:val="paragraph"/>
      </w:pPr>
      <w:r w:rsidRPr="00583E1A">
        <w:tab/>
        <w:t>(a)</w:t>
      </w:r>
      <w:r w:rsidRPr="00583E1A">
        <w:tab/>
        <w:t xml:space="preserve">for each period in the income year for which the entity is next required to lodge an </w:t>
      </w:r>
      <w:r w:rsidR="00583E1A" w:rsidRPr="00583E1A">
        <w:rPr>
          <w:position w:val="6"/>
          <w:sz w:val="16"/>
        </w:rPr>
        <w:t>*</w:t>
      </w:r>
      <w:r w:rsidRPr="00583E1A">
        <w:t>income tax return; and</w:t>
      </w:r>
    </w:p>
    <w:p w:rsidR="003B37BA" w:rsidRPr="00583E1A" w:rsidRDefault="003B37BA" w:rsidP="003B37BA">
      <w:pPr>
        <w:pStyle w:val="paragraph"/>
      </w:pPr>
      <w:r w:rsidRPr="00583E1A">
        <w:tab/>
        <w:t>(b)</w:t>
      </w:r>
      <w:r w:rsidRPr="00583E1A">
        <w:tab/>
        <w:t>for each later period.</w:t>
      </w:r>
    </w:p>
    <w:p w:rsidR="003B37BA" w:rsidRPr="00583E1A" w:rsidRDefault="003B37BA" w:rsidP="003B37BA">
      <w:pPr>
        <w:pStyle w:val="SubsectionHead"/>
      </w:pPr>
      <w:r w:rsidRPr="00583E1A">
        <w:t>Requirements for such revaluations</w:t>
      </w:r>
    </w:p>
    <w:p w:rsidR="003B37BA" w:rsidRPr="00583E1A" w:rsidRDefault="003B37BA" w:rsidP="003B37BA">
      <w:pPr>
        <w:pStyle w:val="subsection"/>
      </w:pPr>
      <w:r w:rsidRPr="00583E1A">
        <w:tab/>
        <w:t>(5)</w:t>
      </w:r>
      <w:r w:rsidRPr="00583E1A">
        <w:tab/>
        <w:t>Subsections 820</w:t>
      </w:r>
      <w:r w:rsidR="00583E1A">
        <w:noBreakHyphen/>
      </w:r>
      <w:r w:rsidRPr="00583E1A">
        <w:t xml:space="preserve">680(2) and (2B) apply in relation to a revaluation under </w:t>
      </w:r>
      <w:r w:rsidR="00583E1A">
        <w:t>subsection (</w:t>
      </w:r>
      <w:r w:rsidRPr="00583E1A">
        <w:t>2) in a corresponding way to the way they apply in relation to a revaluation mentioned in paragraph 820</w:t>
      </w:r>
      <w:r w:rsidR="00583E1A">
        <w:noBreakHyphen/>
      </w:r>
      <w:r w:rsidRPr="00583E1A">
        <w:t>680(1)(a).</w:t>
      </w:r>
    </w:p>
    <w:p w:rsidR="003B37BA" w:rsidRPr="00583E1A" w:rsidRDefault="003B37BA" w:rsidP="003B37BA">
      <w:pPr>
        <w:pStyle w:val="notetext"/>
      </w:pPr>
      <w:r w:rsidRPr="00583E1A">
        <w:t>Note 1:</w:t>
      </w:r>
      <w:r w:rsidRPr="00583E1A">
        <w:tab/>
        <w:t>Subsections 820</w:t>
      </w:r>
      <w:r w:rsidR="00583E1A">
        <w:noBreakHyphen/>
      </w:r>
      <w:r w:rsidRPr="00583E1A">
        <w:t>680(2) and (2B) set out requirements and other matters in relation to revaluations under subsection 820</w:t>
      </w:r>
      <w:r w:rsidR="00583E1A">
        <w:noBreakHyphen/>
      </w:r>
      <w:r w:rsidRPr="00583E1A">
        <w:t>680(1).</w:t>
      </w:r>
    </w:p>
    <w:p w:rsidR="003B37BA" w:rsidRPr="00583E1A" w:rsidRDefault="003B37BA" w:rsidP="003B37BA">
      <w:pPr>
        <w:pStyle w:val="notetext"/>
      </w:pPr>
      <w:r w:rsidRPr="00583E1A">
        <w:t>Note 2:</w:t>
      </w:r>
      <w:r w:rsidRPr="00583E1A">
        <w:tab/>
        <w:t>The entity must also keep records in accordance with section</w:t>
      </w:r>
      <w:r w:rsidR="00583E1A">
        <w:t> </w:t>
      </w:r>
      <w:r w:rsidRPr="00583E1A">
        <w:t>820</w:t>
      </w:r>
      <w:r w:rsidR="00583E1A">
        <w:noBreakHyphen/>
      </w:r>
      <w:r w:rsidRPr="00583E1A">
        <w:t>985 about the revaluation.</w:t>
      </w:r>
    </w:p>
    <w:p w:rsidR="003B37BA" w:rsidRPr="00583E1A" w:rsidRDefault="003B37BA" w:rsidP="003B37BA">
      <w:pPr>
        <w:pStyle w:val="subsection"/>
        <w:rPr>
          <w:b/>
        </w:rPr>
      </w:pPr>
      <w:r w:rsidRPr="00583E1A">
        <w:tab/>
        <w:t>(6)</w:t>
      </w:r>
      <w:r w:rsidRPr="00583E1A">
        <w:tab/>
        <w:t xml:space="preserve">When revaluing an asset under </w:t>
      </w:r>
      <w:r w:rsidR="00583E1A">
        <w:t>subsection (</w:t>
      </w:r>
      <w:r w:rsidRPr="00583E1A">
        <w:t xml:space="preserve">2), the entity must, to the maximum extent possible, comply with the </w:t>
      </w:r>
      <w:r w:rsidR="00583E1A" w:rsidRPr="00583E1A">
        <w:rPr>
          <w:position w:val="6"/>
          <w:sz w:val="16"/>
        </w:rPr>
        <w:t>*</w:t>
      </w:r>
      <w:r w:rsidRPr="00583E1A">
        <w:t>accounting standards as if the revaluation were allowed by those standards.</w:t>
      </w:r>
    </w:p>
    <w:p w:rsidR="003B37BA" w:rsidRPr="00583E1A" w:rsidRDefault="003B37BA" w:rsidP="003B37BA">
      <w:pPr>
        <w:pStyle w:val="SubsectionHead"/>
      </w:pPr>
      <w:r w:rsidRPr="00583E1A">
        <w:lastRenderedPageBreak/>
        <w:t>Choice not available to ADIs</w:t>
      </w:r>
    </w:p>
    <w:p w:rsidR="003B37BA" w:rsidRPr="00583E1A" w:rsidRDefault="003B37BA" w:rsidP="003B37BA">
      <w:pPr>
        <w:pStyle w:val="subsection"/>
      </w:pPr>
      <w:r w:rsidRPr="00583E1A">
        <w:tab/>
        <w:t>(7)</w:t>
      </w:r>
      <w:r w:rsidRPr="00583E1A">
        <w:tab/>
        <w:t xml:space="preserve">An entity cannot make a choice under </w:t>
      </w:r>
      <w:r w:rsidR="00583E1A">
        <w:t>subsection (</w:t>
      </w:r>
      <w:r w:rsidRPr="00583E1A">
        <w:t xml:space="preserve">2) for a period if, for the period, the entity is an </w:t>
      </w:r>
      <w:r w:rsidR="00583E1A" w:rsidRPr="00583E1A">
        <w:rPr>
          <w:position w:val="6"/>
          <w:sz w:val="16"/>
        </w:rPr>
        <w:t>*</w:t>
      </w:r>
      <w:r w:rsidRPr="00583E1A">
        <w:t xml:space="preserve">outward investing entity (ADI) or an </w:t>
      </w:r>
      <w:r w:rsidR="00583E1A" w:rsidRPr="00583E1A">
        <w:rPr>
          <w:position w:val="6"/>
          <w:sz w:val="16"/>
        </w:rPr>
        <w:t>*</w:t>
      </w:r>
      <w:r w:rsidRPr="00583E1A">
        <w:t>inward investing entity (ADI).</w:t>
      </w:r>
    </w:p>
    <w:p w:rsidR="00887330" w:rsidRPr="00583E1A" w:rsidRDefault="00887330" w:rsidP="00887330">
      <w:pPr>
        <w:pStyle w:val="ActHead5"/>
      </w:pPr>
      <w:bookmarkStart w:id="274" w:name="_Toc338939348"/>
      <w:r w:rsidRPr="00583E1A">
        <w:rPr>
          <w:rStyle w:val="CharSectno"/>
        </w:rPr>
        <w:t>820</w:t>
      </w:r>
      <w:r w:rsidR="00583E1A">
        <w:rPr>
          <w:rStyle w:val="CharSectno"/>
        </w:rPr>
        <w:noBreakHyphen/>
      </w:r>
      <w:r w:rsidRPr="00583E1A">
        <w:rPr>
          <w:rStyle w:val="CharSectno"/>
        </w:rPr>
        <w:t>685</w:t>
      </w:r>
      <w:r w:rsidRPr="00583E1A">
        <w:t xml:space="preserve">  Valuation of debt capital</w:t>
      </w:r>
      <w:bookmarkEnd w:id="274"/>
    </w:p>
    <w:p w:rsidR="00887330" w:rsidRPr="00583E1A" w:rsidRDefault="00887330" w:rsidP="00887330">
      <w:pPr>
        <w:pStyle w:val="subsection"/>
      </w:pPr>
      <w:r w:rsidRPr="00583E1A">
        <w:tab/>
      </w:r>
      <w:r w:rsidRPr="00583E1A">
        <w:tab/>
        <w:t xml:space="preserve">For the purposes of this Division, the regulations may make additional provisions for the valuation of the </w:t>
      </w:r>
      <w:r w:rsidR="00583E1A" w:rsidRPr="00583E1A">
        <w:rPr>
          <w:position w:val="6"/>
          <w:sz w:val="16"/>
        </w:rPr>
        <w:t>*</w:t>
      </w:r>
      <w:r w:rsidRPr="00583E1A">
        <w:t>debt capital of an entity.</w:t>
      </w:r>
    </w:p>
    <w:p w:rsidR="00887330" w:rsidRPr="00583E1A" w:rsidRDefault="00887330" w:rsidP="00887330">
      <w:pPr>
        <w:pStyle w:val="ActHead5"/>
      </w:pPr>
      <w:bookmarkStart w:id="275" w:name="_Toc338939349"/>
      <w:r w:rsidRPr="00583E1A">
        <w:rPr>
          <w:rStyle w:val="CharSectno"/>
        </w:rPr>
        <w:t>820</w:t>
      </w:r>
      <w:r w:rsidR="00583E1A">
        <w:rPr>
          <w:rStyle w:val="CharSectno"/>
        </w:rPr>
        <w:noBreakHyphen/>
      </w:r>
      <w:r w:rsidRPr="00583E1A">
        <w:rPr>
          <w:rStyle w:val="CharSectno"/>
        </w:rPr>
        <w:t>690</w:t>
      </w:r>
      <w:r w:rsidRPr="00583E1A">
        <w:t xml:space="preserve">  Commissioner’s power</w:t>
      </w:r>
      <w:bookmarkEnd w:id="275"/>
    </w:p>
    <w:p w:rsidR="00887330" w:rsidRPr="00583E1A" w:rsidRDefault="00887330" w:rsidP="00887330">
      <w:pPr>
        <w:pStyle w:val="subsection"/>
      </w:pPr>
      <w:r w:rsidRPr="00583E1A">
        <w:tab/>
      </w:r>
      <w:r w:rsidRPr="00583E1A">
        <w:tab/>
        <w:t>If the Commissioner considers that, in relation to a calculation under this Division, an entity has:</w:t>
      </w:r>
    </w:p>
    <w:p w:rsidR="00887330" w:rsidRPr="00583E1A" w:rsidRDefault="00887330" w:rsidP="00887330">
      <w:pPr>
        <w:pStyle w:val="paragraph"/>
      </w:pPr>
      <w:r w:rsidRPr="00583E1A">
        <w:tab/>
        <w:t>(a)</w:t>
      </w:r>
      <w:r w:rsidRPr="00583E1A">
        <w:tab/>
        <w:t>overvalued its assets; or</w:t>
      </w:r>
    </w:p>
    <w:p w:rsidR="00887330" w:rsidRPr="00583E1A" w:rsidRDefault="00887330" w:rsidP="00887330">
      <w:pPr>
        <w:pStyle w:val="paragraph"/>
      </w:pPr>
      <w:r w:rsidRPr="00583E1A">
        <w:tab/>
        <w:t>(b)</w:t>
      </w:r>
      <w:r w:rsidRPr="00583E1A">
        <w:tab/>
        <w:t xml:space="preserve">undervalued its liabilities (including its </w:t>
      </w:r>
      <w:r w:rsidR="00583E1A" w:rsidRPr="00583E1A">
        <w:rPr>
          <w:position w:val="6"/>
          <w:sz w:val="16"/>
        </w:rPr>
        <w:t>*</w:t>
      </w:r>
      <w:r w:rsidRPr="00583E1A">
        <w:t>debt capital);</w:t>
      </w:r>
    </w:p>
    <w:p w:rsidR="00887330" w:rsidRPr="00583E1A" w:rsidRDefault="00887330" w:rsidP="00887330">
      <w:pPr>
        <w:pStyle w:val="subsection2"/>
      </w:pPr>
      <w:r w:rsidRPr="00583E1A">
        <w:t xml:space="preserve">the Commissioner may, having regard to the </w:t>
      </w:r>
      <w:r w:rsidR="00583E1A" w:rsidRPr="00583E1A">
        <w:rPr>
          <w:position w:val="6"/>
          <w:sz w:val="16"/>
        </w:rPr>
        <w:t>*</w:t>
      </w:r>
      <w:r w:rsidRPr="00583E1A">
        <w:t>accounting standards</w:t>
      </w:r>
      <w:r w:rsidR="003B37BA" w:rsidRPr="00583E1A">
        <w:t xml:space="preserve"> and this Subdivision</w:t>
      </w:r>
      <w:r w:rsidRPr="00583E1A">
        <w:t>, substitute a value that the Commissioner considers is appropriate.</w:t>
      </w:r>
    </w:p>
    <w:p w:rsidR="00887330" w:rsidRPr="00583E1A" w:rsidRDefault="00887330" w:rsidP="00887330">
      <w:pPr>
        <w:pStyle w:val="ActHead4"/>
      </w:pPr>
      <w:bookmarkStart w:id="276" w:name="_Toc338939350"/>
      <w:r w:rsidRPr="00583E1A">
        <w:rPr>
          <w:rStyle w:val="CharSubdNo"/>
        </w:rPr>
        <w:t>Subdivision</w:t>
      </w:r>
      <w:r w:rsidR="00583E1A">
        <w:rPr>
          <w:rStyle w:val="CharSubdNo"/>
        </w:rPr>
        <w:t> </w:t>
      </w:r>
      <w:r w:rsidRPr="00583E1A">
        <w:rPr>
          <w:rStyle w:val="CharSubdNo"/>
        </w:rPr>
        <w:t>820</w:t>
      </w:r>
      <w:r w:rsidR="00583E1A">
        <w:rPr>
          <w:rStyle w:val="CharSubdNo"/>
        </w:rPr>
        <w:noBreakHyphen/>
      </w:r>
      <w:r w:rsidRPr="00583E1A">
        <w:rPr>
          <w:rStyle w:val="CharSubdNo"/>
        </w:rPr>
        <w:t>H</w:t>
      </w:r>
      <w:r w:rsidRPr="00583E1A">
        <w:t>—</w:t>
      </w:r>
      <w:r w:rsidRPr="00583E1A">
        <w:rPr>
          <w:rStyle w:val="CharSubdText"/>
        </w:rPr>
        <w:t>Control of entities</w:t>
      </w:r>
      <w:bookmarkEnd w:id="276"/>
    </w:p>
    <w:p w:rsidR="00887330" w:rsidRPr="00583E1A" w:rsidRDefault="00887330" w:rsidP="00887330">
      <w:pPr>
        <w:pStyle w:val="ActHead4"/>
      </w:pPr>
      <w:bookmarkStart w:id="277" w:name="_Toc338939351"/>
      <w:r w:rsidRPr="00583E1A">
        <w:t>Guide to Subdivision</w:t>
      </w:r>
      <w:r w:rsidR="00583E1A">
        <w:t> </w:t>
      </w:r>
      <w:r w:rsidRPr="00583E1A">
        <w:t>820</w:t>
      </w:r>
      <w:r w:rsidR="00583E1A">
        <w:noBreakHyphen/>
      </w:r>
      <w:r w:rsidRPr="00583E1A">
        <w:t>H</w:t>
      </w:r>
      <w:bookmarkEnd w:id="277"/>
    </w:p>
    <w:p w:rsidR="00887330" w:rsidRPr="00583E1A" w:rsidRDefault="00887330" w:rsidP="00887330">
      <w:pPr>
        <w:pStyle w:val="ActHead5"/>
      </w:pPr>
      <w:bookmarkStart w:id="278" w:name="_Toc338939352"/>
      <w:r w:rsidRPr="00583E1A">
        <w:rPr>
          <w:rStyle w:val="CharSectno"/>
        </w:rPr>
        <w:t>820</w:t>
      </w:r>
      <w:r w:rsidR="00583E1A">
        <w:rPr>
          <w:rStyle w:val="CharSectno"/>
        </w:rPr>
        <w:noBreakHyphen/>
      </w:r>
      <w:r w:rsidRPr="00583E1A">
        <w:rPr>
          <w:rStyle w:val="CharSectno"/>
        </w:rPr>
        <w:t>740</w:t>
      </w:r>
      <w:r w:rsidRPr="00583E1A">
        <w:t xml:space="preserve">  What this Subdivision is about</w:t>
      </w:r>
      <w:bookmarkEnd w:id="278"/>
    </w:p>
    <w:p w:rsidR="00887330" w:rsidRPr="00583E1A" w:rsidRDefault="00887330" w:rsidP="00887330">
      <w:pPr>
        <w:pStyle w:val="BoxText"/>
        <w:keepNext/>
        <w:keepLines/>
      </w:pPr>
      <w:r w:rsidRPr="00583E1A">
        <w:t>This Subdivision sets out rules about the following:</w:t>
      </w:r>
    </w:p>
    <w:p w:rsidR="00887330" w:rsidRPr="00583E1A" w:rsidRDefault="00887330" w:rsidP="00887330">
      <w:pPr>
        <w:pStyle w:val="BoxList"/>
        <w:keepNext/>
        <w:keepLines/>
      </w:pPr>
      <w:r w:rsidRPr="00583E1A">
        <w:t>•</w:t>
      </w:r>
      <w:r w:rsidRPr="00583E1A">
        <w:tab/>
        <w:t>the meaning of an Australian controller of a foreign entity (for the purpose of determining whether or not an entity is an outward investing entity (non</w:t>
      </w:r>
      <w:r w:rsidR="00583E1A">
        <w:noBreakHyphen/>
      </w:r>
      <w:r w:rsidRPr="00583E1A">
        <w:t>ADI) or outward investing entity (ADI));</w:t>
      </w:r>
    </w:p>
    <w:p w:rsidR="00887330" w:rsidRPr="00583E1A" w:rsidRDefault="00887330" w:rsidP="00887330">
      <w:pPr>
        <w:pStyle w:val="BoxList"/>
      </w:pPr>
      <w:r w:rsidRPr="00583E1A">
        <w:t>•</w:t>
      </w:r>
      <w:r w:rsidRPr="00583E1A">
        <w:tab/>
        <w:t>the meaning of a foreign controlled Australian entity (for the purpose of determining whether or not an entity is an inward investing entity (non</w:t>
      </w:r>
      <w:r w:rsidR="00583E1A">
        <w:noBreakHyphen/>
      </w:r>
      <w:r w:rsidRPr="00583E1A">
        <w:t>ADI));</w:t>
      </w:r>
    </w:p>
    <w:p w:rsidR="00887330" w:rsidRPr="00583E1A" w:rsidRDefault="00887330" w:rsidP="00887330">
      <w:pPr>
        <w:pStyle w:val="BoxList"/>
      </w:pPr>
      <w:r w:rsidRPr="00583E1A">
        <w:lastRenderedPageBreak/>
        <w:t>•</w:t>
      </w:r>
      <w:r w:rsidRPr="00583E1A">
        <w:tab/>
        <w:t>the method of working out the extent to which one entity is controlled by another entity for those purposes.</w:t>
      </w:r>
    </w:p>
    <w:p w:rsidR="00887330" w:rsidRPr="00583E1A" w:rsidRDefault="00887330" w:rsidP="00887330">
      <w:pPr>
        <w:pStyle w:val="TofSectsHeading"/>
      </w:pPr>
      <w:r w:rsidRPr="00583E1A">
        <w:t>Table of sections</w:t>
      </w:r>
    </w:p>
    <w:p w:rsidR="00887330" w:rsidRPr="00583E1A" w:rsidRDefault="00887330" w:rsidP="00887330">
      <w:pPr>
        <w:pStyle w:val="TofSectsGroupHeading"/>
      </w:pPr>
      <w:r w:rsidRPr="00583E1A">
        <w:t>Australian controller of a foreign entity</w:t>
      </w:r>
    </w:p>
    <w:p w:rsidR="00887330" w:rsidRPr="00583E1A" w:rsidRDefault="00887330" w:rsidP="00887330">
      <w:pPr>
        <w:pStyle w:val="TofSectsSection"/>
      </w:pPr>
      <w:r w:rsidRPr="00583E1A">
        <w:t>820</w:t>
      </w:r>
      <w:r w:rsidR="00583E1A">
        <w:noBreakHyphen/>
      </w:r>
      <w:r w:rsidRPr="00583E1A">
        <w:t>745</w:t>
      </w:r>
      <w:r w:rsidRPr="00583E1A">
        <w:tab/>
        <w:t>What is an Australian controlled foreign entity?</w:t>
      </w:r>
    </w:p>
    <w:p w:rsidR="00887330" w:rsidRPr="00583E1A" w:rsidRDefault="00887330" w:rsidP="00887330">
      <w:pPr>
        <w:pStyle w:val="TofSectsSection"/>
      </w:pPr>
      <w:r w:rsidRPr="00583E1A">
        <w:t>820</w:t>
      </w:r>
      <w:r w:rsidR="00583E1A">
        <w:noBreakHyphen/>
      </w:r>
      <w:r w:rsidRPr="00583E1A">
        <w:t>750</w:t>
      </w:r>
      <w:r w:rsidRPr="00583E1A">
        <w:tab/>
        <w:t>What is an Australian controller of a controlled foreign company?</w:t>
      </w:r>
    </w:p>
    <w:p w:rsidR="00887330" w:rsidRPr="00583E1A" w:rsidRDefault="00887330" w:rsidP="00887330">
      <w:pPr>
        <w:pStyle w:val="TofSectsSection"/>
      </w:pPr>
      <w:r w:rsidRPr="00583E1A">
        <w:t>820</w:t>
      </w:r>
      <w:r w:rsidR="00583E1A">
        <w:noBreakHyphen/>
      </w:r>
      <w:r w:rsidRPr="00583E1A">
        <w:t>755</w:t>
      </w:r>
      <w:r w:rsidRPr="00583E1A">
        <w:tab/>
        <w:t>What is an Australian controller of a controlled foreign trust?</w:t>
      </w:r>
    </w:p>
    <w:p w:rsidR="00887330" w:rsidRPr="00583E1A" w:rsidRDefault="00887330" w:rsidP="00887330">
      <w:pPr>
        <w:pStyle w:val="TofSectsSection"/>
      </w:pPr>
      <w:r w:rsidRPr="00583E1A">
        <w:t>820</w:t>
      </w:r>
      <w:r w:rsidR="00583E1A">
        <w:noBreakHyphen/>
      </w:r>
      <w:r w:rsidRPr="00583E1A">
        <w:t>760</w:t>
      </w:r>
      <w:r w:rsidRPr="00583E1A">
        <w:tab/>
        <w:t>What is an Australian controller of a controlled foreign corporate limited partnership?</w:t>
      </w:r>
    </w:p>
    <w:p w:rsidR="00887330" w:rsidRPr="00583E1A" w:rsidRDefault="00887330" w:rsidP="00887330">
      <w:pPr>
        <w:pStyle w:val="TofSectsGroupHeading"/>
      </w:pPr>
      <w:r w:rsidRPr="00583E1A">
        <w:t>Foreign controlled Australian entity</w:t>
      </w:r>
    </w:p>
    <w:p w:rsidR="00887330" w:rsidRPr="00583E1A" w:rsidRDefault="00887330" w:rsidP="00887330">
      <w:pPr>
        <w:pStyle w:val="TofSectsSection"/>
      </w:pPr>
      <w:r w:rsidRPr="00583E1A">
        <w:t>820</w:t>
      </w:r>
      <w:r w:rsidR="00583E1A">
        <w:noBreakHyphen/>
      </w:r>
      <w:r w:rsidRPr="00583E1A">
        <w:t>780</w:t>
      </w:r>
      <w:r w:rsidRPr="00583E1A">
        <w:tab/>
        <w:t>What is a foreign controlled Australian entity?</w:t>
      </w:r>
    </w:p>
    <w:p w:rsidR="00887330" w:rsidRPr="00583E1A" w:rsidRDefault="00887330" w:rsidP="00887330">
      <w:pPr>
        <w:pStyle w:val="TofSectsSection"/>
      </w:pPr>
      <w:r w:rsidRPr="00583E1A">
        <w:t>820</w:t>
      </w:r>
      <w:r w:rsidR="00583E1A">
        <w:noBreakHyphen/>
      </w:r>
      <w:r w:rsidRPr="00583E1A">
        <w:t>785</w:t>
      </w:r>
      <w:r w:rsidRPr="00583E1A">
        <w:tab/>
        <w:t>What is a foreign controlled Australian company?</w:t>
      </w:r>
    </w:p>
    <w:p w:rsidR="00887330" w:rsidRPr="00583E1A" w:rsidRDefault="00887330" w:rsidP="00887330">
      <w:pPr>
        <w:pStyle w:val="TofSectsSection"/>
      </w:pPr>
      <w:r w:rsidRPr="00583E1A">
        <w:t>820</w:t>
      </w:r>
      <w:r w:rsidR="00583E1A">
        <w:noBreakHyphen/>
      </w:r>
      <w:r w:rsidRPr="00583E1A">
        <w:t>790</w:t>
      </w:r>
      <w:r w:rsidRPr="00583E1A">
        <w:tab/>
        <w:t>What is a foreign controlled Australian trust?</w:t>
      </w:r>
    </w:p>
    <w:p w:rsidR="00887330" w:rsidRPr="00583E1A" w:rsidRDefault="00887330" w:rsidP="00887330">
      <w:pPr>
        <w:pStyle w:val="TofSectsSection"/>
      </w:pPr>
      <w:r w:rsidRPr="00583E1A">
        <w:t>820</w:t>
      </w:r>
      <w:r w:rsidR="00583E1A">
        <w:noBreakHyphen/>
      </w:r>
      <w:r w:rsidRPr="00583E1A">
        <w:t>795</w:t>
      </w:r>
      <w:r w:rsidRPr="00583E1A">
        <w:tab/>
        <w:t>What is a foreign controlled Australian partnership?</w:t>
      </w:r>
    </w:p>
    <w:p w:rsidR="00887330" w:rsidRPr="00583E1A" w:rsidRDefault="00887330" w:rsidP="00887330">
      <w:pPr>
        <w:pStyle w:val="TofSectsGroupHeading"/>
      </w:pPr>
      <w:r w:rsidRPr="00583E1A">
        <w:t>Thin capitalisation control interest</w:t>
      </w:r>
    </w:p>
    <w:p w:rsidR="00887330" w:rsidRPr="00583E1A" w:rsidRDefault="00887330" w:rsidP="00887330">
      <w:pPr>
        <w:pStyle w:val="TofSectsSection"/>
      </w:pPr>
      <w:r w:rsidRPr="00583E1A">
        <w:t>820</w:t>
      </w:r>
      <w:r w:rsidR="00583E1A">
        <w:noBreakHyphen/>
      </w:r>
      <w:r w:rsidRPr="00583E1A">
        <w:t>815</w:t>
      </w:r>
      <w:r w:rsidRPr="00583E1A">
        <w:tab/>
        <w:t>General rule about thin capitalisation control interest in a company, trust or partnership</w:t>
      </w:r>
    </w:p>
    <w:p w:rsidR="00887330" w:rsidRPr="00583E1A" w:rsidRDefault="00887330" w:rsidP="00887330">
      <w:pPr>
        <w:pStyle w:val="TofSectsSection"/>
      </w:pPr>
      <w:r w:rsidRPr="00583E1A">
        <w:t>820</w:t>
      </w:r>
      <w:r w:rsidR="00583E1A">
        <w:noBreakHyphen/>
      </w:r>
      <w:r w:rsidRPr="00583E1A">
        <w:t>820</w:t>
      </w:r>
      <w:r w:rsidRPr="00583E1A">
        <w:tab/>
        <w:t>Special rules about calculating TC control interest held by an entity</w:t>
      </w:r>
    </w:p>
    <w:p w:rsidR="00887330" w:rsidRPr="00583E1A" w:rsidRDefault="00887330" w:rsidP="00887330">
      <w:pPr>
        <w:pStyle w:val="TofSectsSection"/>
      </w:pPr>
      <w:r w:rsidRPr="00583E1A">
        <w:t>820</w:t>
      </w:r>
      <w:r w:rsidR="00583E1A">
        <w:noBreakHyphen/>
      </w:r>
      <w:r w:rsidRPr="00583E1A">
        <w:t>825</w:t>
      </w:r>
      <w:r w:rsidRPr="00583E1A">
        <w:tab/>
        <w:t>Special rules about calculating TC control interests held by a group of entities</w:t>
      </w:r>
    </w:p>
    <w:p w:rsidR="00887330" w:rsidRPr="00583E1A" w:rsidRDefault="00887330" w:rsidP="00887330">
      <w:pPr>
        <w:pStyle w:val="TofSectsSection"/>
      </w:pPr>
      <w:r w:rsidRPr="00583E1A">
        <w:t>820</w:t>
      </w:r>
      <w:r w:rsidR="00583E1A">
        <w:noBreakHyphen/>
      </w:r>
      <w:r w:rsidRPr="00583E1A">
        <w:t>830</w:t>
      </w:r>
      <w:r w:rsidRPr="00583E1A">
        <w:tab/>
        <w:t>Special rules about determining percentage of TC control interest</w:t>
      </w:r>
    </w:p>
    <w:p w:rsidR="00887330" w:rsidRPr="00583E1A" w:rsidRDefault="00887330" w:rsidP="00887330">
      <w:pPr>
        <w:pStyle w:val="TofSectsSection"/>
      </w:pPr>
      <w:r w:rsidRPr="00583E1A">
        <w:t>820</w:t>
      </w:r>
      <w:r w:rsidR="00583E1A">
        <w:noBreakHyphen/>
      </w:r>
      <w:r w:rsidRPr="00583E1A">
        <w:t>835</w:t>
      </w:r>
      <w:r w:rsidRPr="00583E1A">
        <w:tab/>
        <w:t>Commissioner’s power</w:t>
      </w:r>
    </w:p>
    <w:p w:rsidR="00887330" w:rsidRPr="00583E1A" w:rsidRDefault="00887330" w:rsidP="00887330">
      <w:pPr>
        <w:pStyle w:val="TofSectsGroupHeading"/>
      </w:pPr>
      <w:r w:rsidRPr="00583E1A">
        <w:t>TC direct control interest, TC indirect control interest and TC control tracing interest</w:t>
      </w:r>
    </w:p>
    <w:p w:rsidR="00887330" w:rsidRPr="00583E1A" w:rsidRDefault="00887330" w:rsidP="00887330">
      <w:pPr>
        <w:pStyle w:val="TofSectsSection"/>
      </w:pPr>
      <w:r w:rsidRPr="00583E1A">
        <w:t>820</w:t>
      </w:r>
      <w:r w:rsidR="00583E1A">
        <w:noBreakHyphen/>
      </w:r>
      <w:r w:rsidRPr="00583E1A">
        <w:t>855</w:t>
      </w:r>
      <w:r w:rsidRPr="00583E1A">
        <w:tab/>
        <w:t>TC direct control interest in a company</w:t>
      </w:r>
    </w:p>
    <w:p w:rsidR="00887330" w:rsidRPr="00583E1A" w:rsidRDefault="00887330" w:rsidP="00887330">
      <w:pPr>
        <w:pStyle w:val="TofSectsSection"/>
      </w:pPr>
      <w:r w:rsidRPr="00583E1A">
        <w:t>820</w:t>
      </w:r>
      <w:r w:rsidR="00583E1A">
        <w:noBreakHyphen/>
      </w:r>
      <w:r w:rsidRPr="00583E1A">
        <w:t>860</w:t>
      </w:r>
      <w:r w:rsidRPr="00583E1A">
        <w:tab/>
        <w:t>TC direct control interest in a trust</w:t>
      </w:r>
    </w:p>
    <w:p w:rsidR="00887330" w:rsidRPr="00583E1A" w:rsidRDefault="00887330" w:rsidP="00887330">
      <w:pPr>
        <w:pStyle w:val="TofSectsSection"/>
      </w:pPr>
      <w:r w:rsidRPr="00583E1A">
        <w:t>820</w:t>
      </w:r>
      <w:r w:rsidR="00583E1A">
        <w:noBreakHyphen/>
      </w:r>
      <w:r w:rsidRPr="00583E1A">
        <w:t>865</w:t>
      </w:r>
      <w:r w:rsidRPr="00583E1A">
        <w:tab/>
        <w:t>TC direct control interest in a partnership</w:t>
      </w:r>
    </w:p>
    <w:p w:rsidR="00887330" w:rsidRPr="00583E1A" w:rsidRDefault="00887330" w:rsidP="00887330">
      <w:pPr>
        <w:pStyle w:val="TofSectsSection"/>
      </w:pPr>
      <w:r w:rsidRPr="00583E1A">
        <w:t>820</w:t>
      </w:r>
      <w:r w:rsidR="00583E1A">
        <w:noBreakHyphen/>
      </w:r>
      <w:r w:rsidRPr="00583E1A">
        <w:t>870</w:t>
      </w:r>
      <w:r w:rsidRPr="00583E1A">
        <w:tab/>
        <w:t>TC indirect control interest in a company, trust or partnership</w:t>
      </w:r>
    </w:p>
    <w:p w:rsidR="00887330" w:rsidRPr="00583E1A" w:rsidRDefault="00887330" w:rsidP="00887330">
      <w:pPr>
        <w:pStyle w:val="TofSectsSection"/>
      </w:pPr>
      <w:r w:rsidRPr="00583E1A">
        <w:t>820</w:t>
      </w:r>
      <w:r w:rsidR="00583E1A">
        <w:noBreakHyphen/>
      </w:r>
      <w:r w:rsidRPr="00583E1A">
        <w:t>875</w:t>
      </w:r>
      <w:r w:rsidRPr="00583E1A">
        <w:tab/>
        <w:t>TC control tracing interest in a company, trust or partnership</w:t>
      </w:r>
    </w:p>
    <w:p w:rsidR="00887330" w:rsidRPr="00583E1A" w:rsidRDefault="00887330" w:rsidP="00887330">
      <w:pPr>
        <w:pStyle w:val="ActHead4"/>
      </w:pPr>
      <w:bookmarkStart w:id="279" w:name="_Toc338939353"/>
      <w:r w:rsidRPr="00583E1A">
        <w:lastRenderedPageBreak/>
        <w:t>Australian controller of a foreign entity</w:t>
      </w:r>
      <w:bookmarkEnd w:id="279"/>
    </w:p>
    <w:p w:rsidR="00887330" w:rsidRPr="00583E1A" w:rsidRDefault="00887330" w:rsidP="00887330">
      <w:pPr>
        <w:pStyle w:val="ActHead5"/>
      </w:pPr>
      <w:bookmarkStart w:id="280" w:name="_Toc338939354"/>
      <w:r w:rsidRPr="00583E1A">
        <w:rPr>
          <w:rStyle w:val="CharSectno"/>
        </w:rPr>
        <w:t>820</w:t>
      </w:r>
      <w:r w:rsidR="00583E1A">
        <w:rPr>
          <w:rStyle w:val="CharSectno"/>
        </w:rPr>
        <w:noBreakHyphen/>
      </w:r>
      <w:r w:rsidRPr="00583E1A">
        <w:rPr>
          <w:rStyle w:val="CharSectno"/>
        </w:rPr>
        <w:t>745</w:t>
      </w:r>
      <w:r w:rsidRPr="00583E1A">
        <w:t xml:space="preserve">  What is an Australian controlled foreign entity?</w:t>
      </w:r>
      <w:bookmarkEnd w:id="280"/>
    </w:p>
    <w:p w:rsidR="00887330" w:rsidRPr="00583E1A" w:rsidRDefault="00887330" w:rsidP="00887330">
      <w:pPr>
        <w:pStyle w:val="subsection"/>
      </w:pPr>
      <w:r w:rsidRPr="00583E1A">
        <w:tab/>
      </w:r>
      <w:r w:rsidRPr="00583E1A">
        <w:tab/>
        <w:t xml:space="preserve">An </w:t>
      </w:r>
      <w:r w:rsidRPr="00583E1A">
        <w:rPr>
          <w:b/>
          <w:i/>
        </w:rPr>
        <w:t>Australian controlled foreign entity</w:t>
      </w:r>
      <w:r w:rsidRPr="00583E1A">
        <w:t>, in relation to a particular time, is an entity that is any of the following at that time:</w:t>
      </w:r>
    </w:p>
    <w:p w:rsidR="00887330" w:rsidRPr="00583E1A" w:rsidRDefault="00887330" w:rsidP="00887330">
      <w:pPr>
        <w:pStyle w:val="paragraph"/>
      </w:pPr>
      <w:r w:rsidRPr="00583E1A">
        <w:tab/>
        <w:t>(a)</w:t>
      </w:r>
      <w:r w:rsidRPr="00583E1A">
        <w:tab/>
        <w:t xml:space="preserve">a </w:t>
      </w:r>
      <w:r w:rsidR="00583E1A" w:rsidRPr="00583E1A">
        <w:rPr>
          <w:position w:val="6"/>
          <w:sz w:val="16"/>
        </w:rPr>
        <w:t>*</w:t>
      </w:r>
      <w:r w:rsidRPr="00583E1A">
        <w:t xml:space="preserve">controlled foreign company (except a </w:t>
      </w:r>
      <w:r w:rsidR="00583E1A" w:rsidRPr="00583E1A">
        <w:rPr>
          <w:position w:val="6"/>
          <w:sz w:val="16"/>
        </w:rPr>
        <w:t>*</w:t>
      </w:r>
      <w:r w:rsidRPr="00583E1A">
        <w:t>corporate limited partnership);</w:t>
      </w:r>
    </w:p>
    <w:p w:rsidR="00887330" w:rsidRPr="00583E1A" w:rsidRDefault="00887330" w:rsidP="00887330">
      <w:pPr>
        <w:pStyle w:val="paragraph"/>
      </w:pPr>
      <w:r w:rsidRPr="00583E1A">
        <w:tab/>
        <w:t>(b)</w:t>
      </w:r>
      <w:r w:rsidRPr="00583E1A">
        <w:tab/>
        <w:t xml:space="preserve">a </w:t>
      </w:r>
      <w:r w:rsidR="00583E1A" w:rsidRPr="00583E1A">
        <w:rPr>
          <w:position w:val="6"/>
          <w:sz w:val="16"/>
        </w:rPr>
        <w:t>*</w:t>
      </w:r>
      <w:r w:rsidRPr="00583E1A">
        <w:t>controlled foreign trust;</w:t>
      </w:r>
    </w:p>
    <w:p w:rsidR="00887330" w:rsidRPr="00583E1A" w:rsidRDefault="00887330" w:rsidP="00887330">
      <w:pPr>
        <w:pStyle w:val="paragraph"/>
      </w:pPr>
      <w:r w:rsidRPr="00583E1A">
        <w:tab/>
        <w:t>(c)</w:t>
      </w:r>
      <w:r w:rsidRPr="00583E1A">
        <w:tab/>
        <w:t xml:space="preserve">a </w:t>
      </w:r>
      <w:r w:rsidR="00583E1A" w:rsidRPr="00583E1A">
        <w:rPr>
          <w:position w:val="6"/>
          <w:sz w:val="16"/>
        </w:rPr>
        <w:t>*</w:t>
      </w:r>
      <w:r w:rsidRPr="00583E1A">
        <w:t>controlled foreign corporate limited partnership.</w:t>
      </w:r>
    </w:p>
    <w:p w:rsidR="00887330" w:rsidRPr="00583E1A" w:rsidRDefault="00887330" w:rsidP="00887330">
      <w:pPr>
        <w:pStyle w:val="ActHead5"/>
      </w:pPr>
      <w:bookmarkStart w:id="281" w:name="_Toc338939355"/>
      <w:r w:rsidRPr="00583E1A">
        <w:rPr>
          <w:rStyle w:val="CharSectno"/>
        </w:rPr>
        <w:t>820</w:t>
      </w:r>
      <w:r w:rsidR="00583E1A">
        <w:rPr>
          <w:rStyle w:val="CharSectno"/>
        </w:rPr>
        <w:noBreakHyphen/>
      </w:r>
      <w:r w:rsidRPr="00583E1A">
        <w:rPr>
          <w:rStyle w:val="CharSectno"/>
        </w:rPr>
        <w:t>750</w:t>
      </w:r>
      <w:r w:rsidRPr="00583E1A">
        <w:t xml:space="preserve">  What is an Australian controller of a controlled foreign company?</w:t>
      </w:r>
      <w:bookmarkEnd w:id="281"/>
    </w:p>
    <w:p w:rsidR="00887330" w:rsidRPr="00583E1A" w:rsidRDefault="00887330" w:rsidP="00887330">
      <w:pPr>
        <w:pStyle w:val="subsection"/>
      </w:pPr>
      <w:r w:rsidRPr="00583E1A">
        <w:tab/>
      </w:r>
      <w:r w:rsidRPr="00583E1A">
        <w:tab/>
        <w:t xml:space="preserve">An entity is an </w:t>
      </w:r>
      <w:r w:rsidRPr="00583E1A">
        <w:rPr>
          <w:b/>
          <w:i/>
        </w:rPr>
        <w:t>Australian controller</w:t>
      </w:r>
      <w:r w:rsidRPr="00583E1A">
        <w:t xml:space="preserve"> of a </w:t>
      </w:r>
      <w:r w:rsidR="00583E1A" w:rsidRPr="00583E1A">
        <w:rPr>
          <w:position w:val="6"/>
          <w:sz w:val="16"/>
        </w:rPr>
        <w:t>*</w:t>
      </w:r>
      <w:r w:rsidRPr="00583E1A">
        <w:t>controlled foreign company mentioned in paragraph 820</w:t>
      </w:r>
      <w:r w:rsidR="00583E1A">
        <w:noBreakHyphen/>
      </w:r>
      <w:r w:rsidRPr="00583E1A">
        <w:t>745(a) at a particular time if, and only if, at that time:</w:t>
      </w:r>
    </w:p>
    <w:p w:rsidR="00887330" w:rsidRPr="00583E1A" w:rsidRDefault="00887330" w:rsidP="00887330">
      <w:pPr>
        <w:pStyle w:val="paragraph"/>
      </w:pPr>
      <w:r w:rsidRPr="00583E1A">
        <w:tab/>
        <w:t>(a)</w:t>
      </w:r>
      <w:r w:rsidRPr="00583E1A">
        <w:tab/>
        <w:t xml:space="preserve">that entity is an </w:t>
      </w:r>
      <w:r w:rsidR="00583E1A" w:rsidRPr="00583E1A">
        <w:rPr>
          <w:position w:val="6"/>
          <w:sz w:val="16"/>
        </w:rPr>
        <w:t>*</w:t>
      </w:r>
      <w:r w:rsidRPr="00583E1A">
        <w:t xml:space="preserve">Australian entity holding a </w:t>
      </w:r>
      <w:r w:rsidR="00583E1A" w:rsidRPr="00583E1A">
        <w:rPr>
          <w:position w:val="6"/>
          <w:sz w:val="16"/>
        </w:rPr>
        <w:t>*</w:t>
      </w:r>
      <w:r w:rsidRPr="00583E1A">
        <w:t>TC control interest in the controlled foreign company that is 10% or more; or</w:t>
      </w:r>
    </w:p>
    <w:p w:rsidR="00887330" w:rsidRPr="00583E1A" w:rsidRDefault="00887330" w:rsidP="00887330">
      <w:pPr>
        <w:pStyle w:val="paragraph"/>
      </w:pPr>
      <w:r w:rsidRPr="00583E1A">
        <w:tab/>
        <w:t>(b)</w:t>
      </w:r>
      <w:r w:rsidRPr="00583E1A">
        <w:tab/>
        <w:t>all of the following subparagraphs apply:</w:t>
      </w:r>
    </w:p>
    <w:p w:rsidR="00887330" w:rsidRPr="00583E1A" w:rsidRDefault="00887330" w:rsidP="00887330">
      <w:pPr>
        <w:pStyle w:val="paragraphsub"/>
      </w:pPr>
      <w:r w:rsidRPr="00583E1A">
        <w:tab/>
        <w:t>(i)</w:t>
      </w:r>
      <w:r w:rsidRPr="00583E1A">
        <w:tab/>
        <w:t xml:space="preserve">the controlled foreign company is such a company because of paragraph 340(c) of the </w:t>
      </w:r>
      <w:r w:rsidRPr="00583E1A">
        <w:rPr>
          <w:i/>
        </w:rPr>
        <w:t>Income Tax Assessment Act 1936</w:t>
      </w:r>
      <w:r w:rsidRPr="00583E1A">
        <w:t>;</w:t>
      </w:r>
    </w:p>
    <w:p w:rsidR="00887330" w:rsidRPr="00583E1A" w:rsidRDefault="00887330" w:rsidP="00887330">
      <w:pPr>
        <w:pStyle w:val="paragraphsub"/>
      </w:pPr>
      <w:r w:rsidRPr="00583E1A">
        <w:tab/>
        <w:t>(ii)</w:t>
      </w:r>
      <w:r w:rsidRPr="00583E1A">
        <w:tab/>
        <w:t xml:space="preserve">not more than 5 Australian entities, including that entity, control that controlled foreign company (either alone or together with </w:t>
      </w:r>
      <w:r w:rsidR="00583E1A" w:rsidRPr="00583E1A">
        <w:rPr>
          <w:position w:val="6"/>
          <w:sz w:val="16"/>
        </w:rPr>
        <w:t>*</w:t>
      </w:r>
      <w:r w:rsidRPr="00583E1A">
        <w:t>associate entities and whether or not any associate entity is also an Australian entity);</w:t>
      </w:r>
    </w:p>
    <w:p w:rsidR="00887330" w:rsidRPr="00583E1A" w:rsidRDefault="00887330" w:rsidP="00887330">
      <w:pPr>
        <w:pStyle w:val="paragraphsub"/>
      </w:pPr>
      <w:r w:rsidRPr="00583E1A">
        <w:tab/>
        <w:t>(iii)</w:t>
      </w:r>
      <w:r w:rsidRPr="00583E1A">
        <w:tab/>
        <w:t xml:space="preserve">that entity holds a </w:t>
      </w:r>
      <w:r w:rsidR="00583E1A" w:rsidRPr="00583E1A">
        <w:rPr>
          <w:position w:val="6"/>
          <w:sz w:val="16"/>
        </w:rPr>
        <w:t>*</w:t>
      </w:r>
      <w:r w:rsidRPr="00583E1A">
        <w:t>TC control interest in the controlled foreign company that is at least 1%.</w:t>
      </w:r>
    </w:p>
    <w:p w:rsidR="00887330" w:rsidRPr="00583E1A" w:rsidRDefault="00887330" w:rsidP="00887330">
      <w:pPr>
        <w:pStyle w:val="notetext"/>
      </w:pPr>
      <w:r w:rsidRPr="00583E1A">
        <w:t>Note:</w:t>
      </w:r>
      <w:r w:rsidRPr="00583E1A">
        <w:tab/>
        <w:t>A corporate limited partnership that is a foreign entity may be a controlled foreign corporate limited partnership, see section</w:t>
      </w:r>
      <w:r w:rsidR="00583E1A">
        <w:t> </w:t>
      </w:r>
      <w:r w:rsidRPr="00583E1A">
        <w:t>820</w:t>
      </w:r>
      <w:r w:rsidR="00583E1A">
        <w:noBreakHyphen/>
      </w:r>
      <w:r w:rsidRPr="00583E1A">
        <w:t>760.</w:t>
      </w:r>
    </w:p>
    <w:p w:rsidR="00887330" w:rsidRPr="00583E1A" w:rsidRDefault="00887330" w:rsidP="00887330">
      <w:pPr>
        <w:pStyle w:val="ActHead5"/>
      </w:pPr>
      <w:bookmarkStart w:id="282" w:name="_Toc338939356"/>
      <w:r w:rsidRPr="00583E1A">
        <w:rPr>
          <w:rStyle w:val="CharSectno"/>
        </w:rPr>
        <w:t>820</w:t>
      </w:r>
      <w:r w:rsidR="00583E1A">
        <w:rPr>
          <w:rStyle w:val="CharSectno"/>
        </w:rPr>
        <w:noBreakHyphen/>
      </w:r>
      <w:r w:rsidRPr="00583E1A">
        <w:rPr>
          <w:rStyle w:val="CharSectno"/>
        </w:rPr>
        <w:t>755</w:t>
      </w:r>
      <w:r w:rsidRPr="00583E1A">
        <w:t xml:space="preserve">  What is an Australian controller of a controlled foreign trust?</w:t>
      </w:r>
      <w:bookmarkEnd w:id="282"/>
    </w:p>
    <w:p w:rsidR="00887330" w:rsidRPr="00583E1A" w:rsidRDefault="00887330" w:rsidP="00887330">
      <w:pPr>
        <w:pStyle w:val="subsection"/>
      </w:pPr>
      <w:r w:rsidRPr="00583E1A">
        <w:tab/>
      </w:r>
      <w:r w:rsidRPr="00583E1A">
        <w:tab/>
        <w:t xml:space="preserve">An entity is an </w:t>
      </w:r>
      <w:r w:rsidRPr="00583E1A">
        <w:rPr>
          <w:b/>
          <w:i/>
        </w:rPr>
        <w:t>Australian controller</w:t>
      </w:r>
      <w:r w:rsidRPr="00583E1A">
        <w:t xml:space="preserve"> of a </w:t>
      </w:r>
      <w:r w:rsidR="00583E1A" w:rsidRPr="00583E1A">
        <w:rPr>
          <w:position w:val="6"/>
          <w:sz w:val="16"/>
        </w:rPr>
        <w:t>*</w:t>
      </w:r>
      <w:r w:rsidRPr="00583E1A">
        <w:t>controlled foreign trust</w:t>
      </w:r>
      <w:r w:rsidRPr="00583E1A">
        <w:rPr>
          <w:b/>
          <w:i/>
        </w:rPr>
        <w:t xml:space="preserve"> </w:t>
      </w:r>
      <w:r w:rsidRPr="00583E1A">
        <w:t xml:space="preserve">at a particular time if, and only if, at that time, the entity is an </w:t>
      </w:r>
      <w:r w:rsidR="00583E1A" w:rsidRPr="00583E1A">
        <w:rPr>
          <w:position w:val="6"/>
          <w:sz w:val="16"/>
        </w:rPr>
        <w:lastRenderedPageBreak/>
        <w:t>*</w:t>
      </w:r>
      <w:r w:rsidRPr="00583E1A">
        <w:t xml:space="preserve">Australian entity holding a </w:t>
      </w:r>
      <w:r w:rsidR="00583E1A" w:rsidRPr="00583E1A">
        <w:rPr>
          <w:position w:val="6"/>
          <w:sz w:val="16"/>
        </w:rPr>
        <w:t>*</w:t>
      </w:r>
      <w:r w:rsidRPr="00583E1A">
        <w:t>TC control interest in the trust that is 10% or more.</w:t>
      </w:r>
    </w:p>
    <w:p w:rsidR="00887330" w:rsidRPr="00583E1A" w:rsidRDefault="00887330" w:rsidP="00887330">
      <w:pPr>
        <w:pStyle w:val="ActHead5"/>
      </w:pPr>
      <w:bookmarkStart w:id="283" w:name="_Toc338939357"/>
      <w:r w:rsidRPr="00583E1A">
        <w:rPr>
          <w:rStyle w:val="CharSectno"/>
        </w:rPr>
        <w:t>820</w:t>
      </w:r>
      <w:r w:rsidR="00583E1A">
        <w:rPr>
          <w:rStyle w:val="CharSectno"/>
        </w:rPr>
        <w:noBreakHyphen/>
      </w:r>
      <w:r w:rsidRPr="00583E1A">
        <w:rPr>
          <w:rStyle w:val="CharSectno"/>
        </w:rPr>
        <w:t>760</w:t>
      </w:r>
      <w:r w:rsidRPr="00583E1A">
        <w:t xml:space="preserve">  What is an Australian controller of a controlled foreign corporate limited partnership?</w:t>
      </w:r>
      <w:bookmarkEnd w:id="283"/>
    </w:p>
    <w:p w:rsidR="00887330" w:rsidRPr="00583E1A" w:rsidRDefault="00887330" w:rsidP="00887330">
      <w:pPr>
        <w:pStyle w:val="SubsectionHead"/>
      </w:pPr>
      <w:r w:rsidRPr="00583E1A">
        <w:t>Australian controller of a controlled foreign corporate limited partnership</w:t>
      </w:r>
    </w:p>
    <w:p w:rsidR="00887330" w:rsidRPr="00583E1A" w:rsidRDefault="00887330" w:rsidP="00887330">
      <w:pPr>
        <w:pStyle w:val="subsection"/>
      </w:pPr>
      <w:r w:rsidRPr="00583E1A">
        <w:tab/>
        <w:t>(1)</w:t>
      </w:r>
      <w:r w:rsidRPr="00583E1A">
        <w:tab/>
        <w:t xml:space="preserve">An entity is an </w:t>
      </w:r>
      <w:r w:rsidRPr="00583E1A">
        <w:rPr>
          <w:b/>
          <w:i/>
        </w:rPr>
        <w:t>Australian controller</w:t>
      </w:r>
      <w:r w:rsidRPr="00583E1A">
        <w:t xml:space="preserve"> of a </w:t>
      </w:r>
      <w:r w:rsidR="00583E1A" w:rsidRPr="00583E1A">
        <w:rPr>
          <w:position w:val="6"/>
          <w:sz w:val="16"/>
        </w:rPr>
        <w:t>*</w:t>
      </w:r>
      <w:r w:rsidRPr="00583E1A">
        <w:t>controlled foreign corporate limited partnership</w:t>
      </w:r>
      <w:r w:rsidRPr="00583E1A">
        <w:rPr>
          <w:b/>
          <w:i/>
        </w:rPr>
        <w:t xml:space="preserve"> </w:t>
      </w:r>
      <w:r w:rsidRPr="00583E1A">
        <w:t>at a particular time if, and only if, at least one of the following paragraphs applies to the entity at that time:</w:t>
      </w:r>
    </w:p>
    <w:p w:rsidR="00887330" w:rsidRPr="00583E1A" w:rsidRDefault="00887330" w:rsidP="00887330">
      <w:pPr>
        <w:pStyle w:val="paragraph"/>
      </w:pPr>
      <w:r w:rsidRPr="00583E1A">
        <w:tab/>
        <w:t>(a)</w:t>
      </w:r>
      <w:r w:rsidRPr="00583E1A">
        <w:tab/>
        <w:t xml:space="preserve">the entity is an </w:t>
      </w:r>
      <w:r w:rsidR="00583E1A" w:rsidRPr="00583E1A">
        <w:rPr>
          <w:position w:val="6"/>
          <w:sz w:val="16"/>
        </w:rPr>
        <w:t>*</w:t>
      </w:r>
      <w:r w:rsidRPr="00583E1A">
        <w:t xml:space="preserve">Australian entity that is a </w:t>
      </w:r>
      <w:r w:rsidR="00583E1A" w:rsidRPr="00583E1A">
        <w:rPr>
          <w:position w:val="6"/>
          <w:sz w:val="16"/>
        </w:rPr>
        <w:t>*</w:t>
      </w:r>
      <w:r w:rsidRPr="00583E1A">
        <w:t>general partner of the partnership;</w:t>
      </w:r>
    </w:p>
    <w:p w:rsidR="00887330" w:rsidRPr="00583E1A" w:rsidRDefault="00887330" w:rsidP="00887330">
      <w:pPr>
        <w:pStyle w:val="paragraph"/>
      </w:pPr>
      <w:r w:rsidRPr="00583E1A">
        <w:tab/>
        <w:t>(b)</w:t>
      </w:r>
      <w:r w:rsidRPr="00583E1A">
        <w:tab/>
        <w:t xml:space="preserve">the entity is an Australian entity holding a </w:t>
      </w:r>
      <w:r w:rsidR="00583E1A" w:rsidRPr="00583E1A">
        <w:rPr>
          <w:position w:val="6"/>
          <w:sz w:val="16"/>
        </w:rPr>
        <w:t>*</w:t>
      </w:r>
      <w:r w:rsidRPr="00583E1A">
        <w:t>TC control interest in the partnership that is 10% or more.</w:t>
      </w:r>
    </w:p>
    <w:p w:rsidR="00887330" w:rsidRPr="00583E1A" w:rsidRDefault="00887330" w:rsidP="00887330">
      <w:pPr>
        <w:pStyle w:val="SubsectionHead"/>
      </w:pPr>
      <w:r w:rsidRPr="00583E1A">
        <w:t>Controlled foreign corporate limited partnership</w:t>
      </w:r>
    </w:p>
    <w:p w:rsidR="00887330" w:rsidRPr="00583E1A" w:rsidRDefault="00887330" w:rsidP="00887330">
      <w:pPr>
        <w:pStyle w:val="subsection"/>
      </w:pPr>
      <w:r w:rsidRPr="00583E1A">
        <w:tab/>
        <w:t>(2)</w:t>
      </w:r>
      <w:r w:rsidRPr="00583E1A">
        <w:tab/>
        <w:t xml:space="preserve">A </w:t>
      </w:r>
      <w:r w:rsidR="00583E1A" w:rsidRPr="00583E1A">
        <w:rPr>
          <w:position w:val="6"/>
          <w:sz w:val="16"/>
        </w:rPr>
        <w:t>*</w:t>
      </w:r>
      <w:r w:rsidRPr="00583E1A">
        <w:t>corporate limited partnership is a</w:t>
      </w:r>
      <w:r w:rsidRPr="00583E1A">
        <w:rPr>
          <w:b/>
          <w:i/>
        </w:rPr>
        <w:t xml:space="preserve"> controlled foreign corporate limited partnership</w:t>
      </w:r>
      <w:r w:rsidRPr="00583E1A">
        <w:t xml:space="preserve"> at a particular time if, and only if, at that time:</w:t>
      </w:r>
    </w:p>
    <w:p w:rsidR="00887330" w:rsidRPr="00583E1A" w:rsidRDefault="00887330" w:rsidP="00887330">
      <w:pPr>
        <w:pStyle w:val="paragraph"/>
      </w:pPr>
      <w:r w:rsidRPr="00583E1A">
        <w:tab/>
        <w:t>(a)</w:t>
      </w:r>
      <w:r w:rsidRPr="00583E1A">
        <w:tab/>
        <w:t xml:space="preserve">it is not an </w:t>
      </w:r>
      <w:r w:rsidR="00583E1A" w:rsidRPr="00583E1A">
        <w:rPr>
          <w:position w:val="6"/>
          <w:sz w:val="16"/>
        </w:rPr>
        <w:t>*</w:t>
      </w:r>
      <w:r w:rsidRPr="00583E1A">
        <w:t>Australian entity; and</w:t>
      </w:r>
    </w:p>
    <w:p w:rsidR="00887330" w:rsidRPr="00583E1A" w:rsidRDefault="00887330" w:rsidP="00887330">
      <w:pPr>
        <w:pStyle w:val="paragraph"/>
      </w:pPr>
      <w:r w:rsidRPr="00583E1A">
        <w:tab/>
        <w:t>(b)</w:t>
      </w:r>
      <w:r w:rsidRPr="00583E1A">
        <w:tab/>
        <w:t>at least one of the following subparagraphs applies to it:</w:t>
      </w:r>
    </w:p>
    <w:p w:rsidR="00887330" w:rsidRPr="00583E1A" w:rsidRDefault="00887330" w:rsidP="00887330">
      <w:pPr>
        <w:pStyle w:val="paragraphsub"/>
      </w:pPr>
      <w:r w:rsidRPr="00583E1A">
        <w:tab/>
        <w:t>(i)</w:t>
      </w:r>
      <w:r w:rsidRPr="00583E1A">
        <w:tab/>
        <w:t xml:space="preserve">at least one </w:t>
      </w:r>
      <w:r w:rsidR="00583E1A" w:rsidRPr="00583E1A">
        <w:rPr>
          <w:position w:val="6"/>
          <w:sz w:val="16"/>
        </w:rPr>
        <w:t>*</w:t>
      </w:r>
      <w:r w:rsidRPr="00583E1A">
        <w:t xml:space="preserve">general partner of the partnership is an </w:t>
      </w:r>
      <w:r w:rsidR="00583E1A" w:rsidRPr="00583E1A">
        <w:rPr>
          <w:position w:val="6"/>
          <w:sz w:val="16"/>
        </w:rPr>
        <w:t>*</w:t>
      </w:r>
      <w:r w:rsidRPr="00583E1A">
        <w:t xml:space="preserve">Australian entity or an </w:t>
      </w:r>
      <w:r w:rsidR="00583E1A" w:rsidRPr="00583E1A">
        <w:rPr>
          <w:position w:val="6"/>
          <w:sz w:val="16"/>
        </w:rPr>
        <w:t>*</w:t>
      </w:r>
      <w:r w:rsidRPr="00583E1A">
        <w:t>Australian controlled foreign entity;</w:t>
      </w:r>
    </w:p>
    <w:p w:rsidR="00887330" w:rsidRPr="00583E1A" w:rsidRDefault="00887330" w:rsidP="00887330">
      <w:pPr>
        <w:pStyle w:val="paragraphsub"/>
      </w:pPr>
      <w:r w:rsidRPr="00583E1A">
        <w:tab/>
        <w:t>(ii)</w:t>
      </w:r>
      <w:r w:rsidRPr="00583E1A">
        <w:tab/>
        <w:t xml:space="preserve">not more than 5 Australian entities (each of which holds a </w:t>
      </w:r>
      <w:r w:rsidR="00583E1A" w:rsidRPr="00583E1A">
        <w:rPr>
          <w:position w:val="6"/>
          <w:sz w:val="16"/>
        </w:rPr>
        <w:t>*</w:t>
      </w:r>
      <w:r w:rsidRPr="00583E1A">
        <w:t>TC control interest in the partnership that is at least 1%) hold a total of TC control interests in the partnership that is 50% or more.</w:t>
      </w:r>
    </w:p>
    <w:p w:rsidR="00887330" w:rsidRPr="00583E1A" w:rsidRDefault="00887330" w:rsidP="00887330">
      <w:pPr>
        <w:pStyle w:val="ActHead4"/>
      </w:pPr>
      <w:bookmarkStart w:id="284" w:name="_Toc338939358"/>
      <w:r w:rsidRPr="00583E1A">
        <w:t>Foreign controlled Australian entity</w:t>
      </w:r>
      <w:bookmarkEnd w:id="284"/>
    </w:p>
    <w:p w:rsidR="00887330" w:rsidRPr="00583E1A" w:rsidRDefault="00887330" w:rsidP="00887330">
      <w:pPr>
        <w:pStyle w:val="ActHead5"/>
      </w:pPr>
      <w:bookmarkStart w:id="285" w:name="_Toc338939359"/>
      <w:r w:rsidRPr="00583E1A">
        <w:rPr>
          <w:rStyle w:val="CharSectno"/>
        </w:rPr>
        <w:t>820</w:t>
      </w:r>
      <w:r w:rsidR="00583E1A">
        <w:rPr>
          <w:rStyle w:val="CharSectno"/>
        </w:rPr>
        <w:noBreakHyphen/>
      </w:r>
      <w:r w:rsidRPr="00583E1A">
        <w:rPr>
          <w:rStyle w:val="CharSectno"/>
        </w:rPr>
        <w:t>780</w:t>
      </w:r>
      <w:r w:rsidRPr="00583E1A">
        <w:t xml:space="preserve">  What is a foreign controlled Australian entity?</w:t>
      </w:r>
      <w:bookmarkEnd w:id="285"/>
    </w:p>
    <w:p w:rsidR="00887330" w:rsidRPr="00583E1A" w:rsidRDefault="00887330" w:rsidP="00887330">
      <w:pPr>
        <w:pStyle w:val="subsection"/>
      </w:pPr>
      <w:r w:rsidRPr="00583E1A">
        <w:tab/>
      </w:r>
      <w:r w:rsidRPr="00583E1A">
        <w:tab/>
        <w:t xml:space="preserve">A </w:t>
      </w:r>
      <w:r w:rsidRPr="00583E1A">
        <w:rPr>
          <w:b/>
          <w:i/>
        </w:rPr>
        <w:t>foreign controlled Australian entity</w:t>
      </w:r>
      <w:r w:rsidRPr="00583E1A">
        <w:t>, in relation to a particular time, is an entity that is any of the following at that time:</w:t>
      </w:r>
    </w:p>
    <w:p w:rsidR="00887330" w:rsidRPr="00583E1A" w:rsidRDefault="00887330" w:rsidP="00887330">
      <w:pPr>
        <w:pStyle w:val="paragraph"/>
      </w:pPr>
      <w:r w:rsidRPr="00583E1A">
        <w:tab/>
        <w:t>(a)</w:t>
      </w:r>
      <w:r w:rsidRPr="00583E1A">
        <w:tab/>
        <w:t xml:space="preserve">a </w:t>
      </w:r>
      <w:r w:rsidR="00583E1A" w:rsidRPr="00583E1A">
        <w:rPr>
          <w:position w:val="6"/>
          <w:sz w:val="16"/>
        </w:rPr>
        <w:t>*</w:t>
      </w:r>
      <w:r w:rsidRPr="00583E1A">
        <w:t>foreign controlled Australian company;</w:t>
      </w:r>
    </w:p>
    <w:p w:rsidR="00887330" w:rsidRPr="00583E1A" w:rsidRDefault="00887330" w:rsidP="00887330">
      <w:pPr>
        <w:pStyle w:val="paragraph"/>
      </w:pPr>
      <w:r w:rsidRPr="00583E1A">
        <w:lastRenderedPageBreak/>
        <w:tab/>
        <w:t>(b)</w:t>
      </w:r>
      <w:r w:rsidRPr="00583E1A">
        <w:tab/>
        <w:t xml:space="preserve">a </w:t>
      </w:r>
      <w:r w:rsidR="00583E1A" w:rsidRPr="00583E1A">
        <w:rPr>
          <w:position w:val="6"/>
          <w:sz w:val="16"/>
        </w:rPr>
        <w:t>*</w:t>
      </w:r>
      <w:r w:rsidRPr="00583E1A">
        <w:t>foreign controlled Australian trust;</w:t>
      </w:r>
    </w:p>
    <w:p w:rsidR="00887330" w:rsidRPr="00583E1A" w:rsidRDefault="00887330" w:rsidP="00887330">
      <w:pPr>
        <w:pStyle w:val="paragraph"/>
      </w:pPr>
      <w:r w:rsidRPr="00583E1A">
        <w:tab/>
        <w:t>(c)</w:t>
      </w:r>
      <w:r w:rsidRPr="00583E1A">
        <w:tab/>
        <w:t xml:space="preserve">a </w:t>
      </w:r>
      <w:r w:rsidR="00583E1A" w:rsidRPr="00583E1A">
        <w:rPr>
          <w:position w:val="6"/>
          <w:sz w:val="16"/>
        </w:rPr>
        <w:t>*</w:t>
      </w:r>
      <w:r w:rsidRPr="00583E1A">
        <w:t>foreign controlled Australian partnership.</w:t>
      </w:r>
    </w:p>
    <w:p w:rsidR="00887330" w:rsidRPr="00583E1A" w:rsidRDefault="00887330" w:rsidP="00887330">
      <w:pPr>
        <w:pStyle w:val="ActHead5"/>
      </w:pPr>
      <w:bookmarkStart w:id="286" w:name="_Toc338939360"/>
      <w:r w:rsidRPr="00583E1A">
        <w:rPr>
          <w:rStyle w:val="CharSectno"/>
        </w:rPr>
        <w:t>820</w:t>
      </w:r>
      <w:r w:rsidR="00583E1A">
        <w:rPr>
          <w:rStyle w:val="CharSectno"/>
        </w:rPr>
        <w:noBreakHyphen/>
      </w:r>
      <w:r w:rsidRPr="00583E1A">
        <w:rPr>
          <w:rStyle w:val="CharSectno"/>
        </w:rPr>
        <w:t>785</w:t>
      </w:r>
      <w:r w:rsidRPr="00583E1A">
        <w:t xml:space="preserve">  What is a foreign controlled Australian company?</w:t>
      </w:r>
      <w:bookmarkEnd w:id="286"/>
    </w:p>
    <w:p w:rsidR="00887330" w:rsidRPr="00583E1A" w:rsidRDefault="00887330" w:rsidP="00887330">
      <w:pPr>
        <w:pStyle w:val="subsection"/>
      </w:pPr>
      <w:r w:rsidRPr="00583E1A">
        <w:tab/>
        <w:t>(1)</w:t>
      </w:r>
      <w:r w:rsidRPr="00583E1A">
        <w:tab/>
        <w:t xml:space="preserve">A company (except a </w:t>
      </w:r>
      <w:r w:rsidR="00583E1A" w:rsidRPr="00583E1A">
        <w:rPr>
          <w:position w:val="6"/>
          <w:sz w:val="16"/>
        </w:rPr>
        <w:t>*</w:t>
      </w:r>
      <w:r w:rsidRPr="00583E1A">
        <w:t xml:space="preserve">corporate limited partnership) is a </w:t>
      </w:r>
      <w:r w:rsidRPr="00583E1A">
        <w:rPr>
          <w:b/>
          <w:i/>
        </w:rPr>
        <w:t>foreign controlled Australian company</w:t>
      </w:r>
      <w:r w:rsidRPr="00583E1A">
        <w:t xml:space="preserve"> (or an </w:t>
      </w:r>
      <w:r w:rsidRPr="00583E1A">
        <w:rPr>
          <w:b/>
          <w:i/>
        </w:rPr>
        <w:t>FCAC</w:t>
      </w:r>
      <w:r w:rsidRPr="00583E1A">
        <w:t xml:space="preserve">) at a particular time if, and only if, at that time, it is an </w:t>
      </w:r>
      <w:r w:rsidR="00583E1A" w:rsidRPr="00583E1A">
        <w:rPr>
          <w:position w:val="6"/>
          <w:sz w:val="16"/>
        </w:rPr>
        <w:t>*</w:t>
      </w:r>
      <w:r w:rsidRPr="00583E1A">
        <w:t>Australian entity to which at least one of the following paragraphs applies:</w:t>
      </w:r>
    </w:p>
    <w:p w:rsidR="00887330" w:rsidRPr="00583E1A" w:rsidRDefault="00887330" w:rsidP="00887330">
      <w:pPr>
        <w:pStyle w:val="paragraph"/>
      </w:pPr>
      <w:r w:rsidRPr="00583E1A">
        <w:tab/>
        <w:t>(a)</w:t>
      </w:r>
      <w:r w:rsidRPr="00583E1A">
        <w:tab/>
        <w:t xml:space="preserve">not more than 5 </w:t>
      </w:r>
      <w:r w:rsidR="00583E1A" w:rsidRPr="00583E1A">
        <w:rPr>
          <w:position w:val="6"/>
          <w:sz w:val="16"/>
        </w:rPr>
        <w:t>*</w:t>
      </w:r>
      <w:r w:rsidRPr="00583E1A">
        <w:t xml:space="preserve">foreign entities (each of which holds a </w:t>
      </w:r>
      <w:r w:rsidR="00583E1A" w:rsidRPr="00583E1A">
        <w:rPr>
          <w:position w:val="6"/>
          <w:sz w:val="16"/>
        </w:rPr>
        <w:t>*</w:t>
      </w:r>
      <w:r w:rsidRPr="00583E1A">
        <w:t>TC control interest in the company that is at least 1%) hold a total of TC control interests in the company that is 50% or more;</w:t>
      </w:r>
    </w:p>
    <w:p w:rsidR="00887330" w:rsidRPr="00583E1A" w:rsidRDefault="00887330" w:rsidP="00887330">
      <w:pPr>
        <w:pStyle w:val="paragraph"/>
      </w:pPr>
      <w:r w:rsidRPr="00583E1A">
        <w:tab/>
        <w:t>(b)</w:t>
      </w:r>
      <w:r w:rsidRPr="00583E1A">
        <w:tab/>
        <w:t xml:space="preserve">a foreign entity holds a TC control interest in the company that is 40% or more, and no other entity or entities (except an </w:t>
      </w:r>
      <w:r w:rsidR="00583E1A" w:rsidRPr="00583E1A">
        <w:rPr>
          <w:position w:val="6"/>
          <w:sz w:val="16"/>
        </w:rPr>
        <w:t>*</w:t>
      </w:r>
      <w:r w:rsidRPr="00583E1A">
        <w:t>associate entity of the foreign entity or entities including the foreign entity or its associate entities) control the company;</w:t>
      </w:r>
    </w:p>
    <w:p w:rsidR="00887330" w:rsidRPr="00583E1A" w:rsidRDefault="00887330" w:rsidP="00887330">
      <w:pPr>
        <w:pStyle w:val="paragraph"/>
      </w:pPr>
      <w:r w:rsidRPr="00583E1A">
        <w:tab/>
        <w:t>(c)</w:t>
      </w:r>
      <w:r w:rsidRPr="00583E1A">
        <w:tab/>
        <w:t>not more than 5 foreign entities control the company (whether or not with associate entities and whether or not any associate entity is a foreign entity).</w:t>
      </w:r>
    </w:p>
    <w:p w:rsidR="00887330" w:rsidRPr="00583E1A" w:rsidRDefault="00887330" w:rsidP="00887330">
      <w:pPr>
        <w:pStyle w:val="notetext"/>
      </w:pPr>
      <w:r w:rsidRPr="00583E1A">
        <w:t>Note:</w:t>
      </w:r>
      <w:r w:rsidRPr="00583E1A">
        <w:tab/>
        <w:t>A corporate limited partnership that is an Australian entity may be a foreign controlled Australian partnership, see section</w:t>
      </w:r>
      <w:r w:rsidR="00583E1A">
        <w:t> </w:t>
      </w:r>
      <w:r w:rsidRPr="00583E1A">
        <w:t>820</w:t>
      </w:r>
      <w:r w:rsidR="00583E1A">
        <w:noBreakHyphen/>
      </w:r>
      <w:r w:rsidRPr="00583E1A">
        <w:t>795.</w:t>
      </w:r>
    </w:p>
    <w:p w:rsidR="00887330" w:rsidRPr="00583E1A" w:rsidRDefault="00887330" w:rsidP="00887330">
      <w:pPr>
        <w:pStyle w:val="SubsectionHead"/>
      </w:pPr>
      <w:r w:rsidRPr="00583E1A">
        <w:t>Exception</w:t>
      </w:r>
    </w:p>
    <w:p w:rsidR="00887330" w:rsidRPr="00583E1A" w:rsidRDefault="00887330" w:rsidP="00887330">
      <w:pPr>
        <w:pStyle w:val="subsection"/>
      </w:pPr>
      <w:r w:rsidRPr="00583E1A">
        <w:tab/>
        <w:t>(2)</w:t>
      </w:r>
      <w:r w:rsidRPr="00583E1A">
        <w:tab/>
        <w:t xml:space="preserve">Despite </w:t>
      </w:r>
      <w:r w:rsidR="00583E1A">
        <w:t>subsection (</w:t>
      </w:r>
      <w:r w:rsidRPr="00583E1A">
        <w:t>1), a company is not an FCAC at a particular time if, at that time:</w:t>
      </w:r>
    </w:p>
    <w:p w:rsidR="00887330" w:rsidRPr="00583E1A" w:rsidRDefault="00887330" w:rsidP="00887330">
      <w:pPr>
        <w:pStyle w:val="paragraph"/>
      </w:pPr>
      <w:r w:rsidRPr="00583E1A">
        <w:tab/>
        <w:t>(a)</w:t>
      </w:r>
      <w:r w:rsidRPr="00583E1A">
        <w:tab/>
        <w:t xml:space="preserve">the company would, apart from this subsection, be an FCAC only because of </w:t>
      </w:r>
      <w:r w:rsidR="00583E1A">
        <w:t>paragraph (</w:t>
      </w:r>
      <w:r w:rsidRPr="00583E1A">
        <w:t>1)(a) or (b); but</w:t>
      </w:r>
    </w:p>
    <w:p w:rsidR="00887330" w:rsidRPr="00583E1A" w:rsidRDefault="00887330" w:rsidP="00887330">
      <w:pPr>
        <w:pStyle w:val="paragraph"/>
      </w:pPr>
      <w:r w:rsidRPr="00583E1A">
        <w:tab/>
        <w:t>(b)</w:t>
      </w:r>
      <w:r w:rsidRPr="00583E1A">
        <w:tab/>
        <w:t>the total of the following interests would be less than 20% if paragraphs 820</w:t>
      </w:r>
      <w:r w:rsidR="00583E1A">
        <w:noBreakHyphen/>
      </w:r>
      <w:r w:rsidRPr="00583E1A">
        <w:t>875(2)(a) and (b) were disregarded:</w:t>
      </w:r>
    </w:p>
    <w:p w:rsidR="00887330" w:rsidRPr="00583E1A" w:rsidRDefault="00887330" w:rsidP="00887330">
      <w:pPr>
        <w:pStyle w:val="paragraphsub"/>
      </w:pPr>
      <w:r w:rsidRPr="00583E1A">
        <w:tab/>
        <w:t>(i)</w:t>
      </w:r>
      <w:r w:rsidRPr="00583E1A">
        <w:tab/>
        <w:t xml:space="preserve">the </w:t>
      </w:r>
      <w:r w:rsidR="00583E1A" w:rsidRPr="00583E1A">
        <w:rPr>
          <w:position w:val="6"/>
          <w:sz w:val="16"/>
        </w:rPr>
        <w:t>*</w:t>
      </w:r>
      <w:r w:rsidRPr="00583E1A">
        <w:t xml:space="preserve">TC direct control interest in the company held by the </w:t>
      </w:r>
      <w:r w:rsidR="00583E1A" w:rsidRPr="00583E1A">
        <w:rPr>
          <w:position w:val="6"/>
          <w:sz w:val="16"/>
        </w:rPr>
        <w:t>*</w:t>
      </w:r>
      <w:r w:rsidRPr="00583E1A">
        <w:t xml:space="preserve">foreign entity or entities mentioned in </w:t>
      </w:r>
      <w:r w:rsidR="00583E1A">
        <w:t>paragraph (</w:t>
      </w:r>
      <w:r w:rsidRPr="00583E1A">
        <w:t>1)(a) or (b);</w:t>
      </w:r>
    </w:p>
    <w:p w:rsidR="00887330" w:rsidRPr="00583E1A" w:rsidRDefault="00887330" w:rsidP="00887330">
      <w:pPr>
        <w:pStyle w:val="paragraphsub"/>
      </w:pPr>
      <w:r w:rsidRPr="00583E1A">
        <w:tab/>
        <w:t>(ii)</w:t>
      </w:r>
      <w:r w:rsidRPr="00583E1A">
        <w:tab/>
        <w:t xml:space="preserve">the </w:t>
      </w:r>
      <w:r w:rsidR="00583E1A" w:rsidRPr="00583E1A">
        <w:rPr>
          <w:position w:val="6"/>
          <w:sz w:val="16"/>
        </w:rPr>
        <w:t>*</w:t>
      </w:r>
      <w:r w:rsidRPr="00583E1A">
        <w:t>TC indirect control interest in the company held by the foreign entity or entities;</w:t>
      </w:r>
    </w:p>
    <w:p w:rsidR="00887330" w:rsidRPr="00583E1A" w:rsidRDefault="00887330" w:rsidP="00887330">
      <w:pPr>
        <w:pStyle w:val="paragraphsub"/>
      </w:pPr>
      <w:r w:rsidRPr="00583E1A">
        <w:tab/>
        <w:t>(iii)</w:t>
      </w:r>
      <w:r w:rsidRPr="00583E1A">
        <w:tab/>
        <w:t xml:space="preserve">the TC direct control interests in the company held by any </w:t>
      </w:r>
      <w:r w:rsidR="00583E1A" w:rsidRPr="00583E1A">
        <w:rPr>
          <w:position w:val="6"/>
          <w:sz w:val="16"/>
        </w:rPr>
        <w:t>*</w:t>
      </w:r>
      <w:r w:rsidRPr="00583E1A">
        <w:t xml:space="preserve">associate entities of the foreign entity or entities (other than any TC direct control interests that have </w:t>
      </w:r>
      <w:r w:rsidRPr="00583E1A">
        <w:lastRenderedPageBreak/>
        <w:t xml:space="preserve">been taken into account in calculating the interest mentioned in </w:t>
      </w:r>
      <w:r w:rsidR="00583E1A">
        <w:t>subparagraph (</w:t>
      </w:r>
      <w:r w:rsidRPr="00583E1A">
        <w:t>ii));</w:t>
      </w:r>
    </w:p>
    <w:p w:rsidR="00887330" w:rsidRPr="00583E1A" w:rsidRDefault="00887330" w:rsidP="00887330">
      <w:pPr>
        <w:pStyle w:val="paragraphsub"/>
      </w:pPr>
      <w:r w:rsidRPr="00583E1A">
        <w:tab/>
        <w:t>(iv)</w:t>
      </w:r>
      <w:r w:rsidRPr="00583E1A">
        <w:tab/>
        <w:t xml:space="preserve">the TC indirect control interests in the company held by the entity’s associate entities (other than any TC indirect control interests that have been taken into account in calculating the interest mentioned in </w:t>
      </w:r>
      <w:r w:rsidR="00583E1A">
        <w:t>subparagraph (</w:t>
      </w:r>
      <w:r w:rsidRPr="00583E1A">
        <w:t>ii)).</w:t>
      </w:r>
    </w:p>
    <w:p w:rsidR="00887330" w:rsidRPr="00583E1A" w:rsidRDefault="00887330" w:rsidP="00887330">
      <w:pPr>
        <w:pStyle w:val="notetext"/>
      </w:pPr>
      <w:r w:rsidRPr="00583E1A">
        <w:t>Note:</w:t>
      </w:r>
      <w:r w:rsidRPr="00583E1A">
        <w:tab/>
        <w:t>Paragraphs 820</w:t>
      </w:r>
      <w:r w:rsidR="00583E1A">
        <w:noBreakHyphen/>
      </w:r>
      <w:r w:rsidRPr="00583E1A">
        <w:t>875(2)(a) and (b) set out special rules under which an entity is taken to hold a TC control tracing interest in another entity that is equal to 100%, which could then be taken into account in calculating a TC indirect control interest.</w:t>
      </w:r>
    </w:p>
    <w:p w:rsidR="00887330" w:rsidRPr="00583E1A" w:rsidRDefault="00887330" w:rsidP="00887330">
      <w:pPr>
        <w:pStyle w:val="ActHead5"/>
      </w:pPr>
      <w:bookmarkStart w:id="287" w:name="_Toc338939361"/>
      <w:r w:rsidRPr="00583E1A">
        <w:rPr>
          <w:rStyle w:val="CharSectno"/>
        </w:rPr>
        <w:t>820</w:t>
      </w:r>
      <w:r w:rsidR="00583E1A">
        <w:rPr>
          <w:rStyle w:val="CharSectno"/>
        </w:rPr>
        <w:noBreakHyphen/>
      </w:r>
      <w:r w:rsidRPr="00583E1A">
        <w:rPr>
          <w:rStyle w:val="CharSectno"/>
        </w:rPr>
        <w:t>790</w:t>
      </w:r>
      <w:r w:rsidRPr="00583E1A">
        <w:t xml:space="preserve">  What is a foreign controlled Australian trust?</w:t>
      </w:r>
      <w:bookmarkEnd w:id="287"/>
    </w:p>
    <w:p w:rsidR="00887330" w:rsidRPr="00583E1A" w:rsidRDefault="00887330" w:rsidP="00887330">
      <w:pPr>
        <w:pStyle w:val="subsection"/>
      </w:pPr>
      <w:r w:rsidRPr="00583E1A">
        <w:tab/>
        <w:t>(1)</w:t>
      </w:r>
      <w:r w:rsidRPr="00583E1A">
        <w:tab/>
        <w:t xml:space="preserve">A trust is a </w:t>
      </w:r>
      <w:r w:rsidRPr="00583E1A">
        <w:rPr>
          <w:b/>
          <w:i/>
        </w:rPr>
        <w:t>foreign controlled Australian trust</w:t>
      </w:r>
      <w:r w:rsidRPr="00583E1A">
        <w:t xml:space="preserve"> (or an </w:t>
      </w:r>
      <w:r w:rsidRPr="00583E1A">
        <w:rPr>
          <w:b/>
          <w:i/>
        </w:rPr>
        <w:t>FCAT</w:t>
      </w:r>
      <w:r w:rsidRPr="00583E1A">
        <w:t xml:space="preserve">) at a particular time if, and only if, at that time, it is an </w:t>
      </w:r>
      <w:r w:rsidR="00583E1A" w:rsidRPr="00583E1A">
        <w:rPr>
          <w:position w:val="6"/>
          <w:sz w:val="16"/>
        </w:rPr>
        <w:t>*</w:t>
      </w:r>
      <w:r w:rsidRPr="00583E1A">
        <w:t>Australian trust to which at least one of the following paragraphs applies:</w:t>
      </w:r>
    </w:p>
    <w:p w:rsidR="00887330" w:rsidRPr="00583E1A" w:rsidRDefault="00887330" w:rsidP="00887330">
      <w:pPr>
        <w:pStyle w:val="paragraph"/>
      </w:pPr>
      <w:r w:rsidRPr="00583E1A">
        <w:tab/>
        <w:t>(a)</w:t>
      </w:r>
      <w:r w:rsidRPr="00583E1A">
        <w:tab/>
        <w:t xml:space="preserve">not more than 5 </w:t>
      </w:r>
      <w:r w:rsidR="00583E1A" w:rsidRPr="00583E1A">
        <w:rPr>
          <w:position w:val="6"/>
          <w:sz w:val="16"/>
        </w:rPr>
        <w:t>*</w:t>
      </w:r>
      <w:r w:rsidRPr="00583E1A">
        <w:t xml:space="preserve">foreign entities (each of which holds a </w:t>
      </w:r>
      <w:r w:rsidR="00583E1A" w:rsidRPr="00583E1A">
        <w:rPr>
          <w:position w:val="6"/>
          <w:sz w:val="16"/>
        </w:rPr>
        <w:t>*</w:t>
      </w:r>
      <w:r w:rsidRPr="00583E1A">
        <w:t>TC control interest in the trust that is at least 1%) hold a total of TC control interests in the trust that is 50% or more;</w:t>
      </w:r>
    </w:p>
    <w:p w:rsidR="00887330" w:rsidRPr="00583E1A" w:rsidRDefault="00887330" w:rsidP="00887330">
      <w:pPr>
        <w:pStyle w:val="paragraph"/>
      </w:pPr>
      <w:r w:rsidRPr="00583E1A">
        <w:tab/>
        <w:t>(b)</w:t>
      </w:r>
      <w:r w:rsidRPr="00583E1A">
        <w:tab/>
        <w:t xml:space="preserve">a foreign entity holds a TC control interest in the trust that is 40% or more, and no other entity or entities (except an </w:t>
      </w:r>
      <w:r w:rsidR="00583E1A" w:rsidRPr="00583E1A">
        <w:rPr>
          <w:position w:val="6"/>
          <w:sz w:val="16"/>
        </w:rPr>
        <w:t>*</w:t>
      </w:r>
      <w:r w:rsidRPr="00583E1A">
        <w:t>associate entity of the foreign entity or entities including the foreign entity or its associate entities) control the trust;</w:t>
      </w:r>
    </w:p>
    <w:p w:rsidR="00887330" w:rsidRPr="00583E1A" w:rsidRDefault="00887330" w:rsidP="00887330">
      <w:pPr>
        <w:pStyle w:val="paragraph"/>
      </w:pPr>
      <w:r w:rsidRPr="00583E1A">
        <w:tab/>
        <w:t>(c)</w:t>
      </w:r>
      <w:r w:rsidRPr="00583E1A">
        <w:tab/>
        <w:t>all of the following subparagraphs apply to the trust:</w:t>
      </w:r>
    </w:p>
    <w:p w:rsidR="00887330" w:rsidRPr="00583E1A" w:rsidRDefault="00887330" w:rsidP="00887330">
      <w:pPr>
        <w:pStyle w:val="paragraphsub"/>
      </w:pPr>
      <w:r w:rsidRPr="00583E1A">
        <w:tab/>
        <w:t>(i)</w:t>
      </w:r>
      <w:r w:rsidRPr="00583E1A">
        <w:tab/>
        <w:t>at least one of the objects or beneficiaries of the trust is a foreign entity;</w:t>
      </w:r>
    </w:p>
    <w:p w:rsidR="00887330" w:rsidRPr="00583E1A" w:rsidRDefault="00887330" w:rsidP="00887330">
      <w:pPr>
        <w:pStyle w:val="paragraphsub"/>
      </w:pPr>
      <w:r w:rsidRPr="00583E1A">
        <w:tab/>
        <w:t>(ii)</w:t>
      </w:r>
      <w:r w:rsidRPr="00583E1A">
        <w:tab/>
        <w:t>there has been at least one distribution of income or capital of the trust made to such an object or beneficiary (whether directly or indirectly) during the income year in which that particular time occurs, or during the preceding 2 income years;</w:t>
      </w:r>
    </w:p>
    <w:p w:rsidR="00887330" w:rsidRPr="00583E1A" w:rsidRDefault="00887330" w:rsidP="00887330">
      <w:pPr>
        <w:pStyle w:val="paragraphsub"/>
      </w:pPr>
      <w:r w:rsidRPr="00583E1A">
        <w:tab/>
        <w:t>(iii)</w:t>
      </w:r>
      <w:r w:rsidRPr="00583E1A">
        <w:tab/>
        <w:t xml:space="preserve">the total TC control interests in the trust that are held by all its beneficiaries that are </w:t>
      </w:r>
      <w:r w:rsidR="00583E1A" w:rsidRPr="00583E1A">
        <w:rPr>
          <w:position w:val="6"/>
          <w:sz w:val="16"/>
        </w:rPr>
        <w:t>*</w:t>
      </w:r>
      <w:r w:rsidRPr="00583E1A">
        <w:t>Australian entities do not exceed 50%;</w:t>
      </w:r>
    </w:p>
    <w:p w:rsidR="00887330" w:rsidRPr="00583E1A" w:rsidRDefault="00887330" w:rsidP="00887330">
      <w:pPr>
        <w:pStyle w:val="paragraph"/>
      </w:pPr>
      <w:r w:rsidRPr="00583E1A">
        <w:tab/>
        <w:t>(d)</w:t>
      </w:r>
      <w:r w:rsidRPr="00583E1A">
        <w:tab/>
        <w:t xml:space="preserve">a foreign entity is in a position to control the trust (see </w:t>
      </w:r>
      <w:r w:rsidR="00583E1A">
        <w:t>subsection (</w:t>
      </w:r>
      <w:r w:rsidRPr="00583E1A">
        <w:t>2)).</w:t>
      </w:r>
    </w:p>
    <w:p w:rsidR="00887330" w:rsidRPr="00583E1A" w:rsidRDefault="00887330" w:rsidP="007D2F4E">
      <w:pPr>
        <w:pStyle w:val="subsection"/>
        <w:keepNext/>
      </w:pPr>
      <w:r w:rsidRPr="00583E1A">
        <w:lastRenderedPageBreak/>
        <w:tab/>
        <w:t>(2)</w:t>
      </w:r>
      <w:r w:rsidRPr="00583E1A">
        <w:tab/>
        <w:t xml:space="preserve">A </w:t>
      </w:r>
      <w:r w:rsidR="00583E1A" w:rsidRPr="00583E1A">
        <w:rPr>
          <w:position w:val="6"/>
          <w:sz w:val="16"/>
        </w:rPr>
        <w:t>*</w:t>
      </w:r>
      <w:r w:rsidRPr="00583E1A">
        <w:t>foreign entity is in a position to control a trust if, and only if:</w:t>
      </w:r>
    </w:p>
    <w:p w:rsidR="00887330" w:rsidRPr="00583E1A" w:rsidRDefault="00887330" w:rsidP="007D2F4E">
      <w:pPr>
        <w:pStyle w:val="paragraph"/>
        <w:keepNext/>
      </w:pPr>
      <w:r w:rsidRPr="00583E1A">
        <w:tab/>
        <w:t>(a)</w:t>
      </w:r>
      <w:r w:rsidRPr="00583E1A">
        <w:tab/>
        <w:t xml:space="preserve">the entity, or an </w:t>
      </w:r>
      <w:r w:rsidR="00583E1A" w:rsidRPr="00583E1A">
        <w:rPr>
          <w:position w:val="6"/>
          <w:sz w:val="16"/>
        </w:rPr>
        <w:t>*</w:t>
      </w:r>
      <w:r w:rsidRPr="00583E1A">
        <w:t xml:space="preserve">associate entity of the entity, whether alone or with other associate entities (the </w:t>
      </w:r>
      <w:r w:rsidRPr="00583E1A">
        <w:rPr>
          <w:b/>
          <w:i/>
        </w:rPr>
        <w:t>relevant entity</w:t>
      </w:r>
      <w:r w:rsidRPr="00583E1A">
        <w:t>), has the power to obtain the beneficial enjoyment of the trust’s capital or income (whether or not by exercising its power of appointment or revocation, and whether with or without another entity’s consent); or</w:t>
      </w:r>
    </w:p>
    <w:p w:rsidR="00887330" w:rsidRPr="00583E1A" w:rsidRDefault="00887330" w:rsidP="00887330">
      <w:pPr>
        <w:pStyle w:val="paragraph"/>
      </w:pPr>
      <w:r w:rsidRPr="00583E1A">
        <w:tab/>
        <w:t>(b)</w:t>
      </w:r>
      <w:r w:rsidRPr="00583E1A">
        <w:tab/>
        <w:t>the relevant entity is able to control the application of the trust’s capital or income in any manner (whether directly or indirectly); or</w:t>
      </w:r>
    </w:p>
    <w:p w:rsidR="00887330" w:rsidRPr="00583E1A" w:rsidRDefault="00887330" w:rsidP="00887330">
      <w:pPr>
        <w:pStyle w:val="paragraph"/>
      </w:pPr>
      <w:r w:rsidRPr="00583E1A">
        <w:tab/>
        <w:t>(c)</w:t>
      </w:r>
      <w:r w:rsidRPr="00583E1A">
        <w:tab/>
        <w:t xml:space="preserve">the relevant entity is able to do a thing mentioned in </w:t>
      </w:r>
      <w:r w:rsidR="00583E1A">
        <w:t>paragraph (</w:t>
      </w:r>
      <w:r w:rsidRPr="00583E1A">
        <w:t xml:space="preserve">a) or (b) under a </w:t>
      </w:r>
      <w:r w:rsidR="00583E1A" w:rsidRPr="00583E1A">
        <w:rPr>
          <w:position w:val="6"/>
          <w:sz w:val="16"/>
        </w:rPr>
        <w:t>*</w:t>
      </w:r>
      <w:r w:rsidRPr="00583E1A">
        <w:t>scheme; or</w:t>
      </w:r>
    </w:p>
    <w:p w:rsidR="00887330" w:rsidRPr="00583E1A" w:rsidRDefault="00887330" w:rsidP="00887330">
      <w:pPr>
        <w:pStyle w:val="paragraph"/>
      </w:pPr>
      <w:r w:rsidRPr="00583E1A">
        <w:tab/>
        <w:t>(d)</w:t>
      </w:r>
      <w:r w:rsidRPr="00583E1A">
        <w:tab/>
        <w:t>a trustee of the trust is accustomed or is under an obligation (whether formally or informally), or might reasonably be expected, to act in accordance with the relevant entity’s directions, instructions or wishes; or</w:t>
      </w:r>
    </w:p>
    <w:p w:rsidR="00887330" w:rsidRPr="00583E1A" w:rsidRDefault="00887330" w:rsidP="00887330">
      <w:pPr>
        <w:pStyle w:val="paragraph"/>
      </w:pPr>
      <w:r w:rsidRPr="00583E1A">
        <w:tab/>
        <w:t>(e)</w:t>
      </w:r>
      <w:r w:rsidRPr="00583E1A">
        <w:tab/>
        <w:t>the relevant entity is able to remove or appoint a trustee of the trust.</w:t>
      </w:r>
    </w:p>
    <w:p w:rsidR="00887330" w:rsidRPr="00583E1A" w:rsidRDefault="00887330" w:rsidP="00887330">
      <w:pPr>
        <w:pStyle w:val="SubsectionHead"/>
      </w:pPr>
      <w:r w:rsidRPr="00583E1A">
        <w:t>Exception</w:t>
      </w:r>
    </w:p>
    <w:p w:rsidR="00887330" w:rsidRPr="00583E1A" w:rsidRDefault="00887330" w:rsidP="00887330">
      <w:pPr>
        <w:pStyle w:val="subsection"/>
      </w:pPr>
      <w:r w:rsidRPr="00583E1A">
        <w:tab/>
        <w:t>(3)</w:t>
      </w:r>
      <w:r w:rsidRPr="00583E1A">
        <w:tab/>
        <w:t xml:space="preserve">Despite </w:t>
      </w:r>
      <w:r w:rsidR="00583E1A">
        <w:t>subsection (</w:t>
      </w:r>
      <w:r w:rsidRPr="00583E1A">
        <w:t>1), a trust is not an FCAT at a particular time if, at that time:</w:t>
      </w:r>
    </w:p>
    <w:p w:rsidR="00887330" w:rsidRPr="00583E1A" w:rsidRDefault="00887330" w:rsidP="00887330">
      <w:pPr>
        <w:pStyle w:val="paragraph"/>
      </w:pPr>
      <w:r w:rsidRPr="00583E1A">
        <w:tab/>
        <w:t>(a)</w:t>
      </w:r>
      <w:r w:rsidRPr="00583E1A">
        <w:tab/>
        <w:t xml:space="preserve">the trust would, apart from this subsection, be an FCAT only because of </w:t>
      </w:r>
      <w:r w:rsidR="00583E1A">
        <w:t>paragraph (</w:t>
      </w:r>
      <w:r w:rsidRPr="00583E1A">
        <w:t>1)(a) or (b); but</w:t>
      </w:r>
    </w:p>
    <w:p w:rsidR="00887330" w:rsidRPr="00583E1A" w:rsidRDefault="00887330" w:rsidP="00887330">
      <w:pPr>
        <w:pStyle w:val="paragraph"/>
      </w:pPr>
      <w:r w:rsidRPr="00583E1A">
        <w:tab/>
        <w:t>(b)</w:t>
      </w:r>
      <w:r w:rsidRPr="00583E1A">
        <w:tab/>
        <w:t>the total of the following interests would be less than 20% if paragraphs 820</w:t>
      </w:r>
      <w:r w:rsidR="00583E1A">
        <w:noBreakHyphen/>
      </w:r>
      <w:r w:rsidRPr="00583E1A">
        <w:t>875(2)(a) and (b) were disregarded:</w:t>
      </w:r>
    </w:p>
    <w:p w:rsidR="00887330" w:rsidRPr="00583E1A" w:rsidRDefault="00887330" w:rsidP="00887330">
      <w:pPr>
        <w:pStyle w:val="paragraphsub"/>
      </w:pPr>
      <w:r w:rsidRPr="00583E1A">
        <w:tab/>
        <w:t>(i)</w:t>
      </w:r>
      <w:r w:rsidRPr="00583E1A">
        <w:tab/>
        <w:t xml:space="preserve">the </w:t>
      </w:r>
      <w:r w:rsidR="00583E1A" w:rsidRPr="00583E1A">
        <w:rPr>
          <w:position w:val="6"/>
          <w:sz w:val="16"/>
        </w:rPr>
        <w:t>*</w:t>
      </w:r>
      <w:r w:rsidRPr="00583E1A">
        <w:t xml:space="preserve">TC direct control interest in the trust held by the </w:t>
      </w:r>
      <w:r w:rsidR="00583E1A" w:rsidRPr="00583E1A">
        <w:rPr>
          <w:position w:val="6"/>
          <w:sz w:val="16"/>
        </w:rPr>
        <w:t>*</w:t>
      </w:r>
      <w:r w:rsidRPr="00583E1A">
        <w:t xml:space="preserve">foreign entity or entities mentioned in </w:t>
      </w:r>
      <w:r w:rsidR="00583E1A">
        <w:t>paragraph (</w:t>
      </w:r>
      <w:r w:rsidRPr="00583E1A">
        <w:t>1)(a), (b) or (c);</w:t>
      </w:r>
    </w:p>
    <w:p w:rsidR="00887330" w:rsidRPr="00583E1A" w:rsidRDefault="00887330" w:rsidP="00887330">
      <w:pPr>
        <w:pStyle w:val="paragraphsub"/>
      </w:pPr>
      <w:r w:rsidRPr="00583E1A">
        <w:tab/>
        <w:t>(ii)</w:t>
      </w:r>
      <w:r w:rsidRPr="00583E1A">
        <w:tab/>
        <w:t xml:space="preserve">the </w:t>
      </w:r>
      <w:r w:rsidR="00583E1A" w:rsidRPr="00583E1A">
        <w:rPr>
          <w:position w:val="6"/>
          <w:sz w:val="16"/>
        </w:rPr>
        <w:t>*</w:t>
      </w:r>
      <w:r w:rsidRPr="00583E1A">
        <w:t>TC indirect control interest in the trust held by the foreign entity or entities;</w:t>
      </w:r>
    </w:p>
    <w:p w:rsidR="00887330" w:rsidRPr="00583E1A" w:rsidRDefault="00887330" w:rsidP="00887330">
      <w:pPr>
        <w:pStyle w:val="paragraphsub"/>
      </w:pPr>
      <w:r w:rsidRPr="00583E1A">
        <w:tab/>
        <w:t>(iii)</w:t>
      </w:r>
      <w:r w:rsidRPr="00583E1A">
        <w:tab/>
        <w:t xml:space="preserve">the TC direct control interests in the trust held by any </w:t>
      </w:r>
      <w:r w:rsidR="00583E1A" w:rsidRPr="00583E1A">
        <w:rPr>
          <w:position w:val="6"/>
          <w:sz w:val="16"/>
        </w:rPr>
        <w:t>*</w:t>
      </w:r>
      <w:r w:rsidRPr="00583E1A">
        <w:t xml:space="preserve">associate entities of the foreign entity or entities (other than any TC direct control interests that have been taken into account in calculating the interest mentioned in </w:t>
      </w:r>
      <w:r w:rsidR="00583E1A">
        <w:t>subparagraph (</w:t>
      </w:r>
      <w:r w:rsidRPr="00583E1A">
        <w:t>ii));</w:t>
      </w:r>
    </w:p>
    <w:p w:rsidR="00887330" w:rsidRPr="00583E1A" w:rsidRDefault="00887330" w:rsidP="00887330">
      <w:pPr>
        <w:pStyle w:val="paragraphsub"/>
      </w:pPr>
      <w:r w:rsidRPr="00583E1A">
        <w:lastRenderedPageBreak/>
        <w:tab/>
        <w:t>(iv)</w:t>
      </w:r>
      <w:r w:rsidRPr="00583E1A">
        <w:tab/>
        <w:t xml:space="preserve">the TC indirect control interests in the trust held by the entity’s associate entities (other than any TC indirect control interests that have been taken into account in calculating the interest mentioned in </w:t>
      </w:r>
      <w:r w:rsidR="00583E1A">
        <w:t>subparagraph (</w:t>
      </w:r>
      <w:r w:rsidRPr="00583E1A">
        <w:t>ii)).</w:t>
      </w:r>
    </w:p>
    <w:p w:rsidR="00887330" w:rsidRPr="00583E1A" w:rsidRDefault="00887330" w:rsidP="00887330">
      <w:pPr>
        <w:pStyle w:val="notetext"/>
      </w:pPr>
      <w:r w:rsidRPr="00583E1A">
        <w:t>Note:</w:t>
      </w:r>
      <w:r w:rsidRPr="00583E1A">
        <w:tab/>
        <w:t>Paragraphs 820</w:t>
      </w:r>
      <w:r w:rsidR="00583E1A">
        <w:noBreakHyphen/>
      </w:r>
      <w:r w:rsidRPr="00583E1A">
        <w:t>875(2)(a) and (b) set out special rules under which an entity is taken to hold a TC control tracing interest in another entity that is equal to 100%, which could then be taken into account in calculating a TC indirect control interest.</w:t>
      </w:r>
    </w:p>
    <w:p w:rsidR="00887330" w:rsidRPr="00583E1A" w:rsidRDefault="00887330" w:rsidP="00887330">
      <w:pPr>
        <w:pStyle w:val="ActHead5"/>
      </w:pPr>
      <w:bookmarkStart w:id="288" w:name="_Toc338939362"/>
      <w:r w:rsidRPr="00583E1A">
        <w:rPr>
          <w:rStyle w:val="CharSectno"/>
        </w:rPr>
        <w:t>820</w:t>
      </w:r>
      <w:r w:rsidR="00583E1A">
        <w:rPr>
          <w:rStyle w:val="CharSectno"/>
        </w:rPr>
        <w:noBreakHyphen/>
      </w:r>
      <w:r w:rsidRPr="00583E1A">
        <w:rPr>
          <w:rStyle w:val="CharSectno"/>
        </w:rPr>
        <w:t>795</w:t>
      </w:r>
      <w:r w:rsidRPr="00583E1A">
        <w:t xml:space="preserve">  What is a foreign controlled Australian partnership?</w:t>
      </w:r>
      <w:bookmarkEnd w:id="288"/>
    </w:p>
    <w:p w:rsidR="00887330" w:rsidRPr="00583E1A" w:rsidRDefault="00887330" w:rsidP="00887330">
      <w:pPr>
        <w:pStyle w:val="SubsectionHead"/>
      </w:pPr>
      <w:r w:rsidRPr="00583E1A">
        <w:t>Corporate limited partnership</w:t>
      </w:r>
    </w:p>
    <w:p w:rsidR="00887330" w:rsidRPr="00583E1A" w:rsidRDefault="00887330" w:rsidP="00887330">
      <w:pPr>
        <w:pStyle w:val="subsection"/>
      </w:pPr>
      <w:r w:rsidRPr="00583E1A">
        <w:tab/>
        <w:t>(1)</w:t>
      </w:r>
      <w:r w:rsidRPr="00583E1A">
        <w:tab/>
        <w:t xml:space="preserve">A </w:t>
      </w:r>
      <w:r w:rsidR="00583E1A" w:rsidRPr="00583E1A">
        <w:rPr>
          <w:position w:val="6"/>
          <w:sz w:val="16"/>
        </w:rPr>
        <w:t>*</w:t>
      </w:r>
      <w:r w:rsidRPr="00583E1A">
        <w:t xml:space="preserve">corporate limited partnership is a </w:t>
      </w:r>
      <w:r w:rsidRPr="00583E1A">
        <w:rPr>
          <w:b/>
          <w:i/>
        </w:rPr>
        <w:t>foreign controlled Australian partnership</w:t>
      </w:r>
      <w:r w:rsidRPr="00583E1A">
        <w:t xml:space="preserve"> (or an </w:t>
      </w:r>
      <w:r w:rsidRPr="00583E1A">
        <w:rPr>
          <w:b/>
          <w:i/>
        </w:rPr>
        <w:t>FCAP</w:t>
      </w:r>
      <w:r w:rsidRPr="00583E1A">
        <w:t>) at a particular time if, and only if, at that time:</w:t>
      </w:r>
    </w:p>
    <w:p w:rsidR="00887330" w:rsidRPr="00583E1A" w:rsidRDefault="00887330" w:rsidP="00887330">
      <w:pPr>
        <w:pStyle w:val="paragraph"/>
      </w:pPr>
      <w:r w:rsidRPr="00583E1A">
        <w:tab/>
        <w:t>(a)</w:t>
      </w:r>
      <w:r w:rsidRPr="00583E1A">
        <w:tab/>
        <w:t xml:space="preserve">it is an </w:t>
      </w:r>
      <w:r w:rsidR="00583E1A" w:rsidRPr="00583E1A">
        <w:rPr>
          <w:position w:val="6"/>
          <w:sz w:val="16"/>
        </w:rPr>
        <w:t>*</w:t>
      </w:r>
      <w:r w:rsidRPr="00583E1A">
        <w:t>Australian entity; and</w:t>
      </w:r>
    </w:p>
    <w:p w:rsidR="00887330" w:rsidRPr="00583E1A" w:rsidRDefault="00887330" w:rsidP="00887330">
      <w:pPr>
        <w:pStyle w:val="paragraph"/>
      </w:pPr>
      <w:r w:rsidRPr="00583E1A">
        <w:tab/>
        <w:t>(b)</w:t>
      </w:r>
      <w:r w:rsidRPr="00583E1A">
        <w:tab/>
        <w:t>at least one of the following subparagraphs applies to it:</w:t>
      </w:r>
    </w:p>
    <w:p w:rsidR="00887330" w:rsidRPr="00583E1A" w:rsidRDefault="00887330" w:rsidP="00887330">
      <w:pPr>
        <w:pStyle w:val="paragraphsub"/>
      </w:pPr>
      <w:r w:rsidRPr="00583E1A">
        <w:tab/>
        <w:t>(i)</w:t>
      </w:r>
      <w:r w:rsidRPr="00583E1A">
        <w:tab/>
        <w:t xml:space="preserve">not more than 5 </w:t>
      </w:r>
      <w:r w:rsidR="00583E1A" w:rsidRPr="00583E1A">
        <w:rPr>
          <w:position w:val="6"/>
          <w:sz w:val="16"/>
        </w:rPr>
        <w:t>*</w:t>
      </w:r>
      <w:r w:rsidRPr="00583E1A">
        <w:t xml:space="preserve">foreign entities (each of which holds a </w:t>
      </w:r>
      <w:r w:rsidR="00583E1A" w:rsidRPr="00583E1A">
        <w:rPr>
          <w:position w:val="6"/>
          <w:sz w:val="16"/>
        </w:rPr>
        <w:t>*</w:t>
      </w:r>
      <w:r w:rsidRPr="00583E1A">
        <w:t>TC control interest in the partnership that is at least 1%) hold a total of TC control interests in the partnership that are 50% or more;</w:t>
      </w:r>
    </w:p>
    <w:p w:rsidR="00887330" w:rsidRPr="00583E1A" w:rsidRDefault="00887330" w:rsidP="00887330">
      <w:pPr>
        <w:pStyle w:val="paragraphsub"/>
      </w:pPr>
      <w:r w:rsidRPr="00583E1A">
        <w:tab/>
        <w:t>(ii)</w:t>
      </w:r>
      <w:r w:rsidRPr="00583E1A">
        <w:tab/>
        <w:t xml:space="preserve">at least one </w:t>
      </w:r>
      <w:r w:rsidR="00583E1A" w:rsidRPr="00583E1A">
        <w:rPr>
          <w:position w:val="6"/>
          <w:sz w:val="16"/>
        </w:rPr>
        <w:t>*</w:t>
      </w:r>
      <w:r w:rsidRPr="00583E1A">
        <w:t xml:space="preserve">general partner of the partnership is a foreign entity or a </w:t>
      </w:r>
      <w:r w:rsidR="00583E1A" w:rsidRPr="00583E1A">
        <w:rPr>
          <w:position w:val="6"/>
          <w:sz w:val="16"/>
        </w:rPr>
        <w:t>*</w:t>
      </w:r>
      <w:r w:rsidRPr="00583E1A">
        <w:t>foreign controlled Australian entity.</w:t>
      </w:r>
    </w:p>
    <w:p w:rsidR="00887330" w:rsidRPr="00583E1A" w:rsidRDefault="00887330" w:rsidP="00887330">
      <w:pPr>
        <w:pStyle w:val="SubsectionHead"/>
      </w:pPr>
      <w:r w:rsidRPr="00583E1A">
        <w:t>Partnership that is not a corporate limited partnership</w:t>
      </w:r>
    </w:p>
    <w:p w:rsidR="00887330" w:rsidRPr="00583E1A" w:rsidRDefault="00887330" w:rsidP="00887330">
      <w:pPr>
        <w:pStyle w:val="subsection"/>
      </w:pPr>
      <w:r w:rsidRPr="00583E1A">
        <w:tab/>
        <w:t>(2)</w:t>
      </w:r>
      <w:r w:rsidRPr="00583E1A">
        <w:tab/>
        <w:t xml:space="preserve">A partnership other than a </w:t>
      </w:r>
      <w:r w:rsidR="00583E1A" w:rsidRPr="00583E1A">
        <w:rPr>
          <w:position w:val="6"/>
          <w:sz w:val="16"/>
        </w:rPr>
        <w:t>*</w:t>
      </w:r>
      <w:r w:rsidRPr="00583E1A">
        <w:t xml:space="preserve">corporate limited partnership is a </w:t>
      </w:r>
      <w:r w:rsidRPr="00583E1A">
        <w:rPr>
          <w:b/>
          <w:i/>
        </w:rPr>
        <w:t>foreign controlled Australian partnership</w:t>
      </w:r>
      <w:r w:rsidRPr="00583E1A">
        <w:t xml:space="preserve"> (or an </w:t>
      </w:r>
      <w:r w:rsidRPr="00583E1A">
        <w:rPr>
          <w:b/>
          <w:i/>
        </w:rPr>
        <w:t>FCAP</w:t>
      </w:r>
      <w:r w:rsidRPr="00583E1A">
        <w:t>) at a particular time if, and only if, at that time:</w:t>
      </w:r>
    </w:p>
    <w:p w:rsidR="00887330" w:rsidRPr="00583E1A" w:rsidRDefault="00887330" w:rsidP="00887330">
      <w:pPr>
        <w:pStyle w:val="paragraph"/>
      </w:pPr>
      <w:r w:rsidRPr="00583E1A">
        <w:tab/>
        <w:t>(a)</w:t>
      </w:r>
      <w:r w:rsidRPr="00583E1A">
        <w:tab/>
        <w:t xml:space="preserve">at least one of the partners is an </w:t>
      </w:r>
      <w:r w:rsidR="00583E1A" w:rsidRPr="00583E1A">
        <w:rPr>
          <w:position w:val="6"/>
          <w:sz w:val="16"/>
        </w:rPr>
        <w:t>*</w:t>
      </w:r>
      <w:r w:rsidRPr="00583E1A">
        <w:t>Australian entity; and</w:t>
      </w:r>
    </w:p>
    <w:p w:rsidR="00887330" w:rsidRPr="00583E1A" w:rsidRDefault="00887330" w:rsidP="00887330">
      <w:pPr>
        <w:pStyle w:val="paragraph"/>
      </w:pPr>
      <w:r w:rsidRPr="00583E1A">
        <w:tab/>
        <w:t>(b)</w:t>
      </w:r>
      <w:r w:rsidRPr="00583E1A">
        <w:tab/>
        <w:t>at least one of the following subparagraphs applies to it:</w:t>
      </w:r>
    </w:p>
    <w:p w:rsidR="00887330" w:rsidRPr="00583E1A" w:rsidRDefault="00887330" w:rsidP="00887330">
      <w:pPr>
        <w:pStyle w:val="paragraphsub"/>
      </w:pPr>
      <w:r w:rsidRPr="00583E1A">
        <w:tab/>
        <w:t>(i)</w:t>
      </w:r>
      <w:r w:rsidRPr="00583E1A">
        <w:tab/>
        <w:t xml:space="preserve">not more than 5 </w:t>
      </w:r>
      <w:r w:rsidR="00583E1A" w:rsidRPr="00583E1A">
        <w:rPr>
          <w:position w:val="6"/>
          <w:sz w:val="16"/>
        </w:rPr>
        <w:t>*</w:t>
      </w:r>
      <w:r w:rsidRPr="00583E1A">
        <w:t xml:space="preserve">foreign entities (each of which holds a </w:t>
      </w:r>
      <w:r w:rsidR="00583E1A" w:rsidRPr="00583E1A">
        <w:rPr>
          <w:position w:val="6"/>
          <w:sz w:val="16"/>
        </w:rPr>
        <w:t>*</w:t>
      </w:r>
      <w:r w:rsidRPr="00583E1A">
        <w:t>TC control interest in the partnership that is at least 1%) hold a total of TC control interests in the partnership that is 50% or more;</w:t>
      </w:r>
    </w:p>
    <w:p w:rsidR="00887330" w:rsidRPr="00583E1A" w:rsidRDefault="00887330" w:rsidP="00887330">
      <w:pPr>
        <w:pStyle w:val="paragraphsub"/>
      </w:pPr>
      <w:r w:rsidRPr="00583E1A">
        <w:tab/>
        <w:t>(ii)</w:t>
      </w:r>
      <w:r w:rsidRPr="00583E1A">
        <w:tab/>
        <w:t xml:space="preserve">a foreign entity holds a TC control interest in the partnership that is 40% or more, and no other entity or entities (except an </w:t>
      </w:r>
      <w:r w:rsidR="00583E1A" w:rsidRPr="00583E1A">
        <w:rPr>
          <w:position w:val="6"/>
          <w:sz w:val="16"/>
        </w:rPr>
        <w:t>*</w:t>
      </w:r>
      <w:r w:rsidRPr="00583E1A">
        <w:t xml:space="preserve">associate entity of the foreign entity </w:t>
      </w:r>
      <w:r w:rsidRPr="00583E1A">
        <w:lastRenderedPageBreak/>
        <w:t>or entities including the foreign entity or its associate entities) control the partnership.</w:t>
      </w:r>
    </w:p>
    <w:p w:rsidR="00887330" w:rsidRPr="00583E1A" w:rsidRDefault="00887330" w:rsidP="00887330">
      <w:pPr>
        <w:pStyle w:val="SubsectionHead"/>
      </w:pPr>
      <w:r w:rsidRPr="00583E1A">
        <w:t>Exception</w:t>
      </w:r>
    </w:p>
    <w:p w:rsidR="00887330" w:rsidRPr="00583E1A" w:rsidRDefault="00887330" w:rsidP="00887330">
      <w:pPr>
        <w:pStyle w:val="subsection"/>
      </w:pPr>
      <w:r w:rsidRPr="00583E1A">
        <w:tab/>
        <w:t>(3)</w:t>
      </w:r>
      <w:r w:rsidRPr="00583E1A">
        <w:tab/>
        <w:t xml:space="preserve">Despite </w:t>
      </w:r>
      <w:r w:rsidR="00583E1A">
        <w:t>subsections (</w:t>
      </w:r>
      <w:r w:rsidRPr="00583E1A">
        <w:t>1) and (2), a partnership is not an FCAP at a particular time if, at that time:</w:t>
      </w:r>
    </w:p>
    <w:p w:rsidR="00887330" w:rsidRPr="00583E1A" w:rsidRDefault="00887330" w:rsidP="00887330">
      <w:pPr>
        <w:pStyle w:val="paragraph"/>
      </w:pPr>
      <w:r w:rsidRPr="00583E1A">
        <w:tab/>
        <w:t>(a)</w:t>
      </w:r>
      <w:r w:rsidRPr="00583E1A">
        <w:tab/>
        <w:t xml:space="preserve">the partnership would, apart from this subsection, be an FCAP only because of </w:t>
      </w:r>
      <w:r w:rsidR="00583E1A">
        <w:t>subparagraph (</w:t>
      </w:r>
      <w:r w:rsidRPr="00583E1A">
        <w:t>1)(b)(i), (2)(b)(i) or (ii); but</w:t>
      </w:r>
    </w:p>
    <w:p w:rsidR="00887330" w:rsidRPr="00583E1A" w:rsidRDefault="00887330" w:rsidP="00887330">
      <w:pPr>
        <w:pStyle w:val="paragraph"/>
      </w:pPr>
      <w:r w:rsidRPr="00583E1A">
        <w:tab/>
        <w:t>(b)</w:t>
      </w:r>
      <w:r w:rsidRPr="00583E1A">
        <w:tab/>
        <w:t>the total of the following interests would be less than 20% if paragraphs 820</w:t>
      </w:r>
      <w:r w:rsidR="00583E1A">
        <w:noBreakHyphen/>
      </w:r>
      <w:r w:rsidRPr="00583E1A">
        <w:t>875(2)(a) and (b) were disregarded:</w:t>
      </w:r>
    </w:p>
    <w:p w:rsidR="00887330" w:rsidRPr="00583E1A" w:rsidRDefault="00887330" w:rsidP="00887330">
      <w:pPr>
        <w:pStyle w:val="paragraphsub"/>
      </w:pPr>
      <w:r w:rsidRPr="00583E1A">
        <w:tab/>
        <w:t>(i)</w:t>
      </w:r>
      <w:r w:rsidRPr="00583E1A">
        <w:tab/>
        <w:t xml:space="preserve">the </w:t>
      </w:r>
      <w:r w:rsidR="00583E1A" w:rsidRPr="00583E1A">
        <w:rPr>
          <w:position w:val="6"/>
          <w:sz w:val="16"/>
        </w:rPr>
        <w:t>*</w:t>
      </w:r>
      <w:r w:rsidRPr="00583E1A">
        <w:t xml:space="preserve">TC direct control interest in the partnership held by the </w:t>
      </w:r>
      <w:r w:rsidR="00583E1A" w:rsidRPr="00583E1A">
        <w:rPr>
          <w:position w:val="6"/>
          <w:sz w:val="16"/>
        </w:rPr>
        <w:t>*</w:t>
      </w:r>
      <w:r w:rsidRPr="00583E1A">
        <w:t xml:space="preserve">foreign entity or entities mentioned in </w:t>
      </w:r>
      <w:r w:rsidR="00583E1A">
        <w:t>subparagraph (</w:t>
      </w:r>
      <w:r w:rsidRPr="00583E1A">
        <w:t>1)(b)(i), (2)(b)(i) or (ii);</w:t>
      </w:r>
    </w:p>
    <w:p w:rsidR="00887330" w:rsidRPr="00583E1A" w:rsidRDefault="00887330" w:rsidP="00887330">
      <w:pPr>
        <w:pStyle w:val="paragraphsub"/>
      </w:pPr>
      <w:r w:rsidRPr="00583E1A">
        <w:tab/>
        <w:t>(ii)</w:t>
      </w:r>
      <w:r w:rsidRPr="00583E1A">
        <w:tab/>
        <w:t xml:space="preserve">the </w:t>
      </w:r>
      <w:r w:rsidR="00583E1A" w:rsidRPr="00583E1A">
        <w:rPr>
          <w:position w:val="6"/>
          <w:sz w:val="16"/>
        </w:rPr>
        <w:t>*</w:t>
      </w:r>
      <w:r w:rsidRPr="00583E1A">
        <w:t>TC indirect control interest in the partnership held by the foreign entity or entities;</w:t>
      </w:r>
    </w:p>
    <w:p w:rsidR="00887330" w:rsidRPr="00583E1A" w:rsidRDefault="00887330" w:rsidP="00887330">
      <w:pPr>
        <w:pStyle w:val="paragraphsub"/>
      </w:pPr>
      <w:r w:rsidRPr="00583E1A">
        <w:tab/>
        <w:t>(iii)</w:t>
      </w:r>
      <w:r w:rsidRPr="00583E1A">
        <w:tab/>
        <w:t xml:space="preserve">the TC direct control interests in the partnership held by any </w:t>
      </w:r>
      <w:r w:rsidR="00583E1A" w:rsidRPr="00583E1A">
        <w:rPr>
          <w:position w:val="6"/>
          <w:sz w:val="16"/>
        </w:rPr>
        <w:t>*</w:t>
      </w:r>
      <w:r w:rsidRPr="00583E1A">
        <w:t xml:space="preserve">associate entities of the foreign entity or entities (other than any TC direct control interests that have been taken into account in calculating the interest mentioned in </w:t>
      </w:r>
      <w:r w:rsidR="00583E1A">
        <w:t>subparagraph (</w:t>
      </w:r>
      <w:r w:rsidRPr="00583E1A">
        <w:t>ii));</w:t>
      </w:r>
    </w:p>
    <w:p w:rsidR="00887330" w:rsidRPr="00583E1A" w:rsidRDefault="00887330" w:rsidP="00887330">
      <w:pPr>
        <w:pStyle w:val="paragraphsub"/>
      </w:pPr>
      <w:r w:rsidRPr="00583E1A">
        <w:tab/>
        <w:t>(iv)</w:t>
      </w:r>
      <w:r w:rsidRPr="00583E1A">
        <w:tab/>
        <w:t xml:space="preserve">the TC indirect control interests in the partnership held by the entity’s associate entities (other than any TC indirect control interests that have been taken into account in calculating the interest mentioned in </w:t>
      </w:r>
      <w:r w:rsidR="00583E1A">
        <w:t>subparagraph (</w:t>
      </w:r>
      <w:r w:rsidRPr="00583E1A">
        <w:t>ii)).</w:t>
      </w:r>
    </w:p>
    <w:p w:rsidR="00887330" w:rsidRPr="00583E1A" w:rsidRDefault="00887330" w:rsidP="00887330">
      <w:pPr>
        <w:pStyle w:val="notetext"/>
      </w:pPr>
      <w:r w:rsidRPr="00583E1A">
        <w:t>Note:</w:t>
      </w:r>
      <w:r w:rsidRPr="00583E1A">
        <w:tab/>
        <w:t>Paragraphs 820</w:t>
      </w:r>
      <w:r w:rsidR="00583E1A">
        <w:noBreakHyphen/>
      </w:r>
      <w:r w:rsidRPr="00583E1A">
        <w:t>875(2)(a) and (b) set out special rules under which an entity is taken to hold a TC control tracing interest in another entity that is equal to 100%, which could then be taken into account in calculating a TC indirect control interest.</w:t>
      </w:r>
    </w:p>
    <w:p w:rsidR="00887330" w:rsidRPr="00583E1A" w:rsidRDefault="00887330" w:rsidP="003C48B0">
      <w:pPr>
        <w:pStyle w:val="ActHead4"/>
      </w:pPr>
      <w:bookmarkStart w:id="289" w:name="_Toc338939363"/>
      <w:r w:rsidRPr="00583E1A">
        <w:lastRenderedPageBreak/>
        <w:t>Thin capitalisation control interest</w:t>
      </w:r>
      <w:bookmarkEnd w:id="289"/>
    </w:p>
    <w:p w:rsidR="00887330" w:rsidRPr="00583E1A" w:rsidRDefault="00887330" w:rsidP="003C48B0">
      <w:pPr>
        <w:pStyle w:val="ActHead5"/>
      </w:pPr>
      <w:bookmarkStart w:id="290" w:name="_Toc338939364"/>
      <w:r w:rsidRPr="00583E1A">
        <w:rPr>
          <w:rStyle w:val="CharSectno"/>
        </w:rPr>
        <w:t>820</w:t>
      </w:r>
      <w:r w:rsidR="00583E1A">
        <w:rPr>
          <w:rStyle w:val="CharSectno"/>
        </w:rPr>
        <w:noBreakHyphen/>
      </w:r>
      <w:r w:rsidRPr="00583E1A">
        <w:rPr>
          <w:rStyle w:val="CharSectno"/>
        </w:rPr>
        <w:t>815</w:t>
      </w:r>
      <w:r w:rsidRPr="00583E1A">
        <w:t xml:space="preserve">  General rule about thin capitalisation control interest in a company, trust or partnership</w:t>
      </w:r>
      <w:bookmarkEnd w:id="290"/>
    </w:p>
    <w:p w:rsidR="00887330" w:rsidRPr="00583E1A" w:rsidRDefault="00887330" w:rsidP="003C48B0">
      <w:pPr>
        <w:pStyle w:val="SubsectionHead"/>
      </w:pPr>
      <w:r w:rsidRPr="00583E1A">
        <w:t>Meaning of TC control interest</w:t>
      </w:r>
    </w:p>
    <w:p w:rsidR="00887330" w:rsidRPr="00583E1A" w:rsidRDefault="00887330" w:rsidP="003C48B0">
      <w:pPr>
        <w:pStyle w:val="subsection"/>
        <w:keepNext/>
        <w:keepLines/>
      </w:pPr>
      <w:r w:rsidRPr="00583E1A">
        <w:tab/>
        <w:t>(1)</w:t>
      </w:r>
      <w:r w:rsidRPr="00583E1A">
        <w:tab/>
        <w:t xml:space="preserve">The </w:t>
      </w:r>
      <w:r w:rsidRPr="00583E1A">
        <w:rPr>
          <w:b/>
          <w:i/>
        </w:rPr>
        <w:t>thin capitalisation control interest</w:t>
      </w:r>
      <w:r w:rsidRPr="00583E1A">
        <w:t xml:space="preserve"> (or </w:t>
      </w:r>
      <w:r w:rsidRPr="00583E1A">
        <w:rPr>
          <w:b/>
          <w:i/>
        </w:rPr>
        <w:t>TC control interest</w:t>
      </w:r>
      <w:r w:rsidRPr="00583E1A">
        <w:t>) that an entity holds in a company, trust or partnership at a particular time is the total of the following interests:</w:t>
      </w:r>
    </w:p>
    <w:p w:rsidR="00887330" w:rsidRPr="00583E1A" w:rsidRDefault="00887330" w:rsidP="00887330">
      <w:pPr>
        <w:pStyle w:val="paragraph"/>
      </w:pPr>
      <w:r w:rsidRPr="00583E1A">
        <w:tab/>
        <w:t>(a)</w:t>
      </w:r>
      <w:r w:rsidRPr="00583E1A">
        <w:tab/>
        <w:t xml:space="preserve">the </w:t>
      </w:r>
      <w:r w:rsidR="00583E1A" w:rsidRPr="00583E1A">
        <w:rPr>
          <w:position w:val="6"/>
          <w:sz w:val="16"/>
        </w:rPr>
        <w:t>*</w:t>
      </w:r>
      <w:r w:rsidRPr="00583E1A">
        <w:t>TC direct control interest (if any) held by the entity in the company, trust or partnership at that time;</w:t>
      </w:r>
    </w:p>
    <w:p w:rsidR="00887330" w:rsidRPr="00583E1A" w:rsidRDefault="00887330" w:rsidP="00887330">
      <w:pPr>
        <w:pStyle w:val="paragraph"/>
      </w:pPr>
      <w:r w:rsidRPr="00583E1A">
        <w:tab/>
        <w:t>(b)</w:t>
      </w:r>
      <w:r w:rsidRPr="00583E1A">
        <w:tab/>
        <w:t xml:space="preserve">the </w:t>
      </w:r>
      <w:r w:rsidR="00583E1A" w:rsidRPr="00583E1A">
        <w:rPr>
          <w:position w:val="6"/>
          <w:sz w:val="16"/>
        </w:rPr>
        <w:t>*</w:t>
      </w:r>
      <w:r w:rsidRPr="00583E1A">
        <w:t>TC indirect control interest (if any) held by the entity in the company, trust or partnership at that time;</w:t>
      </w:r>
    </w:p>
    <w:p w:rsidR="00887330" w:rsidRPr="00583E1A" w:rsidRDefault="00887330" w:rsidP="00887330">
      <w:pPr>
        <w:pStyle w:val="paragraph"/>
      </w:pPr>
      <w:r w:rsidRPr="00583E1A">
        <w:tab/>
        <w:t>(c)</w:t>
      </w:r>
      <w:r w:rsidRPr="00583E1A">
        <w:tab/>
        <w:t xml:space="preserve">the TC direct control interests (if any) held by the entity’s </w:t>
      </w:r>
      <w:r w:rsidR="00583E1A" w:rsidRPr="00583E1A">
        <w:rPr>
          <w:position w:val="6"/>
          <w:sz w:val="16"/>
        </w:rPr>
        <w:t>*</w:t>
      </w:r>
      <w:r w:rsidRPr="00583E1A">
        <w:t>associate entities in the company, trust or partnership at that time;</w:t>
      </w:r>
    </w:p>
    <w:p w:rsidR="00887330" w:rsidRPr="00583E1A" w:rsidRDefault="00887330" w:rsidP="00887330">
      <w:pPr>
        <w:pStyle w:val="paragraph"/>
      </w:pPr>
      <w:r w:rsidRPr="00583E1A">
        <w:tab/>
        <w:t>(d)</w:t>
      </w:r>
      <w:r w:rsidRPr="00583E1A">
        <w:tab/>
        <w:t>the TC indirect control interests (if any) held by the entity’s associate entities in the company, trust or partnership at that time.</w:t>
      </w:r>
    </w:p>
    <w:p w:rsidR="00887330" w:rsidRPr="00583E1A" w:rsidRDefault="00887330" w:rsidP="00887330">
      <w:pPr>
        <w:pStyle w:val="subsection2"/>
      </w:pPr>
      <w:r w:rsidRPr="00583E1A">
        <w:t>This section has effect subject to sections</w:t>
      </w:r>
      <w:r w:rsidR="00583E1A">
        <w:t> </w:t>
      </w:r>
      <w:r w:rsidRPr="00583E1A">
        <w:t>820</w:t>
      </w:r>
      <w:r w:rsidR="00583E1A">
        <w:noBreakHyphen/>
      </w:r>
      <w:r w:rsidRPr="00583E1A">
        <w:t>820 to 820</w:t>
      </w:r>
      <w:r w:rsidR="00583E1A">
        <w:noBreakHyphen/>
      </w:r>
      <w:r w:rsidRPr="00583E1A">
        <w:t>835 (which set out special rules to avoid double counting).</w:t>
      </w:r>
    </w:p>
    <w:p w:rsidR="00887330" w:rsidRPr="00583E1A" w:rsidRDefault="00887330" w:rsidP="00887330">
      <w:pPr>
        <w:pStyle w:val="notetext"/>
      </w:pPr>
      <w:r w:rsidRPr="00583E1A">
        <w:t>Note:</w:t>
      </w:r>
      <w:r w:rsidRPr="00583E1A">
        <w:tab/>
        <w:t>For the rules about a TC direct control interest, see sections</w:t>
      </w:r>
      <w:r w:rsidR="00583E1A">
        <w:t> </w:t>
      </w:r>
      <w:r w:rsidRPr="00583E1A">
        <w:t>820</w:t>
      </w:r>
      <w:r w:rsidR="00583E1A">
        <w:noBreakHyphen/>
      </w:r>
      <w:r w:rsidRPr="00583E1A">
        <w:t>855 to 820</w:t>
      </w:r>
      <w:r w:rsidR="00583E1A">
        <w:noBreakHyphen/>
      </w:r>
      <w:r w:rsidRPr="00583E1A">
        <w:t>865. For the rules about a TC indirect control interest, see sections</w:t>
      </w:r>
      <w:r w:rsidR="00583E1A">
        <w:t> </w:t>
      </w:r>
      <w:r w:rsidRPr="00583E1A">
        <w:t>820</w:t>
      </w:r>
      <w:r w:rsidR="00583E1A">
        <w:noBreakHyphen/>
      </w:r>
      <w:r w:rsidRPr="00583E1A">
        <w:t>870 to 820</w:t>
      </w:r>
      <w:r w:rsidR="00583E1A">
        <w:noBreakHyphen/>
      </w:r>
      <w:r w:rsidRPr="00583E1A">
        <w:t>875.</w:t>
      </w:r>
    </w:p>
    <w:p w:rsidR="00887330" w:rsidRPr="00583E1A" w:rsidRDefault="00887330" w:rsidP="00887330">
      <w:pPr>
        <w:pStyle w:val="subsection"/>
      </w:pPr>
      <w:r w:rsidRPr="00583E1A">
        <w:tab/>
        <w:t>(2)</w:t>
      </w:r>
      <w:r w:rsidRPr="00583E1A">
        <w:tab/>
        <w:t xml:space="preserve">This section does not apply to an </w:t>
      </w:r>
      <w:r w:rsidR="00583E1A" w:rsidRPr="00583E1A">
        <w:rPr>
          <w:position w:val="6"/>
          <w:sz w:val="16"/>
        </w:rPr>
        <w:t>*</w:t>
      </w:r>
      <w:r w:rsidRPr="00583E1A">
        <w:t>associate entity of the entity if:</w:t>
      </w:r>
    </w:p>
    <w:p w:rsidR="00887330" w:rsidRPr="00583E1A" w:rsidRDefault="00887330" w:rsidP="00887330">
      <w:pPr>
        <w:pStyle w:val="paragraph"/>
      </w:pPr>
      <w:r w:rsidRPr="00583E1A">
        <w:tab/>
        <w:t>(a)</w:t>
      </w:r>
      <w:r w:rsidRPr="00583E1A">
        <w:tab/>
        <w:t xml:space="preserve">the associate entity is a </w:t>
      </w:r>
      <w:r w:rsidR="00583E1A" w:rsidRPr="00583E1A">
        <w:rPr>
          <w:position w:val="6"/>
          <w:sz w:val="16"/>
        </w:rPr>
        <w:t>*</w:t>
      </w:r>
      <w:r w:rsidRPr="00583E1A">
        <w:t>foreign entity and the associate entity is such an associate entity only because of subsection 820</w:t>
      </w:r>
      <w:r w:rsidR="00583E1A">
        <w:noBreakHyphen/>
      </w:r>
      <w:r w:rsidRPr="00583E1A">
        <w:t>905(3A); or</w:t>
      </w:r>
    </w:p>
    <w:p w:rsidR="00887330" w:rsidRPr="00583E1A" w:rsidRDefault="00887330" w:rsidP="00887330">
      <w:pPr>
        <w:pStyle w:val="paragraph"/>
      </w:pPr>
      <w:r w:rsidRPr="00583E1A">
        <w:tab/>
        <w:t>(b)</w:t>
      </w:r>
      <w:r w:rsidRPr="00583E1A">
        <w:tab/>
        <w:t>the associate entity is such an associate entity only because of subsection 820</w:t>
      </w:r>
      <w:r w:rsidR="00583E1A">
        <w:noBreakHyphen/>
      </w:r>
      <w:r w:rsidRPr="00583E1A">
        <w:t>905(3B).</w:t>
      </w:r>
    </w:p>
    <w:p w:rsidR="00887330" w:rsidRPr="00583E1A" w:rsidRDefault="00887330" w:rsidP="00887330">
      <w:pPr>
        <w:pStyle w:val="ActHead5"/>
      </w:pPr>
      <w:bookmarkStart w:id="291" w:name="_Toc338939365"/>
      <w:r w:rsidRPr="00583E1A">
        <w:rPr>
          <w:rStyle w:val="CharSectno"/>
        </w:rPr>
        <w:t>820</w:t>
      </w:r>
      <w:r w:rsidR="00583E1A">
        <w:rPr>
          <w:rStyle w:val="CharSectno"/>
        </w:rPr>
        <w:noBreakHyphen/>
      </w:r>
      <w:r w:rsidRPr="00583E1A">
        <w:rPr>
          <w:rStyle w:val="CharSectno"/>
        </w:rPr>
        <w:t>820</w:t>
      </w:r>
      <w:r w:rsidRPr="00583E1A">
        <w:t xml:space="preserve">  Special rules about calculating TC control interest held by an entity</w:t>
      </w:r>
      <w:bookmarkEnd w:id="291"/>
    </w:p>
    <w:p w:rsidR="00887330" w:rsidRPr="00583E1A" w:rsidRDefault="00887330" w:rsidP="00887330">
      <w:pPr>
        <w:pStyle w:val="subsection"/>
      </w:pPr>
      <w:r w:rsidRPr="00583E1A">
        <w:tab/>
        <w:t>(1)</w:t>
      </w:r>
      <w:r w:rsidRPr="00583E1A">
        <w:tab/>
        <w:t xml:space="preserve">This section applies for the purposes of calculating the </w:t>
      </w:r>
      <w:r w:rsidR="00583E1A" w:rsidRPr="00583E1A">
        <w:rPr>
          <w:position w:val="6"/>
          <w:sz w:val="16"/>
        </w:rPr>
        <w:t>*</w:t>
      </w:r>
      <w:r w:rsidRPr="00583E1A">
        <w:t>TC control interest that an entity holds in a company, trust or partnership.</w:t>
      </w:r>
    </w:p>
    <w:p w:rsidR="00887330" w:rsidRPr="00583E1A" w:rsidRDefault="00887330" w:rsidP="00887330">
      <w:pPr>
        <w:pStyle w:val="subsection"/>
      </w:pPr>
      <w:r w:rsidRPr="00583E1A">
        <w:lastRenderedPageBreak/>
        <w:tab/>
        <w:t>(2)</w:t>
      </w:r>
      <w:r w:rsidRPr="00583E1A">
        <w:tab/>
        <w:t xml:space="preserve">Disregard a </w:t>
      </w:r>
      <w:r w:rsidR="00583E1A" w:rsidRPr="00583E1A">
        <w:rPr>
          <w:position w:val="6"/>
          <w:sz w:val="16"/>
        </w:rPr>
        <w:t>*</w:t>
      </w:r>
      <w:r w:rsidRPr="00583E1A">
        <w:t>TC indirect control interest held by the entity to the extent to which it is calculated by reference to:</w:t>
      </w:r>
    </w:p>
    <w:p w:rsidR="00887330" w:rsidRPr="00583E1A" w:rsidRDefault="00887330" w:rsidP="00887330">
      <w:pPr>
        <w:pStyle w:val="paragraph"/>
      </w:pPr>
      <w:r w:rsidRPr="00583E1A">
        <w:tab/>
        <w:t>(a)</w:t>
      </w:r>
      <w:r w:rsidRPr="00583E1A">
        <w:tab/>
        <w:t xml:space="preserve">a </w:t>
      </w:r>
      <w:r w:rsidR="00583E1A" w:rsidRPr="00583E1A">
        <w:rPr>
          <w:position w:val="6"/>
          <w:sz w:val="16"/>
        </w:rPr>
        <w:t>*</w:t>
      </w:r>
      <w:r w:rsidRPr="00583E1A">
        <w:t>TC direct control interest taken into account under paragraph 820</w:t>
      </w:r>
      <w:r w:rsidR="00583E1A">
        <w:noBreakHyphen/>
      </w:r>
      <w:r w:rsidRPr="00583E1A">
        <w:t>815(c); or</w:t>
      </w:r>
    </w:p>
    <w:p w:rsidR="00887330" w:rsidRPr="00583E1A" w:rsidRDefault="00887330" w:rsidP="00887330">
      <w:pPr>
        <w:pStyle w:val="paragraph"/>
      </w:pPr>
      <w:r w:rsidRPr="00583E1A">
        <w:tab/>
        <w:t>(b)</w:t>
      </w:r>
      <w:r w:rsidRPr="00583E1A">
        <w:tab/>
        <w:t>a TC indirect control interest taken into account under paragraph 820</w:t>
      </w:r>
      <w:r w:rsidR="00583E1A">
        <w:noBreakHyphen/>
      </w:r>
      <w:r w:rsidRPr="00583E1A">
        <w:t>815(d).</w:t>
      </w:r>
    </w:p>
    <w:p w:rsidR="00887330" w:rsidRPr="00583E1A" w:rsidRDefault="00887330" w:rsidP="00887330">
      <w:pPr>
        <w:pStyle w:val="subsection"/>
      </w:pPr>
      <w:r w:rsidRPr="00583E1A">
        <w:tab/>
        <w:t>(3)</w:t>
      </w:r>
      <w:r w:rsidRPr="00583E1A">
        <w:tab/>
        <w:t xml:space="preserve">Disregard a </w:t>
      </w:r>
      <w:r w:rsidR="00583E1A" w:rsidRPr="00583E1A">
        <w:rPr>
          <w:position w:val="6"/>
          <w:sz w:val="16"/>
        </w:rPr>
        <w:t>*</w:t>
      </w:r>
      <w:r w:rsidRPr="00583E1A">
        <w:t xml:space="preserve">TC indirect control interest held by an </w:t>
      </w:r>
      <w:r w:rsidR="00583E1A" w:rsidRPr="00583E1A">
        <w:rPr>
          <w:position w:val="6"/>
          <w:sz w:val="16"/>
        </w:rPr>
        <w:t>*</w:t>
      </w:r>
      <w:r w:rsidRPr="00583E1A">
        <w:t>associate entity of the entity to the extent to which it is calculated by reference to:</w:t>
      </w:r>
    </w:p>
    <w:p w:rsidR="00887330" w:rsidRPr="00583E1A" w:rsidRDefault="00887330" w:rsidP="00887330">
      <w:pPr>
        <w:pStyle w:val="paragraph"/>
      </w:pPr>
      <w:r w:rsidRPr="00583E1A">
        <w:tab/>
        <w:t>(a)</w:t>
      </w:r>
      <w:r w:rsidRPr="00583E1A">
        <w:tab/>
        <w:t xml:space="preserve">a </w:t>
      </w:r>
      <w:r w:rsidR="00583E1A" w:rsidRPr="00583E1A">
        <w:rPr>
          <w:position w:val="6"/>
          <w:sz w:val="16"/>
        </w:rPr>
        <w:t>*</w:t>
      </w:r>
      <w:r w:rsidRPr="00583E1A">
        <w:t>TC direct control interest taken into account under paragraph 820</w:t>
      </w:r>
      <w:r w:rsidR="00583E1A">
        <w:noBreakHyphen/>
      </w:r>
      <w:r w:rsidRPr="00583E1A">
        <w:t>815(a) or (c); or</w:t>
      </w:r>
    </w:p>
    <w:p w:rsidR="00887330" w:rsidRPr="00583E1A" w:rsidRDefault="00887330" w:rsidP="00887330">
      <w:pPr>
        <w:pStyle w:val="paragraph"/>
      </w:pPr>
      <w:r w:rsidRPr="00583E1A">
        <w:tab/>
        <w:t>(b)</w:t>
      </w:r>
      <w:r w:rsidRPr="00583E1A">
        <w:tab/>
        <w:t>a TC indirect control interest taken into account under paragraph 820</w:t>
      </w:r>
      <w:r w:rsidR="00583E1A">
        <w:noBreakHyphen/>
      </w:r>
      <w:r w:rsidRPr="00583E1A">
        <w:t>815(b) or (d).</w:t>
      </w:r>
    </w:p>
    <w:p w:rsidR="00887330" w:rsidRPr="00583E1A" w:rsidRDefault="00887330" w:rsidP="00887330">
      <w:pPr>
        <w:pStyle w:val="subsection"/>
      </w:pPr>
      <w:r w:rsidRPr="00583E1A">
        <w:tab/>
        <w:t>(3A)</w:t>
      </w:r>
      <w:r w:rsidRPr="00583E1A">
        <w:tab/>
      </w:r>
      <w:r w:rsidR="00583E1A">
        <w:t>Subsection (</w:t>
      </w:r>
      <w:r w:rsidRPr="00583E1A">
        <w:t xml:space="preserve">3) does not apply to an </w:t>
      </w:r>
      <w:r w:rsidR="00583E1A" w:rsidRPr="00583E1A">
        <w:rPr>
          <w:position w:val="6"/>
          <w:sz w:val="16"/>
        </w:rPr>
        <w:t>*</w:t>
      </w:r>
      <w:r w:rsidRPr="00583E1A">
        <w:t>associate entity of the entity if:</w:t>
      </w:r>
    </w:p>
    <w:p w:rsidR="00887330" w:rsidRPr="00583E1A" w:rsidRDefault="00887330" w:rsidP="00887330">
      <w:pPr>
        <w:pStyle w:val="paragraph"/>
      </w:pPr>
      <w:r w:rsidRPr="00583E1A">
        <w:tab/>
        <w:t>(a)</w:t>
      </w:r>
      <w:r w:rsidRPr="00583E1A">
        <w:tab/>
        <w:t xml:space="preserve">the associate entity is a </w:t>
      </w:r>
      <w:r w:rsidR="00583E1A" w:rsidRPr="00583E1A">
        <w:rPr>
          <w:position w:val="6"/>
          <w:sz w:val="16"/>
        </w:rPr>
        <w:t>*</w:t>
      </w:r>
      <w:r w:rsidRPr="00583E1A">
        <w:t>foreign entity and the associate entity is such an associate entity only because of subsection 820</w:t>
      </w:r>
      <w:r w:rsidR="00583E1A">
        <w:noBreakHyphen/>
      </w:r>
      <w:r w:rsidRPr="00583E1A">
        <w:t>905(3A); or</w:t>
      </w:r>
    </w:p>
    <w:p w:rsidR="00887330" w:rsidRPr="00583E1A" w:rsidRDefault="00887330" w:rsidP="00887330">
      <w:pPr>
        <w:pStyle w:val="paragraph"/>
      </w:pPr>
      <w:r w:rsidRPr="00583E1A">
        <w:tab/>
        <w:t>(b)</w:t>
      </w:r>
      <w:r w:rsidRPr="00583E1A">
        <w:tab/>
        <w:t>the associate entity is such an associate entity only because of subsection 820</w:t>
      </w:r>
      <w:r w:rsidR="00583E1A">
        <w:noBreakHyphen/>
      </w:r>
      <w:r w:rsidRPr="00583E1A">
        <w:t>905(3B).</w:t>
      </w:r>
    </w:p>
    <w:p w:rsidR="00887330" w:rsidRPr="00583E1A" w:rsidRDefault="00887330" w:rsidP="00887330">
      <w:pPr>
        <w:pStyle w:val="subsection"/>
      </w:pPr>
      <w:r w:rsidRPr="00583E1A">
        <w:tab/>
        <w:t>(4)</w:t>
      </w:r>
      <w:r w:rsidRPr="00583E1A">
        <w:tab/>
        <w:t xml:space="preserve">Take into account only one of the following things if both would otherwise be counted in calculating the </w:t>
      </w:r>
      <w:r w:rsidR="00583E1A" w:rsidRPr="00583E1A">
        <w:rPr>
          <w:position w:val="6"/>
          <w:sz w:val="16"/>
        </w:rPr>
        <w:t>*</w:t>
      </w:r>
      <w:r w:rsidRPr="00583E1A">
        <w:t>TC control interest:</w:t>
      </w:r>
    </w:p>
    <w:p w:rsidR="00887330" w:rsidRPr="00583E1A" w:rsidRDefault="00887330" w:rsidP="00887330">
      <w:pPr>
        <w:pStyle w:val="paragraph"/>
      </w:pPr>
      <w:r w:rsidRPr="00583E1A">
        <w:tab/>
        <w:t>(a)</w:t>
      </w:r>
      <w:r w:rsidRPr="00583E1A">
        <w:tab/>
        <w:t xml:space="preserve">the holding of a </w:t>
      </w:r>
      <w:r w:rsidR="00583E1A" w:rsidRPr="00583E1A">
        <w:rPr>
          <w:position w:val="6"/>
          <w:sz w:val="16"/>
        </w:rPr>
        <w:t>*</w:t>
      </w:r>
      <w:r w:rsidRPr="00583E1A">
        <w:t>TC direct control interest by the entity or any other entity;</w:t>
      </w:r>
    </w:p>
    <w:p w:rsidR="00887330" w:rsidRPr="00583E1A" w:rsidRDefault="00887330" w:rsidP="00887330">
      <w:pPr>
        <w:pStyle w:val="paragraph"/>
        <w:keepNext/>
      </w:pPr>
      <w:r w:rsidRPr="00583E1A">
        <w:tab/>
        <w:t>(b)</w:t>
      </w:r>
      <w:r w:rsidRPr="00583E1A">
        <w:tab/>
        <w:t>an entitlement to acquire that TC direct control interest.</w:t>
      </w:r>
    </w:p>
    <w:p w:rsidR="00887330" w:rsidRPr="00583E1A" w:rsidRDefault="00887330" w:rsidP="00887330">
      <w:pPr>
        <w:pStyle w:val="subsection"/>
      </w:pPr>
      <w:r w:rsidRPr="00583E1A">
        <w:tab/>
        <w:t>(5)</w:t>
      </w:r>
      <w:r w:rsidRPr="00583E1A">
        <w:tab/>
        <w:t>The operation of this section in relation to an entity does not prevent the operation of section</w:t>
      </w:r>
      <w:r w:rsidR="00583E1A">
        <w:t> </w:t>
      </w:r>
      <w:r w:rsidRPr="00583E1A">
        <w:t>820</w:t>
      </w:r>
      <w:r w:rsidR="00583E1A">
        <w:noBreakHyphen/>
      </w:r>
      <w:r w:rsidRPr="00583E1A">
        <w:t>825 in relation to a group of entities that includes that entity.</w:t>
      </w:r>
    </w:p>
    <w:p w:rsidR="00887330" w:rsidRPr="00583E1A" w:rsidRDefault="00887330" w:rsidP="00887330">
      <w:pPr>
        <w:pStyle w:val="ActHead5"/>
      </w:pPr>
      <w:bookmarkStart w:id="292" w:name="_Toc338939366"/>
      <w:r w:rsidRPr="00583E1A">
        <w:rPr>
          <w:rStyle w:val="CharSectno"/>
        </w:rPr>
        <w:t>820</w:t>
      </w:r>
      <w:r w:rsidR="00583E1A">
        <w:rPr>
          <w:rStyle w:val="CharSectno"/>
        </w:rPr>
        <w:noBreakHyphen/>
      </w:r>
      <w:r w:rsidRPr="00583E1A">
        <w:rPr>
          <w:rStyle w:val="CharSectno"/>
        </w:rPr>
        <w:t>825</w:t>
      </w:r>
      <w:r w:rsidRPr="00583E1A">
        <w:t xml:space="preserve">  Special rules about calculating TC control interests held by a group of entities</w:t>
      </w:r>
      <w:bookmarkEnd w:id="292"/>
    </w:p>
    <w:p w:rsidR="00887330" w:rsidRPr="00583E1A" w:rsidRDefault="00887330" w:rsidP="00887330">
      <w:pPr>
        <w:pStyle w:val="subsection"/>
      </w:pPr>
      <w:r w:rsidRPr="00583E1A">
        <w:tab/>
        <w:t>(1)</w:t>
      </w:r>
      <w:r w:rsidRPr="00583E1A">
        <w:tab/>
        <w:t xml:space="preserve">This section applies for the purposes of calculating the total </w:t>
      </w:r>
      <w:r w:rsidR="00583E1A" w:rsidRPr="00583E1A">
        <w:rPr>
          <w:position w:val="6"/>
          <w:sz w:val="16"/>
        </w:rPr>
        <w:t>*</w:t>
      </w:r>
      <w:r w:rsidRPr="00583E1A">
        <w:t>TC control interests that a group of entities holds in a company, trust or partnership.</w:t>
      </w:r>
    </w:p>
    <w:p w:rsidR="00887330" w:rsidRPr="00583E1A" w:rsidRDefault="00887330" w:rsidP="00887330">
      <w:pPr>
        <w:pStyle w:val="subsection"/>
      </w:pPr>
      <w:r w:rsidRPr="00583E1A">
        <w:lastRenderedPageBreak/>
        <w:tab/>
        <w:t>(2)</w:t>
      </w:r>
      <w:r w:rsidRPr="00583E1A">
        <w:tab/>
        <w:t xml:space="preserve">Take into account a particular </w:t>
      </w:r>
      <w:r w:rsidR="00583E1A" w:rsidRPr="00583E1A">
        <w:rPr>
          <w:position w:val="6"/>
          <w:sz w:val="16"/>
        </w:rPr>
        <w:t>*</w:t>
      </w:r>
      <w:r w:rsidRPr="00583E1A">
        <w:t xml:space="preserve">TC direct control interest or </w:t>
      </w:r>
      <w:r w:rsidR="00583E1A" w:rsidRPr="00583E1A">
        <w:rPr>
          <w:position w:val="6"/>
          <w:sz w:val="16"/>
        </w:rPr>
        <w:t>*</w:t>
      </w:r>
      <w:r w:rsidRPr="00583E1A">
        <w:t xml:space="preserve">TC indirect control interest only once if it would otherwise be counted more than once because the entity holding it is an </w:t>
      </w:r>
      <w:r w:rsidR="00583E1A" w:rsidRPr="00583E1A">
        <w:rPr>
          <w:position w:val="6"/>
          <w:sz w:val="16"/>
        </w:rPr>
        <w:t>*</w:t>
      </w:r>
      <w:r w:rsidRPr="00583E1A">
        <w:t xml:space="preserve">associate entity of one or more entities in the group. </w:t>
      </w:r>
    </w:p>
    <w:p w:rsidR="00887330" w:rsidRPr="00583E1A" w:rsidRDefault="00887330" w:rsidP="00887330">
      <w:pPr>
        <w:pStyle w:val="subsection"/>
      </w:pPr>
      <w:r w:rsidRPr="00583E1A">
        <w:tab/>
        <w:t>(2A)</w:t>
      </w:r>
      <w:r w:rsidRPr="00583E1A">
        <w:tab/>
      </w:r>
      <w:r w:rsidR="00583E1A">
        <w:t>Subsection (</w:t>
      </w:r>
      <w:r w:rsidRPr="00583E1A">
        <w:t xml:space="preserve">2) does not apply to an </w:t>
      </w:r>
      <w:r w:rsidR="00583E1A" w:rsidRPr="00583E1A">
        <w:rPr>
          <w:position w:val="6"/>
          <w:sz w:val="16"/>
        </w:rPr>
        <w:t>*</w:t>
      </w:r>
      <w:r w:rsidRPr="00583E1A">
        <w:t>associate entity of one or more entities in the group if:</w:t>
      </w:r>
    </w:p>
    <w:p w:rsidR="00887330" w:rsidRPr="00583E1A" w:rsidRDefault="00887330" w:rsidP="00887330">
      <w:pPr>
        <w:pStyle w:val="paragraph"/>
      </w:pPr>
      <w:r w:rsidRPr="00583E1A">
        <w:tab/>
        <w:t>(a)</w:t>
      </w:r>
      <w:r w:rsidRPr="00583E1A">
        <w:tab/>
        <w:t xml:space="preserve">the associate entity is a </w:t>
      </w:r>
      <w:r w:rsidR="00583E1A" w:rsidRPr="00583E1A">
        <w:rPr>
          <w:position w:val="6"/>
          <w:sz w:val="16"/>
        </w:rPr>
        <w:t>*</w:t>
      </w:r>
      <w:r w:rsidRPr="00583E1A">
        <w:t>foreign entity and the associate entity is such an associate entity only because of subsection 820</w:t>
      </w:r>
      <w:r w:rsidR="00583E1A">
        <w:noBreakHyphen/>
      </w:r>
      <w:r w:rsidRPr="00583E1A">
        <w:t>905(3A); or</w:t>
      </w:r>
    </w:p>
    <w:p w:rsidR="00887330" w:rsidRPr="00583E1A" w:rsidRDefault="00887330" w:rsidP="00887330">
      <w:pPr>
        <w:pStyle w:val="paragraph"/>
      </w:pPr>
      <w:r w:rsidRPr="00583E1A">
        <w:tab/>
        <w:t>(b)</w:t>
      </w:r>
      <w:r w:rsidRPr="00583E1A">
        <w:tab/>
        <w:t>the associate entity is such an associate entity only because of subsection 820</w:t>
      </w:r>
      <w:r w:rsidR="00583E1A">
        <w:noBreakHyphen/>
      </w:r>
      <w:r w:rsidRPr="00583E1A">
        <w:t>905(3B).</w:t>
      </w:r>
    </w:p>
    <w:p w:rsidR="00887330" w:rsidRPr="00583E1A" w:rsidRDefault="00887330" w:rsidP="00887330">
      <w:pPr>
        <w:pStyle w:val="subsection"/>
      </w:pPr>
      <w:r w:rsidRPr="00583E1A">
        <w:tab/>
        <w:t>(3)</w:t>
      </w:r>
      <w:r w:rsidRPr="00583E1A">
        <w:tab/>
        <w:t xml:space="preserve">Take into account only one of the following things if both of them would otherwise be counted in calculating the total </w:t>
      </w:r>
      <w:r w:rsidR="00583E1A" w:rsidRPr="00583E1A">
        <w:rPr>
          <w:position w:val="6"/>
          <w:sz w:val="16"/>
        </w:rPr>
        <w:t>*</w:t>
      </w:r>
      <w:r w:rsidRPr="00583E1A">
        <w:t>TC control interests:</w:t>
      </w:r>
    </w:p>
    <w:p w:rsidR="00887330" w:rsidRPr="00583E1A" w:rsidRDefault="00887330" w:rsidP="00887330">
      <w:pPr>
        <w:pStyle w:val="paragraph"/>
      </w:pPr>
      <w:r w:rsidRPr="00583E1A">
        <w:tab/>
        <w:t>(a)</w:t>
      </w:r>
      <w:r w:rsidRPr="00583E1A">
        <w:tab/>
        <w:t xml:space="preserve">the holding of a </w:t>
      </w:r>
      <w:r w:rsidR="00583E1A" w:rsidRPr="00583E1A">
        <w:rPr>
          <w:position w:val="6"/>
          <w:sz w:val="16"/>
        </w:rPr>
        <w:t>*</w:t>
      </w:r>
      <w:r w:rsidRPr="00583E1A">
        <w:t>TC direct control interest by an entity;</w:t>
      </w:r>
    </w:p>
    <w:p w:rsidR="00887330" w:rsidRPr="00583E1A" w:rsidRDefault="00887330" w:rsidP="00887330">
      <w:pPr>
        <w:pStyle w:val="paragraph"/>
      </w:pPr>
      <w:r w:rsidRPr="00583E1A">
        <w:tab/>
        <w:t>(b)</w:t>
      </w:r>
      <w:r w:rsidRPr="00583E1A">
        <w:tab/>
        <w:t>an entitlement to acquire that TC direct control interest.</w:t>
      </w:r>
    </w:p>
    <w:p w:rsidR="00887330" w:rsidRPr="00583E1A" w:rsidRDefault="00887330" w:rsidP="00887330">
      <w:pPr>
        <w:pStyle w:val="subsection"/>
      </w:pPr>
      <w:r w:rsidRPr="00583E1A">
        <w:tab/>
        <w:t>(4)</w:t>
      </w:r>
      <w:r w:rsidRPr="00583E1A">
        <w:tab/>
        <w:t>The operation of this section in relation to a group of entities does not prevent the operation of section</w:t>
      </w:r>
      <w:r w:rsidR="00583E1A">
        <w:t> </w:t>
      </w:r>
      <w:r w:rsidRPr="00583E1A">
        <w:t>820</w:t>
      </w:r>
      <w:r w:rsidR="00583E1A">
        <w:noBreakHyphen/>
      </w:r>
      <w:r w:rsidRPr="00583E1A">
        <w:t>820 in relation to an entity that is a member of that group.</w:t>
      </w:r>
    </w:p>
    <w:p w:rsidR="00887330" w:rsidRPr="00583E1A" w:rsidRDefault="00887330" w:rsidP="00887330">
      <w:pPr>
        <w:pStyle w:val="ActHead5"/>
      </w:pPr>
      <w:bookmarkStart w:id="293" w:name="_Toc338939367"/>
      <w:r w:rsidRPr="00583E1A">
        <w:rPr>
          <w:rStyle w:val="CharSectno"/>
        </w:rPr>
        <w:t>820</w:t>
      </w:r>
      <w:r w:rsidR="00583E1A">
        <w:rPr>
          <w:rStyle w:val="CharSectno"/>
        </w:rPr>
        <w:noBreakHyphen/>
      </w:r>
      <w:r w:rsidRPr="00583E1A">
        <w:rPr>
          <w:rStyle w:val="CharSectno"/>
        </w:rPr>
        <w:t>830</w:t>
      </w:r>
      <w:r w:rsidRPr="00583E1A">
        <w:t xml:space="preserve">  Special rules about determining percentage of TC control interest</w:t>
      </w:r>
      <w:bookmarkEnd w:id="293"/>
    </w:p>
    <w:p w:rsidR="00887330" w:rsidRPr="00583E1A" w:rsidRDefault="00887330" w:rsidP="00887330">
      <w:pPr>
        <w:pStyle w:val="subsection"/>
      </w:pPr>
      <w:r w:rsidRPr="00583E1A">
        <w:tab/>
        <w:t>(1)</w:t>
      </w:r>
      <w:r w:rsidRPr="00583E1A">
        <w:tab/>
        <w:t xml:space="preserve">This section applies for the purposes of determining whether an entity, or a group of entities, holds at least a particular percentage of </w:t>
      </w:r>
      <w:r w:rsidR="00583E1A" w:rsidRPr="00583E1A">
        <w:rPr>
          <w:position w:val="6"/>
          <w:sz w:val="16"/>
        </w:rPr>
        <w:t>*</w:t>
      </w:r>
      <w:r w:rsidRPr="00583E1A">
        <w:t>TC control interests for the purposes of a provision in this Subdivision.</w:t>
      </w:r>
    </w:p>
    <w:p w:rsidR="00887330" w:rsidRPr="00583E1A" w:rsidRDefault="00887330" w:rsidP="00887330">
      <w:pPr>
        <w:pStyle w:val="subsection"/>
      </w:pPr>
      <w:r w:rsidRPr="00583E1A">
        <w:tab/>
        <w:t>(2)</w:t>
      </w:r>
      <w:r w:rsidRPr="00583E1A">
        <w:tab/>
        <w:t xml:space="preserve">If, apart from this subsection, an entity, or each of 2 or more entities, would hold a </w:t>
      </w:r>
      <w:r w:rsidR="00583E1A" w:rsidRPr="00583E1A">
        <w:rPr>
          <w:position w:val="6"/>
          <w:sz w:val="16"/>
        </w:rPr>
        <w:t>*</w:t>
      </w:r>
      <w:r w:rsidRPr="00583E1A">
        <w:t xml:space="preserve">TC direct control interest equal to 100%, or a </w:t>
      </w:r>
      <w:r w:rsidR="00583E1A" w:rsidRPr="00583E1A">
        <w:rPr>
          <w:position w:val="6"/>
          <w:sz w:val="16"/>
        </w:rPr>
        <w:t>*</w:t>
      </w:r>
      <w:r w:rsidRPr="00583E1A">
        <w:t xml:space="preserve">TC control tracing interest equal to 100%, in another entity (the </w:t>
      </w:r>
      <w:r w:rsidRPr="00583E1A">
        <w:rPr>
          <w:b/>
          <w:i/>
        </w:rPr>
        <w:t>controlled entity</w:t>
      </w:r>
      <w:r w:rsidRPr="00583E1A">
        <w:t>):</w:t>
      </w:r>
    </w:p>
    <w:p w:rsidR="00887330" w:rsidRPr="00583E1A" w:rsidRDefault="00887330" w:rsidP="00887330">
      <w:pPr>
        <w:pStyle w:val="paragraph"/>
      </w:pPr>
      <w:r w:rsidRPr="00583E1A">
        <w:tab/>
        <w:t>(a)</w:t>
      </w:r>
      <w:r w:rsidRPr="00583E1A">
        <w:tab/>
        <w:t>only the entity, or one of the 2 or more entities, is to be taken to hold that particular interest in the controlled entity equal to 100%; and</w:t>
      </w:r>
    </w:p>
    <w:p w:rsidR="00887330" w:rsidRPr="00583E1A" w:rsidRDefault="00887330" w:rsidP="00887330">
      <w:pPr>
        <w:pStyle w:val="paragraph"/>
      </w:pPr>
      <w:r w:rsidRPr="00583E1A">
        <w:tab/>
        <w:t>(b)</w:t>
      </w:r>
      <w:r w:rsidRPr="00583E1A">
        <w:tab/>
        <w:t xml:space="preserve">another entity is not to be taken to hold that particular interest in the controlled entity (whether or not it would, apart from </w:t>
      </w:r>
      <w:r w:rsidRPr="00583E1A">
        <w:lastRenderedPageBreak/>
        <w:t>this subsection, hold that interest in the controlled entity equal to 100%).</w:t>
      </w:r>
    </w:p>
    <w:p w:rsidR="00887330" w:rsidRPr="00583E1A" w:rsidRDefault="00887330" w:rsidP="00887330">
      <w:pPr>
        <w:pStyle w:val="ActHead5"/>
      </w:pPr>
      <w:bookmarkStart w:id="294" w:name="_Toc338939368"/>
      <w:r w:rsidRPr="00583E1A">
        <w:rPr>
          <w:rStyle w:val="CharSectno"/>
        </w:rPr>
        <w:t>820</w:t>
      </w:r>
      <w:r w:rsidR="00583E1A">
        <w:rPr>
          <w:rStyle w:val="CharSectno"/>
        </w:rPr>
        <w:noBreakHyphen/>
      </w:r>
      <w:r w:rsidRPr="00583E1A">
        <w:rPr>
          <w:rStyle w:val="CharSectno"/>
        </w:rPr>
        <w:t>835</w:t>
      </w:r>
      <w:r w:rsidRPr="00583E1A">
        <w:t xml:space="preserve">  Commissioner’s power</w:t>
      </w:r>
      <w:bookmarkEnd w:id="294"/>
    </w:p>
    <w:p w:rsidR="00887330" w:rsidRPr="00583E1A" w:rsidRDefault="00887330" w:rsidP="00887330">
      <w:pPr>
        <w:pStyle w:val="subsection"/>
      </w:pPr>
      <w:r w:rsidRPr="00583E1A">
        <w:tab/>
      </w:r>
      <w:r w:rsidRPr="00583E1A">
        <w:tab/>
        <w:t>For the purposes of this Subdivision, the Commissioner may decide:</w:t>
      </w:r>
    </w:p>
    <w:p w:rsidR="00887330" w:rsidRPr="00583E1A" w:rsidRDefault="00887330" w:rsidP="00887330">
      <w:pPr>
        <w:pStyle w:val="paragraph"/>
      </w:pPr>
      <w:r w:rsidRPr="00583E1A">
        <w:tab/>
        <w:t>(a)</w:t>
      </w:r>
      <w:r w:rsidRPr="00583E1A">
        <w:tab/>
        <w:t>which one of 2 things is to be taken into account for the purposes of subsection 820</w:t>
      </w:r>
      <w:r w:rsidR="00583E1A">
        <w:noBreakHyphen/>
      </w:r>
      <w:r w:rsidRPr="00583E1A">
        <w:t>820(4) or subsection 820</w:t>
      </w:r>
      <w:r w:rsidR="00583E1A">
        <w:noBreakHyphen/>
      </w:r>
      <w:r w:rsidRPr="00583E1A">
        <w:t>825(3); or</w:t>
      </w:r>
    </w:p>
    <w:p w:rsidR="00887330" w:rsidRPr="00583E1A" w:rsidRDefault="00887330" w:rsidP="00887330">
      <w:pPr>
        <w:pStyle w:val="paragraph"/>
        <w:keepNext/>
      </w:pPr>
      <w:r w:rsidRPr="00583E1A">
        <w:tab/>
        <w:t>(b)</w:t>
      </w:r>
      <w:r w:rsidRPr="00583E1A">
        <w:tab/>
        <w:t>which one of 2 or more entities is to be chosen for the purposes of paragraph 820</w:t>
      </w:r>
      <w:r w:rsidR="00583E1A">
        <w:noBreakHyphen/>
      </w:r>
      <w:r w:rsidRPr="00583E1A">
        <w:t>830(2)(a).</w:t>
      </w:r>
    </w:p>
    <w:p w:rsidR="00887330" w:rsidRPr="00583E1A" w:rsidRDefault="00887330" w:rsidP="00887330">
      <w:pPr>
        <w:pStyle w:val="ActHead4"/>
      </w:pPr>
      <w:bookmarkStart w:id="295" w:name="_Toc338939369"/>
      <w:r w:rsidRPr="00583E1A">
        <w:t>TC direct control interest, TC indirect control interest and TC control tracing interest</w:t>
      </w:r>
      <w:bookmarkEnd w:id="295"/>
    </w:p>
    <w:p w:rsidR="00887330" w:rsidRPr="00583E1A" w:rsidRDefault="00887330" w:rsidP="00887330">
      <w:pPr>
        <w:pStyle w:val="ActHead5"/>
      </w:pPr>
      <w:bookmarkStart w:id="296" w:name="_Toc338939370"/>
      <w:r w:rsidRPr="00583E1A">
        <w:rPr>
          <w:rStyle w:val="CharSectno"/>
        </w:rPr>
        <w:t>820</w:t>
      </w:r>
      <w:r w:rsidR="00583E1A">
        <w:rPr>
          <w:rStyle w:val="CharSectno"/>
        </w:rPr>
        <w:noBreakHyphen/>
      </w:r>
      <w:r w:rsidRPr="00583E1A">
        <w:rPr>
          <w:rStyle w:val="CharSectno"/>
        </w:rPr>
        <w:t>855</w:t>
      </w:r>
      <w:r w:rsidRPr="00583E1A">
        <w:t xml:space="preserve">  TC direct control interest in a company</w:t>
      </w:r>
      <w:bookmarkEnd w:id="296"/>
    </w:p>
    <w:p w:rsidR="00887330" w:rsidRPr="00583E1A" w:rsidRDefault="00887330" w:rsidP="00887330">
      <w:pPr>
        <w:pStyle w:val="subsection"/>
      </w:pPr>
      <w:r w:rsidRPr="00583E1A">
        <w:tab/>
        <w:t>(1)</w:t>
      </w:r>
      <w:r w:rsidRPr="00583E1A">
        <w:tab/>
        <w:t xml:space="preserve">A </w:t>
      </w:r>
      <w:r w:rsidRPr="00583E1A">
        <w:rPr>
          <w:b/>
          <w:i/>
        </w:rPr>
        <w:t xml:space="preserve">thin capitalisation direct control interest </w:t>
      </w:r>
      <w:r w:rsidRPr="00583E1A">
        <w:t xml:space="preserve">(or a </w:t>
      </w:r>
      <w:r w:rsidRPr="00583E1A">
        <w:rPr>
          <w:b/>
          <w:i/>
        </w:rPr>
        <w:t>TC direct control interest</w:t>
      </w:r>
      <w:r w:rsidRPr="00583E1A">
        <w:t>)</w:t>
      </w:r>
      <w:r w:rsidRPr="00583E1A">
        <w:rPr>
          <w:b/>
          <w:i/>
        </w:rPr>
        <w:t xml:space="preserve"> </w:t>
      </w:r>
      <w:r w:rsidRPr="00583E1A">
        <w:t xml:space="preserve">that an entity holds in a company (except a </w:t>
      </w:r>
      <w:r w:rsidR="00583E1A" w:rsidRPr="00583E1A">
        <w:rPr>
          <w:position w:val="6"/>
          <w:sz w:val="16"/>
        </w:rPr>
        <w:t>*</w:t>
      </w:r>
      <w:r w:rsidRPr="00583E1A">
        <w:t xml:space="preserve">corporate limited partnership) at a particular time is the percentage of the direct control interest (if any) that the entity holds in the company at that time under the provisions applied by </w:t>
      </w:r>
      <w:r w:rsidR="00583E1A">
        <w:t>subsection (</w:t>
      </w:r>
      <w:r w:rsidRPr="00583E1A">
        <w:t>2).</w:t>
      </w:r>
    </w:p>
    <w:p w:rsidR="00887330" w:rsidRPr="00583E1A" w:rsidRDefault="00887330" w:rsidP="00887330">
      <w:pPr>
        <w:pStyle w:val="notetext"/>
      </w:pPr>
      <w:r w:rsidRPr="00583E1A">
        <w:t>Note:</w:t>
      </w:r>
      <w:r w:rsidRPr="00583E1A">
        <w:tab/>
        <w:t>For the TC direct control interest that an entity holds in a corporate limited partnership, see section</w:t>
      </w:r>
      <w:r w:rsidR="00583E1A">
        <w:t> </w:t>
      </w:r>
      <w:r w:rsidRPr="00583E1A">
        <w:t>820</w:t>
      </w:r>
      <w:r w:rsidR="00583E1A">
        <w:noBreakHyphen/>
      </w:r>
      <w:r w:rsidRPr="00583E1A">
        <w:t>865.</w:t>
      </w:r>
    </w:p>
    <w:p w:rsidR="00887330" w:rsidRPr="00583E1A" w:rsidRDefault="00887330" w:rsidP="00887330">
      <w:pPr>
        <w:pStyle w:val="subsection"/>
      </w:pPr>
      <w:r w:rsidRPr="00583E1A">
        <w:tab/>
        <w:t>(2)</w:t>
      </w:r>
      <w:r w:rsidRPr="00583E1A">
        <w:tab/>
        <w:t xml:space="preserve">For the purposes of </w:t>
      </w:r>
      <w:r w:rsidR="00583E1A">
        <w:t>subsection (</w:t>
      </w:r>
      <w:r w:rsidRPr="00583E1A">
        <w:t>1), provisions of Part</w:t>
      </w:r>
      <w:r w:rsidR="00583E1A">
        <w:t> </w:t>
      </w:r>
      <w:r w:rsidRPr="00583E1A">
        <w:t xml:space="preserve">X of the </w:t>
      </w:r>
      <w:r w:rsidRPr="00583E1A">
        <w:rPr>
          <w:i/>
        </w:rPr>
        <w:t>Income Tax Assessment Act 1936</w:t>
      </w:r>
      <w:r w:rsidRPr="00583E1A">
        <w:t xml:space="preserve"> are applied with the modifications set out in the following table.</w:t>
      </w:r>
    </w:p>
    <w:p w:rsidR="00887330" w:rsidRPr="00583E1A" w:rsidRDefault="00887330" w:rsidP="00887330">
      <w:pPr>
        <w:pStyle w:val="Tabletext"/>
        <w:keepN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708"/>
        <w:gridCol w:w="2835"/>
        <w:gridCol w:w="3544"/>
        <w:gridCol w:w="23"/>
      </w:tblGrid>
      <w:tr w:rsidR="00887330" w:rsidRPr="00583E1A">
        <w:trPr>
          <w:cantSplit/>
          <w:tblHeader/>
        </w:trPr>
        <w:tc>
          <w:tcPr>
            <w:tcW w:w="7110" w:type="dxa"/>
            <w:gridSpan w:val="4"/>
            <w:tcBorders>
              <w:top w:val="single" w:sz="12" w:space="0" w:color="auto"/>
              <w:left w:val="nil"/>
              <w:bottom w:val="nil"/>
              <w:right w:val="nil"/>
            </w:tcBorders>
          </w:tcPr>
          <w:p w:rsidR="00887330" w:rsidRPr="00583E1A" w:rsidRDefault="00887330" w:rsidP="00887330">
            <w:pPr>
              <w:pStyle w:val="Tabletext"/>
              <w:keepNext/>
            </w:pPr>
            <w:r w:rsidRPr="00583E1A">
              <w:rPr>
                <w:b/>
              </w:rPr>
              <w:t>Modifications of provisions in Part</w:t>
            </w:r>
            <w:r w:rsidR="00583E1A">
              <w:rPr>
                <w:b/>
              </w:rPr>
              <w:t> </w:t>
            </w:r>
            <w:r w:rsidRPr="00583E1A">
              <w:rPr>
                <w:b/>
              </w:rPr>
              <w:t xml:space="preserve">X of the </w:t>
            </w:r>
            <w:r w:rsidRPr="00583E1A">
              <w:rPr>
                <w:b/>
                <w:i/>
              </w:rPr>
              <w:t>Income Tax Assessment Act 1936</w:t>
            </w:r>
          </w:p>
        </w:tc>
      </w:tr>
      <w:tr w:rsidR="00887330" w:rsidRPr="00583E1A">
        <w:trPr>
          <w:gridAfter w:val="1"/>
          <w:wAfter w:w="23" w:type="dxa"/>
          <w:cantSplit/>
          <w:tblHeader/>
        </w:trPr>
        <w:tc>
          <w:tcPr>
            <w:tcW w:w="708" w:type="dxa"/>
            <w:tcBorders>
              <w:top w:val="single" w:sz="6" w:space="0" w:color="auto"/>
              <w:left w:val="nil"/>
              <w:bottom w:val="single" w:sz="12" w:space="0" w:color="auto"/>
              <w:right w:val="nil"/>
            </w:tcBorders>
          </w:tcPr>
          <w:p w:rsidR="00887330" w:rsidRPr="00583E1A" w:rsidRDefault="00887330" w:rsidP="00887330">
            <w:pPr>
              <w:pStyle w:val="Tabletext"/>
              <w:keepNext/>
            </w:pPr>
            <w:r w:rsidRPr="00583E1A">
              <w:rPr>
                <w:b/>
              </w:rPr>
              <w:t>Item</w:t>
            </w:r>
          </w:p>
        </w:tc>
        <w:tc>
          <w:tcPr>
            <w:tcW w:w="2835" w:type="dxa"/>
            <w:tcBorders>
              <w:top w:val="single" w:sz="6" w:space="0" w:color="auto"/>
              <w:left w:val="nil"/>
              <w:bottom w:val="single" w:sz="12" w:space="0" w:color="auto"/>
              <w:right w:val="nil"/>
            </w:tcBorders>
          </w:tcPr>
          <w:p w:rsidR="00887330" w:rsidRPr="00583E1A" w:rsidRDefault="00887330" w:rsidP="00887330">
            <w:pPr>
              <w:pStyle w:val="Tabletext"/>
              <w:keepNext/>
            </w:pPr>
            <w:r w:rsidRPr="00583E1A">
              <w:rPr>
                <w:b/>
              </w:rPr>
              <w:t>Provisions</w:t>
            </w:r>
          </w:p>
        </w:tc>
        <w:tc>
          <w:tcPr>
            <w:tcW w:w="3544" w:type="dxa"/>
            <w:tcBorders>
              <w:top w:val="single" w:sz="6" w:space="0" w:color="auto"/>
              <w:left w:val="nil"/>
              <w:bottom w:val="single" w:sz="12" w:space="0" w:color="auto"/>
              <w:right w:val="nil"/>
            </w:tcBorders>
          </w:tcPr>
          <w:p w:rsidR="00887330" w:rsidRPr="00583E1A" w:rsidRDefault="00887330" w:rsidP="00887330">
            <w:pPr>
              <w:pStyle w:val="Tabletext"/>
              <w:keepNext/>
            </w:pPr>
            <w:r w:rsidRPr="00583E1A">
              <w:rPr>
                <w:b/>
              </w:rPr>
              <w:t>Modifications</w:t>
            </w:r>
          </w:p>
        </w:tc>
      </w:tr>
      <w:tr w:rsidR="00887330" w:rsidRPr="00583E1A">
        <w:trPr>
          <w:gridAfter w:val="1"/>
          <w:wAfter w:w="23" w:type="dxa"/>
          <w:cantSplit/>
        </w:trPr>
        <w:tc>
          <w:tcPr>
            <w:tcW w:w="708" w:type="dxa"/>
            <w:tcBorders>
              <w:top w:val="single" w:sz="12" w:space="0" w:color="auto"/>
              <w:left w:val="nil"/>
              <w:bottom w:val="single" w:sz="2" w:space="0" w:color="auto"/>
              <w:right w:val="nil"/>
            </w:tcBorders>
            <w:shd w:val="clear" w:color="auto" w:fill="auto"/>
          </w:tcPr>
          <w:p w:rsidR="00887330" w:rsidRPr="00583E1A" w:rsidRDefault="00887330" w:rsidP="00887330">
            <w:pPr>
              <w:pStyle w:val="Tabletext"/>
            </w:pPr>
            <w:r w:rsidRPr="00583E1A">
              <w:t>1</w:t>
            </w:r>
          </w:p>
        </w:tc>
        <w:tc>
          <w:tcPr>
            <w:tcW w:w="2835" w:type="dxa"/>
            <w:tcBorders>
              <w:top w:val="single" w:sz="12" w:space="0" w:color="auto"/>
              <w:left w:val="nil"/>
              <w:bottom w:val="single" w:sz="2" w:space="0" w:color="auto"/>
              <w:right w:val="nil"/>
            </w:tcBorders>
            <w:shd w:val="clear" w:color="auto" w:fill="auto"/>
          </w:tcPr>
          <w:p w:rsidR="00887330" w:rsidRPr="00583E1A" w:rsidRDefault="00887330" w:rsidP="00887330">
            <w:pPr>
              <w:pStyle w:val="Tabletext"/>
            </w:pPr>
            <w:r w:rsidRPr="00583E1A">
              <w:t>Section</w:t>
            </w:r>
            <w:r w:rsidR="00583E1A">
              <w:t> </w:t>
            </w:r>
            <w:r w:rsidRPr="00583E1A">
              <w:t>350 (including any other provision in Part</w:t>
            </w:r>
            <w:r w:rsidR="00583E1A">
              <w:t> </w:t>
            </w:r>
            <w:r w:rsidRPr="00583E1A">
              <w:t xml:space="preserve">X of the </w:t>
            </w:r>
            <w:r w:rsidRPr="00583E1A">
              <w:rPr>
                <w:i/>
              </w:rPr>
              <w:t xml:space="preserve">Income Tax Assessment Act 1936 </w:t>
            </w:r>
            <w:r w:rsidRPr="00583E1A">
              <w:t>that defines a term used in the section)</w:t>
            </w:r>
          </w:p>
        </w:tc>
        <w:tc>
          <w:tcPr>
            <w:tcW w:w="3544" w:type="dxa"/>
            <w:tcBorders>
              <w:top w:val="single" w:sz="12" w:space="0" w:color="auto"/>
              <w:left w:val="nil"/>
              <w:bottom w:val="single" w:sz="2" w:space="0" w:color="auto"/>
              <w:right w:val="nil"/>
            </w:tcBorders>
            <w:shd w:val="clear" w:color="auto" w:fill="auto"/>
          </w:tcPr>
          <w:p w:rsidR="00887330" w:rsidRPr="00583E1A" w:rsidRDefault="00887330" w:rsidP="00887330">
            <w:pPr>
              <w:pStyle w:val="Tabletext"/>
            </w:pPr>
            <w:r w:rsidRPr="00583E1A">
              <w:t>The section applies for the purposes of this Subdivision rather than only for the purposes of Part</w:t>
            </w:r>
            <w:r w:rsidR="00583E1A">
              <w:t> </w:t>
            </w:r>
            <w:r w:rsidRPr="00583E1A">
              <w:t xml:space="preserve">X of the </w:t>
            </w:r>
            <w:r w:rsidRPr="00583E1A">
              <w:rPr>
                <w:i/>
              </w:rPr>
              <w:t>Income Tax Assessment Act 1936</w:t>
            </w:r>
          </w:p>
        </w:tc>
      </w:tr>
      <w:tr w:rsidR="00887330" w:rsidRPr="00583E1A">
        <w:trPr>
          <w:gridAfter w:val="1"/>
          <w:wAfter w:w="23" w:type="dxa"/>
          <w:cantSplit/>
        </w:trPr>
        <w:tc>
          <w:tcPr>
            <w:tcW w:w="708" w:type="dxa"/>
            <w:tcBorders>
              <w:top w:val="single" w:sz="2" w:space="0" w:color="auto"/>
              <w:left w:val="nil"/>
              <w:bottom w:val="single" w:sz="2" w:space="0" w:color="auto"/>
              <w:right w:val="nil"/>
            </w:tcBorders>
            <w:shd w:val="clear" w:color="auto" w:fill="auto"/>
          </w:tcPr>
          <w:p w:rsidR="00887330" w:rsidRPr="00583E1A" w:rsidRDefault="00887330" w:rsidP="00887330">
            <w:pPr>
              <w:pStyle w:val="Tabletext"/>
            </w:pPr>
            <w:r w:rsidRPr="00583E1A">
              <w:lastRenderedPageBreak/>
              <w:t>2</w:t>
            </w:r>
          </w:p>
        </w:tc>
        <w:tc>
          <w:tcPr>
            <w:tcW w:w="2835" w:type="dxa"/>
            <w:tcBorders>
              <w:top w:val="single" w:sz="2" w:space="0" w:color="auto"/>
              <w:left w:val="nil"/>
              <w:bottom w:val="single" w:sz="2" w:space="0" w:color="auto"/>
              <w:right w:val="nil"/>
            </w:tcBorders>
            <w:shd w:val="clear" w:color="auto" w:fill="auto"/>
          </w:tcPr>
          <w:p w:rsidR="00887330" w:rsidRPr="00583E1A" w:rsidRDefault="00887330" w:rsidP="00887330">
            <w:pPr>
              <w:pStyle w:val="Tabletext"/>
            </w:pPr>
            <w:r w:rsidRPr="00583E1A">
              <w:t>Subsections 350(6) and (7)</w:t>
            </w:r>
          </w:p>
        </w:tc>
        <w:tc>
          <w:tcPr>
            <w:tcW w:w="3544" w:type="dxa"/>
            <w:tcBorders>
              <w:top w:val="single" w:sz="2" w:space="0" w:color="auto"/>
              <w:left w:val="nil"/>
              <w:bottom w:val="single" w:sz="2" w:space="0" w:color="auto"/>
              <w:right w:val="nil"/>
            </w:tcBorders>
            <w:shd w:val="clear" w:color="auto" w:fill="auto"/>
          </w:tcPr>
          <w:p w:rsidR="00887330" w:rsidRPr="00583E1A" w:rsidRDefault="00887330" w:rsidP="00887330">
            <w:pPr>
              <w:pStyle w:val="Tabletext"/>
            </w:pPr>
            <w:r w:rsidRPr="00583E1A">
              <w:t>If section</w:t>
            </w:r>
            <w:r w:rsidR="00583E1A">
              <w:t> </w:t>
            </w:r>
            <w:r w:rsidRPr="00583E1A">
              <w:t xml:space="preserve">350 is used for the purposes of determining whether or not a company is a </w:t>
            </w:r>
            <w:r w:rsidR="00583E1A" w:rsidRPr="00583E1A">
              <w:rPr>
                <w:position w:val="6"/>
                <w:sz w:val="16"/>
              </w:rPr>
              <w:t>*</w:t>
            </w:r>
            <w:r w:rsidRPr="00583E1A">
              <w:t xml:space="preserve">foreign controlled Australian company, the subsections apply as if </w:t>
            </w:r>
            <w:r w:rsidR="00583E1A">
              <w:t>subsection (</w:t>
            </w:r>
            <w:r w:rsidRPr="00583E1A">
              <w:t xml:space="preserve">6) referred to </w:t>
            </w:r>
            <w:r w:rsidR="00583E1A" w:rsidRPr="00583E1A">
              <w:rPr>
                <w:position w:val="6"/>
                <w:sz w:val="16"/>
              </w:rPr>
              <w:t>*</w:t>
            </w:r>
            <w:r w:rsidRPr="00583E1A">
              <w:t xml:space="preserve">foreign entities and foreign entity rather than </w:t>
            </w:r>
            <w:r w:rsidR="00583E1A" w:rsidRPr="00583E1A">
              <w:rPr>
                <w:position w:val="6"/>
                <w:sz w:val="16"/>
              </w:rPr>
              <w:t>*</w:t>
            </w:r>
            <w:r w:rsidRPr="00583E1A">
              <w:t>Australian entities and Australian entity</w:t>
            </w:r>
          </w:p>
          <w:p w:rsidR="00887330" w:rsidRPr="00583E1A" w:rsidRDefault="00887330" w:rsidP="00887330">
            <w:pPr>
              <w:pStyle w:val="Tabletext"/>
            </w:pPr>
            <w:r w:rsidRPr="00583E1A">
              <w:t>If section</w:t>
            </w:r>
            <w:r w:rsidR="00583E1A">
              <w:t> </w:t>
            </w:r>
            <w:r w:rsidRPr="00583E1A">
              <w:t xml:space="preserve">350 is used for the purposes of determining whether or not an entity is an </w:t>
            </w:r>
            <w:r w:rsidR="00583E1A" w:rsidRPr="00583E1A">
              <w:rPr>
                <w:position w:val="6"/>
                <w:sz w:val="16"/>
              </w:rPr>
              <w:t>*</w:t>
            </w:r>
            <w:r w:rsidRPr="00583E1A">
              <w:t xml:space="preserve">Australian controller of a </w:t>
            </w:r>
            <w:r w:rsidR="00583E1A" w:rsidRPr="00583E1A">
              <w:rPr>
                <w:position w:val="6"/>
                <w:sz w:val="16"/>
              </w:rPr>
              <w:t>*</w:t>
            </w:r>
            <w:r w:rsidRPr="00583E1A">
              <w:t>controlled foreign company, the subsections do not apply</w:t>
            </w:r>
          </w:p>
        </w:tc>
      </w:tr>
      <w:tr w:rsidR="00887330" w:rsidRPr="00583E1A">
        <w:trPr>
          <w:gridAfter w:val="1"/>
          <w:wAfter w:w="23" w:type="dxa"/>
          <w:cantSplit/>
        </w:trPr>
        <w:tc>
          <w:tcPr>
            <w:tcW w:w="708" w:type="dxa"/>
            <w:tcBorders>
              <w:top w:val="single" w:sz="2" w:space="0" w:color="auto"/>
              <w:left w:val="nil"/>
              <w:bottom w:val="single" w:sz="12" w:space="0" w:color="auto"/>
              <w:right w:val="nil"/>
            </w:tcBorders>
          </w:tcPr>
          <w:p w:rsidR="00887330" w:rsidRPr="00583E1A" w:rsidRDefault="00887330" w:rsidP="00887330">
            <w:pPr>
              <w:pStyle w:val="Tabletext"/>
            </w:pPr>
            <w:r w:rsidRPr="00583E1A">
              <w:t>3</w:t>
            </w:r>
          </w:p>
        </w:tc>
        <w:tc>
          <w:tcPr>
            <w:tcW w:w="2835" w:type="dxa"/>
            <w:tcBorders>
              <w:top w:val="single" w:sz="2" w:space="0" w:color="auto"/>
              <w:left w:val="nil"/>
              <w:bottom w:val="single" w:sz="12" w:space="0" w:color="auto"/>
              <w:right w:val="nil"/>
            </w:tcBorders>
          </w:tcPr>
          <w:p w:rsidR="00887330" w:rsidRPr="00583E1A" w:rsidRDefault="00887330" w:rsidP="00887330">
            <w:pPr>
              <w:pStyle w:val="Tabletext"/>
            </w:pPr>
            <w:r w:rsidRPr="00583E1A">
              <w:t>Section</w:t>
            </w:r>
            <w:r w:rsidR="00583E1A">
              <w:t> </w:t>
            </w:r>
            <w:r w:rsidRPr="00583E1A">
              <w:t>350</w:t>
            </w:r>
          </w:p>
        </w:tc>
        <w:tc>
          <w:tcPr>
            <w:tcW w:w="3544" w:type="dxa"/>
            <w:tcBorders>
              <w:top w:val="single" w:sz="2" w:space="0" w:color="auto"/>
              <w:left w:val="nil"/>
              <w:bottom w:val="single" w:sz="12" w:space="0" w:color="auto"/>
              <w:right w:val="nil"/>
            </w:tcBorders>
          </w:tcPr>
          <w:p w:rsidR="00887330" w:rsidRPr="00583E1A" w:rsidRDefault="00887330" w:rsidP="00887330">
            <w:pPr>
              <w:pStyle w:val="Tabletext"/>
            </w:pPr>
            <w:r w:rsidRPr="00583E1A">
              <w:t xml:space="preserve">A reference to an </w:t>
            </w:r>
            <w:r w:rsidR="00583E1A" w:rsidRPr="00583E1A">
              <w:rPr>
                <w:position w:val="6"/>
                <w:sz w:val="16"/>
              </w:rPr>
              <w:t>*</w:t>
            </w:r>
            <w:r w:rsidRPr="00583E1A">
              <w:t xml:space="preserve">associate is taken to be a reference to an </w:t>
            </w:r>
            <w:r w:rsidR="00583E1A" w:rsidRPr="00583E1A">
              <w:rPr>
                <w:position w:val="6"/>
                <w:sz w:val="16"/>
              </w:rPr>
              <w:t>*</w:t>
            </w:r>
            <w:r w:rsidRPr="00583E1A">
              <w:t>associate entity</w:t>
            </w:r>
          </w:p>
        </w:tc>
      </w:tr>
    </w:tbl>
    <w:p w:rsidR="00887330" w:rsidRPr="00583E1A" w:rsidRDefault="00887330" w:rsidP="00887330">
      <w:pPr>
        <w:pStyle w:val="ActHead5"/>
      </w:pPr>
      <w:bookmarkStart w:id="297" w:name="_Toc338939371"/>
      <w:r w:rsidRPr="00583E1A">
        <w:rPr>
          <w:rStyle w:val="CharSectno"/>
        </w:rPr>
        <w:t>820</w:t>
      </w:r>
      <w:r w:rsidR="00583E1A">
        <w:rPr>
          <w:rStyle w:val="CharSectno"/>
        </w:rPr>
        <w:noBreakHyphen/>
      </w:r>
      <w:r w:rsidRPr="00583E1A">
        <w:rPr>
          <w:rStyle w:val="CharSectno"/>
        </w:rPr>
        <w:t>860</w:t>
      </w:r>
      <w:r w:rsidRPr="00583E1A">
        <w:t xml:space="preserve">  TC direct control interest in a trust</w:t>
      </w:r>
      <w:bookmarkEnd w:id="297"/>
    </w:p>
    <w:p w:rsidR="00887330" w:rsidRPr="00583E1A" w:rsidRDefault="00887330" w:rsidP="00887330">
      <w:pPr>
        <w:pStyle w:val="subsection"/>
      </w:pPr>
      <w:r w:rsidRPr="00583E1A">
        <w:tab/>
        <w:t>(1)</w:t>
      </w:r>
      <w:r w:rsidRPr="00583E1A">
        <w:tab/>
        <w:t xml:space="preserve">A </w:t>
      </w:r>
      <w:r w:rsidRPr="00583E1A">
        <w:rPr>
          <w:b/>
          <w:i/>
        </w:rPr>
        <w:t xml:space="preserve">thin capitalisation direct control interest </w:t>
      </w:r>
      <w:r w:rsidRPr="00583E1A">
        <w:t xml:space="preserve">(or a </w:t>
      </w:r>
      <w:r w:rsidRPr="00583E1A">
        <w:rPr>
          <w:b/>
          <w:i/>
        </w:rPr>
        <w:t>TC direct control interest</w:t>
      </w:r>
      <w:r w:rsidRPr="00583E1A">
        <w:t>)</w:t>
      </w:r>
      <w:r w:rsidRPr="00583E1A">
        <w:rPr>
          <w:b/>
          <w:i/>
        </w:rPr>
        <w:t xml:space="preserve"> </w:t>
      </w:r>
      <w:r w:rsidRPr="00583E1A">
        <w:t xml:space="preserve">that an entity holds in a trust at a particular time is the percentage of the direct control interest (if any) that the entity holds in the trust at that time under the provisions applied by </w:t>
      </w:r>
      <w:r w:rsidR="00583E1A">
        <w:t>subsection (</w:t>
      </w:r>
      <w:r w:rsidRPr="00583E1A">
        <w:t>2).</w:t>
      </w:r>
    </w:p>
    <w:p w:rsidR="00887330" w:rsidRPr="00583E1A" w:rsidRDefault="00887330" w:rsidP="00887330">
      <w:pPr>
        <w:pStyle w:val="subsection"/>
      </w:pPr>
      <w:r w:rsidRPr="00583E1A">
        <w:tab/>
        <w:t>(2)</w:t>
      </w:r>
      <w:r w:rsidRPr="00583E1A">
        <w:tab/>
        <w:t xml:space="preserve">For the purposes of </w:t>
      </w:r>
      <w:r w:rsidR="00583E1A">
        <w:t>subsection (</w:t>
      </w:r>
      <w:r w:rsidRPr="00583E1A">
        <w:t>1), provisions of Part</w:t>
      </w:r>
      <w:r w:rsidR="00583E1A">
        <w:t> </w:t>
      </w:r>
      <w:r w:rsidRPr="00583E1A">
        <w:t xml:space="preserve">X of the </w:t>
      </w:r>
      <w:r w:rsidRPr="00583E1A">
        <w:rPr>
          <w:i/>
        </w:rPr>
        <w:t>Income Tax Assessment Act 1936</w:t>
      </w:r>
      <w:r w:rsidRPr="00583E1A">
        <w:t xml:space="preserve"> are applied with the modifications set out in the following table.</w:t>
      </w:r>
    </w:p>
    <w:p w:rsidR="00887330" w:rsidRPr="00583E1A" w:rsidRDefault="00887330" w:rsidP="00887330">
      <w:pPr>
        <w:pStyle w:val="Tabletext"/>
        <w:keepN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708"/>
        <w:gridCol w:w="2835"/>
        <w:gridCol w:w="3544"/>
        <w:gridCol w:w="23"/>
      </w:tblGrid>
      <w:tr w:rsidR="00887330" w:rsidRPr="00583E1A">
        <w:trPr>
          <w:cantSplit/>
          <w:tblHeader/>
        </w:trPr>
        <w:tc>
          <w:tcPr>
            <w:tcW w:w="7110" w:type="dxa"/>
            <w:gridSpan w:val="4"/>
            <w:tcBorders>
              <w:top w:val="single" w:sz="12" w:space="0" w:color="auto"/>
              <w:left w:val="nil"/>
              <w:bottom w:val="nil"/>
              <w:right w:val="nil"/>
            </w:tcBorders>
          </w:tcPr>
          <w:p w:rsidR="00887330" w:rsidRPr="00583E1A" w:rsidRDefault="00887330" w:rsidP="00887330">
            <w:pPr>
              <w:pStyle w:val="Tabletext"/>
              <w:keepNext/>
            </w:pPr>
            <w:r w:rsidRPr="00583E1A">
              <w:rPr>
                <w:b/>
              </w:rPr>
              <w:t>Modifications of provisions in Part</w:t>
            </w:r>
            <w:r w:rsidR="00583E1A">
              <w:rPr>
                <w:b/>
              </w:rPr>
              <w:t> </w:t>
            </w:r>
            <w:r w:rsidRPr="00583E1A">
              <w:rPr>
                <w:b/>
              </w:rPr>
              <w:t xml:space="preserve">X of the </w:t>
            </w:r>
            <w:r w:rsidRPr="00583E1A">
              <w:rPr>
                <w:b/>
                <w:i/>
              </w:rPr>
              <w:t>Income Tax Assessment Act 1936</w:t>
            </w:r>
          </w:p>
        </w:tc>
      </w:tr>
      <w:tr w:rsidR="00887330" w:rsidRPr="00583E1A">
        <w:trPr>
          <w:gridAfter w:val="1"/>
          <w:wAfter w:w="23" w:type="dxa"/>
          <w:cantSplit/>
          <w:tblHeader/>
        </w:trPr>
        <w:tc>
          <w:tcPr>
            <w:tcW w:w="708" w:type="dxa"/>
            <w:tcBorders>
              <w:top w:val="single" w:sz="6" w:space="0" w:color="auto"/>
              <w:left w:val="nil"/>
              <w:bottom w:val="single" w:sz="12" w:space="0" w:color="auto"/>
              <w:right w:val="nil"/>
            </w:tcBorders>
          </w:tcPr>
          <w:p w:rsidR="00887330" w:rsidRPr="00583E1A" w:rsidRDefault="00887330" w:rsidP="00887330">
            <w:pPr>
              <w:pStyle w:val="Tabletext"/>
              <w:keepNext/>
            </w:pPr>
            <w:r w:rsidRPr="00583E1A">
              <w:rPr>
                <w:b/>
              </w:rPr>
              <w:t>Item</w:t>
            </w:r>
          </w:p>
        </w:tc>
        <w:tc>
          <w:tcPr>
            <w:tcW w:w="2835" w:type="dxa"/>
            <w:tcBorders>
              <w:top w:val="single" w:sz="6" w:space="0" w:color="auto"/>
              <w:left w:val="nil"/>
              <w:bottom w:val="single" w:sz="12" w:space="0" w:color="auto"/>
              <w:right w:val="nil"/>
            </w:tcBorders>
          </w:tcPr>
          <w:p w:rsidR="00887330" w:rsidRPr="00583E1A" w:rsidRDefault="00887330" w:rsidP="00887330">
            <w:pPr>
              <w:pStyle w:val="Tabletext"/>
              <w:keepNext/>
            </w:pPr>
            <w:r w:rsidRPr="00583E1A">
              <w:rPr>
                <w:b/>
              </w:rPr>
              <w:t>Provisions</w:t>
            </w:r>
          </w:p>
        </w:tc>
        <w:tc>
          <w:tcPr>
            <w:tcW w:w="3544" w:type="dxa"/>
            <w:tcBorders>
              <w:top w:val="single" w:sz="6" w:space="0" w:color="auto"/>
              <w:left w:val="nil"/>
              <w:bottom w:val="single" w:sz="12" w:space="0" w:color="auto"/>
              <w:right w:val="nil"/>
            </w:tcBorders>
          </w:tcPr>
          <w:p w:rsidR="00887330" w:rsidRPr="00583E1A" w:rsidRDefault="00887330" w:rsidP="00887330">
            <w:pPr>
              <w:pStyle w:val="Tabletext"/>
              <w:keepNext/>
            </w:pPr>
            <w:r w:rsidRPr="00583E1A">
              <w:rPr>
                <w:b/>
              </w:rPr>
              <w:t>Modifications</w:t>
            </w:r>
          </w:p>
        </w:tc>
      </w:tr>
      <w:tr w:rsidR="00887330" w:rsidRPr="00583E1A">
        <w:trPr>
          <w:gridAfter w:val="1"/>
          <w:wAfter w:w="23" w:type="dxa"/>
          <w:cantSplit/>
        </w:trPr>
        <w:tc>
          <w:tcPr>
            <w:tcW w:w="708" w:type="dxa"/>
            <w:tcBorders>
              <w:top w:val="single" w:sz="12" w:space="0" w:color="auto"/>
              <w:left w:val="nil"/>
              <w:bottom w:val="single" w:sz="2" w:space="0" w:color="auto"/>
              <w:right w:val="nil"/>
            </w:tcBorders>
            <w:shd w:val="clear" w:color="auto" w:fill="auto"/>
          </w:tcPr>
          <w:p w:rsidR="00887330" w:rsidRPr="00583E1A" w:rsidRDefault="00887330" w:rsidP="00887330">
            <w:pPr>
              <w:pStyle w:val="Tabletext"/>
            </w:pPr>
            <w:r w:rsidRPr="00583E1A">
              <w:t>1</w:t>
            </w:r>
          </w:p>
        </w:tc>
        <w:tc>
          <w:tcPr>
            <w:tcW w:w="2835" w:type="dxa"/>
            <w:tcBorders>
              <w:top w:val="single" w:sz="12" w:space="0" w:color="auto"/>
              <w:left w:val="nil"/>
              <w:bottom w:val="single" w:sz="2" w:space="0" w:color="auto"/>
              <w:right w:val="nil"/>
            </w:tcBorders>
            <w:shd w:val="clear" w:color="auto" w:fill="auto"/>
          </w:tcPr>
          <w:p w:rsidR="00887330" w:rsidRPr="00583E1A" w:rsidRDefault="00887330" w:rsidP="00887330">
            <w:pPr>
              <w:pStyle w:val="Tabletext"/>
            </w:pPr>
            <w:r w:rsidRPr="00583E1A">
              <w:t>Section</w:t>
            </w:r>
            <w:r w:rsidR="00583E1A">
              <w:t> </w:t>
            </w:r>
            <w:r w:rsidRPr="00583E1A">
              <w:t>351 (including any other provision in Part</w:t>
            </w:r>
            <w:r w:rsidR="00583E1A">
              <w:t> </w:t>
            </w:r>
            <w:r w:rsidRPr="00583E1A">
              <w:t xml:space="preserve">X of the </w:t>
            </w:r>
            <w:r w:rsidRPr="00583E1A">
              <w:rPr>
                <w:i/>
              </w:rPr>
              <w:t xml:space="preserve">Income Tax Assessment Act 1936 </w:t>
            </w:r>
            <w:r w:rsidRPr="00583E1A">
              <w:t>that defines a term used in the section)</w:t>
            </w:r>
          </w:p>
        </w:tc>
        <w:tc>
          <w:tcPr>
            <w:tcW w:w="3544" w:type="dxa"/>
            <w:tcBorders>
              <w:top w:val="single" w:sz="12" w:space="0" w:color="auto"/>
              <w:left w:val="nil"/>
              <w:bottom w:val="single" w:sz="2" w:space="0" w:color="auto"/>
              <w:right w:val="nil"/>
            </w:tcBorders>
            <w:shd w:val="clear" w:color="auto" w:fill="auto"/>
          </w:tcPr>
          <w:p w:rsidR="00887330" w:rsidRPr="00583E1A" w:rsidRDefault="00887330" w:rsidP="00887330">
            <w:pPr>
              <w:pStyle w:val="Tabletext"/>
            </w:pPr>
            <w:r w:rsidRPr="00583E1A">
              <w:t>The section applies for the purposes of this Subdivision rather than only for the purposes of Part</w:t>
            </w:r>
            <w:r w:rsidR="00583E1A">
              <w:t> </w:t>
            </w:r>
            <w:r w:rsidRPr="00583E1A">
              <w:t xml:space="preserve">X of the </w:t>
            </w:r>
            <w:r w:rsidRPr="00583E1A">
              <w:rPr>
                <w:i/>
              </w:rPr>
              <w:t>Income Tax Assessment Act 1936</w:t>
            </w:r>
          </w:p>
        </w:tc>
      </w:tr>
      <w:tr w:rsidR="00887330" w:rsidRPr="00583E1A">
        <w:trPr>
          <w:gridAfter w:val="1"/>
          <w:wAfter w:w="23" w:type="dxa"/>
          <w:cantSplit/>
        </w:trPr>
        <w:tc>
          <w:tcPr>
            <w:tcW w:w="708" w:type="dxa"/>
            <w:tcBorders>
              <w:top w:val="single" w:sz="2" w:space="0" w:color="auto"/>
              <w:left w:val="nil"/>
              <w:bottom w:val="single" w:sz="12" w:space="0" w:color="auto"/>
              <w:right w:val="nil"/>
            </w:tcBorders>
          </w:tcPr>
          <w:p w:rsidR="00887330" w:rsidRPr="00583E1A" w:rsidRDefault="00887330" w:rsidP="00887330">
            <w:pPr>
              <w:pStyle w:val="Tabletext"/>
            </w:pPr>
            <w:r w:rsidRPr="00583E1A">
              <w:t>2</w:t>
            </w:r>
          </w:p>
        </w:tc>
        <w:tc>
          <w:tcPr>
            <w:tcW w:w="2835" w:type="dxa"/>
            <w:tcBorders>
              <w:top w:val="single" w:sz="2" w:space="0" w:color="auto"/>
              <w:left w:val="nil"/>
              <w:bottom w:val="single" w:sz="12" w:space="0" w:color="auto"/>
              <w:right w:val="nil"/>
            </w:tcBorders>
          </w:tcPr>
          <w:p w:rsidR="00887330" w:rsidRPr="00583E1A" w:rsidRDefault="00887330" w:rsidP="00887330">
            <w:pPr>
              <w:pStyle w:val="Tabletext"/>
            </w:pPr>
            <w:r w:rsidRPr="00583E1A">
              <w:t>Subsections 351(3) and (4)</w:t>
            </w:r>
          </w:p>
        </w:tc>
        <w:tc>
          <w:tcPr>
            <w:tcW w:w="3544" w:type="dxa"/>
            <w:tcBorders>
              <w:top w:val="single" w:sz="2" w:space="0" w:color="auto"/>
              <w:left w:val="nil"/>
              <w:bottom w:val="single" w:sz="12" w:space="0" w:color="auto"/>
              <w:right w:val="nil"/>
            </w:tcBorders>
          </w:tcPr>
          <w:p w:rsidR="00887330" w:rsidRPr="00583E1A" w:rsidRDefault="00887330" w:rsidP="00887330">
            <w:pPr>
              <w:pStyle w:val="Tabletext"/>
            </w:pPr>
            <w:r w:rsidRPr="00583E1A">
              <w:t>The subsections do not apply</w:t>
            </w:r>
          </w:p>
        </w:tc>
      </w:tr>
    </w:tbl>
    <w:p w:rsidR="00887330" w:rsidRPr="00583E1A" w:rsidRDefault="00887330" w:rsidP="00887330">
      <w:pPr>
        <w:pStyle w:val="subsection"/>
      </w:pPr>
      <w:r w:rsidRPr="00583E1A">
        <w:lastRenderedPageBreak/>
        <w:tab/>
        <w:t>(3)</w:t>
      </w:r>
      <w:r w:rsidRPr="00583E1A">
        <w:tab/>
        <w:t xml:space="preserve">In addition, for the purposes of determining whether or not an entity (other than a trust mentioned in </w:t>
      </w:r>
      <w:r w:rsidR="00583E1A">
        <w:t>paragraph (</w:t>
      </w:r>
      <w:r w:rsidRPr="00583E1A">
        <w:t xml:space="preserve">a) or (b)) is a </w:t>
      </w:r>
      <w:r w:rsidR="00583E1A" w:rsidRPr="00583E1A">
        <w:rPr>
          <w:position w:val="6"/>
          <w:sz w:val="16"/>
        </w:rPr>
        <w:t>*</w:t>
      </w:r>
      <w:r w:rsidRPr="00583E1A">
        <w:t>foreign controlled Australian entity:</w:t>
      </w:r>
    </w:p>
    <w:p w:rsidR="00887330" w:rsidRPr="00583E1A" w:rsidRDefault="00887330" w:rsidP="00887330">
      <w:pPr>
        <w:pStyle w:val="paragraph"/>
      </w:pPr>
      <w:r w:rsidRPr="00583E1A">
        <w:tab/>
        <w:t>(a)</w:t>
      </w:r>
      <w:r w:rsidRPr="00583E1A">
        <w:tab/>
        <w:t>if a trust is covered by paragraph 820</w:t>
      </w:r>
      <w:r w:rsidR="00583E1A">
        <w:noBreakHyphen/>
      </w:r>
      <w:r w:rsidRPr="00583E1A">
        <w:t>790(1)(c)—a foreign entity that is an object of the trust at a particular time is taken to hold, at that time, a TC direct control interest in the trust that is equal to 100%; and</w:t>
      </w:r>
    </w:p>
    <w:p w:rsidR="00887330" w:rsidRPr="00583E1A" w:rsidRDefault="00887330" w:rsidP="00887330">
      <w:pPr>
        <w:pStyle w:val="paragraph"/>
      </w:pPr>
      <w:r w:rsidRPr="00583E1A">
        <w:tab/>
        <w:t>(b)</w:t>
      </w:r>
      <w:r w:rsidRPr="00583E1A">
        <w:tab/>
        <w:t>if a trust is covered by paragraph 820</w:t>
      </w:r>
      <w:r w:rsidR="00583E1A">
        <w:noBreakHyphen/>
      </w:r>
      <w:r w:rsidRPr="00583E1A">
        <w:t xml:space="preserve">790(1)(d)—a foreign entity that is in a position to control the trust at a particular time is taken to hold, at that time, a </w:t>
      </w:r>
      <w:r w:rsidR="00583E1A" w:rsidRPr="00583E1A">
        <w:rPr>
          <w:position w:val="6"/>
          <w:sz w:val="16"/>
        </w:rPr>
        <w:t>*</w:t>
      </w:r>
      <w:r w:rsidRPr="00583E1A">
        <w:t>TC direct control interest in the trust that is equal to 100%.</w:t>
      </w:r>
    </w:p>
    <w:p w:rsidR="00887330" w:rsidRPr="00583E1A" w:rsidRDefault="00887330" w:rsidP="00887330">
      <w:pPr>
        <w:pStyle w:val="notetext"/>
      </w:pPr>
      <w:r w:rsidRPr="00583E1A">
        <w:t>Note:</w:t>
      </w:r>
      <w:r w:rsidRPr="00583E1A">
        <w:tab/>
        <w:t>The foreign entity therefore holds a TC control tracing interest in the trust (see section</w:t>
      </w:r>
      <w:r w:rsidR="00583E1A">
        <w:t> </w:t>
      </w:r>
      <w:r w:rsidRPr="00583E1A">
        <w:t>820</w:t>
      </w:r>
      <w:r w:rsidR="00583E1A">
        <w:noBreakHyphen/>
      </w:r>
      <w:r w:rsidRPr="00583E1A">
        <w:t>875). That interest may then be taken into account in calculating any TC indirect control interest that the foreign entity holds in another entity in relation to which the trust is an interposed entity (see section</w:t>
      </w:r>
      <w:r w:rsidR="00583E1A">
        <w:t> </w:t>
      </w:r>
      <w:r w:rsidRPr="00583E1A">
        <w:t>820</w:t>
      </w:r>
      <w:r w:rsidR="00583E1A">
        <w:noBreakHyphen/>
      </w:r>
      <w:r w:rsidRPr="00583E1A">
        <w:t>870). As a result, that other entity may become a foreign controlled Australian entity.</w:t>
      </w:r>
    </w:p>
    <w:p w:rsidR="00887330" w:rsidRPr="00583E1A" w:rsidRDefault="00887330" w:rsidP="00887330">
      <w:pPr>
        <w:pStyle w:val="ActHead5"/>
      </w:pPr>
      <w:bookmarkStart w:id="298" w:name="_Toc338939372"/>
      <w:r w:rsidRPr="00583E1A">
        <w:rPr>
          <w:rStyle w:val="CharSectno"/>
        </w:rPr>
        <w:t>820</w:t>
      </w:r>
      <w:r w:rsidR="00583E1A">
        <w:rPr>
          <w:rStyle w:val="CharSectno"/>
        </w:rPr>
        <w:noBreakHyphen/>
      </w:r>
      <w:r w:rsidRPr="00583E1A">
        <w:rPr>
          <w:rStyle w:val="CharSectno"/>
        </w:rPr>
        <w:t>865</w:t>
      </w:r>
      <w:r w:rsidRPr="00583E1A">
        <w:t xml:space="preserve">  TC direct control interest in a partnership</w:t>
      </w:r>
      <w:bookmarkEnd w:id="298"/>
    </w:p>
    <w:p w:rsidR="00887330" w:rsidRPr="00583E1A" w:rsidRDefault="00887330" w:rsidP="00887330">
      <w:pPr>
        <w:pStyle w:val="subsection"/>
      </w:pPr>
      <w:r w:rsidRPr="00583E1A">
        <w:tab/>
      </w:r>
      <w:r w:rsidRPr="00583E1A">
        <w:tab/>
        <w:t xml:space="preserve">A </w:t>
      </w:r>
      <w:r w:rsidRPr="00583E1A">
        <w:rPr>
          <w:b/>
          <w:i/>
        </w:rPr>
        <w:t xml:space="preserve">thin capitalisation direct control interest </w:t>
      </w:r>
      <w:r w:rsidRPr="00583E1A">
        <w:t xml:space="preserve">(or a </w:t>
      </w:r>
      <w:r w:rsidRPr="00583E1A">
        <w:rPr>
          <w:b/>
          <w:i/>
        </w:rPr>
        <w:t>TC direct control interest</w:t>
      </w:r>
      <w:r w:rsidRPr="00583E1A">
        <w:t>)</w:t>
      </w:r>
      <w:r w:rsidRPr="00583E1A">
        <w:rPr>
          <w:b/>
          <w:i/>
        </w:rPr>
        <w:t xml:space="preserve"> </w:t>
      </w:r>
      <w:r w:rsidRPr="00583E1A">
        <w:t>that an entity holds in a partnership at a particular time is whichever of the following percentages is applicable, and if there are 2 or more such percentages, the greatest of them:</w:t>
      </w:r>
    </w:p>
    <w:p w:rsidR="00887330" w:rsidRPr="00583E1A" w:rsidRDefault="00887330" w:rsidP="00887330">
      <w:pPr>
        <w:pStyle w:val="paragraph"/>
      </w:pPr>
      <w:r w:rsidRPr="00583E1A">
        <w:tab/>
        <w:t>(a)</w:t>
      </w:r>
      <w:r w:rsidRPr="00583E1A">
        <w:tab/>
        <w:t xml:space="preserve">in the case of a </w:t>
      </w:r>
      <w:r w:rsidR="00583E1A" w:rsidRPr="00583E1A">
        <w:rPr>
          <w:position w:val="6"/>
          <w:sz w:val="16"/>
        </w:rPr>
        <w:t>*</w:t>
      </w:r>
      <w:r w:rsidRPr="00583E1A">
        <w:t xml:space="preserve">corporate limited partnership—100% if the entity is a </w:t>
      </w:r>
      <w:r w:rsidR="00583E1A" w:rsidRPr="00583E1A">
        <w:rPr>
          <w:position w:val="6"/>
          <w:sz w:val="16"/>
        </w:rPr>
        <w:t>*</w:t>
      </w:r>
      <w:r w:rsidRPr="00583E1A">
        <w:t>general partner of the partnership;</w:t>
      </w:r>
    </w:p>
    <w:p w:rsidR="00887330" w:rsidRPr="00583E1A" w:rsidRDefault="00887330" w:rsidP="00887330">
      <w:pPr>
        <w:pStyle w:val="paragraph"/>
      </w:pPr>
      <w:r w:rsidRPr="00583E1A">
        <w:tab/>
        <w:t>(b)</w:t>
      </w:r>
      <w:r w:rsidRPr="00583E1A">
        <w:tab/>
        <w:t>in the case of a partnership that is not a corporate limited partnership—the percentage of the control of voting power in the partnership that the entity has at that time;</w:t>
      </w:r>
    </w:p>
    <w:p w:rsidR="00887330" w:rsidRPr="00583E1A" w:rsidRDefault="00887330" w:rsidP="00887330">
      <w:pPr>
        <w:pStyle w:val="paragraph"/>
      </w:pPr>
      <w:r w:rsidRPr="00583E1A">
        <w:tab/>
        <w:t>(c)</w:t>
      </w:r>
      <w:r w:rsidRPr="00583E1A">
        <w:tab/>
        <w:t>in any case—the percentage that the entity holds, or is entitled to acquire, at that time, of any of the following:</w:t>
      </w:r>
    </w:p>
    <w:p w:rsidR="00887330" w:rsidRPr="00583E1A" w:rsidRDefault="00887330" w:rsidP="00887330">
      <w:pPr>
        <w:pStyle w:val="paragraphsub"/>
      </w:pPr>
      <w:r w:rsidRPr="00583E1A">
        <w:tab/>
        <w:t>(i)</w:t>
      </w:r>
      <w:r w:rsidRPr="00583E1A">
        <w:tab/>
        <w:t>the total amount of assets or capital contributed to the partnership;</w:t>
      </w:r>
    </w:p>
    <w:p w:rsidR="00887330" w:rsidRPr="00583E1A" w:rsidRDefault="00887330" w:rsidP="00887330">
      <w:pPr>
        <w:pStyle w:val="paragraphsub"/>
      </w:pPr>
      <w:r w:rsidRPr="00583E1A">
        <w:tab/>
        <w:t>(ii)</w:t>
      </w:r>
      <w:r w:rsidRPr="00583E1A">
        <w:tab/>
        <w:t>the total rights of partners to distributions of capital, assets or profits on the dissolution of the partnership;</w:t>
      </w:r>
    </w:p>
    <w:p w:rsidR="00887330" w:rsidRPr="00583E1A" w:rsidRDefault="00887330" w:rsidP="00887330">
      <w:pPr>
        <w:pStyle w:val="paragraphsub"/>
      </w:pPr>
      <w:r w:rsidRPr="00583E1A">
        <w:tab/>
        <w:t>(iii)</w:t>
      </w:r>
      <w:r w:rsidRPr="00583E1A">
        <w:tab/>
        <w:t>the total rights of partners to distributions of capital, assets or profits otherwise than on the dissolution of the partnership.</w:t>
      </w:r>
    </w:p>
    <w:p w:rsidR="00887330" w:rsidRPr="00583E1A" w:rsidRDefault="00887330" w:rsidP="00887330">
      <w:pPr>
        <w:pStyle w:val="ActHead5"/>
      </w:pPr>
      <w:bookmarkStart w:id="299" w:name="_Toc338939373"/>
      <w:r w:rsidRPr="00583E1A">
        <w:rPr>
          <w:rStyle w:val="CharSectno"/>
        </w:rPr>
        <w:lastRenderedPageBreak/>
        <w:t>820</w:t>
      </w:r>
      <w:r w:rsidR="00583E1A">
        <w:rPr>
          <w:rStyle w:val="CharSectno"/>
        </w:rPr>
        <w:noBreakHyphen/>
      </w:r>
      <w:r w:rsidRPr="00583E1A">
        <w:rPr>
          <w:rStyle w:val="CharSectno"/>
        </w:rPr>
        <w:t>870</w:t>
      </w:r>
      <w:r w:rsidRPr="00583E1A">
        <w:t xml:space="preserve">  TC indirect control interest in a company, trust or partnership</w:t>
      </w:r>
      <w:bookmarkEnd w:id="299"/>
    </w:p>
    <w:p w:rsidR="00887330" w:rsidRPr="00583E1A" w:rsidRDefault="00887330" w:rsidP="00887330">
      <w:pPr>
        <w:pStyle w:val="SubsectionHead"/>
      </w:pPr>
      <w:r w:rsidRPr="00583E1A">
        <w:t>What is a TC indirect control interest?</w:t>
      </w:r>
    </w:p>
    <w:p w:rsidR="00887330" w:rsidRPr="00583E1A" w:rsidRDefault="00887330" w:rsidP="00887330">
      <w:pPr>
        <w:pStyle w:val="subsection"/>
      </w:pPr>
      <w:r w:rsidRPr="00583E1A">
        <w:tab/>
        <w:t>(1)</w:t>
      </w:r>
      <w:r w:rsidRPr="00583E1A">
        <w:tab/>
        <w:t xml:space="preserve">An entity holds a </w:t>
      </w:r>
      <w:r w:rsidRPr="00583E1A">
        <w:rPr>
          <w:b/>
          <w:i/>
        </w:rPr>
        <w:t xml:space="preserve">thin capitalisation indirect control interest </w:t>
      </w:r>
      <w:r w:rsidRPr="00583E1A">
        <w:t xml:space="preserve">(or a </w:t>
      </w:r>
      <w:r w:rsidRPr="00583E1A">
        <w:rPr>
          <w:b/>
          <w:i/>
        </w:rPr>
        <w:t>TC indirect control interest</w:t>
      </w:r>
      <w:r w:rsidRPr="00583E1A">
        <w:t>) in a company, trust or partnership at a particular time if, and only if:</w:t>
      </w:r>
    </w:p>
    <w:p w:rsidR="00887330" w:rsidRPr="00583E1A" w:rsidRDefault="00887330" w:rsidP="00887330">
      <w:pPr>
        <w:pStyle w:val="paragraph"/>
      </w:pPr>
      <w:r w:rsidRPr="00583E1A">
        <w:tab/>
        <w:t>(a)</w:t>
      </w:r>
      <w:r w:rsidRPr="00583E1A">
        <w:tab/>
        <w:t>there is an interposed entity, or a continuous series of at least 2 interposed entities, between that entity and the company, trust or partnership; and</w:t>
      </w:r>
    </w:p>
    <w:p w:rsidR="00887330" w:rsidRPr="00583E1A" w:rsidRDefault="00887330" w:rsidP="00887330">
      <w:pPr>
        <w:pStyle w:val="paragraph"/>
      </w:pPr>
      <w:r w:rsidRPr="00583E1A">
        <w:tab/>
        <w:t>(b)</w:t>
      </w:r>
      <w:r w:rsidRPr="00583E1A">
        <w:tab/>
        <w:t>the interposed entity, or each of the interposed entities, is:</w:t>
      </w:r>
    </w:p>
    <w:p w:rsidR="00887330" w:rsidRPr="00583E1A" w:rsidRDefault="00887330" w:rsidP="00887330">
      <w:pPr>
        <w:pStyle w:val="paragraphsub"/>
      </w:pPr>
      <w:r w:rsidRPr="00583E1A">
        <w:tab/>
        <w:t>(i)</w:t>
      </w:r>
      <w:r w:rsidRPr="00583E1A">
        <w:tab/>
        <w:t xml:space="preserve">a </w:t>
      </w:r>
      <w:r w:rsidR="00583E1A" w:rsidRPr="00583E1A">
        <w:rPr>
          <w:position w:val="6"/>
          <w:sz w:val="16"/>
        </w:rPr>
        <w:t>*</w:t>
      </w:r>
      <w:r w:rsidRPr="00583E1A">
        <w:t>foreign controlled Australian entity if this section is used for the purposes of determining whether or not an entity is a foreign controlled Australian entity; or</w:t>
      </w:r>
    </w:p>
    <w:p w:rsidR="00887330" w:rsidRPr="00583E1A" w:rsidRDefault="00887330" w:rsidP="00887330">
      <w:pPr>
        <w:pStyle w:val="paragraphsub"/>
      </w:pPr>
      <w:r w:rsidRPr="00583E1A">
        <w:tab/>
        <w:t>(ii)</w:t>
      </w:r>
      <w:r w:rsidRPr="00583E1A">
        <w:tab/>
        <w:t xml:space="preserve">an </w:t>
      </w:r>
      <w:r w:rsidR="00583E1A" w:rsidRPr="00583E1A">
        <w:rPr>
          <w:position w:val="6"/>
          <w:sz w:val="16"/>
        </w:rPr>
        <w:t>*</w:t>
      </w:r>
      <w:r w:rsidRPr="00583E1A">
        <w:t xml:space="preserve">Australian controlled foreign entity if this section is used for the purposes of determining whether or not an entity is an Australian controlled foreign entity or an </w:t>
      </w:r>
      <w:r w:rsidR="00583E1A" w:rsidRPr="00583E1A">
        <w:rPr>
          <w:position w:val="6"/>
          <w:sz w:val="16"/>
        </w:rPr>
        <w:t>*</w:t>
      </w:r>
      <w:r w:rsidRPr="00583E1A">
        <w:t>Australian controller of such an entity.</w:t>
      </w:r>
    </w:p>
    <w:p w:rsidR="00887330" w:rsidRPr="00583E1A" w:rsidRDefault="00887330" w:rsidP="00887330">
      <w:pPr>
        <w:pStyle w:val="notetext"/>
      </w:pPr>
      <w:r w:rsidRPr="00583E1A">
        <w:t>Note:</w:t>
      </w:r>
      <w:r w:rsidRPr="00583E1A">
        <w:tab/>
        <w:t xml:space="preserve">In the case of a continuous series of interposed entities between an entity and a company, trust or partnership, the entity must hold a TC control tracing interest in the first interposed entity (see </w:t>
      </w:r>
      <w:r w:rsidR="00583E1A">
        <w:t>subsection (</w:t>
      </w:r>
      <w:r w:rsidRPr="00583E1A">
        <w:t xml:space="preserve">2)). In addition, under </w:t>
      </w:r>
      <w:r w:rsidR="00583E1A">
        <w:t>subsection (</w:t>
      </w:r>
      <w:r w:rsidRPr="00583E1A">
        <w:t>2), each interposed entity in the series must hold a TC control tracing interest in the next interposed entity (except in the case of the last one, which holds a TC control tracing interest in the company, trust or partnership).</w:t>
      </w:r>
    </w:p>
    <w:p w:rsidR="00887330" w:rsidRPr="00583E1A" w:rsidRDefault="00887330" w:rsidP="00887330">
      <w:pPr>
        <w:pStyle w:val="SubsectionHead"/>
      </w:pPr>
      <w:r w:rsidRPr="00583E1A">
        <w:t>What is an interposed entity?</w:t>
      </w:r>
    </w:p>
    <w:p w:rsidR="00887330" w:rsidRPr="00583E1A" w:rsidRDefault="00887330" w:rsidP="00887330">
      <w:pPr>
        <w:pStyle w:val="subsection"/>
      </w:pPr>
      <w:r w:rsidRPr="00583E1A">
        <w:tab/>
        <w:t>(2)</w:t>
      </w:r>
      <w:r w:rsidRPr="00583E1A">
        <w:tab/>
        <w:t>For the purposes of this section, an entity (the</w:t>
      </w:r>
      <w:r w:rsidRPr="00583E1A">
        <w:rPr>
          <w:b/>
          <w:i/>
        </w:rPr>
        <w:t xml:space="preserve"> middle entity</w:t>
      </w:r>
      <w:r w:rsidRPr="00583E1A">
        <w:t>) is interposed between 2 other entities at a particular time if, and only if, at that time:</w:t>
      </w:r>
    </w:p>
    <w:p w:rsidR="00887330" w:rsidRPr="00583E1A" w:rsidRDefault="00887330" w:rsidP="00887330">
      <w:pPr>
        <w:pStyle w:val="paragraph"/>
      </w:pPr>
      <w:r w:rsidRPr="00583E1A">
        <w:tab/>
        <w:t>(a)</w:t>
      </w:r>
      <w:r w:rsidRPr="00583E1A">
        <w:tab/>
        <w:t xml:space="preserve">the first of those 2 entities holds a </w:t>
      </w:r>
      <w:r w:rsidR="00583E1A" w:rsidRPr="00583E1A">
        <w:rPr>
          <w:position w:val="6"/>
          <w:sz w:val="16"/>
        </w:rPr>
        <w:t>*</w:t>
      </w:r>
      <w:r w:rsidRPr="00583E1A">
        <w:t>TC control tracing interest in the middle entity; and</w:t>
      </w:r>
    </w:p>
    <w:p w:rsidR="00887330" w:rsidRPr="00583E1A" w:rsidRDefault="00887330" w:rsidP="00887330">
      <w:pPr>
        <w:pStyle w:val="paragraph"/>
      </w:pPr>
      <w:r w:rsidRPr="00583E1A">
        <w:tab/>
        <w:t>(b)</w:t>
      </w:r>
      <w:r w:rsidRPr="00583E1A">
        <w:tab/>
        <w:t>the middle entity holds a TC control tracing interest in the second of those 2 entities.</w:t>
      </w:r>
    </w:p>
    <w:p w:rsidR="00887330" w:rsidRPr="00583E1A" w:rsidRDefault="00887330" w:rsidP="00887330">
      <w:pPr>
        <w:pStyle w:val="notetext"/>
      </w:pPr>
      <w:r w:rsidRPr="00583E1A">
        <w:t>Note:</w:t>
      </w:r>
      <w:r w:rsidRPr="00583E1A">
        <w:tab/>
        <w:t>For the rules about a TC control tracing interest, see section</w:t>
      </w:r>
      <w:r w:rsidR="00583E1A">
        <w:t> </w:t>
      </w:r>
      <w:r w:rsidRPr="00583E1A">
        <w:t>820</w:t>
      </w:r>
      <w:r w:rsidR="00583E1A">
        <w:noBreakHyphen/>
      </w:r>
      <w:r w:rsidRPr="00583E1A">
        <w:t>875.</w:t>
      </w:r>
    </w:p>
    <w:p w:rsidR="00887330" w:rsidRPr="00583E1A" w:rsidRDefault="00887330" w:rsidP="00887330">
      <w:pPr>
        <w:pStyle w:val="SubsectionHead"/>
      </w:pPr>
      <w:r w:rsidRPr="00583E1A">
        <w:lastRenderedPageBreak/>
        <w:t>How to calculate a TC indirect control interest</w:t>
      </w:r>
    </w:p>
    <w:p w:rsidR="00887330" w:rsidRPr="00583E1A" w:rsidRDefault="00887330" w:rsidP="00887330">
      <w:pPr>
        <w:pStyle w:val="subsection"/>
      </w:pPr>
      <w:r w:rsidRPr="00583E1A">
        <w:tab/>
        <w:t>(3)</w:t>
      </w:r>
      <w:r w:rsidRPr="00583E1A">
        <w:tab/>
        <w:t xml:space="preserve">The </w:t>
      </w:r>
      <w:r w:rsidR="00583E1A" w:rsidRPr="00583E1A">
        <w:rPr>
          <w:position w:val="6"/>
          <w:sz w:val="16"/>
        </w:rPr>
        <w:t>*</w:t>
      </w:r>
      <w:r w:rsidRPr="00583E1A">
        <w:t>TC indirect control interest that an entity (the</w:t>
      </w:r>
      <w:r w:rsidRPr="00583E1A">
        <w:rPr>
          <w:b/>
          <w:i/>
        </w:rPr>
        <w:t xml:space="preserve"> top entity</w:t>
      </w:r>
      <w:r w:rsidRPr="00583E1A">
        <w:t xml:space="preserve">) holds in a company, trust or partnership at a particular time is calculated in accordance with </w:t>
      </w:r>
      <w:r w:rsidR="00583E1A">
        <w:t>subsection (</w:t>
      </w:r>
      <w:r w:rsidRPr="00583E1A">
        <w:t>4), (5) or (6) (as appropriate).</w:t>
      </w:r>
    </w:p>
    <w:p w:rsidR="00887330" w:rsidRPr="00583E1A" w:rsidRDefault="00887330" w:rsidP="00887330">
      <w:pPr>
        <w:pStyle w:val="SubsectionHead"/>
      </w:pPr>
      <w:r w:rsidRPr="00583E1A">
        <w:t>One interposed entity only</w:t>
      </w:r>
    </w:p>
    <w:p w:rsidR="00887330" w:rsidRPr="00583E1A" w:rsidRDefault="00887330" w:rsidP="00887330">
      <w:pPr>
        <w:pStyle w:val="subsection"/>
      </w:pPr>
      <w:r w:rsidRPr="00583E1A">
        <w:tab/>
        <w:t>(4)</w:t>
      </w:r>
      <w:r w:rsidRPr="00583E1A">
        <w:tab/>
        <w:t xml:space="preserve">The </w:t>
      </w:r>
      <w:r w:rsidR="00583E1A" w:rsidRPr="00583E1A">
        <w:rPr>
          <w:position w:val="6"/>
          <w:sz w:val="16"/>
        </w:rPr>
        <w:t>*</w:t>
      </w:r>
      <w:r w:rsidRPr="00583E1A">
        <w:t>TC indirect control interest is the result of applying the following method statement if there is only one interposed entity between the top entity and the company, trust or partnership at that time.</w:t>
      </w:r>
    </w:p>
    <w:p w:rsidR="00887330" w:rsidRPr="00583E1A" w:rsidRDefault="00887330" w:rsidP="007241A9">
      <w:pPr>
        <w:pStyle w:val="BoxHeadItalic"/>
        <w:keepNext/>
      </w:pPr>
      <w:r w:rsidRPr="00583E1A">
        <w:t>Method statement</w:t>
      </w:r>
    </w:p>
    <w:p w:rsidR="00887330" w:rsidRPr="00583E1A" w:rsidRDefault="00AE4F7F" w:rsidP="007241A9">
      <w:pPr>
        <w:pStyle w:val="BoxStep"/>
        <w:keepNext/>
      </w:pPr>
      <w:r w:rsidRPr="00583E1A">
        <w:rPr>
          <w:szCs w:val="22"/>
        </w:rPr>
        <w:t>Step 1.</w:t>
      </w:r>
      <w:r w:rsidR="00887330" w:rsidRPr="00583E1A">
        <w:tab/>
        <w:t xml:space="preserve">Calculate the </w:t>
      </w:r>
      <w:r w:rsidR="00583E1A" w:rsidRPr="00583E1A">
        <w:rPr>
          <w:position w:val="6"/>
          <w:sz w:val="16"/>
        </w:rPr>
        <w:t>*</w:t>
      </w:r>
      <w:r w:rsidR="00887330" w:rsidRPr="00583E1A">
        <w:t>TC control tracing interest that the top entity holds in the interposed entity at that time.</w:t>
      </w:r>
    </w:p>
    <w:p w:rsidR="00887330" w:rsidRPr="00583E1A" w:rsidRDefault="00AE4F7F" w:rsidP="00887330">
      <w:pPr>
        <w:pStyle w:val="BoxStep"/>
      </w:pPr>
      <w:r w:rsidRPr="00583E1A">
        <w:rPr>
          <w:szCs w:val="22"/>
        </w:rPr>
        <w:t>Step 2.</w:t>
      </w:r>
      <w:r w:rsidR="00887330" w:rsidRPr="00583E1A">
        <w:tab/>
        <w:t xml:space="preserve">Multiply the result of step 1 by the </w:t>
      </w:r>
      <w:r w:rsidR="00583E1A" w:rsidRPr="00583E1A">
        <w:rPr>
          <w:position w:val="6"/>
          <w:sz w:val="16"/>
        </w:rPr>
        <w:t>*</w:t>
      </w:r>
      <w:r w:rsidR="00887330" w:rsidRPr="00583E1A">
        <w:t>TC control tracing interest that the interposed entity holds in the company, trust or partnership at that time.</w:t>
      </w:r>
    </w:p>
    <w:p w:rsidR="00887330" w:rsidRPr="00583E1A" w:rsidRDefault="00887330" w:rsidP="00887330">
      <w:pPr>
        <w:pStyle w:val="SubsectionHead"/>
      </w:pPr>
      <w:r w:rsidRPr="00583E1A">
        <w:t>2 interposed entities</w:t>
      </w:r>
    </w:p>
    <w:p w:rsidR="00887330" w:rsidRPr="00583E1A" w:rsidRDefault="00887330" w:rsidP="00887330">
      <w:pPr>
        <w:pStyle w:val="subsection"/>
      </w:pPr>
      <w:r w:rsidRPr="00583E1A">
        <w:tab/>
        <w:t>(5)</w:t>
      </w:r>
      <w:r w:rsidRPr="00583E1A">
        <w:tab/>
        <w:t xml:space="preserve">The </w:t>
      </w:r>
      <w:r w:rsidR="00583E1A" w:rsidRPr="00583E1A">
        <w:rPr>
          <w:position w:val="6"/>
          <w:sz w:val="16"/>
        </w:rPr>
        <w:t>*</w:t>
      </w:r>
      <w:r w:rsidRPr="00583E1A">
        <w:t>TC indirect control interest is the result of applying the following method statement if there are 2 interposed entities between the top entity and the company, trust or partnership at that time.</w:t>
      </w:r>
    </w:p>
    <w:p w:rsidR="00887330" w:rsidRPr="00583E1A" w:rsidRDefault="00887330" w:rsidP="00887330">
      <w:pPr>
        <w:pStyle w:val="BoxHeadItalic"/>
      </w:pPr>
      <w:r w:rsidRPr="00583E1A">
        <w:t>Method statement</w:t>
      </w:r>
    </w:p>
    <w:p w:rsidR="00887330" w:rsidRPr="00583E1A" w:rsidRDefault="00AE4F7F" w:rsidP="00887330">
      <w:pPr>
        <w:pStyle w:val="BoxStep"/>
      </w:pPr>
      <w:r w:rsidRPr="00583E1A">
        <w:rPr>
          <w:szCs w:val="22"/>
        </w:rPr>
        <w:t>Step 1.</w:t>
      </w:r>
      <w:r w:rsidR="00887330" w:rsidRPr="00583E1A">
        <w:tab/>
        <w:t xml:space="preserve">Calculate the </w:t>
      </w:r>
      <w:r w:rsidR="00583E1A" w:rsidRPr="00583E1A">
        <w:rPr>
          <w:position w:val="6"/>
          <w:sz w:val="16"/>
        </w:rPr>
        <w:t>*</w:t>
      </w:r>
      <w:r w:rsidR="00887330" w:rsidRPr="00583E1A">
        <w:t>TC control tracing interest that the top entity holds in the first of those interposed entities at that time.</w:t>
      </w:r>
    </w:p>
    <w:p w:rsidR="00887330" w:rsidRPr="00583E1A" w:rsidRDefault="00AE4F7F" w:rsidP="00887330">
      <w:pPr>
        <w:pStyle w:val="BoxStep"/>
        <w:keepNext/>
        <w:keepLines/>
      </w:pPr>
      <w:r w:rsidRPr="00583E1A">
        <w:rPr>
          <w:szCs w:val="22"/>
        </w:rPr>
        <w:lastRenderedPageBreak/>
        <w:t>Step 2.</w:t>
      </w:r>
      <w:r w:rsidR="00887330" w:rsidRPr="00583E1A">
        <w:tab/>
        <w:t xml:space="preserve">Multiply the result of step 1 by the </w:t>
      </w:r>
      <w:r w:rsidR="00583E1A" w:rsidRPr="00583E1A">
        <w:rPr>
          <w:position w:val="6"/>
          <w:sz w:val="16"/>
        </w:rPr>
        <w:t>*</w:t>
      </w:r>
      <w:r w:rsidR="00887330" w:rsidRPr="00583E1A">
        <w:t xml:space="preserve">TC control tracing interest that the first interposed entity holds in the next interposed entity (the </w:t>
      </w:r>
      <w:r w:rsidR="00887330" w:rsidRPr="00583E1A">
        <w:rPr>
          <w:b/>
          <w:i/>
        </w:rPr>
        <w:t>second interposed entity</w:t>
      </w:r>
      <w:r w:rsidR="00887330" w:rsidRPr="00583E1A">
        <w:t>) at that time.</w:t>
      </w:r>
    </w:p>
    <w:p w:rsidR="00887330" w:rsidRPr="00583E1A" w:rsidRDefault="00AE4F7F" w:rsidP="00887330">
      <w:pPr>
        <w:pStyle w:val="BoxStep"/>
      </w:pPr>
      <w:r w:rsidRPr="00583E1A">
        <w:rPr>
          <w:szCs w:val="22"/>
        </w:rPr>
        <w:t>Step 3.</w:t>
      </w:r>
      <w:r w:rsidR="00887330" w:rsidRPr="00583E1A">
        <w:tab/>
        <w:t xml:space="preserve">Multiply the result of step 2 by the </w:t>
      </w:r>
      <w:r w:rsidR="00583E1A" w:rsidRPr="00583E1A">
        <w:rPr>
          <w:position w:val="6"/>
          <w:sz w:val="16"/>
        </w:rPr>
        <w:t>*</w:t>
      </w:r>
      <w:r w:rsidR="00887330" w:rsidRPr="00583E1A">
        <w:t>TC control tracing interest that the second interposed entity holds in the company, trust or partnership at that time.</w:t>
      </w:r>
    </w:p>
    <w:p w:rsidR="00887330" w:rsidRPr="00583E1A" w:rsidRDefault="00887330" w:rsidP="00887330">
      <w:pPr>
        <w:pStyle w:val="SubsectionHead"/>
      </w:pPr>
      <w:r w:rsidRPr="00583E1A">
        <w:t>More than 2 interposed entities</w:t>
      </w:r>
    </w:p>
    <w:p w:rsidR="00887330" w:rsidRPr="00583E1A" w:rsidRDefault="00887330" w:rsidP="00887330">
      <w:pPr>
        <w:pStyle w:val="subsection"/>
      </w:pPr>
      <w:r w:rsidRPr="00583E1A">
        <w:tab/>
        <w:t>(6)</w:t>
      </w:r>
      <w:r w:rsidRPr="00583E1A">
        <w:tab/>
        <w:t xml:space="preserve">The </w:t>
      </w:r>
      <w:r w:rsidR="00583E1A" w:rsidRPr="00583E1A">
        <w:rPr>
          <w:position w:val="6"/>
          <w:sz w:val="16"/>
        </w:rPr>
        <w:t>*</w:t>
      </w:r>
      <w:r w:rsidRPr="00583E1A">
        <w:t>TC indirect control interest is the result of applying the following method statement if there are more than 2 interposed entities between the top entity and the company, trust or partnership at that time.</w:t>
      </w:r>
    </w:p>
    <w:p w:rsidR="00887330" w:rsidRPr="00583E1A" w:rsidRDefault="00887330" w:rsidP="007241A9">
      <w:pPr>
        <w:pStyle w:val="BoxHeadItalic"/>
        <w:keepNext/>
      </w:pPr>
      <w:r w:rsidRPr="00583E1A">
        <w:t>Method statement</w:t>
      </w:r>
    </w:p>
    <w:p w:rsidR="00887330" w:rsidRPr="00583E1A" w:rsidRDefault="00AE4F7F" w:rsidP="007241A9">
      <w:pPr>
        <w:pStyle w:val="BoxStep"/>
        <w:keepNext/>
      </w:pPr>
      <w:r w:rsidRPr="00583E1A">
        <w:rPr>
          <w:szCs w:val="22"/>
        </w:rPr>
        <w:t>Step 1.</w:t>
      </w:r>
      <w:r w:rsidR="00887330" w:rsidRPr="00583E1A">
        <w:tab/>
        <w:t xml:space="preserve">Calculate the </w:t>
      </w:r>
      <w:r w:rsidR="00583E1A" w:rsidRPr="00583E1A">
        <w:rPr>
          <w:position w:val="6"/>
          <w:sz w:val="16"/>
        </w:rPr>
        <w:t>*</w:t>
      </w:r>
      <w:r w:rsidR="00887330" w:rsidRPr="00583E1A">
        <w:t>TC control tracing interest that the top entity holds in the first of those interposed entities at that time.</w:t>
      </w:r>
    </w:p>
    <w:p w:rsidR="00887330" w:rsidRPr="00583E1A" w:rsidRDefault="00AE4F7F" w:rsidP="007241A9">
      <w:pPr>
        <w:pStyle w:val="BoxStep"/>
        <w:keepNext/>
      </w:pPr>
      <w:r w:rsidRPr="00583E1A">
        <w:rPr>
          <w:szCs w:val="22"/>
        </w:rPr>
        <w:t>Step 2.</w:t>
      </w:r>
      <w:r w:rsidR="00887330" w:rsidRPr="00583E1A">
        <w:tab/>
        <w:t xml:space="preserve">Multiply the result of step 1 by the </w:t>
      </w:r>
      <w:r w:rsidR="00583E1A" w:rsidRPr="00583E1A">
        <w:rPr>
          <w:position w:val="6"/>
          <w:sz w:val="16"/>
        </w:rPr>
        <w:t>*</w:t>
      </w:r>
      <w:r w:rsidR="00887330" w:rsidRPr="00583E1A">
        <w:t xml:space="preserve">TC control tracing interest that the first interposed entity holds in the next interposed entity (the </w:t>
      </w:r>
      <w:r w:rsidR="00887330" w:rsidRPr="00583E1A">
        <w:rPr>
          <w:b/>
          <w:i/>
        </w:rPr>
        <w:t>second interposed entity</w:t>
      </w:r>
      <w:r w:rsidR="00887330" w:rsidRPr="00583E1A">
        <w:t>) at that time.</w:t>
      </w:r>
    </w:p>
    <w:p w:rsidR="00887330" w:rsidRPr="00583E1A" w:rsidRDefault="00AE4F7F" w:rsidP="00887330">
      <w:pPr>
        <w:pStyle w:val="BoxStep"/>
      </w:pPr>
      <w:r w:rsidRPr="00583E1A">
        <w:rPr>
          <w:szCs w:val="22"/>
        </w:rPr>
        <w:t>Step 3.</w:t>
      </w:r>
      <w:r w:rsidR="00887330" w:rsidRPr="00583E1A">
        <w:tab/>
        <w:t xml:space="preserve">Multiply the result of step 2 by the </w:t>
      </w:r>
      <w:r w:rsidR="00583E1A" w:rsidRPr="00583E1A">
        <w:rPr>
          <w:position w:val="6"/>
          <w:sz w:val="16"/>
        </w:rPr>
        <w:t>*</w:t>
      </w:r>
      <w:r w:rsidR="00887330" w:rsidRPr="00583E1A">
        <w:t>TC control tracing interest that the second interposed entity holds in the next interposed entity at that time.</w:t>
      </w:r>
    </w:p>
    <w:p w:rsidR="00887330" w:rsidRPr="00583E1A" w:rsidRDefault="00AE4F7F" w:rsidP="00887330">
      <w:pPr>
        <w:pStyle w:val="BoxStep"/>
        <w:keepNext/>
        <w:keepLines/>
      </w:pPr>
      <w:r w:rsidRPr="00583E1A">
        <w:rPr>
          <w:szCs w:val="22"/>
        </w:rPr>
        <w:lastRenderedPageBreak/>
        <w:t>Step 4.</w:t>
      </w:r>
      <w:r w:rsidR="00887330" w:rsidRPr="00583E1A">
        <w:tab/>
        <w:t xml:space="preserve">Continue this pattern of multiplying the result of the last multiplication by the </w:t>
      </w:r>
      <w:r w:rsidR="00583E1A" w:rsidRPr="00583E1A">
        <w:rPr>
          <w:position w:val="6"/>
          <w:sz w:val="16"/>
        </w:rPr>
        <w:t>*</w:t>
      </w:r>
      <w:r w:rsidR="00887330" w:rsidRPr="00583E1A">
        <w:t>TC control tracing interest in the next interposed entity held by the preceding entity, ending with a multiplication by the TC control tracing interest held by the last interposed entity in the company, trust or partnership.</w:t>
      </w:r>
    </w:p>
    <w:p w:rsidR="00887330" w:rsidRPr="00583E1A" w:rsidRDefault="00887330" w:rsidP="00887330">
      <w:pPr>
        <w:pStyle w:val="ActHead5"/>
      </w:pPr>
      <w:bookmarkStart w:id="300" w:name="_Toc338939374"/>
      <w:r w:rsidRPr="00583E1A">
        <w:rPr>
          <w:rStyle w:val="CharSectno"/>
        </w:rPr>
        <w:t>820</w:t>
      </w:r>
      <w:r w:rsidR="00583E1A">
        <w:rPr>
          <w:rStyle w:val="CharSectno"/>
        </w:rPr>
        <w:noBreakHyphen/>
      </w:r>
      <w:r w:rsidRPr="00583E1A">
        <w:rPr>
          <w:rStyle w:val="CharSectno"/>
        </w:rPr>
        <w:t>875</w:t>
      </w:r>
      <w:r w:rsidRPr="00583E1A">
        <w:t xml:space="preserve">  TC control tracing interest in a company, trust or partnership</w:t>
      </w:r>
      <w:bookmarkEnd w:id="300"/>
    </w:p>
    <w:p w:rsidR="00887330" w:rsidRPr="00583E1A" w:rsidRDefault="00887330" w:rsidP="00887330">
      <w:pPr>
        <w:pStyle w:val="subsection"/>
      </w:pPr>
      <w:r w:rsidRPr="00583E1A">
        <w:tab/>
        <w:t>(1)</w:t>
      </w:r>
      <w:r w:rsidRPr="00583E1A">
        <w:tab/>
        <w:t xml:space="preserve">A </w:t>
      </w:r>
      <w:r w:rsidRPr="00583E1A">
        <w:rPr>
          <w:b/>
          <w:i/>
        </w:rPr>
        <w:t xml:space="preserve">thin capitalisation control tracing interest </w:t>
      </w:r>
      <w:r w:rsidRPr="00583E1A">
        <w:t xml:space="preserve">(or a </w:t>
      </w:r>
      <w:r w:rsidRPr="00583E1A">
        <w:rPr>
          <w:b/>
          <w:i/>
        </w:rPr>
        <w:t>TC control tracing interest</w:t>
      </w:r>
      <w:r w:rsidRPr="00583E1A">
        <w:t>)</w:t>
      </w:r>
      <w:r w:rsidRPr="00583E1A">
        <w:rPr>
          <w:b/>
          <w:i/>
        </w:rPr>
        <w:t xml:space="preserve"> </w:t>
      </w:r>
      <w:r w:rsidRPr="00583E1A">
        <w:t xml:space="preserve">that an entity holds in a company, trust or a partnership at a particular time is equal to the </w:t>
      </w:r>
      <w:r w:rsidR="00583E1A" w:rsidRPr="00583E1A">
        <w:rPr>
          <w:position w:val="6"/>
          <w:sz w:val="16"/>
        </w:rPr>
        <w:t>*</w:t>
      </w:r>
      <w:r w:rsidRPr="00583E1A">
        <w:t>TC direct control interest in the company, trust or partnership that the entity holds at that time.</w:t>
      </w:r>
    </w:p>
    <w:p w:rsidR="00887330" w:rsidRPr="00583E1A" w:rsidRDefault="00887330" w:rsidP="00887330">
      <w:pPr>
        <w:pStyle w:val="subsection"/>
      </w:pPr>
      <w:r w:rsidRPr="00583E1A">
        <w:tab/>
        <w:t>(2)</w:t>
      </w:r>
      <w:r w:rsidRPr="00583E1A">
        <w:tab/>
        <w:t xml:space="preserve">Despite </w:t>
      </w:r>
      <w:r w:rsidR="00583E1A">
        <w:t>subsection (</w:t>
      </w:r>
      <w:r w:rsidRPr="00583E1A">
        <w:t xml:space="preserve">1), an entity is taken to hold a </w:t>
      </w:r>
      <w:r w:rsidR="00583E1A" w:rsidRPr="00583E1A">
        <w:rPr>
          <w:position w:val="6"/>
          <w:sz w:val="16"/>
        </w:rPr>
        <w:t>*</w:t>
      </w:r>
      <w:r w:rsidRPr="00583E1A">
        <w:t>TC control tracing interest in a company, trust or partnership that is equal to 100% at a particular time if, at that time:</w:t>
      </w:r>
    </w:p>
    <w:p w:rsidR="00887330" w:rsidRPr="00583E1A" w:rsidRDefault="00887330" w:rsidP="00887330">
      <w:pPr>
        <w:pStyle w:val="paragraph"/>
      </w:pPr>
      <w:r w:rsidRPr="00583E1A">
        <w:tab/>
        <w:t>(a)</w:t>
      </w:r>
      <w:r w:rsidRPr="00583E1A">
        <w:tab/>
        <w:t xml:space="preserve">the entity and its </w:t>
      </w:r>
      <w:r w:rsidR="00583E1A" w:rsidRPr="00583E1A">
        <w:rPr>
          <w:position w:val="6"/>
          <w:sz w:val="16"/>
        </w:rPr>
        <w:t>*</w:t>
      </w:r>
      <w:r w:rsidRPr="00583E1A">
        <w:t xml:space="preserve">associate entities hold a total of </w:t>
      </w:r>
      <w:r w:rsidR="00583E1A" w:rsidRPr="00583E1A">
        <w:rPr>
          <w:position w:val="6"/>
          <w:sz w:val="16"/>
        </w:rPr>
        <w:t>*</w:t>
      </w:r>
      <w:r w:rsidRPr="00583E1A">
        <w:t>TC direct control interests in the company, trust or partnership that is 50% or more; or</w:t>
      </w:r>
    </w:p>
    <w:p w:rsidR="00887330" w:rsidRPr="00583E1A" w:rsidRDefault="00887330" w:rsidP="00887330">
      <w:pPr>
        <w:pStyle w:val="paragraph"/>
      </w:pPr>
      <w:r w:rsidRPr="00583E1A">
        <w:tab/>
        <w:t>(b)</w:t>
      </w:r>
      <w:r w:rsidRPr="00583E1A">
        <w:tab/>
        <w:t>the following subparagraphs apply:</w:t>
      </w:r>
    </w:p>
    <w:p w:rsidR="00887330" w:rsidRPr="00583E1A" w:rsidRDefault="00887330" w:rsidP="00887330">
      <w:pPr>
        <w:pStyle w:val="paragraphsub"/>
      </w:pPr>
      <w:r w:rsidRPr="00583E1A">
        <w:tab/>
        <w:t>(i)</w:t>
      </w:r>
      <w:r w:rsidRPr="00583E1A">
        <w:tab/>
        <w:t xml:space="preserve">the entity (the </w:t>
      </w:r>
      <w:r w:rsidRPr="00583E1A">
        <w:rPr>
          <w:b/>
          <w:i/>
        </w:rPr>
        <w:t>controlling entity</w:t>
      </w:r>
      <w:r w:rsidRPr="00583E1A">
        <w:t>) and its associate entities hold a total of TC direct control interests that is 40% or more in the company, trust or partnership;</w:t>
      </w:r>
    </w:p>
    <w:p w:rsidR="00887330" w:rsidRPr="00583E1A" w:rsidRDefault="00887330" w:rsidP="00887330">
      <w:pPr>
        <w:pStyle w:val="paragraphsub"/>
      </w:pPr>
      <w:r w:rsidRPr="00583E1A">
        <w:tab/>
        <w:t>(ii)</w:t>
      </w:r>
      <w:r w:rsidRPr="00583E1A">
        <w:tab/>
        <w:t>no other entity or entities (except the controlling entity, its associate entities or entities including the controlling entity or its associate entities) control the company, trust or partnership; or</w:t>
      </w:r>
    </w:p>
    <w:p w:rsidR="00887330" w:rsidRPr="00583E1A" w:rsidRDefault="00887330" w:rsidP="00887330">
      <w:pPr>
        <w:pStyle w:val="paragraph"/>
      </w:pPr>
      <w:r w:rsidRPr="00583E1A">
        <w:tab/>
        <w:t>(c)</w:t>
      </w:r>
      <w:r w:rsidRPr="00583E1A">
        <w:tab/>
        <w:t>the entity (whether or not together with associate entities) controls the company, trust or partnership.</w:t>
      </w:r>
    </w:p>
    <w:p w:rsidR="00887330" w:rsidRPr="00583E1A" w:rsidRDefault="00887330" w:rsidP="00887330">
      <w:pPr>
        <w:pStyle w:val="subsection"/>
      </w:pPr>
      <w:r w:rsidRPr="00583E1A">
        <w:tab/>
        <w:t>(3)</w:t>
      </w:r>
      <w:r w:rsidRPr="00583E1A">
        <w:tab/>
      </w:r>
      <w:r w:rsidR="00583E1A">
        <w:t>Paragraph (</w:t>
      </w:r>
      <w:r w:rsidRPr="00583E1A">
        <w:t xml:space="preserve">2)(b) does not apply if the </w:t>
      </w:r>
      <w:r w:rsidR="00583E1A" w:rsidRPr="00583E1A">
        <w:rPr>
          <w:position w:val="6"/>
          <w:sz w:val="16"/>
        </w:rPr>
        <w:t>*</w:t>
      </w:r>
      <w:r w:rsidRPr="00583E1A">
        <w:t xml:space="preserve">TC direct control interests mentioned in </w:t>
      </w:r>
      <w:r w:rsidR="00583E1A">
        <w:t>subparagraph (</w:t>
      </w:r>
      <w:r w:rsidRPr="00583E1A">
        <w:t xml:space="preserve">2)(b)(i) are held in a </w:t>
      </w:r>
      <w:r w:rsidR="00583E1A" w:rsidRPr="00583E1A">
        <w:rPr>
          <w:position w:val="6"/>
          <w:sz w:val="16"/>
        </w:rPr>
        <w:t>*</w:t>
      </w:r>
      <w:r w:rsidRPr="00583E1A">
        <w:t>corporate limited partnership.</w:t>
      </w:r>
    </w:p>
    <w:p w:rsidR="00887330" w:rsidRPr="00583E1A" w:rsidRDefault="00887330" w:rsidP="00887330">
      <w:pPr>
        <w:pStyle w:val="ActHead4"/>
      </w:pPr>
      <w:bookmarkStart w:id="301" w:name="_Toc338939375"/>
      <w:r w:rsidRPr="00583E1A">
        <w:rPr>
          <w:rStyle w:val="CharSubdNo"/>
        </w:rPr>
        <w:lastRenderedPageBreak/>
        <w:t>Subdivision</w:t>
      </w:r>
      <w:r w:rsidR="00583E1A">
        <w:rPr>
          <w:rStyle w:val="CharSubdNo"/>
        </w:rPr>
        <w:t> </w:t>
      </w:r>
      <w:r w:rsidRPr="00583E1A">
        <w:rPr>
          <w:rStyle w:val="CharSubdNo"/>
        </w:rPr>
        <w:t>820</w:t>
      </w:r>
      <w:r w:rsidR="00583E1A">
        <w:rPr>
          <w:rStyle w:val="CharSubdNo"/>
        </w:rPr>
        <w:noBreakHyphen/>
      </w:r>
      <w:r w:rsidRPr="00583E1A">
        <w:rPr>
          <w:rStyle w:val="CharSubdNo"/>
        </w:rPr>
        <w:t>HA</w:t>
      </w:r>
      <w:r w:rsidRPr="00583E1A">
        <w:t>—</w:t>
      </w:r>
      <w:r w:rsidRPr="00583E1A">
        <w:rPr>
          <w:rStyle w:val="CharSubdText"/>
        </w:rPr>
        <w:t>Controlled foreign entity debt and controlled foreign entity equity</w:t>
      </w:r>
      <w:bookmarkEnd w:id="301"/>
    </w:p>
    <w:p w:rsidR="00887330" w:rsidRPr="00583E1A" w:rsidRDefault="00887330" w:rsidP="00887330">
      <w:pPr>
        <w:pStyle w:val="ActHead4"/>
      </w:pPr>
      <w:bookmarkStart w:id="302" w:name="_Toc338939376"/>
      <w:r w:rsidRPr="00583E1A">
        <w:t>Guide to Subdivision</w:t>
      </w:r>
      <w:r w:rsidR="00583E1A">
        <w:t> </w:t>
      </w:r>
      <w:r w:rsidRPr="00583E1A">
        <w:t>820</w:t>
      </w:r>
      <w:r w:rsidR="00583E1A">
        <w:noBreakHyphen/>
      </w:r>
      <w:r w:rsidRPr="00583E1A">
        <w:t>HA</w:t>
      </w:r>
      <w:bookmarkEnd w:id="302"/>
    </w:p>
    <w:p w:rsidR="00887330" w:rsidRPr="00583E1A" w:rsidRDefault="00887330" w:rsidP="00887330">
      <w:pPr>
        <w:pStyle w:val="ActHead5"/>
      </w:pPr>
      <w:bookmarkStart w:id="303" w:name="_Toc338939377"/>
      <w:r w:rsidRPr="00583E1A">
        <w:rPr>
          <w:rStyle w:val="CharSectno"/>
        </w:rPr>
        <w:t>820</w:t>
      </w:r>
      <w:r w:rsidR="00583E1A">
        <w:rPr>
          <w:rStyle w:val="CharSectno"/>
        </w:rPr>
        <w:noBreakHyphen/>
      </w:r>
      <w:r w:rsidRPr="00583E1A">
        <w:rPr>
          <w:rStyle w:val="CharSectno"/>
        </w:rPr>
        <w:t>880</w:t>
      </w:r>
      <w:r w:rsidRPr="00583E1A">
        <w:t xml:space="preserve">  What this Subdivision is about</w:t>
      </w:r>
      <w:bookmarkEnd w:id="303"/>
    </w:p>
    <w:p w:rsidR="00887330" w:rsidRPr="00583E1A" w:rsidRDefault="00887330" w:rsidP="00887330">
      <w:pPr>
        <w:pStyle w:val="BoxText"/>
      </w:pPr>
      <w:r w:rsidRPr="00583E1A">
        <w:t>Controlled foreign entity debt and controlled foreign entity equity are concepts used in this Division. This Subdivision sets out the meaning of each of these concepts.</w:t>
      </w:r>
    </w:p>
    <w:p w:rsidR="00887330" w:rsidRPr="00583E1A" w:rsidRDefault="00887330" w:rsidP="00887330">
      <w:pPr>
        <w:pStyle w:val="TofSectsHeading"/>
      </w:pPr>
      <w:r w:rsidRPr="00583E1A">
        <w:t>Table of sections</w:t>
      </w:r>
    </w:p>
    <w:p w:rsidR="00887330" w:rsidRPr="00583E1A" w:rsidRDefault="00887330" w:rsidP="00887330">
      <w:pPr>
        <w:pStyle w:val="TofSectsSection"/>
      </w:pPr>
      <w:r w:rsidRPr="00583E1A">
        <w:t>820</w:t>
      </w:r>
      <w:r w:rsidR="00583E1A">
        <w:noBreakHyphen/>
      </w:r>
      <w:r w:rsidRPr="00583E1A">
        <w:t>881</w:t>
      </w:r>
      <w:r w:rsidRPr="00583E1A">
        <w:tab/>
        <w:t>Application</w:t>
      </w:r>
    </w:p>
    <w:p w:rsidR="00887330" w:rsidRPr="00583E1A" w:rsidRDefault="00887330" w:rsidP="00887330">
      <w:pPr>
        <w:pStyle w:val="TofSectsSection"/>
      </w:pPr>
      <w:r w:rsidRPr="00583E1A">
        <w:t>820</w:t>
      </w:r>
      <w:r w:rsidR="00583E1A">
        <w:noBreakHyphen/>
      </w:r>
      <w:r w:rsidRPr="00583E1A">
        <w:t>885</w:t>
      </w:r>
      <w:r w:rsidRPr="00583E1A">
        <w:tab/>
        <w:t xml:space="preserve">What is </w:t>
      </w:r>
      <w:r w:rsidRPr="00583E1A">
        <w:rPr>
          <w:b/>
          <w:i/>
        </w:rPr>
        <w:t>controlled foreign entity debt</w:t>
      </w:r>
      <w:r w:rsidRPr="00583E1A">
        <w:t>?</w:t>
      </w:r>
    </w:p>
    <w:p w:rsidR="00887330" w:rsidRPr="00583E1A" w:rsidRDefault="00887330" w:rsidP="00887330">
      <w:pPr>
        <w:pStyle w:val="TofSectsSection"/>
      </w:pPr>
      <w:r w:rsidRPr="00583E1A">
        <w:t>820</w:t>
      </w:r>
      <w:r w:rsidR="00583E1A">
        <w:noBreakHyphen/>
      </w:r>
      <w:r w:rsidRPr="00583E1A">
        <w:t>890</w:t>
      </w:r>
      <w:r w:rsidRPr="00583E1A">
        <w:tab/>
        <w:t xml:space="preserve">What is </w:t>
      </w:r>
      <w:r w:rsidRPr="00583E1A">
        <w:rPr>
          <w:b/>
          <w:i/>
        </w:rPr>
        <w:t>controlled foreign entity equity</w:t>
      </w:r>
      <w:r w:rsidRPr="00583E1A">
        <w:t>?</w:t>
      </w:r>
    </w:p>
    <w:p w:rsidR="00887330" w:rsidRPr="00583E1A" w:rsidRDefault="00887330" w:rsidP="00887330">
      <w:pPr>
        <w:pStyle w:val="ActHead5"/>
      </w:pPr>
      <w:bookmarkStart w:id="304" w:name="_Toc338939378"/>
      <w:r w:rsidRPr="00583E1A">
        <w:rPr>
          <w:rStyle w:val="CharSectno"/>
        </w:rPr>
        <w:t>820</w:t>
      </w:r>
      <w:r w:rsidR="00583E1A">
        <w:rPr>
          <w:rStyle w:val="CharSectno"/>
        </w:rPr>
        <w:noBreakHyphen/>
      </w:r>
      <w:r w:rsidRPr="00583E1A">
        <w:rPr>
          <w:rStyle w:val="CharSectno"/>
        </w:rPr>
        <w:t>881</w:t>
      </w:r>
      <w:r w:rsidRPr="00583E1A">
        <w:t xml:space="preserve">  Application</w:t>
      </w:r>
      <w:bookmarkEnd w:id="304"/>
    </w:p>
    <w:p w:rsidR="00887330" w:rsidRPr="00583E1A" w:rsidRDefault="00887330" w:rsidP="00887330">
      <w:pPr>
        <w:pStyle w:val="subsection"/>
      </w:pPr>
      <w:r w:rsidRPr="00583E1A">
        <w:tab/>
      </w:r>
      <w:r w:rsidRPr="00583E1A">
        <w:tab/>
        <w:t>This Subdivision applies to:</w:t>
      </w:r>
    </w:p>
    <w:p w:rsidR="00887330" w:rsidRPr="00583E1A" w:rsidRDefault="00887330" w:rsidP="00887330">
      <w:pPr>
        <w:pStyle w:val="paragraph"/>
      </w:pPr>
      <w:r w:rsidRPr="00583E1A">
        <w:tab/>
        <w:t>(a)</w:t>
      </w:r>
      <w:r w:rsidRPr="00583E1A">
        <w:tab/>
        <w:t xml:space="preserve">an entity (the </w:t>
      </w:r>
      <w:r w:rsidRPr="00583E1A">
        <w:rPr>
          <w:b/>
          <w:i/>
        </w:rPr>
        <w:t>relevant entity</w:t>
      </w:r>
      <w:r w:rsidRPr="00583E1A">
        <w:t xml:space="preserve">) that is an </w:t>
      </w:r>
      <w:r w:rsidR="00583E1A" w:rsidRPr="00583E1A">
        <w:rPr>
          <w:position w:val="6"/>
          <w:sz w:val="16"/>
        </w:rPr>
        <w:t>*</w:t>
      </w:r>
      <w:r w:rsidRPr="00583E1A">
        <w:t>outward investing entity (non</w:t>
      </w:r>
      <w:r w:rsidR="00583E1A">
        <w:noBreakHyphen/>
      </w:r>
      <w:r w:rsidRPr="00583E1A">
        <w:t xml:space="preserve">ADI), or an </w:t>
      </w:r>
      <w:r w:rsidR="00583E1A" w:rsidRPr="00583E1A">
        <w:rPr>
          <w:position w:val="6"/>
          <w:sz w:val="16"/>
        </w:rPr>
        <w:t>*</w:t>
      </w:r>
      <w:r w:rsidRPr="00583E1A">
        <w:t xml:space="preserve">outward investing entity (ADI), for a period (the </w:t>
      </w:r>
      <w:r w:rsidRPr="00583E1A">
        <w:rPr>
          <w:b/>
          <w:i/>
        </w:rPr>
        <w:t>relevant period</w:t>
      </w:r>
      <w:r w:rsidRPr="00583E1A">
        <w:t>) that is all or a part of an income year; and</w:t>
      </w:r>
    </w:p>
    <w:p w:rsidR="00887330" w:rsidRPr="00583E1A" w:rsidRDefault="00887330" w:rsidP="00887330">
      <w:pPr>
        <w:pStyle w:val="paragraph"/>
      </w:pPr>
      <w:r w:rsidRPr="00583E1A">
        <w:tab/>
        <w:t>(b)</w:t>
      </w:r>
      <w:r w:rsidRPr="00583E1A">
        <w:tab/>
        <w:t>each entity (</w:t>
      </w:r>
      <w:r w:rsidRPr="00583E1A">
        <w:rPr>
          <w:b/>
          <w:i/>
        </w:rPr>
        <w:t>controlled entity of the relevant entity</w:t>
      </w:r>
      <w:r w:rsidRPr="00583E1A">
        <w:t xml:space="preserve">) that is an </w:t>
      </w:r>
      <w:r w:rsidR="00583E1A" w:rsidRPr="00583E1A">
        <w:rPr>
          <w:position w:val="6"/>
          <w:sz w:val="16"/>
        </w:rPr>
        <w:t>*</w:t>
      </w:r>
      <w:r w:rsidRPr="00583E1A">
        <w:t>Australian controlled foreign entity of which:</w:t>
      </w:r>
    </w:p>
    <w:p w:rsidR="00887330" w:rsidRPr="00583E1A" w:rsidRDefault="00887330" w:rsidP="00887330">
      <w:pPr>
        <w:pStyle w:val="paragraphsub"/>
      </w:pPr>
      <w:r w:rsidRPr="00583E1A">
        <w:tab/>
        <w:t>(i)</w:t>
      </w:r>
      <w:r w:rsidRPr="00583E1A">
        <w:tab/>
        <w:t xml:space="preserve">the relevant entity is an </w:t>
      </w:r>
      <w:r w:rsidR="00583E1A" w:rsidRPr="00583E1A">
        <w:rPr>
          <w:position w:val="6"/>
          <w:sz w:val="16"/>
        </w:rPr>
        <w:t>*</w:t>
      </w:r>
      <w:r w:rsidRPr="00583E1A">
        <w:t>Australian controller; or</w:t>
      </w:r>
    </w:p>
    <w:p w:rsidR="00887330" w:rsidRPr="00583E1A" w:rsidRDefault="00887330" w:rsidP="00887330">
      <w:pPr>
        <w:pStyle w:val="paragraphsub"/>
      </w:pPr>
      <w:r w:rsidRPr="00583E1A">
        <w:tab/>
        <w:t>(ii)</w:t>
      </w:r>
      <w:r w:rsidRPr="00583E1A">
        <w:tab/>
        <w:t xml:space="preserve">an </w:t>
      </w:r>
      <w:r w:rsidR="00583E1A" w:rsidRPr="00583E1A">
        <w:rPr>
          <w:position w:val="6"/>
          <w:sz w:val="16"/>
        </w:rPr>
        <w:t>*</w:t>
      </w:r>
      <w:r w:rsidRPr="00583E1A">
        <w:t>associate entity of the relevant entity is an Australian controller.</w:t>
      </w:r>
    </w:p>
    <w:p w:rsidR="00887330" w:rsidRPr="00583E1A" w:rsidRDefault="00887330" w:rsidP="00887330">
      <w:pPr>
        <w:pStyle w:val="ActHead5"/>
      </w:pPr>
      <w:bookmarkStart w:id="305" w:name="_Toc338939379"/>
      <w:r w:rsidRPr="00583E1A">
        <w:rPr>
          <w:rStyle w:val="CharSectno"/>
        </w:rPr>
        <w:t>820</w:t>
      </w:r>
      <w:r w:rsidR="00583E1A">
        <w:rPr>
          <w:rStyle w:val="CharSectno"/>
        </w:rPr>
        <w:noBreakHyphen/>
      </w:r>
      <w:r w:rsidRPr="00583E1A">
        <w:rPr>
          <w:rStyle w:val="CharSectno"/>
        </w:rPr>
        <w:t>885</w:t>
      </w:r>
      <w:r w:rsidRPr="00583E1A">
        <w:t xml:space="preserve">  What is </w:t>
      </w:r>
      <w:r w:rsidRPr="00583E1A">
        <w:rPr>
          <w:i/>
        </w:rPr>
        <w:t>controlled foreign entity debt</w:t>
      </w:r>
      <w:r w:rsidRPr="00583E1A">
        <w:t>?</w:t>
      </w:r>
      <w:bookmarkEnd w:id="305"/>
    </w:p>
    <w:p w:rsidR="00887330" w:rsidRPr="00583E1A" w:rsidRDefault="00887330" w:rsidP="00887330">
      <w:pPr>
        <w:pStyle w:val="subsection"/>
      </w:pPr>
      <w:r w:rsidRPr="00583E1A">
        <w:rPr>
          <w:b/>
          <w:i/>
        </w:rPr>
        <w:tab/>
      </w:r>
      <w:r w:rsidRPr="00583E1A">
        <w:t>(1)</w:t>
      </w:r>
      <w:r w:rsidRPr="00583E1A">
        <w:rPr>
          <w:b/>
          <w:i/>
        </w:rPr>
        <w:tab/>
      </w:r>
      <w:r w:rsidRPr="00583E1A">
        <w:t xml:space="preserve">The relevant entity’s </w:t>
      </w:r>
      <w:r w:rsidRPr="00583E1A">
        <w:rPr>
          <w:b/>
          <w:i/>
        </w:rPr>
        <w:t>controlled foreign entity debt</w:t>
      </w:r>
      <w:r w:rsidRPr="00583E1A">
        <w:t xml:space="preserve"> at a particular time during the relevant period is the total value of all the </w:t>
      </w:r>
      <w:r w:rsidR="00583E1A" w:rsidRPr="00583E1A">
        <w:rPr>
          <w:position w:val="6"/>
          <w:sz w:val="16"/>
        </w:rPr>
        <w:t>*</w:t>
      </w:r>
      <w:r w:rsidRPr="00583E1A">
        <w:t>debt interests held by the relevant entity at that time that satisfy all of the following:</w:t>
      </w:r>
    </w:p>
    <w:p w:rsidR="00887330" w:rsidRPr="00583E1A" w:rsidRDefault="00887330" w:rsidP="00887330">
      <w:pPr>
        <w:pStyle w:val="paragraph"/>
      </w:pPr>
      <w:r w:rsidRPr="00583E1A">
        <w:tab/>
        <w:t>(a)</w:t>
      </w:r>
      <w:r w:rsidRPr="00583E1A">
        <w:tab/>
        <w:t xml:space="preserve">the interests are </w:t>
      </w:r>
      <w:r w:rsidR="00583E1A" w:rsidRPr="00583E1A">
        <w:rPr>
          <w:position w:val="6"/>
          <w:sz w:val="16"/>
        </w:rPr>
        <w:t>*</w:t>
      </w:r>
      <w:r w:rsidRPr="00583E1A">
        <w:t>on issue at that time;</w:t>
      </w:r>
    </w:p>
    <w:p w:rsidR="00887330" w:rsidRPr="00583E1A" w:rsidRDefault="00887330" w:rsidP="00887330">
      <w:pPr>
        <w:pStyle w:val="paragraph"/>
      </w:pPr>
      <w:r w:rsidRPr="00583E1A">
        <w:lastRenderedPageBreak/>
        <w:tab/>
        <w:t>(b)</w:t>
      </w:r>
      <w:r w:rsidRPr="00583E1A">
        <w:tab/>
        <w:t xml:space="preserve">each of the interests was </w:t>
      </w:r>
      <w:r w:rsidR="00583E1A" w:rsidRPr="00583E1A">
        <w:rPr>
          <w:position w:val="6"/>
          <w:sz w:val="16"/>
        </w:rPr>
        <w:t>*</w:t>
      </w:r>
      <w:r w:rsidRPr="00583E1A">
        <w:t>issued by an entity that is a controlled entity of the relevant entity at that time;</w:t>
      </w:r>
    </w:p>
    <w:p w:rsidR="00887330" w:rsidRPr="00583E1A" w:rsidRDefault="00887330" w:rsidP="00887330">
      <w:pPr>
        <w:pStyle w:val="paragraph"/>
      </w:pPr>
      <w:r w:rsidRPr="00583E1A">
        <w:tab/>
        <w:t>(c)</w:t>
      </w:r>
      <w:r w:rsidRPr="00583E1A">
        <w:tab/>
        <w:t>each of the interests gives rise to a cost, at any time, that is covered by paragraph 820</w:t>
      </w:r>
      <w:r w:rsidR="00583E1A">
        <w:noBreakHyphen/>
      </w:r>
      <w:r w:rsidRPr="00583E1A">
        <w:t>40(1)(a).</w:t>
      </w:r>
    </w:p>
    <w:p w:rsidR="00887330" w:rsidRPr="00583E1A" w:rsidRDefault="00887330" w:rsidP="00887330">
      <w:pPr>
        <w:pStyle w:val="subsection"/>
      </w:pPr>
      <w:r w:rsidRPr="00583E1A">
        <w:tab/>
        <w:t>(2)</w:t>
      </w:r>
      <w:r w:rsidRPr="00583E1A">
        <w:tab/>
        <w:t xml:space="preserve">For the purposes of </w:t>
      </w:r>
      <w:r w:rsidR="00583E1A">
        <w:t>subsection (</w:t>
      </w:r>
      <w:r w:rsidRPr="00583E1A">
        <w:t xml:space="preserve">1), take into account the value of a </w:t>
      </w:r>
      <w:r w:rsidR="00583E1A" w:rsidRPr="00583E1A">
        <w:rPr>
          <w:position w:val="6"/>
          <w:sz w:val="16"/>
        </w:rPr>
        <w:t>*</w:t>
      </w:r>
      <w:r w:rsidRPr="00583E1A">
        <w:t xml:space="preserve">debt interest issued by a controlled entity of the relevant entity only to the extent that the interest is </w:t>
      </w:r>
      <w:r w:rsidRPr="00583E1A">
        <w:rPr>
          <w:i/>
        </w:rPr>
        <w:t>not</w:t>
      </w:r>
      <w:r w:rsidRPr="00583E1A">
        <w:t xml:space="preserve"> attributable to any of the following assets that are held by the controlled entity throughout the relevant period:</w:t>
      </w:r>
    </w:p>
    <w:p w:rsidR="00887330" w:rsidRPr="00583E1A" w:rsidRDefault="00887330" w:rsidP="00887330">
      <w:pPr>
        <w:pStyle w:val="paragraph"/>
      </w:pPr>
      <w:r w:rsidRPr="00583E1A">
        <w:tab/>
        <w:t>(a)</w:t>
      </w:r>
      <w:r w:rsidRPr="00583E1A">
        <w:tab/>
        <w:t xml:space="preserve">assets attributable to the controlled entity’s </w:t>
      </w:r>
      <w:r w:rsidR="00583E1A" w:rsidRPr="00583E1A">
        <w:rPr>
          <w:position w:val="6"/>
          <w:sz w:val="16"/>
        </w:rPr>
        <w:t>*</w:t>
      </w:r>
      <w:r w:rsidRPr="00583E1A">
        <w:t>Australian permanent establishments;</w:t>
      </w:r>
    </w:p>
    <w:p w:rsidR="00887330" w:rsidRPr="00583E1A" w:rsidRDefault="00887330" w:rsidP="00887330">
      <w:pPr>
        <w:pStyle w:val="paragraph"/>
      </w:pPr>
      <w:r w:rsidRPr="00583E1A">
        <w:tab/>
        <w:t>(b)</w:t>
      </w:r>
      <w:r w:rsidRPr="00583E1A">
        <w:tab/>
        <w:t>other assets that are held by the controlled entity for the purposes of producing assessable income of the controlled entity.</w:t>
      </w:r>
    </w:p>
    <w:p w:rsidR="00887330" w:rsidRPr="00583E1A" w:rsidRDefault="00887330" w:rsidP="00887330">
      <w:pPr>
        <w:pStyle w:val="ActHead5"/>
      </w:pPr>
      <w:bookmarkStart w:id="306" w:name="_Toc338939380"/>
      <w:r w:rsidRPr="00583E1A">
        <w:rPr>
          <w:rStyle w:val="CharSectno"/>
        </w:rPr>
        <w:t>820</w:t>
      </w:r>
      <w:r w:rsidR="00583E1A">
        <w:rPr>
          <w:rStyle w:val="CharSectno"/>
        </w:rPr>
        <w:noBreakHyphen/>
      </w:r>
      <w:r w:rsidRPr="00583E1A">
        <w:rPr>
          <w:rStyle w:val="CharSectno"/>
        </w:rPr>
        <w:t>890</w:t>
      </w:r>
      <w:r w:rsidRPr="00583E1A">
        <w:t xml:space="preserve">  What is </w:t>
      </w:r>
      <w:r w:rsidRPr="00583E1A">
        <w:rPr>
          <w:i/>
        </w:rPr>
        <w:t>controlled foreign entity equity</w:t>
      </w:r>
      <w:r w:rsidRPr="00583E1A">
        <w:t>?</w:t>
      </w:r>
      <w:bookmarkEnd w:id="306"/>
    </w:p>
    <w:p w:rsidR="00887330" w:rsidRPr="00583E1A" w:rsidRDefault="00887330" w:rsidP="00887330">
      <w:pPr>
        <w:pStyle w:val="subsection"/>
      </w:pPr>
      <w:r w:rsidRPr="00583E1A">
        <w:rPr>
          <w:b/>
          <w:i/>
        </w:rPr>
        <w:tab/>
      </w:r>
      <w:r w:rsidRPr="00583E1A">
        <w:t>(1)</w:t>
      </w:r>
      <w:r w:rsidRPr="00583E1A">
        <w:rPr>
          <w:b/>
          <w:i/>
        </w:rPr>
        <w:tab/>
      </w:r>
      <w:r w:rsidRPr="00583E1A">
        <w:t xml:space="preserve">The relevant entity’s </w:t>
      </w:r>
      <w:r w:rsidRPr="00583E1A">
        <w:rPr>
          <w:b/>
          <w:i/>
        </w:rPr>
        <w:t xml:space="preserve">controlled foreign entity equity </w:t>
      </w:r>
      <w:r w:rsidRPr="00583E1A">
        <w:t>at a particular time during the relevant period is the total value of:</w:t>
      </w:r>
    </w:p>
    <w:p w:rsidR="00887330" w:rsidRPr="00583E1A" w:rsidRDefault="00887330" w:rsidP="00887330">
      <w:pPr>
        <w:pStyle w:val="paragraph"/>
      </w:pPr>
      <w:r w:rsidRPr="00583E1A">
        <w:tab/>
        <w:t>(a)</w:t>
      </w:r>
      <w:r w:rsidRPr="00583E1A">
        <w:tab/>
        <w:t xml:space="preserve">all the </w:t>
      </w:r>
      <w:r w:rsidR="00583E1A" w:rsidRPr="00583E1A">
        <w:rPr>
          <w:position w:val="6"/>
          <w:sz w:val="16"/>
        </w:rPr>
        <w:t>*</w:t>
      </w:r>
      <w:r w:rsidRPr="00583E1A">
        <w:t>equity interests that the entity holds, at that time, in entities that are controlled entities of the relevant entity at that time; and</w:t>
      </w:r>
    </w:p>
    <w:p w:rsidR="00887330" w:rsidRPr="00583E1A" w:rsidRDefault="00887330" w:rsidP="00887330">
      <w:pPr>
        <w:pStyle w:val="paragraph"/>
      </w:pPr>
      <w:r w:rsidRPr="00583E1A">
        <w:tab/>
        <w:t>(b)</w:t>
      </w:r>
      <w:r w:rsidRPr="00583E1A">
        <w:tab/>
        <w:t xml:space="preserve">all the </w:t>
      </w:r>
      <w:r w:rsidR="00583E1A" w:rsidRPr="00583E1A">
        <w:rPr>
          <w:position w:val="6"/>
          <w:sz w:val="16"/>
        </w:rPr>
        <w:t>*</w:t>
      </w:r>
      <w:r w:rsidRPr="00583E1A">
        <w:t xml:space="preserve">debt interests </w:t>
      </w:r>
      <w:r w:rsidR="00583E1A" w:rsidRPr="00583E1A">
        <w:rPr>
          <w:position w:val="6"/>
          <w:sz w:val="16"/>
        </w:rPr>
        <w:t>*</w:t>
      </w:r>
      <w:r w:rsidRPr="00583E1A">
        <w:t>on issue and held by the entity at that time that satisfy both of the following:</w:t>
      </w:r>
    </w:p>
    <w:p w:rsidR="00887330" w:rsidRPr="00583E1A" w:rsidRDefault="00887330" w:rsidP="00887330">
      <w:pPr>
        <w:pStyle w:val="paragraphsub"/>
      </w:pPr>
      <w:r w:rsidRPr="00583E1A">
        <w:tab/>
        <w:t>(i)</w:t>
      </w:r>
      <w:r w:rsidRPr="00583E1A">
        <w:tab/>
        <w:t xml:space="preserve">the interests were </w:t>
      </w:r>
      <w:r w:rsidR="00583E1A" w:rsidRPr="00583E1A">
        <w:rPr>
          <w:position w:val="6"/>
          <w:sz w:val="16"/>
        </w:rPr>
        <w:t>*</w:t>
      </w:r>
      <w:r w:rsidRPr="00583E1A">
        <w:t>issued by entities that are controlled entities of the relevant entity at that time;</w:t>
      </w:r>
    </w:p>
    <w:p w:rsidR="00887330" w:rsidRPr="00583E1A" w:rsidRDefault="00887330" w:rsidP="00887330">
      <w:pPr>
        <w:pStyle w:val="paragraphsub"/>
      </w:pPr>
      <w:r w:rsidRPr="00583E1A">
        <w:tab/>
        <w:t>(ii)</w:t>
      </w:r>
      <w:r w:rsidRPr="00583E1A">
        <w:tab/>
        <w:t>none of the interests gives rise to any cost, at any time, that is covered by paragraph 820</w:t>
      </w:r>
      <w:r w:rsidR="00583E1A">
        <w:noBreakHyphen/>
      </w:r>
      <w:r w:rsidRPr="00583E1A">
        <w:t>40(1)(a).</w:t>
      </w:r>
    </w:p>
    <w:p w:rsidR="00887330" w:rsidRPr="00583E1A" w:rsidRDefault="00887330" w:rsidP="00887330">
      <w:pPr>
        <w:pStyle w:val="subsection"/>
      </w:pPr>
      <w:r w:rsidRPr="00583E1A">
        <w:tab/>
        <w:t>(2)</w:t>
      </w:r>
      <w:r w:rsidRPr="00583E1A">
        <w:tab/>
        <w:t xml:space="preserve">For the purposes of </w:t>
      </w:r>
      <w:r w:rsidR="00583E1A">
        <w:t>subsection (</w:t>
      </w:r>
      <w:r w:rsidRPr="00583E1A">
        <w:t xml:space="preserve">1), take into account the value of an </w:t>
      </w:r>
      <w:r w:rsidR="00583E1A" w:rsidRPr="00583E1A">
        <w:rPr>
          <w:position w:val="6"/>
          <w:sz w:val="16"/>
        </w:rPr>
        <w:t>*</w:t>
      </w:r>
      <w:r w:rsidRPr="00583E1A">
        <w:t xml:space="preserve">equity interest in, or a </w:t>
      </w:r>
      <w:r w:rsidR="00583E1A" w:rsidRPr="00583E1A">
        <w:rPr>
          <w:position w:val="6"/>
          <w:sz w:val="16"/>
        </w:rPr>
        <w:t>*</w:t>
      </w:r>
      <w:r w:rsidRPr="00583E1A">
        <w:t xml:space="preserve">debt interest issued by, a controlled entity of the relevant entity only to the extent that the interest is </w:t>
      </w:r>
      <w:r w:rsidRPr="00583E1A">
        <w:rPr>
          <w:i/>
        </w:rPr>
        <w:t>not</w:t>
      </w:r>
      <w:r w:rsidRPr="00583E1A">
        <w:t xml:space="preserve"> attributable to any of the following assets that are held by the controlled entity throughout the relevant period:</w:t>
      </w:r>
    </w:p>
    <w:p w:rsidR="00887330" w:rsidRPr="00583E1A" w:rsidRDefault="00887330" w:rsidP="00887330">
      <w:pPr>
        <w:pStyle w:val="paragraph"/>
      </w:pPr>
      <w:r w:rsidRPr="00583E1A">
        <w:tab/>
        <w:t>(a)</w:t>
      </w:r>
      <w:r w:rsidRPr="00583E1A">
        <w:tab/>
        <w:t xml:space="preserve">assets attributable to the controlled entity’s </w:t>
      </w:r>
      <w:r w:rsidR="00583E1A" w:rsidRPr="00583E1A">
        <w:rPr>
          <w:position w:val="6"/>
          <w:sz w:val="16"/>
        </w:rPr>
        <w:t>*</w:t>
      </w:r>
      <w:r w:rsidRPr="00583E1A">
        <w:t>Australian permanent establishments;</w:t>
      </w:r>
    </w:p>
    <w:p w:rsidR="00887330" w:rsidRPr="00583E1A" w:rsidRDefault="00887330" w:rsidP="00887330">
      <w:pPr>
        <w:pStyle w:val="paragraph"/>
      </w:pPr>
      <w:r w:rsidRPr="00583E1A">
        <w:lastRenderedPageBreak/>
        <w:tab/>
        <w:t>(b)</w:t>
      </w:r>
      <w:r w:rsidRPr="00583E1A">
        <w:tab/>
        <w:t>other assets that are held by the controlled entity for the purposes of producing assessable income of the controlled entity.</w:t>
      </w:r>
    </w:p>
    <w:p w:rsidR="00887330" w:rsidRPr="00583E1A" w:rsidRDefault="00887330" w:rsidP="00887330">
      <w:pPr>
        <w:pStyle w:val="ActHead4"/>
      </w:pPr>
      <w:bookmarkStart w:id="307" w:name="_Toc338939381"/>
      <w:r w:rsidRPr="00583E1A">
        <w:rPr>
          <w:rStyle w:val="CharSubdNo"/>
        </w:rPr>
        <w:t>Subdivision</w:t>
      </w:r>
      <w:r w:rsidR="00583E1A">
        <w:rPr>
          <w:rStyle w:val="CharSubdNo"/>
        </w:rPr>
        <w:t> </w:t>
      </w:r>
      <w:r w:rsidRPr="00583E1A">
        <w:rPr>
          <w:rStyle w:val="CharSubdNo"/>
        </w:rPr>
        <w:t>820</w:t>
      </w:r>
      <w:r w:rsidR="00583E1A">
        <w:rPr>
          <w:rStyle w:val="CharSubdNo"/>
        </w:rPr>
        <w:noBreakHyphen/>
      </w:r>
      <w:r w:rsidRPr="00583E1A">
        <w:rPr>
          <w:rStyle w:val="CharSubdNo"/>
        </w:rPr>
        <w:t>I</w:t>
      </w:r>
      <w:r w:rsidRPr="00583E1A">
        <w:t>—</w:t>
      </w:r>
      <w:r w:rsidRPr="00583E1A">
        <w:rPr>
          <w:rStyle w:val="CharSubdText"/>
        </w:rPr>
        <w:t>Associate entities</w:t>
      </w:r>
      <w:bookmarkEnd w:id="307"/>
    </w:p>
    <w:p w:rsidR="00887330" w:rsidRPr="00583E1A" w:rsidRDefault="00887330" w:rsidP="00887330">
      <w:pPr>
        <w:pStyle w:val="ActHead4"/>
      </w:pPr>
      <w:bookmarkStart w:id="308" w:name="_Toc338939382"/>
      <w:r w:rsidRPr="00583E1A">
        <w:t>Guide to Subdivision</w:t>
      </w:r>
      <w:r w:rsidR="00583E1A">
        <w:t> </w:t>
      </w:r>
      <w:r w:rsidRPr="00583E1A">
        <w:t>820</w:t>
      </w:r>
      <w:r w:rsidR="00583E1A">
        <w:noBreakHyphen/>
      </w:r>
      <w:r w:rsidRPr="00583E1A">
        <w:t>I</w:t>
      </w:r>
      <w:bookmarkEnd w:id="308"/>
    </w:p>
    <w:p w:rsidR="00887330" w:rsidRPr="00583E1A" w:rsidRDefault="00887330" w:rsidP="00887330">
      <w:pPr>
        <w:pStyle w:val="ActHead5"/>
      </w:pPr>
      <w:bookmarkStart w:id="309" w:name="_Toc338939383"/>
      <w:r w:rsidRPr="00583E1A">
        <w:rPr>
          <w:rStyle w:val="CharSectno"/>
        </w:rPr>
        <w:t>820</w:t>
      </w:r>
      <w:r w:rsidR="00583E1A">
        <w:rPr>
          <w:rStyle w:val="CharSectno"/>
        </w:rPr>
        <w:noBreakHyphen/>
      </w:r>
      <w:r w:rsidRPr="00583E1A">
        <w:rPr>
          <w:rStyle w:val="CharSectno"/>
        </w:rPr>
        <w:t>900</w:t>
      </w:r>
      <w:r w:rsidRPr="00583E1A">
        <w:t xml:space="preserve">  What this Subdivision is about</w:t>
      </w:r>
      <w:bookmarkEnd w:id="309"/>
    </w:p>
    <w:p w:rsidR="00887330" w:rsidRPr="00583E1A" w:rsidRDefault="00887330" w:rsidP="00887330">
      <w:pPr>
        <w:pStyle w:val="BoxText"/>
      </w:pPr>
      <w:r w:rsidRPr="00583E1A">
        <w:t>This Subdivision sets out the meaning of various concepts about associate entities for the purposes of this Division.</w:t>
      </w:r>
    </w:p>
    <w:p w:rsidR="00887330" w:rsidRPr="00583E1A" w:rsidRDefault="00887330" w:rsidP="00887330">
      <w:pPr>
        <w:pStyle w:val="TofSectsHeading"/>
      </w:pPr>
      <w:r w:rsidRPr="00583E1A">
        <w:t>Table of sections</w:t>
      </w:r>
    </w:p>
    <w:p w:rsidR="00887330" w:rsidRPr="00583E1A" w:rsidRDefault="00887330" w:rsidP="00887330">
      <w:pPr>
        <w:pStyle w:val="TofSectsSection"/>
      </w:pPr>
      <w:r w:rsidRPr="00583E1A">
        <w:t>820</w:t>
      </w:r>
      <w:r w:rsidR="00583E1A">
        <w:noBreakHyphen/>
      </w:r>
      <w:r w:rsidRPr="00583E1A">
        <w:t>905</w:t>
      </w:r>
      <w:r w:rsidRPr="00583E1A">
        <w:tab/>
        <w:t>Associate entity</w:t>
      </w:r>
    </w:p>
    <w:p w:rsidR="00887330" w:rsidRPr="00583E1A" w:rsidRDefault="00887330" w:rsidP="00887330">
      <w:pPr>
        <w:pStyle w:val="TofSectsSection"/>
      </w:pPr>
      <w:r w:rsidRPr="00583E1A">
        <w:t>820</w:t>
      </w:r>
      <w:r w:rsidR="00583E1A">
        <w:noBreakHyphen/>
      </w:r>
      <w:r w:rsidRPr="00583E1A">
        <w:t>910</w:t>
      </w:r>
      <w:r w:rsidRPr="00583E1A">
        <w:tab/>
        <w:t>Associate entity debt</w:t>
      </w:r>
    </w:p>
    <w:p w:rsidR="00887330" w:rsidRPr="00583E1A" w:rsidRDefault="00887330" w:rsidP="00887330">
      <w:pPr>
        <w:pStyle w:val="TofSectsSection"/>
      </w:pPr>
      <w:r w:rsidRPr="00583E1A">
        <w:t>820</w:t>
      </w:r>
      <w:r w:rsidR="00583E1A">
        <w:noBreakHyphen/>
      </w:r>
      <w:r w:rsidRPr="00583E1A">
        <w:t>915</w:t>
      </w:r>
      <w:r w:rsidRPr="00583E1A">
        <w:tab/>
        <w:t>Associate entity equity</w:t>
      </w:r>
    </w:p>
    <w:p w:rsidR="00887330" w:rsidRPr="00583E1A" w:rsidRDefault="00887330" w:rsidP="00887330">
      <w:pPr>
        <w:pStyle w:val="TofSectsSection"/>
      </w:pPr>
      <w:r w:rsidRPr="00583E1A">
        <w:t>820</w:t>
      </w:r>
      <w:r w:rsidR="00583E1A">
        <w:noBreakHyphen/>
      </w:r>
      <w:r w:rsidRPr="00583E1A">
        <w:t>920</w:t>
      </w:r>
      <w:r w:rsidRPr="00583E1A">
        <w:tab/>
        <w:t>Associate entity excess amount</w:t>
      </w:r>
    </w:p>
    <w:p w:rsidR="00887330" w:rsidRPr="00583E1A" w:rsidRDefault="00887330" w:rsidP="00887330">
      <w:pPr>
        <w:pStyle w:val="ActHead5"/>
      </w:pPr>
      <w:bookmarkStart w:id="310" w:name="_Toc338939384"/>
      <w:r w:rsidRPr="00583E1A">
        <w:rPr>
          <w:rStyle w:val="CharSectno"/>
        </w:rPr>
        <w:t>820</w:t>
      </w:r>
      <w:r w:rsidR="00583E1A">
        <w:rPr>
          <w:rStyle w:val="CharSectno"/>
        </w:rPr>
        <w:noBreakHyphen/>
      </w:r>
      <w:r w:rsidRPr="00583E1A">
        <w:rPr>
          <w:rStyle w:val="CharSectno"/>
        </w:rPr>
        <w:t>905</w:t>
      </w:r>
      <w:r w:rsidRPr="00583E1A">
        <w:t xml:space="preserve">  Associate entity</w:t>
      </w:r>
      <w:bookmarkEnd w:id="310"/>
    </w:p>
    <w:p w:rsidR="00887330" w:rsidRPr="00583E1A" w:rsidRDefault="00887330" w:rsidP="00887330">
      <w:pPr>
        <w:pStyle w:val="SubsectionHead"/>
      </w:pPr>
      <w:r w:rsidRPr="00583E1A">
        <w:t>Meaning of associate entity</w:t>
      </w:r>
    </w:p>
    <w:p w:rsidR="00887330" w:rsidRPr="00583E1A" w:rsidRDefault="00887330" w:rsidP="00887330">
      <w:pPr>
        <w:pStyle w:val="subsection"/>
      </w:pPr>
      <w:r w:rsidRPr="00583E1A">
        <w:tab/>
        <w:t>(1)</w:t>
      </w:r>
      <w:r w:rsidRPr="00583E1A">
        <w:tab/>
        <w:t xml:space="preserve">An entity (the </w:t>
      </w:r>
      <w:r w:rsidRPr="00583E1A">
        <w:rPr>
          <w:b/>
          <w:i/>
        </w:rPr>
        <w:t>first entity</w:t>
      </w:r>
      <w:r w:rsidRPr="00583E1A">
        <w:t xml:space="preserve">) that is not an individual is an </w:t>
      </w:r>
      <w:r w:rsidRPr="00583E1A">
        <w:rPr>
          <w:b/>
          <w:i/>
        </w:rPr>
        <w:t>associate entity</w:t>
      </w:r>
      <w:r w:rsidRPr="00583E1A">
        <w:t xml:space="preserve"> of another entity at a particular time if, at that time, the first entity is an </w:t>
      </w:r>
      <w:r w:rsidR="00583E1A" w:rsidRPr="00583E1A">
        <w:rPr>
          <w:position w:val="6"/>
          <w:sz w:val="16"/>
        </w:rPr>
        <w:t>*</w:t>
      </w:r>
      <w:r w:rsidRPr="00583E1A">
        <w:t>associate of that other entity and at least one of the following paragraphs applies:</w:t>
      </w:r>
    </w:p>
    <w:p w:rsidR="00887330" w:rsidRPr="00583E1A" w:rsidRDefault="00887330" w:rsidP="00887330">
      <w:pPr>
        <w:pStyle w:val="paragraph"/>
      </w:pPr>
      <w:r w:rsidRPr="00583E1A">
        <w:tab/>
        <w:t>(a)</w:t>
      </w:r>
      <w:r w:rsidRPr="00583E1A">
        <w:tab/>
        <w:t xml:space="preserve">that other entity holds an </w:t>
      </w:r>
      <w:r w:rsidR="00583E1A" w:rsidRPr="00583E1A">
        <w:rPr>
          <w:position w:val="6"/>
          <w:sz w:val="16"/>
        </w:rPr>
        <w:t>*</w:t>
      </w:r>
      <w:r w:rsidRPr="00583E1A">
        <w:t xml:space="preserve">associate interest of 50% or more in the first entity (see </w:t>
      </w:r>
      <w:r w:rsidR="00583E1A">
        <w:t>subsections (</w:t>
      </w:r>
      <w:r w:rsidRPr="00583E1A">
        <w:t>4) to (8));</w:t>
      </w:r>
    </w:p>
    <w:p w:rsidR="00887330" w:rsidRPr="00583E1A" w:rsidRDefault="00887330" w:rsidP="00887330">
      <w:pPr>
        <w:pStyle w:val="paragraph"/>
      </w:pPr>
      <w:r w:rsidRPr="00583E1A">
        <w:tab/>
        <w:t>(b)</w:t>
      </w:r>
      <w:r w:rsidRPr="00583E1A">
        <w:tab/>
        <w:t>the first entity is accustomed or under an obligation (whether formal or informal), or might reasonably be expected, to act in accordance with the directions, instructions or wishes of that other entity in relation to:</w:t>
      </w:r>
    </w:p>
    <w:p w:rsidR="00887330" w:rsidRPr="00583E1A" w:rsidRDefault="00887330" w:rsidP="00887330">
      <w:pPr>
        <w:pStyle w:val="paragraphsub"/>
      </w:pPr>
      <w:r w:rsidRPr="00583E1A">
        <w:tab/>
        <w:t>(i)</w:t>
      </w:r>
      <w:r w:rsidRPr="00583E1A">
        <w:tab/>
        <w:t>the distribution or retention of the first entity’s profits; or</w:t>
      </w:r>
    </w:p>
    <w:p w:rsidR="00887330" w:rsidRPr="00583E1A" w:rsidRDefault="00887330" w:rsidP="00887330">
      <w:pPr>
        <w:pStyle w:val="paragraphsub"/>
      </w:pPr>
      <w:r w:rsidRPr="00583E1A">
        <w:tab/>
        <w:t>(ii)</w:t>
      </w:r>
      <w:r w:rsidRPr="00583E1A">
        <w:tab/>
        <w:t xml:space="preserve">the financial policies relating to the first entity’s assets, </w:t>
      </w:r>
      <w:r w:rsidR="00583E1A" w:rsidRPr="00583E1A">
        <w:rPr>
          <w:position w:val="6"/>
          <w:sz w:val="16"/>
        </w:rPr>
        <w:t>*</w:t>
      </w:r>
      <w:r w:rsidRPr="00583E1A">
        <w:t xml:space="preserve">debt capital or </w:t>
      </w:r>
      <w:r w:rsidR="00583E1A" w:rsidRPr="00583E1A">
        <w:rPr>
          <w:position w:val="6"/>
          <w:sz w:val="16"/>
        </w:rPr>
        <w:t>*</w:t>
      </w:r>
      <w:r w:rsidRPr="00583E1A">
        <w:t>equity capital;</w:t>
      </w:r>
    </w:p>
    <w:p w:rsidR="00887330" w:rsidRPr="00583E1A" w:rsidRDefault="00887330" w:rsidP="00887330">
      <w:pPr>
        <w:pStyle w:val="paragraph"/>
      </w:pPr>
      <w:r w:rsidRPr="00583E1A">
        <w:lastRenderedPageBreak/>
        <w:tab/>
      </w:r>
      <w:r w:rsidRPr="00583E1A">
        <w:tab/>
        <w:t>whether those directions, instructions or wishes are, or might reasonably be expected to be, communicated directly or through interposed entities.</w:t>
      </w:r>
    </w:p>
    <w:p w:rsidR="00887330" w:rsidRPr="00583E1A" w:rsidRDefault="00887330" w:rsidP="00887330">
      <w:pPr>
        <w:pStyle w:val="subsection2"/>
      </w:pPr>
      <w:r w:rsidRPr="00583E1A">
        <w:t xml:space="preserve">However, this subsection does not apply to the first entity in its capacity as the </w:t>
      </w:r>
      <w:r w:rsidR="00583E1A" w:rsidRPr="00583E1A">
        <w:rPr>
          <w:position w:val="6"/>
          <w:sz w:val="16"/>
        </w:rPr>
        <w:t>*</w:t>
      </w:r>
      <w:r w:rsidRPr="00583E1A">
        <w:t xml:space="preserve">responsible entity of a </w:t>
      </w:r>
      <w:r w:rsidR="00583E1A" w:rsidRPr="00583E1A">
        <w:rPr>
          <w:position w:val="6"/>
          <w:sz w:val="16"/>
        </w:rPr>
        <w:t>*</w:t>
      </w:r>
      <w:r w:rsidRPr="00583E1A">
        <w:t xml:space="preserve">registered scheme (see </w:t>
      </w:r>
      <w:r w:rsidR="00583E1A">
        <w:t>subsection (</w:t>
      </w:r>
      <w:r w:rsidRPr="00583E1A">
        <w:t>2A)).</w:t>
      </w:r>
    </w:p>
    <w:p w:rsidR="00887330" w:rsidRPr="00583E1A" w:rsidRDefault="00887330" w:rsidP="00887330">
      <w:pPr>
        <w:pStyle w:val="subsection"/>
      </w:pPr>
      <w:r w:rsidRPr="00583E1A">
        <w:tab/>
        <w:t>(2)</w:t>
      </w:r>
      <w:r w:rsidRPr="00583E1A">
        <w:tab/>
        <w:t xml:space="preserve">An entity (the </w:t>
      </w:r>
      <w:r w:rsidRPr="00583E1A">
        <w:rPr>
          <w:b/>
          <w:i/>
        </w:rPr>
        <w:t>first entity</w:t>
      </w:r>
      <w:r w:rsidRPr="00583E1A">
        <w:t xml:space="preserve">) that is an individual is an </w:t>
      </w:r>
      <w:r w:rsidRPr="00583E1A">
        <w:rPr>
          <w:b/>
          <w:i/>
        </w:rPr>
        <w:t>associate entity</w:t>
      </w:r>
      <w:r w:rsidRPr="00583E1A">
        <w:t xml:space="preserve"> of another entity at a particular time if, at that time:</w:t>
      </w:r>
    </w:p>
    <w:p w:rsidR="00887330" w:rsidRPr="00583E1A" w:rsidRDefault="00887330" w:rsidP="00887330">
      <w:pPr>
        <w:pStyle w:val="paragraph"/>
      </w:pPr>
      <w:r w:rsidRPr="00583E1A">
        <w:tab/>
        <w:t>(a)</w:t>
      </w:r>
      <w:r w:rsidRPr="00583E1A">
        <w:tab/>
        <w:t xml:space="preserve">the first entity is an </w:t>
      </w:r>
      <w:r w:rsidR="00583E1A" w:rsidRPr="00583E1A">
        <w:rPr>
          <w:position w:val="6"/>
          <w:sz w:val="16"/>
        </w:rPr>
        <w:t>*</w:t>
      </w:r>
      <w:r w:rsidRPr="00583E1A">
        <w:t>associate of that other entity; and</w:t>
      </w:r>
    </w:p>
    <w:p w:rsidR="00887330" w:rsidRPr="00583E1A" w:rsidRDefault="00887330" w:rsidP="00887330">
      <w:pPr>
        <w:pStyle w:val="paragraph"/>
      </w:pPr>
      <w:r w:rsidRPr="00583E1A">
        <w:tab/>
        <w:t>(b)</w:t>
      </w:r>
      <w:r w:rsidRPr="00583E1A">
        <w:tab/>
        <w:t>the first entity:</w:t>
      </w:r>
    </w:p>
    <w:p w:rsidR="00887330" w:rsidRPr="00583E1A" w:rsidRDefault="00887330" w:rsidP="00887330">
      <w:pPr>
        <w:pStyle w:val="paragraphsub"/>
      </w:pPr>
      <w:r w:rsidRPr="00583E1A">
        <w:tab/>
        <w:t>(i)</w:t>
      </w:r>
      <w:r w:rsidRPr="00583E1A">
        <w:tab/>
        <w:t>is accustomed or under an obligation (whether formal or informal); or</w:t>
      </w:r>
    </w:p>
    <w:p w:rsidR="00887330" w:rsidRPr="00583E1A" w:rsidRDefault="00887330" w:rsidP="00887330">
      <w:pPr>
        <w:pStyle w:val="paragraphsub"/>
      </w:pPr>
      <w:r w:rsidRPr="00583E1A">
        <w:tab/>
        <w:t>(ii)</w:t>
      </w:r>
      <w:r w:rsidRPr="00583E1A">
        <w:tab/>
        <w:t>might reasonably be expected;</w:t>
      </w:r>
    </w:p>
    <w:p w:rsidR="00887330" w:rsidRPr="00583E1A" w:rsidRDefault="00887330" w:rsidP="00887330">
      <w:pPr>
        <w:pStyle w:val="paragraph"/>
      </w:pPr>
      <w:r w:rsidRPr="00583E1A">
        <w:tab/>
      </w:r>
      <w:r w:rsidRPr="00583E1A">
        <w:tab/>
        <w:t>to act in accordance with the directions, instructions or wishes of that other entity in relation to the first entity’s financial affairs, whether those directions, instructions or wishes are, or might reasonably be expected to be, communicated directly or through interposed entities.</w:t>
      </w:r>
    </w:p>
    <w:p w:rsidR="00887330" w:rsidRPr="00583E1A" w:rsidRDefault="00887330" w:rsidP="00887330">
      <w:pPr>
        <w:pStyle w:val="subsection"/>
      </w:pPr>
      <w:r w:rsidRPr="00583E1A">
        <w:tab/>
        <w:t>(2A)</w:t>
      </w:r>
      <w:r w:rsidRPr="00583E1A">
        <w:tab/>
        <w:t xml:space="preserve">An entity (the </w:t>
      </w:r>
      <w:r w:rsidRPr="00583E1A">
        <w:rPr>
          <w:b/>
          <w:i/>
        </w:rPr>
        <w:t>first entity</w:t>
      </w:r>
      <w:r w:rsidRPr="00583E1A">
        <w:t xml:space="preserve">), in its capacity as the </w:t>
      </w:r>
      <w:r w:rsidR="00583E1A" w:rsidRPr="00583E1A">
        <w:rPr>
          <w:position w:val="6"/>
          <w:sz w:val="16"/>
        </w:rPr>
        <w:t>*</w:t>
      </w:r>
      <w:r w:rsidRPr="00583E1A">
        <w:t xml:space="preserve">responsible entity of a </w:t>
      </w:r>
      <w:r w:rsidR="00583E1A" w:rsidRPr="00583E1A">
        <w:rPr>
          <w:position w:val="6"/>
          <w:sz w:val="16"/>
        </w:rPr>
        <w:t>*</w:t>
      </w:r>
      <w:r w:rsidRPr="00583E1A">
        <w:t xml:space="preserve">registered scheme at a particular time, is an </w:t>
      </w:r>
      <w:r w:rsidRPr="00583E1A">
        <w:rPr>
          <w:b/>
          <w:i/>
        </w:rPr>
        <w:t>associate entity</w:t>
      </w:r>
      <w:r w:rsidRPr="00583E1A">
        <w:t xml:space="preserve"> of another entity at that time if the first entity, in that capacity, is an </w:t>
      </w:r>
      <w:r w:rsidR="00583E1A" w:rsidRPr="00583E1A">
        <w:rPr>
          <w:position w:val="6"/>
          <w:sz w:val="16"/>
        </w:rPr>
        <w:t>*</w:t>
      </w:r>
      <w:r w:rsidRPr="00583E1A">
        <w:t>associate of that other entity at that time and at least one of the following paragraphs applies at that time:</w:t>
      </w:r>
    </w:p>
    <w:p w:rsidR="00887330" w:rsidRPr="00583E1A" w:rsidRDefault="00887330" w:rsidP="00887330">
      <w:pPr>
        <w:pStyle w:val="paragraph"/>
      </w:pPr>
      <w:r w:rsidRPr="00583E1A">
        <w:tab/>
        <w:t>(a)</w:t>
      </w:r>
      <w:r w:rsidRPr="00583E1A">
        <w:tab/>
        <w:t xml:space="preserve">that other entity holds an </w:t>
      </w:r>
      <w:r w:rsidR="00583E1A" w:rsidRPr="00583E1A">
        <w:rPr>
          <w:position w:val="6"/>
          <w:sz w:val="16"/>
        </w:rPr>
        <w:t>*</w:t>
      </w:r>
      <w:r w:rsidRPr="00583E1A">
        <w:t xml:space="preserve">associate interest of 50% or more in the registered scheme (see </w:t>
      </w:r>
      <w:r w:rsidR="00583E1A">
        <w:t>subsections (</w:t>
      </w:r>
      <w:r w:rsidRPr="00583E1A">
        <w:t>4) to (8));</w:t>
      </w:r>
    </w:p>
    <w:p w:rsidR="00887330" w:rsidRPr="00583E1A" w:rsidRDefault="00887330" w:rsidP="00887330">
      <w:pPr>
        <w:pStyle w:val="paragraph"/>
      </w:pPr>
      <w:r w:rsidRPr="00583E1A">
        <w:tab/>
        <w:t>(b)</w:t>
      </w:r>
      <w:r w:rsidRPr="00583E1A">
        <w:tab/>
        <w:t>that other entity holds an associate interest of 20% or more in the registered scheme and the first entity, in that capacity, is accustomed or under an obligation (whether formal or informal), or might reasonably be expected, to act in accordance with the directions, instructions or wishes of that other entity in relation to:</w:t>
      </w:r>
    </w:p>
    <w:p w:rsidR="00887330" w:rsidRPr="00583E1A" w:rsidRDefault="00887330" w:rsidP="00887330">
      <w:pPr>
        <w:pStyle w:val="paragraphsub"/>
      </w:pPr>
      <w:r w:rsidRPr="00583E1A">
        <w:tab/>
        <w:t>(i)</w:t>
      </w:r>
      <w:r w:rsidRPr="00583E1A">
        <w:tab/>
        <w:t>the distribution or retention of the profits of the registered scheme; or</w:t>
      </w:r>
    </w:p>
    <w:p w:rsidR="00887330" w:rsidRPr="00583E1A" w:rsidRDefault="00887330" w:rsidP="00887330">
      <w:pPr>
        <w:pStyle w:val="paragraphsub"/>
      </w:pPr>
      <w:r w:rsidRPr="00583E1A">
        <w:tab/>
        <w:t>(ii)</w:t>
      </w:r>
      <w:r w:rsidRPr="00583E1A">
        <w:tab/>
        <w:t xml:space="preserve">the financial policies relating to the assets, </w:t>
      </w:r>
      <w:r w:rsidR="00583E1A" w:rsidRPr="00583E1A">
        <w:rPr>
          <w:position w:val="6"/>
          <w:sz w:val="16"/>
        </w:rPr>
        <w:t>*</w:t>
      </w:r>
      <w:r w:rsidRPr="00583E1A">
        <w:t xml:space="preserve">debt capital or </w:t>
      </w:r>
      <w:r w:rsidR="00583E1A" w:rsidRPr="00583E1A">
        <w:rPr>
          <w:position w:val="6"/>
          <w:sz w:val="16"/>
        </w:rPr>
        <w:t>*</w:t>
      </w:r>
      <w:r w:rsidRPr="00583E1A">
        <w:t>equity capital of the registered scheme;</w:t>
      </w:r>
    </w:p>
    <w:p w:rsidR="00887330" w:rsidRPr="00583E1A" w:rsidRDefault="00887330" w:rsidP="00887330">
      <w:pPr>
        <w:pStyle w:val="paragraph"/>
      </w:pPr>
      <w:r w:rsidRPr="00583E1A">
        <w:lastRenderedPageBreak/>
        <w:tab/>
      </w:r>
      <w:r w:rsidRPr="00583E1A">
        <w:tab/>
        <w:t>whether those directions, instructions or wishes are, or might reasonably be expected to be, communicated directly or through interposed entities.</w:t>
      </w:r>
    </w:p>
    <w:p w:rsidR="00887330" w:rsidRPr="00583E1A" w:rsidRDefault="00887330" w:rsidP="00887330">
      <w:pPr>
        <w:pStyle w:val="notetext"/>
      </w:pPr>
      <w:r w:rsidRPr="00583E1A">
        <w:t>Note:</w:t>
      </w:r>
      <w:r w:rsidRPr="00583E1A">
        <w:tab/>
        <w:t>The first entity, in another capacity, may also be an associate entity of an entity under another provision of this section (see also section</w:t>
      </w:r>
      <w:r w:rsidR="00583E1A">
        <w:t> </w:t>
      </w:r>
      <w:r w:rsidRPr="00583E1A">
        <w:t>960</w:t>
      </w:r>
      <w:r w:rsidR="00583E1A">
        <w:noBreakHyphen/>
      </w:r>
      <w:r w:rsidRPr="00583E1A">
        <w:t>100).</w:t>
      </w:r>
    </w:p>
    <w:p w:rsidR="00887330" w:rsidRPr="00583E1A" w:rsidRDefault="00887330" w:rsidP="00887330">
      <w:pPr>
        <w:pStyle w:val="subsection"/>
      </w:pPr>
      <w:r w:rsidRPr="00583E1A">
        <w:tab/>
        <w:t>(3)</w:t>
      </w:r>
      <w:r w:rsidRPr="00583E1A">
        <w:tab/>
      </w:r>
      <w:r w:rsidR="00583E1A">
        <w:t>Subsection (</w:t>
      </w:r>
      <w:r w:rsidRPr="00583E1A">
        <w:t xml:space="preserve">1) or (2A) also has effect as if the first entity satisfies </w:t>
      </w:r>
      <w:r w:rsidR="00583E1A">
        <w:t>paragraph (</w:t>
      </w:r>
      <w:r w:rsidRPr="00583E1A">
        <w:t>b) of that subsection at a particular time if any of the following is expected to act in the manner mentioned in that paragraph at that time:</w:t>
      </w:r>
    </w:p>
    <w:p w:rsidR="00887330" w:rsidRPr="00583E1A" w:rsidRDefault="00887330" w:rsidP="00887330">
      <w:pPr>
        <w:pStyle w:val="paragraph"/>
      </w:pPr>
      <w:r w:rsidRPr="00583E1A">
        <w:tab/>
        <w:t>(a)</w:t>
      </w:r>
      <w:r w:rsidRPr="00583E1A">
        <w:tab/>
        <w:t>a director of the first entity if it is a company;</w:t>
      </w:r>
    </w:p>
    <w:p w:rsidR="00887330" w:rsidRPr="00583E1A" w:rsidRDefault="00887330" w:rsidP="00887330">
      <w:pPr>
        <w:pStyle w:val="paragraph"/>
      </w:pPr>
      <w:r w:rsidRPr="00583E1A">
        <w:tab/>
        <w:t>(b)</w:t>
      </w:r>
      <w:r w:rsidRPr="00583E1A">
        <w:tab/>
        <w:t>a partner of the first entity if it is a partnership;</w:t>
      </w:r>
    </w:p>
    <w:p w:rsidR="00887330" w:rsidRPr="00583E1A" w:rsidRDefault="00887330" w:rsidP="00887330">
      <w:pPr>
        <w:pStyle w:val="paragraph"/>
      </w:pPr>
      <w:r w:rsidRPr="00583E1A">
        <w:tab/>
        <w:t>(c)</w:t>
      </w:r>
      <w:r w:rsidRPr="00583E1A">
        <w:tab/>
        <w:t xml:space="preserve">the </w:t>
      </w:r>
      <w:r w:rsidR="00583E1A" w:rsidRPr="00583E1A">
        <w:rPr>
          <w:position w:val="6"/>
          <w:sz w:val="16"/>
        </w:rPr>
        <w:t>*</w:t>
      </w:r>
      <w:r w:rsidRPr="00583E1A">
        <w:t xml:space="preserve">general partner of the first entity if it is a </w:t>
      </w:r>
      <w:r w:rsidR="00583E1A" w:rsidRPr="00583E1A">
        <w:rPr>
          <w:position w:val="6"/>
          <w:sz w:val="16"/>
        </w:rPr>
        <w:t>*</w:t>
      </w:r>
      <w:r w:rsidRPr="00583E1A">
        <w:t>corporate limited partnership;</w:t>
      </w:r>
    </w:p>
    <w:p w:rsidR="00887330" w:rsidRPr="00583E1A" w:rsidRDefault="00887330" w:rsidP="00887330">
      <w:pPr>
        <w:pStyle w:val="paragraph"/>
      </w:pPr>
      <w:r w:rsidRPr="00583E1A">
        <w:tab/>
        <w:t>(d)</w:t>
      </w:r>
      <w:r w:rsidRPr="00583E1A">
        <w:tab/>
        <w:t>the trustee of the first entity if it is a trust;</w:t>
      </w:r>
    </w:p>
    <w:p w:rsidR="00887330" w:rsidRPr="00583E1A" w:rsidRDefault="00887330" w:rsidP="00887330">
      <w:pPr>
        <w:pStyle w:val="paragraph"/>
      </w:pPr>
      <w:r w:rsidRPr="00583E1A">
        <w:tab/>
        <w:t>(e)</w:t>
      </w:r>
      <w:r w:rsidRPr="00583E1A">
        <w:tab/>
        <w:t>a member of the first entity’s committee of management if it is an unincorporated association or body.</w:t>
      </w:r>
    </w:p>
    <w:p w:rsidR="00887330" w:rsidRPr="00583E1A" w:rsidRDefault="00887330" w:rsidP="00887330">
      <w:pPr>
        <w:pStyle w:val="subsection"/>
      </w:pPr>
      <w:r w:rsidRPr="00583E1A">
        <w:tab/>
        <w:t>(3A)</w:t>
      </w:r>
      <w:r w:rsidRPr="00583E1A">
        <w:tab/>
        <w:t>If:</w:t>
      </w:r>
    </w:p>
    <w:p w:rsidR="00887330" w:rsidRPr="00583E1A" w:rsidRDefault="00887330" w:rsidP="00887330">
      <w:pPr>
        <w:pStyle w:val="paragraph"/>
      </w:pPr>
      <w:r w:rsidRPr="00583E1A">
        <w:tab/>
        <w:t>(a)</w:t>
      </w:r>
      <w:r w:rsidRPr="00583E1A">
        <w:tab/>
        <w:t xml:space="preserve">an entity (the </w:t>
      </w:r>
      <w:r w:rsidRPr="00583E1A">
        <w:rPr>
          <w:b/>
          <w:i/>
        </w:rPr>
        <w:t>first entity</w:t>
      </w:r>
      <w:r w:rsidRPr="00583E1A">
        <w:t xml:space="preserve">) is an </w:t>
      </w:r>
      <w:r w:rsidR="00583E1A" w:rsidRPr="00583E1A">
        <w:rPr>
          <w:position w:val="6"/>
          <w:sz w:val="16"/>
        </w:rPr>
        <w:t>*</w:t>
      </w:r>
      <w:r w:rsidRPr="00583E1A">
        <w:t xml:space="preserve">associate entity of another entity (the </w:t>
      </w:r>
      <w:r w:rsidRPr="00583E1A">
        <w:rPr>
          <w:b/>
          <w:i/>
        </w:rPr>
        <w:t>head entity</w:t>
      </w:r>
      <w:r w:rsidRPr="00583E1A">
        <w:t xml:space="preserve">) under </w:t>
      </w:r>
      <w:r w:rsidR="00583E1A">
        <w:t>subsection (</w:t>
      </w:r>
      <w:r w:rsidRPr="00583E1A">
        <w:t>1), (2), (2A) or (3) at a particular time; and</w:t>
      </w:r>
    </w:p>
    <w:p w:rsidR="00887330" w:rsidRPr="00583E1A" w:rsidRDefault="00887330" w:rsidP="00887330">
      <w:pPr>
        <w:pStyle w:val="paragraph"/>
      </w:pPr>
      <w:r w:rsidRPr="00583E1A">
        <w:tab/>
        <w:t>(b)</w:t>
      </w:r>
      <w:r w:rsidRPr="00583E1A">
        <w:tab/>
        <w:t xml:space="preserve">a third entity is also an associate entity of the head entity under </w:t>
      </w:r>
      <w:r w:rsidR="00583E1A">
        <w:t>subsection (</w:t>
      </w:r>
      <w:r w:rsidRPr="00583E1A">
        <w:t>1), (2), (2A) or (3) at that time;</w:t>
      </w:r>
    </w:p>
    <w:p w:rsidR="00887330" w:rsidRPr="00583E1A" w:rsidRDefault="00887330" w:rsidP="00887330">
      <w:pPr>
        <w:pStyle w:val="subsection2"/>
      </w:pPr>
      <w:r w:rsidRPr="00583E1A">
        <w:t xml:space="preserve">the first entity is an </w:t>
      </w:r>
      <w:r w:rsidRPr="00583E1A">
        <w:rPr>
          <w:b/>
          <w:i/>
        </w:rPr>
        <w:t>associate entity</w:t>
      </w:r>
      <w:r w:rsidRPr="00583E1A">
        <w:t xml:space="preserve"> of the third entity at that time.</w:t>
      </w:r>
    </w:p>
    <w:p w:rsidR="00887330" w:rsidRPr="00583E1A" w:rsidRDefault="00887330" w:rsidP="00887330">
      <w:pPr>
        <w:pStyle w:val="subsection"/>
      </w:pPr>
      <w:r w:rsidRPr="00583E1A">
        <w:tab/>
        <w:t>(3B)</w:t>
      </w:r>
      <w:r w:rsidRPr="00583E1A">
        <w:tab/>
        <w:t xml:space="preserve">If an entity (the </w:t>
      </w:r>
      <w:r w:rsidRPr="00583E1A">
        <w:rPr>
          <w:b/>
          <w:i/>
        </w:rPr>
        <w:t>first entity</w:t>
      </w:r>
      <w:r w:rsidRPr="00583E1A">
        <w:t xml:space="preserve">) is an </w:t>
      </w:r>
      <w:r w:rsidR="00583E1A" w:rsidRPr="00583E1A">
        <w:rPr>
          <w:position w:val="6"/>
          <w:sz w:val="16"/>
        </w:rPr>
        <w:t>*</w:t>
      </w:r>
      <w:r w:rsidRPr="00583E1A">
        <w:t xml:space="preserve">associate entity of another entity under </w:t>
      </w:r>
      <w:r w:rsidR="00583E1A">
        <w:t>subsection (</w:t>
      </w:r>
      <w:r w:rsidRPr="00583E1A">
        <w:t xml:space="preserve">1), (2), (2A), (3) or (3A) at a particular time, that other entity is also an </w:t>
      </w:r>
      <w:r w:rsidRPr="00583E1A">
        <w:rPr>
          <w:b/>
          <w:i/>
        </w:rPr>
        <w:t>associate entity</w:t>
      </w:r>
      <w:r w:rsidRPr="00583E1A">
        <w:t xml:space="preserve"> of the first entity at that time.</w:t>
      </w:r>
    </w:p>
    <w:p w:rsidR="00887330" w:rsidRPr="00583E1A" w:rsidRDefault="00887330" w:rsidP="00887330">
      <w:pPr>
        <w:pStyle w:val="subsection"/>
      </w:pPr>
      <w:r w:rsidRPr="00583E1A">
        <w:tab/>
        <w:t>(3C)</w:t>
      </w:r>
      <w:r w:rsidRPr="00583E1A">
        <w:tab/>
        <w:t xml:space="preserve">However, an entity in its capacity as the </w:t>
      </w:r>
      <w:r w:rsidR="00583E1A" w:rsidRPr="00583E1A">
        <w:rPr>
          <w:position w:val="6"/>
          <w:sz w:val="16"/>
        </w:rPr>
        <w:t>*</w:t>
      </w:r>
      <w:r w:rsidRPr="00583E1A">
        <w:t xml:space="preserve">responsible entity of a </w:t>
      </w:r>
      <w:r w:rsidR="00583E1A" w:rsidRPr="00583E1A">
        <w:rPr>
          <w:position w:val="6"/>
          <w:sz w:val="16"/>
        </w:rPr>
        <w:t>*</w:t>
      </w:r>
      <w:r w:rsidRPr="00583E1A">
        <w:t xml:space="preserve">registered scheme (the </w:t>
      </w:r>
      <w:r w:rsidRPr="00583E1A">
        <w:rPr>
          <w:b/>
          <w:i/>
        </w:rPr>
        <w:t>responsible entity</w:t>
      </w:r>
      <w:r w:rsidRPr="00583E1A">
        <w:t xml:space="preserve">) is not an </w:t>
      </w:r>
      <w:r w:rsidR="00583E1A" w:rsidRPr="00583E1A">
        <w:rPr>
          <w:position w:val="6"/>
          <w:sz w:val="16"/>
        </w:rPr>
        <w:t>*</w:t>
      </w:r>
      <w:r w:rsidRPr="00583E1A">
        <w:t xml:space="preserve">associate entity of another entity under </w:t>
      </w:r>
      <w:r w:rsidR="00583E1A">
        <w:t>subsection (</w:t>
      </w:r>
      <w:r w:rsidRPr="00583E1A">
        <w:t>3B) at a particular time if, at that time, the responsible entity:</w:t>
      </w:r>
    </w:p>
    <w:p w:rsidR="00887330" w:rsidRPr="00583E1A" w:rsidRDefault="00887330" w:rsidP="00887330">
      <w:pPr>
        <w:pStyle w:val="paragraph"/>
      </w:pPr>
      <w:r w:rsidRPr="00583E1A">
        <w:tab/>
        <w:t>(a)</w:t>
      </w:r>
      <w:r w:rsidRPr="00583E1A">
        <w:tab/>
        <w:t xml:space="preserve">would be an associate entity of that other entity under </w:t>
      </w:r>
      <w:r w:rsidR="00583E1A">
        <w:t>subsection (</w:t>
      </w:r>
      <w:r w:rsidRPr="00583E1A">
        <w:t>3B) (apart from the effect of this subsection); but</w:t>
      </w:r>
    </w:p>
    <w:p w:rsidR="00887330" w:rsidRPr="00583E1A" w:rsidRDefault="00887330" w:rsidP="00887330">
      <w:pPr>
        <w:pStyle w:val="paragraph"/>
      </w:pPr>
      <w:r w:rsidRPr="00583E1A">
        <w:tab/>
        <w:t>(b)</w:t>
      </w:r>
      <w:r w:rsidRPr="00583E1A">
        <w:tab/>
        <w:t xml:space="preserve">is not an associate entity of that other entity under </w:t>
      </w:r>
      <w:r w:rsidR="00583E1A">
        <w:t>subsection (</w:t>
      </w:r>
      <w:r w:rsidRPr="00583E1A">
        <w:t>2A).</w:t>
      </w:r>
    </w:p>
    <w:p w:rsidR="00887330" w:rsidRPr="00583E1A" w:rsidRDefault="00887330" w:rsidP="00887330">
      <w:pPr>
        <w:pStyle w:val="SubsectionHead"/>
      </w:pPr>
      <w:r w:rsidRPr="00583E1A">
        <w:lastRenderedPageBreak/>
        <w:t>Associate interest in a company (except a corporate limited partnership)</w:t>
      </w:r>
    </w:p>
    <w:p w:rsidR="00887330" w:rsidRPr="00583E1A" w:rsidRDefault="00887330" w:rsidP="00887330">
      <w:pPr>
        <w:pStyle w:val="subsection"/>
      </w:pPr>
      <w:r w:rsidRPr="00583E1A">
        <w:tab/>
        <w:t>(4)</w:t>
      </w:r>
      <w:r w:rsidRPr="00583E1A">
        <w:tab/>
        <w:t xml:space="preserve">An </w:t>
      </w:r>
      <w:r w:rsidRPr="00583E1A">
        <w:rPr>
          <w:b/>
          <w:i/>
        </w:rPr>
        <w:t xml:space="preserve">associate interest </w:t>
      </w:r>
      <w:r w:rsidRPr="00583E1A">
        <w:t xml:space="preserve">that an entity holds in a company (except a </w:t>
      </w:r>
      <w:r w:rsidR="00583E1A" w:rsidRPr="00583E1A">
        <w:rPr>
          <w:position w:val="6"/>
          <w:sz w:val="16"/>
        </w:rPr>
        <w:t>*</w:t>
      </w:r>
      <w:r w:rsidRPr="00583E1A">
        <w:t xml:space="preserve">corporate limited partnership) at a particular time is the percentage of the direct control interest (if any) that the entity holds in the company at that time under the provisions applied by </w:t>
      </w:r>
      <w:r w:rsidR="00583E1A">
        <w:t>subsection (</w:t>
      </w:r>
      <w:r w:rsidRPr="00583E1A">
        <w:t>5).</w:t>
      </w:r>
    </w:p>
    <w:p w:rsidR="00887330" w:rsidRPr="00583E1A" w:rsidRDefault="00887330" w:rsidP="00887330">
      <w:pPr>
        <w:pStyle w:val="subsection"/>
      </w:pPr>
      <w:r w:rsidRPr="00583E1A">
        <w:tab/>
        <w:t>(5)</w:t>
      </w:r>
      <w:r w:rsidRPr="00583E1A">
        <w:tab/>
        <w:t xml:space="preserve">For the purposes of </w:t>
      </w:r>
      <w:r w:rsidR="00583E1A">
        <w:t>subsection (</w:t>
      </w:r>
      <w:r w:rsidRPr="00583E1A">
        <w:t>4), provisions of Part</w:t>
      </w:r>
      <w:r w:rsidR="00583E1A">
        <w:t> </w:t>
      </w:r>
      <w:r w:rsidRPr="00583E1A">
        <w:t xml:space="preserve">X of the </w:t>
      </w:r>
      <w:r w:rsidRPr="00583E1A">
        <w:rPr>
          <w:i/>
        </w:rPr>
        <w:t>Income Tax Assessment Act 1936</w:t>
      </w:r>
      <w:r w:rsidRPr="00583E1A">
        <w:t xml:space="preserve"> are applied with the modifications set out in the following table:</w:t>
      </w:r>
    </w:p>
    <w:p w:rsidR="00887330" w:rsidRPr="00583E1A" w:rsidRDefault="00887330" w:rsidP="00887330">
      <w:pPr>
        <w:pStyle w:val="Table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708"/>
        <w:gridCol w:w="2835"/>
        <w:gridCol w:w="3544"/>
        <w:gridCol w:w="23"/>
      </w:tblGrid>
      <w:tr w:rsidR="00887330" w:rsidRPr="00583E1A">
        <w:trPr>
          <w:cantSplit/>
          <w:tblHeader/>
        </w:trPr>
        <w:tc>
          <w:tcPr>
            <w:tcW w:w="7110" w:type="dxa"/>
            <w:gridSpan w:val="4"/>
            <w:tcBorders>
              <w:top w:val="single" w:sz="12" w:space="0" w:color="auto"/>
              <w:left w:val="nil"/>
              <w:bottom w:val="nil"/>
              <w:right w:val="nil"/>
            </w:tcBorders>
          </w:tcPr>
          <w:p w:rsidR="00887330" w:rsidRPr="00583E1A" w:rsidRDefault="00887330" w:rsidP="00887330">
            <w:pPr>
              <w:pStyle w:val="Tabletext"/>
            </w:pPr>
            <w:r w:rsidRPr="00583E1A">
              <w:rPr>
                <w:b/>
              </w:rPr>
              <w:t>Modifications of provisions in Part</w:t>
            </w:r>
            <w:r w:rsidR="00583E1A">
              <w:rPr>
                <w:b/>
              </w:rPr>
              <w:t> </w:t>
            </w:r>
            <w:r w:rsidRPr="00583E1A">
              <w:rPr>
                <w:b/>
              </w:rPr>
              <w:t xml:space="preserve">X of the </w:t>
            </w:r>
            <w:r w:rsidRPr="00583E1A">
              <w:rPr>
                <w:b/>
                <w:i/>
              </w:rPr>
              <w:t>Income Tax Assessment Act 1936</w:t>
            </w:r>
          </w:p>
        </w:tc>
      </w:tr>
      <w:tr w:rsidR="00887330" w:rsidRPr="00583E1A">
        <w:trPr>
          <w:gridAfter w:val="1"/>
          <w:wAfter w:w="23" w:type="dxa"/>
          <w:cantSplit/>
          <w:tblHeader/>
        </w:trPr>
        <w:tc>
          <w:tcPr>
            <w:tcW w:w="708" w:type="dxa"/>
            <w:tcBorders>
              <w:top w:val="single" w:sz="6" w:space="0" w:color="auto"/>
              <w:left w:val="nil"/>
              <w:bottom w:val="single" w:sz="12" w:space="0" w:color="auto"/>
              <w:right w:val="nil"/>
            </w:tcBorders>
          </w:tcPr>
          <w:p w:rsidR="00887330" w:rsidRPr="00583E1A" w:rsidRDefault="00887330" w:rsidP="00887330">
            <w:pPr>
              <w:pStyle w:val="Tabletext"/>
            </w:pPr>
            <w:r w:rsidRPr="00583E1A">
              <w:rPr>
                <w:b/>
              </w:rPr>
              <w:t>Item</w:t>
            </w:r>
          </w:p>
        </w:tc>
        <w:tc>
          <w:tcPr>
            <w:tcW w:w="2835" w:type="dxa"/>
            <w:tcBorders>
              <w:top w:val="single" w:sz="6" w:space="0" w:color="auto"/>
              <w:left w:val="nil"/>
              <w:bottom w:val="single" w:sz="12" w:space="0" w:color="auto"/>
              <w:right w:val="nil"/>
            </w:tcBorders>
          </w:tcPr>
          <w:p w:rsidR="00887330" w:rsidRPr="00583E1A" w:rsidRDefault="00887330" w:rsidP="00887330">
            <w:pPr>
              <w:pStyle w:val="Tabletext"/>
            </w:pPr>
            <w:r w:rsidRPr="00583E1A">
              <w:rPr>
                <w:b/>
              </w:rPr>
              <w:t>Provisions</w:t>
            </w:r>
          </w:p>
        </w:tc>
        <w:tc>
          <w:tcPr>
            <w:tcW w:w="3544" w:type="dxa"/>
            <w:tcBorders>
              <w:top w:val="single" w:sz="6" w:space="0" w:color="auto"/>
              <w:left w:val="nil"/>
              <w:bottom w:val="single" w:sz="12" w:space="0" w:color="auto"/>
              <w:right w:val="nil"/>
            </w:tcBorders>
          </w:tcPr>
          <w:p w:rsidR="00887330" w:rsidRPr="00583E1A" w:rsidRDefault="00887330" w:rsidP="00887330">
            <w:pPr>
              <w:pStyle w:val="Tabletext"/>
            </w:pPr>
            <w:r w:rsidRPr="00583E1A">
              <w:rPr>
                <w:b/>
              </w:rPr>
              <w:t>Modifications</w:t>
            </w:r>
          </w:p>
        </w:tc>
      </w:tr>
      <w:tr w:rsidR="00887330" w:rsidRPr="00583E1A">
        <w:trPr>
          <w:gridAfter w:val="1"/>
          <w:wAfter w:w="23" w:type="dxa"/>
          <w:cantSplit/>
        </w:trPr>
        <w:tc>
          <w:tcPr>
            <w:tcW w:w="708" w:type="dxa"/>
            <w:tcBorders>
              <w:top w:val="single" w:sz="12" w:space="0" w:color="auto"/>
              <w:left w:val="nil"/>
              <w:bottom w:val="single" w:sz="2" w:space="0" w:color="auto"/>
              <w:right w:val="nil"/>
            </w:tcBorders>
            <w:shd w:val="clear" w:color="auto" w:fill="auto"/>
          </w:tcPr>
          <w:p w:rsidR="00887330" w:rsidRPr="00583E1A" w:rsidRDefault="00887330" w:rsidP="00887330">
            <w:pPr>
              <w:pStyle w:val="Tabletext"/>
            </w:pPr>
            <w:r w:rsidRPr="00583E1A">
              <w:t>1</w:t>
            </w:r>
          </w:p>
        </w:tc>
        <w:tc>
          <w:tcPr>
            <w:tcW w:w="2835" w:type="dxa"/>
            <w:tcBorders>
              <w:top w:val="single" w:sz="12" w:space="0" w:color="auto"/>
              <w:left w:val="nil"/>
              <w:bottom w:val="single" w:sz="2" w:space="0" w:color="auto"/>
              <w:right w:val="nil"/>
            </w:tcBorders>
            <w:shd w:val="clear" w:color="auto" w:fill="auto"/>
          </w:tcPr>
          <w:p w:rsidR="00887330" w:rsidRPr="00583E1A" w:rsidRDefault="00887330" w:rsidP="00887330">
            <w:pPr>
              <w:pStyle w:val="Tabletext"/>
            </w:pPr>
            <w:r w:rsidRPr="00583E1A">
              <w:t>Section</w:t>
            </w:r>
            <w:r w:rsidR="00583E1A">
              <w:t> </w:t>
            </w:r>
            <w:r w:rsidRPr="00583E1A">
              <w:t>350 (including any other provision in Part</w:t>
            </w:r>
            <w:r w:rsidR="00583E1A">
              <w:t> </w:t>
            </w:r>
            <w:r w:rsidRPr="00583E1A">
              <w:t xml:space="preserve">X of the </w:t>
            </w:r>
            <w:r w:rsidRPr="00583E1A">
              <w:rPr>
                <w:i/>
              </w:rPr>
              <w:t xml:space="preserve">Income Tax Assessment Act 1936 </w:t>
            </w:r>
            <w:r w:rsidRPr="00583E1A">
              <w:t>that defines a term used in the section)</w:t>
            </w:r>
          </w:p>
        </w:tc>
        <w:tc>
          <w:tcPr>
            <w:tcW w:w="3544" w:type="dxa"/>
            <w:tcBorders>
              <w:top w:val="single" w:sz="12" w:space="0" w:color="auto"/>
              <w:left w:val="nil"/>
              <w:bottom w:val="single" w:sz="2" w:space="0" w:color="auto"/>
              <w:right w:val="nil"/>
            </w:tcBorders>
            <w:shd w:val="clear" w:color="auto" w:fill="auto"/>
          </w:tcPr>
          <w:p w:rsidR="00887330" w:rsidRPr="00583E1A" w:rsidRDefault="00887330" w:rsidP="00887330">
            <w:pPr>
              <w:pStyle w:val="Tabletext"/>
            </w:pPr>
            <w:r w:rsidRPr="00583E1A">
              <w:t>The section applies for the purposes of this subsection rather than only for the purposes of Part</w:t>
            </w:r>
            <w:r w:rsidR="00583E1A">
              <w:t> </w:t>
            </w:r>
            <w:r w:rsidRPr="00583E1A">
              <w:t xml:space="preserve">X of the </w:t>
            </w:r>
            <w:r w:rsidRPr="00583E1A">
              <w:rPr>
                <w:i/>
              </w:rPr>
              <w:t>Income Tax Assessment Act 1936</w:t>
            </w:r>
          </w:p>
        </w:tc>
      </w:tr>
      <w:tr w:rsidR="00887330" w:rsidRPr="00583E1A">
        <w:trPr>
          <w:gridAfter w:val="1"/>
          <w:wAfter w:w="23" w:type="dxa"/>
          <w:cantSplit/>
        </w:trPr>
        <w:tc>
          <w:tcPr>
            <w:tcW w:w="708" w:type="dxa"/>
            <w:tcBorders>
              <w:top w:val="single" w:sz="2" w:space="0" w:color="auto"/>
              <w:left w:val="nil"/>
              <w:bottom w:val="single" w:sz="12" w:space="0" w:color="auto"/>
              <w:right w:val="nil"/>
            </w:tcBorders>
          </w:tcPr>
          <w:p w:rsidR="00887330" w:rsidRPr="00583E1A" w:rsidRDefault="00887330" w:rsidP="00887330">
            <w:pPr>
              <w:pStyle w:val="Tabletext"/>
            </w:pPr>
            <w:r w:rsidRPr="00583E1A">
              <w:t>2</w:t>
            </w:r>
          </w:p>
        </w:tc>
        <w:tc>
          <w:tcPr>
            <w:tcW w:w="2835" w:type="dxa"/>
            <w:tcBorders>
              <w:top w:val="single" w:sz="2" w:space="0" w:color="auto"/>
              <w:left w:val="nil"/>
              <w:bottom w:val="single" w:sz="12" w:space="0" w:color="auto"/>
              <w:right w:val="nil"/>
            </w:tcBorders>
          </w:tcPr>
          <w:p w:rsidR="00887330" w:rsidRPr="00583E1A" w:rsidRDefault="00887330" w:rsidP="00887330">
            <w:pPr>
              <w:pStyle w:val="Tabletext"/>
            </w:pPr>
            <w:r w:rsidRPr="00583E1A">
              <w:t>Subsections 350(6) and (7)</w:t>
            </w:r>
          </w:p>
        </w:tc>
        <w:tc>
          <w:tcPr>
            <w:tcW w:w="3544" w:type="dxa"/>
            <w:tcBorders>
              <w:top w:val="single" w:sz="2" w:space="0" w:color="auto"/>
              <w:left w:val="nil"/>
              <w:bottom w:val="single" w:sz="12" w:space="0" w:color="auto"/>
              <w:right w:val="nil"/>
            </w:tcBorders>
          </w:tcPr>
          <w:p w:rsidR="00887330" w:rsidRPr="00583E1A" w:rsidRDefault="00887330" w:rsidP="00887330">
            <w:pPr>
              <w:pStyle w:val="Tabletext"/>
            </w:pPr>
            <w:r w:rsidRPr="00583E1A">
              <w:t>The subsections do not apply</w:t>
            </w:r>
          </w:p>
        </w:tc>
      </w:tr>
    </w:tbl>
    <w:p w:rsidR="00887330" w:rsidRPr="00583E1A" w:rsidRDefault="00887330" w:rsidP="00887330">
      <w:pPr>
        <w:pStyle w:val="SubsectionHead"/>
      </w:pPr>
      <w:r w:rsidRPr="00583E1A">
        <w:t>Associate interest in a trust</w:t>
      </w:r>
    </w:p>
    <w:p w:rsidR="00887330" w:rsidRPr="00583E1A" w:rsidRDefault="00887330" w:rsidP="00887330">
      <w:pPr>
        <w:pStyle w:val="subsection"/>
      </w:pPr>
      <w:r w:rsidRPr="00583E1A">
        <w:tab/>
        <w:t>(6)</w:t>
      </w:r>
      <w:r w:rsidRPr="00583E1A">
        <w:tab/>
        <w:t xml:space="preserve">An </w:t>
      </w:r>
      <w:r w:rsidRPr="00583E1A">
        <w:rPr>
          <w:b/>
          <w:i/>
        </w:rPr>
        <w:t xml:space="preserve">associate interest </w:t>
      </w:r>
      <w:r w:rsidRPr="00583E1A">
        <w:t xml:space="preserve">that an entity holds in a trust at a particular time is the percentage of the direct control interest (if any) that the entity holds in the trust at that time under the provisions applied by </w:t>
      </w:r>
      <w:r w:rsidR="00583E1A">
        <w:t>subsection (</w:t>
      </w:r>
      <w:r w:rsidRPr="00583E1A">
        <w:t>7).</w:t>
      </w:r>
    </w:p>
    <w:p w:rsidR="00887330" w:rsidRPr="00583E1A" w:rsidRDefault="00887330" w:rsidP="00887330">
      <w:pPr>
        <w:pStyle w:val="subsection"/>
      </w:pPr>
      <w:r w:rsidRPr="00583E1A">
        <w:tab/>
        <w:t>(7)</w:t>
      </w:r>
      <w:r w:rsidRPr="00583E1A">
        <w:tab/>
        <w:t xml:space="preserve">For the purposes of </w:t>
      </w:r>
      <w:r w:rsidR="00583E1A">
        <w:t>subsection (</w:t>
      </w:r>
      <w:r w:rsidRPr="00583E1A">
        <w:t>6), provisions of Part</w:t>
      </w:r>
      <w:r w:rsidR="00583E1A">
        <w:t> </w:t>
      </w:r>
      <w:r w:rsidRPr="00583E1A">
        <w:t xml:space="preserve">X of the </w:t>
      </w:r>
      <w:r w:rsidRPr="00583E1A">
        <w:rPr>
          <w:i/>
        </w:rPr>
        <w:t>Income Tax Assessment Act 1936</w:t>
      </w:r>
      <w:r w:rsidRPr="00583E1A">
        <w:t xml:space="preserve"> are applied with the modifications set out in the following table:</w:t>
      </w:r>
    </w:p>
    <w:p w:rsidR="00887330" w:rsidRPr="00583E1A" w:rsidRDefault="00887330" w:rsidP="00BC23D9">
      <w:pPr>
        <w:pStyle w:val="Tabletext"/>
        <w:keepN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708"/>
        <w:gridCol w:w="2835"/>
        <w:gridCol w:w="3544"/>
        <w:gridCol w:w="23"/>
      </w:tblGrid>
      <w:tr w:rsidR="00887330" w:rsidRPr="00583E1A">
        <w:trPr>
          <w:cantSplit/>
          <w:tblHeader/>
        </w:trPr>
        <w:tc>
          <w:tcPr>
            <w:tcW w:w="7110" w:type="dxa"/>
            <w:gridSpan w:val="4"/>
            <w:tcBorders>
              <w:top w:val="single" w:sz="12" w:space="0" w:color="auto"/>
              <w:left w:val="nil"/>
              <w:bottom w:val="nil"/>
              <w:right w:val="nil"/>
            </w:tcBorders>
          </w:tcPr>
          <w:p w:rsidR="00887330" w:rsidRPr="00583E1A" w:rsidRDefault="00887330" w:rsidP="00BC23D9">
            <w:pPr>
              <w:pStyle w:val="Tabletext"/>
              <w:keepNext/>
            </w:pPr>
            <w:r w:rsidRPr="00583E1A">
              <w:rPr>
                <w:b/>
              </w:rPr>
              <w:t>Modifications of provisions in Part</w:t>
            </w:r>
            <w:r w:rsidR="00583E1A">
              <w:rPr>
                <w:b/>
              </w:rPr>
              <w:t> </w:t>
            </w:r>
            <w:r w:rsidRPr="00583E1A">
              <w:rPr>
                <w:b/>
              </w:rPr>
              <w:t xml:space="preserve">X of the </w:t>
            </w:r>
            <w:r w:rsidRPr="00583E1A">
              <w:rPr>
                <w:b/>
                <w:i/>
              </w:rPr>
              <w:t>Income Tax Assessment Act 1936</w:t>
            </w:r>
          </w:p>
        </w:tc>
      </w:tr>
      <w:tr w:rsidR="00887330" w:rsidRPr="00583E1A">
        <w:trPr>
          <w:gridAfter w:val="1"/>
          <w:wAfter w:w="23" w:type="dxa"/>
          <w:cantSplit/>
          <w:tblHeader/>
        </w:trPr>
        <w:tc>
          <w:tcPr>
            <w:tcW w:w="708" w:type="dxa"/>
            <w:tcBorders>
              <w:top w:val="single" w:sz="6" w:space="0" w:color="auto"/>
              <w:left w:val="nil"/>
              <w:bottom w:val="single" w:sz="12" w:space="0" w:color="auto"/>
              <w:right w:val="nil"/>
            </w:tcBorders>
          </w:tcPr>
          <w:p w:rsidR="00887330" w:rsidRPr="00583E1A" w:rsidRDefault="00887330" w:rsidP="00BC23D9">
            <w:pPr>
              <w:pStyle w:val="Tabletext"/>
              <w:keepNext/>
            </w:pPr>
            <w:r w:rsidRPr="00583E1A">
              <w:rPr>
                <w:b/>
              </w:rPr>
              <w:t>Item</w:t>
            </w:r>
          </w:p>
        </w:tc>
        <w:tc>
          <w:tcPr>
            <w:tcW w:w="2835" w:type="dxa"/>
            <w:tcBorders>
              <w:top w:val="single" w:sz="6" w:space="0" w:color="auto"/>
              <w:left w:val="nil"/>
              <w:bottom w:val="single" w:sz="12" w:space="0" w:color="auto"/>
              <w:right w:val="nil"/>
            </w:tcBorders>
          </w:tcPr>
          <w:p w:rsidR="00887330" w:rsidRPr="00583E1A" w:rsidRDefault="00887330" w:rsidP="00BC23D9">
            <w:pPr>
              <w:pStyle w:val="Tabletext"/>
              <w:keepNext/>
            </w:pPr>
            <w:r w:rsidRPr="00583E1A">
              <w:rPr>
                <w:b/>
              </w:rPr>
              <w:t>Provisions</w:t>
            </w:r>
          </w:p>
        </w:tc>
        <w:tc>
          <w:tcPr>
            <w:tcW w:w="3544" w:type="dxa"/>
            <w:tcBorders>
              <w:top w:val="single" w:sz="6" w:space="0" w:color="auto"/>
              <w:left w:val="nil"/>
              <w:bottom w:val="single" w:sz="12" w:space="0" w:color="auto"/>
              <w:right w:val="nil"/>
            </w:tcBorders>
          </w:tcPr>
          <w:p w:rsidR="00887330" w:rsidRPr="00583E1A" w:rsidRDefault="00887330" w:rsidP="00BC23D9">
            <w:pPr>
              <w:pStyle w:val="Tabletext"/>
              <w:keepNext/>
            </w:pPr>
            <w:r w:rsidRPr="00583E1A">
              <w:rPr>
                <w:b/>
              </w:rPr>
              <w:t>Modifications</w:t>
            </w:r>
          </w:p>
        </w:tc>
      </w:tr>
      <w:tr w:rsidR="00887330" w:rsidRPr="00583E1A">
        <w:trPr>
          <w:gridAfter w:val="1"/>
          <w:wAfter w:w="23" w:type="dxa"/>
          <w:cantSplit/>
        </w:trPr>
        <w:tc>
          <w:tcPr>
            <w:tcW w:w="708" w:type="dxa"/>
            <w:tcBorders>
              <w:top w:val="single" w:sz="12" w:space="0" w:color="auto"/>
              <w:left w:val="nil"/>
              <w:bottom w:val="single" w:sz="2" w:space="0" w:color="auto"/>
              <w:right w:val="nil"/>
            </w:tcBorders>
            <w:shd w:val="clear" w:color="auto" w:fill="auto"/>
          </w:tcPr>
          <w:p w:rsidR="00887330" w:rsidRPr="00583E1A" w:rsidRDefault="00887330" w:rsidP="00BC23D9">
            <w:pPr>
              <w:pStyle w:val="Tabletext"/>
            </w:pPr>
            <w:r w:rsidRPr="00583E1A">
              <w:t>1</w:t>
            </w:r>
          </w:p>
        </w:tc>
        <w:tc>
          <w:tcPr>
            <w:tcW w:w="2835" w:type="dxa"/>
            <w:tcBorders>
              <w:top w:val="single" w:sz="12" w:space="0" w:color="auto"/>
              <w:left w:val="nil"/>
              <w:bottom w:val="single" w:sz="2" w:space="0" w:color="auto"/>
              <w:right w:val="nil"/>
            </w:tcBorders>
            <w:shd w:val="clear" w:color="auto" w:fill="auto"/>
          </w:tcPr>
          <w:p w:rsidR="00887330" w:rsidRPr="00583E1A" w:rsidRDefault="00887330" w:rsidP="00BC23D9">
            <w:pPr>
              <w:pStyle w:val="Tabletext"/>
            </w:pPr>
            <w:r w:rsidRPr="00583E1A">
              <w:t>Section</w:t>
            </w:r>
            <w:r w:rsidR="00583E1A">
              <w:t> </w:t>
            </w:r>
            <w:r w:rsidRPr="00583E1A">
              <w:t>351 (including any other provision in Part</w:t>
            </w:r>
            <w:r w:rsidR="00583E1A">
              <w:t> </w:t>
            </w:r>
            <w:r w:rsidRPr="00583E1A">
              <w:t xml:space="preserve">X of the </w:t>
            </w:r>
            <w:r w:rsidRPr="00583E1A">
              <w:rPr>
                <w:i/>
              </w:rPr>
              <w:t xml:space="preserve">Income Tax Assessment Act 1936 </w:t>
            </w:r>
            <w:r w:rsidRPr="00583E1A">
              <w:t>that defines a term used in the section)</w:t>
            </w:r>
          </w:p>
        </w:tc>
        <w:tc>
          <w:tcPr>
            <w:tcW w:w="3544" w:type="dxa"/>
            <w:tcBorders>
              <w:top w:val="single" w:sz="12" w:space="0" w:color="auto"/>
              <w:left w:val="nil"/>
              <w:bottom w:val="single" w:sz="2" w:space="0" w:color="auto"/>
              <w:right w:val="nil"/>
            </w:tcBorders>
            <w:shd w:val="clear" w:color="auto" w:fill="auto"/>
          </w:tcPr>
          <w:p w:rsidR="00887330" w:rsidRPr="00583E1A" w:rsidRDefault="00887330" w:rsidP="00BC23D9">
            <w:pPr>
              <w:pStyle w:val="Tabletext"/>
            </w:pPr>
            <w:r w:rsidRPr="00583E1A">
              <w:t>The section applies for the purposes of this subsection rather than only for the purposes of Part</w:t>
            </w:r>
            <w:r w:rsidR="00583E1A">
              <w:t> </w:t>
            </w:r>
            <w:r w:rsidRPr="00583E1A">
              <w:t xml:space="preserve">X of the </w:t>
            </w:r>
            <w:r w:rsidRPr="00583E1A">
              <w:rPr>
                <w:i/>
              </w:rPr>
              <w:t>Income Tax Assessment Act 1936</w:t>
            </w:r>
          </w:p>
        </w:tc>
      </w:tr>
      <w:tr w:rsidR="00887330" w:rsidRPr="00583E1A">
        <w:trPr>
          <w:gridAfter w:val="1"/>
          <w:wAfter w:w="23" w:type="dxa"/>
          <w:cantSplit/>
        </w:trPr>
        <w:tc>
          <w:tcPr>
            <w:tcW w:w="708" w:type="dxa"/>
            <w:tcBorders>
              <w:top w:val="single" w:sz="2" w:space="0" w:color="auto"/>
              <w:left w:val="nil"/>
              <w:bottom w:val="single" w:sz="12" w:space="0" w:color="auto"/>
              <w:right w:val="nil"/>
            </w:tcBorders>
          </w:tcPr>
          <w:p w:rsidR="00887330" w:rsidRPr="00583E1A" w:rsidRDefault="00887330" w:rsidP="00887330">
            <w:pPr>
              <w:pStyle w:val="Tabletext"/>
            </w:pPr>
            <w:r w:rsidRPr="00583E1A">
              <w:t>2</w:t>
            </w:r>
          </w:p>
        </w:tc>
        <w:tc>
          <w:tcPr>
            <w:tcW w:w="2835" w:type="dxa"/>
            <w:tcBorders>
              <w:top w:val="single" w:sz="2" w:space="0" w:color="auto"/>
              <w:left w:val="nil"/>
              <w:bottom w:val="single" w:sz="12" w:space="0" w:color="auto"/>
              <w:right w:val="nil"/>
            </w:tcBorders>
          </w:tcPr>
          <w:p w:rsidR="00887330" w:rsidRPr="00583E1A" w:rsidRDefault="00887330" w:rsidP="00887330">
            <w:pPr>
              <w:pStyle w:val="Tabletext"/>
            </w:pPr>
            <w:r w:rsidRPr="00583E1A">
              <w:t>Subsections 351(3) and (4)</w:t>
            </w:r>
          </w:p>
        </w:tc>
        <w:tc>
          <w:tcPr>
            <w:tcW w:w="3544" w:type="dxa"/>
            <w:tcBorders>
              <w:top w:val="single" w:sz="2" w:space="0" w:color="auto"/>
              <w:left w:val="nil"/>
              <w:bottom w:val="single" w:sz="12" w:space="0" w:color="auto"/>
              <w:right w:val="nil"/>
            </w:tcBorders>
          </w:tcPr>
          <w:p w:rsidR="00887330" w:rsidRPr="00583E1A" w:rsidRDefault="00887330" w:rsidP="00887330">
            <w:pPr>
              <w:pStyle w:val="Tabletext"/>
            </w:pPr>
            <w:r w:rsidRPr="00583E1A">
              <w:t>The subsections do not apply</w:t>
            </w:r>
          </w:p>
        </w:tc>
      </w:tr>
    </w:tbl>
    <w:p w:rsidR="00887330" w:rsidRPr="00583E1A" w:rsidRDefault="00887330" w:rsidP="00887330">
      <w:pPr>
        <w:pStyle w:val="SubsectionHead"/>
      </w:pPr>
      <w:r w:rsidRPr="00583E1A">
        <w:t>Associate interest in a partnership</w:t>
      </w:r>
    </w:p>
    <w:p w:rsidR="00887330" w:rsidRPr="00583E1A" w:rsidRDefault="00887330" w:rsidP="00887330">
      <w:pPr>
        <w:pStyle w:val="subsection"/>
      </w:pPr>
      <w:r w:rsidRPr="00583E1A">
        <w:tab/>
        <w:t>(8)</w:t>
      </w:r>
      <w:r w:rsidRPr="00583E1A">
        <w:tab/>
        <w:t xml:space="preserve">An </w:t>
      </w:r>
      <w:r w:rsidRPr="00583E1A">
        <w:rPr>
          <w:b/>
          <w:i/>
        </w:rPr>
        <w:t>associate interest</w:t>
      </w:r>
      <w:r w:rsidRPr="00583E1A">
        <w:t xml:space="preserve"> that an entity holds in a partnership at a particular time is whichever of the following percentages is applicable, and if there are 2 or more such percentages, the greatest of them:</w:t>
      </w:r>
    </w:p>
    <w:p w:rsidR="00887330" w:rsidRPr="00583E1A" w:rsidRDefault="00887330" w:rsidP="00887330">
      <w:pPr>
        <w:pStyle w:val="paragraph"/>
      </w:pPr>
      <w:r w:rsidRPr="00583E1A">
        <w:tab/>
        <w:t>(a)</w:t>
      </w:r>
      <w:r w:rsidRPr="00583E1A">
        <w:tab/>
        <w:t xml:space="preserve">in the case of a </w:t>
      </w:r>
      <w:r w:rsidR="00583E1A" w:rsidRPr="00583E1A">
        <w:rPr>
          <w:position w:val="6"/>
          <w:sz w:val="16"/>
        </w:rPr>
        <w:t>*</w:t>
      </w:r>
      <w:r w:rsidRPr="00583E1A">
        <w:t xml:space="preserve">corporate limited partnership—100% if the entity is a </w:t>
      </w:r>
      <w:r w:rsidR="00583E1A" w:rsidRPr="00583E1A">
        <w:rPr>
          <w:position w:val="6"/>
          <w:sz w:val="16"/>
        </w:rPr>
        <w:t>*</w:t>
      </w:r>
      <w:r w:rsidRPr="00583E1A">
        <w:t>general partner of the partnership;</w:t>
      </w:r>
    </w:p>
    <w:p w:rsidR="00887330" w:rsidRPr="00583E1A" w:rsidRDefault="00887330" w:rsidP="00887330">
      <w:pPr>
        <w:pStyle w:val="paragraph"/>
      </w:pPr>
      <w:r w:rsidRPr="00583E1A">
        <w:tab/>
        <w:t>(b)</w:t>
      </w:r>
      <w:r w:rsidRPr="00583E1A">
        <w:tab/>
        <w:t>in the case of a partnership that is not a corporate limited partnership—the percentage of the control of voting power in the partnership that the entity has at that time;</w:t>
      </w:r>
    </w:p>
    <w:p w:rsidR="00887330" w:rsidRPr="00583E1A" w:rsidRDefault="00887330" w:rsidP="00887330">
      <w:pPr>
        <w:pStyle w:val="paragraph"/>
      </w:pPr>
      <w:r w:rsidRPr="00583E1A">
        <w:tab/>
        <w:t>(c)</w:t>
      </w:r>
      <w:r w:rsidRPr="00583E1A">
        <w:tab/>
        <w:t>in any other case—the percentage that the entity holds, or is entitled to acquire, at that time, of any of the following:</w:t>
      </w:r>
    </w:p>
    <w:p w:rsidR="00887330" w:rsidRPr="00583E1A" w:rsidRDefault="00887330" w:rsidP="00887330">
      <w:pPr>
        <w:pStyle w:val="paragraphsub"/>
      </w:pPr>
      <w:r w:rsidRPr="00583E1A">
        <w:tab/>
        <w:t>(i)</w:t>
      </w:r>
      <w:r w:rsidRPr="00583E1A">
        <w:tab/>
        <w:t>the total amount of assets or capital contributed to the partnership;</w:t>
      </w:r>
    </w:p>
    <w:p w:rsidR="00887330" w:rsidRPr="00583E1A" w:rsidRDefault="00887330" w:rsidP="00887330">
      <w:pPr>
        <w:pStyle w:val="paragraphsub"/>
      </w:pPr>
      <w:r w:rsidRPr="00583E1A">
        <w:tab/>
        <w:t>(ii)</w:t>
      </w:r>
      <w:r w:rsidRPr="00583E1A">
        <w:tab/>
        <w:t>the total rights of partners to distributions of capital, assets or profits on the dissolution of the partnership;</w:t>
      </w:r>
    </w:p>
    <w:p w:rsidR="00887330" w:rsidRPr="00583E1A" w:rsidRDefault="00887330" w:rsidP="00887330">
      <w:pPr>
        <w:pStyle w:val="paragraphsub"/>
      </w:pPr>
      <w:r w:rsidRPr="00583E1A">
        <w:tab/>
        <w:t>(iii)</w:t>
      </w:r>
      <w:r w:rsidRPr="00583E1A">
        <w:tab/>
        <w:t>the total rights of partners to distributions of capital, assets or profits otherwise than on the dissolution of the partnership.</w:t>
      </w:r>
    </w:p>
    <w:p w:rsidR="00887330" w:rsidRPr="00583E1A" w:rsidRDefault="00887330" w:rsidP="00887330">
      <w:pPr>
        <w:pStyle w:val="ActHead5"/>
      </w:pPr>
      <w:bookmarkStart w:id="311" w:name="_Toc338939385"/>
      <w:r w:rsidRPr="00583E1A">
        <w:rPr>
          <w:rStyle w:val="CharSectno"/>
        </w:rPr>
        <w:t>820</w:t>
      </w:r>
      <w:r w:rsidR="00583E1A">
        <w:rPr>
          <w:rStyle w:val="CharSectno"/>
        </w:rPr>
        <w:noBreakHyphen/>
      </w:r>
      <w:r w:rsidRPr="00583E1A">
        <w:rPr>
          <w:rStyle w:val="CharSectno"/>
        </w:rPr>
        <w:t>910</w:t>
      </w:r>
      <w:r w:rsidRPr="00583E1A">
        <w:t xml:space="preserve">  Associate entity debt</w:t>
      </w:r>
      <w:bookmarkEnd w:id="311"/>
    </w:p>
    <w:p w:rsidR="00887330" w:rsidRPr="00583E1A" w:rsidRDefault="00887330" w:rsidP="00887330">
      <w:pPr>
        <w:pStyle w:val="subsection"/>
      </w:pPr>
      <w:r w:rsidRPr="00583E1A">
        <w:tab/>
        <w:t>(1)</w:t>
      </w:r>
      <w:r w:rsidRPr="00583E1A">
        <w:tab/>
        <w:t xml:space="preserve">This section applies to an entity (the </w:t>
      </w:r>
      <w:r w:rsidRPr="00583E1A">
        <w:rPr>
          <w:b/>
          <w:i/>
        </w:rPr>
        <w:t>relevant entity</w:t>
      </w:r>
      <w:r w:rsidRPr="00583E1A">
        <w:t xml:space="preserve">) that is an </w:t>
      </w:r>
      <w:r w:rsidR="00583E1A" w:rsidRPr="00583E1A">
        <w:rPr>
          <w:position w:val="6"/>
          <w:sz w:val="16"/>
        </w:rPr>
        <w:t>*</w:t>
      </w:r>
      <w:r w:rsidRPr="00583E1A">
        <w:t>outward investing entity (non</w:t>
      </w:r>
      <w:r w:rsidR="00583E1A">
        <w:noBreakHyphen/>
      </w:r>
      <w:r w:rsidRPr="00583E1A">
        <w:t xml:space="preserve">ADI), or an </w:t>
      </w:r>
      <w:r w:rsidR="00583E1A" w:rsidRPr="00583E1A">
        <w:rPr>
          <w:position w:val="6"/>
          <w:sz w:val="16"/>
        </w:rPr>
        <w:t>*</w:t>
      </w:r>
      <w:r w:rsidRPr="00583E1A">
        <w:t>inward investing entity (non</w:t>
      </w:r>
      <w:r w:rsidR="00583E1A">
        <w:noBreakHyphen/>
      </w:r>
      <w:r w:rsidRPr="00583E1A">
        <w:t xml:space="preserve">ADI), for a period (the </w:t>
      </w:r>
      <w:r w:rsidRPr="00583E1A">
        <w:rPr>
          <w:b/>
          <w:i/>
        </w:rPr>
        <w:t>relevant period</w:t>
      </w:r>
      <w:r w:rsidRPr="00583E1A">
        <w:t>) that is all or a part of an income year.</w:t>
      </w:r>
    </w:p>
    <w:p w:rsidR="00887330" w:rsidRPr="00583E1A" w:rsidRDefault="00887330" w:rsidP="00887330">
      <w:pPr>
        <w:pStyle w:val="subsection"/>
      </w:pPr>
      <w:r w:rsidRPr="00583E1A">
        <w:lastRenderedPageBreak/>
        <w:tab/>
        <w:t>(2)</w:t>
      </w:r>
      <w:r w:rsidRPr="00583E1A">
        <w:tab/>
        <w:t xml:space="preserve">This section also applies, for the relevant entity, to an </w:t>
      </w:r>
      <w:r w:rsidR="00583E1A" w:rsidRPr="00583E1A">
        <w:rPr>
          <w:position w:val="6"/>
          <w:sz w:val="16"/>
        </w:rPr>
        <w:t>*</w:t>
      </w:r>
      <w:r w:rsidRPr="00583E1A">
        <w:t xml:space="preserve">associate entity (a </w:t>
      </w:r>
      <w:r w:rsidRPr="00583E1A">
        <w:rPr>
          <w:b/>
          <w:i/>
        </w:rPr>
        <w:t>relevant associate entity</w:t>
      </w:r>
      <w:r w:rsidRPr="00583E1A">
        <w:t>) of the relevant entity, if:</w:t>
      </w:r>
    </w:p>
    <w:p w:rsidR="00887330" w:rsidRPr="00583E1A" w:rsidRDefault="00887330" w:rsidP="00887330">
      <w:pPr>
        <w:pStyle w:val="paragraph"/>
      </w:pPr>
      <w:r w:rsidRPr="00583E1A">
        <w:tab/>
        <w:t>(</w:t>
      </w:r>
      <w:r w:rsidRPr="00583E1A">
        <w:rPr>
          <w:noProof/>
        </w:rPr>
        <w:t>a</w:t>
      </w:r>
      <w:r w:rsidRPr="00583E1A">
        <w:t>)</w:t>
      </w:r>
      <w:r w:rsidRPr="00583E1A">
        <w:tab/>
        <w:t>either:</w:t>
      </w:r>
    </w:p>
    <w:p w:rsidR="00887330" w:rsidRPr="00583E1A" w:rsidRDefault="00887330" w:rsidP="00887330">
      <w:pPr>
        <w:pStyle w:val="paragraphsub"/>
      </w:pPr>
      <w:r w:rsidRPr="00583E1A">
        <w:tab/>
        <w:t>(i)</w:t>
      </w:r>
      <w:r w:rsidRPr="00583E1A">
        <w:tab/>
        <w:t xml:space="preserve">the associate entity is an </w:t>
      </w:r>
      <w:r w:rsidR="00583E1A" w:rsidRPr="00583E1A">
        <w:rPr>
          <w:position w:val="6"/>
          <w:sz w:val="16"/>
        </w:rPr>
        <w:t>*</w:t>
      </w:r>
      <w:r w:rsidRPr="00583E1A">
        <w:t>outward investing entity (non</w:t>
      </w:r>
      <w:r w:rsidR="00583E1A">
        <w:noBreakHyphen/>
      </w:r>
      <w:r w:rsidRPr="00583E1A">
        <w:t xml:space="preserve">ADI), an </w:t>
      </w:r>
      <w:r w:rsidR="00583E1A" w:rsidRPr="00583E1A">
        <w:rPr>
          <w:position w:val="6"/>
          <w:sz w:val="16"/>
        </w:rPr>
        <w:t>*</w:t>
      </w:r>
      <w:r w:rsidRPr="00583E1A">
        <w:t xml:space="preserve">inward investment vehicle (general), or an </w:t>
      </w:r>
      <w:r w:rsidR="00583E1A" w:rsidRPr="00583E1A">
        <w:rPr>
          <w:position w:val="6"/>
          <w:sz w:val="16"/>
        </w:rPr>
        <w:t>*</w:t>
      </w:r>
      <w:r w:rsidRPr="00583E1A">
        <w:t>inward investment vehicle (financial), for the relevant period; or</w:t>
      </w:r>
    </w:p>
    <w:p w:rsidR="00887330" w:rsidRPr="00583E1A" w:rsidRDefault="00887330" w:rsidP="00887330">
      <w:pPr>
        <w:pStyle w:val="paragraphsub"/>
      </w:pPr>
      <w:r w:rsidRPr="00583E1A">
        <w:tab/>
        <w:t>(ii)</w:t>
      </w:r>
      <w:r w:rsidRPr="00583E1A">
        <w:tab/>
        <w:t xml:space="preserve">the associate entity is an </w:t>
      </w:r>
      <w:r w:rsidR="00583E1A" w:rsidRPr="00583E1A">
        <w:rPr>
          <w:position w:val="6"/>
          <w:sz w:val="16"/>
        </w:rPr>
        <w:t>*</w:t>
      </w:r>
      <w:r w:rsidRPr="00583E1A">
        <w:t xml:space="preserve">inward investor (general) or an </w:t>
      </w:r>
      <w:r w:rsidR="00583E1A" w:rsidRPr="00583E1A">
        <w:rPr>
          <w:position w:val="6"/>
          <w:sz w:val="16"/>
        </w:rPr>
        <w:t>*</w:t>
      </w:r>
      <w:r w:rsidRPr="00583E1A">
        <w:t xml:space="preserve">inward investor (financial) for the relevant period, and the condition in </w:t>
      </w:r>
      <w:r w:rsidR="00583E1A">
        <w:t>subsection (</w:t>
      </w:r>
      <w:r w:rsidRPr="00583E1A">
        <w:t>2A) of this section is satisfied; and</w:t>
      </w:r>
    </w:p>
    <w:p w:rsidR="00887330" w:rsidRPr="00583E1A" w:rsidRDefault="00887330" w:rsidP="00887330">
      <w:pPr>
        <w:pStyle w:val="paragraph"/>
      </w:pPr>
      <w:r w:rsidRPr="00583E1A">
        <w:tab/>
        <w:t>(</w:t>
      </w:r>
      <w:r w:rsidRPr="00583E1A">
        <w:rPr>
          <w:noProof/>
        </w:rPr>
        <w:t>b</w:t>
      </w:r>
      <w:r w:rsidRPr="00583E1A">
        <w:t>)</w:t>
      </w:r>
      <w:r w:rsidRPr="00583E1A">
        <w:tab/>
        <w:t>neither section</w:t>
      </w:r>
      <w:r w:rsidR="00583E1A">
        <w:t> </w:t>
      </w:r>
      <w:r w:rsidRPr="00583E1A">
        <w:t>820</w:t>
      </w:r>
      <w:r w:rsidR="00583E1A">
        <w:noBreakHyphen/>
      </w:r>
      <w:r w:rsidRPr="00583E1A">
        <w:t>35 ($250,000 debt deductions threshold) nor section</w:t>
      </w:r>
      <w:r w:rsidR="00583E1A">
        <w:t> </w:t>
      </w:r>
      <w:r w:rsidRPr="00583E1A">
        <w:t>820</w:t>
      </w:r>
      <w:r w:rsidR="00583E1A">
        <w:noBreakHyphen/>
      </w:r>
      <w:r w:rsidRPr="00583E1A">
        <w:t>37 (exemption for entity with 90% Australian assets) prevents Subdivision</w:t>
      </w:r>
      <w:r w:rsidR="00583E1A">
        <w:t> </w:t>
      </w:r>
      <w:r w:rsidRPr="00583E1A">
        <w:t>820</w:t>
      </w:r>
      <w:r w:rsidR="00583E1A">
        <w:noBreakHyphen/>
      </w:r>
      <w:r w:rsidRPr="00583E1A">
        <w:t>B, 820</w:t>
      </w:r>
      <w:r w:rsidR="00583E1A">
        <w:noBreakHyphen/>
      </w:r>
      <w:r w:rsidRPr="00583E1A">
        <w:t>C, 820</w:t>
      </w:r>
      <w:r w:rsidR="00583E1A">
        <w:noBreakHyphen/>
      </w:r>
      <w:r w:rsidRPr="00583E1A">
        <w:t>D or 820</w:t>
      </w:r>
      <w:r w:rsidR="00583E1A">
        <w:noBreakHyphen/>
      </w:r>
      <w:r w:rsidRPr="00583E1A">
        <w:t xml:space="preserve">E from disallowing any </w:t>
      </w:r>
      <w:r w:rsidR="00583E1A" w:rsidRPr="00583E1A">
        <w:rPr>
          <w:position w:val="6"/>
          <w:sz w:val="16"/>
        </w:rPr>
        <w:t>*</w:t>
      </w:r>
      <w:r w:rsidRPr="00583E1A">
        <w:t>debt deduction of the relevant associate entity for the income year; and</w:t>
      </w:r>
    </w:p>
    <w:p w:rsidR="00887330" w:rsidRPr="00583E1A" w:rsidRDefault="00887330" w:rsidP="00887330">
      <w:pPr>
        <w:pStyle w:val="paragraph"/>
      </w:pPr>
      <w:r w:rsidRPr="00583E1A">
        <w:tab/>
        <w:t>(</w:t>
      </w:r>
      <w:r w:rsidRPr="00583E1A">
        <w:rPr>
          <w:noProof/>
        </w:rPr>
        <w:t>c</w:t>
      </w:r>
      <w:r w:rsidRPr="00583E1A">
        <w:t>)</w:t>
      </w:r>
      <w:r w:rsidRPr="00583E1A">
        <w:tab/>
        <w:t xml:space="preserve">for some or all of the relevant period, the relevant associate entity does </w:t>
      </w:r>
      <w:r w:rsidRPr="00583E1A">
        <w:rPr>
          <w:i/>
        </w:rPr>
        <w:t>not</w:t>
      </w:r>
      <w:r w:rsidRPr="00583E1A">
        <w:t xml:space="preserve"> meet the conditions in subsection 820</w:t>
      </w:r>
      <w:r w:rsidR="00583E1A">
        <w:noBreakHyphen/>
      </w:r>
      <w:r w:rsidRPr="00583E1A">
        <w:t>39(3) (about exemption of certain special purpose entities); and</w:t>
      </w:r>
    </w:p>
    <w:p w:rsidR="00887330" w:rsidRPr="00583E1A" w:rsidRDefault="00887330" w:rsidP="00887330">
      <w:pPr>
        <w:pStyle w:val="paragraph"/>
      </w:pPr>
      <w:r w:rsidRPr="00583E1A">
        <w:tab/>
        <w:t>(</w:t>
      </w:r>
      <w:r w:rsidRPr="00583E1A">
        <w:rPr>
          <w:noProof/>
        </w:rPr>
        <w:t>d</w:t>
      </w:r>
      <w:r w:rsidRPr="00583E1A">
        <w:t>)</w:t>
      </w:r>
      <w:r w:rsidRPr="00583E1A">
        <w:tab/>
        <w:t xml:space="preserve">the relevant associate entity is not an </w:t>
      </w:r>
      <w:r w:rsidR="00583E1A" w:rsidRPr="00583E1A">
        <w:rPr>
          <w:position w:val="6"/>
          <w:sz w:val="16"/>
        </w:rPr>
        <w:t>*</w:t>
      </w:r>
      <w:r w:rsidRPr="00583E1A">
        <w:t>exempt entity for the income year.</w:t>
      </w:r>
    </w:p>
    <w:p w:rsidR="00887330" w:rsidRPr="00583E1A" w:rsidRDefault="00887330" w:rsidP="00887330">
      <w:pPr>
        <w:pStyle w:val="subsection"/>
      </w:pPr>
      <w:r w:rsidRPr="00583E1A">
        <w:tab/>
        <w:t>(2A)</w:t>
      </w:r>
      <w:r w:rsidRPr="00583E1A">
        <w:tab/>
        <w:t xml:space="preserve">The condition referred to in </w:t>
      </w:r>
      <w:r w:rsidR="00583E1A">
        <w:t>subparagraph (</w:t>
      </w:r>
      <w:r w:rsidRPr="00583E1A">
        <w:t>2)(a)(ii) is that the relevant period consists of one or more periods each of which is either or both of these:</w:t>
      </w:r>
    </w:p>
    <w:p w:rsidR="00887330" w:rsidRPr="00583E1A" w:rsidRDefault="00887330" w:rsidP="00887330">
      <w:pPr>
        <w:pStyle w:val="paragraph"/>
      </w:pPr>
      <w:r w:rsidRPr="00583E1A">
        <w:tab/>
        <w:t>(</w:t>
      </w:r>
      <w:r w:rsidRPr="00583E1A">
        <w:rPr>
          <w:noProof/>
        </w:rPr>
        <w:t>a</w:t>
      </w:r>
      <w:r w:rsidRPr="00583E1A">
        <w:t>)</w:t>
      </w:r>
      <w:r w:rsidRPr="00583E1A">
        <w:tab/>
        <w:t xml:space="preserve">a period throughout which the </w:t>
      </w:r>
      <w:r w:rsidR="00583E1A" w:rsidRPr="00583E1A">
        <w:rPr>
          <w:position w:val="6"/>
          <w:sz w:val="16"/>
        </w:rPr>
        <w:t>*</w:t>
      </w:r>
      <w:r w:rsidRPr="00583E1A">
        <w:t xml:space="preserve">associate entity carries on its </w:t>
      </w:r>
      <w:r w:rsidR="00583E1A" w:rsidRPr="00583E1A">
        <w:rPr>
          <w:position w:val="6"/>
          <w:sz w:val="16"/>
        </w:rPr>
        <w:t>*</w:t>
      </w:r>
      <w:r w:rsidRPr="00583E1A">
        <w:t xml:space="preserve">business in </w:t>
      </w:r>
      <w:smartTag w:uri="urn:schemas-microsoft-com:office:smarttags" w:element="country-region">
        <w:smartTag w:uri="urn:schemas-microsoft-com:office:smarttags" w:element="place">
          <w:r w:rsidRPr="00583E1A">
            <w:t>Australia</w:t>
          </w:r>
        </w:smartTag>
      </w:smartTag>
      <w:r w:rsidRPr="00583E1A">
        <w:t xml:space="preserve"> at or through one or more of its </w:t>
      </w:r>
      <w:r w:rsidR="00583E1A" w:rsidRPr="00583E1A">
        <w:rPr>
          <w:position w:val="6"/>
          <w:sz w:val="16"/>
        </w:rPr>
        <w:t>*</w:t>
      </w:r>
      <w:r w:rsidRPr="00583E1A">
        <w:t>Australian permanent establishments;</w:t>
      </w:r>
    </w:p>
    <w:p w:rsidR="00887330" w:rsidRPr="00583E1A" w:rsidRDefault="00887330" w:rsidP="00887330">
      <w:pPr>
        <w:pStyle w:val="paragraph"/>
      </w:pPr>
      <w:r w:rsidRPr="00583E1A">
        <w:tab/>
        <w:t>(</w:t>
      </w:r>
      <w:r w:rsidRPr="00583E1A">
        <w:rPr>
          <w:noProof/>
        </w:rPr>
        <w:t>b</w:t>
      </w:r>
      <w:r w:rsidRPr="00583E1A">
        <w:t>)</w:t>
      </w:r>
      <w:r w:rsidRPr="00583E1A">
        <w:tab/>
        <w:t>a period throughout which the associate entity holds any of the following assets:</w:t>
      </w:r>
    </w:p>
    <w:p w:rsidR="00887330" w:rsidRPr="00583E1A" w:rsidRDefault="00887330" w:rsidP="00887330">
      <w:pPr>
        <w:pStyle w:val="paragraphsub"/>
      </w:pPr>
      <w:r w:rsidRPr="00583E1A">
        <w:tab/>
        <w:t>(i)</w:t>
      </w:r>
      <w:r w:rsidRPr="00583E1A">
        <w:tab/>
        <w:t>assets that are attributable to the associate entity’s Australian permanent establishments;</w:t>
      </w:r>
    </w:p>
    <w:p w:rsidR="00887330" w:rsidRPr="00583E1A" w:rsidRDefault="00887330" w:rsidP="00887330">
      <w:pPr>
        <w:pStyle w:val="paragraphsub"/>
      </w:pPr>
      <w:r w:rsidRPr="00583E1A">
        <w:tab/>
        <w:t>(ii)</w:t>
      </w:r>
      <w:r w:rsidRPr="00583E1A">
        <w:tab/>
        <w:t>other assets that are held for the purposes of producing the associate entity’s assessable income.</w:t>
      </w:r>
    </w:p>
    <w:p w:rsidR="00887330" w:rsidRPr="00583E1A" w:rsidRDefault="00887330" w:rsidP="00887330">
      <w:pPr>
        <w:pStyle w:val="subsection"/>
      </w:pPr>
      <w:r w:rsidRPr="00583E1A">
        <w:tab/>
        <w:t>(3)</w:t>
      </w:r>
      <w:r w:rsidRPr="00583E1A">
        <w:tab/>
        <w:t xml:space="preserve">The relevant entity’s </w:t>
      </w:r>
      <w:r w:rsidRPr="00583E1A">
        <w:rPr>
          <w:b/>
          <w:i/>
        </w:rPr>
        <w:t>associate entity debt</w:t>
      </w:r>
      <w:r w:rsidRPr="00583E1A">
        <w:t xml:space="preserve"> at a particular time during the relevant period is the total value of all the </w:t>
      </w:r>
      <w:r w:rsidR="00583E1A" w:rsidRPr="00583E1A">
        <w:rPr>
          <w:position w:val="6"/>
          <w:sz w:val="16"/>
        </w:rPr>
        <w:t>*</w:t>
      </w:r>
      <w:r w:rsidRPr="00583E1A">
        <w:t>debt interests held by the relevant entity at that time that satisfy all of the following:</w:t>
      </w:r>
    </w:p>
    <w:p w:rsidR="00887330" w:rsidRPr="00583E1A" w:rsidRDefault="00887330" w:rsidP="00887330">
      <w:pPr>
        <w:pStyle w:val="paragraph"/>
      </w:pPr>
      <w:r w:rsidRPr="00583E1A">
        <w:lastRenderedPageBreak/>
        <w:tab/>
        <w:t>(a)</w:t>
      </w:r>
      <w:r w:rsidRPr="00583E1A">
        <w:tab/>
        <w:t xml:space="preserve">the interests are </w:t>
      </w:r>
      <w:r w:rsidR="00583E1A" w:rsidRPr="00583E1A">
        <w:rPr>
          <w:position w:val="6"/>
          <w:sz w:val="16"/>
        </w:rPr>
        <w:t>*</w:t>
      </w:r>
      <w:r w:rsidRPr="00583E1A">
        <w:t>on issue at that time;</w:t>
      </w:r>
    </w:p>
    <w:p w:rsidR="00887330" w:rsidRPr="00583E1A" w:rsidRDefault="00887330" w:rsidP="00887330">
      <w:pPr>
        <w:pStyle w:val="paragraph"/>
      </w:pPr>
      <w:r w:rsidRPr="00583E1A">
        <w:tab/>
        <w:t>(b)</w:t>
      </w:r>
      <w:r w:rsidRPr="00583E1A">
        <w:tab/>
        <w:t xml:space="preserve">each of the interests was </w:t>
      </w:r>
      <w:r w:rsidR="00583E1A" w:rsidRPr="00583E1A">
        <w:rPr>
          <w:position w:val="6"/>
          <w:sz w:val="16"/>
        </w:rPr>
        <w:t>*</w:t>
      </w:r>
      <w:r w:rsidRPr="00583E1A">
        <w:t>issued by a relevant associate entity;</w:t>
      </w:r>
    </w:p>
    <w:p w:rsidR="00887330" w:rsidRPr="00583E1A" w:rsidRDefault="00887330" w:rsidP="00887330">
      <w:pPr>
        <w:pStyle w:val="paragraph"/>
      </w:pPr>
      <w:r w:rsidRPr="00583E1A">
        <w:tab/>
        <w:t>(c)</w:t>
      </w:r>
      <w:r w:rsidRPr="00583E1A">
        <w:tab/>
        <w:t>each of the interests gives rise to costs:</w:t>
      </w:r>
    </w:p>
    <w:p w:rsidR="00887330" w:rsidRPr="00583E1A" w:rsidRDefault="00887330" w:rsidP="00887330">
      <w:pPr>
        <w:pStyle w:val="paragraphsub"/>
      </w:pPr>
      <w:r w:rsidRPr="00583E1A">
        <w:tab/>
        <w:t>(i)</w:t>
      </w:r>
      <w:r w:rsidRPr="00583E1A">
        <w:tab/>
        <w:t xml:space="preserve">that are </w:t>
      </w:r>
      <w:r w:rsidR="00583E1A" w:rsidRPr="00583E1A">
        <w:rPr>
          <w:position w:val="6"/>
          <w:sz w:val="16"/>
        </w:rPr>
        <w:t>*</w:t>
      </w:r>
      <w:r w:rsidRPr="00583E1A">
        <w:t>debt deductions, for an income year, of the relevant associate entity that issued the interest; and</w:t>
      </w:r>
    </w:p>
    <w:p w:rsidR="00887330" w:rsidRPr="00583E1A" w:rsidRDefault="00887330" w:rsidP="00887330">
      <w:pPr>
        <w:pStyle w:val="paragraphsub"/>
      </w:pPr>
      <w:r w:rsidRPr="00583E1A">
        <w:tab/>
        <w:t>(ii)</w:t>
      </w:r>
      <w:r w:rsidRPr="00583E1A">
        <w:tab/>
        <w:t>to the extent that the costs are not amounts mentioned in paragraph 820</w:t>
      </w:r>
      <w:r w:rsidR="00583E1A">
        <w:noBreakHyphen/>
      </w:r>
      <w:r w:rsidRPr="00583E1A">
        <w:t>40(2)(c) and are costs ordinarily payable to an entity other than the relevant entity—that are assessable income of the relevant entity for an income year;</w:t>
      </w:r>
    </w:p>
    <w:p w:rsidR="00887330" w:rsidRPr="00583E1A" w:rsidRDefault="00887330" w:rsidP="00887330">
      <w:pPr>
        <w:pStyle w:val="paragraph"/>
      </w:pPr>
      <w:r w:rsidRPr="00583E1A">
        <w:tab/>
        <w:t>(d)</w:t>
      </w:r>
      <w:r w:rsidRPr="00583E1A">
        <w:tab/>
        <w:t>the terms and conditions for each of the interests are those that would apply if the relevant entity and the relevant associate entity that issued the interest were dealing at arm’s length with each other.</w:t>
      </w:r>
    </w:p>
    <w:p w:rsidR="00887330" w:rsidRPr="00583E1A" w:rsidRDefault="00887330" w:rsidP="00887330">
      <w:pPr>
        <w:pStyle w:val="subsection"/>
      </w:pPr>
      <w:r w:rsidRPr="00583E1A">
        <w:tab/>
        <w:t>(4)</w:t>
      </w:r>
      <w:r w:rsidRPr="00583E1A">
        <w:tab/>
        <w:t xml:space="preserve">For the purposes of </w:t>
      </w:r>
      <w:r w:rsidR="00583E1A">
        <w:t>subsection (</w:t>
      </w:r>
      <w:r w:rsidRPr="00583E1A">
        <w:t xml:space="preserve">3), take into account the value of a </w:t>
      </w:r>
      <w:r w:rsidR="00583E1A" w:rsidRPr="00583E1A">
        <w:rPr>
          <w:position w:val="6"/>
          <w:sz w:val="16"/>
        </w:rPr>
        <w:t>*</w:t>
      </w:r>
      <w:r w:rsidRPr="00583E1A">
        <w:t xml:space="preserve">debt interest issued by a </w:t>
      </w:r>
      <w:r w:rsidR="00583E1A" w:rsidRPr="00583E1A">
        <w:rPr>
          <w:position w:val="6"/>
          <w:sz w:val="16"/>
        </w:rPr>
        <w:t>*</w:t>
      </w:r>
      <w:r w:rsidRPr="00583E1A">
        <w:t>foreign entity only to the extent that the interest is attributable to any of the following assets that are held by the foreign entity throughout the relevant period:</w:t>
      </w:r>
    </w:p>
    <w:p w:rsidR="00887330" w:rsidRPr="00583E1A" w:rsidRDefault="00887330" w:rsidP="00887330">
      <w:pPr>
        <w:pStyle w:val="paragraph"/>
      </w:pPr>
      <w:r w:rsidRPr="00583E1A">
        <w:tab/>
        <w:t>(a)</w:t>
      </w:r>
      <w:r w:rsidRPr="00583E1A">
        <w:tab/>
        <w:t xml:space="preserve">assets that are attributable to the foreign entity’s </w:t>
      </w:r>
      <w:r w:rsidR="00583E1A" w:rsidRPr="00583E1A">
        <w:rPr>
          <w:position w:val="6"/>
          <w:sz w:val="16"/>
        </w:rPr>
        <w:t>*</w:t>
      </w:r>
      <w:r w:rsidRPr="00583E1A">
        <w:t>Australian permanent establishments;</w:t>
      </w:r>
    </w:p>
    <w:p w:rsidR="00887330" w:rsidRPr="00583E1A" w:rsidRDefault="00887330" w:rsidP="00887330">
      <w:pPr>
        <w:pStyle w:val="paragraph"/>
      </w:pPr>
      <w:r w:rsidRPr="00583E1A">
        <w:tab/>
        <w:t>(b)</w:t>
      </w:r>
      <w:r w:rsidRPr="00583E1A">
        <w:tab/>
        <w:t>other assets held by the foreign entity for the purposes of producing the foreign entity’s assessable income.</w:t>
      </w:r>
    </w:p>
    <w:p w:rsidR="00887330" w:rsidRPr="00583E1A" w:rsidRDefault="00887330" w:rsidP="00887330">
      <w:pPr>
        <w:pStyle w:val="ActHead5"/>
      </w:pPr>
      <w:bookmarkStart w:id="312" w:name="_Toc338939386"/>
      <w:r w:rsidRPr="00583E1A">
        <w:rPr>
          <w:rStyle w:val="CharSectno"/>
        </w:rPr>
        <w:t>820</w:t>
      </w:r>
      <w:r w:rsidR="00583E1A">
        <w:rPr>
          <w:rStyle w:val="CharSectno"/>
        </w:rPr>
        <w:noBreakHyphen/>
      </w:r>
      <w:r w:rsidRPr="00583E1A">
        <w:rPr>
          <w:rStyle w:val="CharSectno"/>
        </w:rPr>
        <w:t>915</w:t>
      </w:r>
      <w:r w:rsidRPr="00583E1A">
        <w:t xml:space="preserve">  Associate entity equity</w:t>
      </w:r>
      <w:bookmarkEnd w:id="312"/>
    </w:p>
    <w:p w:rsidR="00887330" w:rsidRPr="00583E1A" w:rsidRDefault="00887330" w:rsidP="00887330">
      <w:pPr>
        <w:pStyle w:val="subsection"/>
      </w:pPr>
      <w:r w:rsidRPr="00583E1A">
        <w:tab/>
        <w:t>(1)</w:t>
      </w:r>
      <w:r w:rsidRPr="00583E1A">
        <w:tab/>
        <w:t xml:space="preserve">This section applies to an entity (the </w:t>
      </w:r>
      <w:r w:rsidRPr="00583E1A">
        <w:rPr>
          <w:b/>
          <w:i/>
        </w:rPr>
        <w:t>relevant entity</w:t>
      </w:r>
      <w:r w:rsidRPr="00583E1A">
        <w:t xml:space="preserve">) that is an </w:t>
      </w:r>
      <w:r w:rsidR="00583E1A" w:rsidRPr="00583E1A">
        <w:rPr>
          <w:position w:val="6"/>
          <w:sz w:val="16"/>
        </w:rPr>
        <w:t>*</w:t>
      </w:r>
      <w:r w:rsidRPr="00583E1A">
        <w:t>outward investing entity (non</w:t>
      </w:r>
      <w:r w:rsidR="00583E1A">
        <w:noBreakHyphen/>
      </w:r>
      <w:r w:rsidRPr="00583E1A">
        <w:t xml:space="preserve">ADI) or an </w:t>
      </w:r>
      <w:r w:rsidR="00583E1A" w:rsidRPr="00583E1A">
        <w:rPr>
          <w:position w:val="6"/>
          <w:sz w:val="16"/>
        </w:rPr>
        <w:t>*</w:t>
      </w:r>
      <w:r w:rsidRPr="00583E1A">
        <w:t>inward investing entity (non</w:t>
      </w:r>
      <w:r w:rsidR="00583E1A">
        <w:noBreakHyphen/>
      </w:r>
      <w:r w:rsidRPr="00583E1A">
        <w:t xml:space="preserve">ADI) for a period (the </w:t>
      </w:r>
      <w:r w:rsidRPr="00583E1A">
        <w:rPr>
          <w:b/>
          <w:i/>
        </w:rPr>
        <w:t>relevant period</w:t>
      </w:r>
      <w:r w:rsidRPr="00583E1A">
        <w:t>) that is all or a part of an income year.</w:t>
      </w:r>
    </w:p>
    <w:p w:rsidR="00887330" w:rsidRPr="00583E1A" w:rsidRDefault="00887330" w:rsidP="00887330">
      <w:pPr>
        <w:pStyle w:val="subsection"/>
      </w:pPr>
      <w:r w:rsidRPr="00583E1A">
        <w:tab/>
        <w:t>(2)</w:t>
      </w:r>
      <w:r w:rsidRPr="00583E1A">
        <w:tab/>
        <w:t>This section also applies, for the relevant entity, to each entity (</w:t>
      </w:r>
      <w:r w:rsidRPr="00583E1A">
        <w:rPr>
          <w:b/>
          <w:i/>
        </w:rPr>
        <w:t>relevant associate entity</w:t>
      </w:r>
      <w:r w:rsidRPr="00583E1A">
        <w:t xml:space="preserve">) that is an </w:t>
      </w:r>
      <w:r w:rsidR="00583E1A" w:rsidRPr="00583E1A">
        <w:rPr>
          <w:position w:val="6"/>
          <w:sz w:val="16"/>
        </w:rPr>
        <w:t>*</w:t>
      </w:r>
      <w:r w:rsidRPr="00583E1A">
        <w:t>associate entity of the relevant entity and that is:</w:t>
      </w:r>
    </w:p>
    <w:p w:rsidR="00887330" w:rsidRPr="00583E1A" w:rsidRDefault="00887330" w:rsidP="00887330">
      <w:pPr>
        <w:pStyle w:val="paragraph"/>
      </w:pPr>
      <w:r w:rsidRPr="00583E1A">
        <w:tab/>
        <w:t>(a)</w:t>
      </w:r>
      <w:r w:rsidRPr="00583E1A">
        <w:tab/>
        <w:t xml:space="preserve">an </w:t>
      </w:r>
      <w:r w:rsidR="00583E1A" w:rsidRPr="00583E1A">
        <w:rPr>
          <w:position w:val="6"/>
          <w:sz w:val="16"/>
        </w:rPr>
        <w:t>*</w:t>
      </w:r>
      <w:r w:rsidRPr="00583E1A">
        <w:t>Australian entity; or</w:t>
      </w:r>
    </w:p>
    <w:p w:rsidR="00887330" w:rsidRPr="00583E1A" w:rsidRDefault="00887330" w:rsidP="00887330">
      <w:pPr>
        <w:pStyle w:val="paragraph"/>
      </w:pPr>
      <w:r w:rsidRPr="00583E1A">
        <w:tab/>
        <w:t>(b)</w:t>
      </w:r>
      <w:r w:rsidRPr="00583E1A">
        <w:tab/>
        <w:t xml:space="preserve">a </w:t>
      </w:r>
      <w:r w:rsidR="00583E1A" w:rsidRPr="00583E1A">
        <w:rPr>
          <w:position w:val="6"/>
          <w:sz w:val="16"/>
        </w:rPr>
        <w:t>*</w:t>
      </w:r>
      <w:r w:rsidRPr="00583E1A">
        <w:t>foreign entity that, throughout the relevant period, holds any of the following assets:</w:t>
      </w:r>
    </w:p>
    <w:p w:rsidR="00887330" w:rsidRPr="00583E1A" w:rsidRDefault="00887330" w:rsidP="00887330">
      <w:pPr>
        <w:pStyle w:val="paragraphsub"/>
      </w:pPr>
      <w:r w:rsidRPr="00583E1A">
        <w:lastRenderedPageBreak/>
        <w:tab/>
        <w:t>(i)</w:t>
      </w:r>
      <w:r w:rsidRPr="00583E1A">
        <w:tab/>
        <w:t xml:space="preserve">assets that are attributable to the foreign entity’s </w:t>
      </w:r>
      <w:r w:rsidR="00583E1A" w:rsidRPr="00583E1A">
        <w:rPr>
          <w:position w:val="6"/>
          <w:sz w:val="16"/>
        </w:rPr>
        <w:t>*</w:t>
      </w:r>
      <w:r w:rsidRPr="00583E1A">
        <w:t>Australian permanent establishments;</w:t>
      </w:r>
    </w:p>
    <w:p w:rsidR="00887330" w:rsidRPr="00583E1A" w:rsidRDefault="00887330" w:rsidP="00887330">
      <w:pPr>
        <w:pStyle w:val="paragraphsub"/>
      </w:pPr>
      <w:r w:rsidRPr="00583E1A">
        <w:tab/>
        <w:t>(ii)</w:t>
      </w:r>
      <w:r w:rsidRPr="00583E1A">
        <w:tab/>
        <w:t>other assets that are held for the purposes of producing the foreign entity’s assessable income.</w:t>
      </w:r>
    </w:p>
    <w:p w:rsidR="00887330" w:rsidRPr="00583E1A" w:rsidRDefault="00887330" w:rsidP="00887330">
      <w:pPr>
        <w:pStyle w:val="subsection"/>
      </w:pPr>
      <w:r w:rsidRPr="00583E1A">
        <w:rPr>
          <w:b/>
          <w:i/>
        </w:rPr>
        <w:tab/>
      </w:r>
      <w:r w:rsidRPr="00583E1A">
        <w:t>(3)</w:t>
      </w:r>
      <w:r w:rsidRPr="00583E1A">
        <w:rPr>
          <w:b/>
          <w:i/>
        </w:rPr>
        <w:tab/>
      </w:r>
      <w:r w:rsidRPr="00583E1A">
        <w:t xml:space="preserve">The relevant entity’s </w:t>
      </w:r>
      <w:r w:rsidRPr="00583E1A">
        <w:rPr>
          <w:b/>
          <w:i/>
        </w:rPr>
        <w:t>associate entity equity</w:t>
      </w:r>
      <w:r w:rsidRPr="00583E1A">
        <w:t xml:space="preserve"> at a particular time during the relevant period is the total value of:</w:t>
      </w:r>
    </w:p>
    <w:p w:rsidR="00887330" w:rsidRPr="00583E1A" w:rsidRDefault="00887330" w:rsidP="00887330">
      <w:pPr>
        <w:pStyle w:val="paragraph"/>
      </w:pPr>
      <w:r w:rsidRPr="00583E1A">
        <w:tab/>
        <w:t>(a)</w:t>
      </w:r>
      <w:r w:rsidRPr="00583E1A">
        <w:tab/>
        <w:t xml:space="preserve">all the </w:t>
      </w:r>
      <w:r w:rsidR="00583E1A" w:rsidRPr="00583E1A">
        <w:rPr>
          <w:position w:val="6"/>
          <w:sz w:val="16"/>
        </w:rPr>
        <w:t>*</w:t>
      </w:r>
      <w:r w:rsidRPr="00583E1A">
        <w:t>equity interests that the entity holds, at that time, in relevant associate entities; and</w:t>
      </w:r>
    </w:p>
    <w:p w:rsidR="00887330" w:rsidRPr="00583E1A" w:rsidRDefault="00887330" w:rsidP="00887330">
      <w:pPr>
        <w:pStyle w:val="paragraph"/>
      </w:pPr>
      <w:r w:rsidRPr="00583E1A">
        <w:rPr>
          <w:i/>
        </w:rPr>
        <w:tab/>
      </w:r>
      <w:r w:rsidRPr="00583E1A">
        <w:t>(b)</w:t>
      </w:r>
      <w:r w:rsidRPr="00583E1A">
        <w:tab/>
        <w:t xml:space="preserve">all the </w:t>
      </w:r>
      <w:r w:rsidR="00583E1A" w:rsidRPr="00583E1A">
        <w:rPr>
          <w:position w:val="6"/>
          <w:sz w:val="16"/>
        </w:rPr>
        <w:t>*</w:t>
      </w:r>
      <w:r w:rsidRPr="00583E1A">
        <w:t xml:space="preserve">debt interests </w:t>
      </w:r>
      <w:r w:rsidR="00583E1A" w:rsidRPr="00583E1A">
        <w:rPr>
          <w:position w:val="6"/>
          <w:sz w:val="16"/>
        </w:rPr>
        <w:t>*</w:t>
      </w:r>
      <w:r w:rsidRPr="00583E1A">
        <w:t>on issue and held by the relevant entity at that time that satisfy all of the following:</w:t>
      </w:r>
    </w:p>
    <w:p w:rsidR="00887330" w:rsidRPr="00583E1A" w:rsidRDefault="00887330" w:rsidP="00887330">
      <w:pPr>
        <w:pStyle w:val="paragraphsub"/>
      </w:pPr>
      <w:r w:rsidRPr="00583E1A">
        <w:tab/>
        <w:t>(i)</w:t>
      </w:r>
      <w:r w:rsidRPr="00583E1A">
        <w:tab/>
        <w:t xml:space="preserve">the interests were </w:t>
      </w:r>
      <w:r w:rsidR="00583E1A" w:rsidRPr="00583E1A">
        <w:rPr>
          <w:position w:val="6"/>
          <w:sz w:val="16"/>
        </w:rPr>
        <w:t>*</w:t>
      </w:r>
      <w:r w:rsidRPr="00583E1A">
        <w:t>issued by relevant associate entities;</w:t>
      </w:r>
    </w:p>
    <w:p w:rsidR="00887330" w:rsidRPr="00583E1A" w:rsidRDefault="00887330" w:rsidP="00887330">
      <w:pPr>
        <w:pStyle w:val="paragraphsub"/>
      </w:pPr>
      <w:r w:rsidRPr="00583E1A">
        <w:tab/>
        <w:t>(ii)</w:t>
      </w:r>
      <w:r w:rsidRPr="00583E1A">
        <w:tab/>
        <w:t xml:space="preserve">neither the value of each of the interests, nor any part of that value, is all or a part of any </w:t>
      </w:r>
      <w:r w:rsidR="00583E1A" w:rsidRPr="00583E1A">
        <w:rPr>
          <w:position w:val="6"/>
          <w:sz w:val="16"/>
        </w:rPr>
        <w:t>*</w:t>
      </w:r>
      <w:r w:rsidRPr="00583E1A">
        <w:t>cost</w:t>
      </w:r>
      <w:r w:rsidR="00583E1A">
        <w:noBreakHyphen/>
      </w:r>
      <w:r w:rsidRPr="00583E1A">
        <w:t>free debt capital of the issuer of the interest at that time;</w:t>
      </w:r>
    </w:p>
    <w:p w:rsidR="00887330" w:rsidRPr="00583E1A" w:rsidRDefault="00887330" w:rsidP="00887330">
      <w:pPr>
        <w:pStyle w:val="paragraphsub"/>
      </w:pPr>
      <w:r w:rsidRPr="00583E1A">
        <w:tab/>
        <w:t>(iii)</w:t>
      </w:r>
      <w:r w:rsidRPr="00583E1A">
        <w:tab/>
        <w:t>none of the interests gives rise to any cost, at any time, that is covered by paragraph 820</w:t>
      </w:r>
      <w:r w:rsidR="00583E1A">
        <w:noBreakHyphen/>
      </w:r>
      <w:r w:rsidRPr="00583E1A">
        <w:t>40(1)(a); and</w:t>
      </w:r>
    </w:p>
    <w:p w:rsidR="00887330" w:rsidRPr="00583E1A" w:rsidRDefault="00887330" w:rsidP="00887330">
      <w:pPr>
        <w:pStyle w:val="paragraph"/>
      </w:pPr>
      <w:r w:rsidRPr="00583E1A">
        <w:rPr>
          <w:i/>
        </w:rPr>
        <w:tab/>
      </w:r>
      <w:r w:rsidRPr="00583E1A">
        <w:t>(c)</w:t>
      </w:r>
      <w:r w:rsidRPr="00583E1A">
        <w:tab/>
        <w:t>all the debt interests on issue and held by the relevant entity at that time that satisfy both of the following:</w:t>
      </w:r>
    </w:p>
    <w:p w:rsidR="00887330" w:rsidRPr="00583E1A" w:rsidRDefault="00887330" w:rsidP="00887330">
      <w:pPr>
        <w:pStyle w:val="paragraphsub"/>
      </w:pPr>
      <w:r w:rsidRPr="00583E1A">
        <w:tab/>
        <w:t>(i)</w:t>
      </w:r>
      <w:r w:rsidRPr="00583E1A">
        <w:tab/>
        <w:t>the interests were issued by relevant associate entities;</w:t>
      </w:r>
    </w:p>
    <w:p w:rsidR="00887330" w:rsidRPr="00583E1A" w:rsidRDefault="00887330" w:rsidP="00887330">
      <w:pPr>
        <w:pStyle w:val="paragraphsub"/>
      </w:pPr>
      <w:r w:rsidRPr="00583E1A">
        <w:tab/>
        <w:t>(ii)</w:t>
      </w:r>
      <w:r w:rsidRPr="00583E1A">
        <w:tab/>
        <w:t>each of the interests gives rise to a cost, at any time, that is covered by paragraph 820</w:t>
      </w:r>
      <w:r w:rsidR="00583E1A">
        <w:noBreakHyphen/>
      </w:r>
      <w:r w:rsidRPr="00583E1A">
        <w:t>40(1)(a), but the cost is not deductible from the assessable income of the issuer of the interest for any income year.</w:t>
      </w:r>
    </w:p>
    <w:p w:rsidR="00887330" w:rsidRPr="00583E1A" w:rsidRDefault="00887330" w:rsidP="00887330">
      <w:pPr>
        <w:pStyle w:val="subsection"/>
      </w:pPr>
      <w:r w:rsidRPr="00583E1A">
        <w:tab/>
        <w:t>(4)</w:t>
      </w:r>
      <w:r w:rsidRPr="00583E1A">
        <w:tab/>
        <w:t xml:space="preserve">For the purposes of </w:t>
      </w:r>
      <w:r w:rsidR="00583E1A">
        <w:t>subsection (</w:t>
      </w:r>
      <w:r w:rsidRPr="00583E1A">
        <w:t xml:space="preserve">3), take into account the value of an </w:t>
      </w:r>
      <w:r w:rsidR="00583E1A" w:rsidRPr="00583E1A">
        <w:rPr>
          <w:position w:val="6"/>
          <w:sz w:val="16"/>
        </w:rPr>
        <w:t>*</w:t>
      </w:r>
      <w:r w:rsidRPr="00583E1A">
        <w:t xml:space="preserve">equity interest in, or a </w:t>
      </w:r>
      <w:r w:rsidR="00583E1A" w:rsidRPr="00583E1A">
        <w:rPr>
          <w:position w:val="6"/>
          <w:sz w:val="16"/>
        </w:rPr>
        <w:t>*</w:t>
      </w:r>
      <w:r w:rsidRPr="00583E1A">
        <w:t xml:space="preserve">debt interest issued by, a </w:t>
      </w:r>
      <w:r w:rsidR="00583E1A" w:rsidRPr="00583E1A">
        <w:rPr>
          <w:position w:val="6"/>
          <w:sz w:val="16"/>
        </w:rPr>
        <w:t>*</w:t>
      </w:r>
      <w:r w:rsidRPr="00583E1A">
        <w:t xml:space="preserve">foreign entity only to the extent that the interest is attributable to assets covered by </w:t>
      </w:r>
      <w:r w:rsidR="00583E1A">
        <w:t>subparagraph (</w:t>
      </w:r>
      <w:r w:rsidRPr="00583E1A">
        <w:t>2)(b)(i) or (ii) that are held by the foreign entity throughout the relevant period.</w:t>
      </w:r>
    </w:p>
    <w:p w:rsidR="00887330" w:rsidRPr="00583E1A" w:rsidRDefault="00887330" w:rsidP="00887330">
      <w:pPr>
        <w:pStyle w:val="ActHead5"/>
      </w:pPr>
      <w:bookmarkStart w:id="313" w:name="_Toc338939387"/>
      <w:r w:rsidRPr="00583E1A">
        <w:rPr>
          <w:rStyle w:val="CharSectno"/>
        </w:rPr>
        <w:t>820</w:t>
      </w:r>
      <w:r w:rsidR="00583E1A">
        <w:rPr>
          <w:rStyle w:val="CharSectno"/>
        </w:rPr>
        <w:noBreakHyphen/>
      </w:r>
      <w:r w:rsidRPr="00583E1A">
        <w:rPr>
          <w:rStyle w:val="CharSectno"/>
        </w:rPr>
        <w:t>920</w:t>
      </w:r>
      <w:r w:rsidRPr="00583E1A">
        <w:t xml:space="preserve">  Associate entity excess amount</w:t>
      </w:r>
      <w:bookmarkEnd w:id="313"/>
    </w:p>
    <w:p w:rsidR="00887330" w:rsidRPr="00583E1A" w:rsidRDefault="00887330" w:rsidP="00887330">
      <w:pPr>
        <w:pStyle w:val="subsection"/>
      </w:pPr>
      <w:r w:rsidRPr="00583E1A">
        <w:tab/>
        <w:t>(1)</w:t>
      </w:r>
      <w:r w:rsidRPr="00583E1A">
        <w:tab/>
        <w:t xml:space="preserve">This section applies to an entity (the </w:t>
      </w:r>
      <w:r w:rsidRPr="00583E1A">
        <w:rPr>
          <w:b/>
          <w:i/>
        </w:rPr>
        <w:t>relevant entity</w:t>
      </w:r>
      <w:r w:rsidRPr="00583E1A">
        <w:t xml:space="preserve">) that is an </w:t>
      </w:r>
      <w:r w:rsidR="00583E1A" w:rsidRPr="00583E1A">
        <w:rPr>
          <w:position w:val="6"/>
          <w:sz w:val="16"/>
        </w:rPr>
        <w:t>*</w:t>
      </w:r>
      <w:r w:rsidRPr="00583E1A">
        <w:t>outward investing entity (non</w:t>
      </w:r>
      <w:r w:rsidR="00583E1A">
        <w:noBreakHyphen/>
      </w:r>
      <w:r w:rsidRPr="00583E1A">
        <w:t xml:space="preserve">ADI) or an </w:t>
      </w:r>
      <w:r w:rsidR="00583E1A" w:rsidRPr="00583E1A">
        <w:rPr>
          <w:position w:val="6"/>
          <w:sz w:val="16"/>
        </w:rPr>
        <w:t>*</w:t>
      </w:r>
      <w:r w:rsidRPr="00583E1A">
        <w:t>inward investing entity (non</w:t>
      </w:r>
      <w:r w:rsidR="00583E1A">
        <w:noBreakHyphen/>
      </w:r>
      <w:r w:rsidRPr="00583E1A">
        <w:t>ADI) for a period that is all or a part of an income year.</w:t>
      </w:r>
    </w:p>
    <w:p w:rsidR="00887330" w:rsidRPr="00583E1A" w:rsidRDefault="00887330" w:rsidP="00887330">
      <w:pPr>
        <w:pStyle w:val="subsection"/>
      </w:pPr>
      <w:r w:rsidRPr="00583E1A">
        <w:lastRenderedPageBreak/>
        <w:tab/>
        <w:t>(2)</w:t>
      </w:r>
      <w:r w:rsidRPr="00583E1A">
        <w:tab/>
        <w:t xml:space="preserve">The relevant entity’s </w:t>
      </w:r>
      <w:r w:rsidRPr="00583E1A">
        <w:rPr>
          <w:b/>
          <w:i/>
        </w:rPr>
        <w:t>associate entity excess amount</w:t>
      </w:r>
      <w:r w:rsidRPr="00583E1A">
        <w:t xml:space="preserve"> at a particular time during that period is the result of applying the method statement in this subsection.</w:t>
      </w:r>
    </w:p>
    <w:p w:rsidR="00887330" w:rsidRPr="00583E1A" w:rsidRDefault="00887330" w:rsidP="00887330">
      <w:pPr>
        <w:pStyle w:val="BoxHeadItalic"/>
        <w:keepNext/>
        <w:keepLines/>
      </w:pPr>
      <w:r w:rsidRPr="00583E1A">
        <w:t>Method statement</w:t>
      </w:r>
    </w:p>
    <w:p w:rsidR="00887330" w:rsidRPr="00583E1A" w:rsidRDefault="00AE4F7F" w:rsidP="00887330">
      <w:pPr>
        <w:pStyle w:val="BoxStep"/>
      </w:pPr>
      <w:r w:rsidRPr="00583E1A">
        <w:rPr>
          <w:szCs w:val="22"/>
        </w:rPr>
        <w:t>Step 1.</w:t>
      </w:r>
      <w:r w:rsidR="00887330" w:rsidRPr="00583E1A">
        <w:rPr>
          <w:i/>
        </w:rPr>
        <w:tab/>
      </w:r>
      <w:r w:rsidR="00887330" w:rsidRPr="00583E1A">
        <w:t xml:space="preserve">Work out the premium excess amount (see </w:t>
      </w:r>
      <w:r w:rsidR="00583E1A">
        <w:t>subsection (</w:t>
      </w:r>
      <w:r w:rsidR="00887330" w:rsidRPr="00583E1A">
        <w:t xml:space="preserve">3)), as at that particular time, for an </w:t>
      </w:r>
      <w:r w:rsidR="00583E1A" w:rsidRPr="00583E1A">
        <w:rPr>
          <w:position w:val="6"/>
          <w:sz w:val="16"/>
        </w:rPr>
        <w:t>*</w:t>
      </w:r>
      <w:r w:rsidR="00887330" w:rsidRPr="00583E1A">
        <w:t xml:space="preserve">associate entity of the relevant entity that is the issuer of an </w:t>
      </w:r>
      <w:r w:rsidR="00583E1A" w:rsidRPr="00583E1A">
        <w:rPr>
          <w:position w:val="6"/>
          <w:sz w:val="16"/>
        </w:rPr>
        <w:t>*</w:t>
      </w:r>
      <w:r w:rsidR="00887330" w:rsidRPr="00583E1A">
        <w:t xml:space="preserve">equity interest or a </w:t>
      </w:r>
      <w:r w:rsidR="00583E1A" w:rsidRPr="00583E1A">
        <w:rPr>
          <w:position w:val="6"/>
          <w:sz w:val="16"/>
        </w:rPr>
        <w:t>*</w:t>
      </w:r>
      <w:r w:rsidR="00887330" w:rsidRPr="00583E1A">
        <w:t xml:space="preserve">debt interest any value of which is all or a part of the relevant entity’s </w:t>
      </w:r>
      <w:r w:rsidR="00583E1A" w:rsidRPr="00583E1A">
        <w:rPr>
          <w:position w:val="6"/>
          <w:sz w:val="16"/>
        </w:rPr>
        <w:t>*</w:t>
      </w:r>
      <w:r w:rsidR="00887330" w:rsidRPr="00583E1A">
        <w:t>associate entity equity at that time.</w:t>
      </w:r>
    </w:p>
    <w:p w:rsidR="00887330" w:rsidRPr="00583E1A" w:rsidRDefault="00AE4F7F" w:rsidP="00887330">
      <w:pPr>
        <w:pStyle w:val="BoxStep"/>
      </w:pPr>
      <w:r w:rsidRPr="00583E1A">
        <w:rPr>
          <w:szCs w:val="22"/>
        </w:rPr>
        <w:t>Step 2.</w:t>
      </w:r>
      <w:r w:rsidR="00887330" w:rsidRPr="00583E1A">
        <w:rPr>
          <w:i/>
        </w:rPr>
        <w:tab/>
      </w:r>
      <w:r w:rsidR="00887330" w:rsidRPr="00583E1A">
        <w:t xml:space="preserve">Add to the result of step 1 the attributable safe harbour excess amount (see </w:t>
      </w:r>
      <w:r w:rsidR="00583E1A">
        <w:t>subsection (</w:t>
      </w:r>
      <w:r w:rsidR="00887330" w:rsidRPr="00583E1A">
        <w:t xml:space="preserve">4)) for that </w:t>
      </w:r>
      <w:r w:rsidR="00583E1A" w:rsidRPr="00583E1A">
        <w:rPr>
          <w:position w:val="6"/>
          <w:sz w:val="16"/>
        </w:rPr>
        <w:t>*</w:t>
      </w:r>
      <w:r w:rsidR="00887330" w:rsidRPr="00583E1A">
        <w:t>associate entity as at that time.</w:t>
      </w:r>
    </w:p>
    <w:p w:rsidR="00887330" w:rsidRPr="00583E1A" w:rsidRDefault="00AE4F7F" w:rsidP="00887330">
      <w:pPr>
        <w:pStyle w:val="BoxStep"/>
      </w:pPr>
      <w:r w:rsidRPr="00583E1A">
        <w:rPr>
          <w:szCs w:val="22"/>
        </w:rPr>
        <w:t>Step 3.</w:t>
      </w:r>
      <w:r w:rsidR="00887330" w:rsidRPr="00583E1A">
        <w:rPr>
          <w:i/>
        </w:rPr>
        <w:tab/>
      </w:r>
      <w:r w:rsidR="00887330" w:rsidRPr="00583E1A">
        <w:t xml:space="preserve">Apply steps 1 and 2 to all such </w:t>
      </w:r>
      <w:r w:rsidR="00583E1A" w:rsidRPr="00583E1A">
        <w:rPr>
          <w:position w:val="6"/>
          <w:sz w:val="16"/>
        </w:rPr>
        <w:t>*</w:t>
      </w:r>
      <w:r w:rsidR="00887330" w:rsidRPr="00583E1A">
        <w:t>associate entities of the relevant entity and add all the results that are positive amounts.</w:t>
      </w:r>
      <w:r w:rsidR="00887330" w:rsidRPr="00583E1A">
        <w:rPr>
          <w:sz w:val="20"/>
        </w:rPr>
        <w:t xml:space="preserve"> </w:t>
      </w:r>
      <w:r w:rsidR="00887330" w:rsidRPr="00583E1A">
        <w:t xml:space="preserve">The result of this step is the </w:t>
      </w:r>
      <w:r w:rsidR="00887330" w:rsidRPr="00583E1A">
        <w:rPr>
          <w:b/>
          <w:i/>
        </w:rPr>
        <w:t>associate entity excess amount</w:t>
      </w:r>
      <w:r w:rsidR="00887330" w:rsidRPr="00583E1A">
        <w:t>.</w:t>
      </w:r>
    </w:p>
    <w:p w:rsidR="00887330" w:rsidRPr="00583E1A" w:rsidRDefault="00887330" w:rsidP="00887330">
      <w:pPr>
        <w:pStyle w:val="subsection"/>
      </w:pPr>
      <w:r w:rsidRPr="00583E1A">
        <w:tab/>
        <w:t>(3)</w:t>
      </w:r>
      <w:r w:rsidRPr="00583E1A">
        <w:tab/>
        <w:t xml:space="preserve">An </w:t>
      </w:r>
      <w:r w:rsidR="00583E1A" w:rsidRPr="00583E1A">
        <w:rPr>
          <w:position w:val="6"/>
          <w:sz w:val="16"/>
        </w:rPr>
        <w:t>*</w:t>
      </w:r>
      <w:r w:rsidRPr="00583E1A">
        <w:t xml:space="preserve">associate entity’s </w:t>
      </w:r>
      <w:r w:rsidRPr="00583E1A">
        <w:rPr>
          <w:b/>
          <w:i/>
        </w:rPr>
        <w:t>premium excess amount</w:t>
      </w:r>
      <w:r w:rsidRPr="00583E1A">
        <w:t xml:space="preserve"> at a particular time during that period is the result of applying the method statement in this subsection. In applying the method statement, disregard any amount that is attributable to an entity’s </w:t>
      </w:r>
      <w:r w:rsidR="00583E1A" w:rsidRPr="00583E1A">
        <w:rPr>
          <w:position w:val="6"/>
          <w:sz w:val="16"/>
        </w:rPr>
        <w:t>*</w:t>
      </w:r>
      <w:r w:rsidRPr="00583E1A">
        <w:t xml:space="preserve">overseas permanent establishments if it is an </w:t>
      </w:r>
      <w:r w:rsidR="00583E1A" w:rsidRPr="00583E1A">
        <w:rPr>
          <w:position w:val="6"/>
          <w:sz w:val="16"/>
        </w:rPr>
        <w:t>*</w:t>
      </w:r>
      <w:r w:rsidRPr="00583E1A">
        <w:t>outward investing entity (non</w:t>
      </w:r>
      <w:r w:rsidR="00583E1A">
        <w:noBreakHyphen/>
      </w:r>
      <w:r w:rsidRPr="00583E1A">
        <w:t>ADI) at that time.</w:t>
      </w:r>
    </w:p>
    <w:p w:rsidR="00887330" w:rsidRPr="00583E1A" w:rsidRDefault="00887330" w:rsidP="007D2F4E">
      <w:pPr>
        <w:pStyle w:val="BoxHeadItalic"/>
        <w:keepLines/>
      </w:pPr>
      <w:r w:rsidRPr="00583E1A">
        <w:t>Method statement</w:t>
      </w:r>
    </w:p>
    <w:p w:rsidR="00887330" w:rsidRPr="00583E1A" w:rsidRDefault="00AE4F7F" w:rsidP="007D2F4E">
      <w:pPr>
        <w:pStyle w:val="BoxStep"/>
        <w:keepLines/>
      </w:pPr>
      <w:r w:rsidRPr="00583E1A">
        <w:rPr>
          <w:szCs w:val="22"/>
        </w:rPr>
        <w:t>Step 1.</w:t>
      </w:r>
      <w:r w:rsidR="00887330" w:rsidRPr="00583E1A">
        <w:rPr>
          <w:i/>
        </w:rPr>
        <w:tab/>
      </w:r>
      <w:r w:rsidR="00887330" w:rsidRPr="00583E1A">
        <w:t xml:space="preserve">Work out the value, as at that particular time, of all the </w:t>
      </w:r>
      <w:r w:rsidR="00583E1A" w:rsidRPr="00583E1A">
        <w:rPr>
          <w:position w:val="6"/>
          <w:sz w:val="16"/>
        </w:rPr>
        <w:t>*</w:t>
      </w:r>
      <w:r w:rsidR="00887330" w:rsidRPr="00583E1A">
        <w:t xml:space="preserve">associate entity equity of the relevant entity that is attributable to the </w:t>
      </w:r>
      <w:r w:rsidR="00583E1A" w:rsidRPr="00583E1A">
        <w:rPr>
          <w:position w:val="6"/>
          <w:sz w:val="16"/>
        </w:rPr>
        <w:t>*</w:t>
      </w:r>
      <w:r w:rsidR="00887330" w:rsidRPr="00583E1A">
        <w:t xml:space="preserve">associate entity (disregarding the value of any </w:t>
      </w:r>
      <w:r w:rsidR="00583E1A" w:rsidRPr="00583E1A">
        <w:rPr>
          <w:position w:val="6"/>
          <w:sz w:val="16"/>
        </w:rPr>
        <w:t>*</w:t>
      </w:r>
      <w:r w:rsidR="00887330" w:rsidRPr="00583E1A">
        <w:t xml:space="preserve">debt interest </w:t>
      </w:r>
      <w:r w:rsidR="00583E1A" w:rsidRPr="00583E1A">
        <w:rPr>
          <w:position w:val="6"/>
          <w:sz w:val="16"/>
        </w:rPr>
        <w:t>*</w:t>
      </w:r>
      <w:r w:rsidR="00887330" w:rsidRPr="00583E1A">
        <w:t>issued by the associate entity that is held by the relevant entity at that time).</w:t>
      </w:r>
    </w:p>
    <w:p w:rsidR="00887330" w:rsidRPr="00583E1A" w:rsidRDefault="00AE4F7F" w:rsidP="00887330">
      <w:pPr>
        <w:pStyle w:val="BoxStep"/>
        <w:keepNext/>
        <w:keepLines/>
      </w:pPr>
      <w:r w:rsidRPr="00583E1A">
        <w:rPr>
          <w:szCs w:val="22"/>
        </w:rPr>
        <w:lastRenderedPageBreak/>
        <w:t>Step 2.</w:t>
      </w:r>
      <w:r w:rsidR="00887330" w:rsidRPr="00583E1A">
        <w:rPr>
          <w:i/>
        </w:rPr>
        <w:tab/>
      </w:r>
      <w:r w:rsidR="00887330" w:rsidRPr="00583E1A">
        <w:t xml:space="preserve">Work out the value, as at that time, of all the </w:t>
      </w:r>
      <w:r w:rsidR="00583E1A" w:rsidRPr="00583E1A">
        <w:rPr>
          <w:position w:val="6"/>
          <w:sz w:val="16"/>
        </w:rPr>
        <w:t>*</w:t>
      </w:r>
      <w:r w:rsidR="00887330" w:rsidRPr="00583E1A">
        <w:t xml:space="preserve">equity capital of the </w:t>
      </w:r>
      <w:r w:rsidR="00583E1A" w:rsidRPr="00583E1A">
        <w:rPr>
          <w:position w:val="6"/>
          <w:sz w:val="16"/>
        </w:rPr>
        <w:t>*</w:t>
      </w:r>
      <w:r w:rsidR="00887330" w:rsidRPr="00583E1A">
        <w:t xml:space="preserve">associate entity that is attributable to </w:t>
      </w:r>
      <w:r w:rsidR="00583E1A" w:rsidRPr="00583E1A">
        <w:rPr>
          <w:position w:val="6"/>
          <w:sz w:val="16"/>
        </w:rPr>
        <w:t>*</w:t>
      </w:r>
      <w:r w:rsidR="00887330" w:rsidRPr="00583E1A">
        <w:t xml:space="preserve">equity interests that the relevant entity holds in the associate entity at that time (except equity interests whose value is all or a part of the relevant entity’s </w:t>
      </w:r>
      <w:r w:rsidR="00583E1A" w:rsidRPr="00583E1A">
        <w:rPr>
          <w:position w:val="6"/>
          <w:sz w:val="16"/>
        </w:rPr>
        <w:t>*</w:t>
      </w:r>
      <w:r w:rsidR="00887330" w:rsidRPr="00583E1A">
        <w:t>controlled foreign entity equity at that time).</w:t>
      </w:r>
    </w:p>
    <w:p w:rsidR="00887330" w:rsidRPr="00583E1A" w:rsidRDefault="00AE4F7F" w:rsidP="00887330">
      <w:pPr>
        <w:pStyle w:val="BoxStep"/>
      </w:pPr>
      <w:r w:rsidRPr="00583E1A">
        <w:rPr>
          <w:szCs w:val="22"/>
        </w:rPr>
        <w:t>Step 3.</w:t>
      </w:r>
      <w:r w:rsidR="00887330" w:rsidRPr="00583E1A">
        <w:rPr>
          <w:i/>
        </w:rPr>
        <w:tab/>
      </w:r>
      <w:r w:rsidR="00887330" w:rsidRPr="00583E1A">
        <w:t>Reduce the result of step 1 by the result of step 2. However, if the result of step 2 is a negative amount, the result of step 2 is taken to be nil for the purpose of this step.</w:t>
      </w:r>
    </w:p>
    <w:p w:rsidR="00887330" w:rsidRPr="00583E1A" w:rsidRDefault="00AE4F7F" w:rsidP="00887330">
      <w:pPr>
        <w:pStyle w:val="BoxStep"/>
        <w:keepNext/>
        <w:keepLines/>
      </w:pPr>
      <w:r w:rsidRPr="00583E1A">
        <w:rPr>
          <w:szCs w:val="22"/>
        </w:rPr>
        <w:t>Step 4.</w:t>
      </w:r>
      <w:r w:rsidR="00887330" w:rsidRPr="00583E1A">
        <w:rPr>
          <w:i/>
        </w:rPr>
        <w:tab/>
      </w:r>
      <w:r w:rsidR="00887330" w:rsidRPr="00583E1A">
        <w:t>Multiply the result of step 3 by:</w:t>
      </w:r>
    </w:p>
    <w:p w:rsidR="00887330" w:rsidRPr="00583E1A" w:rsidRDefault="00887330" w:rsidP="00887330">
      <w:pPr>
        <w:pStyle w:val="BoxPara"/>
        <w:keepNext/>
        <w:keepLines/>
        <w:rPr>
          <w:sz w:val="20"/>
        </w:rPr>
      </w:pPr>
      <w:r w:rsidRPr="00583E1A">
        <w:tab/>
        <w:t>(a)</w:t>
      </w:r>
      <w:r w:rsidRPr="00583E1A">
        <w:tab/>
      </w:r>
      <w:r w:rsidRPr="00583E1A">
        <w:rPr>
          <w:position w:val="6"/>
          <w:sz w:val="16"/>
        </w:rPr>
        <w:t>20</w:t>
      </w:r>
      <w:r w:rsidRPr="00583E1A">
        <w:t>/</w:t>
      </w:r>
      <w:r w:rsidRPr="00583E1A">
        <w:rPr>
          <w:sz w:val="16"/>
        </w:rPr>
        <w:t>21</w:t>
      </w:r>
      <w:r w:rsidRPr="00583E1A">
        <w:t xml:space="preserve"> if the </w:t>
      </w:r>
      <w:r w:rsidR="00583E1A" w:rsidRPr="00583E1A">
        <w:rPr>
          <w:position w:val="6"/>
          <w:sz w:val="16"/>
        </w:rPr>
        <w:t>*</w:t>
      </w:r>
      <w:r w:rsidRPr="00583E1A">
        <w:t xml:space="preserve">associate entity excess amount is applied for the purpose of working out the </w:t>
      </w:r>
      <w:r w:rsidR="00583E1A" w:rsidRPr="00583E1A">
        <w:rPr>
          <w:position w:val="6"/>
          <w:sz w:val="16"/>
        </w:rPr>
        <w:t>*</w:t>
      </w:r>
      <w:r w:rsidRPr="00583E1A">
        <w:t>total debt amount of the relevant entity for that period under subsection 820</w:t>
      </w:r>
      <w:r w:rsidR="00583E1A">
        <w:noBreakHyphen/>
      </w:r>
      <w:r w:rsidRPr="00583E1A">
        <w:t>100(2), 820</w:t>
      </w:r>
      <w:r w:rsidR="00583E1A">
        <w:noBreakHyphen/>
      </w:r>
      <w:r w:rsidRPr="00583E1A">
        <w:t>200(2) or 820</w:t>
      </w:r>
      <w:r w:rsidR="00583E1A">
        <w:noBreakHyphen/>
      </w:r>
      <w:r w:rsidRPr="00583E1A">
        <w:t>210(2)</w:t>
      </w:r>
      <w:r w:rsidRPr="00583E1A">
        <w:rPr>
          <w:sz w:val="20"/>
        </w:rPr>
        <w:t>;</w:t>
      </w:r>
      <w:r w:rsidRPr="00583E1A">
        <w:t xml:space="preserve"> or</w:t>
      </w:r>
    </w:p>
    <w:p w:rsidR="00887330" w:rsidRPr="00583E1A" w:rsidRDefault="00887330" w:rsidP="00887330">
      <w:pPr>
        <w:pStyle w:val="BoxPara"/>
      </w:pPr>
      <w:r w:rsidRPr="00583E1A">
        <w:rPr>
          <w:sz w:val="20"/>
        </w:rPr>
        <w:tab/>
      </w:r>
      <w:r w:rsidRPr="00583E1A">
        <w:t>(b)</w:t>
      </w:r>
      <w:r w:rsidRPr="00583E1A">
        <w:rPr>
          <w:sz w:val="20"/>
        </w:rPr>
        <w:tab/>
      </w:r>
      <w:r w:rsidRPr="00583E1A">
        <w:rPr>
          <w:position w:val="6"/>
          <w:sz w:val="16"/>
        </w:rPr>
        <w:t>3</w:t>
      </w:r>
      <w:r w:rsidRPr="00583E1A">
        <w:t>/</w:t>
      </w:r>
      <w:r w:rsidRPr="00583E1A">
        <w:rPr>
          <w:sz w:val="16"/>
        </w:rPr>
        <w:t>4</w:t>
      </w:r>
      <w:r w:rsidRPr="00583E1A">
        <w:t xml:space="preserve"> if the associate entity excess amount is applied for the purpose of working out the </w:t>
      </w:r>
      <w:r w:rsidR="00583E1A" w:rsidRPr="00583E1A">
        <w:rPr>
          <w:position w:val="6"/>
          <w:sz w:val="16"/>
        </w:rPr>
        <w:t>*</w:t>
      </w:r>
      <w:r w:rsidRPr="00583E1A">
        <w:t>adjusted on</w:t>
      </w:r>
      <w:r w:rsidR="00583E1A">
        <w:noBreakHyphen/>
      </w:r>
      <w:r w:rsidRPr="00583E1A">
        <w:t>lent amount of the relevant entity for that period under subsection 820</w:t>
      </w:r>
      <w:r w:rsidR="00583E1A">
        <w:noBreakHyphen/>
      </w:r>
      <w:r w:rsidRPr="00583E1A">
        <w:t>100(3), 820</w:t>
      </w:r>
      <w:r w:rsidR="00583E1A">
        <w:noBreakHyphen/>
      </w:r>
      <w:r w:rsidRPr="00583E1A">
        <w:t>200(3) or 820</w:t>
      </w:r>
      <w:r w:rsidR="00583E1A">
        <w:noBreakHyphen/>
      </w:r>
      <w:r w:rsidRPr="00583E1A">
        <w:t>210(3); or</w:t>
      </w:r>
    </w:p>
    <w:p w:rsidR="00887330" w:rsidRPr="00583E1A" w:rsidRDefault="00887330" w:rsidP="00887330">
      <w:pPr>
        <w:pStyle w:val="BoxPara"/>
      </w:pPr>
      <w:r w:rsidRPr="00583E1A">
        <w:tab/>
        <w:t>(c)</w:t>
      </w:r>
      <w:r w:rsidRPr="00583E1A">
        <w:tab/>
      </w:r>
      <w:r w:rsidRPr="00583E1A">
        <w:rPr>
          <w:position w:val="6"/>
          <w:sz w:val="16"/>
        </w:rPr>
        <w:t>3</w:t>
      </w:r>
      <w:r w:rsidRPr="00583E1A">
        <w:t>/</w:t>
      </w:r>
      <w:r w:rsidRPr="00583E1A">
        <w:rPr>
          <w:sz w:val="16"/>
        </w:rPr>
        <w:t>4</w:t>
      </w:r>
      <w:r w:rsidRPr="00583E1A">
        <w:t xml:space="preserve"> if the associate entity excess amount is applied for the purpose of working out the </w:t>
      </w:r>
      <w:r w:rsidR="00583E1A" w:rsidRPr="00583E1A">
        <w:rPr>
          <w:position w:val="6"/>
          <w:sz w:val="16"/>
        </w:rPr>
        <w:t>*</w:t>
      </w:r>
      <w:r w:rsidRPr="00583E1A">
        <w:t>safe harbour debt amount of the relevant entity for that period under section</w:t>
      </w:r>
      <w:r w:rsidR="00583E1A">
        <w:t> </w:t>
      </w:r>
      <w:r w:rsidRPr="00583E1A">
        <w:t>820</w:t>
      </w:r>
      <w:r w:rsidR="00583E1A">
        <w:noBreakHyphen/>
      </w:r>
      <w:r w:rsidRPr="00583E1A">
        <w:t>95, 820</w:t>
      </w:r>
      <w:r w:rsidR="00583E1A">
        <w:noBreakHyphen/>
      </w:r>
      <w:r w:rsidRPr="00583E1A">
        <w:t>195 or 820</w:t>
      </w:r>
      <w:r w:rsidR="00583E1A">
        <w:noBreakHyphen/>
      </w:r>
      <w:r w:rsidRPr="00583E1A">
        <w:t>205; or</w:t>
      </w:r>
    </w:p>
    <w:p w:rsidR="00887330" w:rsidRPr="00583E1A" w:rsidRDefault="00887330" w:rsidP="00887330">
      <w:pPr>
        <w:pStyle w:val="BoxPara"/>
        <w:rPr>
          <w:sz w:val="20"/>
        </w:rPr>
      </w:pPr>
      <w:r w:rsidRPr="00583E1A">
        <w:rPr>
          <w:sz w:val="20"/>
        </w:rPr>
        <w:tab/>
      </w:r>
      <w:r w:rsidRPr="00583E1A">
        <w:t>(d)</w:t>
      </w:r>
      <w:r w:rsidRPr="00583E1A">
        <w:tab/>
        <w:t xml:space="preserve">the result of step 4 of the method statement in </w:t>
      </w:r>
      <w:r w:rsidR="00583E1A">
        <w:t>subsection (</w:t>
      </w:r>
      <w:r w:rsidRPr="00583E1A">
        <w:t>1) or (2) of section</w:t>
      </w:r>
      <w:r w:rsidR="00583E1A">
        <w:t> </w:t>
      </w:r>
      <w:r w:rsidRPr="00583E1A">
        <w:t>820</w:t>
      </w:r>
      <w:r w:rsidR="00583E1A">
        <w:noBreakHyphen/>
      </w:r>
      <w:r w:rsidRPr="00583E1A">
        <w:t xml:space="preserve">110 (as appropriate) if the associate entity excess amount is applied for the purpose of working out the </w:t>
      </w:r>
      <w:r w:rsidR="00583E1A" w:rsidRPr="00583E1A">
        <w:rPr>
          <w:position w:val="6"/>
          <w:sz w:val="16"/>
        </w:rPr>
        <w:t>*</w:t>
      </w:r>
      <w:r w:rsidRPr="00583E1A">
        <w:t>worldwide gearing debt amount of the relevant entity for that period</w:t>
      </w:r>
      <w:r w:rsidRPr="00583E1A">
        <w:rPr>
          <w:sz w:val="20"/>
        </w:rPr>
        <w:t>.</w:t>
      </w:r>
    </w:p>
    <w:p w:rsidR="00887330" w:rsidRPr="00583E1A" w:rsidRDefault="00887330" w:rsidP="00887330">
      <w:pPr>
        <w:pStyle w:val="BoxStep"/>
      </w:pPr>
      <w:r w:rsidRPr="00583E1A">
        <w:tab/>
        <w:t xml:space="preserve">The result of this step is the </w:t>
      </w:r>
      <w:r w:rsidRPr="00583E1A">
        <w:rPr>
          <w:b/>
          <w:i/>
        </w:rPr>
        <w:t>premium excess amount</w:t>
      </w:r>
      <w:r w:rsidRPr="00583E1A">
        <w:t>.</w:t>
      </w:r>
    </w:p>
    <w:p w:rsidR="00887330" w:rsidRPr="00583E1A" w:rsidRDefault="00887330" w:rsidP="00887330">
      <w:pPr>
        <w:pStyle w:val="subsection"/>
      </w:pPr>
      <w:r w:rsidRPr="00583E1A">
        <w:lastRenderedPageBreak/>
        <w:tab/>
        <w:t>(4)</w:t>
      </w:r>
      <w:r w:rsidRPr="00583E1A">
        <w:tab/>
        <w:t xml:space="preserve">The </w:t>
      </w:r>
      <w:r w:rsidR="00583E1A" w:rsidRPr="00583E1A">
        <w:rPr>
          <w:position w:val="6"/>
          <w:sz w:val="16"/>
        </w:rPr>
        <w:t>*</w:t>
      </w:r>
      <w:r w:rsidRPr="00583E1A">
        <w:t xml:space="preserve">associate entity’s </w:t>
      </w:r>
      <w:r w:rsidRPr="00583E1A">
        <w:rPr>
          <w:b/>
          <w:i/>
        </w:rPr>
        <w:t>attributable safe harbour excess amount</w:t>
      </w:r>
      <w:r w:rsidRPr="00583E1A">
        <w:t xml:space="preserve"> at a particular time during that period is the result of applying the method statement in this subsection. In applying the method statement, disregard any amount that is attributable to an entity’s </w:t>
      </w:r>
      <w:r w:rsidR="00583E1A" w:rsidRPr="00583E1A">
        <w:rPr>
          <w:position w:val="6"/>
          <w:sz w:val="16"/>
        </w:rPr>
        <w:t>*</w:t>
      </w:r>
      <w:r w:rsidRPr="00583E1A">
        <w:t xml:space="preserve">overseas permanent establishments if it is an </w:t>
      </w:r>
      <w:r w:rsidR="00583E1A" w:rsidRPr="00583E1A">
        <w:rPr>
          <w:position w:val="6"/>
          <w:sz w:val="16"/>
        </w:rPr>
        <w:t>*</w:t>
      </w:r>
      <w:r w:rsidRPr="00583E1A">
        <w:t>outward investing entity (non</w:t>
      </w:r>
      <w:r w:rsidR="00583E1A">
        <w:noBreakHyphen/>
      </w:r>
      <w:r w:rsidRPr="00583E1A">
        <w:t>ADI) at that time.</w:t>
      </w:r>
    </w:p>
    <w:p w:rsidR="00887330" w:rsidRPr="00583E1A" w:rsidRDefault="00887330" w:rsidP="00887330">
      <w:pPr>
        <w:pStyle w:val="BoxHeadItalic"/>
        <w:keepNext/>
      </w:pPr>
      <w:r w:rsidRPr="00583E1A">
        <w:t>Method statement</w:t>
      </w:r>
    </w:p>
    <w:p w:rsidR="00887330" w:rsidRPr="00583E1A" w:rsidRDefault="00AE4F7F" w:rsidP="00887330">
      <w:pPr>
        <w:pStyle w:val="BoxStep"/>
      </w:pPr>
      <w:r w:rsidRPr="00583E1A">
        <w:rPr>
          <w:szCs w:val="22"/>
        </w:rPr>
        <w:t>Step 1.</w:t>
      </w:r>
      <w:r w:rsidR="00887330" w:rsidRPr="00583E1A">
        <w:tab/>
        <w:t xml:space="preserve">Work out the </w:t>
      </w:r>
      <w:r w:rsidR="00583E1A" w:rsidRPr="00583E1A">
        <w:rPr>
          <w:position w:val="6"/>
          <w:sz w:val="16"/>
        </w:rPr>
        <w:t>*</w:t>
      </w:r>
      <w:r w:rsidR="00887330" w:rsidRPr="00583E1A">
        <w:t xml:space="preserve">safe harbour debt amount of the </w:t>
      </w:r>
      <w:r w:rsidR="00583E1A" w:rsidRPr="00583E1A">
        <w:rPr>
          <w:position w:val="6"/>
          <w:sz w:val="16"/>
        </w:rPr>
        <w:t>*</w:t>
      </w:r>
      <w:r w:rsidR="00887330" w:rsidRPr="00583E1A">
        <w:t>associate entity for the day during which that particular time occurs, as if:</w:t>
      </w:r>
    </w:p>
    <w:p w:rsidR="00887330" w:rsidRPr="00583E1A" w:rsidRDefault="00887330" w:rsidP="00887330">
      <w:pPr>
        <w:pStyle w:val="BoxPara"/>
      </w:pPr>
      <w:r w:rsidRPr="00583E1A">
        <w:tab/>
        <w:t>(a)</w:t>
      </w:r>
      <w:r w:rsidRPr="00583E1A">
        <w:tab/>
        <w:t xml:space="preserve">the associate entity were an </w:t>
      </w:r>
      <w:r w:rsidR="00583E1A" w:rsidRPr="00583E1A">
        <w:rPr>
          <w:position w:val="6"/>
          <w:sz w:val="16"/>
        </w:rPr>
        <w:t>*</w:t>
      </w:r>
      <w:r w:rsidRPr="00583E1A">
        <w:t>outward investing entity (non</w:t>
      </w:r>
      <w:r w:rsidR="00583E1A">
        <w:noBreakHyphen/>
      </w:r>
      <w:r w:rsidRPr="00583E1A">
        <w:t xml:space="preserve">ADI) or </w:t>
      </w:r>
      <w:r w:rsidR="00583E1A" w:rsidRPr="00583E1A">
        <w:rPr>
          <w:position w:val="6"/>
          <w:sz w:val="16"/>
        </w:rPr>
        <w:t>*</w:t>
      </w:r>
      <w:r w:rsidRPr="00583E1A">
        <w:t>inward investing entity (non</w:t>
      </w:r>
      <w:r w:rsidR="00583E1A">
        <w:noBreakHyphen/>
      </w:r>
      <w:r w:rsidRPr="00583E1A">
        <w:t>ADI), as appropriate, for the period consisting only of that day; and</w:t>
      </w:r>
    </w:p>
    <w:p w:rsidR="00887330" w:rsidRPr="00583E1A" w:rsidRDefault="00887330" w:rsidP="00887330">
      <w:pPr>
        <w:pStyle w:val="BoxPara"/>
      </w:pPr>
      <w:r w:rsidRPr="00583E1A">
        <w:tab/>
        <w:t>(b)</w:t>
      </w:r>
      <w:r w:rsidRPr="00583E1A">
        <w:tab/>
        <w:t xml:space="preserve">if the associate entity would otherwise be treated as an </w:t>
      </w:r>
      <w:r w:rsidR="00583E1A" w:rsidRPr="00583E1A">
        <w:rPr>
          <w:position w:val="6"/>
          <w:sz w:val="16"/>
        </w:rPr>
        <w:t>*</w:t>
      </w:r>
      <w:r w:rsidRPr="00583E1A">
        <w:t xml:space="preserve">outward investor (financial) for that day and the relevant entity is not a </w:t>
      </w:r>
      <w:r w:rsidR="00583E1A" w:rsidRPr="00583E1A">
        <w:rPr>
          <w:position w:val="6"/>
          <w:sz w:val="16"/>
        </w:rPr>
        <w:t>*</w:t>
      </w:r>
      <w:r w:rsidRPr="00583E1A">
        <w:t xml:space="preserve">financial entity throughout that day—the associate entity were an </w:t>
      </w:r>
      <w:r w:rsidR="00583E1A" w:rsidRPr="00583E1A">
        <w:rPr>
          <w:position w:val="6"/>
          <w:sz w:val="16"/>
        </w:rPr>
        <w:t>*</w:t>
      </w:r>
      <w:r w:rsidRPr="00583E1A">
        <w:t>outward investor (general) for that day; and</w:t>
      </w:r>
    </w:p>
    <w:p w:rsidR="00887330" w:rsidRPr="00583E1A" w:rsidRDefault="00887330" w:rsidP="00887330">
      <w:pPr>
        <w:pStyle w:val="BoxPara"/>
      </w:pPr>
      <w:r w:rsidRPr="00583E1A">
        <w:tab/>
        <w:t>(c)</w:t>
      </w:r>
      <w:r w:rsidRPr="00583E1A">
        <w:tab/>
        <w:t xml:space="preserve">if the associate entity would otherwise be treated as an </w:t>
      </w:r>
      <w:r w:rsidR="00583E1A" w:rsidRPr="00583E1A">
        <w:rPr>
          <w:position w:val="6"/>
          <w:sz w:val="16"/>
        </w:rPr>
        <w:t>*</w:t>
      </w:r>
      <w:r w:rsidRPr="00583E1A">
        <w:t xml:space="preserve">inward investment vehicle (financial) for that day and the relevant entity is not a financial entity throughout that day—the associate entity were an </w:t>
      </w:r>
      <w:r w:rsidR="00583E1A" w:rsidRPr="00583E1A">
        <w:rPr>
          <w:position w:val="6"/>
          <w:sz w:val="16"/>
        </w:rPr>
        <w:t>*</w:t>
      </w:r>
      <w:r w:rsidRPr="00583E1A">
        <w:t>inward investment vehicle (general) for that day; and</w:t>
      </w:r>
    </w:p>
    <w:p w:rsidR="00887330" w:rsidRPr="00583E1A" w:rsidRDefault="00887330" w:rsidP="00887330">
      <w:pPr>
        <w:pStyle w:val="BoxPara"/>
      </w:pPr>
      <w:r w:rsidRPr="00583E1A">
        <w:tab/>
        <w:t>(d)</w:t>
      </w:r>
      <w:r w:rsidRPr="00583E1A">
        <w:tab/>
        <w:t xml:space="preserve">if the associate entity would otherwise be treated as an </w:t>
      </w:r>
      <w:r w:rsidR="00583E1A" w:rsidRPr="00583E1A">
        <w:rPr>
          <w:position w:val="6"/>
          <w:sz w:val="16"/>
        </w:rPr>
        <w:t>*</w:t>
      </w:r>
      <w:r w:rsidRPr="00583E1A">
        <w:t xml:space="preserve">inward investor (financial) for that day and the relevant entity is not a financial entity throughout that day—the associate entity were an </w:t>
      </w:r>
      <w:r w:rsidR="00583E1A" w:rsidRPr="00583E1A">
        <w:rPr>
          <w:position w:val="6"/>
          <w:sz w:val="16"/>
        </w:rPr>
        <w:t>*</w:t>
      </w:r>
      <w:r w:rsidRPr="00583E1A">
        <w:t>inward investor (general) for that day.</w:t>
      </w:r>
    </w:p>
    <w:p w:rsidR="00887330" w:rsidRPr="00583E1A" w:rsidRDefault="00AE4F7F" w:rsidP="00887330">
      <w:pPr>
        <w:pStyle w:val="BoxStep"/>
        <w:keepNext/>
        <w:keepLines/>
      </w:pPr>
      <w:r w:rsidRPr="00583E1A">
        <w:rPr>
          <w:szCs w:val="22"/>
        </w:rPr>
        <w:lastRenderedPageBreak/>
        <w:t>Step 2.</w:t>
      </w:r>
      <w:r w:rsidR="00887330" w:rsidRPr="00583E1A">
        <w:tab/>
        <w:t xml:space="preserve">Reduce the result of step 1 by the value of the </w:t>
      </w:r>
      <w:r w:rsidR="00583E1A" w:rsidRPr="00583E1A">
        <w:rPr>
          <w:position w:val="6"/>
          <w:sz w:val="16"/>
        </w:rPr>
        <w:t>*</w:t>
      </w:r>
      <w:r w:rsidR="00887330" w:rsidRPr="00583E1A">
        <w:t xml:space="preserve">adjusted average debt of the </w:t>
      </w:r>
      <w:r w:rsidR="00583E1A" w:rsidRPr="00583E1A">
        <w:rPr>
          <w:position w:val="6"/>
          <w:sz w:val="16"/>
        </w:rPr>
        <w:t>*</w:t>
      </w:r>
      <w:r w:rsidR="00887330" w:rsidRPr="00583E1A">
        <w:t>associate entity for that day as if it had been the kind of entity that it is taken to be under step 1 for that day. If the result of this step is a negative amount, it is taken to be nil.</w:t>
      </w:r>
    </w:p>
    <w:p w:rsidR="00887330" w:rsidRPr="00583E1A" w:rsidRDefault="00AE4F7F" w:rsidP="00887330">
      <w:pPr>
        <w:pStyle w:val="BoxStep"/>
      </w:pPr>
      <w:r w:rsidRPr="00583E1A">
        <w:rPr>
          <w:szCs w:val="22"/>
        </w:rPr>
        <w:t>Step 3.</w:t>
      </w:r>
      <w:r w:rsidR="00887330" w:rsidRPr="00583E1A">
        <w:rPr>
          <w:i/>
        </w:rPr>
        <w:tab/>
      </w:r>
      <w:r w:rsidR="00887330" w:rsidRPr="00583E1A">
        <w:t>Multiply the result of step 2 by the sum of:</w:t>
      </w:r>
    </w:p>
    <w:p w:rsidR="00887330" w:rsidRPr="00583E1A" w:rsidRDefault="00887330" w:rsidP="00887330">
      <w:pPr>
        <w:pStyle w:val="BoxPara"/>
      </w:pPr>
      <w:r w:rsidRPr="00583E1A">
        <w:tab/>
        <w:t>(a)</w:t>
      </w:r>
      <w:r w:rsidRPr="00583E1A">
        <w:tab/>
        <w:t xml:space="preserve">the value, as at that time, of all the </w:t>
      </w:r>
      <w:r w:rsidR="00583E1A" w:rsidRPr="00583E1A">
        <w:rPr>
          <w:position w:val="6"/>
          <w:sz w:val="16"/>
        </w:rPr>
        <w:t>*</w:t>
      </w:r>
      <w:r w:rsidRPr="00583E1A">
        <w:t xml:space="preserve">equity capital of the </w:t>
      </w:r>
      <w:r w:rsidR="00583E1A" w:rsidRPr="00583E1A">
        <w:rPr>
          <w:position w:val="6"/>
          <w:sz w:val="16"/>
        </w:rPr>
        <w:t>*</w:t>
      </w:r>
      <w:r w:rsidRPr="00583E1A">
        <w:t>associate entity that is attributable to the relevant entity at that time; and</w:t>
      </w:r>
    </w:p>
    <w:p w:rsidR="00887330" w:rsidRPr="00583E1A" w:rsidRDefault="00887330" w:rsidP="00887330">
      <w:pPr>
        <w:pStyle w:val="BoxPara"/>
        <w:keepNext/>
        <w:keepLines/>
      </w:pPr>
      <w:r w:rsidRPr="00583E1A">
        <w:tab/>
        <w:t>(b)</w:t>
      </w:r>
      <w:r w:rsidRPr="00583E1A">
        <w:tab/>
        <w:t xml:space="preserve">the value, as at that time, of all the </w:t>
      </w:r>
      <w:r w:rsidR="00583E1A" w:rsidRPr="00583E1A">
        <w:rPr>
          <w:position w:val="6"/>
          <w:sz w:val="16"/>
        </w:rPr>
        <w:t>*</w:t>
      </w:r>
      <w:r w:rsidRPr="00583E1A">
        <w:t xml:space="preserve">debt interests </w:t>
      </w:r>
      <w:r w:rsidR="00583E1A" w:rsidRPr="00583E1A">
        <w:rPr>
          <w:position w:val="6"/>
          <w:sz w:val="16"/>
        </w:rPr>
        <w:t>*</w:t>
      </w:r>
      <w:r w:rsidRPr="00583E1A">
        <w:t xml:space="preserve">issued by the associate entity that are covered by </w:t>
      </w:r>
      <w:r w:rsidR="00583E1A">
        <w:t>subsection (</w:t>
      </w:r>
      <w:r w:rsidRPr="00583E1A">
        <w:t>5), and held by the relevant entity, at that time; and</w:t>
      </w:r>
    </w:p>
    <w:p w:rsidR="00887330" w:rsidRPr="00583E1A" w:rsidRDefault="00887330" w:rsidP="00887330">
      <w:pPr>
        <w:pStyle w:val="BoxPara"/>
      </w:pPr>
      <w:r w:rsidRPr="00583E1A">
        <w:tab/>
        <w:t>(c)</w:t>
      </w:r>
      <w:r w:rsidRPr="00583E1A">
        <w:tab/>
        <w:t xml:space="preserve">the value, as at that time, of all the debt interests issued by the associate entity that are covered by </w:t>
      </w:r>
      <w:r w:rsidR="00583E1A">
        <w:t>subsection (</w:t>
      </w:r>
      <w:r w:rsidRPr="00583E1A">
        <w:t>6), and held by the relevant entity, at that time.</w:t>
      </w:r>
    </w:p>
    <w:p w:rsidR="00887330" w:rsidRPr="00583E1A" w:rsidRDefault="00AE4F7F" w:rsidP="00887330">
      <w:pPr>
        <w:pStyle w:val="BoxStep"/>
      </w:pPr>
      <w:r w:rsidRPr="00583E1A">
        <w:rPr>
          <w:szCs w:val="22"/>
        </w:rPr>
        <w:t>Step 4.</w:t>
      </w:r>
      <w:r w:rsidR="00887330" w:rsidRPr="00583E1A">
        <w:rPr>
          <w:i/>
        </w:rPr>
        <w:tab/>
      </w:r>
      <w:r w:rsidR="00887330" w:rsidRPr="00583E1A">
        <w:t>Divide the result of step 3 by the sum of:</w:t>
      </w:r>
    </w:p>
    <w:p w:rsidR="00887330" w:rsidRPr="00583E1A" w:rsidRDefault="00887330" w:rsidP="00887330">
      <w:pPr>
        <w:pStyle w:val="BoxPara"/>
      </w:pPr>
      <w:r w:rsidRPr="00583E1A">
        <w:tab/>
        <w:t>(a)</w:t>
      </w:r>
      <w:r w:rsidRPr="00583E1A">
        <w:tab/>
        <w:t xml:space="preserve">the value, as at that time, of all the </w:t>
      </w:r>
      <w:r w:rsidR="00583E1A" w:rsidRPr="00583E1A">
        <w:rPr>
          <w:position w:val="6"/>
          <w:sz w:val="16"/>
        </w:rPr>
        <w:t>*</w:t>
      </w:r>
      <w:r w:rsidRPr="00583E1A">
        <w:t xml:space="preserve">equity capital of the </w:t>
      </w:r>
      <w:r w:rsidR="00583E1A" w:rsidRPr="00583E1A">
        <w:rPr>
          <w:position w:val="6"/>
          <w:sz w:val="16"/>
        </w:rPr>
        <w:t>*</w:t>
      </w:r>
      <w:r w:rsidRPr="00583E1A">
        <w:t>associate entity; and</w:t>
      </w:r>
    </w:p>
    <w:p w:rsidR="00887330" w:rsidRPr="00583E1A" w:rsidRDefault="00887330" w:rsidP="00887330">
      <w:pPr>
        <w:pStyle w:val="BoxPara"/>
      </w:pPr>
      <w:r w:rsidRPr="00583E1A">
        <w:tab/>
        <w:t>(b)</w:t>
      </w:r>
      <w:r w:rsidRPr="00583E1A">
        <w:tab/>
        <w:t xml:space="preserve">the value, as at that time, of all the </w:t>
      </w:r>
      <w:r w:rsidR="00583E1A" w:rsidRPr="00583E1A">
        <w:rPr>
          <w:position w:val="6"/>
          <w:sz w:val="16"/>
        </w:rPr>
        <w:t>*</w:t>
      </w:r>
      <w:r w:rsidRPr="00583E1A">
        <w:t xml:space="preserve">debt interests </w:t>
      </w:r>
      <w:r w:rsidR="00583E1A" w:rsidRPr="00583E1A">
        <w:rPr>
          <w:position w:val="6"/>
          <w:sz w:val="16"/>
        </w:rPr>
        <w:t>*</w:t>
      </w:r>
      <w:r w:rsidRPr="00583E1A">
        <w:t xml:space="preserve">issued by the associate entity that are covered by </w:t>
      </w:r>
      <w:r w:rsidR="00583E1A">
        <w:t>subsection (</w:t>
      </w:r>
      <w:r w:rsidRPr="00583E1A">
        <w:t>5) at that time; and</w:t>
      </w:r>
    </w:p>
    <w:p w:rsidR="00887330" w:rsidRPr="00583E1A" w:rsidRDefault="00887330" w:rsidP="00887330">
      <w:pPr>
        <w:pStyle w:val="BoxPara"/>
      </w:pPr>
      <w:r w:rsidRPr="00583E1A">
        <w:tab/>
        <w:t>(c)</w:t>
      </w:r>
      <w:r w:rsidRPr="00583E1A">
        <w:tab/>
        <w:t xml:space="preserve">the value, as at that time, of all the debt interests issued by the associate entity that are covered by </w:t>
      </w:r>
      <w:r w:rsidR="00583E1A">
        <w:t>subsection (</w:t>
      </w:r>
      <w:r w:rsidRPr="00583E1A">
        <w:t>6) at that time.</w:t>
      </w:r>
    </w:p>
    <w:p w:rsidR="00887330" w:rsidRPr="00583E1A" w:rsidRDefault="00887330" w:rsidP="00887330">
      <w:pPr>
        <w:pStyle w:val="subsection"/>
      </w:pPr>
      <w:r w:rsidRPr="00583E1A">
        <w:tab/>
        <w:t>(5)</w:t>
      </w:r>
      <w:r w:rsidRPr="00583E1A">
        <w:tab/>
        <w:t xml:space="preserve">For the purposes of the method statement in </w:t>
      </w:r>
      <w:r w:rsidR="00583E1A">
        <w:t>subsection (</w:t>
      </w:r>
      <w:r w:rsidRPr="00583E1A">
        <w:t xml:space="preserve">4), this subsection covers a </w:t>
      </w:r>
      <w:r w:rsidR="00583E1A" w:rsidRPr="00583E1A">
        <w:rPr>
          <w:position w:val="6"/>
          <w:sz w:val="16"/>
        </w:rPr>
        <w:t>*</w:t>
      </w:r>
      <w:r w:rsidRPr="00583E1A">
        <w:t>debt interest at a particular time if the interest satisfies all of the following:</w:t>
      </w:r>
    </w:p>
    <w:p w:rsidR="00887330" w:rsidRPr="00583E1A" w:rsidRDefault="00887330" w:rsidP="00887330">
      <w:pPr>
        <w:pStyle w:val="paragraph"/>
      </w:pPr>
      <w:r w:rsidRPr="00583E1A">
        <w:tab/>
        <w:t>(a)</w:t>
      </w:r>
      <w:r w:rsidRPr="00583E1A">
        <w:tab/>
        <w:t xml:space="preserve">the interest is </w:t>
      </w:r>
      <w:r w:rsidR="00583E1A" w:rsidRPr="00583E1A">
        <w:rPr>
          <w:position w:val="6"/>
          <w:sz w:val="16"/>
        </w:rPr>
        <w:t>*</w:t>
      </w:r>
      <w:r w:rsidRPr="00583E1A">
        <w:t>on issue at that time;</w:t>
      </w:r>
    </w:p>
    <w:p w:rsidR="00887330" w:rsidRPr="00583E1A" w:rsidRDefault="00887330" w:rsidP="00887330">
      <w:pPr>
        <w:pStyle w:val="paragraph"/>
      </w:pPr>
      <w:r w:rsidRPr="00583E1A">
        <w:lastRenderedPageBreak/>
        <w:tab/>
        <w:t>(b)</w:t>
      </w:r>
      <w:r w:rsidRPr="00583E1A">
        <w:tab/>
        <w:t xml:space="preserve">neither the value of the interest, nor any part of that value, is all or a part of any </w:t>
      </w:r>
      <w:r w:rsidR="00583E1A" w:rsidRPr="00583E1A">
        <w:rPr>
          <w:position w:val="6"/>
          <w:sz w:val="16"/>
        </w:rPr>
        <w:t>*</w:t>
      </w:r>
      <w:r w:rsidRPr="00583E1A">
        <w:t>cost</w:t>
      </w:r>
      <w:r w:rsidR="00583E1A">
        <w:noBreakHyphen/>
      </w:r>
      <w:r w:rsidRPr="00583E1A">
        <w:t>free debt capital of the issuer of the interest at that time;</w:t>
      </w:r>
    </w:p>
    <w:p w:rsidR="00887330" w:rsidRPr="00583E1A" w:rsidRDefault="00887330" w:rsidP="00887330">
      <w:pPr>
        <w:pStyle w:val="paragraph"/>
      </w:pPr>
      <w:r w:rsidRPr="00583E1A">
        <w:tab/>
        <w:t>(c)</w:t>
      </w:r>
      <w:r w:rsidRPr="00583E1A">
        <w:tab/>
        <w:t>the interest does not give rise to any cost, at any time, that is covered by paragraph 820</w:t>
      </w:r>
      <w:r w:rsidR="00583E1A">
        <w:noBreakHyphen/>
      </w:r>
      <w:r w:rsidRPr="00583E1A">
        <w:t>40(1)(a).</w:t>
      </w:r>
    </w:p>
    <w:p w:rsidR="00887330" w:rsidRPr="00583E1A" w:rsidRDefault="00887330" w:rsidP="00887330">
      <w:pPr>
        <w:pStyle w:val="subsection"/>
      </w:pPr>
      <w:r w:rsidRPr="00583E1A">
        <w:tab/>
        <w:t>(6)</w:t>
      </w:r>
      <w:r w:rsidRPr="00583E1A">
        <w:tab/>
        <w:t xml:space="preserve">For the purposes of the method statement in </w:t>
      </w:r>
      <w:r w:rsidR="00583E1A">
        <w:t>subsection (</w:t>
      </w:r>
      <w:r w:rsidRPr="00583E1A">
        <w:t xml:space="preserve">4), this subsection covers a </w:t>
      </w:r>
      <w:r w:rsidR="00583E1A" w:rsidRPr="00583E1A">
        <w:rPr>
          <w:position w:val="6"/>
          <w:sz w:val="16"/>
        </w:rPr>
        <w:t>*</w:t>
      </w:r>
      <w:r w:rsidRPr="00583E1A">
        <w:t>debt interest at a particular time if the interest satisfies both of the following:</w:t>
      </w:r>
    </w:p>
    <w:p w:rsidR="00887330" w:rsidRPr="00583E1A" w:rsidRDefault="00887330" w:rsidP="00887330">
      <w:pPr>
        <w:pStyle w:val="paragraph"/>
      </w:pPr>
      <w:r w:rsidRPr="00583E1A">
        <w:tab/>
        <w:t>(a)</w:t>
      </w:r>
      <w:r w:rsidRPr="00583E1A">
        <w:tab/>
        <w:t xml:space="preserve">the interest is </w:t>
      </w:r>
      <w:r w:rsidR="00583E1A" w:rsidRPr="00583E1A">
        <w:rPr>
          <w:position w:val="6"/>
          <w:sz w:val="16"/>
        </w:rPr>
        <w:t>*</w:t>
      </w:r>
      <w:r w:rsidRPr="00583E1A">
        <w:t>on issue at that time;</w:t>
      </w:r>
    </w:p>
    <w:p w:rsidR="00887330" w:rsidRPr="00583E1A" w:rsidRDefault="00887330" w:rsidP="00887330">
      <w:pPr>
        <w:pStyle w:val="paragraph"/>
      </w:pPr>
      <w:r w:rsidRPr="00583E1A">
        <w:tab/>
        <w:t>(b)</w:t>
      </w:r>
      <w:r w:rsidRPr="00583E1A">
        <w:tab/>
        <w:t>the interest gives rise to a cost, at any time, that is covered by paragraph 820</w:t>
      </w:r>
      <w:r w:rsidR="00583E1A">
        <w:noBreakHyphen/>
      </w:r>
      <w:r w:rsidRPr="00583E1A">
        <w:t>40(1)(a), but the cost is not deductible from the assessable income of the issuer of the interest for any income year.</w:t>
      </w:r>
    </w:p>
    <w:p w:rsidR="00887330" w:rsidRPr="00583E1A" w:rsidRDefault="00887330" w:rsidP="00887330">
      <w:pPr>
        <w:pStyle w:val="ActHead4"/>
      </w:pPr>
      <w:bookmarkStart w:id="314" w:name="_Toc338939388"/>
      <w:r w:rsidRPr="00583E1A">
        <w:rPr>
          <w:rStyle w:val="CharSubdNo"/>
        </w:rPr>
        <w:t>Subdivision</w:t>
      </w:r>
      <w:r w:rsidR="00583E1A">
        <w:rPr>
          <w:rStyle w:val="CharSubdNo"/>
        </w:rPr>
        <w:t> </w:t>
      </w:r>
      <w:r w:rsidRPr="00583E1A">
        <w:rPr>
          <w:rStyle w:val="CharSubdNo"/>
        </w:rPr>
        <w:t>820</w:t>
      </w:r>
      <w:r w:rsidR="00583E1A">
        <w:rPr>
          <w:rStyle w:val="CharSubdNo"/>
        </w:rPr>
        <w:noBreakHyphen/>
      </w:r>
      <w:r w:rsidRPr="00583E1A">
        <w:rPr>
          <w:rStyle w:val="CharSubdNo"/>
        </w:rPr>
        <w:t>J</w:t>
      </w:r>
      <w:r w:rsidRPr="00583E1A">
        <w:t>—</w:t>
      </w:r>
      <w:r w:rsidRPr="00583E1A">
        <w:rPr>
          <w:rStyle w:val="CharSubdText"/>
        </w:rPr>
        <w:t>Equity interest in a trust or partnership</w:t>
      </w:r>
      <w:bookmarkEnd w:id="314"/>
    </w:p>
    <w:p w:rsidR="00887330" w:rsidRPr="00583E1A" w:rsidRDefault="00887330" w:rsidP="00887330">
      <w:pPr>
        <w:pStyle w:val="ActHead4"/>
      </w:pPr>
      <w:bookmarkStart w:id="315" w:name="_Toc338939389"/>
      <w:r w:rsidRPr="00583E1A">
        <w:t>Guide to Subdivision</w:t>
      </w:r>
      <w:r w:rsidR="00583E1A">
        <w:t> </w:t>
      </w:r>
      <w:r w:rsidRPr="00583E1A">
        <w:t>820</w:t>
      </w:r>
      <w:r w:rsidR="00583E1A">
        <w:noBreakHyphen/>
      </w:r>
      <w:r w:rsidRPr="00583E1A">
        <w:t>J</w:t>
      </w:r>
      <w:bookmarkEnd w:id="315"/>
    </w:p>
    <w:p w:rsidR="00887330" w:rsidRPr="00583E1A" w:rsidRDefault="00887330" w:rsidP="00887330">
      <w:pPr>
        <w:pStyle w:val="ActHead5"/>
      </w:pPr>
      <w:bookmarkStart w:id="316" w:name="_Toc338939390"/>
      <w:r w:rsidRPr="00583E1A">
        <w:rPr>
          <w:rStyle w:val="CharSectno"/>
        </w:rPr>
        <w:t>820</w:t>
      </w:r>
      <w:r w:rsidR="00583E1A">
        <w:rPr>
          <w:rStyle w:val="CharSectno"/>
        </w:rPr>
        <w:noBreakHyphen/>
      </w:r>
      <w:r w:rsidRPr="00583E1A">
        <w:rPr>
          <w:rStyle w:val="CharSectno"/>
        </w:rPr>
        <w:t>925</w:t>
      </w:r>
      <w:r w:rsidRPr="00583E1A">
        <w:t xml:space="preserve">  What this Subdivision is about</w:t>
      </w:r>
      <w:bookmarkEnd w:id="316"/>
    </w:p>
    <w:p w:rsidR="00887330" w:rsidRPr="00583E1A" w:rsidRDefault="00887330" w:rsidP="00887330">
      <w:pPr>
        <w:pStyle w:val="BoxText"/>
      </w:pPr>
      <w:r w:rsidRPr="00583E1A">
        <w:t>This Subdivision provides for the meanings of an equity interest in a trust or partnership for the purposes of this Division.</w:t>
      </w:r>
    </w:p>
    <w:p w:rsidR="00887330" w:rsidRPr="00583E1A" w:rsidRDefault="00887330" w:rsidP="00887330">
      <w:pPr>
        <w:pStyle w:val="TofSectsHeading"/>
      </w:pPr>
      <w:r w:rsidRPr="00583E1A">
        <w:t>Table of sections</w:t>
      </w:r>
    </w:p>
    <w:p w:rsidR="00887330" w:rsidRPr="00583E1A" w:rsidRDefault="00887330" w:rsidP="00887330">
      <w:pPr>
        <w:pStyle w:val="TofSectsSection"/>
      </w:pPr>
      <w:r w:rsidRPr="00583E1A">
        <w:t>920</w:t>
      </w:r>
      <w:r w:rsidR="00583E1A">
        <w:noBreakHyphen/>
      </w:r>
      <w:r w:rsidRPr="00583E1A">
        <w:t>930</w:t>
      </w:r>
      <w:r w:rsidRPr="00583E1A">
        <w:tab/>
      </w:r>
      <w:r w:rsidRPr="00583E1A">
        <w:rPr>
          <w:i/>
        </w:rPr>
        <w:t>Equity interest</w:t>
      </w:r>
      <w:r w:rsidRPr="00583E1A">
        <w:t xml:space="preserve"> in a trust or partnership</w:t>
      </w:r>
    </w:p>
    <w:p w:rsidR="00887330" w:rsidRPr="00583E1A" w:rsidRDefault="00887330" w:rsidP="00887330">
      <w:pPr>
        <w:pStyle w:val="ActHead5"/>
      </w:pPr>
      <w:bookmarkStart w:id="317" w:name="_Toc338939391"/>
      <w:r w:rsidRPr="00583E1A">
        <w:rPr>
          <w:rStyle w:val="CharSectno"/>
        </w:rPr>
        <w:t>820</w:t>
      </w:r>
      <w:r w:rsidR="00583E1A">
        <w:rPr>
          <w:rStyle w:val="CharSectno"/>
        </w:rPr>
        <w:noBreakHyphen/>
      </w:r>
      <w:r w:rsidRPr="00583E1A">
        <w:rPr>
          <w:rStyle w:val="CharSectno"/>
        </w:rPr>
        <w:t>930</w:t>
      </w:r>
      <w:r w:rsidRPr="00583E1A">
        <w:t xml:space="preserve">  </w:t>
      </w:r>
      <w:r w:rsidRPr="00583E1A">
        <w:rPr>
          <w:i/>
        </w:rPr>
        <w:t>Equity interest</w:t>
      </w:r>
      <w:r w:rsidRPr="00583E1A">
        <w:t xml:space="preserve"> in a trust or partnership</w:t>
      </w:r>
      <w:bookmarkEnd w:id="317"/>
    </w:p>
    <w:p w:rsidR="00887330" w:rsidRPr="00583E1A" w:rsidRDefault="00887330" w:rsidP="00887330">
      <w:pPr>
        <w:pStyle w:val="SubsectionHead"/>
      </w:pPr>
      <w:r w:rsidRPr="00583E1A">
        <w:t>Application of provisions</w:t>
      </w:r>
    </w:p>
    <w:p w:rsidR="00887330" w:rsidRPr="00583E1A" w:rsidRDefault="00887330" w:rsidP="00887330">
      <w:pPr>
        <w:pStyle w:val="subsection"/>
      </w:pPr>
      <w:r w:rsidRPr="00583E1A">
        <w:tab/>
        <w:t>(1)</w:t>
      </w:r>
      <w:r w:rsidRPr="00583E1A">
        <w:tab/>
        <w:t>For the purposes of this Division</w:t>
      </w:r>
      <w:r w:rsidR="008521C7" w:rsidRPr="00583E1A">
        <w:t xml:space="preserve"> and Division</w:t>
      </w:r>
      <w:r w:rsidR="00583E1A">
        <w:t> </w:t>
      </w:r>
      <w:r w:rsidR="008521C7" w:rsidRPr="00583E1A">
        <w:t>230</w:t>
      </w:r>
      <w:r w:rsidRPr="00583E1A">
        <w:t xml:space="preserve">, an </w:t>
      </w:r>
      <w:r w:rsidRPr="00583E1A">
        <w:rPr>
          <w:b/>
          <w:i/>
        </w:rPr>
        <w:t>equity interest</w:t>
      </w:r>
      <w:r w:rsidRPr="00583E1A">
        <w:t xml:space="preserve"> in an entity that is a trust or partnership has the meaning given by the provisions in Division</w:t>
      </w:r>
      <w:r w:rsidR="00583E1A">
        <w:t> </w:t>
      </w:r>
      <w:r w:rsidRPr="00583E1A">
        <w:t>974 that are applied with the following modifications:</w:t>
      </w:r>
    </w:p>
    <w:p w:rsidR="00887330" w:rsidRPr="00583E1A" w:rsidRDefault="00887330" w:rsidP="00887330">
      <w:pPr>
        <w:pStyle w:val="Tabletext"/>
        <w:keepN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708"/>
        <w:gridCol w:w="2268"/>
        <w:gridCol w:w="4134"/>
      </w:tblGrid>
      <w:tr w:rsidR="00887330" w:rsidRPr="00583E1A">
        <w:trPr>
          <w:cantSplit/>
          <w:tblHeader/>
        </w:trPr>
        <w:tc>
          <w:tcPr>
            <w:tcW w:w="7110" w:type="dxa"/>
            <w:gridSpan w:val="3"/>
            <w:tcBorders>
              <w:top w:val="single" w:sz="12" w:space="0" w:color="auto"/>
              <w:left w:val="nil"/>
              <w:bottom w:val="nil"/>
              <w:right w:val="nil"/>
            </w:tcBorders>
          </w:tcPr>
          <w:p w:rsidR="00887330" w:rsidRPr="00583E1A" w:rsidRDefault="00887330" w:rsidP="00887330">
            <w:pPr>
              <w:pStyle w:val="Tabletext"/>
              <w:keepNext/>
            </w:pPr>
            <w:r w:rsidRPr="00583E1A">
              <w:rPr>
                <w:b/>
              </w:rPr>
              <w:t>Modifications of Division</w:t>
            </w:r>
            <w:r w:rsidR="00583E1A">
              <w:rPr>
                <w:b/>
              </w:rPr>
              <w:t> </w:t>
            </w:r>
            <w:r w:rsidRPr="00583E1A">
              <w:rPr>
                <w:b/>
              </w:rPr>
              <w:t>974</w:t>
            </w:r>
          </w:p>
        </w:tc>
      </w:tr>
      <w:tr w:rsidR="00887330" w:rsidRPr="00583E1A">
        <w:trPr>
          <w:cantSplit/>
          <w:tblHeader/>
        </w:trPr>
        <w:tc>
          <w:tcPr>
            <w:tcW w:w="708" w:type="dxa"/>
            <w:tcBorders>
              <w:top w:val="single" w:sz="6" w:space="0" w:color="auto"/>
              <w:left w:val="nil"/>
              <w:bottom w:val="single" w:sz="12" w:space="0" w:color="auto"/>
              <w:right w:val="nil"/>
            </w:tcBorders>
          </w:tcPr>
          <w:p w:rsidR="00887330" w:rsidRPr="00583E1A" w:rsidRDefault="00887330" w:rsidP="00887330">
            <w:pPr>
              <w:pStyle w:val="Tabletext"/>
            </w:pPr>
            <w:r w:rsidRPr="00583E1A">
              <w:rPr>
                <w:b/>
              </w:rPr>
              <w:t>Item</w:t>
            </w:r>
          </w:p>
        </w:tc>
        <w:tc>
          <w:tcPr>
            <w:tcW w:w="2268" w:type="dxa"/>
            <w:tcBorders>
              <w:top w:val="single" w:sz="6" w:space="0" w:color="auto"/>
              <w:left w:val="nil"/>
              <w:bottom w:val="single" w:sz="12" w:space="0" w:color="auto"/>
              <w:right w:val="nil"/>
            </w:tcBorders>
          </w:tcPr>
          <w:p w:rsidR="00887330" w:rsidRPr="00583E1A" w:rsidRDefault="00887330" w:rsidP="00887330">
            <w:pPr>
              <w:pStyle w:val="Tabletext"/>
            </w:pPr>
            <w:r w:rsidRPr="00583E1A">
              <w:rPr>
                <w:b/>
              </w:rPr>
              <w:t>Provisions</w:t>
            </w:r>
          </w:p>
        </w:tc>
        <w:tc>
          <w:tcPr>
            <w:tcW w:w="4134" w:type="dxa"/>
            <w:tcBorders>
              <w:top w:val="single" w:sz="6" w:space="0" w:color="auto"/>
              <w:left w:val="nil"/>
              <w:bottom w:val="single" w:sz="12" w:space="0" w:color="auto"/>
              <w:right w:val="nil"/>
            </w:tcBorders>
          </w:tcPr>
          <w:p w:rsidR="00887330" w:rsidRPr="00583E1A" w:rsidRDefault="00887330" w:rsidP="00887330">
            <w:pPr>
              <w:pStyle w:val="Tabletext"/>
            </w:pPr>
            <w:r w:rsidRPr="00583E1A">
              <w:rPr>
                <w:b/>
              </w:rPr>
              <w:t>Modifications</w:t>
            </w:r>
          </w:p>
        </w:tc>
      </w:tr>
      <w:tr w:rsidR="00887330" w:rsidRPr="00583E1A">
        <w:trPr>
          <w:cantSplit/>
        </w:trPr>
        <w:tc>
          <w:tcPr>
            <w:tcW w:w="708" w:type="dxa"/>
            <w:tcBorders>
              <w:top w:val="single" w:sz="12" w:space="0" w:color="auto"/>
              <w:left w:val="nil"/>
              <w:bottom w:val="single" w:sz="2" w:space="0" w:color="auto"/>
              <w:right w:val="nil"/>
            </w:tcBorders>
            <w:shd w:val="clear" w:color="auto" w:fill="auto"/>
          </w:tcPr>
          <w:p w:rsidR="00887330" w:rsidRPr="00583E1A" w:rsidRDefault="00887330" w:rsidP="00887330">
            <w:pPr>
              <w:pStyle w:val="Tabletext"/>
            </w:pPr>
            <w:r w:rsidRPr="00583E1A">
              <w:t>1</w:t>
            </w:r>
          </w:p>
        </w:tc>
        <w:tc>
          <w:tcPr>
            <w:tcW w:w="2268" w:type="dxa"/>
            <w:tcBorders>
              <w:top w:val="single" w:sz="12" w:space="0" w:color="auto"/>
              <w:left w:val="nil"/>
              <w:bottom w:val="single" w:sz="2" w:space="0" w:color="auto"/>
              <w:right w:val="nil"/>
            </w:tcBorders>
            <w:shd w:val="clear" w:color="auto" w:fill="auto"/>
          </w:tcPr>
          <w:p w:rsidR="00887330" w:rsidRPr="00583E1A" w:rsidRDefault="00887330" w:rsidP="00887330">
            <w:pPr>
              <w:pStyle w:val="Tabletext"/>
            </w:pPr>
            <w:r w:rsidRPr="00583E1A">
              <w:t>Subdivisions</w:t>
            </w:r>
            <w:r w:rsidR="00583E1A">
              <w:t> </w:t>
            </w:r>
            <w:r w:rsidRPr="00583E1A">
              <w:t>974</w:t>
            </w:r>
            <w:r w:rsidR="00583E1A">
              <w:noBreakHyphen/>
            </w:r>
            <w:r w:rsidRPr="00583E1A">
              <w:t>C and 974</w:t>
            </w:r>
            <w:r w:rsidR="00583E1A">
              <w:noBreakHyphen/>
            </w:r>
            <w:r w:rsidRPr="00583E1A">
              <w:t>D</w:t>
            </w:r>
          </w:p>
        </w:tc>
        <w:tc>
          <w:tcPr>
            <w:tcW w:w="4134" w:type="dxa"/>
            <w:tcBorders>
              <w:top w:val="single" w:sz="12" w:space="0" w:color="auto"/>
              <w:left w:val="nil"/>
              <w:bottom w:val="single" w:sz="2" w:space="0" w:color="auto"/>
              <w:right w:val="nil"/>
            </w:tcBorders>
            <w:shd w:val="clear" w:color="auto" w:fill="auto"/>
          </w:tcPr>
          <w:p w:rsidR="00887330" w:rsidRPr="00583E1A" w:rsidRDefault="00887330" w:rsidP="00887330">
            <w:pPr>
              <w:pStyle w:val="Tabletext"/>
            </w:pPr>
            <w:r w:rsidRPr="00583E1A">
              <w:t>A reference in those provisions to a company is taken to be a reference to an entity that is a trust or a partnership</w:t>
            </w:r>
          </w:p>
        </w:tc>
      </w:tr>
      <w:tr w:rsidR="00887330" w:rsidRPr="00583E1A">
        <w:trPr>
          <w:cantSplit/>
        </w:trPr>
        <w:tc>
          <w:tcPr>
            <w:tcW w:w="708" w:type="dxa"/>
            <w:tcBorders>
              <w:top w:val="single" w:sz="2" w:space="0" w:color="auto"/>
              <w:left w:val="nil"/>
              <w:bottom w:val="single" w:sz="2" w:space="0" w:color="auto"/>
              <w:right w:val="nil"/>
            </w:tcBorders>
            <w:shd w:val="clear" w:color="auto" w:fill="auto"/>
          </w:tcPr>
          <w:p w:rsidR="00887330" w:rsidRPr="00583E1A" w:rsidRDefault="00887330" w:rsidP="00887330">
            <w:pPr>
              <w:pStyle w:val="Tabletext"/>
            </w:pPr>
            <w:r w:rsidRPr="00583E1A">
              <w:t>2</w:t>
            </w:r>
          </w:p>
        </w:tc>
        <w:tc>
          <w:tcPr>
            <w:tcW w:w="2268" w:type="dxa"/>
            <w:tcBorders>
              <w:top w:val="single" w:sz="2" w:space="0" w:color="auto"/>
              <w:left w:val="nil"/>
              <w:bottom w:val="single" w:sz="2" w:space="0" w:color="auto"/>
              <w:right w:val="nil"/>
            </w:tcBorders>
            <w:shd w:val="clear" w:color="auto" w:fill="auto"/>
          </w:tcPr>
          <w:p w:rsidR="00887330" w:rsidRPr="00583E1A" w:rsidRDefault="00887330" w:rsidP="00887330">
            <w:pPr>
              <w:pStyle w:val="Tabletext"/>
            </w:pPr>
            <w:r w:rsidRPr="00583E1A">
              <w:t>Subdivisions</w:t>
            </w:r>
            <w:r w:rsidR="00583E1A">
              <w:t> </w:t>
            </w:r>
            <w:r w:rsidRPr="00583E1A">
              <w:t>974</w:t>
            </w:r>
            <w:r w:rsidR="00583E1A">
              <w:noBreakHyphen/>
            </w:r>
            <w:r w:rsidRPr="00583E1A">
              <w:t>C and 974</w:t>
            </w:r>
            <w:r w:rsidR="00583E1A">
              <w:noBreakHyphen/>
            </w:r>
            <w:r w:rsidRPr="00583E1A">
              <w:t>D</w:t>
            </w:r>
          </w:p>
        </w:tc>
        <w:tc>
          <w:tcPr>
            <w:tcW w:w="4134" w:type="dxa"/>
            <w:tcBorders>
              <w:top w:val="single" w:sz="2" w:space="0" w:color="auto"/>
              <w:left w:val="nil"/>
              <w:bottom w:val="single" w:sz="2" w:space="0" w:color="auto"/>
              <w:right w:val="nil"/>
            </w:tcBorders>
            <w:shd w:val="clear" w:color="auto" w:fill="auto"/>
          </w:tcPr>
          <w:p w:rsidR="00887330" w:rsidRPr="00583E1A" w:rsidRDefault="00887330" w:rsidP="00887330">
            <w:pPr>
              <w:pStyle w:val="Tabletext"/>
            </w:pPr>
            <w:r w:rsidRPr="00583E1A">
              <w:t>A reference in those provisions to the equity test in subsection 974</w:t>
            </w:r>
            <w:r w:rsidR="00583E1A">
              <w:noBreakHyphen/>
            </w:r>
            <w:r w:rsidRPr="00583E1A">
              <w:t xml:space="preserve">75(1) is taken to be a reference to the equity test in </w:t>
            </w:r>
            <w:r w:rsidR="00583E1A">
              <w:t>subsection (</w:t>
            </w:r>
            <w:r w:rsidRPr="00583E1A">
              <w:t>2) of this section</w:t>
            </w:r>
          </w:p>
        </w:tc>
      </w:tr>
      <w:tr w:rsidR="00887330" w:rsidRPr="00583E1A">
        <w:trPr>
          <w:cantSplit/>
        </w:trPr>
        <w:tc>
          <w:tcPr>
            <w:tcW w:w="708" w:type="dxa"/>
            <w:tcBorders>
              <w:top w:val="single" w:sz="2" w:space="0" w:color="auto"/>
              <w:left w:val="nil"/>
              <w:bottom w:val="single" w:sz="2" w:space="0" w:color="auto"/>
              <w:right w:val="nil"/>
            </w:tcBorders>
            <w:shd w:val="clear" w:color="auto" w:fill="auto"/>
          </w:tcPr>
          <w:p w:rsidR="00887330" w:rsidRPr="00583E1A" w:rsidRDefault="00887330" w:rsidP="00887330">
            <w:pPr>
              <w:pStyle w:val="Tabletext"/>
            </w:pPr>
            <w:r w:rsidRPr="00583E1A">
              <w:t>3</w:t>
            </w:r>
          </w:p>
        </w:tc>
        <w:tc>
          <w:tcPr>
            <w:tcW w:w="2268" w:type="dxa"/>
            <w:tcBorders>
              <w:top w:val="single" w:sz="2" w:space="0" w:color="auto"/>
              <w:left w:val="nil"/>
              <w:bottom w:val="single" w:sz="2" w:space="0" w:color="auto"/>
              <w:right w:val="nil"/>
            </w:tcBorders>
            <w:shd w:val="clear" w:color="auto" w:fill="auto"/>
          </w:tcPr>
          <w:p w:rsidR="00887330" w:rsidRPr="00583E1A" w:rsidRDefault="00887330" w:rsidP="00887330">
            <w:pPr>
              <w:pStyle w:val="Tabletext"/>
            </w:pPr>
            <w:r w:rsidRPr="00583E1A">
              <w:t>Section</w:t>
            </w:r>
            <w:r w:rsidR="00583E1A">
              <w:t> </w:t>
            </w:r>
            <w:r w:rsidRPr="00583E1A">
              <w:t>974</w:t>
            </w:r>
            <w:r w:rsidR="00583E1A">
              <w:noBreakHyphen/>
            </w:r>
            <w:r w:rsidRPr="00583E1A">
              <w:t>75</w:t>
            </w:r>
          </w:p>
        </w:tc>
        <w:tc>
          <w:tcPr>
            <w:tcW w:w="4134" w:type="dxa"/>
            <w:tcBorders>
              <w:top w:val="single" w:sz="2" w:space="0" w:color="auto"/>
              <w:left w:val="nil"/>
              <w:bottom w:val="single" w:sz="2" w:space="0" w:color="auto"/>
              <w:right w:val="nil"/>
            </w:tcBorders>
            <w:shd w:val="clear" w:color="auto" w:fill="auto"/>
          </w:tcPr>
          <w:p w:rsidR="00887330" w:rsidRPr="00583E1A" w:rsidRDefault="00887330" w:rsidP="00887330">
            <w:pPr>
              <w:pStyle w:val="Tabletext"/>
            </w:pPr>
            <w:r w:rsidRPr="00583E1A">
              <w:t xml:space="preserve">The section does not apply and </w:t>
            </w:r>
            <w:r w:rsidR="00583E1A">
              <w:t>subsections (</w:t>
            </w:r>
            <w:r w:rsidRPr="00583E1A">
              <w:t>2) to (4) of this section apply instead</w:t>
            </w:r>
          </w:p>
        </w:tc>
      </w:tr>
      <w:tr w:rsidR="00887330" w:rsidRPr="00583E1A">
        <w:trPr>
          <w:cantSplit/>
        </w:trPr>
        <w:tc>
          <w:tcPr>
            <w:tcW w:w="708" w:type="dxa"/>
            <w:tcBorders>
              <w:top w:val="single" w:sz="2" w:space="0" w:color="auto"/>
              <w:left w:val="nil"/>
              <w:bottom w:val="single" w:sz="2" w:space="0" w:color="auto"/>
              <w:right w:val="nil"/>
            </w:tcBorders>
            <w:shd w:val="clear" w:color="auto" w:fill="auto"/>
          </w:tcPr>
          <w:p w:rsidR="00887330" w:rsidRPr="00583E1A" w:rsidRDefault="00887330" w:rsidP="00887330">
            <w:pPr>
              <w:pStyle w:val="Tabletext"/>
            </w:pPr>
            <w:r w:rsidRPr="00583E1A">
              <w:t>4</w:t>
            </w:r>
          </w:p>
        </w:tc>
        <w:tc>
          <w:tcPr>
            <w:tcW w:w="2268" w:type="dxa"/>
            <w:tcBorders>
              <w:top w:val="single" w:sz="2" w:space="0" w:color="auto"/>
              <w:left w:val="nil"/>
              <w:bottom w:val="single" w:sz="2" w:space="0" w:color="auto"/>
              <w:right w:val="nil"/>
            </w:tcBorders>
            <w:shd w:val="clear" w:color="auto" w:fill="auto"/>
          </w:tcPr>
          <w:p w:rsidR="00887330" w:rsidRPr="00583E1A" w:rsidRDefault="00887330" w:rsidP="00887330">
            <w:pPr>
              <w:pStyle w:val="Tabletext"/>
            </w:pPr>
            <w:r w:rsidRPr="00583E1A">
              <w:t>Section</w:t>
            </w:r>
            <w:r w:rsidR="00583E1A">
              <w:t> </w:t>
            </w:r>
            <w:r w:rsidRPr="00583E1A">
              <w:t>974</w:t>
            </w:r>
            <w:r w:rsidR="00583E1A">
              <w:noBreakHyphen/>
            </w:r>
            <w:r w:rsidRPr="00583E1A">
              <w:t>80</w:t>
            </w:r>
          </w:p>
        </w:tc>
        <w:tc>
          <w:tcPr>
            <w:tcW w:w="4134" w:type="dxa"/>
            <w:tcBorders>
              <w:top w:val="single" w:sz="2" w:space="0" w:color="auto"/>
              <w:left w:val="nil"/>
              <w:bottom w:val="single" w:sz="2" w:space="0" w:color="auto"/>
              <w:right w:val="nil"/>
            </w:tcBorders>
            <w:shd w:val="clear" w:color="auto" w:fill="auto"/>
          </w:tcPr>
          <w:p w:rsidR="00887330" w:rsidRPr="00583E1A" w:rsidRDefault="00887330" w:rsidP="00887330">
            <w:pPr>
              <w:pStyle w:val="Tabletext"/>
            </w:pPr>
            <w:r w:rsidRPr="00583E1A">
              <w:t>The example does not apply</w:t>
            </w:r>
          </w:p>
        </w:tc>
      </w:tr>
      <w:tr w:rsidR="00887330" w:rsidRPr="00583E1A">
        <w:trPr>
          <w:cantSplit/>
        </w:trPr>
        <w:tc>
          <w:tcPr>
            <w:tcW w:w="708" w:type="dxa"/>
            <w:tcBorders>
              <w:top w:val="single" w:sz="2" w:space="0" w:color="auto"/>
              <w:left w:val="nil"/>
              <w:bottom w:val="single" w:sz="2" w:space="0" w:color="auto"/>
              <w:right w:val="nil"/>
            </w:tcBorders>
            <w:shd w:val="clear" w:color="auto" w:fill="auto"/>
          </w:tcPr>
          <w:p w:rsidR="00887330" w:rsidRPr="00583E1A" w:rsidRDefault="00887330" w:rsidP="00887330">
            <w:pPr>
              <w:pStyle w:val="Tabletext"/>
            </w:pPr>
            <w:r w:rsidRPr="00583E1A">
              <w:t>5</w:t>
            </w:r>
          </w:p>
        </w:tc>
        <w:tc>
          <w:tcPr>
            <w:tcW w:w="2268" w:type="dxa"/>
            <w:tcBorders>
              <w:top w:val="single" w:sz="2" w:space="0" w:color="auto"/>
              <w:left w:val="nil"/>
              <w:bottom w:val="single" w:sz="2" w:space="0" w:color="auto"/>
              <w:right w:val="nil"/>
            </w:tcBorders>
            <w:shd w:val="clear" w:color="auto" w:fill="auto"/>
          </w:tcPr>
          <w:p w:rsidR="00887330" w:rsidRPr="00583E1A" w:rsidRDefault="00887330" w:rsidP="00887330">
            <w:pPr>
              <w:pStyle w:val="Tabletext"/>
            </w:pPr>
            <w:r w:rsidRPr="00583E1A">
              <w:t>Section</w:t>
            </w:r>
            <w:r w:rsidR="00583E1A">
              <w:t> </w:t>
            </w:r>
            <w:r w:rsidRPr="00583E1A">
              <w:t>974</w:t>
            </w:r>
            <w:r w:rsidR="00583E1A">
              <w:noBreakHyphen/>
            </w:r>
            <w:r w:rsidRPr="00583E1A">
              <w:t>95</w:t>
            </w:r>
          </w:p>
        </w:tc>
        <w:tc>
          <w:tcPr>
            <w:tcW w:w="4134" w:type="dxa"/>
            <w:tcBorders>
              <w:top w:val="single" w:sz="2" w:space="0" w:color="auto"/>
              <w:left w:val="nil"/>
              <w:bottom w:val="single" w:sz="2" w:space="0" w:color="auto"/>
              <w:right w:val="nil"/>
            </w:tcBorders>
            <w:shd w:val="clear" w:color="auto" w:fill="auto"/>
          </w:tcPr>
          <w:p w:rsidR="00887330" w:rsidRPr="00583E1A" w:rsidRDefault="00887330" w:rsidP="00887330">
            <w:pPr>
              <w:pStyle w:val="Tabletext"/>
            </w:pPr>
            <w:r w:rsidRPr="00583E1A">
              <w:t>A reference in those provisions to the table in subsection 974</w:t>
            </w:r>
            <w:r w:rsidR="00583E1A">
              <w:noBreakHyphen/>
            </w:r>
            <w:r w:rsidRPr="00583E1A">
              <w:t xml:space="preserve">75(1) is taken to be a reference to the table in </w:t>
            </w:r>
            <w:r w:rsidR="00583E1A">
              <w:t>subsection (</w:t>
            </w:r>
            <w:r w:rsidRPr="00583E1A">
              <w:t>2) of this section</w:t>
            </w:r>
          </w:p>
        </w:tc>
      </w:tr>
      <w:tr w:rsidR="00887330" w:rsidRPr="00583E1A">
        <w:trPr>
          <w:cantSplit/>
        </w:trPr>
        <w:tc>
          <w:tcPr>
            <w:tcW w:w="708" w:type="dxa"/>
            <w:tcBorders>
              <w:top w:val="single" w:sz="2" w:space="0" w:color="auto"/>
              <w:left w:val="nil"/>
              <w:bottom w:val="single" w:sz="2" w:space="0" w:color="auto"/>
              <w:right w:val="nil"/>
            </w:tcBorders>
            <w:shd w:val="clear" w:color="auto" w:fill="auto"/>
          </w:tcPr>
          <w:p w:rsidR="00887330" w:rsidRPr="00583E1A" w:rsidRDefault="00887330" w:rsidP="00887330">
            <w:pPr>
              <w:pStyle w:val="Tabletext"/>
            </w:pPr>
            <w:r w:rsidRPr="00583E1A">
              <w:t>6</w:t>
            </w:r>
          </w:p>
        </w:tc>
        <w:tc>
          <w:tcPr>
            <w:tcW w:w="2268" w:type="dxa"/>
            <w:tcBorders>
              <w:top w:val="single" w:sz="2" w:space="0" w:color="auto"/>
              <w:left w:val="nil"/>
              <w:bottom w:val="single" w:sz="2" w:space="0" w:color="auto"/>
              <w:right w:val="nil"/>
            </w:tcBorders>
            <w:shd w:val="clear" w:color="auto" w:fill="auto"/>
          </w:tcPr>
          <w:p w:rsidR="00887330" w:rsidRPr="00583E1A" w:rsidRDefault="00887330" w:rsidP="00887330">
            <w:pPr>
              <w:pStyle w:val="Tabletext"/>
            </w:pPr>
            <w:r w:rsidRPr="00583E1A">
              <w:t>Subsection 974</w:t>
            </w:r>
            <w:r w:rsidR="00583E1A">
              <w:noBreakHyphen/>
            </w:r>
            <w:r w:rsidRPr="00583E1A">
              <w:t>95(4)</w:t>
            </w:r>
          </w:p>
        </w:tc>
        <w:tc>
          <w:tcPr>
            <w:tcW w:w="4134" w:type="dxa"/>
            <w:tcBorders>
              <w:top w:val="single" w:sz="2" w:space="0" w:color="auto"/>
              <w:left w:val="nil"/>
              <w:bottom w:val="single" w:sz="2" w:space="0" w:color="auto"/>
              <w:right w:val="nil"/>
            </w:tcBorders>
            <w:shd w:val="clear" w:color="auto" w:fill="auto"/>
          </w:tcPr>
          <w:p w:rsidR="00887330" w:rsidRPr="00583E1A" w:rsidRDefault="00887330" w:rsidP="00887330">
            <w:pPr>
              <w:pStyle w:val="Tabletext"/>
            </w:pPr>
            <w:r w:rsidRPr="00583E1A">
              <w:t>The subsection does not apply</w:t>
            </w:r>
          </w:p>
        </w:tc>
      </w:tr>
      <w:tr w:rsidR="00887330" w:rsidRPr="00583E1A">
        <w:trPr>
          <w:cantSplit/>
        </w:trPr>
        <w:tc>
          <w:tcPr>
            <w:tcW w:w="708" w:type="dxa"/>
            <w:tcBorders>
              <w:top w:val="single" w:sz="2" w:space="0" w:color="auto"/>
              <w:left w:val="nil"/>
              <w:bottom w:val="single" w:sz="2" w:space="0" w:color="auto"/>
              <w:right w:val="nil"/>
            </w:tcBorders>
            <w:shd w:val="clear" w:color="auto" w:fill="auto"/>
          </w:tcPr>
          <w:p w:rsidR="00887330" w:rsidRPr="00583E1A" w:rsidRDefault="00887330" w:rsidP="00887330">
            <w:pPr>
              <w:pStyle w:val="Tabletext"/>
            </w:pPr>
            <w:r w:rsidRPr="00583E1A">
              <w:t>7</w:t>
            </w:r>
          </w:p>
        </w:tc>
        <w:tc>
          <w:tcPr>
            <w:tcW w:w="2268" w:type="dxa"/>
            <w:tcBorders>
              <w:top w:val="single" w:sz="2" w:space="0" w:color="auto"/>
              <w:left w:val="nil"/>
              <w:bottom w:val="single" w:sz="2" w:space="0" w:color="auto"/>
              <w:right w:val="nil"/>
            </w:tcBorders>
            <w:shd w:val="clear" w:color="auto" w:fill="auto"/>
          </w:tcPr>
          <w:p w:rsidR="00887330" w:rsidRPr="00583E1A" w:rsidRDefault="00887330" w:rsidP="00887330">
            <w:pPr>
              <w:pStyle w:val="Tabletext"/>
            </w:pPr>
            <w:r w:rsidRPr="00583E1A">
              <w:t>Subdivision</w:t>
            </w:r>
            <w:r w:rsidR="00583E1A">
              <w:t> </w:t>
            </w:r>
            <w:r w:rsidRPr="00583E1A">
              <w:t>974</w:t>
            </w:r>
            <w:r w:rsidR="00583E1A">
              <w:noBreakHyphen/>
            </w:r>
            <w:r w:rsidRPr="00583E1A">
              <w:t>F</w:t>
            </w:r>
          </w:p>
        </w:tc>
        <w:tc>
          <w:tcPr>
            <w:tcW w:w="4134" w:type="dxa"/>
            <w:tcBorders>
              <w:top w:val="single" w:sz="2" w:space="0" w:color="auto"/>
              <w:left w:val="nil"/>
              <w:bottom w:val="single" w:sz="2" w:space="0" w:color="auto"/>
              <w:right w:val="nil"/>
            </w:tcBorders>
            <w:shd w:val="clear" w:color="auto" w:fill="auto"/>
          </w:tcPr>
          <w:p w:rsidR="00887330" w:rsidRPr="00583E1A" w:rsidRDefault="00887330" w:rsidP="00887330">
            <w:pPr>
              <w:pStyle w:val="Tabletext"/>
            </w:pPr>
            <w:r w:rsidRPr="00583E1A">
              <w:t>The Subdivision applies for the purposes of this section</w:t>
            </w:r>
          </w:p>
        </w:tc>
      </w:tr>
      <w:tr w:rsidR="00887330" w:rsidRPr="00583E1A">
        <w:trPr>
          <w:cantSplit/>
        </w:trPr>
        <w:tc>
          <w:tcPr>
            <w:tcW w:w="708" w:type="dxa"/>
            <w:tcBorders>
              <w:top w:val="single" w:sz="2" w:space="0" w:color="auto"/>
              <w:left w:val="nil"/>
              <w:bottom w:val="single" w:sz="12" w:space="0" w:color="auto"/>
              <w:right w:val="nil"/>
            </w:tcBorders>
          </w:tcPr>
          <w:p w:rsidR="00887330" w:rsidRPr="00583E1A" w:rsidRDefault="00887330" w:rsidP="00887330">
            <w:pPr>
              <w:pStyle w:val="Tabletext"/>
            </w:pPr>
            <w:r w:rsidRPr="00583E1A">
              <w:t>8</w:t>
            </w:r>
          </w:p>
        </w:tc>
        <w:tc>
          <w:tcPr>
            <w:tcW w:w="2268" w:type="dxa"/>
            <w:tcBorders>
              <w:top w:val="single" w:sz="2" w:space="0" w:color="auto"/>
              <w:left w:val="nil"/>
              <w:bottom w:val="single" w:sz="12" w:space="0" w:color="auto"/>
              <w:right w:val="nil"/>
            </w:tcBorders>
          </w:tcPr>
          <w:p w:rsidR="00887330" w:rsidRPr="00583E1A" w:rsidRDefault="00887330" w:rsidP="00887330">
            <w:pPr>
              <w:pStyle w:val="Tabletext"/>
            </w:pPr>
            <w:r w:rsidRPr="00583E1A">
              <w:t>Subdivisions</w:t>
            </w:r>
            <w:r w:rsidR="00583E1A">
              <w:t> </w:t>
            </w:r>
            <w:r w:rsidRPr="00583E1A">
              <w:t>974</w:t>
            </w:r>
            <w:r w:rsidR="00583E1A">
              <w:noBreakHyphen/>
            </w:r>
            <w:r w:rsidRPr="00583E1A">
              <w:t>C, 974</w:t>
            </w:r>
            <w:r w:rsidR="00583E1A">
              <w:noBreakHyphen/>
            </w:r>
            <w:r w:rsidRPr="00583E1A">
              <w:t>D and 974</w:t>
            </w:r>
            <w:r w:rsidR="00583E1A">
              <w:noBreakHyphen/>
            </w:r>
            <w:r w:rsidRPr="00583E1A">
              <w:t>F</w:t>
            </w:r>
          </w:p>
        </w:tc>
        <w:tc>
          <w:tcPr>
            <w:tcW w:w="4134" w:type="dxa"/>
            <w:tcBorders>
              <w:top w:val="single" w:sz="2" w:space="0" w:color="auto"/>
              <w:left w:val="nil"/>
              <w:bottom w:val="single" w:sz="12" w:space="0" w:color="auto"/>
              <w:right w:val="nil"/>
            </w:tcBorders>
          </w:tcPr>
          <w:p w:rsidR="00887330" w:rsidRPr="00583E1A" w:rsidRDefault="00887330" w:rsidP="00887330">
            <w:pPr>
              <w:pStyle w:val="Tabletext"/>
            </w:pPr>
            <w:r w:rsidRPr="00583E1A">
              <w:t>A reference in those provisions to the regulations is taken to be a reference to the regulations made under the provisions applied by this subsection</w:t>
            </w:r>
          </w:p>
        </w:tc>
      </w:tr>
    </w:tbl>
    <w:p w:rsidR="00887330" w:rsidRPr="00583E1A" w:rsidRDefault="00887330" w:rsidP="00887330">
      <w:pPr>
        <w:pStyle w:val="notetext"/>
      </w:pPr>
      <w:r w:rsidRPr="00583E1A">
        <w:t>Note:</w:t>
      </w:r>
      <w:r w:rsidRPr="00583E1A">
        <w:tab/>
        <w:t>An interest that satisfies both the equity test and the debt test set out in Subdivision</w:t>
      </w:r>
      <w:r w:rsidR="00583E1A">
        <w:t> </w:t>
      </w:r>
      <w:r w:rsidRPr="00583E1A">
        <w:t>974</w:t>
      </w:r>
      <w:r w:rsidR="00583E1A">
        <w:noBreakHyphen/>
      </w:r>
      <w:r w:rsidRPr="00583E1A">
        <w:t xml:space="preserve">B is treated as a debt interest and not an equity interest (see that Subdivision in conjunction with the provisions applied by </w:t>
      </w:r>
      <w:r w:rsidR="00583E1A">
        <w:t>subsection (</w:t>
      </w:r>
      <w:r w:rsidRPr="00583E1A">
        <w:t>1)).</w:t>
      </w:r>
    </w:p>
    <w:p w:rsidR="00887330" w:rsidRPr="00583E1A" w:rsidRDefault="00887330" w:rsidP="00887330">
      <w:pPr>
        <w:pStyle w:val="SubsectionHead"/>
      </w:pPr>
      <w:r w:rsidRPr="00583E1A">
        <w:t>Equity tests</w:t>
      </w:r>
    </w:p>
    <w:p w:rsidR="00887330" w:rsidRPr="00583E1A" w:rsidRDefault="00887330" w:rsidP="00887330">
      <w:pPr>
        <w:pStyle w:val="subsection"/>
      </w:pPr>
      <w:r w:rsidRPr="00583E1A">
        <w:tab/>
        <w:t>(2)</w:t>
      </w:r>
      <w:r w:rsidRPr="00583E1A">
        <w:tab/>
        <w:t xml:space="preserve">A </w:t>
      </w:r>
      <w:r w:rsidR="00583E1A" w:rsidRPr="00583E1A">
        <w:rPr>
          <w:position w:val="6"/>
          <w:sz w:val="16"/>
        </w:rPr>
        <w:t>*</w:t>
      </w:r>
      <w:r w:rsidRPr="00583E1A">
        <w:t>scheme satisfies the equity test in this subsection in relation to an entity that is a trust or partnership if the scheme gives rise to an interest set out in the following table:</w:t>
      </w:r>
    </w:p>
    <w:p w:rsidR="00887330" w:rsidRPr="00583E1A" w:rsidRDefault="00887330" w:rsidP="00887330">
      <w:pPr>
        <w:pStyle w:val="Tabletext"/>
        <w:keepNext/>
      </w:pPr>
    </w:p>
    <w:tbl>
      <w:tblPr>
        <w:tblW w:w="0" w:type="auto"/>
        <w:tblInd w:w="1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709"/>
        <w:gridCol w:w="5268"/>
      </w:tblGrid>
      <w:tr w:rsidR="00887330" w:rsidRPr="00583E1A">
        <w:trPr>
          <w:cantSplit/>
          <w:tblHeader/>
        </w:trPr>
        <w:tc>
          <w:tcPr>
            <w:tcW w:w="5977" w:type="dxa"/>
            <w:gridSpan w:val="2"/>
            <w:tcBorders>
              <w:top w:val="single" w:sz="12" w:space="0" w:color="auto"/>
              <w:left w:val="nil"/>
              <w:bottom w:val="nil"/>
              <w:right w:val="nil"/>
            </w:tcBorders>
          </w:tcPr>
          <w:p w:rsidR="00887330" w:rsidRPr="00583E1A" w:rsidRDefault="00887330" w:rsidP="00887330">
            <w:pPr>
              <w:pStyle w:val="Tabletext"/>
              <w:keepNext/>
            </w:pPr>
            <w:r w:rsidRPr="00583E1A">
              <w:rPr>
                <w:b/>
              </w:rPr>
              <w:t>Equity interests</w:t>
            </w:r>
          </w:p>
        </w:tc>
      </w:tr>
      <w:tr w:rsidR="00887330" w:rsidRPr="00583E1A">
        <w:trPr>
          <w:cantSplit/>
          <w:tblHeader/>
        </w:trPr>
        <w:tc>
          <w:tcPr>
            <w:tcW w:w="709" w:type="dxa"/>
            <w:tcBorders>
              <w:top w:val="single" w:sz="6" w:space="0" w:color="auto"/>
              <w:left w:val="nil"/>
              <w:bottom w:val="single" w:sz="12" w:space="0" w:color="auto"/>
              <w:right w:val="nil"/>
            </w:tcBorders>
          </w:tcPr>
          <w:p w:rsidR="00887330" w:rsidRPr="00583E1A" w:rsidRDefault="00887330" w:rsidP="00887330">
            <w:pPr>
              <w:pStyle w:val="Tabletext"/>
              <w:keepNext/>
            </w:pPr>
            <w:r w:rsidRPr="00583E1A">
              <w:rPr>
                <w:b/>
              </w:rPr>
              <w:t>Item</w:t>
            </w:r>
          </w:p>
        </w:tc>
        <w:tc>
          <w:tcPr>
            <w:tcW w:w="5268" w:type="dxa"/>
            <w:tcBorders>
              <w:top w:val="single" w:sz="6" w:space="0" w:color="auto"/>
              <w:left w:val="nil"/>
              <w:bottom w:val="single" w:sz="12" w:space="0" w:color="auto"/>
              <w:right w:val="nil"/>
            </w:tcBorders>
          </w:tcPr>
          <w:p w:rsidR="00887330" w:rsidRPr="00583E1A" w:rsidRDefault="00887330" w:rsidP="00887330">
            <w:pPr>
              <w:pStyle w:val="Tabletext"/>
              <w:keepNext/>
            </w:pPr>
            <w:r w:rsidRPr="00583E1A">
              <w:rPr>
                <w:b/>
              </w:rPr>
              <w:t>Interest</w:t>
            </w:r>
          </w:p>
        </w:tc>
      </w:tr>
      <w:tr w:rsidR="00887330" w:rsidRPr="00583E1A">
        <w:trPr>
          <w:cantSplit/>
        </w:trPr>
        <w:tc>
          <w:tcPr>
            <w:tcW w:w="709" w:type="dxa"/>
            <w:tcBorders>
              <w:top w:val="single" w:sz="12" w:space="0" w:color="auto"/>
              <w:left w:val="nil"/>
              <w:bottom w:val="single" w:sz="2" w:space="0" w:color="auto"/>
              <w:right w:val="nil"/>
            </w:tcBorders>
            <w:shd w:val="clear" w:color="auto" w:fill="auto"/>
          </w:tcPr>
          <w:p w:rsidR="00887330" w:rsidRPr="00583E1A" w:rsidRDefault="00887330" w:rsidP="00887330">
            <w:pPr>
              <w:pStyle w:val="Tabletext"/>
            </w:pPr>
            <w:r w:rsidRPr="00583E1A">
              <w:t>1</w:t>
            </w:r>
          </w:p>
        </w:tc>
        <w:tc>
          <w:tcPr>
            <w:tcW w:w="5268" w:type="dxa"/>
            <w:tcBorders>
              <w:top w:val="single" w:sz="12" w:space="0" w:color="auto"/>
              <w:left w:val="nil"/>
              <w:bottom w:val="single" w:sz="2" w:space="0" w:color="auto"/>
              <w:right w:val="nil"/>
            </w:tcBorders>
            <w:shd w:val="clear" w:color="auto" w:fill="auto"/>
          </w:tcPr>
          <w:p w:rsidR="00887330" w:rsidRPr="00583E1A" w:rsidRDefault="00887330" w:rsidP="00887330">
            <w:pPr>
              <w:pStyle w:val="Tabletext"/>
            </w:pPr>
            <w:r w:rsidRPr="00583E1A">
              <w:t>In the case of a trust, an interest as a beneficiary of the trust</w:t>
            </w:r>
          </w:p>
          <w:p w:rsidR="00887330" w:rsidRPr="00583E1A" w:rsidRDefault="00887330" w:rsidP="00887330">
            <w:pPr>
              <w:pStyle w:val="Tabletext"/>
            </w:pPr>
            <w:r w:rsidRPr="00583E1A">
              <w:t>In the case of a partnership, an interest as a partner in the partnership</w:t>
            </w:r>
          </w:p>
        </w:tc>
      </w:tr>
      <w:tr w:rsidR="00887330" w:rsidRPr="00583E1A">
        <w:trPr>
          <w:cantSplit/>
        </w:trPr>
        <w:tc>
          <w:tcPr>
            <w:tcW w:w="709" w:type="dxa"/>
            <w:tcBorders>
              <w:top w:val="single" w:sz="2" w:space="0" w:color="auto"/>
              <w:left w:val="nil"/>
              <w:bottom w:val="single" w:sz="2" w:space="0" w:color="auto"/>
              <w:right w:val="nil"/>
            </w:tcBorders>
            <w:shd w:val="clear" w:color="auto" w:fill="auto"/>
          </w:tcPr>
          <w:p w:rsidR="00887330" w:rsidRPr="00583E1A" w:rsidRDefault="00887330" w:rsidP="00887330">
            <w:pPr>
              <w:pStyle w:val="Tabletext"/>
            </w:pPr>
            <w:r w:rsidRPr="00583E1A">
              <w:t>2</w:t>
            </w:r>
          </w:p>
        </w:tc>
        <w:tc>
          <w:tcPr>
            <w:tcW w:w="5268" w:type="dxa"/>
            <w:tcBorders>
              <w:top w:val="single" w:sz="2" w:space="0" w:color="auto"/>
              <w:left w:val="nil"/>
              <w:bottom w:val="single" w:sz="2" w:space="0" w:color="auto"/>
              <w:right w:val="nil"/>
            </w:tcBorders>
            <w:shd w:val="clear" w:color="auto" w:fill="auto"/>
          </w:tcPr>
          <w:p w:rsidR="00887330" w:rsidRPr="00583E1A" w:rsidRDefault="00887330" w:rsidP="00887330">
            <w:pPr>
              <w:pStyle w:val="Tabletext"/>
            </w:pPr>
            <w:r w:rsidRPr="00583E1A">
              <w:t xml:space="preserve">An interest that carries a right to a variable or fixed return from the entity if either the right itself, or the amount of the return, is in substance or effect </w:t>
            </w:r>
            <w:r w:rsidR="00583E1A" w:rsidRPr="00583E1A">
              <w:rPr>
                <w:position w:val="6"/>
                <w:sz w:val="16"/>
              </w:rPr>
              <w:t>*</w:t>
            </w:r>
            <w:r w:rsidRPr="00583E1A">
              <w:t>contingent on the economic performance (whether past, current or future) of:</w:t>
            </w:r>
          </w:p>
          <w:p w:rsidR="00887330" w:rsidRPr="00583E1A" w:rsidRDefault="00887330" w:rsidP="00887330">
            <w:pPr>
              <w:pStyle w:val="Tablea"/>
            </w:pPr>
            <w:r w:rsidRPr="00583E1A">
              <w:t>(a) the entity; or</w:t>
            </w:r>
          </w:p>
          <w:p w:rsidR="00887330" w:rsidRPr="00583E1A" w:rsidRDefault="00887330" w:rsidP="00887330">
            <w:pPr>
              <w:pStyle w:val="Tablea"/>
            </w:pPr>
            <w:r w:rsidRPr="00583E1A">
              <w:t>(b) a part of the entity’s activities; or</w:t>
            </w:r>
          </w:p>
          <w:p w:rsidR="00887330" w:rsidRPr="00583E1A" w:rsidRDefault="00887330" w:rsidP="00887330">
            <w:pPr>
              <w:pStyle w:val="Tablea"/>
            </w:pPr>
            <w:r w:rsidRPr="00583E1A">
              <w:t xml:space="preserve">(c) an </w:t>
            </w:r>
            <w:r w:rsidR="00583E1A" w:rsidRPr="00583E1A">
              <w:rPr>
                <w:position w:val="6"/>
                <w:sz w:val="16"/>
              </w:rPr>
              <w:t>*</w:t>
            </w:r>
            <w:r w:rsidRPr="00583E1A">
              <w:t>associate of the entity or a part of the activities of an associate of the entity</w:t>
            </w:r>
          </w:p>
          <w:p w:rsidR="00887330" w:rsidRPr="00583E1A" w:rsidRDefault="00887330" w:rsidP="00887330">
            <w:pPr>
              <w:pStyle w:val="Tabletext"/>
            </w:pPr>
            <w:r w:rsidRPr="00583E1A">
              <w:t>The return may be a return of an amount invested in the interest</w:t>
            </w:r>
          </w:p>
        </w:tc>
      </w:tr>
      <w:tr w:rsidR="00887330" w:rsidRPr="00583E1A">
        <w:trPr>
          <w:cantSplit/>
        </w:trPr>
        <w:tc>
          <w:tcPr>
            <w:tcW w:w="709" w:type="dxa"/>
            <w:tcBorders>
              <w:top w:val="single" w:sz="2" w:space="0" w:color="auto"/>
              <w:left w:val="nil"/>
              <w:bottom w:val="single" w:sz="2" w:space="0" w:color="auto"/>
              <w:right w:val="nil"/>
            </w:tcBorders>
            <w:shd w:val="clear" w:color="auto" w:fill="auto"/>
          </w:tcPr>
          <w:p w:rsidR="00887330" w:rsidRPr="00583E1A" w:rsidRDefault="00887330" w:rsidP="00887330">
            <w:pPr>
              <w:pStyle w:val="Tabletext"/>
            </w:pPr>
            <w:r w:rsidRPr="00583E1A">
              <w:t>3</w:t>
            </w:r>
          </w:p>
        </w:tc>
        <w:tc>
          <w:tcPr>
            <w:tcW w:w="5268" w:type="dxa"/>
            <w:tcBorders>
              <w:top w:val="single" w:sz="2" w:space="0" w:color="auto"/>
              <w:left w:val="nil"/>
              <w:bottom w:val="single" w:sz="2" w:space="0" w:color="auto"/>
              <w:right w:val="nil"/>
            </w:tcBorders>
            <w:shd w:val="clear" w:color="auto" w:fill="auto"/>
          </w:tcPr>
          <w:p w:rsidR="00887330" w:rsidRPr="00583E1A" w:rsidRDefault="00887330" w:rsidP="00887330">
            <w:pPr>
              <w:pStyle w:val="Tabletext"/>
            </w:pPr>
            <w:r w:rsidRPr="00583E1A">
              <w:t>An interest that carries a right to a variable or fixed return from the entity if either the right itself, or the amount of the return, is at the discretion of:</w:t>
            </w:r>
          </w:p>
          <w:p w:rsidR="00887330" w:rsidRPr="00583E1A" w:rsidRDefault="00887330" w:rsidP="00887330">
            <w:pPr>
              <w:pStyle w:val="Tablea"/>
            </w:pPr>
            <w:r w:rsidRPr="00583E1A">
              <w:t>(a) the entity; or</w:t>
            </w:r>
          </w:p>
          <w:p w:rsidR="00887330" w:rsidRPr="00583E1A" w:rsidRDefault="00887330" w:rsidP="00887330">
            <w:pPr>
              <w:pStyle w:val="Tablea"/>
            </w:pPr>
            <w:r w:rsidRPr="00583E1A">
              <w:t xml:space="preserve">(b) an </w:t>
            </w:r>
            <w:r w:rsidR="00583E1A" w:rsidRPr="00583E1A">
              <w:rPr>
                <w:position w:val="6"/>
                <w:sz w:val="16"/>
              </w:rPr>
              <w:t>*</w:t>
            </w:r>
            <w:r w:rsidRPr="00583E1A">
              <w:t>associate of the entity</w:t>
            </w:r>
          </w:p>
          <w:p w:rsidR="00887330" w:rsidRPr="00583E1A" w:rsidRDefault="00887330" w:rsidP="00887330">
            <w:pPr>
              <w:pStyle w:val="Tabletext"/>
            </w:pPr>
            <w:r w:rsidRPr="00583E1A">
              <w:t>The return may be a return of an amount invested in the interest</w:t>
            </w:r>
          </w:p>
        </w:tc>
      </w:tr>
      <w:tr w:rsidR="00887330" w:rsidRPr="00583E1A">
        <w:trPr>
          <w:cantSplit/>
        </w:trPr>
        <w:tc>
          <w:tcPr>
            <w:tcW w:w="709" w:type="dxa"/>
            <w:tcBorders>
              <w:top w:val="single" w:sz="2" w:space="0" w:color="auto"/>
              <w:left w:val="nil"/>
              <w:bottom w:val="single" w:sz="12" w:space="0" w:color="auto"/>
              <w:right w:val="nil"/>
            </w:tcBorders>
          </w:tcPr>
          <w:p w:rsidR="00887330" w:rsidRPr="00583E1A" w:rsidRDefault="00887330" w:rsidP="00887330">
            <w:pPr>
              <w:pStyle w:val="Tabletext"/>
            </w:pPr>
            <w:r w:rsidRPr="00583E1A">
              <w:t>4</w:t>
            </w:r>
          </w:p>
        </w:tc>
        <w:tc>
          <w:tcPr>
            <w:tcW w:w="5268" w:type="dxa"/>
            <w:tcBorders>
              <w:top w:val="single" w:sz="2" w:space="0" w:color="auto"/>
              <w:left w:val="nil"/>
              <w:bottom w:val="single" w:sz="12" w:space="0" w:color="auto"/>
              <w:right w:val="nil"/>
            </w:tcBorders>
          </w:tcPr>
          <w:p w:rsidR="00887330" w:rsidRPr="00583E1A" w:rsidRDefault="00887330" w:rsidP="00887330">
            <w:pPr>
              <w:pStyle w:val="Tabletext"/>
            </w:pPr>
            <w:r w:rsidRPr="00583E1A">
              <w:t xml:space="preserve">An </w:t>
            </w:r>
            <w:r w:rsidR="00583E1A" w:rsidRPr="00583E1A">
              <w:rPr>
                <w:position w:val="6"/>
                <w:sz w:val="16"/>
              </w:rPr>
              <w:t>*</w:t>
            </w:r>
            <w:r w:rsidRPr="00583E1A">
              <w:t>interest issued by the entity that:</w:t>
            </w:r>
          </w:p>
          <w:p w:rsidR="00887330" w:rsidRPr="00583E1A" w:rsidRDefault="00887330" w:rsidP="00887330">
            <w:pPr>
              <w:pStyle w:val="Tablea"/>
            </w:pPr>
            <w:r w:rsidRPr="00583E1A">
              <w:t xml:space="preserve">(a) gives its holder (or an </w:t>
            </w:r>
            <w:r w:rsidR="00583E1A" w:rsidRPr="00583E1A">
              <w:rPr>
                <w:position w:val="6"/>
                <w:sz w:val="16"/>
              </w:rPr>
              <w:t>*</w:t>
            </w:r>
            <w:r w:rsidRPr="00583E1A">
              <w:t xml:space="preserve">associate of the holder) a right to be issued with an </w:t>
            </w:r>
            <w:r w:rsidR="00583E1A" w:rsidRPr="00583E1A">
              <w:rPr>
                <w:position w:val="6"/>
                <w:sz w:val="16"/>
              </w:rPr>
              <w:t>*</w:t>
            </w:r>
            <w:r w:rsidRPr="00583E1A">
              <w:t>equity interest in the entity or an associate of the entity; or</w:t>
            </w:r>
          </w:p>
          <w:p w:rsidR="00887330" w:rsidRPr="00583E1A" w:rsidRDefault="00887330" w:rsidP="00887330">
            <w:pPr>
              <w:pStyle w:val="Tablea"/>
            </w:pPr>
            <w:r w:rsidRPr="00583E1A">
              <w:t>(b) is an interest that will, or may, convert into an equity interest in the entity or an associate of the entity</w:t>
            </w:r>
          </w:p>
        </w:tc>
      </w:tr>
    </w:tbl>
    <w:p w:rsidR="00887330" w:rsidRPr="00583E1A" w:rsidRDefault="00887330" w:rsidP="00887330">
      <w:pPr>
        <w:pStyle w:val="subsection"/>
      </w:pPr>
      <w:r w:rsidRPr="00583E1A">
        <w:tab/>
      </w:r>
      <w:r w:rsidRPr="00583E1A">
        <w:tab/>
        <w:t xml:space="preserve">This subsection has effect subject to </w:t>
      </w:r>
      <w:r w:rsidR="00583E1A">
        <w:t>subsection (</w:t>
      </w:r>
      <w:r w:rsidRPr="00583E1A">
        <w:t>3) (requirement for financing arrangement).</w:t>
      </w:r>
    </w:p>
    <w:p w:rsidR="00887330" w:rsidRPr="00583E1A" w:rsidRDefault="00887330" w:rsidP="00887330">
      <w:pPr>
        <w:pStyle w:val="notetext"/>
      </w:pPr>
      <w:r w:rsidRPr="00583E1A">
        <w:t>Note:</w:t>
      </w:r>
      <w:r w:rsidRPr="00583E1A">
        <w:tab/>
        <w:t>Section</w:t>
      </w:r>
      <w:r w:rsidR="00583E1A">
        <w:t> </w:t>
      </w:r>
      <w:r w:rsidRPr="00583E1A">
        <w:t>974</w:t>
      </w:r>
      <w:r w:rsidR="00583E1A">
        <w:noBreakHyphen/>
      </w:r>
      <w:r w:rsidRPr="00583E1A">
        <w:t xml:space="preserve">90 as applied by </w:t>
      </w:r>
      <w:r w:rsidR="00583E1A">
        <w:t>subsection (</w:t>
      </w:r>
      <w:r w:rsidRPr="00583E1A">
        <w:t>1) allows regulations to be made clarifying when a right or return is taken to be at the discretion of an entity or an associate.</w:t>
      </w:r>
    </w:p>
    <w:p w:rsidR="00887330" w:rsidRPr="00583E1A" w:rsidRDefault="00887330" w:rsidP="00887330">
      <w:pPr>
        <w:pStyle w:val="SubsectionHead"/>
      </w:pPr>
      <w:r w:rsidRPr="00583E1A">
        <w:lastRenderedPageBreak/>
        <w:t>Financing arrangement</w:t>
      </w:r>
    </w:p>
    <w:p w:rsidR="00887330" w:rsidRPr="00583E1A" w:rsidRDefault="00887330" w:rsidP="00887330">
      <w:pPr>
        <w:pStyle w:val="subsection"/>
      </w:pPr>
      <w:r w:rsidRPr="00583E1A">
        <w:tab/>
        <w:t>(3)</w:t>
      </w:r>
      <w:r w:rsidRPr="00583E1A">
        <w:tab/>
        <w:t xml:space="preserve">A </w:t>
      </w:r>
      <w:r w:rsidR="00583E1A" w:rsidRPr="00583E1A">
        <w:rPr>
          <w:position w:val="6"/>
          <w:sz w:val="16"/>
        </w:rPr>
        <w:t>*</w:t>
      </w:r>
      <w:r w:rsidRPr="00583E1A">
        <w:t xml:space="preserve">scheme that would otherwise give rise to an </w:t>
      </w:r>
      <w:r w:rsidR="00583E1A" w:rsidRPr="00583E1A">
        <w:rPr>
          <w:position w:val="6"/>
          <w:sz w:val="16"/>
        </w:rPr>
        <w:t>*</w:t>
      </w:r>
      <w:r w:rsidRPr="00583E1A">
        <w:t xml:space="preserve">equity interest in an entity that is a trust or partnership because of an item in the table in </w:t>
      </w:r>
      <w:r w:rsidR="00583E1A">
        <w:t>subsection (</w:t>
      </w:r>
      <w:r w:rsidRPr="00583E1A">
        <w:t>2) (other than item</w:t>
      </w:r>
      <w:r w:rsidR="00583E1A">
        <w:t> </w:t>
      </w:r>
      <w:r w:rsidRPr="00583E1A">
        <w:t xml:space="preserve">1) does not give rise to an equity interest in the entity unless the scheme is a </w:t>
      </w:r>
      <w:r w:rsidR="00583E1A" w:rsidRPr="00583E1A">
        <w:rPr>
          <w:position w:val="6"/>
          <w:sz w:val="16"/>
        </w:rPr>
        <w:t>*</w:t>
      </w:r>
      <w:r w:rsidRPr="00583E1A">
        <w:t>financing arrangement (see section</w:t>
      </w:r>
      <w:r w:rsidR="00583E1A">
        <w:t> </w:t>
      </w:r>
      <w:r w:rsidRPr="00583E1A">
        <w:t>974</w:t>
      </w:r>
      <w:r w:rsidR="00583E1A">
        <w:noBreakHyphen/>
      </w:r>
      <w:r w:rsidRPr="00583E1A">
        <w:t>130 as applied by this section) for the trust or partnership.</w:t>
      </w:r>
    </w:p>
    <w:p w:rsidR="00887330" w:rsidRPr="00583E1A" w:rsidRDefault="00887330" w:rsidP="00887330">
      <w:pPr>
        <w:pStyle w:val="SubsectionHead"/>
      </w:pPr>
      <w:r w:rsidRPr="00583E1A">
        <w:t>Form interest may take</w:t>
      </w:r>
    </w:p>
    <w:p w:rsidR="00887330" w:rsidRPr="00583E1A" w:rsidRDefault="00887330" w:rsidP="00887330">
      <w:pPr>
        <w:pStyle w:val="subsection"/>
      </w:pPr>
      <w:r w:rsidRPr="00583E1A">
        <w:tab/>
        <w:t>(4)</w:t>
      </w:r>
      <w:r w:rsidRPr="00583E1A">
        <w:tab/>
        <w:t>The interest referred to in item</w:t>
      </w:r>
      <w:r w:rsidR="00583E1A">
        <w:t> </w:t>
      </w:r>
      <w:r w:rsidRPr="00583E1A">
        <w:t xml:space="preserve">2, 3 or 4 in the table in </w:t>
      </w:r>
      <w:r w:rsidR="00583E1A">
        <w:t>subsection (</w:t>
      </w:r>
      <w:r w:rsidRPr="00583E1A">
        <w:t>2) may take the form of a proprietary right, a chose in action or any other form.</w:t>
      </w:r>
    </w:p>
    <w:p w:rsidR="00887330" w:rsidRPr="00583E1A" w:rsidRDefault="00887330" w:rsidP="00887330">
      <w:pPr>
        <w:pStyle w:val="SubsectionHead"/>
      </w:pPr>
      <w:r w:rsidRPr="00583E1A">
        <w:t>Regulations</w:t>
      </w:r>
    </w:p>
    <w:p w:rsidR="00887330" w:rsidRPr="00583E1A" w:rsidRDefault="00887330" w:rsidP="00887330">
      <w:pPr>
        <w:pStyle w:val="subsection"/>
      </w:pPr>
      <w:r w:rsidRPr="00583E1A">
        <w:tab/>
        <w:t>(5)</w:t>
      </w:r>
      <w:r w:rsidRPr="00583E1A">
        <w:tab/>
        <w:t xml:space="preserve">Subject to regulations made under </w:t>
      </w:r>
      <w:r w:rsidR="00583E1A">
        <w:t>subsection (</w:t>
      </w:r>
      <w:r w:rsidRPr="00583E1A">
        <w:t>6), the regulations made under Subdivisions</w:t>
      </w:r>
      <w:r w:rsidR="00583E1A">
        <w:t> </w:t>
      </w:r>
      <w:r w:rsidRPr="00583E1A">
        <w:t>974</w:t>
      </w:r>
      <w:r w:rsidR="00583E1A">
        <w:noBreakHyphen/>
      </w:r>
      <w:r w:rsidRPr="00583E1A">
        <w:t>C, 974</w:t>
      </w:r>
      <w:r w:rsidR="00583E1A">
        <w:noBreakHyphen/>
      </w:r>
      <w:r w:rsidRPr="00583E1A">
        <w:t>D and 974</w:t>
      </w:r>
      <w:r w:rsidR="00583E1A">
        <w:noBreakHyphen/>
      </w:r>
      <w:r w:rsidRPr="00583E1A">
        <w:t xml:space="preserve">F are applied for the purposes of this section as if they were regulations made under the provisions applied by </w:t>
      </w:r>
      <w:r w:rsidR="00583E1A">
        <w:t>subsection (</w:t>
      </w:r>
      <w:r w:rsidRPr="00583E1A">
        <w:t>1).</w:t>
      </w:r>
    </w:p>
    <w:p w:rsidR="00887330" w:rsidRPr="00583E1A" w:rsidRDefault="00887330" w:rsidP="00887330">
      <w:pPr>
        <w:pStyle w:val="subsection"/>
      </w:pPr>
      <w:r w:rsidRPr="00583E1A">
        <w:tab/>
        <w:t>(6)</w:t>
      </w:r>
      <w:r w:rsidRPr="00583E1A">
        <w:tab/>
        <w:t xml:space="preserve">Regulations may be made under the provisions applied by </w:t>
      </w:r>
      <w:r w:rsidR="00583E1A">
        <w:t>subsection (</w:t>
      </w:r>
      <w:r w:rsidRPr="00583E1A">
        <w:t>1) specifically in relation to:</w:t>
      </w:r>
    </w:p>
    <w:p w:rsidR="00887330" w:rsidRPr="00583E1A" w:rsidRDefault="00887330" w:rsidP="00887330">
      <w:pPr>
        <w:pStyle w:val="paragraph"/>
      </w:pPr>
      <w:r w:rsidRPr="00583E1A">
        <w:tab/>
        <w:t>(a)</w:t>
      </w:r>
      <w:r w:rsidRPr="00583E1A">
        <w:tab/>
        <w:t xml:space="preserve">an </w:t>
      </w:r>
      <w:r w:rsidR="00583E1A" w:rsidRPr="00583E1A">
        <w:rPr>
          <w:position w:val="6"/>
          <w:sz w:val="16"/>
        </w:rPr>
        <w:t>*</w:t>
      </w:r>
      <w:r w:rsidRPr="00583E1A">
        <w:t>equity interest in a trust; or</w:t>
      </w:r>
    </w:p>
    <w:p w:rsidR="00887330" w:rsidRPr="00583E1A" w:rsidRDefault="00887330" w:rsidP="00887330">
      <w:pPr>
        <w:pStyle w:val="paragraph"/>
      </w:pPr>
      <w:r w:rsidRPr="00583E1A">
        <w:tab/>
        <w:t>(b)</w:t>
      </w:r>
      <w:r w:rsidRPr="00583E1A">
        <w:tab/>
        <w:t>an equity interest in a partnership.</w:t>
      </w:r>
    </w:p>
    <w:p w:rsidR="00887330" w:rsidRPr="00583E1A" w:rsidRDefault="00887330" w:rsidP="007B2DFD">
      <w:pPr>
        <w:pStyle w:val="ActHead4"/>
        <w:keepNext w:val="0"/>
        <w:keepLines w:val="0"/>
      </w:pPr>
      <w:bookmarkStart w:id="318" w:name="_Toc338939392"/>
      <w:r w:rsidRPr="00583E1A">
        <w:rPr>
          <w:rStyle w:val="CharSubdNo"/>
        </w:rPr>
        <w:t>Subdivision</w:t>
      </w:r>
      <w:r w:rsidR="00583E1A">
        <w:rPr>
          <w:rStyle w:val="CharSubdNo"/>
        </w:rPr>
        <w:t> </w:t>
      </w:r>
      <w:r w:rsidRPr="00583E1A">
        <w:rPr>
          <w:rStyle w:val="CharSubdNo"/>
        </w:rPr>
        <w:t>820</w:t>
      </w:r>
      <w:r w:rsidR="00583E1A">
        <w:rPr>
          <w:rStyle w:val="CharSubdNo"/>
        </w:rPr>
        <w:noBreakHyphen/>
      </w:r>
      <w:r w:rsidRPr="00583E1A">
        <w:rPr>
          <w:rStyle w:val="CharSubdNo"/>
        </w:rPr>
        <w:t>K</w:t>
      </w:r>
      <w:r w:rsidRPr="00583E1A">
        <w:t>—</w:t>
      </w:r>
      <w:r w:rsidRPr="00583E1A">
        <w:rPr>
          <w:rStyle w:val="CharSubdText"/>
        </w:rPr>
        <w:t>Zero</w:t>
      </w:r>
      <w:r w:rsidR="00583E1A">
        <w:rPr>
          <w:rStyle w:val="CharSubdText"/>
        </w:rPr>
        <w:noBreakHyphen/>
      </w:r>
      <w:r w:rsidRPr="00583E1A">
        <w:rPr>
          <w:rStyle w:val="CharSubdText"/>
        </w:rPr>
        <w:t>capital amount</w:t>
      </w:r>
      <w:bookmarkEnd w:id="318"/>
    </w:p>
    <w:p w:rsidR="00887330" w:rsidRPr="00583E1A" w:rsidRDefault="00887330" w:rsidP="007B2DFD">
      <w:pPr>
        <w:pStyle w:val="ActHead4"/>
        <w:keepNext w:val="0"/>
        <w:keepLines w:val="0"/>
      </w:pPr>
      <w:bookmarkStart w:id="319" w:name="_Toc338939393"/>
      <w:r w:rsidRPr="00583E1A">
        <w:t>Guide to Subdivision</w:t>
      </w:r>
      <w:r w:rsidR="00583E1A">
        <w:t> </w:t>
      </w:r>
      <w:r w:rsidRPr="00583E1A">
        <w:t>820</w:t>
      </w:r>
      <w:r w:rsidR="00583E1A">
        <w:noBreakHyphen/>
      </w:r>
      <w:r w:rsidRPr="00583E1A">
        <w:t>K</w:t>
      </w:r>
      <w:bookmarkEnd w:id="319"/>
    </w:p>
    <w:p w:rsidR="00887330" w:rsidRPr="00583E1A" w:rsidRDefault="00887330" w:rsidP="007B2DFD">
      <w:pPr>
        <w:pStyle w:val="ActHead5"/>
        <w:keepNext w:val="0"/>
        <w:keepLines w:val="0"/>
      </w:pPr>
      <w:bookmarkStart w:id="320" w:name="_Toc338939394"/>
      <w:r w:rsidRPr="00583E1A">
        <w:rPr>
          <w:rStyle w:val="CharSectno"/>
        </w:rPr>
        <w:t>820</w:t>
      </w:r>
      <w:r w:rsidR="00583E1A">
        <w:rPr>
          <w:rStyle w:val="CharSectno"/>
        </w:rPr>
        <w:noBreakHyphen/>
      </w:r>
      <w:r w:rsidRPr="00583E1A">
        <w:rPr>
          <w:rStyle w:val="CharSectno"/>
        </w:rPr>
        <w:t>940</w:t>
      </w:r>
      <w:r w:rsidRPr="00583E1A">
        <w:t xml:space="preserve">  What this Subdivision is about</w:t>
      </w:r>
      <w:bookmarkEnd w:id="320"/>
    </w:p>
    <w:p w:rsidR="00887330" w:rsidRPr="00583E1A" w:rsidRDefault="00887330" w:rsidP="007B2DFD">
      <w:pPr>
        <w:pStyle w:val="BoxText"/>
      </w:pPr>
      <w:r w:rsidRPr="00583E1A">
        <w:t>The zero</w:t>
      </w:r>
      <w:r w:rsidR="00583E1A">
        <w:noBreakHyphen/>
      </w:r>
      <w:r w:rsidRPr="00583E1A">
        <w:t>capital amount represents the value of certain assets that receive special treatment in working out the maximum allowable debt of a financial entity. This Subdivision sets out the rules about the calculation of this amount.</w:t>
      </w:r>
    </w:p>
    <w:p w:rsidR="00887330" w:rsidRPr="00583E1A" w:rsidRDefault="00887330" w:rsidP="003C48B0">
      <w:pPr>
        <w:pStyle w:val="TofSectsHeading"/>
        <w:keepNext/>
        <w:keepLines/>
      </w:pPr>
      <w:r w:rsidRPr="00583E1A">
        <w:lastRenderedPageBreak/>
        <w:t>Table of sections</w:t>
      </w:r>
    </w:p>
    <w:p w:rsidR="00887330" w:rsidRPr="00583E1A" w:rsidRDefault="00887330" w:rsidP="003C48B0">
      <w:pPr>
        <w:pStyle w:val="TofSectsSection"/>
        <w:keepNext/>
      </w:pPr>
      <w:r w:rsidRPr="00583E1A">
        <w:t>820</w:t>
      </w:r>
      <w:r w:rsidR="00583E1A">
        <w:noBreakHyphen/>
      </w:r>
      <w:r w:rsidRPr="00583E1A">
        <w:t>942</w:t>
      </w:r>
      <w:r w:rsidRPr="00583E1A">
        <w:tab/>
        <w:t>How to work out the zero</w:t>
      </w:r>
      <w:r w:rsidR="00583E1A">
        <w:noBreakHyphen/>
      </w:r>
      <w:r w:rsidRPr="00583E1A">
        <w:t>capital amount</w:t>
      </w:r>
    </w:p>
    <w:p w:rsidR="00887330" w:rsidRPr="00583E1A" w:rsidRDefault="00887330" w:rsidP="00887330">
      <w:pPr>
        <w:pStyle w:val="ActHead5"/>
      </w:pPr>
      <w:bookmarkStart w:id="321" w:name="_Toc338939395"/>
      <w:r w:rsidRPr="00583E1A">
        <w:rPr>
          <w:rStyle w:val="CharSectno"/>
        </w:rPr>
        <w:t>820</w:t>
      </w:r>
      <w:r w:rsidR="00583E1A">
        <w:rPr>
          <w:rStyle w:val="CharSectno"/>
        </w:rPr>
        <w:noBreakHyphen/>
      </w:r>
      <w:r w:rsidRPr="00583E1A">
        <w:rPr>
          <w:rStyle w:val="CharSectno"/>
        </w:rPr>
        <w:t>942</w:t>
      </w:r>
      <w:r w:rsidRPr="00583E1A">
        <w:t xml:space="preserve">  How to work out the zero</w:t>
      </w:r>
      <w:r w:rsidR="00583E1A">
        <w:noBreakHyphen/>
      </w:r>
      <w:r w:rsidRPr="00583E1A">
        <w:t>capital amount</w:t>
      </w:r>
      <w:bookmarkEnd w:id="321"/>
    </w:p>
    <w:p w:rsidR="00887330" w:rsidRPr="00583E1A" w:rsidRDefault="00887330" w:rsidP="00887330">
      <w:pPr>
        <w:pStyle w:val="subsection"/>
      </w:pPr>
      <w:r w:rsidRPr="00583E1A">
        <w:tab/>
        <w:t>(1)</w:t>
      </w:r>
      <w:r w:rsidRPr="00583E1A">
        <w:tab/>
        <w:t xml:space="preserve">An entity’s </w:t>
      </w:r>
      <w:r w:rsidRPr="00583E1A">
        <w:rPr>
          <w:b/>
          <w:i/>
        </w:rPr>
        <w:t>zero</w:t>
      </w:r>
      <w:r w:rsidR="00583E1A">
        <w:rPr>
          <w:b/>
          <w:i/>
        </w:rPr>
        <w:noBreakHyphen/>
      </w:r>
      <w:r w:rsidRPr="00583E1A">
        <w:rPr>
          <w:b/>
          <w:i/>
        </w:rPr>
        <w:t>capital amount</w:t>
      </w:r>
      <w:r w:rsidRPr="00583E1A">
        <w:t xml:space="preserve"> at a particular time is the result of the method statement in this subsection.</w:t>
      </w:r>
    </w:p>
    <w:p w:rsidR="00887330" w:rsidRPr="00583E1A" w:rsidRDefault="00887330" w:rsidP="00887330">
      <w:pPr>
        <w:pStyle w:val="BoxHeadItalic"/>
      </w:pPr>
      <w:r w:rsidRPr="00583E1A">
        <w:t>Method statement</w:t>
      </w:r>
    </w:p>
    <w:p w:rsidR="00887330" w:rsidRPr="00583E1A" w:rsidRDefault="00AE4F7F" w:rsidP="00887330">
      <w:pPr>
        <w:pStyle w:val="BoxStep"/>
      </w:pPr>
      <w:r w:rsidRPr="00583E1A">
        <w:rPr>
          <w:szCs w:val="22"/>
        </w:rPr>
        <w:t>Step 1.</w:t>
      </w:r>
      <w:r w:rsidR="00887330" w:rsidRPr="00583E1A">
        <w:tab/>
        <w:t xml:space="preserve">Work out the total value, as at that particular time, of all the assets of the entity that represent </w:t>
      </w:r>
      <w:r w:rsidR="00583E1A" w:rsidRPr="00583E1A">
        <w:rPr>
          <w:position w:val="6"/>
          <w:sz w:val="16"/>
        </w:rPr>
        <w:t>*</w:t>
      </w:r>
      <w:r w:rsidR="00887330" w:rsidRPr="00583E1A">
        <w:t>debt interests that:</w:t>
      </w:r>
    </w:p>
    <w:p w:rsidR="00887330" w:rsidRPr="00583E1A" w:rsidRDefault="00887330" w:rsidP="00887330">
      <w:pPr>
        <w:pStyle w:val="BoxPara"/>
      </w:pPr>
      <w:r w:rsidRPr="00583E1A">
        <w:tab/>
        <w:t>(a)</w:t>
      </w:r>
      <w:r w:rsidRPr="00583E1A">
        <w:tab/>
        <w:t xml:space="preserve">are of a kind commonly dealt in by entities that carry on a </w:t>
      </w:r>
      <w:r w:rsidR="00583E1A" w:rsidRPr="00583E1A">
        <w:rPr>
          <w:position w:val="6"/>
          <w:sz w:val="16"/>
        </w:rPr>
        <w:t>*</w:t>
      </w:r>
      <w:r w:rsidRPr="00583E1A">
        <w:t>business of dealing in securities; and</w:t>
      </w:r>
    </w:p>
    <w:p w:rsidR="00887330" w:rsidRPr="00583E1A" w:rsidRDefault="00887330" w:rsidP="00887330">
      <w:pPr>
        <w:pStyle w:val="BoxPara"/>
      </w:pPr>
      <w:r w:rsidRPr="00583E1A">
        <w:tab/>
        <w:t>(b)</w:t>
      </w:r>
      <w:r w:rsidRPr="00583E1A">
        <w:tab/>
        <w:t>the entity has sold under a reciprocal purchase agreement (otherwise known as a repurchase agreement), sell</w:t>
      </w:r>
      <w:r w:rsidR="00583E1A">
        <w:noBreakHyphen/>
      </w:r>
      <w:r w:rsidRPr="00583E1A">
        <w:t>buyback arrangement or securities loan arrangement; and</w:t>
      </w:r>
    </w:p>
    <w:p w:rsidR="00887330" w:rsidRPr="00583E1A" w:rsidRDefault="00887330" w:rsidP="00887330">
      <w:pPr>
        <w:pStyle w:val="BoxPara"/>
      </w:pPr>
      <w:r w:rsidRPr="00583E1A">
        <w:tab/>
        <w:t>(c)</w:t>
      </w:r>
      <w:r w:rsidRPr="00583E1A">
        <w:tab/>
        <w:t>the entity has not yet repurchased under the agreement or arrangement.</w:t>
      </w:r>
    </w:p>
    <w:p w:rsidR="00887330" w:rsidRPr="00583E1A" w:rsidRDefault="00AE4F7F" w:rsidP="007241A9">
      <w:pPr>
        <w:pStyle w:val="BoxStep"/>
        <w:keepNext/>
      </w:pPr>
      <w:r w:rsidRPr="00583E1A">
        <w:rPr>
          <w:szCs w:val="22"/>
        </w:rPr>
        <w:t>Step 2.</w:t>
      </w:r>
      <w:r w:rsidR="00887330" w:rsidRPr="00583E1A">
        <w:rPr>
          <w:i/>
        </w:rPr>
        <w:tab/>
      </w:r>
      <w:r w:rsidR="00887330" w:rsidRPr="00583E1A">
        <w:t xml:space="preserve">Add to the result of step 1 the total value, as at that time, of all the </w:t>
      </w:r>
      <w:r w:rsidR="00583E1A" w:rsidRPr="00583E1A">
        <w:rPr>
          <w:position w:val="6"/>
          <w:sz w:val="16"/>
        </w:rPr>
        <w:t>*</w:t>
      </w:r>
      <w:r w:rsidR="00887330" w:rsidRPr="00583E1A">
        <w:t>debt interests issued to the entity to which the following paragraphs apply at that time:</w:t>
      </w:r>
    </w:p>
    <w:p w:rsidR="00887330" w:rsidRPr="00583E1A" w:rsidRDefault="00887330" w:rsidP="00887330">
      <w:pPr>
        <w:pStyle w:val="BoxPara"/>
      </w:pPr>
      <w:r w:rsidRPr="00583E1A">
        <w:tab/>
        <w:t>(a)</w:t>
      </w:r>
      <w:r w:rsidRPr="00583E1A">
        <w:tab/>
        <w:t xml:space="preserve">the debt interests remain </w:t>
      </w:r>
      <w:r w:rsidR="00583E1A" w:rsidRPr="00583E1A">
        <w:rPr>
          <w:position w:val="6"/>
          <w:sz w:val="16"/>
        </w:rPr>
        <w:t>*</w:t>
      </w:r>
      <w:r w:rsidRPr="00583E1A">
        <w:t>on issue;</w:t>
      </w:r>
    </w:p>
    <w:p w:rsidR="00887330" w:rsidRPr="00583E1A" w:rsidRDefault="00887330" w:rsidP="007B2DFD">
      <w:pPr>
        <w:pStyle w:val="BoxPara"/>
      </w:pPr>
      <w:r w:rsidRPr="00583E1A">
        <w:tab/>
        <w:t>(b)</w:t>
      </w:r>
      <w:r w:rsidRPr="00583E1A">
        <w:tab/>
        <w:t xml:space="preserve">each of the debt interests is a loan of money for which no fees, charges or other consideration for the purpose of enhancing the credit rating of the issuer of the interest has been paid or is payable to the entity, any of the entity’s </w:t>
      </w:r>
      <w:r w:rsidR="00583E1A" w:rsidRPr="00583E1A">
        <w:rPr>
          <w:position w:val="6"/>
          <w:sz w:val="16"/>
        </w:rPr>
        <w:t>*</w:t>
      </w:r>
      <w:r w:rsidRPr="00583E1A">
        <w:t xml:space="preserve">associates or another entity that is a </w:t>
      </w:r>
      <w:r w:rsidR="00583E1A" w:rsidRPr="00583E1A">
        <w:rPr>
          <w:position w:val="6"/>
          <w:sz w:val="16"/>
        </w:rPr>
        <w:t>*</w:t>
      </w:r>
      <w:r w:rsidRPr="00583E1A">
        <w:t>foreign entity;</w:t>
      </w:r>
    </w:p>
    <w:p w:rsidR="00887330" w:rsidRPr="00583E1A" w:rsidRDefault="00887330" w:rsidP="00887330">
      <w:pPr>
        <w:pStyle w:val="BoxPara"/>
      </w:pPr>
      <w:r w:rsidRPr="00583E1A">
        <w:tab/>
        <w:t>(c)</w:t>
      </w:r>
      <w:r w:rsidRPr="00583E1A">
        <w:tab/>
        <w:t xml:space="preserve">each of the entities issuing the interests has the required credit rating for the interests concerned in accordance with </w:t>
      </w:r>
      <w:r w:rsidR="00583E1A">
        <w:t>subsections (</w:t>
      </w:r>
      <w:r w:rsidRPr="00583E1A">
        <w:t>4) and (5).</w:t>
      </w:r>
    </w:p>
    <w:p w:rsidR="00887330" w:rsidRPr="00583E1A" w:rsidRDefault="00AE4F7F" w:rsidP="00887330">
      <w:pPr>
        <w:pStyle w:val="BoxStep"/>
      </w:pPr>
      <w:r w:rsidRPr="00583E1A">
        <w:rPr>
          <w:szCs w:val="22"/>
        </w:rPr>
        <w:lastRenderedPageBreak/>
        <w:t>Step 3.</w:t>
      </w:r>
      <w:r w:rsidR="00887330" w:rsidRPr="00583E1A">
        <w:rPr>
          <w:i/>
        </w:rPr>
        <w:tab/>
      </w:r>
      <w:r w:rsidR="00887330" w:rsidRPr="00583E1A">
        <w:t xml:space="preserve">Add to the result of step 2 the total value, as at that time, of all the </w:t>
      </w:r>
      <w:r w:rsidR="00583E1A" w:rsidRPr="00583E1A">
        <w:rPr>
          <w:position w:val="6"/>
          <w:sz w:val="16"/>
        </w:rPr>
        <w:t>*</w:t>
      </w:r>
      <w:r w:rsidR="00887330" w:rsidRPr="00583E1A">
        <w:t>debt interests that are assets of the entity (whether they are debt interests issued to the entity or not) and to which the following paragraphs apply at that time:</w:t>
      </w:r>
    </w:p>
    <w:p w:rsidR="00887330" w:rsidRPr="00583E1A" w:rsidRDefault="00887330" w:rsidP="00887330">
      <w:pPr>
        <w:pStyle w:val="BoxPara"/>
      </w:pPr>
      <w:r w:rsidRPr="00583E1A">
        <w:tab/>
        <w:t>(a)</w:t>
      </w:r>
      <w:r w:rsidRPr="00583E1A">
        <w:tab/>
        <w:t xml:space="preserve">the risk weight of each of the debt interests is either 0% or 20% under the </w:t>
      </w:r>
      <w:r w:rsidR="00583E1A" w:rsidRPr="00583E1A">
        <w:rPr>
          <w:position w:val="6"/>
          <w:sz w:val="16"/>
        </w:rPr>
        <w:t>*</w:t>
      </w:r>
      <w:r w:rsidRPr="00583E1A">
        <w:t>prudential standards;</w:t>
      </w:r>
    </w:p>
    <w:p w:rsidR="00887330" w:rsidRPr="00583E1A" w:rsidRDefault="00887330" w:rsidP="00887330">
      <w:pPr>
        <w:pStyle w:val="BoxPara"/>
      </w:pPr>
      <w:r w:rsidRPr="00583E1A">
        <w:tab/>
        <w:t>(b)</w:t>
      </w:r>
      <w:r w:rsidRPr="00583E1A">
        <w:tab/>
        <w:t>the debt interests do not satisfy all of the paragraphs in step 2.</w:t>
      </w:r>
    </w:p>
    <w:p w:rsidR="00887330" w:rsidRPr="00583E1A" w:rsidRDefault="00887330" w:rsidP="00887330">
      <w:pPr>
        <w:pStyle w:val="BoxStep"/>
      </w:pPr>
      <w:r w:rsidRPr="00583E1A">
        <w:t>Step 3A</w:t>
      </w:r>
      <w:r w:rsidRPr="00583E1A">
        <w:rPr>
          <w:i/>
        </w:rPr>
        <w:t>.</w:t>
      </w:r>
      <w:r w:rsidRPr="00583E1A">
        <w:tab/>
        <w:t>Add to the result of step 3 the total value, as at that time, of all the assets of the entity, to the extent that they:</w:t>
      </w:r>
    </w:p>
    <w:p w:rsidR="00887330" w:rsidRPr="00583E1A" w:rsidRDefault="00887330" w:rsidP="00887330">
      <w:pPr>
        <w:pStyle w:val="BoxPara"/>
      </w:pPr>
      <w:r w:rsidRPr="00583E1A">
        <w:tab/>
        <w:t>(a)</w:t>
      </w:r>
      <w:r w:rsidRPr="00583E1A">
        <w:tab/>
        <w:t xml:space="preserve">consist of rights to the return of assets covered by </w:t>
      </w:r>
      <w:r w:rsidR="00583E1A">
        <w:t>subsection (</w:t>
      </w:r>
      <w:r w:rsidRPr="00583E1A">
        <w:t>2A); and</w:t>
      </w:r>
    </w:p>
    <w:p w:rsidR="00887330" w:rsidRPr="00583E1A" w:rsidRDefault="00887330" w:rsidP="00887330">
      <w:pPr>
        <w:pStyle w:val="BoxPara"/>
      </w:pPr>
      <w:r w:rsidRPr="00583E1A">
        <w:tab/>
        <w:t>(b)</w:t>
      </w:r>
      <w:r w:rsidRPr="00583E1A">
        <w:tab/>
        <w:t>are covered by none of steps 1, 2 and 3.</w:t>
      </w:r>
    </w:p>
    <w:p w:rsidR="00887330" w:rsidRPr="00583E1A" w:rsidRDefault="00AE4F7F" w:rsidP="007D2F4E">
      <w:pPr>
        <w:pStyle w:val="BoxStep"/>
        <w:keepNext/>
        <w:keepLines/>
      </w:pPr>
      <w:r w:rsidRPr="00583E1A">
        <w:rPr>
          <w:szCs w:val="22"/>
        </w:rPr>
        <w:t>Step 4.</w:t>
      </w:r>
      <w:r w:rsidR="00887330" w:rsidRPr="00583E1A">
        <w:rPr>
          <w:i/>
        </w:rPr>
        <w:tab/>
      </w:r>
      <w:r w:rsidR="00887330" w:rsidRPr="00583E1A">
        <w:t xml:space="preserve">Add to the result of step 3A the total value, as at that time, of all the </w:t>
      </w:r>
      <w:r w:rsidR="00583E1A" w:rsidRPr="00583E1A">
        <w:rPr>
          <w:position w:val="6"/>
          <w:sz w:val="16"/>
        </w:rPr>
        <w:t>*</w:t>
      </w:r>
      <w:r w:rsidR="00887330" w:rsidRPr="00583E1A">
        <w:t xml:space="preserve">securitised assets that the entity has at that time if the entity is a </w:t>
      </w:r>
      <w:r w:rsidR="00583E1A" w:rsidRPr="00583E1A">
        <w:rPr>
          <w:position w:val="6"/>
          <w:sz w:val="16"/>
        </w:rPr>
        <w:t>*</w:t>
      </w:r>
      <w:r w:rsidR="00887330" w:rsidRPr="00583E1A">
        <w:t xml:space="preserve">securitisation vehicle at that time (see </w:t>
      </w:r>
      <w:r w:rsidR="00583E1A">
        <w:t>subsections (</w:t>
      </w:r>
      <w:r w:rsidR="00887330" w:rsidRPr="00583E1A">
        <w:t xml:space="preserve">2) and (3)). The result is the </w:t>
      </w:r>
      <w:r w:rsidR="00887330" w:rsidRPr="00583E1A">
        <w:rPr>
          <w:b/>
          <w:i/>
        </w:rPr>
        <w:t>zero</w:t>
      </w:r>
      <w:r w:rsidR="00583E1A">
        <w:rPr>
          <w:b/>
          <w:i/>
        </w:rPr>
        <w:noBreakHyphen/>
      </w:r>
      <w:r w:rsidR="00887330" w:rsidRPr="00583E1A">
        <w:rPr>
          <w:b/>
          <w:i/>
        </w:rPr>
        <w:t>capital amount</w:t>
      </w:r>
      <w:r w:rsidR="00887330" w:rsidRPr="00583E1A">
        <w:t>.</w:t>
      </w:r>
    </w:p>
    <w:p w:rsidR="00927E78" w:rsidRPr="00583E1A" w:rsidRDefault="00927E78" w:rsidP="00913A7B">
      <w:pPr>
        <w:pStyle w:val="subsection"/>
        <w:keepNext/>
      </w:pPr>
      <w:r w:rsidRPr="00583E1A">
        <w:tab/>
        <w:t>(2A)</w:t>
      </w:r>
      <w:r w:rsidRPr="00583E1A">
        <w:tab/>
        <w:t>This subsection covers an asset that:</w:t>
      </w:r>
    </w:p>
    <w:p w:rsidR="00927E78" w:rsidRPr="00583E1A" w:rsidRDefault="00927E78" w:rsidP="00927E78">
      <w:pPr>
        <w:pStyle w:val="paragraph"/>
      </w:pPr>
      <w:r w:rsidRPr="00583E1A">
        <w:tab/>
        <w:t>(</w:t>
      </w:r>
      <w:r w:rsidRPr="00583E1A">
        <w:rPr>
          <w:noProof/>
        </w:rPr>
        <w:t>a</w:t>
      </w:r>
      <w:r w:rsidRPr="00583E1A">
        <w:t>)</w:t>
      </w:r>
      <w:r w:rsidRPr="00583E1A">
        <w:tab/>
        <w:t>the entity provided as security for the performance of its obligations in relation to securities it acquired under a reciprocal purchase agreement (otherwise known as a repurchase agreement), sell</w:t>
      </w:r>
      <w:r w:rsidR="00583E1A">
        <w:noBreakHyphen/>
      </w:r>
      <w:r w:rsidRPr="00583E1A">
        <w:t>buyback arrangement or securities loan arrangement; and</w:t>
      </w:r>
    </w:p>
    <w:p w:rsidR="00927E78" w:rsidRPr="00583E1A" w:rsidRDefault="00927E78" w:rsidP="00927E78">
      <w:pPr>
        <w:pStyle w:val="paragraph"/>
      </w:pPr>
      <w:r w:rsidRPr="00583E1A">
        <w:tab/>
        <w:t>(</w:t>
      </w:r>
      <w:r w:rsidRPr="00583E1A">
        <w:rPr>
          <w:noProof/>
        </w:rPr>
        <w:t>b</w:t>
      </w:r>
      <w:r w:rsidRPr="00583E1A">
        <w:t>)</w:t>
      </w:r>
      <w:r w:rsidRPr="00583E1A">
        <w:tab/>
        <w:t xml:space="preserve">does not consist of </w:t>
      </w:r>
      <w:r w:rsidR="00583E1A" w:rsidRPr="00583E1A">
        <w:rPr>
          <w:position w:val="6"/>
          <w:sz w:val="16"/>
        </w:rPr>
        <w:t>*</w:t>
      </w:r>
      <w:r w:rsidRPr="00583E1A">
        <w:t>shares.</w:t>
      </w:r>
    </w:p>
    <w:p w:rsidR="00887330" w:rsidRPr="00583E1A" w:rsidRDefault="00887330" w:rsidP="00307CC1">
      <w:pPr>
        <w:pStyle w:val="SubsectionHead"/>
      </w:pPr>
      <w:r w:rsidRPr="00583E1A">
        <w:lastRenderedPageBreak/>
        <w:t>Securitisation vehicle</w:t>
      </w:r>
    </w:p>
    <w:p w:rsidR="00887330" w:rsidRPr="00583E1A" w:rsidRDefault="00887330" w:rsidP="00307CC1">
      <w:pPr>
        <w:pStyle w:val="subsection"/>
        <w:keepNext/>
      </w:pPr>
      <w:r w:rsidRPr="00583E1A">
        <w:tab/>
        <w:t>(2)</w:t>
      </w:r>
      <w:r w:rsidRPr="00583E1A">
        <w:tab/>
        <w:t xml:space="preserve">An entity is a </w:t>
      </w:r>
      <w:r w:rsidRPr="00583E1A">
        <w:rPr>
          <w:b/>
          <w:i/>
        </w:rPr>
        <w:t>securitisation vehicle</w:t>
      </w:r>
      <w:r w:rsidRPr="00583E1A">
        <w:t xml:space="preserve"> if:</w:t>
      </w:r>
    </w:p>
    <w:p w:rsidR="00887330" w:rsidRPr="00583E1A" w:rsidRDefault="00887330" w:rsidP="00887330">
      <w:pPr>
        <w:pStyle w:val="paragraph"/>
      </w:pPr>
      <w:r w:rsidRPr="00583E1A">
        <w:tab/>
        <w:t>(a)</w:t>
      </w:r>
      <w:r w:rsidRPr="00583E1A">
        <w:tab/>
        <w:t xml:space="preserve">it is an entity established for the purposes of acquiring, funding and holding </w:t>
      </w:r>
      <w:r w:rsidR="00583E1A" w:rsidRPr="00583E1A">
        <w:rPr>
          <w:position w:val="6"/>
          <w:sz w:val="16"/>
        </w:rPr>
        <w:t>*</w:t>
      </w:r>
      <w:r w:rsidRPr="00583E1A">
        <w:t xml:space="preserve">securitised assets (see </w:t>
      </w:r>
      <w:r w:rsidR="00583E1A">
        <w:t>subsection (</w:t>
      </w:r>
      <w:r w:rsidRPr="00583E1A">
        <w:t>3)); and</w:t>
      </w:r>
    </w:p>
    <w:p w:rsidR="00887330" w:rsidRPr="00583E1A" w:rsidRDefault="00887330" w:rsidP="00887330">
      <w:pPr>
        <w:pStyle w:val="paragraph"/>
      </w:pPr>
      <w:r w:rsidRPr="00583E1A">
        <w:tab/>
        <w:t>(b)</w:t>
      </w:r>
      <w:r w:rsidRPr="00583E1A">
        <w:tab/>
        <w:t xml:space="preserve">it has acquired the securitised assets from another entity (the </w:t>
      </w:r>
      <w:r w:rsidRPr="00583E1A">
        <w:rPr>
          <w:b/>
          <w:i/>
        </w:rPr>
        <w:t>originator</w:t>
      </w:r>
      <w:r w:rsidRPr="00583E1A">
        <w:t>); and</w:t>
      </w:r>
    </w:p>
    <w:p w:rsidR="00887330" w:rsidRPr="00583E1A" w:rsidRDefault="00887330" w:rsidP="00887330">
      <w:pPr>
        <w:pStyle w:val="paragraph"/>
      </w:pPr>
      <w:r w:rsidRPr="00583E1A">
        <w:tab/>
        <w:t>(c)</w:t>
      </w:r>
      <w:r w:rsidRPr="00583E1A">
        <w:tab/>
        <w:t xml:space="preserve">the acquisition of the securitised assets is wholly funded by the issuing of </w:t>
      </w:r>
      <w:r w:rsidR="00583E1A" w:rsidRPr="00583E1A">
        <w:rPr>
          <w:position w:val="6"/>
          <w:sz w:val="16"/>
        </w:rPr>
        <w:t>*</w:t>
      </w:r>
      <w:r w:rsidRPr="00583E1A">
        <w:t>debt interests by the entity; and</w:t>
      </w:r>
    </w:p>
    <w:p w:rsidR="00887330" w:rsidRPr="00583E1A" w:rsidRDefault="00887330" w:rsidP="00887330">
      <w:pPr>
        <w:pStyle w:val="paragraph"/>
      </w:pPr>
      <w:r w:rsidRPr="00583E1A">
        <w:tab/>
        <w:t>(d)</w:t>
      </w:r>
      <w:r w:rsidRPr="00583E1A">
        <w:tab/>
        <w:t xml:space="preserve">in issuing the debt interests, the entity does not receive any guarantee, security or other form of credit support from any of its </w:t>
      </w:r>
      <w:r w:rsidR="00583E1A" w:rsidRPr="00583E1A">
        <w:rPr>
          <w:position w:val="6"/>
          <w:sz w:val="16"/>
        </w:rPr>
        <w:t>*</w:t>
      </w:r>
      <w:r w:rsidRPr="00583E1A">
        <w:t>associate entities, the originator or any associate entity of the originator; and</w:t>
      </w:r>
    </w:p>
    <w:p w:rsidR="00887330" w:rsidRPr="00583E1A" w:rsidRDefault="00887330" w:rsidP="00887330">
      <w:pPr>
        <w:pStyle w:val="paragraph"/>
      </w:pPr>
      <w:r w:rsidRPr="00583E1A">
        <w:tab/>
        <w:t>(e)</w:t>
      </w:r>
      <w:r w:rsidRPr="00583E1A">
        <w:tab/>
        <w:t>the entity has not issued debt interests for any purpose other than for the purpose of funding the acquisition of the securitised assets; and</w:t>
      </w:r>
    </w:p>
    <w:p w:rsidR="00887330" w:rsidRPr="00583E1A" w:rsidRDefault="00887330" w:rsidP="00887330">
      <w:pPr>
        <w:pStyle w:val="paragraph"/>
      </w:pPr>
      <w:r w:rsidRPr="00583E1A">
        <w:tab/>
        <w:t>(f)</w:t>
      </w:r>
      <w:r w:rsidRPr="00583E1A">
        <w:tab/>
        <w:t>there are no debt interests issued to the entity by any of the entity’s associate entities, the originator or any associate entity of the originator; and</w:t>
      </w:r>
    </w:p>
    <w:p w:rsidR="00887330" w:rsidRPr="00583E1A" w:rsidRDefault="00887330" w:rsidP="00887330">
      <w:pPr>
        <w:pStyle w:val="paragraph"/>
      </w:pPr>
      <w:r w:rsidRPr="00583E1A">
        <w:tab/>
        <w:t>(g)</w:t>
      </w:r>
      <w:r w:rsidRPr="00583E1A">
        <w:tab/>
        <w:t xml:space="preserve">any </w:t>
      </w:r>
      <w:r w:rsidR="00583E1A" w:rsidRPr="00583E1A">
        <w:rPr>
          <w:position w:val="6"/>
          <w:sz w:val="16"/>
        </w:rPr>
        <w:t>*</w:t>
      </w:r>
      <w:r w:rsidRPr="00583E1A">
        <w:t>arrangements the entity has with any of its associate entities, the originator or any associate entity of the originator are those that would reasonably be expected to have been entered into by parties dealing at arm’s length with each other.</w:t>
      </w:r>
    </w:p>
    <w:p w:rsidR="00887330" w:rsidRPr="00583E1A" w:rsidRDefault="00887330" w:rsidP="00887330">
      <w:pPr>
        <w:pStyle w:val="notetext"/>
      </w:pPr>
      <w:r w:rsidRPr="00583E1A">
        <w:t>Note:</w:t>
      </w:r>
      <w:r w:rsidRPr="00583E1A">
        <w:tab/>
        <w:t>An entity that does not qualify as a securitisation vehicle may be exempt from the thin capitalisation rules under section</w:t>
      </w:r>
      <w:r w:rsidR="00583E1A">
        <w:t> </w:t>
      </w:r>
      <w:r w:rsidRPr="00583E1A">
        <w:t>820</w:t>
      </w:r>
      <w:r w:rsidR="00583E1A">
        <w:noBreakHyphen/>
      </w:r>
      <w:r w:rsidRPr="00583E1A">
        <w:t>39.</w:t>
      </w:r>
    </w:p>
    <w:p w:rsidR="00887330" w:rsidRPr="00583E1A" w:rsidRDefault="00887330" w:rsidP="00307CC1">
      <w:pPr>
        <w:pStyle w:val="SubsectionHead"/>
      </w:pPr>
      <w:r w:rsidRPr="00583E1A">
        <w:t>Securitised assets</w:t>
      </w:r>
    </w:p>
    <w:p w:rsidR="00887330" w:rsidRPr="00583E1A" w:rsidRDefault="00887330" w:rsidP="00307CC1">
      <w:pPr>
        <w:pStyle w:val="subsection"/>
        <w:keepNext/>
      </w:pPr>
      <w:r w:rsidRPr="00583E1A">
        <w:tab/>
        <w:t>(3)</w:t>
      </w:r>
      <w:r w:rsidRPr="00583E1A">
        <w:tab/>
        <w:t xml:space="preserve">An asset of an entity is a </w:t>
      </w:r>
      <w:r w:rsidRPr="00583E1A">
        <w:rPr>
          <w:b/>
          <w:i/>
        </w:rPr>
        <w:t>securitised asset</w:t>
      </w:r>
      <w:r w:rsidRPr="00583E1A">
        <w:t xml:space="preserve"> if:</w:t>
      </w:r>
    </w:p>
    <w:p w:rsidR="00887330" w:rsidRPr="00583E1A" w:rsidRDefault="00887330" w:rsidP="00887330">
      <w:pPr>
        <w:pStyle w:val="paragraph"/>
      </w:pPr>
      <w:r w:rsidRPr="00583E1A">
        <w:tab/>
        <w:t>(a)</w:t>
      </w:r>
      <w:r w:rsidRPr="00583E1A">
        <w:tab/>
        <w:t xml:space="preserve">the entity is a </w:t>
      </w:r>
      <w:r w:rsidR="00583E1A" w:rsidRPr="00583E1A">
        <w:rPr>
          <w:position w:val="6"/>
          <w:sz w:val="16"/>
        </w:rPr>
        <w:t>*</w:t>
      </w:r>
      <w:r w:rsidRPr="00583E1A">
        <w:t>securitisation vehicle; and</w:t>
      </w:r>
    </w:p>
    <w:p w:rsidR="00887330" w:rsidRPr="00583E1A" w:rsidRDefault="00887330" w:rsidP="00887330">
      <w:pPr>
        <w:pStyle w:val="paragraph"/>
      </w:pPr>
      <w:r w:rsidRPr="00583E1A">
        <w:tab/>
        <w:t>(b)</w:t>
      </w:r>
      <w:r w:rsidRPr="00583E1A">
        <w:tab/>
        <w:t>the asset consists of:</w:t>
      </w:r>
    </w:p>
    <w:p w:rsidR="00887330" w:rsidRPr="00583E1A" w:rsidRDefault="00887330" w:rsidP="00887330">
      <w:pPr>
        <w:pStyle w:val="paragraphsub"/>
      </w:pPr>
      <w:r w:rsidRPr="00583E1A">
        <w:tab/>
        <w:t>(i)</w:t>
      </w:r>
      <w:r w:rsidRPr="00583E1A">
        <w:tab/>
      </w:r>
      <w:r w:rsidR="00583E1A" w:rsidRPr="00583E1A">
        <w:rPr>
          <w:position w:val="6"/>
          <w:sz w:val="16"/>
        </w:rPr>
        <w:t>*</w:t>
      </w:r>
      <w:r w:rsidRPr="00583E1A">
        <w:t xml:space="preserve">debt interests issued by an entity other than the originator in relation to the securitisation vehicle that is mentioned in </w:t>
      </w:r>
      <w:r w:rsidR="00583E1A">
        <w:t>paragraph (</w:t>
      </w:r>
      <w:r w:rsidRPr="00583E1A">
        <w:t>2)(b); or</w:t>
      </w:r>
    </w:p>
    <w:p w:rsidR="00887330" w:rsidRPr="00583E1A" w:rsidRDefault="00887330" w:rsidP="007B2DFD">
      <w:pPr>
        <w:pStyle w:val="paragraphsub"/>
        <w:keepNext/>
        <w:keepLines/>
      </w:pPr>
      <w:r w:rsidRPr="00583E1A">
        <w:lastRenderedPageBreak/>
        <w:tab/>
        <w:t>(ii)</w:t>
      </w:r>
      <w:r w:rsidRPr="00583E1A">
        <w:tab/>
        <w:t xml:space="preserve">a lease for the hire of goods that would be a lease covered by </w:t>
      </w:r>
      <w:r w:rsidR="00583E1A">
        <w:t>paragraph (</w:t>
      </w:r>
      <w:r w:rsidRPr="00583E1A">
        <w:t xml:space="preserve">b) of the definition of </w:t>
      </w:r>
      <w:r w:rsidRPr="00583E1A">
        <w:rPr>
          <w:b/>
          <w:i/>
        </w:rPr>
        <w:t>on</w:t>
      </w:r>
      <w:r w:rsidR="00583E1A">
        <w:rPr>
          <w:b/>
          <w:i/>
        </w:rPr>
        <w:noBreakHyphen/>
      </w:r>
      <w:r w:rsidRPr="00583E1A">
        <w:rPr>
          <w:b/>
          <w:i/>
        </w:rPr>
        <w:t>lent amount</w:t>
      </w:r>
      <w:r w:rsidRPr="00583E1A">
        <w:t xml:space="preserve"> if a reference to an entity in that definition were a reference to that originator; or</w:t>
      </w:r>
    </w:p>
    <w:p w:rsidR="00887330" w:rsidRPr="00583E1A" w:rsidRDefault="00887330" w:rsidP="00887330">
      <w:pPr>
        <w:pStyle w:val="paragraphsub"/>
      </w:pPr>
      <w:r w:rsidRPr="00583E1A">
        <w:tab/>
        <w:t>(iii)</w:t>
      </w:r>
      <w:r w:rsidRPr="00583E1A">
        <w:tab/>
        <w:t xml:space="preserve">a </w:t>
      </w:r>
      <w:r w:rsidR="00583E1A" w:rsidRPr="00583E1A">
        <w:rPr>
          <w:position w:val="6"/>
          <w:sz w:val="16"/>
        </w:rPr>
        <w:t>*</w:t>
      </w:r>
      <w:r w:rsidRPr="00583E1A">
        <w:t>scheme that, apart from the operation of paragraph 974</w:t>
      </w:r>
      <w:r w:rsidR="00583E1A">
        <w:noBreakHyphen/>
      </w:r>
      <w:r w:rsidRPr="00583E1A">
        <w:t xml:space="preserve">25(1)(b), would have given rise to a debt interest covered by </w:t>
      </w:r>
      <w:r w:rsidR="00583E1A">
        <w:t>subparagraph (</w:t>
      </w:r>
      <w:r w:rsidRPr="00583E1A">
        <w:t>i); and</w:t>
      </w:r>
    </w:p>
    <w:p w:rsidR="00887330" w:rsidRPr="00583E1A" w:rsidRDefault="00887330" w:rsidP="00887330">
      <w:pPr>
        <w:pStyle w:val="paragraph"/>
      </w:pPr>
      <w:r w:rsidRPr="00583E1A">
        <w:tab/>
        <w:t>(c)</w:t>
      </w:r>
      <w:r w:rsidRPr="00583E1A">
        <w:tab/>
        <w:t xml:space="preserve">the asset provides security for the issuing of debt interests that funded the acquisition of the asset by the securitisation vehicle (see </w:t>
      </w:r>
      <w:r w:rsidR="00583E1A">
        <w:t>paragraph (</w:t>
      </w:r>
      <w:r w:rsidRPr="00583E1A">
        <w:t>2)(c)).</w:t>
      </w:r>
    </w:p>
    <w:p w:rsidR="00887330" w:rsidRPr="00583E1A" w:rsidRDefault="00887330" w:rsidP="00887330">
      <w:pPr>
        <w:pStyle w:val="SubsectionHead"/>
      </w:pPr>
      <w:r w:rsidRPr="00583E1A">
        <w:t>What is the required credit rating?</w:t>
      </w:r>
    </w:p>
    <w:p w:rsidR="00887330" w:rsidRPr="00583E1A" w:rsidRDefault="00887330" w:rsidP="00887330">
      <w:pPr>
        <w:pStyle w:val="subsection"/>
      </w:pPr>
      <w:r w:rsidRPr="00583E1A">
        <w:tab/>
        <w:t>(4)</w:t>
      </w:r>
      <w:r w:rsidRPr="00583E1A">
        <w:tab/>
        <w:t xml:space="preserve">For the purposes of step 2 of the method statement in </w:t>
      </w:r>
      <w:r w:rsidR="00583E1A">
        <w:t>subsection (</w:t>
      </w:r>
      <w:r w:rsidRPr="00583E1A">
        <w:t xml:space="preserve">1), the required credit rating for an entity issuing a </w:t>
      </w:r>
      <w:r w:rsidR="00583E1A" w:rsidRPr="00583E1A">
        <w:rPr>
          <w:position w:val="6"/>
          <w:sz w:val="16"/>
        </w:rPr>
        <w:t>*</w:t>
      </w:r>
      <w:r w:rsidRPr="00583E1A">
        <w:t>debt interest is:</w:t>
      </w:r>
    </w:p>
    <w:p w:rsidR="00887330" w:rsidRPr="00583E1A" w:rsidRDefault="00887330" w:rsidP="00887330">
      <w:pPr>
        <w:pStyle w:val="paragraph"/>
      </w:pPr>
      <w:r w:rsidRPr="00583E1A">
        <w:tab/>
        <w:t>(a)</w:t>
      </w:r>
      <w:r w:rsidRPr="00583E1A">
        <w:tab/>
        <w:t xml:space="preserve">if the interest is a </w:t>
      </w:r>
      <w:r w:rsidR="00583E1A" w:rsidRPr="00583E1A">
        <w:rPr>
          <w:position w:val="6"/>
          <w:sz w:val="16"/>
        </w:rPr>
        <w:t>*</w:t>
      </w:r>
      <w:r w:rsidRPr="00583E1A">
        <w:t>subordinated debt interest—a long</w:t>
      </w:r>
      <w:r w:rsidR="00583E1A">
        <w:noBreakHyphen/>
      </w:r>
      <w:r w:rsidRPr="00583E1A">
        <w:t>term foreign currency corporate credit rating of at least A (or equivalent) given to the entity by an internationally recognised rating agency; or</w:t>
      </w:r>
    </w:p>
    <w:p w:rsidR="00887330" w:rsidRPr="00583E1A" w:rsidRDefault="00887330" w:rsidP="00887330">
      <w:pPr>
        <w:pStyle w:val="paragraph"/>
      </w:pPr>
      <w:r w:rsidRPr="00583E1A">
        <w:tab/>
        <w:t>(b)</w:t>
      </w:r>
      <w:r w:rsidRPr="00583E1A">
        <w:tab/>
        <w:t>if the interest is a not a subordinated debt interest—a long</w:t>
      </w:r>
      <w:r w:rsidR="00583E1A">
        <w:noBreakHyphen/>
      </w:r>
      <w:r w:rsidRPr="00583E1A">
        <w:t>term foreign currency corporate credit rating of at least BBB (or equivalent) given to the entity by an internationally recognised rating agency.</w:t>
      </w:r>
    </w:p>
    <w:p w:rsidR="00887330" w:rsidRPr="00583E1A" w:rsidRDefault="00887330" w:rsidP="00887330">
      <w:pPr>
        <w:pStyle w:val="SubsectionHead"/>
      </w:pPr>
      <w:r w:rsidRPr="00583E1A">
        <w:t>When must an entity have the required credit rating</w:t>
      </w:r>
    </w:p>
    <w:p w:rsidR="00887330" w:rsidRPr="00583E1A" w:rsidRDefault="00887330" w:rsidP="00887330">
      <w:pPr>
        <w:pStyle w:val="subsection"/>
      </w:pPr>
      <w:r w:rsidRPr="00583E1A">
        <w:tab/>
        <w:t>(5)</w:t>
      </w:r>
      <w:r w:rsidRPr="00583E1A">
        <w:tab/>
        <w:t>The entity must have the required credit rating as specified in any of the following paragraphs:</w:t>
      </w:r>
    </w:p>
    <w:p w:rsidR="00887330" w:rsidRPr="00583E1A" w:rsidRDefault="00887330" w:rsidP="00887330">
      <w:pPr>
        <w:pStyle w:val="paragraph"/>
      </w:pPr>
      <w:r w:rsidRPr="00583E1A">
        <w:tab/>
        <w:t>(a)</w:t>
      </w:r>
      <w:r w:rsidRPr="00583E1A">
        <w:tab/>
        <w:t xml:space="preserve">the entity had the required credit rating for the </w:t>
      </w:r>
      <w:r w:rsidR="00583E1A" w:rsidRPr="00583E1A">
        <w:rPr>
          <w:position w:val="6"/>
          <w:sz w:val="16"/>
        </w:rPr>
        <w:t>*</w:t>
      </w:r>
      <w:r w:rsidRPr="00583E1A">
        <w:t>debt interest when the interest was issued;</w:t>
      </w:r>
    </w:p>
    <w:p w:rsidR="00887330" w:rsidRPr="00583E1A" w:rsidRDefault="00887330" w:rsidP="00887330">
      <w:pPr>
        <w:pStyle w:val="paragraph"/>
      </w:pPr>
      <w:r w:rsidRPr="00583E1A">
        <w:tab/>
        <w:t>(b)</w:t>
      </w:r>
      <w:r w:rsidRPr="00583E1A">
        <w:tab/>
        <w:t>the following subparagraphs apply:</w:t>
      </w:r>
    </w:p>
    <w:p w:rsidR="00887330" w:rsidRPr="00583E1A" w:rsidRDefault="00887330" w:rsidP="00887330">
      <w:pPr>
        <w:pStyle w:val="paragraphsub"/>
      </w:pPr>
      <w:r w:rsidRPr="00583E1A">
        <w:tab/>
        <w:t>(i)</w:t>
      </w:r>
      <w:r w:rsidRPr="00583E1A">
        <w:tab/>
        <w:t>the entity did not have any long</w:t>
      </w:r>
      <w:r w:rsidR="00583E1A">
        <w:noBreakHyphen/>
      </w:r>
      <w:r w:rsidRPr="00583E1A">
        <w:t>term foreign currency corporate credit rating given to it by an internationally recognised rating agency when the debt interest was issued; but</w:t>
      </w:r>
    </w:p>
    <w:p w:rsidR="00887330" w:rsidRPr="00583E1A" w:rsidRDefault="00887330" w:rsidP="00887330">
      <w:pPr>
        <w:pStyle w:val="paragraphsub"/>
      </w:pPr>
      <w:r w:rsidRPr="00583E1A">
        <w:tab/>
        <w:t>(ii)</w:t>
      </w:r>
      <w:r w:rsidRPr="00583E1A">
        <w:tab/>
        <w:t>the entity had the required credit rating for that interest at any time during the period of 6 months immediately before the interest was issued;</w:t>
      </w:r>
    </w:p>
    <w:p w:rsidR="00887330" w:rsidRPr="00583E1A" w:rsidRDefault="00887330" w:rsidP="00887330">
      <w:pPr>
        <w:pStyle w:val="paragraph"/>
      </w:pPr>
      <w:r w:rsidRPr="00583E1A">
        <w:lastRenderedPageBreak/>
        <w:tab/>
        <w:t>(c)</w:t>
      </w:r>
      <w:r w:rsidRPr="00583E1A">
        <w:tab/>
        <w:t>the following subparagraphs apply:</w:t>
      </w:r>
    </w:p>
    <w:p w:rsidR="00887330" w:rsidRPr="00583E1A" w:rsidRDefault="00887330" w:rsidP="00887330">
      <w:pPr>
        <w:pStyle w:val="paragraphsub"/>
      </w:pPr>
      <w:r w:rsidRPr="00583E1A">
        <w:tab/>
        <w:t>(i)</w:t>
      </w:r>
      <w:r w:rsidRPr="00583E1A">
        <w:tab/>
        <w:t>when the debt interest was issued, and throughout the period of 6 months immediately before the interest was issued, the entity did not have any long</w:t>
      </w:r>
      <w:r w:rsidR="00583E1A">
        <w:noBreakHyphen/>
      </w:r>
      <w:r w:rsidRPr="00583E1A">
        <w:t>term foreign currency corporate credit rating given to it by an internationally recognised rating agency; but</w:t>
      </w:r>
    </w:p>
    <w:p w:rsidR="00887330" w:rsidRPr="00583E1A" w:rsidRDefault="00887330" w:rsidP="00887330">
      <w:pPr>
        <w:pStyle w:val="paragraphsub"/>
      </w:pPr>
      <w:r w:rsidRPr="00583E1A">
        <w:tab/>
        <w:t>(ii)</w:t>
      </w:r>
      <w:r w:rsidRPr="00583E1A">
        <w:tab/>
        <w:t>the entity has the required credit rating for that interest at any time during the period of 6 months immediately after the interest was issued.</w:t>
      </w:r>
    </w:p>
    <w:p w:rsidR="00887330" w:rsidRPr="00583E1A" w:rsidRDefault="00887330" w:rsidP="00887330">
      <w:pPr>
        <w:pStyle w:val="ActHead4"/>
      </w:pPr>
      <w:bookmarkStart w:id="322" w:name="_Toc338939396"/>
      <w:r w:rsidRPr="00583E1A">
        <w:rPr>
          <w:rStyle w:val="CharSubdNo"/>
        </w:rPr>
        <w:t>Subdivision</w:t>
      </w:r>
      <w:r w:rsidR="00583E1A">
        <w:rPr>
          <w:rStyle w:val="CharSubdNo"/>
        </w:rPr>
        <w:t> </w:t>
      </w:r>
      <w:r w:rsidRPr="00583E1A">
        <w:rPr>
          <w:rStyle w:val="CharSubdNo"/>
        </w:rPr>
        <w:t>820</w:t>
      </w:r>
      <w:r w:rsidR="00583E1A">
        <w:rPr>
          <w:rStyle w:val="CharSubdNo"/>
        </w:rPr>
        <w:noBreakHyphen/>
      </w:r>
      <w:r w:rsidRPr="00583E1A">
        <w:rPr>
          <w:rStyle w:val="CharSubdNo"/>
        </w:rPr>
        <w:t>KA</w:t>
      </w:r>
      <w:r w:rsidRPr="00583E1A">
        <w:t>—</w:t>
      </w:r>
      <w:r w:rsidRPr="00583E1A">
        <w:rPr>
          <w:rStyle w:val="CharSubdText"/>
        </w:rPr>
        <w:t>Cost</w:t>
      </w:r>
      <w:r w:rsidR="00583E1A">
        <w:rPr>
          <w:rStyle w:val="CharSubdText"/>
        </w:rPr>
        <w:noBreakHyphen/>
      </w:r>
      <w:r w:rsidRPr="00583E1A">
        <w:rPr>
          <w:rStyle w:val="CharSubdText"/>
        </w:rPr>
        <w:t>free debt capital and excluded equity interests</w:t>
      </w:r>
      <w:bookmarkEnd w:id="322"/>
    </w:p>
    <w:p w:rsidR="00887330" w:rsidRPr="00583E1A" w:rsidRDefault="00887330" w:rsidP="00887330">
      <w:pPr>
        <w:pStyle w:val="ActHead4"/>
      </w:pPr>
      <w:bookmarkStart w:id="323" w:name="_Toc338939397"/>
      <w:r w:rsidRPr="00583E1A">
        <w:t>Guide to Subdivision</w:t>
      </w:r>
      <w:r w:rsidR="00583E1A">
        <w:t> </w:t>
      </w:r>
      <w:r w:rsidRPr="00583E1A">
        <w:t>820</w:t>
      </w:r>
      <w:r w:rsidR="00583E1A">
        <w:noBreakHyphen/>
      </w:r>
      <w:r w:rsidRPr="00583E1A">
        <w:t>KA</w:t>
      </w:r>
      <w:bookmarkEnd w:id="323"/>
    </w:p>
    <w:p w:rsidR="00887330" w:rsidRPr="00583E1A" w:rsidRDefault="00887330" w:rsidP="00887330">
      <w:pPr>
        <w:pStyle w:val="ActHead5"/>
      </w:pPr>
      <w:bookmarkStart w:id="324" w:name="_Toc338939398"/>
      <w:r w:rsidRPr="00583E1A">
        <w:rPr>
          <w:rStyle w:val="CharSectno"/>
        </w:rPr>
        <w:t>820</w:t>
      </w:r>
      <w:r w:rsidR="00583E1A">
        <w:rPr>
          <w:rStyle w:val="CharSectno"/>
        </w:rPr>
        <w:noBreakHyphen/>
      </w:r>
      <w:r w:rsidRPr="00583E1A">
        <w:rPr>
          <w:rStyle w:val="CharSectno"/>
        </w:rPr>
        <w:t>945</w:t>
      </w:r>
      <w:r w:rsidRPr="00583E1A">
        <w:t xml:space="preserve">  What this Subdivision is about</w:t>
      </w:r>
      <w:bookmarkEnd w:id="324"/>
    </w:p>
    <w:p w:rsidR="00887330" w:rsidRPr="00583E1A" w:rsidRDefault="00887330" w:rsidP="00887330">
      <w:pPr>
        <w:pStyle w:val="BoxText"/>
      </w:pPr>
      <w:r w:rsidRPr="00583E1A">
        <w:t>This Subdivision sets out the meaning of cost</w:t>
      </w:r>
      <w:r w:rsidR="00583E1A">
        <w:noBreakHyphen/>
      </w:r>
      <w:r w:rsidRPr="00583E1A">
        <w:t>free debt capital, and excluded equity interest, for the purposes of this Division.</w:t>
      </w:r>
    </w:p>
    <w:p w:rsidR="00887330" w:rsidRPr="00583E1A" w:rsidRDefault="00887330" w:rsidP="00887330">
      <w:pPr>
        <w:pStyle w:val="TofSectsHeading"/>
      </w:pPr>
      <w:r w:rsidRPr="00583E1A">
        <w:t>Table of sections</w:t>
      </w:r>
    </w:p>
    <w:p w:rsidR="00887330" w:rsidRPr="00583E1A" w:rsidRDefault="00887330" w:rsidP="00887330">
      <w:pPr>
        <w:pStyle w:val="TofSectsSection"/>
        <w:rPr>
          <w:i/>
        </w:rPr>
      </w:pPr>
      <w:r w:rsidRPr="00583E1A">
        <w:t>820</w:t>
      </w:r>
      <w:r w:rsidR="00583E1A">
        <w:noBreakHyphen/>
      </w:r>
      <w:r w:rsidRPr="00583E1A">
        <w:t>946</w:t>
      </w:r>
      <w:r w:rsidRPr="00583E1A">
        <w:tab/>
      </w:r>
      <w:r w:rsidRPr="00583E1A">
        <w:rPr>
          <w:i/>
        </w:rPr>
        <w:t>Cost</w:t>
      </w:r>
      <w:r w:rsidR="00583E1A">
        <w:rPr>
          <w:i/>
        </w:rPr>
        <w:noBreakHyphen/>
      </w:r>
      <w:r w:rsidRPr="00583E1A">
        <w:rPr>
          <w:i/>
        </w:rPr>
        <w:t>free debt capital</w:t>
      </w:r>
      <w:r w:rsidRPr="00583E1A">
        <w:t xml:space="preserve"> and </w:t>
      </w:r>
      <w:r w:rsidRPr="00583E1A">
        <w:rPr>
          <w:i/>
        </w:rPr>
        <w:t>excluded equity interest</w:t>
      </w:r>
    </w:p>
    <w:p w:rsidR="00887330" w:rsidRPr="00583E1A" w:rsidRDefault="00887330" w:rsidP="00887330">
      <w:pPr>
        <w:pStyle w:val="ActHead5"/>
      </w:pPr>
      <w:bookmarkStart w:id="325" w:name="_Toc338939399"/>
      <w:r w:rsidRPr="00583E1A">
        <w:rPr>
          <w:rStyle w:val="CharSectno"/>
        </w:rPr>
        <w:t>820</w:t>
      </w:r>
      <w:r w:rsidR="00583E1A">
        <w:rPr>
          <w:rStyle w:val="CharSectno"/>
        </w:rPr>
        <w:noBreakHyphen/>
      </w:r>
      <w:r w:rsidRPr="00583E1A">
        <w:rPr>
          <w:rStyle w:val="CharSectno"/>
        </w:rPr>
        <w:t>946</w:t>
      </w:r>
      <w:r w:rsidRPr="00583E1A">
        <w:t xml:space="preserve">  </w:t>
      </w:r>
      <w:r w:rsidRPr="00583E1A">
        <w:rPr>
          <w:i/>
        </w:rPr>
        <w:t>Cost</w:t>
      </w:r>
      <w:r w:rsidR="00583E1A">
        <w:rPr>
          <w:i/>
        </w:rPr>
        <w:noBreakHyphen/>
      </w:r>
      <w:r w:rsidRPr="00583E1A">
        <w:rPr>
          <w:i/>
        </w:rPr>
        <w:t>free debt capital</w:t>
      </w:r>
      <w:r w:rsidRPr="00583E1A">
        <w:t xml:space="preserve"> and </w:t>
      </w:r>
      <w:r w:rsidRPr="00583E1A">
        <w:rPr>
          <w:i/>
        </w:rPr>
        <w:t>excluded equity interest</w:t>
      </w:r>
      <w:bookmarkEnd w:id="325"/>
    </w:p>
    <w:p w:rsidR="00887330" w:rsidRPr="00583E1A" w:rsidRDefault="00887330" w:rsidP="00887330">
      <w:pPr>
        <w:pStyle w:val="subsection"/>
      </w:pPr>
      <w:r w:rsidRPr="00583E1A">
        <w:tab/>
        <w:t>(1)</w:t>
      </w:r>
      <w:r w:rsidRPr="00583E1A">
        <w:tab/>
        <w:t xml:space="preserve">This subsection applies to an entity for a period (the </w:t>
      </w:r>
      <w:r w:rsidRPr="00583E1A">
        <w:rPr>
          <w:b/>
          <w:i/>
        </w:rPr>
        <w:t>relevant period</w:t>
      </w:r>
      <w:r w:rsidRPr="00583E1A">
        <w:t>) that is all or a part of an income year if the entity satisfies all of the following:</w:t>
      </w:r>
    </w:p>
    <w:p w:rsidR="00887330" w:rsidRPr="00583E1A" w:rsidRDefault="00887330" w:rsidP="00887330">
      <w:pPr>
        <w:pStyle w:val="paragraph"/>
      </w:pPr>
      <w:r w:rsidRPr="00583E1A">
        <w:tab/>
        <w:t>(a)</w:t>
      </w:r>
      <w:r w:rsidRPr="00583E1A">
        <w:tab/>
        <w:t xml:space="preserve">the entity is an </w:t>
      </w:r>
      <w:r w:rsidR="00583E1A" w:rsidRPr="00583E1A">
        <w:rPr>
          <w:position w:val="6"/>
          <w:sz w:val="16"/>
        </w:rPr>
        <w:t>*</w:t>
      </w:r>
      <w:r w:rsidRPr="00583E1A">
        <w:t>outward investing entity (non</w:t>
      </w:r>
      <w:r w:rsidR="00583E1A">
        <w:noBreakHyphen/>
      </w:r>
      <w:r w:rsidRPr="00583E1A">
        <w:t xml:space="preserve">ADI) or </w:t>
      </w:r>
      <w:r w:rsidR="00583E1A" w:rsidRPr="00583E1A">
        <w:rPr>
          <w:position w:val="6"/>
          <w:sz w:val="16"/>
        </w:rPr>
        <w:t>*</w:t>
      </w:r>
      <w:r w:rsidRPr="00583E1A">
        <w:t>inward investing entity (non</w:t>
      </w:r>
      <w:r w:rsidR="00583E1A">
        <w:noBreakHyphen/>
      </w:r>
      <w:r w:rsidRPr="00583E1A">
        <w:t>ADI) for that period;</w:t>
      </w:r>
    </w:p>
    <w:p w:rsidR="00887330" w:rsidRPr="00583E1A" w:rsidRDefault="00887330" w:rsidP="00887330">
      <w:pPr>
        <w:pStyle w:val="paragraph"/>
      </w:pPr>
      <w:r w:rsidRPr="00583E1A">
        <w:tab/>
        <w:t>(b)</w:t>
      </w:r>
      <w:r w:rsidRPr="00583E1A">
        <w:tab/>
        <w:t xml:space="preserve">if the entity is a </w:t>
      </w:r>
      <w:r w:rsidR="00583E1A" w:rsidRPr="00583E1A">
        <w:rPr>
          <w:position w:val="6"/>
          <w:sz w:val="16"/>
        </w:rPr>
        <w:t>*</w:t>
      </w:r>
      <w:r w:rsidRPr="00583E1A">
        <w:t>foreign entity—the entity holds any of the following assets throughout that period:</w:t>
      </w:r>
    </w:p>
    <w:p w:rsidR="00887330" w:rsidRPr="00583E1A" w:rsidRDefault="00887330" w:rsidP="00887330">
      <w:pPr>
        <w:pStyle w:val="paragraphsub"/>
      </w:pPr>
      <w:r w:rsidRPr="00583E1A">
        <w:tab/>
        <w:t>(i)</w:t>
      </w:r>
      <w:r w:rsidRPr="00583E1A">
        <w:tab/>
        <w:t xml:space="preserve">assets that are attributable to the entity’s </w:t>
      </w:r>
      <w:r w:rsidR="00583E1A" w:rsidRPr="00583E1A">
        <w:rPr>
          <w:position w:val="6"/>
          <w:sz w:val="16"/>
        </w:rPr>
        <w:t>*</w:t>
      </w:r>
      <w:r w:rsidRPr="00583E1A">
        <w:t>Australian permanent establishments;</w:t>
      </w:r>
    </w:p>
    <w:p w:rsidR="00887330" w:rsidRPr="00583E1A" w:rsidRDefault="00887330" w:rsidP="00887330">
      <w:pPr>
        <w:pStyle w:val="paragraphsub"/>
      </w:pPr>
      <w:r w:rsidRPr="00583E1A">
        <w:tab/>
        <w:t>(ii)</w:t>
      </w:r>
      <w:r w:rsidRPr="00583E1A">
        <w:tab/>
        <w:t>other assets that are held for the purposes of producing the entity’s assessable income;</w:t>
      </w:r>
    </w:p>
    <w:p w:rsidR="00887330" w:rsidRPr="00583E1A" w:rsidRDefault="00887330" w:rsidP="00887330">
      <w:pPr>
        <w:pStyle w:val="paragraph"/>
      </w:pPr>
      <w:r w:rsidRPr="00583E1A">
        <w:lastRenderedPageBreak/>
        <w:tab/>
        <w:t>(c)</w:t>
      </w:r>
      <w:r w:rsidRPr="00583E1A">
        <w:tab/>
        <w:t>neither section</w:t>
      </w:r>
      <w:r w:rsidR="00583E1A">
        <w:t> </w:t>
      </w:r>
      <w:r w:rsidRPr="00583E1A">
        <w:t>820</w:t>
      </w:r>
      <w:r w:rsidR="00583E1A">
        <w:noBreakHyphen/>
      </w:r>
      <w:r w:rsidRPr="00583E1A">
        <w:t>35 ($250,000 debt deductions threshold) nor section</w:t>
      </w:r>
      <w:r w:rsidR="00583E1A">
        <w:t> </w:t>
      </w:r>
      <w:r w:rsidRPr="00583E1A">
        <w:t>820</w:t>
      </w:r>
      <w:r w:rsidR="00583E1A">
        <w:noBreakHyphen/>
      </w:r>
      <w:r w:rsidRPr="00583E1A">
        <w:t>37 (exemption for entity with 90% Australian assets) prevents Subdivision</w:t>
      </w:r>
      <w:r w:rsidR="00583E1A">
        <w:t> </w:t>
      </w:r>
      <w:r w:rsidRPr="00583E1A">
        <w:t>820</w:t>
      </w:r>
      <w:r w:rsidR="00583E1A">
        <w:noBreakHyphen/>
      </w:r>
      <w:r w:rsidRPr="00583E1A">
        <w:t>B, 820</w:t>
      </w:r>
      <w:r w:rsidR="00583E1A">
        <w:noBreakHyphen/>
      </w:r>
      <w:r w:rsidRPr="00583E1A">
        <w:t>C, 820</w:t>
      </w:r>
      <w:r w:rsidR="00583E1A">
        <w:noBreakHyphen/>
      </w:r>
      <w:r w:rsidRPr="00583E1A">
        <w:t>D or 820</w:t>
      </w:r>
      <w:r w:rsidR="00583E1A">
        <w:noBreakHyphen/>
      </w:r>
      <w:r w:rsidRPr="00583E1A">
        <w:t xml:space="preserve">E from disallowing any </w:t>
      </w:r>
      <w:r w:rsidR="00583E1A" w:rsidRPr="00583E1A">
        <w:rPr>
          <w:position w:val="6"/>
          <w:sz w:val="16"/>
        </w:rPr>
        <w:t>*</w:t>
      </w:r>
      <w:r w:rsidRPr="00583E1A">
        <w:t>debt deduction of the entity for the income year;</w:t>
      </w:r>
    </w:p>
    <w:p w:rsidR="00887330" w:rsidRPr="00583E1A" w:rsidRDefault="00887330" w:rsidP="00887330">
      <w:pPr>
        <w:pStyle w:val="paragraph"/>
      </w:pPr>
      <w:r w:rsidRPr="00583E1A">
        <w:tab/>
        <w:t>(da)</w:t>
      </w:r>
      <w:r w:rsidRPr="00583E1A">
        <w:tab/>
        <w:t xml:space="preserve">for some or all of that period, the entity does </w:t>
      </w:r>
      <w:r w:rsidRPr="00583E1A">
        <w:rPr>
          <w:i/>
        </w:rPr>
        <w:t>not</w:t>
      </w:r>
      <w:r w:rsidRPr="00583E1A">
        <w:t xml:space="preserve"> meet the conditions in subsection 820</w:t>
      </w:r>
      <w:r w:rsidR="00583E1A">
        <w:noBreakHyphen/>
      </w:r>
      <w:r w:rsidRPr="00583E1A">
        <w:t>39(3) (about exemption of certain special purpose entities);</w:t>
      </w:r>
    </w:p>
    <w:p w:rsidR="00887330" w:rsidRPr="00583E1A" w:rsidRDefault="00887330" w:rsidP="00887330">
      <w:pPr>
        <w:pStyle w:val="paragraph"/>
      </w:pPr>
      <w:r w:rsidRPr="00583E1A">
        <w:tab/>
        <w:t>(d)</w:t>
      </w:r>
      <w:r w:rsidRPr="00583E1A">
        <w:tab/>
        <w:t xml:space="preserve">the entity is not an </w:t>
      </w:r>
      <w:r w:rsidR="00583E1A" w:rsidRPr="00583E1A">
        <w:rPr>
          <w:position w:val="6"/>
          <w:sz w:val="16"/>
        </w:rPr>
        <w:t>*</w:t>
      </w:r>
      <w:r w:rsidRPr="00583E1A">
        <w:t>exempt entity for the income year.</w:t>
      </w:r>
    </w:p>
    <w:p w:rsidR="00887330" w:rsidRPr="00583E1A" w:rsidRDefault="00887330" w:rsidP="00887330">
      <w:pPr>
        <w:pStyle w:val="notetext"/>
      </w:pPr>
      <w:r w:rsidRPr="00583E1A">
        <w:t>Note:</w:t>
      </w:r>
      <w:r w:rsidRPr="00583E1A">
        <w:tab/>
      </w:r>
      <w:r w:rsidR="00583E1A">
        <w:t>Paragraph (</w:t>
      </w:r>
      <w:r w:rsidRPr="00583E1A">
        <w:t>c) corresponds to the threshold tests for this Division set out in sections</w:t>
      </w:r>
      <w:r w:rsidR="00583E1A">
        <w:t> </w:t>
      </w:r>
      <w:r w:rsidRPr="00583E1A">
        <w:t>820</w:t>
      </w:r>
      <w:r w:rsidR="00583E1A">
        <w:noBreakHyphen/>
      </w:r>
      <w:r w:rsidRPr="00583E1A">
        <w:t>35 and 820</w:t>
      </w:r>
      <w:r w:rsidR="00583E1A">
        <w:noBreakHyphen/>
      </w:r>
      <w:r w:rsidRPr="00583E1A">
        <w:t>37.</w:t>
      </w:r>
    </w:p>
    <w:p w:rsidR="00887330" w:rsidRPr="00583E1A" w:rsidRDefault="00887330" w:rsidP="00887330">
      <w:pPr>
        <w:pStyle w:val="subsection"/>
      </w:pPr>
      <w:r w:rsidRPr="00583E1A">
        <w:tab/>
        <w:t>(2)</w:t>
      </w:r>
      <w:r w:rsidRPr="00583E1A">
        <w:tab/>
        <w:t xml:space="preserve">The </w:t>
      </w:r>
      <w:r w:rsidRPr="00583E1A">
        <w:rPr>
          <w:b/>
          <w:i/>
        </w:rPr>
        <w:t>cost</w:t>
      </w:r>
      <w:r w:rsidR="00583E1A">
        <w:rPr>
          <w:b/>
          <w:i/>
        </w:rPr>
        <w:noBreakHyphen/>
      </w:r>
      <w:r w:rsidRPr="00583E1A">
        <w:rPr>
          <w:b/>
          <w:i/>
        </w:rPr>
        <w:t>free debt capital</w:t>
      </w:r>
      <w:r w:rsidRPr="00583E1A">
        <w:t xml:space="preserve"> of the entity at a particular time during the relevant period is the total value of all the </w:t>
      </w:r>
      <w:r w:rsidR="00583E1A" w:rsidRPr="00583E1A">
        <w:rPr>
          <w:position w:val="6"/>
          <w:sz w:val="16"/>
        </w:rPr>
        <w:t>*</w:t>
      </w:r>
      <w:r w:rsidRPr="00583E1A">
        <w:t xml:space="preserve">debt interests </w:t>
      </w:r>
      <w:r w:rsidR="00583E1A" w:rsidRPr="00583E1A">
        <w:rPr>
          <w:position w:val="6"/>
          <w:sz w:val="16"/>
        </w:rPr>
        <w:t>*</w:t>
      </w:r>
      <w:r w:rsidRPr="00583E1A">
        <w:t>issued by the entity that satisfy all of the following:</w:t>
      </w:r>
    </w:p>
    <w:p w:rsidR="00887330" w:rsidRPr="00583E1A" w:rsidRDefault="00887330" w:rsidP="00887330">
      <w:pPr>
        <w:pStyle w:val="paragraph"/>
      </w:pPr>
      <w:r w:rsidRPr="00583E1A">
        <w:tab/>
        <w:t>(a)</w:t>
      </w:r>
      <w:r w:rsidRPr="00583E1A">
        <w:tab/>
        <w:t xml:space="preserve">the interests are </w:t>
      </w:r>
      <w:r w:rsidR="00583E1A" w:rsidRPr="00583E1A">
        <w:rPr>
          <w:position w:val="6"/>
          <w:sz w:val="16"/>
        </w:rPr>
        <w:t>*</w:t>
      </w:r>
      <w:r w:rsidRPr="00583E1A">
        <w:t>on issue at that time;</w:t>
      </w:r>
    </w:p>
    <w:p w:rsidR="00887330" w:rsidRPr="00583E1A" w:rsidRDefault="00887330" w:rsidP="00887330">
      <w:pPr>
        <w:pStyle w:val="paragraph"/>
      </w:pPr>
      <w:r w:rsidRPr="00583E1A">
        <w:tab/>
        <w:t>(b)</w:t>
      </w:r>
      <w:r w:rsidRPr="00583E1A">
        <w:tab/>
        <w:t>none of the interests gives rise to any cost, at any time, that is covered by paragraph 820</w:t>
      </w:r>
      <w:r w:rsidR="00583E1A">
        <w:noBreakHyphen/>
      </w:r>
      <w:r w:rsidRPr="00583E1A">
        <w:t>40(1)(a);</w:t>
      </w:r>
    </w:p>
    <w:p w:rsidR="00887330" w:rsidRPr="00583E1A" w:rsidRDefault="00887330" w:rsidP="00887330">
      <w:pPr>
        <w:pStyle w:val="paragraph"/>
      </w:pPr>
      <w:r w:rsidRPr="00583E1A">
        <w:tab/>
        <w:t>(c)</w:t>
      </w:r>
      <w:r w:rsidRPr="00583E1A">
        <w:tab/>
        <w:t xml:space="preserve">each of the interests is covered by </w:t>
      </w:r>
      <w:r w:rsidR="00583E1A">
        <w:t>subsection (</w:t>
      </w:r>
      <w:r w:rsidRPr="00583E1A">
        <w:t>3) or (4) of this section at that time.</w:t>
      </w:r>
    </w:p>
    <w:p w:rsidR="00887330" w:rsidRPr="00583E1A" w:rsidRDefault="00887330" w:rsidP="00887330">
      <w:pPr>
        <w:pStyle w:val="subsection"/>
      </w:pPr>
      <w:r w:rsidRPr="00583E1A">
        <w:tab/>
        <w:t>(2A)</w:t>
      </w:r>
      <w:r w:rsidRPr="00583E1A">
        <w:tab/>
        <w:t xml:space="preserve">An </w:t>
      </w:r>
      <w:r w:rsidR="00583E1A" w:rsidRPr="00583E1A">
        <w:rPr>
          <w:position w:val="6"/>
          <w:sz w:val="16"/>
        </w:rPr>
        <w:t>*</w:t>
      </w:r>
      <w:r w:rsidRPr="00583E1A">
        <w:t xml:space="preserve">equity interest in the entity is an </w:t>
      </w:r>
      <w:r w:rsidRPr="00583E1A">
        <w:rPr>
          <w:b/>
          <w:i/>
        </w:rPr>
        <w:t>excluded equity interest</w:t>
      </w:r>
      <w:r w:rsidRPr="00583E1A">
        <w:t xml:space="preserve"> at a particular time during the relevant period if, and only if:</w:t>
      </w:r>
    </w:p>
    <w:p w:rsidR="00887330" w:rsidRPr="00583E1A" w:rsidRDefault="00887330" w:rsidP="00887330">
      <w:pPr>
        <w:pStyle w:val="paragraph"/>
      </w:pPr>
      <w:r w:rsidRPr="00583E1A">
        <w:tab/>
        <w:t>(a)</w:t>
      </w:r>
      <w:r w:rsidRPr="00583E1A">
        <w:tab/>
        <w:t xml:space="preserve">if </w:t>
      </w:r>
      <w:r w:rsidR="00583E1A">
        <w:t>subsection (</w:t>
      </w:r>
      <w:r w:rsidRPr="00583E1A">
        <w:t>1) does not apply to the holder of the interest for all or part of the relevant period:</w:t>
      </w:r>
    </w:p>
    <w:p w:rsidR="00887330" w:rsidRPr="00583E1A" w:rsidRDefault="00887330" w:rsidP="00887330">
      <w:pPr>
        <w:pStyle w:val="paragraphsub"/>
      </w:pPr>
      <w:r w:rsidRPr="00583E1A">
        <w:tab/>
        <w:t>(i)</w:t>
      </w:r>
      <w:r w:rsidRPr="00583E1A">
        <w:tab/>
        <w:t xml:space="preserve">the entity is an </w:t>
      </w:r>
      <w:r w:rsidR="00583E1A" w:rsidRPr="00583E1A">
        <w:rPr>
          <w:position w:val="6"/>
          <w:sz w:val="16"/>
        </w:rPr>
        <w:t>*</w:t>
      </w:r>
      <w:r w:rsidRPr="00583E1A">
        <w:t>associate of the holder; and</w:t>
      </w:r>
    </w:p>
    <w:p w:rsidR="00887330" w:rsidRPr="00583E1A" w:rsidRDefault="00887330" w:rsidP="00887330">
      <w:pPr>
        <w:pStyle w:val="paragraphsub"/>
      </w:pPr>
      <w:r w:rsidRPr="00583E1A">
        <w:tab/>
        <w:t>(ii)</w:t>
      </w:r>
      <w:r w:rsidRPr="00583E1A">
        <w:tab/>
        <w:t xml:space="preserve">at that time, the interest has been </w:t>
      </w:r>
      <w:r w:rsidR="00583E1A" w:rsidRPr="00583E1A">
        <w:rPr>
          <w:position w:val="6"/>
          <w:sz w:val="16"/>
        </w:rPr>
        <w:t>*</w:t>
      </w:r>
      <w:r w:rsidRPr="00583E1A">
        <w:t>on issue for a period of less than 180 days; or</w:t>
      </w:r>
    </w:p>
    <w:p w:rsidR="00887330" w:rsidRPr="00583E1A" w:rsidRDefault="00887330" w:rsidP="00887330">
      <w:pPr>
        <w:pStyle w:val="paragraph"/>
      </w:pPr>
      <w:r w:rsidRPr="00583E1A">
        <w:tab/>
        <w:t>(b)</w:t>
      </w:r>
      <w:r w:rsidRPr="00583E1A">
        <w:tab/>
        <w:t xml:space="preserve">if </w:t>
      </w:r>
      <w:r w:rsidR="00583E1A">
        <w:t>subsection (</w:t>
      </w:r>
      <w:r w:rsidRPr="00583E1A">
        <w:t>1) applies to the holder for all or part of the relevant period:</w:t>
      </w:r>
    </w:p>
    <w:p w:rsidR="00887330" w:rsidRPr="00583E1A" w:rsidRDefault="00887330" w:rsidP="00887330">
      <w:pPr>
        <w:pStyle w:val="paragraphsub"/>
      </w:pPr>
      <w:r w:rsidRPr="00583E1A">
        <w:tab/>
        <w:t>(i)</w:t>
      </w:r>
      <w:r w:rsidRPr="00583E1A">
        <w:tab/>
        <w:t>the entity is an associate of the holder; and</w:t>
      </w:r>
    </w:p>
    <w:p w:rsidR="00887330" w:rsidRPr="00583E1A" w:rsidRDefault="00887330" w:rsidP="00887330">
      <w:pPr>
        <w:pStyle w:val="paragraphsub"/>
      </w:pPr>
      <w:r w:rsidRPr="00583E1A">
        <w:tab/>
        <w:t>(ii)</w:t>
      </w:r>
      <w:r w:rsidRPr="00583E1A">
        <w:tab/>
        <w:t>at that time, the interest has been on issue for a period of less than 180 days; and</w:t>
      </w:r>
    </w:p>
    <w:p w:rsidR="00887330" w:rsidRPr="00583E1A" w:rsidRDefault="00887330" w:rsidP="00887330">
      <w:pPr>
        <w:pStyle w:val="paragraphsub"/>
      </w:pPr>
      <w:r w:rsidRPr="00583E1A">
        <w:tab/>
        <w:t>(iii)</w:t>
      </w:r>
      <w:r w:rsidRPr="00583E1A">
        <w:tab/>
        <w:t xml:space="preserve">the interest is covered by </w:t>
      </w:r>
      <w:r w:rsidR="00583E1A">
        <w:t>subsection (</w:t>
      </w:r>
      <w:r w:rsidRPr="00583E1A">
        <w:t>3) at that time.</w:t>
      </w:r>
    </w:p>
    <w:p w:rsidR="002749C5" w:rsidRPr="00583E1A" w:rsidRDefault="002749C5" w:rsidP="002749C5">
      <w:pPr>
        <w:pStyle w:val="subsection2"/>
      </w:pPr>
      <w:r w:rsidRPr="00583E1A">
        <w:t xml:space="preserve">However, the interest is taken </w:t>
      </w:r>
      <w:r w:rsidRPr="00583E1A">
        <w:rPr>
          <w:i/>
        </w:rPr>
        <w:t>not</w:t>
      </w:r>
      <w:r w:rsidRPr="00583E1A">
        <w:t xml:space="preserve"> to have been an </w:t>
      </w:r>
      <w:r w:rsidRPr="00583E1A">
        <w:rPr>
          <w:b/>
          <w:i/>
        </w:rPr>
        <w:t>excluded equity interest</w:t>
      </w:r>
      <w:r w:rsidRPr="00583E1A">
        <w:t xml:space="preserve"> at the time if the total period for which the interest remains on issue is 180 days or more.</w:t>
      </w:r>
    </w:p>
    <w:p w:rsidR="00887330" w:rsidRPr="00583E1A" w:rsidRDefault="00887330" w:rsidP="00887330">
      <w:pPr>
        <w:pStyle w:val="subsection"/>
      </w:pPr>
      <w:r w:rsidRPr="00583E1A">
        <w:lastRenderedPageBreak/>
        <w:tab/>
        <w:t>(3)</w:t>
      </w:r>
      <w:r w:rsidRPr="00583E1A">
        <w:tab/>
        <w:t xml:space="preserve">This subsection covers a </w:t>
      </w:r>
      <w:r w:rsidR="00583E1A" w:rsidRPr="00583E1A">
        <w:rPr>
          <w:position w:val="6"/>
          <w:sz w:val="16"/>
        </w:rPr>
        <w:t>*</w:t>
      </w:r>
      <w:r w:rsidRPr="00583E1A">
        <w:t xml:space="preserve">debt interest or </w:t>
      </w:r>
      <w:r w:rsidR="00583E1A" w:rsidRPr="00583E1A">
        <w:rPr>
          <w:position w:val="6"/>
          <w:sz w:val="16"/>
        </w:rPr>
        <w:t>*</w:t>
      </w:r>
      <w:r w:rsidRPr="00583E1A">
        <w:t xml:space="preserve">equity interest held by an entity (the </w:t>
      </w:r>
      <w:r w:rsidRPr="00583E1A">
        <w:rPr>
          <w:b/>
          <w:i/>
        </w:rPr>
        <w:t>holder</w:t>
      </w:r>
      <w:r w:rsidRPr="00583E1A">
        <w:t xml:space="preserve">) at </w:t>
      </w:r>
      <w:r w:rsidR="0041163E" w:rsidRPr="00583E1A">
        <w:t xml:space="preserve">the particular time mentioned in </w:t>
      </w:r>
      <w:r w:rsidR="00583E1A">
        <w:t>subsection (</w:t>
      </w:r>
      <w:r w:rsidR="0041163E" w:rsidRPr="00583E1A">
        <w:t>2) or (2A)</w:t>
      </w:r>
      <w:r w:rsidRPr="00583E1A">
        <w:t xml:space="preserve"> if:</w:t>
      </w:r>
    </w:p>
    <w:p w:rsidR="00887330" w:rsidRPr="00583E1A" w:rsidRDefault="00887330" w:rsidP="00887330">
      <w:pPr>
        <w:pStyle w:val="paragraph"/>
      </w:pPr>
      <w:r w:rsidRPr="00583E1A">
        <w:tab/>
        <w:t>(a)</w:t>
      </w:r>
      <w:r w:rsidRPr="00583E1A">
        <w:tab/>
      </w:r>
      <w:r w:rsidR="00583E1A">
        <w:t>subsection (</w:t>
      </w:r>
      <w:r w:rsidRPr="00583E1A">
        <w:t xml:space="preserve">1) also applies to the holder for a period (the </w:t>
      </w:r>
      <w:r w:rsidRPr="00583E1A">
        <w:rPr>
          <w:b/>
          <w:i/>
        </w:rPr>
        <w:t>overlapped period</w:t>
      </w:r>
      <w:r w:rsidRPr="00583E1A">
        <w:t>) that is, or includes, all or a part of the relevant period; and</w:t>
      </w:r>
    </w:p>
    <w:p w:rsidR="00887330" w:rsidRPr="00583E1A" w:rsidRDefault="00887330" w:rsidP="00887330">
      <w:pPr>
        <w:pStyle w:val="paragraph"/>
      </w:pPr>
      <w:r w:rsidRPr="00583E1A">
        <w:tab/>
        <w:t>(b)</w:t>
      </w:r>
      <w:r w:rsidRPr="00583E1A">
        <w:tab/>
        <w:t xml:space="preserve">for the purposes of applying this Division to both the holder and the issuer of the interest (the </w:t>
      </w:r>
      <w:r w:rsidRPr="00583E1A">
        <w:rPr>
          <w:b/>
          <w:i/>
        </w:rPr>
        <w:t>issuer</w:t>
      </w:r>
      <w:r w:rsidRPr="00583E1A">
        <w:t>), and in relation to only that part of the overlapped period that falls within the relevant period, either or both of the following apply:</w:t>
      </w:r>
    </w:p>
    <w:p w:rsidR="00887330" w:rsidRPr="00583E1A" w:rsidRDefault="00887330" w:rsidP="00887330">
      <w:pPr>
        <w:pStyle w:val="paragraphsub"/>
      </w:pPr>
      <w:r w:rsidRPr="00583E1A">
        <w:tab/>
        <w:t>(i)</w:t>
      </w:r>
      <w:r w:rsidRPr="00583E1A">
        <w:tab/>
        <w:t xml:space="preserve">the </w:t>
      </w:r>
      <w:r w:rsidR="00583E1A" w:rsidRPr="00583E1A">
        <w:rPr>
          <w:position w:val="6"/>
          <w:sz w:val="16"/>
        </w:rPr>
        <w:t>*</w:t>
      </w:r>
      <w:r w:rsidRPr="00583E1A">
        <w:t xml:space="preserve">valuation days used to calculate the average value of the holder’s assets are different from the valuation days used to calculate the issuer’s </w:t>
      </w:r>
      <w:r w:rsidR="00583E1A" w:rsidRPr="00583E1A">
        <w:rPr>
          <w:position w:val="6"/>
          <w:sz w:val="16"/>
        </w:rPr>
        <w:t>*</w:t>
      </w:r>
      <w:r w:rsidRPr="00583E1A">
        <w:t>adjusted average debt;</w:t>
      </w:r>
    </w:p>
    <w:p w:rsidR="00887330" w:rsidRPr="00583E1A" w:rsidRDefault="00887330" w:rsidP="00887330">
      <w:pPr>
        <w:pStyle w:val="paragraphsub"/>
      </w:pPr>
      <w:r w:rsidRPr="00583E1A">
        <w:tab/>
        <w:t>(ii)</w:t>
      </w:r>
      <w:r w:rsidRPr="00583E1A">
        <w:tab/>
        <w:t>the number of valuation days used to calculate the average value of the holder’s assets are different from the number of valuation days used to calculate the issuer’s adjusted average debt.</w:t>
      </w:r>
    </w:p>
    <w:p w:rsidR="00887330" w:rsidRPr="00583E1A" w:rsidRDefault="00887330" w:rsidP="00887330">
      <w:pPr>
        <w:pStyle w:val="subsection"/>
      </w:pPr>
      <w:r w:rsidRPr="00583E1A">
        <w:tab/>
        <w:t>(4)</w:t>
      </w:r>
      <w:r w:rsidRPr="00583E1A">
        <w:tab/>
        <w:t xml:space="preserve">This subsection covers a </w:t>
      </w:r>
      <w:r w:rsidR="00583E1A" w:rsidRPr="00583E1A">
        <w:rPr>
          <w:position w:val="6"/>
          <w:sz w:val="16"/>
        </w:rPr>
        <w:t>*</w:t>
      </w:r>
      <w:r w:rsidRPr="00583E1A">
        <w:t xml:space="preserve">debt interest held by an entity (the </w:t>
      </w:r>
      <w:r w:rsidRPr="00583E1A">
        <w:rPr>
          <w:b/>
          <w:i/>
        </w:rPr>
        <w:t>holder</w:t>
      </w:r>
      <w:r w:rsidRPr="00583E1A">
        <w:t xml:space="preserve">) at the particular time mentioned in </w:t>
      </w:r>
      <w:r w:rsidR="00583E1A">
        <w:t>subsection (</w:t>
      </w:r>
      <w:r w:rsidRPr="00583E1A">
        <w:t>2) if:</w:t>
      </w:r>
    </w:p>
    <w:p w:rsidR="00887330" w:rsidRPr="00583E1A" w:rsidRDefault="00887330" w:rsidP="00887330">
      <w:pPr>
        <w:pStyle w:val="paragraph"/>
      </w:pPr>
      <w:r w:rsidRPr="00583E1A">
        <w:tab/>
        <w:t>(a)</w:t>
      </w:r>
      <w:r w:rsidRPr="00583E1A">
        <w:tab/>
      </w:r>
      <w:r w:rsidR="00583E1A">
        <w:t>subsection (</w:t>
      </w:r>
      <w:r w:rsidRPr="00583E1A">
        <w:t>1) does not apply to the holder for a period that is, or includes, all or a part of the relevant period; and</w:t>
      </w:r>
    </w:p>
    <w:p w:rsidR="00887330" w:rsidRPr="00583E1A" w:rsidRDefault="00887330" w:rsidP="00887330">
      <w:pPr>
        <w:pStyle w:val="paragraph"/>
      </w:pPr>
      <w:r w:rsidRPr="00583E1A">
        <w:tab/>
        <w:t>(b)</w:t>
      </w:r>
      <w:r w:rsidRPr="00583E1A">
        <w:tab/>
        <w:t xml:space="preserve">at that time, the debt interest has been </w:t>
      </w:r>
      <w:r w:rsidR="00583E1A" w:rsidRPr="00583E1A">
        <w:rPr>
          <w:position w:val="6"/>
          <w:sz w:val="16"/>
        </w:rPr>
        <w:t>*</w:t>
      </w:r>
      <w:r w:rsidRPr="00583E1A">
        <w:t>on issue for a period of less than 180 days.</w:t>
      </w:r>
    </w:p>
    <w:p w:rsidR="00887330" w:rsidRPr="00583E1A" w:rsidRDefault="00887330" w:rsidP="00887330">
      <w:pPr>
        <w:pStyle w:val="subsection2"/>
      </w:pPr>
      <w:r w:rsidRPr="00583E1A">
        <w:t xml:space="preserve">However, if the total period for which the interest remains on issue is 180 days or more, this subsection is taken </w:t>
      </w:r>
      <w:r w:rsidRPr="00583E1A">
        <w:rPr>
          <w:i/>
        </w:rPr>
        <w:t>not</w:t>
      </w:r>
      <w:r w:rsidRPr="00583E1A">
        <w:t xml:space="preserve"> to have covered the interest at that time.</w:t>
      </w:r>
    </w:p>
    <w:p w:rsidR="00887330" w:rsidRPr="00583E1A" w:rsidRDefault="00887330" w:rsidP="00887330">
      <w:pPr>
        <w:pStyle w:val="subsection"/>
      </w:pPr>
      <w:r w:rsidRPr="00583E1A">
        <w:tab/>
        <w:t>(5)</w:t>
      </w:r>
      <w:r w:rsidRPr="00583E1A">
        <w:tab/>
        <w:t xml:space="preserve">For the purposes of </w:t>
      </w:r>
      <w:r w:rsidR="00583E1A">
        <w:t>subsection (</w:t>
      </w:r>
      <w:r w:rsidRPr="00583E1A">
        <w:t xml:space="preserve">2), take into account the value of a </w:t>
      </w:r>
      <w:r w:rsidR="00583E1A" w:rsidRPr="00583E1A">
        <w:rPr>
          <w:position w:val="6"/>
          <w:sz w:val="16"/>
        </w:rPr>
        <w:t>*</w:t>
      </w:r>
      <w:r w:rsidRPr="00583E1A">
        <w:t xml:space="preserve">debt interest issued by a </w:t>
      </w:r>
      <w:r w:rsidR="00583E1A" w:rsidRPr="00583E1A">
        <w:rPr>
          <w:position w:val="6"/>
          <w:sz w:val="16"/>
        </w:rPr>
        <w:t>*</w:t>
      </w:r>
      <w:r w:rsidRPr="00583E1A">
        <w:t xml:space="preserve">foreign entity only to the extent that the interest is attributable to assets covered by </w:t>
      </w:r>
      <w:r w:rsidR="00583E1A">
        <w:t>subparagraph (</w:t>
      </w:r>
      <w:r w:rsidRPr="00583E1A">
        <w:t>1)(b)(i) or (ii) that are held by the foreign entity throughout the relevant period.</w:t>
      </w:r>
    </w:p>
    <w:p w:rsidR="00887330" w:rsidRPr="00583E1A" w:rsidRDefault="00887330" w:rsidP="00887330">
      <w:pPr>
        <w:pStyle w:val="ActHead4"/>
      </w:pPr>
      <w:bookmarkStart w:id="326" w:name="_Toc338939400"/>
      <w:r w:rsidRPr="00583E1A">
        <w:rPr>
          <w:rStyle w:val="CharSubdNo"/>
        </w:rPr>
        <w:lastRenderedPageBreak/>
        <w:t>Subdivision</w:t>
      </w:r>
      <w:r w:rsidR="00583E1A">
        <w:rPr>
          <w:rStyle w:val="CharSubdNo"/>
        </w:rPr>
        <w:t> </w:t>
      </w:r>
      <w:r w:rsidRPr="00583E1A">
        <w:rPr>
          <w:rStyle w:val="CharSubdNo"/>
        </w:rPr>
        <w:t>820</w:t>
      </w:r>
      <w:r w:rsidR="00583E1A">
        <w:rPr>
          <w:rStyle w:val="CharSubdNo"/>
        </w:rPr>
        <w:noBreakHyphen/>
      </w:r>
      <w:r w:rsidRPr="00583E1A">
        <w:rPr>
          <w:rStyle w:val="CharSubdNo"/>
        </w:rPr>
        <w:t>L</w:t>
      </w:r>
      <w:r w:rsidRPr="00583E1A">
        <w:t>—</w:t>
      </w:r>
      <w:r w:rsidRPr="00583E1A">
        <w:rPr>
          <w:rStyle w:val="CharSubdText"/>
        </w:rPr>
        <w:t>Record keeping requirements</w:t>
      </w:r>
      <w:bookmarkEnd w:id="326"/>
    </w:p>
    <w:p w:rsidR="00887330" w:rsidRPr="00583E1A" w:rsidRDefault="00887330" w:rsidP="00887330">
      <w:pPr>
        <w:pStyle w:val="ActHead4"/>
      </w:pPr>
      <w:bookmarkStart w:id="327" w:name="_Toc338939401"/>
      <w:r w:rsidRPr="00583E1A">
        <w:t>Guide to Subdivision</w:t>
      </w:r>
      <w:r w:rsidR="00583E1A">
        <w:t> </w:t>
      </w:r>
      <w:r w:rsidRPr="00583E1A">
        <w:t>820</w:t>
      </w:r>
      <w:r w:rsidR="00583E1A">
        <w:noBreakHyphen/>
      </w:r>
      <w:r w:rsidRPr="00583E1A">
        <w:t>L</w:t>
      </w:r>
      <w:bookmarkEnd w:id="327"/>
    </w:p>
    <w:p w:rsidR="00887330" w:rsidRPr="00583E1A" w:rsidRDefault="00887330" w:rsidP="00887330">
      <w:pPr>
        <w:pStyle w:val="ActHead5"/>
      </w:pPr>
      <w:bookmarkStart w:id="328" w:name="_Toc338939402"/>
      <w:r w:rsidRPr="00583E1A">
        <w:rPr>
          <w:rStyle w:val="CharSectno"/>
        </w:rPr>
        <w:t>820</w:t>
      </w:r>
      <w:r w:rsidR="00583E1A">
        <w:rPr>
          <w:rStyle w:val="CharSectno"/>
        </w:rPr>
        <w:noBreakHyphen/>
      </w:r>
      <w:r w:rsidRPr="00583E1A">
        <w:rPr>
          <w:rStyle w:val="CharSectno"/>
        </w:rPr>
        <w:t>950</w:t>
      </w:r>
      <w:r w:rsidRPr="00583E1A">
        <w:t xml:space="preserve">  What this Subdivision is about</w:t>
      </w:r>
      <w:bookmarkEnd w:id="328"/>
    </w:p>
    <w:p w:rsidR="00887330" w:rsidRPr="00583E1A" w:rsidRDefault="00887330" w:rsidP="00887330">
      <w:pPr>
        <w:pStyle w:val="BoxText"/>
      </w:pPr>
      <w:r w:rsidRPr="00583E1A">
        <w:t>This Subdivision sets out special record keeping requirements and related provisions about the following:</w:t>
      </w:r>
    </w:p>
    <w:p w:rsidR="00887330" w:rsidRPr="00583E1A" w:rsidRDefault="00887330" w:rsidP="00887330">
      <w:pPr>
        <w:pStyle w:val="BoxPara"/>
      </w:pPr>
      <w:r w:rsidRPr="00583E1A">
        <w:tab/>
        <w:t>(a)</w:t>
      </w:r>
      <w:r w:rsidRPr="00583E1A">
        <w:tab/>
        <w:t>an entity that carries on its business at or through its Australian permanent establishments;</w:t>
      </w:r>
    </w:p>
    <w:p w:rsidR="00887330" w:rsidRPr="00583E1A" w:rsidRDefault="00887330" w:rsidP="00887330">
      <w:pPr>
        <w:pStyle w:val="BoxPara"/>
      </w:pPr>
      <w:r w:rsidRPr="00583E1A">
        <w:tab/>
        <w:t>(b)</w:t>
      </w:r>
      <w:r w:rsidRPr="00583E1A">
        <w:tab/>
        <w:t>an arm’s length debt amount or arm’s length capital amount worked out under this Division.</w:t>
      </w:r>
    </w:p>
    <w:p w:rsidR="00887330" w:rsidRPr="00583E1A" w:rsidRDefault="00887330" w:rsidP="00887330">
      <w:pPr>
        <w:pStyle w:val="TofSectsHeading"/>
      </w:pPr>
      <w:r w:rsidRPr="00583E1A">
        <w:t>Table of sections</w:t>
      </w:r>
    </w:p>
    <w:p w:rsidR="00887330" w:rsidRPr="00583E1A" w:rsidRDefault="00887330" w:rsidP="00887330">
      <w:pPr>
        <w:pStyle w:val="TofSectsGroupHeading"/>
      </w:pPr>
      <w:r w:rsidRPr="00583E1A">
        <w:t>Records about Australian permanent establishments</w:t>
      </w:r>
    </w:p>
    <w:p w:rsidR="00887330" w:rsidRPr="00583E1A" w:rsidRDefault="00887330" w:rsidP="00887330">
      <w:pPr>
        <w:pStyle w:val="TofSectsSection"/>
      </w:pPr>
      <w:r w:rsidRPr="00583E1A">
        <w:t>820</w:t>
      </w:r>
      <w:r w:rsidR="00583E1A">
        <w:noBreakHyphen/>
      </w:r>
      <w:r w:rsidRPr="00583E1A">
        <w:t>960</w:t>
      </w:r>
      <w:r w:rsidRPr="00583E1A">
        <w:tab/>
        <w:t>Records about Australian permanent establishments</w:t>
      </w:r>
    </w:p>
    <w:p w:rsidR="00887330" w:rsidRPr="00583E1A" w:rsidRDefault="00887330" w:rsidP="00887330">
      <w:pPr>
        <w:pStyle w:val="TofSectsSection"/>
      </w:pPr>
      <w:r w:rsidRPr="00583E1A">
        <w:t>820</w:t>
      </w:r>
      <w:r w:rsidR="00583E1A">
        <w:noBreakHyphen/>
      </w:r>
      <w:r w:rsidRPr="00583E1A">
        <w:t>965</w:t>
      </w:r>
      <w:r w:rsidRPr="00583E1A">
        <w:tab/>
        <w:t>Review of Commissioner’s decision</w:t>
      </w:r>
    </w:p>
    <w:p w:rsidR="00887330" w:rsidRPr="00583E1A" w:rsidRDefault="00887330" w:rsidP="00887330">
      <w:pPr>
        <w:pStyle w:val="TofSectsGroupHeading"/>
      </w:pPr>
      <w:r w:rsidRPr="00583E1A">
        <w:t>Records about arm’s length amounts</w:t>
      </w:r>
    </w:p>
    <w:p w:rsidR="00887330" w:rsidRPr="00583E1A" w:rsidRDefault="00887330" w:rsidP="00887330">
      <w:pPr>
        <w:pStyle w:val="TofSectsSection"/>
      </w:pPr>
      <w:r w:rsidRPr="00583E1A">
        <w:t>820</w:t>
      </w:r>
      <w:r w:rsidR="00583E1A">
        <w:noBreakHyphen/>
      </w:r>
      <w:r w:rsidRPr="00583E1A">
        <w:t>980</w:t>
      </w:r>
      <w:r w:rsidRPr="00583E1A">
        <w:tab/>
        <w:t>Records about arm’s length debt amount and arm’s length capital amount</w:t>
      </w:r>
    </w:p>
    <w:p w:rsidR="00887330" w:rsidRPr="00583E1A" w:rsidRDefault="00887330" w:rsidP="00887330">
      <w:pPr>
        <w:pStyle w:val="TofSectsGroupHeading"/>
      </w:pPr>
      <w:r w:rsidRPr="00583E1A">
        <w:t>Records about asset revaluations</w:t>
      </w:r>
    </w:p>
    <w:p w:rsidR="00887330" w:rsidRPr="00583E1A" w:rsidRDefault="00887330" w:rsidP="00887330">
      <w:pPr>
        <w:pStyle w:val="TofSectsSection"/>
      </w:pPr>
      <w:r w:rsidRPr="00583E1A">
        <w:t>820</w:t>
      </w:r>
      <w:r w:rsidR="00583E1A">
        <w:noBreakHyphen/>
      </w:r>
      <w:r w:rsidRPr="00583E1A">
        <w:t>985</w:t>
      </w:r>
      <w:r w:rsidRPr="00583E1A">
        <w:tab/>
        <w:t>Methodology of revaluation and independence of valuer</w:t>
      </w:r>
    </w:p>
    <w:p w:rsidR="00887330" w:rsidRPr="00583E1A" w:rsidRDefault="00887330" w:rsidP="007D2F4E">
      <w:pPr>
        <w:pStyle w:val="TofSectsGroupHeading"/>
        <w:keepNext/>
      </w:pPr>
      <w:r w:rsidRPr="00583E1A">
        <w:t>Offences committed by certain entities</w:t>
      </w:r>
    </w:p>
    <w:p w:rsidR="00887330" w:rsidRPr="00583E1A" w:rsidRDefault="00887330" w:rsidP="00887330">
      <w:pPr>
        <w:pStyle w:val="TofSectsSection"/>
      </w:pPr>
      <w:r w:rsidRPr="00583E1A">
        <w:t>820</w:t>
      </w:r>
      <w:r w:rsidR="00583E1A">
        <w:noBreakHyphen/>
      </w:r>
      <w:r w:rsidRPr="00583E1A">
        <w:t>990</w:t>
      </w:r>
      <w:r w:rsidRPr="00583E1A">
        <w:tab/>
        <w:t>Offences—treatment of partnerships</w:t>
      </w:r>
    </w:p>
    <w:p w:rsidR="00887330" w:rsidRPr="00583E1A" w:rsidRDefault="00887330" w:rsidP="00887330">
      <w:pPr>
        <w:pStyle w:val="TofSectsSection"/>
      </w:pPr>
      <w:r w:rsidRPr="00583E1A">
        <w:t>820</w:t>
      </w:r>
      <w:r w:rsidR="00583E1A">
        <w:noBreakHyphen/>
      </w:r>
      <w:r w:rsidRPr="00583E1A">
        <w:t>995</w:t>
      </w:r>
      <w:r w:rsidRPr="00583E1A">
        <w:tab/>
        <w:t>Offences—treatment of unincorporated companies</w:t>
      </w:r>
    </w:p>
    <w:p w:rsidR="00887330" w:rsidRPr="00583E1A" w:rsidRDefault="00887330" w:rsidP="00887330">
      <w:pPr>
        <w:pStyle w:val="ActHead4"/>
      </w:pPr>
      <w:bookmarkStart w:id="329" w:name="_Toc338939403"/>
      <w:r w:rsidRPr="00583E1A">
        <w:lastRenderedPageBreak/>
        <w:t>Records about Australian permanent establishments</w:t>
      </w:r>
      <w:bookmarkEnd w:id="329"/>
    </w:p>
    <w:p w:rsidR="00887330" w:rsidRPr="00583E1A" w:rsidRDefault="00887330" w:rsidP="00887330">
      <w:pPr>
        <w:pStyle w:val="ActHead5"/>
      </w:pPr>
      <w:bookmarkStart w:id="330" w:name="_Toc338939404"/>
      <w:r w:rsidRPr="00583E1A">
        <w:rPr>
          <w:rStyle w:val="CharSectno"/>
        </w:rPr>
        <w:t>820</w:t>
      </w:r>
      <w:r w:rsidR="00583E1A">
        <w:rPr>
          <w:rStyle w:val="CharSectno"/>
        </w:rPr>
        <w:noBreakHyphen/>
      </w:r>
      <w:r w:rsidRPr="00583E1A">
        <w:rPr>
          <w:rStyle w:val="CharSectno"/>
        </w:rPr>
        <w:t>960</w:t>
      </w:r>
      <w:r w:rsidRPr="00583E1A">
        <w:t xml:space="preserve">  Records about Australian permanent establishments</w:t>
      </w:r>
      <w:bookmarkEnd w:id="330"/>
    </w:p>
    <w:p w:rsidR="00887330" w:rsidRPr="00583E1A" w:rsidRDefault="00887330" w:rsidP="00887330">
      <w:pPr>
        <w:pStyle w:val="subsection"/>
        <w:keepNext/>
      </w:pPr>
      <w:r w:rsidRPr="00583E1A">
        <w:tab/>
        <w:t>(1)</w:t>
      </w:r>
      <w:r w:rsidRPr="00583E1A">
        <w:tab/>
        <w:t>If an entity:</w:t>
      </w:r>
    </w:p>
    <w:p w:rsidR="00887330" w:rsidRPr="00583E1A" w:rsidRDefault="00887330" w:rsidP="00887330">
      <w:pPr>
        <w:pStyle w:val="paragraph"/>
      </w:pPr>
      <w:r w:rsidRPr="00583E1A">
        <w:tab/>
        <w:t>(a)</w:t>
      </w:r>
      <w:r w:rsidRPr="00583E1A">
        <w:tab/>
        <w:t xml:space="preserve">is an </w:t>
      </w:r>
      <w:r w:rsidR="00583E1A" w:rsidRPr="00583E1A">
        <w:rPr>
          <w:position w:val="6"/>
          <w:sz w:val="16"/>
        </w:rPr>
        <w:t>*</w:t>
      </w:r>
      <w:r w:rsidRPr="00583E1A">
        <w:t xml:space="preserve">inward investor (general), </w:t>
      </w:r>
      <w:r w:rsidR="00583E1A" w:rsidRPr="00583E1A">
        <w:rPr>
          <w:position w:val="6"/>
          <w:sz w:val="16"/>
        </w:rPr>
        <w:t>*</w:t>
      </w:r>
      <w:r w:rsidRPr="00583E1A">
        <w:t xml:space="preserve">inward investor (financial) or </w:t>
      </w:r>
      <w:r w:rsidR="00583E1A" w:rsidRPr="00583E1A">
        <w:rPr>
          <w:position w:val="6"/>
          <w:sz w:val="16"/>
        </w:rPr>
        <w:t>*</w:t>
      </w:r>
      <w:r w:rsidRPr="00583E1A">
        <w:t>inward investing entity (ADI), for all or a part of an income year; and</w:t>
      </w:r>
    </w:p>
    <w:p w:rsidR="00887330" w:rsidRPr="00583E1A" w:rsidRDefault="00887330" w:rsidP="00887330">
      <w:pPr>
        <w:pStyle w:val="paragraph"/>
      </w:pPr>
      <w:r w:rsidRPr="00583E1A">
        <w:tab/>
        <w:t>(b)</w:t>
      </w:r>
      <w:r w:rsidRPr="00583E1A">
        <w:tab/>
        <w:t xml:space="preserve">carries on its </w:t>
      </w:r>
      <w:r w:rsidR="00583E1A" w:rsidRPr="00583E1A">
        <w:rPr>
          <w:position w:val="6"/>
          <w:sz w:val="16"/>
        </w:rPr>
        <w:t>*</w:t>
      </w:r>
      <w:r w:rsidRPr="00583E1A">
        <w:t xml:space="preserve">business at or through one or more of its </w:t>
      </w:r>
      <w:r w:rsidR="00583E1A" w:rsidRPr="00583E1A">
        <w:rPr>
          <w:position w:val="6"/>
          <w:sz w:val="16"/>
        </w:rPr>
        <w:t>*</w:t>
      </w:r>
      <w:r w:rsidRPr="00583E1A">
        <w:t>Australian permanent establishments throughout that year; and</w:t>
      </w:r>
    </w:p>
    <w:p w:rsidR="00887330" w:rsidRPr="00583E1A" w:rsidRDefault="00887330" w:rsidP="00887330">
      <w:pPr>
        <w:pStyle w:val="paragraph"/>
      </w:pPr>
      <w:r w:rsidRPr="00583E1A">
        <w:tab/>
        <w:t>(c)</w:t>
      </w:r>
      <w:r w:rsidRPr="00583E1A">
        <w:tab/>
        <w:t>has total revenues attributable to those Australian permanent establishments for that year that are at least $2,000,000;</w:t>
      </w:r>
    </w:p>
    <w:p w:rsidR="00887330" w:rsidRPr="00583E1A" w:rsidRDefault="00887330" w:rsidP="00887330">
      <w:pPr>
        <w:pStyle w:val="subsection2"/>
      </w:pPr>
      <w:r w:rsidRPr="00583E1A">
        <w:t xml:space="preserve">the entity must keep for that year the records for which </w:t>
      </w:r>
      <w:r w:rsidR="00583E1A">
        <w:t>subsection (</w:t>
      </w:r>
      <w:r w:rsidRPr="00583E1A">
        <w:t>1A) or (1B) provides.</w:t>
      </w:r>
    </w:p>
    <w:p w:rsidR="00887330" w:rsidRPr="00583E1A" w:rsidRDefault="00887330" w:rsidP="00887330">
      <w:pPr>
        <w:pStyle w:val="notetext"/>
        <w:rPr>
          <w:i/>
        </w:rPr>
      </w:pPr>
      <w:r w:rsidRPr="00583E1A">
        <w:t>Note:</w:t>
      </w:r>
      <w:r w:rsidRPr="00583E1A">
        <w:tab/>
        <w:t>A person must comply with the requirements in section</w:t>
      </w:r>
      <w:r w:rsidR="00583E1A">
        <w:t> </w:t>
      </w:r>
      <w:r w:rsidRPr="00583E1A">
        <w:t xml:space="preserve">262A of the </w:t>
      </w:r>
      <w:r w:rsidRPr="00583E1A">
        <w:rPr>
          <w:i/>
        </w:rPr>
        <w:t xml:space="preserve">Income Tax Assessment Act 1936 </w:t>
      </w:r>
      <w:r w:rsidRPr="00583E1A">
        <w:t xml:space="preserve">about the keeping of these records (see </w:t>
      </w:r>
      <w:r w:rsidR="00583E1A">
        <w:t>subsections (</w:t>
      </w:r>
      <w:r w:rsidRPr="00583E1A">
        <w:t>2AA) and (3) of that section)</w:t>
      </w:r>
      <w:r w:rsidRPr="00583E1A">
        <w:rPr>
          <w:i/>
        </w:rPr>
        <w:t>.</w:t>
      </w:r>
    </w:p>
    <w:p w:rsidR="00887330" w:rsidRPr="00583E1A" w:rsidRDefault="00887330" w:rsidP="00887330">
      <w:pPr>
        <w:pStyle w:val="SubsectionHead"/>
      </w:pPr>
      <w:r w:rsidRPr="00583E1A">
        <w:t>Australian accounting standards</w:t>
      </w:r>
    </w:p>
    <w:p w:rsidR="00887330" w:rsidRPr="00583E1A" w:rsidRDefault="00887330" w:rsidP="00887330">
      <w:pPr>
        <w:pStyle w:val="subsection"/>
      </w:pPr>
      <w:r w:rsidRPr="00583E1A">
        <w:tab/>
        <w:t>(1A)</w:t>
      </w:r>
      <w:r w:rsidRPr="00583E1A">
        <w:tab/>
        <w:t xml:space="preserve">If the entity chooses this subsection, it must keep the following records for the </w:t>
      </w:r>
      <w:r w:rsidR="00583E1A" w:rsidRPr="00583E1A">
        <w:rPr>
          <w:position w:val="6"/>
          <w:sz w:val="16"/>
        </w:rPr>
        <w:t>*</w:t>
      </w:r>
      <w:r w:rsidRPr="00583E1A">
        <w:t>Australian permanent establishments:</w:t>
      </w:r>
    </w:p>
    <w:p w:rsidR="00887330" w:rsidRPr="00583E1A" w:rsidRDefault="00887330" w:rsidP="00887330">
      <w:pPr>
        <w:pStyle w:val="paragraph"/>
      </w:pPr>
      <w:r w:rsidRPr="00583E1A">
        <w:tab/>
        <w:t>(a)</w:t>
      </w:r>
      <w:r w:rsidRPr="00583E1A">
        <w:tab/>
        <w:t>a</w:t>
      </w:r>
      <w:r w:rsidRPr="00583E1A">
        <w:rPr>
          <w:b/>
          <w:i/>
        </w:rPr>
        <w:t xml:space="preserve"> </w:t>
      </w:r>
      <w:r w:rsidRPr="00583E1A">
        <w:t xml:space="preserve">statement of financial position (within the meaning of the </w:t>
      </w:r>
      <w:r w:rsidR="00583E1A" w:rsidRPr="00583E1A">
        <w:rPr>
          <w:position w:val="6"/>
          <w:sz w:val="16"/>
        </w:rPr>
        <w:t>*</w:t>
      </w:r>
      <w:r w:rsidRPr="00583E1A">
        <w:t>accounting standards);</w:t>
      </w:r>
    </w:p>
    <w:p w:rsidR="00887330" w:rsidRPr="00583E1A" w:rsidRDefault="00887330" w:rsidP="00887330">
      <w:pPr>
        <w:pStyle w:val="paragraph"/>
      </w:pPr>
      <w:r w:rsidRPr="00583E1A">
        <w:tab/>
        <w:t>(b)</w:t>
      </w:r>
      <w:r w:rsidRPr="00583E1A">
        <w:tab/>
        <w:t>a</w:t>
      </w:r>
      <w:r w:rsidRPr="00583E1A">
        <w:rPr>
          <w:b/>
          <w:i/>
        </w:rPr>
        <w:t xml:space="preserve"> </w:t>
      </w:r>
      <w:r w:rsidRPr="00583E1A">
        <w:t>statement of financial performance (within the meaning of those standards).</w:t>
      </w:r>
    </w:p>
    <w:p w:rsidR="00887330" w:rsidRPr="00583E1A" w:rsidRDefault="00887330" w:rsidP="00887330">
      <w:pPr>
        <w:pStyle w:val="subsection2"/>
      </w:pPr>
      <w:r w:rsidRPr="00583E1A">
        <w:t>The statements must:</w:t>
      </w:r>
    </w:p>
    <w:p w:rsidR="00887330" w:rsidRPr="00583E1A" w:rsidRDefault="00887330" w:rsidP="00887330">
      <w:pPr>
        <w:pStyle w:val="paragraph"/>
      </w:pPr>
      <w:r w:rsidRPr="00583E1A">
        <w:tab/>
        <w:t>(c)</w:t>
      </w:r>
      <w:r w:rsidRPr="00583E1A">
        <w:tab/>
        <w:t xml:space="preserve">be prepared in accordance with the </w:t>
      </w:r>
      <w:r w:rsidR="00583E1A" w:rsidRPr="00583E1A">
        <w:rPr>
          <w:position w:val="6"/>
          <w:sz w:val="16"/>
        </w:rPr>
        <w:t>*</w:t>
      </w:r>
      <w:r w:rsidRPr="00583E1A">
        <w:t>accounting standards (in particular, but not limited to, accounting standards AASB 1001, AASB 1018 and AASB 1040); and</w:t>
      </w:r>
    </w:p>
    <w:p w:rsidR="00887330" w:rsidRPr="00583E1A" w:rsidRDefault="00887330" w:rsidP="00887330">
      <w:pPr>
        <w:pStyle w:val="paragraph"/>
      </w:pPr>
      <w:r w:rsidRPr="00583E1A">
        <w:tab/>
        <w:t>(d)</w:t>
      </w:r>
      <w:r w:rsidRPr="00583E1A">
        <w:tab/>
        <w:t>include all the notes required to accompany them under the standards.</w:t>
      </w:r>
    </w:p>
    <w:p w:rsidR="00887330" w:rsidRPr="00583E1A" w:rsidRDefault="00887330" w:rsidP="00887330">
      <w:pPr>
        <w:pStyle w:val="SubsectionHead"/>
      </w:pPr>
      <w:r w:rsidRPr="00583E1A">
        <w:t>Overseas and international accounting standards</w:t>
      </w:r>
    </w:p>
    <w:p w:rsidR="00887330" w:rsidRPr="00583E1A" w:rsidRDefault="00887330" w:rsidP="00887330">
      <w:pPr>
        <w:pStyle w:val="subsection"/>
      </w:pPr>
      <w:r w:rsidRPr="00583E1A">
        <w:tab/>
        <w:t>(1B)</w:t>
      </w:r>
      <w:r w:rsidRPr="00583E1A">
        <w:tab/>
        <w:t xml:space="preserve">If the entity chooses this subsection, it must keep for the </w:t>
      </w:r>
      <w:r w:rsidR="00583E1A" w:rsidRPr="00583E1A">
        <w:rPr>
          <w:position w:val="6"/>
          <w:sz w:val="16"/>
        </w:rPr>
        <w:t>*</w:t>
      </w:r>
      <w:r w:rsidRPr="00583E1A">
        <w:t xml:space="preserve">Australian permanent establishments the statements (however described) that, under standards covered by </w:t>
      </w:r>
      <w:r w:rsidR="00583E1A">
        <w:t>subsection (</w:t>
      </w:r>
      <w:r w:rsidRPr="00583E1A">
        <w:t xml:space="preserve">1C) or </w:t>
      </w:r>
      <w:r w:rsidRPr="00583E1A">
        <w:lastRenderedPageBreak/>
        <w:t xml:space="preserve">(1D) (the </w:t>
      </w:r>
      <w:r w:rsidRPr="00583E1A">
        <w:rPr>
          <w:b/>
          <w:i/>
        </w:rPr>
        <w:t>overseas or international accounting standards</w:t>
      </w:r>
      <w:r w:rsidRPr="00583E1A">
        <w:t xml:space="preserve">), correspond to the statements referred to in </w:t>
      </w:r>
      <w:r w:rsidR="00583E1A">
        <w:t>subsection (</w:t>
      </w:r>
      <w:r w:rsidRPr="00583E1A">
        <w:t>1A). The statements must:</w:t>
      </w:r>
    </w:p>
    <w:p w:rsidR="00887330" w:rsidRPr="00583E1A" w:rsidRDefault="00887330" w:rsidP="00887330">
      <w:pPr>
        <w:pStyle w:val="paragraph"/>
      </w:pPr>
      <w:r w:rsidRPr="00583E1A">
        <w:tab/>
        <w:t>(</w:t>
      </w:r>
      <w:r w:rsidRPr="00583E1A">
        <w:rPr>
          <w:noProof/>
        </w:rPr>
        <w:t>a</w:t>
      </w:r>
      <w:r w:rsidRPr="00583E1A">
        <w:t>)</w:t>
      </w:r>
      <w:r w:rsidRPr="00583E1A">
        <w:tab/>
        <w:t>be prepared in accordance with those standards; and</w:t>
      </w:r>
    </w:p>
    <w:p w:rsidR="00887330" w:rsidRPr="00583E1A" w:rsidRDefault="00887330" w:rsidP="00887330">
      <w:pPr>
        <w:pStyle w:val="paragraph"/>
      </w:pPr>
      <w:r w:rsidRPr="00583E1A">
        <w:tab/>
        <w:t>(</w:t>
      </w:r>
      <w:r w:rsidRPr="00583E1A">
        <w:rPr>
          <w:noProof/>
        </w:rPr>
        <w:t>b</w:t>
      </w:r>
      <w:r w:rsidRPr="00583E1A">
        <w:t>)</w:t>
      </w:r>
      <w:r w:rsidRPr="00583E1A">
        <w:tab/>
        <w:t>include all the notes required to accompany them under those standards.</w:t>
      </w:r>
    </w:p>
    <w:p w:rsidR="00887330" w:rsidRPr="00583E1A" w:rsidRDefault="00887330" w:rsidP="00887330">
      <w:pPr>
        <w:pStyle w:val="subsection"/>
      </w:pPr>
      <w:r w:rsidRPr="00583E1A">
        <w:tab/>
        <w:t>(1C)</w:t>
      </w:r>
      <w:r w:rsidRPr="00583E1A">
        <w:tab/>
        <w:t xml:space="preserve">This subsection covers the standards (however described) that correspond to the </w:t>
      </w:r>
      <w:r w:rsidR="00583E1A" w:rsidRPr="00583E1A">
        <w:rPr>
          <w:position w:val="6"/>
          <w:sz w:val="16"/>
        </w:rPr>
        <w:t>*</w:t>
      </w:r>
      <w:r w:rsidRPr="00583E1A">
        <w:t>accounting standards and are made by the responsible body in:</w:t>
      </w:r>
    </w:p>
    <w:p w:rsidR="00887330" w:rsidRPr="00583E1A" w:rsidRDefault="00887330" w:rsidP="00887330">
      <w:pPr>
        <w:pStyle w:val="paragraph"/>
      </w:pPr>
      <w:r w:rsidRPr="00583E1A">
        <w:tab/>
        <w:t>(</w:t>
      </w:r>
      <w:r w:rsidRPr="00583E1A">
        <w:rPr>
          <w:noProof/>
        </w:rPr>
        <w:t>a</w:t>
      </w:r>
      <w:r w:rsidRPr="00583E1A">
        <w:t>)</w:t>
      </w:r>
      <w:r w:rsidRPr="00583E1A">
        <w:tab/>
        <w:t>the United Kingdom of Great Britain and Northern Ireland; or</w:t>
      </w:r>
    </w:p>
    <w:p w:rsidR="00887330" w:rsidRPr="00583E1A" w:rsidRDefault="00887330" w:rsidP="00887330">
      <w:pPr>
        <w:pStyle w:val="paragraph"/>
      </w:pPr>
      <w:r w:rsidRPr="00583E1A">
        <w:tab/>
        <w:t>(</w:t>
      </w:r>
      <w:r w:rsidRPr="00583E1A">
        <w:rPr>
          <w:noProof/>
        </w:rPr>
        <w:t>b</w:t>
      </w:r>
      <w:r w:rsidRPr="00583E1A">
        <w:t>)</w:t>
      </w:r>
      <w:r w:rsidRPr="00583E1A">
        <w:tab/>
        <w:t xml:space="preserve">the </w:t>
      </w:r>
      <w:smartTag w:uri="urn:schemas-microsoft-com:office:smarttags" w:element="country-region">
        <w:smartTag w:uri="urn:schemas-microsoft-com:office:smarttags" w:element="place">
          <w:r w:rsidRPr="00583E1A">
            <w:t>United States of America</w:t>
          </w:r>
        </w:smartTag>
      </w:smartTag>
      <w:r w:rsidRPr="00583E1A">
        <w:t>; or</w:t>
      </w:r>
    </w:p>
    <w:p w:rsidR="00887330" w:rsidRPr="00583E1A" w:rsidRDefault="00887330" w:rsidP="00887330">
      <w:pPr>
        <w:pStyle w:val="paragraph"/>
      </w:pPr>
      <w:r w:rsidRPr="00583E1A">
        <w:tab/>
        <w:t>(</w:t>
      </w:r>
      <w:r w:rsidRPr="00583E1A">
        <w:rPr>
          <w:noProof/>
        </w:rPr>
        <w:t>c</w:t>
      </w:r>
      <w:r w:rsidRPr="00583E1A">
        <w:t>)</w:t>
      </w:r>
      <w:r w:rsidRPr="00583E1A">
        <w:tab/>
      </w:r>
      <w:smartTag w:uri="urn:schemas-microsoft-com:office:smarttags" w:element="country-region">
        <w:smartTag w:uri="urn:schemas-microsoft-com:office:smarttags" w:element="place">
          <w:r w:rsidRPr="00583E1A">
            <w:t>Canada</w:t>
          </w:r>
        </w:smartTag>
      </w:smartTag>
      <w:r w:rsidRPr="00583E1A">
        <w:t>; or</w:t>
      </w:r>
    </w:p>
    <w:p w:rsidR="00887330" w:rsidRPr="00583E1A" w:rsidRDefault="00887330" w:rsidP="00887330">
      <w:pPr>
        <w:pStyle w:val="paragraph"/>
      </w:pPr>
      <w:r w:rsidRPr="00583E1A">
        <w:tab/>
        <w:t>(</w:t>
      </w:r>
      <w:r w:rsidRPr="00583E1A">
        <w:rPr>
          <w:noProof/>
        </w:rPr>
        <w:t>d</w:t>
      </w:r>
      <w:r w:rsidRPr="00583E1A">
        <w:t>)</w:t>
      </w:r>
      <w:r w:rsidRPr="00583E1A">
        <w:tab/>
      </w:r>
      <w:smartTag w:uri="urn:schemas-microsoft-com:office:smarttags" w:element="country-region">
        <w:smartTag w:uri="urn:schemas-microsoft-com:office:smarttags" w:element="place">
          <w:r w:rsidRPr="00583E1A">
            <w:t>New Zealand</w:t>
          </w:r>
        </w:smartTag>
      </w:smartTag>
      <w:r w:rsidRPr="00583E1A">
        <w:t>; or</w:t>
      </w:r>
    </w:p>
    <w:p w:rsidR="00887330" w:rsidRPr="00583E1A" w:rsidRDefault="00887330" w:rsidP="00887330">
      <w:pPr>
        <w:pStyle w:val="paragraph"/>
      </w:pPr>
      <w:r w:rsidRPr="00583E1A">
        <w:tab/>
        <w:t>(</w:t>
      </w:r>
      <w:r w:rsidRPr="00583E1A">
        <w:rPr>
          <w:noProof/>
        </w:rPr>
        <w:t>e</w:t>
      </w:r>
      <w:r w:rsidRPr="00583E1A">
        <w:t>)</w:t>
      </w:r>
      <w:r w:rsidRPr="00583E1A">
        <w:tab/>
      </w:r>
      <w:smartTag w:uri="urn:schemas-microsoft-com:office:smarttags" w:element="country-region">
        <w:smartTag w:uri="urn:schemas-microsoft-com:office:smarttags" w:element="place">
          <w:r w:rsidRPr="00583E1A">
            <w:t>Japan</w:t>
          </w:r>
        </w:smartTag>
      </w:smartTag>
      <w:r w:rsidRPr="00583E1A">
        <w:t>; or</w:t>
      </w:r>
    </w:p>
    <w:p w:rsidR="00887330" w:rsidRPr="00583E1A" w:rsidRDefault="00887330" w:rsidP="00887330">
      <w:pPr>
        <w:pStyle w:val="paragraph"/>
      </w:pPr>
      <w:r w:rsidRPr="00583E1A">
        <w:tab/>
        <w:t>(</w:t>
      </w:r>
      <w:r w:rsidRPr="00583E1A">
        <w:rPr>
          <w:noProof/>
        </w:rPr>
        <w:t>f</w:t>
      </w:r>
      <w:r w:rsidRPr="00583E1A">
        <w:t>)</w:t>
      </w:r>
      <w:r w:rsidRPr="00583E1A">
        <w:tab/>
        <w:t xml:space="preserve">the </w:t>
      </w:r>
      <w:smartTag w:uri="urn:schemas-microsoft-com:office:smarttags" w:element="place">
        <w:smartTag w:uri="urn:schemas-microsoft-com:office:smarttags" w:element="PlaceName">
          <w:r w:rsidRPr="00583E1A">
            <w:t>French</w:t>
          </w:r>
        </w:smartTag>
        <w:r w:rsidRPr="00583E1A">
          <w:t xml:space="preserve"> </w:t>
        </w:r>
        <w:smartTag w:uri="urn:schemas-microsoft-com:office:smarttags" w:element="PlaceType">
          <w:r w:rsidRPr="00583E1A">
            <w:t>Republic</w:t>
          </w:r>
        </w:smartTag>
      </w:smartTag>
      <w:r w:rsidRPr="00583E1A">
        <w:t>; or</w:t>
      </w:r>
    </w:p>
    <w:p w:rsidR="00887330" w:rsidRPr="00583E1A" w:rsidRDefault="00887330" w:rsidP="00887330">
      <w:pPr>
        <w:pStyle w:val="paragraph"/>
      </w:pPr>
      <w:r w:rsidRPr="00583E1A">
        <w:tab/>
        <w:t>(</w:t>
      </w:r>
      <w:r w:rsidRPr="00583E1A">
        <w:rPr>
          <w:noProof/>
        </w:rPr>
        <w:t>g</w:t>
      </w:r>
      <w:r w:rsidRPr="00583E1A">
        <w:t>)</w:t>
      </w:r>
      <w:r w:rsidRPr="00583E1A">
        <w:tab/>
        <w:t xml:space="preserve">the </w:t>
      </w:r>
      <w:smartTag w:uri="urn:schemas-microsoft-com:office:smarttags" w:element="place">
        <w:smartTag w:uri="urn:schemas-microsoft-com:office:smarttags" w:element="PlaceName">
          <w:r w:rsidRPr="00583E1A">
            <w:t>Federal</w:t>
          </w:r>
        </w:smartTag>
        <w:r w:rsidRPr="00583E1A">
          <w:t xml:space="preserve"> </w:t>
        </w:r>
        <w:smartTag w:uri="urn:schemas-microsoft-com:office:smarttags" w:element="PlaceType">
          <w:r w:rsidRPr="00583E1A">
            <w:t>Republic</w:t>
          </w:r>
        </w:smartTag>
      </w:smartTag>
      <w:r w:rsidRPr="00583E1A">
        <w:t xml:space="preserve"> of </w:t>
      </w:r>
      <w:smartTag w:uri="urn:schemas-microsoft-com:office:smarttags" w:element="country-region">
        <w:smartTag w:uri="urn:schemas-microsoft-com:office:smarttags" w:element="place">
          <w:r w:rsidRPr="00583E1A">
            <w:t>Germany</w:t>
          </w:r>
        </w:smartTag>
      </w:smartTag>
      <w:r w:rsidRPr="00583E1A">
        <w:t>.</w:t>
      </w:r>
    </w:p>
    <w:p w:rsidR="00887330" w:rsidRPr="00583E1A" w:rsidRDefault="00887330" w:rsidP="00887330">
      <w:pPr>
        <w:pStyle w:val="subsection"/>
      </w:pPr>
      <w:r w:rsidRPr="00583E1A">
        <w:tab/>
        <w:t>(1D)</w:t>
      </w:r>
      <w:r w:rsidRPr="00583E1A">
        <w:tab/>
        <w:t>This subsection covers the international accounting standards made or adopted by the International Accounting Standards Board.</w:t>
      </w:r>
    </w:p>
    <w:p w:rsidR="00887330" w:rsidRPr="00583E1A" w:rsidRDefault="00887330" w:rsidP="00887330">
      <w:pPr>
        <w:pStyle w:val="SubsectionHead"/>
      </w:pPr>
      <w:r w:rsidRPr="00583E1A">
        <w:t xml:space="preserve">Requirements for the records under </w:t>
      </w:r>
      <w:r w:rsidR="00583E1A">
        <w:t>subsection (</w:t>
      </w:r>
      <w:r w:rsidRPr="00583E1A">
        <w:t>1A) or (1B)</w:t>
      </w:r>
    </w:p>
    <w:p w:rsidR="00887330" w:rsidRPr="00583E1A" w:rsidRDefault="00887330" w:rsidP="00887330">
      <w:pPr>
        <w:pStyle w:val="subsection"/>
      </w:pPr>
      <w:r w:rsidRPr="00583E1A">
        <w:tab/>
        <w:t>(2)</w:t>
      </w:r>
      <w:r w:rsidRPr="00583E1A">
        <w:tab/>
        <w:t xml:space="preserve">The entity must prepare the records for which </w:t>
      </w:r>
      <w:r w:rsidR="00583E1A">
        <w:t>subsection (</w:t>
      </w:r>
      <w:r w:rsidRPr="00583E1A">
        <w:t>1A) or (1B) provides:</w:t>
      </w:r>
    </w:p>
    <w:p w:rsidR="00887330" w:rsidRPr="00583E1A" w:rsidRDefault="00887330" w:rsidP="00887330">
      <w:pPr>
        <w:pStyle w:val="paragraph"/>
      </w:pPr>
      <w:r w:rsidRPr="00583E1A">
        <w:tab/>
        <w:t>(a)</w:t>
      </w:r>
      <w:r w:rsidRPr="00583E1A">
        <w:tab/>
        <w:t xml:space="preserve">before the time by which the entity must lodge its </w:t>
      </w:r>
      <w:r w:rsidR="00583E1A" w:rsidRPr="00583E1A">
        <w:rPr>
          <w:position w:val="6"/>
          <w:sz w:val="16"/>
        </w:rPr>
        <w:t>*</w:t>
      </w:r>
      <w:r w:rsidR="007D4FF4" w:rsidRPr="00583E1A">
        <w:t>income tax return</w:t>
      </w:r>
      <w:r w:rsidRPr="00583E1A">
        <w:t xml:space="preserve"> for the income year; and</w:t>
      </w:r>
    </w:p>
    <w:p w:rsidR="00887330" w:rsidRPr="00583E1A" w:rsidRDefault="00887330" w:rsidP="00887330">
      <w:pPr>
        <w:pStyle w:val="paragraph"/>
      </w:pPr>
      <w:r w:rsidRPr="00583E1A">
        <w:tab/>
        <w:t>(b)</w:t>
      </w:r>
      <w:r w:rsidRPr="00583E1A">
        <w:tab/>
        <w:t>as if:</w:t>
      </w:r>
    </w:p>
    <w:p w:rsidR="00887330" w:rsidRPr="00583E1A" w:rsidRDefault="00887330" w:rsidP="00887330">
      <w:pPr>
        <w:pStyle w:val="paragraphsub"/>
      </w:pPr>
      <w:r w:rsidRPr="00583E1A">
        <w:tab/>
        <w:t>(i)</w:t>
      </w:r>
      <w:r w:rsidRPr="00583E1A">
        <w:tab/>
        <w:t xml:space="preserve">the </w:t>
      </w:r>
      <w:r w:rsidR="00583E1A" w:rsidRPr="00583E1A">
        <w:rPr>
          <w:position w:val="6"/>
          <w:sz w:val="16"/>
        </w:rPr>
        <w:t>*</w:t>
      </w:r>
      <w:r w:rsidRPr="00583E1A">
        <w:t xml:space="preserve">Australian permanent establishments were an entity (the </w:t>
      </w:r>
      <w:r w:rsidRPr="00583E1A">
        <w:rPr>
          <w:b/>
          <w:i/>
        </w:rPr>
        <w:t>notional entity</w:t>
      </w:r>
      <w:r w:rsidRPr="00583E1A">
        <w:t xml:space="preserve">) for which those records would be required to be prepared under the </w:t>
      </w:r>
      <w:r w:rsidR="00583E1A" w:rsidRPr="00583E1A">
        <w:rPr>
          <w:position w:val="6"/>
          <w:sz w:val="16"/>
        </w:rPr>
        <w:t>*</w:t>
      </w:r>
      <w:r w:rsidRPr="00583E1A">
        <w:t>accounting standards or the overseas or international accounting standards, as appropriate; and</w:t>
      </w:r>
    </w:p>
    <w:p w:rsidR="00887330" w:rsidRPr="00583E1A" w:rsidRDefault="00887330" w:rsidP="00887330">
      <w:pPr>
        <w:pStyle w:val="paragraphsub"/>
      </w:pPr>
      <w:r w:rsidRPr="00583E1A">
        <w:tab/>
        <w:t>(ii)</w:t>
      </w:r>
      <w:r w:rsidRPr="00583E1A">
        <w:tab/>
        <w:t xml:space="preserve">for the purposes of the statement of financial position or the corresponding statement, as appropriate—the assets, liabilities (including </w:t>
      </w:r>
      <w:r w:rsidR="00583E1A" w:rsidRPr="00583E1A">
        <w:rPr>
          <w:position w:val="6"/>
          <w:sz w:val="16"/>
        </w:rPr>
        <w:t>*</w:t>
      </w:r>
      <w:r w:rsidRPr="00583E1A">
        <w:t xml:space="preserve">debt capital) and </w:t>
      </w:r>
      <w:r w:rsidR="00583E1A" w:rsidRPr="00583E1A">
        <w:rPr>
          <w:position w:val="6"/>
          <w:sz w:val="16"/>
        </w:rPr>
        <w:t>*</w:t>
      </w:r>
      <w:r w:rsidRPr="00583E1A">
        <w:t xml:space="preserve">equity capital that are attributable to the Australian permanent establishments for that income year were assets, </w:t>
      </w:r>
      <w:r w:rsidRPr="00583E1A">
        <w:lastRenderedPageBreak/>
        <w:t>liabilities and equity of the notional entity for that year; and</w:t>
      </w:r>
    </w:p>
    <w:p w:rsidR="00887330" w:rsidRPr="00583E1A" w:rsidRDefault="00887330" w:rsidP="00887330">
      <w:pPr>
        <w:pStyle w:val="paragraphsub"/>
      </w:pPr>
      <w:r w:rsidRPr="00583E1A">
        <w:tab/>
        <w:t>(iii)</w:t>
      </w:r>
      <w:r w:rsidRPr="00583E1A">
        <w:tab/>
        <w:t>for the purposes of the statement of financial performance or the corresponding statement, as appropriate—the revenues and expenses that are attributable to the Australian permanent establishments for that year were the revenues and expenses of the notional entity for that year; and</w:t>
      </w:r>
    </w:p>
    <w:p w:rsidR="00887330" w:rsidRPr="00583E1A" w:rsidRDefault="00887330" w:rsidP="00887330">
      <w:pPr>
        <w:pStyle w:val="paragraphsub"/>
      </w:pPr>
      <w:r w:rsidRPr="00583E1A">
        <w:tab/>
        <w:t>(iv)</w:t>
      </w:r>
      <w:r w:rsidRPr="00583E1A">
        <w:tab/>
        <w:t xml:space="preserve">the </w:t>
      </w:r>
      <w:r w:rsidR="00583E1A" w:rsidRPr="00583E1A">
        <w:rPr>
          <w:position w:val="6"/>
          <w:sz w:val="16"/>
        </w:rPr>
        <w:t>*</w:t>
      </w:r>
      <w:r w:rsidRPr="00583E1A">
        <w:t>accounting standards, or the overseas or international accounting standards, as appropriate, referred to income years instead of financial years or the corresponding term in the overseas or international accounting standards.</w:t>
      </w:r>
    </w:p>
    <w:p w:rsidR="00887330" w:rsidRPr="00583E1A" w:rsidRDefault="00887330" w:rsidP="00887330">
      <w:pPr>
        <w:pStyle w:val="SubsectionHead"/>
      </w:pPr>
      <w:r w:rsidRPr="00583E1A">
        <w:t>Commissioner’s power to exempt from complying with Australian accounting standards</w:t>
      </w:r>
    </w:p>
    <w:p w:rsidR="00887330" w:rsidRPr="00583E1A" w:rsidRDefault="00887330" w:rsidP="00887330">
      <w:pPr>
        <w:pStyle w:val="subsection"/>
      </w:pPr>
      <w:r w:rsidRPr="00583E1A">
        <w:tab/>
        <w:t>(4)</w:t>
      </w:r>
      <w:r w:rsidRPr="00583E1A">
        <w:tab/>
        <w:t xml:space="preserve">The Commissioner may decide that an entity, or entities in a class of entities, need not comply with all or any part of the </w:t>
      </w:r>
      <w:r w:rsidR="00583E1A" w:rsidRPr="00583E1A">
        <w:rPr>
          <w:position w:val="6"/>
          <w:sz w:val="16"/>
        </w:rPr>
        <w:t>*</w:t>
      </w:r>
      <w:r w:rsidRPr="00583E1A">
        <w:t xml:space="preserve">accounting standards for one or more income years for the purposes of </w:t>
      </w:r>
      <w:r w:rsidR="00583E1A">
        <w:t>subsection (</w:t>
      </w:r>
      <w:r w:rsidRPr="00583E1A">
        <w:t>1A) if the Commissioner is satisfied that it would be unreasonable that the entity, or the entities in that class, be required to do so.</w:t>
      </w:r>
    </w:p>
    <w:p w:rsidR="00887330" w:rsidRPr="00583E1A" w:rsidRDefault="00887330" w:rsidP="00887330">
      <w:pPr>
        <w:pStyle w:val="notetext"/>
      </w:pPr>
      <w:r w:rsidRPr="00583E1A">
        <w:t>Note:</w:t>
      </w:r>
      <w:r w:rsidRPr="00583E1A">
        <w:tab/>
        <w:t>The Commissioner’s power under this subsection does not extend to the overseas or international accounting standards.</w:t>
      </w:r>
    </w:p>
    <w:p w:rsidR="00887330" w:rsidRPr="00583E1A" w:rsidRDefault="00887330" w:rsidP="00887330">
      <w:pPr>
        <w:pStyle w:val="subsection"/>
      </w:pPr>
      <w:r w:rsidRPr="00583E1A">
        <w:tab/>
        <w:t>(5)</w:t>
      </w:r>
      <w:r w:rsidRPr="00583E1A">
        <w:tab/>
        <w:t>The Commissioner:</w:t>
      </w:r>
    </w:p>
    <w:p w:rsidR="00887330" w:rsidRPr="00583E1A" w:rsidRDefault="00887330" w:rsidP="00887330">
      <w:pPr>
        <w:pStyle w:val="paragraph"/>
      </w:pPr>
      <w:r w:rsidRPr="00583E1A">
        <w:tab/>
        <w:t>(a)</w:t>
      </w:r>
      <w:r w:rsidRPr="00583E1A">
        <w:tab/>
        <w:t xml:space="preserve">may make a decision under </w:t>
      </w:r>
      <w:r w:rsidR="00583E1A">
        <w:t>subsection (</w:t>
      </w:r>
      <w:r w:rsidRPr="00583E1A">
        <w:t>4) in such cases and to such extent as the Commissioner thinks fit; and</w:t>
      </w:r>
    </w:p>
    <w:p w:rsidR="00887330" w:rsidRPr="00583E1A" w:rsidRDefault="00887330" w:rsidP="00887330">
      <w:pPr>
        <w:pStyle w:val="paragraph"/>
      </w:pPr>
      <w:r w:rsidRPr="00583E1A">
        <w:tab/>
        <w:t>(b)</w:t>
      </w:r>
      <w:r w:rsidRPr="00583E1A">
        <w:tab/>
        <w:t>must make the decision in writing; and</w:t>
      </w:r>
    </w:p>
    <w:p w:rsidR="00887330" w:rsidRPr="00583E1A" w:rsidRDefault="00887330" w:rsidP="00887330">
      <w:pPr>
        <w:pStyle w:val="paragraph"/>
      </w:pPr>
      <w:r w:rsidRPr="00583E1A">
        <w:tab/>
        <w:t>(c)</w:t>
      </w:r>
      <w:r w:rsidRPr="00583E1A">
        <w:tab/>
        <w:t xml:space="preserve">cause a copy of the decision to be published in the </w:t>
      </w:r>
      <w:r w:rsidRPr="00583E1A">
        <w:rPr>
          <w:i/>
        </w:rPr>
        <w:t>Gazette</w:t>
      </w:r>
      <w:r w:rsidRPr="00583E1A">
        <w:t>.</w:t>
      </w:r>
    </w:p>
    <w:p w:rsidR="00887330" w:rsidRPr="00583E1A" w:rsidRDefault="00887330" w:rsidP="00887330">
      <w:pPr>
        <w:pStyle w:val="subsection2"/>
      </w:pPr>
      <w:r w:rsidRPr="00583E1A">
        <w:t xml:space="preserve">The decision has effect despite </w:t>
      </w:r>
      <w:r w:rsidR="00583E1A">
        <w:t>subsection (</w:t>
      </w:r>
      <w:r w:rsidRPr="00583E1A">
        <w:t>1A).</w:t>
      </w:r>
    </w:p>
    <w:p w:rsidR="00887330" w:rsidRPr="00583E1A" w:rsidRDefault="00887330" w:rsidP="00887330">
      <w:pPr>
        <w:pStyle w:val="SubsectionHead"/>
      </w:pPr>
      <w:r w:rsidRPr="00583E1A">
        <w:t>Excluding Australian permanent establishments not covered by applicable double tax treaty</w:t>
      </w:r>
    </w:p>
    <w:p w:rsidR="00887330" w:rsidRPr="00583E1A" w:rsidRDefault="00887330" w:rsidP="00887330">
      <w:pPr>
        <w:pStyle w:val="subsection"/>
      </w:pPr>
      <w:r w:rsidRPr="00583E1A">
        <w:tab/>
        <w:t>(6)</w:t>
      </w:r>
      <w:r w:rsidRPr="00583E1A">
        <w:tab/>
        <w:t xml:space="preserve">An entity need not comply with this section for an income year in relation to an </w:t>
      </w:r>
      <w:r w:rsidR="00583E1A" w:rsidRPr="00583E1A">
        <w:rPr>
          <w:position w:val="6"/>
          <w:sz w:val="16"/>
        </w:rPr>
        <w:t>*</w:t>
      </w:r>
      <w:r w:rsidRPr="00583E1A">
        <w:t>Australian permanent establishment if:</w:t>
      </w:r>
    </w:p>
    <w:p w:rsidR="00887330" w:rsidRPr="00583E1A" w:rsidRDefault="00887330" w:rsidP="00887330">
      <w:pPr>
        <w:pStyle w:val="paragraph"/>
      </w:pPr>
      <w:r w:rsidRPr="00583E1A">
        <w:tab/>
        <w:t>(</w:t>
      </w:r>
      <w:r w:rsidRPr="00583E1A">
        <w:rPr>
          <w:noProof/>
        </w:rPr>
        <w:t>a</w:t>
      </w:r>
      <w:r w:rsidRPr="00583E1A">
        <w:t>)</w:t>
      </w:r>
      <w:r w:rsidRPr="00583E1A">
        <w:tab/>
        <w:t>throughout that year, the entity was, for the purposes of a double tax agreement (within the meaning of Part</w:t>
      </w:r>
      <w:r w:rsidR="00583E1A">
        <w:t> </w:t>
      </w:r>
      <w:r w:rsidRPr="00583E1A">
        <w:t xml:space="preserve">X of the </w:t>
      </w:r>
      <w:r w:rsidRPr="00583E1A">
        <w:rPr>
          <w:i/>
        </w:rPr>
        <w:lastRenderedPageBreak/>
        <w:t>Income Tax Assessment Act 1936</w:t>
      </w:r>
      <w:r w:rsidRPr="00583E1A">
        <w:t>) in relation to a foreign country, a resident of that foreign country (even if the entity was also an Australian resident or a resident of another foreign country); and</w:t>
      </w:r>
    </w:p>
    <w:p w:rsidR="00887330" w:rsidRPr="00583E1A" w:rsidRDefault="00887330" w:rsidP="00887330">
      <w:pPr>
        <w:pStyle w:val="paragraph"/>
      </w:pPr>
      <w:r w:rsidRPr="00583E1A">
        <w:tab/>
        <w:t>(</w:t>
      </w:r>
      <w:r w:rsidRPr="00583E1A">
        <w:rPr>
          <w:noProof/>
        </w:rPr>
        <w:t>b</w:t>
      </w:r>
      <w:r w:rsidRPr="00583E1A">
        <w:t>)</w:t>
      </w:r>
      <w:r w:rsidRPr="00583E1A">
        <w:tab/>
        <w:t xml:space="preserve">throughout the period during that year when the entity was carrying on its </w:t>
      </w:r>
      <w:r w:rsidR="00583E1A" w:rsidRPr="00583E1A">
        <w:rPr>
          <w:position w:val="6"/>
          <w:sz w:val="16"/>
        </w:rPr>
        <w:t>*</w:t>
      </w:r>
      <w:r w:rsidRPr="00583E1A">
        <w:t xml:space="preserve">business at or through that Australian permanent establishment, the Australian permanent establishment was </w:t>
      </w:r>
      <w:r w:rsidRPr="00583E1A">
        <w:rPr>
          <w:i/>
        </w:rPr>
        <w:t>not</w:t>
      </w:r>
      <w:r w:rsidRPr="00583E1A">
        <w:t xml:space="preserve"> a permanent establishment within the meaning of that double tax agreement.</w:t>
      </w:r>
    </w:p>
    <w:p w:rsidR="00887330" w:rsidRPr="00583E1A" w:rsidRDefault="00887330" w:rsidP="00887330">
      <w:pPr>
        <w:pStyle w:val="ActHead5"/>
      </w:pPr>
      <w:bookmarkStart w:id="331" w:name="_Toc338939405"/>
      <w:r w:rsidRPr="00583E1A">
        <w:rPr>
          <w:rStyle w:val="CharSectno"/>
        </w:rPr>
        <w:t>820</w:t>
      </w:r>
      <w:r w:rsidR="00583E1A">
        <w:rPr>
          <w:rStyle w:val="CharSectno"/>
        </w:rPr>
        <w:noBreakHyphen/>
      </w:r>
      <w:r w:rsidRPr="00583E1A">
        <w:rPr>
          <w:rStyle w:val="CharSectno"/>
        </w:rPr>
        <w:t>965</w:t>
      </w:r>
      <w:r w:rsidRPr="00583E1A">
        <w:t xml:space="preserve">  Review of Commissioner’s decision</w:t>
      </w:r>
      <w:bookmarkEnd w:id="331"/>
    </w:p>
    <w:p w:rsidR="00887330" w:rsidRPr="00583E1A" w:rsidRDefault="00887330" w:rsidP="00887330">
      <w:pPr>
        <w:pStyle w:val="subsection"/>
      </w:pPr>
      <w:r w:rsidRPr="00583E1A">
        <w:tab/>
      </w:r>
      <w:r w:rsidRPr="00583E1A">
        <w:tab/>
        <w:t>A person who is dissatisfied with a decision of the Commissioner under subsection 820</w:t>
      </w:r>
      <w:r w:rsidR="00583E1A">
        <w:noBreakHyphen/>
      </w:r>
      <w:r w:rsidRPr="00583E1A">
        <w:t>960(4) may object against the decision in the manner set out in Part</w:t>
      </w:r>
      <w:r w:rsidR="00583E1A">
        <w:t> </w:t>
      </w:r>
      <w:r w:rsidRPr="00583E1A">
        <w:t xml:space="preserve">IVC of the </w:t>
      </w:r>
      <w:r w:rsidRPr="00583E1A">
        <w:rPr>
          <w:i/>
        </w:rPr>
        <w:t>Taxation Administration Act 1953</w:t>
      </w:r>
      <w:r w:rsidRPr="00583E1A">
        <w:t>.</w:t>
      </w:r>
    </w:p>
    <w:p w:rsidR="00887330" w:rsidRPr="00583E1A" w:rsidRDefault="00887330" w:rsidP="00887330">
      <w:pPr>
        <w:pStyle w:val="ActHead4"/>
      </w:pPr>
      <w:bookmarkStart w:id="332" w:name="_Toc338939406"/>
      <w:r w:rsidRPr="00583E1A">
        <w:t>Records about arm’s length amounts</w:t>
      </w:r>
      <w:bookmarkEnd w:id="332"/>
    </w:p>
    <w:p w:rsidR="00887330" w:rsidRPr="00583E1A" w:rsidRDefault="00887330" w:rsidP="00887330">
      <w:pPr>
        <w:pStyle w:val="ActHead5"/>
      </w:pPr>
      <w:bookmarkStart w:id="333" w:name="_Toc338939407"/>
      <w:r w:rsidRPr="00583E1A">
        <w:rPr>
          <w:rStyle w:val="CharSectno"/>
        </w:rPr>
        <w:t>820</w:t>
      </w:r>
      <w:r w:rsidR="00583E1A">
        <w:rPr>
          <w:rStyle w:val="CharSectno"/>
        </w:rPr>
        <w:noBreakHyphen/>
      </w:r>
      <w:r w:rsidRPr="00583E1A">
        <w:rPr>
          <w:rStyle w:val="CharSectno"/>
        </w:rPr>
        <w:t>980</w:t>
      </w:r>
      <w:r w:rsidRPr="00583E1A">
        <w:t xml:space="preserve">  Records about arm’s length debt amount and arm’s length capital amount</w:t>
      </w:r>
      <w:bookmarkEnd w:id="333"/>
    </w:p>
    <w:p w:rsidR="00887330" w:rsidRPr="00583E1A" w:rsidRDefault="00887330" w:rsidP="00887330">
      <w:pPr>
        <w:pStyle w:val="subsection"/>
      </w:pPr>
      <w:r w:rsidRPr="00583E1A">
        <w:tab/>
        <w:t>(1)</w:t>
      </w:r>
      <w:r w:rsidRPr="00583E1A">
        <w:tab/>
        <w:t xml:space="preserve">An entity must keep records under this section for an </w:t>
      </w:r>
      <w:r w:rsidR="00583E1A" w:rsidRPr="00583E1A">
        <w:rPr>
          <w:position w:val="6"/>
          <w:sz w:val="16"/>
        </w:rPr>
        <w:t>*</w:t>
      </w:r>
      <w:r w:rsidRPr="00583E1A">
        <w:t xml:space="preserve">arm’s length debt amount or </w:t>
      </w:r>
      <w:r w:rsidR="00583E1A" w:rsidRPr="00583E1A">
        <w:rPr>
          <w:position w:val="6"/>
          <w:sz w:val="16"/>
        </w:rPr>
        <w:t>*</w:t>
      </w:r>
      <w:r w:rsidRPr="00583E1A">
        <w:t>arm’s length capital amount that the entity worked out for the purposes of this Division.</w:t>
      </w:r>
    </w:p>
    <w:p w:rsidR="00887330" w:rsidRPr="00583E1A" w:rsidRDefault="00887330" w:rsidP="00887330">
      <w:pPr>
        <w:pStyle w:val="subsection"/>
      </w:pPr>
      <w:r w:rsidRPr="00583E1A">
        <w:tab/>
        <w:t>(2)</w:t>
      </w:r>
      <w:r w:rsidRPr="00583E1A">
        <w:tab/>
        <w:t>The records must contain particulars about the factual assumptions and relevant factors mentioned in section</w:t>
      </w:r>
      <w:r w:rsidR="00583E1A">
        <w:t> </w:t>
      </w:r>
      <w:r w:rsidRPr="00583E1A">
        <w:t>820</w:t>
      </w:r>
      <w:r w:rsidR="00583E1A">
        <w:noBreakHyphen/>
      </w:r>
      <w:r w:rsidRPr="00583E1A">
        <w:t>105, 820</w:t>
      </w:r>
      <w:r w:rsidR="00583E1A">
        <w:noBreakHyphen/>
      </w:r>
      <w:r w:rsidRPr="00583E1A">
        <w:t>215, 820</w:t>
      </w:r>
      <w:r w:rsidR="00583E1A">
        <w:noBreakHyphen/>
      </w:r>
      <w:r w:rsidRPr="00583E1A">
        <w:t>315 or 820</w:t>
      </w:r>
      <w:r w:rsidR="00583E1A">
        <w:noBreakHyphen/>
      </w:r>
      <w:r w:rsidRPr="00583E1A">
        <w:t>410 (as appropriate) that have been taken into account in working out that amount.</w:t>
      </w:r>
    </w:p>
    <w:p w:rsidR="00887330" w:rsidRPr="00583E1A" w:rsidRDefault="00887330" w:rsidP="00887330">
      <w:pPr>
        <w:pStyle w:val="subsection"/>
      </w:pPr>
      <w:r w:rsidRPr="00583E1A">
        <w:tab/>
        <w:t>(3)</w:t>
      </w:r>
      <w:r w:rsidRPr="00583E1A">
        <w:tab/>
        <w:t xml:space="preserve">The entity must prepare the records before the time by which the entity must lodge its </w:t>
      </w:r>
      <w:r w:rsidR="00583E1A" w:rsidRPr="00583E1A">
        <w:rPr>
          <w:position w:val="6"/>
          <w:sz w:val="16"/>
        </w:rPr>
        <w:t>*</w:t>
      </w:r>
      <w:r w:rsidRPr="00583E1A">
        <w:t>income tax return for the income year in relation to all or a part of which the amount is worked out.</w:t>
      </w:r>
    </w:p>
    <w:p w:rsidR="00887330" w:rsidRPr="00583E1A" w:rsidRDefault="00887330" w:rsidP="00887330">
      <w:pPr>
        <w:pStyle w:val="notetext"/>
        <w:rPr>
          <w:i/>
        </w:rPr>
      </w:pPr>
      <w:r w:rsidRPr="00583E1A">
        <w:t>Note:</w:t>
      </w:r>
      <w:r w:rsidRPr="00583E1A">
        <w:tab/>
        <w:t>A person must comply with the requirements in section</w:t>
      </w:r>
      <w:r w:rsidR="00583E1A">
        <w:t> </w:t>
      </w:r>
      <w:r w:rsidRPr="00583E1A">
        <w:t xml:space="preserve">262A of the </w:t>
      </w:r>
      <w:r w:rsidRPr="00583E1A">
        <w:rPr>
          <w:i/>
        </w:rPr>
        <w:t xml:space="preserve">Income Tax Assessment Act 1936 </w:t>
      </w:r>
      <w:r w:rsidRPr="00583E1A">
        <w:t xml:space="preserve">about the keeping of these records (see </w:t>
      </w:r>
      <w:r w:rsidR="00583E1A">
        <w:t>subsections (</w:t>
      </w:r>
      <w:r w:rsidRPr="00583E1A">
        <w:t>2AA) and (3) of that section)</w:t>
      </w:r>
      <w:r w:rsidRPr="00583E1A">
        <w:rPr>
          <w:i/>
        </w:rPr>
        <w:t>.</w:t>
      </w:r>
    </w:p>
    <w:p w:rsidR="00887330" w:rsidRPr="00583E1A" w:rsidRDefault="00887330" w:rsidP="00887330">
      <w:pPr>
        <w:pStyle w:val="ActHead4"/>
      </w:pPr>
      <w:bookmarkStart w:id="334" w:name="_Toc338939408"/>
      <w:r w:rsidRPr="00583E1A">
        <w:lastRenderedPageBreak/>
        <w:t>Records about asset revaluations</w:t>
      </w:r>
      <w:bookmarkEnd w:id="334"/>
    </w:p>
    <w:p w:rsidR="00887330" w:rsidRPr="00583E1A" w:rsidRDefault="00887330" w:rsidP="00887330">
      <w:pPr>
        <w:pStyle w:val="ActHead5"/>
      </w:pPr>
      <w:bookmarkStart w:id="335" w:name="_Toc338939409"/>
      <w:r w:rsidRPr="00583E1A">
        <w:rPr>
          <w:rStyle w:val="CharSectno"/>
        </w:rPr>
        <w:t>820</w:t>
      </w:r>
      <w:r w:rsidR="00583E1A">
        <w:rPr>
          <w:rStyle w:val="CharSectno"/>
        </w:rPr>
        <w:noBreakHyphen/>
      </w:r>
      <w:r w:rsidRPr="00583E1A">
        <w:rPr>
          <w:rStyle w:val="CharSectno"/>
        </w:rPr>
        <w:t>985</w:t>
      </w:r>
      <w:r w:rsidRPr="00583E1A">
        <w:t xml:space="preserve">  Methodology of revaluation and independence of valuer</w:t>
      </w:r>
      <w:bookmarkEnd w:id="335"/>
    </w:p>
    <w:p w:rsidR="00887330" w:rsidRPr="00583E1A" w:rsidRDefault="00887330" w:rsidP="00887330">
      <w:pPr>
        <w:pStyle w:val="subsection"/>
      </w:pPr>
      <w:r w:rsidRPr="00583E1A">
        <w:tab/>
        <w:t>(1)</w:t>
      </w:r>
      <w:r w:rsidRPr="00583E1A">
        <w:tab/>
        <w:t>An entity must keep records under this section for a revaluation of assets mentioned in subsection 820</w:t>
      </w:r>
      <w:r w:rsidR="00583E1A">
        <w:noBreakHyphen/>
      </w:r>
      <w:r w:rsidRPr="00583E1A">
        <w:t>680(2) (except a revaluation that need not comply with that subsection because of subsection 820</w:t>
      </w:r>
      <w:r w:rsidR="00583E1A">
        <w:noBreakHyphen/>
      </w:r>
      <w:r w:rsidRPr="00583E1A">
        <w:t>680(2A))</w:t>
      </w:r>
      <w:r w:rsidR="003B37BA" w:rsidRPr="00583E1A">
        <w:t xml:space="preserve"> or 820</w:t>
      </w:r>
      <w:r w:rsidR="00583E1A">
        <w:noBreakHyphen/>
      </w:r>
      <w:r w:rsidR="003B37BA" w:rsidRPr="00583E1A">
        <w:t>684(2)</w:t>
      </w:r>
      <w:r w:rsidRPr="00583E1A">
        <w:t>.</w:t>
      </w:r>
    </w:p>
    <w:p w:rsidR="00887330" w:rsidRPr="00583E1A" w:rsidRDefault="00887330" w:rsidP="00887330">
      <w:pPr>
        <w:pStyle w:val="subsection"/>
      </w:pPr>
      <w:r w:rsidRPr="00583E1A">
        <w:tab/>
        <w:t>(2)</w:t>
      </w:r>
      <w:r w:rsidRPr="00583E1A">
        <w:tab/>
        <w:t>The records must contain particulars about:</w:t>
      </w:r>
    </w:p>
    <w:p w:rsidR="00887330" w:rsidRPr="00583E1A" w:rsidRDefault="00887330" w:rsidP="00887330">
      <w:pPr>
        <w:pStyle w:val="paragraph"/>
      </w:pPr>
      <w:r w:rsidRPr="00583E1A">
        <w:tab/>
        <w:t>(</w:t>
      </w:r>
      <w:r w:rsidRPr="00583E1A">
        <w:rPr>
          <w:noProof/>
        </w:rPr>
        <w:t>a</w:t>
      </w:r>
      <w:r w:rsidRPr="00583E1A">
        <w:t>)</w:t>
      </w:r>
      <w:r w:rsidRPr="00583E1A">
        <w:tab/>
        <w:t>the methodology used in making the revaluation (including any assumptions made); and</w:t>
      </w:r>
    </w:p>
    <w:p w:rsidR="00887330" w:rsidRPr="00583E1A" w:rsidRDefault="00887330" w:rsidP="00887330">
      <w:pPr>
        <w:pStyle w:val="paragraph"/>
      </w:pPr>
      <w:r w:rsidRPr="00583E1A">
        <w:tab/>
        <w:t>(</w:t>
      </w:r>
      <w:r w:rsidRPr="00583E1A">
        <w:rPr>
          <w:noProof/>
        </w:rPr>
        <w:t>b</w:t>
      </w:r>
      <w:r w:rsidRPr="00583E1A">
        <w:t>)</w:t>
      </w:r>
      <w:r w:rsidRPr="00583E1A">
        <w:tab/>
        <w:t>how that methodology was applied (including the data and other information used); and</w:t>
      </w:r>
    </w:p>
    <w:p w:rsidR="00887330" w:rsidRPr="00583E1A" w:rsidRDefault="00887330" w:rsidP="00887330">
      <w:pPr>
        <w:pStyle w:val="paragraph"/>
      </w:pPr>
      <w:r w:rsidRPr="00583E1A">
        <w:tab/>
        <w:t>(</w:t>
      </w:r>
      <w:r w:rsidRPr="00583E1A">
        <w:rPr>
          <w:noProof/>
        </w:rPr>
        <w:t>c</w:t>
      </w:r>
      <w:r w:rsidRPr="00583E1A">
        <w:t>)</w:t>
      </w:r>
      <w:r w:rsidRPr="00583E1A">
        <w:tab/>
        <w:t>who made the revaluation; and</w:t>
      </w:r>
    </w:p>
    <w:p w:rsidR="00887330" w:rsidRPr="00583E1A" w:rsidRDefault="00887330" w:rsidP="00887330">
      <w:pPr>
        <w:pStyle w:val="paragraph"/>
      </w:pPr>
      <w:r w:rsidRPr="00583E1A">
        <w:tab/>
        <w:t>(</w:t>
      </w:r>
      <w:r w:rsidRPr="00583E1A">
        <w:rPr>
          <w:noProof/>
        </w:rPr>
        <w:t>d</w:t>
      </w:r>
      <w:r w:rsidRPr="00583E1A">
        <w:t>)</w:t>
      </w:r>
      <w:r w:rsidRPr="00583E1A">
        <w:tab/>
        <w:t>that person’s qualifications and experience as an expert in valuing assets of the relevant kind; and</w:t>
      </w:r>
    </w:p>
    <w:p w:rsidR="00887330" w:rsidRPr="00583E1A" w:rsidRDefault="00887330" w:rsidP="00887330">
      <w:pPr>
        <w:pStyle w:val="paragraph"/>
      </w:pPr>
      <w:r w:rsidRPr="00583E1A">
        <w:tab/>
        <w:t>(</w:t>
      </w:r>
      <w:r w:rsidRPr="00583E1A">
        <w:rPr>
          <w:noProof/>
        </w:rPr>
        <w:t>e</w:t>
      </w:r>
      <w:r w:rsidRPr="00583E1A">
        <w:t>)</w:t>
      </w:r>
      <w:r w:rsidRPr="00583E1A">
        <w:tab/>
        <w:t>the remuneration and expenses paid to that person.</w:t>
      </w:r>
    </w:p>
    <w:p w:rsidR="00887330" w:rsidRPr="00583E1A" w:rsidRDefault="00887330" w:rsidP="00887330">
      <w:pPr>
        <w:pStyle w:val="subsection"/>
      </w:pPr>
      <w:r w:rsidRPr="00583E1A">
        <w:tab/>
        <w:t>(3)</w:t>
      </w:r>
      <w:r w:rsidRPr="00583E1A">
        <w:tab/>
        <w:t>If the revaluation was made in accordance with subsection 820</w:t>
      </w:r>
      <w:r w:rsidR="00583E1A">
        <w:noBreakHyphen/>
      </w:r>
      <w:r w:rsidRPr="00583E1A">
        <w:t>680(2B) (about external validation of a revaluation made internally), the records must also contain particulars of:</w:t>
      </w:r>
    </w:p>
    <w:p w:rsidR="00887330" w:rsidRPr="00583E1A" w:rsidRDefault="00887330" w:rsidP="00887330">
      <w:pPr>
        <w:pStyle w:val="paragraph"/>
      </w:pPr>
      <w:r w:rsidRPr="00583E1A">
        <w:tab/>
        <w:t>(</w:t>
      </w:r>
      <w:r w:rsidRPr="00583E1A">
        <w:rPr>
          <w:noProof/>
        </w:rPr>
        <w:t>a</w:t>
      </w:r>
      <w:r w:rsidRPr="00583E1A">
        <w:t>)</w:t>
      </w:r>
      <w:r w:rsidRPr="00583E1A">
        <w:tab/>
        <w:t>who was the external expert referred to in that subsection; and</w:t>
      </w:r>
    </w:p>
    <w:p w:rsidR="00887330" w:rsidRPr="00583E1A" w:rsidRDefault="00887330" w:rsidP="00887330">
      <w:pPr>
        <w:pStyle w:val="paragraph"/>
      </w:pPr>
      <w:r w:rsidRPr="00583E1A">
        <w:tab/>
        <w:t>(</w:t>
      </w:r>
      <w:r w:rsidRPr="00583E1A">
        <w:rPr>
          <w:noProof/>
        </w:rPr>
        <w:t>b</w:t>
      </w:r>
      <w:r w:rsidRPr="00583E1A">
        <w:t>)</w:t>
      </w:r>
      <w:r w:rsidRPr="00583E1A">
        <w:tab/>
        <w:t>his or her qualifications and experience as an expert in valuing assets of the relevant kind; and</w:t>
      </w:r>
    </w:p>
    <w:p w:rsidR="00887330" w:rsidRPr="00583E1A" w:rsidRDefault="00887330" w:rsidP="00887330">
      <w:pPr>
        <w:pStyle w:val="paragraph"/>
      </w:pPr>
      <w:r w:rsidRPr="00583E1A">
        <w:tab/>
        <w:t>(</w:t>
      </w:r>
      <w:r w:rsidRPr="00583E1A">
        <w:rPr>
          <w:noProof/>
        </w:rPr>
        <w:t>c</w:t>
      </w:r>
      <w:r w:rsidRPr="00583E1A">
        <w:t>)</w:t>
      </w:r>
      <w:r w:rsidRPr="00583E1A">
        <w:tab/>
        <w:t>the remuneration and expenses paid to him or her; and</w:t>
      </w:r>
    </w:p>
    <w:p w:rsidR="00887330" w:rsidRPr="00583E1A" w:rsidRDefault="00887330" w:rsidP="00887330">
      <w:pPr>
        <w:pStyle w:val="paragraph"/>
      </w:pPr>
      <w:r w:rsidRPr="00583E1A">
        <w:tab/>
        <w:t>(</w:t>
      </w:r>
      <w:r w:rsidRPr="00583E1A">
        <w:rPr>
          <w:noProof/>
        </w:rPr>
        <w:t>d</w:t>
      </w:r>
      <w:r w:rsidRPr="00583E1A">
        <w:t>)</w:t>
      </w:r>
      <w:r w:rsidRPr="00583E1A">
        <w:tab/>
        <w:t>his or her review of the methodology for making the revaluation (as required by subparagraph 820</w:t>
      </w:r>
      <w:r w:rsidR="00583E1A">
        <w:noBreakHyphen/>
      </w:r>
      <w:r w:rsidRPr="00583E1A">
        <w:t>680(2B)(b)(ii)); and</w:t>
      </w:r>
    </w:p>
    <w:p w:rsidR="00887330" w:rsidRPr="00583E1A" w:rsidRDefault="00887330" w:rsidP="00887330">
      <w:pPr>
        <w:pStyle w:val="paragraph"/>
      </w:pPr>
      <w:r w:rsidRPr="00583E1A">
        <w:tab/>
        <w:t>(</w:t>
      </w:r>
      <w:r w:rsidRPr="00583E1A">
        <w:rPr>
          <w:noProof/>
        </w:rPr>
        <w:t>e</w:t>
      </w:r>
      <w:r w:rsidRPr="00583E1A">
        <w:t>)</w:t>
      </w:r>
      <w:r w:rsidRPr="00583E1A">
        <w:tab/>
        <w:t>his or her agreement that the methodology is suitable for making it (as required by subparagraph 820</w:t>
      </w:r>
      <w:r w:rsidR="00583E1A">
        <w:noBreakHyphen/>
      </w:r>
      <w:r w:rsidRPr="00583E1A">
        <w:t>680(2B)(b)(iii)).</w:t>
      </w:r>
    </w:p>
    <w:p w:rsidR="003B37BA" w:rsidRPr="00583E1A" w:rsidRDefault="003B37BA" w:rsidP="003B37BA">
      <w:pPr>
        <w:pStyle w:val="subsection2"/>
      </w:pPr>
      <w:r w:rsidRPr="00583E1A">
        <w:t>This subsection extends to subsection 820</w:t>
      </w:r>
      <w:r w:rsidR="00583E1A">
        <w:noBreakHyphen/>
      </w:r>
      <w:r w:rsidRPr="00583E1A">
        <w:t>680(2B) as it applies because of subsection 820</w:t>
      </w:r>
      <w:r w:rsidR="00583E1A">
        <w:noBreakHyphen/>
      </w:r>
      <w:r w:rsidRPr="00583E1A">
        <w:t>684(5).</w:t>
      </w:r>
    </w:p>
    <w:p w:rsidR="003B37BA" w:rsidRPr="00583E1A" w:rsidRDefault="003B37BA" w:rsidP="003B37BA">
      <w:pPr>
        <w:pStyle w:val="notetext"/>
      </w:pPr>
      <w:r w:rsidRPr="00583E1A">
        <w:t>Note:</w:t>
      </w:r>
      <w:r w:rsidRPr="00583E1A">
        <w:tab/>
        <w:t>Section</w:t>
      </w:r>
      <w:r w:rsidR="00583E1A">
        <w:t> </w:t>
      </w:r>
      <w:r w:rsidRPr="00583E1A">
        <w:t>820</w:t>
      </w:r>
      <w:r w:rsidR="00583E1A">
        <w:noBreakHyphen/>
      </w:r>
      <w:r w:rsidRPr="00583E1A">
        <w:t>684 allows some revaluations that are not allowed by the accounting standards.</w:t>
      </w:r>
    </w:p>
    <w:p w:rsidR="00887330" w:rsidRPr="00583E1A" w:rsidRDefault="00887330" w:rsidP="00887330">
      <w:pPr>
        <w:pStyle w:val="subsection"/>
      </w:pPr>
      <w:r w:rsidRPr="00583E1A">
        <w:lastRenderedPageBreak/>
        <w:tab/>
        <w:t>(4)</w:t>
      </w:r>
      <w:r w:rsidRPr="00583E1A">
        <w:tab/>
        <w:t xml:space="preserve">The entity must prepare the records before the time by which the entity must lodge its </w:t>
      </w:r>
      <w:r w:rsidR="00583E1A" w:rsidRPr="00583E1A">
        <w:rPr>
          <w:position w:val="6"/>
          <w:sz w:val="16"/>
        </w:rPr>
        <w:t>*</w:t>
      </w:r>
      <w:r w:rsidRPr="00583E1A">
        <w:t>income tax return for the income year in relation to all or a part of which the revaluation is made.</w:t>
      </w:r>
    </w:p>
    <w:p w:rsidR="00887330" w:rsidRPr="00583E1A" w:rsidRDefault="00887330" w:rsidP="00887330">
      <w:pPr>
        <w:pStyle w:val="notetext"/>
        <w:rPr>
          <w:i/>
        </w:rPr>
      </w:pPr>
      <w:r w:rsidRPr="00583E1A">
        <w:t>Note:</w:t>
      </w:r>
      <w:r w:rsidRPr="00583E1A">
        <w:tab/>
        <w:t>A person must comply with the requirements in section</w:t>
      </w:r>
      <w:r w:rsidR="00583E1A">
        <w:t> </w:t>
      </w:r>
      <w:r w:rsidRPr="00583E1A">
        <w:t xml:space="preserve">262A of the </w:t>
      </w:r>
      <w:r w:rsidRPr="00583E1A">
        <w:rPr>
          <w:i/>
        </w:rPr>
        <w:t xml:space="preserve">Income Tax Assessment Act 1936 </w:t>
      </w:r>
      <w:r w:rsidRPr="00583E1A">
        <w:t xml:space="preserve">about the keeping of these records (see </w:t>
      </w:r>
      <w:r w:rsidR="00583E1A">
        <w:t>subsections (</w:t>
      </w:r>
      <w:r w:rsidRPr="00583E1A">
        <w:t>2AA) and (3) of that section)</w:t>
      </w:r>
      <w:r w:rsidRPr="00583E1A">
        <w:rPr>
          <w:i/>
        </w:rPr>
        <w:t>.</w:t>
      </w:r>
    </w:p>
    <w:p w:rsidR="00887330" w:rsidRPr="00583E1A" w:rsidRDefault="00887330" w:rsidP="00887330">
      <w:pPr>
        <w:pStyle w:val="ActHead4"/>
      </w:pPr>
      <w:bookmarkStart w:id="336" w:name="_Toc338939410"/>
      <w:r w:rsidRPr="00583E1A">
        <w:t>Offences committed by certain entities</w:t>
      </w:r>
      <w:bookmarkEnd w:id="336"/>
    </w:p>
    <w:p w:rsidR="00887330" w:rsidRPr="00583E1A" w:rsidRDefault="00887330" w:rsidP="00887330">
      <w:pPr>
        <w:pStyle w:val="ActHead5"/>
      </w:pPr>
      <w:bookmarkStart w:id="337" w:name="_Toc338939411"/>
      <w:r w:rsidRPr="00583E1A">
        <w:rPr>
          <w:rStyle w:val="CharSectno"/>
        </w:rPr>
        <w:t>820</w:t>
      </w:r>
      <w:r w:rsidR="00583E1A">
        <w:rPr>
          <w:rStyle w:val="CharSectno"/>
        </w:rPr>
        <w:noBreakHyphen/>
      </w:r>
      <w:r w:rsidRPr="00583E1A">
        <w:rPr>
          <w:rStyle w:val="CharSectno"/>
        </w:rPr>
        <w:t>990</w:t>
      </w:r>
      <w:r w:rsidRPr="00583E1A">
        <w:t xml:space="preserve">  Offences—treatment of partnerships</w:t>
      </w:r>
      <w:bookmarkEnd w:id="337"/>
    </w:p>
    <w:p w:rsidR="00887330" w:rsidRPr="00583E1A" w:rsidRDefault="00887330" w:rsidP="00887330">
      <w:pPr>
        <w:pStyle w:val="subsection"/>
      </w:pPr>
      <w:r w:rsidRPr="00583E1A">
        <w:tab/>
        <w:t>(1)</w:t>
      </w:r>
      <w:r w:rsidRPr="00583E1A">
        <w:tab/>
        <w:t xml:space="preserve">The provisions set out in the following </w:t>
      </w:r>
      <w:r w:rsidR="00583E1A">
        <w:t>paragraphs (</w:t>
      </w:r>
      <w:r w:rsidRPr="00583E1A">
        <w:t xml:space="preserve">the </w:t>
      </w:r>
      <w:r w:rsidRPr="00583E1A">
        <w:rPr>
          <w:b/>
          <w:i/>
        </w:rPr>
        <w:t>relevant provisions</w:t>
      </w:r>
      <w:r w:rsidRPr="00583E1A">
        <w:t>) apply, in relation to records required to be kept under this Subdivision, to a partnership as if it were a person, but with the modifications set out in this section:</w:t>
      </w:r>
    </w:p>
    <w:p w:rsidR="00887330" w:rsidRPr="00583E1A" w:rsidRDefault="00887330" w:rsidP="00887330">
      <w:pPr>
        <w:pStyle w:val="paragraph"/>
      </w:pPr>
      <w:r w:rsidRPr="00583E1A">
        <w:tab/>
        <w:t>(a)</w:t>
      </w:r>
      <w:r w:rsidRPr="00583E1A">
        <w:tab/>
        <w:t>sections</w:t>
      </w:r>
      <w:r w:rsidR="00583E1A">
        <w:t> </w:t>
      </w:r>
      <w:r w:rsidRPr="00583E1A">
        <w:t>820</w:t>
      </w:r>
      <w:r w:rsidR="00583E1A">
        <w:noBreakHyphen/>
      </w:r>
      <w:r w:rsidRPr="00583E1A">
        <w:t>960 and 820</w:t>
      </w:r>
      <w:r w:rsidR="00583E1A">
        <w:noBreakHyphen/>
      </w:r>
      <w:r w:rsidRPr="00583E1A">
        <w:t>980;</w:t>
      </w:r>
    </w:p>
    <w:p w:rsidR="00887330" w:rsidRPr="00583E1A" w:rsidRDefault="00887330" w:rsidP="00887330">
      <w:pPr>
        <w:pStyle w:val="paragraph"/>
      </w:pPr>
      <w:r w:rsidRPr="00583E1A">
        <w:tab/>
        <w:t>(b)</w:t>
      </w:r>
      <w:r w:rsidRPr="00583E1A">
        <w:tab/>
        <w:t>section</w:t>
      </w:r>
      <w:r w:rsidR="00583E1A">
        <w:t> </w:t>
      </w:r>
      <w:r w:rsidRPr="00583E1A">
        <w:t xml:space="preserve">262A of the </w:t>
      </w:r>
      <w:r w:rsidRPr="00583E1A">
        <w:rPr>
          <w:i/>
        </w:rPr>
        <w:t>Income Tax Assessment Act 1936</w:t>
      </w:r>
      <w:r w:rsidRPr="00583E1A">
        <w:t>;</w:t>
      </w:r>
    </w:p>
    <w:p w:rsidR="00887330" w:rsidRPr="00583E1A" w:rsidRDefault="00887330" w:rsidP="00887330">
      <w:pPr>
        <w:pStyle w:val="paragraph"/>
      </w:pPr>
      <w:r w:rsidRPr="00583E1A">
        <w:tab/>
        <w:t>(c)</w:t>
      </w:r>
      <w:r w:rsidRPr="00583E1A">
        <w:tab/>
        <w:t>Part</w:t>
      </w:r>
      <w:r w:rsidR="00583E1A">
        <w:t> </w:t>
      </w:r>
      <w:r w:rsidRPr="00583E1A">
        <w:t xml:space="preserve">III of the </w:t>
      </w:r>
      <w:r w:rsidRPr="00583E1A">
        <w:rPr>
          <w:i/>
        </w:rPr>
        <w:t>Taxation Administration Act 1953</w:t>
      </w:r>
      <w:r w:rsidRPr="00583E1A">
        <w:t>.</w:t>
      </w:r>
    </w:p>
    <w:p w:rsidR="00887330" w:rsidRPr="00583E1A" w:rsidRDefault="00887330" w:rsidP="00887330">
      <w:pPr>
        <w:pStyle w:val="subsection"/>
      </w:pPr>
      <w:r w:rsidRPr="00583E1A">
        <w:tab/>
        <w:t>(2)</w:t>
      </w:r>
      <w:r w:rsidRPr="00583E1A">
        <w:tab/>
        <w:t>If the relevant provisions would otherwise require or permit something to be done by the partnership, the thing may be done by one or more of the partners on behalf of the partnership.</w:t>
      </w:r>
    </w:p>
    <w:p w:rsidR="00887330" w:rsidRPr="00583E1A" w:rsidRDefault="00887330" w:rsidP="00887330">
      <w:pPr>
        <w:pStyle w:val="subsection"/>
      </w:pPr>
      <w:r w:rsidRPr="00583E1A">
        <w:tab/>
        <w:t>(3)</w:t>
      </w:r>
      <w:r w:rsidRPr="00583E1A">
        <w:tab/>
        <w:t>An obligation that would otherwise be imposed on the partnership by the relevant provisions:</w:t>
      </w:r>
    </w:p>
    <w:p w:rsidR="00887330" w:rsidRPr="00583E1A" w:rsidRDefault="00887330" w:rsidP="00887330">
      <w:pPr>
        <w:pStyle w:val="paragraph"/>
      </w:pPr>
      <w:r w:rsidRPr="00583E1A">
        <w:tab/>
        <w:t>(a)</w:t>
      </w:r>
      <w:r w:rsidRPr="00583E1A">
        <w:tab/>
        <w:t>is imposed on each partner instead; but</w:t>
      </w:r>
    </w:p>
    <w:p w:rsidR="00887330" w:rsidRPr="00583E1A" w:rsidRDefault="00887330" w:rsidP="00887330">
      <w:pPr>
        <w:pStyle w:val="paragraph"/>
      </w:pPr>
      <w:r w:rsidRPr="00583E1A">
        <w:tab/>
        <w:t>(b)</w:t>
      </w:r>
      <w:r w:rsidRPr="00583E1A">
        <w:tab/>
        <w:t>may be discharged by any of the partners.</w:t>
      </w:r>
    </w:p>
    <w:p w:rsidR="00887330" w:rsidRPr="00583E1A" w:rsidRDefault="00887330" w:rsidP="00887330">
      <w:pPr>
        <w:pStyle w:val="subsection"/>
      </w:pPr>
      <w:r w:rsidRPr="00583E1A">
        <w:tab/>
        <w:t>(4)</w:t>
      </w:r>
      <w:r w:rsidRPr="00583E1A">
        <w:tab/>
        <w:t>The partners are jointly and severally liable to pay an amount that would otherwise be payable by the partnership under the relevant provisions.</w:t>
      </w:r>
    </w:p>
    <w:p w:rsidR="00887330" w:rsidRPr="00583E1A" w:rsidRDefault="00887330" w:rsidP="00887330">
      <w:pPr>
        <w:pStyle w:val="subsection"/>
      </w:pPr>
      <w:r w:rsidRPr="00583E1A">
        <w:tab/>
        <w:t>(5)</w:t>
      </w:r>
      <w:r w:rsidRPr="00583E1A">
        <w:tab/>
        <w:t>An offence against any of the relevant provisions that would otherwise be committed by the partnership is taken to have been committed by each partner who:</w:t>
      </w:r>
    </w:p>
    <w:p w:rsidR="00887330" w:rsidRPr="00583E1A" w:rsidRDefault="00887330" w:rsidP="00887330">
      <w:pPr>
        <w:pStyle w:val="paragraph"/>
      </w:pPr>
      <w:r w:rsidRPr="00583E1A">
        <w:tab/>
        <w:t>(a)</w:t>
      </w:r>
      <w:r w:rsidRPr="00583E1A">
        <w:tab/>
        <w:t>did the relevant act or made the relevant omission; or</w:t>
      </w:r>
    </w:p>
    <w:p w:rsidR="00887330" w:rsidRPr="00583E1A" w:rsidRDefault="00887330" w:rsidP="00887330">
      <w:pPr>
        <w:pStyle w:val="paragraph"/>
      </w:pPr>
      <w:r w:rsidRPr="00583E1A">
        <w:tab/>
        <w:t>(b)</w:t>
      </w:r>
      <w:r w:rsidRPr="00583E1A">
        <w:tab/>
        <w:t>aided, abetted, counselled or procured the relevant act or omission; or</w:t>
      </w:r>
    </w:p>
    <w:p w:rsidR="00887330" w:rsidRPr="00583E1A" w:rsidRDefault="00887330" w:rsidP="00887330">
      <w:pPr>
        <w:pStyle w:val="paragraph"/>
      </w:pPr>
      <w:r w:rsidRPr="00583E1A">
        <w:lastRenderedPageBreak/>
        <w:tab/>
        <w:t>(c)</w:t>
      </w:r>
      <w:r w:rsidRPr="00583E1A">
        <w:tab/>
        <w:t>was in any way knowingly concerned in, or party to, the relevant act or omission (whether directly or indirectly or whether by any act or omission of the partner).</w:t>
      </w:r>
    </w:p>
    <w:p w:rsidR="00887330" w:rsidRPr="00583E1A" w:rsidRDefault="00887330" w:rsidP="00887330">
      <w:pPr>
        <w:pStyle w:val="subsection"/>
      </w:pPr>
      <w:r w:rsidRPr="00583E1A">
        <w:tab/>
        <w:t>(6)</w:t>
      </w:r>
      <w:r w:rsidRPr="00583E1A">
        <w:tab/>
        <w:t xml:space="preserve">For the purposes of </w:t>
      </w:r>
      <w:r w:rsidR="00583E1A">
        <w:t>subsection (</w:t>
      </w:r>
      <w:r w:rsidRPr="00583E1A">
        <w:t>5):</w:t>
      </w:r>
    </w:p>
    <w:p w:rsidR="00887330" w:rsidRPr="00583E1A" w:rsidRDefault="00887330" w:rsidP="00887330">
      <w:pPr>
        <w:pStyle w:val="paragraph"/>
      </w:pPr>
      <w:r w:rsidRPr="00583E1A">
        <w:tab/>
        <w:t>(a)</w:t>
      </w:r>
      <w:r w:rsidRPr="00583E1A">
        <w:tab/>
        <w:t>to establish that a partnership engaged in a particular conduct, it is sufficient to show that the conduct was engaged in by a partner:</w:t>
      </w:r>
    </w:p>
    <w:p w:rsidR="00887330" w:rsidRPr="00583E1A" w:rsidRDefault="00887330" w:rsidP="00887330">
      <w:pPr>
        <w:pStyle w:val="paragraphsub"/>
      </w:pPr>
      <w:r w:rsidRPr="00583E1A">
        <w:tab/>
        <w:t>(i)</w:t>
      </w:r>
      <w:r w:rsidRPr="00583E1A">
        <w:tab/>
        <w:t>in the ordinary course of the business of the partnership; or</w:t>
      </w:r>
    </w:p>
    <w:p w:rsidR="00887330" w:rsidRPr="00583E1A" w:rsidRDefault="00887330" w:rsidP="00887330">
      <w:pPr>
        <w:pStyle w:val="paragraphsub"/>
      </w:pPr>
      <w:r w:rsidRPr="00583E1A">
        <w:tab/>
        <w:t>(ii)</w:t>
      </w:r>
      <w:r w:rsidRPr="00583E1A">
        <w:tab/>
        <w:t>within the scope of the actual or apparent authority of the partner; and</w:t>
      </w:r>
    </w:p>
    <w:p w:rsidR="00887330" w:rsidRPr="00583E1A" w:rsidRDefault="00887330" w:rsidP="00887330">
      <w:pPr>
        <w:pStyle w:val="paragraph"/>
      </w:pPr>
      <w:r w:rsidRPr="00583E1A">
        <w:tab/>
        <w:t>(b)</w:t>
      </w:r>
      <w:r w:rsidRPr="00583E1A">
        <w:tab/>
        <w:t>to establish that a partnership had a particular state of mind when it engaged in that conduct, it is sufficient to show that the partner had the relevant state of mind.</w:t>
      </w:r>
    </w:p>
    <w:p w:rsidR="00887330" w:rsidRPr="00583E1A" w:rsidRDefault="00887330" w:rsidP="00887330">
      <w:pPr>
        <w:pStyle w:val="subsection"/>
      </w:pPr>
      <w:r w:rsidRPr="00583E1A">
        <w:tab/>
        <w:t>(7)</w:t>
      </w:r>
      <w:r w:rsidRPr="00583E1A">
        <w:tab/>
        <w:t>For the purposes of the relevant provisions, a change in the composition of a partnership does not affect the continuity of the partnership.</w:t>
      </w:r>
    </w:p>
    <w:p w:rsidR="00887330" w:rsidRPr="00583E1A" w:rsidRDefault="00887330" w:rsidP="00887330">
      <w:pPr>
        <w:pStyle w:val="ActHead5"/>
      </w:pPr>
      <w:bookmarkStart w:id="338" w:name="_Toc338939412"/>
      <w:r w:rsidRPr="00583E1A">
        <w:rPr>
          <w:rStyle w:val="CharSectno"/>
        </w:rPr>
        <w:t>820</w:t>
      </w:r>
      <w:r w:rsidR="00583E1A">
        <w:rPr>
          <w:rStyle w:val="CharSectno"/>
        </w:rPr>
        <w:noBreakHyphen/>
      </w:r>
      <w:r w:rsidRPr="00583E1A">
        <w:rPr>
          <w:rStyle w:val="CharSectno"/>
        </w:rPr>
        <w:t>995</w:t>
      </w:r>
      <w:r w:rsidRPr="00583E1A">
        <w:t xml:space="preserve">  Offences—treatment of unincorporated companies</w:t>
      </w:r>
      <w:bookmarkEnd w:id="338"/>
    </w:p>
    <w:p w:rsidR="00887330" w:rsidRPr="00583E1A" w:rsidRDefault="00887330" w:rsidP="00887330">
      <w:pPr>
        <w:pStyle w:val="subsection"/>
      </w:pPr>
      <w:r w:rsidRPr="00583E1A">
        <w:tab/>
        <w:t>(1)</w:t>
      </w:r>
      <w:r w:rsidRPr="00583E1A">
        <w:tab/>
        <w:t xml:space="preserve">The provisions set out in the following </w:t>
      </w:r>
      <w:r w:rsidR="00583E1A">
        <w:t>paragraphs (</w:t>
      </w:r>
      <w:r w:rsidRPr="00583E1A">
        <w:t xml:space="preserve">the </w:t>
      </w:r>
      <w:r w:rsidRPr="00583E1A">
        <w:rPr>
          <w:b/>
          <w:i/>
        </w:rPr>
        <w:t>relevant provisions</w:t>
      </w:r>
      <w:r w:rsidRPr="00583E1A">
        <w:t>) apply, in relation to records required to be kept under this Subdivision, to an unincorporated company as if it were a person, but with the modifications set out in this section:</w:t>
      </w:r>
    </w:p>
    <w:p w:rsidR="00887330" w:rsidRPr="00583E1A" w:rsidRDefault="00887330" w:rsidP="00887330">
      <w:pPr>
        <w:pStyle w:val="paragraph"/>
      </w:pPr>
      <w:r w:rsidRPr="00583E1A">
        <w:tab/>
        <w:t>(a)</w:t>
      </w:r>
      <w:r w:rsidRPr="00583E1A">
        <w:tab/>
        <w:t>sections</w:t>
      </w:r>
      <w:r w:rsidR="00583E1A">
        <w:t> </w:t>
      </w:r>
      <w:r w:rsidRPr="00583E1A">
        <w:t>820</w:t>
      </w:r>
      <w:r w:rsidR="00583E1A">
        <w:noBreakHyphen/>
      </w:r>
      <w:r w:rsidRPr="00583E1A">
        <w:t>960 and 820</w:t>
      </w:r>
      <w:r w:rsidR="00583E1A">
        <w:noBreakHyphen/>
      </w:r>
      <w:r w:rsidRPr="00583E1A">
        <w:t>980;</w:t>
      </w:r>
    </w:p>
    <w:p w:rsidR="00887330" w:rsidRPr="00583E1A" w:rsidRDefault="00887330" w:rsidP="00887330">
      <w:pPr>
        <w:pStyle w:val="paragraph"/>
      </w:pPr>
      <w:r w:rsidRPr="00583E1A">
        <w:tab/>
        <w:t>(b)</w:t>
      </w:r>
      <w:r w:rsidRPr="00583E1A">
        <w:tab/>
        <w:t>section</w:t>
      </w:r>
      <w:r w:rsidR="00583E1A">
        <w:t> </w:t>
      </w:r>
      <w:r w:rsidRPr="00583E1A">
        <w:t xml:space="preserve">262A of the </w:t>
      </w:r>
      <w:r w:rsidRPr="00583E1A">
        <w:rPr>
          <w:i/>
        </w:rPr>
        <w:t>Income Tax Assessment Act 1936</w:t>
      </w:r>
      <w:r w:rsidRPr="00583E1A">
        <w:t>;</w:t>
      </w:r>
    </w:p>
    <w:p w:rsidR="00887330" w:rsidRPr="00583E1A" w:rsidRDefault="00887330" w:rsidP="00887330">
      <w:pPr>
        <w:pStyle w:val="paragraph"/>
      </w:pPr>
      <w:r w:rsidRPr="00583E1A">
        <w:tab/>
        <w:t>(c)</w:t>
      </w:r>
      <w:r w:rsidRPr="00583E1A">
        <w:tab/>
        <w:t>Part</w:t>
      </w:r>
      <w:r w:rsidR="00583E1A">
        <w:t> </w:t>
      </w:r>
      <w:r w:rsidRPr="00583E1A">
        <w:t xml:space="preserve">III of the </w:t>
      </w:r>
      <w:r w:rsidRPr="00583E1A">
        <w:rPr>
          <w:i/>
        </w:rPr>
        <w:t>Taxation Administration Act 1953</w:t>
      </w:r>
      <w:r w:rsidRPr="00583E1A">
        <w:t>.</w:t>
      </w:r>
    </w:p>
    <w:p w:rsidR="00887330" w:rsidRPr="00583E1A" w:rsidRDefault="00887330" w:rsidP="00887330">
      <w:pPr>
        <w:pStyle w:val="subsection"/>
      </w:pPr>
      <w:r w:rsidRPr="00583E1A">
        <w:tab/>
        <w:t>(2)</w:t>
      </w:r>
      <w:r w:rsidRPr="00583E1A">
        <w:tab/>
        <w:t xml:space="preserve">If the relevant provisions would otherwise require or permit something to be done by the company, the thing may be done by one or more members of the company’s committee of management (the </w:t>
      </w:r>
      <w:r w:rsidRPr="00583E1A">
        <w:rPr>
          <w:b/>
          <w:i/>
        </w:rPr>
        <w:t>members</w:t>
      </w:r>
      <w:r w:rsidRPr="00583E1A">
        <w:t>) on behalf of the company.</w:t>
      </w:r>
    </w:p>
    <w:p w:rsidR="00887330" w:rsidRPr="00583E1A" w:rsidRDefault="00887330" w:rsidP="00887330">
      <w:pPr>
        <w:pStyle w:val="subsection"/>
      </w:pPr>
      <w:r w:rsidRPr="00583E1A">
        <w:tab/>
        <w:t>(3)</w:t>
      </w:r>
      <w:r w:rsidRPr="00583E1A">
        <w:tab/>
        <w:t>An obligation that would otherwise be imposed on the company by the relevant provisions:</w:t>
      </w:r>
    </w:p>
    <w:p w:rsidR="00887330" w:rsidRPr="00583E1A" w:rsidRDefault="00887330" w:rsidP="00887330">
      <w:pPr>
        <w:pStyle w:val="paragraph"/>
      </w:pPr>
      <w:r w:rsidRPr="00583E1A">
        <w:tab/>
        <w:t>(a)</w:t>
      </w:r>
      <w:r w:rsidRPr="00583E1A">
        <w:tab/>
        <w:t>is imposed on each member instead; but</w:t>
      </w:r>
    </w:p>
    <w:p w:rsidR="00887330" w:rsidRPr="00583E1A" w:rsidRDefault="00887330" w:rsidP="00887330">
      <w:pPr>
        <w:pStyle w:val="paragraph"/>
      </w:pPr>
      <w:r w:rsidRPr="00583E1A">
        <w:tab/>
        <w:t>(b)</w:t>
      </w:r>
      <w:r w:rsidRPr="00583E1A">
        <w:tab/>
        <w:t>may be discharged by any of the members.</w:t>
      </w:r>
    </w:p>
    <w:p w:rsidR="00887330" w:rsidRPr="00583E1A" w:rsidRDefault="00887330" w:rsidP="00887330">
      <w:pPr>
        <w:pStyle w:val="subsection"/>
      </w:pPr>
      <w:r w:rsidRPr="00583E1A">
        <w:lastRenderedPageBreak/>
        <w:tab/>
        <w:t>(4)</w:t>
      </w:r>
      <w:r w:rsidRPr="00583E1A">
        <w:tab/>
        <w:t>The members are jointly and severally liable to pay an amount that would otherwise be payable by the company under the relevant provisions.</w:t>
      </w:r>
    </w:p>
    <w:p w:rsidR="00887330" w:rsidRPr="00583E1A" w:rsidRDefault="00887330" w:rsidP="00887330">
      <w:pPr>
        <w:pStyle w:val="subsection"/>
      </w:pPr>
      <w:r w:rsidRPr="00583E1A">
        <w:tab/>
        <w:t>(5)</w:t>
      </w:r>
      <w:r w:rsidRPr="00583E1A">
        <w:tab/>
        <w:t>An offence against any of the relevant provisions that would otherwise be committed by the company is taken to have been committed by each member who:</w:t>
      </w:r>
    </w:p>
    <w:p w:rsidR="00887330" w:rsidRPr="00583E1A" w:rsidRDefault="00887330" w:rsidP="00887330">
      <w:pPr>
        <w:pStyle w:val="paragraph"/>
      </w:pPr>
      <w:r w:rsidRPr="00583E1A">
        <w:tab/>
        <w:t>(a)</w:t>
      </w:r>
      <w:r w:rsidRPr="00583E1A">
        <w:tab/>
        <w:t>did the relevant act or made the relevant omission; or</w:t>
      </w:r>
    </w:p>
    <w:p w:rsidR="00887330" w:rsidRPr="00583E1A" w:rsidRDefault="00887330" w:rsidP="00887330">
      <w:pPr>
        <w:pStyle w:val="paragraph"/>
      </w:pPr>
      <w:r w:rsidRPr="00583E1A">
        <w:tab/>
        <w:t>(b)</w:t>
      </w:r>
      <w:r w:rsidRPr="00583E1A">
        <w:tab/>
        <w:t>aided, abetted, counselled or procured the relevant act or omission; or</w:t>
      </w:r>
    </w:p>
    <w:p w:rsidR="00887330" w:rsidRPr="00583E1A" w:rsidRDefault="00887330" w:rsidP="00887330">
      <w:pPr>
        <w:pStyle w:val="paragraph"/>
      </w:pPr>
      <w:r w:rsidRPr="00583E1A">
        <w:tab/>
        <w:t>(c)</w:t>
      </w:r>
      <w:r w:rsidRPr="00583E1A">
        <w:tab/>
        <w:t>was in any way knowingly concerned in, or party to, the relevant act or omission (whether directly or indirectly or whether by any act or omission of the member).</w:t>
      </w:r>
    </w:p>
    <w:p w:rsidR="00887330" w:rsidRPr="00583E1A" w:rsidRDefault="00887330" w:rsidP="00887330">
      <w:pPr>
        <w:pStyle w:val="subsection"/>
      </w:pPr>
      <w:r w:rsidRPr="00583E1A">
        <w:tab/>
        <w:t>(6)</w:t>
      </w:r>
      <w:r w:rsidRPr="00583E1A">
        <w:tab/>
        <w:t xml:space="preserve">For the purposes of </w:t>
      </w:r>
      <w:r w:rsidR="00583E1A">
        <w:t>subsection (</w:t>
      </w:r>
      <w:r w:rsidRPr="00583E1A">
        <w:t>5), to establish that the company had a particular state of mind when it engaged in a particular conduct, it is sufficient to show that a member had the relevant state of mind.</w:t>
      </w:r>
    </w:p>
    <w:p w:rsidR="00887330" w:rsidRPr="00583E1A" w:rsidRDefault="00887330" w:rsidP="00887330">
      <w:pPr>
        <w:pStyle w:val="PageBreak"/>
      </w:pPr>
      <w:r w:rsidRPr="00583E1A">
        <w:br w:type="page"/>
      </w:r>
    </w:p>
    <w:p w:rsidR="00887330" w:rsidRPr="00583E1A" w:rsidRDefault="00887330" w:rsidP="00887330">
      <w:pPr>
        <w:pStyle w:val="ActHead3"/>
      </w:pPr>
      <w:bookmarkStart w:id="339" w:name="_Toc338939413"/>
      <w:r w:rsidRPr="00583E1A">
        <w:rPr>
          <w:rStyle w:val="CharDivNo"/>
        </w:rPr>
        <w:lastRenderedPageBreak/>
        <w:t>Division</w:t>
      </w:r>
      <w:r w:rsidR="00583E1A">
        <w:rPr>
          <w:rStyle w:val="CharDivNo"/>
        </w:rPr>
        <w:t> </w:t>
      </w:r>
      <w:r w:rsidRPr="00583E1A">
        <w:rPr>
          <w:rStyle w:val="CharDivNo"/>
        </w:rPr>
        <w:t>830</w:t>
      </w:r>
      <w:r w:rsidRPr="00583E1A">
        <w:t>—</w:t>
      </w:r>
      <w:r w:rsidRPr="00583E1A">
        <w:rPr>
          <w:rStyle w:val="CharDivText"/>
        </w:rPr>
        <w:t>Foreign hybrids</w:t>
      </w:r>
      <w:bookmarkEnd w:id="339"/>
    </w:p>
    <w:p w:rsidR="00887330" w:rsidRPr="00583E1A" w:rsidRDefault="00887330" w:rsidP="00887330">
      <w:pPr>
        <w:pStyle w:val="TofSectsHeading"/>
      </w:pPr>
      <w:r w:rsidRPr="00583E1A">
        <w:t>Table of Subdivisions</w:t>
      </w:r>
    </w:p>
    <w:p w:rsidR="00887330" w:rsidRPr="00583E1A" w:rsidRDefault="00887330" w:rsidP="00887330">
      <w:pPr>
        <w:pStyle w:val="TofSectsSubdiv"/>
      </w:pPr>
      <w:r w:rsidRPr="00583E1A">
        <w:tab/>
        <w:t>Guide to Division</w:t>
      </w:r>
      <w:r w:rsidR="00583E1A">
        <w:t> </w:t>
      </w:r>
      <w:r w:rsidRPr="00583E1A">
        <w:t>830</w:t>
      </w:r>
    </w:p>
    <w:p w:rsidR="00887330" w:rsidRPr="00583E1A" w:rsidRDefault="00887330" w:rsidP="00887330">
      <w:pPr>
        <w:pStyle w:val="TofSectsSubdiv"/>
      </w:pPr>
      <w:r w:rsidRPr="00583E1A">
        <w:t>830</w:t>
      </w:r>
      <w:r w:rsidR="00583E1A">
        <w:noBreakHyphen/>
      </w:r>
      <w:r w:rsidRPr="00583E1A">
        <w:t>A</w:t>
      </w:r>
      <w:r w:rsidRPr="00583E1A">
        <w:tab/>
        <w:t>Meaning of “foreign hybrid”</w:t>
      </w:r>
    </w:p>
    <w:p w:rsidR="00887330" w:rsidRPr="00583E1A" w:rsidRDefault="00887330" w:rsidP="00887330">
      <w:pPr>
        <w:pStyle w:val="TofSectsSubdiv"/>
      </w:pPr>
      <w:r w:rsidRPr="00583E1A">
        <w:t>830</w:t>
      </w:r>
      <w:r w:rsidR="00583E1A">
        <w:noBreakHyphen/>
      </w:r>
      <w:r w:rsidRPr="00583E1A">
        <w:t>B</w:t>
      </w:r>
      <w:r w:rsidRPr="00583E1A">
        <w:tab/>
        <w:t>Extension of normal partnership provisions to foreign hybrid companies</w:t>
      </w:r>
    </w:p>
    <w:p w:rsidR="00887330" w:rsidRPr="00583E1A" w:rsidRDefault="00887330" w:rsidP="00887330">
      <w:pPr>
        <w:pStyle w:val="TofSectsSubdiv"/>
      </w:pPr>
      <w:r w:rsidRPr="00583E1A">
        <w:t>830</w:t>
      </w:r>
      <w:r w:rsidR="00583E1A">
        <w:noBreakHyphen/>
      </w:r>
      <w:r w:rsidRPr="00583E1A">
        <w:t>C</w:t>
      </w:r>
      <w:r w:rsidRPr="00583E1A">
        <w:tab/>
        <w:t>Special rules applicable while an entity is a foreign hybrid</w:t>
      </w:r>
    </w:p>
    <w:p w:rsidR="00887330" w:rsidRPr="00583E1A" w:rsidRDefault="00887330" w:rsidP="00887330">
      <w:pPr>
        <w:pStyle w:val="TofSectsSubdiv"/>
      </w:pPr>
      <w:r w:rsidRPr="00583E1A">
        <w:t>830</w:t>
      </w:r>
      <w:r w:rsidR="00583E1A">
        <w:noBreakHyphen/>
      </w:r>
      <w:r w:rsidRPr="00583E1A">
        <w:t>D</w:t>
      </w:r>
      <w:r w:rsidRPr="00583E1A">
        <w:tab/>
        <w:t>Special rules applicable when an entity becomes or ceases to be a foreign hybrid</w:t>
      </w:r>
    </w:p>
    <w:p w:rsidR="00887330" w:rsidRPr="00583E1A" w:rsidRDefault="00887330" w:rsidP="00887330">
      <w:pPr>
        <w:pStyle w:val="ActHead4"/>
      </w:pPr>
      <w:bookmarkStart w:id="340" w:name="_Toc338939414"/>
      <w:r w:rsidRPr="00583E1A">
        <w:t>Guide to Division</w:t>
      </w:r>
      <w:r w:rsidR="00583E1A">
        <w:t> </w:t>
      </w:r>
      <w:r w:rsidRPr="00583E1A">
        <w:t>830</w:t>
      </w:r>
      <w:bookmarkEnd w:id="340"/>
    </w:p>
    <w:p w:rsidR="00887330" w:rsidRPr="00583E1A" w:rsidRDefault="00887330" w:rsidP="00887330">
      <w:pPr>
        <w:pStyle w:val="ActHead5"/>
      </w:pPr>
      <w:bookmarkStart w:id="341" w:name="_Toc338939415"/>
      <w:r w:rsidRPr="00583E1A">
        <w:rPr>
          <w:rStyle w:val="CharSectno"/>
        </w:rPr>
        <w:t>830</w:t>
      </w:r>
      <w:r w:rsidR="00583E1A">
        <w:rPr>
          <w:rStyle w:val="CharSectno"/>
        </w:rPr>
        <w:noBreakHyphen/>
      </w:r>
      <w:r w:rsidRPr="00583E1A">
        <w:rPr>
          <w:rStyle w:val="CharSectno"/>
        </w:rPr>
        <w:t>1</w:t>
      </w:r>
      <w:r w:rsidRPr="00583E1A">
        <w:t xml:space="preserve">  What this Division is about</w:t>
      </w:r>
      <w:bookmarkEnd w:id="341"/>
    </w:p>
    <w:p w:rsidR="00887330" w:rsidRPr="00583E1A" w:rsidRDefault="00887330" w:rsidP="00887330">
      <w:pPr>
        <w:pStyle w:val="BoxText"/>
      </w:pPr>
      <w:r w:rsidRPr="00583E1A">
        <w:t>This Division:</w:t>
      </w:r>
    </w:p>
    <w:p w:rsidR="00887330" w:rsidRPr="00583E1A" w:rsidRDefault="00887330" w:rsidP="00887330">
      <w:pPr>
        <w:pStyle w:val="BoxPara"/>
      </w:pPr>
      <w:r w:rsidRPr="00583E1A">
        <w:tab/>
        <w:t>(a)</w:t>
      </w:r>
      <w:r w:rsidRPr="00583E1A">
        <w:tab/>
        <w:t xml:space="preserve">provides for certain entities (called foreign hybrids) that are treated as partnerships for the purposes of </w:t>
      </w:r>
      <w:r w:rsidR="005549E1" w:rsidRPr="00583E1A">
        <w:t>foreign income tax</w:t>
      </w:r>
      <w:r w:rsidRPr="00583E1A">
        <w:t>, but as companies for the purposes of tax within the meaning of this Act, to be treated as partnerships for the purposes of this Act; and</w:t>
      </w:r>
    </w:p>
    <w:p w:rsidR="00887330" w:rsidRPr="00583E1A" w:rsidRDefault="00887330" w:rsidP="00887330">
      <w:pPr>
        <w:pStyle w:val="BoxPara"/>
      </w:pPr>
      <w:r w:rsidRPr="00583E1A">
        <w:tab/>
        <w:t>(b)</w:t>
      </w:r>
      <w:r w:rsidRPr="00583E1A">
        <w:tab/>
        <w:t>applies special rules to the entities in addition to those that normally apply to partnerships.</w:t>
      </w:r>
    </w:p>
    <w:p w:rsidR="00887330" w:rsidRPr="00583E1A" w:rsidRDefault="00887330" w:rsidP="00887330">
      <w:pPr>
        <w:pStyle w:val="ActHead4"/>
      </w:pPr>
      <w:bookmarkStart w:id="342" w:name="_Toc338939416"/>
      <w:r w:rsidRPr="00583E1A">
        <w:rPr>
          <w:rStyle w:val="CharSubdNo"/>
        </w:rPr>
        <w:t>Subdivision</w:t>
      </w:r>
      <w:r w:rsidR="00583E1A">
        <w:rPr>
          <w:rStyle w:val="CharSubdNo"/>
        </w:rPr>
        <w:t> </w:t>
      </w:r>
      <w:r w:rsidRPr="00583E1A">
        <w:rPr>
          <w:rStyle w:val="CharSubdNo"/>
        </w:rPr>
        <w:t>830</w:t>
      </w:r>
      <w:r w:rsidR="00583E1A">
        <w:rPr>
          <w:rStyle w:val="CharSubdNo"/>
        </w:rPr>
        <w:noBreakHyphen/>
      </w:r>
      <w:r w:rsidRPr="00583E1A">
        <w:rPr>
          <w:rStyle w:val="CharSubdNo"/>
        </w:rPr>
        <w:t>A</w:t>
      </w:r>
      <w:r w:rsidRPr="00583E1A">
        <w:t>—</w:t>
      </w:r>
      <w:r w:rsidRPr="00583E1A">
        <w:rPr>
          <w:rStyle w:val="CharSubdText"/>
        </w:rPr>
        <w:t>Meaning of “foreign hybrid”</w:t>
      </w:r>
      <w:bookmarkEnd w:id="342"/>
    </w:p>
    <w:p w:rsidR="00887330" w:rsidRPr="00583E1A" w:rsidRDefault="00887330" w:rsidP="00887330">
      <w:pPr>
        <w:pStyle w:val="TofSectsHeading"/>
      </w:pPr>
      <w:r w:rsidRPr="00583E1A">
        <w:t>Table of sections</w:t>
      </w:r>
    </w:p>
    <w:p w:rsidR="00887330" w:rsidRPr="00583E1A" w:rsidRDefault="00887330" w:rsidP="00887330">
      <w:pPr>
        <w:pStyle w:val="TofSectsSection"/>
      </w:pPr>
      <w:r w:rsidRPr="00583E1A">
        <w:t>830</w:t>
      </w:r>
      <w:r w:rsidR="00583E1A">
        <w:noBreakHyphen/>
      </w:r>
      <w:r w:rsidRPr="00583E1A">
        <w:t>5</w:t>
      </w:r>
      <w:r w:rsidRPr="00583E1A">
        <w:tab/>
        <w:t>Foreign hybrid</w:t>
      </w:r>
    </w:p>
    <w:p w:rsidR="00887330" w:rsidRPr="00583E1A" w:rsidRDefault="00887330" w:rsidP="00887330">
      <w:pPr>
        <w:pStyle w:val="TofSectsSection"/>
      </w:pPr>
      <w:r w:rsidRPr="00583E1A">
        <w:t>830</w:t>
      </w:r>
      <w:r w:rsidR="00583E1A">
        <w:noBreakHyphen/>
      </w:r>
      <w:r w:rsidRPr="00583E1A">
        <w:t>10</w:t>
      </w:r>
      <w:r w:rsidRPr="00583E1A">
        <w:tab/>
        <w:t>Foreign hybrid limited partnership</w:t>
      </w:r>
    </w:p>
    <w:p w:rsidR="00887330" w:rsidRPr="00583E1A" w:rsidRDefault="00887330" w:rsidP="00887330">
      <w:pPr>
        <w:pStyle w:val="TofSectsSection"/>
      </w:pPr>
      <w:r w:rsidRPr="00583E1A">
        <w:t>830</w:t>
      </w:r>
      <w:r w:rsidR="00583E1A">
        <w:noBreakHyphen/>
      </w:r>
      <w:r w:rsidRPr="00583E1A">
        <w:t>15</w:t>
      </w:r>
      <w:r w:rsidRPr="00583E1A">
        <w:tab/>
        <w:t>Foreign hybrid company</w:t>
      </w:r>
    </w:p>
    <w:p w:rsidR="00887330" w:rsidRPr="00583E1A" w:rsidRDefault="00887330" w:rsidP="00887330">
      <w:pPr>
        <w:pStyle w:val="ActHead5"/>
      </w:pPr>
      <w:bookmarkStart w:id="343" w:name="_Toc338939417"/>
      <w:r w:rsidRPr="00583E1A">
        <w:rPr>
          <w:rStyle w:val="CharSectno"/>
        </w:rPr>
        <w:t>830</w:t>
      </w:r>
      <w:r w:rsidR="00583E1A">
        <w:rPr>
          <w:rStyle w:val="CharSectno"/>
        </w:rPr>
        <w:noBreakHyphen/>
      </w:r>
      <w:r w:rsidRPr="00583E1A">
        <w:rPr>
          <w:rStyle w:val="CharSectno"/>
        </w:rPr>
        <w:t>5</w:t>
      </w:r>
      <w:r w:rsidRPr="00583E1A">
        <w:t xml:space="preserve">  Foreign hybrid</w:t>
      </w:r>
      <w:bookmarkEnd w:id="343"/>
    </w:p>
    <w:p w:rsidR="00887330" w:rsidRPr="00583E1A" w:rsidRDefault="00887330" w:rsidP="00887330">
      <w:pPr>
        <w:pStyle w:val="subsection"/>
      </w:pPr>
      <w:r w:rsidRPr="00583E1A">
        <w:tab/>
      </w:r>
      <w:r w:rsidRPr="00583E1A">
        <w:tab/>
        <w:t xml:space="preserve">The expression </w:t>
      </w:r>
      <w:r w:rsidRPr="00583E1A">
        <w:rPr>
          <w:b/>
          <w:i/>
        </w:rPr>
        <w:t>foreign hybrid</w:t>
      </w:r>
      <w:r w:rsidRPr="00583E1A">
        <w:t xml:space="preserve"> means:</w:t>
      </w:r>
    </w:p>
    <w:p w:rsidR="00887330" w:rsidRPr="00583E1A" w:rsidRDefault="00887330" w:rsidP="00887330">
      <w:pPr>
        <w:pStyle w:val="paragraph"/>
      </w:pPr>
      <w:r w:rsidRPr="00583E1A">
        <w:lastRenderedPageBreak/>
        <w:tab/>
        <w:t>(a)</w:t>
      </w:r>
      <w:r w:rsidRPr="00583E1A">
        <w:tab/>
        <w:t xml:space="preserve">a </w:t>
      </w:r>
      <w:r w:rsidR="00583E1A" w:rsidRPr="00583E1A">
        <w:rPr>
          <w:position w:val="6"/>
          <w:sz w:val="16"/>
        </w:rPr>
        <w:t>*</w:t>
      </w:r>
      <w:r w:rsidRPr="00583E1A">
        <w:t>foreign hybrid limited partnership; or</w:t>
      </w:r>
    </w:p>
    <w:p w:rsidR="00887330" w:rsidRPr="00583E1A" w:rsidRDefault="00887330" w:rsidP="00887330">
      <w:pPr>
        <w:pStyle w:val="paragraph"/>
      </w:pPr>
      <w:r w:rsidRPr="00583E1A">
        <w:tab/>
        <w:t>(b)</w:t>
      </w:r>
      <w:r w:rsidRPr="00583E1A">
        <w:tab/>
        <w:t xml:space="preserve">a </w:t>
      </w:r>
      <w:r w:rsidR="00583E1A" w:rsidRPr="00583E1A">
        <w:rPr>
          <w:position w:val="6"/>
          <w:sz w:val="16"/>
        </w:rPr>
        <w:t>*</w:t>
      </w:r>
      <w:r w:rsidRPr="00583E1A">
        <w:t>foreign hybrid company.</w:t>
      </w:r>
    </w:p>
    <w:p w:rsidR="00887330" w:rsidRPr="00583E1A" w:rsidRDefault="00887330" w:rsidP="00887330">
      <w:pPr>
        <w:pStyle w:val="ActHead5"/>
      </w:pPr>
      <w:bookmarkStart w:id="344" w:name="_Toc338939418"/>
      <w:r w:rsidRPr="00583E1A">
        <w:rPr>
          <w:rStyle w:val="CharSectno"/>
        </w:rPr>
        <w:t>830</w:t>
      </w:r>
      <w:r w:rsidR="00583E1A">
        <w:rPr>
          <w:rStyle w:val="CharSectno"/>
        </w:rPr>
        <w:noBreakHyphen/>
      </w:r>
      <w:r w:rsidRPr="00583E1A">
        <w:rPr>
          <w:rStyle w:val="CharSectno"/>
        </w:rPr>
        <w:t>10</w:t>
      </w:r>
      <w:r w:rsidRPr="00583E1A">
        <w:t xml:space="preserve">  Foreign hybrid limited partnership</w:t>
      </w:r>
      <w:bookmarkEnd w:id="344"/>
    </w:p>
    <w:p w:rsidR="00887330" w:rsidRPr="00583E1A" w:rsidRDefault="00887330" w:rsidP="00887330">
      <w:pPr>
        <w:pStyle w:val="subsection"/>
      </w:pPr>
      <w:r w:rsidRPr="00583E1A">
        <w:tab/>
        <w:t>(1)</w:t>
      </w:r>
      <w:r w:rsidRPr="00583E1A">
        <w:tab/>
      </w:r>
      <w:r w:rsidR="00FA1CEB" w:rsidRPr="008706AC">
        <w:t xml:space="preserve">Subject to subsection (2), a </w:t>
      </w:r>
      <w:r w:rsidR="00FA1CEB" w:rsidRPr="008706AC">
        <w:rPr>
          <w:position w:val="6"/>
          <w:sz w:val="16"/>
        </w:rPr>
        <w:t>*</w:t>
      </w:r>
      <w:r w:rsidR="00FA1CEB" w:rsidRPr="008706AC">
        <w:t>limited</w:t>
      </w:r>
      <w:r w:rsidRPr="00583E1A">
        <w:t xml:space="preserve"> partnership is a </w:t>
      </w:r>
      <w:r w:rsidRPr="00583E1A">
        <w:rPr>
          <w:b/>
          <w:i/>
        </w:rPr>
        <w:t>foreign hybrid limited partnership</w:t>
      </w:r>
      <w:r w:rsidRPr="00583E1A">
        <w:t xml:space="preserve"> in relation to an income year</w:t>
      </w:r>
      <w:r w:rsidRPr="00583E1A">
        <w:rPr>
          <w:b/>
          <w:i/>
        </w:rPr>
        <w:t xml:space="preserve"> </w:t>
      </w:r>
      <w:r w:rsidRPr="00583E1A">
        <w:t>if:</w:t>
      </w:r>
    </w:p>
    <w:p w:rsidR="00887330" w:rsidRPr="00583E1A" w:rsidRDefault="00887330" w:rsidP="00887330">
      <w:pPr>
        <w:pStyle w:val="paragraph"/>
      </w:pPr>
      <w:r w:rsidRPr="00583E1A">
        <w:tab/>
        <w:t>(a)</w:t>
      </w:r>
      <w:r w:rsidRPr="00583E1A">
        <w:tab/>
        <w:t>it was formed in a foreign country; and</w:t>
      </w:r>
    </w:p>
    <w:p w:rsidR="00887330" w:rsidRPr="00583E1A" w:rsidRDefault="00887330" w:rsidP="00887330">
      <w:pPr>
        <w:pStyle w:val="paragraph"/>
      </w:pPr>
      <w:r w:rsidRPr="00583E1A">
        <w:tab/>
        <w:t>(b)</w:t>
      </w:r>
      <w:r w:rsidRPr="00583E1A">
        <w:tab/>
      </w:r>
      <w:r w:rsidR="00583E1A" w:rsidRPr="00583E1A">
        <w:rPr>
          <w:position w:val="6"/>
          <w:sz w:val="16"/>
        </w:rPr>
        <w:t>*</w:t>
      </w:r>
      <w:r w:rsidR="0030457E" w:rsidRPr="00583E1A">
        <w:t xml:space="preserve">foreign income tax (except </w:t>
      </w:r>
      <w:r w:rsidR="00583E1A" w:rsidRPr="00583E1A">
        <w:rPr>
          <w:position w:val="6"/>
          <w:sz w:val="16"/>
        </w:rPr>
        <w:t>*</w:t>
      </w:r>
      <w:r w:rsidR="0030457E" w:rsidRPr="00583E1A">
        <w:t xml:space="preserve">credit absorption tax or </w:t>
      </w:r>
      <w:r w:rsidR="00583E1A" w:rsidRPr="00583E1A">
        <w:rPr>
          <w:position w:val="6"/>
          <w:sz w:val="16"/>
        </w:rPr>
        <w:t>*</w:t>
      </w:r>
      <w:r w:rsidR="0030457E" w:rsidRPr="00583E1A">
        <w:t>unitary tax)</w:t>
      </w:r>
      <w:r w:rsidRPr="00583E1A">
        <w:t xml:space="preserve"> is imposed under the law of the foreign country on the partners, not the limited partnership, in respect of the income or profits of the partnership for the income year; and</w:t>
      </w:r>
    </w:p>
    <w:p w:rsidR="00887330" w:rsidRPr="00583E1A" w:rsidRDefault="00887330" w:rsidP="00887330">
      <w:pPr>
        <w:pStyle w:val="paragraph"/>
      </w:pPr>
      <w:r w:rsidRPr="00583E1A">
        <w:tab/>
        <w:t>(c)</w:t>
      </w:r>
      <w:r w:rsidRPr="00583E1A">
        <w:tab/>
        <w:t xml:space="preserve">at no time during the income year is the limited partnership, for the purposes of a law of any foreign country that imposes </w:t>
      </w:r>
      <w:r w:rsidR="00141262" w:rsidRPr="00583E1A">
        <w:t>foreign income tax (except credit absorption tax or unitary tax)</w:t>
      </w:r>
      <w:r w:rsidRPr="00583E1A">
        <w:t xml:space="preserve"> on entities because they are residents of the foreign country, a resident of that country; and</w:t>
      </w:r>
    </w:p>
    <w:p w:rsidR="00887330" w:rsidRPr="00583E1A" w:rsidRDefault="00887330" w:rsidP="00887330">
      <w:pPr>
        <w:pStyle w:val="paragraph"/>
      </w:pPr>
      <w:r w:rsidRPr="00583E1A">
        <w:tab/>
        <w:t>(d)</w:t>
      </w:r>
      <w:r w:rsidRPr="00583E1A">
        <w:tab/>
        <w:t xml:space="preserve">disregarding subsection 94D(5) of the </w:t>
      </w:r>
      <w:r w:rsidRPr="00583E1A">
        <w:rPr>
          <w:i/>
        </w:rPr>
        <w:t>Income Tax Assessment Act 1936</w:t>
      </w:r>
      <w:r w:rsidRPr="00583E1A">
        <w:t>, at no time during the income year is it an Australian resident; and</w:t>
      </w:r>
    </w:p>
    <w:p w:rsidR="00887330" w:rsidRPr="00583E1A" w:rsidRDefault="00887330" w:rsidP="00887330">
      <w:pPr>
        <w:pStyle w:val="paragraph"/>
      </w:pPr>
      <w:r w:rsidRPr="00583E1A">
        <w:tab/>
        <w:t>(e)</w:t>
      </w:r>
      <w:r w:rsidRPr="00583E1A">
        <w:tab/>
        <w:t>disregarding that subsection, in relation to the same income year of another taxpayer:</w:t>
      </w:r>
    </w:p>
    <w:p w:rsidR="00887330" w:rsidRPr="00583E1A" w:rsidRDefault="00887330" w:rsidP="00887330">
      <w:pPr>
        <w:pStyle w:val="paragraphsub"/>
      </w:pPr>
      <w:r w:rsidRPr="00583E1A">
        <w:tab/>
        <w:t>(i)</w:t>
      </w:r>
      <w:r w:rsidRPr="00583E1A">
        <w:tab/>
        <w:t xml:space="preserve">the limited partnership is a </w:t>
      </w:r>
      <w:r w:rsidR="00583E1A" w:rsidRPr="00583E1A">
        <w:rPr>
          <w:position w:val="6"/>
          <w:sz w:val="16"/>
        </w:rPr>
        <w:t>*</w:t>
      </w:r>
      <w:r w:rsidRPr="00583E1A">
        <w:t xml:space="preserve">CFC at the end of a </w:t>
      </w:r>
      <w:r w:rsidR="00583E1A" w:rsidRPr="00583E1A">
        <w:rPr>
          <w:position w:val="6"/>
          <w:sz w:val="16"/>
        </w:rPr>
        <w:t>*</w:t>
      </w:r>
      <w:r w:rsidRPr="00583E1A">
        <w:t>statutory accounting period that ends in the income year; and</w:t>
      </w:r>
    </w:p>
    <w:p w:rsidR="00887330" w:rsidRPr="00583E1A" w:rsidRDefault="00887330" w:rsidP="00887330">
      <w:pPr>
        <w:pStyle w:val="paragraphsub"/>
      </w:pPr>
      <w:r w:rsidRPr="00583E1A">
        <w:tab/>
        <w:t>(ii)</w:t>
      </w:r>
      <w:r w:rsidRPr="00583E1A">
        <w:tab/>
        <w:t xml:space="preserve">at the end of the statutory accounting period, the taxpayer is an </w:t>
      </w:r>
      <w:r w:rsidR="00583E1A" w:rsidRPr="00583E1A">
        <w:rPr>
          <w:position w:val="6"/>
          <w:sz w:val="16"/>
        </w:rPr>
        <w:t>*</w:t>
      </w:r>
      <w:r w:rsidRPr="00583E1A">
        <w:t xml:space="preserve">attributable taxpayer in relation to the CFC with an </w:t>
      </w:r>
      <w:r w:rsidR="00583E1A" w:rsidRPr="00583E1A">
        <w:rPr>
          <w:position w:val="6"/>
          <w:sz w:val="16"/>
        </w:rPr>
        <w:t>*</w:t>
      </w:r>
      <w:r w:rsidRPr="00583E1A">
        <w:t>attribution percentage greater than nil.</w:t>
      </w:r>
    </w:p>
    <w:p w:rsidR="00B35817" w:rsidRPr="008706AC" w:rsidRDefault="00B35817" w:rsidP="00B35817">
      <w:pPr>
        <w:pStyle w:val="subsection"/>
      </w:pPr>
      <w:r w:rsidRPr="008706AC">
        <w:tab/>
        <w:t>(2)</w:t>
      </w:r>
      <w:r w:rsidRPr="008706AC">
        <w:tab/>
        <w:t xml:space="preserve">If a partner is not an </w:t>
      </w:r>
      <w:r w:rsidRPr="008706AC">
        <w:rPr>
          <w:position w:val="6"/>
          <w:sz w:val="16"/>
        </w:rPr>
        <w:t>*</w:t>
      </w:r>
      <w:r w:rsidRPr="008706AC">
        <w:t xml:space="preserve">attributable taxpayer in relation to a </w:t>
      </w:r>
      <w:r w:rsidRPr="008706AC">
        <w:rPr>
          <w:position w:val="6"/>
          <w:sz w:val="16"/>
        </w:rPr>
        <w:t>*</w:t>
      </w:r>
      <w:r w:rsidRPr="008706AC">
        <w:t xml:space="preserve">limited partnership, then, for the purposes of applying the </w:t>
      </w:r>
      <w:r w:rsidRPr="008706AC">
        <w:rPr>
          <w:i/>
        </w:rPr>
        <w:t>Income Tax Assessment Act 1936</w:t>
      </w:r>
      <w:r w:rsidRPr="008706AC">
        <w:t xml:space="preserve"> and this Act in relation to the partner’s interest in the limited partnership, the limited partnership is a </w:t>
      </w:r>
      <w:r w:rsidRPr="008706AC">
        <w:rPr>
          <w:b/>
          <w:i/>
        </w:rPr>
        <w:t>foreign hybrid limited partnership</w:t>
      </w:r>
      <w:r w:rsidRPr="008706AC">
        <w:t xml:space="preserve"> in relation to an income year for the partner if, and only if, the partner:</w:t>
      </w:r>
    </w:p>
    <w:p w:rsidR="00B35817" w:rsidRPr="008706AC" w:rsidRDefault="00B35817" w:rsidP="00B35817">
      <w:pPr>
        <w:pStyle w:val="paragraph"/>
      </w:pPr>
      <w:r w:rsidRPr="008706AC">
        <w:tab/>
        <w:t>(a)</w:t>
      </w:r>
      <w:r w:rsidRPr="008706AC">
        <w:tab/>
        <w:t xml:space="preserve">has made an election under former subsection 485AA(1) of the </w:t>
      </w:r>
      <w:r w:rsidRPr="008706AC">
        <w:rPr>
          <w:i/>
        </w:rPr>
        <w:t>Income Tax Assessment Act 1936</w:t>
      </w:r>
      <w:r w:rsidRPr="008706AC">
        <w:t>; or</w:t>
      </w:r>
    </w:p>
    <w:p w:rsidR="00B35817" w:rsidRPr="008706AC" w:rsidRDefault="00B35817" w:rsidP="00B35817">
      <w:pPr>
        <w:pStyle w:val="paragraph"/>
      </w:pPr>
      <w:r w:rsidRPr="008706AC">
        <w:tab/>
        <w:t>(b)</w:t>
      </w:r>
      <w:r w:rsidRPr="008706AC">
        <w:tab/>
        <w:t>makes an election under this paragraph;</w:t>
      </w:r>
    </w:p>
    <w:p w:rsidR="00B35817" w:rsidRPr="008706AC" w:rsidRDefault="00B35817" w:rsidP="00B35817">
      <w:pPr>
        <w:pStyle w:val="subsection2"/>
      </w:pPr>
      <w:r w:rsidRPr="008706AC">
        <w:lastRenderedPageBreak/>
        <w:t>in relation to the partner’s interest in the partnership.</w:t>
      </w:r>
    </w:p>
    <w:p w:rsidR="00B35817" w:rsidRPr="008706AC" w:rsidRDefault="00B35817" w:rsidP="00B35817">
      <w:pPr>
        <w:pStyle w:val="subsection"/>
      </w:pPr>
      <w:r w:rsidRPr="008706AC">
        <w:tab/>
        <w:t>(3)</w:t>
      </w:r>
      <w:r w:rsidRPr="008706AC">
        <w:tab/>
        <w:t xml:space="preserve">For the purposes of subsection (2), the limited partnership is a </w:t>
      </w:r>
      <w:r w:rsidRPr="008706AC">
        <w:rPr>
          <w:b/>
          <w:i/>
        </w:rPr>
        <w:t>foreign hybrid limited partnership</w:t>
      </w:r>
      <w:r w:rsidRPr="008706AC">
        <w:t xml:space="preserve"> in relation to any income year during which an election referred to in paragraph (2)(a) or (2)(b) is in force.</w:t>
      </w:r>
    </w:p>
    <w:p w:rsidR="00B35817" w:rsidRPr="008706AC" w:rsidRDefault="00B35817" w:rsidP="00B35817">
      <w:pPr>
        <w:pStyle w:val="subsection"/>
      </w:pPr>
      <w:r w:rsidRPr="008706AC">
        <w:tab/>
        <w:t>(4)</w:t>
      </w:r>
      <w:r w:rsidRPr="008706AC">
        <w:tab/>
        <w:t>An election can only be made under paragraph (2)(b) if:</w:t>
      </w:r>
    </w:p>
    <w:p w:rsidR="00B35817" w:rsidRPr="008706AC" w:rsidRDefault="00B35817" w:rsidP="00B35817">
      <w:pPr>
        <w:pStyle w:val="paragraph"/>
      </w:pPr>
      <w:r w:rsidRPr="008706AC">
        <w:tab/>
        <w:t>(a)</w:t>
      </w:r>
      <w:r w:rsidRPr="008706AC">
        <w:tab/>
        <w:t xml:space="preserve">disregarding subsection 94D(6) of the </w:t>
      </w:r>
      <w:r w:rsidRPr="008706AC">
        <w:rPr>
          <w:i/>
        </w:rPr>
        <w:t>Income Tax Assessment Act 1936</w:t>
      </w:r>
      <w:r w:rsidRPr="008706AC">
        <w:t>:</w:t>
      </w:r>
    </w:p>
    <w:p w:rsidR="00B35817" w:rsidRPr="008706AC" w:rsidRDefault="00B35817" w:rsidP="00B35817">
      <w:pPr>
        <w:pStyle w:val="paragraphsub"/>
      </w:pPr>
      <w:r w:rsidRPr="008706AC">
        <w:tab/>
        <w:t>(i)</w:t>
      </w:r>
      <w:r w:rsidRPr="008706AC">
        <w:tab/>
        <w:t xml:space="preserve">at the end of the income year in which the election is made, the partner has an interest in a FIF (within the meaning of former Part XI of that Act) that is a </w:t>
      </w:r>
      <w:r w:rsidRPr="008706AC">
        <w:rPr>
          <w:position w:val="6"/>
          <w:sz w:val="16"/>
        </w:rPr>
        <w:t>*</w:t>
      </w:r>
      <w:r w:rsidRPr="008706AC">
        <w:t>corporate limited partnership; and</w:t>
      </w:r>
    </w:p>
    <w:p w:rsidR="00B35817" w:rsidRPr="008706AC" w:rsidRDefault="00B35817" w:rsidP="00B35817">
      <w:pPr>
        <w:pStyle w:val="paragraphsub"/>
      </w:pPr>
      <w:r w:rsidRPr="008706AC">
        <w:tab/>
        <w:t>(ii)</w:t>
      </w:r>
      <w:r w:rsidRPr="008706AC">
        <w:tab/>
        <w:t xml:space="preserve">the interest consists of a </w:t>
      </w:r>
      <w:r w:rsidRPr="008706AC">
        <w:rPr>
          <w:position w:val="6"/>
          <w:sz w:val="16"/>
        </w:rPr>
        <w:t>*</w:t>
      </w:r>
      <w:r w:rsidRPr="008706AC">
        <w:t>share in the FIF; and</w:t>
      </w:r>
    </w:p>
    <w:p w:rsidR="00B35817" w:rsidRPr="008706AC" w:rsidRDefault="00B35817" w:rsidP="00B35817">
      <w:pPr>
        <w:pStyle w:val="paragraph"/>
      </w:pPr>
      <w:r w:rsidRPr="008706AC">
        <w:tab/>
        <w:t>(b)</w:t>
      </w:r>
      <w:r w:rsidRPr="008706AC">
        <w:tab/>
        <w:t>the limited partnership satisfies paragraphs (1)(a) to (d) in relation to the income year in which the election is made.</w:t>
      </w:r>
    </w:p>
    <w:p w:rsidR="00B35817" w:rsidRPr="008706AC" w:rsidRDefault="00B35817" w:rsidP="00B35817">
      <w:pPr>
        <w:pStyle w:val="subsection"/>
      </w:pPr>
      <w:r w:rsidRPr="008706AC">
        <w:tab/>
        <w:t>(5)</w:t>
      </w:r>
      <w:r w:rsidRPr="008706AC">
        <w:tab/>
        <w:t>An election under paragraph (2)(b) must be made:</w:t>
      </w:r>
    </w:p>
    <w:p w:rsidR="00B35817" w:rsidRPr="008706AC" w:rsidRDefault="00B35817" w:rsidP="00B35817">
      <w:pPr>
        <w:pStyle w:val="paragraph"/>
      </w:pPr>
      <w:r w:rsidRPr="008706AC">
        <w:tab/>
        <w:t>(a)</w:t>
      </w:r>
      <w:r w:rsidRPr="008706AC">
        <w:tab/>
        <w:t>on or before the day on which the partner lodges the partner’s income tax return for the income year; or</w:t>
      </w:r>
    </w:p>
    <w:p w:rsidR="00B35817" w:rsidRPr="008706AC" w:rsidRDefault="00B35817" w:rsidP="00B35817">
      <w:pPr>
        <w:pStyle w:val="paragraph"/>
      </w:pPr>
      <w:r w:rsidRPr="008706AC">
        <w:tab/>
        <w:t>(b)</w:t>
      </w:r>
      <w:r w:rsidRPr="008706AC">
        <w:tab/>
        <w:t>within a further time allowed by the Commissioner.</w:t>
      </w:r>
    </w:p>
    <w:p w:rsidR="00B35817" w:rsidRPr="008706AC" w:rsidRDefault="00B35817" w:rsidP="00B35817">
      <w:pPr>
        <w:pStyle w:val="subsection"/>
      </w:pPr>
      <w:r w:rsidRPr="008706AC">
        <w:tab/>
        <w:t>(6)</w:t>
      </w:r>
      <w:r w:rsidRPr="008706AC">
        <w:tab/>
        <w:t>The election:</w:t>
      </w:r>
    </w:p>
    <w:p w:rsidR="00B35817" w:rsidRPr="008706AC" w:rsidRDefault="00B35817" w:rsidP="00B35817">
      <w:pPr>
        <w:pStyle w:val="paragraph"/>
      </w:pPr>
      <w:r w:rsidRPr="008706AC">
        <w:tab/>
        <w:t>(a)</w:t>
      </w:r>
      <w:r w:rsidRPr="008706AC">
        <w:tab/>
        <w:t>is in force during the income year and all later income years; and</w:t>
      </w:r>
    </w:p>
    <w:p w:rsidR="00B35817" w:rsidRPr="008706AC" w:rsidRDefault="00B35817" w:rsidP="00B35817">
      <w:pPr>
        <w:pStyle w:val="paragraph"/>
      </w:pPr>
      <w:r w:rsidRPr="008706AC">
        <w:tab/>
        <w:t>(b)</w:t>
      </w:r>
      <w:r w:rsidRPr="008706AC">
        <w:tab/>
        <w:t>is irrevocable.</w:t>
      </w:r>
    </w:p>
    <w:p w:rsidR="00887330" w:rsidRPr="00583E1A" w:rsidRDefault="00887330" w:rsidP="00887330">
      <w:pPr>
        <w:pStyle w:val="ActHead5"/>
      </w:pPr>
      <w:bookmarkStart w:id="345" w:name="_Toc338939419"/>
      <w:r w:rsidRPr="00583E1A">
        <w:rPr>
          <w:rStyle w:val="CharSectno"/>
        </w:rPr>
        <w:t>830</w:t>
      </w:r>
      <w:r w:rsidR="00583E1A">
        <w:rPr>
          <w:rStyle w:val="CharSectno"/>
        </w:rPr>
        <w:noBreakHyphen/>
      </w:r>
      <w:r w:rsidRPr="00583E1A">
        <w:rPr>
          <w:rStyle w:val="CharSectno"/>
        </w:rPr>
        <w:t>15</w:t>
      </w:r>
      <w:r w:rsidRPr="00583E1A">
        <w:t xml:space="preserve">  Foreign hybrid company</w:t>
      </w:r>
      <w:bookmarkEnd w:id="345"/>
    </w:p>
    <w:p w:rsidR="00887330" w:rsidRPr="00583E1A" w:rsidRDefault="00887330" w:rsidP="00887330">
      <w:pPr>
        <w:pStyle w:val="subsection"/>
      </w:pPr>
      <w:r w:rsidRPr="00583E1A">
        <w:tab/>
        <w:t>(1)</w:t>
      </w:r>
      <w:r w:rsidRPr="00583E1A">
        <w:tab/>
      </w:r>
      <w:r w:rsidR="00B35817" w:rsidRPr="008706AC">
        <w:t>Subject to subsection (5), a company</w:t>
      </w:r>
      <w:r w:rsidRPr="00583E1A">
        <w:t xml:space="preserve"> is a </w:t>
      </w:r>
      <w:r w:rsidRPr="00583E1A">
        <w:rPr>
          <w:b/>
          <w:i/>
        </w:rPr>
        <w:t>foreign hybrid company</w:t>
      </w:r>
      <w:r w:rsidRPr="00583E1A">
        <w:t xml:space="preserve"> in relation to an income year if:</w:t>
      </w:r>
    </w:p>
    <w:p w:rsidR="00887330" w:rsidRPr="00583E1A" w:rsidRDefault="00887330" w:rsidP="00887330">
      <w:pPr>
        <w:pStyle w:val="paragraph"/>
      </w:pPr>
      <w:r w:rsidRPr="00583E1A">
        <w:tab/>
        <w:t>(a)</w:t>
      </w:r>
      <w:r w:rsidRPr="00583E1A">
        <w:tab/>
        <w:t xml:space="preserve">at all times during the income year when the company is in existence, the partnership treatment requirements for the income year in </w:t>
      </w:r>
      <w:r w:rsidR="00583E1A">
        <w:t>subsection (</w:t>
      </w:r>
      <w:r w:rsidRPr="00583E1A">
        <w:t>2) or (3) are satisfied; and</w:t>
      </w:r>
    </w:p>
    <w:p w:rsidR="00887330" w:rsidRPr="00583E1A" w:rsidRDefault="00887330" w:rsidP="00887330">
      <w:pPr>
        <w:pStyle w:val="paragraph"/>
      </w:pPr>
      <w:r w:rsidRPr="00583E1A">
        <w:tab/>
        <w:t>(b)</w:t>
      </w:r>
      <w:r w:rsidRPr="00583E1A">
        <w:tab/>
        <w:t xml:space="preserve">at no time during the income year is the company, for the purposes of a law of any foreign country that imposes </w:t>
      </w:r>
      <w:r w:rsidR="00583E1A" w:rsidRPr="00583E1A">
        <w:rPr>
          <w:position w:val="6"/>
          <w:sz w:val="16"/>
        </w:rPr>
        <w:t>*</w:t>
      </w:r>
      <w:r w:rsidR="00767C9D" w:rsidRPr="00583E1A">
        <w:t xml:space="preserve">foreign income tax (except </w:t>
      </w:r>
      <w:r w:rsidR="00583E1A" w:rsidRPr="00583E1A">
        <w:rPr>
          <w:position w:val="6"/>
          <w:sz w:val="16"/>
        </w:rPr>
        <w:t>*</w:t>
      </w:r>
      <w:r w:rsidR="00767C9D" w:rsidRPr="00583E1A">
        <w:t xml:space="preserve">credit absorption tax or </w:t>
      </w:r>
      <w:r w:rsidR="00583E1A" w:rsidRPr="00583E1A">
        <w:rPr>
          <w:position w:val="6"/>
          <w:sz w:val="16"/>
        </w:rPr>
        <w:t>*</w:t>
      </w:r>
      <w:r w:rsidR="00767C9D" w:rsidRPr="00583E1A">
        <w:t>unitary tax)</w:t>
      </w:r>
      <w:r w:rsidRPr="00583E1A">
        <w:t xml:space="preserve"> on entities because they are residents of the foreign country, a resident of that country; and</w:t>
      </w:r>
    </w:p>
    <w:p w:rsidR="00887330" w:rsidRPr="00583E1A" w:rsidRDefault="00887330" w:rsidP="00887330">
      <w:pPr>
        <w:pStyle w:val="paragraph"/>
      </w:pPr>
      <w:r w:rsidRPr="00583E1A">
        <w:lastRenderedPageBreak/>
        <w:tab/>
        <w:t>(c)</w:t>
      </w:r>
      <w:r w:rsidRPr="00583E1A">
        <w:tab/>
        <w:t>at no time during the income year is the company an Australian resident; and</w:t>
      </w:r>
    </w:p>
    <w:p w:rsidR="00887330" w:rsidRPr="00583E1A" w:rsidRDefault="00887330" w:rsidP="00887330">
      <w:pPr>
        <w:pStyle w:val="paragraph"/>
      </w:pPr>
      <w:r w:rsidRPr="00583E1A">
        <w:tab/>
        <w:t>(d)</w:t>
      </w:r>
      <w:r w:rsidRPr="00583E1A">
        <w:tab/>
        <w:t>disregarding this Division, in relation to the same income year of another taxpayer:</w:t>
      </w:r>
    </w:p>
    <w:p w:rsidR="00887330" w:rsidRPr="00583E1A" w:rsidRDefault="00887330" w:rsidP="00887330">
      <w:pPr>
        <w:pStyle w:val="paragraphsub"/>
      </w:pPr>
      <w:r w:rsidRPr="00583E1A">
        <w:tab/>
        <w:t>(i)</w:t>
      </w:r>
      <w:r w:rsidRPr="00583E1A">
        <w:tab/>
        <w:t xml:space="preserve">the company is a </w:t>
      </w:r>
      <w:r w:rsidR="00583E1A" w:rsidRPr="00583E1A">
        <w:rPr>
          <w:position w:val="6"/>
          <w:sz w:val="16"/>
        </w:rPr>
        <w:t>*</w:t>
      </w:r>
      <w:r w:rsidRPr="00583E1A">
        <w:t xml:space="preserve">CFC at the end of a </w:t>
      </w:r>
      <w:r w:rsidR="00583E1A" w:rsidRPr="00583E1A">
        <w:rPr>
          <w:position w:val="6"/>
          <w:sz w:val="16"/>
        </w:rPr>
        <w:t>*</w:t>
      </w:r>
      <w:r w:rsidRPr="00583E1A">
        <w:t>statutory accounting period that ends in the income year; and</w:t>
      </w:r>
    </w:p>
    <w:p w:rsidR="00887330" w:rsidRPr="00583E1A" w:rsidRDefault="00887330" w:rsidP="00887330">
      <w:pPr>
        <w:pStyle w:val="paragraphsub"/>
      </w:pPr>
      <w:r w:rsidRPr="00583E1A">
        <w:tab/>
        <w:t>(ii)</w:t>
      </w:r>
      <w:r w:rsidRPr="00583E1A">
        <w:tab/>
        <w:t xml:space="preserve">at the end of the statutory accounting period, the taxpayer is an </w:t>
      </w:r>
      <w:r w:rsidR="00583E1A" w:rsidRPr="00583E1A">
        <w:rPr>
          <w:position w:val="6"/>
          <w:sz w:val="16"/>
        </w:rPr>
        <w:t>*</w:t>
      </w:r>
      <w:r w:rsidRPr="00583E1A">
        <w:t xml:space="preserve">attributable taxpayer in relation to the CFC with an </w:t>
      </w:r>
      <w:r w:rsidR="00583E1A" w:rsidRPr="00583E1A">
        <w:rPr>
          <w:position w:val="6"/>
          <w:sz w:val="16"/>
        </w:rPr>
        <w:t>*</w:t>
      </w:r>
      <w:r w:rsidRPr="00583E1A">
        <w:t>attribution percentage greater than nil.</w:t>
      </w:r>
    </w:p>
    <w:p w:rsidR="00887330" w:rsidRPr="00583E1A" w:rsidRDefault="00887330" w:rsidP="00887330">
      <w:pPr>
        <w:pStyle w:val="SubsectionHead"/>
      </w:pPr>
      <w:r w:rsidRPr="00583E1A">
        <w:t xml:space="preserve">Partnership treatment requirements specific to </w:t>
      </w:r>
      <w:smartTag w:uri="urn:schemas-microsoft-com:office:smarttags" w:element="country-region">
        <w:smartTag w:uri="urn:schemas-microsoft-com:office:smarttags" w:element="place">
          <w:r w:rsidRPr="00583E1A">
            <w:t>USA</w:t>
          </w:r>
        </w:smartTag>
      </w:smartTag>
    </w:p>
    <w:p w:rsidR="00887330" w:rsidRPr="00583E1A" w:rsidRDefault="00887330" w:rsidP="00887330">
      <w:pPr>
        <w:pStyle w:val="subsection"/>
      </w:pPr>
      <w:r w:rsidRPr="00583E1A">
        <w:tab/>
        <w:t>(2)</w:t>
      </w:r>
      <w:r w:rsidRPr="00583E1A">
        <w:tab/>
        <w:t xml:space="preserve">For the purposes of </w:t>
      </w:r>
      <w:r w:rsidR="00583E1A">
        <w:t>paragraph (</w:t>
      </w:r>
      <w:r w:rsidRPr="00583E1A">
        <w:t>1)(a), the partnership treatment requirements are satisfied if:</w:t>
      </w:r>
    </w:p>
    <w:p w:rsidR="00887330" w:rsidRPr="00583E1A" w:rsidRDefault="00887330" w:rsidP="00887330">
      <w:pPr>
        <w:pStyle w:val="paragraph"/>
      </w:pPr>
      <w:r w:rsidRPr="00583E1A">
        <w:tab/>
        <w:t>(a)</w:t>
      </w:r>
      <w:r w:rsidRPr="00583E1A">
        <w:tab/>
        <w:t xml:space="preserve">the company was formed in the </w:t>
      </w:r>
      <w:smartTag w:uri="urn:schemas-microsoft-com:office:smarttags" w:element="country-region">
        <w:smartTag w:uri="urn:schemas-microsoft-com:office:smarttags" w:element="place">
          <w:r w:rsidRPr="00583E1A">
            <w:t>United States of America</w:t>
          </w:r>
        </w:smartTag>
      </w:smartTag>
      <w:r w:rsidRPr="00583E1A">
        <w:t>; and</w:t>
      </w:r>
    </w:p>
    <w:p w:rsidR="00887330" w:rsidRPr="00583E1A" w:rsidRDefault="00887330" w:rsidP="00887330">
      <w:pPr>
        <w:pStyle w:val="paragraph"/>
      </w:pPr>
      <w:r w:rsidRPr="00583E1A">
        <w:tab/>
        <w:t>(b)</w:t>
      </w:r>
      <w:r w:rsidRPr="00583E1A">
        <w:tab/>
        <w:t xml:space="preserve">for the purposes of the law of that country relating to </w:t>
      </w:r>
      <w:r w:rsidR="00583E1A" w:rsidRPr="00583E1A">
        <w:rPr>
          <w:position w:val="6"/>
          <w:sz w:val="16"/>
        </w:rPr>
        <w:t>*</w:t>
      </w:r>
      <w:r w:rsidR="00940822" w:rsidRPr="00583E1A">
        <w:t xml:space="preserve">foreign income tax (except </w:t>
      </w:r>
      <w:r w:rsidR="00583E1A" w:rsidRPr="00583E1A">
        <w:rPr>
          <w:position w:val="6"/>
          <w:sz w:val="16"/>
        </w:rPr>
        <w:t>*</w:t>
      </w:r>
      <w:r w:rsidR="00940822" w:rsidRPr="00583E1A">
        <w:t xml:space="preserve">credit absorption tax or </w:t>
      </w:r>
      <w:r w:rsidR="00583E1A" w:rsidRPr="00583E1A">
        <w:rPr>
          <w:position w:val="6"/>
          <w:sz w:val="16"/>
        </w:rPr>
        <w:t>*</w:t>
      </w:r>
      <w:r w:rsidR="00940822" w:rsidRPr="00583E1A">
        <w:t>unitary tax)</w:t>
      </w:r>
      <w:r w:rsidRPr="00583E1A">
        <w:t xml:space="preserve"> imposed by that country, the company is a limited liability company that:</w:t>
      </w:r>
    </w:p>
    <w:p w:rsidR="00887330" w:rsidRPr="00583E1A" w:rsidRDefault="00887330" w:rsidP="00887330">
      <w:pPr>
        <w:pStyle w:val="paragraphsub"/>
      </w:pPr>
      <w:r w:rsidRPr="00583E1A">
        <w:tab/>
        <w:t>(i)</w:t>
      </w:r>
      <w:r w:rsidRPr="00583E1A">
        <w:tab/>
        <w:t>is treated as a partnership; or</w:t>
      </w:r>
    </w:p>
    <w:p w:rsidR="00887330" w:rsidRPr="00583E1A" w:rsidRDefault="00887330" w:rsidP="00887330">
      <w:pPr>
        <w:pStyle w:val="paragraphsub"/>
      </w:pPr>
      <w:r w:rsidRPr="00583E1A">
        <w:tab/>
        <w:t>(ii)</w:t>
      </w:r>
      <w:r w:rsidRPr="00583E1A">
        <w:tab/>
        <w:t>is an eligible entity that is disregarded as an entity separate from its owner.</w:t>
      </w:r>
    </w:p>
    <w:p w:rsidR="00887330" w:rsidRPr="00583E1A" w:rsidRDefault="00887330" w:rsidP="00887330">
      <w:pPr>
        <w:pStyle w:val="SubsectionHead"/>
      </w:pPr>
      <w:r w:rsidRPr="00583E1A">
        <w:t>Partnership treatment requirements relating to any foreign country</w:t>
      </w:r>
    </w:p>
    <w:p w:rsidR="00887330" w:rsidRPr="00583E1A" w:rsidRDefault="00887330" w:rsidP="00887330">
      <w:pPr>
        <w:pStyle w:val="subsection"/>
      </w:pPr>
      <w:r w:rsidRPr="00583E1A">
        <w:tab/>
        <w:t>(3)</w:t>
      </w:r>
      <w:r w:rsidRPr="00583E1A">
        <w:tab/>
        <w:t xml:space="preserve">For the purposes of </w:t>
      </w:r>
      <w:r w:rsidR="00583E1A">
        <w:t>paragraph (</w:t>
      </w:r>
      <w:r w:rsidRPr="00583E1A">
        <w:t>1)(a), the partnership treatment requirements are also satisfied if:</w:t>
      </w:r>
    </w:p>
    <w:p w:rsidR="00887330" w:rsidRPr="00583E1A" w:rsidRDefault="00887330" w:rsidP="00887330">
      <w:pPr>
        <w:pStyle w:val="paragraph"/>
      </w:pPr>
      <w:r w:rsidRPr="00583E1A">
        <w:tab/>
        <w:t>(a)</w:t>
      </w:r>
      <w:r w:rsidRPr="00583E1A">
        <w:tab/>
        <w:t xml:space="preserve">the company was formed in a foreign country (which may be the </w:t>
      </w:r>
      <w:smartTag w:uri="urn:schemas-microsoft-com:office:smarttags" w:element="country-region">
        <w:smartTag w:uri="urn:schemas-microsoft-com:office:smarttags" w:element="place">
          <w:r w:rsidRPr="00583E1A">
            <w:t>United States of America</w:t>
          </w:r>
        </w:smartTag>
      </w:smartTag>
      <w:r w:rsidRPr="00583E1A">
        <w:t>); and</w:t>
      </w:r>
    </w:p>
    <w:p w:rsidR="00887330" w:rsidRPr="00583E1A" w:rsidRDefault="00887330" w:rsidP="00887330">
      <w:pPr>
        <w:pStyle w:val="paragraph"/>
      </w:pPr>
      <w:r w:rsidRPr="00583E1A">
        <w:tab/>
        <w:t>(b)</w:t>
      </w:r>
      <w:r w:rsidRPr="00583E1A">
        <w:tab/>
        <w:t xml:space="preserve">for the purposes of the law of that country relating to </w:t>
      </w:r>
      <w:r w:rsidR="00583E1A" w:rsidRPr="00583E1A">
        <w:rPr>
          <w:position w:val="6"/>
          <w:sz w:val="16"/>
        </w:rPr>
        <w:t>*</w:t>
      </w:r>
      <w:r w:rsidR="001171B7" w:rsidRPr="00583E1A">
        <w:t xml:space="preserve">foreign income tax (except </w:t>
      </w:r>
      <w:r w:rsidR="00583E1A" w:rsidRPr="00583E1A">
        <w:rPr>
          <w:position w:val="6"/>
          <w:sz w:val="16"/>
        </w:rPr>
        <w:t>*</w:t>
      </w:r>
      <w:r w:rsidR="001171B7" w:rsidRPr="00583E1A">
        <w:t xml:space="preserve">credit absorption tax or </w:t>
      </w:r>
      <w:r w:rsidR="00583E1A" w:rsidRPr="00583E1A">
        <w:rPr>
          <w:position w:val="6"/>
          <w:sz w:val="16"/>
        </w:rPr>
        <w:t>*</w:t>
      </w:r>
      <w:r w:rsidR="001171B7" w:rsidRPr="00583E1A">
        <w:t>unitary tax)</w:t>
      </w:r>
      <w:r w:rsidRPr="00583E1A">
        <w:t xml:space="preserve"> imposed by that country, the company is treated as a partnership; and</w:t>
      </w:r>
    </w:p>
    <w:p w:rsidR="00887330" w:rsidRPr="00583E1A" w:rsidRDefault="00887330" w:rsidP="00887330">
      <w:pPr>
        <w:pStyle w:val="paragraph"/>
      </w:pPr>
      <w:r w:rsidRPr="00583E1A">
        <w:tab/>
        <w:t>(c)</w:t>
      </w:r>
      <w:r w:rsidRPr="00583E1A">
        <w:tab/>
        <w:t>regulations are in force setting out requirements to be satisfied by a company in relation to the income year for the purposes of this paragraph, and the company satisfies those requirements.</w:t>
      </w:r>
    </w:p>
    <w:p w:rsidR="00887330" w:rsidRPr="00583E1A" w:rsidRDefault="00887330" w:rsidP="00887330">
      <w:pPr>
        <w:pStyle w:val="subsection"/>
      </w:pPr>
      <w:r w:rsidRPr="00583E1A">
        <w:lastRenderedPageBreak/>
        <w:tab/>
        <w:t>(4)</w:t>
      </w:r>
      <w:r w:rsidRPr="00583E1A">
        <w:tab/>
        <w:t xml:space="preserve">Regulations for the purposes of </w:t>
      </w:r>
      <w:r w:rsidR="00583E1A">
        <w:t>paragraph (</w:t>
      </w:r>
      <w:r w:rsidRPr="00583E1A">
        <w:t>3)(c) cannot set out requirements in relation to any income year before the one in which the regulations are made.</w:t>
      </w:r>
    </w:p>
    <w:p w:rsidR="00B35817" w:rsidRPr="008706AC" w:rsidRDefault="00B35817" w:rsidP="00B35817">
      <w:pPr>
        <w:pStyle w:val="subsection"/>
      </w:pPr>
      <w:r w:rsidRPr="008706AC">
        <w:tab/>
        <w:t>(5)</w:t>
      </w:r>
      <w:r w:rsidRPr="008706AC">
        <w:tab/>
        <w:t xml:space="preserve">If a shareholder is not an </w:t>
      </w:r>
      <w:r w:rsidRPr="008706AC">
        <w:rPr>
          <w:position w:val="6"/>
          <w:sz w:val="16"/>
        </w:rPr>
        <w:t>*</w:t>
      </w:r>
      <w:r w:rsidRPr="008706AC">
        <w:t xml:space="preserve">attributable taxpayer in relation to a company, then, for the purposes of applying the </w:t>
      </w:r>
      <w:r w:rsidRPr="008706AC">
        <w:rPr>
          <w:i/>
        </w:rPr>
        <w:t>Income Tax Assessment Act 1936</w:t>
      </w:r>
      <w:r w:rsidRPr="008706AC">
        <w:t xml:space="preserve"> and this Act in relation to the shareholder’s </w:t>
      </w:r>
      <w:r w:rsidRPr="008706AC">
        <w:rPr>
          <w:position w:val="6"/>
          <w:sz w:val="16"/>
        </w:rPr>
        <w:t>*</w:t>
      </w:r>
      <w:r w:rsidRPr="008706AC">
        <w:t xml:space="preserve">share or shares in the company, the company is a </w:t>
      </w:r>
      <w:r w:rsidRPr="008706AC">
        <w:rPr>
          <w:b/>
          <w:i/>
        </w:rPr>
        <w:t>foreign hybrid company</w:t>
      </w:r>
      <w:r w:rsidRPr="008706AC">
        <w:t xml:space="preserve"> in relation to an income year for the shareholder if, and only if, the shareholder:</w:t>
      </w:r>
    </w:p>
    <w:p w:rsidR="00B35817" w:rsidRPr="008706AC" w:rsidRDefault="00B35817" w:rsidP="00B35817">
      <w:pPr>
        <w:pStyle w:val="paragraph"/>
      </w:pPr>
      <w:r w:rsidRPr="008706AC">
        <w:tab/>
        <w:t>(a)</w:t>
      </w:r>
      <w:r w:rsidRPr="008706AC">
        <w:tab/>
        <w:t xml:space="preserve">has made an election under former subsection 485AA(1) of the </w:t>
      </w:r>
      <w:r w:rsidRPr="008706AC">
        <w:rPr>
          <w:i/>
        </w:rPr>
        <w:t>Income Tax Assessment Act 1936</w:t>
      </w:r>
      <w:r w:rsidRPr="008706AC">
        <w:t>; or</w:t>
      </w:r>
    </w:p>
    <w:p w:rsidR="00B35817" w:rsidRPr="008706AC" w:rsidRDefault="00B35817" w:rsidP="00B35817">
      <w:pPr>
        <w:pStyle w:val="paragraph"/>
      </w:pPr>
      <w:r w:rsidRPr="008706AC">
        <w:tab/>
        <w:t>(b)</w:t>
      </w:r>
      <w:r w:rsidRPr="008706AC">
        <w:tab/>
        <w:t>makes an election under this paragraph;</w:t>
      </w:r>
    </w:p>
    <w:p w:rsidR="00B35817" w:rsidRPr="008706AC" w:rsidRDefault="00B35817" w:rsidP="00B35817">
      <w:pPr>
        <w:pStyle w:val="subsection2"/>
      </w:pPr>
      <w:r w:rsidRPr="008706AC">
        <w:t>in relation to the shareholder’s share or shares in the company.</w:t>
      </w:r>
    </w:p>
    <w:p w:rsidR="00B35817" w:rsidRPr="008706AC" w:rsidRDefault="00B35817" w:rsidP="00B35817">
      <w:pPr>
        <w:pStyle w:val="subsection"/>
      </w:pPr>
      <w:r w:rsidRPr="008706AC">
        <w:tab/>
        <w:t>(6)</w:t>
      </w:r>
      <w:r w:rsidRPr="008706AC">
        <w:tab/>
        <w:t xml:space="preserve">For the purposes of subsection (5), the company is a </w:t>
      </w:r>
      <w:r w:rsidRPr="008706AC">
        <w:rPr>
          <w:b/>
          <w:i/>
        </w:rPr>
        <w:t>foreign hybrid company</w:t>
      </w:r>
      <w:r w:rsidRPr="008706AC">
        <w:t xml:space="preserve"> in relation to any income year during which the election referred to in paragraph (5)(a) or (5)(b) is in force.</w:t>
      </w:r>
    </w:p>
    <w:p w:rsidR="00B35817" w:rsidRPr="008706AC" w:rsidRDefault="00B35817" w:rsidP="00B35817">
      <w:pPr>
        <w:pStyle w:val="subsection"/>
      </w:pPr>
      <w:r w:rsidRPr="008706AC">
        <w:tab/>
        <w:t>(7)</w:t>
      </w:r>
      <w:r w:rsidRPr="008706AC">
        <w:tab/>
        <w:t>An election can only be made under paragraph (5)(b) if:</w:t>
      </w:r>
    </w:p>
    <w:p w:rsidR="00B35817" w:rsidRPr="008706AC" w:rsidRDefault="00B35817" w:rsidP="00B35817">
      <w:pPr>
        <w:pStyle w:val="paragraph"/>
      </w:pPr>
      <w:r w:rsidRPr="008706AC">
        <w:tab/>
        <w:t>(a)</w:t>
      </w:r>
      <w:r w:rsidRPr="008706AC">
        <w:tab/>
        <w:t>in relation to the income year in which the election is made, the company:</w:t>
      </w:r>
    </w:p>
    <w:p w:rsidR="00B35817" w:rsidRPr="008706AC" w:rsidRDefault="00B35817" w:rsidP="00B35817">
      <w:pPr>
        <w:pStyle w:val="paragraphsub"/>
      </w:pPr>
      <w:r w:rsidRPr="008706AC">
        <w:tab/>
        <w:t>(i)</w:t>
      </w:r>
      <w:r w:rsidRPr="008706AC">
        <w:tab/>
        <w:t xml:space="preserve">is a FIF (within the meaning of former Part XI of the </w:t>
      </w:r>
      <w:r w:rsidRPr="008706AC">
        <w:rPr>
          <w:i/>
        </w:rPr>
        <w:t>Income Tax Assessment Act 1936</w:t>
      </w:r>
      <w:r w:rsidRPr="008706AC">
        <w:t>); and</w:t>
      </w:r>
    </w:p>
    <w:p w:rsidR="00B35817" w:rsidRPr="008706AC" w:rsidRDefault="00B35817" w:rsidP="00B35817">
      <w:pPr>
        <w:pStyle w:val="paragraphsub"/>
      </w:pPr>
      <w:r w:rsidRPr="008706AC">
        <w:tab/>
        <w:t>(ii)</w:t>
      </w:r>
      <w:r w:rsidRPr="008706AC">
        <w:tab/>
        <w:t>satisfies paragraphs (1)(a) to (c); and</w:t>
      </w:r>
    </w:p>
    <w:p w:rsidR="00B35817" w:rsidRPr="008706AC" w:rsidRDefault="00B35817" w:rsidP="00B35817">
      <w:pPr>
        <w:pStyle w:val="paragraph"/>
      </w:pPr>
      <w:r w:rsidRPr="008706AC">
        <w:tab/>
        <w:t>(b)</w:t>
      </w:r>
      <w:r w:rsidRPr="008706AC">
        <w:tab/>
        <w:t xml:space="preserve">at the end of the income year in which the election is made, the shareholder’s interest in the FIF consists of one or more </w:t>
      </w:r>
      <w:r w:rsidRPr="008706AC">
        <w:rPr>
          <w:position w:val="6"/>
          <w:sz w:val="16"/>
        </w:rPr>
        <w:t>*</w:t>
      </w:r>
      <w:r w:rsidRPr="008706AC">
        <w:t>shares in the FIF.</w:t>
      </w:r>
    </w:p>
    <w:p w:rsidR="00B35817" w:rsidRPr="008706AC" w:rsidRDefault="00B35817" w:rsidP="00B35817">
      <w:pPr>
        <w:pStyle w:val="subsection"/>
      </w:pPr>
      <w:r w:rsidRPr="008706AC">
        <w:tab/>
        <w:t>(8)</w:t>
      </w:r>
      <w:r w:rsidRPr="008706AC">
        <w:tab/>
        <w:t>An election under paragraph (5)(b) must be made:</w:t>
      </w:r>
    </w:p>
    <w:p w:rsidR="00B35817" w:rsidRPr="008706AC" w:rsidRDefault="00B35817" w:rsidP="00B35817">
      <w:pPr>
        <w:pStyle w:val="paragraph"/>
      </w:pPr>
      <w:r w:rsidRPr="008706AC">
        <w:tab/>
        <w:t>(a)</w:t>
      </w:r>
      <w:r w:rsidRPr="008706AC">
        <w:tab/>
        <w:t>on or before the day on which the shareholder lodges the shareholder’s income tax return for the income year; or</w:t>
      </w:r>
    </w:p>
    <w:p w:rsidR="00B35817" w:rsidRPr="008706AC" w:rsidRDefault="00B35817" w:rsidP="00B35817">
      <w:pPr>
        <w:pStyle w:val="paragraph"/>
      </w:pPr>
      <w:r w:rsidRPr="008706AC">
        <w:tab/>
        <w:t>(b)</w:t>
      </w:r>
      <w:r w:rsidRPr="008706AC">
        <w:tab/>
        <w:t>within a further time allowed by the Commissioner.</w:t>
      </w:r>
    </w:p>
    <w:p w:rsidR="00B35817" w:rsidRPr="008706AC" w:rsidRDefault="00B35817" w:rsidP="008F0608">
      <w:pPr>
        <w:pStyle w:val="subsection"/>
        <w:keepNext/>
        <w:keepLines/>
      </w:pPr>
      <w:r w:rsidRPr="008706AC">
        <w:tab/>
        <w:t>(9)</w:t>
      </w:r>
      <w:r w:rsidRPr="008706AC">
        <w:tab/>
        <w:t>The election:</w:t>
      </w:r>
    </w:p>
    <w:p w:rsidR="00B35817" w:rsidRPr="008706AC" w:rsidRDefault="00B35817" w:rsidP="00B35817">
      <w:pPr>
        <w:pStyle w:val="paragraph"/>
      </w:pPr>
      <w:r w:rsidRPr="008706AC">
        <w:tab/>
        <w:t>(a)</w:t>
      </w:r>
      <w:r w:rsidRPr="008706AC">
        <w:tab/>
        <w:t>is in force during the income year and all later income years; and</w:t>
      </w:r>
    </w:p>
    <w:p w:rsidR="00B35817" w:rsidRPr="008706AC" w:rsidRDefault="00B35817" w:rsidP="00B35817">
      <w:pPr>
        <w:pStyle w:val="paragraph"/>
      </w:pPr>
      <w:r w:rsidRPr="008706AC">
        <w:tab/>
        <w:t>(b)</w:t>
      </w:r>
      <w:r w:rsidRPr="008706AC">
        <w:tab/>
        <w:t>is irrevocable.</w:t>
      </w:r>
    </w:p>
    <w:p w:rsidR="00887330" w:rsidRPr="00583E1A" w:rsidRDefault="00887330" w:rsidP="00887330">
      <w:pPr>
        <w:pStyle w:val="ActHead4"/>
      </w:pPr>
      <w:bookmarkStart w:id="346" w:name="_Toc338939420"/>
      <w:r w:rsidRPr="00583E1A">
        <w:rPr>
          <w:rStyle w:val="CharSubdNo"/>
        </w:rPr>
        <w:lastRenderedPageBreak/>
        <w:t>Subdivision</w:t>
      </w:r>
      <w:r w:rsidR="00583E1A">
        <w:rPr>
          <w:rStyle w:val="CharSubdNo"/>
        </w:rPr>
        <w:t> </w:t>
      </w:r>
      <w:r w:rsidRPr="00583E1A">
        <w:rPr>
          <w:rStyle w:val="CharSubdNo"/>
        </w:rPr>
        <w:t>830</w:t>
      </w:r>
      <w:r w:rsidR="00583E1A">
        <w:rPr>
          <w:rStyle w:val="CharSubdNo"/>
        </w:rPr>
        <w:noBreakHyphen/>
      </w:r>
      <w:r w:rsidRPr="00583E1A">
        <w:rPr>
          <w:rStyle w:val="CharSubdNo"/>
        </w:rPr>
        <w:t>B</w:t>
      </w:r>
      <w:r w:rsidRPr="00583E1A">
        <w:t>—</w:t>
      </w:r>
      <w:r w:rsidRPr="00583E1A">
        <w:rPr>
          <w:rStyle w:val="CharSubdText"/>
        </w:rPr>
        <w:t>Extension of normal partnership provisions to foreign hybrid companies</w:t>
      </w:r>
      <w:bookmarkEnd w:id="346"/>
    </w:p>
    <w:p w:rsidR="00887330" w:rsidRPr="00583E1A" w:rsidRDefault="00887330" w:rsidP="00887330">
      <w:pPr>
        <w:pStyle w:val="notemargin"/>
      </w:pPr>
      <w:r w:rsidRPr="00583E1A">
        <w:t>Note:</w:t>
      </w:r>
      <w:r w:rsidRPr="00583E1A">
        <w:tab/>
        <w:t>The normal partnership provisions will apply of their own force to foreign hybrids that are foreign hybrid limited partnerships.</w:t>
      </w:r>
    </w:p>
    <w:p w:rsidR="00887330" w:rsidRPr="00583E1A" w:rsidRDefault="00887330" w:rsidP="00887330">
      <w:pPr>
        <w:pStyle w:val="TofSectsHeading"/>
      </w:pPr>
      <w:r w:rsidRPr="00583E1A">
        <w:t>Table of sections</w:t>
      </w:r>
    </w:p>
    <w:p w:rsidR="00887330" w:rsidRPr="00583E1A" w:rsidRDefault="00887330" w:rsidP="00887330">
      <w:pPr>
        <w:pStyle w:val="TofSectsSection"/>
      </w:pPr>
      <w:r w:rsidRPr="00583E1A">
        <w:t>830</w:t>
      </w:r>
      <w:r w:rsidR="00583E1A">
        <w:noBreakHyphen/>
      </w:r>
      <w:r w:rsidRPr="00583E1A">
        <w:t>20</w:t>
      </w:r>
      <w:r w:rsidRPr="00583E1A">
        <w:tab/>
        <w:t>Treatment of company as a partnership</w:t>
      </w:r>
    </w:p>
    <w:p w:rsidR="00887330" w:rsidRPr="00583E1A" w:rsidRDefault="00887330" w:rsidP="00887330">
      <w:pPr>
        <w:pStyle w:val="TofSectsSection"/>
      </w:pPr>
      <w:r w:rsidRPr="00583E1A">
        <w:t>830</w:t>
      </w:r>
      <w:r w:rsidR="00583E1A">
        <w:noBreakHyphen/>
      </w:r>
      <w:r w:rsidRPr="00583E1A">
        <w:t>25</w:t>
      </w:r>
      <w:r w:rsidRPr="00583E1A">
        <w:tab/>
        <w:t>Partners are the shareholders in the company</w:t>
      </w:r>
    </w:p>
    <w:p w:rsidR="00887330" w:rsidRPr="00583E1A" w:rsidRDefault="00887330" w:rsidP="00887330">
      <w:pPr>
        <w:pStyle w:val="TofSectsSection"/>
      </w:pPr>
      <w:r w:rsidRPr="00583E1A">
        <w:t>830</w:t>
      </w:r>
      <w:r w:rsidR="00583E1A">
        <w:noBreakHyphen/>
      </w:r>
      <w:r w:rsidRPr="00583E1A">
        <w:t>30</w:t>
      </w:r>
      <w:r w:rsidRPr="00583E1A">
        <w:tab/>
        <w:t>Individual interest of a partner in net income etc. equals percentage of notional distribution of company’s profits</w:t>
      </w:r>
    </w:p>
    <w:p w:rsidR="00887330" w:rsidRPr="00583E1A" w:rsidRDefault="00887330" w:rsidP="00887330">
      <w:pPr>
        <w:pStyle w:val="TofSectsSection"/>
      </w:pPr>
      <w:r w:rsidRPr="00583E1A">
        <w:t>830</w:t>
      </w:r>
      <w:r w:rsidR="00583E1A">
        <w:noBreakHyphen/>
      </w:r>
      <w:r w:rsidRPr="00583E1A">
        <w:t>35</w:t>
      </w:r>
      <w:r w:rsidRPr="00583E1A">
        <w:tab/>
        <w:t>Partner’s interest in assets</w:t>
      </w:r>
    </w:p>
    <w:p w:rsidR="00887330" w:rsidRPr="00583E1A" w:rsidRDefault="00887330" w:rsidP="00887330">
      <w:pPr>
        <w:pStyle w:val="TofSectsSection"/>
      </w:pPr>
      <w:r w:rsidRPr="00583E1A">
        <w:t>830</w:t>
      </w:r>
      <w:r w:rsidR="00583E1A">
        <w:noBreakHyphen/>
      </w:r>
      <w:r w:rsidRPr="00583E1A">
        <w:t>40</w:t>
      </w:r>
      <w:r w:rsidRPr="00583E1A">
        <w:tab/>
        <w:t>Control and disposal of share in partnership income</w:t>
      </w:r>
    </w:p>
    <w:p w:rsidR="00887330" w:rsidRPr="00583E1A" w:rsidRDefault="00887330" w:rsidP="00887330">
      <w:pPr>
        <w:pStyle w:val="ActHead5"/>
      </w:pPr>
      <w:bookmarkStart w:id="347" w:name="_Toc338939421"/>
      <w:r w:rsidRPr="00583E1A">
        <w:rPr>
          <w:rStyle w:val="CharSectno"/>
        </w:rPr>
        <w:t>830</w:t>
      </w:r>
      <w:r w:rsidR="00583E1A">
        <w:rPr>
          <w:rStyle w:val="CharSectno"/>
        </w:rPr>
        <w:noBreakHyphen/>
      </w:r>
      <w:r w:rsidRPr="00583E1A">
        <w:rPr>
          <w:rStyle w:val="CharSectno"/>
        </w:rPr>
        <w:t>20</w:t>
      </w:r>
      <w:r w:rsidRPr="00583E1A">
        <w:t xml:space="preserve">  Treatment of company as a partnership</w:t>
      </w:r>
      <w:bookmarkEnd w:id="347"/>
    </w:p>
    <w:p w:rsidR="00887330" w:rsidRPr="00583E1A" w:rsidRDefault="00887330" w:rsidP="00887330">
      <w:pPr>
        <w:pStyle w:val="subsection"/>
      </w:pPr>
      <w:r w:rsidRPr="00583E1A">
        <w:tab/>
      </w:r>
      <w:r w:rsidRPr="00583E1A">
        <w:tab/>
        <w:t xml:space="preserve">If a company is a </w:t>
      </w:r>
      <w:r w:rsidR="00583E1A" w:rsidRPr="00583E1A">
        <w:rPr>
          <w:position w:val="6"/>
          <w:sz w:val="16"/>
        </w:rPr>
        <w:t>*</w:t>
      </w:r>
      <w:r w:rsidRPr="00583E1A">
        <w:t xml:space="preserve">foreign hybrid company in relation to an income year, the </w:t>
      </w:r>
      <w:r w:rsidR="00583E1A" w:rsidRPr="00583E1A">
        <w:rPr>
          <w:position w:val="6"/>
          <w:sz w:val="16"/>
        </w:rPr>
        <w:t>*</w:t>
      </w:r>
      <w:r w:rsidRPr="00583E1A">
        <w:t>foreign hybrid tax provisions apply as if the company were a partnership, and for that purpose the following provisions of this Subdivision have effect.</w:t>
      </w:r>
    </w:p>
    <w:p w:rsidR="00887330" w:rsidRPr="00583E1A" w:rsidRDefault="00887330" w:rsidP="00887330">
      <w:pPr>
        <w:pStyle w:val="ActHead5"/>
      </w:pPr>
      <w:bookmarkStart w:id="348" w:name="_Toc338939422"/>
      <w:r w:rsidRPr="00583E1A">
        <w:rPr>
          <w:rStyle w:val="CharSectno"/>
        </w:rPr>
        <w:t>830</w:t>
      </w:r>
      <w:r w:rsidR="00583E1A">
        <w:rPr>
          <w:rStyle w:val="CharSectno"/>
        </w:rPr>
        <w:noBreakHyphen/>
      </w:r>
      <w:r w:rsidRPr="00583E1A">
        <w:rPr>
          <w:rStyle w:val="CharSectno"/>
        </w:rPr>
        <w:t>25</w:t>
      </w:r>
      <w:r w:rsidRPr="00583E1A">
        <w:t xml:space="preserve">  Partners are the shareholders in the company</w:t>
      </w:r>
      <w:bookmarkEnd w:id="348"/>
    </w:p>
    <w:p w:rsidR="00887330" w:rsidRPr="00583E1A" w:rsidRDefault="00887330" w:rsidP="00887330">
      <w:pPr>
        <w:pStyle w:val="subsection"/>
      </w:pPr>
      <w:r w:rsidRPr="00583E1A">
        <w:tab/>
      </w:r>
      <w:r w:rsidRPr="00583E1A">
        <w:tab/>
        <w:t xml:space="preserve">The partners in the partnership are the </w:t>
      </w:r>
      <w:r w:rsidR="00583E1A" w:rsidRPr="00583E1A">
        <w:rPr>
          <w:position w:val="6"/>
          <w:sz w:val="16"/>
        </w:rPr>
        <w:t>*</w:t>
      </w:r>
      <w:r w:rsidRPr="00583E1A">
        <w:t>shareholders in the company.</w:t>
      </w:r>
    </w:p>
    <w:p w:rsidR="00887330" w:rsidRPr="00583E1A" w:rsidRDefault="00887330" w:rsidP="00887330">
      <w:pPr>
        <w:pStyle w:val="ActHead5"/>
      </w:pPr>
      <w:bookmarkStart w:id="349" w:name="_Toc338939423"/>
      <w:r w:rsidRPr="00583E1A">
        <w:rPr>
          <w:rStyle w:val="CharSectno"/>
        </w:rPr>
        <w:t>830</w:t>
      </w:r>
      <w:r w:rsidR="00583E1A">
        <w:rPr>
          <w:rStyle w:val="CharSectno"/>
        </w:rPr>
        <w:noBreakHyphen/>
      </w:r>
      <w:r w:rsidRPr="00583E1A">
        <w:rPr>
          <w:rStyle w:val="CharSectno"/>
        </w:rPr>
        <w:t>30</w:t>
      </w:r>
      <w:r w:rsidRPr="00583E1A">
        <w:t xml:space="preserve">  Individual interest of a partner in net income etc. equals percentage of notional distribution of company’s profits</w:t>
      </w:r>
      <w:bookmarkEnd w:id="349"/>
    </w:p>
    <w:p w:rsidR="00887330" w:rsidRPr="00583E1A" w:rsidRDefault="00887330" w:rsidP="00887330">
      <w:pPr>
        <w:pStyle w:val="subsection"/>
      </w:pPr>
      <w:r w:rsidRPr="00583E1A">
        <w:tab/>
      </w:r>
      <w:r w:rsidRPr="00583E1A">
        <w:tab/>
        <w:t xml:space="preserve">The individual interest of a partner in the </w:t>
      </w:r>
      <w:r w:rsidR="00583E1A" w:rsidRPr="00583E1A">
        <w:rPr>
          <w:position w:val="6"/>
          <w:sz w:val="16"/>
        </w:rPr>
        <w:t>*</w:t>
      </w:r>
      <w:r w:rsidRPr="00583E1A">
        <w:t xml:space="preserve">net income or </w:t>
      </w:r>
      <w:r w:rsidR="00583E1A" w:rsidRPr="00583E1A">
        <w:rPr>
          <w:position w:val="6"/>
          <w:sz w:val="16"/>
        </w:rPr>
        <w:t>*</w:t>
      </w:r>
      <w:r w:rsidRPr="00583E1A">
        <w:t xml:space="preserve">partnership loss of the partnership of the income year is equal to the percentage that, if the profits of the company for the income year were distributed at the end of the income year to its </w:t>
      </w:r>
      <w:r w:rsidR="00583E1A" w:rsidRPr="00583E1A">
        <w:rPr>
          <w:position w:val="6"/>
          <w:sz w:val="16"/>
        </w:rPr>
        <w:t>*</w:t>
      </w:r>
      <w:r w:rsidRPr="00583E1A">
        <w:t>shareholders:</w:t>
      </w:r>
    </w:p>
    <w:p w:rsidR="00887330" w:rsidRPr="00583E1A" w:rsidRDefault="00887330" w:rsidP="00887330">
      <w:pPr>
        <w:pStyle w:val="paragraph"/>
      </w:pPr>
      <w:r w:rsidRPr="00583E1A">
        <w:tab/>
        <w:t>(a)</w:t>
      </w:r>
      <w:r w:rsidRPr="00583E1A">
        <w:tab/>
        <w:t xml:space="preserve">if </w:t>
      </w:r>
      <w:r w:rsidR="00583E1A">
        <w:t>paragraph (</w:t>
      </w:r>
      <w:r w:rsidRPr="00583E1A">
        <w:t>b) does not apply—as dividends; or</w:t>
      </w:r>
    </w:p>
    <w:p w:rsidR="00887330" w:rsidRPr="00583E1A" w:rsidRDefault="00887330" w:rsidP="00887330">
      <w:pPr>
        <w:pStyle w:val="paragraph"/>
      </w:pPr>
      <w:r w:rsidRPr="00583E1A">
        <w:tab/>
        <w:t>(b)</w:t>
      </w:r>
      <w:r w:rsidRPr="00583E1A">
        <w:tab/>
        <w:t xml:space="preserve">if the company’s </w:t>
      </w:r>
      <w:r w:rsidR="00583E1A" w:rsidRPr="00583E1A">
        <w:rPr>
          <w:position w:val="6"/>
          <w:sz w:val="16"/>
        </w:rPr>
        <w:t>*</w:t>
      </w:r>
      <w:r w:rsidRPr="00583E1A">
        <w:t>constitution or other rules provide for the distribution of profits other than as dividends—in accordance with the constitution or those rules;</w:t>
      </w:r>
    </w:p>
    <w:p w:rsidR="00887330" w:rsidRPr="00583E1A" w:rsidRDefault="00887330" w:rsidP="00887330">
      <w:pPr>
        <w:pStyle w:val="subsection2"/>
      </w:pPr>
      <w:r w:rsidRPr="00583E1A">
        <w:t>the partner, as a shareholder, could reasonably be expected to receive of the total distribution.</w:t>
      </w:r>
    </w:p>
    <w:p w:rsidR="00887330" w:rsidRPr="00583E1A" w:rsidRDefault="00887330" w:rsidP="00887330">
      <w:pPr>
        <w:pStyle w:val="ActHead5"/>
      </w:pPr>
      <w:bookmarkStart w:id="350" w:name="_Toc338939424"/>
      <w:r w:rsidRPr="00583E1A">
        <w:rPr>
          <w:rStyle w:val="CharSectno"/>
        </w:rPr>
        <w:lastRenderedPageBreak/>
        <w:t>830</w:t>
      </w:r>
      <w:r w:rsidR="00583E1A">
        <w:rPr>
          <w:rStyle w:val="CharSectno"/>
        </w:rPr>
        <w:noBreakHyphen/>
      </w:r>
      <w:r w:rsidRPr="00583E1A">
        <w:rPr>
          <w:rStyle w:val="CharSectno"/>
        </w:rPr>
        <w:t>35</w:t>
      </w:r>
      <w:r w:rsidRPr="00583E1A">
        <w:t xml:space="preserve">  Partner’s interest in assets</w:t>
      </w:r>
      <w:bookmarkEnd w:id="350"/>
    </w:p>
    <w:p w:rsidR="00887330" w:rsidRPr="00583E1A" w:rsidRDefault="00887330" w:rsidP="00887330">
      <w:pPr>
        <w:pStyle w:val="subsection"/>
      </w:pPr>
      <w:r w:rsidRPr="00583E1A">
        <w:tab/>
        <w:t>(1)</w:t>
      </w:r>
      <w:r w:rsidRPr="00583E1A">
        <w:tab/>
        <w:t xml:space="preserve">The interest that each partner has in the assets of the partnership, under the partnership agreement, is equal to the percentage in </w:t>
      </w:r>
      <w:r w:rsidR="00583E1A">
        <w:t>subsection (</w:t>
      </w:r>
      <w:r w:rsidRPr="00583E1A">
        <w:t>2).</w:t>
      </w:r>
    </w:p>
    <w:p w:rsidR="00887330" w:rsidRPr="00583E1A" w:rsidRDefault="00887330" w:rsidP="00887330">
      <w:pPr>
        <w:pStyle w:val="subsection"/>
      </w:pPr>
      <w:r w:rsidRPr="00583E1A">
        <w:tab/>
        <w:t>(2)</w:t>
      </w:r>
      <w:r w:rsidRPr="00583E1A">
        <w:tab/>
        <w:t xml:space="preserve">The percentage is the percentage that, if the capital of the company were distributed to its </w:t>
      </w:r>
      <w:r w:rsidR="00583E1A" w:rsidRPr="00583E1A">
        <w:rPr>
          <w:position w:val="6"/>
          <w:sz w:val="16"/>
        </w:rPr>
        <w:t>*</w:t>
      </w:r>
      <w:r w:rsidRPr="00583E1A">
        <w:t>shareholders on a winding</w:t>
      </w:r>
      <w:r w:rsidR="00583E1A">
        <w:noBreakHyphen/>
      </w:r>
      <w:r w:rsidRPr="00583E1A">
        <w:t>up of the company at the end of the income year, the partner, as a shareholder, could reasonably be expected to receive of the total distribution.</w:t>
      </w:r>
    </w:p>
    <w:p w:rsidR="00887330" w:rsidRPr="00583E1A" w:rsidRDefault="00887330" w:rsidP="00887330">
      <w:pPr>
        <w:pStyle w:val="ActHead5"/>
      </w:pPr>
      <w:bookmarkStart w:id="351" w:name="_Toc338939425"/>
      <w:r w:rsidRPr="00583E1A">
        <w:rPr>
          <w:rStyle w:val="CharSectno"/>
        </w:rPr>
        <w:t>830</w:t>
      </w:r>
      <w:r w:rsidR="00583E1A">
        <w:rPr>
          <w:rStyle w:val="CharSectno"/>
        </w:rPr>
        <w:noBreakHyphen/>
      </w:r>
      <w:r w:rsidRPr="00583E1A">
        <w:rPr>
          <w:rStyle w:val="CharSectno"/>
        </w:rPr>
        <w:t>40</w:t>
      </w:r>
      <w:r w:rsidRPr="00583E1A">
        <w:t xml:space="preserve">  Control and disposal of share in partnership income</w:t>
      </w:r>
      <w:bookmarkEnd w:id="351"/>
    </w:p>
    <w:p w:rsidR="00887330" w:rsidRPr="00583E1A" w:rsidRDefault="00887330" w:rsidP="00887330">
      <w:pPr>
        <w:pStyle w:val="subsection"/>
      </w:pPr>
      <w:r w:rsidRPr="00583E1A">
        <w:tab/>
        <w:t>(1)</w:t>
      </w:r>
      <w:r w:rsidRPr="00583E1A">
        <w:tab/>
        <w:t>This section applies for the purposes of determining under section</w:t>
      </w:r>
      <w:r w:rsidR="00583E1A">
        <w:t> </w:t>
      </w:r>
      <w:r w:rsidRPr="00583E1A">
        <w:t xml:space="preserve">94 of the </w:t>
      </w:r>
      <w:r w:rsidRPr="00583E1A">
        <w:rPr>
          <w:i/>
        </w:rPr>
        <w:t>Income Tax Assessment Act 1936</w:t>
      </w:r>
      <w:r w:rsidRPr="00583E1A">
        <w:t xml:space="preserve"> whether the partnership is so constituted or controlled, or its operations are so conducted, that a partner does not have the real and effective control and disposal of the partner’s share, or a part of the partner’s share, in the </w:t>
      </w:r>
      <w:r w:rsidR="00583E1A" w:rsidRPr="00583E1A">
        <w:rPr>
          <w:position w:val="6"/>
          <w:sz w:val="16"/>
        </w:rPr>
        <w:t>*</w:t>
      </w:r>
      <w:r w:rsidRPr="00583E1A">
        <w:t>net income of the partnership of an income year.</w:t>
      </w:r>
    </w:p>
    <w:p w:rsidR="00887330" w:rsidRPr="00583E1A" w:rsidRDefault="00887330" w:rsidP="00887330">
      <w:pPr>
        <w:pStyle w:val="subsection"/>
      </w:pPr>
      <w:r w:rsidRPr="00583E1A">
        <w:tab/>
        <w:t>(2)</w:t>
      </w:r>
      <w:r w:rsidRPr="00583E1A">
        <w:tab/>
        <w:t xml:space="preserve">The reference to the partner’s share, or a part of the partner’s share, in the </w:t>
      </w:r>
      <w:r w:rsidR="00583E1A" w:rsidRPr="00583E1A">
        <w:rPr>
          <w:position w:val="6"/>
          <w:sz w:val="16"/>
        </w:rPr>
        <w:t>*</w:t>
      </w:r>
      <w:r w:rsidRPr="00583E1A">
        <w:t xml:space="preserve">net income is a reference to any rights that the </w:t>
      </w:r>
      <w:r w:rsidR="00583E1A" w:rsidRPr="00583E1A">
        <w:rPr>
          <w:position w:val="6"/>
          <w:sz w:val="16"/>
        </w:rPr>
        <w:t>*</w:t>
      </w:r>
      <w:r w:rsidRPr="00583E1A">
        <w:t xml:space="preserve">shareholder has under the </w:t>
      </w:r>
      <w:r w:rsidR="00583E1A" w:rsidRPr="00583E1A">
        <w:rPr>
          <w:position w:val="6"/>
          <w:sz w:val="16"/>
        </w:rPr>
        <w:t>*</w:t>
      </w:r>
      <w:r w:rsidRPr="00583E1A">
        <w:t>constitution or other rules of the company that were taken into account under section</w:t>
      </w:r>
      <w:r w:rsidR="00583E1A">
        <w:t> </w:t>
      </w:r>
      <w:r w:rsidRPr="00583E1A">
        <w:t>830</w:t>
      </w:r>
      <w:r w:rsidR="00583E1A">
        <w:noBreakHyphen/>
      </w:r>
      <w:r w:rsidRPr="00583E1A">
        <w:t xml:space="preserve">30 in working out the individual interest of the partner in the partnership’s net income or </w:t>
      </w:r>
      <w:r w:rsidR="00583E1A" w:rsidRPr="00583E1A">
        <w:rPr>
          <w:position w:val="6"/>
          <w:sz w:val="16"/>
        </w:rPr>
        <w:t>*</w:t>
      </w:r>
      <w:r w:rsidRPr="00583E1A">
        <w:t>partnership loss of the income year.</w:t>
      </w:r>
    </w:p>
    <w:p w:rsidR="00887330" w:rsidRPr="00583E1A" w:rsidRDefault="00887330" w:rsidP="00887330">
      <w:pPr>
        <w:pStyle w:val="ActHead4"/>
      </w:pPr>
      <w:bookmarkStart w:id="352" w:name="_Toc338939426"/>
      <w:r w:rsidRPr="00583E1A">
        <w:rPr>
          <w:rStyle w:val="CharSubdNo"/>
        </w:rPr>
        <w:t>Subdivision</w:t>
      </w:r>
      <w:r w:rsidR="00583E1A">
        <w:rPr>
          <w:rStyle w:val="CharSubdNo"/>
        </w:rPr>
        <w:t> </w:t>
      </w:r>
      <w:r w:rsidRPr="00583E1A">
        <w:rPr>
          <w:rStyle w:val="CharSubdNo"/>
        </w:rPr>
        <w:t>830</w:t>
      </w:r>
      <w:r w:rsidR="00583E1A">
        <w:rPr>
          <w:rStyle w:val="CharSubdNo"/>
        </w:rPr>
        <w:noBreakHyphen/>
      </w:r>
      <w:r w:rsidRPr="00583E1A">
        <w:rPr>
          <w:rStyle w:val="CharSubdNo"/>
        </w:rPr>
        <w:t>C</w:t>
      </w:r>
      <w:r w:rsidRPr="00583E1A">
        <w:t>—</w:t>
      </w:r>
      <w:r w:rsidRPr="00583E1A">
        <w:rPr>
          <w:rStyle w:val="CharSubdText"/>
        </w:rPr>
        <w:t>Special rules applicable while an entity is a foreign hybrid</w:t>
      </w:r>
      <w:bookmarkEnd w:id="352"/>
    </w:p>
    <w:p w:rsidR="00887330" w:rsidRPr="00583E1A" w:rsidRDefault="00887330" w:rsidP="00887330">
      <w:pPr>
        <w:pStyle w:val="notemargin"/>
      </w:pPr>
      <w:r w:rsidRPr="00583E1A">
        <w:t>Note:</w:t>
      </w:r>
      <w:r w:rsidRPr="00583E1A">
        <w:tab/>
        <w:t>In the case of a foreign hybrid company, references in this Subdivision that relate to partnerships are to be read subject to Subdivision</w:t>
      </w:r>
      <w:r w:rsidR="00583E1A">
        <w:t> </w:t>
      </w:r>
      <w:r w:rsidRPr="00583E1A">
        <w:t>830</w:t>
      </w:r>
      <w:r w:rsidR="00583E1A">
        <w:noBreakHyphen/>
      </w:r>
      <w:r w:rsidRPr="00583E1A">
        <w:t>B. For example, a reference to a partner will be a reference to a shareholder in the company who is treated by Subdivision</w:t>
      </w:r>
      <w:r w:rsidR="00583E1A">
        <w:t> </w:t>
      </w:r>
      <w:r w:rsidRPr="00583E1A">
        <w:t>830</w:t>
      </w:r>
      <w:r w:rsidR="00583E1A">
        <w:noBreakHyphen/>
      </w:r>
      <w:r w:rsidRPr="00583E1A">
        <w:t>B as a partner.</w:t>
      </w:r>
    </w:p>
    <w:p w:rsidR="00887330" w:rsidRPr="00583E1A" w:rsidRDefault="00887330" w:rsidP="00887330">
      <w:pPr>
        <w:pStyle w:val="TofSectsHeading"/>
      </w:pPr>
      <w:r w:rsidRPr="00583E1A">
        <w:t>Table of sections</w:t>
      </w:r>
    </w:p>
    <w:p w:rsidR="00887330" w:rsidRPr="00583E1A" w:rsidRDefault="00887330" w:rsidP="00887330">
      <w:pPr>
        <w:pStyle w:val="TofSectsSection"/>
      </w:pPr>
      <w:r w:rsidRPr="00583E1A">
        <w:t>830</w:t>
      </w:r>
      <w:r w:rsidR="00583E1A">
        <w:noBreakHyphen/>
      </w:r>
      <w:r w:rsidRPr="00583E1A">
        <w:t>45</w:t>
      </w:r>
      <w:r w:rsidRPr="00583E1A">
        <w:tab/>
        <w:t>Partner’s revenue and net capital losses from foreign hybrid not to exceed partner’s loss exposure amount</w:t>
      </w:r>
    </w:p>
    <w:p w:rsidR="00887330" w:rsidRPr="00583E1A" w:rsidRDefault="00887330" w:rsidP="00887330">
      <w:pPr>
        <w:pStyle w:val="TofSectsSection"/>
      </w:pPr>
      <w:r w:rsidRPr="00583E1A">
        <w:t>830</w:t>
      </w:r>
      <w:r w:rsidR="00583E1A">
        <w:noBreakHyphen/>
      </w:r>
      <w:r w:rsidRPr="00583E1A">
        <w:t>50</w:t>
      </w:r>
      <w:r w:rsidRPr="00583E1A">
        <w:tab/>
        <w:t>Deduction etc. where partner’s foreign hybrid revenue loss amount and foreign hybrid net capital loss amount are less than partner’s loss exposure amount</w:t>
      </w:r>
    </w:p>
    <w:p w:rsidR="00887330" w:rsidRPr="00583E1A" w:rsidRDefault="00887330" w:rsidP="00887330">
      <w:pPr>
        <w:pStyle w:val="TofSectsSection"/>
      </w:pPr>
      <w:r w:rsidRPr="00583E1A">
        <w:lastRenderedPageBreak/>
        <w:t>830</w:t>
      </w:r>
      <w:r w:rsidR="00583E1A">
        <w:noBreakHyphen/>
      </w:r>
      <w:r w:rsidRPr="00583E1A">
        <w:t>55</w:t>
      </w:r>
      <w:r w:rsidRPr="00583E1A">
        <w:tab/>
        <w:t xml:space="preserve">Meaning of </w:t>
      </w:r>
      <w:r w:rsidRPr="00583E1A">
        <w:rPr>
          <w:rStyle w:val="CharBoldItalic"/>
        </w:rPr>
        <w:t>foreign hybrid net capital loss amount</w:t>
      </w:r>
    </w:p>
    <w:p w:rsidR="00887330" w:rsidRPr="00583E1A" w:rsidRDefault="00887330" w:rsidP="00887330">
      <w:pPr>
        <w:pStyle w:val="TofSectsSection"/>
      </w:pPr>
      <w:r w:rsidRPr="00583E1A">
        <w:t>830</w:t>
      </w:r>
      <w:r w:rsidR="00583E1A">
        <w:noBreakHyphen/>
      </w:r>
      <w:r w:rsidRPr="00583E1A">
        <w:t>60</w:t>
      </w:r>
      <w:r w:rsidRPr="00583E1A">
        <w:tab/>
        <w:t xml:space="preserve">Meaning of </w:t>
      </w:r>
      <w:r w:rsidRPr="00583E1A">
        <w:rPr>
          <w:rStyle w:val="CharBoldItalic"/>
        </w:rPr>
        <w:t>loss exposure amount</w:t>
      </w:r>
    </w:p>
    <w:p w:rsidR="00887330" w:rsidRPr="00583E1A" w:rsidRDefault="00887330" w:rsidP="00887330">
      <w:pPr>
        <w:pStyle w:val="TofSectsSection"/>
      </w:pPr>
      <w:r w:rsidRPr="00583E1A">
        <w:t>830</w:t>
      </w:r>
      <w:r w:rsidR="00583E1A">
        <w:noBreakHyphen/>
      </w:r>
      <w:r w:rsidRPr="00583E1A">
        <w:t>65</w:t>
      </w:r>
      <w:r w:rsidRPr="00583E1A">
        <w:tab/>
        <w:t xml:space="preserve">Meaning of </w:t>
      </w:r>
      <w:r w:rsidRPr="00583E1A">
        <w:rPr>
          <w:rStyle w:val="CharBoldItalic"/>
        </w:rPr>
        <w:t>outstanding foreign hybrid revenue loss amount</w:t>
      </w:r>
    </w:p>
    <w:p w:rsidR="00887330" w:rsidRPr="00583E1A" w:rsidRDefault="00887330" w:rsidP="00887330">
      <w:pPr>
        <w:pStyle w:val="TofSectsSection"/>
      </w:pPr>
      <w:r w:rsidRPr="00583E1A">
        <w:t>830</w:t>
      </w:r>
      <w:r w:rsidR="00583E1A">
        <w:noBreakHyphen/>
      </w:r>
      <w:r w:rsidRPr="00583E1A">
        <w:t>70</w:t>
      </w:r>
      <w:r w:rsidRPr="00583E1A">
        <w:tab/>
        <w:t xml:space="preserve">Meaning of </w:t>
      </w:r>
      <w:r w:rsidRPr="00583E1A">
        <w:rPr>
          <w:rStyle w:val="CharBoldItalic"/>
        </w:rPr>
        <w:t>outstanding foreign hybrid net capital loss amount</w:t>
      </w:r>
    </w:p>
    <w:p w:rsidR="00887330" w:rsidRPr="00583E1A" w:rsidRDefault="00887330" w:rsidP="00887330">
      <w:pPr>
        <w:pStyle w:val="TofSectsSection"/>
      </w:pPr>
      <w:r w:rsidRPr="00583E1A">
        <w:t>830</w:t>
      </w:r>
      <w:r w:rsidR="00583E1A">
        <w:noBreakHyphen/>
      </w:r>
      <w:r w:rsidRPr="00583E1A">
        <w:t>75</w:t>
      </w:r>
      <w:r w:rsidRPr="00583E1A">
        <w:tab/>
        <w:t xml:space="preserve">Extended meaning of </w:t>
      </w:r>
      <w:r w:rsidRPr="00583E1A">
        <w:rPr>
          <w:rStyle w:val="CharBoldItalic"/>
        </w:rPr>
        <w:t xml:space="preserve">subject to </w:t>
      </w:r>
      <w:r w:rsidR="00B07D75" w:rsidRPr="00583E1A">
        <w:rPr>
          <w:rStyle w:val="CharBoldItalic"/>
        </w:rPr>
        <w:t xml:space="preserve">foreign </w:t>
      </w:r>
      <w:r w:rsidRPr="00583E1A">
        <w:rPr>
          <w:rStyle w:val="CharBoldItalic"/>
        </w:rPr>
        <w:t>tax</w:t>
      </w:r>
    </w:p>
    <w:p w:rsidR="00887330" w:rsidRPr="00583E1A" w:rsidRDefault="00887330" w:rsidP="00887330">
      <w:pPr>
        <w:pStyle w:val="ActHead5"/>
      </w:pPr>
      <w:bookmarkStart w:id="353" w:name="_Toc338939427"/>
      <w:r w:rsidRPr="00583E1A">
        <w:rPr>
          <w:rStyle w:val="CharSectno"/>
        </w:rPr>
        <w:t>830</w:t>
      </w:r>
      <w:r w:rsidR="00583E1A">
        <w:rPr>
          <w:rStyle w:val="CharSectno"/>
        </w:rPr>
        <w:noBreakHyphen/>
      </w:r>
      <w:r w:rsidRPr="00583E1A">
        <w:rPr>
          <w:rStyle w:val="CharSectno"/>
        </w:rPr>
        <w:t>45</w:t>
      </w:r>
      <w:r w:rsidRPr="00583E1A">
        <w:t xml:space="preserve">  Partner’s revenue and net capital losses from foreign hybrid not to exceed partner’s loss exposure amount</w:t>
      </w:r>
      <w:bookmarkEnd w:id="353"/>
    </w:p>
    <w:p w:rsidR="00887330" w:rsidRPr="00583E1A" w:rsidRDefault="00887330" w:rsidP="00887330">
      <w:pPr>
        <w:pStyle w:val="subsection"/>
      </w:pPr>
      <w:r w:rsidRPr="00583E1A">
        <w:tab/>
        <w:t>(1)</w:t>
      </w:r>
      <w:r w:rsidRPr="00583E1A">
        <w:tab/>
        <w:t xml:space="preserve">This section applies to a </w:t>
      </w:r>
      <w:r w:rsidR="00583E1A" w:rsidRPr="00583E1A">
        <w:rPr>
          <w:position w:val="6"/>
          <w:sz w:val="16"/>
        </w:rPr>
        <w:t>*</w:t>
      </w:r>
      <w:r w:rsidRPr="00583E1A">
        <w:t xml:space="preserve">limited partner in a </w:t>
      </w:r>
      <w:r w:rsidR="00583E1A" w:rsidRPr="00583E1A">
        <w:rPr>
          <w:position w:val="6"/>
          <w:sz w:val="16"/>
        </w:rPr>
        <w:t>*</w:t>
      </w:r>
      <w:r w:rsidRPr="00583E1A">
        <w:t>foreign hybrid in relation to an income year if the sum of the following amounts:</w:t>
      </w:r>
    </w:p>
    <w:p w:rsidR="00887330" w:rsidRPr="00583E1A" w:rsidRDefault="00887330" w:rsidP="00887330">
      <w:pPr>
        <w:pStyle w:val="paragraph"/>
      </w:pPr>
      <w:r w:rsidRPr="00583E1A">
        <w:tab/>
        <w:t>(a)</w:t>
      </w:r>
      <w:r w:rsidRPr="00583E1A">
        <w:tab/>
        <w:t xml:space="preserve">any amount (a </w:t>
      </w:r>
      <w:r w:rsidRPr="00583E1A">
        <w:rPr>
          <w:b/>
          <w:i/>
        </w:rPr>
        <w:t>foreign hybrid revenue loss amount</w:t>
      </w:r>
      <w:r w:rsidRPr="00583E1A">
        <w:t xml:space="preserve">) allowable to the partner as a deduction under subsection 92(2) of the </w:t>
      </w:r>
      <w:r w:rsidRPr="00583E1A">
        <w:rPr>
          <w:i/>
        </w:rPr>
        <w:t>Income Tax Assessment Act 1936</w:t>
      </w:r>
      <w:r w:rsidRPr="00583E1A">
        <w:t xml:space="preserve"> in respect of a </w:t>
      </w:r>
      <w:r w:rsidR="00583E1A" w:rsidRPr="00583E1A">
        <w:rPr>
          <w:position w:val="6"/>
          <w:sz w:val="16"/>
        </w:rPr>
        <w:t>*</w:t>
      </w:r>
      <w:r w:rsidRPr="00583E1A">
        <w:t>partnership loss of the foreign hybrid for the income year;</w:t>
      </w:r>
    </w:p>
    <w:p w:rsidR="00887330" w:rsidRPr="00583E1A" w:rsidRDefault="00887330" w:rsidP="00887330">
      <w:pPr>
        <w:pStyle w:val="paragraph"/>
      </w:pPr>
      <w:r w:rsidRPr="00583E1A">
        <w:tab/>
        <w:t>(b)</w:t>
      </w:r>
      <w:r w:rsidRPr="00583E1A">
        <w:tab/>
        <w:t xml:space="preserve">any </w:t>
      </w:r>
      <w:r w:rsidR="00583E1A" w:rsidRPr="00583E1A">
        <w:rPr>
          <w:position w:val="6"/>
          <w:sz w:val="16"/>
        </w:rPr>
        <w:t>*</w:t>
      </w:r>
      <w:r w:rsidRPr="00583E1A">
        <w:t>foreign hybrid net capital loss amount of the partner in respect of the foreign hybrid for the income year;</w:t>
      </w:r>
    </w:p>
    <w:p w:rsidR="00887330" w:rsidRPr="00583E1A" w:rsidRDefault="00887330" w:rsidP="00887330">
      <w:pPr>
        <w:pStyle w:val="subsection2"/>
      </w:pPr>
      <w:r w:rsidRPr="00583E1A">
        <w:t xml:space="preserve">exceeds the partner’s </w:t>
      </w:r>
      <w:r w:rsidR="00583E1A" w:rsidRPr="00583E1A">
        <w:rPr>
          <w:position w:val="6"/>
          <w:sz w:val="16"/>
        </w:rPr>
        <w:t>*</w:t>
      </w:r>
      <w:r w:rsidRPr="00583E1A">
        <w:t>loss exposure amount for the income year.</w:t>
      </w:r>
    </w:p>
    <w:p w:rsidR="00887330" w:rsidRPr="00583E1A" w:rsidRDefault="00887330" w:rsidP="00887330">
      <w:pPr>
        <w:pStyle w:val="SubsectionHead"/>
      </w:pPr>
      <w:r w:rsidRPr="00583E1A">
        <w:t>Reduction in foreign hybrid revenue loss amount or foreign hybrid net capital loss amount</w:t>
      </w:r>
    </w:p>
    <w:p w:rsidR="00887330" w:rsidRPr="00583E1A" w:rsidRDefault="00887330" w:rsidP="00887330">
      <w:pPr>
        <w:pStyle w:val="subsection"/>
      </w:pPr>
      <w:r w:rsidRPr="00583E1A">
        <w:tab/>
        <w:t>(2)</w:t>
      </w:r>
      <w:r w:rsidRPr="00583E1A">
        <w:tab/>
        <w:t xml:space="preserve">If this section applies, the amount mentioned in </w:t>
      </w:r>
      <w:r w:rsidR="00583E1A">
        <w:t>paragraph (</w:t>
      </w:r>
      <w:r w:rsidRPr="00583E1A">
        <w:t xml:space="preserve">1)(a) or (b), or each of the amounts mentioned in those paragraphs, is reduced so that in total they equal the partner’s </w:t>
      </w:r>
      <w:r w:rsidR="00583E1A" w:rsidRPr="00583E1A">
        <w:rPr>
          <w:position w:val="6"/>
          <w:sz w:val="16"/>
        </w:rPr>
        <w:t>*</w:t>
      </w:r>
      <w:r w:rsidRPr="00583E1A">
        <w:t>loss exposure amount. The partner must choose how much of the reduction is applied to each of the amounts.</w:t>
      </w:r>
    </w:p>
    <w:p w:rsidR="00887330" w:rsidRPr="00583E1A" w:rsidRDefault="00887330" w:rsidP="00887330">
      <w:pPr>
        <w:pStyle w:val="SubsectionHead"/>
      </w:pPr>
      <w:r w:rsidRPr="00583E1A">
        <w:t>Effect of reducing foreign hybrid net capital loss amount</w:t>
      </w:r>
    </w:p>
    <w:p w:rsidR="00887330" w:rsidRPr="00583E1A" w:rsidRDefault="00887330" w:rsidP="00887330">
      <w:pPr>
        <w:pStyle w:val="subsection"/>
      </w:pPr>
      <w:r w:rsidRPr="00583E1A">
        <w:tab/>
        <w:t>(3)</w:t>
      </w:r>
      <w:r w:rsidRPr="00583E1A">
        <w:tab/>
        <w:t xml:space="preserve">If the partner’s </w:t>
      </w:r>
      <w:r w:rsidR="00583E1A" w:rsidRPr="00583E1A">
        <w:rPr>
          <w:position w:val="6"/>
          <w:sz w:val="16"/>
        </w:rPr>
        <w:t>*</w:t>
      </w:r>
      <w:r w:rsidRPr="00583E1A">
        <w:t xml:space="preserve">foreign hybrid net capital loss amount in respect of the </w:t>
      </w:r>
      <w:r w:rsidR="00583E1A" w:rsidRPr="00583E1A">
        <w:rPr>
          <w:position w:val="6"/>
          <w:sz w:val="16"/>
        </w:rPr>
        <w:t>*</w:t>
      </w:r>
      <w:r w:rsidRPr="00583E1A">
        <w:t xml:space="preserve">foreign hybrid for the income year is reduced under </w:t>
      </w:r>
      <w:r w:rsidR="00583E1A">
        <w:t>subsection (</w:t>
      </w:r>
      <w:r w:rsidRPr="00583E1A">
        <w:t xml:space="preserve">2), the partner’s </w:t>
      </w:r>
      <w:r w:rsidR="00583E1A" w:rsidRPr="00583E1A">
        <w:rPr>
          <w:position w:val="6"/>
          <w:sz w:val="16"/>
        </w:rPr>
        <w:t>*</w:t>
      </w:r>
      <w:r w:rsidRPr="00583E1A">
        <w:t xml:space="preserve">net capital gain or </w:t>
      </w:r>
      <w:r w:rsidR="00583E1A" w:rsidRPr="00583E1A">
        <w:rPr>
          <w:position w:val="6"/>
          <w:sz w:val="16"/>
        </w:rPr>
        <w:t>*</w:t>
      </w:r>
      <w:r w:rsidRPr="00583E1A">
        <w:t xml:space="preserve">net capital loss for the income year is worked out by assuming that the </w:t>
      </w:r>
      <w:r w:rsidR="00583E1A" w:rsidRPr="00583E1A">
        <w:rPr>
          <w:position w:val="6"/>
          <w:sz w:val="16"/>
        </w:rPr>
        <w:t>*</w:t>
      </w:r>
      <w:r w:rsidRPr="00583E1A">
        <w:t xml:space="preserve">capital gains and </w:t>
      </w:r>
      <w:r w:rsidR="00583E1A" w:rsidRPr="00583E1A">
        <w:rPr>
          <w:position w:val="6"/>
          <w:sz w:val="16"/>
        </w:rPr>
        <w:t>*</w:t>
      </w:r>
      <w:r w:rsidRPr="00583E1A">
        <w:t>capital losses taken into account in working out the partner’s foreign hybrid net capital loss amount were instead a capital loss equal to the foreign hybrid net capital loss amount after the reduction.</w:t>
      </w:r>
    </w:p>
    <w:p w:rsidR="00887330" w:rsidRPr="00583E1A" w:rsidRDefault="00887330" w:rsidP="00887330">
      <w:pPr>
        <w:pStyle w:val="ActHead5"/>
      </w:pPr>
      <w:bookmarkStart w:id="354" w:name="_Toc338939428"/>
      <w:r w:rsidRPr="00583E1A">
        <w:rPr>
          <w:rStyle w:val="CharSectno"/>
        </w:rPr>
        <w:lastRenderedPageBreak/>
        <w:t>830</w:t>
      </w:r>
      <w:r w:rsidR="00583E1A">
        <w:rPr>
          <w:rStyle w:val="CharSectno"/>
        </w:rPr>
        <w:noBreakHyphen/>
      </w:r>
      <w:r w:rsidRPr="00583E1A">
        <w:rPr>
          <w:rStyle w:val="CharSectno"/>
        </w:rPr>
        <w:t>50</w:t>
      </w:r>
      <w:r w:rsidRPr="00583E1A">
        <w:t xml:space="preserve">  Deduction etc. where partner’s foreign hybrid revenue loss amount and foreign hybrid net capital loss amount are less than partner’s loss exposure amount</w:t>
      </w:r>
      <w:bookmarkEnd w:id="354"/>
    </w:p>
    <w:p w:rsidR="00887330" w:rsidRPr="00583E1A" w:rsidRDefault="00887330" w:rsidP="00887330">
      <w:pPr>
        <w:pStyle w:val="subsection"/>
      </w:pPr>
      <w:r w:rsidRPr="00583E1A">
        <w:tab/>
        <w:t>(1)</w:t>
      </w:r>
      <w:r w:rsidRPr="00583E1A">
        <w:tab/>
        <w:t>This section applies if:</w:t>
      </w:r>
    </w:p>
    <w:p w:rsidR="00887330" w:rsidRPr="00583E1A" w:rsidRDefault="00887330" w:rsidP="00887330">
      <w:pPr>
        <w:pStyle w:val="paragraph"/>
      </w:pPr>
      <w:r w:rsidRPr="00583E1A">
        <w:tab/>
        <w:t>(a)</w:t>
      </w:r>
      <w:r w:rsidRPr="00583E1A">
        <w:tab/>
        <w:t xml:space="preserve">the sum of a partner’s </w:t>
      </w:r>
      <w:r w:rsidR="00583E1A" w:rsidRPr="00583E1A">
        <w:rPr>
          <w:position w:val="6"/>
          <w:sz w:val="16"/>
        </w:rPr>
        <w:t>*</w:t>
      </w:r>
      <w:r w:rsidRPr="00583E1A">
        <w:t xml:space="preserve">foreign hybrid revenue loss amount and </w:t>
      </w:r>
      <w:r w:rsidR="00583E1A" w:rsidRPr="00583E1A">
        <w:rPr>
          <w:position w:val="6"/>
          <w:sz w:val="16"/>
        </w:rPr>
        <w:t>*</w:t>
      </w:r>
      <w:r w:rsidRPr="00583E1A">
        <w:t xml:space="preserve">foreign hybrid net capital loss amount for a </w:t>
      </w:r>
      <w:r w:rsidR="00583E1A" w:rsidRPr="00583E1A">
        <w:rPr>
          <w:position w:val="6"/>
          <w:sz w:val="16"/>
        </w:rPr>
        <w:t>*</w:t>
      </w:r>
      <w:r w:rsidRPr="00583E1A">
        <w:t xml:space="preserve">foreign hybrid for an income year does not exceed the partner’s </w:t>
      </w:r>
      <w:r w:rsidR="00583E1A" w:rsidRPr="00583E1A">
        <w:rPr>
          <w:position w:val="6"/>
          <w:sz w:val="16"/>
        </w:rPr>
        <w:t>*</w:t>
      </w:r>
      <w:r w:rsidRPr="00583E1A">
        <w:t xml:space="preserve">loss exposure amount for the foreign hybrid for the income year (the difference being the partner’s </w:t>
      </w:r>
      <w:r w:rsidRPr="00583E1A">
        <w:rPr>
          <w:b/>
          <w:i/>
        </w:rPr>
        <w:t>available</w:t>
      </w:r>
      <w:r w:rsidRPr="00583E1A">
        <w:t xml:space="preserve"> </w:t>
      </w:r>
      <w:r w:rsidRPr="00583E1A">
        <w:rPr>
          <w:b/>
          <w:i/>
        </w:rPr>
        <w:t>loss exposure amount</w:t>
      </w:r>
      <w:r w:rsidRPr="00583E1A">
        <w:t>); and</w:t>
      </w:r>
    </w:p>
    <w:p w:rsidR="00887330" w:rsidRPr="00583E1A" w:rsidRDefault="00887330" w:rsidP="00887330">
      <w:pPr>
        <w:pStyle w:val="paragraph"/>
      </w:pPr>
      <w:r w:rsidRPr="00583E1A">
        <w:tab/>
        <w:t>(b)</w:t>
      </w:r>
      <w:r w:rsidRPr="00583E1A">
        <w:tab/>
        <w:t xml:space="preserve">the partner has one or more </w:t>
      </w:r>
      <w:r w:rsidR="00583E1A" w:rsidRPr="00583E1A">
        <w:rPr>
          <w:position w:val="6"/>
          <w:sz w:val="16"/>
        </w:rPr>
        <w:t>*</w:t>
      </w:r>
      <w:r w:rsidRPr="00583E1A">
        <w:t xml:space="preserve">outstanding foreign hybrid revenue loss amounts or one or more </w:t>
      </w:r>
      <w:r w:rsidR="00583E1A" w:rsidRPr="00583E1A">
        <w:rPr>
          <w:position w:val="6"/>
          <w:sz w:val="16"/>
        </w:rPr>
        <w:t>*</w:t>
      </w:r>
      <w:r w:rsidRPr="00583E1A">
        <w:t>outstanding foreign hybrid net capital loss amounts, or both, in respect of the foreign hybrid for the income year.</w:t>
      </w:r>
    </w:p>
    <w:p w:rsidR="00887330" w:rsidRPr="00583E1A" w:rsidRDefault="00887330" w:rsidP="00887330">
      <w:pPr>
        <w:pStyle w:val="SubsectionHead"/>
      </w:pPr>
      <w:r w:rsidRPr="00583E1A">
        <w:t>Where sum of outstanding foreign hybrid revenue loss amounts and outstanding foreign hybrid net capital loss amounts does not exceed available loss exposure amount</w:t>
      </w:r>
    </w:p>
    <w:p w:rsidR="00887330" w:rsidRPr="00583E1A" w:rsidRDefault="00887330" w:rsidP="00887330">
      <w:pPr>
        <w:pStyle w:val="subsection"/>
      </w:pPr>
      <w:r w:rsidRPr="00583E1A">
        <w:tab/>
        <w:t>(2)</w:t>
      </w:r>
      <w:r w:rsidRPr="00583E1A">
        <w:tab/>
        <w:t xml:space="preserve">If the sum of the </w:t>
      </w:r>
      <w:r w:rsidR="00583E1A" w:rsidRPr="00583E1A">
        <w:rPr>
          <w:position w:val="6"/>
          <w:sz w:val="16"/>
        </w:rPr>
        <w:t>*</w:t>
      </w:r>
      <w:r w:rsidRPr="00583E1A">
        <w:t xml:space="preserve">outstanding foreign hybrid revenue loss amounts and the </w:t>
      </w:r>
      <w:r w:rsidR="00583E1A" w:rsidRPr="00583E1A">
        <w:rPr>
          <w:position w:val="6"/>
          <w:sz w:val="16"/>
        </w:rPr>
        <w:t>*</w:t>
      </w:r>
      <w:r w:rsidRPr="00583E1A">
        <w:t xml:space="preserve">outstanding foreign hybrid net capital loss amounts does not exceed the </w:t>
      </w:r>
      <w:r w:rsidR="00583E1A" w:rsidRPr="00583E1A">
        <w:rPr>
          <w:position w:val="6"/>
          <w:sz w:val="16"/>
        </w:rPr>
        <w:t>*</w:t>
      </w:r>
      <w:r w:rsidRPr="00583E1A">
        <w:t>available loss exposure amount:</w:t>
      </w:r>
    </w:p>
    <w:p w:rsidR="00887330" w:rsidRPr="00583E1A" w:rsidRDefault="00887330" w:rsidP="00887330">
      <w:pPr>
        <w:pStyle w:val="paragraph"/>
      </w:pPr>
      <w:r w:rsidRPr="00583E1A">
        <w:tab/>
        <w:t>(a)</w:t>
      </w:r>
      <w:r w:rsidRPr="00583E1A">
        <w:tab/>
        <w:t>a deduction is allowable to the partner for the income year equal to the sum of the outstanding foreign hybrid revenue loss amounts; and</w:t>
      </w:r>
    </w:p>
    <w:p w:rsidR="00887330" w:rsidRPr="00583E1A" w:rsidRDefault="00887330" w:rsidP="00887330">
      <w:pPr>
        <w:pStyle w:val="paragraph"/>
      </w:pPr>
      <w:r w:rsidRPr="00583E1A">
        <w:tab/>
        <w:t>(b)</w:t>
      </w:r>
      <w:r w:rsidRPr="00583E1A">
        <w:tab/>
        <w:t xml:space="preserve">the partner makes a </w:t>
      </w:r>
      <w:r w:rsidR="00583E1A" w:rsidRPr="00583E1A">
        <w:rPr>
          <w:position w:val="6"/>
          <w:sz w:val="16"/>
        </w:rPr>
        <w:t>*</w:t>
      </w:r>
      <w:r w:rsidRPr="00583E1A">
        <w:t>capital loss for the income year under section</w:t>
      </w:r>
      <w:r w:rsidR="00583E1A">
        <w:t> </w:t>
      </w:r>
      <w:r w:rsidRPr="00583E1A">
        <w:t>104</w:t>
      </w:r>
      <w:r w:rsidR="00583E1A">
        <w:noBreakHyphen/>
      </w:r>
      <w:r w:rsidRPr="00583E1A">
        <w:t>270 equal to the sum of the outstanding foreign hybrid net capital loss amounts.</w:t>
      </w:r>
    </w:p>
    <w:p w:rsidR="00887330" w:rsidRPr="00583E1A" w:rsidRDefault="00887330" w:rsidP="00887330">
      <w:pPr>
        <w:pStyle w:val="SubsectionHead"/>
      </w:pPr>
      <w:r w:rsidRPr="00583E1A">
        <w:t>Where sum of outstanding foreign hybrid revenue loss amounts and outstanding foreign hybrid net capital loss amounts exceeds available loss exposure amount</w:t>
      </w:r>
    </w:p>
    <w:p w:rsidR="00887330" w:rsidRPr="00583E1A" w:rsidRDefault="00887330" w:rsidP="00887330">
      <w:pPr>
        <w:pStyle w:val="subsection"/>
      </w:pPr>
      <w:r w:rsidRPr="00583E1A">
        <w:tab/>
        <w:t>(3)</w:t>
      </w:r>
      <w:r w:rsidRPr="00583E1A">
        <w:tab/>
        <w:t xml:space="preserve">If the sum of the </w:t>
      </w:r>
      <w:r w:rsidR="00583E1A" w:rsidRPr="00583E1A">
        <w:rPr>
          <w:position w:val="6"/>
          <w:sz w:val="16"/>
        </w:rPr>
        <w:t>*</w:t>
      </w:r>
      <w:r w:rsidRPr="00583E1A">
        <w:t xml:space="preserve">outstanding foreign hybrid revenue loss amounts and the </w:t>
      </w:r>
      <w:r w:rsidR="00583E1A" w:rsidRPr="00583E1A">
        <w:rPr>
          <w:position w:val="6"/>
          <w:sz w:val="16"/>
        </w:rPr>
        <w:t>*</w:t>
      </w:r>
      <w:r w:rsidRPr="00583E1A">
        <w:t xml:space="preserve">outstanding foreign hybrid net capital loss amounts exceeds the </w:t>
      </w:r>
      <w:r w:rsidR="00583E1A" w:rsidRPr="00583E1A">
        <w:rPr>
          <w:position w:val="6"/>
          <w:sz w:val="16"/>
        </w:rPr>
        <w:t>*</w:t>
      </w:r>
      <w:r w:rsidRPr="00583E1A">
        <w:t>available loss exposure amount, then either or both of the following apply:</w:t>
      </w:r>
    </w:p>
    <w:p w:rsidR="00887330" w:rsidRPr="00583E1A" w:rsidRDefault="00887330" w:rsidP="00887330">
      <w:pPr>
        <w:pStyle w:val="paragraph"/>
      </w:pPr>
      <w:r w:rsidRPr="00583E1A">
        <w:lastRenderedPageBreak/>
        <w:tab/>
        <w:t>(a)</w:t>
      </w:r>
      <w:r w:rsidRPr="00583E1A">
        <w:tab/>
        <w:t>a deduction is allowable to the partner for the income year equal to some or all of the outstanding foreign hybrid revenue loss amounts;</w:t>
      </w:r>
    </w:p>
    <w:p w:rsidR="00887330" w:rsidRPr="00583E1A" w:rsidRDefault="00887330" w:rsidP="00887330">
      <w:pPr>
        <w:pStyle w:val="paragraph"/>
      </w:pPr>
      <w:r w:rsidRPr="00583E1A">
        <w:tab/>
        <w:t>(b)</w:t>
      </w:r>
      <w:r w:rsidRPr="00583E1A">
        <w:tab/>
        <w:t xml:space="preserve">the partner makes a </w:t>
      </w:r>
      <w:r w:rsidR="00583E1A" w:rsidRPr="00583E1A">
        <w:rPr>
          <w:position w:val="6"/>
          <w:sz w:val="16"/>
        </w:rPr>
        <w:t>*</w:t>
      </w:r>
      <w:r w:rsidRPr="00583E1A">
        <w:t>capital loss under section</w:t>
      </w:r>
      <w:r w:rsidR="00583E1A">
        <w:t> </w:t>
      </w:r>
      <w:r w:rsidRPr="00583E1A">
        <w:t>104</w:t>
      </w:r>
      <w:r w:rsidR="00583E1A">
        <w:noBreakHyphen/>
      </w:r>
      <w:r w:rsidRPr="00583E1A">
        <w:t>270 equal to some or all of the outstanding foreign hybrid net capital loss amounts;</w:t>
      </w:r>
    </w:p>
    <w:p w:rsidR="00887330" w:rsidRPr="00583E1A" w:rsidRDefault="00887330" w:rsidP="00887330">
      <w:pPr>
        <w:pStyle w:val="subsection2"/>
      </w:pPr>
      <w:r w:rsidRPr="00583E1A">
        <w:t>such that the sum of the deduction and the capital loss equals the available loss exposure amount.</w:t>
      </w:r>
    </w:p>
    <w:p w:rsidR="00887330" w:rsidRPr="00583E1A" w:rsidRDefault="00887330" w:rsidP="00DF3A48">
      <w:pPr>
        <w:pStyle w:val="SubsectionHead"/>
      </w:pPr>
      <w:r w:rsidRPr="00583E1A">
        <w:t xml:space="preserve">Partner to choose how to apply </w:t>
      </w:r>
      <w:r w:rsidR="00583E1A">
        <w:t>subsection (</w:t>
      </w:r>
      <w:r w:rsidRPr="00583E1A">
        <w:t>3)</w:t>
      </w:r>
    </w:p>
    <w:p w:rsidR="00887330" w:rsidRPr="00583E1A" w:rsidRDefault="00887330" w:rsidP="00DF3A48">
      <w:pPr>
        <w:pStyle w:val="subsection"/>
        <w:keepNext/>
        <w:keepLines/>
      </w:pPr>
      <w:r w:rsidRPr="00583E1A">
        <w:tab/>
        <w:t>(4)</w:t>
      </w:r>
      <w:r w:rsidRPr="00583E1A">
        <w:tab/>
        <w:t>The partner must choose:</w:t>
      </w:r>
    </w:p>
    <w:p w:rsidR="00887330" w:rsidRPr="00583E1A" w:rsidRDefault="00887330" w:rsidP="00887330">
      <w:pPr>
        <w:pStyle w:val="paragraph"/>
      </w:pPr>
      <w:r w:rsidRPr="00583E1A">
        <w:tab/>
        <w:t>(a)</w:t>
      </w:r>
      <w:r w:rsidRPr="00583E1A">
        <w:tab/>
        <w:t xml:space="preserve">which of </w:t>
      </w:r>
      <w:r w:rsidR="00583E1A">
        <w:t>paragraphs (</w:t>
      </w:r>
      <w:r w:rsidRPr="00583E1A">
        <w:t>3)(a) and (b) is to apply or whether both are to apply; and</w:t>
      </w:r>
    </w:p>
    <w:p w:rsidR="00887330" w:rsidRPr="00583E1A" w:rsidRDefault="00887330" w:rsidP="00887330">
      <w:pPr>
        <w:pStyle w:val="paragraph"/>
      </w:pPr>
      <w:r w:rsidRPr="00583E1A">
        <w:tab/>
        <w:t>(b)</w:t>
      </w:r>
      <w:r w:rsidRPr="00583E1A">
        <w:tab/>
        <w:t xml:space="preserve">the amount of the deduction or </w:t>
      </w:r>
      <w:r w:rsidR="00583E1A" w:rsidRPr="00583E1A">
        <w:rPr>
          <w:position w:val="6"/>
          <w:sz w:val="16"/>
        </w:rPr>
        <w:t>*</w:t>
      </w:r>
      <w:r w:rsidRPr="00583E1A">
        <w:t>capital loss, or the amounts of both; and</w:t>
      </w:r>
    </w:p>
    <w:p w:rsidR="00887330" w:rsidRPr="00583E1A" w:rsidRDefault="00887330" w:rsidP="00887330">
      <w:pPr>
        <w:pStyle w:val="paragraph"/>
      </w:pPr>
      <w:r w:rsidRPr="00583E1A">
        <w:tab/>
        <w:t>(c)</w:t>
      </w:r>
      <w:r w:rsidRPr="00583E1A">
        <w:tab/>
        <w:t>the particular outstanding foreign hybrid revenue loss amounts or outstanding foreign hybrid net capital loss amounts, or both, to which they relate.</w:t>
      </w:r>
    </w:p>
    <w:p w:rsidR="00887330" w:rsidRPr="00583E1A" w:rsidRDefault="00887330" w:rsidP="00887330">
      <w:pPr>
        <w:pStyle w:val="ActHead5"/>
      </w:pPr>
      <w:bookmarkStart w:id="355" w:name="_Toc338939429"/>
      <w:r w:rsidRPr="00583E1A">
        <w:rPr>
          <w:rStyle w:val="CharSectno"/>
        </w:rPr>
        <w:t>830</w:t>
      </w:r>
      <w:r w:rsidR="00583E1A">
        <w:rPr>
          <w:rStyle w:val="CharSectno"/>
        </w:rPr>
        <w:noBreakHyphen/>
      </w:r>
      <w:r w:rsidRPr="00583E1A">
        <w:rPr>
          <w:rStyle w:val="CharSectno"/>
        </w:rPr>
        <w:t>55</w:t>
      </w:r>
      <w:r w:rsidRPr="00583E1A">
        <w:t xml:space="preserve">  Meaning of </w:t>
      </w:r>
      <w:r w:rsidRPr="00583E1A">
        <w:rPr>
          <w:i/>
        </w:rPr>
        <w:t>foreign hybrid net capital loss amount</w:t>
      </w:r>
      <w:bookmarkEnd w:id="355"/>
    </w:p>
    <w:p w:rsidR="00887330" w:rsidRPr="00583E1A" w:rsidRDefault="00887330" w:rsidP="00887330">
      <w:pPr>
        <w:pStyle w:val="subsection"/>
      </w:pPr>
      <w:r w:rsidRPr="00583E1A">
        <w:tab/>
      </w:r>
      <w:r w:rsidRPr="00583E1A">
        <w:tab/>
        <w:t>If:</w:t>
      </w:r>
    </w:p>
    <w:p w:rsidR="00887330" w:rsidRPr="00583E1A" w:rsidRDefault="00887330" w:rsidP="00887330">
      <w:pPr>
        <w:pStyle w:val="paragraph"/>
      </w:pPr>
      <w:r w:rsidRPr="00583E1A">
        <w:tab/>
        <w:t>(a)</w:t>
      </w:r>
      <w:r w:rsidRPr="00583E1A">
        <w:tab/>
        <w:t xml:space="preserve">the sum of a partner’s </w:t>
      </w:r>
      <w:r w:rsidR="00583E1A" w:rsidRPr="00583E1A">
        <w:rPr>
          <w:position w:val="6"/>
          <w:sz w:val="16"/>
        </w:rPr>
        <w:t>*</w:t>
      </w:r>
      <w:r w:rsidRPr="00583E1A">
        <w:t xml:space="preserve">capital losses from </w:t>
      </w:r>
      <w:r w:rsidR="00583E1A" w:rsidRPr="00583E1A">
        <w:rPr>
          <w:position w:val="6"/>
          <w:sz w:val="16"/>
        </w:rPr>
        <w:t>*</w:t>
      </w:r>
      <w:r w:rsidRPr="00583E1A">
        <w:t xml:space="preserve">CGT events happening during an income year in relation to a </w:t>
      </w:r>
      <w:r w:rsidR="00583E1A" w:rsidRPr="00583E1A">
        <w:rPr>
          <w:position w:val="6"/>
          <w:sz w:val="16"/>
        </w:rPr>
        <w:t>*</w:t>
      </w:r>
      <w:r w:rsidRPr="00583E1A">
        <w:t xml:space="preserve">foreign hybrid or </w:t>
      </w:r>
      <w:r w:rsidR="00583E1A" w:rsidRPr="00583E1A">
        <w:rPr>
          <w:position w:val="6"/>
          <w:sz w:val="16"/>
        </w:rPr>
        <w:t>*</w:t>
      </w:r>
      <w:r w:rsidRPr="00583E1A">
        <w:t>CGT assets of a foreign hybrid;</w:t>
      </w:r>
    </w:p>
    <w:p w:rsidR="00887330" w:rsidRPr="00583E1A" w:rsidRDefault="00887330" w:rsidP="00887330">
      <w:pPr>
        <w:pStyle w:val="subsection2"/>
      </w:pPr>
      <w:r w:rsidRPr="00583E1A">
        <w:t>exceeds:</w:t>
      </w:r>
    </w:p>
    <w:p w:rsidR="00887330" w:rsidRPr="00583E1A" w:rsidRDefault="00887330" w:rsidP="00887330">
      <w:pPr>
        <w:pStyle w:val="paragraph"/>
      </w:pPr>
      <w:r w:rsidRPr="00583E1A">
        <w:tab/>
        <w:t>(b)</w:t>
      </w:r>
      <w:r w:rsidRPr="00583E1A">
        <w:tab/>
        <w:t xml:space="preserve">the sum of the partner’s </w:t>
      </w:r>
      <w:r w:rsidR="00583E1A" w:rsidRPr="00583E1A">
        <w:rPr>
          <w:position w:val="6"/>
          <w:sz w:val="16"/>
        </w:rPr>
        <w:t>*</w:t>
      </w:r>
      <w:r w:rsidRPr="00583E1A">
        <w:t>capital gains from CGT events happening during the income year in relation to the foreign hybrid or CGT assets of the foreign hybrid;</w:t>
      </w:r>
    </w:p>
    <w:p w:rsidR="00887330" w:rsidRPr="00583E1A" w:rsidRDefault="00887330" w:rsidP="00887330">
      <w:pPr>
        <w:pStyle w:val="subsection2"/>
      </w:pPr>
      <w:r w:rsidRPr="00583E1A">
        <w:t xml:space="preserve">the partner has a </w:t>
      </w:r>
      <w:r w:rsidRPr="00583E1A">
        <w:rPr>
          <w:b/>
          <w:i/>
        </w:rPr>
        <w:t>foreign hybrid net capital loss amount</w:t>
      </w:r>
      <w:r w:rsidRPr="00583E1A">
        <w:t xml:space="preserve"> in respect of the foreign hybrid for the income year equal to the excess.</w:t>
      </w:r>
    </w:p>
    <w:p w:rsidR="00887330" w:rsidRPr="00583E1A" w:rsidRDefault="00887330" w:rsidP="00887330">
      <w:pPr>
        <w:pStyle w:val="ActHead5"/>
      </w:pPr>
      <w:bookmarkStart w:id="356" w:name="_Toc338939430"/>
      <w:r w:rsidRPr="00583E1A">
        <w:rPr>
          <w:rStyle w:val="CharSectno"/>
        </w:rPr>
        <w:t>830</w:t>
      </w:r>
      <w:r w:rsidR="00583E1A">
        <w:rPr>
          <w:rStyle w:val="CharSectno"/>
        </w:rPr>
        <w:noBreakHyphen/>
      </w:r>
      <w:r w:rsidRPr="00583E1A">
        <w:rPr>
          <w:rStyle w:val="CharSectno"/>
        </w:rPr>
        <w:t>60</w:t>
      </w:r>
      <w:r w:rsidRPr="00583E1A">
        <w:t xml:space="preserve">  Meaning of </w:t>
      </w:r>
      <w:r w:rsidRPr="00583E1A">
        <w:rPr>
          <w:i/>
        </w:rPr>
        <w:t>loss exposure amount</w:t>
      </w:r>
      <w:bookmarkEnd w:id="356"/>
    </w:p>
    <w:p w:rsidR="00887330" w:rsidRPr="00583E1A" w:rsidRDefault="00887330" w:rsidP="00887330">
      <w:pPr>
        <w:pStyle w:val="subsection"/>
      </w:pPr>
      <w:r w:rsidRPr="00583E1A">
        <w:tab/>
        <w:t>(1)</w:t>
      </w:r>
      <w:r w:rsidRPr="00583E1A">
        <w:tab/>
        <w:t xml:space="preserve">The </w:t>
      </w:r>
      <w:r w:rsidRPr="00583E1A">
        <w:rPr>
          <w:b/>
          <w:i/>
        </w:rPr>
        <w:t>loss exposure amount</w:t>
      </w:r>
      <w:r w:rsidRPr="00583E1A">
        <w:t xml:space="preserve"> of a partner in a </w:t>
      </w:r>
      <w:r w:rsidR="00583E1A" w:rsidRPr="00583E1A">
        <w:rPr>
          <w:position w:val="6"/>
          <w:sz w:val="16"/>
        </w:rPr>
        <w:t>*</w:t>
      </w:r>
      <w:r w:rsidRPr="00583E1A">
        <w:t>foreign hybrid for an income year is worked out as follows:</w:t>
      </w:r>
    </w:p>
    <w:p w:rsidR="00887330" w:rsidRPr="00583E1A" w:rsidRDefault="00887330" w:rsidP="00887330">
      <w:pPr>
        <w:pStyle w:val="BoxHeadItalic"/>
      </w:pPr>
      <w:r w:rsidRPr="00583E1A">
        <w:lastRenderedPageBreak/>
        <w:t>Method statement</w:t>
      </w:r>
    </w:p>
    <w:p w:rsidR="00887330" w:rsidRPr="00583E1A" w:rsidRDefault="00AE4F7F" w:rsidP="00887330">
      <w:pPr>
        <w:pStyle w:val="BoxStep"/>
      </w:pPr>
      <w:r w:rsidRPr="00583E1A">
        <w:rPr>
          <w:szCs w:val="22"/>
        </w:rPr>
        <w:t>Step 1.</w:t>
      </w:r>
      <w:r w:rsidR="00887330" w:rsidRPr="00583E1A">
        <w:rPr>
          <w:i/>
        </w:rPr>
        <w:tab/>
      </w:r>
      <w:r w:rsidR="00887330" w:rsidRPr="00583E1A">
        <w:t xml:space="preserve">Work out the sum of the amounts or </w:t>
      </w:r>
      <w:r w:rsidR="00583E1A" w:rsidRPr="00583E1A">
        <w:rPr>
          <w:position w:val="6"/>
          <w:sz w:val="16"/>
        </w:rPr>
        <w:t>*</w:t>
      </w:r>
      <w:r w:rsidR="00887330" w:rsidRPr="00583E1A">
        <w:t xml:space="preserve">market values of the contributions made by the partner to the </w:t>
      </w:r>
      <w:r w:rsidR="00583E1A" w:rsidRPr="00583E1A">
        <w:rPr>
          <w:position w:val="6"/>
          <w:sz w:val="16"/>
        </w:rPr>
        <w:t>*</w:t>
      </w:r>
      <w:r w:rsidR="00887330" w:rsidRPr="00583E1A">
        <w:t>foreign hybrid that, as at the end of the income year:</w:t>
      </w:r>
    </w:p>
    <w:p w:rsidR="00887330" w:rsidRPr="00583E1A" w:rsidRDefault="00887330" w:rsidP="00887330">
      <w:pPr>
        <w:pStyle w:val="BoxPara"/>
      </w:pPr>
      <w:r w:rsidRPr="00583E1A">
        <w:tab/>
        <w:t>(a)</w:t>
      </w:r>
      <w:r w:rsidRPr="00583E1A">
        <w:tab/>
        <w:t>have not been repaid or returned to the partner; and</w:t>
      </w:r>
    </w:p>
    <w:p w:rsidR="00887330" w:rsidRPr="00583E1A" w:rsidRDefault="00887330" w:rsidP="00887330">
      <w:pPr>
        <w:pStyle w:val="BoxPara"/>
        <w:rPr>
          <w:snapToGrid w:val="0"/>
        </w:rPr>
      </w:pPr>
      <w:r w:rsidRPr="00583E1A">
        <w:tab/>
        <w:t>(b)</w:t>
      </w:r>
      <w:r w:rsidRPr="00583E1A">
        <w:tab/>
        <w:t>have been contributed for at least 180 days, or are intended by the partner to remain contributed for at least 180 days.</w:t>
      </w:r>
    </w:p>
    <w:p w:rsidR="00887330" w:rsidRPr="00583E1A" w:rsidRDefault="00AE4F7F" w:rsidP="00887330">
      <w:pPr>
        <w:pStyle w:val="BoxStep"/>
        <w:keepNext/>
        <w:keepLines/>
      </w:pPr>
      <w:r w:rsidRPr="00583E1A">
        <w:rPr>
          <w:szCs w:val="22"/>
        </w:rPr>
        <w:t>Step 2.</w:t>
      </w:r>
      <w:r w:rsidR="00887330" w:rsidRPr="00583E1A">
        <w:rPr>
          <w:i/>
        </w:rPr>
        <w:tab/>
      </w:r>
      <w:r w:rsidR="00887330" w:rsidRPr="00583E1A">
        <w:t>Subtract the sum of the amounts of:</w:t>
      </w:r>
    </w:p>
    <w:p w:rsidR="00887330" w:rsidRPr="00583E1A" w:rsidRDefault="00887330" w:rsidP="00887330">
      <w:pPr>
        <w:pStyle w:val="BoxPara"/>
        <w:keepNext/>
        <w:keepLines/>
        <w:rPr>
          <w:snapToGrid w:val="0"/>
        </w:rPr>
      </w:pPr>
      <w:r w:rsidRPr="00583E1A">
        <w:tab/>
        <w:t>(a)</w:t>
      </w:r>
      <w:r w:rsidRPr="00583E1A">
        <w:tab/>
        <w:t xml:space="preserve">all </w:t>
      </w:r>
      <w:r w:rsidR="00583E1A" w:rsidRPr="00583E1A">
        <w:rPr>
          <w:position w:val="6"/>
          <w:sz w:val="16"/>
        </w:rPr>
        <w:t>*</w:t>
      </w:r>
      <w:r w:rsidRPr="00583E1A">
        <w:t xml:space="preserve">limited recourse debts owed by the partner at the end of the income year, to the extent that the </w:t>
      </w:r>
      <w:r w:rsidR="00583E1A" w:rsidRPr="00583E1A">
        <w:rPr>
          <w:position w:val="6"/>
          <w:sz w:val="16"/>
        </w:rPr>
        <w:t>*</w:t>
      </w:r>
      <w:r w:rsidRPr="00583E1A">
        <w:t xml:space="preserve">borrowings concerned were for the purpose of enabling the partner to make contributions to the </w:t>
      </w:r>
      <w:r w:rsidR="00583E1A" w:rsidRPr="00583E1A">
        <w:rPr>
          <w:position w:val="6"/>
          <w:sz w:val="16"/>
        </w:rPr>
        <w:t>*</w:t>
      </w:r>
      <w:r w:rsidRPr="00583E1A">
        <w:t>foreign hybrid and the debts were secured by the partner’s interest in the foreign hybrid</w:t>
      </w:r>
      <w:r w:rsidRPr="00583E1A">
        <w:rPr>
          <w:snapToGrid w:val="0"/>
        </w:rPr>
        <w:t>; and</w:t>
      </w:r>
    </w:p>
    <w:p w:rsidR="00887330" w:rsidRPr="00583E1A" w:rsidRDefault="00887330" w:rsidP="00887330">
      <w:pPr>
        <w:pStyle w:val="BoxPara"/>
        <w:rPr>
          <w:snapToGrid w:val="0"/>
        </w:rPr>
      </w:pPr>
      <w:r w:rsidRPr="00583E1A">
        <w:tab/>
        <w:t>(b)</w:t>
      </w:r>
      <w:r w:rsidRPr="00583E1A">
        <w:tab/>
        <w:t xml:space="preserve">all the partner’s </w:t>
      </w:r>
      <w:r w:rsidR="00583E1A" w:rsidRPr="00583E1A">
        <w:rPr>
          <w:position w:val="6"/>
          <w:sz w:val="16"/>
        </w:rPr>
        <w:t>*</w:t>
      </w:r>
      <w:r w:rsidRPr="00583E1A">
        <w:t>foreign hybrid revenue loss amounts in respect of the foreign hybrid for previous income years, after any reduction under subsection 830</w:t>
      </w:r>
      <w:r w:rsidR="00583E1A">
        <w:noBreakHyphen/>
      </w:r>
      <w:r w:rsidRPr="00583E1A">
        <w:t>45(2)</w:t>
      </w:r>
      <w:r w:rsidRPr="00583E1A">
        <w:rPr>
          <w:snapToGrid w:val="0"/>
        </w:rPr>
        <w:t>; and</w:t>
      </w:r>
    </w:p>
    <w:p w:rsidR="00887330" w:rsidRPr="00583E1A" w:rsidRDefault="00887330" w:rsidP="00887330">
      <w:pPr>
        <w:pStyle w:val="BoxPara"/>
        <w:rPr>
          <w:snapToGrid w:val="0"/>
        </w:rPr>
      </w:pPr>
      <w:r w:rsidRPr="00583E1A">
        <w:rPr>
          <w:snapToGrid w:val="0"/>
        </w:rPr>
        <w:tab/>
        <w:t>(c)</w:t>
      </w:r>
      <w:r w:rsidRPr="00583E1A">
        <w:rPr>
          <w:snapToGrid w:val="0"/>
        </w:rPr>
        <w:tab/>
        <w:t xml:space="preserve">all the partner’s </w:t>
      </w:r>
      <w:r w:rsidR="00583E1A" w:rsidRPr="00583E1A">
        <w:rPr>
          <w:snapToGrid w:val="0"/>
          <w:position w:val="6"/>
          <w:sz w:val="16"/>
        </w:rPr>
        <w:t>*</w:t>
      </w:r>
      <w:r w:rsidRPr="00583E1A">
        <w:rPr>
          <w:snapToGrid w:val="0"/>
        </w:rPr>
        <w:t>foreign hybrid net capital loss amounts in relation to the partnership for previous income years, after any reduction under subsection 830</w:t>
      </w:r>
      <w:r w:rsidR="00583E1A">
        <w:rPr>
          <w:snapToGrid w:val="0"/>
        </w:rPr>
        <w:noBreakHyphen/>
      </w:r>
      <w:r w:rsidRPr="00583E1A">
        <w:rPr>
          <w:snapToGrid w:val="0"/>
        </w:rPr>
        <w:t>45(2); and</w:t>
      </w:r>
    </w:p>
    <w:p w:rsidR="00887330" w:rsidRPr="00583E1A" w:rsidRDefault="00887330" w:rsidP="00887330">
      <w:pPr>
        <w:pStyle w:val="BoxPara"/>
        <w:rPr>
          <w:snapToGrid w:val="0"/>
        </w:rPr>
      </w:pPr>
      <w:r w:rsidRPr="00583E1A">
        <w:tab/>
        <w:t>(d)</w:t>
      </w:r>
      <w:r w:rsidRPr="00583E1A">
        <w:tab/>
        <w:t>all deductions allowed to the partner under subsection 830</w:t>
      </w:r>
      <w:r w:rsidR="00583E1A">
        <w:noBreakHyphen/>
      </w:r>
      <w:r w:rsidRPr="00583E1A">
        <w:t>50(2) or (3) in respect of the foreign hybrid for previous income years</w:t>
      </w:r>
      <w:r w:rsidRPr="00583E1A">
        <w:rPr>
          <w:snapToGrid w:val="0"/>
        </w:rPr>
        <w:t>; and</w:t>
      </w:r>
    </w:p>
    <w:p w:rsidR="00887330" w:rsidRPr="00583E1A" w:rsidRDefault="00887330" w:rsidP="00887330">
      <w:pPr>
        <w:pStyle w:val="BoxPara"/>
        <w:rPr>
          <w:snapToGrid w:val="0"/>
        </w:rPr>
      </w:pPr>
      <w:r w:rsidRPr="00583E1A">
        <w:tab/>
        <w:t>(e)</w:t>
      </w:r>
      <w:r w:rsidRPr="00583E1A">
        <w:tab/>
        <w:t xml:space="preserve">all </w:t>
      </w:r>
      <w:r w:rsidR="00583E1A" w:rsidRPr="00583E1A">
        <w:rPr>
          <w:position w:val="6"/>
          <w:sz w:val="16"/>
        </w:rPr>
        <w:t>*</w:t>
      </w:r>
      <w:r w:rsidRPr="00583E1A">
        <w:t>capital losses that, as a result of subsection 830</w:t>
      </w:r>
      <w:r w:rsidR="00583E1A">
        <w:noBreakHyphen/>
      </w:r>
      <w:r w:rsidRPr="00583E1A">
        <w:t xml:space="preserve">50(2) or (3), the partner made in respect of </w:t>
      </w:r>
      <w:r w:rsidR="00583E1A" w:rsidRPr="00583E1A">
        <w:rPr>
          <w:position w:val="6"/>
          <w:sz w:val="16"/>
        </w:rPr>
        <w:t>*</w:t>
      </w:r>
      <w:r w:rsidRPr="00583E1A">
        <w:t>CGT event K12 in respect of the foreign hybrid for previous income years.</w:t>
      </w:r>
    </w:p>
    <w:p w:rsidR="00887330" w:rsidRPr="00583E1A" w:rsidRDefault="00887330" w:rsidP="00887330">
      <w:pPr>
        <w:pStyle w:val="SubsectionHead"/>
      </w:pPr>
      <w:r w:rsidRPr="00583E1A">
        <w:lastRenderedPageBreak/>
        <w:t>Contribution in case of foreign hybrid company</w:t>
      </w:r>
    </w:p>
    <w:p w:rsidR="00887330" w:rsidRPr="00583E1A" w:rsidRDefault="00887330" w:rsidP="00887330">
      <w:pPr>
        <w:pStyle w:val="subsection"/>
      </w:pPr>
      <w:r w:rsidRPr="00583E1A">
        <w:tab/>
        <w:t>(2)</w:t>
      </w:r>
      <w:r w:rsidRPr="00583E1A">
        <w:tab/>
        <w:t xml:space="preserve">For the purposes of step 1 in the method statement in </w:t>
      </w:r>
      <w:r w:rsidR="00583E1A">
        <w:t>subsection (</w:t>
      </w:r>
      <w:r w:rsidRPr="00583E1A">
        <w:t>1), if:</w:t>
      </w:r>
    </w:p>
    <w:p w:rsidR="00887330" w:rsidRPr="00583E1A" w:rsidRDefault="00887330" w:rsidP="00887330">
      <w:pPr>
        <w:pStyle w:val="paragraph"/>
      </w:pPr>
      <w:r w:rsidRPr="00583E1A">
        <w:tab/>
        <w:t>(a)</w:t>
      </w:r>
      <w:r w:rsidRPr="00583E1A">
        <w:tab/>
        <w:t xml:space="preserve">the </w:t>
      </w:r>
      <w:r w:rsidR="00583E1A" w:rsidRPr="00583E1A">
        <w:rPr>
          <w:position w:val="6"/>
          <w:sz w:val="16"/>
        </w:rPr>
        <w:t>*</w:t>
      </w:r>
      <w:r w:rsidRPr="00583E1A">
        <w:t xml:space="preserve">foreign hybrid is a </w:t>
      </w:r>
      <w:r w:rsidR="00583E1A" w:rsidRPr="00583E1A">
        <w:rPr>
          <w:position w:val="6"/>
          <w:sz w:val="16"/>
        </w:rPr>
        <w:t>*</w:t>
      </w:r>
      <w:r w:rsidRPr="00583E1A">
        <w:t>foreign hybrid company; and</w:t>
      </w:r>
    </w:p>
    <w:p w:rsidR="00887330" w:rsidRPr="00583E1A" w:rsidRDefault="00887330" w:rsidP="00887330">
      <w:pPr>
        <w:pStyle w:val="paragraph"/>
      </w:pPr>
      <w:r w:rsidRPr="00583E1A">
        <w:tab/>
        <w:t>(b)</w:t>
      </w:r>
      <w:r w:rsidRPr="00583E1A">
        <w:tab/>
        <w:t xml:space="preserve">the partner </w:t>
      </w:r>
      <w:r w:rsidR="00583E1A" w:rsidRPr="00583E1A">
        <w:rPr>
          <w:position w:val="6"/>
          <w:sz w:val="16"/>
        </w:rPr>
        <w:t>*</w:t>
      </w:r>
      <w:r w:rsidRPr="00583E1A">
        <w:t xml:space="preserve">acquired its </w:t>
      </w:r>
      <w:r w:rsidR="00583E1A" w:rsidRPr="00583E1A">
        <w:rPr>
          <w:position w:val="6"/>
          <w:sz w:val="16"/>
        </w:rPr>
        <w:t>*</w:t>
      </w:r>
      <w:r w:rsidRPr="00583E1A">
        <w:t>shares in the company from another shareholder; and</w:t>
      </w:r>
    </w:p>
    <w:p w:rsidR="00887330" w:rsidRPr="00583E1A" w:rsidRDefault="00887330" w:rsidP="00887330">
      <w:pPr>
        <w:pStyle w:val="paragraph"/>
      </w:pPr>
      <w:r w:rsidRPr="00583E1A">
        <w:tab/>
        <w:t>(c)</w:t>
      </w:r>
      <w:r w:rsidRPr="00583E1A">
        <w:tab/>
        <w:t>the payment or other consideration for the acquisition of the shares did not constitute the making of a contribution by the partner to the foreign hybrid;</w:t>
      </w:r>
    </w:p>
    <w:p w:rsidR="00887330" w:rsidRPr="00583E1A" w:rsidRDefault="00887330" w:rsidP="00887330">
      <w:pPr>
        <w:pStyle w:val="subsection2"/>
      </w:pPr>
      <w:r w:rsidRPr="00583E1A">
        <w:t>the payment or other consideration is taken:</w:t>
      </w:r>
    </w:p>
    <w:p w:rsidR="00887330" w:rsidRPr="00583E1A" w:rsidRDefault="00887330" w:rsidP="00887330">
      <w:pPr>
        <w:pStyle w:val="paragraph"/>
      </w:pPr>
      <w:r w:rsidRPr="00583E1A">
        <w:tab/>
        <w:t>(d)</w:t>
      </w:r>
      <w:r w:rsidRPr="00583E1A">
        <w:tab/>
        <w:t>to be a contribution by the partner to the foreign hybrid; and</w:t>
      </w:r>
    </w:p>
    <w:p w:rsidR="00887330" w:rsidRPr="00583E1A" w:rsidRDefault="00887330" w:rsidP="00887330">
      <w:pPr>
        <w:pStyle w:val="paragraph"/>
      </w:pPr>
      <w:r w:rsidRPr="00583E1A">
        <w:tab/>
        <w:t>(e)</w:t>
      </w:r>
      <w:r w:rsidRPr="00583E1A">
        <w:tab/>
        <w:t>to be so contributed for as long as the partner holds the shares; and</w:t>
      </w:r>
    </w:p>
    <w:p w:rsidR="00887330" w:rsidRPr="00583E1A" w:rsidRDefault="00887330" w:rsidP="00887330">
      <w:pPr>
        <w:pStyle w:val="paragraph"/>
      </w:pPr>
      <w:r w:rsidRPr="00583E1A">
        <w:tab/>
        <w:t>(f)</w:t>
      </w:r>
      <w:r w:rsidRPr="00583E1A">
        <w:tab/>
        <w:t>to have been repaid to the partner to the extent of any payment that:</w:t>
      </w:r>
    </w:p>
    <w:p w:rsidR="00887330" w:rsidRPr="00583E1A" w:rsidRDefault="00887330" w:rsidP="00887330">
      <w:pPr>
        <w:pStyle w:val="paragraphsub"/>
      </w:pPr>
      <w:r w:rsidRPr="00583E1A">
        <w:tab/>
        <w:t>(i)</w:t>
      </w:r>
      <w:r w:rsidRPr="00583E1A">
        <w:tab/>
        <w:t>the foreign hybrid makes to the partner in respect of the share; and</w:t>
      </w:r>
    </w:p>
    <w:p w:rsidR="00887330" w:rsidRPr="00583E1A" w:rsidRDefault="00887330" w:rsidP="00887330">
      <w:pPr>
        <w:pStyle w:val="paragraphsub"/>
      </w:pPr>
      <w:r w:rsidRPr="00583E1A">
        <w:tab/>
        <w:t>(ii)</w:t>
      </w:r>
      <w:r w:rsidRPr="00583E1A">
        <w:tab/>
        <w:t>the foreign hybrid describes as a return of capital; and</w:t>
      </w:r>
    </w:p>
    <w:p w:rsidR="00887330" w:rsidRPr="00583E1A" w:rsidRDefault="00887330" w:rsidP="00887330">
      <w:pPr>
        <w:pStyle w:val="paragraphsub"/>
      </w:pPr>
      <w:r w:rsidRPr="00583E1A">
        <w:tab/>
        <w:t>(iii)</w:t>
      </w:r>
      <w:r w:rsidRPr="00583E1A">
        <w:tab/>
        <w:t>is attributable to the period during which the partner has held the shares.</w:t>
      </w:r>
    </w:p>
    <w:p w:rsidR="00887330" w:rsidRPr="00583E1A" w:rsidRDefault="00887330" w:rsidP="00887330">
      <w:pPr>
        <w:pStyle w:val="ActHead5"/>
      </w:pPr>
      <w:bookmarkStart w:id="357" w:name="_Toc338939431"/>
      <w:r w:rsidRPr="00583E1A">
        <w:rPr>
          <w:rStyle w:val="CharSectno"/>
        </w:rPr>
        <w:t>830</w:t>
      </w:r>
      <w:r w:rsidR="00583E1A">
        <w:rPr>
          <w:rStyle w:val="CharSectno"/>
        </w:rPr>
        <w:noBreakHyphen/>
      </w:r>
      <w:r w:rsidRPr="00583E1A">
        <w:rPr>
          <w:rStyle w:val="CharSectno"/>
        </w:rPr>
        <w:t>65</w:t>
      </w:r>
      <w:r w:rsidRPr="00583E1A">
        <w:t xml:space="preserve">  Meaning of </w:t>
      </w:r>
      <w:r w:rsidRPr="00583E1A">
        <w:rPr>
          <w:i/>
        </w:rPr>
        <w:t>outstanding foreign hybrid revenue loss amount</w:t>
      </w:r>
      <w:bookmarkEnd w:id="357"/>
    </w:p>
    <w:p w:rsidR="00887330" w:rsidRPr="00583E1A" w:rsidRDefault="00887330" w:rsidP="00887330">
      <w:pPr>
        <w:pStyle w:val="subsection"/>
      </w:pPr>
      <w:r w:rsidRPr="00583E1A">
        <w:tab/>
        <w:t>(1)</w:t>
      </w:r>
      <w:r w:rsidRPr="00583E1A">
        <w:tab/>
        <w:t xml:space="preserve">This section applies if a </w:t>
      </w:r>
      <w:r w:rsidR="00583E1A" w:rsidRPr="00583E1A">
        <w:rPr>
          <w:position w:val="6"/>
          <w:sz w:val="16"/>
        </w:rPr>
        <w:t>*</w:t>
      </w:r>
      <w:r w:rsidRPr="00583E1A">
        <w:t xml:space="preserve">foreign hybrid revenue loss amount of a partner in a </w:t>
      </w:r>
      <w:r w:rsidR="00583E1A" w:rsidRPr="00583E1A">
        <w:rPr>
          <w:position w:val="6"/>
          <w:sz w:val="16"/>
        </w:rPr>
        <w:t>*</w:t>
      </w:r>
      <w:r w:rsidRPr="00583E1A">
        <w:t xml:space="preserve">foreign hybrid in relation to an income year (the </w:t>
      </w:r>
      <w:r w:rsidRPr="00583E1A">
        <w:rPr>
          <w:b/>
          <w:i/>
        </w:rPr>
        <w:t>reduction year</w:t>
      </w:r>
      <w:r w:rsidRPr="00583E1A">
        <w:t>) is reduced under subsection 830</w:t>
      </w:r>
      <w:r w:rsidR="00583E1A">
        <w:noBreakHyphen/>
      </w:r>
      <w:r w:rsidRPr="00583E1A">
        <w:t>45(2).</w:t>
      </w:r>
    </w:p>
    <w:p w:rsidR="00887330" w:rsidRPr="00583E1A" w:rsidRDefault="00887330" w:rsidP="00887330">
      <w:pPr>
        <w:pStyle w:val="subsection"/>
      </w:pPr>
      <w:r w:rsidRPr="00583E1A">
        <w:tab/>
        <w:t>(2)</w:t>
      </w:r>
      <w:r w:rsidRPr="00583E1A">
        <w:tab/>
        <w:t xml:space="preserve">The partner has, for each later income year, an </w:t>
      </w:r>
      <w:r w:rsidRPr="00583E1A">
        <w:rPr>
          <w:b/>
          <w:i/>
        </w:rPr>
        <w:t xml:space="preserve">outstanding foreign hybrid revenue loss amount </w:t>
      </w:r>
      <w:r w:rsidRPr="00583E1A">
        <w:t>equal to the amount of the reduction, less the sum of any deductions allowable to the partner under subsection 830</w:t>
      </w:r>
      <w:r w:rsidR="00583E1A">
        <w:noBreakHyphen/>
      </w:r>
      <w:r w:rsidRPr="00583E1A">
        <w:t>50(2) or (3) in respect of the outstanding foreign hybrid revenue loss amount for income years between the reduction year and the later income year.</w:t>
      </w:r>
    </w:p>
    <w:p w:rsidR="00887330" w:rsidRPr="00583E1A" w:rsidRDefault="00887330" w:rsidP="00887330">
      <w:pPr>
        <w:pStyle w:val="SubsectionHead"/>
      </w:pPr>
      <w:r w:rsidRPr="00583E1A">
        <w:lastRenderedPageBreak/>
        <w:t>Outstanding foreign hybrid revenue loss amount not to form part of tax loss</w:t>
      </w:r>
    </w:p>
    <w:p w:rsidR="00887330" w:rsidRPr="00583E1A" w:rsidRDefault="00887330" w:rsidP="00887330">
      <w:pPr>
        <w:pStyle w:val="subsection"/>
      </w:pPr>
      <w:r w:rsidRPr="00583E1A">
        <w:tab/>
        <w:t>(3)</w:t>
      </w:r>
      <w:r w:rsidRPr="00583E1A">
        <w:tab/>
        <w:t xml:space="preserve">To avoid doubt, a partner’s </w:t>
      </w:r>
      <w:r w:rsidR="00583E1A" w:rsidRPr="00583E1A">
        <w:rPr>
          <w:position w:val="6"/>
          <w:sz w:val="16"/>
        </w:rPr>
        <w:t>*</w:t>
      </w:r>
      <w:r w:rsidRPr="00583E1A">
        <w:t xml:space="preserve">outstanding foreign hybrid revenue loss amount for an income year cannot form part of a </w:t>
      </w:r>
      <w:r w:rsidR="00583E1A" w:rsidRPr="00583E1A">
        <w:rPr>
          <w:position w:val="6"/>
          <w:sz w:val="16"/>
        </w:rPr>
        <w:t>*</w:t>
      </w:r>
      <w:r w:rsidRPr="00583E1A">
        <w:t>tax loss for the purposes of Division</w:t>
      </w:r>
      <w:r w:rsidR="00583E1A">
        <w:t> </w:t>
      </w:r>
      <w:r w:rsidRPr="00583E1A">
        <w:t>36.</w:t>
      </w:r>
    </w:p>
    <w:p w:rsidR="00887330" w:rsidRPr="00583E1A" w:rsidRDefault="00887330" w:rsidP="00887330">
      <w:pPr>
        <w:pStyle w:val="ActHead5"/>
      </w:pPr>
      <w:bookmarkStart w:id="358" w:name="_Toc338939432"/>
      <w:r w:rsidRPr="00583E1A">
        <w:rPr>
          <w:rStyle w:val="CharSectno"/>
        </w:rPr>
        <w:t>830</w:t>
      </w:r>
      <w:r w:rsidR="00583E1A">
        <w:rPr>
          <w:rStyle w:val="CharSectno"/>
        </w:rPr>
        <w:noBreakHyphen/>
      </w:r>
      <w:r w:rsidRPr="00583E1A">
        <w:rPr>
          <w:rStyle w:val="CharSectno"/>
        </w:rPr>
        <w:t>70</w:t>
      </w:r>
      <w:r w:rsidRPr="00583E1A">
        <w:t xml:space="preserve">  Meaning of </w:t>
      </w:r>
      <w:r w:rsidRPr="00583E1A">
        <w:rPr>
          <w:i/>
        </w:rPr>
        <w:t>outstanding foreign hybrid net capital loss amount</w:t>
      </w:r>
      <w:bookmarkEnd w:id="358"/>
    </w:p>
    <w:p w:rsidR="00887330" w:rsidRPr="00583E1A" w:rsidRDefault="00887330" w:rsidP="00887330">
      <w:pPr>
        <w:pStyle w:val="subsection"/>
      </w:pPr>
      <w:r w:rsidRPr="00583E1A">
        <w:tab/>
        <w:t>(1)</w:t>
      </w:r>
      <w:r w:rsidRPr="00583E1A">
        <w:tab/>
        <w:t xml:space="preserve">This section applies if a </w:t>
      </w:r>
      <w:r w:rsidR="00583E1A" w:rsidRPr="00583E1A">
        <w:rPr>
          <w:position w:val="6"/>
          <w:sz w:val="16"/>
        </w:rPr>
        <w:t>*</w:t>
      </w:r>
      <w:r w:rsidRPr="00583E1A">
        <w:t xml:space="preserve">foreign hybrid net capital loss amount of a partner in a </w:t>
      </w:r>
      <w:r w:rsidR="00583E1A" w:rsidRPr="00583E1A">
        <w:rPr>
          <w:position w:val="6"/>
          <w:sz w:val="16"/>
        </w:rPr>
        <w:t>*</w:t>
      </w:r>
      <w:r w:rsidRPr="00583E1A">
        <w:t xml:space="preserve">foreign hybrid in relation to an income year (the </w:t>
      </w:r>
      <w:r w:rsidRPr="00583E1A">
        <w:rPr>
          <w:b/>
          <w:i/>
        </w:rPr>
        <w:t>reduction year</w:t>
      </w:r>
      <w:r w:rsidRPr="00583E1A">
        <w:t>) is reduced under subsection 830</w:t>
      </w:r>
      <w:r w:rsidR="00583E1A">
        <w:noBreakHyphen/>
      </w:r>
      <w:r w:rsidRPr="00583E1A">
        <w:t>45(2).</w:t>
      </w:r>
    </w:p>
    <w:p w:rsidR="00887330" w:rsidRPr="00583E1A" w:rsidRDefault="00887330" w:rsidP="00887330">
      <w:pPr>
        <w:pStyle w:val="subsection"/>
      </w:pPr>
      <w:r w:rsidRPr="00583E1A">
        <w:tab/>
        <w:t>(2)</w:t>
      </w:r>
      <w:r w:rsidRPr="00583E1A">
        <w:tab/>
        <w:t xml:space="preserve">The partner has, for each later income year, an </w:t>
      </w:r>
      <w:r w:rsidRPr="00583E1A">
        <w:rPr>
          <w:b/>
          <w:i/>
        </w:rPr>
        <w:t xml:space="preserve">outstanding foreign hybrid net capital loss amount </w:t>
      </w:r>
      <w:r w:rsidRPr="00583E1A">
        <w:t xml:space="preserve">equal to the amount of the reduction, less the sum of any </w:t>
      </w:r>
      <w:r w:rsidR="00583E1A" w:rsidRPr="00583E1A">
        <w:rPr>
          <w:position w:val="6"/>
          <w:sz w:val="16"/>
        </w:rPr>
        <w:t>*</w:t>
      </w:r>
      <w:r w:rsidRPr="00583E1A">
        <w:t>capital losses that, as a result of subsection 830</w:t>
      </w:r>
      <w:r w:rsidR="00583E1A">
        <w:noBreakHyphen/>
      </w:r>
      <w:r w:rsidRPr="00583E1A">
        <w:t xml:space="preserve">50(2) or (3), the partner makes in respect of </w:t>
      </w:r>
      <w:r w:rsidR="00583E1A" w:rsidRPr="00583E1A">
        <w:rPr>
          <w:position w:val="6"/>
          <w:sz w:val="16"/>
        </w:rPr>
        <w:t>*</w:t>
      </w:r>
      <w:r w:rsidRPr="00583E1A">
        <w:t>CGT event K12 in respect of the outstanding foreign hybrid net capital loss amount for income years between the reduction year and the later income year.</w:t>
      </w:r>
    </w:p>
    <w:p w:rsidR="00094571" w:rsidRPr="00214FF7" w:rsidRDefault="00094571" w:rsidP="00094571">
      <w:pPr>
        <w:pStyle w:val="ActHead5"/>
      </w:pPr>
      <w:bookmarkStart w:id="359" w:name="_Toc338939433"/>
      <w:r w:rsidRPr="00214FF7">
        <w:rPr>
          <w:rStyle w:val="CharSectno"/>
        </w:rPr>
        <w:t>830</w:t>
      </w:r>
      <w:r w:rsidRPr="00214FF7">
        <w:rPr>
          <w:rStyle w:val="CharSectno"/>
        </w:rPr>
        <w:noBreakHyphen/>
        <w:t>75</w:t>
      </w:r>
      <w:r w:rsidRPr="00214FF7">
        <w:t xml:space="preserve">  Extended meaning of </w:t>
      </w:r>
      <w:r w:rsidRPr="00214FF7">
        <w:rPr>
          <w:i/>
        </w:rPr>
        <w:t>subject to foreign tax</w:t>
      </w:r>
      <w:bookmarkEnd w:id="359"/>
    </w:p>
    <w:p w:rsidR="00887330" w:rsidRPr="00583E1A" w:rsidRDefault="00887330" w:rsidP="00887330">
      <w:pPr>
        <w:pStyle w:val="SubsectionHead"/>
      </w:pPr>
      <w:r w:rsidRPr="00583E1A">
        <w:t>Where entity becomes a partner</w:t>
      </w:r>
    </w:p>
    <w:p w:rsidR="00887330" w:rsidRPr="00583E1A" w:rsidRDefault="00887330" w:rsidP="00887330">
      <w:pPr>
        <w:pStyle w:val="subsection"/>
      </w:pPr>
      <w:r w:rsidRPr="00583E1A">
        <w:tab/>
        <w:t>(1)</w:t>
      </w:r>
      <w:r w:rsidRPr="00583E1A">
        <w:tab/>
        <w:t>If:</w:t>
      </w:r>
    </w:p>
    <w:p w:rsidR="00887330" w:rsidRPr="00583E1A" w:rsidRDefault="00887330" w:rsidP="00887330">
      <w:pPr>
        <w:pStyle w:val="paragraph"/>
      </w:pPr>
      <w:r w:rsidRPr="00583E1A">
        <w:tab/>
        <w:t>(a)</w:t>
      </w:r>
      <w:r w:rsidRPr="00583E1A">
        <w:tab/>
        <w:t xml:space="preserve">an entity becomes a partner (the </w:t>
      </w:r>
      <w:r w:rsidRPr="00583E1A">
        <w:rPr>
          <w:b/>
          <w:i/>
        </w:rPr>
        <w:t>first partner</w:t>
      </w:r>
      <w:r w:rsidRPr="00583E1A">
        <w:t xml:space="preserve">) in a </w:t>
      </w:r>
      <w:r w:rsidR="00583E1A" w:rsidRPr="00583E1A">
        <w:rPr>
          <w:position w:val="6"/>
          <w:sz w:val="16"/>
        </w:rPr>
        <w:t>*</w:t>
      </w:r>
      <w:r w:rsidRPr="00583E1A">
        <w:t>foreign hybrid in relation to an income year; and</w:t>
      </w:r>
    </w:p>
    <w:p w:rsidR="00887330" w:rsidRPr="00583E1A" w:rsidRDefault="00887330" w:rsidP="00887330">
      <w:pPr>
        <w:pStyle w:val="paragraph"/>
      </w:pPr>
      <w:r w:rsidRPr="00583E1A">
        <w:tab/>
        <w:t>(b)</w:t>
      </w:r>
      <w:r w:rsidRPr="00583E1A">
        <w:tab/>
        <w:t>a gain or profit of a capital nature accrues to another partner as a result of the disposal of the whole or part of that other partner’s interest in an asset of the foreign hybrid that happens when the first partner becomes a partner; and</w:t>
      </w:r>
    </w:p>
    <w:p w:rsidR="00887330" w:rsidRPr="00583E1A" w:rsidRDefault="00887330" w:rsidP="00887330">
      <w:pPr>
        <w:pStyle w:val="paragraph"/>
      </w:pPr>
      <w:r w:rsidRPr="00583E1A">
        <w:tab/>
        <w:t>(c)</w:t>
      </w:r>
      <w:r w:rsidRPr="00583E1A">
        <w:tab/>
        <w:t xml:space="preserve">apart from this subsection, the gain or profit is not </w:t>
      </w:r>
      <w:r w:rsidR="00671A63" w:rsidRPr="00671A63">
        <w:rPr>
          <w:position w:val="6"/>
          <w:sz w:val="16"/>
        </w:rPr>
        <w:t>*</w:t>
      </w:r>
      <w:r w:rsidR="00671A63" w:rsidRPr="00671A63">
        <w:t>subject to foreign tax</w:t>
      </w:r>
      <w:r w:rsidRPr="00583E1A">
        <w:t xml:space="preserve"> in a </w:t>
      </w:r>
      <w:r w:rsidR="00583E1A" w:rsidRPr="00583E1A">
        <w:rPr>
          <w:position w:val="6"/>
          <w:sz w:val="16"/>
        </w:rPr>
        <w:t>*</w:t>
      </w:r>
      <w:r w:rsidRPr="00583E1A">
        <w:t xml:space="preserve">listed country in any </w:t>
      </w:r>
      <w:r w:rsidR="00583E1A" w:rsidRPr="00583E1A">
        <w:rPr>
          <w:position w:val="6"/>
          <w:sz w:val="16"/>
        </w:rPr>
        <w:t>*</w:t>
      </w:r>
      <w:r w:rsidRPr="00583E1A">
        <w:t>tax accounting period; and</w:t>
      </w:r>
    </w:p>
    <w:p w:rsidR="00887330" w:rsidRPr="00583E1A" w:rsidRDefault="00887330" w:rsidP="00887330">
      <w:pPr>
        <w:pStyle w:val="paragraph"/>
      </w:pPr>
      <w:r w:rsidRPr="00583E1A">
        <w:tab/>
        <w:t>(d)</w:t>
      </w:r>
      <w:r w:rsidRPr="00583E1A">
        <w:tab/>
        <w:t xml:space="preserve">if the foreign hybrid had disposed of the whole or an equivalent part of the asset at the time of the disposal of the whole or the part of the interest, any gain or profit of a capital nature that accrued to the foreign hybrid in respect of the </w:t>
      </w:r>
      <w:r w:rsidRPr="00583E1A">
        <w:lastRenderedPageBreak/>
        <w:t xml:space="preserve">disposal would have been </w:t>
      </w:r>
      <w:r w:rsidR="00094571">
        <w:t>subject to foreign tax</w:t>
      </w:r>
      <w:r w:rsidRPr="00583E1A">
        <w:t xml:space="preserve"> in a listed country in a tax accounting period;</w:t>
      </w:r>
    </w:p>
    <w:p w:rsidR="00887330" w:rsidRPr="00583E1A" w:rsidRDefault="00887330" w:rsidP="00887330">
      <w:pPr>
        <w:pStyle w:val="subsection2"/>
      </w:pPr>
      <w:r w:rsidRPr="00583E1A">
        <w:t>then, for the purposes of Part</w:t>
      </w:r>
      <w:r w:rsidR="00583E1A">
        <w:t> </w:t>
      </w:r>
      <w:r w:rsidRPr="00583E1A">
        <w:t xml:space="preserve">X of the </w:t>
      </w:r>
      <w:r w:rsidRPr="00583E1A">
        <w:rPr>
          <w:i/>
        </w:rPr>
        <w:t>Income Tax Assessment Act 1936</w:t>
      </w:r>
      <w:r w:rsidRPr="00583E1A">
        <w:t xml:space="preserve">, the gain or profit mentioned in </w:t>
      </w:r>
      <w:r w:rsidR="00583E1A">
        <w:t>paragraph (</w:t>
      </w:r>
      <w:r w:rsidRPr="00583E1A">
        <w:t xml:space="preserve">b) is taken to be </w:t>
      </w:r>
      <w:r w:rsidR="00094571">
        <w:t>subject to foreign tax</w:t>
      </w:r>
      <w:r w:rsidRPr="00583E1A">
        <w:t xml:space="preserve"> in the listed country, and in the tax accounting period, mentioned in </w:t>
      </w:r>
      <w:r w:rsidR="00583E1A">
        <w:t>paragraph (</w:t>
      </w:r>
      <w:r w:rsidRPr="00583E1A">
        <w:t>d).</w:t>
      </w:r>
    </w:p>
    <w:p w:rsidR="00887330" w:rsidRPr="00583E1A" w:rsidRDefault="00887330" w:rsidP="00887330">
      <w:pPr>
        <w:pStyle w:val="SubsectionHead"/>
      </w:pPr>
      <w:r w:rsidRPr="00583E1A">
        <w:t>Where partner increases its interest</w:t>
      </w:r>
    </w:p>
    <w:p w:rsidR="00887330" w:rsidRPr="00583E1A" w:rsidRDefault="00887330" w:rsidP="00887330">
      <w:pPr>
        <w:pStyle w:val="subsection"/>
      </w:pPr>
      <w:r w:rsidRPr="00583E1A">
        <w:tab/>
        <w:t>(2)</w:t>
      </w:r>
      <w:r w:rsidRPr="00583E1A">
        <w:tab/>
        <w:t>If:</w:t>
      </w:r>
    </w:p>
    <w:p w:rsidR="00887330" w:rsidRPr="00583E1A" w:rsidRDefault="00887330" w:rsidP="00887330">
      <w:pPr>
        <w:pStyle w:val="paragraph"/>
      </w:pPr>
      <w:r w:rsidRPr="00583E1A">
        <w:tab/>
        <w:t>(a)</w:t>
      </w:r>
      <w:r w:rsidRPr="00583E1A">
        <w:tab/>
        <w:t xml:space="preserve">an entity is a partner (the </w:t>
      </w:r>
      <w:r w:rsidRPr="00583E1A">
        <w:rPr>
          <w:b/>
          <w:i/>
        </w:rPr>
        <w:t>first partner</w:t>
      </w:r>
      <w:r w:rsidRPr="00583E1A">
        <w:t xml:space="preserve">) that increases its interest in a </w:t>
      </w:r>
      <w:r w:rsidR="00583E1A" w:rsidRPr="00583E1A">
        <w:rPr>
          <w:position w:val="6"/>
          <w:sz w:val="16"/>
        </w:rPr>
        <w:t>*</w:t>
      </w:r>
      <w:r w:rsidRPr="00583E1A">
        <w:t>foreign hybrid in relation to an income year; and</w:t>
      </w:r>
    </w:p>
    <w:p w:rsidR="00887330" w:rsidRPr="00583E1A" w:rsidRDefault="00887330" w:rsidP="00887330">
      <w:pPr>
        <w:pStyle w:val="paragraph"/>
      </w:pPr>
      <w:r w:rsidRPr="00583E1A">
        <w:tab/>
        <w:t>(b)</w:t>
      </w:r>
      <w:r w:rsidRPr="00583E1A">
        <w:tab/>
        <w:t>a gain or profit of a capital nature accrues to another partner as a result of the disposal of the whole or part of that other partner’s interest in an asset of the foreign hybrid that happens when the first partner increases its interest in the foreign hybrid; and</w:t>
      </w:r>
    </w:p>
    <w:p w:rsidR="00887330" w:rsidRPr="00583E1A" w:rsidRDefault="00887330" w:rsidP="00887330">
      <w:pPr>
        <w:pStyle w:val="paragraph"/>
      </w:pPr>
      <w:r w:rsidRPr="00583E1A">
        <w:tab/>
        <w:t>(c)</w:t>
      </w:r>
      <w:r w:rsidRPr="00583E1A">
        <w:tab/>
        <w:t xml:space="preserve">apart from this subsection, the gain or profit is not </w:t>
      </w:r>
      <w:r w:rsidR="00671A63" w:rsidRPr="00671A63">
        <w:rPr>
          <w:position w:val="6"/>
          <w:sz w:val="16"/>
        </w:rPr>
        <w:t>*</w:t>
      </w:r>
      <w:r w:rsidR="00671A63" w:rsidRPr="00671A63">
        <w:t>subject to foreign tax</w:t>
      </w:r>
      <w:r w:rsidRPr="00583E1A">
        <w:t xml:space="preserve"> in a </w:t>
      </w:r>
      <w:r w:rsidR="00583E1A" w:rsidRPr="00583E1A">
        <w:rPr>
          <w:position w:val="6"/>
          <w:sz w:val="16"/>
        </w:rPr>
        <w:t>*</w:t>
      </w:r>
      <w:r w:rsidRPr="00583E1A">
        <w:t xml:space="preserve">listed country in any </w:t>
      </w:r>
      <w:r w:rsidR="00583E1A" w:rsidRPr="00583E1A">
        <w:rPr>
          <w:position w:val="6"/>
          <w:sz w:val="16"/>
        </w:rPr>
        <w:t>*</w:t>
      </w:r>
      <w:r w:rsidRPr="00583E1A">
        <w:t>tax accounting period; and</w:t>
      </w:r>
    </w:p>
    <w:p w:rsidR="00887330" w:rsidRPr="00583E1A" w:rsidRDefault="00887330" w:rsidP="00887330">
      <w:pPr>
        <w:pStyle w:val="paragraph"/>
      </w:pPr>
      <w:r w:rsidRPr="00583E1A">
        <w:tab/>
        <w:t>(d)</w:t>
      </w:r>
      <w:r w:rsidRPr="00583E1A">
        <w:tab/>
        <w:t xml:space="preserve">if the foreign hybrid had disposed of the whole or an equivalent part of the asset at the time of the disposal of the whole or the part of the interest, any gain or profit of a capital nature that accrued to the foreign hybrid in respect of the disposal would have been </w:t>
      </w:r>
      <w:r w:rsidR="00094571">
        <w:t>subject to foreign tax</w:t>
      </w:r>
      <w:r w:rsidRPr="00583E1A">
        <w:t xml:space="preserve"> in a listed country in a tax accounting period;</w:t>
      </w:r>
    </w:p>
    <w:p w:rsidR="00887330" w:rsidRPr="00583E1A" w:rsidRDefault="00887330" w:rsidP="00887330">
      <w:pPr>
        <w:pStyle w:val="subsection2"/>
      </w:pPr>
      <w:r w:rsidRPr="00583E1A">
        <w:t>then, for the purposes of Part</w:t>
      </w:r>
      <w:r w:rsidR="00583E1A">
        <w:t> </w:t>
      </w:r>
      <w:r w:rsidRPr="00583E1A">
        <w:t xml:space="preserve">X of the </w:t>
      </w:r>
      <w:r w:rsidRPr="00583E1A">
        <w:rPr>
          <w:i/>
        </w:rPr>
        <w:t>Income Tax Assessment Act 1936</w:t>
      </w:r>
      <w:r w:rsidRPr="00583E1A">
        <w:t xml:space="preserve">, the gain or profit mentioned in </w:t>
      </w:r>
      <w:r w:rsidR="00583E1A">
        <w:t>paragraph (</w:t>
      </w:r>
      <w:r w:rsidRPr="00583E1A">
        <w:t xml:space="preserve">b) is taken to be </w:t>
      </w:r>
      <w:r w:rsidR="00094571">
        <w:t>subject to foreign tax</w:t>
      </w:r>
      <w:r w:rsidRPr="00583E1A">
        <w:t xml:space="preserve"> in the listed country, and in the tax accounting period, mentioned in </w:t>
      </w:r>
      <w:r w:rsidR="00583E1A">
        <w:t>paragraph (</w:t>
      </w:r>
      <w:r w:rsidRPr="00583E1A">
        <w:t>d).</w:t>
      </w:r>
    </w:p>
    <w:p w:rsidR="00887330" w:rsidRPr="00583E1A" w:rsidRDefault="00887330" w:rsidP="008F0608">
      <w:pPr>
        <w:pStyle w:val="SubsectionHead"/>
      </w:pPr>
      <w:r w:rsidRPr="00583E1A">
        <w:t>Where entity ceases to be a partner</w:t>
      </w:r>
    </w:p>
    <w:p w:rsidR="00887330" w:rsidRPr="00583E1A" w:rsidRDefault="00887330" w:rsidP="008F0608">
      <w:pPr>
        <w:pStyle w:val="subsection"/>
        <w:keepNext/>
        <w:keepLines/>
      </w:pPr>
      <w:r w:rsidRPr="00583E1A">
        <w:tab/>
        <w:t>(3)</w:t>
      </w:r>
      <w:r w:rsidRPr="00583E1A">
        <w:tab/>
        <w:t>If:</w:t>
      </w:r>
    </w:p>
    <w:p w:rsidR="00887330" w:rsidRPr="00583E1A" w:rsidRDefault="00887330" w:rsidP="00887330">
      <w:pPr>
        <w:pStyle w:val="paragraph"/>
      </w:pPr>
      <w:r w:rsidRPr="00583E1A">
        <w:tab/>
        <w:t>(a)</w:t>
      </w:r>
      <w:r w:rsidRPr="00583E1A">
        <w:tab/>
        <w:t xml:space="preserve">an entity ceases to be a partner in a </w:t>
      </w:r>
      <w:r w:rsidR="00583E1A" w:rsidRPr="00583E1A">
        <w:rPr>
          <w:position w:val="6"/>
          <w:sz w:val="16"/>
        </w:rPr>
        <w:t>*</w:t>
      </w:r>
      <w:r w:rsidRPr="00583E1A">
        <w:t>foreign hybrid in relation to an income year; and</w:t>
      </w:r>
    </w:p>
    <w:p w:rsidR="00887330" w:rsidRPr="00583E1A" w:rsidRDefault="00887330" w:rsidP="00887330">
      <w:pPr>
        <w:pStyle w:val="paragraph"/>
      </w:pPr>
      <w:r w:rsidRPr="00583E1A">
        <w:tab/>
        <w:t>(b)</w:t>
      </w:r>
      <w:r w:rsidRPr="00583E1A">
        <w:tab/>
        <w:t xml:space="preserve">a gain or profit of a capital nature accrues to the entity as a result of the disposal of its interest in an asset of the foreign </w:t>
      </w:r>
      <w:r w:rsidRPr="00583E1A">
        <w:lastRenderedPageBreak/>
        <w:t>hybrid that happens when the entity ceases to be a partner; and</w:t>
      </w:r>
    </w:p>
    <w:p w:rsidR="00887330" w:rsidRPr="00583E1A" w:rsidRDefault="00887330" w:rsidP="00887330">
      <w:pPr>
        <w:pStyle w:val="paragraph"/>
      </w:pPr>
      <w:r w:rsidRPr="00583E1A">
        <w:tab/>
        <w:t>(c)</w:t>
      </w:r>
      <w:r w:rsidRPr="00583E1A">
        <w:tab/>
        <w:t xml:space="preserve">apart from this subsection, the gain or profit is not </w:t>
      </w:r>
      <w:r w:rsidR="00671A63" w:rsidRPr="00671A63">
        <w:rPr>
          <w:position w:val="6"/>
          <w:sz w:val="16"/>
        </w:rPr>
        <w:t>*</w:t>
      </w:r>
      <w:r w:rsidR="00671A63" w:rsidRPr="00671A63">
        <w:t>subject to foreign tax</w:t>
      </w:r>
      <w:r w:rsidRPr="00583E1A">
        <w:t xml:space="preserve"> in a </w:t>
      </w:r>
      <w:r w:rsidR="00583E1A" w:rsidRPr="00583E1A">
        <w:rPr>
          <w:position w:val="6"/>
          <w:sz w:val="16"/>
        </w:rPr>
        <w:t>*</w:t>
      </w:r>
      <w:r w:rsidRPr="00583E1A">
        <w:t xml:space="preserve">listed country in any </w:t>
      </w:r>
      <w:r w:rsidR="00583E1A" w:rsidRPr="00583E1A">
        <w:rPr>
          <w:position w:val="6"/>
          <w:sz w:val="16"/>
        </w:rPr>
        <w:t>*</w:t>
      </w:r>
      <w:r w:rsidRPr="00583E1A">
        <w:t>tax accounting period; and</w:t>
      </w:r>
    </w:p>
    <w:p w:rsidR="00887330" w:rsidRPr="00583E1A" w:rsidRDefault="00887330" w:rsidP="00887330">
      <w:pPr>
        <w:pStyle w:val="paragraph"/>
      </w:pPr>
      <w:r w:rsidRPr="00583E1A">
        <w:tab/>
        <w:t>(d)</w:t>
      </w:r>
      <w:r w:rsidRPr="00583E1A">
        <w:tab/>
        <w:t xml:space="preserve">any gain or profit of a capital nature that accrues to the entity as a result of the disposal of its interest in the foreign hybrid that happens when the entity ceases to be a partner is </w:t>
      </w:r>
      <w:r w:rsidR="00094571">
        <w:t>subject to foreign tax</w:t>
      </w:r>
      <w:r w:rsidRPr="00583E1A">
        <w:t xml:space="preserve"> in a listed country in a tax accounting period;</w:t>
      </w:r>
    </w:p>
    <w:p w:rsidR="00887330" w:rsidRPr="00583E1A" w:rsidRDefault="00887330" w:rsidP="00887330">
      <w:pPr>
        <w:pStyle w:val="subsection2"/>
      </w:pPr>
      <w:r w:rsidRPr="00583E1A">
        <w:t>then, for the purposes of Part</w:t>
      </w:r>
      <w:r w:rsidR="00583E1A">
        <w:t> </w:t>
      </w:r>
      <w:r w:rsidRPr="00583E1A">
        <w:t xml:space="preserve">X of the </w:t>
      </w:r>
      <w:r w:rsidRPr="00583E1A">
        <w:rPr>
          <w:i/>
        </w:rPr>
        <w:t>Income Tax Assessment Act 1936</w:t>
      </w:r>
      <w:r w:rsidRPr="00583E1A">
        <w:t xml:space="preserve">, the gain or profit mentioned in </w:t>
      </w:r>
      <w:r w:rsidR="00583E1A">
        <w:t>paragraph (</w:t>
      </w:r>
      <w:r w:rsidRPr="00583E1A">
        <w:t xml:space="preserve">b) is taken to be </w:t>
      </w:r>
      <w:r w:rsidR="00094571">
        <w:t>subject to foreign tax</w:t>
      </w:r>
      <w:r w:rsidRPr="00583E1A">
        <w:t xml:space="preserve"> in the listed country, and in the tax accounting period, mentioned in </w:t>
      </w:r>
      <w:r w:rsidR="00583E1A">
        <w:t>paragraph (</w:t>
      </w:r>
      <w:r w:rsidRPr="00583E1A">
        <w:t>d).</w:t>
      </w:r>
    </w:p>
    <w:p w:rsidR="00887330" w:rsidRPr="00583E1A" w:rsidRDefault="00887330" w:rsidP="00887330">
      <w:pPr>
        <w:pStyle w:val="SubsectionHead"/>
      </w:pPr>
      <w:r w:rsidRPr="00583E1A">
        <w:t>Where partner disposes of part of its interest</w:t>
      </w:r>
    </w:p>
    <w:p w:rsidR="00887330" w:rsidRPr="00583E1A" w:rsidRDefault="00887330" w:rsidP="00887330">
      <w:pPr>
        <w:pStyle w:val="subsection"/>
      </w:pPr>
      <w:r w:rsidRPr="00583E1A">
        <w:tab/>
        <w:t>(4)</w:t>
      </w:r>
      <w:r w:rsidRPr="00583E1A">
        <w:tab/>
        <w:t>If:</w:t>
      </w:r>
    </w:p>
    <w:p w:rsidR="00887330" w:rsidRPr="00583E1A" w:rsidRDefault="00887330" w:rsidP="00887330">
      <w:pPr>
        <w:pStyle w:val="paragraph"/>
      </w:pPr>
      <w:r w:rsidRPr="00583E1A">
        <w:tab/>
        <w:t>(a)</w:t>
      </w:r>
      <w:r w:rsidRPr="00583E1A">
        <w:tab/>
        <w:t xml:space="preserve">an entity is a partner that disposes of part of its interest in a </w:t>
      </w:r>
      <w:r w:rsidR="00583E1A" w:rsidRPr="00583E1A">
        <w:rPr>
          <w:position w:val="6"/>
          <w:sz w:val="16"/>
        </w:rPr>
        <w:t>*</w:t>
      </w:r>
      <w:r w:rsidRPr="00583E1A">
        <w:t>foreign hybrid in relation to an income year; and</w:t>
      </w:r>
    </w:p>
    <w:p w:rsidR="00887330" w:rsidRPr="00583E1A" w:rsidRDefault="00887330" w:rsidP="00887330">
      <w:pPr>
        <w:pStyle w:val="paragraph"/>
      </w:pPr>
      <w:r w:rsidRPr="00583E1A">
        <w:tab/>
        <w:t>(b)</w:t>
      </w:r>
      <w:r w:rsidRPr="00583E1A">
        <w:tab/>
        <w:t>a gain or profit of a capital nature accrues to the entity as a result of the disposal of part of its interest in an asset of the foreign hybrid that happens when the entity disposes of the part of its interest in the foreign hybrid; and</w:t>
      </w:r>
    </w:p>
    <w:p w:rsidR="00887330" w:rsidRPr="00583E1A" w:rsidRDefault="00887330" w:rsidP="00887330">
      <w:pPr>
        <w:pStyle w:val="paragraph"/>
      </w:pPr>
      <w:r w:rsidRPr="00583E1A">
        <w:tab/>
        <w:t>(c)</w:t>
      </w:r>
      <w:r w:rsidRPr="00583E1A">
        <w:tab/>
        <w:t xml:space="preserve">apart from this subsection, the gain or profit is not </w:t>
      </w:r>
      <w:r w:rsidR="00671A63" w:rsidRPr="00671A63">
        <w:rPr>
          <w:position w:val="6"/>
          <w:sz w:val="16"/>
        </w:rPr>
        <w:t>*</w:t>
      </w:r>
      <w:r w:rsidR="00671A63" w:rsidRPr="00671A63">
        <w:t>subject to foreign tax</w:t>
      </w:r>
      <w:r w:rsidRPr="00583E1A">
        <w:t xml:space="preserve"> in a </w:t>
      </w:r>
      <w:r w:rsidR="00583E1A" w:rsidRPr="00583E1A">
        <w:rPr>
          <w:position w:val="6"/>
          <w:sz w:val="16"/>
        </w:rPr>
        <w:t>*</w:t>
      </w:r>
      <w:r w:rsidRPr="00583E1A">
        <w:t xml:space="preserve">listed country in any </w:t>
      </w:r>
      <w:r w:rsidR="00583E1A" w:rsidRPr="00583E1A">
        <w:rPr>
          <w:position w:val="6"/>
          <w:sz w:val="16"/>
        </w:rPr>
        <w:t>*</w:t>
      </w:r>
      <w:r w:rsidRPr="00583E1A">
        <w:t>tax accounting period; and</w:t>
      </w:r>
    </w:p>
    <w:p w:rsidR="00887330" w:rsidRPr="00583E1A" w:rsidRDefault="00887330" w:rsidP="00887330">
      <w:pPr>
        <w:pStyle w:val="paragraph"/>
      </w:pPr>
      <w:r w:rsidRPr="00583E1A">
        <w:tab/>
        <w:t>(d)</w:t>
      </w:r>
      <w:r w:rsidRPr="00583E1A">
        <w:tab/>
        <w:t xml:space="preserve">any gain or profit of a capital nature that accrues to the entity as a result of the disposal of the part of its interest in the foreign hybrid is </w:t>
      </w:r>
      <w:r w:rsidR="00094571">
        <w:t>subject to foreign tax</w:t>
      </w:r>
      <w:r w:rsidRPr="00583E1A">
        <w:t xml:space="preserve"> in a listed country in a tax accounting period;</w:t>
      </w:r>
    </w:p>
    <w:p w:rsidR="00887330" w:rsidRPr="00583E1A" w:rsidRDefault="00887330" w:rsidP="007B2DFD">
      <w:pPr>
        <w:pStyle w:val="subsection2"/>
        <w:keepNext/>
        <w:keepLines/>
      </w:pPr>
      <w:r w:rsidRPr="00583E1A">
        <w:t>then, for the purposes of Part</w:t>
      </w:r>
      <w:r w:rsidR="00583E1A">
        <w:t> </w:t>
      </w:r>
      <w:r w:rsidRPr="00583E1A">
        <w:t xml:space="preserve">X of the </w:t>
      </w:r>
      <w:r w:rsidRPr="00583E1A">
        <w:rPr>
          <w:i/>
        </w:rPr>
        <w:t>Income Tax Assessment Act 1936</w:t>
      </w:r>
      <w:r w:rsidRPr="00583E1A">
        <w:t xml:space="preserve">, the gain or profit mentioned in </w:t>
      </w:r>
      <w:r w:rsidR="00583E1A">
        <w:t>paragraph (</w:t>
      </w:r>
      <w:r w:rsidRPr="00583E1A">
        <w:t xml:space="preserve">b) is taken to be </w:t>
      </w:r>
      <w:r w:rsidR="00094571">
        <w:t>subject to foreign tax</w:t>
      </w:r>
      <w:r w:rsidRPr="00583E1A">
        <w:t xml:space="preserve"> in the listed country, and in the tax accounting period, mentioned in </w:t>
      </w:r>
      <w:r w:rsidR="00583E1A">
        <w:t>paragraph (</w:t>
      </w:r>
      <w:r w:rsidRPr="00583E1A">
        <w:t>d).</w:t>
      </w:r>
    </w:p>
    <w:p w:rsidR="00887330" w:rsidRPr="00583E1A" w:rsidRDefault="00887330" w:rsidP="00887330">
      <w:pPr>
        <w:pStyle w:val="ActHead4"/>
      </w:pPr>
      <w:bookmarkStart w:id="360" w:name="_Toc338939434"/>
      <w:r w:rsidRPr="00583E1A">
        <w:rPr>
          <w:rStyle w:val="CharSubdNo"/>
        </w:rPr>
        <w:t>Subdivision</w:t>
      </w:r>
      <w:r w:rsidR="00583E1A">
        <w:rPr>
          <w:rStyle w:val="CharSubdNo"/>
        </w:rPr>
        <w:t> </w:t>
      </w:r>
      <w:r w:rsidRPr="00583E1A">
        <w:rPr>
          <w:rStyle w:val="CharSubdNo"/>
        </w:rPr>
        <w:t>830</w:t>
      </w:r>
      <w:r w:rsidR="00583E1A">
        <w:rPr>
          <w:rStyle w:val="CharSubdNo"/>
        </w:rPr>
        <w:noBreakHyphen/>
      </w:r>
      <w:r w:rsidRPr="00583E1A">
        <w:rPr>
          <w:rStyle w:val="CharSubdNo"/>
        </w:rPr>
        <w:t>D</w:t>
      </w:r>
      <w:r w:rsidRPr="00583E1A">
        <w:t>—</w:t>
      </w:r>
      <w:r w:rsidRPr="00583E1A">
        <w:rPr>
          <w:rStyle w:val="CharSubdText"/>
        </w:rPr>
        <w:t>Special rules applicable when an entity becomes or ceases to be a foreign hybrid</w:t>
      </w:r>
      <w:bookmarkEnd w:id="360"/>
    </w:p>
    <w:p w:rsidR="00887330" w:rsidRPr="00583E1A" w:rsidRDefault="00887330" w:rsidP="00887330">
      <w:pPr>
        <w:pStyle w:val="notemargin"/>
      </w:pPr>
      <w:r w:rsidRPr="00583E1A">
        <w:t>Note:</w:t>
      </w:r>
      <w:r w:rsidRPr="00583E1A">
        <w:tab/>
        <w:t>In the case of a foreign hybrid company, references in this Subdivision that relate to partnerships are to be read subject to Subdivision</w:t>
      </w:r>
      <w:r w:rsidR="00583E1A">
        <w:t> </w:t>
      </w:r>
      <w:r w:rsidRPr="00583E1A">
        <w:t>830</w:t>
      </w:r>
      <w:r w:rsidR="00583E1A">
        <w:noBreakHyphen/>
      </w:r>
      <w:r w:rsidRPr="00583E1A">
        <w:t xml:space="preserve">B. For example, a reference to a </w:t>
      </w:r>
      <w:r w:rsidRPr="00583E1A">
        <w:lastRenderedPageBreak/>
        <w:t>partner will be a reference to a shareholder in the company who is treated by Subdivision</w:t>
      </w:r>
      <w:r w:rsidR="00583E1A">
        <w:t> </w:t>
      </w:r>
      <w:r w:rsidRPr="00583E1A">
        <w:t>830</w:t>
      </w:r>
      <w:r w:rsidR="00583E1A">
        <w:noBreakHyphen/>
      </w:r>
      <w:r w:rsidRPr="00583E1A">
        <w:t>B as a partner.</w:t>
      </w:r>
    </w:p>
    <w:p w:rsidR="00887330" w:rsidRPr="00583E1A" w:rsidRDefault="00887330" w:rsidP="00887330">
      <w:pPr>
        <w:pStyle w:val="TofSectsHeading"/>
      </w:pPr>
      <w:r w:rsidRPr="00583E1A">
        <w:t>Table of sections</w:t>
      </w:r>
    </w:p>
    <w:p w:rsidR="00887330" w:rsidRPr="00583E1A" w:rsidRDefault="00887330" w:rsidP="00887330">
      <w:pPr>
        <w:pStyle w:val="TofSectsSection"/>
      </w:pPr>
      <w:r w:rsidRPr="00583E1A">
        <w:t>830</w:t>
      </w:r>
      <w:r w:rsidR="00583E1A">
        <w:noBreakHyphen/>
      </w:r>
      <w:r w:rsidRPr="00583E1A">
        <w:t>80</w:t>
      </w:r>
      <w:r w:rsidRPr="00583E1A">
        <w:tab/>
        <w:t>Setting the tax cost of partners’ interests in the assets of an entity that becomes a foreign hybrid</w:t>
      </w:r>
    </w:p>
    <w:p w:rsidR="00887330" w:rsidRPr="00583E1A" w:rsidRDefault="00887330" w:rsidP="00887330">
      <w:pPr>
        <w:pStyle w:val="TofSectsSection"/>
      </w:pPr>
      <w:r w:rsidRPr="00583E1A">
        <w:t>830</w:t>
      </w:r>
      <w:r w:rsidR="00583E1A">
        <w:noBreakHyphen/>
      </w:r>
      <w:r w:rsidRPr="00583E1A">
        <w:t>85</w:t>
      </w:r>
      <w:r w:rsidRPr="00583E1A">
        <w:tab/>
        <w:t>Setting the tax cost of assets of an entity when it ceases to be a foreign hybrid</w:t>
      </w:r>
    </w:p>
    <w:p w:rsidR="00887330" w:rsidRPr="00583E1A" w:rsidRDefault="00887330" w:rsidP="00887330">
      <w:pPr>
        <w:pStyle w:val="TofSectsSection"/>
      </w:pPr>
      <w:r w:rsidRPr="00583E1A">
        <w:t>830</w:t>
      </w:r>
      <w:r w:rsidR="00583E1A">
        <w:noBreakHyphen/>
      </w:r>
      <w:r w:rsidRPr="00583E1A">
        <w:t>90</w:t>
      </w:r>
      <w:r w:rsidRPr="00583E1A">
        <w:tab/>
        <w:t xml:space="preserve">What the expression </w:t>
      </w:r>
      <w:r w:rsidRPr="00583E1A">
        <w:rPr>
          <w:rStyle w:val="CharBoldItalic"/>
        </w:rPr>
        <w:t>tax cost is set</w:t>
      </w:r>
      <w:r w:rsidRPr="00583E1A">
        <w:t xml:space="preserve"> means</w:t>
      </w:r>
    </w:p>
    <w:p w:rsidR="00887330" w:rsidRPr="00583E1A" w:rsidRDefault="00887330" w:rsidP="00887330">
      <w:pPr>
        <w:pStyle w:val="TofSectsSection"/>
      </w:pPr>
      <w:r w:rsidRPr="00583E1A">
        <w:t>830</w:t>
      </w:r>
      <w:r w:rsidR="00583E1A">
        <w:noBreakHyphen/>
      </w:r>
      <w:r w:rsidRPr="00583E1A">
        <w:t>95</w:t>
      </w:r>
      <w:r w:rsidRPr="00583E1A">
        <w:tab/>
        <w:t xml:space="preserve">What the expression </w:t>
      </w:r>
      <w:r w:rsidRPr="00583E1A">
        <w:rPr>
          <w:rStyle w:val="CharBoldItalic"/>
        </w:rPr>
        <w:t>tax cost setting amount</w:t>
      </w:r>
      <w:r w:rsidRPr="00583E1A">
        <w:t xml:space="preserve"> means</w:t>
      </w:r>
    </w:p>
    <w:p w:rsidR="00887330" w:rsidRPr="00583E1A" w:rsidRDefault="00887330" w:rsidP="00887330">
      <w:pPr>
        <w:pStyle w:val="TofSectsSection"/>
      </w:pPr>
      <w:r w:rsidRPr="00583E1A">
        <w:t>830</w:t>
      </w:r>
      <w:r w:rsidR="00583E1A">
        <w:noBreakHyphen/>
      </w:r>
      <w:r w:rsidRPr="00583E1A">
        <w:t>100</w:t>
      </w:r>
      <w:r w:rsidRPr="00583E1A">
        <w:tab/>
        <w:t xml:space="preserve">What the expression </w:t>
      </w:r>
      <w:r w:rsidRPr="00583E1A">
        <w:rPr>
          <w:rStyle w:val="CharBoldItalic"/>
        </w:rPr>
        <w:t>tax cost</w:t>
      </w:r>
      <w:r w:rsidRPr="00583E1A">
        <w:t xml:space="preserve"> means</w:t>
      </w:r>
    </w:p>
    <w:p w:rsidR="00887330" w:rsidRPr="00583E1A" w:rsidRDefault="00887330" w:rsidP="00887330">
      <w:pPr>
        <w:pStyle w:val="TofSectsSection"/>
      </w:pPr>
      <w:r w:rsidRPr="00583E1A">
        <w:t>830</w:t>
      </w:r>
      <w:r w:rsidR="00583E1A">
        <w:noBreakHyphen/>
      </w:r>
      <w:r w:rsidRPr="00583E1A">
        <w:t>105</w:t>
      </w:r>
      <w:r w:rsidRPr="00583E1A">
        <w:tab/>
        <w:t xml:space="preserve">What the expression </w:t>
      </w:r>
      <w:r w:rsidRPr="00583E1A">
        <w:rPr>
          <w:rStyle w:val="CharBoldItalic"/>
        </w:rPr>
        <w:t>asset</w:t>
      </w:r>
      <w:r w:rsidR="00583E1A">
        <w:rPr>
          <w:rStyle w:val="CharBoldItalic"/>
        </w:rPr>
        <w:noBreakHyphen/>
      </w:r>
      <w:r w:rsidRPr="00583E1A">
        <w:rPr>
          <w:rStyle w:val="CharBoldItalic"/>
        </w:rPr>
        <w:t>based income tax regime</w:t>
      </w:r>
      <w:r w:rsidRPr="00583E1A">
        <w:t xml:space="preserve"> means</w:t>
      </w:r>
    </w:p>
    <w:p w:rsidR="00887330" w:rsidRPr="00583E1A" w:rsidRDefault="00887330" w:rsidP="00887330">
      <w:pPr>
        <w:pStyle w:val="TofSectsSection"/>
      </w:pPr>
      <w:r w:rsidRPr="00583E1A">
        <w:t>830</w:t>
      </w:r>
      <w:r w:rsidR="00583E1A">
        <w:noBreakHyphen/>
      </w:r>
      <w:r w:rsidRPr="00583E1A">
        <w:t>110</w:t>
      </w:r>
      <w:r w:rsidRPr="00583E1A">
        <w:tab/>
        <w:t>No disposal of assets etc. on entity becoming or ceasing to be a foreign hybrid</w:t>
      </w:r>
    </w:p>
    <w:p w:rsidR="00887330" w:rsidRPr="00583E1A" w:rsidRDefault="00887330" w:rsidP="00887330">
      <w:pPr>
        <w:pStyle w:val="TofSectsSection"/>
      </w:pPr>
      <w:r w:rsidRPr="00583E1A">
        <w:t>830</w:t>
      </w:r>
      <w:r w:rsidR="00583E1A">
        <w:noBreakHyphen/>
      </w:r>
      <w:r w:rsidRPr="00583E1A">
        <w:t>115</w:t>
      </w:r>
      <w:r w:rsidRPr="00583E1A">
        <w:tab/>
        <w:t>Tax losses cannot be transferred to a foreign hybrid</w:t>
      </w:r>
    </w:p>
    <w:p w:rsidR="00887330" w:rsidRPr="00583E1A" w:rsidRDefault="00887330" w:rsidP="00887330">
      <w:pPr>
        <w:pStyle w:val="TofSectsSection"/>
      </w:pPr>
      <w:r w:rsidRPr="00583E1A">
        <w:t>830</w:t>
      </w:r>
      <w:r w:rsidR="00583E1A">
        <w:noBreakHyphen/>
      </w:r>
      <w:r w:rsidRPr="00583E1A">
        <w:t>120</w:t>
      </w:r>
      <w:r w:rsidRPr="00583E1A">
        <w:tab/>
        <w:t>End of CFC’s last statutory accounting period</w:t>
      </w:r>
    </w:p>
    <w:p w:rsidR="00887330" w:rsidRPr="00583E1A" w:rsidRDefault="00887330" w:rsidP="00887330">
      <w:pPr>
        <w:pStyle w:val="TofSectsSection"/>
      </w:pPr>
      <w:r w:rsidRPr="00583E1A">
        <w:t>830</w:t>
      </w:r>
      <w:r w:rsidR="00583E1A">
        <w:noBreakHyphen/>
      </w:r>
      <w:r w:rsidRPr="00583E1A">
        <w:t>125</w:t>
      </w:r>
      <w:r w:rsidRPr="00583E1A">
        <w:tab/>
        <w:t>How long interest in asset, or asset, held</w:t>
      </w:r>
    </w:p>
    <w:p w:rsidR="00887330" w:rsidRPr="00583E1A" w:rsidRDefault="00887330" w:rsidP="003C48B0">
      <w:pPr>
        <w:pStyle w:val="ActHead5"/>
      </w:pPr>
      <w:bookmarkStart w:id="361" w:name="_Toc338939435"/>
      <w:r w:rsidRPr="00583E1A">
        <w:rPr>
          <w:rStyle w:val="CharSectno"/>
        </w:rPr>
        <w:t>830</w:t>
      </w:r>
      <w:r w:rsidR="00583E1A">
        <w:rPr>
          <w:rStyle w:val="CharSectno"/>
        </w:rPr>
        <w:noBreakHyphen/>
      </w:r>
      <w:r w:rsidRPr="00583E1A">
        <w:rPr>
          <w:rStyle w:val="CharSectno"/>
        </w:rPr>
        <w:t>80</w:t>
      </w:r>
      <w:r w:rsidRPr="00583E1A">
        <w:t xml:space="preserve">  Setting the tax cost of partners’ interests in the assets of an entity that becomes a foreign hybrid</w:t>
      </w:r>
      <w:bookmarkEnd w:id="361"/>
    </w:p>
    <w:p w:rsidR="00887330" w:rsidRPr="00583E1A" w:rsidRDefault="00887330" w:rsidP="003C48B0">
      <w:pPr>
        <w:pStyle w:val="subsection"/>
        <w:keepNext/>
        <w:keepLines/>
      </w:pPr>
      <w:r w:rsidRPr="00583E1A">
        <w:tab/>
        <w:t>(1)</w:t>
      </w:r>
      <w:r w:rsidRPr="00583E1A">
        <w:tab/>
        <w:t>This section applies if:</w:t>
      </w:r>
    </w:p>
    <w:p w:rsidR="00887330" w:rsidRPr="00583E1A" w:rsidRDefault="00887330" w:rsidP="003C48B0">
      <w:pPr>
        <w:pStyle w:val="paragraph"/>
        <w:keepNext/>
        <w:keepLines/>
      </w:pPr>
      <w:r w:rsidRPr="00583E1A">
        <w:tab/>
        <w:t>(a)</w:t>
      </w:r>
      <w:r w:rsidRPr="00583E1A">
        <w:tab/>
        <w:t xml:space="preserve">an entity is a </w:t>
      </w:r>
      <w:r w:rsidR="00583E1A" w:rsidRPr="00583E1A">
        <w:rPr>
          <w:position w:val="6"/>
          <w:sz w:val="16"/>
        </w:rPr>
        <w:t>*</w:t>
      </w:r>
      <w:r w:rsidRPr="00583E1A">
        <w:t xml:space="preserve">foreign hybrid in relation to an income year (the </w:t>
      </w:r>
      <w:r w:rsidRPr="00583E1A">
        <w:rPr>
          <w:b/>
          <w:i/>
        </w:rPr>
        <w:t>hybrid year</w:t>
      </w:r>
      <w:r w:rsidRPr="00583E1A">
        <w:t>); and</w:t>
      </w:r>
    </w:p>
    <w:p w:rsidR="00887330" w:rsidRPr="00583E1A" w:rsidRDefault="00887330" w:rsidP="00887330">
      <w:pPr>
        <w:pStyle w:val="paragraph"/>
      </w:pPr>
      <w:r w:rsidRPr="00583E1A">
        <w:tab/>
        <w:t>(b)</w:t>
      </w:r>
      <w:r w:rsidRPr="00583E1A">
        <w:tab/>
        <w:t>the entity was in existence at the end of the preceding income year (which may be the income year before this Division first applies to the entity); and</w:t>
      </w:r>
    </w:p>
    <w:p w:rsidR="00887330" w:rsidRPr="00583E1A" w:rsidRDefault="00887330" w:rsidP="00887330">
      <w:pPr>
        <w:pStyle w:val="paragraph"/>
      </w:pPr>
      <w:r w:rsidRPr="00583E1A">
        <w:tab/>
        <w:t>(c)</w:t>
      </w:r>
      <w:r w:rsidRPr="00583E1A">
        <w:tab/>
        <w:t>the entity was not a foreign hybrid in relation to that preceding income year.</w:t>
      </w:r>
    </w:p>
    <w:p w:rsidR="00887330" w:rsidRPr="00583E1A" w:rsidRDefault="00887330" w:rsidP="00887330">
      <w:pPr>
        <w:pStyle w:val="subsection"/>
      </w:pPr>
      <w:r w:rsidRPr="00583E1A">
        <w:tab/>
        <w:t>(2)</w:t>
      </w:r>
      <w:r w:rsidRPr="00583E1A">
        <w:tab/>
        <w:t xml:space="preserve">For the purposes of applying an </w:t>
      </w:r>
      <w:r w:rsidR="00583E1A" w:rsidRPr="00583E1A">
        <w:rPr>
          <w:position w:val="6"/>
          <w:sz w:val="16"/>
        </w:rPr>
        <w:t>*</w:t>
      </w:r>
      <w:r w:rsidRPr="00583E1A">
        <w:t>asset</w:t>
      </w:r>
      <w:r w:rsidR="00583E1A">
        <w:noBreakHyphen/>
      </w:r>
      <w:r w:rsidRPr="00583E1A">
        <w:t xml:space="preserve">based income tax regime for the hybrid year and each later income year in relation to which the entity continues to be a foreign hybrid, the </w:t>
      </w:r>
      <w:r w:rsidR="00583E1A" w:rsidRPr="00583E1A">
        <w:rPr>
          <w:position w:val="6"/>
          <w:sz w:val="16"/>
        </w:rPr>
        <w:t>*</w:t>
      </w:r>
      <w:r w:rsidRPr="00583E1A">
        <w:t xml:space="preserve">tax cost is set at the start of the hybrid year, for each asset of the </w:t>
      </w:r>
      <w:r w:rsidR="00583E1A" w:rsidRPr="00583E1A">
        <w:rPr>
          <w:position w:val="6"/>
          <w:sz w:val="16"/>
        </w:rPr>
        <w:t>*</w:t>
      </w:r>
      <w:r w:rsidRPr="00583E1A">
        <w:t>foreign hybrid in which each partner has an interest at that time.</w:t>
      </w:r>
    </w:p>
    <w:p w:rsidR="00887330" w:rsidRPr="00583E1A" w:rsidRDefault="00887330" w:rsidP="00887330">
      <w:pPr>
        <w:pStyle w:val="ActHead5"/>
      </w:pPr>
      <w:bookmarkStart w:id="362" w:name="_Toc338939436"/>
      <w:r w:rsidRPr="00583E1A">
        <w:rPr>
          <w:rStyle w:val="CharSectno"/>
        </w:rPr>
        <w:t>830</w:t>
      </w:r>
      <w:r w:rsidR="00583E1A">
        <w:rPr>
          <w:rStyle w:val="CharSectno"/>
        </w:rPr>
        <w:noBreakHyphen/>
      </w:r>
      <w:r w:rsidRPr="00583E1A">
        <w:rPr>
          <w:rStyle w:val="CharSectno"/>
        </w:rPr>
        <w:t>85</w:t>
      </w:r>
      <w:r w:rsidRPr="00583E1A">
        <w:t xml:space="preserve">  Setting the tax cost of assets of an entity when it ceases to be a foreign hybrid</w:t>
      </w:r>
      <w:bookmarkEnd w:id="362"/>
    </w:p>
    <w:p w:rsidR="00887330" w:rsidRPr="00583E1A" w:rsidRDefault="00887330" w:rsidP="00887330">
      <w:pPr>
        <w:pStyle w:val="subsection"/>
      </w:pPr>
      <w:r w:rsidRPr="00583E1A">
        <w:tab/>
        <w:t>(1)</w:t>
      </w:r>
      <w:r w:rsidRPr="00583E1A">
        <w:tab/>
        <w:t>This section applies if:</w:t>
      </w:r>
    </w:p>
    <w:p w:rsidR="00887330" w:rsidRPr="00583E1A" w:rsidRDefault="00887330" w:rsidP="00887330">
      <w:pPr>
        <w:pStyle w:val="paragraph"/>
      </w:pPr>
      <w:r w:rsidRPr="00583E1A">
        <w:lastRenderedPageBreak/>
        <w:tab/>
        <w:t>(a)</w:t>
      </w:r>
      <w:r w:rsidRPr="00583E1A">
        <w:tab/>
        <w:t xml:space="preserve">an entity is a </w:t>
      </w:r>
      <w:r w:rsidR="00583E1A" w:rsidRPr="00583E1A">
        <w:rPr>
          <w:position w:val="6"/>
          <w:sz w:val="16"/>
        </w:rPr>
        <w:t>*</w:t>
      </w:r>
      <w:r w:rsidRPr="00583E1A">
        <w:t>foreign hybrid in relation to an income year; and</w:t>
      </w:r>
    </w:p>
    <w:p w:rsidR="00887330" w:rsidRPr="00583E1A" w:rsidRDefault="00887330" w:rsidP="00887330">
      <w:pPr>
        <w:pStyle w:val="paragraph"/>
      </w:pPr>
      <w:r w:rsidRPr="00583E1A">
        <w:tab/>
        <w:t>(b)</w:t>
      </w:r>
      <w:r w:rsidRPr="00583E1A">
        <w:tab/>
        <w:t>the entity is in existence at the start of the next income year; and</w:t>
      </w:r>
    </w:p>
    <w:p w:rsidR="00887330" w:rsidRPr="00583E1A" w:rsidRDefault="00887330" w:rsidP="00887330">
      <w:pPr>
        <w:pStyle w:val="paragraph"/>
      </w:pPr>
      <w:r w:rsidRPr="00583E1A">
        <w:tab/>
        <w:t>(c)</w:t>
      </w:r>
      <w:r w:rsidRPr="00583E1A">
        <w:tab/>
        <w:t xml:space="preserve">the entity is not a foreign hybrid in relation to that income year (the </w:t>
      </w:r>
      <w:r w:rsidRPr="00583E1A">
        <w:rPr>
          <w:b/>
          <w:i/>
        </w:rPr>
        <w:t>post</w:t>
      </w:r>
      <w:r w:rsidR="00583E1A">
        <w:rPr>
          <w:b/>
          <w:i/>
        </w:rPr>
        <w:noBreakHyphen/>
      </w:r>
      <w:r w:rsidRPr="00583E1A">
        <w:rPr>
          <w:b/>
          <w:i/>
        </w:rPr>
        <w:t>hybrid year</w:t>
      </w:r>
      <w:r w:rsidRPr="00583E1A">
        <w:t>).</w:t>
      </w:r>
    </w:p>
    <w:p w:rsidR="00887330" w:rsidRPr="00583E1A" w:rsidRDefault="00887330" w:rsidP="00887330">
      <w:pPr>
        <w:pStyle w:val="subsection"/>
      </w:pPr>
      <w:r w:rsidRPr="00583E1A">
        <w:tab/>
        <w:t>(2)</w:t>
      </w:r>
      <w:r w:rsidRPr="00583E1A">
        <w:tab/>
        <w:t xml:space="preserve">For the purposes of applying an </w:t>
      </w:r>
      <w:r w:rsidR="00583E1A" w:rsidRPr="00583E1A">
        <w:rPr>
          <w:position w:val="6"/>
          <w:sz w:val="16"/>
        </w:rPr>
        <w:t>*</w:t>
      </w:r>
      <w:r w:rsidRPr="00583E1A">
        <w:t>asset</w:t>
      </w:r>
      <w:r w:rsidR="00583E1A">
        <w:noBreakHyphen/>
      </w:r>
      <w:r w:rsidRPr="00583E1A">
        <w:t>based income tax regime for the post</w:t>
      </w:r>
      <w:r w:rsidR="00583E1A">
        <w:noBreakHyphen/>
      </w:r>
      <w:r w:rsidRPr="00583E1A">
        <w:t xml:space="preserve">hybrid year and each later income year in relation to which the entity continues not to be a foreign hybrid, the </w:t>
      </w:r>
      <w:r w:rsidR="00583E1A" w:rsidRPr="00583E1A">
        <w:rPr>
          <w:position w:val="6"/>
          <w:sz w:val="16"/>
        </w:rPr>
        <w:t>*</w:t>
      </w:r>
      <w:r w:rsidRPr="00583E1A">
        <w:t>tax cost is set at the start of the post</w:t>
      </w:r>
      <w:r w:rsidR="00583E1A">
        <w:noBreakHyphen/>
      </w:r>
      <w:r w:rsidRPr="00583E1A">
        <w:t>hybrid year, for each asset of the entity at that time.</w:t>
      </w:r>
    </w:p>
    <w:p w:rsidR="00887330" w:rsidRPr="00583E1A" w:rsidRDefault="00887330" w:rsidP="00887330">
      <w:pPr>
        <w:pStyle w:val="ActHead5"/>
      </w:pPr>
      <w:bookmarkStart w:id="363" w:name="_Toc338939437"/>
      <w:r w:rsidRPr="00583E1A">
        <w:rPr>
          <w:rStyle w:val="CharSectno"/>
        </w:rPr>
        <w:t>830</w:t>
      </w:r>
      <w:r w:rsidR="00583E1A">
        <w:rPr>
          <w:rStyle w:val="CharSectno"/>
        </w:rPr>
        <w:noBreakHyphen/>
      </w:r>
      <w:r w:rsidRPr="00583E1A">
        <w:rPr>
          <w:rStyle w:val="CharSectno"/>
        </w:rPr>
        <w:t>90</w:t>
      </w:r>
      <w:r w:rsidRPr="00583E1A">
        <w:t xml:space="preserve">  What the expression </w:t>
      </w:r>
      <w:r w:rsidRPr="00583E1A">
        <w:rPr>
          <w:i/>
        </w:rPr>
        <w:t>tax cost is set</w:t>
      </w:r>
      <w:r w:rsidRPr="00583E1A">
        <w:t xml:space="preserve"> means</w:t>
      </w:r>
      <w:bookmarkEnd w:id="363"/>
    </w:p>
    <w:p w:rsidR="00887330" w:rsidRPr="00583E1A" w:rsidRDefault="00887330" w:rsidP="00887330">
      <w:pPr>
        <w:pStyle w:val="subsection"/>
      </w:pPr>
      <w:r w:rsidRPr="00583E1A">
        <w:tab/>
      </w:r>
      <w:r w:rsidRPr="00583E1A">
        <w:tab/>
        <w:t xml:space="preserve">The following table explains what the expression </w:t>
      </w:r>
      <w:r w:rsidRPr="00583E1A">
        <w:rPr>
          <w:b/>
          <w:i/>
        </w:rPr>
        <w:t xml:space="preserve">tax cost is set </w:t>
      </w:r>
      <w:r w:rsidRPr="00583E1A">
        <w:t>at the start of the hybrid year or the post</w:t>
      </w:r>
      <w:r w:rsidR="00583E1A">
        <w:noBreakHyphen/>
      </w:r>
      <w:r w:rsidRPr="00583E1A">
        <w:t xml:space="preserve">hybrid year means, in relation to an asset in which a partner has an interest or in relation to an asset of the entity, for the purposes of each </w:t>
      </w:r>
      <w:r w:rsidR="00583E1A" w:rsidRPr="00583E1A">
        <w:rPr>
          <w:position w:val="6"/>
          <w:sz w:val="16"/>
        </w:rPr>
        <w:t>*</w:t>
      </w:r>
      <w:r w:rsidRPr="00583E1A">
        <w:t>asset</w:t>
      </w:r>
      <w:r w:rsidR="00583E1A">
        <w:noBreakHyphen/>
      </w:r>
      <w:r w:rsidRPr="00583E1A">
        <w:t>based income tax regime:</w:t>
      </w:r>
    </w:p>
    <w:p w:rsidR="00887330" w:rsidRPr="00583E1A" w:rsidRDefault="00887330" w:rsidP="007B2DFD">
      <w:pPr>
        <w:keepNext/>
        <w:keepLines/>
      </w:pPr>
    </w:p>
    <w:tbl>
      <w:tblPr>
        <w:tblW w:w="6598" w:type="dxa"/>
        <w:tblInd w:w="1100" w:type="dxa"/>
        <w:tblLayout w:type="fixed"/>
        <w:tblLook w:val="0000" w:firstRow="0" w:lastRow="0" w:firstColumn="0" w:lastColumn="0" w:noHBand="0" w:noVBand="0"/>
      </w:tblPr>
      <w:tblGrid>
        <w:gridCol w:w="714"/>
        <w:gridCol w:w="3186"/>
        <w:gridCol w:w="2698"/>
      </w:tblGrid>
      <w:tr w:rsidR="00887330" w:rsidRPr="00583E1A">
        <w:trPr>
          <w:cantSplit/>
          <w:tblHeader/>
        </w:trPr>
        <w:tc>
          <w:tcPr>
            <w:tcW w:w="6598" w:type="dxa"/>
            <w:gridSpan w:val="3"/>
            <w:tcBorders>
              <w:top w:val="single" w:sz="12" w:space="0" w:color="auto"/>
              <w:bottom w:val="single" w:sz="6" w:space="0" w:color="auto"/>
            </w:tcBorders>
            <w:shd w:val="clear" w:color="auto" w:fill="auto"/>
          </w:tcPr>
          <w:p w:rsidR="00887330" w:rsidRPr="00583E1A" w:rsidRDefault="00887330" w:rsidP="00887330">
            <w:pPr>
              <w:pStyle w:val="Tabletext"/>
              <w:keepNext/>
              <w:rPr>
                <w:b/>
              </w:rPr>
            </w:pPr>
            <w:r w:rsidRPr="00583E1A">
              <w:rPr>
                <w:b/>
              </w:rPr>
              <w:t>Tax cost is set</w:t>
            </w:r>
          </w:p>
        </w:tc>
      </w:tr>
      <w:tr w:rsidR="00887330" w:rsidRPr="00583E1A">
        <w:trPr>
          <w:cantSplit/>
          <w:tblHeader/>
        </w:trPr>
        <w:tc>
          <w:tcPr>
            <w:tcW w:w="714" w:type="dxa"/>
            <w:tcBorders>
              <w:top w:val="single" w:sz="6" w:space="0" w:color="auto"/>
              <w:bottom w:val="single" w:sz="12" w:space="0" w:color="auto"/>
            </w:tcBorders>
            <w:shd w:val="clear" w:color="auto" w:fill="auto"/>
          </w:tcPr>
          <w:p w:rsidR="00887330" w:rsidRPr="00583E1A" w:rsidRDefault="00887330" w:rsidP="00887330">
            <w:pPr>
              <w:pStyle w:val="Tabletext"/>
              <w:keepNext/>
              <w:rPr>
                <w:b/>
              </w:rPr>
            </w:pPr>
            <w:r w:rsidRPr="00583E1A">
              <w:rPr>
                <w:b/>
              </w:rPr>
              <w:t>Item</w:t>
            </w:r>
          </w:p>
        </w:tc>
        <w:tc>
          <w:tcPr>
            <w:tcW w:w="3186" w:type="dxa"/>
            <w:tcBorders>
              <w:top w:val="single" w:sz="6" w:space="0" w:color="auto"/>
              <w:bottom w:val="single" w:sz="12" w:space="0" w:color="auto"/>
            </w:tcBorders>
            <w:shd w:val="clear" w:color="auto" w:fill="auto"/>
          </w:tcPr>
          <w:p w:rsidR="00887330" w:rsidRPr="00583E1A" w:rsidRDefault="00887330" w:rsidP="00887330">
            <w:pPr>
              <w:pStyle w:val="Tabletext"/>
              <w:keepNext/>
              <w:rPr>
                <w:b/>
              </w:rPr>
            </w:pPr>
            <w:r w:rsidRPr="00583E1A">
              <w:rPr>
                <w:b/>
              </w:rPr>
              <w:t>If the following asset</w:t>
            </w:r>
            <w:r w:rsidR="00583E1A">
              <w:rPr>
                <w:b/>
              </w:rPr>
              <w:noBreakHyphen/>
            </w:r>
            <w:r w:rsidRPr="00583E1A">
              <w:rPr>
                <w:b/>
              </w:rPr>
              <w:t>based income tax regime is to apply:</w:t>
            </w:r>
          </w:p>
        </w:tc>
        <w:tc>
          <w:tcPr>
            <w:tcW w:w="2698" w:type="dxa"/>
            <w:tcBorders>
              <w:top w:val="single" w:sz="6" w:space="0" w:color="auto"/>
              <w:bottom w:val="single" w:sz="12" w:space="0" w:color="auto"/>
            </w:tcBorders>
            <w:shd w:val="clear" w:color="auto" w:fill="auto"/>
          </w:tcPr>
          <w:p w:rsidR="00887330" w:rsidRPr="00583E1A" w:rsidRDefault="00887330" w:rsidP="00887330">
            <w:pPr>
              <w:pStyle w:val="Tabletext"/>
              <w:keepNext/>
              <w:rPr>
                <w:b/>
              </w:rPr>
            </w:pPr>
            <w:r w:rsidRPr="00583E1A">
              <w:rPr>
                <w:b/>
              </w:rPr>
              <w:t>The expression means that:</w:t>
            </w:r>
          </w:p>
        </w:tc>
      </w:tr>
      <w:tr w:rsidR="00887330" w:rsidRPr="00583E1A">
        <w:trPr>
          <w:cantSplit/>
        </w:trPr>
        <w:tc>
          <w:tcPr>
            <w:tcW w:w="714" w:type="dxa"/>
            <w:tcBorders>
              <w:top w:val="single" w:sz="12" w:space="0" w:color="auto"/>
              <w:bottom w:val="single" w:sz="2" w:space="0" w:color="auto"/>
            </w:tcBorders>
            <w:shd w:val="clear" w:color="auto" w:fill="auto"/>
          </w:tcPr>
          <w:p w:rsidR="00887330" w:rsidRPr="00583E1A" w:rsidRDefault="00887330" w:rsidP="00887330">
            <w:pPr>
              <w:pStyle w:val="Tabletext"/>
            </w:pPr>
            <w:r w:rsidRPr="00583E1A">
              <w:t>1</w:t>
            </w:r>
          </w:p>
        </w:tc>
        <w:tc>
          <w:tcPr>
            <w:tcW w:w="3186" w:type="dxa"/>
            <w:tcBorders>
              <w:top w:val="single" w:sz="12" w:space="0" w:color="auto"/>
              <w:bottom w:val="single" w:sz="2" w:space="0" w:color="auto"/>
            </w:tcBorders>
            <w:shd w:val="clear" w:color="auto" w:fill="auto"/>
          </w:tcPr>
          <w:p w:rsidR="00887330" w:rsidRPr="00583E1A" w:rsidRDefault="00887330" w:rsidP="00887330">
            <w:pPr>
              <w:pStyle w:val="Tabletext"/>
            </w:pPr>
            <w:r w:rsidRPr="00583E1A">
              <w:t>Subdivisions</w:t>
            </w:r>
            <w:r w:rsidR="00583E1A">
              <w:t> </w:t>
            </w:r>
            <w:r w:rsidRPr="00583E1A">
              <w:t>40</w:t>
            </w:r>
            <w:r w:rsidR="00583E1A">
              <w:noBreakHyphen/>
            </w:r>
            <w:r w:rsidRPr="00583E1A">
              <w:t>A to 40</w:t>
            </w:r>
            <w:r w:rsidR="00583E1A">
              <w:noBreakHyphen/>
            </w:r>
            <w:r w:rsidRPr="00583E1A">
              <w:t>D, sections</w:t>
            </w:r>
            <w:r w:rsidR="00583E1A">
              <w:t> </w:t>
            </w:r>
            <w:r w:rsidRPr="00583E1A">
              <w:t>40</w:t>
            </w:r>
            <w:r w:rsidR="00583E1A">
              <w:noBreakHyphen/>
            </w:r>
            <w:r w:rsidRPr="00583E1A">
              <w:t>425 to 40</w:t>
            </w:r>
            <w:r w:rsidR="00583E1A">
              <w:noBreakHyphen/>
            </w:r>
            <w:r w:rsidRPr="00583E1A">
              <w:t>445 and Subdivision</w:t>
            </w:r>
            <w:r w:rsidR="00583E1A">
              <w:t> </w:t>
            </w:r>
            <w:r w:rsidRPr="00583E1A">
              <w:t>328</w:t>
            </w:r>
            <w:r w:rsidR="00583E1A">
              <w:noBreakHyphen/>
            </w:r>
            <w:r w:rsidRPr="00583E1A">
              <w:t xml:space="preserve">D </w:t>
            </w:r>
          </w:p>
        </w:tc>
        <w:tc>
          <w:tcPr>
            <w:tcW w:w="2698" w:type="dxa"/>
            <w:tcBorders>
              <w:top w:val="single" w:sz="12" w:space="0" w:color="auto"/>
              <w:bottom w:val="single" w:sz="2" w:space="0" w:color="auto"/>
            </w:tcBorders>
            <w:shd w:val="clear" w:color="auto" w:fill="auto"/>
          </w:tcPr>
          <w:p w:rsidR="00887330" w:rsidRPr="00583E1A" w:rsidRDefault="00887330" w:rsidP="00887330">
            <w:pPr>
              <w:pStyle w:val="Tabletext"/>
            </w:pPr>
            <w:r w:rsidRPr="00583E1A">
              <w:t xml:space="preserve">the </w:t>
            </w:r>
            <w:r w:rsidR="00583E1A" w:rsidRPr="00583E1A">
              <w:rPr>
                <w:position w:val="6"/>
                <w:sz w:val="16"/>
              </w:rPr>
              <w:t>*</w:t>
            </w:r>
            <w:r w:rsidRPr="00583E1A">
              <w:t>adjustable value of the interest or the asset at the start of the hybrid year or the post</w:t>
            </w:r>
            <w:r w:rsidR="00583E1A">
              <w:noBreakHyphen/>
            </w:r>
            <w:r w:rsidRPr="00583E1A">
              <w:t xml:space="preserve">hybrid year is varied so that it equals the partner’s </w:t>
            </w:r>
            <w:r w:rsidR="00583E1A" w:rsidRPr="00583E1A">
              <w:rPr>
                <w:position w:val="6"/>
                <w:sz w:val="16"/>
              </w:rPr>
              <w:t>*</w:t>
            </w:r>
            <w:r w:rsidRPr="00583E1A">
              <w:t xml:space="preserve">tax cost setting amount for the interest, or the entity’s tax cost setting amount for the asset, at that time in relation to the </w:t>
            </w:r>
            <w:r w:rsidR="00583E1A" w:rsidRPr="00583E1A">
              <w:rPr>
                <w:position w:val="6"/>
                <w:sz w:val="16"/>
              </w:rPr>
              <w:t>*</w:t>
            </w:r>
            <w:r w:rsidRPr="00583E1A">
              <w:t>asset</w:t>
            </w:r>
            <w:r w:rsidR="00583E1A">
              <w:noBreakHyphen/>
            </w:r>
            <w:r w:rsidRPr="00583E1A">
              <w:t>based income tax regime</w:t>
            </w:r>
          </w:p>
        </w:tc>
      </w:tr>
      <w:tr w:rsidR="00887330" w:rsidRPr="00583E1A">
        <w:trPr>
          <w:cantSplit/>
        </w:trPr>
        <w:tc>
          <w:tcPr>
            <w:tcW w:w="714" w:type="dxa"/>
            <w:tcBorders>
              <w:top w:val="single" w:sz="2" w:space="0" w:color="auto"/>
              <w:bottom w:val="single" w:sz="2" w:space="0" w:color="auto"/>
            </w:tcBorders>
            <w:shd w:val="clear" w:color="auto" w:fill="auto"/>
          </w:tcPr>
          <w:p w:rsidR="00887330" w:rsidRPr="00583E1A" w:rsidRDefault="00887330" w:rsidP="00887330">
            <w:pPr>
              <w:pStyle w:val="Tabletext"/>
            </w:pPr>
            <w:r w:rsidRPr="00583E1A">
              <w:lastRenderedPageBreak/>
              <w:t>2</w:t>
            </w:r>
          </w:p>
        </w:tc>
        <w:tc>
          <w:tcPr>
            <w:tcW w:w="3186" w:type="dxa"/>
            <w:tcBorders>
              <w:top w:val="single" w:sz="2" w:space="0" w:color="auto"/>
              <w:bottom w:val="single" w:sz="2" w:space="0" w:color="auto"/>
            </w:tcBorders>
            <w:shd w:val="clear" w:color="auto" w:fill="auto"/>
          </w:tcPr>
          <w:p w:rsidR="00887330" w:rsidRPr="00583E1A" w:rsidRDefault="00887330" w:rsidP="00887330">
            <w:pPr>
              <w:pStyle w:val="Tabletext"/>
            </w:pPr>
            <w:r w:rsidRPr="00583E1A">
              <w:t>Division</w:t>
            </w:r>
            <w:r w:rsidR="00583E1A">
              <w:t> </w:t>
            </w:r>
            <w:r w:rsidRPr="00583E1A">
              <w:t>70</w:t>
            </w:r>
          </w:p>
        </w:tc>
        <w:tc>
          <w:tcPr>
            <w:tcW w:w="2698" w:type="dxa"/>
            <w:tcBorders>
              <w:top w:val="single" w:sz="2" w:space="0" w:color="auto"/>
              <w:bottom w:val="single" w:sz="2" w:space="0" w:color="auto"/>
            </w:tcBorders>
            <w:shd w:val="clear" w:color="auto" w:fill="auto"/>
          </w:tcPr>
          <w:p w:rsidR="00887330" w:rsidRPr="00583E1A" w:rsidRDefault="00887330" w:rsidP="00887330">
            <w:pPr>
              <w:pStyle w:val="Tabletext"/>
            </w:pPr>
            <w:r w:rsidRPr="00583E1A">
              <w:t>the value of the interest or the asset at the start of the hybrid year or the post</w:t>
            </w:r>
            <w:r w:rsidR="00583E1A">
              <w:noBreakHyphen/>
            </w:r>
            <w:r w:rsidRPr="00583E1A">
              <w:t>hybrid year under Division</w:t>
            </w:r>
            <w:r w:rsidR="00583E1A">
              <w:t> </w:t>
            </w:r>
            <w:r w:rsidRPr="00583E1A">
              <w:t xml:space="preserve">70 is varied so that it equals the partner’s </w:t>
            </w:r>
            <w:r w:rsidR="00583E1A" w:rsidRPr="00583E1A">
              <w:rPr>
                <w:position w:val="6"/>
                <w:sz w:val="16"/>
              </w:rPr>
              <w:t>*</w:t>
            </w:r>
            <w:r w:rsidRPr="00583E1A">
              <w:t xml:space="preserve">tax cost setting amount for the interest, or the entity’s tax cost setting amount for the asset, at that time in relation to the </w:t>
            </w:r>
            <w:r w:rsidR="00583E1A" w:rsidRPr="00583E1A">
              <w:rPr>
                <w:position w:val="6"/>
                <w:sz w:val="16"/>
              </w:rPr>
              <w:t>*</w:t>
            </w:r>
            <w:r w:rsidRPr="00583E1A">
              <w:t>asset</w:t>
            </w:r>
            <w:r w:rsidR="00583E1A">
              <w:noBreakHyphen/>
            </w:r>
            <w:r w:rsidRPr="00583E1A">
              <w:t>based income tax regime</w:t>
            </w:r>
          </w:p>
        </w:tc>
      </w:tr>
      <w:tr w:rsidR="00887330" w:rsidRPr="00583E1A">
        <w:trPr>
          <w:cantSplit/>
        </w:trPr>
        <w:tc>
          <w:tcPr>
            <w:tcW w:w="714" w:type="dxa"/>
            <w:tcBorders>
              <w:top w:val="single" w:sz="2" w:space="0" w:color="auto"/>
              <w:bottom w:val="single" w:sz="2" w:space="0" w:color="auto"/>
            </w:tcBorders>
            <w:shd w:val="clear" w:color="auto" w:fill="auto"/>
          </w:tcPr>
          <w:p w:rsidR="00887330" w:rsidRPr="00583E1A" w:rsidRDefault="00887330" w:rsidP="00887330">
            <w:pPr>
              <w:pStyle w:val="Tabletext"/>
            </w:pPr>
            <w:r w:rsidRPr="00583E1A">
              <w:t>3</w:t>
            </w:r>
          </w:p>
        </w:tc>
        <w:tc>
          <w:tcPr>
            <w:tcW w:w="3186" w:type="dxa"/>
            <w:tcBorders>
              <w:top w:val="single" w:sz="2" w:space="0" w:color="auto"/>
              <w:bottom w:val="single" w:sz="2" w:space="0" w:color="auto"/>
            </w:tcBorders>
            <w:shd w:val="clear" w:color="auto" w:fill="auto"/>
          </w:tcPr>
          <w:p w:rsidR="00887330" w:rsidRPr="00583E1A" w:rsidRDefault="00887330" w:rsidP="00887330">
            <w:pPr>
              <w:pStyle w:val="Tabletext"/>
            </w:pPr>
            <w:r w:rsidRPr="00583E1A">
              <w:t>Part</w:t>
            </w:r>
            <w:r w:rsidR="00583E1A">
              <w:t> </w:t>
            </w:r>
            <w:r w:rsidRPr="00583E1A">
              <w:t>3</w:t>
            </w:r>
            <w:r w:rsidR="00583E1A">
              <w:noBreakHyphen/>
            </w:r>
            <w:r w:rsidRPr="00583E1A">
              <w:t>1 or 3</w:t>
            </w:r>
            <w:r w:rsidR="00583E1A">
              <w:noBreakHyphen/>
            </w:r>
            <w:r w:rsidRPr="00583E1A">
              <w:t>3</w:t>
            </w:r>
          </w:p>
        </w:tc>
        <w:tc>
          <w:tcPr>
            <w:tcW w:w="2698" w:type="dxa"/>
            <w:tcBorders>
              <w:top w:val="single" w:sz="2" w:space="0" w:color="auto"/>
              <w:bottom w:val="single" w:sz="2" w:space="0" w:color="auto"/>
            </w:tcBorders>
            <w:shd w:val="clear" w:color="auto" w:fill="auto"/>
          </w:tcPr>
          <w:p w:rsidR="00887330" w:rsidRPr="00583E1A" w:rsidRDefault="00887330" w:rsidP="00887330">
            <w:pPr>
              <w:pStyle w:val="Tabletext"/>
            </w:pPr>
            <w:r w:rsidRPr="00583E1A">
              <w:t xml:space="preserve">the </w:t>
            </w:r>
            <w:r w:rsidR="00583E1A" w:rsidRPr="00583E1A">
              <w:rPr>
                <w:position w:val="6"/>
                <w:sz w:val="16"/>
              </w:rPr>
              <w:t>*</w:t>
            </w:r>
            <w:r w:rsidRPr="00583E1A">
              <w:t xml:space="preserve">cost base or </w:t>
            </w:r>
            <w:r w:rsidR="00583E1A" w:rsidRPr="00583E1A">
              <w:rPr>
                <w:position w:val="6"/>
                <w:sz w:val="16"/>
              </w:rPr>
              <w:t>*</w:t>
            </w:r>
            <w:r w:rsidRPr="00583E1A">
              <w:t>reduced cost base of the interest or the asset at the start of the hybrid year or the post</w:t>
            </w:r>
            <w:r w:rsidR="00583E1A">
              <w:noBreakHyphen/>
            </w:r>
            <w:r w:rsidRPr="00583E1A">
              <w:t xml:space="preserve">hybrid year is varied so that it equals the partner’s </w:t>
            </w:r>
            <w:r w:rsidR="00583E1A" w:rsidRPr="00583E1A">
              <w:rPr>
                <w:position w:val="6"/>
                <w:sz w:val="16"/>
              </w:rPr>
              <w:t>*</w:t>
            </w:r>
            <w:r w:rsidRPr="00583E1A">
              <w:t xml:space="preserve">tax cost setting amount for the interest, or the entity’s tax cost setting amount for the asset, at that time in relation to the </w:t>
            </w:r>
            <w:r w:rsidR="00583E1A" w:rsidRPr="00583E1A">
              <w:rPr>
                <w:position w:val="6"/>
                <w:sz w:val="16"/>
              </w:rPr>
              <w:t>*</w:t>
            </w:r>
            <w:r w:rsidRPr="00583E1A">
              <w:t>asset</w:t>
            </w:r>
            <w:r w:rsidR="00583E1A">
              <w:noBreakHyphen/>
            </w:r>
            <w:r w:rsidRPr="00583E1A">
              <w:t>based income tax regime</w:t>
            </w:r>
          </w:p>
        </w:tc>
      </w:tr>
      <w:tr w:rsidR="00887330" w:rsidRPr="00583E1A">
        <w:trPr>
          <w:cantSplit/>
        </w:trPr>
        <w:tc>
          <w:tcPr>
            <w:tcW w:w="714" w:type="dxa"/>
            <w:tcBorders>
              <w:top w:val="single" w:sz="2" w:space="0" w:color="auto"/>
              <w:bottom w:val="single" w:sz="2" w:space="0" w:color="auto"/>
            </w:tcBorders>
            <w:shd w:val="clear" w:color="auto" w:fill="auto"/>
          </w:tcPr>
          <w:p w:rsidR="00887330" w:rsidRPr="00583E1A" w:rsidRDefault="00887330" w:rsidP="00887330">
            <w:pPr>
              <w:pStyle w:val="Tabletext"/>
            </w:pPr>
            <w:r w:rsidRPr="00583E1A">
              <w:t>4</w:t>
            </w:r>
          </w:p>
        </w:tc>
        <w:tc>
          <w:tcPr>
            <w:tcW w:w="3186" w:type="dxa"/>
            <w:tcBorders>
              <w:top w:val="single" w:sz="2" w:space="0" w:color="auto"/>
              <w:bottom w:val="single" w:sz="2" w:space="0" w:color="auto"/>
            </w:tcBorders>
            <w:shd w:val="clear" w:color="auto" w:fill="auto"/>
          </w:tcPr>
          <w:p w:rsidR="00887330" w:rsidRPr="00583E1A" w:rsidRDefault="00887330" w:rsidP="00887330">
            <w:pPr>
              <w:pStyle w:val="Tabletext"/>
            </w:pPr>
            <w:r w:rsidRPr="00583E1A">
              <w:t>Division</w:t>
            </w:r>
            <w:r w:rsidR="00583E1A">
              <w:t> </w:t>
            </w:r>
            <w:r w:rsidRPr="00583E1A">
              <w:t>16E of Part</w:t>
            </w:r>
            <w:r w:rsidR="00583E1A">
              <w:t> </w:t>
            </w:r>
            <w:r w:rsidRPr="00583E1A">
              <w:t xml:space="preserve">III of the </w:t>
            </w:r>
            <w:r w:rsidRPr="00583E1A">
              <w:rPr>
                <w:i/>
              </w:rPr>
              <w:t>Income Tax Assessment Act 1936</w:t>
            </w:r>
          </w:p>
        </w:tc>
        <w:tc>
          <w:tcPr>
            <w:tcW w:w="2698" w:type="dxa"/>
            <w:tcBorders>
              <w:top w:val="single" w:sz="2" w:space="0" w:color="auto"/>
              <w:bottom w:val="single" w:sz="2" w:space="0" w:color="auto"/>
            </w:tcBorders>
            <w:shd w:val="clear" w:color="auto" w:fill="auto"/>
          </w:tcPr>
          <w:p w:rsidR="00887330" w:rsidRPr="00583E1A" w:rsidRDefault="00887330" w:rsidP="00887330">
            <w:pPr>
              <w:pStyle w:val="Tabletext"/>
            </w:pPr>
            <w:r w:rsidRPr="00583E1A">
              <w:t xml:space="preserve">the Division applies as if the interest or the asset were </w:t>
            </w:r>
            <w:r w:rsidR="00583E1A" w:rsidRPr="00583E1A">
              <w:rPr>
                <w:position w:val="6"/>
                <w:sz w:val="16"/>
              </w:rPr>
              <w:t>*</w:t>
            </w:r>
            <w:r w:rsidRPr="00583E1A">
              <w:t>acquired by the partner or the entity at the start of the hybrid year or the post</w:t>
            </w:r>
            <w:r w:rsidR="00583E1A">
              <w:noBreakHyphen/>
            </w:r>
            <w:r w:rsidRPr="00583E1A">
              <w:t xml:space="preserve">hybrid year for a payment equal to the partner’s </w:t>
            </w:r>
            <w:r w:rsidR="00583E1A" w:rsidRPr="00583E1A">
              <w:rPr>
                <w:position w:val="6"/>
                <w:sz w:val="16"/>
              </w:rPr>
              <w:t>*</w:t>
            </w:r>
            <w:r w:rsidRPr="00583E1A">
              <w:t xml:space="preserve">tax cost setting amount for the interest, or the entity’s tax cost setting amount for the asset, at that time in relation to the </w:t>
            </w:r>
            <w:r w:rsidR="00583E1A" w:rsidRPr="00583E1A">
              <w:rPr>
                <w:position w:val="6"/>
                <w:sz w:val="16"/>
              </w:rPr>
              <w:t>*</w:t>
            </w:r>
            <w:r w:rsidRPr="00583E1A">
              <w:t>asset</w:t>
            </w:r>
            <w:r w:rsidR="00583E1A">
              <w:noBreakHyphen/>
            </w:r>
            <w:r w:rsidRPr="00583E1A">
              <w:t>based income tax regime</w:t>
            </w:r>
          </w:p>
        </w:tc>
      </w:tr>
      <w:tr w:rsidR="00887330" w:rsidRPr="00583E1A">
        <w:trPr>
          <w:cantSplit/>
        </w:trPr>
        <w:tc>
          <w:tcPr>
            <w:tcW w:w="714" w:type="dxa"/>
            <w:tcBorders>
              <w:top w:val="single" w:sz="2" w:space="0" w:color="auto"/>
              <w:bottom w:val="single" w:sz="12" w:space="0" w:color="auto"/>
            </w:tcBorders>
            <w:shd w:val="clear" w:color="auto" w:fill="auto"/>
          </w:tcPr>
          <w:p w:rsidR="00887330" w:rsidRPr="00583E1A" w:rsidRDefault="00887330" w:rsidP="00887330">
            <w:pPr>
              <w:pStyle w:val="Tabletext"/>
            </w:pPr>
            <w:r w:rsidRPr="00583E1A">
              <w:lastRenderedPageBreak/>
              <w:t>5</w:t>
            </w:r>
          </w:p>
        </w:tc>
        <w:tc>
          <w:tcPr>
            <w:tcW w:w="3186" w:type="dxa"/>
            <w:tcBorders>
              <w:top w:val="single" w:sz="2" w:space="0" w:color="auto"/>
              <w:bottom w:val="single" w:sz="12" w:space="0" w:color="auto"/>
            </w:tcBorders>
            <w:shd w:val="clear" w:color="auto" w:fill="auto"/>
          </w:tcPr>
          <w:p w:rsidR="00887330" w:rsidRPr="00583E1A" w:rsidRDefault="00887330" w:rsidP="00887330">
            <w:pPr>
              <w:pStyle w:val="Tabletext"/>
            </w:pPr>
            <w:r w:rsidRPr="00583E1A">
              <w:t xml:space="preserve">Any other provision of this Act or the </w:t>
            </w:r>
            <w:r w:rsidRPr="00583E1A">
              <w:rPr>
                <w:i/>
              </w:rPr>
              <w:t>Income Tax Assessment Act 1936</w:t>
            </w:r>
          </w:p>
        </w:tc>
        <w:tc>
          <w:tcPr>
            <w:tcW w:w="2698" w:type="dxa"/>
            <w:tcBorders>
              <w:top w:val="single" w:sz="2" w:space="0" w:color="auto"/>
              <w:bottom w:val="single" w:sz="12" w:space="0" w:color="auto"/>
            </w:tcBorders>
            <w:shd w:val="clear" w:color="auto" w:fill="auto"/>
          </w:tcPr>
          <w:p w:rsidR="00887330" w:rsidRPr="00583E1A" w:rsidRDefault="00887330" w:rsidP="00887330">
            <w:pPr>
              <w:pStyle w:val="Tabletext"/>
            </w:pPr>
            <w:r w:rsidRPr="00583E1A">
              <w:t>the cost of the interest or asset at the start of the hybrid year or the post</w:t>
            </w:r>
            <w:r w:rsidR="00583E1A">
              <w:noBreakHyphen/>
            </w:r>
            <w:r w:rsidRPr="00583E1A">
              <w:t xml:space="preserve">hybrid year is varied so that it equals the partner’s </w:t>
            </w:r>
            <w:r w:rsidR="00583E1A" w:rsidRPr="00583E1A">
              <w:rPr>
                <w:position w:val="6"/>
                <w:sz w:val="16"/>
              </w:rPr>
              <w:t>*</w:t>
            </w:r>
            <w:r w:rsidRPr="00583E1A">
              <w:t xml:space="preserve">tax cost setting amount for the interest, or the entity’s tax cost setting amount for the asset, at that time in relation to the </w:t>
            </w:r>
            <w:r w:rsidR="00583E1A" w:rsidRPr="00583E1A">
              <w:rPr>
                <w:position w:val="6"/>
                <w:sz w:val="16"/>
              </w:rPr>
              <w:t>*</w:t>
            </w:r>
            <w:r w:rsidRPr="00583E1A">
              <w:t>asset</w:t>
            </w:r>
            <w:r w:rsidR="00583E1A">
              <w:noBreakHyphen/>
            </w:r>
            <w:r w:rsidRPr="00583E1A">
              <w:t>based income tax regime</w:t>
            </w:r>
          </w:p>
        </w:tc>
      </w:tr>
    </w:tbl>
    <w:p w:rsidR="00887330" w:rsidRPr="00583E1A" w:rsidRDefault="00887330" w:rsidP="00887330">
      <w:pPr>
        <w:pStyle w:val="ActHead5"/>
      </w:pPr>
      <w:bookmarkStart w:id="364" w:name="_Toc338939438"/>
      <w:r w:rsidRPr="00583E1A">
        <w:rPr>
          <w:rStyle w:val="CharSectno"/>
        </w:rPr>
        <w:t>830</w:t>
      </w:r>
      <w:r w:rsidR="00583E1A">
        <w:rPr>
          <w:rStyle w:val="CharSectno"/>
        </w:rPr>
        <w:noBreakHyphen/>
      </w:r>
      <w:r w:rsidRPr="00583E1A">
        <w:rPr>
          <w:rStyle w:val="CharSectno"/>
        </w:rPr>
        <w:t>95</w:t>
      </w:r>
      <w:r w:rsidRPr="00583E1A">
        <w:t xml:space="preserve">  What the expression </w:t>
      </w:r>
      <w:r w:rsidRPr="00583E1A">
        <w:rPr>
          <w:i/>
        </w:rPr>
        <w:t>tax cost setting amount</w:t>
      </w:r>
      <w:r w:rsidRPr="00583E1A">
        <w:t xml:space="preserve"> means</w:t>
      </w:r>
      <w:bookmarkEnd w:id="364"/>
    </w:p>
    <w:p w:rsidR="00887330" w:rsidRPr="00583E1A" w:rsidRDefault="00887330" w:rsidP="00887330">
      <w:pPr>
        <w:pStyle w:val="subsection"/>
      </w:pPr>
      <w:r w:rsidRPr="00583E1A">
        <w:tab/>
        <w:t>(1)</w:t>
      </w:r>
      <w:r w:rsidRPr="00583E1A">
        <w:tab/>
        <w:t>A partner’s</w:t>
      </w:r>
      <w:r w:rsidRPr="00583E1A">
        <w:rPr>
          <w:b/>
          <w:i/>
        </w:rPr>
        <w:t xml:space="preserve"> tax cost setting amount</w:t>
      </w:r>
      <w:r w:rsidRPr="00583E1A">
        <w:t xml:space="preserve"> for an interest of the partner in an asset at the start of the hybrid year, in relation to an </w:t>
      </w:r>
      <w:r w:rsidR="00583E1A" w:rsidRPr="00583E1A">
        <w:rPr>
          <w:position w:val="6"/>
          <w:sz w:val="16"/>
        </w:rPr>
        <w:t>*</w:t>
      </w:r>
      <w:r w:rsidRPr="00583E1A">
        <w:t>asset</w:t>
      </w:r>
      <w:r w:rsidR="00583E1A">
        <w:noBreakHyphen/>
      </w:r>
      <w:r w:rsidRPr="00583E1A">
        <w:t>based income tax regime, is worked out as follows:</w:t>
      </w:r>
    </w:p>
    <w:p w:rsidR="00887330" w:rsidRPr="00583E1A" w:rsidRDefault="00887330" w:rsidP="00887330">
      <w:pPr>
        <w:pStyle w:val="BoxHeadItalic"/>
        <w:keepNext/>
        <w:keepLines/>
      </w:pPr>
      <w:r w:rsidRPr="00583E1A">
        <w:t>Method statement</w:t>
      </w:r>
    </w:p>
    <w:p w:rsidR="00887330" w:rsidRPr="00583E1A" w:rsidRDefault="00AE4F7F" w:rsidP="00887330">
      <w:pPr>
        <w:pStyle w:val="BoxStep"/>
        <w:keepNext/>
        <w:keepLines/>
      </w:pPr>
      <w:r w:rsidRPr="00583E1A">
        <w:rPr>
          <w:szCs w:val="22"/>
        </w:rPr>
        <w:t>Step 1.</w:t>
      </w:r>
      <w:r w:rsidR="00887330" w:rsidRPr="00583E1A">
        <w:tab/>
        <w:t xml:space="preserve">Work out what would have been the entity’s </w:t>
      </w:r>
      <w:r w:rsidR="00583E1A" w:rsidRPr="00583E1A">
        <w:rPr>
          <w:position w:val="6"/>
          <w:sz w:val="16"/>
        </w:rPr>
        <w:t>*</w:t>
      </w:r>
      <w:r w:rsidR="00887330" w:rsidRPr="00583E1A">
        <w:t xml:space="preserve">tax cost of the asset for the purposes of applying the </w:t>
      </w:r>
      <w:r w:rsidR="00583E1A" w:rsidRPr="00583E1A">
        <w:rPr>
          <w:position w:val="6"/>
          <w:sz w:val="16"/>
        </w:rPr>
        <w:t>*</w:t>
      </w:r>
      <w:r w:rsidR="00887330" w:rsidRPr="00583E1A">
        <w:t>asset</w:t>
      </w:r>
      <w:r w:rsidR="00583E1A">
        <w:noBreakHyphen/>
      </w:r>
      <w:r w:rsidR="00887330" w:rsidRPr="00583E1A">
        <w:t xml:space="preserve">based income tax regime as at the start of the hybrid year if it were not a </w:t>
      </w:r>
      <w:r w:rsidR="00583E1A" w:rsidRPr="00583E1A">
        <w:rPr>
          <w:position w:val="6"/>
          <w:sz w:val="16"/>
        </w:rPr>
        <w:t>*</w:t>
      </w:r>
      <w:r w:rsidR="00887330" w:rsidRPr="00583E1A">
        <w:t>foreign hybrid in relation to the hybrid year.</w:t>
      </w:r>
    </w:p>
    <w:p w:rsidR="00887330" w:rsidRPr="00583E1A" w:rsidRDefault="00AE4F7F" w:rsidP="00887330">
      <w:pPr>
        <w:pStyle w:val="BoxStep"/>
      </w:pPr>
      <w:r w:rsidRPr="00583E1A">
        <w:rPr>
          <w:szCs w:val="22"/>
        </w:rPr>
        <w:t>Step 2.</w:t>
      </w:r>
      <w:r w:rsidR="00887330" w:rsidRPr="00583E1A">
        <w:tab/>
        <w:t>Multiply the result of step 1 by:</w:t>
      </w:r>
    </w:p>
    <w:p w:rsidR="00887330" w:rsidRPr="00583E1A" w:rsidRDefault="00887330" w:rsidP="00887330">
      <w:pPr>
        <w:pStyle w:val="BoxPara"/>
      </w:pPr>
      <w:r w:rsidRPr="00583E1A">
        <w:tab/>
        <w:t>(a)</w:t>
      </w:r>
      <w:r w:rsidRPr="00583E1A">
        <w:tab/>
        <w:t xml:space="preserve">if the entity is a </w:t>
      </w:r>
      <w:r w:rsidR="00583E1A" w:rsidRPr="00583E1A">
        <w:rPr>
          <w:position w:val="6"/>
          <w:sz w:val="16"/>
        </w:rPr>
        <w:t>*</w:t>
      </w:r>
      <w:r w:rsidRPr="00583E1A">
        <w:t>foreign hybrid company in relation to the hybrid year—the percentage applicable to the partner under subsection 830</w:t>
      </w:r>
      <w:r w:rsidR="00583E1A">
        <w:noBreakHyphen/>
      </w:r>
      <w:r w:rsidRPr="00583E1A">
        <w:t>35(2); or</w:t>
      </w:r>
    </w:p>
    <w:p w:rsidR="00887330" w:rsidRPr="00583E1A" w:rsidRDefault="00887330" w:rsidP="008F0608">
      <w:pPr>
        <w:pStyle w:val="BoxPara"/>
        <w:keepNext/>
        <w:keepLines/>
      </w:pPr>
      <w:r w:rsidRPr="00583E1A">
        <w:lastRenderedPageBreak/>
        <w:tab/>
        <w:t>(b)</w:t>
      </w:r>
      <w:r w:rsidRPr="00583E1A">
        <w:tab/>
        <w:t xml:space="preserve">if the entity is a </w:t>
      </w:r>
      <w:r w:rsidR="00583E1A" w:rsidRPr="00583E1A">
        <w:rPr>
          <w:position w:val="6"/>
          <w:sz w:val="16"/>
        </w:rPr>
        <w:t>*</w:t>
      </w:r>
      <w:r w:rsidRPr="00583E1A">
        <w:t>foreign hybrid limited partnership in relation to the hybrid year—the individual interest of the partner in the asset, expressed as a percentage of the interests of all of the partners in the asset.</w:t>
      </w:r>
    </w:p>
    <w:p w:rsidR="00887330" w:rsidRPr="00583E1A" w:rsidRDefault="00AE4F7F" w:rsidP="00887330">
      <w:pPr>
        <w:pStyle w:val="BoxStep"/>
      </w:pPr>
      <w:r w:rsidRPr="00583E1A">
        <w:rPr>
          <w:szCs w:val="22"/>
        </w:rPr>
        <w:t>Step 3.</w:t>
      </w:r>
      <w:r w:rsidR="00887330" w:rsidRPr="00583E1A">
        <w:rPr>
          <w:i/>
        </w:rPr>
        <w:tab/>
      </w:r>
      <w:r w:rsidR="00887330" w:rsidRPr="00583E1A">
        <w:t xml:space="preserve">If the partner paid a premium in respect of the </w:t>
      </w:r>
      <w:r w:rsidR="00583E1A" w:rsidRPr="00583E1A">
        <w:rPr>
          <w:position w:val="6"/>
          <w:sz w:val="16"/>
        </w:rPr>
        <w:t>*</w:t>
      </w:r>
      <w:r w:rsidR="00887330" w:rsidRPr="00583E1A">
        <w:t xml:space="preserve">acquisition of its interest in the asset (see </w:t>
      </w:r>
      <w:r w:rsidR="00583E1A">
        <w:t>subsection (</w:t>
      </w:r>
      <w:r w:rsidR="00887330" w:rsidRPr="00583E1A">
        <w:t xml:space="preserve">2)), add the amount of the premium to the result of step 2. If the partner received a discount in respect of the acquisition (see </w:t>
      </w:r>
      <w:r w:rsidR="00583E1A">
        <w:t>subsection (</w:t>
      </w:r>
      <w:r w:rsidR="00887330" w:rsidRPr="00583E1A">
        <w:t>2)), subtract the amount of the discount from the result of step 2, but not to the extent that this would result in a negative amount.</w:t>
      </w:r>
    </w:p>
    <w:p w:rsidR="00887330" w:rsidRPr="00583E1A" w:rsidRDefault="00887330" w:rsidP="00887330">
      <w:pPr>
        <w:pStyle w:val="BoxStep"/>
      </w:pPr>
      <w:r w:rsidRPr="00583E1A">
        <w:rPr>
          <w:i/>
        </w:rPr>
        <w:tab/>
      </w:r>
      <w:r w:rsidRPr="00583E1A">
        <w:t xml:space="preserve">The result of step 3 is the partner’s </w:t>
      </w:r>
      <w:r w:rsidRPr="00583E1A">
        <w:rPr>
          <w:b/>
          <w:i/>
        </w:rPr>
        <w:t>tax cost setting amount</w:t>
      </w:r>
      <w:r w:rsidRPr="00583E1A">
        <w:t xml:space="preserve"> in respect of the asset.</w:t>
      </w:r>
    </w:p>
    <w:p w:rsidR="00887330" w:rsidRPr="00583E1A" w:rsidRDefault="00887330" w:rsidP="007B2DFD">
      <w:pPr>
        <w:pStyle w:val="subsection"/>
        <w:keepNext/>
        <w:keepLines/>
      </w:pPr>
      <w:r w:rsidRPr="00583E1A">
        <w:tab/>
        <w:t>(2)</w:t>
      </w:r>
      <w:r w:rsidRPr="00583E1A">
        <w:tab/>
        <w:t>Work out whether the partner paid a premium or received a discount for its interest in the asset using the following method statement:</w:t>
      </w:r>
    </w:p>
    <w:p w:rsidR="00887330" w:rsidRPr="00583E1A" w:rsidRDefault="00887330" w:rsidP="00A82FCD">
      <w:pPr>
        <w:pStyle w:val="BoxHeadItalic"/>
        <w:keepNext/>
        <w:pBdr>
          <w:top w:val="single" w:sz="4" w:space="5" w:color="auto"/>
          <w:left w:val="single" w:sz="4" w:space="5" w:color="auto"/>
          <w:bottom w:val="single" w:sz="4" w:space="5" w:color="auto"/>
          <w:right w:val="single" w:sz="4" w:space="5" w:color="auto"/>
        </w:pBdr>
      </w:pPr>
      <w:r w:rsidRPr="00583E1A">
        <w:t>Method Statement</w:t>
      </w:r>
    </w:p>
    <w:p w:rsidR="00887330" w:rsidRPr="00583E1A" w:rsidRDefault="00AE4F7F" w:rsidP="00A82FCD">
      <w:pPr>
        <w:pStyle w:val="BoxStep"/>
        <w:pBdr>
          <w:top w:val="single" w:sz="4" w:space="5" w:color="auto"/>
          <w:left w:val="single" w:sz="4" w:space="5" w:color="auto"/>
          <w:bottom w:val="single" w:sz="4" w:space="5" w:color="auto"/>
          <w:right w:val="single" w:sz="4" w:space="5" w:color="auto"/>
        </w:pBdr>
      </w:pPr>
      <w:r w:rsidRPr="00583E1A">
        <w:rPr>
          <w:szCs w:val="22"/>
        </w:rPr>
        <w:t>Step 1.</w:t>
      </w:r>
      <w:r w:rsidR="00887330" w:rsidRPr="00583E1A">
        <w:tab/>
        <w:t xml:space="preserve">Add up all the amounts paid by the partner before the start of the hybrid year for its </w:t>
      </w:r>
      <w:r w:rsidR="00583E1A" w:rsidRPr="00583E1A">
        <w:rPr>
          <w:position w:val="6"/>
          <w:sz w:val="16"/>
        </w:rPr>
        <w:t>*</w:t>
      </w:r>
      <w:r w:rsidR="00887330" w:rsidRPr="00583E1A">
        <w:t>shares in the entity (if the entity was a company), or for its interests in the assets of the entity and in</w:t>
      </w:r>
      <w:r w:rsidR="00887330" w:rsidRPr="00583E1A">
        <w:rPr>
          <w:i/>
        </w:rPr>
        <w:t xml:space="preserve"> </w:t>
      </w:r>
      <w:r w:rsidR="00887330" w:rsidRPr="00583E1A">
        <w:t xml:space="preserve">the entity (if the entity was a </w:t>
      </w:r>
      <w:r w:rsidR="00583E1A" w:rsidRPr="00583E1A">
        <w:rPr>
          <w:position w:val="6"/>
          <w:sz w:val="16"/>
        </w:rPr>
        <w:t>*</w:t>
      </w:r>
      <w:r w:rsidR="00887330" w:rsidRPr="00583E1A">
        <w:t>limited partnership), that it held at the start of the hybrid year, and subtract all amounts received by the partner in respect of those shares or interests by way of reduction in capital of the entity.</w:t>
      </w:r>
    </w:p>
    <w:p w:rsidR="00887330" w:rsidRPr="00583E1A" w:rsidRDefault="00AE4F7F" w:rsidP="00A82FCD">
      <w:pPr>
        <w:pStyle w:val="BoxStep"/>
        <w:pBdr>
          <w:top w:val="single" w:sz="4" w:space="5" w:color="auto"/>
          <w:left w:val="single" w:sz="4" w:space="5" w:color="auto"/>
          <w:bottom w:val="single" w:sz="4" w:space="5" w:color="auto"/>
          <w:right w:val="single" w:sz="4" w:space="5" w:color="auto"/>
        </w:pBdr>
      </w:pPr>
      <w:r w:rsidRPr="00583E1A">
        <w:rPr>
          <w:szCs w:val="22"/>
        </w:rPr>
        <w:t>Step 2.</w:t>
      </w:r>
      <w:r w:rsidR="00887330" w:rsidRPr="00583E1A">
        <w:tab/>
        <w:t xml:space="preserve">Work out the amount that, if the capital of the entity had been distributed to its </w:t>
      </w:r>
      <w:r w:rsidR="00583E1A" w:rsidRPr="00583E1A">
        <w:rPr>
          <w:position w:val="6"/>
          <w:sz w:val="16"/>
        </w:rPr>
        <w:t>*</w:t>
      </w:r>
      <w:r w:rsidR="00887330" w:rsidRPr="00583E1A">
        <w:t>shareholders on a winding</w:t>
      </w:r>
      <w:r w:rsidR="00583E1A">
        <w:noBreakHyphen/>
      </w:r>
      <w:r w:rsidR="00887330" w:rsidRPr="00583E1A">
        <w:t>up or to its partners on a dissolution, at the end of the income year before the hybrid year, the partner could reasonably be expected to have received of the total distribution.</w:t>
      </w:r>
    </w:p>
    <w:p w:rsidR="00887330" w:rsidRPr="00583E1A" w:rsidRDefault="00AE4F7F" w:rsidP="00A82FCD">
      <w:pPr>
        <w:pStyle w:val="BoxStep"/>
        <w:pBdr>
          <w:top w:val="single" w:sz="4" w:space="5" w:color="auto"/>
          <w:left w:val="single" w:sz="4" w:space="5" w:color="auto"/>
          <w:bottom w:val="single" w:sz="4" w:space="5" w:color="auto"/>
          <w:right w:val="single" w:sz="4" w:space="5" w:color="auto"/>
        </w:pBdr>
      </w:pPr>
      <w:r w:rsidRPr="00583E1A">
        <w:rPr>
          <w:szCs w:val="22"/>
        </w:rPr>
        <w:lastRenderedPageBreak/>
        <w:t>Step 3.</w:t>
      </w:r>
      <w:r w:rsidR="00887330" w:rsidRPr="00583E1A">
        <w:tab/>
        <w:t>If the result of step 1 exceeds the result of step 2, the partner paid a premium for its interest in the asset. If the result of step 2 exceeds the result of step 1, the partner received a discount for its interest in the asset.</w:t>
      </w:r>
    </w:p>
    <w:p w:rsidR="00887330" w:rsidRPr="00583E1A" w:rsidRDefault="00AE4F7F" w:rsidP="00A82FCD">
      <w:pPr>
        <w:pStyle w:val="BoxStep"/>
        <w:pBdr>
          <w:top w:val="single" w:sz="4" w:space="5" w:color="auto"/>
          <w:left w:val="single" w:sz="4" w:space="5" w:color="auto"/>
          <w:bottom w:val="single" w:sz="4" w:space="5" w:color="auto"/>
          <w:right w:val="single" w:sz="4" w:space="5" w:color="auto"/>
        </w:pBdr>
      </w:pPr>
      <w:r w:rsidRPr="00583E1A">
        <w:rPr>
          <w:szCs w:val="22"/>
        </w:rPr>
        <w:t>Step 4.</w:t>
      </w:r>
      <w:r w:rsidR="00887330" w:rsidRPr="00583E1A">
        <w:tab/>
        <w:t>Work out the amount of the premium or discount using the formula:</w:t>
      </w:r>
    </w:p>
    <w:p w:rsidR="00A82FCD" w:rsidRPr="00583E1A" w:rsidRDefault="00623A5C" w:rsidP="00A82FCD">
      <w:pPr>
        <w:pStyle w:val="Formula"/>
        <w:pBdr>
          <w:top w:val="single" w:sz="4" w:space="5" w:color="auto"/>
          <w:left w:val="single" w:sz="4" w:space="5" w:color="auto"/>
          <w:bottom w:val="single" w:sz="4" w:space="5" w:color="auto"/>
          <w:right w:val="single" w:sz="4" w:space="5" w:color="auto"/>
        </w:pBdr>
        <w:ind w:left="1701" w:hanging="567"/>
      </w:pPr>
      <w:r>
        <w:rPr>
          <w:noProof/>
        </w:rPr>
        <w:drawing>
          <wp:inline distT="0" distB="0" distL="0" distR="0">
            <wp:extent cx="3590925" cy="126682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3590925" cy="1266825"/>
                    </a:xfrm>
                    <a:prstGeom prst="rect">
                      <a:avLst/>
                    </a:prstGeom>
                    <a:noFill/>
                    <a:ln>
                      <a:noFill/>
                    </a:ln>
                  </pic:spPr>
                </pic:pic>
              </a:graphicData>
            </a:graphic>
          </wp:inline>
        </w:drawing>
      </w:r>
    </w:p>
    <w:p w:rsidR="00887330" w:rsidRPr="00583E1A" w:rsidRDefault="00887330" w:rsidP="007B2DFD">
      <w:pPr>
        <w:pStyle w:val="subsection"/>
        <w:keepNext/>
        <w:keepLines/>
      </w:pPr>
      <w:r w:rsidRPr="00583E1A">
        <w:tab/>
        <w:t>(3)</w:t>
      </w:r>
      <w:r w:rsidRPr="00583E1A">
        <w:tab/>
        <w:t xml:space="preserve">The entity’s </w:t>
      </w:r>
      <w:r w:rsidRPr="00583E1A">
        <w:rPr>
          <w:b/>
          <w:i/>
        </w:rPr>
        <w:t>tax cost setting amount</w:t>
      </w:r>
      <w:r w:rsidRPr="00583E1A">
        <w:t xml:space="preserve"> for an asset at the start of the post</w:t>
      </w:r>
      <w:r w:rsidR="00583E1A">
        <w:noBreakHyphen/>
      </w:r>
      <w:r w:rsidRPr="00583E1A">
        <w:t xml:space="preserve">hybrid year in relation to an </w:t>
      </w:r>
      <w:r w:rsidR="00583E1A" w:rsidRPr="00583E1A">
        <w:rPr>
          <w:position w:val="6"/>
          <w:sz w:val="16"/>
        </w:rPr>
        <w:t>*</w:t>
      </w:r>
      <w:r w:rsidRPr="00583E1A">
        <w:t>asset</w:t>
      </w:r>
      <w:r w:rsidR="00583E1A">
        <w:noBreakHyphen/>
      </w:r>
      <w:r w:rsidRPr="00583E1A">
        <w:t xml:space="preserve">based income tax regime is equal to the sum of what the partners’ </w:t>
      </w:r>
      <w:r w:rsidR="00583E1A" w:rsidRPr="00583E1A">
        <w:rPr>
          <w:position w:val="6"/>
          <w:sz w:val="16"/>
        </w:rPr>
        <w:t>*</w:t>
      </w:r>
      <w:r w:rsidRPr="00583E1A">
        <w:t>tax costs for their interests in the asset would be at that time for the purpose of applying the asset</w:t>
      </w:r>
      <w:r w:rsidR="00583E1A">
        <w:noBreakHyphen/>
      </w:r>
      <w:r w:rsidRPr="00583E1A">
        <w:t xml:space="preserve">based income tax regime if the entity had continued to be a </w:t>
      </w:r>
      <w:r w:rsidR="00583E1A" w:rsidRPr="00583E1A">
        <w:rPr>
          <w:position w:val="6"/>
          <w:sz w:val="16"/>
        </w:rPr>
        <w:t>*</w:t>
      </w:r>
      <w:r w:rsidRPr="00583E1A">
        <w:t>foreign hybrid in relation to that income year.</w:t>
      </w:r>
    </w:p>
    <w:p w:rsidR="00887330" w:rsidRPr="00583E1A" w:rsidRDefault="00887330" w:rsidP="00887330">
      <w:pPr>
        <w:pStyle w:val="ActHead5"/>
      </w:pPr>
      <w:bookmarkStart w:id="365" w:name="_Toc338939439"/>
      <w:r w:rsidRPr="00583E1A">
        <w:rPr>
          <w:rStyle w:val="CharSectno"/>
        </w:rPr>
        <w:t>830</w:t>
      </w:r>
      <w:r w:rsidR="00583E1A">
        <w:rPr>
          <w:rStyle w:val="CharSectno"/>
        </w:rPr>
        <w:noBreakHyphen/>
      </w:r>
      <w:r w:rsidRPr="00583E1A">
        <w:rPr>
          <w:rStyle w:val="CharSectno"/>
        </w:rPr>
        <w:t>100</w:t>
      </w:r>
      <w:r w:rsidRPr="00583E1A">
        <w:t xml:space="preserve">  What the expression </w:t>
      </w:r>
      <w:r w:rsidRPr="00583E1A">
        <w:rPr>
          <w:i/>
        </w:rPr>
        <w:t>tax cost</w:t>
      </w:r>
      <w:r w:rsidRPr="00583E1A">
        <w:t xml:space="preserve"> means</w:t>
      </w:r>
      <w:bookmarkEnd w:id="365"/>
    </w:p>
    <w:p w:rsidR="00887330" w:rsidRPr="00583E1A" w:rsidRDefault="00887330" w:rsidP="00887330">
      <w:pPr>
        <w:pStyle w:val="subsection"/>
      </w:pPr>
      <w:r w:rsidRPr="00583E1A">
        <w:tab/>
      </w:r>
      <w:r w:rsidRPr="00583E1A">
        <w:tab/>
        <w:t xml:space="preserve">The </w:t>
      </w:r>
      <w:r w:rsidRPr="00583E1A">
        <w:rPr>
          <w:b/>
          <w:i/>
        </w:rPr>
        <w:t xml:space="preserve">tax cost </w:t>
      </w:r>
      <w:r w:rsidRPr="00583E1A">
        <w:t xml:space="preserve">of a partner’s interest in an asset or of an asset of the entity for the purposes of applying an </w:t>
      </w:r>
      <w:r w:rsidR="00583E1A" w:rsidRPr="00583E1A">
        <w:rPr>
          <w:position w:val="6"/>
          <w:sz w:val="16"/>
        </w:rPr>
        <w:t>*</w:t>
      </w:r>
      <w:r w:rsidRPr="00583E1A">
        <w:t>asset</w:t>
      </w:r>
      <w:r w:rsidR="00583E1A">
        <w:noBreakHyphen/>
      </w:r>
      <w:r w:rsidRPr="00583E1A">
        <w:t>based income tax regime at the start of the post</w:t>
      </w:r>
      <w:r w:rsidR="00583E1A">
        <w:noBreakHyphen/>
      </w:r>
      <w:r w:rsidRPr="00583E1A">
        <w:t>hybrid year or the hybrid year is worked out using the following table:</w:t>
      </w:r>
    </w:p>
    <w:p w:rsidR="00887330" w:rsidRPr="00583E1A" w:rsidRDefault="00887330" w:rsidP="00887330">
      <w:pPr>
        <w:pStyle w:val="Tabletext"/>
      </w:pPr>
    </w:p>
    <w:tbl>
      <w:tblPr>
        <w:tblW w:w="6130" w:type="dxa"/>
        <w:tblInd w:w="1208" w:type="dxa"/>
        <w:tblLayout w:type="fixed"/>
        <w:tblLook w:val="0000" w:firstRow="0" w:lastRow="0" w:firstColumn="0" w:lastColumn="0" w:noHBand="0" w:noVBand="0"/>
      </w:tblPr>
      <w:tblGrid>
        <w:gridCol w:w="660"/>
        <w:gridCol w:w="2635"/>
        <w:gridCol w:w="2835"/>
      </w:tblGrid>
      <w:tr w:rsidR="00887330" w:rsidRPr="00583E1A">
        <w:trPr>
          <w:cantSplit/>
          <w:tblHeader/>
        </w:trPr>
        <w:tc>
          <w:tcPr>
            <w:tcW w:w="6130" w:type="dxa"/>
            <w:gridSpan w:val="3"/>
            <w:tcBorders>
              <w:top w:val="single" w:sz="12" w:space="0" w:color="auto"/>
              <w:bottom w:val="single" w:sz="6" w:space="0" w:color="auto"/>
            </w:tcBorders>
            <w:shd w:val="clear" w:color="auto" w:fill="auto"/>
          </w:tcPr>
          <w:p w:rsidR="00887330" w:rsidRPr="00583E1A" w:rsidRDefault="00887330" w:rsidP="00887330">
            <w:pPr>
              <w:pStyle w:val="Tabletext"/>
              <w:keepNext/>
              <w:rPr>
                <w:b/>
              </w:rPr>
            </w:pPr>
            <w:r w:rsidRPr="00583E1A">
              <w:rPr>
                <w:b/>
              </w:rPr>
              <w:t>Tax cost of an asset</w:t>
            </w:r>
          </w:p>
        </w:tc>
      </w:tr>
      <w:tr w:rsidR="00887330" w:rsidRPr="00583E1A">
        <w:trPr>
          <w:cantSplit/>
          <w:tblHeader/>
        </w:trPr>
        <w:tc>
          <w:tcPr>
            <w:tcW w:w="660" w:type="dxa"/>
            <w:tcBorders>
              <w:top w:val="single" w:sz="6" w:space="0" w:color="auto"/>
              <w:bottom w:val="single" w:sz="12" w:space="0" w:color="auto"/>
            </w:tcBorders>
            <w:shd w:val="clear" w:color="auto" w:fill="auto"/>
          </w:tcPr>
          <w:p w:rsidR="00887330" w:rsidRPr="00583E1A" w:rsidRDefault="00887330" w:rsidP="00887330">
            <w:pPr>
              <w:pStyle w:val="Tabletext"/>
              <w:keepNext/>
              <w:rPr>
                <w:b/>
              </w:rPr>
            </w:pPr>
            <w:r w:rsidRPr="00583E1A">
              <w:rPr>
                <w:b/>
              </w:rPr>
              <w:t>Item</w:t>
            </w:r>
          </w:p>
        </w:tc>
        <w:tc>
          <w:tcPr>
            <w:tcW w:w="2635" w:type="dxa"/>
            <w:tcBorders>
              <w:top w:val="single" w:sz="6" w:space="0" w:color="auto"/>
              <w:bottom w:val="single" w:sz="12" w:space="0" w:color="auto"/>
            </w:tcBorders>
            <w:shd w:val="clear" w:color="auto" w:fill="auto"/>
          </w:tcPr>
          <w:p w:rsidR="00887330" w:rsidRPr="00583E1A" w:rsidRDefault="00887330" w:rsidP="00887330">
            <w:pPr>
              <w:pStyle w:val="Tabletext"/>
              <w:keepNext/>
              <w:rPr>
                <w:b/>
              </w:rPr>
            </w:pPr>
            <w:r w:rsidRPr="00583E1A">
              <w:rPr>
                <w:b/>
              </w:rPr>
              <w:t>If the asset</w:t>
            </w:r>
            <w:r w:rsidR="00583E1A">
              <w:rPr>
                <w:b/>
              </w:rPr>
              <w:noBreakHyphen/>
            </w:r>
            <w:r w:rsidRPr="00583E1A">
              <w:rPr>
                <w:b/>
              </w:rPr>
              <w:t>based income tax regime is:</w:t>
            </w:r>
          </w:p>
        </w:tc>
        <w:tc>
          <w:tcPr>
            <w:tcW w:w="2835" w:type="dxa"/>
            <w:tcBorders>
              <w:top w:val="single" w:sz="6" w:space="0" w:color="auto"/>
              <w:bottom w:val="single" w:sz="12" w:space="0" w:color="auto"/>
            </w:tcBorders>
            <w:shd w:val="clear" w:color="auto" w:fill="auto"/>
          </w:tcPr>
          <w:p w:rsidR="00887330" w:rsidRPr="00583E1A" w:rsidRDefault="00887330" w:rsidP="00887330">
            <w:pPr>
              <w:pStyle w:val="Tabletext"/>
              <w:keepNext/>
              <w:rPr>
                <w:b/>
              </w:rPr>
            </w:pPr>
            <w:r w:rsidRPr="00583E1A">
              <w:rPr>
                <w:b/>
              </w:rPr>
              <w:t>the tax cost of the interest or the asset is:</w:t>
            </w:r>
          </w:p>
        </w:tc>
      </w:tr>
      <w:tr w:rsidR="00887330" w:rsidRPr="00583E1A">
        <w:trPr>
          <w:cantSplit/>
        </w:trPr>
        <w:tc>
          <w:tcPr>
            <w:tcW w:w="660" w:type="dxa"/>
            <w:tcBorders>
              <w:top w:val="single" w:sz="12" w:space="0" w:color="auto"/>
              <w:bottom w:val="single" w:sz="2" w:space="0" w:color="auto"/>
            </w:tcBorders>
            <w:shd w:val="clear" w:color="auto" w:fill="auto"/>
          </w:tcPr>
          <w:p w:rsidR="00887330" w:rsidRPr="00583E1A" w:rsidRDefault="00887330" w:rsidP="00887330">
            <w:pPr>
              <w:pStyle w:val="Tabletext"/>
            </w:pPr>
            <w:r w:rsidRPr="00583E1A">
              <w:t>1</w:t>
            </w:r>
          </w:p>
        </w:tc>
        <w:tc>
          <w:tcPr>
            <w:tcW w:w="2635" w:type="dxa"/>
            <w:tcBorders>
              <w:top w:val="single" w:sz="12" w:space="0" w:color="auto"/>
              <w:bottom w:val="single" w:sz="2" w:space="0" w:color="auto"/>
            </w:tcBorders>
            <w:shd w:val="clear" w:color="auto" w:fill="auto"/>
          </w:tcPr>
          <w:p w:rsidR="00887330" w:rsidRPr="00583E1A" w:rsidRDefault="00887330" w:rsidP="00887330">
            <w:pPr>
              <w:pStyle w:val="Tabletext"/>
            </w:pPr>
            <w:r w:rsidRPr="00583E1A">
              <w:t>Subdivisions</w:t>
            </w:r>
            <w:r w:rsidR="00583E1A">
              <w:t> </w:t>
            </w:r>
            <w:r w:rsidRPr="00583E1A">
              <w:t>40</w:t>
            </w:r>
            <w:r w:rsidR="00583E1A">
              <w:noBreakHyphen/>
            </w:r>
            <w:r w:rsidRPr="00583E1A">
              <w:t>A to 40</w:t>
            </w:r>
            <w:r w:rsidR="00583E1A">
              <w:noBreakHyphen/>
            </w:r>
            <w:r w:rsidRPr="00583E1A">
              <w:t>D, sections</w:t>
            </w:r>
            <w:r w:rsidR="00583E1A">
              <w:t> </w:t>
            </w:r>
            <w:r w:rsidRPr="00583E1A">
              <w:t>40</w:t>
            </w:r>
            <w:r w:rsidR="00583E1A">
              <w:noBreakHyphen/>
            </w:r>
            <w:r w:rsidRPr="00583E1A">
              <w:t>425 to 40</w:t>
            </w:r>
            <w:r w:rsidR="00583E1A">
              <w:noBreakHyphen/>
            </w:r>
            <w:r w:rsidRPr="00583E1A">
              <w:t>445 and Subdivision</w:t>
            </w:r>
            <w:r w:rsidR="00583E1A">
              <w:t> </w:t>
            </w:r>
            <w:r w:rsidRPr="00583E1A">
              <w:t>328</w:t>
            </w:r>
            <w:r w:rsidR="00583E1A">
              <w:noBreakHyphen/>
            </w:r>
            <w:r w:rsidRPr="00583E1A">
              <w:t xml:space="preserve">D </w:t>
            </w:r>
          </w:p>
        </w:tc>
        <w:tc>
          <w:tcPr>
            <w:tcW w:w="2835" w:type="dxa"/>
            <w:tcBorders>
              <w:top w:val="single" w:sz="12" w:space="0" w:color="auto"/>
              <w:bottom w:val="single" w:sz="2" w:space="0" w:color="auto"/>
            </w:tcBorders>
            <w:shd w:val="clear" w:color="auto" w:fill="auto"/>
          </w:tcPr>
          <w:p w:rsidR="00887330" w:rsidRPr="00583E1A" w:rsidRDefault="00887330" w:rsidP="00887330">
            <w:pPr>
              <w:pStyle w:val="Tabletext"/>
            </w:pPr>
            <w:r w:rsidRPr="00583E1A">
              <w:t xml:space="preserve">the </w:t>
            </w:r>
            <w:r w:rsidR="00583E1A" w:rsidRPr="00583E1A">
              <w:rPr>
                <w:position w:val="6"/>
                <w:sz w:val="16"/>
              </w:rPr>
              <w:t>*</w:t>
            </w:r>
            <w:r w:rsidRPr="00583E1A">
              <w:t>adjustable value of the interest or the asset at the start of the post</w:t>
            </w:r>
            <w:r w:rsidR="00583E1A">
              <w:noBreakHyphen/>
            </w:r>
            <w:r w:rsidRPr="00583E1A">
              <w:t>hybrid year or the hybrid year</w:t>
            </w:r>
          </w:p>
        </w:tc>
      </w:tr>
      <w:tr w:rsidR="00887330" w:rsidRPr="00583E1A">
        <w:trPr>
          <w:cantSplit/>
        </w:trPr>
        <w:tc>
          <w:tcPr>
            <w:tcW w:w="660" w:type="dxa"/>
            <w:tcBorders>
              <w:top w:val="single" w:sz="2" w:space="0" w:color="auto"/>
              <w:bottom w:val="single" w:sz="2" w:space="0" w:color="auto"/>
            </w:tcBorders>
            <w:shd w:val="clear" w:color="auto" w:fill="auto"/>
          </w:tcPr>
          <w:p w:rsidR="00887330" w:rsidRPr="00583E1A" w:rsidRDefault="00887330" w:rsidP="00887330">
            <w:pPr>
              <w:pStyle w:val="Tabletext"/>
            </w:pPr>
            <w:r w:rsidRPr="00583E1A">
              <w:lastRenderedPageBreak/>
              <w:t>2</w:t>
            </w:r>
          </w:p>
        </w:tc>
        <w:tc>
          <w:tcPr>
            <w:tcW w:w="2635" w:type="dxa"/>
            <w:tcBorders>
              <w:top w:val="single" w:sz="2" w:space="0" w:color="auto"/>
              <w:bottom w:val="single" w:sz="2" w:space="0" w:color="auto"/>
            </w:tcBorders>
            <w:shd w:val="clear" w:color="auto" w:fill="auto"/>
          </w:tcPr>
          <w:p w:rsidR="00887330" w:rsidRPr="00583E1A" w:rsidRDefault="00887330" w:rsidP="00887330">
            <w:pPr>
              <w:pStyle w:val="Tabletext"/>
            </w:pPr>
            <w:r w:rsidRPr="00583E1A">
              <w:t>Division</w:t>
            </w:r>
            <w:r w:rsidR="00583E1A">
              <w:t> </w:t>
            </w:r>
            <w:r w:rsidRPr="00583E1A">
              <w:t>70</w:t>
            </w:r>
          </w:p>
        </w:tc>
        <w:tc>
          <w:tcPr>
            <w:tcW w:w="2835" w:type="dxa"/>
            <w:tcBorders>
              <w:top w:val="single" w:sz="2" w:space="0" w:color="auto"/>
              <w:bottom w:val="single" w:sz="2" w:space="0" w:color="auto"/>
            </w:tcBorders>
            <w:shd w:val="clear" w:color="auto" w:fill="auto"/>
          </w:tcPr>
          <w:p w:rsidR="00887330" w:rsidRPr="00583E1A" w:rsidRDefault="00887330" w:rsidP="00887330">
            <w:pPr>
              <w:pStyle w:val="Tabletext"/>
            </w:pPr>
            <w:r w:rsidRPr="00583E1A">
              <w:t>the value of the interest or the asset at the start of the post</w:t>
            </w:r>
            <w:r w:rsidR="00583E1A">
              <w:noBreakHyphen/>
            </w:r>
            <w:r w:rsidRPr="00583E1A">
              <w:t>hybrid year or the hybrid year under Division</w:t>
            </w:r>
            <w:r w:rsidR="00583E1A">
              <w:t> </w:t>
            </w:r>
            <w:r w:rsidRPr="00583E1A">
              <w:t>70</w:t>
            </w:r>
          </w:p>
        </w:tc>
      </w:tr>
      <w:tr w:rsidR="00887330" w:rsidRPr="00583E1A">
        <w:trPr>
          <w:cantSplit/>
        </w:trPr>
        <w:tc>
          <w:tcPr>
            <w:tcW w:w="660" w:type="dxa"/>
            <w:tcBorders>
              <w:top w:val="single" w:sz="2" w:space="0" w:color="auto"/>
              <w:bottom w:val="single" w:sz="2" w:space="0" w:color="auto"/>
            </w:tcBorders>
            <w:shd w:val="clear" w:color="auto" w:fill="auto"/>
          </w:tcPr>
          <w:p w:rsidR="00887330" w:rsidRPr="00583E1A" w:rsidRDefault="00887330" w:rsidP="00887330">
            <w:pPr>
              <w:pStyle w:val="Tabletext"/>
            </w:pPr>
            <w:r w:rsidRPr="00583E1A">
              <w:t>3</w:t>
            </w:r>
          </w:p>
        </w:tc>
        <w:tc>
          <w:tcPr>
            <w:tcW w:w="2635" w:type="dxa"/>
            <w:tcBorders>
              <w:top w:val="single" w:sz="2" w:space="0" w:color="auto"/>
              <w:bottom w:val="single" w:sz="2" w:space="0" w:color="auto"/>
            </w:tcBorders>
            <w:shd w:val="clear" w:color="auto" w:fill="auto"/>
          </w:tcPr>
          <w:p w:rsidR="00887330" w:rsidRPr="00583E1A" w:rsidRDefault="00887330" w:rsidP="00887330">
            <w:pPr>
              <w:pStyle w:val="Tabletext"/>
            </w:pPr>
            <w:r w:rsidRPr="00583E1A">
              <w:t>Part</w:t>
            </w:r>
            <w:r w:rsidR="00583E1A">
              <w:t> </w:t>
            </w:r>
            <w:r w:rsidRPr="00583E1A">
              <w:t>3</w:t>
            </w:r>
            <w:r w:rsidR="00583E1A">
              <w:noBreakHyphen/>
            </w:r>
            <w:r w:rsidRPr="00583E1A">
              <w:t>1 or 3</w:t>
            </w:r>
            <w:r w:rsidR="00583E1A">
              <w:noBreakHyphen/>
            </w:r>
            <w:r w:rsidRPr="00583E1A">
              <w:t>3</w:t>
            </w:r>
          </w:p>
        </w:tc>
        <w:tc>
          <w:tcPr>
            <w:tcW w:w="2835" w:type="dxa"/>
            <w:tcBorders>
              <w:top w:val="single" w:sz="2" w:space="0" w:color="auto"/>
              <w:bottom w:val="single" w:sz="2" w:space="0" w:color="auto"/>
            </w:tcBorders>
            <w:shd w:val="clear" w:color="auto" w:fill="auto"/>
          </w:tcPr>
          <w:p w:rsidR="00887330" w:rsidRPr="00583E1A" w:rsidRDefault="00887330" w:rsidP="00887330">
            <w:pPr>
              <w:pStyle w:val="Tabletext"/>
            </w:pPr>
            <w:r w:rsidRPr="00583E1A">
              <w:t xml:space="preserve">the </w:t>
            </w:r>
            <w:r w:rsidR="00583E1A" w:rsidRPr="00583E1A">
              <w:rPr>
                <w:position w:val="6"/>
                <w:sz w:val="16"/>
              </w:rPr>
              <w:t>*</w:t>
            </w:r>
            <w:r w:rsidRPr="00583E1A">
              <w:t xml:space="preserve">cost base or </w:t>
            </w:r>
            <w:r w:rsidR="00583E1A" w:rsidRPr="00583E1A">
              <w:rPr>
                <w:position w:val="6"/>
                <w:sz w:val="16"/>
              </w:rPr>
              <w:t>*</w:t>
            </w:r>
            <w:r w:rsidRPr="00583E1A">
              <w:t>reduced cost base of the interest or the asset at the start of the post</w:t>
            </w:r>
            <w:r w:rsidR="00583E1A">
              <w:noBreakHyphen/>
            </w:r>
            <w:r w:rsidRPr="00583E1A">
              <w:t xml:space="preserve">hybrid year or the hybrid year </w:t>
            </w:r>
          </w:p>
        </w:tc>
      </w:tr>
      <w:tr w:rsidR="00887330" w:rsidRPr="00583E1A">
        <w:trPr>
          <w:cantSplit/>
        </w:trPr>
        <w:tc>
          <w:tcPr>
            <w:tcW w:w="660" w:type="dxa"/>
            <w:tcBorders>
              <w:top w:val="single" w:sz="2" w:space="0" w:color="auto"/>
              <w:bottom w:val="single" w:sz="2" w:space="0" w:color="auto"/>
            </w:tcBorders>
            <w:shd w:val="clear" w:color="auto" w:fill="auto"/>
          </w:tcPr>
          <w:p w:rsidR="00887330" w:rsidRPr="00583E1A" w:rsidRDefault="00887330" w:rsidP="00887330">
            <w:pPr>
              <w:pStyle w:val="Tabletext"/>
            </w:pPr>
            <w:r w:rsidRPr="00583E1A">
              <w:t>4</w:t>
            </w:r>
          </w:p>
        </w:tc>
        <w:tc>
          <w:tcPr>
            <w:tcW w:w="2635" w:type="dxa"/>
            <w:tcBorders>
              <w:top w:val="single" w:sz="2" w:space="0" w:color="auto"/>
              <w:bottom w:val="single" w:sz="2" w:space="0" w:color="auto"/>
            </w:tcBorders>
            <w:shd w:val="clear" w:color="auto" w:fill="auto"/>
          </w:tcPr>
          <w:p w:rsidR="00887330" w:rsidRPr="00583E1A" w:rsidRDefault="00887330" w:rsidP="00887330">
            <w:pPr>
              <w:pStyle w:val="Tabletext"/>
            </w:pPr>
            <w:r w:rsidRPr="00583E1A">
              <w:t>Division</w:t>
            </w:r>
            <w:r w:rsidR="00583E1A">
              <w:t> </w:t>
            </w:r>
            <w:r w:rsidRPr="00583E1A">
              <w:t>16E of Part</w:t>
            </w:r>
            <w:r w:rsidR="00583E1A">
              <w:t> </w:t>
            </w:r>
            <w:r w:rsidRPr="00583E1A">
              <w:t xml:space="preserve">III of the </w:t>
            </w:r>
            <w:r w:rsidRPr="00583E1A">
              <w:rPr>
                <w:i/>
              </w:rPr>
              <w:t>Income Tax Assessment Act 1936</w:t>
            </w:r>
          </w:p>
        </w:tc>
        <w:tc>
          <w:tcPr>
            <w:tcW w:w="2835" w:type="dxa"/>
            <w:tcBorders>
              <w:top w:val="single" w:sz="2" w:space="0" w:color="auto"/>
              <w:bottom w:val="single" w:sz="2" w:space="0" w:color="auto"/>
            </w:tcBorders>
            <w:shd w:val="clear" w:color="auto" w:fill="auto"/>
          </w:tcPr>
          <w:p w:rsidR="00887330" w:rsidRPr="00583E1A" w:rsidRDefault="00887330" w:rsidP="00887330">
            <w:pPr>
              <w:pStyle w:val="Tabletext"/>
            </w:pPr>
            <w:r w:rsidRPr="00583E1A">
              <w:t>the amount that the partner or entity would need to receive if it were to dispose of the interest or asset at the start of the post</w:t>
            </w:r>
            <w:r w:rsidR="00583E1A">
              <w:noBreakHyphen/>
            </w:r>
            <w:r w:rsidRPr="00583E1A">
              <w:t>hybrid year or the hybrid year without an amount being assessable income of, or deductible to, the partner or entity under section</w:t>
            </w:r>
            <w:r w:rsidR="00583E1A">
              <w:t> </w:t>
            </w:r>
            <w:r w:rsidRPr="00583E1A">
              <w:t xml:space="preserve">159GS of the </w:t>
            </w:r>
            <w:r w:rsidRPr="00583E1A">
              <w:rPr>
                <w:i/>
              </w:rPr>
              <w:t>Income Tax Assessment Act 1936</w:t>
            </w:r>
          </w:p>
        </w:tc>
      </w:tr>
      <w:tr w:rsidR="00887330" w:rsidRPr="00583E1A">
        <w:trPr>
          <w:cantSplit/>
        </w:trPr>
        <w:tc>
          <w:tcPr>
            <w:tcW w:w="660" w:type="dxa"/>
            <w:tcBorders>
              <w:top w:val="single" w:sz="2" w:space="0" w:color="auto"/>
              <w:bottom w:val="single" w:sz="12" w:space="0" w:color="auto"/>
            </w:tcBorders>
            <w:shd w:val="clear" w:color="auto" w:fill="auto"/>
          </w:tcPr>
          <w:p w:rsidR="00887330" w:rsidRPr="00583E1A" w:rsidRDefault="00887330" w:rsidP="00887330">
            <w:pPr>
              <w:pStyle w:val="Tabletext"/>
            </w:pPr>
            <w:r w:rsidRPr="00583E1A">
              <w:t>5</w:t>
            </w:r>
          </w:p>
        </w:tc>
        <w:tc>
          <w:tcPr>
            <w:tcW w:w="2635" w:type="dxa"/>
            <w:tcBorders>
              <w:top w:val="single" w:sz="2" w:space="0" w:color="auto"/>
              <w:bottom w:val="single" w:sz="12" w:space="0" w:color="auto"/>
            </w:tcBorders>
            <w:shd w:val="clear" w:color="auto" w:fill="auto"/>
          </w:tcPr>
          <w:p w:rsidR="00887330" w:rsidRPr="00583E1A" w:rsidRDefault="00887330" w:rsidP="00887330">
            <w:pPr>
              <w:pStyle w:val="Tabletext"/>
            </w:pPr>
            <w:r w:rsidRPr="00583E1A">
              <w:t xml:space="preserve">Any other provision of this Act or the </w:t>
            </w:r>
            <w:r w:rsidRPr="00583E1A">
              <w:rPr>
                <w:i/>
              </w:rPr>
              <w:t>Income Tax Assessment Act 1936</w:t>
            </w:r>
          </w:p>
        </w:tc>
        <w:tc>
          <w:tcPr>
            <w:tcW w:w="2835" w:type="dxa"/>
            <w:tcBorders>
              <w:top w:val="single" w:sz="2" w:space="0" w:color="auto"/>
              <w:bottom w:val="single" w:sz="12" w:space="0" w:color="auto"/>
            </w:tcBorders>
            <w:shd w:val="clear" w:color="auto" w:fill="auto"/>
          </w:tcPr>
          <w:p w:rsidR="00887330" w:rsidRPr="00583E1A" w:rsidRDefault="00887330" w:rsidP="00887330">
            <w:pPr>
              <w:pStyle w:val="Tabletext"/>
            </w:pPr>
            <w:r w:rsidRPr="00583E1A">
              <w:t>the cost of the interest or the asset at the start of the post</w:t>
            </w:r>
            <w:r w:rsidR="00583E1A">
              <w:noBreakHyphen/>
            </w:r>
            <w:r w:rsidRPr="00583E1A">
              <w:t xml:space="preserve">hybrid year or the hybrid year </w:t>
            </w:r>
          </w:p>
        </w:tc>
      </w:tr>
    </w:tbl>
    <w:p w:rsidR="00887330" w:rsidRPr="00583E1A" w:rsidRDefault="00887330" w:rsidP="00887330">
      <w:pPr>
        <w:pStyle w:val="ActHead5"/>
      </w:pPr>
      <w:bookmarkStart w:id="366" w:name="_Toc338939440"/>
      <w:r w:rsidRPr="00583E1A">
        <w:rPr>
          <w:rStyle w:val="CharSectno"/>
        </w:rPr>
        <w:t>830</w:t>
      </w:r>
      <w:r w:rsidR="00583E1A">
        <w:rPr>
          <w:rStyle w:val="CharSectno"/>
        </w:rPr>
        <w:noBreakHyphen/>
      </w:r>
      <w:r w:rsidRPr="00583E1A">
        <w:rPr>
          <w:rStyle w:val="CharSectno"/>
        </w:rPr>
        <w:t>105</w:t>
      </w:r>
      <w:r w:rsidRPr="00583E1A">
        <w:t xml:space="preserve">  What the expression </w:t>
      </w:r>
      <w:r w:rsidRPr="00583E1A">
        <w:rPr>
          <w:i/>
        </w:rPr>
        <w:t>asset</w:t>
      </w:r>
      <w:r w:rsidR="00583E1A">
        <w:rPr>
          <w:i/>
        </w:rPr>
        <w:noBreakHyphen/>
      </w:r>
      <w:r w:rsidRPr="00583E1A">
        <w:rPr>
          <w:i/>
        </w:rPr>
        <w:t>based income tax regime</w:t>
      </w:r>
      <w:r w:rsidRPr="00583E1A">
        <w:t xml:space="preserve"> means</w:t>
      </w:r>
      <w:bookmarkEnd w:id="366"/>
    </w:p>
    <w:p w:rsidR="00887330" w:rsidRPr="00583E1A" w:rsidRDefault="00887330" w:rsidP="00887330">
      <w:pPr>
        <w:pStyle w:val="subsection"/>
      </w:pPr>
      <w:r w:rsidRPr="00583E1A">
        <w:tab/>
      </w:r>
      <w:r w:rsidRPr="00583E1A">
        <w:tab/>
        <w:t>The provisions listed in the first column in relation to each item in the table in section</w:t>
      </w:r>
      <w:r w:rsidR="00583E1A">
        <w:t> </w:t>
      </w:r>
      <w:r w:rsidRPr="00583E1A">
        <w:t>830</w:t>
      </w:r>
      <w:r w:rsidR="00583E1A">
        <w:noBreakHyphen/>
      </w:r>
      <w:r w:rsidRPr="00583E1A">
        <w:t xml:space="preserve">100 are an </w:t>
      </w:r>
      <w:r w:rsidRPr="00583E1A">
        <w:rPr>
          <w:b/>
          <w:i/>
        </w:rPr>
        <w:t>asset</w:t>
      </w:r>
      <w:r w:rsidR="00583E1A">
        <w:rPr>
          <w:b/>
          <w:i/>
        </w:rPr>
        <w:noBreakHyphen/>
      </w:r>
      <w:r w:rsidRPr="00583E1A">
        <w:rPr>
          <w:b/>
          <w:i/>
        </w:rPr>
        <w:t>based income tax regime</w:t>
      </w:r>
      <w:r w:rsidRPr="00583E1A">
        <w:t>.</w:t>
      </w:r>
    </w:p>
    <w:p w:rsidR="00887330" w:rsidRPr="00583E1A" w:rsidRDefault="00887330" w:rsidP="00887330">
      <w:pPr>
        <w:pStyle w:val="ActHead5"/>
      </w:pPr>
      <w:bookmarkStart w:id="367" w:name="_Toc338939441"/>
      <w:r w:rsidRPr="00583E1A">
        <w:rPr>
          <w:rStyle w:val="CharSectno"/>
        </w:rPr>
        <w:t>830</w:t>
      </w:r>
      <w:r w:rsidR="00583E1A">
        <w:rPr>
          <w:rStyle w:val="CharSectno"/>
        </w:rPr>
        <w:noBreakHyphen/>
      </w:r>
      <w:r w:rsidRPr="00583E1A">
        <w:rPr>
          <w:rStyle w:val="CharSectno"/>
        </w:rPr>
        <w:t>110</w:t>
      </w:r>
      <w:r w:rsidRPr="00583E1A">
        <w:t xml:space="preserve">  No disposal of assets etc. on entity becoming or ceasing to be a foreign hybrid</w:t>
      </w:r>
      <w:bookmarkEnd w:id="367"/>
    </w:p>
    <w:p w:rsidR="00887330" w:rsidRPr="00583E1A" w:rsidRDefault="00887330" w:rsidP="00887330">
      <w:pPr>
        <w:pStyle w:val="subsection"/>
      </w:pPr>
      <w:r w:rsidRPr="00583E1A">
        <w:tab/>
      </w:r>
      <w:r w:rsidRPr="00583E1A">
        <w:tab/>
        <w:t xml:space="preserve">To avoid doubt, the fact that an entity becomes or ceases to be a </w:t>
      </w:r>
      <w:r w:rsidR="00583E1A" w:rsidRPr="00583E1A">
        <w:rPr>
          <w:position w:val="6"/>
          <w:sz w:val="16"/>
        </w:rPr>
        <w:t>*</w:t>
      </w:r>
      <w:r w:rsidRPr="00583E1A">
        <w:t>foreign hybrid in relation to an income year does not cause:</w:t>
      </w:r>
    </w:p>
    <w:p w:rsidR="00887330" w:rsidRPr="00583E1A" w:rsidRDefault="00887330" w:rsidP="00887330">
      <w:pPr>
        <w:pStyle w:val="paragraph"/>
      </w:pPr>
      <w:r w:rsidRPr="00583E1A">
        <w:tab/>
        <w:t>(a)</w:t>
      </w:r>
      <w:r w:rsidRPr="00583E1A">
        <w:tab/>
        <w:t xml:space="preserve">a </w:t>
      </w:r>
      <w:r w:rsidR="00583E1A" w:rsidRPr="00583E1A">
        <w:rPr>
          <w:position w:val="6"/>
          <w:sz w:val="16"/>
        </w:rPr>
        <w:t>*</w:t>
      </w:r>
      <w:r w:rsidRPr="00583E1A">
        <w:t xml:space="preserve">CGT event to happen to any </w:t>
      </w:r>
      <w:r w:rsidR="00583E1A" w:rsidRPr="00583E1A">
        <w:rPr>
          <w:position w:val="6"/>
          <w:sz w:val="16"/>
        </w:rPr>
        <w:t>*</w:t>
      </w:r>
      <w:r w:rsidRPr="00583E1A">
        <w:t>CGT asset consisting of:</w:t>
      </w:r>
    </w:p>
    <w:p w:rsidR="00887330" w:rsidRPr="00583E1A" w:rsidRDefault="00887330" w:rsidP="00887330">
      <w:pPr>
        <w:pStyle w:val="paragraphsub"/>
      </w:pPr>
      <w:r w:rsidRPr="00583E1A">
        <w:tab/>
        <w:t>(i)</w:t>
      </w:r>
      <w:r w:rsidRPr="00583E1A">
        <w:tab/>
        <w:t xml:space="preserve">any </w:t>
      </w:r>
      <w:r w:rsidR="00583E1A" w:rsidRPr="00583E1A">
        <w:rPr>
          <w:position w:val="6"/>
          <w:sz w:val="16"/>
        </w:rPr>
        <w:t>*</w:t>
      </w:r>
      <w:r w:rsidRPr="00583E1A">
        <w:t>share or interest in the entity; or</w:t>
      </w:r>
    </w:p>
    <w:p w:rsidR="00887330" w:rsidRPr="00583E1A" w:rsidRDefault="00887330" w:rsidP="00887330">
      <w:pPr>
        <w:pStyle w:val="paragraphsub"/>
      </w:pPr>
      <w:r w:rsidRPr="00583E1A">
        <w:lastRenderedPageBreak/>
        <w:tab/>
        <w:t>(ii)</w:t>
      </w:r>
      <w:r w:rsidRPr="00583E1A">
        <w:tab/>
        <w:t>any interest in an asset of the entity; or</w:t>
      </w:r>
    </w:p>
    <w:p w:rsidR="00887330" w:rsidRPr="00583E1A" w:rsidRDefault="00887330" w:rsidP="00887330">
      <w:pPr>
        <w:pStyle w:val="paragraph"/>
      </w:pPr>
      <w:r w:rsidRPr="00583E1A">
        <w:tab/>
        <w:t>(b)</w:t>
      </w:r>
      <w:r w:rsidRPr="00583E1A">
        <w:tab/>
        <w:t>a disposal or any other event to happen to any other asset consisting of such a share or interest.</w:t>
      </w:r>
    </w:p>
    <w:p w:rsidR="00887330" w:rsidRPr="00583E1A" w:rsidRDefault="00887330" w:rsidP="00887330">
      <w:pPr>
        <w:pStyle w:val="ActHead5"/>
      </w:pPr>
      <w:bookmarkStart w:id="368" w:name="_Toc338939442"/>
      <w:r w:rsidRPr="00583E1A">
        <w:rPr>
          <w:rStyle w:val="CharSectno"/>
        </w:rPr>
        <w:t>830</w:t>
      </w:r>
      <w:r w:rsidR="00583E1A">
        <w:rPr>
          <w:rStyle w:val="CharSectno"/>
        </w:rPr>
        <w:noBreakHyphen/>
      </w:r>
      <w:r w:rsidRPr="00583E1A">
        <w:rPr>
          <w:rStyle w:val="CharSectno"/>
        </w:rPr>
        <w:t>115</w:t>
      </w:r>
      <w:r w:rsidRPr="00583E1A">
        <w:t xml:space="preserve">  Tax losses cannot be transferred to a foreign hybrid</w:t>
      </w:r>
      <w:bookmarkEnd w:id="368"/>
    </w:p>
    <w:p w:rsidR="00887330" w:rsidRPr="00583E1A" w:rsidRDefault="00887330" w:rsidP="00887330">
      <w:pPr>
        <w:pStyle w:val="subsection"/>
      </w:pPr>
      <w:r w:rsidRPr="00583E1A">
        <w:tab/>
        <w:t>(1)</w:t>
      </w:r>
      <w:r w:rsidRPr="00583E1A">
        <w:tab/>
        <w:t xml:space="preserve">If an entity is a </w:t>
      </w:r>
      <w:r w:rsidR="00583E1A" w:rsidRPr="00583E1A">
        <w:rPr>
          <w:position w:val="6"/>
          <w:sz w:val="16"/>
        </w:rPr>
        <w:t>*</w:t>
      </w:r>
      <w:r w:rsidRPr="00583E1A">
        <w:t xml:space="preserve">foreign hybrid in relation to an income year, it cannot deduct in that income year a </w:t>
      </w:r>
      <w:r w:rsidR="00583E1A" w:rsidRPr="00583E1A">
        <w:rPr>
          <w:position w:val="6"/>
          <w:sz w:val="16"/>
        </w:rPr>
        <w:t>*</w:t>
      </w:r>
      <w:r w:rsidRPr="00583E1A">
        <w:t xml:space="preserve">tax loss for a </w:t>
      </w:r>
      <w:r w:rsidR="00583E1A" w:rsidRPr="00583E1A">
        <w:rPr>
          <w:position w:val="6"/>
          <w:sz w:val="16"/>
        </w:rPr>
        <w:t>*</w:t>
      </w:r>
      <w:r w:rsidRPr="00583E1A">
        <w:t>loss year in relation to which it was not a foreign hybrid.</w:t>
      </w:r>
    </w:p>
    <w:p w:rsidR="00887330" w:rsidRPr="00583E1A" w:rsidRDefault="00887330" w:rsidP="00887330">
      <w:pPr>
        <w:pStyle w:val="SubsectionHead"/>
      </w:pPr>
      <w:r w:rsidRPr="00583E1A">
        <w:t>Former foreign hybrid can deduct tax losses for income years before it became a foreign hybrid</w:t>
      </w:r>
    </w:p>
    <w:p w:rsidR="00887330" w:rsidRPr="00583E1A" w:rsidRDefault="00887330" w:rsidP="00887330">
      <w:pPr>
        <w:pStyle w:val="subsection"/>
      </w:pPr>
      <w:r w:rsidRPr="00583E1A">
        <w:tab/>
        <w:t>(2)</w:t>
      </w:r>
      <w:r w:rsidRPr="00583E1A">
        <w:tab/>
        <w:t>This section does not prevent an entity that:</w:t>
      </w:r>
    </w:p>
    <w:p w:rsidR="00887330" w:rsidRPr="00583E1A" w:rsidRDefault="00887330" w:rsidP="00887330">
      <w:pPr>
        <w:pStyle w:val="paragraph"/>
      </w:pPr>
      <w:r w:rsidRPr="00583E1A">
        <w:tab/>
        <w:t>(a)</w:t>
      </w:r>
      <w:r w:rsidRPr="00583E1A">
        <w:tab/>
        <w:t xml:space="preserve">is not a </w:t>
      </w:r>
      <w:r w:rsidR="00583E1A" w:rsidRPr="00583E1A">
        <w:rPr>
          <w:position w:val="6"/>
          <w:sz w:val="16"/>
        </w:rPr>
        <w:t>*</w:t>
      </w:r>
      <w:r w:rsidRPr="00583E1A">
        <w:t xml:space="preserve">foreign hybrid in relation to an income year (the </w:t>
      </w:r>
      <w:r w:rsidRPr="00583E1A">
        <w:rPr>
          <w:b/>
          <w:i/>
        </w:rPr>
        <w:t>post</w:t>
      </w:r>
      <w:r w:rsidR="00583E1A">
        <w:rPr>
          <w:b/>
          <w:i/>
        </w:rPr>
        <w:noBreakHyphen/>
      </w:r>
      <w:r w:rsidRPr="00583E1A">
        <w:rPr>
          <w:b/>
          <w:i/>
        </w:rPr>
        <w:t>hybrid year</w:t>
      </w:r>
      <w:r w:rsidRPr="00583E1A">
        <w:t>); and</w:t>
      </w:r>
    </w:p>
    <w:p w:rsidR="00887330" w:rsidRPr="00583E1A" w:rsidRDefault="00887330" w:rsidP="00887330">
      <w:pPr>
        <w:pStyle w:val="paragraph"/>
      </w:pPr>
      <w:r w:rsidRPr="00583E1A">
        <w:tab/>
        <w:t>(b)</w:t>
      </w:r>
      <w:r w:rsidRPr="00583E1A">
        <w:tab/>
        <w:t>was a foreign hybrid in relation to a previous income year; and</w:t>
      </w:r>
    </w:p>
    <w:p w:rsidR="00887330" w:rsidRPr="00583E1A" w:rsidRDefault="00887330" w:rsidP="00887330">
      <w:pPr>
        <w:pStyle w:val="paragraph"/>
      </w:pPr>
      <w:r w:rsidRPr="00583E1A">
        <w:tab/>
        <w:t>(c)</w:t>
      </w:r>
      <w:r w:rsidRPr="00583E1A">
        <w:tab/>
        <w:t xml:space="preserve">was not a foreign hybrid in relation to an income year (the </w:t>
      </w:r>
      <w:r w:rsidRPr="00583E1A">
        <w:rPr>
          <w:b/>
          <w:i/>
        </w:rPr>
        <w:t>pre</w:t>
      </w:r>
      <w:r w:rsidR="00583E1A">
        <w:rPr>
          <w:b/>
          <w:i/>
        </w:rPr>
        <w:noBreakHyphen/>
      </w:r>
      <w:r w:rsidRPr="00583E1A">
        <w:rPr>
          <w:b/>
          <w:i/>
        </w:rPr>
        <w:t>hybrid year</w:t>
      </w:r>
      <w:r w:rsidRPr="00583E1A">
        <w:t>) before the previous year;</w:t>
      </w:r>
    </w:p>
    <w:p w:rsidR="00887330" w:rsidRPr="00583E1A" w:rsidRDefault="00887330" w:rsidP="00887330">
      <w:pPr>
        <w:pStyle w:val="subsection2"/>
      </w:pPr>
      <w:r w:rsidRPr="00583E1A">
        <w:t>from deducting, in the post</w:t>
      </w:r>
      <w:r w:rsidR="00583E1A">
        <w:noBreakHyphen/>
      </w:r>
      <w:r w:rsidRPr="00583E1A">
        <w:t xml:space="preserve">hybrid year, a </w:t>
      </w:r>
      <w:r w:rsidR="00583E1A" w:rsidRPr="00583E1A">
        <w:rPr>
          <w:position w:val="6"/>
          <w:sz w:val="16"/>
        </w:rPr>
        <w:t>*</w:t>
      </w:r>
      <w:r w:rsidRPr="00583E1A">
        <w:t>tax loss for the pre</w:t>
      </w:r>
      <w:r w:rsidR="00583E1A">
        <w:noBreakHyphen/>
      </w:r>
      <w:r w:rsidRPr="00583E1A">
        <w:t>hybrid year.</w:t>
      </w:r>
    </w:p>
    <w:p w:rsidR="00887330" w:rsidRPr="00583E1A" w:rsidRDefault="00887330" w:rsidP="00887330">
      <w:pPr>
        <w:pStyle w:val="ActHead5"/>
      </w:pPr>
      <w:bookmarkStart w:id="369" w:name="_Toc338939443"/>
      <w:r w:rsidRPr="00583E1A">
        <w:rPr>
          <w:rStyle w:val="CharSectno"/>
        </w:rPr>
        <w:t>830</w:t>
      </w:r>
      <w:r w:rsidR="00583E1A">
        <w:rPr>
          <w:rStyle w:val="CharSectno"/>
        </w:rPr>
        <w:noBreakHyphen/>
      </w:r>
      <w:r w:rsidRPr="00583E1A">
        <w:rPr>
          <w:rStyle w:val="CharSectno"/>
        </w:rPr>
        <w:t>120</w:t>
      </w:r>
      <w:r w:rsidRPr="00583E1A">
        <w:t xml:space="preserve">  End of CFC’s last statutory accounting period</w:t>
      </w:r>
      <w:bookmarkEnd w:id="369"/>
    </w:p>
    <w:p w:rsidR="00887330" w:rsidRPr="00583E1A" w:rsidRDefault="00887330" w:rsidP="00887330">
      <w:pPr>
        <w:pStyle w:val="subsection"/>
        <w:keepNext/>
      </w:pPr>
      <w:r w:rsidRPr="00583E1A">
        <w:tab/>
      </w:r>
      <w:r w:rsidRPr="00583E1A">
        <w:tab/>
        <w:t>If:</w:t>
      </w:r>
    </w:p>
    <w:p w:rsidR="00887330" w:rsidRPr="00583E1A" w:rsidRDefault="00887330" w:rsidP="00887330">
      <w:pPr>
        <w:pStyle w:val="paragraph"/>
      </w:pPr>
      <w:r w:rsidRPr="00583E1A">
        <w:tab/>
        <w:t>(a)</w:t>
      </w:r>
      <w:r w:rsidRPr="00583E1A">
        <w:tab/>
        <w:t xml:space="preserve">a taxpayer is a partner in an entity that becomes a </w:t>
      </w:r>
      <w:r w:rsidR="00583E1A" w:rsidRPr="00583E1A">
        <w:rPr>
          <w:position w:val="6"/>
          <w:sz w:val="16"/>
        </w:rPr>
        <w:t>*</w:t>
      </w:r>
      <w:r w:rsidRPr="00583E1A">
        <w:t>foreign hybrid in relation to an income year; and</w:t>
      </w:r>
    </w:p>
    <w:p w:rsidR="00887330" w:rsidRPr="00583E1A" w:rsidRDefault="00887330" w:rsidP="00887330">
      <w:pPr>
        <w:pStyle w:val="paragraph"/>
      </w:pPr>
      <w:r w:rsidRPr="00583E1A">
        <w:tab/>
        <w:t>(b)</w:t>
      </w:r>
      <w:r w:rsidRPr="00583E1A">
        <w:tab/>
        <w:t xml:space="preserve">the entity was a </w:t>
      </w:r>
      <w:r w:rsidR="00583E1A" w:rsidRPr="00583E1A">
        <w:rPr>
          <w:position w:val="6"/>
          <w:sz w:val="16"/>
        </w:rPr>
        <w:t>*</w:t>
      </w:r>
      <w:r w:rsidRPr="00583E1A">
        <w:t>CFC at the end of the taxpayer’s preceding income year; and</w:t>
      </w:r>
    </w:p>
    <w:p w:rsidR="00887330" w:rsidRPr="00583E1A" w:rsidRDefault="00887330" w:rsidP="00887330">
      <w:pPr>
        <w:pStyle w:val="paragraph"/>
      </w:pPr>
      <w:r w:rsidRPr="00583E1A">
        <w:tab/>
        <w:t>(c)</w:t>
      </w:r>
      <w:r w:rsidRPr="00583E1A">
        <w:tab/>
        <w:t xml:space="preserve">the last </w:t>
      </w:r>
      <w:r w:rsidR="00583E1A" w:rsidRPr="00583E1A">
        <w:rPr>
          <w:position w:val="6"/>
          <w:sz w:val="16"/>
        </w:rPr>
        <w:t>*</w:t>
      </w:r>
      <w:r w:rsidRPr="00583E1A">
        <w:t>statutory accounting period of the CFC did not end at the end of the taxpayer’s preceding income year; and</w:t>
      </w:r>
    </w:p>
    <w:p w:rsidR="00887330" w:rsidRPr="00583E1A" w:rsidRDefault="00887330" w:rsidP="00887330">
      <w:pPr>
        <w:pStyle w:val="paragraph"/>
      </w:pPr>
      <w:r w:rsidRPr="00583E1A">
        <w:tab/>
        <w:t>(d)</w:t>
      </w:r>
      <w:r w:rsidRPr="00583E1A">
        <w:tab/>
        <w:t xml:space="preserve">if it had so ended, the taxpayer would have been an </w:t>
      </w:r>
      <w:r w:rsidR="00583E1A" w:rsidRPr="00583E1A">
        <w:rPr>
          <w:position w:val="6"/>
          <w:sz w:val="16"/>
        </w:rPr>
        <w:t>*</w:t>
      </w:r>
      <w:r w:rsidRPr="00583E1A">
        <w:t>attributable taxpayer in relation to the CFC;</w:t>
      </w:r>
    </w:p>
    <w:p w:rsidR="00887330" w:rsidRPr="00583E1A" w:rsidRDefault="00887330" w:rsidP="00887330">
      <w:pPr>
        <w:pStyle w:val="subsection2"/>
      </w:pPr>
      <w:r w:rsidRPr="00583E1A">
        <w:t xml:space="preserve">for the purposes of working out the </w:t>
      </w:r>
      <w:r w:rsidR="00583E1A" w:rsidRPr="00583E1A">
        <w:rPr>
          <w:position w:val="6"/>
          <w:sz w:val="16"/>
        </w:rPr>
        <w:t>*</w:t>
      </w:r>
      <w:r w:rsidRPr="00583E1A">
        <w:t>attributable income of the CFC for the taxpayer in respect of the last statutory accounting period of the CFC, that statutory accounting period ends at the end of the taxpayer’s preceding income year.</w:t>
      </w:r>
    </w:p>
    <w:p w:rsidR="00887330" w:rsidRPr="00583E1A" w:rsidRDefault="00887330" w:rsidP="00887330">
      <w:pPr>
        <w:pStyle w:val="ActHead5"/>
      </w:pPr>
      <w:bookmarkStart w:id="370" w:name="_Toc338939444"/>
      <w:r w:rsidRPr="00583E1A">
        <w:rPr>
          <w:rStyle w:val="CharSectno"/>
        </w:rPr>
        <w:lastRenderedPageBreak/>
        <w:t>830</w:t>
      </w:r>
      <w:r w:rsidR="00583E1A">
        <w:rPr>
          <w:rStyle w:val="CharSectno"/>
        </w:rPr>
        <w:noBreakHyphen/>
      </w:r>
      <w:r w:rsidRPr="00583E1A">
        <w:rPr>
          <w:rStyle w:val="CharSectno"/>
        </w:rPr>
        <w:t>125</w:t>
      </w:r>
      <w:r w:rsidRPr="00583E1A">
        <w:t xml:space="preserve">  How long interest in asset, or asset, held</w:t>
      </w:r>
      <w:bookmarkEnd w:id="370"/>
    </w:p>
    <w:p w:rsidR="00887330" w:rsidRPr="00583E1A" w:rsidRDefault="00887330" w:rsidP="00887330">
      <w:pPr>
        <w:pStyle w:val="SubsectionHead"/>
      </w:pPr>
      <w:r w:rsidRPr="00583E1A">
        <w:t>Partner’s interest in asset when entity becomes a foreign hybrid</w:t>
      </w:r>
    </w:p>
    <w:p w:rsidR="00887330" w:rsidRPr="00583E1A" w:rsidRDefault="00887330" w:rsidP="00887330">
      <w:pPr>
        <w:pStyle w:val="subsection"/>
      </w:pPr>
      <w:r w:rsidRPr="00583E1A">
        <w:tab/>
        <w:t>(1)</w:t>
      </w:r>
      <w:r w:rsidRPr="00583E1A">
        <w:tab/>
        <w:t xml:space="preserve">If an entity becomes a </w:t>
      </w:r>
      <w:r w:rsidR="00583E1A" w:rsidRPr="00583E1A">
        <w:rPr>
          <w:position w:val="6"/>
          <w:sz w:val="16"/>
        </w:rPr>
        <w:t>*</w:t>
      </w:r>
      <w:r w:rsidRPr="00583E1A">
        <w:t>foreign hybrid company in relation to an income year, the interest that a partner has in an asset as mentioned in section</w:t>
      </w:r>
      <w:r w:rsidR="00583E1A">
        <w:t> </w:t>
      </w:r>
      <w:r w:rsidRPr="00583E1A">
        <w:t>830</w:t>
      </w:r>
      <w:r w:rsidR="00583E1A">
        <w:noBreakHyphen/>
      </w:r>
      <w:r w:rsidRPr="00583E1A">
        <w:t xml:space="preserve">35 is taken to have been held by the partner (except for the purposes of having the </w:t>
      </w:r>
      <w:r w:rsidR="00583E1A" w:rsidRPr="00583E1A">
        <w:rPr>
          <w:position w:val="6"/>
          <w:sz w:val="16"/>
        </w:rPr>
        <w:t>*</w:t>
      </w:r>
      <w:r w:rsidRPr="00583E1A">
        <w:t>tax cost of the interest set) from the later of the following times:</w:t>
      </w:r>
    </w:p>
    <w:p w:rsidR="00887330" w:rsidRPr="00583E1A" w:rsidRDefault="00887330" w:rsidP="00887330">
      <w:pPr>
        <w:pStyle w:val="paragraph"/>
      </w:pPr>
      <w:r w:rsidRPr="00583E1A">
        <w:tab/>
        <w:t>(a)</w:t>
      </w:r>
      <w:r w:rsidRPr="00583E1A">
        <w:tab/>
        <w:t xml:space="preserve">when the entity </w:t>
      </w:r>
      <w:r w:rsidR="00583E1A" w:rsidRPr="00583E1A">
        <w:rPr>
          <w:position w:val="6"/>
          <w:sz w:val="16"/>
        </w:rPr>
        <w:t>*</w:t>
      </w:r>
      <w:r w:rsidRPr="00583E1A">
        <w:t>acquired the asset;</w:t>
      </w:r>
    </w:p>
    <w:p w:rsidR="00887330" w:rsidRPr="00583E1A" w:rsidRDefault="00887330" w:rsidP="00887330">
      <w:pPr>
        <w:pStyle w:val="paragraph"/>
      </w:pPr>
      <w:r w:rsidRPr="00583E1A">
        <w:tab/>
        <w:t>(b)</w:t>
      </w:r>
      <w:r w:rsidRPr="00583E1A">
        <w:tab/>
        <w:t xml:space="preserve">when the partner acquired its </w:t>
      </w:r>
      <w:r w:rsidR="00583E1A" w:rsidRPr="00583E1A">
        <w:rPr>
          <w:position w:val="6"/>
          <w:sz w:val="16"/>
        </w:rPr>
        <w:t>*</w:t>
      </w:r>
      <w:r w:rsidRPr="00583E1A">
        <w:t>shares in the entity.</w:t>
      </w:r>
    </w:p>
    <w:p w:rsidR="00887330" w:rsidRPr="00583E1A" w:rsidRDefault="00887330" w:rsidP="00887330">
      <w:pPr>
        <w:pStyle w:val="SubsectionHead"/>
      </w:pPr>
      <w:r w:rsidRPr="00583E1A">
        <w:t>Entity’s asset when it ceases to be a foreign hybrid company</w:t>
      </w:r>
    </w:p>
    <w:p w:rsidR="00887330" w:rsidRPr="00583E1A" w:rsidRDefault="00887330" w:rsidP="00887330">
      <w:pPr>
        <w:pStyle w:val="subsection"/>
      </w:pPr>
      <w:r w:rsidRPr="00583E1A">
        <w:tab/>
        <w:t>(2)</w:t>
      </w:r>
      <w:r w:rsidRPr="00583E1A">
        <w:tab/>
        <w:t>If:</w:t>
      </w:r>
    </w:p>
    <w:p w:rsidR="00887330" w:rsidRPr="00583E1A" w:rsidRDefault="00887330" w:rsidP="00887330">
      <w:pPr>
        <w:pStyle w:val="paragraph"/>
      </w:pPr>
      <w:r w:rsidRPr="00583E1A">
        <w:tab/>
        <w:t>(a)</w:t>
      </w:r>
      <w:r w:rsidRPr="00583E1A">
        <w:tab/>
        <w:t xml:space="preserve">an entity is not a </w:t>
      </w:r>
      <w:r w:rsidR="00583E1A" w:rsidRPr="00583E1A">
        <w:rPr>
          <w:position w:val="6"/>
          <w:sz w:val="16"/>
        </w:rPr>
        <w:t>*</w:t>
      </w:r>
      <w:r w:rsidRPr="00583E1A">
        <w:t xml:space="preserve">foreign hybrid company in relation to an income year (the </w:t>
      </w:r>
      <w:r w:rsidRPr="00583E1A">
        <w:rPr>
          <w:b/>
          <w:i/>
        </w:rPr>
        <w:t>post</w:t>
      </w:r>
      <w:r w:rsidR="00583E1A">
        <w:rPr>
          <w:b/>
          <w:i/>
        </w:rPr>
        <w:noBreakHyphen/>
      </w:r>
      <w:r w:rsidRPr="00583E1A">
        <w:rPr>
          <w:b/>
          <w:i/>
        </w:rPr>
        <w:t>hybrid year</w:t>
      </w:r>
      <w:r w:rsidRPr="00583E1A">
        <w:t>); and</w:t>
      </w:r>
    </w:p>
    <w:p w:rsidR="00887330" w:rsidRPr="00583E1A" w:rsidRDefault="00887330" w:rsidP="00887330">
      <w:pPr>
        <w:pStyle w:val="paragraph"/>
      </w:pPr>
      <w:r w:rsidRPr="00583E1A">
        <w:tab/>
        <w:t>(b)</w:t>
      </w:r>
      <w:r w:rsidRPr="00583E1A">
        <w:tab/>
        <w:t xml:space="preserve">the entity was a </w:t>
      </w:r>
      <w:r w:rsidR="00583E1A" w:rsidRPr="00583E1A">
        <w:rPr>
          <w:position w:val="6"/>
          <w:sz w:val="16"/>
        </w:rPr>
        <w:t>*</w:t>
      </w:r>
      <w:r w:rsidRPr="00583E1A">
        <w:t>foreign hybrid company in relation to the preceding income year; and</w:t>
      </w:r>
    </w:p>
    <w:p w:rsidR="00887330" w:rsidRPr="00583E1A" w:rsidRDefault="00887330" w:rsidP="00887330">
      <w:pPr>
        <w:pStyle w:val="paragraph"/>
      </w:pPr>
      <w:r w:rsidRPr="00583E1A">
        <w:tab/>
        <w:t>(c)</w:t>
      </w:r>
      <w:r w:rsidRPr="00583E1A">
        <w:tab/>
        <w:t>during:</w:t>
      </w:r>
    </w:p>
    <w:p w:rsidR="00887330" w:rsidRPr="00583E1A" w:rsidRDefault="00887330" w:rsidP="00887330">
      <w:pPr>
        <w:pStyle w:val="paragraphsub"/>
      </w:pPr>
      <w:r w:rsidRPr="00583E1A">
        <w:tab/>
        <w:t>(i)</w:t>
      </w:r>
      <w:r w:rsidRPr="00583E1A">
        <w:tab/>
        <w:t>that preceding income year; or</w:t>
      </w:r>
    </w:p>
    <w:p w:rsidR="00887330" w:rsidRPr="00583E1A" w:rsidRDefault="00887330" w:rsidP="00887330">
      <w:pPr>
        <w:pStyle w:val="paragraphsub"/>
      </w:pPr>
      <w:r w:rsidRPr="00583E1A">
        <w:tab/>
        <w:t>(ii)</w:t>
      </w:r>
      <w:r w:rsidRPr="00583E1A">
        <w:tab/>
        <w:t>any earlier income year in relation to which the entity was also a foreign hybrid;</w:t>
      </w:r>
    </w:p>
    <w:p w:rsidR="00887330" w:rsidRPr="00583E1A" w:rsidRDefault="00887330" w:rsidP="00887330">
      <w:pPr>
        <w:pStyle w:val="paragraph"/>
      </w:pPr>
      <w:r w:rsidRPr="00583E1A">
        <w:tab/>
      </w:r>
      <w:r w:rsidRPr="00583E1A">
        <w:tab/>
        <w:t xml:space="preserve">but not at the start of the first income year in relation to which the entity was a foreign hybrid company, the partners in the foreign hybrid company </w:t>
      </w:r>
      <w:r w:rsidR="00583E1A" w:rsidRPr="00583E1A">
        <w:rPr>
          <w:position w:val="6"/>
          <w:sz w:val="16"/>
        </w:rPr>
        <w:t>*</w:t>
      </w:r>
      <w:r w:rsidRPr="00583E1A">
        <w:t>acquired an interest in an asset that is an asset of the entity at the start of the post</w:t>
      </w:r>
      <w:r w:rsidR="00583E1A">
        <w:noBreakHyphen/>
      </w:r>
      <w:r w:rsidRPr="00583E1A">
        <w:t>hybrid year;</w:t>
      </w:r>
    </w:p>
    <w:p w:rsidR="00887330" w:rsidRPr="00583E1A" w:rsidRDefault="00887330" w:rsidP="00887330">
      <w:pPr>
        <w:pStyle w:val="subsection2"/>
      </w:pPr>
      <w:r w:rsidRPr="00583E1A">
        <w:t xml:space="preserve">the asset is taken to have been held by the entity (except for the purposes of having the </w:t>
      </w:r>
      <w:r w:rsidR="00583E1A" w:rsidRPr="00583E1A">
        <w:rPr>
          <w:position w:val="6"/>
          <w:sz w:val="16"/>
        </w:rPr>
        <w:t>*</w:t>
      </w:r>
      <w:r w:rsidRPr="00583E1A">
        <w:t>tax cost of the asset set) from the time the partners acquired their interests in the asset.</w:t>
      </w:r>
    </w:p>
    <w:p w:rsidR="00390983" w:rsidRPr="00583E1A" w:rsidRDefault="00390983" w:rsidP="00390983">
      <w:pPr>
        <w:pStyle w:val="PageBreak"/>
      </w:pPr>
      <w:r w:rsidRPr="00583E1A">
        <w:br w:type="page"/>
      </w:r>
    </w:p>
    <w:p w:rsidR="004D1701" w:rsidRPr="00583E1A" w:rsidRDefault="004D1701" w:rsidP="004D1701">
      <w:pPr>
        <w:pStyle w:val="ActHead3"/>
      </w:pPr>
      <w:bookmarkStart w:id="371" w:name="_Toc338939445"/>
      <w:r w:rsidRPr="00583E1A">
        <w:rPr>
          <w:rStyle w:val="CharDivNo"/>
        </w:rPr>
        <w:lastRenderedPageBreak/>
        <w:t>Division</w:t>
      </w:r>
      <w:r w:rsidR="00583E1A">
        <w:rPr>
          <w:rStyle w:val="CharDivNo"/>
        </w:rPr>
        <w:t> </w:t>
      </w:r>
      <w:r w:rsidRPr="00583E1A">
        <w:rPr>
          <w:rStyle w:val="CharDivNo"/>
        </w:rPr>
        <w:t>840</w:t>
      </w:r>
      <w:r w:rsidRPr="00583E1A">
        <w:t>—</w:t>
      </w:r>
      <w:r w:rsidRPr="00583E1A">
        <w:rPr>
          <w:rStyle w:val="CharDivText"/>
        </w:rPr>
        <w:t>Withholding taxes</w:t>
      </w:r>
      <w:bookmarkEnd w:id="371"/>
    </w:p>
    <w:p w:rsidR="004D1701" w:rsidRPr="00583E1A" w:rsidRDefault="004D1701" w:rsidP="004D1701">
      <w:pPr>
        <w:pStyle w:val="TofSectsHeading"/>
      </w:pPr>
      <w:r w:rsidRPr="00583E1A">
        <w:t>Table of Subdivisions</w:t>
      </w:r>
    </w:p>
    <w:p w:rsidR="004D1701" w:rsidRPr="00583E1A" w:rsidRDefault="004D1701" w:rsidP="004D1701">
      <w:pPr>
        <w:pStyle w:val="TofSectsSubdiv"/>
      </w:pPr>
      <w:r w:rsidRPr="00583E1A">
        <w:tab/>
        <w:t>Guide to Division</w:t>
      </w:r>
      <w:r w:rsidR="00583E1A">
        <w:t> </w:t>
      </w:r>
      <w:r w:rsidRPr="00583E1A">
        <w:t>840</w:t>
      </w:r>
    </w:p>
    <w:p w:rsidR="004D1701" w:rsidRPr="00583E1A" w:rsidRDefault="004D1701" w:rsidP="004D1701">
      <w:pPr>
        <w:pStyle w:val="TofSectsSubdiv"/>
      </w:pPr>
      <w:r w:rsidRPr="00583E1A">
        <w:t>840</w:t>
      </w:r>
      <w:r w:rsidR="00583E1A">
        <w:noBreakHyphen/>
      </w:r>
      <w:r w:rsidRPr="00583E1A">
        <w:t>M</w:t>
      </w:r>
      <w:r w:rsidRPr="00583E1A">
        <w:tab/>
        <w:t>Managed investment trust withholding tax</w:t>
      </w:r>
    </w:p>
    <w:p w:rsidR="00DD4DA9" w:rsidRPr="00583E1A" w:rsidRDefault="00DD4DA9" w:rsidP="00DD4DA9">
      <w:pPr>
        <w:pStyle w:val="TofSectsSubdiv"/>
      </w:pPr>
      <w:r w:rsidRPr="00583E1A">
        <w:t>840</w:t>
      </w:r>
      <w:r>
        <w:noBreakHyphen/>
        <w:t>S</w:t>
      </w:r>
      <w:r w:rsidRPr="00583E1A">
        <w:tab/>
      </w:r>
      <w:r w:rsidRPr="001774E0">
        <w:rPr>
          <w:rStyle w:val="CharSubdText"/>
        </w:rPr>
        <w:t>Seasonal Labour Mobility Program withholding tax</w:t>
      </w:r>
    </w:p>
    <w:p w:rsidR="004D1701" w:rsidRPr="00583E1A" w:rsidRDefault="004D1701" w:rsidP="004D1701">
      <w:pPr>
        <w:pStyle w:val="ActHead4"/>
      </w:pPr>
      <w:bookmarkStart w:id="372" w:name="_Toc338939446"/>
      <w:r w:rsidRPr="00583E1A">
        <w:t>Guide to Division</w:t>
      </w:r>
      <w:r w:rsidR="00583E1A">
        <w:t> </w:t>
      </w:r>
      <w:r w:rsidRPr="00583E1A">
        <w:t>840</w:t>
      </w:r>
      <w:bookmarkEnd w:id="372"/>
    </w:p>
    <w:p w:rsidR="004D1701" w:rsidRPr="00583E1A" w:rsidRDefault="004D1701" w:rsidP="004D1701">
      <w:pPr>
        <w:pStyle w:val="ActHead5"/>
      </w:pPr>
      <w:bookmarkStart w:id="373" w:name="_Toc338939447"/>
      <w:r w:rsidRPr="00583E1A">
        <w:rPr>
          <w:rStyle w:val="CharSectno"/>
        </w:rPr>
        <w:t>840</w:t>
      </w:r>
      <w:r w:rsidR="00583E1A">
        <w:rPr>
          <w:rStyle w:val="CharSectno"/>
        </w:rPr>
        <w:noBreakHyphen/>
      </w:r>
      <w:r w:rsidRPr="00583E1A">
        <w:rPr>
          <w:rStyle w:val="CharSectno"/>
        </w:rPr>
        <w:t>1</w:t>
      </w:r>
      <w:r w:rsidRPr="00583E1A">
        <w:t xml:space="preserve">  What this Division is about</w:t>
      </w:r>
      <w:bookmarkEnd w:id="373"/>
    </w:p>
    <w:p w:rsidR="004D1701" w:rsidRPr="00583E1A" w:rsidRDefault="004D1701" w:rsidP="004D1701">
      <w:pPr>
        <w:pStyle w:val="BoxText"/>
      </w:pPr>
      <w:r w:rsidRPr="00583E1A">
        <w:t>This Division provides the rules to determine if you are liable to pay income tax in respect of certain Australian sourced income paid to you, or which you are entitled to receive.</w:t>
      </w:r>
    </w:p>
    <w:p w:rsidR="004D1701" w:rsidRPr="00583E1A" w:rsidRDefault="004D1701" w:rsidP="004D1701">
      <w:pPr>
        <w:pStyle w:val="BoxText"/>
      </w:pPr>
      <w:r w:rsidRPr="00583E1A">
        <w:t>The rules are relevant for foreign residents and certain other entities.</w:t>
      </w:r>
    </w:p>
    <w:p w:rsidR="004D1701" w:rsidRPr="00583E1A" w:rsidRDefault="004D1701" w:rsidP="004D1701">
      <w:pPr>
        <w:pStyle w:val="BoxText"/>
      </w:pPr>
      <w:r w:rsidRPr="00583E1A">
        <w:t xml:space="preserve">The income tax payable is a withholding tax. The associated withholding obligations are in the </w:t>
      </w:r>
      <w:r w:rsidRPr="00583E1A">
        <w:rPr>
          <w:i/>
        </w:rPr>
        <w:t>Taxation Administration Act 1953</w:t>
      </w:r>
      <w:r w:rsidRPr="00583E1A">
        <w:t>.</w:t>
      </w:r>
    </w:p>
    <w:p w:rsidR="004D1701" w:rsidRPr="00583E1A" w:rsidRDefault="004D1701" w:rsidP="004D1701">
      <w:pPr>
        <w:pStyle w:val="BoxText"/>
      </w:pPr>
      <w:r w:rsidRPr="00583E1A">
        <w:t>Amounts on which there is a liability to pay withholding tax are non</w:t>
      </w:r>
      <w:r w:rsidR="00583E1A">
        <w:noBreakHyphen/>
      </w:r>
      <w:r w:rsidRPr="00583E1A">
        <w:t>assessable non</w:t>
      </w:r>
      <w:r w:rsidR="00583E1A">
        <w:noBreakHyphen/>
      </w:r>
      <w:r w:rsidRPr="00583E1A">
        <w:t>exempt income.</w:t>
      </w:r>
    </w:p>
    <w:p w:rsidR="004D1701" w:rsidRPr="00583E1A" w:rsidRDefault="004D1701" w:rsidP="004D1701">
      <w:pPr>
        <w:pStyle w:val="ActHead4"/>
      </w:pPr>
      <w:bookmarkStart w:id="374" w:name="_Toc338939448"/>
      <w:r w:rsidRPr="00583E1A">
        <w:rPr>
          <w:rStyle w:val="CharSubdNo"/>
        </w:rPr>
        <w:t>Subdivision</w:t>
      </w:r>
      <w:r w:rsidR="00583E1A">
        <w:rPr>
          <w:rStyle w:val="CharSubdNo"/>
        </w:rPr>
        <w:t> </w:t>
      </w:r>
      <w:r w:rsidRPr="00583E1A">
        <w:rPr>
          <w:rStyle w:val="CharSubdNo"/>
        </w:rPr>
        <w:t>840</w:t>
      </w:r>
      <w:r w:rsidR="00583E1A">
        <w:rPr>
          <w:rStyle w:val="CharSubdNo"/>
        </w:rPr>
        <w:noBreakHyphen/>
      </w:r>
      <w:r w:rsidRPr="00583E1A">
        <w:rPr>
          <w:rStyle w:val="CharSubdNo"/>
        </w:rPr>
        <w:t>M</w:t>
      </w:r>
      <w:r w:rsidRPr="00583E1A">
        <w:t>—</w:t>
      </w:r>
      <w:r w:rsidRPr="00583E1A">
        <w:rPr>
          <w:rStyle w:val="CharSubdText"/>
        </w:rPr>
        <w:t>Managed investment trust withholding tax</w:t>
      </w:r>
      <w:bookmarkEnd w:id="374"/>
    </w:p>
    <w:p w:rsidR="004D1701" w:rsidRPr="00583E1A" w:rsidRDefault="004D1701" w:rsidP="004D1701">
      <w:pPr>
        <w:pStyle w:val="ActHead4"/>
      </w:pPr>
      <w:bookmarkStart w:id="375" w:name="_Toc338939449"/>
      <w:r w:rsidRPr="00583E1A">
        <w:t>Guide to Subdivision</w:t>
      </w:r>
      <w:r w:rsidR="00583E1A">
        <w:t> </w:t>
      </w:r>
      <w:r w:rsidRPr="00583E1A">
        <w:t>840</w:t>
      </w:r>
      <w:r w:rsidR="00583E1A">
        <w:noBreakHyphen/>
      </w:r>
      <w:r w:rsidRPr="00583E1A">
        <w:t>M</w:t>
      </w:r>
      <w:bookmarkEnd w:id="375"/>
    </w:p>
    <w:p w:rsidR="004D1701" w:rsidRPr="00583E1A" w:rsidRDefault="004D1701" w:rsidP="004D1701">
      <w:pPr>
        <w:pStyle w:val="ActHead5"/>
      </w:pPr>
      <w:bookmarkStart w:id="376" w:name="_Toc338939450"/>
      <w:r w:rsidRPr="00583E1A">
        <w:rPr>
          <w:rStyle w:val="CharSectno"/>
        </w:rPr>
        <w:t>840</w:t>
      </w:r>
      <w:r w:rsidR="00583E1A">
        <w:rPr>
          <w:rStyle w:val="CharSectno"/>
        </w:rPr>
        <w:noBreakHyphen/>
      </w:r>
      <w:r w:rsidRPr="00583E1A">
        <w:rPr>
          <w:rStyle w:val="CharSectno"/>
        </w:rPr>
        <w:t>800</w:t>
      </w:r>
      <w:r w:rsidRPr="00583E1A">
        <w:t xml:space="preserve">  What this Subdivision is about</w:t>
      </w:r>
      <w:bookmarkEnd w:id="376"/>
    </w:p>
    <w:p w:rsidR="004D1701" w:rsidRPr="00583E1A" w:rsidRDefault="004D1701" w:rsidP="004D1701">
      <w:pPr>
        <w:pStyle w:val="BoxText"/>
      </w:pPr>
      <w:r w:rsidRPr="00583E1A">
        <w:t>If you are a foreign resident you may be liable to pay income tax on certain amounts of Australian sourced net income (other than dividends, interest and royalties) of a managed investment trust that are either paid to you or to which you become entitled.</w:t>
      </w:r>
    </w:p>
    <w:p w:rsidR="004D1701" w:rsidRPr="00583E1A" w:rsidRDefault="004D1701" w:rsidP="004D1701">
      <w:pPr>
        <w:pStyle w:val="BoxText"/>
      </w:pPr>
      <w:r w:rsidRPr="00583E1A">
        <w:lastRenderedPageBreak/>
        <w:t>A beneficiary of a trust in the capacity of a trustee of another trust will not be liable to income tax on these amounts.</w:t>
      </w:r>
    </w:p>
    <w:p w:rsidR="004D1701" w:rsidRPr="00583E1A" w:rsidRDefault="004D1701" w:rsidP="004D1701">
      <w:pPr>
        <w:pStyle w:val="BoxText"/>
      </w:pPr>
      <w:r w:rsidRPr="00583E1A">
        <w:t>Amounts on which there is a liability to pay withholding tax are non</w:t>
      </w:r>
      <w:r w:rsidR="00583E1A">
        <w:noBreakHyphen/>
      </w:r>
      <w:r w:rsidRPr="00583E1A">
        <w:t>assessable non</w:t>
      </w:r>
      <w:r w:rsidR="00583E1A">
        <w:noBreakHyphen/>
      </w:r>
      <w:r w:rsidRPr="00583E1A">
        <w:t>exempt income.</w:t>
      </w:r>
    </w:p>
    <w:p w:rsidR="004D1701" w:rsidRPr="00583E1A" w:rsidRDefault="004D1701" w:rsidP="004D1701">
      <w:pPr>
        <w:pStyle w:val="TofSectsHeading"/>
        <w:keepNext/>
      </w:pPr>
      <w:r w:rsidRPr="00583E1A">
        <w:t>Table of sections</w:t>
      </w:r>
    </w:p>
    <w:p w:rsidR="004D1701" w:rsidRPr="00583E1A" w:rsidRDefault="004D1701" w:rsidP="004D1701">
      <w:pPr>
        <w:pStyle w:val="TofSectsGroupHeading"/>
      </w:pPr>
      <w:r w:rsidRPr="00583E1A">
        <w:t>Operative provisions</w:t>
      </w:r>
    </w:p>
    <w:p w:rsidR="004D1701" w:rsidRPr="00583E1A" w:rsidRDefault="004D1701" w:rsidP="004D1701">
      <w:pPr>
        <w:pStyle w:val="TofSectsSection"/>
      </w:pPr>
      <w:r w:rsidRPr="00583E1A">
        <w:t>840</w:t>
      </w:r>
      <w:r w:rsidR="00583E1A">
        <w:noBreakHyphen/>
      </w:r>
      <w:r w:rsidRPr="00583E1A">
        <w:t>805</w:t>
      </w:r>
      <w:r w:rsidRPr="00583E1A">
        <w:tab/>
        <w:t>Liability for managed investment trust withholding tax</w:t>
      </w:r>
    </w:p>
    <w:p w:rsidR="004D1701" w:rsidRPr="00583E1A" w:rsidRDefault="004D1701" w:rsidP="004D1701">
      <w:pPr>
        <w:pStyle w:val="TofSectsSection"/>
      </w:pPr>
      <w:r w:rsidRPr="00583E1A">
        <w:t>840</w:t>
      </w:r>
      <w:r w:rsidR="00583E1A">
        <w:noBreakHyphen/>
      </w:r>
      <w:r w:rsidRPr="00583E1A">
        <w:t>810</w:t>
      </w:r>
      <w:r w:rsidRPr="00583E1A">
        <w:tab/>
        <w:t>When managed investment trust withholding tax is payable</w:t>
      </w:r>
    </w:p>
    <w:p w:rsidR="004D1701" w:rsidRPr="00583E1A" w:rsidRDefault="004D1701" w:rsidP="004D1701">
      <w:pPr>
        <w:pStyle w:val="TofSectsSection"/>
      </w:pPr>
      <w:r w:rsidRPr="00583E1A">
        <w:t>840</w:t>
      </w:r>
      <w:r w:rsidR="00583E1A">
        <w:noBreakHyphen/>
      </w:r>
      <w:r w:rsidRPr="00583E1A">
        <w:t>815</w:t>
      </w:r>
      <w:r w:rsidRPr="00583E1A">
        <w:tab/>
        <w:t>Certain income is non</w:t>
      </w:r>
      <w:r w:rsidR="00583E1A">
        <w:noBreakHyphen/>
      </w:r>
      <w:r w:rsidRPr="00583E1A">
        <w:t>assessable non</w:t>
      </w:r>
      <w:r w:rsidR="00583E1A">
        <w:noBreakHyphen/>
      </w:r>
      <w:r w:rsidRPr="00583E1A">
        <w:t>exempt income</w:t>
      </w:r>
    </w:p>
    <w:p w:rsidR="004D1701" w:rsidRPr="00583E1A" w:rsidRDefault="004D1701" w:rsidP="004D1701">
      <w:pPr>
        <w:pStyle w:val="TofSectsSection"/>
      </w:pPr>
      <w:r w:rsidRPr="00583E1A">
        <w:t>840</w:t>
      </w:r>
      <w:r w:rsidR="00583E1A">
        <w:noBreakHyphen/>
      </w:r>
      <w:r w:rsidRPr="00583E1A">
        <w:t>820</w:t>
      </w:r>
      <w:r w:rsidRPr="00583E1A">
        <w:tab/>
        <w:t>Agency rules</w:t>
      </w:r>
    </w:p>
    <w:p w:rsidR="004D1701" w:rsidRPr="00583E1A" w:rsidRDefault="004D1701" w:rsidP="004D1701">
      <w:pPr>
        <w:pStyle w:val="ActHead4"/>
      </w:pPr>
      <w:bookmarkStart w:id="377" w:name="_Toc338939451"/>
      <w:r w:rsidRPr="00583E1A">
        <w:t>Operative provisions</w:t>
      </w:r>
      <w:bookmarkEnd w:id="377"/>
    </w:p>
    <w:p w:rsidR="004D1701" w:rsidRPr="00583E1A" w:rsidRDefault="004D1701" w:rsidP="004D1701">
      <w:pPr>
        <w:pStyle w:val="ActHead5"/>
      </w:pPr>
      <w:bookmarkStart w:id="378" w:name="_Toc338939452"/>
      <w:r w:rsidRPr="00583E1A">
        <w:rPr>
          <w:rStyle w:val="CharSectno"/>
        </w:rPr>
        <w:t>840</w:t>
      </w:r>
      <w:r w:rsidR="00583E1A">
        <w:rPr>
          <w:rStyle w:val="CharSectno"/>
        </w:rPr>
        <w:noBreakHyphen/>
      </w:r>
      <w:r w:rsidRPr="00583E1A">
        <w:rPr>
          <w:rStyle w:val="CharSectno"/>
        </w:rPr>
        <w:t>805</w:t>
      </w:r>
      <w:r w:rsidRPr="00583E1A">
        <w:t xml:space="preserve">  Liability for managed investment trust withholding tax</w:t>
      </w:r>
      <w:bookmarkEnd w:id="378"/>
    </w:p>
    <w:p w:rsidR="004D1701" w:rsidRPr="00583E1A" w:rsidRDefault="004D1701" w:rsidP="004D1701">
      <w:pPr>
        <w:pStyle w:val="SubsectionHead"/>
      </w:pPr>
      <w:r w:rsidRPr="00583E1A">
        <w:t>Liability</w:t>
      </w:r>
    </w:p>
    <w:p w:rsidR="004D1701" w:rsidRPr="00583E1A" w:rsidRDefault="004D1701" w:rsidP="004D1701">
      <w:pPr>
        <w:pStyle w:val="subsection"/>
      </w:pPr>
      <w:r w:rsidRPr="00583E1A">
        <w:tab/>
        <w:t>(1)</w:t>
      </w:r>
      <w:r w:rsidRPr="00583E1A">
        <w:tab/>
        <w:t xml:space="preserve">You are liable to pay income tax at the rate declared by the Parliament on the amount identified in </w:t>
      </w:r>
      <w:r w:rsidR="00583E1A">
        <w:t>subsection (</w:t>
      </w:r>
      <w:r w:rsidRPr="00583E1A">
        <w:t>2), (3) or (4) as the fund payment part if that subsection applies to you.</w:t>
      </w:r>
    </w:p>
    <w:p w:rsidR="004D1701" w:rsidRPr="00583E1A" w:rsidRDefault="004D1701" w:rsidP="004D1701">
      <w:pPr>
        <w:pStyle w:val="notetext"/>
      </w:pPr>
      <w:r w:rsidRPr="00583E1A">
        <w:t>Note 1:</w:t>
      </w:r>
      <w:r w:rsidRPr="00583E1A">
        <w:tab/>
        <w:t xml:space="preserve">The tax, which is called managed investment trust withholding tax, is imposed by the </w:t>
      </w:r>
      <w:r w:rsidRPr="00583E1A">
        <w:rPr>
          <w:i/>
        </w:rPr>
        <w:t>Income Tax (Managed Investment Trust Withholding Tax) Act 2008</w:t>
      </w:r>
      <w:r w:rsidRPr="00583E1A">
        <w:t xml:space="preserve"> and the rate of the tax is set out in that Act.</w:t>
      </w:r>
    </w:p>
    <w:p w:rsidR="004D1701" w:rsidRPr="00583E1A" w:rsidRDefault="004D1701" w:rsidP="004D1701">
      <w:pPr>
        <w:pStyle w:val="notetext"/>
      </w:pPr>
      <w:r w:rsidRPr="00583E1A">
        <w:t>Note 2:</w:t>
      </w:r>
      <w:r w:rsidRPr="00583E1A">
        <w:tab/>
        <w:t>See Subdivision</w:t>
      </w:r>
      <w:r w:rsidR="00583E1A">
        <w:t> </w:t>
      </w:r>
      <w:r w:rsidRPr="00583E1A">
        <w:t>12</w:t>
      </w:r>
      <w:r w:rsidR="00583E1A">
        <w:noBreakHyphen/>
      </w:r>
      <w:r w:rsidRPr="00583E1A">
        <w:t>H in Schedule</w:t>
      </w:r>
      <w:r w:rsidR="00583E1A">
        <w:t> </w:t>
      </w:r>
      <w:r w:rsidRPr="00583E1A">
        <w:t xml:space="preserve">1 to the </w:t>
      </w:r>
      <w:r w:rsidRPr="00583E1A">
        <w:rPr>
          <w:i/>
        </w:rPr>
        <w:t>Taxation Administration Act 1953</w:t>
      </w:r>
      <w:r w:rsidRPr="00583E1A">
        <w:t xml:space="preserve"> for provisions dealing with withholding from fund payments.</w:t>
      </w:r>
    </w:p>
    <w:p w:rsidR="004D1701" w:rsidRPr="00583E1A" w:rsidRDefault="004D1701" w:rsidP="004D1701">
      <w:pPr>
        <w:pStyle w:val="notetext"/>
      </w:pPr>
      <w:r w:rsidRPr="00583E1A">
        <w:t>Note 3:</w:t>
      </w:r>
      <w:r w:rsidRPr="00583E1A">
        <w:tab/>
        <w:t>This subsection does not apply to residents of information exchange countries for the first income year starting on or after the first 1</w:t>
      </w:r>
      <w:r w:rsidR="00583E1A">
        <w:t> </w:t>
      </w:r>
      <w:r w:rsidRPr="00583E1A">
        <w:t xml:space="preserve">July after the day on which the </w:t>
      </w:r>
      <w:r w:rsidRPr="00583E1A">
        <w:rPr>
          <w:i/>
        </w:rPr>
        <w:t>Tax Laws Amendment (Election Commitments No.</w:t>
      </w:r>
      <w:r w:rsidR="00583E1A">
        <w:rPr>
          <w:i/>
        </w:rPr>
        <w:t> </w:t>
      </w:r>
      <w:r w:rsidRPr="00583E1A">
        <w:rPr>
          <w:i/>
        </w:rPr>
        <w:t>1) Act 2008</w:t>
      </w:r>
      <w:r w:rsidRPr="00583E1A">
        <w:t xml:space="preserve"> receives the Royal Assent. Subdivision</w:t>
      </w:r>
      <w:r w:rsidR="00583E1A">
        <w:t> </w:t>
      </w:r>
      <w:r w:rsidRPr="00583E1A">
        <w:t>840</w:t>
      </w:r>
      <w:r w:rsidR="00583E1A">
        <w:noBreakHyphen/>
      </w:r>
      <w:r w:rsidRPr="00583E1A">
        <w:t xml:space="preserve">M of the </w:t>
      </w:r>
      <w:r w:rsidRPr="00583E1A">
        <w:rPr>
          <w:i/>
        </w:rPr>
        <w:t>Income Tax (Transitional Provisions) Act 1997</w:t>
      </w:r>
      <w:r w:rsidRPr="00583E1A">
        <w:t xml:space="preserve"> applies instead.</w:t>
      </w:r>
    </w:p>
    <w:p w:rsidR="004D1701" w:rsidRPr="00583E1A" w:rsidRDefault="004D1701" w:rsidP="008F0608">
      <w:pPr>
        <w:pStyle w:val="SubsectionHead"/>
      </w:pPr>
      <w:r w:rsidRPr="00583E1A">
        <w:lastRenderedPageBreak/>
        <w:t>Payments from managed investment trusts</w:t>
      </w:r>
    </w:p>
    <w:p w:rsidR="004D1701" w:rsidRPr="00583E1A" w:rsidRDefault="004D1701" w:rsidP="008F0608">
      <w:pPr>
        <w:pStyle w:val="subsection"/>
        <w:keepNext/>
        <w:keepLines/>
      </w:pPr>
      <w:r w:rsidRPr="00583E1A">
        <w:tab/>
        <w:t>(2)</w:t>
      </w:r>
      <w:r w:rsidRPr="00583E1A">
        <w:tab/>
        <w:t>This subsection applies to you if:</w:t>
      </w:r>
    </w:p>
    <w:p w:rsidR="004D1701" w:rsidRPr="00583E1A" w:rsidRDefault="004D1701" w:rsidP="004D1701">
      <w:pPr>
        <w:pStyle w:val="paragraph"/>
        <w:tabs>
          <w:tab w:val="left" w:pos="7040"/>
        </w:tabs>
      </w:pPr>
      <w:r w:rsidRPr="00583E1A">
        <w:tab/>
        <w:t>(a)</w:t>
      </w:r>
      <w:r w:rsidRPr="00583E1A">
        <w:tab/>
        <w:t xml:space="preserve">you are paid an amount from a trust that is a </w:t>
      </w:r>
      <w:r w:rsidR="00583E1A" w:rsidRPr="00583E1A">
        <w:rPr>
          <w:position w:val="6"/>
          <w:sz w:val="16"/>
        </w:rPr>
        <w:t>*</w:t>
      </w:r>
      <w:r w:rsidRPr="00583E1A">
        <w:t>managed investment trust in relation to an income year, or an amount is applied or dealt with as you direct by such a trust; and</w:t>
      </w:r>
    </w:p>
    <w:p w:rsidR="004D1701" w:rsidRPr="00583E1A" w:rsidRDefault="004D1701" w:rsidP="004D1701">
      <w:pPr>
        <w:pStyle w:val="paragraph"/>
      </w:pPr>
      <w:r w:rsidRPr="00583E1A">
        <w:tab/>
        <w:t>(b)</w:t>
      </w:r>
      <w:r w:rsidRPr="00583E1A">
        <w:tab/>
        <w:t xml:space="preserve">all or part of that amount (the </w:t>
      </w:r>
      <w:r w:rsidRPr="00583E1A">
        <w:rPr>
          <w:b/>
          <w:i/>
        </w:rPr>
        <w:t>fund payment part</w:t>
      </w:r>
      <w:r w:rsidRPr="00583E1A">
        <w:t xml:space="preserve">) is represented by a payment that is a </w:t>
      </w:r>
      <w:r w:rsidR="00583E1A" w:rsidRPr="00583E1A">
        <w:rPr>
          <w:position w:val="6"/>
          <w:sz w:val="16"/>
        </w:rPr>
        <w:t>*</w:t>
      </w:r>
      <w:r w:rsidRPr="00583E1A">
        <w:t>fund payment in relation to that year; and</w:t>
      </w:r>
    </w:p>
    <w:p w:rsidR="004D1701" w:rsidRPr="00583E1A" w:rsidRDefault="004D1701" w:rsidP="004D1701">
      <w:pPr>
        <w:pStyle w:val="paragraph"/>
      </w:pPr>
      <w:r w:rsidRPr="00583E1A">
        <w:tab/>
        <w:t>(c)</w:t>
      </w:r>
      <w:r w:rsidRPr="00583E1A">
        <w:tab/>
        <w:t>you are, in respect of the fund payment part, a beneficiary (but not a beneficiary in the capacity of a trustee of another trust); and</w:t>
      </w:r>
    </w:p>
    <w:p w:rsidR="004D1701" w:rsidRPr="00583E1A" w:rsidRDefault="004D1701" w:rsidP="004D1701">
      <w:pPr>
        <w:pStyle w:val="paragraph"/>
      </w:pPr>
      <w:r w:rsidRPr="00583E1A">
        <w:tab/>
        <w:t>(d)</w:t>
      </w:r>
      <w:r w:rsidRPr="00583E1A">
        <w:tab/>
        <w:t>you are a foreign resident when you are paid the amount or when the amount is applied or dealt with as you direct.</w:t>
      </w:r>
    </w:p>
    <w:p w:rsidR="004D1701" w:rsidRPr="00583E1A" w:rsidRDefault="004D1701" w:rsidP="004D1701">
      <w:pPr>
        <w:pStyle w:val="SubsectionHead"/>
      </w:pPr>
      <w:r w:rsidRPr="00583E1A">
        <w:t>Payments from custodians</w:t>
      </w:r>
    </w:p>
    <w:p w:rsidR="004D1701" w:rsidRPr="00583E1A" w:rsidRDefault="004D1701" w:rsidP="004D1701">
      <w:pPr>
        <w:pStyle w:val="subsection"/>
      </w:pPr>
      <w:r w:rsidRPr="00583E1A">
        <w:tab/>
        <w:t>(3)</w:t>
      </w:r>
      <w:r w:rsidRPr="00583E1A">
        <w:tab/>
        <w:t>This subsection applies to you if:</w:t>
      </w:r>
    </w:p>
    <w:p w:rsidR="004D1701" w:rsidRPr="00583E1A" w:rsidRDefault="004D1701" w:rsidP="004D1701">
      <w:pPr>
        <w:pStyle w:val="paragraph"/>
      </w:pPr>
      <w:r w:rsidRPr="00583E1A">
        <w:tab/>
        <w:t>(a)</w:t>
      </w:r>
      <w:r w:rsidRPr="00583E1A">
        <w:tab/>
        <w:t xml:space="preserve">you are paid an amount from a </w:t>
      </w:r>
      <w:r w:rsidR="00583E1A" w:rsidRPr="00583E1A">
        <w:rPr>
          <w:position w:val="6"/>
          <w:sz w:val="16"/>
        </w:rPr>
        <w:t>*</w:t>
      </w:r>
      <w:r w:rsidRPr="00583E1A">
        <w:t>custodian, or an amount is applied or dealt with as you direct by a custodian; and</w:t>
      </w:r>
    </w:p>
    <w:p w:rsidR="004D1701" w:rsidRPr="00583E1A" w:rsidRDefault="004D1701" w:rsidP="004D1701">
      <w:pPr>
        <w:pStyle w:val="paragraph"/>
      </w:pPr>
      <w:r w:rsidRPr="00583E1A">
        <w:tab/>
        <w:t>(b)</w:t>
      </w:r>
      <w:r w:rsidRPr="00583E1A">
        <w:tab/>
        <w:t xml:space="preserve">all or part of that amount (the </w:t>
      </w:r>
      <w:r w:rsidRPr="00583E1A">
        <w:rPr>
          <w:b/>
          <w:i/>
        </w:rPr>
        <w:t>fund payment part</w:t>
      </w:r>
      <w:r w:rsidRPr="00583E1A">
        <w:t xml:space="preserve">) is reasonably attributable to a payment that is a </w:t>
      </w:r>
      <w:r w:rsidR="00583E1A" w:rsidRPr="00583E1A">
        <w:rPr>
          <w:position w:val="6"/>
          <w:sz w:val="16"/>
        </w:rPr>
        <w:t>*</w:t>
      </w:r>
      <w:r w:rsidRPr="00583E1A">
        <w:t xml:space="preserve">fund payment in relation to an income year by a trust that is a </w:t>
      </w:r>
      <w:r w:rsidR="00583E1A" w:rsidRPr="00583E1A">
        <w:rPr>
          <w:position w:val="6"/>
          <w:sz w:val="16"/>
        </w:rPr>
        <w:t>*</w:t>
      </w:r>
      <w:r w:rsidRPr="00583E1A">
        <w:t>managed investment trust in relation to that year; and</w:t>
      </w:r>
    </w:p>
    <w:p w:rsidR="004D1701" w:rsidRPr="00583E1A" w:rsidRDefault="004D1701" w:rsidP="004D1701">
      <w:pPr>
        <w:pStyle w:val="paragraph"/>
      </w:pPr>
      <w:r w:rsidRPr="00583E1A">
        <w:tab/>
        <w:t>(c)</w:t>
      </w:r>
      <w:r w:rsidRPr="00583E1A">
        <w:tab/>
        <w:t>you are, in respect of the fund payment part, a beneficiary (but not a beneficiary in the capacity of a trustee of another trust); and</w:t>
      </w:r>
    </w:p>
    <w:p w:rsidR="004D1701" w:rsidRPr="00583E1A" w:rsidRDefault="004D1701" w:rsidP="004D1701">
      <w:pPr>
        <w:pStyle w:val="paragraph"/>
      </w:pPr>
      <w:r w:rsidRPr="00583E1A">
        <w:tab/>
        <w:t>(d)</w:t>
      </w:r>
      <w:r w:rsidRPr="00583E1A">
        <w:tab/>
        <w:t>you are a foreign resident when you are paid the amount or when the amount is applied or dealt with as you direct; and</w:t>
      </w:r>
    </w:p>
    <w:p w:rsidR="004D1701" w:rsidRPr="00583E1A" w:rsidRDefault="004D1701" w:rsidP="004D1701">
      <w:pPr>
        <w:pStyle w:val="paragraph"/>
      </w:pPr>
      <w:r w:rsidRPr="00583E1A">
        <w:tab/>
        <w:t>(e)</w:t>
      </w:r>
      <w:r w:rsidRPr="00583E1A">
        <w:tab/>
        <w:t>either:</w:t>
      </w:r>
    </w:p>
    <w:p w:rsidR="004D1701" w:rsidRPr="00583E1A" w:rsidRDefault="004D1701" w:rsidP="004D1701">
      <w:pPr>
        <w:pStyle w:val="paragraphsub"/>
      </w:pPr>
      <w:r w:rsidRPr="00583E1A">
        <w:tab/>
        <w:t>(i)</w:t>
      </w:r>
      <w:r w:rsidRPr="00583E1A">
        <w:tab/>
        <w:t>the custodian is not a company; or</w:t>
      </w:r>
    </w:p>
    <w:p w:rsidR="004D1701" w:rsidRPr="00583E1A" w:rsidRDefault="004D1701" w:rsidP="004D1701">
      <w:pPr>
        <w:pStyle w:val="paragraphsub"/>
      </w:pPr>
      <w:r w:rsidRPr="00583E1A">
        <w:tab/>
        <w:t>(ii)</w:t>
      </w:r>
      <w:r w:rsidRPr="00583E1A">
        <w:tab/>
        <w:t xml:space="preserve">if it is a company, it would be acting in the capacity as your </w:t>
      </w:r>
      <w:r w:rsidR="00583E1A" w:rsidRPr="00583E1A">
        <w:rPr>
          <w:position w:val="6"/>
          <w:sz w:val="16"/>
        </w:rPr>
        <w:t>*</w:t>
      </w:r>
      <w:r w:rsidRPr="00583E1A">
        <w:t>agent apart from section</w:t>
      </w:r>
      <w:r w:rsidR="00583E1A">
        <w:t> </w:t>
      </w:r>
      <w:r w:rsidRPr="00583E1A">
        <w:t>840</w:t>
      </w:r>
      <w:r w:rsidR="00583E1A">
        <w:noBreakHyphen/>
      </w:r>
      <w:r w:rsidRPr="00583E1A">
        <w:t>820.</w:t>
      </w:r>
    </w:p>
    <w:p w:rsidR="004D1701" w:rsidRPr="00583E1A" w:rsidRDefault="004D1701" w:rsidP="008F0608">
      <w:pPr>
        <w:pStyle w:val="SubsectionHead"/>
      </w:pPr>
      <w:r w:rsidRPr="00583E1A">
        <w:lastRenderedPageBreak/>
        <w:t>Entitlements to amounts from other entities</w:t>
      </w:r>
    </w:p>
    <w:p w:rsidR="004D1701" w:rsidRPr="00583E1A" w:rsidRDefault="004D1701" w:rsidP="008F0608">
      <w:pPr>
        <w:pStyle w:val="subsection"/>
        <w:keepNext/>
        <w:keepLines/>
      </w:pPr>
      <w:r w:rsidRPr="00583E1A">
        <w:tab/>
        <w:t>(4)</w:t>
      </w:r>
      <w:r w:rsidRPr="00583E1A">
        <w:tab/>
        <w:t>This subsection applies to you if:</w:t>
      </w:r>
    </w:p>
    <w:p w:rsidR="004D1701" w:rsidRPr="00583E1A" w:rsidRDefault="004D1701" w:rsidP="004D1701">
      <w:pPr>
        <w:pStyle w:val="paragraph"/>
      </w:pPr>
      <w:r w:rsidRPr="00583E1A">
        <w:tab/>
        <w:t>(a)</w:t>
      </w:r>
      <w:r w:rsidRPr="00583E1A">
        <w:tab/>
        <w:t xml:space="preserve">you are a beneficiary of a trust (that is not a </w:t>
      </w:r>
      <w:r w:rsidR="00583E1A" w:rsidRPr="00583E1A">
        <w:rPr>
          <w:position w:val="6"/>
          <w:sz w:val="16"/>
        </w:rPr>
        <w:t>*</w:t>
      </w:r>
      <w:r w:rsidRPr="00583E1A">
        <w:t xml:space="preserve">managed investment trust or a </w:t>
      </w:r>
      <w:r w:rsidR="00583E1A" w:rsidRPr="00583E1A">
        <w:rPr>
          <w:position w:val="6"/>
          <w:sz w:val="16"/>
        </w:rPr>
        <w:t>*</w:t>
      </w:r>
      <w:r w:rsidRPr="00583E1A">
        <w:t>custodian) and are presently entitled to a share of the income or capital of the trust; and</w:t>
      </w:r>
    </w:p>
    <w:p w:rsidR="004D1701" w:rsidRPr="00583E1A" w:rsidRDefault="004D1701" w:rsidP="004D1701">
      <w:pPr>
        <w:pStyle w:val="paragraph"/>
      </w:pPr>
      <w:r w:rsidRPr="00583E1A">
        <w:tab/>
        <w:t>(b)</w:t>
      </w:r>
      <w:r w:rsidRPr="00583E1A">
        <w:tab/>
        <w:t xml:space="preserve">all or part of that share (also the </w:t>
      </w:r>
      <w:r w:rsidRPr="00583E1A">
        <w:rPr>
          <w:b/>
          <w:i/>
        </w:rPr>
        <w:t>fund payment part</w:t>
      </w:r>
      <w:r w:rsidRPr="00583E1A">
        <w:t xml:space="preserve">) is reasonably attributable to a payment that is a </w:t>
      </w:r>
      <w:r w:rsidR="00583E1A" w:rsidRPr="00583E1A">
        <w:rPr>
          <w:position w:val="6"/>
          <w:sz w:val="16"/>
        </w:rPr>
        <w:t>*</w:t>
      </w:r>
      <w:r w:rsidRPr="00583E1A">
        <w:t>fund payment in relation to an income year made by a trust that is a managed investment trust in relation to that year; and</w:t>
      </w:r>
    </w:p>
    <w:p w:rsidR="004D1701" w:rsidRPr="00583E1A" w:rsidRDefault="004D1701" w:rsidP="004D1701">
      <w:pPr>
        <w:pStyle w:val="paragraph"/>
      </w:pPr>
      <w:r w:rsidRPr="00583E1A">
        <w:tab/>
        <w:t>(c)</w:t>
      </w:r>
      <w:r w:rsidRPr="00583E1A">
        <w:tab/>
        <w:t>you are not, in respect of that share, a beneficiary in the capacity of a trustee of another trust; and</w:t>
      </w:r>
    </w:p>
    <w:p w:rsidR="004D1701" w:rsidRPr="00583E1A" w:rsidRDefault="004D1701" w:rsidP="004D1701">
      <w:pPr>
        <w:pStyle w:val="paragraph"/>
      </w:pPr>
      <w:r w:rsidRPr="00583E1A">
        <w:tab/>
        <w:t>(d)</w:t>
      </w:r>
      <w:r w:rsidRPr="00583E1A">
        <w:tab/>
        <w:t xml:space="preserve">you are a foreign resident at the time (the </w:t>
      </w:r>
      <w:r w:rsidRPr="00583E1A">
        <w:rPr>
          <w:b/>
          <w:i/>
        </w:rPr>
        <w:t>entitlement time</w:t>
      </w:r>
      <w:r w:rsidRPr="00583E1A">
        <w:t>) when you became presently entitled.</w:t>
      </w:r>
    </w:p>
    <w:p w:rsidR="004D1701" w:rsidRPr="00583E1A" w:rsidRDefault="004D1701" w:rsidP="004D1701">
      <w:pPr>
        <w:pStyle w:val="SubsectionHead"/>
      </w:pPr>
      <w:r w:rsidRPr="00583E1A">
        <w:t>Entitlement to capital of a trust</w:t>
      </w:r>
    </w:p>
    <w:p w:rsidR="004D1701" w:rsidRPr="00583E1A" w:rsidRDefault="004D1701" w:rsidP="004D1701">
      <w:pPr>
        <w:pStyle w:val="subsection"/>
      </w:pPr>
      <w:r w:rsidRPr="00583E1A">
        <w:tab/>
        <w:t>(5)</w:t>
      </w:r>
      <w:r w:rsidRPr="00583E1A">
        <w:tab/>
        <w:t>For the purposes of this section, section</w:t>
      </w:r>
      <w:r w:rsidR="00583E1A">
        <w:t> </w:t>
      </w:r>
      <w:r w:rsidRPr="00583E1A">
        <w:t xml:space="preserve">95A of the </w:t>
      </w:r>
      <w:r w:rsidRPr="00583E1A">
        <w:rPr>
          <w:i/>
        </w:rPr>
        <w:t>Income Tax Assessment Act 1936</w:t>
      </w:r>
      <w:r w:rsidRPr="00583E1A">
        <w:t xml:space="preserve"> applies in relation to capital of a trust in the same way as it applies to income of the trust.</w:t>
      </w:r>
    </w:p>
    <w:p w:rsidR="005B741A" w:rsidRPr="0038586A" w:rsidRDefault="005B741A" w:rsidP="005B741A">
      <w:pPr>
        <w:pStyle w:val="SubsectionHead"/>
      </w:pPr>
      <w:r w:rsidRPr="0038586A">
        <w:t>Exception—Australian permanent establishments</w:t>
      </w:r>
    </w:p>
    <w:p w:rsidR="004D1701" w:rsidRPr="00583E1A" w:rsidRDefault="004D1701" w:rsidP="004D1701">
      <w:pPr>
        <w:pStyle w:val="subsection"/>
      </w:pPr>
      <w:r w:rsidRPr="00583E1A">
        <w:tab/>
        <w:t>(6)</w:t>
      </w:r>
      <w:r w:rsidRPr="00583E1A">
        <w:tab/>
        <w:t>This section does not apply to you if:</w:t>
      </w:r>
    </w:p>
    <w:p w:rsidR="004D1701" w:rsidRPr="00583E1A" w:rsidRDefault="004D1701" w:rsidP="004D1701">
      <w:pPr>
        <w:pStyle w:val="paragraph"/>
      </w:pPr>
      <w:r w:rsidRPr="00583E1A">
        <w:tab/>
        <w:t>(a)</w:t>
      </w:r>
      <w:r w:rsidRPr="00583E1A">
        <w:tab/>
        <w:t>you are paid the fund payment part, or it is applied or dealt with as you direct; or</w:t>
      </w:r>
    </w:p>
    <w:p w:rsidR="004D1701" w:rsidRPr="00583E1A" w:rsidRDefault="004D1701" w:rsidP="004D1701">
      <w:pPr>
        <w:pStyle w:val="paragraph"/>
      </w:pPr>
      <w:r w:rsidRPr="00583E1A">
        <w:tab/>
        <w:t>(b)</w:t>
      </w:r>
      <w:r w:rsidRPr="00583E1A">
        <w:tab/>
        <w:t>you become presently entitled to it;</w:t>
      </w:r>
    </w:p>
    <w:p w:rsidR="004D1701" w:rsidRPr="00583E1A" w:rsidRDefault="004D1701" w:rsidP="004D1701">
      <w:pPr>
        <w:pStyle w:val="subsection2"/>
      </w:pPr>
      <w:r w:rsidRPr="00583E1A">
        <w:t xml:space="preserve">in the course of a </w:t>
      </w:r>
      <w:r w:rsidR="00583E1A" w:rsidRPr="00583E1A">
        <w:rPr>
          <w:position w:val="6"/>
          <w:sz w:val="16"/>
        </w:rPr>
        <w:t>*</w:t>
      </w:r>
      <w:r w:rsidRPr="00583E1A">
        <w:t xml:space="preserve">business you carry on at or through an </w:t>
      </w:r>
      <w:r w:rsidR="00583E1A" w:rsidRPr="00583E1A">
        <w:rPr>
          <w:position w:val="6"/>
          <w:sz w:val="16"/>
        </w:rPr>
        <w:t>*</w:t>
      </w:r>
      <w:r w:rsidRPr="00583E1A">
        <w:t>Australian permanent establishment.</w:t>
      </w:r>
    </w:p>
    <w:p w:rsidR="005B741A" w:rsidRPr="0038586A" w:rsidRDefault="005B741A" w:rsidP="005B741A">
      <w:pPr>
        <w:pStyle w:val="SubsectionHead"/>
      </w:pPr>
      <w:r w:rsidRPr="0038586A">
        <w:t>Exception—distributions on carried interests</w:t>
      </w:r>
    </w:p>
    <w:p w:rsidR="005B741A" w:rsidRPr="0038586A" w:rsidRDefault="005B741A" w:rsidP="005B741A">
      <w:pPr>
        <w:pStyle w:val="subsection"/>
      </w:pPr>
      <w:r w:rsidRPr="0038586A">
        <w:tab/>
        <w:t>(7)</w:t>
      </w:r>
      <w:r w:rsidRPr="0038586A">
        <w:tab/>
        <w:t>Subsections (2) and (3) do not apply to you to the extent that the fund payment part:</w:t>
      </w:r>
    </w:p>
    <w:p w:rsidR="005B741A" w:rsidRPr="0038586A" w:rsidRDefault="005B741A" w:rsidP="005B741A">
      <w:pPr>
        <w:pStyle w:val="paragraph"/>
      </w:pPr>
      <w:r w:rsidRPr="0038586A">
        <w:tab/>
        <w:t>(a)</w:t>
      </w:r>
      <w:r w:rsidRPr="0038586A">
        <w:tab/>
        <w:t>is included in your assessable income under subsection 275</w:t>
      </w:r>
      <w:r w:rsidRPr="0038586A">
        <w:noBreakHyphen/>
        <w:t xml:space="preserve">200(2) (Gains etc. from carried interests) for the income year because you hold or held a </w:t>
      </w:r>
      <w:r w:rsidRPr="0038586A">
        <w:rPr>
          <w:position w:val="6"/>
          <w:sz w:val="16"/>
        </w:rPr>
        <w:t>*</w:t>
      </w:r>
      <w:r w:rsidRPr="0038586A">
        <w:t>CGT asset that carries an entitlement to a distribution mentioned in subsection 275</w:t>
      </w:r>
      <w:r w:rsidRPr="0038586A">
        <w:noBreakHyphen/>
        <w:t>200(2); or</w:t>
      </w:r>
    </w:p>
    <w:p w:rsidR="005B741A" w:rsidRPr="0038586A" w:rsidRDefault="005B741A" w:rsidP="005B741A">
      <w:pPr>
        <w:pStyle w:val="paragraph"/>
      </w:pPr>
      <w:r w:rsidRPr="0038586A">
        <w:lastRenderedPageBreak/>
        <w:tab/>
        <w:t>(b)</w:t>
      </w:r>
      <w:r w:rsidRPr="0038586A">
        <w:tab/>
        <w:t>would be so included if subsection 275</w:t>
      </w:r>
      <w:r w:rsidRPr="0038586A">
        <w:noBreakHyphen/>
        <w:t>200(3) were disregarded.</w:t>
      </w:r>
    </w:p>
    <w:p w:rsidR="005B741A" w:rsidRPr="0038586A" w:rsidRDefault="005B741A" w:rsidP="005B741A">
      <w:pPr>
        <w:pStyle w:val="subsection"/>
      </w:pPr>
      <w:r w:rsidRPr="0038586A">
        <w:tab/>
        <w:t>(8)</w:t>
      </w:r>
      <w:r w:rsidRPr="0038586A">
        <w:tab/>
        <w:t>Subsection (4) does not apply to you to the extent that the fund payment part:</w:t>
      </w:r>
    </w:p>
    <w:p w:rsidR="005B741A" w:rsidRPr="0038586A" w:rsidRDefault="005B741A" w:rsidP="005B741A">
      <w:pPr>
        <w:pStyle w:val="paragraph"/>
      </w:pPr>
      <w:r w:rsidRPr="0038586A">
        <w:tab/>
        <w:t>(a)</w:t>
      </w:r>
      <w:r w:rsidRPr="0038586A">
        <w:tab/>
        <w:t>is attributable to an amount included in the net income of the trust mentioned in that subsection because of subsection 275</w:t>
      </w:r>
      <w:r w:rsidRPr="0038586A">
        <w:noBreakHyphen/>
        <w:t xml:space="preserve">200(2) (Gains etc. from carried interests) for the income year because the trust holds or held a </w:t>
      </w:r>
      <w:r w:rsidRPr="0038586A">
        <w:rPr>
          <w:position w:val="6"/>
          <w:sz w:val="16"/>
        </w:rPr>
        <w:t>*</w:t>
      </w:r>
      <w:r w:rsidRPr="0038586A">
        <w:t>CGT asset that carries an entitlement to a distribution mentioned in subsection 275</w:t>
      </w:r>
      <w:r w:rsidRPr="0038586A">
        <w:noBreakHyphen/>
        <w:t>200(2); or</w:t>
      </w:r>
    </w:p>
    <w:p w:rsidR="005B741A" w:rsidRPr="0038586A" w:rsidRDefault="005B741A" w:rsidP="005B741A">
      <w:pPr>
        <w:pStyle w:val="paragraph"/>
      </w:pPr>
      <w:r w:rsidRPr="0038586A">
        <w:tab/>
        <w:t>(b)</w:t>
      </w:r>
      <w:r w:rsidRPr="0038586A">
        <w:tab/>
        <w:t>would be so included if subsection 275</w:t>
      </w:r>
      <w:r w:rsidRPr="0038586A">
        <w:noBreakHyphen/>
        <w:t>200(3) were disregarded.</w:t>
      </w:r>
    </w:p>
    <w:p w:rsidR="004D1701" w:rsidRPr="00583E1A" w:rsidRDefault="004D1701" w:rsidP="004D1701">
      <w:pPr>
        <w:pStyle w:val="ActHead5"/>
      </w:pPr>
      <w:bookmarkStart w:id="379" w:name="_Toc338939453"/>
      <w:r w:rsidRPr="00583E1A">
        <w:rPr>
          <w:rStyle w:val="CharSectno"/>
        </w:rPr>
        <w:t>840</w:t>
      </w:r>
      <w:r w:rsidR="00583E1A">
        <w:rPr>
          <w:rStyle w:val="CharSectno"/>
        </w:rPr>
        <w:noBreakHyphen/>
      </w:r>
      <w:r w:rsidRPr="00583E1A">
        <w:rPr>
          <w:rStyle w:val="CharSectno"/>
        </w:rPr>
        <w:t>810</w:t>
      </w:r>
      <w:r w:rsidRPr="00583E1A">
        <w:t xml:space="preserve">  When managed investment trust withholding tax is payable</w:t>
      </w:r>
      <w:bookmarkEnd w:id="379"/>
    </w:p>
    <w:p w:rsidR="004D1701" w:rsidRPr="00583E1A" w:rsidRDefault="004D1701" w:rsidP="004D1701">
      <w:pPr>
        <w:pStyle w:val="subsection"/>
      </w:pPr>
      <w:r w:rsidRPr="00583E1A">
        <w:tab/>
        <w:t>(1)</w:t>
      </w:r>
      <w:r w:rsidRPr="00583E1A">
        <w:tab/>
      </w:r>
      <w:r w:rsidR="00583E1A" w:rsidRPr="00583E1A">
        <w:rPr>
          <w:position w:val="6"/>
          <w:sz w:val="16"/>
        </w:rPr>
        <w:t>*</w:t>
      </w:r>
      <w:r w:rsidRPr="00583E1A">
        <w:t>Managed investment trust withholding tax is due and payable by you at the end of 21 days after:</w:t>
      </w:r>
    </w:p>
    <w:p w:rsidR="004D1701" w:rsidRPr="00583E1A" w:rsidRDefault="004D1701" w:rsidP="004D1701">
      <w:pPr>
        <w:pStyle w:val="paragraph"/>
      </w:pPr>
      <w:r w:rsidRPr="00583E1A">
        <w:tab/>
        <w:t>(a)</w:t>
      </w:r>
      <w:r w:rsidRPr="00583E1A">
        <w:tab/>
        <w:t>if subsection 840</w:t>
      </w:r>
      <w:r w:rsidR="00583E1A">
        <w:noBreakHyphen/>
      </w:r>
      <w:r w:rsidRPr="00583E1A">
        <w:t>805(2) or (3) applies to you—the end of the month in which the fund payment part is paid, applied or dealt with; or</w:t>
      </w:r>
    </w:p>
    <w:p w:rsidR="004D1701" w:rsidRPr="00583E1A" w:rsidRDefault="004D1701" w:rsidP="004D1701">
      <w:pPr>
        <w:pStyle w:val="paragraph"/>
      </w:pPr>
      <w:r w:rsidRPr="00583E1A">
        <w:tab/>
        <w:t>(b)</w:t>
      </w:r>
      <w:r w:rsidRPr="00583E1A">
        <w:tab/>
        <w:t>if subsection 840</w:t>
      </w:r>
      <w:r w:rsidR="00583E1A">
        <w:noBreakHyphen/>
      </w:r>
      <w:r w:rsidRPr="00583E1A">
        <w:t>805(4) applies to you—the end of the month in which the entitlement time occurs.</w:t>
      </w:r>
    </w:p>
    <w:p w:rsidR="004D1701" w:rsidRPr="00583E1A" w:rsidRDefault="004D1701" w:rsidP="004D1701">
      <w:pPr>
        <w:pStyle w:val="subsection"/>
      </w:pPr>
      <w:r w:rsidRPr="00583E1A">
        <w:tab/>
        <w:t>(2)</w:t>
      </w:r>
      <w:r w:rsidRPr="00583E1A">
        <w:tab/>
        <w:t xml:space="preserve">If any of the </w:t>
      </w:r>
      <w:r w:rsidR="00583E1A" w:rsidRPr="00583E1A">
        <w:rPr>
          <w:position w:val="6"/>
          <w:sz w:val="16"/>
        </w:rPr>
        <w:t>*</w:t>
      </w:r>
      <w:r w:rsidRPr="00583E1A">
        <w:t xml:space="preserve">managed investment trust withholding tax that you are liable to pay remains unpaid after the time by which it is due to be paid, you are liable to pay the </w:t>
      </w:r>
      <w:r w:rsidR="00583E1A" w:rsidRPr="00583E1A">
        <w:rPr>
          <w:position w:val="6"/>
          <w:sz w:val="16"/>
        </w:rPr>
        <w:t>*</w:t>
      </w:r>
      <w:r w:rsidRPr="00583E1A">
        <w:t>general interest charge on the unpaid amount for each day in the period that:</w:t>
      </w:r>
    </w:p>
    <w:p w:rsidR="004D1701" w:rsidRPr="00583E1A" w:rsidRDefault="004D1701" w:rsidP="004D1701">
      <w:pPr>
        <w:pStyle w:val="paragraph"/>
      </w:pPr>
      <w:r w:rsidRPr="00583E1A">
        <w:tab/>
        <w:t>(a)</w:t>
      </w:r>
      <w:r w:rsidRPr="00583E1A">
        <w:tab/>
        <w:t>starts at the beginning of the day by which the withholding tax was due to be paid; and</w:t>
      </w:r>
    </w:p>
    <w:p w:rsidR="004D1701" w:rsidRPr="00583E1A" w:rsidRDefault="004D1701" w:rsidP="004D1701">
      <w:pPr>
        <w:pStyle w:val="paragraph"/>
      </w:pPr>
      <w:r w:rsidRPr="00583E1A">
        <w:tab/>
        <w:t>(b)</w:t>
      </w:r>
      <w:r w:rsidRPr="00583E1A">
        <w:tab/>
        <w:t>ends at the end of the last day on which, at the end of the day, any of the following remains unpaid:</w:t>
      </w:r>
    </w:p>
    <w:p w:rsidR="004D1701" w:rsidRPr="00583E1A" w:rsidRDefault="004D1701" w:rsidP="004D1701">
      <w:pPr>
        <w:pStyle w:val="paragraphsub"/>
      </w:pPr>
      <w:r w:rsidRPr="00583E1A">
        <w:tab/>
        <w:t>(i)</w:t>
      </w:r>
      <w:r w:rsidRPr="00583E1A">
        <w:tab/>
        <w:t>the withholding tax;</w:t>
      </w:r>
    </w:p>
    <w:p w:rsidR="004D1701" w:rsidRPr="00583E1A" w:rsidRDefault="004D1701" w:rsidP="004D1701">
      <w:pPr>
        <w:pStyle w:val="paragraphsub"/>
      </w:pPr>
      <w:r w:rsidRPr="00583E1A">
        <w:tab/>
        <w:t>(ii)</w:t>
      </w:r>
      <w:r w:rsidRPr="00583E1A">
        <w:tab/>
        <w:t>general interest charge on any of the withholding tax.</w:t>
      </w:r>
    </w:p>
    <w:p w:rsidR="004D1701" w:rsidRPr="00583E1A" w:rsidRDefault="004D1701" w:rsidP="004D1701">
      <w:pPr>
        <w:pStyle w:val="notetext"/>
      </w:pPr>
      <w:r w:rsidRPr="00583E1A">
        <w:t>Note:</w:t>
      </w:r>
      <w:r w:rsidRPr="00583E1A">
        <w:tab/>
        <w:t>The general interest charge is worked out under Part</w:t>
      </w:r>
      <w:r w:rsidR="00583E1A">
        <w:t> </w:t>
      </w:r>
      <w:r w:rsidRPr="00583E1A">
        <w:t xml:space="preserve">IIA of the </w:t>
      </w:r>
      <w:r w:rsidRPr="00583E1A">
        <w:rPr>
          <w:i/>
        </w:rPr>
        <w:t>Taxation Administration Act 1953</w:t>
      </w:r>
      <w:r w:rsidRPr="00583E1A">
        <w:t>.</w:t>
      </w:r>
    </w:p>
    <w:p w:rsidR="004D1701" w:rsidRPr="00583E1A" w:rsidRDefault="004D1701" w:rsidP="008F0608">
      <w:pPr>
        <w:pStyle w:val="subsection"/>
        <w:keepNext/>
        <w:keepLines/>
      </w:pPr>
      <w:r w:rsidRPr="00583E1A">
        <w:lastRenderedPageBreak/>
        <w:tab/>
        <w:t>(3)</w:t>
      </w:r>
      <w:r w:rsidRPr="00583E1A">
        <w:tab/>
        <w:t>The Commissioner may give you a notice specifying:</w:t>
      </w:r>
    </w:p>
    <w:p w:rsidR="004D1701" w:rsidRPr="00583E1A" w:rsidRDefault="004D1701" w:rsidP="004D1701">
      <w:pPr>
        <w:pStyle w:val="paragraph"/>
      </w:pPr>
      <w:r w:rsidRPr="00583E1A">
        <w:tab/>
        <w:t>(a)</w:t>
      </w:r>
      <w:r w:rsidRPr="00583E1A">
        <w:tab/>
        <w:t xml:space="preserve">the amount of any </w:t>
      </w:r>
      <w:r w:rsidR="00583E1A" w:rsidRPr="00583E1A">
        <w:rPr>
          <w:position w:val="6"/>
          <w:sz w:val="16"/>
        </w:rPr>
        <w:t>*</w:t>
      </w:r>
      <w:r w:rsidRPr="00583E1A">
        <w:t>managed investment trust withholding tax that the Commissioner has ascertained is payable by you; and</w:t>
      </w:r>
    </w:p>
    <w:p w:rsidR="004D1701" w:rsidRPr="00583E1A" w:rsidRDefault="004D1701" w:rsidP="004D1701">
      <w:pPr>
        <w:pStyle w:val="paragraph"/>
      </w:pPr>
      <w:r w:rsidRPr="00583E1A">
        <w:tab/>
        <w:t>(b)</w:t>
      </w:r>
      <w:r w:rsidRPr="00583E1A">
        <w:tab/>
        <w:t>the day on which that tax became due and payable.</w:t>
      </w:r>
    </w:p>
    <w:p w:rsidR="004D1701" w:rsidRPr="00583E1A" w:rsidRDefault="004D1701" w:rsidP="004D1701">
      <w:pPr>
        <w:pStyle w:val="subsection"/>
      </w:pPr>
      <w:r w:rsidRPr="00583E1A">
        <w:tab/>
        <w:t>(4)</w:t>
      </w:r>
      <w:r w:rsidRPr="00583E1A">
        <w:tab/>
        <w:t xml:space="preserve">The ascertainment of an amount of </w:t>
      </w:r>
      <w:r w:rsidR="00583E1A" w:rsidRPr="00583E1A">
        <w:rPr>
          <w:position w:val="6"/>
          <w:sz w:val="16"/>
        </w:rPr>
        <w:t>*</w:t>
      </w:r>
      <w:r w:rsidRPr="00583E1A">
        <w:t>managed investment trust withholding tax is not an assessment for the purposes of this Act.</w:t>
      </w:r>
    </w:p>
    <w:p w:rsidR="004D1701" w:rsidRPr="00583E1A" w:rsidRDefault="004D1701" w:rsidP="004D1701">
      <w:pPr>
        <w:pStyle w:val="subsection"/>
      </w:pPr>
      <w:r w:rsidRPr="00583E1A">
        <w:tab/>
        <w:t>(5)</w:t>
      </w:r>
      <w:r w:rsidRPr="00583E1A">
        <w:tab/>
        <w:t xml:space="preserve">The production of a notice given under </w:t>
      </w:r>
      <w:r w:rsidR="00583E1A">
        <w:t>subsection (</w:t>
      </w:r>
      <w:r w:rsidRPr="00583E1A">
        <w:t>3), or of a copy of it certified by or on behalf of the Commissioner, is conclusive evidence that the notice was given and of the particulars in it.</w:t>
      </w:r>
    </w:p>
    <w:p w:rsidR="004D1701" w:rsidRPr="00583E1A" w:rsidRDefault="004D1701" w:rsidP="004D1701">
      <w:pPr>
        <w:pStyle w:val="ActHead5"/>
      </w:pPr>
      <w:bookmarkStart w:id="380" w:name="_Toc338939454"/>
      <w:r w:rsidRPr="00583E1A">
        <w:rPr>
          <w:rStyle w:val="CharSectno"/>
        </w:rPr>
        <w:t>840</w:t>
      </w:r>
      <w:r w:rsidR="00583E1A">
        <w:rPr>
          <w:rStyle w:val="CharSectno"/>
        </w:rPr>
        <w:noBreakHyphen/>
      </w:r>
      <w:r w:rsidRPr="00583E1A">
        <w:rPr>
          <w:rStyle w:val="CharSectno"/>
        </w:rPr>
        <w:t>815</w:t>
      </w:r>
      <w:r w:rsidRPr="00583E1A">
        <w:t xml:space="preserve">  Certain income is non</w:t>
      </w:r>
      <w:r w:rsidR="00583E1A">
        <w:noBreakHyphen/>
      </w:r>
      <w:r w:rsidRPr="00583E1A">
        <w:t>assessable non</w:t>
      </w:r>
      <w:r w:rsidR="00583E1A">
        <w:noBreakHyphen/>
      </w:r>
      <w:r w:rsidRPr="00583E1A">
        <w:t>exempt income</w:t>
      </w:r>
      <w:bookmarkEnd w:id="380"/>
    </w:p>
    <w:p w:rsidR="004D1701" w:rsidRPr="00583E1A" w:rsidRDefault="004D1701" w:rsidP="004D1701">
      <w:pPr>
        <w:pStyle w:val="subsection"/>
      </w:pPr>
      <w:r w:rsidRPr="00583E1A">
        <w:tab/>
      </w:r>
      <w:r w:rsidRPr="00583E1A">
        <w:tab/>
        <w:t xml:space="preserve">An amount on which </w:t>
      </w:r>
      <w:r w:rsidR="00583E1A" w:rsidRPr="00583E1A">
        <w:rPr>
          <w:position w:val="6"/>
          <w:sz w:val="16"/>
        </w:rPr>
        <w:t>*</w:t>
      </w:r>
      <w:r w:rsidRPr="00583E1A">
        <w:t xml:space="preserve">managed investment trust withholding tax is payable is not assessable income and is not </w:t>
      </w:r>
      <w:r w:rsidR="00583E1A" w:rsidRPr="00583E1A">
        <w:rPr>
          <w:position w:val="6"/>
          <w:sz w:val="16"/>
        </w:rPr>
        <w:t>*</w:t>
      </w:r>
      <w:r w:rsidRPr="00583E1A">
        <w:t>exempt income of an entity.</w:t>
      </w:r>
    </w:p>
    <w:p w:rsidR="004D1701" w:rsidRPr="00583E1A" w:rsidRDefault="004D1701" w:rsidP="004D1701">
      <w:pPr>
        <w:pStyle w:val="ActHead5"/>
      </w:pPr>
      <w:bookmarkStart w:id="381" w:name="_Toc338939455"/>
      <w:r w:rsidRPr="00583E1A">
        <w:rPr>
          <w:rStyle w:val="CharSectno"/>
        </w:rPr>
        <w:t>840</w:t>
      </w:r>
      <w:r w:rsidR="00583E1A">
        <w:rPr>
          <w:rStyle w:val="CharSectno"/>
        </w:rPr>
        <w:noBreakHyphen/>
      </w:r>
      <w:r w:rsidRPr="00583E1A">
        <w:rPr>
          <w:rStyle w:val="CharSectno"/>
        </w:rPr>
        <w:t>820</w:t>
      </w:r>
      <w:r w:rsidRPr="00583E1A">
        <w:t xml:space="preserve">  Agency rules</w:t>
      </w:r>
      <w:bookmarkEnd w:id="381"/>
    </w:p>
    <w:p w:rsidR="004D1701" w:rsidRPr="00583E1A" w:rsidRDefault="004D1701" w:rsidP="004D1701">
      <w:pPr>
        <w:pStyle w:val="subsection"/>
      </w:pPr>
      <w:r w:rsidRPr="00583E1A">
        <w:tab/>
        <w:t>(1)</w:t>
      </w:r>
      <w:r w:rsidRPr="00583E1A">
        <w:tab/>
        <w:t>This section applies to:</w:t>
      </w:r>
    </w:p>
    <w:p w:rsidR="004D1701" w:rsidRPr="00583E1A" w:rsidRDefault="004D1701" w:rsidP="004D1701">
      <w:pPr>
        <w:pStyle w:val="paragraph"/>
      </w:pPr>
      <w:r w:rsidRPr="00583E1A">
        <w:tab/>
        <w:t>(a)</w:t>
      </w:r>
      <w:r w:rsidRPr="00583E1A">
        <w:tab/>
        <w:t xml:space="preserve">a payment (the </w:t>
      </w:r>
      <w:r w:rsidRPr="00583E1A">
        <w:rPr>
          <w:b/>
          <w:i/>
        </w:rPr>
        <w:t>first payment</w:t>
      </w:r>
      <w:r w:rsidRPr="00583E1A">
        <w:t xml:space="preserve">) made to a </w:t>
      </w:r>
      <w:r w:rsidR="00583E1A" w:rsidRPr="00583E1A">
        <w:rPr>
          <w:position w:val="6"/>
          <w:sz w:val="16"/>
        </w:rPr>
        <w:t>*</w:t>
      </w:r>
      <w:r w:rsidRPr="00583E1A">
        <w:t xml:space="preserve">custodian in the capacity as </w:t>
      </w:r>
      <w:r w:rsidR="00583E1A" w:rsidRPr="00583E1A">
        <w:rPr>
          <w:position w:val="6"/>
          <w:sz w:val="16"/>
        </w:rPr>
        <w:t>*</w:t>
      </w:r>
      <w:r w:rsidRPr="00583E1A">
        <w:t>agent for another entity; and</w:t>
      </w:r>
    </w:p>
    <w:p w:rsidR="004D1701" w:rsidRPr="00583E1A" w:rsidRDefault="004D1701" w:rsidP="004D1701">
      <w:pPr>
        <w:pStyle w:val="paragraph"/>
      </w:pPr>
      <w:r w:rsidRPr="00583E1A">
        <w:tab/>
        <w:t>(b)</w:t>
      </w:r>
      <w:r w:rsidRPr="00583E1A">
        <w:tab/>
        <w:t>another payment made by the custodian to the extent that it is reasonably attributable to the first payment.</w:t>
      </w:r>
    </w:p>
    <w:p w:rsidR="004D1701" w:rsidRPr="00583E1A" w:rsidRDefault="004D1701" w:rsidP="004D1701">
      <w:pPr>
        <w:pStyle w:val="subsection"/>
      </w:pPr>
      <w:r w:rsidRPr="00583E1A">
        <w:tab/>
        <w:t>(2)</w:t>
      </w:r>
      <w:r w:rsidRPr="00583E1A">
        <w:tab/>
        <w:t xml:space="preserve">This Subdivision has effect as if the </w:t>
      </w:r>
      <w:r w:rsidR="00583E1A" w:rsidRPr="00583E1A">
        <w:rPr>
          <w:position w:val="6"/>
          <w:sz w:val="16"/>
        </w:rPr>
        <w:t>*</w:t>
      </w:r>
      <w:r w:rsidRPr="00583E1A">
        <w:t xml:space="preserve">custodian were not an </w:t>
      </w:r>
      <w:r w:rsidR="00583E1A" w:rsidRPr="00583E1A">
        <w:rPr>
          <w:position w:val="6"/>
          <w:sz w:val="16"/>
        </w:rPr>
        <w:t>*</w:t>
      </w:r>
      <w:r w:rsidRPr="00583E1A">
        <w:t>agent in relation to the payments.</w:t>
      </w:r>
    </w:p>
    <w:p w:rsidR="00DD4DA9" w:rsidRPr="001774E0" w:rsidRDefault="00DD4DA9" w:rsidP="00DD4DA9">
      <w:pPr>
        <w:pStyle w:val="ActHead4"/>
      </w:pPr>
      <w:bookmarkStart w:id="382" w:name="_Toc338939456"/>
      <w:r w:rsidRPr="001774E0">
        <w:rPr>
          <w:rStyle w:val="CharSubdNo"/>
        </w:rPr>
        <w:t>Subdivision 840</w:t>
      </w:r>
      <w:r w:rsidRPr="001774E0">
        <w:rPr>
          <w:rStyle w:val="CharSubdNo"/>
        </w:rPr>
        <w:noBreakHyphen/>
        <w:t>S</w:t>
      </w:r>
      <w:r w:rsidRPr="001774E0">
        <w:t>—</w:t>
      </w:r>
      <w:r w:rsidRPr="001774E0">
        <w:rPr>
          <w:rStyle w:val="CharSubdText"/>
        </w:rPr>
        <w:t>Seasonal Labour Mobility Program withholding tax</w:t>
      </w:r>
      <w:bookmarkEnd w:id="382"/>
    </w:p>
    <w:p w:rsidR="00DD4DA9" w:rsidRPr="001774E0" w:rsidRDefault="00DD4DA9" w:rsidP="00DD4DA9">
      <w:pPr>
        <w:pStyle w:val="ActHead4"/>
      </w:pPr>
      <w:bookmarkStart w:id="383" w:name="_Toc338939457"/>
      <w:r w:rsidRPr="001774E0">
        <w:t>Guide to Subdivision 840</w:t>
      </w:r>
      <w:r w:rsidRPr="001774E0">
        <w:noBreakHyphen/>
        <w:t>S</w:t>
      </w:r>
      <w:bookmarkEnd w:id="383"/>
    </w:p>
    <w:p w:rsidR="00DD4DA9" w:rsidRPr="001774E0" w:rsidRDefault="00DD4DA9" w:rsidP="00DD4DA9">
      <w:pPr>
        <w:pStyle w:val="ActHead5"/>
      </w:pPr>
      <w:bookmarkStart w:id="384" w:name="_Toc338939458"/>
      <w:r w:rsidRPr="001774E0">
        <w:rPr>
          <w:rStyle w:val="CharSectno"/>
        </w:rPr>
        <w:t>840</w:t>
      </w:r>
      <w:r w:rsidRPr="001774E0">
        <w:rPr>
          <w:rStyle w:val="CharSectno"/>
        </w:rPr>
        <w:noBreakHyphen/>
        <w:t>900</w:t>
      </w:r>
      <w:r w:rsidRPr="001774E0">
        <w:t xml:space="preserve">  What this Subdivision is about</w:t>
      </w:r>
      <w:bookmarkEnd w:id="384"/>
    </w:p>
    <w:p w:rsidR="00DD4DA9" w:rsidRPr="001774E0" w:rsidRDefault="00DD4DA9" w:rsidP="00DD4DA9">
      <w:pPr>
        <w:pStyle w:val="BoxText"/>
      </w:pPr>
      <w:r w:rsidRPr="001774E0">
        <w:t>If you are a foreign resident who is employed under the Seasonal Labour Mobility Program, you may be liable to pay income tax on the salary, wages etc. paid to you under that program.</w:t>
      </w:r>
    </w:p>
    <w:p w:rsidR="00DD4DA9" w:rsidRPr="001774E0" w:rsidRDefault="00DD4DA9" w:rsidP="00DD4DA9">
      <w:pPr>
        <w:pStyle w:val="BoxText"/>
      </w:pPr>
      <w:r w:rsidRPr="001774E0">
        <w:lastRenderedPageBreak/>
        <w:t>Amounts on which there is a liability to pay the tax are non</w:t>
      </w:r>
      <w:r w:rsidRPr="001774E0">
        <w:noBreakHyphen/>
        <w:t>assessable non</w:t>
      </w:r>
      <w:r w:rsidRPr="001774E0">
        <w:noBreakHyphen/>
        <w:t>exempt income.</w:t>
      </w:r>
    </w:p>
    <w:p w:rsidR="00DD4DA9" w:rsidRPr="001774E0" w:rsidRDefault="00DD4DA9" w:rsidP="00DD4DA9">
      <w:pPr>
        <w:pStyle w:val="TofSectsHeading"/>
      </w:pPr>
      <w:r w:rsidRPr="001774E0">
        <w:t>Table of sections</w:t>
      </w:r>
    </w:p>
    <w:p w:rsidR="00DD4DA9" w:rsidRPr="001774E0" w:rsidRDefault="00DD4DA9" w:rsidP="00DD4DA9">
      <w:pPr>
        <w:pStyle w:val="TofSectsGroupHeading"/>
      </w:pPr>
      <w:r w:rsidRPr="001774E0">
        <w:t>Operative provisions</w:t>
      </w:r>
    </w:p>
    <w:p w:rsidR="00DD4DA9" w:rsidRPr="001774E0" w:rsidRDefault="00DD4DA9" w:rsidP="00DD4DA9">
      <w:pPr>
        <w:pStyle w:val="TofSectsSection"/>
      </w:pPr>
      <w:r w:rsidRPr="001774E0">
        <w:t>840</w:t>
      </w:r>
      <w:r w:rsidRPr="001774E0">
        <w:noBreakHyphen/>
        <w:t>905</w:t>
      </w:r>
      <w:r w:rsidRPr="001774E0">
        <w:tab/>
        <w:t>Liability for Seasonal Labour Mobility Program withholding tax</w:t>
      </w:r>
    </w:p>
    <w:p w:rsidR="00DD4DA9" w:rsidRPr="001774E0" w:rsidRDefault="00DD4DA9" w:rsidP="00DD4DA9">
      <w:pPr>
        <w:pStyle w:val="TofSectsSection"/>
      </w:pPr>
      <w:r w:rsidRPr="001774E0">
        <w:t>840</w:t>
      </w:r>
      <w:r w:rsidRPr="001774E0">
        <w:noBreakHyphen/>
        <w:t>910</w:t>
      </w:r>
      <w:r w:rsidRPr="001774E0">
        <w:tab/>
        <w:t>When Seasonal Labour Mobility Program withholding tax is payable</w:t>
      </w:r>
    </w:p>
    <w:p w:rsidR="00DD4DA9" w:rsidRPr="001774E0" w:rsidRDefault="00DD4DA9" w:rsidP="00DD4DA9">
      <w:pPr>
        <w:pStyle w:val="TofSectsSection"/>
      </w:pPr>
      <w:r w:rsidRPr="001774E0">
        <w:t>840</w:t>
      </w:r>
      <w:r w:rsidRPr="001774E0">
        <w:noBreakHyphen/>
        <w:t>915</w:t>
      </w:r>
      <w:r w:rsidRPr="001774E0">
        <w:tab/>
        <w:t>Certain income is non</w:t>
      </w:r>
      <w:r w:rsidRPr="001774E0">
        <w:noBreakHyphen/>
        <w:t>assessable non</w:t>
      </w:r>
      <w:r w:rsidRPr="001774E0">
        <w:noBreakHyphen/>
        <w:t>exempt income</w:t>
      </w:r>
    </w:p>
    <w:p w:rsidR="00DD4DA9" w:rsidRPr="001774E0" w:rsidRDefault="00DD4DA9" w:rsidP="00DD4DA9">
      <w:pPr>
        <w:pStyle w:val="TofSectsSection"/>
      </w:pPr>
      <w:r w:rsidRPr="001774E0">
        <w:t>840</w:t>
      </w:r>
      <w:r w:rsidRPr="001774E0">
        <w:noBreakHyphen/>
        <w:t>920</w:t>
      </w:r>
      <w:r w:rsidRPr="001774E0">
        <w:tab/>
        <w:t>Overpayment of Seasonal Labour Mobility Program withholding tax</w:t>
      </w:r>
    </w:p>
    <w:p w:rsidR="00DD4DA9" w:rsidRPr="001774E0" w:rsidRDefault="00DD4DA9" w:rsidP="00DD4DA9">
      <w:pPr>
        <w:pStyle w:val="ActHead4"/>
      </w:pPr>
      <w:bookmarkStart w:id="385" w:name="_Toc338939459"/>
      <w:r w:rsidRPr="001774E0">
        <w:t>Operative provisions</w:t>
      </w:r>
      <w:bookmarkEnd w:id="385"/>
    </w:p>
    <w:p w:rsidR="00DD4DA9" w:rsidRPr="001774E0" w:rsidRDefault="00DD4DA9" w:rsidP="00DD4DA9">
      <w:pPr>
        <w:pStyle w:val="ActHead5"/>
      </w:pPr>
      <w:bookmarkStart w:id="386" w:name="_Toc338939460"/>
      <w:r w:rsidRPr="001774E0">
        <w:rPr>
          <w:rStyle w:val="CharSectno"/>
        </w:rPr>
        <w:t>840</w:t>
      </w:r>
      <w:r w:rsidRPr="001774E0">
        <w:rPr>
          <w:rStyle w:val="CharSectno"/>
        </w:rPr>
        <w:noBreakHyphen/>
        <w:t>905</w:t>
      </w:r>
      <w:r w:rsidRPr="001774E0">
        <w:t xml:space="preserve">  Liability for Seasonal Labour Mobility Program withholding tax</w:t>
      </w:r>
      <w:bookmarkEnd w:id="386"/>
    </w:p>
    <w:p w:rsidR="00DD4DA9" w:rsidRPr="001774E0" w:rsidRDefault="00DD4DA9" w:rsidP="00DD4DA9">
      <w:pPr>
        <w:pStyle w:val="subsection"/>
      </w:pPr>
      <w:r w:rsidRPr="001774E0">
        <w:tab/>
      </w:r>
      <w:r w:rsidRPr="001774E0">
        <w:tab/>
        <w:t>You are liable to pay income tax at the rate declared by the Parliament on income:</w:t>
      </w:r>
    </w:p>
    <w:p w:rsidR="00DD4DA9" w:rsidRPr="001774E0" w:rsidRDefault="00DD4DA9" w:rsidP="00DD4DA9">
      <w:pPr>
        <w:pStyle w:val="paragraph"/>
      </w:pPr>
      <w:r w:rsidRPr="001774E0">
        <w:tab/>
        <w:t>(a)</w:t>
      </w:r>
      <w:r w:rsidRPr="001774E0">
        <w:tab/>
        <w:t>that is salary, wages, commission, bonuses or allowances paid to you as an employee of an Approved Employer under the Seasonal Labour Mobility Program; and</w:t>
      </w:r>
    </w:p>
    <w:p w:rsidR="00DD4DA9" w:rsidRPr="001774E0" w:rsidRDefault="00DD4DA9" w:rsidP="00DD4DA9">
      <w:pPr>
        <w:pStyle w:val="paragraph"/>
      </w:pPr>
      <w:r w:rsidRPr="001774E0">
        <w:tab/>
        <w:t>(b)</w:t>
      </w:r>
      <w:r w:rsidRPr="001774E0">
        <w:tab/>
        <w:t xml:space="preserve">that you </w:t>
      </w:r>
      <w:r w:rsidRPr="001774E0">
        <w:rPr>
          <w:position w:val="6"/>
          <w:sz w:val="16"/>
        </w:rPr>
        <w:t>*</w:t>
      </w:r>
      <w:r w:rsidRPr="001774E0">
        <w:t>derive at a time when:</w:t>
      </w:r>
    </w:p>
    <w:p w:rsidR="00DD4DA9" w:rsidRPr="001774E0" w:rsidRDefault="00DD4DA9" w:rsidP="00DD4DA9">
      <w:pPr>
        <w:pStyle w:val="paragraphsub"/>
      </w:pPr>
      <w:r w:rsidRPr="001774E0">
        <w:tab/>
        <w:t>(i)</w:t>
      </w:r>
      <w:r w:rsidRPr="001774E0">
        <w:tab/>
        <w:t>you are a foreign resident; and</w:t>
      </w:r>
    </w:p>
    <w:p w:rsidR="00DD4DA9" w:rsidRPr="001774E0" w:rsidRDefault="00DD4DA9" w:rsidP="00DD4DA9">
      <w:pPr>
        <w:pStyle w:val="paragraphsub"/>
      </w:pPr>
      <w:r w:rsidRPr="001774E0">
        <w:tab/>
        <w:t>(ii)</w:t>
      </w:r>
      <w:r w:rsidRPr="001774E0">
        <w:tab/>
        <w:t>you hold a Special Program Visa (subclass 416).</w:t>
      </w:r>
    </w:p>
    <w:p w:rsidR="00DD4DA9" w:rsidRPr="001774E0" w:rsidRDefault="00DD4DA9" w:rsidP="00DD4DA9">
      <w:pPr>
        <w:pStyle w:val="notetext"/>
      </w:pPr>
      <w:r w:rsidRPr="001774E0">
        <w:t>Note 1:</w:t>
      </w:r>
      <w:r w:rsidRPr="001774E0">
        <w:tab/>
        <w:t xml:space="preserve">The tax, which is called Seasonal Labour Mobility Program withholding tax, is imposed by the </w:t>
      </w:r>
      <w:r w:rsidRPr="001774E0">
        <w:rPr>
          <w:i/>
        </w:rPr>
        <w:t>Income Tax (Seasonal Labour Mobility Program Withholding Tax) Act 2012</w:t>
      </w:r>
      <w:r w:rsidRPr="001774E0">
        <w:t xml:space="preserve"> and the rate of the tax is set out in that Act.</w:t>
      </w:r>
    </w:p>
    <w:p w:rsidR="00DD4DA9" w:rsidRPr="001774E0" w:rsidRDefault="00DD4DA9" w:rsidP="00DD4DA9">
      <w:pPr>
        <w:pStyle w:val="notetext"/>
      </w:pPr>
      <w:r w:rsidRPr="001774E0">
        <w:t>Note 2:</w:t>
      </w:r>
      <w:r w:rsidRPr="001774E0">
        <w:tab/>
        <w:t>See Subdivision 12</w:t>
      </w:r>
      <w:r w:rsidRPr="001774E0">
        <w:noBreakHyphen/>
        <w:t xml:space="preserve">FC in Schedule 1 to the </w:t>
      </w:r>
      <w:r w:rsidRPr="001774E0">
        <w:rPr>
          <w:i/>
        </w:rPr>
        <w:t>Taxation Administration Act 1953</w:t>
      </w:r>
      <w:r w:rsidRPr="001774E0">
        <w:t xml:space="preserve"> for provisions dealing with withholding from the salary, wages etc. You are entitled to a credit under section 18</w:t>
      </w:r>
      <w:r w:rsidRPr="001774E0">
        <w:noBreakHyphen/>
        <w:t>33 in that Schedule for amounts withheld from your salary, wages etc. under that Subdivision.</w:t>
      </w:r>
    </w:p>
    <w:p w:rsidR="00DD4DA9" w:rsidRPr="001774E0" w:rsidRDefault="00DD4DA9" w:rsidP="00DD4DA9">
      <w:pPr>
        <w:pStyle w:val="ActHead5"/>
      </w:pPr>
      <w:bookmarkStart w:id="387" w:name="_Toc338939461"/>
      <w:r w:rsidRPr="001774E0">
        <w:rPr>
          <w:rStyle w:val="CharSectno"/>
        </w:rPr>
        <w:lastRenderedPageBreak/>
        <w:t>840</w:t>
      </w:r>
      <w:r w:rsidRPr="001774E0">
        <w:rPr>
          <w:rStyle w:val="CharSectno"/>
        </w:rPr>
        <w:noBreakHyphen/>
        <w:t>910</w:t>
      </w:r>
      <w:r w:rsidRPr="001774E0">
        <w:t xml:space="preserve">  When Seasonal Labour Mobility Program withholding tax is payable</w:t>
      </w:r>
      <w:bookmarkEnd w:id="387"/>
    </w:p>
    <w:p w:rsidR="00DD4DA9" w:rsidRPr="001774E0" w:rsidRDefault="00DD4DA9" w:rsidP="00DD4DA9">
      <w:pPr>
        <w:pStyle w:val="subsection"/>
      </w:pPr>
      <w:r w:rsidRPr="001774E0">
        <w:tab/>
        <w:t>(1)</w:t>
      </w:r>
      <w:r w:rsidRPr="001774E0">
        <w:tab/>
      </w:r>
      <w:r w:rsidRPr="001774E0">
        <w:rPr>
          <w:position w:val="6"/>
          <w:sz w:val="16"/>
        </w:rPr>
        <w:t>*</w:t>
      </w:r>
      <w:r w:rsidRPr="001774E0">
        <w:t xml:space="preserve">Seasonal Labour Mobility Program withholding tax is due and payable by you at the end of 21 days after the end of the income year in which you </w:t>
      </w:r>
      <w:r w:rsidRPr="001774E0">
        <w:rPr>
          <w:position w:val="6"/>
          <w:sz w:val="16"/>
        </w:rPr>
        <w:t>*</w:t>
      </w:r>
      <w:r w:rsidRPr="001774E0">
        <w:t>derived the income to which the tax relates.</w:t>
      </w:r>
    </w:p>
    <w:p w:rsidR="00DD4DA9" w:rsidRPr="001774E0" w:rsidRDefault="00DD4DA9" w:rsidP="00DD4DA9">
      <w:pPr>
        <w:pStyle w:val="subsection"/>
      </w:pPr>
      <w:r w:rsidRPr="001774E0">
        <w:tab/>
        <w:t>(2)</w:t>
      </w:r>
      <w:r w:rsidRPr="001774E0">
        <w:tab/>
        <w:t xml:space="preserve">If any of the </w:t>
      </w:r>
      <w:r w:rsidRPr="001774E0">
        <w:rPr>
          <w:position w:val="6"/>
          <w:sz w:val="16"/>
        </w:rPr>
        <w:t>*</w:t>
      </w:r>
      <w:r w:rsidRPr="001774E0">
        <w:t xml:space="preserve">Seasonal Labour Mobility Program withholding tax that you are liable to pay remains unpaid after the time by which it is due to be paid, you are liable to pay the </w:t>
      </w:r>
      <w:r w:rsidRPr="001774E0">
        <w:rPr>
          <w:position w:val="6"/>
          <w:sz w:val="16"/>
        </w:rPr>
        <w:t>*</w:t>
      </w:r>
      <w:r w:rsidRPr="001774E0">
        <w:t>general interest charge on the unpaid amount for each day in the period that:</w:t>
      </w:r>
    </w:p>
    <w:p w:rsidR="00DD4DA9" w:rsidRPr="001774E0" w:rsidRDefault="00DD4DA9" w:rsidP="00DD4DA9">
      <w:pPr>
        <w:pStyle w:val="paragraph"/>
      </w:pPr>
      <w:r w:rsidRPr="001774E0">
        <w:tab/>
        <w:t>(a)</w:t>
      </w:r>
      <w:r w:rsidRPr="001774E0">
        <w:tab/>
        <w:t>starts at the beginning of the day by which the withholding tax was due to be paid; and</w:t>
      </w:r>
    </w:p>
    <w:p w:rsidR="00DD4DA9" w:rsidRPr="001774E0" w:rsidRDefault="00DD4DA9" w:rsidP="00DD4DA9">
      <w:pPr>
        <w:pStyle w:val="paragraph"/>
      </w:pPr>
      <w:r w:rsidRPr="001774E0">
        <w:tab/>
        <w:t>(b)</w:t>
      </w:r>
      <w:r w:rsidRPr="001774E0">
        <w:tab/>
        <w:t>ends at the end of the last day on which, at the end of the day, any of the following remains unpaid:</w:t>
      </w:r>
    </w:p>
    <w:p w:rsidR="00DD4DA9" w:rsidRPr="001774E0" w:rsidRDefault="00DD4DA9" w:rsidP="00DD4DA9">
      <w:pPr>
        <w:pStyle w:val="paragraphsub"/>
      </w:pPr>
      <w:r w:rsidRPr="001774E0">
        <w:tab/>
        <w:t>(i)</w:t>
      </w:r>
      <w:r w:rsidRPr="001774E0">
        <w:tab/>
        <w:t>the withholding tax;</w:t>
      </w:r>
    </w:p>
    <w:p w:rsidR="00DD4DA9" w:rsidRPr="001774E0" w:rsidRDefault="00DD4DA9" w:rsidP="00DD4DA9">
      <w:pPr>
        <w:pStyle w:val="paragraphsub"/>
      </w:pPr>
      <w:r w:rsidRPr="001774E0">
        <w:tab/>
        <w:t>(ii)</w:t>
      </w:r>
      <w:r w:rsidRPr="001774E0">
        <w:tab/>
        <w:t>general interest charge on any of the withholding tax.</w:t>
      </w:r>
    </w:p>
    <w:p w:rsidR="00DD4DA9" w:rsidRPr="001774E0" w:rsidRDefault="00DD4DA9" w:rsidP="00DD4DA9">
      <w:pPr>
        <w:pStyle w:val="notetext"/>
      </w:pPr>
      <w:r w:rsidRPr="001774E0">
        <w:t>Note:</w:t>
      </w:r>
      <w:r w:rsidRPr="001774E0">
        <w:tab/>
        <w:t xml:space="preserve">The general interest charge is worked out under Part IIA of the </w:t>
      </w:r>
      <w:r w:rsidRPr="001774E0">
        <w:rPr>
          <w:i/>
        </w:rPr>
        <w:t>Taxation Administration Act 1953</w:t>
      </w:r>
      <w:r w:rsidRPr="001774E0">
        <w:t>.</w:t>
      </w:r>
    </w:p>
    <w:p w:rsidR="00DD4DA9" w:rsidRPr="001774E0" w:rsidRDefault="00DD4DA9" w:rsidP="00DD4DA9">
      <w:pPr>
        <w:pStyle w:val="subsection"/>
      </w:pPr>
      <w:r w:rsidRPr="001774E0">
        <w:tab/>
        <w:t>(3)</w:t>
      </w:r>
      <w:r w:rsidRPr="001774E0">
        <w:tab/>
        <w:t>The Commissioner may give you a notice specifying:</w:t>
      </w:r>
    </w:p>
    <w:p w:rsidR="00DD4DA9" w:rsidRPr="001774E0" w:rsidRDefault="00DD4DA9" w:rsidP="00DD4DA9">
      <w:pPr>
        <w:pStyle w:val="paragraph"/>
      </w:pPr>
      <w:r w:rsidRPr="001774E0">
        <w:tab/>
        <w:t>(a)</w:t>
      </w:r>
      <w:r w:rsidRPr="001774E0">
        <w:tab/>
        <w:t xml:space="preserve">the amount of any </w:t>
      </w:r>
      <w:r w:rsidRPr="001774E0">
        <w:rPr>
          <w:position w:val="6"/>
          <w:sz w:val="16"/>
        </w:rPr>
        <w:t>*</w:t>
      </w:r>
      <w:r w:rsidRPr="001774E0">
        <w:t>Seasonal Labour Mobility Program withholding tax that the Commissioner has ascertained is payable by you; and</w:t>
      </w:r>
    </w:p>
    <w:p w:rsidR="00DD4DA9" w:rsidRPr="001774E0" w:rsidRDefault="00DD4DA9" w:rsidP="00DD4DA9">
      <w:pPr>
        <w:pStyle w:val="paragraph"/>
      </w:pPr>
      <w:r w:rsidRPr="001774E0">
        <w:tab/>
        <w:t>(b)</w:t>
      </w:r>
      <w:r w:rsidRPr="001774E0">
        <w:tab/>
        <w:t>the day on which that tax became due and payable.</w:t>
      </w:r>
    </w:p>
    <w:p w:rsidR="00DD4DA9" w:rsidRPr="001774E0" w:rsidRDefault="00DD4DA9" w:rsidP="00DD4DA9">
      <w:pPr>
        <w:pStyle w:val="subsection"/>
      </w:pPr>
      <w:r w:rsidRPr="001774E0">
        <w:tab/>
        <w:t>(4)</w:t>
      </w:r>
      <w:r w:rsidRPr="001774E0">
        <w:tab/>
        <w:t xml:space="preserve">The ascertainment of an amount of </w:t>
      </w:r>
      <w:r w:rsidRPr="001774E0">
        <w:rPr>
          <w:position w:val="6"/>
          <w:sz w:val="16"/>
        </w:rPr>
        <w:t>*</w:t>
      </w:r>
      <w:r w:rsidRPr="001774E0">
        <w:t>Seasonal Labour Mobility Program withholding tax is not an assessment for the purposes of this Act.</w:t>
      </w:r>
    </w:p>
    <w:p w:rsidR="00DD4DA9" w:rsidRPr="001774E0" w:rsidRDefault="00DD4DA9" w:rsidP="00DD4DA9">
      <w:pPr>
        <w:pStyle w:val="subsection"/>
      </w:pPr>
      <w:r w:rsidRPr="001774E0">
        <w:tab/>
        <w:t>(5)</w:t>
      </w:r>
      <w:r w:rsidRPr="001774E0">
        <w:tab/>
        <w:t>The production of a notice given under subsection (3), or of a copy of it certified by or on behalf of the Commissioner, is, except in proceedings under Part IVC of this Act on a review or appeal relating to the notice, conclusive evidence that the notice was given and of the particulars in it.</w:t>
      </w:r>
    </w:p>
    <w:p w:rsidR="00DD4DA9" w:rsidRPr="001774E0" w:rsidRDefault="00DD4DA9" w:rsidP="00DD4DA9">
      <w:pPr>
        <w:pStyle w:val="subsection"/>
      </w:pPr>
      <w:r w:rsidRPr="001774E0">
        <w:tab/>
        <w:t>(6)</w:t>
      </w:r>
      <w:r w:rsidRPr="001774E0">
        <w:tab/>
        <w:t xml:space="preserve">You may object, in the manner set out in Part IVC of the </w:t>
      </w:r>
      <w:r w:rsidRPr="001774E0">
        <w:rPr>
          <w:i/>
        </w:rPr>
        <w:t>Taxation Administration Act 1953,</w:t>
      </w:r>
      <w:r w:rsidRPr="001774E0">
        <w:t xml:space="preserve"> against a notice given to you under subsection (3) of this section, if you are dissatisfied with the notice.</w:t>
      </w:r>
    </w:p>
    <w:p w:rsidR="00DD4DA9" w:rsidRPr="001774E0" w:rsidRDefault="00DD4DA9" w:rsidP="00DD4DA9">
      <w:pPr>
        <w:pStyle w:val="ActHead5"/>
      </w:pPr>
      <w:bookmarkStart w:id="388" w:name="_Toc338939462"/>
      <w:r w:rsidRPr="001774E0">
        <w:rPr>
          <w:rStyle w:val="CharSectno"/>
        </w:rPr>
        <w:lastRenderedPageBreak/>
        <w:t>840</w:t>
      </w:r>
      <w:r w:rsidRPr="001774E0">
        <w:rPr>
          <w:rStyle w:val="CharSectno"/>
        </w:rPr>
        <w:noBreakHyphen/>
        <w:t>915</w:t>
      </w:r>
      <w:r w:rsidRPr="001774E0">
        <w:t xml:space="preserve">  Certain income is non</w:t>
      </w:r>
      <w:r w:rsidRPr="001774E0">
        <w:noBreakHyphen/>
        <w:t>assessable non</w:t>
      </w:r>
      <w:r w:rsidRPr="001774E0">
        <w:noBreakHyphen/>
        <w:t>exempt income</w:t>
      </w:r>
      <w:bookmarkEnd w:id="388"/>
    </w:p>
    <w:p w:rsidR="00DD4DA9" w:rsidRPr="001774E0" w:rsidRDefault="00DD4DA9" w:rsidP="00DD4DA9">
      <w:pPr>
        <w:pStyle w:val="subsection"/>
      </w:pPr>
      <w:r w:rsidRPr="001774E0">
        <w:tab/>
      </w:r>
      <w:r w:rsidRPr="001774E0">
        <w:tab/>
        <w:t xml:space="preserve">An amount on which </w:t>
      </w:r>
      <w:r w:rsidRPr="001774E0">
        <w:rPr>
          <w:position w:val="6"/>
          <w:sz w:val="16"/>
        </w:rPr>
        <w:t>*</w:t>
      </w:r>
      <w:r w:rsidRPr="001774E0">
        <w:t xml:space="preserve">Seasonal Labour Mobility Program withholding tax is payable is not assessable income and is not </w:t>
      </w:r>
      <w:r w:rsidRPr="001774E0">
        <w:rPr>
          <w:position w:val="6"/>
          <w:sz w:val="16"/>
        </w:rPr>
        <w:t>*</w:t>
      </w:r>
      <w:r w:rsidRPr="001774E0">
        <w:t>exempt income.</w:t>
      </w:r>
    </w:p>
    <w:p w:rsidR="00DD4DA9" w:rsidRPr="001774E0" w:rsidRDefault="00DD4DA9" w:rsidP="00DD4DA9">
      <w:pPr>
        <w:pStyle w:val="ActHead5"/>
      </w:pPr>
      <w:bookmarkStart w:id="389" w:name="_Toc338939463"/>
      <w:r w:rsidRPr="001774E0">
        <w:rPr>
          <w:rStyle w:val="CharSectno"/>
        </w:rPr>
        <w:t>840</w:t>
      </w:r>
      <w:r w:rsidRPr="001774E0">
        <w:rPr>
          <w:rStyle w:val="CharSectno"/>
        </w:rPr>
        <w:noBreakHyphen/>
        <w:t>920</w:t>
      </w:r>
      <w:r w:rsidRPr="001774E0">
        <w:t xml:space="preserve">  Overpayment of Seasonal Labour Mobility Program withholding tax</w:t>
      </w:r>
      <w:bookmarkEnd w:id="389"/>
    </w:p>
    <w:p w:rsidR="00DD4DA9" w:rsidRPr="001774E0" w:rsidRDefault="00DD4DA9" w:rsidP="00DD4DA9">
      <w:pPr>
        <w:pStyle w:val="subsection"/>
      </w:pPr>
      <w:r w:rsidRPr="001774E0">
        <w:tab/>
      </w:r>
      <w:r w:rsidRPr="001774E0">
        <w:tab/>
        <w:t xml:space="preserve">If </w:t>
      </w:r>
      <w:r w:rsidRPr="001774E0">
        <w:rPr>
          <w:position w:val="6"/>
          <w:sz w:val="16"/>
        </w:rPr>
        <w:t>*</w:t>
      </w:r>
      <w:r w:rsidRPr="001774E0">
        <w:t>Seasonal Labour Mobility Program withholding tax has been overpaid:</w:t>
      </w:r>
    </w:p>
    <w:p w:rsidR="00DD4DA9" w:rsidRPr="001774E0" w:rsidRDefault="00DD4DA9" w:rsidP="00DD4DA9">
      <w:pPr>
        <w:pStyle w:val="paragraph"/>
      </w:pPr>
      <w:r w:rsidRPr="001774E0">
        <w:tab/>
        <w:t>(a)</w:t>
      </w:r>
      <w:r w:rsidRPr="001774E0">
        <w:tab/>
        <w:t>the Commissioner must refund the amount overpaid; and</w:t>
      </w:r>
    </w:p>
    <w:p w:rsidR="00DD4DA9" w:rsidRPr="001774E0" w:rsidRDefault="00DD4DA9" w:rsidP="00DD4DA9">
      <w:pPr>
        <w:pStyle w:val="paragraph"/>
      </w:pPr>
      <w:r w:rsidRPr="001774E0">
        <w:tab/>
        <w:t>(b)</w:t>
      </w:r>
      <w:r w:rsidRPr="001774E0">
        <w:tab/>
        <w:t>the employee is not entitled to a credit under section 18</w:t>
      </w:r>
      <w:r w:rsidRPr="001774E0">
        <w:noBreakHyphen/>
        <w:t xml:space="preserve">33 in Schedule 1 to the </w:t>
      </w:r>
      <w:r w:rsidRPr="001774E0">
        <w:rPr>
          <w:i/>
        </w:rPr>
        <w:t>Taxation Administration Act 1953</w:t>
      </w:r>
      <w:r w:rsidRPr="001774E0">
        <w:t xml:space="preserve"> in respect of the amount overpaid.</w:t>
      </w:r>
    </w:p>
    <w:p w:rsidR="004D1701" w:rsidRPr="00583E1A" w:rsidRDefault="004D1701" w:rsidP="004D1701">
      <w:pPr>
        <w:pStyle w:val="PageBreak"/>
      </w:pPr>
      <w:r w:rsidRPr="00583E1A">
        <w:br w:type="page"/>
      </w:r>
    </w:p>
    <w:p w:rsidR="00390983" w:rsidRPr="00583E1A" w:rsidRDefault="00390983" w:rsidP="004D1701">
      <w:pPr>
        <w:pStyle w:val="ActHead3"/>
      </w:pPr>
      <w:bookmarkStart w:id="390" w:name="_Toc338939464"/>
      <w:r w:rsidRPr="00583E1A">
        <w:rPr>
          <w:rStyle w:val="CharDivNo"/>
        </w:rPr>
        <w:lastRenderedPageBreak/>
        <w:t>Division</w:t>
      </w:r>
      <w:r w:rsidR="00583E1A">
        <w:rPr>
          <w:rStyle w:val="CharDivNo"/>
        </w:rPr>
        <w:t> </w:t>
      </w:r>
      <w:r w:rsidRPr="00583E1A">
        <w:rPr>
          <w:rStyle w:val="CharDivNo"/>
        </w:rPr>
        <w:t>842</w:t>
      </w:r>
      <w:r w:rsidRPr="00583E1A">
        <w:t>—</w:t>
      </w:r>
      <w:r w:rsidRPr="00583E1A">
        <w:rPr>
          <w:rStyle w:val="CharDivText"/>
        </w:rPr>
        <w:t>Exempt Australian source income and gains of foreign residents</w:t>
      </w:r>
      <w:bookmarkEnd w:id="390"/>
    </w:p>
    <w:p w:rsidR="00390983" w:rsidRPr="00583E1A" w:rsidRDefault="00390983" w:rsidP="00390983">
      <w:pPr>
        <w:pStyle w:val="TofSectsHeading"/>
      </w:pPr>
      <w:r w:rsidRPr="00583E1A">
        <w:t>Table of Subdivisions</w:t>
      </w:r>
    </w:p>
    <w:p w:rsidR="00390983" w:rsidRDefault="00390983" w:rsidP="00390983">
      <w:pPr>
        <w:pStyle w:val="TofSectsSubdiv"/>
      </w:pPr>
      <w:r w:rsidRPr="00583E1A">
        <w:t>842</w:t>
      </w:r>
      <w:r w:rsidR="00583E1A">
        <w:noBreakHyphen/>
      </w:r>
      <w:r w:rsidRPr="00583E1A">
        <w:t>B</w:t>
      </w:r>
      <w:r w:rsidRPr="00583E1A">
        <w:tab/>
        <w:t>Some items of Australian source income of foreign residents that are exempt from income tax</w:t>
      </w:r>
    </w:p>
    <w:p w:rsidR="00506F4C" w:rsidRPr="00583E1A" w:rsidRDefault="00506F4C" w:rsidP="00390983">
      <w:pPr>
        <w:pStyle w:val="TofSectsSubdiv"/>
      </w:pPr>
      <w:r w:rsidRPr="00506F4C">
        <w:t>842</w:t>
      </w:r>
      <w:r w:rsidRPr="00506F4C">
        <w:noBreakHyphen/>
        <w:t>I</w:t>
      </w:r>
      <w:r w:rsidRPr="00583E1A">
        <w:tab/>
      </w:r>
      <w:r w:rsidRPr="00506F4C">
        <w:t>Investment manager regime</w:t>
      </w:r>
    </w:p>
    <w:p w:rsidR="00390983" w:rsidRPr="00583E1A" w:rsidRDefault="00390983" w:rsidP="00390983">
      <w:pPr>
        <w:pStyle w:val="ActHead4"/>
      </w:pPr>
      <w:bookmarkStart w:id="391" w:name="_Toc338939465"/>
      <w:r w:rsidRPr="00583E1A">
        <w:rPr>
          <w:rStyle w:val="CharSubdNo"/>
        </w:rPr>
        <w:t>Subdivision</w:t>
      </w:r>
      <w:r w:rsidR="00583E1A">
        <w:rPr>
          <w:rStyle w:val="CharSubdNo"/>
        </w:rPr>
        <w:t> </w:t>
      </w:r>
      <w:r w:rsidRPr="00583E1A">
        <w:rPr>
          <w:rStyle w:val="CharSubdNo"/>
        </w:rPr>
        <w:t>842</w:t>
      </w:r>
      <w:r w:rsidR="00583E1A">
        <w:rPr>
          <w:rStyle w:val="CharSubdNo"/>
        </w:rPr>
        <w:noBreakHyphen/>
      </w:r>
      <w:r w:rsidRPr="00583E1A">
        <w:rPr>
          <w:rStyle w:val="CharSubdNo"/>
        </w:rPr>
        <w:t>B</w:t>
      </w:r>
      <w:r w:rsidRPr="00583E1A">
        <w:t>—</w:t>
      </w:r>
      <w:r w:rsidRPr="00583E1A">
        <w:rPr>
          <w:rStyle w:val="CharSubdText"/>
        </w:rPr>
        <w:t>Some items of Australian source income of foreign residents that are exempt from income tax</w:t>
      </w:r>
      <w:bookmarkEnd w:id="391"/>
    </w:p>
    <w:p w:rsidR="00390983" w:rsidRPr="00583E1A" w:rsidRDefault="00390983" w:rsidP="00390983">
      <w:pPr>
        <w:pStyle w:val="ActHead4"/>
      </w:pPr>
      <w:bookmarkStart w:id="392" w:name="_Toc338939466"/>
      <w:r w:rsidRPr="00583E1A">
        <w:t>Guide to Subdivision</w:t>
      </w:r>
      <w:r w:rsidR="00583E1A">
        <w:t> </w:t>
      </w:r>
      <w:r w:rsidRPr="00583E1A">
        <w:t>842</w:t>
      </w:r>
      <w:r w:rsidR="00583E1A">
        <w:noBreakHyphen/>
      </w:r>
      <w:r w:rsidRPr="00583E1A">
        <w:t>B</w:t>
      </w:r>
      <w:bookmarkEnd w:id="392"/>
    </w:p>
    <w:p w:rsidR="00390983" w:rsidRPr="00583E1A" w:rsidRDefault="00390983" w:rsidP="00390983">
      <w:pPr>
        <w:pStyle w:val="ActHead5"/>
      </w:pPr>
      <w:bookmarkStart w:id="393" w:name="_Toc338939467"/>
      <w:r w:rsidRPr="00583E1A">
        <w:rPr>
          <w:rStyle w:val="CharSectno"/>
        </w:rPr>
        <w:t>842</w:t>
      </w:r>
      <w:r w:rsidR="00583E1A">
        <w:rPr>
          <w:rStyle w:val="CharSectno"/>
        </w:rPr>
        <w:noBreakHyphen/>
      </w:r>
      <w:r w:rsidRPr="00583E1A">
        <w:rPr>
          <w:rStyle w:val="CharSectno"/>
        </w:rPr>
        <w:t>100</w:t>
      </w:r>
      <w:r w:rsidRPr="00583E1A">
        <w:t xml:space="preserve">  What this Subdivision is about</w:t>
      </w:r>
      <w:bookmarkEnd w:id="393"/>
    </w:p>
    <w:p w:rsidR="00390983" w:rsidRPr="00583E1A" w:rsidRDefault="00390983" w:rsidP="00390983">
      <w:pPr>
        <w:pStyle w:val="BoxText"/>
      </w:pPr>
      <w:r w:rsidRPr="00583E1A">
        <w:t xml:space="preserve">If you are a foreign resident, some of the income you derive while in </w:t>
      </w:r>
      <w:smartTag w:uri="urn:schemas-microsoft-com:office:smarttags" w:element="country-region">
        <w:smartTag w:uri="urn:schemas-microsoft-com:office:smarttags" w:element="place">
          <w:r w:rsidRPr="00583E1A">
            <w:t>Australia</w:t>
          </w:r>
        </w:smartTag>
      </w:smartTag>
      <w:r w:rsidRPr="00583E1A">
        <w:t>, or from Australian sources, may be exempt income.</w:t>
      </w:r>
    </w:p>
    <w:p w:rsidR="00390983" w:rsidRPr="00583E1A" w:rsidRDefault="00390983" w:rsidP="00390983">
      <w:pPr>
        <w:pStyle w:val="TofSectsHeading"/>
      </w:pPr>
      <w:r w:rsidRPr="00583E1A">
        <w:t>Table of sections</w:t>
      </w:r>
    </w:p>
    <w:p w:rsidR="00390983" w:rsidRPr="00583E1A" w:rsidRDefault="00390983" w:rsidP="00390983">
      <w:pPr>
        <w:pStyle w:val="TofSectsSection"/>
      </w:pPr>
      <w:r w:rsidRPr="00583E1A">
        <w:t>842</w:t>
      </w:r>
      <w:r w:rsidR="00583E1A">
        <w:noBreakHyphen/>
      </w:r>
      <w:r w:rsidRPr="00583E1A">
        <w:t>105</w:t>
      </w:r>
      <w:r w:rsidRPr="00583E1A">
        <w:tab/>
        <w:t>Amounts of Australian source ordinary income and statutory income that are exempt</w:t>
      </w:r>
    </w:p>
    <w:p w:rsidR="00390983" w:rsidRPr="00583E1A" w:rsidRDefault="00390983" w:rsidP="00390983">
      <w:pPr>
        <w:pStyle w:val="ActHead5"/>
      </w:pPr>
      <w:bookmarkStart w:id="394" w:name="_Toc338939468"/>
      <w:r w:rsidRPr="00583E1A">
        <w:rPr>
          <w:rStyle w:val="CharSectno"/>
        </w:rPr>
        <w:t>842</w:t>
      </w:r>
      <w:r w:rsidR="00583E1A">
        <w:rPr>
          <w:rStyle w:val="CharSectno"/>
        </w:rPr>
        <w:noBreakHyphen/>
      </w:r>
      <w:r w:rsidRPr="00583E1A">
        <w:rPr>
          <w:rStyle w:val="CharSectno"/>
        </w:rPr>
        <w:t>105</w:t>
      </w:r>
      <w:r w:rsidRPr="00583E1A">
        <w:t xml:space="preserve">  Amounts of Australian source ordinary income and statutory income that are exempt</w:t>
      </w:r>
      <w:bookmarkEnd w:id="394"/>
    </w:p>
    <w:p w:rsidR="00390983" w:rsidRPr="00583E1A" w:rsidRDefault="00390983" w:rsidP="00390983">
      <w:pPr>
        <w:pStyle w:val="subsection"/>
        <w:keepNext/>
      </w:pPr>
      <w:r w:rsidRPr="00583E1A">
        <w:tab/>
      </w:r>
      <w:r w:rsidRPr="00583E1A">
        <w:tab/>
        <w:t xml:space="preserve">The amounts of </w:t>
      </w:r>
      <w:r w:rsidR="00583E1A" w:rsidRPr="00583E1A">
        <w:rPr>
          <w:position w:val="6"/>
          <w:sz w:val="16"/>
          <w:szCs w:val="16"/>
        </w:rPr>
        <w:t>*</w:t>
      </w:r>
      <w:r w:rsidRPr="00583E1A">
        <w:t xml:space="preserve">ordinary income and </w:t>
      </w:r>
      <w:r w:rsidR="00583E1A" w:rsidRPr="00583E1A">
        <w:rPr>
          <w:position w:val="6"/>
          <w:sz w:val="16"/>
          <w:szCs w:val="16"/>
        </w:rPr>
        <w:t>*</w:t>
      </w:r>
      <w:r w:rsidRPr="00583E1A">
        <w:t>statutory income covered by the table are exempt from income tax. In some cases, the exemption is subject to exceptions or special conditions, or both.</w:t>
      </w:r>
    </w:p>
    <w:p w:rsidR="00390983" w:rsidRPr="00583E1A" w:rsidRDefault="00390983" w:rsidP="00390983">
      <w:pPr>
        <w:pStyle w:val="notetext"/>
        <w:keepNext/>
      </w:pPr>
      <w:r w:rsidRPr="00583E1A">
        <w:t>Note 1:</w:t>
      </w:r>
      <w:r w:rsidRPr="00583E1A">
        <w:tab/>
        <w:t>Ordinary and statutory income that is exempt from income tax is called exempt income: see section</w:t>
      </w:r>
      <w:r w:rsidR="00583E1A">
        <w:t> </w:t>
      </w:r>
      <w:r w:rsidRPr="00583E1A">
        <w:t>6</w:t>
      </w:r>
      <w:r w:rsidR="00583E1A">
        <w:noBreakHyphen/>
      </w:r>
      <w:r w:rsidRPr="00583E1A">
        <w:t>20. The note to subsection 6</w:t>
      </w:r>
      <w:r w:rsidR="00583E1A">
        <w:noBreakHyphen/>
      </w:r>
      <w:r w:rsidRPr="00583E1A">
        <w:t>15(2) describes some of the other consequences of it being exempt income.</w:t>
      </w:r>
    </w:p>
    <w:p w:rsidR="00390983" w:rsidRPr="00583E1A" w:rsidRDefault="00390983" w:rsidP="00390983">
      <w:pPr>
        <w:pStyle w:val="notetext"/>
        <w:ind w:right="283"/>
      </w:pPr>
      <w:r w:rsidRPr="00583E1A">
        <w:t>Note 2:</w:t>
      </w:r>
      <w:r w:rsidRPr="00583E1A">
        <w:tab/>
        <w:t>Even if an exempt payment is made to you, the Commissioner can still require you to lodge an income tax return or information under section</w:t>
      </w:r>
      <w:r w:rsidR="00583E1A">
        <w:t> </w:t>
      </w:r>
      <w:r w:rsidRPr="00583E1A">
        <w:t xml:space="preserve">161 of the </w:t>
      </w:r>
      <w:r w:rsidRPr="00583E1A">
        <w:rPr>
          <w:i/>
          <w:iCs/>
        </w:rPr>
        <w:t>Income Tax Assessment Act 1936</w:t>
      </w:r>
      <w:r w:rsidRPr="00583E1A">
        <w:t>.</w:t>
      </w:r>
    </w:p>
    <w:p w:rsidR="00390983" w:rsidRPr="00583E1A" w:rsidRDefault="00390983" w:rsidP="00390983">
      <w:pPr>
        <w:pStyle w:val="Tabletext"/>
      </w:pPr>
    </w:p>
    <w:tbl>
      <w:tblPr>
        <w:tblW w:w="0" w:type="auto"/>
        <w:tblInd w:w="135" w:type="dxa"/>
        <w:tblLayout w:type="fixed"/>
        <w:tblLook w:val="0000" w:firstRow="0" w:lastRow="0" w:firstColumn="0" w:lastColumn="0" w:noHBand="0" w:noVBand="0"/>
      </w:tblPr>
      <w:tblGrid>
        <w:gridCol w:w="633"/>
        <w:gridCol w:w="2420"/>
        <w:gridCol w:w="1980"/>
        <w:gridCol w:w="1885"/>
      </w:tblGrid>
      <w:tr w:rsidR="00390983" w:rsidRPr="00583E1A">
        <w:trPr>
          <w:cantSplit/>
          <w:tblHeader/>
        </w:trPr>
        <w:tc>
          <w:tcPr>
            <w:tcW w:w="6918" w:type="dxa"/>
            <w:gridSpan w:val="4"/>
            <w:tcBorders>
              <w:top w:val="single" w:sz="12" w:space="0" w:color="auto"/>
              <w:bottom w:val="single" w:sz="6" w:space="0" w:color="auto"/>
            </w:tcBorders>
            <w:shd w:val="clear" w:color="auto" w:fill="auto"/>
          </w:tcPr>
          <w:p w:rsidR="00390983" w:rsidRPr="00583E1A" w:rsidRDefault="00390983" w:rsidP="00390983">
            <w:pPr>
              <w:pStyle w:val="Tabletext"/>
              <w:keepNext/>
              <w:keepLines/>
              <w:rPr>
                <w:b/>
              </w:rPr>
            </w:pPr>
            <w:r w:rsidRPr="00583E1A">
              <w:rPr>
                <w:b/>
                <w:bCs/>
              </w:rPr>
              <w:lastRenderedPageBreak/>
              <w:t>Exempt amounts</w:t>
            </w:r>
          </w:p>
        </w:tc>
      </w:tr>
      <w:tr w:rsidR="00390983" w:rsidRPr="00583E1A">
        <w:trPr>
          <w:cantSplit/>
          <w:tblHeader/>
        </w:trPr>
        <w:tc>
          <w:tcPr>
            <w:tcW w:w="633" w:type="dxa"/>
            <w:tcBorders>
              <w:top w:val="single" w:sz="6" w:space="0" w:color="auto"/>
              <w:bottom w:val="single" w:sz="12" w:space="0" w:color="auto"/>
            </w:tcBorders>
            <w:shd w:val="clear" w:color="auto" w:fill="auto"/>
          </w:tcPr>
          <w:p w:rsidR="00390983" w:rsidRPr="00583E1A" w:rsidRDefault="00390983" w:rsidP="00390983">
            <w:pPr>
              <w:pStyle w:val="Tabletext"/>
              <w:keepNext/>
              <w:rPr>
                <w:b/>
              </w:rPr>
            </w:pPr>
            <w:r w:rsidRPr="00583E1A">
              <w:rPr>
                <w:b/>
                <w:bCs/>
              </w:rPr>
              <w:t>Item</w:t>
            </w:r>
          </w:p>
        </w:tc>
        <w:tc>
          <w:tcPr>
            <w:tcW w:w="2420" w:type="dxa"/>
            <w:tcBorders>
              <w:top w:val="single" w:sz="6" w:space="0" w:color="auto"/>
              <w:bottom w:val="single" w:sz="12" w:space="0" w:color="auto"/>
            </w:tcBorders>
            <w:shd w:val="clear" w:color="auto" w:fill="auto"/>
          </w:tcPr>
          <w:p w:rsidR="00390983" w:rsidRPr="00583E1A" w:rsidRDefault="00390983" w:rsidP="00390983">
            <w:pPr>
              <w:pStyle w:val="Tabletext"/>
              <w:keepNext/>
              <w:rPr>
                <w:b/>
              </w:rPr>
            </w:pPr>
            <w:r w:rsidRPr="00583E1A">
              <w:rPr>
                <w:b/>
                <w:bCs/>
              </w:rPr>
              <w:t>If you are:</w:t>
            </w:r>
          </w:p>
        </w:tc>
        <w:tc>
          <w:tcPr>
            <w:tcW w:w="1980" w:type="dxa"/>
            <w:tcBorders>
              <w:top w:val="single" w:sz="6" w:space="0" w:color="auto"/>
              <w:bottom w:val="single" w:sz="12" w:space="0" w:color="auto"/>
            </w:tcBorders>
            <w:shd w:val="clear" w:color="auto" w:fill="auto"/>
          </w:tcPr>
          <w:p w:rsidR="00390983" w:rsidRPr="00583E1A" w:rsidRDefault="00390983" w:rsidP="00390983">
            <w:pPr>
              <w:pStyle w:val="Tabletext"/>
              <w:keepNext/>
              <w:rPr>
                <w:b/>
              </w:rPr>
            </w:pPr>
            <w:r w:rsidRPr="00583E1A">
              <w:rPr>
                <w:b/>
                <w:bCs/>
              </w:rPr>
              <w:t>the following amounts are exempt from income tax:</w:t>
            </w:r>
          </w:p>
        </w:tc>
        <w:tc>
          <w:tcPr>
            <w:tcW w:w="1885" w:type="dxa"/>
            <w:tcBorders>
              <w:top w:val="single" w:sz="6" w:space="0" w:color="auto"/>
              <w:bottom w:val="single" w:sz="12" w:space="0" w:color="auto"/>
            </w:tcBorders>
            <w:shd w:val="clear" w:color="auto" w:fill="auto"/>
          </w:tcPr>
          <w:p w:rsidR="00390983" w:rsidRPr="00583E1A" w:rsidRDefault="00390983" w:rsidP="00390983">
            <w:pPr>
              <w:pStyle w:val="Tabletext"/>
              <w:keepNext/>
              <w:rPr>
                <w:b/>
              </w:rPr>
            </w:pPr>
            <w:r w:rsidRPr="00583E1A">
              <w:rPr>
                <w:b/>
                <w:bCs/>
              </w:rPr>
              <w:t>subject to these exceptions and special conditions:</w:t>
            </w:r>
          </w:p>
        </w:tc>
      </w:tr>
      <w:tr w:rsidR="00390983" w:rsidRPr="00583E1A">
        <w:trPr>
          <w:cantSplit/>
        </w:trPr>
        <w:tc>
          <w:tcPr>
            <w:tcW w:w="633" w:type="dxa"/>
            <w:tcBorders>
              <w:top w:val="single" w:sz="12" w:space="0" w:color="auto"/>
              <w:bottom w:val="single" w:sz="2" w:space="0" w:color="auto"/>
            </w:tcBorders>
            <w:shd w:val="clear" w:color="auto" w:fill="auto"/>
          </w:tcPr>
          <w:p w:rsidR="00390983" w:rsidRPr="00583E1A" w:rsidRDefault="00390983" w:rsidP="00390983">
            <w:pPr>
              <w:pStyle w:val="Tabletext"/>
            </w:pPr>
            <w:r w:rsidRPr="00583E1A">
              <w:t>1</w:t>
            </w:r>
          </w:p>
        </w:tc>
        <w:tc>
          <w:tcPr>
            <w:tcW w:w="2420" w:type="dxa"/>
            <w:tcBorders>
              <w:top w:val="single" w:sz="12" w:space="0" w:color="auto"/>
              <w:bottom w:val="single" w:sz="2" w:space="0" w:color="auto"/>
            </w:tcBorders>
            <w:shd w:val="clear" w:color="auto" w:fill="auto"/>
          </w:tcPr>
          <w:p w:rsidR="00390983" w:rsidRPr="00583E1A" w:rsidRDefault="00390983" w:rsidP="00390983">
            <w:pPr>
              <w:pStyle w:val="Tabletext"/>
            </w:pPr>
            <w:r w:rsidRPr="00583E1A">
              <w:t>a foreign resident</w:t>
            </w:r>
          </w:p>
          <w:p w:rsidR="00390983" w:rsidRPr="00583E1A" w:rsidRDefault="00390983" w:rsidP="00390983">
            <w:pPr>
              <w:pStyle w:val="Tabletext"/>
            </w:pPr>
          </w:p>
        </w:tc>
        <w:tc>
          <w:tcPr>
            <w:tcW w:w="1980" w:type="dxa"/>
            <w:tcBorders>
              <w:top w:val="single" w:sz="12" w:space="0" w:color="auto"/>
              <w:bottom w:val="single" w:sz="2" w:space="0" w:color="auto"/>
            </w:tcBorders>
            <w:shd w:val="clear" w:color="auto" w:fill="auto"/>
          </w:tcPr>
          <w:p w:rsidR="00390983" w:rsidRPr="00583E1A" w:rsidRDefault="00390983" w:rsidP="00390983">
            <w:pPr>
              <w:pStyle w:val="Tabletext"/>
            </w:pPr>
            <w:r w:rsidRPr="00583E1A">
              <w:t xml:space="preserve">your remuneration paid by an </w:t>
            </w:r>
            <w:r w:rsidR="00583E1A" w:rsidRPr="00583E1A">
              <w:rPr>
                <w:position w:val="6"/>
                <w:sz w:val="16"/>
              </w:rPr>
              <w:t>*</w:t>
            </w:r>
            <w:r w:rsidRPr="00583E1A">
              <w:t>Australian government agency</w:t>
            </w:r>
          </w:p>
        </w:tc>
        <w:tc>
          <w:tcPr>
            <w:tcW w:w="1885" w:type="dxa"/>
            <w:tcBorders>
              <w:top w:val="single" w:sz="12" w:space="0" w:color="auto"/>
              <w:bottom w:val="single" w:sz="2" w:space="0" w:color="auto"/>
            </w:tcBorders>
            <w:shd w:val="clear" w:color="auto" w:fill="auto"/>
          </w:tcPr>
          <w:p w:rsidR="00390983" w:rsidRPr="00583E1A" w:rsidRDefault="00390983" w:rsidP="00390983">
            <w:pPr>
              <w:pStyle w:val="Tabletext"/>
            </w:pPr>
            <w:r w:rsidRPr="00583E1A">
              <w:t>the remuneration is paid to you:</w:t>
            </w:r>
          </w:p>
          <w:p w:rsidR="00390983" w:rsidRPr="00583E1A" w:rsidRDefault="00390983" w:rsidP="00390983">
            <w:pPr>
              <w:pStyle w:val="Tablea"/>
            </w:pPr>
            <w:r w:rsidRPr="00583E1A">
              <w:t>(a) for expert advice to that agency; or</w:t>
            </w:r>
          </w:p>
          <w:p w:rsidR="00390983" w:rsidRPr="00583E1A" w:rsidRDefault="00390983" w:rsidP="00390983">
            <w:pPr>
              <w:pStyle w:val="Tablea"/>
            </w:pPr>
            <w:r w:rsidRPr="00583E1A">
              <w:t>(b) as a member of a Royal Commission</w:t>
            </w:r>
          </w:p>
        </w:tc>
      </w:tr>
      <w:tr w:rsidR="00390983" w:rsidRPr="00583E1A">
        <w:trPr>
          <w:cantSplit/>
        </w:trPr>
        <w:tc>
          <w:tcPr>
            <w:tcW w:w="633" w:type="dxa"/>
            <w:tcBorders>
              <w:top w:val="single" w:sz="2" w:space="0" w:color="auto"/>
              <w:bottom w:val="single" w:sz="2" w:space="0" w:color="auto"/>
            </w:tcBorders>
            <w:shd w:val="clear" w:color="auto" w:fill="auto"/>
          </w:tcPr>
          <w:p w:rsidR="00390983" w:rsidRPr="00583E1A" w:rsidRDefault="00390983" w:rsidP="00390983">
            <w:pPr>
              <w:pStyle w:val="Tabletext"/>
            </w:pPr>
            <w:r w:rsidRPr="00583E1A">
              <w:t>2</w:t>
            </w:r>
          </w:p>
        </w:tc>
        <w:tc>
          <w:tcPr>
            <w:tcW w:w="2420" w:type="dxa"/>
            <w:tcBorders>
              <w:top w:val="single" w:sz="2" w:space="0" w:color="auto"/>
              <w:bottom w:val="single" w:sz="2" w:space="0" w:color="auto"/>
            </w:tcBorders>
            <w:shd w:val="clear" w:color="auto" w:fill="auto"/>
          </w:tcPr>
          <w:p w:rsidR="00390983" w:rsidRPr="00583E1A" w:rsidRDefault="00390983" w:rsidP="00390983">
            <w:pPr>
              <w:pStyle w:val="Tabletext"/>
            </w:pPr>
            <w:r w:rsidRPr="00583E1A">
              <w:t>a foreign resident who is:</w:t>
            </w:r>
          </w:p>
          <w:p w:rsidR="00390983" w:rsidRPr="00583E1A" w:rsidRDefault="00390983" w:rsidP="00390983">
            <w:pPr>
              <w:pStyle w:val="Tablea"/>
            </w:pPr>
            <w:r w:rsidRPr="00583E1A">
              <w:t xml:space="preserve">(a) the representative of the government of a foreign country, visiting </w:t>
            </w:r>
            <w:smartTag w:uri="urn:schemas-microsoft-com:office:smarttags" w:element="country-region">
              <w:smartTag w:uri="urn:schemas-microsoft-com:office:smarttags" w:element="place">
                <w:r w:rsidRPr="00583E1A">
                  <w:t>Australia</w:t>
                </w:r>
              </w:smartTag>
            </w:smartTag>
            <w:r w:rsidRPr="00583E1A">
              <w:t xml:space="preserve"> on behalf of that government; or</w:t>
            </w:r>
          </w:p>
          <w:p w:rsidR="00390983" w:rsidRPr="00583E1A" w:rsidRDefault="00390983" w:rsidP="00390983">
            <w:pPr>
              <w:pStyle w:val="Tablea"/>
            </w:pPr>
            <w:r w:rsidRPr="00583E1A">
              <w:t>(b) a member of the entourage of such a representative</w:t>
            </w:r>
          </w:p>
        </w:tc>
        <w:tc>
          <w:tcPr>
            <w:tcW w:w="1980" w:type="dxa"/>
            <w:tcBorders>
              <w:top w:val="single" w:sz="2" w:space="0" w:color="auto"/>
              <w:bottom w:val="single" w:sz="2" w:space="0" w:color="auto"/>
            </w:tcBorders>
            <w:shd w:val="clear" w:color="auto" w:fill="auto"/>
          </w:tcPr>
          <w:p w:rsidR="00390983" w:rsidRPr="00583E1A" w:rsidRDefault="00390983" w:rsidP="00390983">
            <w:pPr>
              <w:pStyle w:val="Tabletext"/>
            </w:pPr>
            <w:r w:rsidRPr="00583E1A">
              <w:t xml:space="preserve">your </w:t>
            </w:r>
            <w:r w:rsidR="00583E1A" w:rsidRPr="00583E1A">
              <w:rPr>
                <w:position w:val="6"/>
                <w:sz w:val="16"/>
              </w:rPr>
              <w:t>*</w:t>
            </w:r>
            <w:r w:rsidRPr="00583E1A">
              <w:t xml:space="preserve">ordinary income, and your </w:t>
            </w:r>
            <w:r w:rsidR="00583E1A" w:rsidRPr="00583E1A">
              <w:rPr>
                <w:position w:val="6"/>
                <w:sz w:val="16"/>
              </w:rPr>
              <w:t>*</w:t>
            </w:r>
            <w:r w:rsidRPr="00583E1A">
              <w:t>statutory income, in your official capacity as such a representative or member</w:t>
            </w:r>
          </w:p>
        </w:tc>
        <w:tc>
          <w:tcPr>
            <w:tcW w:w="1885" w:type="dxa"/>
            <w:tcBorders>
              <w:top w:val="single" w:sz="2" w:space="0" w:color="auto"/>
              <w:bottom w:val="single" w:sz="2" w:space="0" w:color="auto"/>
            </w:tcBorders>
            <w:shd w:val="clear" w:color="auto" w:fill="auto"/>
          </w:tcPr>
          <w:p w:rsidR="00390983" w:rsidRPr="00583E1A" w:rsidRDefault="00390983" w:rsidP="00390983">
            <w:pPr>
              <w:pStyle w:val="Tabletext"/>
            </w:pPr>
            <w:r w:rsidRPr="00583E1A">
              <w:t>none</w:t>
            </w:r>
          </w:p>
        </w:tc>
      </w:tr>
      <w:tr w:rsidR="00390983" w:rsidRPr="00583E1A">
        <w:trPr>
          <w:cantSplit/>
        </w:trPr>
        <w:tc>
          <w:tcPr>
            <w:tcW w:w="633" w:type="dxa"/>
            <w:tcBorders>
              <w:top w:val="single" w:sz="2" w:space="0" w:color="auto"/>
              <w:bottom w:val="single" w:sz="2" w:space="0" w:color="auto"/>
            </w:tcBorders>
            <w:shd w:val="clear" w:color="auto" w:fill="auto"/>
          </w:tcPr>
          <w:p w:rsidR="00390983" w:rsidRPr="00583E1A" w:rsidRDefault="00390983" w:rsidP="00390983">
            <w:pPr>
              <w:pStyle w:val="Tabletext"/>
            </w:pPr>
            <w:r w:rsidRPr="00583E1A">
              <w:t>3</w:t>
            </w:r>
          </w:p>
        </w:tc>
        <w:tc>
          <w:tcPr>
            <w:tcW w:w="2420" w:type="dxa"/>
            <w:tcBorders>
              <w:top w:val="single" w:sz="2" w:space="0" w:color="auto"/>
              <w:bottom w:val="single" w:sz="2" w:space="0" w:color="auto"/>
            </w:tcBorders>
            <w:shd w:val="clear" w:color="auto" w:fill="auto"/>
          </w:tcPr>
          <w:p w:rsidR="00390983" w:rsidRPr="00583E1A" w:rsidRDefault="00390983" w:rsidP="00390983">
            <w:pPr>
              <w:pStyle w:val="Tabletext"/>
            </w:pPr>
            <w:r w:rsidRPr="00583E1A">
              <w:t xml:space="preserve">a foreign resident visiting </w:t>
            </w:r>
            <w:smartTag w:uri="urn:schemas-microsoft-com:office:smarttags" w:element="country-region">
              <w:smartTag w:uri="urn:schemas-microsoft-com:office:smarttags" w:element="place">
                <w:r w:rsidRPr="00583E1A">
                  <w:t>Australia</w:t>
                </w:r>
              </w:smartTag>
            </w:smartTag>
            <w:r w:rsidRPr="00583E1A">
              <w:t>:</w:t>
            </w:r>
          </w:p>
          <w:p w:rsidR="00390983" w:rsidRPr="00583E1A" w:rsidRDefault="00390983" w:rsidP="00390983">
            <w:pPr>
              <w:pStyle w:val="Tablea"/>
            </w:pPr>
            <w:r w:rsidRPr="00583E1A">
              <w:t>(a) in the capacity of representative of any society or association established for educational, scientific, religious or philanthropic purposes; and</w:t>
            </w:r>
          </w:p>
          <w:p w:rsidR="00390983" w:rsidRPr="00583E1A" w:rsidRDefault="00390983" w:rsidP="00390983">
            <w:pPr>
              <w:pStyle w:val="Tablea"/>
            </w:pPr>
            <w:r w:rsidRPr="00583E1A">
              <w:t>(b) for the purpose of attending an international conference, or for the purpose of carrying on investigation or research for the society or association</w:t>
            </w:r>
          </w:p>
        </w:tc>
        <w:tc>
          <w:tcPr>
            <w:tcW w:w="1980" w:type="dxa"/>
            <w:tcBorders>
              <w:top w:val="single" w:sz="2" w:space="0" w:color="auto"/>
              <w:bottom w:val="single" w:sz="2" w:space="0" w:color="auto"/>
            </w:tcBorders>
            <w:shd w:val="clear" w:color="auto" w:fill="auto"/>
          </w:tcPr>
          <w:p w:rsidR="00390983" w:rsidRPr="00583E1A" w:rsidRDefault="00390983" w:rsidP="00390983">
            <w:pPr>
              <w:pStyle w:val="Tabletext"/>
            </w:pPr>
            <w:r w:rsidRPr="00583E1A">
              <w:t xml:space="preserve">your </w:t>
            </w:r>
            <w:r w:rsidR="00583E1A" w:rsidRPr="00583E1A">
              <w:rPr>
                <w:position w:val="6"/>
                <w:sz w:val="16"/>
              </w:rPr>
              <w:t>*</w:t>
            </w:r>
            <w:r w:rsidRPr="00583E1A">
              <w:t xml:space="preserve">ordinary income, and your </w:t>
            </w:r>
            <w:r w:rsidR="00583E1A" w:rsidRPr="00583E1A">
              <w:rPr>
                <w:position w:val="6"/>
                <w:sz w:val="16"/>
              </w:rPr>
              <w:t>*</w:t>
            </w:r>
            <w:r w:rsidRPr="00583E1A">
              <w:t>statutory income, in that capacity</w:t>
            </w:r>
          </w:p>
        </w:tc>
        <w:tc>
          <w:tcPr>
            <w:tcW w:w="1885" w:type="dxa"/>
            <w:tcBorders>
              <w:top w:val="single" w:sz="2" w:space="0" w:color="auto"/>
              <w:bottom w:val="single" w:sz="2" w:space="0" w:color="auto"/>
            </w:tcBorders>
            <w:shd w:val="clear" w:color="auto" w:fill="auto"/>
          </w:tcPr>
          <w:p w:rsidR="00390983" w:rsidRPr="00583E1A" w:rsidRDefault="00390983" w:rsidP="00390983">
            <w:pPr>
              <w:pStyle w:val="Tabletext"/>
            </w:pPr>
            <w:r w:rsidRPr="00583E1A">
              <w:t>none</w:t>
            </w:r>
          </w:p>
        </w:tc>
      </w:tr>
      <w:tr w:rsidR="00390983" w:rsidRPr="00583E1A">
        <w:trPr>
          <w:cantSplit/>
        </w:trPr>
        <w:tc>
          <w:tcPr>
            <w:tcW w:w="633" w:type="dxa"/>
            <w:tcBorders>
              <w:top w:val="single" w:sz="2" w:space="0" w:color="auto"/>
              <w:bottom w:val="single" w:sz="2" w:space="0" w:color="auto"/>
            </w:tcBorders>
            <w:shd w:val="clear" w:color="auto" w:fill="auto"/>
          </w:tcPr>
          <w:p w:rsidR="00390983" w:rsidRPr="00583E1A" w:rsidRDefault="00390983" w:rsidP="00390983">
            <w:pPr>
              <w:pStyle w:val="Tabletext"/>
            </w:pPr>
            <w:r w:rsidRPr="00583E1A">
              <w:lastRenderedPageBreak/>
              <w:t>4</w:t>
            </w:r>
          </w:p>
        </w:tc>
        <w:tc>
          <w:tcPr>
            <w:tcW w:w="2420" w:type="dxa"/>
            <w:tcBorders>
              <w:top w:val="single" w:sz="2" w:space="0" w:color="auto"/>
              <w:bottom w:val="single" w:sz="2" w:space="0" w:color="auto"/>
            </w:tcBorders>
            <w:shd w:val="clear" w:color="auto" w:fill="auto"/>
          </w:tcPr>
          <w:p w:rsidR="00390983" w:rsidRPr="00583E1A" w:rsidRDefault="00390983" w:rsidP="00390983">
            <w:pPr>
              <w:pStyle w:val="Tabletext"/>
            </w:pPr>
            <w:r w:rsidRPr="00583E1A">
              <w:t xml:space="preserve">a foreign resident visiting </w:t>
            </w:r>
            <w:smartTag w:uri="urn:schemas-microsoft-com:office:smarttags" w:element="country-region">
              <w:smartTag w:uri="urn:schemas-microsoft-com:office:smarttags" w:element="place">
                <w:r w:rsidRPr="00583E1A">
                  <w:t>Australia</w:t>
                </w:r>
              </w:smartTag>
            </w:smartTag>
            <w:r w:rsidRPr="00583E1A">
              <w:t>:</w:t>
            </w:r>
          </w:p>
          <w:p w:rsidR="00390983" w:rsidRPr="00583E1A" w:rsidRDefault="00390983" w:rsidP="00390983">
            <w:pPr>
              <w:pStyle w:val="Tablea"/>
            </w:pPr>
            <w:r w:rsidRPr="00583E1A">
              <w:t xml:space="preserve">(a) in the capacity of representative of the media outside </w:t>
            </w:r>
            <w:smartTag w:uri="urn:schemas-microsoft-com:office:smarttags" w:element="country-region">
              <w:smartTag w:uri="urn:schemas-microsoft-com:office:smarttags" w:element="place">
                <w:r w:rsidRPr="00583E1A">
                  <w:t>Australia</w:t>
                </w:r>
              </w:smartTag>
            </w:smartTag>
            <w:r w:rsidRPr="00583E1A">
              <w:t>; and</w:t>
            </w:r>
          </w:p>
          <w:p w:rsidR="00390983" w:rsidRPr="00583E1A" w:rsidRDefault="00390983" w:rsidP="00390983">
            <w:pPr>
              <w:pStyle w:val="Tablea"/>
            </w:pPr>
            <w:r w:rsidRPr="00583E1A">
              <w:t>(b) for the purpose of reporting the proceedings relating to any of the matters referred to in items</w:t>
            </w:r>
            <w:r w:rsidR="00583E1A">
              <w:t> </w:t>
            </w:r>
            <w:r w:rsidRPr="00583E1A">
              <w:t>2 and 3</w:t>
            </w:r>
          </w:p>
        </w:tc>
        <w:tc>
          <w:tcPr>
            <w:tcW w:w="1980" w:type="dxa"/>
            <w:tcBorders>
              <w:top w:val="single" w:sz="2" w:space="0" w:color="auto"/>
              <w:bottom w:val="single" w:sz="2" w:space="0" w:color="auto"/>
            </w:tcBorders>
            <w:shd w:val="clear" w:color="auto" w:fill="auto"/>
          </w:tcPr>
          <w:p w:rsidR="00390983" w:rsidRPr="00583E1A" w:rsidRDefault="00390983" w:rsidP="00390983">
            <w:pPr>
              <w:pStyle w:val="Tabletext"/>
            </w:pPr>
            <w:r w:rsidRPr="00583E1A">
              <w:t xml:space="preserve">your </w:t>
            </w:r>
            <w:r w:rsidR="00583E1A" w:rsidRPr="00583E1A">
              <w:rPr>
                <w:position w:val="6"/>
                <w:sz w:val="16"/>
              </w:rPr>
              <w:t>*</w:t>
            </w:r>
            <w:r w:rsidRPr="00583E1A">
              <w:t xml:space="preserve">ordinary income, and your </w:t>
            </w:r>
            <w:r w:rsidR="00583E1A" w:rsidRPr="00583E1A">
              <w:rPr>
                <w:position w:val="6"/>
                <w:sz w:val="16"/>
              </w:rPr>
              <w:t>*</w:t>
            </w:r>
            <w:r w:rsidRPr="00583E1A">
              <w:t>statutory income, in that capacity</w:t>
            </w:r>
          </w:p>
        </w:tc>
        <w:tc>
          <w:tcPr>
            <w:tcW w:w="1885" w:type="dxa"/>
            <w:tcBorders>
              <w:top w:val="single" w:sz="2" w:space="0" w:color="auto"/>
              <w:bottom w:val="single" w:sz="2" w:space="0" w:color="auto"/>
            </w:tcBorders>
            <w:shd w:val="clear" w:color="auto" w:fill="auto"/>
          </w:tcPr>
          <w:p w:rsidR="00390983" w:rsidRPr="00583E1A" w:rsidRDefault="00390983" w:rsidP="00390983">
            <w:pPr>
              <w:pStyle w:val="Tabletext"/>
            </w:pPr>
            <w:r w:rsidRPr="00583E1A">
              <w:t>none</w:t>
            </w:r>
          </w:p>
        </w:tc>
      </w:tr>
      <w:tr w:rsidR="00390983" w:rsidRPr="00583E1A">
        <w:trPr>
          <w:cantSplit/>
        </w:trPr>
        <w:tc>
          <w:tcPr>
            <w:tcW w:w="633" w:type="dxa"/>
            <w:tcBorders>
              <w:top w:val="single" w:sz="2" w:space="0" w:color="auto"/>
              <w:bottom w:val="single" w:sz="2" w:space="0" w:color="auto"/>
            </w:tcBorders>
            <w:shd w:val="clear" w:color="auto" w:fill="auto"/>
          </w:tcPr>
          <w:p w:rsidR="00390983" w:rsidRPr="00583E1A" w:rsidRDefault="00390983" w:rsidP="00390983">
            <w:pPr>
              <w:pStyle w:val="Tabletext"/>
            </w:pPr>
            <w:r w:rsidRPr="00583E1A">
              <w:t>5</w:t>
            </w:r>
          </w:p>
        </w:tc>
        <w:tc>
          <w:tcPr>
            <w:tcW w:w="2420" w:type="dxa"/>
            <w:tcBorders>
              <w:top w:val="single" w:sz="2" w:space="0" w:color="auto"/>
              <w:bottom w:val="single" w:sz="2" w:space="0" w:color="auto"/>
            </w:tcBorders>
            <w:shd w:val="clear" w:color="auto" w:fill="auto"/>
          </w:tcPr>
          <w:p w:rsidR="00390983" w:rsidRPr="00583E1A" w:rsidRDefault="00390983" w:rsidP="00390983">
            <w:pPr>
              <w:pStyle w:val="Tabletext"/>
            </w:pPr>
            <w:r w:rsidRPr="00583E1A">
              <w:t>a member of the naval, military or air forces of the government of a foreign country</w:t>
            </w:r>
          </w:p>
        </w:tc>
        <w:tc>
          <w:tcPr>
            <w:tcW w:w="1980" w:type="dxa"/>
            <w:tcBorders>
              <w:top w:val="single" w:sz="2" w:space="0" w:color="auto"/>
              <w:bottom w:val="single" w:sz="2" w:space="0" w:color="auto"/>
            </w:tcBorders>
            <w:shd w:val="clear" w:color="auto" w:fill="auto"/>
          </w:tcPr>
          <w:p w:rsidR="00390983" w:rsidRPr="00583E1A" w:rsidRDefault="00390983" w:rsidP="00390983">
            <w:pPr>
              <w:pStyle w:val="Tabletext"/>
            </w:pPr>
            <w:r w:rsidRPr="00583E1A">
              <w:t xml:space="preserve">pay and allowances you earn in </w:t>
            </w:r>
            <w:smartTag w:uri="urn:schemas-microsoft-com:office:smarttags" w:element="country-region">
              <w:smartTag w:uri="urn:schemas-microsoft-com:office:smarttags" w:element="place">
                <w:r w:rsidRPr="00583E1A">
                  <w:t>Australia</w:t>
                </w:r>
              </w:smartTag>
            </w:smartTag>
            <w:r w:rsidRPr="00583E1A">
              <w:t xml:space="preserve"> as a member of those forces</w:t>
            </w:r>
          </w:p>
        </w:tc>
        <w:tc>
          <w:tcPr>
            <w:tcW w:w="1885" w:type="dxa"/>
            <w:tcBorders>
              <w:top w:val="single" w:sz="2" w:space="0" w:color="auto"/>
              <w:bottom w:val="single" w:sz="2" w:space="0" w:color="auto"/>
            </w:tcBorders>
            <w:shd w:val="clear" w:color="auto" w:fill="auto"/>
          </w:tcPr>
          <w:p w:rsidR="00390983" w:rsidRPr="00583E1A" w:rsidRDefault="00390983" w:rsidP="00390983">
            <w:pPr>
              <w:pStyle w:val="Tabletext"/>
            </w:pPr>
            <w:r w:rsidRPr="00583E1A">
              <w:t>the pay and allowances are not paid or provided by the Commonwealth</w:t>
            </w:r>
          </w:p>
        </w:tc>
      </w:tr>
      <w:tr w:rsidR="00390983" w:rsidRPr="00583E1A">
        <w:trPr>
          <w:cantSplit/>
        </w:trPr>
        <w:tc>
          <w:tcPr>
            <w:tcW w:w="633" w:type="dxa"/>
            <w:tcBorders>
              <w:top w:val="single" w:sz="2" w:space="0" w:color="auto"/>
              <w:bottom w:val="single" w:sz="2" w:space="0" w:color="auto"/>
            </w:tcBorders>
            <w:shd w:val="clear" w:color="auto" w:fill="auto"/>
          </w:tcPr>
          <w:p w:rsidR="00390983" w:rsidRPr="00583E1A" w:rsidRDefault="00390983" w:rsidP="00390983">
            <w:pPr>
              <w:pStyle w:val="Tabletext"/>
            </w:pPr>
            <w:r w:rsidRPr="00583E1A">
              <w:t>6</w:t>
            </w:r>
          </w:p>
        </w:tc>
        <w:tc>
          <w:tcPr>
            <w:tcW w:w="2420" w:type="dxa"/>
            <w:tcBorders>
              <w:top w:val="single" w:sz="2" w:space="0" w:color="auto"/>
              <w:bottom w:val="single" w:sz="2" w:space="0" w:color="auto"/>
            </w:tcBorders>
            <w:shd w:val="clear" w:color="auto" w:fill="auto"/>
          </w:tcPr>
          <w:p w:rsidR="00390983" w:rsidRPr="00583E1A" w:rsidRDefault="00390983" w:rsidP="00390983">
            <w:pPr>
              <w:pStyle w:val="Tabletext"/>
            </w:pPr>
            <w:r w:rsidRPr="00583E1A">
              <w:t xml:space="preserve">a foreign resident visiting </w:t>
            </w:r>
            <w:smartTag w:uri="urn:schemas-microsoft-com:office:smarttags" w:element="country-region">
              <w:smartTag w:uri="urn:schemas-microsoft-com:office:smarttags" w:element="place">
                <w:r w:rsidRPr="00583E1A">
                  <w:t>Australia</w:t>
                </w:r>
              </w:smartTag>
            </w:smartTag>
          </w:p>
        </w:tc>
        <w:tc>
          <w:tcPr>
            <w:tcW w:w="1980" w:type="dxa"/>
            <w:tcBorders>
              <w:top w:val="single" w:sz="2" w:space="0" w:color="auto"/>
              <w:bottom w:val="single" w:sz="2" w:space="0" w:color="auto"/>
            </w:tcBorders>
            <w:shd w:val="clear" w:color="auto" w:fill="auto"/>
          </w:tcPr>
          <w:p w:rsidR="00390983" w:rsidRPr="00583E1A" w:rsidRDefault="00390983" w:rsidP="00390983">
            <w:pPr>
              <w:pStyle w:val="Tabletext"/>
            </w:pPr>
            <w:r w:rsidRPr="00583E1A">
              <w:t xml:space="preserve">your </w:t>
            </w:r>
            <w:r w:rsidR="00583E1A" w:rsidRPr="00583E1A">
              <w:rPr>
                <w:position w:val="6"/>
                <w:sz w:val="16"/>
              </w:rPr>
              <w:t>*</w:t>
            </w:r>
            <w:r w:rsidRPr="00583E1A">
              <w:t xml:space="preserve">ordinary income, and your </w:t>
            </w:r>
            <w:r w:rsidR="00583E1A" w:rsidRPr="00583E1A">
              <w:rPr>
                <w:position w:val="6"/>
                <w:sz w:val="16"/>
              </w:rPr>
              <w:t>*</w:t>
            </w:r>
            <w:r w:rsidRPr="00583E1A">
              <w:t>statutory income, that:</w:t>
            </w:r>
          </w:p>
          <w:p w:rsidR="00390983" w:rsidRPr="00583E1A" w:rsidRDefault="00390983" w:rsidP="00390983">
            <w:pPr>
              <w:pStyle w:val="Tablea"/>
            </w:pPr>
            <w:r w:rsidRPr="00583E1A">
              <w:t xml:space="preserve">(a) is from an occupation you carry on while in </w:t>
            </w:r>
            <w:smartTag w:uri="urn:schemas-microsoft-com:office:smarttags" w:element="country-region">
              <w:smartTag w:uri="urn:schemas-microsoft-com:office:smarttags" w:element="place">
                <w:r w:rsidRPr="00583E1A">
                  <w:t>Australia</w:t>
                </w:r>
              </w:smartTag>
            </w:smartTag>
            <w:r w:rsidRPr="00583E1A">
              <w:t>; and</w:t>
            </w:r>
          </w:p>
          <w:p w:rsidR="00390983" w:rsidRPr="00583E1A" w:rsidRDefault="00390983" w:rsidP="00390983">
            <w:pPr>
              <w:pStyle w:val="Tablea"/>
            </w:pPr>
            <w:r w:rsidRPr="00583E1A">
              <w:t>(b) is not exempt from income tax in the country where you are ordinarily resident</w:t>
            </w:r>
          </w:p>
        </w:tc>
        <w:tc>
          <w:tcPr>
            <w:tcW w:w="1885" w:type="dxa"/>
            <w:tcBorders>
              <w:top w:val="single" w:sz="2" w:space="0" w:color="auto"/>
              <w:bottom w:val="single" w:sz="2" w:space="0" w:color="auto"/>
            </w:tcBorders>
            <w:shd w:val="clear" w:color="auto" w:fill="auto"/>
          </w:tcPr>
          <w:p w:rsidR="00390983" w:rsidRPr="00583E1A" w:rsidRDefault="00390983" w:rsidP="00390983">
            <w:pPr>
              <w:pStyle w:val="Tabletext"/>
            </w:pPr>
            <w:r w:rsidRPr="00583E1A">
              <w:t xml:space="preserve">in the opinion of the Treasurer, the visit and occupation are principally directed to assisting in the defence of </w:t>
            </w:r>
            <w:smartTag w:uri="urn:schemas-microsoft-com:office:smarttags" w:element="country-region">
              <w:smartTag w:uri="urn:schemas-microsoft-com:office:smarttags" w:element="place">
                <w:r w:rsidRPr="00583E1A">
                  <w:t>Australia</w:t>
                </w:r>
              </w:smartTag>
            </w:smartTag>
          </w:p>
        </w:tc>
      </w:tr>
      <w:tr w:rsidR="00390983" w:rsidRPr="00583E1A">
        <w:trPr>
          <w:cantSplit/>
        </w:trPr>
        <w:tc>
          <w:tcPr>
            <w:tcW w:w="633" w:type="dxa"/>
            <w:tcBorders>
              <w:top w:val="single" w:sz="2" w:space="0" w:color="auto"/>
              <w:bottom w:val="single" w:sz="12" w:space="0" w:color="auto"/>
            </w:tcBorders>
            <w:shd w:val="clear" w:color="auto" w:fill="auto"/>
          </w:tcPr>
          <w:p w:rsidR="00390983" w:rsidRPr="00583E1A" w:rsidRDefault="00390983" w:rsidP="00390983">
            <w:pPr>
              <w:pStyle w:val="Tabletext"/>
            </w:pPr>
            <w:r w:rsidRPr="00583E1A">
              <w:lastRenderedPageBreak/>
              <w:t>7</w:t>
            </w:r>
          </w:p>
        </w:tc>
        <w:tc>
          <w:tcPr>
            <w:tcW w:w="2420" w:type="dxa"/>
            <w:tcBorders>
              <w:top w:val="single" w:sz="2" w:space="0" w:color="auto"/>
              <w:bottom w:val="single" w:sz="12" w:space="0" w:color="auto"/>
            </w:tcBorders>
            <w:shd w:val="clear" w:color="auto" w:fill="auto"/>
          </w:tcPr>
          <w:p w:rsidR="00390983" w:rsidRPr="00583E1A" w:rsidRDefault="00390983" w:rsidP="00390983">
            <w:pPr>
              <w:pStyle w:val="Tablea"/>
            </w:pPr>
            <w:r w:rsidRPr="00583E1A">
              <w:t xml:space="preserve">(a) a foreign resident pursuing in </w:t>
            </w:r>
            <w:smartTag w:uri="urn:schemas-microsoft-com:office:smarttags" w:element="country-region">
              <w:smartTag w:uri="urn:schemas-microsoft-com:office:smarttags" w:element="place">
                <w:r w:rsidRPr="00583E1A">
                  <w:t>Australia</w:t>
                </w:r>
              </w:smartTag>
            </w:smartTag>
            <w:r w:rsidRPr="00583E1A">
              <w:t xml:space="preserve"> a course of study or training; and</w:t>
            </w:r>
          </w:p>
          <w:p w:rsidR="00390983" w:rsidRPr="00583E1A" w:rsidRDefault="00390983" w:rsidP="00390983">
            <w:pPr>
              <w:pStyle w:val="Tablea"/>
            </w:pPr>
            <w:r w:rsidRPr="00583E1A">
              <w:t xml:space="preserve">(b) in </w:t>
            </w:r>
            <w:smartTag w:uri="urn:schemas-microsoft-com:office:smarttags" w:element="country-region">
              <w:smartTag w:uri="urn:schemas-microsoft-com:office:smarttags" w:element="place">
                <w:r w:rsidRPr="00583E1A">
                  <w:t>Australia</w:t>
                </w:r>
              </w:smartTag>
            </w:smartTag>
            <w:r w:rsidRPr="00583E1A">
              <w:t xml:space="preserve"> for the sole purpose of pursuing that course</w:t>
            </w:r>
          </w:p>
        </w:tc>
        <w:tc>
          <w:tcPr>
            <w:tcW w:w="1980" w:type="dxa"/>
            <w:tcBorders>
              <w:top w:val="single" w:sz="2" w:space="0" w:color="auto"/>
              <w:bottom w:val="single" w:sz="12" w:space="0" w:color="auto"/>
            </w:tcBorders>
            <w:shd w:val="clear" w:color="auto" w:fill="auto"/>
          </w:tcPr>
          <w:p w:rsidR="00390983" w:rsidRPr="00583E1A" w:rsidRDefault="00390983" w:rsidP="00390983">
            <w:pPr>
              <w:pStyle w:val="Tabletext"/>
            </w:pPr>
            <w:r w:rsidRPr="00583E1A">
              <w:t xml:space="preserve">your </w:t>
            </w:r>
            <w:r w:rsidR="00583E1A" w:rsidRPr="00583E1A">
              <w:rPr>
                <w:position w:val="6"/>
                <w:sz w:val="16"/>
              </w:rPr>
              <w:t>*</w:t>
            </w:r>
            <w:r w:rsidRPr="00583E1A">
              <w:t xml:space="preserve">ordinary income, and your </w:t>
            </w:r>
            <w:r w:rsidR="00583E1A" w:rsidRPr="00583E1A">
              <w:rPr>
                <w:position w:val="6"/>
                <w:sz w:val="16"/>
              </w:rPr>
              <w:t>*</w:t>
            </w:r>
            <w:r w:rsidRPr="00583E1A">
              <w:t>statutory income, by way of a scholarship, bursary, or other educational allowance, provided by the Commonwealth</w:t>
            </w:r>
          </w:p>
        </w:tc>
        <w:tc>
          <w:tcPr>
            <w:tcW w:w="1885" w:type="dxa"/>
            <w:tcBorders>
              <w:top w:val="single" w:sz="2" w:space="0" w:color="auto"/>
              <w:bottom w:val="single" w:sz="12" w:space="0" w:color="auto"/>
            </w:tcBorders>
            <w:shd w:val="clear" w:color="auto" w:fill="auto"/>
          </w:tcPr>
          <w:p w:rsidR="00390983" w:rsidRPr="00583E1A" w:rsidRDefault="00390983" w:rsidP="00390983">
            <w:pPr>
              <w:pStyle w:val="Tabletext"/>
            </w:pPr>
            <w:r w:rsidRPr="00583E1A">
              <w:t>none</w:t>
            </w:r>
          </w:p>
        </w:tc>
      </w:tr>
    </w:tbl>
    <w:p w:rsidR="00506F4C" w:rsidRPr="006D2225" w:rsidRDefault="00506F4C" w:rsidP="00506F4C">
      <w:pPr>
        <w:pStyle w:val="ActHead4"/>
      </w:pPr>
      <w:bookmarkStart w:id="395" w:name="_Toc338939469"/>
      <w:r w:rsidRPr="006D2225">
        <w:rPr>
          <w:rStyle w:val="CharSubdNo"/>
        </w:rPr>
        <w:t>Subdivision 842</w:t>
      </w:r>
      <w:r>
        <w:rPr>
          <w:rStyle w:val="CharSubdNo"/>
        </w:rPr>
        <w:noBreakHyphen/>
      </w:r>
      <w:r w:rsidRPr="006D2225">
        <w:rPr>
          <w:rStyle w:val="CharSubdNo"/>
        </w:rPr>
        <w:t>I</w:t>
      </w:r>
      <w:r w:rsidRPr="006D2225">
        <w:t>—</w:t>
      </w:r>
      <w:r w:rsidRPr="006D2225">
        <w:rPr>
          <w:rStyle w:val="CharSubdText"/>
        </w:rPr>
        <w:t>Investment manager regime</w:t>
      </w:r>
      <w:bookmarkEnd w:id="395"/>
    </w:p>
    <w:p w:rsidR="00506F4C" w:rsidRPr="006D2225" w:rsidRDefault="00506F4C" w:rsidP="00506F4C">
      <w:pPr>
        <w:pStyle w:val="ActHead4"/>
      </w:pPr>
      <w:bookmarkStart w:id="396" w:name="_Toc338939470"/>
      <w:r w:rsidRPr="006D2225">
        <w:t>Guide to Subdivision 842</w:t>
      </w:r>
      <w:r>
        <w:noBreakHyphen/>
      </w:r>
      <w:r w:rsidRPr="006D2225">
        <w:t>I</w:t>
      </w:r>
      <w:bookmarkEnd w:id="396"/>
    </w:p>
    <w:p w:rsidR="00506F4C" w:rsidRPr="006D2225" w:rsidRDefault="00506F4C" w:rsidP="00506F4C">
      <w:pPr>
        <w:pStyle w:val="ActHead5"/>
      </w:pPr>
      <w:bookmarkStart w:id="397" w:name="_Toc338939471"/>
      <w:r w:rsidRPr="006D2225">
        <w:rPr>
          <w:rStyle w:val="CharSectno"/>
        </w:rPr>
        <w:t>842</w:t>
      </w:r>
      <w:r>
        <w:rPr>
          <w:rStyle w:val="CharSectno"/>
        </w:rPr>
        <w:noBreakHyphen/>
      </w:r>
      <w:r w:rsidRPr="006D2225">
        <w:rPr>
          <w:rStyle w:val="CharSectno"/>
        </w:rPr>
        <w:t>200</w:t>
      </w:r>
      <w:r w:rsidRPr="006D2225">
        <w:t xml:space="preserve">  What this Subdivision is about</w:t>
      </w:r>
      <w:bookmarkEnd w:id="397"/>
    </w:p>
    <w:p w:rsidR="00506F4C" w:rsidRPr="006D2225" w:rsidRDefault="00506F4C" w:rsidP="00506F4C">
      <w:pPr>
        <w:pStyle w:val="BoxText"/>
      </w:pPr>
      <w:r w:rsidRPr="006D2225">
        <w:t>This Subdivision includes rules about the taxation of certain foreign funds with investment income or losses which are treated as being attributable to a permanent establishment in Australia solely because the fund retains the services of an Australian based agent, manager or service provider.</w:t>
      </w:r>
    </w:p>
    <w:p w:rsidR="00506F4C" w:rsidRPr="006D2225" w:rsidRDefault="00506F4C" w:rsidP="00506F4C">
      <w:pPr>
        <w:pStyle w:val="BoxText"/>
      </w:pPr>
      <w:r w:rsidRPr="006D2225">
        <w:t>Where the conditions in this Subdivision are satisfied:</w:t>
      </w:r>
    </w:p>
    <w:p w:rsidR="00506F4C" w:rsidRPr="006D2225" w:rsidRDefault="00506F4C" w:rsidP="00506F4C">
      <w:pPr>
        <w:pStyle w:val="BoxList"/>
      </w:pPr>
      <w:r w:rsidRPr="006D2225">
        <w:t>•</w:t>
      </w:r>
      <w:r w:rsidRPr="006D2225">
        <w:tab/>
        <w:t>returns or gains relating to financial arrangements (known as IMR income) are non</w:t>
      </w:r>
      <w:r>
        <w:noBreakHyphen/>
      </w:r>
      <w:r w:rsidRPr="006D2225">
        <w:t>assessable non</w:t>
      </w:r>
      <w:r>
        <w:noBreakHyphen/>
      </w:r>
      <w:r w:rsidRPr="006D2225">
        <w:t>exempt income or disregarded; and</w:t>
      </w:r>
    </w:p>
    <w:p w:rsidR="00506F4C" w:rsidRPr="006D2225" w:rsidRDefault="00506F4C" w:rsidP="00506F4C">
      <w:pPr>
        <w:pStyle w:val="BoxList"/>
      </w:pPr>
      <w:r w:rsidRPr="006D2225">
        <w:t>•</w:t>
      </w:r>
      <w:r w:rsidRPr="006D2225">
        <w:tab/>
        <w:t>deductions and losses relating to financial arrangements (known as IMR deductions) are disregarded; and</w:t>
      </w:r>
    </w:p>
    <w:p w:rsidR="00506F4C" w:rsidRPr="006D2225" w:rsidRDefault="00506F4C" w:rsidP="00506F4C">
      <w:pPr>
        <w:pStyle w:val="BoxList"/>
      </w:pPr>
      <w:r w:rsidRPr="006D2225">
        <w:t>•</w:t>
      </w:r>
      <w:r w:rsidRPr="006D2225">
        <w:tab/>
        <w:t>capital gains relating to financial arrangements (known as IMR capital gains) are disregarded; and</w:t>
      </w:r>
    </w:p>
    <w:p w:rsidR="00506F4C" w:rsidRPr="006D2225" w:rsidRDefault="00506F4C" w:rsidP="00506F4C">
      <w:pPr>
        <w:pStyle w:val="BoxList"/>
      </w:pPr>
      <w:r w:rsidRPr="006D2225">
        <w:lastRenderedPageBreak/>
        <w:t>•</w:t>
      </w:r>
      <w:r w:rsidRPr="006D2225">
        <w:tab/>
        <w:t>capital losses relating to financial arrangements (known as IMR capital losses) are disregarded.</w:t>
      </w:r>
    </w:p>
    <w:p w:rsidR="00506F4C" w:rsidRPr="006D2225" w:rsidRDefault="00506F4C" w:rsidP="00506F4C">
      <w:pPr>
        <w:pStyle w:val="BoxText"/>
      </w:pPr>
      <w:r w:rsidRPr="006D2225">
        <w:t>These amounts are also disregarded if a foreign resident beneficiary of a trust, or a foreign resident partner in a partnership, receives them (or amounts attributable to them) through one or more interposed trusts or partnerships.</w:t>
      </w:r>
    </w:p>
    <w:p w:rsidR="00506F4C" w:rsidRPr="006D2225" w:rsidRDefault="00506F4C" w:rsidP="00506F4C">
      <w:pPr>
        <w:pStyle w:val="TofSectsHeading"/>
      </w:pPr>
      <w:r w:rsidRPr="006D2225">
        <w:t>Table of sections</w:t>
      </w:r>
    </w:p>
    <w:p w:rsidR="00506F4C" w:rsidRPr="006D2225" w:rsidRDefault="00506F4C" w:rsidP="00506F4C">
      <w:pPr>
        <w:pStyle w:val="TofSectsGroupHeading"/>
      </w:pPr>
      <w:r w:rsidRPr="006D2225">
        <w:t>Operative provisions</w:t>
      </w:r>
    </w:p>
    <w:p w:rsidR="00506F4C" w:rsidRPr="006D2225" w:rsidRDefault="00506F4C" w:rsidP="00506F4C">
      <w:pPr>
        <w:pStyle w:val="TofSectsSection"/>
      </w:pPr>
      <w:r w:rsidRPr="006D2225">
        <w:t>842</w:t>
      </w:r>
      <w:r>
        <w:noBreakHyphen/>
      </w:r>
      <w:r w:rsidRPr="006D2225">
        <w:t>205</w:t>
      </w:r>
      <w:r w:rsidRPr="006D2225">
        <w:tab/>
        <w:t>Objects of this Subdivision</w:t>
      </w:r>
    </w:p>
    <w:p w:rsidR="00506F4C" w:rsidRPr="006D2225" w:rsidRDefault="00506F4C" w:rsidP="00506F4C">
      <w:pPr>
        <w:pStyle w:val="TofSectsSection"/>
      </w:pPr>
      <w:r w:rsidRPr="006D2225">
        <w:t>842</w:t>
      </w:r>
      <w:r>
        <w:noBreakHyphen/>
      </w:r>
      <w:r w:rsidRPr="006D2225">
        <w:t>210</w:t>
      </w:r>
      <w:r w:rsidRPr="006D2225">
        <w:tab/>
        <w:t>Treatment of IMR foreign fund that is a corporate tax entity</w:t>
      </w:r>
    </w:p>
    <w:p w:rsidR="00506F4C" w:rsidRPr="006D2225" w:rsidRDefault="00506F4C" w:rsidP="00506F4C">
      <w:pPr>
        <w:pStyle w:val="TofSectsSection"/>
      </w:pPr>
      <w:r w:rsidRPr="006D2225">
        <w:t>842</w:t>
      </w:r>
      <w:r>
        <w:noBreakHyphen/>
      </w:r>
      <w:r w:rsidRPr="006D2225">
        <w:t>215</w:t>
      </w:r>
      <w:r w:rsidRPr="006D2225">
        <w:tab/>
        <w:t>Treatment of foreign resident beneficiary that is not a trust or partnership</w:t>
      </w:r>
    </w:p>
    <w:p w:rsidR="00506F4C" w:rsidRPr="006D2225" w:rsidRDefault="00506F4C" w:rsidP="00506F4C">
      <w:pPr>
        <w:pStyle w:val="TofSectsSection"/>
      </w:pPr>
      <w:r w:rsidRPr="006D2225">
        <w:t>842</w:t>
      </w:r>
      <w:r>
        <w:noBreakHyphen/>
      </w:r>
      <w:r w:rsidRPr="006D2225">
        <w:t>220</w:t>
      </w:r>
      <w:r w:rsidRPr="006D2225">
        <w:tab/>
        <w:t>Treatment of foreign resident partner that is not a trust or partnership</w:t>
      </w:r>
    </w:p>
    <w:p w:rsidR="00506F4C" w:rsidRPr="006D2225" w:rsidRDefault="00506F4C" w:rsidP="00506F4C">
      <w:pPr>
        <w:pStyle w:val="TofSectsSection"/>
      </w:pPr>
      <w:r w:rsidRPr="006D2225">
        <w:t>842</w:t>
      </w:r>
      <w:r>
        <w:noBreakHyphen/>
      </w:r>
      <w:r w:rsidRPr="006D2225">
        <w:t>225</w:t>
      </w:r>
      <w:r w:rsidRPr="006D2225">
        <w:tab/>
        <w:t>Treatment of trustee of an IMR foreign fund</w:t>
      </w:r>
    </w:p>
    <w:p w:rsidR="00506F4C" w:rsidRPr="006D2225" w:rsidRDefault="00506F4C" w:rsidP="00506F4C">
      <w:pPr>
        <w:pStyle w:val="TofSectsSection"/>
      </w:pPr>
      <w:r w:rsidRPr="006D2225">
        <w:t>842</w:t>
      </w:r>
      <w:r>
        <w:noBreakHyphen/>
      </w:r>
      <w:r w:rsidRPr="006D2225">
        <w:t>230</w:t>
      </w:r>
      <w:r w:rsidRPr="006D2225">
        <w:tab/>
      </w:r>
      <w:r w:rsidRPr="006D2225">
        <w:rPr>
          <w:rStyle w:val="CharBoldItalic"/>
        </w:rPr>
        <w:t>IMR foreign fund</w:t>
      </w:r>
    </w:p>
    <w:p w:rsidR="00506F4C" w:rsidRPr="006D2225" w:rsidRDefault="00506F4C" w:rsidP="00506F4C">
      <w:pPr>
        <w:pStyle w:val="TofSectsSection"/>
      </w:pPr>
      <w:r w:rsidRPr="006D2225">
        <w:t>842</w:t>
      </w:r>
      <w:r>
        <w:noBreakHyphen/>
      </w:r>
      <w:r w:rsidRPr="006D2225">
        <w:t>235</w:t>
      </w:r>
      <w:r w:rsidRPr="006D2225">
        <w:tab/>
        <w:t>Wind</w:t>
      </w:r>
      <w:r>
        <w:noBreakHyphen/>
      </w:r>
      <w:r w:rsidRPr="006D2225">
        <w:t>down phases</w:t>
      </w:r>
    </w:p>
    <w:p w:rsidR="00506F4C" w:rsidRPr="006D2225" w:rsidRDefault="00506F4C" w:rsidP="00506F4C">
      <w:pPr>
        <w:pStyle w:val="TofSectsSection"/>
      </w:pPr>
      <w:r w:rsidRPr="006D2225">
        <w:t>842</w:t>
      </w:r>
      <w:r>
        <w:noBreakHyphen/>
      </w:r>
      <w:r w:rsidRPr="006D2225">
        <w:t>240</w:t>
      </w:r>
      <w:r w:rsidRPr="006D2225">
        <w:tab/>
        <w:t>Widely held test and concentration test</w:t>
      </w:r>
    </w:p>
    <w:p w:rsidR="00506F4C" w:rsidRPr="006D2225" w:rsidRDefault="00506F4C" w:rsidP="00506F4C">
      <w:pPr>
        <w:pStyle w:val="TofSectsSection"/>
      </w:pPr>
      <w:r w:rsidRPr="006D2225">
        <w:t>842</w:t>
      </w:r>
      <w:r>
        <w:noBreakHyphen/>
      </w:r>
      <w:r w:rsidRPr="006D2225">
        <w:t>245</w:t>
      </w:r>
      <w:r w:rsidRPr="006D2225">
        <w:tab/>
      </w:r>
      <w:r w:rsidR="008A6D65" w:rsidRPr="006D2225">
        <w:t>Financial arrangements covered by this section</w:t>
      </w:r>
    </w:p>
    <w:p w:rsidR="00506F4C" w:rsidRPr="006D2225" w:rsidRDefault="00506F4C" w:rsidP="00506F4C">
      <w:pPr>
        <w:pStyle w:val="TofSectsSection"/>
        <w:rPr>
          <w:rStyle w:val="CharBoldItalic"/>
        </w:rPr>
      </w:pPr>
      <w:r w:rsidRPr="006D2225">
        <w:t>842</w:t>
      </w:r>
      <w:r>
        <w:noBreakHyphen/>
      </w:r>
      <w:r w:rsidRPr="006D2225">
        <w:t>250</w:t>
      </w:r>
      <w:r w:rsidRPr="006D2225">
        <w:tab/>
      </w:r>
      <w:r w:rsidRPr="006D2225">
        <w:rPr>
          <w:rStyle w:val="CharBoldItalic"/>
        </w:rPr>
        <w:t>IMR income</w:t>
      </w:r>
      <w:r w:rsidRPr="006D2225">
        <w:t xml:space="preserve"> and </w:t>
      </w:r>
      <w:r w:rsidRPr="006D2225">
        <w:rPr>
          <w:rStyle w:val="CharBoldItalic"/>
        </w:rPr>
        <w:t>IMR deduction</w:t>
      </w:r>
    </w:p>
    <w:p w:rsidR="00506F4C" w:rsidRPr="006D2225" w:rsidRDefault="00506F4C" w:rsidP="00506F4C">
      <w:pPr>
        <w:pStyle w:val="TofSectsSection"/>
        <w:rPr>
          <w:rStyle w:val="CharBoldItalic"/>
        </w:rPr>
      </w:pPr>
      <w:r w:rsidRPr="006D2225">
        <w:t>842</w:t>
      </w:r>
      <w:r>
        <w:noBreakHyphen/>
      </w:r>
      <w:r w:rsidRPr="006D2225">
        <w:t>255</w:t>
      </w:r>
      <w:r w:rsidRPr="006D2225">
        <w:tab/>
      </w:r>
      <w:r w:rsidRPr="006D2225">
        <w:rPr>
          <w:rStyle w:val="CharBoldItalic"/>
        </w:rPr>
        <w:t>IMR capital gain</w:t>
      </w:r>
      <w:r w:rsidRPr="006D2225">
        <w:t xml:space="preserve"> and </w:t>
      </w:r>
      <w:r w:rsidRPr="006D2225">
        <w:rPr>
          <w:rStyle w:val="CharBoldItalic"/>
        </w:rPr>
        <w:t>IMR capital loss</w:t>
      </w:r>
    </w:p>
    <w:p w:rsidR="00506F4C" w:rsidRPr="006D2225" w:rsidRDefault="00506F4C" w:rsidP="00506F4C">
      <w:pPr>
        <w:pStyle w:val="TofSectsSection"/>
      </w:pPr>
      <w:r w:rsidRPr="006D2225">
        <w:t>842</w:t>
      </w:r>
      <w:r>
        <w:noBreakHyphen/>
      </w:r>
      <w:r w:rsidRPr="006D2225">
        <w:t>260</w:t>
      </w:r>
      <w:r w:rsidRPr="006D2225">
        <w:rPr>
          <w:rStyle w:val="CharBoldItalic"/>
        </w:rPr>
        <w:tab/>
        <w:t>Non</w:t>
      </w:r>
      <w:r>
        <w:rPr>
          <w:rStyle w:val="CharBoldItalic"/>
        </w:rPr>
        <w:noBreakHyphen/>
      </w:r>
      <w:r w:rsidRPr="006D2225">
        <w:rPr>
          <w:rStyle w:val="CharBoldItalic"/>
        </w:rPr>
        <w:t>IMR net income</w:t>
      </w:r>
      <w:r w:rsidRPr="006D2225">
        <w:t xml:space="preserve">, </w:t>
      </w:r>
      <w:r w:rsidRPr="006D2225">
        <w:rPr>
          <w:rStyle w:val="CharBoldItalic"/>
        </w:rPr>
        <w:t>non</w:t>
      </w:r>
      <w:r>
        <w:rPr>
          <w:rStyle w:val="CharBoldItalic"/>
        </w:rPr>
        <w:noBreakHyphen/>
      </w:r>
      <w:r w:rsidRPr="006D2225">
        <w:rPr>
          <w:rStyle w:val="CharBoldItalic"/>
        </w:rPr>
        <w:t xml:space="preserve">IMR Division 6E net income </w:t>
      </w:r>
      <w:r w:rsidRPr="006D2225">
        <w:t xml:space="preserve">and </w:t>
      </w:r>
      <w:r w:rsidRPr="006D2225">
        <w:rPr>
          <w:rStyle w:val="CharBoldItalic"/>
        </w:rPr>
        <w:t>non</w:t>
      </w:r>
      <w:r>
        <w:rPr>
          <w:rStyle w:val="CharBoldItalic"/>
        </w:rPr>
        <w:noBreakHyphen/>
      </w:r>
      <w:r w:rsidRPr="006D2225">
        <w:rPr>
          <w:rStyle w:val="CharBoldItalic"/>
        </w:rPr>
        <w:t>IMR net capital gain</w:t>
      </w:r>
    </w:p>
    <w:p w:rsidR="00506F4C" w:rsidRPr="006D2225" w:rsidRDefault="00506F4C" w:rsidP="00506F4C">
      <w:pPr>
        <w:pStyle w:val="TofSectsSection"/>
      </w:pPr>
      <w:r w:rsidRPr="006D2225">
        <w:t>842</w:t>
      </w:r>
      <w:r>
        <w:noBreakHyphen/>
      </w:r>
      <w:r w:rsidRPr="006D2225">
        <w:t>265</w:t>
      </w:r>
      <w:r w:rsidRPr="006D2225">
        <w:tab/>
      </w:r>
      <w:r w:rsidRPr="006D2225">
        <w:rPr>
          <w:rStyle w:val="CharBoldItalic"/>
        </w:rPr>
        <w:t>Non</w:t>
      </w:r>
      <w:r>
        <w:rPr>
          <w:rStyle w:val="CharBoldItalic"/>
        </w:rPr>
        <w:noBreakHyphen/>
      </w:r>
      <w:r w:rsidRPr="006D2225">
        <w:rPr>
          <w:rStyle w:val="CharBoldItalic"/>
        </w:rPr>
        <w:t>IMR partnership net income</w:t>
      </w:r>
      <w:r w:rsidRPr="006D2225">
        <w:t xml:space="preserve"> and </w:t>
      </w:r>
      <w:r w:rsidRPr="006D2225">
        <w:rPr>
          <w:rStyle w:val="CharBoldItalic"/>
        </w:rPr>
        <w:t>non</w:t>
      </w:r>
      <w:r>
        <w:rPr>
          <w:rStyle w:val="CharBoldItalic"/>
        </w:rPr>
        <w:noBreakHyphen/>
      </w:r>
      <w:r w:rsidRPr="006D2225">
        <w:rPr>
          <w:rStyle w:val="CharBoldItalic"/>
        </w:rPr>
        <w:t>IMR partnership loss</w:t>
      </w:r>
    </w:p>
    <w:p w:rsidR="00506F4C" w:rsidRPr="006D2225" w:rsidRDefault="00506F4C" w:rsidP="00506F4C">
      <w:pPr>
        <w:pStyle w:val="TofSectsSection"/>
      </w:pPr>
      <w:r w:rsidRPr="006D2225">
        <w:t>842</w:t>
      </w:r>
      <w:r>
        <w:noBreakHyphen/>
      </w:r>
      <w:r w:rsidRPr="006D2225">
        <w:t>270</w:t>
      </w:r>
      <w:r w:rsidRPr="006D2225">
        <w:tab/>
      </w:r>
      <w:r w:rsidRPr="006D2225">
        <w:rPr>
          <w:rStyle w:val="CharBoldItalic"/>
        </w:rPr>
        <w:t>Pre</w:t>
      </w:r>
      <w:r>
        <w:rPr>
          <w:rStyle w:val="CharBoldItalic"/>
        </w:rPr>
        <w:noBreakHyphen/>
      </w:r>
      <w:r w:rsidRPr="006D2225">
        <w:rPr>
          <w:rStyle w:val="CharBoldItalic"/>
        </w:rPr>
        <w:t xml:space="preserve">2012 IMR income </w:t>
      </w:r>
      <w:r w:rsidRPr="006D2225">
        <w:t xml:space="preserve">and </w:t>
      </w:r>
      <w:r w:rsidRPr="006D2225">
        <w:rPr>
          <w:rStyle w:val="CharBoldItalic"/>
        </w:rPr>
        <w:t>pre</w:t>
      </w:r>
      <w:r>
        <w:rPr>
          <w:rStyle w:val="CharBoldItalic"/>
        </w:rPr>
        <w:noBreakHyphen/>
      </w:r>
      <w:r w:rsidRPr="006D2225">
        <w:rPr>
          <w:rStyle w:val="CharBoldItalic"/>
        </w:rPr>
        <w:t>2012 IMR capital gain</w:t>
      </w:r>
    </w:p>
    <w:p w:rsidR="00506F4C" w:rsidRPr="006D2225" w:rsidRDefault="00506F4C" w:rsidP="00506F4C">
      <w:pPr>
        <w:pStyle w:val="ActHead4"/>
      </w:pPr>
      <w:bookmarkStart w:id="398" w:name="_Toc338939472"/>
      <w:r w:rsidRPr="006D2225">
        <w:t>Operative provisions</w:t>
      </w:r>
      <w:bookmarkEnd w:id="398"/>
    </w:p>
    <w:p w:rsidR="00506F4C" w:rsidRPr="006D2225" w:rsidRDefault="00506F4C" w:rsidP="00506F4C">
      <w:pPr>
        <w:pStyle w:val="ActHead5"/>
      </w:pPr>
      <w:bookmarkStart w:id="399" w:name="_Toc338939473"/>
      <w:r w:rsidRPr="006D2225">
        <w:rPr>
          <w:rStyle w:val="CharSectno"/>
        </w:rPr>
        <w:t>842</w:t>
      </w:r>
      <w:r>
        <w:rPr>
          <w:rStyle w:val="CharSectno"/>
        </w:rPr>
        <w:noBreakHyphen/>
      </w:r>
      <w:r w:rsidRPr="006D2225">
        <w:rPr>
          <w:rStyle w:val="CharSectno"/>
        </w:rPr>
        <w:t>205</w:t>
      </w:r>
      <w:r w:rsidRPr="006D2225">
        <w:t xml:space="preserve">  Objects of this Subdivision</w:t>
      </w:r>
      <w:bookmarkEnd w:id="399"/>
    </w:p>
    <w:p w:rsidR="00506F4C" w:rsidRPr="006D2225" w:rsidRDefault="00506F4C" w:rsidP="00506F4C">
      <w:pPr>
        <w:pStyle w:val="subsection"/>
      </w:pPr>
      <w:r w:rsidRPr="006D2225">
        <w:tab/>
        <w:t>(1)</w:t>
      </w:r>
      <w:r w:rsidRPr="006D2225">
        <w:tab/>
        <w:t>The objects of this Subdivision are to ensure that:</w:t>
      </w:r>
    </w:p>
    <w:p w:rsidR="00506F4C" w:rsidRPr="006D2225" w:rsidRDefault="00506F4C" w:rsidP="00506F4C">
      <w:pPr>
        <w:pStyle w:val="paragraph"/>
      </w:pPr>
      <w:r w:rsidRPr="006D2225">
        <w:tab/>
        <w:t>(a)</w:t>
      </w:r>
      <w:r w:rsidRPr="006D2225">
        <w:tab/>
        <w:t xml:space="preserve">foreign funds are not subject to Australian income tax in respect of certain </w:t>
      </w:r>
      <w:r w:rsidRPr="006D2225">
        <w:rPr>
          <w:position w:val="6"/>
          <w:sz w:val="16"/>
        </w:rPr>
        <w:t>*</w:t>
      </w:r>
      <w:r w:rsidRPr="006D2225">
        <w:t>financial arrangements solely because they engage the services of an Australian based agent, manager or service provider; and</w:t>
      </w:r>
    </w:p>
    <w:p w:rsidR="00506F4C" w:rsidRPr="006D2225" w:rsidRDefault="00506F4C" w:rsidP="00506F4C">
      <w:pPr>
        <w:pStyle w:val="paragraph"/>
      </w:pPr>
      <w:r w:rsidRPr="006D2225">
        <w:tab/>
        <w:t>(b)</w:t>
      </w:r>
      <w:r w:rsidRPr="006D2225">
        <w:tab/>
        <w:t>Australian resident taxpayers continue to be subject to tax on their worldwide income; and</w:t>
      </w:r>
    </w:p>
    <w:p w:rsidR="00506F4C" w:rsidRPr="006D2225" w:rsidRDefault="00506F4C" w:rsidP="00506F4C">
      <w:pPr>
        <w:pStyle w:val="paragraph"/>
      </w:pPr>
      <w:r w:rsidRPr="006D2225">
        <w:lastRenderedPageBreak/>
        <w:tab/>
        <w:t>(c)</w:t>
      </w:r>
      <w:r w:rsidRPr="006D2225">
        <w:tab/>
        <w:t>the benefits of the tax concessions in this Subdivision are only available where foreign funds are widely held and are not owned by a small group of investors.</w:t>
      </w:r>
    </w:p>
    <w:p w:rsidR="00506F4C" w:rsidRPr="006D2225" w:rsidRDefault="00506F4C" w:rsidP="00506F4C">
      <w:pPr>
        <w:pStyle w:val="subsection"/>
      </w:pPr>
      <w:r w:rsidRPr="006D2225">
        <w:tab/>
        <w:t>(2)</w:t>
      </w:r>
      <w:r w:rsidRPr="006D2225">
        <w:tab/>
        <w:t>This is achieved by:</w:t>
      </w:r>
    </w:p>
    <w:p w:rsidR="00506F4C" w:rsidRPr="006D2225" w:rsidRDefault="00506F4C" w:rsidP="00506F4C">
      <w:pPr>
        <w:pStyle w:val="paragraph"/>
      </w:pPr>
      <w:r w:rsidRPr="006D2225">
        <w:tab/>
        <w:t>(a)</w:t>
      </w:r>
      <w:r w:rsidRPr="006D2225">
        <w:tab/>
        <w:t xml:space="preserve">treating certain </w:t>
      </w:r>
      <w:r w:rsidRPr="006D2225">
        <w:rPr>
          <w:position w:val="6"/>
          <w:sz w:val="16"/>
        </w:rPr>
        <w:t>*</w:t>
      </w:r>
      <w:r w:rsidRPr="006D2225">
        <w:t xml:space="preserve">ordinary income and </w:t>
      </w:r>
      <w:r w:rsidRPr="006D2225">
        <w:rPr>
          <w:position w:val="6"/>
          <w:sz w:val="16"/>
        </w:rPr>
        <w:t>*</w:t>
      </w:r>
      <w:r w:rsidRPr="006D2225">
        <w:t xml:space="preserve">statutory income as </w:t>
      </w:r>
      <w:r w:rsidRPr="006D2225">
        <w:rPr>
          <w:position w:val="6"/>
          <w:sz w:val="16"/>
        </w:rPr>
        <w:t>*</w:t>
      </w:r>
      <w:r w:rsidRPr="006D2225">
        <w:t>non</w:t>
      </w:r>
      <w:r>
        <w:noBreakHyphen/>
      </w:r>
      <w:r w:rsidRPr="006D2225">
        <w:t>assessable non</w:t>
      </w:r>
      <w:r>
        <w:noBreakHyphen/>
      </w:r>
      <w:r w:rsidRPr="006D2225">
        <w:t>exempt income; and</w:t>
      </w:r>
    </w:p>
    <w:p w:rsidR="00506F4C" w:rsidRPr="006D2225" w:rsidRDefault="00506F4C" w:rsidP="00506F4C">
      <w:pPr>
        <w:pStyle w:val="paragraph"/>
      </w:pPr>
      <w:r w:rsidRPr="006D2225">
        <w:tab/>
        <w:t>(b)</w:t>
      </w:r>
      <w:r w:rsidRPr="006D2225">
        <w:tab/>
        <w:t>disregarding certain deductions; and</w:t>
      </w:r>
    </w:p>
    <w:p w:rsidR="00506F4C" w:rsidRPr="006D2225" w:rsidRDefault="00506F4C" w:rsidP="00506F4C">
      <w:pPr>
        <w:pStyle w:val="paragraph"/>
      </w:pPr>
      <w:r w:rsidRPr="006D2225">
        <w:tab/>
        <w:t>(c)</w:t>
      </w:r>
      <w:r w:rsidRPr="006D2225">
        <w:tab/>
        <w:t xml:space="preserve">disregarding certain </w:t>
      </w:r>
      <w:r w:rsidRPr="006D2225">
        <w:rPr>
          <w:position w:val="6"/>
          <w:sz w:val="16"/>
        </w:rPr>
        <w:t>*</w:t>
      </w:r>
      <w:r w:rsidRPr="006D2225">
        <w:t xml:space="preserve">capital gains and </w:t>
      </w:r>
      <w:r w:rsidRPr="006D2225">
        <w:rPr>
          <w:position w:val="6"/>
          <w:sz w:val="16"/>
        </w:rPr>
        <w:t>*</w:t>
      </w:r>
      <w:r w:rsidRPr="006D2225">
        <w:t>capital losses; and</w:t>
      </w:r>
    </w:p>
    <w:p w:rsidR="00506F4C" w:rsidRPr="006D2225" w:rsidRDefault="00506F4C" w:rsidP="00506F4C">
      <w:pPr>
        <w:pStyle w:val="paragraph"/>
      </w:pPr>
      <w:r w:rsidRPr="006D2225">
        <w:tab/>
        <w:t>(d)</w:t>
      </w:r>
      <w:r w:rsidRPr="006D2225">
        <w:tab/>
        <w:t>requiring foreign funds that seek to benefit from the tax concessions in this Subdivision to pass a widely held test and a concentration test to show that they are not controlled by a small group of investors.</w:t>
      </w:r>
    </w:p>
    <w:p w:rsidR="00506F4C" w:rsidRPr="006D2225" w:rsidRDefault="00506F4C" w:rsidP="00506F4C">
      <w:pPr>
        <w:pStyle w:val="ActHead5"/>
      </w:pPr>
      <w:bookmarkStart w:id="400" w:name="_Toc338939474"/>
      <w:r w:rsidRPr="006D2225">
        <w:rPr>
          <w:rStyle w:val="CharSectno"/>
        </w:rPr>
        <w:t>842</w:t>
      </w:r>
      <w:r>
        <w:rPr>
          <w:rStyle w:val="CharSectno"/>
        </w:rPr>
        <w:noBreakHyphen/>
      </w:r>
      <w:r w:rsidRPr="006D2225">
        <w:rPr>
          <w:rStyle w:val="CharSectno"/>
        </w:rPr>
        <w:t>210</w:t>
      </w:r>
      <w:r w:rsidRPr="006D2225">
        <w:t xml:space="preserve">  Treatment of IMR foreign fund that is a corporate tax entity</w:t>
      </w:r>
      <w:bookmarkEnd w:id="400"/>
    </w:p>
    <w:p w:rsidR="00506F4C" w:rsidRPr="006D2225" w:rsidRDefault="00506F4C" w:rsidP="00506F4C">
      <w:pPr>
        <w:pStyle w:val="SubsectionHead"/>
      </w:pPr>
      <w:r w:rsidRPr="006D2225">
        <w:t>Objects</w:t>
      </w:r>
    </w:p>
    <w:p w:rsidR="00506F4C" w:rsidRPr="006D2225" w:rsidRDefault="00506F4C" w:rsidP="00506F4C">
      <w:pPr>
        <w:pStyle w:val="subsection"/>
      </w:pPr>
      <w:r w:rsidRPr="006D2225">
        <w:tab/>
        <w:t>(1)</w:t>
      </w:r>
      <w:r w:rsidRPr="006D2225">
        <w:tab/>
        <w:t>The objects of this section are to ensure that:</w:t>
      </w:r>
    </w:p>
    <w:p w:rsidR="00506F4C" w:rsidRPr="006D2225" w:rsidRDefault="00506F4C" w:rsidP="00506F4C">
      <w:pPr>
        <w:pStyle w:val="paragraph"/>
      </w:pPr>
      <w:r w:rsidRPr="006D2225">
        <w:tab/>
        <w:t>(a)</w:t>
      </w:r>
      <w:r w:rsidRPr="006D2225">
        <w:tab/>
        <w:t xml:space="preserve">a </w:t>
      </w:r>
      <w:r w:rsidRPr="006D2225">
        <w:rPr>
          <w:position w:val="6"/>
          <w:sz w:val="16"/>
        </w:rPr>
        <w:t>*</w:t>
      </w:r>
      <w:r w:rsidRPr="006D2225">
        <w:t xml:space="preserve">corporate tax entity that is an </w:t>
      </w:r>
      <w:r w:rsidRPr="006D2225">
        <w:rPr>
          <w:position w:val="6"/>
          <w:sz w:val="16"/>
        </w:rPr>
        <w:t>*</w:t>
      </w:r>
      <w:r w:rsidRPr="006D2225">
        <w:t xml:space="preserve">IMR foreign fund in relation to an income year is not subject to any Australian income tax in respect of its </w:t>
      </w:r>
      <w:r w:rsidRPr="006D2225">
        <w:rPr>
          <w:position w:val="6"/>
          <w:sz w:val="16"/>
        </w:rPr>
        <w:t>*</w:t>
      </w:r>
      <w:r w:rsidRPr="006D2225">
        <w:t xml:space="preserve">IMR income and </w:t>
      </w:r>
      <w:r w:rsidRPr="006D2225">
        <w:rPr>
          <w:position w:val="6"/>
          <w:sz w:val="16"/>
        </w:rPr>
        <w:t>*</w:t>
      </w:r>
      <w:r w:rsidRPr="006D2225">
        <w:t>IMR capital gain for that income year; and</w:t>
      </w:r>
    </w:p>
    <w:p w:rsidR="00506F4C" w:rsidRPr="006D2225" w:rsidRDefault="00506F4C" w:rsidP="00506F4C">
      <w:pPr>
        <w:pStyle w:val="paragraph"/>
      </w:pPr>
      <w:r w:rsidRPr="006D2225">
        <w:tab/>
        <w:t>(b)</w:t>
      </w:r>
      <w:r w:rsidRPr="006D2225">
        <w:tab/>
        <w:t xml:space="preserve">the corporate tax entity’s </w:t>
      </w:r>
      <w:r w:rsidRPr="006D2225">
        <w:rPr>
          <w:position w:val="6"/>
          <w:sz w:val="16"/>
        </w:rPr>
        <w:t>*</w:t>
      </w:r>
      <w:r w:rsidRPr="006D2225">
        <w:t xml:space="preserve">IMR deduction or </w:t>
      </w:r>
      <w:r w:rsidRPr="006D2225">
        <w:rPr>
          <w:position w:val="6"/>
          <w:sz w:val="16"/>
        </w:rPr>
        <w:t>*</w:t>
      </w:r>
      <w:r w:rsidRPr="006D2225">
        <w:t>IMR capital loss in relation to an income year cannot be applied against the corporate tax entity’s other income and gains; and</w:t>
      </w:r>
    </w:p>
    <w:p w:rsidR="00506F4C" w:rsidRPr="006D2225" w:rsidRDefault="00506F4C" w:rsidP="00506F4C">
      <w:pPr>
        <w:pStyle w:val="paragraph"/>
      </w:pPr>
      <w:r w:rsidRPr="006D2225">
        <w:tab/>
        <w:t>(c)</w:t>
      </w:r>
      <w:r w:rsidRPr="006D2225">
        <w:tab/>
        <w:t>this section does not provide any tax concession to an Australian resident who invests in the corporate tax entity (whether directly or indirectly through one or more interposed entities).</w:t>
      </w:r>
    </w:p>
    <w:p w:rsidR="00506F4C" w:rsidRPr="006D2225" w:rsidRDefault="00506F4C" w:rsidP="00506F4C">
      <w:pPr>
        <w:pStyle w:val="SubsectionHead"/>
      </w:pPr>
      <w:r w:rsidRPr="006D2225">
        <w:t>Application</w:t>
      </w:r>
    </w:p>
    <w:p w:rsidR="00506F4C" w:rsidRPr="006D2225" w:rsidRDefault="00506F4C" w:rsidP="00506F4C">
      <w:pPr>
        <w:pStyle w:val="subsection"/>
      </w:pPr>
      <w:r w:rsidRPr="006D2225">
        <w:tab/>
        <w:t>(2)</w:t>
      </w:r>
      <w:r w:rsidRPr="006D2225">
        <w:tab/>
        <w:t xml:space="preserve">This section applies to a </w:t>
      </w:r>
      <w:r w:rsidRPr="006D2225">
        <w:rPr>
          <w:position w:val="6"/>
          <w:sz w:val="16"/>
        </w:rPr>
        <w:t>*</w:t>
      </w:r>
      <w:r w:rsidRPr="006D2225">
        <w:t xml:space="preserve">corporate tax entity that is an </w:t>
      </w:r>
      <w:r w:rsidRPr="006D2225">
        <w:rPr>
          <w:position w:val="6"/>
          <w:sz w:val="16"/>
        </w:rPr>
        <w:t>*</w:t>
      </w:r>
      <w:r w:rsidRPr="006D2225">
        <w:t>IMR foreign fund in relation to an income year.</w:t>
      </w:r>
    </w:p>
    <w:p w:rsidR="00506F4C" w:rsidRPr="006D2225" w:rsidRDefault="00506F4C" w:rsidP="00506F4C">
      <w:pPr>
        <w:pStyle w:val="SubsectionHead"/>
      </w:pPr>
      <w:r w:rsidRPr="006D2225">
        <w:lastRenderedPageBreak/>
        <w:t>Certain amounts disregarded</w:t>
      </w:r>
    </w:p>
    <w:p w:rsidR="00506F4C" w:rsidRPr="006D2225" w:rsidRDefault="00506F4C" w:rsidP="00506F4C">
      <w:pPr>
        <w:pStyle w:val="subsection"/>
      </w:pPr>
      <w:r w:rsidRPr="006D2225">
        <w:tab/>
        <w:t>(3)</w:t>
      </w:r>
      <w:r w:rsidRPr="006D2225">
        <w:tab/>
        <w:t xml:space="preserve">In working out the </w:t>
      </w:r>
      <w:r w:rsidRPr="006D2225">
        <w:rPr>
          <w:position w:val="6"/>
          <w:sz w:val="16"/>
        </w:rPr>
        <w:t>*</w:t>
      </w:r>
      <w:r w:rsidRPr="006D2225">
        <w:t xml:space="preserve">corporate tax entity’s taxable income, </w:t>
      </w:r>
      <w:r w:rsidRPr="006D2225">
        <w:rPr>
          <w:position w:val="6"/>
          <w:sz w:val="16"/>
        </w:rPr>
        <w:t>*</w:t>
      </w:r>
      <w:r w:rsidRPr="006D2225">
        <w:t xml:space="preserve">tax loss or </w:t>
      </w:r>
      <w:r w:rsidRPr="006D2225">
        <w:rPr>
          <w:position w:val="6"/>
          <w:sz w:val="16"/>
        </w:rPr>
        <w:t>*</w:t>
      </w:r>
      <w:r w:rsidRPr="006D2225">
        <w:t>net capital loss for the income year:</w:t>
      </w:r>
    </w:p>
    <w:p w:rsidR="00506F4C" w:rsidRPr="006D2225" w:rsidRDefault="00506F4C" w:rsidP="00506F4C">
      <w:pPr>
        <w:pStyle w:val="paragraph"/>
      </w:pPr>
      <w:r w:rsidRPr="006D2225">
        <w:tab/>
        <w:t>(a)</w:t>
      </w:r>
      <w:r w:rsidRPr="006D2225">
        <w:tab/>
        <w:t xml:space="preserve">treat its </w:t>
      </w:r>
      <w:r w:rsidRPr="006D2225">
        <w:rPr>
          <w:position w:val="6"/>
          <w:sz w:val="16"/>
        </w:rPr>
        <w:t>*</w:t>
      </w:r>
      <w:r w:rsidRPr="006D2225">
        <w:t xml:space="preserve">IMR income in relation to the income year as </w:t>
      </w:r>
      <w:r w:rsidRPr="006D2225">
        <w:rPr>
          <w:position w:val="6"/>
          <w:sz w:val="16"/>
        </w:rPr>
        <w:t>*</w:t>
      </w:r>
      <w:r w:rsidRPr="006D2225">
        <w:t>non</w:t>
      </w:r>
      <w:r>
        <w:noBreakHyphen/>
      </w:r>
      <w:r w:rsidRPr="006D2225">
        <w:t>assessable non</w:t>
      </w:r>
      <w:r>
        <w:noBreakHyphen/>
      </w:r>
      <w:r w:rsidRPr="006D2225">
        <w:t>exempt income; and</w:t>
      </w:r>
    </w:p>
    <w:p w:rsidR="00506F4C" w:rsidRPr="006D2225" w:rsidRDefault="00506F4C" w:rsidP="00506F4C">
      <w:pPr>
        <w:pStyle w:val="paragraph"/>
      </w:pPr>
      <w:r w:rsidRPr="006D2225">
        <w:tab/>
        <w:t>(b)</w:t>
      </w:r>
      <w:r w:rsidRPr="006D2225">
        <w:tab/>
        <w:t xml:space="preserve">disregard its </w:t>
      </w:r>
      <w:r w:rsidRPr="006D2225">
        <w:rPr>
          <w:position w:val="6"/>
          <w:sz w:val="16"/>
        </w:rPr>
        <w:t>*</w:t>
      </w:r>
      <w:r w:rsidRPr="006D2225">
        <w:t>IMR deduction in relation to the income year; and</w:t>
      </w:r>
    </w:p>
    <w:p w:rsidR="00506F4C" w:rsidRPr="006D2225" w:rsidRDefault="00506F4C" w:rsidP="00506F4C">
      <w:pPr>
        <w:pStyle w:val="paragraph"/>
      </w:pPr>
      <w:r w:rsidRPr="006D2225">
        <w:tab/>
        <w:t>(c)</w:t>
      </w:r>
      <w:r w:rsidRPr="006D2225">
        <w:tab/>
        <w:t xml:space="preserve">disregard its </w:t>
      </w:r>
      <w:r w:rsidRPr="006D2225">
        <w:rPr>
          <w:position w:val="6"/>
          <w:sz w:val="16"/>
        </w:rPr>
        <w:t>*</w:t>
      </w:r>
      <w:r w:rsidRPr="006D2225">
        <w:t>IMR capital gain in relation to the income year; and</w:t>
      </w:r>
    </w:p>
    <w:p w:rsidR="00506F4C" w:rsidRPr="006D2225" w:rsidRDefault="00506F4C" w:rsidP="00506F4C">
      <w:pPr>
        <w:pStyle w:val="paragraph"/>
      </w:pPr>
      <w:r w:rsidRPr="006D2225">
        <w:tab/>
        <w:t>(d)</w:t>
      </w:r>
      <w:r w:rsidRPr="006D2225">
        <w:tab/>
        <w:t xml:space="preserve">disregard its </w:t>
      </w:r>
      <w:r w:rsidRPr="006D2225">
        <w:rPr>
          <w:position w:val="6"/>
          <w:sz w:val="16"/>
        </w:rPr>
        <w:t>*</w:t>
      </w:r>
      <w:r w:rsidRPr="006D2225">
        <w:t>IMR capital loss in relation to the income year.</w:t>
      </w:r>
    </w:p>
    <w:p w:rsidR="00506F4C" w:rsidRPr="006D2225" w:rsidRDefault="00506F4C" w:rsidP="00506F4C">
      <w:pPr>
        <w:pStyle w:val="SubsectionHead"/>
      </w:pPr>
      <w:r w:rsidRPr="006D2225">
        <w:t>Certain losses disregarded</w:t>
      </w:r>
    </w:p>
    <w:p w:rsidR="00506F4C" w:rsidRPr="006D2225" w:rsidRDefault="00506F4C" w:rsidP="00506F4C">
      <w:pPr>
        <w:pStyle w:val="subsection"/>
      </w:pPr>
      <w:r w:rsidRPr="006D2225">
        <w:tab/>
        <w:t>(4)</w:t>
      </w:r>
      <w:r w:rsidRPr="006D2225">
        <w:tab/>
        <w:t xml:space="preserve">The </w:t>
      </w:r>
      <w:r w:rsidRPr="006D2225">
        <w:rPr>
          <w:position w:val="6"/>
          <w:sz w:val="16"/>
        </w:rPr>
        <w:t>*</w:t>
      </w:r>
      <w:r w:rsidRPr="006D2225">
        <w:t xml:space="preserve">corporate tax entity cannot </w:t>
      </w:r>
      <w:r w:rsidRPr="006D2225">
        <w:rPr>
          <w:position w:val="6"/>
          <w:sz w:val="16"/>
        </w:rPr>
        <w:t>*</w:t>
      </w:r>
      <w:r w:rsidRPr="006D2225">
        <w:t xml:space="preserve">utilise a </w:t>
      </w:r>
      <w:r w:rsidRPr="006D2225">
        <w:rPr>
          <w:position w:val="6"/>
          <w:sz w:val="16"/>
        </w:rPr>
        <w:t>*</w:t>
      </w:r>
      <w:r w:rsidRPr="006D2225">
        <w:t xml:space="preserve">tax loss or </w:t>
      </w:r>
      <w:r w:rsidRPr="006D2225">
        <w:rPr>
          <w:position w:val="6"/>
          <w:sz w:val="16"/>
        </w:rPr>
        <w:t>*</w:t>
      </w:r>
      <w:r w:rsidRPr="006D2225">
        <w:t xml:space="preserve">net capital loss in relation to the income year, or in any future income year, to the extent the loss is attributable to </w:t>
      </w:r>
      <w:r w:rsidRPr="006D2225">
        <w:rPr>
          <w:position w:val="6"/>
          <w:sz w:val="16"/>
        </w:rPr>
        <w:t>*</w:t>
      </w:r>
      <w:r w:rsidRPr="006D2225">
        <w:t xml:space="preserve">IMR income, an </w:t>
      </w:r>
      <w:r w:rsidRPr="006D2225">
        <w:rPr>
          <w:position w:val="6"/>
          <w:sz w:val="16"/>
        </w:rPr>
        <w:t>*</w:t>
      </w:r>
      <w:r w:rsidRPr="006D2225">
        <w:t xml:space="preserve">IMR capital gain, an </w:t>
      </w:r>
      <w:r w:rsidRPr="006D2225">
        <w:rPr>
          <w:position w:val="6"/>
          <w:sz w:val="16"/>
        </w:rPr>
        <w:t>*</w:t>
      </w:r>
      <w:r w:rsidRPr="006D2225">
        <w:t xml:space="preserve">IMR deduction or an </w:t>
      </w:r>
      <w:r w:rsidRPr="006D2225">
        <w:rPr>
          <w:position w:val="6"/>
          <w:sz w:val="16"/>
        </w:rPr>
        <w:t>*</w:t>
      </w:r>
      <w:r w:rsidRPr="006D2225">
        <w:t>IMR capital loss.</w:t>
      </w:r>
    </w:p>
    <w:p w:rsidR="00506F4C" w:rsidRPr="006D2225" w:rsidRDefault="00506F4C" w:rsidP="00506F4C">
      <w:pPr>
        <w:pStyle w:val="ActHead5"/>
      </w:pPr>
      <w:bookmarkStart w:id="401" w:name="_Toc338939475"/>
      <w:r w:rsidRPr="006D2225">
        <w:rPr>
          <w:rStyle w:val="CharSectno"/>
        </w:rPr>
        <w:t>842</w:t>
      </w:r>
      <w:r>
        <w:rPr>
          <w:rStyle w:val="CharSectno"/>
        </w:rPr>
        <w:noBreakHyphen/>
      </w:r>
      <w:r w:rsidRPr="006D2225">
        <w:rPr>
          <w:rStyle w:val="CharSectno"/>
        </w:rPr>
        <w:t>215</w:t>
      </w:r>
      <w:r w:rsidRPr="006D2225">
        <w:t xml:space="preserve">  Treatment of foreign resident beneficiary that is not a trust or partnership</w:t>
      </w:r>
      <w:bookmarkEnd w:id="401"/>
    </w:p>
    <w:p w:rsidR="00506F4C" w:rsidRPr="006D2225" w:rsidRDefault="00506F4C" w:rsidP="00506F4C">
      <w:pPr>
        <w:pStyle w:val="SubsectionHead"/>
      </w:pPr>
      <w:r w:rsidRPr="006D2225">
        <w:t>Objects</w:t>
      </w:r>
    </w:p>
    <w:p w:rsidR="00506F4C" w:rsidRPr="006D2225" w:rsidRDefault="00506F4C" w:rsidP="00506F4C">
      <w:pPr>
        <w:pStyle w:val="subsection"/>
      </w:pPr>
      <w:r w:rsidRPr="006D2225">
        <w:tab/>
        <w:t>(1)</w:t>
      </w:r>
      <w:r w:rsidRPr="006D2225">
        <w:tab/>
        <w:t>The objects of this section are to ensure that:</w:t>
      </w:r>
    </w:p>
    <w:p w:rsidR="00506F4C" w:rsidRPr="006D2225" w:rsidRDefault="00506F4C" w:rsidP="00506F4C">
      <w:pPr>
        <w:pStyle w:val="paragraph"/>
      </w:pPr>
      <w:r w:rsidRPr="006D2225">
        <w:tab/>
        <w:t>(a)</w:t>
      </w:r>
      <w:r w:rsidRPr="006D2225">
        <w:tab/>
        <w:t xml:space="preserve">a foreign resident beneficiary of an </w:t>
      </w:r>
      <w:r w:rsidRPr="006D2225">
        <w:rPr>
          <w:position w:val="6"/>
          <w:sz w:val="16"/>
        </w:rPr>
        <w:t>*</w:t>
      </w:r>
      <w:r w:rsidRPr="006D2225">
        <w:t xml:space="preserve">IMR foreign fund in relation to an income year is not subject to Australian income tax in respect of </w:t>
      </w:r>
      <w:r w:rsidRPr="006D2225">
        <w:rPr>
          <w:position w:val="6"/>
          <w:sz w:val="16"/>
        </w:rPr>
        <w:t>*</w:t>
      </w:r>
      <w:r w:rsidRPr="006D2225">
        <w:t xml:space="preserve">IMR income or an </w:t>
      </w:r>
      <w:r w:rsidRPr="006D2225">
        <w:rPr>
          <w:position w:val="6"/>
          <w:sz w:val="16"/>
        </w:rPr>
        <w:t>*</w:t>
      </w:r>
      <w:r w:rsidRPr="006D2225">
        <w:t>IMR capital gain of the fund (or in respect of an amount that is referable to IMR income or an IMR capital gain of the fund) for the income year; and</w:t>
      </w:r>
    </w:p>
    <w:p w:rsidR="00506F4C" w:rsidRPr="006D2225" w:rsidRDefault="00506F4C" w:rsidP="00506F4C">
      <w:pPr>
        <w:pStyle w:val="paragraph"/>
      </w:pPr>
      <w:r w:rsidRPr="006D2225">
        <w:tab/>
        <w:t>(b)</w:t>
      </w:r>
      <w:r w:rsidRPr="006D2225">
        <w:tab/>
        <w:t xml:space="preserve">the foreign resident beneficiary of the fund is not able to claim a deduction or </w:t>
      </w:r>
      <w:r w:rsidRPr="006D2225">
        <w:rPr>
          <w:position w:val="6"/>
          <w:sz w:val="16"/>
        </w:rPr>
        <w:t>*</w:t>
      </w:r>
      <w:r w:rsidRPr="006D2225">
        <w:t xml:space="preserve">utilise a </w:t>
      </w:r>
      <w:r w:rsidRPr="006D2225">
        <w:rPr>
          <w:position w:val="6"/>
          <w:sz w:val="16"/>
        </w:rPr>
        <w:t>*</w:t>
      </w:r>
      <w:r w:rsidRPr="006D2225">
        <w:t>tax loss in relation to the income year to the extent that the deduction or tax loss was incurred or made in respect of an amount that is:</w:t>
      </w:r>
    </w:p>
    <w:p w:rsidR="00506F4C" w:rsidRPr="006D2225" w:rsidRDefault="00506F4C" w:rsidP="00506F4C">
      <w:pPr>
        <w:pStyle w:val="paragraphsub"/>
      </w:pPr>
      <w:r w:rsidRPr="006D2225">
        <w:tab/>
        <w:t>(i)</w:t>
      </w:r>
      <w:r w:rsidRPr="006D2225">
        <w:tab/>
        <w:t>IMR income of the fund (or referable to IMR income of the fund); or</w:t>
      </w:r>
    </w:p>
    <w:p w:rsidR="00506F4C" w:rsidRPr="006D2225" w:rsidRDefault="00506F4C" w:rsidP="00506F4C">
      <w:pPr>
        <w:pStyle w:val="paragraphsub"/>
      </w:pPr>
      <w:r w:rsidRPr="006D2225">
        <w:tab/>
        <w:t>(ii)</w:t>
      </w:r>
      <w:r w:rsidRPr="006D2225">
        <w:tab/>
        <w:t>an IMR capital gain of the fund (or referable to an IMR capital gain of the fund); and</w:t>
      </w:r>
    </w:p>
    <w:p w:rsidR="00506F4C" w:rsidRPr="006D2225" w:rsidRDefault="00506F4C" w:rsidP="00506F4C">
      <w:pPr>
        <w:pStyle w:val="paragraph"/>
      </w:pPr>
      <w:r w:rsidRPr="006D2225">
        <w:lastRenderedPageBreak/>
        <w:tab/>
        <w:t>(c)</w:t>
      </w:r>
      <w:r w:rsidRPr="006D2225">
        <w:tab/>
        <w:t>this section does not provide any tax concession to an Australian resident that invests in the fund (whether directly or indirectly through one or more interposed entities).</w:t>
      </w:r>
    </w:p>
    <w:p w:rsidR="00506F4C" w:rsidRPr="006D2225" w:rsidRDefault="00506F4C" w:rsidP="00506F4C">
      <w:pPr>
        <w:pStyle w:val="SubsectionHead"/>
      </w:pPr>
      <w:r w:rsidRPr="006D2225">
        <w:t>Application</w:t>
      </w:r>
    </w:p>
    <w:p w:rsidR="00506F4C" w:rsidRPr="006D2225" w:rsidRDefault="00506F4C" w:rsidP="00506F4C">
      <w:pPr>
        <w:pStyle w:val="subsection"/>
      </w:pPr>
      <w:r w:rsidRPr="006D2225">
        <w:tab/>
        <w:t>(2)</w:t>
      </w:r>
      <w:r w:rsidRPr="006D2225">
        <w:tab/>
        <w:t>This section applies to a beneficiary of a trust in relation to an income year if the beneficiary:</w:t>
      </w:r>
    </w:p>
    <w:p w:rsidR="00506F4C" w:rsidRPr="006D2225" w:rsidRDefault="00506F4C" w:rsidP="00506F4C">
      <w:pPr>
        <w:pStyle w:val="paragraph"/>
      </w:pPr>
      <w:r w:rsidRPr="006D2225">
        <w:tab/>
        <w:t>(a)</w:t>
      </w:r>
      <w:r w:rsidRPr="006D2225">
        <w:tab/>
        <w:t>is not a resident of Australia at any time during the income year; and</w:t>
      </w:r>
    </w:p>
    <w:p w:rsidR="00506F4C" w:rsidRPr="006D2225" w:rsidRDefault="00506F4C" w:rsidP="00506F4C">
      <w:pPr>
        <w:pStyle w:val="paragraph"/>
      </w:pPr>
      <w:r w:rsidRPr="006D2225">
        <w:tab/>
        <w:t>(b)</w:t>
      </w:r>
      <w:r w:rsidRPr="006D2225">
        <w:tab/>
        <w:t xml:space="preserve">is not a trust or partnership at any time during the income year (other than a </w:t>
      </w:r>
      <w:r w:rsidRPr="006D2225">
        <w:rPr>
          <w:position w:val="6"/>
          <w:sz w:val="16"/>
        </w:rPr>
        <w:t>*</w:t>
      </w:r>
      <w:r w:rsidRPr="006D2225">
        <w:t>foreign superannuation fund).</w:t>
      </w:r>
    </w:p>
    <w:p w:rsidR="00506F4C" w:rsidRPr="006D2225" w:rsidRDefault="00506F4C" w:rsidP="00506F4C">
      <w:pPr>
        <w:pStyle w:val="notetext"/>
      </w:pPr>
      <w:r w:rsidRPr="006D2225">
        <w:t>Note:</w:t>
      </w:r>
      <w:r w:rsidRPr="006D2225">
        <w:tab/>
        <w:t xml:space="preserve">A trust that is an IMR foreign fund is subject to the general tax rules that apply to trusts, subject to the modifications in this Subdivision: see Division 6 of Part III of the </w:t>
      </w:r>
      <w:r w:rsidRPr="006D2225">
        <w:rPr>
          <w:i/>
        </w:rPr>
        <w:t>Income Tax Assessment Act 1936</w:t>
      </w:r>
      <w:r w:rsidRPr="006D2225">
        <w:t>. Also see section 842</w:t>
      </w:r>
      <w:r>
        <w:noBreakHyphen/>
      </w:r>
      <w:r w:rsidRPr="006D2225">
        <w:t>225 of this Act, which deals with trustees of IMR foreign funds.</w:t>
      </w:r>
    </w:p>
    <w:p w:rsidR="00506F4C" w:rsidRPr="006D2225" w:rsidRDefault="00506F4C" w:rsidP="00506F4C">
      <w:pPr>
        <w:pStyle w:val="SubsectionHead"/>
      </w:pPr>
      <w:r w:rsidRPr="006D2225">
        <w:t>Adjustments to calculation of taxable income, tax loss or net capital loss</w:t>
      </w:r>
    </w:p>
    <w:p w:rsidR="00506F4C" w:rsidRPr="006D2225" w:rsidRDefault="00506F4C" w:rsidP="00506F4C">
      <w:pPr>
        <w:pStyle w:val="subsection"/>
      </w:pPr>
      <w:r w:rsidRPr="006D2225">
        <w:tab/>
        <w:t>(3)</w:t>
      </w:r>
      <w:r w:rsidRPr="006D2225">
        <w:tab/>
        <w:t xml:space="preserve">In working out the beneficiary’s taxable income, </w:t>
      </w:r>
      <w:r w:rsidRPr="006D2225">
        <w:rPr>
          <w:position w:val="6"/>
          <w:sz w:val="16"/>
        </w:rPr>
        <w:t>*</w:t>
      </w:r>
      <w:r w:rsidRPr="006D2225">
        <w:t xml:space="preserve">tax loss or </w:t>
      </w:r>
      <w:r w:rsidRPr="006D2225">
        <w:rPr>
          <w:position w:val="6"/>
          <w:sz w:val="16"/>
        </w:rPr>
        <w:t>*</w:t>
      </w:r>
      <w:r w:rsidRPr="006D2225">
        <w:t>net capital loss for the income year:</w:t>
      </w:r>
    </w:p>
    <w:p w:rsidR="00506F4C" w:rsidRPr="006D2225" w:rsidRDefault="00506F4C" w:rsidP="00506F4C">
      <w:pPr>
        <w:pStyle w:val="paragraph"/>
      </w:pPr>
      <w:r w:rsidRPr="006D2225">
        <w:tab/>
        <w:t>(a)</w:t>
      </w:r>
      <w:r w:rsidRPr="006D2225">
        <w:tab/>
        <w:t xml:space="preserve">for the purposes of applying Division 6 of Part III of the </w:t>
      </w:r>
      <w:r w:rsidRPr="006D2225">
        <w:rPr>
          <w:i/>
        </w:rPr>
        <w:t>Income Tax Assessment Act 1936</w:t>
      </w:r>
      <w:r w:rsidRPr="006D2225">
        <w:t xml:space="preserve"> to the beneficiary, replace the references in that Division to share of the net income with references to share of the non</w:t>
      </w:r>
      <w:r>
        <w:noBreakHyphen/>
      </w:r>
      <w:r w:rsidRPr="006D2225">
        <w:t>IMR net income (within the meaning of subsection 842</w:t>
      </w:r>
      <w:r>
        <w:noBreakHyphen/>
      </w:r>
      <w:r w:rsidRPr="006D2225">
        <w:t xml:space="preserve">260(1) of the </w:t>
      </w:r>
      <w:r w:rsidRPr="006D2225">
        <w:rPr>
          <w:i/>
        </w:rPr>
        <w:t>Income Tax Assessment Act 1997</w:t>
      </w:r>
      <w:r w:rsidRPr="006D2225">
        <w:t>); and</w:t>
      </w:r>
    </w:p>
    <w:p w:rsidR="00506F4C" w:rsidRPr="006D2225" w:rsidRDefault="00506F4C" w:rsidP="00506F4C">
      <w:pPr>
        <w:pStyle w:val="paragraph"/>
      </w:pPr>
      <w:r w:rsidRPr="006D2225">
        <w:tab/>
        <w:t>(b)</w:t>
      </w:r>
      <w:r w:rsidRPr="006D2225">
        <w:tab/>
        <w:t xml:space="preserve">for the purposes of applying subsections 98A(1) and (3) of Division 6 of Part III of the </w:t>
      </w:r>
      <w:r w:rsidRPr="006D2225">
        <w:rPr>
          <w:i/>
        </w:rPr>
        <w:t>Income Tax Assessment Act 1936</w:t>
      </w:r>
      <w:r w:rsidRPr="006D2225">
        <w:t xml:space="preserve"> to the beneficiary, replace the references in those subsections to individual interest of the beneficiary in the net income with references to individual interest of the beneficiary in the non</w:t>
      </w:r>
      <w:r>
        <w:noBreakHyphen/>
      </w:r>
      <w:r w:rsidRPr="006D2225">
        <w:t>IMR net income (within the meaning of subsection 842</w:t>
      </w:r>
      <w:r>
        <w:noBreakHyphen/>
      </w:r>
      <w:r w:rsidRPr="006D2225">
        <w:t xml:space="preserve">260(1) of the </w:t>
      </w:r>
      <w:r w:rsidRPr="006D2225">
        <w:rPr>
          <w:i/>
        </w:rPr>
        <w:t>Income Tax Assessment Act 1997</w:t>
      </w:r>
      <w:r w:rsidRPr="006D2225">
        <w:t>); and</w:t>
      </w:r>
    </w:p>
    <w:p w:rsidR="00506F4C" w:rsidRPr="006D2225" w:rsidRDefault="00506F4C" w:rsidP="00506F4C">
      <w:pPr>
        <w:pStyle w:val="paragraph"/>
      </w:pPr>
      <w:r w:rsidRPr="006D2225">
        <w:tab/>
        <w:t>(c)</w:t>
      </w:r>
      <w:r w:rsidRPr="006D2225">
        <w:tab/>
        <w:t xml:space="preserve">for the purposes of applying Division 6E of Part III of the </w:t>
      </w:r>
      <w:r w:rsidRPr="006D2225">
        <w:rPr>
          <w:i/>
        </w:rPr>
        <w:t>Income Tax Assessment Act 1936</w:t>
      </w:r>
      <w:r w:rsidRPr="006D2225">
        <w:t xml:space="preserve"> to the beneficiary, replace the references in that Division to Division 6E net income with references to non</w:t>
      </w:r>
      <w:r>
        <w:noBreakHyphen/>
      </w:r>
      <w:r w:rsidRPr="006D2225">
        <w:t xml:space="preserve">IMR Division 6E net income (within </w:t>
      </w:r>
      <w:r w:rsidRPr="006D2225">
        <w:lastRenderedPageBreak/>
        <w:t>the meaning of subsection 842</w:t>
      </w:r>
      <w:r>
        <w:noBreakHyphen/>
      </w:r>
      <w:r w:rsidRPr="006D2225">
        <w:t xml:space="preserve">260(2) of the </w:t>
      </w:r>
      <w:r w:rsidRPr="006D2225">
        <w:rPr>
          <w:i/>
        </w:rPr>
        <w:t>Income Tax Assessment Act 1997</w:t>
      </w:r>
      <w:r w:rsidRPr="006D2225">
        <w:t>); and</w:t>
      </w:r>
    </w:p>
    <w:p w:rsidR="00506F4C" w:rsidRPr="006D2225" w:rsidRDefault="00506F4C" w:rsidP="00506F4C">
      <w:pPr>
        <w:pStyle w:val="paragraph"/>
      </w:pPr>
      <w:r w:rsidRPr="006D2225">
        <w:tab/>
        <w:t>(d)</w:t>
      </w:r>
      <w:r w:rsidRPr="006D2225">
        <w:tab/>
        <w:t>for the purposes of applying subsection 115</w:t>
      </w:r>
      <w:r>
        <w:noBreakHyphen/>
      </w:r>
      <w:r w:rsidRPr="006D2225">
        <w:t xml:space="preserve">215(3) to the beneficiary, replace the reference in that subsection to each </w:t>
      </w:r>
      <w:r w:rsidRPr="006D2225">
        <w:rPr>
          <w:position w:val="6"/>
          <w:sz w:val="16"/>
        </w:rPr>
        <w:t>*</w:t>
      </w:r>
      <w:r w:rsidRPr="006D2225">
        <w:t xml:space="preserve">capital gain of the trust estate with a reference to each capital gain of the trust estate that is a </w:t>
      </w:r>
      <w:r w:rsidRPr="006D2225">
        <w:rPr>
          <w:position w:val="6"/>
          <w:sz w:val="16"/>
        </w:rPr>
        <w:t>*</w:t>
      </w:r>
      <w:r w:rsidRPr="006D2225">
        <w:t>non</w:t>
      </w:r>
      <w:r>
        <w:noBreakHyphen/>
      </w:r>
      <w:r w:rsidRPr="006D2225">
        <w:t>IMR net capital gain (or is referable to a non</w:t>
      </w:r>
      <w:r>
        <w:noBreakHyphen/>
      </w:r>
      <w:r w:rsidRPr="006D2225">
        <w:t>IMR net capital gain of the trust estate); and</w:t>
      </w:r>
    </w:p>
    <w:p w:rsidR="00506F4C" w:rsidRPr="006D2225" w:rsidRDefault="00506F4C" w:rsidP="00506F4C">
      <w:pPr>
        <w:pStyle w:val="paragraph"/>
      </w:pPr>
      <w:r w:rsidRPr="006D2225">
        <w:tab/>
        <w:t>(e)</w:t>
      </w:r>
      <w:r w:rsidRPr="006D2225">
        <w:tab/>
        <w:t>for the purposes of applying section 115</w:t>
      </w:r>
      <w:r>
        <w:noBreakHyphen/>
      </w:r>
      <w:r w:rsidRPr="006D2225">
        <w:t>225 to the beneficiary:</w:t>
      </w:r>
    </w:p>
    <w:p w:rsidR="00506F4C" w:rsidRPr="006D2225" w:rsidRDefault="00506F4C" w:rsidP="00506F4C">
      <w:pPr>
        <w:pStyle w:val="paragraphsub"/>
      </w:pPr>
      <w:r w:rsidRPr="006D2225">
        <w:tab/>
        <w:t>(i)</w:t>
      </w:r>
      <w:r w:rsidRPr="006D2225">
        <w:tab/>
        <w:t xml:space="preserve">replace references in that section to net income of the trust estate with references to </w:t>
      </w:r>
      <w:r w:rsidRPr="006D2225">
        <w:rPr>
          <w:position w:val="6"/>
          <w:sz w:val="16"/>
        </w:rPr>
        <w:t>*</w:t>
      </w:r>
      <w:r w:rsidRPr="006D2225">
        <w:t>non</w:t>
      </w:r>
      <w:r>
        <w:noBreakHyphen/>
      </w:r>
      <w:r w:rsidRPr="006D2225">
        <w:t>IMR net income of the trust estate; and</w:t>
      </w:r>
    </w:p>
    <w:p w:rsidR="00506F4C" w:rsidRPr="006D2225" w:rsidRDefault="00506F4C" w:rsidP="00506F4C">
      <w:pPr>
        <w:pStyle w:val="paragraphsub"/>
      </w:pPr>
      <w:r w:rsidRPr="006D2225">
        <w:tab/>
        <w:t>(ii)</w:t>
      </w:r>
      <w:r w:rsidRPr="006D2225">
        <w:tab/>
        <w:t xml:space="preserve">replace the reference in that section to </w:t>
      </w:r>
      <w:r w:rsidRPr="006D2225">
        <w:rPr>
          <w:position w:val="6"/>
          <w:sz w:val="16"/>
        </w:rPr>
        <w:t>*</w:t>
      </w:r>
      <w:r w:rsidRPr="006D2225">
        <w:t xml:space="preserve">net capital gain (if any) with a reference to </w:t>
      </w:r>
      <w:r w:rsidRPr="006D2225">
        <w:rPr>
          <w:position w:val="6"/>
          <w:sz w:val="16"/>
        </w:rPr>
        <w:t>*</w:t>
      </w:r>
      <w:r w:rsidRPr="006D2225">
        <w:t>non</w:t>
      </w:r>
      <w:r>
        <w:noBreakHyphen/>
      </w:r>
      <w:r w:rsidRPr="006D2225">
        <w:t>IMR net capital gain (if any).</w:t>
      </w:r>
    </w:p>
    <w:p w:rsidR="00506F4C" w:rsidRPr="006D2225" w:rsidRDefault="00506F4C" w:rsidP="00506F4C">
      <w:pPr>
        <w:pStyle w:val="subsection"/>
      </w:pPr>
      <w:r w:rsidRPr="006D2225">
        <w:tab/>
        <w:t>(4)</w:t>
      </w:r>
      <w:r w:rsidRPr="006D2225">
        <w:tab/>
        <w:t>For the purposes of applying paragraph 115</w:t>
      </w:r>
      <w:r>
        <w:noBreakHyphen/>
      </w:r>
      <w:r w:rsidRPr="006D2225">
        <w:t>225(1)(a) to the beneficiary:</w:t>
      </w:r>
    </w:p>
    <w:p w:rsidR="00506F4C" w:rsidRPr="006D2225" w:rsidRDefault="00506F4C" w:rsidP="00506F4C">
      <w:pPr>
        <w:pStyle w:val="paragraph"/>
      </w:pPr>
      <w:r w:rsidRPr="006D2225">
        <w:tab/>
        <w:t>(a)</w:t>
      </w:r>
      <w:r w:rsidRPr="006D2225">
        <w:tab/>
        <w:t xml:space="preserve">disregard a </w:t>
      </w:r>
      <w:r w:rsidRPr="006D2225">
        <w:rPr>
          <w:position w:val="6"/>
          <w:sz w:val="16"/>
        </w:rPr>
        <w:t>*</w:t>
      </w:r>
      <w:r w:rsidRPr="006D2225">
        <w:t xml:space="preserve">capital gain of the </w:t>
      </w:r>
      <w:r w:rsidRPr="006D2225">
        <w:rPr>
          <w:position w:val="6"/>
          <w:sz w:val="16"/>
        </w:rPr>
        <w:t>*</w:t>
      </w:r>
      <w:r w:rsidRPr="006D2225">
        <w:t xml:space="preserve">IMR foreign fund to the extent the capital gain is an </w:t>
      </w:r>
      <w:r w:rsidRPr="006D2225">
        <w:rPr>
          <w:position w:val="6"/>
          <w:sz w:val="16"/>
        </w:rPr>
        <w:t>*</w:t>
      </w:r>
      <w:r w:rsidRPr="006D2225">
        <w:t>IMR capital gain; and</w:t>
      </w:r>
    </w:p>
    <w:p w:rsidR="00506F4C" w:rsidRPr="006D2225" w:rsidRDefault="00506F4C" w:rsidP="00506F4C">
      <w:pPr>
        <w:pStyle w:val="paragraph"/>
      </w:pPr>
      <w:r w:rsidRPr="006D2225">
        <w:tab/>
        <w:t>(b)</w:t>
      </w:r>
      <w:r w:rsidRPr="006D2225">
        <w:tab/>
        <w:t xml:space="preserve">disregard an </w:t>
      </w:r>
      <w:r w:rsidRPr="006D2225">
        <w:rPr>
          <w:position w:val="6"/>
          <w:sz w:val="16"/>
        </w:rPr>
        <w:t>*</w:t>
      </w:r>
      <w:r w:rsidRPr="006D2225">
        <w:t>IMR capital loss of the IMR foreign fund for the purposes of determining the amount of the capital gain remaining after applying steps 1 to 4 of the method statement in subsection 102</w:t>
      </w:r>
      <w:r>
        <w:noBreakHyphen/>
      </w:r>
      <w:r w:rsidRPr="006D2225">
        <w:t>5(1); and</w:t>
      </w:r>
    </w:p>
    <w:p w:rsidR="00506F4C" w:rsidRPr="006D2225" w:rsidRDefault="00506F4C" w:rsidP="00506F4C">
      <w:pPr>
        <w:pStyle w:val="paragraph"/>
        <w:rPr>
          <w:szCs w:val="22"/>
        </w:rPr>
      </w:pPr>
      <w:r w:rsidRPr="006D2225">
        <w:tab/>
      </w:r>
      <w:r w:rsidRPr="006D2225">
        <w:rPr>
          <w:szCs w:val="22"/>
        </w:rPr>
        <w:t>(c)</w:t>
      </w:r>
      <w:r w:rsidRPr="006D2225">
        <w:rPr>
          <w:szCs w:val="22"/>
        </w:rPr>
        <w:tab/>
        <w:t xml:space="preserve">disregard a </w:t>
      </w:r>
      <w:r w:rsidRPr="006D2225">
        <w:rPr>
          <w:position w:val="6"/>
          <w:sz w:val="16"/>
          <w:szCs w:val="22"/>
        </w:rPr>
        <w:t>*</w:t>
      </w:r>
      <w:r w:rsidRPr="006D2225">
        <w:rPr>
          <w:szCs w:val="22"/>
        </w:rPr>
        <w:t xml:space="preserve">net capital loss of the IMR foreign fund to the extent that it is attributable to an IMR capital loss for </w:t>
      </w:r>
      <w:r w:rsidRPr="006D2225">
        <w:t>the purposes of determining the amount of the capital gain remaining after applying steps 1 to 4 of the method statement in subsection 102</w:t>
      </w:r>
      <w:r>
        <w:noBreakHyphen/>
      </w:r>
      <w:r w:rsidRPr="006D2225">
        <w:t>5(1).</w:t>
      </w:r>
    </w:p>
    <w:p w:rsidR="00506F4C" w:rsidRPr="006D2225" w:rsidRDefault="00506F4C" w:rsidP="00506F4C">
      <w:pPr>
        <w:pStyle w:val="ActHead5"/>
      </w:pPr>
      <w:bookmarkStart w:id="402" w:name="_Toc338939476"/>
      <w:r w:rsidRPr="006D2225">
        <w:rPr>
          <w:rStyle w:val="CharSectno"/>
        </w:rPr>
        <w:t>842</w:t>
      </w:r>
      <w:r>
        <w:rPr>
          <w:rStyle w:val="CharSectno"/>
        </w:rPr>
        <w:noBreakHyphen/>
      </w:r>
      <w:r w:rsidRPr="006D2225">
        <w:rPr>
          <w:rStyle w:val="CharSectno"/>
        </w:rPr>
        <w:t>220</w:t>
      </w:r>
      <w:r w:rsidRPr="006D2225">
        <w:t xml:space="preserve">  Treatment of foreign resident partner that is not a trust or partnership</w:t>
      </w:r>
      <w:bookmarkEnd w:id="402"/>
    </w:p>
    <w:p w:rsidR="00506F4C" w:rsidRPr="006D2225" w:rsidRDefault="00506F4C" w:rsidP="00506F4C">
      <w:pPr>
        <w:pStyle w:val="SubsectionHead"/>
      </w:pPr>
      <w:r w:rsidRPr="006D2225">
        <w:t>Objects</w:t>
      </w:r>
    </w:p>
    <w:p w:rsidR="00506F4C" w:rsidRPr="006D2225" w:rsidRDefault="00506F4C" w:rsidP="00506F4C">
      <w:pPr>
        <w:pStyle w:val="subsection"/>
      </w:pPr>
      <w:r w:rsidRPr="006D2225">
        <w:tab/>
        <w:t>(1)</w:t>
      </w:r>
      <w:r w:rsidRPr="006D2225">
        <w:tab/>
        <w:t>The objects of this section are to ensure that:</w:t>
      </w:r>
    </w:p>
    <w:p w:rsidR="00506F4C" w:rsidRPr="006D2225" w:rsidRDefault="00506F4C" w:rsidP="00506F4C">
      <w:pPr>
        <w:pStyle w:val="paragraph"/>
      </w:pPr>
      <w:r w:rsidRPr="006D2225">
        <w:tab/>
        <w:t>(a)</w:t>
      </w:r>
      <w:r w:rsidRPr="006D2225">
        <w:tab/>
        <w:t xml:space="preserve">a foreign resident partner of an </w:t>
      </w:r>
      <w:r w:rsidRPr="006D2225">
        <w:rPr>
          <w:position w:val="6"/>
          <w:sz w:val="16"/>
        </w:rPr>
        <w:t>*</w:t>
      </w:r>
      <w:r w:rsidRPr="006D2225">
        <w:t xml:space="preserve">IMR foreign fund in relation to an income year is not subject to any Australian income tax </w:t>
      </w:r>
      <w:r w:rsidRPr="006D2225">
        <w:lastRenderedPageBreak/>
        <w:t xml:space="preserve">in respect of </w:t>
      </w:r>
      <w:r w:rsidRPr="006D2225">
        <w:rPr>
          <w:position w:val="6"/>
          <w:sz w:val="16"/>
        </w:rPr>
        <w:t>*</w:t>
      </w:r>
      <w:r w:rsidRPr="006D2225">
        <w:t xml:space="preserve">IMR income or an </w:t>
      </w:r>
      <w:r w:rsidRPr="006D2225">
        <w:rPr>
          <w:position w:val="6"/>
          <w:sz w:val="16"/>
        </w:rPr>
        <w:t>*</w:t>
      </w:r>
      <w:r w:rsidRPr="006D2225">
        <w:t>IMR capital gain (or in respect of an amount that is referable to IMR income or an IMR capital gain) for the income year; and</w:t>
      </w:r>
    </w:p>
    <w:p w:rsidR="00506F4C" w:rsidRPr="006D2225" w:rsidRDefault="00506F4C" w:rsidP="00506F4C">
      <w:pPr>
        <w:pStyle w:val="paragraph"/>
      </w:pPr>
      <w:r w:rsidRPr="006D2225">
        <w:tab/>
        <w:t>(b)</w:t>
      </w:r>
      <w:r w:rsidRPr="006D2225">
        <w:tab/>
        <w:t xml:space="preserve">the foreign resident partner of the fund is not able to claim a deduction or </w:t>
      </w:r>
      <w:r w:rsidRPr="006D2225">
        <w:rPr>
          <w:position w:val="6"/>
          <w:sz w:val="16"/>
        </w:rPr>
        <w:t>*</w:t>
      </w:r>
      <w:r w:rsidRPr="006D2225">
        <w:t xml:space="preserve">utilise a </w:t>
      </w:r>
      <w:r w:rsidRPr="006D2225">
        <w:rPr>
          <w:position w:val="6"/>
          <w:sz w:val="16"/>
        </w:rPr>
        <w:t>*</w:t>
      </w:r>
      <w:r w:rsidRPr="006D2225">
        <w:t>tax loss in relation to the income year to the extent that the deduction or tax loss was incurred or made in respect of an amount that is:</w:t>
      </w:r>
    </w:p>
    <w:p w:rsidR="00506F4C" w:rsidRPr="006D2225" w:rsidRDefault="00506F4C" w:rsidP="00506F4C">
      <w:pPr>
        <w:pStyle w:val="paragraphsub"/>
      </w:pPr>
      <w:r w:rsidRPr="006D2225">
        <w:tab/>
        <w:t>(i)</w:t>
      </w:r>
      <w:r w:rsidRPr="006D2225">
        <w:tab/>
        <w:t>IMR income of the fund (or referable to IMR income of the fund); or</w:t>
      </w:r>
    </w:p>
    <w:p w:rsidR="00506F4C" w:rsidRPr="006D2225" w:rsidRDefault="00506F4C" w:rsidP="00506F4C">
      <w:pPr>
        <w:pStyle w:val="paragraphsub"/>
      </w:pPr>
      <w:r w:rsidRPr="006D2225">
        <w:tab/>
        <w:t>(ii)</w:t>
      </w:r>
      <w:r w:rsidRPr="006D2225">
        <w:tab/>
        <w:t>an IMR capital gain (or referable to an IMR capital gain); and</w:t>
      </w:r>
    </w:p>
    <w:p w:rsidR="00506F4C" w:rsidRPr="006D2225" w:rsidRDefault="00506F4C" w:rsidP="00506F4C">
      <w:pPr>
        <w:pStyle w:val="paragraph"/>
      </w:pPr>
      <w:r w:rsidRPr="006D2225">
        <w:tab/>
        <w:t>(c)</w:t>
      </w:r>
      <w:r w:rsidRPr="006D2225">
        <w:tab/>
        <w:t>this section does not provide any tax concession to an Australian resident that invests in the fund (whether directly or indirectly through one or more interposed entities).</w:t>
      </w:r>
    </w:p>
    <w:p w:rsidR="00506F4C" w:rsidRPr="006D2225" w:rsidRDefault="00506F4C" w:rsidP="00506F4C">
      <w:pPr>
        <w:pStyle w:val="SubsectionHead"/>
      </w:pPr>
      <w:r w:rsidRPr="006D2225">
        <w:t>Application</w:t>
      </w:r>
    </w:p>
    <w:p w:rsidR="00506F4C" w:rsidRPr="006D2225" w:rsidRDefault="00506F4C" w:rsidP="00506F4C">
      <w:pPr>
        <w:pStyle w:val="subsection"/>
      </w:pPr>
      <w:r w:rsidRPr="006D2225">
        <w:tab/>
        <w:t>(2)</w:t>
      </w:r>
      <w:r w:rsidRPr="006D2225">
        <w:tab/>
        <w:t>This section applies to a partner in a partnership in relation to an income year if the partner:</w:t>
      </w:r>
    </w:p>
    <w:p w:rsidR="00506F4C" w:rsidRPr="006D2225" w:rsidRDefault="00506F4C" w:rsidP="00506F4C">
      <w:pPr>
        <w:pStyle w:val="paragraph"/>
      </w:pPr>
      <w:r w:rsidRPr="006D2225">
        <w:tab/>
        <w:t>(a)</w:t>
      </w:r>
      <w:r w:rsidRPr="006D2225">
        <w:tab/>
        <w:t>is not an Australian resident at any time during the income year; and</w:t>
      </w:r>
    </w:p>
    <w:p w:rsidR="00506F4C" w:rsidRPr="006D2225" w:rsidRDefault="00506F4C" w:rsidP="00506F4C">
      <w:pPr>
        <w:pStyle w:val="paragraph"/>
      </w:pPr>
      <w:r w:rsidRPr="006D2225">
        <w:tab/>
        <w:t>(b)</w:t>
      </w:r>
      <w:r w:rsidRPr="006D2225">
        <w:tab/>
        <w:t xml:space="preserve">is not a trust or a partnership at any time during the income year (other than a </w:t>
      </w:r>
      <w:r w:rsidRPr="006D2225">
        <w:rPr>
          <w:position w:val="6"/>
          <w:sz w:val="16"/>
        </w:rPr>
        <w:t>*</w:t>
      </w:r>
      <w:r w:rsidRPr="006D2225">
        <w:t>foreign superannuation fund).</w:t>
      </w:r>
    </w:p>
    <w:p w:rsidR="00506F4C" w:rsidRPr="006D2225" w:rsidRDefault="00506F4C" w:rsidP="00506F4C">
      <w:pPr>
        <w:pStyle w:val="notetext"/>
      </w:pPr>
      <w:r w:rsidRPr="006D2225">
        <w:t>Note:</w:t>
      </w:r>
      <w:r w:rsidRPr="006D2225">
        <w:tab/>
        <w:t xml:space="preserve">A partnership that is an IMR foreign fund is subject to the general tax rules that apply to partnerships, subject to the modifications set out in this Subdivision: see Division 5 of Part III of the </w:t>
      </w:r>
      <w:r w:rsidRPr="006D2225">
        <w:rPr>
          <w:i/>
        </w:rPr>
        <w:t>Income Tax Assessment Act 1936</w:t>
      </w:r>
      <w:r w:rsidRPr="006D2225">
        <w:t>.</w:t>
      </w:r>
    </w:p>
    <w:p w:rsidR="00506F4C" w:rsidRPr="006D2225" w:rsidRDefault="00506F4C" w:rsidP="00506F4C">
      <w:pPr>
        <w:pStyle w:val="SubsectionHead"/>
      </w:pPr>
      <w:r w:rsidRPr="006D2225">
        <w:t>Adjustments to calculation of taxable income, tax loss or net capital loss</w:t>
      </w:r>
    </w:p>
    <w:p w:rsidR="00506F4C" w:rsidRPr="006D2225" w:rsidRDefault="00506F4C" w:rsidP="00506F4C">
      <w:pPr>
        <w:pStyle w:val="subsection"/>
      </w:pPr>
      <w:r w:rsidRPr="006D2225">
        <w:tab/>
        <w:t>(3)</w:t>
      </w:r>
      <w:r w:rsidRPr="006D2225">
        <w:tab/>
        <w:t xml:space="preserve">In working out the partner’s taxable income, </w:t>
      </w:r>
      <w:r w:rsidRPr="006D2225">
        <w:rPr>
          <w:position w:val="6"/>
          <w:sz w:val="16"/>
        </w:rPr>
        <w:t>*</w:t>
      </w:r>
      <w:r w:rsidRPr="006D2225">
        <w:t xml:space="preserve">tax loss or </w:t>
      </w:r>
      <w:r w:rsidRPr="006D2225">
        <w:rPr>
          <w:position w:val="6"/>
          <w:sz w:val="16"/>
        </w:rPr>
        <w:t>*</w:t>
      </w:r>
      <w:r w:rsidRPr="006D2225">
        <w:t>net capital loss for the income year:</w:t>
      </w:r>
    </w:p>
    <w:p w:rsidR="00506F4C" w:rsidRPr="006D2225" w:rsidRDefault="00506F4C" w:rsidP="00506F4C">
      <w:pPr>
        <w:pStyle w:val="paragraph"/>
      </w:pPr>
      <w:r w:rsidRPr="006D2225">
        <w:tab/>
        <w:t>(a)</w:t>
      </w:r>
      <w:r w:rsidRPr="006D2225">
        <w:tab/>
        <w:t xml:space="preserve">for the purposes of applying Division 5 of Part III of the </w:t>
      </w:r>
      <w:r w:rsidRPr="006D2225">
        <w:rPr>
          <w:i/>
        </w:rPr>
        <w:t xml:space="preserve">Income Tax Assessment Act 1936 </w:t>
      </w:r>
      <w:r w:rsidRPr="006D2225">
        <w:t>to the partner, replace the references in that Division to the individual interest of the partner in the net income of the partnership with references to the individual interest of the partner in the non</w:t>
      </w:r>
      <w:r>
        <w:noBreakHyphen/>
      </w:r>
      <w:r w:rsidRPr="006D2225">
        <w:t xml:space="preserve">IMR partnership net income (within the meaning of </w:t>
      </w:r>
      <w:r w:rsidRPr="006D2225">
        <w:lastRenderedPageBreak/>
        <w:t>section 842</w:t>
      </w:r>
      <w:r>
        <w:noBreakHyphen/>
      </w:r>
      <w:r w:rsidRPr="006D2225">
        <w:t xml:space="preserve">265 of the </w:t>
      </w:r>
      <w:r w:rsidRPr="006D2225">
        <w:rPr>
          <w:i/>
        </w:rPr>
        <w:t>Income Tax Assessment Act 1997</w:t>
      </w:r>
      <w:r w:rsidRPr="006D2225">
        <w:t>) of the partnership; and</w:t>
      </w:r>
    </w:p>
    <w:p w:rsidR="00506F4C" w:rsidRPr="006D2225" w:rsidRDefault="00506F4C" w:rsidP="00506F4C">
      <w:pPr>
        <w:pStyle w:val="paragraph"/>
      </w:pPr>
      <w:r w:rsidRPr="006D2225">
        <w:tab/>
        <w:t>(b)</w:t>
      </w:r>
      <w:r w:rsidRPr="006D2225">
        <w:tab/>
        <w:t xml:space="preserve">for the purposes of applying Division 5 of Part III of the </w:t>
      </w:r>
      <w:r w:rsidRPr="006D2225">
        <w:rPr>
          <w:i/>
        </w:rPr>
        <w:t xml:space="preserve">Income Tax Assessment Act 1936 </w:t>
      </w:r>
      <w:r w:rsidRPr="006D2225">
        <w:t>to the partner, replace the references in that Division to the individual interest of the partner in the partnership loss with references to the individual interest of the partner in the non</w:t>
      </w:r>
      <w:r>
        <w:noBreakHyphen/>
      </w:r>
      <w:r w:rsidRPr="006D2225">
        <w:t>IMR partnership loss (within the meaning of section 842</w:t>
      </w:r>
      <w:r>
        <w:noBreakHyphen/>
      </w:r>
      <w:r w:rsidRPr="006D2225">
        <w:t xml:space="preserve">265 of the </w:t>
      </w:r>
      <w:r w:rsidRPr="006D2225">
        <w:rPr>
          <w:i/>
        </w:rPr>
        <w:t>Income Tax Assessment Act 1997</w:t>
      </w:r>
      <w:r w:rsidRPr="006D2225">
        <w:t>); and</w:t>
      </w:r>
    </w:p>
    <w:p w:rsidR="00506F4C" w:rsidRPr="006D2225" w:rsidRDefault="00506F4C" w:rsidP="00506F4C">
      <w:pPr>
        <w:pStyle w:val="paragraph"/>
      </w:pPr>
      <w:r w:rsidRPr="006D2225">
        <w:tab/>
        <w:t>(c)</w:t>
      </w:r>
      <w:r w:rsidRPr="006D2225">
        <w:tab/>
        <w:t xml:space="preserve">disregard an amount to the extent that it is referable to an </w:t>
      </w:r>
      <w:r w:rsidRPr="006D2225">
        <w:rPr>
          <w:position w:val="6"/>
          <w:sz w:val="16"/>
        </w:rPr>
        <w:t>*</w:t>
      </w:r>
      <w:r w:rsidRPr="006D2225">
        <w:t>IMR capital gain or an</w:t>
      </w:r>
      <w:r w:rsidRPr="006D2225">
        <w:rPr>
          <w:position w:val="6"/>
          <w:sz w:val="16"/>
        </w:rPr>
        <w:t>*</w:t>
      </w:r>
      <w:r w:rsidRPr="006D2225">
        <w:t>IMR capital loss.</w:t>
      </w:r>
    </w:p>
    <w:p w:rsidR="00506F4C" w:rsidRPr="006D2225" w:rsidRDefault="00506F4C" w:rsidP="00506F4C">
      <w:pPr>
        <w:pStyle w:val="ActHead5"/>
      </w:pPr>
      <w:bookmarkStart w:id="403" w:name="_Toc338939477"/>
      <w:r w:rsidRPr="006D2225">
        <w:rPr>
          <w:rStyle w:val="CharSectno"/>
        </w:rPr>
        <w:t>842</w:t>
      </w:r>
      <w:r>
        <w:rPr>
          <w:rStyle w:val="CharSectno"/>
        </w:rPr>
        <w:noBreakHyphen/>
      </w:r>
      <w:r w:rsidRPr="006D2225">
        <w:rPr>
          <w:rStyle w:val="CharSectno"/>
        </w:rPr>
        <w:t>225</w:t>
      </w:r>
      <w:r w:rsidRPr="006D2225">
        <w:t xml:space="preserve">  Treatment of trustee of an IMR foreign fund</w:t>
      </w:r>
      <w:bookmarkEnd w:id="403"/>
    </w:p>
    <w:p w:rsidR="00506F4C" w:rsidRPr="006D2225" w:rsidRDefault="00506F4C" w:rsidP="00506F4C">
      <w:pPr>
        <w:pStyle w:val="SubsectionHead"/>
      </w:pPr>
      <w:r w:rsidRPr="006D2225">
        <w:t>Objects</w:t>
      </w:r>
    </w:p>
    <w:p w:rsidR="00506F4C" w:rsidRPr="006D2225" w:rsidRDefault="00506F4C" w:rsidP="00506F4C">
      <w:pPr>
        <w:pStyle w:val="subsection"/>
      </w:pPr>
      <w:r w:rsidRPr="006D2225">
        <w:tab/>
        <w:t>(1)</w:t>
      </w:r>
      <w:r w:rsidRPr="006D2225">
        <w:tab/>
        <w:t>The object of this section is to ensure that the following provisions interact appropriately with the tax concessions mentioned in paragraphs 842</w:t>
      </w:r>
      <w:r>
        <w:noBreakHyphen/>
      </w:r>
      <w:r w:rsidRPr="006D2225">
        <w:t>210(1)(a) and (b), paragraphs 842</w:t>
      </w:r>
      <w:r>
        <w:noBreakHyphen/>
      </w:r>
      <w:r w:rsidRPr="006D2225">
        <w:t>215(1)(a) and (b) and paragraphs 842</w:t>
      </w:r>
      <w:r>
        <w:noBreakHyphen/>
      </w:r>
      <w:r w:rsidRPr="006D2225">
        <w:t>220(1)(a) and (b):</w:t>
      </w:r>
    </w:p>
    <w:p w:rsidR="00506F4C" w:rsidRPr="006D2225" w:rsidRDefault="00506F4C" w:rsidP="00506F4C">
      <w:pPr>
        <w:pStyle w:val="paragraph"/>
      </w:pPr>
      <w:r w:rsidRPr="006D2225">
        <w:tab/>
        <w:t>(a)</w:t>
      </w:r>
      <w:r w:rsidRPr="006D2225">
        <w:tab/>
        <w:t>subsection 115</w:t>
      </w:r>
      <w:r>
        <w:noBreakHyphen/>
      </w:r>
      <w:r w:rsidRPr="006D2225">
        <w:t>220(2);</w:t>
      </w:r>
    </w:p>
    <w:p w:rsidR="00506F4C" w:rsidRPr="006D2225" w:rsidRDefault="00506F4C" w:rsidP="00506F4C">
      <w:pPr>
        <w:pStyle w:val="paragraph"/>
      </w:pPr>
      <w:r w:rsidRPr="006D2225">
        <w:tab/>
        <w:t>(b)</w:t>
      </w:r>
      <w:r w:rsidRPr="006D2225">
        <w:tab/>
        <w:t>section 115</w:t>
      </w:r>
      <w:r>
        <w:noBreakHyphen/>
      </w:r>
      <w:r w:rsidRPr="006D2225">
        <w:t>225;</w:t>
      </w:r>
    </w:p>
    <w:p w:rsidR="00506F4C" w:rsidRPr="006D2225" w:rsidRDefault="00506F4C" w:rsidP="00506F4C">
      <w:pPr>
        <w:pStyle w:val="paragraph"/>
      </w:pPr>
      <w:r w:rsidRPr="006D2225">
        <w:tab/>
        <w:t>(c)</w:t>
      </w:r>
      <w:r w:rsidRPr="006D2225">
        <w:tab/>
        <w:t xml:space="preserve">section 98 of the </w:t>
      </w:r>
      <w:r w:rsidRPr="006D2225">
        <w:rPr>
          <w:i/>
        </w:rPr>
        <w:t>Income Tax Assessment Act 1936</w:t>
      </w:r>
      <w:r w:rsidRPr="006D2225">
        <w:t>;</w:t>
      </w:r>
    </w:p>
    <w:p w:rsidR="00506F4C" w:rsidRPr="006D2225" w:rsidRDefault="00506F4C" w:rsidP="00506F4C">
      <w:pPr>
        <w:pStyle w:val="paragraph"/>
      </w:pPr>
      <w:r w:rsidRPr="006D2225">
        <w:tab/>
        <w:t>(d)</w:t>
      </w:r>
      <w:r w:rsidRPr="006D2225">
        <w:tab/>
        <w:t xml:space="preserve">section 99E of the </w:t>
      </w:r>
      <w:r w:rsidRPr="006D2225">
        <w:rPr>
          <w:i/>
        </w:rPr>
        <w:t>Income Tax Assessment Act 1936</w:t>
      </w:r>
      <w:r w:rsidRPr="006D2225">
        <w:t>.</w:t>
      </w:r>
    </w:p>
    <w:p w:rsidR="00506F4C" w:rsidRPr="006D2225" w:rsidRDefault="00506F4C" w:rsidP="00506F4C">
      <w:pPr>
        <w:pStyle w:val="notetext"/>
      </w:pPr>
      <w:r w:rsidRPr="006D2225">
        <w:t>Note:</w:t>
      </w:r>
      <w:r w:rsidRPr="006D2225">
        <w:tab/>
        <w:t xml:space="preserve">Division 6 of Part III of the </w:t>
      </w:r>
      <w:r w:rsidRPr="006D2225">
        <w:rPr>
          <w:i/>
        </w:rPr>
        <w:t>Income Tax Assessment Act 1936</w:t>
      </w:r>
      <w:r w:rsidRPr="006D2225">
        <w:t>, Division 115 of Part 3</w:t>
      </w:r>
      <w:r>
        <w:noBreakHyphen/>
      </w:r>
      <w:r w:rsidRPr="006D2225">
        <w:t>1 of this Act, and all other provisions of those Acts apply to the trustee of an IMR foreign fund, subject to the modifications in this section.</w:t>
      </w:r>
    </w:p>
    <w:p w:rsidR="00506F4C" w:rsidRPr="006D2225" w:rsidRDefault="00506F4C" w:rsidP="00506F4C">
      <w:pPr>
        <w:pStyle w:val="SubsectionHead"/>
      </w:pPr>
      <w:r w:rsidRPr="006D2225">
        <w:t>Applying subsection 115</w:t>
      </w:r>
      <w:r>
        <w:noBreakHyphen/>
      </w:r>
      <w:r w:rsidRPr="006D2225">
        <w:t>220(2)</w:t>
      </w:r>
    </w:p>
    <w:p w:rsidR="00506F4C" w:rsidRPr="006D2225" w:rsidRDefault="00506F4C" w:rsidP="00506F4C">
      <w:pPr>
        <w:pStyle w:val="subsection"/>
      </w:pPr>
      <w:r w:rsidRPr="006D2225">
        <w:tab/>
        <w:t>(2)</w:t>
      </w:r>
      <w:r w:rsidRPr="006D2225">
        <w:tab/>
        <w:t>For the purposes of applying subsection 115</w:t>
      </w:r>
      <w:r>
        <w:noBreakHyphen/>
      </w:r>
      <w:r w:rsidRPr="006D2225">
        <w:t>220(2) to the beneficiary:</w:t>
      </w:r>
    </w:p>
    <w:p w:rsidR="00506F4C" w:rsidRPr="006D2225" w:rsidRDefault="00506F4C" w:rsidP="00506F4C">
      <w:pPr>
        <w:pStyle w:val="paragraph"/>
      </w:pPr>
      <w:r w:rsidRPr="006D2225">
        <w:tab/>
        <w:t>(a)</w:t>
      </w:r>
      <w:r w:rsidRPr="006D2225">
        <w:tab/>
        <w:t xml:space="preserve">disregard a </w:t>
      </w:r>
      <w:r w:rsidRPr="006D2225">
        <w:rPr>
          <w:position w:val="6"/>
          <w:sz w:val="16"/>
        </w:rPr>
        <w:t>*</w:t>
      </w:r>
      <w:r w:rsidRPr="006D2225">
        <w:t xml:space="preserve">capital gain of the </w:t>
      </w:r>
      <w:r w:rsidRPr="006D2225">
        <w:rPr>
          <w:position w:val="6"/>
          <w:sz w:val="16"/>
        </w:rPr>
        <w:t>*</w:t>
      </w:r>
      <w:r w:rsidRPr="006D2225">
        <w:t xml:space="preserve">IMR foreign fund to the extent the capital gain is an </w:t>
      </w:r>
      <w:r w:rsidRPr="006D2225">
        <w:rPr>
          <w:position w:val="6"/>
          <w:sz w:val="16"/>
        </w:rPr>
        <w:t>*</w:t>
      </w:r>
      <w:r w:rsidRPr="006D2225">
        <w:t>IMR capital gain; and</w:t>
      </w:r>
    </w:p>
    <w:p w:rsidR="00506F4C" w:rsidRPr="006D2225" w:rsidRDefault="00506F4C" w:rsidP="00506F4C">
      <w:pPr>
        <w:pStyle w:val="paragraph"/>
      </w:pPr>
      <w:r w:rsidRPr="006D2225">
        <w:tab/>
        <w:t>(b)</w:t>
      </w:r>
      <w:r w:rsidRPr="006D2225">
        <w:tab/>
        <w:t xml:space="preserve">disregard an </w:t>
      </w:r>
      <w:r w:rsidRPr="006D2225">
        <w:rPr>
          <w:position w:val="6"/>
          <w:sz w:val="16"/>
        </w:rPr>
        <w:t>*</w:t>
      </w:r>
      <w:r w:rsidRPr="006D2225">
        <w:t>IMR capital loss of the IMR foreign fund for the purposes of determining the amount of the capital gain remaining after applying steps 1 to 4 of the method statement in subsection 102</w:t>
      </w:r>
      <w:r>
        <w:noBreakHyphen/>
      </w:r>
      <w:r w:rsidRPr="006D2225">
        <w:t>5(1); and</w:t>
      </w:r>
    </w:p>
    <w:p w:rsidR="00506F4C" w:rsidRPr="006D2225" w:rsidRDefault="00506F4C" w:rsidP="00506F4C">
      <w:pPr>
        <w:pStyle w:val="paragraph"/>
        <w:rPr>
          <w:szCs w:val="22"/>
        </w:rPr>
      </w:pPr>
      <w:r w:rsidRPr="006D2225">
        <w:lastRenderedPageBreak/>
        <w:tab/>
      </w:r>
      <w:r w:rsidRPr="006D2225">
        <w:rPr>
          <w:szCs w:val="22"/>
        </w:rPr>
        <w:t>(c)</w:t>
      </w:r>
      <w:r w:rsidRPr="006D2225">
        <w:rPr>
          <w:szCs w:val="22"/>
        </w:rPr>
        <w:tab/>
        <w:t xml:space="preserve">disregard a </w:t>
      </w:r>
      <w:r w:rsidRPr="006D2225">
        <w:rPr>
          <w:position w:val="6"/>
          <w:sz w:val="16"/>
          <w:szCs w:val="22"/>
        </w:rPr>
        <w:t>*</w:t>
      </w:r>
      <w:r w:rsidRPr="006D2225">
        <w:rPr>
          <w:szCs w:val="22"/>
        </w:rPr>
        <w:t>net capital loss of the IMR foreign fund to the extent that it is attributable to an IMR capital loss for the purposes of determining how much of a capital gain that is not an IMR capital gain remains after applying steps 1 to 4 of the method statement in subsection 102</w:t>
      </w:r>
      <w:r>
        <w:rPr>
          <w:szCs w:val="22"/>
        </w:rPr>
        <w:noBreakHyphen/>
      </w:r>
      <w:r w:rsidRPr="006D2225">
        <w:rPr>
          <w:szCs w:val="22"/>
        </w:rPr>
        <w:t>5(1).</w:t>
      </w:r>
    </w:p>
    <w:p w:rsidR="00506F4C" w:rsidRPr="006D2225" w:rsidRDefault="00506F4C" w:rsidP="00506F4C">
      <w:pPr>
        <w:pStyle w:val="notetext"/>
      </w:pPr>
      <w:r w:rsidRPr="006D2225">
        <w:t>Note:</w:t>
      </w:r>
      <w:r w:rsidRPr="006D2225">
        <w:tab/>
        <w:t>The effect of this subsection is that the increase to the assessable amount which occurs as a result of section 115</w:t>
      </w:r>
      <w:r>
        <w:noBreakHyphen/>
      </w:r>
      <w:r w:rsidRPr="006D2225">
        <w:t xml:space="preserve">220 is calculated with reference to the capital gains of the IMR foreign fund that are not IMR capital gains or amounts referable to IMR capital gains (rather than by calculating the increase with reference to </w:t>
      </w:r>
      <w:r w:rsidRPr="006D2225">
        <w:rPr>
          <w:i/>
        </w:rPr>
        <w:t>all</w:t>
      </w:r>
      <w:r w:rsidRPr="006D2225">
        <w:t xml:space="preserve"> capital gains of the fund).</w:t>
      </w:r>
    </w:p>
    <w:p w:rsidR="00506F4C" w:rsidRPr="006D2225" w:rsidRDefault="00506F4C" w:rsidP="00506F4C">
      <w:pPr>
        <w:pStyle w:val="SubsectionHead"/>
      </w:pPr>
      <w:r w:rsidRPr="006D2225">
        <w:t>Modifications to section 115</w:t>
      </w:r>
      <w:r>
        <w:noBreakHyphen/>
      </w:r>
      <w:r w:rsidRPr="006D2225">
        <w:t>225</w:t>
      </w:r>
    </w:p>
    <w:p w:rsidR="00506F4C" w:rsidRPr="006D2225" w:rsidRDefault="00506F4C" w:rsidP="00506F4C">
      <w:pPr>
        <w:pStyle w:val="subsection"/>
      </w:pPr>
      <w:r w:rsidRPr="006D2225">
        <w:tab/>
        <w:t>(3)</w:t>
      </w:r>
      <w:r w:rsidRPr="006D2225">
        <w:tab/>
        <w:t>For the purposes of applying section 115</w:t>
      </w:r>
      <w:r>
        <w:noBreakHyphen/>
      </w:r>
      <w:r w:rsidRPr="006D2225">
        <w:t>225 in respect of section 115</w:t>
      </w:r>
      <w:r>
        <w:noBreakHyphen/>
      </w:r>
      <w:r w:rsidRPr="006D2225">
        <w:t>220, make the following assumptions:</w:t>
      </w:r>
    </w:p>
    <w:p w:rsidR="00506F4C" w:rsidRPr="006D2225" w:rsidRDefault="00506F4C" w:rsidP="00506F4C">
      <w:pPr>
        <w:pStyle w:val="paragraph"/>
      </w:pPr>
      <w:r w:rsidRPr="006D2225">
        <w:tab/>
        <w:t>(a)</w:t>
      </w:r>
      <w:r w:rsidRPr="006D2225">
        <w:tab/>
        <w:t>replace the references in section 115</w:t>
      </w:r>
      <w:r>
        <w:noBreakHyphen/>
      </w:r>
      <w:r w:rsidRPr="006D2225">
        <w:t xml:space="preserve">225 to the net income of the trust estate with references to the </w:t>
      </w:r>
      <w:r w:rsidRPr="006D2225">
        <w:rPr>
          <w:position w:val="6"/>
          <w:sz w:val="16"/>
        </w:rPr>
        <w:t>*</w:t>
      </w:r>
      <w:r w:rsidRPr="006D2225">
        <w:t>non</w:t>
      </w:r>
      <w:r>
        <w:noBreakHyphen/>
      </w:r>
      <w:r w:rsidRPr="006D2225">
        <w:t>IMR net income of the trust estate;</w:t>
      </w:r>
    </w:p>
    <w:p w:rsidR="00506F4C" w:rsidRPr="006D2225" w:rsidRDefault="00506F4C" w:rsidP="00506F4C">
      <w:pPr>
        <w:pStyle w:val="paragraph"/>
      </w:pPr>
      <w:r w:rsidRPr="006D2225">
        <w:tab/>
        <w:t>(b)</w:t>
      </w:r>
      <w:r w:rsidRPr="006D2225">
        <w:tab/>
        <w:t>replace the reference in section 115</w:t>
      </w:r>
      <w:r>
        <w:noBreakHyphen/>
      </w:r>
      <w:r w:rsidRPr="006D2225">
        <w:t xml:space="preserve">225 to net capital gain (if any) with a reference to </w:t>
      </w:r>
      <w:r w:rsidRPr="006D2225">
        <w:rPr>
          <w:position w:val="6"/>
          <w:sz w:val="16"/>
        </w:rPr>
        <w:t>*</w:t>
      </w:r>
      <w:r w:rsidRPr="006D2225">
        <w:t>non</w:t>
      </w:r>
      <w:r>
        <w:noBreakHyphen/>
      </w:r>
      <w:r w:rsidRPr="006D2225">
        <w:t>IMR net capital gain (if any).</w:t>
      </w:r>
    </w:p>
    <w:p w:rsidR="00506F4C" w:rsidRPr="006D2225" w:rsidRDefault="00506F4C" w:rsidP="00506F4C">
      <w:pPr>
        <w:pStyle w:val="SubsectionHead"/>
        <w:rPr>
          <w:i w:val="0"/>
        </w:rPr>
      </w:pPr>
      <w:r w:rsidRPr="006D2225">
        <w:t>Modifications to section 98 of the Income Tax Assessment Act 1936</w:t>
      </w:r>
    </w:p>
    <w:p w:rsidR="00506F4C" w:rsidRPr="006D2225" w:rsidRDefault="00506F4C" w:rsidP="00506F4C">
      <w:pPr>
        <w:pStyle w:val="subsection"/>
      </w:pPr>
      <w:r w:rsidRPr="006D2225">
        <w:tab/>
        <w:t>(4)</w:t>
      </w:r>
      <w:r w:rsidRPr="006D2225">
        <w:tab/>
        <w:t xml:space="preserve">For the purposes of applying section 98 of the </w:t>
      </w:r>
      <w:r w:rsidRPr="006D2225">
        <w:rPr>
          <w:i/>
        </w:rPr>
        <w:t>Income Tax Assessment Act 1936</w:t>
      </w:r>
      <w:r w:rsidRPr="006D2225">
        <w:t>, replace references in that section to net income with references to non</w:t>
      </w:r>
      <w:r>
        <w:noBreakHyphen/>
      </w:r>
      <w:r w:rsidRPr="006D2225">
        <w:t>IMR net income (within the meaning of subsection 842</w:t>
      </w:r>
      <w:r>
        <w:noBreakHyphen/>
      </w:r>
      <w:r w:rsidRPr="006D2225">
        <w:t xml:space="preserve">260(1) of the </w:t>
      </w:r>
      <w:r w:rsidRPr="006D2225">
        <w:rPr>
          <w:i/>
        </w:rPr>
        <w:t>Income Tax Assessment Act 1997</w:t>
      </w:r>
      <w:r w:rsidRPr="006D2225">
        <w:t>).</w:t>
      </w:r>
    </w:p>
    <w:p w:rsidR="00506F4C" w:rsidRPr="006D2225" w:rsidRDefault="00506F4C" w:rsidP="00506F4C">
      <w:pPr>
        <w:pStyle w:val="notetext"/>
      </w:pPr>
      <w:r w:rsidRPr="006D2225">
        <w:t>Note:</w:t>
      </w:r>
      <w:r w:rsidRPr="006D2225">
        <w:tab/>
        <w:t xml:space="preserve">The effect of this subsection is that where section 98 of the </w:t>
      </w:r>
      <w:r w:rsidRPr="006D2225">
        <w:rPr>
          <w:i/>
        </w:rPr>
        <w:t xml:space="preserve">Income Tax Assessment Act 1936 </w:t>
      </w:r>
      <w:r w:rsidRPr="006D2225">
        <w:t>applies to the trustee of a trust that is an IMR foreign fund, the trustee is only assessed and made liable to pay tax in respect of non</w:t>
      </w:r>
      <w:r>
        <w:noBreakHyphen/>
      </w:r>
      <w:r w:rsidRPr="006D2225">
        <w:t xml:space="preserve">IMR net income of the fund (rather than in respect of </w:t>
      </w:r>
      <w:r w:rsidRPr="006D2225">
        <w:rPr>
          <w:i/>
        </w:rPr>
        <w:t>all</w:t>
      </w:r>
      <w:r w:rsidRPr="006D2225">
        <w:t xml:space="preserve"> net income of the fund to which section 98 would otherwise apply).</w:t>
      </w:r>
    </w:p>
    <w:p w:rsidR="00506F4C" w:rsidRPr="006D2225" w:rsidRDefault="00506F4C" w:rsidP="00506F4C">
      <w:pPr>
        <w:pStyle w:val="SubsectionHead"/>
        <w:rPr>
          <w:i w:val="0"/>
        </w:rPr>
      </w:pPr>
      <w:r w:rsidRPr="006D2225">
        <w:t>Modifications to section 99E of the Income Tax Assessment Act 1936</w:t>
      </w:r>
    </w:p>
    <w:p w:rsidR="00506F4C" w:rsidRPr="006D2225" w:rsidRDefault="00506F4C" w:rsidP="00506F4C">
      <w:pPr>
        <w:pStyle w:val="subsection"/>
      </w:pPr>
      <w:r w:rsidRPr="006D2225">
        <w:tab/>
        <w:t>(5)</w:t>
      </w:r>
      <w:r w:rsidRPr="006D2225">
        <w:tab/>
        <w:t xml:space="preserve">For the purposes of applying section 99E of the </w:t>
      </w:r>
      <w:r w:rsidRPr="006D2225">
        <w:rPr>
          <w:i/>
        </w:rPr>
        <w:t>Income Tax Assessment Act 1936</w:t>
      </w:r>
      <w:r w:rsidRPr="006D2225">
        <w:t>:</w:t>
      </w:r>
    </w:p>
    <w:p w:rsidR="00506F4C" w:rsidRPr="006D2225" w:rsidRDefault="00506F4C" w:rsidP="00506F4C">
      <w:pPr>
        <w:pStyle w:val="paragraph"/>
      </w:pPr>
      <w:r w:rsidRPr="006D2225">
        <w:tab/>
        <w:t>(a)</w:t>
      </w:r>
      <w:r w:rsidRPr="006D2225">
        <w:tab/>
        <w:t xml:space="preserve">replace the reference in that section to so much of the net income with a reference to so much of the net income or </w:t>
      </w:r>
      <w:r w:rsidRPr="006D2225">
        <w:lastRenderedPageBreak/>
        <w:t>non</w:t>
      </w:r>
      <w:r>
        <w:noBreakHyphen/>
      </w:r>
      <w:r w:rsidRPr="006D2225">
        <w:t>IMR net income (within the meaning of subsection 842</w:t>
      </w:r>
      <w:r>
        <w:noBreakHyphen/>
      </w:r>
      <w:r w:rsidRPr="006D2225">
        <w:t xml:space="preserve">260(1) of the </w:t>
      </w:r>
      <w:r w:rsidRPr="006D2225">
        <w:rPr>
          <w:i/>
        </w:rPr>
        <w:t>Income Tax Assessment Act 1997</w:t>
      </w:r>
      <w:r w:rsidRPr="006D2225">
        <w:t>) as the case may be; and</w:t>
      </w:r>
    </w:p>
    <w:p w:rsidR="00506F4C" w:rsidRPr="006D2225" w:rsidRDefault="00506F4C" w:rsidP="00506F4C">
      <w:pPr>
        <w:pStyle w:val="paragraph"/>
      </w:pPr>
      <w:r w:rsidRPr="006D2225">
        <w:tab/>
        <w:t>(b)</w:t>
      </w:r>
      <w:r w:rsidRPr="006D2225">
        <w:tab/>
        <w:t>replace the reference in that section to a part of the net income of another trust estate with a reference to a part of the non</w:t>
      </w:r>
      <w:r>
        <w:noBreakHyphen/>
      </w:r>
      <w:r w:rsidRPr="006D2225">
        <w:t>IMR net income (within the meaning of subsection 842</w:t>
      </w:r>
      <w:r>
        <w:noBreakHyphen/>
      </w:r>
      <w:r w:rsidRPr="006D2225">
        <w:t xml:space="preserve">260(1) of the </w:t>
      </w:r>
      <w:r w:rsidRPr="006D2225">
        <w:rPr>
          <w:i/>
        </w:rPr>
        <w:t>Income Tax Assessment Act 1997</w:t>
      </w:r>
      <w:r w:rsidRPr="006D2225">
        <w:t>) of another trust estate.</w:t>
      </w:r>
    </w:p>
    <w:p w:rsidR="00506F4C" w:rsidRPr="006D2225" w:rsidRDefault="00506F4C" w:rsidP="00506F4C">
      <w:pPr>
        <w:pStyle w:val="notetext"/>
      </w:pPr>
      <w:r w:rsidRPr="006D2225">
        <w:t>Note:</w:t>
      </w:r>
      <w:r w:rsidRPr="006D2225">
        <w:tab/>
        <w:t>The effect of this subsection is that the trustee of a trust that receives a distribution of non</w:t>
      </w:r>
      <w:r>
        <w:noBreakHyphen/>
      </w:r>
      <w:r w:rsidRPr="006D2225">
        <w:t xml:space="preserve">IMR net income from another trust is not required to apply section 98, 99 or 99A of the </w:t>
      </w:r>
      <w:r w:rsidRPr="006D2225">
        <w:rPr>
          <w:i/>
        </w:rPr>
        <w:t>Income Tax Assessment Act 1936</w:t>
      </w:r>
      <w:r w:rsidRPr="006D2225">
        <w:t xml:space="preserve"> to those amounts.</w:t>
      </w:r>
    </w:p>
    <w:p w:rsidR="00506F4C" w:rsidRPr="006D2225" w:rsidRDefault="00506F4C" w:rsidP="00506F4C">
      <w:pPr>
        <w:pStyle w:val="SubsectionHead"/>
      </w:pPr>
      <w:r w:rsidRPr="006D2225">
        <w:t>Certain losses disregarded</w:t>
      </w:r>
    </w:p>
    <w:p w:rsidR="00506F4C" w:rsidRPr="006D2225" w:rsidRDefault="00506F4C" w:rsidP="00506F4C">
      <w:pPr>
        <w:pStyle w:val="subsection"/>
      </w:pPr>
      <w:r w:rsidRPr="006D2225">
        <w:tab/>
        <w:t>(6)</w:t>
      </w:r>
      <w:r w:rsidRPr="006D2225">
        <w:tab/>
        <w:t xml:space="preserve">The trust cannot </w:t>
      </w:r>
      <w:r w:rsidRPr="006D2225">
        <w:rPr>
          <w:position w:val="6"/>
          <w:sz w:val="16"/>
        </w:rPr>
        <w:t>*</w:t>
      </w:r>
      <w:r w:rsidRPr="006D2225">
        <w:t xml:space="preserve">utilise a </w:t>
      </w:r>
      <w:r w:rsidRPr="006D2225">
        <w:rPr>
          <w:position w:val="6"/>
          <w:sz w:val="16"/>
        </w:rPr>
        <w:t>*</w:t>
      </w:r>
      <w:r w:rsidRPr="006D2225">
        <w:t xml:space="preserve">tax loss or </w:t>
      </w:r>
      <w:r w:rsidRPr="006D2225">
        <w:rPr>
          <w:position w:val="6"/>
          <w:sz w:val="16"/>
        </w:rPr>
        <w:t>*</w:t>
      </w:r>
      <w:r w:rsidRPr="006D2225">
        <w:t xml:space="preserve">net capital loss in relation to an income year, or any future income year, to the extent the loss is attributable to </w:t>
      </w:r>
      <w:r w:rsidRPr="006D2225">
        <w:rPr>
          <w:position w:val="6"/>
          <w:sz w:val="16"/>
        </w:rPr>
        <w:t>*</w:t>
      </w:r>
      <w:r w:rsidRPr="006D2225">
        <w:t xml:space="preserve">IMR income, an </w:t>
      </w:r>
      <w:r w:rsidRPr="006D2225">
        <w:rPr>
          <w:position w:val="6"/>
          <w:sz w:val="16"/>
        </w:rPr>
        <w:t>*</w:t>
      </w:r>
      <w:r w:rsidRPr="006D2225">
        <w:t xml:space="preserve">IMR capital gain, an </w:t>
      </w:r>
      <w:r w:rsidRPr="006D2225">
        <w:rPr>
          <w:position w:val="6"/>
          <w:sz w:val="16"/>
        </w:rPr>
        <w:t>*</w:t>
      </w:r>
      <w:r w:rsidRPr="006D2225">
        <w:t xml:space="preserve">IMR deduction or an </w:t>
      </w:r>
      <w:r w:rsidRPr="006D2225">
        <w:rPr>
          <w:position w:val="6"/>
          <w:sz w:val="16"/>
        </w:rPr>
        <w:t>*</w:t>
      </w:r>
      <w:r w:rsidRPr="006D2225">
        <w:t>IMR capital loss.</w:t>
      </w:r>
    </w:p>
    <w:p w:rsidR="00506F4C" w:rsidRPr="006D2225" w:rsidRDefault="00506F4C" w:rsidP="00506F4C">
      <w:pPr>
        <w:pStyle w:val="ActHead5"/>
      </w:pPr>
      <w:bookmarkStart w:id="404" w:name="_Toc338939478"/>
      <w:r w:rsidRPr="006D2225">
        <w:rPr>
          <w:rStyle w:val="CharSectno"/>
        </w:rPr>
        <w:t>842</w:t>
      </w:r>
      <w:r>
        <w:rPr>
          <w:rStyle w:val="CharSectno"/>
        </w:rPr>
        <w:noBreakHyphen/>
      </w:r>
      <w:r w:rsidRPr="006D2225">
        <w:rPr>
          <w:rStyle w:val="CharSectno"/>
        </w:rPr>
        <w:t>230</w:t>
      </w:r>
      <w:r w:rsidRPr="006D2225">
        <w:t xml:space="preserve">  </w:t>
      </w:r>
      <w:r w:rsidRPr="006D2225">
        <w:rPr>
          <w:i/>
        </w:rPr>
        <w:t>IMR foreign fund</w:t>
      </w:r>
      <w:bookmarkEnd w:id="404"/>
    </w:p>
    <w:p w:rsidR="00506F4C" w:rsidRPr="006D2225" w:rsidRDefault="00506F4C" w:rsidP="00506F4C">
      <w:pPr>
        <w:pStyle w:val="subsection"/>
      </w:pPr>
      <w:r w:rsidRPr="006D2225">
        <w:tab/>
      </w:r>
      <w:r w:rsidRPr="006D2225">
        <w:tab/>
        <w:t xml:space="preserve">An entity is an </w:t>
      </w:r>
      <w:r w:rsidRPr="006D2225">
        <w:rPr>
          <w:b/>
          <w:i/>
        </w:rPr>
        <w:t xml:space="preserve">IMR foreign fund </w:t>
      </w:r>
      <w:r w:rsidRPr="006D2225">
        <w:t>in relation to an income year if:</w:t>
      </w:r>
    </w:p>
    <w:p w:rsidR="00506F4C" w:rsidRPr="006D2225" w:rsidRDefault="00506F4C" w:rsidP="00506F4C">
      <w:pPr>
        <w:pStyle w:val="paragraph"/>
      </w:pPr>
      <w:r w:rsidRPr="006D2225">
        <w:tab/>
        <w:t>(a)</w:t>
      </w:r>
      <w:r w:rsidRPr="006D2225">
        <w:tab/>
        <w:t>the entity:</w:t>
      </w:r>
    </w:p>
    <w:p w:rsidR="00506F4C" w:rsidRPr="006D2225" w:rsidRDefault="00506F4C" w:rsidP="00506F4C">
      <w:pPr>
        <w:pStyle w:val="paragraphsub"/>
      </w:pPr>
      <w:r w:rsidRPr="006D2225">
        <w:tab/>
        <w:t>(i)</w:t>
      </w:r>
      <w:r w:rsidRPr="006D2225">
        <w:tab/>
        <w:t>is not an Australian resident at any time during the income year; and</w:t>
      </w:r>
    </w:p>
    <w:p w:rsidR="00506F4C" w:rsidRPr="006D2225" w:rsidRDefault="00506F4C" w:rsidP="00506F4C">
      <w:pPr>
        <w:pStyle w:val="paragraphsub"/>
      </w:pPr>
      <w:r w:rsidRPr="006D2225">
        <w:tab/>
        <w:t>(ii)</w:t>
      </w:r>
      <w:r w:rsidRPr="006D2225">
        <w:tab/>
        <w:t xml:space="preserve">is not a resident trust estate for the purposes of subsection 95(2) of the </w:t>
      </w:r>
      <w:r w:rsidRPr="006D2225">
        <w:rPr>
          <w:i/>
        </w:rPr>
        <w:t>Income Tax Assessment Act 1936</w:t>
      </w:r>
      <w:r w:rsidRPr="006D2225">
        <w:t xml:space="preserve"> at any time during the income year; and</w:t>
      </w:r>
    </w:p>
    <w:p w:rsidR="00506F4C" w:rsidRPr="006D2225" w:rsidRDefault="00506F4C" w:rsidP="00506F4C">
      <w:pPr>
        <w:pStyle w:val="paragraph"/>
      </w:pPr>
      <w:r w:rsidRPr="006D2225">
        <w:tab/>
        <w:t>(b)</w:t>
      </w:r>
      <w:r w:rsidRPr="006D2225">
        <w:tab/>
        <w:t xml:space="preserve">the entity does not carry on a trading business (within the meaning of section 102M of the </w:t>
      </w:r>
      <w:r w:rsidRPr="006D2225">
        <w:rPr>
          <w:i/>
        </w:rPr>
        <w:t>Income Tax Assessment Act 1936</w:t>
      </w:r>
      <w:r w:rsidRPr="006D2225">
        <w:t>) at any time during the income year; and</w:t>
      </w:r>
    </w:p>
    <w:p w:rsidR="00506F4C" w:rsidRPr="006D2225" w:rsidRDefault="00506F4C" w:rsidP="00506F4C">
      <w:pPr>
        <w:pStyle w:val="paragraph"/>
      </w:pPr>
      <w:r w:rsidRPr="006D2225">
        <w:tab/>
        <w:t>(c)</w:t>
      </w:r>
      <w:r w:rsidRPr="006D2225">
        <w:tab/>
        <w:t>subject to section 842</w:t>
      </w:r>
      <w:r>
        <w:noBreakHyphen/>
      </w:r>
      <w:r w:rsidRPr="006D2225">
        <w:t>235, the entity:</w:t>
      </w:r>
    </w:p>
    <w:p w:rsidR="00506F4C" w:rsidRPr="006D2225" w:rsidRDefault="00506F4C" w:rsidP="00506F4C">
      <w:pPr>
        <w:pStyle w:val="paragraphsub"/>
      </w:pPr>
      <w:r w:rsidRPr="006D2225">
        <w:tab/>
        <w:t>(i)</w:t>
      </w:r>
      <w:r w:rsidRPr="006D2225">
        <w:tab/>
        <w:t>satisfies the widely held test at all times during the income year (see subsection 842</w:t>
      </w:r>
      <w:r>
        <w:noBreakHyphen/>
      </w:r>
      <w:r w:rsidRPr="006D2225">
        <w:t>240(1)); and</w:t>
      </w:r>
    </w:p>
    <w:p w:rsidR="00506F4C" w:rsidRPr="006D2225" w:rsidRDefault="00506F4C" w:rsidP="00506F4C">
      <w:pPr>
        <w:pStyle w:val="paragraphsub"/>
      </w:pPr>
      <w:r w:rsidRPr="006D2225">
        <w:tab/>
        <w:t>(ii)</w:t>
      </w:r>
      <w:r w:rsidRPr="006D2225">
        <w:tab/>
        <w:t xml:space="preserve">does </w:t>
      </w:r>
      <w:r w:rsidRPr="006D2225">
        <w:rPr>
          <w:i/>
        </w:rPr>
        <w:t>not</w:t>
      </w:r>
      <w:r w:rsidRPr="006D2225">
        <w:t xml:space="preserve"> breach the concentration test in subsection 842</w:t>
      </w:r>
      <w:r>
        <w:noBreakHyphen/>
      </w:r>
      <w:r w:rsidRPr="006D2225">
        <w:t>240(4) at any time during the income year.</w:t>
      </w:r>
    </w:p>
    <w:p w:rsidR="00506F4C" w:rsidRPr="006D2225" w:rsidRDefault="00506F4C" w:rsidP="00506F4C">
      <w:pPr>
        <w:pStyle w:val="ActHead5"/>
      </w:pPr>
      <w:bookmarkStart w:id="405" w:name="_Toc338939479"/>
      <w:r w:rsidRPr="006D2225">
        <w:rPr>
          <w:rStyle w:val="CharSectno"/>
        </w:rPr>
        <w:lastRenderedPageBreak/>
        <w:t>842</w:t>
      </w:r>
      <w:r>
        <w:rPr>
          <w:rStyle w:val="CharSectno"/>
        </w:rPr>
        <w:noBreakHyphen/>
      </w:r>
      <w:r w:rsidRPr="006D2225">
        <w:rPr>
          <w:rStyle w:val="CharSectno"/>
        </w:rPr>
        <w:t>235</w:t>
      </w:r>
      <w:r w:rsidRPr="006D2225">
        <w:t xml:space="preserve">  Wind</w:t>
      </w:r>
      <w:r>
        <w:noBreakHyphen/>
      </w:r>
      <w:r w:rsidRPr="006D2225">
        <w:t>down phases</w:t>
      </w:r>
      <w:bookmarkEnd w:id="405"/>
    </w:p>
    <w:p w:rsidR="00506F4C" w:rsidRPr="006D2225" w:rsidRDefault="00506F4C" w:rsidP="00506F4C">
      <w:pPr>
        <w:pStyle w:val="subsection"/>
      </w:pPr>
      <w:r w:rsidRPr="006D2225">
        <w:tab/>
      </w:r>
      <w:r w:rsidRPr="006D2225">
        <w:tab/>
        <w:t>If:</w:t>
      </w:r>
    </w:p>
    <w:p w:rsidR="00506F4C" w:rsidRPr="006D2225" w:rsidRDefault="00506F4C" w:rsidP="00506F4C">
      <w:pPr>
        <w:pStyle w:val="paragraph"/>
      </w:pPr>
      <w:r w:rsidRPr="006D2225">
        <w:tab/>
        <w:t>(a)</w:t>
      </w:r>
      <w:r w:rsidRPr="006D2225">
        <w:tab/>
        <w:t>the entity ceases to exist during the income year; and</w:t>
      </w:r>
    </w:p>
    <w:p w:rsidR="00506F4C" w:rsidRPr="006D2225" w:rsidRDefault="00506F4C" w:rsidP="00506F4C">
      <w:pPr>
        <w:pStyle w:val="paragraph"/>
      </w:pPr>
      <w:r w:rsidRPr="006D2225">
        <w:tab/>
        <w:t>(b)</w:t>
      </w:r>
      <w:r w:rsidRPr="006D2225">
        <w:tab/>
        <w:t xml:space="preserve">the entity was an </w:t>
      </w:r>
      <w:r w:rsidRPr="006D2225">
        <w:rPr>
          <w:position w:val="6"/>
          <w:sz w:val="16"/>
        </w:rPr>
        <w:t>*</w:t>
      </w:r>
      <w:r w:rsidRPr="006D2225">
        <w:t>IMR foreign fund in relation to the preceding income year;</w:t>
      </w:r>
    </w:p>
    <w:p w:rsidR="00506F4C" w:rsidRPr="006D2225" w:rsidRDefault="00506F4C" w:rsidP="00506F4C">
      <w:pPr>
        <w:pStyle w:val="subsection2"/>
      </w:pPr>
      <w:r w:rsidRPr="006D2225">
        <w:t>treat the requirements in paragraph 842</w:t>
      </w:r>
      <w:r>
        <w:noBreakHyphen/>
      </w:r>
      <w:r w:rsidRPr="006D2225">
        <w:t>230(c) as being satisfied.</w:t>
      </w:r>
    </w:p>
    <w:p w:rsidR="00506F4C" w:rsidRPr="006D2225" w:rsidRDefault="00506F4C" w:rsidP="00506F4C">
      <w:pPr>
        <w:pStyle w:val="ActHead5"/>
      </w:pPr>
      <w:bookmarkStart w:id="406" w:name="_Toc338939480"/>
      <w:r w:rsidRPr="006D2225">
        <w:rPr>
          <w:rStyle w:val="CharSectno"/>
        </w:rPr>
        <w:t>842</w:t>
      </w:r>
      <w:r>
        <w:rPr>
          <w:rStyle w:val="CharSectno"/>
        </w:rPr>
        <w:noBreakHyphen/>
      </w:r>
      <w:r w:rsidRPr="006D2225">
        <w:rPr>
          <w:rStyle w:val="CharSectno"/>
        </w:rPr>
        <w:t>240</w:t>
      </w:r>
      <w:r w:rsidRPr="006D2225">
        <w:t xml:space="preserve">  Widely held test and concentration test</w:t>
      </w:r>
      <w:bookmarkEnd w:id="406"/>
    </w:p>
    <w:p w:rsidR="00506F4C" w:rsidRPr="006D2225" w:rsidRDefault="00506F4C" w:rsidP="00506F4C">
      <w:pPr>
        <w:pStyle w:val="SubsectionHead"/>
      </w:pPr>
      <w:r w:rsidRPr="006D2225">
        <w:t>Widely held test</w:t>
      </w:r>
    </w:p>
    <w:p w:rsidR="00506F4C" w:rsidRPr="006D2225" w:rsidRDefault="00506F4C" w:rsidP="00506F4C">
      <w:pPr>
        <w:pStyle w:val="subsection"/>
      </w:pPr>
      <w:r w:rsidRPr="006D2225">
        <w:tab/>
        <w:t>(1)</w:t>
      </w:r>
      <w:r w:rsidRPr="006D2225">
        <w:tab/>
        <w:t>The entity satisfies the widely held test for the purposes of subparagraph 842</w:t>
      </w:r>
      <w:r>
        <w:noBreakHyphen/>
      </w:r>
      <w:r w:rsidRPr="006D2225">
        <w:t>230(c)(i) if:</w:t>
      </w:r>
    </w:p>
    <w:p w:rsidR="00506F4C" w:rsidRPr="006D2225" w:rsidRDefault="00506F4C" w:rsidP="00506F4C">
      <w:pPr>
        <w:pStyle w:val="paragraph"/>
      </w:pPr>
      <w:r w:rsidRPr="006D2225">
        <w:tab/>
        <w:t>(a)</w:t>
      </w:r>
      <w:r w:rsidRPr="006D2225">
        <w:tab/>
        <w:t xml:space="preserve">units or shares in the entity are listed for quotation in the official list of an </w:t>
      </w:r>
      <w:r w:rsidRPr="006D2225">
        <w:rPr>
          <w:position w:val="6"/>
          <w:sz w:val="16"/>
        </w:rPr>
        <w:t>*</w:t>
      </w:r>
      <w:r w:rsidRPr="006D2225">
        <w:t>approved stock exchange; or</w:t>
      </w:r>
    </w:p>
    <w:p w:rsidR="00506F4C" w:rsidRPr="006D2225" w:rsidRDefault="00506F4C" w:rsidP="00506F4C">
      <w:pPr>
        <w:pStyle w:val="paragraph"/>
      </w:pPr>
      <w:r w:rsidRPr="006D2225">
        <w:tab/>
        <w:t>(b)</w:t>
      </w:r>
      <w:r w:rsidRPr="006D2225">
        <w:tab/>
        <w:t xml:space="preserve">the entity has at least 25 </w:t>
      </w:r>
      <w:r w:rsidRPr="006D2225">
        <w:rPr>
          <w:position w:val="6"/>
          <w:sz w:val="16"/>
        </w:rPr>
        <w:t>*</w:t>
      </w:r>
      <w:r w:rsidRPr="006D2225">
        <w:t>members (ignoring objects of a trust); or</w:t>
      </w:r>
    </w:p>
    <w:p w:rsidR="00506F4C" w:rsidRPr="006D2225" w:rsidRDefault="00506F4C" w:rsidP="00506F4C">
      <w:pPr>
        <w:pStyle w:val="paragraph"/>
      </w:pPr>
      <w:r w:rsidRPr="006D2225">
        <w:tab/>
        <w:t>(c)</w:t>
      </w:r>
      <w:r w:rsidRPr="006D2225">
        <w:tab/>
        <w:t xml:space="preserve">one or more of the entities covered by subsection (3) have a </w:t>
      </w:r>
      <w:r w:rsidRPr="006D2225">
        <w:rPr>
          <w:position w:val="6"/>
          <w:sz w:val="16"/>
        </w:rPr>
        <w:t>*</w:t>
      </w:r>
      <w:r w:rsidRPr="006D2225">
        <w:t>total participation interest in the entity of more than 25%; or</w:t>
      </w:r>
    </w:p>
    <w:p w:rsidR="00506F4C" w:rsidRPr="006D2225" w:rsidRDefault="00506F4C" w:rsidP="00506F4C">
      <w:pPr>
        <w:pStyle w:val="paragraph"/>
      </w:pPr>
      <w:r w:rsidRPr="006D2225">
        <w:tab/>
        <w:t>(d)</w:t>
      </w:r>
      <w:r w:rsidRPr="006D2225">
        <w:tab/>
        <w:t>all the membership interests in the entity are held, directly or indirectly, by one or more entities that satisfy the requirements in paragraph (a), (b) or (c); or</w:t>
      </w:r>
    </w:p>
    <w:p w:rsidR="00506F4C" w:rsidRPr="006D2225" w:rsidRDefault="00506F4C" w:rsidP="00506F4C">
      <w:pPr>
        <w:pStyle w:val="paragraph"/>
      </w:pPr>
      <w:r w:rsidRPr="006D2225">
        <w:tab/>
        <w:t>(e)</w:t>
      </w:r>
      <w:r w:rsidRPr="006D2225">
        <w:tab/>
        <w:t>the entity is an entity of a kind specified in the regulations made for the purposes of this paragraph.</w:t>
      </w:r>
    </w:p>
    <w:p w:rsidR="00506F4C" w:rsidRPr="006D2225" w:rsidRDefault="00506F4C" w:rsidP="00506F4C">
      <w:pPr>
        <w:pStyle w:val="subsection"/>
      </w:pPr>
      <w:r w:rsidRPr="006D2225">
        <w:tab/>
        <w:t>(2)</w:t>
      </w:r>
      <w:r w:rsidRPr="006D2225">
        <w:tab/>
        <w:t>For the purposes of subsection (1):</w:t>
      </w:r>
    </w:p>
    <w:p w:rsidR="00506F4C" w:rsidRPr="006D2225" w:rsidRDefault="00506F4C" w:rsidP="00506F4C">
      <w:pPr>
        <w:pStyle w:val="paragraph"/>
      </w:pPr>
      <w:r w:rsidRPr="006D2225">
        <w:tab/>
        <w:t>(a)</w:t>
      </w:r>
      <w:r w:rsidRPr="006D2225">
        <w:tab/>
        <w:t>treat the following entities as together being one entity:</w:t>
      </w:r>
    </w:p>
    <w:p w:rsidR="00506F4C" w:rsidRPr="006D2225" w:rsidRDefault="00506F4C" w:rsidP="00506F4C">
      <w:pPr>
        <w:pStyle w:val="paragraphsub"/>
      </w:pPr>
      <w:r w:rsidRPr="006D2225">
        <w:tab/>
        <w:t>(i)</w:t>
      </w:r>
      <w:r w:rsidRPr="006D2225">
        <w:tab/>
        <w:t>an individual;</w:t>
      </w:r>
    </w:p>
    <w:p w:rsidR="00506F4C" w:rsidRPr="006D2225" w:rsidRDefault="00506F4C" w:rsidP="00506F4C">
      <w:pPr>
        <w:pStyle w:val="paragraphsub"/>
      </w:pPr>
      <w:r w:rsidRPr="006D2225">
        <w:tab/>
        <w:t>(ii)</w:t>
      </w:r>
      <w:r w:rsidRPr="006D2225">
        <w:tab/>
        <w:t>each of his or her relatives;</w:t>
      </w:r>
    </w:p>
    <w:p w:rsidR="00506F4C" w:rsidRPr="006D2225" w:rsidRDefault="00506F4C" w:rsidP="00506F4C">
      <w:pPr>
        <w:pStyle w:val="paragraphsub"/>
      </w:pPr>
      <w:r w:rsidRPr="006D2225">
        <w:tab/>
        <w:t>(iii)</w:t>
      </w:r>
      <w:r w:rsidRPr="006D2225">
        <w:tab/>
        <w:t>each entity acting in the capacity of nominee of an individual mentioned in subparagraph (i) or (ii); and</w:t>
      </w:r>
    </w:p>
    <w:p w:rsidR="00506F4C" w:rsidRPr="006D2225" w:rsidRDefault="00506F4C" w:rsidP="00506F4C">
      <w:pPr>
        <w:pStyle w:val="paragraph"/>
      </w:pPr>
      <w:r w:rsidRPr="006D2225">
        <w:tab/>
        <w:t>(b)</w:t>
      </w:r>
      <w:r w:rsidRPr="006D2225">
        <w:tab/>
        <w:t>treat the following entities as together being one entity:</w:t>
      </w:r>
    </w:p>
    <w:p w:rsidR="00506F4C" w:rsidRPr="006D2225" w:rsidRDefault="00506F4C" w:rsidP="00506F4C">
      <w:pPr>
        <w:pStyle w:val="paragraphsub"/>
      </w:pPr>
      <w:r w:rsidRPr="006D2225">
        <w:tab/>
        <w:t>(i)</w:t>
      </w:r>
      <w:r w:rsidRPr="006D2225">
        <w:tab/>
        <w:t>an entity that is not an individual;</w:t>
      </w:r>
    </w:p>
    <w:p w:rsidR="00506F4C" w:rsidRPr="006D2225" w:rsidRDefault="00506F4C" w:rsidP="00506F4C">
      <w:pPr>
        <w:pStyle w:val="paragraphsub"/>
      </w:pPr>
      <w:r w:rsidRPr="006D2225">
        <w:tab/>
        <w:t>(ii)</w:t>
      </w:r>
      <w:r w:rsidRPr="006D2225">
        <w:tab/>
        <w:t>each entity acting in the capacity of nominee of the entity mentioned in subparagraph (i).</w:t>
      </w:r>
    </w:p>
    <w:p w:rsidR="00506F4C" w:rsidRPr="006D2225" w:rsidRDefault="00506F4C" w:rsidP="00506F4C">
      <w:pPr>
        <w:pStyle w:val="SubsectionHead"/>
      </w:pPr>
      <w:r w:rsidRPr="006D2225">
        <w:lastRenderedPageBreak/>
        <w:t>Foreign widely held entities</w:t>
      </w:r>
    </w:p>
    <w:p w:rsidR="00506F4C" w:rsidRPr="006D2225" w:rsidRDefault="00506F4C" w:rsidP="00506F4C">
      <w:pPr>
        <w:pStyle w:val="subsection"/>
      </w:pPr>
      <w:r w:rsidRPr="006D2225">
        <w:tab/>
        <w:t>(3)</w:t>
      </w:r>
      <w:r w:rsidRPr="006D2225">
        <w:tab/>
        <w:t>An entity is covered by this subsection if:</w:t>
      </w:r>
    </w:p>
    <w:p w:rsidR="00506F4C" w:rsidRPr="006D2225" w:rsidRDefault="00506F4C" w:rsidP="00506F4C">
      <w:pPr>
        <w:pStyle w:val="paragraph"/>
      </w:pPr>
      <w:r w:rsidRPr="006D2225">
        <w:tab/>
        <w:t>(a)</w:t>
      </w:r>
      <w:r w:rsidRPr="006D2225">
        <w:tab/>
        <w:t>it is a life insurance company that is not an Australian resident at any time during the income year; or</w:t>
      </w:r>
    </w:p>
    <w:p w:rsidR="00506F4C" w:rsidRPr="006D2225" w:rsidRDefault="00506F4C" w:rsidP="00506F4C">
      <w:pPr>
        <w:pStyle w:val="paragraph"/>
      </w:pPr>
      <w:r w:rsidRPr="006D2225">
        <w:tab/>
        <w:t>(b)</w:t>
      </w:r>
      <w:r w:rsidRPr="006D2225">
        <w:tab/>
        <w:t xml:space="preserve">it is a </w:t>
      </w:r>
      <w:r w:rsidRPr="006D2225">
        <w:rPr>
          <w:position w:val="6"/>
          <w:sz w:val="16"/>
        </w:rPr>
        <w:t>*</w:t>
      </w:r>
      <w:r w:rsidRPr="006D2225">
        <w:t xml:space="preserve">foreign superannuation fund, being a fund that has at least 50 </w:t>
      </w:r>
      <w:r w:rsidRPr="006D2225">
        <w:rPr>
          <w:position w:val="6"/>
          <w:sz w:val="16"/>
        </w:rPr>
        <w:t>*</w:t>
      </w:r>
      <w:r w:rsidRPr="006D2225">
        <w:t>members; or</w:t>
      </w:r>
    </w:p>
    <w:p w:rsidR="00506F4C" w:rsidRPr="006D2225" w:rsidRDefault="00506F4C" w:rsidP="00506F4C">
      <w:pPr>
        <w:pStyle w:val="paragraph"/>
      </w:pPr>
      <w:r w:rsidRPr="006D2225">
        <w:tab/>
        <w:t>(c)</w:t>
      </w:r>
      <w:r w:rsidRPr="006D2225">
        <w:tab/>
        <w:t xml:space="preserve">it is an entity that is a fund established by an </w:t>
      </w:r>
      <w:r w:rsidRPr="006D2225">
        <w:rPr>
          <w:position w:val="6"/>
          <w:sz w:val="16"/>
        </w:rPr>
        <w:t>*</w:t>
      </w:r>
      <w:r w:rsidRPr="006D2225">
        <w:t>exempt foreign government agency for the principal purposes of funding pensions (including disability and similar benefits) for the citizens or other contributors of a foreign country.</w:t>
      </w:r>
    </w:p>
    <w:p w:rsidR="00506F4C" w:rsidRPr="006D2225" w:rsidRDefault="00506F4C" w:rsidP="00506F4C">
      <w:pPr>
        <w:pStyle w:val="SubsectionHead"/>
      </w:pPr>
      <w:r w:rsidRPr="006D2225">
        <w:t>Concentration test</w:t>
      </w:r>
    </w:p>
    <w:p w:rsidR="00506F4C" w:rsidRPr="006D2225" w:rsidRDefault="00506F4C" w:rsidP="00506F4C">
      <w:pPr>
        <w:pStyle w:val="subsection"/>
      </w:pPr>
      <w:r w:rsidRPr="006D2225">
        <w:tab/>
        <w:t>(4)</w:t>
      </w:r>
      <w:r w:rsidRPr="006D2225">
        <w:tab/>
        <w:t xml:space="preserve">The entity breaches the concentration test if 10 or fewer entities have a </w:t>
      </w:r>
      <w:r w:rsidRPr="006D2225">
        <w:rPr>
          <w:position w:val="6"/>
          <w:sz w:val="16"/>
        </w:rPr>
        <w:t>*</w:t>
      </w:r>
      <w:r w:rsidRPr="006D2225">
        <w:t>total participation interest in the entity of 50% or more.</w:t>
      </w:r>
    </w:p>
    <w:p w:rsidR="00506F4C" w:rsidRPr="006D2225" w:rsidRDefault="00506F4C" w:rsidP="00506F4C">
      <w:pPr>
        <w:pStyle w:val="subsection"/>
      </w:pPr>
      <w:r w:rsidRPr="006D2225">
        <w:tab/>
        <w:t>(5)</w:t>
      </w:r>
      <w:r w:rsidRPr="006D2225">
        <w:tab/>
        <w:t>In determining the number of entities for the purposes of subsection (4), do not count the following:</w:t>
      </w:r>
    </w:p>
    <w:p w:rsidR="00506F4C" w:rsidRPr="006D2225" w:rsidRDefault="00506F4C" w:rsidP="00506F4C">
      <w:pPr>
        <w:pStyle w:val="paragraph"/>
      </w:pPr>
      <w:r w:rsidRPr="006D2225">
        <w:tab/>
        <w:t>(a)</w:t>
      </w:r>
      <w:r w:rsidRPr="006D2225">
        <w:tab/>
        <w:t xml:space="preserve">an </w:t>
      </w:r>
      <w:r w:rsidRPr="006D2225">
        <w:rPr>
          <w:position w:val="6"/>
          <w:sz w:val="16"/>
        </w:rPr>
        <w:t>*</w:t>
      </w:r>
      <w:r w:rsidRPr="006D2225">
        <w:t>IMR foreign fund in relation to the income year;</w:t>
      </w:r>
    </w:p>
    <w:p w:rsidR="00506F4C" w:rsidRPr="006D2225" w:rsidRDefault="00506F4C" w:rsidP="00506F4C">
      <w:pPr>
        <w:pStyle w:val="paragraph"/>
      </w:pPr>
      <w:r w:rsidRPr="006D2225">
        <w:tab/>
        <w:t>(b)</w:t>
      </w:r>
      <w:r w:rsidRPr="006D2225">
        <w:tab/>
        <w:t>an entity that satisfies the requirement in paragraph (1)(d), (3)(a), (3)(b) or (3)(c);</w:t>
      </w:r>
    </w:p>
    <w:p w:rsidR="00506F4C" w:rsidRPr="006D2225" w:rsidRDefault="00506F4C" w:rsidP="00506F4C">
      <w:pPr>
        <w:pStyle w:val="paragraph"/>
      </w:pPr>
      <w:r w:rsidRPr="006D2225">
        <w:tab/>
        <w:t>(c)</w:t>
      </w:r>
      <w:r w:rsidRPr="006D2225">
        <w:tab/>
        <w:t xml:space="preserve">an entity that holds an </w:t>
      </w:r>
      <w:r w:rsidRPr="006D2225">
        <w:rPr>
          <w:position w:val="6"/>
          <w:sz w:val="16"/>
        </w:rPr>
        <w:t>*</w:t>
      </w:r>
      <w:r w:rsidRPr="006D2225">
        <w:t>indirect participation interest in the entity through one or more entities covered by paragraph (a) or (b) of this subsection.</w:t>
      </w:r>
    </w:p>
    <w:p w:rsidR="00506F4C" w:rsidRPr="006D2225" w:rsidRDefault="00506F4C" w:rsidP="00506F4C">
      <w:pPr>
        <w:pStyle w:val="ActHead5"/>
      </w:pPr>
      <w:bookmarkStart w:id="407" w:name="_Toc338939481"/>
      <w:r w:rsidRPr="006D2225">
        <w:rPr>
          <w:rStyle w:val="CharSectno"/>
        </w:rPr>
        <w:t>842</w:t>
      </w:r>
      <w:r>
        <w:rPr>
          <w:rStyle w:val="CharSectno"/>
        </w:rPr>
        <w:noBreakHyphen/>
      </w:r>
      <w:r w:rsidRPr="006D2225">
        <w:rPr>
          <w:rStyle w:val="CharSectno"/>
        </w:rPr>
        <w:t>245</w:t>
      </w:r>
      <w:r w:rsidRPr="006D2225">
        <w:t xml:space="preserve">  Financial arrangements covered by this section</w:t>
      </w:r>
      <w:bookmarkEnd w:id="407"/>
    </w:p>
    <w:p w:rsidR="00506F4C" w:rsidRPr="006D2225" w:rsidRDefault="00506F4C" w:rsidP="00506F4C">
      <w:pPr>
        <w:pStyle w:val="subsection"/>
      </w:pPr>
      <w:r w:rsidRPr="006D2225">
        <w:tab/>
        <w:t>(1)</w:t>
      </w:r>
      <w:r w:rsidRPr="006D2225">
        <w:tab/>
        <w:t xml:space="preserve">A </w:t>
      </w:r>
      <w:r w:rsidRPr="006D2225">
        <w:rPr>
          <w:position w:val="6"/>
          <w:sz w:val="16"/>
          <w:szCs w:val="16"/>
        </w:rPr>
        <w:t>*</w:t>
      </w:r>
      <w:r w:rsidRPr="006D2225">
        <w:t xml:space="preserve">financial arrangement is covered by this section </w:t>
      </w:r>
      <w:r w:rsidRPr="006D2225">
        <w:rPr>
          <w:bCs/>
        </w:rPr>
        <w:t>unless</w:t>
      </w:r>
      <w:r w:rsidRPr="006D2225">
        <w:t xml:space="preserve"> subsection (2), (3) or (4) applies.</w:t>
      </w:r>
    </w:p>
    <w:p w:rsidR="00506F4C" w:rsidRPr="006D2225" w:rsidRDefault="00506F4C" w:rsidP="00506F4C">
      <w:pPr>
        <w:pStyle w:val="subsection"/>
      </w:pPr>
      <w:r w:rsidRPr="006D2225">
        <w:rPr>
          <w:i/>
        </w:rPr>
        <w:tab/>
      </w:r>
      <w:r w:rsidRPr="006D2225">
        <w:t>(2)</w:t>
      </w:r>
      <w:r w:rsidRPr="006D2225">
        <w:tab/>
        <w:t xml:space="preserve">A </w:t>
      </w:r>
      <w:r w:rsidRPr="006D2225">
        <w:rPr>
          <w:position w:val="6"/>
          <w:sz w:val="16"/>
          <w:szCs w:val="16"/>
        </w:rPr>
        <w:t>*</w:t>
      </w:r>
      <w:r w:rsidRPr="006D2225">
        <w:t xml:space="preserve">financial arrangement </w:t>
      </w:r>
      <w:r w:rsidRPr="006D2225">
        <w:rPr>
          <w:bCs/>
        </w:rPr>
        <w:t xml:space="preserve">is </w:t>
      </w:r>
      <w:r w:rsidRPr="006D2225">
        <w:rPr>
          <w:bCs/>
          <w:iCs/>
        </w:rPr>
        <w:t>not</w:t>
      </w:r>
      <w:r w:rsidRPr="006D2225">
        <w:rPr>
          <w:bCs/>
        </w:rPr>
        <w:t xml:space="preserve"> covered by this section</w:t>
      </w:r>
      <w:r w:rsidRPr="006D2225">
        <w:t xml:space="preserve"> if:</w:t>
      </w:r>
    </w:p>
    <w:p w:rsidR="00506F4C" w:rsidRPr="006D2225" w:rsidRDefault="00506F4C" w:rsidP="00506F4C">
      <w:pPr>
        <w:pStyle w:val="paragraph"/>
      </w:pPr>
      <w:r w:rsidRPr="006D2225">
        <w:tab/>
        <w:t>(a)</w:t>
      </w:r>
      <w:r w:rsidRPr="006D2225">
        <w:tab/>
        <w:t xml:space="preserve">the </w:t>
      </w:r>
      <w:r w:rsidRPr="006D2225">
        <w:rPr>
          <w:position w:val="6"/>
          <w:sz w:val="16"/>
          <w:szCs w:val="16"/>
        </w:rPr>
        <w:t>*</w:t>
      </w:r>
      <w:r w:rsidRPr="006D2225">
        <w:t xml:space="preserve">IMR foreign fund has a </w:t>
      </w:r>
      <w:r w:rsidRPr="006D2225">
        <w:rPr>
          <w:position w:val="6"/>
          <w:sz w:val="16"/>
          <w:szCs w:val="16"/>
        </w:rPr>
        <w:t>*</w:t>
      </w:r>
      <w:r w:rsidRPr="006D2225">
        <w:t>total participation interest in another entity of 10% or more; and</w:t>
      </w:r>
    </w:p>
    <w:p w:rsidR="00506F4C" w:rsidRPr="006D2225" w:rsidRDefault="00506F4C" w:rsidP="00506F4C">
      <w:pPr>
        <w:pStyle w:val="paragraph"/>
      </w:pPr>
      <w:r w:rsidRPr="006D2225">
        <w:tab/>
        <w:t>(b)</w:t>
      </w:r>
      <w:r w:rsidRPr="006D2225">
        <w:tab/>
        <w:t>the financial arrangement is:</w:t>
      </w:r>
    </w:p>
    <w:p w:rsidR="00506F4C" w:rsidRPr="006D2225" w:rsidRDefault="00506F4C" w:rsidP="00506F4C">
      <w:pPr>
        <w:pStyle w:val="paragraphsub"/>
      </w:pPr>
      <w:r w:rsidRPr="006D2225">
        <w:tab/>
        <w:t>(i)</w:t>
      </w:r>
      <w:r w:rsidRPr="006D2225">
        <w:tab/>
        <w:t xml:space="preserve">a </w:t>
      </w:r>
      <w:r w:rsidRPr="006D2225">
        <w:rPr>
          <w:position w:val="6"/>
          <w:sz w:val="16"/>
          <w:szCs w:val="16"/>
        </w:rPr>
        <w:t>*</w:t>
      </w:r>
      <w:r w:rsidRPr="006D2225">
        <w:t xml:space="preserve">debt interest or an </w:t>
      </w:r>
      <w:r w:rsidRPr="006D2225">
        <w:rPr>
          <w:position w:val="6"/>
          <w:sz w:val="16"/>
          <w:szCs w:val="16"/>
        </w:rPr>
        <w:t>*</w:t>
      </w:r>
      <w:r w:rsidRPr="006D2225">
        <w:t>equity interest in the entity; or</w:t>
      </w:r>
    </w:p>
    <w:p w:rsidR="00506F4C" w:rsidRPr="006D2225" w:rsidRDefault="00506F4C" w:rsidP="00506F4C">
      <w:pPr>
        <w:pStyle w:val="paragraphsub"/>
      </w:pPr>
      <w:r w:rsidRPr="006D2225">
        <w:tab/>
        <w:t>(ii)</w:t>
      </w:r>
      <w:r w:rsidRPr="006D2225">
        <w:tab/>
        <w:t xml:space="preserve">the result of a </w:t>
      </w:r>
      <w:r w:rsidRPr="006D2225">
        <w:rPr>
          <w:position w:val="6"/>
          <w:sz w:val="16"/>
        </w:rPr>
        <w:t>*</w:t>
      </w:r>
      <w:r w:rsidRPr="006D2225">
        <w:t>financing arrangement for the entity that is neither a debt interest nor an equity interest; or</w:t>
      </w:r>
    </w:p>
    <w:p w:rsidR="00506F4C" w:rsidRPr="006D2225" w:rsidRDefault="00506F4C" w:rsidP="00506F4C">
      <w:pPr>
        <w:pStyle w:val="paragraphsub"/>
      </w:pPr>
      <w:r w:rsidRPr="006D2225">
        <w:lastRenderedPageBreak/>
        <w:tab/>
        <w:t>(iii)</w:t>
      </w:r>
      <w:r w:rsidRPr="006D2225">
        <w:tab/>
        <w:t xml:space="preserve">a </w:t>
      </w:r>
      <w:r w:rsidRPr="006D2225">
        <w:rPr>
          <w:position w:val="6"/>
          <w:sz w:val="16"/>
          <w:szCs w:val="16"/>
        </w:rPr>
        <w:t>*</w:t>
      </w:r>
      <w:r w:rsidRPr="006D2225">
        <w:t>derivative financial arrangement that relates to a financial arrangement to which subparagraph (i) or (ii) applies.</w:t>
      </w:r>
    </w:p>
    <w:p w:rsidR="00506F4C" w:rsidRPr="006D2225" w:rsidRDefault="00506F4C" w:rsidP="00506F4C">
      <w:pPr>
        <w:pStyle w:val="subsection"/>
      </w:pPr>
      <w:r w:rsidRPr="006D2225">
        <w:rPr>
          <w:i/>
        </w:rPr>
        <w:tab/>
      </w:r>
      <w:r w:rsidRPr="006D2225">
        <w:t>(3)</w:t>
      </w:r>
      <w:r w:rsidRPr="006D2225">
        <w:tab/>
        <w:t xml:space="preserve">A </w:t>
      </w:r>
      <w:r w:rsidRPr="006D2225">
        <w:rPr>
          <w:position w:val="6"/>
          <w:sz w:val="16"/>
          <w:szCs w:val="16"/>
        </w:rPr>
        <w:t>*</w:t>
      </w:r>
      <w:r w:rsidRPr="006D2225">
        <w:t xml:space="preserve">financial arrangement is </w:t>
      </w:r>
      <w:r w:rsidRPr="006D2225">
        <w:rPr>
          <w:i/>
          <w:iCs/>
        </w:rPr>
        <w:t>not</w:t>
      </w:r>
      <w:r w:rsidRPr="006D2225">
        <w:t xml:space="preserve"> covered by this section if:</w:t>
      </w:r>
    </w:p>
    <w:p w:rsidR="00506F4C" w:rsidRPr="006D2225" w:rsidRDefault="00506F4C" w:rsidP="00506F4C">
      <w:pPr>
        <w:pStyle w:val="paragraph"/>
      </w:pPr>
      <w:r w:rsidRPr="006D2225">
        <w:tab/>
        <w:t>(a)</w:t>
      </w:r>
      <w:r w:rsidRPr="006D2225">
        <w:tab/>
        <w:t xml:space="preserve">the financial arrangement is a </w:t>
      </w:r>
      <w:r w:rsidRPr="006D2225">
        <w:rPr>
          <w:position w:val="6"/>
          <w:sz w:val="16"/>
          <w:szCs w:val="16"/>
        </w:rPr>
        <w:t>*</w:t>
      </w:r>
      <w:r w:rsidRPr="006D2225">
        <w:t xml:space="preserve">derivative financial arrangement that relates to a </w:t>
      </w:r>
      <w:r w:rsidRPr="006D2225">
        <w:rPr>
          <w:position w:val="6"/>
          <w:sz w:val="16"/>
          <w:szCs w:val="16"/>
        </w:rPr>
        <w:t>*</w:t>
      </w:r>
      <w:r w:rsidRPr="006D2225">
        <w:t>CGT asset; and</w:t>
      </w:r>
    </w:p>
    <w:p w:rsidR="00506F4C" w:rsidRPr="006D2225" w:rsidRDefault="00506F4C" w:rsidP="00506F4C">
      <w:pPr>
        <w:pStyle w:val="paragraph"/>
      </w:pPr>
      <w:r w:rsidRPr="006D2225">
        <w:tab/>
        <w:t>(b)</w:t>
      </w:r>
      <w:r w:rsidRPr="006D2225">
        <w:tab/>
        <w:t>the CGT asset is:</w:t>
      </w:r>
    </w:p>
    <w:p w:rsidR="00506F4C" w:rsidRPr="006D2225" w:rsidRDefault="00506F4C" w:rsidP="00506F4C">
      <w:pPr>
        <w:pStyle w:val="paragraphsub"/>
      </w:pPr>
      <w:r w:rsidRPr="006D2225">
        <w:tab/>
        <w:t>(i)</w:t>
      </w:r>
      <w:r w:rsidRPr="006D2225">
        <w:tab/>
      </w:r>
      <w:r w:rsidRPr="006D2225">
        <w:rPr>
          <w:position w:val="6"/>
          <w:sz w:val="16"/>
          <w:szCs w:val="16"/>
        </w:rPr>
        <w:t>*</w:t>
      </w:r>
      <w:r w:rsidRPr="006D2225">
        <w:t>taxable Australian real property (see section 855</w:t>
      </w:r>
      <w:r>
        <w:noBreakHyphen/>
      </w:r>
      <w:r w:rsidRPr="006D2225">
        <w:t>20); or</w:t>
      </w:r>
    </w:p>
    <w:p w:rsidR="00506F4C" w:rsidRPr="006D2225" w:rsidRDefault="00506F4C" w:rsidP="00506F4C">
      <w:pPr>
        <w:pStyle w:val="paragraphsub"/>
      </w:pPr>
      <w:r w:rsidRPr="006D2225">
        <w:tab/>
        <w:t>(ii)</w:t>
      </w:r>
      <w:r w:rsidRPr="006D2225">
        <w:tab/>
        <w:t xml:space="preserve">an </w:t>
      </w:r>
      <w:r w:rsidRPr="006D2225">
        <w:rPr>
          <w:position w:val="6"/>
          <w:sz w:val="16"/>
          <w:szCs w:val="16"/>
        </w:rPr>
        <w:t>*</w:t>
      </w:r>
      <w:r w:rsidRPr="006D2225">
        <w:t>indirect Australian real property interest (see section 855</w:t>
      </w:r>
      <w:r>
        <w:noBreakHyphen/>
      </w:r>
      <w:r w:rsidRPr="006D2225">
        <w:t>25).</w:t>
      </w:r>
    </w:p>
    <w:p w:rsidR="00506F4C" w:rsidRPr="006D2225" w:rsidRDefault="00506F4C" w:rsidP="00506F4C">
      <w:pPr>
        <w:pStyle w:val="subsection"/>
      </w:pPr>
      <w:r w:rsidRPr="006D2225">
        <w:tab/>
        <w:t>(4)</w:t>
      </w:r>
      <w:r w:rsidRPr="006D2225">
        <w:tab/>
        <w:t xml:space="preserve">A </w:t>
      </w:r>
      <w:r w:rsidRPr="006D2225">
        <w:rPr>
          <w:position w:val="6"/>
          <w:sz w:val="16"/>
          <w:szCs w:val="16"/>
        </w:rPr>
        <w:t>*</w:t>
      </w:r>
      <w:r w:rsidRPr="006D2225">
        <w:t xml:space="preserve">financial arrangement is </w:t>
      </w:r>
      <w:r w:rsidRPr="006D2225">
        <w:rPr>
          <w:i/>
          <w:iCs/>
        </w:rPr>
        <w:t>not</w:t>
      </w:r>
      <w:r w:rsidRPr="006D2225">
        <w:t xml:space="preserve"> covered by this section if its terms allow the </w:t>
      </w:r>
      <w:r w:rsidRPr="006D2225">
        <w:rPr>
          <w:position w:val="6"/>
          <w:sz w:val="16"/>
          <w:szCs w:val="16"/>
        </w:rPr>
        <w:t>*</w:t>
      </w:r>
      <w:r w:rsidRPr="006D2225">
        <w:t>IMR foreign fund to:</w:t>
      </w:r>
    </w:p>
    <w:p w:rsidR="00506F4C" w:rsidRPr="006D2225" w:rsidRDefault="00506F4C" w:rsidP="00506F4C">
      <w:pPr>
        <w:pStyle w:val="paragraph"/>
      </w:pPr>
      <w:r w:rsidRPr="006D2225">
        <w:tab/>
        <w:t>(a)</w:t>
      </w:r>
      <w:r w:rsidRPr="006D2225">
        <w:tab/>
        <w:t>vote at a meeting of the Board of Directors (or other governing body) of the issuer of the financial arrangement; or</w:t>
      </w:r>
    </w:p>
    <w:p w:rsidR="00506F4C" w:rsidRPr="006D2225" w:rsidRDefault="00506F4C" w:rsidP="00506F4C">
      <w:pPr>
        <w:pStyle w:val="paragraph"/>
      </w:pPr>
      <w:r w:rsidRPr="006D2225">
        <w:tab/>
        <w:t>(b)</w:t>
      </w:r>
      <w:r w:rsidRPr="006D2225">
        <w:tab/>
        <w:t>participate in making financial, operating or policy decisions in respect of the operation of the issuer of the financial arrangement; or</w:t>
      </w:r>
    </w:p>
    <w:p w:rsidR="00506F4C" w:rsidRPr="006D2225" w:rsidRDefault="00506F4C" w:rsidP="00506F4C">
      <w:pPr>
        <w:pStyle w:val="paragraph"/>
      </w:pPr>
      <w:r w:rsidRPr="006D2225">
        <w:tab/>
        <w:t>(c)</w:t>
      </w:r>
      <w:r w:rsidRPr="006D2225">
        <w:tab/>
        <w:t>deal with the assets of the issuer of the financial arrangement.</w:t>
      </w:r>
    </w:p>
    <w:p w:rsidR="00506F4C" w:rsidRPr="006D2225" w:rsidRDefault="00506F4C" w:rsidP="00506F4C">
      <w:pPr>
        <w:pStyle w:val="subsection"/>
        <w:rPr>
          <w:szCs w:val="22"/>
        </w:rPr>
      </w:pPr>
      <w:r w:rsidRPr="006D2225">
        <w:tab/>
      </w:r>
      <w:r w:rsidRPr="006D2225">
        <w:rPr>
          <w:szCs w:val="22"/>
        </w:rPr>
        <w:t>(5)</w:t>
      </w:r>
      <w:r w:rsidRPr="006D2225">
        <w:rPr>
          <w:szCs w:val="22"/>
        </w:rPr>
        <w:tab/>
        <w:t xml:space="preserve">Subsection (4) does not apply if that subsection applies solely because the issuer of the </w:t>
      </w:r>
      <w:r w:rsidRPr="006D2225">
        <w:rPr>
          <w:position w:val="6"/>
          <w:sz w:val="16"/>
          <w:szCs w:val="16"/>
        </w:rPr>
        <w:t>*</w:t>
      </w:r>
      <w:r w:rsidRPr="006D2225">
        <w:rPr>
          <w:szCs w:val="22"/>
        </w:rPr>
        <w:t>financial arrangement breached a term of the financial arrangement.</w:t>
      </w:r>
    </w:p>
    <w:p w:rsidR="00506F4C" w:rsidRPr="006D2225" w:rsidRDefault="00506F4C" w:rsidP="00506F4C">
      <w:pPr>
        <w:pStyle w:val="ActHead5"/>
        <w:rPr>
          <w:i/>
        </w:rPr>
      </w:pPr>
      <w:bookmarkStart w:id="408" w:name="_Toc338939482"/>
      <w:r w:rsidRPr="006D2225">
        <w:rPr>
          <w:rStyle w:val="CharSectno"/>
        </w:rPr>
        <w:t>842</w:t>
      </w:r>
      <w:r>
        <w:rPr>
          <w:rStyle w:val="CharSectno"/>
        </w:rPr>
        <w:noBreakHyphen/>
      </w:r>
      <w:r w:rsidRPr="006D2225">
        <w:rPr>
          <w:rStyle w:val="CharSectno"/>
        </w:rPr>
        <w:t>250</w:t>
      </w:r>
      <w:r w:rsidRPr="006D2225">
        <w:t xml:space="preserve">  </w:t>
      </w:r>
      <w:r w:rsidRPr="006D2225">
        <w:rPr>
          <w:i/>
        </w:rPr>
        <w:t>IMR income</w:t>
      </w:r>
      <w:r w:rsidRPr="006D2225">
        <w:t xml:space="preserve"> and </w:t>
      </w:r>
      <w:r w:rsidRPr="006D2225">
        <w:rPr>
          <w:i/>
        </w:rPr>
        <w:t>IMR deduction</w:t>
      </w:r>
      <w:bookmarkEnd w:id="408"/>
    </w:p>
    <w:p w:rsidR="00506F4C" w:rsidRPr="006D2225" w:rsidRDefault="00506F4C" w:rsidP="00506F4C">
      <w:pPr>
        <w:pStyle w:val="SubsectionHead"/>
      </w:pPr>
      <w:r w:rsidRPr="006D2225">
        <w:t>IMR income</w:t>
      </w:r>
    </w:p>
    <w:p w:rsidR="00506F4C" w:rsidRPr="006D2225" w:rsidRDefault="00506F4C" w:rsidP="00506F4C">
      <w:pPr>
        <w:pStyle w:val="subsection"/>
      </w:pPr>
      <w:r w:rsidRPr="006D2225">
        <w:tab/>
        <w:t>(1)</w:t>
      </w:r>
      <w:r w:rsidRPr="006D2225">
        <w:tab/>
        <w:t xml:space="preserve">The </w:t>
      </w:r>
      <w:r w:rsidRPr="006D2225">
        <w:rPr>
          <w:b/>
          <w:i/>
        </w:rPr>
        <w:t>IMR income</w:t>
      </w:r>
      <w:r w:rsidRPr="006D2225">
        <w:rPr>
          <w:i/>
        </w:rPr>
        <w:t xml:space="preserve"> </w:t>
      </w:r>
      <w:r w:rsidRPr="006D2225">
        <w:t xml:space="preserve">for an income year of an </w:t>
      </w:r>
      <w:r w:rsidRPr="006D2225">
        <w:rPr>
          <w:position w:val="6"/>
          <w:sz w:val="16"/>
        </w:rPr>
        <w:t>*</w:t>
      </w:r>
      <w:r w:rsidRPr="006D2225">
        <w:t>IMR foreign fund in relation to the income year is the sum of the fund’s assessable income for the income year to the extent that:</w:t>
      </w:r>
    </w:p>
    <w:p w:rsidR="00506F4C" w:rsidRPr="006D2225" w:rsidRDefault="00506F4C" w:rsidP="00506F4C">
      <w:pPr>
        <w:pStyle w:val="paragraph"/>
      </w:pPr>
      <w:r w:rsidRPr="006D2225">
        <w:tab/>
        <w:t>(a)</w:t>
      </w:r>
      <w:r w:rsidRPr="006D2225">
        <w:tab/>
        <w:t xml:space="preserve">the assessable income is attributable to a return or gain from a </w:t>
      </w:r>
      <w:r w:rsidRPr="006D2225">
        <w:rPr>
          <w:position w:val="6"/>
          <w:sz w:val="16"/>
        </w:rPr>
        <w:t>*</w:t>
      </w:r>
      <w:r w:rsidRPr="006D2225">
        <w:t>financial arrangement covered by section 842</w:t>
      </w:r>
      <w:r>
        <w:noBreakHyphen/>
      </w:r>
      <w:r w:rsidRPr="006D2225">
        <w:t>245; and</w:t>
      </w:r>
    </w:p>
    <w:p w:rsidR="00506F4C" w:rsidRPr="006D2225" w:rsidRDefault="00506F4C" w:rsidP="00506F4C">
      <w:pPr>
        <w:pStyle w:val="paragraph"/>
      </w:pPr>
      <w:r w:rsidRPr="006D2225">
        <w:tab/>
        <w:t>(b)</w:t>
      </w:r>
      <w:r w:rsidRPr="006D2225">
        <w:tab/>
        <w:t xml:space="preserve">the fund has a </w:t>
      </w:r>
      <w:r w:rsidRPr="006D2225">
        <w:rPr>
          <w:position w:val="6"/>
          <w:sz w:val="16"/>
        </w:rPr>
        <w:t>*</w:t>
      </w:r>
      <w:r w:rsidRPr="006D2225">
        <w:t>permanent establishment in Australia solely as a result of engaging an entity that is a resident of Australia to habitually exercise a general authority to negotiate and conclude contracts on its behalf; and</w:t>
      </w:r>
    </w:p>
    <w:p w:rsidR="00506F4C" w:rsidRPr="006D2225" w:rsidRDefault="00506F4C" w:rsidP="00506F4C">
      <w:pPr>
        <w:pStyle w:val="paragraph"/>
      </w:pPr>
      <w:r w:rsidRPr="006D2225">
        <w:lastRenderedPageBreak/>
        <w:tab/>
        <w:t>(c)</w:t>
      </w:r>
      <w:r w:rsidRPr="006D2225">
        <w:tab/>
        <w:t>amounts are included in the assessable income of the fund only because:</w:t>
      </w:r>
    </w:p>
    <w:p w:rsidR="00DC6286" w:rsidRPr="006D2225" w:rsidRDefault="00DC6286" w:rsidP="00DC6286">
      <w:pPr>
        <w:pStyle w:val="paragraphsub"/>
      </w:pPr>
      <w:r w:rsidRPr="006D2225">
        <w:tab/>
        <w:t>(i)</w:t>
      </w:r>
      <w:r w:rsidRPr="006D2225">
        <w:tab/>
        <w:t xml:space="preserve">in respect of an entity that is resident in a country that has entered into an </w:t>
      </w:r>
      <w:r w:rsidRPr="006D2225">
        <w:rPr>
          <w:position w:val="6"/>
          <w:sz w:val="16"/>
        </w:rPr>
        <w:t>*</w:t>
      </w:r>
      <w:r w:rsidRPr="006D2225">
        <w:t xml:space="preserve">international tax agreement with Australia containing a </w:t>
      </w:r>
      <w:r w:rsidRPr="006D2225">
        <w:rPr>
          <w:position w:val="6"/>
          <w:sz w:val="16"/>
        </w:rPr>
        <w:t>*</w:t>
      </w:r>
      <w:r w:rsidRPr="006D2225">
        <w:t>business profits article—amounts included in the assessable income of the fund are treated as having a source in Australia because they are attributable to a permanent establishment of the fund in Australia; or</w:t>
      </w:r>
    </w:p>
    <w:p w:rsidR="00DC6286" w:rsidRPr="006D2225" w:rsidRDefault="00DC6286" w:rsidP="00DC6286">
      <w:pPr>
        <w:pStyle w:val="paragraphsub"/>
      </w:pPr>
      <w:r w:rsidRPr="006D2225">
        <w:tab/>
        <w:t>(ii)</w:t>
      </w:r>
      <w:r w:rsidRPr="006D2225">
        <w:tab/>
        <w:t xml:space="preserve">in respect of an entity that has not entered into an international tax agreement with Australia—the Commissioner makes a determination under section 136AE of the </w:t>
      </w:r>
      <w:r w:rsidRPr="006D2225">
        <w:rPr>
          <w:i/>
        </w:rPr>
        <w:t>Income Tax Assessment Act 1936</w:t>
      </w:r>
      <w:r w:rsidRPr="006D2225">
        <w:t>; or</w:t>
      </w:r>
    </w:p>
    <w:p w:rsidR="00506F4C" w:rsidRPr="006D2225" w:rsidRDefault="00506F4C" w:rsidP="00506F4C">
      <w:pPr>
        <w:pStyle w:val="paragraphsub"/>
      </w:pPr>
      <w:r w:rsidRPr="006D2225">
        <w:tab/>
        <w:t>(iii)</w:t>
      </w:r>
      <w:r w:rsidRPr="006D2225">
        <w:tab/>
        <w:t xml:space="preserve">the financial arrangement is a </w:t>
      </w:r>
      <w:r w:rsidRPr="006D2225">
        <w:rPr>
          <w:position w:val="6"/>
          <w:sz w:val="16"/>
        </w:rPr>
        <w:t>*</w:t>
      </w:r>
      <w:r w:rsidRPr="006D2225">
        <w:t>CGT asset covered by item 3 of the table in section 855</w:t>
      </w:r>
      <w:r>
        <w:noBreakHyphen/>
      </w:r>
      <w:r w:rsidRPr="006D2225">
        <w:t>15; or</w:t>
      </w:r>
    </w:p>
    <w:p w:rsidR="00506F4C" w:rsidRPr="006D2225" w:rsidRDefault="00506F4C" w:rsidP="00506F4C">
      <w:pPr>
        <w:pStyle w:val="paragraphsub"/>
      </w:pPr>
      <w:r w:rsidRPr="006D2225">
        <w:tab/>
        <w:t>(iv)</w:t>
      </w:r>
      <w:r w:rsidRPr="006D2225">
        <w:tab/>
        <w:t>the financial arrangement is a CGT asset covered by item 4 of the table in section 855</w:t>
      </w:r>
      <w:r>
        <w:noBreakHyphen/>
      </w:r>
      <w:r w:rsidRPr="006D2225">
        <w:t xml:space="preserve">15 because it is an option or right to </w:t>
      </w:r>
      <w:r w:rsidRPr="006D2225">
        <w:rPr>
          <w:position w:val="6"/>
          <w:sz w:val="16"/>
        </w:rPr>
        <w:t>*</w:t>
      </w:r>
      <w:r w:rsidRPr="006D2225">
        <w:t>acquire a CGT asset covered by item 3 of that table.</w:t>
      </w:r>
    </w:p>
    <w:p w:rsidR="00506F4C" w:rsidRPr="006D2225" w:rsidRDefault="00506F4C" w:rsidP="00506F4C">
      <w:pPr>
        <w:pStyle w:val="SubsectionHead"/>
      </w:pPr>
      <w:r w:rsidRPr="006D2225">
        <w:t>IMR deduction</w:t>
      </w:r>
    </w:p>
    <w:p w:rsidR="00506F4C" w:rsidRPr="006D2225" w:rsidRDefault="00506F4C" w:rsidP="00506F4C">
      <w:pPr>
        <w:pStyle w:val="subsection"/>
      </w:pPr>
      <w:r w:rsidRPr="006D2225">
        <w:tab/>
        <w:t>(2)</w:t>
      </w:r>
      <w:r w:rsidRPr="006D2225">
        <w:tab/>
        <w:t xml:space="preserve">The </w:t>
      </w:r>
      <w:r w:rsidRPr="006D2225">
        <w:rPr>
          <w:b/>
          <w:i/>
        </w:rPr>
        <w:t xml:space="preserve">IMR deduction </w:t>
      </w:r>
      <w:r w:rsidRPr="006D2225">
        <w:t xml:space="preserve">for an income year of an </w:t>
      </w:r>
      <w:r w:rsidRPr="006D2225">
        <w:rPr>
          <w:position w:val="6"/>
          <w:sz w:val="16"/>
        </w:rPr>
        <w:t>*</w:t>
      </w:r>
      <w:r w:rsidRPr="006D2225">
        <w:t xml:space="preserve">IMR foreign fund in relation to the income year is the sum of the fund’s deductions for the income year to the extent to which they are attributable to gaining </w:t>
      </w:r>
      <w:r w:rsidRPr="006D2225">
        <w:rPr>
          <w:position w:val="6"/>
          <w:sz w:val="16"/>
        </w:rPr>
        <w:t>*</w:t>
      </w:r>
      <w:r w:rsidRPr="006D2225">
        <w:t xml:space="preserve">IMR income, an </w:t>
      </w:r>
      <w:r w:rsidRPr="006D2225">
        <w:rPr>
          <w:position w:val="6"/>
          <w:sz w:val="16"/>
        </w:rPr>
        <w:t>*</w:t>
      </w:r>
      <w:r w:rsidRPr="006D2225">
        <w:t xml:space="preserve">IMR capital gain, </w:t>
      </w:r>
      <w:r w:rsidRPr="006D2225">
        <w:rPr>
          <w:position w:val="6"/>
          <w:sz w:val="16"/>
        </w:rPr>
        <w:t>*</w:t>
      </w:r>
      <w:r w:rsidRPr="006D2225">
        <w:t>pre</w:t>
      </w:r>
      <w:r>
        <w:noBreakHyphen/>
      </w:r>
      <w:r w:rsidRPr="006D2225">
        <w:t xml:space="preserve">2012 IMR income or a </w:t>
      </w:r>
      <w:r w:rsidRPr="006D2225">
        <w:rPr>
          <w:position w:val="6"/>
          <w:sz w:val="16"/>
        </w:rPr>
        <w:t>*</w:t>
      </w:r>
      <w:r w:rsidRPr="006D2225">
        <w:t>pre</w:t>
      </w:r>
      <w:r>
        <w:noBreakHyphen/>
      </w:r>
      <w:r w:rsidRPr="006D2225">
        <w:t>2012 IMR capital gain.</w:t>
      </w:r>
    </w:p>
    <w:p w:rsidR="00506F4C" w:rsidRPr="006D2225" w:rsidRDefault="00506F4C" w:rsidP="00506F4C">
      <w:pPr>
        <w:pStyle w:val="subsection"/>
      </w:pPr>
      <w:r w:rsidRPr="006D2225">
        <w:tab/>
        <w:t>(3)</w:t>
      </w:r>
      <w:r w:rsidRPr="006D2225">
        <w:tab/>
        <w:t xml:space="preserve">Disregard the following provisions for the purposes of calculating an </w:t>
      </w:r>
      <w:r w:rsidRPr="006D2225">
        <w:rPr>
          <w:position w:val="6"/>
          <w:sz w:val="16"/>
        </w:rPr>
        <w:t>*</w:t>
      </w:r>
      <w:r w:rsidRPr="006D2225">
        <w:t xml:space="preserve">IMR foreign fund’s </w:t>
      </w:r>
      <w:r w:rsidRPr="006D2225">
        <w:rPr>
          <w:position w:val="6"/>
          <w:sz w:val="16"/>
        </w:rPr>
        <w:t>*</w:t>
      </w:r>
      <w:r w:rsidRPr="006D2225">
        <w:t xml:space="preserve">IMR income or </w:t>
      </w:r>
      <w:r w:rsidRPr="006D2225">
        <w:rPr>
          <w:position w:val="6"/>
          <w:sz w:val="16"/>
        </w:rPr>
        <w:t>*</w:t>
      </w:r>
      <w:r w:rsidRPr="006D2225">
        <w:t>IMR deduction:</w:t>
      </w:r>
    </w:p>
    <w:p w:rsidR="00506F4C" w:rsidRPr="006D2225" w:rsidRDefault="00506F4C" w:rsidP="00506F4C">
      <w:pPr>
        <w:pStyle w:val="paragraph"/>
      </w:pPr>
      <w:r w:rsidRPr="006D2225">
        <w:tab/>
        <w:t>(a)</w:t>
      </w:r>
      <w:r w:rsidRPr="006D2225">
        <w:tab/>
        <w:t>subsection 842</w:t>
      </w:r>
      <w:r>
        <w:noBreakHyphen/>
      </w:r>
      <w:r w:rsidRPr="006D2225">
        <w:t>210(3) (which is about certain amounts of an IMR foreign fund being disregarded);</w:t>
      </w:r>
    </w:p>
    <w:p w:rsidR="00506F4C" w:rsidRPr="006D2225" w:rsidRDefault="00506F4C" w:rsidP="00506F4C">
      <w:pPr>
        <w:pStyle w:val="paragraph"/>
      </w:pPr>
      <w:r w:rsidRPr="006D2225">
        <w:tab/>
        <w:t>(b)</w:t>
      </w:r>
      <w:r w:rsidRPr="006D2225">
        <w:tab/>
        <w:t>paragraph 842</w:t>
      </w:r>
      <w:r>
        <w:noBreakHyphen/>
      </w:r>
      <w:r w:rsidRPr="006D2225">
        <w:t>260(1)(a) (which is about non</w:t>
      </w:r>
      <w:r>
        <w:noBreakHyphen/>
      </w:r>
      <w:r w:rsidRPr="006D2225">
        <w:t>IMR net income);</w:t>
      </w:r>
    </w:p>
    <w:p w:rsidR="00506F4C" w:rsidRPr="006D2225" w:rsidRDefault="00506F4C" w:rsidP="00506F4C">
      <w:pPr>
        <w:pStyle w:val="paragraph"/>
      </w:pPr>
      <w:r w:rsidRPr="006D2225">
        <w:tab/>
        <w:t>(c)</w:t>
      </w:r>
      <w:r w:rsidRPr="006D2225">
        <w:tab/>
        <w:t>section 842</w:t>
      </w:r>
      <w:r>
        <w:noBreakHyphen/>
      </w:r>
      <w:r w:rsidRPr="006D2225">
        <w:t>265 (which is about non</w:t>
      </w:r>
      <w:r>
        <w:noBreakHyphen/>
      </w:r>
      <w:r w:rsidRPr="006D2225">
        <w:t>IMR partnership net income and non</w:t>
      </w:r>
      <w:r>
        <w:noBreakHyphen/>
      </w:r>
      <w:r w:rsidRPr="006D2225">
        <w:t>IMR partnership loss).</w:t>
      </w:r>
    </w:p>
    <w:p w:rsidR="00506F4C" w:rsidRPr="006D2225" w:rsidRDefault="00506F4C" w:rsidP="00506F4C">
      <w:pPr>
        <w:pStyle w:val="ActHead5"/>
        <w:rPr>
          <w:i/>
        </w:rPr>
      </w:pPr>
      <w:bookmarkStart w:id="409" w:name="_Toc338939483"/>
      <w:r w:rsidRPr="006D2225">
        <w:rPr>
          <w:rStyle w:val="CharSectno"/>
        </w:rPr>
        <w:lastRenderedPageBreak/>
        <w:t>842</w:t>
      </w:r>
      <w:r>
        <w:rPr>
          <w:rStyle w:val="CharSectno"/>
        </w:rPr>
        <w:noBreakHyphen/>
      </w:r>
      <w:r w:rsidRPr="006D2225">
        <w:rPr>
          <w:rStyle w:val="CharSectno"/>
        </w:rPr>
        <w:t>255</w:t>
      </w:r>
      <w:r w:rsidRPr="006D2225">
        <w:t xml:space="preserve">  </w:t>
      </w:r>
      <w:r w:rsidRPr="006D2225">
        <w:rPr>
          <w:i/>
        </w:rPr>
        <w:t>IMR capital gain</w:t>
      </w:r>
      <w:r w:rsidRPr="006D2225">
        <w:t xml:space="preserve"> and </w:t>
      </w:r>
      <w:r w:rsidRPr="006D2225">
        <w:rPr>
          <w:i/>
        </w:rPr>
        <w:t>IMR capital loss</w:t>
      </w:r>
      <w:bookmarkEnd w:id="409"/>
    </w:p>
    <w:p w:rsidR="00506F4C" w:rsidRPr="006D2225" w:rsidRDefault="00506F4C" w:rsidP="00506F4C">
      <w:pPr>
        <w:pStyle w:val="SubsectionHead"/>
      </w:pPr>
      <w:r w:rsidRPr="006D2225">
        <w:t>IMR capital gain</w:t>
      </w:r>
    </w:p>
    <w:p w:rsidR="00506F4C" w:rsidRPr="006D2225" w:rsidRDefault="00506F4C" w:rsidP="00506F4C">
      <w:pPr>
        <w:pStyle w:val="subsection"/>
      </w:pPr>
      <w:r w:rsidRPr="006D2225">
        <w:tab/>
        <w:t>(1)</w:t>
      </w:r>
      <w:r w:rsidRPr="006D2225">
        <w:tab/>
        <w:t xml:space="preserve">The </w:t>
      </w:r>
      <w:r w:rsidRPr="006D2225">
        <w:rPr>
          <w:b/>
          <w:i/>
        </w:rPr>
        <w:t xml:space="preserve">IMR capital gain </w:t>
      </w:r>
      <w:r w:rsidRPr="006D2225">
        <w:t xml:space="preserve">for an income year of an </w:t>
      </w:r>
      <w:r w:rsidRPr="006D2225">
        <w:rPr>
          <w:position w:val="6"/>
          <w:sz w:val="16"/>
        </w:rPr>
        <w:t>*</w:t>
      </w:r>
      <w:r w:rsidRPr="006D2225">
        <w:t xml:space="preserve">IMR foreign fund in relation to the income year is the sum of the fund’s </w:t>
      </w:r>
      <w:r w:rsidRPr="006D2225">
        <w:rPr>
          <w:position w:val="6"/>
          <w:sz w:val="16"/>
        </w:rPr>
        <w:t>*</w:t>
      </w:r>
      <w:r w:rsidRPr="006D2225">
        <w:t>capital gains made in the income year to the extent that:</w:t>
      </w:r>
    </w:p>
    <w:p w:rsidR="00506F4C" w:rsidRPr="006D2225" w:rsidRDefault="00506F4C" w:rsidP="00506F4C">
      <w:pPr>
        <w:pStyle w:val="paragraph"/>
      </w:pPr>
      <w:r w:rsidRPr="006D2225">
        <w:tab/>
        <w:t>(a)</w:t>
      </w:r>
      <w:r w:rsidRPr="006D2225">
        <w:tab/>
        <w:t xml:space="preserve">the fund has a </w:t>
      </w:r>
      <w:r w:rsidRPr="006D2225">
        <w:rPr>
          <w:position w:val="6"/>
          <w:sz w:val="16"/>
        </w:rPr>
        <w:t>*</w:t>
      </w:r>
      <w:r w:rsidRPr="006D2225">
        <w:t>permanent establishment in Australia solely as a result of engaging an entity that is a resident of Australia to habitually exercise a general authority to negotiate and conclude contracts on its behalf; and</w:t>
      </w:r>
    </w:p>
    <w:p w:rsidR="00506F4C" w:rsidRPr="006D2225" w:rsidRDefault="00506F4C" w:rsidP="00506F4C">
      <w:pPr>
        <w:pStyle w:val="paragraph"/>
      </w:pPr>
      <w:r w:rsidRPr="006D2225">
        <w:tab/>
        <w:t>(b)</w:t>
      </w:r>
      <w:r w:rsidRPr="006D2225">
        <w:tab/>
        <w:t xml:space="preserve">the capital gains are made in respect of </w:t>
      </w:r>
      <w:r w:rsidRPr="006D2225">
        <w:rPr>
          <w:position w:val="6"/>
          <w:sz w:val="16"/>
        </w:rPr>
        <w:t>*</w:t>
      </w:r>
      <w:r w:rsidRPr="006D2225">
        <w:t xml:space="preserve">CGT assets covered by subsection (3) which are also </w:t>
      </w:r>
      <w:r w:rsidRPr="006D2225">
        <w:rPr>
          <w:position w:val="6"/>
          <w:sz w:val="16"/>
        </w:rPr>
        <w:t>*</w:t>
      </w:r>
      <w:r w:rsidRPr="006D2225">
        <w:t>financial arrangements covered by section 842</w:t>
      </w:r>
      <w:r>
        <w:noBreakHyphen/>
      </w:r>
      <w:r w:rsidRPr="006D2225">
        <w:t>245.</w:t>
      </w:r>
    </w:p>
    <w:p w:rsidR="00506F4C" w:rsidRPr="006D2225" w:rsidRDefault="00506F4C" w:rsidP="00506F4C">
      <w:pPr>
        <w:pStyle w:val="SubsectionHead"/>
      </w:pPr>
      <w:r w:rsidRPr="006D2225">
        <w:t>IMR capital loss</w:t>
      </w:r>
    </w:p>
    <w:p w:rsidR="00506F4C" w:rsidRPr="006D2225" w:rsidRDefault="00506F4C" w:rsidP="00506F4C">
      <w:pPr>
        <w:pStyle w:val="subsection"/>
      </w:pPr>
      <w:r w:rsidRPr="006D2225">
        <w:tab/>
        <w:t>(2)</w:t>
      </w:r>
      <w:r w:rsidRPr="006D2225">
        <w:tab/>
        <w:t xml:space="preserve">The </w:t>
      </w:r>
      <w:r w:rsidRPr="006D2225">
        <w:rPr>
          <w:b/>
          <w:i/>
        </w:rPr>
        <w:t xml:space="preserve">IMR capital loss </w:t>
      </w:r>
      <w:r w:rsidRPr="006D2225">
        <w:t xml:space="preserve">for an income year of an </w:t>
      </w:r>
      <w:r w:rsidRPr="006D2225">
        <w:rPr>
          <w:position w:val="6"/>
          <w:sz w:val="16"/>
        </w:rPr>
        <w:t>*</w:t>
      </w:r>
      <w:r w:rsidRPr="006D2225">
        <w:t xml:space="preserve">IMR foreign fund for an income year is the sum of the fund’s </w:t>
      </w:r>
      <w:r w:rsidRPr="006D2225">
        <w:rPr>
          <w:position w:val="6"/>
          <w:sz w:val="16"/>
        </w:rPr>
        <w:t>*</w:t>
      </w:r>
      <w:r w:rsidRPr="006D2225">
        <w:t>capital losses made in relation to the income year to the extent that:</w:t>
      </w:r>
    </w:p>
    <w:p w:rsidR="00506F4C" w:rsidRPr="006D2225" w:rsidRDefault="00506F4C" w:rsidP="00506F4C">
      <w:pPr>
        <w:pStyle w:val="paragraph"/>
      </w:pPr>
      <w:r w:rsidRPr="006D2225">
        <w:tab/>
        <w:t>(a)</w:t>
      </w:r>
      <w:r w:rsidRPr="006D2225">
        <w:tab/>
        <w:t xml:space="preserve">the fund has a </w:t>
      </w:r>
      <w:r w:rsidRPr="006D2225">
        <w:rPr>
          <w:position w:val="6"/>
          <w:sz w:val="16"/>
        </w:rPr>
        <w:t>*</w:t>
      </w:r>
      <w:r w:rsidRPr="006D2225">
        <w:t>permanent establishment in Australia solely as a result of engaging an entity that is a resident of Australia to habitually exercise a general authority to negotiate and conclude contracts on its behalf; and</w:t>
      </w:r>
    </w:p>
    <w:p w:rsidR="00506F4C" w:rsidRPr="006D2225" w:rsidRDefault="00506F4C" w:rsidP="00506F4C">
      <w:pPr>
        <w:pStyle w:val="paragraph"/>
      </w:pPr>
      <w:r w:rsidRPr="006D2225">
        <w:tab/>
        <w:t>(b)</w:t>
      </w:r>
      <w:r w:rsidRPr="006D2225">
        <w:tab/>
        <w:t xml:space="preserve">the capital losses are made in respect of </w:t>
      </w:r>
      <w:r w:rsidRPr="006D2225">
        <w:rPr>
          <w:position w:val="6"/>
          <w:sz w:val="16"/>
        </w:rPr>
        <w:t>*</w:t>
      </w:r>
      <w:r w:rsidRPr="006D2225">
        <w:t xml:space="preserve">CGT assets covered by subsection (3) which are also </w:t>
      </w:r>
      <w:r w:rsidRPr="006D2225">
        <w:rPr>
          <w:position w:val="6"/>
          <w:sz w:val="16"/>
        </w:rPr>
        <w:t>*</w:t>
      </w:r>
      <w:r w:rsidRPr="006D2225">
        <w:t>financial arrangements covered by section 842</w:t>
      </w:r>
      <w:r>
        <w:noBreakHyphen/>
      </w:r>
      <w:r w:rsidRPr="006D2225">
        <w:t>245.</w:t>
      </w:r>
    </w:p>
    <w:p w:rsidR="00506F4C" w:rsidRPr="006D2225" w:rsidRDefault="00506F4C" w:rsidP="00506F4C">
      <w:pPr>
        <w:pStyle w:val="subsection"/>
      </w:pPr>
      <w:r w:rsidRPr="006D2225">
        <w:tab/>
        <w:t>(3)</w:t>
      </w:r>
      <w:r w:rsidRPr="006D2225">
        <w:tab/>
        <w:t xml:space="preserve">A </w:t>
      </w:r>
      <w:r w:rsidRPr="006D2225">
        <w:rPr>
          <w:position w:val="6"/>
          <w:sz w:val="16"/>
        </w:rPr>
        <w:t>*</w:t>
      </w:r>
      <w:r w:rsidRPr="006D2225">
        <w:t xml:space="preserve">CGT asset of an </w:t>
      </w:r>
      <w:r w:rsidRPr="006D2225">
        <w:rPr>
          <w:position w:val="6"/>
          <w:sz w:val="16"/>
        </w:rPr>
        <w:t>*</w:t>
      </w:r>
      <w:r w:rsidRPr="006D2225">
        <w:t>IMR foreign fund is covered by this subsection if:</w:t>
      </w:r>
    </w:p>
    <w:p w:rsidR="00506F4C" w:rsidRPr="006D2225" w:rsidRDefault="00506F4C" w:rsidP="00506F4C">
      <w:pPr>
        <w:pStyle w:val="paragraph"/>
      </w:pPr>
      <w:r w:rsidRPr="006D2225">
        <w:tab/>
        <w:t>(a)</w:t>
      </w:r>
      <w:r w:rsidRPr="006D2225">
        <w:tab/>
        <w:t>it is covered by item 3 of the table in section 855</w:t>
      </w:r>
      <w:r>
        <w:noBreakHyphen/>
      </w:r>
      <w:r w:rsidRPr="006D2225">
        <w:t>15 in relation to the fund; or</w:t>
      </w:r>
    </w:p>
    <w:p w:rsidR="00506F4C" w:rsidRPr="006D2225" w:rsidRDefault="00506F4C" w:rsidP="00506F4C">
      <w:pPr>
        <w:pStyle w:val="paragraph"/>
      </w:pPr>
      <w:r w:rsidRPr="006D2225">
        <w:tab/>
        <w:t>(b)</w:t>
      </w:r>
      <w:r w:rsidRPr="006D2225">
        <w:tab/>
        <w:t>it is covered by item 4 of the table in section 855</w:t>
      </w:r>
      <w:r>
        <w:noBreakHyphen/>
      </w:r>
      <w:r w:rsidRPr="006D2225">
        <w:t xml:space="preserve">15 in relation to the fund because it is an option or right to </w:t>
      </w:r>
      <w:r w:rsidRPr="006D2225">
        <w:rPr>
          <w:position w:val="6"/>
          <w:sz w:val="16"/>
        </w:rPr>
        <w:t>*</w:t>
      </w:r>
      <w:r w:rsidRPr="006D2225">
        <w:t>acquire a CGT asset covered by item 3 of that table in relation to the fund.</w:t>
      </w:r>
    </w:p>
    <w:p w:rsidR="00506F4C" w:rsidRPr="006D2225" w:rsidRDefault="00506F4C" w:rsidP="00506F4C">
      <w:pPr>
        <w:pStyle w:val="SubsectionHead"/>
      </w:pPr>
      <w:r w:rsidRPr="006D2225">
        <w:lastRenderedPageBreak/>
        <w:t>Partner’s IMR capital gain or IMR capital loss</w:t>
      </w:r>
    </w:p>
    <w:p w:rsidR="00506F4C" w:rsidRPr="006D2225" w:rsidRDefault="00506F4C" w:rsidP="00506F4C">
      <w:pPr>
        <w:pStyle w:val="subsection"/>
      </w:pPr>
      <w:r w:rsidRPr="006D2225">
        <w:tab/>
        <w:t>(4)</w:t>
      </w:r>
      <w:r w:rsidRPr="006D2225">
        <w:tab/>
        <w:t xml:space="preserve">Where the </w:t>
      </w:r>
      <w:r w:rsidRPr="006D2225">
        <w:rPr>
          <w:position w:val="6"/>
          <w:sz w:val="16"/>
        </w:rPr>
        <w:t>*</w:t>
      </w:r>
      <w:r w:rsidRPr="006D2225">
        <w:t xml:space="preserve">IMR foreign fund is a partnership, a </w:t>
      </w:r>
      <w:r w:rsidRPr="006D2225">
        <w:rPr>
          <w:position w:val="6"/>
          <w:sz w:val="16"/>
        </w:rPr>
        <w:t>*</w:t>
      </w:r>
      <w:r w:rsidRPr="006D2225">
        <w:t xml:space="preserve">capital gain or </w:t>
      </w:r>
      <w:r w:rsidRPr="006D2225">
        <w:rPr>
          <w:position w:val="6"/>
          <w:sz w:val="16"/>
        </w:rPr>
        <w:t>*</w:t>
      </w:r>
      <w:r w:rsidRPr="006D2225">
        <w:t xml:space="preserve">capital loss of a partner that arises in respect of the partner’s interest in the fund is treated as an </w:t>
      </w:r>
      <w:r w:rsidRPr="006D2225">
        <w:rPr>
          <w:position w:val="6"/>
          <w:sz w:val="16"/>
        </w:rPr>
        <w:t>*</w:t>
      </w:r>
      <w:r w:rsidRPr="006D2225">
        <w:t xml:space="preserve">IMR capital gain or an </w:t>
      </w:r>
      <w:r w:rsidRPr="006D2225">
        <w:rPr>
          <w:position w:val="6"/>
          <w:sz w:val="16"/>
        </w:rPr>
        <w:t>*</w:t>
      </w:r>
      <w:r w:rsidRPr="006D2225">
        <w:t xml:space="preserve">IMR capital loss (as the case may be) to the extent that the capital gain or capital loss is made in respect of </w:t>
      </w:r>
      <w:r w:rsidRPr="006D2225">
        <w:rPr>
          <w:position w:val="6"/>
          <w:sz w:val="16"/>
        </w:rPr>
        <w:t>*</w:t>
      </w:r>
      <w:r w:rsidRPr="006D2225">
        <w:t xml:space="preserve">CGT assets covered by subsection (3) which are also </w:t>
      </w:r>
      <w:r w:rsidRPr="006D2225">
        <w:rPr>
          <w:position w:val="6"/>
          <w:sz w:val="16"/>
        </w:rPr>
        <w:t>*</w:t>
      </w:r>
      <w:r w:rsidRPr="006D2225">
        <w:t>financial arrangements covered by section 842</w:t>
      </w:r>
      <w:r>
        <w:noBreakHyphen/>
      </w:r>
      <w:r w:rsidRPr="006D2225">
        <w:t>245.</w:t>
      </w:r>
    </w:p>
    <w:p w:rsidR="00506F4C" w:rsidRPr="006D2225" w:rsidRDefault="00506F4C" w:rsidP="00506F4C">
      <w:pPr>
        <w:pStyle w:val="ActHead5"/>
      </w:pPr>
      <w:bookmarkStart w:id="410" w:name="_Toc338939484"/>
      <w:r w:rsidRPr="006D2225">
        <w:rPr>
          <w:rStyle w:val="CharSectno"/>
        </w:rPr>
        <w:t>842</w:t>
      </w:r>
      <w:r>
        <w:rPr>
          <w:rStyle w:val="CharSectno"/>
        </w:rPr>
        <w:noBreakHyphen/>
      </w:r>
      <w:r w:rsidRPr="006D2225">
        <w:rPr>
          <w:rStyle w:val="CharSectno"/>
        </w:rPr>
        <w:t>260</w:t>
      </w:r>
      <w:r w:rsidRPr="006D2225">
        <w:rPr>
          <w:i/>
        </w:rPr>
        <w:t xml:space="preserve">  Non</w:t>
      </w:r>
      <w:r>
        <w:rPr>
          <w:i/>
        </w:rPr>
        <w:noBreakHyphen/>
      </w:r>
      <w:r w:rsidRPr="006D2225">
        <w:rPr>
          <w:i/>
        </w:rPr>
        <w:t>IMR net income</w:t>
      </w:r>
      <w:r w:rsidRPr="006D2225">
        <w:t xml:space="preserve">, </w:t>
      </w:r>
      <w:r w:rsidRPr="006D2225">
        <w:rPr>
          <w:i/>
        </w:rPr>
        <w:t>non</w:t>
      </w:r>
      <w:r>
        <w:rPr>
          <w:i/>
        </w:rPr>
        <w:noBreakHyphen/>
      </w:r>
      <w:r w:rsidRPr="006D2225">
        <w:rPr>
          <w:i/>
        </w:rPr>
        <w:t xml:space="preserve">IMR Division 6E net income </w:t>
      </w:r>
      <w:r w:rsidRPr="006D2225">
        <w:t xml:space="preserve">and </w:t>
      </w:r>
      <w:r w:rsidRPr="006D2225">
        <w:rPr>
          <w:i/>
        </w:rPr>
        <w:t>non</w:t>
      </w:r>
      <w:r>
        <w:rPr>
          <w:i/>
        </w:rPr>
        <w:noBreakHyphen/>
      </w:r>
      <w:r w:rsidRPr="006D2225">
        <w:rPr>
          <w:i/>
        </w:rPr>
        <w:t>IMR net capital gain</w:t>
      </w:r>
      <w:bookmarkEnd w:id="410"/>
    </w:p>
    <w:p w:rsidR="00506F4C" w:rsidRPr="006D2225" w:rsidRDefault="00506F4C" w:rsidP="00506F4C">
      <w:pPr>
        <w:pStyle w:val="subsection"/>
      </w:pPr>
      <w:r w:rsidRPr="006D2225">
        <w:tab/>
        <w:t>(1)</w:t>
      </w:r>
      <w:r w:rsidRPr="006D2225">
        <w:tab/>
        <w:t xml:space="preserve">A trust’s </w:t>
      </w:r>
      <w:r w:rsidRPr="006D2225">
        <w:rPr>
          <w:b/>
          <w:i/>
        </w:rPr>
        <w:t>non</w:t>
      </w:r>
      <w:r>
        <w:rPr>
          <w:b/>
          <w:i/>
        </w:rPr>
        <w:noBreakHyphen/>
      </w:r>
      <w:r w:rsidRPr="006D2225">
        <w:rPr>
          <w:b/>
          <w:i/>
        </w:rPr>
        <w:t xml:space="preserve">IMR net income </w:t>
      </w:r>
      <w:r w:rsidRPr="006D2225">
        <w:t xml:space="preserve">in relation to an income year is determined by calculating the </w:t>
      </w:r>
      <w:r w:rsidRPr="006D2225">
        <w:rPr>
          <w:position w:val="6"/>
          <w:sz w:val="16"/>
        </w:rPr>
        <w:t>*</w:t>
      </w:r>
      <w:r w:rsidRPr="006D2225">
        <w:t>net income of the trust as follows:</w:t>
      </w:r>
    </w:p>
    <w:p w:rsidR="00506F4C" w:rsidRPr="006D2225" w:rsidRDefault="00506F4C" w:rsidP="00506F4C">
      <w:pPr>
        <w:pStyle w:val="paragraph"/>
      </w:pPr>
      <w:r w:rsidRPr="006D2225">
        <w:tab/>
        <w:t>(a)</w:t>
      </w:r>
      <w:r w:rsidRPr="006D2225">
        <w:tab/>
        <w:t xml:space="preserve">disregard the </w:t>
      </w:r>
      <w:r w:rsidRPr="006D2225">
        <w:rPr>
          <w:position w:val="6"/>
          <w:sz w:val="16"/>
        </w:rPr>
        <w:t>*</w:t>
      </w:r>
      <w:r w:rsidRPr="006D2225">
        <w:t xml:space="preserve">IMR income and </w:t>
      </w:r>
      <w:r w:rsidRPr="006D2225">
        <w:rPr>
          <w:position w:val="6"/>
          <w:sz w:val="16"/>
        </w:rPr>
        <w:t>*</w:t>
      </w:r>
      <w:r w:rsidRPr="006D2225">
        <w:t>IMR deduction of the trust for the income year;</w:t>
      </w:r>
    </w:p>
    <w:p w:rsidR="00506F4C" w:rsidRPr="006D2225" w:rsidRDefault="00506F4C" w:rsidP="00506F4C">
      <w:pPr>
        <w:pStyle w:val="paragraph"/>
      </w:pPr>
      <w:r w:rsidRPr="006D2225">
        <w:tab/>
        <w:t>(b)</w:t>
      </w:r>
      <w:r w:rsidRPr="006D2225">
        <w:tab/>
        <w:t>disregard any amount that is included in the trust’s assessable income under subsection 207</w:t>
      </w:r>
      <w:r>
        <w:noBreakHyphen/>
      </w:r>
      <w:r w:rsidRPr="006D2225">
        <w:t>35(1) to the extent that the amount is attributable to IMR income of the trust for the income year;</w:t>
      </w:r>
    </w:p>
    <w:p w:rsidR="00506F4C" w:rsidRPr="006D2225" w:rsidRDefault="00506F4C" w:rsidP="00506F4C">
      <w:pPr>
        <w:pStyle w:val="paragraph"/>
      </w:pPr>
      <w:r w:rsidRPr="006D2225">
        <w:tab/>
        <w:t>(c)</w:t>
      </w:r>
      <w:r w:rsidRPr="006D2225">
        <w:tab/>
        <w:t>if the trust is a beneficiary of another trust—then:</w:t>
      </w:r>
    </w:p>
    <w:p w:rsidR="00506F4C" w:rsidRPr="006D2225" w:rsidRDefault="00506F4C" w:rsidP="00506F4C">
      <w:pPr>
        <w:pStyle w:val="paragraphsub"/>
      </w:pPr>
      <w:r w:rsidRPr="006D2225">
        <w:tab/>
        <w:t>(i)</w:t>
      </w:r>
      <w:r w:rsidRPr="006D2225">
        <w:tab/>
        <w:t xml:space="preserve">for the purposes of applying Division 6 of Part III of the </w:t>
      </w:r>
      <w:r w:rsidRPr="006D2225">
        <w:rPr>
          <w:i/>
        </w:rPr>
        <w:t>Income Tax Assessment Act 1936</w:t>
      </w:r>
      <w:r w:rsidRPr="006D2225">
        <w:t xml:space="preserve"> to the beneficiary, replace the references in that Division to share of the net income with references to share of the non</w:t>
      </w:r>
      <w:r>
        <w:noBreakHyphen/>
      </w:r>
      <w:r w:rsidRPr="006D2225">
        <w:t>IMR net income (within the meaning of subsection 842</w:t>
      </w:r>
      <w:r>
        <w:noBreakHyphen/>
      </w:r>
      <w:r w:rsidRPr="006D2225">
        <w:t xml:space="preserve">260(1) of the </w:t>
      </w:r>
      <w:r w:rsidRPr="006D2225">
        <w:rPr>
          <w:i/>
        </w:rPr>
        <w:t>Income Tax Assessment Act 1997</w:t>
      </w:r>
      <w:r w:rsidRPr="006D2225">
        <w:t>); and</w:t>
      </w:r>
    </w:p>
    <w:p w:rsidR="00506F4C" w:rsidRPr="006D2225" w:rsidRDefault="00506F4C" w:rsidP="00506F4C">
      <w:pPr>
        <w:pStyle w:val="paragraphsub"/>
      </w:pPr>
      <w:r w:rsidRPr="006D2225">
        <w:tab/>
        <w:t>(ii)</w:t>
      </w:r>
      <w:r w:rsidRPr="006D2225">
        <w:tab/>
        <w:t xml:space="preserve">for the purposes of applying Division 6E of Part III of the </w:t>
      </w:r>
      <w:r w:rsidRPr="006D2225">
        <w:rPr>
          <w:i/>
        </w:rPr>
        <w:t>Income Tax Assessment Act 1936</w:t>
      </w:r>
      <w:r w:rsidRPr="006D2225">
        <w:t xml:space="preserve"> to the beneficiary, replace references in that Division to Division 6E net income with references to non</w:t>
      </w:r>
      <w:r>
        <w:noBreakHyphen/>
      </w:r>
      <w:r w:rsidRPr="006D2225">
        <w:t>IMR Division 6E net income (within the meaning of subsection 842</w:t>
      </w:r>
      <w:r>
        <w:noBreakHyphen/>
      </w:r>
      <w:r w:rsidRPr="006D2225">
        <w:t xml:space="preserve">260(2) of the </w:t>
      </w:r>
      <w:r w:rsidRPr="006D2225">
        <w:rPr>
          <w:i/>
        </w:rPr>
        <w:t>Income Tax Assessment Act 1997</w:t>
      </w:r>
      <w:r w:rsidRPr="006D2225">
        <w:t>);</w:t>
      </w:r>
    </w:p>
    <w:p w:rsidR="00506F4C" w:rsidRPr="006D2225" w:rsidRDefault="00506F4C" w:rsidP="00506F4C">
      <w:pPr>
        <w:pStyle w:val="paragraph"/>
      </w:pPr>
      <w:r w:rsidRPr="006D2225">
        <w:tab/>
        <w:t>(d)</w:t>
      </w:r>
      <w:r w:rsidRPr="006D2225">
        <w:tab/>
        <w:t xml:space="preserve">if the trust is a partner in a partnership—for the purposes of applying Division 5 of Part III of the </w:t>
      </w:r>
      <w:r w:rsidRPr="006D2225">
        <w:rPr>
          <w:i/>
        </w:rPr>
        <w:t xml:space="preserve">Income Tax Assessment Act 1936 </w:t>
      </w:r>
      <w:r w:rsidRPr="006D2225">
        <w:t xml:space="preserve">to the partner, replace references in that Division to the individual interest of the partner in the partnership net income or partnership loss with references to the individual </w:t>
      </w:r>
      <w:r w:rsidRPr="006D2225">
        <w:lastRenderedPageBreak/>
        <w:t>interest of the partner in the non</w:t>
      </w:r>
      <w:r>
        <w:noBreakHyphen/>
      </w:r>
      <w:r w:rsidRPr="006D2225">
        <w:t>IMR partnership net income or non</w:t>
      </w:r>
      <w:r>
        <w:noBreakHyphen/>
      </w:r>
      <w:r w:rsidRPr="006D2225">
        <w:t>IMR partnership loss (within the meaning of those terms in section 842</w:t>
      </w:r>
      <w:r>
        <w:noBreakHyphen/>
      </w:r>
      <w:r w:rsidRPr="006D2225">
        <w:t xml:space="preserve">265 of the </w:t>
      </w:r>
      <w:r w:rsidRPr="006D2225">
        <w:rPr>
          <w:i/>
        </w:rPr>
        <w:t>Income Tax Assessment Act 1997</w:t>
      </w:r>
      <w:r w:rsidRPr="006D2225">
        <w:t>).</w:t>
      </w:r>
    </w:p>
    <w:p w:rsidR="00506F4C" w:rsidRPr="006D2225" w:rsidRDefault="00506F4C" w:rsidP="00506F4C">
      <w:pPr>
        <w:pStyle w:val="notetext"/>
      </w:pPr>
      <w:r w:rsidRPr="006D2225">
        <w:t xml:space="preserve">Note: </w:t>
      </w:r>
      <w:r w:rsidRPr="006D2225">
        <w:tab/>
        <w:t>The net income of a trust may include a share of the net income of another trust. Where there is a chain of trusts these calculations are applied to each trust in the chain.</w:t>
      </w:r>
    </w:p>
    <w:p w:rsidR="00506F4C" w:rsidRPr="006D2225" w:rsidRDefault="00506F4C" w:rsidP="00506F4C">
      <w:pPr>
        <w:pStyle w:val="SubsectionHead"/>
      </w:pPr>
      <w:r w:rsidRPr="006D2225">
        <w:t>Non</w:t>
      </w:r>
      <w:r>
        <w:noBreakHyphen/>
      </w:r>
      <w:r w:rsidRPr="006D2225">
        <w:t>IMR Division 6E net income</w:t>
      </w:r>
    </w:p>
    <w:p w:rsidR="00506F4C" w:rsidRPr="006D2225" w:rsidRDefault="00506F4C" w:rsidP="00506F4C">
      <w:pPr>
        <w:pStyle w:val="subsection"/>
      </w:pPr>
      <w:r w:rsidRPr="006D2225">
        <w:tab/>
        <w:t>(2)</w:t>
      </w:r>
      <w:r w:rsidRPr="006D2225">
        <w:tab/>
        <w:t xml:space="preserve">A trust’s </w:t>
      </w:r>
      <w:r w:rsidRPr="006D2225">
        <w:rPr>
          <w:b/>
          <w:i/>
        </w:rPr>
        <w:t>non</w:t>
      </w:r>
      <w:r>
        <w:rPr>
          <w:b/>
          <w:i/>
        </w:rPr>
        <w:noBreakHyphen/>
      </w:r>
      <w:r w:rsidRPr="006D2225">
        <w:rPr>
          <w:b/>
          <w:i/>
        </w:rPr>
        <w:t xml:space="preserve">IMR Division 6E net income </w:t>
      </w:r>
      <w:r w:rsidRPr="006D2225">
        <w:t xml:space="preserve">in relation to an income year is determined by calculating the Division 6E net income (within the meaning of subsection 102UY(3) of the </w:t>
      </w:r>
      <w:r w:rsidRPr="006D2225">
        <w:rPr>
          <w:i/>
        </w:rPr>
        <w:t>Income Tax Assessment Act 1936</w:t>
      </w:r>
      <w:r w:rsidRPr="006D2225">
        <w:t>) of the trust as follows:</w:t>
      </w:r>
    </w:p>
    <w:p w:rsidR="00506F4C" w:rsidRPr="006D2225" w:rsidRDefault="00506F4C" w:rsidP="00506F4C">
      <w:pPr>
        <w:pStyle w:val="paragraph"/>
      </w:pPr>
      <w:r w:rsidRPr="006D2225">
        <w:tab/>
        <w:t>(a)</w:t>
      </w:r>
      <w:r w:rsidRPr="006D2225">
        <w:tab/>
        <w:t xml:space="preserve">disregard the </w:t>
      </w:r>
      <w:r w:rsidRPr="006D2225">
        <w:rPr>
          <w:position w:val="6"/>
          <w:sz w:val="16"/>
        </w:rPr>
        <w:t>*</w:t>
      </w:r>
      <w:r w:rsidRPr="006D2225">
        <w:t xml:space="preserve">IMR income and </w:t>
      </w:r>
      <w:r w:rsidRPr="006D2225">
        <w:rPr>
          <w:position w:val="6"/>
          <w:sz w:val="16"/>
        </w:rPr>
        <w:t>*</w:t>
      </w:r>
      <w:r w:rsidRPr="006D2225">
        <w:t>IMR deduction of the trust in relation to the income year;</w:t>
      </w:r>
    </w:p>
    <w:p w:rsidR="00506F4C" w:rsidRPr="006D2225" w:rsidRDefault="00506F4C" w:rsidP="00506F4C">
      <w:pPr>
        <w:pStyle w:val="paragraph"/>
      </w:pPr>
      <w:r w:rsidRPr="006D2225">
        <w:tab/>
        <w:t>(b)</w:t>
      </w:r>
      <w:r w:rsidRPr="006D2225">
        <w:tab/>
        <w:t xml:space="preserve">disregard the things mentioned in subparagraphs 102UW(b)(i) to (iii) of the </w:t>
      </w:r>
      <w:r w:rsidRPr="006D2225">
        <w:rPr>
          <w:i/>
        </w:rPr>
        <w:t>Income Tax Assessment Act 1936</w:t>
      </w:r>
      <w:r w:rsidRPr="006D2225">
        <w:t xml:space="preserve"> (which are about adjustments of Division 6 assessable amounts) in relation to the income year.</w:t>
      </w:r>
    </w:p>
    <w:p w:rsidR="00506F4C" w:rsidRPr="006D2225" w:rsidRDefault="00506F4C" w:rsidP="00506F4C">
      <w:pPr>
        <w:pStyle w:val="SubsectionHead"/>
      </w:pPr>
      <w:r w:rsidRPr="006D2225">
        <w:t>Non</w:t>
      </w:r>
      <w:r>
        <w:noBreakHyphen/>
      </w:r>
      <w:r w:rsidRPr="006D2225">
        <w:t>IMR net capital gain</w:t>
      </w:r>
    </w:p>
    <w:p w:rsidR="00506F4C" w:rsidRPr="006D2225" w:rsidRDefault="00506F4C" w:rsidP="00506F4C">
      <w:pPr>
        <w:pStyle w:val="subsection"/>
      </w:pPr>
      <w:r w:rsidRPr="006D2225">
        <w:tab/>
        <w:t>(3)</w:t>
      </w:r>
      <w:r w:rsidRPr="006D2225">
        <w:tab/>
        <w:t xml:space="preserve">A trust’s </w:t>
      </w:r>
      <w:r w:rsidRPr="006D2225">
        <w:rPr>
          <w:b/>
          <w:i/>
        </w:rPr>
        <w:t>non</w:t>
      </w:r>
      <w:r>
        <w:rPr>
          <w:b/>
          <w:i/>
        </w:rPr>
        <w:noBreakHyphen/>
      </w:r>
      <w:r w:rsidRPr="006D2225">
        <w:rPr>
          <w:b/>
          <w:i/>
        </w:rPr>
        <w:t xml:space="preserve">IMR net capital gain </w:t>
      </w:r>
      <w:r w:rsidRPr="006D2225">
        <w:t xml:space="preserve">in relation to an income year is determined by calculating the </w:t>
      </w:r>
      <w:r w:rsidRPr="006D2225">
        <w:rPr>
          <w:position w:val="6"/>
          <w:sz w:val="16"/>
        </w:rPr>
        <w:t>*</w:t>
      </w:r>
      <w:r w:rsidRPr="006D2225">
        <w:t>net capital gain of the trust as follows:</w:t>
      </w:r>
    </w:p>
    <w:p w:rsidR="00506F4C" w:rsidRPr="006D2225" w:rsidRDefault="00506F4C" w:rsidP="00506F4C">
      <w:pPr>
        <w:pStyle w:val="paragraph"/>
      </w:pPr>
      <w:r w:rsidRPr="006D2225">
        <w:tab/>
        <w:t>(a)</w:t>
      </w:r>
      <w:r w:rsidRPr="006D2225">
        <w:tab/>
        <w:t xml:space="preserve">disregard the trust’s </w:t>
      </w:r>
      <w:r w:rsidRPr="006D2225">
        <w:rPr>
          <w:position w:val="6"/>
          <w:sz w:val="16"/>
        </w:rPr>
        <w:t>*</w:t>
      </w:r>
      <w:r w:rsidRPr="006D2225">
        <w:t xml:space="preserve">IMR capital gain and </w:t>
      </w:r>
      <w:r w:rsidRPr="006D2225">
        <w:rPr>
          <w:position w:val="6"/>
          <w:sz w:val="16"/>
        </w:rPr>
        <w:t>*</w:t>
      </w:r>
      <w:r w:rsidRPr="006D2225">
        <w:t>IMR capital loss in relation to the income year;</w:t>
      </w:r>
    </w:p>
    <w:p w:rsidR="00506F4C" w:rsidRPr="006D2225" w:rsidRDefault="00506F4C" w:rsidP="00506F4C">
      <w:pPr>
        <w:pStyle w:val="paragraph"/>
      </w:pPr>
      <w:r w:rsidRPr="006D2225">
        <w:tab/>
        <w:t>(b)</w:t>
      </w:r>
      <w:r w:rsidRPr="006D2225">
        <w:tab/>
        <w:t xml:space="preserve">disregard any capital gain of the trust that is referable to an IMR capital gain of another </w:t>
      </w:r>
      <w:r w:rsidRPr="006D2225">
        <w:rPr>
          <w:position w:val="6"/>
          <w:sz w:val="16"/>
        </w:rPr>
        <w:t>*</w:t>
      </w:r>
      <w:r w:rsidRPr="006D2225">
        <w:t>IMR foreign fund that is a trust.</w:t>
      </w:r>
    </w:p>
    <w:p w:rsidR="00506F4C" w:rsidRPr="006D2225" w:rsidRDefault="00506F4C" w:rsidP="00506F4C">
      <w:pPr>
        <w:pStyle w:val="ActHead5"/>
      </w:pPr>
      <w:bookmarkStart w:id="411" w:name="_Toc338939485"/>
      <w:r w:rsidRPr="006D2225">
        <w:rPr>
          <w:rStyle w:val="CharSectno"/>
        </w:rPr>
        <w:t>842</w:t>
      </w:r>
      <w:r>
        <w:rPr>
          <w:rStyle w:val="CharSectno"/>
        </w:rPr>
        <w:noBreakHyphen/>
      </w:r>
      <w:r w:rsidRPr="006D2225">
        <w:rPr>
          <w:rStyle w:val="CharSectno"/>
        </w:rPr>
        <w:t>265</w:t>
      </w:r>
      <w:r w:rsidRPr="006D2225">
        <w:t xml:space="preserve">  </w:t>
      </w:r>
      <w:r w:rsidRPr="006D2225">
        <w:rPr>
          <w:rStyle w:val="CharBoldItalic"/>
          <w:b/>
        </w:rPr>
        <w:t>Non</w:t>
      </w:r>
      <w:r>
        <w:rPr>
          <w:rStyle w:val="CharBoldItalic"/>
          <w:b/>
        </w:rPr>
        <w:noBreakHyphen/>
      </w:r>
      <w:r w:rsidRPr="006D2225">
        <w:rPr>
          <w:rStyle w:val="CharBoldItalic"/>
          <w:b/>
        </w:rPr>
        <w:t>IMR partnership net income</w:t>
      </w:r>
      <w:r w:rsidRPr="006D2225">
        <w:rPr>
          <w:b w:val="0"/>
        </w:rPr>
        <w:t xml:space="preserve"> </w:t>
      </w:r>
      <w:r w:rsidRPr="006D2225">
        <w:t xml:space="preserve">and </w:t>
      </w:r>
      <w:r w:rsidRPr="006D2225">
        <w:rPr>
          <w:rStyle w:val="CharBoldItalic"/>
          <w:b/>
        </w:rPr>
        <w:t>non</w:t>
      </w:r>
      <w:r>
        <w:rPr>
          <w:rStyle w:val="CharBoldItalic"/>
          <w:b/>
        </w:rPr>
        <w:noBreakHyphen/>
      </w:r>
      <w:r w:rsidRPr="006D2225">
        <w:rPr>
          <w:rStyle w:val="CharBoldItalic"/>
          <w:b/>
        </w:rPr>
        <w:t>IMR partnership loss</w:t>
      </w:r>
      <w:bookmarkEnd w:id="411"/>
    </w:p>
    <w:p w:rsidR="00506F4C" w:rsidRPr="006D2225" w:rsidRDefault="00506F4C" w:rsidP="00506F4C">
      <w:pPr>
        <w:pStyle w:val="subsection"/>
      </w:pPr>
      <w:r w:rsidRPr="006D2225">
        <w:tab/>
      </w:r>
      <w:r w:rsidRPr="006D2225">
        <w:tab/>
        <w:t xml:space="preserve">A partnership’s </w:t>
      </w:r>
      <w:r w:rsidRPr="006D2225">
        <w:rPr>
          <w:b/>
          <w:i/>
        </w:rPr>
        <w:t>non</w:t>
      </w:r>
      <w:r>
        <w:rPr>
          <w:b/>
          <w:i/>
        </w:rPr>
        <w:noBreakHyphen/>
      </w:r>
      <w:r w:rsidRPr="006D2225">
        <w:rPr>
          <w:b/>
          <w:i/>
        </w:rPr>
        <w:t xml:space="preserve">IMR partnership net income </w:t>
      </w:r>
      <w:r w:rsidRPr="006D2225">
        <w:t xml:space="preserve">or </w:t>
      </w:r>
      <w:r w:rsidRPr="006D2225">
        <w:rPr>
          <w:b/>
          <w:i/>
        </w:rPr>
        <w:t>non</w:t>
      </w:r>
      <w:r>
        <w:rPr>
          <w:b/>
          <w:i/>
        </w:rPr>
        <w:noBreakHyphen/>
      </w:r>
      <w:r w:rsidRPr="006D2225">
        <w:rPr>
          <w:b/>
          <w:i/>
        </w:rPr>
        <w:t xml:space="preserve">IMR partnership loss </w:t>
      </w:r>
      <w:r w:rsidRPr="006D2225">
        <w:t xml:space="preserve">in relation to an income year is determined by calculating the </w:t>
      </w:r>
      <w:r w:rsidRPr="006D2225">
        <w:rPr>
          <w:position w:val="6"/>
          <w:sz w:val="16"/>
        </w:rPr>
        <w:t>*</w:t>
      </w:r>
      <w:r w:rsidRPr="006D2225">
        <w:t xml:space="preserve">net income or </w:t>
      </w:r>
      <w:r w:rsidRPr="006D2225">
        <w:rPr>
          <w:position w:val="6"/>
          <w:sz w:val="16"/>
        </w:rPr>
        <w:t>*</w:t>
      </w:r>
      <w:r w:rsidRPr="006D2225">
        <w:t>partnership loss of the partnership as follows:</w:t>
      </w:r>
    </w:p>
    <w:p w:rsidR="00506F4C" w:rsidRPr="006D2225" w:rsidRDefault="00506F4C" w:rsidP="00506F4C">
      <w:pPr>
        <w:pStyle w:val="paragraph"/>
      </w:pPr>
      <w:r w:rsidRPr="006D2225">
        <w:tab/>
        <w:t>(a)</w:t>
      </w:r>
      <w:r w:rsidRPr="006D2225">
        <w:tab/>
        <w:t xml:space="preserve">disregard the </w:t>
      </w:r>
      <w:r w:rsidRPr="006D2225">
        <w:rPr>
          <w:position w:val="6"/>
          <w:sz w:val="16"/>
        </w:rPr>
        <w:t>*</w:t>
      </w:r>
      <w:r w:rsidRPr="006D2225">
        <w:t xml:space="preserve">IMR income and </w:t>
      </w:r>
      <w:r w:rsidRPr="006D2225">
        <w:rPr>
          <w:position w:val="6"/>
          <w:sz w:val="16"/>
        </w:rPr>
        <w:t>*</w:t>
      </w:r>
      <w:r w:rsidRPr="006D2225">
        <w:t>IMR deduction of the partnership for the income year;</w:t>
      </w:r>
    </w:p>
    <w:p w:rsidR="00506F4C" w:rsidRPr="006D2225" w:rsidRDefault="00506F4C" w:rsidP="00506F4C">
      <w:pPr>
        <w:pStyle w:val="paragraph"/>
      </w:pPr>
      <w:r w:rsidRPr="006D2225">
        <w:lastRenderedPageBreak/>
        <w:tab/>
        <w:t>(b)</w:t>
      </w:r>
      <w:r w:rsidRPr="006D2225">
        <w:tab/>
        <w:t>disregard any amount included in the partnership’s assessable income under subsection 207</w:t>
      </w:r>
      <w:r>
        <w:noBreakHyphen/>
      </w:r>
      <w:r w:rsidRPr="006D2225">
        <w:t>35(1) to the extent that the amount is attributable to IMR income of the partnership for the income year;</w:t>
      </w:r>
    </w:p>
    <w:p w:rsidR="00506F4C" w:rsidRPr="006D2225" w:rsidRDefault="00506F4C" w:rsidP="00506F4C">
      <w:pPr>
        <w:pStyle w:val="paragraph"/>
      </w:pPr>
      <w:r w:rsidRPr="006D2225">
        <w:tab/>
        <w:t>(c)</w:t>
      </w:r>
      <w:r w:rsidRPr="006D2225">
        <w:tab/>
        <w:t>if the partnership is a beneficiary of a trust—then:</w:t>
      </w:r>
    </w:p>
    <w:p w:rsidR="00506F4C" w:rsidRPr="006D2225" w:rsidRDefault="00506F4C" w:rsidP="00506F4C">
      <w:pPr>
        <w:pStyle w:val="paragraphsub"/>
      </w:pPr>
      <w:r w:rsidRPr="006D2225">
        <w:tab/>
        <w:t>(i)</w:t>
      </w:r>
      <w:r w:rsidRPr="006D2225">
        <w:tab/>
        <w:t xml:space="preserve">for the purposes of applying Division 6 of Part III of the </w:t>
      </w:r>
      <w:r w:rsidRPr="006D2225">
        <w:rPr>
          <w:i/>
        </w:rPr>
        <w:t>Income Tax Assessment Act 1936</w:t>
      </w:r>
      <w:r w:rsidRPr="006D2225">
        <w:t xml:space="preserve"> to the beneficiary, replace the references in that Division to share of the net income with references to share of the non</w:t>
      </w:r>
      <w:r>
        <w:noBreakHyphen/>
      </w:r>
      <w:r w:rsidRPr="006D2225">
        <w:t>IMR net income (within the meaning of subsection 842</w:t>
      </w:r>
      <w:r>
        <w:noBreakHyphen/>
      </w:r>
      <w:r w:rsidRPr="006D2225">
        <w:t xml:space="preserve">260(1) of the </w:t>
      </w:r>
      <w:r w:rsidRPr="006D2225">
        <w:rPr>
          <w:i/>
        </w:rPr>
        <w:t>Income Tax Assessment Act 1997</w:t>
      </w:r>
      <w:r w:rsidRPr="006D2225">
        <w:t>); and</w:t>
      </w:r>
    </w:p>
    <w:p w:rsidR="00506F4C" w:rsidRPr="006D2225" w:rsidRDefault="00506F4C" w:rsidP="00506F4C">
      <w:pPr>
        <w:pStyle w:val="paragraphsub"/>
      </w:pPr>
      <w:r w:rsidRPr="006D2225">
        <w:tab/>
        <w:t>(ii)</w:t>
      </w:r>
      <w:r w:rsidRPr="006D2225">
        <w:tab/>
        <w:t xml:space="preserve">for the purposes of applying Division 6E of Part III of the </w:t>
      </w:r>
      <w:r w:rsidRPr="006D2225">
        <w:rPr>
          <w:i/>
        </w:rPr>
        <w:t>Income Tax Assessment Act 1936</w:t>
      </w:r>
      <w:r w:rsidRPr="006D2225">
        <w:t xml:space="preserve"> to the beneficiary, replace references in that Division to Division 6E net income with references to non</w:t>
      </w:r>
      <w:r>
        <w:noBreakHyphen/>
      </w:r>
      <w:r w:rsidRPr="006D2225">
        <w:t>IMR Division 6E net income (within the meaning of subsection 842</w:t>
      </w:r>
      <w:r>
        <w:noBreakHyphen/>
      </w:r>
      <w:r w:rsidRPr="006D2225">
        <w:t xml:space="preserve">260(2) of the </w:t>
      </w:r>
      <w:r w:rsidRPr="006D2225">
        <w:rPr>
          <w:i/>
        </w:rPr>
        <w:t>Income Tax Assessment Act 1997</w:t>
      </w:r>
      <w:r w:rsidRPr="006D2225">
        <w:t>);</w:t>
      </w:r>
    </w:p>
    <w:p w:rsidR="00506F4C" w:rsidRPr="006D2225" w:rsidRDefault="00506F4C" w:rsidP="00506F4C">
      <w:pPr>
        <w:pStyle w:val="paragraph"/>
      </w:pPr>
      <w:r w:rsidRPr="006D2225">
        <w:tab/>
        <w:t>(d)</w:t>
      </w:r>
      <w:r w:rsidRPr="006D2225">
        <w:tab/>
        <w:t xml:space="preserve">if the partnership is a partner in another partnership—for the purposes of applying Division 5 of Part III of the </w:t>
      </w:r>
      <w:r w:rsidRPr="006D2225">
        <w:rPr>
          <w:i/>
        </w:rPr>
        <w:t>Income Tax Assessment Act 1936</w:t>
      </w:r>
      <w:r w:rsidRPr="006D2225">
        <w:t xml:space="preserve"> to the partnership that is a partner, replace the references in that Division to the individual interest of the partner in the partnership net income or partnership loss with references to the individual interest of the partner in the non</w:t>
      </w:r>
      <w:r>
        <w:noBreakHyphen/>
      </w:r>
      <w:r w:rsidRPr="006D2225">
        <w:t>IMR partnership net income or non</w:t>
      </w:r>
      <w:r>
        <w:noBreakHyphen/>
      </w:r>
      <w:r w:rsidRPr="006D2225">
        <w:t>IMR partnership loss (within the meaning of those terms in section 842</w:t>
      </w:r>
      <w:r>
        <w:noBreakHyphen/>
      </w:r>
      <w:r w:rsidRPr="006D2225">
        <w:t xml:space="preserve">265 of the </w:t>
      </w:r>
      <w:r w:rsidRPr="006D2225">
        <w:rPr>
          <w:i/>
        </w:rPr>
        <w:t>Income Tax Assessment Act 1997</w:t>
      </w:r>
      <w:r w:rsidRPr="006D2225">
        <w:t>).</w:t>
      </w:r>
    </w:p>
    <w:p w:rsidR="00506F4C" w:rsidRPr="006D2225" w:rsidRDefault="00506F4C" w:rsidP="00506F4C">
      <w:pPr>
        <w:pStyle w:val="notetext"/>
      </w:pPr>
      <w:r w:rsidRPr="006D2225">
        <w:t xml:space="preserve">Note: </w:t>
      </w:r>
      <w:r w:rsidRPr="006D2225">
        <w:tab/>
        <w:t>The net income of a partnership may include a share of the net income of another partnership. Where there is a chain of partnerships, these calculations are applied to each partnership in the chain.</w:t>
      </w:r>
    </w:p>
    <w:p w:rsidR="00506F4C" w:rsidRPr="006D2225" w:rsidRDefault="00506F4C" w:rsidP="00B079C4">
      <w:pPr>
        <w:pStyle w:val="ActHead5"/>
        <w:rPr>
          <w:b w:val="0"/>
        </w:rPr>
      </w:pPr>
      <w:bookmarkStart w:id="412" w:name="_Toc338939486"/>
      <w:r w:rsidRPr="006D2225">
        <w:rPr>
          <w:rStyle w:val="CharSectno"/>
        </w:rPr>
        <w:lastRenderedPageBreak/>
        <w:t>842</w:t>
      </w:r>
      <w:r>
        <w:rPr>
          <w:rStyle w:val="CharSectno"/>
        </w:rPr>
        <w:noBreakHyphen/>
      </w:r>
      <w:r w:rsidRPr="006D2225">
        <w:rPr>
          <w:rStyle w:val="CharSectno"/>
        </w:rPr>
        <w:t>270</w:t>
      </w:r>
      <w:r w:rsidRPr="006D2225">
        <w:t xml:space="preserve">  </w:t>
      </w:r>
      <w:r w:rsidRPr="006D2225">
        <w:rPr>
          <w:i/>
        </w:rPr>
        <w:t>Pre</w:t>
      </w:r>
      <w:r>
        <w:rPr>
          <w:i/>
        </w:rPr>
        <w:noBreakHyphen/>
      </w:r>
      <w:r w:rsidRPr="006D2225">
        <w:rPr>
          <w:i/>
        </w:rPr>
        <w:t xml:space="preserve">2012 IMR income </w:t>
      </w:r>
      <w:r w:rsidRPr="006D2225">
        <w:t xml:space="preserve">and </w:t>
      </w:r>
      <w:r w:rsidRPr="006D2225">
        <w:rPr>
          <w:i/>
        </w:rPr>
        <w:t>pre</w:t>
      </w:r>
      <w:r>
        <w:rPr>
          <w:i/>
        </w:rPr>
        <w:noBreakHyphen/>
      </w:r>
      <w:r w:rsidRPr="006D2225">
        <w:rPr>
          <w:i/>
        </w:rPr>
        <w:t>2012 IMR capital gain</w:t>
      </w:r>
      <w:bookmarkEnd w:id="412"/>
    </w:p>
    <w:p w:rsidR="00506F4C" w:rsidRPr="006D2225" w:rsidRDefault="00506F4C" w:rsidP="00B079C4">
      <w:pPr>
        <w:pStyle w:val="SubsectionHead"/>
      </w:pPr>
      <w:r w:rsidRPr="006D2225">
        <w:t>Pre</w:t>
      </w:r>
      <w:r>
        <w:noBreakHyphen/>
      </w:r>
      <w:r w:rsidRPr="006D2225">
        <w:t>2012 IMR income</w:t>
      </w:r>
    </w:p>
    <w:p w:rsidR="00506F4C" w:rsidRPr="006D2225" w:rsidRDefault="00506F4C" w:rsidP="00B079C4">
      <w:pPr>
        <w:pStyle w:val="subsection"/>
        <w:keepNext/>
        <w:keepLines/>
      </w:pPr>
      <w:r w:rsidRPr="006D2225">
        <w:tab/>
        <w:t>(1)</w:t>
      </w:r>
      <w:r w:rsidRPr="006D2225">
        <w:tab/>
        <w:t xml:space="preserve">The </w:t>
      </w:r>
      <w:r w:rsidRPr="006D2225">
        <w:rPr>
          <w:b/>
          <w:i/>
        </w:rPr>
        <w:t>pre</w:t>
      </w:r>
      <w:r>
        <w:rPr>
          <w:b/>
          <w:i/>
        </w:rPr>
        <w:noBreakHyphen/>
      </w:r>
      <w:r w:rsidRPr="006D2225">
        <w:rPr>
          <w:b/>
          <w:i/>
        </w:rPr>
        <w:t>2012 IMR income</w:t>
      </w:r>
      <w:r w:rsidRPr="006D2225">
        <w:rPr>
          <w:i/>
        </w:rPr>
        <w:t xml:space="preserve"> </w:t>
      </w:r>
      <w:r w:rsidRPr="006D2225">
        <w:t>for an income year that is the 2010</w:t>
      </w:r>
      <w:r>
        <w:noBreakHyphen/>
      </w:r>
      <w:r w:rsidRPr="006D2225">
        <w:t xml:space="preserve">11 income year or an earlier income year of an </w:t>
      </w:r>
      <w:r w:rsidRPr="006D2225">
        <w:rPr>
          <w:position w:val="6"/>
          <w:sz w:val="16"/>
        </w:rPr>
        <w:t>*</w:t>
      </w:r>
      <w:r w:rsidRPr="006D2225">
        <w:t xml:space="preserve">IMR foreign fund is the sum of the fund’s assessable income made in the income year in respect of </w:t>
      </w:r>
      <w:r w:rsidRPr="006D2225">
        <w:rPr>
          <w:position w:val="6"/>
          <w:sz w:val="16"/>
        </w:rPr>
        <w:t>*</w:t>
      </w:r>
      <w:r w:rsidRPr="006D2225">
        <w:t>financial arrangements covered by section 842</w:t>
      </w:r>
      <w:r>
        <w:noBreakHyphen/>
      </w:r>
      <w:r w:rsidRPr="006D2225">
        <w:t>245.</w:t>
      </w:r>
    </w:p>
    <w:p w:rsidR="00506F4C" w:rsidRPr="006D2225" w:rsidRDefault="00506F4C" w:rsidP="00506F4C">
      <w:pPr>
        <w:pStyle w:val="subsection"/>
      </w:pPr>
      <w:r w:rsidRPr="006D2225">
        <w:tab/>
        <w:t>(2)</w:t>
      </w:r>
      <w:r w:rsidRPr="006D2225">
        <w:tab/>
        <w:t>Disregard subsection 842</w:t>
      </w:r>
      <w:r>
        <w:noBreakHyphen/>
      </w:r>
      <w:r w:rsidRPr="006D2225">
        <w:t xml:space="preserve">210(3) (which is about certain amounts of an IMR foreign fund being disregarded) for the purposes of determining the </w:t>
      </w:r>
      <w:r w:rsidRPr="006D2225">
        <w:rPr>
          <w:position w:val="6"/>
          <w:sz w:val="16"/>
        </w:rPr>
        <w:t>*</w:t>
      </w:r>
      <w:r w:rsidRPr="006D2225">
        <w:t>pre</w:t>
      </w:r>
      <w:r>
        <w:noBreakHyphen/>
      </w:r>
      <w:r w:rsidRPr="006D2225">
        <w:t>2012 IMR income of the fund.</w:t>
      </w:r>
    </w:p>
    <w:p w:rsidR="00506F4C" w:rsidRPr="006D2225" w:rsidRDefault="00506F4C" w:rsidP="00506F4C">
      <w:pPr>
        <w:pStyle w:val="SubsectionHead"/>
      </w:pPr>
      <w:r w:rsidRPr="006D2225">
        <w:t>Pre</w:t>
      </w:r>
      <w:r>
        <w:noBreakHyphen/>
      </w:r>
      <w:r w:rsidRPr="006D2225">
        <w:t>2012 IMR capital gain</w:t>
      </w:r>
    </w:p>
    <w:p w:rsidR="00506F4C" w:rsidRPr="006D2225" w:rsidRDefault="00506F4C" w:rsidP="00506F4C">
      <w:pPr>
        <w:pStyle w:val="subsection"/>
      </w:pPr>
      <w:r w:rsidRPr="006D2225">
        <w:tab/>
        <w:t>(3)</w:t>
      </w:r>
      <w:r w:rsidRPr="006D2225">
        <w:tab/>
        <w:t xml:space="preserve">The </w:t>
      </w:r>
      <w:r w:rsidRPr="006D2225">
        <w:rPr>
          <w:b/>
          <w:i/>
        </w:rPr>
        <w:t>pre</w:t>
      </w:r>
      <w:r>
        <w:rPr>
          <w:b/>
          <w:i/>
        </w:rPr>
        <w:noBreakHyphen/>
      </w:r>
      <w:r w:rsidRPr="006D2225">
        <w:rPr>
          <w:b/>
          <w:i/>
        </w:rPr>
        <w:t xml:space="preserve">2012 IMR capital gain </w:t>
      </w:r>
      <w:r w:rsidRPr="006D2225">
        <w:t>for an income year that is the 2010</w:t>
      </w:r>
      <w:r>
        <w:noBreakHyphen/>
      </w:r>
      <w:r w:rsidRPr="006D2225">
        <w:t xml:space="preserve">11 income year or an earlier income year of an </w:t>
      </w:r>
      <w:r w:rsidRPr="006D2225">
        <w:rPr>
          <w:position w:val="6"/>
          <w:sz w:val="16"/>
        </w:rPr>
        <w:t>*</w:t>
      </w:r>
      <w:r w:rsidRPr="006D2225">
        <w:t xml:space="preserve">IMR foreign fund is the sum of the fund’s </w:t>
      </w:r>
      <w:r w:rsidRPr="006D2225">
        <w:rPr>
          <w:position w:val="6"/>
          <w:sz w:val="16"/>
        </w:rPr>
        <w:t>*</w:t>
      </w:r>
      <w:r w:rsidRPr="006D2225">
        <w:t xml:space="preserve">capital gains made in the income year in respect of </w:t>
      </w:r>
      <w:r w:rsidRPr="006D2225">
        <w:rPr>
          <w:position w:val="6"/>
          <w:sz w:val="16"/>
        </w:rPr>
        <w:t>*</w:t>
      </w:r>
      <w:r w:rsidRPr="006D2225">
        <w:t xml:space="preserve">CGT assets that are </w:t>
      </w:r>
      <w:r w:rsidRPr="006D2225">
        <w:rPr>
          <w:position w:val="6"/>
          <w:sz w:val="16"/>
        </w:rPr>
        <w:t>*</w:t>
      </w:r>
      <w:r w:rsidRPr="006D2225">
        <w:t>financial arrangements covered by section 842</w:t>
      </w:r>
      <w:r>
        <w:noBreakHyphen/>
      </w:r>
      <w:r w:rsidRPr="006D2225">
        <w:t>245.</w:t>
      </w:r>
    </w:p>
    <w:p w:rsidR="00ED38CE" w:rsidRPr="00583E1A" w:rsidRDefault="00ED38CE" w:rsidP="00ED38CE">
      <w:pPr>
        <w:pStyle w:val="PageBreak"/>
      </w:pPr>
      <w:r w:rsidRPr="00583E1A">
        <w:br w:type="page"/>
      </w:r>
    </w:p>
    <w:p w:rsidR="00ED38CE" w:rsidRPr="00583E1A" w:rsidRDefault="00ED38CE" w:rsidP="00ED38CE">
      <w:pPr>
        <w:pStyle w:val="ActHead3"/>
      </w:pPr>
      <w:bookmarkStart w:id="413" w:name="_Toc338939487"/>
      <w:r w:rsidRPr="00583E1A">
        <w:rPr>
          <w:rStyle w:val="CharDivNo"/>
        </w:rPr>
        <w:lastRenderedPageBreak/>
        <w:t>Division</w:t>
      </w:r>
      <w:r w:rsidR="00583E1A">
        <w:rPr>
          <w:rStyle w:val="CharDivNo"/>
        </w:rPr>
        <w:t> </w:t>
      </w:r>
      <w:r w:rsidRPr="00583E1A">
        <w:rPr>
          <w:rStyle w:val="CharDivNo"/>
        </w:rPr>
        <w:t>855</w:t>
      </w:r>
      <w:r w:rsidRPr="00583E1A">
        <w:t>—</w:t>
      </w:r>
      <w:r w:rsidRPr="00583E1A">
        <w:rPr>
          <w:rStyle w:val="CharDivText"/>
        </w:rPr>
        <w:t>Capital gains and foreign residents</w:t>
      </w:r>
      <w:bookmarkEnd w:id="413"/>
    </w:p>
    <w:p w:rsidR="00ED38CE" w:rsidRPr="00583E1A" w:rsidRDefault="00ED38CE" w:rsidP="00ED38CE">
      <w:pPr>
        <w:pStyle w:val="TofSectsHeading"/>
      </w:pPr>
      <w:r w:rsidRPr="00583E1A">
        <w:t>Table of Subdivisions</w:t>
      </w:r>
    </w:p>
    <w:p w:rsidR="00ED38CE" w:rsidRPr="00583E1A" w:rsidRDefault="00ED38CE" w:rsidP="00ED38CE">
      <w:pPr>
        <w:pStyle w:val="TofSectsSubdiv"/>
      </w:pPr>
      <w:r w:rsidRPr="00583E1A">
        <w:tab/>
        <w:t>Guide to Division</w:t>
      </w:r>
      <w:r w:rsidR="00583E1A">
        <w:t> </w:t>
      </w:r>
      <w:r w:rsidRPr="00583E1A">
        <w:t>855</w:t>
      </w:r>
    </w:p>
    <w:p w:rsidR="00ED38CE" w:rsidRPr="00583E1A" w:rsidRDefault="00ED38CE" w:rsidP="00ED38CE">
      <w:pPr>
        <w:pStyle w:val="TofSectsSubdiv"/>
      </w:pPr>
      <w:r w:rsidRPr="00583E1A">
        <w:t>855</w:t>
      </w:r>
      <w:r w:rsidR="00583E1A">
        <w:noBreakHyphen/>
      </w:r>
      <w:r w:rsidRPr="00583E1A">
        <w:t>A</w:t>
      </w:r>
      <w:r w:rsidRPr="00583E1A">
        <w:tab/>
        <w:t>Disregarding a capital gain or loss by foreign residents</w:t>
      </w:r>
    </w:p>
    <w:p w:rsidR="00ED38CE" w:rsidRPr="00583E1A" w:rsidRDefault="00ED38CE" w:rsidP="00ED38CE">
      <w:pPr>
        <w:pStyle w:val="TofSectsSubdiv"/>
      </w:pPr>
      <w:r w:rsidRPr="00583E1A">
        <w:t>855</w:t>
      </w:r>
      <w:r w:rsidR="00583E1A">
        <w:noBreakHyphen/>
      </w:r>
      <w:r w:rsidRPr="00583E1A">
        <w:t>B</w:t>
      </w:r>
      <w:r w:rsidRPr="00583E1A">
        <w:tab/>
        <w:t>Becoming an Australian resident</w:t>
      </w:r>
    </w:p>
    <w:p w:rsidR="00ED38CE" w:rsidRPr="00583E1A" w:rsidRDefault="00ED38CE" w:rsidP="00ED38CE">
      <w:pPr>
        <w:pStyle w:val="ActHead4"/>
      </w:pPr>
      <w:bookmarkStart w:id="414" w:name="_Toc338939488"/>
      <w:r w:rsidRPr="00583E1A">
        <w:t>Guide to Division</w:t>
      </w:r>
      <w:r w:rsidR="00583E1A">
        <w:t> </w:t>
      </w:r>
      <w:r w:rsidRPr="00583E1A">
        <w:t>855</w:t>
      </w:r>
      <w:bookmarkEnd w:id="414"/>
    </w:p>
    <w:p w:rsidR="00ED38CE" w:rsidRPr="00583E1A" w:rsidRDefault="00ED38CE" w:rsidP="00ED38CE">
      <w:pPr>
        <w:pStyle w:val="ActHead5"/>
      </w:pPr>
      <w:bookmarkStart w:id="415" w:name="_Toc338939489"/>
      <w:r w:rsidRPr="00583E1A">
        <w:rPr>
          <w:rStyle w:val="CharSectno"/>
        </w:rPr>
        <w:t>855</w:t>
      </w:r>
      <w:r w:rsidR="00583E1A">
        <w:rPr>
          <w:rStyle w:val="CharSectno"/>
        </w:rPr>
        <w:noBreakHyphen/>
      </w:r>
      <w:r w:rsidRPr="00583E1A">
        <w:rPr>
          <w:rStyle w:val="CharSectno"/>
        </w:rPr>
        <w:t>1</w:t>
      </w:r>
      <w:r w:rsidRPr="00583E1A">
        <w:t xml:space="preserve">  What this Division is about</w:t>
      </w:r>
      <w:bookmarkEnd w:id="415"/>
    </w:p>
    <w:p w:rsidR="00ED38CE" w:rsidRPr="00583E1A" w:rsidRDefault="00ED38CE" w:rsidP="00ED38CE">
      <w:pPr>
        <w:pStyle w:val="BoxText"/>
        <w:numPr>
          <w:ilvl w:val="12"/>
          <w:numId w:val="0"/>
        </w:numPr>
        <w:ind w:left="1134"/>
      </w:pPr>
      <w:r w:rsidRPr="00583E1A">
        <w:t xml:space="preserve">A foreign resident can disregard a capital gain or loss unless the relevant CGT asset is a direct or indirect interest in Australian real property, or relates to a business carried on by the foreign resident through a permanent establishment in </w:t>
      </w:r>
      <w:smartTag w:uri="urn:schemas-microsoft-com:office:smarttags" w:element="country-region">
        <w:smartTag w:uri="urn:schemas-microsoft-com:office:smarttags" w:element="place">
          <w:r w:rsidRPr="00583E1A">
            <w:t>Australia</w:t>
          </w:r>
        </w:smartTag>
      </w:smartTag>
      <w:r w:rsidRPr="00583E1A">
        <w:t>.</w:t>
      </w:r>
    </w:p>
    <w:p w:rsidR="00ED38CE" w:rsidRPr="00583E1A" w:rsidRDefault="00ED38CE" w:rsidP="00ED38CE">
      <w:pPr>
        <w:pStyle w:val="BoxText"/>
        <w:numPr>
          <w:ilvl w:val="12"/>
          <w:numId w:val="0"/>
        </w:numPr>
        <w:ind w:left="1134"/>
      </w:pPr>
      <w:r w:rsidRPr="00583E1A">
        <w:t>Special rules apply for individuals who were Australian residents but have become foreign residents (see also Subdivision</w:t>
      </w:r>
      <w:r w:rsidR="00583E1A">
        <w:t> </w:t>
      </w:r>
      <w:r w:rsidRPr="00583E1A">
        <w:t>104</w:t>
      </w:r>
      <w:r w:rsidR="00583E1A">
        <w:noBreakHyphen/>
      </w:r>
      <w:r w:rsidRPr="00583E1A">
        <w:t>I) and for foreign resident beneficiaries of fixed trusts.</w:t>
      </w:r>
    </w:p>
    <w:p w:rsidR="00ED38CE" w:rsidRPr="00583E1A" w:rsidRDefault="00ED38CE" w:rsidP="00ED38CE">
      <w:pPr>
        <w:pStyle w:val="BoxText"/>
        <w:numPr>
          <w:ilvl w:val="12"/>
          <w:numId w:val="0"/>
        </w:numPr>
        <w:ind w:left="1134"/>
      </w:pPr>
      <w:r w:rsidRPr="00583E1A">
        <w:t>There are also rules dealing with what happens when a foreign resident becomes an Australian resident.</w:t>
      </w:r>
    </w:p>
    <w:p w:rsidR="00ED38CE" w:rsidRPr="00583E1A" w:rsidRDefault="00ED38CE" w:rsidP="00ED38CE">
      <w:pPr>
        <w:pStyle w:val="ActHead4"/>
      </w:pPr>
      <w:bookmarkStart w:id="416" w:name="_Toc338939490"/>
      <w:r w:rsidRPr="00583E1A">
        <w:rPr>
          <w:rStyle w:val="CharSubdNo"/>
        </w:rPr>
        <w:t>Subdivision</w:t>
      </w:r>
      <w:r w:rsidR="00583E1A">
        <w:rPr>
          <w:rStyle w:val="CharSubdNo"/>
        </w:rPr>
        <w:t> </w:t>
      </w:r>
      <w:r w:rsidRPr="00583E1A">
        <w:rPr>
          <w:rStyle w:val="CharSubdNo"/>
        </w:rPr>
        <w:t>855</w:t>
      </w:r>
      <w:r w:rsidR="00583E1A">
        <w:rPr>
          <w:rStyle w:val="CharSubdNo"/>
        </w:rPr>
        <w:noBreakHyphen/>
      </w:r>
      <w:r w:rsidRPr="00583E1A">
        <w:rPr>
          <w:rStyle w:val="CharSubdNo"/>
        </w:rPr>
        <w:t>A</w:t>
      </w:r>
      <w:r w:rsidRPr="00583E1A">
        <w:t>—</w:t>
      </w:r>
      <w:r w:rsidRPr="00583E1A">
        <w:rPr>
          <w:rStyle w:val="CharSubdText"/>
        </w:rPr>
        <w:t>Disregarding a capital gain or loss by foreign residents</w:t>
      </w:r>
      <w:bookmarkEnd w:id="416"/>
    </w:p>
    <w:p w:rsidR="00ED38CE" w:rsidRPr="00583E1A" w:rsidRDefault="00ED38CE" w:rsidP="00ED38CE">
      <w:pPr>
        <w:pStyle w:val="TofSectsHeading"/>
      </w:pPr>
      <w:r w:rsidRPr="00583E1A">
        <w:t>Table of sections</w:t>
      </w:r>
    </w:p>
    <w:p w:rsidR="00ED38CE" w:rsidRPr="00583E1A" w:rsidRDefault="00ED38CE" w:rsidP="00ED38CE">
      <w:pPr>
        <w:pStyle w:val="TofSectsSection"/>
      </w:pPr>
      <w:r w:rsidRPr="00583E1A">
        <w:t>855</w:t>
      </w:r>
      <w:r w:rsidR="00583E1A">
        <w:noBreakHyphen/>
      </w:r>
      <w:r w:rsidRPr="00583E1A">
        <w:t>5</w:t>
      </w:r>
      <w:r w:rsidRPr="00583E1A">
        <w:tab/>
        <w:t>Objects of this Subdivision</w:t>
      </w:r>
    </w:p>
    <w:p w:rsidR="00ED38CE" w:rsidRPr="00583E1A" w:rsidRDefault="00ED38CE" w:rsidP="00ED38CE">
      <w:pPr>
        <w:pStyle w:val="TofSectsSection"/>
      </w:pPr>
      <w:r w:rsidRPr="00583E1A">
        <w:t>855</w:t>
      </w:r>
      <w:r w:rsidR="00583E1A">
        <w:noBreakHyphen/>
      </w:r>
      <w:r w:rsidRPr="00583E1A">
        <w:t>10</w:t>
      </w:r>
      <w:r w:rsidRPr="00583E1A">
        <w:tab/>
        <w:t>Disregarding a capital gain or loss from CGT events</w:t>
      </w:r>
    </w:p>
    <w:p w:rsidR="00ED38CE" w:rsidRPr="00583E1A" w:rsidRDefault="00ED38CE" w:rsidP="00ED38CE">
      <w:pPr>
        <w:pStyle w:val="TofSectsSection"/>
      </w:pPr>
      <w:r w:rsidRPr="00583E1A">
        <w:t>855</w:t>
      </w:r>
      <w:r w:rsidR="00583E1A">
        <w:noBreakHyphen/>
      </w:r>
      <w:r w:rsidRPr="00583E1A">
        <w:t>15</w:t>
      </w:r>
      <w:r w:rsidRPr="00583E1A">
        <w:tab/>
        <w:t>When an asset is taxable Australian property</w:t>
      </w:r>
    </w:p>
    <w:p w:rsidR="00ED38CE" w:rsidRPr="00583E1A" w:rsidRDefault="00ED38CE" w:rsidP="00ED38CE">
      <w:pPr>
        <w:pStyle w:val="TofSectsSection"/>
      </w:pPr>
      <w:r w:rsidRPr="00583E1A">
        <w:t>855</w:t>
      </w:r>
      <w:r w:rsidR="00583E1A">
        <w:noBreakHyphen/>
      </w:r>
      <w:r w:rsidRPr="00583E1A">
        <w:t>20</w:t>
      </w:r>
      <w:r w:rsidRPr="00583E1A">
        <w:tab/>
        <w:t>Taxable Australian real property</w:t>
      </w:r>
    </w:p>
    <w:p w:rsidR="00ED38CE" w:rsidRPr="00583E1A" w:rsidRDefault="00ED38CE" w:rsidP="00ED38CE">
      <w:pPr>
        <w:pStyle w:val="TofSectsSection"/>
      </w:pPr>
      <w:r w:rsidRPr="00583E1A">
        <w:t>855</w:t>
      </w:r>
      <w:r w:rsidR="00583E1A">
        <w:noBreakHyphen/>
      </w:r>
      <w:r w:rsidRPr="00583E1A">
        <w:t>25</w:t>
      </w:r>
      <w:r w:rsidRPr="00583E1A">
        <w:tab/>
        <w:t>Indirect Australian real property interests</w:t>
      </w:r>
    </w:p>
    <w:p w:rsidR="00ED38CE" w:rsidRPr="00583E1A" w:rsidRDefault="00ED38CE" w:rsidP="00ED38CE">
      <w:pPr>
        <w:pStyle w:val="TofSectsSection"/>
      </w:pPr>
      <w:r w:rsidRPr="00583E1A">
        <w:t>855</w:t>
      </w:r>
      <w:r w:rsidR="00583E1A">
        <w:noBreakHyphen/>
      </w:r>
      <w:r w:rsidRPr="00583E1A">
        <w:t>30</w:t>
      </w:r>
      <w:r w:rsidRPr="00583E1A">
        <w:tab/>
        <w:t>Principal asset test</w:t>
      </w:r>
    </w:p>
    <w:p w:rsidR="00ED38CE" w:rsidRPr="00583E1A" w:rsidRDefault="00ED38CE" w:rsidP="00ED38CE">
      <w:pPr>
        <w:pStyle w:val="TofSectsSection"/>
      </w:pPr>
      <w:r w:rsidRPr="00583E1A">
        <w:t>855</w:t>
      </w:r>
      <w:r w:rsidR="00583E1A">
        <w:noBreakHyphen/>
      </w:r>
      <w:r w:rsidRPr="00583E1A">
        <w:t>35</w:t>
      </w:r>
      <w:r w:rsidRPr="00583E1A">
        <w:tab/>
        <w:t>Reducing a capital gain or loss from a business asset—Australian permanent establishments</w:t>
      </w:r>
    </w:p>
    <w:p w:rsidR="00ED38CE" w:rsidRPr="00583E1A" w:rsidRDefault="00ED38CE" w:rsidP="00ED38CE">
      <w:pPr>
        <w:pStyle w:val="TofSectsSection"/>
      </w:pPr>
      <w:r w:rsidRPr="00583E1A">
        <w:t>855</w:t>
      </w:r>
      <w:r w:rsidR="00583E1A">
        <w:noBreakHyphen/>
      </w:r>
      <w:r w:rsidRPr="00583E1A">
        <w:t>40</w:t>
      </w:r>
      <w:r w:rsidRPr="00583E1A">
        <w:tab/>
        <w:t>Capital gains and losses of foreign residents through fixed trusts</w:t>
      </w:r>
    </w:p>
    <w:p w:rsidR="00ED38CE" w:rsidRPr="00583E1A" w:rsidRDefault="00ED38CE" w:rsidP="00ED38CE">
      <w:pPr>
        <w:pStyle w:val="ActHead5"/>
      </w:pPr>
      <w:bookmarkStart w:id="417" w:name="_Toc338939491"/>
      <w:r w:rsidRPr="00583E1A">
        <w:rPr>
          <w:rStyle w:val="CharSectno"/>
        </w:rPr>
        <w:lastRenderedPageBreak/>
        <w:t>855</w:t>
      </w:r>
      <w:r w:rsidR="00583E1A">
        <w:rPr>
          <w:rStyle w:val="CharSectno"/>
        </w:rPr>
        <w:noBreakHyphen/>
      </w:r>
      <w:r w:rsidRPr="00583E1A">
        <w:rPr>
          <w:rStyle w:val="CharSectno"/>
        </w:rPr>
        <w:t>5</w:t>
      </w:r>
      <w:r w:rsidRPr="00583E1A">
        <w:t xml:space="preserve">  Objects of this Subdivision</w:t>
      </w:r>
      <w:bookmarkEnd w:id="417"/>
    </w:p>
    <w:p w:rsidR="00ED38CE" w:rsidRPr="00583E1A" w:rsidRDefault="00ED38CE" w:rsidP="00ED38CE">
      <w:pPr>
        <w:pStyle w:val="subsection"/>
      </w:pPr>
      <w:r w:rsidRPr="00583E1A">
        <w:tab/>
        <w:t>(1)</w:t>
      </w:r>
      <w:r w:rsidRPr="00583E1A">
        <w:tab/>
        <w:t>The objects of this Subdivision are to improve:</w:t>
      </w:r>
    </w:p>
    <w:p w:rsidR="00ED38CE" w:rsidRPr="00583E1A" w:rsidRDefault="00ED38CE" w:rsidP="00ED38CE">
      <w:pPr>
        <w:pStyle w:val="paragraph"/>
      </w:pPr>
      <w:r w:rsidRPr="00583E1A">
        <w:tab/>
        <w:t>(a)</w:t>
      </w:r>
      <w:r w:rsidRPr="00583E1A">
        <w:tab/>
      </w:r>
      <w:smartTag w:uri="urn:schemas-microsoft-com:office:smarttags" w:element="country-region">
        <w:smartTag w:uri="urn:schemas-microsoft-com:office:smarttags" w:element="place">
          <w:r w:rsidRPr="00583E1A">
            <w:t>Australia</w:t>
          </w:r>
        </w:smartTag>
      </w:smartTag>
      <w:r w:rsidRPr="00583E1A">
        <w:t>’s status as an attractive place for business and investment; and</w:t>
      </w:r>
    </w:p>
    <w:p w:rsidR="00ED38CE" w:rsidRPr="00583E1A" w:rsidRDefault="00ED38CE" w:rsidP="00ED38CE">
      <w:pPr>
        <w:pStyle w:val="paragraph"/>
      </w:pPr>
      <w:r w:rsidRPr="00583E1A">
        <w:tab/>
        <w:t>(b)</w:t>
      </w:r>
      <w:r w:rsidRPr="00583E1A">
        <w:tab/>
        <w:t xml:space="preserve">the integrity of </w:t>
      </w:r>
      <w:smartTag w:uri="urn:schemas-microsoft-com:office:smarttags" w:element="country-region">
        <w:smartTag w:uri="urn:schemas-microsoft-com:office:smarttags" w:element="place">
          <w:r w:rsidRPr="00583E1A">
            <w:t>Australia</w:t>
          </w:r>
        </w:smartTag>
      </w:smartTag>
      <w:r w:rsidRPr="00583E1A">
        <w:t>’s capital gains tax base.</w:t>
      </w:r>
    </w:p>
    <w:p w:rsidR="00ED38CE" w:rsidRPr="00583E1A" w:rsidRDefault="00ED38CE" w:rsidP="00ED38CE">
      <w:pPr>
        <w:pStyle w:val="subsection"/>
      </w:pPr>
      <w:r w:rsidRPr="00583E1A">
        <w:tab/>
        <w:t>(2)</w:t>
      </w:r>
      <w:r w:rsidRPr="00583E1A">
        <w:tab/>
        <w:t>This is achieved by:</w:t>
      </w:r>
    </w:p>
    <w:p w:rsidR="00ED38CE" w:rsidRPr="00583E1A" w:rsidRDefault="00ED38CE" w:rsidP="00ED38CE">
      <w:pPr>
        <w:pStyle w:val="paragraph"/>
      </w:pPr>
      <w:r w:rsidRPr="00583E1A">
        <w:tab/>
        <w:t>(a)</w:t>
      </w:r>
      <w:r w:rsidRPr="00583E1A">
        <w:tab/>
        <w:t xml:space="preserve">aligning </w:t>
      </w:r>
      <w:smartTag w:uri="urn:schemas-microsoft-com:office:smarttags" w:element="country-region">
        <w:smartTag w:uri="urn:schemas-microsoft-com:office:smarttags" w:element="place">
          <w:r w:rsidRPr="00583E1A">
            <w:t>Australia</w:t>
          </w:r>
        </w:smartTag>
      </w:smartTag>
      <w:r w:rsidRPr="00583E1A">
        <w:t>’s tax laws with international practice; and</w:t>
      </w:r>
    </w:p>
    <w:p w:rsidR="00ED38CE" w:rsidRPr="00583E1A" w:rsidRDefault="00ED38CE" w:rsidP="00ED38CE">
      <w:pPr>
        <w:pStyle w:val="paragraph"/>
      </w:pPr>
      <w:r w:rsidRPr="00583E1A">
        <w:tab/>
        <w:t>(b)</w:t>
      </w:r>
      <w:r w:rsidRPr="00583E1A">
        <w:tab/>
        <w:t xml:space="preserve">ensuring interests in an entity remain subject to </w:t>
      </w:r>
      <w:smartTag w:uri="urn:schemas-microsoft-com:office:smarttags" w:element="country-region">
        <w:smartTag w:uri="urn:schemas-microsoft-com:office:smarttags" w:element="place">
          <w:r w:rsidRPr="00583E1A">
            <w:t>Australia</w:t>
          </w:r>
        </w:smartTag>
      </w:smartTag>
      <w:r w:rsidRPr="00583E1A">
        <w:t>’s capital gains tax laws if the entity’s underlying value is principally derived from Australian real property.</w:t>
      </w:r>
    </w:p>
    <w:p w:rsidR="00ED38CE" w:rsidRPr="00583E1A" w:rsidRDefault="00ED38CE" w:rsidP="00ED38CE">
      <w:pPr>
        <w:pStyle w:val="ActHead5"/>
      </w:pPr>
      <w:bookmarkStart w:id="418" w:name="_Toc338939492"/>
      <w:r w:rsidRPr="00583E1A">
        <w:rPr>
          <w:rStyle w:val="CharSectno"/>
        </w:rPr>
        <w:t>855</w:t>
      </w:r>
      <w:r w:rsidR="00583E1A">
        <w:rPr>
          <w:rStyle w:val="CharSectno"/>
        </w:rPr>
        <w:noBreakHyphen/>
      </w:r>
      <w:r w:rsidRPr="00583E1A">
        <w:rPr>
          <w:rStyle w:val="CharSectno"/>
        </w:rPr>
        <w:t>10</w:t>
      </w:r>
      <w:r w:rsidRPr="00583E1A">
        <w:t xml:space="preserve">  Disregarding a capital gain or loss from CGT events</w:t>
      </w:r>
      <w:bookmarkEnd w:id="418"/>
    </w:p>
    <w:p w:rsidR="00ED38CE" w:rsidRPr="00583E1A" w:rsidRDefault="00ED38CE" w:rsidP="00ED38CE">
      <w:pPr>
        <w:pStyle w:val="subsection"/>
      </w:pPr>
      <w:r w:rsidRPr="00583E1A">
        <w:tab/>
        <w:t>(1)</w:t>
      </w:r>
      <w:r w:rsidRPr="00583E1A">
        <w:tab/>
        <w:t xml:space="preserve">Disregard a </w:t>
      </w:r>
      <w:r w:rsidR="00583E1A" w:rsidRPr="00583E1A">
        <w:rPr>
          <w:position w:val="6"/>
          <w:sz w:val="16"/>
        </w:rPr>
        <w:t>*</w:t>
      </w:r>
      <w:r w:rsidRPr="00583E1A">
        <w:t xml:space="preserve">capital gain or </w:t>
      </w:r>
      <w:r w:rsidR="00583E1A" w:rsidRPr="00583E1A">
        <w:rPr>
          <w:position w:val="6"/>
          <w:sz w:val="16"/>
        </w:rPr>
        <w:t>*</w:t>
      </w:r>
      <w:r w:rsidRPr="00583E1A">
        <w:t xml:space="preserve">capital loss from a </w:t>
      </w:r>
      <w:r w:rsidR="00583E1A" w:rsidRPr="00583E1A">
        <w:rPr>
          <w:position w:val="6"/>
          <w:sz w:val="16"/>
        </w:rPr>
        <w:t>*</w:t>
      </w:r>
      <w:r w:rsidRPr="00583E1A">
        <w:t>CGT event if:</w:t>
      </w:r>
    </w:p>
    <w:p w:rsidR="00ED38CE" w:rsidRPr="00583E1A" w:rsidRDefault="00ED38CE" w:rsidP="00ED38CE">
      <w:pPr>
        <w:pStyle w:val="paragraph"/>
      </w:pPr>
      <w:r w:rsidRPr="00583E1A">
        <w:tab/>
        <w:t>(a)</w:t>
      </w:r>
      <w:r w:rsidRPr="00583E1A">
        <w:tab/>
        <w:t xml:space="preserve">you are a foreign resident, or the trustee of a </w:t>
      </w:r>
      <w:r w:rsidR="00583E1A" w:rsidRPr="00583E1A">
        <w:rPr>
          <w:position w:val="6"/>
          <w:sz w:val="16"/>
        </w:rPr>
        <w:t>*</w:t>
      </w:r>
      <w:r w:rsidRPr="00583E1A">
        <w:t>foreign trust for CGT purposes, just before the CGT event happens; and</w:t>
      </w:r>
    </w:p>
    <w:p w:rsidR="00ED38CE" w:rsidRPr="00583E1A" w:rsidRDefault="00ED38CE" w:rsidP="00ED38CE">
      <w:pPr>
        <w:pStyle w:val="paragraph"/>
      </w:pPr>
      <w:r w:rsidRPr="00583E1A">
        <w:tab/>
        <w:t>(b)</w:t>
      </w:r>
      <w:r w:rsidRPr="00583E1A">
        <w:tab/>
        <w:t xml:space="preserve">the CGT event happens in relation to a </w:t>
      </w:r>
      <w:r w:rsidR="00583E1A" w:rsidRPr="00583E1A">
        <w:rPr>
          <w:position w:val="6"/>
          <w:sz w:val="16"/>
        </w:rPr>
        <w:t>*</w:t>
      </w:r>
      <w:r w:rsidRPr="00583E1A">
        <w:t xml:space="preserve">CGT asset that is not </w:t>
      </w:r>
      <w:r w:rsidR="00583E1A" w:rsidRPr="00583E1A">
        <w:rPr>
          <w:position w:val="6"/>
          <w:sz w:val="16"/>
        </w:rPr>
        <w:t>*</w:t>
      </w:r>
      <w:r w:rsidRPr="00583E1A">
        <w:t>taxable Australian property.</w:t>
      </w:r>
    </w:p>
    <w:p w:rsidR="00ED38CE" w:rsidRPr="00583E1A" w:rsidRDefault="00ED38CE" w:rsidP="00ED38CE">
      <w:pPr>
        <w:pStyle w:val="notetext"/>
        <w:numPr>
          <w:ilvl w:val="12"/>
          <w:numId w:val="0"/>
        </w:numPr>
        <w:ind w:left="1985" w:hanging="851"/>
      </w:pPr>
      <w:r w:rsidRPr="00583E1A">
        <w:t>Note:</w:t>
      </w:r>
      <w:r w:rsidRPr="00583E1A">
        <w:tab/>
        <w:t xml:space="preserve">A capital gain or capital loss from a CGT asset you have used at any time in carrying on a business through a permanent establishment in </w:t>
      </w:r>
      <w:smartTag w:uri="urn:schemas-microsoft-com:office:smarttags" w:element="country-region">
        <w:smartTag w:uri="urn:schemas-microsoft-com:office:smarttags" w:element="place">
          <w:r w:rsidRPr="00583E1A">
            <w:t>Australia</w:t>
          </w:r>
        </w:smartTag>
      </w:smartTag>
      <w:r w:rsidRPr="00583E1A">
        <w:t xml:space="preserve"> may be reduced under section</w:t>
      </w:r>
      <w:r w:rsidR="00583E1A">
        <w:t> </w:t>
      </w:r>
      <w:r w:rsidRPr="00583E1A">
        <w:t>855</w:t>
      </w:r>
      <w:r w:rsidR="00583E1A">
        <w:noBreakHyphen/>
      </w:r>
      <w:r w:rsidRPr="00583E1A">
        <w:t>35.</w:t>
      </w:r>
    </w:p>
    <w:p w:rsidR="00ED38CE" w:rsidRPr="00583E1A" w:rsidRDefault="00ED38CE" w:rsidP="00ED38CE">
      <w:pPr>
        <w:pStyle w:val="subsection"/>
      </w:pPr>
      <w:r w:rsidRPr="00583E1A">
        <w:tab/>
        <w:t>(2)</w:t>
      </w:r>
      <w:r w:rsidRPr="00583E1A">
        <w:tab/>
        <w:t xml:space="preserve">The </w:t>
      </w:r>
      <w:r w:rsidR="00583E1A" w:rsidRPr="00583E1A">
        <w:rPr>
          <w:position w:val="6"/>
          <w:sz w:val="16"/>
        </w:rPr>
        <w:t>*</w:t>
      </w:r>
      <w:r w:rsidRPr="00583E1A">
        <w:t xml:space="preserve">CGT asset in relation to which a </w:t>
      </w:r>
      <w:r w:rsidR="00583E1A" w:rsidRPr="00583E1A">
        <w:rPr>
          <w:position w:val="6"/>
          <w:sz w:val="16"/>
        </w:rPr>
        <w:t>*</w:t>
      </w:r>
      <w:r w:rsidRPr="00583E1A">
        <w:t>CGT event happens includes the following:</w:t>
      </w:r>
    </w:p>
    <w:p w:rsidR="00ED38CE" w:rsidRPr="00583E1A" w:rsidRDefault="00ED38CE" w:rsidP="00ED38CE">
      <w:pPr>
        <w:pStyle w:val="paragraph"/>
      </w:pPr>
      <w:r w:rsidRPr="00583E1A">
        <w:tab/>
        <w:t>(a)</w:t>
      </w:r>
      <w:r w:rsidRPr="00583E1A">
        <w:tab/>
        <w:t>for CGT event D1 (about creating contractual or other rights)—the CGT asset that is the subject of the creation of the contractual or other rights;</w:t>
      </w:r>
    </w:p>
    <w:p w:rsidR="00ED38CE" w:rsidRPr="00583E1A" w:rsidRDefault="00ED38CE" w:rsidP="007F5A03">
      <w:pPr>
        <w:pStyle w:val="noteToPara"/>
      </w:pPr>
      <w:r w:rsidRPr="00583E1A">
        <w:t>Example:</w:t>
      </w:r>
      <w:r w:rsidRPr="00583E1A">
        <w:tab/>
        <w:t xml:space="preserve">You grant an easement over land in </w:t>
      </w:r>
      <w:smartTag w:uri="urn:schemas-microsoft-com:office:smarttags" w:element="country-region">
        <w:smartTag w:uri="urn:schemas-microsoft-com:office:smarttags" w:element="place">
          <w:r w:rsidRPr="00583E1A">
            <w:t>Australia</w:t>
          </w:r>
        </w:smartTag>
      </w:smartTag>
      <w:r w:rsidRPr="00583E1A">
        <w:t>. The land is the subject of the creation of the rights in the easement. Therefore, the CGT event happens in relation to the land.</w:t>
      </w:r>
    </w:p>
    <w:p w:rsidR="00ED38CE" w:rsidRPr="00583E1A" w:rsidRDefault="00ED38CE" w:rsidP="00ED38CE">
      <w:pPr>
        <w:pStyle w:val="paragraph"/>
      </w:pPr>
      <w:r w:rsidRPr="00583E1A">
        <w:tab/>
        <w:t>(b)</w:t>
      </w:r>
      <w:r w:rsidRPr="00583E1A">
        <w:tab/>
        <w:t>for CGT event D2 (about granting an option)—the CGT asset that is the subject of the option;</w:t>
      </w:r>
    </w:p>
    <w:p w:rsidR="00ED38CE" w:rsidRPr="00583E1A" w:rsidRDefault="00ED38CE" w:rsidP="00ED38CE">
      <w:pPr>
        <w:pStyle w:val="paragraph"/>
      </w:pPr>
      <w:r w:rsidRPr="00583E1A">
        <w:tab/>
        <w:t>(c)</w:t>
      </w:r>
      <w:r w:rsidRPr="00583E1A">
        <w:tab/>
        <w:t>for CGT event F1 (about granting a lease)—the CGT asset that is the subject of the lease;</w:t>
      </w:r>
    </w:p>
    <w:p w:rsidR="00ED38CE" w:rsidRPr="00583E1A" w:rsidRDefault="00ED38CE" w:rsidP="00ED38CE">
      <w:pPr>
        <w:pStyle w:val="paragraph"/>
      </w:pPr>
      <w:r w:rsidRPr="00583E1A">
        <w:tab/>
        <w:t>(d)</w:t>
      </w:r>
      <w:r w:rsidRPr="00583E1A">
        <w:tab/>
        <w:t>for CGT event J1 (about a company ceasing to be a member of wholly</w:t>
      </w:r>
      <w:r w:rsidR="00583E1A">
        <w:noBreakHyphen/>
      </w:r>
      <w:r w:rsidRPr="00583E1A">
        <w:t>owned group after roll</w:t>
      </w:r>
      <w:r w:rsidR="00583E1A">
        <w:noBreakHyphen/>
      </w:r>
      <w:r w:rsidRPr="00583E1A">
        <w:t>over)—the roll</w:t>
      </w:r>
      <w:r w:rsidR="00583E1A">
        <w:noBreakHyphen/>
      </w:r>
      <w:r w:rsidRPr="00583E1A">
        <w:t>over asset.</w:t>
      </w:r>
    </w:p>
    <w:p w:rsidR="00ED38CE" w:rsidRPr="00583E1A" w:rsidRDefault="00ED38CE" w:rsidP="00ED38CE">
      <w:pPr>
        <w:pStyle w:val="ActHead5"/>
      </w:pPr>
      <w:bookmarkStart w:id="419" w:name="_Toc338939493"/>
      <w:r w:rsidRPr="00583E1A">
        <w:rPr>
          <w:rStyle w:val="CharSectno"/>
        </w:rPr>
        <w:lastRenderedPageBreak/>
        <w:t>855</w:t>
      </w:r>
      <w:r w:rsidR="00583E1A">
        <w:rPr>
          <w:rStyle w:val="CharSectno"/>
        </w:rPr>
        <w:noBreakHyphen/>
      </w:r>
      <w:r w:rsidRPr="00583E1A">
        <w:rPr>
          <w:rStyle w:val="CharSectno"/>
        </w:rPr>
        <w:t>15</w:t>
      </w:r>
      <w:r w:rsidRPr="00583E1A">
        <w:t xml:space="preserve">  When an asset is taxable Australian property</w:t>
      </w:r>
      <w:bookmarkEnd w:id="419"/>
    </w:p>
    <w:p w:rsidR="00ED38CE" w:rsidRPr="00583E1A" w:rsidRDefault="00ED38CE" w:rsidP="00ED38CE">
      <w:pPr>
        <w:pStyle w:val="subsection"/>
      </w:pPr>
      <w:r w:rsidRPr="00583E1A">
        <w:tab/>
      </w:r>
      <w:r w:rsidRPr="00583E1A">
        <w:tab/>
        <w:t xml:space="preserve">There are 5 categories of </w:t>
      </w:r>
      <w:r w:rsidR="00583E1A" w:rsidRPr="00583E1A">
        <w:rPr>
          <w:position w:val="6"/>
          <w:sz w:val="16"/>
        </w:rPr>
        <w:t>*</w:t>
      </w:r>
      <w:r w:rsidRPr="00583E1A">
        <w:t xml:space="preserve">CGT assets that are </w:t>
      </w:r>
      <w:r w:rsidRPr="00583E1A">
        <w:rPr>
          <w:b/>
          <w:i/>
        </w:rPr>
        <w:t>taxable Australian property</w:t>
      </w:r>
      <w:r w:rsidRPr="00583E1A">
        <w:t>. They are set out in this table.</w:t>
      </w:r>
    </w:p>
    <w:p w:rsidR="00ED38CE" w:rsidRPr="00583E1A" w:rsidRDefault="00ED38CE" w:rsidP="00ED38CE">
      <w:pPr>
        <w:pStyle w:val="Tabletext"/>
        <w:keepNext/>
      </w:pPr>
    </w:p>
    <w:tbl>
      <w:tblPr>
        <w:tblW w:w="0" w:type="auto"/>
        <w:tblInd w:w="108" w:type="dxa"/>
        <w:tblLayout w:type="fixed"/>
        <w:tblLook w:val="0000" w:firstRow="0" w:lastRow="0" w:firstColumn="0" w:lastColumn="0" w:noHBand="0" w:noVBand="0"/>
      </w:tblPr>
      <w:tblGrid>
        <w:gridCol w:w="1134"/>
        <w:gridCol w:w="5954"/>
      </w:tblGrid>
      <w:tr w:rsidR="00ED38CE" w:rsidRPr="00583E1A">
        <w:trPr>
          <w:cantSplit/>
          <w:tblHeader/>
        </w:trPr>
        <w:tc>
          <w:tcPr>
            <w:tcW w:w="7088" w:type="dxa"/>
            <w:gridSpan w:val="2"/>
            <w:tcBorders>
              <w:top w:val="single" w:sz="12" w:space="0" w:color="000000"/>
              <w:bottom w:val="single" w:sz="6" w:space="0" w:color="000000"/>
            </w:tcBorders>
          </w:tcPr>
          <w:p w:rsidR="00ED38CE" w:rsidRPr="00583E1A" w:rsidRDefault="00ED38CE" w:rsidP="00ED38CE">
            <w:pPr>
              <w:pStyle w:val="Tabletext"/>
              <w:keepNext/>
            </w:pPr>
            <w:r w:rsidRPr="00583E1A">
              <w:rPr>
                <w:b/>
              </w:rPr>
              <w:t>CGT assets that are taxable Australian property</w:t>
            </w:r>
          </w:p>
        </w:tc>
      </w:tr>
      <w:tr w:rsidR="00ED38CE" w:rsidRPr="00583E1A">
        <w:trPr>
          <w:cantSplit/>
          <w:tblHeader/>
        </w:trPr>
        <w:tc>
          <w:tcPr>
            <w:tcW w:w="1134" w:type="dxa"/>
            <w:tcBorders>
              <w:top w:val="single" w:sz="6" w:space="0" w:color="000000"/>
              <w:bottom w:val="single" w:sz="12" w:space="0" w:color="000000"/>
            </w:tcBorders>
          </w:tcPr>
          <w:p w:rsidR="00ED38CE" w:rsidRPr="00583E1A" w:rsidRDefault="00ED38CE" w:rsidP="00ED38CE">
            <w:pPr>
              <w:pStyle w:val="Tabletext"/>
            </w:pPr>
            <w:r w:rsidRPr="00583E1A">
              <w:rPr>
                <w:b/>
              </w:rPr>
              <w:t>Item</w:t>
            </w:r>
          </w:p>
        </w:tc>
        <w:tc>
          <w:tcPr>
            <w:tcW w:w="5954" w:type="dxa"/>
            <w:tcBorders>
              <w:top w:val="single" w:sz="6" w:space="0" w:color="000000"/>
              <w:bottom w:val="single" w:sz="12" w:space="0" w:color="000000"/>
            </w:tcBorders>
          </w:tcPr>
          <w:p w:rsidR="00ED38CE" w:rsidRPr="00583E1A" w:rsidRDefault="00ED38CE" w:rsidP="00ED38CE">
            <w:pPr>
              <w:pStyle w:val="Tabletext"/>
            </w:pPr>
            <w:r w:rsidRPr="00583E1A">
              <w:rPr>
                <w:b/>
              </w:rPr>
              <w:t>Description</w:t>
            </w:r>
          </w:p>
        </w:tc>
      </w:tr>
      <w:tr w:rsidR="00ED38CE" w:rsidRPr="00583E1A">
        <w:trPr>
          <w:cantSplit/>
        </w:trPr>
        <w:tc>
          <w:tcPr>
            <w:tcW w:w="1134" w:type="dxa"/>
            <w:tcBorders>
              <w:top w:val="single" w:sz="12" w:space="0" w:color="000000"/>
              <w:bottom w:val="single" w:sz="2" w:space="0" w:color="auto"/>
            </w:tcBorders>
            <w:shd w:val="clear" w:color="auto" w:fill="auto"/>
          </w:tcPr>
          <w:p w:rsidR="00ED38CE" w:rsidRPr="00583E1A" w:rsidRDefault="00ED38CE" w:rsidP="00ED38CE">
            <w:pPr>
              <w:pStyle w:val="Tabletext"/>
            </w:pPr>
            <w:r w:rsidRPr="00583E1A">
              <w:t>1</w:t>
            </w:r>
          </w:p>
        </w:tc>
        <w:tc>
          <w:tcPr>
            <w:tcW w:w="5954" w:type="dxa"/>
            <w:tcBorders>
              <w:top w:val="single" w:sz="12" w:space="0" w:color="000000"/>
              <w:bottom w:val="single" w:sz="2" w:space="0" w:color="auto"/>
            </w:tcBorders>
            <w:shd w:val="clear" w:color="auto" w:fill="auto"/>
          </w:tcPr>
          <w:p w:rsidR="00ED38CE" w:rsidRPr="00583E1A" w:rsidRDefault="00583E1A" w:rsidP="00ED38CE">
            <w:pPr>
              <w:pStyle w:val="Tabletext"/>
            </w:pPr>
            <w:r w:rsidRPr="00583E1A">
              <w:rPr>
                <w:position w:val="6"/>
                <w:sz w:val="16"/>
              </w:rPr>
              <w:t>*</w:t>
            </w:r>
            <w:r w:rsidR="00ED38CE" w:rsidRPr="00583E1A">
              <w:t>Taxable Australian real property (see section</w:t>
            </w:r>
            <w:r>
              <w:t> </w:t>
            </w:r>
            <w:r w:rsidR="00ED38CE" w:rsidRPr="00583E1A">
              <w:t>855</w:t>
            </w:r>
            <w:r>
              <w:noBreakHyphen/>
            </w:r>
            <w:r w:rsidR="00ED38CE" w:rsidRPr="00583E1A">
              <w:t>20)</w:t>
            </w:r>
          </w:p>
        </w:tc>
      </w:tr>
      <w:tr w:rsidR="00ED38CE" w:rsidRPr="00583E1A">
        <w:trPr>
          <w:cantSplit/>
        </w:trPr>
        <w:tc>
          <w:tcPr>
            <w:tcW w:w="1134" w:type="dxa"/>
            <w:tcBorders>
              <w:top w:val="single" w:sz="2" w:space="0" w:color="auto"/>
              <w:bottom w:val="single" w:sz="2" w:space="0" w:color="auto"/>
            </w:tcBorders>
            <w:shd w:val="clear" w:color="auto" w:fill="auto"/>
          </w:tcPr>
          <w:p w:rsidR="00ED38CE" w:rsidRPr="00583E1A" w:rsidRDefault="00ED38CE" w:rsidP="00ED38CE">
            <w:pPr>
              <w:pStyle w:val="Tabletext"/>
            </w:pPr>
            <w:r w:rsidRPr="00583E1A">
              <w:t>2</w:t>
            </w:r>
          </w:p>
        </w:tc>
        <w:tc>
          <w:tcPr>
            <w:tcW w:w="5954" w:type="dxa"/>
            <w:tcBorders>
              <w:top w:val="single" w:sz="2" w:space="0" w:color="auto"/>
              <w:bottom w:val="single" w:sz="2" w:space="0" w:color="auto"/>
            </w:tcBorders>
            <w:shd w:val="clear" w:color="auto" w:fill="auto"/>
          </w:tcPr>
          <w:p w:rsidR="00ED38CE" w:rsidRPr="00583E1A" w:rsidRDefault="00ED38CE" w:rsidP="00ED38CE">
            <w:pPr>
              <w:pStyle w:val="Tabletext"/>
            </w:pPr>
            <w:r w:rsidRPr="00583E1A">
              <w:t xml:space="preserve">A </w:t>
            </w:r>
            <w:r w:rsidR="00583E1A" w:rsidRPr="00583E1A">
              <w:rPr>
                <w:position w:val="6"/>
                <w:sz w:val="16"/>
              </w:rPr>
              <w:t>*</w:t>
            </w:r>
            <w:r w:rsidRPr="00583E1A">
              <w:t>CGT asset that:</w:t>
            </w:r>
          </w:p>
          <w:p w:rsidR="00ED38CE" w:rsidRPr="00583E1A" w:rsidRDefault="00ED38CE" w:rsidP="00ED38CE">
            <w:pPr>
              <w:pStyle w:val="Tablea"/>
            </w:pPr>
            <w:r w:rsidRPr="00583E1A">
              <w:t xml:space="preserve">(a) is an </w:t>
            </w:r>
            <w:r w:rsidR="00583E1A" w:rsidRPr="00583E1A">
              <w:rPr>
                <w:position w:val="6"/>
                <w:sz w:val="16"/>
              </w:rPr>
              <w:t>*</w:t>
            </w:r>
            <w:r w:rsidRPr="00583E1A">
              <w:t>indirect Australian real property interest (see section</w:t>
            </w:r>
            <w:r w:rsidR="00583E1A">
              <w:t> </w:t>
            </w:r>
            <w:r w:rsidRPr="00583E1A">
              <w:t>855</w:t>
            </w:r>
            <w:r w:rsidR="00583E1A">
              <w:noBreakHyphen/>
            </w:r>
            <w:r w:rsidRPr="00583E1A">
              <w:t>25); and</w:t>
            </w:r>
          </w:p>
          <w:p w:rsidR="00ED38CE" w:rsidRPr="00583E1A" w:rsidRDefault="00ED38CE" w:rsidP="00ED38CE">
            <w:pPr>
              <w:pStyle w:val="Tablea"/>
            </w:pPr>
            <w:r w:rsidRPr="00583E1A">
              <w:t>(b) is not covered by item</w:t>
            </w:r>
            <w:r w:rsidR="00583E1A">
              <w:t> </w:t>
            </w:r>
            <w:r w:rsidRPr="00583E1A">
              <w:t>5 of this table</w:t>
            </w:r>
          </w:p>
        </w:tc>
      </w:tr>
      <w:tr w:rsidR="00ED38CE" w:rsidRPr="00583E1A">
        <w:trPr>
          <w:cantSplit/>
        </w:trPr>
        <w:tc>
          <w:tcPr>
            <w:tcW w:w="1134" w:type="dxa"/>
            <w:tcBorders>
              <w:top w:val="single" w:sz="2" w:space="0" w:color="auto"/>
              <w:bottom w:val="single" w:sz="2" w:space="0" w:color="auto"/>
            </w:tcBorders>
            <w:shd w:val="clear" w:color="auto" w:fill="auto"/>
          </w:tcPr>
          <w:p w:rsidR="00ED38CE" w:rsidRPr="00583E1A" w:rsidRDefault="00ED38CE" w:rsidP="00ED38CE">
            <w:pPr>
              <w:pStyle w:val="Tabletext"/>
            </w:pPr>
            <w:r w:rsidRPr="00583E1A">
              <w:t>3</w:t>
            </w:r>
          </w:p>
        </w:tc>
        <w:tc>
          <w:tcPr>
            <w:tcW w:w="5954" w:type="dxa"/>
            <w:tcBorders>
              <w:top w:val="single" w:sz="2" w:space="0" w:color="auto"/>
              <w:bottom w:val="single" w:sz="2" w:space="0" w:color="auto"/>
            </w:tcBorders>
            <w:shd w:val="clear" w:color="auto" w:fill="auto"/>
          </w:tcPr>
          <w:p w:rsidR="00ED38CE" w:rsidRPr="00583E1A" w:rsidRDefault="00ED38CE" w:rsidP="00ED38CE">
            <w:pPr>
              <w:pStyle w:val="Tabletext"/>
            </w:pPr>
            <w:r w:rsidRPr="00583E1A">
              <w:t xml:space="preserve">A </w:t>
            </w:r>
            <w:r w:rsidR="00583E1A" w:rsidRPr="00583E1A">
              <w:rPr>
                <w:position w:val="6"/>
                <w:sz w:val="16"/>
              </w:rPr>
              <w:t>*</w:t>
            </w:r>
            <w:r w:rsidRPr="00583E1A">
              <w:t>CGT asset that:</w:t>
            </w:r>
          </w:p>
          <w:p w:rsidR="00ED38CE" w:rsidRPr="00583E1A" w:rsidRDefault="00ED38CE" w:rsidP="00ED38CE">
            <w:pPr>
              <w:pStyle w:val="Tablea"/>
            </w:pPr>
            <w:r w:rsidRPr="00583E1A">
              <w:t xml:space="preserve">(a) you have used at any time in carrying on a </w:t>
            </w:r>
            <w:r w:rsidR="00583E1A" w:rsidRPr="00583E1A">
              <w:rPr>
                <w:position w:val="6"/>
                <w:sz w:val="16"/>
              </w:rPr>
              <w:t>*</w:t>
            </w:r>
            <w:r w:rsidRPr="00583E1A">
              <w:t>business through a permanent establishment (within the meaning of section</w:t>
            </w:r>
            <w:r w:rsidR="00583E1A">
              <w:t> </w:t>
            </w:r>
            <w:r w:rsidRPr="00583E1A">
              <w:t xml:space="preserve">23AH of the </w:t>
            </w:r>
            <w:r w:rsidRPr="00583E1A">
              <w:rPr>
                <w:i/>
              </w:rPr>
              <w:t>Income Tax Assessment Act 1936</w:t>
            </w:r>
            <w:r w:rsidRPr="00583E1A">
              <w:t xml:space="preserve">) in </w:t>
            </w:r>
            <w:smartTag w:uri="urn:schemas-microsoft-com:office:smarttags" w:element="country-region">
              <w:smartTag w:uri="urn:schemas-microsoft-com:office:smarttags" w:element="place">
                <w:r w:rsidRPr="00583E1A">
                  <w:t>Australia</w:t>
                </w:r>
              </w:smartTag>
            </w:smartTag>
            <w:r w:rsidRPr="00583E1A">
              <w:t>; and</w:t>
            </w:r>
          </w:p>
          <w:p w:rsidR="00ED38CE" w:rsidRPr="00583E1A" w:rsidRDefault="00ED38CE" w:rsidP="00ED38CE">
            <w:pPr>
              <w:pStyle w:val="Tablea"/>
            </w:pPr>
            <w:r w:rsidRPr="00583E1A">
              <w:t>(b) is not covered by item</w:t>
            </w:r>
            <w:r w:rsidR="00583E1A">
              <w:t> </w:t>
            </w:r>
            <w:r w:rsidRPr="00583E1A">
              <w:t>1, 2 or 5 of this table</w:t>
            </w:r>
          </w:p>
        </w:tc>
      </w:tr>
      <w:tr w:rsidR="00ED38CE" w:rsidRPr="00583E1A">
        <w:trPr>
          <w:cantSplit/>
        </w:trPr>
        <w:tc>
          <w:tcPr>
            <w:tcW w:w="1134" w:type="dxa"/>
            <w:tcBorders>
              <w:top w:val="single" w:sz="2" w:space="0" w:color="auto"/>
              <w:bottom w:val="single" w:sz="2" w:space="0" w:color="auto"/>
            </w:tcBorders>
            <w:shd w:val="clear" w:color="auto" w:fill="auto"/>
          </w:tcPr>
          <w:p w:rsidR="00ED38CE" w:rsidRPr="00583E1A" w:rsidRDefault="00ED38CE" w:rsidP="00ED38CE">
            <w:pPr>
              <w:pStyle w:val="Tabletext"/>
            </w:pPr>
            <w:r w:rsidRPr="00583E1A">
              <w:t>4</w:t>
            </w:r>
          </w:p>
        </w:tc>
        <w:tc>
          <w:tcPr>
            <w:tcW w:w="5954" w:type="dxa"/>
            <w:tcBorders>
              <w:top w:val="single" w:sz="2" w:space="0" w:color="auto"/>
              <w:bottom w:val="single" w:sz="2" w:space="0" w:color="auto"/>
            </w:tcBorders>
            <w:shd w:val="clear" w:color="auto" w:fill="auto"/>
          </w:tcPr>
          <w:p w:rsidR="00ED38CE" w:rsidRPr="00583E1A" w:rsidRDefault="00ED38CE" w:rsidP="00ED38CE">
            <w:pPr>
              <w:pStyle w:val="Tabletext"/>
            </w:pPr>
            <w:r w:rsidRPr="00583E1A">
              <w:t xml:space="preserve">An option or right to </w:t>
            </w:r>
            <w:r w:rsidR="00583E1A" w:rsidRPr="00583E1A">
              <w:rPr>
                <w:position w:val="6"/>
                <w:sz w:val="16"/>
              </w:rPr>
              <w:t>*</w:t>
            </w:r>
            <w:r w:rsidRPr="00583E1A">
              <w:t xml:space="preserve">acquire a </w:t>
            </w:r>
            <w:r w:rsidR="00583E1A" w:rsidRPr="00583E1A">
              <w:rPr>
                <w:position w:val="6"/>
                <w:sz w:val="16"/>
              </w:rPr>
              <w:t>*</w:t>
            </w:r>
            <w:r w:rsidRPr="00583E1A">
              <w:t>CGT asset covered by item</w:t>
            </w:r>
            <w:r w:rsidR="00583E1A">
              <w:t> </w:t>
            </w:r>
            <w:r w:rsidRPr="00583E1A">
              <w:t>1, 2 or 3 of this table</w:t>
            </w:r>
          </w:p>
        </w:tc>
      </w:tr>
      <w:tr w:rsidR="00ED38CE" w:rsidRPr="00583E1A">
        <w:trPr>
          <w:cantSplit/>
        </w:trPr>
        <w:tc>
          <w:tcPr>
            <w:tcW w:w="1134" w:type="dxa"/>
            <w:tcBorders>
              <w:top w:val="single" w:sz="2" w:space="0" w:color="auto"/>
              <w:bottom w:val="single" w:sz="12" w:space="0" w:color="000000"/>
            </w:tcBorders>
          </w:tcPr>
          <w:p w:rsidR="00ED38CE" w:rsidRPr="00583E1A" w:rsidRDefault="00ED38CE" w:rsidP="00ED38CE">
            <w:pPr>
              <w:pStyle w:val="Tabletext"/>
            </w:pPr>
            <w:r w:rsidRPr="00583E1A">
              <w:t>5</w:t>
            </w:r>
          </w:p>
        </w:tc>
        <w:tc>
          <w:tcPr>
            <w:tcW w:w="5954" w:type="dxa"/>
            <w:tcBorders>
              <w:top w:val="single" w:sz="2" w:space="0" w:color="auto"/>
              <w:bottom w:val="single" w:sz="12" w:space="0" w:color="000000"/>
            </w:tcBorders>
          </w:tcPr>
          <w:p w:rsidR="00ED38CE" w:rsidRPr="00583E1A" w:rsidRDefault="00ED38CE" w:rsidP="00ED38CE">
            <w:pPr>
              <w:pStyle w:val="Tabletext"/>
            </w:pPr>
            <w:r w:rsidRPr="00583E1A">
              <w:t xml:space="preserve">A </w:t>
            </w:r>
            <w:r w:rsidR="00583E1A" w:rsidRPr="00583E1A">
              <w:rPr>
                <w:position w:val="6"/>
                <w:sz w:val="16"/>
              </w:rPr>
              <w:t>*</w:t>
            </w:r>
            <w:r w:rsidRPr="00583E1A">
              <w:t>CGT asset that is covered by subsection 104</w:t>
            </w:r>
            <w:r w:rsidR="00583E1A">
              <w:noBreakHyphen/>
            </w:r>
            <w:r w:rsidRPr="00583E1A">
              <w:t>165(3) (choosing to disregard a gain or loss on ceasing to be an Australian resident)</w:t>
            </w:r>
          </w:p>
        </w:tc>
      </w:tr>
    </w:tbl>
    <w:p w:rsidR="00ED38CE" w:rsidRPr="00583E1A" w:rsidRDefault="00ED38CE" w:rsidP="00ED38CE">
      <w:pPr>
        <w:pStyle w:val="notetext"/>
      </w:pPr>
      <w:r w:rsidRPr="00583E1A">
        <w:t>Note:</w:t>
      </w:r>
      <w:r w:rsidRPr="00583E1A">
        <w:tab/>
        <w:t>An asset is also taxable Australian property if it was acquired by a company after 28</w:t>
      </w:r>
      <w:r w:rsidR="00583E1A">
        <w:t> </w:t>
      </w:r>
      <w:r w:rsidRPr="00583E1A">
        <w:t>January 1988 and before 26</w:t>
      </w:r>
      <w:r w:rsidR="00583E1A">
        <w:t> </w:t>
      </w:r>
      <w:r w:rsidRPr="00583E1A">
        <w:t>May 1988 from a foreign resident as a result of a disposal for which there was a roll</w:t>
      </w:r>
      <w:r w:rsidR="00583E1A">
        <w:noBreakHyphen/>
      </w:r>
      <w:r w:rsidRPr="00583E1A">
        <w:t>over under section</w:t>
      </w:r>
      <w:r w:rsidR="00583E1A">
        <w:t> </w:t>
      </w:r>
      <w:r w:rsidRPr="00583E1A">
        <w:t xml:space="preserve">160ZZN or 160ZZO of the </w:t>
      </w:r>
      <w:r w:rsidRPr="00583E1A">
        <w:rPr>
          <w:i/>
        </w:rPr>
        <w:t>Income Tax Assessment Act 1936</w:t>
      </w:r>
      <w:r w:rsidRPr="00583E1A">
        <w:t>: see section</w:t>
      </w:r>
      <w:r w:rsidR="00583E1A">
        <w:t> </w:t>
      </w:r>
      <w:r w:rsidRPr="00583E1A">
        <w:t>136</w:t>
      </w:r>
      <w:r w:rsidR="00583E1A">
        <w:noBreakHyphen/>
      </w:r>
      <w:r w:rsidRPr="00583E1A">
        <w:t xml:space="preserve">25 of the </w:t>
      </w:r>
      <w:r w:rsidRPr="00583E1A">
        <w:rPr>
          <w:i/>
        </w:rPr>
        <w:t>Income Tax (Transitional Provisions) Act 1997</w:t>
      </w:r>
      <w:r w:rsidRPr="00583E1A">
        <w:t>.</w:t>
      </w:r>
    </w:p>
    <w:p w:rsidR="00ED38CE" w:rsidRPr="00583E1A" w:rsidRDefault="00ED38CE" w:rsidP="00ED38CE">
      <w:pPr>
        <w:pStyle w:val="ActHead5"/>
      </w:pPr>
      <w:bookmarkStart w:id="420" w:name="_Toc338939494"/>
      <w:r w:rsidRPr="00583E1A">
        <w:rPr>
          <w:rStyle w:val="CharSectno"/>
        </w:rPr>
        <w:t>855</w:t>
      </w:r>
      <w:r w:rsidR="00583E1A">
        <w:rPr>
          <w:rStyle w:val="CharSectno"/>
        </w:rPr>
        <w:noBreakHyphen/>
      </w:r>
      <w:r w:rsidRPr="00583E1A">
        <w:rPr>
          <w:rStyle w:val="CharSectno"/>
        </w:rPr>
        <w:t>20</w:t>
      </w:r>
      <w:r w:rsidRPr="00583E1A">
        <w:t xml:space="preserve">  Taxable Australian real property</w:t>
      </w:r>
      <w:bookmarkEnd w:id="420"/>
    </w:p>
    <w:p w:rsidR="00ED38CE" w:rsidRPr="00583E1A" w:rsidRDefault="00ED38CE" w:rsidP="00ED38CE">
      <w:pPr>
        <w:pStyle w:val="subsection"/>
      </w:pPr>
      <w:r w:rsidRPr="00583E1A">
        <w:tab/>
      </w:r>
      <w:r w:rsidRPr="00583E1A">
        <w:tab/>
        <w:t xml:space="preserve">A </w:t>
      </w:r>
      <w:r w:rsidR="00583E1A" w:rsidRPr="00583E1A">
        <w:rPr>
          <w:position w:val="6"/>
          <w:sz w:val="16"/>
        </w:rPr>
        <w:t>*</w:t>
      </w:r>
      <w:r w:rsidRPr="00583E1A">
        <w:t xml:space="preserve">CGT asset is </w:t>
      </w:r>
      <w:r w:rsidRPr="00583E1A">
        <w:rPr>
          <w:b/>
          <w:i/>
        </w:rPr>
        <w:t>taxable Australian real property</w:t>
      </w:r>
      <w:r w:rsidRPr="00583E1A">
        <w:t xml:space="preserve"> if it is:</w:t>
      </w:r>
    </w:p>
    <w:p w:rsidR="00ED38CE" w:rsidRPr="00583E1A" w:rsidRDefault="00ED38CE" w:rsidP="00ED38CE">
      <w:pPr>
        <w:pStyle w:val="paragraph"/>
      </w:pPr>
      <w:r w:rsidRPr="00583E1A">
        <w:tab/>
        <w:t>(a)</w:t>
      </w:r>
      <w:r w:rsidRPr="00583E1A">
        <w:tab/>
        <w:t>real property situated in Australia</w:t>
      </w:r>
      <w:r w:rsidR="008E3227" w:rsidRPr="00583E1A">
        <w:t xml:space="preserve"> (including a lease of land, if the land is situated in Australia)</w:t>
      </w:r>
      <w:r w:rsidRPr="00583E1A">
        <w:t>; or</w:t>
      </w:r>
    </w:p>
    <w:p w:rsidR="00ED38CE" w:rsidRPr="00583E1A" w:rsidRDefault="00ED38CE" w:rsidP="00ED38CE">
      <w:pPr>
        <w:pStyle w:val="paragraph"/>
      </w:pPr>
      <w:r w:rsidRPr="00583E1A">
        <w:tab/>
        <w:t>(b)</w:t>
      </w:r>
      <w:r w:rsidRPr="00583E1A">
        <w:tab/>
        <w:t xml:space="preserve">a </w:t>
      </w:r>
      <w:r w:rsidR="00583E1A" w:rsidRPr="00583E1A">
        <w:rPr>
          <w:position w:val="6"/>
          <w:sz w:val="16"/>
        </w:rPr>
        <w:t>*</w:t>
      </w:r>
      <w:r w:rsidRPr="00583E1A">
        <w:t xml:space="preserve">mining, quarrying or prospecting right (to the extent that the right is not real property), if the </w:t>
      </w:r>
      <w:r w:rsidR="00CC5B88" w:rsidRPr="004C09C4">
        <w:rPr>
          <w:position w:val="6"/>
          <w:sz w:val="16"/>
        </w:rPr>
        <w:t>*</w:t>
      </w:r>
      <w:r w:rsidR="00CC5B88" w:rsidRPr="004C09C4">
        <w:t>minerals</w:t>
      </w:r>
      <w:r w:rsidRPr="00583E1A">
        <w:t xml:space="preserve">, </w:t>
      </w:r>
      <w:r w:rsidR="00583E1A" w:rsidRPr="00583E1A">
        <w:rPr>
          <w:position w:val="6"/>
          <w:sz w:val="16"/>
        </w:rPr>
        <w:t>*</w:t>
      </w:r>
      <w:r w:rsidRPr="00583E1A">
        <w:t xml:space="preserve">petroleum or quarry materials are situated in </w:t>
      </w:r>
      <w:smartTag w:uri="urn:schemas-microsoft-com:office:smarttags" w:element="country-region">
        <w:smartTag w:uri="urn:schemas-microsoft-com:office:smarttags" w:element="place">
          <w:r w:rsidRPr="00583E1A">
            <w:t>Australia</w:t>
          </w:r>
        </w:smartTag>
      </w:smartTag>
      <w:r w:rsidRPr="00583E1A">
        <w:t>.</w:t>
      </w:r>
    </w:p>
    <w:p w:rsidR="00ED38CE" w:rsidRPr="00583E1A" w:rsidRDefault="00ED38CE" w:rsidP="00ED38CE">
      <w:pPr>
        <w:pStyle w:val="ActHead5"/>
      </w:pPr>
      <w:bookmarkStart w:id="421" w:name="_Toc338939495"/>
      <w:r w:rsidRPr="00583E1A">
        <w:rPr>
          <w:rStyle w:val="CharSectno"/>
        </w:rPr>
        <w:lastRenderedPageBreak/>
        <w:t>855</w:t>
      </w:r>
      <w:r w:rsidR="00583E1A">
        <w:rPr>
          <w:rStyle w:val="CharSectno"/>
        </w:rPr>
        <w:noBreakHyphen/>
      </w:r>
      <w:r w:rsidRPr="00583E1A">
        <w:rPr>
          <w:rStyle w:val="CharSectno"/>
        </w:rPr>
        <w:t>25</w:t>
      </w:r>
      <w:r w:rsidRPr="00583E1A">
        <w:t xml:space="preserve">  Indirect Australian real property interests</w:t>
      </w:r>
      <w:bookmarkEnd w:id="421"/>
    </w:p>
    <w:p w:rsidR="00ED38CE" w:rsidRPr="00583E1A" w:rsidRDefault="00ED38CE" w:rsidP="00ED38CE">
      <w:pPr>
        <w:pStyle w:val="subsection"/>
      </w:pPr>
      <w:r w:rsidRPr="00583E1A">
        <w:tab/>
        <w:t>(1)</w:t>
      </w:r>
      <w:r w:rsidRPr="00583E1A">
        <w:tab/>
        <w:t xml:space="preserve">A </w:t>
      </w:r>
      <w:r w:rsidR="00583E1A" w:rsidRPr="00583E1A">
        <w:rPr>
          <w:position w:val="6"/>
          <w:sz w:val="16"/>
        </w:rPr>
        <w:t>*</w:t>
      </w:r>
      <w:r w:rsidRPr="00583E1A">
        <w:t xml:space="preserve">membership interest held by an entity (the </w:t>
      </w:r>
      <w:r w:rsidRPr="00583E1A">
        <w:rPr>
          <w:b/>
          <w:i/>
        </w:rPr>
        <w:t>holding entity</w:t>
      </w:r>
      <w:r w:rsidRPr="00583E1A">
        <w:t xml:space="preserve">) in another entity (the </w:t>
      </w:r>
      <w:r w:rsidRPr="00583E1A">
        <w:rPr>
          <w:b/>
          <w:i/>
        </w:rPr>
        <w:t>test entity</w:t>
      </w:r>
      <w:r w:rsidRPr="00583E1A">
        <w:t xml:space="preserve">) at a time is an </w:t>
      </w:r>
      <w:r w:rsidRPr="00583E1A">
        <w:rPr>
          <w:b/>
          <w:i/>
        </w:rPr>
        <w:t>indirect Australian real property interest</w:t>
      </w:r>
      <w:r w:rsidRPr="00583E1A">
        <w:t xml:space="preserve"> at that time if:</w:t>
      </w:r>
    </w:p>
    <w:p w:rsidR="00ED38CE" w:rsidRPr="00583E1A" w:rsidRDefault="00ED38CE" w:rsidP="00ED38CE">
      <w:pPr>
        <w:pStyle w:val="paragraph"/>
      </w:pPr>
      <w:r w:rsidRPr="00583E1A">
        <w:tab/>
        <w:t>(a)</w:t>
      </w:r>
      <w:r w:rsidRPr="00583E1A">
        <w:tab/>
        <w:t xml:space="preserve">the interest passes the </w:t>
      </w:r>
      <w:r w:rsidR="00583E1A" w:rsidRPr="00583E1A">
        <w:rPr>
          <w:position w:val="6"/>
          <w:sz w:val="16"/>
        </w:rPr>
        <w:t>*</w:t>
      </w:r>
      <w:r w:rsidRPr="00583E1A">
        <w:t>non</w:t>
      </w:r>
      <w:r w:rsidR="00583E1A">
        <w:noBreakHyphen/>
      </w:r>
      <w:r w:rsidRPr="00583E1A">
        <w:t>portfolio interest test (see section</w:t>
      </w:r>
      <w:r w:rsidR="00583E1A">
        <w:t> </w:t>
      </w:r>
      <w:r w:rsidRPr="00583E1A">
        <w:t>960</w:t>
      </w:r>
      <w:r w:rsidR="00583E1A">
        <w:noBreakHyphen/>
      </w:r>
      <w:r w:rsidRPr="00583E1A">
        <w:t>195):</w:t>
      </w:r>
    </w:p>
    <w:p w:rsidR="00ED38CE" w:rsidRPr="00583E1A" w:rsidRDefault="00ED38CE" w:rsidP="00ED38CE">
      <w:pPr>
        <w:pStyle w:val="paragraphsub"/>
      </w:pPr>
      <w:r w:rsidRPr="00583E1A">
        <w:tab/>
        <w:t>(i)</w:t>
      </w:r>
      <w:r w:rsidRPr="00583E1A">
        <w:tab/>
        <w:t>at that time; or</w:t>
      </w:r>
    </w:p>
    <w:p w:rsidR="00ED38CE" w:rsidRPr="00583E1A" w:rsidRDefault="00ED38CE" w:rsidP="00ED38CE">
      <w:pPr>
        <w:pStyle w:val="paragraphsub"/>
      </w:pPr>
      <w:r w:rsidRPr="00583E1A">
        <w:tab/>
        <w:t>(ii)</w:t>
      </w:r>
      <w:r w:rsidRPr="00583E1A">
        <w:tab/>
        <w:t>throughout a 12 month period that began no earlier than 24 months before that time and ended no later than that time; and</w:t>
      </w:r>
    </w:p>
    <w:p w:rsidR="00ED38CE" w:rsidRPr="00583E1A" w:rsidRDefault="00ED38CE" w:rsidP="00ED38CE">
      <w:pPr>
        <w:pStyle w:val="paragraph"/>
      </w:pPr>
      <w:r w:rsidRPr="00583E1A">
        <w:tab/>
        <w:t>(b)</w:t>
      </w:r>
      <w:r w:rsidRPr="00583E1A">
        <w:tab/>
        <w:t>the interest passes the principal asset test in section</w:t>
      </w:r>
      <w:r w:rsidR="00583E1A">
        <w:t> </w:t>
      </w:r>
      <w:r w:rsidRPr="00583E1A">
        <w:t>855</w:t>
      </w:r>
      <w:r w:rsidR="00583E1A">
        <w:noBreakHyphen/>
      </w:r>
      <w:r w:rsidRPr="00583E1A">
        <w:t>30 at that time.</w:t>
      </w:r>
    </w:p>
    <w:p w:rsidR="00ED38CE" w:rsidRPr="00583E1A" w:rsidRDefault="00ED38CE" w:rsidP="00ED38CE">
      <w:pPr>
        <w:pStyle w:val="subsection"/>
      </w:pPr>
      <w:r w:rsidRPr="00583E1A">
        <w:tab/>
        <w:t>(2)</w:t>
      </w:r>
      <w:r w:rsidRPr="00583E1A">
        <w:tab/>
        <w:t xml:space="preserve">For the purposes of </w:t>
      </w:r>
      <w:r w:rsidR="00583E1A">
        <w:t>subsection (</w:t>
      </w:r>
      <w:r w:rsidRPr="00583E1A">
        <w:t xml:space="preserve">1), in working out whether the interest passes the </w:t>
      </w:r>
      <w:r w:rsidR="00583E1A" w:rsidRPr="00583E1A">
        <w:rPr>
          <w:position w:val="6"/>
          <w:sz w:val="16"/>
        </w:rPr>
        <w:t>*</w:t>
      </w:r>
      <w:r w:rsidRPr="00583E1A">
        <w:t>non</w:t>
      </w:r>
      <w:r w:rsidR="00583E1A">
        <w:noBreakHyphen/>
      </w:r>
      <w:r w:rsidRPr="00583E1A">
        <w:t>portfolio interest test and the principal asset test in section</w:t>
      </w:r>
      <w:r w:rsidR="00583E1A">
        <w:t> </w:t>
      </w:r>
      <w:r w:rsidRPr="00583E1A">
        <w:t>855</w:t>
      </w:r>
      <w:r w:rsidR="00583E1A">
        <w:noBreakHyphen/>
      </w:r>
      <w:r w:rsidRPr="00583E1A">
        <w:t>30:</w:t>
      </w:r>
    </w:p>
    <w:p w:rsidR="00ED38CE" w:rsidRPr="00583E1A" w:rsidRDefault="00ED38CE" w:rsidP="00ED38CE">
      <w:pPr>
        <w:pStyle w:val="paragraph"/>
      </w:pPr>
      <w:r w:rsidRPr="00583E1A">
        <w:tab/>
        <w:t>(a)</w:t>
      </w:r>
      <w:r w:rsidRPr="00583E1A">
        <w:tab/>
        <w:t>apply section</w:t>
      </w:r>
      <w:r w:rsidR="00583E1A">
        <w:t> </w:t>
      </w:r>
      <w:r w:rsidRPr="00583E1A">
        <w:t xml:space="preserve">350 of the </w:t>
      </w:r>
      <w:r w:rsidRPr="00583E1A">
        <w:rPr>
          <w:i/>
        </w:rPr>
        <w:t>Income Tax Assessment Act 1936</w:t>
      </w:r>
      <w:r w:rsidRPr="00583E1A">
        <w:t xml:space="preserve"> as if the words “, or is entitled to acquire,” (wherever occurring) were omitted; and</w:t>
      </w:r>
    </w:p>
    <w:p w:rsidR="00ED38CE" w:rsidRPr="00583E1A" w:rsidRDefault="00ED38CE" w:rsidP="00ED38CE">
      <w:pPr>
        <w:pStyle w:val="paragraph"/>
      </w:pPr>
      <w:r w:rsidRPr="00583E1A">
        <w:tab/>
        <w:t>(b)</w:t>
      </w:r>
      <w:r w:rsidRPr="00583E1A">
        <w:tab/>
        <w:t>apply section</w:t>
      </w:r>
      <w:r w:rsidR="00583E1A">
        <w:t> </w:t>
      </w:r>
      <w:r w:rsidRPr="00583E1A">
        <w:t>351 of that Act as if:</w:t>
      </w:r>
    </w:p>
    <w:p w:rsidR="00ED38CE" w:rsidRPr="00583E1A" w:rsidRDefault="00ED38CE" w:rsidP="00ED38CE">
      <w:pPr>
        <w:pStyle w:val="paragraphsub"/>
      </w:pPr>
      <w:r w:rsidRPr="00583E1A">
        <w:tab/>
        <w:t>(i)</w:t>
      </w:r>
      <w:r w:rsidRPr="00583E1A">
        <w:tab/>
        <w:t>the words “, or that the beneficiary is entitled to acquire” (wherever occurring) were omitted; and</w:t>
      </w:r>
    </w:p>
    <w:p w:rsidR="00ED38CE" w:rsidRPr="00583E1A" w:rsidRDefault="00ED38CE" w:rsidP="00ED38CE">
      <w:pPr>
        <w:pStyle w:val="paragraphsub"/>
      </w:pPr>
      <w:r w:rsidRPr="00583E1A">
        <w:tab/>
        <w:t>(ii)</w:t>
      </w:r>
      <w:r w:rsidRPr="00583E1A">
        <w:tab/>
        <w:t>the words “, or that the entity is entitled to acquire” in paragraph 351(2)(d) were omitted.</w:t>
      </w:r>
    </w:p>
    <w:p w:rsidR="00ED38CE" w:rsidRPr="00583E1A" w:rsidRDefault="00ED38CE" w:rsidP="00ED38CE">
      <w:pPr>
        <w:pStyle w:val="subsection"/>
      </w:pPr>
      <w:r w:rsidRPr="00583E1A">
        <w:tab/>
        <w:t>(3)</w:t>
      </w:r>
      <w:r w:rsidRPr="00583E1A">
        <w:tab/>
        <w:t xml:space="preserve">The first element of the </w:t>
      </w:r>
      <w:r w:rsidR="00583E1A" w:rsidRPr="00583E1A">
        <w:rPr>
          <w:position w:val="6"/>
          <w:sz w:val="16"/>
        </w:rPr>
        <w:t>*</w:t>
      </w:r>
      <w:r w:rsidRPr="00583E1A">
        <w:t xml:space="preserve">cost base and </w:t>
      </w:r>
      <w:r w:rsidR="00583E1A" w:rsidRPr="00583E1A">
        <w:rPr>
          <w:position w:val="6"/>
          <w:sz w:val="16"/>
        </w:rPr>
        <w:t>*</w:t>
      </w:r>
      <w:r w:rsidRPr="00583E1A">
        <w:t xml:space="preserve">reduced cost base of a </w:t>
      </w:r>
      <w:r w:rsidR="00583E1A" w:rsidRPr="00583E1A">
        <w:rPr>
          <w:position w:val="6"/>
          <w:sz w:val="16"/>
        </w:rPr>
        <w:t>*</w:t>
      </w:r>
      <w:r w:rsidRPr="00583E1A">
        <w:t>CGT asset on 10</w:t>
      </w:r>
      <w:r w:rsidR="00583E1A">
        <w:t> </w:t>
      </w:r>
      <w:r w:rsidRPr="00583E1A">
        <w:t xml:space="preserve">May 2005 is the </w:t>
      </w:r>
      <w:r w:rsidR="00583E1A" w:rsidRPr="00583E1A">
        <w:rPr>
          <w:position w:val="6"/>
          <w:sz w:val="16"/>
        </w:rPr>
        <w:t>*</w:t>
      </w:r>
      <w:r w:rsidRPr="00583E1A">
        <w:t>market value of the asset on that day if, on that day:</w:t>
      </w:r>
    </w:p>
    <w:p w:rsidR="00ED38CE" w:rsidRPr="00583E1A" w:rsidRDefault="00ED38CE" w:rsidP="00ED38CE">
      <w:pPr>
        <w:pStyle w:val="paragraph"/>
      </w:pPr>
      <w:r w:rsidRPr="00583E1A">
        <w:tab/>
        <w:t>(a)</w:t>
      </w:r>
      <w:r w:rsidRPr="00583E1A">
        <w:tab/>
        <w:t xml:space="preserve">the CGT asset was a </w:t>
      </w:r>
      <w:r w:rsidR="00583E1A" w:rsidRPr="00583E1A">
        <w:rPr>
          <w:position w:val="6"/>
          <w:sz w:val="16"/>
        </w:rPr>
        <w:t>*</w:t>
      </w:r>
      <w:r w:rsidRPr="00583E1A">
        <w:t>membership interest you held in another entity; and</w:t>
      </w:r>
    </w:p>
    <w:p w:rsidR="00ED38CE" w:rsidRPr="00583E1A" w:rsidRDefault="00ED38CE" w:rsidP="00ED38CE">
      <w:pPr>
        <w:pStyle w:val="paragraph"/>
      </w:pPr>
      <w:r w:rsidRPr="00583E1A">
        <w:tab/>
        <w:t>(b)</w:t>
      </w:r>
      <w:r w:rsidRPr="00583E1A">
        <w:tab/>
        <w:t xml:space="preserve">you were a foreign resident, or the trustee of a trust that was not a </w:t>
      </w:r>
      <w:r w:rsidR="00583E1A" w:rsidRPr="00583E1A">
        <w:rPr>
          <w:position w:val="6"/>
          <w:sz w:val="16"/>
        </w:rPr>
        <w:t>*</w:t>
      </w:r>
      <w:r w:rsidRPr="00583E1A">
        <w:t>resident trust for CGT purposes; and</w:t>
      </w:r>
    </w:p>
    <w:p w:rsidR="00ED38CE" w:rsidRPr="00583E1A" w:rsidRDefault="00ED38CE" w:rsidP="00ED38CE">
      <w:pPr>
        <w:pStyle w:val="paragraph"/>
      </w:pPr>
      <w:r w:rsidRPr="00583E1A">
        <w:tab/>
        <w:t>(c)</w:t>
      </w:r>
      <w:r w:rsidRPr="00583E1A">
        <w:tab/>
        <w:t xml:space="preserve">the CGT asset was a </w:t>
      </w:r>
      <w:r w:rsidR="00583E1A" w:rsidRPr="00583E1A">
        <w:rPr>
          <w:position w:val="6"/>
          <w:sz w:val="16"/>
        </w:rPr>
        <w:t>*</w:t>
      </w:r>
      <w:r w:rsidRPr="00583E1A">
        <w:t>post</w:t>
      </w:r>
      <w:r w:rsidR="00583E1A">
        <w:noBreakHyphen/>
      </w:r>
      <w:r w:rsidRPr="00583E1A">
        <w:t>CGT asset; and</w:t>
      </w:r>
    </w:p>
    <w:p w:rsidR="00ED38CE" w:rsidRPr="00583E1A" w:rsidRDefault="00ED38CE" w:rsidP="00ED38CE">
      <w:pPr>
        <w:pStyle w:val="paragraph"/>
      </w:pPr>
      <w:r w:rsidRPr="00583E1A">
        <w:tab/>
        <w:t>(d)</w:t>
      </w:r>
      <w:r w:rsidRPr="00583E1A">
        <w:tab/>
        <w:t xml:space="preserve">the CGT asset did not have the necessary connection with </w:t>
      </w:r>
      <w:smartTag w:uri="urn:schemas-microsoft-com:office:smarttags" w:element="country-region">
        <w:smartTag w:uri="urn:schemas-microsoft-com:office:smarttags" w:element="place">
          <w:r w:rsidRPr="00583E1A">
            <w:t>Australia</w:t>
          </w:r>
        </w:smartTag>
      </w:smartTag>
      <w:r w:rsidRPr="00583E1A">
        <w:t xml:space="preserve"> (within the meaning of this Act as in force on that day) disregarding the operation of </w:t>
      </w:r>
      <w:r w:rsidR="00583E1A">
        <w:t>paragraph (</w:t>
      </w:r>
      <w:r w:rsidRPr="00583E1A">
        <w:t>b) of item</w:t>
      </w:r>
      <w:r w:rsidR="00583E1A">
        <w:t> </w:t>
      </w:r>
      <w:r w:rsidRPr="00583E1A">
        <w:t xml:space="preserve">5 and </w:t>
      </w:r>
      <w:r w:rsidR="00583E1A">
        <w:t>paragraph (</w:t>
      </w:r>
      <w:r w:rsidRPr="00583E1A">
        <w:t>b) of item</w:t>
      </w:r>
      <w:r w:rsidR="00583E1A">
        <w:t> </w:t>
      </w:r>
      <w:r w:rsidRPr="00583E1A">
        <w:t>6 of the table in section</w:t>
      </w:r>
      <w:r w:rsidR="00583E1A">
        <w:t> </w:t>
      </w:r>
      <w:r w:rsidRPr="00583E1A">
        <w:t>136</w:t>
      </w:r>
      <w:r w:rsidR="00583E1A">
        <w:noBreakHyphen/>
      </w:r>
      <w:r w:rsidRPr="00583E1A">
        <w:t>25 (as in force on that day).</w:t>
      </w:r>
    </w:p>
    <w:p w:rsidR="00ED38CE" w:rsidRPr="00583E1A" w:rsidRDefault="00ED38CE" w:rsidP="00ED38CE">
      <w:pPr>
        <w:pStyle w:val="subsection"/>
      </w:pPr>
      <w:r w:rsidRPr="00583E1A">
        <w:lastRenderedPageBreak/>
        <w:tab/>
        <w:t>(4)</w:t>
      </w:r>
      <w:r w:rsidRPr="00583E1A">
        <w:tab/>
        <w:t>Also, Parts</w:t>
      </w:r>
      <w:r w:rsidR="00583E1A">
        <w:t> </w:t>
      </w:r>
      <w:r w:rsidRPr="00583E1A">
        <w:t>3</w:t>
      </w:r>
      <w:r w:rsidR="00583E1A">
        <w:noBreakHyphen/>
      </w:r>
      <w:r w:rsidRPr="00583E1A">
        <w:t>1 and 3</w:t>
      </w:r>
      <w:r w:rsidR="00583E1A">
        <w:noBreakHyphen/>
      </w:r>
      <w:r w:rsidRPr="00583E1A">
        <w:t xml:space="preserve">3 apply to the asset as if you had </w:t>
      </w:r>
      <w:r w:rsidR="00583E1A" w:rsidRPr="00583E1A">
        <w:rPr>
          <w:position w:val="6"/>
          <w:sz w:val="16"/>
        </w:rPr>
        <w:t>*</w:t>
      </w:r>
      <w:r w:rsidRPr="00583E1A">
        <w:t>acquired it on that day.</w:t>
      </w:r>
    </w:p>
    <w:p w:rsidR="00ED38CE" w:rsidRPr="00583E1A" w:rsidRDefault="00ED38CE" w:rsidP="00ED38CE">
      <w:pPr>
        <w:pStyle w:val="ActHead5"/>
      </w:pPr>
      <w:bookmarkStart w:id="422" w:name="_Toc338939496"/>
      <w:r w:rsidRPr="00583E1A">
        <w:rPr>
          <w:rStyle w:val="CharSectno"/>
        </w:rPr>
        <w:t>855</w:t>
      </w:r>
      <w:r w:rsidR="00583E1A">
        <w:rPr>
          <w:rStyle w:val="CharSectno"/>
        </w:rPr>
        <w:noBreakHyphen/>
      </w:r>
      <w:r w:rsidRPr="00583E1A">
        <w:rPr>
          <w:rStyle w:val="CharSectno"/>
        </w:rPr>
        <w:t>30</w:t>
      </w:r>
      <w:r w:rsidRPr="00583E1A">
        <w:t xml:space="preserve">  Principal asset test</w:t>
      </w:r>
      <w:bookmarkEnd w:id="422"/>
    </w:p>
    <w:p w:rsidR="00ED38CE" w:rsidRPr="00583E1A" w:rsidRDefault="00ED38CE" w:rsidP="00ED38CE">
      <w:pPr>
        <w:pStyle w:val="subsection"/>
      </w:pPr>
      <w:r w:rsidRPr="00583E1A">
        <w:tab/>
        <w:t>(1)</w:t>
      </w:r>
      <w:r w:rsidRPr="00583E1A">
        <w:tab/>
        <w:t>The purpose of this section is to define when an entity’s underlying value is principally derived from Australian real property (see paragraph 855</w:t>
      </w:r>
      <w:r w:rsidR="00583E1A">
        <w:noBreakHyphen/>
      </w:r>
      <w:r w:rsidRPr="00583E1A">
        <w:t>5(2)(b)).</w:t>
      </w:r>
    </w:p>
    <w:p w:rsidR="00ED38CE" w:rsidRPr="00583E1A" w:rsidRDefault="00ED38CE" w:rsidP="00ED38CE">
      <w:pPr>
        <w:pStyle w:val="subsection"/>
      </w:pPr>
      <w:r w:rsidRPr="00583E1A">
        <w:tab/>
        <w:t>(2)</w:t>
      </w:r>
      <w:r w:rsidRPr="00583E1A">
        <w:tab/>
        <w:t xml:space="preserve">A </w:t>
      </w:r>
      <w:r w:rsidR="00583E1A" w:rsidRPr="00583E1A">
        <w:rPr>
          <w:position w:val="6"/>
          <w:sz w:val="16"/>
        </w:rPr>
        <w:t>*</w:t>
      </w:r>
      <w:r w:rsidRPr="00583E1A">
        <w:t xml:space="preserve">membership interest held by an entity (the </w:t>
      </w:r>
      <w:r w:rsidRPr="00583E1A">
        <w:rPr>
          <w:b/>
          <w:i/>
        </w:rPr>
        <w:t>holding entity</w:t>
      </w:r>
      <w:r w:rsidRPr="00583E1A">
        <w:t xml:space="preserve">) in another entity (the </w:t>
      </w:r>
      <w:r w:rsidRPr="00583E1A">
        <w:rPr>
          <w:b/>
          <w:i/>
        </w:rPr>
        <w:t>test entity</w:t>
      </w:r>
      <w:r w:rsidRPr="00583E1A">
        <w:t xml:space="preserve">) passes the principal asset test if the sum of the </w:t>
      </w:r>
      <w:r w:rsidR="00583E1A" w:rsidRPr="00583E1A">
        <w:rPr>
          <w:position w:val="6"/>
          <w:sz w:val="16"/>
        </w:rPr>
        <w:t>*</w:t>
      </w:r>
      <w:r w:rsidRPr="00583E1A">
        <w:t xml:space="preserve">market values of the test entity’s assets that are </w:t>
      </w:r>
      <w:r w:rsidR="00583E1A" w:rsidRPr="00583E1A">
        <w:rPr>
          <w:position w:val="6"/>
          <w:sz w:val="16"/>
        </w:rPr>
        <w:t>*</w:t>
      </w:r>
      <w:r w:rsidRPr="00583E1A">
        <w:t xml:space="preserve">taxable Australian real property exceeds the sum of the </w:t>
      </w:r>
      <w:r w:rsidR="00583E1A" w:rsidRPr="00583E1A">
        <w:rPr>
          <w:position w:val="6"/>
          <w:sz w:val="16"/>
        </w:rPr>
        <w:t>*</w:t>
      </w:r>
      <w:r w:rsidRPr="00583E1A">
        <w:t xml:space="preserve">market values of its assets that are </w:t>
      </w:r>
      <w:r w:rsidRPr="00583E1A">
        <w:rPr>
          <w:i/>
        </w:rPr>
        <w:t>not</w:t>
      </w:r>
      <w:r w:rsidRPr="00583E1A">
        <w:t xml:space="preserve"> taxable Australian real property.</w:t>
      </w:r>
    </w:p>
    <w:p w:rsidR="00ED38CE" w:rsidRPr="00583E1A" w:rsidRDefault="00ED38CE" w:rsidP="00ED38CE">
      <w:pPr>
        <w:pStyle w:val="subsection"/>
      </w:pPr>
      <w:r w:rsidRPr="00583E1A">
        <w:tab/>
        <w:t>(3)</w:t>
      </w:r>
      <w:r w:rsidRPr="00583E1A">
        <w:tab/>
        <w:t xml:space="preserve">For the purposes of </w:t>
      </w:r>
      <w:r w:rsidR="00583E1A">
        <w:t>subsection (</w:t>
      </w:r>
      <w:r w:rsidRPr="00583E1A">
        <w:t>2), treat an asset of an entity (the</w:t>
      </w:r>
      <w:r w:rsidRPr="00583E1A">
        <w:rPr>
          <w:i/>
        </w:rPr>
        <w:t xml:space="preserve"> </w:t>
      </w:r>
      <w:r w:rsidRPr="00583E1A">
        <w:rPr>
          <w:b/>
          <w:i/>
        </w:rPr>
        <w:t>first entity</w:t>
      </w:r>
      <w:r w:rsidRPr="00583E1A">
        <w:t xml:space="preserve">) that is a </w:t>
      </w:r>
      <w:r w:rsidR="00583E1A" w:rsidRPr="00583E1A">
        <w:rPr>
          <w:position w:val="6"/>
          <w:sz w:val="16"/>
        </w:rPr>
        <w:t>*</w:t>
      </w:r>
      <w:r w:rsidRPr="00583E1A">
        <w:t xml:space="preserve">membership interest in another entity (the </w:t>
      </w:r>
      <w:r w:rsidRPr="00583E1A">
        <w:rPr>
          <w:b/>
          <w:i/>
        </w:rPr>
        <w:t>other entity</w:t>
      </w:r>
      <w:r w:rsidRPr="00583E1A">
        <w:t>) as if it were instead the following 2 assets:</w:t>
      </w:r>
    </w:p>
    <w:p w:rsidR="00ED38CE" w:rsidRPr="00583E1A" w:rsidRDefault="00ED38CE" w:rsidP="00ED38CE">
      <w:pPr>
        <w:pStyle w:val="paragraph"/>
      </w:pPr>
      <w:r w:rsidRPr="00583E1A">
        <w:tab/>
        <w:t>(a)</w:t>
      </w:r>
      <w:r w:rsidRPr="00583E1A">
        <w:tab/>
        <w:t xml:space="preserve">an asset that is </w:t>
      </w:r>
      <w:r w:rsidR="00583E1A" w:rsidRPr="00583E1A">
        <w:rPr>
          <w:position w:val="6"/>
          <w:sz w:val="16"/>
        </w:rPr>
        <w:t>*</w:t>
      </w:r>
      <w:r w:rsidRPr="00583E1A">
        <w:t xml:space="preserve">taxable Australian real property (the </w:t>
      </w:r>
      <w:r w:rsidRPr="00583E1A">
        <w:rPr>
          <w:b/>
          <w:i/>
        </w:rPr>
        <w:t>TARP asset</w:t>
      </w:r>
      <w:r w:rsidRPr="00583E1A">
        <w:t>);</w:t>
      </w:r>
    </w:p>
    <w:p w:rsidR="00ED38CE" w:rsidRPr="00583E1A" w:rsidRDefault="00ED38CE" w:rsidP="00ED38CE">
      <w:pPr>
        <w:pStyle w:val="paragraph"/>
      </w:pPr>
      <w:r w:rsidRPr="00583E1A">
        <w:tab/>
        <w:t>(b)</w:t>
      </w:r>
      <w:r w:rsidRPr="00583E1A">
        <w:tab/>
        <w:t xml:space="preserve">an asset that is not taxable Australian real property (the </w:t>
      </w:r>
      <w:r w:rsidRPr="00583E1A">
        <w:rPr>
          <w:b/>
          <w:i/>
        </w:rPr>
        <w:t>non</w:t>
      </w:r>
      <w:r w:rsidR="00583E1A">
        <w:rPr>
          <w:b/>
          <w:i/>
        </w:rPr>
        <w:noBreakHyphen/>
      </w:r>
      <w:r w:rsidRPr="00583E1A">
        <w:rPr>
          <w:b/>
          <w:i/>
        </w:rPr>
        <w:t>TARP asset</w:t>
      </w:r>
      <w:r w:rsidRPr="00583E1A">
        <w:t>).</w:t>
      </w:r>
    </w:p>
    <w:p w:rsidR="00ED38CE" w:rsidRPr="00583E1A" w:rsidRDefault="00ED38CE" w:rsidP="00ED38CE">
      <w:pPr>
        <w:pStyle w:val="subsection"/>
      </w:pPr>
      <w:r w:rsidRPr="00583E1A">
        <w:tab/>
        <w:t>(4)</w:t>
      </w:r>
      <w:r w:rsidRPr="00583E1A">
        <w:tab/>
        <w:t xml:space="preserve">For the purposes of </w:t>
      </w:r>
      <w:r w:rsidR="00583E1A">
        <w:t>subsection (</w:t>
      </w:r>
      <w:r w:rsidRPr="00583E1A">
        <w:t xml:space="preserve">2), treat the </w:t>
      </w:r>
      <w:r w:rsidR="00583E1A" w:rsidRPr="00583E1A">
        <w:rPr>
          <w:position w:val="6"/>
          <w:sz w:val="16"/>
        </w:rPr>
        <w:t>*</w:t>
      </w:r>
      <w:r w:rsidRPr="00583E1A">
        <w:t>market value of the TARP asset and the non</w:t>
      </w:r>
      <w:r w:rsidR="00583E1A">
        <w:noBreakHyphen/>
      </w:r>
      <w:r w:rsidRPr="00583E1A">
        <w:t>TARP asset according to the following table.</w:t>
      </w:r>
    </w:p>
    <w:p w:rsidR="00ED38CE" w:rsidRPr="00583E1A" w:rsidRDefault="00ED38CE" w:rsidP="00ED38CE">
      <w:pPr>
        <w:pStyle w:val="Tabletext"/>
      </w:pPr>
    </w:p>
    <w:tbl>
      <w:tblPr>
        <w:tblW w:w="7040" w:type="dxa"/>
        <w:tblInd w:w="218" w:type="dxa"/>
        <w:tblLayout w:type="fixed"/>
        <w:tblLook w:val="0000" w:firstRow="0" w:lastRow="0" w:firstColumn="0" w:lastColumn="0" w:noHBand="0" w:noVBand="0"/>
      </w:tblPr>
      <w:tblGrid>
        <w:gridCol w:w="880"/>
        <w:gridCol w:w="2053"/>
        <w:gridCol w:w="2053"/>
        <w:gridCol w:w="2054"/>
      </w:tblGrid>
      <w:tr w:rsidR="00ED38CE" w:rsidRPr="00583E1A">
        <w:trPr>
          <w:cantSplit/>
          <w:tblHeader/>
        </w:trPr>
        <w:tc>
          <w:tcPr>
            <w:tcW w:w="7040" w:type="dxa"/>
            <w:gridSpan w:val="4"/>
            <w:tcBorders>
              <w:top w:val="single" w:sz="12" w:space="0" w:color="auto"/>
              <w:bottom w:val="single" w:sz="6" w:space="0" w:color="auto"/>
            </w:tcBorders>
            <w:shd w:val="clear" w:color="auto" w:fill="auto"/>
          </w:tcPr>
          <w:p w:rsidR="00ED38CE" w:rsidRPr="00583E1A" w:rsidRDefault="00ED38CE" w:rsidP="00ED38CE">
            <w:pPr>
              <w:pStyle w:val="Tabletext"/>
              <w:keepNext/>
              <w:rPr>
                <w:b/>
              </w:rPr>
            </w:pPr>
            <w:r w:rsidRPr="00583E1A">
              <w:rPr>
                <w:b/>
              </w:rPr>
              <w:lastRenderedPageBreak/>
              <w:t>Market value of the TARP asset and the non</w:t>
            </w:r>
            <w:r w:rsidR="00583E1A">
              <w:rPr>
                <w:b/>
              </w:rPr>
              <w:noBreakHyphen/>
            </w:r>
            <w:r w:rsidRPr="00583E1A">
              <w:rPr>
                <w:b/>
              </w:rPr>
              <w:t>TARP asset</w:t>
            </w:r>
          </w:p>
        </w:tc>
      </w:tr>
      <w:tr w:rsidR="00ED38CE" w:rsidRPr="00583E1A">
        <w:trPr>
          <w:cantSplit/>
          <w:tblHeader/>
        </w:trPr>
        <w:tc>
          <w:tcPr>
            <w:tcW w:w="880" w:type="dxa"/>
            <w:tcBorders>
              <w:top w:val="single" w:sz="6" w:space="0" w:color="auto"/>
              <w:bottom w:val="single" w:sz="12" w:space="0" w:color="auto"/>
            </w:tcBorders>
            <w:shd w:val="clear" w:color="auto" w:fill="auto"/>
          </w:tcPr>
          <w:p w:rsidR="00ED38CE" w:rsidRPr="00583E1A" w:rsidRDefault="00ED38CE" w:rsidP="00ED38CE">
            <w:pPr>
              <w:pStyle w:val="Tabletext"/>
              <w:keepNext/>
              <w:rPr>
                <w:b/>
              </w:rPr>
            </w:pPr>
            <w:r w:rsidRPr="00583E1A">
              <w:rPr>
                <w:b/>
              </w:rPr>
              <w:t>Item</w:t>
            </w:r>
          </w:p>
        </w:tc>
        <w:tc>
          <w:tcPr>
            <w:tcW w:w="2053" w:type="dxa"/>
            <w:tcBorders>
              <w:top w:val="single" w:sz="6" w:space="0" w:color="auto"/>
              <w:bottom w:val="single" w:sz="12" w:space="0" w:color="auto"/>
            </w:tcBorders>
          </w:tcPr>
          <w:p w:rsidR="00ED38CE" w:rsidRPr="00583E1A" w:rsidRDefault="00ED38CE" w:rsidP="00ED38CE">
            <w:pPr>
              <w:pStyle w:val="Tabletext"/>
              <w:keepNext/>
              <w:rPr>
                <w:b/>
              </w:rPr>
            </w:pPr>
            <w:r w:rsidRPr="00583E1A">
              <w:rPr>
                <w:b/>
              </w:rPr>
              <w:t>If:</w:t>
            </w:r>
          </w:p>
        </w:tc>
        <w:tc>
          <w:tcPr>
            <w:tcW w:w="2053" w:type="dxa"/>
            <w:tcBorders>
              <w:top w:val="single" w:sz="6" w:space="0" w:color="auto"/>
              <w:bottom w:val="single" w:sz="12" w:space="0" w:color="auto"/>
            </w:tcBorders>
            <w:shd w:val="clear" w:color="auto" w:fill="auto"/>
          </w:tcPr>
          <w:p w:rsidR="00ED38CE" w:rsidRPr="00583E1A" w:rsidRDefault="00ED38CE" w:rsidP="00ED38CE">
            <w:pPr>
              <w:pStyle w:val="Tabletext"/>
              <w:keepNext/>
              <w:rPr>
                <w:b/>
              </w:rPr>
            </w:pPr>
            <w:r w:rsidRPr="00583E1A">
              <w:rPr>
                <w:b/>
              </w:rPr>
              <w:t>the market value of the TARP asset is:</w:t>
            </w:r>
          </w:p>
        </w:tc>
        <w:tc>
          <w:tcPr>
            <w:tcW w:w="2054" w:type="dxa"/>
            <w:tcBorders>
              <w:top w:val="single" w:sz="6" w:space="0" w:color="auto"/>
              <w:bottom w:val="single" w:sz="12" w:space="0" w:color="auto"/>
            </w:tcBorders>
            <w:shd w:val="clear" w:color="auto" w:fill="auto"/>
          </w:tcPr>
          <w:p w:rsidR="00ED38CE" w:rsidRPr="00583E1A" w:rsidRDefault="00ED38CE" w:rsidP="00ED38CE">
            <w:pPr>
              <w:pStyle w:val="Tabletext"/>
              <w:keepNext/>
              <w:rPr>
                <w:b/>
              </w:rPr>
            </w:pPr>
            <w:r w:rsidRPr="00583E1A">
              <w:rPr>
                <w:b/>
              </w:rPr>
              <w:t>the market value of the non</w:t>
            </w:r>
            <w:r w:rsidR="00583E1A">
              <w:rPr>
                <w:b/>
              </w:rPr>
              <w:noBreakHyphen/>
            </w:r>
            <w:r w:rsidRPr="00583E1A">
              <w:rPr>
                <w:b/>
              </w:rPr>
              <w:t>TARP asset is:</w:t>
            </w:r>
          </w:p>
        </w:tc>
      </w:tr>
      <w:tr w:rsidR="00ED38CE" w:rsidRPr="00583E1A">
        <w:trPr>
          <w:cantSplit/>
        </w:trPr>
        <w:tc>
          <w:tcPr>
            <w:tcW w:w="880" w:type="dxa"/>
            <w:tcBorders>
              <w:top w:val="single" w:sz="12" w:space="0" w:color="auto"/>
              <w:bottom w:val="single" w:sz="2" w:space="0" w:color="auto"/>
            </w:tcBorders>
            <w:shd w:val="clear" w:color="auto" w:fill="auto"/>
          </w:tcPr>
          <w:p w:rsidR="00ED38CE" w:rsidRPr="00583E1A" w:rsidRDefault="00ED38CE" w:rsidP="00ED38CE">
            <w:pPr>
              <w:pStyle w:val="Tabletext"/>
            </w:pPr>
            <w:r w:rsidRPr="00583E1A">
              <w:t>1</w:t>
            </w:r>
          </w:p>
        </w:tc>
        <w:tc>
          <w:tcPr>
            <w:tcW w:w="2053" w:type="dxa"/>
            <w:tcBorders>
              <w:top w:val="single" w:sz="12" w:space="0" w:color="auto"/>
              <w:bottom w:val="single" w:sz="2" w:space="0" w:color="auto"/>
            </w:tcBorders>
          </w:tcPr>
          <w:p w:rsidR="00ED38CE" w:rsidRPr="00583E1A" w:rsidRDefault="00ED38CE" w:rsidP="00ED38CE">
            <w:pPr>
              <w:pStyle w:val="Tablea"/>
              <w:spacing w:before="80"/>
              <w:rPr>
                <w:color w:val="000000"/>
              </w:rPr>
            </w:pPr>
            <w:r w:rsidRPr="00583E1A">
              <w:rPr>
                <w:color w:val="000000"/>
              </w:rPr>
              <w:t xml:space="preserve">(a) the first entity’s </w:t>
            </w:r>
            <w:r w:rsidR="00583E1A" w:rsidRPr="00583E1A">
              <w:rPr>
                <w:color w:val="000000"/>
                <w:position w:val="6"/>
                <w:sz w:val="16"/>
              </w:rPr>
              <w:t>*</w:t>
            </w:r>
            <w:r w:rsidRPr="00583E1A">
              <w:rPr>
                <w:color w:val="000000"/>
              </w:rPr>
              <w:t>direct participation interest in the other entity is less than 10%; or</w:t>
            </w:r>
          </w:p>
          <w:p w:rsidR="00ED38CE" w:rsidRPr="00583E1A" w:rsidRDefault="00ED38CE" w:rsidP="00ED38CE">
            <w:pPr>
              <w:pStyle w:val="Tablea"/>
              <w:rPr>
                <w:color w:val="000000"/>
              </w:rPr>
            </w:pPr>
            <w:r w:rsidRPr="00583E1A">
              <w:rPr>
                <w:color w:val="000000"/>
              </w:rPr>
              <w:t xml:space="preserve">(b) the holding entity’s </w:t>
            </w:r>
            <w:r w:rsidR="00583E1A" w:rsidRPr="00583E1A">
              <w:rPr>
                <w:color w:val="000000"/>
                <w:position w:val="6"/>
                <w:sz w:val="16"/>
              </w:rPr>
              <w:t>*</w:t>
            </w:r>
            <w:r w:rsidRPr="00583E1A">
              <w:rPr>
                <w:color w:val="000000"/>
              </w:rPr>
              <w:t>total participation interest in the other entity is less than 10%</w:t>
            </w:r>
          </w:p>
        </w:tc>
        <w:tc>
          <w:tcPr>
            <w:tcW w:w="2053" w:type="dxa"/>
            <w:tcBorders>
              <w:top w:val="single" w:sz="12" w:space="0" w:color="auto"/>
              <w:bottom w:val="single" w:sz="2" w:space="0" w:color="auto"/>
            </w:tcBorders>
            <w:shd w:val="clear" w:color="auto" w:fill="auto"/>
          </w:tcPr>
          <w:p w:rsidR="00ED38CE" w:rsidRPr="00583E1A" w:rsidRDefault="00ED38CE" w:rsidP="00ED38CE">
            <w:pPr>
              <w:pStyle w:val="Tabletext"/>
            </w:pPr>
            <w:r w:rsidRPr="00583E1A">
              <w:t>zero</w:t>
            </w:r>
          </w:p>
          <w:p w:rsidR="00ED38CE" w:rsidRPr="00583E1A" w:rsidRDefault="00ED38CE" w:rsidP="00ED38CE">
            <w:pPr>
              <w:pStyle w:val="Tabletext"/>
            </w:pPr>
          </w:p>
        </w:tc>
        <w:tc>
          <w:tcPr>
            <w:tcW w:w="2054" w:type="dxa"/>
            <w:tcBorders>
              <w:top w:val="single" w:sz="12" w:space="0" w:color="auto"/>
              <w:bottom w:val="single" w:sz="2" w:space="0" w:color="auto"/>
            </w:tcBorders>
            <w:shd w:val="clear" w:color="auto" w:fill="auto"/>
          </w:tcPr>
          <w:p w:rsidR="00ED38CE" w:rsidRPr="00583E1A" w:rsidRDefault="00ED38CE" w:rsidP="00ED38CE">
            <w:pPr>
              <w:pStyle w:val="Tabletext"/>
            </w:pPr>
            <w:r w:rsidRPr="00583E1A">
              <w:t xml:space="preserve">the </w:t>
            </w:r>
            <w:r w:rsidR="00583E1A" w:rsidRPr="00583E1A">
              <w:rPr>
                <w:position w:val="6"/>
                <w:sz w:val="16"/>
              </w:rPr>
              <w:t>*</w:t>
            </w:r>
            <w:r w:rsidRPr="00583E1A">
              <w:t xml:space="preserve">market value of the </w:t>
            </w:r>
            <w:r w:rsidR="00583E1A" w:rsidRPr="00583E1A">
              <w:rPr>
                <w:position w:val="6"/>
                <w:sz w:val="16"/>
              </w:rPr>
              <w:t>*</w:t>
            </w:r>
            <w:r w:rsidRPr="00583E1A">
              <w:t xml:space="preserve">membership interest mentioned in </w:t>
            </w:r>
            <w:r w:rsidR="00583E1A">
              <w:t>subsection (</w:t>
            </w:r>
            <w:r w:rsidRPr="00583E1A">
              <w:t>3)</w:t>
            </w:r>
          </w:p>
        </w:tc>
      </w:tr>
      <w:tr w:rsidR="00ED38CE" w:rsidRPr="00583E1A">
        <w:trPr>
          <w:cantSplit/>
        </w:trPr>
        <w:tc>
          <w:tcPr>
            <w:tcW w:w="880" w:type="dxa"/>
            <w:tcBorders>
              <w:top w:val="single" w:sz="2" w:space="0" w:color="auto"/>
              <w:bottom w:val="single" w:sz="12" w:space="0" w:color="auto"/>
            </w:tcBorders>
            <w:shd w:val="clear" w:color="auto" w:fill="auto"/>
          </w:tcPr>
          <w:p w:rsidR="00ED38CE" w:rsidRPr="00583E1A" w:rsidRDefault="00ED38CE" w:rsidP="00ED38CE">
            <w:pPr>
              <w:pStyle w:val="Tabletext"/>
            </w:pPr>
            <w:r w:rsidRPr="00583E1A">
              <w:t>2</w:t>
            </w:r>
          </w:p>
        </w:tc>
        <w:tc>
          <w:tcPr>
            <w:tcW w:w="2053" w:type="dxa"/>
            <w:tcBorders>
              <w:top w:val="single" w:sz="2" w:space="0" w:color="auto"/>
              <w:bottom w:val="single" w:sz="12" w:space="0" w:color="auto"/>
            </w:tcBorders>
          </w:tcPr>
          <w:p w:rsidR="00ED38CE" w:rsidRPr="00583E1A" w:rsidRDefault="00ED38CE" w:rsidP="00ED38CE">
            <w:pPr>
              <w:pStyle w:val="Tabletext"/>
            </w:pPr>
            <w:r w:rsidRPr="00583E1A">
              <w:t>item</w:t>
            </w:r>
            <w:r w:rsidR="00583E1A">
              <w:t> </w:t>
            </w:r>
            <w:r w:rsidRPr="00583E1A">
              <w:t>1 does not apply</w:t>
            </w:r>
          </w:p>
        </w:tc>
        <w:tc>
          <w:tcPr>
            <w:tcW w:w="2053" w:type="dxa"/>
            <w:tcBorders>
              <w:top w:val="single" w:sz="2" w:space="0" w:color="auto"/>
              <w:bottom w:val="single" w:sz="12" w:space="0" w:color="auto"/>
            </w:tcBorders>
            <w:shd w:val="clear" w:color="auto" w:fill="auto"/>
          </w:tcPr>
          <w:p w:rsidR="00ED38CE" w:rsidRPr="00583E1A" w:rsidRDefault="00ED38CE" w:rsidP="00ED38CE">
            <w:pPr>
              <w:pStyle w:val="Tabletext"/>
            </w:pPr>
            <w:r w:rsidRPr="00583E1A">
              <w:t>the product of:</w:t>
            </w:r>
          </w:p>
          <w:p w:rsidR="00ED38CE" w:rsidRPr="00583E1A" w:rsidRDefault="00ED38CE" w:rsidP="00ED38CE">
            <w:pPr>
              <w:pStyle w:val="Tablea"/>
            </w:pPr>
            <w:r w:rsidRPr="00583E1A">
              <w:t xml:space="preserve">(a) the sum of the </w:t>
            </w:r>
            <w:r w:rsidR="00583E1A" w:rsidRPr="00583E1A">
              <w:rPr>
                <w:position w:val="6"/>
                <w:sz w:val="16"/>
              </w:rPr>
              <w:t>*</w:t>
            </w:r>
            <w:r w:rsidRPr="00583E1A">
              <w:t xml:space="preserve">market values of all the assets of the other entity that are </w:t>
            </w:r>
            <w:r w:rsidR="00583E1A" w:rsidRPr="00583E1A">
              <w:rPr>
                <w:position w:val="6"/>
                <w:sz w:val="16"/>
              </w:rPr>
              <w:t>*</w:t>
            </w:r>
            <w:r w:rsidRPr="00583E1A">
              <w:t>taxable Australian real property; and</w:t>
            </w:r>
          </w:p>
          <w:p w:rsidR="00ED38CE" w:rsidRPr="00583E1A" w:rsidRDefault="00ED38CE" w:rsidP="00ED38CE">
            <w:pPr>
              <w:pStyle w:val="Tablea"/>
            </w:pPr>
            <w:r w:rsidRPr="00583E1A">
              <w:t xml:space="preserve">(b) the first entity’s </w:t>
            </w:r>
            <w:r w:rsidR="00583E1A" w:rsidRPr="00583E1A">
              <w:rPr>
                <w:position w:val="6"/>
                <w:sz w:val="16"/>
              </w:rPr>
              <w:t>*</w:t>
            </w:r>
            <w:r w:rsidRPr="00583E1A">
              <w:t>direct participation interest in the other entity</w:t>
            </w:r>
          </w:p>
        </w:tc>
        <w:tc>
          <w:tcPr>
            <w:tcW w:w="2054" w:type="dxa"/>
            <w:tcBorders>
              <w:top w:val="single" w:sz="2" w:space="0" w:color="auto"/>
              <w:bottom w:val="single" w:sz="12" w:space="0" w:color="auto"/>
            </w:tcBorders>
            <w:shd w:val="clear" w:color="auto" w:fill="auto"/>
          </w:tcPr>
          <w:p w:rsidR="00ED38CE" w:rsidRPr="00583E1A" w:rsidRDefault="00ED38CE" w:rsidP="00ED38CE">
            <w:pPr>
              <w:pStyle w:val="Tabletext"/>
            </w:pPr>
            <w:r w:rsidRPr="00583E1A">
              <w:t>the product of:</w:t>
            </w:r>
          </w:p>
          <w:p w:rsidR="00ED38CE" w:rsidRPr="00583E1A" w:rsidRDefault="00ED38CE" w:rsidP="00ED38CE">
            <w:pPr>
              <w:pStyle w:val="Tablea"/>
            </w:pPr>
            <w:r w:rsidRPr="00583E1A">
              <w:t xml:space="preserve">(a) the sum of the market values of all the assets of the other entity that are </w:t>
            </w:r>
            <w:r w:rsidRPr="00583E1A">
              <w:rPr>
                <w:i/>
              </w:rPr>
              <w:t>not</w:t>
            </w:r>
            <w:r w:rsidRPr="00583E1A">
              <w:t xml:space="preserve"> taxable Australian real property; and</w:t>
            </w:r>
          </w:p>
          <w:p w:rsidR="00ED38CE" w:rsidRPr="00583E1A" w:rsidRDefault="00ED38CE" w:rsidP="00ED38CE">
            <w:pPr>
              <w:pStyle w:val="Tablea"/>
            </w:pPr>
            <w:r w:rsidRPr="00583E1A">
              <w:t>(b) the first entity’s direct participation interest in the other entity</w:t>
            </w:r>
          </w:p>
        </w:tc>
      </w:tr>
    </w:tbl>
    <w:p w:rsidR="00ED38CE" w:rsidRPr="00583E1A" w:rsidRDefault="00ED38CE" w:rsidP="00ED38CE">
      <w:pPr>
        <w:pStyle w:val="notetext"/>
      </w:pPr>
      <w:r w:rsidRPr="00583E1A">
        <w:t>Note:</w:t>
      </w:r>
      <w:r w:rsidRPr="00583E1A">
        <w:tab/>
        <w:t>For the purposes of item</w:t>
      </w:r>
      <w:r w:rsidR="00583E1A">
        <w:t> </w:t>
      </w:r>
      <w:r w:rsidRPr="00583E1A">
        <w:t>2 of the table, it is necessary to work out the market value of any TARP assets and non</w:t>
      </w:r>
      <w:r w:rsidR="00583E1A">
        <w:noBreakHyphen/>
      </w:r>
      <w:r w:rsidRPr="00583E1A">
        <w:t>TARP assets in relation to any membership interests held by the other entity before working out the value of the TARP asset and non</w:t>
      </w:r>
      <w:r w:rsidR="00583E1A">
        <w:noBreakHyphen/>
      </w:r>
      <w:r w:rsidRPr="00583E1A">
        <w:t>TARP asset held by the first entity.</w:t>
      </w:r>
    </w:p>
    <w:p w:rsidR="00ED38CE" w:rsidRPr="00583E1A" w:rsidRDefault="00ED38CE" w:rsidP="00ED38CE">
      <w:pPr>
        <w:pStyle w:val="subsection"/>
      </w:pPr>
      <w:r w:rsidRPr="00583E1A">
        <w:tab/>
        <w:t>(5)</w:t>
      </w:r>
      <w:r w:rsidRPr="00583E1A">
        <w:tab/>
        <w:t xml:space="preserve">For the purposes of this section, disregard the </w:t>
      </w:r>
      <w:r w:rsidR="00583E1A" w:rsidRPr="00583E1A">
        <w:rPr>
          <w:position w:val="6"/>
          <w:sz w:val="16"/>
        </w:rPr>
        <w:t>*</w:t>
      </w:r>
      <w:r w:rsidRPr="00583E1A">
        <w:t xml:space="preserve">market value of any asset acquired by the test entity, or by any other entity, if the </w:t>
      </w:r>
      <w:r w:rsidR="00583E1A" w:rsidRPr="00583E1A">
        <w:rPr>
          <w:position w:val="6"/>
          <w:sz w:val="16"/>
        </w:rPr>
        <w:t>*</w:t>
      </w:r>
      <w:r w:rsidRPr="00583E1A">
        <w:t xml:space="preserve">acquisition was done for a purpose (other than an incidental purpose) that included ensuring that a </w:t>
      </w:r>
      <w:r w:rsidR="00583E1A" w:rsidRPr="00583E1A">
        <w:rPr>
          <w:position w:val="6"/>
          <w:sz w:val="16"/>
        </w:rPr>
        <w:t>*</w:t>
      </w:r>
      <w:r w:rsidRPr="00583E1A">
        <w:t>membership interest in any entity</w:t>
      </w:r>
      <w:r w:rsidRPr="00583E1A">
        <w:rPr>
          <w:i/>
        </w:rPr>
        <w:t xml:space="preserve"> </w:t>
      </w:r>
      <w:r w:rsidRPr="00583E1A">
        <w:t>would not pass the principal asset test in this section.</w:t>
      </w:r>
    </w:p>
    <w:p w:rsidR="00ED38CE" w:rsidRPr="00583E1A" w:rsidRDefault="00ED38CE" w:rsidP="00ED38CE">
      <w:pPr>
        <w:pStyle w:val="ActHead5"/>
      </w:pPr>
      <w:bookmarkStart w:id="423" w:name="_Toc338939497"/>
      <w:r w:rsidRPr="00583E1A">
        <w:rPr>
          <w:rStyle w:val="CharSectno"/>
        </w:rPr>
        <w:lastRenderedPageBreak/>
        <w:t>855</w:t>
      </w:r>
      <w:r w:rsidR="00583E1A">
        <w:rPr>
          <w:rStyle w:val="CharSectno"/>
        </w:rPr>
        <w:noBreakHyphen/>
      </w:r>
      <w:r w:rsidRPr="00583E1A">
        <w:rPr>
          <w:rStyle w:val="CharSectno"/>
        </w:rPr>
        <w:t>35</w:t>
      </w:r>
      <w:r w:rsidRPr="00583E1A">
        <w:t xml:space="preserve">  Reducing a capital gain or loss from a business asset—Australian permanent establishments</w:t>
      </w:r>
      <w:bookmarkEnd w:id="423"/>
    </w:p>
    <w:p w:rsidR="00ED38CE" w:rsidRPr="00583E1A" w:rsidRDefault="00ED38CE" w:rsidP="00ED38CE">
      <w:pPr>
        <w:pStyle w:val="subsection"/>
      </w:pPr>
      <w:r w:rsidRPr="00583E1A">
        <w:tab/>
        <w:t>(1)</w:t>
      </w:r>
      <w:r w:rsidRPr="00583E1A">
        <w:tab/>
        <w:t xml:space="preserve">This section applies to a </w:t>
      </w:r>
      <w:r w:rsidR="00583E1A" w:rsidRPr="00583E1A">
        <w:rPr>
          <w:position w:val="6"/>
          <w:sz w:val="16"/>
        </w:rPr>
        <w:t>*</w:t>
      </w:r>
      <w:r w:rsidRPr="00583E1A">
        <w:t xml:space="preserve">CGT asset that is </w:t>
      </w:r>
      <w:r w:rsidR="00583E1A" w:rsidRPr="00583E1A">
        <w:rPr>
          <w:position w:val="6"/>
          <w:sz w:val="16"/>
        </w:rPr>
        <w:t>*</w:t>
      </w:r>
      <w:r w:rsidRPr="00583E1A">
        <w:t>taxable Australian property under item</w:t>
      </w:r>
      <w:r w:rsidR="00583E1A">
        <w:t> </w:t>
      </w:r>
      <w:r w:rsidRPr="00583E1A">
        <w:t>3 of the table in section</w:t>
      </w:r>
      <w:r w:rsidR="00583E1A">
        <w:t> </w:t>
      </w:r>
      <w:r w:rsidRPr="00583E1A">
        <w:t>855</w:t>
      </w:r>
      <w:r w:rsidR="00583E1A">
        <w:noBreakHyphen/>
      </w:r>
      <w:r w:rsidRPr="00583E1A">
        <w:t xml:space="preserve">15 because you have used it at any time in carrying on a </w:t>
      </w:r>
      <w:r w:rsidR="00583E1A" w:rsidRPr="00583E1A">
        <w:rPr>
          <w:position w:val="6"/>
          <w:sz w:val="16"/>
        </w:rPr>
        <w:t>*</w:t>
      </w:r>
      <w:r w:rsidRPr="00583E1A">
        <w:t>business through a permanent establishment (within the meaning of section</w:t>
      </w:r>
      <w:r w:rsidR="00583E1A">
        <w:t> </w:t>
      </w:r>
      <w:r w:rsidRPr="00583E1A">
        <w:t xml:space="preserve">23AH of the </w:t>
      </w:r>
      <w:r w:rsidRPr="00583E1A">
        <w:rPr>
          <w:i/>
        </w:rPr>
        <w:t>Income Tax Assessment Act 1936</w:t>
      </w:r>
      <w:r w:rsidRPr="00583E1A">
        <w:t xml:space="preserve">) in </w:t>
      </w:r>
      <w:smartTag w:uri="urn:schemas-microsoft-com:office:smarttags" w:element="country-region">
        <w:smartTag w:uri="urn:schemas-microsoft-com:office:smarttags" w:element="place">
          <w:r w:rsidRPr="00583E1A">
            <w:t>Australia</w:t>
          </w:r>
        </w:smartTag>
      </w:smartTag>
      <w:r w:rsidRPr="00583E1A">
        <w:t>.</w:t>
      </w:r>
    </w:p>
    <w:p w:rsidR="00ED38CE" w:rsidRPr="00583E1A" w:rsidRDefault="00ED38CE" w:rsidP="00ED38CE">
      <w:pPr>
        <w:pStyle w:val="subsection"/>
      </w:pPr>
      <w:r w:rsidRPr="00583E1A">
        <w:tab/>
        <w:t>(2)</w:t>
      </w:r>
      <w:r w:rsidRPr="00583E1A">
        <w:tab/>
        <w:t xml:space="preserve">The </w:t>
      </w:r>
      <w:r w:rsidR="00583E1A" w:rsidRPr="00583E1A">
        <w:rPr>
          <w:position w:val="6"/>
          <w:sz w:val="16"/>
        </w:rPr>
        <w:t>*</w:t>
      </w:r>
      <w:r w:rsidRPr="00583E1A">
        <w:t xml:space="preserve">capital gain or </w:t>
      </w:r>
      <w:r w:rsidR="00583E1A" w:rsidRPr="00583E1A">
        <w:rPr>
          <w:position w:val="6"/>
          <w:sz w:val="16"/>
        </w:rPr>
        <w:t>*</w:t>
      </w:r>
      <w:r w:rsidRPr="00583E1A">
        <w:t xml:space="preserve">capital loss you make from a </w:t>
      </w:r>
      <w:r w:rsidR="00583E1A" w:rsidRPr="00583E1A">
        <w:rPr>
          <w:position w:val="6"/>
          <w:sz w:val="16"/>
        </w:rPr>
        <w:t>*</w:t>
      </w:r>
      <w:r w:rsidRPr="00583E1A">
        <w:t xml:space="preserve">CGT event in relation to the asset is reduced if you used it in this way for only part of the period from when you </w:t>
      </w:r>
      <w:r w:rsidR="00583E1A" w:rsidRPr="00583E1A">
        <w:rPr>
          <w:position w:val="6"/>
          <w:sz w:val="16"/>
        </w:rPr>
        <w:t>*</w:t>
      </w:r>
      <w:r w:rsidRPr="00583E1A">
        <w:t>acquired it to when the CGT event happened.</w:t>
      </w:r>
    </w:p>
    <w:p w:rsidR="00ED38CE" w:rsidRPr="00583E1A" w:rsidRDefault="00ED38CE" w:rsidP="00ED38CE">
      <w:pPr>
        <w:pStyle w:val="subsection"/>
      </w:pPr>
      <w:r w:rsidRPr="00583E1A">
        <w:tab/>
        <w:t>(3)</w:t>
      </w:r>
      <w:r w:rsidRPr="00583E1A">
        <w:tab/>
        <w:t>The gain or loss is reduced by this fraction:</w:t>
      </w:r>
    </w:p>
    <w:p w:rsidR="00A82FCD" w:rsidRPr="00583E1A" w:rsidRDefault="00623A5C" w:rsidP="00ED38CE">
      <w:pPr>
        <w:pStyle w:val="Formula"/>
      </w:pPr>
      <w:r>
        <w:rPr>
          <w:noProof/>
        </w:rPr>
        <w:drawing>
          <wp:inline distT="0" distB="0" distL="0" distR="0">
            <wp:extent cx="2085975" cy="6858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2085975" cy="685800"/>
                    </a:xfrm>
                    <a:prstGeom prst="rect">
                      <a:avLst/>
                    </a:prstGeom>
                    <a:noFill/>
                    <a:ln>
                      <a:noFill/>
                    </a:ln>
                  </pic:spPr>
                </pic:pic>
              </a:graphicData>
            </a:graphic>
          </wp:inline>
        </w:drawing>
      </w:r>
    </w:p>
    <w:p w:rsidR="00ED38CE" w:rsidRPr="00583E1A" w:rsidRDefault="00ED38CE" w:rsidP="00ED38CE">
      <w:pPr>
        <w:pStyle w:val="ActHead5"/>
      </w:pPr>
      <w:bookmarkStart w:id="424" w:name="_Toc338939498"/>
      <w:r w:rsidRPr="00583E1A">
        <w:rPr>
          <w:rStyle w:val="CharSectno"/>
        </w:rPr>
        <w:t>855</w:t>
      </w:r>
      <w:r w:rsidR="00583E1A">
        <w:rPr>
          <w:rStyle w:val="CharSectno"/>
        </w:rPr>
        <w:noBreakHyphen/>
      </w:r>
      <w:r w:rsidRPr="00583E1A">
        <w:rPr>
          <w:rStyle w:val="CharSectno"/>
        </w:rPr>
        <w:t>40</w:t>
      </w:r>
      <w:r w:rsidRPr="00583E1A">
        <w:t xml:space="preserve">  Capital gains and losses of foreign residents through fixed trusts</w:t>
      </w:r>
      <w:bookmarkEnd w:id="424"/>
    </w:p>
    <w:p w:rsidR="00ED38CE" w:rsidRPr="00583E1A" w:rsidRDefault="00ED38CE" w:rsidP="00ED38CE">
      <w:pPr>
        <w:pStyle w:val="subsection"/>
      </w:pPr>
      <w:r w:rsidRPr="00583E1A">
        <w:tab/>
        <w:t>(1)</w:t>
      </w:r>
      <w:r w:rsidRPr="00583E1A">
        <w:tab/>
        <w:t xml:space="preserve">The purpose of this section is to provide comparable taxation treatment as between direct ownership, and indirect ownership through a </w:t>
      </w:r>
      <w:r w:rsidR="00583E1A" w:rsidRPr="00583E1A">
        <w:rPr>
          <w:position w:val="6"/>
          <w:sz w:val="16"/>
        </w:rPr>
        <w:t>*</w:t>
      </w:r>
      <w:r w:rsidRPr="00583E1A">
        <w:t xml:space="preserve">fixed trust, by foreign residents of </w:t>
      </w:r>
      <w:r w:rsidR="00583E1A" w:rsidRPr="00583E1A">
        <w:rPr>
          <w:position w:val="6"/>
          <w:sz w:val="16"/>
        </w:rPr>
        <w:t>*</w:t>
      </w:r>
      <w:r w:rsidRPr="00583E1A">
        <w:t xml:space="preserve">CGT assets that are not </w:t>
      </w:r>
      <w:r w:rsidR="00583E1A" w:rsidRPr="00583E1A">
        <w:rPr>
          <w:position w:val="6"/>
          <w:sz w:val="16"/>
        </w:rPr>
        <w:t>*</w:t>
      </w:r>
      <w:r w:rsidRPr="00583E1A">
        <w:t>taxable Australian property.</w:t>
      </w:r>
    </w:p>
    <w:p w:rsidR="00ED38CE" w:rsidRPr="00583E1A" w:rsidRDefault="00ED38CE" w:rsidP="00ED38CE">
      <w:pPr>
        <w:pStyle w:val="subsection"/>
      </w:pPr>
      <w:r w:rsidRPr="00583E1A">
        <w:tab/>
        <w:t>(2)</w:t>
      </w:r>
      <w:r w:rsidRPr="00583E1A">
        <w:tab/>
        <w:t xml:space="preserve">A </w:t>
      </w:r>
      <w:r w:rsidR="00583E1A" w:rsidRPr="00583E1A">
        <w:rPr>
          <w:position w:val="6"/>
          <w:sz w:val="16"/>
        </w:rPr>
        <w:t>*</w:t>
      </w:r>
      <w:r w:rsidRPr="00583E1A">
        <w:t xml:space="preserve">capital gain you make in respect of your interest in a </w:t>
      </w:r>
      <w:r w:rsidR="00583E1A" w:rsidRPr="00583E1A">
        <w:rPr>
          <w:position w:val="6"/>
          <w:sz w:val="16"/>
        </w:rPr>
        <w:t>*</w:t>
      </w:r>
      <w:r w:rsidRPr="00583E1A">
        <w:t>fixed trust is disregarded if:</w:t>
      </w:r>
    </w:p>
    <w:p w:rsidR="00ED38CE" w:rsidRPr="00583E1A" w:rsidRDefault="00ED38CE" w:rsidP="00ED38CE">
      <w:pPr>
        <w:pStyle w:val="paragraph"/>
      </w:pPr>
      <w:r w:rsidRPr="00583E1A">
        <w:tab/>
        <w:t>(a)</w:t>
      </w:r>
      <w:r w:rsidRPr="00583E1A">
        <w:tab/>
        <w:t>you are a foreign resident when you make the gain; and</w:t>
      </w:r>
    </w:p>
    <w:p w:rsidR="00ED38CE" w:rsidRPr="00583E1A" w:rsidRDefault="00ED38CE" w:rsidP="00ED38CE">
      <w:pPr>
        <w:pStyle w:val="paragraph"/>
      </w:pPr>
      <w:r w:rsidRPr="00583E1A">
        <w:tab/>
        <w:t>(b)</w:t>
      </w:r>
      <w:r w:rsidRPr="00583E1A">
        <w:tab/>
        <w:t xml:space="preserve">the gain is attributable to a </w:t>
      </w:r>
      <w:r w:rsidR="00583E1A" w:rsidRPr="00583E1A">
        <w:rPr>
          <w:position w:val="6"/>
          <w:sz w:val="16"/>
        </w:rPr>
        <w:t>*</w:t>
      </w:r>
      <w:r w:rsidRPr="00583E1A">
        <w:t xml:space="preserve">CGT event happening to a </w:t>
      </w:r>
      <w:r w:rsidR="00583E1A" w:rsidRPr="00583E1A">
        <w:rPr>
          <w:position w:val="6"/>
          <w:sz w:val="16"/>
        </w:rPr>
        <w:t>*</w:t>
      </w:r>
      <w:r w:rsidRPr="00583E1A">
        <w:t xml:space="preserve">CGT asset of a trust (the </w:t>
      </w:r>
      <w:r w:rsidRPr="00583E1A">
        <w:rPr>
          <w:b/>
          <w:i/>
        </w:rPr>
        <w:t>CGT event trust</w:t>
      </w:r>
      <w:r w:rsidRPr="00583E1A">
        <w:t>) that is:</w:t>
      </w:r>
    </w:p>
    <w:p w:rsidR="00ED38CE" w:rsidRPr="00583E1A" w:rsidRDefault="00ED38CE" w:rsidP="00ED38CE">
      <w:pPr>
        <w:pStyle w:val="paragraphsub"/>
      </w:pPr>
      <w:r w:rsidRPr="00583E1A">
        <w:tab/>
        <w:t>(i)</w:t>
      </w:r>
      <w:r w:rsidRPr="00583E1A">
        <w:tab/>
        <w:t xml:space="preserve">the </w:t>
      </w:r>
      <w:r w:rsidR="0061075A" w:rsidRPr="008A6DF7">
        <w:rPr>
          <w:position w:val="6"/>
          <w:sz w:val="16"/>
        </w:rPr>
        <w:t>*</w:t>
      </w:r>
      <w:r w:rsidR="0061075A" w:rsidRPr="008A6DF7">
        <w:t>fixed trust</w:t>
      </w:r>
      <w:r w:rsidRPr="00583E1A">
        <w:t>; or</w:t>
      </w:r>
    </w:p>
    <w:p w:rsidR="00ED38CE" w:rsidRPr="00583E1A" w:rsidRDefault="00ED38CE" w:rsidP="00ED38CE">
      <w:pPr>
        <w:pStyle w:val="paragraphsub"/>
      </w:pPr>
      <w:r w:rsidRPr="00583E1A">
        <w:tab/>
        <w:t>(ii)</w:t>
      </w:r>
      <w:r w:rsidRPr="00583E1A">
        <w:tab/>
        <w:t xml:space="preserve">another fixed trust in which that trust has an interest (directly, or indirectly through </w:t>
      </w:r>
      <w:r w:rsidR="00AF7639" w:rsidRPr="008A6DF7">
        <w:t xml:space="preserve">a </w:t>
      </w:r>
      <w:r w:rsidR="00AF7639" w:rsidRPr="008A6DF7">
        <w:rPr>
          <w:position w:val="6"/>
          <w:sz w:val="16"/>
        </w:rPr>
        <w:t>*</w:t>
      </w:r>
      <w:r w:rsidR="00AF7639" w:rsidRPr="008A6DF7">
        <w:t>chain of trusts, each trust in which is a fixed trust</w:t>
      </w:r>
      <w:r w:rsidRPr="00583E1A">
        <w:t>); and</w:t>
      </w:r>
    </w:p>
    <w:p w:rsidR="00ED38CE" w:rsidRPr="00583E1A" w:rsidRDefault="00ED38CE" w:rsidP="00A805BD">
      <w:pPr>
        <w:pStyle w:val="paragraph"/>
        <w:keepNext/>
      </w:pPr>
      <w:r w:rsidRPr="00583E1A">
        <w:lastRenderedPageBreak/>
        <w:tab/>
        <w:t>(c)</w:t>
      </w:r>
      <w:r w:rsidRPr="00583E1A">
        <w:tab/>
        <w:t>either:</w:t>
      </w:r>
    </w:p>
    <w:p w:rsidR="00ED38CE" w:rsidRPr="00583E1A" w:rsidRDefault="00ED38CE" w:rsidP="00ED38CE">
      <w:pPr>
        <w:pStyle w:val="paragraphsub"/>
      </w:pPr>
      <w:r w:rsidRPr="00583E1A">
        <w:tab/>
        <w:t>(i)</w:t>
      </w:r>
      <w:r w:rsidRPr="00583E1A">
        <w:tab/>
        <w:t xml:space="preserve">the asset is not </w:t>
      </w:r>
      <w:r w:rsidR="00583E1A" w:rsidRPr="00583E1A">
        <w:rPr>
          <w:position w:val="6"/>
          <w:sz w:val="16"/>
        </w:rPr>
        <w:t>*</w:t>
      </w:r>
      <w:r w:rsidRPr="00583E1A">
        <w:t>taxable Australian property for the CGT event trust at the time of the CGT event; or</w:t>
      </w:r>
    </w:p>
    <w:p w:rsidR="00ED38CE" w:rsidRPr="00583E1A" w:rsidRDefault="00ED38CE" w:rsidP="00ED38CE">
      <w:pPr>
        <w:pStyle w:val="paragraphsub"/>
      </w:pPr>
      <w:r w:rsidRPr="00583E1A">
        <w:tab/>
        <w:t>(ii)</w:t>
      </w:r>
      <w:r w:rsidRPr="00583E1A">
        <w:tab/>
        <w:t xml:space="preserve">the asset is an interest in a fixed trust and the conditions in </w:t>
      </w:r>
      <w:r w:rsidR="00583E1A">
        <w:t>subsections (</w:t>
      </w:r>
      <w:r w:rsidRPr="00583E1A">
        <w:t>5), (6), (7) and (8) are satisfied.</w:t>
      </w:r>
    </w:p>
    <w:p w:rsidR="00ED38CE" w:rsidRPr="00583E1A" w:rsidRDefault="00ED38CE" w:rsidP="007F5A03">
      <w:pPr>
        <w:pStyle w:val="noteToPara"/>
      </w:pPr>
      <w:r w:rsidRPr="00583E1A">
        <w:t>Note:</w:t>
      </w:r>
      <w:r w:rsidRPr="00583E1A">
        <w:tab/>
        <w:t>Section</w:t>
      </w:r>
      <w:r w:rsidR="00583E1A">
        <w:t> </w:t>
      </w:r>
      <w:r w:rsidRPr="00583E1A">
        <w:t>115</w:t>
      </w:r>
      <w:r w:rsidR="00583E1A">
        <w:noBreakHyphen/>
      </w:r>
      <w:r w:rsidRPr="00583E1A">
        <w:t>215 treats a portion of a trust’s capital gain as a capital gain made by a beneficiary, and applies the CGT discount to that portion as if the gain were made directly by the beneficiary.</w:t>
      </w:r>
    </w:p>
    <w:p w:rsidR="00884F2E" w:rsidRPr="00583E1A" w:rsidRDefault="00884F2E" w:rsidP="00884F2E">
      <w:pPr>
        <w:pStyle w:val="subsection"/>
      </w:pPr>
      <w:r w:rsidRPr="00583E1A">
        <w:tab/>
        <w:t>(3)</w:t>
      </w:r>
      <w:r w:rsidRPr="00583E1A">
        <w:tab/>
        <w:t xml:space="preserve">You are not liable to pay tax as a trustee of a </w:t>
      </w:r>
      <w:r w:rsidR="00583E1A" w:rsidRPr="00583E1A">
        <w:rPr>
          <w:position w:val="6"/>
          <w:sz w:val="16"/>
        </w:rPr>
        <w:t>*</w:t>
      </w:r>
      <w:r w:rsidRPr="00583E1A">
        <w:t xml:space="preserve">fixed trust in respect of an amount to the extent that the amount gives rise to a </w:t>
      </w:r>
      <w:r w:rsidR="00583E1A" w:rsidRPr="00583E1A">
        <w:rPr>
          <w:position w:val="6"/>
          <w:sz w:val="16"/>
        </w:rPr>
        <w:t>*</w:t>
      </w:r>
      <w:r w:rsidRPr="00583E1A">
        <w:t xml:space="preserve">capital gain that is disregarded for a beneficiary under </w:t>
      </w:r>
      <w:r w:rsidR="00583E1A">
        <w:t>subsection (</w:t>
      </w:r>
      <w:r w:rsidRPr="00583E1A">
        <w:t>2).</w:t>
      </w:r>
    </w:p>
    <w:p w:rsidR="00ED38CE" w:rsidRPr="00583E1A" w:rsidRDefault="00ED38CE" w:rsidP="00ED38CE">
      <w:pPr>
        <w:pStyle w:val="subsection"/>
      </w:pPr>
      <w:r w:rsidRPr="00583E1A">
        <w:tab/>
        <w:t>(4)</w:t>
      </w:r>
      <w:r w:rsidRPr="00583E1A">
        <w:tab/>
        <w:t xml:space="preserve">To avoid doubt, </w:t>
      </w:r>
      <w:r w:rsidR="00583E1A">
        <w:t>subsection (</w:t>
      </w:r>
      <w:r w:rsidRPr="00583E1A">
        <w:t>3) does not affect the operation of subsection 98A(1)</w:t>
      </w:r>
      <w:r w:rsidR="00CC5D28" w:rsidRPr="00583E1A">
        <w:t xml:space="preserve"> or (3)</w:t>
      </w:r>
      <w:r w:rsidRPr="00583E1A">
        <w:t xml:space="preserve"> of the </w:t>
      </w:r>
      <w:r w:rsidRPr="00583E1A">
        <w:rPr>
          <w:i/>
        </w:rPr>
        <w:t>Income Tax Assessment Act 1936</w:t>
      </w:r>
      <w:r w:rsidRPr="00583E1A">
        <w:t xml:space="preserve"> (about taxing beneficiaries who are foreign residents at the end of an income year).</w:t>
      </w:r>
    </w:p>
    <w:p w:rsidR="00ED38CE" w:rsidRPr="00583E1A" w:rsidRDefault="00ED38CE" w:rsidP="00ED38CE">
      <w:pPr>
        <w:pStyle w:val="SubsectionHead"/>
      </w:pPr>
      <w:r w:rsidRPr="00583E1A">
        <w:t>Conditions</w:t>
      </w:r>
    </w:p>
    <w:p w:rsidR="00ED38CE" w:rsidRPr="00583E1A" w:rsidRDefault="00ED38CE" w:rsidP="00ED38CE">
      <w:pPr>
        <w:pStyle w:val="subsection"/>
      </w:pPr>
      <w:r w:rsidRPr="00583E1A">
        <w:tab/>
        <w:t>(5)</w:t>
      </w:r>
      <w:r w:rsidRPr="00583E1A">
        <w:tab/>
        <w:t xml:space="preserve">The conditions in </w:t>
      </w:r>
      <w:r w:rsidR="00583E1A">
        <w:t>subsections (</w:t>
      </w:r>
      <w:r w:rsidRPr="00583E1A">
        <w:t xml:space="preserve">6), (7) and (8) must be satisfied if the relevant </w:t>
      </w:r>
      <w:r w:rsidR="00583E1A" w:rsidRPr="00583E1A">
        <w:rPr>
          <w:position w:val="6"/>
          <w:sz w:val="16"/>
        </w:rPr>
        <w:t>*</w:t>
      </w:r>
      <w:r w:rsidRPr="00583E1A">
        <w:t xml:space="preserve">CGT event happens to an interest in a </w:t>
      </w:r>
      <w:r w:rsidR="00583E1A" w:rsidRPr="00583E1A">
        <w:rPr>
          <w:position w:val="6"/>
          <w:sz w:val="16"/>
        </w:rPr>
        <w:t>*</w:t>
      </w:r>
      <w:r w:rsidRPr="00583E1A">
        <w:t xml:space="preserve">fixed trust (the </w:t>
      </w:r>
      <w:r w:rsidRPr="00583E1A">
        <w:rPr>
          <w:b/>
          <w:i/>
        </w:rPr>
        <w:t>first trust</w:t>
      </w:r>
      <w:r w:rsidRPr="00583E1A">
        <w:t xml:space="preserve">) and the interest is </w:t>
      </w:r>
      <w:r w:rsidR="00583E1A" w:rsidRPr="00583E1A">
        <w:rPr>
          <w:position w:val="6"/>
          <w:sz w:val="16"/>
        </w:rPr>
        <w:t>*</w:t>
      </w:r>
      <w:r w:rsidRPr="00583E1A">
        <w:t>taxable Australian property at the time of the CGT event.</w:t>
      </w:r>
    </w:p>
    <w:p w:rsidR="00ED38CE" w:rsidRPr="00583E1A" w:rsidRDefault="00ED38CE" w:rsidP="00ED38CE">
      <w:pPr>
        <w:pStyle w:val="subsection"/>
      </w:pPr>
      <w:r w:rsidRPr="00583E1A">
        <w:tab/>
        <w:t>(6)</w:t>
      </w:r>
      <w:r w:rsidRPr="00583E1A">
        <w:tab/>
        <w:t xml:space="preserve">At least 90% (by </w:t>
      </w:r>
      <w:r w:rsidR="00583E1A" w:rsidRPr="00583E1A">
        <w:rPr>
          <w:position w:val="6"/>
          <w:sz w:val="16"/>
        </w:rPr>
        <w:t>*</w:t>
      </w:r>
      <w:r w:rsidRPr="00583E1A">
        <w:t xml:space="preserve">market value) of the </w:t>
      </w:r>
      <w:r w:rsidR="00583E1A" w:rsidRPr="00583E1A">
        <w:rPr>
          <w:position w:val="6"/>
          <w:sz w:val="16"/>
        </w:rPr>
        <w:t>*</w:t>
      </w:r>
      <w:r w:rsidRPr="00583E1A">
        <w:t>CGT assets of:</w:t>
      </w:r>
    </w:p>
    <w:p w:rsidR="00ED38CE" w:rsidRPr="00583E1A" w:rsidRDefault="00ED38CE" w:rsidP="00ED38CE">
      <w:pPr>
        <w:pStyle w:val="paragraph"/>
      </w:pPr>
      <w:r w:rsidRPr="00583E1A">
        <w:tab/>
        <w:t>(a)</w:t>
      </w:r>
      <w:r w:rsidRPr="00583E1A">
        <w:tab/>
        <w:t>the first trust; or</w:t>
      </w:r>
    </w:p>
    <w:p w:rsidR="00ED38CE" w:rsidRPr="00583E1A" w:rsidRDefault="00ED38CE" w:rsidP="00ED38CE">
      <w:pPr>
        <w:pStyle w:val="paragraph"/>
      </w:pPr>
      <w:r w:rsidRPr="00583E1A">
        <w:tab/>
        <w:t>(b)</w:t>
      </w:r>
      <w:r w:rsidRPr="00583E1A">
        <w:tab/>
        <w:t xml:space="preserve">a </w:t>
      </w:r>
      <w:r w:rsidR="00583E1A" w:rsidRPr="00583E1A">
        <w:rPr>
          <w:position w:val="6"/>
          <w:sz w:val="16"/>
        </w:rPr>
        <w:t>*</w:t>
      </w:r>
      <w:r w:rsidRPr="00583E1A">
        <w:t xml:space="preserve">fixed trust in which the first trust has an interest (directly, or indirectly through </w:t>
      </w:r>
      <w:r w:rsidR="003178E6" w:rsidRPr="008A6DF7">
        <w:t xml:space="preserve">a </w:t>
      </w:r>
      <w:r w:rsidR="003178E6" w:rsidRPr="008A6DF7">
        <w:rPr>
          <w:position w:val="6"/>
          <w:sz w:val="16"/>
        </w:rPr>
        <w:t>*</w:t>
      </w:r>
      <w:r w:rsidR="003178E6" w:rsidRPr="008A6DF7">
        <w:t>chain of trusts, each trust in which is a fixed trust</w:t>
      </w:r>
      <w:r w:rsidRPr="00583E1A">
        <w:t>);</w:t>
      </w:r>
    </w:p>
    <w:p w:rsidR="00ED38CE" w:rsidRPr="00583E1A" w:rsidRDefault="00ED38CE" w:rsidP="00ED38CE">
      <w:pPr>
        <w:pStyle w:val="subsection2"/>
      </w:pPr>
      <w:r w:rsidRPr="00583E1A">
        <w:t xml:space="preserve">must not be </w:t>
      </w:r>
      <w:r w:rsidR="00583E1A" w:rsidRPr="00583E1A">
        <w:rPr>
          <w:position w:val="6"/>
          <w:sz w:val="16"/>
        </w:rPr>
        <w:t>*</w:t>
      </w:r>
      <w:r w:rsidRPr="00583E1A">
        <w:t xml:space="preserve">taxable Australian property at the time of the relevant </w:t>
      </w:r>
      <w:r w:rsidR="00583E1A" w:rsidRPr="00583E1A">
        <w:rPr>
          <w:position w:val="6"/>
          <w:sz w:val="16"/>
        </w:rPr>
        <w:t>*</w:t>
      </w:r>
      <w:r w:rsidRPr="00583E1A">
        <w:t>CGT event.</w:t>
      </w:r>
    </w:p>
    <w:p w:rsidR="00ED38CE" w:rsidRPr="00583E1A" w:rsidRDefault="00ED38CE" w:rsidP="00ED38CE">
      <w:pPr>
        <w:pStyle w:val="subsection"/>
      </w:pPr>
      <w:r w:rsidRPr="00583E1A">
        <w:tab/>
        <w:t>(7)</w:t>
      </w:r>
      <w:r w:rsidRPr="00583E1A">
        <w:tab/>
        <w:t xml:space="preserve">If the condition in </w:t>
      </w:r>
      <w:r w:rsidR="00583E1A">
        <w:t>subsection (</w:t>
      </w:r>
      <w:r w:rsidRPr="00583E1A">
        <w:t xml:space="preserve">6) is not satisfied for the first trust (but is satisfied for a trust covered by </w:t>
      </w:r>
      <w:r w:rsidR="00583E1A">
        <w:t>paragraph (</w:t>
      </w:r>
      <w:r w:rsidRPr="00583E1A">
        <w:t xml:space="preserve">6)(b)), the condition in </w:t>
      </w:r>
      <w:r w:rsidR="00583E1A">
        <w:t>subsection (</w:t>
      </w:r>
      <w:r w:rsidRPr="00583E1A">
        <w:t xml:space="preserve">8) must be satisfied for the first trust, and for each other trust in the </w:t>
      </w:r>
      <w:r w:rsidR="00583E1A" w:rsidRPr="00583E1A">
        <w:rPr>
          <w:position w:val="6"/>
          <w:sz w:val="16"/>
        </w:rPr>
        <w:t>*</w:t>
      </w:r>
      <w:r w:rsidRPr="00583E1A">
        <w:t xml:space="preserve">chain of trusts between the first trust and the trust that satisfied the condition in </w:t>
      </w:r>
      <w:r w:rsidR="00583E1A">
        <w:t>subsection (</w:t>
      </w:r>
      <w:r w:rsidRPr="00583E1A">
        <w:t>6).</w:t>
      </w:r>
    </w:p>
    <w:p w:rsidR="00ED38CE" w:rsidRPr="00583E1A" w:rsidRDefault="00ED38CE" w:rsidP="00ED38CE">
      <w:pPr>
        <w:pStyle w:val="subsection"/>
      </w:pPr>
      <w:r w:rsidRPr="00583E1A">
        <w:lastRenderedPageBreak/>
        <w:tab/>
        <w:t>(8)</w:t>
      </w:r>
      <w:r w:rsidRPr="00583E1A">
        <w:tab/>
        <w:t xml:space="preserve">The condition is that, assuming any interest in a </w:t>
      </w:r>
      <w:r w:rsidR="00583E1A" w:rsidRPr="00583E1A">
        <w:rPr>
          <w:position w:val="6"/>
          <w:sz w:val="16"/>
        </w:rPr>
        <w:t>*</w:t>
      </w:r>
      <w:r w:rsidRPr="00583E1A">
        <w:t xml:space="preserve">fixed trust in that </w:t>
      </w:r>
      <w:r w:rsidR="00583E1A" w:rsidRPr="00583E1A">
        <w:rPr>
          <w:position w:val="6"/>
          <w:sz w:val="16"/>
        </w:rPr>
        <w:t>*</w:t>
      </w:r>
      <w:r w:rsidRPr="00583E1A">
        <w:t xml:space="preserve">chain not to be </w:t>
      </w:r>
      <w:r w:rsidR="00583E1A" w:rsidRPr="00583E1A">
        <w:rPr>
          <w:position w:val="6"/>
          <w:sz w:val="16"/>
        </w:rPr>
        <w:t>*</w:t>
      </w:r>
      <w:r w:rsidRPr="00583E1A">
        <w:t xml:space="preserve">taxable Australian property, at least 90% (by </w:t>
      </w:r>
      <w:r w:rsidR="00583E1A" w:rsidRPr="00583E1A">
        <w:rPr>
          <w:position w:val="6"/>
          <w:sz w:val="16"/>
        </w:rPr>
        <w:t>*</w:t>
      </w:r>
      <w:r w:rsidRPr="00583E1A">
        <w:t xml:space="preserve">market value) of the </w:t>
      </w:r>
      <w:r w:rsidR="00583E1A" w:rsidRPr="00583E1A">
        <w:rPr>
          <w:position w:val="6"/>
          <w:sz w:val="16"/>
        </w:rPr>
        <w:t>*</w:t>
      </w:r>
      <w:r w:rsidRPr="00583E1A">
        <w:t>CGT assets of the trust must not be taxable Australian property.</w:t>
      </w:r>
    </w:p>
    <w:p w:rsidR="00ED38CE" w:rsidRPr="00583E1A" w:rsidRDefault="00ED38CE" w:rsidP="00ED38CE">
      <w:pPr>
        <w:pStyle w:val="ActHead4"/>
      </w:pPr>
      <w:bookmarkStart w:id="425" w:name="_Toc338939499"/>
      <w:r w:rsidRPr="00583E1A">
        <w:rPr>
          <w:rStyle w:val="CharSubdNo"/>
        </w:rPr>
        <w:t>Subdivision</w:t>
      </w:r>
      <w:r w:rsidR="00583E1A">
        <w:rPr>
          <w:rStyle w:val="CharSubdNo"/>
        </w:rPr>
        <w:t> </w:t>
      </w:r>
      <w:r w:rsidRPr="00583E1A">
        <w:rPr>
          <w:rStyle w:val="CharSubdNo"/>
        </w:rPr>
        <w:t>855</w:t>
      </w:r>
      <w:r w:rsidR="00583E1A">
        <w:rPr>
          <w:rStyle w:val="CharSubdNo"/>
        </w:rPr>
        <w:noBreakHyphen/>
      </w:r>
      <w:r w:rsidRPr="00583E1A">
        <w:rPr>
          <w:rStyle w:val="CharSubdNo"/>
        </w:rPr>
        <w:t>B</w:t>
      </w:r>
      <w:r w:rsidRPr="00583E1A">
        <w:t>—</w:t>
      </w:r>
      <w:r w:rsidRPr="00583E1A">
        <w:rPr>
          <w:rStyle w:val="CharSubdText"/>
        </w:rPr>
        <w:t>Becoming an Australian resident</w:t>
      </w:r>
      <w:bookmarkEnd w:id="425"/>
    </w:p>
    <w:p w:rsidR="00ED38CE" w:rsidRPr="00583E1A" w:rsidRDefault="00ED38CE" w:rsidP="00ED38CE">
      <w:pPr>
        <w:pStyle w:val="TofSectsHeading"/>
        <w:numPr>
          <w:ilvl w:val="12"/>
          <w:numId w:val="0"/>
        </w:numPr>
      </w:pPr>
      <w:r w:rsidRPr="00583E1A">
        <w:t>Table of sections</w:t>
      </w:r>
    </w:p>
    <w:p w:rsidR="00ED38CE" w:rsidRPr="00583E1A" w:rsidRDefault="00ED38CE" w:rsidP="00ED38CE">
      <w:pPr>
        <w:pStyle w:val="TofSectsSection"/>
      </w:pPr>
      <w:r w:rsidRPr="00583E1A">
        <w:t>855</w:t>
      </w:r>
      <w:r w:rsidR="00583E1A">
        <w:noBreakHyphen/>
      </w:r>
      <w:r w:rsidRPr="00583E1A">
        <w:t>45</w:t>
      </w:r>
      <w:r w:rsidRPr="00583E1A">
        <w:tab/>
        <w:t>Individual or company becomes an Australian resident</w:t>
      </w:r>
    </w:p>
    <w:p w:rsidR="00ED38CE" w:rsidRPr="00583E1A" w:rsidRDefault="00ED38CE" w:rsidP="00ED38CE">
      <w:pPr>
        <w:pStyle w:val="TofSectsSection"/>
      </w:pPr>
      <w:r w:rsidRPr="00583E1A">
        <w:t>855</w:t>
      </w:r>
      <w:r w:rsidR="00583E1A">
        <w:noBreakHyphen/>
      </w:r>
      <w:r w:rsidRPr="00583E1A">
        <w:t>50</w:t>
      </w:r>
      <w:r w:rsidRPr="00583E1A">
        <w:tab/>
        <w:t>Trust becomes a resident trust</w:t>
      </w:r>
    </w:p>
    <w:p w:rsidR="00ED38CE" w:rsidRPr="00583E1A" w:rsidRDefault="00ED38CE" w:rsidP="00ED38CE">
      <w:pPr>
        <w:pStyle w:val="TofSectsSection"/>
      </w:pPr>
      <w:r w:rsidRPr="00583E1A">
        <w:t>855</w:t>
      </w:r>
      <w:r w:rsidR="00583E1A">
        <w:noBreakHyphen/>
      </w:r>
      <w:r w:rsidRPr="00583E1A">
        <w:t>55</w:t>
      </w:r>
      <w:r w:rsidRPr="00583E1A">
        <w:tab/>
        <w:t>CFC becomes an Australian resident</w:t>
      </w:r>
    </w:p>
    <w:p w:rsidR="00ED38CE" w:rsidRPr="00583E1A" w:rsidRDefault="00ED38CE" w:rsidP="00ED38CE">
      <w:pPr>
        <w:pStyle w:val="ActHead5"/>
      </w:pPr>
      <w:bookmarkStart w:id="426" w:name="_Toc338939500"/>
      <w:r w:rsidRPr="00583E1A">
        <w:rPr>
          <w:rStyle w:val="CharSectno"/>
        </w:rPr>
        <w:t>855</w:t>
      </w:r>
      <w:r w:rsidR="00583E1A">
        <w:rPr>
          <w:rStyle w:val="CharSectno"/>
        </w:rPr>
        <w:noBreakHyphen/>
      </w:r>
      <w:r w:rsidRPr="00583E1A">
        <w:rPr>
          <w:rStyle w:val="CharSectno"/>
        </w:rPr>
        <w:t>45</w:t>
      </w:r>
      <w:r w:rsidRPr="00583E1A">
        <w:t xml:space="preserve">  Individual or company becomes an Australian resident</w:t>
      </w:r>
      <w:bookmarkEnd w:id="426"/>
    </w:p>
    <w:p w:rsidR="00ED38CE" w:rsidRPr="00583E1A" w:rsidRDefault="00ED38CE" w:rsidP="00ED38CE">
      <w:pPr>
        <w:pStyle w:val="subsection"/>
      </w:pPr>
      <w:r w:rsidRPr="00583E1A">
        <w:tab/>
        <w:t>(1)</w:t>
      </w:r>
      <w:r w:rsidRPr="00583E1A">
        <w:tab/>
        <w:t xml:space="preserve">If you become an Australian resident, there are rules relevant to each </w:t>
      </w:r>
      <w:r w:rsidR="00583E1A" w:rsidRPr="00583E1A">
        <w:rPr>
          <w:position w:val="6"/>
          <w:sz w:val="16"/>
        </w:rPr>
        <w:t>*</w:t>
      </w:r>
      <w:r w:rsidRPr="00583E1A">
        <w:t>CGT asset that you owned just before you became an Australian resident, except an asset:</w:t>
      </w:r>
    </w:p>
    <w:p w:rsidR="00ED38CE" w:rsidRPr="00583E1A" w:rsidRDefault="00ED38CE" w:rsidP="00ED38CE">
      <w:pPr>
        <w:pStyle w:val="paragraph"/>
        <w:numPr>
          <w:ilvl w:val="12"/>
          <w:numId w:val="0"/>
        </w:numPr>
        <w:ind w:left="1644" w:hanging="1644"/>
      </w:pPr>
      <w:r w:rsidRPr="00583E1A">
        <w:tab/>
        <w:t>(a)</w:t>
      </w:r>
      <w:r w:rsidRPr="00583E1A">
        <w:tab/>
        <w:t xml:space="preserve">that is </w:t>
      </w:r>
      <w:r w:rsidR="00583E1A" w:rsidRPr="00583E1A">
        <w:rPr>
          <w:position w:val="6"/>
          <w:sz w:val="16"/>
        </w:rPr>
        <w:t>*</w:t>
      </w:r>
      <w:r w:rsidRPr="00583E1A">
        <w:t>taxable Australian property; or</w:t>
      </w:r>
    </w:p>
    <w:p w:rsidR="00ED38CE" w:rsidRPr="00583E1A" w:rsidRDefault="00ED38CE" w:rsidP="00ED38CE">
      <w:pPr>
        <w:pStyle w:val="paragraph"/>
        <w:numPr>
          <w:ilvl w:val="12"/>
          <w:numId w:val="0"/>
        </w:numPr>
        <w:ind w:left="1644" w:hanging="1644"/>
      </w:pPr>
      <w:r w:rsidRPr="00583E1A">
        <w:tab/>
        <w:t>(b)</w:t>
      </w:r>
      <w:r w:rsidRPr="00583E1A">
        <w:tab/>
        <w:t xml:space="preserve">that you </w:t>
      </w:r>
      <w:r w:rsidR="00583E1A" w:rsidRPr="00583E1A">
        <w:rPr>
          <w:position w:val="6"/>
          <w:sz w:val="16"/>
        </w:rPr>
        <w:t>*</w:t>
      </w:r>
      <w:r w:rsidRPr="00583E1A">
        <w:t>acquired before 20</w:t>
      </w:r>
      <w:r w:rsidR="00583E1A">
        <w:t> </w:t>
      </w:r>
      <w:r w:rsidRPr="00583E1A">
        <w:t>September 1985.</w:t>
      </w:r>
    </w:p>
    <w:p w:rsidR="00ED38CE" w:rsidRPr="00583E1A" w:rsidRDefault="00ED38CE" w:rsidP="00ED38CE">
      <w:pPr>
        <w:pStyle w:val="notetext"/>
      </w:pPr>
      <w:r w:rsidRPr="00583E1A">
        <w:t>Note:</w:t>
      </w:r>
      <w:r w:rsidRPr="00583E1A">
        <w:tab/>
        <w:t>This section has effect subject to section</w:t>
      </w:r>
      <w:r w:rsidR="00583E1A">
        <w:t> </w:t>
      </w:r>
      <w:r w:rsidRPr="00583E1A">
        <w:t>768</w:t>
      </w:r>
      <w:r w:rsidR="00583E1A">
        <w:noBreakHyphen/>
      </w:r>
      <w:r w:rsidRPr="00583E1A">
        <w:t>950 (individuals who become Australian residents and are temporary residents immediately after they become Australian residents).</w:t>
      </w:r>
    </w:p>
    <w:p w:rsidR="00ED38CE" w:rsidRPr="00583E1A" w:rsidRDefault="00ED38CE" w:rsidP="00ED38CE">
      <w:pPr>
        <w:pStyle w:val="subsection"/>
      </w:pPr>
      <w:r w:rsidRPr="00583E1A">
        <w:tab/>
        <w:t>(2)</w:t>
      </w:r>
      <w:r w:rsidRPr="00583E1A">
        <w:tab/>
        <w:t xml:space="preserve">The first element of the </w:t>
      </w:r>
      <w:r w:rsidR="00583E1A" w:rsidRPr="00583E1A">
        <w:rPr>
          <w:position w:val="6"/>
          <w:sz w:val="16"/>
        </w:rPr>
        <w:t>*</w:t>
      </w:r>
      <w:r w:rsidRPr="00583E1A">
        <w:t xml:space="preserve">cost base and </w:t>
      </w:r>
      <w:r w:rsidR="00583E1A" w:rsidRPr="00583E1A">
        <w:rPr>
          <w:position w:val="6"/>
          <w:sz w:val="16"/>
        </w:rPr>
        <w:t>*</w:t>
      </w:r>
      <w:r w:rsidRPr="00583E1A">
        <w:t xml:space="preserve">reduced cost base of the asset (at the time you become an Australian resident) is its </w:t>
      </w:r>
      <w:r w:rsidR="00583E1A" w:rsidRPr="00583E1A">
        <w:rPr>
          <w:position w:val="6"/>
          <w:sz w:val="16"/>
        </w:rPr>
        <w:t>*</w:t>
      </w:r>
      <w:r w:rsidRPr="00583E1A">
        <w:t>market value at that time.</w:t>
      </w:r>
    </w:p>
    <w:p w:rsidR="00ED38CE" w:rsidRPr="00583E1A" w:rsidRDefault="00ED38CE" w:rsidP="00ED38CE">
      <w:pPr>
        <w:pStyle w:val="subsection"/>
      </w:pPr>
      <w:r w:rsidRPr="00583E1A">
        <w:tab/>
        <w:t>(3)</w:t>
      </w:r>
      <w:r w:rsidRPr="00583E1A">
        <w:tab/>
        <w:t>Also, Parts</w:t>
      </w:r>
      <w:r w:rsidR="00583E1A">
        <w:t> </w:t>
      </w:r>
      <w:r w:rsidRPr="00583E1A">
        <w:t>3</w:t>
      </w:r>
      <w:r w:rsidR="00583E1A">
        <w:noBreakHyphen/>
      </w:r>
      <w:r w:rsidRPr="00583E1A">
        <w:t>1 and 3</w:t>
      </w:r>
      <w:r w:rsidR="00583E1A">
        <w:noBreakHyphen/>
      </w:r>
      <w:r w:rsidRPr="00583E1A">
        <w:t xml:space="preserve">3 apply to the asset as if you had </w:t>
      </w:r>
      <w:r w:rsidR="00583E1A" w:rsidRPr="00583E1A">
        <w:rPr>
          <w:position w:val="6"/>
          <w:sz w:val="16"/>
        </w:rPr>
        <w:t>*</w:t>
      </w:r>
      <w:r w:rsidRPr="00583E1A">
        <w:t>acquired it at the time you became an Australian resident.</w:t>
      </w:r>
    </w:p>
    <w:p w:rsidR="004F2311" w:rsidRPr="00303F70" w:rsidRDefault="004F2311" w:rsidP="004F2311">
      <w:pPr>
        <w:pStyle w:val="subsection"/>
      </w:pPr>
      <w:r w:rsidRPr="00303F70">
        <w:tab/>
        <w:t>(4)</w:t>
      </w:r>
      <w:r w:rsidRPr="00303F70">
        <w:tab/>
        <w:t xml:space="preserve">This section does not apply to an </w:t>
      </w:r>
      <w:r w:rsidRPr="00303F70">
        <w:rPr>
          <w:position w:val="6"/>
          <w:sz w:val="16"/>
        </w:rPr>
        <w:t>*</w:t>
      </w:r>
      <w:r w:rsidRPr="00303F70">
        <w:t>ESS interest if:</w:t>
      </w:r>
    </w:p>
    <w:p w:rsidR="004F2311" w:rsidRPr="00303F70" w:rsidRDefault="004F2311" w:rsidP="004F2311">
      <w:pPr>
        <w:pStyle w:val="paragraph"/>
      </w:pPr>
      <w:r w:rsidRPr="00303F70">
        <w:tab/>
        <w:t>(a)</w:t>
      </w:r>
      <w:r w:rsidRPr="00303F70">
        <w:tab/>
        <w:t>Subdivision 83</w:t>
      </w:r>
      <w:r w:rsidRPr="00303F70">
        <w:noBreakHyphen/>
        <w:t>C (about employee share schemes) applies to the interest; and</w:t>
      </w:r>
    </w:p>
    <w:p w:rsidR="004F2311" w:rsidRPr="00303F70" w:rsidRDefault="004F2311" w:rsidP="004F2311">
      <w:pPr>
        <w:pStyle w:val="paragraph"/>
      </w:pPr>
      <w:r w:rsidRPr="00303F70">
        <w:tab/>
        <w:t>(b)</w:t>
      </w:r>
      <w:r w:rsidRPr="00303F70">
        <w:tab/>
        <w:t xml:space="preserve">the </w:t>
      </w:r>
      <w:r w:rsidRPr="00303F70">
        <w:rPr>
          <w:position w:val="6"/>
          <w:sz w:val="16"/>
        </w:rPr>
        <w:t>*</w:t>
      </w:r>
      <w:r w:rsidRPr="00303F70">
        <w:t>ESS deferred taxing point for the interest has not yet occurred.</w:t>
      </w:r>
    </w:p>
    <w:p w:rsidR="00ED38CE" w:rsidRPr="00583E1A" w:rsidRDefault="00ED38CE" w:rsidP="00ED38CE">
      <w:pPr>
        <w:pStyle w:val="ActHead5"/>
      </w:pPr>
      <w:bookmarkStart w:id="427" w:name="_Toc338939501"/>
      <w:r w:rsidRPr="00583E1A">
        <w:rPr>
          <w:rStyle w:val="CharSectno"/>
        </w:rPr>
        <w:lastRenderedPageBreak/>
        <w:t>855</w:t>
      </w:r>
      <w:r w:rsidR="00583E1A">
        <w:rPr>
          <w:rStyle w:val="CharSectno"/>
        </w:rPr>
        <w:noBreakHyphen/>
      </w:r>
      <w:r w:rsidRPr="00583E1A">
        <w:rPr>
          <w:rStyle w:val="CharSectno"/>
        </w:rPr>
        <w:t>50</w:t>
      </w:r>
      <w:r w:rsidRPr="00583E1A">
        <w:t xml:space="preserve">  Trust becomes a resident trust</w:t>
      </w:r>
      <w:bookmarkEnd w:id="427"/>
    </w:p>
    <w:p w:rsidR="00ED38CE" w:rsidRPr="00583E1A" w:rsidRDefault="00ED38CE" w:rsidP="00ED38CE">
      <w:pPr>
        <w:pStyle w:val="subsection"/>
      </w:pPr>
      <w:r w:rsidRPr="00583E1A">
        <w:tab/>
        <w:t>(1)</w:t>
      </w:r>
      <w:r w:rsidRPr="00583E1A">
        <w:tab/>
        <w:t xml:space="preserve">If a trust becomes a </w:t>
      </w:r>
      <w:r w:rsidR="00583E1A" w:rsidRPr="00583E1A">
        <w:rPr>
          <w:position w:val="6"/>
          <w:sz w:val="16"/>
        </w:rPr>
        <w:t>*</w:t>
      </w:r>
      <w:r w:rsidRPr="00583E1A">
        <w:t xml:space="preserve">resident trust for CGT purposes, there are rules relevant to each </w:t>
      </w:r>
      <w:r w:rsidR="00583E1A" w:rsidRPr="00583E1A">
        <w:rPr>
          <w:position w:val="6"/>
          <w:sz w:val="16"/>
        </w:rPr>
        <w:t>*</w:t>
      </w:r>
      <w:r w:rsidRPr="00583E1A">
        <w:t>CGT asset that the trustee owned just before the trust became a resident trust for CGT purposes, except one:</w:t>
      </w:r>
    </w:p>
    <w:p w:rsidR="00ED38CE" w:rsidRPr="00583E1A" w:rsidRDefault="00ED38CE" w:rsidP="00ED38CE">
      <w:pPr>
        <w:pStyle w:val="paragraph"/>
        <w:numPr>
          <w:ilvl w:val="12"/>
          <w:numId w:val="0"/>
        </w:numPr>
        <w:ind w:left="1644" w:hanging="1644"/>
      </w:pPr>
      <w:r w:rsidRPr="00583E1A">
        <w:tab/>
        <w:t>(a)</w:t>
      </w:r>
      <w:r w:rsidRPr="00583E1A">
        <w:tab/>
        <w:t xml:space="preserve">that is </w:t>
      </w:r>
      <w:r w:rsidR="00583E1A" w:rsidRPr="00583E1A">
        <w:rPr>
          <w:position w:val="6"/>
          <w:sz w:val="16"/>
        </w:rPr>
        <w:t>*</w:t>
      </w:r>
      <w:r w:rsidRPr="00583E1A">
        <w:t>taxable Australian property; or</w:t>
      </w:r>
    </w:p>
    <w:p w:rsidR="00ED38CE" w:rsidRPr="00583E1A" w:rsidRDefault="00ED38CE" w:rsidP="00ED38CE">
      <w:pPr>
        <w:pStyle w:val="paragraph"/>
        <w:numPr>
          <w:ilvl w:val="12"/>
          <w:numId w:val="0"/>
        </w:numPr>
        <w:ind w:left="1644" w:hanging="1644"/>
      </w:pPr>
      <w:r w:rsidRPr="00583E1A">
        <w:tab/>
        <w:t>(b)</w:t>
      </w:r>
      <w:r w:rsidRPr="00583E1A">
        <w:tab/>
        <w:t xml:space="preserve">that the trustee </w:t>
      </w:r>
      <w:r w:rsidR="00583E1A" w:rsidRPr="00583E1A">
        <w:rPr>
          <w:position w:val="6"/>
          <w:sz w:val="16"/>
        </w:rPr>
        <w:t>*</w:t>
      </w:r>
      <w:r w:rsidRPr="00583E1A">
        <w:t>acquired before 20</w:t>
      </w:r>
      <w:r w:rsidR="00583E1A">
        <w:t> </w:t>
      </w:r>
      <w:r w:rsidRPr="00583E1A">
        <w:t>September 1985.</w:t>
      </w:r>
    </w:p>
    <w:p w:rsidR="00ED38CE" w:rsidRPr="00583E1A" w:rsidRDefault="00ED38CE" w:rsidP="00ED38CE">
      <w:pPr>
        <w:pStyle w:val="subsection"/>
      </w:pPr>
      <w:r w:rsidRPr="00583E1A">
        <w:tab/>
        <w:t>(2)</w:t>
      </w:r>
      <w:r w:rsidRPr="00583E1A">
        <w:tab/>
        <w:t xml:space="preserve">The first element of the </w:t>
      </w:r>
      <w:r w:rsidR="00583E1A" w:rsidRPr="00583E1A">
        <w:rPr>
          <w:position w:val="6"/>
          <w:sz w:val="16"/>
        </w:rPr>
        <w:t>*</w:t>
      </w:r>
      <w:r w:rsidRPr="00583E1A">
        <w:t xml:space="preserve">cost base and </w:t>
      </w:r>
      <w:r w:rsidR="00583E1A" w:rsidRPr="00583E1A">
        <w:rPr>
          <w:position w:val="6"/>
          <w:sz w:val="16"/>
        </w:rPr>
        <w:t>*</w:t>
      </w:r>
      <w:r w:rsidRPr="00583E1A">
        <w:t xml:space="preserve">reduced cost base of the asset (at the time the trust becomes a </w:t>
      </w:r>
      <w:r w:rsidR="00583E1A" w:rsidRPr="00583E1A">
        <w:rPr>
          <w:position w:val="6"/>
          <w:sz w:val="16"/>
        </w:rPr>
        <w:t>*</w:t>
      </w:r>
      <w:r w:rsidRPr="00583E1A">
        <w:t xml:space="preserve">resident trust for CGT purposes) is its </w:t>
      </w:r>
      <w:r w:rsidR="00583E1A" w:rsidRPr="00583E1A">
        <w:rPr>
          <w:position w:val="6"/>
          <w:sz w:val="16"/>
        </w:rPr>
        <w:t>*</w:t>
      </w:r>
      <w:r w:rsidRPr="00583E1A">
        <w:t>market value at that time.</w:t>
      </w:r>
    </w:p>
    <w:p w:rsidR="00ED38CE" w:rsidRPr="00583E1A" w:rsidRDefault="00ED38CE" w:rsidP="00ED38CE">
      <w:pPr>
        <w:pStyle w:val="subsection"/>
      </w:pPr>
      <w:r w:rsidRPr="00583E1A">
        <w:tab/>
        <w:t>(3)</w:t>
      </w:r>
      <w:r w:rsidRPr="00583E1A">
        <w:tab/>
        <w:t>Also, Parts</w:t>
      </w:r>
      <w:r w:rsidR="00583E1A">
        <w:t> </w:t>
      </w:r>
      <w:r w:rsidRPr="00583E1A">
        <w:t>3</w:t>
      </w:r>
      <w:r w:rsidR="00583E1A">
        <w:noBreakHyphen/>
      </w:r>
      <w:r w:rsidRPr="00583E1A">
        <w:t>1 and 3</w:t>
      </w:r>
      <w:r w:rsidR="00583E1A">
        <w:noBreakHyphen/>
      </w:r>
      <w:r w:rsidRPr="00583E1A">
        <w:t xml:space="preserve">3 apply to the asset as if the trustee had </w:t>
      </w:r>
      <w:r w:rsidR="00583E1A" w:rsidRPr="00583E1A">
        <w:rPr>
          <w:position w:val="6"/>
          <w:sz w:val="16"/>
        </w:rPr>
        <w:t>*</w:t>
      </w:r>
      <w:r w:rsidRPr="00583E1A">
        <w:t xml:space="preserve">acquired it at the time the trust became a </w:t>
      </w:r>
      <w:r w:rsidR="00583E1A" w:rsidRPr="00583E1A">
        <w:rPr>
          <w:position w:val="6"/>
          <w:sz w:val="16"/>
        </w:rPr>
        <w:t>*</w:t>
      </w:r>
      <w:r w:rsidRPr="00583E1A">
        <w:t>resident trust for CGT purposes.</w:t>
      </w:r>
    </w:p>
    <w:p w:rsidR="00ED38CE" w:rsidRPr="00583E1A" w:rsidRDefault="00ED38CE" w:rsidP="00ED38CE">
      <w:pPr>
        <w:pStyle w:val="SubsectionHead"/>
        <w:numPr>
          <w:ilvl w:val="12"/>
          <w:numId w:val="0"/>
        </w:numPr>
        <w:ind w:left="1134"/>
      </w:pPr>
      <w:r w:rsidRPr="00583E1A">
        <w:t>Exception</w:t>
      </w:r>
    </w:p>
    <w:p w:rsidR="00ED38CE" w:rsidRPr="00583E1A" w:rsidRDefault="00ED38CE" w:rsidP="00ED38CE">
      <w:pPr>
        <w:pStyle w:val="subsection"/>
      </w:pPr>
      <w:r w:rsidRPr="00583E1A">
        <w:tab/>
        <w:t>(4)</w:t>
      </w:r>
      <w:r w:rsidRPr="00583E1A">
        <w:tab/>
        <w:t xml:space="preserve">This section does not apply to a trust if, just before it became a </w:t>
      </w:r>
      <w:r w:rsidR="00583E1A" w:rsidRPr="00583E1A">
        <w:rPr>
          <w:position w:val="6"/>
          <w:sz w:val="16"/>
        </w:rPr>
        <w:t>*</w:t>
      </w:r>
      <w:r w:rsidRPr="00583E1A">
        <w:t xml:space="preserve">resident trust for CGT purposes, it was a </w:t>
      </w:r>
      <w:r w:rsidR="00583E1A" w:rsidRPr="00583E1A">
        <w:rPr>
          <w:position w:val="6"/>
          <w:sz w:val="16"/>
        </w:rPr>
        <w:t>*</w:t>
      </w:r>
      <w:r w:rsidRPr="00583E1A">
        <w:t xml:space="preserve">CFT because of paragraph 342(a) of the </w:t>
      </w:r>
      <w:r w:rsidRPr="00583E1A">
        <w:rPr>
          <w:i/>
        </w:rPr>
        <w:t>Income Tax Assessment Act 1936</w:t>
      </w:r>
      <w:r w:rsidRPr="00583E1A">
        <w:t>.</w:t>
      </w:r>
    </w:p>
    <w:p w:rsidR="00ED38CE" w:rsidRPr="00583E1A" w:rsidRDefault="00ED38CE" w:rsidP="00ED38CE">
      <w:pPr>
        <w:pStyle w:val="notetext"/>
        <w:numPr>
          <w:ilvl w:val="12"/>
          <w:numId w:val="0"/>
        </w:numPr>
        <w:ind w:left="1985" w:hanging="851"/>
      </w:pPr>
      <w:r w:rsidRPr="00583E1A">
        <w:t>Note:</w:t>
      </w:r>
      <w:r w:rsidRPr="00583E1A">
        <w:tab/>
        <w:t>This section is disregarded in calculating the attributable income of a trust: see section</w:t>
      </w:r>
      <w:r w:rsidR="00583E1A">
        <w:t> </w:t>
      </w:r>
      <w:r w:rsidRPr="00583E1A">
        <w:t xml:space="preserve">102AAZB of the </w:t>
      </w:r>
      <w:r w:rsidRPr="00583E1A">
        <w:rPr>
          <w:i/>
        </w:rPr>
        <w:t>Income Tax Assessment Act 1936</w:t>
      </w:r>
      <w:r w:rsidRPr="00583E1A">
        <w:t>.</w:t>
      </w:r>
    </w:p>
    <w:p w:rsidR="00ED38CE" w:rsidRPr="00583E1A" w:rsidRDefault="00ED38CE" w:rsidP="00ED38CE">
      <w:pPr>
        <w:pStyle w:val="ActHead5"/>
      </w:pPr>
      <w:bookmarkStart w:id="428" w:name="_Toc338939502"/>
      <w:r w:rsidRPr="00583E1A">
        <w:rPr>
          <w:rStyle w:val="CharSectno"/>
        </w:rPr>
        <w:t>855</w:t>
      </w:r>
      <w:r w:rsidR="00583E1A">
        <w:rPr>
          <w:rStyle w:val="CharSectno"/>
        </w:rPr>
        <w:noBreakHyphen/>
      </w:r>
      <w:r w:rsidRPr="00583E1A">
        <w:rPr>
          <w:rStyle w:val="CharSectno"/>
        </w:rPr>
        <w:t>55</w:t>
      </w:r>
      <w:r w:rsidRPr="00583E1A">
        <w:t xml:space="preserve">  CFC becomes an Australian resident</w:t>
      </w:r>
      <w:bookmarkEnd w:id="428"/>
    </w:p>
    <w:p w:rsidR="00ED38CE" w:rsidRPr="00583E1A" w:rsidRDefault="00ED38CE" w:rsidP="00ED38CE">
      <w:pPr>
        <w:pStyle w:val="subsection"/>
      </w:pPr>
      <w:r w:rsidRPr="00583E1A">
        <w:tab/>
        <w:t>(1)</w:t>
      </w:r>
      <w:r w:rsidRPr="00583E1A">
        <w:tab/>
        <w:t xml:space="preserve">This section applies to a </w:t>
      </w:r>
      <w:r w:rsidR="00583E1A" w:rsidRPr="00583E1A">
        <w:rPr>
          <w:position w:val="6"/>
          <w:sz w:val="16"/>
        </w:rPr>
        <w:t>*</w:t>
      </w:r>
      <w:r w:rsidRPr="00583E1A">
        <w:t xml:space="preserve">CFC that stops at a time (the </w:t>
      </w:r>
      <w:r w:rsidRPr="00583E1A">
        <w:rPr>
          <w:b/>
          <w:i/>
        </w:rPr>
        <w:t>residence change time</w:t>
      </w:r>
      <w:r w:rsidRPr="00583E1A">
        <w:t xml:space="preserve">) being a resident of a </w:t>
      </w:r>
      <w:r w:rsidR="00583E1A" w:rsidRPr="00583E1A">
        <w:rPr>
          <w:position w:val="6"/>
          <w:sz w:val="16"/>
        </w:rPr>
        <w:t>*</w:t>
      </w:r>
      <w:r w:rsidRPr="00583E1A">
        <w:t xml:space="preserve">listed country or an </w:t>
      </w:r>
      <w:r w:rsidR="00583E1A" w:rsidRPr="00583E1A">
        <w:rPr>
          <w:position w:val="6"/>
          <w:sz w:val="16"/>
        </w:rPr>
        <w:t>*</w:t>
      </w:r>
      <w:r w:rsidRPr="00583E1A">
        <w:t>unlisted country and becomes an Australian resident.</w:t>
      </w:r>
    </w:p>
    <w:p w:rsidR="00ED38CE" w:rsidRPr="00583E1A" w:rsidRDefault="00ED38CE" w:rsidP="00ED38CE">
      <w:pPr>
        <w:pStyle w:val="subsection"/>
      </w:pPr>
      <w:r w:rsidRPr="00583E1A">
        <w:tab/>
        <w:t>(2)</w:t>
      </w:r>
      <w:r w:rsidRPr="00583E1A">
        <w:tab/>
        <w:t>Section</w:t>
      </w:r>
      <w:r w:rsidR="00583E1A">
        <w:t> </w:t>
      </w:r>
      <w:r w:rsidRPr="00583E1A">
        <w:t>855</w:t>
      </w:r>
      <w:r w:rsidR="00583E1A">
        <w:noBreakHyphen/>
      </w:r>
      <w:r w:rsidRPr="00583E1A">
        <w:t xml:space="preserve">45 does not apply to the </w:t>
      </w:r>
      <w:r w:rsidR="00583E1A" w:rsidRPr="00583E1A">
        <w:rPr>
          <w:position w:val="6"/>
          <w:sz w:val="16"/>
        </w:rPr>
        <w:t>*</w:t>
      </w:r>
      <w:r w:rsidRPr="00583E1A">
        <w:t>CFC.</w:t>
      </w:r>
    </w:p>
    <w:p w:rsidR="00ED38CE" w:rsidRPr="00583E1A" w:rsidRDefault="00ED38CE" w:rsidP="00ED38CE">
      <w:pPr>
        <w:pStyle w:val="subsection"/>
      </w:pPr>
      <w:r w:rsidRPr="00583E1A">
        <w:tab/>
        <w:t>(3)</w:t>
      </w:r>
      <w:r w:rsidRPr="00583E1A">
        <w:tab/>
        <w:t>The modifications of Parts</w:t>
      </w:r>
      <w:r w:rsidR="00583E1A">
        <w:t> </w:t>
      </w:r>
      <w:r w:rsidRPr="00583E1A">
        <w:t>3</w:t>
      </w:r>
      <w:r w:rsidR="00583E1A">
        <w:noBreakHyphen/>
      </w:r>
      <w:r w:rsidRPr="00583E1A">
        <w:t>1 and 3</w:t>
      </w:r>
      <w:r w:rsidR="00583E1A">
        <w:noBreakHyphen/>
      </w:r>
      <w:r w:rsidRPr="00583E1A">
        <w:t>3 of this Act in sections</w:t>
      </w:r>
      <w:r w:rsidR="00583E1A">
        <w:t> </w:t>
      </w:r>
      <w:r w:rsidRPr="00583E1A">
        <w:t xml:space="preserve">411 to 414 of the </w:t>
      </w:r>
      <w:r w:rsidRPr="00583E1A">
        <w:rPr>
          <w:i/>
        </w:rPr>
        <w:t>Income Tax Assessment Act 1936</w:t>
      </w:r>
      <w:r w:rsidRPr="00583E1A">
        <w:t xml:space="preserve"> have the effect they would have, in relation to each </w:t>
      </w:r>
      <w:r w:rsidR="00583E1A" w:rsidRPr="00583E1A">
        <w:rPr>
          <w:position w:val="6"/>
          <w:sz w:val="16"/>
        </w:rPr>
        <w:t>*</w:t>
      </w:r>
      <w:r w:rsidRPr="00583E1A">
        <w:t xml:space="preserve">commencing day asset owned by the </w:t>
      </w:r>
      <w:r w:rsidR="00583E1A" w:rsidRPr="00583E1A">
        <w:rPr>
          <w:position w:val="6"/>
          <w:sz w:val="16"/>
        </w:rPr>
        <w:t>*</w:t>
      </w:r>
      <w:r w:rsidRPr="00583E1A">
        <w:t xml:space="preserve">CFC at the residence change time, if those modifications were used to work out the taxable income of the CFC rather than its </w:t>
      </w:r>
      <w:r w:rsidR="00583E1A" w:rsidRPr="00583E1A">
        <w:rPr>
          <w:position w:val="6"/>
          <w:sz w:val="16"/>
        </w:rPr>
        <w:t>*</w:t>
      </w:r>
      <w:r w:rsidRPr="00583E1A">
        <w:t>attributable income.</w:t>
      </w:r>
    </w:p>
    <w:p w:rsidR="00ED38CE" w:rsidRPr="00583E1A" w:rsidRDefault="00ED38CE" w:rsidP="008F1666">
      <w:pPr>
        <w:pStyle w:val="subsection"/>
        <w:keepNext/>
        <w:keepLines/>
      </w:pPr>
      <w:r w:rsidRPr="00583E1A">
        <w:lastRenderedPageBreak/>
        <w:tab/>
        <w:t>(4)</w:t>
      </w:r>
      <w:r w:rsidRPr="00583E1A">
        <w:tab/>
        <w:t xml:space="preserve">However, if a </w:t>
      </w:r>
      <w:r w:rsidR="00583E1A" w:rsidRPr="00583E1A">
        <w:rPr>
          <w:position w:val="6"/>
          <w:sz w:val="16"/>
        </w:rPr>
        <w:t>*</w:t>
      </w:r>
      <w:r w:rsidRPr="00583E1A">
        <w:t xml:space="preserve">capital gain on a </w:t>
      </w:r>
      <w:r w:rsidR="00583E1A" w:rsidRPr="00583E1A">
        <w:rPr>
          <w:position w:val="6"/>
          <w:sz w:val="16"/>
        </w:rPr>
        <w:t>*</w:t>
      </w:r>
      <w:r w:rsidRPr="00583E1A">
        <w:t xml:space="preserve">commencing day asset of the </w:t>
      </w:r>
      <w:r w:rsidR="00583E1A" w:rsidRPr="00583E1A">
        <w:rPr>
          <w:position w:val="6"/>
          <w:sz w:val="16"/>
        </w:rPr>
        <w:t>*</w:t>
      </w:r>
      <w:r w:rsidRPr="00583E1A">
        <w:t xml:space="preserve">CFC (for a period before the residence change time) was </w:t>
      </w:r>
      <w:r w:rsidR="00C034BC" w:rsidRPr="00214FF7">
        <w:rPr>
          <w:position w:val="6"/>
          <w:sz w:val="16"/>
        </w:rPr>
        <w:t>*</w:t>
      </w:r>
      <w:r w:rsidR="00C034BC" w:rsidRPr="00214FF7">
        <w:t>subject to foreign tax</w:t>
      </w:r>
      <w:r w:rsidRPr="00583E1A">
        <w:t xml:space="preserve"> in a </w:t>
      </w:r>
      <w:r w:rsidR="00583E1A" w:rsidRPr="00583E1A">
        <w:rPr>
          <w:position w:val="6"/>
          <w:sz w:val="16"/>
        </w:rPr>
        <w:t>*</w:t>
      </w:r>
      <w:r w:rsidRPr="00583E1A">
        <w:t>listed country, the modifications of Parts</w:t>
      </w:r>
      <w:r w:rsidR="00583E1A">
        <w:t> </w:t>
      </w:r>
      <w:r w:rsidRPr="00583E1A">
        <w:t>3</w:t>
      </w:r>
      <w:r w:rsidR="00583E1A">
        <w:noBreakHyphen/>
      </w:r>
      <w:r w:rsidRPr="00583E1A">
        <w:t>1 and 3</w:t>
      </w:r>
      <w:r w:rsidR="00583E1A">
        <w:noBreakHyphen/>
      </w:r>
      <w:r w:rsidRPr="00583E1A">
        <w:t>3 of this Act in sections</w:t>
      </w:r>
      <w:r w:rsidR="00583E1A">
        <w:t> </w:t>
      </w:r>
      <w:r w:rsidRPr="00583E1A">
        <w:t xml:space="preserve">411 to 414 of the </w:t>
      </w:r>
      <w:r w:rsidRPr="00583E1A">
        <w:rPr>
          <w:i/>
        </w:rPr>
        <w:t>Income Tax Assessment Act 1936</w:t>
      </w:r>
      <w:r w:rsidRPr="00583E1A">
        <w:t xml:space="preserve"> have the effect they would have in relation to the asset if:</w:t>
      </w:r>
    </w:p>
    <w:p w:rsidR="00ED38CE" w:rsidRPr="00583E1A" w:rsidRDefault="00ED38CE" w:rsidP="00ED38CE">
      <w:pPr>
        <w:pStyle w:val="paragraph"/>
        <w:numPr>
          <w:ilvl w:val="12"/>
          <w:numId w:val="0"/>
        </w:numPr>
        <w:ind w:left="1644" w:hanging="1644"/>
      </w:pPr>
      <w:r w:rsidRPr="00583E1A">
        <w:tab/>
        <w:t>(a)</w:t>
      </w:r>
      <w:r w:rsidRPr="00583E1A">
        <w:tab/>
        <w:t xml:space="preserve">those modifications were used to work out the taxable income of the CFC rather than its </w:t>
      </w:r>
      <w:r w:rsidR="00583E1A" w:rsidRPr="00583E1A">
        <w:rPr>
          <w:position w:val="6"/>
          <w:sz w:val="16"/>
        </w:rPr>
        <w:t>*</w:t>
      </w:r>
      <w:r w:rsidRPr="00583E1A">
        <w:t>attributable income; and</w:t>
      </w:r>
    </w:p>
    <w:p w:rsidR="00ED38CE" w:rsidRPr="00583E1A" w:rsidRDefault="00ED38CE" w:rsidP="00ED38CE">
      <w:pPr>
        <w:pStyle w:val="paragraph"/>
        <w:numPr>
          <w:ilvl w:val="12"/>
          <w:numId w:val="0"/>
        </w:numPr>
        <w:ind w:left="1644" w:hanging="1644"/>
      </w:pPr>
      <w:r w:rsidRPr="00583E1A">
        <w:tab/>
        <w:t>(b)</w:t>
      </w:r>
      <w:r w:rsidRPr="00583E1A">
        <w:tab/>
        <w:t xml:space="preserve">the </w:t>
      </w:r>
      <w:r w:rsidR="00583E1A" w:rsidRPr="00583E1A">
        <w:rPr>
          <w:position w:val="6"/>
          <w:sz w:val="16"/>
        </w:rPr>
        <w:t>*</w:t>
      </w:r>
      <w:r w:rsidRPr="00583E1A">
        <w:t>commencing day of the CFC were the residence change time.</w:t>
      </w:r>
    </w:p>
    <w:p w:rsidR="00ED38CE" w:rsidRPr="00583E1A" w:rsidRDefault="00ED38CE" w:rsidP="00ED38CE">
      <w:pPr>
        <w:pStyle w:val="notetext"/>
        <w:numPr>
          <w:ilvl w:val="12"/>
          <w:numId w:val="0"/>
        </w:numPr>
        <w:ind w:left="1985" w:hanging="851"/>
      </w:pPr>
      <w:r w:rsidRPr="00583E1A">
        <w:t>Note:</w:t>
      </w:r>
      <w:r w:rsidRPr="00583E1A">
        <w:tab/>
        <w:t>This section is disregarded in calculating the attributable income of a CFC: see section</w:t>
      </w:r>
      <w:r w:rsidR="00583E1A">
        <w:t> </w:t>
      </w:r>
      <w:r w:rsidRPr="00583E1A">
        <w:t xml:space="preserve">410 of the </w:t>
      </w:r>
      <w:r w:rsidRPr="00583E1A">
        <w:rPr>
          <w:i/>
        </w:rPr>
        <w:t>Income Tax Assessment Act 1936</w:t>
      </w:r>
      <w:r w:rsidRPr="00583E1A">
        <w:t>.</w:t>
      </w:r>
    </w:p>
    <w:p w:rsidR="00452857" w:rsidRPr="00583E1A" w:rsidRDefault="00452857" w:rsidP="00452857">
      <w:pPr>
        <w:pStyle w:val="PageBreak"/>
      </w:pPr>
      <w:r w:rsidRPr="00583E1A">
        <w:br w:type="page"/>
      </w:r>
    </w:p>
    <w:p w:rsidR="00887330" w:rsidRPr="00583E1A" w:rsidRDefault="00887330" w:rsidP="00887330">
      <w:pPr>
        <w:pStyle w:val="ActHead1"/>
      </w:pPr>
      <w:bookmarkStart w:id="429" w:name="_Toc338939503"/>
      <w:r w:rsidRPr="00583E1A">
        <w:rPr>
          <w:rStyle w:val="CharChapNo"/>
        </w:rPr>
        <w:lastRenderedPageBreak/>
        <w:t>Chapter</w:t>
      </w:r>
      <w:r w:rsidR="00583E1A">
        <w:rPr>
          <w:rStyle w:val="CharChapNo"/>
        </w:rPr>
        <w:t> </w:t>
      </w:r>
      <w:r w:rsidRPr="00583E1A">
        <w:rPr>
          <w:rStyle w:val="CharChapNo"/>
        </w:rPr>
        <w:t>5</w:t>
      </w:r>
      <w:r w:rsidRPr="00583E1A">
        <w:t>—</w:t>
      </w:r>
      <w:r w:rsidRPr="00583E1A">
        <w:rPr>
          <w:rStyle w:val="CharChapText"/>
        </w:rPr>
        <w:t>Administration</w:t>
      </w:r>
      <w:bookmarkEnd w:id="429"/>
    </w:p>
    <w:p w:rsidR="00887330" w:rsidRPr="00583E1A" w:rsidRDefault="00887330" w:rsidP="00887330">
      <w:pPr>
        <w:pStyle w:val="ActHead2"/>
      </w:pPr>
      <w:bookmarkStart w:id="430" w:name="_Toc338939504"/>
      <w:r w:rsidRPr="00583E1A">
        <w:rPr>
          <w:rStyle w:val="CharPartNo"/>
        </w:rPr>
        <w:t>Part</w:t>
      </w:r>
      <w:r w:rsidR="00583E1A">
        <w:rPr>
          <w:rStyle w:val="CharPartNo"/>
        </w:rPr>
        <w:t> </w:t>
      </w:r>
      <w:r w:rsidRPr="00583E1A">
        <w:rPr>
          <w:rStyle w:val="CharPartNo"/>
        </w:rPr>
        <w:t>5</w:t>
      </w:r>
      <w:r w:rsidR="00583E1A">
        <w:rPr>
          <w:rStyle w:val="CharPartNo"/>
        </w:rPr>
        <w:noBreakHyphen/>
      </w:r>
      <w:r w:rsidRPr="00583E1A">
        <w:rPr>
          <w:rStyle w:val="CharPartNo"/>
        </w:rPr>
        <w:t>30</w:t>
      </w:r>
      <w:r w:rsidRPr="00583E1A">
        <w:t>—</w:t>
      </w:r>
      <w:r w:rsidRPr="00583E1A">
        <w:rPr>
          <w:rStyle w:val="CharPartText"/>
        </w:rPr>
        <w:t>Record</w:t>
      </w:r>
      <w:r w:rsidR="00583E1A">
        <w:rPr>
          <w:rStyle w:val="CharPartText"/>
        </w:rPr>
        <w:noBreakHyphen/>
      </w:r>
      <w:r w:rsidRPr="00583E1A">
        <w:rPr>
          <w:rStyle w:val="CharPartText"/>
        </w:rPr>
        <w:t>keeping and other obligations</w:t>
      </w:r>
      <w:bookmarkEnd w:id="430"/>
    </w:p>
    <w:p w:rsidR="00887330" w:rsidRPr="00583E1A" w:rsidRDefault="00887330" w:rsidP="00887330">
      <w:pPr>
        <w:pStyle w:val="ActHead3"/>
      </w:pPr>
      <w:bookmarkStart w:id="431" w:name="_Toc338939505"/>
      <w:r w:rsidRPr="00583E1A">
        <w:rPr>
          <w:rStyle w:val="CharDivNo"/>
        </w:rPr>
        <w:t>Division</w:t>
      </w:r>
      <w:r w:rsidR="00583E1A">
        <w:rPr>
          <w:rStyle w:val="CharDivNo"/>
        </w:rPr>
        <w:t> </w:t>
      </w:r>
      <w:r w:rsidRPr="00583E1A">
        <w:rPr>
          <w:rStyle w:val="CharDivNo"/>
        </w:rPr>
        <w:t>900</w:t>
      </w:r>
      <w:r w:rsidRPr="00583E1A">
        <w:t>—</w:t>
      </w:r>
      <w:r w:rsidRPr="00583E1A">
        <w:rPr>
          <w:rStyle w:val="CharDivText"/>
        </w:rPr>
        <w:t>Substantiation rules</w:t>
      </w:r>
      <w:bookmarkEnd w:id="431"/>
    </w:p>
    <w:p w:rsidR="00887330" w:rsidRPr="00583E1A" w:rsidRDefault="00887330" w:rsidP="00887330">
      <w:pPr>
        <w:pStyle w:val="TofSectsHeading"/>
      </w:pPr>
      <w:r w:rsidRPr="00583E1A">
        <w:t>Table of Subdivisions</w:t>
      </w:r>
    </w:p>
    <w:p w:rsidR="00887330" w:rsidRPr="00583E1A" w:rsidRDefault="00887330" w:rsidP="00887330">
      <w:pPr>
        <w:pStyle w:val="TofSectsSubdiv"/>
        <w:keepLines w:val="0"/>
      </w:pPr>
      <w:r w:rsidRPr="00583E1A">
        <w:tab/>
        <w:t>Guide to Division</w:t>
      </w:r>
      <w:r w:rsidR="00583E1A">
        <w:t> </w:t>
      </w:r>
      <w:r w:rsidRPr="00583E1A">
        <w:t>900</w:t>
      </w:r>
    </w:p>
    <w:p w:rsidR="00887330" w:rsidRPr="00583E1A" w:rsidRDefault="00887330" w:rsidP="00887330">
      <w:pPr>
        <w:pStyle w:val="TofSectsSubdiv"/>
        <w:keepLines w:val="0"/>
      </w:pPr>
      <w:r w:rsidRPr="00583E1A">
        <w:t>900</w:t>
      </w:r>
      <w:r w:rsidR="00583E1A">
        <w:noBreakHyphen/>
      </w:r>
      <w:r w:rsidRPr="00583E1A">
        <w:t>A</w:t>
      </w:r>
      <w:r w:rsidRPr="00583E1A">
        <w:tab/>
        <w:t>Application of Division</w:t>
      </w:r>
    </w:p>
    <w:p w:rsidR="00887330" w:rsidRPr="00583E1A" w:rsidRDefault="00887330" w:rsidP="00887330">
      <w:pPr>
        <w:pStyle w:val="TofSectsSubdiv"/>
        <w:keepLines w:val="0"/>
      </w:pPr>
      <w:r w:rsidRPr="00583E1A">
        <w:t>900</w:t>
      </w:r>
      <w:r w:rsidR="00583E1A">
        <w:noBreakHyphen/>
      </w:r>
      <w:r w:rsidRPr="00583E1A">
        <w:t>B</w:t>
      </w:r>
      <w:r w:rsidRPr="00583E1A">
        <w:tab/>
        <w:t>Substantiating work expenses</w:t>
      </w:r>
    </w:p>
    <w:p w:rsidR="00887330" w:rsidRPr="00583E1A" w:rsidRDefault="00887330" w:rsidP="00887330">
      <w:pPr>
        <w:pStyle w:val="TofSectsSubdiv"/>
        <w:keepLines w:val="0"/>
      </w:pPr>
      <w:r w:rsidRPr="00583E1A">
        <w:t>900</w:t>
      </w:r>
      <w:r w:rsidR="00583E1A">
        <w:noBreakHyphen/>
      </w:r>
      <w:r w:rsidRPr="00583E1A">
        <w:t>C</w:t>
      </w:r>
      <w:r w:rsidRPr="00583E1A">
        <w:tab/>
        <w:t>Substantiating car expenses</w:t>
      </w:r>
    </w:p>
    <w:p w:rsidR="00887330" w:rsidRPr="00583E1A" w:rsidRDefault="00887330" w:rsidP="00887330">
      <w:pPr>
        <w:pStyle w:val="TofSectsSubdiv"/>
        <w:keepLines w:val="0"/>
      </w:pPr>
      <w:r w:rsidRPr="00583E1A">
        <w:t>900</w:t>
      </w:r>
      <w:r w:rsidR="00583E1A">
        <w:noBreakHyphen/>
      </w:r>
      <w:r w:rsidRPr="00583E1A">
        <w:t>D</w:t>
      </w:r>
      <w:r w:rsidRPr="00583E1A">
        <w:tab/>
        <w:t>Substantiating business travel expenses</w:t>
      </w:r>
    </w:p>
    <w:p w:rsidR="00887330" w:rsidRPr="00583E1A" w:rsidRDefault="00887330" w:rsidP="00887330">
      <w:pPr>
        <w:pStyle w:val="TofSectsSubdiv"/>
        <w:keepLines w:val="0"/>
      </w:pPr>
      <w:r w:rsidRPr="00583E1A">
        <w:t>900</w:t>
      </w:r>
      <w:r w:rsidR="00583E1A">
        <w:noBreakHyphen/>
      </w:r>
      <w:r w:rsidRPr="00583E1A">
        <w:t>E</w:t>
      </w:r>
      <w:r w:rsidRPr="00583E1A">
        <w:tab/>
        <w:t>Written evidence</w:t>
      </w:r>
    </w:p>
    <w:p w:rsidR="00887330" w:rsidRPr="00583E1A" w:rsidRDefault="00887330" w:rsidP="00887330">
      <w:pPr>
        <w:pStyle w:val="TofSectsSubdiv"/>
        <w:keepLines w:val="0"/>
      </w:pPr>
      <w:r w:rsidRPr="00583E1A">
        <w:t>900</w:t>
      </w:r>
      <w:r w:rsidR="00583E1A">
        <w:noBreakHyphen/>
      </w:r>
      <w:r w:rsidRPr="00583E1A">
        <w:t>F</w:t>
      </w:r>
      <w:r w:rsidRPr="00583E1A">
        <w:tab/>
        <w:t>Travel records</w:t>
      </w:r>
    </w:p>
    <w:p w:rsidR="00887330" w:rsidRPr="00583E1A" w:rsidRDefault="00887330" w:rsidP="00887330">
      <w:pPr>
        <w:pStyle w:val="TofSectsSubdiv"/>
        <w:keepLines w:val="0"/>
      </w:pPr>
      <w:r w:rsidRPr="00583E1A">
        <w:t>900</w:t>
      </w:r>
      <w:r w:rsidR="00583E1A">
        <w:noBreakHyphen/>
      </w:r>
      <w:r w:rsidRPr="00583E1A">
        <w:t>G</w:t>
      </w:r>
      <w:r w:rsidRPr="00583E1A">
        <w:tab/>
        <w:t>Retaining and producing records</w:t>
      </w:r>
    </w:p>
    <w:p w:rsidR="00887330" w:rsidRPr="00583E1A" w:rsidRDefault="00887330" w:rsidP="00887330">
      <w:pPr>
        <w:pStyle w:val="TofSectsSubdiv"/>
        <w:keepLines w:val="0"/>
      </w:pPr>
      <w:r w:rsidRPr="00583E1A">
        <w:t>900</w:t>
      </w:r>
      <w:r w:rsidR="00583E1A">
        <w:noBreakHyphen/>
      </w:r>
      <w:r w:rsidRPr="00583E1A">
        <w:t>H</w:t>
      </w:r>
      <w:r w:rsidRPr="00583E1A">
        <w:tab/>
        <w:t>Relief from effects of failing to substantiate</w:t>
      </w:r>
    </w:p>
    <w:p w:rsidR="00887330" w:rsidRPr="00583E1A" w:rsidRDefault="00887330" w:rsidP="00887330">
      <w:pPr>
        <w:pStyle w:val="TofSectsSubdiv"/>
        <w:keepLines w:val="0"/>
      </w:pPr>
      <w:r w:rsidRPr="00583E1A">
        <w:t>900</w:t>
      </w:r>
      <w:r w:rsidR="00583E1A">
        <w:noBreakHyphen/>
      </w:r>
      <w:r w:rsidRPr="00583E1A">
        <w:t>I</w:t>
      </w:r>
      <w:r w:rsidRPr="00583E1A">
        <w:tab/>
        <w:t>Award transport payments</w:t>
      </w:r>
    </w:p>
    <w:p w:rsidR="00887330" w:rsidRPr="00583E1A" w:rsidRDefault="00887330" w:rsidP="00887330">
      <w:pPr>
        <w:pStyle w:val="ActHead4"/>
      </w:pPr>
      <w:bookmarkStart w:id="432" w:name="_Toc338939506"/>
      <w:r w:rsidRPr="00583E1A">
        <w:t>Guide to Division</w:t>
      </w:r>
      <w:r w:rsidR="00583E1A">
        <w:t> </w:t>
      </w:r>
      <w:r w:rsidRPr="00583E1A">
        <w:t>900</w:t>
      </w:r>
      <w:bookmarkEnd w:id="432"/>
    </w:p>
    <w:p w:rsidR="00887330" w:rsidRPr="00583E1A" w:rsidRDefault="00887330" w:rsidP="00887330">
      <w:pPr>
        <w:pStyle w:val="ActHead5"/>
      </w:pPr>
      <w:bookmarkStart w:id="433" w:name="_Toc338939507"/>
      <w:r w:rsidRPr="00583E1A">
        <w:rPr>
          <w:rStyle w:val="CharSectno"/>
        </w:rPr>
        <w:t>900</w:t>
      </w:r>
      <w:r w:rsidR="00583E1A">
        <w:rPr>
          <w:rStyle w:val="CharSectno"/>
        </w:rPr>
        <w:noBreakHyphen/>
      </w:r>
      <w:r w:rsidRPr="00583E1A">
        <w:rPr>
          <w:rStyle w:val="CharSectno"/>
        </w:rPr>
        <w:t>1</w:t>
      </w:r>
      <w:r w:rsidRPr="00583E1A">
        <w:t xml:space="preserve">  What this Division is about</w:t>
      </w:r>
      <w:bookmarkEnd w:id="433"/>
    </w:p>
    <w:p w:rsidR="00887330" w:rsidRPr="00583E1A" w:rsidRDefault="00887330" w:rsidP="00887330">
      <w:pPr>
        <w:pStyle w:val="BoxText"/>
        <w:spacing w:before="120"/>
      </w:pPr>
      <w:r w:rsidRPr="00583E1A">
        <w:t>This Division sets out the substantiation rules that apply to certain types of losses or outgoings.</w:t>
      </w:r>
    </w:p>
    <w:p w:rsidR="00887330" w:rsidRPr="00583E1A" w:rsidRDefault="00887330" w:rsidP="00887330">
      <w:pPr>
        <w:pStyle w:val="ActHead4"/>
      </w:pPr>
      <w:bookmarkStart w:id="434" w:name="_Toc338939508"/>
      <w:r w:rsidRPr="00583E1A">
        <w:rPr>
          <w:rStyle w:val="CharSubdNo"/>
        </w:rPr>
        <w:t>Subdivision</w:t>
      </w:r>
      <w:r w:rsidR="00583E1A">
        <w:rPr>
          <w:rStyle w:val="CharSubdNo"/>
        </w:rPr>
        <w:t> </w:t>
      </w:r>
      <w:r w:rsidRPr="00583E1A">
        <w:rPr>
          <w:rStyle w:val="CharSubdNo"/>
        </w:rPr>
        <w:t>900</w:t>
      </w:r>
      <w:r w:rsidR="00583E1A">
        <w:rPr>
          <w:rStyle w:val="CharSubdNo"/>
        </w:rPr>
        <w:noBreakHyphen/>
      </w:r>
      <w:r w:rsidRPr="00583E1A">
        <w:rPr>
          <w:rStyle w:val="CharSubdNo"/>
        </w:rPr>
        <w:t>A</w:t>
      </w:r>
      <w:r w:rsidRPr="00583E1A">
        <w:t>—</w:t>
      </w:r>
      <w:r w:rsidRPr="00583E1A">
        <w:rPr>
          <w:rStyle w:val="CharSubdText"/>
        </w:rPr>
        <w:t>Application of Division</w:t>
      </w:r>
      <w:bookmarkEnd w:id="434"/>
      <w:r w:rsidRPr="00583E1A">
        <w:rPr>
          <w:rStyle w:val="CharSubdText"/>
        </w:rPr>
        <w:t xml:space="preserve"> </w:t>
      </w:r>
    </w:p>
    <w:p w:rsidR="00887330" w:rsidRPr="00583E1A" w:rsidRDefault="00887330" w:rsidP="00887330">
      <w:pPr>
        <w:pStyle w:val="TofSectsHeading"/>
      </w:pPr>
      <w:r w:rsidRPr="00583E1A">
        <w:t>Table of sections</w:t>
      </w:r>
    </w:p>
    <w:p w:rsidR="00887330" w:rsidRPr="00583E1A" w:rsidRDefault="00887330" w:rsidP="00887330">
      <w:pPr>
        <w:pStyle w:val="TofSectsSection"/>
      </w:pPr>
      <w:r w:rsidRPr="00583E1A">
        <w:t>900</w:t>
      </w:r>
      <w:r w:rsidR="00583E1A">
        <w:noBreakHyphen/>
      </w:r>
      <w:r w:rsidRPr="00583E1A">
        <w:t>5</w:t>
      </w:r>
      <w:r w:rsidRPr="00583E1A">
        <w:tab/>
        <w:t>Application of the requirements of Division</w:t>
      </w:r>
      <w:r w:rsidR="00583E1A">
        <w:t> </w:t>
      </w:r>
      <w:r w:rsidRPr="00583E1A">
        <w:t>900</w:t>
      </w:r>
    </w:p>
    <w:p w:rsidR="00887330" w:rsidRPr="00583E1A" w:rsidRDefault="00887330" w:rsidP="00887330">
      <w:pPr>
        <w:pStyle w:val="TofSectsSection"/>
      </w:pPr>
      <w:r w:rsidRPr="00583E1A">
        <w:t>900</w:t>
      </w:r>
      <w:r w:rsidR="00583E1A">
        <w:noBreakHyphen/>
      </w:r>
      <w:r w:rsidRPr="00583E1A">
        <w:t>10</w:t>
      </w:r>
      <w:r w:rsidRPr="00583E1A">
        <w:tab/>
        <w:t>Substantiation requirement</w:t>
      </w:r>
    </w:p>
    <w:p w:rsidR="00887330" w:rsidRPr="00583E1A" w:rsidRDefault="00887330" w:rsidP="00887330">
      <w:pPr>
        <w:pStyle w:val="TofSectsSection"/>
      </w:pPr>
      <w:r w:rsidRPr="00583E1A">
        <w:t>900</w:t>
      </w:r>
      <w:r w:rsidR="00583E1A">
        <w:noBreakHyphen/>
      </w:r>
      <w:r w:rsidRPr="00583E1A">
        <w:t>12</w:t>
      </w:r>
      <w:r w:rsidRPr="00583E1A">
        <w:tab/>
        <w:t>Application to recipients and payers of certain withholding payments</w:t>
      </w:r>
    </w:p>
    <w:p w:rsidR="00887330" w:rsidRPr="00583E1A" w:rsidRDefault="00887330" w:rsidP="00887330">
      <w:pPr>
        <w:pStyle w:val="ActHead5"/>
      </w:pPr>
      <w:bookmarkStart w:id="435" w:name="_Toc338939509"/>
      <w:r w:rsidRPr="00583E1A">
        <w:rPr>
          <w:rStyle w:val="CharSectno"/>
        </w:rPr>
        <w:lastRenderedPageBreak/>
        <w:t>900</w:t>
      </w:r>
      <w:r w:rsidR="00583E1A">
        <w:rPr>
          <w:rStyle w:val="CharSectno"/>
        </w:rPr>
        <w:noBreakHyphen/>
      </w:r>
      <w:r w:rsidRPr="00583E1A">
        <w:rPr>
          <w:rStyle w:val="CharSectno"/>
        </w:rPr>
        <w:t>5</w:t>
      </w:r>
      <w:r w:rsidRPr="00583E1A">
        <w:t xml:space="preserve">  Application of the requirements of Division</w:t>
      </w:r>
      <w:r w:rsidR="00583E1A">
        <w:t> </w:t>
      </w:r>
      <w:r w:rsidRPr="00583E1A">
        <w:t>900</w:t>
      </w:r>
      <w:bookmarkEnd w:id="435"/>
    </w:p>
    <w:p w:rsidR="00887330" w:rsidRPr="00583E1A" w:rsidRDefault="00887330" w:rsidP="00887330">
      <w:pPr>
        <w:pStyle w:val="subsection"/>
      </w:pPr>
      <w:r w:rsidRPr="00583E1A">
        <w:tab/>
        <w:t>(1)</w:t>
      </w:r>
      <w:r w:rsidRPr="00583E1A">
        <w:rPr>
          <w:b/>
        </w:rPr>
        <w:tab/>
      </w:r>
      <w:r w:rsidRPr="00583E1A">
        <w:t>The requirements of this Division apply to an individual.</w:t>
      </w:r>
    </w:p>
    <w:p w:rsidR="00887330" w:rsidRPr="00583E1A" w:rsidRDefault="00887330" w:rsidP="00887330">
      <w:pPr>
        <w:pStyle w:val="subsection"/>
      </w:pPr>
      <w:r w:rsidRPr="00583E1A">
        <w:tab/>
        <w:t>(2)</w:t>
      </w:r>
      <w:r w:rsidRPr="00583E1A">
        <w:rPr>
          <w:b/>
        </w:rPr>
        <w:tab/>
      </w:r>
      <w:r w:rsidRPr="00583E1A">
        <w:t>They also apply to a partnership that includes at least one individual, as if the partnership were an individual.</w:t>
      </w:r>
    </w:p>
    <w:p w:rsidR="00887330" w:rsidRPr="00583E1A" w:rsidRDefault="00887330" w:rsidP="00887330">
      <w:pPr>
        <w:pStyle w:val="subsection"/>
      </w:pPr>
      <w:r w:rsidRPr="00583E1A">
        <w:tab/>
        <w:t>(3)</w:t>
      </w:r>
      <w:r w:rsidRPr="00583E1A">
        <w:rPr>
          <w:b/>
        </w:rPr>
        <w:tab/>
      </w:r>
      <w:r w:rsidRPr="00583E1A">
        <w:t>They do not apply to any other entity.</w:t>
      </w:r>
    </w:p>
    <w:p w:rsidR="00887330" w:rsidRPr="00583E1A" w:rsidRDefault="00887330" w:rsidP="00887330">
      <w:pPr>
        <w:pStyle w:val="ActHead5"/>
      </w:pPr>
      <w:bookmarkStart w:id="436" w:name="_Toc338939510"/>
      <w:r w:rsidRPr="00583E1A">
        <w:rPr>
          <w:rStyle w:val="CharSectno"/>
        </w:rPr>
        <w:t>900</w:t>
      </w:r>
      <w:r w:rsidR="00583E1A">
        <w:rPr>
          <w:rStyle w:val="CharSectno"/>
        </w:rPr>
        <w:noBreakHyphen/>
      </w:r>
      <w:r w:rsidRPr="00583E1A">
        <w:rPr>
          <w:rStyle w:val="CharSectno"/>
        </w:rPr>
        <w:t>10</w:t>
      </w:r>
      <w:r w:rsidRPr="00583E1A">
        <w:t xml:space="preserve">  Substantiation requirement</w:t>
      </w:r>
      <w:bookmarkEnd w:id="436"/>
    </w:p>
    <w:p w:rsidR="00887330" w:rsidRPr="00583E1A" w:rsidRDefault="00887330" w:rsidP="00887330">
      <w:pPr>
        <w:pStyle w:val="subsection"/>
      </w:pPr>
      <w:r w:rsidRPr="00583E1A">
        <w:tab/>
      </w:r>
      <w:r w:rsidRPr="00583E1A">
        <w:tab/>
        <w:t>To deduct certain types of losses or outgoings, you need to substantiate them under this Division.</w:t>
      </w:r>
    </w:p>
    <w:p w:rsidR="00887330" w:rsidRPr="00583E1A" w:rsidRDefault="00887330" w:rsidP="00887330">
      <w:pPr>
        <w:pStyle w:val="Tabletext"/>
      </w:pPr>
    </w:p>
    <w:tbl>
      <w:tblPr>
        <w:tblW w:w="0" w:type="auto"/>
        <w:tblInd w:w="1290" w:type="dxa"/>
        <w:tblLayout w:type="fixed"/>
        <w:tblLook w:val="0000" w:firstRow="0" w:lastRow="0" w:firstColumn="0" w:lastColumn="0" w:noHBand="0" w:noVBand="0"/>
      </w:tblPr>
      <w:tblGrid>
        <w:gridCol w:w="661"/>
        <w:gridCol w:w="2977"/>
        <w:gridCol w:w="2126"/>
      </w:tblGrid>
      <w:tr w:rsidR="00887330" w:rsidRPr="00583E1A">
        <w:trPr>
          <w:cantSplit/>
          <w:trHeight w:val="240"/>
          <w:tblHeader/>
        </w:trPr>
        <w:tc>
          <w:tcPr>
            <w:tcW w:w="661" w:type="dxa"/>
            <w:tcBorders>
              <w:top w:val="single" w:sz="12" w:space="0" w:color="auto"/>
              <w:bottom w:val="single" w:sz="12" w:space="0" w:color="auto"/>
            </w:tcBorders>
          </w:tcPr>
          <w:p w:rsidR="00887330" w:rsidRPr="00583E1A" w:rsidRDefault="00887330" w:rsidP="00887330">
            <w:pPr>
              <w:pStyle w:val="Tabletext"/>
            </w:pPr>
            <w:r w:rsidRPr="00583E1A">
              <w:rPr>
                <w:b/>
              </w:rPr>
              <w:t>Item</w:t>
            </w:r>
          </w:p>
        </w:tc>
        <w:tc>
          <w:tcPr>
            <w:tcW w:w="2977" w:type="dxa"/>
            <w:tcBorders>
              <w:top w:val="single" w:sz="12" w:space="0" w:color="auto"/>
              <w:bottom w:val="single" w:sz="12" w:space="0" w:color="auto"/>
            </w:tcBorders>
          </w:tcPr>
          <w:p w:rsidR="00887330" w:rsidRPr="00583E1A" w:rsidRDefault="00887330" w:rsidP="00887330">
            <w:pPr>
              <w:pStyle w:val="Tabletext"/>
            </w:pPr>
            <w:r w:rsidRPr="00583E1A">
              <w:rPr>
                <w:b/>
              </w:rPr>
              <w:t>For this type of loss or outgoing:</w:t>
            </w:r>
          </w:p>
        </w:tc>
        <w:tc>
          <w:tcPr>
            <w:tcW w:w="2126" w:type="dxa"/>
            <w:tcBorders>
              <w:top w:val="single" w:sz="12" w:space="0" w:color="auto"/>
              <w:bottom w:val="single" w:sz="12" w:space="0" w:color="auto"/>
            </w:tcBorders>
          </w:tcPr>
          <w:p w:rsidR="00887330" w:rsidRPr="00583E1A" w:rsidRDefault="00887330" w:rsidP="00887330">
            <w:pPr>
              <w:pStyle w:val="Tabletext"/>
            </w:pPr>
            <w:r w:rsidRPr="00583E1A">
              <w:rPr>
                <w:b/>
              </w:rPr>
              <w:t>see:</w:t>
            </w:r>
          </w:p>
        </w:tc>
      </w:tr>
      <w:tr w:rsidR="00887330" w:rsidRPr="00583E1A">
        <w:trPr>
          <w:cantSplit/>
          <w:tblHeader/>
        </w:trPr>
        <w:tc>
          <w:tcPr>
            <w:tcW w:w="661" w:type="dxa"/>
            <w:tcBorders>
              <w:top w:val="single" w:sz="12" w:space="0" w:color="auto"/>
              <w:bottom w:val="single" w:sz="2" w:space="0" w:color="auto"/>
            </w:tcBorders>
            <w:shd w:val="clear" w:color="auto" w:fill="auto"/>
          </w:tcPr>
          <w:p w:rsidR="00887330" w:rsidRPr="00583E1A" w:rsidRDefault="00887330" w:rsidP="00887330">
            <w:pPr>
              <w:pStyle w:val="Tabletext"/>
            </w:pPr>
            <w:r w:rsidRPr="00583E1A">
              <w:t>1.</w:t>
            </w:r>
          </w:p>
        </w:tc>
        <w:tc>
          <w:tcPr>
            <w:tcW w:w="2977" w:type="dxa"/>
            <w:tcBorders>
              <w:top w:val="single" w:sz="12" w:space="0" w:color="auto"/>
              <w:bottom w:val="single" w:sz="2" w:space="0" w:color="auto"/>
            </w:tcBorders>
            <w:shd w:val="clear" w:color="auto" w:fill="auto"/>
          </w:tcPr>
          <w:p w:rsidR="00887330" w:rsidRPr="00583E1A" w:rsidRDefault="00887330" w:rsidP="00887330">
            <w:pPr>
              <w:pStyle w:val="Tabletext"/>
            </w:pPr>
            <w:r w:rsidRPr="00583E1A">
              <w:t>Work expenses</w:t>
            </w:r>
          </w:p>
        </w:tc>
        <w:tc>
          <w:tcPr>
            <w:tcW w:w="2126" w:type="dxa"/>
            <w:tcBorders>
              <w:top w:val="single" w:sz="12" w:space="0" w:color="auto"/>
              <w:bottom w:val="single" w:sz="2" w:space="0" w:color="auto"/>
            </w:tcBorders>
            <w:shd w:val="clear" w:color="auto" w:fill="auto"/>
          </w:tcPr>
          <w:p w:rsidR="00887330" w:rsidRPr="00583E1A" w:rsidRDefault="00887330" w:rsidP="00887330">
            <w:pPr>
              <w:pStyle w:val="Tabletext"/>
            </w:pPr>
            <w:r w:rsidRPr="00583E1A">
              <w:t>Subdivision</w:t>
            </w:r>
            <w:r w:rsidR="00583E1A">
              <w:t> </w:t>
            </w:r>
            <w:r w:rsidRPr="00583E1A">
              <w:t>900</w:t>
            </w:r>
            <w:r w:rsidR="00583E1A">
              <w:noBreakHyphen/>
            </w:r>
            <w:r w:rsidRPr="00583E1A">
              <w:t>B</w:t>
            </w:r>
          </w:p>
        </w:tc>
      </w:tr>
      <w:tr w:rsidR="00887330" w:rsidRPr="00583E1A">
        <w:trPr>
          <w:cantSplit/>
          <w:tblHeader/>
        </w:trPr>
        <w:tc>
          <w:tcPr>
            <w:tcW w:w="661" w:type="dxa"/>
            <w:tcBorders>
              <w:top w:val="single" w:sz="2" w:space="0" w:color="auto"/>
              <w:bottom w:val="single" w:sz="2" w:space="0" w:color="auto"/>
            </w:tcBorders>
            <w:shd w:val="clear" w:color="auto" w:fill="auto"/>
          </w:tcPr>
          <w:p w:rsidR="00887330" w:rsidRPr="00583E1A" w:rsidRDefault="00887330" w:rsidP="00887330">
            <w:pPr>
              <w:pStyle w:val="Tabletext"/>
            </w:pPr>
            <w:r w:rsidRPr="00583E1A">
              <w:t>2.</w:t>
            </w:r>
          </w:p>
        </w:tc>
        <w:tc>
          <w:tcPr>
            <w:tcW w:w="2977" w:type="dxa"/>
            <w:tcBorders>
              <w:top w:val="single" w:sz="2" w:space="0" w:color="auto"/>
              <w:bottom w:val="single" w:sz="2" w:space="0" w:color="auto"/>
            </w:tcBorders>
            <w:shd w:val="clear" w:color="auto" w:fill="auto"/>
          </w:tcPr>
          <w:p w:rsidR="00887330" w:rsidRPr="00583E1A" w:rsidRDefault="00887330" w:rsidP="00887330">
            <w:pPr>
              <w:pStyle w:val="Tabletext"/>
            </w:pPr>
            <w:r w:rsidRPr="00583E1A">
              <w:t>Car expenses</w:t>
            </w:r>
          </w:p>
        </w:tc>
        <w:tc>
          <w:tcPr>
            <w:tcW w:w="2126" w:type="dxa"/>
            <w:tcBorders>
              <w:top w:val="single" w:sz="2" w:space="0" w:color="auto"/>
              <w:bottom w:val="single" w:sz="2" w:space="0" w:color="auto"/>
            </w:tcBorders>
            <w:shd w:val="clear" w:color="auto" w:fill="auto"/>
          </w:tcPr>
          <w:p w:rsidR="00887330" w:rsidRPr="00583E1A" w:rsidRDefault="00887330" w:rsidP="00887330">
            <w:pPr>
              <w:pStyle w:val="Tabletext"/>
            </w:pPr>
            <w:r w:rsidRPr="00583E1A">
              <w:t>Subdivision</w:t>
            </w:r>
            <w:r w:rsidR="00583E1A">
              <w:t> </w:t>
            </w:r>
            <w:r w:rsidRPr="00583E1A">
              <w:t>900</w:t>
            </w:r>
            <w:r w:rsidR="00583E1A">
              <w:noBreakHyphen/>
            </w:r>
            <w:r w:rsidRPr="00583E1A">
              <w:t>C</w:t>
            </w:r>
          </w:p>
        </w:tc>
      </w:tr>
      <w:tr w:rsidR="00887330" w:rsidRPr="00583E1A">
        <w:trPr>
          <w:cantSplit/>
          <w:tblHeader/>
        </w:trPr>
        <w:tc>
          <w:tcPr>
            <w:tcW w:w="661" w:type="dxa"/>
            <w:tcBorders>
              <w:top w:val="single" w:sz="2" w:space="0" w:color="auto"/>
              <w:bottom w:val="single" w:sz="12" w:space="0" w:color="auto"/>
            </w:tcBorders>
          </w:tcPr>
          <w:p w:rsidR="00887330" w:rsidRPr="00583E1A" w:rsidRDefault="00887330" w:rsidP="00887330">
            <w:pPr>
              <w:pStyle w:val="Tabletext"/>
            </w:pPr>
            <w:r w:rsidRPr="00583E1A">
              <w:t>3.</w:t>
            </w:r>
          </w:p>
        </w:tc>
        <w:tc>
          <w:tcPr>
            <w:tcW w:w="2977" w:type="dxa"/>
            <w:tcBorders>
              <w:top w:val="single" w:sz="2" w:space="0" w:color="auto"/>
              <w:bottom w:val="single" w:sz="12" w:space="0" w:color="auto"/>
            </w:tcBorders>
          </w:tcPr>
          <w:p w:rsidR="00887330" w:rsidRPr="00583E1A" w:rsidRDefault="00887330" w:rsidP="00887330">
            <w:pPr>
              <w:pStyle w:val="Tabletext"/>
            </w:pPr>
            <w:r w:rsidRPr="00583E1A">
              <w:t>Business travel expenses</w:t>
            </w:r>
          </w:p>
        </w:tc>
        <w:tc>
          <w:tcPr>
            <w:tcW w:w="2126" w:type="dxa"/>
            <w:tcBorders>
              <w:top w:val="single" w:sz="2" w:space="0" w:color="auto"/>
              <w:bottom w:val="single" w:sz="12" w:space="0" w:color="auto"/>
            </w:tcBorders>
          </w:tcPr>
          <w:p w:rsidR="00887330" w:rsidRPr="00583E1A" w:rsidRDefault="00887330" w:rsidP="00887330">
            <w:pPr>
              <w:pStyle w:val="Tabletext"/>
            </w:pPr>
            <w:r w:rsidRPr="00583E1A">
              <w:t>Subdivision</w:t>
            </w:r>
            <w:r w:rsidR="00583E1A">
              <w:t> </w:t>
            </w:r>
            <w:r w:rsidRPr="00583E1A">
              <w:t>900</w:t>
            </w:r>
            <w:r w:rsidR="00583E1A">
              <w:noBreakHyphen/>
            </w:r>
            <w:r w:rsidRPr="00583E1A">
              <w:t>D</w:t>
            </w:r>
          </w:p>
        </w:tc>
      </w:tr>
    </w:tbl>
    <w:p w:rsidR="00887330" w:rsidRPr="00583E1A" w:rsidRDefault="00887330" w:rsidP="00887330">
      <w:pPr>
        <w:pStyle w:val="notetext"/>
        <w:keepNext/>
      </w:pPr>
      <w:r w:rsidRPr="00583E1A">
        <w:t>Note:</w:t>
      </w:r>
      <w:r w:rsidRPr="00583E1A">
        <w:tab/>
        <w:t>There are exceptions to these requirements:</w:t>
      </w:r>
    </w:p>
    <w:p w:rsidR="00887330" w:rsidRPr="00583E1A" w:rsidRDefault="00887330" w:rsidP="00887330">
      <w:pPr>
        <w:pStyle w:val="TLPNotebullet"/>
        <w:tabs>
          <w:tab w:val="clear" w:pos="2517"/>
        </w:tabs>
      </w:pPr>
      <w:r w:rsidRPr="00583E1A">
        <w:t>Subdivision</w:t>
      </w:r>
      <w:r w:rsidR="00583E1A">
        <w:t> </w:t>
      </w:r>
      <w:r w:rsidRPr="00583E1A">
        <w:t>900</w:t>
      </w:r>
      <w:r w:rsidR="00583E1A">
        <w:noBreakHyphen/>
      </w:r>
      <w:r w:rsidRPr="00583E1A">
        <w:t>B has some specific exceptions about work expenses.</w:t>
      </w:r>
    </w:p>
    <w:p w:rsidR="00887330" w:rsidRPr="00583E1A" w:rsidRDefault="00887330" w:rsidP="00887330">
      <w:pPr>
        <w:pStyle w:val="TLPNotebullet"/>
        <w:tabs>
          <w:tab w:val="clear" w:pos="2517"/>
        </w:tabs>
      </w:pPr>
      <w:r w:rsidRPr="00583E1A">
        <w:t>Subdivision</w:t>
      </w:r>
      <w:r w:rsidR="00583E1A">
        <w:t> </w:t>
      </w:r>
      <w:r w:rsidRPr="00583E1A">
        <w:t>900</w:t>
      </w:r>
      <w:r w:rsidR="00583E1A">
        <w:noBreakHyphen/>
      </w:r>
      <w:r w:rsidRPr="00583E1A">
        <w:t>H provides for relief from the effects of failing to substantiate.</w:t>
      </w:r>
    </w:p>
    <w:p w:rsidR="00887330" w:rsidRPr="00583E1A" w:rsidRDefault="00887330" w:rsidP="00887330">
      <w:pPr>
        <w:pStyle w:val="TLPNotebullet"/>
        <w:tabs>
          <w:tab w:val="clear" w:pos="2517"/>
        </w:tabs>
      </w:pPr>
      <w:r w:rsidRPr="00583E1A">
        <w:t>Subdivision</w:t>
      </w:r>
      <w:r w:rsidR="00583E1A">
        <w:t> </w:t>
      </w:r>
      <w:r w:rsidRPr="00583E1A">
        <w:t>900</w:t>
      </w:r>
      <w:r w:rsidR="00583E1A">
        <w:noBreakHyphen/>
      </w:r>
      <w:r w:rsidRPr="00583E1A">
        <w:t>I has an exception about certain losses or outgoings related to award transport payments.</w:t>
      </w:r>
    </w:p>
    <w:p w:rsidR="00887330" w:rsidRPr="00583E1A" w:rsidRDefault="00887330" w:rsidP="00887330">
      <w:pPr>
        <w:pStyle w:val="ActHead5"/>
      </w:pPr>
      <w:bookmarkStart w:id="437" w:name="_Toc338939511"/>
      <w:r w:rsidRPr="00583E1A">
        <w:rPr>
          <w:rStyle w:val="CharSectno"/>
        </w:rPr>
        <w:t>900</w:t>
      </w:r>
      <w:r w:rsidR="00583E1A">
        <w:rPr>
          <w:rStyle w:val="CharSectno"/>
        </w:rPr>
        <w:noBreakHyphen/>
      </w:r>
      <w:r w:rsidRPr="00583E1A">
        <w:rPr>
          <w:rStyle w:val="CharSectno"/>
        </w:rPr>
        <w:t>12</w:t>
      </w:r>
      <w:r w:rsidRPr="00583E1A">
        <w:t xml:space="preserve">  Application to recipients and payers of certain withholding payments</w:t>
      </w:r>
      <w:bookmarkEnd w:id="437"/>
    </w:p>
    <w:p w:rsidR="00887330" w:rsidRPr="00583E1A" w:rsidRDefault="00887330" w:rsidP="00887330">
      <w:pPr>
        <w:pStyle w:val="SubsectionHead"/>
      </w:pPr>
      <w:r w:rsidRPr="00583E1A">
        <w:t>Application to recipients</w:t>
      </w:r>
    </w:p>
    <w:p w:rsidR="00887330" w:rsidRPr="00583E1A" w:rsidRDefault="00887330" w:rsidP="00887330">
      <w:pPr>
        <w:pStyle w:val="subsection"/>
      </w:pPr>
      <w:r w:rsidRPr="00583E1A">
        <w:tab/>
        <w:t>(1)</w:t>
      </w:r>
      <w:r w:rsidRPr="00583E1A">
        <w:tab/>
        <w:t xml:space="preserve">If an individual receives, or is entitled to receive, </w:t>
      </w:r>
      <w:r w:rsidR="00583E1A" w:rsidRPr="00583E1A">
        <w:rPr>
          <w:position w:val="6"/>
          <w:sz w:val="16"/>
        </w:rPr>
        <w:t>*</w:t>
      </w:r>
      <w:r w:rsidRPr="00583E1A">
        <w:t xml:space="preserve">withholding payments covered by </w:t>
      </w:r>
      <w:r w:rsidR="00583E1A">
        <w:t>subsection (</w:t>
      </w:r>
      <w:r w:rsidRPr="00583E1A">
        <w:t>3), this Division applies to him or her:</w:t>
      </w:r>
    </w:p>
    <w:p w:rsidR="00887330" w:rsidRPr="00583E1A" w:rsidRDefault="00887330" w:rsidP="00887330">
      <w:pPr>
        <w:pStyle w:val="paragraph"/>
      </w:pPr>
      <w:r w:rsidRPr="00583E1A">
        <w:tab/>
        <w:t>(a)</w:t>
      </w:r>
      <w:r w:rsidRPr="00583E1A">
        <w:tab/>
        <w:t>in the same way as it applies to an employee; and</w:t>
      </w:r>
    </w:p>
    <w:p w:rsidR="00887330" w:rsidRPr="00583E1A" w:rsidRDefault="00887330" w:rsidP="00887330">
      <w:pPr>
        <w:pStyle w:val="paragraph"/>
      </w:pPr>
      <w:r w:rsidRPr="00583E1A">
        <w:tab/>
        <w:t>(b)</w:t>
      </w:r>
      <w:r w:rsidRPr="00583E1A">
        <w:tab/>
        <w:t>as if an entity that makes (or is liable to make) such payments to him or her were his or her employer; and</w:t>
      </w:r>
    </w:p>
    <w:p w:rsidR="00887330" w:rsidRPr="00583E1A" w:rsidRDefault="00887330" w:rsidP="00887330">
      <w:pPr>
        <w:pStyle w:val="paragraph"/>
      </w:pPr>
      <w:r w:rsidRPr="00583E1A">
        <w:lastRenderedPageBreak/>
        <w:tab/>
        <w:t>(c)</w:t>
      </w:r>
      <w:r w:rsidRPr="00583E1A">
        <w:tab/>
        <w:t xml:space="preserve">as if the withholding payments covered by </w:t>
      </w:r>
      <w:r w:rsidR="00583E1A">
        <w:t>subsection (</w:t>
      </w:r>
      <w:r w:rsidRPr="00583E1A">
        <w:t>3) that he or she receives (or is entitled to receive) were salary or wages.</w:t>
      </w:r>
    </w:p>
    <w:p w:rsidR="00887330" w:rsidRPr="00583E1A" w:rsidRDefault="00887330" w:rsidP="00887330">
      <w:pPr>
        <w:pStyle w:val="SubsectionHead"/>
      </w:pPr>
      <w:r w:rsidRPr="00583E1A">
        <w:t>Application to payers</w:t>
      </w:r>
    </w:p>
    <w:p w:rsidR="00887330" w:rsidRPr="00583E1A" w:rsidRDefault="00887330" w:rsidP="00887330">
      <w:pPr>
        <w:pStyle w:val="subsection"/>
      </w:pPr>
      <w:r w:rsidRPr="00583E1A">
        <w:tab/>
        <w:t>(2)</w:t>
      </w:r>
      <w:r w:rsidRPr="00583E1A">
        <w:tab/>
        <w:t xml:space="preserve">This Division applies to an entity that makes, or is liable to make, </w:t>
      </w:r>
      <w:r w:rsidR="00583E1A" w:rsidRPr="00583E1A">
        <w:rPr>
          <w:position w:val="6"/>
          <w:sz w:val="16"/>
        </w:rPr>
        <w:t>*</w:t>
      </w:r>
      <w:r w:rsidRPr="00583E1A">
        <w:t xml:space="preserve">withholding payments covered by </w:t>
      </w:r>
      <w:r w:rsidR="00583E1A">
        <w:t>subsection (</w:t>
      </w:r>
      <w:r w:rsidRPr="00583E1A">
        <w:t>3):</w:t>
      </w:r>
    </w:p>
    <w:p w:rsidR="00887330" w:rsidRPr="00583E1A" w:rsidRDefault="00887330" w:rsidP="00887330">
      <w:pPr>
        <w:pStyle w:val="paragraph"/>
      </w:pPr>
      <w:r w:rsidRPr="00583E1A">
        <w:tab/>
        <w:t>(a)</w:t>
      </w:r>
      <w:r w:rsidRPr="00583E1A">
        <w:tab/>
        <w:t>in the same way as it applies to an employer; and</w:t>
      </w:r>
    </w:p>
    <w:p w:rsidR="00887330" w:rsidRPr="00583E1A" w:rsidRDefault="00887330" w:rsidP="00887330">
      <w:pPr>
        <w:pStyle w:val="paragraph"/>
      </w:pPr>
      <w:r w:rsidRPr="00583E1A">
        <w:tab/>
        <w:t>(b)</w:t>
      </w:r>
      <w:r w:rsidRPr="00583E1A">
        <w:tab/>
        <w:t>as if an individual to whom the entity makes (or is liable to make) such payments were the entity’s employee.</w:t>
      </w:r>
    </w:p>
    <w:p w:rsidR="00887330" w:rsidRPr="00583E1A" w:rsidRDefault="00887330" w:rsidP="00887330">
      <w:pPr>
        <w:pStyle w:val="SubsectionHead"/>
      </w:pPr>
      <w:r w:rsidRPr="00583E1A">
        <w:t>Withholding payments covered</w:t>
      </w:r>
    </w:p>
    <w:p w:rsidR="00887330" w:rsidRPr="00583E1A" w:rsidRDefault="00887330" w:rsidP="00887330">
      <w:pPr>
        <w:pStyle w:val="subsection"/>
      </w:pPr>
      <w:r w:rsidRPr="00583E1A">
        <w:tab/>
        <w:t>(3)</w:t>
      </w:r>
      <w:r w:rsidRPr="00583E1A">
        <w:tab/>
        <w:t xml:space="preserve">This subsection covers a </w:t>
      </w:r>
      <w:r w:rsidR="00583E1A" w:rsidRPr="00583E1A">
        <w:rPr>
          <w:position w:val="6"/>
          <w:sz w:val="16"/>
        </w:rPr>
        <w:t>*</w:t>
      </w:r>
      <w:r w:rsidRPr="00583E1A">
        <w:t>withholding payment covered by any of the provisions in Schedule</w:t>
      </w:r>
      <w:r w:rsidR="00583E1A">
        <w:t> </w:t>
      </w:r>
      <w:r w:rsidRPr="00583E1A">
        <w:t xml:space="preserve">1 to the </w:t>
      </w:r>
      <w:r w:rsidRPr="00583E1A">
        <w:rPr>
          <w:i/>
        </w:rPr>
        <w:t>Taxation Administration Act 1953</w:t>
      </w:r>
      <w:r w:rsidRPr="00583E1A">
        <w:t xml:space="preserve"> listed in the table.</w:t>
      </w:r>
    </w:p>
    <w:p w:rsidR="00887330" w:rsidRPr="00583E1A" w:rsidRDefault="00887330" w:rsidP="00887330">
      <w:pPr>
        <w:pStyle w:val="Table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769"/>
        <w:gridCol w:w="1782"/>
        <w:gridCol w:w="4598"/>
      </w:tblGrid>
      <w:tr w:rsidR="00887330" w:rsidRPr="00583E1A">
        <w:trPr>
          <w:cantSplit/>
          <w:tblHeader/>
        </w:trPr>
        <w:tc>
          <w:tcPr>
            <w:tcW w:w="7149" w:type="dxa"/>
            <w:gridSpan w:val="3"/>
            <w:tcBorders>
              <w:top w:val="single" w:sz="12" w:space="0" w:color="auto"/>
              <w:left w:val="nil"/>
              <w:bottom w:val="nil"/>
              <w:right w:val="nil"/>
            </w:tcBorders>
          </w:tcPr>
          <w:p w:rsidR="00887330" w:rsidRPr="00583E1A" w:rsidRDefault="00887330" w:rsidP="00887330">
            <w:pPr>
              <w:pStyle w:val="Tabletext"/>
            </w:pPr>
            <w:r w:rsidRPr="00583E1A">
              <w:rPr>
                <w:b/>
              </w:rPr>
              <w:t>Withholding payments covered</w:t>
            </w:r>
          </w:p>
        </w:tc>
      </w:tr>
      <w:tr w:rsidR="00887330" w:rsidRPr="00583E1A">
        <w:trPr>
          <w:cantSplit/>
          <w:tblHeader/>
        </w:trPr>
        <w:tc>
          <w:tcPr>
            <w:tcW w:w="769" w:type="dxa"/>
            <w:tcBorders>
              <w:top w:val="single" w:sz="6" w:space="0" w:color="auto"/>
              <w:left w:val="nil"/>
              <w:bottom w:val="single" w:sz="12" w:space="0" w:color="auto"/>
              <w:right w:val="nil"/>
            </w:tcBorders>
          </w:tcPr>
          <w:p w:rsidR="00887330" w:rsidRPr="00583E1A" w:rsidRDefault="00887330" w:rsidP="00887330">
            <w:pPr>
              <w:pStyle w:val="Tabletext"/>
            </w:pPr>
            <w:r w:rsidRPr="00583E1A">
              <w:rPr>
                <w:b/>
              </w:rPr>
              <w:t>Item</w:t>
            </w:r>
          </w:p>
        </w:tc>
        <w:tc>
          <w:tcPr>
            <w:tcW w:w="1782" w:type="dxa"/>
            <w:tcBorders>
              <w:top w:val="single" w:sz="6" w:space="0" w:color="auto"/>
              <w:left w:val="nil"/>
              <w:bottom w:val="single" w:sz="12" w:space="0" w:color="auto"/>
              <w:right w:val="nil"/>
            </w:tcBorders>
          </w:tcPr>
          <w:p w:rsidR="00887330" w:rsidRPr="00583E1A" w:rsidRDefault="00887330" w:rsidP="00887330">
            <w:pPr>
              <w:pStyle w:val="Tabletext"/>
            </w:pPr>
            <w:r w:rsidRPr="00583E1A">
              <w:rPr>
                <w:b/>
              </w:rPr>
              <w:t>Provision</w:t>
            </w:r>
          </w:p>
        </w:tc>
        <w:tc>
          <w:tcPr>
            <w:tcW w:w="4598" w:type="dxa"/>
            <w:tcBorders>
              <w:top w:val="single" w:sz="6" w:space="0" w:color="auto"/>
              <w:left w:val="nil"/>
              <w:bottom w:val="single" w:sz="12" w:space="0" w:color="auto"/>
              <w:right w:val="nil"/>
            </w:tcBorders>
          </w:tcPr>
          <w:p w:rsidR="00887330" w:rsidRPr="00583E1A" w:rsidRDefault="00887330" w:rsidP="00887330">
            <w:pPr>
              <w:pStyle w:val="Tabletext"/>
            </w:pPr>
            <w:r w:rsidRPr="00583E1A">
              <w:rPr>
                <w:b/>
              </w:rPr>
              <w:t>Subject matter</w:t>
            </w:r>
          </w:p>
        </w:tc>
      </w:tr>
      <w:tr w:rsidR="00887330" w:rsidRPr="00583E1A">
        <w:trPr>
          <w:cantSplit/>
        </w:trPr>
        <w:tc>
          <w:tcPr>
            <w:tcW w:w="769" w:type="dxa"/>
            <w:tcBorders>
              <w:top w:val="single" w:sz="12" w:space="0" w:color="auto"/>
              <w:left w:val="nil"/>
              <w:bottom w:val="single" w:sz="2" w:space="0" w:color="auto"/>
              <w:right w:val="nil"/>
            </w:tcBorders>
            <w:shd w:val="clear" w:color="auto" w:fill="auto"/>
          </w:tcPr>
          <w:p w:rsidR="00887330" w:rsidRPr="00583E1A" w:rsidRDefault="00887330" w:rsidP="00887330">
            <w:pPr>
              <w:pStyle w:val="Tabletext"/>
            </w:pPr>
            <w:r w:rsidRPr="00583E1A">
              <w:t>1</w:t>
            </w:r>
          </w:p>
        </w:tc>
        <w:tc>
          <w:tcPr>
            <w:tcW w:w="1782" w:type="dxa"/>
            <w:tcBorders>
              <w:top w:val="single" w:sz="12" w:space="0" w:color="auto"/>
              <w:left w:val="nil"/>
              <w:bottom w:val="single" w:sz="2" w:space="0" w:color="auto"/>
              <w:right w:val="nil"/>
            </w:tcBorders>
            <w:shd w:val="clear" w:color="auto" w:fill="auto"/>
          </w:tcPr>
          <w:p w:rsidR="00887330" w:rsidRPr="00583E1A" w:rsidRDefault="00887330" w:rsidP="00887330">
            <w:pPr>
              <w:pStyle w:val="Tabletext"/>
            </w:pPr>
            <w:r w:rsidRPr="00583E1A">
              <w:t>Section</w:t>
            </w:r>
            <w:r w:rsidR="00583E1A">
              <w:t> </w:t>
            </w:r>
            <w:r w:rsidRPr="00583E1A">
              <w:t>12</w:t>
            </w:r>
            <w:r w:rsidR="00583E1A">
              <w:noBreakHyphen/>
            </w:r>
            <w:r w:rsidRPr="00583E1A">
              <w:t>35</w:t>
            </w:r>
          </w:p>
        </w:tc>
        <w:tc>
          <w:tcPr>
            <w:tcW w:w="4598" w:type="dxa"/>
            <w:tcBorders>
              <w:top w:val="single" w:sz="12" w:space="0" w:color="auto"/>
              <w:left w:val="nil"/>
              <w:bottom w:val="single" w:sz="2" w:space="0" w:color="auto"/>
              <w:right w:val="nil"/>
            </w:tcBorders>
            <w:shd w:val="clear" w:color="auto" w:fill="auto"/>
          </w:tcPr>
          <w:p w:rsidR="00887330" w:rsidRPr="00583E1A" w:rsidRDefault="00887330" w:rsidP="00887330">
            <w:pPr>
              <w:pStyle w:val="Tabletext"/>
            </w:pPr>
            <w:r w:rsidRPr="00583E1A">
              <w:t>Payment to employee</w:t>
            </w:r>
          </w:p>
        </w:tc>
      </w:tr>
      <w:tr w:rsidR="00887330" w:rsidRPr="00583E1A">
        <w:trPr>
          <w:cantSplit/>
        </w:trPr>
        <w:tc>
          <w:tcPr>
            <w:tcW w:w="769" w:type="dxa"/>
            <w:tcBorders>
              <w:top w:val="single" w:sz="2" w:space="0" w:color="auto"/>
              <w:left w:val="nil"/>
              <w:bottom w:val="single" w:sz="2" w:space="0" w:color="auto"/>
              <w:right w:val="nil"/>
            </w:tcBorders>
            <w:shd w:val="clear" w:color="auto" w:fill="auto"/>
          </w:tcPr>
          <w:p w:rsidR="00887330" w:rsidRPr="00583E1A" w:rsidRDefault="00887330" w:rsidP="00887330">
            <w:pPr>
              <w:pStyle w:val="Tabletext"/>
            </w:pPr>
            <w:r w:rsidRPr="00583E1A">
              <w:t>2</w:t>
            </w:r>
          </w:p>
        </w:tc>
        <w:tc>
          <w:tcPr>
            <w:tcW w:w="1782" w:type="dxa"/>
            <w:tcBorders>
              <w:top w:val="single" w:sz="2" w:space="0" w:color="auto"/>
              <w:left w:val="nil"/>
              <w:bottom w:val="single" w:sz="2" w:space="0" w:color="auto"/>
              <w:right w:val="nil"/>
            </w:tcBorders>
            <w:shd w:val="clear" w:color="auto" w:fill="auto"/>
          </w:tcPr>
          <w:p w:rsidR="00887330" w:rsidRPr="00583E1A" w:rsidRDefault="00887330" w:rsidP="00887330">
            <w:pPr>
              <w:pStyle w:val="Tabletext"/>
            </w:pPr>
            <w:r w:rsidRPr="00583E1A">
              <w:t>Section</w:t>
            </w:r>
            <w:r w:rsidR="00583E1A">
              <w:t> </w:t>
            </w:r>
            <w:r w:rsidRPr="00583E1A">
              <w:t>12</w:t>
            </w:r>
            <w:r w:rsidR="00583E1A">
              <w:noBreakHyphen/>
            </w:r>
            <w:r w:rsidRPr="00583E1A">
              <w:t>40</w:t>
            </w:r>
          </w:p>
        </w:tc>
        <w:tc>
          <w:tcPr>
            <w:tcW w:w="4598" w:type="dxa"/>
            <w:tcBorders>
              <w:top w:val="single" w:sz="2" w:space="0" w:color="auto"/>
              <w:left w:val="nil"/>
              <w:bottom w:val="single" w:sz="2" w:space="0" w:color="auto"/>
              <w:right w:val="nil"/>
            </w:tcBorders>
            <w:shd w:val="clear" w:color="auto" w:fill="auto"/>
          </w:tcPr>
          <w:p w:rsidR="00887330" w:rsidRPr="00583E1A" w:rsidRDefault="00887330" w:rsidP="00887330">
            <w:pPr>
              <w:pStyle w:val="Tabletext"/>
            </w:pPr>
            <w:r w:rsidRPr="00583E1A">
              <w:t>Payment to company director</w:t>
            </w:r>
          </w:p>
        </w:tc>
      </w:tr>
      <w:tr w:rsidR="00887330" w:rsidRPr="00583E1A">
        <w:trPr>
          <w:cantSplit/>
        </w:trPr>
        <w:tc>
          <w:tcPr>
            <w:tcW w:w="769" w:type="dxa"/>
            <w:tcBorders>
              <w:top w:val="single" w:sz="2" w:space="0" w:color="auto"/>
              <w:left w:val="nil"/>
              <w:bottom w:val="single" w:sz="2" w:space="0" w:color="auto"/>
              <w:right w:val="nil"/>
            </w:tcBorders>
            <w:shd w:val="clear" w:color="auto" w:fill="auto"/>
          </w:tcPr>
          <w:p w:rsidR="00887330" w:rsidRPr="00583E1A" w:rsidRDefault="00887330" w:rsidP="00887330">
            <w:pPr>
              <w:pStyle w:val="Tabletext"/>
            </w:pPr>
            <w:r w:rsidRPr="00583E1A">
              <w:t>3</w:t>
            </w:r>
          </w:p>
        </w:tc>
        <w:tc>
          <w:tcPr>
            <w:tcW w:w="1782" w:type="dxa"/>
            <w:tcBorders>
              <w:top w:val="single" w:sz="2" w:space="0" w:color="auto"/>
              <w:left w:val="nil"/>
              <w:bottom w:val="single" w:sz="2" w:space="0" w:color="auto"/>
              <w:right w:val="nil"/>
            </w:tcBorders>
            <w:shd w:val="clear" w:color="auto" w:fill="auto"/>
          </w:tcPr>
          <w:p w:rsidR="00887330" w:rsidRPr="00583E1A" w:rsidRDefault="00887330" w:rsidP="00887330">
            <w:pPr>
              <w:pStyle w:val="Tabletext"/>
            </w:pPr>
            <w:r w:rsidRPr="00583E1A">
              <w:t>Section</w:t>
            </w:r>
            <w:r w:rsidR="00583E1A">
              <w:t> </w:t>
            </w:r>
            <w:r w:rsidRPr="00583E1A">
              <w:t>12</w:t>
            </w:r>
            <w:r w:rsidR="00583E1A">
              <w:noBreakHyphen/>
            </w:r>
            <w:r w:rsidRPr="00583E1A">
              <w:t>45</w:t>
            </w:r>
          </w:p>
        </w:tc>
        <w:tc>
          <w:tcPr>
            <w:tcW w:w="4598" w:type="dxa"/>
            <w:tcBorders>
              <w:top w:val="single" w:sz="2" w:space="0" w:color="auto"/>
              <w:left w:val="nil"/>
              <w:bottom w:val="single" w:sz="2" w:space="0" w:color="auto"/>
              <w:right w:val="nil"/>
            </w:tcBorders>
            <w:shd w:val="clear" w:color="auto" w:fill="auto"/>
          </w:tcPr>
          <w:p w:rsidR="00887330" w:rsidRPr="00583E1A" w:rsidRDefault="00887330" w:rsidP="00887330">
            <w:pPr>
              <w:pStyle w:val="Tabletext"/>
            </w:pPr>
            <w:r w:rsidRPr="00583E1A">
              <w:t>Payment to office holder</w:t>
            </w:r>
          </w:p>
        </w:tc>
      </w:tr>
      <w:tr w:rsidR="00887330" w:rsidRPr="00583E1A">
        <w:trPr>
          <w:cantSplit/>
        </w:trPr>
        <w:tc>
          <w:tcPr>
            <w:tcW w:w="769" w:type="dxa"/>
            <w:tcBorders>
              <w:top w:val="single" w:sz="2" w:space="0" w:color="auto"/>
              <w:left w:val="nil"/>
              <w:bottom w:val="single" w:sz="2" w:space="0" w:color="auto"/>
              <w:right w:val="nil"/>
            </w:tcBorders>
            <w:shd w:val="clear" w:color="auto" w:fill="auto"/>
          </w:tcPr>
          <w:p w:rsidR="00887330" w:rsidRPr="00583E1A" w:rsidRDefault="00887330" w:rsidP="00887330">
            <w:pPr>
              <w:pStyle w:val="Tabletext"/>
            </w:pPr>
            <w:r w:rsidRPr="00583E1A">
              <w:t>3A</w:t>
            </w:r>
          </w:p>
        </w:tc>
        <w:tc>
          <w:tcPr>
            <w:tcW w:w="1782" w:type="dxa"/>
            <w:tcBorders>
              <w:top w:val="single" w:sz="2" w:space="0" w:color="auto"/>
              <w:left w:val="nil"/>
              <w:bottom w:val="single" w:sz="2" w:space="0" w:color="auto"/>
              <w:right w:val="nil"/>
            </w:tcBorders>
            <w:shd w:val="clear" w:color="auto" w:fill="auto"/>
          </w:tcPr>
          <w:p w:rsidR="00887330" w:rsidRPr="00583E1A" w:rsidRDefault="00887330" w:rsidP="00887330">
            <w:pPr>
              <w:pStyle w:val="Tabletext"/>
            </w:pPr>
            <w:r w:rsidRPr="00583E1A">
              <w:t>Section</w:t>
            </w:r>
            <w:r w:rsidR="00583E1A">
              <w:t> </w:t>
            </w:r>
            <w:r w:rsidRPr="00583E1A">
              <w:t>12</w:t>
            </w:r>
            <w:r w:rsidR="00583E1A">
              <w:noBreakHyphen/>
            </w:r>
            <w:r w:rsidRPr="00583E1A">
              <w:t>47</w:t>
            </w:r>
          </w:p>
        </w:tc>
        <w:tc>
          <w:tcPr>
            <w:tcW w:w="4598" w:type="dxa"/>
            <w:tcBorders>
              <w:top w:val="single" w:sz="2" w:space="0" w:color="auto"/>
              <w:left w:val="nil"/>
              <w:bottom w:val="single" w:sz="2" w:space="0" w:color="auto"/>
              <w:right w:val="nil"/>
            </w:tcBorders>
            <w:shd w:val="clear" w:color="auto" w:fill="auto"/>
          </w:tcPr>
          <w:p w:rsidR="00887330" w:rsidRPr="00583E1A" w:rsidRDefault="00887330" w:rsidP="00887330">
            <w:pPr>
              <w:pStyle w:val="Tabletext"/>
            </w:pPr>
            <w:r w:rsidRPr="00583E1A">
              <w:t xml:space="preserve">Payment to </w:t>
            </w:r>
            <w:r w:rsidR="00583E1A" w:rsidRPr="00583E1A">
              <w:rPr>
                <w:position w:val="6"/>
                <w:sz w:val="16"/>
              </w:rPr>
              <w:t>*</w:t>
            </w:r>
            <w:r w:rsidRPr="00583E1A">
              <w:t>religious practitioner</w:t>
            </w:r>
          </w:p>
        </w:tc>
      </w:tr>
      <w:tr w:rsidR="00887330" w:rsidRPr="00583E1A">
        <w:trPr>
          <w:cantSplit/>
        </w:trPr>
        <w:tc>
          <w:tcPr>
            <w:tcW w:w="769" w:type="dxa"/>
            <w:tcBorders>
              <w:top w:val="single" w:sz="2" w:space="0" w:color="auto"/>
              <w:left w:val="nil"/>
              <w:bottom w:val="single" w:sz="2" w:space="0" w:color="auto"/>
              <w:right w:val="nil"/>
            </w:tcBorders>
            <w:shd w:val="clear" w:color="auto" w:fill="auto"/>
          </w:tcPr>
          <w:p w:rsidR="00887330" w:rsidRPr="00583E1A" w:rsidRDefault="00887330" w:rsidP="00887330">
            <w:pPr>
              <w:pStyle w:val="Tabletext"/>
            </w:pPr>
            <w:r w:rsidRPr="00583E1A">
              <w:t>4</w:t>
            </w:r>
          </w:p>
        </w:tc>
        <w:tc>
          <w:tcPr>
            <w:tcW w:w="1782" w:type="dxa"/>
            <w:tcBorders>
              <w:top w:val="single" w:sz="2" w:space="0" w:color="auto"/>
              <w:left w:val="nil"/>
              <w:bottom w:val="single" w:sz="2" w:space="0" w:color="auto"/>
              <w:right w:val="nil"/>
            </w:tcBorders>
            <w:shd w:val="clear" w:color="auto" w:fill="auto"/>
          </w:tcPr>
          <w:p w:rsidR="00887330" w:rsidRPr="00583E1A" w:rsidRDefault="00887330" w:rsidP="00887330">
            <w:pPr>
              <w:pStyle w:val="Tabletext"/>
            </w:pPr>
            <w:r w:rsidRPr="00583E1A">
              <w:t>Section</w:t>
            </w:r>
            <w:r w:rsidR="00583E1A">
              <w:t> </w:t>
            </w:r>
            <w:r w:rsidRPr="00583E1A">
              <w:t>12</w:t>
            </w:r>
            <w:r w:rsidR="00583E1A">
              <w:noBreakHyphen/>
            </w:r>
            <w:r w:rsidRPr="00583E1A">
              <w:t>50</w:t>
            </w:r>
          </w:p>
        </w:tc>
        <w:tc>
          <w:tcPr>
            <w:tcW w:w="4598" w:type="dxa"/>
            <w:tcBorders>
              <w:top w:val="single" w:sz="2" w:space="0" w:color="auto"/>
              <w:left w:val="nil"/>
              <w:bottom w:val="single" w:sz="2" w:space="0" w:color="auto"/>
              <w:right w:val="nil"/>
            </w:tcBorders>
            <w:shd w:val="clear" w:color="auto" w:fill="auto"/>
          </w:tcPr>
          <w:p w:rsidR="00887330" w:rsidRPr="00583E1A" w:rsidRDefault="00887330" w:rsidP="00887330">
            <w:pPr>
              <w:pStyle w:val="Tabletext"/>
            </w:pPr>
            <w:r w:rsidRPr="00583E1A">
              <w:t>Return to work payment</w:t>
            </w:r>
          </w:p>
        </w:tc>
      </w:tr>
      <w:tr w:rsidR="001D47F0" w:rsidRPr="00583E1A">
        <w:trPr>
          <w:cantSplit/>
        </w:trPr>
        <w:tc>
          <w:tcPr>
            <w:tcW w:w="769" w:type="dxa"/>
            <w:tcBorders>
              <w:top w:val="single" w:sz="2" w:space="0" w:color="auto"/>
              <w:left w:val="nil"/>
              <w:bottom w:val="single" w:sz="2" w:space="0" w:color="auto"/>
              <w:right w:val="nil"/>
            </w:tcBorders>
            <w:shd w:val="clear" w:color="auto" w:fill="auto"/>
          </w:tcPr>
          <w:p w:rsidR="001D47F0" w:rsidRPr="00583E1A" w:rsidRDefault="001D47F0" w:rsidP="00887330">
            <w:pPr>
              <w:pStyle w:val="Tabletext"/>
            </w:pPr>
            <w:r w:rsidRPr="00583E1A">
              <w:t>5</w:t>
            </w:r>
          </w:p>
        </w:tc>
        <w:tc>
          <w:tcPr>
            <w:tcW w:w="1782" w:type="dxa"/>
            <w:tcBorders>
              <w:top w:val="single" w:sz="2" w:space="0" w:color="auto"/>
              <w:left w:val="nil"/>
              <w:bottom w:val="single" w:sz="2" w:space="0" w:color="auto"/>
              <w:right w:val="nil"/>
            </w:tcBorders>
            <w:shd w:val="clear" w:color="auto" w:fill="auto"/>
          </w:tcPr>
          <w:p w:rsidR="001D47F0" w:rsidRPr="00583E1A" w:rsidRDefault="001D47F0" w:rsidP="00887330">
            <w:pPr>
              <w:pStyle w:val="Tabletext"/>
            </w:pPr>
            <w:r w:rsidRPr="00583E1A">
              <w:t>Subdivision</w:t>
            </w:r>
            <w:r>
              <w:t> </w:t>
            </w:r>
            <w:r w:rsidRPr="00583E1A">
              <w:t>12</w:t>
            </w:r>
            <w:r>
              <w:noBreakHyphen/>
            </w:r>
            <w:r w:rsidRPr="00583E1A">
              <w:t>C</w:t>
            </w:r>
          </w:p>
        </w:tc>
        <w:tc>
          <w:tcPr>
            <w:tcW w:w="4598" w:type="dxa"/>
            <w:tcBorders>
              <w:top w:val="single" w:sz="2" w:space="0" w:color="auto"/>
              <w:left w:val="nil"/>
              <w:bottom w:val="single" w:sz="2" w:space="0" w:color="auto"/>
              <w:right w:val="nil"/>
            </w:tcBorders>
            <w:shd w:val="clear" w:color="auto" w:fill="auto"/>
          </w:tcPr>
          <w:p w:rsidR="001D47F0" w:rsidRPr="00583E1A" w:rsidRDefault="001D47F0" w:rsidP="00887330">
            <w:pPr>
              <w:pStyle w:val="Tabletext"/>
            </w:pPr>
            <w:r w:rsidRPr="0038586A">
              <w:t>Payments for retirement or because of termination of employment</w:t>
            </w:r>
          </w:p>
        </w:tc>
      </w:tr>
      <w:tr w:rsidR="00887330" w:rsidRPr="00583E1A">
        <w:trPr>
          <w:cantSplit/>
        </w:trPr>
        <w:tc>
          <w:tcPr>
            <w:tcW w:w="769" w:type="dxa"/>
            <w:tcBorders>
              <w:top w:val="single" w:sz="2" w:space="0" w:color="auto"/>
              <w:left w:val="nil"/>
              <w:bottom w:val="single" w:sz="12" w:space="0" w:color="auto"/>
              <w:right w:val="nil"/>
            </w:tcBorders>
          </w:tcPr>
          <w:p w:rsidR="00887330" w:rsidRPr="00583E1A" w:rsidRDefault="00887330" w:rsidP="00887330">
            <w:pPr>
              <w:pStyle w:val="Tabletext"/>
            </w:pPr>
            <w:r w:rsidRPr="00583E1A">
              <w:t>6</w:t>
            </w:r>
          </w:p>
        </w:tc>
        <w:tc>
          <w:tcPr>
            <w:tcW w:w="1782" w:type="dxa"/>
            <w:tcBorders>
              <w:top w:val="single" w:sz="2" w:space="0" w:color="auto"/>
              <w:left w:val="nil"/>
              <w:bottom w:val="single" w:sz="12" w:space="0" w:color="auto"/>
              <w:right w:val="nil"/>
            </w:tcBorders>
          </w:tcPr>
          <w:p w:rsidR="00887330" w:rsidRPr="00583E1A" w:rsidRDefault="00887330" w:rsidP="00887330">
            <w:pPr>
              <w:pStyle w:val="Tabletext"/>
            </w:pPr>
            <w:r w:rsidRPr="00583E1A">
              <w:t>Subdivision</w:t>
            </w:r>
            <w:r w:rsidR="00583E1A">
              <w:t> </w:t>
            </w:r>
            <w:r w:rsidRPr="00583E1A">
              <w:t>12</w:t>
            </w:r>
            <w:r w:rsidR="00583E1A">
              <w:noBreakHyphen/>
            </w:r>
            <w:r w:rsidRPr="00583E1A">
              <w:t>D</w:t>
            </w:r>
          </w:p>
        </w:tc>
        <w:tc>
          <w:tcPr>
            <w:tcW w:w="4598" w:type="dxa"/>
            <w:tcBorders>
              <w:top w:val="single" w:sz="2" w:space="0" w:color="auto"/>
              <w:left w:val="nil"/>
              <w:bottom w:val="single" w:sz="12" w:space="0" w:color="auto"/>
              <w:right w:val="nil"/>
            </w:tcBorders>
          </w:tcPr>
          <w:p w:rsidR="00887330" w:rsidRPr="00583E1A" w:rsidRDefault="00887330" w:rsidP="00887330">
            <w:pPr>
              <w:pStyle w:val="Tabletext"/>
            </w:pPr>
            <w:r w:rsidRPr="00583E1A">
              <w:t>Benefit and compensation payments</w:t>
            </w:r>
          </w:p>
        </w:tc>
      </w:tr>
    </w:tbl>
    <w:p w:rsidR="00887330" w:rsidRPr="00583E1A" w:rsidRDefault="00887330" w:rsidP="00887330">
      <w:pPr>
        <w:pStyle w:val="ActHead4"/>
      </w:pPr>
      <w:bookmarkStart w:id="438" w:name="_Toc338939512"/>
      <w:r w:rsidRPr="00583E1A">
        <w:rPr>
          <w:rStyle w:val="CharSubdNo"/>
        </w:rPr>
        <w:t>Subdivision</w:t>
      </w:r>
      <w:r w:rsidR="00583E1A">
        <w:rPr>
          <w:rStyle w:val="CharSubdNo"/>
        </w:rPr>
        <w:t> </w:t>
      </w:r>
      <w:r w:rsidRPr="00583E1A">
        <w:rPr>
          <w:rStyle w:val="CharSubdNo"/>
        </w:rPr>
        <w:t>900</w:t>
      </w:r>
      <w:r w:rsidR="00583E1A">
        <w:rPr>
          <w:rStyle w:val="CharSubdNo"/>
        </w:rPr>
        <w:noBreakHyphen/>
      </w:r>
      <w:r w:rsidRPr="00583E1A">
        <w:rPr>
          <w:rStyle w:val="CharSubdNo"/>
        </w:rPr>
        <w:t>B</w:t>
      </w:r>
      <w:r w:rsidRPr="00583E1A">
        <w:t>—</w:t>
      </w:r>
      <w:r w:rsidRPr="00583E1A">
        <w:rPr>
          <w:rStyle w:val="CharSubdText"/>
        </w:rPr>
        <w:t>Substantiating work expenses</w:t>
      </w:r>
      <w:bookmarkEnd w:id="438"/>
    </w:p>
    <w:p w:rsidR="00887330" w:rsidRPr="00583E1A" w:rsidRDefault="00887330" w:rsidP="00887330">
      <w:pPr>
        <w:pStyle w:val="TofSectsHeading"/>
        <w:keepNext/>
        <w:keepLines/>
      </w:pPr>
      <w:r w:rsidRPr="00583E1A">
        <w:t>Table of sections</w:t>
      </w:r>
    </w:p>
    <w:p w:rsidR="00887330" w:rsidRPr="00583E1A" w:rsidRDefault="00887330" w:rsidP="00887330">
      <w:pPr>
        <w:pStyle w:val="TofSectsSection"/>
        <w:keepNext/>
      </w:pPr>
      <w:r w:rsidRPr="00583E1A">
        <w:t>900</w:t>
      </w:r>
      <w:r w:rsidR="00583E1A">
        <w:noBreakHyphen/>
      </w:r>
      <w:r w:rsidRPr="00583E1A">
        <w:t>15</w:t>
      </w:r>
      <w:r w:rsidRPr="00583E1A">
        <w:tab/>
        <w:t>Getting written evidence</w:t>
      </w:r>
    </w:p>
    <w:p w:rsidR="00887330" w:rsidRPr="00583E1A" w:rsidRDefault="00887330" w:rsidP="00887330">
      <w:pPr>
        <w:pStyle w:val="TofSectsSection"/>
      </w:pPr>
      <w:r w:rsidRPr="00583E1A">
        <w:t>900</w:t>
      </w:r>
      <w:r w:rsidR="00583E1A">
        <w:noBreakHyphen/>
      </w:r>
      <w:r w:rsidRPr="00583E1A">
        <w:t>20</w:t>
      </w:r>
      <w:r w:rsidRPr="00583E1A">
        <w:tab/>
        <w:t>Keeping travel records</w:t>
      </w:r>
    </w:p>
    <w:p w:rsidR="00887330" w:rsidRPr="00583E1A" w:rsidRDefault="00887330" w:rsidP="00887330">
      <w:pPr>
        <w:pStyle w:val="TofSectsSection"/>
      </w:pPr>
      <w:r w:rsidRPr="00583E1A">
        <w:t>900</w:t>
      </w:r>
      <w:r w:rsidR="00583E1A">
        <w:noBreakHyphen/>
      </w:r>
      <w:r w:rsidRPr="00583E1A">
        <w:t>25</w:t>
      </w:r>
      <w:r w:rsidRPr="00583E1A">
        <w:tab/>
        <w:t>Retaining the written evidence and travel records</w:t>
      </w:r>
    </w:p>
    <w:p w:rsidR="00887330" w:rsidRPr="00583E1A" w:rsidRDefault="00887330" w:rsidP="00887330">
      <w:pPr>
        <w:pStyle w:val="TofSectsSection"/>
      </w:pPr>
      <w:r w:rsidRPr="00583E1A">
        <w:t>900</w:t>
      </w:r>
      <w:r w:rsidR="00583E1A">
        <w:noBreakHyphen/>
      </w:r>
      <w:r w:rsidRPr="00583E1A">
        <w:t>30</w:t>
      </w:r>
      <w:r w:rsidRPr="00583E1A">
        <w:tab/>
        <w:t xml:space="preserve">Meaning of </w:t>
      </w:r>
      <w:r w:rsidRPr="00583E1A">
        <w:rPr>
          <w:i/>
        </w:rPr>
        <w:t>work expense</w:t>
      </w:r>
    </w:p>
    <w:p w:rsidR="00887330" w:rsidRPr="00583E1A" w:rsidRDefault="00887330" w:rsidP="00887330">
      <w:pPr>
        <w:pStyle w:val="TofSectsSection"/>
      </w:pPr>
      <w:r w:rsidRPr="00583E1A">
        <w:t>900</w:t>
      </w:r>
      <w:r w:rsidR="00583E1A">
        <w:noBreakHyphen/>
      </w:r>
      <w:r w:rsidRPr="00583E1A">
        <w:t>35</w:t>
      </w:r>
      <w:r w:rsidRPr="00583E1A">
        <w:tab/>
        <w:t>Exception for small total of expenses</w:t>
      </w:r>
    </w:p>
    <w:p w:rsidR="00887330" w:rsidRPr="00583E1A" w:rsidRDefault="00887330" w:rsidP="00887330">
      <w:pPr>
        <w:pStyle w:val="TofSectsSection"/>
      </w:pPr>
      <w:r w:rsidRPr="00583E1A">
        <w:t>900</w:t>
      </w:r>
      <w:r w:rsidR="00583E1A">
        <w:noBreakHyphen/>
      </w:r>
      <w:r w:rsidRPr="00583E1A">
        <w:t>40</w:t>
      </w:r>
      <w:r w:rsidRPr="00583E1A">
        <w:tab/>
        <w:t>Exception for laundry expenses below a certain limit</w:t>
      </w:r>
    </w:p>
    <w:p w:rsidR="00887330" w:rsidRPr="00583E1A" w:rsidRDefault="00887330" w:rsidP="00887330">
      <w:pPr>
        <w:pStyle w:val="TofSectsSection"/>
      </w:pPr>
      <w:r w:rsidRPr="00583E1A">
        <w:lastRenderedPageBreak/>
        <w:t>900</w:t>
      </w:r>
      <w:r w:rsidR="00583E1A">
        <w:noBreakHyphen/>
      </w:r>
      <w:r w:rsidRPr="00583E1A">
        <w:t>45</w:t>
      </w:r>
      <w:r w:rsidRPr="00583E1A">
        <w:tab/>
        <w:t>Exception for work expense related to award transport payment</w:t>
      </w:r>
    </w:p>
    <w:p w:rsidR="00887330" w:rsidRPr="00583E1A" w:rsidRDefault="00887330" w:rsidP="00887330">
      <w:pPr>
        <w:pStyle w:val="TofSectsSection"/>
      </w:pPr>
      <w:r w:rsidRPr="00583E1A">
        <w:t>900</w:t>
      </w:r>
      <w:r w:rsidR="00583E1A">
        <w:noBreakHyphen/>
      </w:r>
      <w:r w:rsidRPr="00583E1A">
        <w:t>50</w:t>
      </w:r>
      <w:r w:rsidRPr="00583E1A">
        <w:tab/>
        <w:t>Exception for domestic travel allowance expenses</w:t>
      </w:r>
    </w:p>
    <w:p w:rsidR="00887330" w:rsidRPr="00583E1A" w:rsidRDefault="00887330" w:rsidP="00887330">
      <w:pPr>
        <w:pStyle w:val="TofSectsSection"/>
      </w:pPr>
      <w:r w:rsidRPr="00583E1A">
        <w:t>900</w:t>
      </w:r>
      <w:r w:rsidR="00583E1A">
        <w:noBreakHyphen/>
      </w:r>
      <w:r w:rsidRPr="00583E1A">
        <w:t>55</w:t>
      </w:r>
      <w:r w:rsidRPr="00583E1A">
        <w:tab/>
        <w:t>Exception for overseas travel allowance expenses</w:t>
      </w:r>
    </w:p>
    <w:p w:rsidR="00887330" w:rsidRPr="00583E1A" w:rsidRDefault="00887330" w:rsidP="00887330">
      <w:pPr>
        <w:pStyle w:val="TofSectsSection"/>
      </w:pPr>
      <w:r w:rsidRPr="00583E1A">
        <w:t>900</w:t>
      </w:r>
      <w:r w:rsidR="00583E1A">
        <w:noBreakHyphen/>
      </w:r>
      <w:r w:rsidRPr="00583E1A">
        <w:t>60</w:t>
      </w:r>
      <w:r w:rsidRPr="00583E1A">
        <w:tab/>
        <w:t>Exception for reasonable overtime meal allowance</w:t>
      </w:r>
    </w:p>
    <w:p w:rsidR="00887330" w:rsidRPr="00583E1A" w:rsidRDefault="00887330" w:rsidP="00887330">
      <w:pPr>
        <w:pStyle w:val="TofSectsSection"/>
      </w:pPr>
      <w:r w:rsidRPr="00583E1A">
        <w:t>900</w:t>
      </w:r>
      <w:r w:rsidR="00583E1A">
        <w:noBreakHyphen/>
      </w:r>
      <w:r w:rsidRPr="00583E1A">
        <w:t>65</w:t>
      </w:r>
      <w:r w:rsidRPr="00583E1A">
        <w:tab/>
        <w:t>Crew members on international flights need not keep travel records</w:t>
      </w:r>
    </w:p>
    <w:p w:rsidR="00887330" w:rsidRPr="00583E1A" w:rsidRDefault="00887330" w:rsidP="00887330">
      <w:pPr>
        <w:pStyle w:val="ActHead5"/>
      </w:pPr>
      <w:bookmarkStart w:id="439" w:name="_Toc338939513"/>
      <w:r w:rsidRPr="00583E1A">
        <w:rPr>
          <w:rStyle w:val="CharSectno"/>
        </w:rPr>
        <w:t>900</w:t>
      </w:r>
      <w:r w:rsidR="00583E1A">
        <w:rPr>
          <w:rStyle w:val="CharSectno"/>
        </w:rPr>
        <w:noBreakHyphen/>
      </w:r>
      <w:r w:rsidRPr="00583E1A">
        <w:rPr>
          <w:rStyle w:val="CharSectno"/>
        </w:rPr>
        <w:t>15</w:t>
      </w:r>
      <w:r w:rsidRPr="00583E1A">
        <w:t xml:space="preserve">  Getting written evidence</w:t>
      </w:r>
      <w:bookmarkEnd w:id="439"/>
    </w:p>
    <w:p w:rsidR="00887330" w:rsidRPr="00583E1A" w:rsidRDefault="00887330" w:rsidP="00887330">
      <w:pPr>
        <w:pStyle w:val="subsection"/>
      </w:pPr>
      <w:r w:rsidRPr="00583E1A">
        <w:tab/>
        <w:t>(1)</w:t>
      </w:r>
      <w:r w:rsidRPr="00583E1A">
        <w:rPr>
          <w:b/>
        </w:rPr>
        <w:tab/>
      </w:r>
      <w:r w:rsidRPr="00583E1A">
        <w:t xml:space="preserve">To deduct a </w:t>
      </w:r>
      <w:r w:rsidR="00583E1A" w:rsidRPr="00583E1A">
        <w:rPr>
          <w:position w:val="6"/>
          <w:sz w:val="16"/>
        </w:rPr>
        <w:t>*</w:t>
      </w:r>
      <w:r w:rsidRPr="00583E1A">
        <w:t>work expense:</w:t>
      </w:r>
    </w:p>
    <w:p w:rsidR="00887330" w:rsidRPr="00583E1A" w:rsidRDefault="00887330" w:rsidP="00887330">
      <w:pPr>
        <w:pStyle w:val="paragraph"/>
      </w:pPr>
      <w:r w:rsidRPr="00583E1A">
        <w:tab/>
        <w:t>(a)</w:t>
      </w:r>
      <w:r w:rsidRPr="00583E1A">
        <w:tab/>
        <w:t>it must qualify as a deduction under some provision of this Act outside this Division; and</w:t>
      </w:r>
    </w:p>
    <w:p w:rsidR="00887330" w:rsidRPr="00583E1A" w:rsidRDefault="00887330" w:rsidP="00887330">
      <w:pPr>
        <w:pStyle w:val="paragraph"/>
        <w:keepNext/>
      </w:pPr>
      <w:r w:rsidRPr="00583E1A">
        <w:tab/>
        <w:t>(b)</w:t>
      </w:r>
      <w:r w:rsidRPr="00583E1A">
        <w:tab/>
        <w:t xml:space="preserve">you need to substantiate it by getting written evidence. </w:t>
      </w:r>
    </w:p>
    <w:p w:rsidR="00887330" w:rsidRPr="00583E1A" w:rsidRDefault="00887330" w:rsidP="00887330">
      <w:pPr>
        <w:pStyle w:val="subsection2"/>
        <w:keepNext/>
      </w:pPr>
      <w:r w:rsidRPr="00583E1A">
        <w:t>Subdivision</w:t>
      </w:r>
      <w:r w:rsidR="00583E1A">
        <w:t> </w:t>
      </w:r>
      <w:r w:rsidRPr="00583E1A">
        <w:t>900</w:t>
      </w:r>
      <w:r w:rsidR="00583E1A">
        <w:noBreakHyphen/>
      </w:r>
      <w:r w:rsidRPr="00583E1A">
        <w:t>E tells you about the evidence you need.</w:t>
      </w:r>
    </w:p>
    <w:p w:rsidR="00887330" w:rsidRPr="00583E1A" w:rsidRDefault="00887330" w:rsidP="00887330">
      <w:pPr>
        <w:pStyle w:val="TLPnoteright"/>
      </w:pPr>
      <w:r w:rsidRPr="00583E1A">
        <w:t>To find out whether an expense qualifies as a deduction under this Act, see Division</w:t>
      </w:r>
      <w:r w:rsidR="00583E1A">
        <w:t> </w:t>
      </w:r>
      <w:r w:rsidRPr="00583E1A">
        <w:t>8 (Deductions).</w:t>
      </w:r>
    </w:p>
    <w:p w:rsidR="00887330" w:rsidRPr="00583E1A" w:rsidRDefault="00887330" w:rsidP="00887330">
      <w:pPr>
        <w:pStyle w:val="subsection"/>
      </w:pPr>
      <w:r w:rsidRPr="00583E1A">
        <w:tab/>
        <w:t>(2)</w:t>
      </w:r>
      <w:r w:rsidRPr="00583E1A">
        <w:tab/>
        <w:t>If your expense is for fuel or oil, you have a choice of either:</w:t>
      </w:r>
    </w:p>
    <w:p w:rsidR="00887330" w:rsidRPr="00583E1A" w:rsidRDefault="00887330" w:rsidP="00887330">
      <w:pPr>
        <w:pStyle w:val="paragraph"/>
      </w:pPr>
      <w:r w:rsidRPr="00583E1A">
        <w:tab/>
        <w:t>(a)</w:t>
      </w:r>
      <w:r w:rsidRPr="00583E1A">
        <w:tab/>
        <w:t>getting written evidence of it under Subdivision</w:t>
      </w:r>
      <w:r w:rsidR="00583E1A">
        <w:t> </w:t>
      </w:r>
      <w:r w:rsidRPr="00583E1A">
        <w:t>900</w:t>
      </w:r>
      <w:r w:rsidR="00583E1A">
        <w:noBreakHyphen/>
      </w:r>
      <w:r w:rsidRPr="00583E1A">
        <w:t>E; or</w:t>
      </w:r>
    </w:p>
    <w:p w:rsidR="00887330" w:rsidRPr="00583E1A" w:rsidRDefault="00887330" w:rsidP="00887330">
      <w:pPr>
        <w:pStyle w:val="paragraph"/>
      </w:pPr>
      <w:r w:rsidRPr="00583E1A">
        <w:tab/>
        <w:t>(b)</w:t>
      </w:r>
      <w:r w:rsidRPr="00583E1A">
        <w:tab/>
        <w:t xml:space="preserve">keeping odometer records for the period when you owned or leased the </w:t>
      </w:r>
      <w:r w:rsidR="00583E1A" w:rsidRPr="00583E1A">
        <w:rPr>
          <w:position w:val="6"/>
          <w:sz w:val="16"/>
        </w:rPr>
        <w:t>*</w:t>
      </w:r>
      <w:r w:rsidRPr="00583E1A">
        <w:t>car in the income year.</w:t>
      </w:r>
    </w:p>
    <w:p w:rsidR="00887330" w:rsidRPr="00583E1A" w:rsidRDefault="00887330" w:rsidP="00887330">
      <w:pPr>
        <w:pStyle w:val="subsection2"/>
      </w:pPr>
      <w:r w:rsidRPr="00583E1A">
        <w:t>Subdivision</w:t>
      </w:r>
      <w:r w:rsidR="00583E1A">
        <w:t> </w:t>
      </w:r>
      <w:r w:rsidRPr="00583E1A">
        <w:t>28</w:t>
      </w:r>
      <w:r w:rsidR="00583E1A">
        <w:noBreakHyphen/>
      </w:r>
      <w:r w:rsidRPr="00583E1A">
        <w:t>H tells you about odometer records.</w:t>
      </w:r>
    </w:p>
    <w:p w:rsidR="00887330" w:rsidRPr="00583E1A" w:rsidRDefault="00887330" w:rsidP="00887330">
      <w:pPr>
        <w:pStyle w:val="notetext"/>
      </w:pPr>
      <w:r w:rsidRPr="00583E1A">
        <w:t>Note:</w:t>
      </w:r>
      <w:r w:rsidRPr="00583E1A">
        <w:tab/>
        <w:t>In certain circumstances (for example, under a hire purchase agreement) the notional buyer of property is taken to be its owner (see subsection 240</w:t>
      </w:r>
      <w:r w:rsidR="00583E1A">
        <w:noBreakHyphen/>
      </w:r>
      <w:r w:rsidRPr="00583E1A">
        <w:t>20(2)).</w:t>
      </w:r>
    </w:p>
    <w:p w:rsidR="00887330" w:rsidRPr="00583E1A" w:rsidRDefault="00887330" w:rsidP="00887330">
      <w:pPr>
        <w:pStyle w:val="ActHead5"/>
      </w:pPr>
      <w:bookmarkStart w:id="440" w:name="_Toc338939514"/>
      <w:r w:rsidRPr="00583E1A">
        <w:rPr>
          <w:rStyle w:val="CharSectno"/>
        </w:rPr>
        <w:t>900</w:t>
      </w:r>
      <w:r w:rsidR="00583E1A">
        <w:rPr>
          <w:rStyle w:val="CharSectno"/>
        </w:rPr>
        <w:noBreakHyphen/>
      </w:r>
      <w:r w:rsidRPr="00583E1A">
        <w:rPr>
          <w:rStyle w:val="CharSectno"/>
        </w:rPr>
        <w:t>20</w:t>
      </w:r>
      <w:r w:rsidRPr="00583E1A">
        <w:t xml:space="preserve">  Keeping travel records</w:t>
      </w:r>
      <w:bookmarkEnd w:id="440"/>
    </w:p>
    <w:p w:rsidR="00887330" w:rsidRPr="00583E1A" w:rsidRDefault="00887330" w:rsidP="00887330">
      <w:pPr>
        <w:pStyle w:val="subsection"/>
      </w:pPr>
      <w:r w:rsidRPr="00583E1A">
        <w:tab/>
      </w:r>
      <w:r w:rsidRPr="00583E1A">
        <w:tab/>
        <w:t>You need to keep travel records if your expense is for travel that involves you being away from your ordinary residence for 6 or more nights in a row.</w:t>
      </w:r>
    </w:p>
    <w:p w:rsidR="00887330" w:rsidRPr="00583E1A" w:rsidRDefault="00887330" w:rsidP="00887330">
      <w:pPr>
        <w:pStyle w:val="subsection"/>
      </w:pPr>
      <w:r w:rsidRPr="00583E1A">
        <w:tab/>
      </w:r>
      <w:r w:rsidRPr="00583E1A">
        <w:tab/>
        <w:t xml:space="preserve">The travel may be within or outside </w:t>
      </w:r>
      <w:smartTag w:uri="urn:schemas-microsoft-com:office:smarttags" w:element="country-region">
        <w:smartTag w:uri="urn:schemas-microsoft-com:office:smarttags" w:element="place">
          <w:r w:rsidRPr="00583E1A">
            <w:t>Australia</w:t>
          </w:r>
        </w:smartTag>
      </w:smartTag>
      <w:r w:rsidRPr="00583E1A">
        <w:t>. Subdivision</w:t>
      </w:r>
      <w:r w:rsidR="00583E1A">
        <w:t> </w:t>
      </w:r>
      <w:r w:rsidRPr="00583E1A">
        <w:t>900</w:t>
      </w:r>
      <w:r w:rsidR="00583E1A">
        <w:noBreakHyphen/>
      </w:r>
      <w:r w:rsidRPr="00583E1A">
        <w:t>F tells you about travel records.</w:t>
      </w:r>
    </w:p>
    <w:p w:rsidR="00887330" w:rsidRPr="00583E1A" w:rsidRDefault="00887330" w:rsidP="00887330">
      <w:pPr>
        <w:pStyle w:val="notetext"/>
      </w:pPr>
      <w:r w:rsidRPr="00583E1A">
        <w:t>Note:</w:t>
      </w:r>
      <w:r w:rsidRPr="00583E1A">
        <w:tab/>
        <w:t>Members of international flight crews may be exempt from keeping travel records for losses or outgoings covered by travel allowances: see section</w:t>
      </w:r>
      <w:r w:rsidR="00583E1A">
        <w:t> </w:t>
      </w:r>
      <w:r w:rsidRPr="00583E1A">
        <w:t>900</w:t>
      </w:r>
      <w:r w:rsidR="00583E1A">
        <w:noBreakHyphen/>
      </w:r>
      <w:r w:rsidRPr="00583E1A">
        <w:t>65.</w:t>
      </w:r>
    </w:p>
    <w:p w:rsidR="00887330" w:rsidRPr="00583E1A" w:rsidRDefault="00887330" w:rsidP="00887330">
      <w:pPr>
        <w:pStyle w:val="ActHead5"/>
      </w:pPr>
      <w:bookmarkStart w:id="441" w:name="_Toc338939515"/>
      <w:r w:rsidRPr="00583E1A">
        <w:rPr>
          <w:rStyle w:val="CharSectno"/>
        </w:rPr>
        <w:lastRenderedPageBreak/>
        <w:t>900</w:t>
      </w:r>
      <w:r w:rsidR="00583E1A">
        <w:rPr>
          <w:rStyle w:val="CharSectno"/>
        </w:rPr>
        <w:noBreakHyphen/>
      </w:r>
      <w:r w:rsidRPr="00583E1A">
        <w:rPr>
          <w:rStyle w:val="CharSectno"/>
        </w:rPr>
        <w:t>25</w:t>
      </w:r>
      <w:r w:rsidRPr="00583E1A">
        <w:t xml:space="preserve">  Retaining the written evidence and travel records</w:t>
      </w:r>
      <w:bookmarkEnd w:id="441"/>
    </w:p>
    <w:p w:rsidR="00887330" w:rsidRPr="00583E1A" w:rsidRDefault="00887330" w:rsidP="00887330">
      <w:pPr>
        <w:pStyle w:val="subsection"/>
      </w:pPr>
      <w:r w:rsidRPr="00583E1A">
        <w:tab/>
        <w:t>(1)</w:t>
      </w:r>
      <w:r w:rsidRPr="00583E1A">
        <w:rPr>
          <w:b/>
        </w:rPr>
        <w:tab/>
      </w:r>
      <w:r w:rsidRPr="00583E1A">
        <w:t>Once you have the material required by section</w:t>
      </w:r>
      <w:r w:rsidR="00583E1A">
        <w:t> </w:t>
      </w:r>
      <w:r w:rsidRPr="00583E1A">
        <w:t>900</w:t>
      </w:r>
      <w:r w:rsidR="00583E1A">
        <w:noBreakHyphen/>
      </w:r>
      <w:r w:rsidRPr="00583E1A">
        <w:t>15 or 900</w:t>
      </w:r>
      <w:r w:rsidR="00583E1A">
        <w:noBreakHyphen/>
      </w:r>
      <w:r w:rsidRPr="00583E1A">
        <w:t xml:space="preserve">20, you must retain it for 5 years. There is no need to lodge it with your </w:t>
      </w:r>
      <w:r w:rsidR="00583E1A" w:rsidRPr="00583E1A">
        <w:rPr>
          <w:position w:val="6"/>
          <w:sz w:val="16"/>
        </w:rPr>
        <w:t>*</w:t>
      </w:r>
      <w:r w:rsidRPr="00583E1A">
        <w:t>income tax return. The Commissioner may require you to produce it: see Subdivision</w:t>
      </w:r>
      <w:r w:rsidR="00583E1A">
        <w:t> </w:t>
      </w:r>
      <w:r w:rsidRPr="00583E1A">
        <w:t>900</w:t>
      </w:r>
      <w:r w:rsidR="00583E1A">
        <w:noBreakHyphen/>
      </w:r>
      <w:r w:rsidRPr="00583E1A">
        <w:t xml:space="preserve">G. The period for which you must retain it is called the </w:t>
      </w:r>
      <w:r w:rsidRPr="00583E1A">
        <w:rPr>
          <w:b/>
          <w:i/>
        </w:rPr>
        <w:t>retention period</w:t>
      </w:r>
      <w:r w:rsidRPr="00583E1A">
        <w:t>.</w:t>
      </w:r>
    </w:p>
    <w:p w:rsidR="00887330" w:rsidRPr="00583E1A" w:rsidRDefault="00887330" w:rsidP="00887330">
      <w:pPr>
        <w:pStyle w:val="subsection"/>
      </w:pPr>
      <w:r w:rsidRPr="00583E1A">
        <w:tab/>
        <w:t>(2)</w:t>
      </w:r>
      <w:r w:rsidRPr="00583E1A">
        <w:rPr>
          <w:b/>
        </w:rPr>
        <w:tab/>
      </w:r>
      <w:r w:rsidRPr="00583E1A">
        <w:t xml:space="preserve">The 5 years start on the due day for lodging your </w:t>
      </w:r>
      <w:r w:rsidR="00583E1A" w:rsidRPr="00583E1A">
        <w:rPr>
          <w:position w:val="6"/>
          <w:sz w:val="16"/>
        </w:rPr>
        <w:t>*</w:t>
      </w:r>
      <w:r w:rsidRPr="00583E1A">
        <w:t>income tax return for the income year. If you lodge your return later, the 5 years start on the day you lodge it.</w:t>
      </w:r>
    </w:p>
    <w:p w:rsidR="00887330" w:rsidRPr="00583E1A" w:rsidRDefault="00887330" w:rsidP="00887330">
      <w:pPr>
        <w:pStyle w:val="subsection"/>
      </w:pPr>
      <w:r w:rsidRPr="00583E1A">
        <w:tab/>
        <w:t>(3)</w:t>
      </w:r>
      <w:r w:rsidRPr="00583E1A">
        <w:rPr>
          <w:b/>
        </w:rPr>
        <w:tab/>
      </w:r>
      <w:r w:rsidRPr="00583E1A">
        <w:t xml:space="preserve">However, the </w:t>
      </w:r>
      <w:r w:rsidR="00583E1A" w:rsidRPr="00583E1A">
        <w:rPr>
          <w:position w:val="6"/>
          <w:sz w:val="16"/>
        </w:rPr>
        <w:t>*</w:t>
      </w:r>
      <w:r w:rsidRPr="00583E1A">
        <w:t>retention period is extended if, when the 5 years end, you are involved in a dispute with the Commissioner that relates to the expense. See section</w:t>
      </w:r>
      <w:r w:rsidR="00583E1A">
        <w:t> </w:t>
      </w:r>
      <w:r w:rsidRPr="00583E1A">
        <w:t>900</w:t>
      </w:r>
      <w:r w:rsidR="00583E1A">
        <w:noBreakHyphen/>
      </w:r>
      <w:r w:rsidRPr="00583E1A">
        <w:t>170.</w:t>
      </w:r>
    </w:p>
    <w:p w:rsidR="00887330" w:rsidRPr="00583E1A" w:rsidRDefault="00887330" w:rsidP="00887330">
      <w:pPr>
        <w:pStyle w:val="subsection"/>
      </w:pPr>
      <w:r w:rsidRPr="00583E1A">
        <w:tab/>
        <w:t>(4)</w:t>
      </w:r>
      <w:r w:rsidRPr="00583E1A">
        <w:rPr>
          <w:b/>
        </w:rPr>
        <w:tab/>
      </w:r>
      <w:r w:rsidRPr="00583E1A">
        <w:t xml:space="preserve">If you do not retain the material for the </w:t>
      </w:r>
      <w:r w:rsidR="00583E1A" w:rsidRPr="00583E1A">
        <w:rPr>
          <w:position w:val="6"/>
          <w:sz w:val="16"/>
        </w:rPr>
        <w:t>*</w:t>
      </w:r>
      <w:r w:rsidRPr="00583E1A">
        <w:t>retention period, you cannot deduct the expense. If you have already deducted it, your assessment may be amended to disallow the deduction.</w:t>
      </w:r>
    </w:p>
    <w:p w:rsidR="00887330" w:rsidRPr="00583E1A" w:rsidRDefault="00887330" w:rsidP="00887330">
      <w:pPr>
        <w:pStyle w:val="subsection"/>
      </w:pPr>
      <w:r w:rsidRPr="00583E1A">
        <w:tab/>
        <w:t>(5)</w:t>
      </w:r>
      <w:r w:rsidRPr="00583E1A">
        <w:rPr>
          <w:b/>
        </w:rPr>
        <w:tab/>
      </w:r>
      <w:r w:rsidRPr="00583E1A">
        <w:t>If you lose any of the material, there are rules that might help you in section</w:t>
      </w:r>
      <w:r w:rsidR="00583E1A">
        <w:t> </w:t>
      </w:r>
      <w:r w:rsidRPr="00583E1A">
        <w:t>900</w:t>
      </w:r>
      <w:r w:rsidR="00583E1A">
        <w:noBreakHyphen/>
      </w:r>
      <w:r w:rsidRPr="00583E1A">
        <w:t>205.</w:t>
      </w:r>
    </w:p>
    <w:p w:rsidR="00887330" w:rsidRPr="00583E1A" w:rsidRDefault="00887330" w:rsidP="00887330">
      <w:pPr>
        <w:pStyle w:val="ActHead5"/>
      </w:pPr>
      <w:bookmarkStart w:id="442" w:name="_Toc338939516"/>
      <w:r w:rsidRPr="00583E1A">
        <w:rPr>
          <w:rStyle w:val="CharSectno"/>
        </w:rPr>
        <w:t>900</w:t>
      </w:r>
      <w:r w:rsidR="00583E1A">
        <w:rPr>
          <w:rStyle w:val="CharSectno"/>
        </w:rPr>
        <w:noBreakHyphen/>
      </w:r>
      <w:r w:rsidRPr="00583E1A">
        <w:rPr>
          <w:rStyle w:val="CharSectno"/>
        </w:rPr>
        <w:t>30</w:t>
      </w:r>
      <w:r w:rsidRPr="00583E1A">
        <w:t xml:space="preserve">  Meaning of </w:t>
      </w:r>
      <w:r w:rsidRPr="00583E1A">
        <w:rPr>
          <w:i/>
        </w:rPr>
        <w:t>work expense</w:t>
      </w:r>
      <w:bookmarkEnd w:id="442"/>
    </w:p>
    <w:p w:rsidR="00887330" w:rsidRPr="00583E1A" w:rsidRDefault="00887330" w:rsidP="00887330">
      <w:pPr>
        <w:pStyle w:val="SubsectionHead"/>
      </w:pPr>
      <w:r w:rsidRPr="00583E1A">
        <w:t>General</w:t>
      </w:r>
    </w:p>
    <w:p w:rsidR="00887330" w:rsidRPr="00583E1A" w:rsidRDefault="00887330" w:rsidP="00887330">
      <w:pPr>
        <w:pStyle w:val="subsection"/>
      </w:pPr>
      <w:r w:rsidRPr="00583E1A">
        <w:tab/>
        <w:t>(1)</w:t>
      </w:r>
      <w:r w:rsidRPr="00583E1A">
        <w:rPr>
          <w:b/>
        </w:rPr>
        <w:tab/>
      </w:r>
      <w:r w:rsidRPr="00583E1A">
        <w:t xml:space="preserve">A </w:t>
      </w:r>
      <w:r w:rsidRPr="00583E1A">
        <w:rPr>
          <w:b/>
          <w:i/>
        </w:rPr>
        <w:t>work expense</w:t>
      </w:r>
      <w:r w:rsidRPr="00583E1A">
        <w:t xml:space="preserve"> is a loss or outgoing you incur in producing your salary or wages.</w:t>
      </w:r>
    </w:p>
    <w:p w:rsidR="00887330" w:rsidRPr="00583E1A" w:rsidRDefault="00887330" w:rsidP="00887330">
      <w:pPr>
        <w:pStyle w:val="notetext"/>
      </w:pPr>
      <w:r w:rsidRPr="00583E1A">
        <w:t>Note:</w:t>
      </w:r>
      <w:r w:rsidRPr="00583E1A">
        <w:tab/>
        <w:t>This Division also applies to withholding payments that are not salary or wages: see subsection 900</w:t>
      </w:r>
      <w:r w:rsidR="00583E1A">
        <w:noBreakHyphen/>
      </w:r>
      <w:r w:rsidRPr="00583E1A">
        <w:t>12(3).</w:t>
      </w:r>
    </w:p>
    <w:p w:rsidR="00887330" w:rsidRPr="00583E1A" w:rsidRDefault="00887330" w:rsidP="00887330">
      <w:pPr>
        <w:pStyle w:val="SubsectionHead"/>
      </w:pPr>
      <w:r w:rsidRPr="00583E1A">
        <w:t>Travel allowance expenses included</w:t>
      </w:r>
    </w:p>
    <w:p w:rsidR="00887330" w:rsidRPr="00583E1A" w:rsidRDefault="00887330" w:rsidP="00887330">
      <w:pPr>
        <w:pStyle w:val="subsection"/>
      </w:pPr>
      <w:r w:rsidRPr="00583E1A">
        <w:tab/>
        <w:t>(2)</w:t>
      </w:r>
      <w:r w:rsidRPr="00583E1A">
        <w:rPr>
          <w:b/>
        </w:rPr>
        <w:tab/>
      </w:r>
      <w:r w:rsidRPr="00583E1A">
        <w:t xml:space="preserve">Travel allowance expenses count as </w:t>
      </w:r>
      <w:r w:rsidR="00583E1A" w:rsidRPr="00583E1A">
        <w:rPr>
          <w:position w:val="6"/>
          <w:sz w:val="16"/>
        </w:rPr>
        <w:t>*</w:t>
      </w:r>
      <w:r w:rsidRPr="00583E1A">
        <w:t xml:space="preserve">work expenses. A </w:t>
      </w:r>
      <w:r w:rsidRPr="00583E1A">
        <w:rPr>
          <w:b/>
          <w:i/>
        </w:rPr>
        <w:t>travel allowance expense</w:t>
      </w:r>
      <w:r w:rsidRPr="00583E1A">
        <w:t xml:space="preserve"> is a loss or outgoing you incur for travel that is covered by a </w:t>
      </w:r>
      <w:r w:rsidR="00583E1A" w:rsidRPr="00583E1A">
        <w:rPr>
          <w:position w:val="6"/>
          <w:sz w:val="16"/>
        </w:rPr>
        <w:t>*</w:t>
      </w:r>
      <w:r w:rsidRPr="00583E1A">
        <w:t>travel allowance. The loss or outgoing must:</w:t>
      </w:r>
    </w:p>
    <w:p w:rsidR="00887330" w:rsidRPr="00583E1A" w:rsidRDefault="00887330" w:rsidP="00887330">
      <w:pPr>
        <w:pStyle w:val="paragraph"/>
      </w:pPr>
      <w:r w:rsidRPr="00583E1A">
        <w:tab/>
        <w:t>(a)</w:t>
      </w:r>
      <w:r w:rsidRPr="00583E1A">
        <w:tab/>
        <w:t>be for accommodation or for food or drink; or</w:t>
      </w:r>
    </w:p>
    <w:p w:rsidR="00887330" w:rsidRPr="00583E1A" w:rsidRDefault="00887330" w:rsidP="00887330">
      <w:pPr>
        <w:pStyle w:val="paragraph"/>
      </w:pPr>
      <w:r w:rsidRPr="00583E1A">
        <w:tab/>
        <w:t>(b)</w:t>
      </w:r>
      <w:r w:rsidRPr="00583E1A">
        <w:tab/>
        <w:t>be incidental to the travel.</w:t>
      </w:r>
    </w:p>
    <w:p w:rsidR="00887330" w:rsidRPr="00583E1A" w:rsidRDefault="00887330" w:rsidP="007B2DFD">
      <w:pPr>
        <w:pStyle w:val="subsection"/>
        <w:keepNext/>
        <w:keepLines/>
      </w:pPr>
      <w:r w:rsidRPr="00583E1A">
        <w:lastRenderedPageBreak/>
        <w:tab/>
        <w:t>(3)</w:t>
      </w:r>
      <w:r w:rsidRPr="00583E1A">
        <w:rPr>
          <w:b/>
        </w:rPr>
        <w:tab/>
      </w:r>
      <w:r w:rsidRPr="00583E1A">
        <w:t xml:space="preserve">A </w:t>
      </w:r>
      <w:r w:rsidRPr="00583E1A">
        <w:rPr>
          <w:b/>
          <w:i/>
        </w:rPr>
        <w:t>travel allowance</w:t>
      </w:r>
      <w:r w:rsidRPr="00583E1A">
        <w:rPr>
          <w:b/>
        </w:rPr>
        <w:t xml:space="preserve"> </w:t>
      </w:r>
      <w:r w:rsidRPr="00583E1A">
        <w:t>is an allowance your employer pays or is to pay to you to cover losses or outgoings:</w:t>
      </w:r>
    </w:p>
    <w:p w:rsidR="00887330" w:rsidRPr="00583E1A" w:rsidRDefault="00887330" w:rsidP="00887330">
      <w:pPr>
        <w:pStyle w:val="paragraph"/>
      </w:pPr>
      <w:r w:rsidRPr="00583E1A">
        <w:tab/>
        <w:t>(a)</w:t>
      </w:r>
      <w:r w:rsidRPr="00583E1A">
        <w:tab/>
        <w:t>that you incur for travel away from your ordinary residence that you undertake in the course of your duties as an employee; and</w:t>
      </w:r>
    </w:p>
    <w:p w:rsidR="00887330" w:rsidRPr="00583E1A" w:rsidRDefault="00887330" w:rsidP="00887330">
      <w:pPr>
        <w:pStyle w:val="paragraph"/>
        <w:keepNext/>
      </w:pPr>
      <w:r w:rsidRPr="00583E1A">
        <w:tab/>
        <w:t>(b)</w:t>
      </w:r>
      <w:r w:rsidRPr="00583E1A">
        <w:tab/>
        <w:t>that are losses or outgoings for accommodation or for food or drink, or are incidental to the travel.</w:t>
      </w:r>
    </w:p>
    <w:p w:rsidR="00887330" w:rsidRPr="00583E1A" w:rsidRDefault="00887330" w:rsidP="00887330">
      <w:pPr>
        <w:pStyle w:val="subsection2"/>
        <w:keepNext/>
      </w:pPr>
      <w:r w:rsidRPr="00583E1A">
        <w:t xml:space="preserve">The travel may be within or outside </w:t>
      </w:r>
      <w:smartTag w:uri="urn:schemas-microsoft-com:office:smarttags" w:element="country-region">
        <w:smartTag w:uri="urn:schemas-microsoft-com:office:smarttags" w:element="place">
          <w:r w:rsidRPr="00583E1A">
            <w:t>Australia</w:t>
          </w:r>
        </w:smartTag>
      </w:smartTag>
      <w:r w:rsidRPr="00583E1A">
        <w:t>.</w:t>
      </w:r>
    </w:p>
    <w:p w:rsidR="00887330" w:rsidRPr="00583E1A" w:rsidRDefault="00887330" w:rsidP="00887330">
      <w:pPr>
        <w:pStyle w:val="notetext"/>
      </w:pPr>
      <w:r w:rsidRPr="00583E1A">
        <w:t>Note:</w:t>
      </w:r>
      <w:r w:rsidRPr="00583E1A">
        <w:tab/>
        <w:t>This Division also applies to individuals who are not employees: see section</w:t>
      </w:r>
      <w:r w:rsidR="00583E1A">
        <w:t> </w:t>
      </w:r>
      <w:r w:rsidRPr="00583E1A">
        <w:t>900</w:t>
      </w:r>
      <w:r w:rsidR="00583E1A">
        <w:noBreakHyphen/>
      </w:r>
      <w:r w:rsidRPr="00583E1A">
        <w:t>12.</w:t>
      </w:r>
    </w:p>
    <w:p w:rsidR="00887330" w:rsidRPr="00583E1A" w:rsidRDefault="00887330" w:rsidP="00887330">
      <w:pPr>
        <w:pStyle w:val="SubsectionHead"/>
      </w:pPr>
      <w:r w:rsidRPr="00583E1A">
        <w:t>Meal allowance expenses included</w:t>
      </w:r>
    </w:p>
    <w:p w:rsidR="00887330" w:rsidRPr="00583E1A" w:rsidRDefault="00887330" w:rsidP="00887330">
      <w:pPr>
        <w:pStyle w:val="subsection"/>
      </w:pPr>
      <w:r w:rsidRPr="00583E1A">
        <w:tab/>
        <w:t>(4)</w:t>
      </w:r>
      <w:r w:rsidRPr="00583E1A">
        <w:rPr>
          <w:b/>
        </w:rPr>
        <w:tab/>
      </w:r>
      <w:r w:rsidRPr="00583E1A">
        <w:t xml:space="preserve">Meal allowance expenses count as </w:t>
      </w:r>
      <w:r w:rsidR="00583E1A" w:rsidRPr="00583E1A">
        <w:rPr>
          <w:position w:val="6"/>
          <w:sz w:val="16"/>
        </w:rPr>
        <w:t>*</w:t>
      </w:r>
      <w:r w:rsidRPr="00583E1A">
        <w:t xml:space="preserve">work expenses. A </w:t>
      </w:r>
      <w:r w:rsidRPr="00583E1A">
        <w:rPr>
          <w:b/>
          <w:i/>
        </w:rPr>
        <w:t>meal allowance expense</w:t>
      </w:r>
      <w:r w:rsidRPr="00583E1A">
        <w:t xml:space="preserve"> is a loss or outgoing that you incur for food or drink that is covered by a </w:t>
      </w:r>
      <w:r w:rsidR="00583E1A" w:rsidRPr="00583E1A">
        <w:rPr>
          <w:position w:val="6"/>
          <w:sz w:val="16"/>
        </w:rPr>
        <w:t>*</w:t>
      </w:r>
      <w:r w:rsidRPr="00583E1A">
        <w:t>meal allowance.</w:t>
      </w:r>
    </w:p>
    <w:p w:rsidR="00887330" w:rsidRPr="00583E1A" w:rsidRDefault="00887330" w:rsidP="00887330">
      <w:pPr>
        <w:pStyle w:val="subsection"/>
      </w:pPr>
      <w:r w:rsidRPr="00583E1A">
        <w:tab/>
        <w:t>(5)</w:t>
      </w:r>
      <w:r w:rsidRPr="00583E1A">
        <w:rPr>
          <w:b/>
        </w:rPr>
        <w:tab/>
      </w:r>
      <w:r w:rsidRPr="00583E1A">
        <w:t xml:space="preserve">A </w:t>
      </w:r>
      <w:r w:rsidRPr="00583E1A">
        <w:rPr>
          <w:b/>
          <w:i/>
        </w:rPr>
        <w:t>meal allowance</w:t>
      </w:r>
      <w:r w:rsidRPr="00583E1A">
        <w:t xml:space="preserve"> is an allowance that your employer pays or is to pay to you as an employee to enable you to buy food or drink. However, an allowance is not a meal allowance if it is a </w:t>
      </w:r>
      <w:r w:rsidR="00583E1A" w:rsidRPr="00583E1A">
        <w:rPr>
          <w:position w:val="6"/>
          <w:sz w:val="16"/>
        </w:rPr>
        <w:t>*</w:t>
      </w:r>
      <w:r w:rsidRPr="00583E1A">
        <w:t>travel allowance or part of one.</w:t>
      </w:r>
    </w:p>
    <w:p w:rsidR="00887330" w:rsidRPr="00583E1A" w:rsidRDefault="00887330" w:rsidP="00887330">
      <w:pPr>
        <w:pStyle w:val="notetext"/>
      </w:pPr>
      <w:r w:rsidRPr="00583E1A">
        <w:t>Note:</w:t>
      </w:r>
      <w:r w:rsidRPr="00583E1A">
        <w:tab/>
        <w:t>This Division also applies to individuals who are not employees: see section</w:t>
      </w:r>
      <w:r w:rsidR="00583E1A">
        <w:t> </w:t>
      </w:r>
      <w:r w:rsidRPr="00583E1A">
        <w:t>900</w:t>
      </w:r>
      <w:r w:rsidR="00583E1A">
        <w:noBreakHyphen/>
      </w:r>
      <w:r w:rsidRPr="00583E1A">
        <w:t>12.</w:t>
      </w:r>
    </w:p>
    <w:p w:rsidR="00887330" w:rsidRPr="00583E1A" w:rsidRDefault="00887330" w:rsidP="00887330">
      <w:pPr>
        <w:pStyle w:val="SubsectionHead"/>
      </w:pPr>
      <w:r w:rsidRPr="00583E1A">
        <w:t>Motor vehicle expenses excluded</w:t>
      </w:r>
    </w:p>
    <w:p w:rsidR="00887330" w:rsidRPr="00583E1A" w:rsidRDefault="00887330" w:rsidP="00887330">
      <w:pPr>
        <w:pStyle w:val="subsection"/>
      </w:pPr>
      <w:r w:rsidRPr="00583E1A">
        <w:tab/>
        <w:t>(6)</w:t>
      </w:r>
      <w:r w:rsidRPr="00583E1A">
        <w:rPr>
          <w:b/>
        </w:rPr>
        <w:tab/>
      </w:r>
      <w:r w:rsidRPr="00583E1A">
        <w:t xml:space="preserve">A loss or outgoing to do with a </w:t>
      </w:r>
      <w:r w:rsidR="00583E1A" w:rsidRPr="00583E1A">
        <w:rPr>
          <w:position w:val="6"/>
          <w:sz w:val="16"/>
        </w:rPr>
        <w:t>*</w:t>
      </w:r>
      <w:r w:rsidRPr="00583E1A">
        <w:t xml:space="preserve">motor vehicle is not treated as a </w:t>
      </w:r>
      <w:r w:rsidR="00583E1A" w:rsidRPr="00583E1A">
        <w:rPr>
          <w:position w:val="6"/>
          <w:sz w:val="16"/>
        </w:rPr>
        <w:t>*</w:t>
      </w:r>
      <w:r w:rsidRPr="00583E1A">
        <w:t>work expense unless it is:</w:t>
      </w:r>
    </w:p>
    <w:p w:rsidR="00887330" w:rsidRPr="00583E1A" w:rsidRDefault="00887330" w:rsidP="00887330">
      <w:pPr>
        <w:pStyle w:val="paragraph"/>
      </w:pPr>
      <w:r w:rsidRPr="00583E1A">
        <w:tab/>
        <w:t>(a)</w:t>
      </w:r>
      <w:r w:rsidRPr="00583E1A">
        <w:tab/>
        <w:t xml:space="preserve">a loss or outgoing incurred, or a payment made, in respect of travel outside </w:t>
      </w:r>
      <w:smartTag w:uri="urn:schemas-microsoft-com:office:smarttags" w:element="country-region">
        <w:smartTag w:uri="urn:schemas-microsoft-com:office:smarttags" w:element="place">
          <w:r w:rsidRPr="00583E1A">
            <w:t>Australia</w:t>
          </w:r>
        </w:smartTag>
      </w:smartTag>
      <w:r w:rsidRPr="00583E1A">
        <w:t>; or</w:t>
      </w:r>
    </w:p>
    <w:p w:rsidR="00887330" w:rsidRPr="00583E1A" w:rsidRDefault="00887330" w:rsidP="00887330">
      <w:pPr>
        <w:pStyle w:val="paragraph"/>
        <w:keepNext/>
      </w:pPr>
      <w:r w:rsidRPr="00583E1A">
        <w:tab/>
        <w:t>(b)</w:t>
      </w:r>
      <w:r w:rsidRPr="00583E1A">
        <w:tab/>
        <w:t>a taxi fare or similar loss or outgoing.</w:t>
      </w:r>
    </w:p>
    <w:p w:rsidR="00887330" w:rsidRPr="00583E1A" w:rsidRDefault="00887330" w:rsidP="00887330">
      <w:pPr>
        <w:pStyle w:val="subsection2"/>
      </w:pPr>
      <w:r w:rsidRPr="00583E1A">
        <w:t xml:space="preserve">However, most losses or outgoings to do with a </w:t>
      </w:r>
      <w:r w:rsidR="00583E1A" w:rsidRPr="00583E1A">
        <w:rPr>
          <w:position w:val="6"/>
          <w:sz w:val="16"/>
        </w:rPr>
        <w:t>*</w:t>
      </w:r>
      <w:r w:rsidRPr="00583E1A">
        <w:t xml:space="preserve">motor vehicle are covered by the rules about </w:t>
      </w:r>
      <w:r w:rsidR="00583E1A" w:rsidRPr="00583E1A">
        <w:rPr>
          <w:position w:val="6"/>
          <w:sz w:val="16"/>
        </w:rPr>
        <w:t>*</w:t>
      </w:r>
      <w:r w:rsidRPr="00583E1A">
        <w:t>car expenses. See Division</w:t>
      </w:r>
      <w:r w:rsidR="00583E1A">
        <w:t> </w:t>
      </w:r>
      <w:r w:rsidRPr="00583E1A">
        <w:t>28 and Subdivision</w:t>
      </w:r>
      <w:r w:rsidR="00583E1A">
        <w:t> </w:t>
      </w:r>
      <w:r w:rsidRPr="00583E1A">
        <w:t>900</w:t>
      </w:r>
      <w:r w:rsidR="00583E1A">
        <w:noBreakHyphen/>
      </w:r>
      <w:r w:rsidRPr="00583E1A">
        <w:t>C.</w:t>
      </w:r>
    </w:p>
    <w:p w:rsidR="00887330" w:rsidRPr="00583E1A" w:rsidRDefault="00887330" w:rsidP="007B2DFD">
      <w:pPr>
        <w:pStyle w:val="SubsectionHead"/>
      </w:pPr>
      <w:r w:rsidRPr="00583E1A">
        <w:lastRenderedPageBreak/>
        <w:t>Other types of losses or outgoings included</w:t>
      </w:r>
    </w:p>
    <w:p w:rsidR="00887330" w:rsidRPr="00583E1A" w:rsidRDefault="00887330" w:rsidP="007B2DFD">
      <w:pPr>
        <w:pStyle w:val="subsection"/>
        <w:keepNext/>
        <w:keepLines/>
      </w:pPr>
      <w:r w:rsidRPr="00583E1A">
        <w:tab/>
        <w:t>(7)</w:t>
      </w:r>
      <w:r w:rsidRPr="00583E1A">
        <w:rPr>
          <w:b/>
        </w:rPr>
        <w:tab/>
      </w:r>
      <w:r w:rsidRPr="00583E1A">
        <w:t xml:space="preserve">In addition to losses or outgoings within the general scope of </w:t>
      </w:r>
      <w:r w:rsidR="00583E1A">
        <w:t>subsection (</w:t>
      </w:r>
      <w:r w:rsidRPr="00583E1A">
        <w:t xml:space="preserve">1), any of the following is a </w:t>
      </w:r>
      <w:r w:rsidR="00583E1A" w:rsidRPr="00583E1A">
        <w:rPr>
          <w:position w:val="6"/>
          <w:sz w:val="16"/>
        </w:rPr>
        <w:t>*</w:t>
      </w:r>
      <w:r w:rsidRPr="00583E1A">
        <w:t>work expense:</w:t>
      </w:r>
    </w:p>
    <w:p w:rsidR="00887330" w:rsidRPr="00583E1A" w:rsidRDefault="00887330" w:rsidP="00887330">
      <w:pPr>
        <w:pStyle w:val="paragraph"/>
      </w:pPr>
      <w:r w:rsidRPr="00583E1A">
        <w:tab/>
        <w:t>(a)</w:t>
      </w:r>
      <w:r w:rsidRPr="00583E1A">
        <w:tab/>
        <w:t xml:space="preserve">the decline in value of property you own and that is used, or is </w:t>
      </w:r>
      <w:r w:rsidR="00583E1A" w:rsidRPr="00583E1A">
        <w:rPr>
          <w:position w:val="6"/>
          <w:sz w:val="16"/>
        </w:rPr>
        <w:t>*</w:t>
      </w:r>
      <w:r w:rsidRPr="00583E1A">
        <w:t>installed ready for use, by you in order to produce your salary or wages;</w:t>
      </w:r>
    </w:p>
    <w:p w:rsidR="00887330" w:rsidRPr="00583E1A" w:rsidRDefault="00887330" w:rsidP="00887330">
      <w:pPr>
        <w:pStyle w:val="paragraph"/>
      </w:pPr>
      <w:r w:rsidRPr="00583E1A">
        <w:tab/>
        <w:t>(b)</w:t>
      </w:r>
      <w:r w:rsidRPr="00583E1A">
        <w:tab/>
        <w:t>expenditure you incur that qualifies as a deduction under section</w:t>
      </w:r>
      <w:r w:rsidR="00583E1A">
        <w:t> </w:t>
      </w:r>
      <w:r w:rsidRPr="00583E1A">
        <w:t>25</w:t>
      </w:r>
      <w:r w:rsidR="00583E1A">
        <w:noBreakHyphen/>
      </w:r>
      <w:r w:rsidRPr="00583E1A">
        <w:t xml:space="preserve">60 (Parliament election expenses) </w:t>
      </w:r>
      <w:r w:rsidR="006B26D2" w:rsidRPr="00583E1A">
        <w:t>or section</w:t>
      </w:r>
      <w:r w:rsidR="00583E1A">
        <w:t> </w:t>
      </w:r>
      <w:r w:rsidR="006B26D2" w:rsidRPr="00583E1A">
        <w:t>25</w:t>
      </w:r>
      <w:r w:rsidR="00583E1A">
        <w:noBreakHyphen/>
      </w:r>
      <w:r w:rsidR="006B26D2" w:rsidRPr="00583E1A">
        <w:t>65 (about local government election expenses)</w:t>
      </w:r>
      <w:r w:rsidRPr="00583E1A">
        <w:t>;</w:t>
      </w:r>
    </w:p>
    <w:p w:rsidR="00887330" w:rsidRPr="00583E1A" w:rsidRDefault="00887330" w:rsidP="00887330">
      <w:pPr>
        <w:pStyle w:val="paragraph"/>
      </w:pPr>
      <w:r w:rsidRPr="00583E1A">
        <w:tab/>
        <w:t>(c)</w:t>
      </w:r>
      <w:r w:rsidRPr="00583E1A">
        <w:tab/>
        <w:t>expenditure you incur that entitles you to a deduction under section</w:t>
      </w:r>
      <w:r w:rsidR="00583E1A">
        <w:t> </w:t>
      </w:r>
      <w:r w:rsidRPr="00583E1A">
        <w:t>25</w:t>
      </w:r>
      <w:r w:rsidR="00583E1A">
        <w:noBreakHyphen/>
      </w:r>
      <w:r w:rsidRPr="00583E1A">
        <w:t xml:space="preserve">100 (transport expenses incurred in your travel between workplaces), other than </w:t>
      </w:r>
      <w:r w:rsidR="00583E1A" w:rsidRPr="00583E1A">
        <w:rPr>
          <w:position w:val="6"/>
          <w:sz w:val="16"/>
        </w:rPr>
        <w:t>*</w:t>
      </w:r>
      <w:r w:rsidRPr="00583E1A">
        <w:t>car expenses.</w:t>
      </w:r>
    </w:p>
    <w:p w:rsidR="00887330" w:rsidRPr="00583E1A" w:rsidRDefault="00887330" w:rsidP="00887330">
      <w:pPr>
        <w:pStyle w:val="notetext"/>
      </w:pPr>
      <w:r w:rsidRPr="00583E1A">
        <w:t>Note 1:</w:t>
      </w:r>
      <w:r w:rsidRPr="00583E1A">
        <w:tab/>
        <w:t xml:space="preserve">This Division also applies to payments that are </w:t>
      </w:r>
      <w:r w:rsidRPr="00583E1A">
        <w:rPr>
          <w:i/>
        </w:rPr>
        <w:t>not</w:t>
      </w:r>
      <w:r w:rsidRPr="00583E1A">
        <w:t xml:space="preserve"> salary or wages, but </w:t>
      </w:r>
      <w:r w:rsidRPr="00583E1A">
        <w:rPr>
          <w:i/>
        </w:rPr>
        <w:t>are</w:t>
      </w:r>
      <w:r w:rsidRPr="00583E1A">
        <w:t xml:space="preserve"> PAYE earnings: see section</w:t>
      </w:r>
      <w:r w:rsidR="00583E1A">
        <w:t> </w:t>
      </w:r>
      <w:r w:rsidRPr="00583E1A">
        <w:t>900</w:t>
      </w:r>
      <w:r w:rsidR="00583E1A">
        <w:noBreakHyphen/>
      </w:r>
      <w:r w:rsidRPr="00583E1A">
        <w:t>12.</w:t>
      </w:r>
    </w:p>
    <w:p w:rsidR="00887330" w:rsidRPr="00583E1A" w:rsidRDefault="00887330" w:rsidP="00887330">
      <w:pPr>
        <w:pStyle w:val="notetext"/>
      </w:pPr>
      <w:r w:rsidRPr="00583E1A">
        <w:t>Note 2:</w:t>
      </w:r>
      <w:r w:rsidRPr="00583E1A">
        <w:tab/>
        <w:t>In certain circumstances (for example, under a hire purchase agreement) the notional buyer of property is taken to be its owner (see subsection 240</w:t>
      </w:r>
      <w:r w:rsidR="00583E1A">
        <w:noBreakHyphen/>
      </w:r>
      <w:r w:rsidRPr="00583E1A">
        <w:t>20(2)).</w:t>
      </w:r>
    </w:p>
    <w:p w:rsidR="00887330" w:rsidRPr="00583E1A" w:rsidRDefault="00887330" w:rsidP="00887330">
      <w:pPr>
        <w:pStyle w:val="notetext"/>
      </w:pPr>
      <w:r w:rsidRPr="00583E1A">
        <w:t>Note 3:</w:t>
      </w:r>
      <w:r w:rsidRPr="00583E1A">
        <w:tab/>
        <w:t>See Subdivision</w:t>
      </w:r>
      <w:r w:rsidR="00583E1A">
        <w:t> </w:t>
      </w:r>
      <w:r w:rsidRPr="00583E1A">
        <w:t>900</w:t>
      </w:r>
      <w:r w:rsidR="00583E1A">
        <w:noBreakHyphen/>
      </w:r>
      <w:r w:rsidRPr="00583E1A">
        <w:t>C for car expenses that are also transport expenses incurred in your travel between workplaces.</w:t>
      </w:r>
    </w:p>
    <w:p w:rsidR="00887330" w:rsidRPr="00583E1A" w:rsidRDefault="00887330" w:rsidP="00887330">
      <w:pPr>
        <w:pStyle w:val="ActHead5"/>
      </w:pPr>
      <w:bookmarkStart w:id="443" w:name="_Toc338939517"/>
      <w:r w:rsidRPr="00583E1A">
        <w:rPr>
          <w:rStyle w:val="CharSectno"/>
        </w:rPr>
        <w:t>900</w:t>
      </w:r>
      <w:r w:rsidR="00583E1A">
        <w:rPr>
          <w:rStyle w:val="CharSectno"/>
        </w:rPr>
        <w:noBreakHyphen/>
      </w:r>
      <w:r w:rsidRPr="00583E1A">
        <w:rPr>
          <w:rStyle w:val="CharSectno"/>
        </w:rPr>
        <w:t>35</w:t>
      </w:r>
      <w:r w:rsidRPr="00583E1A">
        <w:t xml:space="preserve">  Exception for small total of expenses</w:t>
      </w:r>
      <w:bookmarkEnd w:id="443"/>
    </w:p>
    <w:p w:rsidR="00887330" w:rsidRPr="00583E1A" w:rsidRDefault="00887330" w:rsidP="00887330">
      <w:pPr>
        <w:pStyle w:val="subsection"/>
      </w:pPr>
      <w:r w:rsidRPr="00583E1A">
        <w:tab/>
        <w:t>(1)</w:t>
      </w:r>
      <w:r w:rsidRPr="00583E1A">
        <w:tab/>
        <w:t xml:space="preserve">If the total of all the </w:t>
      </w:r>
      <w:r w:rsidR="00583E1A" w:rsidRPr="00583E1A">
        <w:rPr>
          <w:position w:val="6"/>
          <w:sz w:val="16"/>
        </w:rPr>
        <w:t>*</w:t>
      </w:r>
      <w:r w:rsidRPr="00583E1A">
        <w:t xml:space="preserve">work expenses (including </w:t>
      </w:r>
      <w:r w:rsidR="00583E1A" w:rsidRPr="00583E1A">
        <w:rPr>
          <w:position w:val="6"/>
          <w:sz w:val="16"/>
        </w:rPr>
        <w:t>*</w:t>
      </w:r>
      <w:r w:rsidRPr="00583E1A">
        <w:t xml:space="preserve">laundry expenses, but excluding </w:t>
      </w:r>
      <w:r w:rsidR="00583E1A" w:rsidRPr="00583E1A">
        <w:rPr>
          <w:position w:val="6"/>
          <w:sz w:val="16"/>
        </w:rPr>
        <w:t>*</w:t>
      </w:r>
      <w:r w:rsidRPr="00583E1A">
        <w:t xml:space="preserve">travel allowance expenses and </w:t>
      </w:r>
      <w:r w:rsidR="00583E1A" w:rsidRPr="00583E1A">
        <w:rPr>
          <w:position w:val="6"/>
          <w:sz w:val="16"/>
        </w:rPr>
        <w:t>*</w:t>
      </w:r>
      <w:r w:rsidRPr="00583E1A">
        <w:t>meal allowance expenses) that you want to deduct is $300 or less, you can deduct them without getting written evidence or keeping travel records.</w:t>
      </w:r>
    </w:p>
    <w:p w:rsidR="00887330" w:rsidRPr="00583E1A" w:rsidRDefault="00887330" w:rsidP="00887330">
      <w:pPr>
        <w:pStyle w:val="notetext"/>
        <w:keepNext/>
      </w:pPr>
      <w:r w:rsidRPr="00583E1A">
        <w:t>Note 1:</w:t>
      </w:r>
      <w:r w:rsidRPr="00583E1A">
        <w:tab/>
        <w:t xml:space="preserve">If the total is more than $300, you need to substantiate </w:t>
      </w:r>
      <w:r w:rsidRPr="00583E1A">
        <w:rPr>
          <w:i/>
        </w:rPr>
        <w:t>all</w:t>
      </w:r>
      <w:r w:rsidRPr="00583E1A">
        <w:t xml:space="preserve"> the work expenses, not just the excess over $300.</w:t>
      </w:r>
    </w:p>
    <w:p w:rsidR="00887330" w:rsidRPr="00583E1A" w:rsidRDefault="00887330" w:rsidP="00887330">
      <w:pPr>
        <w:pStyle w:val="notetext"/>
      </w:pPr>
      <w:r w:rsidRPr="00583E1A">
        <w:t>Note 2:</w:t>
      </w:r>
      <w:r w:rsidRPr="00583E1A">
        <w:tab/>
        <w:t>Whether or not your work expenses total $300 or less, for certain expenses that are each $10 or less and total $200 or less you can get written evidence by making your own record, instead of getting a document from the supplier: see section</w:t>
      </w:r>
      <w:r w:rsidR="00583E1A">
        <w:t> </w:t>
      </w:r>
      <w:r w:rsidRPr="00583E1A">
        <w:t>900</w:t>
      </w:r>
      <w:r w:rsidR="00583E1A">
        <w:noBreakHyphen/>
      </w:r>
      <w:r w:rsidRPr="00583E1A">
        <w:t>125.</w:t>
      </w:r>
    </w:p>
    <w:p w:rsidR="00887330" w:rsidRPr="00583E1A" w:rsidRDefault="00887330" w:rsidP="00887330">
      <w:pPr>
        <w:pStyle w:val="subsection"/>
      </w:pPr>
      <w:r w:rsidRPr="00583E1A">
        <w:tab/>
        <w:t>(2)</w:t>
      </w:r>
      <w:r w:rsidRPr="00583E1A">
        <w:tab/>
        <w:t>This limit can be increased from time to time by regulations made under section</w:t>
      </w:r>
      <w:r w:rsidR="00583E1A">
        <w:t> </w:t>
      </w:r>
      <w:r w:rsidRPr="00583E1A">
        <w:t>909</w:t>
      </w:r>
      <w:r w:rsidR="00583E1A">
        <w:noBreakHyphen/>
      </w:r>
      <w:r w:rsidRPr="00583E1A">
        <w:t>1.</w:t>
      </w:r>
    </w:p>
    <w:p w:rsidR="00887330" w:rsidRPr="00583E1A" w:rsidRDefault="00887330" w:rsidP="00887330">
      <w:pPr>
        <w:pStyle w:val="subsection"/>
      </w:pPr>
      <w:r w:rsidRPr="00583E1A">
        <w:tab/>
        <w:t>(3)</w:t>
      </w:r>
      <w:r w:rsidRPr="00583E1A">
        <w:rPr>
          <w:b/>
        </w:rPr>
        <w:tab/>
      </w:r>
      <w:r w:rsidRPr="00583E1A">
        <w:t xml:space="preserve">A </w:t>
      </w:r>
      <w:r w:rsidR="00583E1A" w:rsidRPr="00583E1A">
        <w:rPr>
          <w:position w:val="6"/>
          <w:sz w:val="16"/>
        </w:rPr>
        <w:t>*</w:t>
      </w:r>
      <w:r w:rsidRPr="00583E1A">
        <w:t>transport expense that Subdivision</w:t>
      </w:r>
      <w:r w:rsidR="00583E1A">
        <w:t> </w:t>
      </w:r>
      <w:r w:rsidRPr="00583E1A">
        <w:t>900</w:t>
      </w:r>
      <w:r w:rsidR="00583E1A">
        <w:noBreakHyphen/>
      </w:r>
      <w:r w:rsidRPr="00583E1A">
        <w:t>I (Award transport payments) lets you deduct without following the rules in this Division does not count towards this limit.</w:t>
      </w:r>
    </w:p>
    <w:p w:rsidR="00887330" w:rsidRPr="00583E1A" w:rsidRDefault="00887330" w:rsidP="00887330">
      <w:pPr>
        <w:pStyle w:val="ActHead5"/>
      </w:pPr>
      <w:bookmarkStart w:id="444" w:name="_Toc338939518"/>
      <w:r w:rsidRPr="00583E1A">
        <w:rPr>
          <w:rStyle w:val="CharSectno"/>
        </w:rPr>
        <w:lastRenderedPageBreak/>
        <w:t>900</w:t>
      </w:r>
      <w:r w:rsidR="00583E1A">
        <w:rPr>
          <w:rStyle w:val="CharSectno"/>
        </w:rPr>
        <w:noBreakHyphen/>
      </w:r>
      <w:r w:rsidRPr="00583E1A">
        <w:rPr>
          <w:rStyle w:val="CharSectno"/>
        </w:rPr>
        <w:t>40</w:t>
      </w:r>
      <w:r w:rsidRPr="00583E1A">
        <w:t xml:space="preserve">  Exception for laundry expenses below a certain limit</w:t>
      </w:r>
      <w:bookmarkEnd w:id="444"/>
    </w:p>
    <w:p w:rsidR="00887330" w:rsidRPr="00583E1A" w:rsidRDefault="00887330" w:rsidP="00887330">
      <w:pPr>
        <w:pStyle w:val="subsection"/>
      </w:pPr>
      <w:r w:rsidRPr="00583E1A">
        <w:tab/>
        <w:t>(1)</w:t>
      </w:r>
      <w:r w:rsidRPr="00583E1A">
        <w:tab/>
        <w:t xml:space="preserve">Even if the </w:t>
      </w:r>
      <w:r w:rsidR="00583E1A" w:rsidRPr="00583E1A">
        <w:rPr>
          <w:position w:val="6"/>
          <w:sz w:val="16"/>
        </w:rPr>
        <w:t>*</w:t>
      </w:r>
      <w:r w:rsidRPr="00583E1A">
        <w:t xml:space="preserve">work expenses you claim total more than $300, you can still deduct up to $150 of </w:t>
      </w:r>
      <w:r w:rsidR="00583E1A" w:rsidRPr="00583E1A">
        <w:rPr>
          <w:position w:val="6"/>
          <w:sz w:val="16"/>
        </w:rPr>
        <w:t>*</w:t>
      </w:r>
      <w:r w:rsidRPr="00583E1A">
        <w:t>laundry expenses without getting written evidence of them.</w:t>
      </w:r>
    </w:p>
    <w:p w:rsidR="00887330" w:rsidRPr="00583E1A" w:rsidRDefault="00887330" w:rsidP="00887330">
      <w:pPr>
        <w:pStyle w:val="subsection"/>
      </w:pPr>
      <w:r w:rsidRPr="00583E1A">
        <w:tab/>
        <w:t>(2)</w:t>
      </w:r>
      <w:r w:rsidRPr="00583E1A">
        <w:tab/>
        <w:t>However, this exception does not increase the $300 limit in section</w:t>
      </w:r>
      <w:r w:rsidR="00583E1A">
        <w:t> </w:t>
      </w:r>
      <w:r w:rsidRPr="00583E1A">
        <w:t>900</w:t>
      </w:r>
      <w:r w:rsidR="00583E1A">
        <w:noBreakHyphen/>
      </w:r>
      <w:r w:rsidRPr="00583E1A">
        <w:t xml:space="preserve">35 to $450: your </w:t>
      </w:r>
      <w:r w:rsidR="00583E1A" w:rsidRPr="00583E1A">
        <w:rPr>
          <w:position w:val="6"/>
          <w:sz w:val="16"/>
        </w:rPr>
        <w:t>*</w:t>
      </w:r>
      <w:r w:rsidRPr="00583E1A">
        <w:t>laundry expenses still count toward that limit.</w:t>
      </w:r>
    </w:p>
    <w:p w:rsidR="00887330" w:rsidRPr="00583E1A" w:rsidRDefault="00887330" w:rsidP="00887330">
      <w:pPr>
        <w:pStyle w:val="notetext"/>
        <w:keepNext/>
      </w:pPr>
      <w:r w:rsidRPr="00583E1A">
        <w:t>Example:</w:t>
      </w:r>
      <w:r w:rsidRPr="00583E1A">
        <w:tab/>
        <w:t>You want to deduct laundry expenses of $140 and union dues of $200. These work expenses total more than $300, so the exception in section</w:t>
      </w:r>
      <w:r w:rsidR="00583E1A">
        <w:t> </w:t>
      </w:r>
      <w:r w:rsidRPr="00583E1A">
        <w:t>900</w:t>
      </w:r>
      <w:r w:rsidR="00583E1A">
        <w:noBreakHyphen/>
      </w:r>
      <w:r w:rsidRPr="00583E1A">
        <w:t>35 doesn’t apply. This means you must substantiate the union dues expense. However, because of the exception in this section, you don’t need to get written evidence of the laundry expenses.</w:t>
      </w:r>
    </w:p>
    <w:p w:rsidR="00887330" w:rsidRPr="00583E1A" w:rsidRDefault="00887330" w:rsidP="00887330">
      <w:pPr>
        <w:pStyle w:val="subsection"/>
      </w:pPr>
      <w:r w:rsidRPr="00583E1A">
        <w:tab/>
        <w:t>(3)</w:t>
      </w:r>
      <w:r w:rsidRPr="00583E1A">
        <w:tab/>
        <w:t>This limit can be increased from time to time by regulations made under section</w:t>
      </w:r>
      <w:r w:rsidR="00583E1A">
        <w:t> </w:t>
      </w:r>
      <w:r w:rsidRPr="00583E1A">
        <w:t>909</w:t>
      </w:r>
      <w:r w:rsidR="00583E1A">
        <w:noBreakHyphen/>
      </w:r>
      <w:r w:rsidRPr="00583E1A">
        <w:t>1.</w:t>
      </w:r>
    </w:p>
    <w:p w:rsidR="00887330" w:rsidRPr="00583E1A" w:rsidRDefault="00887330" w:rsidP="00887330">
      <w:pPr>
        <w:pStyle w:val="subsection"/>
      </w:pPr>
      <w:r w:rsidRPr="00583E1A">
        <w:tab/>
        <w:t>(4)</w:t>
      </w:r>
      <w:r w:rsidRPr="00583E1A">
        <w:rPr>
          <w:b/>
        </w:rPr>
        <w:tab/>
      </w:r>
      <w:r w:rsidRPr="00583E1A">
        <w:t xml:space="preserve">A </w:t>
      </w:r>
      <w:r w:rsidRPr="00583E1A">
        <w:rPr>
          <w:b/>
          <w:i/>
        </w:rPr>
        <w:t>laundry expense</w:t>
      </w:r>
      <w:r w:rsidRPr="00583E1A">
        <w:t xml:space="preserve"> is a </w:t>
      </w:r>
      <w:r w:rsidR="00583E1A" w:rsidRPr="00583E1A">
        <w:rPr>
          <w:position w:val="6"/>
          <w:sz w:val="16"/>
        </w:rPr>
        <w:t>*</w:t>
      </w:r>
      <w:r w:rsidRPr="00583E1A">
        <w:t>work expense to do with washing, drying or ironing clothes (but not dry cleaning).</w:t>
      </w:r>
    </w:p>
    <w:p w:rsidR="00887330" w:rsidRPr="00583E1A" w:rsidRDefault="00887330" w:rsidP="00887330">
      <w:pPr>
        <w:pStyle w:val="ActHead5"/>
      </w:pPr>
      <w:bookmarkStart w:id="445" w:name="_Toc338939519"/>
      <w:r w:rsidRPr="00583E1A">
        <w:rPr>
          <w:rStyle w:val="CharSectno"/>
        </w:rPr>
        <w:t>900</w:t>
      </w:r>
      <w:r w:rsidR="00583E1A">
        <w:rPr>
          <w:rStyle w:val="CharSectno"/>
        </w:rPr>
        <w:noBreakHyphen/>
      </w:r>
      <w:r w:rsidRPr="00583E1A">
        <w:rPr>
          <w:rStyle w:val="CharSectno"/>
        </w:rPr>
        <w:t>45</w:t>
      </w:r>
      <w:r w:rsidRPr="00583E1A">
        <w:t xml:space="preserve">  Exception for work expense related to award transport payment</w:t>
      </w:r>
      <w:bookmarkEnd w:id="445"/>
    </w:p>
    <w:p w:rsidR="00887330" w:rsidRPr="00583E1A" w:rsidRDefault="00887330" w:rsidP="00887330">
      <w:pPr>
        <w:pStyle w:val="subsection"/>
      </w:pPr>
      <w:r w:rsidRPr="00583E1A">
        <w:tab/>
      </w:r>
      <w:r w:rsidRPr="00583E1A">
        <w:tab/>
        <w:t xml:space="preserve">You may be able to deduct, without getting written evidence or keeping travel records, a </w:t>
      </w:r>
      <w:r w:rsidR="00583E1A" w:rsidRPr="00583E1A">
        <w:rPr>
          <w:position w:val="6"/>
          <w:sz w:val="16"/>
        </w:rPr>
        <w:t>*</w:t>
      </w:r>
      <w:r w:rsidRPr="00583E1A">
        <w:t xml:space="preserve">transport expense you incurred that is related to an allowance or reimbursement paid or payable to you by your employer under an </w:t>
      </w:r>
      <w:r w:rsidR="00583E1A" w:rsidRPr="00583E1A">
        <w:rPr>
          <w:position w:val="6"/>
          <w:sz w:val="16"/>
        </w:rPr>
        <w:t>*</w:t>
      </w:r>
      <w:r w:rsidRPr="00583E1A">
        <w:t>industrial instrument that was in force on 29</w:t>
      </w:r>
      <w:r w:rsidR="00583E1A">
        <w:t> </w:t>
      </w:r>
      <w:r w:rsidRPr="00583E1A">
        <w:t>October 1986. Subdivision</w:t>
      </w:r>
      <w:r w:rsidR="00583E1A">
        <w:t> </w:t>
      </w:r>
      <w:r w:rsidRPr="00583E1A">
        <w:t>900</w:t>
      </w:r>
      <w:r w:rsidR="00583E1A">
        <w:noBreakHyphen/>
      </w:r>
      <w:r w:rsidRPr="00583E1A">
        <w:t>I tells you about this.</w:t>
      </w:r>
    </w:p>
    <w:p w:rsidR="00887330" w:rsidRPr="00583E1A" w:rsidRDefault="00887330" w:rsidP="00887330">
      <w:pPr>
        <w:pStyle w:val="notetext"/>
      </w:pPr>
      <w:r w:rsidRPr="00583E1A">
        <w:t>Note:</w:t>
      </w:r>
      <w:r w:rsidRPr="00583E1A">
        <w:tab/>
        <w:t xml:space="preserve">This Division also applies to entities that are </w:t>
      </w:r>
      <w:r w:rsidRPr="00583E1A">
        <w:rPr>
          <w:i/>
        </w:rPr>
        <w:t>not</w:t>
      </w:r>
      <w:r w:rsidRPr="00583E1A">
        <w:t xml:space="preserve"> employers, but pay (or are liable to pay) withholding payments covered by subsection 900</w:t>
      </w:r>
      <w:r w:rsidR="00583E1A">
        <w:noBreakHyphen/>
      </w:r>
      <w:r w:rsidRPr="00583E1A">
        <w:t>12(3).</w:t>
      </w:r>
    </w:p>
    <w:p w:rsidR="00887330" w:rsidRPr="00583E1A" w:rsidRDefault="00887330" w:rsidP="00887330">
      <w:pPr>
        <w:pStyle w:val="ActHead5"/>
      </w:pPr>
      <w:bookmarkStart w:id="446" w:name="_Toc338939520"/>
      <w:r w:rsidRPr="00583E1A">
        <w:rPr>
          <w:rStyle w:val="CharSectno"/>
        </w:rPr>
        <w:t>900</w:t>
      </w:r>
      <w:r w:rsidR="00583E1A">
        <w:rPr>
          <w:rStyle w:val="CharSectno"/>
        </w:rPr>
        <w:noBreakHyphen/>
      </w:r>
      <w:r w:rsidRPr="00583E1A">
        <w:rPr>
          <w:rStyle w:val="CharSectno"/>
        </w:rPr>
        <w:t>50</w:t>
      </w:r>
      <w:r w:rsidRPr="00583E1A">
        <w:t xml:space="preserve">  Exception for domestic travel allowance expenses</w:t>
      </w:r>
      <w:bookmarkEnd w:id="446"/>
    </w:p>
    <w:p w:rsidR="00887330" w:rsidRPr="00583E1A" w:rsidRDefault="00887330" w:rsidP="00887330">
      <w:pPr>
        <w:pStyle w:val="subsection"/>
      </w:pPr>
      <w:r w:rsidRPr="00583E1A">
        <w:tab/>
        <w:t>(1)</w:t>
      </w:r>
      <w:r w:rsidRPr="00583E1A">
        <w:rPr>
          <w:b/>
        </w:rPr>
        <w:tab/>
      </w:r>
      <w:r w:rsidRPr="00583E1A">
        <w:t xml:space="preserve">You can deduct a </w:t>
      </w:r>
      <w:r w:rsidR="00583E1A" w:rsidRPr="00583E1A">
        <w:rPr>
          <w:position w:val="6"/>
          <w:sz w:val="16"/>
        </w:rPr>
        <w:t>*</w:t>
      </w:r>
      <w:r w:rsidRPr="00583E1A">
        <w:t>travel allowance expense for travel within Australia without getting written evidence or keeping travel records if the Commissioner considers reasonable the total of the losses or outgoings you claim for travel covered by the allowance.</w:t>
      </w:r>
    </w:p>
    <w:p w:rsidR="00887330" w:rsidRPr="00583E1A" w:rsidRDefault="00887330" w:rsidP="00887330">
      <w:pPr>
        <w:pStyle w:val="subsection"/>
      </w:pPr>
      <w:r w:rsidRPr="00583E1A">
        <w:lastRenderedPageBreak/>
        <w:tab/>
        <w:t>(2)</w:t>
      </w:r>
      <w:r w:rsidRPr="00583E1A">
        <w:rPr>
          <w:b/>
        </w:rPr>
        <w:tab/>
      </w:r>
      <w:r w:rsidRPr="00583E1A">
        <w:t>In deciding whether the total of the losses or outgoings you claim is reasonable, the Commissioner must take into account the total of the losses or outgoings of the following kinds that it would be reasonable for you to incur for the travel:</w:t>
      </w:r>
    </w:p>
    <w:p w:rsidR="00887330" w:rsidRPr="00583E1A" w:rsidRDefault="00887330" w:rsidP="00887330">
      <w:pPr>
        <w:pStyle w:val="paragraph"/>
      </w:pPr>
      <w:r w:rsidRPr="00583E1A">
        <w:tab/>
        <w:t>(a)</w:t>
      </w:r>
      <w:r w:rsidRPr="00583E1A">
        <w:tab/>
        <w:t>accommodation;</w:t>
      </w:r>
    </w:p>
    <w:p w:rsidR="00887330" w:rsidRPr="00583E1A" w:rsidRDefault="00887330" w:rsidP="00887330">
      <w:pPr>
        <w:pStyle w:val="paragraph"/>
      </w:pPr>
      <w:r w:rsidRPr="00583E1A">
        <w:tab/>
        <w:t>(b)</w:t>
      </w:r>
      <w:r w:rsidRPr="00583E1A">
        <w:tab/>
        <w:t>food or drink;</w:t>
      </w:r>
    </w:p>
    <w:p w:rsidR="00887330" w:rsidRPr="00583E1A" w:rsidRDefault="00887330" w:rsidP="00887330">
      <w:pPr>
        <w:pStyle w:val="paragraph"/>
      </w:pPr>
      <w:r w:rsidRPr="00583E1A">
        <w:tab/>
        <w:t>(c)</w:t>
      </w:r>
      <w:r w:rsidRPr="00583E1A">
        <w:tab/>
        <w:t>losses or outgoings incidental to the travel.</w:t>
      </w:r>
    </w:p>
    <w:p w:rsidR="00887330" w:rsidRPr="00583E1A" w:rsidRDefault="00887330" w:rsidP="00887330">
      <w:pPr>
        <w:pStyle w:val="ActHead5"/>
      </w:pPr>
      <w:bookmarkStart w:id="447" w:name="_Toc338939521"/>
      <w:r w:rsidRPr="00583E1A">
        <w:rPr>
          <w:rStyle w:val="CharSectno"/>
        </w:rPr>
        <w:t>900</w:t>
      </w:r>
      <w:r w:rsidR="00583E1A">
        <w:rPr>
          <w:rStyle w:val="CharSectno"/>
        </w:rPr>
        <w:noBreakHyphen/>
      </w:r>
      <w:r w:rsidRPr="00583E1A">
        <w:rPr>
          <w:rStyle w:val="CharSectno"/>
        </w:rPr>
        <w:t>55</w:t>
      </w:r>
      <w:r w:rsidRPr="00583E1A">
        <w:t xml:space="preserve">  Exception for overseas travel allowance expenses</w:t>
      </w:r>
      <w:bookmarkEnd w:id="447"/>
    </w:p>
    <w:p w:rsidR="00887330" w:rsidRPr="00583E1A" w:rsidRDefault="00887330" w:rsidP="00887330">
      <w:pPr>
        <w:pStyle w:val="subsection"/>
      </w:pPr>
      <w:r w:rsidRPr="00583E1A">
        <w:tab/>
        <w:t>(1)</w:t>
      </w:r>
      <w:r w:rsidRPr="00583E1A">
        <w:rPr>
          <w:b/>
        </w:rPr>
        <w:tab/>
      </w:r>
      <w:r w:rsidRPr="00583E1A">
        <w:t xml:space="preserve">You can deduct a </w:t>
      </w:r>
      <w:r w:rsidR="00583E1A" w:rsidRPr="00583E1A">
        <w:rPr>
          <w:position w:val="6"/>
          <w:sz w:val="16"/>
        </w:rPr>
        <w:t>*</w:t>
      </w:r>
      <w:r w:rsidRPr="00583E1A">
        <w:t xml:space="preserve">travel allowance expense for travel outside </w:t>
      </w:r>
      <w:smartTag w:uri="urn:schemas-microsoft-com:office:smarttags" w:element="country-region">
        <w:smartTag w:uri="urn:schemas-microsoft-com:office:smarttags" w:element="place">
          <w:r w:rsidRPr="00583E1A">
            <w:t>Australia</w:t>
          </w:r>
        </w:smartTag>
      </w:smartTag>
      <w:r w:rsidRPr="00583E1A">
        <w:t xml:space="preserve"> without getting written evidence under the same conditions as for domestic </w:t>
      </w:r>
      <w:r w:rsidR="00583E1A" w:rsidRPr="00583E1A">
        <w:rPr>
          <w:position w:val="6"/>
          <w:sz w:val="16"/>
        </w:rPr>
        <w:t>*</w:t>
      </w:r>
      <w:r w:rsidRPr="00583E1A">
        <w:t>travel allowances, except that you still have to get written evidence for losses or outgoings for accommodation.</w:t>
      </w:r>
    </w:p>
    <w:p w:rsidR="00887330" w:rsidRPr="00583E1A" w:rsidRDefault="00887330" w:rsidP="00887330">
      <w:pPr>
        <w:pStyle w:val="subsection"/>
      </w:pPr>
      <w:r w:rsidRPr="00583E1A">
        <w:tab/>
        <w:t>(2)</w:t>
      </w:r>
      <w:r w:rsidRPr="00583E1A">
        <w:tab/>
        <w:t>Consequently, in deciding whether the total of the losses or outgoings you claim is reasonable, the Commissioner must disregard losses or outgoings for accommodation.</w:t>
      </w:r>
    </w:p>
    <w:p w:rsidR="00887330" w:rsidRPr="00583E1A" w:rsidRDefault="00887330" w:rsidP="00887330">
      <w:pPr>
        <w:pStyle w:val="subsection"/>
      </w:pPr>
      <w:r w:rsidRPr="00583E1A">
        <w:tab/>
        <w:t>(3)</w:t>
      </w:r>
      <w:r w:rsidRPr="00583E1A">
        <w:rPr>
          <w:b/>
        </w:rPr>
        <w:tab/>
      </w:r>
      <w:r w:rsidRPr="00583E1A">
        <w:t xml:space="preserve">However, for overseas travel covered by a </w:t>
      </w:r>
      <w:r w:rsidR="00583E1A" w:rsidRPr="00583E1A">
        <w:rPr>
          <w:position w:val="6"/>
          <w:sz w:val="16"/>
        </w:rPr>
        <w:t>*</w:t>
      </w:r>
      <w:r w:rsidRPr="00583E1A">
        <w:t>travel allowance you must still keep travel records if the travel involves you being away from your ordinary residence for 6 or more nights in a row: Subdivision</w:t>
      </w:r>
      <w:r w:rsidR="00583E1A">
        <w:t> </w:t>
      </w:r>
      <w:r w:rsidRPr="00583E1A">
        <w:t>900</w:t>
      </w:r>
      <w:r w:rsidR="00583E1A">
        <w:noBreakHyphen/>
      </w:r>
      <w:r w:rsidRPr="00583E1A">
        <w:t>F tells you about travel records.</w:t>
      </w:r>
    </w:p>
    <w:p w:rsidR="00887330" w:rsidRPr="00583E1A" w:rsidRDefault="00887330" w:rsidP="00887330">
      <w:pPr>
        <w:pStyle w:val="ActHead5"/>
      </w:pPr>
      <w:bookmarkStart w:id="448" w:name="_Toc338939522"/>
      <w:r w:rsidRPr="00583E1A">
        <w:rPr>
          <w:rStyle w:val="CharSectno"/>
        </w:rPr>
        <w:t>900</w:t>
      </w:r>
      <w:r w:rsidR="00583E1A">
        <w:rPr>
          <w:rStyle w:val="CharSectno"/>
        </w:rPr>
        <w:noBreakHyphen/>
      </w:r>
      <w:r w:rsidRPr="00583E1A">
        <w:rPr>
          <w:rStyle w:val="CharSectno"/>
        </w:rPr>
        <w:t>60</w:t>
      </w:r>
      <w:r w:rsidRPr="00583E1A">
        <w:t xml:space="preserve">  Exception for reasonable overtime meal allowance</w:t>
      </w:r>
      <w:bookmarkEnd w:id="448"/>
    </w:p>
    <w:p w:rsidR="00887330" w:rsidRPr="00583E1A" w:rsidRDefault="00887330" w:rsidP="00887330">
      <w:pPr>
        <w:pStyle w:val="subsection"/>
        <w:rPr>
          <w:b/>
        </w:rPr>
      </w:pPr>
      <w:r w:rsidRPr="00583E1A">
        <w:tab/>
      </w:r>
      <w:r w:rsidRPr="00583E1A">
        <w:tab/>
        <w:t xml:space="preserve">You can deduct a </w:t>
      </w:r>
      <w:r w:rsidR="00583E1A" w:rsidRPr="00583E1A">
        <w:rPr>
          <w:position w:val="6"/>
          <w:sz w:val="16"/>
        </w:rPr>
        <w:t>*</w:t>
      </w:r>
      <w:r w:rsidRPr="00583E1A">
        <w:t>meal allowance expense without getting written evidence if:</w:t>
      </w:r>
    </w:p>
    <w:p w:rsidR="00887330" w:rsidRPr="00583E1A" w:rsidRDefault="00887330" w:rsidP="00887330">
      <w:pPr>
        <w:pStyle w:val="paragraph"/>
      </w:pPr>
      <w:r w:rsidRPr="00583E1A">
        <w:tab/>
        <w:t>(a)</w:t>
      </w:r>
      <w:r w:rsidRPr="00583E1A">
        <w:tab/>
        <w:t>the allowance is to enable you to buy food or drink in connection with overtime that you work; and</w:t>
      </w:r>
    </w:p>
    <w:p w:rsidR="00887330" w:rsidRPr="00583E1A" w:rsidRDefault="00887330" w:rsidP="00887330">
      <w:pPr>
        <w:pStyle w:val="paragraph"/>
      </w:pPr>
      <w:r w:rsidRPr="00583E1A">
        <w:tab/>
        <w:t>(b)</w:t>
      </w:r>
      <w:r w:rsidRPr="00583E1A">
        <w:tab/>
        <w:t xml:space="preserve">the allowance is paid or payable to you under an </w:t>
      </w:r>
      <w:r w:rsidR="00583E1A" w:rsidRPr="00583E1A">
        <w:rPr>
          <w:position w:val="6"/>
          <w:sz w:val="16"/>
        </w:rPr>
        <w:t>*</w:t>
      </w:r>
      <w:r w:rsidRPr="00583E1A">
        <w:t>industrial instrument; and</w:t>
      </w:r>
    </w:p>
    <w:p w:rsidR="00887330" w:rsidRPr="00583E1A" w:rsidRDefault="00887330" w:rsidP="00887330">
      <w:pPr>
        <w:pStyle w:val="paragraph"/>
      </w:pPr>
      <w:r w:rsidRPr="00583E1A">
        <w:tab/>
        <w:t>(c)</w:t>
      </w:r>
      <w:r w:rsidRPr="00583E1A">
        <w:tab/>
        <w:t>the Commissioner considers reasonable the total of the losses or outgoings you claim that are covered by the allowance.</w:t>
      </w:r>
    </w:p>
    <w:p w:rsidR="00887330" w:rsidRPr="00583E1A" w:rsidRDefault="00887330" w:rsidP="00887330">
      <w:pPr>
        <w:pStyle w:val="ActHead5"/>
      </w:pPr>
      <w:bookmarkStart w:id="449" w:name="_Toc338939523"/>
      <w:r w:rsidRPr="00583E1A">
        <w:rPr>
          <w:rStyle w:val="CharSectno"/>
        </w:rPr>
        <w:lastRenderedPageBreak/>
        <w:t>900</w:t>
      </w:r>
      <w:r w:rsidR="00583E1A">
        <w:rPr>
          <w:rStyle w:val="CharSectno"/>
        </w:rPr>
        <w:noBreakHyphen/>
      </w:r>
      <w:r w:rsidRPr="00583E1A">
        <w:rPr>
          <w:rStyle w:val="CharSectno"/>
        </w:rPr>
        <w:t>65</w:t>
      </w:r>
      <w:r w:rsidRPr="00583E1A">
        <w:t xml:space="preserve">  Crew members on international flights need not keep travel records</w:t>
      </w:r>
      <w:bookmarkEnd w:id="449"/>
    </w:p>
    <w:p w:rsidR="00887330" w:rsidRPr="00583E1A" w:rsidRDefault="00887330" w:rsidP="00887330">
      <w:pPr>
        <w:pStyle w:val="subsection"/>
      </w:pPr>
      <w:r w:rsidRPr="00583E1A">
        <w:tab/>
      </w:r>
      <w:r w:rsidRPr="00583E1A">
        <w:tab/>
        <w:t xml:space="preserve">You can deduct a </w:t>
      </w:r>
      <w:r w:rsidR="00583E1A" w:rsidRPr="00583E1A">
        <w:rPr>
          <w:position w:val="6"/>
          <w:sz w:val="16"/>
        </w:rPr>
        <w:t>*</w:t>
      </w:r>
      <w:r w:rsidRPr="00583E1A">
        <w:t>travel allowance expense without keeping travel records if:</w:t>
      </w:r>
    </w:p>
    <w:p w:rsidR="00887330" w:rsidRPr="00583E1A" w:rsidRDefault="00887330" w:rsidP="00887330">
      <w:pPr>
        <w:pStyle w:val="paragraph"/>
      </w:pPr>
      <w:r w:rsidRPr="00583E1A">
        <w:tab/>
        <w:t>(a)</w:t>
      </w:r>
      <w:r w:rsidRPr="00583E1A">
        <w:tab/>
        <w:t xml:space="preserve">the allowance covers travel by you as a crew member of an aircraft; and </w:t>
      </w:r>
    </w:p>
    <w:p w:rsidR="00887330" w:rsidRPr="00583E1A" w:rsidRDefault="00887330" w:rsidP="00887330">
      <w:pPr>
        <w:pStyle w:val="paragraph"/>
      </w:pPr>
      <w:r w:rsidRPr="00583E1A">
        <w:tab/>
        <w:t>(b)</w:t>
      </w:r>
      <w:r w:rsidRPr="00583E1A">
        <w:tab/>
        <w:t xml:space="preserve">the travel is principally outside </w:t>
      </w:r>
      <w:smartTag w:uri="urn:schemas-microsoft-com:office:smarttags" w:element="country-region">
        <w:smartTag w:uri="urn:schemas-microsoft-com:office:smarttags" w:element="place">
          <w:r w:rsidRPr="00583E1A">
            <w:t>Australia</w:t>
          </w:r>
        </w:smartTag>
      </w:smartTag>
      <w:r w:rsidRPr="00583E1A">
        <w:t>; and</w:t>
      </w:r>
    </w:p>
    <w:p w:rsidR="00887330" w:rsidRPr="00583E1A" w:rsidRDefault="00887330" w:rsidP="00887330">
      <w:pPr>
        <w:pStyle w:val="paragraph"/>
      </w:pPr>
      <w:r w:rsidRPr="00583E1A">
        <w:tab/>
        <w:t>(c)</w:t>
      </w:r>
      <w:r w:rsidRPr="00583E1A">
        <w:tab/>
        <w:t>the total of the losses or outgoings you claim for the travel that are covered by the allowance does not exceed the allowance.</w:t>
      </w:r>
    </w:p>
    <w:p w:rsidR="00887330" w:rsidRPr="00583E1A" w:rsidRDefault="00887330" w:rsidP="00887330">
      <w:pPr>
        <w:pStyle w:val="ActHead4"/>
      </w:pPr>
      <w:bookmarkStart w:id="450" w:name="_Toc338939524"/>
      <w:r w:rsidRPr="00583E1A">
        <w:rPr>
          <w:rStyle w:val="CharSubdNo"/>
        </w:rPr>
        <w:t>Subdivision</w:t>
      </w:r>
      <w:r w:rsidR="00583E1A">
        <w:rPr>
          <w:rStyle w:val="CharSubdNo"/>
        </w:rPr>
        <w:t> </w:t>
      </w:r>
      <w:r w:rsidRPr="00583E1A">
        <w:rPr>
          <w:rStyle w:val="CharSubdNo"/>
        </w:rPr>
        <w:t>900</w:t>
      </w:r>
      <w:r w:rsidR="00583E1A">
        <w:rPr>
          <w:rStyle w:val="CharSubdNo"/>
        </w:rPr>
        <w:noBreakHyphen/>
      </w:r>
      <w:r w:rsidRPr="00583E1A">
        <w:rPr>
          <w:rStyle w:val="CharSubdNo"/>
        </w:rPr>
        <w:t>C</w:t>
      </w:r>
      <w:r w:rsidRPr="00583E1A">
        <w:t>—</w:t>
      </w:r>
      <w:r w:rsidRPr="00583E1A">
        <w:rPr>
          <w:rStyle w:val="CharSubdText"/>
        </w:rPr>
        <w:t>Substantiating car expenses</w:t>
      </w:r>
      <w:bookmarkEnd w:id="450"/>
    </w:p>
    <w:p w:rsidR="00887330" w:rsidRPr="00583E1A" w:rsidRDefault="00887330" w:rsidP="00887330">
      <w:pPr>
        <w:pStyle w:val="TofSectsHeading"/>
      </w:pPr>
      <w:r w:rsidRPr="00583E1A">
        <w:t>Table of sections</w:t>
      </w:r>
    </w:p>
    <w:p w:rsidR="00887330" w:rsidRPr="00583E1A" w:rsidRDefault="00887330" w:rsidP="00887330">
      <w:pPr>
        <w:pStyle w:val="TofSectsSection"/>
      </w:pPr>
      <w:r w:rsidRPr="00583E1A">
        <w:t>900</w:t>
      </w:r>
      <w:r w:rsidR="00583E1A">
        <w:noBreakHyphen/>
      </w:r>
      <w:r w:rsidRPr="00583E1A">
        <w:t>70</w:t>
      </w:r>
      <w:r w:rsidRPr="00583E1A">
        <w:tab/>
        <w:t>Getting written evidence</w:t>
      </w:r>
    </w:p>
    <w:p w:rsidR="00887330" w:rsidRPr="00583E1A" w:rsidRDefault="00887330" w:rsidP="00887330">
      <w:pPr>
        <w:pStyle w:val="TofSectsSection"/>
      </w:pPr>
      <w:r w:rsidRPr="00583E1A">
        <w:t>900</w:t>
      </w:r>
      <w:r w:rsidR="00583E1A">
        <w:noBreakHyphen/>
      </w:r>
      <w:r w:rsidRPr="00583E1A">
        <w:t>75</w:t>
      </w:r>
      <w:r w:rsidRPr="00583E1A">
        <w:tab/>
        <w:t>Retaining the written evidence and odometer records</w:t>
      </w:r>
    </w:p>
    <w:p w:rsidR="00887330" w:rsidRPr="00583E1A" w:rsidRDefault="00887330" w:rsidP="00887330">
      <w:pPr>
        <w:pStyle w:val="ActHead5"/>
      </w:pPr>
      <w:bookmarkStart w:id="451" w:name="_Toc338939525"/>
      <w:r w:rsidRPr="00583E1A">
        <w:rPr>
          <w:rStyle w:val="CharSectno"/>
        </w:rPr>
        <w:t>900</w:t>
      </w:r>
      <w:r w:rsidR="00583E1A">
        <w:rPr>
          <w:rStyle w:val="CharSectno"/>
        </w:rPr>
        <w:noBreakHyphen/>
      </w:r>
      <w:r w:rsidRPr="00583E1A">
        <w:rPr>
          <w:rStyle w:val="CharSectno"/>
        </w:rPr>
        <w:t>70</w:t>
      </w:r>
      <w:r w:rsidRPr="00583E1A">
        <w:t xml:space="preserve">  Getting written evidence</w:t>
      </w:r>
      <w:bookmarkEnd w:id="451"/>
    </w:p>
    <w:p w:rsidR="00887330" w:rsidRPr="00583E1A" w:rsidRDefault="00887330" w:rsidP="00887330">
      <w:pPr>
        <w:pStyle w:val="subsection"/>
      </w:pPr>
      <w:r w:rsidRPr="00583E1A">
        <w:tab/>
        <w:t>(1)</w:t>
      </w:r>
      <w:r w:rsidRPr="00583E1A">
        <w:rPr>
          <w:b/>
        </w:rPr>
        <w:tab/>
      </w:r>
      <w:r w:rsidRPr="00583E1A">
        <w:t>For the “one</w:t>
      </w:r>
      <w:r w:rsidR="00583E1A">
        <w:noBreakHyphen/>
      </w:r>
      <w:r w:rsidRPr="00583E1A">
        <w:t xml:space="preserve">third of actual expenses” method or the “log book” method of deducting a </w:t>
      </w:r>
      <w:r w:rsidR="00583E1A" w:rsidRPr="00583E1A">
        <w:rPr>
          <w:position w:val="6"/>
          <w:sz w:val="16"/>
        </w:rPr>
        <w:t>*</w:t>
      </w:r>
      <w:r w:rsidRPr="00583E1A">
        <w:t>car expense, you need to substantiate the expense by getting written evidence. Subdivision</w:t>
      </w:r>
      <w:r w:rsidR="00583E1A">
        <w:t> </w:t>
      </w:r>
      <w:r w:rsidRPr="00583E1A">
        <w:t>900</w:t>
      </w:r>
      <w:r w:rsidR="00583E1A">
        <w:noBreakHyphen/>
      </w:r>
      <w:r w:rsidRPr="00583E1A">
        <w:t>E tells you about the evidence you need.</w:t>
      </w:r>
    </w:p>
    <w:p w:rsidR="00887330" w:rsidRPr="00583E1A" w:rsidRDefault="00887330" w:rsidP="00887330">
      <w:pPr>
        <w:pStyle w:val="subsection2"/>
      </w:pPr>
      <w:r w:rsidRPr="00583E1A">
        <w:t>Subdivision</w:t>
      </w:r>
      <w:r w:rsidR="00583E1A">
        <w:t> </w:t>
      </w:r>
      <w:r w:rsidRPr="00583E1A">
        <w:t>28</w:t>
      </w:r>
      <w:r w:rsidR="00583E1A">
        <w:noBreakHyphen/>
      </w:r>
      <w:r w:rsidRPr="00583E1A">
        <w:t>E tells you about the “one</w:t>
      </w:r>
      <w:r w:rsidR="00583E1A">
        <w:noBreakHyphen/>
      </w:r>
      <w:r w:rsidRPr="00583E1A">
        <w:t>third of actual expenses” method and Subdivision</w:t>
      </w:r>
      <w:r w:rsidR="00583E1A">
        <w:t> </w:t>
      </w:r>
      <w:r w:rsidRPr="00583E1A">
        <w:t>28</w:t>
      </w:r>
      <w:r w:rsidR="00583E1A">
        <w:noBreakHyphen/>
      </w:r>
      <w:r w:rsidRPr="00583E1A">
        <w:t>F tells you about the “log book” method.</w:t>
      </w:r>
    </w:p>
    <w:p w:rsidR="00887330" w:rsidRPr="00583E1A" w:rsidRDefault="00887330" w:rsidP="00887330">
      <w:pPr>
        <w:pStyle w:val="subsection"/>
      </w:pPr>
      <w:r w:rsidRPr="00583E1A">
        <w:tab/>
        <w:t>(2)</w:t>
      </w:r>
      <w:r w:rsidRPr="00583E1A">
        <w:rPr>
          <w:b/>
        </w:rPr>
        <w:tab/>
      </w:r>
      <w:r w:rsidRPr="00583E1A">
        <w:t>If you are using the “one</w:t>
      </w:r>
      <w:r w:rsidR="00583E1A">
        <w:noBreakHyphen/>
      </w:r>
      <w:r w:rsidRPr="00583E1A">
        <w:t>third of actual expenses” method and your expense is for fuel or oil, you have a choice of either:</w:t>
      </w:r>
    </w:p>
    <w:p w:rsidR="00887330" w:rsidRPr="00583E1A" w:rsidRDefault="00887330" w:rsidP="00887330">
      <w:pPr>
        <w:pStyle w:val="paragraph"/>
      </w:pPr>
      <w:r w:rsidRPr="00583E1A">
        <w:tab/>
        <w:t>(a)</w:t>
      </w:r>
      <w:r w:rsidRPr="00583E1A">
        <w:tab/>
        <w:t>getting written evidence of it under Subdivision</w:t>
      </w:r>
      <w:r w:rsidR="00583E1A">
        <w:t> </w:t>
      </w:r>
      <w:r w:rsidRPr="00583E1A">
        <w:t>900</w:t>
      </w:r>
      <w:r w:rsidR="00583E1A">
        <w:noBreakHyphen/>
      </w:r>
      <w:r w:rsidRPr="00583E1A">
        <w:t>E; or</w:t>
      </w:r>
    </w:p>
    <w:p w:rsidR="00887330" w:rsidRPr="00583E1A" w:rsidRDefault="00887330" w:rsidP="00887330">
      <w:pPr>
        <w:pStyle w:val="paragraph"/>
        <w:keepNext/>
      </w:pPr>
      <w:r w:rsidRPr="00583E1A">
        <w:tab/>
        <w:t>(b)</w:t>
      </w:r>
      <w:r w:rsidRPr="00583E1A">
        <w:tab/>
        <w:t xml:space="preserve">keeping odometer records for the period when you owned or leased the </w:t>
      </w:r>
      <w:r w:rsidR="00583E1A" w:rsidRPr="00583E1A">
        <w:rPr>
          <w:position w:val="6"/>
          <w:sz w:val="16"/>
        </w:rPr>
        <w:t>*</w:t>
      </w:r>
      <w:r w:rsidRPr="00583E1A">
        <w:t>car in the income year.</w:t>
      </w:r>
    </w:p>
    <w:p w:rsidR="00887330" w:rsidRPr="00583E1A" w:rsidRDefault="00887330" w:rsidP="00887330">
      <w:pPr>
        <w:pStyle w:val="subsection2"/>
      </w:pPr>
      <w:r w:rsidRPr="00583E1A">
        <w:t>Subdivision</w:t>
      </w:r>
      <w:r w:rsidR="00583E1A">
        <w:t> </w:t>
      </w:r>
      <w:r w:rsidRPr="00583E1A">
        <w:t>28</w:t>
      </w:r>
      <w:r w:rsidR="00583E1A">
        <w:noBreakHyphen/>
      </w:r>
      <w:r w:rsidRPr="00583E1A">
        <w:t>H tells you about odometer records.</w:t>
      </w:r>
    </w:p>
    <w:p w:rsidR="00887330" w:rsidRPr="00583E1A" w:rsidRDefault="00887330" w:rsidP="00887330">
      <w:pPr>
        <w:pStyle w:val="notetext"/>
      </w:pPr>
      <w:r w:rsidRPr="00583E1A">
        <w:t>Note:</w:t>
      </w:r>
      <w:r w:rsidRPr="00583E1A">
        <w:tab/>
        <w:t>In certain circumstances (for example, under a hire purchase agreement) the notional buyer of property is taken to be its owner (see subsection 240</w:t>
      </w:r>
      <w:r w:rsidR="00583E1A">
        <w:noBreakHyphen/>
      </w:r>
      <w:r w:rsidRPr="00583E1A">
        <w:t>20(2)).</w:t>
      </w:r>
    </w:p>
    <w:p w:rsidR="00887330" w:rsidRPr="00583E1A" w:rsidRDefault="00887330" w:rsidP="00887330">
      <w:pPr>
        <w:pStyle w:val="subsection"/>
      </w:pPr>
      <w:r w:rsidRPr="00583E1A">
        <w:lastRenderedPageBreak/>
        <w:tab/>
        <w:t>(3)</w:t>
      </w:r>
      <w:r w:rsidRPr="00583E1A">
        <w:rPr>
          <w:b/>
        </w:rPr>
        <w:tab/>
      </w:r>
      <w:r w:rsidRPr="00583E1A">
        <w:t>If you are using the “log book” method and your expense is for fuel or oil, you do not need to get written evidence of it, because section</w:t>
      </w:r>
      <w:r w:rsidR="00583E1A">
        <w:t> </w:t>
      </w:r>
      <w:r w:rsidRPr="00583E1A">
        <w:t>28</w:t>
      </w:r>
      <w:r w:rsidR="00583E1A">
        <w:noBreakHyphen/>
      </w:r>
      <w:r w:rsidRPr="00583E1A">
        <w:t xml:space="preserve">100 already requires you to keep odometer records for the period when you </w:t>
      </w:r>
      <w:r w:rsidR="00583E1A" w:rsidRPr="00583E1A">
        <w:rPr>
          <w:position w:val="6"/>
          <w:sz w:val="16"/>
        </w:rPr>
        <w:t>*</w:t>
      </w:r>
      <w:r w:rsidRPr="00583E1A">
        <w:t xml:space="preserve">held the </w:t>
      </w:r>
      <w:r w:rsidR="00583E1A" w:rsidRPr="00583E1A">
        <w:rPr>
          <w:position w:val="6"/>
          <w:sz w:val="16"/>
        </w:rPr>
        <w:t>*</w:t>
      </w:r>
      <w:r w:rsidRPr="00583E1A">
        <w:t>car in the income year.</w:t>
      </w:r>
    </w:p>
    <w:p w:rsidR="00887330" w:rsidRPr="00583E1A" w:rsidRDefault="00887330" w:rsidP="00887330">
      <w:pPr>
        <w:pStyle w:val="ActHead5"/>
      </w:pPr>
      <w:bookmarkStart w:id="452" w:name="_Toc338939526"/>
      <w:r w:rsidRPr="00583E1A">
        <w:rPr>
          <w:rStyle w:val="CharSectno"/>
        </w:rPr>
        <w:t>900</w:t>
      </w:r>
      <w:r w:rsidR="00583E1A">
        <w:rPr>
          <w:rStyle w:val="CharSectno"/>
        </w:rPr>
        <w:noBreakHyphen/>
      </w:r>
      <w:r w:rsidRPr="00583E1A">
        <w:rPr>
          <w:rStyle w:val="CharSectno"/>
        </w:rPr>
        <w:t>75</w:t>
      </w:r>
      <w:r w:rsidRPr="00583E1A">
        <w:t xml:space="preserve">  Retaining the written evidence and odometer records</w:t>
      </w:r>
      <w:bookmarkEnd w:id="452"/>
    </w:p>
    <w:p w:rsidR="00887330" w:rsidRPr="00583E1A" w:rsidRDefault="00887330" w:rsidP="00887330">
      <w:pPr>
        <w:pStyle w:val="subsection"/>
      </w:pPr>
      <w:r w:rsidRPr="00583E1A">
        <w:tab/>
        <w:t>(1)</w:t>
      </w:r>
      <w:r w:rsidRPr="00583E1A">
        <w:rPr>
          <w:b/>
        </w:rPr>
        <w:tab/>
      </w:r>
      <w:r w:rsidRPr="00583E1A">
        <w:t xml:space="preserve">Once you have the material required by this Subdivision, you must retain it for 5 years. There is no need to lodge it with your </w:t>
      </w:r>
      <w:r w:rsidR="00583E1A" w:rsidRPr="00583E1A">
        <w:rPr>
          <w:position w:val="6"/>
          <w:sz w:val="16"/>
        </w:rPr>
        <w:t>*</w:t>
      </w:r>
      <w:r w:rsidRPr="00583E1A">
        <w:t>income tax return. The Commissioner may require you to produce it: see Subdivision</w:t>
      </w:r>
      <w:r w:rsidR="00583E1A">
        <w:t> </w:t>
      </w:r>
      <w:r w:rsidRPr="00583E1A">
        <w:t>900</w:t>
      </w:r>
      <w:r w:rsidR="00583E1A">
        <w:noBreakHyphen/>
      </w:r>
      <w:r w:rsidRPr="00583E1A">
        <w:t xml:space="preserve">G. The period for which you must retain it is called the </w:t>
      </w:r>
      <w:r w:rsidRPr="00583E1A">
        <w:rPr>
          <w:b/>
          <w:i/>
        </w:rPr>
        <w:t>retention period</w:t>
      </w:r>
      <w:r w:rsidRPr="00583E1A">
        <w:t>.</w:t>
      </w:r>
    </w:p>
    <w:p w:rsidR="00887330" w:rsidRPr="00583E1A" w:rsidRDefault="00887330" w:rsidP="00887330">
      <w:pPr>
        <w:pStyle w:val="subsection"/>
      </w:pPr>
      <w:r w:rsidRPr="00583E1A">
        <w:tab/>
        <w:t>(2)</w:t>
      </w:r>
      <w:r w:rsidRPr="00583E1A">
        <w:rPr>
          <w:b/>
        </w:rPr>
        <w:tab/>
      </w:r>
      <w:r w:rsidRPr="00583E1A">
        <w:t xml:space="preserve">The 5 years start on the due day for lodging your </w:t>
      </w:r>
      <w:r w:rsidR="00583E1A" w:rsidRPr="00583E1A">
        <w:rPr>
          <w:position w:val="6"/>
          <w:sz w:val="16"/>
        </w:rPr>
        <w:t>*</w:t>
      </w:r>
      <w:r w:rsidRPr="00583E1A">
        <w:t>income tax return for the income year. If you lodge your return later, the 5 years start on the day you lodge it.</w:t>
      </w:r>
    </w:p>
    <w:p w:rsidR="00887330" w:rsidRPr="00583E1A" w:rsidRDefault="00887330" w:rsidP="00887330">
      <w:pPr>
        <w:pStyle w:val="subsection"/>
      </w:pPr>
      <w:r w:rsidRPr="00583E1A">
        <w:tab/>
        <w:t>(3)</w:t>
      </w:r>
      <w:r w:rsidRPr="00583E1A">
        <w:rPr>
          <w:b/>
        </w:rPr>
        <w:tab/>
      </w:r>
      <w:r w:rsidRPr="00583E1A">
        <w:t xml:space="preserve">However, the </w:t>
      </w:r>
      <w:r w:rsidR="00583E1A" w:rsidRPr="00583E1A">
        <w:rPr>
          <w:position w:val="6"/>
          <w:sz w:val="16"/>
        </w:rPr>
        <w:t>*</w:t>
      </w:r>
      <w:r w:rsidRPr="00583E1A">
        <w:t>retention period is extended if, when the 5 years end, you are involved in a dispute with the Commissioner that relates to the expense. See section</w:t>
      </w:r>
      <w:r w:rsidR="00583E1A">
        <w:t> </w:t>
      </w:r>
      <w:r w:rsidRPr="00583E1A">
        <w:t>900</w:t>
      </w:r>
      <w:r w:rsidR="00583E1A">
        <w:noBreakHyphen/>
      </w:r>
      <w:r w:rsidRPr="00583E1A">
        <w:t>170.</w:t>
      </w:r>
    </w:p>
    <w:p w:rsidR="00887330" w:rsidRPr="00583E1A" w:rsidRDefault="00887330" w:rsidP="00887330">
      <w:pPr>
        <w:pStyle w:val="subsection"/>
      </w:pPr>
      <w:r w:rsidRPr="00583E1A">
        <w:tab/>
        <w:t>(4)</w:t>
      </w:r>
      <w:r w:rsidRPr="00583E1A">
        <w:rPr>
          <w:b/>
        </w:rPr>
        <w:tab/>
      </w:r>
      <w:r w:rsidRPr="00583E1A">
        <w:t xml:space="preserve">If you do not retain the material for the </w:t>
      </w:r>
      <w:r w:rsidR="00583E1A" w:rsidRPr="00583E1A">
        <w:rPr>
          <w:position w:val="6"/>
          <w:sz w:val="16"/>
        </w:rPr>
        <w:t>*</w:t>
      </w:r>
      <w:r w:rsidRPr="00583E1A">
        <w:t>retention period, you cannot deduct the expense. If you have already deducted it, your assessment may be amended to disallow the deduction.</w:t>
      </w:r>
    </w:p>
    <w:p w:rsidR="00887330" w:rsidRPr="00583E1A" w:rsidRDefault="00887330" w:rsidP="00887330">
      <w:pPr>
        <w:pStyle w:val="subsection"/>
      </w:pPr>
      <w:r w:rsidRPr="00583E1A">
        <w:tab/>
        <w:t>(5)</w:t>
      </w:r>
      <w:r w:rsidRPr="00583E1A">
        <w:rPr>
          <w:b/>
        </w:rPr>
        <w:tab/>
      </w:r>
      <w:r w:rsidRPr="00583E1A">
        <w:t>If you lose any of the material, there are rules that might help you in section</w:t>
      </w:r>
      <w:r w:rsidR="00583E1A">
        <w:t> </w:t>
      </w:r>
      <w:r w:rsidRPr="00583E1A">
        <w:t>900</w:t>
      </w:r>
      <w:r w:rsidR="00583E1A">
        <w:noBreakHyphen/>
      </w:r>
      <w:r w:rsidRPr="00583E1A">
        <w:t>205.</w:t>
      </w:r>
    </w:p>
    <w:p w:rsidR="00887330" w:rsidRPr="00583E1A" w:rsidRDefault="00887330" w:rsidP="00887330">
      <w:pPr>
        <w:pStyle w:val="ActHead4"/>
      </w:pPr>
      <w:bookmarkStart w:id="453" w:name="_Toc338939527"/>
      <w:r w:rsidRPr="00583E1A">
        <w:rPr>
          <w:rStyle w:val="CharSubdNo"/>
        </w:rPr>
        <w:t>Subdivision</w:t>
      </w:r>
      <w:r w:rsidR="00583E1A">
        <w:rPr>
          <w:rStyle w:val="CharSubdNo"/>
        </w:rPr>
        <w:t> </w:t>
      </w:r>
      <w:r w:rsidRPr="00583E1A">
        <w:rPr>
          <w:rStyle w:val="CharSubdNo"/>
        </w:rPr>
        <w:t>900</w:t>
      </w:r>
      <w:r w:rsidR="00583E1A">
        <w:rPr>
          <w:rStyle w:val="CharSubdNo"/>
        </w:rPr>
        <w:noBreakHyphen/>
      </w:r>
      <w:r w:rsidRPr="00583E1A">
        <w:rPr>
          <w:rStyle w:val="CharSubdNo"/>
        </w:rPr>
        <w:t>D</w:t>
      </w:r>
      <w:r w:rsidRPr="00583E1A">
        <w:t>—</w:t>
      </w:r>
      <w:r w:rsidRPr="00583E1A">
        <w:rPr>
          <w:rStyle w:val="CharSubdText"/>
        </w:rPr>
        <w:t>Substantiating business travel expenses</w:t>
      </w:r>
      <w:bookmarkEnd w:id="453"/>
    </w:p>
    <w:p w:rsidR="00887330" w:rsidRPr="00583E1A" w:rsidRDefault="00887330" w:rsidP="00887330">
      <w:pPr>
        <w:pStyle w:val="TofSectsHeading"/>
      </w:pPr>
      <w:r w:rsidRPr="00583E1A">
        <w:t>Table of sections</w:t>
      </w:r>
    </w:p>
    <w:p w:rsidR="00887330" w:rsidRPr="00583E1A" w:rsidRDefault="00887330" w:rsidP="00887330">
      <w:pPr>
        <w:pStyle w:val="TofSectsSection"/>
      </w:pPr>
      <w:r w:rsidRPr="00583E1A">
        <w:t>900</w:t>
      </w:r>
      <w:r w:rsidR="00583E1A">
        <w:noBreakHyphen/>
      </w:r>
      <w:r w:rsidRPr="00583E1A">
        <w:t>80</w:t>
      </w:r>
      <w:r w:rsidRPr="00583E1A">
        <w:tab/>
        <w:t>Getting written evidence</w:t>
      </w:r>
    </w:p>
    <w:p w:rsidR="00887330" w:rsidRPr="00583E1A" w:rsidRDefault="00887330" w:rsidP="00887330">
      <w:pPr>
        <w:pStyle w:val="TofSectsSection"/>
      </w:pPr>
      <w:r w:rsidRPr="00583E1A">
        <w:t>900</w:t>
      </w:r>
      <w:r w:rsidR="00583E1A">
        <w:noBreakHyphen/>
      </w:r>
      <w:r w:rsidRPr="00583E1A">
        <w:t>85</w:t>
      </w:r>
      <w:r w:rsidRPr="00583E1A">
        <w:tab/>
        <w:t>Keeping travel records</w:t>
      </w:r>
    </w:p>
    <w:p w:rsidR="00887330" w:rsidRPr="00583E1A" w:rsidRDefault="00887330" w:rsidP="00887330">
      <w:pPr>
        <w:pStyle w:val="TofSectsSection"/>
      </w:pPr>
      <w:r w:rsidRPr="00583E1A">
        <w:t>900</w:t>
      </w:r>
      <w:r w:rsidR="00583E1A">
        <w:noBreakHyphen/>
      </w:r>
      <w:r w:rsidRPr="00583E1A">
        <w:t>90</w:t>
      </w:r>
      <w:r w:rsidRPr="00583E1A">
        <w:tab/>
        <w:t>Retaining the written evidence and travel records</w:t>
      </w:r>
    </w:p>
    <w:p w:rsidR="00887330" w:rsidRPr="00583E1A" w:rsidRDefault="00887330" w:rsidP="00887330">
      <w:pPr>
        <w:pStyle w:val="TofSectsSection"/>
      </w:pPr>
      <w:r w:rsidRPr="00583E1A">
        <w:t>900</w:t>
      </w:r>
      <w:r w:rsidR="00583E1A">
        <w:noBreakHyphen/>
      </w:r>
      <w:r w:rsidRPr="00583E1A">
        <w:t>95</w:t>
      </w:r>
      <w:r w:rsidRPr="00583E1A">
        <w:tab/>
        <w:t xml:space="preserve">Meaning of </w:t>
      </w:r>
      <w:r w:rsidRPr="00583E1A">
        <w:rPr>
          <w:i/>
        </w:rPr>
        <w:t>business travel expense</w:t>
      </w:r>
    </w:p>
    <w:p w:rsidR="00887330" w:rsidRPr="00583E1A" w:rsidRDefault="00887330" w:rsidP="007B2DFD">
      <w:pPr>
        <w:pStyle w:val="ActHead5"/>
      </w:pPr>
      <w:bookmarkStart w:id="454" w:name="_Toc338939528"/>
      <w:r w:rsidRPr="00583E1A">
        <w:rPr>
          <w:rStyle w:val="CharSectno"/>
        </w:rPr>
        <w:t>900</w:t>
      </w:r>
      <w:r w:rsidR="00583E1A">
        <w:rPr>
          <w:rStyle w:val="CharSectno"/>
        </w:rPr>
        <w:noBreakHyphen/>
      </w:r>
      <w:r w:rsidRPr="00583E1A">
        <w:rPr>
          <w:rStyle w:val="CharSectno"/>
        </w:rPr>
        <w:t>80</w:t>
      </w:r>
      <w:r w:rsidRPr="00583E1A">
        <w:t xml:space="preserve">  Getting written evidence</w:t>
      </w:r>
      <w:bookmarkEnd w:id="454"/>
    </w:p>
    <w:p w:rsidR="00887330" w:rsidRPr="00583E1A" w:rsidRDefault="00887330" w:rsidP="007B2DFD">
      <w:pPr>
        <w:pStyle w:val="subsection"/>
        <w:keepNext/>
        <w:keepLines/>
      </w:pPr>
      <w:r w:rsidRPr="00583E1A">
        <w:tab/>
        <w:t>(1)</w:t>
      </w:r>
      <w:r w:rsidRPr="00583E1A">
        <w:rPr>
          <w:b/>
        </w:rPr>
        <w:tab/>
      </w:r>
      <w:r w:rsidRPr="00583E1A">
        <w:t xml:space="preserve">To deduct a </w:t>
      </w:r>
      <w:r w:rsidR="00583E1A" w:rsidRPr="00583E1A">
        <w:rPr>
          <w:position w:val="6"/>
          <w:sz w:val="16"/>
        </w:rPr>
        <w:t>*</w:t>
      </w:r>
      <w:r w:rsidRPr="00583E1A">
        <w:t>business travel expense:</w:t>
      </w:r>
    </w:p>
    <w:p w:rsidR="00887330" w:rsidRPr="00583E1A" w:rsidRDefault="00887330" w:rsidP="00887330">
      <w:pPr>
        <w:pStyle w:val="paragraph"/>
      </w:pPr>
      <w:r w:rsidRPr="00583E1A">
        <w:tab/>
        <w:t>(a)</w:t>
      </w:r>
      <w:r w:rsidRPr="00583E1A">
        <w:tab/>
        <w:t>it must qualify as a deduction under some provision of this Act outside this Division; and</w:t>
      </w:r>
    </w:p>
    <w:p w:rsidR="00887330" w:rsidRPr="00583E1A" w:rsidRDefault="00887330" w:rsidP="00887330">
      <w:pPr>
        <w:pStyle w:val="paragraph"/>
        <w:keepNext/>
      </w:pPr>
      <w:r w:rsidRPr="00583E1A">
        <w:lastRenderedPageBreak/>
        <w:tab/>
        <w:t>(b)</w:t>
      </w:r>
      <w:r w:rsidRPr="00583E1A">
        <w:tab/>
        <w:t xml:space="preserve">you need to substantiate it by getting written evidence. </w:t>
      </w:r>
    </w:p>
    <w:p w:rsidR="00887330" w:rsidRPr="00583E1A" w:rsidRDefault="00887330" w:rsidP="00887330">
      <w:pPr>
        <w:pStyle w:val="subsection2"/>
        <w:keepNext/>
      </w:pPr>
      <w:r w:rsidRPr="00583E1A">
        <w:t>Subdivision</w:t>
      </w:r>
      <w:r w:rsidR="00583E1A">
        <w:t> </w:t>
      </w:r>
      <w:r w:rsidRPr="00583E1A">
        <w:t>900</w:t>
      </w:r>
      <w:r w:rsidR="00583E1A">
        <w:noBreakHyphen/>
      </w:r>
      <w:r w:rsidRPr="00583E1A">
        <w:t>E tells you about the evidence you need.</w:t>
      </w:r>
    </w:p>
    <w:p w:rsidR="00887330" w:rsidRPr="00583E1A" w:rsidRDefault="00887330" w:rsidP="00887330">
      <w:pPr>
        <w:pStyle w:val="TLPnoteright"/>
      </w:pPr>
      <w:r w:rsidRPr="00583E1A">
        <w:t>To find out whether an expense qualifies as a deduction under this Act, see Division</w:t>
      </w:r>
      <w:r w:rsidR="00583E1A">
        <w:t> </w:t>
      </w:r>
      <w:r w:rsidRPr="00583E1A">
        <w:t>8 (Deductions).</w:t>
      </w:r>
    </w:p>
    <w:p w:rsidR="00887330" w:rsidRPr="00583E1A" w:rsidRDefault="00887330" w:rsidP="00887330">
      <w:pPr>
        <w:pStyle w:val="subsection"/>
      </w:pPr>
      <w:r w:rsidRPr="00583E1A">
        <w:tab/>
        <w:t>(2)</w:t>
      </w:r>
      <w:r w:rsidRPr="00583E1A">
        <w:tab/>
        <w:t>If your expense is for fuel or oil, you have a choice of either:</w:t>
      </w:r>
    </w:p>
    <w:p w:rsidR="00887330" w:rsidRPr="00583E1A" w:rsidRDefault="00887330" w:rsidP="00887330">
      <w:pPr>
        <w:pStyle w:val="paragraph"/>
      </w:pPr>
      <w:r w:rsidRPr="00583E1A">
        <w:tab/>
        <w:t>(a)</w:t>
      </w:r>
      <w:r w:rsidRPr="00583E1A">
        <w:tab/>
        <w:t>getting written evidence of it under Subdivision</w:t>
      </w:r>
      <w:r w:rsidR="00583E1A">
        <w:t> </w:t>
      </w:r>
      <w:r w:rsidRPr="00583E1A">
        <w:t>900</w:t>
      </w:r>
      <w:r w:rsidR="00583E1A">
        <w:noBreakHyphen/>
      </w:r>
      <w:r w:rsidRPr="00583E1A">
        <w:t>E; or</w:t>
      </w:r>
    </w:p>
    <w:p w:rsidR="00887330" w:rsidRPr="00583E1A" w:rsidRDefault="00887330" w:rsidP="00887330">
      <w:pPr>
        <w:pStyle w:val="paragraph"/>
        <w:keepNext/>
      </w:pPr>
      <w:r w:rsidRPr="00583E1A">
        <w:tab/>
        <w:t>(b)</w:t>
      </w:r>
      <w:r w:rsidRPr="00583E1A">
        <w:tab/>
        <w:t xml:space="preserve">keeping odometer records for the period when you owned or leased the </w:t>
      </w:r>
      <w:r w:rsidR="00583E1A" w:rsidRPr="00583E1A">
        <w:rPr>
          <w:position w:val="6"/>
          <w:sz w:val="16"/>
        </w:rPr>
        <w:t>*</w:t>
      </w:r>
      <w:r w:rsidRPr="00583E1A">
        <w:t>car in the income year.</w:t>
      </w:r>
    </w:p>
    <w:p w:rsidR="00887330" w:rsidRPr="00583E1A" w:rsidRDefault="00887330" w:rsidP="00887330">
      <w:pPr>
        <w:pStyle w:val="subsection2"/>
      </w:pPr>
      <w:r w:rsidRPr="00583E1A">
        <w:t>Subdivision</w:t>
      </w:r>
      <w:r w:rsidR="00583E1A">
        <w:t> </w:t>
      </w:r>
      <w:r w:rsidRPr="00583E1A">
        <w:t>28</w:t>
      </w:r>
      <w:r w:rsidR="00583E1A">
        <w:noBreakHyphen/>
      </w:r>
      <w:r w:rsidRPr="00583E1A">
        <w:t>H tells you about odometer records.</w:t>
      </w:r>
    </w:p>
    <w:p w:rsidR="00887330" w:rsidRPr="00583E1A" w:rsidRDefault="00887330" w:rsidP="00887330">
      <w:pPr>
        <w:pStyle w:val="notetext"/>
      </w:pPr>
      <w:r w:rsidRPr="00583E1A">
        <w:t>Note:</w:t>
      </w:r>
      <w:r w:rsidRPr="00583E1A">
        <w:tab/>
        <w:t>In certain circumstances (for example, under a hire purchase agreement) the notional buyer of property is taken to be its owner (see subsection 240</w:t>
      </w:r>
      <w:r w:rsidR="00583E1A">
        <w:noBreakHyphen/>
      </w:r>
      <w:r w:rsidRPr="00583E1A">
        <w:t>20(2)).</w:t>
      </w:r>
    </w:p>
    <w:p w:rsidR="00887330" w:rsidRPr="00583E1A" w:rsidRDefault="00887330" w:rsidP="00887330">
      <w:pPr>
        <w:pStyle w:val="ActHead5"/>
      </w:pPr>
      <w:bookmarkStart w:id="455" w:name="_Toc338939529"/>
      <w:r w:rsidRPr="00583E1A">
        <w:rPr>
          <w:rStyle w:val="CharSectno"/>
        </w:rPr>
        <w:t>900</w:t>
      </w:r>
      <w:r w:rsidR="00583E1A">
        <w:rPr>
          <w:rStyle w:val="CharSectno"/>
        </w:rPr>
        <w:noBreakHyphen/>
      </w:r>
      <w:r w:rsidRPr="00583E1A">
        <w:rPr>
          <w:rStyle w:val="CharSectno"/>
        </w:rPr>
        <w:t>85</w:t>
      </w:r>
      <w:r w:rsidRPr="00583E1A">
        <w:t xml:space="preserve">  Keeping travel records</w:t>
      </w:r>
      <w:bookmarkEnd w:id="455"/>
    </w:p>
    <w:p w:rsidR="00887330" w:rsidRPr="00583E1A" w:rsidRDefault="00887330" w:rsidP="00887330">
      <w:pPr>
        <w:pStyle w:val="subsection"/>
      </w:pPr>
      <w:r w:rsidRPr="00583E1A">
        <w:tab/>
      </w:r>
      <w:r w:rsidRPr="00583E1A">
        <w:tab/>
        <w:t>You need to keep travel records if your expense is for travel that involves you being away from your ordinary residence for 6 or more nights in a row. Subdivision</w:t>
      </w:r>
      <w:r w:rsidR="00583E1A">
        <w:t> </w:t>
      </w:r>
      <w:r w:rsidRPr="00583E1A">
        <w:t>900</w:t>
      </w:r>
      <w:r w:rsidR="00583E1A">
        <w:noBreakHyphen/>
      </w:r>
      <w:r w:rsidRPr="00583E1A">
        <w:t>F tells you about travel records.</w:t>
      </w:r>
    </w:p>
    <w:p w:rsidR="00887330" w:rsidRPr="00583E1A" w:rsidRDefault="00887330" w:rsidP="00887330">
      <w:pPr>
        <w:pStyle w:val="ActHead5"/>
      </w:pPr>
      <w:bookmarkStart w:id="456" w:name="_Toc338939530"/>
      <w:r w:rsidRPr="00583E1A">
        <w:rPr>
          <w:rStyle w:val="CharSectno"/>
        </w:rPr>
        <w:t>900</w:t>
      </w:r>
      <w:r w:rsidR="00583E1A">
        <w:rPr>
          <w:rStyle w:val="CharSectno"/>
        </w:rPr>
        <w:noBreakHyphen/>
      </w:r>
      <w:r w:rsidRPr="00583E1A">
        <w:rPr>
          <w:rStyle w:val="CharSectno"/>
        </w:rPr>
        <w:t>90</w:t>
      </w:r>
      <w:r w:rsidRPr="00583E1A">
        <w:t xml:space="preserve">  Retaining the written evidence and travel records</w:t>
      </w:r>
      <w:bookmarkEnd w:id="456"/>
    </w:p>
    <w:p w:rsidR="00887330" w:rsidRPr="00583E1A" w:rsidRDefault="00887330" w:rsidP="00887330">
      <w:pPr>
        <w:pStyle w:val="subsection"/>
      </w:pPr>
      <w:r w:rsidRPr="00583E1A">
        <w:tab/>
        <w:t>(1)</w:t>
      </w:r>
      <w:r w:rsidRPr="00583E1A">
        <w:rPr>
          <w:b/>
        </w:rPr>
        <w:tab/>
      </w:r>
      <w:r w:rsidRPr="00583E1A">
        <w:t>Once you have the material required by section</w:t>
      </w:r>
      <w:r w:rsidR="00583E1A">
        <w:t> </w:t>
      </w:r>
      <w:r w:rsidRPr="00583E1A">
        <w:t>900</w:t>
      </w:r>
      <w:r w:rsidR="00583E1A">
        <w:noBreakHyphen/>
      </w:r>
      <w:r w:rsidRPr="00583E1A">
        <w:t>80 or 900</w:t>
      </w:r>
      <w:r w:rsidR="00583E1A">
        <w:noBreakHyphen/>
      </w:r>
      <w:r w:rsidRPr="00583E1A">
        <w:t xml:space="preserve">85, you must retain it for 5 years. There is no need to lodge it with your </w:t>
      </w:r>
      <w:r w:rsidR="00583E1A" w:rsidRPr="00583E1A">
        <w:rPr>
          <w:position w:val="6"/>
          <w:sz w:val="16"/>
        </w:rPr>
        <w:t>*</w:t>
      </w:r>
      <w:r w:rsidRPr="00583E1A">
        <w:t>income tax return. The Commissioner may require you to produce it: see Subdivision</w:t>
      </w:r>
      <w:r w:rsidR="00583E1A">
        <w:t> </w:t>
      </w:r>
      <w:r w:rsidRPr="00583E1A">
        <w:t>900</w:t>
      </w:r>
      <w:r w:rsidR="00583E1A">
        <w:noBreakHyphen/>
      </w:r>
      <w:r w:rsidRPr="00583E1A">
        <w:t xml:space="preserve">G. The period for which you must retain it is called the </w:t>
      </w:r>
      <w:r w:rsidRPr="00583E1A">
        <w:rPr>
          <w:b/>
          <w:i/>
        </w:rPr>
        <w:t>retention period</w:t>
      </w:r>
      <w:r w:rsidRPr="00583E1A">
        <w:t>.</w:t>
      </w:r>
    </w:p>
    <w:p w:rsidR="00887330" w:rsidRPr="00583E1A" w:rsidRDefault="00887330" w:rsidP="00887330">
      <w:pPr>
        <w:pStyle w:val="subsection"/>
      </w:pPr>
      <w:r w:rsidRPr="00583E1A">
        <w:tab/>
        <w:t>(2)</w:t>
      </w:r>
      <w:r w:rsidRPr="00583E1A">
        <w:rPr>
          <w:b/>
        </w:rPr>
        <w:tab/>
      </w:r>
      <w:r w:rsidRPr="00583E1A">
        <w:t xml:space="preserve">The 5 years start on the due day for lodging your </w:t>
      </w:r>
      <w:r w:rsidR="00583E1A" w:rsidRPr="00583E1A">
        <w:rPr>
          <w:position w:val="6"/>
          <w:sz w:val="16"/>
        </w:rPr>
        <w:t>*</w:t>
      </w:r>
      <w:r w:rsidRPr="00583E1A">
        <w:t>income tax return for the income year. If you lodge your return later, the 5 years start on the day you lodge it.</w:t>
      </w:r>
    </w:p>
    <w:p w:rsidR="00887330" w:rsidRPr="00583E1A" w:rsidRDefault="00887330" w:rsidP="00887330">
      <w:pPr>
        <w:pStyle w:val="subsection"/>
      </w:pPr>
      <w:r w:rsidRPr="00583E1A">
        <w:tab/>
        <w:t>(3)</w:t>
      </w:r>
      <w:r w:rsidRPr="00583E1A">
        <w:rPr>
          <w:b/>
        </w:rPr>
        <w:tab/>
      </w:r>
      <w:r w:rsidRPr="00583E1A">
        <w:t xml:space="preserve">However, the </w:t>
      </w:r>
      <w:r w:rsidR="00583E1A" w:rsidRPr="00583E1A">
        <w:rPr>
          <w:position w:val="6"/>
          <w:sz w:val="16"/>
        </w:rPr>
        <w:t>*</w:t>
      </w:r>
      <w:r w:rsidRPr="00583E1A">
        <w:t>retention period is extended if, when the 5 years end, you are involved in a dispute with the Commissioner that relates to the expense. See section</w:t>
      </w:r>
      <w:r w:rsidR="00583E1A">
        <w:t> </w:t>
      </w:r>
      <w:r w:rsidRPr="00583E1A">
        <w:t>900</w:t>
      </w:r>
      <w:r w:rsidR="00583E1A">
        <w:noBreakHyphen/>
      </w:r>
      <w:r w:rsidRPr="00583E1A">
        <w:t>170.</w:t>
      </w:r>
    </w:p>
    <w:p w:rsidR="00887330" w:rsidRPr="00583E1A" w:rsidRDefault="00887330" w:rsidP="00887330">
      <w:pPr>
        <w:pStyle w:val="subsection"/>
      </w:pPr>
      <w:r w:rsidRPr="00583E1A">
        <w:tab/>
        <w:t>(4)</w:t>
      </w:r>
      <w:r w:rsidRPr="00583E1A">
        <w:rPr>
          <w:b/>
        </w:rPr>
        <w:tab/>
      </w:r>
      <w:r w:rsidRPr="00583E1A">
        <w:t xml:space="preserve">If you do not retain the material for the </w:t>
      </w:r>
      <w:r w:rsidR="00583E1A" w:rsidRPr="00583E1A">
        <w:rPr>
          <w:position w:val="6"/>
          <w:sz w:val="16"/>
        </w:rPr>
        <w:t>*</w:t>
      </w:r>
      <w:r w:rsidRPr="00583E1A">
        <w:t>retention period, you cannot deduct the expense. If you have already deducted it, your assessment may be amended to disallow the deduction.</w:t>
      </w:r>
    </w:p>
    <w:p w:rsidR="00887330" w:rsidRPr="00583E1A" w:rsidRDefault="00887330" w:rsidP="00887330">
      <w:pPr>
        <w:pStyle w:val="subsection"/>
      </w:pPr>
      <w:r w:rsidRPr="00583E1A">
        <w:lastRenderedPageBreak/>
        <w:tab/>
        <w:t>(5)</w:t>
      </w:r>
      <w:r w:rsidRPr="00583E1A">
        <w:rPr>
          <w:b/>
        </w:rPr>
        <w:tab/>
      </w:r>
      <w:r w:rsidRPr="00583E1A">
        <w:t>If you lose any of the material, there are rules that might help you in section</w:t>
      </w:r>
      <w:r w:rsidR="00583E1A">
        <w:t> </w:t>
      </w:r>
      <w:r w:rsidRPr="00583E1A">
        <w:t>900</w:t>
      </w:r>
      <w:r w:rsidR="00583E1A">
        <w:noBreakHyphen/>
      </w:r>
      <w:r w:rsidRPr="00583E1A">
        <w:t>205.</w:t>
      </w:r>
    </w:p>
    <w:p w:rsidR="00887330" w:rsidRPr="00583E1A" w:rsidRDefault="00887330" w:rsidP="00887330">
      <w:pPr>
        <w:pStyle w:val="ActHead5"/>
      </w:pPr>
      <w:bookmarkStart w:id="457" w:name="_Toc338939531"/>
      <w:r w:rsidRPr="00583E1A">
        <w:rPr>
          <w:rStyle w:val="CharSectno"/>
        </w:rPr>
        <w:t>900</w:t>
      </w:r>
      <w:r w:rsidR="00583E1A">
        <w:rPr>
          <w:rStyle w:val="CharSectno"/>
        </w:rPr>
        <w:noBreakHyphen/>
      </w:r>
      <w:r w:rsidRPr="00583E1A">
        <w:rPr>
          <w:rStyle w:val="CharSectno"/>
        </w:rPr>
        <w:t>95</w:t>
      </w:r>
      <w:r w:rsidRPr="00583E1A">
        <w:t xml:space="preserve">  Meaning of </w:t>
      </w:r>
      <w:r w:rsidRPr="00583E1A">
        <w:rPr>
          <w:i/>
        </w:rPr>
        <w:t>business travel expense</w:t>
      </w:r>
      <w:bookmarkEnd w:id="457"/>
    </w:p>
    <w:p w:rsidR="00887330" w:rsidRPr="00583E1A" w:rsidRDefault="00887330" w:rsidP="00887330">
      <w:pPr>
        <w:pStyle w:val="SubsectionHead"/>
      </w:pPr>
      <w:r w:rsidRPr="00583E1A">
        <w:t>General</w:t>
      </w:r>
    </w:p>
    <w:p w:rsidR="00887330" w:rsidRPr="00583E1A" w:rsidRDefault="00887330" w:rsidP="00887330">
      <w:pPr>
        <w:pStyle w:val="subsection"/>
      </w:pPr>
      <w:r w:rsidRPr="00583E1A">
        <w:tab/>
        <w:t>(1)</w:t>
      </w:r>
      <w:r w:rsidRPr="00583E1A">
        <w:rPr>
          <w:b/>
        </w:rPr>
        <w:tab/>
      </w:r>
      <w:r w:rsidRPr="00583E1A">
        <w:t xml:space="preserve">A </w:t>
      </w:r>
      <w:r w:rsidRPr="00583E1A">
        <w:rPr>
          <w:b/>
          <w:i/>
        </w:rPr>
        <w:t>business travel expense</w:t>
      </w:r>
      <w:r w:rsidRPr="00583E1A">
        <w:t xml:space="preserve"> is a </w:t>
      </w:r>
      <w:r w:rsidR="00583E1A" w:rsidRPr="00583E1A">
        <w:rPr>
          <w:position w:val="6"/>
          <w:sz w:val="16"/>
        </w:rPr>
        <w:t>*</w:t>
      </w:r>
      <w:r w:rsidRPr="00583E1A">
        <w:t>travel expense, in so far as you incur it in producing your assessable income other than salary or wages.</w:t>
      </w:r>
    </w:p>
    <w:p w:rsidR="00887330" w:rsidRPr="00583E1A" w:rsidRDefault="00887330" w:rsidP="00887330">
      <w:pPr>
        <w:pStyle w:val="SubsectionHead"/>
      </w:pPr>
      <w:r w:rsidRPr="00583E1A">
        <w:t>Travel expense</w:t>
      </w:r>
    </w:p>
    <w:p w:rsidR="00887330" w:rsidRPr="00583E1A" w:rsidRDefault="00887330" w:rsidP="00887330">
      <w:pPr>
        <w:pStyle w:val="subsection"/>
      </w:pPr>
      <w:r w:rsidRPr="00583E1A">
        <w:tab/>
        <w:t>(2)</w:t>
      </w:r>
      <w:r w:rsidRPr="00583E1A">
        <w:rPr>
          <w:b/>
        </w:rPr>
        <w:tab/>
      </w:r>
      <w:r w:rsidRPr="00583E1A">
        <w:t xml:space="preserve">A loss or outgoing is a </w:t>
      </w:r>
      <w:r w:rsidRPr="00583E1A">
        <w:rPr>
          <w:b/>
          <w:i/>
        </w:rPr>
        <w:t>travel expense</w:t>
      </w:r>
      <w:r w:rsidRPr="00583E1A">
        <w:t xml:space="preserve"> if you incur it for travel by you that involves you being away from your ordinary residence for at least one night. The travel may be within or outside </w:t>
      </w:r>
      <w:smartTag w:uri="urn:schemas-microsoft-com:office:smarttags" w:element="country-region">
        <w:smartTag w:uri="urn:schemas-microsoft-com:office:smarttags" w:element="place">
          <w:r w:rsidRPr="00583E1A">
            <w:t>Australia</w:t>
          </w:r>
        </w:smartTag>
      </w:smartTag>
      <w:r w:rsidRPr="00583E1A">
        <w:t>.</w:t>
      </w:r>
    </w:p>
    <w:p w:rsidR="00887330" w:rsidRPr="00583E1A" w:rsidRDefault="00887330" w:rsidP="00887330">
      <w:pPr>
        <w:pStyle w:val="SubsectionHead"/>
      </w:pPr>
      <w:r w:rsidRPr="00583E1A">
        <w:t>Salary and wages travel expenses excluded</w:t>
      </w:r>
    </w:p>
    <w:p w:rsidR="00887330" w:rsidRPr="00583E1A" w:rsidRDefault="00887330" w:rsidP="00887330">
      <w:pPr>
        <w:pStyle w:val="subsection"/>
      </w:pPr>
      <w:r w:rsidRPr="00583E1A">
        <w:tab/>
        <w:t>(3)</w:t>
      </w:r>
      <w:r w:rsidRPr="00583E1A">
        <w:rPr>
          <w:b/>
        </w:rPr>
        <w:tab/>
      </w:r>
      <w:r w:rsidRPr="00583E1A">
        <w:t xml:space="preserve">In so far as you incur </w:t>
      </w:r>
      <w:r w:rsidR="00583E1A" w:rsidRPr="00583E1A">
        <w:rPr>
          <w:position w:val="6"/>
          <w:sz w:val="16"/>
        </w:rPr>
        <w:t>*</w:t>
      </w:r>
      <w:r w:rsidRPr="00583E1A">
        <w:t xml:space="preserve">travel expenses in producing your salary or wages, the expenses are not treated as </w:t>
      </w:r>
      <w:r w:rsidR="00583E1A" w:rsidRPr="00583E1A">
        <w:rPr>
          <w:position w:val="6"/>
          <w:sz w:val="16"/>
        </w:rPr>
        <w:t>*</w:t>
      </w:r>
      <w:r w:rsidRPr="00583E1A">
        <w:t xml:space="preserve">business travel expenses. Instead, they are dealt with as </w:t>
      </w:r>
      <w:r w:rsidR="00583E1A" w:rsidRPr="00583E1A">
        <w:rPr>
          <w:position w:val="6"/>
          <w:sz w:val="16"/>
        </w:rPr>
        <w:t>*</w:t>
      </w:r>
      <w:r w:rsidRPr="00583E1A">
        <w:t>work expenses in Subdivision</w:t>
      </w:r>
      <w:r w:rsidR="00583E1A">
        <w:t> </w:t>
      </w:r>
      <w:r w:rsidRPr="00583E1A">
        <w:t>900</w:t>
      </w:r>
      <w:r w:rsidR="00583E1A">
        <w:noBreakHyphen/>
      </w:r>
      <w:r w:rsidRPr="00583E1A">
        <w:t>B.</w:t>
      </w:r>
    </w:p>
    <w:p w:rsidR="00887330" w:rsidRPr="00583E1A" w:rsidRDefault="00887330" w:rsidP="00887330">
      <w:pPr>
        <w:pStyle w:val="notetext"/>
      </w:pPr>
      <w:r w:rsidRPr="00583E1A">
        <w:t>Note:</w:t>
      </w:r>
      <w:r w:rsidRPr="00583E1A">
        <w:tab/>
        <w:t>This Division also applies to withholding payments that are not salary or wages: see subsection 900</w:t>
      </w:r>
      <w:r w:rsidR="00583E1A">
        <w:noBreakHyphen/>
      </w:r>
      <w:r w:rsidRPr="00583E1A">
        <w:t>12(3).</w:t>
      </w:r>
    </w:p>
    <w:p w:rsidR="00887330" w:rsidRPr="00583E1A" w:rsidRDefault="00887330" w:rsidP="00887330">
      <w:pPr>
        <w:pStyle w:val="SubsectionHead"/>
      </w:pPr>
      <w:r w:rsidRPr="00583E1A">
        <w:t>Travel allowance expenses excluded</w:t>
      </w:r>
    </w:p>
    <w:p w:rsidR="00887330" w:rsidRPr="00583E1A" w:rsidRDefault="00887330" w:rsidP="00887330">
      <w:pPr>
        <w:pStyle w:val="subsection"/>
      </w:pPr>
      <w:r w:rsidRPr="00583E1A">
        <w:tab/>
        <w:t>(4)</w:t>
      </w:r>
      <w:r w:rsidRPr="00583E1A">
        <w:tab/>
      </w:r>
      <w:r w:rsidR="00583E1A" w:rsidRPr="00583E1A">
        <w:rPr>
          <w:position w:val="6"/>
          <w:sz w:val="16"/>
        </w:rPr>
        <w:t>*</w:t>
      </w:r>
      <w:r w:rsidRPr="00583E1A">
        <w:t xml:space="preserve">Travel allowance expenses are not treated as </w:t>
      </w:r>
      <w:r w:rsidR="00583E1A" w:rsidRPr="00583E1A">
        <w:rPr>
          <w:position w:val="6"/>
          <w:sz w:val="16"/>
        </w:rPr>
        <w:t>*</w:t>
      </w:r>
      <w:r w:rsidRPr="00583E1A">
        <w:t xml:space="preserve">business travel expenses. They too are dealt with as </w:t>
      </w:r>
      <w:r w:rsidR="00583E1A" w:rsidRPr="00583E1A">
        <w:rPr>
          <w:position w:val="6"/>
          <w:sz w:val="16"/>
        </w:rPr>
        <w:t>*</w:t>
      </w:r>
      <w:r w:rsidRPr="00583E1A">
        <w:t>work expenses in Subdivision</w:t>
      </w:r>
      <w:r w:rsidR="00583E1A">
        <w:t> </w:t>
      </w:r>
      <w:r w:rsidRPr="00583E1A">
        <w:t>900</w:t>
      </w:r>
      <w:r w:rsidR="00583E1A">
        <w:noBreakHyphen/>
      </w:r>
      <w:r w:rsidRPr="00583E1A">
        <w:t>B.</w:t>
      </w:r>
    </w:p>
    <w:p w:rsidR="00887330" w:rsidRPr="00583E1A" w:rsidRDefault="00887330" w:rsidP="00887330">
      <w:pPr>
        <w:pStyle w:val="SubsectionHead"/>
      </w:pPr>
      <w:r w:rsidRPr="00583E1A">
        <w:t>Motor vehicle expenses excluded</w:t>
      </w:r>
    </w:p>
    <w:p w:rsidR="00887330" w:rsidRPr="00583E1A" w:rsidRDefault="00887330" w:rsidP="00887330">
      <w:pPr>
        <w:pStyle w:val="subsection"/>
      </w:pPr>
      <w:r w:rsidRPr="00583E1A">
        <w:tab/>
        <w:t>(5)</w:t>
      </w:r>
      <w:r w:rsidRPr="00583E1A">
        <w:rPr>
          <w:b/>
        </w:rPr>
        <w:tab/>
      </w:r>
      <w:r w:rsidRPr="00583E1A">
        <w:t xml:space="preserve">A loss or outgoing to do with a </w:t>
      </w:r>
      <w:r w:rsidR="00583E1A" w:rsidRPr="00583E1A">
        <w:rPr>
          <w:position w:val="6"/>
          <w:sz w:val="16"/>
        </w:rPr>
        <w:t>*</w:t>
      </w:r>
      <w:r w:rsidRPr="00583E1A">
        <w:t xml:space="preserve">motor vehicle is not treated as a </w:t>
      </w:r>
      <w:r w:rsidR="00583E1A" w:rsidRPr="00583E1A">
        <w:rPr>
          <w:position w:val="6"/>
          <w:sz w:val="16"/>
        </w:rPr>
        <w:t>*</w:t>
      </w:r>
      <w:r w:rsidRPr="00583E1A">
        <w:t>business travel expense unless it is:</w:t>
      </w:r>
    </w:p>
    <w:p w:rsidR="00887330" w:rsidRPr="00583E1A" w:rsidRDefault="00887330" w:rsidP="00887330">
      <w:pPr>
        <w:pStyle w:val="paragraph"/>
      </w:pPr>
      <w:r w:rsidRPr="00583E1A">
        <w:tab/>
        <w:t>(a)</w:t>
      </w:r>
      <w:r w:rsidRPr="00583E1A">
        <w:tab/>
        <w:t xml:space="preserve">a loss or outgoing incurred, or a payment made, in respect of travel outside </w:t>
      </w:r>
      <w:smartTag w:uri="urn:schemas-microsoft-com:office:smarttags" w:element="country-region">
        <w:smartTag w:uri="urn:schemas-microsoft-com:office:smarttags" w:element="place">
          <w:r w:rsidRPr="00583E1A">
            <w:t>Australia</w:t>
          </w:r>
        </w:smartTag>
      </w:smartTag>
      <w:r w:rsidRPr="00583E1A">
        <w:t>; or</w:t>
      </w:r>
    </w:p>
    <w:p w:rsidR="00887330" w:rsidRPr="00583E1A" w:rsidRDefault="00887330" w:rsidP="00887330">
      <w:pPr>
        <w:pStyle w:val="paragraph"/>
        <w:keepNext/>
      </w:pPr>
      <w:r w:rsidRPr="00583E1A">
        <w:tab/>
        <w:t>(b)</w:t>
      </w:r>
      <w:r w:rsidRPr="00583E1A">
        <w:tab/>
        <w:t>a taxi fare or similar loss or outgoing.</w:t>
      </w:r>
    </w:p>
    <w:p w:rsidR="00887330" w:rsidRPr="00583E1A" w:rsidRDefault="00887330" w:rsidP="00887330">
      <w:pPr>
        <w:pStyle w:val="subsection2"/>
      </w:pPr>
      <w:r w:rsidRPr="00583E1A">
        <w:t xml:space="preserve">However, most </w:t>
      </w:r>
      <w:r w:rsidR="00583E1A" w:rsidRPr="00583E1A">
        <w:rPr>
          <w:position w:val="6"/>
          <w:sz w:val="16"/>
        </w:rPr>
        <w:t>*</w:t>
      </w:r>
      <w:r w:rsidRPr="00583E1A">
        <w:t xml:space="preserve">motor vehicle expenses are covered by the rules about </w:t>
      </w:r>
      <w:r w:rsidR="00583E1A" w:rsidRPr="00583E1A">
        <w:rPr>
          <w:position w:val="6"/>
          <w:sz w:val="16"/>
        </w:rPr>
        <w:t>*</w:t>
      </w:r>
      <w:r w:rsidRPr="00583E1A">
        <w:t>car expenses. See Division</w:t>
      </w:r>
      <w:r w:rsidR="00583E1A">
        <w:t> </w:t>
      </w:r>
      <w:r w:rsidRPr="00583E1A">
        <w:t>28 and Subdivision</w:t>
      </w:r>
      <w:r w:rsidR="00583E1A">
        <w:t> </w:t>
      </w:r>
      <w:r w:rsidRPr="00583E1A">
        <w:t>900</w:t>
      </w:r>
      <w:r w:rsidR="00583E1A">
        <w:noBreakHyphen/>
      </w:r>
      <w:r w:rsidRPr="00583E1A">
        <w:t>C.</w:t>
      </w:r>
    </w:p>
    <w:p w:rsidR="00887330" w:rsidRPr="00583E1A" w:rsidRDefault="00887330" w:rsidP="00887330">
      <w:pPr>
        <w:pStyle w:val="ActHead4"/>
      </w:pPr>
      <w:bookmarkStart w:id="458" w:name="_Toc338939532"/>
      <w:r w:rsidRPr="00583E1A">
        <w:rPr>
          <w:rStyle w:val="CharSubdNo"/>
        </w:rPr>
        <w:lastRenderedPageBreak/>
        <w:t>Subdivision</w:t>
      </w:r>
      <w:r w:rsidR="00583E1A">
        <w:rPr>
          <w:rStyle w:val="CharSubdNo"/>
        </w:rPr>
        <w:t> </w:t>
      </w:r>
      <w:r w:rsidRPr="00583E1A">
        <w:rPr>
          <w:rStyle w:val="CharSubdNo"/>
        </w:rPr>
        <w:t>900</w:t>
      </w:r>
      <w:r w:rsidR="00583E1A">
        <w:rPr>
          <w:rStyle w:val="CharSubdNo"/>
        </w:rPr>
        <w:noBreakHyphen/>
      </w:r>
      <w:r w:rsidRPr="00583E1A">
        <w:rPr>
          <w:rStyle w:val="CharSubdNo"/>
        </w:rPr>
        <w:t>E</w:t>
      </w:r>
      <w:r w:rsidRPr="00583E1A">
        <w:t>—</w:t>
      </w:r>
      <w:r w:rsidRPr="00583E1A">
        <w:rPr>
          <w:rStyle w:val="CharSubdText"/>
        </w:rPr>
        <w:t>Written evidence</w:t>
      </w:r>
      <w:bookmarkEnd w:id="458"/>
    </w:p>
    <w:p w:rsidR="00887330" w:rsidRPr="00583E1A" w:rsidRDefault="00887330" w:rsidP="00887330">
      <w:pPr>
        <w:pStyle w:val="ActHead4"/>
      </w:pPr>
      <w:bookmarkStart w:id="459" w:name="_Toc338939533"/>
      <w:r w:rsidRPr="00583E1A">
        <w:t>Guide to Subdivision</w:t>
      </w:r>
      <w:r w:rsidR="00583E1A">
        <w:t> </w:t>
      </w:r>
      <w:r w:rsidRPr="00583E1A">
        <w:t>900</w:t>
      </w:r>
      <w:r w:rsidR="00583E1A">
        <w:noBreakHyphen/>
      </w:r>
      <w:r w:rsidRPr="00583E1A">
        <w:t>E</w:t>
      </w:r>
      <w:bookmarkEnd w:id="459"/>
    </w:p>
    <w:p w:rsidR="00887330" w:rsidRPr="00583E1A" w:rsidRDefault="00887330" w:rsidP="00887330">
      <w:pPr>
        <w:pStyle w:val="ActHead5"/>
      </w:pPr>
      <w:bookmarkStart w:id="460" w:name="_Toc338939534"/>
      <w:r w:rsidRPr="00583E1A">
        <w:rPr>
          <w:rStyle w:val="CharSectno"/>
        </w:rPr>
        <w:t>900</w:t>
      </w:r>
      <w:r w:rsidR="00583E1A">
        <w:rPr>
          <w:rStyle w:val="CharSectno"/>
        </w:rPr>
        <w:noBreakHyphen/>
      </w:r>
      <w:r w:rsidRPr="00583E1A">
        <w:rPr>
          <w:rStyle w:val="CharSectno"/>
        </w:rPr>
        <w:t>100</w:t>
      </w:r>
      <w:r w:rsidRPr="00583E1A">
        <w:t xml:space="preserve">  What this Subdivision is about</w:t>
      </w:r>
      <w:bookmarkEnd w:id="460"/>
    </w:p>
    <w:p w:rsidR="00887330" w:rsidRPr="00583E1A" w:rsidRDefault="00887330" w:rsidP="00887330">
      <w:pPr>
        <w:pStyle w:val="BoxText"/>
        <w:spacing w:before="120"/>
      </w:pPr>
      <w:r w:rsidRPr="00583E1A">
        <w:t>This Subdivision tells you how you must get written evidence to support a claim for a deduction.</w:t>
      </w:r>
    </w:p>
    <w:p w:rsidR="00887330" w:rsidRPr="00583E1A" w:rsidRDefault="00887330" w:rsidP="00887330">
      <w:pPr>
        <w:pStyle w:val="TofSectsHeading"/>
      </w:pPr>
      <w:r w:rsidRPr="00583E1A">
        <w:t>Table of sections</w:t>
      </w:r>
    </w:p>
    <w:p w:rsidR="00887330" w:rsidRPr="00583E1A" w:rsidRDefault="00887330" w:rsidP="00887330">
      <w:pPr>
        <w:pStyle w:val="TofSectsGroupHeading"/>
      </w:pPr>
      <w:r w:rsidRPr="00583E1A">
        <w:t>Operative provisions</w:t>
      </w:r>
    </w:p>
    <w:p w:rsidR="00887330" w:rsidRPr="00583E1A" w:rsidRDefault="00887330" w:rsidP="00887330">
      <w:pPr>
        <w:pStyle w:val="TofSectsSection"/>
      </w:pPr>
      <w:r w:rsidRPr="00583E1A">
        <w:t>900</w:t>
      </w:r>
      <w:r w:rsidR="00583E1A">
        <w:noBreakHyphen/>
      </w:r>
      <w:r w:rsidRPr="00583E1A">
        <w:t>105</w:t>
      </w:r>
      <w:r w:rsidRPr="00583E1A">
        <w:tab/>
        <w:t>Ways of getting written evidence</w:t>
      </w:r>
    </w:p>
    <w:p w:rsidR="00887330" w:rsidRPr="00583E1A" w:rsidRDefault="00887330" w:rsidP="00887330">
      <w:pPr>
        <w:pStyle w:val="TofSectsSection"/>
      </w:pPr>
      <w:r w:rsidRPr="00583E1A">
        <w:t>900</w:t>
      </w:r>
      <w:r w:rsidR="00583E1A">
        <w:noBreakHyphen/>
      </w:r>
      <w:r w:rsidRPr="00583E1A">
        <w:t>110</w:t>
      </w:r>
      <w:r w:rsidRPr="00583E1A">
        <w:tab/>
        <w:t>Time limits</w:t>
      </w:r>
    </w:p>
    <w:p w:rsidR="00887330" w:rsidRPr="00583E1A" w:rsidRDefault="00887330" w:rsidP="00887330">
      <w:pPr>
        <w:pStyle w:val="TofSectsSection"/>
      </w:pPr>
      <w:r w:rsidRPr="00583E1A">
        <w:t>900</w:t>
      </w:r>
      <w:r w:rsidR="00583E1A">
        <w:noBreakHyphen/>
      </w:r>
      <w:r w:rsidRPr="00583E1A">
        <w:t>115</w:t>
      </w:r>
      <w:r w:rsidRPr="00583E1A">
        <w:tab/>
        <w:t>Written evidence from supplier</w:t>
      </w:r>
    </w:p>
    <w:p w:rsidR="00887330" w:rsidRPr="00583E1A" w:rsidRDefault="00887330" w:rsidP="00887330">
      <w:pPr>
        <w:pStyle w:val="TofSectsSection"/>
      </w:pPr>
      <w:r w:rsidRPr="00583E1A">
        <w:t>900</w:t>
      </w:r>
      <w:r w:rsidR="00583E1A">
        <w:noBreakHyphen/>
      </w:r>
      <w:r w:rsidRPr="00583E1A">
        <w:t>120</w:t>
      </w:r>
      <w:r w:rsidRPr="00583E1A">
        <w:tab/>
        <w:t>Written evidence of depreciating asset expense</w:t>
      </w:r>
    </w:p>
    <w:p w:rsidR="00887330" w:rsidRPr="00583E1A" w:rsidRDefault="00887330" w:rsidP="00887330">
      <w:pPr>
        <w:pStyle w:val="TofSectsSection"/>
      </w:pPr>
      <w:r w:rsidRPr="00583E1A">
        <w:t>900</w:t>
      </w:r>
      <w:r w:rsidR="00583E1A">
        <w:noBreakHyphen/>
      </w:r>
      <w:r w:rsidRPr="00583E1A">
        <w:t>125</w:t>
      </w:r>
      <w:r w:rsidRPr="00583E1A">
        <w:tab/>
        <w:t>Evidence of small expenses</w:t>
      </w:r>
    </w:p>
    <w:p w:rsidR="00887330" w:rsidRPr="00583E1A" w:rsidRDefault="00887330" w:rsidP="00887330">
      <w:pPr>
        <w:pStyle w:val="TofSectsSection"/>
      </w:pPr>
      <w:r w:rsidRPr="00583E1A">
        <w:t>900</w:t>
      </w:r>
      <w:r w:rsidR="00583E1A">
        <w:noBreakHyphen/>
      </w:r>
      <w:r w:rsidRPr="00583E1A">
        <w:t>130</w:t>
      </w:r>
      <w:r w:rsidRPr="00583E1A">
        <w:tab/>
        <w:t>Evidence of expenses considered otherwise too hard to substantiate</w:t>
      </w:r>
    </w:p>
    <w:p w:rsidR="00887330" w:rsidRPr="00583E1A" w:rsidRDefault="00887330" w:rsidP="00887330">
      <w:pPr>
        <w:pStyle w:val="TofSectsSection"/>
      </w:pPr>
      <w:r w:rsidRPr="00583E1A">
        <w:t>900</w:t>
      </w:r>
      <w:r w:rsidR="00583E1A">
        <w:noBreakHyphen/>
      </w:r>
      <w:r w:rsidRPr="00583E1A">
        <w:t>135</w:t>
      </w:r>
      <w:r w:rsidRPr="00583E1A">
        <w:tab/>
        <w:t>Evidence on a payment summary</w:t>
      </w:r>
    </w:p>
    <w:p w:rsidR="00887330" w:rsidRPr="00583E1A" w:rsidRDefault="00887330" w:rsidP="00887330">
      <w:pPr>
        <w:pStyle w:val="ActHead4"/>
      </w:pPr>
      <w:bookmarkStart w:id="461" w:name="_Toc338939535"/>
      <w:r w:rsidRPr="00583E1A">
        <w:t>Operative provisions</w:t>
      </w:r>
      <w:bookmarkEnd w:id="461"/>
    </w:p>
    <w:p w:rsidR="00887330" w:rsidRPr="00583E1A" w:rsidRDefault="00887330" w:rsidP="00887330">
      <w:pPr>
        <w:pStyle w:val="ActHead5"/>
      </w:pPr>
      <w:bookmarkStart w:id="462" w:name="_Toc338939536"/>
      <w:r w:rsidRPr="00583E1A">
        <w:rPr>
          <w:rStyle w:val="CharSectno"/>
        </w:rPr>
        <w:t>900</w:t>
      </w:r>
      <w:r w:rsidR="00583E1A">
        <w:rPr>
          <w:rStyle w:val="CharSectno"/>
        </w:rPr>
        <w:noBreakHyphen/>
      </w:r>
      <w:r w:rsidRPr="00583E1A">
        <w:rPr>
          <w:rStyle w:val="CharSectno"/>
        </w:rPr>
        <w:t>105</w:t>
      </w:r>
      <w:r w:rsidRPr="00583E1A">
        <w:t xml:space="preserve">  Ways of getting written evidence</w:t>
      </w:r>
      <w:bookmarkEnd w:id="462"/>
    </w:p>
    <w:p w:rsidR="00887330" w:rsidRPr="00583E1A" w:rsidRDefault="00887330" w:rsidP="00887330">
      <w:pPr>
        <w:pStyle w:val="subsection"/>
      </w:pPr>
      <w:r w:rsidRPr="00583E1A">
        <w:tab/>
      </w:r>
      <w:r w:rsidRPr="00583E1A">
        <w:tab/>
        <w:t>Each of the following sections has a set of rules for a particular way of getting written evidence to substantiate a deduction. Which ones you can use depends on the type of expense. You only need to use one set of rules to support an expense.</w:t>
      </w:r>
    </w:p>
    <w:p w:rsidR="00887330" w:rsidRPr="00583E1A" w:rsidRDefault="00887330" w:rsidP="00887330">
      <w:pPr>
        <w:pStyle w:val="ActHead5"/>
      </w:pPr>
      <w:bookmarkStart w:id="463" w:name="_Toc338939537"/>
      <w:r w:rsidRPr="00583E1A">
        <w:rPr>
          <w:rStyle w:val="CharSectno"/>
        </w:rPr>
        <w:t>900</w:t>
      </w:r>
      <w:r w:rsidR="00583E1A">
        <w:rPr>
          <w:rStyle w:val="CharSectno"/>
        </w:rPr>
        <w:noBreakHyphen/>
      </w:r>
      <w:r w:rsidRPr="00583E1A">
        <w:rPr>
          <w:rStyle w:val="CharSectno"/>
        </w:rPr>
        <w:t>110</w:t>
      </w:r>
      <w:r w:rsidRPr="00583E1A">
        <w:t xml:space="preserve">  Time limits</w:t>
      </w:r>
      <w:bookmarkEnd w:id="463"/>
    </w:p>
    <w:p w:rsidR="00887330" w:rsidRPr="00583E1A" w:rsidRDefault="00887330" w:rsidP="00887330">
      <w:pPr>
        <w:pStyle w:val="subsection"/>
      </w:pPr>
      <w:r w:rsidRPr="00583E1A">
        <w:tab/>
        <w:t>(1)</w:t>
      </w:r>
      <w:r w:rsidRPr="00583E1A">
        <w:tab/>
        <w:t>There is no time limit for getting written evidence of an expense (unless you want to record the expense yourself under section</w:t>
      </w:r>
      <w:r w:rsidR="00583E1A">
        <w:t> </w:t>
      </w:r>
      <w:r w:rsidRPr="00583E1A">
        <w:t>900</w:t>
      </w:r>
      <w:r w:rsidR="00583E1A">
        <w:noBreakHyphen/>
      </w:r>
      <w:r w:rsidRPr="00583E1A">
        <w:t>125 or 900</w:t>
      </w:r>
      <w:r w:rsidR="00583E1A">
        <w:noBreakHyphen/>
      </w:r>
      <w:r w:rsidRPr="00583E1A">
        <w:t>130). But until you get written evidence of it, you are not entitled to a deduction for the expense.</w:t>
      </w:r>
    </w:p>
    <w:p w:rsidR="00887330" w:rsidRPr="00583E1A" w:rsidRDefault="00887330" w:rsidP="00887330">
      <w:pPr>
        <w:pStyle w:val="subsection"/>
      </w:pPr>
      <w:r w:rsidRPr="00583E1A">
        <w:tab/>
        <w:t>(2)</w:t>
      </w:r>
      <w:r w:rsidRPr="00583E1A">
        <w:tab/>
        <w:t xml:space="preserve">If when you lodge your </w:t>
      </w:r>
      <w:r w:rsidR="00583E1A" w:rsidRPr="00583E1A">
        <w:rPr>
          <w:position w:val="6"/>
          <w:sz w:val="16"/>
        </w:rPr>
        <w:t>*</w:t>
      </w:r>
      <w:r w:rsidRPr="00583E1A">
        <w:t xml:space="preserve">income tax return for the income year you have good reason to expect to get written evidence of the expense within a reasonable time, you can deduct the expense without </w:t>
      </w:r>
      <w:r w:rsidRPr="00583E1A">
        <w:lastRenderedPageBreak/>
        <w:t>actually getting the evidence. But if you don’t get the evidence within a reasonable time, your entitlement to the deduction ceases. If you have already deducted the expense, your assessment may be amended to disallow the deduction.</w:t>
      </w:r>
    </w:p>
    <w:p w:rsidR="00887330" w:rsidRPr="00583E1A" w:rsidRDefault="00887330" w:rsidP="00887330">
      <w:pPr>
        <w:pStyle w:val="subsection"/>
      </w:pPr>
      <w:r w:rsidRPr="00583E1A">
        <w:tab/>
        <w:t>(3)</w:t>
      </w:r>
      <w:r w:rsidRPr="00583E1A">
        <w:tab/>
        <w:t xml:space="preserve">Even if you only get written evidence of the expense </w:t>
      </w:r>
      <w:r w:rsidRPr="00583E1A">
        <w:rPr>
          <w:i/>
        </w:rPr>
        <w:t>after</w:t>
      </w:r>
      <w:r w:rsidRPr="00583E1A">
        <w:t xml:space="preserve"> the end of the income year, you deduct the expense for that income year, not the income year in which you get the evidence.</w:t>
      </w:r>
    </w:p>
    <w:p w:rsidR="00887330" w:rsidRPr="00583E1A" w:rsidRDefault="00887330" w:rsidP="00887330">
      <w:pPr>
        <w:pStyle w:val="ActHead5"/>
      </w:pPr>
      <w:bookmarkStart w:id="464" w:name="_Toc338939538"/>
      <w:r w:rsidRPr="00583E1A">
        <w:rPr>
          <w:rStyle w:val="CharSectno"/>
        </w:rPr>
        <w:t>900</w:t>
      </w:r>
      <w:r w:rsidR="00583E1A">
        <w:rPr>
          <w:rStyle w:val="CharSectno"/>
        </w:rPr>
        <w:noBreakHyphen/>
      </w:r>
      <w:r w:rsidRPr="00583E1A">
        <w:rPr>
          <w:rStyle w:val="CharSectno"/>
        </w:rPr>
        <w:t>115</w:t>
      </w:r>
      <w:r w:rsidRPr="00583E1A">
        <w:t xml:space="preserve">  Written evidence from supplier</w:t>
      </w:r>
      <w:bookmarkEnd w:id="464"/>
    </w:p>
    <w:p w:rsidR="00887330" w:rsidRPr="00583E1A" w:rsidRDefault="00887330" w:rsidP="00887330">
      <w:pPr>
        <w:pStyle w:val="subsection"/>
      </w:pPr>
      <w:r w:rsidRPr="00583E1A">
        <w:tab/>
        <w:t>(1)</w:t>
      </w:r>
      <w:r w:rsidRPr="00583E1A">
        <w:rPr>
          <w:b/>
        </w:rPr>
        <w:tab/>
      </w:r>
      <w:r w:rsidRPr="00583E1A">
        <w:t xml:space="preserve">You may use this set of rules for any type of expense except the decline in value of a </w:t>
      </w:r>
      <w:r w:rsidR="00583E1A" w:rsidRPr="00583E1A">
        <w:rPr>
          <w:position w:val="6"/>
          <w:sz w:val="16"/>
        </w:rPr>
        <w:t>*</w:t>
      </w:r>
      <w:r w:rsidRPr="00583E1A">
        <w:t>depreciating asset.</w:t>
      </w:r>
    </w:p>
    <w:p w:rsidR="00887330" w:rsidRPr="00583E1A" w:rsidRDefault="00887330" w:rsidP="00887330">
      <w:pPr>
        <w:pStyle w:val="subsection"/>
      </w:pPr>
      <w:r w:rsidRPr="00583E1A">
        <w:tab/>
        <w:t>(2)</w:t>
      </w:r>
      <w:r w:rsidRPr="00583E1A">
        <w:rPr>
          <w:b/>
        </w:rPr>
        <w:tab/>
      </w:r>
      <w:r w:rsidRPr="00583E1A">
        <w:t>You must get a document from the supplier of the goods or services the expense is for. The document must set out:</w:t>
      </w:r>
    </w:p>
    <w:p w:rsidR="00887330" w:rsidRPr="00583E1A" w:rsidRDefault="00887330" w:rsidP="00887330">
      <w:pPr>
        <w:pStyle w:val="paragraph"/>
      </w:pPr>
      <w:r w:rsidRPr="00583E1A">
        <w:tab/>
        <w:t>(a)</w:t>
      </w:r>
      <w:r w:rsidRPr="00583E1A">
        <w:tab/>
        <w:t xml:space="preserve">the name or business name of the supplier; and </w:t>
      </w:r>
    </w:p>
    <w:p w:rsidR="00887330" w:rsidRPr="00583E1A" w:rsidRDefault="00887330" w:rsidP="00887330">
      <w:pPr>
        <w:pStyle w:val="paragraph"/>
      </w:pPr>
      <w:r w:rsidRPr="00583E1A">
        <w:tab/>
        <w:t>(b)</w:t>
      </w:r>
      <w:r w:rsidRPr="00583E1A">
        <w:tab/>
        <w:t>the amount of the expense, expressed in the currency in which it was incurred; and</w:t>
      </w:r>
    </w:p>
    <w:p w:rsidR="00887330" w:rsidRPr="00583E1A" w:rsidRDefault="00887330" w:rsidP="00887330">
      <w:pPr>
        <w:pStyle w:val="paragraph"/>
      </w:pPr>
      <w:r w:rsidRPr="00583E1A">
        <w:tab/>
        <w:t>(c)</w:t>
      </w:r>
      <w:r w:rsidRPr="00583E1A">
        <w:tab/>
        <w:t>the nature of the goods or services; and</w:t>
      </w:r>
    </w:p>
    <w:p w:rsidR="00887330" w:rsidRPr="00583E1A" w:rsidRDefault="00887330" w:rsidP="00887330">
      <w:pPr>
        <w:pStyle w:val="paragraph"/>
      </w:pPr>
      <w:r w:rsidRPr="00583E1A">
        <w:tab/>
        <w:t>(d)</w:t>
      </w:r>
      <w:r w:rsidRPr="00583E1A">
        <w:tab/>
        <w:t>the day the expense was incurred; and</w:t>
      </w:r>
    </w:p>
    <w:p w:rsidR="00887330" w:rsidRPr="00583E1A" w:rsidRDefault="00887330" w:rsidP="00887330">
      <w:pPr>
        <w:pStyle w:val="paragraph"/>
      </w:pPr>
      <w:r w:rsidRPr="00583E1A">
        <w:tab/>
        <w:t>(e)</w:t>
      </w:r>
      <w:r w:rsidRPr="00583E1A">
        <w:tab/>
        <w:t>the day it is made out.</w:t>
      </w:r>
    </w:p>
    <w:p w:rsidR="00887330" w:rsidRPr="00583E1A" w:rsidRDefault="00887330" w:rsidP="00887330">
      <w:pPr>
        <w:pStyle w:val="subsection"/>
      </w:pPr>
      <w:r w:rsidRPr="00583E1A">
        <w:tab/>
        <w:t>(3)</w:t>
      </w:r>
      <w:r w:rsidRPr="00583E1A">
        <w:rPr>
          <w:b/>
        </w:rPr>
        <w:tab/>
      </w:r>
      <w:r w:rsidRPr="00583E1A">
        <w:t>There are 2 exceptions to these requirements:</w:t>
      </w:r>
    </w:p>
    <w:p w:rsidR="00887330" w:rsidRPr="00583E1A" w:rsidRDefault="00887330" w:rsidP="00887330">
      <w:pPr>
        <w:pStyle w:val="paragraph"/>
      </w:pPr>
      <w:r w:rsidRPr="00583E1A">
        <w:tab/>
        <w:t>(a)</w:t>
      </w:r>
      <w:r w:rsidRPr="00583E1A">
        <w:tab/>
        <w:t>if the document does not show the day the expense was incurred, you may use a bank statement or other reasonable, independent evidence that shows when it was paid;</w:t>
      </w:r>
    </w:p>
    <w:p w:rsidR="00887330" w:rsidRPr="00583E1A" w:rsidRDefault="00887330" w:rsidP="007B2DFD">
      <w:pPr>
        <w:pStyle w:val="paragraph"/>
        <w:keepNext/>
        <w:keepLines/>
      </w:pPr>
      <w:r w:rsidRPr="00583E1A">
        <w:tab/>
        <w:t>(b)</w:t>
      </w:r>
      <w:r w:rsidRPr="00583E1A">
        <w:tab/>
        <w:t xml:space="preserve">if the document the supplier gave you does not specify the nature of the goods or services, you may write in the missing details yourself before you lodge your </w:t>
      </w:r>
      <w:r w:rsidR="00583E1A" w:rsidRPr="00583E1A">
        <w:rPr>
          <w:position w:val="6"/>
          <w:sz w:val="16"/>
        </w:rPr>
        <w:t>*</w:t>
      </w:r>
      <w:r w:rsidRPr="00583E1A">
        <w:t>income tax return for the income year.</w:t>
      </w:r>
    </w:p>
    <w:p w:rsidR="00887330" w:rsidRPr="00583E1A" w:rsidRDefault="00887330" w:rsidP="00887330">
      <w:pPr>
        <w:pStyle w:val="subsection"/>
      </w:pPr>
      <w:r w:rsidRPr="00583E1A">
        <w:tab/>
        <w:t>(4)</w:t>
      </w:r>
      <w:r w:rsidRPr="00583E1A">
        <w:rPr>
          <w:b/>
        </w:rPr>
        <w:tab/>
      </w:r>
      <w:r w:rsidRPr="00583E1A">
        <w:t xml:space="preserve">The document must be in English. However, if the expense was incurred in a country outside </w:t>
      </w:r>
      <w:smartTag w:uri="urn:schemas-microsoft-com:office:smarttags" w:element="country-region">
        <w:smartTag w:uri="urn:schemas-microsoft-com:office:smarttags" w:element="place">
          <w:r w:rsidRPr="00583E1A">
            <w:t>Australia</w:t>
          </w:r>
        </w:smartTag>
      </w:smartTag>
      <w:r w:rsidRPr="00583E1A">
        <w:t>, the document can instead be in a language of that country.</w:t>
      </w:r>
    </w:p>
    <w:p w:rsidR="00887330" w:rsidRPr="00583E1A" w:rsidRDefault="00887330" w:rsidP="00887330">
      <w:pPr>
        <w:pStyle w:val="ActHead5"/>
      </w:pPr>
      <w:bookmarkStart w:id="465" w:name="_Toc338939539"/>
      <w:r w:rsidRPr="00583E1A">
        <w:rPr>
          <w:rStyle w:val="CharSectno"/>
        </w:rPr>
        <w:t>900</w:t>
      </w:r>
      <w:r w:rsidR="00583E1A">
        <w:rPr>
          <w:rStyle w:val="CharSectno"/>
        </w:rPr>
        <w:noBreakHyphen/>
      </w:r>
      <w:r w:rsidRPr="00583E1A">
        <w:rPr>
          <w:rStyle w:val="CharSectno"/>
        </w:rPr>
        <w:t>120</w:t>
      </w:r>
      <w:r w:rsidRPr="00583E1A">
        <w:t xml:space="preserve">  Written evidence of depreciating asset expense</w:t>
      </w:r>
      <w:bookmarkEnd w:id="465"/>
    </w:p>
    <w:p w:rsidR="00887330" w:rsidRPr="00583E1A" w:rsidRDefault="00887330" w:rsidP="00887330">
      <w:pPr>
        <w:pStyle w:val="subsection"/>
      </w:pPr>
      <w:r w:rsidRPr="00583E1A">
        <w:tab/>
        <w:t>(1)</w:t>
      </w:r>
      <w:r w:rsidRPr="00583E1A">
        <w:rPr>
          <w:b/>
        </w:rPr>
        <w:tab/>
      </w:r>
      <w:r w:rsidRPr="00583E1A">
        <w:t xml:space="preserve">You may use this set of rules only for a </w:t>
      </w:r>
      <w:r w:rsidR="00583E1A" w:rsidRPr="00583E1A">
        <w:rPr>
          <w:position w:val="6"/>
          <w:sz w:val="16"/>
        </w:rPr>
        <w:t>*</w:t>
      </w:r>
      <w:r w:rsidRPr="00583E1A">
        <w:t>depreciating asset expense.</w:t>
      </w:r>
    </w:p>
    <w:p w:rsidR="00887330" w:rsidRPr="00583E1A" w:rsidRDefault="00887330" w:rsidP="00887330">
      <w:pPr>
        <w:pStyle w:val="subsection"/>
      </w:pPr>
      <w:r w:rsidRPr="00583E1A">
        <w:lastRenderedPageBreak/>
        <w:tab/>
        <w:t>(2)</w:t>
      </w:r>
      <w:r w:rsidRPr="00583E1A">
        <w:rPr>
          <w:b/>
        </w:rPr>
        <w:tab/>
      </w:r>
      <w:r w:rsidRPr="00583E1A">
        <w:t xml:space="preserve">You must get evidence of the original acquisition of the </w:t>
      </w:r>
      <w:r w:rsidR="00583E1A" w:rsidRPr="00583E1A">
        <w:rPr>
          <w:position w:val="6"/>
          <w:sz w:val="16"/>
        </w:rPr>
        <w:t>*</w:t>
      </w:r>
      <w:r w:rsidRPr="00583E1A">
        <w:t>depreciating asset. It must be a document that you get from the supplier of the asset and that specifies:</w:t>
      </w:r>
    </w:p>
    <w:p w:rsidR="00887330" w:rsidRPr="00583E1A" w:rsidRDefault="00887330" w:rsidP="00887330">
      <w:pPr>
        <w:pStyle w:val="paragraph"/>
      </w:pPr>
      <w:r w:rsidRPr="00583E1A">
        <w:tab/>
        <w:t>(a)</w:t>
      </w:r>
      <w:r w:rsidRPr="00583E1A">
        <w:tab/>
        <w:t xml:space="preserve">the name or business name of the supplier; and </w:t>
      </w:r>
    </w:p>
    <w:p w:rsidR="00887330" w:rsidRPr="00583E1A" w:rsidRDefault="00887330" w:rsidP="00887330">
      <w:pPr>
        <w:pStyle w:val="paragraph"/>
      </w:pPr>
      <w:r w:rsidRPr="00583E1A">
        <w:tab/>
        <w:t>(b)</w:t>
      </w:r>
      <w:r w:rsidRPr="00583E1A">
        <w:tab/>
        <w:t>the cost of the asset to you; and</w:t>
      </w:r>
    </w:p>
    <w:p w:rsidR="00887330" w:rsidRPr="00583E1A" w:rsidRDefault="00887330" w:rsidP="00887330">
      <w:pPr>
        <w:pStyle w:val="paragraph"/>
      </w:pPr>
      <w:r w:rsidRPr="00583E1A">
        <w:tab/>
        <w:t>(c)</w:t>
      </w:r>
      <w:r w:rsidRPr="00583E1A">
        <w:tab/>
        <w:t>the nature of the asset; and</w:t>
      </w:r>
    </w:p>
    <w:p w:rsidR="00887330" w:rsidRPr="00583E1A" w:rsidRDefault="00887330" w:rsidP="00887330">
      <w:pPr>
        <w:pStyle w:val="paragraph"/>
      </w:pPr>
      <w:r w:rsidRPr="00583E1A">
        <w:tab/>
        <w:t>(d)</w:t>
      </w:r>
      <w:r w:rsidRPr="00583E1A">
        <w:tab/>
        <w:t>the day you acquired the asset; and</w:t>
      </w:r>
    </w:p>
    <w:p w:rsidR="00887330" w:rsidRPr="00583E1A" w:rsidRDefault="00887330" w:rsidP="00887330">
      <w:pPr>
        <w:pStyle w:val="paragraph"/>
      </w:pPr>
      <w:r w:rsidRPr="00583E1A">
        <w:tab/>
        <w:t>(e)</w:t>
      </w:r>
      <w:r w:rsidRPr="00583E1A">
        <w:tab/>
        <w:t>the day it is made out.</w:t>
      </w:r>
    </w:p>
    <w:p w:rsidR="00887330" w:rsidRPr="00583E1A" w:rsidRDefault="00887330" w:rsidP="00887330">
      <w:pPr>
        <w:pStyle w:val="subsection"/>
      </w:pPr>
      <w:r w:rsidRPr="00583E1A">
        <w:tab/>
        <w:t>(3)</w:t>
      </w:r>
      <w:r w:rsidRPr="00583E1A">
        <w:rPr>
          <w:b/>
        </w:rPr>
        <w:tab/>
      </w:r>
      <w:r w:rsidRPr="00583E1A">
        <w:t xml:space="preserve">However, if the document the supplier gave you does not specify the nature of the asset, you may write in the missing details yourself before you lodge your </w:t>
      </w:r>
      <w:r w:rsidR="00583E1A" w:rsidRPr="00583E1A">
        <w:rPr>
          <w:position w:val="6"/>
          <w:sz w:val="16"/>
        </w:rPr>
        <w:t>*</w:t>
      </w:r>
      <w:r w:rsidRPr="00583E1A">
        <w:t>income tax return for the income year in which you first claim a deduction for the decline in value of the asset.</w:t>
      </w:r>
    </w:p>
    <w:p w:rsidR="00887330" w:rsidRPr="00583E1A" w:rsidRDefault="00887330" w:rsidP="00887330">
      <w:pPr>
        <w:pStyle w:val="subsection"/>
      </w:pPr>
      <w:r w:rsidRPr="00583E1A">
        <w:tab/>
        <w:t>(4)</w:t>
      </w:r>
      <w:r w:rsidRPr="00583E1A">
        <w:tab/>
        <w:t>If you don’t get the document in time, for example because you only decided to use the asset for income</w:t>
      </w:r>
      <w:r w:rsidR="00583E1A">
        <w:noBreakHyphen/>
      </w:r>
      <w:r w:rsidRPr="00583E1A">
        <w:t>producing purposes several years after you acquired it, there are rules that might help you in Subdivision</w:t>
      </w:r>
      <w:r w:rsidR="00583E1A">
        <w:t> </w:t>
      </w:r>
      <w:r w:rsidRPr="00583E1A">
        <w:t>900</w:t>
      </w:r>
      <w:r w:rsidR="00583E1A">
        <w:noBreakHyphen/>
      </w:r>
      <w:r w:rsidRPr="00583E1A">
        <w:t>H (Relief from effects of failing to substantiate).</w:t>
      </w:r>
    </w:p>
    <w:p w:rsidR="00887330" w:rsidRPr="00583E1A" w:rsidRDefault="00887330" w:rsidP="00887330">
      <w:pPr>
        <w:pStyle w:val="subsection"/>
      </w:pPr>
      <w:r w:rsidRPr="00583E1A">
        <w:tab/>
        <w:t>(5)</w:t>
      </w:r>
      <w:r w:rsidRPr="00583E1A">
        <w:rPr>
          <w:b/>
        </w:rPr>
        <w:tab/>
      </w:r>
      <w:r w:rsidRPr="00583E1A">
        <w:t xml:space="preserve">The document must be in English. However, if you </w:t>
      </w:r>
      <w:r w:rsidR="00583E1A" w:rsidRPr="00583E1A">
        <w:rPr>
          <w:position w:val="6"/>
          <w:sz w:val="16"/>
        </w:rPr>
        <w:t>*</w:t>
      </w:r>
      <w:r w:rsidRPr="00583E1A">
        <w:t xml:space="preserve">imported the asset into </w:t>
      </w:r>
      <w:smartTag w:uri="urn:schemas-microsoft-com:office:smarttags" w:element="country-region">
        <w:smartTag w:uri="urn:schemas-microsoft-com:office:smarttags" w:element="place">
          <w:r w:rsidRPr="00583E1A">
            <w:t>Australia</w:t>
          </w:r>
        </w:smartTag>
      </w:smartTag>
      <w:r w:rsidRPr="00583E1A">
        <w:t>, the document can instead be in a language of the country from which the asset was originally exported.</w:t>
      </w:r>
    </w:p>
    <w:p w:rsidR="00887330" w:rsidRPr="00583E1A" w:rsidRDefault="00887330" w:rsidP="00887330">
      <w:pPr>
        <w:pStyle w:val="ActHead5"/>
      </w:pPr>
      <w:bookmarkStart w:id="466" w:name="_Toc338939540"/>
      <w:r w:rsidRPr="00583E1A">
        <w:rPr>
          <w:rStyle w:val="CharSectno"/>
        </w:rPr>
        <w:t>900</w:t>
      </w:r>
      <w:r w:rsidR="00583E1A">
        <w:rPr>
          <w:rStyle w:val="CharSectno"/>
        </w:rPr>
        <w:noBreakHyphen/>
      </w:r>
      <w:r w:rsidRPr="00583E1A">
        <w:rPr>
          <w:rStyle w:val="CharSectno"/>
        </w:rPr>
        <w:t>125</w:t>
      </w:r>
      <w:r w:rsidRPr="00583E1A">
        <w:t xml:space="preserve">  Evidence of small expenses</w:t>
      </w:r>
      <w:bookmarkEnd w:id="466"/>
    </w:p>
    <w:p w:rsidR="00887330" w:rsidRPr="00583E1A" w:rsidRDefault="00887330" w:rsidP="00887330">
      <w:pPr>
        <w:pStyle w:val="subsection"/>
      </w:pPr>
      <w:r w:rsidRPr="00583E1A">
        <w:tab/>
        <w:t>(1)</w:t>
      </w:r>
      <w:r w:rsidRPr="00583E1A">
        <w:rPr>
          <w:b/>
        </w:rPr>
        <w:tab/>
      </w:r>
      <w:r w:rsidRPr="00583E1A">
        <w:t>If your expense is small, and you have a small total of small expenses, you can make a record of the expenses instead of getting a document from the supplier.</w:t>
      </w:r>
    </w:p>
    <w:p w:rsidR="00887330" w:rsidRPr="00583E1A" w:rsidRDefault="00887330" w:rsidP="00887330">
      <w:pPr>
        <w:pStyle w:val="subsection"/>
      </w:pPr>
      <w:r w:rsidRPr="00583E1A">
        <w:tab/>
        <w:t>(2)</w:t>
      </w:r>
      <w:r w:rsidRPr="00583E1A">
        <w:rPr>
          <w:b/>
        </w:rPr>
        <w:tab/>
      </w:r>
      <w:r w:rsidRPr="00583E1A">
        <w:t>Each expense must be $10 or less, and the total of all your expenses that:</w:t>
      </w:r>
    </w:p>
    <w:p w:rsidR="00887330" w:rsidRPr="00583E1A" w:rsidRDefault="00887330" w:rsidP="00887330">
      <w:pPr>
        <w:pStyle w:val="paragraph"/>
      </w:pPr>
      <w:r w:rsidRPr="00583E1A">
        <w:tab/>
        <w:t>(a)</w:t>
      </w:r>
      <w:r w:rsidRPr="00583E1A">
        <w:tab/>
        <w:t>are each $10 or less; and</w:t>
      </w:r>
    </w:p>
    <w:p w:rsidR="00887330" w:rsidRPr="00583E1A" w:rsidRDefault="00887330" w:rsidP="00887330">
      <w:pPr>
        <w:pStyle w:val="paragraph"/>
      </w:pPr>
      <w:r w:rsidRPr="00583E1A">
        <w:tab/>
        <w:t>(b)</w:t>
      </w:r>
      <w:r w:rsidRPr="00583E1A">
        <w:tab/>
        <w:t>you incurred in the income year and wish to deduct; and</w:t>
      </w:r>
    </w:p>
    <w:p w:rsidR="00887330" w:rsidRPr="00583E1A" w:rsidRDefault="00887330" w:rsidP="00887330">
      <w:pPr>
        <w:pStyle w:val="paragraph"/>
        <w:keepNext/>
      </w:pPr>
      <w:r w:rsidRPr="00583E1A">
        <w:tab/>
        <w:t>(c)</w:t>
      </w:r>
      <w:r w:rsidRPr="00583E1A">
        <w:tab/>
        <w:t>you must get written evidence for under this Division;</w:t>
      </w:r>
    </w:p>
    <w:p w:rsidR="00887330" w:rsidRPr="00583E1A" w:rsidRDefault="00887330" w:rsidP="00887330">
      <w:pPr>
        <w:pStyle w:val="subsection2"/>
      </w:pPr>
      <w:r w:rsidRPr="00583E1A">
        <w:t>must be $200 or less. These limits can be increased from time to time by regulations made under section</w:t>
      </w:r>
      <w:r w:rsidR="00583E1A">
        <w:t> </w:t>
      </w:r>
      <w:r w:rsidRPr="00583E1A">
        <w:t>909</w:t>
      </w:r>
      <w:r w:rsidR="00583E1A">
        <w:noBreakHyphen/>
      </w:r>
      <w:r w:rsidRPr="00583E1A">
        <w:t>1.</w:t>
      </w:r>
    </w:p>
    <w:p w:rsidR="00887330" w:rsidRPr="00583E1A" w:rsidRDefault="00887330" w:rsidP="00887330">
      <w:pPr>
        <w:pStyle w:val="subsection"/>
      </w:pPr>
      <w:r w:rsidRPr="00583E1A">
        <w:lastRenderedPageBreak/>
        <w:tab/>
        <w:t>(3)</w:t>
      </w:r>
      <w:r w:rsidRPr="00583E1A">
        <w:rPr>
          <w:b/>
        </w:rPr>
        <w:tab/>
      </w:r>
      <w:r w:rsidRPr="00583E1A">
        <w:t xml:space="preserve">If the expense is not the decline in value of a </w:t>
      </w:r>
      <w:r w:rsidR="00583E1A" w:rsidRPr="00583E1A">
        <w:rPr>
          <w:position w:val="6"/>
          <w:sz w:val="16"/>
        </w:rPr>
        <w:t>*</w:t>
      </w:r>
      <w:r w:rsidRPr="00583E1A">
        <w:t>depreciating asset, you must get a document with the same information as required by section</w:t>
      </w:r>
      <w:r w:rsidR="00583E1A">
        <w:t> </w:t>
      </w:r>
      <w:r w:rsidRPr="00583E1A">
        <w:t>900</w:t>
      </w:r>
      <w:r w:rsidR="00583E1A">
        <w:noBreakHyphen/>
      </w:r>
      <w:r w:rsidRPr="00583E1A">
        <w:t>115, except that you may create the document and record all the details yourself. You must do so as soon as possible after incurring the expense.</w:t>
      </w:r>
    </w:p>
    <w:p w:rsidR="00887330" w:rsidRPr="00583E1A" w:rsidRDefault="00887330" w:rsidP="00887330">
      <w:pPr>
        <w:pStyle w:val="subsection"/>
      </w:pPr>
      <w:r w:rsidRPr="00583E1A">
        <w:tab/>
        <w:t>(4)</w:t>
      </w:r>
      <w:r w:rsidRPr="00583E1A">
        <w:rPr>
          <w:b/>
        </w:rPr>
        <w:tab/>
      </w:r>
      <w:r w:rsidRPr="00583E1A">
        <w:t xml:space="preserve">If the expense is the decline in value of a </w:t>
      </w:r>
      <w:r w:rsidR="00583E1A" w:rsidRPr="00583E1A">
        <w:rPr>
          <w:position w:val="6"/>
          <w:sz w:val="16"/>
        </w:rPr>
        <w:t>*</w:t>
      </w:r>
      <w:r w:rsidRPr="00583E1A">
        <w:t>depreciating asset, you must, as soon as possible after the last day of the income year, record in a document the following:</w:t>
      </w:r>
    </w:p>
    <w:p w:rsidR="00887330" w:rsidRPr="00583E1A" w:rsidRDefault="00887330" w:rsidP="00887330">
      <w:pPr>
        <w:pStyle w:val="paragraph"/>
      </w:pPr>
      <w:r w:rsidRPr="00583E1A">
        <w:tab/>
        <w:t>(a)</w:t>
      </w:r>
      <w:r w:rsidRPr="00583E1A">
        <w:tab/>
        <w:t>the nature of the property;</w:t>
      </w:r>
    </w:p>
    <w:p w:rsidR="00887330" w:rsidRPr="00583E1A" w:rsidRDefault="00887330" w:rsidP="00887330">
      <w:pPr>
        <w:pStyle w:val="paragraph"/>
      </w:pPr>
      <w:r w:rsidRPr="00583E1A">
        <w:tab/>
        <w:t>(b)</w:t>
      </w:r>
      <w:r w:rsidRPr="00583E1A">
        <w:tab/>
        <w:t>the amount of the decline in value;</w:t>
      </w:r>
    </w:p>
    <w:p w:rsidR="00887330" w:rsidRPr="00583E1A" w:rsidRDefault="00887330" w:rsidP="00887330">
      <w:pPr>
        <w:pStyle w:val="paragraph"/>
      </w:pPr>
      <w:r w:rsidRPr="00583E1A">
        <w:tab/>
        <w:t>(c)</w:t>
      </w:r>
      <w:r w:rsidRPr="00583E1A">
        <w:tab/>
        <w:t>who made the record;</w:t>
      </w:r>
    </w:p>
    <w:p w:rsidR="00887330" w:rsidRPr="00583E1A" w:rsidRDefault="00887330" w:rsidP="00887330">
      <w:pPr>
        <w:pStyle w:val="paragraph"/>
      </w:pPr>
      <w:r w:rsidRPr="00583E1A">
        <w:tab/>
        <w:t>(d)</w:t>
      </w:r>
      <w:r w:rsidRPr="00583E1A">
        <w:tab/>
        <w:t>the day the record is made.</w:t>
      </w:r>
    </w:p>
    <w:p w:rsidR="00887330" w:rsidRPr="00583E1A" w:rsidRDefault="00887330" w:rsidP="00887330">
      <w:pPr>
        <w:pStyle w:val="subsection"/>
      </w:pPr>
      <w:r w:rsidRPr="00583E1A">
        <w:tab/>
        <w:t>(5)</w:t>
      </w:r>
      <w:r w:rsidRPr="00583E1A">
        <w:rPr>
          <w:b/>
        </w:rPr>
        <w:tab/>
      </w:r>
      <w:r w:rsidRPr="00583E1A">
        <w:t>A record must be in English.</w:t>
      </w:r>
    </w:p>
    <w:p w:rsidR="00887330" w:rsidRPr="00583E1A" w:rsidRDefault="00887330" w:rsidP="00887330">
      <w:pPr>
        <w:pStyle w:val="ActHead5"/>
      </w:pPr>
      <w:bookmarkStart w:id="467" w:name="_Toc338939541"/>
      <w:r w:rsidRPr="00583E1A">
        <w:rPr>
          <w:rStyle w:val="CharSectno"/>
        </w:rPr>
        <w:t>900</w:t>
      </w:r>
      <w:r w:rsidR="00583E1A">
        <w:rPr>
          <w:rStyle w:val="CharSectno"/>
        </w:rPr>
        <w:noBreakHyphen/>
      </w:r>
      <w:r w:rsidRPr="00583E1A">
        <w:rPr>
          <w:rStyle w:val="CharSectno"/>
        </w:rPr>
        <w:t>130</w:t>
      </w:r>
      <w:r w:rsidRPr="00583E1A">
        <w:t xml:space="preserve">  Evidence of expenses considered otherwise too hard to substantiate</w:t>
      </w:r>
      <w:bookmarkEnd w:id="467"/>
    </w:p>
    <w:p w:rsidR="00887330" w:rsidRPr="00583E1A" w:rsidRDefault="00887330" w:rsidP="00887330">
      <w:pPr>
        <w:pStyle w:val="subsection"/>
      </w:pPr>
      <w:r w:rsidRPr="00583E1A">
        <w:tab/>
        <w:t>(1)</w:t>
      </w:r>
      <w:r w:rsidRPr="00583E1A">
        <w:rPr>
          <w:b/>
        </w:rPr>
        <w:tab/>
      </w:r>
      <w:r w:rsidRPr="00583E1A">
        <w:t>If the Commissioner considers it unreasonable to expect you to have got written evidence of an expense in any other way permitted by this Subdivision, you can use the method in section</w:t>
      </w:r>
      <w:r w:rsidR="00583E1A">
        <w:t> </w:t>
      </w:r>
      <w:r w:rsidRPr="00583E1A">
        <w:t>900</w:t>
      </w:r>
      <w:r w:rsidR="00583E1A">
        <w:noBreakHyphen/>
      </w:r>
      <w:r w:rsidRPr="00583E1A">
        <w:t>125 to get written evidence of your claim.</w:t>
      </w:r>
    </w:p>
    <w:p w:rsidR="00887330" w:rsidRPr="00583E1A" w:rsidRDefault="00887330" w:rsidP="00887330">
      <w:pPr>
        <w:pStyle w:val="subsection"/>
      </w:pPr>
      <w:r w:rsidRPr="00583E1A">
        <w:tab/>
        <w:t>(2)</w:t>
      </w:r>
      <w:r w:rsidRPr="00583E1A">
        <w:rPr>
          <w:b/>
        </w:rPr>
        <w:tab/>
      </w:r>
      <w:r w:rsidRPr="00583E1A">
        <w:t>The expense may be more than $10 and does not count towards the $200 limit in section</w:t>
      </w:r>
      <w:r w:rsidR="00583E1A">
        <w:t> </w:t>
      </w:r>
      <w:r w:rsidRPr="00583E1A">
        <w:t>900</w:t>
      </w:r>
      <w:r w:rsidR="00583E1A">
        <w:noBreakHyphen/>
      </w:r>
      <w:r w:rsidRPr="00583E1A">
        <w:t>125.</w:t>
      </w:r>
    </w:p>
    <w:p w:rsidR="00887330" w:rsidRPr="00583E1A" w:rsidRDefault="00887330" w:rsidP="00887330">
      <w:pPr>
        <w:pStyle w:val="ActHead5"/>
      </w:pPr>
      <w:bookmarkStart w:id="468" w:name="_Toc338939542"/>
      <w:r w:rsidRPr="00583E1A">
        <w:rPr>
          <w:rStyle w:val="CharSectno"/>
        </w:rPr>
        <w:t>900</w:t>
      </w:r>
      <w:r w:rsidR="00583E1A">
        <w:rPr>
          <w:rStyle w:val="CharSectno"/>
        </w:rPr>
        <w:noBreakHyphen/>
      </w:r>
      <w:r w:rsidRPr="00583E1A">
        <w:rPr>
          <w:rStyle w:val="CharSectno"/>
        </w:rPr>
        <w:t>135</w:t>
      </w:r>
      <w:r w:rsidRPr="00583E1A">
        <w:t xml:space="preserve">  Evidence on a payment summary</w:t>
      </w:r>
      <w:bookmarkEnd w:id="468"/>
    </w:p>
    <w:p w:rsidR="00887330" w:rsidRPr="00583E1A" w:rsidRDefault="00887330" w:rsidP="00887330">
      <w:pPr>
        <w:pStyle w:val="subsection"/>
      </w:pPr>
      <w:r w:rsidRPr="00583E1A">
        <w:tab/>
        <w:t>(1)</w:t>
      </w:r>
      <w:r w:rsidRPr="00583E1A">
        <w:rPr>
          <w:b/>
        </w:rPr>
        <w:tab/>
      </w:r>
      <w:r w:rsidRPr="00583E1A">
        <w:t xml:space="preserve">If the nature and amount of a </w:t>
      </w:r>
      <w:r w:rsidR="00583E1A" w:rsidRPr="00583E1A">
        <w:rPr>
          <w:position w:val="6"/>
          <w:sz w:val="16"/>
        </w:rPr>
        <w:t>*</w:t>
      </w:r>
      <w:r w:rsidRPr="00583E1A">
        <w:t xml:space="preserve">work expense are shown on your copy of a </w:t>
      </w:r>
      <w:r w:rsidR="00583E1A" w:rsidRPr="00583E1A">
        <w:rPr>
          <w:position w:val="6"/>
          <w:sz w:val="16"/>
        </w:rPr>
        <w:t>*</w:t>
      </w:r>
      <w:r w:rsidRPr="00583E1A">
        <w:t>payment summary given to you by your employer, you can use the copy as written evidence of the expense.</w:t>
      </w:r>
    </w:p>
    <w:p w:rsidR="00887330" w:rsidRPr="00583E1A" w:rsidRDefault="00887330" w:rsidP="00887330">
      <w:pPr>
        <w:pStyle w:val="notetext"/>
      </w:pPr>
      <w:r w:rsidRPr="00583E1A">
        <w:t>Note:</w:t>
      </w:r>
      <w:r w:rsidRPr="00583E1A">
        <w:tab/>
        <w:t xml:space="preserve">This Division also applies to entities that are </w:t>
      </w:r>
      <w:r w:rsidRPr="00583E1A">
        <w:rPr>
          <w:i/>
        </w:rPr>
        <w:t>not</w:t>
      </w:r>
      <w:r w:rsidRPr="00583E1A">
        <w:t xml:space="preserve"> employers, but pay (or are liable to pay) withholding payments covered by subsection 900</w:t>
      </w:r>
      <w:r w:rsidR="00583E1A">
        <w:noBreakHyphen/>
      </w:r>
      <w:r w:rsidRPr="00583E1A">
        <w:t>12(3).</w:t>
      </w:r>
    </w:p>
    <w:p w:rsidR="00887330" w:rsidRPr="00583E1A" w:rsidRDefault="00887330" w:rsidP="00887330">
      <w:pPr>
        <w:pStyle w:val="subsection"/>
      </w:pPr>
      <w:r w:rsidRPr="00583E1A">
        <w:tab/>
        <w:t>(2)</w:t>
      </w:r>
      <w:r w:rsidRPr="00583E1A">
        <w:rPr>
          <w:b/>
        </w:rPr>
        <w:tab/>
      </w:r>
      <w:r w:rsidRPr="00583E1A">
        <w:t xml:space="preserve">Expenses of the same nature need not be separately itemised; it is acceptable if they are totalled together on the </w:t>
      </w:r>
      <w:r w:rsidR="00583E1A" w:rsidRPr="00583E1A">
        <w:rPr>
          <w:position w:val="6"/>
          <w:sz w:val="16"/>
        </w:rPr>
        <w:t>*</w:t>
      </w:r>
      <w:r w:rsidRPr="00583E1A">
        <w:t>payment summary.</w:t>
      </w:r>
    </w:p>
    <w:p w:rsidR="00887330" w:rsidRPr="00583E1A" w:rsidRDefault="00887330" w:rsidP="00887330">
      <w:pPr>
        <w:pStyle w:val="ActHead4"/>
      </w:pPr>
      <w:bookmarkStart w:id="469" w:name="_Toc338939543"/>
      <w:r w:rsidRPr="00583E1A">
        <w:rPr>
          <w:rStyle w:val="CharSubdNo"/>
        </w:rPr>
        <w:lastRenderedPageBreak/>
        <w:t>Subdivision</w:t>
      </w:r>
      <w:r w:rsidR="00583E1A">
        <w:rPr>
          <w:rStyle w:val="CharSubdNo"/>
        </w:rPr>
        <w:t> </w:t>
      </w:r>
      <w:r w:rsidRPr="00583E1A">
        <w:rPr>
          <w:rStyle w:val="CharSubdNo"/>
        </w:rPr>
        <w:t>900</w:t>
      </w:r>
      <w:r w:rsidR="00583E1A">
        <w:rPr>
          <w:rStyle w:val="CharSubdNo"/>
        </w:rPr>
        <w:noBreakHyphen/>
      </w:r>
      <w:r w:rsidRPr="00583E1A">
        <w:rPr>
          <w:rStyle w:val="CharSubdNo"/>
        </w:rPr>
        <w:t>F</w:t>
      </w:r>
      <w:r w:rsidRPr="00583E1A">
        <w:t>—</w:t>
      </w:r>
      <w:r w:rsidRPr="00583E1A">
        <w:rPr>
          <w:rStyle w:val="CharSubdText"/>
        </w:rPr>
        <w:t>Travel records</w:t>
      </w:r>
      <w:bookmarkEnd w:id="469"/>
    </w:p>
    <w:p w:rsidR="00887330" w:rsidRPr="00583E1A" w:rsidRDefault="00887330" w:rsidP="00887330">
      <w:pPr>
        <w:pStyle w:val="ActHead4"/>
      </w:pPr>
      <w:bookmarkStart w:id="470" w:name="_Toc338939544"/>
      <w:r w:rsidRPr="00583E1A">
        <w:t>Guide to Subdivision</w:t>
      </w:r>
      <w:r w:rsidR="00583E1A">
        <w:t> </w:t>
      </w:r>
      <w:r w:rsidRPr="00583E1A">
        <w:t>900</w:t>
      </w:r>
      <w:r w:rsidR="00583E1A">
        <w:noBreakHyphen/>
      </w:r>
      <w:r w:rsidRPr="00583E1A">
        <w:t>F</w:t>
      </w:r>
      <w:bookmarkEnd w:id="470"/>
    </w:p>
    <w:p w:rsidR="00887330" w:rsidRPr="00583E1A" w:rsidRDefault="00887330" w:rsidP="00887330">
      <w:pPr>
        <w:pStyle w:val="ActHead5"/>
      </w:pPr>
      <w:bookmarkStart w:id="471" w:name="_Toc338939545"/>
      <w:r w:rsidRPr="00583E1A">
        <w:rPr>
          <w:rStyle w:val="CharSectno"/>
        </w:rPr>
        <w:t>900</w:t>
      </w:r>
      <w:r w:rsidR="00583E1A">
        <w:rPr>
          <w:rStyle w:val="CharSectno"/>
        </w:rPr>
        <w:noBreakHyphen/>
      </w:r>
      <w:r w:rsidRPr="00583E1A">
        <w:rPr>
          <w:rStyle w:val="CharSectno"/>
        </w:rPr>
        <w:t>140</w:t>
      </w:r>
      <w:r w:rsidRPr="00583E1A">
        <w:t xml:space="preserve">  What this Subdivision is about</w:t>
      </w:r>
      <w:bookmarkEnd w:id="471"/>
    </w:p>
    <w:p w:rsidR="00887330" w:rsidRPr="00583E1A" w:rsidRDefault="00887330" w:rsidP="00887330">
      <w:pPr>
        <w:pStyle w:val="BoxText"/>
        <w:spacing w:before="120"/>
      </w:pPr>
      <w:r w:rsidRPr="00583E1A">
        <w:t>This Subdivision tells you how to keep travel records. A travel record is a record of activities you undertake during your travel.</w:t>
      </w:r>
    </w:p>
    <w:p w:rsidR="00887330" w:rsidRPr="00583E1A" w:rsidRDefault="00887330" w:rsidP="00887330">
      <w:pPr>
        <w:pStyle w:val="TofSectsHeading"/>
        <w:keepNext/>
      </w:pPr>
      <w:r w:rsidRPr="00583E1A">
        <w:t>Table of sections</w:t>
      </w:r>
    </w:p>
    <w:p w:rsidR="00887330" w:rsidRPr="00583E1A" w:rsidRDefault="00887330" w:rsidP="00887330">
      <w:pPr>
        <w:pStyle w:val="TofSectsSection"/>
      </w:pPr>
      <w:r w:rsidRPr="00583E1A">
        <w:t>900</w:t>
      </w:r>
      <w:r w:rsidR="00583E1A">
        <w:noBreakHyphen/>
      </w:r>
      <w:r w:rsidRPr="00583E1A">
        <w:t>145</w:t>
      </w:r>
      <w:r w:rsidRPr="00583E1A">
        <w:tab/>
        <w:t>Purpose of a travel record</w:t>
      </w:r>
    </w:p>
    <w:p w:rsidR="00887330" w:rsidRPr="00583E1A" w:rsidRDefault="00887330" w:rsidP="00887330">
      <w:pPr>
        <w:pStyle w:val="TofSectsGroupHeading"/>
      </w:pPr>
      <w:r w:rsidRPr="00583E1A">
        <w:t>Operative provisions</w:t>
      </w:r>
    </w:p>
    <w:p w:rsidR="00887330" w:rsidRPr="00583E1A" w:rsidRDefault="00887330" w:rsidP="00887330">
      <w:pPr>
        <w:pStyle w:val="TofSectsSection"/>
      </w:pPr>
      <w:r w:rsidRPr="00583E1A">
        <w:t>900</w:t>
      </w:r>
      <w:r w:rsidR="00583E1A">
        <w:noBreakHyphen/>
      </w:r>
      <w:r w:rsidRPr="00583E1A">
        <w:t>150</w:t>
      </w:r>
      <w:r w:rsidRPr="00583E1A">
        <w:tab/>
        <w:t>Recording activities in travel records</w:t>
      </w:r>
    </w:p>
    <w:p w:rsidR="00887330" w:rsidRPr="00583E1A" w:rsidRDefault="00887330" w:rsidP="00887330">
      <w:pPr>
        <w:pStyle w:val="TofSectsSection"/>
      </w:pPr>
      <w:r w:rsidRPr="00583E1A">
        <w:t>900</w:t>
      </w:r>
      <w:r w:rsidR="00583E1A">
        <w:noBreakHyphen/>
      </w:r>
      <w:r w:rsidRPr="00583E1A">
        <w:t>155</w:t>
      </w:r>
      <w:r w:rsidRPr="00583E1A">
        <w:tab/>
        <w:t>Showing which of your activities were income</w:t>
      </w:r>
      <w:r w:rsidR="00583E1A">
        <w:noBreakHyphen/>
      </w:r>
      <w:r w:rsidRPr="00583E1A">
        <w:t>producing activities</w:t>
      </w:r>
    </w:p>
    <w:p w:rsidR="00887330" w:rsidRPr="00583E1A" w:rsidRDefault="00887330" w:rsidP="00887330">
      <w:pPr>
        <w:pStyle w:val="ActHead5"/>
      </w:pPr>
      <w:bookmarkStart w:id="472" w:name="_Toc338939546"/>
      <w:r w:rsidRPr="00583E1A">
        <w:rPr>
          <w:rStyle w:val="CharSectno"/>
        </w:rPr>
        <w:t>900</w:t>
      </w:r>
      <w:r w:rsidR="00583E1A">
        <w:rPr>
          <w:rStyle w:val="CharSectno"/>
        </w:rPr>
        <w:noBreakHyphen/>
      </w:r>
      <w:r w:rsidRPr="00583E1A">
        <w:rPr>
          <w:rStyle w:val="CharSectno"/>
        </w:rPr>
        <w:t>145</w:t>
      </w:r>
      <w:r w:rsidRPr="00583E1A">
        <w:t xml:space="preserve">  Purpose of a travel record</w:t>
      </w:r>
      <w:bookmarkEnd w:id="472"/>
    </w:p>
    <w:p w:rsidR="00887330" w:rsidRPr="00583E1A" w:rsidRDefault="00887330" w:rsidP="00887330">
      <w:pPr>
        <w:pStyle w:val="subsection"/>
      </w:pPr>
      <w:r w:rsidRPr="00583E1A">
        <w:tab/>
      </w:r>
      <w:r w:rsidRPr="00583E1A">
        <w:tab/>
        <w:t>The purpose of a travel record is to show which of your activities were undertaken in the course of producing your assessable income, so that your losses or outgoings, or portions of them, can be attributed to income</w:t>
      </w:r>
      <w:r w:rsidR="00583E1A">
        <w:noBreakHyphen/>
      </w:r>
      <w:r w:rsidRPr="00583E1A">
        <w:t>producing purposes.</w:t>
      </w:r>
    </w:p>
    <w:p w:rsidR="00887330" w:rsidRPr="00583E1A" w:rsidRDefault="00887330" w:rsidP="00887330">
      <w:pPr>
        <w:pStyle w:val="ActHead4"/>
      </w:pPr>
      <w:bookmarkStart w:id="473" w:name="_Toc338939547"/>
      <w:r w:rsidRPr="00583E1A">
        <w:t>Operative provisions</w:t>
      </w:r>
      <w:bookmarkEnd w:id="473"/>
    </w:p>
    <w:p w:rsidR="00887330" w:rsidRPr="00583E1A" w:rsidRDefault="00887330" w:rsidP="00887330">
      <w:pPr>
        <w:pStyle w:val="ActHead5"/>
      </w:pPr>
      <w:bookmarkStart w:id="474" w:name="_Toc338939548"/>
      <w:r w:rsidRPr="00583E1A">
        <w:rPr>
          <w:rStyle w:val="CharSectno"/>
        </w:rPr>
        <w:t>900</w:t>
      </w:r>
      <w:r w:rsidR="00583E1A">
        <w:rPr>
          <w:rStyle w:val="CharSectno"/>
        </w:rPr>
        <w:noBreakHyphen/>
      </w:r>
      <w:r w:rsidRPr="00583E1A">
        <w:rPr>
          <w:rStyle w:val="CharSectno"/>
        </w:rPr>
        <w:t>150</w:t>
      </w:r>
      <w:r w:rsidRPr="00583E1A">
        <w:t xml:space="preserve">  Recording activities in travel records</w:t>
      </w:r>
      <w:bookmarkEnd w:id="474"/>
    </w:p>
    <w:p w:rsidR="00887330" w:rsidRPr="00583E1A" w:rsidRDefault="00887330" w:rsidP="00887330">
      <w:pPr>
        <w:pStyle w:val="subsection"/>
      </w:pPr>
      <w:r w:rsidRPr="00583E1A">
        <w:tab/>
        <w:t>(1)</w:t>
      </w:r>
      <w:r w:rsidRPr="00583E1A">
        <w:rPr>
          <w:b/>
        </w:rPr>
        <w:tab/>
      </w:r>
      <w:r w:rsidRPr="00583E1A">
        <w:t>You record an activity by specifying in a diary or similar document:</w:t>
      </w:r>
    </w:p>
    <w:p w:rsidR="00887330" w:rsidRPr="00583E1A" w:rsidRDefault="00887330" w:rsidP="00887330">
      <w:pPr>
        <w:pStyle w:val="paragraph"/>
      </w:pPr>
      <w:r w:rsidRPr="00583E1A">
        <w:tab/>
        <w:t>(a)</w:t>
      </w:r>
      <w:r w:rsidRPr="00583E1A">
        <w:tab/>
        <w:t>the nature of the activity;</w:t>
      </w:r>
    </w:p>
    <w:p w:rsidR="00887330" w:rsidRPr="00583E1A" w:rsidRDefault="00887330" w:rsidP="00887330">
      <w:pPr>
        <w:pStyle w:val="paragraph"/>
      </w:pPr>
      <w:r w:rsidRPr="00583E1A">
        <w:tab/>
        <w:t>(b)</w:t>
      </w:r>
      <w:r w:rsidRPr="00583E1A">
        <w:tab/>
        <w:t>the day and approximate time when it began;</w:t>
      </w:r>
    </w:p>
    <w:p w:rsidR="00887330" w:rsidRPr="00583E1A" w:rsidRDefault="00887330" w:rsidP="00887330">
      <w:pPr>
        <w:pStyle w:val="paragraph"/>
      </w:pPr>
      <w:r w:rsidRPr="00583E1A">
        <w:tab/>
        <w:t>(c)</w:t>
      </w:r>
      <w:r w:rsidRPr="00583E1A">
        <w:tab/>
        <w:t>how long it lasted;</w:t>
      </w:r>
    </w:p>
    <w:p w:rsidR="00887330" w:rsidRPr="00583E1A" w:rsidRDefault="00887330" w:rsidP="00887330">
      <w:pPr>
        <w:pStyle w:val="paragraph"/>
      </w:pPr>
      <w:r w:rsidRPr="00583E1A">
        <w:tab/>
        <w:t>(d)</w:t>
      </w:r>
      <w:r w:rsidRPr="00583E1A">
        <w:tab/>
        <w:t>where you engaged in it.</w:t>
      </w:r>
    </w:p>
    <w:p w:rsidR="00887330" w:rsidRPr="00583E1A" w:rsidRDefault="00887330" w:rsidP="00887330">
      <w:pPr>
        <w:pStyle w:val="subsection"/>
      </w:pPr>
      <w:r w:rsidRPr="00583E1A">
        <w:tab/>
        <w:t>(2)</w:t>
      </w:r>
      <w:r w:rsidRPr="00583E1A">
        <w:rPr>
          <w:b/>
        </w:rPr>
        <w:tab/>
      </w:r>
      <w:r w:rsidRPr="00583E1A">
        <w:t>An activity must be recorded before it ends, or as soon as possible afterwards. Each entry must be in English.</w:t>
      </w:r>
    </w:p>
    <w:p w:rsidR="00887330" w:rsidRPr="00583E1A" w:rsidRDefault="00887330" w:rsidP="00887330">
      <w:pPr>
        <w:pStyle w:val="ActHead5"/>
      </w:pPr>
      <w:bookmarkStart w:id="475" w:name="_Toc338939549"/>
      <w:r w:rsidRPr="00583E1A">
        <w:rPr>
          <w:rStyle w:val="CharSectno"/>
        </w:rPr>
        <w:lastRenderedPageBreak/>
        <w:t>900</w:t>
      </w:r>
      <w:r w:rsidR="00583E1A">
        <w:rPr>
          <w:rStyle w:val="CharSectno"/>
        </w:rPr>
        <w:noBreakHyphen/>
      </w:r>
      <w:r w:rsidRPr="00583E1A">
        <w:rPr>
          <w:rStyle w:val="CharSectno"/>
        </w:rPr>
        <w:t>155</w:t>
      </w:r>
      <w:r w:rsidRPr="00583E1A">
        <w:t xml:space="preserve">  Showing which of your activities were income</w:t>
      </w:r>
      <w:r w:rsidR="00583E1A">
        <w:noBreakHyphen/>
      </w:r>
      <w:r w:rsidRPr="00583E1A">
        <w:t>producing activities</w:t>
      </w:r>
      <w:bookmarkEnd w:id="475"/>
    </w:p>
    <w:p w:rsidR="00887330" w:rsidRPr="00583E1A" w:rsidRDefault="00887330" w:rsidP="00887330">
      <w:pPr>
        <w:pStyle w:val="subsection"/>
      </w:pPr>
      <w:r w:rsidRPr="00583E1A">
        <w:tab/>
        <w:t>(1)</w:t>
      </w:r>
      <w:r w:rsidRPr="00583E1A">
        <w:tab/>
        <w:t>You need not record an income</w:t>
      </w:r>
      <w:r w:rsidR="00583E1A">
        <w:noBreakHyphen/>
      </w:r>
      <w:r w:rsidRPr="00583E1A">
        <w:t>producing activity. But if you don’t, the activity cannot be taken into account in working out the extent to which you can deduct an expense you incur for the travel.</w:t>
      </w:r>
    </w:p>
    <w:p w:rsidR="00887330" w:rsidRPr="00583E1A" w:rsidRDefault="00887330" w:rsidP="00887330">
      <w:pPr>
        <w:pStyle w:val="notetext"/>
      </w:pPr>
      <w:r w:rsidRPr="00583E1A">
        <w:t>Example:</w:t>
      </w:r>
      <w:r w:rsidRPr="00583E1A">
        <w:tab/>
        <w:t xml:space="preserve">If you fly to </w:t>
      </w:r>
      <w:smartTag w:uri="urn:schemas-microsoft-com:office:smarttags" w:element="City">
        <w:smartTag w:uri="urn:schemas-microsoft-com:office:smarttags" w:element="place">
          <w:r w:rsidRPr="00583E1A">
            <w:t>Los Angeles</w:t>
          </w:r>
        </w:smartTag>
      </w:smartTag>
      <w:r w:rsidRPr="00583E1A">
        <w:t xml:space="preserve"> for the sole purpose of attending a 7 day conference, but you don’t record the conference in your travel record, you cannot deduct the cost of the air fare. This is so even if you have written evidence that you paid the fare (eg a receipt), as required by Subdivision</w:t>
      </w:r>
      <w:r w:rsidR="00583E1A">
        <w:t> </w:t>
      </w:r>
      <w:r w:rsidRPr="00583E1A">
        <w:t>900</w:t>
      </w:r>
      <w:r w:rsidR="00583E1A">
        <w:noBreakHyphen/>
      </w:r>
      <w:r w:rsidRPr="00583E1A">
        <w:t>E.</w:t>
      </w:r>
    </w:p>
    <w:p w:rsidR="00887330" w:rsidRPr="00583E1A" w:rsidRDefault="00887330" w:rsidP="00887330">
      <w:pPr>
        <w:pStyle w:val="subsection"/>
      </w:pPr>
      <w:r w:rsidRPr="00583E1A">
        <w:tab/>
        <w:t>(2)</w:t>
      </w:r>
      <w:r w:rsidRPr="00583E1A">
        <w:tab/>
        <w:t>You don’t need to record any other kind of activity, although you may do so.</w:t>
      </w:r>
    </w:p>
    <w:p w:rsidR="00887330" w:rsidRPr="00583E1A" w:rsidRDefault="00887330" w:rsidP="00887330">
      <w:pPr>
        <w:pStyle w:val="ActHead4"/>
      </w:pPr>
      <w:bookmarkStart w:id="476" w:name="_Toc338939550"/>
      <w:r w:rsidRPr="00583E1A">
        <w:rPr>
          <w:rStyle w:val="CharSubdNo"/>
        </w:rPr>
        <w:t>Subdivision</w:t>
      </w:r>
      <w:r w:rsidR="00583E1A">
        <w:rPr>
          <w:rStyle w:val="CharSubdNo"/>
        </w:rPr>
        <w:t> </w:t>
      </w:r>
      <w:r w:rsidRPr="00583E1A">
        <w:rPr>
          <w:rStyle w:val="CharSubdNo"/>
        </w:rPr>
        <w:t>900</w:t>
      </w:r>
      <w:r w:rsidR="00583E1A">
        <w:rPr>
          <w:rStyle w:val="CharSubdNo"/>
        </w:rPr>
        <w:noBreakHyphen/>
      </w:r>
      <w:r w:rsidRPr="00583E1A">
        <w:rPr>
          <w:rStyle w:val="CharSubdNo"/>
        </w:rPr>
        <w:t>G</w:t>
      </w:r>
      <w:r w:rsidRPr="00583E1A">
        <w:t>—</w:t>
      </w:r>
      <w:r w:rsidRPr="00583E1A">
        <w:rPr>
          <w:rStyle w:val="CharSubdText"/>
        </w:rPr>
        <w:t>Retaining and producing records</w:t>
      </w:r>
      <w:bookmarkEnd w:id="476"/>
    </w:p>
    <w:p w:rsidR="00887330" w:rsidRPr="00583E1A" w:rsidRDefault="00887330" w:rsidP="00887330">
      <w:pPr>
        <w:pStyle w:val="ActHead4"/>
      </w:pPr>
      <w:bookmarkStart w:id="477" w:name="_Toc338939551"/>
      <w:r w:rsidRPr="00583E1A">
        <w:t>Guide to Subdivision</w:t>
      </w:r>
      <w:r w:rsidR="00583E1A">
        <w:t> </w:t>
      </w:r>
      <w:r w:rsidRPr="00583E1A">
        <w:t>900</w:t>
      </w:r>
      <w:r w:rsidR="00583E1A">
        <w:noBreakHyphen/>
      </w:r>
      <w:r w:rsidRPr="00583E1A">
        <w:t>G</w:t>
      </w:r>
      <w:bookmarkEnd w:id="477"/>
    </w:p>
    <w:p w:rsidR="00887330" w:rsidRPr="00583E1A" w:rsidRDefault="00887330" w:rsidP="00887330">
      <w:pPr>
        <w:pStyle w:val="ActHead5"/>
      </w:pPr>
      <w:bookmarkStart w:id="478" w:name="_Toc338939552"/>
      <w:r w:rsidRPr="00583E1A">
        <w:rPr>
          <w:rStyle w:val="CharSectno"/>
        </w:rPr>
        <w:t>900</w:t>
      </w:r>
      <w:r w:rsidR="00583E1A">
        <w:rPr>
          <w:rStyle w:val="CharSectno"/>
        </w:rPr>
        <w:noBreakHyphen/>
      </w:r>
      <w:r w:rsidRPr="00583E1A">
        <w:rPr>
          <w:rStyle w:val="CharSectno"/>
        </w:rPr>
        <w:t>160</w:t>
      </w:r>
      <w:r w:rsidRPr="00583E1A">
        <w:t xml:space="preserve">  What this Subdivision is about</w:t>
      </w:r>
      <w:bookmarkEnd w:id="478"/>
    </w:p>
    <w:p w:rsidR="00887330" w:rsidRPr="00583E1A" w:rsidRDefault="00887330" w:rsidP="00887330">
      <w:pPr>
        <w:pStyle w:val="BoxText"/>
        <w:spacing w:before="120"/>
      </w:pPr>
      <w:r w:rsidRPr="00583E1A">
        <w:t>This Subdivision tells you how long you need to retain records of an expense and when you have to produce those records.</w:t>
      </w:r>
    </w:p>
    <w:p w:rsidR="00887330" w:rsidRPr="00583E1A" w:rsidRDefault="00887330" w:rsidP="007B2DFD">
      <w:pPr>
        <w:pStyle w:val="TofSectsHeading"/>
        <w:keepNext/>
        <w:keepLines/>
      </w:pPr>
      <w:r w:rsidRPr="00583E1A">
        <w:t>Table of sections</w:t>
      </w:r>
    </w:p>
    <w:p w:rsidR="00887330" w:rsidRPr="00583E1A" w:rsidRDefault="00887330" w:rsidP="00887330">
      <w:pPr>
        <w:pStyle w:val="TofSectsSection"/>
      </w:pPr>
      <w:r w:rsidRPr="00583E1A">
        <w:t>900</w:t>
      </w:r>
      <w:r w:rsidR="00583E1A">
        <w:noBreakHyphen/>
      </w:r>
      <w:r w:rsidRPr="00583E1A">
        <w:t>165</w:t>
      </w:r>
      <w:r w:rsidRPr="00583E1A">
        <w:tab/>
        <w:t>The retention period</w:t>
      </w:r>
    </w:p>
    <w:p w:rsidR="00887330" w:rsidRPr="00583E1A" w:rsidRDefault="00887330" w:rsidP="00887330">
      <w:pPr>
        <w:pStyle w:val="TofSectsGroupHeading"/>
      </w:pPr>
      <w:r w:rsidRPr="00583E1A">
        <w:t>Operative provisions</w:t>
      </w:r>
    </w:p>
    <w:p w:rsidR="00887330" w:rsidRPr="00583E1A" w:rsidRDefault="00887330" w:rsidP="00887330">
      <w:pPr>
        <w:pStyle w:val="TofSectsSection"/>
      </w:pPr>
      <w:r w:rsidRPr="00583E1A">
        <w:t>900</w:t>
      </w:r>
      <w:r w:rsidR="00583E1A">
        <w:noBreakHyphen/>
      </w:r>
      <w:r w:rsidRPr="00583E1A">
        <w:t>170</w:t>
      </w:r>
      <w:r w:rsidRPr="00583E1A">
        <w:tab/>
        <w:t>Extending the retention period if an expense is disputed</w:t>
      </w:r>
    </w:p>
    <w:p w:rsidR="00887330" w:rsidRPr="00583E1A" w:rsidRDefault="00887330" w:rsidP="00887330">
      <w:pPr>
        <w:pStyle w:val="TofSectsSection"/>
      </w:pPr>
      <w:r w:rsidRPr="00583E1A">
        <w:t>900</w:t>
      </w:r>
      <w:r w:rsidR="00583E1A">
        <w:noBreakHyphen/>
      </w:r>
      <w:r w:rsidRPr="00583E1A">
        <w:t>175</w:t>
      </w:r>
      <w:r w:rsidRPr="00583E1A">
        <w:tab/>
        <w:t>Commissioner may tell you to produce your records</w:t>
      </w:r>
    </w:p>
    <w:p w:rsidR="00887330" w:rsidRPr="00583E1A" w:rsidRDefault="00887330" w:rsidP="00887330">
      <w:pPr>
        <w:pStyle w:val="TofSectsSection"/>
      </w:pPr>
      <w:r w:rsidRPr="00583E1A">
        <w:t>900</w:t>
      </w:r>
      <w:r w:rsidR="00583E1A">
        <w:noBreakHyphen/>
      </w:r>
      <w:r w:rsidRPr="00583E1A">
        <w:t>180</w:t>
      </w:r>
      <w:r w:rsidRPr="00583E1A">
        <w:tab/>
        <w:t>How to comply with a notice</w:t>
      </w:r>
    </w:p>
    <w:p w:rsidR="00887330" w:rsidRPr="00583E1A" w:rsidRDefault="00887330" w:rsidP="00887330">
      <w:pPr>
        <w:pStyle w:val="TofSectsSection"/>
      </w:pPr>
      <w:r w:rsidRPr="00583E1A">
        <w:t>900</w:t>
      </w:r>
      <w:r w:rsidR="00583E1A">
        <w:noBreakHyphen/>
      </w:r>
      <w:r w:rsidRPr="00583E1A">
        <w:t>185</w:t>
      </w:r>
      <w:r w:rsidRPr="00583E1A">
        <w:tab/>
        <w:t>What happens if you don’t comply</w:t>
      </w:r>
    </w:p>
    <w:p w:rsidR="00887330" w:rsidRPr="00583E1A" w:rsidRDefault="00887330" w:rsidP="00887330">
      <w:pPr>
        <w:pStyle w:val="ActHead5"/>
      </w:pPr>
      <w:bookmarkStart w:id="479" w:name="_Toc338939553"/>
      <w:r w:rsidRPr="00583E1A">
        <w:rPr>
          <w:rStyle w:val="CharSectno"/>
        </w:rPr>
        <w:t>900</w:t>
      </w:r>
      <w:r w:rsidR="00583E1A">
        <w:rPr>
          <w:rStyle w:val="CharSectno"/>
        </w:rPr>
        <w:noBreakHyphen/>
      </w:r>
      <w:r w:rsidRPr="00583E1A">
        <w:rPr>
          <w:rStyle w:val="CharSectno"/>
        </w:rPr>
        <w:t>165</w:t>
      </w:r>
      <w:r w:rsidRPr="00583E1A">
        <w:t xml:space="preserve">  The retention period</w:t>
      </w:r>
      <w:bookmarkEnd w:id="479"/>
    </w:p>
    <w:p w:rsidR="00887330" w:rsidRPr="00583E1A" w:rsidRDefault="00887330" w:rsidP="00887330">
      <w:pPr>
        <w:pStyle w:val="subsection"/>
      </w:pPr>
      <w:r w:rsidRPr="00583E1A">
        <w:tab/>
      </w:r>
      <w:r w:rsidRPr="00583E1A">
        <w:tab/>
        <w:t>Whenever you are required to retain records of an expense under this Division or Division</w:t>
      </w:r>
      <w:r w:rsidR="00583E1A">
        <w:t> </w:t>
      </w:r>
      <w:r w:rsidRPr="00583E1A">
        <w:t>28, you need to retain the records for 5 years.</w:t>
      </w:r>
    </w:p>
    <w:p w:rsidR="00887330" w:rsidRPr="00583E1A" w:rsidRDefault="00887330" w:rsidP="00887330">
      <w:pPr>
        <w:pStyle w:val="ActHead4"/>
      </w:pPr>
      <w:bookmarkStart w:id="480" w:name="_Toc338939554"/>
      <w:r w:rsidRPr="00583E1A">
        <w:lastRenderedPageBreak/>
        <w:t>Operative provisions</w:t>
      </w:r>
      <w:bookmarkEnd w:id="480"/>
    </w:p>
    <w:p w:rsidR="00887330" w:rsidRPr="00583E1A" w:rsidRDefault="00887330" w:rsidP="00887330">
      <w:pPr>
        <w:pStyle w:val="ActHead5"/>
      </w:pPr>
      <w:bookmarkStart w:id="481" w:name="_Toc338939555"/>
      <w:r w:rsidRPr="00583E1A">
        <w:rPr>
          <w:rStyle w:val="CharSectno"/>
        </w:rPr>
        <w:t>900</w:t>
      </w:r>
      <w:r w:rsidR="00583E1A">
        <w:rPr>
          <w:rStyle w:val="CharSectno"/>
        </w:rPr>
        <w:noBreakHyphen/>
      </w:r>
      <w:r w:rsidRPr="00583E1A">
        <w:rPr>
          <w:rStyle w:val="CharSectno"/>
        </w:rPr>
        <w:t>170</w:t>
      </w:r>
      <w:r w:rsidRPr="00583E1A">
        <w:t xml:space="preserve">  Extending the retention period if an expense is disputed</w:t>
      </w:r>
      <w:bookmarkEnd w:id="481"/>
    </w:p>
    <w:p w:rsidR="00887330" w:rsidRPr="00583E1A" w:rsidRDefault="00887330" w:rsidP="00887330">
      <w:pPr>
        <w:pStyle w:val="subsection"/>
      </w:pPr>
      <w:r w:rsidRPr="00583E1A">
        <w:tab/>
      </w:r>
      <w:r w:rsidRPr="00583E1A">
        <w:tab/>
        <w:t xml:space="preserve">The </w:t>
      </w:r>
      <w:r w:rsidR="00583E1A" w:rsidRPr="00583E1A">
        <w:rPr>
          <w:position w:val="6"/>
          <w:sz w:val="16"/>
        </w:rPr>
        <w:t>*</w:t>
      </w:r>
      <w:r w:rsidRPr="00583E1A">
        <w:t>retention period is automatically extended if one of the following types of dispute relating to the expense is unresolved when the 5 years end:</w:t>
      </w:r>
    </w:p>
    <w:p w:rsidR="00887330" w:rsidRPr="00583E1A" w:rsidRDefault="00887330" w:rsidP="00887330">
      <w:pPr>
        <w:pStyle w:val="paragraph"/>
      </w:pPr>
      <w:r w:rsidRPr="00583E1A">
        <w:tab/>
        <w:t>(a)</w:t>
      </w:r>
      <w:r w:rsidRPr="00583E1A">
        <w:tab/>
        <w:t xml:space="preserve">an objection; </w:t>
      </w:r>
    </w:p>
    <w:p w:rsidR="00887330" w:rsidRPr="00583E1A" w:rsidRDefault="00887330" w:rsidP="00887330">
      <w:pPr>
        <w:pStyle w:val="paragraph"/>
      </w:pPr>
      <w:r w:rsidRPr="00583E1A">
        <w:tab/>
        <w:t>(b)</w:t>
      </w:r>
      <w:r w:rsidRPr="00583E1A">
        <w:tab/>
        <w:t>a review or appeal arising from an objection;</w:t>
      </w:r>
    </w:p>
    <w:p w:rsidR="00887330" w:rsidRPr="00583E1A" w:rsidRDefault="00887330" w:rsidP="00887330">
      <w:pPr>
        <w:pStyle w:val="paragraph"/>
      </w:pPr>
      <w:r w:rsidRPr="00583E1A">
        <w:tab/>
        <w:t>(c)</w:t>
      </w:r>
      <w:r w:rsidRPr="00583E1A">
        <w:tab/>
        <w:t>a request for amendment of an assessment.</w:t>
      </w:r>
    </w:p>
    <w:p w:rsidR="00887330" w:rsidRPr="00583E1A" w:rsidRDefault="00887330" w:rsidP="00887330">
      <w:pPr>
        <w:pStyle w:val="subsection2"/>
      </w:pPr>
      <w:r w:rsidRPr="00583E1A">
        <w:t>The extension lasts until the dispute is resolved.</w:t>
      </w:r>
    </w:p>
    <w:p w:rsidR="00887330" w:rsidRPr="00583E1A" w:rsidRDefault="00887330" w:rsidP="00887330">
      <w:pPr>
        <w:pStyle w:val="ActHead5"/>
      </w:pPr>
      <w:bookmarkStart w:id="482" w:name="_Toc338939556"/>
      <w:r w:rsidRPr="00583E1A">
        <w:rPr>
          <w:rStyle w:val="CharSectno"/>
        </w:rPr>
        <w:t>900</w:t>
      </w:r>
      <w:r w:rsidR="00583E1A">
        <w:rPr>
          <w:rStyle w:val="CharSectno"/>
        </w:rPr>
        <w:noBreakHyphen/>
      </w:r>
      <w:r w:rsidRPr="00583E1A">
        <w:rPr>
          <w:rStyle w:val="CharSectno"/>
        </w:rPr>
        <w:t>175</w:t>
      </w:r>
      <w:r w:rsidRPr="00583E1A">
        <w:t xml:space="preserve">  Commissioner may tell you to produce your records</w:t>
      </w:r>
      <w:bookmarkEnd w:id="482"/>
    </w:p>
    <w:p w:rsidR="00887330" w:rsidRPr="00583E1A" w:rsidRDefault="00887330" w:rsidP="00887330">
      <w:pPr>
        <w:pStyle w:val="subsection"/>
      </w:pPr>
      <w:r w:rsidRPr="00583E1A">
        <w:tab/>
        <w:t>(1)</w:t>
      </w:r>
      <w:r w:rsidRPr="00583E1A">
        <w:rPr>
          <w:b/>
        </w:rPr>
        <w:tab/>
      </w:r>
      <w:r w:rsidRPr="00583E1A">
        <w:t xml:space="preserve">The Commissioner may give you a written notice telling you to produce records of expenses specified in the notice. The records must be ones that you have to retain for the </w:t>
      </w:r>
      <w:r w:rsidR="00583E1A" w:rsidRPr="00583E1A">
        <w:rPr>
          <w:position w:val="6"/>
          <w:sz w:val="16"/>
        </w:rPr>
        <w:t>*</w:t>
      </w:r>
      <w:r w:rsidRPr="00583E1A">
        <w:t>retention period: you do not have to produce records if the retention period for those records is over.</w:t>
      </w:r>
    </w:p>
    <w:p w:rsidR="00887330" w:rsidRPr="00583E1A" w:rsidRDefault="00887330" w:rsidP="00887330">
      <w:pPr>
        <w:pStyle w:val="subsection"/>
      </w:pPr>
      <w:r w:rsidRPr="00583E1A">
        <w:tab/>
        <w:t>(2)</w:t>
      </w:r>
      <w:r w:rsidRPr="00583E1A">
        <w:rPr>
          <w:b/>
        </w:rPr>
        <w:tab/>
      </w:r>
      <w:r w:rsidRPr="00583E1A">
        <w:t>The notice must give you 28 days or more to comply, starting on the day after the notice is given. The Commissioner may allow you more time to comply with the notice.</w:t>
      </w:r>
    </w:p>
    <w:p w:rsidR="00887330" w:rsidRPr="00583E1A" w:rsidRDefault="00887330" w:rsidP="00887330">
      <w:pPr>
        <w:pStyle w:val="ActHead5"/>
      </w:pPr>
      <w:bookmarkStart w:id="483" w:name="_Toc338939557"/>
      <w:r w:rsidRPr="00583E1A">
        <w:rPr>
          <w:rStyle w:val="CharSectno"/>
        </w:rPr>
        <w:t>900</w:t>
      </w:r>
      <w:r w:rsidR="00583E1A">
        <w:rPr>
          <w:rStyle w:val="CharSectno"/>
        </w:rPr>
        <w:noBreakHyphen/>
      </w:r>
      <w:r w:rsidRPr="00583E1A">
        <w:rPr>
          <w:rStyle w:val="CharSectno"/>
        </w:rPr>
        <w:t>180</w:t>
      </w:r>
      <w:r w:rsidRPr="00583E1A">
        <w:t xml:space="preserve">  How to comply with a notice</w:t>
      </w:r>
      <w:bookmarkEnd w:id="483"/>
    </w:p>
    <w:p w:rsidR="00887330" w:rsidRPr="00583E1A" w:rsidRDefault="00887330" w:rsidP="00887330">
      <w:pPr>
        <w:pStyle w:val="subsection"/>
      </w:pPr>
      <w:r w:rsidRPr="00583E1A">
        <w:tab/>
        <w:t>(1)</w:t>
      </w:r>
      <w:r w:rsidRPr="00583E1A">
        <w:rPr>
          <w:b/>
        </w:rPr>
        <w:tab/>
      </w:r>
      <w:r w:rsidRPr="00583E1A">
        <w:t>To comply with the notice, you must produce to the Commissioner, for each of the expenses, the material that this Division or Division</w:t>
      </w:r>
      <w:r w:rsidR="00583E1A">
        <w:t> </w:t>
      </w:r>
      <w:r w:rsidRPr="00583E1A">
        <w:t xml:space="preserve">28 requires you to retain during the </w:t>
      </w:r>
      <w:r w:rsidR="00583E1A" w:rsidRPr="00583E1A">
        <w:rPr>
          <w:position w:val="6"/>
          <w:sz w:val="16"/>
        </w:rPr>
        <w:t>*</w:t>
      </w:r>
      <w:r w:rsidRPr="00583E1A">
        <w:t>retention period.</w:t>
      </w:r>
    </w:p>
    <w:p w:rsidR="00887330" w:rsidRPr="00583E1A" w:rsidRDefault="00887330" w:rsidP="00887330">
      <w:pPr>
        <w:pStyle w:val="subsection"/>
      </w:pPr>
      <w:r w:rsidRPr="00583E1A">
        <w:tab/>
        <w:t>(2)</w:t>
      </w:r>
      <w:r w:rsidRPr="00583E1A">
        <w:rPr>
          <w:b/>
        </w:rPr>
        <w:tab/>
      </w:r>
      <w:r w:rsidRPr="00583E1A">
        <w:t>You must also produce a summary that, for each expense for which you produce written evidence (see Subdivision</w:t>
      </w:r>
      <w:r w:rsidR="00583E1A">
        <w:t> </w:t>
      </w:r>
      <w:r w:rsidRPr="00583E1A">
        <w:t>900</w:t>
      </w:r>
      <w:r w:rsidR="00583E1A">
        <w:noBreakHyphen/>
      </w:r>
      <w:r w:rsidRPr="00583E1A">
        <w:t>E):</w:t>
      </w:r>
    </w:p>
    <w:p w:rsidR="00887330" w:rsidRPr="00583E1A" w:rsidRDefault="00887330" w:rsidP="00887330">
      <w:pPr>
        <w:pStyle w:val="paragraph"/>
      </w:pPr>
      <w:r w:rsidRPr="00583E1A">
        <w:tab/>
        <w:t>(a)</w:t>
      </w:r>
      <w:r w:rsidRPr="00583E1A">
        <w:tab/>
        <w:t>notes the expense; and</w:t>
      </w:r>
    </w:p>
    <w:p w:rsidR="00887330" w:rsidRPr="00583E1A" w:rsidRDefault="00887330" w:rsidP="00887330">
      <w:pPr>
        <w:pStyle w:val="paragraph"/>
      </w:pPr>
      <w:r w:rsidRPr="00583E1A">
        <w:tab/>
        <w:t>(b)</w:t>
      </w:r>
      <w:r w:rsidRPr="00583E1A">
        <w:tab/>
        <w:t>has a cross</w:t>
      </w:r>
      <w:r w:rsidR="00583E1A">
        <w:noBreakHyphen/>
      </w:r>
      <w:r w:rsidRPr="00583E1A">
        <w:t>reference to the written evidence of the expense; and</w:t>
      </w:r>
    </w:p>
    <w:p w:rsidR="00887330" w:rsidRPr="00583E1A" w:rsidRDefault="00887330" w:rsidP="00887330">
      <w:pPr>
        <w:pStyle w:val="paragraph"/>
      </w:pPr>
      <w:r w:rsidRPr="00583E1A">
        <w:tab/>
        <w:t>(c)</w:t>
      </w:r>
      <w:r w:rsidRPr="00583E1A">
        <w:tab/>
        <w:t>summarises the particulars set out in the written evidence; and</w:t>
      </w:r>
    </w:p>
    <w:p w:rsidR="00887330" w:rsidRPr="00583E1A" w:rsidRDefault="00887330" w:rsidP="00887330">
      <w:pPr>
        <w:pStyle w:val="paragraph"/>
        <w:keepNext/>
      </w:pPr>
      <w:r w:rsidRPr="00583E1A">
        <w:lastRenderedPageBreak/>
        <w:tab/>
        <w:t>(d)</w:t>
      </w:r>
      <w:r w:rsidRPr="00583E1A">
        <w:tab/>
        <w:t>if the expense was in a foreign currency—shows the amount of the expense in Australian currency.</w:t>
      </w:r>
    </w:p>
    <w:p w:rsidR="00887330" w:rsidRPr="00583E1A" w:rsidRDefault="00887330" w:rsidP="00887330">
      <w:pPr>
        <w:pStyle w:val="subsection2"/>
      </w:pPr>
      <w:r w:rsidRPr="00583E1A">
        <w:t>The summary must be in English in a form approved by the Commissioner.</w:t>
      </w:r>
    </w:p>
    <w:p w:rsidR="00887330" w:rsidRPr="00583E1A" w:rsidRDefault="00887330" w:rsidP="00887330">
      <w:pPr>
        <w:pStyle w:val="ActHead5"/>
      </w:pPr>
      <w:bookmarkStart w:id="484" w:name="_Toc338939558"/>
      <w:r w:rsidRPr="00583E1A">
        <w:rPr>
          <w:rStyle w:val="CharSectno"/>
        </w:rPr>
        <w:t>900</w:t>
      </w:r>
      <w:r w:rsidR="00583E1A">
        <w:rPr>
          <w:rStyle w:val="CharSectno"/>
        </w:rPr>
        <w:noBreakHyphen/>
      </w:r>
      <w:r w:rsidRPr="00583E1A">
        <w:rPr>
          <w:rStyle w:val="CharSectno"/>
        </w:rPr>
        <w:t>185</w:t>
      </w:r>
      <w:r w:rsidRPr="00583E1A">
        <w:t xml:space="preserve">  What happens if you don’t comply</w:t>
      </w:r>
      <w:bookmarkEnd w:id="484"/>
    </w:p>
    <w:p w:rsidR="00887330" w:rsidRPr="00583E1A" w:rsidRDefault="00887330" w:rsidP="00887330">
      <w:pPr>
        <w:pStyle w:val="subsection"/>
      </w:pPr>
      <w:r w:rsidRPr="00583E1A">
        <w:tab/>
        <w:t>(1)</w:t>
      </w:r>
      <w:r w:rsidRPr="00583E1A">
        <w:rPr>
          <w:b/>
        </w:rPr>
        <w:tab/>
      </w:r>
      <w:r w:rsidRPr="00583E1A">
        <w:t>If you do not comply with a notice for a particular expense, you cannot deduct the expense. If you have already deducted it, your assessment may be amended to disallow the deduction.</w:t>
      </w:r>
    </w:p>
    <w:p w:rsidR="00887330" w:rsidRPr="00583E1A" w:rsidRDefault="00887330" w:rsidP="00887330">
      <w:pPr>
        <w:pStyle w:val="subsection"/>
      </w:pPr>
      <w:r w:rsidRPr="00583E1A">
        <w:tab/>
        <w:t>(2)</w:t>
      </w:r>
      <w:r w:rsidRPr="00583E1A">
        <w:rPr>
          <w:b/>
        </w:rPr>
        <w:tab/>
      </w:r>
      <w:r w:rsidRPr="00583E1A">
        <w:t>You do not commit an offence merely by not complying with the notice, despite section</w:t>
      </w:r>
      <w:r w:rsidR="00583E1A">
        <w:t> </w:t>
      </w:r>
      <w:r w:rsidRPr="00583E1A">
        <w:t xml:space="preserve">8C of the </w:t>
      </w:r>
      <w:r w:rsidRPr="00583E1A">
        <w:rPr>
          <w:i/>
        </w:rPr>
        <w:t>Taxation Administration Act 1953</w:t>
      </w:r>
      <w:r w:rsidRPr="00583E1A">
        <w:t>.</w:t>
      </w:r>
    </w:p>
    <w:p w:rsidR="00887330" w:rsidRPr="00583E1A" w:rsidRDefault="00887330" w:rsidP="00887330">
      <w:pPr>
        <w:pStyle w:val="ActHead4"/>
      </w:pPr>
      <w:bookmarkStart w:id="485" w:name="_Toc338939559"/>
      <w:r w:rsidRPr="00583E1A">
        <w:rPr>
          <w:rStyle w:val="CharSubdNo"/>
        </w:rPr>
        <w:t>Subdivision</w:t>
      </w:r>
      <w:r w:rsidR="00583E1A">
        <w:rPr>
          <w:rStyle w:val="CharSubdNo"/>
        </w:rPr>
        <w:t> </w:t>
      </w:r>
      <w:r w:rsidRPr="00583E1A">
        <w:rPr>
          <w:rStyle w:val="CharSubdNo"/>
        </w:rPr>
        <w:t>900</w:t>
      </w:r>
      <w:r w:rsidR="00583E1A">
        <w:rPr>
          <w:rStyle w:val="CharSubdNo"/>
        </w:rPr>
        <w:noBreakHyphen/>
      </w:r>
      <w:r w:rsidRPr="00583E1A">
        <w:rPr>
          <w:rStyle w:val="CharSubdNo"/>
        </w:rPr>
        <w:t>H</w:t>
      </w:r>
      <w:r w:rsidRPr="00583E1A">
        <w:t>—</w:t>
      </w:r>
      <w:r w:rsidRPr="00583E1A">
        <w:rPr>
          <w:rStyle w:val="CharSubdText"/>
        </w:rPr>
        <w:t>Relief from effects of failing to substantiate</w:t>
      </w:r>
      <w:bookmarkEnd w:id="485"/>
    </w:p>
    <w:p w:rsidR="00887330" w:rsidRPr="00583E1A" w:rsidRDefault="00887330" w:rsidP="00887330">
      <w:pPr>
        <w:pStyle w:val="TofSectsHeading"/>
      </w:pPr>
      <w:r w:rsidRPr="00583E1A">
        <w:t>Table of sections</w:t>
      </w:r>
    </w:p>
    <w:p w:rsidR="00887330" w:rsidRPr="00583E1A" w:rsidRDefault="00887330" w:rsidP="00887330">
      <w:pPr>
        <w:pStyle w:val="TofSectsSection"/>
      </w:pPr>
      <w:r w:rsidRPr="00583E1A">
        <w:t>900</w:t>
      </w:r>
      <w:r w:rsidR="00583E1A">
        <w:noBreakHyphen/>
      </w:r>
      <w:r w:rsidRPr="00583E1A">
        <w:t>195</w:t>
      </w:r>
      <w:r w:rsidRPr="00583E1A">
        <w:tab/>
        <w:t>Commissioner’s discretion to review failure to substantiate</w:t>
      </w:r>
    </w:p>
    <w:p w:rsidR="00887330" w:rsidRPr="00583E1A" w:rsidRDefault="00887330" w:rsidP="00887330">
      <w:pPr>
        <w:pStyle w:val="TofSectsSection"/>
      </w:pPr>
      <w:r w:rsidRPr="00583E1A">
        <w:t>900</w:t>
      </w:r>
      <w:r w:rsidR="00583E1A">
        <w:noBreakHyphen/>
      </w:r>
      <w:r w:rsidRPr="00583E1A">
        <w:t>200</w:t>
      </w:r>
      <w:r w:rsidRPr="00583E1A">
        <w:tab/>
        <w:t>Reasonable expectation that substantiation would not be required</w:t>
      </w:r>
    </w:p>
    <w:p w:rsidR="00887330" w:rsidRPr="00583E1A" w:rsidRDefault="00887330" w:rsidP="00887330">
      <w:pPr>
        <w:pStyle w:val="TofSectsSection"/>
      </w:pPr>
      <w:r w:rsidRPr="00583E1A">
        <w:t>900</w:t>
      </w:r>
      <w:r w:rsidR="00583E1A">
        <w:noBreakHyphen/>
      </w:r>
      <w:r w:rsidRPr="00583E1A">
        <w:t>205</w:t>
      </w:r>
      <w:r w:rsidRPr="00583E1A">
        <w:tab/>
        <w:t>What if your documents are lost or destroyed?</w:t>
      </w:r>
    </w:p>
    <w:p w:rsidR="00887330" w:rsidRPr="00583E1A" w:rsidRDefault="00887330" w:rsidP="00887330">
      <w:pPr>
        <w:pStyle w:val="ActHead5"/>
      </w:pPr>
      <w:bookmarkStart w:id="486" w:name="_Toc338939560"/>
      <w:r w:rsidRPr="00583E1A">
        <w:rPr>
          <w:rStyle w:val="CharSectno"/>
        </w:rPr>
        <w:t>900</w:t>
      </w:r>
      <w:r w:rsidR="00583E1A">
        <w:rPr>
          <w:rStyle w:val="CharSectno"/>
        </w:rPr>
        <w:noBreakHyphen/>
      </w:r>
      <w:r w:rsidRPr="00583E1A">
        <w:rPr>
          <w:rStyle w:val="CharSectno"/>
        </w:rPr>
        <w:t>195</w:t>
      </w:r>
      <w:r w:rsidRPr="00583E1A">
        <w:t xml:space="preserve">  Commissioner’s discretion to review failure to substantiate</w:t>
      </w:r>
      <w:bookmarkEnd w:id="486"/>
    </w:p>
    <w:p w:rsidR="00887330" w:rsidRPr="00583E1A" w:rsidRDefault="00887330" w:rsidP="00887330">
      <w:pPr>
        <w:pStyle w:val="subsection"/>
      </w:pPr>
      <w:r w:rsidRPr="00583E1A">
        <w:tab/>
      </w:r>
      <w:r w:rsidRPr="00583E1A">
        <w:tab/>
        <w:t>Not doing something necessary to follow the rules in this Division does not affect your right to a deduction if the nature and quality of the evidence you have to substantiate your claim satisfies the Commissioner:</w:t>
      </w:r>
    </w:p>
    <w:p w:rsidR="00887330" w:rsidRPr="00583E1A" w:rsidRDefault="00887330" w:rsidP="00887330">
      <w:pPr>
        <w:pStyle w:val="paragraph"/>
        <w:keepNext/>
      </w:pPr>
      <w:r w:rsidRPr="00583E1A">
        <w:tab/>
        <w:t>(a)</w:t>
      </w:r>
      <w:r w:rsidRPr="00583E1A">
        <w:tab/>
        <w:t>that you incurred the expense; and</w:t>
      </w:r>
    </w:p>
    <w:p w:rsidR="00887330" w:rsidRPr="00583E1A" w:rsidRDefault="00887330" w:rsidP="00887330">
      <w:pPr>
        <w:pStyle w:val="paragraph"/>
      </w:pPr>
      <w:r w:rsidRPr="00583E1A">
        <w:tab/>
        <w:t>(b)</w:t>
      </w:r>
      <w:r w:rsidRPr="00583E1A">
        <w:tab/>
        <w:t>that you are entitled to deduct the amount you claim.</w:t>
      </w:r>
    </w:p>
    <w:p w:rsidR="00887330" w:rsidRPr="00583E1A" w:rsidRDefault="00887330" w:rsidP="00887330">
      <w:pPr>
        <w:pStyle w:val="ActHead5"/>
      </w:pPr>
      <w:bookmarkStart w:id="487" w:name="_Toc338939561"/>
      <w:r w:rsidRPr="00583E1A">
        <w:rPr>
          <w:rStyle w:val="CharSectno"/>
        </w:rPr>
        <w:t>900</w:t>
      </w:r>
      <w:r w:rsidR="00583E1A">
        <w:rPr>
          <w:rStyle w:val="CharSectno"/>
        </w:rPr>
        <w:noBreakHyphen/>
      </w:r>
      <w:r w:rsidRPr="00583E1A">
        <w:rPr>
          <w:rStyle w:val="CharSectno"/>
        </w:rPr>
        <w:t>200</w:t>
      </w:r>
      <w:r w:rsidRPr="00583E1A">
        <w:t xml:space="preserve">  Reasonable expectation that substantiation would not be required</w:t>
      </w:r>
      <w:bookmarkEnd w:id="487"/>
    </w:p>
    <w:p w:rsidR="00887330" w:rsidRPr="00583E1A" w:rsidRDefault="00887330" w:rsidP="00887330">
      <w:pPr>
        <w:pStyle w:val="subsection"/>
      </w:pPr>
      <w:r w:rsidRPr="00583E1A">
        <w:tab/>
      </w:r>
      <w:r w:rsidRPr="00583E1A">
        <w:tab/>
        <w:t>Not doing something necessary to follow the rules in this Division does not affect your right to deduct an amount if the only reason was that you had a reasonable expectation that you would not need to do it in order to be able to deduct that amount.</w:t>
      </w:r>
    </w:p>
    <w:p w:rsidR="00887330" w:rsidRPr="00583E1A" w:rsidRDefault="00887330" w:rsidP="00887330">
      <w:pPr>
        <w:pStyle w:val="ActHead5"/>
      </w:pPr>
      <w:bookmarkStart w:id="488" w:name="_Toc338939562"/>
      <w:r w:rsidRPr="00583E1A">
        <w:rPr>
          <w:rStyle w:val="CharSectno"/>
        </w:rPr>
        <w:lastRenderedPageBreak/>
        <w:t>900</w:t>
      </w:r>
      <w:r w:rsidR="00583E1A">
        <w:rPr>
          <w:rStyle w:val="CharSectno"/>
        </w:rPr>
        <w:noBreakHyphen/>
      </w:r>
      <w:r w:rsidRPr="00583E1A">
        <w:rPr>
          <w:rStyle w:val="CharSectno"/>
        </w:rPr>
        <w:t>205</w:t>
      </w:r>
      <w:r w:rsidRPr="00583E1A">
        <w:t xml:space="preserve">  What if your documents are lost or destroyed?</w:t>
      </w:r>
      <w:bookmarkEnd w:id="488"/>
    </w:p>
    <w:p w:rsidR="00887330" w:rsidRPr="00583E1A" w:rsidRDefault="00887330" w:rsidP="00887330">
      <w:pPr>
        <w:pStyle w:val="subsection"/>
      </w:pPr>
      <w:r w:rsidRPr="00583E1A">
        <w:tab/>
        <w:t>(1)</w:t>
      </w:r>
      <w:r w:rsidRPr="00583E1A">
        <w:rPr>
          <w:b/>
        </w:rPr>
        <w:tab/>
      </w:r>
      <w:r w:rsidRPr="00583E1A">
        <w:t xml:space="preserve">If you have a </w:t>
      </w:r>
      <w:r w:rsidRPr="00583E1A">
        <w:rPr>
          <w:i/>
        </w:rPr>
        <w:t>complete</w:t>
      </w:r>
      <w:r w:rsidRPr="00583E1A">
        <w:t xml:space="preserve"> </w:t>
      </w:r>
      <w:r w:rsidRPr="00583E1A">
        <w:rPr>
          <w:i/>
        </w:rPr>
        <w:t xml:space="preserve">copy </w:t>
      </w:r>
      <w:r w:rsidRPr="00583E1A">
        <w:t xml:space="preserve">of a document that is lost or destroyed during the </w:t>
      </w:r>
      <w:r w:rsidR="00583E1A" w:rsidRPr="00583E1A">
        <w:rPr>
          <w:position w:val="6"/>
          <w:sz w:val="16"/>
        </w:rPr>
        <w:t>*</w:t>
      </w:r>
      <w:r w:rsidRPr="00583E1A">
        <w:t xml:space="preserve">retention period, it is treated as the original from the time of the loss or destruction. </w:t>
      </w:r>
    </w:p>
    <w:p w:rsidR="00887330" w:rsidRPr="00583E1A" w:rsidRDefault="00887330" w:rsidP="00887330">
      <w:pPr>
        <w:pStyle w:val="subsection"/>
      </w:pPr>
      <w:r w:rsidRPr="00583E1A">
        <w:tab/>
        <w:t>(2)</w:t>
      </w:r>
      <w:r w:rsidRPr="00583E1A">
        <w:rPr>
          <w:b/>
        </w:rPr>
        <w:tab/>
      </w:r>
      <w:r w:rsidRPr="00583E1A">
        <w:t>If you don’t have such a copy, but the Commissioner is satisfied that you took reasonable precautions to prevent the loss or destruction, the rest of this section explains what to do.</w:t>
      </w:r>
    </w:p>
    <w:p w:rsidR="00887330" w:rsidRPr="00583E1A" w:rsidRDefault="00887330" w:rsidP="00887330">
      <w:pPr>
        <w:pStyle w:val="subsection"/>
      </w:pPr>
      <w:r w:rsidRPr="00583E1A">
        <w:tab/>
        <w:t>(3)</w:t>
      </w:r>
      <w:r w:rsidRPr="00583E1A">
        <w:rPr>
          <w:b/>
        </w:rPr>
        <w:tab/>
      </w:r>
      <w:r w:rsidRPr="00583E1A">
        <w:t xml:space="preserve">If the lost or destroyed document was a travel record, log book or other document that is </w:t>
      </w:r>
      <w:r w:rsidRPr="00583E1A">
        <w:rPr>
          <w:i/>
        </w:rPr>
        <w:t>not</w:t>
      </w:r>
      <w:r w:rsidRPr="00583E1A">
        <w:t xml:space="preserve"> written evidence of an expense under Subdivision</w:t>
      </w:r>
      <w:r w:rsidR="00583E1A">
        <w:t> </w:t>
      </w:r>
      <w:r w:rsidRPr="00583E1A">
        <w:t>900</w:t>
      </w:r>
      <w:r w:rsidR="00583E1A">
        <w:noBreakHyphen/>
      </w:r>
      <w:r w:rsidRPr="00583E1A">
        <w:t>E, you do not need to replace it; your deduction is not affected by your failing to retain or produce the document.</w:t>
      </w:r>
    </w:p>
    <w:p w:rsidR="00887330" w:rsidRPr="00583E1A" w:rsidRDefault="00887330" w:rsidP="00887330">
      <w:pPr>
        <w:pStyle w:val="subsection"/>
      </w:pPr>
      <w:r w:rsidRPr="00583E1A">
        <w:tab/>
        <w:t>(4)</w:t>
      </w:r>
      <w:r w:rsidRPr="00583E1A">
        <w:rPr>
          <w:b/>
        </w:rPr>
        <w:tab/>
      </w:r>
      <w:r w:rsidRPr="00583E1A">
        <w:t xml:space="preserve">If the lost or destroyed document </w:t>
      </w:r>
      <w:r w:rsidRPr="00583E1A">
        <w:rPr>
          <w:i/>
        </w:rPr>
        <w:t>was</w:t>
      </w:r>
      <w:r w:rsidRPr="00583E1A">
        <w:t xml:space="preserve"> written evidence, you must try to get a substitute document that meets all the original requirements (except the time limit for getting the original).</w:t>
      </w:r>
    </w:p>
    <w:p w:rsidR="00887330" w:rsidRPr="00583E1A" w:rsidRDefault="00887330" w:rsidP="00887330">
      <w:pPr>
        <w:pStyle w:val="subsection"/>
      </w:pPr>
      <w:r w:rsidRPr="00583E1A">
        <w:tab/>
        <w:t>(5)</w:t>
      </w:r>
      <w:r w:rsidRPr="00583E1A">
        <w:rPr>
          <w:b/>
        </w:rPr>
        <w:tab/>
      </w:r>
      <w:r w:rsidRPr="00583E1A">
        <w:t>If you succeed, your deduction is not affected by your failing to retain or produce the original document. The substitute document is treated as the original from the time of the loss or destruction.</w:t>
      </w:r>
    </w:p>
    <w:p w:rsidR="00887330" w:rsidRPr="00583E1A" w:rsidRDefault="00887330" w:rsidP="00887330">
      <w:pPr>
        <w:pStyle w:val="subsection"/>
      </w:pPr>
      <w:r w:rsidRPr="00583E1A">
        <w:tab/>
        <w:t>(6)</w:t>
      </w:r>
      <w:r w:rsidRPr="00583E1A">
        <w:rPr>
          <w:b/>
        </w:rPr>
        <w:tab/>
      </w:r>
      <w:r w:rsidRPr="00583E1A">
        <w:t>If it is not reasonably possible to succeed, your deduction is not affected by your failing to retain or produce the original document.</w:t>
      </w:r>
    </w:p>
    <w:p w:rsidR="00887330" w:rsidRPr="00583E1A" w:rsidRDefault="00887330" w:rsidP="00887330">
      <w:pPr>
        <w:pStyle w:val="subsection"/>
      </w:pPr>
      <w:r w:rsidRPr="00583E1A">
        <w:tab/>
        <w:t>(7)</w:t>
      </w:r>
      <w:r w:rsidRPr="00583E1A">
        <w:rPr>
          <w:b/>
        </w:rPr>
        <w:tab/>
      </w:r>
      <w:r w:rsidRPr="00583E1A">
        <w:t>If it is reasonably possible for you to get a substitute document, but you don’t get one, this section does not protect you from the consequences of failing to retain or produce the original.</w:t>
      </w:r>
    </w:p>
    <w:p w:rsidR="00887330" w:rsidRPr="00583E1A" w:rsidRDefault="00887330" w:rsidP="00887330">
      <w:pPr>
        <w:pStyle w:val="ActHead4"/>
      </w:pPr>
      <w:bookmarkStart w:id="489" w:name="_Toc338939563"/>
      <w:r w:rsidRPr="00583E1A">
        <w:rPr>
          <w:rStyle w:val="CharSubdNo"/>
        </w:rPr>
        <w:t>Subdivision</w:t>
      </w:r>
      <w:r w:rsidR="00583E1A">
        <w:rPr>
          <w:rStyle w:val="CharSubdNo"/>
        </w:rPr>
        <w:t> </w:t>
      </w:r>
      <w:r w:rsidRPr="00583E1A">
        <w:rPr>
          <w:rStyle w:val="CharSubdNo"/>
        </w:rPr>
        <w:t>900</w:t>
      </w:r>
      <w:r w:rsidR="00583E1A">
        <w:rPr>
          <w:rStyle w:val="CharSubdNo"/>
        </w:rPr>
        <w:noBreakHyphen/>
      </w:r>
      <w:r w:rsidRPr="00583E1A">
        <w:rPr>
          <w:rStyle w:val="CharSubdNo"/>
        </w:rPr>
        <w:t>I</w:t>
      </w:r>
      <w:r w:rsidRPr="00583E1A">
        <w:t>—</w:t>
      </w:r>
      <w:r w:rsidRPr="00583E1A">
        <w:rPr>
          <w:rStyle w:val="CharSubdText"/>
        </w:rPr>
        <w:t>Award transport payments</w:t>
      </w:r>
      <w:bookmarkEnd w:id="489"/>
    </w:p>
    <w:p w:rsidR="00887330" w:rsidRPr="00583E1A" w:rsidRDefault="00887330" w:rsidP="00887330">
      <w:pPr>
        <w:pStyle w:val="ActHead4"/>
      </w:pPr>
      <w:bookmarkStart w:id="490" w:name="_Toc338939564"/>
      <w:r w:rsidRPr="00583E1A">
        <w:t>Guide to Subdivision</w:t>
      </w:r>
      <w:r w:rsidR="00583E1A">
        <w:t> </w:t>
      </w:r>
      <w:r w:rsidRPr="00583E1A">
        <w:t>900</w:t>
      </w:r>
      <w:r w:rsidR="00583E1A">
        <w:noBreakHyphen/>
      </w:r>
      <w:r w:rsidRPr="00583E1A">
        <w:t>I</w:t>
      </w:r>
      <w:bookmarkEnd w:id="490"/>
    </w:p>
    <w:p w:rsidR="00887330" w:rsidRPr="00583E1A" w:rsidRDefault="00887330" w:rsidP="00887330">
      <w:pPr>
        <w:pStyle w:val="ActHead5"/>
      </w:pPr>
      <w:bookmarkStart w:id="491" w:name="_Toc338939565"/>
      <w:r w:rsidRPr="00583E1A">
        <w:rPr>
          <w:rStyle w:val="CharSectno"/>
        </w:rPr>
        <w:t>900</w:t>
      </w:r>
      <w:r w:rsidR="00583E1A">
        <w:rPr>
          <w:rStyle w:val="CharSectno"/>
        </w:rPr>
        <w:noBreakHyphen/>
      </w:r>
      <w:r w:rsidRPr="00583E1A">
        <w:rPr>
          <w:rStyle w:val="CharSectno"/>
        </w:rPr>
        <w:t>210</w:t>
      </w:r>
      <w:r w:rsidRPr="00583E1A">
        <w:t xml:space="preserve">  What this Subdivision is about</w:t>
      </w:r>
      <w:bookmarkEnd w:id="491"/>
    </w:p>
    <w:p w:rsidR="00887330" w:rsidRPr="00583E1A" w:rsidRDefault="00887330" w:rsidP="00887330">
      <w:pPr>
        <w:pStyle w:val="BoxText"/>
        <w:spacing w:before="120"/>
      </w:pPr>
      <w:r w:rsidRPr="00583E1A">
        <w:t>This Subdivision tells you when you can deduct an expense related to an award transport payment without getting written evidence or keeping travel records.</w:t>
      </w:r>
    </w:p>
    <w:p w:rsidR="00887330" w:rsidRPr="00583E1A" w:rsidRDefault="00887330" w:rsidP="00887330">
      <w:pPr>
        <w:pStyle w:val="TofSectsHeading"/>
        <w:keepNext/>
      </w:pPr>
      <w:r w:rsidRPr="00583E1A">
        <w:lastRenderedPageBreak/>
        <w:t>Table of sections</w:t>
      </w:r>
    </w:p>
    <w:p w:rsidR="00887330" w:rsidRPr="00583E1A" w:rsidRDefault="00887330" w:rsidP="00887330">
      <w:pPr>
        <w:pStyle w:val="TofSectsGroupHeading"/>
      </w:pPr>
      <w:r w:rsidRPr="00583E1A">
        <w:t>Operative provisions</w:t>
      </w:r>
    </w:p>
    <w:p w:rsidR="00887330" w:rsidRPr="00583E1A" w:rsidRDefault="00887330" w:rsidP="00887330">
      <w:pPr>
        <w:pStyle w:val="TofSectsSection"/>
      </w:pPr>
      <w:r w:rsidRPr="00583E1A">
        <w:t>900</w:t>
      </w:r>
      <w:r w:rsidR="00583E1A">
        <w:noBreakHyphen/>
      </w:r>
      <w:r w:rsidRPr="00583E1A">
        <w:t>215</w:t>
      </w:r>
      <w:r w:rsidRPr="00583E1A">
        <w:tab/>
        <w:t>Deducting an expense related to an award transport payment</w:t>
      </w:r>
    </w:p>
    <w:p w:rsidR="00887330" w:rsidRPr="00583E1A" w:rsidRDefault="00887330" w:rsidP="00887330">
      <w:pPr>
        <w:pStyle w:val="TofSectsSection"/>
      </w:pPr>
      <w:r w:rsidRPr="00583E1A">
        <w:t>900</w:t>
      </w:r>
      <w:r w:rsidR="00583E1A">
        <w:noBreakHyphen/>
      </w:r>
      <w:r w:rsidRPr="00583E1A">
        <w:t>220</w:t>
      </w:r>
      <w:r w:rsidRPr="00583E1A">
        <w:tab/>
        <w:t xml:space="preserve">Definition of </w:t>
      </w:r>
      <w:r w:rsidRPr="00583E1A">
        <w:rPr>
          <w:i/>
        </w:rPr>
        <w:t>award transport payment</w:t>
      </w:r>
    </w:p>
    <w:p w:rsidR="00887330" w:rsidRPr="00583E1A" w:rsidRDefault="00887330" w:rsidP="00887330">
      <w:pPr>
        <w:pStyle w:val="TofSectsSection"/>
      </w:pPr>
      <w:r w:rsidRPr="00583E1A">
        <w:t>900</w:t>
      </w:r>
      <w:r w:rsidR="00583E1A">
        <w:noBreakHyphen/>
      </w:r>
      <w:r w:rsidRPr="00583E1A">
        <w:t>225</w:t>
      </w:r>
      <w:r w:rsidRPr="00583E1A">
        <w:tab/>
        <w:t>Substituted industrial instruments</w:t>
      </w:r>
    </w:p>
    <w:p w:rsidR="00887330" w:rsidRPr="00583E1A" w:rsidRDefault="00887330" w:rsidP="00887330">
      <w:pPr>
        <w:pStyle w:val="TofSectsSection"/>
      </w:pPr>
      <w:r w:rsidRPr="00583E1A">
        <w:t>900</w:t>
      </w:r>
      <w:r w:rsidR="00583E1A">
        <w:noBreakHyphen/>
      </w:r>
      <w:r w:rsidRPr="00583E1A">
        <w:t>230</w:t>
      </w:r>
      <w:r w:rsidRPr="00583E1A">
        <w:tab/>
        <w:t>Changes to industrial instruments applied for before 29</w:t>
      </w:r>
      <w:r w:rsidR="00583E1A">
        <w:t> </w:t>
      </w:r>
      <w:r w:rsidRPr="00583E1A">
        <w:t>October 1986</w:t>
      </w:r>
    </w:p>
    <w:p w:rsidR="00887330" w:rsidRPr="00583E1A" w:rsidRDefault="00887330" w:rsidP="00887330">
      <w:pPr>
        <w:pStyle w:val="TofSectsSection"/>
      </w:pPr>
      <w:r w:rsidRPr="00583E1A">
        <w:t>900</w:t>
      </w:r>
      <w:r w:rsidR="00583E1A">
        <w:noBreakHyphen/>
      </w:r>
      <w:r w:rsidRPr="00583E1A">
        <w:t>235</w:t>
      </w:r>
      <w:r w:rsidRPr="00583E1A">
        <w:tab/>
        <w:t>Changes to industrial instruments solely referable to matters in the instrument</w:t>
      </w:r>
    </w:p>
    <w:p w:rsidR="00887330" w:rsidRPr="00583E1A" w:rsidRDefault="00887330" w:rsidP="00887330">
      <w:pPr>
        <w:pStyle w:val="TofSectsSection"/>
      </w:pPr>
      <w:r w:rsidRPr="00583E1A">
        <w:t>900</w:t>
      </w:r>
      <w:r w:rsidR="00583E1A">
        <w:noBreakHyphen/>
      </w:r>
      <w:r w:rsidRPr="00583E1A">
        <w:t>240</w:t>
      </w:r>
      <w:r w:rsidRPr="00583E1A">
        <w:tab/>
        <w:t>Deducting in anticipation of receiving award transport payment</w:t>
      </w:r>
    </w:p>
    <w:p w:rsidR="00887330" w:rsidRPr="00583E1A" w:rsidRDefault="00887330" w:rsidP="00887330">
      <w:pPr>
        <w:pStyle w:val="TofSectsSection"/>
      </w:pPr>
      <w:r w:rsidRPr="00583E1A">
        <w:t>900</w:t>
      </w:r>
      <w:r w:rsidR="00583E1A">
        <w:noBreakHyphen/>
      </w:r>
      <w:r w:rsidRPr="00583E1A">
        <w:t>245</w:t>
      </w:r>
      <w:r w:rsidRPr="00583E1A">
        <w:tab/>
        <w:t>Effect of exception in this Subdivision on exception for small total of expenses</w:t>
      </w:r>
    </w:p>
    <w:p w:rsidR="00887330" w:rsidRPr="00583E1A" w:rsidRDefault="00887330" w:rsidP="00887330">
      <w:pPr>
        <w:pStyle w:val="TofSectsSection"/>
      </w:pPr>
      <w:r w:rsidRPr="00583E1A">
        <w:t>900</w:t>
      </w:r>
      <w:r w:rsidR="00583E1A">
        <w:noBreakHyphen/>
      </w:r>
      <w:r w:rsidRPr="00583E1A">
        <w:t>250</w:t>
      </w:r>
      <w:r w:rsidRPr="00583E1A">
        <w:tab/>
        <w:t>Effect of exception in this Subdivision on methods of calculating car expense deductions</w:t>
      </w:r>
    </w:p>
    <w:p w:rsidR="00887330" w:rsidRPr="00583E1A" w:rsidRDefault="00887330" w:rsidP="00887330">
      <w:pPr>
        <w:pStyle w:val="ActHead4"/>
      </w:pPr>
      <w:bookmarkStart w:id="492" w:name="_Toc338939566"/>
      <w:r w:rsidRPr="00583E1A">
        <w:t>Operative provisions</w:t>
      </w:r>
      <w:bookmarkEnd w:id="492"/>
    </w:p>
    <w:p w:rsidR="00887330" w:rsidRPr="00583E1A" w:rsidRDefault="00887330" w:rsidP="00887330">
      <w:pPr>
        <w:pStyle w:val="ActHead5"/>
      </w:pPr>
      <w:bookmarkStart w:id="493" w:name="_Toc338939567"/>
      <w:r w:rsidRPr="00583E1A">
        <w:rPr>
          <w:rStyle w:val="CharSectno"/>
        </w:rPr>
        <w:t>900</w:t>
      </w:r>
      <w:r w:rsidR="00583E1A">
        <w:rPr>
          <w:rStyle w:val="CharSectno"/>
        </w:rPr>
        <w:noBreakHyphen/>
      </w:r>
      <w:r w:rsidRPr="00583E1A">
        <w:rPr>
          <w:rStyle w:val="CharSectno"/>
        </w:rPr>
        <w:t>215</w:t>
      </w:r>
      <w:r w:rsidRPr="00583E1A">
        <w:t xml:space="preserve">  Deducting an expense related to an award transport payment</w:t>
      </w:r>
      <w:bookmarkEnd w:id="493"/>
      <w:r w:rsidRPr="00583E1A">
        <w:t xml:space="preserve"> </w:t>
      </w:r>
    </w:p>
    <w:p w:rsidR="00887330" w:rsidRPr="00583E1A" w:rsidRDefault="00887330" w:rsidP="00887330">
      <w:pPr>
        <w:pStyle w:val="SubsectionHead"/>
      </w:pPr>
      <w:r w:rsidRPr="00583E1A">
        <w:t>The exception</w:t>
      </w:r>
    </w:p>
    <w:p w:rsidR="00887330" w:rsidRPr="00583E1A" w:rsidRDefault="00887330" w:rsidP="00887330">
      <w:pPr>
        <w:pStyle w:val="subsection"/>
      </w:pPr>
      <w:r w:rsidRPr="00583E1A">
        <w:tab/>
        <w:t>(1)</w:t>
      </w:r>
      <w:r w:rsidRPr="00583E1A">
        <w:tab/>
        <w:t xml:space="preserve">If: </w:t>
      </w:r>
    </w:p>
    <w:p w:rsidR="00887330" w:rsidRPr="00583E1A" w:rsidRDefault="00887330" w:rsidP="00887330">
      <w:pPr>
        <w:pStyle w:val="paragraph"/>
      </w:pPr>
      <w:r w:rsidRPr="00583E1A">
        <w:tab/>
        <w:t>(a)</w:t>
      </w:r>
      <w:r w:rsidRPr="00583E1A">
        <w:tab/>
        <w:t xml:space="preserve">you are paid one or more </w:t>
      </w:r>
      <w:r w:rsidR="00583E1A" w:rsidRPr="00583E1A">
        <w:rPr>
          <w:position w:val="6"/>
          <w:sz w:val="16"/>
        </w:rPr>
        <w:t>*</w:t>
      </w:r>
      <w:r w:rsidRPr="00583E1A">
        <w:t>award transport payments in the income year; and</w:t>
      </w:r>
    </w:p>
    <w:p w:rsidR="00887330" w:rsidRPr="00583E1A" w:rsidRDefault="00887330" w:rsidP="00887330">
      <w:pPr>
        <w:pStyle w:val="paragraph"/>
      </w:pPr>
      <w:r w:rsidRPr="00583E1A">
        <w:tab/>
        <w:t>(b)</w:t>
      </w:r>
      <w:r w:rsidRPr="00583E1A">
        <w:tab/>
        <w:t xml:space="preserve">the total of the </w:t>
      </w:r>
      <w:r w:rsidR="00583E1A" w:rsidRPr="00583E1A">
        <w:rPr>
          <w:position w:val="6"/>
          <w:sz w:val="16"/>
        </w:rPr>
        <w:t>*</w:t>
      </w:r>
      <w:r w:rsidRPr="00583E1A">
        <w:t>transport expenses, to the extent that they relate to the award transport payments, that you incur during any income year and claim as deductions for any income year is no more than the total amount of the payments; and</w:t>
      </w:r>
    </w:p>
    <w:p w:rsidR="00887330" w:rsidRPr="00583E1A" w:rsidRDefault="00887330" w:rsidP="00887330">
      <w:pPr>
        <w:pStyle w:val="paragraph"/>
        <w:keepNext/>
      </w:pPr>
      <w:r w:rsidRPr="00583E1A">
        <w:tab/>
        <w:t>(c)</w:t>
      </w:r>
      <w:r w:rsidRPr="00583E1A">
        <w:tab/>
        <w:t>those transport expenses qualify as a deduction under some provision of this Act outside this Division;</w:t>
      </w:r>
    </w:p>
    <w:p w:rsidR="00887330" w:rsidRPr="00583E1A" w:rsidRDefault="00887330" w:rsidP="00887330">
      <w:pPr>
        <w:pStyle w:val="subsection2"/>
        <w:keepNext/>
      </w:pPr>
      <w:r w:rsidRPr="00583E1A">
        <w:t>then you can deduct those transport expenses without getting written evidence or keeping travel records.</w:t>
      </w:r>
    </w:p>
    <w:p w:rsidR="00887330" w:rsidRPr="00583E1A" w:rsidRDefault="00887330" w:rsidP="00887330">
      <w:pPr>
        <w:pStyle w:val="TLPnoteright"/>
      </w:pPr>
      <w:r w:rsidRPr="00583E1A">
        <w:t>To find out whether an expense qualifies as a deduction under this Act, see Division</w:t>
      </w:r>
      <w:r w:rsidR="00583E1A">
        <w:t> </w:t>
      </w:r>
      <w:r w:rsidRPr="00583E1A">
        <w:t>8 (Deductions).</w:t>
      </w:r>
    </w:p>
    <w:p w:rsidR="00887330" w:rsidRPr="00583E1A" w:rsidRDefault="00887330" w:rsidP="00887330">
      <w:pPr>
        <w:pStyle w:val="SubsectionHead"/>
      </w:pPr>
      <w:r w:rsidRPr="00583E1A">
        <w:lastRenderedPageBreak/>
        <w:t>Increases to amounts payable under industrial instrument must be ignored</w:t>
      </w:r>
    </w:p>
    <w:p w:rsidR="00887330" w:rsidRPr="00583E1A" w:rsidRDefault="00887330" w:rsidP="00887330">
      <w:pPr>
        <w:pStyle w:val="subsection"/>
      </w:pPr>
      <w:r w:rsidRPr="00583E1A">
        <w:tab/>
        <w:t>(2)</w:t>
      </w:r>
      <w:r w:rsidRPr="00583E1A">
        <w:rPr>
          <w:b/>
        </w:rPr>
        <w:tab/>
      </w:r>
      <w:r w:rsidRPr="00583E1A">
        <w:t xml:space="preserve">For each </w:t>
      </w:r>
      <w:r w:rsidR="00583E1A" w:rsidRPr="00583E1A">
        <w:rPr>
          <w:position w:val="6"/>
          <w:sz w:val="16"/>
        </w:rPr>
        <w:t>*</w:t>
      </w:r>
      <w:r w:rsidRPr="00583E1A">
        <w:t xml:space="preserve">award transport payment, you can deduct no more than the amount you could have deducted if the </w:t>
      </w:r>
      <w:r w:rsidR="00583E1A" w:rsidRPr="00583E1A">
        <w:rPr>
          <w:position w:val="6"/>
          <w:sz w:val="16"/>
        </w:rPr>
        <w:t>*</w:t>
      </w:r>
      <w:r w:rsidRPr="00583E1A">
        <w:t>industrial instrument the payment is under were still in force as it was on 29</w:t>
      </w:r>
      <w:r w:rsidR="00583E1A">
        <w:t> </w:t>
      </w:r>
      <w:r w:rsidRPr="00583E1A">
        <w:t>October 1986. If your claim exceeds this amount, you cannot use the exception for the expenses.</w:t>
      </w:r>
    </w:p>
    <w:p w:rsidR="00887330" w:rsidRPr="00583E1A" w:rsidRDefault="00887330" w:rsidP="00887330">
      <w:pPr>
        <w:pStyle w:val="ActHead5"/>
      </w:pPr>
      <w:bookmarkStart w:id="494" w:name="_Toc338939568"/>
      <w:r w:rsidRPr="00583E1A">
        <w:rPr>
          <w:rStyle w:val="CharSectno"/>
        </w:rPr>
        <w:t>900</w:t>
      </w:r>
      <w:r w:rsidR="00583E1A">
        <w:rPr>
          <w:rStyle w:val="CharSectno"/>
        </w:rPr>
        <w:noBreakHyphen/>
      </w:r>
      <w:r w:rsidRPr="00583E1A">
        <w:rPr>
          <w:rStyle w:val="CharSectno"/>
        </w:rPr>
        <w:t>220</w:t>
      </w:r>
      <w:r w:rsidRPr="00583E1A">
        <w:t xml:space="preserve">  Definition of </w:t>
      </w:r>
      <w:r w:rsidRPr="00583E1A">
        <w:rPr>
          <w:i/>
        </w:rPr>
        <w:t>award transport payment</w:t>
      </w:r>
      <w:bookmarkEnd w:id="494"/>
    </w:p>
    <w:p w:rsidR="00887330" w:rsidRPr="00583E1A" w:rsidRDefault="00887330" w:rsidP="00887330">
      <w:pPr>
        <w:pStyle w:val="SubsectionHead"/>
      </w:pPr>
      <w:r w:rsidRPr="00583E1A">
        <w:t>Award transport payment</w:t>
      </w:r>
    </w:p>
    <w:p w:rsidR="00887330" w:rsidRPr="00583E1A" w:rsidRDefault="00887330" w:rsidP="00887330">
      <w:pPr>
        <w:pStyle w:val="subsection"/>
      </w:pPr>
      <w:r w:rsidRPr="00583E1A">
        <w:tab/>
        <w:t>(1)</w:t>
      </w:r>
      <w:r w:rsidRPr="00583E1A">
        <w:tab/>
        <w:t xml:space="preserve">An </w:t>
      </w:r>
      <w:r w:rsidRPr="00583E1A">
        <w:rPr>
          <w:b/>
          <w:i/>
        </w:rPr>
        <w:t>award transport payment</w:t>
      </w:r>
      <w:r w:rsidRPr="00583E1A">
        <w:rPr>
          <w:b/>
        </w:rPr>
        <w:t xml:space="preserve"> </w:t>
      </w:r>
      <w:r w:rsidRPr="00583E1A">
        <w:t xml:space="preserve">is a </w:t>
      </w:r>
      <w:r w:rsidR="00583E1A" w:rsidRPr="00583E1A">
        <w:rPr>
          <w:position w:val="6"/>
          <w:sz w:val="16"/>
        </w:rPr>
        <w:t>*</w:t>
      </w:r>
      <w:r w:rsidRPr="00583E1A">
        <w:t xml:space="preserve">transport payment covering particular travel that was paid under an </w:t>
      </w:r>
      <w:r w:rsidR="00583E1A" w:rsidRPr="00583E1A">
        <w:rPr>
          <w:position w:val="6"/>
          <w:sz w:val="16"/>
        </w:rPr>
        <w:t>*</w:t>
      </w:r>
      <w:r w:rsidRPr="00583E1A">
        <w:t>industrial instrument that was in force on 29</w:t>
      </w:r>
      <w:r w:rsidR="00583E1A">
        <w:t> </w:t>
      </w:r>
      <w:r w:rsidRPr="00583E1A">
        <w:t>October 1986.</w:t>
      </w:r>
    </w:p>
    <w:p w:rsidR="00887330" w:rsidRPr="00583E1A" w:rsidRDefault="00887330" w:rsidP="00887330">
      <w:pPr>
        <w:pStyle w:val="SubsectionHead"/>
      </w:pPr>
      <w:r w:rsidRPr="00583E1A">
        <w:t>Transport payment</w:t>
      </w:r>
    </w:p>
    <w:p w:rsidR="00887330" w:rsidRPr="00583E1A" w:rsidRDefault="00887330" w:rsidP="00887330">
      <w:pPr>
        <w:pStyle w:val="subsection"/>
      </w:pPr>
      <w:r w:rsidRPr="00583E1A">
        <w:tab/>
        <w:t>(2)</w:t>
      </w:r>
      <w:r w:rsidRPr="00583E1A">
        <w:tab/>
        <w:t>A</w:t>
      </w:r>
      <w:r w:rsidRPr="00583E1A">
        <w:rPr>
          <w:b/>
        </w:rPr>
        <w:t xml:space="preserve"> </w:t>
      </w:r>
      <w:r w:rsidRPr="00583E1A">
        <w:rPr>
          <w:b/>
          <w:i/>
        </w:rPr>
        <w:t>transport payment</w:t>
      </w:r>
      <w:r w:rsidRPr="00583E1A">
        <w:t xml:space="preserve"> is an amount your employer pays you, or is to pay you, for travel by you in the course of working for the employer that is:</w:t>
      </w:r>
    </w:p>
    <w:p w:rsidR="00887330" w:rsidRPr="00583E1A" w:rsidRDefault="00887330" w:rsidP="00887330">
      <w:pPr>
        <w:pStyle w:val="paragraph"/>
      </w:pPr>
      <w:r w:rsidRPr="00583E1A">
        <w:tab/>
        <w:t>(a)</w:t>
      </w:r>
      <w:r w:rsidRPr="00583E1A">
        <w:tab/>
        <w:t xml:space="preserve">an allowance (or part of an allowance) for the sole or main purpose of covering your </w:t>
      </w:r>
      <w:r w:rsidR="00583E1A" w:rsidRPr="00583E1A">
        <w:rPr>
          <w:position w:val="6"/>
          <w:sz w:val="16"/>
        </w:rPr>
        <w:t>*</w:t>
      </w:r>
      <w:r w:rsidRPr="00583E1A">
        <w:t>transport expenses; or</w:t>
      </w:r>
    </w:p>
    <w:p w:rsidR="00887330" w:rsidRPr="00583E1A" w:rsidRDefault="00887330" w:rsidP="00887330">
      <w:pPr>
        <w:pStyle w:val="paragraph"/>
        <w:keepNext/>
      </w:pPr>
      <w:r w:rsidRPr="00583E1A">
        <w:tab/>
        <w:t>(b)</w:t>
      </w:r>
      <w:r w:rsidRPr="00583E1A">
        <w:tab/>
        <w:t xml:space="preserve">a reimbursement to which </w:t>
      </w:r>
      <w:r w:rsidR="00601C30" w:rsidRPr="00583E1A">
        <w:t>section</w:t>
      </w:r>
      <w:r w:rsidR="00583E1A">
        <w:t> </w:t>
      </w:r>
      <w:r w:rsidR="00601C30" w:rsidRPr="00583E1A">
        <w:t>15</w:t>
      </w:r>
      <w:r w:rsidR="00583E1A">
        <w:noBreakHyphen/>
      </w:r>
      <w:r w:rsidR="00601C30" w:rsidRPr="00583E1A">
        <w:t>70</w:t>
      </w:r>
      <w:r w:rsidRPr="00583E1A">
        <w:t xml:space="preserve"> applies that is for the whole or a part of a </w:t>
      </w:r>
      <w:r w:rsidR="00583E1A" w:rsidRPr="00583E1A">
        <w:rPr>
          <w:position w:val="6"/>
          <w:sz w:val="16"/>
        </w:rPr>
        <w:t>*</w:t>
      </w:r>
      <w:r w:rsidRPr="00583E1A">
        <w:t xml:space="preserve">car expense. However, an amount is not a </w:t>
      </w:r>
      <w:r w:rsidRPr="00583E1A">
        <w:rPr>
          <w:b/>
          <w:i/>
        </w:rPr>
        <w:t>transport payment</w:t>
      </w:r>
      <w:r w:rsidRPr="00583E1A">
        <w:t xml:space="preserve"> if it is, or is part of, a </w:t>
      </w:r>
      <w:r w:rsidR="00583E1A" w:rsidRPr="00583E1A">
        <w:rPr>
          <w:position w:val="6"/>
          <w:sz w:val="16"/>
        </w:rPr>
        <w:t>*</w:t>
      </w:r>
      <w:r w:rsidRPr="00583E1A">
        <w:t>travel allowance.</w:t>
      </w:r>
    </w:p>
    <w:p w:rsidR="00887330" w:rsidRPr="00583E1A" w:rsidRDefault="00887330" w:rsidP="00887330">
      <w:pPr>
        <w:pStyle w:val="notetext"/>
      </w:pPr>
      <w:r w:rsidRPr="00583E1A">
        <w:t>Note:</w:t>
      </w:r>
      <w:r w:rsidRPr="00583E1A">
        <w:tab/>
        <w:t xml:space="preserve">This Division also applies to entities that are </w:t>
      </w:r>
      <w:r w:rsidRPr="00583E1A">
        <w:rPr>
          <w:i/>
        </w:rPr>
        <w:t>not</w:t>
      </w:r>
      <w:r w:rsidRPr="00583E1A">
        <w:t xml:space="preserve"> employers, but pay (or are liable to pay) withholding payments covered by subsection 900</w:t>
      </w:r>
      <w:r w:rsidR="00583E1A">
        <w:noBreakHyphen/>
      </w:r>
      <w:r w:rsidRPr="00583E1A">
        <w:t>12(3).</w:t>
      </w:r>
    </w:p>
    <w:p w:rsidR="00887330" w:rsidRPr="00583E1A" w:rsidRDefault="00887330" w:rsidP="00887330">
      <w:pPr>
        <w:pStyle w:val="SubsectionHead"/>
      </w:pPr>
      <w:r w:rsidRPr="00583E1A">
        <w:t>Transport expense</w:t>
      </w:r>
    </w:p>
    <w:p w:rsidR="00887330" w:rsidRPr="00583E1A" w:rsidRDefault="00887330" w:rsidP="00887330">
      <w:pPr>
        <w:pStyle w:val="subsection"/>
      </w:pPr>
      <w:r w:rsidRPr="00583E1A">
        <w:tab/>
        <w:t>(3)</w:t>
      </w:r>
      <w:r w:rsidRPr="00583E1A">
        <w:tab/>
        <w:t xml:space="preserve">A </w:t>
      </w:r>
      <w:r w:rsidRPr="00583E1A">
        <w:rPr>
          <w:b/>
          <w:i/>
        </w:rPr>
        <w:t>transport expense</w:t>
      </w:r>
      <w:r w:rsidRPr="00583E1A">
        <w:rPr>
          <w:b/>
        </w:rPr>
        <w:t xml:space="preserve"> </w:t>
      </w:r>
      <w:r w:rsidRPr="00583E1A">
        <w:t xml:space="preserve">is a loss or outgoing to do with transport, including the decline in value of a </w:t>
      </w:r>
      <w:r w:rsidR="00583E1A" w:rsidRPr="00583E1A">
        <w:rPr>
          <w:position w:val="6"/>
          <w:sz w:val="16"/>
        </w:rPr>
        <w:t>*</w:t>
      </w:r>
      <w:r w:rsidRPr="00583E1A">
        <w:t>depreciating asset used in connection with transport, but not including a loss or outgoing for accommodation or for food or drink, or expenditure incidental to transport.</w:t>
      </w:r>
    </w:p>
    <w:p w:rsidR="00887330" w:rsidRPr="00583E1A" w:rsidRDefault="00887330" w:rsidP="00887330">
      <w:pPr>
        <w:pStyle w:val="ActHead5"/>
      </w:pPr>
      <w:bookmarkStart w:id="495" w:name="_Toc338939569"/>
      <w:r w:rsidRPr="00583E1A">
        <w:rPr>
          <w:rStyle w:val="CharSectno"/>
        </w:rPr>
        <w:lastRenderedPageBreak/>
        <w:t>900</w:t>
      </w:r>
      <w:r w:rsidR="00583E1A">
        <w:rPr>
          <w:rStyle w:val="CharSectno"/>
        </w:rPr>
        <w:noBreakHyphen/>
      </w:r>
      <w:r w:rsidRPr="00583E1A">
        <w:rPr>
          <w:rStyle w:val="CharSectno"/>
        </w:rPr>
        <w:t>225</w:t>
      </w:r>
      <w:r w:rsidRPr="00583E1A">
        <w:t xml:space="preserve">  Substituted industrial instruments</w:t>
      </w:r>
      <w:bookmarkEnd w:id="495"/>
    </w:p>
    <w:p w:rsidR="00887330" w:rsidRPr="00583E1A" w:rsidRDefault="00887330" w:rsidP="00887330">
      <w:pPr>
        <w:pStyle w:val="subsection"/>
      </w:pPr>
      <w:r w:rsidRPr="00583E1A">
        <w:tab/>
      </w:r>
      <w:r w:rsidRPr="00583E1A">
        <w:tab/>
        <w:t xml:space="preserve">An </w:t>
      </w:r>
      <w:r w:rsidR="00583E1A" w:rsidRPr="00583E1A">
        <w:rPr>
          <w:position w:val="6"/>
          <w:sz w:val="16"/>
        </w:rPr>
        <w:t>*</w:t>
      </w:r>
      <w:r w:rsidRPr="00583E1A">
        <w:t>industrial instrument that comes into force in substitution for another industrial instrument is taken to be a continuation of the original instrument.</w:t>
      </w:r>
    </w:p>
    <w:p w:rsidR="00887330" w:rsidRPr="00583E1A" w:rsidRDefault="00887330" w:rsidP="00887330">
      <w:pPr>
        <w:pStyle w:val="ActHead5"/>
      </w:pPr>
      <w:bookmarkStart w:id="496" w:name="_Toc338939570"/>
      <w:r w:rsidRPr="00583E1A">
        <w:rPr>
          <w:rStyle w:val="CharSectno"/>
        </w:rPr>
        <w:t>900</w:t>
      </w:r>
      <w:r w:rsidR="00583E1A">
        <w:rPr>
          <w:rStyle w:val="CharSectno"/>
        </w:rPr>
        <w:noBreakHyphen/>
      </w:r>
      <w:r w:rsidRPr="00583E1A">
        <w:rPr>
          <w:rStyle w:val="CharSectno"/>
        </w:rPr>
        <w:t>230</w:t>
      </w:r>
      <w:r w:rsidRPr="00583E1A">
        <w:t xml:space="preserve">  Changes to industrial instruments applied for before 29</w:t>
      </w:r>
      <w:r w:rsidR="00583E1A">
        <w:t> </w:t>
      </w:r>
      <w:r w:rsidRPr="00583E1A">
        <w:t>October 1986</w:t>
      </w:r>
      <w:bookmarkEnd w:id="496"/>
    </w:p>
    <w:p w:rsidR="00887330" w:rsidRPr="00583E1A" w:rsidRDefault="00887330" w:rsidP="00887330">
      <w:pPr>
        <w:pStyle w:val="subsection"/>
      </w:pPr>
      <w:r w:rsidRPr="00583E1A">
        <w:tab/>
        <w:t>(1)</w:t>
      </w:r>
      <w:r w:rsidRPr="00583E1A">
        <w:rPr>
          <w:b/>
        </w:rPr>
        <w:tab/>
      </w:r>
      <w:r w:rsidRPr="00583E1A">
        <w:t xml:space="preserve">Changes made to an </w:t>
      </w:r>
      <w:r w:rsidR="00583E1A" w:rsidRPr="00583E1A">
        <w:rPr>
          <w:position w:val="6"/>
          <w:sz w:val="16"/>
        </w:rPr>
        <w:t>*</w:t>
      </w:r>
      <w:r w:rsidRPr="00583E1A">
        <w:t>industrial instrument after 29</w:t>
      </w:r>
      <w:r w:rsidR="00583E1A">
        <w:t> </w:t>
      </w:r>
      <w:r w:rsidRPr="00583E1A">
        <w:t>October 1986 are taken to have been made on 29</w:t>
      </w:r>
      <w:r w:rsidR="00583E1A">
        <w:t> </w:t>
      </w:r>
      <w:r w:rsidRPr="00583E1A">
        <w:t>October 1986 if they were made in response to an application made on or before 29</w:t>
      </w:r>
      <w:r w:rsidR="00583E1A">
        <w:t> </w:t>
      </w:r>
      <w:r w:rsidRPr="00583E1A">
        <w:t xml:space="preserve">October 1986 that sought increases in </w:t>
      </w:r>
      <w:r w:rsidR="00583E1A" w:rsidRPr="00583E1A">
        <w:rPr>
          <w:position w:val="6"/>
          <w:sz w:val="16"/>
        </w:rPr>
        <w:t>*</w:t>
      </w:r>
      <w:r w:rsidRPr="00583E1A">
        <w:t>transport payments.</w:t>
      </w:r>
    </w:p>
    <w:p w:rsidR="00887330" w:rsidRPr="00583E1A" w:rsidRDefault="00887330" w:rsidP="00887330">
      <w:pPr>
        <w:pStyle w:val="subsection"/>
        <w:rPr>
          <w:b/>
        </w:rPr>
      </w:pPr>
      <w:r w:rsidRPr="00583E1A">
        <w:tab/>
        <w:t>(2)</w:t>
      </w:r>
      <w:r w:rsidRPr="00583E1A">
        <w:tab/>
        <w:t>If the application was amended after 29</w:t>
      </w:r>
      <w:r w:rsidR="00583E1A">
        <w:t> </w:t>
      </w:r>
      <w:r w:rsidRPr="00583E1A">
        <w:t xml:space="preserve">October 1986, the alterations made to the </w:t>
      </w:r>
      <w:r w:rsidR="00583E1A" w:rsidRPr="00583E1A">
        <w:rPr>
          <w:position w:val="6"/>
          <w:sz w:val="16"/>
        </w:rPr>
        <w:t>*</w:t>
      </w:r>
      <w:r w:rsidRPr="00583E1A">
        <w:t>industrial instrument count as being made on 29</w:t>
      </w:r>
      <w:r w:rsidR="00583E1A">
        <w:t> </w:t>
      </w:r>
      <w:r w:rsidRPr="00583E1A">
        <w:t xml:space="preserve">October 1986 only if they did not result in increases in </w:t>
      </w:r>
      <w:r w:rsidR="00583E1A" w:rsidRPr="00583E1A">
        <w:rPr>
          <w:position w:val="6"/>
          <w:sz w:val="16"/>
        </w:rPr>
        <w:t>*</w:t>
      </w:r>
      <w:r w:rsidRPr="00583E1A">
        <w:t>transport payments that were greater than increases in those payments sought by the application as at 29</w:t>
      </w:r>
      <w:r w:rsidR="00583E1A">
        <w:t> </w:t>
      </w:r>
      <w:r w:rsidRPr="00583E1A">
        <w:t>October 1986.</w:t>
      </w:r>
    </w:p>
    <w:p w:rsidR="00887330" w:rsidRPr="00583E1A" w:rsidRDefault="00887330" w:rsidP="00887330">
      <w:pPr>
        <w:pStyle w:val="ActHead5"/>
      </w:pPr>
      <w:bookmarkStart w:id="497" w:name="_Toc338939571"/>
      <w:r w:rsidRPr="00583E1A">
        <w:rPr>
          <w:rStyle w:val="CharSectno"/>
        </w:rPr>
        <w:t>900</w:t>
      </w:r>
      <w:r w:rsidR="00583E1A">
        <w:rPr>
          <w:rStyle w:val="CharSectno"/>
        </w:rPr>
        <w:noBreakHyphen/>
      </w:r>
      <w:r w:rsidRPr="00583E1A">
        <w:rPr>
          <w:rStyle w:val="CharSectno"/>
        </w:rPr>
        <w:t>235</w:t>
      </w:r>
      <w:r w:rsidRPr="00583E1A">
        <w:t xml:space="preserve">  Changes to industrial instruments solely referable to matters in the instrument</w:t>
      </w:r>
      <w:bookmarkEnd w:id="497"/>
    </w:p>
    <w:p w:rsidR="00887330" w:rsidRPr="00583E1A" w:rsidRDefault="00887330" w:rsidP="00887330">
      <w:pPr>
        <w:pStyle w:val="subsection"/>
      </w:pPr>
      <w:r w:rsidRPr="00583E1A">
        <w:tab/>
      </w:r>
      <w:r w:rsidRPr="00583E1A">
        <w:tab/>
        <w:t xml:space="preserve">Changes made to an </w:t>
      </w:r>
      <w:r w:rsidR="00583E1A" w:rsidRPr="00583E1A">
        <w:rPr>
          <w:position w:val="6"/>
          <w:sz w:val="16"/>
        </w:rPr>
        <w:t>*</w:t>
      </w:r>
      <w:r w:rsidRPr="00583E1A">
        <w:t>industrial instrument after 29</w:t>
      </w:r>
      <w:r w:rsidR="00583E1A">
        <w:t> </w:t>
      </w:r>
      <w:r w:rsidRPr="00583E1A">
        <w:t>October 1986 are taken to have been made on 29</w:t>
      </w:r>
      <w:r w:rsidR="00583E1A">
        <w:t> </w:t>
      </w:r>
      <w:r w:rsidRPr="00583E1A">
        <w:t>October 1986 if the whole amount of the change is determined solely by reference to matters that were contained in the industrial instrument on 29</w:t>
      </w:r>
      <w:r w:rsidR="00583E1A">
        <w:t> </w:t>
      </w:r>
      <w:r w:rsidRPr="00583E1A">
        <w:t>October 1986.</w:t>
      </w:r>
    </w:p>
    <w:p w:rsidR="00887330" w:rsidRPr="00583E1A" w:rsidRDefault="00887330" w:rsidP="00887330">
      <w:pPr>
        <w:pStyle w:val="ActHead5"/>
      </w:pPr>
      <w:bookmarkStart w:id="498" w:name="_Toc338939572"/>
      <w:r w:rsidRPr="00583E1A">
        <w:rPr>
          <w:rStyle w:val="CharSectno"/>
        </w:rPr>
        <w:t>900</w:t>
      </w:r>
      <w:r w:rsidR="00583E1A">
        <w:rPr>
          <w:rStyle w:val="CharSectno"/>
        </w:rPr>
        <w:noBreakHyphen/>
      </w:r>
      <w:r w:rsidRPr="00583E1A">
        <w:rPr>
          <w:rStyle w:val="CharSectno"/>
        </w:rPr>
        <w:t>240</w:t>
      </w:r>
      <w:r w:rsidRPr="00583E1A">
        <w:t xml:space="preserve">  Deducting in anticipation of receiving award transport payment</w:t>
      </w:r>
      <w:bookmarkEnd w:id="498"/>
    </w:p>
    <w:p w:rsidR="00887330" w:rsidRPr="00583E1A" w:rsidRDefault="00887330" w:rsidP="00887330">
      <w:pPr>
        <w:pStyle w:val="subsection"/>
      </w:pPr>
      <w:r w:rsidRPr="00583E1A">
        <w:tab/>
      </w:r>
      <w:r w:rsidRPr="00583E1A">
        <w:rPr>
          <w:b/>
        </w:rPr>
        <w:tab/>
      </w:r>
      <w:r w:rsidRPr="00583E1A">
        <w:t>If:</w:t>
      </w:r>
    </w:p>
    <w:p w:rsidR="00887330" w:rsidRPr="00583E1A" w:rsidRDefault="00887330" w:rsidP="00887330">
      <w:pPr>
        <w:pStyle w:val="paragraph"/>
      </w:pPr>
      <w:r w:rsidRPr="00583E1A">
        <w:tab/>
        <w:t>(a)</w:t>
      </w:r>
      <w:r w:rsidRPr="00583E1A">
        <w:tab/>
        <w:t xml:space="preserve">you have incurred a </w:t>
      </w:r>
      <w:r w:rsidR="00583E1A" w:rsidRPr="00583E1A">
        <w:rPr>
          <w:position w:val="6"/>
          <w:sz w:val="16"/>
        </w:rPr>
        <w:t>*</w:t>
      </w:r>
      <w:r w:rsidRPr="00583E1A">
        <w:t>transport expense during an income year; and</w:t>
      </w:r>
    </w:p>
    <w:p w:rsidR="00887330" w:rsidRPr="00583E1A" w:rsidRDefault="00887330" w:rsidP="00887330">
      <w:pPr>
        <w:pStyle w:val="paragraph"/>
        <w:keepNext/>
      </w:pPr>
      <w:r w:rsidRPr="00583E1A">
        <w:tab/>
        <w:t>(b)</w:t>
      </w:r>
      <w:r w:rsidRPr="00583E1A">
        <w:tab/>
        <w:t xml:space="preserve">when you lodge your </w:t>
      </w:r>
      <w:r w:rsidR="00583E1A" w:rsidRPr="00583E1A">
        <w:rPr>
          <w:position w:val="6"/>
          <w:sz w:val="16"/>
        </w:rPr>
        <w:t>*</w:t>
      </w:r>
      <w:r w:rsidRPr="00583E1A">
        <w:t xml:space="preserve">income tax return for the income year, you reasonably believe that you will later receive an </w:t>
      </w:r>
      <w:r w:rsidR="00583E1A" w:rsidRPr="00583E1A">
        <w:rPr>
          <w:position w:val="6"/>
          <w:sz w:val="16"/>
        </w:rPr>
        <w:t>*</w:t>
      </w:r>
      <w:r w:rsidRPr="00583E1A">
        <w:t>award transport payment to cover the expense;</w:t>
      </w:r>
    </w:p>
    <w:p w:rsidR="00887330" w:rsidRPr="00583E1A" w:rsidRDefault="00887330" w:rsidP="00887330">
      <w:pPr>
        <w:pStyle w:val="subsection2"/>
      </w:pPr>
      <w:r w:rsidRPr="00583E1A">
        <w:t>you may deduct the expense without getting written evidence or keeping travel records.</w:t>
      </w:r>
    </w:p>
    <w:p w:rsidR="00887330" w:rsidRPr="00583E1A" w:rsidRDefault="00887330" w:rsidP="00887330">
      <w:pPr>
        <w:pStyle w:val="ActHead5"/>
      </w:pPr>
      <w:bookmarkStart w:id="499" w:name="_Toc338939573"/>
      <w:r w:rsidRPr="00583E1A">
        <w:rPr>
          <w:rStyle w:val="CharSectno"/>
        </w:rPr>
        <w:lastRenderedPageBreak/>
        <w:t>900</w:t>
      </w:r>
      <w:r w:rsidR="00583E1A">
        <w:rPr>
          <w:rStyle w:val="CharSectno"/>
        </w:rPr>
        <w:noBreakHyphen/>
      </w:r>
      <w:r w:rsidRPr="00583E1A">
        <w:rPr>
          <w:rStyle w:val="CharSectno"/>
        </w:rPr>
        <w:t>245</w:t>
      </w:r>
      <w:r w:rsidRPr="00583E1A">
        <w:t xml:space="preserve">  Effect of exception in this Subdivision on exception for small total of expenses</w:t>
      </w:r>
      <w:bookmarkEnd w:id="499"/>
    </w:p>
    <w:p w:rsidR="00887330" w:rsidRPr="00583E1A" w:rsidRDefault="00887330" w:rsidP="00887330">
      <w:pPr>
        <w:pStyle w:val="subsection"/>
      </w:pPr>
      <w:r w:rsidRPr="00583E1A">
        <w:tab/>
      </w:r>
      <w:r w:rsidRPr="00583E1A">
        <w:tab/>
        <w:t xml:space="preserve">A </w:t>
      </w:r>
      <w:r w:rsidR="00583E1A" w:rsidRPr="00583E1A">
        <w:rPr>
          <w:position w:val="6"/>
          <w:sz w:val="16"/>
        </w:rPr>
        <w:t>*</w:t>
      </w:r>
      <w:r w:rsidRPr="00583E1A">
        <w:t>transport expense that section</w:t>
      </w:r>
      <w:r w:rsidR="00583E1A">
        <w:t> </w:t>
      </w:r>
      <w:r w:rsidRPr="00583E1A">
        <w:t>900</w:t>
      </w:r>
      <w:r w:rsidR="00583E1A">
        <w:noBreakHyphen/>
      </w:r>
      <w:r w:rsidRPr="00583E1A">
        <w:t>215 lets you deduct without getting written evidence or keeping travel records does not count towards the $300 limit in section</w:t>
      </w:r>
      <w:r w:rsidR="00583E1A">
        <w:t> </w:t>
      </w:r>
      <w:r w:rsidRPr="00583E1A">
        <w:t>900</w:t>
      </w:r>
      <w:r w:rsidR="00583E1A">
        <w:noBreakHyphen/>
      </w:r>
      <w:r w:rsidRPr="00583E1A">
        <w:t>35.</w:t>
      </w:r>
    </w:p>
    <w:p w:rsidR="00887330" w:rsidRPr="00583E1A" w:rsidRDefault="00887330" w:rsidP="00887330">
      <w:pPr>
        <w:pStyle w:val="notetext"/>
      </w:pPr>
      <w:r w:rsidRPr="00583E1A">
        <w:t>Note:</w:t>
      </w:r>
      <w:r w:rsidRPr="00583E1A">
        <w:tab/>
        <w:t>Section</w:t>
      </w:r>
      <w:r w:rsidR="00583E1A">
        <w:t> </w:t>
      </w:r>
      <w:r w:rsidRPr="00583E1A">
        <w:t>900</w:t>
      </w:r>
      <w:r w:rsidR="00583E1A">
        <w:noBreakHyphen/>
      </w:r>
      <w:r w:rsidRPr="00583E1A">
        <w:t>35 tells you that if the total of all the work expenses that you want to deduct is $300 or less, you can deduct them without getting written evidence or keeping travel records.</w:t>
      </w:r>
    </w:p>
    <w:p w:rsidR="00887330" w:rsidRPr="00583E1A" w:rsidRDefault="00887330" w:rsidP="00887330">
      <w:pPr>
        <w:pStyle w:val="ActHead5"/>
      </w:pPr>
      <w:bookmarkStart w:id="500" w:name="_Toc338939574"/>
      <w:r w:rsidRPr="00583E1A">
        <w:rPr>
          <w:rStyle w:val="CharSectno"/>
        </w:rPr>
        <w:t>900</w:t>
      </w:r>
      <w:r w:rsidR="00583E1A">
        <w:rPr>
          <w:rStyle w:val="CharSectno"/>
        </w:rPr>
        <w:noBreakHyphen/>
      </w:r>
      <w:r w:rsidRPr="00583E1A">
        <w:rPr>
          <w:rStyle w:val="CharSectno"/>
        </w:rPr>
        <w:t>250</w:t>
      </w:r>
      <w:r w:rsidRPr="00583E1A">
        <w:t xml:space="preserve">  Effect of exception in this Subdivision on methods of calculating car expense deductions</w:t>
      </w:r>
      <w:bookmarkEnd w:id="500"/>
    </w:p>
    <w:p w:rsidR="00887330" w:rsidRPr="00583E1A" w:rsidRDefault="00887330" w:rsidP="00887330">
      <w:pPr>
        <w:pStyle w:val="subsection"/>
      </w:pPr>
      <w:r w:rsidRPr="00583E1A">
        <w:tab/>
        <w:t>(1)</w:t>
      </w:r>
      <w:r w:rsidRPr="00583E1A">
        <w:rPr>
          <w:b/>
        </w:rPr>
        <w:tab/>
      </w:r>
      <w:r w:rsidRPr="00583E1A">
        <w:t>If the exception in this Subdivision lets you deduct, without getting written evidence or keeping travel records, losses or outgoings (</w:t>
      </w:r>
      <w:r w:rsidRPr="00583E1A">
        <w:rPr>
          <w:b/>
          <w:i/>
        </w:rPr>
        <w:t>exempt losses or outgoings</w:t>
      </w:r>
      <w:r w:rsidRPr="00583E1A">
        <w:t xml:space="preserve">) that are or include </w:t>
      </w:r>
      <w:r w:rsidR="00583E1A" w:rsidRPr="00583E1A">
        <w:rPr>
          <w:position w:val="6"/>
          <w:sz w:val="16"/>
        </w:rPr>
        <w:t>*</w:t>
      </w:r>
      <w:r w:rsidRPr="00583E1A">
        <w:t xml:space="preserve">car expenses, or parts of </w:t>
      </w:r>
      <w:r w:rsidR="00583E1A" w:rsidRPr="00583E1A">
        <w:rPr>
          <w:position w:val="6"/>
          <w:sz w:val="16"/>
        </w:rPr>
        <w:t>*</w:t>
      </w:r>
      <w:r w:rsidRPr="00583E1A">
        <w:t xml:space="preserve">car expenses, your use of the 4 methods for calculating deductions for car expenses for the </w:t>
      </w:r>
      <w:r w:rsidR="00583E1A" w:rsidRPr="00583E1A">
        <w:rPr>
          <w:position w:val="6"/>
          <w:sz w:val="16"/>
        </w:rPr>
        <w:t>*</w:t>
      </w:r>
      <w:r w:rsidRPr="00583E1A">
        <w:t>car is affected.</w:t>
      </w:r>
    </w:p>
    <w:p w:rsidR="00887330" w:rsidRPr="00583E1A" w:rsidRDefault="00887330" w:rsidP="00887330">
      <w:pPr>
        <w:pStyle w:val="SubsectionHead"/>
      </w:pPr>
      <w:r w:rsidRPr="00583E1A">
        <w:t>You may elect not to use the exception</w:t>
      </w:r>
    </w:p>
    <w:p w:rsidR="00887330" w:rsidRPr="00583E1A" w:rsidRDefault="00887330" w:rsidP="00887330">
      <w:pPr>
        <w:pStyle w:val="subsection"/>
      </w:pPr>
      <w:r w:rsidRPr="00583E1A">
        <w:tab/>
        <w:t>(2)</w:t>
      </w:r>
      <w:r w:rsidRPr="00583E1A">
        <w:rPr>
          <w:b/>
        </w:rPr>
        <w:tab/>
      </w:r>
      <w:r w:rsidRPr="00583E1A">
        <w:t xml:space="preserve">However, if you do not want your use of the 4 methods to be affected, you may elect not to use the exception in this Subdivision for the </w:t>
      </w:r>
      <w:r w:rsidR="00583E1A" w:rsidRPr="00583E1A">
        <w:rPr>
          <w:position w:val="6"/>
          <w:sz w:val="16"/>
        </w:rPr>
        <w:t>*</w:t>
      </w:r>
      <w:r w:rsidRPr="00583E1A">
        <w:t>award transport payments you are paid in the income year. If you so elect, the rest of this section does not affect you.</w:t>
      </w:r>
    </w:p>
    <w:p w:rsidR="00887330" w:rsidRPr="00583E1A" w:rsidRDefault="00887330" w:rsidP="00887330">
      <w:pPr>
        <w:pStyle w:val="SubsectionHead"/>
      </w:pPr>
      <w:r w:rsidRPr="00583E1A">
        <w:t>“Cents per kilometre” method</w:t>
      </w:r>
    </w:p>
    <w:p w:rsidR="00887330" w:rsidRPr="00583E1A" w:rsidRDefault="00887330" w:rsidP="00887330">
      <w:pPr>
        <w:pStyle w:val="subsection"/>
      </w:pPr>
      <w:r w:rsidRPr="00583E1A">
        <w:tab/>
        <w:t>(3)</w:t>
      </w:r>
      <w:r w:rsidRPr="00583E1A">
        <w:tab/>
        <w:t>You can still use the “cents per kilometre” method (see Subdivision</w:t>
      </w:r>
      <w:r w:rsidR="00583E1A">
        <w:t> </w:t>
      </w:r>
      <w:r w:rsidRPr="00583E1A">
        <w:t>28</w:t>
      </w:r>
      <w:r w:rsidR="00583E1A">
        <w:noBreakHyphen/>
      </w:r>
      <w:r w:rsidRPr="00583E1A">
        <w:t xml:space="preserve">C) of deducting </w:t>
      </w:r>
      <w:r w:rsidR="00583E1A" w:rsidRPr="00583E1A">
        <w:rPr>
          <w:position w:val="6"/>
          <w:sz w:val="16"/>
        </w:rPr>
        <w:t>*</w:t>
      </w:r>
      <w:r w:rsidRPr="00583E1A">
        <w:t xml:space="preserve">car expenses you incurred for the </w:t>
      </w:r>
      <w:r w:rsidR="00583E1A" w:rsidRPr="00583E1A">
        <w:rPr>
          <w:position w:val="6"/>
          <w:sz w:val="16"/>
        </w:rPr>
        <w:t>*</w:t>
      </w:r>
      <w:r w:rsidRPr="00583E1A">
        <w:t xml:space="preserve">car in the income year. However, the kilometres the car travelled during the income year in the course of travel covered by the </w:t>
      </w:r>
      <w:r w:rsidR="00583E1A" w:rsidRPr="00583E1A">
        <w:rPr>
          <w:position w:val="6"/>
          <w:sz w:val="16"/>
        </w:rPr>
        <w:t>*</w:t>
      </w:r>
      <w:r w:rsidRPr="00583E1A">
        <w:t xml:space="preserve">award transport payment or payments are not counted as </w:t>
      </w:r>
      <w:r w:rsidR="00583E1A" w:rsidRPr="00583E1A">
        <w:rPr>
          <w:position w:val="6"/>
          <w:sz w:val="16"/>
        </w:rPr>
        <w:t>*</w:t>
      </w:r>
      <w:r w:rsidRPr="00583E1A">
        <w:t>business kilometres.</w:t>
      </w:r>
    </w:p>
    <w:p w:rsidR="00887330" w:rsidRPr="00583E1A" w:rsidRDefault="00887330" w:rsidP="00887330">
      <w:pPr>
        <w:pStyle w:val="SubsectionHead"/>
      </w:pPr>
      <w:r w:rsidRPr="00583E1A">
        <w:t>“12% of original value” and “one</w:t>
      </w:r>
      <w:r w:rsidR="00583E1A">
        <w:noBreakHyphen/>
      </w:r>
      <w:r w:rsidRPr="00583E1A">
        <w:t>third of actual expenses” methods</w:t>
      </w:r>
    </w:p>
    <w:p w:rsidR="00887330" w:rsidRPr="00583E1A" w:rsidRDefault="00887330" w:rsidP="00887330">
      <w:pPr>
        <w:pStyle w:val="subsection"/>
      </w:pPr>
      <w:r w:rsidRPr="00583E1A">
        <w:tab/>
        <w:t>(4)</w:t>
      </w:r>
      <w:r w:rsidRPr="00583E1A">
        <w:rPr>
          <w:b/>
        </w:rPr>
        <w:tab/>
      </w:r>
      <w:r w:rsidRPr="00583E1A">
        <w:t>You cannot use the “12% of original value” method (see Subdivision</w:t>
      </w:r>
      <w:r w:rsidR="00583E1A">
        <w:t> </w:t>
      </w:r>
      <w:r w:rsidRPr="00583E1A">
        <w:t>28</w:t>
      </w:r>
      <w:r w:rsidR="00583E1A">
        <w:noBreakHyphen/>
      </w:r>
      <w:r w:rsidRPr="00583E1A">
        <w:t>D) or the “one</w:t>
      </w:r>
      <w:r w:rsidR="00583E1A">
        <w:noBreakHyphen/>
      </w:r>
      <w:r w:rsidRPr="00583E1A">
        <w:t xml:space="preserve">third of actual expenses” method </w:t>
      </w:r>
      <w:r w:rsidRPr="00583E1A">
        <w:lastRenderedPageBreak/>
        <w:t>(see Subdivision</w:t>
      </w:r>
      <w:r w:rsidR="00583E1A">
        <w:t> </w:t>
      </w:r>
      <w:r w:rsidRPr="00583E1A">
        <w:t>28</w:t>
      </w:r>
      <w:r w:rsidR="00583E1A">
        <w:noBreakHyphen/>
      </w:r>
      <w:r w:rsidRPr="00583E1A">
        <w:t xml:space="preserve">E) of deducting </w:t>
      </w:r>
      <w:r w:rsidR="00583E1A" w:rsidRPr="00583E1A">
        <w:rPr>
          <w:position w:val="6"/>
          <w:sz w:val="16"/>
        </w:rPr>
        <w:t>*</w:t>
      </w:r>
      <w:r w:rsidRPr="00583E1A">
        <w:t xml:space="preserve">car expenses you incurred for the </w:t>
      </w:r>
      <w:r w:rsidR="00583E1A" w:rsidRPr="00583E1A">
        <w:rPr>
          <w:position w:val="6"/>
          <w:sz w:val="16"/>
        </w:rPr>
        <w:t>*</w:t>
      </w:r>
      <w:r w:rsidRPr="00583E1A">
        <w:t>car in the income year.</w:t>
      </w:r>
    </w:p>
    <w:p w:rsidR="00887330" w:rsidRPr="00583E1A" w:rsidRDefault="00887330" w:rsidP="00887330">
      <w:pPr>
        <w:pStyle w:val="SubsectionHead"/>
      </w:pPr>
      <w:r w:rsidRPr="00583E1A">
        <w:t>“Log book” method</w:t>
      </w:r>
    </w:p>
    <w:p w:rsidR="00887330" w:rsidRPr="00583E1A" w:rsidRDefault="00887330" w:rsidP="00887330">
      <w:pPr>
        <w:pStyle w:val="subsection"/>
      </w:pPr>
      <w:r w:rsidRPr="00583E1A">
        <w:tab/>
        <w:t>(5)</w:t>
      </w:r>
      <w:r w:rsidRPr="00583E1A">
        <w:tab/>
        <w:t>You can still use the “log book” method (see Subdivision</w:t>
      </w:r>
      <w:r w:rsidR="00583E1A">
        <w:t> </w:t>
      </w:r>
      <w:r w:rsidRPr="00583E1A">
        <w:t>28</w:t>
      </w:r>
      <w:r w:rsidR="00583E1A">
        <w:noBreakHyphen/>
      </w:r>
      <w:r w:rsidRPr="00583E1A">
        <w:t xml:space="preserve">F) of deducting </w:t>
      </w:r>
      <w:r w:rsidR="00583E1A" w:rsidRPr="00583E1A">
        <w:rPr>
          <w:position w:val="6"/>
          <w:sz w:val="16"/>
        </w:rPr>
        <w:t>*</w:t>
      </w:r>
      <w:r w:rsidRPr="00583E1A">
        <w:t xml:space="preserve">car expenses you incurred for the </w:t>
      </w:r>
      <w:r w:rsidR="00583E1A" w:rsidRPr="00583E1A">
        <w:rPr>
          <w:position w:val="6"/>
          <w:sz w:val="16"/>
        </w:rPr>
        <w:t>*</w:t>
      </w:r>
      <w:r w:rsidRPr="00583E1A">
        <w:t>car in the income year. If you do:</w:t>
      </w:r>
    </w:p>
    <w:p w:rsidR="00887330" w:rsidRPr="00583E1A" w:rsidRDefault="00887330" w:rsidP="00887330">
      <w:pPr>
        <w:pStyle w:val="paragraph"/>
      </w:pPr>
      <w:r w:rsidRPr="00583E1A">
        <w:tab/>
        <w:t>(a)</w:t>
      </w:r>
      <w:r w:rsidRPr="00583E1A">
        <w:tab/>
        <w:t xml:space="preserve">the kilometres the car travelled during the income year in the course of travel covered by the </w:t>
      </w:r>
      <w:r w:rsidR="00583E1A" w:rsidRPr="00583E1A">
        <w:rPr>
          <w:position w:val="6"/>
          <w:sz w:val="16"/>
        </w:rPr>
        <w:t>*</w:t>
      </w:r>
      <w:r w:rsidRPr="00583E1A">
        <w:t xml:space="preserve">award transport payment or payments are not counted as </w:t>
      </w:r>
      <w:r w:rsidR="00583E1A" w:rsidRPr="00583E1A">
        <w:rPr>
          <w:position w:val="6"/>
          <w:sz w:val="16"/>
        </w:rPr>
        <w:t>*</w:t>
      </w:r>
      <w:r w:rsidRPr="00583E1A">
        <w:t>business kilometres; and</w:t>
      </w:r>
    </w:p>
    <w:p w:rsidR="00887330" w:rsidRPr="00583E1A" w:rsidRDefault="00887330" w:rsidP="00887330">
      <w:pPr>
        <w:pStyle w:val="paragraph"/>
      </w:pPr>
      <w:r w:rsidRPr="00583E1A">
        <w:tab/>
        <w:t>(b)</w:t>
      </w:r>
      <w:r w:rsidRPr="00583E1A">
        <w:tab/>
        <w:t>in working out the amount (if any) you can deduct for such a car expense that consists partly of an exempt loss or outgoing, Subdivision</w:t>
      </w:r>
      <w:r w:rsidR="00583E1A">
        <w:t> </w:t>
      </w:r>
      <w:r w:rsidRPr="00583E1A">
        <w:t>28</w:t>
      </w:r>
      <w:r w:rsidR="00583E1A">
        <w:noBreakHyphen/>
      </w:r>
      <w:r w:rsidRPr="00583E1A">
        <w:t>F is applied to the whole of the car expense, without excluding the part that consists of an exempt loss or outgoing.</w:t>
      </w:r>
    </w:p>
    <w:p w:rsidR="00887330" w:rsidRPr="00583E1A" w:rsidRDefault="00887330" w:rsidP="00887330">
      <w:pPr>
        <w:pStyle w:val="PageBreak"/>
      </w:pPr>
      <w:r w:rsidRPr="00583E1A">
        <w:br w:type="page"/>
      </w:r>
    </w:p>
    <w:p w:rsidR="00887330" w:rsidRPr="00583E1A" w:rsidRDefault="00887330" w:rsidP="00887330">
      <w:pPr>
        <w:pStyle w:val="ActHead2"/>
      </w:pPr>
      <w:bookmarkStart w:id="501" w:name="_Toc338939575"/>
      <w:r w:rsidRPr="00583E1A">
        <w:rPr>
          <w:rStyle w:val="CharPartNo"/>
        </w:rPr>
        <w:lastRenderedPageBreak/>
        <w:t>Part</w:t>
      </w:r>
      <w:r w:rsidR="00583E1A">
        <w:rPr>
          <w:rStyle w:val="CharPartNo"/>
        </w:rPr>
        <w:t> </w:t>
      </w:r>
      <w:r w:rsidRPr="00583E1A">
        <w:rPr>
          <w:rStyle w:val="CharPartNo"/>
        </w:rPr>
        <w:t>5</w:t>
      </w:r>
      <w:r w:rsidR="00583E1A">
        <w:rPr>
          <w:rStyle w:val="CharPartNo"/>
        </w:rPr>
        <w:noBreakHyphen/>
      </w:r>
      <w:r w:rsidRPr="00583E1A">
        <w:rPr>
          <w:rStyle w:val="CharPartNo"/>
        </w:rPr>
        <w:t>35</w:t>
      </w:r>
      <w:r w:rsidRPr="00583E1A">
        <w:t>—</w:t>
      </w:r>
      <w:r w:rsidRPr="00583E1A">
        <w:rPr>
          <w:rStyle w:val="CharPartText"/>
        </w:rPr>
        <w:t>Miscellaneous</w:t>
      </w:r>
      <w:bookmarkEnd w:id="501"/>
    </w:p>
    <w:p w:rsidR="00887330" w:rsidRPr="00583E1A" w:rsidRDefault="00887330" w:rsidP="00887330">
      <w:pPr>
        <w:pStyle w:val="ActHead3"/>
      </w:pPr>
      <w:bookmarkStart w:id="502" w:name="_Toc338939576"/>
      <w:r w:rsidRPr="00583E1A">
        <w:rPr>
          <w:rStyle w:val="CharDivNo"/>
        </w:rPr>
        <w:t>Division</w:t>
      </w:r>
      <w:r w:rsidR="00583E1A">
        <w:rPr>
          <w:rStyle w:val="CharDivNo"/>
        </w:rPr>
        <w:t> </w:t>
      </w:r>
      <w:r w:rsidRPr="00583E1A">
        <w:rPr>
          <w:rStyle w:val="CharDivNo"/>
        </w:rPr>
        <w:t>905</w:t>
      </w:r>
      <w:r w:rsidRPr="00583E1A">
        <w:t>—</w:t>
      </w:r>
      <w:r w:rsidRPr="00583E1A">
        <w:rPr>
          <w:rStyle w:val="CharDivText"/>
        </w:rPr>
        <w:t>Offences</w:t>
      </w:r>
      <w:bookmarkEnd w:id="502"/>
    </w:p>
    <w:p w:rsidR="00887330" w:rsidRPr="00583E1A" w:rsidRDefault="00887330" w:rsidP="00887330">
      <w:pPr>
        <w:pStyle w:val="ActHead5"/>
      </w:pPr>
      <w:bookmarkStart w:id="503" w:name="_Toc338939577"/>
      <w:r w:rsidRPr="00583E1A">
        <w:rPr>
          <w:rStyle w:val="CharSectno"/>
        </w:rPr>
        <w:t>905</w:t>
      </w:r>
      <w:r w:rsidR="00583E1A">
        <w:rPr>
          <w:rStyle w:val="CharSectno"/>
        </w:rPr>
        <w:noBreakHyphen/>
      </w:r>
      <w:r w:rsidRPr="00583E1A">
        <w:rPr>
          <w:rStyle w:val="CharSectno"/>
        </w:rPr>
        <w:t>5</w:t>
      </w:r>
      <w:r w:rsidRPr="00583E1A">
        <w:t xml:space="preserve">  Application of the </w:t>
      </w:r>
      <w:r w:rsidRPr="00583E1A">
        <w:rPr>
          <w:i/>
        </w:rPr>
        <w:t>Criminal Code</w:t>
      </w:r>
      <w:bookmarkEnd w:id="503"/>
    </w:p>
    <w:p w:rsidR="00887330" w:rsidRPr="00583E1A" w:rsidRDefault="00887330" w:rsidP="00887330">
      <w:pPr>
        <w:pStyle w:val="subsection"/>
      </w:pPr>
      <w:r w:rsidRPr="00583E1A">
        <w:tab/>
      </w:r>
      <w:r w:rsidRPr="00583E1A">
        <w:tab/>
        <w:t>Chapter</w:t>
      </w:r>
      <w:r w:rsidR="00583E1A">
        <w:t> </w:t>
      </w:r>
      <w:r w:rsidRPr="00583E1A">
        <w:t xml:space="preserve">2 of the </w:t>
      </w:r>
      <w:r w:rsidRPr="00583E1A">
        <w:rPr>
          <w:i/>
        </w:rPr>
        <w:t>Criminal Code</w:t>
      </w:r>
      <w:r w:rsidRPr="00583E1A">
        <w:t xml:space="preserve"> applies to all offences against this Act.</w:t>
      </w:r>
    </w:p>
    <w:p w:rsidR="00887330" w:rsidRPr="00583E1A" w:rsidRDefault="00887330" w:rsidP="00887330">
      <w:pPr>
        <w:pStyle w:val="notetext"/>
      </w:pPr>
      <w:r w:rsidRPr="00583E1A">
        <w:t>Note:</w:t>
      </w:r>
      <w:r w:rsidRPr="00583E1A">
        <w:tab/>
        <w:t>Chapter</w:t>
      </w:r>
      <w:r w:rsidR="00583E1A">
        <w:t> </w:t>
      </w:r>
      <w:r w:rsidRPr="00583E1A">
        <w:t>2 of the Criminal Code sets out the general principles of criminal responsibility.</w:t>
      </w:r>
    </w:p>
    <w:p w:rsidR="00887330" w:rsidRPr="00583E1A" w:rsidRDefault="00887330" w:rsidP="00887330">
      <w:pPr>
        <w:pStyle w:val="PageBreak"/>
      </w:pPr>
      <w:r w:rsidRPr="00583E1A">
        <w:br w:type="page"/>
      </w:r>
    </w:p>
    <w:p w:rsidR="00887330" w:rsidRPr="00583E1A" w:rsidRDefault="00887330" w:rsidP="00887330">
      <w:pPr>
        <w:pStyle w:val="ActHead3"/>
      </w:pPr>
      <w:bookmarkStart w:id="504" w:name="_Toc338939578"/>
      <w:r w:rsidRPr="00583E1A">
        <w:rPr>
          <w:rStyle w:val="CharDivNo"/>
        </w:rPr>
        <w:lastRenderedPageBreak/>
        <w:t>Division</w:t>
      </w:r>
      <w:r w:rsidR="00583E1A">
        <w:rPr>
          <w:rStyle w:val="CharDivNo"/>
        </w:rPr>
        <w:t> </w:t>
      </w:r>
      <w:r w:rsidRPr="00583E1A">
        <w:rPr>
          <w:rStyle w:val="CharDivNo"/>
        </w:rPr>
        <w:t>909</w:t>
      </w:r>
      <w:r w:rsidRPr="00583E1A">
        <w:t>—</w:t>
      </w:r>
      <w:r w:rsidRPr="00583E1A">
        <w:rPr>
          <w:rStyle w:val="CharDivText"/>
        </w:rPr>
        <w:t>Regulations</w:t>
      </w:r>
      <w:bookmarkEnd w:id="504"/>
    </w:p>
    <w:p w:rsidR="00887330" w:rsidRPr="00583E1A" w:rsidRDefault="00887330" w:rsidP="00887330">
      <w:pPr>
        <w:pStyle w:val="ActHead5"/>
      </w:pPr>
      <w:bookmarkStart w:id="505" w:name="_Toc338939579"/>
      <w:r w:rsidRPr="00583E1A">
        <w:rPr>
          <w:rStyle w:val="CharSectno"/>
        </w:rPr>
        <w:t>909</w:t>
      </w:r>
      <w:r w:rsidR="00583E1A">
        <w:rPr>
          <w:rStyle w:val="CharSectno"/>
        </w:rPr>
        <w:noBreakHyphen/>
      </w:r>
      <w:r w:rsidRPr="00583E1A">
        <w:rPr>
          <w:rStyle w:val="CharSectno"/>
        </w:rPr>
        <w:t>1</w:t>
      </w:r>
      <w:r w:rsidRPr="00583E1A">
        <w:t xml:space="preserve">  Regulations</w:t>
      </w:r>
      <w:bookmarkEnd w:id="505"/>
    </w:p>
    <w:p w:rsidR="00887330" w:rsidRPr="00583E1A" w:rsidRDefault="00887330" w:rsidP="00887330">
      <w:pPr>
        <w:pStyle w:val="subsection"/>
      </w:pPr>
      <w:r w:rsidRPr="00583E1A">
        <w:tab/>
        <w:t>(1)</w:t>
      </w:r>
      <w:r w:rsidRPr="00583E1A">
        <w:tab/>
        <w:t>The Governor</w:t>
      </w:r>
      <w:r w:rsidR="00583E1A">
        <w:noBreakHyphen/>
      </w:r>
      <w:r w:rsidRPr="00583E1A">
        <w:t>General may make regulations prescribing matters that:</w:t>
      </w:r>
    </w:p>
    <w:p w:rsidR="00887330" w:rsidRPr="00583E1A" w:rsidRDefault="00887330" w:rsidP="00887330">
      <w:pPr>
        <w:pStyle w:val="paragraph"/>
      </w:pPr>
      <w:r w:rsidRPr="00583E1A">
        <w:tab/>
        <w:t>(a)</w:t>
      </w:r>
      <w:r w:rsidRPr="00583E1A">
        <w:tab/>
        <w:t>this Act requires or permits to be prescribed; or</w:t>
      </w:r>
    </w:p>
    <w:p w:rsidR="00887330" w:rsidRPr="00583E1A" w:rsidRDefault="00887330" w:rsidP="00887330">
      <w:pPr>
        <w:pStyle w:val="paragraph"/>
      </w:pPr>
      <w:r w:rsidRPr="00583E1A">
        <w:tab/>
        <w:t>(b)</w:t>
      </w:r>
      <w:r w:rsidRPr="00583E1A">
        <w:tab/>
        <w:t>are necessary or convenient to prescribe for carrying out or giving effect to this Act.</w:t>
      </w:r>
    </w:p>
    <w:p w:rsidR="00887330" w:rsidRPr="00583E1A" w:rsidRDefault="00887330" w:rsidP="00887330">
      <w:pPr>
        <w:pStyle w:val="subsection"/>
      </w:pPr>
      <w:r w:rsidRPr="00583E1A">
        <w:tab/>
        <w:t>(2)</w:t>
      </w:r>
      <w:r w:rsidRPr="00583E1A">
        <w:tab/>
        <w:t>The regulations may prescribe penalties for offences against the regulations. A penalty may not exceed a fine of 5 penalty units.</w:t>
      </w:r>
    </w:p>
    <w:p w:rsidR="00887330" w:rsidRPr="00583E1A" w:rsidRDefault="00887330" w:rsidP="00887330">
      <w:pPr>
        <w:pStyle w:val="notetext"/>
      </w:pPr>
      <w:r w:rsidRPr="00583E1A">
        <w:t>Note:</w:t>
      </w:r>
      <w:r w:rsidRPr="00583E1A">
        <w:tab/>
        <w:t>Section</w:t>
      </w:r>
      <w:r w:rsidR="00583E1A">
        <w:t> </w:t>
      </w:r>
      <w:r w:rsidRPr="00583E1A">
        <w:t xml:space="preserve">4AA of the </w:t>
      </w:r>
      <w:r w:rsidRPr="00583E1A">
        <w:rPr>
          <w:i/>
        </w:rPr>
        <w:t>Crimes Act 1914</w:t>
      </w:r>
      <w:r w:rsidRPr="00583E1A">
        <w:t xml:space="preserve"> deals with penalty units.</w:t>
      </w:r>
    </w:p>
    <w:p w:rsidR="00887330" w:rsidRPr="00583E1A" w:rsidRDefault="00887330" w:rsidP="00887330">
      <w:pPr>
        <w:pStyle w:val="PageBreak"/>
      </w:pPr>
      <w:r w:rsidRPr="00583E1A">
        <w:br w:type="page"/>
      </w:r>
    </w:p>
    <w:p w:rsidR="00887330" w:rsidRPr="00583E1A" w:rsidRDefault="00887330" w:rsidP="00887330">
      <w:pPr>
        <w:pStyle w:val="ActHead1"/>
      </w:pPr>
      <w:bookmarkStart w:id="506" w:name="_Toc338939580"/>
      <w:r w:rsidRPr="00583E1A">
        <w:rPr>
          <w:rStyle w:val="CharChapNo"/>
        </w:rPr>
        <w:lastRenderedPageBreak/>
        <w:t>Chapter</w:t>
      </w:r>
      <w:r w:rsidR="00583E1A">
        <w:rPr>
          <w:rStyle w:val="CharChapNo"/>
        </w:rPr>
        <w:t> </w:t>
      </w:r>
      <w:r w:rsidRPr="00583E1A">
        <w:rPr>
          <w:rStyle w:val="CharChapNo"/>
        </w:rPr>
        <w:t>6</w:t>
      </w:r>
      <w:r w:rsidRPr="00583E1A">
        <w:t>—</w:t>
      </w:r>
      <w:r w:rsidRPr="00583E1A">
        <w:rPr>
          <w:rStyle w:val="CharChapText"/>
        </w:rPr>
        <w:t>The Dictionary</w:t>
      </w:r>
      <w:bookmarkEnd w:id="506"/>
    </w:p>
    <w:p w:rsidR="00887330" w:rsidRPr="00583E1A" w:rsidRDefault="00887330" w:rsidP="00887330">
      <w:pPr>
        <w:pStyle w:val="ActHead2"/>
      </w:pPr>
      <w:bookmarkStart w:id="507" w:name="_Toc338939581"/>
      <w:r w:rsidRPr="00583E1A">
        <w:rPr>
          <w:rStyle w:val="CharPartNo"/>
        </w:rPr>
        <w:t>Part</w:t>
      </w:r>
      <w:r w:rsidR="00583E1A">
        <w:rPr>
          <w:rStyle w:val="CharPartNo"/>
        </w:rPr>
        <w:t> </w:t>
      </w:r>
      <w:r w:rsidRPr="00583E1A">
        <w:rPr>
          <w:rStyle w:val="CharPartNo"/>
        </w:rPr>
        <w:t>6</w:t>
      </w:r>
      <w:r w:rsidR="00583E1A">
        <w:rPr>
          <w:rStyle w:val="CharPartNo"/>
        </w:rPr>
        <w:noBreakHyphen/>
      </w:r>
      <w:r w:rsidRPr="00583E1A">
        <w:rPr>
          <w:rStyle w:val="CharPartNo"/>
        </w:rPr>
        <w:t>1</w:t>
      </w:r>
      <w:r w:rsidRPr="00583E1A">
        <w:t>—</w:t>
      </w:r>
      <w:r w:rsidRPr="00583E1A">
        <w:rPr>
          <w:rStyle w:val="CharPartText"/>
        </w:rPr>
        <w:t>Concepts and topics</w:t>
      </w:r>
      <w:bookmarkEnd w:id="507"/>
    </w:p>
    <w:p w:rsidR="00887330" w:rsidRPr="00583E1A" w:rsidRDefault="00887330" w:rsidP="00887330">
      <w:pPr>
        <w:pStyle w:val="ActHead3"/>
      </w:pPr>
      <w:bookmarkStart w:id="508" w:name="_Toc338939582"/>
      <w:r w:rsidRPr="00583E1A">
        <w:rPr>
          <w:rStyle w:val="CharDivNo"/>
        </w:rPr>
        <w:t>Division</w:t>
      </w:r>
      <w:r w:rsidR="00583E1A">
        <w:rPr>
          <w:rStyle w:val="CharDivNo"/>
        </w:rPr>
        <w:t> </w:t>
      </w:r>
      <w:r w:rsidRPr="00583E1A">
        <w:rPr>
          <w:rStyle w:val="CharDivNo"/>
        </w:rPr>
        <w:t>950</w:t>
      </w:r>
      <w:r w:rsidRPr="00583E1A">
        <w:t>—</w:t>
      </w:r>
      <w:r w:rsidRPr="00583E1A">
        <w:rPr>
          <w:rStyle w:val="CharDivText"/>
        </w:rPr>
        <w:t>Rules for interpreting this Act</w:t>
      </w:r>
      <w:bookmarkEnd w:id="508"/>
    </w:p>
    <w:p w:rsidR="00887330" w:rsidRPr="00583E1A" w:rsidRDefault="00887330" w:rsidP="00887330">
      <w:pPr>
        <w:pStyle w:val="TofSectsHeading"/>
      </w:pPr>
      <w:r w:rsidRPr="00583E1A">
        <w:t>Table of sections</w:t>
      </w:r>
    </w:p>
    <w:p w:rsidR="00887330" w:rsidRPr="00583E1A" w:rsidRDefault="00887330" w:rsidP="00887330">
      <w:pPr>
        <w:pStyle w:val="TofSectsSection"/>
        <w:keepLines w:val="0"/>
      </w:pPr>
      <w:r w:rsidRPr="00583E1A">
        <w:t>950</w:t>
      </w:r>
      <w:r w:rsidR="00583E1A">
        <w:noBreakHyphen/>
      </w:r>
      <w:r w:rsidRPr="00583E1A">
        <w:t>100</w:t>
      </w:r>
      <w:r w:rsidRPr="00583E1A">
        <w:tab/>
        <w:t>What forms part of this Act</w:t>
      </w:r>
    </w:p>
    <w:p w:rsidR="00887330" w:rsidRPr="00583E1A" w:rsidRDefault="00887330" w:rsidP="00887330">
      <w:pPr>
        <w:pStyle w:val="TofSectsSection"/>
        <w:keepLines w:val="0"/>
      </w:pPr>
      <w:r w:rsidRPr="00583E1A">
        <w:t>950</w:t>
      </w:r>
      <w:r w:rsidR="00583E1A">
        <w:noBreakHyphen/>
      </w:r>
      <w:r w:rsidRPr="00583E1A">
        <w:t>105</w:t>
      </w:r>
      <w:r w:rsidRPr="00583E1A">
        <w:tab/>
        <w:t xml:space="preserve">What does </w:t>
      </w:r>
      <w:r w:rsidRPr="00583E1A">
        <w:rPr>
          <w:i/>
        </w:rPr>
        <w:t>not</w:t>
      </w:r>
      <w:r w:rsidRPr="00583E1A">
        <w:t xml:space="preserve"> form part of this Act</w:t>
      </w:r>
    </w:p>
    <w:p w:rsidR="00887330" w:rsidRPr="00583E1A" w:rsidRDefault="00887330" w:rsidP="00887330">
      <w:pPr>
        <w:pStyle w:val="TofSectsSection"/>
        <w:keepLines w:val="0"/>
      </w:pPr>
      <w:r w:rsidRPr="00583E1A">
        <w:t>950</w:t>
      </w:r>
      <w:r w:rsidR="00583E1A">
        <w:noBreakHyphen/>
      </w:r>
      <w:r w:rsidRPr="00583E1A">
        <w:t>150</w:t>
      </w:r>
      <w:r w:rsidRPr="00583E1A">
        <w:tab/>
        <w:t>Guides, and their role in interpreting this Act</w:t>
      </w:r>
    </w:p>
    <w:p w:rsidR="00887330" w:rsidRPr="00583E1A" w:rsidRDefault="00887330" w:rsidP="00887330">
      <w:pPr>
        <w:pStyle w:val="ActHead5"/>
      </w:pPr>
      <w:bookmarkStart w:id="509" w:name="_Toc338939583"/>
      <w:r w:rsidRPr="00583E1A">
        <w:rPr>
          <w:rStyle w:val="CharSectno"/>
        </w:rPr>
        <w:t>950</w:t>
      </w:r>
      <w:r w:rsidR="00583E1A">
        <w:rPr>
          <w:rStyle w:val="CharSectno"/>
        </w:rPr>
        <w:noBreakHyphen/>
      </w:r>
      <w:r w:rsidRPr="00583E1A">
        <w:rPr>
          <w:rStyle w:val="CharSectno"/>
        </w:rPr>
        <w:t>100</w:t>
      </w:r>
      <w:r w:rsidRPr="00583E1A">
        <w:t xml:space="preserve">  What forms part of this Act</w:t>
      </w:r>
      <w:bookmarkEnd w:id="509"/>
    </w:p>
    <w:p w:rsidR="00887330" w:rsidRPr="00583E1A" w:rsidRDefault="00887330" w:rsidP="00887330">
      <w:pPr>
        <w:pStyle w:val="subsection"/>
      </w:pPr>
      <w:r w:rsidRPr="00583E1A">
        <w:tab/>
        <w:t>(1)</w:t>
      </w:r>
      <w:r w:rsidRPr="00583E1A">
        <w:tab/>
        <w:t>These all form part of this Act:</w:t>
      </w:r>
    </w:p>
    <w:p w:rsidR="00887330" w:rsidRPr="00583E1A" w:rsidRDefault="00887330" w:rsidP="00887330">
      <w:pPr>
        <w:pStyle w:val="parabullet"/>
      </w:pPr>
      <w:r w:rsidRPr="00583E1A">
        <w:t>•</w:t>
      </w:r>
      <w:r w:rsidRPr="00583E1A">
        <w:tab/>
        <w:t>the headings of the Chapters, Parts, Divisions and Subdivisions of this Act;</w:t>
      </w:r>
    </w:p>
    <w:p w:rsidR="00887330" w:rsidRPr="00583E1A" w:rsidRDefault="00887330" w:rsidP="00887330">
      <w:pPr>
        <w:pStyle w:val="parabullet"/>
      </w:pPr>
      <w:r w:rsidRPr="00583E1A">
        <w:t>•</w:t>
      </w:r>
      <w:r w:rsidRPr="00583E1A">
        <w:tab/>
      </w:r>
      <w:r w:rsidR="00583E1A" w:rsidRPr="00583E1A">
        <w:rPr>
          <w:position w:val="6"/>
          <w:sz w:val="16"/>
        </w:rPr>
        <w:t>*</w:t>
      </w:r>
      <w:r w:rsidRPr="00583E1A">
        <w:t>Guides;</w:t>
      </w:r>
    </w:p>
    <w:p w:rsidR="00887330" w:rsidRPr="00583E1A" w:rsidRDefault="00887330" w:rsidP="00887330">
      <w:pPr>
        <w:pStyle w:val="parabullet"/>
      </w:pPr>
      <w:r w:rsidRPr="00583E1A">
        <w:t>•</w:t>
      </w:r>
      <w:r w:rsidRPr="00583E1A">
        <w:tab/>
        <w:t>the headings of the sections and subsections of this Act;</w:t>
      </w:r>
    </w:p>
    <w:p w:rsidR="00887330" w:rsidRPr="00583E1A" w:rsidRDefault="00887330" w:rsidP="00887330">
      <w:pPr>
        <w:pStyle w:val="parabullet"/>
      </w:pPr>
      <w:r w:rsidRPr="00583E1A">
        <w:t>•</w:t>
      </w:r>
      <w:r w:rsidRPr="00583E1A">
        <w:tab/>
        <w:t>the headings for groups of sections of this Act (group headings);</w:t>
      </w:r>
    </w:p>
    <w:p w:rsidR="00887330" w:rsidRPr="00583E1A" w:rsidRDefault="00887330" w:rsidP="00887330">
      <w:pPr>
        <w:pStyle w:val="parabullet"/>
      </w:pPr>
      <w:r w:rsidRPr="00583E1A">
        <w:t>•</w:t>
      </w:r>
      <w:r w:rsidRPr="00583E1A">
        <w:tab/>
        <w:t>the notes and examples (however described) that follow provisions of this Act.</w:t>
      </w:r>
    </w:p>
    <w:p w:rsidR="00887330" w:rsidRPr="00583E1A" w:rsidRDefault="00887330" w:rsidP="00887330">
      <w:pPr>
        <w:pStyle w:val="subsection"/>
      </w:pPr>
      <w:r w:rsidRPr="00583E1A">
        <w:tab/>
        <w:t>(2)</w:t>
      </w:r>
      <w:r w:rsidRPr="00583E1A">
        <w:tab/>
        <w:t xml:space="preserve">The asterisks used to identify defined terms form part of this Act. However, if a term is </w:t>
      </w:r>
      <w:r w:rsidRPr="00583E1A">
        <w:rPr>
          <w:i/>
        </w:rPr>
        <w:t>not</w:t>
      </w:r>
      <w:r w:rsidRPr="00583E1A">
        <w:t xml:space="preserve"> identified by an asterisk, disregard that fact in deciding whether or not to apply to that term a definition or other interpretation provision.</w:t>
      </w:r>
    </w:p>
    <w:p w:rsidR="00887330" w:rsidRPr="00583E1A" w:rsidRDefault="00887330" w:rsidP="007B2DFD">
      <w:pPr>
        <w:pStyle w:val="ActHead5"/>
      </w:pPr>
      <w:bookmarkStart w:id="510" w:name="_Toc338939584"/>
      <w:r w:rsidRPr="00583E1A">
        <w:rPr>
          <w:rStyle w:val="CharSectno"/>
        </w:rPr>
        <w:lastRenderedPageBreak/>
        <w:t>950</w:t>
      </w:r>
      <w:r w:rsidR="00583E1A">
        <w:rPr>
          <w:rStyle w:val="CharSectno"/>
        </w:rPr>
        <w:noBreakHyphen/>
      </w:r>
      <w:r w:rsidRPr="00583E1A">
        <w:rPr>
          <w:rStyle w:val="CharSectno"/>
        </w:rPr>
        <w:t>105</w:t>
      </w:r>
      <w:r w:rsidRPr="00583E1A">
        <w:t xml:space="preserve">  What does </w:t>
      </w:r>
      <w:r w:rsidRPr="00583E1A">
        <w:rPr>
          <w:i/>
        </w:rPr>
        <w:t>not</w:t>
      </w:r>
      <w:r w:rsidRPr="00583E1A">
        <w:t xml:space="preserve"> form part of this Act</w:t>
      </w:r>
      <w:bookmarkEnd w:id="510"/>
    </w:p>
    <w:p w:rsidR="00887330" w:rsidRPr="00583E1A" w:rsidRDefault="00887330" w:rsidP="007B2DFD">
      <w:pPr>
        <w:pStyle w:val="subsection"/>
        <w:keepNext/>
        <w:keepLines/>
      </w:pPr>
      <w:r w:rsidRPr="00583E1A">
        <w:tab/>
      </w:r>
      <w:r w:rsidRPr="00583E1A">
        <w:tab/>
        <w:t xml:space="preserve">These do </w:t>
      </w:r>
      <w:r w:rsidRPr="00583E1A">
        <w:rPr>
          <w:i/>
        </w:rPr>
        <w:t>not</w:t>
      </w:r>
      <w:r w:rsidRPr="00583E1A">
        <w:t xml:space="preserve"> form part of this Act:</w:t>
      </w:r>
    </w:p>
    <w:p w:rsidR="00887330" w:rsidRPr="00583E1A" w:rsidRDefault="00887330" w:rsidP="007B2DFD">
      <w:pPr>
        <w:pStyle w:val="parabullet"/>
        <w:keepNext/>
        <w:keepLines/>
      </w:pPr>
      <w:r w:rsidRPr="00583E1A">
        <w:fldChar w:fldCharType="begin"/>
      </w:r>
      <w:r w:rsidRPr="00583E1A">
        <w:instrText>symbol 183 \f "Symbol" \s 10 \h</w:instrText>
      </w:r>
      <w:r w:rsidRPr="00583E1A">
        <w:fldChar w:fldCharType="end"/>
      </w:r>
      <w:r w:rsidRPr="00583E1A">
        <w:tab/>
        <w:t>footnotes and endnotes;</w:t>
      </w:r>
    </w:p>
    <w:p w:rsidR="00887330" w:rsidRPr="00583E1A" w:rsidRDefault="00887330" w:rsidP="00887330">
      <w:pPr>
        <w:pStyle w:val="parabullet"/>
      </w:pPr>
      <w:r w:rsidRPr="00583E1A">
        <w:fldChar w:fldCharType="begin"/>
      </w:r>
      <w:r w:rsidRPr="00583E1A">
        <w:instrText>symbol 183 \f "Symbol" \s 10 \h</w:instrText>
      </w:r>
      <w:r w:rsidRPr="00583E1A">
        <w:fldChar w:fldCharType="end"/>
      </w:r>
      <w:r w:rsidRPr="00583E1A">
        <w:tab/>
        <w:t>Tables of Subdivisions;</w:t>
      </w:r>
    </w:p>
    <w:p w:rsidR="00887330" w:rsidRPr="00583E1A" w:rsidRDefault="00887330" w:rsidP="00887330">
      <w:pPr>
        <w:pStyle w:val="parabullet"/>
      </w:pPr>
      <w:r w:rsidRPr="00583E1A">
        <w:fldChar w:fldCharType="begin"/>
      </w:r>
      <w:r w:rsidRPr="00583E1A">
        <w:instrText>symbol 183 \f "Symbol" \s 10 \h</w:instrText>
      </w:r>
      <w:r w:rsidRPr="00583E1A">
        <w:fldChar w:fldCharType="end"/>
      </w:r>
      <w:r w:rsidRPr="00583E1A">
        <w:tab/>
        <w:t>Tables of sections.</w:t>
      </w:r>
    </w:p>
    <w:p w:rsidR="00887330" w:rsidRPr="00583E1A" w:rsidRDefault="00887330" w:rsidP="00887330">
      <w:pPr>
        <w:pStyle w:val="ActHead5"/>
      </w:pPr>
      <w:bookmarkStart w:id="511" w:name="_Toc338939585"/>
      <w:r w:rsidRPr="00583E1A">
        <w:rPr>
          <w:rStyle w:val="CharSectno"/>
        </w:rPr>
        <w:t>950</w:t>
      </w:r>
      <w:r w:rsidR="00583E1A">
        <w:rPr>
          <w:rStyle w:val="CharSectno"/>
        </w:rPr>
        <w:noBreakHyphen/>
      </w:r>
      <w:r w:rsidRPr="00583E1A">
        <w:rPr>
          <w:rStyle w:val="CharSectno"/>
        </w:rPr>
        <w:t>150</w:t>
      </w:r>
      <w:r w:rsidRPr="00583E1A">
        <w:t xml:space="preserve">  Guides, and their role in interpreting this Act</w:t>
      </w:r>
      <w:bookmarkEnd w:id="511"/>
    </w:p>
    <w:p w:rsidR="00887330" w:rsidRPr="00583E1A" w:rsidRDefault="00887330" w:rsidP="00887330">
      <w:pPr>
        <w:pStyle w:val="subsection"/>
      </w:pPr>
      <w:r w:rsidRPr="00583E1A">
        <w:tab/>
        <w:t>(1)</w:t>
      </w:r>
      <w:r w:rsidRPr="00583E1A">
        <w:tab/>
        <w:t xml:space="preserve">A </w:t>
      </w:r>
      <w:r w:rsidRPr="00583E1A">
        <w:rPr>
          <w:b/>
          <w:i/>
        </w:rPr>
        <w:t xml:space="preserve">Guide </w:t>
      </w:r>
      <w:r w:rsidRPr="00583E1A">
        <w:t>consists of:</w:t>
      </w:r>
    </w:p>
    <w:p w:rsidR="00887330" w:rsidRPr="00583E1A" w:rsidRDefault="00887330" w:rsidP="00887330">
      <w:pPr>
        <w:pStyle w:val="paragraph"/>
      </w:pPr>
      <w:r w:rsidRPr="00583E1A">
        <w:tab/>
        <w:t>(a)</w:t>
      </w:r>
      <w:r w:rsidRPr="00583E1A">
        <w:tab/>
        <w:t>sections under a heading indicating that what follows is a Guide to a particular Subdivision, Division etc.; or</w:t>
      </w:r>
    </w:p>
    <w:p w:rsidR="00887330" w:rsidRPr="00583E1A" w:rsidRDefault="00887330" w:rsidP="00887330">
      <w:pPr>
        <w:pStyle w:val="paragraph"/>
      </w:pPr>
      <w:r w:rsidRPr="00583E1A">
        <w:tab/>
        <w:t>(b)</w:t>
      </w:r>
      <w:r w:rsidRPr="00583E1A">
        <w:tab/>
        <w:t>a Subdivision, Division or Part that is identified as a Guide by a provision in the Subdivision, Division or Part.</w:t>
      </w:r>
    </w:p>
    <w:p w:rsidR="00887330" w:rsidRPr="00583E1A" w:rsidRDefault="00887330" w:rsidP="00887330">
      <w:pPr>
        <w:pStyle w:val="subsection"/>
      </w:pPr>
      <w:r w:rsidRPr="00583E1A">
        <w:tab/>
        <w:t>(2)</w:t>
      </w:r>
      <w:r w:rsidRPr="00583E1A">
        <w:tab/>
        <w:t>Guides form part of this Act, but they are kept separate from the operative provisions. In interpreting an operative provision, a Guide may only be considered:</w:t>
      </w:r>
    </w:p>
    <w:p w:rsidR="00887330" w:rsidRPr="00583E1A" w:rsidRDefault="00887330" w:rsidP="00887330">
      <w:pPr>
        <w:pStyle w:val="paragraph"/>
      </w:pPr>
      <w:r w:rsidRPr="00583E1A">
        <w:tab/>
        <w:t>(a)</w:t>
      </w:r>
      <w:r w:rsidRPr="00583E1A">
        <w:tab/>
        <w:t>in determining the purpose or object underlying the provision; or</w:t>
      </w:r>
    </w:p>
    <w:p w:rsidR="00887330" w:rsidRPr="00583E1A" w:rsidRDefault="00887330" w:rsidP="00887330">
      <w:pPr>
        <w:pStyle w:val="paragraph"/>
      </w:pPr>
      <w:r w:rsidRPr="00583E1A">
        <w:tab/>
        <w:t>(b)</w:t>
      </w:r>
      <w:r w:rsidRPr="00583E1A">
        <w:tab/>
        <w:t>to confirm that the provision’s meaning is the ordinary meaning conveyed by its text, taking into account its context in the Act and the purpose or object underlying the provision; or</w:t>
      </w:r>
    </w:p>
    <w:p w:rsidR="00887330" w:rsidRPr="00583E1A" w:rsidRDefault="00887330" w:rsidP="00887330">
      <w:pPr>
        <w:pStyle w:val="paragraph"/>
      </w:pPr>
      <w:r w:rsidRPr="00583E1A">
        <w:tab/>
        <w:t>(c)</w:t>
      </w:r>
      <w:r w:rsidRPr="00583E1A">
        <w:tab/>
        <w:t>in determining the provision’s meaning if the provision is ambiguous or obscure; or</w:t>
      </w:r>
    </w:p>
    <w:p w:rsidR="00887330" w:rsidRPr="00583E1A" w:rsidRDefault="00887330" w:rsidP="00887330">
      <w:pPr>
        <w:pStyle w:val="paragraph"/>
      </w:pPr>
      <w:r w:rsidRPr="00583E1A">
        <w:tab/>
        <w:t>(d)</w:t>
      </w:r>
      <w:r w:rsidRPr="00583E1A">
        <w:tab/>
        <w:t>in determining the provision’s meaning if the ordinary meaning conveyed by its text, taking into account its context in the Act and the purpose or object underlying the provision, leads to a result that is manifestly absurd or is unreasonable.</w:t>
      </w:r>
    </w:p>
    <w:p w:rsidR="00887330" w:rsidRPr="00583E1A" w:rsidRDefault="00887330" w:rsidP="00887330">
      <w:pPr>
        <w:pStyle w:val="PageBreak"/>
      </w:pPr>
      <w:r w:rsidRPr="00583E1A">
        <w:br w:type="page"/>
      </w:r>
    </w:p>
    <w:p w:rsidR="00887330" w:rsidRPr="00583E1A" w:rsidRDefault="00887330" w:rsidP="00887330">
      <w:pPr>
        <w:pStyle w:val="ActHead3"/>
      </w:pPr>
      <w:bookmarkStart w:id="512" w:name="_Toc338939586"/>
      <w:r w:rsidRPr="00583E1A">
        <w:rPr>
          <w:rStyle w:val="CharDivNo"/>
        </w:rPr>
        <w:lastRenderedPageBreak/>
        <w:t>Division</w:t>
      </w:r>
      <w:r w:rsidR="00583E1A">
        <w:rPr>
          <w:rStyle w:val="CharDivNo"/>
        </w:rPr>
        <w:t> </w:t>
      </w:r>
      <w:r w:rsidRPr="00583E1A">
        <w:rPr>
          <w:rStyle w:val="CharDivNo"/>
        </w:rPr>
        <w:t>960</w:t>
      </w:r>
      <w:r w:rsidRPr="00583E1A">
        <w:t>—</w:t>
      </w:r>
      <w:r w:rsidRPr="00583E1A">
        <w:rPr>
          <w:rStyle w:val="CharDivText"/>
        </w:rPr>
        <w:t>General</w:t>
      </w:r>
      <w:bookmarkEnd w:id="512"/>
    </w:p>
    <w:p w:rsidR="00887330" w:rsidRPr="00583E1A" w:rsidRDefault="00887330" w:rsidP="00887330">
      <w:pPr>
        <w:pStyle w:val="ActHead4"/>
      </w:pPr>
      <w:bookmarkStart w:id="513" w:name="_Toc338939587"/>
      <w:r w:rsidRPr="00583E1A">
        <w:rPr>
          <w:rStyle w:val="CharSubdNo"/>
        </w:rPr>
        <w:t>Subdivision</w:t>
      </w:r>
      <w:r w:rsidR="00583E1A">
        <w:rPr>
          <w:rStyle w:val="CharSubdNo"/>
        </w:rPr>
        <w:t> </w:t>
      </w:r>
      <w:r w:rsidRPr="00583E1A">
        <w:rPr>
          <w:rStyle w:val="CharSubdNo"/>
        </w:rPr>
        <w:t>960</w:t>
      </w:r>
      <w:r w:rsidR="00583E1A">
        <w:rPr>
          <w:rStyle w:val="CharSubdNo"/>
        </w:rPr>
        <w:noBreakHyphen/>
      </w:r>
      <w:r w:rsidRPr="00583E1A">
        <w:rPr>
          <w:rStyle w:val="CharSubdNo"/>
        </w:rPr>
        <w:t>C</w:t>
      </w:r>
      <w:r w:rsidRPr="00583E1A">
        <w:t>—</w:t>
      </w:r>
      <w:r w:rsidRPr="00583E1A">
        <w:rPr>
          <w:rStyle w:val="CharSubdText"/>
        </w:rPr>
        <w:t>Foreign currency</w:t>
      </w:r>
      <w:bookmarkEnd w:id="513"/>
    </w:p>
    <w:p w:rsidR="00887330" w:rsidRPr="00583E1A" w:rsidRDefault="00887330" w:rsidP="00887330">
      <w:pPr>
        <w:pStyle w:val="TofSectsHeading"/>
      </w:pPr>
      <w:r w:rsidRPr="00583E1A">
        <w:t>Table of sections</w:t>
      </w:r>
    </w:p>
    <w:p w:rsidR="00887330" w:rsidRPr="00583E1A" w:rsidRDefault="00887330" w:rsidP="00887330">
      <w:pPr>
        <w:pStyle w:val="TofSectsSection"/>
      </w:pPr>
      <w:r w:rsidRPr="00583E1A">
        <w:t>960</w:t>
      </w:r>
      <w:r w:rsidR="00583E1A">
        <w:noBreakHyphen/>
      </w:r>
      <w:r w:rsidRPr="00583E1A">
        <w:t>49</w:t>
      </w:r>
      <w:r w:rsidRPr="00583E1A">
        <w:tab/>
        <w:t>Objects of this Subdivision</w:t>
      </w:r>
    </w:p>
    <w:p w:rsidR="00887330" w:rsidRPr="00583E1A" w:rsidRDefault="00887330" w:rsidP="00887330">
      <w:pPr>
        <w:pStyle w:val="TofSectsSection"/>
      </w:pPr>
      <w:r w:rsidRPr="00583E1A">
        <w:t>960</w:t>
      </w:r>
      <w:r w:rsidR="00583E1A">
        <w:noBreakHyphen/>
      </w:r>
      <w:r w:rsidRPr="00583E1A">
        <w:t>50</w:t>
      </w:r>
      <w:r w:rsidRPr="00583E1A">
        <w:tab/>
        <w:t>Translation of amounts into Australian currency</w:t>
      </w:r>
    </w:p>
    <w:p w:rsidR="00887330" w:rsidRPr="00583E1A" w:rsidRDefault="00887330" w:rsidP="00887330">
      <w:pPr>
        <w:pStyle w:val="TofSectsSection"/>
      </w:pPr>
      <w:r w:rsidRPr="00583E1A">
        <w:t>960</w:t>
      </w:r>
      <w:r w:rsidR="00583E1A">
        <w:noBreakHyphen/>
      </w:r>
      <w:r w:rsidRPr="00583E1A">
        <w:t>55</w:t>
      </w:r>
      <w:r w:rsidRPr="00583E1A">
        <w:tab/>
        <w:t>Application of translation rules</w:t>
      </w:r>
    </w:p>
    <w:p w:rsidR="00887330" w:rsidRPr="00583E1A" w:rsidRDefault="00887330" w:rsidP="00887330">
      <w:pPr>
        <w:pStyle w:val="ActHead5"/>
      </w:pPr>
      <w:bookmarkStart w:id="514" w:name="_Toc338939588"/>
      <w:r w:rsidRPr="00583E1A">
        <w:rPr>
          <w:rStyle w:val="CharSectno"/>
        </w:rPr>
        <w:t>960</w:t>
      </w:r>
      <w:r w:rsidR="00583E1A">
        <w:rPr>
          <w:rStyle w:val="CharSectno"/>
        </w:rPr>
        <w:noBreakHyphen/>
      </w:r>
      <w:r w:rsidRPr="00583E1A">
        <w:rPr>
          <w:rStyle w:val="CharSectno"/>
        </w:rPr>
        <w:t>49</w:t>
      </w:r>
      <w:r w:rsidRPr="00583E1A">
        <w:t xml:space="preserve">  Objects of this Subdivision</w:t>
      </w:r>
      <w:bookmarkEnd w:id="514"/>
    </w:p>
    <w:p w:rsidR="00887330" w:rsidRPr="00583E1A" w:rsidRDefault="00887330" w:rsidP="00887330">
      <w:pPr>
        <w:pStyle w:val="subsection"/>
      </w:pPr>
      <w:r w:rsidRPr="00583E1A">
        <w:tab/>
      </w:r>
      <w:r w:rsidRPr="00583E1A">
        <w:tab/>
        <w:t>The objects of this Subdivision are as follows:</w:t>
      </w:r>
    </w:p>
    <w:p w:rsidR="00887330" w:rsidRPr="00583E1A" w:rsidRDefault="00887330" w:rsidP="00887330">
      <w:pPr>
        <w:pStyle w:val="paragraph"/>
      </w:pPr>
      <w:r w:rsidRPr="00583E1A">
        <w:tab/>
        <w:t>(a)</w:t>
      </w:r>
      <w:r w:rsidRPr="00583E1A">
        <w:tab/>
        <w:t xml:space="preserve">to set out a basic rule requiring an amount in a </w:t>
      </w:r>
      <w:r w:rsidR="00583E1A" w:rsidRPr="00583E1A">
        <w:rPr>
          <w:position w:val="6"/>
          <w:sz w:val="16"/>
        </w:rPr>
        <w:t>*</w:t>
      </w:r>
      <w:r w:rsidRPr="00583E1A">
        <w:t>foreign currency to be translated into an Australian dollar amount (the basic rule is subject to the functional currency rules in Subdivision</w:t>
      </w:r>
      <w:r w:rsidR="00583E1A">
        <w:t> </w:t>
      </w:r>
      <w:r w:rsidRPr="00583E1A">
        <w:t>960</w:t>
      </w:r>
      <w:r w:rsidR="00583E1A">
        <w:noBreakHyphen/>
      </w:r>
      <w:r w:rsidRPr="00583E1A">
        <w:t>D and to certain specific exclusions);</w:t>
      </w:r>
    </w:p>
    <w:p w:rsidR="00887330" w:rsidRPr="00583E1A" w:rsidRDefault="00887330" w:rsidP="00887330">
      <w:pPr>
        <w:pStyle w:val="paragraph"/>
      </w:pPr>
      <w:r w:rsidRPr="00583E1A">
        <w:tab/>
        <w:t>(b)</w:t>
      </w:r>
      <w:r w:rsidRPr="00583E1A">
        <w:tab/>
        <w:t>to ensure that the rules for identifying the exchange rate for the translation of a foreign currency amount into Australian dollars:</w:t>
      </w:r>
    </w:p>
    <w:p w:rsidR="00887330" w:rsidRPr="00583E1A" w:rsidRDefault="00887330" w:rsidP="00887330">
      <w:pPr>
        <w:pStyle w:val="paragraphsub"/>
      </w:pPr>
      <w:r w:rsidRPr="00583E1A">
        <w:tab/>
        <w:t>(i)</w:t>
      </w:r>
      <w:r w:rsidRPr="00583E1A">
        <w:tab/>
        <w:t>reflect an appropriate prevailing exchange rate; and</w:t>
      </w:r>
    </w:p>
    <w:p w:rsidR="00887330" w:rsidRPr="00583E1A" w:rsidRDefault="00887330" w:rsidP="00887330">
      <w:pPr>
        <w:pStyle w:val="paragraphsub"/>
      </w:pPr>
      <w:r w:rsidRPr="00583E1A">
        <w:tab/>
        <w:t>(ii)</w:t>
      </w:r>
      <w:r w:rsidRPr="00583E1A">
        <w:tab/>
        <w:t>take into account, as appropriate, commercial practices for the translation of foreign currency amounts into Australian dollars.</w:t>
      </w:r>
    </w:p>
    <w:p w:rsidR="00887330" w:rsidRPr="00583E1A" w:rsidRDefault="00887330" w:rsidP="00887330">
      <w:pPr>
        <w:pStyle w:val="ActHead5"/>
      </w:pPr>
      <w:bookmarkStart w:id="515" w:name="_Toc338939589"/>
      <w:r w:rsidRPr="00583E1A">
        <w:rPr>
          <w:rStyle w:val="CharSectno"/>
        </w:rPr>
        <w:t>960</w:t>
      </w:r>
      <w:r w:rsidR="00583E1A">
        <w:rPr>
          <w:rStyle w:val="CharSectno"/>
        </w:rPr>
        <w:noBreakHyphen/>
      </w:r>
      <w:r w:rsidRPr="00583E1A">
        <w:rPr>
          <w:rStyle w:val="CharSectno"/>
        </w:rPr>
        <w:t>50</w:t>
      </w:r>
      <w:r w:rsidRPr="00583E1A">
        <w:t xml:space="preserve">  Translation of amounts into Australian currency</w:t>
      </w:r>
      <w:bookmarkEnd w:id="515"/>
    </w:p>
    <w:p w:rsidR="00887330" w:rsidRPr="00583E1A" w:rsidRDefault="00887330" w:rsidP="00887330">
      <w:pPr>
        <w:pStyle w:val="subsection"/>
      </w:pPr>
      <w:r w:rsidRPr="00583E1A">
        <w:tab/>
        <w:t>(1)</w:t>
      </w:r>
      <w:r w:rsidRPr="00583E1A">
        <w:tab/>
        <w:t xml:space="preserve">For the purposes of this Act, an amount in a </w:t>
      </w:r>
      <w:r w:rsidR="00583E1A" w:rsidRPr="00583E1A">
        <w:rPr>
          <w:position w:val="6"/>
          <w:sz w:val="16"/>
        </w:rPr>
        <w:t>*</w:t>
      </w:r>
      <w:r w:rsidRPr="00583E1A">
        <w:t>foreign currency is to be translated into Australian currency.</w:t>
      </w:r>
    </w:p>
    <w:p w:rsidR="00887330" w:rsidRPr="00583E1A" w:rsidRDefault="00887330" w:rsidP="00887330">
      <w:pPr>
        <w:pStyle w:val="SubsectionHead"/>
      </w:pPr>
      <w:r w:rsidRPr="00583E1A">
        <w:t>Examples of an amount</w:t>
      </w:r>
    </w:p>
    <w:p w:rsidR="00887330" w:rsidRPr="00583E1A" w:rsidRDefault="00887330" w:rsidP="00887330">
      <w:pPr>
        <w:pStyle w:val="subsection"/>
      </w:pPr>
      <w:r w:rsidRPr="00583E1A">
        <w:tab/>
        <w:t>(2)</w:t>
      </w:r>
      <w:r w:rsidRPr="00583E1A">
        <w:tab/>
        <w:t>The following are examples of an amount:</w:t>
      </w:r>
    </w:p>
    <w:p w:rsidR="00887330" w:rsidRPr="00583E1A" w:rsidRDefault="00887330" w:rsidP="00887330">
      <w:pPr>
        <w:pStyle w:val="paragraph"/>
      </w:pPr>
      <w:r w:rsidRPr="00583E1A">
        <w:tab/>
        <w:t>(a)</w:t>
      </w:r>
      <w:r w:rsidRPr="00583E1A">
        <w:tab/>
        <w:t xml:space="preserve">an amount of </w:t>
      </w:r>
      <w:r w:rsidR="00583E1A" w:rsidRPr="00583E1A">
        <w:rPr>
          <w:position w:val="6"/>
          <w:sz w:val="16"/>
        </w:rPr>
        <w:t>*</w:t>
      </w:r>
      <w:r w:rsidRPr="00583E1A">
        <w:t>ordinary income;</w:t>
      </w:r>
    </w:p>
    <w:p w:rsidR="00887330" w:rsidRPr="00583E1A" w:rsidRDefault="00887330" w:rsidP="00887330">
      <w:pPr>
        <w:pStyle w:val="paragraph"/>
      </w:pPr>
      <w:r w:rsidRPr="00583E1A">
        <w:tab/>
        <w:t>(b)</w:t>
      </w:r>
      <w:r w:rsidRPr="00583E1A">
        <w:tab/>
        <w:t>an amount of an expense;</w:t>
      </w:r>
    </w:p>
    <w:p w:rsidR="00887330" w:rsidRPr="00583E1A" w:rsidRDefault="00887330" w:rsidP="00887330">
      <w:pPr>
        <w:pStyle w:val="paragraph"/>
      </w:pPr>
      <w:r w:rsidRPr="00583E1A">
        <w:tab/>
        <w:t>(c)</w:t>
      </w:r>
      <w:r w:rsidRPr="00583E1A">
        <w:tab/>
        <w:t>an amount of an obligation;</w:t>
      </w:r>
    </w:p>
    <w:p w:rsidR="00887330" w:rsidRPr="00583E1A" w:rsidRDefault="00887330" w:rsidP="007B2DFD">
      <w:pPr>
        <w:pStyle w:val="paragraph"/>
        <w:keepNext/>
        <w:keepLines/>
      </w:pPr>
      <w:r w:rsidRPr="00583E1A">
        <w:tab/>
        <w:t>(d)</w:t>
      </w:r>
      <w:r w:rsidRPr="00583E1A">
        <w:tab/>
        <w:t>an amount of a liability;</w:t>
      </w:r>
    </w:p>
    <w:p w:rsidR="00887330" w:rsidRPr="00583E1A" w:rsidRDefault="00887330" w:rsidP="007B2DFD">
      <w:pPr>
        <w:pStyle w:val="paragraph"/>
        <w:keepNext/>
        <w:keepLines/>
      </w:pPr>
      <w:r w:rsidRPr="00583E1A">
        <w:tab/>
        <w:t>(e)</w:t>
      </w:r>
      <w:r w:rsidRPr="00583E1A">
        <w:tab/>
        <w:t>an amount of a receipt;</w:t>
      </w:r>
    </w:p>
    <w:p w:rsidR="00887330" w:rsidRPr="00583E1A" w:rsidRDefault="00887330" w:rsidP="00887330">
      <w:pPr>
        <w:pStyle w:val="paragraph"/>
      </w:pPr>
      <w:r w:rsidRPr="00583E1A">
        <w:tab/>
        <w:t>(f)</w:t>
      </w:r>
      <w:r w:rsidRPr="00583E1A">
        <w:tab/>
        <w:t>an amount of a payment;</w:t>
      </w:r>
    </w:p>
    <w:p w:rsidR="00887330" w:rsidRPr="00583E1A" w:rsidRDefault="00887330" w:rsidP="00887330">
      <w:pPr>
        <w:pStyle w:val="paragraph"/>
      </w:pPr>
      <w:r w:rsidRPr="00583E1A">
        <w:lastRenderedPageBreak/>
        <w:tab/>
        <w:t>(g)</w:t>
      </w:r>
      <w:r w:rsidRPr="00583E1A">
        <w:tab/>
        <w:t>an amount of consideration;</w:t>
      </w:r>
    </w:p>
    <w:p w:rsidR="00887330" w:rsidRPr="00583E1A" w:rsidRDefault="00887330" w:rsidP="00887330">
      <w:pPr>
        <w:pStyle w:val="paragraph"/>
      </w:pPr>
      <w:r w:rsidRPr="00583E1A">
        <w:tab/>
        <w:t>(h)</w:t>
      </w:r>
      <w:r w:rsidRPr="00583E1A">
        <w:tab/>
        <w:t>a value.</w:t>
      </w:r>
    </w:p>
    <w:p w:rsidR="00887330" w:rsidRPr="00583E1A" w:rsidRDefault="00887330" w:rsidP="00887330">
      <w:pPr>
        <w:pStyle w:val="subsection"/>
      </w:pPr>
      <w:r w:rsidRPr="00583E1A">
        <w:tab/>
        <w:t>(3)</w:t>
      </w:r>
      <w:r w:rsidRPr="00583E1A">
        <w:tab/>
        <w:t xml:space="preserve">The amounts set out in </w:t>
      </w:r>
      <w:r w:rsidR="00583E1A">
        <w:t>paragraphs (</w:t>
      </w:r>
      <w:r w:rsidRPr="00583E1A">
        <w:t>2)(b) to (h) may be amounts on revenue account, capital account or otherwise.</w:t>
      </w:r>
    </w:p>
    <w:p w:rsidR="00887330" w:rsidRPr="00583E1A" w:rsidRDefault="00887330" w:rsidP="00887330">
      <w:pPr>
        <w:pStyle w:val="SubsectionHead"/>
      </w:pPr>
      <w:r w:rsidRPr="00583E1A">
        <w:t>Amounts that are elements in the calculation of other amounts</w:t>
      </w:r>
    </w:p>
    <w:p w:rsidR="00887330" w:rsidRPr="00583E1A" w:rsidRDefault="00887330" w:rsidP="00887330">
      <w:pPr>
        <w:pStyle w:val="subsection"/>
      </w:pPr>
      <w:r w:rsidRPr="00583E1A">
        <w:tab/>
        <w:t>(4)</w:t>
      </w:r>
      <w:r w:rsidRPr="00583E1A">
        <w:tab/>
        <w:t>In applying this section:</w:t>
      </w:r>
    </w:p>
    <w:p w:rsidR="00887330" w:rsidRPr="00583E1A" w:rsidRDefault="00887330" w:rsidP="00887330">
      <w:pPr>
        <w:pStyle w:val="paragraph"/>
      </w:pPr>
      <w:r w:rsidRPr="00583E1A">
        <w:tab/>
        <w:t>(a)</w:t>
      </w:r>
      <w:r w:rsidRPr="00583E1A">
        <w:tab/>
        <w:t xml:space="preserve">first, translate any amounts that are elements in the calculation of other amounts (except </w:t>
      </w:r>
      <w:r w:rsidR="00583E1A" w:rsidRPr="00583E1A">
        <w:rPr>
          <w:position w:val="6"/>
          <w:sz w:val="16"/>
        </w:rPr>
        <w:t>*</w:t>
      </w:r>
      <w:r w:rsidRPr="00583E1A">
        <w:t>special accrual amounts); and</w:t>
      </w:r>
    </w:p>
    <w:p w:rsidR="00887330" w:rsidRPr="00583E1A" w:rsidRDefault="00887330" w:rsidP="00887330">
      <w:pPr>
        <w:pStyle w:val="paragraph"/>
      </w:pPr>
      <w:r w:rsidRPr="00583E1A">
        <w:tab/>
        <w:t>(b)</w:t>
      </w:r>
      <w:r w:rsidRPr="00583E1A">
        <w:tab/>
        <w:t>then, calculate the other amounts.</w:t>
      </w:r>
    </w:p>
    <w:p w:rsidR="00887330" w:rsidRPr="00583E1A" w:rsidRDefault="00887330" w:rsidP="00887330">
      <w:pPr>
        <w:pStyle w:val="SubsectionHead"/>
      </w:pPr>
      <w:r w:rsidRPr="00583E1A">
        <w:t>Special accrual amounts</w:t>
      </w:r>
    </w:p>
    <w:p w:rsidR="00887330" w:rsidRPr="00583E1A" w:rsidRDefault="00887330" w:rsidP="00887330">
      <w:pPr>
        <w:pStyle w:val="subsection"/>
      </w:pPr>
      <w:r w:rsidRPr="00583E1A">
        <w:tab/>
        <w:t>(5)</w:t>
      </w:r>
      <w:r w:rsidRPr="00583E1A">
        <w:tab/>
        <w:t>In applying this section:</w:t>
      </w:r>
    </w:p>
    <w:p w:rsidR="00887330" w:rsidRPr="00583E1A" w:rsidRDefault="00887330" w:rsidP="00887330">
      <w:pPr>
        <w:pStyle w:val="paragraph"/>
      </w:pPr>
      <w:r w:rsidRPr="00583E1A">
        <w:tab/>
        <w:t>(a)</w:t>
      </w:r>
      <w:r w:rsidRPr="00583E1A">
        <w:tab/>
        <w:t xml:space="preserve">calculate a </w:t>
      </w:r>
      <w:r w:rsidR="00583E1A" w:rsidRPr="00583E1A">
        <w:rPr>
          <w:position w:val="6"/>
          <w:sz w:val="16"/>
        </w:rPr>
        <w:t>*</w:t>
      </w:r>
      <w:r w:rsidRPr="00583E1A">
        <w:t>special accrual amount without translation; and</w:t>
      </w:r>
    </w:p>
    <w:p w:rsidR="00887330" w:rsidRPr="00583E1A" w:rsidRDefault="00887330" w:rsidP="00887330">
      <w:pPr>
        <w:pStyle w:val="paragraph"/>
      </w:pPr>
      <w:r w:rsidRPr="00583E1A">
        <w:tab/>
        <w:t>(b)</w:t>
      </w:r>
      <w:r w:rsidRPr="00583E1A">
        <w:tab/>
        <w:t>then, translate the special accrual amount.</w:t>
      </w:r>
    </w:p>
    <w:p w:rsidR="00887330" w:rsidRPr="00583E1A" w:rsidRDefault="00887330" w:rsidP="00887330">
      <w:pPr>
        <w:pStyle w:val="SubsectionHead"/>
      </w:pPr>
      <w:r w:rsidRPr="00583E1A">
        <w:t>Special translation rules</w:t>
      </w:r>
    </w:p>
    <w:p w:rsidR="00887330" w:rsidRPr="00583E1A" w:rsidRDefault="00887330" w:rsidP="00887330">
      <w:pPr>
        <w:pStyle w:val="subsection"/>
      </w:pPr>
      <w:r w:rsidRPr="00583E1A">
        <w:tab/>
        <w:t>(6)</w:t>
      </w:r>
      <w:r w:rsidRPr="00583E1A">
        <w:tab/>
        <w:t>The table has effect:</w:t>
      </w:r>
    </w:p>
    <w:p w:rsidR="00887330" w:rsidRPr="00583E1A" w:rsidRDefault="00887330" w:rsidP="00887330">
      <w:pPr>
        <w:pStyle w:val="Tabletext"/>
      </w:pPr>
    </w:p>
    <w:tbl>
      <w:tblPr>
        <w:tblW w:w="0" w:type="auto"/>
        <w:tblInd w:w="113" w:type="dxa"/>
        <w:tblLayout w:type="fixed"/>
        <w:tblLook w:val="0000" w:firstRow="0" w:lastRow="0" w:firstColumn="0" w:lastColumn="0" w:noHBand="0" w:noVBand="0"/>
      </w:tblPr>
      <w:tblGrid>
        <w:gridCol w:w="714"/>
        <w:gridCol w:w="3186"/>
        <w:gridCol w:w="3186"/>
      </w:tblGrid>
      <w:tr w:rsidR="00887330" w:rsidRPr="00583E1A" w:rsidTr="00A43AC3">
        <w:trPr>
          <w:cantSplit/>
          <w:tblHeader/>
        </w:trPr>
        <w:tc>
          <w:tcPr>
            <w:tcW w:w="7086" w:type="dxa"/>
            <w:gridSpan w:val="3"/>
            <w:tcBorders>
              <w:top w:val="single" w:sz="12" w:space="0" w:color="auto"/>
              <w:bottom w:val="single" w:sz="6" w:space="0" w:color="auto"/>
            </w:tcBorders>
            <w:shd w:val="clear" w:color="auto" w:fill="auto"/>
          </w:tcPr>
          <w:p w:rsidR="00887330" w:rsidRPr="00583E1A" w:rsidRDefault="00887330" w:rsidP="00887330">
            <w:pPr>
              <w:pStyle w:val="Tabletext"/>
              <w:keepNext/>
              <w:rPr>
                <w:b/>
              </w:rPr>
            </w:pPr>
            <w:r w:rsidRPr="00583E1A">
              <w:rPr>
                <w:b/>
              </w:rPr>
              <w:t>Special translation rules</w:t>
            </w:r>
          </w:p>
        </w:tc>
      </w:tr>
      <w:tr w:rsidR="00887330" w:rsidRPr="00583E1A" w:rsidTr="00A43AC3">
        <w:trPr>
          <w:cantSplit/>
          <w:tblHeader/>
        </w:trPr>
        <w:tc>
          <w:tcPr>
            <w:tcW w:w="714" w:type="dxa"/>
            <w:tcBorders>
              <w:top w:val="single" w:sz="6" w:space="0" w:color="auto"/>
              <w:bottom w:val="single" w:sz="12" w:space="0" w:color="auto"/>
            </w:tcBorders>
            <w:shd w:val="clear" w:color="auto" w:fill="auto"/>
          </w:tcPr>
          <w:p w:rsidR="00887330" w:rsidRPr="00583E1A" w:rsidRDefault="00887330" w:rsidP="00887330">
            <w:pPr>
              <w:pStyle w:val="Tabletext"/>
              <w:keepNext/>
              <w:rPr>
                <w:b/>
              </w:rPr>
            </w:pPr>
            <w:r w:rsidRPr="00583E1A">
              <w:rPr>
                <w:b/>
              </w:rPr>
              <w:t>Item</w:t>
            </w:r>
          </w:p>
        </w:tc>
        <w:tc>
          <w:tcPr>
            <w:tcW w:w="3186" w:type="dxa"/>
            <w:tcBorders>
              <w:top w:val="single" w:sz="6" w:space="0" w:color="auto"/>
              <w:bottom w:val="single" w:sz="12" w:space="0" w:color="auto"/>
            </w:tcBorders>
            <w:shd w:val="clear" w:color="auto" w:fill="auto"/>
          </w:tcPr>
          <w:p w:rsidR="00887330" w:rsidRPr="00583E1A" w:rsidRDefault="00887330" w:rsidP="00887330">
            <w:pPr>
              <w:pStyle w:val="Tabletext"/>
              <w:keepNext/>
              <w:rPr>
                <w:b/>
              </w:rPr>
            </w:pPr>
            <w:r w:rsidRPr="00583E1A">
              <w:rPr>
                <w:b/>
              </w:rPr>
              <w:t>In this case...</w:t>
            </w:r>
          </w:p>
        </w:tc>
        <w:tc>
          <w:tcPr>
            <w:tcW w:w="3186" w:type="dxa"/>
            <w:tcBorders>
              <w:top w:val="single" w:sz="6" w:space="0" w:color="auto"/>
              <w:bottom w:val="single" w:sz="12" w:space="0" w:color="auto"/>
            </w:tcBorders>
            <w:shd w:val="clear" w:color="auto" w:fill="auto"/>
          </w:tcPr>
          <w:p w:rsidR="00887330" w:rsidRPr="00583E1A" w:rsidRDefault="00887330" w:rsidP="00887330">
            <w:pPr>
              <w:pStyle w:val="Tabletext"/>
              <w:keepNext/>
              <w:rPr>
                <w:b/>
              </w:rPr>
            </w:pPr>
            <w:r w:rsidRPr="00583E1A">
              <w:rPr>
                <w:b/>
              </w:rPr>
              <w:t>this is the result...</w:t>
            </w:r>
          </w:p>
        </w:tc>
      </w:tr>
      <w:tr w:rsidR="00887330" w:rsidRPr="00583E1A" w:rsidTr="00A43AC3">
        <w:trPr>
          <w:cantSplit/>
        </w:trPr>
        <w:tc>
          <w:tcPr>
            <w:tcW w:w="714" w:type="dxa"/>
            <w:tcBorders>
              <w:top w:val="single" w:sz="12" w:space="0" w:color="auto"/>
              <w:bottom w:val="single" w:sz="2" w:space="0" w:color="auto"/>
            </w:tcBorders>
            <w:shd w:val="clear" w:color="auto" w:fill="auto"/>
          </w:tcPr>
          <w:p w:rsidR="00887330" w:rsidRPr="00583E1A" w:rsidRDefault="00887330" w:rsidP="00887330">
            <w:pPr>
              <w:pStyle w:val="Tabletext"/>
            </w:pPr>
            <w:r w:rsidRPr="00583E1A">
              <w:t>1</w:t>
            </w:r>
          </w:p>
        </w:tc>
        <w:tc>
          <w:tcPr>
            <w:tcW w:w="3186" w:type="dxa"/>
            <w:tcBorders>
              <w:top w:val="single" w:sz="12" w:space="0" w:color="auto"/>
              <w:bottom w:val="single" w:sz="2" w:space="0" w:color="auto"/>
            </w:tcBorders>
            <w:shd w:val="clear" w:color="auto" w:fill="auto"/>
          </w:tcPr>
          <w:p w:rsidR="00887330" w:rsidRPr="00583E1A" w:rsidRDefault="00887330" w:rsidP="00887330">
            <w:pPr>
              <w:pStyle w:val="Tabletext"/>
            </w:pPr>
            <w:r w:rsidRPr="00583E1A">
              <w:t xml:space="preserve">forex realisation event 4 happens when you cease to have an obligation, or a part of an obligation, to pay </w:t>
            </w:r>
            <w:r w:rsidR="00583E1A" w:rsidRPr="00583E1A">
              <w:rPr>
                <w:position w:val="6"/>
                <w:sz w:val="16"/>
              </w:rPr>
              <w:t>*</w:t>
            </w:r>
            <w:r w:rsidRPr="00583E1A">
              <w:t>foreign currency, and neither of subparagraphs 775</w:t>
            </w:r>
            <w:r w:rsidR="00583E1A">
              <w:noBreakHyphen/>
            </w:r>
            <w:r w:rsidRPr="00583E1A">
              <w:t>55(1)(b)(ii) and (iii) applies</w:t>
            </w:r>
          </w:p>
        </w:tc>
        <w:tc>
          <w:tcPr>
            <w:tcW w:w="3186" w:type="dxa"/>
            <w:tcBorders>
              <w:top w:val="single" w:sz="12" w:space="0" w:color="auto"/>
              <w:bottom w:val="single" w:sz="2" w:space="0" w:color="auto"/>
            </w:tcBorders>
            <w:shd w:val="clear" w:color="auto" w:fill="auto"/>
          </w:tcPr>
          <w:p w:rsidR="00887330" w:rsidRPr="00583E1A" w:rsidRDefault="00887330" w:rsidP="00887330">
            <w:pPr>
              <w:pStyle w:val="Tabletext"/>
            </w:pPr>
            <w:r w:rsidRPr="00583E1A">
              <w:t>for the purposes of section</w:t>
            </w:r>
            <w:r w:rsidR="00583E1A">
              <w:t> </w:t>
            </w:r>
            <w:r w:rsidRPr="00583E1A">
              <w:t>775</w:t>
            </w:r>
            <w:r w:rsidR="00583E1A">
              <w:noBreakHyphen/>
            </w:r>
            <w:r w:rsidRPr="00583E1A">
              <w:t>55, the amount of the obligation, or the part of the obligation, at the tax recognition time (see subsection 775</w:t>
            </w:r>
            <w:r w:rsidR="00583E1A">
              <w:noBreakHyphen/>
            </w:r>
            <w:r w:rsidRPr="00583E1A">
              <w:t>55(7)) is to be translated to Australian currency at the exchange rate applicable at that time.</w:t>
            </w:r>
          </w:p>
        </w:tc>
      </w:tr>
      <w:tr w:rsidR="00887330" w:rsidRPr="00583E1A" w:rsidTr="00A43AC3">
        <w:trPr>
          <w:cantSplit/>
        </w:trPr>
        <w:tc>
          <w:tcPr>
            <w:tcW w:w="714" w:type="dxa"/>
            <w:tcBorders>
              <w:top w:val="single" w:sz="2" w:space="0" w:color="auto"/>
              <w:bottom w:val="single" w:sz="2" w:space="0" w:color="auto"/>
            </w:tcBorders>
            <w:shd w:val="clear" w:color="auto" w:fill="auto"/>
          </w:tcPr>
          <w:p w:rsidR="00887330" w:rsidRPr="00583E1A" w:rsidRDefault="00887330" w:rsidP="00887330">
            <w:pPr>
              <w:pStyle w:val="Tabletext"/>
            </w:pPr>
            <w:r w:rsidRPr="00583E1A">
              <w:lastRenderedPageBreak/>
              <w:t>2</w:t>
            </w:r>
          </w:p>
        </w:tc>
        <w:tc>
          <w:tcPr>
            <w:tcW w:w="3186" w:type="dxa"/>
            <w:tcBorders>
              <w:top w:val="single" w:sz="2" w:space="0" w:color="auto"/>
              <w:bottom w:val="single" w:sz="2" w:space="0" w:color="auto"/>
            </w:tcBorders>
            <w:shd w:val="clear" w:color="auto" w:fill="auto"/>
          </w:tcPr>
          <w:p w:rsidR="00887330" w:rsidRPr="00583E1A" w:rsidRDefault="00887330" w:rsidP="00887330">
            <w:pPr>
              <w:pStyle w:val="Tabletext"/>
            </w:pPr>
            <w:r w:rsidRPr="00583E1A">
              <w:t xml:space="preserve">cost of a </w:t>
            </w:r>
            <w:r w:rsidR="00583E1A" w:rsidRPr="00583E1A">
              <w:rPr>
                <w:position w:val="6"/>
                <w:sz w:val="16"/>
              </w:rPr>
              <w:t>*</w:t>
            </w:r>
            <w:r w:rsidRPr="00583E1A">
              <w:t>depreciating asset</w:t>
            </w:r>
          </w:p>
        </w:tc>
        <w:tc>
          <w:tcPr>
            <w:tcW w:w="3186" w:type="dxa"/>
            <w:tcBorders>
              <w:top w:val="single" w:sz="2" w:space="0" w:color="auto"/>
              <w:bottom w:val="single" w:sz="2" w:space="0" w:color="auto"/>
            </w:tcBorders>
            <w:shd w:val="clear" w:color="auto" w:fill="auto"/>
          </w:tcPr>
          <w:p w:rsidR="00887330" w:rsidRPr="00583E1A" w:rsidRDefault="00887330" w:rsidP="00887330">
            <w:pPr>
              <w:pStyle w:val="Tablea"/>
            </w:pPr>
            <w:r w:rsidRPr="00583E1A">
              <w:t>(a) if you incur an obligation in return for your starting to hold the asset, and the obligation is not satisfied before you begin to hold the asset (worked out under Division</w:t>
            </w:r>
            <w:r w:rsidR="00583E1A">
              <w:t> </w:t>
            </w:r>
            <w:r w:rsidRPr="00583E1A">
              <w:t>40)—the cost of the asset is to be translated to Australian currency at the exchange rate applicable when you begin to hold the asset; or</w:t>
            </w:r>
          </w:p>
          <w:p w:rsidR="00887330" w:rsidRPr="00583E1A" w:rsidRDefault="00887330" w:rsidP="00887330">
            <w:pPr>
              <w:pStyle w:val="Tablea"/>
            </w:pPr>
            <w:r w:rsidRPr="00583E1A">
              <w:t>(b) if you incur an obligation in return for your starting to hold the asset, and the obligation is satisfied before you begin to hold the asset (worked out under Division</w:t>
            </w:r>
            <w:r w:rsidR="00583E1A">
              <w:t> </w:t>
            </w:r>
            <w:r w:rsidRPr="00583E1A">
              <w:t>40)—the cost of the asset is to be translated to Australian currency at the exchange rate applicable when the obligation is satisfied.</w:t>
            </w:r>
          </w:p>
        </w:tc>
      </w:tr>
      <w:tr w:rsidR="00887330" w:rsidRPr="00583E1A" w:rsidTr="00A43AC3">
        <w:trPr>
          <w:cantSplit/>
        </w:trPr>
        <w:tc>
          <w:tcPr>
            <w:tcW w:w="714" w:type="dxa"/>
            <w:tcBorders>
              <w:top w:val="single" w:sz="2" w:space="0" w:color="auto"/>
              <w:bottom w:val="single" w:sz="2" w:space="0" w:color="auto"/>
            </w:tcBorders>
            <w:shd w:val="clear" w:color="auto" w:fill="auto"/>
          </w:tcPr>
          <w:p w:rsidR="00887330" w:rsidRPr="00583E1A" w:rsidRDefault="00887330" w:rsidP="00887330">
            <w:pPr>
              <w:pStyle w:val="Tabletext"/>
            </w:pPr>
            <w:r w:rsidRPr="00583E1A">
              <w:t>3</w:t>
            </w:r>
          </w:p>
        </w:tc>
        <w:tc>
          <w:tcPr>
            <w:tcW w:w="3186" w:type="dxa"/>
            <w:tcBorders>
              <w:top w:val="single" w:sz="2" w:space="0" w:color="auto"/>
              <w:bottom w:val="single" w:sz="2" w:space="0" w:color="auto"/>
            </w:tcBorders>
            <w:shd w:val="clear" w:color="auto" w:fill="auto"/>
          </w:tcPr>
          <w:p w:rsidR="00887330" w:rsidRPr="00583E1A" w:rsidRDefault="00887330" w:rsidP="00887330">
            <w:pPr>
              <w:pStyle w:val="Tabletext"/>
            </w:pPr>
            <w:r w:rsidRPr="00583E1A">
              <w:t xml:space="preserve">value of an item of </w:t>
            </w:r>
            <w:r w:rsidR="00583E1A" w:rsidRPr="00583E1A">
              <w:rPr>
                <w:position w:val="6"/>
                <w:sz w:val="16"/>
              </w:rPr>
              <w:t>*</w:t>
            </w:r>
            <w:r w:rsidRPr="00583E1A">
              <w:t xml:space="preserve">trading stock on hand at the end of an income year, where you have elected to use its </w:t>
            </w:r>
            <w:r w:rsidR="00583E1A" w:rsidRPr="00583E1A">
              <w:rPr>
                <w:position w:val="6"/>
                <w:sz w:val="16"/>
              </w:rPr>
              <w:t>*</w:t>
            </w:r>
            <w:r w:rsidRPr="00583E1A">
              <w:t>cost</w:t>
            </w:r>
          </w:p>
        </w:tc>
        <w:tc>
          <w:tcPr>
            <w:tcW w:w="3186" w:type="dxa"/>
            <w:tcBorders>
              <w:top w:val="single" w:sz="2" w:space="0" w:color="auto"/>
              <w:bottom w:val="single" w:sz="2" w:space="0" w:color="auto"/>
            </w:tcBorders>
            <w:shd w:val="clear" w:color="auto" w:fill="auto"/>
          </w:tcPr>
          <w:p w:rsidR="00887330" w:rsidRPr="00583E1A" w:rsidRDefault="00887330" w:rsidP="00887330">
            <w:pPr>
              <w:pStyle w:val="Tabletext"/>
            </w:pPr>
            <w:r w:rsidRPr="00583E1A">
              <w:t>the value is to be translated to Australian currency at the exchange rate applicable at the time when the item became on hand.</w:t>
            </w:r>
          </w:p>
        </w:tc>
      </w:tr>
      <w:tr w:rsidR="00887330" w:rsidRPr="00583E1A" w:rsidTr="00A43AC3">
        <w:trPr>
          <w:cantSplit/>
        </w:trPr>
        <w:tc>
          <w:tcPr>
            <w:tcW w:w="714" w:type="dxa"/>
            <w:tcBorders>
              <w:top w:val="single" w:sz="2" w:space="0" w:color="auto"/>
              <w:bottom w:val="single" w:sz="2" w:space="0" w:color="auto"/>
            </w:tcBorders>
            <w:shd w:val="clear" w:color="auto" w:fill="auto"/>
          </w:tcPr>
          <w:p w:rsidR="00887330" w:rsidRPr="00583E1A" w:rsidRDefault="00887330" w:rsidP="00887330">
            <w:pPr>
              <w:pStyle w:val="Tabletext"/>
            </w:pPr>
            <w:r w:rsidRPr="00583E1A">
              <w:t>4</w:t>
            </w:r>
          </w:p>
        </w:tc>
        <w:tc>
          <w:tcPr>
            <w:tcW w:w="3186" w:type="dxa"/>
            <w:tcBorders>
              <w:top w:val="single" w:sz="2" w:space="0" w:color="auto"/>
              <w:bottom w:val="single" w:sz="2" w:space="0" w:color="auto"/>
            </w:tcBorders>
            <w:shd w:val="clear" w:color="auto" w:fill="auto"/>
          </w:tcPr>
          <w:p w:rsidR="00887330" w:rsidRPr="00583E1A" w:rsidRDefault="00887330" w:rsidP="00887330">
            <w:pPr>
              <w:pStyle w:val="Tabletext"/>
            </w:pPr>
            <w:r w:rsidRPr="00583E1A">
              <w:t xml:space="preserve">value of an item of </w:t>
            </w:r>
            <w:r w:rsidR="00583E1A" w:rsidRPr="00583E1A">
              <w:rPr>
                <w:position w:val="6"/>
                <w:sz w:val="16"/>
              </w:rPr>
              <w:t>*</w:t>
            </w:r>
            <w:r w:rsidRPr="00583E1A">
              <w:t>trading stock on hand at the end of an income year, where you have elected to use:</w:t>
            </w:r>
          </w:p>
          <w:p w:rsidR="00887330" w:rsidRPr="00583E1A" w:rsidRDefault="00887330" w:rsidP="00887330">
            <w:pPr>
              <w:pStyle w:val="Tablea"/>
            </w:pPr>
            <w:r w:rsidRPr="00583E1A">
              <w:t>(a) its market selling value; or</w:t>
            </w:r>
          </w:p>
          <w:p w:rsidR="00887330" w:rsidRPr="00583E1A" w:rsidRDefault="00887330" w:rsidP="00887330">
            <w:pPr>
              <w:pStyle w:val="Tablea"/>
            </w:pPr>
            <w:r w:rsidRPr="00583E1A">
              <w:t>(b) its replacement value</w:t>
            </w:r>
          </w:p>
        </w:tc>
        <w:tc>
          <w:tcPr>
            <w:tcW w:w="3186" w:type="dxa"/>
            <w:tcBorders>
              <w:top w:val="single" w:sz="2" w:space="0" w:color="auto"/>
              <w:bottom w:val="single" w:sz="2" w:space="0" w:color="auto"/>
            </w:tcBorders>
            <w:shd w:val="clear" w:color="auto" w:fill="auto"/>
          </w:tcPr>
          <w:p w:rsidR="00887330" w:rsidRPr="00583E1A" w:rsidRDefault="00887330" w:rsidP="00887330">
            <w:pPr>
              <w:pStyle w:val="Tabletext"/>
            </w:pPr>
            <w:r w:rsidRPr="00583E1A">
              <w:t>the value is to be translated to Australian currency at the exchange rate applicable at the end of the income year.</w:t>
            </w:r>
          </w:p>
        </w:tc>
      </w:tr>
      <w:tr w:rsidR="00887330" w:rsidRPr="00583E1A" w:rsidTr="00A43AC3">
        <w:trPr>
          <w:cantSplit/>
        </w:trPr>
        <w:tc>
          <w:tcPr>
            <w:tcW w:w="714" w:type="dxa"/>
            <w:tcBorders>
              <w:top w:val="single" w:sz="2" w:space="0" w:color="auto"/>
              <w:bottom w:val="single" w:sz="2" w:space="0" w:color="auto"/>
            </w:tcBorders>
            <w:shd w:val="clear" w:color="auto" w:fill="auto"/>
          </w:tcPr>
          <w:p w:rsidR="00887330" w:rsidRPr="00583E1A" w:rsidRDefault="00887330" w:rsidP="00887330">
            <w:pPr>
              <w:pStyle w:val="Tabletext"/>
            </w:pPr>
            <w:r w:rsidRPr="00583E1A">
              <w:t>5</w:t>
            </w:r>
          </w:p>
        </w:tc>
        <w:tc>
          <w:tcPr>
            <w:tcW w:w="3186" w:type="dxa"/>
            <w:tcBorders>
              <w:top w:val="single" w:sz="2" w:space="0" w:color="auto"/>
              <w:bottom w:val="single" w:sz="2" w:space="0" w:color="auto"/>
            </w:tcBorders>
            <w:shd w:val="clear" w:color="auto" w:fill="auto"/>
          </w:tcPr>
          <w:p w:rsidR="00887330" w:rsidRPr="00583E1A" w:rsidRDefault="00887330" w:rsidP="00887330">
            <w:pPr>
              <w:pStyle w:val="Tabletext"/>
            </w:pPr>
            <w:r w:rsidRPr="00583E1A">
              <w:t>a transaction or event that:</w:t>
            </w:r>
          </w:p>
          <w:p w:rsidR="00887330" w:rsidRPr="00583E1A" w:rsidRDefault="00887330" w:rsidP="00887330">
            <w:pPr>
              <w:pStyle w:val="Tablea"/>
            </w:pPr>
            <w:r w:rsidRPr="00583E1A">
              <w:t xml:space="preserve">(a) involves an amount of money or the </w:t>
            </w:r>
            <w:r w:rsidR="00583E1A" w:rsidRPr="00583E1A">
              <w:rPr>
                <w:position w:val="6"/>
                <w:sz w:val="16"/>
              </w:rPr>
              <w:t>*</w:t>
            </w:r>
            <w:r w:rsidRPr="00583E1A">
              <w:t>market value of other property; and</w:t>
            </w:r>
          </w:p>
          <w:p w:rsidR="00887330" w:rsidRPr="00583E1A" w:rsidRDefault="00887330" w:rsidP="00887330">
            <w:pPr>
              <w:pStyle w:val="Tablea"/>
            </w:pPr>
            <w:r w:rsidRPr="00583E1A">
              <w:t>(b) is relevant for the purposes of Part</w:t>
            </w:r>
            <w:r w:rsidR="00583E1A">
              <w:t> </w:t>
            </w:r>
            <w:r w:rsidRPr="00583E1A">
              <w:t>3</w:t>
            </w:r>
            <w:r w:rsidR="00583E1A">
              <w:noBreakHyphen/>
            </w:r>
            <w:r w:rsidRPr="00583E1A">
              <w:t>1 or 3</w:t>
            </w:r>
            <w:r w:rsidR="00583E1A">
              <w:noBreakHyphen/>
            </w:r>
            <w:r w:rsidRPr="00583E1A">
              <w:t>3;</w:t>
            </w:r>
          </w:p>
          <w:p w:rsidR="00887330" w:rsidRPr="00583E1A" w:rsidRDefault="00887330" w:rsidP="00887330">
            <w:pPr>
              <w:pStyle w:val="Tabletext"/>
            </w:pPr>
            <w:r w:rsidRPr="00583E1A">
              <w:t>to the extent to which the amount or value is relevant for the purposes of Part</w:t>
            </w:r>
            <w:r w:rsidR="00583E1A">
              <w:t> </w:t>
            </w:r>
            <w:r w:rsidRPr="00583E1A">
              <w:t>3</w:t>
            </w:r>
            <w:r w:rsidR="00583E1A">
              <w:noBreakHyphen/>
            </w:r>
            <w:r w:rsidRPr="00583E1A">
              <w:t>1 or 3</w:t>
            </w:r>
            <w:r w:rsidR="00583E1A">
              <w:noBreakHyphen/>
            </w:r>
            <w:r w:rsidRPr="00583E1A">
              <w:t>3</w:t>
            </w:r>
          </w:p>
        </w:tc>
        <w:tc>
          <w:tcPr>
            <w:tcW w:w="3186" w:type="dxa"/>
            <w:tcBorders>
              <w:top w:val="single" w:sz="2" w:space="0" w:color="auto"/>
              <w:bottom w:val="single" w:sz="2" w:space="0" w:color="auto"/>
            </w:tcBorders>
            <w:shd w:val="clear" w:color="auto" w:fill="auto"/>
          </w:tcPr>
          <w:p w:rsidR="00887330" w:rsidRPr="00583E1A" w:rsidRDefault="00887330" w:rsidP="00887330">
            <w:pPr>
              <w:pStyle w:val="Tabletext"/>
            </w:pPr>
            <w:r w:rsidRPr="00583E1A">
              <w:t>the amount or value is to be translated, for the purposes of Part</w:t>
            </w:r>
            <w:r w:rsidR="00583E1A">
              <w:t> </w:t>
            </w:r>
            <w:r w:rsidRPr="00583E1A">
              <w:t>3</w:t>
            </w:r>
            <w:r w:rsidR="00583E1A">
              <w:noBreakHyphen/>
            </w:r>
            <w:r w:rsidRPr="00583E1A">
              <w:t>1 or 3</w:t>
            </w:r>
            <w:r w:rsidR="00583E1A">
              <w:noBreakHyphen/>
            </w:r>
            <w:r w:rsidRPr="00583E1A">
              <w:t>3, to Australian currency at the exchange rate applicable at the time of the transaction or event.</w:t>
            </w:r>
          </w:p>
        </w:tc>
      </w:tr>
      <w:tr w:rsidR="00887330" w:rsidRPr="00583E1A" w:rsidTr="00A43AC3">
        <w:trPr>
          <w:cantSplit/>
        </w:trPr>
        <w:tc>
          <w:tcPr>
            <w:tcW w:w="714" w:type="dxa"/>
            <w:tcBorders>
              <w:top w:val="single" w:sz="2" w:space="0" w:color="auto"/>
              <w:bottom w:val="single" w:sz="2" w:space="0" w:color="auto"/>
            </w:tcBorders>
            <w:shd w:val="clear" w:color="auto" w:fill="auto"/>
          </w:tcPr>
          <w:p w:rsidR="00887330" w:rsidRPr="00583E1A" w:rsidRDefault="00887330" w:rsidP="00887330">
            <w:pPr>
              <w:pStyle w:val="Tabletext"/>
            </w:pPr>
            <w:r w:rsidRPr="00583E1A">
              <w:lastRenderedPageBreak/>
              <w:t>6</w:t>
            </w:r>
          </w:p>
        </w:tc>
        <w:tc>
          <w:tcPr>
            <w:tcW w:w="3186" w:type="dxa"/>
            <w:tcBorders>
              <w:top w:val="single" w:sz="2" w:space="0" w:color="auto"/>
              <w:bottom w:val="single" w:sz="2" w:space="0" w:color="auto"/>
            </w:tcBorders>
            <w:shd w:val="clear" w:color="auto" w:fill="auto"/>
          </w:tcPr>
          <w:p w:rsidR="00887330" w:rsidRPr="00583E1A" w:rsidRDefault="00887330" w:rsidP="00887330">
            <w:pPr>
              <w:pStyle w:val="Tabletext"/>
            </w:pPr>
            <w:r w:rsidRPr="00583E1A">
              <w:t xml:space="preserve">an amount of </w:t>
            </w:r>
            <w:r w:rsidR="00583E1A" w:rsidRPr="00583E1A">
              <w:rPr>
                <w:position w:val="6"/>
                <w:sz w:val="16"/>
              </w:rPr>
              <w:t>*</w:t>
            </w:r>
            <w:r w:rsidRPr="00583E1A">
              <w:t>ordinary income</w:t>
            </w:r>
          </w:p>
        </w:tc>
        <w:tc>
          <w:tcPr>
            <w:tcW w:w="3186" w:type="dxa"/>
            <w:tcBorders>
              <w:top w:val="single" w:sz="2" w:space="0" w:color="auto"/>
              <w:bottom w:val="single" w:sz="2" w:space="0" w:color="auto"/>
            </w:tcBorders>
            <w:shd w:val="clear" w:color="auto" w:fill="auto"/>
          </w:tcPr>
          <w:p w:rsidR="00887330" w:rsidRPr="00583E1A" w:rsidRDefault="00887330" w:rsidP="00887330">
            <w:pPr>
              <w:pStyle w:val="Tablea"/>
            </w:pPr>
            <w:r w:rsidRPr="00583E1A">
              <w:t xml:space="preserve">(a) if the amount is received at or before the time when it is </w:t>
            </w:r>
            <w:r w:rsidR="00583E1A" w:rsidRPr="00583E1A">
              <w:rPr>
                <w:position w:val="6"/>
                <w:sz w:val="16"/>
              </w:rPr>
              <w:t>*</w:t>
            </w:r>
            <w:r w:rsidRPr="00583E1A">
              <w:t>derived—the amount is to be translated to Australian currency at the exchange rate applicable at the time of receipt; or</w:t>
            </w:r>
          </w:p>
          <w:p w:rsidR="00887330" w:rsidRPr="00583E1A" w:rsidRDefault="00887330" w:rsidP="00887330">
            <w:pPr>
              <w:pStyle w:val="Tablea"/>
            </w:pPr>
            <w:r w:rsidRPr="00583E1A">
              <w:t>(b) in any other case—the amount is to be translated to Australian currency at the exchange rate applicable when it is derived.</w:t>
            </w:r>
          </w:p>
        </w:tc>
      </w:tr>
      <w:tr w:rsidR="00887330" w:rsidRPr="00583E1A" w:rsidTr="00A43AC3">
        <w:trPr>
          <w:cantSplit/>
        </w:trPr>
        <w:tc>
          <w:tcPr>
            <w:tcW w:w="714" w:type="dxa"/>
            <w:tcBorders>
              <w:top w:val="single" w:sz="2" w:space="0" w:color="auto"/>
              <w:bottom w:val="single" w:sz="2" w:space="0" w:color="auto"/>
            </w:tcBorders>
            <w:shd w:val="clear" w:color="auto" w:fill="auto"/>
          </w:tcPr>
          <w:p w:rsidR="00887330" w:rsidRPr="00583E1A" w:rsidRDefault="00887330" w:rsidP="00887330">
            <w:pPr>
              <w:pStyle w:val="Tabletext"/>
            </w:pPr>
            <w:r w:rsidRPr="00583E1A">
              <w:t>7</w:t>
            </w:r>
          </w:p>
        </w:tc>
        <w:tc>
          <w:tcPr>
            <w:tcW w:w="3186" w:type="dxa"/>
            <w:tcBorders>
              <w:top w:val="single" w:sz="2" w:space="0" w:color="auto"/>
              <w:bottom w:val="single" w:sz="2" w:space="0" w:color="auto"/>
            </w:tcBorders>
            <w:shd w:val="clear" w:color="auto" w:fill="auto"/>
          </w:tcPr>
          <w:p w:rsidR="00887330" w:rsidRPr="00583E1A" w:rsidRDefault="00887330" w:rsidP="00887330">
            <w:pPr>
              <w:pStyle w:val="Tabletext"/>
            </w:pPr>
            <w:r w:rsidRPr="00583E1A">
              <w:t xml:space="preserve">an amount of </w:t>
            </w:r>
            <w:r w:rsidR="00583E1A" w:rsidRPr="00583E1A">
              <w:rPr>
                <w:position w:val="6"/>
                <w:sz w:val="16"/>
              </w:rPr>
              <w:t>*</w:t>
            </w:r>
            <w:r w:rsidRPr="00583E1A">
              <w:t>statutory income (other than an amount included in assessable income under Division</w:t>
            </w:r>
            <w:r w:rsidR="00583E1A">
              <w:t> </w:t>
            </w:r>
            <w:r w:rsidRPr="00583E1A">
              <w:t>102)</w:t>
            </w:r>
          </w:p>
        </w:tc>
        <w:tc>
          <w:tcPr>
            <w:tcW w:w="3186" w:type="dxa"/>
            <w:tcBorders>
              <w:top w:val="single" w:sz="2" w:space="0" w:color="auto"/>
              <w:bottom w:val="single" w:sz="2" w:space="0" w:color="auto"/>
            </w:tcBorders>
            <w:shd w:val="clear" w:color="auto" w:fill="auto"/>
          </w:tcPr>
          <w:p w:rsidR="00887330" w:rsidRPr="00583E1A" w:rsidRDefault="00887330" w:rsidP="00887330">
            <w:pPr>
              <w:pStyle w:val="Tablea"/>
            </w:pPr>
            <w:r w:rsidRPr="00583E1A">
              <w:t>(a) if the amount is received at or before the time when the requirement first arose to include it in your assessable income—the amount is to be translated to Australian currency at the exchange rate applicable at the time of receipt; or</w:t>
            </w:r>
          </w:p>
          <w:p w:rsidR="00887330" w:rsidRPr="00583E1A" w:rsidRDefault="00887330" w:rsidP="00887330">
            <w:pPr>
              <w:pStyle w:val="Tablea"/>
            </w:pPr>
            <w:r w:rsidRPr="00583E1A">
              <w:t>(b) in any other case—the amount is to be translated to Australian currency at the exchange rate applicable at the time when the requirement first arose to include it in your assessable income.</w:t>
            </w:r>
          </w:p>
        </w:tc>
      </w:tr>
      <w:tr w:rsidR="00887330" w:rsidRPr="00583E1A" w:rsidTr="00A43AC3">
        <w:trPr>
          <w:cantSplit/>
        </w:trPr>
        <w:tc>
          <w:tcPr>
            <w:tcW w:w="714" w:type="dxa"/>
            <w:tcBorders>
              <w:top w:val="single" w:sz="2" w:space="0" w:color="auto"/>
              <w:bottom w:val="single" w:sz="2" w:space="0" w:color="auto"/>
            </w:tcBorders>
            <w:shd w:val="clear" w:color="auto" w:fill="auto"/>
          </w:tcPr>
          <w:p w:rsidR="00887330" w:rsidRPr="00583E1A" w:rsidRDefault="00887330" w:rsidP="00887330">
            <w:pPr>
              <w:pStyle w:val="Tabletext"/>
            </w:pPr>
            <w:r w:rsidRPr="00583E1A">
              <w:t>8</w:t>
            </w:r>
          </w:p>
        </w:tc>
        <w:tc>
          <w:tcPr>
            <w:tcW w:w="3186" w:type="dxa"/>
            <w:tcBorders>
              <w:top w:val="single" w:sz="2" w:space="0" w:color="auto"/>
              <w:bottom w:val="single" w:sz="2" w:space="0" w:color="auto"/>
            </w:tcBorders>
            <w:shd w:val="clear" w:color="auto" w:fill="auto"/>
          </w:tcPr>
          <w:p w:rsidR="00887330" w:rsidRPr="00583E1A" w:rsidRDefault="00887330" w:rsidP="00887330">
            <w:pPr>
              <w:pStyle w:val="Tabletext"/>
            </w:pPr>
            <w:r w:rsidRPr="00583E1A">
              <w:t>an amount that you deduct (other than under Division</w:t>
            </w:r>
            <w:r w:rsidR="00583E1A">
              <w:t> </w:t>
            </w:r>
            <w:r w:rsidRPr="00583E1A">
              <w:t>40)</w:t>
            </w:r>
          </w:p>
        </w:tc>
        <w:tc>
          <w:tcPr>
            <w:tcW w:w="3186" w:type="dxa"/>
            <w:tcBorders>
              <w:top w:val="single" w:sz="2" w:space="0" w:color="auto"/>
              <w:bottom w:val="single" w:sz="2" w:space="0" w:color="auto"/>
            </w:tcBorders>
            <w:shd w:val="clear" w:color="auto" w:fill="auto"/>
          </w:tcPr>
          <w:p w:rsidR="00887330" w:rsidRPr="00583E1A" w:rsidRDefault="00887330" w:rsidP="00887330">
            <w:pPr>
              <w:pStyle w:val="Tablea"/>
            </w:pPr>
            <w:r w:rsidRPr="00583E1A">
              <w:t>(a) if the amount is paid at or before the time when it became deductible—the amount is to be translated to Australian currency at the exchange rate applicable at the time of payment; or</w:t>
            </w:r>
          </w:p>
          <w:p w:rsidR="00887330" w:rsidRPr="00583E1A" w:rsidRDefault="00887330" w:rsidP="00887330">
            <w:pPr>
              <w:pStyle w:val="Tablea"/>
            </w:pPr>
            <w:r w:rsidRPr="00583E1A">
              <w:t>(b) in any other case—the amount is to be translated to Australian currency at the exchange rate applicable at the time when it became deductible.</w:t>
            </w:r>
          </w:p>
        </w:tc>
      </w:tr>
      <w:tr w:rsidR="001B55B4" w:rsidRPr="00583E1A" w:rsidTr="00A43AC3">
        <w:trPr>
          <w:cantSplit/>
        </w:trPr>
        <w:tc>
          <w:tcPr>
            <w:tcW w:w="714" w:type="dxa"/>
            <w:tcBorders>
              <w:top w:val="single" w:sz="2" w:space="0" w:color="auto"/>
              <w:bottom w:val="single" w:sz="2" w:space="0" w:color="auto"/>
            </w:tcBorders>
            <w:shd w:val="clear" w:color="auto" w:fill="auto"/>
          </w:tcPr>
          <w:p w:rsidR="001B55B4" w:rsidRPr="00583E1A" w:rsidDel="001B55B4" w:rsidRDefault="001B55B4" w:rsidP="00887330">
            <w:pPr>
              <w:pStyle w:val="Tabletext"/>
            </w:pPr>
            <w:r w:rsidRPr="00583E1A">
              <w:lastRenderedPageBreak/>
              <w:t>9</w:t>
            </w:r>
          </w:p>
        </w:tc>
        <w:tc>
          <w:tcPr>
            <w:tcW w:w="3186" w:type="dxa"/>
            <w:tcBorders>
              <w:top w:val="single" w:sz="2" w:space="0" w:color="auto"/>
              <w:bottom w:val="single" w:sz="2" w:space="0" w:color="auto"/>
            </w:tcBorders>
            <w:shd w:val="clear" w:color="auto" w:fill="auto"/>
          </w:tcPr>
          <w:p w:rsidR="001B55B4" w:rsidRPr="00583E1A" w:rsidRDefault="001B55B4" w:rsidP="001B55B4">
            <w:pPr>
              <w:pStyle w:val="Tabletext"/>
            </w:pPr>
            <w:r w:rsidRPr="00583E1A">
              <w:t>an amount that is relevant for the purposes of quantifying:</w:t>
            </w:r>
          </w:p>
          <w:p w:rsidR="001B55B4" w:rsidRPr="00583E1A" w:rsidRDefault="001B55B4" w:rsidP="001B55B4">
            <w:pPr>
              <w:pStyle w:val="Tablea"/>
            </w:pPr>
            <w:r w:rsidRPr="00583E1A">
              <w:t xml:space="preserve">(a) the total of all of a company’s </w:t>
            </w:r>
            <w:r w:rsidR="00583E1A" w:rsidRPr="00583E1A">
              <w:rPr>
                <w:position w:val="6"/>
                <w:sz w:val="16"/>
              </w:rPr>
              <w:t>*</w:t>
            </w:r>
            <w:r w:rsidRPr="00583E1A">
              <w:t xml:space="preserve">production expenditure on a </w:t>
            </w:r>
            <w:r w:rsidR="00583E1A" w:rsidRPr="00583E1A">
              <w:rPr>
                <w:position w:val="6"/>
                <w:sz w:val="16"/>
              </w:rPr>
              <w:t>*</w:t>
            </w:r>
            <w:r w:rsidRPr="00583E1A">
              <w:t>film; or</w:t>
            </w:r>
          </w:p>
          <w:p w:rsidR="001B55B4" w:rsidRPr="00583E1A" w:rsidRDefault="001B55B4" w:rsidP="001B55B4">
            <w:pPr>
              <w:pStyle w:val="Tablea"/>
            </w:pPr>
            <w:r w:rsidRPr="00583E1A">
              <w:t xml:space="preserve">(b) the total of the company’s </w:t>
            </w:r>
            <w:r w:rsidR="00583E1A" w:rsidRPr="00583E1A">
              <w:rPr>
                <w:position w:val="6"/>
                <w:sz w:val="16"/>
              </w:rPr>
              <w:t>*</w:t>
            </w:r>
            <w:r w:rsidRPr="00583E1A">
              <w:t>qualifying Australian production expenditure on a film; or</w:t>
            </w:r>
          </w:p>
          <w:p w:rsidR="001B55B4" w:rsidRPr="00583E1A" w:rsidRDefault="001B55B4" w:rsidP="001B55B4">
            <w:pPr>
              <w:pStyle w:val="Tablea"/>
            </w:pPr>
            <w:r w:rsidRPr="00583E1A">
              <w:t xml:space="preserve">(c) the company’s </w:t>
            </w:r>
            <w:r w:rsidR="00583E1A" w:rsidRPr="00583E1A">
              <w:rPr>
                <w:position w:val="6"/>
                <w:sz w:val="16"/>
              </w:rPr>
              <w:t>*</w:t>
            </w:r>
            <w:r w:rsidRPr="00583E1A">
              <w:t>total film expenditure on a film;</w:t>
            </w:r>
          </w:p>
          <w:p w:rsidR="001B55B4" w:rsidRPr="00583E1A" w:rsidDel="001B55B4" w:rsidRDefault="001B55B4" w:rsidP="00887330">
            <w:pPr>
              <w:pStyle w:val="Tabletext"/>
            </w:pPr>
            <w:r w:rsidRPr="00583E1A">
              <w:t>to the extent to which the amount is relevant for the purposes of issuing a certificate under section</w:t>
            </w:r>
            <w:r w:rsidR="00583E1A">
              <w:t> </w:t>
            </w:r>
            <w:r w:rsidRPr="00583E1A">
              <w:t>376</w:t>
            </w:r>
            <w:r w:rsidR="00583E1A">
              <w:noBreakHyphen/>
            </w:r>
            <w:r w:rsidRPr="00583E1A">
              <w:t>20 or 376</w:t>
            </w:r>
            <w:r w:rsidR="00583E1A">
              <w:noBreakHyphen/>
            </w:r>
            <w:r w:rsidRPr="00583E1A">
              <w:t>65</w:t>
            </w:r>
          </w:p>
        </w:tc>
        <w:tc>
          <w:tcPr>
            <w:tcW w:w="3186" w:type="dxa"/>
            <w:tcBorders>
              <w:top w:val="single" w:sz="2" w:space="0" w:color="auto"/>
              <w:bottom w:val="single" w:sz="2" w:space="0" w:color="auto"/>
            </w:tcBorders>
            <w:shd w:val="clear" w:color="auto" w:fill="auto"/>
          </w:tcPr>
          <w:p w:rsidR="001B55B4" w:rsidRPr="00583E1A" w:rsidDel="001B55B4" w:rsidRDefault="001B55B4" w:rsidP="00887330">
            <w:pPr>
              <w:pStyle w:val="Tabletext"/>
            </w:pPr>
            <w:r w:rsidRPr="00583E1A">
              <w:t>the amount is to be translated to Australian currency at the exchange rate applicable at the time when principal photography commences or production of the animated image commences.</w:t>
            </w:r>
          </w:p>
        </w:tc>
      </w:tr>
      <w:tr w:rsidR="00A21C78" w:rsidRPr="00583E1A" w:rsidTr="00A43AC3">
        <w:trPr>
          <w:cantSplit/>
        </w:trPr>
        <w:tc>
          <w:tcPr>
            <w:tcW w:w="714" w:type="dxa"/>
            <w:tcBorders>
              <w:top w:val="single" w:sz="2" w:space="0" w:color="auto"/>
              <w:bottom w:val="single" w:sz="2" w:space="0" w:color="auto"/>
            </w:tcBorders>
            <w:shd w:val="clear" w:color="auto" w:fill="auto"/>
          </w:tcPr>
          <w:p w:rsidR="00A21C78" w:rsidRPr="00583E1A" w:rsidRDefault="00A21C78" w:rsidP="00A21C78">
            <w:pPr>
              <w:pStyle w:val="Tabletext"/>
            </w:pPr>
            <w:r w:rsidRPr="00583E1A">
              <w:t>9A</w:t>
            </w:r>
          </w:p>
        </w:tc>
        <w:tc>
          <w:tcPr>
            <w:tcW w:w="3186" w:type="dxa"/>
            <w:tcBorders>
              <w:top w:val="single" w:sz="2" w:space="0" w:color="auto"/>
              <w:bottom w:val="single" w:sz="2" w:space="0" w:color="auto"/>
            </w:tcBorders>
            <w:shd w:val="clear" w:color="auto" w:fill="auto"/>
          </w:tcPr>
          <w:p w:rsidR="00A21C78" w:rsidRPr="00583E1A" w:rsidRDefault="00A21C78" w:rsidP="00A21C78">
            <w:pPr>
              <w:pStyle w:val="Tabletext"/>
            </w:pPr>
            <w:r w:rsidRPr="00583E1A">
              <w:t>an amount that is relevant for the purposes of quantifying:</w:t>
            </w:r>
          </w:p>
          <w:p w:rsidR="00A21C78" w:rsidRPr="00583E1A" w:rsidRDefault="00A21C78" w:rsidP="00A21C78">
            <w:pPr>
              <w:pStyle w:val="Tablea"/>
            </w:pPr>
            <w:r w:rsidRPr="00583E1A">
              <w:t xml:space="preserve">(a) the total of all of a company’s </w:t>
            </w:r>
            <w:r w:rsidR="00583E1A" w:rsidRPr="00583E1A">
              <w:rPr>
                <w:position w:val="6"/>
                <w:sz w:val="16"/>
              </w:rPr>
              <w:t>*</w:t>
            </w:r>
            <w:r w:rsidRPr="00583E1A">
              <w:t xml:space="preserve">production expenditure on a </w:t>
            </w:r>
            <w:r w:rsidR="00583E1A" w:rsidRPr="00583E1A">
              <w:rPr>
                <w:position w:val="6"/>
                <w:sz w:val="16"/>
              </w:rPr>
              <w:t>*</w:t>
            </w:r>
            <w:r w:rsidRPr="00583E1A">
              <w:t>film; or</w:t>
            </w:r>
          </w:p>
          <w:p w:rsidR="00A21C78" w:rsidRPr="00583E1A" w:rsidRDefault="00A21C78" w:rsidP="00A21C78">
            <w:pPr>
              <w:pStyle w:val="Tablea"/>
            </w:pPr>
            <w:r w:rsidRPr="00583E1A">
              <w:t xml:space="preserve">(b) the total of the company’s </w:t>
            </w:r>
            <w:r w:rsidR="00583E1A" w:rsidRPr="00583E1A">
              <w:rPr>
                <w:position w:val="6"/>
                <w:sz w:val="16"/>
              </w:rPr>
              <w:t>*</w:t>
            </w:r>
            <w:r w:rsidRPr="00583E1A">
              <w:t>qualifying Australian production expenditure on a film;</w:t>
            </w:r>
          </w:p>
          <w:p w:rsidR="00A21C78" w:rsidRPr="00583E1A" w:rsidRDefault="00A21C78" w:rsidP="00A21C78">
            <w:pPr>
              <w:pStyle w:val="Tabletext"/>
            </w:pPr>
            <w:r w:rsidRPr="00583E1A">
              <w:t>to the extent to which the amount is relevant for the purposes of issuing a certificate under section</w:t>
            </w:r>
            <w:r w:rsidR="00583E1A">
              <w:t> </w:t>
            </w:r>
            <w:r w:rsidRPr="00583E1A">
              <w:t>376</w:t>
            </w:r>
            <w:r w:rsidR="00583E1A">
              <w:noBreakHyphen/>
            </w:r>
            <w:r w:rsidRPr="00583E1A">
              <w:t>45</w:t>
            </w:r>
          </w:p>
        </w:tc>
        <w:tc>
          <w:tcPr>
            <w:tcW w:w="3186" w:type="dxa"/>
            <w:tcBorders>
              <w:top w:val="single" w:sz="2" w:space="0" w:color="auto"/>
              <w:bottom w:val="single" w:sz="2" w:space="0" w:color="auto"/>
            </w:tcBorders>
            <w:shd w:val="clear" w:color="auto" w:fill="auto"/>
          </w:tcPr>
          <w:p w:rsidR="00A21C78" w:rsidRPr="00583E1A" w:rsidRDefault="00A21C78" w:rsidP="00A21C78">
            <w:pPr>
              <w:pStyle w:val="Tabletext"/>
            </w:pPr>
            <w:r w:rsidRPr="00583E1A">
              <w:t xml:space="preserve">the amount is to be translated to Australian currency at the exchange rate applicable when </w:t>
            </w:r>
            <w:r w:rsidR="00583E1A" w:rsidRPr="00583E1A">
              <w:rPr>
                <w:position w:val="6"/>
                <w:sz w:val="16"/>
              </w:rPr>
              <w:t>*</w:t>
            </w:r>
            <w:r w:rsidRPr="00583E1A">
              <w:t>post, digital and visual effects production for the film commences.</w:t>
            </w:r>
          </w:p>
          <w:p w:rsidR="00A21C78" w:rsidRPr="00583E1A" w:rsidRDefault="00A21C78" w:rsidP="00A21C78">
            <w:pPr>
              <w:pStyle w:val="Tablea"/>
            </w:pPr>
          </w:p>
        </w:tc>
      </w:tr>
      <w:tr w:rsidR="00A21C78" w:rsidRPr="00583E1A" w:rsidTr="00A43AC3">
        <w:trPr>
          <w:cantSplit/>
        </w:trPr>
        <w:tc>
          <w:tcPr>
            <w:tcW w:w="714" w:type="dxa"/>
            <w:tcBorders>
              <w:top w:val="single" w:sz="2" w:space="0" w:color="auto"/>
              <w:bottom w:val="single" w:sz="2" w:space="0" w:color="auto"/>
            </w:tcBorders>
            <w:shd w:val="clear" w:color="auto" w:fill="auto"/>
          </w:tcPr>
          <w:p w:rsidR="00A21C78" w:rsidRPr="00583E1A" w:rsidRDefault="00A21C78" w:rsidP="00A21C78">
            <w:pPr>
              <w:pStyle w:val="Tabletext"/>
            </w:pPr>
            <w:r w:rsidRPr="00583E1A">
              <w:lastRenderedPageBreak/>
              <w:t>9B</w:t>
            </w:r>
          </w:p>
        </w:tc>
        <w:tc>
          <w:tcPr>
            <w:tcW w:w="3186" w:type="dxa"/>
            <w:tcBorders>
              <w:top w:val="single" w:sz="2" w:space="0" w:color="auto"/>
              <w:bottom w:val="single" w:sz="2" w:space="0" w:color="auto"/>
            </w:tcBorders>
            <w:shd w:val="clear" w:color="auto" w:fill="auto"/>
          </w:tcPr>
          <w:p w:rsidR="00A21C78" w:rsidRPr="00583E1A" w:rsidRDefault="009B5EC0" w:rsidP="00A21C78">
            <w:pPr>
              <w:pStyle w:val="Tabletext"/>
            </w:pPr>
            <w:r w:rsidRPr="00592B5B">
              <w:t>subject to item 9C, an amount that is relevant</w:t>
            </w:r>
            <w:r w:rsidR="00A21C78" w:rsidRPr="00583E1A">
              <w:t xml:space="preserve"> for the purposes of quantifying:</w:t>
            </w:r>
          </w:p>
          <w:p w:rsidR="00A21C78" w:rsidRPr="00583E1A" w:rsidRDefault="00A21C78" w:rsidP="00A21C78">
            <w:pPr>
              <w:pStyle w:val="Tablea"/>
            </w:pPr>
            <w:r w:rsidRPr="00583E1A">
              <w:t xml:space="preserve">(a) the total of all of a company’s </w:t>
            </w:r>
            <w:r w:rsidR="00583E1A" w:rsidRPr="00583E1A">
              <w:rPr>
                <w:position w:val="6"/>
                <w:sz w:val="16"/>
              </w:rPr>
              <w:t>*</w:t>
            </w:r>
            <w:r w:rsidRPr="00583E1A">
              <w:t xml:space="preserve">production expenditure on a </w:t>
            </w:r>
            <w:r w:rsidR="00583E1A" w:rsidRPr="00583E1A">
              <w:rPr>
                <w:position w:val="6"/>
                <w:sz w:val="16"/>
              </w:rPr>
              <w:t>*</w:t>
            </w:r>
            <w:r w:rsidRPr="00583E1A">
              <w:t>film; or</w:t>
            </w:r>
          </w:p>
          <w:p w:rsidR="00A21C78" w:rsidRPr="00583E1A" w:rsidRDefault="00A21C78" w:rsidP="00A21C78">
            <w:pPr>
              <w:pStyle w:val="Tablea"/>
            </w:pPr>
            <w:r w:rsidRPr="00583E1A">
              <w:t xml:space="preserve">(b) the total of the company’s </w:t>
            </w:r>
            <w:r w:rsidR="00583E1A" w:rsidRPr="00583E1A">
              <w:rPr>
                <w:position w:val="6"/>
                <w:sz w:val="16"/>
              </w:rPr>
              <w:t>*</w:t>
            </w:r>
            <w:r w:rsidRPr="00583E1A">
              <w:t>qualifying Australian production expenditure on a film; or</w:t>
            </w:r>
          </w:p>
          <w:p w:rsidR="00A21C78" w:rsidRPr="00583E1A" w:rsidRDefault="00A21C78" w:rsidP="00A21C78">
            <w:pPr>
              <w:pStyle w:val="Tablea"/>
            </w:pPr>
            <w:r w:rsidRPr="00583E1A">
              <w:t xml:space="preserve">(c) the company’s </w:t>
            </w:r>
            <w:r w:rsidR="00583E1A" w:rsidRPr="00583E1A">
              <w:rPr>
                <w:position w:val="6"/>
                <w:sz w:val="16"/>
              </w:rPr>
              <w:t>*</w:t>
            </w:r>
            <w:r w:rsidRPr="00583E1A">
              <w:t>total film expenditure on a film;</w:t>
            </w:r>
          </w:p>
          <w:p w:rsidR="00A21C78" w:rsidRPr="00583E1A" w:rsidRDefault="00A21C78" w:rsidP="00A21C78">
            <w:pPr>
              <w:pStyle w:val="Tabletext"/>
            </w:pPr>
            <w:r w:rsidRPr="00583E1A">
              <w:t xml:space="preserve">to the extent to which the amount is relevant for the purposes of calculating an amount of a </w:t>
            </w:r>
            <w:r w:rsidR="00583E1A" w:rsidRPr="00583E1A">
              <w:rPr>
                <w:position w:val="6"/>
                <w:sz w:val="16"/>
              </w:rPr>
              <w:t>*</w:t>
            </w:r>
            <w:r w:rsidRPr="00583E1A">
              <w:t>tax offset under section</w:t>
            </w:r>
            <w:r w:rsidR="00583E1A">
              <w:t> </w:t>
            </w:r>
            <w:r w:rsidRPr="00583E1A">
              <w:t>376</w:t>
            </w:r>
            <w:r w:rsidR="00583E1A">
              <w:noBreakHyphen/>
            </w:r>
            <w:r w:rsidRPr="00583E1A">
              <w:t>15, 376</w:t>
            </w:r>
            <w:r w:rsidR="00583E1A">
              <w:noBreakHyphen/>
            </w:r>
            <w:r w:rsidRPr="00583E1A">
              <w:t>40 or 376</w:t>
            </w:r>
            <w:r w:rsidR="00583E1A">
              <w:noBreakHyphen/>
            </w:r>
            <w:r w:rsidRPr="00583E1A">
              <w:t>60</w:t>
            </w:r>
          </w:p>
        </w:tc>
        <w:tc>
          <w:tcPr>
            <w:tcW w:w="3186" w:type="dxa"/>
            <w:tcBorders>
              <w:top w:val="single" w:sz="2" w:space="0" w:color="auto"/>
              <w:bottom w:val="single" w:sz="2" w:space="0" w:color="auto"/>
            </w:tcBorders>
            <w:shd w:val="clear" w:color="auto" w:fill="auto"/>
          </w:tcPr>
          <w:p w:rsidR="00A21C78" w:rsidRPr="00583E1A" w:rsidRDefault="00A21C78" w:rsidP="00A21C78">
            <w:pPr>
              <w:pStyle w:val="Tabletext"/>
            </w:pPr>
            <w:r w:rsidRPr="00583E1A">
              <w:t>the amount is to be translated to Australian currency at the average of the exchange rates applicable from time to time during the period that qualifying Australian production expenditure is incurred on the film.</w:t>
            </w:r>
          </w:p>
          <w:p w:rsidR="00A21C78" w:rsidRPr="00583E1A" w:rsidRDefault="00A21C78" w:rsidP="00A21C78">
            <w:pPr>
              <w:pStyle w:val="Tabletext"/>
            </w:pPr>
          </w:p>
        </w:tc>
      </w:tr>
      <w:tr w:rsidR="00A43AC3" w:rsidRPr="00592B5B" w:rsidTr="00A43AC3">
        <w:tc>
          <w:tcPr>
            <w:tcW w:w="714" w:type="dxa"/>
            <w:tcBorders>
              <w:top w:val="single" w:sz="2" w:space="0" w:color="auto"/>
              <w:bottom w:val="single" w:sz="2" w:space="0" w:color="auto"/>
            </w:tcBorders>
            <w:shd w:val="clear" w:color="auto" w:fill="auto"/>
          </w:tcPr>
          <w:p w:rsidR="00A43AC3" w:rsidRPr="00592B5B" w:rsidRDefault="00A43AC3" w:rsidP="0085636A">
            <w:pPr>
              <w:pStyle w:val="Tabletext"/>
            </w:pPr>
            <w:r w:rsidRPr="00592B5B">
              <w:t>9C</w:t>
            </w:r>
          </w:p>
        </w:tc>
        <w:tc>
          <w:tcPr>
            <w:tcW w:w="3186" w:type="dxa"/>
            <w:tcBorders>
              <w:top w:val="single" w:sz="2" w:space="0" w:color="auto"/>
              <w:bottom w:val="single" w:sz="2" w:space="0" w:color="auto"/>
            </w:tcBorders>
            <w:shd w:val="clear" w:color="auto" w:fill="auto"/>
          </w:tcPr>
          <w:p w:rsidR="00A43AC3" w:rsidRPr="00592B5B" w:rsidRDefault="00A43AC3" w:rsidP="0085636A">
            <w:pPr>
              <w:pStyle w:val="Tabletext"/>
            </w:pPr>
            <w:r w:rsidRPr="00592B5B">
              <w:t>an amount that is relevant for the purposes of quantifying:</w:t>
            </w:r>
          </w:p>
          <w:p w:rsidR="00A43AC3" w:rsidRPr="00592B5B" w:rsidRDefault="00A43AC3" w:rsidP="0085636A">
            <w:pPr>
              <w:pStyle w:val="Tablea"/>
            </w:pPr>
            <w:r w:rsidRPr="00592B5B">
              <w:t xml:space="preserve">(a) the total of all of a company’s </w:t>
            </w:r>
            <w:r w:rsidRPr="00592B5B">
              <w:rPr>
                <w:position w:val="6"/>
                <w:sz w:val="16"/>
              </w:rPr>
              <w:t>*</w:t>
            </w:r>
            <w:r w:rsidRPr="00592B5B">
              <w:t xml:space="preserve">production expenditure on a </w:t>
            </w:r>
            <w:r w:rsidRPr="00592B5B">
              <w:rPr>
                <w:position w:val="6"/>
                <w:sz w:val="16"/>
              </w:rPr>
              <w:t>*</w:t>
            </w:r>
            <w:r w:rsidRPr="00592B5B">
              <w:t>film; or</w:t>
            </w:r>
          </w:p>
          <w:p w:rsidR="00A43AC3" w:rsidRPr="00592B5B" w:rsidRDefault="00A43AC3" w:rsidP="0085636A">
            <w:pPr>
              <w:pStyle w:val="Tablea"/>
            </w:pPr>
            <w:r w:rsidRPr="00592B5B">
              <w:t xml:space="preserve">(b) the total of the company’s </w:t>
            </w:r>
            <w:r w:rsidRPr="00592B5B">
              <w:rPr>
                <w:position w:val="6"/>
                <w:sz w:val="16"/>
              </w:rPr>
              <w:t>*</w:t>
            </w:r>
            <w:r w:rsidRPr="00592B5B">
              <w:t>qualifying Australian production expenditure on a film; or</w:t>
            </w:r>
          </w:p>
          <w:p w:rsidR="00A43AC3" w:rsidRPr="00592B5B" w:rsidRDefault="00A43AC3" w:rsidP="0085636A">
            <w:pPr>
              <w:pStyle w:val="Tablea"/>
            </w:pPr>
            <w:r w:rsidRPr="00592B5B">
              <w:t xml:space="preserve">(c) the company’s </w:t>
            </w:r>
            <w:r w:rsidRPr="00592B5B">
              <w:rPr>
                <w:position w:val="6"/>
                <w:sz w:val="16"/>
              </w:rPr>
              <w:t>*</w:t>
            </w:r>
            <w:r w:rsidRPr="00592B5B">
              <w:t>total film expenditure on a film;</w:t>
            </w:r>
          </w:p>
          <w:p w:rsidR="00A43AC3" w:rsidRPr="00592B5B" w:rsidRDefault="00A43AC3" w:rsidP="0085636A">
            <w:pPr>
              <w:pStyle w:val="Tabletext"/>
            </w:pPr>
            <w:r w:rsidRPr="00592B5B">
              <w:t xml:space="preserve">to the extent to which the total of the company’s qualifying Australian production expenditure on a film is less than $15 million and the amount is relevant for the purposes of calculating an amount of a </w:t>
            </w:r>
            <w:r w:rsidRPr="00592B5B">
              <w:rPr>
                <w:position w:val="6"/>
                <w:sz w:val="16"/>
              </w:rPr>
              <w:t>*</w:t>
            </w:r>
            <w:r w:rsidRPr="00592B5B">
              <w:t>tax offset under section 376</w:t>
            </w:r>
            <w:r w:rsidRPr="00592B5B">
              <w:noBreakHyphen/>
              <w:t>60</w:t>
            </w:r>
          </w:p>
        </w:tc>
        <w:tc>
          <w:tcPr>
            <w:tcW w:w="3186" w:type="dxa"/>
            <w:tcBorders>
              <w:top w:val="single" w:sz="2" w:space="0" w:color="auto"/>
              <w:bottom w:val="single" w:sz="2" w:space="0" w:color="auto"/>
            </w:tcBorders>
            <w:shd w:val="clear" w:color="auto" w:fill="auto"/>
          </w:tcPr>
          <w:p w:rsidR="00A43AC3" w:rsidRPr="00592B5B" w:rsidRDefault="00A43AC3" w:rsidP="0085636A">
            <w:pPr>
              <w:pStyle w:val="Tabletext"/>
            </w:pPr>
            <w:r w:rsidRPr="00592B5B">
              <w:t>the amount is to be translated to Australian currency at the exchange rate applicable at the time when expenditure is incurred on the film</w:t>
            </w:r>
          </w:p>
        </w:tc>
      </w:tr>
      <w:tr w:rsidR="001B55B4" w:rsidRPr="00583E1A" w:rsidTr="00A43AC3">
        <w:trPr>
          <w:cantSplit/>
        </w:trPr>
        <w:tc>
          <w:tcPr>
            <w:tcW w:w="714" w:type="dxa"/>
            <w:tcBorders>
              <w:top w:val="single" w:sz="2" w:space="0" w:color="auto"/>
              <w:bottom w:val="single" w:sz="2" w:space="0" w:color="auto"/>
            </w:tcBorders>
            <w:shd w:val="clear" w:color="auto" w:fill="auto"/>
          </w:tcPr>
          <w:p w:rsidR="001B55B4" w:rsidRPr="00583E1A" w:rsidRDefault="001B55B4" w:rsidP="00887330">
            <w:pPr>
              <w:pStyle w:val="Tabletext"/>
            </w:pPr>
            <w:r w:rsidRPr="00583E1A">
              <w:lastRenderedPageBreak/>
              <w:t>10</w:t>
            </w:r>
          </w:p>
        </w:tc>
        <w:tc>
          <w:tcPr>
            <w:tcW w:w="3186" w:type="dxa"/>
            <w:tcBorders>
              <w:top w:val="single" w:sz="2" w:space="0" w:color="auto"/>
              <w:bottom w:val="single" w:sz="2" w:space="0" w:color="auto"/>
            </w:tcBorders>
            <w:shd w:val="clear" w:color="auto" w:fill="auto"/>
          </w:tcPr>
          <w:p w:rsidR="001B55B4" w:rsidRPr="00583E1A" w:rsidRDefault="001B55B4" w:rsidP="00887330">
            <w:pPr>
              <w:pStyle w:val="Tabletext"/>
            </w:pPr>
            <w:r w:rsidRPr="00583E1A">
              <w:t>an amount that Division</w:t>
            </w:r>
            <w:r w:rsidR="00583E1A">
              <w:t> </w:t>
            </w:r>
            <w:r w:rsidRPr="00583E1A">
              <w:t>12 of Part</w:t>
            </w:r>
            <w:r w:rsidR="00583E1A">
              <w:t> </w:t>
            </w:r>
            <w:r w:rsidRPr="00583E1A">
              <w:t>2.5 in Schedule</w:t>
            </w:r>
            <w:r w:rsidR="00583E1A">
              <w:t> </w:t>
            </w:r>
            <w:r w:rsidRPr="00583E1A">
              <w:t xml:space="preserve">1 to the </w:t>
            </w:r>
            <w:r w:rsidRPr="00583E1A">
              <w:rPr>
                <w:i/>
              </w:rPr>
              <w:t xml:space="preserve">Taxation Administration Act 1953 </w:t>
            </w:r>
            <w:r w:rsidRPr="00583E1A">
              <w:t>requires to be withheld from a payment</w:t>
            </w:r>
          </w:p>
        </w:tc>
        <w:tc>
          <w:tcPr>
            <w:tcW w:w="3186" w:type="dxa"/>
            <w:tcBorders>
              <w:top w:val="single" w:sz="2" w:space="0" w:color="auto"/>
              <w:bottom w:val="single" w:sz="2" w:space="0" w:color="auto"/>
            </w:tcBorders>
            <w:shd w:val="clear" w:color="auto" w:fill="auto"/>
          </w:tcPr>
          <w:p w:rsidR="001B55B4" w:rsidRPr="00583E1A" w:rsidRDefault="001B55B4" w:rsidP="00887330">
            <w:pPr>
              <w:pStyle w:val="Tabletext"/>
            </w:pPr>
            <w:r w:rsidRPr="00583E1A">
              <w:t>the amount is to be translated to Australian currency at the exchange rate applicable at the time when the amount is required to be withheld under that Division.</w:t>
            </w:r>
          </w:p>
        </w:tc>
      </w:tr>
      <w:tr w:rsidR="001B55B4" w:rsidRPr="00583E1A" w:rsidTr="00A43AC3">
        <w:trPr>
          <w:cantSplit/>
        </w:trPr>
        <w:tc>
          <w:tcPr>
            <w:tcW w:w="714" w:type="dxa"/>
            <w:tcBorders>
              <w:top w:val="single" w:sz="2" w:space="0" w:color="auto"/>
              <w:bottom w:val="single" w:sz="12" w:space="0" w:color="auto"/>
            </w:tcBorders>
            <w:shd w:val="clear" w:color="auto" w:fill="auto"/>
          </w:tcPr>
          <w:p w:rsidR="001B55B4" w:rsidRPr="00583E1A" w:rsidRDefault="001B55B4" w:rsidP="00887330">
            <w:pPr>
              <w:pStyle w:val="Tabletext"/>
            </w:pPr>
            <w:r w:rsidRPr="00583E1A">
              <w:t>11</w:t>
            </w:r>
          </w:p>
        </w:tc>
        <w:tc>
          <w:tcPr>
            <w:tcW w:w="3186" w:type="dxa"/>
            <w:tcBorders>
              <w:top w:val="single" w:sz="2" w:space="0" w:color="auto"/>
              <w:bottom w:val="single" w:sz="12" w:space="0" w:color="auto"/>
            </w:tcBorders>
            <w:shd w:val="clear" w:color="auto" w:fill="auto"/>
          </w:tcPr>
          <w:p w:rsidR="001B55B4" w:rsidRPr="00583E1A" w:rsidRDefault="001B55B4" w:rsidP="00887330">
            <w:pPr>
              <w:pStyle w:val="Tabletext"/>
            </w:pPr>
            <w:r w:rsidRPr="00583E1A">
              <w:t>an amount of a receipt or a payment, where none of the above items apply</w:t>
            </w:r>
          </w:p>
        </w:tc>
        <w:tc>
          <w:tcPr>
            <w:tcW w:w="3186" w:type="dxa"/>
            <w:tcBorders>
              <w:top w:val="single" w:sz="2" w:space="0" w:color="auto"/>
              <w:bottom w:val="single" w:sz="12" w:space="0" w:color="auto"/>
            </w:tcBorders>
            <w:shd w:val="clear" w:color="auto" w:fill="auto"/>
          </w:tcPr>
          <w:p w:rsidR="001B55B4" w:rsidRPr="00583E1A" w:rsidRDefault="001B55B4" w:rsidP="00887330">
            <w:pPr>
              <w:pStyle w:val="Tabletext"/>
            </w:pPr>
            <w:r w:rsidRPr="00583E1A">
              <w:t>the amount is to be translated to Australian currency at the exchange rate applicable at the time of the receipt or payment.</w:t>
            </w:r>
          </w:p>
        </w:tc>
      </w:tr>
    </w:tbl>
    <w:p w:rsidR="00887330" w:rsidRPr="00583E1A" w:rsidRDefault="00887330" w:rsidP="00887330">
      <w:pPr>
        <w:pStyle w:val="subsection"/>
      </w:pPr>
      <w:r w:rsidRPr="00583E1A">
        <w:tab/>
        <w:t>(7)</w:t>
      </w:r>
      <w:r w:rsidRPr="00583E1A">
        <w:tab/>
      </w:r>
      <w:r w:rsidR="00583E1A">
        <w:t>Subsection (</w:t>
      </w:r>
      <w:r w:rsidRPr="00583E1A">
        <w:t>6) has effect subject to any modifications made by the regulations.</w:t>
      </w:r>
    </w:p>
    <w:p w:rsidR="00887330" w:rsidRPr="00583E1A" w:rsidRDefault="00887330" w:rsidP="00887330">
      <w:pPr>
        <w:pStyle w:val="SubsectionHead"/>
      </w:pPr>
      <w:r w:rsidRPr="00583E1A">
        <w:t>Regulations about translation</w:t>
      </w:r>
    </w:p>
    <w:p w:rsidR="00887330" w:rsidRPr="00583E1A" w:rsidRDefault="00887330" w:rsidP="00887330">
      <w:pPr>
        <w:pStyle w:val="subsection"/>
      </w:pPr>
      <w:r w:rsidRPr="00583E1A">
        <w:tab/>
        <w:t>(8)</w:t>
      </w:r>
      <w:r w:rsidRPr="00583E1A">
        <w:tab/>
        <w:t>An entity must comply with the regulations (if any) in translating an amount into Australian currency.</w:t>
      </w:r>
    </w:p>
    <w:p w:rsidR="00887330" w:rsidRPr="00583E1A" w:rsidRDefault="00887330" w:rsidP="00887330">
      <w:pPr>
        <w:pStyle w:val="notetext"/>
      </w:pPr>
      <w:r w:rsidRPr="00583E1A">
        <w:t>Note:</w:t>
      </w:r>
      <w:r w:rsidRPr="00583E1A">
        <w:tab/>
        <w:t>For example, the regulations could require the use of a particular translation method and require consistency in the use of the translation method.</w:t>
      </w:r>
    </w:p>
    <w:p w:rsidR="00887330" w:rsidRPr="00583E1A" w:rsidRDefault="00887330" w:rsidP="00887330">
      <w:pPr>
        <w:pStyle w:val="subsection"/>
      </w:pPr>
      <w:r w:rsidRPr="00583E1A">
        <w:tab/>
        <w:t>(9)</w:t>
      </w:r>
      <w:r w:rsidRPr="00583E1A">
        <w:tab/>
        <w:t xml:space="preserve">Regulations made for the purposes of </w:t>
      </w:r>
      <w:r w:rsidR="00583E1A">
        <w:t>subsection (</w:t>
      </w:r>
      <w:r w:rsidRPr="00583E1A">
        <w:t xml:space="preserve">8) may make provision in relation to a matter by applying, adopting or incorporating (with or without modifications) matter contained in any of the </w:t>
      </w:r>
      <w:r w:rsidR="00583E1A" w:rsidRPr="00583E1A">
        <w:rPr>
          <w:position w:val="6"/>
          <w:sz w:val="16"/>
        </w:rPr>
        <w:t>*</w:t>
      </w:r>
      <w:r w:rsidRPr="00583E1A">
        <w:t>accounting standards:</w:t>
      </w:r>
    </w:p>
    <w:p w:rsidR="00887330" w:rsidRPr="00583E1A" w:rsidRDefault="00887330" w:rsidP="00887330">
      <w:pPr>
        <w:pStyle w:val="paragraph"/>
      </w:pPr>
      <w:r w:rsidRPr="00583E1A">
        <w:tab/>
        <w:t>(a)</w:t>
      </w:r>
      <w:r w:rsidRPr="00583E1A">
        <w:tab/>
        <w:t>as in force or existing at a particular time; or</w:t>
      </w:r>
    </w:p>
    <w:p w:rsidR="00887330" w:rsidRPr="00583E1A" w:rsidRDefault="00887330" w:rsidP="00887330">
      <w:pPr>
        <w:pStyle w:val="paragraph"/>
      </w:pPr>
      <w:r w:rsidRPr="00583E1A">
        <w:tab/>
        <w:t>(b)</w:t>
      </w:r>
      <w:r w:rsidRPr="00583E1A">
        <w:tab/>
        <w:t>as in force or existing from time to time.</w:t>
      </w:r>
    </w:p>
    <w:p w:rsidR="00887330" w:rsidRPr="00583E1A" w:rsidRDefault="00887330" w:rsidP="00887330">
      <w:pPr>
        <w:pStyle w:val="SubsectionHead"/>
      </w:pPr>
      <w:r w:rsidRPr="00583E1A">
        <w:t>Operation of certain provisions unaffected</w:t>
      </w:r>
    </w:p>
    <w:p w:rsidR="00887330" w:rsidRPr="00583E1A" w:rsidRDefault="00887330" w:rsidP="00887330">
      <w:pPr>
        <w:pStyle w:val="subsection"/>
      </w:pPr>
      <w:r w:rsidRPr="00583E1A">
        <w:tab/>
        <w:t>(10)</w:t>
      </w:r>
      <w:r w:rsidRPr="00583E1A">
        <w:tab/>
        <w:t>This section does not affect the operation of the following provisions:</w:t>
      </w:r>
    </w:p>
    <w:p w:rsidR="00887330" w:rsidRPr="00583E1A" w:rsidRDefault="00887330" w:rsidP="00887330">
      <w:pPr>
        <w:pStyle w:val="paragraph"/>
      </w:pPr>
      <w:r w:rsidRPr="00583E1A">
        <w:tab/>
        <w:t>(aa)</w:t>
      </w:r>
      <w:r w:rsidRPr="00583E1A">
        <w:tab/>
        <w:t>section</w:t>
      </w:r>
      <w:r w:rsidR="00583E1A">
        <w:t> </w:t>
      </w:r>
      <w:r w:rsidRPr="00583E1A">
        <w:t>220</w:t>
      </w:r>
      <w:r w:rsidR="00583E1A">
        <w:noBreakHyphen/>
      </w:r>
      <w:r w:rsidRPr="00583E1A">
        <w:t>110 (</w:t>
      </w:r>
      <w:r w:rsidR="00583E1A" w:rsidRPr="00583E1A">
        <w:rPr>
          <w:position w:val="6"/>
          <w:sz w:val="16"/>
        </w:rPr>
        <w:t>*</w:t>
      </w:r>
      <w:r w:rsidRPr="00583E1A">
        <w:t>maximum franking credit);</w:t>
      </w:r>
    </w:p>
    <w:p w:rsidR="00887330" w:rsidRPr="00583E1A" w:rsidRDefault="00887330" w:rsidP="00887330">
      <w:pPr>
        <w:pStyle w:val="paragraph"/>
      </w:pPr>
      <w:r w:rsidRPr="00583E1A">
        <w:tab/>
        <w:t>(a)</w:t>
      </w:r>
      <w:r w:rsidRPr="00583E1A">
        <w:tab/>
        <w:t>section</w:t>
      </w:r>
      <w:r w:rsidR="00583E1A">
        <w:t> </w:t>
      </w:r>
      <w:r w:rsidRPr="00583E1A">
        <w:t>775</w:t>
      </w:r>
      <w:r w:rsidR="00583E1A">
        <w:noBreakHyphen/>
      </w:r>
      <w:r w:rsidRPr="00583E1A">
        <w:t xml:space="preserve">210 (notional loans under </w:t>
      </w:r>
      <w:r w:rsidR="00583E1A" w:rsidRPr="00583E1A">
        <w:rPr>
          <w:position w:val="6"/>
          <w:sz w:val="16"/>
        </w:rPr>
        <w:t>*</w:t>
      </w:r>
      <w:r w:rsidRPr="00583E1A">
        <w:t>facility agreements);</w:t>
      </w:r>
    </w:p>
    <w:p w:rsidR="00887330" w:rsidRPr="00583E1A" w:rsidRDefault="00887330" w:rsidP="00887330">
      <w:pPr>
        <w:pStyle w:val="paragraph"/>
      </w:pPr>
      <w:r w:rsidRPr="00583E1A">
        <w:tab/>
        <w:t>(b)</w:t>
      </w:r>
      <w:r w:rsidRPr="00583E1A">
        <w:tab/>
        <w:t>Subdivision</w:t>
      </w:r>
      <w:r w:rsidR="00583E1A">
        <w:t> </w:t>
      </w:r>
      <w:r w:rsidRPr="00583E1A">
        <w:t>960</w:t>
      </w:r>
      <w:r w:rsidR="00583E1A">
        <w:noBreakHyphen/>
      </w:r>
      <w:r w:rsidRPr="00583E1A">
        <w:t>D (functional currency);</w:t>
      </w:r>
    </w:p>
    <w:p w:rsidR="00887330" w:rsidRPr="00583E1A" w:rsidRDefault="00887330" w:rsidP="00887330">
      <w:pPr>
        <w:pStyle w:val="paragraph"/>
      </w:pPr>
      <w:r w:rsidRPr="00583E1A">
        <w:tab/>
        <w:t>(c)</w:t>
      </w:r>
      <w:r w:rsidRPr="00583E1A">
        <w:tab/>
        <w:t>subsection 974</w:t>
      </w:r>
      <w:r w:rsidR="00583E1A">
        <w:noBreakHyphen/>
      </w:r>
      <w:r w:rsidRPr="00583E1A">
        <w:t>35(6) (valuation of financial benefits for the purposes of the debt/equity provisions)</w:t>
      </w:r>
      <w:r w:rsidR="00BB41D6" w:rsidRPr="008706AC">
        <w:t>.</w:t>
      </w:r>
    </w:p>
    <w:p w:rsidR="00887330" w:rsidRPr="00583E1A" w:rsidRDefault="00887330" w:rsidP="00887330">
      <w:pPr>
        <w:pStyle w:val="ActHead5"/>
      </w:pPr>
      <w:bookmarkStart w:id="516" w:name="_Toc338939590"/>
      <w:r w:rsidRPr="00583E1A">
        <w:rPr>
          <w:rStyle w:val="CharSectno"/>
        </w:rPr>
        <w:lastRenderedPageBreak/>
        <w:t>960</w:t>
      </w:r>
      <w:r w:rsidR="00583E1A">
        <w:rPr>
          <w:rStyle w:val="CharSectno"/>
        </w:rPr>
        <w:noBreakHyphen/>
      </w:r>
      <w:r w:rsidRPr="00583E1A">
        <w:rPr>
          <w:rStyle w:val="CharSectno"/>
        </w:rPr>
        <w:t>55</w:t>
      </w:r>
      <w:r w:rsidRPr="00583E1A">
        <w:t xml:space="preserve">  Application of translation rules</w:t>
      </w:r>
      <w:bookmarkEnd w:id="516"/>
    </w:p>
    <w:p w:rsidR="00887330" w:rsidRPr="00583E1A" w:rsidRDefault="00887330" w:rsidP="00887330">
      <w:pPr>
        <w:pStyle w:val="subsection"/>
      </w:pPr>
      <w:r w:rsidRPr="00583E1A">
        <w:tab/>
        <w:t>(1)</w:t>
      </w:r>
      <w:r w:rsidRPr="00583E1A">
        <w:tab/>
        <w:t>Section</w:t>
      </w:r>
      <w:r w:rsidR="00583E1A">
        <w:t> </w:t>
      </w:r>
      <w:r w:rsidRPr="00583E1A">
        <w:t>960</w:t>
      </w:r>
      <w:r w:rsidR="00583E1A">
        <w:noBreakHyphen/>
      </w:r>
      <w:r w:rsidRPr="00583E1A">
        <w:t>50 applies to:</w:t>
      </w:r>
    </w:p>
    <w:p w:rsidR="00887330" w:rsidRPr="00583E1A" w:rsidRDefault="00887330" w:rsidP="00887330">
      <w:pPr>
        <w:pStyle w:val="paragraph"/>
      </w:pPr>
      <w:r w:rsidRPr="00583E1A">
        <w:tab/>
        <w:t>(a)</w:t>
      </w:r>
      <w:r w:rsidRPr="00583E1A">
        <w:tab/>
        <w:t>a transaction, event or thing that:</w:t>
      </w:r>
    </w:p>
    <w:p w:rsidR="00887330" w:rsidRPr="00583E1A" w:rsidRDefault="00887330" w:rsidP="00887330">
      <w:pPr>
        <w:pStyle w:val="paragraphsub"/>
      </w:pPr>
      <w:r w:rsidRPr="00583E1A">
        <w:tab/>
        <w:t>(i)</w:t>
      </w:r>
      <w:r w:rsidRPr="00583E1A">
        <w:tab/>
        <w:t xml:space="preserve">involves an amount in a </w:t>
      </w:r>
      <w:r w:rsidR="00583E1A" w:rsidRPr="00583E1A">
        <w:rPr>
          <w:position w:val="6"/>
          <w:sz w:val="16"/>
        </w:rPr>
        <w:t>*</w:t>
      </w:r>
      <w:r w:rsidRPr="00583E1A">
        <w:t>foreign currency; and</w:t>
      </w:r>
    </w:p>
    <w:p w:rsidR="00887330" w:rsidRPr="00583E1A" w:rsidRDefault="00887330" w:rsidP="00887330">
      <w:pPr>
        <w:pStyle w:val="paragraphsub"/>
      </w:pPr>
      <w:r w:rsidRPr="00583E1A">
        <w:tab/>
        <w:t>(ii)</w:t>
      </w:r>
      <w:r w:rsidRPr="00583E1A">
        <w:tab/>
        <w:t>occurs on or after the applicable commencement date (within the meaning of Division</w:t>
      </w:r>
      <w:r w:rsidR="00583E1A">
        <w:t> </w:t>
      </w:r>
      <w:r w:rsidRPr="00583E1A">
        <w:t>775); or</w:t>
      </w:r>
    </w:p>
    <w:p w:rsidR="00887330" w:rsidRPr="00583E1A" w:rsidRDefault="00887330" w:rsidP="00887330">
      <w:pPr>
        <w:pStyle w:val="paragraph"/>
      </w:pPr>
      <w:r w:rsidRPr="00583E1A">
        <w:tab/>
        <w:t>(b)</w:t>
      </w:r>
      <w:r w:rsidRPr="00583E1A">
        <w:tab/>
        <w:t>a transaction, event or thing that:</w:t>
      </w:r>
    </w:p>
    <w:p w:rsidR="00887330" w:rsidRPr="00583E1A" w:rsidRDefault="00887330" w:rsidP="00887330">
      <w:pPr>
        <w:pStyle w:val="paragraphsub"/>
      </w:pPr>
      <w:r w:rsidRPr="00583E1A">
        <w:tab/>
        <w:t>(i)</w:t>
      </w:r>
      <w:r w:rsidRPr="00583E1A">
        <w:tab/>
        <w:t>involves an amount in a foreign currency; and</w:t>
      </w:r>
    </w:p>
    <w:p w:rsidR="00887330" w:rsidRPr="00583E1A" w:rsidRDefault="00887330" w:rsidP="00887330">
      <w:pPr>
        <w:pStyle w:val="paragraphsub"/>
      </w:pPr>
      <w:r w:rsidRPr="00583E1A">
        <w:tab/>
        <w:t>(ii)</w:t>
      </w:r>
      <w:r w:rsidRPr="00583E1A">
        <w:tab/>
        <w:t>occurs before the applicable commencement date (within the meaning of Division</w:t>
      </w:r>
      <w:r w:rsidR="00583E1A">
        <w:t> </w:t>
      </w:r>
      <w:r w:rsidRPr="00583E1A">
        <w:t>775);</w:t>
      </w:r>
    </w:p>
    <w:p w:rsidR="00887330" w:rsidRPr="00583E1A" w:rsidRDefault="00887330" w:rsidP="00887330">
      <w:pPr>
        <w:pStyle w:val="paragraph"/>
      </w:pPr>
      <w:r w:rsidRPr="00583E1A">
        <w:tab/>
      </w:r>
      <w:r w:rsidRPr="00583E1A">
        <w:tab/>
        <w:t>to the extent to which the transaction, event or thing is relevant for the purposes of Division</w:t>
      </w:r>
      <w:r w:rsidR="00583E1A">
        <w:t> </w:t>
      </w:r>
      <w:r w:rsidRPr="00583E1A">
        <w:t>775; or</w:t>
      </w:r>
    </w:p>
    <w:p w:rsidR="00887330" w:rsidRPr="00583E1A" w:rsidRDefault="00887330" w:rsidP="00887330">
      <w:pPr>
        <w:pStyle w:val="paragraph"/>
      </w:pPr>
      <w:r w:rsidRPr="00583E1A">
        <w:tab/>
        <w:t>(c)</w:t>
      </w:r>
      <w:r w:rsidRPr="00583E1A">
        <w:tab/>
        <w:t>an amount that Division</w:t>
      </w:r>
      <w:r w:rsidR="00583E1A">
        <w:t> </w:t>
      </w:r>
      <w:r w:rsidRPr="00583E1A">
        <w:t>12 of Part</w:t>
      </w:r>
      <w:r w:rsidR="00583E1A">
        <w:t> </w:t>
      </w:r>
      <w:r w:rsidRPr="00583E1A">
        <w:t>2</w:t>
      </w:r>
      <w:r w:rsidR="00583E1A">
        <w:noBreakHyphen/>
      </w:r>
      <w:r w:rsidRPr="00583E1A">
        <w:t>5 in Schedule</w:t>
      </w:r>
      <w:r w:rsidR="00583E1A">
        <w:t> </w:t>
      </w:r>
      <w:r w:rsidRPr="00583E1A">
        <w:t xml:space="preserve">1 to the </w:t>
      </w:r>
      <w:r w:rsidRPr="00583E1A">
        <w:rPr>
          <w:i/>
        </w:rPr>
        <w:t>Taxation Administration Act 1953</w:t>
      </w:r>
      <w:r w:rsidRPr="00583E1A">
        <w:t xml:space="preserve"> requires to be withheld from a payment, if the time when the amount is required to be withheld occurs on or after 1</w:t>
      </w:r>
      <w:r w:rsidR="00583E1A">
        <w:t> </w:t>
      </w:r>
      <w:r w:rsidRPr="00583E1A">
        <w:t>July 2003; or</w:t>
      </w:r>
    </w:p>
    <w:p w:rsidR="00887330" w:rsidRPr="00583E1A" w:rsidRDefault="00887330" w:rsidP="00887330">
      <w:pPr>
        <w:pStyle w:val="paragraph"/>
      </w:pPr>
      <w:r w:rsidRPr="00583E1A">
        <w:tab/>
        <w:t>(d)</w:t>
      </w:r>
      <w:r w:rsidRPr="00583E1A">
        <w:tab/>
        <w:t>a payment that Part</w:t>
      </w:r>
      <w:r w:rsidR="00583E1A">
        <w:t> </w:t>
      </w:r>
      <w:r w:rsidRPr="00583E1A">
        <w:t>5</w:t>
      </w:r>
      <w:r w:rsidR="00583E1A">
        <w:noBreakHyphen/>
      </w:r>
      <w:r w:rsidRPr="00583E1A">
        <w:t>30 in Schedule</w:t>
      </w:r>
      <w:r w:rsidR="00583E1A">
        <w:t> </w:t>
      </w:r>
      <w:r w:rsidRPr="00583E1A">
        <w:t xml:space="preserve">1 to the </w:t>
      </w:r>
      <w:r w:rsidRPr="00583E1A">
        <w:rPr>
          <w:i/>
        </w:rPr>
        <w:t>Taxation Administration Act 1953</w:t>
      </w:r>
      <w:r w:rsidRPr="00583E1A">
        <w:t xml:space="preserve"> requires to be reported, if the amount is paid on or after 1</w:t>
      </w:r>
      <w:r w:rsidR="00583E1A">
        <w:t> </w:t>
      </w:r>
      <w:r w:rsidRPr="00583E1A">
        <w:t>July 2003.</w:t>
      </w:r>
    </w:p>
    <w:p w:rsidR="00887330" w:rsidRPr="00583E1A" w:rsidRDefault="00887330" w:rsidP="00887330">
      <w:pPr>
        <w:pStyle w:val="notetext"/>
      </w:pPr>
      <w:r w:rsidRPr="00583E1A">
        <w:t>Note:</w:t>
      </w:r>
      <w:r w:rsidRPr="00583E1A">
        <w:tab/>
        <w:t xml:space="preserve">For </w:t>
      </w:r>
      <w:r w:rsidRPr="00583E1A">
        <w:rPr>
          <w:b/>
          <w:i/>
        </w:rPr>
        <w:t>applicable commencement date</w:t>
      </w:r>
      <w:r w:rsidRPr="00583E1A">
        <w:t>, see section</w:t>
      </w:r>
      <w:r w:rsidR="00583E1A">
        <w:t> </w:t>
      </w:r>
      <w:r w:rsidRPr="00583E1A">
        <w:t>775</w:t>
      </w:r>
      <w:r w:rsidR="00583E1A">
        <w:noBreakHyphen/>
      </w:r>
      <w:r w:rsidRPr="00583E1A">
        <w:t>155.</w:t>
      </w:r>
    </w:p>
    <w:p w:rsidR="00887330" w:rsidRPr="00583E1A" w:rsidRDefault="00887330" w:rsidP="00887330">
      <w:pPr>
        <w:pStyle w:val="SubsectionHead"/>
      </w:pPr>
      <w:r w:rsidRPr="00583E1A">
        <w:t>Exceptions</w:t>
      </w:r>
    </w:p>
    <w:p w:rsidR="00887330" w:rsidRPr="00583E1A" w:rsidRDefault="00887330" w:rsidP="00887330">
      <w:pPr>
        <w:pStyle w:val="subsection"/>
      </w:pPr>
      <w:r w:rsidRPr="00583E1A">
        <w:tab/>
        <w:t>(2)</w:t>
      </w:r>
      <w:r w:rsidRPr="00583E1A">
        <w:tab/>
        <w:t xml:space="preserve">Despite </w:t>
      </w:r>
      <w:r w:rsidR="00583E1A">
        <w:t>subsection (</w:t>
      </w:r>
      <w:r w:rsidRPr="00583E1A">
        <w:t>1), section</w:t>
      </w:r>
      <w:r w:rsidR="00583E1A">
        <w:t> </w:t>
      </w:r>
      <w:r w:rsidRPr="00583E1A">
        <w:t>960</w:t>
      </w:r>
      <w:r w:rsidR="00583E1A">
        <w:noBreakHyphen/>
      </w:r>
      <w:r w:rsidRPr="00583E1A">
        <w:t>50 does not apply to a transaction, event or thing that involves:</w:t>
      </w:r>
    </w:p>
    <w:p w:rsidR="00887330" w:rsidRPr="00583E1A" w:rsidRDefault="00887330" w:rsidP="00887330">
      <w:pPr>
        <w:pStyle w:val="paragraph"/>
      </w:pPr>
      <w:r w:rsidRPr="00583E1A">
        <w:tab/>
        <w:t>(a)</w:t>
      </w:r>
      <w:r w:rsidRPr="00583E1A">
        <w:tab/>
        <w:t>an amount covered by subsection 775</w:t>
      </w:r>
      <w:r w:rsidR="00583E1A">
        <w:noBreakHyphen/>
      </w:r>
      <w:r w:rsidRPr="00583E1A">
        <w:t>165(1); or</w:t>
      </w:r>
    </w:p>
    <w:p w:rsidR="00887330" w:rsidRPr="00583E1A" w:rsidRDefault="00887330" w:rsidP="00887330">
      <w:pPr>
        <w:pStyle w:val="paragraph"/>
      </w:pPr>
      <w:r w:rsidRPr="00583E1A">
        <w:tab/>
        <w:t>(b)</w:t>
      </w:r>
      <w:r w:rsidRPr="00583E1A">
        <w:tab/>
        <w:t>a right, or a part of a right, covered by subsection 775</w:t>
      </w:r>
      <w:r w:rsidR="00583E1A">
        <w:noBreakHyphen/>
      </w:r>
      <w:r w:rsidRPr="00583E1A">
        <w:t>165(2); or</w:t>
      </w:r>
    </w:p>
    <w:p w:rsidR="00887330" w:rsidRPr="00583E1A" w:rsidRDefault="00887330" w:rsidP="00887330">
      <w:pPr>
        <w:pStyle w:val="paragraph"/>
      </w:pPr>
      <w:r w:rsidRPr="00583E1A">
        <w:tab/>
        <w:t>(c)</w:t>
      </w:r>
      <w:r w:rsidRPr="00583E1A">
        <w:tab/>
        <w:t>an obligation, or a part of an obligation, covered by subsection 775</w:t>
      </w:r>
      <w:r w:rsidR="00583E1A">
        <w:noBreakHyphen/>
      </w:r>
      <w:r w:rsidRPr="00583E1A">
        <w:t>165(4).</w:t>
      </w:r>
    </w:p>
    <w:p w:rsidR="00887330" w:rsidRPr="00583E1A" w:rsidRDefault="00887330" w:rsidP="00887330">
      <w:pPr>
        <w:pStyle w:val="notetext"/>
      </w:pPr>
      <w:r w:rsidRPr="00583E1A">
        <w:t>Note:</w:t>
      </w:r>
      <w:r w:rsidRPr="00583E1A">
        <w:tab/>
        <w:t>Subsections 775</w:t>
      </w:r>
      <w:r w:rsidR="00583E1A">
        <w:noBreakHyphen/>
      </w:r>
      <w:r w:rsidRPr="00583E1A">
        <w:t>165(1), (2) and (4) are transitional provisions relating to forex realisation events.</w:t>
      </w:r>
    </w:p>
    <w:p w:rsidR="00887330" w:rsidRPr="00583E1A" w:rsidRDefault="00887330" w:rsidP="00887330">
      <w:pPr>
        <w:pStyle w:val="ActHead4"/>
      </w:pPr>
      <w:bookmarkStart w:id="517" w:name="_Toc338939591"/>
      <w:r w:rsidRPr="00583E1A">
        <w:rPr>
          <w:rStyle w:val="CharSubdNo"/>
        </w:rPr>
        <w:lastRenderedPageBreak/>
        <w:t>Subdivision</w:t>
      </w:r>
      <w:r w:rsidR="00583E1A">
        <w:rPr>
          <w:rStyle w:val="CharSubdNo"/>
        </w:rPr>
        <w:t> </w:t>
      </w:r>
      <w:r w:rsidRPr="00583E1A">
        <w:rPr>
          <w:rStyle w:val="CharSubdNo"/>
        </w:rPr>
        <w:t>960</w:t>
      </w:r>
      <w:r w:rsidR="00583E1A">
        <w:rPr>
          <w:rStyle w:val="CharSubdNo"/>
        </w:rPr>
        <w:noBreakHyphen/>
      </w:r>
      <w:r w:rsidRPr="00583E1A">
        <w:rPr>
          <w:rStyle w:val="CharSubdNo"/>
        </w:rPr>
        <w:t>D</w:t>
      </w:r>
      <w:r w:rsidRPr="00583E1A">
        <w:t>—</w:t>
      </w:r>
      <w:r w:rsidRPr="00583E1A">
        <w:rPr>
          <w:rStyle w:val="CharSubdText"/>
        </w:rPr>
        <w:t>Functional currency</w:t>
      </w:r>
      <w:bookmarkEnd w:id="517"/>
    </w:p>
    <w:p w:rsidR="00887330" w:rsidRPr="00583E1A" w:rsidRDefault="00887330" w:rsidP="00887330">
      <w:pPr>
        <w:pStyle w:val="ActHead4"/>
      </w:pPr>
      <w:bookmarkStart w:id="518" w:name="_Toc338939592"/>
      <w:r w:rsidRPr="00583E1A">
        <w:t>Guide to Subdivision</w:t>
      </w:r>
      <w:r w:rsidR="00583E1A">
        <w:t> </w:t>
      </w:r>
      <w:r w:rsidRPr="00583E1A">
        <w:t>960</w:t>
      </w:r>
      <w:r w:rsidR="00583E1A">
        <w:noBreakHyphen/>
      </w:r>
      <w:r w:rsidRPr="00583E1A">
        <w:t>D</w:t>
      </w:r>
      <w:bookmarkEnd w:id="518"/>
    </w:p>
    <w:p w:rsidR="00887330" w:rsidRPr="00583E1A" w:rsidRDefault="00887330" w:rsidP="00887330">
      <w:pPr>
        <w:pStyle w:val="ActHead5"/>
      </w:pPr>
      <w:bookmarkStart w:id="519" w:name="_Toc338939593"/>
      <w:r w:rsidRPr="00583E1A">
        <w:rPr>
          <w:rStyle w:val="CharSectno"/>
        </w:rPr>
        <w:t>960</w:t>
      </w:r>
      <w:r w:rsidR="00583E1A">
        <w:rPr>
          <w:rStyle w:val="CharSectno"/>
        </w:rPr>
        <w:noBreakHyphen/>
      </w:r>
      <w:r w:rsidRPr="00583E1A">
        <w:rPr>
          <w:rStyle w:val="CharSectno"/>
        </w:rPr>
        <w:t>56</w:t>
      </w:r>
      <w:r w:rsidRPr="00583E1A">
        <w:t xml:space="preserve">  What this Subdivision is about</w:t>
      </w:r>
      <w:bookmarkEnd w:id="519"/>
    </w:p>
    <w:p w:rsidR="00887330" w:rsidRPr="00583E1A" w:rsidRDefault="00887330" w:rsidP="00887330">
      <w:pPr>
        <w:pStyle w:val="BoxText"/>
      </w:pPr>
      <w:r w:rsidRPr="00583E1A">
        <w:t>The net income of any of the following entities (or parts of entities) that keeps its accounts solely or predominantly in a particular foreign currency can be worked out in that currency, with the net amount being translated into Australian currency:</w:t>
      </w:r>
    </w:p>
    <w:p w:rsidR="00887330" w:rsidRPr="00583E1A" w:rsidRDefault="00887330" w:rsidP="00887330">
      <w:pPr>
        <w:pStyle w:val="BoxPara"/>
      </w:pPr>
      <w:r w:rsidRPr="00583E1A">
        <w:tab/>
        <w:t>(a)</w:t>
      </w:r>
      <w:r w:rsidRPr="00583E1A">
        <w:tab/>
        <w:t>an Australian resident who is required to prepare financial reports under section</w:t>
      </w:r>
      <w:r w:rsidR="00583E1A">
        <w:t> </w:t>
      </w:r>
      <w:r w:rsidRPr="00583E1A">
        <w:t xml:space="preserve">292 of the </w:t>
      </w:r>
      <w:r w:rsidRPr="00583E1A">
        <w:rPr>
          <w:i/>
        </w:rPr>
        <w:t>Corporations Act 2001</w:t>
      </w:r>
      <w:r w:rsidRPr="00583E1A">
        <w:t>;</w:t>
      </w:r>
    </w:p>
    <w:p w:rsidR="00887330" w:rsidRPr="00583E1A" w:rsidRDefault="00887330" w:rsidP="006800B4">
      <w:pPr>
        <w:pStyle w:val="BoxPara"/>
        <w:keepNext/>
      </w:pPr>
      <w:r w:rsidRPr="00583E1A">
        <w:tab/>
        <w:t>(b)</w:t>
      </w:r>
      <w:r w:rsidRPr="00583E1A">
        <w:tab/>
        <w:t>a permanent establishment;</w:t>
      </w:r>
    </w:p>
    <w:p w:rsidR="00887330" w:rsidRPr="00583E1A" w:rsidRDefault="00887330" w:rsidP="00887330">
      <w:pPr>
        <w:pStyle w:val="BoxPara"/>
      </w:pPr>
      <w:r w:rsidRPr="00583E1A">
        <w:tab/>
        <w:t>(c)</w:t>
      </w:r>
      <w:r w:rsidRPr="00583E1A">
        <w:tab/>
        <w:t>an offshore banking unit;</w:t>
      </w:r>
    </w:p>
    <w:p w:rsidR="00887330" w:rsidRPr="00583E1A" w:rsidRDefault="00887330" w:rsidP="00887330">
      <w:pPr>
        <w:pStyle w:val="BoxPara"/>
      </w:pPr>
      <w:r w:rsidRPr="00583E1A">
        <w:tab/>
        <w:t>(d)</w:t>
      </w:r>
      <w:r w:rsidRPr="00583E1A">
        <w:tab/>
        <w:t>a controlled foreign company (CFC);</w:t>
      </w:r>
    </w:p>
    <w:p w:rsidR="00887330" w:rsidRPr="00583E1A" w:rsidRDefault="00887330" w:rsidP="00887330">
      <w:pPr>
        <w:pStyle w:val="BoxPara"/>
      </w:pPr>
      <w:r w:rsidRPr="00583E1A">
        <w:tab/>
        <w:t>(e)</w:t>
      </w:r>
      <w:r w:rsidRPr="00583E1A">
        <w:tab/>
        <w:t>a transferor trust.</w:t>
      </w:r>
    </w:p>
    <w:p w:rsidR="00887330" w:rsidRPr="00583E1A" w:rsidRDefault="00887330" w:rsidP="00DA0182">
      <w:pPr>
        <w:pStyle w:val="TofSectsHeading"/>
        <w:keepNext/>
        <w:keepLines/>
      </w:pPr>
      <w:r w:rsidRPr="00583E1A">
        <w:t>Table of sections</w:t>
      </w:r>
    </w:p>
    <w:p w:rsidR="00887330" w:rsidRPr="00583E1A" w:rsidRDefault="00887330" w:rsidP="00DA0182">
      <w:pPr>
        <w:pStyle w:val="TofSectsGroupHeading"/>
        <w:keepNext/>
      </w:pPr>
      <w:r w:rsidRPr="00583E1A">
        <w:t>Operative provisions</w:t>
      </w:r>
    </w:p>
    <w:p w:rsidR="00887330" w:rsidRPr="00583E1A" w:rsidRDefault="00887330" w:rsidP="00887330">
      <w:pPr>
        <w:pStyle w:val="TofSectsSection"/>
      </w:pPr>
      <w:r w:rsidRPr="00583E1A">
        <w:t>960</w:t>
      </w:r>
      <w:r w:rsidR="00583E1A">
        <w:noBreakHyphen/>
      </w:r>
      <w:r w:rsidRPr="00583E1A">
        <w:t>59</w:t>
      </w:r>
      <w:r w:rsidRPr="00583E1A">
        <w:tab/>
        <w:t>Object of this Subdivision</w:t>
      </w:r>
    </w:p>
    <w:p w:rsidR="00887330" w:rsidRPr="00583E1A" w:rsidRDefault="00887330" w:rsidP="00887330">
      <w:pPr>
        <w:pStyle w:val="TofSectsSection"/>
      </w:pPr>
      <w:r w:rsidRPr="00583E1A">
        <w:t>960</w:t>
      </w:r>
      <w:r w:rsidR="00583E1A">
        <w:noBreakHyphen/>
      </w:r>
      <w:r w:rsidRPr="00583E1A">
        <w:t>60</w:t>
      </w:r>
      <w:r w:rsidRPr="00583E1A">
        <w:tab/>
        <w:t>You may choose a functional currency</w:t>
      </w:r>
    </w:p>
    <w:p w:rsidR="006A7B34" w:rsidRPr="00583E1A" w:rsidRDefault="006A7B34" w:rsidP="006A7B34">
      <w:pPr>
        <w:pStyle w:val="TofSectsSection"/>
      </w:pPr>
      <w:r w:rsidRPr="00583E1A">
        <w:t>960</w:t>
      </w:r>
      <w:r w:rsidR="00583E1A">
        <w:noBreakHyphen/>
      </w:r>
      <w:r w:rsidRPr="00583E1A">
        <w:t>61</w:t>
      </w:r>
      <w:r w:rsidRPr="00583E1A">
        <w:tab/>
        <w:t>Functional currency for calculating capital gains and losses on indirect Australian real property interests</w:t>
      </w:r>
    </w:p>
    <w:p w:rsidR="00887330" w:rsidRPr="00583E1A" w:rsidRDefault="00887330" w:rsidP="00887330">
      <w:pPr>
        <w:pStyle w:val="TofSectsSection"/>
      </w:pPr>
      <w:r w:rsidRPr="00583E1A">
        <w:t>960</w:t>
      </w:r>
      <w:r w:rsidR="00583E1A">
        <w:noBreakHyphen/>
      </w:r>
      <w:r w:rsidRPr="00583E1A">
        <w:t>65</w:t>
      </w:r>
      <w:r w:rsidRPr="00583E1A">
        <w:tab/>
        <w:t>Backdated startup choice</w:t>
      </w:r>
    </w:p>
    <w:p w:rsidR="00887330" w:rsidRPr="00583E1A" w:rsidRDefault="00887330" w:rsidP="00887330">
      <w:pPr>
        <w:pStyle w:val="TofSectsSection"/>
      </w:pPr>
      <w:r w:rsidRPr="00583E1A">
        <w:t>960</w:t>
      </w:r>
      <w:r w:rsidR="00583E1A">
        <w:noBreakHyphen/>
      </w:r>
      <w:r w:rsidRPr="00583E1A">
        <w:t>70</w:t>
      </w:r>
      <w:r w:rsidRPr="00583E1A">
        <w:tab/>
        <w:t xml:space="preserve">What is the </w:t>
      </w:r>
      <w:r w:rsidRPr="00583E1A">
        <w:rPr>
          <w:rStyle w:val="CharBoldItalic"/>
        </w:rPr>
        <w:t>applicable functional currency</w:t>
      </w:r>
      <w:r w:rsidRPr="00583E1A">
        <w:t>?</w:t>
      </w:r>
    </w:p>
    <w:p w:rsidR="00887330" w:rsidRPr="00583E1A" w:rsidRDefault="00887330" w:rsidP="00887330">
      <w:pPr>
        <w:pStyle w:val="TofSectsSection"/>
      </w:pPr>
      <w:r w:rsidRPr="00583E1A">
        <w:t>960</w:t>
      </w:r>
      <w:r w:rsidR="00583E1A">
        <w:noBreakHyphen/>
      </w:r>
      <w:r w:rsidRPr="00583E1A">
        <w:t>75</w:t>
      </w:r>
      <w:r w:rsidRPr="00583E1A">
        <w:tab/>
        <w:t xml:space="preserve">What is a </w:t>
      </w:r>
      <w:r w:rsidRPr="00583E1A">
        <w:rPr>
          <w:rStyle w:val="CharBoldItalic"/>
        </w:rPr>
        <w:t>transferor trust</w:t>
      </w:r>
      <w:r w:rsidRPr="00583E1A">
        <w:t>?</w:t>
      </w:r>
    </w:p>
    <w:p w:rsidR="00887330" w:rsidRPr="00583E1A" w:rsidRDefault="00887330" w:rsidP="00887330">
      <w:pPr>
        <w:pStyle w:val="TofSectsSection"/>
      </w:pPr>
      <w:r w:rsidRPr="00583E1A">
        <w:t>960</w:t>
      </w:r>
      <w:r w:rsidR="00583E1A">
        <w:noBreakHyphen/>
      </w:r>
      <w:r w:rsidRPr="00583E1A">
        <w:t>80</w:t>
      </w:r>
      <w:r w:rsidRPr="00583E1A">
        <w:tab/>
        <w:t>Translation rules</w:t>
      </w:r>
    </w:p>
    <w:p w:rsidR="00887330" w:rsidRPr="00583E1A" w:rsidRDefault="00887330" w:rsidP="00887330">
      <w:pPr>
        <w:pStyle w:val="TofSectsSection"/>
      </w:pPr>
      <w:r w:rsidRPr="00583E1A">
        <w:t>960</w:t>
      </w:r>
      <w:r w:rsidR="00583E1A">
        <w:noBreakHyphen/>
      </w:r>
      <w:r w:rsidRPr="00583E1A">
        <w:t>85</w:t>
      </w:r>
      <w:r w:rsidRPr="00583E1A">
        <w:tab/>
        <w:t>Special rule about translation—events that happened before the current choice took effect</w:t>
      </w:r>
    </w:p>
    <w:p w:rsidR="00887330" w:rsidRPr="00583E1A" w:rsidRDefault="00887330" w:rsidP="00887330">
      <w:pPr>
        <w:pStyle w:val="TofSectsSection"/>
      </w:pPr>
      <w:r w:rsidRPr="00583E1A">
        <w:t>960</w:t>
      </w:r>
      <w:r w:rsidR="00583E1A">
        <w:noBreakHyphen/>
      </w:r>
      <w:r w:rsidRPr="00583E1A">
        <w:t>90</w:t>
      </w:r>
      <w:r w:rsidRPr="00583E1A">
        <w:tab/>
        <w:t>Withdrawal of choice</w:t>
      </w:r>
    </w:p>
    <w:p w:rsidR="00887330" w:rsidRPr="00583E1A" w:rsidRDefault="00887330" w:rsidP="00887330">
      <w:pPr>
        <w:pStyle w:val="ActHead4"/>
      </w:pPr>
      <w:bookmarkStart w:id="520" w:name="_Toc338939594"/>
      <w:r w:rsidRPr="00583E1A">
        <w:lastRenderedPageBreak/>
        <w:t>Operative provisions</w:t>
      </w:r>
      <w:bookmarkEnd w:id="520"/>
    </w:p>
    <w:p w:rsidR="00887330" w:rsidRPr="00583E1A" w:rsidRDefault="00887330" w:rsidP="00887330">
      <w:pPr>
        <w:pStyle w:val="ActHead5"/>
      </w:pPr>
      <w:bookmarkStart w:id="521" w:name="_Toc338939595"/>
      <w:r w:rsidRPr="00583E1A">
        <w:rPr>
          <w:rStyle w:val="CharSectno"/>
        </w:rPr>
        <w:t>960</w:t>
      </w:r>
      <w:r w:rsidR="00583E1A">
        <w:rPr>
          <w:rStyle w:val="CharSectno"/>
        </w:rPr>
        <w:noBreakHyphen/>
      </w:r>
      <w:r w:rsidRPr="00583E1A">
        <w:rPr>
          <w:rStyle w:val="CharSectno"/>
        </w:rPr>
        <w:t>59</w:t>
      </w:r>
      <w:r w:rsidRPr="00583E1A">
        <w:t xml:space="preserve">  Object of this Subdivision</w:t>
      </w:r>
      <w:bookmarkEnd w:id="521"/>
    </w:p>
    <w:p w:rsidR="00887330" w:rsidRPr="00583E1A" w:rsidRDefault="00887330" w:rsidP="00887330">
      <w:pPr>
        <w:pStyle w:val="subsection"/>
      </w:pPr>
      <w:r w:rsidRPr="00583E1A">
        <w:tab/>
      </w:r>
      <w:r w:rsidRPr="00583E1A">
        <w:tab/>
        <w:t xml:space="preserve">The object of this Subdivision is, for the purposes of reducing compliance costs and reflecting commercial practice, to allow certain entities (or parts of entities) whose accounts are kept solely or predominantly in a particular </w:t>
      </w:r>
      <w:r w:rsidR="00583E1A" w:rsidRPr="00583E1A">
        <w:rPr>
          <w:position w:val="6"/>
          <w:sz w:val="16"/>
        </w:rPr>
        <w:t>*</w:t>
      </w:r>
      <w:r w:rsidRPr="00583E1A">
        <w:t xml:space="preserve">foreign currency (the </w:t>
      </w:r>
      <w:r w:rsidRPr="00583E1A">
        <w:rPr>
          <w:b/>
          <w:i/>
        </w:rPr>
        <w:t>functional currency</w:t>
      </w:r>
      <w:r w:rsidRPr="00583E1A">
        <w:t>) to calculate their net incomes by reference to the functional currency.</w:t>
      </w:r>
    </w:p>
    <w:p w:rsidR="00887330" w:rsidRPr="00583E1A" w:rsidRDefault="00887330" w:rsidP="007B2DFD">
      <w:pPr>
        <w:pStyle w:val="ActHead5"/>
        <w:keepNext w:val="0"/>
        <w:keepLines w:val="0"/>
      </w:pPr>
      <w:bookmarkStart w:id="522" w:name="_Toc338939596"/>
      <w:r w:rsidRPr="00583E1A">
        <w:rPr>
          <w:rStyle w:val="CharSectno"/>
        </w:rPr>
        <w:t>960</w:t>
      </w:r>
      <w:r w:rsidR="00583E1A">
        <w:rPr>
          <w:rStyle w:val="CharSectno"/>
        </w:rPr>
        <w:noBreakHyphen/>
      </w:r>
      <w:r w:rsidRPr="00583E1A">
        <w:rPr>
          <w:rStyle w:val="CharSectno"/>
        </w:rPr>
        <w:t>60</w:t>
      </w:r>
      <w:r w:rsidRPr="00583E1A">
        <w:t xml:space="preserve">  You may choose a functional currency</w:t>
      </w:r>
      <w:bookmarkEnd w:id="522"/>
    </w:p>
    <w:p w:rsidR="00887330" w:rsidRPr="00583E1A" w:rsidRDefault="00887330" w:rsidP="007B2DFD">
      <w:pPr>
        <w:pStyle w:val="subsection"/>
      </w:pPr>
      <w:r w:rsidRPr="00583E1A">
        <w:tab/>
        <w:t>(1)</w:t>
      </w:r>
      <w:r w:rsidRPr="00583E1A">
        <w:tab/>
        <w:t>The table has effect:</w:t>
      </w:r>
    </w:p>
    <w:p w:rsidR="00887330" w:rsidRPr="00583E1A" w:rsidRDefault="00887330" w:rsidP="007B2DFD">
      <w:pPr>
        <w:pStyle w:val="Tabletext"/>
      </w:pPr>
    </w:p>
    <w:tbl>
      <w:tblPr>
        <w:tblW w:w="0" w:type="auto"/>
        <w:tblInd w:w="108" w:type="dxa"/>
        <w:tblLayout w:type="fixed"/>
        <w:tblLook w:val="0000" w:firstRow="0" w:lastRow="0" w:firstColumn="0" w:lastColumn="0" w:noHBand="0" w:noVBand="0"/>
      </w:tblPr>
      <w:tblGrid>
        <w:gridCol w:w="709"/>
        <w:gridCol w:w="1931"/>
        <w:gridCol w:w="1870"/>
        <w:gridCol w:w="2578"/>
      </w:tblGrid>
      <w:tr w:rsidR="00887330" w:rsidRPr="00583E1A">
        <w:trPr>
          <w:cantSplit/>
          <w:tblHeader/>
        </w:trPr>
        <w:tc>
          <w:tcPr>
            <w:tcW w:w="7088" w:type="dxa"/>
            <w:gridSpan w:val="4"/>
            <w:tcBorders>
              <w:top w:val="single" w:sz="12" w:space="0" w:color="auto"/>
              <w:bottom w:val="single" w:sz="6" w:space="0" w:color="auto"/>
            </w:tcBorders>
            <w:shd w:val="clear" w:color="auto" w:fill="auto"/>
          </w:tcPr>
          <w:p w:rsidR="00887330" w:rsidRPr="00583E1A" w:rsidRDefault="00887330" w:rsidP="007B2DFD">
            <w:pPr>
              <w:pStyle w:val="Tabletext"/>
              <w:rPr>
                <w:b/>
              </w:rPr>
            </w:pPr>
            <w:r w:rsidRPr="00583E1A">
              <w:rPr>
                <w:b/>
              </w:rPr>
              <w:t>Choosing to use a functional currency</w:t>
            </w:r>
          </w:p>
        </w:tc>
      </w:tr>
      <w:tr w:rsidR="00887330" w:rsidRPr="00583E1A">
        <w:trPr>
          <w:cantSplit/>
          <w:tblHeader/>
        </w:trPr>
        <w:tc>
          <w:tcPr>
            <w:tcW w:w="709" w:type="dxa"/>
            <w:tcBorders>
              <w:top w:val="single" w:sz="6" w:space="0" w:color="auto"/>
              <w:bottom w:val="single" w:sz="12" w:space="0" w:color="auto"/>
            </w:tcBorders>
            <w:shd w:val="clear" w:color="auto" w:fill="auto"/>
          </w:tcPr>
          <w:p w:rsidR="00887330" w:rsidRPr="00583E1A" w:rsidRDefault="00887330" w:rsidP="007B2DFD">
            <w:pPr>
              <w:pStyle w:val="Tabletext"/>
              <w:rPr>
                <w:b/>
              </w:rPr>
            </w:pPr>
            <w:r w:rsidRPr="00583E1A">
              <w:rPr>
                <w:b/>
              </w:rPr>
              <w:t>Item</w:t>
            </w:r>
          </w:p>
        </w:tc>
        <w:tc>
          <w:tcPr>
            <w:tcW w:w="1931" w:type="dxa"/>
            <w:tcBorders>
              <w:top w:val="single" w:sz="6" w:space="0" w:color="auto"/>
              <w:bottom w:val="single" w:sz="12" w:space="0" w:color="auto"/>
            </w:tcBorders>
            <w:shd w:val="clear" w:color="auto" w:fill="auto"/>
          </w:tcPr>
          <w:p w:rsidR="00887330" w:rsidRPr="00583E1A" w:rsidRDefault="00887330" w:rsidP="007B2DFD">
            <w:pPr>
              <w:pStyle w:val="Tabletext"/>
              <w:rPr>
                <w:b/>
              </w:rPr>
            </w:pPr>
            <w:r w:rsidRPr="00583E1A">
              <w:rPr>
                <w:b/>
              </w:rPr>
              <w:t>If you are:</w:t>
            </w:r>
          </w:p>
        </w:tc>
        <w:tc>
          <w:tcPr>
            <w:tcW w:w="1870" w:type="dxa"/>
            <w:tcBorders>
              <w:top w:val="single" w:sz="6" w:space="0" w:color="auto"/>
              <w:bottom w:val="single" w:sz="12" w:space="0" w:color="auto"/>
            </w:tcBorders>
            <w:shd w:val="clear" w:color="auto" w:fill="auto"/>
          </w:tcPr>
          <w:p w:rsidR="00887330" w:rsidRPr="00583E1A" w:rsidRDefault="00887330" w:rsidP="007B2DFD">
            <w:pPr>
              <w:pStyle w:val="Tabletext"/>
              <w:rPr>
                <w:b/>
              </w:rPr>
            </w:pPr>
            <w:r w:rsidRPr="00583E1A">
              <w:rPr>
                <w:b/>
              </w:rPr>
              <w:t xml:space="preserve">you may choose to use the </w:t>
            </w:r>
            <w:r w:rsidR="00583E1A" w:rsidRPr="00583E1A">
              <w:rPr>
                <w:b/>
                <w:position w:val="6"/>
                <w:sz w:val="16"/>
              </w:rPr>
              <w:t>*</w:t>
            </w:r>
            <w:r w:rsidRPr="00583E1A">
              <w:rPr>
                <w:b/>
              </w:rPr>
              <w:t>applicable functional currency to...</w:t>
            </w:r>
          </w:p>
        </w:tc>
        <w:tc>
          <w:tcPr>
            <w:tcW w:w="2578" w:type="dxa"/>
            <w:tcBorders>
              <w:top w:val="single" w:sz="6" w:space="0" w:color="auto"/>
              <w:bottom w:val="single" w:sz="12" w:space="0" w:color="auto"/>
            </w:tcBorders>
            <w:shd w:val="clear" w:color="auto" w:fill="auto"/>
          </w:tcPr>
          <w:p w:rsidR="00887330" w:rsidRPr="00583E1A" w:rsidRDefault="00887330" w:rsidP="007B2DFD">
            <w:pPr>
              <w:pStyle w:val="Tabletext"/>
              <w:rPr>
                <w:b/>
              </w:rPr>
            </w:pPr>
            <w:r w:rsidRPr="00583E1A">
              <w:rPr>
                <w:b/>
              </w:rPr>
              <w:t>with effect from the start of...</w:t>
            </w:r>
          </w:p>
        </w:tc>
      </w:tr>
      <w:tr w:rsidR="00887330" w:rsidRPr="00583E1A">
        <w:trPr>
          <w:cantSplit/>
        </w:trPr>
        <w:tc>
          <w:tcPr>
            <w:tcW w:w="709" w:type="dxa"/>
            <w:tcBorders>
              <w:top w:val="single" w:sz="12" w:space="0" w:color="auto"/>
              <w:bottom w:val="single" w:sz="2" w:space="0" w:color="auto"/>
            </w:tcBorders>
            <w:shd w:val="clear" w:color="auto" w:fill="auto"/>
          </w:tcPr>
          <w:p w:rsidR="00887330" w:rsidRPr="00583E1A" w:rsidRDefault="00887330" w:rsidP="007B2DFD">
            <w:pPr>
              <w:pStyle w:val="Tabletext"/>
            </w:pPr>
            <w:r w:rsidRPr="00583E1A">
              <w:t>1</w:t>
            </w:r>
          </w:p>
        </w:tc>
        <w:tc>
          <w:tcPr>
            <w:tcW w:w="1931" w:type="dxa"/>
            <w:tcBorders>
              <w:top w:val="single" w:sz="12" w:space="0" w:color="auto"/>
              <w:bottom w:val="single" w:sz="2" w:space="0" w:color="auto"/>
            </w:tcBorders>
            <w:shd w:val="clear" w:color="auto" w:fill="auto"/>
          </w:tcPr>
          <w:p w:rsidR="00887330" w:rsidRPr="00583E1A" w:rsidRDefault="00887330" w:rsidP="007B2DFD">
            <w:pPr>
              <w:pStyle w:val="Tabletext"/>
            </w:pPr>
            <w:r w:rsidRPr="00583E1A">
              <w:t>an Australian resident who is required to prepare financial reports under section</w:t>
            </w:r>
            <w:r w:rsidR="00583E1A">
              <w:t> </w:t>
            </w:r>
            <w:r w:rsidRPr="00583E1A">
              <w:t xml:space="preserve">292 of the </w:t>
            </w:r>
            <w:r w:rsidRPr="00583E1A">
              <w:rPr>
                <w:i/>
              </w:rPr>
              <w:t>Corporations Act 2001</w:t>
            </w:r>
          </w:p>
        </w:tc>
        <w:tc>
          <w:tcPr>
            <w:tcW w:w="1870" w:type="dxa"/>
            <w:tcBorders>
              <w:top w:val="single" w:sz="12" w:space="0" w:color="auto"/>
              <w:bottom w:val="single" w:sz="2" w:space="0" w:color="auto"/>
            </w:tcBorders>
            <w:shd w:val="clear" w:color="auto" w:fill="auto"/>
          </w:tcPr>
          <w:p w:rsidR="00887330" w:rsidRPr="00583E1A" w:rsidRDefault="00887330" w:rsidP="007B2DFD">
            <w:pPr>
              <w:pStyle w:val="Tabletext"/>
            </w:pPr>
            <w:r w:rsidRPr="00583E1A">
              <w:t>work out so much of your taxable income or tax loss as is not subject to a choice made by you under any of the other items of this table</w:t>
            </w:r>
          </w:p>
        </w:tc>
        <w:tc>
          <w:tcPr>
            <w:tcW w:w="2578" w:type="dxa"/>
            <w:tcBorders>
              <w:top w:val="single" w:sz="12" w:space="0" w:color="auto"/>
              <w:bottom w:val="single" w:sz="2" w:space="0" w:color="auto"/>
            </w:tcBorders>
            <w:shd w:val="clear" w:color="auto" w:fill="auto"/>
          </w:tcPr>
          <w:p w:rsidR="00887330" w:rsidRPr="00583E1A" w:rsidRDefault="00887330" w:rsidP="007B2DFD">
            <w:pPr>
              <w:pStyle w:val="Tablea"/>
            </w:pPr>
            <w:r w:rsidRPr="00583E1A">
              <w:t>(a) if the choice you make under this item is a backdated startup choice (see section</w:t>
            </w:r>
            <w:r w:rsidR="00583E1A">
              <w:t> </w:t>
            </w:r>
            <w:r w:rsidRPr="00583E1A">
              <w:t>960</w:t>
            </w:r>
            <w:r w:rsidR="00583E1A">
              <w:noBreakHyphen/>
            </w:r>
            <w:r w:rsidRPr="00583E1A">
              <w:t>65)—the income year in which you make the choice; or</w:t>
            </w:r>
          </w:p>
          <w:p w:rsidR="00887330" w:rsidRPr="00583E1A" w:rsidRDefault="00887330" w:rsidP="007B2DFD">
            <w:pPr>
              <w:pStyle w:val="Tablea"/>
            </w:pPr>
            <w:r w:rsidRPr="00583E1A">
              <w:t>(b) in any other case—the income year following the one in which you make the choice.</w:t>
            </w:r>
          </w:p>
        </w:tc>
      </w:tr>
      <w:tr w:rsidR="00887330" w:rsidRPr="00583E1A">
        <w:trPr>
          <w:cantSplit/>
        </w:trPr>
        <w:tc>
          <w:tcPr>
            <w:tcW w:w="709" w:type="dxa"/>
            <w:tcBorders>
              <w:top w:val="single" w:sz="2" w:space="0" w:color="auto"/>
              <w:bottom w:val="single" w:sz="2" w:space="0" w:color="auto"/>
            </w:tcBorders>
            <w:shd w:val="clear" w:color="auto" w:fill="auto"/>
          </w:tcPr>
          <w:p w:rsidR="00887330" w:rsidRPr="00583E1A" w:rsidRDefault="00887330" w:rsidP="00887330">
            <w:pPr>
              <w:pStyle w:val="Tabletext"/>
            </w:pPr>
            <w:r w:rsidRPr="00583E1A">
              <w:lastRenderedPageBreak/>
              <w:t>2</w:t>
            </w:r>
          </w:p>
        </w:tc>
        <w:tc>
          <w:tcPr>
            <w:tcW w:w="1931" w:type="dxa"/>
            <w:tcBorders>
              <w:top w:val="single" w:sz="2" w:space="0" w:color="auto"/>
              <w:bottom w:val="single" w:sz="2" w:space="0" w:color="auto"/>
            </w:tcBorders>
            <w:shd w:val="clear" w:color="auto" w:fill="auto"/>
          </w:tcPr>
          <w:p w:rsidR="00887330" w:rsidRPr="00583E1A" w:rsidRDefault="00887330" w:rsidP="00887330">
            <w:pPr>
              <w:pStyle w:val="Tablea"/>
            </w:pPr>
            <w:r w:rsidRPr="00583E1A">
              <w:t>(a) an Australian resident carrying on an activity or business at or through an</w:t>
            </w:r>
            <w:r w:rsidR="00583E1A" w:rsidRPr="00583E1A">
              <w:rPr>
                <w:position w:val="6"/>
                <w:sz w:val="16"/>
              </w:rPr>
              <w:t>*</w:t>
            </w:r>
            <w:r w:rsidRPr="00583E1A">
              <w:t>overseas permanent establishment; or</w:t>
            </w:r>
          </w:p>
          <w:p w:rsidR="00887330" w:rsidRPr="00583E1A" w:rsidRDefault="00887330" w:rsidP="00887330">
            <w:pPr>
              <w:pStyle w:val="Tablea"/>
            </w:pPr>
            <w:r w:rsidRPr="00583E1A">
              <w:t xml:space="preserve">(b) a foreign resident carrying on an activity or business at or through an </w:t>
            </w:r>
            <w:r w:rsidR="00583E1A" w:rsidRPr="00583E1A">
              <w:rPr>
                <w:position w:val="6"/>
                <w:sz w:val="16"/>
              </w:rPr>
              <w:t>*</w:t>
            </w:r>
            <w:r w:rsidRPr="00583E1A">
              <w:t>Australian permanent establishment</w:t>
            </w:r>
          </w:p>
        </w:tc>
        <w:tc>
          <w:tcPr>
            <w:tcW w:w="1870" w:type="dxa"/>
            <w:tcBorders>
              <w:top w:val="single" w:sz="2" w:space="0" w:color="auto"/>
              <w:bottom w:val="single" w:sz="2" w:space="0" w:color="auto"/>
            </w:tcBorders>
            <w:shd w:val="clear" w:color="auto" w:fill="auto"/>
          </w:tcPr>
          <w:p w:rsidR="00887330" w:rsidRPr="00583E1A" w:rsidRDefault="00887330" w:rsidP="00887330">
            <w:pPr>
              <w:pStyle w:val="Tabletext"/>
            </w:pPr>
            <w:r w:rsidRPr="00583E1A">
              <w:t>work out the taxable income or tax loss derived from the activity or business carried on at or through the permanent establishment</w:t>
            </w:r>
          </w:p>
        </w:tc>
        <w:tc>
          <w:tcPr>
            <w:tcW w:w="2578" w:type="dxa"/>
            <w:tcBorders>
              <w:top w:val="single" w:sz="2" w:space="0" w:color="auto"/>
              <w:bottom w:val="single" w:sz="2" w:space="0" w:color="auto"/>
            </w:tcBorders>
            <w:shd w:val="clear" w:color="auto" w:fill="auto"/>
          </w:tcPr>
          <w:p w:rsidR="00887330" w:rsidRPr="00583E1A" w:rsidRDefault="00887330" w:rsidP="00887330">
            <w:pPr>
              <w:pStyle w:val="Tablea"/>
            </w:pPr>
            <w:r w:rsidRPr="00583E1A">
              <w:t>(a) if the choice you make under this item is a backdated startup choice (see section</w:t>
            </w:r>
            <w:r w:rsidR="00583E1A">
              <w:t> </w:t>
            </w:r>
            <w:r w:rsidRPr="00583E1A">
              <w:t>960</w:t>
            </w:r>
            <w:r w:rsidR="00583E1A">
              <w:noBreakHyphen/>
            </w:r>
            <w:r w:rsidRPr="00583E1A">
              <w:t>65)—the income year in which you make the choice; or</w:t>
            </w:r>
          </w:p>
          <w:p w:rsidR="00887330" w:rsidRPr="00583E1A" w:rsidRDefault="00887330" w:rsidP="00887330">
            <w:pPr>
              <w:pStyle w:val="Tablea"/>
            </w:pPr>
            <w:r w:rsidRPr="00583E1A">
              <w:t>(b) in any other case—the income year following the one in which you make the choice.</w:t>
            </w:r>
          </w:p>
        </w:tc>
      </w:tr>
      <w:tr w:rsidR="00887330" w:rsidRPr="00583E1A">
        <w:trPr>
          <w:cantSplit/>
        </w:trPr>
        <w:tc>
          <w:tcPr>
            <w:tcW w:w="709" w:type="dxa"/>
            <w:tcBorders>
              <w:top w:val="single" w:sz="2" w:space="0" w:color="auto"/>
              <w:bottom w:val="single" w:sz="2" w:space="0" w:color="auto"/>
            </w:tcBorders>
            <w:shd w:val="clear" w:color="auto" w:fill="auto"/>
          </w:tcPr>
          <w:p w:rsidR="00887330" w:rsidRPr="00583E1A" w:rsidRDefault="00887330" w:rsidP="00887330">
            <w:pPr>
              <w:pStyle w:val="Tabletext"/>
            </w:pPr>
            <w:r w:rsidRPr="00583E1A">
              <w:t>3</w:t>
            </w:r>
          </w:p>
        </w:tc>
        <w:tc>
          <w:tcPr>
            <w:tcW w:w="1931" w:type="dxa"/>
            <w:tcBorders>
              <w:top w:val="single" w:sz="2" w:space="0" w:color="auto"/>
              <w:bottom w:val="single" w:sz="2" w:space="0" w:color="auto"/>
            </w:tcBorders>
            <w:shd w:val="clear" w:color="auto" w:fill="auto"/>
          </w:tcPr>
          <w:p w:rsidR="00887330" w:rsidRPr="00583E1A" w:rsidRDefault="00887330" w:rsidP="00887330">
            <w:pPr>
              <w:pStyle w:val="Tabletext"/>
            </w:pPr>
            <w:r w:rsidRPr="00583E1A">
              <w:t xml:space="preserve">an </w:t>
            </w:r>
            <w:r w:rsidR="00583E1A" w:rsidRPr="00583E1A">
              <w:rPr>
                <w:position w:val="6"/>
                <w:sz w:val="16"/>
              </w:rPr>
              <w:t>*</w:t>
            </w:r>
            <w:r w:rsidRPr="00583E1A">
              <w:t>offshore banking unit</w:t>
            </w:r>
          </w:p>
        </w:tc>
        <w:tc>
          <w:tcPr>
            <w:tcW w:w="1870" w:type="dxa"/>
            <w:tcBorders>
              <w:top w:val="single" w:sz="2" w:space="0" w:color="auto"/>
              <w:bottom w:val="single" w:sz="2" w:space="0" w:color="auto"/>
            </w:tcBorders>
            <w:shd w:val="clear" w:color="auto" w:fill="auto"/>
          </w:tcPr>
          <w:p w:rsidR="00887330" w:rsidRPr="00583E1A" w:rsidRDefault="00887330" w:rsidP="00887330">
            <w:pPr>
              <w:pStyle w:val="Tabletext"/>
            </w:pPr>
            <w:r w:rsidRPr="00583E1A">
              <w:t xml:space="preserve">work out your total assessable </w:t>
            </w:r>
            <w:smartTag w:uri="urn:schemas-microsoft-com:office:smarttags" w:element="place">
              <w:r w:rsidRPr="00583E1A">
                <w:t>OB</w:t>
              </w:r>
            </w:smartTag>
            <w:r w:rsidRPr="00583E1A">
              <w:t xml:space="preserve"> income (within the meaning of Division</w:t>
            </w:r>
            <w:r w:rsidR="00583E1A">
              <w:t> </w:t>
            </w:r>
            <w:r w:rsidRPr="00583E1A">
              <w:t>9A of Part</w:t>
            </w:r>
            <w:r w:rsidR="00583E1A">
              <w:t> </w:t>
            </w:r>
            <w:r w:rsidRPr="00583E1A">
              <w:t xml:space="preserve">III of the </w:t>
            </w:r>
            <w:r w:rsidRPr="00583E1A">
              <w:rPr>
                <w:i/>
              </w:rPr>
              <w:t>Income Act Assessment Act 1936</w:t>
            </w:r>
            <w:r w:rsidRPr="00583E1A">
              <w:t xml:space="preserve">) and your total allowable </w:t>
            </w:r>
            <w:smartTag w:uri="urn:schemas-microsoft-com:office:smarttags" w:element="place">
              <w:r w:rsidRPr="00583E1A">
                <w:t>OB</w:t>
              </w:r>
            </w:smartTag>
            <w:r w:rsidRPr="00583E1A">
              <w:t xml:space="preserve"> deductions (within the meaning of that Division)</w:t>
            </w:r>
          </w:p>
        </w:tc>
        <w:tc>
          <w:tcPr>
            <w:tcW w:w="2578" w:type="dxa"/>
            <w:tcBorders>
              <w:top w:val="single" w:sz="2" w:space="0" w:color="auto"/>
              <w:bottom w:val="single" w:sz="2" w:space="0" w:color="auto"/>
            </w:tcBorders>
            <w:shd w:val="clear" w:color="auto" w:fill="auto"/>
          </w:tcPr>
          <w:p w:rsidR="00887330" w:rsidRPr="00583E1A" w:rsidRDefault="00887330" w:rsidP="00887330">
            <w:pPr>
              <w:pStyle w:val="Tablea"/>
            </w:pPr>
            <w:r w:rsidRPr="00583E1A">
              <w:t>(a) if the choice you make under this item is a backdated startup choice (see section</w:t>
            </w:r>
            <w:r w:rsidR="00583E1A">
              <w:t> </w:t>
            </w:r>
            <w:r w:rsidRPr="00583E1A">
              <w:t>960</w:t>
            </w:r>
            <w:r w:rsidR="00583E1A">
              <w:noBreakHyphen/>
            </w:r>
            <w:r w:rsidRPr="00583E1A">
              <w:t>65)—the income year in which you make the choice; or</w:t>
            </w:r>
          </w:p>
          <w:p w:rsidR="00887330" w:rsidRPr="00583E1A" w:rsidRDefault="00887330" w:rsidP="00887330">
            <w:pPr>
              <w:pStyle w:val="Tablea"/>
            </w:pPr>
            <w:r w:rsidRPr="00583E1A">
              <w:t>(b) in any other case—the income year following the one in which you make the choice.</w:t>
            </w:r>
          </w:p>
        </w:tc>
      </w:tr>
      <w:tr w:rsidR="00887330" w:rsidRPr="00583E1A">
        <w:trPr>
          <w:cantSplit/>
        </w:trPr>
        <w:tc>
          <w:tcPr>
            <w:tcW w:w="709" w:type="dxa"/>
            <w:tcBorders>
              <w:top w:val="single" w:sz="2" w:space="0" w:color="auto"/>
              <w:bottom w:val="single" w:sz="2" w:space="0" w:color="auto"/>
            </w:tcBorders>
            <w:shd w:val="clear" w:color="auto" w:fill="auto"/>
          </w:tcPr>
          <w:p w:rsidR="00887330" w:rsidRPr="00583E1A" w:rsidRDefault="00887330" w:rsidP="00887330">
            <w:pPr>
              <w:pStyle w:val="Tabletext"/>
            </w:pPr>
            <w:r w:rsidRPr="00583E1A">
              <w:lastRenderedPageBreak/>
              <w:t>4</w:t>
            </w:r>
          </w:p>
        </w:tc>
        <w:tc>
          <w:tcPr>
            <w:tcW w:w="1931" w:type="dxa"/>
            <w:tcBorders>
              <w:top w:val="single" w:sz="2" w:space="0" w:color="auto"/>
              <w:bottom w:val="single" w:sz="2" w:space="0" w:color="auto"/>
            </w:tcBorders>
            <w:shd w:val="clear" w:color="auto" w:fill="auto"/>
          </w:tcPr>
          <w:p w:rsidR="00887330" w:rsidRPr="00583E1A" w:rsidRDefault="00887330" w:rsidP="00887330">
            <w:pPr>
              <w:pStyle w:val="Tabletext"/>
            </w:pPr>
            <w:r w:rsidRPr="00583E1A">
              <w:t>an attributable taxpayer (within the meaning of Part</w:t>
            </w:r>
            <w:r w:rsidR="00583E1A">
              <w:t> </w:t>
            </w:r>
            <w:r w:rsidRPr="00583E1A">
              <w:t xml:space="preserve">X of the </w:t>
            </w:r>
            <w:r w:rsidRPr="00583E1A">
              <w:rPr>
                <w:i/>
              </w:rPr>
              <w:t>Income Tax Assessment Act 1936</w:t>
            </w:r>
            <w:r w:rsidRPr="00583E1A">
              <w:t xml:space="preserve">) of a </w:t>
            </w:r>
            <w:r w:rsidR="00583E1A" w:rsidRPr="00583E1A">
              <w:rPr>
                <w:position w:val="6"/>
                <w:sz w:val="16"/>
              </w:rPr>
              <w:t>*</w:t>
            </w:r>
            <w:r w:rsidRPr="00583E1A">
              <w:t>controlled foreign company (CFC)</w:t>
            </w:r>
          </w:p>
        </w:tc>
        <w:tc>
          <w:tcPr>
            <w:tcW w:w="1870" w:type="dxa"/>
            <w:tcBorders>
              <w:top w:val="single" w:sz="2" w:space="0" w:color="auto"/>
              <w:bottom w:val="single" w:sz="2" w:space="0" w:color="auto"/>
            </w:tcBorders>
            <w:shd w:val="clear" w:color="auto" w:fill="auto"/>
          </w:tcPr>
          <w:p w:rsidR="00887330" w:rsidRPr="00583E1A" w:rsidRDefault="00887330" w:rsidP="00887330">
            <w:pPr>
              <w:pStyle w:val="Tabletext"/>
            </w:pPr>
            <w:r w:rsidRPr="00583E1A">
              <w:t xml:space="preserve">work out the </w:t>
            </w:r>
            <w:r w:rsidR="00583E1A" w:rsidRPr="00583E1A">
              <w:rPr>
                <w:position w:val="6"/>
                <w:sz w:val="16"/>
              </w:rPr>
              <w:t>*</w:t>
            </w:r>
            <w:r w:rsidRPr="00583E1A">
              <w:t>attributable income of the CFC</w:t>
            </w:r>
          </w:p>
        </w:tc>
        <w:tc>
          <w:tcPr>
            <w:tcW w:w="2578" w:type="dxa"/>
            <w:tcBorders>
              <w:top w:val="single" w:sz="2" w:space="0" w:color="auto"/>
              <w:bottom w:val="single" w:sz="2" w:space="0" w:color="auto"/>
            </w:tcBorders>
            <w:shd w:val="clear" w:color="auto" w:fill="auto"/>
          </w:tcPr>
          <w:p w:rsidR="00887330" w:rsidRPr="00583E1A" w:rsidRDefault="00887330" w:rsidP="00887330">
            <w:pPr>
              <w:pStyle w:val="Tablea"/>
            </w:pPr>
            <w:r w:rsidRPr="00583E1A">
              <w:t>(a) if the choice you make under this item is a backdated startup choice (see section</w:t>
            </w:r>
            <w:r w:rsidR="00583E1A">
              <w:t> </w:t>
            </w:r>
            <w:r w:rsidRPr="00583E1A">
              <w:t>960</w:t>
            </w:r>
            <w:r w:rsidR="00583E1A">
              <w:noBreakHyphen/>
            </w:r>
            <w:r w:rsidRPr="00583E1A">
              <w:t xml:space="preserve">65)—the CFC’s </w:t>
            </w:r>
            <w:r w:rsidR="00583E1A" w:rsidRPr="00583E1A">
              <w:rPr>
                <w:position w:val="6"/>
                <w:sz w:val="16"/>
              </w:rPr>
              <w:t>*</w:t>
            </w:r>
            <w:r w:rsidRPr="00583E1A">
              <w:t>statutory accounting period in which you make the choice; or</w:t>
            </w:r>
          </w:p>
          <w:p w:rsidR="00887330" w:rsidRPr="00583E1A" w:rsidRDefault="00887330" w:rsidP="00887330">
            <w:pPr>
              <w:pStyle w:val="Tablea"/>
            </w:pPr>
            <w:r w:rsidRPr="00583E1A">
              <w:t>(b) in any other case—the CFC’s statutory accounting period following the one in which you make the choice.</w:t>
            </w:r>
          </w:p>
        </w:tc>
      </w:tr>
      <w:tr w:rsidR="00887330" w:rsidRPr="00583E1A">
        <w:trPr>
          <w:cantSplit/>
        </w:trPr>
        <w:tc>
          <w:tcPr>
            <w:tcW w:w="709" w:type="dxa"/>
            <w:tcBorders>
              <w:top w:val="single" w:sz="2" w:space="0" w:color="auto"/>
              <w:bottom w:val="single" w:sz="12" w:space="0" w:color="auto"/>
            </w:tcBorders>
            <w:shd w:val="clear" w:color="auto" w:fill="auto"/>
          </w:tcPr>
          <w:p w:rsidR="00887330" w:rsidRPr="00583E1A" w:rsidRDefault="00887330" w:rsidP="00887330">
            <w:pPr>
              <w:pStyle w:val="Tabletext"/>
            </w:pPr>
            <w:r w:rsidRPr="00583E1A">
              <w:t>5</w:t>
            </w:r>
          </w:p>
        </w:tc>
        <w:tc>
          <w:tcPr>
            <w:tcW w:w="1931" w:type="dxa"/>
            <w:tcBorders>
              <w:top w:val="single" w:sz="2" w:space="0" w:color="auto"/>
              <w:bottom w:val="single" w:sz="12" w:space="0" w:color="auto"/>
            </w:tcBorders>
            <w:shd w:val="clear" w:color="auto" w:fill="auto"/>
          </w:tcPr>
          <w:p w:rsidR="00887330" w:rsidRPr="00583E1A" w:rsidRDefault="00887330" w:rsidP="00887330">
            <w:pPr>
              <w:pStyle w:val="Tabletext"/>
            </w:pPr>
            <w:r w:rsidRPr="00583E1A">
              <w:t xml:space="preserve">a </w:t>
            </w:r>
            <w:r w:rsidR="00583E1A" w:rsidRPr="00583E1A">
              <w:rPr>
                <w:position w:val="6"/>
                <w:sz w:val="16"/>
              </w:rPr>
              <w:t>*</w:t>
            </w:r>
            <w:r w:rsidRPr="00583E1A">
              <w:t>transferor trust</w:t>
            </w:r>
          </w:p>
        </w:tc>
        <w:tc>
          <w:tcPr>
            <w:tcW w:w="1870" w:type="dxa"/>
            <w:tcBorders>
              <w:top w:val="single" w:sz="2" w:space="0" w:color="auto"/>
              <w:bottom w:val="single" w:sz="12" w:space="0" w:color="auto"/>
            </w:tcBorders>
            <w:shd w:val="clear" w:color="auto" w:fill="auto"/>
          </w:tcPr>
          <w:p w:rsidR="00887330" w:rsidRPr="00583E1A" w:rsidRDefault="00887330" w:rsidP="00887330">
            <w:pPr>
              <w:pStyle w:val="Tabletext"/>
            </w:pPr>
            <w:r w:rsidRPr="00583E1A">
              <w:t>work out your attributable income (within the meaning of Division</w:t>
            </w:r>
            <w:r w:rsidR="00583E1A">
              <w:t> </w:t>
            </w:r>
            <w:r w:rsidRPr="00583E1A">
              <w:t>6AAA of Part</w:t>
            </w:r>
            <w:r w:rsidR="00583E1A">
              <w:t> </w:t>
            </w:r>
            <w:r w:rsidRPr="00583E1A">
              <w:t xml:space="preserve">III of the </w:t>
            </w:r>
            <w:r w:rsidRPr="00583E1A">
              <w:rPr>
                <w:i/>
              </w:rPr>
              <w:t>Income Tax Assessment Act 1936</w:t>
            </w:r>
            <w:r w:rsidRPr="00583E1A">
              <w:t>)</w:t>
            </w:r>
          </w:p>
        </w:tc>
        <w:tc>
          <w:tcPr>
            <w:tcW w:w="2578" w:type="dxa"/>
            <w:tcBorders>
              <w:top w:val="single" w:sz="2" w:space="0" w:color="auto"/>
              <w:bottom w:val="single" w:sz="12" w:space="0" w:color="auto"/>
            </w:tcBorders>
            <w:shd w:val="clear" w:color="auto" w:fill="auto"/>
          </w:tcPr>
          <w:p w:rsidR="00887330" w:rsidRPr="00583E1A" w:rsidRDefault="00887330" w:rsidP="00887330">
            <w:pPr>
              <w:pStyle w:val="Tablea"/>
            </w:pPr>
            <w:r w:rsidRPr="00583E1A">
              <w:t>(a) if the choice you make under this item is a backdated startup choice (see section</w:t>
            </w:r>
            <w:r w:rsidR="00583E1A">
              <w:t> </w:t>
            </w:r>
            <w:r w:rsidRPr="00583E1A">
              <w:t>960</w:t>
            </w:r>
            <w:r w:rsidR="00583E1A">
              <w:noBreakHyphen/>
            </w:r>
            <w:r w:rsidRPr="00583E1A">
              <w:t>65)—the income year in which you make the choice; or</w:t>
            </w:r>
          </w:p>
          <w:p w:rsidR="00887330" w:rsidRPr="00583E1A" w:rsidRDefault="00887330" w:rsidP="00887330">
            <w:pPr>
              <w:pStyle w:val="Tablea"/>
            </w:pPr>
            <w:r w:rsidRPr="00583E1A">
              <w:t>(b) in any other case—the income year following the one in which you make the choice.</w:t>
            </w:r>
          </w:p>
        </w:tc>
      </w:tr>
    </w:tbl>
    <w:p w:rsidR="00887330" w:rsidRPr="00583E1A" w:rsidRDefault="00887330" w:rsidP="00887330">
      <w:pPr>
        <w:pStyle w:val="notetext"/>
      </w:pPr>
      <w:r w:rsidRPr="00583E1A">
        <w:t>Note:</w:t>
      </w:r>
      <w:r w:rsidRPr="00583E1A">
        <w:tab/>
        <w:t>The attributable income of a controlled foreign company is calculated separately for each attributable taxpayer—see section</w:t>
      </w:r>
      <w:r w:rsidR="00583E1A">
        <w:t> </w:t>
      </w:r>
      <w:r w:rsidRPr="00583E1A">
        <w:t xml:space="preserve">381 of the </w:t>
      </w:r>
      <w:r w:rsidRPr="00583E1A">
        <w:rPr>
          <w:i/>
        </w:rPr>
        <w:t>Income Tax Assessment Act 1936</w:t>
      </w:r>
      <w:r w:rsidRPr="00583E1A">
        <w:t>.</w:t>
      </w:r>
    </w:p>
    <w:p w:rsidR="00887330" w:rsidRPr="00583E1A" w:rsidRDefault="00887330" w:rsidP="00887330">
      <w:pPr>
        <w:pStyle w:val="subsection"/>
      </w:pPr>
      <w:r w:rsidRPr="00583E1A">
        <w:tab/>
        <w:t>(2)</w:t>
      </w:r>
      <w:r w:rsidRPr="00583E1A">
        <w:tab/>
        <w:t>A choice must be in writing.</w:t>
      </w:r>
    </w:p>
    <w:p w:rsidR="00887330" w:rsidRPr="00583E1A" w:rsidRDefault="00887330" w:rsidP="00887330">
      <w:pPr>
        <w:pStyle w:val="subsection"/>
      </w:pPr>
      <w:r w:rsidRPr="00583E1A">
        <w:tab/>
        <w:t>(3)</w:t>
      </w:r>
      <w:r w:rsidRPr="00583E1A">
        <w:tab/>
        <w:t>A choice under item</w:t>
      </w:r>
      <w:r w:rsidR="00583E1A">
        <w:t> </w:t>
      </w:r>
      <w:r w:rsidRPr="00583E1A">
        <w:t xml:space="preserve">1 of the table in </w:t>
      </w:r>
      <w:r w:rsidR="00583E1A">
        <w:t>subsection (</w:t>
      </w:r>
      <w:r w:rsidRPr="00583E1A">
        <w:t>1) continues in effect until:</w:t>
      </w:r>
    </w:p>
    <w:p w:rsidR="00887330" w:rsidRPr="00583E1A" w:rsidRDefault="00887330" w:rsidP="00887330">
      <w:pPr>
        <w:pStyle w:val="paragraph"/>
      </w:pPr>
      <w:r w:rsidRPr="00583E1A">
        <w:tab/>
        <w:t>(a)</w:t>
      </w:r>
      <w:r w:rsidRPr="00583E1A">
        <w:tab/>
        <w:t>a withdrawal of the choice takes effect (see section</w:t>
      </w:r>
      <w:r w:rsidR="00583E1A">
        <w:t> </w:t>
      </w:r>
      <w:r w:rsidRPr="00583E1A">
        <w:t>960</w:t>
      </w:r>
      <w:r w:rsidR="00583E1A">
        <w:noBreakHyphen/>
      </w:r>
      <w:r w:rsidRPr="00583E1A">
        <w:t>90); or</w:t>
      </w:r>
    </w:p>
    <w:p w:rsidR="00887330" w:rsidRPr="00583E1A" w:rsidRDefault="00887330" w:rsidP="00887330">
      <w:pPr>
        <w:pStyle w:val="paragraph"/>
      </w:pPr>
      <w:r w:rsidRPr="00583E1A">
        <w:lastRenderedPageBreak/>
        <w:tab/>
        <w:t>(b)</w:t>
      </w:r>
      <w:r w:rsidRPr="00583E1A">
        <w:tab/>
        <w:t>immediately after the end of the income year in which you cease to be subject to a requirement to prepare financial reports under section</w:t>
      </w:r>
      <w:r w:rsidR="00583E1A">
        <w:t> </w:t>
      </w:r>
      <w:r w:rsidRPr="00583E1A">
        <w:t xml:space="preserve">292 of the </w:t>
      </w:r>
      <w:r w:rsidRPr="00583E1A">
        <w:rPr>
          <w:i/>
        </w:rPr>
        <w:t>Corporations Act 2001</w:t>
      </w:r>
      <w:r w:rsidRPr="00583E1A">
        <w:t>;</w:t>
      </w:r>
    </w:p>
    <w:p w:rsidR="00887330" w:rsidRPr="00583E1A" w:rsidRDefault="00887330" w:rsidP="00887330">
      <w:pPr>
        <w:pStyle w:val="subsection2"/>
      </w:pPr>
      <w:r w:rsidRPr="00583E1A">
        <w:t>whichever happens first.</w:t>
      </w:r>
    </w:p>
    <w:p w:rsidR="00887330" w:rsidRPr="00583E1A" w:rsidRDefault="00887330" w:rsidP="00887330">
      <w:pPr>
        <w:pStyle w:val="subsection"/>
      </w:pPr>
      <w:r w:rsidRPr="00583E1A">
        <w:tab/>
        <w:t>(4)</w:t>
      </w:r>
      <w:r w:rsidRPr="00583E1A">
        <w:tab/>
        <w:t>A choice under item</w:t>
      </w:r>
      <w:r w:rsidR="00583E1A">
        <w:t> </w:t>
      </w:r>
      <w:r w:rsidRPr="00583E1A">
        <w:t xml:space="preserve">2, 3, 4 or 5 of the table in </w:t>
      </w:r>
      <w:r w:rsidR="00583E1A">
        <w:t>subsection (</w:t>
      </w:r>
      <w:r w:rsidRPr="00583E1A">
        <w:t>1) continues in effect until a withdrawal of the choice takes effect (see section</w:t>
      </w:r>
      <w:r w:rsidR="00583E1A">
        <w:t> </w:t>
      </w:r>
      <w:r w:rsidRPr="00583E1A">
        <w:t>960</w:t>
      </w:r>
      <w:r w:rsidR="00583E1A">
        <w:noBreakHyphen/>
      </w:r>
      <w:r w:rsidRPr="00583E1A">
        <w:t>90).</w:t>
      </w:r>
    </w:p>
    <w:p w:rsidR="002F48EC" w:rsidRPr="00583E1A" w:rsidRDefault="002F48EC" w:rsidP="002F48EC">
      <w:pPr>
        <w:pStyle w:val="ActHead5"/>
      </w:pPr>
      <w:bookmarkStart w:id="523" w:name="_Toc338939597"/>
      <w:r w:rsidRPr="00583E1A">
        <w:rPr>
          <w:rStyle w:val="CharSectno"/>
        </w:rPr>
        <w:t>960</w:t>
      </w:r>
      <w:r w:rsidR="00583E1A">
        <w:rPr>
          <w:rStyle w:val="CharSectno"/>
        </w:rPr>
        <w:noBreakHyphen/>
      </w:r>
      <w:r w:rsidRPr="00583E1A">
        <w:rPr>
          <w:rStyle w:val="CharSectno"/>
        </w:rPr>
        <w:t>61</w:t>
      </w:r>
      <w:r w:rsidRPr="00583E1A">
        <w:t xml:space="preserve">  Functional currency for calculating capital gains and losses on indirect Australian real property interests</w:t>
      </w:r>
      <w:bookmarkEnd w:id="523"/>
    </w:p>
    <w:p w:rsidR="002F48EC" w:rsidRPr="00583E1A" w:rsidRDefault="002F48EC" w:rsidP="002F48EC">
      <w:pPr>
        <w:pStyle w:val="subsection"/>
      </w:pPr>
      <w:r w:rsidRPr="00583E1A">
        <w:tab/>
        <w:t>(1)</w:t>
      </w:r>
      <w:r w:rsidRPr="00583E1A">
        <w:tab/>
      </w:r>
      <w:r w:rsidR="00583E1A">
        <w:t>Subsection (</w:t>
      </w:r>
      <w:r w:rsidRPr="00583E1A">
        <w:t>2) applies if:</w:t>
      </w:r>
    </w:p>
    <w:p w:rsidR="002F48EC" w:rsidRPr="00583E1A" w:rsidRDefault="002F48EC" w:rsidP="002F48EC">
      <w:pPr>
        <w:pStyle w:val="paragraph"/>
      </w:pPr>
      <w:r w:rsidRPr="00583E1A">
        <w:tab/>
        <w:t>(a)</w:t>
      </w:r>
      <w:r w:rsidRPr="00583E1A">
        <w:tab/>
        <w:t>you are a foreign resident; and</w:t>
      </w:r>
    </w:p>
    <w:p w:rsidR="002F48EC" w:rsidRPr="00583E1A" w:rsidRDefault="002F48EC" w:rsidP="002F48EC">
      <w:pPr>
        <w:pStyle w:val="paragraph"/>
      </w:pPr>
      <w:r w:rsidRPr="00583E1A">
        <w:tab/>
        <w:t>(b)</w:t>
      </w:r>
      <w:r w:rsidRPr="00583E1A">
        <w:tab/>
        <w:t xml:space="preserve">a </w:t>
      </w:r>
      <w:r w:rsidR="00583E1A" w:rsidRPr="00583E1A">
        <w:rPr>
          <w:position w:val="6"/>
          <w:sz w:val="16"/>
        </w:rPr>
        <w:t>*</w:t>
      </w:r>
      <w:r w:rsidRPr="00583E1A">
        <w:t xml:space="preserve">CGT event happens in relation to a </w:t>
      </w:r>
      <w:r w:rsidR="00583E1A" w:rsidRPr="00583E1A">
        <w:rPr>
          <w:position w:val="6"/>
          <w:sz w:val="16"/>
        </w:rPr>
        <w:t>*</w:t>
      </w:r>
      <w:r w:rsidRPr="00583E1A">
        <w:t xml:space="preserve">CGT asset that is an </w:t>
      </w:r>
      <w:r w:rsidR="00583E1A" w:rsidRPr="00583E1A">
        <w:rPr>
          <w:position w:val="6"/>
          <w:sz w:val="16"/>
        </w:rPr>
        <w:t>*</w:t>
      </w:r>
      <w:r w:rsidRPr="00583E1A">
        <w:t>indirect Australian real property interest for you; and</w:t>
      </w:r>
    </w:p>
    <w:p w:rsidR="002F48EC" w:rsidRPr="00583E1A" w:rsidRDefault="002F48EC" w:rsidP="002F48EC">
      <w:pPr>
        <w:pStyle w:val="paragraph"/>
      </w:pPr>
      <w:r w:rsidRPr="00583E1A">
        <w:tab/>
        <w:t>(c)</w:t>
      </w:r>
      <w:r w:rsidRPr="00583E1A">
        <w:tab/>
        <w:t>the sole or predominant currency in which you keep your accounts at the time of the CGT event is a currency other than Australian currency.</w:t>
      </w:r>
    </w:p>
    <w:p w:rsidR="002F48EC" w:rsidRPr="00583E1A" w:rsidRDefault="002F48EC" w:rsidP="002F48EC">
      <w:pPr>
        <w:pStyle w:val="subsection"/>
      </w:pPr>
      <w:r w:rsidRPr="00583E1A">
        <w:tab/>
        <w:t>(2)</w:t>
      </w:r>
      <w:r w:rsidRPr="00583E1A">
        <w:tab/>
        <w:t xml:space="preserve">You must use the </w:t>
      </w:r>
      <w:r w:rsidR="00583E1A" w:rsidRPr="00583E1A">
        <w:rPr>
          <w:position w:val="6"/>
          <w:sz w:val="16"/>
        </w:rPr>
        <w:t>*</w:t>
      </w:r>
      <w:r w:rsidRPr="00583E1A">
        <w:t xml:space="preserve">applicable functional currency to work out the amount of your </w:t>
      </w:r>
      <w:r w:rsidR="00583E1A" w:rsidRPr="00583E1A">
        <w:rPr>
          <w:position w:val="6"/>
          <w:sz w:val="16"/>
        </w:rPr>
        <w:t>*</w:t>
      </w:r>
      <w:r w:rsidRPr="00583E1A">
        <w:t xml:space="preserve">capital gain or </w:t>
      </w:r>
      <w:r w:rsidR="00583E1A" w:rsidRPr="00583E1A">
        <w:rPr>
          <w:position w:val="6"/>
          <w:sz w:val="16"/>
        </w:rPr>
        <w:t>*</w:t>
      </w:r>
      <w:r w:rsidRPr="00583E1A">
        <w:t>capital loss (if any).</w:t>
      </w:r>
    </w:p>
    <w:p w:rsidR="00887330" w:rsidRPr="00583E1A" w:rsidRDefault="00887330" w:rsidP="00887330">
      <w:pPr>
        <w:pStyle w:val="ActHead5"/>
      </w:pPr>
      <w:bookmarkStart w:id="524" w:name="_Toc338939598"/>
      <w:r w:rsidRPr="00583E1A">
        <w:rPr>
          <w:rStyle w:val="CharSectno"/>
        </w:rPr>
        <w:lastRenderedPageBreak/>
        <w:t>960</w:t>
      </w:r>
      <w:r w:rsidR="00583E1A">
        <w:rPr>
          <w:rStyle w:val="CharSectno"/>
        </w:rPr>
        <w:noBreakHyphen/>
      </w:r>
      <w:r w:rsidRPr="00583E1A">
        <w:rPr>
          <w:rStyle w:val="CharSectno"/>
        </w:rPr>
        <w:t>65</w:t>
      </w:r>
      <w:r w:rsidRPr="00583E1A">
        <w:t xml:space="preserve">  Backdated startup choice</w:t>
      </w:r>
      <w:bookmarkEnd w:id="524"/>
    </w:p>
    <w:p w:rsidR="00887330" w:rsidRPr="00583E1A" w:rsidRDefault="00887330" w:rsidP="00887330">
      <w:pPr>
        <w:pStyle w:val="subsection"/>
        <w:keepNext/>
      </w:pPr>
      <w:r w:rsidRPr="00583E1A">
        <w:tab/>
      </w:r>
      <w:r w:rsidRPr="00583E1A">
        <w:tab/>
        <w:t>The table has effect:</w:t>
      </w:r>
    </w:p>
    <w:p w:rsidR="00887330" w:rsidRPr="00583E1A" w:rsidRDefault="00887330" w:rsidP="00887330">
      <w:pPr>
        <w:pStyle w:val="Tabletext"/>
        <w:keepNext/>
        <w:keepLines/>
      </w:pPr>
    </w:p>
    <w:tbl>
      <w:tblPr>
        <w:tblW w:w="0" w:type="auto"/>
        <w:tblInd w:w="113" w:type="dxa"/>
        <w:tblLayout w:type="fixed"/>
        <w:tblLook w:val="0000" w:firstRow="0" w:lastRow="0" w:firstColumn="0" w:lastColumn="0" w:noHBand="0" w:noVBand="0"/>
      </w:tblPr>
      <w:tblGrid>
        <w:gridCol w:w="714"/>
        <w:gridCol w:w="3186"/>
        <w:gridCol w:w="3186"/>
      </w:tblGrid>
      <w:tr w:rsidR="00887330" w:rsidRPr="00583E1A">
        <w:trPr>
          <w:cantSplit/>
          <w:tblHeader/>
        </w:trPr>
        <w:tc>
          <w:tcPr>
            <w:tcW w:w="7086" w:type="dxa"/>
            <w:gridSpan w:val="3"/>
            <w:tcBorders>
              <w:top w:val="single" w:sz="12" w:space="0" w:color="auto"/>
              <w:bottom w:val="single" w:sz="6" w:space="0" w:color="auto"/>
            </w:tcBorders>
            <w:shd w:val="clear" w:color="auto" w:fill="auto"/>
          </w:tcPr>
          <w:p w:rsidR="00887330" w:rsidRPr="00583E1A" w:rsidRDefault="00887330" w:rsidP="00887330">
            <w:pPr>
              <w:pStyle w:val="Tabletext"/>
              <w:keepNext/>
              <w:keepLines/>
              <w:rPr>
                <w:b/>
              </w:rPr>
            </w:pPr>
            <w:r w:rsidRPr="00583E1A">
              <w:rPr>
                <w:b/>
              </w:rPr>
              <w:t>Backdated startup choice</w:t>
            </w:r>
          </w:p>
        </w:tc>
      </w:tr>
      <w:tr w:rsidR="00887330" w:rsidRPr="00583E1A">
        <w:trPr>
          <w:cantSplit/>
          <w:tblHeader/>
        </w:trPr>
        <w:tc>
          <w:tcPr>
            <w:tcW w:w="714" w:type="dxa"/>
            <w:tcBorders>
              <w:top w:val="single" w:sz="6" w:space="0" w:color="auto"/>
              <w:bottom w:val="single" w:sz="12" w:space="0" w:color="auto"/>
            </w:tcBorders>
            <w:shd w:val="clear" w:color="auto" w:fill="auto"/>
          </w:tcPr>
          <w:p w:rsidR="00887330" w:rsidRPr="00583E1A" w:rsidRDefault="00887330" w:rsidP="00887330">
            <w:pPr>
              <w:pStyle w:val="Tabletext"/>
              <w:keepNext/>
              <w:rPr>
                <w:b/>
              </w:rPr>
            </w:pPr>
            <w:r w:rsidRPr="00583E1A">
              <w:rPr>
                <w:b/>
              </w:rPr>
              <w:t>Item</w:t>
            </w:r>
          </w:p>
        </w:tc>
        <w:tc>
          <w:tcPr>
            <w:tcW w:w="3186" w:type="dxa"/>
            <w:tcBorders>
              <w:top w:val="single" w:sz="6" w:space="0" w:color="auto"/>
              <w:bottom w:val="single" w:sz="12" w:space="0" w:color="auto"/>
            </w:tcBorders>
            <w:shd w:val="clear" w:color="auto" w:fill="auto"/>
          </w:tcPr>
          <w:p w:rsidR="00887330" w:rsidRPr="00583E1A" w:rsidRDefault="00887330" w:rsidP="00887330">
            <w:pPr>
              <w:pStyle w:val="Tabletext"/>
              <w:keepNext/>
              <w:rPr>
                <w:b/>
              </w:rPr>
            </w:pPr>
            <w:r w:rsidRPr="00583E1A">
              <w:rPr>
                <w:b/>
              </w:rPr>
              <w:t>In this case:</w:t>
            </w:r>
          </w:p>
        </w:tc>
        <w:tc>
          <w:tcPr>
            <w:tcW w:w="3186" w:type="dxa"/>
            <w:tcBorders>
              <w:top w:val="single" w:sz="6" w:space="0" w:color="auto"/>
              <w:bottom w:val="single" w:sz="12" w:space="0" w:color="auto"/>
            </w:tcBorders>
            <w:shd w:val="clear" w:color="auto" w:fill="auto"/>
          </w:tcPr>
          <w:p w:rsidR="00887330" w:rsidRPr="00583E1A" w:rsidRDefault="00887330" w:rsidP="00887330">
            <w:pPr>
              <w:pStyle w:val="Tabletext"/>
              <w:keepNext/>
              <w:rPr>
                <w:b/>
              </w:rPr>
            </w:pPr>
            <w:r w:rsidRPr="00583E1A">
              <w:rPr>
                <w:b/>
              </w:rPr>
              <w:t xml:space="preserve">the choice is a </w:t>
            </w:r>
            <w:r w:rsidRPr="00583E1A">
              <w:rPr>
                <w:b/>
                <w:i/>
              </w:rPr>
              <w:t>backdated startup choice</w:t>
            </w:r>
            <w:r w:rsidRPr="00583E1A">
              <w:rPr>
                <w:b/>
              </w:rPr>
              <w:t xml:space="preserve"> if...</w:t>
            </w:r>
          </w:p>
        </w:tc>
      </w:tr>
      <w:tr w:rsidR="00887330" w:rsidRPr="00583E1A">
        <w:trPr>
          <w:cantSplit/>
        </w:trPr>
        <w:tc>
          <w:tcPr>
            <w:tcW w:w="714" w:type="dxa"/>
            <w:tcBorders>
              <w:top w:val="single" w:sz="12" w:space="0" w:color="auto"/>
              <w:bottom w:val="single" w:sz="2" w:space="0" w:color="auto"/>
            </w:tcBorders>
            <w:shd w:val="clear" w:color="auto" w:fill="auto"/>
          </w:tcPr>
          <w:p w:rsidR="00887330" w:rsidRPr="00583E1A" w:rsidRDefault="00887330" w:rsidP="00887330">
            <w:pPr>
              <w:pStyle w:val="Tabletext"/>
            </w:pPr>
            <w:r w:rsidRPr="00583E1A">
              <w:t>1</w:t>
            </w:r>
          </w:p>
        </w:tc>
        <w:tc>
          <w:tcPr>
            <w:tcW w:w="3186" w:type="dxa"/>
            <w:tcBorders>
              <w:top w:val="single" w:sz="12" w:space="0" w:color="auto"/>
              <w:bottom w:val="single" w:sz="2" w:space="0" w:color="auto"/>
            </w:tcBorders>
            <w:shd w:val="clear" w:color="auto" w:fill="auto"/>
          </w:tcPr>
          <w:p w:rsidR="00887330" w:rsidRPr="00583E1A" w:rsidRDefault="00887330" w:rsidP="00887330">
            <w:pPr>
              <w:pStyle w:val="Tabletext"/>
            </w:pPr>
            <w:r w:rsidRPr="00583E1A">
              <w:t>you make a choice under item</w:t>
            </w:r>
            <w:r w:rsidR="00583E1A">
              <w:t> </w:t>
            </w:r>
            <w:r w:rsidRPr="00583E1A">
              <w:t>1 of the table in subsection 960</w:t>
            </w:r>
            <w:r w:rsidR="00583E1A">
              <w:noBreakHyphen/>
            </w:r>
            <w:r w:rsidRPr="00583E1A">
              <w:t>60(1)</w:t>
            </w:r>
          </w:p>
        </w:tc>
        <w:tc>
          <w:tcPr>
            <w:tcW w:w="3186" w:type="dxa"/>
            <w:tcBorders>
              <w:top w:val="single" w:sz="12" w:space="0" w:color="auto"/>
              <w:bottom w:val="single" w:sz="2" w:space="0" w:color="auto"/>
            </w:tcBorders>
            <w:shd w:val="clear" w:color="auto" w:fill="auto"/>
          </w:tcPr>
          <w:p w:rsidR="00887330" w:rsidRPr="00583E1A" w:rsidRDefault="00887330" w:rsidP="00887330">
            <w:pPr>
              <w:pStyle w:val="Tablea"/>
            </w:pPr>
            <w:r w:rsidRPr="00583E1A">
              <w:t>(a) both:</w:t>
            </w:r>
          </w:p>
          <w:p w:rsidR="00887330" w:rsidRPr="00583E1A" w:rsidRDefault="00887330" w:rsidP="00887330">
            <w:pPr>
              <w:pStyle w:val="Tablei"/>
            </w:pPr>
            <w:r w:rsidRPr="00583E1A">
              <w:t>(i) you were in existence at the start of the income year in which you made the choice; and</w:t>
            </w:r>
          </w:p>
          <w:p w:rsidR="00887330" w:rsidRPr="00583E1A" w:rsidRDefault="00887330" w:rsidP="00887330">
            <w:pPr>
              <w:pStyle w:val="Tablei"/>
            </w:pPr>
            <w:r w:rsidRPr="00583E1A">
              <w:t>(ii) you make the choice within 90 days after the beginning of that income year or within 30 days after the commencement of this section; or</w:t>
            </w:r>
          </w:p>
          <w:p w:rsidR="00887330" w:rsidRPr="00583E1A" w:rsidRDefault="00887330" w:rsidP="00887330">
            <w:pPr>
              <w:pStyle w:val="Tablea"/>
            </w:pPr>
            <w:r w:rsidRPr="00583E1A">
              <w:t>(b) both:</w:t>
            </w:r>
          </w:p>
          <w:p w:rsidR="00887330" w:rsidRPr="00583E1A" w:rsidRDefault="00887330" w:rsidP="00887330">
            <w:pPr>
              <w:pStyle w:val="Tablei"/>
            </w:pPr>
            <w:r w:rsidRPr="00583E1A">
              <w:t>(i) you came into existence during the income year in which you made the choice; and</w:t>
            </w:r>
          </w:p>
          <w:p w:rsidR="00887330" w:rsidRPr="00583E1A" w:rsidRDefault="00887330" w:rsidP="00887330">
            <w:pPr>
              <w:pStyle w:val="Tablei"/>
            </w:pPr>
            <w:r w:rsidRPr="00583E1A">
              <w:t>(ii) you make the choice within 90 days after you came into existence or within 30 days after the commencement of this section.</w:t>
            </w:r>
          </w:p>
        </w:tc>
      </w:tr>
      <w:tr w:rsidR="00887330" w:rsidRPr="00583E1A">
        <w:trPr>
          <w:cantSplit/>
        </w:trPr>
        <w:tc>
          <w:tcPr>
            <w:tcW w:w="714" w:type="dxa"/>
            <w:tcBorders>
              <w:top w:val="single" w:sz="2" w:space="0" w:color="auto"/>
              <w:bottom w:val="single" w:sz="2" w:space="0" w:color="auto"/>
            </w:tcBorders>
            <w:shd w:val="clear" w:color="auto" w:fill="auto"/>
          </w:tcPr>
          <w:p w:rsidR="00887330" w:rsidRPr="00583E1A" w:rsidRDefault="00887330" w:rsidP="00887330">
            <w:pPr>
              <w:pStyle w:val="Tabletext"/>
            </w:pPr>
            <w:r w:rsidRPr="00583E1A">
              <w:lastRenderedPageBreak/>
              <w:t>2</w:t>
            </w:r>
          </w:p>
        </w:tc>
        <w:tc>
          <w:tcPr>
            <w:tcW w:w="3186" w:type="dxa"/>
            <w:tcBorders>
              <w:top w:val="single" w:sz="2" w:space="0" w:color="auto"/>
              <w:bottom w:val="single" w:sz="2" w:space="0" w:color="auto"/>
            </w:tcBorders>
            <w:shd w:val="clear" w:color="auto" w:fill="auto"/>
          </w:tcPr>
          <w:p w:rsidR="00887330" w:rsidRPr="00583E1A" w:rsidRDefault="00887330" w:rsidP="00887330">
            <w:pPr>
              <w:pStyle w:val="Tabletext"/>
            </w:pPr>
            <w:r w:rsidRPr="00583E1A">
              <w:t>you make a choice under item</w:t>
            </w:r>
            <w:r w:rsidR="00583E1A">
              <w:t> </w:t>
            </w:r>
            <w:r w:rsidRPr="00583E1A">
              <w:t>2 of the table in subsection 960</w:t>
            </w:r>
            <w:r w:rsidR="00583E1A">
              <w:noBreakHyphen/>
            </w:r>
            <w:r w:rsidRPr="00583E1A">
              <w:t>60(1)</w:t>
            </w:r>
          </w:p>
        </w:tc>
        <w:tc>
          <w:tcPr>
            <w:tcW w:w="3186" w:type="dxa"/>
            <w:tcBorders>
              <w:top w:val="single" w:sz="2" w:space="0" w:color="auto"/>
              <w:bottom w:val="single" w:sz="2" w:space="0" w:color="auto"/>
            </w:tcBorders>
            <w:shd w:val="clear" w:color="auto" w:fill="auto"/>
          </w:tcPr>
          <w:p w:rsidR="00887330" w:rsidRPr="00583E1A" w:rsidRDefault="00887330" w:rsidP="00887330">
            <w:pPr>
              <w:pStyle w:val="Tablea"/>
            </w:pPr>
            <w:r w:rsidRPr="00583E1A">
              <w:t>(a) both:</w:t>
            </w:r>
          </w:p>
          <w:p w:rsidR="00887330" w:rsidRPr="00583E1A" w:rsidRDefault="00887330" w:rsidP="00887330">
            <w:pPr>
              <w:pStyle w:val="Tablei"/>
            </w:pPr>
            <w:r w:rsidRPr="00583E1A">
              <w:t>(i) the permanent establishment was in existence at the start of the income year in which you made the choice; and</w:t>
            </w:r>
          </w:p>
          <w:p w:rsidR="00887330" w:rsidRPr="00583E1A" w:rsidRDefault="00887330" w:rsidP="00887330">
            <w:pPr>
              <w:pStyle w:val="Tablei"/>
            </w:pPr>
            <w:r w:rsidRPr="00583E1A">
              <w:t>(ii) you make the choice within 90 days after the beginning of that income year or within 30 days after the commencement of this section; or</w:t>
            </w:r>
          </w:p>
          <w:p w:rsidR="00887330" w:rsidRPr="00583E1A" w:rsidRDefault="00887330" w:rsidP="00887330">
            <w:pPr>
              <w:pStyle w:val="Tablea"/>
            </w:pPr>
            <w:r w:rsidRPr="00583E1A">
              <w:t>(b) both:</w:t>
            </w:r>
          </w:p>
          <w:p w:rsidR="00887330" w:rsidRPr="00583E1A" w:rsidRDefault="00887330" w:rsidP="00887330">
            <w:pPr>
              <w:pStyle w:val="Tablei"/>
            </w:pPr>
            <w:r w:rsidRPr="00583E1A">
              <w:t>(i) the permanent establishment came into existence during the income year in which you made the choice; and</w:t>
            </w:r>
          </w:p>
          <w:p w:rsidR="00887330" w:rsidRPr="00583E1A" w:rsidRDefault="00887330" w:rsidP="00887330">
            <w:pPr>
              <w:pStyle w:val="Tablei"/>
            </w:pPr>
            <w:r w:rsidRPr="00583E1A">
              <w:t>(ii) you make the choice within 90 days after the permanent establishment came into existence or within 30 days after the commencement of this section.</w:t>
            </w:r>
          </w:p>
        </w:tc>
      </w:tr>
      <w:tr w:rsidR="00887330" w:rsidRPr="00583E1A">
        <w:trPr>
          <w:cantSplit/>
        </w:trPr>
        <w:tc>
          <w:tcPr>
            <w:tcW w:w="714" w:type="dxa"/>
            <w:tcBorders>
              <w:top w:val="single" w:sz="2" w:space="0" w:color="auto"/>
              <w:bottom w:val="single" w:sz="2" w:space="0" w:color="auto"/>
            </w:tcBorders>
            <w:shd w:val="clear" w:color="auto" w:fill="auto"/>
          </w:tcPr>
          <w:p w:rsidR="00887330" w:rsidRPr="00583E1A" w:rsidRDefault="00887330" w:rsidP="00887330">
            <w:pPr>
              <w:pStyle w:val="Tabletext"/>
            </w:pPr>
            <w:r w:rsidRPr="00583E1A">
              <w:lastRenderedPageBreak/>
              <w:t>3</w:t>
            </w:r>
          </w:p>
        </w:tc>
        <w:tc>
          <w:tcPr>
            <w:tcW w:w="3186" w:type="dxa"/>
            <w:tcBorders>
              <w:top w:val="single" w:sz="2" w:space="0" w:color="auto"/>
              <w:bottom w:val="single" w:sz="2" w:space="0" w:color="auto"/>
            </w:tcBorders>
            <w:shd w:val="clear" w:color="auto" w:fill="auto"/>
          </w:tcPr>
          <w:p w:rsidR="00887330" w:rsidRPr="00583E1A" w:rsidRDefault="00887330" w:rsidP="00887330">
            <w:pPr>
              <w:pStyle w:val="Tabletext"/>
            </w:pPr>
            <w:r w:rsidRPr="00583E1A">
              <w:t>you make a choice under item</w:t>
            </w:r>
            <w:r w:rsidR="00583E1A">
              <w:t> </w:t>
            </w:r>
            <w:r w:rsidRPr="00583E1A">
              <w:t>3 of the table in subsection 960</w:t>
            </w:r>
            <w:r w:rsidR="00583E1A">
              <w:noBreakHyphen/>
            </w:r>
            <w:r w:rsidRPr="00583E1A">
              <w:t>60(1)</w:t>
            </w:r>
          </w:p>
        </w:tc>
        <w:tc>
          <w:tcPr>
            <w:tcW w:w="3186" w:type="dxa"/>
            <w:tcBorders>
              <w:top w:val="single" w:sz="2" w:space="0" w:color="auto"/>
              <w:bottom w:val="single" w:sz="2" w:space="0" w:color="auto"/>
            </w:tcBorders>
            <w:shd w:val="clear" w:color="auto" w:fill="auto"/>
          </w:tcPr>
          <w:p w:rsidR="00887330" w:rsidRPr="00583E1A" w:rsidRDefault="00887330" w:rsidP="00887330">
            <w:pPr>
              <w:pStyle w:val="Tablea"/>
            </w:pPr>
            <w:r w:rsidRPr="00583E1A">
              <w:t>(a) both:</w:t>
            </w:r>
          </w:p>
          <w:p w:rsidR="00887330" w:rsidRPr="00583E1A" w:rsidRDefault="00887330" w:rsidP="00887330">
            <w:pPr>
              <w:pStyle w:val="Tablei"/>
            </w:pPr>
            <w:r w:rsidRPr="00583E1A">
              <w:t xml:space="preserve">(i) the </w:t>
            </w:r>
            <w:r w:rsidR="00583E1A" w:rsidRPr="00583E1A">
              <w:rPr>
                <w:position w:val="6"/>
                <w:sz w:val="16"/>
              </w:rPr>
              <w:t>*</w:t>
            </w:r>
            <w:r w:rsidRPr="00583E1A">
              <w:t>offshore banking unit was in existence at the start of the income year in which you made the choice; and</w:t>
            </w:r>
          </w:p>
          <w:p w:rsidR="00887330" w:rsidRPr="00583E1A" w:rsidRDefault="00887330" w:rsidP="00887330">
            <w:pPr>
              <w:pStyle w:val="Tablei"/>
            </w:pPr>
            <w:r w:rsidRPr="00583E1A">
              <w:t>(ii) you make the choice within 90 days after the beginning of that income year or within 30 days after the commencement of this section; or</w:t>
            </w:r>
          </w:p>
          <w:p w:rsidR="00887330" w:rsidRPr="00583E1A" w:rsidRDefault="00887330" w:rsidP="00887330">
            <w:pPr>
              <w:pStyle w:val="Tablea"/>
            </w:pPr>
            <w:r w:rsidRPr="00583E1A">
              <w:t>(b) both:</w:t>
            </w:r>
          </w:p>
          <w:p w:rsidR="00887330" w:rsidRPr="00583E1A" w:rsidRDefault="00887330" w:rsidP="00887330">
            <w:pPr>
              <w:pStyle w:val="Tablei"/>
            </w:pPr>
            <w:r w:rsidRPr="00583E1A">
              <w:t>(i) the offshore banking unit came into existence during the income year in which you made the choice; and</w:t>
            </w:r>
          </w:p>
          <w:p w:rsidR="00887330" w:rsidRPr="00583E1A" w:rsidRDefault="00887330" w:rsidP="00887330">
            <w:pPr>
              <w:pStyle w:val="Tablei"/>
            </w:pPr>
            <w:r w:rsidRPr="00583E1A">
              <w:t>(ii) you make the choice within 90 days after the offshore banking unit came into existence or within 30 days after the commencement of this section.</w:t>
            </w:r>
          </w:p>
        </w:tc>
      </w:tr>
      <w:tr w:rsidR="00887330" w:rsidRPr="00583E1A">
        <w:trPr>
          <w:cantSplit/>
        </w:trPr>
        <w:tc>
          <w:tcPr>
            <w:tcW w:w="714" w:type="dxa"/>
            <w:tcBorders>
              <w:top w:val="single" w:sz="2" w:space="0" w:color="auto"/>
              <w:bottom w:val="single" w:sz="2" w:space="0" w:color="auto"/>
            </w:tcBorders>
            <w:shd w:val="clear" w:color="auto" w:fill="auto"/>
          </w:tcPr>
          <w:p w:rsidR="00887330" w:rsidRPr="00583E1A" w:rsidRDefault="00887330" w:rsidP="00887330">
            <w:pPr>
              <w:pStyle w:val="Tabletext"/>
            </w:pPr>
            <w:r w:rsidRPr="00583E1A">
              <w:lastRenderedPageBreak/>
              <w:t>4</w:t>
            </w:r>
          </w:p>
        </w:tc>
        <w:tc>
          <w:tcPr>
            <w:tcW w:w="3186" w:type="dxa"/>
            <w:tcBorders>
              <w:top w:val="single" w:sz="2" w:space="0" w:color="auto"/>
              <w:bottom w:val="single" w:sz="2" w:space="0" w:color="auto"/>
            </w:tcBorders>
            <w:shd w:val="clear" w:color="auto" w:fill="auto"/>
          </w:tcPr>
          <w:p w:rsidR="00887330" w:rsidRPr="00583E1A" w:rsidRDefault="00887330" w:rsidP="00887330">
            <w:pPr>
              <w:pStyle w:val="Tabletext"/>
            </w:pPr>
            <w:r w:rsidRPr="00583E1A">
              <w:t>you make a choice under item</w:t>
            </w:r>
            <w:r w:rsidR="00583E1A">
              <w:t> </w:t>
            </w:r>
            <w:r w:rsidRPr="00583E1A">
              <w:t>4 of the table in subsection 960</w:t>
            </w:r>
            <w:r w:rsidR="00583E1A">
              <w:noBreakHyphen/>
            </w:r>
            <w:r w:rsidRPr="00583E1A">
              <w:t>60(1)</w:t>
            </w:r>
          </w:p>
        </w:tc>
        <w:tc>
          <w:tcPr>
            <w:tcW w:w="3186" w:type="dxa"/>
            <w:tcBorders>
              <w:top w:val="single" w:sz="2" w:space="0" w:color="auto"/>
              <w:bottom w:val="single" w:sz="2" w:space="0" w:color="auto"/>
            </w:tcBorders>
            <w:shd w:val="clear" w:color="auto" w:fill="auto"/>
          </w:tcPr>
          <w:p w:rsidR="00887330" w:rsidRPr="00583E1A" w:rsidRDefault="00887330" w:rsidP="00887330">
            <w:pPr>
              <w:pStyle w:val="Tablea"/>
            </w:pPr>
            <w:r w:rsidRPr="00583E1A">
              <w:t>(a) both:</w:t>
            </w:r>
          </w:p>
          <w:p w:rsidR="00887330" w:rsidRPr="00583E1A" w:rsidRDefault="00887330" w:rsidP="00887330">
            <w:pPr>
              <w:pStyle w:val="Tablei"/>
            </w:pPr>
            <w:r w:rsidRPr="00583E1A">
              <w:t xml:space="preserve">(i) you are an attributable taxpayer of the CFC at the beginning of the CFC’s </w:t>
            </w:r>
            <w:r w:rsidR="00583E1A" w:rsidRPr="00583E1A">
              <w:rPr>
                <w:position w:val="6"/>
                <w:sz w:val="16"/>
              </w:rPr>
              <w:t>*</w:t>
            </w:r>
            <w:r w:rsidRPr="00583E1A">
              <w:t>statutory accounting period in which you made the choice; and</w:t>
            </w:r>
          </w:p>
          <w:p w:rsidR="00887330" w:rsidRPr="00583E1A" w:rsidRDefault="00887330" w:rsidP="00887330">
            <w:pPr>
              <w:pStyle w:val="Tablei"/>
            </w:pPr>
            <w:r w:rsidRPr="00583E1A">
              <w:t>(ii) you make the choice within 90 days after the beginning of the CFC’s statutory accounting period or within 30 days after the commencement of this section; or</w:t>
            </w:r>
          </w:p>
          <w:p w:rsidR="00887330" w:rsidRPr="00583E1A" w:rsidRDefault="00887330" w:rsidP="00887330">
            <w:pPr>
              <w:pStyle w:val="Tablea"/>
            </w:pPr>
            <w:r w:rsidRPr="00583E1A">
              <w:t>(b) both:</w:t>
            </w:r>
          </w:p>
          <w:p w:rsidR="00887330" w:rsidRPr="00583E1A" w:rsidRDefault="00887330" w:rsidP="00887330">
            <w:pPr>
              <w:pStyle w:val="Tablei"/>
            </w:pPr>
            <w:r w:rsidRPr="00583E1A">
              <w:t>(i) you became an attributable taxpayer in relation to the CFC during the CFC’s statutory accounting period during which you made the choice; and</w:t>
            </w:r>
          </w:p>
          <w:p w:rsidR="00887330" w:rsidRPr="00583E1A" w:rsidRDefault="00887330" w:rsidP="00887330">
            <w:pPr>
              <w:pStyle w:val="Tablei"/>
            </w:pPr>
            <w:r w:rsidRPr="00583E1A">
              <w:t>(ii) you make the choice within 90 days after the beginning of the CFC’s statutory accounting period or within 30 days after the commencement of this section.</w:t>
            </w:r>
          </w:p>
        </w:tc>
      </w:tr>
      <w:tr w:rsidR="00887330" w:rsidRPr="00583E1A">
        <w:trPr>
          <w:cantSplit/>
        </w:trPr>
        <w:tc>
          <w:tcPr>
            <w:tcW w:w="714" w:type="dxa"/>
            <w:tcBorders>
              <w:top w:val="single" w:sz="2" w:space="0" w:color="auto"/>
              <w:bottom w:val="single" w:sz="12" w:space="0" w:color="auto"/>
            </w:tcBorders>
            <w:shd w:val="clear" w:color="auto" w:fill="auto"/>
          </w:tcPr>
          <w:p w:rsidR="00887330" w:rsidRPr="00583E1A" w:rsidRDefault="00887330" w:rsidP="00887330">
            <w:pPr>
              <w:pStyle w:val="Tabletext"/>
            </w:pPr>
            <w:r w:rsidRPr="00583E1A">
              <w:t>5</w:t>
            </w:r>
          </w:p>
        </w:tc>
        <w:tc>
          <w:tcPr>
            <w:tcW w:w="3186" w:type="dxa"/>
            <w:tcBorders>
              <w:top w:val="single" w:sz="2" w:space="0" w:color="auto"/>
              <w:bottom w:val="single" w:sz="12" w:space="0" w:color="auto"/>
            </w:tcBorders>
            <w:shd w:val="clear" w:color="auto" w:fill="auto"/>
          </w:tcPr>
          <w:p w:rsidR="00887330" w:rsidRPr="00583E1A" w:rsidRDefault="00887330" w:rsidP="00887330">
            <w:pPr>
              <w:pStyle w:val="Tabletext"/>
            </w:pPr>
            <w:r w:rsidRPr="00583E1A">
              <w:t>you make a choice under item</w:t>
            </w:r>
            <w:r w:rsidR="00583E1A">
              <w:t> </w:t>
            </w:r>
            <w:r w:rsidRPr="00583E1A">
              <w:t>5 of the table in subsection 960</w:t>
            </w:r>
            <w:r w:rsidR="00583E1A">
              <w:noBreakHyphen/>
            </w:r>
            <w:r w:rsidRPr="00583E1A">
              <w:t>60(1)</w:t>
            </w:r>
          </w:p>
        </w:tc>
        <w:tc>
          <w:tcPr>
            <w:tcW w:w="3186" w:type="dxa"/>
            <w:tcBorders>
              <w:top w:val="single" w:sz="2" w:space="0" w:color="auto"/>
              <w:bottom w:val="single" w:sz="12" w:space="0" w:color="auto"/>
            </w:tcBorders>
            <w:shd w:val="clear" w:color="auto" w:fill="auto"/>
          </w:tcPr>
          <w:p w:rsidR="00887330" w:rsidRPr="00583E1A" w:rsidRDefault="00887330" w:rsidP="00887330">
            <w:pPr>
              <w:pStyle w:val="Tabletext"/>
            </w:pPr>
            <w:r w:rsidRPr="00583E1A">
              <w:t>you make the choice within 90 days after the beginning of an income year or within 30 days after the commencement of this section.</w:t>
            </w:r>
          </w:p>
        </w:tc>
      </w:tr>
    </w:tbl>
    <w:p w:rsidR="00887330" w:rsidRPr="00583E1A" w:rsidRDefault="00887330" w:rsidP="00887330">
      <w:pPr>
        <w:pStyle w:val="ActHead5"/>
      </w:pPr>
      <w:bookmarkStart w:id="525" w:name="_Toc338939599"/>
      <w:r w:rsidRPr="00583E1A">
        <w:rPr>
          <w:rStyle w:val="CharSectno"/>
        </w:rPr>
        <w:lastRenderedPageBreak/>
        <w:t>960</w:t>
      </w:r>
      <w:r w:rsidR="00583E1A">
        <w:rPr>
          <w:rStyle w:val="CharSectno"/>
        </w:rPr>
        <w:noBreakHyphen/>
      </w:r>
      <w:r w:rsidRPr="00583E1A">
        <w:rPr>
          <w:rStyle w:val="CharSectno"/>
        </w:rPr>
        <w:t>70</w:t>
      </w:r>
      <w:r w:rsidRPr="00583E1A">
        <w:t xml:space="preserve">  What is the </w:t>
      </w:r>
      <w:r w:rsidRPr="00583E1A">
        <w:rPr>
          <w:i/>
        </w:rPr>
        <w:t>applicable functional currency</w:t>
      </w:r>
      <w:r w:rsidRPr="00583E1A">
        <w:t>?</w:t>
      </w:r>
      <w:bookmarkEnd w:id="525"/>
    </w:p>
    <w:p w:rsidR="00887330" w:rsidRPr="00583E1A" w:rsidRDefault="00887330" w:rsidP="00887330">
      <w:pPr>
        <w:pStyle w:val="SubsectionHead"/>
      </w:pPr>
      <w:r w:rsidRPr="00583E1A">
        <w:t>Australian resident required to prepare financial reports under section</w:t>
      </w:r>
      <w:r w:rsidR="00583E1A">
        <w:t> </w:t>
      </w:r>
      <w:r w:rsidRPr="00583E1A">
        <w:t>292 of the Corporations Act 2001</w:t>
      </w:r>
    </w:p>
    <w:p w:rsidR="00887330" w:rsidRPr="00583E1A" w:rsidRDefault="00887330" w:rsidP="00887330">
      <w:pPr>
        <w:pStyle w:val="subsection"/>
      </w:pPr>
      <w:r w:rsidRPr="00583E1A">
        <w:tab/>
        <w:t>(1)</w:t>
      </w:r>
      <w:r w:rsidRPr="00583E1A">
        <w:tab/>
        <w:t>If you make a choice under item</w:t>
      </w:r>
      <w:r w:rsidR="00583E1A">
        <w:t> </w:t>
      </w:r>
      <w:r w:rsidRPr="00583E1A">
        <w:t>1 of the table in subsection 960</w:t>
      </w:r>
      <w:r w:rsidR="00583E1A">
        <w:noBreakHyphen/>
      </w:r>
      <w:r w:rsidRPr="00583E1A">
        <w:t xml:space="preserve">60(1) with effect from the start of a particular income year, your </w:t>
      </w:r>
      <w:r w:rsidRPr="00583E1A">
        <w:rPr>
          <w:b/>
          <w:i/>
        </w:rPr>
        <w:t>applicable functional currency</w:t>
      </w:r>
      <w:r w:rsidRPr="00583E1A">
        <w:t xml:space="preserve"> for:</w:t>
      </w:r>
    </w:p>
    <w:p w:rsidR="00887330" w:rsidRPr="00583E1A" w:rsidRDefault="00887330" w:rsidP="00887330">
      <w:pPr>
        <w:pStyle w:val="paragraph"/>
      </w:pPr>
      <w:r w:rsidRPr="00583E1A">
        <w:tab/>
        <w:t>(a)</w:t>
      </w:r>
      <w:r w:rsidRPr="00583E1A">
        <w:tab/>
        <w:t>that income year; and</w:t>
      </w:r>
    </w:p>
    <w:p w:rsidR="00887330" w:rsidRPr="00583E1A" w:rsidRDefault="00887330" w:rsidP="00887330">
      <w:pPr>
        <w:pStyle w:val="paragraph"/>
      </w:pPr>
      <w:r w:rsidRPr="00583E1A">
        <w:tab/>
        <w:t>(b)</w:t>
      </w:r>
      <w:r w:rsidRPr="00583E1A">
        <w:tab/>
        <w:t>each later income year for which the choice is in effect;</w:t>
      </w:r>
    </w:p>
    <w:p w:rsidR="00887330" w:rsidRPr="00583E1A" w:rsidRDefault="00887330" w:rsidP="00887330">
      <w:pPr>
        <w:pStyle w:val="subsection2"/>
      </w:pPr>
      <w:r w:rsidRPr="00583E1A">
        <w:t xml:space="preserve">is the sole or predominant </w:t>
      </w:r>
      <w:r w:rsidR="00583E1A" w:rsidRPr="00583E1A">
        <w:rPr>
          <w:position w:val="6"/>
          <w:sz w:val="16"/>
        </w:rPr>
        <w:t>*</w:t>
      </w:r>
      <w:r w:rsidRPr="00583E1A">
        <w:t>foreign currency in which you kept your accounts at the time when you made the choice.</w:t>
      </w:r>
    </w:p>
    <w:p w:rsidR="00887330" w:rsidRPr="00583E1A" w:rsidRDefault="00887330" w:rsidP="00887330">
      <w:pPr>
        <w:pStyle w:val="SubsectionHead"/>
      </w:pPr>
      <w:r w:rsidRPr="00583E1A">
        <w:t>Permanent establishment, offshore banking unit or transferor trust</w:t>
      </w:r>
    </w:p>
    <w:p w:rsidR="00887330" w:rsidRPr="00583E1A" w:rsidRDefault="00887330" w:rsidP="00887330">
      <w:pPr>
        <w:pStyle w:val="subsection"/>
      </w:pPr>
      <w:r w:rsidRPr="00583E1A">
        <w:tab/>
        <w:t>(2)</w:t>
      </w:r>
      <w:r w:rsidRPr="00583E1A">
        <w:tab/>
        <w:t>If you make a choice under item</w:t>
      </w:r>
      <w:r w:rsidR="00583E1A">
        <w:t> </w:t>
      </w:r>
      <w:r w:rsidRPr="00583E1A">
        <w:t>2, 3 or 5 of the table in subsection 960</w:t>
      </w:r>
      <w:r w:rsidR="00583E1A">
        <w:noBreakHyphen/>
      </w:r>
      <w:r w:rsidRPr="00583E1A">
        <w:t xml:space="preserve">60(1) in relation to a </w:t>
      </w:r>
      <w:r w:rsidR="00583E1A" w:rsidRPr="00583E1A">
        <w:rPr>
          <w:position w:val="6"/>
          <w:sz w:val="16"/>
        </w:rPr>
        <w:t>*</w:t>
      </w:r>
      <w:r w:rsidRPr="00583E1A">
        <w:t xml:space="preserve">permanent establishment, an </w:t>
      </w:r>
      <w:r w:rsidR="00583E1A" w:rsidRPr="00583E1A">
        <w:rPr>
          <w:position w:val="6"/>
          <w:sz w:val="16"/>
        </w:rPr>
        <w:t>*</w:t>
      </w:r>
      <w:r w:rsidRPr="00583E1A">
        <w:t xml:space="preserve">offshore banking unit or a </w:t>
      </w:r>
      <w:r w:rsidR="00583E1A" w:rsidRPr="00583E1A">
        <w:rPr>
          <w:position w:val="6"/>
          <w:sz w:val="16"/>
        </w:rPr>
        <w:t>*</w:t>
      </w:r>
      <w:r w:rsidRPr="00583E1A">
        <w:t xml:space="preserve">transferor trust with effect from the start of a particular income year, the </w:t>
      </w:r>
      <w:r w:rsidRPr="00583E1A">
        <w:rPr>
          <w:b/>
          <w:i/>
        </w:rPr>
        <w:t>applicable</w:t>
      </w:r>
      <w:r w:rsidRPr="00583E1A">
        <w:t xml:space="preserve"> </w:t>
      </w:r>
      <w:r w:rsidRPr="00583E1A">
        <w:rPr>
          <w:b/>
          <w:i/>
        </w:rPr>
        <w:t>functional currency</w:t>
      </w:r>
      <w:r w:rsidRPr="00583E1A">
        <w:t xml:space="preserve"> of the establishment, unit or trust for:</w:t>
      </w:r>
    </w:p>
    <w:p w:rsidR="00887330" w:rsidRPr="00583E1A" w:rsidRDefault="00887330" w:rsidP="00887330">
      <w:pPr>
        <w:pStyle w:val="paragraph"/>
      </w:pPr>
      <w:r w:rsidRPr="00583E1A">
        <w:tab/>
        <w:t>(a)</w:t>
      </w:r>
      <w:r w:rsidRPr="00583E1A">
        <w:tab/>
        <w:t>that income year; and</w:t>
      </w:r>
    </w:p>
    <w:p w:rsidR="00887330" w:rsidRPr="00583E1A" w:rsidRDefault="00887330" w:rsidP="00887330">
      <w:pPr>
        <w:pStyle w:val="paragraph"/>
      </w:pPr>
      <w:r w:rsidRPr="00583E1A">
        <w:tab/>
        <w:t>(b)</w:t>
      </w:r>
      <w:r w:rsidRPr="00583E1A">
        <w:tab/>
        <w:t>each later income year for which the choice is in effect;</w:t>
      </w:r>
    </w:p>
    <w:p w:rsidR="00887330" w:rsidRPr="00583E1A" w:rsidRDefault="00887330" w:rsidP="00887330">
      <w:pPr>
        <w:pStyle w:val="subsection2"/>
      </w:pPr>
      <w:r w:rsidRPr="00583E1A">
        <w:t xml:space="preserve">is the sole or predominant </w:t>
      </w:r>
      <w:r w:rsidR="00583E1A" w:rsidRPr="00583E1A">
        <w:rPr>
          <w:position w:val="6"/>
          <w:sz w:val="16"/>
        </w:rPr>
        <w:t>*</w:t>
      </w:r>
      <w:r w:rsidRPr="00583E1A">
        <w:t>foreign currency in which the establishment, unit or trust kept its accounts at the time when you made the choice.</w:t>
      </w:r>
    </w:p>
    <w:p w:rsidR="00887330" w:rsidRPr="00583E1A" w:rsidRDefault="00887330" w:rsidP="00887330">
      <w:pPr>
        <w:pStyle w:val="SubsectionHead"/>
      </w:pPr>
      <w:r w:rsidRPr="00583E1A">
        <w:t>Controlled foreign company</w:t>
      </w:r>
    </w:p>
    <w:p w:rsidR="00887330" w:rsidRPr="00583E1A" w:rsidRDefault="00887330" w:rsidP="00887330">
      <w:pPr>
        <w:pStyle w:val="subsection"/>
      </w:pPr>
      <w:r w:rsidRPr="00583E1A">
        <w:tab/>
        <w:t>(3)</w:t>
      </w:r>
      <w:r w:rsidRPr="00583E1A">
        <w:tab/>
        <w:t>If you make a choice under item</w:t>
      </w:r>
      <w:r w:rsidR="00583E1A">
        <w:t> </w:t>
      </w:r>
      <w:r w:rsidRPr="00583E1A">
        <w:t>4 of the table in subsection 960</w:t>
      </w:r>
      <w:r w:rsidR="00583E1A">
        <w:noBreakHyphen/>
      </w:r>
      <w:r w:rsidRPr="00583E1A">
        <w:t xml:space="preserve">60(1) in relation to a </w:t>
      </w:r>
      <w:r w:rsidR="00583E1A" w:rsidRPr="00583E1A">
        <w:rPr>
          <w:position w:val="6"/>
          <w:sz w:val="16"/>
        </w:rPr>
        <w:t>*</w:t>
      </w:r>
      <w:r w:rsidRPr="00583E1A">
        <w:t xml:space="preserve">controlled foreign company (CFC) with effect from the start of a particular </w:t>
      </w:r>
      <w:r w:rsidR="00583E1A" w:rsidRPr="00583E1A">
        <w:rPr>
          <w:position w:val="6"/>
          <w:sz w:val="16"/>
        </w:rPr>
        <w:t>*</w:t>
      </w:r>
      <w:r w:rsidRPr="00583E1A">
        <w:t xml:space="preserve">statutory accounting period, the </w:t>
      </w:r>
      <w:r w:rsidRPr="00583E1A">
        <w:rPr>
          <w:b/>
          <w:i/>
        </w:rPr>
        <w:t>applicable functional currency</w:t>
      </w:r>
      <w:r w:rsidRPr="00583E1A">
        <w:t xml:space="preserve"> of the CFC for:</w:t>
      </w:r>
    </w:p>
    <w:p w:rsidR="00887330" w:rsidRPr="00583E1A" w:rsidRDefault="00887330" w:rsidP="00887330">
      <w:pPr>
        <w:pStyle w:val="paragraph"/>
      </w:pPr>
      <w:r w:rsidRPr="00583E1A">
        <w:tab/>
        <w:t>(a)</w:t>
      </w:r>
      <w:r w:rsidRPr="00583E1A">
        <w:tab/>
        <w:t>that statutory accounting period; and</w:t>
      </w:r>
    </w:p>
    <w:p w:rsidR="00887330" w:rsidRPr="00583E1A" w:rsidRDefault="00887330" w:rsidP="00887330">
      <w:pPr>
        <w:pStyle w:val="paragraph"/>
      </w:pPr>
      <w:r w:rsidRPr="00583E1A">
        <w:tab/>
        <w:t>(b)</w:t>
      </w:r>
      <w:r w:rsidRPr="00583E1A">
        <w:tab/>
        <w:t>each later statutory accounting period for which the choice is in effect;</w:t>
      </w:r>
    </w:p>
    <w:p w:rsidR="00887330" w:rsidRPr="00583E1A" w:rsidRDefault="00887330" w:rsidP="00887330">
      <w:pPr>
        <w:pStyle w:val="subsection2"/>
      </w:pPr>
      <w:r w:rsidRPr="00583E1A">
        <w:t xml:space="preserve">is the sole or predominant </w:t>
      </w:r>
      <w:r w:rsidR="00583E1A" w:rsidRPr="00583E1A">
        <w:rPr>
          <w:position w:val="6"/>
          <w:sz w:val="16"/>
        </w:rPr>
        <w:t>*</w:t>
      </w:r>
      <w:r w:rsidRPr="00583E1A">
        <w:t>foreign currency in which the CFC kept its accounts at the time when you made the choice.</w:t>
      </w:r>
    </w:p>
    <w:p w:rsidR="00887330" w:rsidRPr="00583E1A" w:rsidRDefault="00887330" w:rsidP="00887330">
      <w:pPr>
        <w:pStyle w:val="notetext"/>
      </w:pPr>
      <w:r w:rsidRPr="00583E1A">
        <w:lastRenderedPageBreak/>
        <w:t>Note:</w:t>
      </w:r>
      <w:r w:rsidRPr="00583E1A">
        <w:tab/>
        <w:t>The attributable income of a controlled foreign company is calculated separately for each attributable taxpayer—see section</w:t>
      </w:r>
      <w:r w:rsidR="00583E1A">
        <w:t> </w:t>
      </w:r>
      <w:r w:rsidRPr="00583E1A">
        <w:t xml:space="preserve">381 of the </w:t>
      </w:r>
      <w:r w:rsidRPr="00583E1A">
        <w:rPr>
          <w:i/>
        </w:rPr>
        <w:t>Income Tax Assessment Act 1936</w:t>
      </w:r>
      <w:r w:rsidRPr="00583E1A">
        <w:t>.</w:t>
      </w:r>
    </w:p>
    <w:p w:rsidR="002F48EC" w:rsidRPr="00583E1A" w:rsidRDefault="002F48EC" w:rsidP="002F48EC">
      <w:pPr>
        <w:pStyle w:val="SubsectionHead"/>
      </w:pPr>
      <w:r w:rsidRPr="00583E1A">
        <w:t>Calculating capital gains and losses on indirect Australian real property interests</w:t>
      </w:r>
    </w:p>
    <w:p w:rsidR="002F48EC" w:rsidRPr="00583E1A" w:rsidRDefault="002F48EC" w:rsidP="002F48EC">
      <w:pPr>
        <w:pStyle w:val="subsection"/>
      </w:pPr>
      <w:r w:rsidRPr="00583E1A">
        <w:tab/>
        <w:t>(3A)</w:t>
      </w:r>
      <w:r w:rsidRPr="00583E1A">
        <w:tab/>
        <w:t>If subsection 960</w:t>
      </w:r>
      <w:r w:rsidR="00583E1A">
        <w:noBreakHyphen/>
      </w:r>
      <w:r w:rsidRPr="00583E1A">
        <w:t xml:space="preserve">61(2) applies, your </w:t>
      </w:r>
      <w:r w:rsidRPr="00583E1A">
        <w:rPr>
          <w:b/>
          <w:i/>
        </w:rPr>
        <w:t>applicable functional currency</w:t>
      </w:r>
      <w:r w:rsidRPr="00583E1A">
        <w:t xml:space="preserve"> for the purposes of that subsection is the sole or predominant currency in which you keep your accounts at the time of the </w:t>
      </w:r>
      <w:r w:rsidR="00583E1A" w:rsidRPr="00583E1A">
        <w:rPr>
          <w:position w:val="6"/>
          <w:sz w:val="16"/>
        </w:rPr>
        <w:t>*</w:t>
      </w:r>
      <w:r w:rsidRPr="00583E1A">
        <w:t>CGT event.</w:t>
      </w:r>
    </w:p>
    <w:p w:rsidR="00887330" w:rsidRPr="00583E1A" w:rsidRDefault="00887330" w:rsidP="00887330">
      <w:pPr>
        <w:pStyle w:val="SubsectionHead"/>
      </w:pPr>
      <w:r w:rsidRPr="00583E1A">
        <w:t>Accounts</w:t>
      </w:r>
    </w:p>
    <w:p w:rsidR="00887330" w:rsidRPr="00583E1A" w:rsidRDefault="00887330" w:rsidP="00887330">
      <w:pPr>
        <w:pStyle w:val="subsection"/>
      </w:pPr>
      <w:r w:rsidRPr="00583E1A">
        <w:rPr>
          <w:b/>
          <w:i/>
        </w:rPr>
        <w:tab/>
      </w:r>
      <w:r w:rsidRPr="00583E1A">
        <w:t>(4)</w:t>
      </w:r>
      <w:r w:rsidRPr="00583E1A">
        <w:rPr>
          <w:b/>
          <w:i/>
        </w:rPr>
        <w:tab/>
      </w:r>
      <w:r w:rsidRPr="00583E1A">
        <w:t xml:space="preserve">For the purposes of this section, </w:t>
      </w:r>
      <w:r w:rsidRPr="00583E1A">
        <w:rPr>
          <w:b/>
          <w:i/>
        </w:rPr>
        <w:t>accounts</w:t>
      </w:r>
      <w:r w:rsidRPr="00583E1A">
        <w:t xml:space="preserve"> means:</w:t>
      </w:r>
    </w:p>
    <w:p w:rsidR="00887330" w:rsidRPr="00583E1A" w:rsidRDefault="00887330" w:rsidP="00887330">
      <w:pPr>
        <w:pStyle w:val="paragraph"/>
      </w:pPr>
      <w:r w:rsidRPr="00583E1A">
        <w:tab/>
        <w:t>(a)</w:t>
      </w:r>
      <w:r w:rsidRPr="00583E1A">
        <w:tab/>
        <w:t>ledgers; and</w:t>
      </w:r>
    </w:p>
    <w:p w:rsidR="00887330" w:rsidRPr="00583E1A" w:rsidRDefault="00887330" w:rsidP="00887330">
      <w:pPr>
        <w:pStyle w:val="paragraph"/>
      </w:pPr>
      <w:r w:rsidRPr="00583E1A">
        <w:tab/>
        <w:t>(b)</w:t>
      </w:r>
      <w:r w:rsidRPr="00583E1A">
        <w:tab/>
        <w:t>journals; and</w:t>
      </w:r>
    </w:p>
    <w:p w:rsidR="00887330" w:rsidRPr="00583E1A" w:rsidRDefault="00887330" w:rsidP="00887330">
      <w:pPr>
        <w:pStyle w:val="paragraph"/>
      </w:pPr>
      <w:r w:rsidRPr="00583E1A">
        <w:tab/>
        <w:t>(c)</w:t>
      </w:r>
      <w:r w:rsidRPr="00583E1A">
        <w:tab/>
        <w:t>statements of financial performance; and</w:t>
      </w:r>
    </w:p>
    <w:p w:rsidR="00887330" w:rsidRPr="00583E1A" w:rsidRDefault="00887330" w:rsidP="00887330">
      <w:pPr>
        <w:pStyle w:val="paragraph"/>
      </w:pPr>
      <w:r w:rsidRPr="00583E1A">
        <w:tab/>
        <w:t>(d)</w:t>
      </w:r>
      <w:r w:rsidRPr="00583E1A">
        <w:tab/>
        <w:t>profit and loss accounts; and</w:t>
      </w:r>
    </w:p>
    <w:p w:rsidR="00887330" w:rsidRPr="00583E1A" w:rsidRDefault="00887330" w:rsidP="00887330">
      <w:pPr>
        <w:pStyle w:val="paragraph"/>
      </w:pPr>
      <w:r w:rsidRPr="00583E1A">
        <w:tab/>
        <w:t>(e)</w:t>
      </w:r>
      <w:r w:rsidRPr="00583E1A">
        <w:tab/>
        <w:t>balance</w:t>
      </w:r>
      <w:r w:rsidR="00583E1A">
        <w:noBreakHyphen/>
      </w:r>
      <w:r w:rsidRPr="00583E1A">
        <w:t>sheets; and</w:t>
      </w:r>
    </w:p>
    <w:p w:rsidR="00887330" w:rsidRPr="00583E1A" w:rsidRDefault="00887330" w:rsidP="00887330">
      <w:pPr>
        <w:pStyle w:val="paragraph"/>
      </w:pPr>
      <w:r w:rsidRPr="00583E1A">
        <w:tab/>
        <w:t>(f)</w:t>
      </w:r>
      <w:r w:rsidRPr="00583E1A">
        <w:tab/>
        <w:t>statements of financial position;</w:t>
      </w:r>
    </w:p>
    <w:p w:rsidR="00887330" w:rsidRPr="00583E1A" w:rsidRDefault="00887330" w:rsidP="00887330">
      <w:pPr>
        <w:pStyle w:val="subsection2"/>
      </w:pPr>
      <w:r w:rsidRPr="00583E1A">
        <w:t>and includes statements, reports and notes attached to, or intended to be read with, any of the foregoing.</w:t>
      </w:r>
    </w:p>
    <w:p w:rsidR="00887330" w:rsidRPr="00583E1A" w:rsidRDefault="00887330" w:rsidP="00887330">
      <w:pPr>
        <w:pStyle w:val="ActHead5"/>
      </w:pPr>
      <w:bookmarkStart w:id="526" w:name="_Toc338939600"/>
      <w:r w:rsidRPr="00583E1A">
        <w:rPr>
          <w:rStyle w:val="CharSectno"/>
        </w:rPr>
        <w:t>960</w:t>
      </w:r>
      <w:r w:rsidR="00583E1A">
        <w:rPr>
          <w:rStyle w:val="CharSectno"/>
        </w:rPr>
        <w:noBreakHyphen/>
      </w:r>
      <w:r w:rsidRPr="00583E1A">
        <w:rPr>
          <w:rStyle w:val="CharSectno"/>
        </w:rPr>
        <w:t>75</w:t>
      </w:r>
      <w:r w:rsidRPr="00583E1A">
        <w:t xml:space="preserve">  What is a </w:t>
      </w:r>
      <w:r w:rsidRPr="00583E1A">
        <w:rPr>
          <w:i/>
        </w:rPr>
        <w:t>transferor trust</w:t>
      </w:r>
      <w:r w:rsidRPr="00583E1A">
        <w:t>?</w:t>
      </w:r>
      <w:bookmarkEnd w:id="526"/>
    </w:p>
    <w:p w:rsidR="00887330" w:rsidRPr="00583E1A" w:rsidRDefault="00887330" w:rsidP="00887330">
      <w:pPr>
        <w:pStyle w:val="subsection"/>
      </w:pPr>
      <w:r w:rsidRPr="00583E1A">
        <w:tab/>
      </w:r>
      <w:r w:rsidRPr="00583E1A">
        <w:tab/>
        <w:t xml:space="preserve">A </w:t>
      </w:r>
      <w:r w:rsidRPr="00583E1A">
        <w:rPr>
          <w:b/>
          <w:i/>
        </w:rPr>
        <w:t>transferor trust</w:t>
      </w:r>
      <w:r w:rsidRPr="00583E1A">
        <w:t xml:space="preserve"> is a trust where, having regard to all relevant circumstances, it would be reasonable to conclude that another entity is, or is likely to be, an attributable taxpayer in relation to the trust for the purposes of Division</w:t>
      </w:r>
      <w:r w:rsidR="00583E1A">
        <w:t> </w:t>
      </w:r>
      <w:r w:rsidRPr="00583E1A">
        <w:t>6AAA of Part</w:t>
      </w:r>
      <w:r w:rsidR="00583E1A">
        <w:t> </w:t>
      </w:r>
      <w:r w:rsidRPr="00583E1A">
        <w:t xml:space="preserve">III of the </w:t>
      </w:r>
      <w:r w:rsidRPr="00583E1A">
        <w:rPr>
          <w:i/>
        </w:rPr>
        <w:t>Income Tax Assessment Act 1936</w:t>
      </w:r>
      <w:r w:rsidRPr="00583E1A">
        <w:t>.</w:t>
      </w:r>
    </w:p>
    <w:p w:rsidR="00887330" w:rsidRPr="00583E1A" w:rsidRDefault="00887330" w:rsidP="00EC6DBA">
      <w:pPr>
        <w:pStyle w:val="ActHead5"/>
      </w:pPr>
      <w:bookmarkStart w:id="527" w:name="_Toc338939601"/>
      <w:r w:rsidRPr="00583E1A">
        <w:rPr>
          <w:rStyle w:val="CharSectno"/>
        </w:rPr>
        <w:lastRenderedPageBreak/>
        <w:t>960</w:t>
      </w:r>
      <w:r w:rsidR="00583E1A">
        <w:rPr>
          <w:rStyle w:val="CharSectno"/>
        </w:rPr>
        <w:noBreakHyphen/>
      </w:r>
      <w:r w:rsidRPr="00583E1A">
        <w:rPr>
          <w:rStyle w:val="CharSectno"/>
        </w:rPr>
        <w:t>80</w:t>
      </w:r>
      <w:r w:rsidRPr="00583E1A">
        <w:t xml:space="preserve">  Translation rules</w:t>
      </w:r>
      <w:bookmarkEnd w:id="527"/>
    </w:p>
    <w:p w:rsidR="00887330" w:rsidRPr="00583E1A" w:rsidRDefault="00887330" w:rsidP="00EC6DBA">
      <w:pPr>
        <w:pStyle w:val="subsection"/>
        <w:keepNext/>
      </w:pPr>
      <w:r w:rsidRPr="00583E1A">
        <w:tab/>
        <w:t>(1)</w:t>
      </w:r>
      <w:r w:rsidRPr="00583E1A">
        <w:tab/>
        <w:t>The table has effect:</w:t>
      </w:r>
    </w:p>
    <w:p w:rsidR="00887330" w:rsidRPr="00583E1A" w:rsidRDefault="00887330" w:rsidP="00EC6DBA">
      <w:pPr>
        <w:pStyle w:val="Tabletext"/>
        <w:keepNext/>
      </w:pPr>
    </w:p>
    <w:tbl>
      <w:tblPr>
        <w:tblW w:w="0" w:type="auto"/>
        <w:tblInd w:w="108" w:type="dxa"/>
        <w:tblLayout w:type="fixed"/>
        <w:tblLook w:val="0000" w:firstRow="0" w:lastRow="0" w:firstColumn="0" w:lastColumn="0" w:noHBand="0" w:noVBand="0"/>
      </w:tblPr>
      <w:tblGrid>
        <w:gridCol w:w="709"/>
        <w:gridCol w:w="3031"/>
        <w:gridCol w:w="3348"/>
      </w:tblGrid>
      <w:tr w:rsidR="00887330" w:rsidRPr="00583E1A">
        <w:trPr>
          <w:cantSplit/>
          <w:tblHeader/>
        </w:trPr>
        <w:tc>
          <w:tcPr>
            <w:tcW w:w="7088" w:type="dxa"/>
            <w:gridSpan w:val="3"/>
            <w:tcBorders>
              <w:top w:val="single" w:sz="12" w:space="0" w:color="auto"/>
              <w:bottom w:val="single" w:sz="6" w:space="0" w:color="auto"/>
            </w:tcBorders>
            <w:shd w:val="clear" w:color="auto" w:fill="auto"/>
          </w:tcPr>
          <w:p w:rsidR="00887330" w:rsidRPr="00583E1A" w:rsidRDefault="00887330" w:rsidP="00887330">
            <w:pPr>
              <w:pStyle w:val="Tabletext"/>
              <w:keepNext/>
              <w:rPr>
                <w:b/>
              </w:rPr>
            </w:pPr>
            <w:r w:rsidRPr="00583E1A">
              <w:rPr>
                <w:b/>
              </w:rPr>
              <w:t>Translation rules</w:t>
            </w:r>
          </w:p>
        </w:tc>
      </w:tr>
      <w:tr w:rsidR="00887330" w:rsidRPr="00583E1A">
        <w:trPr>
          <w:cantSplit/>
          <w:tblHeader/>
        </w:trPr>
        <w:tc>
          <w:tcPr>
            <w:tcW w:w="709" w:type="dxa"/>
            <w:tcBorders>
              <w:top w:val="single" w:sz="6" w:space="0" w:color="auto"/>
              <w:bottom w:val="single" w:sz="12" w:space="0" w:color="auto"/>
            </w:tcBorders>
            <w:shd w:val="clear" w:color="auto" w:fill="auto"/>
          </w:tcPr>
          <w:p w:rsidR="00887330" w:rsidRPr="00583E1A" w:rsidRDefault="00887330" w:rsidP="00887330">
            <w:pPr>
              <w:pStyle w:val="Tabletext"/>
              <w:keepNext/>
              <w:rPr>
                <w:b/>
              </w:rPr>
            </w:pPr>
            <w:r w:rsidRPr="00583E1A">
              <w:rPr>
                <w:b/>
              </w:rPr>
              <w:t>Item</w:t>
            </w:r>
          </w:p>
        </w:tc>
        <w:tc>
          <w:tcPr>
            <w:tcW w:w="3031" w:type="dxa"/>
            <w:tcBorders>
              <w:top w:val="single" w:sz="6" w:space="0" w:color="auto"/>
              <w:bottom w:val="single" w:sz="12" w:space="0" w:color="auto"/>
            </w:tcBorders>
            <w:shd w:val="clear" w:color="auto" w:fill="auto"/>
          </w:tcPr>
          <w:p w:rsidR="00887330" w:rsidRPr="00583E1A" w:rsidRDefault="00887330" w:rsidP="00887330">
            <w:pPr>
              <w:pStyle w:val="Tabletext"/>
              <w:keepNext/>
              <w:ind w:left="-108"/>
              <w:rPr>
                <w:b/>
              </w:rPr>
            </w:pPr>
            <w:r w:rsidRPr="00583E1A">
              <w:rPr>
                <w:b/>
              </w:rPr>
              <w:t>In this case...</w:t>
            </w:r>
          </w:p>
        </w:tc>
        <w:tc>
          <w:tcPr>
            <w:tcW w:w="3348" w:type="dxa"/>
            <w:tcBorders>
              <w:top w:val="single" w:sz="6" w:space="0" w:color="auto"/>
              <w:bottom w:val="single" w:sz="12" w:space="0" w:color="auto"/>
            </w:tcBorders>
            <w:shd w:val="clear" w:color="auto" w:fill="auto"/>
          </w:tcPr>
          <w:p w:rsidR="00887330" w:rsidRPr="00583E1A" w:rsidRDefault="00887330" w:rsidP="00887330">
            <w:pPr>
              <w:pStyle w:val="Tabletext"/>
              <w:keepNext/>
              <w:rPr>
                <w:b/>
              </w:rPr>
            </w:pPr>
            <w:r w:rsidRPr="00583E1A">
              <w:rPr>
                <w:b/>
              </w:rPr>
              <w:t>these rules apply...</w:t>
            </w:r>
          </w:p>
        </w:tc>
      </w:tr>
      <w:tr w:rsidR="00887330" w:rsidRPr="00583E1A">
        <w:trPr>
          <w:cantSplit/>
        </w:trPr>
        <w:tc>
          <w:tcPr>
            <w:tcW w:w="709" w:type="dxa"/>
            <w:tcBorders>
              <w:top w:val="single" w:sz="12" w:space="0" w:color="auto"/>
              <w:bottom w:val="single" w:sz="2" w:space="0" w:color="auto"/>
            </w:tcBorders>
            <w:shd w:val="clear" w:color="auto" w:fill="auto"/>
          </w:tcPr>
          <w:p w:rsidR="00887330" w:rsidRPr="00583E1A" w:rsidRDefault="00887330" w:rsidP="00887330">
            <w:pPr>
              <w:pStyle w:val="Tabletext"/>
            </w:pPr>
            <w:r w:rsidRPr="00583E1A">
              <w:t>1</w:t>
            </w:r>
          </w:p>
        </w:tc>
        <w:tc>
          <w:tcPr>
            <w:tcW w:w="3031" w:type="dxa"/>
            <w:tcBorders>
              <w:top w:val="single" w:sz="12" w:space="0" w:color="auto"/>
              <w:bottom w:val="single" w:sz="2" w:space="0" w:color="auto"/>
            </w:tcBorders>
            <w:shd w:val="clear" w:color="auto" w:fill="auto"/>
          </w:tcPr>
          <w:p w:rsidR="00887330" w:rsidRPr="00583E1A" w:rsidRDefault="00887330" w:rsidP="00887330">
            <w:pPr>
              <w:pStyle w:val="Tablea"/>
            </w:pPr>
            <w:r w:rsidRPr="00583E1A">
              <w:t>(a) you are an Australian resident required to prepare financial reports under section</w:t>
            </w:r>
            <w:r w:rsidR="00583E1A">
              <w:t> </w:t>
            </w:r>
            <w:r w:rsidRPr="00583E1A">
              <w:t xml:space="preserve">292 of the </w:t>
            </w:r>
            <w:r w:rsidRPr="00583E1A">
              <w:rPr>
                <w:i/>
              </w:rPr>
              <w:t>Corporations Act 2001</w:t>
            </w:r>
            <w:r w:rsidRPr="00583E1A">
              <w:t>; and</w:t>
            </w:r>
          </w:p>
          <w:p w:rsidR="00887330" w:rsidRPr="00583E1A" w:rsidRDefault="00887330" w:rsidP="00887330">
            <w:pPr>
              <w:pStyle w:val="Tablea"/>
            </w:pPr>
            <w:r w:rsidRPr="00583E1A">
              <w:t>(b) you have made a choice under item</w:t>
            </w:r>
            <w:r w:rsidR="00583E1A">
              <w:t> </w:t>
            </w:r>
            <w:r w:rsidRPr="00583E1A">
              <w:t>1 of the table in subsection 960</w:t>
            </w:r>
            <w:r w:rsidR="00583E1A">
              <w:noBreakHyphen/>
            </w:r>
            <w:r w:rsidRPr="00583E1A">
              <w:t>60(1), and that choice is in effect for an income year</w:t>
            </w:r>
          </w:p>
        </w:tc>
        <w:tc>
          <w:tcPr>
            <w:tcW w:w="3348" w:type="dxa"/>
            <w:tcBorders>
              <w:top w:val="single" w:sz="12" w:space="0" w:color="auto"/>
              <w:bottom w:val="single" w:sz="2" w:space="0" w:color="auto"/>
            </w:tcBorders>
            <w:shd w:val="clear" w:color="auto" w:fill="auto"/>
          </w:tcPr>
          <w:p w:rsidR="00887330" w:rsidRPr="00583E1A" w:rsidRDefault="00887330" w:rsidP="00887330">
            <w:pPr>
              <w:pStyle w:val="Tablea"/>
            </w:pPr>
            <w:r w:rsidRPr="00583E1A">
              <w:t>(a) first, for the purpose of working out, for the income year, so much of your taxable income or tax loss as is not the subject of a choice made by you under any other item of that table:</w:t>
            </w:r>
          </w:p>
          <w:p w:rsidR="00887330" w:rsidRPr="00583E1A" w:rsidRDefault="00887330" w:rsidP="00887330">
            <w:pPr>
              <w:pStyle w:val="Tablei"/>
            </w:pPr>
            <w:r w:rsidRPr="00583E1A">
              <w:t xml:space="preserve">(i) an amount that is not in the </w:t>
            </w:r>
            <w:r w:rsidR="00583E1A" w:rsidRPr="00583E1A">
              <w:rPr>
                <w:position w:val="6"/>
                <w:sz w:val="16"/>
              </w:rPr>
              <w:t>*</w:t>
            </w:r>
            <w:r w:rsidRPr="00583E1A">
              <w:t>applicable functional currency is to be translated into the applicable functional currency; and</w:t>
            </w:r>
          </w:p>
          <w:p w:rsidR="00887330" w:rsidRPr="00583E1A" w:rsidRDefault="00887330" w:rsidP="00887330">
            <w:pPr>
              <w:pStyle w:val="Tablei"/>
            </w:pPr>
            <w:r w:rsidRPr="00583E1A">
              <w:t xml:space="preserve">(ii) the definition of </w:t>
            </w:r>
            <w:r w:rsidRPr="00583E1A">
              <w:rPr>
                <w:b/>
                <w:i/>
              </w:rPr>
              <w:t>foreign currency</w:t>
            </w:r>
            <w:r w:rsidRPr="00583E1A">
              <w:t xml:space="preserve"> in subsection 995</w:t>
            </w:r>
            <w:r w:rsidR="00583E1A">
              <w:noBreakHyphen/>
            </w:r>
            <w:r w:rsidRPr="00583E1A">
              <w:t>1(1) does not apply; and</w:t>
            </w:r>
          </w:p>
          <w:p w:rsidR="00887330" w:rsidRPr="00583E1A" w:rsidRDefault="00887330" w:rsidP="00887330">
            <w:pPr>
              <w:pStyle w:val="Tablei"/>
            </w:pPr>
            <w:r w:rsidRPr="00583E1A">
              <w:t>(iii) the applicable functional currency is taken not to be a foreign currency; and</w:t>
            </w:r>
          </w:p>
          <w:p w:rsidR="00887330" w:rsidRPr="00583E1A" w:rsidRDefault="00887330" w:rsidP="00887330">
            <w:pPr>
              <w:pStyle w:val="Tablei"/>
            </w:pPr>
            <w:r w:rsidRPr="00583E1A">
              <w:t>(iv) Australian currency and any other currency (except the applicable functional currency) are taken to be foreign currencies; and</w:t>
            </w:r>
          </w:p>
          <w:p w:rsidR="00887330" w:rsidRPr="00583E1A" w:rsidRDefault="00887330" w:rsidP="00887330">
            <w:pPr>
              <w:pStyle w:val="Tablea"/>
            </w:pPr>
            <w:r w:rsidRPr="00583E1A">
              <w:t>(b) second, so much of your taxable income as is not the subject of a choice made by you under any other item of that table is to be translated into Australian currency.</w:t>
            </w:r>
          </w:p>
        </w:tc>
      </w:tr>
      <w:tr w:rsidR="00887330" w:rsidRPr="00583E1A">
        <w:trPr>
          <w:cantSplit/>
        </w:trPr>
        <w:tc>
          <w:tcPr>
            <w:tcW w:w="709" w:type="dxa"/>
            <w:tcBorders>
              <w:top w:val="single" w:sz="2" w:space="0" w:color="auto"/>
              <w:bottom w:val="single" w:sz="2" w:space="0" w:color="auto"/>
            </w:tcBorders>
            <w:shd w:val="clear" w:color="auto" w:fill="auto"/>
          </w:tcPr>
          <w:p w:rsidR="00887330" w:rsidRPr="00583E1A" w:rsidRDefault="00887330" w:rsidP="00887330">
            <w:pPr>
              <w:pStyle w:val="Tabletext"/>
            </w:pPr>
            <w:r w:rsidRPr="00583E1A">
              <w:lastRenderedPageBreak/>
              <w:t>2</w:t>
            </w:r>
          </w:p>
        </w:tc>
        <w:tc>
          <w:tcPr>
            <w:tcW w:w="3031" w:type="dxa"/>
            <w:tcBorders>
              <w:top w:val="single" w:sz="2" w:space="0" w:color="auto"/>
              <w:bottom w:val="single" w:sz="2" w:space="0" w:color="auto"/>
            </w:tcBorders>
            <w:shd w:val="clear" w:color="auto" w:fill="auto"/>
          </w:tcPr>
          <w:p w:rsidR="00887330" w:rsidRPr="00583E1A" w:rsidRDefault="00887330" w:rsidP="00887330">
            <w:pPr>
              <w:pStyle w:val="Tablea"/>
            </w:pPr>
            <w:r w:rsidRPr="00583E1A">
              <w:t>(a) you are:</w:t>
            </w:r>
          </w:p>
          <w:p w:rsidR="00887330" w:rsidRPr="00583E1A" w:rsidRDefault="00887330" w:rsidP="00887330">
            <w:pPr>
              <w:pStyle w:val="Tablei"/>
            </w:pPr>
            <w:r w:rsidRPr="00583E1A">
              <w:t>(i) an Australian resident carrying on an activity or business at or through an</w:t>
            </w:r>
            <w:r w:rsidR="00583E1A" w:rsidRPr="00583E1A">
              <w:rPr>
                <w:position w:val="6"/>
                <w:sz w:val="16"/>
              </w:rPr>
              <w:t>*</w:t>
            </w:r>
            <w:r w:rsidRPr="00583E1A">
              <w:t>overseas permanent establishment; or</w:t>
            </w:r>
          </w:p>
          <w:p w:rsidR="00887330" w:rsidRPr="00583E1A" w:rsidRDefault="00887330" w:rsidP="00887330">
            <w:pPr>
              <w:pStyle w:val="Tablei"/>
            </w:pPr>
            <w:r w:rsidRPr="00583E1A">
              <w:t xml:space="preserve">(ii) a foreign resident carrying on an activity or business at or through an </w:t>
            </w:r>
            <w:r w:rsidR="00583E1A" w:rsidRPr="00583E1A">
              <w:rPr>
                <w:position w:val="6"/>
                <w:sz w:val="16"/>
              </w:rPr>
              <w:t>*</w:t>
            </w:r>
            <w:r w:rsidRPr="00583E1A">
              <w:t>Australian permanent establishment; and</w:t>
            </w:r>
          </w:p>
          <w:p w:rsidR="00887330" w:rsidRPr="00583E1A" w:rsidRDefault="00887330" w:rsidP="00887330">
            <w:pPr>
              <w:pStyle w:val="Tablea"/>
            </w:pPr>
            <w:r w:rsidRPr="00583E1A">
              <w:t>(b) you have made a choice under item</w:t>
            </w:r>
            <w:r w:rsidR="00583E1A">
              <w:t> </w:t>
            </w:r>
            <w:r w:rsidRPr="00583E1A">
              <w:t>2 of the table in subsection 960</w:t>
            </w:r>
            <w:r w:rsidR="00583E1A">
              <w:noBreakHyphen/>
            </w:r>
            <w:r w:rsidRPr="00583E1A">
              <w:t>60(1) in relation to the permanent establishment, and that choice is in effect for an income year</w:t>
            </w:r>
          </w:p>
        </w:tc>
        <w:tc>
          <w:tcPr>
            <w:tcW w:w="3348" w:type="dxa"/>
            <w:tcBorders>
              <w:top w:val="single" w:sz="2" w:space="0" w:color="auto"/>
              <w:bottom w:val="single" w:sz="2" w:space="0" w:color="auto"/>
            </w:tcBorders>
            <w:shd w:val="clear" w:color="auto" w:fill="auto"/>
          </w:tcPr>
          <w:p w:rsidR="00887330" w:rsidRPr="00583E1A" w:rsidRDefault="00887330" w:rsidP="00887330">
            <w:pPr>
              <w:pStyle w:val="Tablea"/>
            </w:pPr>
            <w:r w:rsidRPr="00583E1A">
              <w:t>(a) first, for the purpose of working out, for the income year, the taxable income or tax loss derived from the activity or business carried on at or through the permanent establishment:</w:t>
            </w:r>
          </w:p>
          <w:p w:rsidR="00887330" w:rsidRPr="00583E1A" w:rsidRDefault="00887330" w:rsidP="00887330">
            <w:pPr>
              <w:pStyle w:val="Tablei"/>
            </w:pPr>
            <w:r w:rsidRPr="00583E1A">
              <w:t xml:space="preserve">(i) an amount that is not in the </w:t>
            </w:r>
            <w:r w:rsidR="00583E1A" w:rsidRPr="00583E1A">
              <w:rPr>
                <w:position w:val="6"/>
                <w:sz w:val="16"/>
              </w:rPr>
              <w:t>*</w:t>
            </w:r>
            <w:r w:rsidRPr="00583E1A">
              <w:t>applicable functional currency is to be translated into the applicable functional currency; and</w:t>
            </w:r>
          </w:p>
          <w:p w:rsidR="00887330" w:rsidRPr="00583E1A" w:rsidRDefault="00887330" w:rsidP="00887330">
            <w:pPr>
              <w:pStyle w:val="Tablei"/>
            </w:pPr>
            <w:r w:rsidRPr="00583E1A">
              <w:t xml:space="preserve">(ii) the definition of </w:t>
            </w:r>
            <w:r w:rsidRPr="00583E1A">
              <w:rPr>
                <w:b/>
                <w:i/>
              </w:rPr>
              <w:t>foreign currency</w:t>
            </w:r>
            <w:r w:rsidRPr="00583E1A">
              <w:t xml:space="preserve"> in subsection 995</w:t>
            </w:r>
            <w:r w:rsidR="00583E1A">
              <w:noBreakHyphen/>
            </w:r>
            <w:r w:rsidRPr="00583E1A">
              <w:t>1(1) does not apply; and</w:t>
            </w:r>
          </w:p>
          <w:p w:rsidR="00887330" w:rsidRPr="00583E1A" w:rsidRDefault="00887330" w:rsidP="00887330">
            <w:pPr>
              <w:pStyle w:val="Tablei"/>
            </w:pPr>
            <w:r w:rsidRPr="00583E1A">
              <w:t>(iii) the applicable functional currency is taken not to be a foreign currency; and</w:t>
            </w:r>
          </w:p>
          <w:p w:rsidR="00887330" w:rsidRPr="00583E1A" w:rsidRDefault="00887330" w:rsidP="00887330">
            <w:pPr>
              <w:pStyle w:val="Tablei"/>
            </w:pPr>
            <w:r w:rsidRPr="00583E1A">
              <w:t>(iv) Australian currency and any other currency (except the applicable functional currency) are taken to be foreign currencies; and</w:t>
            </w:r>
          </w:p>
          <w:p w:rsidR="00887330" w:rsidRPr="00583E1A" w:rsidRDefault="00887330" w:rsidP="00887330">
            <w:pPr>
              <w:pStyle w:val="Tablea"/>
            </w:pPr>
            <w:r w:rsidRPr="00583E1A">
              <w:t>(b) second, the taxable income derived from the activity or business carried on at or through the permanent establishment is to be translated into Australian currency.</w:t>
            </w:r>
          </w:p>
        </w:tc>
      </w:tr>
      <w:tr w:rsidR="00887330" w:rsidRPr="00583E1A">
        <w:trPr>
          <w:cantSplit/>
        </w:trPr>
        <w:tc>
          <w:tcPr>
            <w:tcW w:w="709" w:type="dxa"/>
            <w:tcBorders>
              <w:top w:val="single" w:sz="2" w:space="0" w:color="auto"/>
              <w:bottom w:val="single" w:sz="2" w:space="0" w:color="auto"/>
            </w:tcBorders>
            <w:shd w:val="clear" w:color="auto" w:fill="auto"/>
          </w:tcPr>
          <w:p w:rsidR="00887330" w:rsidRPr="00583E1A" w:rsidRDefault="00887330" w:rsidP="00887330">
            <w:pPr>
              <w:pStyle w:val="Tabletext"/>
            </w:pPr>
            <w:r w:rsidRPr="00583E1A">
              <w:lastRenderedPageBreak/>
              <w:t>3</w:t>
            </w:r>
          </w:p>
        </w:tc>
        <w:tc>
          <w:tcPr>
            <w:tcW w:w="3031" w:type="dxa"/>
            <w:tcBorders>
              <w:top w:val="single" w:sz="2" w:space="0" w:color="auto"/>
              <w:bottom w:val="single" w:sz="2" w:space="0" w:color="auto"/>
            </w:tcBorders>
            <w:shd w:val="clear" w:color="auto" w:fill="auto"/>
          </w:tcPr>
          <w:p w:rsidR="00887330" w:rsidRPr="00583E1A" w:rsidRDefault="00887330" w:rsidP="00887330">
            <w:pPr>
              <w:pStyle w:val="Tablea"/>
            </w:pPr>
            <w:r w:rsidRPr="00583E1A">
              <w:t xml:space="preserve">(a) you are an </w:t>
            </w:r>
            <w:r w:rsidR="00583E1A" w:rsidRPr="00583E1A">
              <w:rPr>
                <w:position w:val="6"/>
                <w:sz w:val="16"/>
              </w:rPr>
              <w:t>*</w:t>
            </w:r>
            <w:r w:rsidRPr="00583E1A">
              <w:t>offshore banking unit (OBU); and</w:t>
            </w:r>
          </w:p>
          <w:p w:rsidR="00887330" w:rsidRPr="00583E1A" w:rsidRDefault="00887330" w:rsidP="00887330">
            <w:pPr>
              <w:pStyle w:val="Tablea"/>
              <w:rPr>
                <w:b/>
              </w:rPr>
            </w:pPr>
            <w:r w:rsidRPr="00583E1A">
              <w:t>(b) you have made a choice under item</w:t>
            </w:r>
            <w:r w:rsidR="00583E1A">
              <w:t> </w:t>
            </w:r>
            <w:r w:rsidRPr="00583E1A">
              <w:t>3 of the table in subsection 960</w:t>
            </w:r>
            <w:r w:rsidR="00583E1A">
              <w:noBreakHyphen/>
            </w:r>
            <w:r w:rsidRPr="00583E1A">
              <w:t>60(1) in relation to the OBU, and that choice is in effect for an income year</w:t>
            </w:r>
          </w:p>
        </w:tc>
        <w:tc>
          <w:tcPr>
            <w:tcW w:w="3348" w:type="dxa"/>
            <w:tcBorders>
              <w:top w:val="single" w:sz="2" w:space="0" w:color="auto"/>
              <w:bottom w:val="single" w:sz="2" w:space="0" w:color="auto"/>
            </w:tcBorders>
            <w:shd w:val="clear" w:color="auto" w:fill="auto"/>
          </w:tcPr>
          <w:p w:rsidR="00887330" w:rsidRPr="00583E1A" w:rsidRDefault="00887330" w:rsidP="00887330">
            <w:pPr>
              <w:pStyle w:val="Tablea"/>
            </w:pPr>
            <w:r w:rsidRPr="00583E1A">
              <w:t>(a) first, for the purpose of working out, for the income year, your total assessable OB income (within the meaning of Division</w:t>
            </w:r>
            <w:r w:rsidR="00583E1A">
              <w:t> </w:t>
            </w:r>
            <w:r w:rsidRPr="00583E1A">
              <w:t>9A of Part</w:t>
            </w:r>
            <w:r w:rsidR="00583E1A">
              <w:t> </w:t>
            </w:r>
            <w:r w:rsidRPr="00583E1A">
              <w:t xml:space="preserve">III of the </w:t>
            </w:r>
            <w:r w:rsidRPr="00583E1A">
              <w:rPr>
                <w:i/>
              </w:rPr>
              <w:t>Income Tax Assessment Act 1936</w:t>
            </w:r>
            <w:r w:rsidRPr="00583E1A">
              <w:t>) and your total OB deductions (within the meaning of that Division):</w:t>
            </w:r>
          </w:p>
          <w:p w:rsidR="00887330" w:rsidRPr="00583E1A" w:rsidRDefault="00887330" w:rsidP="00887330">
            <w:pPr>
              <w:pStyle w:val="Tablei"/>
            </w:pPr>
            <w:r w:rsidRPr="00583E1A">
              <w:t xml:space="preserve">(i) an amount that is not in the </w:t>
            </w:r>
            <w:r w:rsidR="00583E1A" w:rsidRPr="00583E1A">
              <w:rPr>
                <w:position w:val="6"/>
                <w:sz w:val="16"/>
              </w:rPr>
              <w:t>*</w:t>
            </w:r>
            <w:r w:rsidRPr="00583E1A">
              <w:t>applicable functional currency is to be translated into the applicable functional currency; and</w:t>
            </w:r>
          </w:p>
          <w:p w:rsidR="00887330" w:rsidRPr="00583E1A" w:rsidRDefault="00887330" w:rsidP="00887330">
            <w:pPr>
              <w:pStyle w:val="Tablei"/>
            </w:pPr>
            <w:r w:rsidRPr="00583E1A">
              <w:t xml:space="preserve">(ii) the definition of </w:t>
            </w:r>
            <w:r w:rsidRPr="00583E1A">
              <w:rPr>
                <w:b/>
                <w:i/>
              </w:rPr>
              <w:t>foreign currency</w:t>
            </w:r>
            <w:r w:rsidRPr="00583E1A">
              <w:t xml:space="preserve"> in subsection 995</w:t>
            </w:r>
            <w:r w:rsidR="00583E1A">
              <w:noBreakHyphen/>
            </w:r>
            <w:r w:rsidRPr="00583E1A">
              <w:t>1(1) does not apply; and</w:t>
            </w:r>
          </w:p>
          <w:p w:rsidR="00887330" w:rsidRPr="00583E1A" w:rsidRDefault="00887330" w:rsidP="00887330">
            <w:pPr>
              <w:pStyle w:val="Tablei"/>
            </w:pPr>
            <w:r w:rsidRPr="00583E1A">
              <w:t>(iii) the applicable functional currency is taken not to be a foreign currency; and</w:t>
            </w:r>
          </w:p>
          <w:p w:rsidR="00887330" w:rsidRPr="00583E1A" w:rsidRDefault="00887330" w:rsidP="00887330">
            <w:pPr>
              <w:pStyle w:val="Tablei"/>
            </w:pPr>
            <w:r w:rsidRPr="00583E1A">
              <w:t>(iv) Australian currency and any other currency (except the applicable functional currency) are taken to be foreign currencies; and</w:t>
            </w:r>
          </w:p>
          <w:p w:rsidR="00887330" w:rsidRPr="00583E1A" w:rsidRDefault="00887330" w:rsidP="00887330">
            <w:pPr>
              <w:pStyle w:val="Tablea"/>
            </w:pPr>
            <w:r w:rsidRPr="00583E1A">
              <w:t xml:space="preserve">(b) second, the total assessable </w:t>
            </w:r>
            <w:smartTag w:uri="urn:schemas-microsoft-com:office:smarttags" w:element="place">
              <w:r w:rsidRPr="00583E1A">
                <w:t>OB</w:t>
              </w:r>
            </w:smartTag>
            <w:r w:rsidRPr="00583E1A">
              <w:t xml:space="preserve"> income and the total allowable </w:t>
            </w:r>
            <w:smartTag w:uri="urn:schemas-microsoft-com:office:smarttags" w:element="place">
              <w:r w:rsidRPr="00583E1A">
                <w:t>OB</w:t>
              </w:r>
            </w:smartTag>
            <w:r w:rsidRPr="00583E1A">
              <w:t xml:space="preserve"> deductions are to be translated into Australian currency.</w:t>
            </w:r>
          </w:p>
        </w:tc>
      </w:tr>
      <w:tr w:rsidR="00887330" w:rsidRPr="00583E1A">
        <w:trPr>
          <w:cantSplit/>
        </w:trPr>
        <w:tc>
          <w:tcPr>
            <w:tcW w:w="709" w:type="dxa"/>
            <w:tcBorders>
              <w:top w:val="single" w:sz="2" w:space="0" w:color="auto"/>
              <w:bottom w:val="single" w:sz="2" w:space="0" w:color="auto"/>
            </w:tcBorders>
            <w:shd w:val="clear" w:color="auto" w:fill="auto"/>
          </w:tcPr>
          <w:p w:rsidR="00887330" w:rsidRPr="00583E1A" w:rsidRDefault="00887330" w:rsidP="00887330">
            <w:pPr>
              <w:pStyle w:val="Tabletext"/>
            </w:pPr>
            <w:r w:rsidRPr="00583E1A">
              <w:lastRenderedPageBreak/>
              <w:t>4</w:t>
            </w:r>
          </w:p>
        </w:tc>
        <w:tc>
          <w:tcPr>
            <w:tcW w:w="3031" w:type="dxa"/>
            <w:tcBorders>
              <w:top w:val="single" w:sz="2" w:space="0" w:color="auto"/>
              <w:bottom w:val="single" w:sz="2" w:space="0" w:color="auto"/>
            </w:tcBorders>
            <w:shd w:val="clear" w:color="auto" w:fill="auto"/>
          </w:tcPr>
          <w:p w:rsidR="00887330" w:rsidRPr="00583E1A" w:rsidRDefault="00887330" w:rsidP="00887330">
            <w:pPr>
              <w:pStyle w:val="Tablea"/>
            </w:pPr>
            <w:r w:rsidRPr="00583E1A">
              <w:t>(a) you are an attributable taxpayer (within the meaning of Part</w:t>
            </w:r>
            <w:r w:rsidR="00583E1A">
              <w:t> </w:t>
            </w:r>
            <w:r w:rsidRPr="00583E1A">
              <w:t xml:space="preserve">X of the </w:t>
            </w:r>
            <w:r w:rsidRPr="00583E1A">
              <w:rPr>
                <w:i/>
              </w:rPr>
              <w:t>Income Tax Assessment Act 1936</w:t>
            </w:r>
            <w:r w:rsidRPr="00583E1A">
              <w:t xml:space="preserve">) of a </w:t>
            </w:r>
            <w:r w:rsidR="00583E1A" w:rsidRPr="00583E1A">
              <w:rPr>
                <w:position w:val="6"/>
                <w:sz w:val="16"/>
              </w:rPr>
              <w:t>*</w:t>
            </w:r>
            <w:r w:rsidRPr="00583E1A">
              <w:t>controlled foreign company (CFC); and</w:t>
            </w:r>
          </w:p>
          <w:p w:rsidR="00887330" w:rsidRPr="00583E1A" w:rsidRDefault="00887330" w:rsidP="00887330">
            <w:pPr>
              <w:pStyle w:val="Tablea"/>
            </w:pPr>
            <w:r w:rsidRPr="00583E1A">
              <w:t>(b) you have made a choice under item</w:t>
            </w:r>
            <w:r w:rsidR="00583E1A">
              <w:t> </w:t>
            </w:r>
            <w:r w:rsidRPr="00583E1A">
              <w:t>4 of the table in subsection 960</w:t>
            </w:r>
            <w:r w:rsidR="00583E1A">
              <w:noBreakHyphen/>
            </w:r>
            <w:r w:rsidRPr="00583E1A">
              <w:t xml:space="preserve">60(1) in relation to the CFC, and that choice is in effect for a </w:t>
            </w:r>
            <w:r w:rsidR="00583E1A" w:rsidRPr="00583E1A">
              <w:rPr>
                <w:position w:val="6"/>
                <w:sz w:val="16"/>
              </w:rPr>
              <w:t>*</w:t>
            </w:r>
            <w:r w:rsidRPr="00583E1A">
              <w:t>statutory accounting period of the CFC</w:t>
            </w:r>
          </w:p>
        </w:tc>
        <w:tc>
          <w:tcPr>
            <w:tcW w:w="3348" w:type="dxa"/>
            <w:tcBorders>
              <w:top w:val="single" w:sz="2" w:space="0" w:color="auto"/>
              <w:bottom w:val="single" w:sz="2" w:space="0" w:color="auto"/>
            </w:tcBorders>
            <w:shd w:val="clear" w:color="auto" w:fill="auto"/>
          </w:tcPr>
          <w:p w:rsidR="00887330" w:rsidRPr="00583E1A" w:rsidRDefault="00887330" w:rsidP="00887330">
            <w:pPr>
              <w:pStyle w:val="Tablea"/>
            </w:pPr>
            <w:r w:rsidRPr="00583E1A">
              <w:t xml:space="preserve">(a) first, for the purpose of working out, for the statutory accounting period, the </w:t>
            </w:r>
            <w:r w:rsidR="00583E1A" w:rsidRPr="00583E1A">
              <w:rPr>
                <w:position w:val="6"/>
                <w:sz w:val="16"/>
              </w:rPr>
              <w:t>*</w:t>
            </w:r>
            <w:r w:rsidRPr="00583E1A">
              <w:t>attributable income of the CFC:</w:t>
            </w:r>
          </w:p>
          <w:p w:rsidR="00887330" w:rsidRPr="00583E1A" w:rsidRDefault="00887330" w:rsidP="00887330">
            <w:pPr>
              <w:pStyle w:val="Tablei"/>
            </w:pPr>
            <w:r w:rsidRPr="00583E1A">
              <w:t xml:space="preserve">(i) an amount that is not in the </w:t>
            </w:r>
            <w:r w:rsidR="00583E1A" w:rsidRPr="00583E1A">
              <w:rPr>
                <w:position w:val="6"/>
                <w:sz w:val="16"/>
              </w:rPr>
              <w:t>*</w:t>
            </w:r>
            <w:r w:rsidRPr="00583E1A">
              <w:t>applicable functional currency is to be translated into the applicable functional currency; and</w:t>
            </w:r>
          </w:p>
          <w:p w:rsidR="00887330" w:rsidRPr="00583E1A" w:rsidRDefault="00887330" w:rsidP="00887330">
            <w:pPr>
              <w:pStyle w:val="Tablei"/>
            </w:pPr>
            <w:r w:rsidRPr="00583E1A">
              <w:t xml:space="preserve">(ii) the definition of </w:t>
            </w:r>
            <w:r w:rsidRPr="00583E1A">
              <w:rPr>
                <w:b/>
                <w:i/>
              </w:rPr>
              <w:t>foreign currency</w:t>
            </w:r>
            <w:r w:rsidRPr="00583E1A">
              <w:t xml:space="preserve"> in subsection 995</w:t>
            </w:r>
            <w:r w:rsidR="00583E1A">
              <w:noBreakHyphen/>
            </w:r>
            <w:r w:rsidRPr="00583E1A">
              <w:t>1(1) does not apply; and</w:t>
            </w:r>
          </w:p>
          <w:p w:rsidR="00887330" w:rsidRPr="00583E1A" w:rsidRDefault="00887330" w:rsidP="00887330">
            <w:pPr>
              <w:pStyle w:val="Tablei"/>
            </w:pPr>
            <w:r w:rsidRPr="00583E1A">
              <w:t>(iii) the applicable functional currency is taken not to be a foreign currency; and</w:t>
            </w:r>
          </w:p>
          <w:p w:rsidR="00887330" w:rsidRPr="00583E1A" w:rsidRDefault="00887330" w:rsidP="00887330">
            <w:pPr>
              <w:pStyle w:val="Tablei"/>
            </w:pPr>
            <w:r w:rsidRPr="00583E1A">
              <w:t>(iv) Australian currency and any other currency (except the applicable functional currency) are taken to be foreign currencies; and</w:t>
            </w:r>
          </w:p>
          <w:p w:rsidR="00887330" w:rsidRPr="00583E1A" w:rsidRDefault="00887330" w:rsidP="00887330">
            <w:pPr>
              <w:pStyle w:val="Tablea"/>
            </w:pPr>
            <w:r w:rsidRPr="00583E1A">
              <w:t>(b) second, the attributable income is to be translated into Australian currency.</w:t>
            </w:r>
          </w:p>
        </w:tc>
      </w:tr>
      <w:tr w:rsidR="00887330" w:rsidRPr="00583E1A">
        <w:trPr>
          <w:cantSplit/>
        </w:trPr>
        <w:tc>
          <w:tcPr>
            <w:tcW w:w="709" w:type="dxa"/>
            <w:tcBorders>
              <w:top w:val="single" w:sz="2" w:space="0" w:color="auto"/>
              <w:bottom w:val="single" w:sz="2" w:space="0" w:color="auto"/>
            </w:tcBorders>
            <w:shd w:val="clear" w:color="auto" w:fill="auto"/>
          </w:tcPr>
          <w:p w:rsidR="00887330" w:rsidRPr="00583E1A" w:rsidRDefault="00887330" w:rsidP="00887330">
            <w:pPr>
              <w:pStyle w:val="Tabletext"/>
            </w:pPr>
            <w:r w:rsidRPr="00583E1A">
              <w:lastRenderedPageBreak/>
              <w:t>5</w:t>
            </w:r>
          </w:p>
        </w:tc>
        <w:tc>
          <w:tcPr>
            <w:tcW w:w="3031" w:type="dxa"/>
            <w:tcBorders>
              <w:top w:val="single" w:sz="2" w:space="0" w:color="auto"/>
              <w:bottom w:val="single" w:sz="2" w:space="0" w:color="auto"/>
            </w:tcBorders>
            <w:shd w:val="clear" w:color="auto" w:fill="auto"/>
          </w:tcPr>
          <w:p w:rsidR="00887330" w:rsidRPr="00583E1A" w:rsidRDefault="00887330" w:rsidP="00887330">
            <w:pPr>
              <w:pStyle w:val="Tablea"/>
            </w:pPr>
            <w:r w:rsidRPr="00583E1A">
              <w:t xml:space="preserve">(a) you are a </w:t>
            </w:r>
            <w:r w:rsidR="00583E1A" w:rsidRPr="00583E1A">
              <w:rPr>
                <w:position w:val="6"/>
                <w:sz w:val="16"/>
              </w:rPr>
              <w:t>*</w:t>
            </w:r>
            <w:r w:rsidRPr="00583E1A">
              <w:t>transferor trust; and</w:t>
            </w:r>
          </w:p>
          <w:p w:rsidR="00887330" w:rsidRPr="00583E1A" w:rsidRDefault="00887330" w:rsidP="00887330">
            <w:pPr>
              <w:pStyle w:val="Tablea"/>
            </w:pPr>
            <w:r w:rsidRPr="00583E1A">
              <w:t>(b) you have made a choice under item</w:t>
            </w:r>
            <w:r w:rsidR="00583E1A">
              <w:t> </w:t>
            </w:r>
            <w:r w:rsidRPr="00583E1A">
              <w:t>5 of the table in subsection 960</w:t>
            </w:r>
            <w:r w:rsidR="00583E1A">
              <w:noBreakHyphen/>
            </w:r>
            <w:r w:rsidRPr="00583E1A">
              <w:t>60(1) in relation to the trust, and that choice is in effect for an income year</w:t>
            </w:r>
          </w:p>
        </w:tc>
        <w:tc>
          <w:tcPr>
            <w:tcW w:w="3348" w:type="dxa"/>
            <w:tcBorders>
              <w:top w:val="single" w:sz="2" w:space="0" w:color="auto"/>
              <w:bottom w:val="single" w:sz="2" w:space="0" w:color="auto"/>
            </w:tcBorders>
            <w:shd w:val="clear" w:color="auto" w:fill="auto"/>
          </w:tcPr>
          <w:p w:rsidR="00887330" w:rsidRPr="00583E1A" w:rsidRDefault="00887330" w:rsidP="00887330">
            <w:pPr>
              <w:pStyle w:val="Tablea"/>
            </w:pPr>
            <w:r w:rsidRPr="00583E1A">
              <w:t>(a) first, for the purpose of working out, for the income year, your attributable income (within the meaning of Division</w:t>
            </w:r>
            <w:r w:rsidR="00583E1A">
              <w:t> </w:t>
            </w:r>
            <w:r w:rsidRPr="00583E1A">
              <w:t>6AAA of Part</w:t>
            </w:r>
            <w:r w:rsidR="00583E1A">
              <w:t> </w:t>
            </w:r>
            <w:r w:rsidRPr="00583E1A">
              <w:t xml:space="preserve">III of the </w:t>
            </w:r>
            <w:r w:rsidRPr="00583E1A">
              <w:rPr>
                <w:i/>
              </w:rPr>
              <w:t>Income Tax Assessment Act 1936</w:t>
            </w:r>
            <w:r w:rsidRPr="00583E1A">
              <w:t>):</w:t>
            </w:r>
          </w:p>
          <w:p w:rsidR="00887330" w:rsidRPr="00583E1A" w:rsidRDefault="00887330" w:rsidP="00887330">
            <w:pPr>
              <w:pStyle w:val="Tablei"/>
            </w:pPr>
            <w:r w:rsidRPr="00583E1A">
              <w:t xml:space="preserve">(i) an amount that is not in the </w:t>
            </w:r>
            <w:r w:rsidR="00583E1A" w:rsidRPr="00583E1A">
              <w:rPr>
                <w:position w:val="6"/>
                <w:sz w:val="16"/>
              </w:rPr>
              <w:t>*</w:t>
            </w:r>
            <w:r w:rsidRPr="00583E1A">
              <w:t>applicable functional currency is to be translated into the applicable functional currency; and</w:t>
            </w:r>
          </w:p>
          <w:p w:rsidR="00887330" w:rsidRPr="00583E1A" w:rsidRDefault="00887330" w:rsidP="00887330">
            <w:pPr>
              <w:pStyle w:val="Tablei"/>
            </w:pPr>
            <w:r w:rsidRPr="00583E1A">
              <w:t xml:space="preserve">(ii) the definition of </w:t>
            </w:r>
            <w:r w:rsidRPr="00583E1A">
              <w:rPr>
                <w:b/>
                <w:i/>
              </w:rPr>
              <w:t>foreign currency</w:t>
            </w:r>
            <w:r w:rsidRPr="00583E1A">
              <w:t xml:space="preserve"> in subsection 995</w:t>
            </w:r>
            <w:r w:rsidR="00583E1A">
              <w:noBreakHyphen/>
            </w:r>
            <w:r w:rsidRPr="00583E1A">
              <w:t>1(1) does not apply; and</w:t>
            </w:r>
          </w:p>
          <w:p w:rsidR="00887330" w:rsidRPr="00583E1A" w:rsidRDefault="00887330" w:rsidP="00887330">
            <w:pPr>
              <w:pStyle w:val="Tablei"/>
            </w:pPr>
            <w:r w:rsidRPr="00583E1A">
              <w:t>(iii) the applicable functional currency is taken not to be a foreign currency; and</w:t>
            </w:r>
          </w:p>
          <w:p w:rsidR="00887330" w:rsidRPr="00583E1A" w:rsidRDefault="00887330" w:rsidP="00887330">
            <w:pPr>
              <w:pStyle w:val="Tablei"/>
            </w:pPr>
            <w:r w:rsidRPr="00583E1A">
              <w:t>(iv) Australian currency and any other currency (except the applicable functional currency) are taken to be foreign currencies; and</w:t>
            </w:r>
          </w:p>
          <w:p w:rsidR="00887330" w:rsidRPr="00583E1A" w:rsidRDefault="00887330" w:rsidP="00887330">
            <w:pPr>
              <w:pStyle w:val="Tablea"/>
            </w:pPr>
            <w:r w:rsidRPr="00583E1A">
              <w:t>(b) second, the attributable income is to be translated into Australian currency.</w:t>
            </w:r>
          </w:p>
        </w:tc>
      </w:tr>
      <w:tr w:rsidR="002F48EC" w:rsidRPr="00583E1A">
        <w:trPr>
          <w:cantSplit/>
        </w:trPr>
        <w:tc>
          <w:tcPr>
            <w:tcW w:w="709" w:type="dxa"/>
            <w:tcBorders>
              <w:top w:val="single" w:sz="2" w:space="0" w:color="auto"/>
              <w:bottom w:val="single" w:sz="12" w:space="0" w:color="auto"/>
            </w:tcBorders>
            <w:shd w:val="clear" w:color="auto" w:fill="auto"/>
          </w:tcPr>
          <w:p w:rsidR="002F48EC" w:rsidRPr="00583E1A" w:rsidRDefault="002F48EC" w:rsidP="00887330">
            <w:pPr>
              <w:pStyle w:val="Tabletext"/>
            </w:pPr>
            <w:r w:rsidRPr="00583E1A">
              <w:t>6</w:t>
            </w:r>
          </w:p>
        </w:tc>
        <w:tc>
          <w:tcPr>
            <w:tcW w:w="3031" w:type="dxa"/>
            <w:tcBorders>
              <w:top w:val="single" w:sz="2" w:space="0" w:color="auto"/>
              <w:bottom w:val="single" w:sz="12" w:space="0" w:color="auto"/>
            </w:tcBorders>
            <w:shd w:val="clear" w:color="auto" w:fill="auto"/>
          </w:tcPr>
          <w:p w:rsidR="002F48EC" w:rsidRPr="00583E1A" w:rsidRDefault="002F48EC" w:rsidP="002F48EC">
            <w:pPr>
              <w:pStyle w:val="Tablea"/>
            </w:pPr>
            <w:r w:rsidRPr="00583E1A">
              <w:t xml:space="preserve">(a) you are a </w:t>
            </w:r>
            <w:r w:rsidR="00583E1A" w:rsidRPr="00583E1A">
              <w:rPr>
                <w:position w:val="6"/>
                <w:sz w:val="16"/>
              </w:rPr>
              <w:t>*</w:t>
            </w:r>
            <w:r w:rsidRPr="00583E1A">
              <w:t xml:space="preserve">foreign resident who makes a </w:t>
            </w:r>
            <w:r w:rsidR="00583E1A" w:rsidRPr="00583E1A">
              <w:rPr>
                <w:position w:val="6"/>
                <w:sz w:val="16"/>
              </w:rPr>
              <w:t>*</w:t>
            </w:r>
            <w:r w:rsidRPr="00583E1A">
              <w:t xml:space="preserve">capital gain or </w:t>
            </w:r>
            <w:r w:rsidR="00583E1A" w:rsidRPr="00583E1A">
              <w:rPr>
                <w:position w:val="6"/>
                <w:sz w:val="16"/>
              </w:rPr>
              <w:t>*</w:t>
            </w:r>
            <w:r w:rsidRPr="00583E1A">
              <w:t xml:space="preserve">capital loss from a </w:t>
            </w:r>
            <w:r w:rsidR="00583E1A" w:rsidRPr="00583E1A">
              <w:rPr>
                <w:position w:val="6"/>
                <w:sz w:val="16"/>
              </w:rPr>
              <w:t>*</w:t>
            </w:r>
            <w:r w:rsidRPr="00583E1A">
              <w:t xml:space="preserve">CGT event in relation to an asset that is an </w:t>
            </w:r>
            <w:r w:rsidR="00583E1A" w:rsidRPr="00583E1A">
              <w:rPr>
                <w:position w:val="6"/>
                <w:sz w:val="16"/>
              </w:rPr>
              <w:t>*</w:t>
            </w:r>
            <w:r w:rsidRPr="00583E1A">
              <w:t>indirect Australian real property interest; and</w:t>
            </w:r>
          </w:p>
          <w:p w:rsidR="002F48EC" w:rsidRPr="00583E1A" w:rsidRDefault="002F48EC" w:rsidP="00887330">
            <w:pPr>
              <w:pStyle w:val="Tablea"/>
            </w:pPr>
            <w:r w:rsidRPr="00583E1A">
              <w:t>(b) you are required by subsection 960</w:t>
            </w:r>
            <w:r w:rsidR="00583E1A">
              <w:noBreakHyphen/>
            </w:r>
            <w:r w:rsidRPr="00583E1A">
              <w:t xml:space="preserve">61(2) to work out the amount of your capital gain or capital loss in the </w:t>
            </w:r>
            <w:r w:rsidR="00583E1A" w:rsidRPr="00583E1A">
              <w:rPr>
                <w:position w:val="6"/>
                <w:sz w:val="16"/>
              </w:rPr>
              <w:t>*</w:t>
            </w:r>
            <w:r w:rsidRPr="00583E1A">
              <w:t>applicable functional currency</w:t>
            </w:r>
          </w:p>
        </w:tc>
        <w:tc>
          <w:tcPr>
            <w:tcW w:w="3348" w:type="dxa"/>
            <w:tcBorders>
              <w:top w:val="single" w:sz="2" w:space="0" w:color="auto"/>
              <w:bottom w:val="single" w:sz="12" w:space="0" w:color="auto"/>
            </w:tcBorders>
            <w:shd w:val="clear" w:color="auto" w:fill="auto"/>
          </w:tcPr>
          <w:p w:rsidR="002F48EC" w:rsidRPr="00583E1A" w:rsidRDefault="002F48EC" w:rsidP="002F48EC">
            <w:pPr>
              <w:pStyle w:val="Tablea"/>
            </w:pPr>
            <w:r w:rsidRPr="00583E1A">
              <w:t>(a) first, for the purpose of working out, for the income year, the amount of your capital gain or capital loss from the CGT event, an amount that is not in the applicable functional currency is to be translated into the applicable functional currency; and</w:t>
            </w:r>
          </w:p>
          <w:p w:rsidR="002F48EC" w:rsidRPr="00583E1A" w:rsidRDefault="002F48EC" w:rsidP="00887330">
            <w:pPr>
              <w:pStyle w:val="Tablea"/>
            </w:pPr>
            <w:r w:rsidRPr="00583E1A">
              <w:t>(b) second, the amount of the capital gain or capital loss is to be translated into Australian currency.</w:t>
            </w:r>
          </w:p>
        </w:tc>
      </w:tr>
    </w:tbl>
    <w:p w:rsidR="00887330" w:rsidRPr="00583E1A" w:rsidRDefault="00887330" w:rsidP="00887330">
      <w:pPr>
        <w:pStyle w:val="notetext"/>
      </w:pPr>
      <w:r w:rsidRPr="00583E1A">
        <w:lastRenderedPageBreak/>
        <w:t>Note:</w:t>
      </w:r>
      <w:r w:rsidRPr="00583E1A">
        <w:tab/>
        <w:t>The attributable income of a controlled foreign company is calculated separately for each attributable taxpayer—see section</w:t>
      </w:r>
      <w:r w:rsidR="00583E1A">
        <w:t> </w:t>
      </w:r>
      <w:r w:rsidRPr="00583E1A">
        <w:t xml:space="preserve">381 of the </w:t>
      </w:r>
      <w:r w:rsidRPr="00583E1A">
        <w:rPr>
          <w:i/>
        </w:rPr>
        <w:t>Income Tax Assessment Act 1936</w:t>
      </w:r>
      <w:r w:rsidRPr="00583E1A">
        <w:t>.</w:t>
      </w:r>
    </w:p>
    <w:p w:rsidR="00887330" w:rsidRPr="00583E1A" w:rsidRDefault="00887330" w:rsidP="00887330">
      <w:pPr>
        <w:pStyle w:val="SubsectionHead"/>
      </w:pPr>
      <w:r w:rsidRPr="00583E1A">
        <w:t>Examples of an amount</w:t>
      </w:r>
    </w:p>
    <w:p w:rsidR="00887330" w:rsidRPr="00583E1A" w:rsidRDefault="00887330" w:rsidP="00887330">
      <w:pPr>
        <w:pStyle w:val="subsection"/>
      </w:pPr>
      <w:r w:rsidRPr="00583E1A">
        <w:tab/>
        <w:t>(2)</w:t>
      </w:r>
      <w:r w:rsidRPr="00583E1A">
        <w:tab/>
        <w:t>The following are examples of an amount:</w:t>
      </w:r>
    </w:p>
    <w:p w:rsidR="00887330" w:rsidRPr="00583E1A" w:rsidRDefault="00887330" w:rsidP="00887330">
      <w:pPr>
        <w:pStyle w:val="paragraph"/>
      </w:pPr>
      <w:r w:rsidRPr="00583E1A">
        <w:tab/>
        <w:t>(a)</w:t>
      </w:r>
      <w:r w:rsidRPr="00583E1A">
        <w:tab/>
        <w:t xml:space="preserve">an amount of </w:t>
      </w:r>
      <w:r w:rsidR="00583E1A" w:rsidRPr="00583E1A">
        <w:rPr>
          <w:position w:val="6"/>
          <w:sz w:val="16"/>
        </w:rPr>
        <w:t>*</w:t>
      </w:r>
      <w:r w:rsidRPr="00583E1A">
        <w:t>ordinary income;</w:t>
      </w:r>
    </w:p>
    <w:p w:rsidR="00887330" w:rsidRPr="00583E1A" w:rsidRDefault="00887330" w:rsidP="00887330">
      <w:pPr>
        <w:pStyle w:val="paragraph"/>
      </w:pPr>
      <w:r w:rsidRPr="00583E1A">
        <w:tab/>
        <w:t>(b)</w:t>
      </w:r>
      <w:r w:rsidRPr="00583E1A">
        <w:tab/>
        <w:t>an amount of an expense;</w:t>
      </w:r>
    </w:p>
    <w:p w:rsidR="00887330" w:rsidRPr="00583E1A" w:rsidRDefault="00887330" w:rsidP="00887330">
      <w:pPr>
        <w:pStyle w:val="paragraph"/>
      </w:pPr>
      <w:r w:rsidRPr="00583E1A">
        <w:tab/>
        <w:t>(c)</w:t>
      </w:r>
      <w:r w:rsidRPr="00583E1A">
        <w:tab/>
        <w:t>an amount of an obligation;</w:t>
      </w:r>
    </w:p>
    <w:p w:rsidR="00887330" w:rsidRPr="00583E1A" w:rsidRDefault="00887330" w:rsidP="00887330">
      <w:pPr>
        <w:pStyle w:val="paragraph"/>
      </w:pPr>
      <w:r w:rsidRPr="00583E1A">
        <w:tab/>
        <w:t>(d)</w:t>
      </w:r>
      <w:r w:rsidRPr="00583E1A">
        <w:tab/>
        <w:t>an amount of a liability;</w:t>
      </w:r>
    </w:p>
    <w:p w:rsidR="00887330" w:rsidRPr="00583E1A" w:rsidRDefault="00887330" w:rsidP="00887330">
      <w:pPr>
        <w:pStyle w:val="paragraph"/>
      </w:pPr>
      <w:r w:rsidRPr="00583E1A">
        <w:tab/>
        <w:t>(e)</w:t>
      </w:r>
      <w:r w:rsidRPr="00583E1A">
        <w:tab/>
        <w:t>an amount of a receipt;</w:t>
      </w:r>
    </w:p>
    <w:p w:rsidR="00887330" w:rsidRPr="00583E1A" w:rsidRDefault="00887330" w:rsidP="00887330">
      <w:pPr>
        <w:pStyle w:val="paragraph"/>
      </w:pPr>
      <w:r w:rsidRPr="00583E1A">
        <w:tab/>
        <w:t>(f)</w:t>
      </w:r>
      <w:r w:rsidRPr="00583E1A">
        <w:tab/>
        <w:t>an amount of a payment;</w:t>
      </w:r>
    </w:p>
    <w:p w:rsidR="00887330" w:rsidRPr="00583E1A" w:rsidRDefault="00887330" w:rsidP="00887330">
      <w:pPr>
        <w:pStyle w:val="paragraph"/>
      </w:pPr>
      <w:r w:rsidRPr="00583E1A">
        <w:tab/>
        <w:t>(g)</w:t>
      </w:r>
      <w:r w:rsidRPr="00583E1A">
        <w:tab/>
        <w:t>an amount of consideration;</w:t>
      </w:r>
    </w:p>
    <w:p w:rsidR="00887330" w:rsidRPr="00583E1A" w:rsidRDefault="00887330" w:rsidP="00887330">
      <w:pPr>
        <w:pStyle w:val="paragraph"/>
      </w:pPr>
      <w:r w:rsidRPr="00583E1A">
        <w:tab/>
        <w:t>(h)</w:t>
      </w:r>
      <w:r w:rsidRPr="00583E1A">
        <w:tab/>
        <w:t>a value;</w:t>
      </w:r>
    </w:p>
    <w:p w:rsidR="00887330" w:rsidRPr="00583E1A" w:rsidRDefault="00887330" w:rsidP="00887330">
      <w:pPr>
        <w:pStyle w:val="paragraph"/>
      </w:pPr>
      <w:r w:rsidRPr="00583E1A">
        <w:tab/>
        <w:t>(i)</w:t>
      </w:r>
      <w:r w:rsidRPr="00583E1A">
        <w:tab/>
        <w:t>a monetary limit or other amount set out in this Act or any other law of the Commonwealth.</w:t>
      </w:r>
    </w:p>
    <w:p w:rsidR="00887330" w:rsidRPr="00583E1A" w:rsidRDefault="00887330" w:rsidP="00887330">
      <w:pPr>
        <w:pStyle w:val="subsection"/>
      </w:pPr>
      <w:r w:rsidRPr="00583E1A">
        <w:tab/>
        <w:t>(3)</w:t>
      </w:r>
      <w:r w:rsidRPr="00583E1A">
        <w:tab/>
        <w:t xml:space="preserve">The amounts set out in </w:t>
      </w:r>
      <w:r w:rsidR="00583E1A">
        <w:t>paragraphs (</w:t>
      </w:r>
      <w:r w:rsidRPr="00583E1A">
        <w:t>2)(b) to (i) may be amounts on revenue account, capital account or otherwise.</w:t>
      </w:r>
    </w:p>
    <w:p w:rsidR="00887330" w:rsidRPr="00583E1A" w:rsidRDefault="00887330" w:rsidP="00887330">
      <w:pPr>
        <w:pStyle w:val="SubsectionHead"/>
      </w:pPr>
      <w:r w:rsidRPr="00583E1A">
        <w:t>Amounts that are elements in the calculation of other amounts</w:t>
      </w:r>
    </w:p>
    <w:p w:rsidR="00887330" w:rsidRPr="00583E1A" w:rsidRDefault="00887330" w:rsidP="00887330">
      <w:pPr>
        <w:pStyle w:val="subsection"/>
      </w:pPr>
      <w:r w:rsidRPr="00583E1A">
        <w:tab/>
        <w:t>(4)</w:t>
      </w:r>
      <w:r w:rsidRPr="00583E1A">
        <w:tab/>
        <w:t>In applying this section:</w:t>
      </w:r>
    </w:p>
    <w:p w:rsidR="00887330" w:rsidRPr="00583E1A" w:rsidRDefault="00887330" w:rsidP="00887330">
      <w:pPr>
        <w:pStyle w:val="paragraph"/>
      </w:pPr>
      <w:r w:rsidRPr="00583E1A">
        <w:tab/>
        <w:t>(a)</w:t>
      </w:r>
      <w:r w:rsidRPr="00583E1A">
        <w:tab/>
        <w:t xml:space="preserve">first, translate any amounts that are elements in the calculation of other amounts (except </w:t>
      </w:r>
      <w:r w:rsidR="00583E1A" w:rsidRPr="00583E1A">
        <w:rPr>
          <w:position w:val="6"/>
          <w:sz w:val="16"/>
        </w:rPr>
        <w:t>*</w:t>
      </w:r>
      <w:r w:rsidRPr="00583E1A">
        <w:t>special accrual amounts); and</w:t>
      </w:r>
    </w:p>
    <w:p w:rsidR="00887330" w:rsidRPr="00583E1A" w:rsidRDefault="00887330" w:rsidP="00887330">
      <w:pPr>
        <w:pStyle w:val="paragraph"/>
      </w:pPr>
      <w:r w:rsidRPr="00583E1A">
        <w:tab/>
        <w:t>(b)</w:t>
      </w:r>
      <w:r w:rsidRPr="00583E1A">
        <w:tab/>
        <w:t>then, calculate the other amounts.</w:t>
      </w:r>
    </w:p>
    <w:p w:rsidR="00887330" w:rsidRPr="00583E1A" w:rsidRDefault="00887330" w:rsidP="00887330">
      <w:pPr>
        <w:pStyle w:val="SubsectionHead"/>
      </w:pPr>
      <w:r w:rsidRPr="00583E1A">
        <w:t>Special accrual amounts</w:t>
      </w:r>
    </w:p>
    <w:p w:rsidR="00887330" w:rsidRPr="00583E1A" w:rsidRDefault="00887330" w:rsidP="00887330">
      <w:pPr>
        <w:pStyle w:val="subsection"/>
      </w:pPr>
      <w:r w:rsidRPr="00583E1A">
        <w:tab/>
        <w:t>(5)</w:t>
      </w:r>
      <w:r w:rsidRPr="00583E1A">
        <w:tab/>
        <w:t>In applying this section:</w:t>
      </w:r>
    </w:p>
    <w:p w:rsidR="00887330" w:rsidRPr="00583E1A" w:rsidRDefault="00887330" w:rsidP="00887330">
      <w:pPr>
        <w:pStyle w:val="paragraph"/>
      </w:pPr>
      <w:r w:rsidRPr="00583E1A">
        <w:tab/>
        <w:t>(a)</w:t>
      </w:r>
      <w:r w:rsidRPr="00583E1A">
        <w:tab/>
        <w:t xml:space="preserve">calculate a </w:t>
      </w:r>
      <w:r w:rsidR="00583E1A" w:rsidRPr="00583E1A">
        <w:rPr>
          <w:position w:val="6"/>
          <w:sz w:val="16"/>
        </w:rPr>
        <w:t>*</w:t>
      </w:r>
      <w:r w:rsidRPr="00583E1A">
        <w:t xml:space="preserve">special accrual amount without translation and without applying the first rule set out in the relevant item of the table in </w:t>
      </w:r>
      <w:r w:rsidR="00583E1A">
        <w:t>subsection (</w:t>
      </w:r>
      <w:r w:rsidRPr="00583E1A">
        <w:t>1); and</w:t>
      </w:r>
    </w:p>
    <w:p w:rsidR="00887330" w:rsidRPr="00583E1A" w:rsidRDefault="00887330" w:rsidP="00887330">
      <w:pPr>
        <w:pStyle w:val="paragraph"/>
      </w:pPr>
      <w:r w:rsidRPr="00583E1A">
        <w:tab/>
        <w:t>(b)</w:t>
      </w:r>
      <w:r w:rsidRPr="00583E1A">
        <w:tab/>
        <w:t xml:space="preserve">then, translate the special accrual amount to Australian currency for the purposes of applying the second rule set out in the relevant item of the table in </w:t>
      </w:r>
      <w:r w:rsidR="00583E1A">
        <w:t>subsection (</w:t>
      </w:r>
      <w:r w:rsidRPr="00583E1A">
        <w:t>1).</w:t>
      </w:r>
    </w:p>
    <w:p w:rsidR="00887330" w:rsidRPr="00583E1A" w:rsidRDefault="00887330" w:rsidP="00887330">
      <w:pPr>
        <w:pStyle w:val="SubsectionHead"/>
      </w:pPr>
      <w:r w:rsidRPr="00583E1A">
        <w:lastRenderedPageBreak/>
        <w:t>Special translation rules</w:t>
      </w:r>
    </w:p>
    <w:p w:rsidR="00887330" w:rsidRPr="00583E1A" w:rsidRDefault="00887330" w:rsidP="00887330">
      <w:pPr>
        <w:pStyle w:val="subsection"/>
      </w:pPr>
      <w:r w:rsidRPr="00583E1A">
        <w:tab/>
        <w:t>(6)</w:t>
      </w:r>
      <w:r w:rsidRPr="00583E1A">
        <w:tab/>
        <w:t>Subsection 960</w:t>
      </w:r>
      <w:r w:rsidR="00583E1A">
        <w:noBreakHyphen/>
      </w:r>
      <w:r w:rsidRPr="00583E1A">
        <w:t xml:space="preserve">50(6) has effect, in relation to the translation of an amount into the </w:t>
      </w:r>
      <w:r w:rsidR="00583E1A" w:rsidRPr="00583E1A">
        <w:rPr>
          <w:position w:val="6"/>
          <w:sz w:val="16"/>
        </w:rPr>
        <w:t>*</w:t>
      </w:r>
      <w:r w:rsidRPr="00583E1A">
        <w:t>applicable functional currency, as if each reference in that subsection to Australian currency were a reference to the applicable functional currency.</w:t>
      </w:r>
    </w:p>
    <w:p w:rsidR="00887330" w:rsidRPr="00583E1A" w:rsidRDefault="00887330" w:rsidP="00887330">
      <w:pPr>
        <w:pStyle w:val="SubsectionHead"/>
      </w:pPr>
      <w:r w:rsidRPr="00583E1A">
        <w:t>Regulations about translation</w:t>
      </w:r>
    </w:p>
    <w:p w:rsidR="00887330" w:rsidRPr="00583E1A" w:rsidRDefault="00887330" w:rsidP="00887330">
      <w:pPr>
        <w:pStyle w:val="subsection"/>
      </w:pPr>
      <w:r w:rsidRPr="00583E1A">
        <w:tab/>
        <w:t>(7)</w:t>
      </w:r>
      <w:r w:rsidRPr="00583E1A">
        <w:tab/>
        <w:t>An entity must comply with the regulations (if any) in translating an amount into:</w:t>
      </w:r>
    </w:p>
    <w:p w:rsidR="00887330" w:rsidRPr="00583E1A" w:rsidRDefault="00887330" w:rsidP="00887330">
      <w:pPr>
        <w:pStyle w:val="paragraph"/>
      </w:pPr>
      <w:r w:rsidRPr="00583E1A">
        <w:tab/>
        <w:t>(a)</w:t>
      </w:r>
      <w:r w:rsidRPr="00583E1A">
        <w:tab/>
        <w:t xml:space="preserve">the </w:t>
      </w:r>
      <w:r w:rsidR="00583E1A" w:rsidRPr="00583E1A">
        <w:rPr>
          <w:position w:val="6"/>
          <w:sz w:val="16"/>
        </w:rPr>
        <w:t>*</w:t>
      </w:r>
      <w:r w:rsidRPr="00583E1A">
        <w:t>applicable functional currency; or</w:t>
      </w:r>
    </w:p>
    <w:p w:rsidR="00887330" w:rsidRPr="00583E1A" w:rsidRDefault="00887330" w:rsidP="00887330">
      <w:pPr>
        <w:pStyle w:val="paragraph"/>
      </w:pPr>
      <w:r w:rsidRPr="00583E1A">
        <w:tab/>
        <w:t>(b)</w:t>
      </w:r>
      <w:r w:rsidRPr="00583E1A">
        <w:tab/>
        <w:t>Australian currency.</w:t>
      </w:r>
    </w:p>
    <w:p w:rsidR="00887330" w:rsidRPr="00583E1A" w:rsidRDefault="00887330" w:rsidP="00887330">
      <w:pPr>
        <w:pStyle w:val="notetext"/>
      </w:pPr>
      <w:r w:rsidRPr="00583E1A">
        <w:t>Note:</w:t>
      </w:r>
      <w:r w:rsidRPr="00583E1A">
        <w:tab/>
        <w:t>For example, the regulations could require the use of a particular translation method and require consistency in the use of the translation method.</w:t>
      </w:r>
    </w:p>
    <w:p w:rsidR="00887330" w:rsidRPr="00583E1A" w:rsidRDefault="00887330" w:rsidP="00887330">
      <w:pPr>
        <w:pStyle w:val="subsection"/>
      </w:pPr>
      <w:r w:rsidRPr="00583E1A">
        <w:tab/>
        <w:t>(8)</w:t>
      </w:r>
      <w:r w:rsidRPr="00583E1A">
        <w:tab/>
        <w:t xml:space="preserve">Regulations made for the purposes of </w:t>
      </w:r>
      <w:r w:rsidR="00583E1A">
        <w:t>subsection (</w:t>
      </w:r>
      <w:r w:rsidRPr="00583E1A">
        <w:t xml:space="preserve">7) may make provision in relation to a matter by applying, adopting or incorporating (with or without modifications) matter contained in any of the </w:t>
      </w:r>
      <w:r w:rsidR="00583E1A" w:rsidRPr="00583E1A">
        <w:rPr>
          <w:position w:val="6"/>
          <w:sz w:val="16"/>
        </w:rPr>
        <w:t>*</w:t>
      </w:r>
      <w:r w:rsidRPr="00583E1A">
        <w:t>accounting standards:</w:t>
      </w:r>
    </w:p>
    <w:p w:rsidR="00887330" w:rsidRPr="00583E1A" w:rsidRDefault="00887330" w:rsidP="00887330">
      <w:pPr>
        <w:pStyle w:val="paragraph"/>
      </w:pPr>
      <w:r w:rsidRPr="00583E1A">
        <w:tab/>
        <w:t>(a)</w:t>
      </w:r>
      <w:r w:rsidRPr="00583E1A">
        <w:tab/>
        <w:t>as in force or existing at a particular time; or</w:t>
      </w:r>
    </w:p>
    <w:p w:rsidR="00887330" w:rsidRPr="00583E1A" w:rsidRDefault="00887330" w:rsidP="00887330">
      <w:pPr>
        <w:pStyle w:val="paragraph"/>
      </w:pPr>
      <w:r w:rsidRPr="00583E1A">
        <w:tab/>
        <w:t>(b)</w:t>
      </w:r>
      <w:r w:rsidRPr="00583E1A">
        <w:tab/>
        <w:t>as in force or existing from time to time.</w:t>
      </w:r>
    </w:p>
    <w:p w:rsidR="00887330" w:rsidRPr="00583E1A" w:rsidRDefault="00887330" w:rsidP="00887330">
      <w:pPr>
        <w:pStyle w:val="ActHead5"/>
      </w:pPr>
      <w:bookmarkStart w:id="528" w:name="_Toc338939602"/>
      <w:r w:rsidRPr="00583E1A">
        <w:rPr>
          <w:rStyle w:val="CharSectno"/>
        </w:rPr>
        <w:t>960</w:t>
      </w:r>
      <w:r w:rsidR="00583E1A">
        <w:rPr>
          <w:rStyle w:val="CharSectno"/>
        </w:rPr>
        <w:noBreakHyphen/>
      </w:r>
      <w:r w:rsidRPr="00583E1A">
        <w:rPr>
          <w:rStyle w:val="CharSectno"/>
        </w:rPr>
        <w:t>85</w:t>
      </w:r>
      <w:r w:rsidRPr="00583E1A">
        <w:t xml:space="preserve">  Special rule about translation—events that happened before the current choice took effect</w:t>
      </w:r>
      <w:bookmarkEnd w:id="528"/>
    </w:p>
    <w:p w:rsidR="00887330" w:rsidRPr="00583E1A" w:rsidRDefault="00887330" w:rsidP="00887330">
      <w:pPr>
        <w:pStyle w:val="SubsectionHead"/>
      </w:pPr>
      <w:r w:rsidRPr="00583E1A">
        <w:t>Australian resident required to prepare financial reports under section</w:t>
      </w:r>
      <w:r w:rsidR="00583E1A">
        <w:t> </w:t>
      </w:r>
      <w:r w:rsidRPr="00583E1A">
        <w:t>292 of the Corporations Act 2001</w:t>
      </w:r>
    </w:p>
    <w:p w:rsidR="00887330" w:rsidRPr="00583E1A" w:rsidRDefault="00887330" w:rsidP="00887330">
      <w:pPr>
        <w:pStyle w:val="subsection"/>
      </w:pPr>
      <w:r w:rsidRPr="00583E1A">
        <w:tab/>
        <w:t>(1)</w:t>
      </w:r>
      <w:r w:rsidRPr="00583E1A">
        <w:tab/>
        <w:t>If:</w:t>
      </w:r>
    </w:p>
    <w:p w:rsidR="00887330" w:rsidRPr="00583E1A" w:rsidRDefault="00887330" w:rsidP="00887330">
      <w:pPr>
        <w:pStyle w:val="paragraph"/>
      </w:pPr>
      <w:r w:rsidRPr="00583E1A">
        <w:tab/>
        <w:t>(a)</w:t>
      </w:r>
      <w:r w:rsidRPr="00583E1A">
        <w:tab/>
        <w:t xml:space="preserve">as the result of a choice (the </w:t>
      </w:r>
      <w:r w:rsidRPr="00583E1A">
        <w:rPr>
          <w:b/>
          <w:i/>
        </w:rPr>
        <w:t>current choice</w:t>
      </w:r>
      <w:r w:rsidRPr="00583E1A">
        <w:t>) made by you under item</w:t>
      </w:r>
      <w:r w:rsidR="00583E1A">
        <w:t> </w:t>
      </w:r>
      <w:r w:rsidRPr="00583E1A">
        <w:t>1 of the table in subsection 960</w:t>
      </w:r>
      <w:r w:rsidR="00583E1A">
        <w:noBreakHyphen/>
      </w:r>
      <w:r w:rsidRPr="00583E1A">
        <w:t>60(1), subsection 960</w:t>
      </w:r>
      <w:r w:rsidR="00583E1A">
        <w:noBreakHyphen/>
      </w:r>
      <w:r w:rsidRPr="00583E1A">
        <w:t xml:space="preserve">80(1) requires that an amount be translated to the </w:t>
      </w:r>
      <w:r w:rsidR="00583E1A" w:rsidRPr="00583E1A">
        <w:rPr>
          <w:position w:val="6"/>
          <w:sz w:val="16"/>
        </w:rPr>
        <w:t>*</w:t>
      </w:r>
      <w:r w:rsidRPr="00583E1A">
        <w:t>applicable functional currency; and</w:t>
      </w:r>
    </w:p>
    <w:p w:rsidR="00887330" w:rsidRPr="00583E1A" w:rsidRDefault="00887330" w:rsidP="00887330">
      <w:pPr>
        <w:pStyle w:val="paragraph"/>
      </w:pPr>
      <w:r w:rsidRPr="00583E1A">
        <w:tab/>
        <w:t>(b)</w:t>
      </w:r>
      <w:r w:rsidRPr="00583E1A">
        <w:tab/>
        <w:t xml:space="preserve">the amount is attributable to an event that happened, or a state of affairs that came into existence, at a time (the </w:t>
      </w:r>
      <w:r w:rsidRPr="00583E1A">
        <w:rPr>
          <w:b/>
          <w:i/>
        </w:rPr>
        <w:t>event time</w:t>
      </w:r>
      <w:r w:rsidRPr="00583E1A">
        <w:t>) before the current choice took effect;</w:t>
      </w:r>
    </w:p>
    <w:p w:rsidR="00887330" w:rsidRPr="00583E1A" w:rsidRDefault="00887330" w:rsidP="00887330">
      <w:pPr>
        <w:pStyle w:val="subsection2"/>
      </w:pPr>
      <w:r w:rsidRPr="00583E1A">
        <w:t>the table has effect:</w:t>
      </w:r>
    </w:p>
    <w:p w:rsidR="00887330" w:rsidRPr="00583E1A" w:rsidRDefault="00887330" w:rsidP="00887330">
      <w:pPr>
        <w:pStyle w:val="Tabletext"/>
      </w:pPr>
    </w:p>
    <w:tbl>
      <w:tblPr>
        <w:tblW w:w="0" w:type="auto"/>
        <w:tblInd w:w="108" w:type="dxa"/>
        <w:tblLayout w:type="fixed"/>
        <w:tblLook w:val="0000" w:firstRow="0" w:lastRow="0" w:firstColumn="0" w:lastColumn="0" w:noHBand="0" w:noVBand="0"/>
      </w:tblPr>
      <w:tblGrid>
        <w:gridCol w:w="709"/>
        <w:gridCol w:w="3260"/>
        <w:gridCol w:w="3122"/>
      </w:tblGrid>
      <w:tr w:rsidR="00887330" w:rsidRPr="00583E1A">
        <w:trPr>
          <w:cantSplit/>
          <w:tblHeader/>
        </w:trPr>
        <w:tc>
          <w:tcPr>
            <w:tcW w:w="7091" w:type="dxa"/>
            <w:gridSpan w:val="3"/>
            <w:tcBorders>
              <w:top w:val="single" w:sz="12" w:space="0" w:color="auto"/>
              <w:bottom w:val="single" w:sz="6" w:space="0" w:color="auto"/>
            </w:tcBorders>
            <w:shd w:val="clear" w:color="auto" w:fill="auto"/>
          </w:tcPr>
          <w:p w:rsidR="00887330" w:rsidRPr="00583E1A" w:rsidRDefault="00887330" w:rsidP="00887330">
            <w:pPr>
              <w:pStyle w:val="Tabletext"/>
              <w:keepNext/>
              <w:rPr>
                <w:b/>
              </w:rPr>
            </w:pPr>
            <w:r w:rsidRPr="00583E1A">
              <w:rPr>
                <w:b/>
              </w:rPr>
              <w:lastRenderedPageBreak/>
              <w:t>Special rule about translation</w:t>
            </w:r>
          </w:p>
        </w:tc>
      </w:tr>
      <w:tr w:rsidR="00887330" w:rsidRPr="00583E1A">
        <w:trPr>
          <w:cantSplit/>
          <w:tblHeader/>
        </w:trPr>
        <w:tc>
          <w:tcPr>
            <w:tcW w:w="709" w:type="dxa"/>
            <w:tcBorders>
              <w:top w:val="single" w:sz="6" w:space="0" w:color="auto"/>
              <w:bottom w:val="single" w:sz="12" w:space="0" w:color="auto"/>
            </w:tcBorders>
            <w:shd w:val="clear" w:color="auto" w:fill="auto"/>
          </w:tcPr>
          <w:p w:rsidR="00887330" w:rsidRPr="00583E1A" w:rsidRDefault="00887330" w:rsidP="00887330">
            <w:pPr>
              <w:pStyle w:val="Tabletext"/>
              <w:keepNext/>
              <w:rPr>
                <w:b/>
              </w:rPr>
            </w:pPr>
            <w:r w:rsidRPr="00583E1A">
              <w:rPr>
                <w:b/>
              </w:rPr>
              <w:t>Item</w:t>
            </w:r>
          </w:p>
        </w:tc>
        <w:tc>
          <w:tcPr>
            <w:tcW w:w="3260" w:type="dxa"/>
            <w:tcBorders>
              <w:top w:val="single" w:sz="6" w:space="0" w:color="auto"/>
              <w:bottom w:val="single" w:sz="12" w:space="0" w:color="auto"/>
            </w:tcBorders>
            <w:shd w:val="clear" w:color="auto" w:fill="auto"/>
          </w:tcPr>
          <w:p w:rsidR="00887330" w:rsidRPr="00583E1A" w:rsidRDefault="00887330" w:rsidP="00887330">
            <w:pPr>
              <w:pStyle w:val="Tabletext"/>
              <w:keepNext/>
              <w:rPr>
                <w:b/>
              </w:rPr>
            </w:pPr>
            <w:r w:rsidRPr="00583E1A">
              <w:rPr>
                <w:b/>
              </w:rPr>
              <w:t>In this case...</w:t>
            </w:r>
          </w:p>
        </w:tc>
        <w:tc>
          <w:tcPr>
            <w:tcW w:w="3122" w:type="dxa"/>
            <w:tcBorders>
              <w:top w:val="single" w:sz="6" w:space="0" w:color="auto"/>
              <w:bottom w:val="single" w:sz="12" w:space="0" w:color="auto"/>
            </w:tcBorders>
            <w:shd w:val="clear" w:color="auto" w:fill="auto"/>
          </w:tcPr>
          <w:p w:rsidR="00887330" w:rsidRPr="00583E1A" w:rsidRDefault="00887330" w:rsidP="00887330">
            <w:pPr>
              <w:pStyle w:val="Tabletext"/>
              <w:keepNext/>
              <w:rPr>
                <w:b/>
              </w:rPr>
            </w:pPr>
            <w:r w:rsidRPr="00583E1A">
              <w:rPr>
                <w:b/>
              </w:rPr>
              <w:t>this is the result...</w:t>
            </w:r>
          </w:p>
        </w:tc>
      </w:tr>
      <w:tr w:rsidR="00887330" w:rsidRPr="00583E1A">
        <w:trPr>
          <w:cantSplit/>
        </w:trPr>
        <w:tc>
          <w:tcPr>
            <w:tcW w:w="709" w:type="dxa"/>
            <w:tcBorders>
              <w:top w:val="single" w:sz="12" w:space="0" w:color="auto"/>
              <w:bottom w:val="single" w:sz="2" w:space="0" w:color="auto"/>
            </w:tcBorders>
            <w:shd w:val="clear" w:color="auto" w:fill="auto"/>
          </w:tcPr>
          <w:p w:rsidR="00887330" w:rsidRPr="00583E1A" w:rsidRDefault="00887330" w:rsidP="00887330">
            <w:pPr>
              <w:pStyle w:val="Tabletext"/>
            </w:pPr>
            <w:r w:rsidRPr="00583E1A">
              <w:t>1</w:t>
            </w:r>
          </w:p>
        </w:tc>
        <w:tc>
          <w:tcPr>
            <w:tcW w:w="3260" w:type="dxa"/>
            <w:tcBorders>
              <w:top w:val="single" w:sz="12" w:space="0" w:color="auto"/>
              <w:bottom w:val="single" w:sz="2" w:space="0" w:color="auto"/>
            </w:tcBorders>
            <w:shd w:val="clear" w:color="auto" w:fill="auto"/>
          </w:tcPr>
          <w:p w:rsidR="00887330" w:rsidRPr="00583E1A" w:rsidRDefault="00887330" w:rsidP="00887330">
            <w:pPr>
              <w:pStyle w:val="Tabletext"/>
            </w:pPr>
            <w:r w:rsidRPr="00583E1A">
              <w:t>at the event time, no previous choice made by you under item</w:t>
            </w:r>
            <w:r w:rsidR="00583E1A">
              <w:t> </w:t>
            </w:r>
            <w:r w:rsidRPr="00583E1A">
              <w:t>1 of the table in subsection 960</w:t>
            </w:r>
            <w:r w:rsidR="00583E1A">
              <w:noBreakHyphen/>
            </w:r>
            <w:r w:rsidRPr="00583E1A">
              <w:t>60(1) was in effect</w:t>
            </w:r>
          </w:p>
        </w:tc>
        <w:tc>
          <w:tcPr>
            <w:tcW w:w="3122" w:type="dxa"/>
            <w:tcBorders>
              <w:top w:val="single" w:sz="12" w:space="0" w:color="auto"/>
              <w:bottom w:val="single" w:sz="2" w:space="0" w:color="auto"/>
            </w:tcBorders>
            <w:shd w:val="clear" w:color="auto" w:fill="auto"/>
          </w:tcPr>
          <w:p w:rsidR="00887330" w:rsidRPr="00583E1A" w:rsidRDefault="00887330" w:rsidP="00887330">
            <w:pPr>
              <w:pStyle w:val="Tabletext"/>
            </w:pPr>
            <w:r w:rsidRPr="00583E1A">
              <w:t xml:space="preserve">the amount is to be translated first to Australian currency at the exchange rate applicable at the event time, and then to the </w:t>
            </w:r>
            <w:r w:rsidR="00583E1A" w:rsidRPr="00583E1A">
              <w:rPr>
                <w:position w:val="6"/>
                <w:sz w:val="16"/>
              </w:rPr>
              <w:t>*</w:t>
            </w:r>
            <w:r w:rsidRPr="00583E1A">
              <w:t>applicable functional currency at the exchange rate applicable when the current choice took effect.</w:t>
            </w:r>
          </w:p>
        </w:tc>
      </w:tr>
      <w:tr w:rsidR="00887330" w:rsidRPr="00583E1A">
        <w:trPr>
          <w:cantSplit/>
        </w:trPr>
        <w:tc>
          <w:tcPr>
            <w:tcW w:w="709" w:type="dxa"/>
            <w:tcBorders>
              <w:top w:val="single" w:sz="2" w:space="0" w:color="auto"/>
              <w:bottom w:val="single" w:sz="12" w:space="0" w:color="auto"/>
            </w:tcBorders>
            <w:shd w:val="clear" w:color="auto" w:fill="auto"/>
          </w:tcPr>
          <w:p w:rsidR="00887330" w:rsidRPr="00583E1A" w:rsidRDefault="00887330" w:rsidP="00887330">
            <w:pPr>
              <w:pStyle w:val="Tabletext"/>
            </w:pPr>
            <w:r w:rsidRPr="00583E1A">
              <w:t>2</w:t>
            </w:r>
          </w:p>
        </w:tc>
        <w:tc>
          <w:tcPr>
            <w:tcW w:w="3260" w:type="dxa"/>
            <w:tcBorders>
              <w:top w:val="single" w:sz="2" w:space="0" w:color="auto"/>
              <w:bottom w:val="single" w:sz="12" w:space="0" w:color="auto"/>
            </w:tcBorders>
            <w:shd w:val="clear" w:color="auto" w:fill="auto"/>
          </w:tcPr>
          <w:p w:rsidR="00887330" w:rsidRPr="00583E1A" w:rsidRDefault="00887330" w:rsidP="00887330">
            <w:pPr>
              <w:pStyle w:val="Tabletext"/>
            </w:pPr>
            <w:r w:rsidRPr="00583E1A">
              <w:t>at the event time, a previous choice made by you under item</w:t>
            </w:r>
            <w:r w:rsidR="00583E1A">
              <w:t> </w:t>
            </w:r>
            <w:r w:rsidRPr="00583E1A">
              <w:t>1 of the table in subsection 960</w:t>
            </w:r>
            <w:r w:rsidR="00583E1A">
              <w:noBreakHyphen/>
            </w:r>
            <w:r w:rsidRPr="00583E1A">
              <w:t>60(1) was in effect</w:t>
            </w:r>
          </w:p>
        </w:tc>
        <w:tc>
          <w:tcPr>
            <w:tcW w:w="3122" w:type="dxa"/>
            <w:tcBorders>
              <w:top w:val="single" w:sz="2" w:space="0" w:color="auto"/>
              <w:bottom w:val="single" w:sz="12" w:space="0" w:color="auto"/>
            </w:tcBorders>
            <w:shd w:val="clear" w:color="auto" w:fill="auto"/>
          </w:tcPr>
          <w:p w:rsidR="00887330" w:rsidRPr="00583E1A" w:rsidRDefault="00887330" w:rsidP="00887330">
            <w:pPr>
              <w:pStyle w:val="Tabletext"/>
            </w:pPr>
            <w:r w:rsidRPr="00583E1A">
              <w:t xml:space="preserve">the amount is to be translated first to the previous </w:t>
            </w:r>
            <w:r w:rsidR="00583E1A" w:rsidRPr="00583E1A">
              <w:rPr>
                <w:position w:val="6"/>
                <w:sz w:val="16"/>
              </w:rPr>
              <w:t>*</w:t>
            </w:r>
            <w:r w:rsidRPr="00583E1A">
              <w:t>applicable functional currency at the exchange rate applicable at the event time, and then to the current applicable functional currency at the exchange rate applicable when the current choice took effect.</w:t>
            </w:r>
          </w:p>
        </w:tc>
      </w:tr>
    </w:tbl>
    <w:p w:rsidR="00887330" w:rsidRPr="00583E1A" w:rsidRDefault="00887330" w:rsidP="00887330">
      <w:pPr>
        <w:pStyle w:val="SubsectionHead"/>
      </w:pPr>
      <w:r w:rsidRPr="00583E1A">
        <w:t>Permanent establishment, offshore banking unit, CFC or transferor trust</w:t>
      </w:r>
    </w:p>
    <w:p w:rsidR="00887330" w:rsidRPr="00583E1A" w:rsidRDefault="00887330" w:rsidP="00887330">
      <w:pPr>
        <w:pStyle w:val="subsection"/>
      </w:pPr>
      <w:r w:rsidRPr="00583E1A">
        <w:tab/>
        <w:t>(2)</w:t>
      </w:r>
      <w:r w:rsidRPr="00583E1A">
        <w:tab/>
        <w:t>If:</w:t>
      </w:r>
    </w:p>
    <w:p w:rsidR="00887330" w:rsidRPr="00583E1A" w:rsidRDefault="00887330" w:rsidP="00887330">
      <w:pPr>
        <w:pStyle w:val="paragraph"/>
      </w:pPr>
      <w:r w:rsidRPr="00583E1A">
        <w:tab/>
        <w:t>(a)</w:t>
      </w:r>
      <w:r w:rsidRPr="00583E1A">
        <w:tab/>
        <w:t xml:space="preserve">as the result of a choice (the </w:t>
      </w:r>
      <w:r w:rsidRPr="00583E1A">
        <w:rPr>
          <w:b/>
          <w:i/>
        </w:rPr>
        <w:t>current choice</w:t>
      </w:r>
      <w:r w:rsidRPr="00583E1A">
        <w:t>) made by you under item</w:t>
      </w:r>
      <w:r w:rsidR="00583E1A">
        <w:t> </w:t>
      </w:r>
      <w:r w:rsidRPr="00583E1A">
        <w:t>2, 3, 4 or 5 of the table in subsection 960</w:t>
      </w:r>
      <w:r w:rsidR="00583E1A">
        <w:noBreakHyphen/>
      </w:r>
      <w:r w:rsidRPr="00583E1A">
        <w:t>60(1), subsection 960</w:t>
      </w:r>
      <w:r w:rsidR="00583E1A">
        <w:noBreakHyphen/>
      </w:r>
      <w:r w:rsidRPr="00583E1A">
        <w:t xml:space="preserve">80(1) requires that an amount be translated to the </w:t>
      </w:r>
      <w:r w:rsidR="00583E1A" w:rsidRPr="00583E1A">
        <w:rPr>
          <w:position w:val="6"/>
          <w:sz w:val="16"/>
        </w:rPr>
        <w:t>*</w:t>
      </w:r>
      <w:r w:rsidRPr="00583E1A">
        <w:t>applicable functional currency; and</w:t>
      </w:r>
    </w:p>
    <w:p w:rsidR="00887330" w:rsidRPr="00583E1A" w:rsidRDefault="00887330" w:rsidP="00887330">
      <w:pPr>
        <w:pStyle w:val="paragraph"/>
      </w:pPr>
      <w:r w:rsidRPr="00583E1A">
        <w:tab/>
        <w:t>(b)</w:t>
      </w:r>
      <w:r w:rsidRPr="00583E1A">
        <w:tab/>
        <w:t xml:space="preserve">the amount is attributable to an event that happened, or a state of affairs that came into existence, at a time (the </w:t>
      </w:r>
      <w:r w:rsidRPr="00583E1A">
        <w:rPr>
          <w:b/>
          <w:i/>
        </w:rPr>
        <w:t>event time</w:t>
      </w:r>
      <w:r w:rsidRPr="00583E1A">
        <w:t>) before the current choice took effect;</w:t>
      </w:r>
    </w:p>
    <w:p w:rsidR="00887330" w:rsidRPr="00583E1A" w:rsidRDefault="00887330" w:rsidP="00887330">
      <w:pPr>
        <w:pStyle w:val="subsection2"/>
      </w:pPr>
      <w:r w:rsidRPr="00583E1A">
        <w:t>the table has effect:</w:t>
      </w:r>
    </w:p>
    <w:p w:rsidR="00887330" w:rsidRPr="00583E1A" w:rsidRDefault="00887330" w:rsidP="00887330">
      <w:pPr>
        <w:pStyle w:val="Tabletext"/>
      </w:pPr>
    </w:p>
    <w:tbl>
      <w:tblPr>
        <w:tblW w:w="0" w:type="auto"/>
        <w:tblInd w:w="108" w:type="dxa"/>
        <w:tblLayout w:type="fixed"/>
        <w:tblLook w:val="0000" w:firstRow="0" w:lastRow="0" w:firstColumn="0" w:lastColumn="0" w:noHBand="0" w:noVBand="0"/>
      </w:tblPr>
      <w:tblGrid>
        <w:gridCol w:w="709"/>
        <w:gridCol w:w="3260"/>
        <w:gridCol w:w="3122"/>
      </w:tblGrid>
      <w:tr w:rsidR="00887330" w:rsidRPr="00583E1A">
        <w:trPr>
          <w:cantSplit/>
          <w:tblHeader/>
        </w:trPr>
        <w:tc>
          <w:tcPr>
            <w:tcW w:w="7091" w:type="dxa"/>
            <w:gridSpan w:val="3"/>
            <w:tcBorders>
              <w:top w:val="single" w:sz="12" w:space="0" w:color="auto"/>
              <w:bottom w:val="single" w:sz="6" w:space="0" w:color="auto"/>
            </w:tcBorders>
            <w:shd w:val="clear" w:color="auto" w:fill="auto"/>
          </w:tcPr>
          <w:p w:rsidR="00887330" w:rsidRPr="00583E1A" w:rsidRDefault="00887330" w:rsidP="00887330">
            <w:pPr>
              <w:pStyle w:val="Tabletext"/>
              <w:keepNext/>
              <w:rPr>
                <w:b/>
              </w:rPr>
            </w:pPr>
            <w:r w:rsidRPr="00583E1A">
              <w:rPr>
                <w:b/>
              </w:rPr>
              <w:lastRenderedPageBreak/>
              <w:t>Special rule about translation</w:t>
            </w:r>
          </w:p>
        </w:tc>
      </w:tr>
      <w:tr w:rsidR="00887330" w:rsidRPr="00583E1A">
        <w:trPr>
          <w:cantSplit/>
          <w:tblHeader/>
        </w:trPr>
        <w:tc>
          <w:tcPr>
            <w:tcW w:w="709" w:type="dxa"/>
            <w:tcBorders>
              <w:top w:val="single" w:sz="6" w:space="0" w:color="auto"/>
              <w:bottom w:val="single" w:sz="12" w:space="0" w:color="auto"/>
            </w:tcBorders>
            <w:shd w:val="clear" w:color="auto" w:fill="auto"/>
          </w:tcPr>
          <w:p w:rsidR="00887330" w:rsidRPr="00583E1A" w:rsidRDefault="00887330" w:rsidP="00887330">
            <w:pPr>
              <w:pStyle w:val="Tabletext"/>
              <w:keepNext/>
              <w:rPr>
                <w:b/>
              </w:rPr>
            </w:pPr>
            <w:r w:rsidRPr="00583E1A">
              <w:rPr>
                <w:b/>
              </w:rPr>
              <w:t>Item</w:t>
            </w:r>
          </w:p>
        </w:tc>
        <w:tc>
          <w:tcPr>
            <w:tcW w:w="3260" w:type="dxa"/>
            <w:tcBorders>
              <w:top w:val="single" w:sz="6" w:space="0" w:color="auto"/>
              <w:bottom w:val="single" w:sz="12" w:space="0" w:color="auto"/>
            </w:tcBorders>
            <w:shd w:val="clear" w:color="auto" w:fill="auto"/>
          </w:tcPr>
          <w:p w:rsidR="00887330" w:rsidRPr="00583E1A" w:rsidRDefault="00887330" w:rsidP="00887330">
            <w:pPr>
              <w:pStyle w:val="Tabletext"/>
              <w:keepNext/>
              <w:rPr>
                <w:b/>
              </w:rPr>
            </w:pPr>
            <w:r w:rsidRPr="00583E1A">
              <w:rPr>
                <w:b/>
              </w:rPr>
              <w:t>In this case...</w:t>
            </w:r>
          </w:p>
        </w:tc>
        <w:tc>
          <w:tcPr>
            <w:tcW w:w="3122" w:type="dxa"/>
            <w:tcBorders>
              <w:top w:val="single" w:sz="6" w:space="0" w:color="auto"/>
              <w:bottom w:val="single" w:sz="12" w:space="0" w:color="auto"/>
            </w:tcBorders>
            <w:shd w:val="clear" w:color="auto" w:fill="auto"/>
          </w:tcPr>
          <w:p w:rsidR="00887330" w:rsidRPr="00583E1A" w:rsidRDefault="00887330" w:rsidP="00887330">
            <w:pPr>
              <w:pStyle w:val="Tabletext"/>
              <w:keepNext/>
              <w:rPr>
                <w:b/>
              </w:rPr>
            </w:pPr>
            <w:r w:rsidRPr="00583E1A">
              <w:rPr>
                <w:b/>
              </w:rPr>
              <w:t>this is the result...</w:t>
            </w:r>
          </w:p>
        </w:tc>
      </w:tr>
      <w:tr w:rsidR="00887330" w:rsidRPr="00583E1A">
        <w:trPr>
          <w:cantSplit/>
        </w:trPr>
        <w:tc>
          <w:tcPr>
            <w:tcW w:w="709" w:type="dxa"/>
            <w:tcBorders>
              <w:top w:val="single" w:sz="12" w:space="0" w:color="auto"/>
              <w:bottom w:val="single" w:sz="2" w:space="0" w:color="auto"/>
            </w:tcBorders>
            <w:shd w:val="clear" w:color="auto" w:fill="auto"/>
          </w:tcPr>
          <w:p w:rsidR="00887330" w:rsidRPr="00583E1A" w:rsidRDefault="00887330" w:rsidP="00887330">
            <w:pPr>
              <w:pStyle w:val="Tabletext"/>
            </w:pPr>
            <w:r w:rsidRPr="00583E1A">
              <w:t>1</w:t>
            </w:r>
          </w:p>
        </w:tc>
        <w:tc>
          <w:tcPr>
            <w:tcW w:w="3260" w:type="dxa"/>
            <w:tcBorders>
              <w:top w:val="single" w:sz="12" w:space="0" w:color="auto"/>
              <w:bottom w:val="single" w:sz="2" w:space="0" w:color="auto"/>
            </w:tcBorders>
            <w:shd w:val="clear" w:color="auto" w:fill="auto"/>
          </w:tcPr>
          <w:p w:rsidR="00887330" w:rsidRPr="00583E1A" w:rsidRDefault="00887330" w:rsidP="00887330">
            <w:pPr>
              <w:pStyle w:val="Tabletext"/>
            </w:pPr>
            <w:r w:rsidRPr="00583E1A">
              <w:t>at the event time, no previous choice made by you under section</w:t>
            </w:r>
            <w:r w:rsidR="00583E1A">
              <w:t> </w:t>
            </w:r>
            <w:r w:rsidRPr="00583E1A">
              <w:t>960</w:t>
            </w:r>
            <w:r w:rsidR="00583E1A">
              <w:noBreakHyphen/>
            </w:r>
            <w:r w:rsidRPr="00583E1A">
              <w:t>60 in relation to the establishment, unit, CFC or trust was in effect</w:t>
            </w:r>
          </w:p>
        </w:tc>
        <w:tc>
          <w:tcPr>
            <w:tcW w:w="3122" w:type="dxa"/>
            <w:tcBorders>
              <w:top w:val="single" w:sz="12" w:space="0" w:color="auto"/>
              <w:bottom w:val="single" w:sz="2" w:space="0" w:color="auto"/>
            </w:tcBorders>
            <w:shd w:val="clear" w:color="auto" w:fill="auto"/>
          </w:tcPr>
          <w:p w:rsidR="00887330" w:rsidRPr="00583E1A" w:rsidRDefault="00887330" w:rsidP="00887330">
            <w:pPr>
              <w:pStyle w:val="Tabletext"/>
            </w:pPr>
            <w:r w:rsidRPr="00583E1A">
              <w:t xml:space="preserve">the amount is to be translated first to Australian currency at the exchange rate applicable at the event time, and then to the </w:t>
            </w:r>
            <w:r w:rsidR="00583E1A" w:rsidRPr="00583E1A">
              <w:rPr>
                <w:position w:val="6"/>
                <w:sz w:val="16"/>
              </w:rPr>
              <w:t>*</w:t>
            </w:r>
            <w:r w:rsidRPr="00583E1A">
              <w:t>applicable functional currency at the exchange rate applicable when the current choice took effect.</w:t>
            </w:r>
          </w:p>
        </w:tc>
      </w:tr>
      <w:tr w:rsidR="00887330" w:rsidRPr="00583E1A">
        <w:trPr>
          <w:cantSplit/>
        </w:trPr>
        <w:tc>
          <w:tcPr>
            <w:tcW w:w="709" w:type="dxa"/>
            <w:tcBorders>
              <w:top w:val="single" w:sz="2" w:space="0" w:color="auto"/>
              <w:bottom w:val="single" w:sz="12" w:space="0" w:color="auto"/>
            </w:tcBorders>
            <w:shd w:val="clear" w:color="auto" w:fill="auto"/>
          </w:tcPr>
          <w:p w:rsidR="00887330" w:rsidRPr="00583E1A" w:rsidRDefault="00887330" w:rsidP="00887330">
            <w:pPr>
              <w:pStyle w:val="Tabletext"/>
            </w:pPr>
            <w:r w:rsidRPr="00583E1A">
              <w:t>2</w:t>
            </w:r>
          </w:p>
        </w:tc>
        <w:tc>
          <w:tcPr>
            <w:tcW w:w="3260" w:type="dxa"/>
            <w:tcBorders>
              <w:top w:val="single" w:sz="2" w:space="0" w:color="auto"/>
              <w:bottom w:val="single" w:sz="12" w:space="0" w:color="auto"/>
            </w:tcBorders>
            <w:shd w:val="clear" w:color="auto" w:fill="auto"/>
          </w:tcPr>
          <w:p w:rsidR="00887330" w:rsidRPr="00583E1A" w:rsidRDefault="00887330" w:rsidP="00887330">
            <w:pPr>
              <w:pStyle w:val="Tabletext"/>
            </w:pPr>
            <w:r w:rsidRPr="00583E1A">
              <w:t>at the event time, a previous choice made by you under section</w:t>
            </w:r>
            <w:r w:rsidR="00583E1A">
              <w:t> </w:t>
            </w:r>
            <w:r w:rsidRPr="00583E1A">
              <w:t>960</w:t>
            </w:r>
            <w:r w:rsidR="00583E1A">
              <w:noBreakHyphen/>
            </w:r>
            <w:r w:rsidRPr="00583E1A">
              <w:t>60 in relation to the establishment, unit, CFC or trust was in effect</w:t>
            </w:r>
          </w:p>
        </w:tc>
        <w:tc>
          <w:tcPr>
            <w:tcW w:w="3122" w:type="dxa"/>
            <w:tcBorders>
              <w:top w:val="single" w:sz="2" w:space="0" w:color="auto"/>
              <w:bottom w:val="single" w:sz="12" w:space="0" w:color="auto"/>
            </w:tcBorders>
            <w:shd w:val="clear" w:color="auto" w:fill="auto"/>
          </w:tcPr>
          <w:p w:rsidR="00887330" w:rsidRPr="00583E1A" w:rsidRDefault="00887330" w:rsidP="00887330">
            <w:pPr>
              <w:pStyle w:val="Tabletext"/>
            </w:pPr>
            <w:r w:rsidRPr="00583E1A">
              <w:t xml:space="preserve">the amount is to be translated first to the previous </w:t>
            </w:r>
            <w:r w:rsidR="00583E1A" w:rsidRPr="00583E1A">
              <w:rPr>
                <w:position w:val="6"/>
                <w:sz w:val="16"/>
              </w:rPr>
              <w:t>*</w:t>
            </w:r>
            <w:r w:rsidRPr="00583E1A">
              <w:t>applicable functional currency at the exchange rate applicable at the event time, and then to the current applicable functional currency at the exchange rate applicable when the current choice took effect.</w:t>
            </w:r>
          </w:p>
        </w:tc>
      </w:tr>
    </w:tbl>
    <w:p w:rsidR="00887330" w:rsidRPr="00583E1A" w:rsidRDefault="00887330" w:rsidP="00887330">
      <w:pPr>
        <w:pStyle w:val="ActHead5"/>
      </w:pPr>
      <w:bookmarkStart w:id="529" w:name="_Toc338939603"/>
      <w:r w:rsidRPr="00583E1A">
        <w:rPr>
          <w:rStyle w:val="CharSectno"/>
        </w:rPr>
        <w:t>960</w:t>
      </w:r>
      <w:r w:rsidR="00583E1A">
        <w:rPr>
          <w:rStyle w:val="CharSectno"/>
        </w:rPr>
        <w:noBreakHyphen/>
      </w:r>
      <w:r w:rsidRPr="00583E1A">
        <w:rPr>
          <w:rStyle w:val="CharSectno"/>
        </w:rPr>
        <w:t>90</w:t>
      </w:r>
      <w:r w:rsidRPr="00583E1A">
        <w:t xml:space="preserve">  Withdrawal of choice</w:t>
      </w:r>
      <w:bookmarkEnd w:id="529"/>
    </w:p>
    <w:p w:rsidR="00887330" w:rsidRPr="00583E1A" w:rsidRDefault="00887330" w:rsidP="00887330">
      <w:pPr>
        <w:pStyle w:val="subsection"/>
      </w:pPr>
      <w:r w:rsidRPr="00583E1A">
        <w:tab/>
        <w:t>(1)</w:t>
      </w:r>
      <w:r w:rsidRPr="00583E1A">
        <w:tab/>
        <w:t>The table has effect if you have made a choice under section</w:t>
      </w:r>
      <w:r w:rsidR="00583E1A">
        <w:t> </w:t>
      </w:r>
      <w:r w:rsidRPr="00583E1A">
        <w:t>960</w:t>
      </w:r>
      <w:r w:rsidR="00583E1A">
        <w:noBreakHyphen/>
      </w:r>
      <w:r w:rsidRPr="00583E1A">
        <w:t>60:</w:t>
      </w:r>
    </w:p>
    <w:p w:rsidR="00887330" w:rsidRPr="00583E1A" w:rsidRDefault="00887330" w:rsidP="00887330">
      <w:pPr>
        <w:pStyle w:val="Tabletext"/>
      </w:pPr>
    </w:p>
    <w:tbl>
      <w:tblPr>
        <w:tblW w:w="0" w:type="auto"/>
        <w:tblInd w:w="108" w:type="dxa"/>
        <w:tblLayout w:type="fixed"/>
        <w:tblLook w:val="0000" w:firstRow="0" w:lastRow="0" w:firstColumn="0" w:lastColumn="0" w:noHBand="0" w:noVBand="0"/>
      </w:tblPr>
      <w:tblGrid>
        <w:gridCol w:w="709"/>
        <w:gridCol w:w="3260"/>
        <w:gridCol w:w="3119"/>
      </w:tblGrid>
      <w:tr w:rsidR="00887330" w:rsidRPr="00583E1A">
        <w:trPr>
          <w:cantSplit/>
          <w:tblHeader/>
        </w:trPr>
        <w:tc>
          <w:tcPr>
            <w:tcW w:w="7088" w:type="dxa"/>
            <w:gridSpan w:val="3"/>
            <w:tcBorders>
              <w:top w:val="single" w:sz="12" w:space="0" w:color="auto"/>
              <w:bottom w:val="single" w:sz="6" w:space="0" w:color="auto"/>
            </w:tcBorders>
            <w:shd w:val="clear" w:color="auto" w:fill="auto"/>
          </w:tcPr>
          <w:p w:rsidR="00887330" w:rsidRPr="00583E1A" w:rsidRDefault="00887330" w:rsidP="00887330">
            <w:pPr>
              <w:pStyle w:val="Tabletext"/>
              <w:keepNext/>
              <w:rPr>
                <w:b/>
              </w:rPr>
            </w:pPr>
            <w:r w:rsidRPr="00583E1A">
              <w:rPr>
                <w:b/>
              </w:rPr>
              <w:t>Withdrawal</w:t>
            </w:r>
          </w:p>
        </w:tc>
      </w:tr>
      <w:tr w:rsidR="00887330" w:rsidRPr="00583E1A">
        <w:trPr>
          <w:cantSplit/>
          <w:tblHeader/>
        </w:trPr>
        <w:tc>
          <w:tcPr>
            <w:tcW w:w="709" w:type="dxa"/>
            <w:tcBorders>
              <w:top w:val="single" w:sz="6" w:space="0" w:color="auto"/>
              <w:bottom w:val="single" w:sz="12" w:space="0" w:color="auto"/>
            </w:tcBorders>
            <w:shd w:val="clear" w:color="auto" w:fill="auto"/>
          </w:tcPr>
          <w:p w:rsidR="00887330" w:rsidRPr="00583E1A" w:rsidRDefault="00887330" w:rsidP="00887330">
            <w:pPr>
              <w:pStyle w:val="Tabletext"/>
              <w:keepNext/>
              <w:rPr>
                <w:b/>
              </w:rPr>
            </w:pPr>
            <w:r w:rsidRPr="00583E1A">
              <w:rPr>
                <w:b/>
              </w:rPr>
              <w:t>Item</w:t>
            </w:r>
          </w:p>
        </w:tc>
        <w:tc>
          <w:tcPr>
            <w:tcW w:w="3260" w:type="dxa"/>
            <w:tcBorders>
              <w:top w:val="single" w:sz="6" w:space="0" w:color="auto"/>
              <w:bottom w:val="single" w:sz="12" w:space="0" w:color="auto"/>
            </w:tcBorders>
            <w:shd w:val="clear" w:color="auto" w:fill="auto"/>
          </w:tcPr>
          <w:p w:rsidR="00887330" w:rsidRPr="00583E1A" w:rsidRDefault="00887330" w:rsidP="00887330">
            <w:pPr>
              <w:pStyle w:val="Tabletext"/>
              <w:keepNext/>
              <w:rPr>
                <w:b/>
              </w:rPr>
            </w:pPr>
            <w:r w:rsidRPr="00583E1A">
              <w:rPr>
                <w:b/>
              </w:rPr>
              <w:t>In this case:</w:t>
            </w:r>
          </w:p>
        </w:tc>
        <w:tc>
          <w:tcPr>
            <w:tcW w:w="3119" w:type="dxa"/>
            <w:tcBorders>
              <w:top w:val="single" w:sz="6" w:space="0" w:color="auto"/>
              <w:bottom w:val="single" w:sz="12" w:space="0" w:color="auto"/>
            </w:tcBorders>
            <w:shd w:val="clear" w:color="auto" w:fill="auto"/>
          </w:tcPr>
          <w:p w:rsidR="00887330" w:rsidRPr="00583E1A" w:rsidRDefault="00887330" w:rsidP="00887330">
            <w:pPr>
              <w:pStyle w:val="Tabletext"/>
              <w:keepNext/>
              <w:rPr>
                <w:b/>
              </w:rPr>
            </w:pPr>
            <w:r w:rsidRPr="00583E1A">
              <w:rPr>
                <w:b/>
              </w:rPr>
              <w:t>you may withdraw your choice with effect from immediately after the end of...</w:t>
            </w:r>
          </w:p>
        </w:tc>
      </w:tr>
      <w:tr w:rsidR="00887330" w:rsidRPr="00583E1A">
        <w:trPr>
          <w:cantSplit/>
        </w:trPr>
        <w:tc>
          <w:tcPr>
            <w:tcW w:w="709" w:type="dxa"/>
            <w:tcBorders>
              <w:top w:val="single" w:sz="12" w:space="0" w:color="auto"/>
              <w:bottom w:val="single" w:sz="2" w:space="0" w:color="auto"/>
            </w:tcBorders>
            <w:shd w:val="clear" w:color="auto" w:fill="auto"/>
          </w:tcPr>
          <w:p w:rsidR="00887330" w:rsidRPr="00583E1A" w:rsidRDefault="00887330" w:rsidP="00887330">
            <w:pPr>
              <w:pStyle w:val="Tabletext"/>
            </w:pPr>
            <w:r w:rsidRPr="00583E1A">
              <w:t>1</w:t>
            </w:r>
          </w:p>
        </w:tc>
        <w:tc>
          <w:tcPr>
            <w:tcW w:w="3260" w:type="dxa"/>
            <w:tcBorders>
              <w:top w:val="single" w:sz="12" w:space="0" w:color="auto"/>
              <w:bottom w:val="single" w:sz="2" w:space="0" w:color="auto"/>
            </w:tcBorders>
            <w:shd w:val="clear" w:color="auto" w:fill="auto"/>
          </w:tcPr>
          <w:p w:rsidR="00887330" w:rsidRPr="00583E1A" w:rsidRDefault="00887330" w:rsidP="00887330">
            <w:pPr>
              <w:pStyle w:val="Tablea"/>
            </w:pPr>
            <w:r w:rsidRPr="00583E1A">
              <w:t>(a) you are an Australian resident who is required to prepare financial reports under section</w:t>
            </w:r>
            <w:r w:rsidR="00583E1A">
              <w:t> </w:t>
            </w:r>
            <w:r w:rsidRPr="00583E1A">
              <w:t xml:space="preserve">292 of the </w:t>
            </w:r>
            <w:r w:rsidRPr="00583E1A">
              <w:rPr>
                <w:i/>
              </w:rPr>
              <w:t>Corporations Act 2001</w:t>
            </w:r>
            <w:r w:rsidRPr="00583E1A">
              <w:t>; and</w:t>
            </w:r>
          </w:p>
          <w:p w:rsidR="00887330" w:rsidRPr="00583E1A" w:rsidRDefault="00887330" w:rsidP="00887330">
            <w:pPr>
              <w:pStyle w:val="Tablea"/>
            </w:pPr>
            <w:r w:rsidRPr="00583E1A">
              <w:t xml:space="preserve">(b) your </w:t>
            </w:r>
            <w:r w:rsidR="00583E1A" w:rsidRPr="00583E1A">
              <w:rPr>
                <w:position w:val="6"/>
                <w:sz w:val="16"/>
              </w:rPr>
              <w:t>*</w:t>
            </w:r>
            <w:r w:rsidRPr="00583E1A">
              <w:t>applicable functional currency has ceased to be the sole or predominant currency in which you keep your accounts (within the meaning of section</w:t>
            </w:r>
            <w:r w:rsidR="00583E1A">
              <w:t> </w:t>
            </w:r>
            <w:r w:rsidRPr="00583E1A">
              <w:t>960</w:t>
            </w:r>
            <w:r w:rsidR="00583E1A">
              <w:noBreakHyphen/>
            </w:r>
            <w:r w:rsidRPr="00583E1A">
              <w:t>70)</w:t>
            </w:r>
          </w:p>
        </w:tc>
        <w:tc>
          <w:tcPr>
            <w:tcW w:w="3119" w:type="dxa"/>
            <w:tcBorders>
              <w:top w:val="single" w:sz="12" w:space="0" w:color="auto"/>
              <w:bottom w:val="single" w:sz="2" w:space="0" w:color="auto"/>
            </w:tcBorders>
            <w:shd w:val="clear" w:color="auto" w:fill="auto"/>
          </w:tcPr>
          <w:p w:rsidR="00887330" w:rsidRPr="00583E1A" w:rsidRDefault="00887330" w:rsidP="00887330">
            <w:pPr>
              <w:pStyle w:val="Tabletext"/>
            </w:pPr>
            <w:r w:rsidRPr="00583E1A">
              <w:t>the income year in which you withdraw your choice.</w:t>
            </w:r>
          </w:p>
        </w:tc>
      </w:tr>
      <w:tr w:rsidR="00887330" w:rsidRPr="00583E1A">
        <w:trPr>
          <w:cantSplit/>
        </w:trPr>
        <w:tc>
          <w:tcPr>
            <w:tcW w:w="709" w:type="dxa"/>
            <w:tcBorders>
              <w:top w:val="single" w:sz="2" w:space="0" w:color="auto"/>
              <w:bottom w:val="single" w:sz="2" w:space="0" w:color="auto"/>
            </w:tcBorders>
            <w:shd w:val="clear" w:color="auto" w:fill="auto"/>
          </w:tcPr>
          <w:p w:rsidR="00887330" w:rsidRPr="00583E1A" w:rsidRDefault="00887330" w:rsidP="00887330">
            <w:pPr>
              <w:pStyle w:val="Tabletext"/>
            </w:pPr>
            <w:r w:rsidRPr="00583E1A">
              <w:lastRenderedPageBreak/>
              <w:t>2</w:t>
            </w:r>
          </w:p>
        </w:tc>
        <w:tc>
          <w:tcPr>
            <w:tcW w:w="3260" w:type="dxa"/>
            <w:tcBorders>
              <w:top w:val="single" w:sz="2" w:space="0" w:color="auto"/>
              <w:bottom w:val="single" w:sz="2" w:space="0" w:color="auto"/>
            </w:tcBorders>
            <w:shd w:val="clear" w:color="auto" w:fill="auto"/>
          </w:tcPr>
          <w:p w:rsidR="00887330" w:rsidRPr="00583E1A" w:rsidRDefault="00887330" w:rsidP="00887330">
            <w:pPr>
              <w:pStyle w:val="Tablea"/>
            </w:pPr>
            <w:r w:rsidRPr="00583E1A">
              <w:t>(a) you are an Australian resident carrying on an activity or business at or through an</w:t>
            </w:r>
            <w:r w:rsidR="00583E1A" w:rsidRPr="00583E1A">
              <w:rPr>
                <w:position w:val="6"/>
                <w:sz w:val="16"/>
              </w:rPr>
              <w:t>*</w:t>
            </w:r>
            <w:r w:rsidRPr="00583E1A">
              <w:t xml:space="preserve">overseas permanent establishment or a foreign resident carrying on an activity or business at or through an </w:t>
            </w:r>
            <w:r w:rsidR="00583E1A" w:rsidRPr="00583E1A">
              <w:rPr>
                <w:position w:val="6"/>
                <w:sz w:val="16"/>
              </w:rPr>
              <w:t>*</w:t>
            </w:r>
            <w:r w:rsidRPr="00583E1A">
              <w:t>Australian permanent establishment; and</w:t>
            </w:r>
          </w:p>
          <w:p w:rsidR="00887330" w:rsidRPr="00583E1A" w:rsidRDefault="00887330" w:rsidP="00887330">
            <w:pPr>
              <w:pStyle w:val="Tablea"/>
            </w:pPr>
            <w:r w:rsidRPr="00583E1A">
              <w:t xml:space="preserve">(b) the </w:t>
            </w:r>
            <w:r w:rsidR="00583E1A" w:rsidRPr="00583E1A">
              <w:rPr>
                <w:position w:val="6"/>
                <w:sz w:val="16"/>
              </w:rPr>
              <w:t>*</w:t>
            </w:r>
            <w:r w:rsidRPr="00583E1A">
              <w:t>applicable functional currency of the permanent establishment has ceased to be the sole or predominant currency in which the establishment keeps its accounts (within the meaning of section</w:t>
            </w:r>
            <w:r w:rsidR="00583E1A">
              <w:t> </w:t>
            </w:r>
            <w:r w:rsidRPr="00583E1A">
              <w:t>960</w:t>
            </w:r>
            <w:r w:rsidR="00583E1A">
              <w:noBreakHyphen/>
            </w:r>
            <w:r w:rsidRPr="00583E1A">
              <w:t>70)</w:t>
            </w:r>
          </w:p>
        </w:tc>
        <w:tc>
          <w:tcPr>
            <w:tcW w:w="3119" w:type="dxa"/>
            <w:tcBorders>
              <w:top w:val="single" w:sz="2" w:space="0" w:color="auto"/>
              <w:bottom w:val="single" w:sz="2" w:space="0" w:color="auto"/>
            </w:tcBorders>
            <w:shd w:val="clear" w:color="auto" w:fill="auto"/>
          </w:tcPr>
          <w:p w:rsidR="00887330" w:rsidRPr="00583E1A" w:rsidRDefault="00887330" w:rsidP="00887330">
            <w:pPr>
              <w:pStyle w:val="Tabletext"/>
            </w:pPr>
            <w:r w:rsidRPr="00583E1A">
              <w:t>the income year in which you withdraw your choice.</w:t>
            </w:r>
          </w:p>
        </w:tc>
      </w:tr>
      <w:tr w:rsidR="00887330" w:rsidRPr="00583E1A">
        <w:trPr>
          <w:cantSplit/>
        </w:trPr>
        <w:tc>
          <w:tcPr>
            <w:tcW w:w="709" w:type="dxa"/>
            <w:tcBorders>
              <w:top w:val="single" w:sz="2" w:space="0" w:color="auto"/>
              <w:bottom w:val="single" w:sz="2" w:space="0" w:color="auto"/>
            </w:tcBorders>
            <w:shd w:val="clear" w:color="auto" w:fill="auto"/>
          </w:tcPr>
          <w:p w:rsidR="00887330" w:rsidRPr="00583E1A" w:rsidRDefault="00887330" w:rsidP="00887330">
            <w:pPr>
              <w:pStyle w:val="Tabletext"/>
            </w:pPr>
            <w:r w:rsidRPr="00583E1A">
              <w:t>3</w:t>
            </w:r>
          </w:p>
        </w:tc>
        <w:tc>
          <w:tcPr>
            <w:tcW w:w="3260" w:type="dxa"/>
            <w:tcBorders>
              <w:top w:val="single" w:sz="2" w:space="0" w:color="auto"/>
              <w:bottom w:val="single" w:sz="2" w:space="0" w:color="auto"/>
            </w:tcBorders>
            <w:shd w:val="clear" w:color="auto" w:fill="auto"/>
          </w:tcPr>
          <w:p w:rsidR="00887330" w:rsidRPr="00583E1A" w:rsidRDefault="00887330" w:rsidP="00887330">
            <w:pPr>
              <w:pStyle w:val="Tablea"/>
            </w:pPr>
            <w:r w:rsidRPr="00583E1A">
              <w:t xml:space="preserve">(a) you are an </w:t>
            </w:r>
            <w:r w:rsidR="00583E1A" w:rsidRPr="00583E1A">
              <w:rPr>
                <w:position w:val="6"/>
                <w:sz w:val="16"/>
              </w:rPr>
              <w:t>*</w:t>
            </w:r>
            <w:r w:rsidRPr="00583E1A">
              <w:t>offshore banking unit (OBU); and</w:t>
            </w:r>
          </w:p>
          <w:p w:rsidR="00887330" w:rsidRPr="00583E1A" w:rsidRDefault="00887330" w:rsidP="00887330">
            <w:pPr>
              <w:pStyle w:val="Tablea"/>
            </w:pPr>
            <w:r w:rsidRPr="00583E1A">
              <w:t xml:space="preserve">(b) the </w:t>
            </w:r>
            <w:r w:rsidR="00583E1A" w:rsidRPr="00583E1A">
              <w:rPr>
                <w:position w:val="6"/>
                <w:sz w:val="16"/>
              </w:rPr>
              <w:t>*</w:t>
            </w:r>
            <w:r w:rsidRPr="00583E1A">
              <w:t>applicable functional currency of the OBU has ceased to be the sole or predominant currency in which the OBU keeps its accounts (within the meaning of section</w:t>
            </w:r>
            <w:r w:rsidR="00583E1A">
              <w:t> </w:t>
            </w:r>
            <w:r w:rsidRPr="00583E1A">
              <w:t>960</w:t>
            </w:r>
            <w:r w:rsidR="00583E1A">
              <w:noBreakHyphen/>
            </w:r>
            <w:r w:rsidRPr="00583E1A">
              <w:t>70)</w:t>
            </w:r>
          </w:p>
        </w:tc>
        <w:tc>
          <w:tcPr>
            <w:tcW w:w="3119" w:type="dxa"/>
            <w:tcBorders>
              <w:top w:val="single" w:sz="2" w:space="0" w:color="auto"/>
              <w:bottom w:val="single" w:sz="2" w:space="0" w:color="auto"/>
            </w:tcBorders>
            <w:shd w:val="clear" w:color="auto" w:fill="auto"/>
          </w:tcPr>
          <w:p w:rsidR="00887330" w:rsidRPr="00583E1A" w:rsidRDefault="00887330" w:rsidP="00887330">
            <w:pPr>
              <w:pStyle w:val="Tabletext"/>
            </w:pPr>
            <w:r w:rsidRPr="00583E1A">
              <w:t>the income year in which you withdraw your choice.</w:t>
            </w:r>
          </w:p>
        </w:tc>
      </w:tr>
      <w:tr w:rsidR="00887330" w:rsidRPr="00583E1A">
        <w:trPr>
          <w:cantSplit/>
        </w:trPr>
        <w:tc>
          <w:tcPr>
            <w:tcW w:w="709" w:type="dxa"/>
            <w:tcBorders>
              <w:top w:val="single" w:sz="2" w:space="0" w:color="auto"/>
              <w:bottom w:val="single" w:sz="2" w:space="0" w:color="auto"/>
            </w:tcBorders>
            <w:shd w:val="clear" w:color="auto" w:fill="auto"/>
          </w:tcPr>
          <w:p w:rsidR="00887330" w:rsidRPr="00583E1A" w:rsidRDefault="00887330" w:rsidP="00887330">
            <w:pPr>
              <w:pStyle w:val="Tabletext"/>
            </w:pPr>
            <w:r w:rsidRPr="00583E1A">
              <w:lastRenderedPageBreak/>
              <w:t>4</w:t>
            </w:r>
          </w:p>
        </w:tc>
        <w:tc>
          <w:tcPr>
            <w:tcW w:w="3260" w:type="dxa"/>
            <w:tcBorders>
              <w:top w:val="single" w:sz="2" w:space="0" w:color="auto"/>
              <w:bottom w:val="single" w:sz="2" w:space="0" w:color="auto"/>
            </w:tcBorders>
            <w:shd w:val="clear" w:color="auto" w:fill="auto"/>
          </w:tcPr>
          <w:p w:rsidR="00887330" w:rsidRPr="00583E1A" w:rsidRDefault="00887330" w:rsidP="00887330">
            <w:pPr>
              <w:pStyle w:val="Tablea"/>
            </w:pPr>
            <w:r w:rsidRPr="00583E1A">
              <w:t>(a) you are an attributable taxpayer (within the meaning of Part</w:t>
            </w:r>
            <w:r w:rsidR="00583E1A">
              <w:t> </w:t>
            </w:r>
            <w:r w:rsidRPr="00583E1A">
              <w:t xml:space="preserve">X of the </w:t>
            </w:r>
            <w:r w:rsidRPr="00583E1A">
              <w:rPr>
                <w:i/>
              </w:rPr>
              <w:t>Income Tax Assessment Act 1936</w:t>
            </w:r>
            <w:r w:rsidRPr="00583E1A">
              <w:t xml:space="preserve">) of a </w:t>
            </w:r>
            <w:r w:rsidR="00583E1A" w:rsidRPr="00583E1A">
              <w:rPr>
                <w:position w:val="6"/>
                <w:sz w:val="16"/>
              </w:rPr>
              <w:t>*</w:t>
            </w:r>
            <w:r w:rsidRPr="00583E1A">
              <w:t>controlled foreign company (CFC); and</w:t>
            </w:r>
          </w:p>
          <w:p w:rsidR="00887330" w:rsidRPr="00583E1A" w:rsidRDefault="00887330" w:rsidP="00887330">
            <w:pPr>
              <w:pStyle w:val="Tablea"/>
            </w:pPr>
            <w:r w:rsidRPr="00583E1A">
              <w:t>(b) you have made a choice under item</w:t>
            </w:r>
            <w:r w:rsidR="00583E1A">
              <w:t> </w:t>
            </w:r>
            <w:r w:rsidRPr="00583E1A">
              <w:t>4 of the table in subsection 960</w:t>
            </w:r>
            <w:r w:rsidR="00583E1A">
              <w:noBreakHyphen/>
            </w:r>
            <w:r w:rsidRPr="00583E1A">
              <w:t>60(1) in relation to the CFC; and</w:t>
            </w:r>
          </w:p>
          <w:p w:rsidR="00887330" w:rsidRPr="00583E1A" w:rsidRDefault="00887330" w:rsidP="00887330">
            <w:pPr>
              <w:pStyle w:val="Tablea"/>
            </w:pPr>
            <w:r w:rsidRPr="00583E1A">
              <w:t xml:space="preserve">(c) the </w:t>
            </w:r>
            <w:r w:rsidR="00583E1A" w:rsidRPr="00583E1A">
              <w:rPr>
                <w:position w:val="6"/>
                <w:sz w:val="16"/>
              </w:rPr>
              <w:t>*</w:t>
            </w:r>
            <w:r w:rsidRPr="00583E1A">
              <w:t>applicable functional currency of the CFC has ceased to be the sole or predominant currency in which the CFC keeps its accounts (within the meaning of section</w:t>
            </w:r>
            <w:r w:rsidR="00583E1A">
              <w:t> </w:t>
            </w:r>
            <w:r w:rsidRPr="00583E1A">
              <w:t>960</w:t>
            </w:r>
            <w:r w:rsidR="00583E1A">
              <w:noBreakHyphen/>
            </w:r>
            <w:r w:rsidRPr="00583E1A">
              <w:t>70)</w:t>
            </w:r>
          </w:p>
        </w:tc>
        <w:tc>
          <w:tcPr>
            <w:tcW w:w="3119" w:type="dxa"/>
            <w:tcBorders>
              <w:top w:val="single" w:sz="2" w:space="0" w:color="auto"/>
              <w:bottom w:val="single" w:sz="2" w:space="0" w:color="auto"/>
            </w:tcBorders>
            <w:shd w:val="clear" w:color="auto" w:fill="auto"/>
          </w:tcPr>
          <w:p w:rsidR="00887330" w:rsidRPr="00583E1A" w:rsidRDefault="00887330" w:rsidP="00887330">
            <w:pPr>
              <w:pStyle w:val="Tabletext"/>
            </w:pPr>
            <w:r w:rsidRPr="00583E1A">
              <w:t xml:space="preserve">the CFC’s </w:t>
            </w:r>
            <w:r w:rsidR="00583E1A" w:rsidRPr="00583E1A">
              <w:rPr>
                <w:position w:val="6"/>
                <w:sz w:val="16"/>
              </w:rPr>
              <w:t>*</w:t>
            </w:r>
            <w:r w:rsidRPr="00583E1A">
              <w:t>statutory accounting period in which you withdraw your choice.</w:t>
            </w:r>
          </w:p>
        </w:tc>
      </w:tr>
      <w:tr w:rsidR="00887330" w:rsidRPr="00583E1A">
        <w:trPr>
          <w:cantSplit/>
        </w:trPr>
        <w:tc>
          <w:tcPr>
            <w:tcW w:w="709" w:type="dxa"/>
            <w:tcBorders>
              <w:top w:val="single" w:sz="2" w:space="0" w:color="auto"/>
              <w:bottom w:val="single" w:sz="12" w:space="0" w:color="auto"/>
            </w:tcBorders>
            <w:shd w:val="clear" w:color="auto" w:fill="auto"/>
          </w:tcPr>
          <w:p w:rsidR="00887330" w:rsidRPr="00583E1A" w:rsidRDefault="00887330" w:rsidP="00887330">
            <w:pPr>
              <w:pStyle w:val="Tabletext"/>
            </w:pPr>
            <w:r w:rsidRPr="00583E1A">
              <w:t>5</w:t>
            </w:r>
          </w:p>
        </w:tc>
        <w:tc>
          <w:tcPr>
            <w:tcW w:w="3260" w:type="dxa"/>
            <w:tcBorders>
              <w:top w:val="single" w:sz="2" w:space="0" w:color="auto"/>
              <w:bottom w:val="single" w:sz="12" w:space="0" w:color="auto"/>
            </w:tcBorders>
            <w:shd w:val="clear" w:color="auto" w:fill="auto"/>
          </w:tcPr>
          <w:p w:rsidR="00887330" w:rsidRPr="00583E1A" w:rsidRDefault="00887330" w:rsidP="00887330">
            <w:pPr>
              <w:pStyle w:val="Tablea"/>
            </w:pPr>
            <w:r w:rsidRPr="00583E1A">
              <w:t xml:space="preserve">(a) you are a </w:t>
            </w:r>
            <w:r w:rsidR="00583E1A" w:rsidRPr="00583E1A">
              <w:rPr>
                <w:position w:val="6"/>
                <w:sz w:val="16"/>
              </w:rPr>
              <w:t>*</w:t>
            </w:r>
            <w:r w:rsidRPr="00583E1A">
              <w:t>transferor trust; and</w:t>
            </w:r>
          </w:p>
          <w:p w:rsidR="00887330" w:rsidRPr="00583E1A" w:rsidRDefault="00887330" w:rsidP="00887330">
            <w:pPr>
              <w:pStyle w:val="Tablea"/>
            </w:pPr>
            <w:r w:rsidRPr="00583E1A">
              <w:t xml:space="preserve">(b) the </w:t>
            </w:r>
            <w:r w:rsidR="00583E1A" w:rsidRPr="00583E1A">
              <w:rPr>
                <w:position w:val="6"/>
                <w:sz w:val="16"/>
              </w:rPr>
              <w:t>*</w:t>
            </w:r>
            <w:r w:rsidRPr="00583E1A">
              <w:t>applicable functional currency of the trust has ceased to be the sole or predominant currency in which the trust keeps its accounts (within the meaning of section</w:t>
            </w:r>
            <w:r w:rsidR="00583E1A">
              <w:t> </w:t>
            </w:r>
            <w:r w:rsidRPr="00583E1A">
              <w:t>960</w:t>
            </w:r>
            <w:r w:rsidR="00583E1A">
              <w:noBreakHyphen/>
            </w:r>
            <w:r w:rsidRPr="00583E1A">
              <w:t>70)</w:t>
            </w:r>
          </w:p>
        </w:tc>
        <w:tc>
          <w:tcPr>
            <w:tcW w:w="3119" w:type="dxa"/>
            <w:tcBorders>
              <w:top w:val="single" w:sz="2" w:space="0" w:color="auto"/>
              <w:bottom w:val="single" w:sz="12" w:space="0" w:color="auto"/>
            </w:tcBorders>
            <w:shd w:val="clear" w:color="auto" w:fill="auto"/>
          </w:tcPr>
          <w:p w:rsidR="00887330" w:rsidRPr="00583E1A" w:rsidRDefault="00887330" w:rsidP="00887330">
            <w:pPr>
              <w:pStyle w:val="Tabletext"/>
            </w:pPr>
            <w:r w:rsidRPr="00583E1A">
              <w:t>the income year in which you withdraw your choice.</w:t>
            </w:r>
          </w:p>
        </w:tc>
      </w:tr>
    </w:tbl>
    <w:p w:rsidR="00887330" w:rsidRPr="00583E1A" w:rsidRDefault="00887330" w:rsidP="00887330">
      <w:pPr>
        <w:pStyle w:val="subsection"/>
      </w:pPr>
      <w:r w:rsidRPr="00583E1A">
        <w:tab/>
        <w:t>(2)</w:t>
      </w:r>
      <w:r w:rsidRPr="00583E1A">
        <w:tab/>
        <w:t>A withdrawal must be in writing.</w:t>
      </w:r>
    </w:p>
    <w:p w:rsidR="00887330" w:rsidRPr="00583E1A" w:rsidRDefault="00887330" w:rsidP="00887330">
      <w:pPr>
        <w:pStyle w:val="subsection"/>
      </w:pPr>
      <w:r w:rsidRPr="00583E1A">
        <w:tab/>
        <w:t>(3)</w:t>
      </w:r>
      <w:r w:rsidRPr="00583E1A">
        <w:tab/>
        <w:t>Withdrawing a choice does not prevent you from making a fresh choice under section</w:t>
      </w:r>
      <w:r w:rsidR="00583E1A">
        <w:t> </w:t>
      </w:r>
      <w:r w:rsidRPr="00583E1A">
        <w:t>960</w:t>
      </w:r>
      <w:r w:rsidR="00583E1A">
        <w:noBreakHyphen/>
      </w:r>
      <w:r w:rsidRPr="00583E1A">
        <w:t>60.</w:t>
      </w:r>
    </w:p>
    <w:p w:rsidR="00887330" w:rsidRPr="00583E1A" w:rsidRDefault="00887330" w:rsidP="003C48B0">
      <w:pPr>
        <w:pStyle w:val="ActHead4"/>
      </w:pPr>
      <w:bookmarkStart w:id="530" w:name="_Toc338939604"/>
      <w:r w:rsidRPr="00583E1A">
        <w:rPr>
          <w:rStyle w:val="CharSubdNo"/>
        </w:rPr>
        <w:lastRenderedPageBreak/>
        <w:t>Subdivision</w:t>
      </w:r>
      <w:r w:rsidR="00583E1A">
        <w:rPr>
          <w:rStyle w:val="CharSubdNo"/>
        </w:rPr>
        <w:t> </w:t>
      </w:r>
      <w:r w:rsidRPr="00583E1A">
        <w:rPr>
          <w:rStyle w:val="CharSubdNo"/>
        </w:rPr>
        <w:t>960</w:t>
      </w:r>
      <w:r w:rsidR="00583E1A">
        <w:rPr>
          <w:rStyle w:val="CharSubdNo"/>
        </w:rPr>
        <w:noBreakHyphen/>
      </w:r>
      <w:r w:rsidRPr="00583E1A">
        <w:rPr>
          <w:rStyle w:val="CharSubdNo"/>
        </w:rPr>
        <w:t>E</w:t>
      </w:r>
      <w:r w:rsidRPr="00583E1A">
        <w:t>—</w:t>
      </w:r>
      <w:r w:rsidRPr="00583E1A">
        <w:rPr>
          <w:rStyle w:val="CharSubdText"/>
        </w:rPr>
        <w:t>Entities</w:t>
      </w:r>
      <w:bookmarkEnd w:id="530"/>
    </w:p>
    <w:p w:rsidR="00887330" w:rsidRPr="00583E1A" w:rsidRDefault="00887330" w:rsidP="003C48B0">
      <w:pPr>
        <w:pStyle w:val="TofSectsHeading"/>
        <w:keepNext/>
        <w:keepLines/>
      </w:pPr>
      <w:r w:rsidRPr="00583E1A">
        <w:t>Table of sections</w:t>
      </w:r>
    </w:p>
    <w:p w:rsidR="00887330" w:rsidRPr="00583E1A" w:rsidRDefault="00887330" w:rsidP="003C48B0">
      <w:pPr>
        <w:pStyle w:val="TofSectsSection"/>
        <w:keepNext/>
      </w:pPr>
      <w:r w:rsidRPr="00583E1A">
        <w:t>960</w:t>
      </w:r>
      <w:r w:rsidR="00583E1A">
        <w:noBreakHyphen/>
      </w:r>
      <w:r w:rsidRPr="00583E1A">
        <w:t>100</w:t>
      </w:r>
      <w:r w:rsidRPr="00583E1A">
        <w:tab/>
        <w:t>Entities</w:t>
      </w:r>
    </w:p>
    <w:p w:rsidR="00887330" w:rsidRPr="00583E1A" w:rsidRDefault="00887330" w:rsidP="003C48B0">
      <w:pPr>
        <w:pStyle w:val="TofSectsSection"/>
        <w:keepNext/>
      </w:pPr>
      <w:r w:rsidRPr="00583E1A">
        <w:t>960</w:t>
      </w:r>
      <w:r w:rsidR="00583E1A">
        <w:noBreakHyphen/>
      </w:r>
      <w:r w:rsidRPr="00583E1A">
        <w:t>105</w:t>
      </w:r>
      <w:r w:rsidRPr="00583E1A">
        <w:tab/>
        <w:t>Certain entities treated as agents</w:t>
      </w:r>
    </w:p>
    <w:p w:rsidR="00887330" w:rsidRPr="00583E1A" w:rsidRDefault="00887330" w:rsidP="003C48B0">
      <w:pPr>
        <w:pStyle w:val="ActHead5"/>
      </w:pPr>
      <w:bookmarkStart w:id="531" w:name="_Toc338939605"/>
      <w:r w:rsidRPr="00583E1A">
        <w:rPr>
          <w:rStyle w:val="CharSectno"/>
        </w:rPr>
        <w:t>960</w:t>
      </w:r>
      <w:r w:rsidR="00583E1A">
        <w:rPr>
          <w:rStyle w:val="CharSectno"/>
        </w:rPr>
        <w:noBreakHyphen/>
      </w:r>
      <w:r w:rsidRPr="00583E1A">
        <w:rPr>
          <w:rStyle w:val="CharSectno"/>
        </w:rPr>
        <w:t>100</w:t>
      </w:r>
      <w:r w:rsidRPr="00583E1A">
        <w:t xml:space="preserve">  Entities</w:t>
      </w:r>
      <w:bookmarkEnd w:id="531"/>
    </w:p>
    <w:p w:rsidR="00887330" w:rsidRPr="00583E1A" w:rsidRDefault="00887330" w:rsidP="003C48B0">
      <w:pPr>
        <w:pStyle w:val="subsection"/>
        <w:keepNext/>
        <w:keepLines/>
      </w:pPr>
      <w:r w:rsidRPr="00583E1A">
        <w:tab/>
        <w:t>(1)</w:t>
      </w:r>
      <w:r w:rsidRPr="00583E1A">
        <w:tab/>
      </w:r>
      <w:r w:rsidRPr="00583E1A">
        <w:rPr>
          <w:b/>
          <w:i/>
        </w:rPr>
        <w:t>Entity</w:t>
      </w:r>
      <w:r w:rsidRPr="00583E1A">
        <w:t xml:space="preserve"> means any of the following:</w:t>
      </w:r>
    </w:p>
    <w:p w:rsidR="00887330" w:rsidRPr="00583E1A" w:rsidRDefault="00887330" w:rsidP="003C48B0">
      <w:pPr>
        <w:pStyle w:val="paragraph"/>
        <w:keepNext/>
        <w:keepLines/>
      </w:pPr>
      <w:r w:rsidRPr="00583E1A">
        <w:tab/>
        <w:t>(a)</w:t>
      </w:r>
      <w:r w:rsidRPr="00583E1A">
        <w:tab/>
        <w:t>an individual;</w:t>
      </w:r>
    </w:p>
    <w:p w:rsidR="00887330" w:rsidRPr="00583E1A" w:rsidRDefault="00887330" w:rsidP="003C48B0">
      <w:pPr>
        <w:pStyle w:val="paragraph"/>
        <w:keepNext/>
        <w:keepLines/>
      </w:pPr>
      <w:r w:rsidRPr="00583E1A">
        <w:tab/>
        <w:t>(b)</w:t>
      </w:r>
      <w:r w:rsidRPr="00583E1A">
        <w:tab/>
        <w:t>a body corporate;</w:t>
      </w:r>
    </w:p>
    <w:p w:rsidR="00887330" w:rsidRPr="00583E1A" w:rsidRDefault="00887330" w:rsidP="003C48B0">
      <w:pPr>
        <w:pStyle w:val="paragraph"/>
        <w:keepNext/>
        <w:keepLines/>
      </w:pPr>
      <w:r w:rsidRPr="00583E1A">
        <w:tab/>
        <w:t>(c)</w:t>
      </w:r>
      <w:r w:rsidRPr="00583E1A">
        <w:tab/>
        <w:t>a body politic;</w:t>
      </w:r>
    </w:p>
    <w:p w:rsidR="00887330" w:rsidRPr="00583E1A" w:rsidRDefault="00887330" w:rsidP="003C48B0">
      <w:pPr>
        <w:pStyle w:val="paragraph"/>
        <w:keepNext/>
        <w:keepLines/>
      </w:pPr>
      <w:r w:rsidRPr="00583E1A">
        <w:tab/>
        <w:t>(d)</w:t>
      </w:r>
      <w:r w:rsidRPr="00583E1A">
        <w:tab/>
        <w:t>a partnership;</w:t>
      </w:r>
    </w:p>
    <w:p w:rsidR="00887330" w:rsidRPr="00583E1A" w:rsidRDefault="00887330" w:rsidP="003C48B0">
      <w:pPr>
        <w:pStyle w:val="paragraph"/>
        <w:keepNext/>
        <w:keepLines/>
      </w:pPr>
      <w:r w:rsidRPr="00583E1A">
        <w:tab/>
        <w:t>(e)</w:t>
      </w:r>
      <w:r w:rsidRPr="00583E1A">
        <w:tab/>
        <w:t>any other unincorporated association or body of persons;</w:t>
      </w:r>
    </w:p>
    <w:p w:rsidR="00887330" w:rsidRPr="00583E1A" w:rsidRDefault="00887330" w:rsidP="00887330">
      <w:pPr>
        <w:pStyle w:val="paragraph"/>
      </w:pPr>
      <w:r w:rsidRPr="00583E1A">
        <w:tab/>
        <w:t>(f)</w:t>
      </w:r>
      <w:r w:rsidRPr="00583E1A">
        <w:tab/>
        <w:t>a trust;</w:t>
      </w:r>
    </w:p>
    <w:p w:rsidR="00887330" w:rsidRPr="00583E1A" w:rsidRDefault="00887330" w:rsidP="00887330">
      <w:pPr>
        <w:pStyle w:val="paragraph"/>
        <w:keepNext/>
      </w:pPr>
      <w:r w:rsidRPr="00583E1A">
        <w:tab/>
        <w:t>(g)</w:t>
      </w:r>
      <w:r w:rsidRPr="00583E1A">
        <w:tab/>
        <w:t xml:space="preserve">a </w:t>
      </w:r>
      <w:r w:rsidR="00583E1A" w:rsidRPr="00583E1A">
        <w:rPr>
          <w:position w:val="6"/>
          <w:sz w:val="16"/>
        </w:rPr>
        <w:t>*</w:t>
      </w:r>
      <w:r w:rsidRPr="00583E1A">
        <w:t>superannuation fund</w:t>
      </w:r>
      <w:r w:rsidR="0097722B" w:rsidRPr="00583E1A">
        <w:t>;</w:t>
      </w:r>
    </w:p>
    <w:p w:rsidR="0097722B" w:rsidRPr="00583E1A" w:rsidRDefault="0097722B" w:rsidP="0097722B">
      <w:pPr>
        <w:pStyle w:val="paragraph"/>
      </w:pPr>
      <w:r w:rsidRPr="00583E1A">
        <w:tab/>
        <w:t>(h)</w:t>
      </w:r>
      <w:r w:rsidRPr="00583E1A">
        <w:tab/>
        <w:t xml:space="preserve">an </w:t>
      </w:r>
      <w:r w:rsidR="00583E1A" w:rsidRPr="00583E1A">
        <w:rPr>
          <w:position w:val="6"/>
          <w:sz w:val="16"/>
        </w:rPr>
        <w:t>*</w:t>
      </w:r>
      <w:r w:rsidRPr="00583E1A">
        <w:t>approved deposit fund.</w:t>
      </w:r>
    </w:p>
    <w:p w:rsidR="00887330" w:rsidRPr="00583E1A" w:rsidRDefault="00887330" w:rsidP="00887330">
      <w:pPr>
        <w:pStyle w:val="notetext"/>
      </w:pPr>
      <w:r w:rsidRPr="00583E1A">
        <w:t>Note:</w:t>
      </w:r>
      <w:r w:rsidRPr="00583E1A">
        <w:tab/>
        <w:t xml:space="preserve">The term </w:t>
      </w:r>
      <w:r w:rsidRPr="00583E1A">
        <w:rPr>
          <w:b/>
          <w:i/>
        </w:rPr>
        <w:t>entity</w:t>
      </w:r>
      <w:r w:rsidRPr="00583E1A">
        <w:t xml:space="preserve"> is used in a number of different but related senses. It covers all kinds of legal person. It also covers groups of legal persons, and other things, that in practice are treated as having a separate identity in the same way as a legal person does. </w:t>
      </w:r>
    </w:p>
    <w:p w:rsidR="00887330" w:rsidRPr="00583E1A" w:rsidRDefault="00887330" w:rsidP="00887330">
      <w:pPr>
        <w:pStyle w:val="subsection"/>
      </w:pPr>
      <w:r w:rsidRPr="00583E1A">
        <w:tab/>
        <w:t>(1A)</w:t>
      </w:r>
      <w:r w:rsidRPr="00583E1A">
        <w:tab/>
      </w:r>
      <w:r w:rsidR="00583E1A">
        <w:t>Paragraph (</w:t>
      </w:r>
      <w:r w:rsidRPr="00583E1A">
        <w:t xml:space="preserve">1)(e) does not include a </w:t>
      </w:r>
      <w:r w:rsidR="00583E1A" w:rsidRPr="00583E1A">
        <w:rPr>
          <w:position w:val="6"/>
          <w:sz w:val="16"/>
        </w:rPr>
        <w:t>*</w:t>
      </w:r>
      <w:r w:rsidRPr="00583E1A">
        <w:t>non</w:t>
      </w:r>
      <w:r w:rsidR="00583E1A">
        <w:noBreakHyphen/>
      </w:r>
      <w:r w:rsidRPr="00583E1A">
        <w:t>entity joint venture.</w:t>
      </w:r>
    </w:p>
    <w:p w:rsidR="00887330" w:rsidRPr="00583E1A" w:rsidRDefault="00887330" w:rsidP="00887330">
      <w:pPr>
        <w:pStyle w:val="subsection"/>
      </w:pPr>
      <w:r w:rsidRPr="00583E1A">
        <w:tab/>
        <w:t>(2)</w:t>
      </w:r>
      <w:r w:rsidRPr="00583E1A">
        <w:tab/>
        <w:t>The trustee of a trust</w:t>
      </w:r>
      <w:r w:rsidR="0097722B" w:rsidRPr="00583E1A">
        <w:t xml:space="preserve">, of a </w:t>
      </w:r>
      <w:r w:rsidR="00583E1A" w:rsidRPr="00583E1A">
        <w:rPr>
          <w:position w:val="6"/>
          <w:sz w:val="16"/>
        </w:rPr>
        <w:t>*</w:t>
      </w:r>
      <w:r w:rsidR="0097722B" w:rsidRPr="00583E1A">
        <w:t xml:space="preserve">superannuation fund or of an </w:t>
      </w:r>
      <w:r w:rsidR="00583E1A" w:rsidRPr="00583E1A">
        <w:rPr>
          <w:position w:val="6"/>
          <w:sz w:val="16"/>
        </w:rPr>
        <w:t>*</w:t>
      </w:r>
      <w:r w:rsidR="0097722B" w:rsidRPr="00583E1A">
        <w:t>approved deposit fund</w:t>
      </w:r>
      <w:r w:rsidRPr="00583E1A">
        <w:t xml:space="preserve"> is taken to be an </w:t>
      </w:r>
      <w:r w:rsidRPr="00583E1A">
        <w:rPr>
          <w:b/>
          <w:i/>
        </w:rPr>
        <w:t>entity</w:t>
      </w:r>
      <w:r w:rsidRPr="00583E1A">
        <w:t xml:space="preserve"> consisting of the person who is the trustee, or the persons who are the trustees, at any given time.</w:t>
      </w:r>
    </w:p>
    <w:p w:rsidR="00887330" w:rsidRPr="00583E1A" w:rsidRDefault="00794777" w:rsidP="00887330">
      <w:pPr>
        <w:pStyle w:val="notetext"/>
      </w:pPr>
      <w:r w:rsidRPr="00BD079D">
        <w:t>Note 1</w:t>
      </w:r>
      <w:r w:rsidR="00887330" w:rsidRPr="00583E1A">
        <w:t>:</w:t>
      </w:r>
      <w:r w:rsidR="00887330" w:rsidRPr="00583E1A">
        <w:tab/>
        <w:t>This is because a right or obligation cannot be conferred or imposed on an entity that is not a legal person.</w:t>
      </w:r>
    </w:p>
    <w:p w:rsidR="00794777" w:rsidRPr="00BD079D" w:rsidRDefault="00794777" w:rsidP="00794777">
      <w:pPr>
        <w:pStyle w:val="notetext"/>
      </w:pPr>
      <w:r w:rsidRPr="00BD079D">
        <w:t>Note 2:</w:t>
      </w:r>
      <w:r w:rsidRPr="00BD079D">
        <w:tab/>
        <w:t>The entity that is the trustee of a trust or fund does not change merely because of a change in the person who is the trustee of the trust or fund, or persons who are the trustees of the trust or fund.</w:t>
      </w:r>
    </w:p>
    <w:p w:rsidR="00887330" w:rsidRPr="00583E1A" w:rsidRDefault="00887330" w:rsidP="00887330">
      <w:pPr>
        <w:pStyle w:val="subsection"/>
      </w:pPr>
      <w:r w:rsidRPr="00583E1A">
        <w:tab/>
        <w:t>(3)</w:t>
      </w:r>
      <w:r w:rsidRPr="00583E1A">
        <w:tab/>
        <w:t xml:space="preserve">A legal person can have a number of different capacities in which the person does things. In each of those capacities, the person is taken to be a different </w:t>
      </w:r>
      <w:r w:rsidRPr="00583E1A">
        <w:rPr>
          <w:b/>
          <w:i/>
        </w:rPr>
        <w:t>entity</w:t>
      </w:r>
      <w:r w:rsidRPr="00583E1A">
        <w:t>.</w:t>
      </w:r>
    </w:p>
    <w:p w:rsidR="00887330" w:rsidRPr="00583E1A" w:rsidRDefault="00887330" w:rsidP="00887330">
      <w:pPr>
        <w:pStyle w:val="notetext"/>
        <w:keepNext/>
      </w:pPr>
      <w:r w:rsidRPr="00583E1A">
        <w:t>Example:</w:t>
      </w:r>
      <w:r w:rsidRPr="00583E1A">
        <w:tab/>
        <w:t>In addition to his or her personal capacity, an individual may be:</w:t>
      </w:r>
    </w:p>
    <w:p w:rsidR="00887330" w:rsidRPr="00583E1A" w:rsidRDefault="00887330" w:rsidP="00887330">
      <w:pPr>
        <w:pStyle w:val="TLPNotebullet"/>
        <w:tabs>
          <w:tab w:val="clear" w:pos="2517"/>
        </w:tabs>
      </w:pPr>
      <w:r w:rsidRPr="00583E1A">
        <w:t>sole trustee of one or more trusts; and</w:t>
      </w:r>
    </w:p>
    <w:p w:rsidR="00887330" w:rsidRPr="00583E1A" w:rsidRDefault="00887330" w:rsidP="00887330">
      <w:pPr>
        <w:pStyle w:val="TLPNotebullet"/>
        <w:tabs>
          <w:tab w:val="clear" w:pos="2517"/>
        </w:tabs>
      </w:pPr>
      <w:r w:rsidRPr="00583E1A">
        <w:t>one of a number of trustees of a further trust.</w:t>
      </w:r>
    </w:p>
    <w:p w:rsidR="00887330" w:rsidRPr="00583E1A" w:rsidRDefault="00887330" w:rsidP="00887330">
      <w:pPr>
        <w:pStyle w:val="notetext"/>
      </w:pPr>
      <w:r w:rsidRPr="00583E1A">
        <w:lastRenderedPageBreak/>
        <w:tab/>
        <w:t>In his or her personal capacity, he or she is one entity. As trustee of each trust, he or she is a different entity. The trustees of the further trust are a different entity again, of which the individual is a member.</w:t>
      </w:r>
    </w:p>
    <w:p w:rsidR="00887330" w:rsidRPr="00583E1A" w:rsidRDefault="00887330" w:rsidP="00887330">
      <w:pPr>
        <w:pStyle w:val="subsection"/>
      </w:pPr>
      <w:r w:rsidRPr="00583E1A">
        <w:tab/>
        <w:t>(4)</w:t>
      </w:r>
      <w:r w:rsidRPr="00583E1A">
        <w:tab/>
        <w:t xml:space="preserve">If a provision refers to an </w:t>
      </w:r>
      <w:r w:rsidRPr="00583E1A">
        <w:rPr>
          <w:b/>
          <w:i/>
        </w:rPr>
        <w:t>entity</w:t>
      </w:r>
      <w:r w:rsidRPr="00583E1A">
        <w:t xml:space="preserve"> of a particular kind, it refers to the entity in its capacity as that kind of entity, not to that entity in any other capacity.</w:t>
      </w:r>
    </w:p>
    <w:p w:rsidR="00887330" w:rsidRPr="00583E1A" w:rsidRDefault="00887330" w:rsidP="00887330">
      <w:pPr>
        <w:pStyle w:val="notetext"/>
      </w:pPr>
      <w:r w:rsidRPr="00583E1A">
        <w:t>Example:</w:t>
      </w:r>
      <w:r w:rsidRPr="00583E1A">
        <w:tab/>
        <w:t>A provision that refers to a company does not cover a company in a capacity as trustee, unless it also refers to a trustee.</w:t>
      </w:r>
    </w:p>
    <w:p w:rsidR="00887330" w:rsidRPr="00583E1A" w:rsidRDefault="00887330" w:rsidP="00887330">
      <w:pPr>
        <w:pStyle w:val="notetext"/>
      </w:pPr>
      <w:r w:rsidRPr="00583E1A">
        <w:t>Note:</w:t>
      </w:r>
      <w:r w:rsidRPr="00583E1A">
        <w:tab/>
        <w:t>Under section</w:t>
      </w:r>
      <w:r w:rsidR="00583E1A">
        <w:t> </w:t>
      </w:r>
      <w:r w:rsidRPr="00583E1A">
        <w:t>87</w:t>
      </w:r>
      <w:r w:rsidR="00583E1A">
        <w:noBreakHyphen/>
      </w:r>
      <w:r w:rsidRPr="00583E1A">
        <w:t>35, certain parts of Australian governments and authorities are treated as separate entities for the purposes of ascertaining whether another entity is conducting a personal services business.</w:t>
      </w:r>
    </w:p>
    <w:p w:rsidR="00887330" w:rsidRPr="00583E1A" w:rsidRDefault="00887330" w:rsidP="00887330">
      <w:pPr>
        <w:pStyle w:val="ActHead5"/>
      </w:pPr>
      <w:bookmarkStart w:id="532" w:name="_Toc338939606"/>
      <w:r w:rsidRPr="00583E1A">
        <w:rPr>
          <w:rStyle w:val="CharSectno"/>
        </w:rPr>
        <w:t>960</w:t>
      </w:r>
      <w:r w:rsidR="00583E1A">
        <w:rPr>
          <w:rStyle w:val="CharSectno"/>
        </w:rPr>
        <w:noBreakHyphen/>
      </w:r>
      <w:r w:rsidRPr="00583E1A">
        <w:rPr>
          <w:rStyle w:val="CharSectno"/>
        </w:rPr>
        <w:t>105</w:t>
      </w:r>
      <w:r w:rsidRPr="00583E1A">
        <w:t xml:space="preserve">  Certain entities treated as agents</w:t>
      </w:r>
      <w:bookmarkEnd w:id="532"/>
    </w:p>
    <w:p w:rsidR="00887330" w:rsidRPr="00583E1A" w:rsidRDefault="00887330" w:rsidP="00887330">
      <w:pPr>
        <w:pStyle w:val="subsection"/>
      </w:pPr>
      <w:r w:rsidRPr="00583E1A">
        <w:tab/>
        <w:t>(1)</w:t>
      </w:r>
      <w:r w:rsidRPr="00583E1A">
        <w:tab/>
        <w:t xml:space="preserve">This Act applies to an entity as if the entity were an agent of another entity (the </w:t>
      </w:r>
      <w:r w:rsidRPr="00583E1A">
        <w:rPr>
          <w:b/>
          <w:i/>
        </w:rPr>
        <w:t>principal</w:t>
      </w:r>
      <w:r w:rsidRPr="00583E1A">
        <w:t>) if:</w:t>
      </w:r>
    </w:p>
    <w:p w:rsidR="00887330" w:rsidRPr="00583E1A" w:rsidRDefault="00887330" w:rsidP="00887330">
      <w:pPr>
        <w:pStyle w:val="paragraph"/>
      </w:pPr>
      <w:r w:rsidRPr="00583E1A">
        <w:tab/>
        <w:t>(a)</w:t>
      </w:r>
      <w:r w:rsidRPr="00583E1A">
        <w:tab/>
        <w:t xml:space="preserve">the principal is outside </w:t>
      </w:r>
      <w:smartTag w:uri="urn:schemas-microsoft-com:office:smarttags" w:element="country-region">
        <w:smartTag w:uri="urn:schemas-microsoft-com:office:smarttags" w:element="place">
          <w:r w:rsidRPr="00583E1A">
            <w:t>Australia</w:t>
          </w:r>
        </w:smartTag>
      </w:smartTag>
      <w:r w:rsidRPr="00583E1A">
        <w:t>; and</w:t>
      </w:r>
    </w:p>
    <w:p w:rsidR="00887330" w:rsidRPr="00583E1A" w:rsidRDefault="00887330" w:rsidP="00887330">
      <w:pPr>
        <w:pStyle w:val="paragraph"/>
      </w:pPr>
      <w:r w:rsidRPr="00583E1A">
        <w:tab/>
        <w:t>(b)</w:t>
      </w:r>
      <w:r w:rsidRPr="00583E1A">
        <w:tab/>
        <w:t xml:space="preserve">the entity is in </w:t>
      </w:r>
      <w:smartTag w:uri="urn:schemas-microsoft-com:office:smarttags" w:element="country-region">
        <w:smartTag w:uri="urn:schemas-microsoft-com:office:smarttags" w:element="place">
          <w:r w:rsidRPr="00583E1A">
            <w:t>Australia</w:t>
          </w:r>
        </w:smartTag>
      </w:smartTag>
      <w:r w:rsidRPr="00583E1A">
        <w:t xml:space="preserve"> and, on behalf of the principal, holds money of the principal or has control, receipt or disposal of money of the principal.</w:t>
      </w:r>
    </w:p>
    <w:p w:rsidR="00887330" w:rsidRPr="00583E1A" w:rsidRDefault="00887330" w:rsidP="00887330">
      <w:pPr>
        <w:pStyle w:val="subsection"/>
      </w:pPr>
      <w:r w:rsidRPr="00583E1A">
        <w:tab/>
        <w:t>(2)</w:t>
      </w:r>
      <w:r w:rsidRPr="00583E1A">
        <w:tab/>
        <w:t>This Act, or a provision of this Act, applies to an entity as if the entity were an agent of another entity if the Commissioner determines in writing that the entity is the agent or sole agent of the other entity for the purposes of this Act or of that provision.</w:t>
      </w:r>
    </w:p>
    <w:p w:rsidR="00887330" w:rsidRPr="00583E1A" w:rsidRDefault="00887330" w:rsidP="00887330">
      <w:pPr>
        <w:pStyle w:val="subsection"/>
      </w:pPr>
      <w:r w:rsidRPr="00583E1A">
        <w:tab/>
        <w:t>(3)</w:t>
      </w:r>
      <w:r w:rsidRPr="00583E1A">
        <w:tab/>
        <w:t xml:space="preserve">A determination under </w:t>
      </w:r>
      <w:r w:rsidR="00583E1A">
        <w:t>subsection (</w:t>
      </w:r>
      <w:r w:rsidRPr="00583E1A">
        <w:t>2) is not a legislative instrument.</w:t>
      </w:r>
    </w:p>
    <w:p w:rsidR="00887330" w:rsidRPr="00583E1A" w:rsidRDefault="00887330" w:rsidP="00887330">
      <w:pPr>
        <w:pStyle w:val="ActHead4"/>
      </w:pPr>
      <w:bookmarkStart w:id="533" w:name="_Toc338939607"/>
      <w:r w:rsidRPr="00583E1A">
        <w:rPr>
          <w:rStyle w:val="CharSubdNo"/>
        </w:rPr>
        <w:t>Subdivision</w:t>
      </w:r>
      <w:r w:rsidR="00583E1A">
        <w:rPr>
          <w:rStyle w:val="CharSubdNo"/>
        </w:rPr>
        <w:t> </w:t>
      </w:r>
      <w:r w:rsidRPr="00583E1A">
        <w:rPr>
          <w:rStyle w:val="CharSubdNo"/>
        </w:rPr>
        <w:t>960</w:t>
      </w:r>
      <w:r w:rsidR="00583E1A">
        <w:rPr>
          <w:rStyle w:val="CharSubdNo"/>
        </w:rPr>
        <w:noBreakHyphen/>
      </w:r>
      <w:r w:rsidRPr="00583E1A">
        <w:rPr>
          <w:rStyle w:val="CharSubdNo"/>
        </w:rPr>
        <w:t>F</w:t>
      </w:r>
      <w:r w:rsidRPr="00583E1A">
        <w:t>—</w:t>
      </w:r>
      <w:r w:rsidRPr="00583E1A">
        <w:rPr>
          <w:rStyle w:val="CharSubdText"/>
        </w:rPr>
        <w:t>Distribution by corporate tax entities</w:t>
      </w:r>
      <w:bookmarkEnd w:id="533"/>
    </w:p>
    <w:p w:rsidR="00887330" w:rsidRPr="00583E1A" w:rsidRDefault="00887330" w:rsidP="00887330">
      <w:pPr>
        <w:pStyle w:val="TofSectsHeading"/>
      </w:pPr>
      <w:r w:rsidRPr="00583E1A">
        <w:t>Table of sections</w:t>
      </w:r>
    </w:p>
    <w:p w:rsidR="00887330" w:rsidRPr="00583E1A" w:rsidRDefault="00887330" w:rsidP="00887330">
      <w:pPr>
        <w:pStyle w:val="TofSectsSection"/>
      </w:pPr>
      <w:r w:rsidRPr="00583E1A">
        <w:t>960</w:t>
      </w:r>
      <w:r w:rsidR="00583E1A">
        <w:noBreakHyphen/>
      </w:r>
      <w:r w:rsidRPr="00583E1A">
        <w:t>115</w:t>
      </w:r>
      <w:r w:rsidRPr="00583E1A">
        <w:tab/>
        <w:t xml:space="preserve">Meaning of </w:t>
      </w:r>
      <w:r w:rsidRPr="00583E1A">
        <w:rPr>
          <w:i/>
        </w:rPr>
        <w:t>corporate tax entity</w:t>
      </w:r>
    </w:p>
    <w:p w:rsidR="00887330" w:rsidRPr="00583E1A" w:rsidRDefault="00887330" w:rsidP="00887330">
      <w:pPr>
        <w:pStyle w:val="TofSectsSection"/>
        <w:rPr>
          <w:i/>
        </w:rPr>
      </w:pPr>
      <w:r w:rsidRPr="00583E1A">
        <w:t>960</w:t>
      </w:r>
      <w:r w:rsidR="00583E1A">
        <w:noBreakHyphen/>
      </w:r>
      <w:r w:rsidRPr="00583E1A">
        <w:t>120</w:t>
      </w:r>
      <w:r w:rsidRPr="00583E1A">
        <w:tab/>
        <w:t xml:space="preserve">Meaning of </w:t>
      </w:r>
      <w:r w:rsidRPr="00583E1A">
        <w:rPr>
          <w:i/>
        </w:rPr>
        <w:t>distribution</w:t>
      </w:r>
    </w:p>
    <w:p w:rsidR="00887330" w:rsidRPr="00583E1A" w:rsidRDefault="00887330" w:rsidP="00887330">
      <w:pPr>
        <w:pStyle w:val="ActHead5"/>
      </w:pPr>
      <w:bookmarkStart w:id="534" w:name="_Toc338939608"/>
      <w:r w:rsidRPr="00583E1A">
        <w:rPr>
          <w:rStyle w:val="CharSectno"/>
        </w:rPr>
        <w:t>960</w:t>
      </w:r>
      <w:r w:rsidR="00583E1A">
        <w:rPr>
          <w:rStyle w:val="CharSectno"/>
        </w:rPr>
        <w:noBreakHyphen/>
      </w:r>
      <w:r w:rsidRPr="00583E1A">
        <w:rPr>
          <w:rStyle w:val="CharSectno"/>
        </w:rPr>
        <w:t>115</w:t>
      </w:r>
      <w:r w:rsidRPr="00583E1A">
        <w:t xml:space="preserve">  Meaning of </w:t>
      </w:r>
      <w:r w:rsidRPr="00583E1A">
        <w:rPr>
          <w:i/>
        </w:rPr>
        <w:t>corporate tax entity</w:t>
      </w:r>
      <w:bookmarkEnd w:id="534"/>
    </w:p>
    <w:p w:rsidR="00887330" w:rsidRPr="00583E1A" w:rsidRDefault="00887330" w:rsidP="00887330">
      <w:pPr>
        <w:pStyle w:val="subsection"/>
      </w:pPr>
      <w:r w:rsidRPr="00583E1A">
        <w:tab/>
      </w:r>
      <w:r w:rsidRPr="00583E1A">
        <w:tab/>
        <w:t xml:space="preserve">An entity is a </w:t>
      </w:r>
      <w:r w:rsidRPr="00583E1A">
        <w:rPr>
          <w:b/>
          <w:i/>
        </w:rPr>
        <w:t xml:space="preserve">corporate tax entity </w:t>
      </w:r>
      <w:r w:rsidRPr="00583E1A">
        <w:t>at a particular time if:</w:t>
      </w:r>
    </w:p>
    <w:p w:rsidR="00887330" w:rsidRPr="00583E1A" w:rsidRDefault="00887330" w:rsidP="00887330">
      <w:pPr>
        <w:pStyle w:val="paragraph"/>
      </w:pPr>
      <w:r w:rsidRPr="00583E1A">
        <w:tab/>
        <w:t>(a)</w:t>
      </w:r>
      <w:r w:rsidRPr="00583E1A">
        <w:tab/>
        <w:t>the entity is a company at that time; or</w:t>
      </w:r>
    </w:p>
    <w:p w:rsidR="00887330" w:rsidRPr="00583E1A" w:rsidRDefault="00887330" w:rsidP="00887330">
      <w:pPr>
        <w:pStyle w:val="paragraph"/>
      </w:pPr>
      <w:r w:rsidRPr="00583E1A">
        <w:lastRenderedPageBreak/>
        <w:tab/>
        <w:t>(b)</w:t>
      </w:r>
      <w:r w:rsidRPr="00583E1A">
        <w:tab/>
        <w:t xml:space="preserve">the entity is a </w:t>
      </w:r>
      <w:r w:rsidR="00583E1A" w:rsidRPr="00583E1A">
        <w:rPr>
          <w:position w:val="6"/>
          <w:sz w:val="16"/>
        </w:rPr>
        <w:t>*</w:t>
      </w:r>
      <w:r w:rsidRPr="00583E1A">
        <w:t>corporate limited partnership in relation to the income year in which that time occurs; or</w:t>
      </w:r>
    </w:p>
    <w:p w:rsidR="00887330" w:rsidRPr="00583E1A" w:rsidRDefault="00887330" w:rsidP="00887330">
      <w:pPr>
        <w:pStyle w:val="paragraph"/>
      </w:pPr>
      <w:r w:rsidRPr="00583E1A">
        <w:tab/>
        <w:t>(c)</w:t>
      </w:r>
      <w:r w:rsidRPr="00583E1A">
        <w:tab/>
        <w:t xml:space="preserve">the entity is a </w:t>
      </w:r>
      <w:r w:rsidR="00583E1A" w:rsidRPr="00583E1A">
        <w:rPr>
          <w:position w:val="6"/>
          <w:sz w:val="16"/>
        </w:rPr>
        <w:t>*</w:t>
      </w:r>
      <w:r w:rsidRPr="00583E1A">
        <w:t>corporate unit trust in relation to the income year in which that time occurs; or</w:t>
      </w:r>
    </w:p>
    <w:p w:rsidR="00887330" w:rsidRPr="00583E1A" w:rsidRDefault="00887330" w:rsidP="00887330">
      <w:pPr>
        <w:pStyle w:val="paragraph"/>
      </w:pPr>
      <w:r w:rsidRPr="00583E1A">
        <w:tab/>
        <w:t>(d)</w:t>
      </w:r>
      <w:r w:rsidRPr="00583E1A">
        <w:tab/>
        <w:t xml:space="preserve">the entity is a </w:t>
      </w:r>
      <w:r w:rsidR="00583E1A" w:rsidRPr="00583E1A">
        <w:rPr>
          <w:position w:val="6"/>
          <w:sz w:val="16"/>
        </w:rPr>
        <w:t>*</w:t>
      </w:r>
      <w:r w:rsidRPr="00583E1A">
        <w:t>public trading trust in relation to the income year in which that time occurs.</w:t>
      </w:r>
    </w:p>
    <w:p w:rsidR="00887330" w:rsidRPr="00583E1A" w:rsidRDefault="00887330" w:rsidP="00887330">
      <w:pPr>
        <w:pStyle w:val="ActHead5"/>
      </w:pPr>
      <w:bookmarkStart w:id="535" w:name="_Toc338939609"/>
      <w:r w:rsidRPr="00583E1A">
        <w:rPr>
          <w:rStyle w:val="CharSectno"/>
        </w:rPr>
        <w:t>960</w:t>
      </w:r>
      <w:r w:rsidR="00583E1A">
        <w:rPr>
          <w:rStyle w:val="CharSectno"/>
        </w:rPr>
        <w:noBreakHyphen/>
      </w:r>
      <w:r w:rsidRPr="00583E1A">
        <w:rPr>
          <w:rStyle w:val="CharSectno"/>
        </w:rPr>
        <w:t>120</w:t>
      </w:r>
      <w:r w:rsidRPr="00583E1A">
        <w:t xml:space="preserve">  Meaning of </w:t>
      </w:r>
      <w:r w:rsidRPr="00583E1A">
        <w:rPr>
          <w:i/>
        </w:rPr>
        <w:t>distribution</w:t>
      </w:r>
      <w:bookmarkEnd w:id="535"/>
    </w:p>
    <w:p w:rsidR="00887330" w:rsidRPr="00583E1A" w:rsidRDefault="00887330" w:rsidP="00887330">
      <w:pPr>
        <w:pStyle w:val="subsection"/>
      </w:pPr>
      <w:r w:rsidRPr="00583E1A">
        <w:tab/>
        <w:t>(1)</w:t>
      </w:r>
      <w:r w:rsidRPr="00583E1A">
        <w:tab/>
        <w:t xml:space="preserve">What constitutes a </w:t>
      </w:r>
      <w:r w:rsidRPr="00583E1A">
        <w:rPr>
          <w:b/>
          <w:i/>
        </w:rPr>
        <w:t>distribution</w:t>
      </w:r>
      <w:r w:rsidRPr="00583E1A">
        <w:t xml:space="preserve"> by various </w:t>
      </w:r>
      <w:r w:rsidR="00583E1A" w:rsidRPr="00583E1A">
        <w:rPr>
          <w:position w:val="6"/>
          <w:sz w:val="16"/>
        </w:rPr>
        <w:t>*</w:t>
      </w:r>
      <w:r w:rsidRPr="00583E1A">
        <w:t>corporate tax entities is set out in the following table:</w:t>
      </w:r>
    </w:p>
    <w:p w:rsidR="00887330" w:rsidRPr="00583E1A" w:rsidRDefault="00887330" w:rsidP="00887330">
      <w:pPr>
        <w:pStyle w:val="Table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417"/>
        <w:gridCol w:w="2693"/>
        <w:gridCol w:w="3000"/>
      </w:tblGrid>
      <w:tr w:rsidR="00887330" w:rsidRPr="00583E1A">
        <w:trPr>
          <w:cantSplit/>
          <w:tblHeader/>
        </w:trPr>
        <w:tc>
          <w:tcPr>
            <w:tcW w:w="7110" w:type="dxa"/>
            <w:gridSpan w:val="3"/>
            <w:tcBorders>
              <w:top w:val="single" w:sz="12" w:space="0" w:color="auto"/>
              <w:left w:val="nil"/>
              <w:bottom w:val="nil"/>
              <w:right w:val="nil"/>
            </w:tcBorders>
          </w:tcPr>
          <w:p w:rsidR="00887330" w:rsidRPr="00583E1A" w:rsidRDefault="00887330" w:rsidP="00887330">
            <w:pPr>
              <w:pStyle w:val="Tabletext"/>
            </w:pPr>
            <w:r w:rsidRPr="00583E1A">
              <w:rPr>
                <w:b/>
              </w:rPr>
              <w:t>Distribution</w:t>
            </w:r>
          </w:p>
        </w:tc>
      </w:tr>
      <w:tr w:rsidR="00887330" w:rsidRPr="00583E1A">
        <w:trPr>
          <w:cantSplit/>
          <w:tblHeader/>
        </w:trPr>
        <w:tc>
          <w:tcPr>
            <w:tcW w:w="1417" w:type="dxa"/>
            <w:tcBorders>
              <w:top w:val="single" w:sz="6" w:space="0" w:color="auto"/>
              <w:left w:val="nil"/>
              <w:bottom w:val="single" w:sz="12" w:space="0" w:color="auto"/>
              <w:right w:val="nil"/>
            </w:tcBorders>
          </w:tcPr>
          <w:p w:rsidR="00887330" w:rsidRPr="00583E1A" w:rsidRDefault="00887330" w:rsidP="00887330">
            <w:pPr>
              <w:pStyle w:val="Tabletext"/>
            </w:pPr>
            <w:r w:rsidRPr="00583E1A">
              <w:rPr>
                <w:b/>
              </w:rPr>
              <w:t>Item</w:t>
            </w:r>
          </w:p>
        </w:tc>
        <w:tc>
          <w:tcPr>
            <w:tcW w:w="2693" w:type="dxa"/>
            <w:tcBorders>
              <w:top w:val="single" w:sz="6" w:space="0" w:color="auto"/>
              <w:left w:val="nil"/>
              <w:bottom w:val="single" w:sz="12" w:space="0" w:color="auto"/>
              <w:right w:val="nil"/>
            </w:tcBorders>
          </w:tcPr>
          <w:p w:rsidR="00887330" w:rsidRPr="00583E1A" w:rsidRDefault="00887330" w:rsidP="00887330">
            <w:pPr>
              <w:pStyle w:val="Tabletext"/>
            </w:pPr>
            <w:r w:rsidRPr="00583E1A">
              <w:rPr>
                <w:b/>
              </w:rPr>
              <w:t>Corporate tax entity</w:t>
            </w:r>
          </w:p>
        </w:tc>
        <w:tc>
          <w:tcPr>
            <w:tcW w:w="3000" w:type="dxa"/>
            <w:tcBorders>
              <w:top w:val="single" w:sz="6" w:space="0" w:color="auto"/>
              <w:left w:val="nil"/>
              <w:bottom w:val="single" w:sz="12" w:space="0" w:color="auto"/>
              <w:right w:val="nil"/>
            </w:tcBorders>
          </w:tcPr>
          <w:p w:rsidR="00887330" w:rsidRPr="00583E1A" w:rsidRDefault="00887330" w:rsidP="00887330">
            <w:pPr>
              <w:pStyle w:val="Tabletext"/>
            </w:pPr>
            <w:r w:rsidRPr="00583E1A">
              <w:rPr>
                <w:b/>
              </w:rPr>
              <w:t>Distribution</w:t>
            </w:r>
          </w:p>
        </w:tc>
      </w:tr>
      <w:tr w:rsidR="00887330" w:rsidRPr="00583E1A">
        <w:trPr>
          <w:cantSplit/>
        </w:trPr>
        <w:tc>
          <w:tcPr>
            <w:tcW w:w="1417" w:type="dxa"/>
            <w:tcBorders>
              <w:top w:val="single" w:sz="12" w:space="0" w:color="auto"/>
              <w:left w:val="nil"/>
              <w:bottom w:val="single" w:sz="2" w:space="0" w:color="auto"/>
              <w:right w:val="nil"/>
            </w:tcBorders>
            <w:shd w:val="clear" w:color="auto" w:fill="auto"/>
          </w:tcPr>
          <w:p w:rsidR="00887330" w:rsidRPr="00583E1A" w:rsidRDefault="00887330" w:rsidP="00887330">
            <w:pPr>
              <w:pStyle w:val="Tabletext"/>
            </w:pPr>
            <w:r w:rsidRPr="00583E1A">
              <w:t>1</w:t>
            </w:r>
          </w:p>
        </w:tc>
        <w:tc>
          <w:tcPr>
            <w:tcW w:w="2693" w:type="dxa"/>
            <w:tcBorders>
              <w:top w:val="single" w:sz="12" w:space="0" w:color="auto"/>
              <w:left w:val="nil"/>
              <w:bottom w:val="single" w:sz="2" w:space="0" w:color="auto"/>
              <w:right w:val="nil"/>
            </w:tcBorders>
            <w:shd w:val="clear" w:color="auto" w:fill="auto"/>
          </w:tcPr>
          <w:p w:rsidR="00887330" w:rsidRPr="00583E1A" w:rsidRDefault="00887330" w:rsidP="00887330">
            <w:pPr>
              <w:pStyle w:val="Tabletext"/>
            </w:pPr>
            <w:r w:rsidRPr="00583E1A">
              <w:t>company</w:t>
            </w:r>
          </w:p>
        </w:tc>
        <w:tc>
          <w:tcPr>
            <w:tcW w:w="3000" w:type="dxa"/>
            <w:tcBorders>
              <w:top w:val="single" w:sz="12" w:space="0" w:color="auto"/>
              <w:left w:val="nil"/>
              <w:bottom w:val="single" w:sz="2" w:space="0" w:color="auto"/>
              <w:right w:val="nil"/>
            </w:tcBorders>
            <w:shd w:val="clear" w:color="auto" w:fill="auto"/>
          </w:tcPr>
          <w:p w:rsidR="00887330" w:rsidRPr="00583E1A" w:rsidRDefault="00887330" w:rsidP="00887330">
            <w:pPr>
              <w:pStyle w:val="Tabletext"/>
            </w:pPr>
            <w:r w:rsidRPr="00583E1A">
              <w:t>a dividend, or something that is taken to be a dividend, under this Act</w:t>
            </w:r>
          </w:p>
        </w:tc>
      </w:tr>
      <w:tr w:rsidR="00887330" w:rsidRPr="00583E1A">
        <w:trPr>
          <w:cantSplit/>
        </w:trPr>
        <w:tc>
          <w:tcPr>
            <w:tcW w:w="1417" w:type="dxa"/>
            <w:tcBorders>
              <w:top w:val="single" w:sz="2" w:space="0" w:color="auto"/>
              <w:left w:val="nil"/>
              <w:bottom w:val="single" w:sz="2" w:space="0" w:color="auto"/>
              <w:right w:val="nil"/>
            </w:tcBorders>
            <w:shd w:val="clear" w:color="auto" w:fill="auto"/>
          </w:tcPr>
          <w:p w:rsidR="00887330" w:rsidRPr="00583E1A" w:rsidRDefault="00887330" w:rsidP="00887330">
            <w:pPr>
              <w:pStyle w:val="Tabletext"/>
            </w:pPr>
            <w:r w:rsidRPr="00583E1A">
              <w:t>2</w:t>
            </w:r>
          </w:p>
        </w:tc>
        <w:tc>
          <w:tcPr>
            <w:tcW w:w="2693" w:type="dxa"/>
            <w:tcBorders>
              <w:top w:val="single" w:sz="2" w:space="0" w:color="auto"/>
              <w:left w:val="nil"/>
              <w:bottom w:val="single" w:sz="2" w:space="0" w:color="auto"/>
              <w:right w:val="nil"/>
            </w:tcBorders>
            <w:shd w:val="clear" w:color="auto" w:fill="auto"/>
          </w:tcPr>
          <w:p w:rsidR="00887330" w:rsidRPr="00583E1A" w:rsidRDefault="00583E1A" w:rsidP="00887330">
            <w:pPr>
              <w:pStyle w:val="Tabletext"/>
            </w:pPr>
            <w:r w:rsidRPr="00583E1A">
              <w:rPr>
                <w:position w:val="6"/>
                <w:sz w:val="16"/>
              </w:rPr>
              <w:t>*</w:t>
            </w:r>
            <w:r w:rsidR="00887330" w:rsidRPr="00583E1A">
              <w:t>corporate limited partnership</w:t>
            </w:r>
          </w:p>
        </w:tc>
        <w:tc>
          <w:tcPr>
            <w:tcW w:w="3000" w:type="dxa"/>
            <w:tcBorders>
              <w:top w:val="single" w:sz="2" w:space="0" w:color="auto"/>
              <w:left w:val="nil"/>
              <w:bottom w:val="single" w:sz="2" w:space="0" w:color="auto"/>
              <w:right w:val="nil"/>
            </w:tcBorders>
            <w:shd w:val="clear" w:color="auto" w:fill="auto"/>
          </w:tcPr>
          <w:p w:rsidR="00887330" w:rsidRPr="00583E1A" w:rsidRDefault="00887330" w:rsidP="00887330">
            <w:pPr>
              <w:pStyle w:val="Tablea"/>
            </w:pPr>
            <w:r w:rsidRPr="00583E1A">
              <w:t xml:space="preserve">(a) a distribution made by the partnership, whether in money or in other property, to a partner in the partnership, other than a distribution, or so much of a distribution, as is attributable to profits or gains arising during </w:t>
            </w:r>
            <w:r w:rsidR="007D4FF4" w:rsidRPr="00583E1A">
              <w:t>an income year</w:t>
            </w:r>
            <w:r w:rsidRPr="00583E1A">
              <w:t xml:space="preserve"> in relation to which the partnership was not a corporate limited partnership</w:t>
            </w:r>
          </w:p>
          <w:p w:rsidR="00887330" w:rsidRPr="00583E1A" w:rsidRDefault="00887330" w:rsidP="00887330">
            <w:pPr>
              <w:pStyle w:val="Tablea"/>
            </w:pPr>
            <w:r w:rsidRPr="00583E1A">
              <w:t>(b) something that is taken to be a dividend by the partnership under this Act</w:t>
            </w:r>
          </w:p>
        </w:tc>
      </w:tr>
      <w:tr w:rsidR="00887330" w:rsidRPr="00583E1A">
        <w:trPr>
          <w:cantSplit/>
        </w:trPr>
        <w:tc>
          <w:tcPr>
            <w:tcW w:w="1417" w:type="dxa"/>
            <w:tcBorders>
              <w:top w:val="single" w:sz="2" w:space="0" w:color="auto"/>
              <w:left w:val="nil"/>
              <w:bottom w:val="single" w:sz="2" w:space="0" w:color="auto"/>
              <w:right w:val="nil"/>
            </w:tcBorders>
            <w:shd w:val="clear" w:color="auto" w:fill="auto"/>
          </w:tcPr>
          <w:p w:rsidR="00887330" w:rsidRPr="00583E1A" w:rsidRDefault="00887330" w:rsidP="00887330">
            <w:pPr>
              <w:pStyle w:val="Tabletext"/>
            </w:pPr>
            <w:r w:rsidRPr="00583E1A">
              <w:t>3</w:t>
            </w:r>
          </w:p>
        </w:tc>
        <w:tc>
          <w:tcPr>
            <w:tcW w:w="2693" w:type="dxa"/>
            <w:tcBorders>
              <w:top w:val="single" w:sz="2" w:space="0" w:color="auto"/>
              <w:left w:val="nil"/>
              <w:bottom w:val="single" w:sz="2" w:space="0" w:color="auto"/>
              <w:right w:val="nil"/>
            </w:tcBorders>
            <w:shd w:val="clear" w:color="auto" w:fill="auto"/>
          </w:tcPr>
          <w:p w:rsidR="00887330" w:rsidRPr="00583E1A" w:rsidRDefault="00583E1A" w:rsidP="00887330">
            <w:pPr>
              <w:pStyle w:val="Tabletext"/>
            </w:pPr>
            <w:r w:rsidRPr="00583E1A">
              <w:rPr>
                <w:position w:val="6"/>
                <w:sz w:val="16"/>
              </w:rPr>
              <w:t>*</w:t>
            </w:r>
            <w:r w:rsidR="00887330" w:rsidRPr="00583E1A">
              <w:t>corporate unit trust</w:t>
            </w:r>
          </w:p>
        </w:tc>
        <w:tc>
          <w:tcPr>
            <w:tcW w:w="3000" w:type="dxa"/>
            <w:tcBorders>
              <w:top w:val="single" w:sz="2" w:space="0" w:color="auto"/>
              <w:left w:val="nil"/>
              <w:bottom w:val="single" w:sz="2" w:space="0" w:color="auto"/>
              <w:right w:val="nil"/>
            </w:tcBorders>
            <w:shd w:val="clear" w:color="auto" w:fill="auto"/>
          </w:tcPr>
          <w:p w:rsidR="00887330" w:rsidRPr="00583E1A" w:rsidRDefault="00887330" w:rsidP="00887330">
            <w:pPr>
              <w:pStyle w:val="Tabletext"/>
            </w:pPr>
            <w:r w:rsidRPr="00583E1A">
              <w:t xml:space="preserve">a unit trust dividend, as defined in subsection 102D(1) of the </w:t>
            </w:r>
            <w:r w:rsidRPr="00583E1A">
              <w:rPr>
                <w:i/>
              </w:rPr>
              <w:t>Income Tax Assessment Act 1936</w:t>
            </w:r>
          </w:p>
        </w:tc>
      </w:tr>
      <w:tr w:rsidR="00887330" w:rsidRPr="00583E1A">
        <w:trPr>
          <w:cantSplit/>
        </w:trPr>
        <w:tc>
          <w:tcPr>
            <w:tcW w:w="1417" w:type="dxa"/>
            <w:tcBorders>
              <w:top w:val="single" w:sz="2" w:space="0" w:color="auto"/>
              <w:left w:val="nil"/>
              <w:bottom w:val="single" w:sz="12" w:space="0" w:color="auto"/>
              <w:right w:val="nil"/>
            </w:tcBorders>
          </w:tcPr>
          <w:p w:rsidR="00887330" w:rsidRPr="00583E1A" w:rsidRDefault="00887330" w:rsidP="00887330">
            <w:pPr>
              <w:pStyle w:val="Tabletext"/>
            </w:pPr>
            <w:r w:rsidRPr="00583E1A">
              <w:t>4</w:t>
            </w:r>
          </w:p>
        </w:tc>
        <w:tc>
          <w:tcPr>
            <w:tcW w:w="2693" w:type="dxa"/>
            <w:tcBorders>
              <w:top w:val="single" w:sz="2" w:space="0" w:color="auto"/>
              <w:left w:val="nil"/>
              <w:bottom w:val="single" w:sz="12" w:space="0" w:color="auto"/>
              <w:right w:val="nil"/>
            </w:tcBorders>
          </w:tcPr>
          <w:p w:rsidR="00887330" w:rsidRPr="00583E1A" w:rsidRDefault="00583E1A" w:rsidP="00887330">
            <w:pPr>
              <w:pStyle w:val="Tabletext"/>
            </w:pPr>
            <w:r w:rsidRPr="00583E1A">
              <w:rPr>
                <w:position w:val="6"/>
                <w:sz w:val="16"/>
              </w:rPr>
              <w:t>*</w:t>
            </w:r>
            <w:r w:rsidR="00887330" w:rsidRPr="00583E1A">
              <w:t>public trading trust</w:t>
            </w:r>
          </w:p>
        </w:tc>
        <w:tc>
          <w:tcPr>
            <w:tcW w:w="3000" w:type="dxa"/>
            <w:tcBorders>
              <w:top w:val="single" w:sz="2" w:space="0" w:color="auto"/>
              <w:left w:val="nil"/>
              <w:bottom w:val="single" w:sz="12" w:space="0" w:color="auto"/>
              <w:right w:val="nil"/>
            </w:tcBorders>
          </w:tcPr>
          <w:p w:rsidR="00887330" w:rsidRPr="00583E1A" w:rsidRDefault="00887330" w:rsidP="00887330">
            <w:pPr>
              <w:pStyle w:val="Tabletext"/>
            </w:pPr>
            <w:r w:rsidRPr="00583E1A">
              <w:t>a unit trust dividend, as defined in section</w:t>
            </w:r>
            <w:r w:rsidR="00583E1A">
              <w:t> </w:t>
            </w:r>
            <w:r w:rsidRPr="00583E1A">
              <w:t xml:space="preserve">102M of the </w:t>
            </w:r>
            <w:r w:rsidRPr="00583E1A">
              <w:rPr>
                <w:i/>
              </w:rPr>
              <w:t>Income Tax Assessment Act 1936</w:t>
            </w:r>
            <w:r w:rsidRPr="00583E1A">
              <w:t xml:space="preserve"> </w:t>
            </w:r>
          </w:p>
        </w:tc>
      </w:tr>
    </w:tbl>
    <w:p w:rsidR="00887330" w:rsidRPr="00583E1A" w:rsidRDefault="00887330" w:rsidP="00887330">
      <w:pPr>
        <w:pStyle w:val="subsection"/>
      </w:pPr>
      <w:r w:rsidRPr="00583E1A">
        <w:lastRenderedPageBreak/>
        <w:tab/>
        <w:t>(2)</w:t>
      </w:r>
      <w:r w:rsidRPr="00583E1A">
        <w:tab/>
        <w:t xml:space="preserve">A </w:t>
      </w:r>
      <w:r w:rsidR="00583E1A" w:rsidRPr="00583E1A">
        <w:rPr>
          <w:position w:val="6"/>
          <w:sz w:val="16"/>
        </w:rPr>
        <w:t>*</w:t>
      </w:r>
      <w:r w:rsidRPr="00583E1A">
        <w:t xml:space="preserve">corporate tax entity </w:t>
      </w:r>
      <w:r w:rsidRPr="00583E1A">
        <w:rPr>
          <w:b/>
          <w:i/>
        </w:rPr>
        <w:t>makes a distribution</w:t>
      </w:r>
      <w:r w:rsidRPr="00583E1A">
        <w:t xml:space="preserve"> in the form of a dividend on the day on which the dividend is paid, or taken to have been paid.</w:t>
      </w:r>
    </w:p>
    <w:p w:rsidR="00887330" w:rsidRPr="00583E1A" w:rsidRDefault="00887330" w:rsidP="00A805BD">
      <w:pPr>
        <w:pStyle w:val="ActHead4"/>
      </w:pPr>
      <w:bookmarkStart w:id="536" w:name="_Toc338939610"/>
      <w:r w:rsidRPr="00583E1A">
        <w:rPr>
          <w:rStyle w:val="CharSubdNo"/>
        </w:rPr>
        <w:t>Subdivision</w:t>
      </w:r>
      <w:r w:rsidR="00583E1A">
        <w:rPr>
          <w:rStyle w:val="CharSubdNo"/>
        </w:rPr>
        <w:t> </w:t>
      </w:r>
      <w:r w:rsidRPr="00583E1A">
        <w:rPr>
          <w:rStyle w:val="CharSubdNo"/>
        </w:rPr>
        <w:t>960</w:t>
      </w:r>
      <w:r w:rsidR="00583E1A">
        <w:rPr>
          <w:rStyle w:val="CharSubdNo"/>
        </w:rPr>
        <w:noBreakHyphen/>
      </w:r>
      <w:r w:rsidRPr="00583E1A">
        <w:rPr>
          <w:rStyle w:val="CharSubdNo"/>
        </w:rPr>
        <w:t>G</w:t>
      </w:r>
      <w:r w:rsidRPr="00583E1A">
        <w:t>—</w:t>
      </w:r>
      <w:r w:rsidRPr="00583E1A">
        <w:rPr>
          <w:rStyle w:val="CharSubdText"/>
        </w:rPr>
        <w:t>Membership of entities</w:t>
      </w:r>
      <w:bookmarkEnd w:id="536"/>
    </w:p>
    <w:p w:rsidR="00887330" w:rsidRPr="00583E1A" w:rsidRDefault="00887330" w:rsidP="00A805BD">
      <w:pPr>
        <w:pStyle w:val="TofSectsHeading"/>
        <w:keepNext/>
      </w:pPr>
      <w:r w:rsidRPr="00583E1A">
        <w:t>Table of sections</w:t>
      </w:r>
    </w:p>
    <w:p w:rsidR="00887330" w:rsidRPr="00583E1A" w:rsidRDefault="00887330" w:rsidP="00A805BD">
      <w:pPr>
        <w:pStyle w:val="TofSectsSection"/>
        <w:keepNext/>
      </w:pPr>
      <w:r w:rsidRPr="00583E1A">
        <w:t>960</w:t>
      </w:r>
      <w:r w:rsidR="00583E1A">
        <w:noBreakHyphen/>
      </w:r>
      <w:r w:rsidRPr="00583E1A">
        <w:t>130</w:t>
      </w:r>
      <w:r w:rsidRPr="00583E1A">
        <w:tab/>
        <w:t>Members of entities</w:t>
      </w:r>
    </w:p>
    <w:p w:rsidR="00887330" w:rsidRPr="00583E1A" w:rsidRDefault="00887330" w:rsidP="00887330">
      <w:pPr>
        <w:pStyle w:val="TofSectsSection"/>
      </w:pPr>
      <w:r w:rsidRPr="00583E1A">
        <w:t>960</w:t>
      </w:r>
      <w:r w:rsidR="00583E1A">
        <w:noBreakHyphen/>
      </w:r>
      <w:r w:rsidRPr="00583E1A">
        <w:t>135</w:t>
      </w:r>
      <w:r w:rsidRPr="00583E1A">
        <w:tab/>
        <w:t>Membership interest in an entity</w:t>
      </w:r>
    </w:p>
    <w:p w:rsidR="00887330" w:rsidRPr="00583E1A" w:rsidRDefault="00887330" w:rsidP="00887330">
      <w:pPr>
        <w:pStyle w:val="TofSectsSection"/>
      </w:pPr>
      <w:r w:rsidRPr="00583E1A">
        <w:t>960</w:t>
      </w:r>
      <w:r w:rsidR="00583E1A">
        <w:noBreakHyphen/>
      </w:r>
      <w:r w:rsidRPr="00583E1A">
        <w:t>140</w:t>
      </w:r>
      <w:r w:rsidRPr="00583E1A">
        <w:tab/>
        <w:t>Ordinary membership interest</w:t>
      </w:r>
    </w:p>
    <w:p w:rsidR="00887330" w:rsidRPr="00583E1A" w:rsidRDefault="00887330" w:rsidP="00887330">
      <w:pPr>
        <w:pStyle w:val="ActHead5"/>
      </w:pPr>
      <w:bookmarkStart w:id="537" w:name="_Toc338939611"/>
      <w:r w:rsidRPr="00583E1A">
        <w:rPr>
          <w:rStyle w:val="CharSectno"/>
        </w:rPr>
        <w:t>960</w:t>
      </w:r>
      <w:r w:rsidR="00583E1A">
        <w:rPr>
          <w:rStyle w:val="CharSectno"/>
        </w:rPr>
        <w:noBreakHyphen/>
      </w:r>
      <w:r w:rsidRPr="00583E1A">
        <w:rPr>
          <w:rStyle w:val="CharSectno"/>
        </w:rPr>
        <w:t>130</w:t>
      </w:r>
      <w:r w:rsidRPr="00583E1A">
        <w:t xml:space="preserve">  Members of entities</w:t>
      </w:r>
      <w:bookmarkEnd w:id="537"/>
    </w:p>
    <w:p w:rsidR="00887330" w:rsidRPr="00583E1A" w:rsidRDefault="00887330" w:rsidP="00887330">
      <w:pPr>
        <w:pStyle w:val="subsection"/>
      </w:pPr>
      <w:r w:rsidRPr="00583E1A">
        <w:tab/>
        <w:t>(1)</w:t>
      </w:r>
      <w:r w:rsidRPr="00583E1A">
        <w:tab/>
        <w:t xml:space="preserve">The following table sets out who is a </w:t>
      </w:r>
      <w:r w:rsidRPr="00583E1A">
        <w:rPr>
          <w:b/>
          <w:i/>
        </w:rPr>
        <w:t xml:space="preserve">member </w:t>
      </w:r>
      <w:r w:rsidRPr="00583E1A">
        <w:t>of various entities.</w:t>
      </w:r>
    </w:p>
    <w:p w:rsidR="00887330" w:rsidRPr="00583E1A" w:rsidRDefault="00887330" w:rsidP="00887330">
      <w:pPr>
        <w:pStyle w:val="Table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708"/>
        <w:gridCol w:w="2268"/>
        <w:gridCol w:w="4134"/>
      </w:tblGrid>
      <w:tr w:rsidR="00887330" w:rsidRPr="00583E1A">
        <w:trPr>
          <w:cantSplit/>
          <w:tblHeader/>
        </w:trPr>
        <w:tc>
          <w:tcPr>
            <w:tcW w:w="7110" w:type="dxa"/>
            <w:gridSpan w:val="3"/>
            <w:tcBorders>
              <w:top w:val="single" w:sz="12" w:space="0" w:color="auto"/>
              <w:left w:val="nil"/>
              <w:bottom w:val="nil"/>
              <w:right w:val="nil"/>
            </w:tcBorders>
          </w:tcPr>
          <w:p w:rsidR="00887330" w:rsidRPr="00583E1A" w:rsidRDefault="00887330" w:rsidP="00887330">
            <w:pPr>
              <w:pStyle w:val="Tabletext"/>
              <w:keepNext/>
            </w:pPr>
            <w:r w:rsidRPr="00583E1A">
              <w:rPr>
                <w:b/>
              </w:rPr>
              <w:t>Members</w:t>
            </w:r>
          </w:p>
        </w:tc>
      </w:tr>
      <w:tr w:rsidR="00887330" w:rsidRPr="00583E1A">
        <w:trPr>
          <w:cantSplit/>
          <w:tblHeader/>
        </w:trPr>
        <w:tc>
          <w:tcPr>
            <w:tcW w:w="708" w:type="dxa"/>
            <w:tcBorders>
              <w:top w:val="single" w:sz="6" w:space="0" w:color="auto"/>
              <w:left w:val="nil"/>
              <w:bottom w:val="single" w:sz="12" w:space="0" w:color="auto"/>
              <w:right w:val="nil"/>
            </w:tcBorders>
          </w:tcPr>
          <w:p w:rsidR="00887330" w:rsidRPr="00583E1A" w:rsidRDefault="00887330" w:rsidP="00887330">
            <w:pPr>
              <w:pStyle w:val="Tabletext"/>
              <w:keepNext/>
            </w:pPr>
            <w:r w:rsidRPr="00583E1A">
              <w:rPr>
                <w:b/>
              </w:rPr>
              <w:t>Item</w:t>
            </w:r>
          </w:p>
        </w:tc>
        <w:tc>
          <w:tcPr>
            <w:tcW w:w="2268" w:type="dxa"/>
            <w:tcBorders>
              <w:top w:val="single" w:sz="6" w:space="0" w:color="auto"/>
              <w:left w:val="nil"/>
              <w:bottom w:val="single" w:sz="12" w:space="0" w:color="auto"/>
              <w:right w:val="nil"/>
            </w:tcBorders>
          </w:tcPr>
          <w:p w:rsidR="00887330" w:rsidRPr="00583E1A" w:rsidRDefault="00887330" w:rsidP="00887330">
            <w:pPr>
              <w:pStyle w:val="Tabletext"/>
              <w:keepNext/>
            </w:pPr>
            <w:r w:rsidRPr="00583E1A">
              <w:rPr>
                <w:b/>
              </w:rPr>
              <w:t>Entity</w:t>
            </w:r>
          </w:p>
        </w:tc>
        <w:tc>
          <w:tcPr>
            <w:tcW w:w="4134" w:type="dxa"/>
            <w:tcBorders>
              <w:top w:val="single" w:sz="6" w:space="0" w:color="auto"/>
              <w:left w:val="nil"/>
              <w:bottom w:val="single" w:sz="12" w:space="0" w:color="auto"/>
              <w:right w:val="nil"/>
            </w:tcBorders>
          </w:tcPr>
          <w:p w:rsidR="00887330" w:rsidRPr="00583E1A" w:rsidRDefault="00887330" w:rsidP="00887330">
            <w:pPr>
              <w:pStyle w:val="Tabletext"/>
              <w:keepNext/>
            </w:pPr>
            <w:r w:rsidRPr="00583E1A">
              <w:rPr>
                <w:b/>
              </w:rPr>
              <w:t>Member</w:t>
            </w:r>
          </w:p>
        </w:tc>
      </w:tr>
      <w:tr w:rsidR="00887330" w:rsidRPr="00583E1A">
        <w:trPr>
          <w:cantSplit/>
        </w:trPr>
        <w:tc>
          <w:tcPr>
            <w:tcW w:w="708" w:type="dxa"/>
            <w:tcBorders>
              <w:top w:val="single" w:sz="12" w:space="0" w:color="auto"/>
              <w:left w:val="nil"/>
              <w:bottom w:val="single" w:sz="2" w:space="0" w:color="auto"/>
              <w:right w:val="nil"/>
            </w:tcBorders>
            <w:shd w:val="clear" w:color="auto" w:fill="auto"/>
          </w:tcPr>
          <w:p w:rsidR="00887330" w:rsidRPr="00583E1A" w:rsidRDefault="00887330" w:rsidP="00887330">
            <w:pPr>
              <w:pStyle w:val="Tabletext"/>
            </w:pPr>
            <w:r w:rsidRPr="00583E1A">
              <w:t>1</w:t>
            </w:r>
          </w:p>
        </w:tc>
        <w:tc>
          <w:tcPr>
            <w:tcW w:w="2268" w:type="dxa"/>
            <w:tcBorders>
              <w:top w:val="single" w:sz="12" w:space="0" w:color="auto"/>
              <w:left w:val="nil"/>
              <w:bottom w:val="single" w:sz="2" w:space="0" w:color="auto"/>
              <w:right w:val="nil"/>
            </w:tcBorders>
            <w:shd w:val="clear" w:color="auto" w:fill="auto"/>
          </w:tcPr>
          <w:p w:rsidR="00887330" w:rsidRPr="00583E1A" w:rsidRDefault="00887330" w:rsidP="00887330">
            <w:pPr>
              <w:pStyle w:val="Tabletext"/>
            </w:pPr>
            <w:r w:rsidRPr="00583E1A">
              <w:t>company</w:t>
            </w:r>
          </w:p>
        </w:tc>
        <w:tc>
          <w:tcPr>
            <w:tcW w:w="4134" w:type="dxa"/>
            <w:tcBorders>
              <w:top w:val="single" w:sz="12" w:space="0" w:color="auto"/>
              <w:left w:val="nil"/>
              <w:bottom w:val="single" w:sz="2" w:space="0" w:color="auto"/>
              <w:right w:val="nil"/>
            </w:tcBorders>
            <w:shd w:val="clear" w:color="auto" w:fill="auto"/>
          </w:tcPr>
          <w:p w:rsidR="00887330" w:rsidRPr="00583E1A" w:rsidRDefault="00887330" w:rsidP="00887330">
            <w:pPr>
              <w:pStyle w:val="Tabletext"/>
            </w:pPr>
            <w:r w:rsidRPr="00583E1A">
              <w:t>a member of the company or a stockholder in the company</w:t>
            </w:r>
          </w:p>
        </w:tc>
      </w:tr>
      <w:tr w:rsidR="00887330" w:rsidRPr="00583E1A">
        <w:trPr>
          <w:cantSplit/>
        </w:trPr>
        <w:tc>
          <w:tcPr>
            <w:tcW w:w="708" w:type="dxa"/>
            <w:tcBorders>
              <w:top w:val="single" w:sz="2" w:space="0" w:color="auto"/>
              <w:left w:val="nil"/>
              <w:bottom w:val="single" w:sz="2" w:space="0" w:color="auto"/>
              <w:right w:val="nil"/>
            </w:tcBorders>
            <w:shd w:val="clear" w:color="auto" w:fill="auto"/>
          </w:tcPr>
          <w:p w:rsidR="00887330" w:rsidRPr="00583E1A" w:rsidRDefault="00887330" w:rsidP="00887330">
            <w:pPr>
              <w:pStyle w:val="Tabletext"/>
            </w:pPr>
            <w:r w:rsidRPr="00583E1A">
              <w:t>2</w:t>
            </w:r>
          </w:p>
        </w:tc>
        <w:tc>
          <w:tcPr>
            <w:tcW w:w="2268" w:type="dxa"/>
            <w:tcBorders>
              <w:top w:val="single" w:sz="2" w:space="0" w:color="auto"/>
              <w:left w:val="nil"/>
              <w:bottom w:val="single" w:sz="2" w:space="0" w:color="auto"/>
              <w:right w:val="nil"/>
            </w:tcBorders>
            <w:shd w:val="clear" w:color="auto" w:fill="auto"/>
          </w:tcPr>
          <w:p w:rsidR="00887330" w:rsidRPr="00583E1A" w:rsidRDefault="00887330" w:rsidP="00887330">
            <w:pPr>
              <w:pStyle w:val="Tabletext"/>
            </w:pPr>
            <w:r w:rsidRPr="00583E1A">
              <w:t>partnership</w:t>
            </w:r>
          </w:p>
        </w:tc>
        <w:tc>
          <w:tcPr>
            <w:tcW w:w="4134" w:type="dxa"/>
            <w:tcBorders>
              <w:top w:val="single" w:sz="2" w:space="0" w:color="auto"/>
              <w:left w:val="nil"/>
              <w:bottom w:val="single" w:sz="2" w:space="0" w:color="auto"/>
              <w:right w:val="nil"/>
            </w:tcBorders>
            <w:shd w:val="clear" w:color="auto" w:fill="auto"/>
          </w:tcPr>
          <w:p w:rsidR="00887330" w:rsidRPr="00583E1A" w:rsidRDefault="00887330" w:rsidP="00887330">
            <w:pPr>
              <w:pStyle w:val="Tabletext"/>
            </w:pPr>
            <w:r w:rsidRPr="00583E1A">
              <w:t>a partner in the partnership</w:t>
            </w:r>
          </w:p>
        </w:tc>
      </w:tr>
      <w:tr w:rsidR="00887330" w:rsidRPr="00583E1A">
        <w:trPr>
          <w:cantSplit/>
        </w:trPr>
        <w:tc>
          <w:tcPr>
            <w:tcW w:w="708" w:type="dxa"/>
            <w:tcBorders>
              <w:top w:val="single" w:sz="2" w:space="0" w:color="auto"/>
              <w:left w:val="nil"/>
              <w:bottom w:val="single" w:sz="2" w:space="0" w:color="auto"/>
              <w:right w:val="nil"/>
            </w:tcBorders>
            <w:shd w:val="clear" w:color="auto" w:fill="auto"/>
          </w:tcPr>
          <w:p w:rsidR="00887330" w:rsidRPr="00583E1A" w:rsidRDefault="00887330" w:rsidP="00887330">
            <w:pPr>
              <w:pStyle w:val="Tabletext"/>
            </w:pPr>
            <w:r w:rsidRPr="00583E1A">
              <w:t>3</w:t>
            </w:r>
          </w:p>
        </w:tc>
        <w:tc>
          <w:tcPr>
            <w:tcW w:w="2268" w:type="dxa"/>
            <w:tcBorders>
              <w:top w:val="single" w:sz="2" w:space="0" w:color="auto"/>
              <w:left w:val="nil"/>
              <w:bottom w:val="single" w:sz="2" w:space="0" w:color="auto"/>
              <w:right w:val="nil"/>
            </w:tcBorders>
            <w:shd w:val="clear" w:color="auto" w:fill="auto"/>
          </w:tcPr>
          <w:p w:rsidR="00887330" w:rsidRPr="00583E1A" w:rsidRDefault="00887330" w:rsidP="00887330">
            <w:pPr>
              <w:pStyle w:val="Tabletext"/>
            </w:pPr>
            <w:r w:rsidRPr="00583E1A">
              <w:t xml:space="preserve">trust (except a </w:t>
            </w:r>
            <w:r w:rsidR="00583E1A" w:rsidRPr="00583E1A">
              <w:rPr>
                <w:position w:val="6"/>
                <w:sz w:val="16"/>
              </w:rPr>
              <w:t>*</w:t>
            </w:r>
            <w:r w:rsidRPr="00583E1A">
              <w:t xml:space="preserve">corporate unit trust or a </w:t>
            </w:r>
            <w:r w:rsidR="00583E1A" w:rsidRPr="00583E1A">
              <w:rPr>
                <w:position w:val="6"/>
                <w:sz w:val="16"/>
              </w:rPr>
              <w:t>*</w:t>
            </w:r>
            <w:r w:rsidRPr="00583E1A">
              <w:t>public trading trust)</w:t>
            </w:r>
          </w:p>
        </w:tc>
        <w:tc>
          <w:tcPr>
            <w:tcW w:w="4134" w:type="dxa"/>
            <w:tcBorders>
              <w:top w:val="single" w:sz="2" w:space="0" w:color="auto"/>
              <w:left w:val="nil"/>
              <w:bottom w:val="single" w:sz="2" w:space="0" w:color="auto"/>
              <w:right w:val="nil"/>
            </w:tcBorders>
            <w:shd w:val="clear" w:color="auto" w:fill="auto"/>
          </w:tcPr>
          <w:p w:rsidR="00887330" w:rsidRPr="00583E1A" w:rsidRDefault="00887330" w:rsidP="00887330">
            <w:pPr>
              <w:pStyle w:val="Tabletext"/>
            </w:pPr>
            <w:r w:rsidRPr="00583E1A">
              <w:t>a beneficiary, unitholder or object of the trust</w:t>
            </w:r>
          </w:p>
        </w:tc>
      </w:tr>
      <w:tr w:rsidR="00887330" w:rsidRPr="00583E1A">
        <w:trPr>
          <w:cantSplit/>
        </w:trPr>
        <w:tc>
          <w:tcPr>
            <w:tcW w:w="708" w:type="dxa"/>
            <w:tcBorders>
              <w:top w:val="single" w:sz="2" w:space="0" w:color="auto"/>
              <w:left w:val="nil"/>
              <w:bottom w:val="single" w:sz="2" w:space="0" w:color="auto"/>
              <w:right w:val="nil"/>
            </w:tcBorders>
            <w:shd w:val="clear" w:color="auto" w:fill="auto"/>
          </w:tcPr>
          <w:p w:rsidR="00887330" w:rsidRPr="00583E1A" w:rsidRDefault="00887330" w:rsidP="00887330">
            <w:pPr>
              <w:pStyle w:val="Tabletext"/>
            </w:pPr>
            <w:r w:rsidRPr="00583E1A">
              <w:t>4</w:t>
            </w:r>
          </w:p>
        </w:tc>
        <w:tc>
          <w:tcPr>
            <w:tcW w:w="2268" w:type="dxa"/>
            <w:tcBorders>
              <w:top w:val="single" w:sz="2" w:space="0" w:color="auto"/>
              <w:left w:val="nil"/>
              <w:bottom w:val="single" w:sz="2" w:space="0" w:color="auto"/>
              <w:right w:val="nil"/>
            </w:tcBorders>
            <w:shd w:val="clear" w:color="auto" w:fill="auto"/>
          </w:tcPr>
          <w:p w:rsidR="00887330" w:rsidRPr="00583E1A" w:rsidRDefault="00583E1A" w:rsidP="00887330">
            <w:pPr>
              <w:pStyle w:val="Tabletext"/>
            </w:pPr>
            <w:r w:rsidRPr="00583E1A">
              <w:rPr>
                <w:position w:val="6"/>
                <w:sz w:val="16"/>
              </w:rPr>
              <w:t>*</w:t>
            </w:r>
            <w:r w:rsidR="00887330" w:rsidRPr="00583E1A">
              <w:t>corporate unit trust</w:t>
            </w:r>
          </w:p>
        </w:tc>
        <w:tc>
          <w:tcPr>
            <w:tcW w:w="4134" w:type="dxa"/>
            <w:tcBorders>
              <w:top w:val="single" w:sz="2" w:space="0" w:color="auto"/>
              <w:left w:val="nil"/>
              <w:bottom w:val="single" w:sz="2" w:space="0" w:color="auto"/>
              <w:right w:val="nil"/>
            </w:tcBorders>
            <w:shd w:val="clear" w:color="auto" w:fill="auto"/>
          </w:tcPr>
          <w:p w:rsidR="00887330" w:rsidRPr="00583E1A" w:rsidRDefault="00887330" w:rsidP="00887330">
            <w:pPr>
              <w:pStyle w:val="Tabletext"/>
            </w:pPr>
            <w:r w:rsidRPr="00583E1A">
              <w:t>a unitholder of the trust</w:t>
            </w:r>
          </w:p>
        </w:tc>
      </w:tr>
      <w:tr w:rsidR="00887330" w:rsidRPr="00583E1A">
        <w:trPr>
          <w:cantSplit/>
        </w:trPr>
        <w:tc>
          <w:tcPr>
            <w:tcW w:w="708" w:type="dxa"/>
            <w:tcBorders>
              <w:top w:val="single" w:sz="2" w:space="0" w:color="auto"/>
              <w:left w:val="nil"/>
              <w:bottom w:val="single" w:sz="12" w:space="0" w:color="auto"/>
              <w:right w:val="nil"/>
            </w:tcBorders>
          </w:tcPr>
          <w:p w:rsidR="00887330" w:rsidRPr="00583E1A" w:rsidRDefault="00887330" w:rsidP="00887330">
            <w:pPr>
              <w:pStyle w:val="Tabletext"/>
            </w:pPr>
            <w:r w:rsidRPr="00583E1A">
              <w:t>5</w:t>
            </w:r>
          </w:p>
        </w:tc>
        <w:tc>
          <w:tcPr>
            <w:tcW w:w="2268" w:type="dxa"/>
            <w:tcBorders>
              <w:top w:val="single" w:sz="2" w:space="0" w:color="auto"/>
              <w:left w:val="nil"/>
              <w:bottom w:val="single" w:sz="12" w:space="0" w:color="auto"/>
              <w:right w:val="nil"/>
            </w:tcBorders>
          </w:tcPr>
          <w:p w:rsidR="00887330" w:rsidRPr="00583E1A" w:rsidRDefault="00583E1A" w:rsidP="00887330">
            <w:pPr>
              <w:pStyle w:val="Tabletext"/>
            </w:pPr>
            <w:r w:rsidRPr="00583E1A">
              <w:rPr>
                <w:position w:val="6"/>
                <w:sz w:val="16"/>
              </w:rPr>
              <w:t>*</w:t>
            </w:r>
            <w:r w:rsidR="00887330" w:rsidRPr="00583E1A">
              <w:t>public trading trust</w:t>
            </w:r>
          </w:p>
        </w:tc>
        <w:tc>
          <w:tcPr>
            <w:tcW w:w="4134" w:type="dxa"/>
            <w:tcBorders>
              <w:top w:val="single" w:sz="2" w:space="0" w:color="auto"/>
              <w:left w:val="nil"/>
              <w:bottom w:val="single" w:sz="12" w:space="0" w:color="auto"/>
              <w:right w:val="nil"/>
            </w:tcBorders>
          </w:tcPr>
          <w:p w:rsidR="00887330" w:rsidRPr="00583E1A" w:rsidRDefault="00887330" w:rsidP="00887330">
            <w:pPr>
              <w:pStyle w:val="Tabletext"/>
            </w:pPr>
            <w:r w:rsidRPr="00583E1A">
              <w:t>a unitholder of the trust</w:t>
            </w:r>
          </w:p>
        </w:tc>
      </w:tr>
    </w:tbl>
    <w:p w:rsidR="00887330" w:rsidRPr="00583E1A" w:rsidRDefault="00887330" w:rsidP="00887330">
      <w:pPr>
        <w:pStyle w:val="subsection"/>
      </w:pPr>
      <w:r w:rsidRPr="00583E1A">
        <w:tab/>
        <w:t>(2)</w:t>
      </w:r>
      <w:r w:rsidRPr="00583E1A">
        <w:tab/>
        <w:t xml:space="preserve">If 2 or more entities jointly hold interests or rights that give rise to membership of another entity, each of them is a </w:t>
      </w:r>
      <w:r w:rsidRPr="00583E1A">
        <w:rPr>
          <w:b/>
          <w:i/>
        </w:rPr>
        <w:t>member</w:t>
      </w:r>
      <w:r w:rsidRPr="00583E1A">
        <w:t xml:space="preserve"> of the other entity.</w:t>
      </w:r>
    </w:p>
    <w:p w:rsidR="00887330" w:rsidRPr="00583E1A" w:rsidRDefault="00887330" w:rsidP="00887330">
      <w:pPr>
        <w:pStyle w:val="subsection"/>
      </w:pPr>
      <w:r w:rsidRPr="00583E1A">
        <w:tab/>
        <w:t>(3)</w:t>
      </w:r>
      <w:r w:rsidRPr="00583E1A">
        <w:tab/>
        <w:t xml:space="preserve">An entity is </w:t>
      </w:r>
      <w:r w:rsidRPr="00583E1A">
        <w:rPr>
          <w:i/>
        </w:rPr>
        <w:t>not</w:t>
      </w:r>
      <w:r w:rsidRPr="00583E1A">
        <w:t xml:space="preserve"> a </w:t>
      </w:r>
      <w:r w:rsidRPr="00583E1A">
        <w:rPr>
          <w:b/>
          <w:i/>
        </w:rPr>
        <w:t>member</w:t>
      </w:r>
      <w:r w:rsidRPr="00583E1A">
        <w:t xml:space="preserve"> of another entity just because the entity holds one or more interests or rights relating to the other entity that are </w:t>
      </w:r>
      <w:r w:rsidR="00583E1A" w:rsidRPr="00583E1A">
        <w:rPr>
          <w:position w:val="6"/>
          <w:sz w:val="16"/>
        </w:rPr>
        <w:t>*</w:t>
      </w:r>
      <w:r w:rsidRPr="00583E1A">
        <w:t xml:space="preserve">debt interests. This subsection has effect despite </w:t>
      </w:r>
      <w:r w:rsidR="00583E1A">
        <w:t>subsections (</w:t>
      </w:r>
      <w:r w:rsidRPr="00583E1A">
        <w:t>1) and (2) of this section.</w:t>
      </w:r>
    </w:p>
    <w:p w:rsidR="00887330" w:rsidRPr="00583E1A" w:rsidRDefault="00887330" w:rsidP="00887330">
      <w:pPr>
        <w:pStyle w:val="notetext"/>
      </w:pPr>
      <w:r w:rsidRPr="00583E1A">
        <w:t>Example:</w:t>
      </w:r>
      <w:r w:rsidRPr="00583E1A">
        <w:tab/>
        <w:t xml:space="preserve">An entity is </w:t>
      </w:r>
      <w:r w:rsidRPr="00583E1A">
        <w:rPr>
          <w:i/>
        </w:rPr>
        <w:t>not</w:t>
      </w:r>
      <w:r w:rsidRPr="00583E1A">
        <w:t xml:space="preserve"> a member of a company as defined in this section merely because it is a member of the company in the ordinary sense of the term because it holds a finance share in the company, if the finance share is a debt interest. However, if the entity holds other </w:t>
      </w:r>
      <w:r w:rsidRPr="00583E1A">
        <w:lastRenderedPageBreak/>
        <w:t>shares in the company that are not debt interests, it will be a member because of those other shares.</w:t>
      </w:r>
    </w:p>
    <w:p w:rsidR="00887330" w:rsidRPr="00583E1A" w:rsidRDefault="00887330" w:rsidP="00887330">
      <w:pPr>
        <w:pStyle w:val="ActHead5"/>
      </w:pPr>
      <w:bookmarkStart w:id="538" w:name="_Toc338939612"/>
      <w:r w:rsidRPr="00583E1A">
        <w:rPr>
          <w:rStyle w:val="CharSectno"/>
        </w:rPr>
        <w:t>960</w:t>
      </w:r>
      <w:r w:rsidR="00583E1A">
        <w:rPr>
          <w:rStyle w:val="CharSectno"/>
        </w:rPr>
        <w:noBreakHyphen/>
      </w:r>
      <w:r w:rsidRPr="00583E1A">
        <w:rPr>
          <w:rStyle w:val="CharSectno"/>
        </w:rPr>
        <w:t>135</w:t>
      </w:r>
      <w:r w:rsidRPr="00583E1A">
        <w:t xml:space="preserve">  Membership interest in an entity</w:t>
      </w:r>
      <w:bookmarkEnd w:id="538"/>
    </w:p>
    <w:p w:rsidR="00887330" w:rsidRPr="00583E1A" w:rsidRDefault="00887330" w:rsidP="00887330">
      <w:pPr>
        <w:pStyle w:val="subsection"/>
      </w:pPr>
      <w:r w:rsidRPr="00583E1A">
        <w:tab/>
      </w:r>
      <w:r w:rsidRPr="00583E1A">
        <w:tab/>
        <w:t xml:space="preserve">If you are a </w:t>
      </w:r>
      <w:r w:rsidR="00583E1A" w:rsidRPr="00583E1A">
        <w:rPr>
          <w:position w:val="6"/>
          <w:sz w:val="16"/>
        </w:rPr>
        <w:t>*</w:t>
      </w:r>
      <w:r w:rsidRPr="00583E1A">
        <w:t>member of an entity:</w:t>
      </w:r>
    </w:p>
    <w:p w:rsidR="00887330" w:rsidRPr="00583E1A" w:rsidRDefault="00887330" w:rsidP="00887330">
      <w:pPr>
        <w:pStyle w:val="paragraph"/>
      </w:pPr>
      <w:r w:rsidRPr="00583E1A">
        <w:tab/>
        <w:t>(a)</w:t>
      </w:r>
      <w:r w:rsidRPr="00583E1A">
        <w:tab/>
        <w:t>each interest, or set of interests, in the entity; or</w:t>
      </w:r>
    </w:p>
    <w:p w:rsidR="00887330" w:rsidRPr="00583E1A" w:rsidRDefault="00887330" w:rsidP="00887330">
      <w:pPr>
        <w:pStyle w:val="paragraph"/>
      </w:pPr>
      <w:r w:rsidRPr="00583E1A">
        <w:tab/>
        <w:t>(b)</w:t>
      </w:r>
      <w:r w:rsidRPr="00583E1A">
        <w:tab/>
        <w:t>each right, or set of rights, in relation to the entity;</w:t>
      </w:r>
    </w:p>
    <w:p w:rsidR="00887330" w:rsidRPr="00583E1A" w:rsidRDefault="00887330" w:rsidP="00887330">
      <w:pPr>
        <w:pStyle w:val="subsection2"/>
      </w:pPr>
      <w:r w:rsidRPr="00583E1A">
        <w:t xml:space="preserve">by virtue of which you are a member of the entity is a </w:t>
      </w:r>
      <w:r w:rsidRPr="00583E1A">
        <w:rPr>
          <w:b/>
          <w:i/>
        </w:rPr>
        <w:t xml:space="preserve">membership interest </w:t>
      </w:r>
      <w:r w:rsidRPr="00583E1A">
        <w:t>of yours in the entity.</w:t>
      </w:r>
    </w:p>
    <w:p w:rsidR="00887330" w:rsidRPr="00583E1A" w:rsidRDefault="00887330" w:rsidP="00887330">
      <w:pPr>
        <w:pStyle w:val="notetext"/>
      </w:pPr>
      <w:r w:rsidRPr="00583E1A">
        <w:t>Note:</w:t>
      </w:r>
      <w:r w:rsidRPr="00583E1A">
        <w:tab/>
        <w:t>In conjunction with subsection 960</w:t>
      </w:r>
      <w:r w:rsidR="00583E1A">
        <w:noBreakHyphen/>
      </w:r>
      <w:r w:rsidRPr="00583E1A">
        <w:t xml:space="preserve">130(3), this means that a debt interest is </w:t>
      </w:r>
      <w:r w:rsidRPr="00583E1A">
        <w:rPr>
          <w:i/>
        </w:rPr>
        <w:t>not</w:t>
      </w:r>
      <w:r w:rsidRPr="00583E1A">
        <w:t xml:space="preserve"> a membership interest.</w:t>
      </w:r>
    </w:p>
    <w:p w:rsidR="00887330" w:rsidRPr="00583E1A" w:rsidRDefault="00887330" w:rsidP="00887330">
      <w:pPr>
        <w:pStyle w:val="notetext"/>
      </w:pPr>
      <w:r w:rsidRPr="00583E1A">
        <w:t>Example:</w:t>
      </w:r>
      <w:r w:rsidRPr="00583E1A">
        <w:tab/>
        <w:t>A member of a company holds a finance share in a company that is a debt interest and some other shares in the company that are not debt interests. Only the other shares are membership interests in the company. The finance share is not, because the member is not a member of the company because of that share (see subsection 960</w:t>
      </w:r>
      <w:r w:rsidR="00583E1A">
        <w:noBreakHyphen/>
      </w:r>
      <w:r w:rsidRPr="00583E1A">
        <w:t>130(3)).</w:t>
      </w:r>
    </w:p>
    <w:p w:rsidR="00887330" w:rsidRPr="00583E1A" w:rsidRDefault="00887330" w:rsidP="00887330">
      <w:pPr>
        <w:pStyle w:val="ActHead5"/>
      </w:pPr>
      <w:bookmarkStart w:id="539" w:name="_Toc338939613"/>
      <w:r w:rsidRPr="00583E1A">
        <w:rPr>
          <w:rStyle w:val="CharSectno"/>
        </w:rPr>
        <w:t>960</w:t>
      </w:r>
      <w:r w:rsidR="00583E1A">
        <w:rPr>
          <w:rStyle w:val="CharSectno"/>
        </w:rPr>
        <w:noBreakHyphen/>
      </w:r>
      <w:r w:rsidRPr="00583E1A">
        <w:rPr>
          <w:rStyle w:val="CharSectno"/>
        </w:rPr>
        <w:t>140</w:t>
      </w:r>
      <w:r w:rsidRPr="00583E1A">
        <w:t xml:space="preserve">  Ordinary membership interest</w:t>
      </w:r>
      <w:bookmarkEnd w:id="539"/>
    </w:p>
    <w:p w:rsidR="00887330" w:rsidRPr="00583E1A" w:rsidRDefault="00887330" w:rsidP="00887330">
      <w:pPr>
        <w:pStyle w:val="subsection"/>
        <w:rPr>
          <w:sz w:val="20"/>
        </w:rPr>
      </w:pPr>
      <w:r w:rsidRPr="00583E1A">
        <w:rPr>
          <w:sz w:val="20"/>
        </w:rPr>
        <w:tab/>
      </w:r>
      <w:r w:rsidRPr="00583E1A">
        <w:rPr>
          <w:sz w:val="20"/>
        </w:rPr>
        <w:tab/>
      </w:r>
      <w:r w:rsidRPr="00583E1A">
        <w:t xml:space="preserve">A </w:t>
      </w:r>
      <w:r w:rsidR="00583E1A" w:rsidRPr="00583E1A">
        <w:rPr>
          <w:position w:val="6"/>
          <w:sz w:val="16"/>
        </w:rPr>
        <w:t>*</w:t>
      </w:r>
      <w:r w:rsidRPr="00583E1A">
        <w:t xml:space="preserve">membership interest in a </w:t>
      </w:r>
      <w:r w:rsidR="00583E1A" w:rsidRPr="00583E1A">
        <w:rPr>
          <w:position w:val="6"/>
          <w:sz w:val="16"/>
        </w:rPr>
        <w:t>*</w:t>
      </w:r>
      <w:r w:rsidRPr="00583E1A">
        <w:t xml:space="preserve">corporate tax entity is an </w:t>
      </w:r>
      <w:r w:rsidRPr="00583E1A">
        <w:rPr>
          <w:b/>
          <w:i/>
        </w:rPr>
        <w:t xml:space="preserve">ordinary membership interest </w:t>
      </w:r>
      <w:r w:rsidRPr="00583E1A">
        <w:t>if:</w:t>
      </w:r>
    </w:p>
    <w:p w:rsidR="00887330" w:rsidRPr="00583E1A" w:rsidRDefault="00887330" w:rsidP="00887330">
      <w:pPr>
        <w:pStyle w:val="paragraph"/>
        <w:rPr>
          <w:sz w:val="20"/>
        </w:rPr>
      </w:pPr>
      <w:r w:rsidRPr="00583E1A">
        <w:rPr>
          <w:sz w:val="20"/>
        </w:rPr>
        <w:tab/>
      </w:r>
      <w:r w:rsidRPr="00583E1A">
        <w:t>(a)</w:t>
      </w:r>
      <w:r w:rsidRPr="00583E1A">
        <w:rPr>
          <w:sz w:val="20"/>
        </w:rPr>
        <w:tab/>
      </w:r>
      <w:r w:rsidRPr="00583E1A">
        <w:t>in the case of a membership interest in a company—it is an ordinary share; and</w:t>
      </w:r>
    </w:p>
    <w:p w:rsidR="00887330" w:rsidRPr="00583E1A" w:rsidRDefault="00887330" w:rsidP="00887330">
      <w:pPr>
        <w:pStyle w:val="paragraph"/>
        <w:rPr>
          <w:sz w:val="20"/>
        </w:rPr>
      </w:pPr>
      <w:r w:rsidRPr="00583E1A">
        <w:rPr>
          <w:sz w:val="20"/>
        </w:rPr>
        <w:tab/>
      </w:r>
      <w:r w:rsidRPr="00583E1A">
        <w:t>(b)</w:t>
      </w:r>
      <w:r w:rsidRPr="00583E1A">
        <w:rPr>
          <w:sz w:val="20"/>
        </w:rPr>
        <w:tab/>
      </w:r>
      <w:r w:rsidRPr="00583E1A">
        <w:t xml:space="preserve">in the case of a membership interest in a </w:t>
      </w:r>
      <w:r w:rsidR="00583E1A" w:rsidRPr="00583E1A">
        <w:rPr>
          <w:position w:val="6"/>
          <w:sz w:val="16"/>
        </w:rPr>
        <w:t>*</w:t>
      </w:r>
      <w:r w:rsidRPr="00583E1A">
        <w:t>corporate limited partnership—it is an interest in the income of the partnership; and</w:t>
      </w:r>
    </w:p>
    <w:p w:rsidR="00887330" w:rsidRPr="00583E1A" w:rsidRDefault="00887330" w:rsidP="00887330">
      <w:pPr>
        <w:pStyle w:val="paragraph"/>
        <w:rPr>
          <w:sz w:val="20"/>
        </w:rPr>
      </w:pPr>
      <w:r w:rsidRPr="00583E1A">
        <w:rPr>
          <w:sz w:val="20"/>
        </w:rPr>
        <w:tab/>
      </w:r>
      <w:r w:rsidRPr="00583E1A">
        <w:t>(c)</w:t>
      </w:r>
      <w:r w:rsidRPr="00583E1A">
        <w:rPr>
          <w:sz w:val="20"/>
        </w:rPr>
        <w:tab/>
      </w:r>
      <w:r w:rsidRPr="00583E1A">
        <w:t xml:space="preserve">in the case of a membership interest in a </w:t>
      </w:r>
      <w:r w:rsidR="00583E1A" w:rsidRPr="00583E1A">
        <w:rPr>
          <w:position w:val="6"/>
          <w:sz w:val="16"/>
        </w:rPr>
        <w:t>*</w:t>
      </w:r>
      <w:r w:rsidRPr="00583E1A">
        <w:t xml:space="preserve">corporate unit trust or </w:t>
      </w:r>
      <w:r w:rsidR="00583E1A" w:rsidRPr="00583E1A">
        <w:rPr>
          <w:position w:val="6"/>
          <w:sz w:val="16"/>
        </w:rPr>
        <w:t>*</w:t>
      </w:r>
      <w:r w:rsidRPr="00583E1A">
        <w:t>public trading trust—it is a unit in the trust.</w:t>
      </w:r>
    </w:p>
    <w:p w:rsidR="00D57D2F" w:rsidRPr="00583E1A" w:rsidRDefault="00D57D2F" w:rsidP="00D57D2F">
      <w:pPr>
        <w:pStyle w:val="ActHead4"/>
      </w:pPr>
      <w:bookmarkStart w:id="540" w:name="_Toc338939614"/>
      <w:r w:rsidRPr="00583E1A">
        <w:rPr>
          <w:rStyle w:val="CharSubdNo"/>
        </w:rPr>
        <w:t>Subdivision</w:t>
      </w:r>
      <w:r w:rsidR="00583E1A">
        <w:rPr>
          <w:rStyle w:val="CharSubdNo"/>
        </w:rPr>
        <w:t> </w:t>
      </w:r>
      <w:r w:rsidRPr="00583E1A">
        <w:rPr>
          <w:rStyle w:val="CharSubdNo"/>
        </w:rPr>
        <w:t>960</w:t>
      </w:r>
      <w:r w:rsidR="00583E1A">
        <w:rPr>
          <w:rStyle w:val="CharSubdNo"/>
        </w:rPr>
        <w:noBreakHyphen/>
      </w:r>
      <w:r w:rsidRPr="00583E1A">
        <w:rPr>
          <w:rStyle w:val="CharSubdNo"/>
        </w:rPr>
        <w:t>GP</w:t>
      </w:r>
      <w:r w:rsidRPr="00583E1A">
        <w:t>—</w:t>
      </w:r>
      <w:r w:rsidRPr="00583E1A">
        <w:rPr>
          <w:rStyle w:val="CharSubdText"/>
        </w:rPr>
        <w:t>Participation interests in entities</w:t>
      </w:r>
      <w:bookmarkEnd w:id="540"/>
    </w:p>
    <w:p w:rsidR="00D57D2F" w:rsidRPr="00583E1A" w:rsidRDefault="00D57D2F" w:rsidP="00D57D2F">
      <w:pPr>
        <w:pStyle w:val="TofSectsHeading"/>
      </w:pPr>
      <w:r w:rsidRPr="00583E1A">
        <w:t>Table of sections</w:t>
      </w:r>
    </w:p>
    <w:p w:rsidR="00D57D2F" w:rsidRPr="00583E1A" w:rsidRDefault="00D57D2F" w:rsidP="00D57D2F">
      <w:pPr>
        <w:pStyle w:val="TofSectsSection"/>
      </w:pPr>
      <w:r w:rsidRPr="00583E1A">
        <w:t>960</w:t>
      </w:r>
      <w:r w:rsidR="00583E1A">
        <w:noBreakHyphen/>
      </w:r>
      <w:r w:rsidRPr="00583E1A">
        <w:t>180</w:t>
      </w:r>
      <w:r w:rsidRPr="00583E1A">
        <w:tab/>
        <w:t>Total participation interest</w:t>
      </w:r>
    </w:p>
    <w:p w:rsidR="00D57D2F" w:rsidRPr="00583E1A" w:rsidRDefault="00D57D2F" w:rsidP="00D57D2F">
      <w:pPr>
        <w:pStyle w:val="TofSectsSection"/>
      </w:pPr>
      <w:r w:rsidRPr="00583E1A">
        <w:t>960</w:t>
      </w:r>
      <w:r w:rsidR="00583E1A">
        <w:noBreakHyphen/>
      </w:r>
      <w:r w:rsidRPr="00583E1A">
        <w:t>185</w:t>
      </w:r>
      <w:r w:rsidRPr="00583E1A">
        <w:tab/>
        <w:t>Indirect participation interest</w:t>
      </w:r>
    </w:p>
    <w:p w:rsidR="00D57D2F" w:rsidRPr="00583E1A" w:rsidRDefault="00D57D2F" w:rsidP="00D57D2F">
      <w:pPr>
        <w:pStyle w:val="TofSectsSection"/>
      </w:pPr>
      <w:r w:rsidRPr="00583E1A">
        <w:t>960</w:t>
      </w:r>
      <w:r w:rsidR="00583E1A">
        <w:noBreakHyphen/>
      </w:r>
      <w:r w:rsidRPr="00583E1A">
        <w:t>190</w:t>
      </w:r>
      <w:r w:rsidRPr="00583E1A">
        <w:tab/>
        <w:t>Direct participation interest</w:t>
      </w:r>
    </w:p>
    <w:p w:rsidR="00D57D2F" w:rsidRPr="00583E1A" w:rsidRDefault="00D57D2F" w:rsidP="00D57D2F">
      <w:pPr>
        <w:pStyle w:val="TofSectsSection"/>
      </w:pPr>
      <w:r w:rsidRPr="00583E1A">
        <w:t>960</w:t>
      </w:r>
      <w:r w:rsidR="00583E1A">
        <w:noBreakHyphen/>
      </w:r>
      <w:r w:rsidRPr="00583E1A">
        <w:t>195</w:t>
      </w:r>
      <w:r w:rsidRPr="00583E1A">
        <w:tab/>
        <w:t>Non</w:t>
      </w:r>
      <w:r w:rsidR="00583E1A">
        <w:noBreakHyphen/>
      </w:r>
      <w:r w:rsidRPr="00583E1A">
        <w:t>portfolio interest test</w:t>
      </w:r>
    </w:p>
    <w:p w:rsidR="00D57D2F" w:rsidRPr="00583E1A" w:rsidRDefault="00D57D2F" w:rsidP="00D57D2F">
      <w:pPr>
        <w:pStyle w:val="ActHead5"/>
      </w:pPr>
      <w:bookmarkStart w:id="541" w:name="_Toc338939615"/>
      <w:r w:rsidRPr="00583E1A">
        <w:rPr>
          <w:rStyle w:val="CharSectno"/>
        </w:rPr>
        <w:lastRenderedPageBreak/>
        <w:t>960</w:t>
      </w:r>
      <w:r w:rsidR="00583E1A">
        <w:rPr>
          <w:rStyle w:val="CharSectno"/>
        </w:rPr>
        <w:noBreakHyphen/>
      </w:r>
      <w:r w:rsidRPr="00583E1A">
        <w:rPr>
          <w:rStyle w:val="CharSectno"/>
        </w:rPr>
        <w:t>180</w:t>
      </w:r>
      <w:r w:rsidRPr="00583E1A">
        <w:t xml:space="preserve">  Total participation interest</w:t>
      </w:r>
      <w:bookmarkEnd w:id="541"/>
    </w:p>
    <w:p w:rsidR="00D57D2F" w:rsidRPr="00583E1A" w:rsidRDefault="00D57D2F" w:rsidP="00D57D2F">
      <w:pPr>
        <w:pStyle w:val="subsection"/>
      </w:pPr>
      <w:r w:rsidRPr="00583E1A">
        <w:tab/>
      </w:r>
      <w:r w:rsidRPr="00583E1A">
        <w:tab/>
        <w:t xml:space="preserve">An entity’s </w:t>
      </w:r>
      <w:r w:rsidRPr="00583E1A">
        <w:rPr>
          <w:b/>
          <w:i/>
        </w:rPr>
        <w:t>total participation interest</w:t>
      </w:r>
      <w:r w:rsidRPr="00583E1A">
        <w:t xml:space="preserve"> at a particular time</w:t>
      </w:r>
      <w:r w:rsidRPr="00583E1A">
        <w:rPr>
          <w:b/>
          <w:i/>
        </w:rPr>
        <w:t xml:space="preserve"> </w:t>
      </w:r>
      <w:r w:rsidRPr="00583E1A">
        <w:t>in another entity is the sum of:</w:t>
      </w:r>
    </w:p>
    <w:p w:rsidR="00D57D2F" w:rsidRPr="00583E1A" w:rsidRDefault="00D57D2F" w:rsidP="00D57D2F">
      <w:pPr>
        <w:pStyle w:val="paragraph"/>
      </w:pPr>
      <w:r w:rsidRPr="00583E1A">
        <w:tab/>
        <w:t>(a)</w:t>
      </w:r>
      <w:r w:rsidRPr="00583E1A">
        <w:tab/>
        <w:t xml:space="preserve">the entity’s </w:t>
      </w:r>
      <w:r w:rsidR="00583E1A" w:rsidRPr="00583E1A">
        <w:rPr>
          <w:position w:val="6"/>
          <w:sz w:val="16"/>
        </w:rPr>
        <w:t>*</w:t>
      </w:r>
      <w:r w:rsidRPr="00583E1A">
        <w:t>direct participation interest in the other entity at that time; and</w:t>
      </w:r>
    </w:p>
    <w:p w:rsidR="00D57D2F" w:rsidRPr="00583E1A" w:rsidRDefault="00D57D2F" w:rsidP="00D57D2F">
      <w:pPr>
        <w:pStyle w:val="paragraph"/>
      </w:pPr>
      <w:r w:rsidRPr="00583E1A">
        <w:tab/>
        <w:t>(b)</w:t>
      </w:r>
      <w:r w:rsidRPr="00583E1A">
        <w:tab/>
        <w:t xml:space="preserve">the entity’s </w:t>
      </w:r>
      <w:r w:rsidR="00583E1A" w:rsidRPr="00583E1A">
        <w:rPr>
          <w:position w:val="6"/>
          <w:sz w:val="16"/>
        </w:rPr>
        <w:t>*</w:t>
      </w:r>
      <w:r w:rsidRPr="00583E1A">
        <w:t>indirect participation interest in the other entity at that time.</w:t>
      </w:r>
    </w:p>
    <w:p w:rsidR="00D57D2F" w:rsidRPr="00583E1A" w:rsidRDefault="00D57D2F" w:rsidP="00D57D2F">
      <w:pPr>
        <w:pStyle w:val="ActHead5"/>
      </w:pPr>
      <w:bookmarkStart w:id="542" w:name="_Toc338939616"/>
      <w:r w:rsidRPr="00583E1A">
        <w:rPr>
          <w:rStyle w:val="CharSectno"/>
        </w:rPr>
        <w:t>960</w:t>
      </w:r>
      <w:r w:rsidR="00583E1A">
        <w:rPr>
          <w:rStyle w:val="CharSectno"/>
        </w:rPr>
        <w:noBreakHyphen/>
      </w:r>
      <w:r w:rsidRPr="00583E1A">
        <w:rPr>
          <w:rStyle w:val="CharSectno"/>
        </w:rPr>
        <w:t>185</w:t>
      </w:r>
      <w:r w:rsidRPr="00583E1A">
        <w:t xml:space="preserve">  Indirect participation interest</w:t>
      </w:r>
      <w:bookmarkEnd w:id="542"/>
    </w:p>
    <w:p w:rsidR="00D57D2F" w:rsidRPr="00583E1A" w:rsidRDefault="00D57D2F" w:rsidP="00D57D2F">
      <w:pPr>
        <w:pStyle w:val="subsection"/>
      </w:pPr>
      <w:r w:rsidRPr="00583E1A">
        <w:tab/>
        <w:t>(1)</w:t>
      </w:r>
      <w:r w:rsidRPr="00583E1A">
        <w:tab/>
        <w:t xml:space="preserve">Work out the </w:t>
      </w:r>
      <w:r w:rsidRPr="00583E1A">
        <w:rPr>
          <w:b/>
          <w:i/>
        </w:rPr>
        <w:t>indirect participation interest</w:t>
      </w:r>
      <w:r w:rsidRPr="00583E1A">
        <w:t xml:space="preserve"> that an entity (the </w:t>
      </w:r>
      <w:r w:rsidRPr="00583E1A">
        <w:rPr>
          <w:b/>
          <w:i/>
        </w:rPr>
        <w:t>holding entity</w:t>
      </w:r>
      <w:r w:rsidRPr="00583E1A">
        <w:t>) holds at a particular time</w:t>
      </w:r>
      <w:r w:rsidRPr="00583E1A">
        <w:rPr>
          <w:b/>
          <w:i/>
        </w:rPr>
        <w:t xml:space="preserve"> </w:t>
      </w:r>
      <w:r w:rsidRPr="00583E1A">
        <w:t xml:space="preserve">in another entity (the </w:t>
      </w:r>
      <w:r w:rsidRPr="00583E1A">
        <w:rPr>
          <w:b/>
          <w:i/>
        </w:rPr>
        <w:t>test entity</w:t>
      </w:r>
      <w:r w:rsidRPr="00583E1A">
        <w:t>) by multiplying:</w:t>
      </w:r>
    </w:p>
    <w:p w:rsidR="00D57D2F" w:rsidRPr="00583E1A" w:rsidRDefault="00D57D2F" w:rsidP="00D57D2F">
      <w:pPr>
        <w:pStyle w:val="paragraph"/>
      </w:pPr>
      <w:r w:rsidRPr="00583E1A">
        <w:tab/>
        <w:t>(a)</w:t>
      </w:r>
      <w:r w:rsidRPr="00583E1A">
        <w:tab/>
        <w:t xml:space="preserve">the holding entity’s </w:t>
      </w:r>
      <w:r w:rsidR="00583E1A" w:rsidRPr="00583E1A">
        <w:rPr>
          <w:position w:val="6"/>
          <w:sz w:val="16"/>
        </w:rPr>
        <w:t>*</w:t>
      </w:r>
      <w:r w:rsidRPr="00583E1A">
        <w:t xml:space="preserve">direct participation interest (if any) in another entity (the </w:t>
      </w:r>
      <w:r w:rsidRPr="00583E1A">
        <w:rPr>
          <w:b/>
          <w:i/>
        </w:rPr>
        <w:t>intermediate entity</w:t>
      </w:r>
      <w:r w:rsidRPr="00583E1A">
        <w:t>) at that time;</w:t>
      </w:r>
    </w:p>
    <w:p w:rsidR="00D57D2F" w:rsidRPr="00583E1A" w:rsidRDefault="00D57D2F" w:rsidP="00D57D2F">
      <w:pPr>
        <w:pStyle w:val="subsection2"/>
      </w:pPr>
      <w:r w:rsidRPr="00583E1A">
        <w:t>by:</w:t>
      </w:r>
    </w:p>
    <w:p w:rsidR="00D57D2F" w:rsidRPr="00583E1A" w:rsidRDefault="00D57D2F" w:rsidP="00D57D2F">
      <w:pPr>
        <w:pStyle w:val="paragraph"/>
      </w:pPr>
      <w:r w:rsidRPr="00583E1A">
        <w:tab/>
        <w:t>(b)</w:t>
      </w:r>
      <w:r w:rsidRPr="00583E1A">
        <w:tab/>
        <w:t>the sum of:</w:t>
      </w:r>
    </w:p>
    <w:p w:rsidR="00D57D2F" w:rsidRPr="00583E1A" w:rsidRDefault="00D57D2F" w:rsidP="00D57D2F">
      <w:pPr>
        <w:pStyle w:val="paragraphsub"/>
      </w:pPr>
      <w:r w:rsidRPr="00583E1A">
        <w:tab/>
        <w:t>(i)</w:t>
      </w:r>
      <w:r w:rsidRPr="00583E1A">
        <w:tab/>
        <w:t>the intermediate entity’s direct participation interest (if any) in the test entity at that time; and</w:t>
      </w:r>
    </w:p>
    <w:p w:rsidR="00D57D2F" w:rsidRPr="00583E1A" w:rsidRDefault="00D57D2F" w:rsidP="00D57D2F">
      <w:pPr>
        <w:pStyle w:val="paragraphsub"/>
      </w:pPr>
      <w:r w:rsidRPr="00583E1A">
        <w:tab/>
        <w:t>(ii)</w:t>
      </w:r>
      <w:r w:rsidRPr="00583E1A">
        <w:tab/>
        <w:t>the intermediate entity’s indirect participation interest (if any) in the test entity at that time (as worked out under one or more other applications of this section).</w:t>
      </w:r>
    </w:p>
    <w:p w:rsidR="00D57D2F" w:rsidRPr="00583E1A" w:rsidRDefault="00D57D2F" w:rsidP="00D57D2F">
      <w:pPr>
        <w:pStyle w:val="subsection"/>
      </w:pPr>
      <w:r w:rsidRPr="00583E1A">
        <w:tab/>
        <w:t>(2)</w:t>
      </w:r>
      <w:r w:rsidRPr="00583E1A">
        <w:tab/>
        <w:t xml:space="preserve">If there is more than one intermediate entity to which </w:t>
      </w:r>
      <w:r w:rsidR="00583E1A">
        <w:t>paragraph (</w:t>
      </w:r>
      <w:r w:rsidRPr="00583E1A">
        <w:t xml:space="preserve">1)(a) applies at that time, the holding entity’s </w:t>
      </w:r>
      <w:r w:rsidRPr="00583E1A">
        <w:rPr>
          <w:b/>
          <w:i/>
        </w:rPr>
        <w:t xml:space="preserve">indirect participation interest </w:t>
      </w:r>
      <w:r w:rsidRPr="00583E1A">
        <w:t xml:space="preserve">is the sum of the percentages worked out under </w:t>
      </w:r>
      <w:r w:rsidR="00583E1A">
        <w:t>subsection (</w:t>
      </w:r>
      <w:r w:rsidRPr="00583E1A">
        <w:t>1) in relation to each of those intermediate entities.</w:t>
      </w:r>
    </w:p>
    <w:p w:rsidR="00D57D2F" w:rsidRPr="00583E1A" w:rsidRDefault="00D57D2F" w:rsidP="00D57D2F">
      <w:pPr>
        <w:pStyle w:val="ActHead5"/>
      </w:pPr>
      <w:bookmarkStart w:id="543" w:name="_Toc338939617"/>
      <w:r w:rsidRPr="00583E1A">
        <w:rPr>
          <w:rStyle w:val="CharSectno"/>
        </w:rPr>
        <w:t>960</w:t>
      </w:r>
      <w:r w:rsidR="00583E1A">
        <w:rPr>
          <w:rStyle w:val="CharSectno"/>
        </w:rPr>
        <w:noBreakHyphen/>
      </w:r>
      <w:r w:rsidRPr="00583E1A">
        <w:rPr>
          <w:rStyle w:val="CharSectno"/>
        </w:rPr>
        <w:t>190</w:t>
      </w:r>
      <w:r w:rsidRPr="00583E1A">
        <w:t xml:space="preserve">  Direct participation interest</w:t>
      </w:r>
      <w:bookmarkEnd w:id="543"/>
    </w:p>
    <w:p w:rsidR="00D57D2F" w:rsidRPr="00583E1A" w:rsidRDefault="00D57D2F" w:rsidP="00D57D2F">
      <w:pPr>
        <w:pStyle w:val="subsection"/>
      </w:pPr>
      <w:r w:rsidRPr="00583E1A">
        <w:tab/>
        <w:t>(1)</w:t>
      </w:r>
      <w:r w:rsidRPr="00583E1A">
        <w:tab/>
        <w:t xml:space="preserve">Use the following table to work out the </w:t>
      </w:r>
      <w:r w:rsidRPr="00583E1A">
        <w:rPr>
          <w:b/>
          <w:i/>
        </w:rPr>
        <w:t>direct participation interest</w:t>
      </w:r>
      <w:r w:rsidRPr="00583E1A">
        <w:t xml:space="preserve"> that one entity holds in another entity.</w:t>
      </w:r>
    </w:p>
    <w:p w:rsidR="00D57D2F" w:rsidRPr="00583E1A" w:rsidRDefault="00D57D2F" w:rsidP="00A805BD">
      <w:pPr>
        <w:pStyle w:val="Tabletext"/>
        <w:keepNext/>
      </w:pPr>
    </w:p>
    <w:tbl>
      <w:tblPr>
        <w:tblW w:w="0" w:type="auto"/>
        <w:tblInd w:w="108" w:type="dxa"/>
        <w:tblLayout w:type="fixed"/>
        <w:tblLook w:val="0000" w:firstRow="0" w:lastRow="0" w:firstColumn="0" w:lastColumn="0" w:noHBand="0" w:noVBand="0"/>
      </w:tblPr>
      <w:tblGrid>
        <w:gridCol w:w="550"/>
        <w:gridCol w:w="1870"/>
        <w:gridCol w:w="4668"/>
      </w:tblGrid>
      <w:tr w:rsidR="00D57D2F" w:rsidRPr="00583E1A">
        <w:trPr>
          <w:cantSplit/>
          <w:tblHeader/>
        </w:trPr>
        <w:tc>
          <w:tcPr>
            <w:tcW w:w="7088" w:type="dxa"/>
            <w:gridSpan w:val="3"/>
            <w:tcBorders>
              <w:top w:val="single" w:sz="12" w:space="0" w:color="000000"/>
            </w:tcBorders>
          </w:tcPr>
          <w:p w:rsidR="00D57D2F" w:rsidRPr="00583E1A" w:rsidRDefault="00D57D2F" w:rsidP="00A805BD">
            <w:pPr>
              <w:pStyle w:val="Tabletext"/>
              <w:keepNext/>
            </w:pPr>
            <w:r w:rsidRPr="00583E1A">
              <w:rPr>
                <w:b/>
              </w:rPr>
              <w:t>Direct participation interest</w:t>
            </w:r>
          </w:p>
        </w:tc>
      </w:tr>
      <w:tr w:rsidR="00D57D2F" w:rsidRPr="00583E1A">
        <w:trPr>
          <w:cantSplit/>
          <w:tblHeader/>
        </w:trPr>
        <w:tc>
          <w:tcPr>
            <w:tcW w:w="550" w:type="dxa"/>
            <w:tcBorders>
              <w:top w:val="single" w:sz="6" w:space="0" w:color="000000"/>
              <w:bottom w:val="single" w:sz="12" w:space="0" w:color="000000"/>
            </w:tcBorders>
          </w:tcPr>
          <w:p w:rsidR="00D57D2F" w:rsidRPr="00583E1A" w:rsidRDefault="00D57D2F" w:rsidP="00A805BD">
            <w:pPr>
              <w:pStyle w:val="Tabletext"/>
              <w:keepNext/>
            </w:pPr>
          </w:p>
        </w:tc>
        <w:tc>
          <w:tcPr>
            <w:tcW w:w="1870" w:type="dxa"/>
            <w:tcBorders>
              <w:top w:val="single" w:sz="6" w:space="0" w:color="000000"/>
              <w:bottom w:val="single" w:sz="12" w:space="0" w:color="000000"/>
            </w:tcBorders>
          </w:tcPr>
          <w:p w:rsidR="00D57D2F" w:rsidRPr="00583E1A" w:rsidRDefault="00D57D2F" w:rsidP="00A805BD">
            <w:pPr>
              <w:pStyle w:val="Tabletext"/>
              <w:keepNext/>
            </w:pPr>
            <w:r w:rsidRPr="00583E1A">
              <w:rPr>
                <w:b/>
              </w:rPr>
              <w:t>If the other entity is this kind of entity:</w:t>
            </w:r>
          </w:p>
        </w:tc>
        <w:tc>
          <w:tcPr>
            <w:tcW w:w="4668" w:type="dxa"/>
            <w:tcBorders>
              <w:top w:val="single" w:sz="6" w:space="0" w:color="000000"/>
              <w:bottom w:val="single" w:sz="12" w:space="0" w:color="000000"/>
            </w:tcBorders>
          </w:tcPr>
          <w:p w:rsidR="00D57D2F" w:rsidRPr="00583E1A" w:rsidRDefault="00D57D2F" w:rsidP="00A805BD">
            <w:pPr>
              <w:pStyle w:val="Tabletext"/>
              <w:keepNext/>
            </w:pPr>
            <w:r w:rsidRPr="00583E1A">
              <w:rPr>
                <w:b/>
              </w:rPr>
              <w:t>the direct participation interest that the first entity holds in the other entity is:</w:t>
            </w:r>
          </w:p>
        </w:tc>
      </w:tr>
      <w:tr w:rsidR="00D57D2F" w:rsidRPr="00583E1A">
        <w:trPr>
          <w:cantSplit/>
        </w:trPr>
        <w:tc>
          <w:tcPr>
            <w:tcW w:w="550" w:type="dxa"/>
            <w:tcBorders>
              <w:top w:val="single" w:sz="12" w:space="0" w:color="000000"/>
              <w:bottom w:val="single" w:sz="2" w:space="0" w:color="auto"/>
            </w:tcBorders>
            <w:shd w:val="clear" w:color="auto" w:fill="auto"/>
          </w:tcPr>
          <w:p w:rsidR="00D57D2F" w:rsidRPr="00583E1A" w:rsidRDefault="00D57D2F" w:rsidP="00D57D2F">
            <w:pPr>
              <w:pStyle w:val="Tabletext"/>
            </w:pPr>
            <w:r w:rsidRPr="00583E1A">
              <w:t>1</w:t>
            </w:r>
          </w:p>
        </w:tc>
        <w:tc>
          <w:tcPr>
            <w:tcW w:w="1870" w:type="dxa"/>
            <w:tcBorders>
              <w:top w:val="single" w:sz="12" w:space="0" w:color="000000"/>
              <w:bottom w:val="single" w:sz="2" w:space="0" w:color="auto"/>
            </w:tcBorders>
            <w:shd w:val="clear" w:color="auto" w:fill="auto"/>
          </w:tcPr>
          <w:p w:rsidR="00D57D2F" w:rsidRPr="00583E1A" w:rsidRDefault="00D57D2F" w:rsidP="00D57D2F">
            <w:pPr>
              <w:pStyle w:val="Tabletext"/>
            </w:pPr>
            <w:r w:rsidRPr="00583E1A">
              <w:t>A company (within the meaning of Part</w:t>
            </w:r>
            <w:r w:rsidR="00583E1A">
              <w:t> </w:t>
            </w:r>
            <w:r w:rsidRPr="00583E1A">
              <w:t xml:space="preserve">X of the </w:t>
            </w:r>
            <w:r w:rsidRPr="00583E1A">
              <w:rPr>
                <w:i/>
              </w:rPr>
              <w:t>Income Tax Assessment Act 1936</w:t>
            </w:r>
            <w:r w:rsidRPr="00583E1A">
              <w:t>)</w:t>
            </w:r>
          </w:p>
        </w:tc>
        <w:tc>
          <w:tcPr>
            <w:tcW w:w="4668" w:type="dxa"/>
            <w:tcBorders>
              <w:top w:val="single" w:sz="12" w:space="0" w:color="000000"/>
              <w:bottom w:val="single" w:sz="2" w:space="0" w:color="auto"/>
            </w:tcBorders>
            <w:shd w:val="clear" w:color="auto" w:fill="auto"/>
          </w:tcPr>
          <w:p w:rsidR="00D57D2F" w:rsidRPr="00583E1A" w:rsidRDefault="00D57D2F" w:rsidP="00D57D2F">
            <w:pPr>
              <w:pStyle w:val="Tabletext"/>
            </w:pPr>
            <w:r w:rsidRPr="00583E1A">
              <w:t>the direct control interest (within the meaning of section</w:t>
            </w:r>
            <w:r w:rsidR="00583E1A">
              <w:t> </w:t>
            </w:r>
            <w:r w:rsidRPr="00583E1A">
              <w:t xml:space="preserve">350 of the </w:t>
            </w:r>
            <w:r w:rsidRPr="00583E1A">
              <w:rPr>
                <w:i/>
              </w:rPr>
              <w:t>Income Tax Assessment Act 1936</w:t>
            </w:r>
            <w:r w:rsidRPr="00583E1A">
              <w:t>) that the first entity holds in the other entity</w:t>
            </w:r>
          </w:p>
        </w:tc>
      </w:tr>
      <w:tr w:rsidR="00D57D2F" w:rsidRPr="00583E1A">
        <w:trPr>
          <w:cantSplit/>
        </w:trPr>
        <w:tc>
          <w:tcPr>
            <w:tcW w:w="550" w:type="dxa"/>
            <w:tcBorders>
              <w:top w:val="single" w:sz="2" w:space="0" w:color="auto"/>
              <w:bottom w:val="single" w:sz="4" w:space="0" w:color="auto"/>
            </w:tcBorders>
            <w:shd w:val="clear" w:color="auto" w:fill="auto"/>
          </w:tcPr>
          <w:p w:rsidR="00D57D2F" w:rsidRPr="00583E1A" w:rsidRDefault="00D57D2F" w:rsidP="00D57D2F">
            <w:pPr>
              <w:pStyle w:val="Tabletext"/>
            </w:pPr>
            <w:r w:rsidRPr="00583E1A">
              <w:t>2</w:t>
            </w:r>
          </w:p>
        </w:tc>
        <w:tc>
          <w:tcPr>
            <w:tcW w:w="1870" w:type="dxa"/>
            <w:tcBorders>
              <w:top w:val="single" w:sz="2" w:space="0" w:color="auto"/>
              <w:bottom w:val="single" w:sz="4" w:space="0" w:color="auto"/>
            </w:tcBorders>
            <w:shd w:val="clear" w:color="auto" w:fill="auto"/>
          </w:tcPr>
          <w:p w:rsidR="00D57D2F" w:rsidRPr="00583E1A" w:rsidRDefault="00D57D2F" w:rsidP="00D57D2F">
            <w:pPr>
              <w:pStyle w:val="Tabletext"/>
            </w:pPr>
            <w:r w:rsidRPr="00583E1A">
              <w:t>A trust (within the meaning of Part</w:t>
            </w:r>
            <w:r w:rsidR="00583E1A">
              <w:t> </w:t>
            </w:r>
            <w:r w:rsidRPr="00583E1A">
              <w:t xml:space="preserve">X of the </w:t>
            </w:r>
            <w:r w:rsidRPr="00583E1A">
              <w:rPr>
                <w:i/>
              </w:rPr>
              <w:t>Income Tax Assessment Act 1936</w:t>
            </w:r>
            <w:r w:rsidRPr="00583E1A">
              <w:t>)</w:t>
            </w:r>
          </w:p>
        </w:tc>
        <w:tc>
          <w:tcPr>
            <w:tcW w:w="4668" w:type="dxa"/>
            <w:tcBorders>
              <w:top w:val="single" w:sz="2" w:space="0" w:color="auto"/>
              <w:bottom w:val="single" w:sz="4" w:space="0" w:color="auto"/>
            </w:tcBorders>
            <w:shd w:val="clear" w:color="auto" w:fill="auto"/>
          </w:tcPr>
          <w:p w:rsidR="00D57D2F" w:rsidRPr="00583E1A" w:rsidRDefault="00D57D2F" w:rsidP="00D57D2F">
            <w:pPr>
              <w:pStyle w:val="Tabletext"/>
            </w:pPr>
            <w:r w:rsidRPr="00583E1A">
              <w:t>the direct control interest (within the meaning of section</w:t>
            </w:r>
            <w:r w:rsidR="00583E1A">
              <w:t> </w:t>
            </w:r>
            <w:r w:rsidRPr="00583E1A">
              <w:t xml:space="preserve">351 of the </w:t>
            </w:r>
            <w:r w:rsidRPr="00583E1A">
              <w:rPr>
                <w:i/>
              </w:rPr>
              <w:t>Income Tax Assessment Act 1936</w:t>
            </w:r>
            <w:r w:rsidRPr="00583E1A">
              <w:t>) that the first entity holds in the other entity</w:t>
            </w:r>
          </w:p>
        </w:tc>
      </w:tr>
      <w:tr w:rsidR="00D57D2F" w:rsidRPr="00583E1A">
        <w:trPr>
          <w:cantSplit/>
        </w:trPr>
        <w:tc>
          <w:tcPr>
            <w:tcW w:w="550" w:type="dxa"/>
            <w:tcBorders>
              <w:top w:val="single" w:sz="4" w:space="0" w:color="auto"/>
              <w:bottom w:val="single" w:sz="12" w:space="0" w:color="000000"/>
            </w:tcBorders>
          </w:tcPr>
          <w:p w:rsidR="00D57D2F" w:rsidRPr="00583E1A" w:rsidRDefault="00D57D2F" w:rsidP="00D57D2F">
            <w:pPr>
              <w:pStyle w:val="Tabletext"/>
            </w:pPr>
            <w:r w:rsidRPr="00583E1A">
              <w:t>3</w:t>
            </w:r>
          </w:p>
        </w:tc>
        <w:tc>
          <w:tcPr>
            <w:tcW w:w="1870" w:type="dxa"/>
            <w:tcBorders>
              <w:top w:val="single" w:sz="4" w:space="0" w:color="auto"/>
              <w:bottom w:val="single" w:sz="12" w:space="0" w:color="000000"/>
            </w:tcBorders>
          </w:tcPr>
          <w:p w:rsidR="00D57D2F" w:rsidRPr="00583E1A" w:rsidRDefault="00D57D2F" w:rsidP="00D57D2F">
            <w:pPr>
              <w:pStyle w:val="Tabletext"/>
            </w:pPr>
            <w:r w:rsidRPr="00583E1A">
              <w:t xml:space="preserve">A </w:t>
            </w:r>
            <w:r w:rsidR="00175760" w:rsidRPr="00583E1A">
              <w:t>partnership</w:t>
            </w:r>
          </w:p>
        </w:tc>
        <w:tc>
          <w:tcPr>
            <w:tcW w:w="4668" w:type="dxa"/>
            <w:tcBorders>
              <w:top w:val="single" w:sz="4" w:space="0" w:color="auto"/>
              <w:bottom w:val="single" w:sz="12" w:space="0" w:color="000000"/>
            </w:tcBorders>
          </w:tcPr>
          <w:p w:rsidR="00D57D2F" w:rsidRPr="00583E1A" w:rsidRDefault="00D57D2F" w:rsidP="00D57D2F">
            <w:pPr>
              <w:pStyle w:val="Tabletext"/>
            </w:pPr>
            <w:r w:rsidRPr="00583E1A">
              <w:t>the direct control interest (within the meaning of section</w:t>
            </w:r>
            <w:r w:rsidR="00583E1A">
              <w:t> </w:t>
            </w:r>
            <w:r w:rsidRPr="00583E1A">
              <w:t xml:space="preserve">350 of the </w:t>
            </w:r>
            <w:r w:rsidRPr="00583E1A">
              <w:rPr>
                <w:i/>
              </w:rPr>
              <w:t>Income Tax Assessment Act 1936</w:t>
            </w:r>
            <w:r w:rsidRPr="00583E1A">
              <w:t xml:space="preserve">) that the first entity would hold in the other entity, if the assumptions in </w:t>
            </w:r>
            <w:r w:rsidR="00583E1A">
              <w:t>subsection (</w:t>
            </w:r>
            <w:r w:rsidRPr="00583E1A">
              <w:t>3) of this section were made</w:t>
            </w:r>
          </w:p>
        </w:tc>
      </w:tr>
    </w:tbl>
    <w:p w:rsidR="00D57D2F" w:rsidRPr="00583E1A" w:rsidRDefault="00D57D2F" w:rsidP="00D57D2F">
      <w:pPr>
        <w:pStyle w:val="subsection"/>
      </w:pPr>
      <w:r w:rsidRPr="00583E1A">
        <w:tab/>
        <w:t>(2)</w:t>
      </w:r>
      <w:r w:rsidRPr="00583E1A">
        <w:tab/>
        <w:t xml:space="preserve">For the purposes of </w:t>
      </w:r>
      <w:r w:rsidR="00583E1A">
        <w:t>subsection (</w:t>
      </w:r>
      <w:r w:rsidRPr="00583E1A">
        <w:t>1):</w:t>
      </w:r>
    </w:p>
    <w:p w:rsidR="00D57D2F" w:rsidRPr="00583E1A" w:rsidRDefault="00D57D2F" w:rsidP="00D57D2F">
      <w:pPr>
        <w:pStyle w:val="paragraph"/>
      </w:pPr>
      <w:r w:rsidRPr="00583E1A">
        <w:tab/>
        <w:t>(a)</w:t>
      </w:r>
      <w:r w:rsidRPr="00583E1A">
        <w:tab/>
        <w:t>apply sections</w:t>
      </w:r>
      <w:r w:rsidR="00583E1A">
        <w:t> </w:t>
      </w:r>
      <w:r w:rsidRPr="00583E1A">
        <w:t xml:space="preserve">350 and 351 of the </w:t>
      </w:r>
      <w:r w:rsidRPr="00583E1A">
        <w:rPr>
          <w:i/>
        </w:rPr>
        <w:t>Income Tax Assessment Act 1936</w:t>
      </w:r>
      <w:r w:rsidRPr="00583E1A">
        <w:t xml:space="preserve"> as if those sections apply for the purposes of this Division rather than only for the purposes of Part</w:t>
      </w:r>
      <w:r w:rsidR="00583E1A">
        <w:t> </w:t>
      </w:r>
      <w:r w:rsidRPr="00583E1A">
        <w:t>X of that Act; and</w:t>
      </w:r>
    </w:p>
    <w:p w:rsidR="00D57D2F" w:rsidRPr="00583E1A" w:rsidRDefault="00D57D2F" w:rsidP="00D57D2F">
      <w:pPr>
        <w:pStyle w:val="paragraph"/>
      </w:pPr>
      <w:r w:rsidRPr="00583E1A">
        <w:tab/>
        <w:t>(b)</w:t>
      </w:r>
      <w:r w:rsidRPr="00583E1A">
        <w:tab/>
        <w:t>do not apply subsections 350(6) and (7) and 351(3) and (4) of that Act.</w:t>
      </w:r>
    </w:p>
    <w:p w:rsidR="00D57D2F" w:rsidRPr="00583E1A" w:rsidRDefault="00D57D2F" w:rsidP="00D57D2F">
      <w:pPr>
        <w:pStyle w:val="subsection"/>
      </w:pPr>
      <w:r w:rsidRPr="00583E1A">
        <w:tab/>
        <w:t>(3)</w:t>
      </w:r>
      <w:r w:rsidRPr="00583E1A">
        <w:tab/>
        <w:t>For the purposes of item</w:t>
      </w:r>
      <w:r w:rsidR="00583E1A">
        <w:t> </w:t>
      </w:r>
      <w:r w:rsidRPr="00583E1A">
        <w:t xml:space="preserve">3 of the table in </w:t>
      </w:r>
      <w:r w:rsidR="00583E1A">
        <w:t>subsection (</w:t>
      </w:r>
      <w:r w:rsidRPr="00583E1A">
        <w:t>1), assume that:</w:t>
      </w:r>
    </w:p>
    <w:p w:rsidR="00D57D2F" w:rsidRPr="00583E1A" w:rsidRDefault="00D57D2F" w:rsidP="00D57D2F">
      <w:pPr>
        <w:pStyle w:val="paragraph"/>
      </w:pPr>
      <w:r w:rsidRPr="00583E1A">
        <w:tab/>
        <w:t>(a)</w:t>
      </w:r>
      <w:r w:rsidRPr="00583E1A">
        <w:tab/>
        <w:t xml:space="preserve">the </w:t>
      </w:r>
      <w:r w:rsidR="00583E1A" w:rsidRPr="00583E1A">
        <w:rPr>
          <w:position w:val="6"/>
          <w:sz w:val="16"/>
        </w:rPr>
        <w:t>*</w:t>
      </w:r>
      <w:r w:rsidRPr="00583E1A">
        <w:t>partnership is a company; and</w:t>
      </w:r>
    </w:p>
    <w:p w:rsidR="00D57D2F" w:rsidRPr="00583E1A" w:rsidRDefault="00D57D2F" w:rsidP="00D57D2F">
      <w:pPr>
        <w:pStyle w:val="paragraph"/>
      </w:pPr>
      <w:r w:rsidRPr="00583E1A">
        <w:tab/>
        <w:t>(b)</w:t>
      </w:r>
      <w:r w:rsidRPr="00583E1A">
        <w:tab/>
        <w:t>the partners in the partnership are shareholders in the company; and</w:t>
      </w:r>
    </w:p>
    <w:p w:rsidR="00D57D2F" w:rsidRPr="00583E1A" w:rsidRDefault="00D57D2F" w:rsidP="00D57D2F">
      <w:pPr>
        <w:pStyle w:val="paragraph"/>
      </w:pPr>
      <w:r w:rsidRPr="00583E1A">
        <w:tab/>
        <w:t>(c)</w:t>
      </w:r>
      <w:r w:rsidRPr="00583E1A">
        <w:tab/>
        <w:t>the total amount of assets or capital contributed to the partnership is the total paid</w:t>
      </w:r>
      <w:r w:rsidR="00583E1A">
        <w:noBreakHyphen/>
      </w:r>
      <w:r w:rsidRPr="00583E1A">
        <w:t>up share capital of the company; and</w:t>
      </w:r>
    </w:p>
    <w:p w:rsidR="00D57D2F" w:rsidRPr="00583E1A" w:rsidRDefault="00D57D2F" w:rsidP="00D57D2F">
      <w:pPr>
        <w:pStyle w:val="paragraph"/>
      </w:pPr>
      <w:r w:rsidRPr="00583E1A">
        <w:lastRenderedPageBreak/>
        <w:tab/>
        <w:t>(d)</w:t>
      </w:r>
      <w:r w:rsidRPr="00583E1A">
        <w:tab/>
        <w:t>a partner’s right of distribution of capital, assets or profits on the dissolution of the partnership is a shareholder’s right to distribution of capital or profits of the company on winding</w:t>
      </w:r>
      <w:r w:rsidR="00583E1A">
        <w:noBreakHyphen/>
      </w:r>
      <w:r w:rsidRPr="00583E1A">
        <w:t>up; and</w:t>
      </w:r>
    </w:p>
    <w:p w:rsidR="00D57D2F" w:rsidRPr="00583E1A" w:rsidRDefault="00D57D2F" w:rsidP="00D57D2F">
      <w:pPr>
        <w:pStyle w:val="paragraph"/>
      </w:pPr>
      <w:r w:rsidRPr="00583E1A">
        <w:tab/>
        <w:t>(e)</w:t>
      </w:r>
      <w:r w:rsidRPr="00583E1A">
        <w:tab/>
        <w:t>a partner’s right of distribution of capital, assets or profits otherwise than on the dissolution of the partnership is a shareholder’s right to distribution of capital or profits of the company otherwise than on winding</w:t>
      </w:r>
      <w:r w:rsidR="00583E1A">
        <w:noBreakHyphen/>
      </w:r>
      <w:r w:rsidRPr="00583E1A">
        <w:t>up.</w:t>
      </w:r>
    </w:p>
    <w:p w:rsidR="00D57D2F" w:rsidRPr="00583E1A" w:rsidRDefault="00D57D2F" w:rsidP="00D57D2F">
      <w:pPr>
        <w:pStyle w:val="ActHead5"/>
      </w:pPr>
      <w:bookmarkStart w:id="544" w:name="_Toc338939618"/>
      <w:r w:rsidRPr="00583E1A">
        <w:rPr>
          <w:rStyle w:val="CharSectno"/>
        </w:rPr>
        <w:t>960</w:t>
      </w:r>
      <w:r w:rsidR="00583E1A">
        <w:rPr>
          <w:rStyle w:val="CharSectno"/>
        </w:rPr>
        <w:noBreakHyphen/>
      </w:r>
      <w:r w:rsidRPr="00583E1A">
        <w:rPr>
          <w:rStyle w:val="CharSectno"/>
        </w:rPr>
        <w:t>195</w:t>
      </w:r>
      <w:r w:rsidRPr="00583E1A">
        <w:t xml:space="preserve">  Non</w:t>
      </w:r>
      <w:r w:rsidR="00583E1A">
        <w:noBreakHyphen/>
      </w:r>
      <w:r w:rsidRPr="00583E1A">
        <w:t>portfolio interest test</w:t>
      </w:r>
      <w:bookmarkEnd w:id="544"/>
    </w:p>
    <w:p w:rsidR="00D57D2F" w:rsidRPr="00583E1A" w:rsidRDefault="00D57D2F" w:rsidP="00D57D2F">
      <w:pPr>
        <w:pStyle w:val="subsection"/>
      </w:pPr>
      <w:r w:rsidRPr="00583E1A">
        <w:tab/>
      </w:r>
      <w:r w:rsidRPr="00583E1A">
        <w:tab/>
        <w:t xml:space="preserve">An interest held by an entity (the </w:t>
      </w:r>
      <w:r w:rsidRPr="00583E1A">
        <w:rPr>
          <w:b/>
          <w:i/>
        </w:rPr>
        <w:t>holding entity</w:t>
      </w:r>
      <w:r w:rsidRPr="00583E1A">
        <w:t xml:space="preserve">) in another entity (the </w:t>
      </w:r>
      <w:r w:rsidRPr="00583E1A">
        <w:rPr>
          <w:b/>
          <w:i/>
        </w:rPr>
        <w:t>test entity</w:t>
      </w:r>
      <w:r w:rsidRPr="00583E1A">
        <w:t>) passes the non</w:t>
      </w:r>
      <w:r w:rsidR="00583E1A">
        <w:noBreakHyphen/>
      </w:r>
      <w:r w:rsidRPr="00583E1A">
        <w:t xml:space="preserve">portfolio interest test at a time if the sum of the </w:t>
      </w:r>
      <w:r w:rsidR="00583E1A" w:rsidRPr="00583E1A">
        <w:rPr>
          <w:position w:val="6"/>
          <w:sz w:val="16"/>
        </w:rPr>
        <w:t>*</w:t>
      </w:r>
      <w:r w:rsidRPr="00583E1A">
        <w:t xml:space="preserve">direct participation interests held by the holding entity and its </w:t>
      </w:r>
      <w:r w:rsidR="00583E1A" w:rsidRPr="00583E1A">
        <w:rPr>
          <w:position w:val="6"/>
          <w:sz w:val="16"/>
        </w:rPr>
        <w:t>*</w:t>
      </w:r>
      <w:r w:rsidRPr="00583E1A">
        <w:t>associates in the test entity at that time is 10% or more.</w:t>
      </w:r>
    </w:p>
    <w:p w:rsidR="00887330" w:rsidRPr="00583E1A" w:rsidRDefault="00887330" w:rsidP="00887330">
      <w:pPr>
        <w:pStyle w:val="ActHead4"/>
      </w:pPr>
      <w:bookmarkStart w:id="545" w:name="_Toc338939619"/>
      <w:r w:rsidRPr="00583E1A">
        <w:rPr>
          <w:rStyle w:val="CharSubdNo"/>
        </w:rPr>
        <w:t>Subdivision</w:t>
      </w:r>
      <w:r w:rsidR="00583E1A">
        <w:rPr>
          <w:rStyle w:val="CharSubdNo"/>
        </w:rPr>
        <w:t> </w:t>
      </w:r>
      <w:r w:rsidRPr="00583E1A">
        <w:rPr>
          <w:rStyle w:val="CharSubdNo"/>
        </w:rPr>
        <w:t>960</w:t>
      </w:r>
      <w:r w:rsidR="00583E1A">
        <w:rPr>
          <w:rStyle w:val="CharSubdNo"/>
        </w:rPr>
        <w:noBreakHyphen/>
      </w:r>
      <w:r w:rsidRPr="00583E1A">
        <w:rPr>
          <w:rStyle w:val="CharSubdNo"/>
        </w:rPr>
        <w:t>H</w:t>
      </w:r>
      <w:r w:rsidRPr="00583E1A">
        <w:t>—</w:t>
      </w:r>
      <w:r w:rsidRPr="00583E1A">
        <w:rPr>
          <w:rStyle w:val="CharSubdText"/>
        </w:rPr>
        <w:t>Abnormal trading in shares or units</w:t>
      </w:r>
      <w:bookmarkEnd w:id="545"/>
    </w:p>
    <w:p w:rsidR="00887330" w:rsidRPr="00583E1A" w:rsidRDefault="00887330" w:rsidP="00887330">
      <w:pPr>
        <w:pStyle w:val="TofSectsHeading"/>
      </w:pPr>
      <w:r w:rsidRPr="00583E1A">
        <w:t>Table of sections</w:t>
      </w:r>
    </w:p>
    <w:p w:rsidR="00887330" w:rsidRPr="00583E1A" w:rsidRDefault="00887330" w:rsidP="00887330">
      <w:pPr>
        <w:pStyle w:val="TofSectsSection"/>
      </w:pPr>
      <w:r w:rsidRPr="00583E1A">
        <w:t>960</w:t>
      </w:r>
      <w:r w:rsidR="00583E1A">
        <w:noBreakHyphen/>
      </w:r>
      <w:r w:rsidRPr="00583E1A">
        <w:t>220</w:t>
      </w:r>
      <w:r w:rsidRPr="00583E1A">
        <w:tab/>
        <w:t xml:space="preserve">Meaning of </w:t>
      </w:r>
      <w:r w:rsidRPr="00583E1A">
        <w:rPr>
          <w:i/>
        </w:rPr>
        <w:t>trading</w:t>
      </w:r>
    </w:p>
    <w:p w:rsidR="00887330" w:rsidRPr="00583E1A" w:rsidRDefault="00887330" w:rsidP="00887330">
      <w:pPr>
        <w:pStyle w:val="TofSectsSection"/>
      </w:pPr>
      <w:r w:rsidRPr="00583E1A">
        <w:t>960</w:t>
      </w:r>
      <w:r w:rsidR="00583E1A">
        <w:noBreakHyphen/>
      </w:r>
      <w:r w:rsidRPr="00583E1A">
        <w:t>225</w:t>
      </w:r>
      <w:r w:rsidRPr="00583E1A">
        <w:tab/>
        <w:t>Abnormal trading</w:t>
      </w:r>
    </w:p>
    <w:p w:rsidR="00887330" w:rsidRPr="00583E1A" w:rsidRDefault="00887330" w:rsidP="00887330">
      <w:pPr>
        <w:pStyle w:val="TofSectsSection"/>
      </w:pPr>
      <w:r w:rsidRPr="00583E1A">
        <w:t>960</w:t>
      </w:r>
      <w:r w:rsidR="00583E1A">
        <w:noBreakHyphen/>
      </w:r>
      <w:r w:rsidRPr="00583E1A">
        <w:t>230</w:t>
      </w:r>
      <w:r w:rsidRPr="00583E1A">
        <w:tab/>
        <w:t>Abnormal trading—5% of shares or units in one transaction</w:t>
      </w:r>
    </w:p>
    <w:p w:rsidR="00887330" w:rsidRPr="00583E1A" w:rsidRDefault="00887330" w:rsidP="00887330">
      <w:pPr>
        <w:pStyle w:val="TofSectsSection"/>
      </w:pPr>
      <w:r w:rsidRPr="00583E1A">
        <w:t>960</w:t>
      </w:r>
      <w:r w:rsidR="00583E1A">
        <w:noBreakHyphen/>
      </w:r>
      <w:r w:rsidRPr="00583E1A">
        <w:t>235</w:t>
      </w:r>
      <w:r w:rsidRPr="00583E1A">
        <w:tab/>
        <w:t>Abnormal trading—suspected 5% of shares or units in a series of transactions</w:t>
      </w:r>
    </w:p>
    <w:p w:rsidR="00887330" w:rsidRPr="00583E1A" w:rsidRDefault="00887330" w:rsidP="00887330">
      <w:pPr>
        <w:pStyle w:val="TofSectsSection"/>
      </w:pPr>
      <w:r w:rsidRPr="00583E1A">
        <w:t>960</w:t>
      </w:r>
      <w:r w:rsidR="00583E1A">
        <w:noBreakHyphen/>
      </w:r>
      <w:r w:rsidRPr="00583E1A">
        <w:t>240</w:t>
      </w:r>
      <w:r w:rsidRPr="00583E1A">
        <w:tab/>
        <w:t>Abnormal trading—suspected acquisition or merger</w:t>
      </w:r>
    </w:p>
    <w:p w:rsidR="00887330" w:rsidRPr="00583E1A" w:rsidRDefault="00887330" w:rsidP="00887330">
      <w:pPr>
        <w:pStyle w:val="TofSectsSection"/>
      </w:pPr>
      <w:r w:rsidRPr="00583E1A">
        <w:t>960</w:t>
      </w:r>
      <w:r w:rsidR="00583E1A">
        <w:noBreakHyphen/>
      </w:r>
      <w:r w:rsidRPr="00583E1A">
        <w:t>245</w:t>
      </w:r>
      <w:r w:rsidRPr="00583E1A">
        <w:tab/>
        <w:t>Abnormal trading—20% of shares or units traded over 60 day period</w:t>
      </w:r>
    </w:p>
    <w:p w:rsidR="00887330" w:rsidRPr="00583E1A" w:rsidRDefault="00887330" w:rsidP="00887330">
      <w:pPr>
        <w:pStyle w:val="ActHead5"/>
      </w:pPr>
      <w:bookmarkStart w:id="546" w:name="_Toc338939620"/>
      <w:r w:rsidRPr="00583E1A">
        <w:rPr>
          <w:rStyle w:val="CharSectno"/>
        </w:rPr>
        <w:t>960</w:t>
      </w:r>
      <w:r w:rsidR="00583E1A">
        <w:rPr>
          <w:rStyle w:val="CharSectno"/>
        </w:rPr>
        <w:noBreakHyphen/>
      </w:r>
      <w:r w:rsidRPr="00583E1A">
        <w:rPr>
          <w:rStyle w:val="CharSectno"/>
        </w:rPr>
        <w:t>220</w:t>
      </w:r>
      <w:r w:rsidRPr="00583E1A">
        <w:t xml:space="preserve">  Meaning of </w:t>
      </w:r>
      <w:r w:rsidRPr="00583E1A">
        <w:rPr>
          <w:i/>
        </w:rPr>
        <w:t>trading</w:t>
      </w:r>
      <w:bookmarkEnd w:id="546"/>
    </w:p>
    <w:p w:rsidR="00887330" w:rsidRPr="00583E1A" w:rsidRDefault="00887330" w:rsidP="00887330">
      <w:pPr>
        <w:pStyle w:val="SubsectionHead"/>
      </w:pPr>
      <w:r w:rsidRPr="00583E1A">
        <w:t>Shares in a listed public company</w:t>
      </w:r>
    </w:p>
    <w:p w:rsidR="00887330" w:rsidRPr="00583E1A" w:rsidRDefault="00887330" w:rsidP="00887330">
      <w:pPr>
        <w:pStyle w:val="subsection"/>
      </w:pPr>
      <w:r w:rsidRPr="00583E1A">
        <w:tab/>
        <w:t>(1)</w:t>
      </w:r>
      <w:r w:rsidRPr="00583E1A">
        <w:tab/>
        <w:t xml:space="preserve">There is a </w:t>
      </w:r>
      <w:r w:rsidRPr="00583E1A">
        <w:rPr>
          <w:b/>
          <w:i/>
        </w:rPr>
        <w:t>trading</w:t>
      </w:r>
      <w:r w:rsidRPr="00583E1A">
        <w:t xml:space="preserve"> in </w:t>
      </w:r>
      <w:r w:rsidR="00583E1A" w:rsidRPr="00583E1A">
        <w:rPr>
          <w:position w:val="6"/>
          <w:sz w:val="16"/>
        </w:rPr>
        <w:t>*</w:t>
      </w:r>
      <w:r w:rsidRPr="00583E1A">
        <w:t>shares in a company if there is an issue, redemption or transfer of those shares, or any other dealing in those shares, but only if it changes the respective proportions in which all the registered holders of shares in the company:</w:t>
      </w:r>
    </w:p>
    <w:p w:rsidR="00887330" w:rsidRPr="00583E1A" w:rsidRDefault="00887330" w:rsidP="00887330">
      <w:pPr>
        <w:pStyle w:val="paragraph"/>
      </w:pPr>
      <w:r w:rsidRPr="00583E1A">
        <w:tab/>
        <w:t>(a)</w:t>
      </w:r>
      <w:r w:rsidRPr="00583E1A">
        <w:tab/>
        <w:t>can exercise the voting power in the company; or</w:t>
      </w:r>
    </w:p>
    <w:p w:rsidR="00887330" w:rsidRPr="00583E1A" w:rsidRDefault="00887330" w:rsidP="00887330">
      <w:pPr>
        <w:pStyle w:val="paragraph"/>
      </w:pPr>
      <w:r w:rsidRPr="00583E1A">
        <w:tab/>
        <w:t>(b)</w:t>
      </w:r>
      <w:r w:rsidRPr="00583E1A">
        <w:tab/>
        <w:t>have the right to receive, as registered holders (whether or not for their own benefit) any dividends that the company may pay; or</w:t>
      </w:r>
    </w:p>
    <w:p w:rsidR="00887330" w:rsidRPr="00583E1A" w:rsidRDefault="00887330" w:rsidP="00887330">
      <w:pPr>
        <w:pStyle w:val="paragraph"/>
      </w:pPr>
      <w:r w:rsidRPr="00583E1A">
        <w:lastRenderedPageBreak/>
        <w:tab/>
        <w:t>(c)</w:t>
      </w:r>
      <w:r w:rsidRPr="00583E1A">
        <w:tab/>
        <w:t>have the right to receive, as registered holders (whether or not for their own benefit) any distribution of capital of the company.</w:t>
      </w:r>
    </w:p>
    <w:p w:rsidR="00887330" w:rsidRPr="00583E1A" w:rsidRDefault="00887330" w:rsidP="00887330">
      <w:pPr>
        <w:pStyle w:val="notetext"/>
        <w:tabs>
          <w:tab w:val="left" w:pos="2268"/>
          <w:tab w:val="left" w:pos="3402"/>
          <w:tab w:val="left" w:pos="4536"/>
          <w:tab w:val="left" w:pos="5670"/>
          <w:tab w:val="left" w:pos="6804"/>
        </w:tabs>
      </w:pPr>
      <w:r w:rsidRPr="00583E1A">
        <w:t>Note:</w:t>
      </w:r>
      <w:r w:rsidRPr="00583E1A">
        <w:tab/>
        <w:t>A special rule applies in working out whether an asset has stopped being a pre</w:t>
      </w:r>
      <w:r w:rsidR="00583E1A">
        <w:noBreakHyphen/>
      </w:r>
      <w:r w:rsidRPr="00583E1A">
        <w:t>CGT asset: see section</w:t>
      </w:r>
      <w:r w:rsidR="00583E1A">
        <w:t> </w:t>
      </w:r>
      <w:r w:rsidRPr="00583E1A">
        <w:t>149</w:t>
      </w:r>
      <w:r w:rsidR="00583E1A">
        <w:noBreakHyphen/>
      </w:r>
      <w:r w:rsidRPr="00583E1A">
        <w:t>10.</w:t>
      </w:r>
    </w:p>
    <w:p w:rsidR="00887330" w:rsidRPr="00583E1A" w:rsidRDefault="00887330" w:rsidP="00887330">
      <w:pPr>
        <w:pStyle w:val="SubsectionHead"/>
      </w:pPr>
      <w:r w:rsidRPr="00583E1A">
        <w:t>Units in a unit trust</w:t>
      </w:r>
    </w:p>
    <w:p w:rsidR="00887330" w:rsidRPr="00583E1A" w:rsidRDefault="00887330" w:rsidP="00887330">
      <w:pPr>
        <w:pStyle w:val="subsection"/>
      </w:pPr>
      <w:r w:rsidRPr="00583E1A">
        <w:tab/>
        <w:t>(2)</w:t>
      </w:r>
      <w:r w:rsidRPr="00583E1A">
        <w:tab/>
        <w:t xml:space="preserve">There is a </w:t>
      </w:r>
      <w:r w:rsidRPr="00583E1A">
        <w:rPr>
          <w:b/>
          <w:i/>
        </w:rPr>
        <w:t>trading</w:t>
      </w:r>
      <w:r w:rsidRPr="00583E1A">
        <w:t xml:space="preserve"> in units in a unit trust if there is an issue, redemption or transfer of those units, or any other dealing in those units, but only if it changes the respective proportions in which all the registered holders of units in the trust hold (whether beneficially or not) interests in the trust income or trust capital.</w:t>
      </w:r>
    </w:p>
    <w:p w:rsidR="00887330" w:rsidRPr="00583E1A" w:rsidRDefault="00887330" w:rsidP="00887330">
      <w:pPr>
        <w:pStyle w:val="notetext"/>
        <w:tabs>
          <w:tab w:val="left" w:pos="2268"/>
          <w:tab w:val="left" w:pos="3402"/>
          <w:tab w:val="left" w:pos="4536"/>
          <w:tab w:val="left" w:pos="5670"/>
          <w:tab w:val="left" w:pos="6804"/>
        </w:tabs>
      </w:pPr>
      <w:r w:rsidRPr="00583E1A">
        <w:t>Note:</w:t>
      </w:r>
      <w:r w:rsidRPr="00583E1A">
        <w:tab/>
        <w:t>A special rule applies in working out whether an asset has stopped being a pre</w:t>
      </w:r>
      <w:r w:rsidR="00583E1A">
        <w:noBreakHyphen/>
      </w:r>
      <w:r w:rsidRPr="00583E1A">
        <w:t>CGT asset: see section</w:t>
      </w:r>
      <w:r w:rsidR="00583E1A">
        <w:t> </w:t>
      </w:r>
      <w:r w:rsidRPr="00583E1A">
        <w:t>149</w:t>
      </w:r>
      <w:r w:rsidR="00583E1A">
        <w:noBreakHyphen/>
      </w:r>
      <w:r w:rsidRPr="00583E1A">
        <w:t>10.</w:t>
      </w:r>
    </w:p>
    <w:p w:rsidR="00887330" w:rsidRPr="00583E1A" w:rsidRDefault="00887330" w:rsidP="00887330">
      <w:pPr>
        <w:pStyle w:val="ActHead5"/>
      </w:pPr>
      <w:bookmarkStart w:id="547" w:name="_Toc338939621"/>
      <w:r w:rsidRPr="00583E1A">
        <w:rPr>
          <w:rStyle w:val="CharSectno"/>
        </w:rPr>
        <w:t>960</w:t>
      </w:r>
      <w:r w:rsidR="00583E1A">
        <w:rPr>
          <w:rStyle w:val="CharSectno"/>
        </w:rPr>
        <w:noBreakHyphen/>
      </w:r>
      <w:r w:rsidRPr="00583E1A">
        <w:rPr>
          <w:rStyle w:val="CharSectno"/>
        </w:rPr>
        <w:t>225</w:t>
      </w:r>
      <w:r w:rsidRPr="00583E1A">
        <w:t xml:space="preserve">  Abnormal trading</w:t>
      </w:r>
      <w:bookmarkEnd w:id="547"/>
    </w:p>
    <w:p w:rsidR="00887330" w:rsidRPr="00583E1A" w:rsidRDefault="00887330" w:rsidP="00887330">
      <w:pPr>
        <w:pStyle w:val="subsection"/>
      </w:pPr>
      <w:r w:rsidRPr="00583E1A">
        <w:tab/>
        <w:t>(1)</w:t>
      </w:r>
      <w:r w:rsidRPr="00583E1A">
        <w:tab/>
        <w:t xml:space="preserve">There is an </w:t>
      </w:r>
      <w:r w:rsidRPr="00583E1A">
        <w:rPr>
          <w:b/>
          <w:i/>
        </w:rPr>
        <w:t>abnormal trading</w:t>
      </w:r>
      <w:r w:rsidRPr="00583E1A">
        <w:t xml:space="preserve"> in </w:t>
      </w:r>
      <w:r w:rsidR="00583E1A" w:rsidRPr="00583E1A">
        <w:rPr>
          <w:position w:val="6"/>
          <w:sz w:val="16"/>
        </w:rPr>
        <w:t>*</w:t>
      </w:r>
      <w:r w:rsidRPr="00583E1A">
        <w:t xml:space="preserve">shares in a company, or in units in a unit trust, if a </w:t>
      </w:r>
      <w:r w:rsidR="00583E1A" w:rsidRPr="00583E1A">
        <w:rPr>
          <w:position w:val="6"/>
          <w:sz w:val="16"/>
        </w:rPr>
        <w:t>*</w:t>
      </w:r>
      <w:r w:rsidRPr="00583E1A">
        <w:t>trading in the shares or units is abnormal having regard to all relevant factors, including these:</w:t>
      </w:r>
    </w:p>
    <w:p w:rsidR="00887330" w:rsidRPr="00583E1A" w:rsidRDefault="00887330" w:rsidP="00887330">
      <w:pPr>
        <w:pStyle w:val="paragraph"/>
      </w:pPr>
      <w:r w:rsidRPr="00583E1A">
        <w:tab/>
        <w:t>(a)</w:t>
      </w:r>
      <w:r w:rsidRPr="00583E1A">
        <w:tab/>
        <w:t>the timing of the trading, when compared with the normal timing for trading in the company’s shares or in the trust’s units;</w:t>
      </w:r>
    </w:p>
    <w:p w:rsidR="00887330" w:rsidRPr="00583E1A" w:rsidRDefault="00887330" w:rsidP="00887330">
      <w:pPr>
        <w:pStyle w:val="paragraph"/>
      </w:pPr>
      <w:r w:rsidRPr="00583E1A">
        <w:tab/>
        <w:t>(b)</w:t>
      </w:r>
      <w:r w:rsidRPr="00583E1A">
        <w:tab/>
        <w:t>the number of shares or units traded, when compared with the normal number of the company’s shares, or the trust’s units, traded;</w:t>
      </w:r>
    </w:p>
    <w:p w:rsidR="00887330" w:rsidRPr="00583E1A" w:rsidRDefault="00887330" w:rsidP="00887330">
      <w:pPr>
        <w:pStyle w:val="paragraph"/>
      </w:pPr>
      <w:r w:rsidRPr="00583E1A">
        <w:tab/>
        <w:t>(c)</w:t>
      </w:r>
      <w:r w:rsidRPr="00583E1A">
        <w:tab/>
        <w:t>any connection between the trading and any other trading in the company’s shares or in the trust’s units;</w:t>
      </w:r>
    </w:p>
    <w:p w:rsidR="00887330" w:rsidRPr="00583E1A" w:rsidRDefault="00887330" w:rsidP="00887330">
      <w:pPr>
        <w:pStyle w:val="paragraph"/>
      </w:pPr>
      <w:r w:rsidRPr="00583E1A">
        <w:tab/>
        <w:t>(d)</w:t>
      </w:r>
      <w:r w:rsidRPr="00583E1A">
        <w:tab/>
        <w:t xml:space="preserve">any connection between the trading and a </w:t>
      </w:r>
      <w:r w:rsidR="00583E1A" w:rsidRPr="00583E1A">
        <w:rPr>
          <w:position w:val="6"/>
          <w:sz w:val="16"/>
        </w:rPr>
        <w:t>*</w:t>
      </w:r>
      <w:r w:rsidRPr="00583E1A">
        <w:t>tax loss or other deduction of the company or trust.</w:t>
      </w:r>
    </w:p>
    <w:p w:rsidR="00887330" w:rsidRPr="00583E1A" w:rsidRDefault="00887330" w:rsidP="00887330">
      <w:pPr>
        <w:pStyle w:val="subsection"/>
      </w:pPr>
      <w:r w:rsidRPr="00583E1A">
        <w:tab/>
        <w:t>(2)</w:t>
      </w:r>
      <w:r w:rsidRPr="00583E1A">
        <w:tab/>
        <w:t>There may also be an abnormal trading under any of the following provisions.</w:t>
      </w:r>
    </w:p>
    <w:p w:rsidR="00887330" w:rsidRPr="00583E1A" w:rsidRDefault="00887330" w:rsidP="00887330">
      <w:pPr>
        <w:pStyle w:val="ActHead5"/>
      </w:pPr>
      <w:bookmarkStart w:id="548" w:name="_Toc338939622"/>
      <w:r w:rsidRPr="00583E1A">
        <w:rPr>
          <w:rStyle w:val="CharSectno"/>
        </w:rPr>
        <w:lastRenderedPageBreak/>
        <w:t>960</w:t>
      </w:r>
      <w:r w:rsidR="00583E1A">
        <w:rPr>
          <w:rStyle w:val="CharSectno"/>
        </w:rPr>
        <w:noBreakHyphen/>
      </w:r>
      <w:r w:rsidRPr="00583E1A">
        <w:rPr>
          <w:rStyle w:val="CharSectno"/>
        </w:rPr>
        <w:t>230</w:t>
      </w:r>
      <w:r w:rsidRPr="00583E1A">
        <w:t xml:space="preserve">  Abnormal trading—5% of shares or units in one transaction</w:t>
      </w:r>
      <w:bookmarkEnd w:id="548"/>
    </w:p>
    <w:p w:rsidR="00887330" w:rsidRPr="00583E1A" w:rsidRDefault="00887330" w:rsidP="00887330">
      <w:pPr>
        <w:pStyle w:val="subsection"/>
      </w:pPr>
      <w:r w:rsidRPr="00583E1A">
        <w:tab/>
      </w:r>
      <w:r w:rsidRPr="00583E1A">
        <w:tab/>
        <w:t xml:space="preserve">There is an </w:t>
      </w:r>
      <w:r w:rsidRPr="00583E1A">
        <w:rPr>
          <w:b/>
          <w:i/>
        </w:rPr>
        <w:t>abnormal trading</w:t>
      </w:r>
      <w:r w:rsidRPr="00583E1A">
        <w:t xml:space="preserve"> in </w:t>
      </w:r>
      <w:r w:rsidR="00583E1A" w:rsidRPr="00583E1A">
        <w:rPr>
          <w:position w:val="6"/>
          <w:sz w:val="16"/>
        </w:rPr>
        <w:t>*</w:t>
      </w:r>
      <w:r w:rsidRPr="00583E1A">
        <w:t xml:space="preserve">shares in a company, or in units in a unit trust, if 5% or more of the shares or units are </w:t>
      </w:r>
      <w:r w:rsidR="00583E1A" w:rsidRPr="00583E1A">
        <w:rPr>
          <w:position w:val="6"/>
          <w:sz w:val="16"/>
        </w:rPr>
        <w:t>*</w:t>
      </w:r>
      <w:r w:rsidRPr="00583E1A">
        <w:t>traded in one transaction.</w:t>
      </w:r>
    </w:p>
    <w:p w:rsidR="00887330" w:rsidRPr="00583E1A" w:rsidRDefault="00887330" w:rsidP="00887330">
      <w:pPr>
        <w:pStyle w:val="ActHead5"/>
      </w:pPr>
      <w:bookmarkStart w:id="549" w:name="_Toc338939623"/>
      <w:r w:rsidRPr="00583E1A">
        <w:rPr>
          <w:rStyle w:val="CharSectno"/>
        </w:rPr>
        <w:t>960</w:t>
      </w:r>
      <w:r w:rsidR="00583E1A">
        <w:rPr>
          <w:rStyle w:val="CharSectno"/>
        </w:rPr>
        <w:noBreakHyphen/>
      </w:r>
      <w:r w:rsidRPr="00583E1A">
        <w:rPr>
          <w:rStyle w:val="CharSectno"/>
        </w:rPr>
        <w:t>235</w:t>
      </w:r>
      <w:r w:rsidRPr="00583E1A">
        <w:t xml:space="preserve">  Abnormal trading—suspected 5% of shares or units in a series of transactions</w:t>
      </w:r>
      <w:bookmarkEnd w:id="549"/>
    </w:p>
    <w:p w:rsidR="00887330" w:rsidRPr="00583E1A" w:rsidRDefault="00887330" w:rsidP="00887330">
      <w:pPr>
        <w:pStyle w:val="subsection"/>
      </w:pPr>
      <w:r w:rsidRPr="00583E1A">
        <w:tab/>
        <w:t>(1)</w:t>
      </w:r>
      <w:r w:rsidRPr="00583E1A">
        <w:tab/>
        <w:t xml:space="preserve">There is an </w:t>
      </w:r>
      <w:r w:rsidRPr="00583E1A">
        <w:rPr>
          <w:b/>
          <w:i/>
        </w:rPr>
        <w:t>abnormal trading</w:t>
      </w:r>
      <w:r w:rsidRPr="00583E1A">
        <w:t xml:space="preserve"> in </w:t>
      </w:r>
      <w:r w:rsidR="00583E1A" w:rsidRPr="00583E1A">
        <w:rPr>
          <w:position w:val="6"/>
          <w:sz w:val="16"/>
        </w:rPr>
        <w:t>*</w:t>
      </w:r>
      <w:r w:rsidRPr="00583E1A">
        <w:t xml:space="preserve">shares in a company, or in units in a unit trust, if the company or trustee knows or reasonably suspects that an entity (or an entity and one or more of the entity’s </w:t>
      </w:r>
      <w:r w:rsidR="00583E1A" w:rsidRPr="00583E1A">
        <w:rPr>
          <w:position w:val="6"/>
          <w:sz w:val="16"/>
        </w:rPr>
        <w:t>*</w:t>
      </w:r>
      <w:r w:rsidRPr="00583E1A">
        <w:t xml:space="preserve">associates) has acquired (or redeemed) 5% or more of the shares or units in 2 or more transactions and would not have done so if the company or trust did not have a </w:t>
      </w:r>
      <w:r w:rsidR="00583E1A" w:rsidRPr="00583E1A">
        <w:rPr>
          <w:position w:val="6"/>
          <w:sz w:val="16"/>
        </w:rPr>
        <w:t>*</w:t>
      </w:r>
      <w:r w:rsidRPr="00583E1A">
        <w:t>tax loss or other deduction.</w:t>
      </w:r>
    </w:p>
    <w:p w:rsidR="00887330" w:rsidRPr="00583E1A" w:rsidRDefault="00887330" w:rsidP="00887330">
      <w:pPr>
        <w:pStyle w:val="SubsectionHead"/>
      </w:pPr>
      <w:r w:rsidRPr="00583E1A">
        <w:t>Time when abnormal trading happens</w:t>
      </w:r>
    </w:p>
    <w:p w:rsidR="00887330" w:rsidRPr="00583E1A" w:rsidRDefault="00887330" w:rsidP="00887330">
      <w:pPr>
        <w:pStyle w:val="subsection"/>
      </w:pPr>
      <w:r w:rsidRPr="00583E1A">
        <w:tab/>
        <w:t>(2)</w:t>
      </w:r>
      <w:r w:rsidRPr="00583E1A">
        <w:tab/>
        <w:t xml:space="preserve">The </w:t>
      </w:r>
      <w:r w:rsidR="00583E1A" w:rsidRPr="00583E1A">
        <w:rPr>
          <w:position w:val="6"/>
          <w:sz w:val="16"/>
        </w:rPr>
        <w:t>*</w:t>
      </w:r>
      <w:r w:rsidRPr="00583E1A">
        <w:t>abnormal trading happens at the time of the particular transaction that causes the 5% figure to be exceeded.</w:t>
      </w:r>
    </w:p>
    <w:p w:rsidR="00887330" w:rsidRPr="00583E1A" w:rsidRDefault="00887330" w:rsidP="00887330">
      <w:pPr>
        <w:pStyle w:val="ActHead5"/>
      </w:pPr>
      <w:bookmarkStart w:id="550" w:name="_Toc338939624"/>
      <w:r w:rsidRPr="00583E1A">
        <w:rPr>
          <w:rStyle w:val="CharSectno"/>
        </w:rPr>
        <w:t>960</w:t>
      </w:r>
      <w:r w:rsidR="00583E1A">
        <w:rPr>
          <w:rStyle w:val="CharSectno"/>
        </w:rPr>
        <w:noBreakHyphen/>
      </w:r>
      <w:r w:rsidRPr="00583E1A">
        <w:rPr>
          <w:rStyle w:val="CharSectno"/>
        </w:rPr>
        <w:t>240</w:t>
      </w:r>
      <w:r w:rsidRPr="00583E1A">
        <w:t xml:space="preserve">  Abnormal trading—suspected acquisition or merger</w:t>
      </w:r>
      <w:bookmarkEnd w:id="550"/>
    </w:p>
    <w:p w:rsidR="00887330" w:rsidRPr="00583E1A" w:rsidRDefault="00887330" w:rsidP="00887330">
      <w:pPr>
        <w:pStyle w:val="subsection"/>
      </w:pPr>
      <w:r w:rsidRPr="00583E1A">
        <w:tab/>
      </w:r>
      <w:r w:rsidRPr="00583E1A">
        <w:tab/>
        <w:t xml:space="preserve">There is an </w:t>
      </w:r>
      <w:r w:rsidRPr="00583E1A">
        <w:rPr>
          <w:b/>
          <w:i/>
        </w:rPr>
        <w:t>abnormal trading</w:t>
      </w:r>
      <w:r w:rsidRPr="00583E1A">
        <w:t xml:space="preserve"> in </w:t>
      </w:r>
      <w:r w:rsidR="00583E1A" w:rsidRPr="00583E1A">
        <w:rPr>
          <w:position w:val="6"/>
          <w:sz w:val="16"/>
        </w:rPr>
        <w:t>*</w:t>
      </w:r>
      <w:r w:rsidRPr="00583E1A">
        <w:t xml:space="preserve">shares in a company, or in units in a unit trust, if a </w:t>
      </w:r>
      <w:r w:rsidR="00583E1A" w:rsidRPr="00583E1A">
        <w:rPr>
          <w:position w:val="6"/>
          <w:sz w:val="16"/>
        </w:rPr>
        <w:t>*</w:t>
      </w:r>
      <w:r w:rsidRPr="00583E1A">
        <w:t>trading in those shares or units happens which the company or trustee knows or reasonably suspects is part of an acquisition or merger of the company with another company, or of the trust with another trust.</w:t>
      </w:r>
    </w:p>
    <w:p w:rsidR="00887330" w:rsidRPr="00583E1A" w:rsidRDefault="00887330" w:rsidP="00887330">
      <w:pPr>
        <w:pStyle w:val="ActHead5"/>
      </w:pPr>
      <w:bookmarkStart w:id="551" w:name="_Toc338939625"/>
      <w:r w:rsidRPr="00583E1A">
        <w:rPr>
          <w:rStyle w:val="CharSectno"/>
        </w:rPr>
        <w:t>960</w:t>
      </w:r>
      <w:r w:rsidR="00583E1A">
        <w:rPr>
          <w:rStyle w:val="CharSectno"/>
        </w:rPr>
        <w:noBreakHyphen/>
      </w:r>
      <w:r w:rsidRPr="00583E1A">
        <w:rPr>
          <w:rStyle w:val="CharSectno"/>
        </w:rPr>
        <w:t>245</w:t>
      </w:r>
      <w:r w:rsidRPr="00583E1A">
        <w:t xml:space="preserve">  Abnormal trading—20% of shares or units traded over 60 day period</w:t>
      </w:r>
      <w:bookmarkEnd w:id="551"/>
    </w:p>
    <w:p w:rsidR="00887330" w:rsidRPr="00583E1A" w:rsidRDefault="00887330" w:rsidP="00887330">
      <w:pPr>
        <w:pStyle w:val="subsection"/>
      </w:pPr>
      <w:r w:rsidRPr="00583E1A">
        <w:tab/>
        <w:t>(1)</w:t>
      </w:r>
      <w:r w:rsidRPr="00583E1A">
        <w:tab/>
        <w:t xml:space="preserve">There is an </w:t>
      </w:r>
      <w:r w:rsidRPr="00583E1A">
        <w:rPr>
          <w:b/>
          <w:i/>
        </w:rPr>
        <w:t>abnormal trading</w:t>
      </w:r>
      <w:r w:rsidRPr="00583E1A">
        <w:t xml:space="preserve"> in </w:t>
      </w:r>
      <w:r w:rsidR="00583E1A" w:rsidRPr="00583E1A">
        <w:rPr>
          <w:position w:val="6"/>
          <w:sz w:val="16"/>
        </w:rPr>
        <w:t>*</w:t>
      </w:r>
      <w:r w:rsidRPr="00583E1A">
        <w:t xml:space="preserve">shares in a company or units in a unit trust if more than 20% of the shares or units are </w:t>
      </w:r>
      <w:r w:rsidR="00583E1A" w:rsidRPr="00583E1A">
        <w:rPr>
          <w:position w:val="6"/>
          <w:sz w:val="16"/>
        </w:rPr>
        <w:t>*</w:t>
      </w:r>
      <w:r w:rsidRPr="00583E1A">
        <w:t>traded during a 60 day period.</w:t>
      </w:r>
    </w:p>
    <w:p w:rsidR="00887330" w:rsidRPr="00583E1A" w:rsidRDefault="00887330" w:rsidP="00887330">
      <w:pPr>
        <w:pStyle w:val="SubsectionHead"/>
      </w:pPr>
      <w:r w:rsidRPr="00583E1A">
        <w:t>Time when abnormal trading happens</w:t>
      </w:r>
    </w:p>
    <w:p w:rsidR="00887330" w:rsidRPr="00583E1A" w:rsidRDefault="00887330" w:rsidP="00887330">
      <w:pPr>
        <w:pStyle w:val="subsection"/>
      </w:pPr>
      <w:r w:rsidRPr="00583E1A">
        <w:tab/>
        <w:t>(2)</w:t>
      </w:r>
      <w:r w:rsidRPr="00583E1A">
        <w:tab/>
        <w:t xml:space="preserve">The </w:t>
      </w:r>
      <w:r w:rsidR="00583E1A" w:rsidRPr="00583E1A">
        <w:rPr>
          <w:position w:val="6"/>
          <w:sz w:val="16"/>
        </w:rPr>
        <w:t>*</w:t>
      </w:r>
      <w:r w:rsidRPr="00583E1A">
        <w:t>abnormal trading happens at the end of the 60 day period concerned.</w:t>
      </w:r>
    </w:p>
    <w:p w:rsidR="00AC51DA" w:rsidRPr="00583E1A" w:rsidRDefault="00AC51DA" w:rsidP="00AC51DA">
      <w:pPr>
        <w:pStyle w:val="ActHead4"/>
      </w:pPr>
      <w:bookmarkStart w:id="552" w:name="_Toc338939626"/>
      <w:r w:rsidRPr="00583E1A">
        <w:rPr>
          <w:rStyle w:val="CharSubdNo"/>
        </w:rPr>
        <w:lastRenderedPageBreak/>
        <w:t>Subdivision</w:t>
      </w:r>
      <w:r w:rsidR="00583E1A">
        <w:rPr>
          <w:rStyle w:val="CharSubdNo"/>
        </w:rPr>
        <w:t> </w:t>
      </w:r>
      <w:r w:rsidRPr="00583E1A">
        <w:rPr>
          <w:rStyle w:val="CharSubdNo"/>
        </w:rPr>
        <w:t>960</w:t>
      </w:r>
      <w:r w:rsidR="00583E1A">
        <w:rPr>
          <w:rStyle w:val="CharSubdNo"/>
        </w:rPr>
        <w:noBreakHyphen/>
      </w:r>
      <w:r w:rsidRPr="00583E1A">
        <w:rPr>
          <w:rStyle w:val="CharSubdNo"/>
        </w:rPr>
        <w:t>J</w:t>
      </w:r>
      <w:r w:rsidRPr="00583E1A">
        <w:t>—</w:t>
      </w:r>
      <w:r w:rsidRPr="00583E1A">
        <w:rPr>
          <w:rStyle w:val="CharSubdText"/>
        </w:rPr>
        <w:t>Family relationships</w:t>
      </w:r>
      <w:bookmarkEnd w:id="552"/>
    </w:p>
    <w:p w:rsidR="00AC51DA" w:rsidRPr="00583E1A" w:rsidRDefault="00AC51DA" w:rsidP="00AC51DA">
      <w:pPr>
        <w:pStyle w:val="ActHead4"/>
      </w:pPr>
      <w:bookmarkStart w:id="553" w:name="_Toc338939627"/>
      <w:r w:rsidRPr="00583E1A">
        <w:t>Guide to Subdivision</w:t>
      </w:r>
      <w:r w:rsidR="00583E1A">
        <w:t> </w:t>
      </w:r>
      <w:r w:rsidRPr="00583E1A">
        <w:t>960</w:t>
      </w:r>
      <w:r w:rsidR="00583E1A">
        <w:noBreakHyphen/>
      </w:r>
      <w:r w:rsidRPr="00583E1A">
        <w:t>J</w:t>
      </w:r>
      <w:bookmarkEnd w:id="553"/>
    </w:p>
    <w:p w:rsidR="00AC51DA" w:rsidRPr="00583E1A" w:rsidRDefault="00AC51DA" w:rsidP="00AC51DA">
      <w:pPr>
        <w:pStyle w:val="ActHead5"/>
      </w:pPr>
      <w:bookmarkStart w:id="554" w:name="_Toc338939628"/>
      <w:r w:rsidRPr="00583E1A">
        <w:rPr>
          <w:rStyle w:val="CharSectno"/>
        </w:rPr>
        <w:t>960</w:t>
      </w:r>
      <w:r w:rsidR="00583E1A">
        <w:rPr>
          <w:rStyle w:val="CharSectno"/>
        </w:rPr>
        <w:noBreakHyphen/>
      </w:r>
      <w:r w:rsidRPr="00583E1A">
        <w:rPr>
          <w:rStyle w:val="CharSectno"/>
        </w:rPr>
        <w:t>250</w:t>
      </w:r>
      <w:r w:rsidRPr="00583E1A">
        <w:t xml:space="preserve">  What this Subdivision is about</w:t>
      </w:r>
      <w:bookmarkEnd w:id="554"/>
    </w:p>
    <w:p w:rsidR="00AC51DA" w:rsidRPr="00583E1A" w:rsidRDefault="00AC51DA" w:rsidP="00AC51DA">
      <w:pPr>
        <w:pStyle w:val="BoxText"/>
      </w:pPr>
      <w:r w:rsidRPr="00583E1A">
        <w:t>This Subdivision has 2 principles for defining family relationships.</w:t>
      </w:r>
    </w:p>
    <w:p w:rsidR="00AC51DA" w:rsidRPr="00583E1A" w:rsidRDefault="00AC51DA" w:rsidP="00AC51DA">
      <w:pPr>
        <w:pStyle w:val="BoxText"/>
      </w:pPr>
      <w:r w:rsidRPr="00583E1A">
        <w:t>The first principle is to treat an unmarried couple (whether of the same sex or different sexes) in the same way as a married couple if:</w:t>
      </w:r>
    </w:p>
    <w:p w:rsidR="00AC51DA" w:rsidRPr="00583E1A" w:rsidRDefault="00AC51DA" w:rsidP="00AC51DA">
      <w:pPr>
        <w:pStyle w:val="BoxPara"/>
      </w:pPr>
      <w:r w:rsidRPr="00583E1A">
        <w:tab/>
        <w:t>(a)</w:t>
      </w:r>
      <w:r w:rsidRPr="00583E1A">
        <w:tab/>
        <w:t>their relationship is registered under particular State or Territory laws; or</w:t>
      </w:r>
    </w:p>
    <w:p w:rsidR="00AC51DA" w:rsidRPr="00583E1A" w:rsidRDefault="00AC51DA" w:rsidP="00AC51DA">
      <w:pPr>
        <w:pStyle w:val="BoxPara"/>
      </w:pPr>
      <w:r w:rsidRPr="00583E1A">
        <w:tab/>
        <w:t>(b)</w:t>
      </w:r>
      <w:r w:rsidRPr="00583E1A">
        <w:tab/>
        <w:t>they live together on a genuine domestic basis.</w:t>
      </w:r>
    </w:p>
    <w:p w:rsidR="00AC51DA" w:rsidRPr="00583E1A" w:rsidRDefault="00AC51DA" w:rsidP="00AC51DA">
      <w:pPr>
        <w:pStyle w:val="BoxText"/>
      </w:pPr>
      <w:r w:rsidRPr="00583E1A">
        <w:t>The second principle is to treat anyone who is defined to be an individual’s child in the same way as the individual’s natural child would be treated.</w:t>
      </w:r>
    </w:p>
    <w:p w:rsidR="00AC51DA" w:rsidRPr="00583E1A" w:rsidRDefault="00AC51DA" w:rsidP="00AC51DA">
      <w:pPr>
        <w:pStyle w:val="BoxText"/>
      </w:pPr>
      <w:r w:rsidRPr="00583E1A">
        <w:t>Both principles extend to tracing other family relationships, including beyond couples and children and their parents.</w:t>
      </w:r>
    </w:p>
    <w:p w:rsidR="00AC51DA" w:rsidRPr="00583E1A" w:rsidRDefault="00AC51DA" w:rsidP="00AC51DA">
      <w:pPr>
        <w:pStyle w:val="TofSectsHeading"/>
      </w:pPr>
      <w:r w:rsidRPr="00583E1A">
        <w:t>Table of sections</w:t>
      </w:r>
    </w:p>
    <w:p w:rsidR="00AC51DA" w:rsidRPr="00583E1A" w:rsidRDefault="00AC51DA" w:rsidP="00AC51DA">
      <w:pPr>
        <w:pStyle w:val="TofSectsGroupHeading"/>
      </w:pPr>
      <w:r w:rsidRPr="00583E1A">
        <w:t>Operative provisions</w:t>
      </w:r>
    </w:p>
    <w:p w:rsidR="00AC51DA" w:rsidRPr="00583E1A" w:rsidRDefault="00AC51DA" w:rsidP="00AC51DA">
      <w:pPr>
        <w:pStyle w:val="TofSectsSection"/>
      </w:pPr>
      <w:r w:rsidRPr="00583E1A">
        <w:t>960</w:t>
      </w:r>
      <w:r w:rsidR="00583E1A">
        <w:noBreakHyphen/>
      </w:r>
      <w:r w:rsidRPr="00583E1A">
        <w:t>252</w:t>
      </w:r>
      <w:r w:rsidRPr="00583E1A">
        <w:tab/>
        <w:t>Object of this Subdivision</w:t>
      </w:r>
    </w:p>
    <w:p w:rsidR="00AC51DA" w:rsidRPr="00583E1A" w:rsidRDefault="00AC51DA" w:rsidP="00AC51DA">
      <w:pPr>
        <w:pStyle w:val="TofSectsSection"/>
      </w:pPr>
      <w:r w:rsidRPr="00583E1A">
        <w:t>960</w:t>
      </w:r>
      <w:r w:rsidR="00583E1A">
        <w:noBreakHyphen/>
      </w:r>
      <w:r w:rsidRPr="00583E1A">
        <w:t>255</w:t>
      </w:r>
      <w:r w:rsidRPr="00583E1A">
        <w:tab/>
        <w:t>Family relationships</w:t>
      </w:r>
    </w:p>
    <w:p w:rsidR="00AC51DA" w:rsidRPr="00583E1A" w:rsidRDefault="00AC51DA" w:rsidP="00AC51DA">
      <w:pPr>
        <w:pStyle w:val="ActHead4"/>
      </w:pPr>
      <w:bookmarkStart w:id="555" w:name="_Toc338939629"/>
      <w:r w:rsidRPr="00583E1A">
        <w:t>Operative provisions</w:t>
      </w:r>
      <w:bookmarkEnd w:id="555"/>
    </w:p>
    <w:p w:rsidR="00AC51DA" w:rsidRPr="00583E1A" w:rsidRDefault="00AC51DA" w:rsidP="00AC51DA">
      <w:pPr>
        <w:pStyle w:val="ActHead5"/>
      </w:pPr>
      <w:bookmarkStart w:id="556" w:name="_Toc338939630"/>
      <w:r w:rsidRPr="00583E1A">
        <w:rPr>
          <w:rStyle w:val="CharSectno"/>
        </w:rPr>
        <w:t>960</w:t>
      </w:r>
      <w:r w:rsidR="00583E1A">
        <w:rPr>
          <w:rStyle w:val="CharSectno"/>
        </w:rPr>
        <w:noBreakHyphen/>
      </w:r>
      <w:r w:rsidRPr="00583E1A">
        <w:rPr>
          <w:rStyle w:val="CharSectno"/>
        </w:rPr>
        <w:t>252</w:t>
      </w:r>
      <w:r w:rsidRPr="00583E1A">
        <w:t xml:space="preserve">  Object of this Subdivision</w:t>
      </w:r>
      <w:bookmarkEnd w:id="556"/>
    </w:p>
    <w:p w:rsidR="00AC51DA" w:rsidRPr="00583E1A" w:rsidRDefault="00AC51DA" w:rsidP="00AC51DA">
      <w:pPr>
        <w:pStyle w:val="subsection"/>
      </w:pPr>
      <w:r w:rsidRPr="00583E1A">
        <w:tab/>
        <w:t>(1)</w:t>
      </w:r>
      <w:r w:rsidRPr="00583E1A">
        <w:tab/>
        <w:t>The first object of this Subdivision is to ensure that the same consequences flow under this Act and the other Acts to which this Subdivision applies from the relationship between 2 people who are an unmarried couple (whether of the same sex or different sexes) as from a marriage, if:</w:t>
      </w:r>
    </w:p>
    <w:p w:rsidR="00AC51DA" w:rsidRPr="00583E1A" w:rsidRDefault="00AC51DA" w:rsidP="00AC51DA">
      <w:pPr>
        <w:pStyle w:val="paragraph"/>
      </w:pPr>
      <w:r w:rsidRPr="00583E1A">
        <w:lastRenderedPageBreak/>
        <w:tab/>
        <w:t>(a)</w:t>
      </w:r>
      <w:r w:rsidRPr="00583E1A">
        <w:tab/>
        <w:t xml:space="preserve">the relationship is registered under a </w:t>
      </w:r>
      <w:r w:rsidR="00583E1A" w:rsidRPr="00583E1A">
        <w:rPr>
          <w:position w:val="6"/>
          <w:sz w:val="16"/>
        </w:rPr>
        <w:t>*</w:t>
      </w:r>
      <w:r w:rsidRPr="00583E1A">
        <w:t xml:space="preserve">State law or </w:t>
      </w:r>
      <w:r w:rsidR="00583E1A" w:rsidRPr="00583E1A">
        <w:rPr>
          <w:position w:val="6"/>
          <w:sz w:val="16"/>
        </w:rPr>
        <w:t>*</w:t>
      </w:r>
      <w:r w:rsidRPr="00583E1A">
        <w:t xml:space="preserve">Territory law (as mentioned in </w:t>
      </w:r>
      <w:r w:rsidR="00583E1A">
        <w:t>paragraph (</w:t>
      </w:r>
      <w:r w:rsidRPr="00583E1A">
        <w:t xml:space="preserve">a) of the definition of </w:t>
      </w:r>
      <w:r w:rsidRPr="00583E1A">
        <w:rPr>
          <w:b/>
          <w:i/>
        </w:rPr>
        <w:t xml:space="preserve">spouse </w:t>
      </w:r>
      <w:r w:rsidRPr="00583E1A">
        <w:t>in subsection 995</w:t>
      </w:r>
      <w:r w:rsidR="00583E1A">
        <w:noBreakHyphen/>
      </w:r>
      <w:r w:rsidRPr="00583E1A">
        <w:t>1(1)); or</w:t>
      </w:r>
    </w:p>
    <w:p w:rsidR="00AC51DA" w:rsidRPr="00583E1A" w:rsidRDefault="00AC51DA" w:rsidP="00AC51DA">
      <w:pPr>
        <w:pStyle w:val="paragraph"/>
      </w:pPr>
      <w:r w:rsidRPr="00583E1A">
        <w:tab/>
        <w:t>(b)</w:t>
      </w:r>
      <w:r w:rsidRPr="00583E1A">
        <w:tab/>
        <w:t>they live together on a genuine domestic basis.</w:t>
      </w:r>
    </w:p>
    <w:p w:rsidR="00AC51DA" w:rsidRPr="00583E1A" w:rsidRDefault="00AC51DA" w:rsidP="00AC51DA">
      <w:pPr>
        <w:pStyle w:val="subsection"/>
      </w:pPr>
      <w:r w:rsidRPr="00583E1A">
        <w:tab/>
        <w:t>(2)</w:t>
      </w:r>
      <w:r w:rsidRPr="00583E1A">
        <w:tab/>
        <w:t xml:space="preserve">The second object of this Subdivision is to ensure that under this Act and the other Acts to which this Subdivision applies, anyone who is defined to be an individual’s </w:t>
      </w:r>
      <w:r w:rsidR="00583E1A" w:rsidRPr="00583E1A">
        <w:rPr>
          <w:position w:val="6"/>
          <w:sz w:val="16"/>
        </w:rPr>
        <w:t>*</w:t>
      </w:r>
      <w:r w:rsidRPr="00583E1A">
        <w:t>child is treated in the same way as if he or she were the individual’s natural child.</w:t>
      </w:r>
    </w:p>
    <w:p w:rsidR="00AC51DA" w:rsidRPr="00583E1A" w:rsidRDefault="00AC51DA" w:rsidP="00AC51DA">
      <w:pPr>
        <w:pStyle w:val="ActHead5"/>
      </w:pPr>
      <w:bookmarkStart w:id="557" w:name="_Toc338939631"/>
      <w:r w:rsidRPr="00583E1A">
        <w:rPr>
          <w:rStyle w:val="CharSectno"/>
        </w:rPr>
        <w:t>960</w:t>
      </w:r>
      <w:r w:rsidR="00583E1A">
        <w:rPr>
          <w:rStyle w:val="CharSectno"/>
        </w:rPr>
        <w:noBreakHyphen/>
      </w:r>
      <w:r w:rsidRPr="00583E1A">
        <w:rPr>
          <w:rStyle w:val="CharSectno"/>
        </w:rPr>
        <w:t>255</w:t>
      </w:r>
      <w:r w:rsidRPr="00583E1A">
        <w:t xml:space="preserve">  Family relationships</w:t>
      </w:r>
      <w:bookmarkEnd w:id="557"/>
    </w:p>
    <w:p w:rsidR="00AC51DA" w:rsidRPr="00583E1A" w:rsidRDefault="00AC51DA" w:rsidP="00AC51DA">
      <w:pPr>
        <w:pStyle w:val="SubsectionHead"/>
      </w:pPr>
      <w:r w:rsidRPr="00583E1A">
        <w:t>Relationships between couples</w:t>
      </w:r>
    </w:p>
    <w:p w:rsidR="00AC51DA" w:rsidRPr="00583E1A" w:rsidRDefault="00AC51DA" w:rsidP="00AC51DA">
      <w:pPr>
        <w:pStyle w:val="subsection"/>
      </w:pPr>
      <w:r w:rsidRPr="00583E1A">
        <w:tab/>
        <w:t>(1)</w:t>
      </w:r>
      <w:r w:rsidRPr="00583E1A">
        <w:tab/>
        <w:t xml:space="preserve">If one individual is the </w:t>
      </w:r>
      <w:r w:rsidR="00583E1A" w:rsidRPr="00583E1A">
        <w:rPr>
          <w:position w:val="6"/>
          <w:sz w:val="16"/>
        </w:rPr>
        <w:t>*</w:t>
      </w:r>
      <w:r w:rsidRPr="00583E1A">
        <w:t xml:space="preserve">spouse of another individual because of the definition of </w:t>
      </w:r>
      <w:r w:rsidRPr="00583E1A">
        <w:rPr>
          <w:b/>
          <w:i/>
        </w:rPr>
        <w:t xml:space="preserve">spouse </w:t>
      </w:r>
      <w:r w:rsidRPr="00583E1A">
        <w:t>in subsection 995</w:t>
      </w:r>
      <w:r w:rsidR="00583E1A">
        <w:noBreakHyphen/>
      </w:r>
      <w:r w:rsidRPr="00583E1A">
        <w:t>1(1), relationships traced to, from or through the individual, and family groups of which either individual is a member, are to be determined in the same way as if the individual were legally married to the other individual.</w:t>
      </w:r>
    </w:p>
    <w:p w:rsidR="00AC51DA" w:rsidRPr="00583E1A" w:rsidRDefault="00AC51DA" w:rsidP="00AC51DA">
      <w:pPr>
        <w:pStyle w:val="notetext"/>
      </w:pPr>
      <w:r w:rsidRPr="00583E1A">
        <w:t>Example:</w:t>
      </w:r>
      <w:r w:rsidRPr="00583E1A">
        <w:tab/>
        <w:t>George and Angelika are not legally married but live together on a genuine domestic basis in a relationship as a couple. This Act treats them as part of each other’s family.</w:t>
      </w:r>
    </w:p>
    <w:p w:rsidR="00AC51DA" w:rsidRPr="00583E1A" w:rsidRDefault="00AC51DA" w:rsidP="00AC51DA">
      <w:pPr>
        <w:pStyle w:val="SubsectionHead"/>
      </w:pPr>
      <w:r w:rsidRPr="00583E1A">
        <w:t>Relationships involving children</w:t>
      </w:r>
    </w:p>
    <w:p w:rsidR="00AC51DA" w:rsidRPr="00583E1A" w:rsidRDefault="00AC51DA" w:rsidP="00AC51DA">
      <w:pPr>
        <w:pStyle w:val="subsection"/>
      </w:pPr>
      <w:r w:rsidRPr="00583E1A">
        <w:tab/>
        <w:t>(2)</w:t>
      </w:r>
      <w:r w:rsidRPr="00583E1A">
        <w:tab/>
        <w:t xml:space="preserve">If one individual is the </w:t>
      </w:r>
      <w:r w:rsidR="00583E1A" w:rsidRPr="00583E1A">
        <w:rPr>
          <w:position w:val="6"/>
          <w:sz w:val="16"/>
        </w:rPr>
        <w:t>*</w:t>
      </w:r>
      <w:r w:rsidRPr="00583E1A">
        <w:t>child</w:t>
      </w:r>
      <w:r w:rsidRPr="00583E1A">
        <w:rPr>
          <w:b/>
          <w:i/>
        </w:rPr>
        <w:t xml:space="preserve"> </w:t>
      </w:r>
      <w:r w:rsidRPr="00583E1A">
        <w:t xml:space="preserve">of another individual because of the definition of </w:t>
      </w:r>
      <w:r w:rsidRPr="00583E1A">
        <w:rPr>
          <w:b/>
          <w:i/>
        </w:rPr>
        <w:t xml:space="preserve">child </w:t>
      </w:r>
      <w:r w:rsidRPr="00583E1A">
        <w:t>in subsection 995</w:t>
      </w:r>
      <w:r w:rsidR="00583E1A">
        <w:noBreakHyphen/>
      </w:r>
      <w:r w:rsidRPr="00583E1A">
        <w:t>1(1), relationships traced to, from or through the individual, and family groups of which either individual is a member, are to be determined in the same way as if the individual were the natural child of the other individual.</w:t>
      </w:r>
    </w:p>
    <w:p w:rsidR="00AC51DA" w:rsidRPr="00583E1A" w:rsidRDefault="00AC51DA" w:rsidP="00AC51DA">
      <w:pPr>
        <w:pStyle w:val="notetext"/>
      </w:pPr>
      <w:r w:rsidRPr="00583E1A">
        <w:t>Example:</w:t>
      </w:r>
      <w:r w:rsidRPr="00583E1A">
        <w:tab/>
        <w:t>Clare’s stepfather Frank has a sister Angela. This Act applies as if Angela were Clare’s aunt because Clare is defined to be Frank’s child. That is, Clare’s relationship to Angela is determined on the basis that Clare is Frank’s natural child.</w:t>
      </w:r>
    </w:p>
    <w:p w:rsidR="00AC51DA" w:rsidRPr="00583E1A" w:rsidRDefault="00AC51DA" w:rsidP="00AC51DA">
      <w:pPr>
        <w:pStyle w:val="SubsectionHead"/>
      </w:pPr>
      <w:r w:rsidRPr="00583E1A">
        <w:t>Application</w:t>
      </w:r>
    </w:p>
    <w:p w:rsidR="00AC51DA" w:rsidRPr="00583E1A" w:rsidRDefault="00AC51DA" w:rsidP="00AC51DA">
      <w:pPr>
        <w:pStyle w:val="subsection"/>
      </w:pPr>
      <w:r w:rsidRPr="00583E1A">
        <w:tab/>
        <w:t>(3)</w:t>
      </w:r>
      <w:r w:rsidRPr="00583E1A">
        <w:tab/>
      </w:r>
      <w:r w:rsidR="00583E1A">
        <w:t>Subsections (</w:t>
      </w:r>
      <w:r w:rsidRPr="00583E1A">
        <w:t>1) and (2) apply for the purposes of this Act. They also apply for the purposes of a provision of another Act if one or more of the following applies for the purposes of that provision (or would apply if it were used in the provision):</w:t>
      </w:r>
    </w:p>
    <w:p w:rsidR="00AC51DA" w:rsidRPr="00583E1A" w:rsidRDefault="00AC51DA" w:rsidP="00AC51DA">
      <w:pPr>
        <w:pStyle w:val="paragraph"/>
      </w:pPr>
      <w:r w:rsidRPr="00583E1A">
        <w:lastRenderedPageBreak/>
        <w:tab/>
        <w:t>(a)</w:t>
      </w:r>
      <w:r w:rsidRPr="00583E1A">
        <w:tab/>
        <w:t xml:space="preserve">the definition of </w:t>
      </w:r>
      <w:r w:rsidRPr="00583E1A">
        <w:rPr>
          <w:b/>
          <w:i/>
        </w:rPr>
        <w:t xml:space="preserve">child </w:t>
      </w:r>
      <w:r w:rsidRPr="00583E1A">
        <w:t>in subsection 995</w:t>
      </w:r>
      <w:r w:rsidR="00583E1A">
        <w:noBreakHyphen/>
      </w:r>
      <w:r w:rsidRPr="00583E1A">
        <w:t>1(1);</w:t>
      </w:r>
    </w:p>
    <w:p w:rsidR="00AC51DA" w:rsidRPr="00583E1A" w:rsidRDefault="00AC51DA" w:rsidP="00AC51DA">
      <w:pPr>
        <w:pStyle w:val="paragraph"/>
        <w:rPr>
          <w:i/>
        </w:rPr>
      </w:pPr>
      <w:r w:rsidRPr="00583E1A">
        <w:tab/>
        <w:t>(b)</w:t>
      </w:r>
      <w:r w:rsidRPr="00583E1A">
        <w:tab/>
        <w:t xml:space="preserve">the definition of </w:t>
      </w:r>
      <w:r w:rsidRPr="00583E1A">
        <w:rPr>
          <w:b/>
          <w:i/>
        </w:rPr>
        <w:t xml:space="preserve">parent </w:t>
      </w:r>
      <w:r w:rsidRPr="00583E1A">
        <w:t>in subsection 995</w:t>
      </w:r>
      <w:r w:rsidR="00583E1A">
        <w:noBreakHyphen/>
      </w:r>
      <w:r w:rsidRPr="00583E1A">
        <w:t>1(1);</w:t>
      </w:r>
    </w:p>
    <w:p w:rsidR="00AC51DA" w:rsidRPr="00583E1A" w:rsidRDefault="00AC51DA" w:rsidP="00AC51DA">
      <w:pPr>
        <w:pStyle w:val="paragraph"/>
      </w:pPr>
      <w:r w:rsidRPr="00583E1A">
        <w:tab/>
        <w:t>(c)</w:t>
      </w:r>
      <w:r w:rsidRPr="00583E1A">
        <w:tab/>
        <w:t xml:space="preserve">the definition of </w:t>
      </w:r>
      <w:r w:rsidRPr="00583E1A">
        <w:rPr>
          <w:b/>
          <w:i/>
        </w:rPr>
        <w:t xml:space="preserve">relative </w:t>
      </w:r>
      <w:r w:rsidRPr="00583E1A">
        <w:t>in subsection 995</w:t>
      </w:r>
      <w:r w:rsidR="00583E1A">
        <w:noBreakHyphen/>
      </w:r>
      <w:r w:rsidRPr="00583E1A">
        <w:t>1(1);</w:t>
      </w:r>
    </w:p>
    <w:p w:rsidR="00AC51DA" w:rsidRPr="00583E1A" w:rsidRDefault="00AC51DA" w:rsidP="00AC51DA">
      <w:pPr>
        <w:pStyle w:val="paragraph"/>
      </w:pPr>
      <w:r w:rsidRPr="00583E1A">
        <w:tab/>
        <w:t>(d)</w:t>
      </w:r>
      <w:r w:rsidRPr="00583E1A">
        <w:tab/>
        <w:t xml:space="preserve">the definition of </w:t>
      </w:r>
      <w:r w:rsidRPr="00583E1A">
        <w:rPr>
          <w:b/>
          <w:i/>
        </w:rPr>
        <w:t xml:space="preserve">spouse </w:t>
      </w:r>
      <w:r w:rsidRPr="00583E1A">
        <w:t>in subsection 995</w:t>
      </w:r>
      <w:r w:rsidR="00583E1A">
        <w:noBreakHyphen/>
      </w:r>
      <w:r w:rsidRPr="00583E1A">
        <w:t>1(1).</w:t>
      </w:r>
    </w:p>
    <w:p w:rsidR="00887330" w:rsidRPr="00583E1A" w:rsidRDefault="00887330" w:rsidP="00887330">
      <w:pPr>
        <w:pStyle w:val="ActHead4"/>
      </w:pPr>
      <w:bookmarkStart w:id="558" w:name="_Toc338939632"/>
      <w:r w:rsidRPr="00583E1A">
        <w:rPr>
          <w:rStyle w:val="CharSubdNo"/>
        </w:rPr>
        <w:t>Subdivision</w:t>
      </w:r>
      <w:r w:rsidR="00583E1A">
        <w:rPr>
          <w:rStyle w:val="CharSubdNo"/>
        </w:rPr>
        <w:t> </w:t>
      </w:r>
      <w:r w:rsidRPr="00583E1A">
        <w:rPr>
          <w:rStyle w:val="CharSubdNo"/>
        </w:rPr>
        <w:t>960</w:t>
      </w:r>
      <w:r w:rsidR="00583E1A">
        <w:rPr>
          <w:rStyle w:val="CharSubdNo"/>
        </w:rPr>
        <w:noBreakHyphen/>
      </w:r>
      <w:r w:rsidRPr="00583E1A">
        <w:rPr>
          <w:rStyle w:val="CharSubdNo"/>
        </w:rPr>
        <w:t>M</w:t>
      </w:r>
      <w:r w:rsidRPr="00583E1A">
        <w:t>—</w:t>
      </w:r>
      <w:r w:rsidRPr="00583E1A">
        <w:rPr>
          <w:rStyle w:val="CharSubdText"/>
        </w:rPr>
        <w:t>Indexation</w:t>
      </w:r>
      <w:bookmarkEnd w:id="558"/>
    </w:p>
    <w:p w:rsidR="00887330" w:rsidRPr="00583E1A" w:rsidRDefault="00887330" w:rsidP="00887330">
      <w:pPr>
        <w:pStyle w:val="ActHead4"/>
      </w:pPr>
      <w:bookmarkStart w:id="559" w:name="_Toc338939633"/>
      <w:r w:rsidRPr="00583E1A">
        <w:t>Guide to Subdivision</w:t>
      </w:r>
      <w:r w:rsidR="00583E1A">
        <w:t> </w:t>
      </w:r>
      <w:r w:rsidRPr="00583E1A">
        <w:t>960</w:t>
      </w:r>
      <w:r w:rsidR="00583E1A">
        <w:noBreakHyphen/>
      </w:r>
      <w:r w:rsidRPr="00583E1A">
        <w:t>M</w:t>
      </w:r>
      <w:bookmarkEnd w:id="559"/>
    </w:p>
    <w:p w:rsidR="00887330" w:rsidRPr="00583E1A" w:rsidRDefault="00887330" w:rsidP="00887330">
      <w:pPr>
        <w:pStyle w:val="ActHead5"/>
      </w:pPr>
      <w:bookmarkStart w:id="560" w:name="_Toc338939634"/>
      <w:r w:rsidRPr="00583E1A">
        <w:rPr>
          <w:rStyle w:val="CharSectno"/>
        </w:rPr>
        <w:t>960</w:t>
      </w:r>
      <w:r w:rsidR="00583E1A">
        <w:rPr>
          <w:rStyle w:val="CharSectno"/>
        </w:rPr>
        <w:noBreakHyphen/>
      </w:r>
      <w:r w:rsidRPr="00583E1A">
        <w:rPr>
          <w:rStyle w:val="CharSectno"/>
        </w:rPr>
        <w:t>260</w:t>
      </w:r>
      <w:r w:rsidRPr="00583E1A">
        <w:t xml:space="preserve">  What this Subdivision is about</w:t>
      </w:r>
      <w:bookmarkEnd w:id="560"/>
    </w:p>
    <w:p w:rsidR="00887330" w:rsidRPr="00583E1A" w:rsidRDefault="00887330" w:rsidP="00887330">
      <w:pPr>
        <w:pStyle w:val="BoxText"/>
      </w:pPr>
      <w:r w:rsidRPr="00583E1A">
        <w:t>There are a number of provisions that require amounts to be indexed. This Subdivision shows you:</w:t>
      </w:r>
    </w:p>
    <w:p w:rsidR="00887330" w:rsidRPr="00583E1A" w:rsidRDefault="00887330" w:rsidP="00887330">
      <w:pPr>
        <w:pStyle w:val="TLPboxbullet"/>
      </w:pPr>
      <w:r w:rsidRPr="00583E1A">
        <w:tab/>
      </w:r>
      <w:r w:rsidRPr="00583E1A">
        <w:rPr>
          <w:szCs w:val="22"/>
        </w:rPr>
        <w:t>•</w:t>
      </w:r>
      <w:r w:rsidRPr="00583E1A">
        <w:tab/>
      </w:r>
      <w:r w:rsidRPr="00583E1A">
        <w:rPr>
          <w:szCs w:val="22"/>
        </w:rPr>
        <w:t>how to index those amounts; and</w:t>
      </w:r>
    </w:p>
    <w:p w:rsidR="00887330" w:rsidRPr="00583E1A" w:rsidRDefault="00887330" w:rsidP="00887330">
      <w:pPr>
        <w:pStyle w:val="TLPboxbullet"/>
      </w:pPr>
      <w:r w:rsidRPr="00583E1A">
        <w:tab/>
      </w:r>
      <w:r w:rsidRPr="00583E1A">
        <w:rPr>
          <w:szCs w:val="22"/>
        </w:rPr>
        <w:t>•</w:t>
      </w:r>
      <w:r w:rsidRPr="00583E1A">
        <w:rPr>
          <w:szCs w:val="22"/>
        </w:rPr>
        <w:tab/>
        <w:t>how to calculate the indexation factor</w:t>
      </w:r>
      <w:r w:rsidRPr="00583E1A">
        <w:t>.</w:t>
      </w:r>
    </w:p>
    <w:p w:rsidR="00887330" w:rsidRPr="00583E1A" w:rsidRDefault="00887330" w:rsidP="00887330">
      <w:pPr>
        <w:pStyle w:val="TofSectsHeading"/>
      </w:pPr>
      <w:r w:rsidRPr="00583E1A">
        <w:t>Table of sections</w:t>
      </w:r>
    </w:p>
    <w:p w:rsidR="00887330" w:rsidRPr="00583E1A" w:rsidRDefault="00887330" w:rsidP="00887330">
      <w:pPr>
        <w:pStyle w:val="TofSectsSection"/>
      </w:pPr>
      <w:r w:rsidRPr="00583E1A">
        <w:t>960</w:t>
      </w:r>
      <w:r w:rsidR="00583E1A">
        <w:noBreakHyphen/>
      </w:r>
      <w:r w:rsidRPr="00583E1A">
        <w:t>265</w:t>
      </w:r>
      <w:r w:rsidRPr="00583E1A">
        <w:tab/>
        <w:t>The provisions for which indexation is relevant</w:t>
      </w:r>
    </w:p>
    <w:p w:rsidR="00887330" w:rsidRPr="00583E1A" w:rsidRDefault="00887330" w:rsidP="00887330">
      <w:pPr>
        <w:pStyle w:val="TofSectsGroupHeading"/>
      </w:pPr>
      <w:r w:rsidRPr="00583E1A">
        <w:t>Operative provisions</w:t>
      </w:r>
    </w:p>
    <w:p w:rsidR="00887330" w:rsidRPr="00583E1A" w:rsidRDefault="00887330" w:rsidP="00887330">
      <w:pPr>
        <w:pStyle w:val="TofSectsSection"/>
      </w:pPr>
      <w:r w:rsidRPr="00583E1A">
        <w:t>960</w:t>
      </w:r>
      <w:r w:rsidR="00583E1A">
        <w:noBreakHyphen/>
      </w:r>
      <w:r w:rsidRPr="00583E1A">
        <w:t>270</w:t>
      </w:r>
      <w:r w:rsidRPr="00583E1A">
        <w:tab/>
        <w:t>Indexing amounts</w:t>
      </w:r>
    </w:p>
    <w:p w:rsidR="00887330" w:rsidRPr="00583E1A" w:rsidRDefault="00887330" w:rsidP="00887330">
      <w:pPr>
        <w:pStyle w:val="TofSectsSection"/>
      </w:pPr>
      <w:r w:rsidRPr="00583E1A">
        <w:t>960</w:t>
      </w:r>
      <w:r w:rsidR="00583E1A">
        <w:noBreakHyphen/>
      </w:r>
      <w:r w:rsidRPr="00583E1A">
        <w:t>275</w:t>
      </w:r>
      <w:r w:rsidRPr="00583E1A">
        <w:tab/>
      </w:r>
      <w:r w:rsidRPr="00583E1A">
        <w:rPr>
          <w:i/>
        </w:rPr>
        <w:t>Indexation factor</w:t>
      </w:r>
    </w:p>
    <w:p w:rsidR="00887330" w:rsidRPr="00583E1A" w:rsidRDefault="00887330" w:rsidP="00887330">
      <w:pPr>
        <w:pStyle w:val="TofSectsSection"/>
      </w:pPr>
      <w:r w:rsidRPr="00583E1A">
        <w:t>960</w:t>
      </w:r>
      <w:r w:rsidR="00583E1A">
        <w:noBreakHyphen/>
      </w:r>
      <w:r w:rsidRPr="00583E1A">
        <w:t>280</w:t>
      </w:r>
      <w:r w:rsidRPr="00583E1A">
        <w:tab/>
      </w:r>
      <w:r w:rsidRPr="00583E1A">
        <w:rPr>
          <w:i/>
        </w:rPr>
        <w:t>Index number</w:t>
      </w:r>
    </w:p>
    <w:p w:rsidR="009478C4" w:rsidRPr="00583E1A" w:rsidRDefault="009478C4" w:rsidP="009478C4">
      <w:pPr>
        <w:pStyle w:val="TofSectsSection"/>
      </w:pPr>
      <w:r w:rsidRPr="00583E1A">
        <w:t>960</w:t>
      </w:r>
      <w:r w:rsidR="00583E1A">
        <w:noBreakHyphen/>
      </w:r>
      <w:r w:rsidRPr="00583E1A">
        <w:t>285</w:t>
      </w:r>
      <w:r w:rsidRPr="00583E1A">
        <w:tab/>
      </w:r>
      <w:smartTag w:uri="urn:schemas-microsoft-com:office:smarttags" w:element="State">
        <w:smartTag w:uri="urn:schemas-microsoft-com:office:smarttags" w:element="place">
          <w:r w:rsidRPr="00583E1A">
            <w:t>Ind</w:t>
          </w:r>
        </w:smartTag>
      </w:smartTag>
      <w:r w:rsidRPr="00583E1A">
        <w:t>exation—superannuation and employment termination</w:t>
      </w:r>
    </w:p>
    <w:p w:rsidR="00887330" w:rsidRPr="00583E1A" w:rsidRDefault="00887330" w:rsidP="00887330">
      <w:pPr>
        <w:pStyle w:val="ActHead5"/>
      </w:pPr>
      <w:bookmarkStart w:id="561" w:name="_Toc338939635"/>
      <w:r w:rsidRPr="00583E1A">
        <w:rPr>
          <w:rStyle w:val="CharSectno"/>
        </w:rPr>
        <w:t>960</w:t>
      </w:r>
      <w:r w:rsidR="00583E1A">
        <w:rPr>
          <w:rStyle w:val="CharSectno"/>
        </w:rPr>
        <w:noBreakHyphen/>
      </w:r>
      <w:r w:rsidRPr="00583E1A">
        <w:rPr>
          <w:rStyle w:val="CharSectno"/>
        </w:rPr>
        <w:t>265</w:t>
      </w:r>
      <w:r w:rsidRPr="00583E1A">
        <w:t xml:space="preserve">  The provisions for which indexation is relevant</w:t>
      </w:r>
      <w:bookmarkEnd w:id="561"/>
    </w:p>
    <w:p w:rsidR="00887330" w:rsidRPr="00583E1A" w:rsidRDefault="00887330" w:rsidP="00887330">
      <w:pPr>
        <w:pStyle w:val="subsection"/>
      </w:pPr>
      <w:r w:rsidRPr="00583E1A">
        <w:tab/>
      </w:r>
      <w:r w:rsidRPr="00583E1A">
        <w:tab/>
        <w:t>This table sets out the provisions for which indexation is relevant.</w:t>
      </w:r>
    </w:p>
    <w:p w:rsidR="00887330" w:rsidRPr="00583E1A" w:rsidRDefault="00887330" w:rsidP="00887330">
      <w:pPr>
        <w:pStyle w:val="Tabletext"/>
      </w:pPr>
    </w:p>
    <w:tbl>
      <w:tblPr>
        <w:tblW w:w="7042" w:type="dxa"/>
        <w:tblInd w:w="216" w:type="dxa"/>
        <w:tblLayout w:type="fixed"/>
        <w:tblLook w:val="0000" w:firstRow="0" w:lastRow="0" w:firstColumn="0" w:lastColumn="0" w:noHBand="0" w:noVBand="0"/>
      </w:tblPr>
      <w:tblGrid>
        <w:gridCol w:w="662"/>
        <w:gridCol w:w="4510"/>
        <w:gridCol w:w="1870"/>
      </w:tblGrid>
      <w:tr w:rsidR="00887330" w:rsidRPr="00583E1A">
        <w:trPr>
          <w:cantSplit/>
          <w:tblHeader/>
        </w:trPr>
        <w:tc>
          <w:tcPr>
            <w:tcW w:w="7042" w:type="dxa"/>
            <w:gridSpan w:val="3"/>
            <w:tcBorders>
              <w:top w:val="single" w:sz="12" w:space="0" w:color="auto"/>
            </w:tcBorders>
          </w:tcPr>
          <w:p w:rsidR="00887330" w:rsidRPr="00583E1A" w:rsidRDefault="00887330" w:rsidP="00887330">
            <w:pPr>
              <w:pStyle w:val="Tabletext"/>
            </w:pPr>
            <w:r w:rsidRPr="00583E1A">
              <w:rPr>
                <w:b/>
              </w:rPr>
              <w:t>Provisions for which indexation is relevant</w:t>
            </w:r>
          </w:p>
        </w:tc>
      </w:tr>
      <w:tr w:rsidR="00887330" w:rsidRPr="00583E1A">
        <w:trPr>
          <w:cantSplit/>
          <w:tblHeader/>
        </w:trPr>
        <w:tc>
          <w:tcPr>
            <w:tcW w:w="662" w:type="dxa"/>
            <w:tcBorders>
              <w:top w:val="single" w:sz="6" w:space="0" w:color="auto"/>
              <w:bottom w:val="single" w:sz="12" w:space="0" w:color="auto"/>
            </w:tcBorders>
          </w:tcPr>
          <w:p w:rsidR="00887330" w:rsidRPr="00583E1A" w:rsidRDefault="00887330" w:rsidP="00887330">
            <w:pPr>
              <w:pStyle w:val="Tabletext"/>
            </w:pPr>
            <w:r w:rsidRPr="00583E1A">
              <w:rPr>
                <w:b/>
              </w:rPr>
              <w:t>Item</w:t>
            </w:r>
          </w:p>
        </w:tc>
        <w:tc>
          <w:tcPr>
            <w:tcW w:w="4510" w:type="dxa"/>
            <w:tcBorders>
              <w:top w:val="single" w:sz="6" w:space="0" w:color="auto"/>
              <w:bottom w:val="single" w:sz="12" w:space="0" w:color="auto"/>
            </w:tcBorders>
          </w:tcPr>
          <w:p w:rsidR="00887330" w:rsidRPr="00583E1A" w:rsidRDefault="00887330" w:rsidP="00887330">
            <w:pPr>
              <w:pStyle w:val="Tabletext"/>
            </w:pPr>
            <w:r w:rsidRPr="00583E1A">
              <w:rPr>
                <w:b/>
              </w:rPr>
              <w:t>Topic of provision:</w:t>
            </w:r>
          </w:p>
        </w:tc>
        <w:tc>
          <w:tcPr>
            <w:tcW w:w="1870" w:type="dxa"/>
            <w:tcBorders>
              <w:top w:val="single" w:sz="6" w:space="0" w:color="auto"/>
              <w:bottom w:val="single" w:sz="12" w:space="0" w:color="auto"/>
            </w:tcBorders>
          </w:tcPr>
          <w:p w:rsidR="00887330" w:rsidRPr="00583E1A" w:rsidRDefault="00887330" w:rsidP="00887330">
            <w:pPr>
              <w:pStyle w:val="Tabletext"/>
            </w:pPr>
            <w:r w:rsidRPr="00583E1A">
              <w:rPr>
                <w:b/>
              </w:rPr>
              <w:t>See:</w:t>
            </w:r>
          </w:p>
        </w:tc>
      </w:tr>
      <w:tr w:rsidR="00D80CF3" w:rsidRPr="00583E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7" w:type="dxa"/>
            <w:right w:w="107" w:type="dxa"/>
          </w:tblCellMar>
        </w:tblPrEx>
        <w:trPr>
          <w:cantSplit/>
        </w:trPr>
        <w:tc>
          <w:tcPr>
            <w:tcW w:w="662" w:type="dxa"/>
            <w:tcBorders>
              <w:top w:val="single" w:sz="2" w:space="0" w:color="auto"/>
              <w:left w:val="nil"/>
              <w:bottom w:val="single" w:sz="2" w:space="0" w:color="auto"/>
              <w:right w:val="nil"/>
            </w:tcBorders>
          </w:tcPr>
          <w:p w:rsidR="00D80CF3" w:rsidRPr="00583E1A" w:rsidRDefault="00D80CF3" w:rsidP="00D80CF3">
            <w:pPr>
              <w:pStyle w:val="Tabletext"/>
            </w:pPr>
            <w:r w:rsidRPr="00583E1A">
              <w:t>1</w:t>
            </w:r>
          </w:p>
        </w:tc>
        <w:tc>
          <w:tcPr>
            <w:tcW w:w="4510" w:type="dxa"/>
            <w:tcBorders>
              <w:top w:val="single" w:sz="2" w:space="0" w:color="auto"/>
              <w:left w:val="nil"/>
              <w:bottom w:val="single" w:sz="2" w:space="0" w:color="auto"/>
              <w:right w:val="nil"/>
            </w:tcBorders>
          </w:tcPr>
          <w:p w:rsidR="00D80CF3" w:rsidRPr="00583E1A" w:rsidRDefault="00D80CF3" w:rsidP="00D80CF3">
            <w:pPr>
              <w:pStyle w:val="Tabletext"/>
            </w:pPr>
            <w:r w:rsidRPr="00583E1A">
              <w:t>Car limit</w:t>
            </w:r>
          </w:p>
        </w:tc>
        <w:tc>
          <w:tcPr>
            <w:tcW w:w="1870" w:type="dxa"/>
            <w:tcBorders>
              <w:top w:val="single" w:sz="2" w:space="0" w:color="auto"/>
              <w:left w:val="nil"/>
              <w:bottom w:val="single" w:sz="2" w:space="0" w:color="auto"/>
              <w:right w:val="nil"/>
            </w:tcBorders>
          </w:tcPr>
          <w:p w:rsidR="00D80CF3" w:rsidRPr="00583E1A" w:rsidRDefault="00D80CF3" w:rsidP="00D80CF3">
            <w:pPr>
              <w:pStyle w:val="Tabletext"/>
            </w:pPr>
            <w:r w:rsidRPr="00583E1A">
              <w:t>section</w:t>
            </w:r>
            <w:r w:rsidR="00583E1A">
              <w:t> </w:t>
            </w:r>
            <w:r w:rsidRPr="00583E1A">
              <w:t>40</w:t>
            </w:r>
            <w:r w:rsidR="00583E1A">
              <w:noBreakHyphen/>
            </w:r>
            <w:r w:rsidRPr="00583E1A">
              <w:t>230</w:t>
            </w:r>
          </w:p>
        </w:tc>
      </w:tr>
      <w:tr w:rsidR="00D80CF3" w:rsidRPr="00583E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7" w:type="dxa"/>
            <w:right w:w="107" w:type="dxa"/>
          </w:tblCellMar>
        </w:tblPrEx>
        <w:trPr>
          <w:cantSplit/>
        </w:trPr>
        <w:tc>
          <w:tcPr>
            <w:tcW w:w="662" w:type="dxa"/>
            <w:tcBorders>
              <w:top w:val="single" w:sz="2" w:space="0" w:color="auto"/>
              <w:left w:val="nil"/>
              <w:bottom w:val="single" w:sz="2" w:space="0" w:color="auto"/>
              <w:right w:val="nil"/>
            </w:tcBorders>
          </w:tcPr>
          <w:p w:rsidR="00D80CF3" w:rsidRPr="00583E1A" w:rsidRDefault="00D80CF3" w:rsidP="00D80CF3">
            <w:pPr>
              <w:pStyle w:val="Tabletext"/>
            </w:pPr>
            <w:r w:rsidRPr="00583E1A">
              <w:t>2</w:t>
            </w:r>
          </w:p>
        </w:tc>
        <w:tc>
          <w:tcPr>
            <w:tcW w:w="4510" w:type="dxa"/>
            <w:tcBorders>
              <w:top w:val="single" w:sz="2" w:space="0" w:color="auto"/>
              <w:left w:val="nil"/>
              <w:bottom w:val="single" w:sz="2" w:space="0" w:color="auto"/>
              <w:right w:val="nil"/>
            </w:tcBorders>
          </w:tcPr>
          <w:p w:rsidR="00D80CF3" w:rsidRPr="00583E1A" w:rsidRDefault="00D80CF3" w:rsidP="00D80CF3">
            <w:pPr>
              <w:pStyle w:val="Tabletext"/>
            </w:pPr>
            <w:r w:rsidRPr="00583E1A">
              <w:t>Capital gains—cost base</w:t>
            </w:r>
          </w:p>
        </w:tc>
        <w:tc>
          <w:tcPr>
            <w:tcW w:w="1870" w:type="dxa"/>
            <w:tcBorders>
              <w:top w:val="single" w:sz="2" w:space="0" w:color="auto"/>
              <w:left w:val="nil"/>
              <w:bottom w:val="single" w:sz="2" w:space="0" w:color="auto"/>
              <w:right w:val="nil"/>
            </w:tcBorders>
          </w:tcPr>
          <w:p w:rsidR="00D80CF3" w:rsidRPr="00583E1A" w:rsidRDefault="00D80CF3" w:rsidP="00D80CF3">
            <w:pPr>
              <w:pStyle w:val="Tabletext"/>
            </w:pPr>
            <w:r w:rsidRPr="00583E1A">
              <w:t>Parts</w:t>
            </w:r>
            <w:r w:rsidR="00583E1A">
              <w:t> </w:t>
            </w:r>
            <w:r w:rsidRPr="00583E1A">
              <w:t>3</w:t>
            </w:r>
            <w:r w:rsidR="00583E1A">
              <w:noBreakHyphen/>
            </w:r>
            <w:r w:rsidRPr="00583E1A">
              <w:t>1 and 3</w:t>
            </w:r>
            <w:r w:rsidR="00583E1A">
              <w:noBreakHyphen/>
            </w:r>
            <w:r w:rsidRPr="00583E1A">
              <w:t>3</w:t>
            </w:r>
          </w:p>
        </w:tc>
      </w:tr>
      <w:tr w:rsidR="00887330" w:rsidRPr="00583E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7" w:type="dxa"/>
            <w:right w:w="107" w:type="dxa"/>
          </w:tblCellMar>
        </w:tblPrEx>
        <w:trPr>
          <w:cantSplit/>
        </w:trPr>
        <w:tc>
          <w:tcPr>
            <w:tcW w:w="662" w:type="dxa"/>
            <w:tcBorders>
              <w:top w:val="single" w:sz="2" w:space="0" w:color="auto"/>
              <w:left w:val="nil"/>
              <w:bottom w:val="single" w:sz="2" w:space="0" w:color="auto"/>
              <w:right w:val="nil"/>
            </w:tcBorders>
          </w:tcPr>
          <w:p w:rsidR="00887330" w:rsidRPr="00583E1A" w:rsidRDefault="00887330" w:rsidP="00887330">
            <w:pPr>
              <w:pStyle w:val="Tabletext"/>
            </w:pPr>
            <w:r w:rsidRPr="00583E1A">
              <w:t>3</w:t>
            </w:r>
          </w:p>
        </w:tc>
        <w:tc>
          <w:tcPr>
            <w:tcW w:w="4510" w:type="dxa"/>
            <w:tcBorders>
              <w:top w:val="single" w:sz="2" w:space="0" w:color="auto"/>
              <w:left w:val="nil"/>
              <w:bottom w:val="single" w:sz="2" w:space="0" w:color="auto"/>
              <w:right w:val="nil"/>
            </w:tcBorders>
          </w:tcPr>
          <w:p w:rsidR="00887330" w:rsidRPr="00583E1A" w:rsidRDefault="00887330" w:rsidP="00887330">
            <w:pPr>
              <w:pStyle w:val="Tabletext"/>
            </w:pPr>
            <w:r w:rsidRPr="00583E1A">
              <w:t>Capital gains—Improvements as separate assets</w:t>
            </w:r>
          </w:p>
        </w:tc>
        <w:tc>
          <w:tcPr>
            <w:tcW w:w="1870" w:type="dxa"/>
            <w:tcBorders>
              <w:top w:val="single" w:sz="2" w:space="0" w:color="auto"/>
              <w:left w:val="nil"/>
              <w:bottom w:val="single" w:sz="2" w:space="0" w:color="auto"/>
              <w:right w:val="nil"/>
            </w:tcBorders>
          </w:tcPr>
          <w:p w:rsidR="00887330" w:rsidRPr="00583E1A" w:rsidRDefault="00887330" w:rsidP="00887330">
            <w:pPr>
              <w:pStyle w:val="Tabletext"/>
            </w:pPr>
            <w:r w:rsidRPr="00583E1A">
              <w:t>Subdivision</w:t>
            </w:r>
            <w:r w:rsidR="00583E1A">
              <w:t> </w:t>
            </w:r>
            <w:r w:rsidRPr="00583E1A">
              <w:t>108</w:t>
            </w:r>
            <w:r w:rsidR="00583E1A">
              <w:noBreakHyphen/>
            </w:r>
            <w:r w:rsidRPr="00583E1A">
              <w:t>D</w:t>
            </w:r>
          </w:p>
        </w:tc>
      </w:tr>
      <w:tr w:rsidR="00887330" w:rsidRPr="00583E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7" w:type="dxa"/>
            <w:right w:w="107" w:type="dxa"/>
          </w:tblCellMar>
        </w:tblPrEx>
        <w:trPr>
          <w:cantSplit/>
        </w:trPr>
        <w:tc>
          <w:tcPr>
            <w:tcW w:w="662" w:type="dxa"/>
            <w:tcBorders>
              <w:top w:val="single" w:sz="2" w:space="0" w:color="auto"/>
              <w:left w:val="nil"/>
              <w:bottom w:val="single" w:sz="2" w:space="0" w:color="auto"/>
              <w:right w:val="nil"/>
            </w:tcBorders>
          </w:tcPr>
          <w:p w:rsidR="00887330" w:rsidRPr="00583E1A" w:rsidRDefault="00887330" w:rsidP="00887330">
            <w:pPr>
              <w:pStyle w:val="Tabletext"/>
            </w:pPr>
            <w:r w:rsidRPr="00583E1A">
              <w:t>4</w:t>
            </w:r>
          </w:p>
        </w:tc>
        <w:tc>
          <w:tcPr>
            <w:tcW w:w="4510" w:type="dxa"/>
            <w:tcBorders>
              <w:top w:val="single" w:sz="2" w:space="0" w:color="auto"/>
              <w:left w:val="nil"/>
              <w:bottom w:val="single" w:sz="2" w:space="0" w:color="auto"/>
              <w:right w:val="nil"/>
            </w:tcBorders>
          </w:tcPr>
          <w:p w:rsidR="00887330" w:rsidRPr="00583E1A" w:rsidRDefault="00887330" w:rsidP="00887330">
            <w:pPr>
              <w:pStyle w:val="Tabletext"/>
            </w:pPr>
            <w:r w:rsidRPr="00583E1A">
              <w:t>child care offset limit</w:t>
            </w:r>
          </w:p>
        </w:tc>
        <w:tc>
          <w:tcPr>
            <w:tcW w:w="1870" w:type="dxa"/>
            <w:tcBorders>
              <w:top w:val="single" w:sz="2" w:space="0" w:color="auto"/>
              <w:left w:val="nil"/>
              <w:bottom w:val="single" w:sz="2" w:space="0" w:color="auto"/>
              <w:right w:val="nil"/>
            </w:tcBorders>
          </w:tcPr>
          <w:p w:rsidR="00887330" w:rsidRPr="00583E1A" w:rsidRDefault="00887330" w:rsidP="00887330">
            <w:pPr>
              <w:pStyle w:val="Tabletext"/>
            </w:pPr>
            <w:r w:rsidRPr="00583E1A">
              <w:t>section</w:t>
            </w:r>
            <w:r w:rsidR="00583E1A">
              <w:t> </w:t>
            </w:r>
            <w:r w:rsidRPr="00583E1A">
              <w:t>61</w:t>
            </w:r>
            <w:r w:rsidR="00583E1A">
              <w:noBreakHyphen/>
            </w:r>
            <w:r w:rsidRPr="00583E1A">
              <w:t>495</w:t>
            </w:r>
          </w:p>
        </w:tc>
      </w:tr>
      <w:tr w:rsidR="00165198" w:rsidRPr="00583E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7" w:type="dxa"/>
            <w:right w:w="107" w:type="dxa"/>
          </w:tblCellMar>
        </w:tblPrEx>
        <w:trPr>
          <w:cantSplit/>
        </w:trPr>
        <w:tc>
          <w:tcPr>
            <w:tcW w:w="662" w:type="dxa"/>
            <w:tcBorders>
              <w:top w:val="single" w:sz="2" w:space="0" w:color="auto"/>
              <w:left w:val="nil"/>
              <w:bottom w:val="single" w:sz="2" w:space="0" w:color="auto"/>
              <w:right w:val="nil"/>
            </w:tcBorders>
          </w:tcPr>
          <w:p w:rsidR="00165198" w:rsidRPr="00583E1A" w:rsidRDefault="00165198" w:rsidP="00887330">
            <w:pPr>
              <w:pStyle w:val="Tabletext"/>
            </w:pPr>
            <w:r w:rsidRPr="00583E1A">
              <w:lastRenderedPageBreak/>
              <w:t>4A</w:t>
            </w:r>
          </w:p>
        </w:tc>
        <w:tc>
          <w:tcPr>
            <w:tcW w:w="4510" w:type="dxa"/>
            <w:tcBorders>
              <w:top w:val="single" w:sz="2" w:space="0" w:color="auto"/>
              <w:left w:val="nil"/>
              <w:bottom w:val="single" w:sz="2" w:space="0" w:color="auto"/>
              <w:right w:val="nil"/>
            </w:tcBorders>
          </w:tcPr>
          <w:p w:rsidR="00165198" w:rsidRPr="00583E1A" w:rsidRDefault="00165198" w:rsidP="00887330">
            <w:pPr>
              <w:pStyle w:val="Tabletext"/>
            </w:pPr>
            <w:r w:rsidRPr="00583E1A">
              <w:t>Education expenses tax offset limit</w:t>
            </w:r>
          </w:p>
        </w:tc>
        <w:tc>
          <w:tcPr>
            <w:tcW w:w="1870" w:type="dxa"/>
            <w:tcBorders>
              <w:top w:val="single" w:sz="2" w:space="0" w:color="auto"/>
              <w:left w:val="nil"/>
              <w:bottom w:val="single" w:sz="2" w:space="0" w:color="auto"/>
              <w:right w:val="nil"/>
            </w:tcBorders>
          </w:tcPr>
          <w:p w:rsidR="00165198" w:rsidRPr="00583E1A" w:rsidRDefault="00165198" w:rsidP="00887330">
            <w:pPr>
              <w:pStyle w:val="Tabletext"/>
            </w:pPr>
            <w:r w:rsidRPr="00583E1A">
              <w:t>section</w:t>
            </w:r>
            <w:r w:rsidR="00583E1A">
              <w:t> </w:t>
            </w:r>
            <w:r w:rsidRPr="00583E1A">
              <w:t>61</w:t>
            </w:r>
            <w:r w:rsidR="00583E1A">
              <w:noBreakHyphen/>
            </w:r>
            <w:r w:rsidRPr="00583E1A">
              <w:t>660</w:t>
            </w:r>
          </w:p>
        </w:tc>
      </w:tr>
      <w:tr w:rsidR="0078284B" w:rsidRPr="00583E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7" w:type="dxa"/>
            <w:right w:w="107" w:type="dxa"/>
          </w:tblCellMar>
        </w:tblPrEx>
        <w:trPr>
          <w:cantSplit/>
        </w:trPr>
        <w:tc>
          <w:tcPr>
            <w:tcW w:w="662" w:type="dxa"/>
            <w:tcBorders>
              <w:top w:val="single" w:sz="2" w:space="0" w:color="auto"/>
              <w:left w:val="nil"/>
              <w:bottom w:val="single" w:sz="2" w:space="0" w:color="auto"/>
              <w:right w:val="nil"/>
            </w:tcBorders>
          </w:tcPr>
          <w:p w:rsidR="0078284B" w:rsidRPr="00583E1A" w:rsidRDefault="0078284B" w:rsidP="00887330">
            <w:pPr>
              <w:pStyle w:val="Tabletext"/>
            </w:pPr>
            <w:r w:rsidRPr="00583E1A">
              <w:t>5</w:t>
            </w:r>
          </w:p>
        </w:tc>
        <w:tc>
          <w:tcPr>
            <w:tcW w:w="4510" w:type="dxa"/>
            <w:tcBorders>
              <w:top w:val="single" w:sz="2" w:space="0" w:color="auto"/>
              <w:left w:val="nil"/>
              <w:bottom w:val="single" w:sz="2" w:space="0" w:color="auto"/>
              <w:right w:val="nil"/>
            </w:tcBorders>
          </w:tcPr>
          <w:p w:rsidR="0078284B" w:rsidRPr="00583E1A" w:rsidRDefault="00583E1A" w:rsidP="00887330">
            <w:pPr>
              <w:pStyle w:val="Tabletext"/>
            </w:pPr>
            <w:r w:rsidRPr="00583E1A">
              <w:rPr>
                <w:position w:val="6"/>
                <w:sz w:val="16"/>
              </w:rPr>
              <w:t>*</w:t>
            </w:r>
            <w:r w:rsidR="0078284B" w:rsidRPr="00583E1A">
              <w:t xml:space="preserve">Genuine redundancy payments and </w:t>
            </w:r>
            <w:r w:rsidRPr="00583E1A">
              <w:rPr>
                <w:position w:val="6"/>
                <w:sz w:val="16"/>
              </w:rPr>
              <w:t>*</w:t>
            </w:r>
            <w:r w:rsidR="0078284B" w:rsidRPr="00583E1A">
              <w:t>early retirement scheme payments—base amount</w:t>
            </w:r>
          </w:p>
        </w:tc>
        <w:tc>
          <w:tcPr>
            <w:tcW w:w="1870" w:type="dxa"/>
            <w:tcBorders>
              <w:top w:val="single" w:sz="2" w:space="0" w:color="auto"/>
              <w:left w:val="nil"/>
              <w:bottom w:val="single" w:sz="2" w:space="0" w:color="auto"/>
              <w:right w:val="nil"/>
            </w:tcBorders>
          </w:tcPr>
          <w:p w:rsidR="0078284B" w:rsidRPr="00583E1A" w:rsidRDefault="0078284B" w:rsidP="00887330">
            <w:pPr>
              <w:pStyle w:val="Tabletext"/>
            </w:pPr>
            <w:r w:rsidRPr="00583E1A">
              <w:t>subsection 83</w:t>
            </w:r>
            <w:r w:rsidR="00583E1A">
              <w:noBreakHyphen/>
            </w:r>
            <w:r w:rsidRPr="00583E1A">
              <w:t>170(3)</w:t>
            </w:r>
          </w:p>
        </w:tc>
      </w:tr>
      <w:tr w:rsidR="0078284B" w:rsidRPr="00583E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7" w:type="dxa"/>
            <w:right w:w="107" w:type="dxa"/>
          </w:tblCellMar>
        </w:tblPrEx>
        <w:trPr>
          <w:cantSplit/>
        </w:trPr>
        <w:tc>
          <w:tcPr>
            <w:tcW w:w="662" w:type="dxa"/>
            <w:tcBorders>
              <w:top w:val="single" w:sz="2" w:space="0" w:color="auto"/>
              <w:left w:val="nil"/>
              <w:bottom w:val="single" w:sz="2" w:space="0" w:color="auto"/>
              <w:right w:val="nil"/>
            </w:tcBorders>
          </w:tcPr>
          <w:p w:rsidR="0078284B" w:rsidRPr="00583E1A" w:rsidRDefault="0078284B" w:rsidP="00887330">
            <w:pPr>
              <w:pStyle w:val="Tabletext"/>
            </w:pPr>
            <w:r w:rsidRPr="00583E1A">
              <w:t>6</w:t>
            </w:r>
          </w:p>
        </w:tc>
        <w:tc>
          <w:tcPr>
            <w:tcW w:w="4510" w:type="dxa"/>
            <w:tcBorders>
              <w:top w:val="single" w:sz="2" w:space="0" w:color="auto"/>
              <w:left w:val="nil"/>
              <w:bottom w:val="single" w:sz="2" w:space="0" w:color="auto"/>
              <w:right w:val="nil"/>
            </w:tcBorders>
          </w:tcPr>
          <w:p w:rsidR="0078284B" w:rsidRPr="00583E1A" w:rsidRDefault="00583E1A" w:rsidP="00887330">
            <w:pPr>
              <w:pStyle w:val="Tabletext"/>
            </w:pPr>
            <w:r w:rsidRPr="00583E1A">
              <w:rPr>
                <w:position w:val="6"/>
                <w:sz w:val="16"/>
              </w:rPr>
              <w:t>*</w:t>
            </w:r>
            <w:r w:rsidR="0078284B" w:rsidRPr="00583E1A">
              <w:t xml:space="preserve">Genuine redundancy payments and </w:t>
            </w:r>
            <w:r w:rsidRPr="00583E1A">
              <w:rPr>
                <w:position w:val="6"/>
                <w:sz w:val="16"/>
              </w:rPr>
              <w:t>*</w:t>
            </w:r>
            <w:r w:rsidR="0078284B" w:rsidRPr="00583E1A">
              <w:t>early retirement scheme payments—service amount</w:t>
            </w:r>
          </w:p>
        </w:tc>
        <w:tc>
          <w:tcPr>
            <w:tcW w:w="1870" w:type="dxa"/>
            <w:tcBorders>
              <w:top w:val="single" w:sz="2" w:space="0" w:color="auto"/>
              <w:left w:val="nil"/>
              <w:bottom w:val="single" w:sz="2" w:space="0" w:color="auto"/>
              <w:right w:val="nil"/>
            </w:tcBorders>
          </w:tcPr>
          <w:p w:rsidR="0078284B" w:rsidRPr="00583E1A" w:rsidRDefault="0078284B" w:rsidP="00887330">
            <w:pPr>
              <w:pStyle w:val="Tabletext"/>
            </w:pPr>
            <w:r w:rsidRPr="00583E1A">
              <w:t>subsection 83</w:t>
            </w:r>
            <w:r w:rsidR="00583E1A">
              <w:noBreakHyphen/>
            </w:r>
            <w:r w:rsidRPr="00583E1A">
              <w:t>170(3)</w:t>
            </w:r>
          </w:p>
        </w:tc>
      </w:tr>
      <w:tr w:rsidR="0078284B" w:rsidRPr="00583E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7" w:type="dxa"/>
            <w:right w:w="107" w:type="dxa"/>
          </w:tblCellMar>
        </w:tblPrEx>
        <w:trPr>
          <w:cantSplit/>
        </w:trPr>
        <w:tc>
          <w:tcPr>
            <w:tcW w:w="662" w:type="dxa"/>
            <w:tcBorders>
              <w:top w:val="single" w:sz="2" w:space="0" w:color="auto"/>
              <w:left w:val="nil"/>
              <w:bottom w:val="single" w:sz="2" w:space="0" w:color="auto"/>
              <w:right w:val="nil"/>
            </w:tcBorders>
          </w:tcPr>
          <w:p w:rsidR="0078284B" w:rsidRPr="00583E1A" w:rsidRDefault="0078284B" w:rsidP="00887330">
            <w:pPr>
              <w:pStyle w:val="Tabletext"/>
            </w:pPr>
            <w:r w:rsidRPr="00583E1A">
              <w:t>7</w:t>
            </w:r>
          </w:p>
        </w:tc>
        <w:tc>
          <w:tcPr>
            <w:tcW w:w="4510" w:type="dxa"/>
            <w:tcBorders>
              <w:top w:val="single" w:sz="2" w:space="0" w:color="auto"/>
              <w:left w:val="nil"/>
              <w:bottom w:val="single" w:sz="2" w:space="0" w:color="auto"/>
              <w:right w:val="nil"/>
            </w:tcBorders>
          </w:tcPr>
          <w:p w:rsidR="0078284B" w:rsidRPr="00583E1A" w:rsidRDefault="0078284B" w:rsidP="00887330">
            <w:pPr>
              <w:pStyle w:val="Tabletext"/>
            </w:pPr>
            <w:r w:rsidRPr="00583E1A">
              <w:t>Reduction of superannuation contributions—pre</w:t>
            </w:r>
            <w:r w:rsidR="00583E1A">
              <w:noBreakHyphen/>
            </w:r>
            <w:r w:rsidRPr="00583E1A">
              <w:t>1</w:t>
            </w:r>
            <w:r w:rsidR="00583E1A">
              <w:t> </w:t>
            </w:r>
            <w:r w:rsidRPr="00583E1A">
              <w:t>July 88 funding credits (unused amount at end of previous income year)</w:t>
            </w:r>
          </w:p>
        </w:tc>
        <w:tc>
          <w:tcPr>
            <w:tcW w:w="1870" w:type="dxa"/>
            <w:tcBorders>
              <w:top w:val="single" w:sz="2" w:space="0" w:color="auto"/>
              <w:left w:val="nil"/>
              <w:bottom w:val="single" w:sz="2" w:space="0" w:color="auto"/>
              <w:right w:val="nil"/>
            </w:tcBorders>
          </w:tcPr>
          <w:p w:rsidR="0078284B" w:rsidRPr="00583E1A" w:rsidRDefault="0078284B" w:rsidP="00887330">
            <w:pPr>
              <w:pStyle w:val="Tabletext"/>
            </w:pPr>
            <w:r w:rsidRPr="00583E1A">
              <w:t>subsection 295</w:t>
            </w:r>
            <w:r w:rsidR="00583E1A">
              <w:noBreakHyphen/>
            </w:r>
            <w:r w:rsidRPr="00583E1A">
              <w:t>265(2)</w:t>
            </w:r>
          </w:p>
        </w:tc>
      </w:tr>
      <w:tr w:rsidR="0078284B" w:rsidRPr="00583E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7" w:type="dxa"/>
            <w:right w:w="107" w:type="dxa"/>
          </w:tblCellMar>
        </w:tblPrEx>
        <w:trPr>
          <w:cantSplit/>
        </w:trPr>
        <w:tc>
          <w:tcPr>
            <w:tcW w:w="662" w:type="dxa"/>
            <w:tcBorders>
              <w:top w:val="single" w:sz="2" w:space="0" w:color="auto"/>
              <w:left w:val="nil"/>
              <w:bottom w:val="single" w:sz="2" w:space="0" w:color="auto"/>
              <w:right w:val="nil"/>
            </w:tcBorders>
          </w:tcPr>
          <w:p w:rsidR="0078284B" w:rsidRPr="00583E1A" w:rsidRDefault="0078284B" w:rsidP="00887330">
            <w:pPr>
              <w:pStyle w:val="Tabletext"/>
            </w:pPr>
            <w:r w:rsidRPr="00583E1A">
              <w:t>8</w:t>
            </w:r>
          </w:p>
        </w:tc>
        <w:tc>
          <w:tcPr>
            <w:tcW w:w="4510" w:type="dxa"/>
            <w:tcBorders>
              <w:top w:val="single" w:sz="2" w:space="0" w:color="auto"/>
              <w:left w:val="nil"/>
              <w:bottom w:val="single" w:sz="2" w:space="0" w:color="auto"/>
              <w:right w:val="nil"/>
            </w:tcBorders>
          </w:tcPr>
          <w:p w:rsidR="0078284B" w:rsidRPr="00583E1A" w:rsidRDefault="00583E1A" w:rsidP="00887330">
            <w:pPr>
              <w:pStyle w:val="Tabletext"/>
            </w:pPr>
            <w:r w:rsidRPr="00583E1A">
              <w:rPr>
                <w:position w:val="6"/>
                <w:sz w:val="16"/>
              </w:rPr>
              <w:t>*</w:t>
            </w:r>
            <w:r w:rsidR="0078284B" w:rsidRPr="00583E1A">
              <w:t>Employment termination payments—</w:t>
            </w:r>
            <w:r w:rsidRPr="00583E1A">
              <w:rPr>
                <w:position w:val="6"/>
                <w:sz w:val="16"/>
              </w:rPr>
              <w:t>*</w:t>
            </w:r>
            <w:r w:rsidR="0078284B" w:rsidRPr="00583E1A">
              <w:t>ETP cap amount</w:t>
            </w:r>
          </w:p>
        </w:tc>
        <w:tc>
          <w:tcPr>
            <w:tcW w:w="1870" w:type="dxa"/>
            <w:tcBorders>
              <w:top w:val="single" w:sz="2" w:space="0" w:color="auto"/>
              <w:left w:val="nil"/>
              <w:bottom w:val="single" w:sz="2" w:space="0" w:color="auto"/>
              <w:right w:val="nil"/>
            </w:tcBorders>
          </w:tcPr>
          <w:p w:rsidR="0078284B" w:rsidRPr="00583E1A" w:rsidRDefault="0078284B" w:rsidP="00887330">
            <w:pPr>
              <w:pStyle w:val="Tabletext"/>
            </w:pPr>
            <w:r w:rsidRPr="00583E1A">
              <w:t>section</w:t>
            </w:r>
            <w:r w:rsidR="00583E1A">
              <w:t> </w:t>
            </w:r>
            <w:r w:rsidRPr="00583E1A">
              <w:t>82</w:t>
            </w:r>
            <w:r w:rsidR="00583E1A">
              <w:noBreakHyphen/>
            </w:r>
            <w:r w:rsidRPr="00583E1A">
              <w:t>160</w:t>
            </w:r>
          </w:p>
        </w:tc>
      </w:tr>
      <w:tr w:rsidR="0078284B" w:rsidRPr="00583E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7" w:type="dxa"/>
            <w:right w:w="107" w:type="dxa"/>
          </w:tblCellMar>
        </w:tblPrEx>
        <w:trPr>
          <w:cantSplit/>
        </w:trPr>
        <w:tc>
          <w:tcPr>
            <w:tcW w:w="662" w:type="dxa"/>
            <w:tcBorders>
              <w:top w:val="single" w:sz="2" w:space="0" w:color="auto"/>
              <w:left w:val="nil"/>
              <w:bottom w:val="single" w:sz="2" w:space="0" w:color="auto"/>
              <w:right w:val="nil"/>
            </w:tcBorders>
          </w:tcPr>
          <w:p w:rsidR="0078284B" w:rsidRPr="00583E1A" w:rsidRDefault="0078284B" w:rsidP="00887330">
            <w:pPr>
              <w:pStyle w:val="Tabletext"/>
            </w:pPr>
            <w:r w:rsidRPr="00583E1A">
              <w:t>9</w:t>
            </w:r>
          </w:p>
        </w:tc>
        <w:tc>
          <w:tcPr>
            <w:tcW w:w="4510" w:type="dxa"/>
            <w:tcBorders>
              <w:top w:val="single" w:sz="2" w:space="0" w:color="auto"/>
              <w:left w:val="nil"/>
              <w:bottom w:val="single" w:sz="2" w:space="0" w:color="auto"/>
              <w:right w:val="nil"/>
            </w:tcBorders>
          </w:tcPr>
          <w:p w:rsidR="0078284B" w:rsidRPr="00583E1A" w:rsidRDefault="00583E1A" w:rsidP="00887330">
            <w:pPr>
              <w:pStyle w:val="Tabletext"/>
            </w:pPr>
            <w:r w:rsidRPr="00583E1A">
              <w:rPr>
                <w:position w:val="6"/>
                <w:sz w:val="16"/>
              </w:rPr>
              <w:t>*</w:t>
            </w:r>
            <w:r w:rsidR="0078284B" w:rsidRPr="00583E1A">
              <w:t>Excess contributions tax on superannuation contributions—</w:t>
            </w:r>
            <w:r w:rsidRPr="00583E1A">
              <w:rPr>
                <w:position w:val="6"/>
                <w:sz w:val="16"/>
              </w:rPr>
              <w:t>*</w:t>
            </w:r>
            <w:r w:rsidR="0078284B" w:rsidRPr="00583E1A">
              <w:t>concessional contributions cap</w:t>
            </w:r>
          </w:p>
        </w:tc>
        <w:tc>
          <w:tcPr>
            <w:tcW w:w="1870" w:type="dxa"/>
            <w:tcBorders>
              <w:top w:val="single" w:sz="2" w:space="0" w:color="auto"/>
              <w:left w:val="nil"/>
              <w:bottom w:val="single" w:sz="2" w:space="0" w:color="auto"/>
              <w:right w:val="nil"/>
            </w:tcBorders>
          </w:tcPr>
          <w:p w:rsidR="0078284B" w:rsidRPr="00583E1A" w:rsidRDefault="0078284B" w:rsidP="00887330">
            <w:pPr>
              <w:pStyle w:val="Tabletext"/>
            </w:pPr>
            <w:r w:rsidRPr="00583E1A">
              <w:t>subsection 292</w:t>
            </w:r>
            <w:r w:rsidR="00583E1A">
              <w:noBreakHyphen/>
            </w:r>
            <w:r w:rsidRPr="00583E1A">
              <w:t>20(2)</w:t>
            </w:r>
          </w:p>
        </w:tc>
      </w:tr>
      <w:tr w:rsidR="0078284B" w:rsidRPr="00583E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7" w:type="dxa"/>
            <w:right w:w="107" w:type="dxa"/>
          </w:tblCellMar>
        </w:tblPrEx>
        <w:trPr>
          <w:cantSplit/>
        </w:trPr>
        <w:tc>
          <w:tcPr>
            <w:tcW w:w="662" w:type="dxa"/>
            <w:tcBorders>
              <w:top w:val="single" w:sz="2" w:space="0" w:color="auto"/>
              <w:left w:val="nil"/>
              <w:bottom w:val="single" w:sz="2" w:space="0" w:color="auto"/>
              <w:right w:val="nil"/>
            </w:tcBorders>
          </w:tcPr>
          <w:p w:rsidR="0078284B" w:rsidRPr="00583E1A" w:rsidRDefault="0078284B" w:rsidP="00887330">
            <w:pPr>
              <w:pStyle w:val="Tabletext"/>
            </w:pPr>
            <w:r w:rsidRPr="00583E1A">
              <w:t>10</w:t>
            </w:r>
          </w:p>
        </w:tc>
        <w:tc>
          <w:tcPr>
            <w:tcW w:w="4510" w:type="dxa"/>
            <w:tcBorders>
              <w:top w:val="single" w:sz="2" w:space="0" w:color="auto"/>
              <w:left w:val="nil"/>
              <w:bottom w:val="single" w:sz="2" w:space="0" w:color="auto"/>
              <w:right w:val="nil"/>
            </w:tcBorders>
          </w:tcPr>
          <w:p w:rsidR="0078284B" w:rsidRPr="00583E1A" w:rsidRDefault="00583E1A" w:rsidP="00887330">
            <w:pPr>
              <w:pStyle w:val="Tabletext"/>
            </w:pPr>
            <w:r w:rsidRPr="00583E1A">
              <w:rPr>
                <w:position w:val="6"/>
                <w:sz w:val="16"/>
              </w:rPr>
              <w:t>*</w:t>
            </w:r>
            <w:r w:rsidR="0078284B" w:rsidRPr="00583E1A">
              <w:t>Excess contributions tax on superannuation contributions—index amount (</w:t>
            </w:r>
            <w:r w:rsidRPr="00583E1A">
              <w:rPr>
                <w:position w:val="6"/>
                <w:sz w:val="16"/>
              </w:rPr>
              <w:t>*</w:t>
            </w:r>
            <w:r w:rsidR="0078284B" w:rsidRPr="00583E1A">
              <w:t>CGT cap amount)</w:t>
            </w:r>
          </w:p>
        </w:tc>
        <w:tc>
          <w:tcPr>
            <w:tcW w:w="1870" w:type="dxa"/>
            <w:tcBorders>
              <w:top w:val="single" w:sz="2" w:space="0" w:color="auto"/>
              <w:left w:val="nil"/>
              <w:bottom w:val="single" w:sz="2" w:space="0" w:color="auto"/>
              <w:right w:val="nil"/>
            </w:tcBorders>
          </w:tcPr>
          <w:p w:rsidR="0078284B" w:rsidRPr="00583E1A" w:rsidRDefault="0078284B" w:rsidP="00887330">
            <w:pPr>
              <w:pStyle w:val="Tabletext"/>
            </w:pPr>
            <w:r w:rsidRPr="00583E1A">
              <w:t>subsection 292</w:t>
            </w:r>
            <w:r w:rsidR="00583E1A">
              <w:noBreakHyphen/>
            </w:r>
            <w:r w:rsidRPr="00583E1A">
              <w:t>105(4)</w:t>
            </w:r>
          </w:p>
        </w:tc>
      </w:tr>
      <w:tr w:rsidR="0078284B" w:rsidRPr="00583E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7" w:type="dxa"/>
            <w:right w:w="107" w:type="dxa"/>
          </w:tblCellMar>
        </w:tblPrEx>
        <w:trPr>
          <w:cantSplit/>
        </w:trPr>
        <w:tc>
          <w:tcPr>
            <w:tcW w:w="662" w:type="dxa"/>
            <w:tcBorders>
              <w:top w:val="single" w:sz="2" w:space="0" w:color="auto"/>
              <w:left w:val="nil"/>
              <w:bottom w:val="single" w:sz="2" w:space="0" w:color="auto"/>
              <w:right w:val="nil"/>
            </w:tcBorders>
          </w:tcPr>
          <w:p w:rsidR="0078284B" w:rsidRPr="00583E1A" w:rsidRDefault="0078284B" w:rsidP="00887330">
            <w:pPr>
              <w:pStyle w:val="Tabletext"/>
            </w:pPr>
            <w:r w:rsidRPr="00583E1A">
              <w:t>11</w:t>
            </w:r>
          </w:p>
        </w:tc>
        <w:tc>
          <w:tcPr>
            <w:tcW w:w="4510" w:type="dxa"/>
            <w:tcBorders>
              <w:top w:val="single" w:sz="2" w:space="0" w:color="auto"/>
              <w:left w:val="nil"/>
              <w:bottom w:val="single" w:sz="2" w:space="0" w:color="auto"/>
              <w:right w:val="nil"/>
            </w:tcBorders>
          </w:tcPr>
          <w:p w:rsidR="0078284B" w:rsidRPr="00583E1A" w:rsidRDefault="00583E1A" w:rsidP="00887330">
            <w:pPr>
              <w:pStyle w:val="Tabletext"/>
            </w:pPr>
            <w:r w:rsidRPr="00583E1A">
              <w:rPr>
                <w:position w:val="6"/>
                <w:sz w:val="16"/>
              </w:rPr>
              <w:t>*</w:t>
            </w:r>
            <w:r w:rsidR="0078284B" w:rsidRPr="00583E1A">
              <w:t>Superannuation benefits—index amount (</w:t>
            </w:r>
            <w:r w:rsidRPr="00583E1A">
              <w:rPr>
                <w:position w:val="6"/>
                <w:sz w:val="16"/>
              </w:rPr>
              <w:t>*</w:t>
            </w:r>
            <w:r w:rsidR="0078284B" w:rsidRPr="00583E1A">
              <w:t>low rate cap amount)</w:t>
            </w:r>
          </w:p>
        </w:tc>
        <w:tc>
          <w:tcPr>
            <w:tcW w:w="1870" w:type="dxa"/>
            <w:tcBorders>
              <w:top w:val="single" w:sz="2" w:space="0" w:color="auto"/>
              <w:left w:val="nil"/>
              <w:bottom w:val="single" w:sz="2" w:space="0" w:color="auto"/>
              <w:right w:val="nil"/>
            </w:tcBorders>
          </w:tcPr>
          <w:p w:rsidR="0078284B" w:rsidRPr="00583E1A" w:rsidRDefault="0078284B" w:rsidP="00887330">
            <w:pPr>
              <w:pStyle w:val="Tabletext"/>
            </w:pPr>
            <w:r w:rsidRPr="00583E1A">
              <w:t>subsection 307</w:t>
            </w:r>
            <w:r w:rsidR="00583E1A">
              <w:noBreakHyphen/>
            </w:r>
            <w:r w:rsidRPr="00583E1A">
              <w:t>345(4)</w:t>
            </w:r>
          </w:p>
        </w:tc>
      </w:tr>
      <w:tr w:rsidR="0078284B" w:rsidRPr="00583E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7" w:type="dxa"/>
            <w:right w:w="107" w:type="dxa"/>
          </w:tblCellMar>
        </w:tblPrEx>
        <w:trPr>
          <w:cantSplit/>
        </w:trPr>
        <w:tc>
          <w:tcPr>
            <w:tcW w:w="662" w:type="dxa"/>
            <w:tcBorders>
              <w:top w:val="single" w:sz="2" w:space="0" w:color="auto"/>
              <w:left w:val="nil"/>
              <w:bottom w:val="single" w:sz="2" w:space="0" w:color="auto"/>
              <w:right w:val="nil"/>
            </w:tcBorders>
          </w:tcPr>
          <w:p w:rsidR="0078284B" w:rsidRPr="00583E1A" w:rsidRDefault="0078284B" w:rsidP="00887330">
            <w:pPr>
              <w:pStyle w:val="Tabletext"/>
            </w:pPr>
            <w:r w:rsidRPr="00583E1A">
              <w:t>12</w:t>
            </w:r>
          </w:p>
        </w:tc>
        <w:tc>
          <w:tcPr>
            <w:tcW w:w="4510" w:type="dxa"/>
            <w:tcBorders>
              <w:top w:val="single" w:sz="2" w:space="0" w:color="auto"/>
              <w:left w:val="nil"/>
              <w:bottom w:val="single" w:sz="2" w:space="0" w:color="auto"/>
              <w:right w:val="nil"/>
            </w:tcBorders>
          </w:tcPr>
          <w:p w:rsidR="0078284B" w:rsidRPr="00583E1A" w:rsidRDefault="00583E1A" w:rsidP="00887330">
            <w:pPr>
              <w:pStyle w:val="Tabletext"/>
            </w:pPr>
            <w:r w:rsidRPr="00583E1A">
              <w:rPr>
                <w:position w:val="6"/>
                <w:sz w:val="16"/>
              </w:rPr>
              <w:t>*</w:t>
            </w:r>
            <w:r w:rsidR="0078284B" w:rsidRPr="00583E1A">
              <w:t>Superannuation benefits—index amount (</w:t>
            </w:r>
            <w:r w:rsidRPr="00583E1A">
              <w:rPr>
                <w:position w:val="6"/>
                <w:sz w:val="16"/>
              </w:rPr>
              <w:t>*</w:t>
            </w:r>
            <w:r w:rsidR="0078284B" w:rsidRPr="00583E1A">
              <w:t>untaxed plan cap amount)</w:t>
            </w:r>
          </w:p>
        </w:tc>
        <w:tc>
          <w:tcPr>
            <w:tcW w:w="1870" w:type="dxa"/>
            <w:tcBorders>
              <w:top w:val="single" w:sz="2" w:space="0" w:color="auto"/>
              <w:left w:val="nil"/>
              <w:bottom w:val="single" w:sz="2" w:space="0" w:color="auto"/>
              <w:right w:val="nil"/>
            </w:tcBorders>
          </w:tcPr>
          <w:p w:rsidR="0078284B" w:rsidRPr="00583E1A" w:rsidRDefault="0078284B" w:rsidP="00887330">
            <w:pPr>
              <w:pStyle w:val="Tabletext"/>
            </w:pPr>
            <w:r w:rsidRPr="00583E1A">
              <w:t>subsection 307</w:t>
            </w:r>
            <w:r w:rsidR="00583E1A">
              <w:noBreakHyphen/>
            </w:r>
            <w:r w:rsidRPr="00583E1A">
              <w:t>350(4)</w:t>
            </w:r>
          </w:p>
        </w:tc>
      </w:tr>
      <w:tr w:rsidR="009567C4" w:rsidRPr="00583E1A" w:rsidTr="00E031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7" w:type="dxa"/>
            <w:right w:w="107" w:type="dxa"/>
          </w:tblCellMar>
        </w:tblPrEx>
        <w:trPr>
          <w:cantSplit/>
        </w:trPr>
        <w:tc>
          <w:tcPr>
            <w:tcW w:w="662" w:type="dxa"/>
            <w:tcBorders>
              <w:top w:val="single" w:sz="2" w:space="0" w:color="auto"/>
              <w:left w:val="nil"/>
              <w:bottom w:val="single" w:sz="2" w:space="0" w:color="auto"/>
              <w:right w:val="nil"/>
            </w:tcBorders>
          </w:tcPr>
          <w:p w:rsidR="009567C4" w:rsidRPr="00583E1A" w:rsidRDefault="009567C4" w:rsidP="00887330">
            <w:pPr>
              <w:pStyle w:val="Tabletext"/>
            </w:pPr>
            <w:r w:rsidRPr="00583E1A">
              <w:t>13</w:t>
            </w:r>
          </w:p>
        </w:tc>
        <w:tc>
          <w:tcPr>
            <w:tcW w:w="4510" w:type="dxa"/>
            <w:tcBorders>
              <w:top w:val="single" w:sz="2" w:space="0" w:color="auto"/>
              <w:left w:val="nil"/>
              <w:bottom w:val="single" w:sz="2" w:space="0" w:color="auto"/>
              <w:right w:val="nil"/>
            </w:tcBorders>
          </w:tcPr>
          <w:p w:rsidR="009567C4" w:rsidRPr="00583E1A" w:rsidRDefault="009567C4" w:rsidP="00887330">
            <w:pPr>
              <w:pStyle w:val="Tabletext"/>
              <w:rPr>
                <w:position w:val="6"/>
                <w:sz w:val="16"/>
              </w:rPr>
            </w:pPr>
            <w:r w:rsidRPr="00583E1A">
              <w:t>Thresholds for application of Division</w:t>
            </w:r>
            <w:r w:rsidR="00583E1A">
              <w:t> </w:t>
            </w:r>
            <w:r w:rsidRPr="00583E1A">
              <w:t>250</w:t>
            </w:r>
          </w:p>
        </w:tc>
        <w:tc>
          <w:tcPr>
            <w:tcW w:w="1870" w:type="dxa"/>
            <w:tcBorders>
              <w:top w:val="single" w:sz="2" w:space="0" w:color="auto"/>
              <w:left w:val="nil"/>
              <w:bottom w:val="single" w:sz="2" w:space="0" w:color="auto"/>
              <w:right w:val="nil"/>
            </w:tcBorders>
          </w:tcPr>
          <w:p w:rsidR="009567C4" w:rsidRPr="00583E1A" w:rsidRDefault="009567C4" w:rsidP="00887330">
            <w:pPr>
              <w:pStyle w:val="Tabletext"/>
            </w:pPr>
            <w:r w:rsidRPr="00583E1A">
              <w:t>sections</w:t>
            </w:r>
            <w:r w:rsidR="00583E1A">
              <w:t> </w:t>
            </w:r>
            <w:r w:rsidRPr="00583E1A">
              <w:t>250</w:t>
            </w:r>
            <w:r w:rsidR="00583E1A">
              <w:noBreakHyphen/>
            </w:r>
            <w:r w:rsidRPr="00583E1A">
              <w:t>25 and 250</w:t>
            </w:r>
            <w:r w:rsidR="00583E1A">
              <w:noBreakHyphen/>
            </w:r>
            <w:r w:rsidRPr="00583E1A">
              <w:t>30</w:t>
            </w:r>
          </w:p>
        </w:tc>
      </w:tr>
      <w:tr w:rsidR="00E03192" w:rsidRPr="00583E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7" w:type="dxa"/>
            <w:right w:w="107" w:type="dxa"/>
          </w:tblCellMar>
        </w:tblPrEx>
        <w:trPr>
          <w:cantSplit/>
        </w:trPr>
        <w:tc>
          <w:tcPr>
            <w:tcW w:w="662" w:type="dxa"/>
            <w:tcBorders>
              <w:top w:val="single" w:sz="2" w:space="0" w:color="auto"/>
              <w:left w:val="nil"/>
              <w:bottom w:val="single" w:sz="12" w:space="0" w:color="auto"/>
              <w:right w:val="nil"/>
            </w:tcBorders>
          </w:tcPr>
          <w:p w:rsidR="00E03192" w:rsidRPr="00583E1A" w:rsidRDefault="00E03192" w:rsidP="00887330">
            <w:pPr>
              <w:pStyle w:val="Tabletext"/>
            </w:pPr>
            <w:r w:rsidRPr="0078104C">
              <w:t>14</w:t>
            </w:r>
          </w:p>
        </w:tc>
        <w:tc>
          <w:tcPr>
            <w:tcW w:w="4510" w:type="dxa"/>
            <w:tcBorders>
              <w:top w:val="single" w:sz="2" w:space="0" w:color="auto"/>
              <w:left w:val="nil"/>
              <w:bottom w:val="single" w:sz="12" w:space="0" w:color="auto"/>
              <w:right w:val="nil"/>
            </w:tcBorders>
          </w:tcPr>
          <w:p w:rsidR="00E03192" w:rsidRPr="00583E1A" w:rsidRDefault="00E03192" w:rsidP="00887330">
            <w:pPr>
              <w:pStyle w:val="Tabletext"/>
            </w:pPr>
            <w:r w:rsidRPr="0078104C">
              <w:t>Minerals resource rent tax—starting base losses</w:t>
            </w:r>
          </w:p>
        </w:tc>
        <w:tc>
          <w:tcPr>
            <w:tcW w:w="1870" w:type="dxa"/>
            <w:tcBorders>
              <w:top w:val="single" w:sz="2" w:space="0" w:color="auto"/>
              <w:left w:val="nil"/>
              <w:bottom w:val="single" w:sz="12" w:space="0" w:color="auto"/>
              <w:right w:val="nil"/>
            </w:tcBorders>
          </w:tcPr>
          <w:p w:rsidR="00E03192" w:rsidRPr="00583E1A" w:rsidRDefault="00E03192" w:rsidP="00887330">
            <w:pPr>
              <w:pStyle w:val="Tabletext"/>
            </w:pPr>
            <w:r w:rsidRPr="0078104C">
              <w:t>subsection 80</w:t>
            </w:r>
            <w:r w:rsidRPr="0078104C">
              <w:noBreakHyphen/>
              <w:t xml:space="preserve">45(1) of the </w:t>
            </w:r>
            <w:r w:rsidRPr="0078104C">
              <w:rPr>
                <w:i/>
              </w:rPr>
              <w:t>Minerals Resource Rent Tax Act 2012</w:t>
            </w:r>
          </w:p>
        </w:tc>
      </w:tr>
    </w:tbl>
    <w:p w:rsidR="00887330" w:rsidRPr="00583E1A" w:rsidRDefault="00887330" w:rsidP="00887330">
      <w:pPr>
        <w:pStyle w:val="notetext"/>
        <w:tabs>
          <w:tab w:val="left" w:pos="2268"/>
          <w:tab w:val="left" w:pos="3402"/>
          <w:tab w:val="left" w:pos="4536"/>
          <w:tab w:val="left" w:pos="5670"/>
          <w:tab w:val="left" w:pos="6804"/>
        </w:tabs>
      </w:pPr>
      <w:r w:rsidRPr="00583E1A">
        <w:t>Note:</w:t>
      </w:r>
      <w:r w:rsidRPr="00583E1A">
        <w:tab/>
        <w:t xml:space="preserve">There are provisions of the </w:t>
      </w:r>
      <w:r w:rsidRPr="00583E1A">
        <w:rPr>
          <w:i/>
        </w:rPr>
        <w:t>Income Tax Assessment Act 1936</w:t>
      </w:r>
      <w:r w:rsidRPr="00583E1A">
        <w:t xml:space="preserve"> dealing with indexation that have not yet been rewritten.</w:t>
      </w:r>
    </w:p>
    <w:p w:rsidR="00887330" w:rsidRPr="00583E1A" w:rsidRDefault="00887330" w:rsidP="00887330">
      <w:pPr>
        <w:pStyle w:val="ActHead4"/>
      </w:pPr>
      <w:bookmarkStart w:id="562" w:name="_Toc338939636"/>
      <w:r w:rsidRPr="00583E1A">
        <w:t>Operative provisions</w:t>
      </w:r>
      <w:bookmarkEnd w:id="562"/>
    </w:p>
    <w:p w:rsidR="00887330" w:rsidRPr="00583E1A" w:rsidRDefault="00887330" w:rsidP="00887330">
      <w:pPr>
        <w:pStyle w:val="ActHead5"/>
      </w:pPr>
      <w:bookmarkStart w:id="563" w:name="_Toc338939637"/>
      <w:r w:rsidRPr="00583E1A">
        <w:rPr>
          <w:rStyle w:val="CharSectno"/>
        </w:rPr>
        <w:t>960</w:t>
      </w:r>
      <w:r w:rsidR="00583E1A">
        <w:rPr>
          <w:rStyle w:val="CharSectno"/>
        </w:rPr>
        <w:noBreakHyphen/>
      </w:r>
      <w:r w:rsidRPr="00583E1A">
        <w:rPr>
          <w:rStyle w:val="CharSectno"/>
        </w:rPr>
        <w:t>270</w:t>
      </w:r>
      <w:r w:rsidRPr="00583E1A">
        <w:t xml:space="preserve">  Indexing amounts</w:t>
      </w:r>
      <w:bookmarkEnd w:id="563"/>
    </w:p>
    <w:p w:rsidR="00887330" w:rsidRPr="00583E1A" w:rsidRDefault="00887330" w:rsidP="00887330">
      <w:pPr>
        <w:pStyle w:val="subsection"/>
      </w:pPr>
      <w:r w:rsidRPr="00583E1A">
        <w:tab/>
        <w:t>(1)</w:t>
      </w:r>
      <w:r w:rsidRPr="00583E1A">
        <w:tab/>
        <w:t xml:space="preserve">Some provisions of this Act require amounts to be indexed. You index an amount by multiplying it by its </w:t>
      </w:r>
      <w:r w:rsidR="00583E1A" w:rsidRPr="00583E1A">
        <w:rPr>
          <w:position w:val="6"/>
          <w:sz w:val="16"/>
        </w:rPr>
        <w:t>*</w:t>
      </w:r>
      <w:r w:rsidRPr="00583E1A">
        <w:t>indexation factor.</w:t>
      </w:r>
    </w:p>
    <w:p w:rsidR="00887330" w:rsidRPr="00583E1A" w:rsidRDefault="00887330" w:rsidP="00887330">
      <w:pPr>
        <w:pStyle w:val="subsection"/>
      </w:pPr>
      <w:r w:rsidRPr="00583E1A">
        <w:tab/>
        <w:t>(2)</w:t>
      </w:r>
      <w:r w:rsidRPr="00583E1A">
        <w:tab/>
        <w:t xml:space="preserve">You do not index the amount if its </w:t>
      </w:r>
      <w:r w:rsidR="00583E1A" w:rsidRPr="00583E1A">
        <w:rPr>
          <w:position w:val="6"/>
          <w:sz w:val="16"/>
        </w:rPr>
        <w:t>*</w:t>
      </w:r>
      <w:r w:rsidRPr="00583E1A">
        <w:t>indexation factor is 1 or less.</w:t>
      </w:r>
    </w:p>
    <w:p w:rsidR="0078284B" w:rsidRPr="00583E1A" w:rsidRDefault="0078284B" w:rsidP="0078284B">
      <w:pPr>
        <w:pStyle w:val="subsection"/>
      </w:pPr>
      <w:r w:rsidRPr="00583E1A">
        <w:lastRenderedPageBreak/>
        <w:tab/>
        <w:t>(3)</w:t>
      </w:r>
      <w:r w:rsidRPr="00583E1A">
        <w:tab/>
        <w:t>This section does not apply in relation to amounts mentioned in the provisions listed at items</w:t>
      </w:r>
      <w:r w:rsidR="00583E1A">
        <w:t> </w:t>
      </w:r>
      <w:r w:rsidRPr="00583E1A">
        <w:t>8 to 12 in section</w:t>
      </w:r>
      <w:r w:rsidR="00583E1A">
        <w:t> </w:t>
      </w:r>
      <w:r w:rsidRPr="00583E1A">
        <w:t>960</w:t>
      </w:r>
      <w:r w:rsidR="00583E1A">
        <w:noBreakHyphen/>
      </w:r>
      <w:r w:rsidRPr="00583E1A">
        <w:t>265.</w:t>
      </w:r>
    </w:p>
    <w:p w:rsidR="0078284B" w:rsidRPr="00583E1A" w:rsidRDefault="0078284B" w:rsidP="0078284B">
      <w:pPr>
        <w:pStyle w:val="notetext"/>
      </w:pPr>
      <w:r w:rsidRPr="00583E1A">
        <w:t>Note:</w:t>
      </w:r>
      <w:r w:rsidRPr="00583E1A">
        <w:tab/>
        <w:t>For the indexation of those amounts, see section</w:t>
      </w:r>
      <w:r w:rsidR="00583E1A">
        <w:t> </w:t>
      </w:r>
      <w:r w:rsidRPr="00583E1A">
        <w:t>960</w:t>
      </w:r>
      <w:r w:rsidR="00583E1A">
        <w:noBreakHyphen/>
      </w:r>
      <w:r w:rsidRPr="00583E1A">
        <w:t>285.</w:t>
      </w:r>
    </w:p>
    <w:p w:rsidR="00887330" w:rsidRPr="00583E1A" w:rsidRDefault="00887330" w:rsidP="00887330">
      <w:pPr>
        <w:pStyle w:val="ActHead5"/>
      </w:pPr>
      <w:bookmarkStart w:id="564" w:name="_Toc338939638"/>
      <w:r w:rsidRPr="00583E1A">
        <w:rPr>
          <w:rStyle w:val="CharSectno"/>
        </w:rPr>
        <w:t>960</w:t>
      </w:r>
      <w:r w:rsidR="00583E1A">
        <w:rPr>
          <w:rStyle w:val="CharSectno"/>
        </w:rPr>
        <w:noBreakHyphen/>
      </w:r>
      <w:r w:rsidRPr="00583E1A">
        <w:rPr>
          <w:rStyle w:val="CharSectno"/>
        </w:rPr>
        <w:t>275</w:t>
      </w:r>
      <w:r w:rsidRPr="00583E1A">
        <w:t xml:space="preserve">  </w:t>
      </w:r>
      <w:r w:rsidRPr="00583E1A">
        <w:rPr>
          <w:i/>
        </w:rPr>
        <w:t>Indexation factor</w:t>
      </w:r>
      <w:bookmarkEnd w:id="564"/>
    </w:p>
    <w:p w:rsidR="00887330" w:rsidRPr="00583E1A" w:rsidRDefault="00887330" w:rsidP="00887330">
      <w:pPr>
        <w:pStyle w:val="subsection"/>
      </w:pPr>
      <w:r w:rsidRPr="00583E1A">
        <w:tab/>
        <w:t>(1)</w:t>
      </w:r>
      <w:r w:rsidRPr="00583E1A">
        <w:tab/>
        <w:t xml:space="preserve">For indexation of amounts on an annual basis, the </w:t>
      </w:r>
      <w:r w:rsidRPr="00583E1A">
        <w:rPr>
          <w:b/>
          <w:i/>
        </w:rPr>
        <w:t>indexation factor</w:t>
      </w:r>
      <w:r w:rsidRPr="00583E1A">
        <w:t xml:space="preserve"> is:</w:t>
      </w:r>
    </w:p>
    <w:p w:rsidR="00CB48B4" w:rsidRPr="00583E1A" w:rsidRDefault="00623A5C" w:rsidP="00887330">
      <w:pPr>
        <w:pStyle w:val="Formula"/>
        <w:spacing w:before="60" w:after="60"/>
      </w:pPr>
      <w:r>
        <w:rPr>
          <w:noProof/>
        </w:rPr>
        <w:drawing>
          <wp:inline distT="0" distB="0" distL="0" distR="0">
            <wp:extent cx="3305175" cy="60007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3305175" cy="600075"/>
                    </a:xfrm>
                    <a:prstGeom prst="rect">
                      <a:avLst/>
                    </a:prstGeom>
                    <a:noFill/>
                    <a:ln>
                      <a:noFill/>
                    </a:ln>
                  </pic:spPr>
                </pic:pic>
              </a:graphicData>
            </a:graphic>
          </wp:inline>
        </w:drawing>
      </w:r>
    </w:p>
    <w:p w:rsidR="0078284B" w:rsidRPr="00583E1A" w:rsidRDefault="0078284B" w:rsidP="0078284B">
      <w:pPr>
        <w:pStyle w:val="subsection"/>
      </w:pPr>
      <w:r w:rsidRPr="00583E1A">
        <w:tab/>
        <w:t>(1A)</w:t>
      </w:r>
      <w:r w:rsidRPr="00583E1A">
        <w:tab/>
        <w:t>However, for indexation of the amounts mentioned in the provisions listed at items</w:t>
      </w:r>
      <w:r w:rsidR="00583E1A">
        <w:t> </w:t>
      </w:r>
      <w:r w:rsidRPr="00583E1A">
        <w:t>5, 6 and 7 in section</w:t>
      </w:r>
      <w:r w:rsidR="00583E1A">
        <w:t> </w:t>
      </w:r>
      <w:r w:rsidRPr="00583E1A">
        <w:t>960</w:t>
      </w:r>
      <w:r w:rsidR="00583E1A">
        <w:noBreakHyphen/>
      </w:r>
      <w:r w:rsidRPr="00583E1A">
        <w:t xml:space="preserve">265, the </w:t>
      </w:r>
      <w:r w:rsidRPr="00583E1A">
        <w:rPr>
          <w:b/>
          <w:i/>
        </w:rPr>
        <w:t>indexation factor</w:t>
      </w:r>
      <w:r w:rsidRPr="00583E1A">
        <w:t xml:space="preserve"> is:</w:t>
      </w:r>
    </w:p>
    <w:p w:rsidR="00A82FCD" w:rsidRPr="00583E1A" w:rsidRDefault="00623A5C" w:rsidP="0078284B">
      <w:pPr>
        <w:pStyle w:val="Formula"/>
        <w:spacing w:before="60" w:after="60"/>
      </w:pPr>
      <w:r>
        <w:rPr>
          <w:noProof/>
        </w:rPr>
        <w:drawing>
          <wp:inline distT="0" distB="0" distL="0" distR="0">
            <wp:extent cx="3305175" cy="504825"/>
            <wp:effectExtent l="0" t="0" r="952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3305175" cy="504825"/>
                    </a:xfrm>
                    <a:prstGeom prst="rect">
                      <a:avLst/>
                    </a:prstGeom>
                    <a:noFill/>
                    <a:ln>
                      <a:noFill/>
                    </a:ln>
                  </pic:spPr>
                </pic:pic>
              </a:graphicData>
            </a:graphic>
          </wp:inline>
        </w:drawing>
      </w:r>
    </w:p>
    <w:p w:rsidR="00887330" w:rsidRPr="00583E1A" w:rsidRDefault="00887330" w:rsidP="00887330">
      <w:pPr>
        <w:pStyle w:val="subsection"/>
      </w:pPr>
      <w:r w:rsidRPr="00583E1A">
        <w:tab/>
        <w:t>(2)</w:t>
      </w:r>
      <w:r w:rsidRPr="00583E1A">
        <w:tab/>
        <w:t xml:space="preserve">For indexation of the </w:t>
      </w:r>
      <w:r w:rsidR="00583E1A" w:rsidRPr="00583E1A">
        <w:rPr>
          <w:position w:val="6"/>
          <w:sz w:val="16"/>
        </w:rPr>
        <w:t>*</w:t>
      </w:r>
      <w:r w:rsidRPr="00583E1A">
        <w:t xml:space="preserve">cost base of a </w:t>
      </w:r>
      <w:r w:rsidR="00583E1A" w:rsidRPr="00583E1A">
        <w:rPr>
          <w:position w:val="6"/>
          <w:sz w:val="16"/>
        </w:rPr>
        <w:t>*</w:t>
      </w:r>
      <w:r w:rsidRPr="00583E1A">
        <w:t xml:space="preserve">CGT asset (except the first element of the cost base of an asset covered by </w:t>
      </w:r>
      <w:r w:rsidR="00583E1A">
        <w:t>subsection (</w:t>
      </w:r>
      <w:r w:rsidRPr="00583E1A">
        <w:t xml:space="preserve">3)), the </w:t>
      </w:r>
      <w:r w:rsidRPr="00583E1A">
        <w:rPr>
          <w:b/>
          <w:i/>
        </w:rPr>
        <w:t>indexation factor</w:t>
      </w:r>
      <w:r w:rsidRPr="00583E1A">
        <w:t xml:space="preserve"> for expenditure in an element of the cost base is:</w:t>
      </w:r>
    </w:p>
    <w:p w:rsidR="00CB48B4" w:rsidRPr="00583E1A" w:rsidRDefault="00623A5C" w:rsidP="00887330">
      <w:pPr>
        <w:pStyle w:val="Formula"/>
        <w:spacing w:before="60" w:after="60"/>
      </w:pPr>
      <w:r>
        <w:rPr>
          <w:noProof/>
        </w:rPr>
        <w:drawing>
          <wp:inline distT="0" distB="0" distL="0" distR="0">
            <wp:extent cx="3543300" cy="3810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3543300" cy="381000"/>
                    </a:xfrm>
                    <a:prstGeom prst="rect">
                      <a:avLst/>
                    </a:prstGeom>
                    <a:noFill/>
                    <a:ln>
                      <a:noFill/>
                    </a:ln>
                  </pic:spPr>
                </pic:pic>
              </a:graphicData>
            </a:graphic>
          </wp:inline>
        </w:drawing>
      </w:r>
    </w:p>
    <w:p w:rsidR="00887330" w:rsidRPr="00583E1A" w:rsidRDefault="00887330" w:rsidP="00887330">
      <w:pPr>
        <w:pStyle w:val="subsection2"/>
      </w:pPr>
      <w:r w:rsidRPr="00583E1A">
        <w:t>The expenditure can include giving property: see section</w:t>
      </w:r>
      <w:r w:rsidR="00583E1A">
        <w:t> </w:t>
      </w:r>
      <w:r w:rsidRPr="00583E1A">
        <w:t>103</w:t>
      </w:r>
      <w:r w:rsidR="00583E1A">
        <w:noBreakHyphen/>
      </w:r>
      <w:r w:rsidRPr="00583E1A">
        <w:t>5.</w:t>
      </w:r>
    </w:p>
    <w:p w:rsidR="00887330" w:rsidRPr="00583E1A" w:rsidRDefault="00887330" w:rsidP="00887330">
      <w:pPr>
        <w:pStyle w:val="notetext"/>
      </w:pPr>
      <w:r w:rsidRPr="00583E1A">
        <w:t>Note 1:</w:t>
      </w:r>
      <w:r w:rsidRPr="00583E1A">
        <w:tab/>
        <w:t xml:space="preserve">This rule does not apply to expenditure incurred after </w:t>
      </w:r>
      <w:smartTag w:uri="urn:schemas-microsoft-com:office:smarttags" w:element="time">
        <w:smartTagPr>
          <w:attr w:name="Hour" w:val="11"/>
          <w:attr w:name="Minute" w:val="45"/>
        </w:smartTagPr>
        <w:r w:rsidRPr="00583E1A">
          <w:t>11.45 am</w:t>
        </w:r>
      </w:smartTag>
      <w:r w:rsidRPr="00583E1A">
        <w:t xml:space="preserve"> on 21</w:t>
      </w:r>
      <w:r w:rsidR="00583E1A">
        <w:t> </w:t>
      </w:r>
      <w:r w:rsidRPr="00583E1A">
        <w:t>September 1999 or any expenditure relating to a CGT asset acquired after that time: see section</w:t>
      </w:r>
      <w:r w:rsidR="00583E1A">
        <w:t> </w:t>
      </w:r>
      <w:r w:rsidRPr="00583E1A">
        <w:t>114</w:t>
      </w:r>
      <w:r w:rsidR="00583E1A">
        <w:noBreakHyphen/>
      </w:r>
      <w:r w:rsidRPr="00583E1A">
        <w:t>1.</w:t>
      </w:r>
    </w:p>
    <w:p w:rsidR="00887330" w:rsidRPr="00583E1A" w:rsidRDefault="00887330" w:rsidP="00887330">
      <w:pPr>
        <w:pStyle w:val="notetext"/>
        <w:tabs>
          <w:tab w:val="left" w:pos="2268"/>
          <w:tab w:val="left" w:pos="3402"/>
          <w:tab w:val="left" w:pos="4536"/>
          <w:tab w:val="left" w:pos="5670"/>
          <w:tab w:val="left" w:pos="6804"/>
        </w:tabs>
      </w:pPr>
      <w:r w:rsidRPr="00583E1A">
        <w:t>Note 2:</w:t>
      </w:r>
      <w:r w:rsidRPr="00583E1A">
        <w:tab/>
        <w:t>This rule applies even if you do not actually pay some of the expenditure until a later time (for example, under a contract to purchase an asset by instalments).</w:t>
      </w:r>
    </w:p>
    <w:p w:rsidR="00887330" w:rsidRPr="00583E1A" w:rsidRDefault="00887330" w:rsidP="00887330">
      <w:pPr>
        <w:pStyle w:val="notetext"/>
        <w:tabs>
          <w:tab w:val="left" w:pos="2268"/>
          <w:tab w:val="left" w:pos="3402"/>
          <w:tab w:val="left" w:pos="4536"/>
          <w:tab w:val="left" w:pos="5670"/>
          <w:tab w:val="left" w:pos="6804"/>
        </w:tabs>
      </w:pPr>
      <w:r w:rsidRPr="00583E1A">
        <w:t>Note 3:</w:t>
      </w:r>
      <w:r w:rsidRPr="00583E1A">
        <w:tab/>
        <w:t>There are rules affecting when the expenditure was incurred: see sections</w:t>
      </w:r>
      <w:r w:rsidR="00583E1A">
        <w:t> </w:t>
      </w:r>
      <w:r w:rsidRPr="00583E1A">
        <w:t>114</w:t>
      </w:r>
      <w:r w:rsidR="00583E1A">
        <w:noBreakHyphen/>
      </w:r>
      <w:r w:rsidRPr="00583E1A">
        <w:t>15 and 114</w:t>
      </w:r>
      <w:r w:rsidR="00583E1A">
        <w:noBreakHyphen/>
      </w:r>
      <w:r w:rsidRPr="00583E1A">
        <w:t>20.</w:t>
      </w:r>
    </w:p>
    <w:p w:rsidR="00887330" w:rsidRPr="00583E1A" w:rsidRDefault="00887330" w:rsidP="00B73B6F">
      <w:pPr>
        <w:pStyle w:val="subsection"/>
        <w:keepNext/>
        <w:keepLines/>
      </w:pPr>
      <w:r w:rsidRPr="00583E1A">
        <w:lastRenderedPageBreak/>
        <w:tab/>
        <w:t>(3)</w:t>
      </w:r>
      <w:r w:rsidRPr="00583E1A">
        <w:tab/>
        <w:t xml:space="preserve">For indexation of the first element of the </w:t>
      </w:r>
      <w:r w:rsidR="00583E1A" w:rsidRPr="00583E1A">
        <w:rPr>
          <w:position w:val="6"/>
          <w:sz w:val="16"/>
        </w:rPr>
        <w:t>*</w:t>
      </w:r>
      <w:r w:rsidRPr="00583E1A">
        <w:t xml:space="preserve">cost base of a </w:t>
      </w:r>
      <w:r w:rsidR="00583E1A" w:rsidRPr="00583E1A">
        <w:rPr>
          <w:position w:val="6"/>
          <w:sz w:val="16"/>
        </w:rPr>
        <w:t>*</w:t>
      </w:r>
      <w:r w:rsidRPr="00583E1A">
        <w:t>CGT asset that is:</w:t>
      </w:r>
    </w:p>
    <w:p w:rsidR="00887330" w:rsidRPr="00583E1A" w:rsidRDefault="00887330" w:rsidP="00B73B6F">
      <w:pPr>
        <w:pStyle w:val="paragraph"/>
        <w:keepNext/>
        <w:keepLines/>
        <w:tabs>
          <w:tab w:val="left" w:pos="2268"/>
          <w:tab w:val="left" w:pos="3402"/>
          <w:tab w:val="left" w:pos="4536"/>
          <w:tab w:val="left" w:pos="5670"/>
          <w:tab w:val="left" w:pos="6804"/>
        </w:tabs>
      </w:pPr>
      <w:r w:rsidRPr="00583E1A">
        <w:tab/>
        <w:t>(a)</w:t>
      </w:r>
      <w:r w:rsidRPr="00583E1A">
        <w:tab/>
        <w:t xml:space="preserve">a </w:t>
      </w:r>
      <w:r w:rsidR="00583E1A" w:rsidRPr="00583E1A">
        <w:rPr>
          <w:position w:val="6"/>
          <w:sz w:val="16"/>
        </w:rPr>
        <w:t>*</w:t>
      </w:r>
      <w:r w:rsidRPr="00583E1A">
        <w:t>share in a company; or</w:t>
      </w:r>
    </w:p>
    <w:p w:rsidR="00887330" w:rsidRPr="00583E1A" w:rsidRDefault="00887330" w:rsidP="00B73B6F">
      <w:pPr>
        <w:pStyle w:val="paragraph"/>
        <w:keepNext/>
        <w:keepLines/>
        <w:tabs>
          <w:tab w:val="left" w:pos="2268"/>
          <w:tab w:val="left" w:pos="3402"/>
          <w:tab w:val="left" w:pos="4536"/>
          <w:tab w:val="left" w:pos="5670"/>
          <w:tab w:val="left" w:pos="6804"/>
        </w:tabs>
      </w:pPr>
      <w:r w:rsidRPr="00583E1A">
        <w:tab/>
        <w:t>(b)</w:t>
      </w:r>
      <w:r w:rsidRPr="00583E1A">
        <w:tab/>
        <w:t>a unit in a unit trust;</w:t>
      </w:r>
    </w:p>
    <w:p w:rsidR="00887330" w:rsidRPr="00583E1A" w:rsidRDefault="00887330" w:rsidP="00B73B6F">
      <w:pPr>
        <w:pStyle w:val="subsection2"/>
        <w:keepNext/>
        <w:keepLines/>
        <w:tabs>
          <w:tab w:val="left" w:pos="2268"/>
          <w:tab w:val="left" w:pos="3402"/>
          <w:tab w:val="left" w:pos="4536"/>
          <w:tab w:val="left" w:pos="5670"/>
          <w:tab w:val="left" w:pos="6804"/>
        </w:tabs>
      </w:pPr>
      <w:r w:rsidRPr="00583E1A">
        <w:t>the</w:t>
      </w:r>
      <w:r w:rsidRPr="00583E1A">
        <w:rPr>
          <w:b/>
          <w:i/>
        </w:rPr>
        <w:t xml:space="preserve"> indexation factor</w:t>
      </w:r>
      <w:r w:rsidRPr="00583E1A">
        <w:t xml:space="preserve"> for an amount in the first element of the </w:t>
      </w:r>
      <w:r w:rsidR="00583E1A" w:rsidRPr="00583E1A">
        <w:rPr>
          <w:position w:val="6"/>
          <w:sz w:val="16"/>
        </w:rPr>
        <w:t>*</w:t>
      </w:r>
      <w:r w:rsidRPr="00583E1A">
        <w:t xml:space="preserve">cost base of the asset that was paid to the company or trust at a time after it was </w:t>
      </w:r>
      <w:r w:rsidR="00583E1A" w:rsidRPr="00583E1A">
        <w:rPr>
          <w:position w:val="6"/>
          <w:sz w:val="16"/>
        </w:rPr>
        <w:t>*</w:t>
      </w:r>
      <w:r w:rsidRPr="00583E1A">
        <w:t>acquired is:</w:t>
      </w:r>
    </w:p>
    <w:p w:rsidR="00CB48B4" w:rsidRPr="00583E1A" w:rsidRDefault="00623A5C" w:rsidP="00887330">
      <w:pPr>
        <w:pStyle w:val="Formula"/>
        <w:spacing w:before="60" w:after="60"/>
      </w:pPr>
      <w:r>
        <w:rPr>
          <w:noProof/>
        </w:rPr>
        <w:drawing>
          <wp:inline distT="0" distB="0" distL="0" distR="0">
            <wp:extent cx="3124200" cy="3810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3124200" cy="381000"/>
                    </a:xfrm>
                    <a:prstGeom prst="rect">
                      <a:avLst/>
                    </a:prstGeom>
                    <a:noFill/>
                    <a:ln>
                      <a:noFill/>
                    </a:ln>
                  </pic:spPr>
                </pic:pic>
              </a:graphicData>
            </a:graphic>
          </wp:inline>
        </w:drawing>
      </w:r>
    </w:p>
    <w:p w:rsidR="00887330" w:rsidRPr="00583E1A" w:rsidRDefault="00887330" w:rsidP="00887330">
      <w:pPr>
        <w:pStyle w:val="subsection2"/>
        <w:tabs>
          <w:tab w:val="left" w:pos="2268"/>
          <w:tab w:val="left" w:pos="3402"/>
          <w:tab w:val="left" w:pos="4536"/>
          <w:tab w:val="left" w:pos="5670"/>
          <w:tab w:val="left" w:pos="6804"/>
        </w:tabs>
      </w:pPr>
      <w:r w:rsidRPr="00583E1A">
        <w:t>The payment can include giving property: see section</w:t>
      </w:r>
      <w:r w:rsidR="00583E1A">
        <w:t> </w:t>
      </w:r>
      <w:r w:rsidRPr="00583E1A">
        <w:t>103</w:t>
      </w:r>
      <w:r w:rsidR="00583E1A">
        <w:noBreakHyphen/>
      </w:r>
      <w:r w:rsidRPr="00583E1A">
        <w:t>5.</w:t>
      </w:r>
    </w:p>
    <w:p w:rsidR="00887330" w:rsidRPr="00583E1A" w:rsidRDefault="00887330" w:rsidP="00887330">
      <w:pPr>
        <w:pStyle w:val="notetext"/>
      </w:pPr>
      <w:r w:rsidRPr="00583E1A">
        <w:t>Example:</w:t>
      </w:r>
      <w:r w:rsidRPr="00583E1A">
        <w:tab/>
        <w:t>Peter acquires shares in a company. The shares are partly</w:t>
      </w:r>
      <w:r w:rsidR="00583E1A">
        <w:noBreakHyphen/>
      </w:r>
      <w:r w:rsidRPr="00583E1A">
        <w:t>paid, and the company makes a call on the shares. Peter sells the shares to Narina before he is liable to pay the call.</w:t>
      </w:r>
    </w:p>
    <w:p w:rsidR="00887330" w:rsidRPr="00583E1A" w:rsidRDefault="00887330" w:rsidP="00887330">
      <w:pPr>
        <w:pStyle w:val="notetext"/>
      </w:pPr>
      <w:r w:rsidRPr="00583E1A">
        <w:tab/>
        <w:t>The amount Narina paid to Peter for the shares is indexed under subsection 960</w:t>
      </w:r>
      <w:r w:rsidR="00583E1A">
        <w:noBreakHyphen/>
      </w:r>
      <w:r w:rsidRPr="00583E1A">
        <w:t xml:space="preserve">275(2) from the quarter in which she incurred the expenditure to acquire the shares. </w:t>
      </w:r>
    </w:p>
    <w:p w:rsidR="00887330" w:rsidRPr="00583E1A" w:rsidRDefault="00887330" w:rsidP="00887330">
      <w:pPr>
        <w:pStyle w:val="notetext"/>
      </w:pPr>
      <w:r w:rsidRPr="00583E1A">
        <w:tab/>
        <w:t>The amount Narina later pays for the call on the shares is indexed in accordance with subsection 960</w:t>
      </w:r>
      <w:r w:rsidR="00583E1A">
        <w:noBreakHyphen/>
      </w:r>
      <w:r w:rsidRPr="00583E1A">
        <w:t>275(3) from the quarter in which she made that later payment.</w:t>
      </w:r>
    </w:p>
    <w:p w:rsidR="00887330" w:rsidRPr="00583E1A" w:rsidRDefault="00887330" w:rsidP="00887330">
      <w:pPr>
        <w:pStyle w:val="notetext"/>
      </w:pPr>
      <w:r w:rsidRPr="00583E1A">
        <w:t>Note 1:</w:t>
      </w:r>
      <w:r w:rsidRPr="00583E1A">
        <w:tab/>
        <w:t>This subsection does not apply to shares or units you acquired before 16</w:t>
      </w:r>
      <w:r w:rsidR="00583E1A">
        <w:t> </w:t>
      </w:r>
      <w:r w:rsidRPr="00583E1A">
        <w:t>August 1989: see section</w:t>
      </w:r>
      <w:r w:rsidR="00583E1A">
        <w:t> </w:t>
      </w:r>
      <w:r w:rsidRPr="00583E1A">
        <w:t>960</w:t>
      </w:r>
      <w:r w:rsidR="00583E1A">
        <w:noBreakHyphen/>
      </w:r>
      <w:r w:rsidRPr="00583E1A">
        <w:t xml:space="preserve">275 of the </w:t>
      </w:r>
      <w:r w:rsidRPr="00583E1A">
        <w:rPr>
          <w:i/>
        </w:rPr>
        <w:t>Income Tax (Transitional Provisions) Act 1997</w:t>
      </w:r>
      <w:r w:rsidRPr="00583E1A">
        <w:t>.</w:t>
      </w:r>
    </w:p>
    <w:p w:rsidR="00887330" w:rsidRPr="00583E1A" w:rsidRDefault="00887330" w:rsidP="00887330">
      <w:pPr>
        <w:pStyle w:val="notetext"/>
      </w:pPr>
      <w:r w:rsidRPr="00583E1A">
        <w:t>Note 2:</w:t>
      </w:r>
      <w:r w:rsidRPr="00583E1A">
        <w:tab/>
        <w:t xml:space="preserve">This subsection does not apply to an amount paid after </w:t>
      </w:r>
      <w:smartTag w:uri="urn:schemas-microsoft-com:office:smarttags" w:element="time">
        <w:smartTagPr>
          <w:attr w:name="Hour" w:val="11"/>
          <w:attr w:name="Minute" w:val="45"/>
        </w:smartTagPr>
        <w:r w:rsidRPr="00583E1A">
          <w:t>11.45 am</w:t>
        </w:r>
      </w:smartTag>
      <w:r w:rsidRPr="00583E1A">
        <w:t xml:space="preserve"> on 21</w:t>
      </w:r>
      <w:r w:rsidR="00583E1A">
        <w:t> </w:t>
      </w:r>
      <w:r w:rsidRPr="00583E1A">
        <w:t>September 1999 or an amount paid in relation to a CGT asset acquired after that time: see section</w:t>
      </w:r>
      <w:r w:rsidR="00583E1A">
        <w:t> </w:t>
      </w:r>
      <w:r w:rsidRPr="00583E1A">
        <w:t>114</w:t>
      </w:r>
      <w:r w:rsidR="00583E1A">
        <w:noBreakHyphen/>
      </w:r>
      <w:r w:rsidRPr="00583E1A">
        <w:t>1.</w:t>
      </w:r>
    </w:p>
    <w:p w:rsidR="00887330" w:rsidRPr="00583E1A" w:rsidRDefault="00887330" w:rsidP="00887330">
      <w:pPr>
        <w:pStyle w:val="subsection"/>
      </w:pPr>
      <w:r w:rsidRPr="00583E1A">
        <w:tab/>
        <w:t>(4)</w:t>
      </w:r>
      <w:r w:rsidRPr="00583E1A">
        <w:tab/>
        <w:t xml:space="preserve">However, you cannot index expenditure in the third element of the </w:t>
      </w:r>
      <w:r w:rsidR="00583E1A" w:rsidRPr="00583E1A">
        <w:rPr>
          <w:position w:val="6"/>
          <w:sz w:val="16"/>
        </w:rPr>
        <w:t>*</w:t>
      </w:r>
      <w:r w:rsidRPr="00583E1A">
        <w:t>cost base of a CGT asset (costs of ownership).</w:t>
      </w:r>
    </w:p>
    <w:p w:rsidR="00887330" w:rsidRPr="00583E1A" w:rsidRDefault="00887330" w:rsidP="00887330">
      <w:pPr>
        <w:pStyle w:val="subsection"/>
      </w:pPr>
      <w:r w:rsidRPr="00583E1A">
        <w:tab/>
        <w:t>(5)</w:t>
      </w:r>
      <w:r w:rsidRPr="00583E1A">
        <w:tab/>
        <w:t xml:space="preserve">You work out the </w:t>
      </w:r>
      <w:r w:rsidR="00583E1A" w:rsidRPr="00583E1A">
        <w:rPr>
          <w:position w:val="6"/>
          <w:sz w:val="16"/>
        </w:rPr>
        <w:t>*</w:t>
      </w:r>
      <w:r w:rsidRPr="00583E1A">
        <w:t>indexation factor to 3 decimal places (rounding up if the fourth decimal place is 5 or more).</w:t>
      </w:r>
    </w:p>
    <w:p w:rsidR="00887330" w:rsidRPr="00583E1A" w:rsidRDefault="00887330" w:rsidP="00887330">
      <w:pPr>
        <w:pStyle w:val="notetext"/>
        <w:tabs>
          <w:tab w:val="left" w:pos="2268"/>
          <w:tab w:val="left" w:pos="3402"/>
          <w:tab w:val="left" w:pos="4536"/>
          <w:tab w:val="left" w:pos="5670"/>
          <w:tab w:val="left" w:pos="6804"/>
        </w:tabs>
      </w:pPr>
      <w:r w:rsidRPr="00583E1A">
        <w:t>Example:</w:t>
      </w:r>
      <w:r w:rsidRPr="00583E1A">
        <w:tab/>
        <w:t>If the factor is 1.102795, it would be rounded up to 1.103.</w:t>
      </w:r>
    </w:p>
    <w:p w:rsidR="0078284B" w:rsidRPr="00583E1A" w:rsidRDefault="0078284B" w:rsidP="0078284B">
      <w:pPr>
        <w:pStyle w:val="subsection"/>
      </w:pPr>
      <w:r w:rsidRPr="00583E1A">
        <w:tab/>
        <w:t>(6)</w:t>
      </w:r>
      <w:r w:rsidRPr="00583E1A">
        <w:tab/>
        <w:t>This section does not apply in relation to amounts mentioned in the provisions listed at items</w:t>
      </w:r>
      <w:r w:rsidR="00583E1A">
        <w:t> </w:t>
      </w:r>
      <w:r w:rsidRPr="00583E1A">
        <w:t>8 to 12 in section</w:t>
      </w:r>
      <w:r w:rsidR="00583E1A">
        <w:t> </w:t>
      </w:r>
      <w:r w:rsidRPr="00583E1A">
        <w:t>960</w:t>
      </w:r>
      <w:r w:rsidR="00583E1A">
        <w:noBreakHyphen/>
      </w:r>
      <w:r w:rsidRPr="00583E1A">
        <w:t>265.</w:t>
      </w:r>
    </w:p>
    <w:p w:rsidR="0078284B" w:rsidRPr="00583E1A" w:rsidRDefault="0078284B" w:rsidP="0078284B">
      <w:pPr>
        <w:pStyle w:val="notetext"/>
      </w:pPr>
      <w:r w:rsidRPr="00583E1A">
        <w:t>Note:</w:t>
      </w:r>
      <w:r w:rsidRPr="00583E1A">
        <w:tab/>
        <w:t>For the indexation of those amounts, see section</w:t>
      </w:r>
      <w:r w:rsidR="00583E1A">
        <w:t> </w:t>
      </w:r>
      <w:r w:rsidRPr="00583E1A">
        <w:t>960</w:t>
      </w:r>
      <w:r w:rsidR="00583E1A">
        <w:noBreakHyphen/>
      </w:r>
      <w:r w:rsidRPr="00583E1A">
        <w:t>285.</w:t>
      </w:r>
    </w:p>
    <w:p w:rsidR="00887330" w:rsidRPr="00583E1A" w:rsidRDefault="00887330" w:rsidP="00B73B6F">
      <w:pPr>
        <w:pStyle w:val="ActHead5"/>
      </w:pPr>
      <w:bookmarkStart w:id="565" w:name="_Toc338939639"/>
      <w:r w:rsidRPr="00583E1A">
        <w:rPr>
          <w:rStyle w:val="CharSectno"/>
        </w:rPr>
        <w:lastRenderedPageBreak/>
        <w:t>960</w:t>
      </w:r>
      <w:r w:rsidR="00583E1A">
        <w:rPr>
          <w:rStyle w:val="CharSectno"/>
        </w:rPr>
        <w:noBreakHyphen/>
      </w:r>
      <w:r w:rsidRPr="00583E1A">
        <w:rPr>
          <w:rStyle w:val="CharSectno"/>
        </w:rPr>
        <w:t>280</w:t>
      </w:r>
      <w:r w:rsidRPr="00583E1A">
        <w:t xml:space="preserve">  </w:t>
      </w:r>
      <w:r w:rsidRPr="00583E1A">
        <w:rPr>
          <w:i/>
        </w:rPr>
        <w:t>Index number</w:t>
      </w:r>
      <w:bookmarkEnd w:id="565"/>
    </w:p>
    <w:p w:rsidR="00887330" w:rsidRPr="00583E1A" w:rsidRDefault="00887330" w:rsidP="00B73B6F">
      <w:pPr>
        <w:pStyle w:val="subsection"/>
        <w:keepNext/>
        <w:keepLines/>
      </w:pPr>
      <w:r w:rsidRPr="00583E1A">
        <w:tab/>
        <w:t>(1)</w:t>
      </w:r>
      <w:r w:rsidRPr="00583E1A">
        <w:tab/>
        <w:t xml:space="preserve">In most cases, the </w:t>
      </w:r>
      <w:r w:rsidRPr="00583E1A">
        <w:rPr>
          <w:b/>
          <w:i/>
        </w:rPr>
        <w:t>index number</w:t>
      </w:r>
      <w:r w:rsidRPr="00583E1A">
        <w:t xml:space="preserve"> for a quarter is the All Groups Consumer Price Index number (being the weighted average of the 8 capital cities) first published by the Australian Statistician for the quarter.</w:t>
      </w:r>
    </w:p>
    <w:p w:rsidR="0078284B" w:rsidRPr="00583E1A" w:rsidRDefault="0078284B" w:rsidP="00B73B6F">
      <w:pPr>
        <w:pStyle w:val="SubsectionHead"/>
      </w:pPr>
      <w:r w:rsidRPr="00583E1A">
        <w:t>Car limit</w:t>
      </w:r>
    </w:p>
    <w:p w:rsidR="00887330" w:rsidRPr="00583E1A" w:rsidRDefault="00887330" w:rsidP="00B73B6F">
      <w:pPr>
        <w:pStyle w:val="subsection"/>
        <w:keepNext/>
        <w:keepLines/>
      </w:pPr>
      <w:r w:rsidRPr="00583E1A">
        <w:tab/>
        <w:t>(2)</w:t>
      </w:r>
      <w:r w:rsidRPr="00583E1A">
        <w:tab/>
        <w:t xml:space="preserve">For calculating the </w:t>
      </w:r>
      <w:r w:rsidR="00583E1A" w:rsidRPr="00583E1A">
        <w:rPr>
          <w:position w:val="6"/>
          <w:sz w:val="16"/>
        </w:rPr>
        <w:t>*</w:t>
      </w:r>
      <w:r w:rsidRPr="00583E1A">
        <w:t xml:space="preserve">car limit, the </w:t>
      </w:r>
      <w:r w:rsidRPr="00583E1A">
        <w:rPr>
          <w:b/>
          <w:i/>
        </w:rPr>
        <w:t>index number</w:t>
      </w:r>
      <w:r w:rsidRPr="00583E1A">
        <w:t xml:space="preserve"> for a quarter is the index number for the motor vehicle purchase sub</w:t>
      </w:r>
      <w:r w:rsidR="00583E1A">
        <w:noBreakHyphen/>
      </w:r>
      <w:r w:rsidRPr="00583E1A">
        <w:t>group of the Consumer Price Index, being the weighted average of the 8 capital cities, first published by the Australian Statistician for the quarter.</w:t>
      </w:r>
    </w:p>
    <w:p w:rsidR="00887330" w:rsidRPr="00583E1A" w:rsidRDefault="00887330" w:rsidP="00887330">
      <w:pPr>
        <w:pStyle w:val="subsection"/>
      </w:pPr>
      <w:r w:rsidRPr="00583E1A">
        <w:tab/>
        <w:t>(3)</w:t>
      </w:r>
      <w:r w:rsidRPr="00583E1A">
        <w:tab/>
        <w:t xml:space="preserve">If the Australian Statistician changes the reference base for an </w:t>
      </w:r>
      <w:r w:rsidR="00583E1A" w:rsidRPr="00583E1A">
        <w:rPr>
          <w:position w:val="6"/>
          <w:sz w:val="16"/>
        </w:rPr>
        <w:t>*</w:t>
      </w:r>
      <w:r w:rsidRPr="00583E1A">
        <w:t>index number, only index numbers published in terms of the new base are to be used after the change.</w:t>
      </w:r>
    </w:p>
    <w:p w:rsidR="0078284B" w:rsidRPr="00583E1A" w:rsidRDefault="0078284B" w:rsidP="0078284B">
      <w:pPr>
        <w:pStyle w:val="SubsectionHead"/>
      </w:pPr>
      <w:r w:rsidRPr="00583E1A">
        <w:t>Genuine redundancy, early retirement schemes, pre</w:t>
      </w:r>
      <w:r w:rsidR="00583E1A">
        <w:noBreakHyphen/>
      </w:r>
      <w:r w:rsidRPr="00583E1A">
        <w:t>1</w:t>
      </w:r>
      <w:r w:rsidR="00583E1A">
        <w:t> </w:t>
      </w:r>
      <w:r w:rsidRPr="00583E1A">
        <w:t>July 88 funding credits</w:t>
      </w:r>
    </w:p>
    <w:p w:rsidR="0078284B" w:rsidRPr="00583E1A" w:rsidRDefault="0078284B" w:rsidP="0078284B">
      <w:pPr>
        <w:pStyle w:val="subsection"/>
      </w:pPr>
      <w:r w:rsidRPr="00583E1A">
        <w:tab/>
        <w:t>(4)</w:t>
      </w:r>
      <w:r w:rsidRPr="00583E1A">
        <w:tab/>
        <w:t>For calculating the amounts mentioned in the provisions listed at items</w:t>
      </w:r>
      <w:r w:rsidR="00583E1A">
        <w:t> </w:t>
      </w:r>
      <w:r w:rsidRPr="00583E1A">
        <w:t>5, 6 and 7 in section</w:t>
      </w:r>
      <w:r w:rsidR="00583E1A">
        <w:t> </w:t>
      </w:r>
      <w:r w:rsidRPr="00583E1A">
        <w:t>960</w:t>
      </w:r>
      <w:r w:rsidR="00583E1A">
        <w:noBreakHyphen/>
      </w:r>
      <w:r w:rsidRPr="00583E1A">
        <w:t xml:space="preserve">265, the </w:t>
      </w:r>
      <w:r w:rsidRPr="00583E1A">
        <w:rPr>
          <w:b/>
          <w:i/>
        </w:rPr>
        <w:t>index number</w:t>
      </w:r>
      <w:r w:rsidRPr="00583E1A">
        <w:t xml:space="preserve"> for a quarter is the estimate of full</w:t>
      </w:r>
      <w:r w:rsidR="00583E1A">
        <w:noBreakHyphen/>
      </w:r>
      <w:r w:rsidRPr="00583E1A">
        <w:t>time adult average weekly ordinary time earnings for the middle month of the quarter first published by the Australian Statistician in respect of that month.</w:t>
      </w:r>
    </w:p>
    <w:p w:rsidR="0078284B" w:rsidRPr="00583E1A" w:rsidRDefault="0078284B" w:rsidP="0078284B">
      <w:pPr>
        <w:pStyle w:val="subsection"/>
      </w:pPr>
      <w:r w:rsidRPr="00583E1A">
        <w:tab/>
        <w:t>(5)</w:t>
      </w:r>
      <w:r w:rsidRPr="00583E1A">
        <w:tab/>
      </w:r>
      <w:r w:rsidR="00583E1A">
        <w:t>Subsection (</w:t>
      </w:r>
      <w:r w:rsidRPr="00583E1A">
        <w:t xml:space="preserve">3) does not apply to the index numbers mentioned in </w:t>
      </w:r>
      <w:r w:rsidR="00583E1A">
        <w:t>subsection (</w:t>
      </w:r>
      <w:r w:rsidRPr="00583E1A">
        <w:t>4).</w:t>
      </w:r>
    </w:p>
    <w:p w:rsidR="0078284B" w:rsidRPr="00583E1A" w:rsidRDefault="0078284B" w:rsidP="0078284B">
      <w:pPr>
        <w:pStyle w:val="SubsectionHead"/>
      </w:pPr>
      <w:r w:rsidRPr="00583E1A">
        <w:t>Exception—superannuation and employment termination</w:t>
      </w:r>
    </w:p>
    <w:p w:rsidR="0078284B" w:rsidRPr="00583E1A" w:rsidRDefault="0078284B" w:rsidP="0078284B">
      <w:pPr>
        <w:pStyle w:val="subsection"/>
      </w:pPr>
      <w:r w:rsidRPr="00583E1A">
        <w:tab/>
        <w:t>(6)</w:t>
      </w:r>
      <w:r w:rsidRPr="00583E1A">
        <w:tab/>
        <w:t>This section does not apply in relation to amounts mentioned in the provisions listed at items</w:t>
      </w:r>
      <w:r w:rsidR="00583E1A">
        <w:t> </w:t>
      </w:r>
      <w:r w:rsidRPr="00583E1A">
        <w:t>8 to 12 in section</w:t>
      </w:r>
      <w:r w:rsidR="00583E1A">
        <w:t> </w:t>
      </w:r>
      <w:r w:rsidRPr="00583E1A">
        <w:t>960</w:t>
      </w:r>
      <w:r w:rsidR="00583E1A">
        <w:noBreakHyphen/>
      </w:r>
      <w:r w:rsidRPr="00583E1A">
        <w:t>265.</w:t>
      </w:r>
    </w:p>
    <w:p w:rsidR="0078284B" w:rsidRPr="00583E1A" w:rsidRDefault="0078284B" w:rsidP="0078284B">
      <w:pPr>
        <w:pStyle w:val="notetext"/>
      </w:pPr>
      <w:r w:rsidRPr="00583E1A">
        <w:t>Note:</w:t>
      </w:r>
      <w:r w:rsidRPr="00583E1A">
        <w:tab/>
        <w:t>For the indexation of those amounts, see section</w:t>
      </w:r>
      <w:r w:rsidR="00583E1A">
        <w:t> </w:t>
      </w:r>
      <w:r w:rsidRPr="00583E1A">
        <w:t>960</w:t>
      </w:r>
      <w:r w:rsidR="00583E1A">
        <w:noBreakHyphen/>
      </w:r>
      <w:r w:rsidRPr="00583E1A">
        <w:t>285.</w:t>
      </w:r>
    </w:p>
    <w:p w:rsidR="0078284B" w:rsidRPr="00583E1A" w:rsidRDefault="0078284B" w:rsidP="0078284B">
      <w:pPr>
        <w:pStyle w:val="ActHead5"/>
      </w:pPr>
      <w:bookmarkStart w:id="566" w:name="_Toc338939640"/>
      <w:r w:rsidRPr="00583E1A">
        <w:rPr>
          <w:rStyle w:val="CharSectno"/>
        </w:rPr>
        <w:t>960</w:t>
      </w:r>
      <w:r w:rsidR="00583E1A">
        <w:rPr>
          <w:rStyle w:val="CharSectno"/>
        </w:rPr>
        <w:noBreakHyphen/>
      </w:r>
      <w:r w:rsidRPr="00583E1A">
        <w:rPr>
          <w:rStyle w:val="CharSectno"/>
        </w:rPr>
        <w:t>285</w:t>
      </w:r>
      <w:r w:rsidRPr="00583E1A">
        <w:t xml:space="preserve">  Indexation—superannuation and employment termination</w:t>
      </w:r>
      <w:bookmarkEnd w:id="566"/>
    </w:p>
    <w:p w:rsidR="0078284B" w:rsidRPr="00583E1A" w:rsidRDefault="0078284B" w:rsidP="0078284B">
      <w:pPr>
        <w:pStyle w:val="subsection"/>
      </w:pPr>
      <w:r w:rsidRPr="00583E1A">
        <w:tab/>
        <w:t>(1)</w:t>
      </w:r>
      <w:r w:rsidRPr="00583E1A">
        <w:tab/>
        <w:t>This section applies in relation to an amount mentioned in a provision listed at items</w:t>
      </w:r>
      <w:r w:rsidR="00583E1A">
        <w:t> </w:t>
      </w:r>
      <w:r w:rsidRPr="00583E1A">
        <w:t>8 to 12 in section</w:t>
      </w:r>
      <w:r w:rsidR="00583E1A">
        <w:t> </w:t>
      </w:r>
      <w:r w:rsidRPr="00583E1A">
        <w:t>960</w:t>
      </w:r>
      <w:r w:rsidR="00583E1A">
        <w:noBreakHyphen/>
      </w:r>
      <w:r w:rsidRPr="00583E1A">
        <w:t>265.</w:t>
      </w:r>
    </w:p>
    <w:p w:rsidR="0078284B" w:rsidRPr="00583E1A" w:rsidRDefault="0078284B" w:rsidP="0078284B">
      <w:pPr>
        <w:pStyle w:val="SubsectionHead"/>
      </w:pPr>
      <w:r w:rsidRPr="00583E1A">
        <w:lastRenderedPageBreak/>
        <w:t>Indexing amounts</w:t>
      </w:r>
    </w:p>
    <w:p w:rsidR="0078284B" w:rsidRPr="00583E1A" w:rsidRDefault="0078284B" w:rsidP="0078284B">
      <w:pPr>
        <w:pStyle w:val="subsection"/>
      </w:pPr>
      <w:r w:rsidRPr="00583E1A">
        <w:tab/>
        <w:t>(2)</w:t>
      </w:r>
      <w:r w:rsidRPr="00583E1A">
        <w:tab/>
        <w:t>You index the amount by:</w:t>
      </w:r>
    </w:p>
    <w:p w:rsidR="00837EC3" w:rsidRPr="00583E1A" w:rsidRDefault="00837EC3" w:rsidP="00837EC3">
      <w:pPr>
        <w:pStyle w:val="paragraph"/>
      </w:pPr>
      <w:r w:rsidRPr="00583E1A">
        <w:tab/>
        <w:t>(a)</w:t>
      </w:r>
      <w:r w:rsidRPr="00583E1A">
        <w:tab/>
        <w:t>firstly:</w:t>
      </w:r>
    </w:p>
    <w:p w:rsidR="00837EC3" w:rsidRPr="00583E1A" w:rsidRDefault="00837EC3" w:rsidP="00837EC3">
      <w:pPr>
        <w:pStyle w:val="paragraphsub"/>
      </w:pPr>
      <w:r w:rsidRPr="00583E1A">
        <w:tab/>
        <w:t>(i)</w:t>
      </w:r>
      <w:r w:rsidRPr="00583E1A">
        <w:tab/>
        <w:t>if the amount is mentioned in item</w:t>
      </w:r>
      <w:r w:rsidR="00583E1A">
        <w:t> </w:t>
      </w:r>
      <w:r w:rsidRPr="00583E1A">
        <w:t>9 in section</w:t>
      </w:r>
      <w:r w:rsidR="00583E1A">
        <w:t> </w:t>
      </w:r>
      <w:r w:rsidRPr="00583E1A">
        <w:t>960</w:t>
      </w:r>
      <w:r w:rsidR="00583E1A">
        <w:noBreakHyphen/>
      </w:r>
      <w:r w:rsidRPr="00583E1A">
        <w:t xml:space="preserve">265 (concessional contributions cap)—multiplying the amount for the </w:t>
      </w:r>
      <w:r w:rsidR="00625D9E" w:rsidRPr="008C4198">
        <w:t>2013</w:t>
      </w:r>
      <w:r w:rsidR="00625D9E" w:rsidRPr="008C4198">
        <w:noBreakHyphen/>
        <w:t>2014</w:t>
      </w:r>
      <w:r w:rsidRPr="00583E1A">
        <w:t xml:space="preserve"> financial year by its </w:t>
      </w:r>
      <w:r w:rsidR="00583E1A" w:rsidRPr="00583E1A">
        <w:rPr>
          <w:position w:val="6"/>
          <w:sz w:val="16"/>
        </w:rPr>
        <w:t>*</w:t>
      </w:r>
      <w:r w:rsidRPr="00583E1A">
        <w:t xml:space="preserve">indexation factor mentioned in </w:t>
      </w:r>
      <w:r w:rsidR="00583E1A">
        <w:t>subsection (</w:t>
      </w:r>
      <w:r w:rsidRPr="00583E1A">
        <w:t>3A); or</w:t>
      </w:r>
    </w:p>
    <w:p w:rsidR="00837EC3" w:rsidRPr="00583E1A" w:rsidRDefault="00837EC3" w:rsidP="00837EC3">
      <w:pPr>
        <w:pStyle w:val="paragraphsub"/>
      </w:pPr>
      <w:r w:rsidRPr="00583E1A">
        <w:tab/>
        <w:t>(ii)</w:t>
      </w:r>
      <w:r w:rsidRPr="00583E1A">
        <w:tab/>
        <w:t>otherwise—multiplying the amount for the 2007</w:t>
      </w:r>
      <w:r w:rsidR="00583E1A">
        <w:noBreakHyphen/>
      </w:r>
      <w:r w:rsidRPr="00583E1A">
        <w:t xml:space="preserve">2008 income year or financial year by its indexation factor mentioned in </w:t>
      </w:r>
      <w:r w:rsidR="00583E1A">
        <w:t>subsection (</w:t>
      </w:r>
      <w:r w:rsidRPr="00583E1A">
        <w:t>4); and</w:t>
      </w:r>
    </w:p>
    <w:p w:rsidR="0078284B" w:rsidRPr="00583E1A" w:rsidRDefault="0078284B" w:rsidP="0078284B">
      <w:pPr>
        <w:pStyle w:val="paragraph"/>
      </w:pPr>
      <w:r w:rsidRPr="00583E1A">
        <w:tab/>
        <w:t>(b)</w:t>
      </w:r>
      <w:r w:rsidRPr="00583E1A">
        <w:tab/>
        <w:t xml:space="preserve">next, rounding the result in </w:t>
      </w:r>
      <w:r w:rsidR="00583E1A">
        <w:t>paragraph (</w:t>
      </w:r>
      <w:r w:rsidRPr="00583E1A">
        <w:t>a) down to the nearest multiple of $5,000.</w:t>
      </w:r>
    </w:p>
    <w:p w:rsidR="0078284B" w:rsidRPr="00583E1A" w:rsidRDefault="0078284B" w:rsidP="0078284B">
      <w:pPr>
        <w:pStyle w:val="notetext"/>
      </w:pPr>
      <w:r w:rsidRPr="00583E1A">
        <w:t>Example 1:</w:t>
      </w:r>
      <w:r w:rsidRPr="00583E1A">
        <w:tab/>
        <w:t>If the amount to be indexed is $140,000 and the indexation factor increases this to an indexed amount of $143,000, the indexed amount is rounded back down to $140,000.</w:t>
      </w:r>
    </w:p>
    <w:p w:rsidR="0078284B" w:rsidRPr="00583E1A" w:rsidRDefault="0078284B" w:rsidP="0078284B">
      <w:pPr>
        <w:pStyle w:val="notetext"/>
      </w:pPr>
      <w:r w:rsidRPr="00583E1A">
        <w:t>Example 2:</w:t>
      </w:r>
      <w:r w:rsidRPr="00583E1A">
        <w:tab/>
        <w:t>If the</w:t>
      </w:r>
      <w:r w:rsidRPr="00583E1A">
        <w:rPr>
          <w:i/>
        </w:rPr>
        <w:t xml:space="preserve"> </w:t>
      </w:r>
      <w:r w:rsidRPr="00583E1A">
        <w:t>amount to be indexed is $140,000 and the indexation factor increases this to an indexed amount of $146,000, the indexed amount is rounded down to $145,000.</w:t>
      </w:r>
    </w:p>
    <w:p w:rsidR="0078284B" w:rsidRPr="00583E1A" w:rsidRDefault="0078284B" w:rsidP="0078284B">
      <w:pPr>
        <w:pStyle w:val="subsection"/>
      </w:pPr>
      <w:r w:rsidRPr="00583E1A">
        <w:tab/>
        <w:t>(3)</w:t>
      </w:r>
      <w:r w:rsidRPr="00583E1A">
        <w:tab/>
        <w:t xml:space="preserve">You do not index the amount if its indexation factor mentioned in </w:t>
      </w:r>
      <w:r w:rsidR="00583E1A">
        <w:t>subsection (</w:t>
      </w:r>
      <w:r w:rsidR="007D7ED4" w:rsidRPr="00583E1A">
        <w:t>3A) or (4)</w:t>
      </w:r>
      <w:r w:rsidRPr="00583E1A">
        <w:t xml:space="preserve"> is 1 or less.</w:t>
      </w:r>
    </w:p>
    <w:p w:rsidR="009D6425" w:rsidRPr="00583E1A" w:rsidRDefault="009D6425" w:rsidP="009D6425">
      <w:pPr>
        <w:pStyle w:val="SubsectionHead"/>
      </w:pPr>
      <w:r w:rsidRPr="00583E1A">
        <w:t>Indexation factor</w:t>
      </w:r>
    </w:p>
    <w:p w:rsidR="009D6425" w:rsidRPr="00583E1A" w:rsidRDefault="009D6425" w:rsidP="009D6425">
      <w:pPr>
        <w:pStyle w:val="subsection"/>
      </w:pPr>
      <w:r w:rsidRPr="00583E1A">
        <w:tab/>
        <w:t>(3A)</w:t>
      </w:r>
      <w:r w:rsidRPr="00583E1A">
        <w:tab/>
        <w:t xml:space="preserve">For indexation of the amount on an annual basis in accordance with </w:t>
      </w:r>
      <w:r w:rsidR="00583E1A">
        <w:t>subparagraph (</w:t>
      </w:r>
      <w:r w:rsidRPr="00583E1A">
        <w:t xml:space="preserve">2)(a)(i), the </w:t>
      </w:r>
      <w:r w:rsidRPr="00583E1A">
        <w:rPr>
          <w:b/>
          <w:i/>
        </w:rPr>
        <w:t>indexation factor</w:t>
      </w:r>
      <w:r w:rsidRPr="00583E1A">
        <w:t xml:space="preserve"> is:</w:t>
      </w:r>
    </w:p>
    <w:p w:rsidR="009D6425" w:rsidRPr="00583E1A" w:rsidRDefault="00623A5C" w:rsidP="009D6425">
      <w:pPr>
        <w:pStyle w:val="Formula"/>
        <w:ind w:left="0"/>
      </w:pPr>
      <w:r>
        <w:rPr>
          <w:noProof/>
        </w:rPr>
        <w:drawing>
          <wp:inline distT="0" distB="0" distL="0" distR="0">
            <wp:extent cx="4162425" cy="75247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4162425" cy="752475"/>
                    </a:xfrm>
                    <a:prstGeom prst="rect">
                      <a:avLst/>
                    </a:prstGeom>
                    <a:noFill/>
                    <a:ln>
                      <a:noFill/>
                    </a:ln>
                  </pic:spPr>
                </pic:pic>
              </a:graphicData>
            </a:graphic>
          </wp:inline>
        </w:drawing>
      </w:r>
    </w:p>
    <w:p w:rsidR="0078284B" w:rsidRPr="00583E1A" w:rsidRDefault="0078284B" w:rsidP="0078284B">
      <w:pPr>
        <w:pStyle w:val="subsection"/>
      </w:pPr>
      <w:r w:rsidRPr="00583E1A">
        <w:tab/>
        <w:t>(4)</w:t>
      </w:r>
      <w:r w:rsidRPr="00583E1A">
        <w:tab/>
        <w:t>For indexation of the amount on an annual basis</w:t>
      </w:r>
      <w:r w:rsidR="001E0D04" w:rsidRPr="00583E1A">
        <w:t xml:space="preserve"> in accordance with </w:t>
      </w:r>
      <w:r w:rsidR="00583E1A">
        <w:t>subparagraph (</w:t>
      </w:r>
      <w:r w:rsidR="001E0D04" w:rsidRPr="00583E1A">
        <w:t>2)(a)(ii)</w:t>
      </w:r>
      <w:r w:rsidRPr="00583E1A">
        <w:t xml:space="preserve">, the </w:t>
      </w:r>
      <w:r w:rsidRPr="00583E1A">
        <w:rPr>
          <w:b/>
          <w:i/>
        </w:rPr>
        <w:t>indexation factor</w:t>
      </w:r>
      <w:r w:rsidRPr="00583E1A">
        <w:t xml:space="preserve"> is:</w:t>
      </w:r>
    </w:p>
    <w:p w:rsidR="00A82FCD" w:rsidRPr="00583E1A" w:rsidRDefault="00623A5C" w:rsidP="00856962">
      <w:pPr>
        <w:pStyle w:val="Formula"/>
        <w:spacing w:before="60" w:after="60"/>
        <w:ind w:left="360"/>
      </w:pPr>
      <w:r>
        <w:rPr>
          <w:noProof/>
        </w:rPr>
        <w:drawing>
          <wp:inline distT="0" distB="0" distL="0" distR="0">
            <wp:extent cx="4181475" cy="63817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4181475" cy="638175"/>
                    </a:xfrm>
                    <a:prstGeom prst="rect">
                      <a:avLst/>
                    </a:prstGeom>
                    <a:noFill/>
                    <a:ln>
                      <a:noFill/>
                    </a:ln>
                  </pic:spPr>
                </pic:pic>
              </a:graphicData>
            </a:graphic>
          </wp:inline>
        </w:drawing>
      </w:r>
    </w:p>
    <w:p w:rsidR="0078284B" w:rsidRPr="00583E1A" w:rsidRDefault="0078284B" w:rsidP="0078284B">
      <w:pPr>
        <w:pStyle w:val="subsection"/>
      </w:pPr>
      <w:r w:rsidRPr="00583E1A">
        <w:lastRenderedPageBreak/>
        <w:tab/>
        <w:t>(5)</w:t>
      </w:r>
      <w:r w:rsidRPr="00583E1A">
        <w:tab/>
        <w:t xml:space="preserve">You work out the </w:t>
      </w:r>
      <w:r w:rsidR="00583E1A" w:rsidRPr="00583E1A">
        <w:rPr>
          <w:position w:val="6"/>
          <w:sz w:val="16"/>
        </w:rPr>
        <w:t>*</w:t>
      </w:r>
      <w:r w:rsidRPr="00583E1A">
        <w:t xml:space="preserve">indexation factor mentioned in </w:t>
      </w:r>
      <w:r w:rsidR="00583E1A">
        <w:t>subsection (</w:t>
      </w:r>
      <w:r w:rsidR="00300C85" w:rsidRPr="00583E1A">
        <w:t>3A) or (4)</w:t>
      </w:r>
      <w:r w:rsidRPr="00583E1A">
        <w:t xml:space="preserve"> to 3 decimal places (rounding up if the fourth decimal place is 5 or more).</w:t>
      </w:r>
    </w:p>
    <w:p w:rsidR="0078284B" w:rsidRPr="00583E1A" w:rsidRDefault="0078284B" w:rsidP="0078284B">
      <w:pPr>
        <w:pStyle w:val="SubsectionHead"/>
      </w:pPr>
      <w:r w:rsidRPr="00583E1A">
        <w:t>Index number</w:t>
      </w:r>
    </w:p>
    <w:p w:rsidR="0078284B" w:rsidRPr="00583E1A" w:rsidRDefault="0078284B" w:rsidP="0078284B">
      <w:pPr>
        <w:pStyle w:val="subsection"/>
      </w:pPr>
      <w:r w:rsidRPr="00583E1A">
        <w:tab/>
        <w:t>(6)</w:t>
      </w:r>
      <w:r w:rsidRPr="00583E1A">
        <w:tab/>
        <w:t xml:space="preserve">For calculating the amounts, the </w:t>
      </w:r>
      <w:r w:rsidRPr="00583E1A">
        <w:rPr>
          <w:b/>
          <w:i/>
        </w:rPr>
        <w:t>index number</w:t>
      </w:r>
      <w:r w:rsidRPr="00583E1A">
        <w:t xml:space="preserve"> for a quarter is the estimate of full</w:t>
      </w:r>
      <w:r w:rsidR="00583E1A">
        <w:noBreakHyphen/>
      </w:r>
      <w:r w:rsidRPr="00583E1A">
        <w:t>time adult average weekly ordinary time earnings for the middle month of the quarter first published by the Australian Statistician in respect of that month.</w:t>
      </w:r>
    </w:p>
    <w:p w:rsidR="00887330" w:rsidRPr="00583E1A" w:rsidRDefault="00887330" w:rsidP="007D2F4E">
      <w:pPr>
        <w:pStyle w:val="ActHead4"/>
      </w:pPr>
      <w:bookmarkStart w:id="567" w:name="_Toc338939641"/>
      <w:r w:rsidRPr="00583E1A">
        <w:rPr>
          <w:rStyle w:val="CharSubdNo"/>
        </w:rPr>
        <w:t>Subdivision</w:t>
      </w:r>
      <w:r w:rsidR="00583E1A">
        <w:rPr>
          <w:rStyle w:val="CharSubdNo"/>
        </w:rPr>
        <w:t> </w:t>
      </w:r>
      <w:r w:rsidRPr="00583E1A">
        <w:rPr>
          <w:rStyle w:val="CharSubdNo"/>
        </w:rPr>
        <w:t>960</w:t>
      </w:r>
      <w:r w:rsidR="00583E1A">
        <w:rPr>
          <w:rStyle w:val="CharSubdNo"/>
        </w:rPr>
        <w:noBreakHyphen/>
      </w:r>
      <w:r w:rsidRPr="00583E1A">
        <w:rPr>
          <w:rStyle w:val="CharSubdNo"/>
        </w:rPr>
        <w:t>S</w:t>
      </w:r>
      <w:r w:rsidRPr="00583E1A">
        <w:t>—</w:t>
      </w:r>
      <w:r w:rsidRPr="00583E1A">
        <w:rPr>
          <w:rStyle w:val="CharSubdText"/>
        </w:rPr>
        <w:t>Market value</w:t>
      </w:r>
      <w:bookmarkEnd w:id="567"/>
    </w:p>
    <w:p w:rsidR="00887330" w:rsidRPr="00583E1A" w:rsidRDefault="00887330" w:rsidP="007D2F4E">
      <w:pPr>
        <w:pStyle w:val="ActHead4"/>
      </w:pPr>
      <w:bookmarkStart w:id="568" w:name="_Toc338939642"/>
      <w:r w:rsidRPr="00583E1A">
        <w:t>Guide to Subdivision</w:t>
      </w:r>
      <w:r w:rsidR="00583E1A">
        <w:t> </w:t>
      </w:r>
      <w:r w:rsidRPr="00583E1A">
        <w:t>960</w:t>
      </w:r>
      <w:r w:rsidR="00583E1A">
        <w:noBreakHyphen/>
      </w:r>
      <w:r w:rsidRPr="00583E1A">
        <w:t>S</w:t>
      </w:r>
      <w:bookmarkEnd w:id="568"/>
    </w:p>
    <w:p w:rsidR="00887330" w:rsidRPr="00583E1A" w:rsidRDefault="00887330" w:rsidP="007D2F4E">
      <w:pPr>
        <w:pStyle w:val="ActHead5"/>
      </w:pPr>
      <w:bookmarkStart w:id="569" w:name="_Toc338939643"/>
      <w:r w:rsidRPr="00583E1A">
        <w:rPr>
          <w:rStyle w:val="CharSectno"/>
        </w:rPr>
        <w:t>960</w:t>
      </w:r>
      <w:r w:rsidR="00583E1A">
        <w:rPr>
          <w:rStyle w:val="CharSectno"/>
        </w:rPr>
        <w:noBreakHyphen/>
      </w:r>
      <w:r w:rsidRPr="00583E1A">
        <w:rPr>
          <w:rStyle w:val="CharSectno"/>
        </w:rPr>
        <w:t>400</w:t>
      </w:r>
      <w:r w:rsidRPr="00583E1A">
        <w:t xml:space="preserve">  What this Subdivision is about</w:t>
      </w:r>
      <w:bookmarkEnd w:id="569"/>
    </w:p>
    <w:p w:rsidR="00887330" w:rsidRPr="00583E1A" w:rsidRDefault="00887330" w:rsidP="007D2F4E">
      <w:pPr>
        <w:pStyle w:val="BoxText"/>
        <w:keepNext/>
      </w:pPr>
      <w:r w:rsidRPr="00583E1A">
        <w:t>The expression “market value” is often used in this Act with its ordinary meaning.</w:t>
      </w:r>
    </w:p>
    <w:p w:rsidR="00887330" w:rsidRPr="00583E1A" w:rsidRDefault="00887330" w:rsidP="00887330">
      <w:pPr>
        <w:pStyle w:val="BoxText"/>
      </w:pPr>
      <w:r w:rsidRPr="00583E1A">
        <w:t>However, in some cases that expression has a meaning affected by this Subdivision.</w:t>
      </w:r>
    </w:p>
    <w:p w:rsidR="00887330" w:rsidRPr="00583E1A" w:rsidRDefault="00887330" w:rsidP="00C67A46">
      <w:pPr>
        <w:pStyle w:val="TofSectsHeading"/>
        <w:keepNext/>
      </w:pPr>
      <w:r w:rsidRPr="00583E1A">
        <w:t>Table of sections</w:t>
      </w:r>
    </w:p>
    <w:p w:rsidR="00887330" w:rsidRPr="00583E1A" w:rsidRDefault="00887330" w:rsidP="00C67A46">
      <w:pPr>
        <w:pStyle w:val="TofSectsGroupHeading"/>
        <w:keepNext/>
      </w:pPr>
      <w:r w:rsidRPr="00583E1A">
        <w:t>Operative provisions</w:t>
      </w:r>
    </w:p>
    <w:p w:rsidR="00887330" w:rsidRPr="00583E1A" w:rsidRDefault="00887330" w:rsidP="00887330">
      <w:pPr>
        <w:pStyle w:val="TofSectsSection"/>
      </w:pPr>
      <w:r w:rsidRPr="00583E1A">
        <w:t>960</w:t>
      </w:r>
      <w:r w:rsidR="00583E1A">
        <w:noBreakHyphen/>
      </w:r>
      <w:r w:rsidRPr="00583E1A">
        <w:t>405</w:t>
      </w:r>
      <w:r w:rsidRPr="00583E1A">
        <w:tab/>
        <w:t>Effect of GST on market value of an asset</w:t>
      </w:r>
    </w:p>
    <w:p w:rsidR="00887330" w:rsidRPr="00583E1A" w:rsidRDefault="00887330" w:rsidP="00887330">
      <w:pPr>
        <w:pStyle w:val="TofSectsSection"/>
      </w:pPr>
      <w:r w:rsidRPr="00583E1A">
        <w:t>960</w:t>
      </w:r>
      <w:r w:rsidR="00583E1A">
        <w:noBreakHyphen/>
      </w:r>
      <w:r w:rsidRPr="00583E1A">
        <w:t>410</w:t>
      </w:r>
      <w:r w:rsidRPr="00583E1A">
        <w:tab/>
        <w:t>Market value of non</w:t>
      </w:r>
      <w:r w:rsidR="00583E1A">
        <w:noBreakHyphen/>
      </w:r>
      <w:r w:rsidRPr="00583E1A">
        <w:t>cash benefits</w:t>
      </w:r>
    </w:p>
    <w:p w:rsidR="00D65CD4" w:rsidRPr="00303F70" w:rsidRDefault="00D65CD4" w:rsidP="00D65CD4">
      <w:pPr>
        <w:pStyle w:val="TofSectsSection"/>
      </w:pPr>
      <w:r w:rsidRPr="00D65CD4">
        <w:t>960</w:t>
      </w:r>
      <w:r w:rsidRPr="00D65CD4">
        <w:noBreakHyphen/>
        <w:t>415</w:t>
      </w:r>
      <w:r w:rsidR="00746768">
        <w:tab/>
      </w:r>
      <w:r w:rsidRPr="00303F70">
        <w:t>Amounts that depend on market value</w:t>
      </w:r>
    </w:p>
    <w:p w:rsidR="00887330" w:rsidRPr="00583E1A" w:rsidRDefault="00887330" w:rsidP="00887330">
      <w:pPr>
        <w:pStyle w:val="ActHead4"/>
      </w:pPr>
      <w:bookmarkStart w:id="570" w:name="_Toc338939644"/>
      <w:r w:rsidRPr="00583E1A">
        <w:t>Operative provisions</w:t>
      </w:r>
      <w:bookmarkEnd w:id="570"/>
    </w:p>
    <w:p w:rsidR="00887330" w:rsidRPr="00583E1A" w:rsidRDefault="00887330" w:rsidP="00887330">
      <w:pPr>
        <w:pStyle w:val="ActHead5"/>
      </w:pPr>
      <w:bookmarkStart w:id="571" w:name="_Toc338939645"/>
      <w:r w:rsidRPr="00583E1A">
        <w:rPr>
          <w:rStyle w:val="CharSectno"/>
        </w:rPr>
        <w:t>960</w:t>
      </w:r>
      <w:r w:rsidR="00583E1A">
        <w:rPr>
          <w:rStyle w:val="CharSectno"/>
        </w:rPr>
        <w:noBreakHyphen/>
      </w:r>
      <w:r w:rsidRPr="00583E1A">
        <w:rPr>
          <w:rStyle w:val="CharSectno"/>
        </w:rPr>
        <w:t>405</w:t>
      </w:r>
      <w:r w:rsidRPr="00583E1A">
        <w:t xml:space="preserve">  Effect of GST on market value of an asset</w:t>
      </w:r>
      <w:bookmarkEnd w:id="571"/>
    </w:p>
    <w:p w:rsidR="00887330" w:rsidRPr="00583E1A" w:rsidRDefault="00887330" w:rsidP="00887330">
      <w:pPr>
        <w:pStyle w:val="subsection"/>
        <w:rPr>
          <w:b/>
        </w:rPr>
      </w:pPr>
      <w:r w:rsidRPr="00583E1A">
        <w:tab/>
        <w:t>(1)</w:t>
      </w:r>
      <w:r w:rsidRPr="00583E1A">
        <w:tab/>
        <w:t xml:space="preserve">The </w:t>
      </w:r>
      <w:r w:rsidRPr="00583E1A">
        <w:rPr>
          <w:b/>
          <w:i/>
        </w:rPr>
        <w:t xml:space="preserve">market value </w:t>
      </w:r>
      <w:r w:rsidRPr="00583E1A">
        <w:t xml:space="preserve">of an asset at a particular time is reduced by the amount of the </w:t>
      </w:r>
      <w:r w:rsidR="00583E1A" w:rsidRPr="00583E1A">
        <w:rPr>
          <w:position w:val="6"/>
          <w:sz w:val="16"/>
        </w:rPr>
        <w:t>*</w:t>
      </w:r>
      <w:r w:rsidRPr="00583E1A">
        <w:t>input tax credit (if any) to which you would be entitled assuming that:</w:t>
      </w:r>
    </w:p>
    <w:p w:rsidR="00887330" w:rsidRPr="00583E1A" w:rsidRDefault="00887330" w:rsidP="00887330">
      <w:pPr>
        <w:pStyle w:val="paragraph"/>
      </w:pPr>
      <w:r w:rsidRPr="00583E1A">
        <w:tab/>
        <w:t>(a)</w:t>
      </w:r>
      <w:r w:rsidRPr="00583E1A">
        <w:tab/>
        <w:t xml:space="preserve">you had </w:t>
      </w:r>
      <w:r w:rsidR="00583E1A" w:rsidRPr="00583E1A">
        <w:rPr>
          <w:position w:val="6"/>
          <w:sz w:val="16"/>
        </w:rPr>
        <w:t>*</w:t>
      </w:r>
      <w:r w:rsidRPr="00583E1A">
        <w:t>acquired the asset at that time; and</w:t>
      </w:r>
    </w:p>
    <w:p w:rsidR="00887330" w:rsidRPr="00583E1A" w:rsidRDefault="00887330" w:rsidP="00887330">
      <w:pPr>
        <w:pStyle w:val="paragraph"/>
      </w:pPr>
      <w:r w:rsidRPr="00583E1A">
        <w:tab/>
        <w:t>(b)</w:t>
      </w:r>
      <w:r w:rsidRPr="00583E1A">
        <w:tab/>
        <w:t xml:space="preserve">the acquisition had been solely for a </w:t>
      </w:r>
      <w:r w:rsidR="00583E1A" w:rsidRPr="00583E1A">
        <w:rPr>
          <w:position w:val="6"/>
          <w:sz w:val="16"/>
        </w:rPr>
        <w:t>*</w:t>
      </w:r>
      <w:r w:rsidRPr="00583E1A">
        <w:t>creditable purpose.</w:t>
      </w:r>
    </w:p>
    <w:p w:rsidR="00887330" w:rsidRPr="00583E1A" w:rsidRDefault="00887330" w:rsidP="000A522F">
      <w:pPr>
        <w:pStyle w:val="subsection"/>
        <w:keepNext/>
        <w:keepLines/>
      </w:pPr>
      <w:r w:rsidRPr="00583E1A">
        <w:rPr>
          <w:b/>
        </w:rPr>
        <w:lastRenderedPageBreak/>
        <w:tab/>
      </w:r>
      <w:r w:rsidRPr="00583E1A">
        <w:t>(2)</w:t>
      </w:r>
      <w:r w:rsidRPr="00583E1A">
        <w:tab/>
      </w:r>
      <w:r w:rsidR="00583E1A">
        <w:t>Subsection (</w:t>
      </w:r>
      <w:r w:rsidRPr="00583E1A">
        <w:t>1) does not apply:</w:t>
      </w:r>
    </w:p>
    <w:p w:rsidR="00887330" w:rsidRPr="00583E1A" w:rsidRDefault="00887330" w:rsidP="00887330">
      <w:pPr>
        <w:pStyle w:val="paragraph"/>
      </w:pPr>
      <w:r w:rsidRPr="00583E1A">
        <w:tab/>
        <w:t>(a)</w:t>
      </w:r>
      <w:r w:rsidRPr="00583E1A">
        <w:tab/>
        <w:t xml:space="preserve">to an asset the </w:t>
      </w:r>
      <w:r w:rsidR="00583E1A" w:rsidRPr="00583E1A">
        <w:rPr>
          <w:position w:val="6"/>
          <w:sz w:val="16"/>
        </w:rPr>
        <w:t>*</w:t>
      </w:r>
      <w:r w:rsidRPr="00583E1A">
        <w:t xml:space="preserve">supply of which cannot be a </w:t>
      </w:r>
      <w:r w:rsidR="00583E1A" w:rsidRPr="00583E1A">
        <w:rPr>
          <w:position w:val="6"/>
          <w:sz w:val="16"/>
        </w:rPr>
        <w:t>*</w:t>
      </w:r>
      <w:r w:rsidRPr="00583E1A">
        <w:t>taxable supply; or</w:t>
      </w:r>
    </w:p>
    <w:p w:rsidR="00887330" w:rsidRPr="00583E1A" w:rsidRDefault="00887330" w:rsidP="00887330">
      <w:pPr>
        <w:pStyle w:val="paragraph"/>
      </w:pPr>
      <w:r w:rsidRPr="00583E1A">
        <w:tab/>
        <w:t>(b)</w:t>
      </w:r>
      <w:r w:rsidRPr="00583E1A">
        <w:tab/>
        <w:t xml:space="preserve">in working out the </w:t>
      </w:r>
      <w:r w:rsidR="00583E1A" w:rsidRPr="00583E1A">
        <w:rPr>
          <w:position w:val="6"/>
          <w:sz w:val="16"/>
        </w:rPr>
        <w:t>*</w:t>
      </w:r>
      <w:r w:rsidRPr="00583E1A">
        <w:t xml:space="preserve">market value of economic benefits, or of </w:t>
      </w:r>
      <w:r w:rsidR="00583E1A" w:rsidRPr="00583E1A">
        <w:rPr>
          <w:position w:val="6"/>
          <w:sz w:val="16"/>
        </w:rPr>
        <w:t>*</w:t>
      </w:r>
      <w:r w:rsidRPr="00583E1A">
        <w:t>equity or loan interests, for the purposes of Part</w:t>
      </w:r>
      <w:r w:rsidR="00583E1A">
        <w:t> </w:t>
      </w:r>
      <w:r w:rsidRPr="00583E1A">
        <w:t>3</w:t>
      </w:r>
      <w:r w:rsidR="00583E1A">
        <w:noBreakHyphen/>
      </w:r>
      <w:r w:rsidRPr="00583E1A">
        <w:t>95 (about value shifting).</w:t>
      </w:r>
    </w:p>
    <w:p w:rsidR="00887330" w:rsidRPr="00583E1A" w:rsidRDefault="00887330" w:rsidP="00887330">
      <w:pPr>
        <w:pStyle w:val="notetext"/>
      </w:pPr>
      <w:r w:rsidRPr="00583E1A">
        <w:t>Note:</w:t>
      </w:r>
      <w:r w:rsidRPr="00583E1A">
        <w:tab/>
        <w:t>Some assets, such as shares, cannot be the subject of a taxable supply.</w:t>
      </w:r>
    </w:p>
    <w:p w:rsidR="00887330" w:rsidRPr="00583E1A" w:rsidRDefault="00887330" w:rsidP="00887330">
      <w:pPr>
        <w:pStyle w:val="ActHead5"/>
      </w:pPr>
      <w:bookmarkStart w:id="572" w:name="_Toc338939646"/>
      <w:r w:rsidRPr="00583E1A">
        <w:rPr>
          <w:rStyle w:val="CharSectno"/>
        </w:rPr>
        <w:t>960</w:t>
      </w:r>
      <w:r w:rsidR="00583E1A">
        <w:rPr>
          <w:rStyle w:val="CharSectno"/>
        </w:rPr>
        <w:noBreakHyphen/>
      </w:r>
      <w:r w:rsidRPr="00583E1A">
        <w:rPr>
          <w:rStyle w:val="CharSectno"/>
        </w:rPr>
        <w:t>410</w:t>
      </w:r>
      <w:r w:rsidRPr="00583E1A">
        <w:t xml:space="preserve">  Market value of non</w:t>
      </w:r>
      <w:r w:rsidR="00583E1A">
        <w:noBreakHyphen/>
      </w:r>
      <w:r w:rsidRPr="00583E1A">
        <w:t>cash benefits</w:t>
      </w:r>
      <w:bookmarkEnd w:id="572"/>
    </w:p>
    <w:p w:rsidR="00887330" w:rsidRPr="00583E1A" w:rsidRDefault="00887330" w:rsidP="00887330">
      <w:pPr>
        <w:pStyle w:val="subsection"/>
      </w:pPr>
      <w:r w:rsidRPr="00583E1A">
        <w:tab/>
      </w:r>
      <w:r w:rsidRPr="00583E1A">
        <w:tab/>
        <w:t xml:space="preserve">In working out the </w:t>
      </w:r>
      <w:r w:rsidRPr="00583E1A">
        <w:rPr>
          <w:b/>
          <w:i/>
        </w:rPr>
        <w:t>market value</w:t>
      </w:r>
      <w:r w:rsidRPr="00583E1A">
        <w:t xml:space="preserve"> of a </w:t>
      </w:r>
      <w:r w:rsidR="00583E1A" w:rsidRPr="00583E1A">
        <w:rPr>
          <w:position w:val="6"/>
          <w:sz w:val="16"/>
        </w:rPr>
        <w:t>*</w:t>
      </w:r>
      <w:r w:rsidRPr="00583E1A">
        <w:t>non</w:t>
      </w:r>
      <w:r w:rsidR="00583E1A">
        <w:noBreakHyphen/>
      </w:r>
      <w:r w:rsidRPr="00583E1A">
        <w:t>cash benefit, disregard anything that would prevent or restrict conversion of the benefit to money.</w:t>
      </w:r>
    </w:p>
    <w:p w:rsidR="00D65CD4" w:rsidRPr="00303F70" w:rsidRDefault="00D65CD4" w:rsidP="00D65CD4">
      <w:pPr>
        <w:pStyle w:val="ActHead5"/>
      </w:pPr>
      <w:bookmarkStart w:id="573" w:name="_Toc338939647"/>
      <w:r w:rsidRPr="00303F70">
        <w:rPr>
          <w:rStyle w:val="CharSectno"/>
        </w:rPr>
        <w:t>960</w:t>
      </w:r>
      <w:r w:rsidRPr="00303F70">
        <w:rPr>
          <w:rStyle w:val="CharSectno"/>
        </w:rPr>
        <w:noBreakHyphen/>
        <w:t>415</w:t>
      </w:r>
      <w:r w:rsidRPr="00303F70">
        <w:t xml:space="preserve">  Amounts that depend on market value</w:t>
      </w:r>
      <w:bookmarkEnd w:id="573"/>
    </w:p>
    <w:p w:rsidR="00D65CD4" w:rsidRPr="00303F70" w:rsidRDefault="00D65CD4" w:rsidP="00D65CD4">
      <w:pPr>
        <w:pStyle w:val="subsection"/>
      </w:pPr>
      <w:r w:rsidRPr="00303F70">
        <w:tab/>
      </w:r>
      <w:r w:rsidRPr="00303F70">
        <w:tab/>
        <w:t xml:space="preserve">To avoid doubt, apply the rules in this Subdivision to the </w:t>
      </w:r>
      <w:r w:rsidRPr="00303F70">
        <w:rPr>
          <w:position w:val="6"/>
          <w:sz w:val="16"/>
        </w:rPr>
        <w:t>*</w:t>
      </w:r>
      <w:r w:rsidRPr="00303F70">
        <w:t>market value component of any calculation that involves market value.</w:t>
      </w:r>
    </w:p>
    <w:p w:rsidR="00887330" w:rsidRPr="00583E1A" w:rsidRDefault="00887330" w:rsidP="00887330">
      <w:pPr>
        <w:pStyle w:val="PageBreak"/>
      </w:pPr>
      <w:r w:rsidRPr="00583E1A">
        <w:br w:type="page"/>
      </w:r>
    </w:p>
    <w:p w:rsidR="00887330" w:rsidRPr="00583E1A" w:rsidRDefault="00887330" w:rsidP="00887330">
      <w:pPr>
        <w:pStyle w:val="ActHead3"/>
      </w:pPr>
      <w:bookmarkStart w:id="574" w:name="_Toc338939648"/>
      <w:r w:rsidRPr="00583E1A">
        <w:rPr>
          <w:rStyle w:val="CharDivNo"/>
        </w:rPr>
        <w:lastRenderedPageBreak/>
        <w:t>Division</w:t>
      </w:r>
      <w:r w:rsidR="00583E1A">
        <w:rPr>
          <w:rStyle w:val="CharDivNo"/>
        </w:rPr>
        <w:t> </w:t>
      </w:r>
      <w:r w:rsidRPr="00583E1A">
        <w:rPr>
          <w:rStyle w:val="CharDivNo"/>
        </w:rPr>
        <w:t>974</w:t>
      </w:r>
      <w:r w:rsidRPr="00583E1A">
        <w:t>—</w:t>
      </w:r>
      <w:r w:rsidRPr="00583E1A">
        <w:rPr>
          <w:rStyle w:val="CharDivText"/>
        </w:rPr>
        <w:t>Debt and equity interests</w:t>
      </w:r>
      <w:bookmarkEnd w:id="574"/>
    </w:p>
    <w:p w:rsidR="00887330" w:rsidRPr="00583E1A" w:rsidRDefault="00887330" w:rsidP="00887330">
      <w:pPr>
        <w:pStyle w:val="TofSectsHeading"/>
      </w:pPr>
      <w:r w:rsidRPr="00583E1A">
        <w:t>Table of Subdivisions</w:t>
      </w:r>
    </w:p>
    <w:p w:rsidR="00887330" w:rsidRPr="00583E1A" w:rsidRDefault="00887330" w:rsidP="00887330">
      <w:pPr>
        <w:pStyle w:val="TofSectsSubdiv"/>
      </w:pPr>
      <w:r w:rsidRPr="00583E1A">
        <w:t>974</w:t>
      </w:r>
      <w:r w:rsidR="00583E1A">
        <w:noBreakHyphen/>
      </w:r>
      <w:r w:rsidRPr="00583E1A">
        <w:t>A</w:t>
      </w:r>
      <w:r w:rsidRPr="00583E1A">
        <w:tab/>
        <w:t>General</w:t>
      </w:r>
    </w:p>
    <w:p w:rsidR="00887330" w:rsidRPr="00583E1A" w:rsidRDefault="00887330" w:rsidP="00887330">
      <w:pPr>
        <w:pStyle w:val="TofSectsSubdiv"/>
      </w:pPr>
      <w:r w:rsidRPr="00583E1A">
        <w:t>974</w:t>
      </w:r>
      <w:r w:rsidR="00583E1A">
        <w:noBreakHyphen/>
      </w:r>
      <w:r w:rsidRPr="00583E1A">
        <w:t>B</w:t>
      </w:r>
      <w:r w:rsidRPr="00583E1A">
        <w:tab/>
        <w:t>Debt interests</w:t>
      </w:r>
    </w:p>
    <w:p w:rsidR="00887330" w:rsidRPr="00583E1A" w:rsidRDefault="00887330" w:rsidP="00887330">
      <w:pPr>
        <w:pStyle w:val="TofSectsSubdiv"/>
      </w:pPr>
      <w:r w:rsidRPr="00583E1A">
        <w:t>974</w:t>
      </w:r>
      <w:r w:rsidR="00583E1A">
        <w:noBreakHyphen/>
      </w:r>
      <w:r w:rsidRPr="00583E1A">
        <w:t>C</w:t>
      </w:r>
      <w:r w:rsidRPr="00583E1A">
        <w:tab/>
        <w:t>Equity interests</w:t>
      </w:r>
    </w:p>
    <w:p w:rsidR="00887330" w:rsidRPr="00583E1A" w:rsidRDefault="00887330" w:rsidP="00887330">
      <w:pPr>
        <w:pStyle w:val="TofSectsSubdiv"/>
      </w:pPr>
      <w:r w:rsidRPr="00583E1A">
        <w:t>974</w:t>
      </w:r>
      <w:r w:rsidR="00583E1A">
        <w:noBreakHyphen/>
      </w:r>
      <w:r w:rsidRPr="00583E1A">
        <w:t>D</w:t>
      </w:r>
      <w:r w:rsidRPr="00583E1A">
        <w:tab/>
        <w:t>Common provisions</w:t>
      </w:r>
    </w:p>
    <w:p w:rsidR="00887330" w:rsidRPr="00583E1A" w:rsidRDefault="00887330" w:rsidP="00887330">
      <w:pPr>
        <w:pStyle w:val="TofSectsSubdiv"/>
      </w:pPr>
      <w:r w:rsidRPr="00583E1A">
        <w:t>974</w:t>
      </w:r>
      <w:r w:rsidR="00583E1A">
        <w:noBreakHyphen/>
      </w:r>
      <w:r w:rsidRPr="00583E1A">
        <w:t>E</w:t>
      </w:r>
      <w:r w:rsidRPr="00583E1A">
        <w:tab/>
        <w:t>Non</w:t>
      </w:r>
      <w:r w:rsidR="00583E1A">
        <w:noBreakHyphen/>
      </w:r>
      <w:r w:rsidRPr="00583E1A">
        <w:t>share distributions by a company</w:t>
      </w:r>
    </w:p>
    <w:p w:rsidR="00887330" w:rsidRPr="00583E1A" w:rsidRDefault="00887330" w:rsidP="00887330">
      <w:pPr>
        <w:pStyle w:val="TofSectsSubdiv"/>
      </w:pPr>
      <w:r w:rsidRPr="00583E1A">
        <w:t>974</w:t>
      </w:r>
      <w:r w:rsidR="00583E1A">
        <w:noBreakHyphen/>
      </w:r>
      <w:r w:rsidRPr="00583E1A">
        <w:t>F</w:t>
      </w:r>
      <w:r w:rsidRPr="00583E1A">
        <w:tab/>
        <w:t>Related concepts</w:t>
      </w:r>
    </w:p>
    <w:p w:rsidR="00887330" w:rsidRPr="00583E1A" w:rsidRDefault="00887330" w:rsidP="00887330">
      <w:pPr>
        <w:pStyle w:val="ActHead4"/>
      </w:pPr>
      <w:bookmarkStart w:id="575" w:name="_Toc338939649"/>
      <w:r w:rsidRPr="00583E1A">
        <w:rPr>
          <w:rStyle w:val="CharSubdNo"/>
        </w:rPr>
        <w:t>Subdivision</w:t>
      </w:r>
      <w:r w:rsidR="00583E1A">
        <w:rPr>
          <w:rStyle w:val="CharSubdNo"/>
        </w:rPr>
        <w:t> </w:t>
      </w:r>
      <w:r w:rsidRPr="00583E1A">
        <w:rPr>
          <w:rStyle w:val="CharSubdNo"/>
        </w:rPr>
        <w:t>974</w:t>
      </w:r>
      <w:r w:rsidR="00583E1A">
        <w:rPr>
          <w:rStyle w:val="CharSubdNo"/>
        </w:rPr>
        <w:noBreakHyphen/>
      </w:r>
      <w:r w:rsidRPr="00583E1A">
        <w:rPr>
          <w:rStyle w:val="CharSubdNo"/>
        </w:rPr>
        <w:t>A</w:t>
      </w:r>
      <w:r w:rsidRPr="00583E1A">
        <w:t>—</w:t>
      </w:r>
      <w:r w:rsidRPr="00583E1A">
        <w:rPr>
          <w:rStyle w:val="CharSubdText"/>
        </w:rPr>
        <w:t>General</w:t>
      </w:r>
      <w:bookmarkEnd w:id="575"/>
    </w:p>
    <w:p w:rsidR="00887330" w:rsidRPr="00583E1A" w:rsidRDefault="00887330" w:rsidP="00887330">
      <w:pPr>
        <w:pStyle w:val="ActHead4"/>
      </w:pPr>
      <w:bookmarkStart w:id="576" w:name="_Toc338939650"/>
      <w:r w:rsidRPr="00583E1A">
        <w:t>Guide to Division</w:t>
      </w:r>
      <w:r w:rsidR="00583E1A">
        <w:t> </w:t>
      </w:r>
      <w:r w:rsidRPr="00583E1A">
        <w:t>974</w:t>
      </w:r>
      <w:bookmarkEnd w:id="576"/>
    </w:p>
    <w:p w:rsidR="00887330" w:rsidRPr="00583E1A" w:rsidRDefault="00887330" w:rsidP="00887330">
      <w:pPr>
        <w:pStyle w:val="ActHead5"/>
      </w:pPr>
      <w:bookmarkStart w:id="577" w:name="_Toc338939651"/>
      <w:r w:rsidRPr="00583E1A">
        <w:rPr>
          <w:rStyle w:val="CharSectno"/>
        </w:rPr>
        <w:t>974</w:t>
      </w:r>
      <w:r w:rsidR="00583E1A">
        <w:rPr>
          <w:rStyle w:val="CharSectno"/>
        </w:rPr>
        <w:noBreakHyphen/>
      </w:r>
      <w:r w:rsidRPr="00583E1A">
        <w:rPr>
          <w:rStyle w:val="CharSectno"/>
        </w:rPr>
        <w:t>1</w:t>
      </w:r>
      <w:r w:rsidRPr="00583E1A">
        <w:t xml:space="preserve">  What this Division is about</w:t>
      </w:r>
      <w:bookmarkEnd w:id="577"/>
    </w:p>
    <w:p w:rsidR="00887330" w:rsidRPr="00583E1A" w:rsidRDefault="00887330" w:rsidP="00887330">
      <w:pPr>
        <w:pStyle w:val="BoxText"/>
      </w:pPr>
      <w:r w:rsidRPr="00583E1A">
        <w:t>This Division tells you whether an interest is a debt interest, or an equity interest, for tax purposes. An interest that could be characterised as both a debt interest and an equity interest will be treated as a debt interest for tax purposes (except for certain interests that fund returns on equity interests).</w:t>
      </w:r>
    </w:p>
    <w:p w:rsidR="00887330" w:rsidRPr="00583E1A" w:rsidRDefault="00887330" w:rsidP="00887330">
      <w:pPr>
        <w:pStyle w:val="BoxText"/>
      </w:pPr>
      <w:r w:rsidRPr="00583E1A">
        <w:t>Whether an interest is a debt interest or an equity interest matters because returns on debt interests are not frankable but may be deductible while returns on equity interests are not deductible but may be frankable.</w:t>
      </w:r>
    </w:p>
    <w:p w:rsidR="00887330" w:rsidRPr="00583E1A" w:rsidRDefault="00887330" w:rsidP="00887330">
      <w:pPr>
        <w:pStyle w:val="BoxText"/>
      </w:pPr>
      <w:r w:rsidRPr="00583E1A">
        <w:t>This Division extends beyond shares the range of interests that are recognised as equity in a company. An interest that is an equity interest in a company but is not a share will be treated in the same way as a share for some tax purposes (particularly in relation to the determination of the tax treatment of returns on the interest).</w:t>
      </w:r>
    </w:p>
    <w:p w:rsidR="00887330" w:rsidRPr="00583E1A" w:rsidRDefault="00887330" w:rsidP="00887330">
      <w:pPr>
        <w:pStyle w:val="BoxText"/>
        <w:keepNext/>
        <w:keepLines/>
      </w:pPr>
      <w:r w:rsidRPr="00583E1A">
        <w:lastRenderedPageBreak/>
        <w:t>This Division also tells you how to work out which distributions made in respect of a non</w:t>
      </w:r>
      <w:r w:rsidR="00583E1A">
        <w:noBreakHyphen/>
      </w:r>
      <w:r w:rsidRPr="00583E1A">
        <w:t>share equity interest in a company will be non</w:t>
      </w:r>
      <w:r w:rsidR="00583E1A">
        <w:noBreakHyphen/>
      </w:r>
      <w:r w:rsidRPr="00583E1A">
        <w:t>share dividends and which will be non</w:t>
      </w:r>
      <w:r w:rsidR="00583E1A">
        <w:noBreakHyphen/>
      </w:r>
      <w:r w:rsidRPr="00583E1A">
        <w:t>share capital returns. Those that are non</w:t>
      </w:r>
      <w:r w:rsidR="00583E1A">
        <w:noBreakHyphen/>
      </w:r>
      <w:r w:rsidRPr="00583E1A">
        <w:t>share dividends will be treated, for most tax purposes, in the same way as dividends.</w:t>
      </w:r>
    </w:p>
    <w:p w:rsidR="00887330" w:rsidRPr="00583E1A" w:rsidRDefault="00887330" w:rsidP="00887330">
      <w:pPr>
        <w:pStyle w:val="TofSectsHeading"/>
      </w:pPr>
      <w:r w:rsidRPr="00583E1A">
        <w:t>Table of sections</w:t>
      </w:r>
    </w:p>
    <w:p w:rsidR="00887330" w:rsidRPr="00583E1A" w:rsidRDefault="00887330" w:rsidP="00887330">
      <w:pPr>
        <w:pStyle w:val="TofSectsSection"/>
      </w:pPr>
      <w:r w:rsidRPr="00583E1A">
        <w:t>974</w:t>
      </w:r>
      <w:r w:rsidR="00583E1A">
        <w:noBreakHyphen/>
      </w:r>
      <w:r w:rsidRPr="00583E1A">
        <w:t>5</w:t>
      </w:r>
      <w:r w:rsidRPr="00583E1A">
        <w:tab/>
        <w:t>Overview of Division</w:t>
      </w:r>
    </w:p>
    <w:p w:rsidR="00887330" w:rsidRPr="00583E1A" w:rsidRDefault="00887330" w:rsidP="00887330">
      <w:pPr>
        <w:pStyle w:val="TofSectsGroupHeading"/>
      </w:pPr>
      <w:r w:rsidRPr="00583E1A">
        <w:t>Operative provisions</w:t>
      </w:r>
    </w:p>
    <w:p w:rsidR="00887330" w:rsidRPr="00583E1A" w:rsidRDefault="00887330" w:rsidP="00887330">
      <w:pPr>
        <w:pStyle w:val="TofSectsSection"/>
      </w:pPr>
      <w:r w:rsidRPr="00583E1A">
        <w:t>974</w:t>
      </w:r>
      <w:r w:rsidR="00583E1A">
        <w:noBreakHyphen/>
      </w:r>
      <w:r w:rsidRPr="00583E1A">
        <w:t>10</w:t>
      </w:r>
      <w:r w:rsidRPr="00583E1A">
        <w:tab/>
        <w:t>Object</w:t>
      </w:r>
    </w:p>
    <w:p w:rsidR="00887330" w:rsidRPr="00583E1A" w:rsidRDefault="00887330" w:rsidP="00887330">
      <w:pPr>
        <w:pStyle w:val="ActHead5"/>
      </w:pPr>
      <w:bookmarkStart w:id="578" w:name="_Toc338939652"/>
      <w:r w:rsidRPr="00583E1A">
        <w:rPr>
          <w:rStyle w:val="CharSectno"/>
        </w:rPr>
        <w:t>974</w:t>
      </w:r>
      <w:r w:rsidR="00583E1A">
        <w:rPr>
          <w:rStyle w:val="CharSectno"/>
        </w:rPr>
        <w:noBreakHyphen/>
      </w:r>
      <w:r w:rsidRPr="00583E1A">
        <w:rPr>
          <w:rStyle w:val="CharSectno"/>
        </w:rPr>
        <w:t>5</w:t>
      </w:r>
      <w:r w:rsidRPr="00583E1A">
        <w:t xml:space="preserve">  Overview of Division</w:t>
      </w:r>
      <w:bookmarkEnd w:id="578"/>
    </w:p>
    <w:p w:rsidR="00887330" w:rsidRPr="00583E1A" w:rsidRDefault="00887330" w:rsidP="00887330">
      <w:pPr>
        <w:pStyle w:val="SubsectionHead"/>
      </w:pPr>
      <w:r w:rsidRPr="00583E1A">
        <w:t>Test for distinguishing debt and equity interests</w:t>
      </w:r>
    </w:p>
    <w:p w:rsidR="00887330" w:rsidRPr="00583E1A" w:rsidRDefault="00887330" w:rsidP="00887330">
      <w:pPr>
        <w:pStyle w:val="subsection"/>
      </w:pPr>
      <w:r w:rsidRPr="00583E1A">
        <w:tab/>
        <w:t>(1)</w:t>
      </w:r>
      <w:r w:rsidRPr="00583E1A">
        <w:tab/>
        <w:t>The test for distinguishing between debt interests and equity interests focuses on economic substance rather than mere legal form (see subsection 974</w:t>
      </w:r>
      <w:r w:rsidR="00583E1A">
        <w:noBreakHyphen/>
      </w:r>
      <w:r w:rsidRPr="00583E1A">
        <w:t>10(2)). The test is designed to assess the economic substance of an interest in terms of its impact on the issuer’s position.</w:t>
      </w:r>
    </w:p>
    <w:p w:rsidR="00887330" w:rsidRPr="00583E1A" w:rsidRDefault="00887330" w:rsidP="00887330">
      <w:pPr>
        <w:pStyle w:val="SubsectionHead"/>
      </w:pPr>
      <w:r w:rsidRPr="00583E1A">
        <w:t>Debt interests</w:t>
      </w:r>
    </w:p>
    <w:p w:rsidR="00887330" w:rsidRPr="00583E1A" w:rsidRDefault="00887330" w:rsidP="00887330">
      <w:pPr>
        <w:pStyle w:val="subsection"/>
      </w:pPr>
      <w:r w:rsidRPr="00583E1A">
        <w:tab/>
        <w:t>(2)</w:t>
      </w:r>
      <w:r w:rsidRPr="00583E1A">
        <w:tab/>
        <w:t>Subdivision</w:t>
      </w:r>
      <w:r w:rsidR="00583E1A">
        <w:t> </w:t>
      </w:r>
      <w:r w:rsidRPr="00583E1A">
        <w:t>974</w:t>
      </w:r>
      <w:r w:rsidR="00583E1A">
        <w:noBreakHyphen/>
      </w:r>
      <w:r w:rsidRPr="00583E1A">
        <w:t>B tells you when an interest is a debt interest in an entity. The basic test is in section</w:t>
      </w:r>
      <w:r w:rsidR="00583E1A">
        <w:t> </w:t>
      </w:r>
      <w:r w:rsidRPr="00583E1A">
        <w:t>974</w:t>
      </w:r>
      <w:r w:rsidR="00583E1A">
        <w:noBreakHyphen/>
      </w:r>
      <w:r w:rsidRPr="00583E1A">
        <w:t>20.</w:t>
      </w:r>
    </w:p>
    <w:p w:rsidR="00887330" w:rsidRPr="00583E1A" w:rsidRDefault="00887330" w:rsidP="00887330">
      <w:pPr>
        <w:pStyle w:val="SubsectionHead"/>
      </w:pPr>
      <w:r w:rsidRPr="00583E1A">
        <w:t>Equity interests</w:t>
      </w:r>
    </w:p>
    <w:p w:rsidR="00887330" w:rsidRPr="00583E1A" w:rsidRDefault="00887330" w:rsidP="00887330">
      <w:pPr>
        <w:pStyle w:val="subsection"/>
      </w:pPr>
      <w:r w:rsidRPr="00583E1A">
        <w:tab/>
        <w:t>(3)</w:t>
      </w:r>
      <w:r w:rsidRPr="00583E1A">
        <w:tab/>
        <w:t>Subdivision</w:t>
      </w:r>
      <w:r w:rsidR="00583E1A">
        <w:t> </w:t>
      </w:r>
      <w:r w:rsidRPr="00583E1A">
        <w:t>974</w:t>
      </w:r>
      <w:r w:rsidR="00583E1A">
        <w:noBreakHyphen/>
      </w:r>
      <w:r w:rsidRPr="00583E1A">
        <w:t>C tells you when an interest is an equity interest in a company. The basic test is in section</w:t>
      </w:r>
      <w:r w:rsidR="00583E1A">
        <w:t> </w:t>
      </w:r>
      <w:r w:rsidRPr="00583E1A">
        <w:t>974</w:t>
      </w:r>
      <w:r w:rsidR="00583E1A">
        <w:noBreakHyphen/>
      </w:r>
      <w:r w:rsidRPr="00583E1A">
        <w:t>75.</w:t>
      </w:r>
    </w:p>
    <w:p w:rsidR="00887330" w:rsidRPr="00583E1A" w:rsidRDefault="00887330" w:rsidP="00887330">
      <w:pPr>
        <w:pStyle w:val="SubsectionHead"/>
      </w:pPr>
      <w:r w:rsidRPr="00583E1A">
        <w:t>Tie breaker between debt and equity</w:t>
      </w:r>
    </w:p>
    <w:p w:rsidR="00887330" w:rsidRPr="00583E1A" w:rsidRDefault="00887330" w:rsidP="00887330">
      <w:pPr>
        <w:pStyle w:val="subsection"/>
      </w:pPr>
      <w:r w:rsidRPr="00583E1A">
        <w:tab/>
        <w:t>(4)</w:t>
      </w:r>
      <w:r w:rsidRPr="00583E1A">
        <w:tab/>
        <w:t>If an interest satisfies both the debt test and the equity test, it is treated as a debt interest and not an equity interest.</w:t>
      </w:r>
    </w:p>
    <w:p w:rsidR="00887330" w:rsidRPr="00583E1A" w:rsidRDefault="00887330" w:rsidP="00887330">
      <w:pPr>
        <w:pStyle w:val="SubsectionHead"/>
      </w:pPr>
      <w:r w:rsidRPr="00583E1A">
        <w:lastRenderedPageBreak/>
        <w:t>Distributions in relation to equity interests that are not shares</w:t>
      </w:r>
    </w:p>
    <w:p w:rsidR="00887330" w:rsidRPr="00583E1A" w:rsidRDefault="00887330" w:rsidP="00887330">
      <w:pPr>
        <w:pStyle w:val="subsection"/>
      </w:pPr>
      <w:r w:rsidRPr="00583E1A">
        <w:tab/>
        <w:t>(5)</w:t>
      </w:r>
      <w:r w:rsidRPr="00583E1A">
        <w:tab/>
        <w:t>If you have an equity interest in a company that is not a share, Subdivision</w:t>
      </w:r>
      <w:r w:rsidR="00583E1A">
        <w:t> </w:t>
      </w:r>
      <w:r w:rsidRPr="00583E1A">
        <w:t>974</w:t>
      </w:r>
      <w:r w:rsidR="00583E1A">
        <w:noBreakHyphen/>
      </w:r>
      <w:r w:rsidRPr="00583E1A">
        <w:t>E tells you what will count as a non</w:t>
      </w:r>
      <w:r w:rsidR="00583E1A">
        <w:noBreakHyphen/>
      </w:r>
      <w:r w:rsidRPr="00583E1A">
        <w:t>share distribution, a non</w:t>
      </w:r>
      <w:r w:rsidR="00583E1A">
        <w:noBreakHyphen/>
      </w:r>
      <w:r w:rsidRPr="00583E1A">
        <w:t>share dividend and a non</w:t>
      </w:r>
      <w:r w:rsidR="00583E1A">
        <w:noBreakHyphen/>
      </w:r>
      <w:r w:rsidRPr="00583E1A">
        <w:t>share capital return in relation to the interest.</w:t>
      </w:r>
    </w:p>
    <w:p w:rsidR="00887330" w:rsidRPr="00583E1A" w:rsidRDefault="00887330" w:rsidP="00887330">
      <w:pPr>
        <w:pStyle w:val="SubsectionHead"/>
      </w:pPr>
      <w:r w:rsidRPr="00583E1A">
        <w:t>Concepts used in the debt and equity tests</w:t>
      </w:r>
    </w:p>
    <w:p w:rsidR="00887330" w:rsidRPr="00583E1A" w:rsidRDefault="00887330" w:rsidP="00887330">
      <w:pPr>
        <w:pStyle w:val="subsection"/>
      </w:pPr>
      <w:r w:rsidRPr="00583E1A">
        <w:tab/>
        <w:t>(6)</w:t>
      </w:r>
      <w:r w:rsidRPr="00583E1A">
        <w:tab/>
        <w:t>Subdivision</w:t>
      </w:r>
      <w:r w:rsidR="00583E1A">
        <w:t> </w:t>
      </w:r>
      <w:r w:rsidRPr="00583E1A">
        <w:t>974</w:t>
      </w:r>
      <w:r w:rsidR="00583E1A">
        <w:noBreakHyphen/>
      </w:r>
      <w:r w:rsidRPr="00583E1A">
        <w:t>F defines a number of concepts that are used in the debt and equity tests (financing arrangement, effectively non</w:t>
      </w:r>
      <w:r w:rsidR="00583E1A">
        <w:noBreakHyphen/>
      </w:r>
      <w:r w:rsidRPr="00583E1A">
        <w:t>contingent obligation, benchmark rate of return and converting interest).</w:t>
      </w:r>
    </w:p>
    <w:p w:rsidR="00887330" w:rsidRPr="00583E1A" w:rsidRDefault="00887330" w:rsidP="00887330">
      <w:pPr>
        <w:pStyle w:val="ActHead4"/>
      </w:pPr>
      <w:bookmarkStart w:id="579" w:name="_Toc338939653"/>
      <w:r w:rsidRPr="00583E1A">
        <w:t>Operative provisions</w:t>
      </w:r>
      <w:bookmarkEnd w:id="579"/>
    </w:p>
    <w:p w:rsidR="00887330" w:rsidRPr="00583E1A" w:rsidRDefault="00887330" w:rsidP="00887330">
      <w:pPr>
        <w:pStyle w:val="ActHead5"/>
      </w:pPr>
      <w:bookmarkStart w:id="580" w:name="_Toc338939654"/>
      <w:r w:rsidRPr="00583E1A">
        <w:rPr>
          <w:rStyle w:val="CharSectno"/>
        </w:rPr>
        <w:t>974</w:t>
      </w:r>
      <w:r w:rsidR="00583E1A">
        <w:rPr>
          <w:rStyle w:val="CharSectno"/>
        </w:rPr>
        <w:noBreakHyphen/>
      </w:r>
      <w:r w:rsidRPr="00583E1A">
        <w:rPr>
          <w:rStyle w:val="CharSectno"/>
        </w:rPr>
        <w:t>10</w:t>
      </w:r>
      <w:r w:rsidRPr="00583E1A">
        <w:t xml:space="preserve">  Object</w:t>
      </w:r>
      <w:bookmarkEnd w:id="580"/>
    </w:p>
    <w:p w:rsidR="00887330" w:rsidRPr="00583E1A" w:rsidRDefault="00887330" w:rsidP="00887330">
      <w:pPr>
        <w:pStyle w:val="subsection"/>
      </w:pPr>
      <w:r w:rsidRPr="00583E1A">
        <w:tab/>
        <w:t>(1)</w:t>
      </w:r>
      <w:r w:rsidRPr="00583E1A">
        <w:tab/>
        <w:t xml:space="preserve">An object of this Division is to establish a test for determining for particular tax purposes whether a </w:t>
      </w:r>
      <w:r w:rsidR="00583E1A" w:rsidRPr="00583E1A">
        <w:rPr>
          <w:position w:val="6"/>
          <w:sz w:val="16"/>
        </w:rPr>
        <w:t>*</w:t>
      </w:r>
      <w:r w:rsidRPr="00583E1A">
        <w:t>scheme, or the combined operation of a number of schemes:</w:t>
      </w:r>
    </w:p>
    <w:p w:rsidR="00887330" w:rsidRPr="00583E1A" w:rsidRDefault="00887330" w:rsidP="00887330">
      <w:pPr>
        <w:pStyle w:val="paragraph"/>
      </w:pPr>
      <w:r w:rsidRPr="00583E1A">
        <w:tab/>
        <w:t>(a)</w:t>
      </w:r>
      <w:r w:rsidRPr="00583E1A">
        <w:tab/>
        <w:t xml:space="preserve">gives rise to a </w:t>
      </w:r>
      <w:r w:rsidR="00583E1A" w:rsidRPr="00583E1A">
        <w:rPr>
          <w:position w:val="6"/>
          <w:sz w:val="16"/>
        </w:rPr>
        <w:t>*</w:t>
      </w:r>
      <w:r w:rsidRPr="00583E1A">
        <w:t>debt interest; or</w:t>
      </w:r>
    </w:p>
    <w:p w:rsidR="00887330" w:rsidRPr="00583E1A" w:rsidRDefault="00887330" w:rsidP="00887330">
      <w:pPr>
        <w:pStyle w:val="paragraph"/>
      </w:pPr>
      <w:r w:rsidRPr="00583E1A">
        <w:tab/>
        <w:t>(b)</w:t>
      </w:r>
      <w:r w:rsidRPr="00583E1A">
        <w:tab/>
        <w:t xml:space="preserve">gives rise to an </w:t>
      </w:r>
      <w:r w:rsidR="00583E1A" w:rsidRPr="00583E1A">
        <w:rPr>
          <w:position w:val="6"/>
          <w:sz w:val="16"/>
        </w:rPr>
        <w:t>*</w:t>
      </w:r>
      <w:r w:rsidRPr="00583E1A">
        <w:t>equity interest.</w:t>
      </w:r>
    </w:p>
    <w:p w:rsidR="00887330" w:rsidRPr="00583E1A" w:rsidRDefault="00887330" w:rsidP="00887330">
      <w:pPr>
        <w:pStyle w:val="notetext"/>
      </w:pPr>
      <w:r w:rsidRPr="00583E1A">
        <w:t>Note:</w:t>
      </w:r>
      <w:r w:rsidRPr="00583E1A">
        <w:tab/>
        <w:t>The test is used, for example, for:</w:t>
      </w:r>
    </w:p>
    <w:p w:rsidR="00887330" w:rsidRPr="00583E1A" w:rsidRDefault="00887330" w:rsidP="008F1666">
      <w:pPr>
        <w:pStyle w:val="notepara"/>
        <w:spacing w:before="40"/>
        <w:ind w:left="2354" w:hanging="369"/>
      </w:pPr>
      <w:r w:rsidRPr="00583E1A">
        <w:t>(a)</w:t>
      </w:r>
      <w:r w:rsidRPr="00583E1A">
        <w:tab/>
        <w:t>identifying distributions that may be frankable and which may be subject to dividend withholding tax; and</w:t>
      </w:r>
    </w:p>
    <w:p w:rsidR="00887330" w:rsidRPr="00583E1A" w:rsidRDefault="00887330" w:rsidP="008F1666">
      <w:pPr>
        <w:pStyle w:val="notepara"/>
        <w:spacing w:before="40"/>
        <w:ind w:left="2354" w:hanging="369"/>
      </w:pPr>
      <w:r w:rsidRPr="00583E1A">
        <w:t>(b)</w:t>
      </w:r>
      <w:r w:rsidRPr="00583E1A">
        <w:tab/>
        <w:t>identifying returns that may be deductible to the company making the return; and</w:t>
      </w:r>
    </w:p>
    <w:p w:rsidR="00887330" w:rsidRPr="00583E1A" w:rsidRDefault="00887330" w:rsidP="008F1666">
      <w:pPr>
        <w:pStyle w:val="notepara"/>
        <w:spacing w:before="40"/>
        <w:ind w:left="2354" w:hanging="369"/>
      </w:pPr>
      <w:r w:rsidRPr="00583E1A">
        <w:t>(c)</w:t>
      </w:r>
      <w:r w:rsidRPr="00583E1A">
        <w:tab/>
        <w:t>resolving uncertainty as to the proper tax treatment for debt/equity hybrid interests (interests that have some debt qualities and some equity qualities); and</w:t>
      </w:r>
    </w:p>
    <w:p w:rsidR="00887330" w:rsidRPr="00583E1A" w:rsidRDefault="00887330" w:rsidP="008F1666">
      <w:pPr>
        <w:pStyle w:val="notepara"/>
        <w:spacing w:before="40"/>
        <w:ind w:left="2354" w:hanging="369"/>
      </w:pPr>
      <w:r w:rsidRPr="00583E1A">
        <w:t>(d)</w:t>
      </w:r>
      <w:r w:rsidRPr="00583E1A">
        <w:tab/>
        <w:t>identifying debt capital for the purposes of Division</w:t>
      </w:r>
      <w:r w:rsidR="00583E1A">
        <w:t> </w:t>
      </w:r>
      <w:r w:rsidRPr="00583E1A">
        <w:t>820 (thin capitalisation rules).</w:t>
      </w:r>
    </w:p>
    <w:p w:rsidR="00887330" w:rsidRPr="00583E1A" w:rsidRDefault="00887330" w:rsidP="00887330">
      <w:pPr>
        <w:pStyle w:val="subsection"/>
      </w:pPr>
      <w:r w:rsidRPr="00583E1A">
        <w:tab/>
        <w:t>(2)</w:t>
      </w:r>
      <w:r w:rsidRPr="00583E1A">
        <w:tab/>
        <w:t xml:space="preserve">Another object of this Division is that the test referred to in </w:t>
      </w:r>
      <w:r w:rsidR="00583E1A">
        <w:t>subsection (</w:t>
      </w:r>
      <w:r w:rsidRPr="00583E1A">
        <w:t xml:space="preserve">1) is to operate on the basis of the economic substance of the rights and obligations arising under the </w:t>
      </w:r>
      <w:r w:rsidR="00583E1A" w:rsidRPr="00583E1A">
        <w:rPr>
          <w:position w:val="6"/>
          <w:sz w:val="16"/>
        </w:rPr>
        <w:t>*</w:t>
      </w:r>
      <w:r w:rsidRPr="00583E1A">
        <w:t>scheme or schemes rather than merely on the basis of the legal form of the scheme or schemes.</w:t>
      </w:r>
    </w:p>
    <w:p w:rsidR="00887330" w:rsidRPr="00583E1A" w:rsidRDefault="00887330" w:rsidP="00887330">
      <w:pPr>
        <w:pStyle w:val="notetext"/>
      </w:pPr>
      <w:r w:rsidRPr="00583E1A">
        <w:t>Note 1:</w:t>
      </w:r>
      <w:r w:rsidRPr="00583E1A">
        <w:tab/>
        <w:t>The basic indicator of the economic character of a debt interest is the non</w:t>
      </w:r>
      <w:r w:rsidR="00583E1A">
        <w:noBreakHyphen/>
      </w:r>
      <w:r w:rsidRPr="00583E1A">
        <w:t xml:space="preserve">contingent nature of the returns. The basic indicator of the economic character of an equity interest, on the other hand, is the </w:t>
      </w:r>
      <w:r w:rsidRPr="00583E1A">
        <w:lastRenderedPageBreak/>
        <w:t>contingent nature of the returns (or convertibility into an interest of that nature).</w:t>
      </w:r>
    </w:p>
    <w:p w:rsidR="00887330" w:rsidRPr="00583E1A" w:rsidRDefault="00887330" w:rsidP="00887330">
      <w:pPr>
        <w:pStyle w:val="notetext"/>
      </w:pPr>
      <w:r w:rsidRPr="00583E1A">
        <w:t>Note 2:</w:t>
      </w:r>
      <w:r w:rsidRPr="00583E1A">
        <w:tab/>
        <w:t>The test is intended to operate, for example, to:</w:t>
      </w:r>
    </w:p>
    <w:p w:rsidR="00887330" w:rsidRPr="00583E1A" w:rsidRDefault="00887330" w:rsidP="008F1666">
      <w:pPr>
        <w:pStyle w:val="notepara"/>
        <w:spacing w:before="40"/>
        <w:ind w:left="2354" w:hanging="369"/>
      </w:pPr>
      <w:r w:rsidRPr="00583E1A">
        <w:t>(a)</w:t>
      </w:r>
      <w:r w:rsidRPr="00583E1A">
        <w:tab/>
        <w:t>deny deductibility (but allow franking) for “interest” in relation to a scheme that has the legal form of a loan if the economic substance of the rights and obligations arising under the relevant scheme gives the interest characteristics that are the same as or similar to those of a dividend on an ordinary share (and thereby prevent deductible returns on equity); and</w:t>
      </w:r>
    </w:p>
    <w:p w:rsidR="00887330" w:rsidRPr="00583E1A" w:rsidRDefault="00887330" w:rsidP="008F1666">
      <w:pPr>
        <w:pStyle w:val="notepara"/>
        <w:spacing w:before="40"/>
        <w:ind w:left="2354" w:hanging="369"/>
      </w:pPr>
      <w:r w:rsidRPr="00583E1A">
        <w:t>(b)</w:t>
      </w:r>
      <w:r w:rsidRPr="00583E1A">
        <w:tab/>
        <w:t>allow a deduction (but not franking) for a “dividend” in relation to a scheme that has the legal form of an ordinary share if the economic substance of the rights and obligations arising under the relevant scheme gives the dividend characteristics that are the same as or similar to those of deductible interest on an ordinary loan (and thereby prevent frankable returns on debt).</w:t>
      </w:r>
    </w:p>
    <w:p w:rsidR="00887330" w:rsidRPr="00583E1A" w:rsidRDefault="00887330" w:rsidP="008F1666">
      <w:pPr>
        <w:pStyle w:val="notetext"/>
        <w:spacing w:before="60"/>
      </w:pPr>
      <w:r w:rsidRPr="00583E1A">
        <w:tab/>
        <w:t>This will not happen if a provision in this Act specifically provides for a different treatment for the interest or dividend.</w:t>
      </w:r>
    </w:p>
    <w:p w:rsidR="00887330" w:rsidRPr="00583E1A" w:rsidRDefault="00887330" w:rsidP="00887330">
      <w:pPr>
        <w:pStyle w:val="subsection"/>
      </w:pPr>
      <w:r w:rsidRPr="00583E1A">
        <w:tab/>
        <w:t>(3)</w:t>
      </w:r>
      <w:r w:rsidRPr="00583E1A">
        <w:tab/>
        <w:t xml:space="preserve">Another object of this Division is that the combined effect of </w:t>
      </w:r>
      <w:r w:rsidR="00583E1A" w:rsidRPr="00583E1A">
        <w:rPr>
          <w:position w:val="6"/>
          <w:sz w:val="16"/>
        </w:rPr>
        <w:t>*</w:t>
      </w:r>
      <w:r w:rsidRPr="00583E1A">
        <w:t>related schemes be taken into account in appropriate cases:</w:t>
      </w:r>
    </w:p>
    <w:p w:rsidR="00887330" w:rsidRPr="00583E1A" w:rsidRDefault="00887330" w:rsidP="00887330">
      <w:pPr>
        <w:pStyle w:val="paragraph"/>
      </w:pPr>
      <w:r w:rsidRPr="00583E1A">
        <w:tab/>
        <w:t>(a)</w:t>
      </w:r>
      <w:r w:rsidRPr="00583E1A">
        <w:tab/>
        <w:t>to ensure that the test operates effectively on the basis of the economic substance of the rights and obligations arising under the schemes rather than merely on the basis of the legal form of the schemes; and</w:t>
      </w:r>
    </w:p>
    <w:p w:rsidR="00887330" w:rsidRPr="00583E1A" w:rsidRDefault="00887330" w:rsidP="00887330">
      <w:pPr>
        <w:pStyle w:val="paragraph"/>
      </w:pPr>
      <w:r w:rsidRPr="00583E1A">
        <w:tab/>
        <w:t>(b)</w:t>
      </w:r>
      <w:r w:rsidRPr="00583E1A">
        <w:tab/>
        <w:t>to prevent the test being circumvented by entities merely entering into a number of separate schemes instead of a single scheme.</w:t>
      </w:r>
    </w:p>
    <w:p w:rsidR="00887330" w:rsidRPr="00583E1A" w:rsidRDefault="00887330" w:rsidP="00887330">
      <w:pPr>
        <w:pStyle w:val="subsection"/>
      </w:pPr>
      <w:r w:rsidRPr="00583E1A">
        <w:tab/>
        <w:t>(4)</w:t>
      </w:r>
      <w:r w:rsidRPr="00583E1A">
        <w:tab/>
        <w:t xml:space="preserve">Another object of this Division is to identify the distributions and credits made in respect of </w:t>
      </w:r>
      <w:r w:rsidR="00583E1A" w:rsidRPr="00583E1A">
        <w:rPr>
          <w:position w:val="6"/>
          <w:sz w:val="16"/>
        </w:rPr>
        <w:t>*</w:t>
      </w:r>
      <w:r w:rsidRPr="00583E1A">
        <w:t>non</w:t>
      </w:r>
      <w:r w:rsidR="00583E1A">
        <w:noBreakHyphen/>
      </w:r>
      <w:r w:rsidRPr="00583E1A">
        <w:t xml:space="preserve">share equity interests in a company that are to be treated as </w:t>
      </w:r>
      <w:r w:rsidR="00583E1A" w:rsidRPr="00583E1A">
        <w:rPr>
          <w:position w:val="6"/>
          <w:sz w:val="16"/>
        </w:rPr>
        <w:t>*</w:t>
      </w:r>
      <w:r w:rsidRPr="00583E1A">
        <w:t>dividends (</w:t>
      </w:r>
      <w:r w:rsidRPr="00583E1A">
        <w:rPr>
          <w:b/>
          <w:i/>
        </w:rPr>
        <w:t>non</w:t>
      </w:r>
      <w:r w:rsidR="00583E1A">
        <w:rPr>
          <w:b/>
          <w:i/>
        </w:rPr>
        <w:noBreakHyphen/>
      </w:r>
      <w:r w:rsidRPr="00583E1A">
        <w:rPr>
          <w:b/>
          <w:i/>
        </w:rPr>
        <w:t>share dividends</w:t>
      </w:r>
      <w:r w:rsidRPr="00583E1A">
        <w:t>) and those that are to be treated as returns of capital (</w:t>
      </w:r>
      <w:r w:rsidRPr="00583E1A">
        <w:rPr>
          <w:b/>
          <w:i/>
        </w:rPr>
        <w:t>non</w:t>
      </w:r>
      <w:r w:rsidR="00583E1A">
        <w:rPr>
          <w:b/>
          <w:i/>
        </w:rPr>
        <w:noBreakHyphen/>
      </w:r>
      <w:r w:rsidRPr="00583E1A">
        <w:rPr>
          <w:b/>
          <w:i/>
        </w:rPr>
        <w:t>share capital returns</w:t>
      </w:r>
      <w:r w:rsidRPr="00583E1A">
        <w:t>).</w:t>
      </w:r>
    </w:p>
    <w:p w:rsidR="00887330" w:rsidRPr="00583E1A" w:rsidRDefault="00887330" w:rsidP="00887330">
      <w:pPr>
        <w:pStyle w:val="notetext"/>
      </w:pPr>
      <w:r w:rsidRPr="00583E1A">
        <w:t>Note:</w:t>
      </w:r>
      <w:r w:rsidRPr="00583E1A">
        <w:tab/>
        <w:t>Non</w:t>
      </w:r>
      <w:r w:rsidR="00583E1A">
        <w:noBreakHyphen/>
      </w:r>
      <w:r w:rsidRPr="00583E1A">
        <w:t>share dividends will generally be included in the recipient’s assessable income and may be frankable.</w:t>
      </w:r>
    </w:p>
    <w:p w:rsidR="00887330" w:rsidRPr="00583E1A" w:rsidRDefault="00887330" w:rsidP="00887330">
      <w:pPr>
        <w:pStyle w:val="subsection"/>
      </w:pPr>
      <w:r w:rsidRPr="00583E1A">
        <w:tab/>
        <w:t>(5)</w:t>
      </w:r>
      <w:r w:rsidRPr="00583E1A">
        <w:tab/>
        <w:t xml:space="preserve">The Commissioner must have regard to the objects stated in </w:t>
      </w:r>
      <w:r w:rsidR="00583E1A">
        <w:t>subsections (</w:t>
      </w:r>
      <w:r w:rsidRPr="00583E1A">
        <w:t>1) to (3) in exercising the power to make a determination under any of the following provisions:</w:t>
      </w:r>
    </w:p>
    <w:p w:rsidR="00887330" w:rsidRPr="00583E1A" w:rsidRDefault="00887330" w:rsidP="00887330">
      <w:pPr>
        <w:pStyle w:val="paragraph"/>
      </w:pPr>
      <w:r w:rsidRPr="00583E1A">
        <w:tab/>
        <w:t>(a)</w:t>
      </w:r>
      <w:r w:rsidRPr="00583E1A">
        <w:tab/>
        <w:t>subsection 974</w:t>
      </w:r>
      <w:r w:rsidR="00583E1A">
        <w:noBreakHyphen/>
      </w:r>
      <w:r w:rsidRPr="00583E1A">
        <w:t>15(4);</w:t>
      </w:r>
    </w:p>
    <w:p w:rsidR="00887330" w:rsidRPr="00583E1A" w:rsidRDefault="00887330" w:rsidP="00887330">
      <w:pPr>
        <w:pStyle w:val="paragraph"/>
      </w:pPr>
      <w:r w:rsidRPr="00583E1A">
        <w:tab/>
        <w:t>(b)</w:t>
      </w:r>
      <w:r w:rsidRPr="00583E1A">
        <w:tab/>
        <w:t>subsection 974</w:t>
      </w:r>
      <w:r w:rsidR="00583E1A">
        <w:noBreakHyphen/>
      </w:r>
      <w:r w:rsidRPr="00583E1A">
        <w:t>60(3), (4) or (5);</w:t>
      </w:r>
    </w:p>
    <w:p w:rsidR="00887330" w:rsidRPr="00583E1A" w:rsidRDefault="00887330" w:rsidP="00887330">
      <w:pPr>
        <w:pStyle w:val="paragraph"/>
      </w:pPr>
      <w:r w:rsidRPr="00583E1A">
        <w:tab/>
        <w:t>(c)</w:t>
      </w:r>
      <w:r w:rsidRPr="00583E1A">
        <w:tab/>
        <w:t>section</w:t>
      </w:r>
      <w:r w:rsidR="00583E1A">
        <w:t> </w:t>
      </w:r>
      <w:r w:rsidRPr="00583E1A">
        <w:t>974</w:t>
      </w:r>
      <w:r w:rsidR="00583E1A">
        <w:noBreakHyphen/>
      </w:r>
      <w:r w:rsidRPr="00583E1A">
        <w:t>65;</w:t>
      </w:r>
    </w:p>
    <w:p w:rsidR="00887330" w:rsidRPr="00583E1A" w:rsidRDefault="00887330" w:rsidP="00887330">
      <w:pPr>
        <w:pStyle w:val="paragraph"/>
      </w:pPr>
      <w:r w:rsidRPr="00583E1A">
        <w:lastRenderedPageBreak/>
        <w:tab/>
        <w:t>(d)</w:t>
      </w:r>
      <w:r w:rsidRPr="00583E1A">
        <w:tab/>
        <w:t>subsection 974</w:t>
      </w:r>
      <w:r w:rsidR="00583E1A">
        <w:noBreakHyphen/>
      </w:r>
      <w:r w:rsidRPr="00583E1A">
        <w:t>70(4);</w:t>
      </w:r>
    </w:p>
    <w:p w:rsidR="00887330" w:rsidRPr="00583E1A" w:rsidRDefault="00887330" w:rsidP="00887330">
      <w:pPr>
        <w:pStyle w:val="paragraph"/>
      </w:pPr>
      <w:r w:rsidRPr="00583E1A">
        <w:tab/>
        <w:t>(e)</w:t>
      </w:r>
      <w:r w:rsidRPr="00583E1A">
        <w:tab/>
      </w:r>
      <w:r w:rsidR="007D4FF4" w:rsidRPr="00583E1A">
        <w:t>subsection 974</w:t>
      </w:r>
      <w:r w:rsidR="00583E1A">
        <w:noBreakHyphen/>
      </w:r>
      <w:r w:rsidR="007D4FF4" w:rsidRPr="00583E1A">
        <w:t>150(1)</w:t>
      </w:r>
      <w:r w:rsidRPr="00583E1A">
        <w:t>.</w:t>
      </w:r>
    </w:p>
    <w:p w:rsidR="00887330" w:rsidRPr="00583E1A" w:rsidRDefault="00887330" w:rsidP="00887330">
      <w:pPr>
        <w:pStyle w:val="notetext"/>
      </w:pPr>
      <w:r w:rsidRPr="00583E1A">
        <w:t>Note:</w:t>
      </w:r>
      <w:r w:rsidRPr="00583E1A">
        <w:tab/>
        <w:t>An entity can apply to the Commissioner to have a determination made and can object under Part</w:t>
      </w:r>
      <w:r w:rsidR="00583E1A">
        <w:t> </w:t>
      </w:r>
      <w:r w:rsidRPr="00583E1A">
        <w:t xml:space="preserve">IVC of the </w:t>
      </w:r>
      <w:r w:rsidRPr="00583E1A">
        <w:rPr>
          <w:i/>
        </w:rPr>
        <w:t xml:space="preserve">Taxation Administration Act 1953 </w:t>
      </w:r>
      <w:r w:rsidRPr="00583E1A">
        <w:t>if it is dissatisfied with a determination (see section</w:t>
      </w:r>
      <w:r w:rsidR="00583E1A">
        <w:t> </w:t>
      </w:r>
      <w:r w:rsidRPr="00583E1A">
        <w:t>974</w:t>
      </w:r>
      <w:r w:rsidR="00583E1A">
        <w:noBreakHyphen/>
      </w:r>
      <w:r w:rsidRPr="00583E1A">
        <w:t>112).</w:t>
      </w:r>
    </w:p>
    <w:p w:rsidR="00887330" w:rsidRPr="00583E1A" w:rsidRDefault="00887330" w:rsidP="00887330">
      <w:pPr>
        <w:pStyle w:val="subsection"/>
      </w:pPr>
      <w:r w:rsidRPr="00583E1A">
        <w:tab/>
        <w:t>(6)</w:t>
      </w:r>
      <w:r w:rsidRPr="00583E1A">
        <w:tab/>
        <w:t>Regulations may also be made under the provisions of this Division:</w:t>
      </w:r>
    </w:p>
    <w:p w:rsidR="00887330" w:rsidRPr="00583E1A" w:rsidRDefault="00887330" w:rsidP="00887330">
      <w:pPr>
        <w:pStyle w:val="paragraph"/>
      </w:pPr>
      <w:r w:rsidRPr="00583E1A">
        <w:tab/>
        <w:t>(a)</w:t>
      </w:r>
      <w:r w:rsidRPr="00583E1A">
        <w:tab/>
        <w:t>to clarify the meaning of certain words and phrases in the light of emerging commercial practices, conditions and products; and</w:t>
      </w:r>
    </w:p>
    <w:p w:rsidR="00887330" w:rsidRPr="00583E1A" w:rsidRDefault="00887330" w:rsidP="00887330">
      <w:pPr>
        <w:pStyle w:val="paragraph"/>
      </w:pPr>
      <w:r w:rsidRPr="00583E1A">
        <w:tab/>
        <w:t>(b)</w:t>
      </w:r>
      <w:r w:rsidRPr="00583E1A">
        <w:tab/>
        <w:t>to give guidance on the detailed operation of particular provisions.</w:t>
      </w:r>
    </w:p>
    <w:p w:rsidR="00887330" w:rsidRPr="00583E1A" w:rsidRDefault="00887330" w:rsidP="00887330">
      <w:pPr>
        <w:pStyle w:val="subsection2"/>
      </w:pPr>
      <w:r w:rsidRPr="00583E1A">
        <w:t xml:space="preserve">The regulations must be consistent with the objects stated in </w:t>
      </w:r>
      <w:r w:rsidR="00583E1A">
        <w:t>subsections (</w:t>
      </w:r>
      <w:r w:rsidRPr="00583E1A">
        <w:t>1) to (3).</w:t>
      </w:r>
    </w:p>
    <w:p w:rsidR="00887330" w:rsidRPr="00583E1A" w:rsidRDefault="00887330" w:rsidP="00887330">
      <w:pPr>
        <w:pStyle w:val="subsection"/>
      </w:pPr>
      <w:r w:rsidRPr="00583E1A">
        <w:tab/>
        <w:t>(7)</w:t>
      </w:r>
      <w:r w:rsidRPr="00583E1A">
        <w:tab/>
        <w:t xml:space="preserve">Without limiting subsection 13(3) of the </w:t>
      </w:r>
      <w:r w:rsidRPr="00583E1A">
        <w:rPr>
          <w:i/>
        </w:rPr>
        <w:t>Legislative Instruments Act 2003</w:t>
      </w:r>
      <w:r w:rsidRPr="00583E1A">
        <w:t>, the regulations made for the purposes of this Division may specify different rules for different classes of circumstances.</w:t>
      </w:r>
    </w:p>
    <w:p w:rsidR="00887330" w:rsidRPr="00583E1A" w:rsidRDefault="00887330" w:rsidP="00887330">
      <w:pPr>
        <w:pStyle w:val="ActHead4"/>
      </w:pPr>
      <w:bookmarkStart w:id="581" w:name="_Toc338939655"/>
      <w:r w:rsidRPr="00583E1A">
        <w:rPr>
          <w:rStyle w:val="CharSubdNo"/>
        </w:rPr>
        <w:t>Subdivision</w:t>
      </w:r>
      <w:r w:rsidR="00583E1A">
        <w:rPr>
          <w:rStyle w:val="CharSubdNo"/>
        </w:rPr>
        <w:t> </w:t>
      </w:r>
      <w:r w:rsidRPr="00583E1A">
        <w:rPr>
          <w:rStyle w:val="CharSubdNo"/>
        </w:rPr>
        <w:t>974</w:t>
      </w:r>
      <w:r w:rsidR="00583E1A">
        <w:rPr>
          <w:rStyle w:val="CharSubdNo"/>
        </w:rPr>
        <w:noBreakHyphen/>
      </w:r>
      <w:r w:rsidRPr="00583E1A">
        <w:rPr>
          <w:rStyle w:val="CharSubdNo"/>
        </w:rPr>
        <w:t>B</w:t>
      </w:r>
      <w:r w:rsidRPr="00583E1A">
        <w:t>—</w:t>
      </w:r>
      <w:r w:rsidRPr="00583E1A">
        <w:rPr>
          <w:rStyle w:val="CharSubdText"/>
        </w:rPr>
        <w:t>Debt interests</w:t>
      </w:r>
      <w:bookmarkEnd w:id="581"/>
    </w:p>
    <w:p w:rsidR="00887330" w:rsidRPr="00583E1A" w:rsidRDefault="00887330" w:rsidP="00887330">
      <w:pPr>
        <w:pStyle w:val="TofSectsHeading"/>
      </w:pPr>
      <w:r w:rsidRPr="00583E1A">
        <w:t>Table of sections</w:t>
      </w:r>
    </w:p>
    <w:p w:rsidR="00887330" w:rsidRPr="00583E1A" w:rsidRDefault="00887330" w:rsidP="00887330">
      <w:pPr>
        <w:pStyle w:val="TofSectsSection"/>
        <w:rPr>
          <w:i/>
        </w:rPr>
      </w:pPr>
      <w:r w:rsidRPr="00583E1A">
        <w:t>974</w:t>
      </w:r>
      <w:r w:rsidR="00583E1A">
        <w:noBreakHyphen/>
      </w:r>
      <w:r w:rsidRPr="00583E1A">
        <w:t>15</w:t>
      </w:r>
      <w:r w:rsidRPr="00583E1A">
        <w:tab/>
        <w:t xml:space="preserve">Meaning of </w:t>
      </w:r>
      <w:r w:rsidRPr="00583E1A">
        <w:rPr>
          <w:i/>
        </w:rPr>
        <w:t>debt interest</w:t>
      </w:r>
    </w:p>
    <w:p w:rsidR="00887330" w:rsidRPr="00583E1A" w:rsidRDefault="00887330" w:rsidP="00887330">
      <w:pPr>
        <w:pStyle w:val="TofSectsSection"/>
      </w:pPr>
      <w:r w:rsidRPr="00583E1A">
        <w:t>974</w:t>
      </w:r>
      <w:r w:rsidR="00583E1A">
        <w:noBreakHyphen/>
      </w:r>
      <w:r w:rsidRPr="00583E1A">
        <w:t>20</w:t>
      </w:r>
      <w:r w:rsidRPr="00583E1A">
        <w:tab/>
        <w:t>The test for a debt interest</w:t>
      </w:r>
    </w:p>
    <w:p w:rsidR="00887330" w:rsidRPr="00583E1A" w:rsidRDefault="00887330" w:rsidP="00887330">
      <w:pPr>
        <w:pStyle w:val="TofSectsSection"/>
      </w:pPr>
      <w:r w:rsidRPr="00583E1A">
        <w:t>974</w:t>
      </w:r>
      <w:r w:rsidR="00583E1A">
        <w:noBreakHyphen/>
      </w:r>
      <w:r w:rsidRPr="00583E1A">
        <w:t>25</w:t>
      </w:r>
      <w:r w:rsidRPr="00583E1A">
        <w:tab/>
        <w:t>Exceptions to the debt test</w:t>
      </w:r>
    </w:p>
    <w:p w:rsidR="00887330" w:rsidRPr="00583E1A" w:rsidRDefault="00887330" w:rsidP="00887330">
      <w:pPr>
        <w:pStyle w:val="TofSectsSection"/>
      </w:pPr>
      <w:r w:rsidRPr="00583E1A">
        <w:t>974</w:t>
      </w:r>
      <w:r w:rsidR="00583E1A">
        <w:noBreakHyphen/>
      </w:r>
      <w:r w:rsidRPr="00583E1A">
        <w:t>30</w:t>
      </w:r>
      <w:r w:rsidRPr="00583E1A">
        <w:tab/>
        <w:t>Providing a financial benefit</w:t>
      </w:r>
    </w:p>
    <w:p w:rsidR="00887330" w:rsidRPr="00583E1A" w:rsidRDefault="00887330" w:rsidP="00887330">
      <w:pPr>
        <w:pStyle w:val="TofSectsSection"/>
      </w:pPr>
      <w:r w:rsidRPr="00583E1A">
        <w:t>974</w:t>
      </w:r>
      <w:r w:rsidR="00583E1A">
        <w:noBreakHyphen/>
      </w:r>
      <w:r w:rsidRPr="00583E1A">
        <w:t>35</w:t>
      </w:r>
      <w:r w:rsidRPr="00583E1A">
        <w:tab/>
        <w:t>Valuation of financial benefit—general rules</w:t>
      </w:r>
    </w:p>
    <w:p w:rsidR="00887330" w:rsidRPr="00583E1A" w:rsidRDefault="00887330" w:rsidP="00887330">
      <w:pPr>
        <w:pStyle w:val="TofSectsSection"/>
      </w:pPr>
      <w:r w:rsidRPr="00583E1A">
        <w:t>974</w:t>
      </w:r>
      <w:r w:rsidR="00583E1A">
        <w:noBreakHyphen/>
      </w:r>
      <w:r w:rsidRPr="00583E1A">
        <w:t>40</w:t>
      </w:r>
      <w:r w:rsidRPr="00583E1A">
        <w:tab/>
        <w:t>Valuation of financial benefits—rights and options to terminate early</w:t>
      </w:r>
    </w:p>
    <w:p w:rsidR="00887330" w:rsidRPr="00583E1A" w:rsidRDefault="00887330" w:rsidP="00887330">
      <w:pPr>
        <w:pStyle w:val="TofSectsSection"/>
      </w:pPr>
      <w:r w:rsidRPr="00583E1A">
        <w:t>974</w:t>
      </w:r>
      <w:r w:rsidR="00583E1A">
        <w:noBreakHyphen/>
      </w:r>
      <w:r w:rsidRPr="00583E1A">
        <w:t>45</w:t>
      </w:r>
      <w:r w:rsidRPr="00583E1A">
        <w:tab/>
        <w:t>Valuation of financial benefits—convertible interests</w:t>
      </w:r>
    </w:p>
    <w:p w:rsidR="00887330" w:rsidRPr="00583E1A" w:rsidRDefault="00887330" w:rsidP="00887330">
      <w:pPr>
        <w:pStyle w:val="TofSectsSection"/>
      </w:pPr>
      <w:r w:rsidRPr="00583E1A">
        <w:t>974</w:t>
      </w:r>
      <w:r w:rsidR="00583E1A">
        <w:noBreakHyphen/>
      </w:r>
      <w:r w:rsidRPr="00583E1A">
        <w:t>50</w:t>
      </w:r>
      <w:r w:rsidRPr="00583E1A">
        <w:tab/>
        <w:t>Valuation of financial benefits—value in present value terms</w:t>
      </w:r>
    </w:p>
    <w:p w:rsidR="00887330" w:rsidRPr="00583E1A" w:rsidRDefault="00887330" w:rsidP="00887330">
      <w:pPr>
        <w:pStyle w:val="TofSectsSection"/>
      </w:pPr>
      <w:r w:rsidRPr="00583E1A">
        <w:t>974</w:t>
      </w:r>
      <w:r w:rsidR="00583E1A">
        <w:noBreakHyphen/>
      </w:r>
      <w:r w:rsidRPr="00583E1A">
        <w:t>55</w:t>
      </w:r>
      <w:r w:rsidRPr="00583E1A">
        <w:tab/>
        <w:t>The debt interest and its issue</w:t>
      </w:r>
    </w:p>
    <w:p w:rsidR="00887330" w:rsidRPr="00583E1A" w:rsidRDefault="00887330" w:rsidP="00887330">
      <w:pPr>
        <w:pStyle w:val="TofSectsSection"/>
      </w:pPr>
      <w:r w:rsidRPr="00583E1A">
        <w:t>974</w:t>
      </w:r>
      <w:r w:rsidR="00583E1A">
        <w:noBreakHyphen/>
      </w:r>
      <w:r w:rsidRPr="00583E1A">
        <w:t>60</w:t>
      </w:r>
      <w:r w:rsidRPr="00583E1A">
        <w:tab/>
        <w:t>Debt interest arising out of obligations owed by a number of entities</w:t>
      </w:r>
    </w:p>
    <w:p w:rsidR="00887330" w:rsidRPr="00583E1A" w:rsidRDefault="00887330" w:rsidP="00887330">
      <w:pPr>
        <w:pStyle w:val="TofSectsSection"/>
      </w:pPr>
      <w:r w:rsidRPr="00583E1A">
        <w:t>974</w:t>
      </w:r>
      <w:r w:rsidR="00583E1A">
        <w:noBreakHyphen/>
      </w:r>
      <w:r w:rsidRPr="00583E1A">
        <w:t>65</w:t>
      </w:r>
      <w:r w:rsidRPr="00583E1A">
        <w:tab/>
        <w:t>Commissioner’s power</w:t>
      </w:r>
    </w:p>
    <w:p w:rsidR="00887330" w:rsidRPr="00583E1A" w:rsidRDefault="00887330" w:rsidP="00887330">
      <w:pPr>
        <w:pStyle w:val="ActHead5"/>
      </w:pPr>
      <w:bookmarkStart w:id="582" w:name="_Toc338939656"/>
      <w:r w:rsidRPr="00583E1A">
        <w:rPr>
          <w:rStyle w:val="CharSectno"/>
        </w:rPr>
        <w:lastRenderedPageBreak/>
        <w:t>974</w:t>
      </w:r>
      <w:r w:rsidR="00583E1A">
        <w:rPr>
          <w:rStyle w:val="CharSectno"/>
        </w:rPr>
        <w:noBreakHyphen/>
      </w:r>
      <w:r w:rsidRPr="00583E1A">
        <w:rPr>
          <w:rStyle w:val="CharSectno"/>
        </w:rPr>
        <w:t>15</w:t>
      </w:r>
      <w:r w:rsidRPr="00583E1A">
        <w:t xml:space="preserve">  Meaning of </w:t>
      </w:r>
      <w:r w:rsidRPr="00583E1A">
        <w:rPr>
          <w:i/>
        </w:rPr>
        <w:t>debt interest</w:t>
      </w:r>
      <w:bookmarkEnd w:id="582"/>
    </w:p>
    <w:p w:rsidR="00887330" w:rsidRPr="00583E1A" w:rsidRDefault="00887330" w:rsidP="00887330">
      <w:pPr>
        <w:pStyle w:val="SubsectionHead"/>
      </w:pPr>
      <w:r w:rsidRPr="00583E1A">
        <w:t>Single scheme giving rise to debt interest</w:t>
      </w:r>
    </w:p>
    <w:p w:rsidR="00887330" w:rsidRPr="00583E1A" w:rsidRDefault="00887330" w:rsidP="00887330">
      <w:pPr>
        <w:pStyle w:val="subsection"/>
      </w:pPr>
      <w:r w:rsidRPr="00583E1A">
        <w:tab/>
        <w:t>(1)</w:t>
      </w:r>
      <w:r w:rsidRPr="00583E1A">
        <w:tab/>
        <w:t xml:space="preserve">A </w:t>
      </w:r>
      <w:r w:rsidR="00583E1A" w:rsidRPr="00583E1A">
        <w:rPr>
          <w:position w:val="6"/>
          <w:sz w:val="16"/>
        </w:rPr>
        <w:t>*</w:t>
      </w:r>
      <w:r w:rsidRPr="00583E1A">
        <w:t xml:space="preserve">scheme gives rise to a </w:t>
      </w:r>
      <w:r w:rsidRPr="00583E1A">
        <w:rPr>
          <w:b/>
          <w:i/>
        </w:rPr>
        <w:t xml:space="preserve">debt interest </w:t>
      </w:r>
      <w:r w:rsidRPr="00583E1A">
        <w:t>in an entity if the scheme, when it comes into existence, satisfies the debt test in subsection 974</w:t>
      </w:r>
      <w:r w:rsidR="00583E1A">
        <w:noBreakHyphen/>
      </w:r>
      <w:r w:rsidRPr="00583E1A">
        <w:t>20(1) in relation to the entity.</w:t>
      </w:r>
    </w:p>
    <w:p w:rsidR="00887330" w:rsidRPr="00583E1A" w:rsidRDefault="00887330" w:rsidP="00887330">
      <w:pPr>
        <w:pStyle w:val="notetext"/>
      </w:pPr>
      <w:r w:rsidRPr="00583E1A">
        <w:t>Note 1:</w:t>
      </w:r>
      <w:r w:rsidRPr="00583E1A">
        <w:tab/>
        <w:t xml:space="preserve">A debt interest can also arise under </w:t>
      </w:r>
      <w:r w:rsidR="00583E1A">
        <w:t>subsection (</w:t>
      </w:r>
      <w:r w:rsidRPr="00583E1A">
        <w:t>2) (related schemes) or section</w:t>
      </w:r>
      <w:r w:rsidR="00583E1A">
        <w:t> </w:t>
      </w:r>
      <w:r w:rsidRPr="00583E1A">
        <w:t>974</w:t>
      </w:r>
      <w:r w:rsidR="00583E1A">
        <w:noBreakHyphen/>
      </w:r>
      <w:r w:rsidRPr="00583E1A">
        <w:t>65 (Commissioner’s discretion).</w:t>
      </w:r>
    </w:p>
    <w:p w:rsidR="00887330" w:rsidRPr="00583E1A" w:rsidRDefault="00887330" w:rsidP="00887330">
      <w:pPr>
        <w:pStyle w:val="notetext"/>
      </w:pPr>
      <w:r w:rsidRPr="00583E1A">
        <w:t>Note 2:</w:t>
      </w:r>
      <w:r w:rsidRPr="00583E1A">
        <w:tab/>
        <w:t>Section</w:t>
      </w:r>
      <w:r w:rsidR="00583E1A">
        <w:t> </w:t>
      </w:r>
      <w:r w:rsidRPr="00583E1A">
        <w:t>974</w:t>
      </w:r>
      <w:r w:rsidR="00583E1A">
        <w:noBreakHyphen/>
      </w:r>
      <w:r w:rsidRPr="00583E1A">
        <w:t>55 defines various aspects of the debt interest that arises.</w:t>
      </w:r>
    </w:p>
    <w:p w:rsidR="00887330" w:rsidRPr="00583E1A" w:rsidRDefault="00887330" w:rsidP="00887330">
      <w:pPr>
        <w:pStyle w:val="SubsectionHead"/>
      </w:pPr>
      <w:r w:rsidRPr="00583E1A">
        <w:t>Related schemes giving rise to debt interest</w:t>
      </w:r>
    </w:p>
    <w:p w:rsidR="00887330" w:rsidRPr="00583E1A" w:rsidRDefault="00887330" w:rsidP="00887330">
      <w:pPr>
        <w:pStyle w:val="subsection"/>
      </w:pPr>
      <w:r w:rsidRPr="00583E1A">
        <w:tab/>
        <w:t>(2)</w:t>
      </w:r>
      <w:r w:rsidRPr="00583E1A">
        <w:tab/>
        <w:t xml:space="preserve">Two or more </w:t>
      </w:r>
      <w:r w:rsidR="00583E1A" w:rsidRPr="00583E1A">
        <w:rPr>
          <w:position w:val="6"/>
          <w:sz w:val="16"/>
        </w:rPr>
        <w:t>*</w:t>
      </w:r>
      <w:r w:rsidRPr="00583E1A">
        <w:t xml:space="preserve">related schemes (the </w:t>
      </w:r>
      <w:r w:rsidRPr="00583E1A">
        <w:rPr>
          <w:b/>
          <w:i/>
        </w:rPr>
        <w:t>constituent schemes</w:t>
      </w:r>
      <w:r w:rsidRPr="00583E1A">
        <w:t xml:space="preserve">) together give rise to a </w:t>
      </w:r>
      <w:r w:rsidRPr="00583E1A">
        <w:rPr>
          <w:b/>
          <w:i/>
        </w:rPr>
        <w:t xml:space="preserve">debt interest </w:t>
      </w:r>
      <w:r w:rsidRPr="00583E1A">
        <w:t>in an entity if:</w:t>
      </w:r>
    </w:p>
    <w:p w:rsidR="00887330" w:rsidRPr="00583E1A" w:rsidRDefault="00887330" w:rsidP="00887330">
      <w:pPr>
        <w:pStyle w:val="paragraph"/>
      </w:pPr>
      <w:r w:rsidRPr="00583E1A">
        <w:tab/>
        <w:t>(a)</w:t>
      </w:r>
      <w:r w:rsidRPr="00583E1A">
        <w:tab/>
        <w:t>the entity enters into, participates in or causes another entity to enter into or participate in the constituent schemes; and</w:t>
      </w:r>
    </w:p>
    <w:p w:rsidR="00887330" w:rsidRPr="00583E1A" w:rsidRDefault="00887330" w:rsidP="00887330">
      <w:pPr>
        <w:pStyle w:val="paragraph"/>
      </w:pPr>
      <w:r w:rsidRPr="00583E1A">
        <w:tab/>
        <w:t>(b)</w:t>
      </w:r>
      <w:r w:rsidRPr="00583E1A">
        <w:tab/>
        <w:t xml:space="preserve">a scheme with the combined effect or operation of the constituent schemes (the </w:t>
      </w:r>
      <w:r w:rsidRPr="00583E1A">
        <w:rPr>
          <w:b/>
          <w:i/>
        </w:rPr>
        <w:t>notional scheme</w:t>
      </w:r>
      <w:r w:rsidRPr="00583E1A">
        <w:t>) would satisfy the debt test in subsection 974</w:t>
      </w:r>
      <w:r w:rsidR="00583E1A">
        <w:noBreakHyphen/>
      </w:r>
      <w:r w:rsidRPr="00583E1A">
        <w:t>20(1) in relation to the entity if the notional scheme came into existence when the last of the constituent schemes came into existence; and</w:t>
      </w:r>
    </w:p>
    <w:p w:rsidR="00887330" w:rsidRPr="00583E1A" w:rsidRDefault="00887330" w:rsidP="00887330">
      <w:pPr>
        <w:pStyle w:val="paragraph"/>
      </w:pPr>
      <w:r w:rsidRPr="00583E1A">
        <w:tab/>
        <w:t>(c)</w:t>
      </w:r>
      <w:r w:rsidRPr="00583E1A">
        <w:tab/>
        <w:t>it is reasonable to conclude that the entity intended, or knew that a party to the scheme or one of the schemes intended, the combined economic effects of the constituent schemes to be the same as, or similar to, the economic effects of a debt interest.</w:t>
      </w:r>
    </w:p>
    <w:p w:rsidR="00887330" w:rsidRPr="00583E1A" w:rsidRDefault="00887330" w:rsidP="00887330">
      <w:pPr>
        <w:pStyle w:val="subsection2"/>
      </w:pPr>
      <w:r w:rsidRPr="00583E1A">
        <w:t xml:space="preserve">This is so whether or not the constituent schemes come into existence at the same time and even if none of the constituent schemes would individually give rise to that or any other </w:t>
      </w:r>
      <w:r w:rsidR="00583E1A" w:rsidRPr="00583E1A">
        <w:rPr>
          <w:position w:val="6"/>
          <w:sz w:val="16"/>
        </w:rPr>
        <w:t>*</w:t>
      </w:r>
      <w:r w:rsidRPr="00583E1A">
        <w:t>debt interest.</w:t>
      </w:r>
    </w:p>
    <w:p w:rsidR="00887330" w:rsidRPr="00583E1A" w:rsidRDefault="00887330" w:rsidP="00887330">
      <w:pPr>
        <w:pStyle w:val="notetext"/>
      </w:pPr>
      <w:r w:rsidRPr="00583E1A">
        <w:t>Note:</w:t>
      </w:r>
      <w:r w:rsidRPr="00583E1A">
        <w:tab/>
        <w:t>Section</w:t>
      </w:r>
      <w:r w:rsidR="00583E1A">
        <w:t> </w:t>
      </w:r>
      <w:r w:rsidRPr="00583E1A">
        <w:t>974</w:t>
      </w:r>
      <w:r w:rsidR="00583E1A">
        <w:noBreakHyphen/>
      </w:r>
      <w:r w:rsidRPr="00583E1A">
        <w:t>105 explains the effect, for tax purposes, of actions taken under the schemes.</w:t>
      </w:r>
    </w:p>
    <w:p w:rsidR="00887330" w:rsidRPr="00583E1A" w:rsidRDefault="00887330" w:rsidP="00887330">
      <w:pPr>
        <w:pStyle w:val="subsection"/>
      </w:pPr>
      <w:r w:rsidRPr="00583E1A">
        <w:tab/>
        <w:t>(3)</w:t>
      </w:r>
      <w:r w:rsidRPr="00583E1A">
        <w:tab/>
      </w:r>
      <w:r w:rsidR="00583E1A">
        <w:t>Subsection (</w:t>
      </w:r>
      <w:r w:rsidRPr="00583E1A">
        <w:t xml:space="preserve">2) does not apply if each of the </w:t>
      </w:r>
      <w:r w:rsidR="00583E1A" w:rsidRPr="00583E1A">
        <w:rPr>
          <w:position w:val="6"/>
          <w:sz w:val="16"/>
        </w:rPr>
        <w:t>*</w:t>
      </w:r>
      <w:r w:rsidRPr="00583E1A">
        <w:t xml:space="preserve">schemes individually gives rise to a </w:t>
      </w:r>
      <w:r w:rsidR="00583E1A" w:rsidRPr="00583E1A">
        <w:rPr>
          <w:position w:val="6"/>
          <w:sz w:val="16"/>
        </w:rPr>
        <w:t>*</w:t>
      </w:r>
      <w:r w:rsidRPr="00583E1A">
        <w:t>debt interest in the entity.</w:t>
      </w:r>
    </w:p>
    <w:p w:rsidR="00887330" w:rsidRPr="00583E1A" w:rsidRDefault="00887330" w:rsidP="00887330">
      <w:pPr>
        <w:pStyle w:val="subsection"/>
      </w:pPr>
      <w:r w:rsidRPr="00583E1A">
        <w:tab/>
        <w:t>(4)</w:t>
      </w:r>
      <w:r w:rsidRPr="00583E1A">
        <w:tab/>
        <w:t xml:space="preserve">Two or more </w:t>
      </w:r>
      <w:r w:rsidR="00583E1A" w:rsidRPr="00583E1A">
        <w:rPr>
          <w:position w:val="6"/>
          <w:sz w:val="16"/>
        </w:rPr>
        <w:t>*</w:t>
      </w:r>
      <w:r w:rsidRPr="00583E1A">
        <w:t xml:space="preserve">related schemes do not give rise to a </w:t>
      </w:r>
      <w:r w:rsidRPr="00583E1A">
        <w:rPr>
          <w:b/>
          <w:i/>
        </w:rPr>
        <w:t>debt interest</w:t>
      </w:r>
      <w:r w:rsidRPr="00583E1A">
        <w:t xml:space="preserve"> in an entity under </w:t>
      </w:r>
      <w:r w:rsidR="00583E1A">
        <w:t>subsection (</w:t>
      </w:r>
      <w:r w:rsidRPr="00583E1A">
        <w:t>2) if the Commissioner determines that it would be unreasonable to apply that subsection to those schemes.</w:t>
      </w:r>
    </w:p>
    <w:p w:rsidR="00887330" w:rsidRPr="00583E1A" w:rsidRDefault="00887330" w:rsidP="00887330">
      <w:pPr>
        <w:pStyle w:val="subsection"/>
      </w:pPr>
      <w:r w:rsidRPr="00583E1A">
        <w:lastRenderedPageBreak/>
        <w:tab/>
        <w:t>(5)</w:t>
      </w:r>
      <w:r w:rsidRPr="00583E1A">
        <w:tab/>
        <w:t>Without limiting subsection 974</w:t>
      </w:r>
      <w:r w:rsidR="00583E1A">
        <w:noBreakHyphen/>
      </w:r>
      <w:r w:rsidRPr="00583E1A">
        <w:t xml:space="preserve">10(5), the Commissioner must, in exercising the power to make a determination under </w:t>
      </w:r>
      <w:r w:rsidR="00583E1A">
        <w:t>subsection (</w:t>
      </w:r>
      <w:r w:rsidRPr="00583E1A">
        <w:t>4), have regard to the following:</w:t>
      </w:r>
    </w:p>
    <w:p w:rsidR="00887330" w:rsidRPr="00583E1A" w:rsidRDefault="00887330" w:rsidP="00887330">
      <w:pPr>
        <w:pStyle w:val="paragraph"/>
      </w:pPr>
      <w:r w:rsidRPr="00583E1A">
        <w:tab/>
        <w:t>(a)</w:t>
      </w:r>
      <w:r w:rsidRPr="00583E1A">
        <w:tab/>
        <w:t xml:space="preserve">the purpose of the </w:t>
      </w:r>
      <w:r w:rsidR="00583E1A" w:rsidRPr="00583E1A">
        <w:rPr>
          <w:position w:val="6"/>
          <w:sz w:val="16"/>
        </w:rPr>
        <w:t>*</w:t>
      </w:r>
      <w:r w:rsidRPr="00583E1A">
        <w:t>schemes (considered both individually and in combination);</w:t>
      </w:r>
    </w:p>
    <w:p w:rsidR="00887330" w:rsidRPr="00583E1A" w:rsidRDefault="00887330" w:rsidP="00887330">
      <w:pPr>
        <w:pStyle w:val="paragraph"/>
      </w:pPr>
      <w:r w:rsidRPr="00583E1A">
        <w:tab/>
        <w:t>(b)</w:t>
      </w:r>
      <w:r w:rsidRPr="00583E1A">
        <w:tab/>
        <w:t>the effects of the schemes (considered both individually and in combination);</w:t>
      </w:r>
    </w:p>
    <w:p w:rsidR="00887330" w:rsidRPr="00583E1A" w:rsidRDefault="00887330" w:rsidP="00887330">
      <w:pPr>
        <w:pStyle w:val="paragraph"/>
      </w:pPr>
      <w:r w:rsidRPr="00583E1A">
        <w:tab/>
        <w:t>(c)</w:t>
      </w:r>
      <w:r w:rsidRPr="00583E1A">
        <w:tab/>
        <w:t>the rights and obligations of the parties to the schemes (considered both individually and in combination);</w:t>
      </w:r>
    </w:p>
    <w:p w:rsidR="00887330" w:rsidRPr="00583E1A" w:rsidRDefault="00887330" w:rsidP="00887330">
      <w:pPr>
        <w:pStyle w:val="paragraph"/>
      </w:pPr>
      <w:r w:rsidRPr="00583E1A">
        <w:tab/>
        <w:t>(d)</w:t>
      </w:r>
      <w:r w:rsidRPr="00583E1A">
        <w:tab/>
        <w:t>whether the schemes (when considered either individually or in combination) provide the basis for, or underpin, an interest issued to investors with the expectation that the interest can be assigned to other investors;</w:t>
      </w:r>
    </w:p>
    <w:p w:rsidR="00887330" w:rsidRPr="00583E1A" w:rsidRDefault="00887330" w:rsidP="00887330">
      <w:pPr>
        <w:pStyle w:val="paragraph"/>
      </w:pPr>
      <w:r w:rsidRPr="00583E1A">
        <w:tab/>
        <w:t>(e)</w:t>
      </w:r>
      <w:r w:rsidRPr="00583E1A">
        <w:tab/>
        <w:t>whether the schemes (when considered either individually or in combination) comprise a set of rights and obligations issued to investors with the expectation that it can be assigned to other investors;</w:t>
      </w:r>
    </w:p>
    <w:p w:rsidR="00887330" w:rsidRPr="00583E1A" w:rsidRDefault="00887330" w:rsidP="00887330">
      <w:pPr>
        <w:pStyle w:val="paragraph"/>
      </w:pPr>
      <w:r w:rsidRPr="00583E1A">
        <w:tab/>
        <w:t>(f)</w:t>
      </w:r>
      <w:r w:rsidRPr="00583E1A">
        <w:tab/>
        <w:t>any other relevant circumstances.</w:t>
      </w:r>
    </w:p>
    <w:p w:rsidR="00887330" w:rsidRPr="00583E1A" w:rsidRDefault="00887330" w:rsidP="00887330">
      <w:pPr>
        <w:pStyle w:val="subsection"/>
      </w:pPr>
      <w:r w:rsidRPr="00583E1A">
        <w:tab/>
        <w:t>(6)</w:t>
      </w:r>
      <w:r w:rsidRPr="00583E1A">
        <w:tab/>
        <w:t>If:</w:t>
      </w:r>
    </w:p>
    <w:p w:rsidR="00887330" w:rsidRPr="00583E1A" w:rsidRDefault="00887330" w:rsidP="00887330">
      <w:pPr>
        <w:pStyle w:val="paragraph"/>
      </w:pPr>
      <w:r w:rsidRPr="00583E1A">
        <w:tab/>
        <w:t>(a)</w:t>
      </w:r>
      <w:r w:rsidRPr="00583E1A">
        <w:tab/>
        <w:t xml:space="preserve">2 or more </w:t>
      </w:r>
      <w:r w:rsidR="00583E1A" w:rsidRPr="00583E1A">
        <w:rPr>
          <w:position w:val="6"/>
          <w:sz w:val="16"/>
        </w:rPr>
        <w:t>*</w:t>
      </w:r>
      <w:r w:rsidRPr="00583E1A">
        <w:t xml:space="preserve">related schemes give rise to a </w:t>
      </w:r>
      <w:r w:rsidR="00583E1A" w:rsidRPr="00583E1A">
        <w:rPr>
          <w:position w:val="6"/>
          <w:sz w:val="16"/>
        </w:rPr>
        <w:t>*</w:t>
      </w:r>
      <w:r w:rsidRPr="00583E1A">
        <w:t>debt interest in an entity; and</w:t>
      </w:r>
    </w:p>
    <w:p w:rsidR="00887330" w:rsidRPr="00583E1A" w:rsidRDefault="00887330" w:rsidP="00887330">
      <w:pPr>
        <w:pStyle w:val="paragraph"/>
      </w:pPr>
      <w:r w:rsidRPr="00583E1A">
        <w:tab/>
        <w:t>(b)</w:t>
      </w:r>
      <w:r w:rsidRPr="00583E1A">
        <w:tab/>
        <w:t xml:space="preserve">one or more of those schemes (the </w:t>
      </w:r>
      <w:r w:rsidRPr="00583E1A">
        <w:rPr>
          <w:b/>
          <w:i/>
        </w:rPr>
        <w:t>hedging scheme or schemes</w:t>
      </w:r>
      <w:r w:rsidRPr="00583E1A">
        <w:t>) are schemes for hedging or managing financial risk; and</w:t>
      </w:r>
    </w:p>
    <w:p w:rsidR="00887330" w:rsidRPr="00583E1A" w:rsidRDefault="00887330" w:rsidP="00887330">
      <w:pPr>
        <w:pStyle w:val="paragraph"/>
      </w:pPr>
      <w:r w:rsidRPr="00583E1A">
        <w:tab/>
        <w:t>(c)</w:t>
      </w:r>
      <w:r w:rsidRPr="00583E1A">
        <w:tab/>
        <w:t>the other scheme or schemes give rise to a debt interest in the entity even if the hedging scheme or schemes are disregarded;</w:t>
      </w:r>
    </w:p>
    <w:p w:rsidR="00887330" w:rsidRPr="00583E1A" w:rsidRDefault="00887330" w:rsidP="00887330">
      <w:pPr>
        <w:pStyle w:val="subsection2"/>
      </w:pPr>
      <w:r w:rsidRPr="00583E1A">
        <w:t>the debt interest that arises from the schemes is taken, for the purposes of Division</w:t>
      </w:r>
      <w:r w:rsidR="00583E1A">
        <w:t> </w:t>
      </w:r>
      <w:r w:rsidRPr="00583E1A">
        <w:t>820 (the thin capitalisation rules), not to include the hedging scheme or schemes.</w:t>
      </w:r>
    </w:p>
    <w:p w:rsidR="00887330" w:rsidRPr="00583E1A" w:rsidRDefault="00887330" w:rsidP="00887330">
      <w:pPr>
        <w:pStyle w:val="notetext"/>
      </w:pPr>
      <w:r w:rsidRPr="00583E1A">
        <w:t>Note:</w:t>
      </w:r>
      <w:r w:rsidRPr="00583E1A">
        <w:tab/>
        <w:t>This means that in these circumstances the losses associated with the hedging scheme or schemes are not debt deductions under section</w:t>
      </w:r>
      <w:r w:rsidR="00583E1A">
        <w:t> </w:t>
      </w:r>
      <w:r w:rsidRPr="00583E1A">
        <w:t>820</w:t>
      </w:r>
      <w:r w:rsidR="00583E1A">
        <w:noBreakHyphen/>
      </w:r>
      <w:r w:rsidRPr="00583E1A">
        <w:t>40.</w:t>
      </w:r>
    </w:p>
    <w:p w:rsidR="00887330" w:rsidRPr="00583E1A" w:rsidRDefault="00887330" w:rsidP="0021164C">
      <w:pPr>
        <w:pStyle w:val="ActHead5"/>
      </w:pPr>
      <w:bookmarkStart w:id="583" w:name="_Toc338939657"/>
      <w:r w:rsidRPr="00583E1A">
        <w:rPr>
          <w:rStyle w:val="CharSectno"/>
        </w:rPr>
        <w:lastRenderedPageBreak/>
        <w:t>974</w:t>
      </w:r>
      <w:r w:rsidR="00583E1A">
        <w:rPr>
          <w:rStyle w:val="CharSectno"/>
        </w:rPr>
        <w:noBreakHyphen/>
      </w:r>
      <w:r w:rsidRPr="00583E1A">
        <w:rPr>
          <w:rStyle w:val="CharSectno"/>
        </w:rPr>
        <w:t>20</w:t>
      </w:r>
      <w:r w:rsidRPr="00583E1A">
        <w:t xml:space="preserve">  The test for a debt interest</w:t>
      </w:r>
      <w:bookmarkEnd w:id="583"/>
    </w:p>
    <w:p w:rsidR="00887330" w:rsidRPr="00583E1A" w:rsidRDefault="00887330" w:rsidP="0021164C">
      <w:pPr>
        <w:pStyle w:val="SubsectionHead"/>
      </w:pPr>
      <w:r w:rsidRPr="00583E1A">
        <w:t>Satisfying the debt test</w:t>
      </w:r>
    </w:p>
    <w:p w:rsidR="00887330" w:rsidRPr="00583E1A" w:rsidRDefault="00887330" w:rsidP="0021164C">
      <w:pPr>
        <w:pStyle w:val="subsection"/>
        <w:keepNext/>
        <w:keepLines/>
      </w:pPr>
      <w:r w:rsidRPr="00583E1A">
        <w:tab/>
        <w:t>(1)</w:t>
      </w:r>
      <w:r w:rsidRPr="00583E1A">
        <w:tab/>
        <w:t xml:space="preserve">A </w:t>
      </w:r>
      <w:r w:rsidR="00583E1A" w:rsidRPr="00583E1A">
        <w:rPr>
          <w:position w:val="6"/>
          <w:sz w:val="16"/>
        </w:rPr>
        <w:t>*</w:t>
      </w:r>
      <w:r w:rsidRPr="00583E1A">
        <w:t>scheme satisfies the debt test in this subsection in relation to an entity if:</w:t>
      </w:r>
    </w:p>
    <w:p w:rsidR="00887330" w:rsidRPr="00583E1A" w:rsidRDefault="00887330" w:rsidP="0021164C">
      <w:pPr>
        <w:pStyle w:val="paragraph"/>
        <w:keepNext/>
        <w:keepLines/>
      </w:pPr>
      <w:r w:rsidRPr="00583E1A">
        <w:tab/>
        <w:t>(a)</w:t>
      </w:r>
      <w:r w:rsidRPr="00583E1A">
        <w:tab/>
        <w:t xml:space="preserve">the scheme is a </w:t>
      </w:r>
      <w:r w:rsidR="00583E1A" w:rsidRPr="00583E1A">
        <w:rPr>
          <w:position w:val="6"/>
          <w:sz w:val="16"/>
        </w:rPr>
        <w:t>*</w:t>
      </w:r>
      <w:r w:rsidRPr="00583E1A">
        <w:t>financing arrangement for the entity; and</w:t>
      </w:r>
    </w:p>
    <w:p w:rsidR="00887330" w:rsidRPr="00583E1A" w:rsidRDefault="00887330" w:rsidP="0021164C">
      <w:pPr>
        <w:pStyle w:val="paragraph"/>
        <w:keepNext/>
        <w:keepLines/>
      </w:pPr>
      <w:r w:rsidRPr="00583E1A">
        <w:tab/>
        <w:t>(b)</w:t>
      </w:r>
      <w:r w:rsidRPr="00583E1A">
        <w:tab/>
        <w:t xml:space="preserve">the entity, or a </w:t>
      </w:r>
      <w:r w:rsidR="00583E1A" w:rsidRPr="00583E1A">
        <w:rPr>
          <w:position w:val="6"/>
          <w:sz w:val="16"/>
        </w:rPr>
        <w:t>*</w:t>
      </w:r>
      <w:r w:rsidRPr="00583E1A">
        <w:t xml:space="preserve">connected entity of the entity, receives, or will receive, a </w:t>
      </w:r>
      <w:r w:rsidR="00583E1A" w:rsidRPr="00583E1A">
        <w:rPr>
          <w:position w:val="6"/>
          <w:sz w:val="16"/>
        </w:rPr>
        <w:t>*</w:t>
      </w:r>
      <w:r w:rsidRPr="00583E1A">
        <w:t>financial benefit or benefits under the scheme; and</w:t>
      </w:r>
    </w:p>
    <w:p w:rsidR="00887330" w:rsidRPr="00583E1A" w:rsidRDefault="00887330" w:rsidP="00887330">
      <w:pPr>
        <w:pStyle w:val="paragraph"/>
      </w:pPr>
      <w:r w:rsidRPr="00583E1A">
        <w:tab/>
        <w:t>(c)</w:t>
      </w:r>
      <w:r w:rsidRPr="00583E1A">
        <w:tab/>
        <w:t xml:space="preserve">the entity has, or the entity and a connected entity of the entity each has, an </w:t>
      </w:r>
      <w:r w:rsidR="00583E1A" w:rsidRPr="00583E1A">
        <w:rPr>
          <w:position w:val="6"/>
          <w:sz w:val="16"/>
        </w:rPr>
        <w:t>*</w:t>
      </w:r>
      <w:r w:rsidRPr="00583E1A">
        <w:t>effectively non</w:t>
      </w:r>
      <w:r w:rsidR="00583E1A">
        <w:noBreakHyphen/>
      </w:r>
      <w:r w:rsidRPr="00583E1A">
        <w:t>contingent obligation under the scheme to provide a financial benefit or benefits to one or more entities after the time when:</w:t>
      </w:r>
    </w:p>
    <w:p w:rsidR="00887330" w:rsidRPr="00583E1A" w:rsidRDefault="00887330" w:rsidP="00887330">
      <w:pPr>
        <w:pStyle w:val="paragraphsub"/>
      </w:pPr>
      <w:r w:rsidRPr="00583E1A">
        <w:tab/>
        <w:t>(i)</w:t>
      </w:r>
      <w:r w:rsidRPr="00583E1A">
        <w:tab/>
        <w:t xml:space="preserve">the financial benefit referred to in </w:t>
      </w:r>
      <w:r w:rsidR="00583E1A">
        <w:t>paragraph (</w:t>
      </w:r>
      <w:r w:rsidRPr="00583E1A">
        <w:t>b) is received if there is only one; or</w:t>
      </w:r>
    </w:p>
    <w:p w:rsidR="00887330" w:rsidRPr="00583E1A" w:rsidRDefault="00887330" w:rsidP="00887330">
      <w:pPr>
        <w:pStyle w:val="paragraphsub"/>
      </w:pPr>
      <w:r w:rsidRPr="00583E1A">
        <w:tab/>
        <w:t>(ii)</w:t>
      </w:r>
      <w:r w:rsidRPr="00583E1A">
        <w:tab/>
        <w:t xml:space="preserve">the first of the financial benefits referred to in </w:t>
      </w:r>
      <w:r w:rsidR="00583E1A">
        <w:t>paragraph (</w:t>
      </w:r>
      <w:r w:rsidRPr="00583E1A">
        <w:t>b) is received if there are more than one; and</w:t>
      </w:r>
    </w:p>
    <w:p w:rsidR="00887330" w:rsidRPr="00583E1A" w:rsidRDefault="00887330" w:rsidP="00887330">
      <w:pPr>
        <w:pStyle w:val="paragraph"/>
      </w:pPr>
      <w:r w:rsidRPr="00583E1A">
        <w:tab/>
        <w:t>(d)</w:t>
      </w:r>
      <w:r w:rsidRPr="00583E1A">
        <w:tab/>
        <w:t xml:space="preserve">it is substantially more likely than not that the value provided (worked out under </w:t>
      </w:r>
      <w:r w:rsidR="00583E1A">
        <w:t>subsection (</w:t>
      </w:r>
      <w:r w:rsidRPr="00583E1A">
        <w:t xml:space="preserve">2)) will be at least equal to the value received (worked out under </w:t>
      </w:r>
      <w:r w:rsidR="00583E1A">
        <w:t>subsection (</w:t>
      </w:r>
      <w:r w:rsidRPr="00583E1A">
        <w:t>3)); and</w:t>
      </w:r>
    </w:p>
    <w:p w:rsidR="00887330" w:rsidRPr="00583E1A" w:rsidRDefault="00887330" w:rsidP="00887330">
      <w:pPr>
        <w:pStyle w:val="paragraph"/>
      </w:pPr>
      <w:r w:rsidRPr="00583E1A">
        <w:tab/>
        <w:t>(e)</w:t>
      </w:r>
      <w:r w:rsidRPr="00583E1A">
        <w:tab/>
        <w:t xml:space="preserve">the value provided (worked out under </w:t>
      </w:r>
      <w:r w:rsidR="00583E1A">
        <w:t>subsection (</w:t>
      </w:r>
      <w:r w:rsidRPr="00583E1A">
        <w:t xml:space="preserve">2)) and the value received (worked out under </w:t>
      </w:r>
      <w:r w:rsidR="00583E1A">
        <w:t>subsection (</w:t>
      </w:r>
      <w:r w:rsidRPr="00583E1A">
        <w:t>3)) are not both nil.</w:t>
      </w:r>
    </w:p>
    <w:p w:rsidR="00887330" w:rsidRPr="00583E1A" w:rsidRDefault="00887330" w:rsidP="00887330">
      <w:pPr>
        <w:pStyle w:val="subsection2"/>
      </w:pPr>
      <w:r w:rsidRPr="00583E1A">
        <w:t xml:space="preserve">The scheme does not need to satisfy </w:t>
      </w:r>
      <w:r w:rsidR="00583E1A">
        <w:t>paragraph (</w:t>
      </w:r>
      <w:r w:rsidRPr="00583E1A">
        <w:t>a) if the entity is a company and the interest arising from the scheme is an interest covered by item</w:t>
      </w:r>
      <w:r w:rsidR="00583E1A">
        <w:t> </w:t>
      </w:r>
      <w:r w:rsidRPr="00583E1A">
        <w:t>1 of the table in subsection 974</w:t>
      </w:r>
      <w:r w:rsidR="00583E1A">
        <w:noBreakHyphen/>
      </w:r>
      <w:r w:rsidRPr="00583E1A">
        <w:t>75(1) (interest as a member or stockholder of the company).</w:t>
      </w:r>
    </w:p>
    <w:p w:rsidR="00887330" w:rsidRPr="00583E1A" w:rsidRDefault="00887330" w:rsidP="00887330">
      <w:pPr>
        <w:pStyle w:val="notetext"/>
      </w:pPr>
      <w:r w:rsidRPr="00583E1A">
        <w:t>Note:</w:t>
      </w:r>
      <w:r w:rsidRPr="00583E1A">
        <w:tab/>
        <w:t>Section</w:t>
      </w:r>
      <w:r w:rsidR="00583E1A">
        <w:t> </w:t>
      </w:r>
      <w:r w:rsidRPr="00583E1A">
        <w:t>974</w:t>
      </w:r>
      <w:r w:rsidR="00583E1A">
        <w:noBreakHyphen/>
      </w:r>
      <w:r w:rsidRPr="00583E1A">
        <w:t>30 tells you when a financial benefit is taken to be provided to an entity.</w:t>
      </w:r>
    </w:p>
    <w:p w:rsidR="00887330" w:rsidRPr="00583E1A" w:rsidRDefault="00887330" w:rsidP="00887330">
      <w:pPr>
        <w:pStyle w:val="subsection"/>
      </w:pPr>
      <w:r w:rsidRPr="00583E1A">
        <w:tab/>
        <w:t>(2)</w:t>
      </w:r>
      <w:r w:rsidRPr="00583E1A">
        <w:tab/>
        <w:t xml:space="preserve">The </w:t>
      </w:r>
      <w:r w:rsidRPr="00583E1A">
        <w:rPr>
          <w:b/>
          <w:i/>
        </w:rPr>
        <w:t>value provided</w:t>
      </w:r>
      <w:r w:rsidRPr="00583E1A">
        <w:t xml:space="preserve"> is:</w:t>
      </w:r>
    </w:p>
    <w:p w:rsidR="00887330" w:rsidRPr="00583E1A" w:rsidRDefault="00887330" w:rsidP="00887330">
      <w:pPr>
        <w:pStyle w:val="paragraph"/>
        <w:keepNext/>
        <w:keepLines/>
      </w:pPr>
      <w:r w:rsidRPr="00583E1A">
        <w:tab/>
        <w:t>(a)</w:t>
      </w:r>
      <w:r w:rsidRPr="00583E1A">
        <w:tab/>
        <w:t xml:space="preserve">the value of the </w:t>
      </w:r>
      <w:r w:rsidR="00583E1A" w:rsidRPr="00583E1A">
        <w:rPr>
          <w:position w:val="6"/>
          <w:sz w:val="16"/>
        </w:rPr>
        <w:t>*</w:t>
      </w:r>
      <w:r w:rsidRPr="00583E1A">
        <w:t xml:space="preserve">financial benefit to be provided under the </w:t>
      </w:r>
      <w:r w:rsidR="00583E1A" w:rsidRPr="00583E1A">
        <w:rPr>
          <w:position w:val="6"/>
          <w:sz w:val="16"/>
        </w:rPr>
        <w:t>*</w:t>
      </w:r>
      <w:r w:rsidRPr="00583E1A">
        <w:t xml:space="preserve">scheme by the entity or a </w:t>
      </w:r>
      <w:r w:rsidR="00583E1A" w:rsidRPr="00583E1A">
        <w:rPr>
          <w:position w:val="6"/>
          <w:sz w:val="16"/>
        </w:rPr>
        <w:t>*</w:t>
      </w:r>
      <w:r w:rsidRPr="00583E1A">
        <w:t>connected entity if there is only one; or</w:t>
      </w:r>
    </w:p>
    <w:p w:rsidR="00887330" w:rsidRPr="00583E1A" w:rsidRDefault="00887330" w:rsidP="00887330">
      <w:pPr>
        <w:pStyle w:val="paragraph"/>
      </w:pPr>
      <w:r w:rsidRPr="00583E1A">
        <w:tab/>
        <w:t>(b)</w:t>
      </w:r>
      <w:r w:rsidRPr="00583E1A">
        <w:tab/>
        <w:t>the sum of the values of all the financial benefits provided or to be provided under the scheme by the entity or a connected entity of the entity if there are 2 or more.</w:t>
      </w:r>
    </w:p>
    <w:p w:rsidR="00887330" w:rsidRPr="00583E1A" w:rsidRDefault="00887330" w:rsidP="00887330">
      <w:pPr>
        <w:pStyle w:val="notetext"/>
      </w:pPr>
      <w:r w:rsidRPr="00583E1A">
        <w:lastRenderedPageBreak/>
        <w:t>Note:</w:t>
      </w:r>
      <w:r w:rsidRPr="00583E1A">
        <w:tab/>
        <w:t>Section</w:t>
      </w:r>
      <w:r w:rsidR="00583E1A">
        <w:t> </w:t>
      </w:r>
      <w:r w:rsidRPr="00583E1A">
        <w:t>974</w:t>
      </w:r>
      <w:r w:rsidR="00583E1A">
        <w:noBreakHyphen/>
      </w:r>
      <w:r w:rsidRPr="00583E1A">
        <w:t>35 tells you how to value financial benefits.</w:t>
      </w:r>
    </w:p>
    <w:p w:rsidR="00887330" w:rsidRPr="00583E1A" w:rsidRDefault="00887330" w:rsidP="00887330">
      <w:pPr>
        <w:pStyle w:val="subsection"/>
      </w:pPr>
      <w:r w:rsidRPr="00583E1A">
        <w:tab/>
        <w:t>(3)</w:t>
      </w:r>
      <w:r w:rsidRPr="00583E1A">
        <w:tab/>
        <w:t xml:space="preserve">The </w:t>
      </w:r>
      <w:r w:rsidRPr="00583E1A">
        <w:rPr>
          <w:b/>
          <w:i/>
        </w:rPr>
        <w:t>value received</w:t>
      </w:r>
      <w:r w:rsidRPr="00583E1A">
        <w:t xml:space="preserve"> is:</w:t>
      </w:r>
    </w:p>
    <w:p w:rsidR="00887330" w:rsidRPr="00583E1A" w:rsidRDefault="00887330" w:rsidP="00887330">
      <w:pPr>
        <w:pStyle w:val="paragraph"/>
      </w:pPr>
      <w:r w:rsidRPr="00583E1A">
        <w:tab/>
        <w:t>(a)</w:t>
      </w:r>
      <w:r w:rsidRPr="00583E1A">
        <w:tab/>
        <w:t xml:space="preserve">the value of the </w:t>
      </w:r>
      <w:r w:rsidR="00583E1A" w:rsidRPr="00583E1A">
        <w:rPr>
          <w:position w:val="6"/>
          <w:sz w:val="16"/>
        </w:rPr>
        <w:t>*</w:t>
      </w:r>
      <w:r w:rsidRPr="00583E1A">
        <w:t xml:space="preserve">financial benefit received, or to be received, under the </w:t>
      </w:r>
      <w:r w:rsidR="00583E1A" w:rsidRPr="00583E1A">
        <w:rPr>
          <w:position w:val="6"/>
          <w:sz w:val="16"/>
        </w:rPr>
        <w:t>*</w:t>
      </w:r>
      <w:r w:rsidRPr="00583E1A">
        <w:t xml:space="preserve">scheme by the entity or a </w:t>
      </w:r>
      <w:r w:rsidR="00583E1A" w:rsidRPr="00583E1A">
        <w:rPr>
          <w:position w:val="6"/>
          <w:sz w:val="16"/>
        </w:rPr>
        <w:t>*</w:t>
      </w:r>
      <w:r w:rsidRPr="00583E1A">
        <w:t>connected entity of the entity if there is only one; or</w:t>
      </w:r>
    </w:p>
    <w:p w:rsidR="00887330" w:rsidRPr="00583E1A" w:rsidRDefault="00887330" w:rsidP="00887330">
      <w:pPr>
        <w:pStyle w:val="paragraph"/>
      </w:pPr>
      <w:r w:rsidRPr="00583E1A">
        <w:tab/>
        <w:t>(b)</w:t>
      </w:r>
      <w:r w:rsidRPr="00583E1A">
        <w:tab/>
        <w:t>the sum of the values of all the financial benefits received, or to be received, under the scheme by the entity or a connected entity if there are 2 or more.</w:t>
      </w:r>
    </w:p>
    <w:p w:rsidR="00887330" w:rsidRPr="00583E1A" w:rsidRDefault="00887330" w:rsidP="00887330">
      <w:pPr>
        <w:pStyle w:val="subsection"/>
      </w:pPr>
      <w:r w:rsidRPr="00583E1A">
        <w:tab/>
        <w:t>(4)</w:t>
      </w:r>
      <w:r w:rsidRPr="00583E1A">
        <w:tab/>
        <w:t xml:space="preserve">For the purposes of </w:t>
      </w:r>
      <w:r w:rsidR="00583E1A">
        <w:t>paragraph (</w:t>
      </w:r>
      <w:r w:rsidRPr="00583E1A">
        <w:t xml:space="preserve">1)(b) and </w:t>
      </w:r>
      <w:r w:rsidR="00583E1A">
        <w:t>subsections (</w:t>
      </w:r>
      <w:r w:rsidRPr="00583E1A">
        <w:t>2) and (3):</w:t>
      </w:r>
    </w:p>
    <w:p w:rsidR="00887330" w:rsidRPr="00583E1A" w:rsidRDefault="00887330" w:rsidP="00887330">
      <w:pPr>
        <w:pStyle w:val="paragraph"/>
      </w:pPr>
      <w:r w:rsidRPr="00583E1A">
        <w:tab/>
        <w:t>(a)</w:t>
      </w:r>
      <w:r w:rsidRPr="00583E1A">
        <w:tab/>
        <w:t xml:space="preserve">a </w:t>
      </w:r>
      <w:r w:rsidR="00583E1A" w:rsidRPr="00583E1A">
        <w:rPr>
          <w:position w:val="6"/>
          <w:sz w:val="16"/>
        </w:rPr>
        <w:t>*</w:t>
      </w:r>
      <w:r w:rsidRPr="00583E1A">
        <w:t xml:space="preserve">financial benefit to be provided under the </w:t>
      </w:r>
      <w:r w:rsidR="00583E1A" w:rsidRPr="00583E1A">
        <w:rPr>
          <w:position w:val="6"/>
          <w:sz w:val="16"/>
        </w:rPr>
        <w:t>*</w:t>
      </w:r>
      <w:r w:rsidRPr="00583E1A">
        <w:t xml:space="preserve">scheme by the entity or a </w:t>
      </w:r>
      <w:r w:rsidR="00583E1A" w:rsidRPr="00583E1A">
        <w:rPr>
          <w:position w:val="6"/>
          <w:sz w:val="16"/>
        </w:rPr>
        <w:t>*</w:t>
      </w:r>
      <w:r w:rsidRPr="00583E1A">
        <w:t xml:space="preserve">connected entity is taken into account only if it is one that the entity or connected entity has an </w:t>
      </w:r>
      <w:r w:rsidR="00583E1A" w:rsidRPr="00583E1A">
        <w:rPr>
          <w:position w:val="6"/>
          <w:sz w:val="16"/>
        </w:rPr>
        <w:t>*</w:t>
      </w:r>
      <w:r w:rsidRPr="00583E1A">
        <w:t>effectively non</w:t>
      </w:r>
      <w:r w:rsidR="00583E1A">
        <w:noBreakHyphen/>
      </w:r>
      <w:r w:rsidRPr="00583E1A">
        <w:t>contingent obligation to provide; and</w:t>
      </w:r>
    </w:p>
    <w:p w:rsidR="00887330" w:rsidRPr="00583E1A" w:rsidRDefault="00887330" w:rsidP="00887330">
      <w:pPr>
        <w:pStyle w:val="paragraph"/>
      </w:pPr>
      <w:r w:rsidRPr="00583E1A">
        <w:tab/>
        <w:t>(b)</w:t>
      </w:r>
      <w:r w:rsidRPr="00583E1A">
        <w:tab/>
        <w:t>a financial benefit to be received under the scheme by the entity or a connected entity is taken into account only if it is one that another entity has an effectively non</w:t>
      </w:r>
      <w:r w:rsidR="00583E1A">
        <w:noBreakHyphen/>
      </w:r>
      <w:r w:rsidRPr="00583E1A">
        <w:t>contingent obligation to provide.</w:t>
      </w:r>
    </w:p>
    <w:p w:rsidR="00887330" w:rsidRPr="00583E1A" w:rsidRDefault="00887330" w:rsidP="00887330">
      <w:pPr>
        <w:pStyle w:val="SubsectionHead"/>
      </w:pPr>
      <w:r w:rsidRPr="00583E1A">
        <w:t>Multiple financial benefits</w:t>
      </w:r>
    </w:p>
    <w:p w:rsidR="00887330" w:rsidRPr="00583E1A" w:rsidRDefault="00887330" w:rsidP="00887330">
      <w:pPr>
        <w:pStyle w:val="subsection"/>
      </w:pPr>
      <w:r w:rsidRPr="00583E1A">
        <w:tab/>
        <w:t>(5)</w:t>
      </w:r>
      <w:r w:rsidRPr="00583E1A">
        <w:tab/>
      </w:r>
      <w:r w:rsidR="00583E1A">
        <w:t>Paragraphs (</w:t>
      </w:r>
      <w:r w:rsidRPr="00583E1A">
        <w:t xml:space="preserve">1)(b) and (c) apply to 2 or more </w:t>
      </w:r>
      <w:r w:rsidR="00583E1A" w:rsidRPr="00583E1A">
        <w:rPr>
          <w:position w:val="6"/>
          <w:sz w:val="16"/>
        </w:rPr>
        <w:t>*</w:t>
      </w:r>
      <w:r w:rsidRPr="00583E1A">
        <w:t>financial benefits whether they are provided at the same time or over a period of time.</w:t>
      </w:r>
    </w:p>
    <w:p w:rsidR="00887330" w:rsidRPr="00583E1A" w:rsidRDefault="00887330" w:rsidP="00887330">
      <w:pPr>
        <w:pStyle w:val="SubsectionHead"/>
      </w:pPr>
      <w:r w:rsidRPr="00583E1A">
        <w:t>Regulations</w:t>
      </w:r>
    </w:p>
    <w:p w:rsidR="00887330" w:rsidRPr="00583E1A" w:rsidRDefault="00887330" w:rsidP="00887330">
      <w:pPr>
        <w:pStyle w:val="subsection"/>
      </w:pPr>
      <w:r w:rsidRPr="00583E1A">
        <w:tab/>
        <w:t>(6)</w:t>
      </w:r>
      <w:r w:rsidRPr="00583E1A">
        <w:tab/>
        <w:t>The regulations:</w:t>
      </w:r>
    </w:p>
    <w:p w:rsidR="00887330" w:rsidRPr="00583E1A" w:rsidRDefault="00887330" w:rsidP="00887330">
      <w:pPr>
        <w:pStyle w:val="paragraph"/>
      </w:pPr>
      <w:r w:rsidRPr="00583E1A">
        <w:tab/>
        <w:t>(a)</w:t>
      </w:r>
      <w:r w:rsidRPr="00583E1A">
        <w:tab/>
        <w:t xml:space="preserve">may specify circumstances in which </w:t>
      </w:r>
      <w:r w:rsidR="00583E1A">
        <w:t>paragraph (</w:t>
      </w:r>
      <w:r w:rsidRPr="00583E1A">
        <w:t>1)(d) is satisfied or not satisfied; and</w:t>
      </w:r>
    </w:p>
    <w:p w:rsidR="00887330" w:rsidRPr="00583E1A" w:rsidRDefault="00887330" w:rsidP="00887330">
      <w:pPr>
        <w:pStyle w:val="paragraph"/>
      </w:pPr>
      <w:r w:rsidRPr="00583E1A">
        <w:tab/>
        <w:t>(b)</w:t>
      </w:r>
      <w:r w:rsidRPr="00583E1A">
        <w:tab/>
        <w:t xml:space="preserve">may otherwise specify rules to be applied in determining whether or not </w:t>
      </w:r>
      <w:r w:rsidR="00583E1A">
        <w:t>paragraph (</w:t>
      </w:r>
      <w:r w:rsidRPr="00583E1A">
        <w:t>1)(d) is satisfied.</w:t>
      </w:r>
    </w:p>
    <w:p w:rsidR="00887330" w:rsidRPr="00583E1A" w:rsidRDefault="00887330" w:rsidP="00887330">
      <w:pPr>
        <w:pStyle w:val="ActHead5"/>
      </w:pPr>
      <w:bookmarkStart w:id="584" w:name="_Toc338939658"/>
      <w:r w:rsidRPr="00583E1A">
        <w:rPr>
          <w:rStyle w:val="CharSectno"/>
        </w:rPr>
        <w:t>974</w:t>
      </w:r>
      <w:r w:rsidR="00583E1A">
        <w:rPr>
          <w:rStyle w:val="CharSectno"/>
        </w:rPr>
        <w:noBreakHyphen/>
      </w:r>
      <w:r w:rsidRPr="00583E1A">
        <w:rPr>
          <w:rStyle w:val="CharSectno"/>
        </w:rPr>
        <w:t>25</w:t>
      </w:r>
      <w:r w:rsidRPr="00583E1A">
        <w:t xml:space="preserve">  Exceptions to the debt test</w:t>
      </w:r>
      <w:bookmarkEnd w:id="584"/>
    </w:p>
    <w:p w:rsidR="00887330" w:rsidRPr="00583E1A" w:rsidRDefault="00887330" w:rsidP="00887330">
      <w:pPr>
        <w:pStyle w:val="SubsectionHead"/>
      </w:pPr>
      <w:r w:rsidRPr="00583E1A">
        <w:t>Short term schemes</w:t>
      </w:r>
    </w:p>
    <w:p w:rsidR="00887330" w:rsidRPr="00583E1A" w:rsidRDefault="00887330" w:rsidP="00887330">
      <w:pPr>
        <w:pStyle w:val="subsection"/>
      </w:pPr>
      <w:r w:rsidRPr="00583E1A">
        <w:tab/>
        <w:t>(1)</w:t>
      </w:r>
      <w:r w:rsidRPr="00583E1A">
        <w:tab/>
        <w:t xml:space="preserve">A </w:t>
      </w:r>
      <w:r w:rsidR="00583E1A" w:rsidRPr="00583E1A">
        <w:rPr>
          <w:position w:val="6"/>
          <w:sz w:val="16"/>
        </w:rPr>
        <w:t>*</w:t>
      </w:r>
      <w:r w:rsidRPr="00583E1A">
        <w:t>scheme does not satisfy the debt test in subsection 974</w:t>
      </w:r>
      <w:r w:rsidR="00583E1A">
        <w:noBreakHyphen/>
      </w:r>
      <w:r w:rsidRPr="00583E1A">
        <w:t>20(1) in relation to an entity if:</w:t>
      </w:r>
    </w:p>
    <w:p w:rsidR="00887330" w:rsidRPr="00583E1A" w:rsidRDefault="00887330" w:rsidP="00887330">
      <w:pPr>
        <w:pStyle w:val="paragraph"/>
      </w:pPr>
      <w:r w:rsidRPr="00583E1A">
        <w:lastRenderedPageBreak/>
        <w:tab/>
        <w:t>(a)</w:t>
      </w:r>
      <w:r w:rsidRPr="00583E1A">
        <w:tab/>
        <w:t xml:space="preserve">at least a substantial part of a </w:t>
      </w:r>
      <w:r w:rsidR="00583E1A" w:rsidRPr="00583E1A">
        <w:rPr>
          <w:position w:val="6"/>
          <w:sz w:val="16"/>
        </w:rPr>
        <w:t>*</w:t>
      </w:r>
      <w:r w:rsidRPr="00583E1A">
        <w:t>financial benefit mentioned in that subsection does not consist of either of the following or a combination of either of the following:</w:t>
      </w:r>
    </w:p>
    <w:p w:rsidR="00887330" w:rsidRPr="00583E1A" w:rsidRDefault="00887330" w:rsidP="00887330">
      <w:pPr>
        <w:pStyle w:val="paragraphsub"/>
      </w:pPr>
      <w:r w:rsidRPr="00583E1A">
        <w:tab/>
        <w:t>(i)</w:t>
      </w:r>
      <w:r w:rsidRPr="00583E1A">
        <w:tab/>
        <w:t>a liquid or monetary asset;</w:t>
      </w:r>
    </w:p>
    <w:p w:rsidR="00887330" w:rsidRPr="00583E1A" w:rsidRDefault="00887330" w:rsidP="00887330">
      <w:pPr>
        <w:pStyle w:val="paragraphsub"/>
      </w:pPr>
      <w:r w:rsidRPr="00583E1A">
        <w:tab/>
        <w:t>(ii)</w:t>
      </w:r>
      <w:r w:rsidRPr="00583E1A">
        <w:tab/>
        <w:t>an amount of money; and</w:t>
      </w:r>
    </w:p>
    <w:p w:rsidR="00887330" w:rsidRPr="00583E1A" w:rsidRDefault="00887330" w:rsidP="00887330">
      <w:pPr>
        <w:pStyle w:val="paragraph"/>
      </w:pPr>
      <w:r w:rsidRPr="00583E1A">
        <w:tab/>
        <w:t>(b)</w:t>
      </w:r>
      <w:r w:rsidRPr="00583E1A">
        <w:tab/>
        <w:t>the scheme requires the financial benefit mentioned in paragraph 974</w:t>
      </w:r>
      <w:r w:rsidR="00583E1A">
        <w:noBreakHyphen/>
      </w:r>
      <w:r w:rsidRPr="00583E1A">
        <w:t>20(1)(c) to be provided within a period of no more than 100 days of the receipt of the first financial benefit mentioned in paragraph 974</w:t>
      </w:r>
      <w:r w:rsidR="00583E1A">
        <w:noBreakHyphen/>
      </w:r>
      <w:r w:rsidRPr="00583E1A">
        <w:t>20(1)(b); and</w:t>
      </w:r>
    </w:p>
    <w:p w:rsidR="00887330" w:rsidRPr="00583E1A" w:rsidRDefault="00887330" w:rsidP="00887330">
      <w:pPr>
        <w:pStyle w:val="paragraph"/>
      </w:pPr>
      <w:r w:rsidRPr="00583E1A">
        <w:tab/>
        <w:t>(c)</w:t>
      </w:r>
      <w:r w:rsidRPr="00583E1A">
        <w:tab/>
        <w:t>the financial benefit mentioned in paragraph 974</w:t>
      </w:r>
      <w:r w:rsidR="00583E1A">
        <w:noBreakHyphen/>
      </w:r>
      <w:r w:rsidRPr="00583E1A">
        <w:t>20(1)(c):</w:t>
      </w:r>
    </w:p>
    <w:p w:rsidR="00887330" w:rsidRPr="00583E1A" w:rsidRDefault="00887330" w:rsidP="00887330">
      <w:pPr>
        <w:pStyle w:val="paragraphsub"/>
      </w:pPr>
      <w:r w:rsidRPr="00583E1A">
        <w:tab/>
        <w:t>(i)</w:t>
      </w:r>
      <w:r w:rsidRPr="00583E1A">
        <w:tab/>
        <w:t>is in fact provided within that period; or</w:t>
      </w:r>
    </w:p>
    <w:p w:rsidR="00887330" w:rsidRPr="00583E1A" w:rsidRDefault="00887330" w:rsidP="00887330">
      <w:pPr>
        <w:pStyle w:val="paragraphsub"/>
      </w:pPr>
      <w:r w:rsidRPr="00583E1A">
        <w:tab/>
        <w:t>(ii)</w:t>
      </w:r>
      <w:r w:rsidRPr="00583E1A">
        <w:tab/>
        <w:t>is not provided within that period because the entity required to provide the benefit neglects to provide the benefit within that period (although willing to do so); or</w:t>
      </w:r>
    </w:p>
    <w:p w:rsidR="00887330" w:rsidRPr="00583E1A" w:rsidRDefault="00887330" w:rsidP="00887330">
      <w:pPr>
        <w:pStyle w:val="paragraphsub"/>
      </w:pPr>
      <w:r w:rsidRPr="00583E1A">
        <w:tab/>
        <w:t>(iii)</w:t>
      </w:r>
      <w:r w:rsidRPr="00583E1A">
        <w:tab/>
        <w:t>is not provided within that period because the entity required to provide the benefit is unable to provide the benefit within that period (although willing to do so); and</w:t>
      </w:r>
    </w:p>
    <w:p w:rsidR="00887330" w:rsidRPr="00583E1A" w:rsidRDefault="00887330" w:rsidP="00887330">
      <w:pPr>
        <w:pStyle w:val="paragraph"/>
      </w:pPr>
      <w:r w:rsidRPr="00583E1A">
        <w:tab/>
        <w:t>(d)</w:t>
      </w:r>
      <w:r w:rsidRPr="00583E1A">
        <w:tab/>
        <w:t xml:space="preserve">the scheme is not one of a number of </w:t>
      </w:r>
      <w:r w:rsidR="00583E1A" w:rsidRPr="00583E1A">
        <w:rPr>
          <w:position w:val="6"/>
          <w:sz w:val="16"/>
        </w:rPr>
        <w:t>*</w:t>
      </w:r>
      <w:r w:rsidRPr="00583E1A">
        <w:t xml:space="preserve">related schemes that together are taken to give rise to a </w:t>
      </w:r>
      <w:r w:rsidR="00583E1A" w:rsidRPr="00583E1A">
        <w:rPr>
          <w:position w:val="6"/>
          <w:sz w:val="16"/>
        </w:rPr>
        <w:t>*</w:t>
      </w:r>
      <w:r w:rsidRPr="00583E1A">
        <w:t>debt interest under subsection 974</w:t>
      </w:r>
      <w:r w:rsidR="00583E1A">
        <w:noBreakHyphen/>
      </w:r>
      <w:r w:rsidRPr="00583E1A">
        <w:t>15(2).</w:t>
      </w:r>
    </w:p>
    <w:p w:rsidR="00887330" w:rsidRPr="00583E1A" w:rsidRDefault="00887330" w:rsidP="00887330">
      <w:pPr>
        <w:pStyle w:val="SubsectionHead"/>
      </w:pPr>
      <w:r w:rsidRPr="00583E1A">
        <w:t>Regulations</w:t>
      </w:r>
    </w:p>
    <w:p w:rsidR="00887330" w:rsidRPr="00583E1A" w:rsidRDefault="00887330" w:rsidP="00887330">
      <w:pPr>
        <w:pStyle w:val="subsection"/>
      </w:pPr>
      <w:r w:rsidRPr="00583E1A">
        <w:tab/>
        <w:t>(2)</w:t>
      </w:r>
      <w:r w:rsidRPr="00583E1A">
        <w:tab/>
        <w:t xml:space="preserve">The regulations may make provision in relation to the application or operation of </w:t>
      </w:r>
      <w:r w:rsidR="00583E1A">
        <w:t>subsection (</w:t>
      </w:r>
      <w:r w:rsidRPr="00583E1A">
        <w:t>1). Without limiting this, the regulations may:</w:t>
      </w:r>
    </w:p>
    <w:p w:rsidR="00887330" w:rsidRPr="00583E1A" w:rsidRDefault="00887330" w:rsidP="00887330">
      <w:pPr>
        <w:pStyle w:val="paragraph"/>
      </w:pPr>
      <w:r w:rsidRPr="00583E1A">
        <w:tab/>
        <w:t>(a)</w:t>
      </w:r>
      <w:r w:rsidRPr="00583E1A">
        <w:tab/>
        <w:t xml:space="preserve">specify what constitutes a substantial part of a </w:t>
      </w:r>
      <w:r w:rsidR="00583E1A" w:rsidRPr="00583E1A">
        <w:rPr>
          <w:position w:val="6"/>
          <w:sz w:val="16"/>
        </w:rPr>
        <w:t>*</w:t>
      </w:r>
      <w:r w:rsidRPr="00583E1A">
        <w:t xml:space="preserve">financial benefit for the purposes of </w:t>
      </w:r>
      <w:r w:rsidR="00583E1A">
        <w:t>paragraph (</w:t>
      </w:r>
      <w:r w:rsidRPr="00583E1A">
        <w:t>1)(a); or</w:t>
      </w:r>
    </w:p>
    <w:p w:rsidR="00887330" w:rsidRPr="00583E1A" w:rsidRDefault="00887330" w:rsidP="00887330">
      <w:pPr>
        <w:pStyle w:val="paragraph"/>
      </w:pPr>
      <w:r w:rsidRPr="00583E1A">
        <w:tab/>
        <w:t>(b)</w:t>
      </w:r>
      <w:r w:rsidRPr="00583E1A">
        <w:tab/>
        <w:t xml:space="preserve">specify a period to be substituted for the period referred to in </w:t>
      </w:r>
      <w:r w:rsidR="00583E1A">
        <w:t>paragraph (</w:t>
      </w:r>
      <w:r w:rsidRPr="00583E1A">
        <w:t>1)(b).</w:t>
      </w:r>
    </w:p>
    <w:p w:rsidR="00887330" w:rsidRPr="00583E1A" w:rsidRDefault="00887330" w:rsidP="00887330">
      <w:pPr>
        <w:pStyle w:val="ActHead5"/>
      </w:pPr>
      <w:bookmarkStart w:id="585" w:name="_Toc338939659"/>
      <w:r w:rsidRPr="00583E1A">
        <w:rPr>
          <w:rStyle w:val="CharSectno"/>
        </w:rPr>
        <w:t>974</w:t>
      </w:r>
      <w:r w:rsidR="00583E1A">
        <w:rPr>
          <w:rStyle w:val="CharSectno"/>
        </w:rPr>
        <w:noBreakHyphen/>
      </w:r>
      <w:r w:rsidRPr="00583E1A">
        <w:rPr>
          <w:rStyle w:val="CharSectno"/>
        </w:rPr>
        <w:t>30</w:t>
      </w:r>
      <w:r w:rsidRPr="00583E1A">
        <w:t xml:space="preserve">  Providing a financial benefit</w:t>
      </w:r>
      <w:bookmarkEnd w:id="585"/>
    </w:p>
    <w:p w:rsidR="00887330" w:rsidRPr="00583E1A" w:rsidRDefault="00887330" w:rsidP="00887330">
      <w:pPr>
        <w:pStyle w:val="SubsectionHead"/>
      </w:pPr>
      <w:r w:rsidRPr="00583E1A">
        <w:t>Issue of equity interest</w:t>
      </w:r>
    </w:p>
    <w:p w:rsidR="00887330" w:rsidRPr="00583E1A" w:rsidRDefault="00887330" w:rsidP="00887330">
      <w:pPr>
        <w:pStyle w:val="subsection"/>
      </w:pPr>
      <w:r w:rsidRPr="00583E1A">
        <w:tab/>
        <w:t>(1)</w:t>
      </w:r>
      <w:r w:rsidRPr="00583E1A">
        <w:tab/>
        <w:t xml:space="preserve">The following do not constitute the provision of a </w:t>
      </w:r>
      <w:r w:rsidR="00583E1A" w:rsidRPr="00583E1A">
        <w:rPr>
          <w:position w:val="6"/>
          <w:sz w:val="16"/>
        </w:rPr>
        <w:t>*</w:t>
      </w:r>
      <w:r w:rsidRPr="00583E1A">
        <w:t xml:space="preserve">financial benefit by an entity or a </w:t>
      </w:r>
      <w:r w:rsidR="00583E1A" w:rsidRPr="00583E1A">
        <w:rPr>
          <w:position w:val="6"/>
          <w:sz w:val="16"/>
        </w:rPr>
        <w:t>*</w:t>
      </w:r>
      <w:r w:rsidRPr="00583E1A">
        <w:t>connected entity of the entity:</w:t>
      </w:r>
    </w:p>
    <w:p w:rsidR="00887330" w:rsidRPr="00583E1A" w:rsidRDefault="00887330" w:rsidP="00887330">
      <w:pPr>
        <w:pStyle w:val="paragraph"/>
      </w:pPr>
      <w:r w:rsidRPr="00583E1A">
        <w:lastRenderedPageBreak/>
        <w:tab/>
        <w:t>(a)</w:t>
      </w:r>
      <w:r w:rsidRPr="00583E1A">
        <w:tab/>
        <w:t xml:space="preserve">the issue of an </w:t>
      </w:r>
      <w:r w:rsidR="00583E1A" w:rsidRPr="00583E1A">
        <w:rPr>
          <w:position w:val="6"/>
          <w:sz w:val="16"/>
        </w:rPr>
        <w:t>*</w:t>
      </w:r>
      <w:r w:rsidRPr="00583E1A">
        <w:t>equity interest in the entity or a connected entity of the entity; or</w:t>
      </w:r>
    </w:p>
    <w:p w:rsidR="00887330" w:rsidRPr="00583E1A" w:rsidRDefault="00887330" w:rsidP="00887330">
      <w:pPr>
        <w:pStyle w:val="paragraph"/>
      </w:pPr>
      <w:r w:rsidRPr="00583E1A">
        <w:tab/>
        <w:t>(b)</w:t>
      </w:r>
      <w:r w:rsidRPr="00583E1A">
        <w:tab/>
        <w:t>an amount that is to be applied in respect of the issue of an equity interest in the entity or a connected entity of the entity.</w:t>
      </w:r>
    </w:p>
    <w:p w:rsidR="00887330" w:rsidRPr="00583E1A" w:rsidRDefault="00887330" w:rsidP="00887330">
      <w:pPr>
        <w:pStyle w:val="SubsectionHead"/>
      </w:pPr>
      <w:r w:rsidRPr="00583E1A">
        <w:t>Providing a financial benefit to an entity</w:t>
      </w:r>
    </w:p>
    <w:p w:rsidR="00887330" w:rsidRPr="00583E1A" w:rsidRDefault="00887330" w:rsidP="00887330">
      <w:pPr>
        <w:pStyle w:val="subsection"/>
      </w:pPr>
      <w:r w:rsidRPr="00583E1A">
        <w:tab/>
        <w:t>(2)</w:t>
      </w:r>
      <w:r w:rsidRPr="00583E1A">
        <w:tab/>
        <w:t xml:space="preserve">A </w:t>
      </w:r>
      <w:r w:rsidR="00583E1A" w:rsidRPr="00583E1A">
        <w:rPr>
          <w:position w:val="6"/>
          <w:sz w:val="16"/>
        </w:rPr>
        <w:t>*</w:t>
      </w:r>
      <w:r w:rsidRPr="00583E1A">
        <w:t>financial benefit is taken to be provided to an entity if it is provided:</w:t>
      </w:r>
    </w:p>
    <w:p w:rsidR="00887330" w:rsidRPr="00583E1A" w:rsidRDefault="00887330" w:rsidP="00887330">
      <w:pPr>
        <w:pStyle w:val="paragraph"/>
      </w:pPr>
      <w:r w:rsidRPr="00583E1A">
        <w:tab/>
        <w:t>(a)</w:t>
      </w:r>
      <w:r w:rsidRPr="00583E1A">
        <w:tab/>
        <w:t>to the entity; or</w:t>
      </w:r>
    </w:p>
    <w:p w:rsidR="00887330" w:rsidRPr="00583E1A" w:rsidRDefault="00887330" w:rsidP="00887330">
      <w:pPr>
        <w:pStyle w:val="paragraph"/>
      </w:pPr>
      <w:r w:rsidRPr="00583E1A">
        <w:tab/>
        <w:t>(b)</w:t>
      </w:r>
      <w:r w:rsidRPr="00583E1A">
        <w:tab/>
        <w:t>on the entity’s behalf; or</w:t>
      </w:r>
    </w:p>
    <w:p w:rsidR="00887330" w:rsidRPr="00583E1A" w:rsidRDefault="00887330" w:rsidP="00887330">
      <w:pPr>
        <w:pStyle w:val="paragraph"/>
      </w:pPr>
      <w:r w:rsidRPr="00583E1A">
        <w:tab/>
        <w:t>(c)</w:t>
      </w:r>
      <w:r w:rsidRPr="00583E1A">
        <w:tab/>
        <w:t>for the entity’s benefit.</w:t>
      </w:r>
    </w:p>
    <w:p w:rsidR="00887330" w:rsidRPr="00583E1A" w:rsidRDefault="00887330" w:rsidP="00887330">
      <w:pPr>
        <w:pStyle w:val="SubsectionHead"/>
      </w:pPr>
      <w:r w:rsidRPr="00583E1A">
        <w:t>Obligation to provide future financial benefit</w:t>
      </w:r>
    </w:p>
    <w:p w:rsidR="00887330" w:rsidRPr="00583E1A" w:rsidRDefault="00887330" w:rsidP="00887330">
      <w:pPr>
        <w:pStyle w:val="subsection"/>
      </w:pPr>
      <w:r w:rsidRPr="00583E1A">
        <w:tab/>
        <w:t>(3)</w:t>
      </w:r>
      <w:r w:rsidRPr="00583E1A">
        <w:tab/>
        <w:t xml:space="preserve">For the avoidance of doubt, if you have a present obligation to provide a </w:t>
      </w:r>
      <w:r w:rsidR="00583E1A" w:rsidRPr="00583E1A">
        <w:rPr>
          <w:position w:val="6"/>
          <w:sz w:val="16"/>
        </w:rPr>
        <w:t>*</w:t>
      </w:r>
      <w:r w:rsidRPr="00583E1A">
        <w:t>financial benefit to an entity at some time in the future:</w:t>
      </w:r>
    </w:p>
    <w:p w:rsidR="00887330" w:rsidRPr="00583E1A" w:rsidRDefault="00887330" w:rsidP="00887330">
      <w:pPr>
        <w:pStyle w:val="paragraph"/>
      </w:pPr>
      <w:r w:rsidRPr="00583E1A">
        <w:tab/>
        <w:t>(a)</w:t>
      </w:r>
      <w:r w:rsidRPr="00583E1A">
        <w:tab/>
        <w:t>the financial benefit is taken to be a financial benefit to be provided in the future; and</w:t>
      </w:r>
    </w:p>
    <w:p w:rsidR="00887330" w:rsidRPr="00583E1A" w:rsidRDefault="00887330" w:rsidP="00887330">
      <w:pPr>
        <w:pStyle w:val="paragraph"/>
      </w:pPr>
      <w:r w:rsidRPr="00583E1A">
        <w:tab/>
        <w:t>(b)</w:t>
      </w:r>
      <w:r w:rsidRPr="00583E1A">
        <w:tab/>
        <w:t>the obligation to provide the financial benefit is taken not to be a financial benefit being provided at the present.</w:t>
      </w:r>
    </w:p>
    <w:p w:rsidR="00887330" w:rsidRPr="00583E1A" w:rsidRDefault="00887330" w:rsidP="00887330">
      <w:pPr>
        <w:pStyle w:val="ActHead5"/>
      </w:pPr>
      <w:bookmarkStart w:id="586" w:name="_Toc338939660"/>
      <w:r w:rsidRPr="00583E1A">
        <w:rPr>
          <w:rStyle w:val="CharSectno"/>
        </w:rPr>
        <w:t>974</w:t>
      </w:r>
      <w:r w:rsidR="00583E1A">
        <w:rPr>
          <w:rStyle w:val="CharSectno"/>
        </w:rPr>
        <w:noBreakHyphen/>
      </w:r>
      <w:r w:rsidRPr="00583E1A">
        <w:rPr>
          <w:rStyle w:val="CharSectno"/>
        </w:rPr>
        <w:t>35</w:t>
      </w:r>
      <w:r w:rsidRPr="00583E1A">
        <w:t xml:space="preserve">  Valuation of financial benefits—general rules</w:t>
      </w:r>
      <w:bookmarkEnd w:id="586"/>
    </w:p>
    <w:p w:rsidR="00887330" w:rsidRPr="00583E1A" w:rsidRDefault="00887330" w:rsidP="00887330">
      <w:pPr>
        <w:pStyle w:val="SubsectionHead"/>
      </w:pPr>
      <w:r w:rsidRPr="00583E1A">
        <w:t>Value in nominal terms or present value terms</w:t>
      </w:r>
    </w:p>
    <w:p w:rsidR="00887330" w:rsidRPr="00583E1A" w:rsidRDefault="00887330" w:rsidP="00887330">
      <w:pPr>
        <w:pStyle w:val="subsection"/>
      </w:pPr>
      <w:r w:rsidRPr="00583E1A">
        <w:tab/>
        <w:t>(1)</w:t>
      </w:r>
      <w:r w:rsidRPr="00583E1A">
        <w:tab/>
        <w:t>For the purposes of this Subdivision:</w:t>
      </w:r>
    </w:p>
    <w:p w:rsidR="00887330" w:rsidRPr="00583E1A" w:rsidRDefault="00887330" w:rsidP="00887330">
      <w:pPr>
        <w:pStyle w:val="paragraph"/>
      </w:pPr>
      <w:r w:rsidRPr="00583E1A">
        <w:tab/>
        <w:t>(a)</w:t>
      </w:r>
      <w:r w:rsidRPr="00583E1A">
        <w:tab/>
        <w:t xml:space="preserve">the value of a </w:t>
      </w:r>
      <w:r w:rsidR="00583E1A" w:rsidRPr="00583E1A">
        <w:rPr>
          <w:position w:val="6"/>
          <w:sz w:val="16"/>
        </w:rPr>
        <w:t>*</w:t>
      </w:r>
      <w:r w:rsidRPr="00583E1A">
        <w:t xml:space="preserve">financial benefit received or provided under a </w:t>
      </w:r>
      <w:r w:rsidR="00583E1A" w:rsidRPr="00583E1A">
        <w:rPr>
          <w:position w:val="6"/>
          <w:sz w:val="16"/>
        </w:rPr>
        <w:t>*</w:t>
      </w:r>
      <w:r w:rsidRPr="00583E1A">
        <w:t>scheme is its value calculated:</w:t>
      </w:r>
    </w:p>
    <w:p w:rsidR="00887330" w:rsidRPr="00583E1A" w:rsidRDefault="00887330" w:rsidP="00887330">
      <w:pPr>
        <w:pStyle w:val="paragraphsub"/>
      </w:pPr>
      <w:r w:rsidRPr="00583E1A">
        <w:tab/>
        <w:t>(i)</w:t>
      </w:r>
      <w:r w:rsidRPr="00583E1A">
        <w:tab/>
        <w:t xml:space="preserve">in nominal terms if the performance period (see </w:t>
      </w:r>
      <w:r w:rsidR="00583E1A">
        <w:t>subsection (</w:t>
      </w:r>
      <w:r w:rsidRPr="00583E1A">
        <w:t>3)) must end no later than 10 years after the interest arising from the scheme is issued; or</w:t>
      </w:r>
    </w:p>
    <w:p w:rsidR="00887330" w:rsidRPr="00583E1A" w:rsidRDefault="00887330" w:rsidP="00887330">
      <w:pPr>
        <w:pStyle w:val="paragraphsub"/>
      </w:pPr>
      <w:r w:rsidRPr="00583E1A">
        <w:tab/>
        <w:t>(ii)</w:t>
      </w:r>
      <w:r w:rsidRPr="00583E1A">
        <w:tab/>
        <w:t>in present value terms (see section</w:t>
      </w:r>
      <w:r w:rsidR="00583E1A">
        <w:t> </w:t>
      </w:r>
      <w:r w:rsidRPr="00583E1A">
        <w:t>974</w:t>
      </w:r>
      <w:r w:rsidR="00583E1A">
        <w:noBreakHyphen/>
      </w:r>
      <w:r w:rsidRPr="00583E1A">
        <w:t>50) if the performance period must or may end more than 10 years after the interest arising from the scheme is issued; and</w:t>
      </w:r>
    </w:p>
    <w:p w:rsidR="00887330" w:rsidRPr="00583E1A" w:rsidRDefault="00887330" w:rsidP="00887330">
      <w:pPr>
        <w:pStyle w:val="paragraph"/>
      </w:pPr>
      <w:r w:rsidRPr="00583E1A">
        <w:tab/>
        <w:t>(b)</w:t>
      </w:r>
      <w:r w:rsidRPr="00583E1A">
        <w:tab/>
        <w:t>the regulations may make provisions relating to the valuation of a financial benefit.</w:t>
      </w:r>
    </w:p>
    <w:p w:rsidR="00887330" w:rsidRPr="00583E1A" w:rsidRDefault="00887330" w:rsidP="00887330">
      <w:pPr>
        <w:pStyle w:val="SubsectionHead"/>
      </w:pPr>
      <w:r w:rsidRPr="00583E1A">
        <w:lastRenderedPageBreak/>
        <w:t>Assume scheme runs its full term</w:t>
      </w:r>
    </w:p>
    <w:p w:rsidR="00887330" w:rsidRPr="00583E1A" w:rsidRDefault="00887330" w:rsidP="00887330">
      <w:pPr>
        <w:pStyle w:val="subsection"/>
      </w:pPr>
      <w:r w:rsidRPr="00583E1A">
        <w:tab/>
        <w:t>(2)</w:t>
      </w:r>
      <w:r w:rsidRPr="00583E1A">
        <w:tab/>
        <w:t xml:space="preserve">The value of a </w:t>
      </w:r>
      <w:r w:rsidR="00583E1A" w:rsidRPr="00583E1A">
        <w:rPr>
          <w:position w:val="6"/>
          <w:sz w:val="16"/>
        </w:rPr>
        <w:t>*</w:t>
      </w:r>
      <w:r w:rsidRPr="00583E1A">
        <w:t xml:space="preserve">financial benefit received or provided under a </w:t>
      </w:r>
      <w:r w:rsidR="00583E1A" w:rsidRPr="00583E1A">
        <w:rPr>
          <w:position w:val="6"/>
          <w:sz w:val="16"/>
        </w:rPr>
        <w:t>*</w:t>
      </w:r>
      <w:r w:rsidRPr="00583E1A">
        <w:t>scheme is calculated assuming that the interest arising from the scheme will continue to be held for the rest of its life.</w:t>
      </w:r>
    </w:p>
    <w:p w:rsidR="00887330" w:rsidRPr="00583E1A" w:rsidRDefault="00887330" w:rsidP="00887330">
      <w:pPr>
        <w:pStyle w:val="notetext"/>
      </w:pPr>
      <w:r w:rsidRPr="00583E1A">
        <w:t>Note 1:</w:t>
      </w:r>
      <w:r w:rsidRPr="00583E1A">
        <w:tab/>
        <w:t>Section</w:t>
      </w:r>
      <w:r w:rsidR="00583E1A">
        <w:t> </w:t>
      </w:r>
      <w:r w:rsidRPr="00583E1A">
        <w:t>974</w:t>
      </w:r>
      <w:r w:rsidR="00583E1A">
        <w:noBreakHyphen/>
      </w:r>
      <w:r w:rsidRPr="00583E1A">
        <w:t>40 makes specific provision for cases in which there is a right or option to terminate the interest early.</w:t>
      </w:r>
    </w:p>
    <w:p w:rsidR="00887330" w:rsidRPr="00583E1A" w:rsidRDefault="00887330" w:rsidP="00887330">
      <w:pPr>
        <w:pStyle w:val="notetext"/>
      </w:pPr>
      <w:r w:rsidRPr="00583E1A">
        <w:t>Note 2:</w:t>
      </w:r>
      <w:r w:rsidRPr="00583E1A">
        <w:tab/>
        <w:t>Section</w:t>
      </w:r>
      <w:r w:rsidR="00583E1A">
        <w:t> </w:t>
      </w:r>
      <w:r w:rsidRPr="00583E1A">
        <w:t>974</w:t>
      </w:r>
      <w:r w:rsidR="00583E1A">
        <w:noBreakHyphen/>
      </w:r>
      <w:r w:rsidRPr="00583E1A">
        <w:t>45 makes specific provision for cases involving convertible interests.</w:t>
      </w:r>
    </w:p>
    <w:p w:rsidR="00887330" w:rsidRPr="00583E1A" w:rsidRDefault="00887330" w:rsidP="00887330">
      <w:pPr>
        <w:pStyle w:val="SubsectionHead"/>
      </w:pPr>
      <w:r w:rsidRPr="00583E1A">
        <w:t>Performance period</w:t>
      </w:r>
    </w:p>
    <w:p w:rsidR="00887330" w:rsidRPr="00583E1A" w:rsidRDefault="00887330" w:rsidP="00887330">
      <w:pPr>
        <w:pStyle w:val="subsection"/>
      </w:pPr>
      <w:r w:rsidRPr="00583E1A">
        <w:tab/>
        <w:t>(3)</w:t>
      </w:r>
      <w:r w:rsidRPr="00583E1A">
        <w:tab/>
        <w:t xml:space="preserve">The </w:t>
      </w:r>
      <w:r w:rsidRPr="00583E1A">
        <w:rPr>
          <w:b/>
          <w:i/>
        </w:rPr>
        <w:t>performance period</w:t>
      </w:r>
      <w:r w:rsidRPr="00583E1A">
        <w:t xml:space="preserve"> is the period within which, under the terms on which the interest is issued, the </w:t>
      </w:r>
      <w:r w:rsidR="00583E1A" w:rsidRPr="00583E1A">
        <w:rPr>
          <w:position w:val="6"/>
          <w:sz w:val="16"/>
        </w:rPr>
        <w:t>*</w:t>
      </w:r>
      <w:r w:rsidRPr="00583E1A">
        <w:t>effectively non</w:t>
      </w:r>
      <w:r w:rsidR="00583E1A">
        <w:noBreakHyphen/>
      </w:r>
      <w:r w:rsidRPr="00583E1A">
        <w:t xml:space="preserve">contingent obligations of the issuer, and any </w:t>
      </w:r>
      <w:r w:rsidR="00583E1A" w:rsidRPr="00583E1A">
        <w:rPr>
          <w:position w:val="6"/>
          <w:sz w:val="16"/>
        </w:rPr>
        <w:t>*</w:t>
      </w:r>
      <w:r w:rsidRPr="00583E1A">
        <w:t xml:space="preserve">connected entity of the issuer, to provide a </w:t>
      </w:r>
      <w:r w:rsidR="00583E1A" w:rsidRPr="00583E1A">
        <w:rPr>
          <w:position w:val="6"/>
          <w:sz w:val="16"/>
        </w:rPr>
        <w:t>*</w:t>
      </w:r>
      <w:r w:rsidRPr="00583E1A">
        <w:t>financial benefit in relation to the interest have to be met.</w:t>
      </w:r>
    </w:p>
    <w:p w:rsidR="00887330" w:rsidRPr="00583E1A" w:rsidRDefault="00887330" w:rsidP="00887330">
      <w:pPr>
        <w:pStyle w:val="subsection"/>
      </w:pPr>
      <w:r w:rsidRPr="00583E1A">
        <w:tab/>
        <w:t>(4)</w:t>
      </w:r>
      <w:r w:rsidRPr="00583E1A">
        <w:tab/>
        <w:t>An obligation is treated as having to be met within 10 years after the interest is issued if:</w:t>
      </w:r>
    </w:p>
    <w:p w:rsidR="00887330" w:rsidRPr="00583E1A" w:rsidRDefault="00887330" w:rsidP="00887330">
      <w:pPr>
        <w:pStyle w:val="paragraph"/>
      </w:pPr>
      <w:r w:rsidRPr="00583E1A">
        <w:tab/>
        <w:t>(a)</w:t>
      </w:r>
      <w:r w:rsidRPr="00583E1A">
        <w:tab/>
        <w:t>the issuer; or</w:t>
      </w:r>
    </w:p>
    <w:p w:rsidR="00887330" w:rsidRPr="00583E1A" w:rsidRDefault="00887330" w:rsidP="00887330">
      <w:pPr>
        <w:pStyle w:val="paragraph"/>
      </w:pPr>
      <w:r w:rsidRPr="00583E1A">
        <w:tab/>
        <w:t>(b)</w:t>
      </w:r>
      <w:r w:rsidRPr="00583E1A">
        <w:tab/>
        <w:t xml:space="preserve">the </w:t>
      </w:r>
      <w:r w:rsidR="00583E1A" w:rsidRPr="00583E1A">
        <w:rPr>
          <w:position w:val="6"/>
          <w:sz w:val="16"/>
        </w:rPr>
        <w:t>*</w:t>
      </w:r>
      <w:r w:rsidRPr="00583E1A">
        <w:t>connected entity of the issuer;</w:t>
      </w:r>
    </w:p>
    <w:p w:rsidR="00887330" w:rsidRPr="00583E1A" w:rsidRDefault="00887330" w:rsidP="00887330">
      <w:pPr>
        <w:pStyle w:val="subsection2"/>
      </w:pPr>
      <w:r w:rsidRPr="00583E1A">
        <w:t xml:space="preserve">has an </w:t>
      </w:r>
      <w:r w:rsidR="00583E1A" w:rsidRPr="00583E1A">
        <w:rPr>
          <w:position w:val="6"/>
          <w:sz w:val="16"/>
        </w:rPr>
        <w:t>*</w:t>
      </w:r>
      <w:r w:rsidRPr="00583E1A">
        <w:t>effectively non</w:t>
      </w:r>
      <w:r w:rsidR="00583E1A">
        <w:noBreakHyphen/>
      </w:r>
      <w:r w:rsidRPr="00583E1A">
        <w:t>contingent obligation to terminate the interest within that 10 year period even if the terms on which the interest is issued formally allow the obligation to continue after the end of that 10 year period.</w:t>
      </w:r>
    </w:p>
    <w:p w:rsidR="00887330" w:rsidRPr="00583E1A" w:rsidRDefault="00887330" w:rsidP="00887330">
      <w:pPr>
        <w:pStyle w:val="SubsectionHead"/>
      </w:pPr>
      <w:r w:rsidRPr="00583E1A">
        <w:t>Benefit dependent on variable factor</w:t>
      </w:r>
    </w:p>
    <w:p w:rsidR="00887330" w:rsidRPr="00583E1A" w:rsidRDefault="00887330" w:rsidP="00887330">
      <w:pPr>
        <w:pStyle w:val="subsection"/>
      </w:pPr>
      <w:r w:rsidRPr="00583E1A">
        <w:tab/>
        <w:t>(5)</w:t>
      </w:r>
      <w:r w:rsidRPr="00583E1A">
        <w:tab/>
        <w:t>If:</w:t>
      </w:r>
    </w:p>
    <w:p w:rsidR="00887330" w:rsidRPr="00583E1A" w:rsidRDefault="00887330" w:rsidP="00887330">
      <w:pPr>
        <w:pStyle w:val="paragraph"/>
      </w:pPr>
      <w:r w:rsidRPr="00583E1A">
        <w:tab/>
        <w:t>(a)</w:t>
      </w:r>
      <w:r w:rsidRPr="00583E1A">
        <w:tab/>
        <w:t xml:space="preserve">a </w:t>
      </w:r>
      <w:r w:rsidR="00583E1A" w:rsidRPr="00583E1A">
        <w:rPr>
          <w:position w:val="6"/>
          <w:sz w:val="16"/>
        </w:rPr>
        <w:t>*</w:t>
      </w:r>
      <w:r w:rsidRPr="00583E1A">
        <w:t>financial benefit received or provided in respect of an interest depends on a factor that may vary over time (such as a variable interest rate); and</w:t>
      </w:r>
    </w:p>
    <w:p w:rsidR="00887330" w:rsidRPr="00583E1A" w:rsidRDefault="00887330" w:rsidP="00887330">
      <w:pPr>
        <w:pStyle w:val="paragraph"/>
      </w:pPr>
      <w:r w:rsidRPr="00583E1A">
        <w:tab/>
        <w:t>(b)</w:t>
      </w:r>
      <w:r w:rsidRPr="00583E1A">
        <w:tab/>
        <w:t>that factor is one commonly used in commercial arrangements; and</w:t>
      </w:r>
    </w:p>
    <w:p w:rsidR="00887330" w:rsidRPr="00583E1A" w:rsidRDefault="00887330" w:rsidP="00887330">
      <w:pPr>
        <w:pStyle w:val="paragraph"/>
      </w:pPr>
      <w:r w:rsidRPr="00583E1A">
        <w:tab/>
        <w:t>(c)</w:t>
      </w:r>
      <w:r w:rsidRPr="00583E1A">
        <w:tab/>
        <w:t xml:space="preserve">it would be unreasonable to expect any of the parties to the </w:t>
      </w:r>
      <w:r w:rsidR="00583E1A" w:rsidRPr="00583E1A">
        <w:rPr>
          <w:position w:val="6"/>
          <w:sz w:val="16"/>
        </w:rPr>
        <w:t>*</w:t>
      </w:r>
      <w:r w:rsidRPr="00583E1A">
        <w:t>scheme to know, or to anticipate accurately, the future value of that factor; and</w:t>
      </w:r>
    </w:p>
    <w:p w:rsidR="00887330" w:rsidRPr="00583E1A" w:rsidRDefault="00887330" w:rsidP="00887330">
      <w:pPr>
        <w:pStyle w:val="paragraph"/>
      </w:pPr>
      <w:r w:rsidRPr="00583E1A">
        <w:tab/>
        <w:t>(d)</w:t>
      </w:r>
      <w:r w:rsidRPr="00583E1A">
        <w:tab/>
        <w:t xml:space="preserve">that factor has a particular value (the </w:t>
      </w:r>
      <w:r w:rsidRPr="00583E1A">
        <w:rPr>
          <w:b/>
          <w:i/>
        </w:rPr>
        <w:t>starting value</w:t>
      </w:r>
      <w:r w:rsidRPr="00583E1A">
        <w:t>) when the scheme is entered into;</w:t>
      </w:r>
    </w:p>
    <w:p w:rsidR="00887330" w:rsidRPr="00583E1A" w:rsidRDefault="00887330" w:rsidP="00887330">
      <w:pPr>
        <w:pStyle w:val="subsection2"/>
      </w:pPr>
      <w:r w:rsidRPr="00583E1A">
        <w:lastRenderedPageBreak/>
        <w:t>the value of the financial benefit is calculated assuming that the factor’s value will retain the starting value for the whole of the life of the scheme.</w:t>
      </w:r>
    </w:p>
    <w:p w:rsidR="00887330" w:rsidRPr="00583E1A" w:rsidRDefault="00887330" w:rsidP="00887330">
      <w:pPr>
        <w:pStyle w:val="notetext"/>
      </w:pPr>
      <w:r w:rsidRPr="00583E1A">
        <w:t>Note:</w:t>
      </w:r>
      <w:r w:rsidRPr="00583E1A">
        <w:tab/>
        <w:t>For example, the value of a return based on a floating interest rate is calculated on the basis that the interest rate remains the interest rate that is applicable when the scheme is entered into.</w:t>
      </w:r>
    </w:p>
    <w:p w:rsidR="00887330" w:rsidRPr="00583E1A" w:rsidRDefault="00887330" w:rsidP="00887330">
      <w:pPr>
        <w:pStyle w:val="SubsectionHead"/>
      </w:pPr>
      <w:r w:rsidRPr="00583E1A">
        <w:t>Scheme wholly in foreign currency etc.</w:t>
      </w:r>
    </w:p>
    <w:p w:rsidR="00887330" w:rsidRPr="00583E1A" w:rsidRDefault="00887330" w:rsidP="00887330">
      <w:pPr>
        <w:pStyle w:val="subsection"/>
      </w:pPr>
      <w:r w:rsidRPr="00583E1A">
        <w:tab/>
        <w:t>(6)</w:t>
      </w:r>
      <w:r w:rsidRPr="00583E1A">
        <w:tab/>
        <w:t xml:space="preserve">If all the </w:t>
      </w:r>
      <w:r w:rsidR="00583E1A" w:rsidRPr="00583E1A">
        <w:rPr>
          <w:position w:val="6"/>
          <w:sz w:val="16"/>
        </w:rPr>
        <w:t>*</w:t>
      </w:r>
      <w:r w:rsidRPr="00583E1A">
        <w:t xml:space="preserve">financial benefits provided and received under a </w:t>
      </w:r>
      <w:r w:rsidR="00583E1A" w:rsidRPr="00583E1A">
        <w:rPr>
          <w:position w:val="6"/>
          <w:sz w:val="16"/>
        </w:rPr>
        <w:t>*</w:t>
      </w:r>
      <w:r w:rsidRPr="00583E1A">
        <w:t>scheme are denominated in a particular foreign currency or in terms of quantities of a particular commodity or other unit of account, they are not to be converted into Australian currency for the purpose of comparing their relative values for the purposes of this Subdivision.</w:t>
      </w:r>
    </w:p>
    <w:p w:rsidR="00887330" w:rsidRPr="00583E1A" w:rsidRDefault="00887330" w:rsidP="00887330">
      <w:pPr>
        <w:pStyle w:val="ActHead5"/>
      </w:pPr>
      <w:bookmarkStart w:id="587" w:name="_Toc338939661"/>
      <w:r w:rsidRPr="00583E1A">
        <w:rPr>
          <w:rStyle w:val="CharSectno"/>
        </w:rPr>
        <w:t>974</w:t>
      </w:r>
      <w:r w:rsidR="00583E1A">
        <w:rPr>
          <w:rStyle w:val="CharSectno"/>
        </w:rPr>
        <w:noBreakHyphen/>
      </w:r>
      <w:r w:rsidRPr="00583E1A">
        <w:rPr>
          <w:rStyle w:val="CharSectno"/>
        </w:rPr>
        <w:t>40</w:t>
      </w:r>
      <w:r w:rsidRPr="00583E1A">
        <w:t xml:space="preserve">  Valuation of financial benefits—rights and options to terminate early</w:t>
      </w:r>
      <w:bookmarkEnd w:id="587"/>
    </w:p>
    <w:p w:rsidR="00887330" w:rsidRPr="00583E1A" w:rsidRDefault="00887330" w:rsidP="00887330">
      <w:pPr>
        <w:pStyle w:val="subsection"/>
      </w:pPr>
      <w:r w:rsidRPr="00583E1A">
        <w:tab/>
        <w:t>(1)</w:t>
      </w:r>
      <w:r w:rsidRPr="00583E1A">
        <w:tab/>
        <w:t xml:space="preserve">This section deals with the situation in which a party to a </w:t>
      </w:r>
      <w:r w:rsidR="00583E1A" w:rsidRPr="00583E1A">
        <w:rPr>
          <w:position w:val="6"/>
          <w:sz w:val="16"/>
        </w:rPr>
        <w:t>*</w:t>
      </w:r>
      <w:r w:rsidRPr="00583E1A">
        <w:t>scheme has a right or option to terminate the scheme early (whether by discharging an obligation early, converting the interest arising from the scheme into another interest or otherwise).</w:t>
      </w:r>
    </w:p>
    <w:p w:rsidR="00887330" w:rsidRPr="00583E1A" w:rsidRDefault="00887330" w:rsidP="00887330">
      <w:pPr>
        <w:pStyle w:val="notetext"/>
      </w:pPr>
      <w:r w:rsidRPr="00583E1A">
        <w:t>Note 1:</w:t>
      </w:r>
      <w:r w:rsidRPr="00583E1A">
        <w:tab/>
        <w:t>An example of terminating a scheme early by discharging an obligation early is terminating a loan by discharging the obligation to repay the principal (and any outstanding interest) early.</w:t>
      </w:r>
    </w:p>
    <w:p w:rsidR="00887330" w:rsidRPr="00583E1A" w:rsidRDefault="00887330" w:rsidP="00887330">
      <w:pPr>
        <w:pStyle w:val="notetext"/>
      </w:pPr>
      <w:r w:rsidRPr="00583E1A">
        <w:t>Note 2:</w:t>
      </w:r>
      <w:r w:rsidRPr="00583E1A">
        <w:tab/>
        <w:t>In certain circumstances, conversion of an interest into another interest can terminate its life (see section</w:t>
      </w:r>
      <w:r w:rsidR="00583E1A">
        <w:t> </w:t>
      </w:r>
      <w:r w:rsidRPr="00583E1A">
        <w:t>974</w:t>
      </w:r>
      <w:r w:rsidR="00583E1A">
        <w:noBreakHyphen/>
      </w:r>
      <w:r w:rsidRPr="00583E1A">
        <w:t>45).</w:t>
      </w:r>
    </w:p>
    <w:p w:rsidR="00887330" w:rsidRPr="00583E1A" w:rsidRDefault="00887330" w:rsidP="00887330">
      <w:pPr>
        <w:pStyle w:val="subsection"/>
      </w:pPr>
      <w:r w:rsidRPr="00583E1A">
        <w:tab/>
        <w:t>(2)</w:t>
      </w:r>
      <w:r w:rsidRPr="00583E1A">
        <w:tab/>
        <w:t xml:space="preserve">The existence of the right or option is to be disregarded in working out the length of the life of the interest arising from the </w:t>
      </w:r>
      <w:r w:rsidR="00583E1A" w:rsidRPr="00583E1A">
        <w:rPr>
          <w:position w:val="6"/>
          <w:sz w:val="16"/>
        </w:rPr>
        <w:t>*</w:t>
      </w:r>
      <w:r w:rsidRPr="00583E1A">
        <w:t xml:space="preserve">scheme for the purposes of this Subdivision if the party does not have an </w:t>
      </w:r>
      <w:r w:rsidR="00583E1A" w:rsidRPr="00583E1A">
        <w:rPr>
          <w:position w:val="6"/>
          <w:sz w:val="16"/>
        </w:rPr>
        <w:t>*</w:t>
      </w:r>
      <w:r w:rsidRPr="00583E1A">
        <w:t>effectively non</w:t>
      </w:r>
      <w:r w:rsidR="00583E1A">
        <w:noBreakHyphen/>
      </w:r>
      <w:r w:rsidRPr="00583E1A">
        <w:t>contingent obligation to exercise the right or option.</w:t>
      </w:r>
    </w:p>
    <w:p w:rsidR="00887330" w:rsidRPr="00583E1A" w:rsidRDefault="00887330" w:rsidP="00887330">
      <w:pPr>
        <w:pStyle w:val="subsection"/>
      </w:pPr>
      <w:r w:rsidRPr="00583E1A">
        <w:tab/>
        <w:t>(3)</w:t>
      </w:r>
      <w:r w:rsidRPr="00583E1A">
        <w:tab/>
        <w:t xml:space="preserve">If the party does have an </w:t>
      </w:r>
      <w:r w:rsidR="00583E1A" w:rsidRPr="00583E1A">
        <w:rPr>
          <w:position w:val="6"/>
          <w:sz w:val="16"/>
        </w:rPr>
        <w:t>*</w:t>
      </w:r>
      <w:r w:rsidRPr="00583E1A">
        <w:t>effectively non</w:t>
      </w:r>
      <w:r w:rsidR="00583E1A">
        <w:noBreakHyphen/>
      </w:r>
      <w:r w:rsidRPr="00583E1A">
        <w:t>contingent obligation to exercise the right or option, the life of the interest ends at the earliest time at which the party will have to exercise the right or option.</w:t>
      </w:r>
    </w:p>
    <w:p w:rsidR="00887330" w:rsidRPr="00583E1A" w:rsidRDefault="00887330" w:rsidP="00887330">
      <w:pPr>
        <w:pStyle w:val="subsection"/>
      </w:pPr>
      <w:r w:rsidRPr="00583E1A">
        <w:tab/>
        <w:t>(4)</w:t>
      </w:r>
      <w:r w:rsidRPr="00583E1A">
        <w:tab/>
        <w:t>This section does not limit subsection 974</w:t>
      </w:r>
      <w:r w:rsidR="00583E1A">
        <w:noBreakHyphen/>
      </w:r>
      <w:r w:rsidRPr="00583E1A">
        <w:t>35(2).</w:t>
      </w:r>
    </w:p>
    <w:p w:rsidR="00887330" w:rsidRPr="00583E1A" w:rsidRDefault="00887330" w:rsidP="00887330">
      <w:pPr>
        <w:pStyle w:val="ActHead5"/>
      </w:pPr>
      <w:bookmarkStart w:id="588" w:name="_Toc338939662"/>
      <w:r w:rsidRPr="00583E1A">
        <w:rPr>
          <w:rStyle w:val="CharSectno"/>
        </w:rPr>
        <w:lastRenderedPageBreak/>
        <w:t>974</w:t>
      </w:r>
      <w:r w:rsidR="00583E1A">
        <w:rPr>
          <w:rStyle w:val="CharSectno"/>
        </w:rPr>
        <w:noBreakHyphen/>
      </w:r>
      <w:r w:rsidRPr="00583E1A">
        <w:rPr>
          <w:rStyle w:val="CharSectno"/>
        </w:rPr>
        <w:t>45</w:t>
      </w:r>
      <w:r w:rsidRPr="00583E1A">
        <w:t xml:space="preserve">  Valuation of financial benefits—convertible interests</w:t>
      </w:r>
      <w:bookmarkEnd w:id="588"/>
    </w:p>
    <w:p w:rsidR="00887330" w:rsidRPr="00583E1A" w:rsidRDefault="00887330" w:rsidP="00887330">
      <w:pPr>
        <w:pStyle w:val="subsection"/>
      </w:pPr>
      <w:r w:rsidRPr="00583E1A">
        <w:tab/>
        <w:t>(1)</w:t>
      </w:r>
      <w:r w:rsidRPr="00583E1A">
        <w:tab/>
        <w:t xml:space="preserve">This section deals with the situation in which a </w:t>
      </w:r>
      <w:r w:rsidR="00583E1A" w:rsidRPr="00583E1A">
        <w:rPr>
          <w:position w:val="6"/>
          <w:sz w:val="16"/>
        </w:rPr>
        <w:t>*</w:t>
      </w:r>
      <w:r w:rsidRPr="00583E1A">
        <w:t xml:space="preserve">scheme gives rise to an </w:t>
      </w:r>
      <w:r w:rsidR="00583E1A" w:rsidRPr="00583E1A">
        <w:rPr>
          <w:position w:val="6"/>
          <w:sz w:val="16"/>
        </w:rPr>
        <w:t>*</w:t>
      </w:r>
      <w:r w:rsidRPr="00583E1A">
        <w:t xml:space="preserve">interest that will or may convert into an </w:t>
      </w:r>
      <w:r w:rsidR="00583E1A" w:rsidRPr="00583E1A">
        <w:rPr>
          <w:position w:val="6"/>
          <w:sz w:val="16"/>
        </w:rPr>
        <w:t>*</w:t>
      </w:r>
      <w:r w:rsidRPr="00583E1A">
        <w:t>equity interest in a company.</w:t>
      </w:r>
    </w:p>
    <w:p w:rsidR="00887330" w:rsidRPr="00583E1A" w:rsidRDefault="00887330" w:rsidP="00887330">
      <w:pPr>
        <w:pStyle w:val="subsection"/>
      </w:pPr>
      <w:r w:rsidRPr="00583E1A">
        <w:tab/>
        <w:t>(2)</w:t>
      </w:r>
      <w:r w:rsidRPr="00583E1A">
        <w:tab/>
        <w:t xml:space="preserve">The life of the interest ends no later than the time when it converts into that </w:t>
      </w:r>
      <w:r w:rsidR="00583E1A" w:rsidRPr="00583E1A">
        <w:rPr>
          <w:position w:val="6"/>
          <w:sz w:val="16"/>
        </w:rPr>
        <w:t>*</w:t>
      </w:r>
      <w:r w:rsidRPr="00583E1A">
        <w:t>equity interest.</w:t>
      </w:r>
    </w:p>
    <w:p w:rsidR="00887330" w:rsidRPr="00583E1A" w:rsidRDefault="00887330" w:rsidP="00887330">
      <w:pPr>
        <w:pStyle w:val="subsection"/>
      </w:pPr>
      <w:r w:rsidRPr="00583E1A">
        <w:tab/>
        <w:t>(3)</w:t>
      </w:r>
      <w:r w:rsidRPr="00583E1A">
        <w:tab/>
        <w:t xml:space="preserve">The possibility of the conversion is to be disregarded in working out the length of the life of the interest arising from the </w:t>
      </w:r>
      <w:r w:rsidR="00583E1A" w:rsidRPr="00583E1A">
        <w:rPr>
          <w:position w:val="6"/>
          <w:sz w:val="16"/>
        </w:rPr>
        <w:t>*</w:t>
      </w:r>
      <w:r w:rsidRPr="00583E1A">
        <w:t>scheme for the purposes of section</w:t>
      </w:r>
      <w:r w:rsidR="00583E1A">
        <w:t> </w:t>
      </w:r>
      <w:r w:rsidRPr="00583E1A">
        <w:t>974</w:t>
      </w:r>
      <w:r w:rsidR="00583E1A">
        <w:noBreakHyphen/>
      </w:r>
      <w:r w:rsidRPr="00583E1A">
        <w:t>35 if it is uncertain:</w:t>
      </w:r>
    </w:p>
    <w:p w:rsidR="00887330" w:rsidRPr="00583E1A" w:rsidRDefault="00887330" w:rsidP="00887330">
      <w:pPr>
        <w:pStyle w:val="paragraph"/>
      </w:pPr>
      <w:r w:rsidRPr="00583E1A">
        <w:tab/>
        <w:t>(a)</w:t>
      </w:r>
      <w:r w:rsidRPr="00583E1A">
        <w:tab/>
        <w:t>whether the interest will ever convert; or</w:t>
      </w:r>
    </w:p>
    <w:p w:rsidR="00887330" w:rsidRPr="00583E1A" w:rsidRDefault="00887330" w:rsidP="00887330">
      <w:pPr>
        <w:pStyle w:val="paragraph"/>
      </w:pPr>
      <w:r w:rsidRPr="00583E1A">
        <w:tab/>
        <w:t>(b)</w:t>
      </w:r>
      <w:r w:rsidRPr="00583E1A">
        <w:tab/>
        <w:t>when the interest will convert.</w:t>
      </w:r>
    </w:p>
    <w:p w:rsidR="00887330" w:rsidRPr="00583E1A" w:rsidRDefault="00887330" w:rsidP="00887330">
      <w:pPr>
        <w:pStyle w:val="notetext"/>
      </w:pPr>
      <w:r w:rsidRPr="00583E1A">
        <w:t>Note:</w:t>
      </w:r>
      <w:r w:rsidRPr="00583E1A">
        <w:tab/>
        <w:t>Section</w:t>
      </w:r>
      <w:r w:rsidR="00583E1A">
        <w:t> </w:t>
      </w:r>
      <w:r w:rsidRPr="00583E1A">
        <w:t>974</w:t>
      </w:r>
      <w:r w:rsidR="00583E1A">
        <w:noBreakHyphen/>
      </w:r>
      <w:r w:rsidRPr="00583E1A">
        <w:t>40 deals with the situation in which a party to the scheme may exercise a right or option to convert the interest.</w:t>
      </w:r>
    </w:p>
    <w:p w:rsidR="00887330" w:rsidRPr="00583E1A" w:rsidRDefault="00887330" w:rsidP="00887330">
      <w:pPr>
        <w:pStyle w:val="subsection"/>
      </w:pPr>
      <w:r w:rsidRPr="00583E1A">
        <w:tab/>
        <w:t>(4)</w:t>
      </w:r>
      <w:r w:rsidRPr="00583E1A">
        <w:tab/>
        <w:t>This section does not limit subsection 974</w:t>
      </w:r>
      <w:r w:rsidR="00583E1A">
        <w:noBreakHyphen/>
      </w:r>
      <w:r w:rsidRPr="00583E1A">
        <w:t>35(2).</w:t>
      </w:r>
    </w:p>
    <w:p w:rsidR="00887330" w:rsidRPr="00583E1A" w:rsidRDefault="00887330" w:rsidP="00887330">
      <w:pPr>
        <w:pStyle w:val="ActHead5"/>
      </w:pPr>
      <w:bookmarkStart w:id="589" w:name="_Toc338939663"/>
      <w:r w:rsidRPr="00583E1A">
        <w:rPr>
          <w:rStyle w:val="CharSectno"/>
        </w:rPr>
        <w:t>974</w:t>
      </w:r>
      <w:r w:rsidR="00583E1A">
        <w:rPr>
          <w:rStyle w:val="CharSectno"/>
        </w:rPr>
        <w:noBreakHyphen/>
      </w:r>
      <w:r w:rsidRPr="00583E1A">
        <w:rPr>
          <w:rStyle w:val="CharSectno"/>
        </w:rPr>
        <w:t>50</w:t>
      </w:r>
      <w:r w:rsidRPr="00583E1A">
        <w:t xml:space="preserve">  Valuation of financial benefits—value in present value terms</w:t>
      </w:r>
      <w:bookmarkEnd w:id="589"/>
    </w:p>
    <w:p w:rsidR="00887330" w:rsidRPr="00583E1A" w:rsidRDefault="00887330" w:rsidP="00887330">
      <w:pPr>
        <w:pStyle w:val="subsection"/>
      </w:pPr>
      <w:r w:rsidRPr="00583E1A">
        <w:tab/>
        <w:t>(1)</w:t>
      </w:r>
      <w:r w:rsidRPr="00583E1A">
        <w:tab/>
        <w:t xml:space="preserve">Subject to the regulations made for the purposes of </w:t>
      </w:r>
      <w:r w:rsidR="00583E1A">
        <w:t>subsection (</w:t>
      </w:r>
      <w:r w:rsidRPr="00583E1A">
        <w:t xml:space="preserve">5), the value in present value terms of a </w:t>
      </w:r>
      <w:r w:rsidR="00583E1A" w:rsidRPr="00583E1A">
        <w:rPr>
          <w:position w:val="6"/>
          <w:sz w:val="16"/>
        </w:rPr>
        <w:t>*</w:t>
      </w:r>
      <w:r w:rsidRPr="00583E1A">
        <w:t xml:space="preserve">financial benefit to be provided or received in respect of an interest (the </w:t>
      </w:r>
      <w:r w:rsidRPr="00583E1A">
        <w:rPr>
          <w:b/>
          <w:i/>
        </w:rPr>
        <w:t>test interest</w:t>
      </w:r>
      <w:r w:rsidRPr="00583E1A">
        <w:t xml:space="preserve">) is calculated under </w:t>
      </w:r>
      <w:r w:rsidR="00583E1A">
        <w:t>subsection (</w:t>
      </w:r>
      <w:r w:rsidRPr="00583E1A">
        <w:t>4).</w:t>
      </w:r>
    </w:p>
    <w:p w:rsidR="00887330" w:rsidRPr="00583E1A" w:rsidRDefault="00887330" w:rsidP="00887330">
      <w:pPr>
        <w:pStyle w:val="subsection"/>
      </w:pPr>
      <w:r w:rsidRPr="00583E1A">
        <w:tab/>
        <w:t>(2)</w:t>
      </w:r>
      <w:r w:rsidRPr="00583E1A">
        <w:tab/>
        <w:t xml:space="preserve">If you need to calculate the values in present value terms of a number of </w:t>
      </w:r>
      <w:r w:rsidR="00583E1A" w:rsidRPr="00583E1A">
        <w:rPr>
          <w:position w:val="6"/>
          <w:sz w:val="16"/>
        </w:rPr>
        <w:t>*</w:t>
      </w:r>
      <w:r w:rsidRPr="00583E1A">
        <w:t>financial benefits, the value of each financial benefit is to be calculated separately.</w:t>
      </w:r>
    </w:p>
    <w:p w:rsidR="00887330" w:rsidRPr="00583E1A" w:rsidRDefault="00887330" w:rsidP="00887330">
      <w:pPr>
        <w:pStyle w:val="subsection"/>
      </w:pPr>
      <w:r w:rsidRPr="00583E1A">
        <w:tab/>
        <w:t>(3)</w:t>
      </w:r>
      <w:r w:rsidRPr="00583E1A">
        <w:tab/>
        <w:t xml:space="preserve">The value of a </w:t>
      </w:r>
      <w:r w:rsidR="00583E1A" w:rsidRPr="00583E1A">
        <w:rPr>
          <w:position w:val="6"/>
          <w:sz w:val="16"/>
        </w:rPr>
        <w:t>*</w:t>
      </w:r>
      <w:r w:rsidRPr="00583E1A">
        <w:t>financial benefit is to be calculated assuming that all amounts to be paid by an entity in respect of the test interest are paid at the earliest time when the entity becomes liable to pay them.</w:t>
      </w:r>
    </w:p>
    <w:p w:rsidR="00887330" w:rsidRPr="00583E1A" w:rsidRDefault="00887330" w:rsidP="00887330">
      <w:pPr>
        <w:pStyle w:val="subsection"/>
      </w:pPr>
      <w:r w:rsidRPr="00583E1A">
        <w:tab/>
        <w:t>(4)</w:t>
      </w:r>
      <w:r w:rsidRPr="00583E1A">
        <w:tab/>
        <w:t xml:space="preserve">The value of a </w:t>
      </w:r>
      <w:r w:rsidR="00583E1A" w:rsidRPr="00583E1A">
        <w:rPr>
          <w:position w:val="6"/>
          <w:sz w:val="16"/>
        </w:rPr>
        <w:t>*</w:t>
      </w:r>
      <w:r w:rsidRPr="00583E1A">
        <w:t>financial benefit in present value terms is:</w:t>
      </w:r>
    </w:p>
    <w:p w:rsidR="00CB48B4" w:rsidRPr="00583E1A" w:rsidRDefault="00623A5C" w:rsidP="00887330">
      <w:pPr>
        <w:pStyle w:val="Formula"/>
        <w:spacing w:before="60" w:after="60"/>
      </w:pPr>
      <w:r>
        <w:rPr>
          <w:noProof/>
        </w:rPr>
        <w:drawing>
          <wp:inline distT="0" distB="0" distL="0" distR="0">
            <wp:extent cx="2857500" cy="40957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2857500" cy="409575"/>
                    </a:xfrm>
                    <a:prstGeom prst="rect">
                      <a:avLst/>
                    </a:prstGeom>
                    <a:noFill/>
                    <a:ln>
                      <a:noFill/>
                    </a:ln>
                  </pic:spPr>
                </pic:pic>
              </a:graphicData>
            </a:graphic>
          </wp:inline>
        </w:drawing>
      </w:r>
    </w:p>
    <w:p w:rsidR="00887330" w:rsidRPr="00583E1A" w:rsidRDefault="00887330" w:rsidP="00887330">
      <w:pPr>
        <w:pStyle w:val="subsection2"/>
      </w:pPr>
      <w:r w:rsidRPr="00583E1A">
        <w:t>where:</w:t>
      </w:r>
    </w:p>
    <w:p w:rsidR="00887330" w:rsidRPr="00583E1A" w:rsidRDefault="00887330" w:rsidP="00887330">
      <w:pPr>
        <w:pStyle w:val="Definition"/>
      </w:pPr>
      <w:r w:rsidRPr="00583E1A">
        <w:rPr>
          <w:b/>
          <w:i/>
        </w:rPr>
        <w:lastRenderedPageBreak/>
        <w:t>adjusted benchmark rate of return</w:t>
      </w:r>
      <w:r w:rsidRPr="00583E1A">
        <w:t xml:space="preserve"> is 75% of the </w:t>
      </w:r>
      <w:r w:rsidR="00583E1A" w:rsidRPr="00583E1A">
        <w:rPr>
          <w:position w:val="6"/>
          <w:sz w:val="16"/>
        </w:rPr>
        <w:t>*</w:t>
      </w:r>
      <w:r w:rsidRPr="00583E1A">
        <w:t>benchmark rate of return on the test interest.</w:t>
      </w:r>
    </w:p>
    <w:p w:rsidR="00887330" w:rsidRPr="00583E1A" w:rsidRDefault="00887330" w:rsidP="00887330">
      <w:pPr>
        <w:pStyle w:val="Definition"/>
      </w:pPr>
      <w:r w:rsidRPr="00583E1A">
        <w:rPr>
          <w:b/>
          <w:i/>
        </w:rPr>
        <w:t>n</w:t>
      </w:r>
      <w:r w:rsidRPr="00583E1A">
        <w:t xml:space="preserve"> is the number of years in the period starting on the day on which the test interest is issued and ending on the day on which the </w:t>
      </w:r>
      <w:r w:rsidR="00583E1A" w:rsidRPr="00583E1A">
        <w:rPr>
          <w:position w:val="6"/>
          <w:sz w:val="16"/>
        </w:rPr>
        <w:t>*</w:t>
      </w:r>
      <w:r w:rsidRPr="00583E1A">
        <w:t>financial benefit is to be provided. If the period includes a part of a year, that part is to be expressed as the fraction:</w:t>
      </w:r>
    </w:p>
    <w:p w:rsidR="00CB48B4" w:rsidRPr="00583E1A" w:rsidRDefault="00623A5C" w:rsidP="00887330">
      <w:pPr>
        <w:pStyle w:val="Formula"/>
        <w:spacing w:before="60" w:after="60"/>
      </w:pPr>
      <w:r>
        <w:rPr>
          <w:noProof/>
        </w:rPr>
        <w:drawing>
          <wp:inline distT="0" distB="0" distL="0" distR="0">
            <wp:extent cx="1590675" cy="3810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1590675" cy="381000"/>
                    </a:xfrm>
                    <a:prstGeom prst="rect">
                      <a:avLst/>
                    </a:prstGeom>
                    <a:noFill/>
                    <a:ln>
                      <a:noFill/>
                    </a:ln>
                  </pic:spPr>
                </pic:pic>
              </a:graphicData>
            </a:graphic>
          </wp:inline>
        </w:drawing>
      </w:r>
    </w:p>
    <w:p w:rsidR="00887330" w:rsidRPr="00583E1A" w:rsidRDefault="00887330" w:rsidP="00887330">
      <w:pPr>
        <w:pStyle w:val="Definition"/>
      </w:pPr>
      <w:r w:rsidRPr="00583E1A">
        <w:rPr>
          <w:b/>
          <w:i/>
        </w:rPr>
        <w:t>year</w:t>
      </w:r>
      <w:r w:rsidRPr="00583E1A">
        <w:t xml:space="preserve"> means a period of 12 months.</w:t>
      </w:r>
    </w:p>
    <w:p w:rsidR="00887330" w:rsidRPr="00583E1A" w:rsidRDefault="00887330" w:rsidP="00887330">
      <w:pPr>
        <w:pStyle w:val="subsection"/>
      </w:pPr>
      <w:r w:rsidRPr="00583E1A">
        <w:tab/>
        <w:t>(5)</w:t>
      </w:r>
      <w:r w:rsidRPr="00583E1A">
        <w:tab/>
        <w:t xml:space="preserve">The regulations may provide for the method of calculating the value in present value terms of a </w:t>
      </w:r>
      <w:r w:rsidR="00583E1A" w:rsidRPr="00583E1A">
        <w:rPr>
          <w:position w:val="6"/>
          <w:sz w:val="16"/>
        </w:rPr>
        <w:t>*</w:t>
      </w:r>
      <w:r w:rsidRPr="00583E1A">
        <w:t>financial benefit.</w:t>
      </w:r>
    </w:p>
    <w:p w:rsidR="00887330" w:rsidRPr="00583E1A" w:rsidRDefault="00887330" w:rsidP="00887330">
      <w:pPr>
        <w:pStyle w:val="subsection"/>
      </w:pPr>
      <w:r w:rsidRPr="00583E1A">
        <w:tab/>
        <w:t>(6)</w:t>
      </w:r>
      <w:r w:rsidRPr="00583E1A">
        <w:tab/>
        <w:t xml:space="preserve">Without limiting </w:t>
      </w:r>
      <w:r w:rsidR="00583E1A">
        <w:t>subsection (</w:t>
      </w:r>
      <w:r w:rsidRPr="00583E1A">
        <w:t>5), the regulations may:</w:t>
      </w:r>
    </w:p>
    <w:p w:rsidR="00887330" w:rsidRPr="00583E1A" w:rsidRDefault="00887330" w:rsidP="00887330">
      <w:pPr>
        <w:pStyle w:val="paragraph"/>
      </w:pPr>
      <w:r w:rsidRPr="00583E1A">
        <w:tab/>
        <w:t>(a)</w:t>
      </w:r>
      <w:r w:rsidRPr="00583E1A">
        <w:tab/>
        <w:t xml:space="preserve">provide for an entirely different method of calculating the present value of the </w:t>
      </w:r>
      <w:r w:rsidR="00583E1A" w:rsidRPr="00583E1A">
        <w:rPr>
          <w:position w:val="6"/>
          <w:sz w:val="16"/>
        </w:rPr>
        <w:t>*</w:t>
      </w:r>
      <w:r w:rsidRPr="00583E1A">
        <w:t>financial benefit; or</w:t>
      </w:r>
    </w:p>
    <w:p w:rsidR="00887330" w:rsidRPr="00583E1A" w:rsidRDefault="00887330" w:rsidP="00887330">
      <w:pPr>
        <w:pStyle w:val="paragraph"/>
      </w:pPr>
      <w:r w:rsidRPr="00583E1A">
        <w:tab/>
        <w:t>(b)</w:t>
      </w:r>
      <w:r w:rsidRPr="00583E1A">
        <w:tab/>
        <w:t xml:space="preserve">specify the adjusted </w:t>
      </w:r>
      <w:r w:rsidR="00583E1A" w:rsidRPr="00583E1A">
        <w:rPr>
          <w:position w:val="6"/>
          <w:sz w:val="16"/>
        </w:rPr>
        <w:t>*</w:t>
      </w:r>
      <w:r w:rsidRPr="00583E1A">
        <w:t>benchmark rate of return; or</w:t>
      </w:r>
    </w:p>
    <w:p w:rsidR="00887330" w:rsidRPr="00583E1A" w:rsidRDefault="00887330" w:rsidP="00887330">
      <w:pPr>
        <w:pStyle w:val="paragraph"/>
      </w:pPr>
      <w:r w:rsidRPr="00583E1A">
        <w:tab/>
        <w:t>(c)</w:t>
      </w:r>
      <w:r w:rsidRPr="00583E1A">
        <w:tab/>
        <w:t>provide for a different method of determining the adjusted benchmark rate of return; or</w:t>
      </w:r>
    </w:p>
    <w:p w:rsidR="00887330" w:rsidRPr="00583E1A" w:rsidRDefault="00887330" w:rsidP="00887330">
      <w:pPr>
        <w:pStyle w:val="paragraph"/>
      </w:pPr>
      <w:r w:rsidRPr="00583E1A">
        <w:tab/>
        <w:t>(d)</w:t>
      </w:r>
      <w:r w:rsidRPr="00583E1A">
        <w:tab/>
        <w:t xml:space="preserve">specify rules for determining whether a </w:t>
      </w:r>
      <w:r w:rsidR="00583E1A" w:rsidRPr="00583E1A">
        <w:rPr>
          <w:position w:val="6"/>
          <w:sz w:val="16"/>
        </w:rPr>
        <w:t>*</w:t>
      </w:r>
      <w:r w:rsidRPr="00583E1A">
        <w:t xml:space="preserve">debt interest is an </w:t>
      </w:r>
      <w:r w:rsidR="00583E1A" w:rsidRPr="00583E1A">
        <w:rPr>
          <w:position w:val="6"/>
          <w:sz w:val="16"/>
        </w:rPr>
        <w:t>*</w:t>
      </w:r>
      <w:r w:rsidRPr="00583E1A">
        <w:t>ordinary debt interest.</w:t>
      </w:r>
    </w:p>
    <w:p w:rsidR="00887330" w:rsidRPr="00583E1A" w:rsidRDefault="00887330" w:rsidP="00887330">
      <w:pPr>
        <w:pStyle w:val="ActHead5"/>
      </w:pPr>
      <w:bookmarkStart w:id="590" w:name="_Toc338939664"/>
      <w:r w:rsidRPr="00583E1A">
        <w:rPr>
          <w:rStyle w:val="CharSectno"/>
        </w:rPr>
        <w:t>974</w:t>
      </w:r>
      <w:r w:rsidR="00583E1A">
        <w:rPr>
          <w:rStyle w:val="CharSectno"/>
        </w:rPr>
        <w:noBreakHyphen/>
      </w:r>
      <w:r w:rsidRPr="00583E1A">
        <w:rPr>
          <w:rStyle w:val="CharSectno"/>
        </w:rPr>
        <w:t>55</w:t>
      </w:r>
      <w:r w:rsidRPr="00583E1A">
        <w:t xml:space="preserve">  The debt interest and its issue</w:t>
      </w:r>
      <w:bookmarkEnd w:id="590"/>
    </w:p>
    <w:p w:rsidR="00887330" w:rsidRPr="00583E1A" w:rsidRDefault="00887330" w:rsidP="00887330">
      <w:pPr>
        <w:pStyle w:val="subsection"/>
      </w:pPr>
      <w:r w:rsidRPr="00583E1A">
        <w:tab/>
        <w:t>(1)</w:t>
      </w:r>
      <w:r w:rsidRPr="00583E1A">
        <w:tab/>
        <w:t xml:space="preserve">If a </w:t>
      </w:r>
      <w:r w:rsidR="00583E1A" w:rsidRPr="00583E1A">
        <w:rPr>
          <w:position w:val="6"/>
          <w:sz w:val="16"/>
        </w:rPr>
        <w:t>*</w:t>
      </w:r>
      <w:r w:rsidRPr="00583E1A">
        <w:t xml:space="preserve">scheme, or 2 or more </w:t>
      </w:r>
      <w:r w:rsidR="00583E1A" w:rsidRPr="00583E1A">
        <w:rPr>
          <w:position w:val="6"/>
          <w:sz w:val="16"/>
        </w:rPr>
        <w:t>*</w:t>
      </w:r>
      <w:r w:rsidRPr="00583E1A">
        <w:t xml:space="preserve">related schemes, give rise to a </w:t>
      </w:r>
      <w:r w:rsidR="00583E1A" w:rsidRPr="00583E1A">
        <w:rPr>
          <w:position w:val="6"/>
          <w:sz w:val="16"/>
        </w:rPr>
        <w:t>*</w:t>
      </w:r>
      <w:r w:rsidRPr="00583E1A">
        <w:t>debt interest in an entity, the debt interest:</w:t>
      </w:r>
    </w:p>
    <w:p w:rsidR="00887330" w:rsidRPr="00583E1A" w:rsidRDefault="00887330" w:rsidP="00887330">
      <w:pPr>
        <w:pStyle w:val="paragraph"/>
      </w:pPr>
      <w:r w:rsidRPr="00583E1A">
        <w:tab/>
        <w:t>(a)</w:t>
      </w:r>
      <w:r w:rsidRPr="00583E1A">
        <w:tab/>
        <w:t xml:space="preserve">consists of the interest that carries the right to receive a </w:t>
      </w:r>
      <w:r w:rsidR="00583E1A" w:rsidRPr="00583E1A">
        <w:rPr>
          <w:position w:val="6"/>
          <w:sz w:val="16"/>
        </w:rPr>
        <w:t>*</w:t>
      </w:r>
      <w:r w:rsidRPr="00583E1A">
        <w:t xml:space="preserve">financial benefit that the entity or a </w:t>
      </w:r>
      <w:r w:rsidR="00583E1A" w:rsidRPr="00583E1A">
        <w:rPr>
          <w:position w:val="6"/>
          <w:sz w:val="16"/>
        </w:rPr>
        <w:t>*</w:t>
      </w:r>
      <w:r w:rsidRPr="00583E1A">
        <w:t xml:space="preserve">connected entity has an </w:t>
      </w:r>
      <w:r w:rsidR="00583E1A" w:rsidRPr="00583E1A">
        <w:rPr>
          <w:position w:val="6"/>
          <w:sz w:val="16"/>
        </w:rPr>
        <w:t>*</w:t>
      </w:r>
      <w:r w:rsidRPr="00583E1A">
        <w:t>effectively non</w:t>
      </w:r>
      <w:r w:rsidR="00583E1A">
        <w:noBreakHyphen/>
      </w:r>
      <w:r w:rsidRPr="00583E1A">
        <w:t>contingent obligation to provide under the scheme or any of the schemes; and</w:t>
      </w:r>
    </w:p>
    <w:p w:rsidR="00887330" w:rsidRPr="00583E1A" w:rsidRDefault="00887330" w:rsidP="00887330">
      <w:pPr>
        <w:pStyle w:val="paragraph"/>
      </w:pPr>
      <w:r w:rsidRPr="00583E1A">
        <w:tab/>
        <w:t>(b)</w:t>
      </w:r>
      <w:r w:rsidRPr="00583E1A">
        <w:tab/>
        <w:t>is taken, subject to section</w:t>
      </w:r>
      <w:r w:rsidR="00583E1A">
        <w:t> </w:t>
      </w:r>
      <w:r w:rsidRPr="00583E1A">
        <w:t>974</w:t>
      </w:r>
      <w:r w:rsidR="00583E1A">
        <w:noBreakHyphen/>
      </w:r>
      <w:r w:rsidRPr="00583E1A">
        <w:t>60, to be a debt interest in the entity; and</w:t>
      </w:r>
    </w:p>
    <w:p w:rsidR="00887330" w:rsidRPr="00583E1A" w:rsidRDefault="00887330" w:rsidP="00887330">
      <w:pPr>
        <w:pStyle w:val="paragraph"/>
      </w:pPr>
      <w:r w:rsidRPr="00583E1A">
        <w:tab/>
        <w:t>(c)</w:t>
      </w:r>
      <w:r w:rsidRPr="00583E1A">
        <w:tab/>
        <w:t>is taken to be issued by the entity; and</w:t>
      </w:r>
    </w:p>
    <w:p w:rsidR="00887330" w:rsidRPr="00583E1A" w:rsidRDefault="00887330" w:rsidP="00887330">
      <w:pPr>
        <w:pStyle w:val="paragraph"/>
      </w:pPr>
      <w:r w:rsidRPr="00583E1A">
        <w:tab/>
        <w:t>(d)</w:t>
      </w:r>
      <w:r w:rsidRPr="00583E1A">
        <w:tab/>
        <w:t xml:space="preserve">is </w:t>
      </w:r>
      <w:r w:rsidRPr="00583E1A">
        <w:rPr>
          <w:b/>
          <w:i/>
        </w:rPr>
        <w:t>issued</w:t>
      </w:r>
      <w:r w:rsidRPr="00583E1A">
        <w:t xml:space="preserve"> when the entity (or a connected entity of the entity) first receives a </w:t>
      </w:r>
      <w:r w:rsidR="00583E1A" w:rsidRPr="00583E1A">
        <w:rPr>
          <w:position w:val="6"/>
          <w:sz w:val="16"/>
        </w:rPr>
        <w:t>*</w:t>
      </w:r>
      <w:r w:rsidRPr="00583E1A">
        <w:t>financial benefit under the scheme or any of the schemes; and</w:t>
      </w:r>
    </w:p>
    <w:p w:rsidR="00887330" w:rsidRPr="00583E1A" w:rsidRDefault="00887330" w:rsidP="00887330">
      <w:pPr>
        <w:pStyle w:val="paragraph"/>
      </w:pPr>
      <w:r w:rsidRPr="00583E1A">
        <w:lastRenderedPageBreak/>
        <w:tab/>
        <w:t>(e)</w:t>
      </w:r>
      <w:r w:rsidRPr="00583E1A">
        <w:tab/>
        <w:t xml:space="preserve">is </w:t>
      </w:r>
      <w:r w:rsidRPr="00583E1A">
        <w:rPr>
          <w:b/>
          <w:i/>
        </w:rPr>
        <w:t>on issue</w:t>
      </w:r>
      <w:r w:rsidRPr="00583E1A">
        <w:t xml:space="preserve"> while an effectively non</w:t>
      </w:r>
      <w:r w:rsidR="00583E1A">
        <w:noBreakHyphen/>
      </w:r>
      <w:r w:rsidRPr="00583E1A">
        <w:t>contingent obligation of the entity (or a connected entity of the entity) to provide a financial benefit under the scheme or any of the schemes remains unfulfilled.</w:t>
      </w:r>
    </w:p>
    <w:p w:rsidR="00887330" w:rsidRPr="00583E1A" w:rsidRDefault="00887330" w:rsidP="00887330">
      <w:pPr>
        <w:pStyle w:val="subsection"/>
      </w:pPr>
      <w:r w:rsidRPr="00583E1A">
        <w:tab/>
        <w:t>(2)</w:t>
      </w:r>
      <w:r w:rsidRPr="00583E1A">
        <w:tab/>
        <w:t xml:space="preserve">The interest referred to in </w:t>
      </w:r>
      <w:r w:rsidR="00583E1A">
        <w:t>paragraph (</w:t>
      </w:r>
      <w:r w:rsidRPr="00583E1A">
        <w:t>1)(a) may take the form of a proprietary right, a chose in action or any other form.</w:t>
      </w:r>
    </w:p>
    <w:p w:rsidR="00887330" w:rsidRPr="00583E1A" w:rsidRDefault="00887330" w:rsidP="00887330">
      <w:pPr>
        <w:pStyle w:val="ActHead5"/>
      </w:pPr>
      <w:bookmarkStart w:id="591" w:name="_Toc338939665"/>
      <w:r w:rsidRPr="00583E1A">
        <w:rPr>
          <w:rStyle w:val="CharSectno"/>
        </w:rPr>
        <w:t>974</w:t>
      </w:r>
      <w:r w:rsidR="00583E1A">
        <w:rPr>
          <w:rStyle w:val="CharSectno"/>
        </w:rPr>
        <w:noBreakHyphen/>
      </w:r>
      <w:r w:rsidRPr="00583E1A">
        <w:rPr>
          <w:rStyle w:val="CharSectno"/>
        </w:rPr>
        <w:t>60</w:t>
      </w:r>
      <w:r w:rsidRPr="00583E1A">
        <w:t xml:space="preserve">  Debt interest arising out of obligations owed by a number of entities</w:t>
      </w:r>
      <w:bookmarkEnd w:id="591"/>
    </w:p>
    <w:p w:rsidR="00887330" w:rsidRPr="00583E1A" w:rsidRDefault="00887330" w:rsidP="00887330">
      <w:pPr>
        <w:pStyle w:val="subsection"/>
      </w:pPr>
      <w:r w:rsidRPr="00583E1A">
        <w:tab/>
        <w:t>(1)</w:t>
      </w:r>
      <w:r w:rsidRPr="00583E1A">
        <w:tab/>
        <w:t xml:space="preserve">This section deals with the situation in which a </w:t>
      </w:r>
      <w:r w:rsidR="00583E1A" w:rsidRPr="00583E1A">
        <w:rPr>
          <w:position w:val="6"/>
          <w:sz w:val="16"/>
        </w:rPr>
        <w:t>*</w:t>
      </w:r>
      <w:r w:rsidRPr="00583E1A">
        <w:t xml:space="preserve">scheme, or a number of </w:t>
      </w:r>
      <w:r w:rsidR="00583E1A" w:rsidRPr="00583E1A">
        <w:rPr>
          <w:position w:val="6"/>
          <w:sz w:val="16"/>
        </w:rPr>
        <w:t>*</w:t>
      </w:r>
      <w:r w:rsidRPr="00583E1A">
        <w:t xml:space="preserve">related schemes together, would, apart from this section, give rise to the same </w:t>
      </w:r>
      <w:r w:rsidR="00583E1A" w:rsidRPr="00583E1A">
        <w:rPr>
          <w:position w:val="6"/>
          <w:sz w:val="16"/>
        </w:rPr>
        <w:t>*</w:t>
      </w:r>
      <w:r w:rsidRPr="00583E1A">
        <w:t>debt interest in 2 or more entities.</w:t>
      </w:r>
    </w:p>
    <w:p w:rsidR="00887330" w:rsidRPr="00583E1A" w:rsidRDefault="00887330" w:rsidP="00887330">
      <w:pPr>
        <w:pStyle w:val="notetext"/>
      </w:pPr>
      <w:r w:rsidRPr="00583E1A">
        <w:t>Note:</w:t>
      </w:r>
      <w:r w:rsidRPr="00583E1A">
        <w:tab/>
        <w:t>A scheme may give rise to the same debt interest in 2 or more entities if each of those entities has non</w:t>
      </w:r>
      <w:r w:rsidR="00583E1A">
        <w:noBreakHyphen/>
      </w:r>
      <w:r w:rsidRPr="00583E1A">
        <w:t>contingent obligations to provide financial benefits under the scheme.</w:t>
      </w:r>
    </w:p>
    <w:p w:rsidR="00887330" w:rsidRPr="00583E1A" w:rsidRDefault="00887330" w:rsidP="00887330">
      <w:pPr>
        <w:pStyle w:val="subsection"/>
      </w:pPr>
      <w:r w:rsidRPr="00583E1A">
        <w:tab/>
        <w:t>(2)</w:t>
      </w:r>
      <w:r w:rsidRPr="00583E1A">
        <w:tab/>
        <w:t xml:space="preserve">The </w:t>
      </w:r>
      <w:r w:rsidR="00583E1A" w:rsidRPr="00583E1A">
        <w:rPr>
          <w:position w:val="6"/>
          <w:sz w:val="16"/>
        </w:rPr>
        <w:t>*</w:t>
      </w:r>
      <w:r w:rsidRPr="00583E1A">
        <w:t>debt interest:</w:t>
      </w:r>
    </w:p>
    <w:p w:rsidR="00887330" w:rsidRPr="00583E1A" w:rsidRDefault="00887330" w:rsidP="00887330">
      <w:pPr>
        <w:pStyle w:val="paragraph"/>
      </w:pPr>
      <w:r w:rsidRPr="00583E1A">
        <w:tab/>
        <w:t>(a)</w:t>
      </w:r>
      <w:r w:rsidRPr="00583E1A">
        <w:tab/>
        <w:t xml:space="preserve">is a debt interest in the entity identified under </w:t>
      </w:r>
      <w:r w:rsidR="00583E1A">
        <w:t>subsection (</w:t>
      </w:r>
      <w:r w:rsidRPr="00583E1A">
        <w:t>3) or (4); and</w:t>
      </w:r>
    </w:p>
    <w:p w:rsidR="00887330" w:rsidRPr="00583E1A" w:rsidRDefault="00887330" w:rsidP="00887330">
      <w:pPr>
        <w:pStyle w:val="paragraph"/>
      </w:pPr>
      <w:r w:rsidRPr="00583E1A">
        <w:tab/>
        <w:t>(b)</w:t>
      </w:r>
      <w:r w:rsidRPr="00583E1A">
        <w:tab/>
        <w:t>is not a debt interest in the other entity or entities.</w:t>
      </w:r>
    </w:p>
    <w:p w:rsidR="00887330" w:rsidRPr="00583E1A" w:rsidRDefault="00887330" w:rsidP="00887330">
      <w:pPr>
        <w:pStyle w:val="subsection"/>
      </w:pPr>
      <w:r w:rsidRPr="00583E1A">
        <w:tab/>
        <w:t>(3)</w:t>
      </w:r>
      <w:r w:rsidRPr="00583E1A">
        <w:tab/>
        <w:t xml:space="preserve">The </w:t>
      </w:r>
      <w:r w:rsidR="00583E1A" w:rsidRPr="00583E1A">
        <w:rPr>
          <w:position w:val="6"/>
          <w:sz w:val="16"/>
        </w:rPr>
        <w:t>*</w:t>
      </w:r>
      <w:r w:rsidRPr="00583E1A">
        <w:t>debt interest is a debt interest in the entity identified using the following method statement:</w:t>
      </w:r>
    </w:p>
    <w:p w:rsidR="00887330" w:rsidRPr="00583E1A" w:rsidRDefault="00887330" w:rsidP="00887330">
      <w:pPr>
        <w:pStyle w:val="BoxHeadItalic"/>
      </w:pPr>
      <w:r w:rsidRPr="00583E1A">
        <w:t>Method statement</w:t>
      </w:r>
    </w:p>
    <w:p w:rsidR="00887330" w:rsidRPr="00583E1A" w:rsidRDefault="00AE4F7F" w:rsidP="00887330">
      <w:pPr>
        <w:pStyle w:val="BoxStep"/>
      </w:pPr>
      <w:r w:rsidRPr="00583E1A">
        <w:rPr>
          <w:szCs w:val="22"/>
        </w:rPr>
        <w:t>Step 1.</w:t>
      </w:r>
      <w:r w:rsidR="00887330" w:rsidRPr="00583E1A">
        <w:tab/>
        <w:t xml:space="preserve">Work out, for each of the entities, the total value of the </w:t>
      </w:r>
      <w:r w:rsidR="00583E1A" w:rsidRPr="00583E1A">
        <w:rPr>
          <w:position w:val="6"/>
          <w:sz w:val="16"/>
        </w:rPr>
        <w:t>*</w:t>
      </w:r>
      <w:r w:rsidR="00887330" w:rsidRPr="00583E1A">
        <w:t xml:space="preserve">financial benefits that the entity is under an </w:t>
      </w:r>
      <w:r w:rsidR="00583E1A" w:rsidRPr="00583E1A">
        <w:rPr>
          <w:position w:val="6"/>
          <w:sz w:val="16"/>
        </w:rPr>
        <w:t>*</w:t>
      </w:r>
      <w:r w:rsidR="00887330" w:rsidRPr="00583E1A">
        <w:t>effectively non</w:t>
      </w:r>
      <w:r w:rsidR="00583E1A">
        <w:noBreakHyphen/>
      </w:r>
      <w:r w:rsidR="00887330" w:rsidRPr="00583E1A">
        <w:t xml:space="preserve">contingent obligation to provide under the </w:t>
      </w:r>
      <w:r w:rsidR="00583E1A" w:rsidRPr="00583E1A">
        <w:rPr>
          <w:position w:val="6"/>
          <w:sz w:val="16"/>
        </w:rPr>
        <w:t>*</w:t>
      </w:r>
      <w:r w:rsidR="00887330" w:rsidRPr="00583E1A">
        <w:t xml:space="preserve">scheme or schemes: this is the entity’s </w:t>
      </w:r>
      <w:r w:rsidR="00887330" w:rsidRPr="00583E1A">
        <w:rPr>
          <w:b/>
          <w:i/>
        </w:rPr>
        <w:t>obligation value</w:t>
      </w:r>
      <w:r w:rsidR="00887330" w:rsidRPr="00583E1A">
        <w:t>.</w:t>
      </w:r>
    </w:p>
    <w:p w:rsidR="00887330" w:rsidRPr="00583E1A" w:rsidRDefault="00AE4F7F" w:rsidP="00887330">
      <w:pPr>
        <w:pStyle w:val="BoxStep"/>
      </w:pPr>
      <w:r w:rsidRPr="00583E1A">
        <w:rPr>
          <w:szCs w:val="22"/>
        </w:rPr>
        <w:t>Step 2.</w:t>
      </w:r>
      <w:r w:rsidR="00887330" w:rsidRPr="00583E1A">
        <w:tab/>
        <w:t xml:space="preserve">The </w:t>
      </w:r>
      <w:r w:rsidR="00583E1A" w:rsidRPr="00583E1A">
        <w:rPr>
          <w:position w:val="6"/>
          <w:sz w:val="16"/>
        </w:rPr>
        <w:t>*</w:t>
      </w:r>
      <w:r w:rsidR="00887330" w:rsidRPr="00583E1A">
        <w:t>debt interest is taken to be a debt interest in the entity with the greatest obligation value.</w:t>
      </w:r>
    </w:p>
    <w:p w:rsidR="00887330" w:rsidRPr="00583E1A" w:rsidRDefault="00AE4F7F" w:rsidP="00887330">
      <w:pPr>
        <w:pStyle w:val="BoxStep"/>
        <w:keepNext/>
        <w:keepLines/>
      </w:pPr>
      <w:r w:rsidRPr="00583E1A">
        <w:rPr>
          <w:szCs w:val="22"/>
        </w:rPr>
        <w:lastRenderedPageBreak/>
        <w:t>Step 3.</w:t>
      </w:r>
      <w:r w:rsidR="00887330" w:rsidRPr="00583E1A">
        <w:tab/>
        <w:t xml:space="preserve">If it is not possible to determine which entity has the greatest obligation value (whether because of an equality of, or uncertainty as to, obligation values or otherwise), the </w:t>
      </w:r>
      <w:r w:rsidR="00583E1A" w:rsidRPr="00583E1A">
        <w:rPr>
          <w:position w:val="6"/>
          <w:sz w:val="16"/>
        </w:rPr>
        <w:t>*</w:t>
      </w:r>
      <w:r w:rsidR="00887330" w:rsidRPr="00583E1A">
        <w:t>debt interest is taken to be a debt interest in the entity agreed on by all the entities.</w:t>
      </w:r>
    </w:p>
    <w:p w:rsidR="00887330" w:rsidRPr="00583E1A" w:rsidRDefault="00AE4F7F" w:rsidP="00887330">
      <w:pPr>
        <w:pStyle w:val="BoxStep"/>
      </w:pPr>
      <w:r w:rsidRPr="00583E1A">
        <w:rPr>
          <w:szCs w:val="22"/>
        </w:rPr>
        <w:t>Step 4.</w:t>
      </w:r>
      <w:r w:rsidR="00887330" w:rsidRPr="00583E1A">
        <w:tab/>
        <w:t xml:space="preserve">If the entities do not agree, the interest is taken to be a </w:t>
      </w:r>
      <w:r w:rsidR="00583E1A" w:rsidRPr="00583E1A">
        <w:rPr>
          <w:position w:val="6"/>
          <w:sz w:val="16"/>
        </w:rPr>
        <w:t>*</w:t>
      </w:r>
      <w:r w:rsidR="00887330" w:rsidRPr="00583E1A">
        <w:t>debt interest in the entity determined by the Commissioner.</w:t>
      </w:r>
    </w:p>
    <w:p w:rsidR="00887330" w:rsidRPr="00583E1A" w:rsidRDefault="00887330" w:rsidP="00887330">
      <w:pPr>
        <w:pStyle w:val="subsection"/>
      </w:pPr>
      <w:r w:rsidRPr="00583E1A">
        <w:tab/>
        <w:t>(4)</w:t>
      </w:r>
      <w:r w:rsidRPr="00583E1A">
        <w:tab/>
        <w:t xml:space="preserve">Despite </w:t>
      </w:r>
      <w:r w:rsidR="00583E1A">
        <w:t>subsection (</w:t>
      </w:r>
      <w:r w:rsidRPr="00583E1A">
        <w:t xml:space="preserve">3), the Commissioner may determine that the </w:t>
      </w:r>
      <w:r w:rsidR="00583E1A" w:rsidRPr="00583E1A">
        <w:rPr>
          <w:position w:val="6"/>
          <w:sz w:val="16"/>
        </w:rPr>
        <w:t>*</w:t>
      </w:r>
      <w:r w:rsidRPr="00583E1A">
        <w:t>debt interest is a debt interest in the entity specified in the determination.</w:t>
      </w:r>
    </w:p>
    <w:p w:rsidR="00887330" w:rsidRPr="00583E1A" w:rsidRDefault="00887330" w:rsidP="00887330">
      <w:pPr>
        <w:pStyle w:val="subsection"/>
      </w:pPr>
      <w:r w:rsidRPr="00583E1A">
        <w:tab/>
        <w:t>(5)</w:t>
      </w:r>
      <w:r w:rsidRPr="00583E1A">
        <w:tab/>
        <w:t xml:space="preserve">The Commissioner may make the determination only if satisfied, having regard to the economic substance of the relevant transactions, that the </w:t>
      </w:r>
      <w:r w:rsidR="00583E1A" w:rsidRPr="00583E1A">
        <w:rPr>
          <w:position w:val="6"/>
          <w:sz w:val="16"/>
        </w:rPr>
        <w:t>*</w:t>
      </w:r>
      <w:r w:rsidRPr="00583E1A">
        <w:t>debt interest is properly considered from a commercial point of view to be an interest in the entity specified in the determination.</w:t>
      </w:r>
    </w:p>
    <w:p w:rsidR="00887330" w:rsidRPr="00583E1A" w:rsidRDefault="00887330" w:rsidP="00887330">
      <w:pPr>
        <w:pStyle w:val="ActHead5"/>
      </w:pPr>
      <w:bookmarkStart w:id="592" w:name="_Toc338939666"/>
      <w:r w:rsidRPr="00583E1A">
        <w:rPr>
          <w:rStyle w:val="CharSectno"/>
        </w:rPr>
        <w:t>974</w:t>
      </w:r>
      <w:r w:rsidR="00583E1A">
        <w:rPr>
          <w:rStyle w:val="CharSectno"/>
        </w:rPr>
        <w:noBreakHyphen/>
      </w:r>
      <w:r w:rsidRPr="00583E1A">
        <w:rPr>
          <w:rStyle w:val="CharSectno"/>
        </w:rPr>
        <w:t>65</w:t>
      </w:r>
      <w:r w:rsidRPr="00583E1A">
        <w:t xml:space="preserve">  Commissioner’s power</w:t>
      </w:r>
      <w:bookmarkEnd w:id="592"/>
    </w:p>
    <w:p w:rsidR="00887330" w:rsidRPr="00583E1A" w:rsidRDefault="00887330" w:rsidP="00887330">
      <w:pPr>
        <w:pStyle w:val="subsection"/>
      </w:pPr>
      <w:r w:rsidRPr="00583E1A">
        <w:tab/>
        <w:t>(1)</w:t>
      </w:r>
      <w:r w:rsidRPr="00583E1A">
        <w:tab/>
        <w:t>Despite subsection 974</w:t>
      </w:r>
      <w:r w:rsidR="00583E1A">
        <w:noBreakHyphen/>
      </w:r>
      <w:r w:rsidRPr="00583E1A">
        <w:t xml:space="preserve">20(1) (the debt test), the Commissioner may determine that a </w:t>
      </w:r>
      <w:r w:rsidR="00583E1A" w:rsidRPr="00583E1A">
        <w:rPr>
          <w:position w:val="6"/>
          <w:sz w:val="16"/>
        </w:rPr>
        <w:t>*</w:t>
      </w:r>
      <w:r w:rsidRPr="00583E1A">
        <w:t xml:space="preserve">scheme gives rise to a </w:t>
      </w:r>
      <w:r w:rsidRPr="00583E1A">
        <w:rPr>
          <w:b/>
          <w:i/>
        </w:rPr>
        <w:t>debt interest</w:t>
      </w:r>
      <w:r w:rsidRPr="00583E1A">
        <w:t xml:space="preserve"> in an entity if the Commissioner considers that:</w:t>
      </w:r>
    </w:p>
    <w:p w:rsidR="00887330" w:rsidRPr="00583E1A" w:rsidRDefault="00887330" w:rsidP="00887330">
      <w:pPr>
        <w:pStyle w:val="paragraph"/>
      </w:pPr>
      <w:r w:rsidRPr="00583E1A">
        <w:tab/>
        <w:t>(a)</w:t>
      </w:r>
      <w:r w:rsidRPr="00583E1A">
        <w:tab/>
        <w:t>the scheme would satisfy paragraphs 974</w:t>
      </w:r>
      <w:r w:rsidR="00583E1A">
        <w:noBreakHyphen/>
      </w:r>
      <w:r w:rsidRPr="00583E1A">
        <w:t>20(1)(a), (b), (c) and (e); but</w:t>
      </w:r>
    </w:p>
    <w:p w:rsidR="00887330" w:rsidRPr="00583E1A" w:rsidRDefault="00887330" w:rsidP="00887330">
      <w:pPr>
        <w:pStyle w:val="paragraph"/>
      </w:pPr>
      <w:r w:rsidRPr="00583E1A">
        <w:tab/>
        <w:t>(b)</w:t>
      </w:r>
      <w:r w:rsidRPr="00583E1A">
        <w:tab/>
        <w:t>instead of satisfying paragraph 974</w:t>
      </w:r>
      <w:r w:rsidR="00583E1A">
        <w:noBreakHyphen/>
      </w:r>
      <w:r w:rsidRPr="00583E1A">
        <w:t>20(1)(d), the scheme would satisfy all the following subparagraphs:</w:t>
      </w:r>
    </w:p>
    <w:p w:rsidR="00887330" w:rsidRPr="00583E1A" w:rsidRDefault="00887330" w:rsidP="00887330">
      <w:pPr>
        <w:pStyle w:val="paragraphsub"/>
      </w:pPr>
      <w:r w:rsidRPr="00583E1A">
        <w:tab/>
        <w:t>(i)</w:t>
      </w:r>
      <w:r w:rsidRPr="00583E1A">
        <w:tab/>
        <w:t xml:space="preserve">it is substantially more likely than not that the value of the </w:t>
      </w:r>
      <w:r w:rsidR="00583E1A" w:rsidRPr="00583E1A">
        <w:rPr>
          <w:position w:val="6"/>
          <w:sz w:val="16"/>
        </w:rPr>
        <w:t>*</w:t>
      </w:r>
      <w:r w:rsidRPr="00583E1A">
        <w:t xml:space="preserve">financial benefit to be provided by the entity (or a </w:t>
      </w:r>
      <w:r w:rsidR="00583E1A" w:rsidRPr="00583E1A">
        <w:rPr>
          <w:position w:val="6"/>
          <w:sz w:val="16"/>
        </w:rPr>
        <w:t>*</w:t>
      </w:r>
      <w:r w:rsidRPr="00583E1A">
        <w:t xml:space="preserve">connected entity of the entity) under the </w:t>
      </w:r>
      <w:r w:rsidR="00583E1A" w:rsidRPr="00583E1A">
        <w:rPr>
          <w:position w:val="6"/>
          <w:sz w:val="16"/>
        </w:rPr>
        <w:t>*</w:t>
      </w:r>
      <w:r w:rsidRPr="00583E1A">
        <w:t>effectively non</w:t>
      </w:r>
      <w:r w:rsidR="00583E1A">
        <w:noBreakHyphen/>
      </w:r>
      <w:r w:rsidRPr="00583E1A">
        <w:t>contingent obligation will be at least equal to the substantial part of the value of the financial benefit received or to be received by the entity (or its connected entity) under the scheme;</w:t>
      </w:r>
    </w:p>
    <w:p w:rsidR="00887330" w:rsidRPr="00583E1A" w:rsidRDefault="00887330" w:rsidP="00887330">
      <w:pPr>
        <w:pStyle w:val="paragraphsub"/>
      </w:pPr>
      <w:r w:rsidRPr="00583E1A">
        <w:tab/>
        <w:t>(ii)</w:t>
      </w:r>
      <w:r w:rsidRPr="00583E1A">
        <w:tab/>
        <w:t xml:space="preserve">it is substantially more likely than not that other financial benefits will be provided by the entity (or its </w:t>
      </w:r>
      <w:r w:rsidRPr="00583E1A">
        <w:lastRenderedPageBreak/>
        <w:t>connected entity) to one or more entities under the scheme;</w:t>
      </w:r>
    </w:p>
    <w:p w:rsidR="00887330" w:rsidRPr="00583E1A" w:rsidRDefault="00887330" w:rsidP="00887330">
      <w:pPr>
        <w:pStyle w:val="paragraphsub"/>
      </w:pPr>
      <w:r w:rsidRPr="00583E1A">
        <w:tab/>
        <w:t>(iii)</w:t>
      </w:r>
      <w:r w:rsidRPr="00583E1A">
        <w:tab/>
        <w:t xml:space="preserve">it is substantially more likely than not that the sum of the values of the financial benefits mentioned in </w:t>
      </w:r>
      <w:r w:rsidR="00583E1A">
        <w:t>subparagraphs (</w:t>
      </w:r>
      <w:r w:rsidRPr="00583E1A">
        <w:t>i) and (ii) will be at least equal to the value of the financial benefit received by the entity (or its connected entity) under the scheme.</w:t>
      </w:r>
    </w:p>
    <w:p w:rsidR="00887330" w:rsidRPr="00583E1A" w:rsidRDefault="00887330" w:rsidP="00887330">
      <w:pPr>
        <w:pStyle w:val="subsection"/>
      </w:pPr>
      <w:r w:rsidRPr="00583E1A">
        <w:tab/>
        <w:t>(2)</w:t>
      </w:r>
      <w:r w:rsidRPr="00583E1A">
        <w:tab/>
        <w:t>In making the determination, the Commissioner must have regard to the following:</w:t>
      </w:r>
    </w:p>
    <w:p w:rsidR="00887330" w:rsidRPr="00583E1A" w:rsidRDefault="00887330" w:rsidP="00887330">
      <w:pPr>
        <w:pStyle w:val="paragraph"/>
      </w:pPr>
      <w:r w:rsidRPr="00583E1A">
        <w:tab/>
        <w:t>(a)</w:t>
      </w:r>
      <w:r w:rsidRPr="00583E1A">
        <w:tab/>
        <w:t xml:space="preserve">the difference between the value of the </w:t>
      </w:r>
      <w:r w:rsidR="00583E1A" w:rsidRPr="00583E1A">
        <w:rPr>
          <w:position w:val="6"/>
          <w:sz w:val="16"/>
        </w:rPr>
        <w:t>*</w:t>
      </w:r>
      <w:r w:rsidRPr="00583E1A">
        <w:t xml:space="preserve">financial benefit received and the value of the financial benefit to be provided under the </w:t>
      </w:r>
      <w:r w:rsidR="00583E1A" w:rsidRPr="00583E1A">
        <w:rPr>
          <w:position w:val="6"/>
          <w:sz w:val="16"/>
        </w:rPr>
        <w:t>*</w:t>
      </w:r>
      <w:r w:rsidRPr="00583E1A">
        <w:t>effectively non</w:t>
      </w:r>
      <w:r w:rsidR="00583E1A">
        <w:noBreakHyphen/>
      </w:r>
      <w:r w:rsidRPr="00583E1A">
        <w:t>contingent obligation;</w:t>
      </w:r>
    </w:p>
    <w:p w:rsidR="00887330" w:rsidRPr="00583E1A" w:rsidRDefault="00887330" w:rsidP="00887330">
      <w:pPr>
        <w:pStyle w:val="paragraph"/>
      </w:pPr>
      <w:r w:rsidRPr="00583E1A">
        <w:tab/>
        <w:t>(b)</w:t>
      </w:r>
      <w:r w:rsidRPr="00583E1A">
        <w:tab/>
        <w:t xml:space="preserve">the degree of likelihood of other financial benefits being provided under the </w:t>
      </w:r>
      <w:r w:rsidR="00583E1A" w:rsidRPr="00583E1A">
        <w:rPr>
          <w:position w:val="6"/>
          <w:sz w:val="16"/>
        </w:rPr>
        <w:t>*</w:t>
      </w:r>
      <w:r w:rsidRPr="00583E1A">
        <w:t>scheme;</w:t>
      </w:r>
    </w:p>
    <w:p w:rsidR="00887330" w:rsidRPr="00583E1A" w:rsidRDefault="00887330" w:rsidP="00887330">
      <w:pPr>
        <w:pStyle w:val="paragraph"/>
      </w:pPr>
      <w:r w:rsidRPr="00583E1A">
        <w:tab/>
        <w:t>(c)</w:t>
      </w:r>
      <w:r w:rsidRPr="00583E1A">
        <w:tab/>
        <w:t xml:space="preserve">the degree of likelihood of the sum of the value of the financial benefits mentioned in </w:t>
      </w:r>
      <w:r w:rsidR="00583E1A">
        <w:t>subparagraphs (</w:t>
      </w:r>
      <w:r w:rsidRPr="00583E1A">
        <w:t>1)(b)(i) and (ii) being equal to or greater than the value of the financial benefit received under the scheme;</w:t>
      </w:r>
    </w:p>
    <w:p w:rsidR="00887330" w:rsidRPr="00583E1A" w:rsidRDefault="00887330" w:rsidP="00887330">
      <w:pPr>
        <w:pStyle w:val="paragraph"/>
      </w:pPr>
      <w:r w:rsidRPr="00583E1A">
        <w:tab/>
        <w:t>(d)</w:t>
      </w:r>
      <w:r w:rsidRPr="00583E1A">
        <w:tab/>
        <w:t>the particular circumstances surrounding the scheme (including circumstances of the parties to the scheme and their purposes for entering into the scheme).</w:t>
      </w:r>
    </w:p>
    <w:p w:rsidR="00887330" w:rsidRPr="00583E1A" w:rsidRDefault="00887330" w:rsidP="00887330">
      <w:pPr>
        <w:pStyle w:val="subsection"/>
      </w:pPr>
      <w:r w:rsidRPr="00583E1A">
        <w:tab/>
        <w:t>(3)</w:t>
      </w:r>
      <w:r w:rsidRPr="00583E1A">
        <w:tab/>
        <w:t xml:space="preserve">If the Commissioner determines under this section that a </w:t>
      </w:r>
      <w:r w:rsidR="00583E1A" w:rsidRPr="00583E1A">
        <w:rPr>
          <w:position w:val="6"/>
          <w:sz w:val="16"/>
        </w:rPr>
        <w:t>*</w:t>
      </w:r>
      <w:r w:rsidRPr="00583E1A">
        <w:t xml:space="preserve">scheme gives rise to a </w:t>
      </w:r>
      <w:r w:rsidR="00583E1A" w:rsidRPr="00583E1A">
        <w:rPr>
          <w:position w:val="6"/>
          <w:sz w:val="16"/>
        </w:rPr>
        <w:t>*</w:t>
      </w:r>
      <w:r w:rsidRPr="00583E1A">
        <w:t>debt interest, the scheme has that effect for all purposes of this Division.</w:t>
      </w:r>
    </w:p>
    <w:p w:rsidR="00887330" w:rsidRPr="00583E1A" w:rsidRDefault="00887330" w:rsidP="00887330">
      <w:pPr>
        <w:pStyle w:val="ActHead4"/>
      </w:pPr>
      <w:bookmarkStart w:id="593" w:name="_Toc338939667"/>
      <w:r w:rsidRPr="00583E1A">
        <w:rPr>
          <w:rStyle w:val="CharSubdNo"/>
        </w:rPr>
        <w:t>Subdivision</w:t>
      </w:r>
      <w:r w:rsidR="00583E1A">
        <w:rPr>
          <w:rStyle w:val="CharSubdNo"/>
        </w:rPr>
        <w:t> </w:t>
      </w:r>
      <w:r w:rsidRPr="00583E1A">
        <w:rPr>
          <w:rStyle w:val="CharSubdNo"/>
        </w:rPr>
        <w:t>974</w:t>
      </w:r>
      <w:r w:rsidR="00583E1A">
        <w:rPr>
          <w:rStyle w:val="CharSubdNo"/>
        </w:rPr>
        <w:noBreakHyphen/>
      </w:r>
      <w:r w:rsidRPr="00583E1A">
        <w:rPr>
          <w:rStyle w:val="CharSubdNo"/>
        </w:rPr>
        <w:t>C</w:t>
      </w:r>
      <w:r w:rsidRPr="00583E1A">
        <w:t>—</w:t>
      </w:r>
      <w:r w:rsidRPr="00583E1A">
        <w:rPr>
          <w:rStyle w:val="CharSubdText"/>
        </w:rPr>
        <w:t>Equity interests in companies</w:t>
      </w:r>
      <w:bookmarkEnd w:id="593"/>
    </w:p>
    <w:p w:rsidR="00887330" w:rsidRPr="00583E1A" w:rsidRDefault="00887330" w:rsidP="00887330">
      <w:pPr>
        <w:pStyle w:val="TofSectsHeading"/>
      </w:pPr>
      <w:r w:rsidRPr="00583E1A">
        <w:t>Table of sections</w:t>
      </w:r>
    </w:p>
    <w:p w:rsidR="00887330" w:rsidRPr="00583E1A" w:rsidRDefault="00887330" w:rsidP="00887330">
      <w:pPr>
        <w:pStyle w:val="TofSectsSection"/>
      </w:pPr>
      <w:r w:rsidRPr="00583E1A">
        <w:t>974</w:t>
      </w:r>
      <w:r w:rsidR="00583E1A">
        <w:noBreakHyphen/>
      </w:r>
      <w:r w:rsidRPr="00583E1A">
        <w:t>70</w:t>
      </w:r>
      <w:r w:rsidRPr="00583E1A">
        <w:tab/>
        <w:t xml:space="preserve">Meaning of </w:t>
      </w:r>
      <w:r w:rsidRPr="00583E1A">
        <w:rPr>
          <w:i/>
        </w:rPr>
        <w:t>equity interest</w:t>
      </w:r>
      <w:r w:rsidRPr="00583E1A">
        <w:t xml:space="preserve"> in a company</w:t>
      </w:r>
    </w:p>
    <w:p w:rsidR="00887330" w:rsidRPr="00583E1A" w:rsidRDefault="00887330" w:rsidP="00887330">
      <w:pPr>
        <w:pStyle w:val="TofSectsSection"/>
      </w:pPr>
      <w:r w:rsidRPr="00583E1A">
        <w:t>974</w:t>
      </w:r>
      <w:r w:rsidR="00583E1A">
        <w:noBreakHyphen/>
      </w:r>
      <w:r w:rsidRPr="00583E1A">
        <w:t>75</w:t>
      </w:r>
      <w:r w:rsidRPr="00583E1A">
        <w:tab/>
        <w:t>The test for an equity interest</w:t>
      </w:r>
    </w:p>
    <w:p w:rsidR="00887330" w:rsidRPr="00583E1A" w:rsidRDefault="00887330" w:rsidP="00887330">
      <w:pPr>
        <w:pStyle w:val="TofSectsSection"/>
      </w:pPr>
      <w:r w:rsidRPr="00583E1A">
        <w:t>974</w:t>
      </w:r>
      <w:r w:rsidR="00583E1A">
        <w:noBreakHyphen/>
      </w:r>
      <w:r w:rsidRPr="00583E1A">
        <w:t>80</w:t>
      </w:r>
      <w:r w:rsidRPr="00583E1A">
        <w:tab/>
        <w:t>Equity interest arising from arrangement funding return through connected entities</w:t>
      </w:r>
    </w:p>
    <w:p w:rsidR="00887330" w:rsidRPr="00583E1A" w:rsidRDefault="00887330" w:rsidP="00887330">
      <w:pPr>
        <w:pStyle w:val="TofSectsSection"/>
      </w:pPr>
      <w:r w:rsidRPr="00583E1A">
        <w:t>974</w:t>
      </w:r>
      <w:r w:rsidR="00583E1A">
        <w:noBreakHyphen/>
      </w:r>
      <w:r w:rsidRPr="00583E1A">
        <w:t>85</w:t>
      </w:r>
      <w:r w:rsidRPr="00583E1A">
        <w:tab/>
        <w:t>Right or return contingent on economic performance</w:t>
      </w:r>
    </w:p>
    <w:p w:rsidR="00887330" w:rsidRPr="00583E1A" w:rsidRDefault="00887330" w:rsidP="00887330">
      <w:pPr>
        <w:pStyle w:val="TofSectsSection"/>
      </w:pPr>
      <w:r w:rsidRPr="00583E1A">
        <w:t>974</w:t>
      </w:r>
      <w:r w:rsidR="00583E1A">
        <w:noBreakHyphen/>
      </w:r>
      <w:r w:rsidRPr="00583E1A">
        <w:t>90</w:t>
      </w:r>
      <w:r w:rsidRPr="00583E1A">
        <w:tab/>
        <w:t>Right or return at discretion of company or connected entity</w:t>
      </w:r>
    </w:p>
    <w:p w:rsidR="00887330" w:rsidRPr="00583E1A" w:rsidRDefault="00887330" w:rsidP="00887330">
      <w:pPr>
        <w:pStyle w:val="TofSectsSection"/>
      </w:pPr>
      <w:r w:rsidRPr="00583E1A">
        <w:t>974</w:t>
      </w:r>
      <w:r w:rsidR="00583E1A">
        <w:noBreakHyphen/>
      </w:r>
      <w:r w:rsidRPr="00583E1A">
        <w:t>95</w:t>
      </w:r>
      <w:r w:rsidRPr="00583E1A">
        <w:tab/>
        <w:t>The equity interest</w:t>
      </w:r>
    </w:p>
    <w:p w:rsidR="00887330" w:rsidRPr="00583E1A" w:rsidRDefault="00887330" w:rsidP="00887330">
      <w:pPr>
        <w:pStyle w:val="ActHead5"/>
      </w:pPr>
      <w:bookmarkStart w:id="594" w:name="_Toc338939668"/>
      <w:r w:rsidRPr="00583E1A">
        <w:rPr>
          <w:rStyle w:val="CharSectno"/>
        </w:rPr>
        <w:lastRenderedPageBreak/>
        <w:t>974</w:t>
      </w:r>
      <w:r w:rsidR="00583E1A">
        <w:rPr>
          <w:rStyle w:val="CharSectno"/>
        </w:rPr>
        <w:noBreakHyphen/>
      </w:r>
      <w:r w:rsidRPr="00583E1A">
        <w:rPr>
          <w:rStyle w:val="CharSectno"/>
        </w:rPr>
        <w:t>70</w:t>
      </w:r>
      <w:r w:rsidRPr="00583E1A">
        <w:t xml:space="preserve">  Meaning of </w:t>
      </w:r>
      <w:r w:rsidRPr="00583E1A">
        <w:rPr>
          <w:i/>
        </w:rPr>
        <w:t>equity interest</w:t>
      </w:r>
      <w:r w:rsidRPr="00583E1A">
        <w:t xml:space="preserve"> in a company</w:t>
      </w:r>
      <w:bookmarkEnd w:id="594"/>
    </w:p>
    <w:p w:rsidR="00887330" w:rsidRPr="00583E1A" w:rsidRDefault="00887330" w:rsidP="00887330">
      <w:pPr>
        <w:pStyle w:val="SubsectionHead"/>
      </w:pPr>
      <w:r w:rsidRPr="00583E1A">
        <w:t>Scheme giving rise to equity interest</w:t>
      </w:r>
    </w:p>
    <w:p w:rsidR="00887330" w:rsidRPr="00583E1A" w:rsidRDefault="00887330" w:rsidP="00887330">
      <w:pPr>
        <w:pStyle w:val="subsection"/>
      </w:pPr>
      <w:r w:rsidRPr="00583E1A">
        <w:tab/>
        <w:t>(1)</w:t>
      </w:r>
      <w:r w:rsidRPr="00583E1A">
        <w:tab/>
        <w:t xml:space="preserve">A </w:t>
      </w:r>
      <w:r w:rsidR="00583E1A" w:rsidRPr="00583E1A">
        <w:rPr>
          <w:position w:val="6"/>
          <w:sz w:val="16"/>
        </w:rPr>
        <w:t>*</w:t>
      </w:r>
      <w:r w:rsidRPr="00583E1A">
        <w:t xml:space="preserve">scheme gives rise to an </w:t>
      </w:r>
      <w:r w:rsidRPr="00583E1A">
        <w:rPr>
          <w:b/>
          <w:i/>
        </w:rPr>
        <w:t xml:space="preserve">equity interest </w:t>
      </w:r>
      <w:r w:rsidRPr="00583E1A">
        <w:t>in a company if, when the scheme comes into existence:</w:t>
      </w:r>
    </w:p>
    <w:p w:rsidR="00887330" w:rsidRPr="00583E1A" w:rsidRDefault="00887330" w:rsidP="00887330">
      <w:pPr>
        <w:pStyle w:val="paragraph"/>
      </w:pPr>
      <w:r w:rsidRPr="00583E1A">
        <w:tab/>
        <w:t>(a)</w:t>
      </w:r>
      <w:r w:rsidRPr="00583E1A">
        <w:tab/>
        <w:t>the scheme satisfies the equity test in subsection 974</w:t>
      </w:r>
      <w:r w:rsidR="00583E1A">
        <w:noBreakHyphen/>
      </w:r>
      <w:r w:rsidRPr="00583E1A">
        <w:t>75(1) in relation to the company because of the existence of an interest; and</w:t>
      </w:r>
    </w:p>
    <w:p w:rsidR="00887330" w:rsidRPr="00583E1A" w:rsidRDefault="00887330" w:rsidP="00887330">
      <w:pPr>
        <w:pStyle w:val="paragraph"/>
      </w:pPr>
      <w:r w:rsidRPr="00583E1A">
        <w:tab/>
        <w:t>(b)</w:t>
      </w:r>
      <w:r w:rsidRPr="00583E1A">
        <w:tab/>
        <w:t xml:space="preserve">the interest is not characterised as, and does not form part of a larger interest that is characterised as, a </w:t>
      </w:r>
      <w:r w:rsidR="00583E1A" w:rsidRPr="00583E1A">
        <w:rPr>
          <w:position w:val="6"/>
          <w:sz w:val="16"/>
        </w:rPr>
        <w:t>*</w:t>
      </w:r>
      <w:r w:rsidRPr="00583E1A">
        <w:t xml:space="preserve">debt interest in the company, or a </w:t>
      </w:r>
      <w:r w:rsidR="00583E1A" w:rsidRPr="00583E1A">
        <w:rPr>
          <w:position w:val="6"/>
          <w:sz w:val="16"/>
        </w:rPr>
        <w:t>*</w:t>
      </w:r>
      <w:r w:rsidRPr="00583E1A">
        <w:t>connected entity of the company, under Subdivision</w:t>
      </w:r>
      <w:r w:rsidR="00583E1A">
        <w:t> </w:t>
      </w:r>
      <w:r w:rsidRPr="00583E1A">
        <w:t>974</w:t>
      </w:r>
      <w:r w:rsidR="00583E1A">
        <w:noBreakHyphen/>
      </w:r>
      <w:r w:rsidRPr="00583E1A">
        <w:t>B.</w:t>
      </w:r>
    </w:p>
    <w:p w:rsidR="00887330" w:rsidRPr="00583E1A" w:rsidRDefault="00887330" w:rsidP="00887330">
      <w:pPr>
        <w:pStyle w:val="notetext"/>
      </w:pPr>
      <w:r w:rsidRPr="00583E1A">
        <w:t>Note 1:</w:t>
      </w:r>
      <w:r w:rsidRPr="00583E1A">
        <w:tab/>
        <w:t xml:space="preserve">An equity interest can also arise under </w:t>
      </w:r>
      <w:r w:rsidR="00583E1A">
        <w:t>subsection (</w:t>
      </w:r>
      <w:r w:rsidRPr="00583E1A">
        <w:t xml:space="preserve">2) if a notional scheme with the combined effect of a number of related schemes would give rise to an equity interest under this subsection. To do this, the notional scheme would need to satisfy </w:t>
      </w:r>
      <w:r w:rsidR="00583E1A">
        <w:t>paragraph (</w:t>
      </w:r>
      <w:r w:rsidRPr="00583E1A">
        <w:t>b). This means that the related schemes will not give rise to an equity interest if the notional scheme would be characterised as (or form part of a larger interest that would be characterised as) a debt interest in the company or a connected entity.</w:t>
      </w:r>
    </w:p>
    <w:p w:rsidR="00887330" w:rsidRPr="00583E1A" w:rsidRDefault="00887330" w:rsidP="00887330">
      <w:pPr>
        <w:pStyle w:val="notetext"/>
      </w:pPr>
      <w:r w:rsidRPr="00583E1A">
        <w:t>Note 2:</w:t>
      </w:r>
      <w:r w:rsidRPr="00583E1A">
        <w:tab/>
        <w:t>An equity interest can also arise under section</w:t>
      </w:r>
      <w:r w:rsidR="00583E1A">
        <w:t> </w:t>
      </w:r>
      <w:r w:rsidRPr="00583E1A">
        <w:t>974</w:t>
      </w:r>
      <w:r w:rsidR="00583E1A">
        <w:noBreakHyphen/>
      </w:r>
      <w:r w:rsidRPr="00583E1A">
        <w:t>80 (arrangements for funding return through connected entities).</w:t>
      </w:r>
    </w:p>
    <w:p w:rsidR="00887330" w:rsidRPr="00583E1A" w:rsidRDefault="00887330" w:rsidP="00887330">
      <w:pPr>
        <w:pStyle w:val="notetext"/>
      </w:pPr>
      <w:r w:rsidRPr="00583E1A">
        <w:t>Note 3:</w:t>
      </w:r>
      <w:r w:rsidRPr="00583E1A">
        <w:tab/>
        <w:t>Section</w:t>
      </w:r>
      <w:r w:rsidR="00583E1A">
        <w:t> </w:t>
      </w:r>
      <w:r w:rsidRPr="00583E1A">
        <w:t>974</w:t>
      </w:r>
      <w:r w:rsidR="00583E1A">
        <w:noBreakHyphen/>
      </w:r>
      <w:r w:rsidRPr="00583E1A">
        <w:t>95 defines various aspects of the equity interest that arises.</w:t>
      </w:r>
    </w:p>
    <w:p w:rsidR="00887330" w:rsidRPr="00583E1A" w:rsidRDefault="00887330" w:rsidP="00887330">
      <w:pPr>
        <w:pStyle w:val="SubsectionHead"/>
      </w:pPr>
      <w:r w:rsidRPr="00583E1A">
        <w:t>Related schemes giving rise to equity interest</w:t>
      </w:r>
    </w:p>
    <w:p w:rsidR="00887330" w:rsidRPr="00583E1A" w:rsidRDefault="00887330" w:rsidP="00887330">
      <w:pPr>
        <w:pStyle w:val="subsection"/>
      </w:pPr>
      <w:r w:rsidRPr="00583E1A">
        <w:tab/>
        <w:t>(2)</w:t>
      </w:r>
      <w:r w:rsidRPr="00583E1A">
        <w:tab/>
        <w:t xml:space="preserve">Two or more </w:t>
      </w:r>
      <w:r w:rsidR="00583E1A" w:rsidRPr="00583E1A">
        <w:rPr>
          <w:position w:val="6"/>
          <w:sz w:val="16"/>
        </w:rPr>
        <w:t>*</w:t>
      </w:r>
      <w:r w:rsidRPr="00583E1A">
        <w:t xml:space="preserve">related schemes (the </w:t>
      </w:r>
      <w:r w:rsidRPr="00583E1A">
        <w:rPr>
          <w:b/>
          <w:i/>
        </w:rPr>
        <w:t>constituent schemes</w:t>
      </w:r>
      <w:r w:rsidRPr="00583E1A">
        <w:t xml:space="preserve">) are taken together to give rise to an </w:t>
      </w:r>
      <w:r w:rsidRPr="00583E1A">
        <w:rPr>
          <w:b/>
          <w:i/>
        </w:rPr>
        <w:t>equity interest</w:t>
      </w:r>
      <w:r w:rsidRPr="00583E1A">
        <w:t xml:space="preserve"> in a company if:</w:t>
      </w:r>
    </w:p>
    <w:p w:rsidR="00887330" w:rsidRPr="00583E1A" w:rsidRDefault="00887330" w:rsidP="00887330">
      <w:pPr>
        <w:pStyle w:val="paragraph"/>
      </w:pPr>
      <w:r w:rsidRPr="00583E1A">
        <w:tab/>
        <w:t>(a)</w:t>
      </w:r>
      <w:r w:rsidRPr="00583E1A">
        <w:tab/>
        <w:t>the company enters into, participates in or causes another entity to enter into or participate in the constituent schemes; and</w:t>
      </w:r>
    </w:p>
    <w:p w:rsidR="00887330" w:rsidRPr="00583E1A" w:rsidRDefault="00887330" w:rsidP="00887330">
      <w:pPr>
        <w:pStyle w:val="paragraph"/>
      </w:pPr>
      <w:r w:rsidRPr="00583E1A">
        <w:tab/>
        <w:t>(b)</w:t>
      </w:r>
      <w:r w:rsidRPr="00583E1A">
        <w:tab/>
        <w:t xml:space="preserve">a scheme with the combined effect or operation of the constituent schemes (the </w:t>
      </w:r>
      <w:r w:rsidRPr="00583E1A">
        <w:rPr>
          <w:b/>
          <w:i/>
        </w:rPr>
        <w:t>notional scheme</w:t>
      </w:r>
      <w:r w:rsidRPr="00583E1A">
        <w:t xml:space="preserve">) would give rise to an </w:t>
      </w:r>
      <w:r w:rsidR="00583E1A" w:rsidRPr="00583E1A">
        <w:rPr>
          <w:position w:val="6"/>
          <w:sz w:val="16"/>
        </w:rPr>
        <w:t>*</w:t>
      </w:r>
      <w:r w:rsidRPr="00583E1A">
        <w:t xml:space="preserve">equity interest in the company under </w:t>
      </w:r>
      <w:r w:rsidR="00583E1A">
        <w:t>subsection (</w:t>
      </w:r>
      <w:r w:rsidRPr="00583E1A">
        <w:t>1) if the notional scheme came into existence when the last of the constituent schemes came into existence; and</w:t>
      </w:r>
    </w:p>
    <w:p w:rsidR="00887330" w:rsidRPr="00583E1A" w:rsidRDefault="00887330" w:rsidP="00887330">
      <w:pPr>
        <w:pStyle w:val="paragraph"/>
      </w:pPr>
      <w:r w:rsidRPr="00583E1A">
        <w:tab/>
        <w:t>(c)</w:t>
      </w:r>
      <w:r w:rsidRPr="00583E1A">
        <w:tab/>
        <w:t xml:space="preserve">it is reasonable to conclude that the company intended, or knew that a party to the scheme or one of the schemes intended, the combined economic effects of the constituent </w:t>
      </w:r>
      <w:r w:rsidRPr="00583E1A">
        <w:lastRenderedPageBreak/>
        <w:t>schemes to be the same as, or similar to, the economic effects of an equity interest.</w:t>
      </w:r>
    </w:p>
    <w:p w:rsidR="00887330" w:rsidRPr="00583E1A" w:rsidRDefault="00887330" w:rsidP="00887330">
      <w:pPr>
        <w:pStyle w:val="subsection2"/>
      </w:pPr>
      <w:r w:rsidRPr="00583E1A">
        <w:t>This is so whether or not the constituent schemes come into existence at the same time and even if none of the constituent schemes would individually give rise to that or any other equity interest.</w:t>
      </w:r>
    </w:p>
    <w:p w:rsidR="00887330" w:rsidRPr="00583E1A" w:rsidRDefault="00887330" w:rsidP="00887330">
      <w:pPr>
        <w:pStyle w:val="notetext"/>
      </w:pPr>
      <w:r w:rsidRPr="00583E1A">
        <w:t>Note:</w:t>
      </w:r>
      <w:r w:rsidRPr="00583E1A">
        <w:tab/>
        <w:t>Section</w:t>
      </w:r>
      <w:r w:rsidR="00583E1A">
        <w:t> </w:t>
      </w:r>
      <w:r w:rsidRPr="00583E1A">
        <w:t>974</w:t>
      </w:r>
      <w:r w:rsidR="00583E1A">
        <w:noBreakHyphen/>
      </w:r>
      <w:r w:rsidRPr="00583E1A">
        <w:t>105 explains the effect, for tax purposes, of actions taken under the schemes.</w:t>
      </w:r>
    </w:p>
    <w:p w:rsidR="00887330" w:rsidRPr="00583E1A" w:rsidRDefault="00887330" w:rsidP="00887330">
      <w:pPr>
        <w:pStyle w:val="subsection"/>
      </w:pPr>
      <w:r w:rsidRPr="00583E1A">
        <w:tab/>
        <w:t>(3)</w:t>
      </w:r>
      <w:r w:rsidRPr="00583E1A">
        <w:tab/>
      </w:r>
      <w:r w:rsidR="00583E1A">
        <w:t>Subsection (</w:t>
      </w:r>
      <w:r w:rsidRPr="00583E1A">
        <w:t xml:space="preserve">2) does not apply if each of the constituent </w:t>
      </w:r>
      <w:r w:rsidR="00583E1A" w:rsidRPr="00583E1A">
        <w:rPr>
          <w:position w:val="6"/>
          <w:sz w:val="16"/>
        </w:rPr>
        <w:t>*</w:t>
      </w:r>
      <w:r w:rsidRPr="00583E1A">
        <w:t xml:space="preserve">schemes individually gives rise to an </w:t>
      </w:r>
      <w:r w:rsidR="00583E1A" w:rsidRPr="00583E1A">
        <w:rPr>
          <w:position w:val="6"/>
          <w:sz w:val="16"/>
        </w:rPr>
        <w:t>*</w:t>
      </w:r>
      <w:r w:rsidRPr="00583E1A">
        <w:t>equity interest in the company.</w:t>
      </w:r>
    </w:p>
    <w:p w:rsidR="00887330" w:rsidRPr="00583E1A" w:rsidRDefault="00887330" w:rsidP="00887330">
      <w:pPr>
        <w:pStyle w:val="subsection"/>
      </w:pPr>
      <w:r w:rsidRPr="00583E1A">
        <w:tab/>
        <w:t>(4)</w:t>
      </w:r>
      <w:r w:rsidRPr="00583E1A">
        <w:tab/>
        <w:t xml:space="preserve">Two or more related </w:t>
      </w:r>
      <w:r w:rsidR="00583E1A" w:rsidRPr="00583E1A">
        <w:rPr>
          <w:position w:val="6"/>
          <w:sz w:val="16"/>
        </w:rPr>
        <w:t>*</w:t>
      </w:r>
      <w:r w:rsidRPr="00583E1A">
        <w:t xml:space="preserve">schemes do not give rise to an </w:t>
      </w:r>
      <w:r w:rsidR="00583E1A" w:rsidRPr="00583E1A">
        <w:rPr>
          <w:position w:val="6"/>
          <w:sz w:val="16"/>
        </w:rPr>
        <w:t>*</w:t>
      </w:r>
      <w:r w:rsidRPr="00583E1A">
        <w:t xml:space="preserve">equity interest in a company under </w:t>
      </w:r>
      <w:r w:rsidR="00583E1A">
        <w:t>subsection (</w:t>
      </w:r>
      <w:r w:rsidRPr="00583E1A">
        <w:t>2) if the Commissioner determines that it would be unreasonable to apply that subsection to those schemes.</w:t>
      </w:r>
    </w:p>
    <w:p w:rsidR="00887330" w:rsidRPr="00583E1A" w:rsidRDefault="00887330" w:rsidP="00887330">
      <w:pPr>
        <w:pStyle w:val="subsection"/>
      </w:pPr>
      <w:r w:rsidRPr="00583E1A">
        <w:tab/>
        <w:t>(5)</w:t>
      </w:r>
      <w:r w:rsidRPr="00583E1A">
        <w:tab/>
        <w:t>Without limiting subsection 974</w:t>
      </w:r>
      <w:r w:rsidR="00583E1A">
        <w:noBreakHyphen/>
      </w:r>
      <w:r w:rsidRPr="00583E1A">
        <w:t xml:space="preserve">10(5), the Commissioner must, in exercising the power to make a determination under </w:t>
      </w:r>
      <w:r w:rsidR="00583E1A">
        <w:t>subsection (</w:t>
      </w:r>
      <w:r w:rsidRPr="00583E1A">
        <w:t>4), have regard to the following:</w:t>
      </w:r>
    </w:p>
    <w:p w:rsidR="00887330" w:rsidRPr="00583E1A" w:rsidRDefault="00887330" w:rsidP="00887330">
      <w:pPr>
        <w:pStyle w:val="paragraph"/>
      </w:pPr>
      <w:r w:rsidRPr="00583E1A">
        <w:tab/>
        <w:t>(a)</w:t>
      </w:r>
      <w:r w:rsidRPr="00583E1A">
        <w:tab/>
        <w:t xml:space="preserve">the purpose of the </w:t>
      </w:r>
      <w:r w:rsidR="00583E1A" w:rsidRPr="00583E1A">
        <w:rPr>
          <w:position w:val="6"/>
          <w:sz w:val="16"/>
        </w:rPr>
        <w:t>*</w:t>
      </w:r>
      <w:r w:rsidRPr="00583E1A">
        <w:t>schemes (considered both individually and in combination);</w:t>
      </w:r>
    </w:p>
    <w:p w:rsidR="00887330" w:rsidRPr="00583E1A" w:rsidRDefault="00887330" w:rsidP="00887330">
      <w:pPr>
        <w:pStyle w:val="paragraph"/>
      </w:pPr>
      <w:r w:rsidRPr="00583E1A">
        <w:tab/>
        <w:t>(b)</w:t>
      </w:r>
      <w:r w:rsidRPr="00583E1A">
        <w:tab/>
        <w:t>the effects of the schemes (considered both individually and in combination);</w:t>
      </w:r>
    </w:p>
    <w:p w:rsidR="00887330" w:rsidRPr="00583E1A" w:rsidRDefault="00887330" w:rsidP="00887330">
      <w:pPr>
        <w:pStyle w:val="paragraph"/>
      </w:pPr>
      <w:r w:rsidRPr="00583E1A">
        <w:tab/>
        <w:t>(c)</w:t>
      </w:r>
      <w:r w:rsidRPr="00583E1A">
        <w:tab/>
        <w:t>the rights and obligations of the parties to the schemes (considered both individually and in combination);</w:t>
      </w:r>
    </w:p>
    <w:p w:rsidR="00887330" w:rsidRPr="00583E1A" w:rsidRDefault="00887330" w:rsidP="00887330">
      <w:pPr>
        <w:pStyle w:val="paragraph"/>
      </w:pPr>
      <w:r w:rsidRPr="00583E1A">
        <w:tab/>
        <w:t>(d)</w:t>
      </w:r>
      <w:r w:rsidRPr="00583E1A">
        <w:tab/>
        <w:t>whether the schemes (when considered either individually or in combination) provide the basis for, or underpin, an interest issued to investors with the expectation that the interest can be assigned to other investors;</w:t>
      </w:r>
    </w:p>
    <w:p w:rsidR="00887330" w:rsidRPr="00583E1A" w:rsidRDefault="00887330" w:rsidP="00887330">
      <w:pPr>
        <w:pStyle w:val="paragraph"/>
      </w:pPr>
      <w:r w:rsidRPr="00583E1A">
        <w:tab/>
        <w:t>(e)</w:t>
      </w:r>
      <w:r w:rsidRPr="00583E1A">
        <w:tab/>
        <w:t>whether the schemes (when considered either individually or in combination) comprise a set of rights and obligations issued to investors with the expectation that it can be assigned to other investors;</w:t>
      </w:r>
    </w:p>
    <w:p w:rsidR="00887330" w:rsidRPr="00583E1A" w:rsidRDefault="00887330" w:rsidP="00887330">
      <w:pPr>
        <w:pStyle w:val="paragraph"/>
      </w:pPr>
      <w:r w:rsidRPr="00583E1A">
        <w:tab/>
        <w:t>(f)</w:t>
      </w:r>
      <w:r w:rsidRPr="00583E1A">
        <w:tab/>
        <w:t>any other relevant circumstances.</w:t>
      </w:r>
    </w:p>
    <w:p w:rsidR="00887330" w:rsidRPr="00583E1A" w:rsidRDefault="00887330" w:rsidP="0021164C">
      <w:pPr>
        <w:pStyle w:val="ActHead5"/>
      </w:pPr>
      <w:bookmarkStart w:id="595" w:name="_Toc338939669"/>
      <w:r w:rsidRPr="00583E1A">
        <w:rPr>
          <w:rStyle w:val="CharSectno"/>
        </w:rPr>
        <w:lastRenderedPageBreak/>
        <w:t>974</w:t>
      </w:r>
      <w:r w:rsidR="00583E1A">
        <w:rPr>
          <w:rStyle w:val="CharSectno"/>
        </w:rPr>
        <w:noBreakHyphen/>
      </w:r>
      <w:r w:rsidRPr="00583E1A">
        <w:rPr>
          <w:rStyle w:val="CharSectno"/>
        </w:rPr>
        <w:t>75</w:t>
      </w:r>
      <w:r w:rsidRPr="00583E1A">
        <w:t xml:space="preserve">  The test for an equity interest</w:t>
      </w:r>
      <w:bookmarkEnd w:id="595"/>
    </w:p>
    <w:p w:rsidR="00887330" w:rsidRPr="00583E1A" w:rsidRDefault="00887330" w:rsidP="0021164C">
      <w:pPr>
        <w:pStyle w:val="SubsectionHead"/>
      </w:pPr>
      <w:r w:rsidRPr="00583E1A">
        <w:t>Basic test for equity interest</w:t>
      </w:r>
    </w:p>
    <w:p w:rsidR="00887330" w:rsidRPr="00583E1A" w:rsidRDefault="00887330" w:rsidP="0021164C">
      <w:pPr>
        <w:pStyle w:val="subsection"/>
        <w:keepNext/>
        <w:keepLines/>
      </w:pPr>
      <w:r w:rsidRPr="00583E1A">
        <w:tab/>
        <w:t>(1)</w:t>
      </w:r>
      <w:r w:rsidRPr="00583E1A">
        <w:tab/>
        <w:t xml:space="preserve">A </w:t>
      </w:r>
      <w:r w:rsidR="00583E1A" w:rsidRPr="00583E1A">
        <w:rPr>
          <w:position w:val="6"/>
          <w:sz w:val="16"/>
        </w:rPr>
        <w:t>*</w:t>
      </w:r>
      <w:r w:rsidRPr="00583E1A">
        <w:t>scheme satisfies the equity test in this subsection in relation to a company if it gives rise to an interest set out in the following table:</w:t>
      </w:r>
    </w:p>
    <w:p w:rsidR="00887330" w:rsidRPr="00583E1A" w:rsidRDefault="00887330" w:rsidP="0021164C">
      <w:pPr>
        <w:pStyle w:val="Tabletext"/>
        <w:keepNext/>
        <w:keepLines/>
      </w:pPr>
    </w:p>
    <w:tbl>
      <w:tblPr>
        <w:tblW w:w="0" w:type="auto"/>
        <w:tblInd w:w="1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709"/>
        <w:gridCol w:w="5268"/>
      </w:tblGrid>
      <w:tr w:rsidR="00887330" w:rsidRPr="00583E1A">
        <w:trPr>
          <w:cantSplit/>
          <w:tblHeader/>
        </w:trPr>
        <w:tc>
          <w:tcPr>
            <w:tcW w:w="5977" w:type="dxa"/>
            <w:gridSpan w:val="2"/>
            <w:tcBorders>
              <w:top w:val="single" w:sz="12" w:space="0" w:color="auto"/>
              <w:left w:val="nil"/>
              <w:bottom w:val="nil"/>
              <w:right w:val="nil"/>
            </w:tcBorders>
          </w:tcPr>
          <w:p w:rsidR="00887330" w:rsidRPr="00583E1A" w:rsidRDefault="00887330" w:rsidP="0021164C">
            <w:pPr>
              <w:pStyle w:val="Tabletext"/>
              <w:keepNext/>
              <w:keepLines/>
            </w:pPr>
            <w:r w:rsidRPr="00583E1A">
              <w:rPr>
                <w:b/>
              </w:rPr>
              <w:t>Equity interests</w:t>
            </w:r>
          </w:p>
        </w:tc>
      </w:tr>
      <w:tr w:rsidR="00887330" w:rsidRPr="00583E1A">
        <w:trPr>
          <w:cantSplit/>
          <w:tblHeader/>
        </w:trPr>
        <w:tc>
          <w:tcPr>
            <w:tcW w:w="709" w:type="dxa"/>
            <w:tcBorders>
              <w:top w:val="single" w:sz="6" w:space="0" w:color="auto"/>
              <w:left w:val="nil"/>
              <w:bottom w:val="single" w:sz="12" w:space="0" w:color="auto"/>
              <w:right w:val="nil"/>
            </w:tcBorders>
          </w:tcPr>
          <w:p w:rsidR="00887330" w:rsidRPr="00583E1A" w:rsidRDefault="00887330" w:rsidP="0021164C">
            <w:pPr>
              <w:pStyle w:val="Tabletext"/>
              <w:keepNext/>
              <w:keepLines/>
            </w:pPr>
            <w:r w:rsidRPr="00583E1A">
              <w:rPr>
                <w:b/>
              </w:rPr>
              <w:t>Item</w:t>
            </w:r>
          </w:p>
        </w:tc>
        <w:tc>
          <w:tcPr>
            <w:tcW w:w="5268" w:type="dxa"/>
            <w:tcBorders>
              <w:top w:val="single" w:sz="6" w:space="0" w:color="auto"/>
              <w:left w:val="nil"/>
              <w:bottom w:val="single" w:sz="12" w:space="0" w:color="auto"/>
              <w:right w:val="nil"/>
            </w:tcBorders>
          </w:tcPr>
          <w:p w:rsidR="00887330" w:rsidRPr="00583E1A" w:rsidRDefault="00887330" w:rsidP="0021164C">
            <w:pPr>
              <w:pStyle w:val="Tabletext"/>
              <w:keepNext/>
              <w:keepLines/>
            </w:pPr>
            <w:r w:rsidRPr="00583E1A">
              <w:rPr>
                <w:b/>
              </w:rPr>
              <w:t>Interest</w:t>
            </w:r>
          </w:p>
        </w:tc>
      </w:tr>
      <w:tr w:rsidR="00887330" w:rsidRPr="00583E1A">
        <w:trPr>
          <w:cantSplit/>
        </w:trPr>
        <w:tc>
          <w:tcPr>
            <w:tcW w:w="709" w:type="dxa"/>
            <w:tcBorders>
              <w:top w:val="single" w:sz="12" w:space="0" w:color="auto"/>
              <w:left w:val="nil"/>
              <w:bottom w:val="single" w:sz="2" w:space="0" w:color="auto"/>
              <w:right w:val="nil"/>
            </w:tcBorders>
            <w:shd w:val="clear" w:color="auto" w:fill="auto"/>
          </w:tcPr>
          <w:p w:rsidR="00887330" w:rsidRPr="00583E1A" w:rsidRDefault="00887330" w:rsidP="0021164C">
            <w:pPr>
              <w:pStyle w:val="Tabletext"/>
              <w:keepNext/>
              <w:keepLines/>
            </w:pPr>
            <w:r w:rsidRPr="00583E1A">
              <w:t>1</w:t>
            </w:r>
          </w:p>
        </w:tc>
        <w:tc>
          <w:tcPr>
            <w:tcW w:w="5268" w:type="dxa"/>
            <w:tcBorders>
              <w:top w:val="single" w:sz="12" w:space="0" w:color="auto"/>
              <w:left w:val="nil"/>
              <w:bottom w:val="single" w:sz="2" w:space="0" w:color="auto"/>
              <w:right w:val="nil"/>
            </w:tcBorders>
            <w:shd w:val="clear" w:color="auto" w:fill="auto"/>
          </w:tcPr>
          <w:p w:rsidR="00887330" w:rsidRPr="00583E1A" w:rsidRDefault="00887330" w:rsidP="0021164C">
            <w:pPr>
              <w:pStyle w:val="Tabletext"/>
              <w:keepNext/>
              <w:keepLines/>
            </w:pPr>
            <w:r w:rsidRPr="00583E1A">
              <w:t>An interest in the company as a member or stockholder of the company.</w:t>
            </w:r>
          </w:p>
        </w:tc>
      </w:tr>
      <w:tr w:rsidR="00887330" w:rsidRPr="00583E1A">
        <w:trPr>
          <w:cantSplit/>
        </w:trPr>
        <w:tc>
          <w:tcPr>
            <w:tcW w:w="709" w:type="dxa"/>
            <w:tcBorders>
              <w:top w:val="single" w:sz="2" w:space="0" w:color="auto"/>
              <w:left w:val="nil"/>
              <w:bottom w:val="single" w:sz="2" w:space="0" w:color="auto"/>
              <w:right w:val="nil"/>
            </w:tcBorders>
            <w:shd w:val="clear" w:color="auto" w:fill="auto"/>
          </w:tcPr>
          <w:p w:rsidR="00887330" w:rsidRPr="00583E1A" w:rsidRDefault="00887330" w:rsidP="0021164C">
            <w:pPr>
              <w:pStyle w:val="Tabletext"/>
              <w:keepNext/>
              <w:keepLines/>
            </w:pPr>
            <w:r w:rsidRPr="00583E1A">
              <w:t>2</w:t>
            </w:r>
          </w:p>
        </w:tc>
        <w:tc>
          <w:tcPr>
            <w:tcW w:w="5268" w:type="dxa"/>
            <w:tcBorders>
              <w:top w:val="single" w:sz="2" w:space="0" w:color="auto"/>
              <w:left w:val="nil"/>
              <w:bottom w:val="single" w:sz="2" w:space="0" w:color="auto"/>
              <w:right w:val="nil"/>
            </w:tcBorders>
            <w:shd w:val="clear" w:color="auto" w:fill="auto"/>
          </w:tcPr>
          <w:p w:rsidR="00887330" w:rsidRPr="00583E1A" w:rsidRDefault="00887330" w:rsidP="0021164C">
            <w:pPr>
              <w:pStyle w:val="Tabletext"/>
              <w:keepNext/>
              <w:keepLines/>
            </w:pPr>
            <w:r w:rsidRPr="00583E1A">
              <w:t xml:space="preserve">An interest that carries a right to a variable or fixed return from the company if either the right itself, or the amount of the return, is in substance or effect </w:t>
            </w:r>
            <w:r w:rsidR="00583E1A" w:rsidRPr="00583E1A">
              <w:rPr>
                <w:position w:val="6"/>
                <w:sz w:val="16"/>
              </w:rPr>
              <w:t>*</w:t>
            </w:r>
            <w:r w:rsidRPr="00583E1A">
              <w:t>contingent on the economic performance (whether past, current or future) of:</w:t>
            </w:r>
          </w:p>
          <w:p w:rsidR="00887330" w:rsidRPr="00583E1A" w:rsidRDefault="00887330" w:rsidP="0021164C">
            <w:pPr>
              <w:pStyle w:val="Tablea"/>
              <w:keepNext/>
              <w:keepLines/>
            </w:pPr>
            <w:r w:rsidRPr="00583E1A">
              <w:t>(a) the company; or</w:t>
            </w:r>
          </w:p>
          <w:p w:rsidR="00887330" w:rsidRPr="00583E1A" w:rsidRDefault="00887330" w:rsidP="0021164C">
            <w:pPr>
              <w:pStyle w:val="Tablea"/>
              <w:keepNext/>
              <w:keepLines/>
            </w:pPr>
            <w:r w:rsidRPr="00583E1A">
              <w:t>(b) a part of the company’s activities; or</w:t>
            </w:r>
          </w:p>
          <w:p w:rsidR="00887330" w:rsidRPr="00583E1A" w:rsidRDefault="00887330" w:rsidP="0021164C">
            <w:pPr>
              <w:pStyle w:val="Tablea"/>
              <w:keepNext/>
              <w:keepLines/>
            </w:pPr>
            <w:r w:rsidRPr="00583E1A">
              <w:t xml:space="preserve">(c) a </w:t>
            </w:r>
            <w:r w:rsidR="00583E1A" w:rsidRPr="00583E1A">
              <w:rPr>
                <w:position w:val="6"/>
                <w:sz w:val="16"/>
              </w:rPr>
              <w:t>*</w:t>
            </w:r>
            <w:r w:rsidRPr="00583E1A">
              <w:t>connected entity of the company or a part of the activities of a connected entity of the company.</w:t>
            </w:r>
          </w:p>
          <w:p w:rsidR="00887330" w:rsidRPr="00583E1A" w:rsidRDefault="00887330" w:rsidP="0021164C">
            <w:pPr>
              <w:pStyle w:val="Tabletext"/>
              <w:keepNext/>
              <w:keepLines/>
            </w:pPr>
            <w:r w:rsidRPr="00583E1A">
              <w:t>The return may be a return of an amount invested in the interest.</w:t>
            </w:r>
          </w:p>
        </w:tc>
      </w:tr>
      <w:tr w:rsidR="00887330" w:rsidRPr="00583E1A">
        <w:trPr>
          <w:cantSplit/>
        </w:trPr>
        <w:tc>
          <w:tcPr>
            <w:tcW w:w="709" w:type="dxa"/>
            <w:tcBorders>
              <w:top w:val="single" w:sz="2" w:space="0" w:color="auto"/>
              <w:left w:val="nil"/>
              <w:bottom w:val="single" w:sz="2" w:space="0" w:color="auto"/>
              <w:right w:val="nil"/>
            </w:tcBorders>
            <w:shd w:val="clear" w:color="auto" w:fill="auto"/>
          </w:tcPr>
          <w:p w:rsidR="00887330" w:rsidRPr="00583E1A" w:rsidRDefault="00887330" w:rsidP="00887330">
            <w:pPr>
              <w:pStyle w:val="Tabletext"/>
            </w:pPr>
            <w:r w:rsidRPr="00583E1A">
              <w:t>3</w:t>
            </w:r>
          </w:p>
        </w:tc>
        <w:tc>
          <w:tcPr>
            <w:tcW w:w="5268" w:type="dxa"/>
            <w:tcBorders>
              <w:top w:val="single" w:sz="2" w:space="0" w:color="auto"/>
              <w:left w:val="nil"/>
              <w:bottom w:val="single" w:sz="2" w:space="0" w:color="auto"/>
              <w:right w:val="nil"/>
            </w:tcBorders>
            <w:shd w:val="clear" w:color="auto" w:fill="auto"/>
          </w:tcPr>
          <w:p w:rsidR="00887330" w:rsidRPr="00583E1A" w:rsidRDefault="00887330" w:rsidP="00887330">
            <w:pPr>
              <w:pStyle w:val="Tabletext"/>
            </w:pPr>
            <w:r w:rsidRPr="00583E1A">
              <w:t>An interest that carries a right to a variable or fixed return from the company if either the right itself, or the amount of the return, is at the discretion of:</w:t>
            </w:r>
          </w:p>
          <w:p w:rsidR="00887330" w:rsidRPr="00583E1A" w:rsidRDefault="00887330" w:rsidP="00887330">
            <w:pPr>
              <w:pStyle w:val="Tablea"/>
            </w:pPr>
            <w:r w:rsidRPr="00583E1A">
              <w:t>(a) the company; or</w:t>
            </w:r>
          </w:p>
          <w:p w:rsidR="00887330" w:rsidRPr="00583E1A" w:rsidRDefault="00887330" w:rsidP="00887330">
            <w:pPr>
              <w:pStyle w:val="Tablea"/>
            </w:pPr>
            <w:r w:rsidRPr="00583E1A">
              <w:t xml:space="preserve">(b) a </w:t>
            </w:r>
            <w:r w:rsidR="00583E1A" w:rsidRPr="00583E1A">
              <w:rPr>
                <w:position w:val="6"/>
                <w:sz w:val="16"/>
              </w:rPr>
              <w:t>*</w:t>
            </w:r>
            <w:r w:rsidRPr="00583E1A">
              <w:t>connected entity of the company.</w:t>
            </w:r>
          </w:p>
          <w:p w:rsidR="00887330" w:rsidRPr="00583E1A" w:rsidRDefault="00887330" w:rsidP="00887330">
            <w:pPr>
              <w:pStyle w:val="Tabletext"/>
            </w:pPr>
            <w:r w:rsidRPr="00583E1A">
              <w:t>The return may be a return of an amount invested in the interest.</w:t>
            </w:r>
          </w:p>
        </w:tc>
      </w:tr>
      <w:tr w:rsidR="00887330" w:rsidRPr="00583E1A">
        <w:trPr>
          <w:cantSplit/>
        </w:trPr>
        <w:tc>
          <w:tcPr>
            <w:tcW w:w="709" w:type="dxa"/>
            <w:tcBorders>
              <w:top w:val="single" w:sz="2" w:space="0" w:color="auto"/>
              <w:left w:val="nil"/>
              <w:bottom w:val="single" w:sz="12" w:space="0" w:color="auto"/>
              <w:right w:val="nil"/>
            </w:tcBorders>
          </w:tcPr>
          <w:p w:rsidR="00887330" w:rsidRPr="00583E1A" w:rsidRDefault="00887330" w:rsidP="00887330">
            <w:pPr>
              <w:pStyle w:val="Tabletext"/>
            </w:pPr>
            <w:r w:rsidRPr="00583E1A">
              <w:t>4</w:t>
            </w:r>
          </w:p>
        </w:tc>
        <w:tc>
          <w:tcPr>
            <w:tcW w:w="5268" w:type="dxa"/>
            <w:tcBorders>
              <w:top w:val="single" w:sz="2" w:space="0" w:color="auto"/>
              <w:left w:val="nil"/>
              <w:bottom w:val="single" w:sz="12" w:space="0" w:color="auto"/>
              <w:right w:val="nil"/>
            </w:tcBorders>
          </w:tcPr>
          <w:p w:rsidR="00887330" w:rsidRPr="00583E1A" w:rsidRDefault="00887330" w:rsidP="00887330">
            <w:pPr>
              <w:pStyle w:val="Tabletext"/>
            </w:pPr>
            <w:r w:rsidRPr="00583E1A">
              <w:t>An interest issued by the company that:</w:t>
            </w:r>
          </w:p>
          <w:p w:rsidR="00887330" w:rsidRPr="00583E1A" w:rsidRDefault="00887330" w:rsidP="00887330">
            <w:pPr>
              <w:pStyle w:val="Tablea"/>
            </w:pPr>
            <w:r w:rsidRPr="00583E1A">
              <w:t xml:space="preserve">(a) gives its holder (or a </w:t>
            </w:r>
            <w:r w:rsidR="00583E1A" w:rsidRPr="00583E1A">
              <w:rPr>
                <w:position w:val="6"/>
                <w:sz w:val="16"/>
              </w:rPr>
              <w:t>*</w:t>
            </w:r>
            <w:r w:rsidRPr="00583E1A">
              <w:t xml:space="preserve">connected entity of the holder) a right to be issued with an </w:t>
            </w:r>
            <w:r w:rsidR="00583E1A" w:rsidRPr="00583E1A">
              <w:rPr>
                <w:position w:val="6"/>
                <w:sz w:val="16"/>
              </w:rPr>
              <w:t>*</w:t>
            </w:r>
            <w:r w:rsidRPr="00583E1A">
              <w:t xml:space="preserve">equity interest in the company or a </w:t>
            </w:r>
            <w:r w:rsidR="00583E1A" w:rsidRPr="00583E1A">
              <w:rPr>
                <w:position w:val="6"/>
                <w:sz w:val="16"/>
              </w:rPr>
              <w:t>*</w:t>
            </w:r>
            <w:r w:rsidRPr="00583E1A">
              <w:t>connected entity of the company; or</w:t>
            </w:r>
          </w:p>
          <w:p w:rsidR="00887330" w:rsidRPr="00583E1A" w:rsidRDefault="00887330" w:rsidP="00887330">
            <w:pPr>
              <w:pStyle w:val="Tablea"/>
            </w:pPr>
            <w:r w:rsidRPr="00583E1A">
              <w:t xml:space="preserve">(b) is an </w:t>
            </w:r>
            <w:r w:rsidR="00583E1A" w:rsidRPr="00583E1A">
              <w:rPr>
                <w:position w:val="6"/>
                <w:sz w:val="16"/>
              </w:rPr>
              <w:t>*</w:t>
            </w:r>
            <w:r w:rsidRPr="00583E1A">
              <w:t>interest that will, or may, convert into an equity interest in the company or a connected entity of the company.</w:t>
            </w:r>
          </w:p>
        </w:tc>
      </w:tr>
    </w:tbl>
    <w:p w:rsidR="00887330" w:rsidRPr="00583E1A" w:rsidRDefault="00887330" w:rsidP="00887330">
      <w:pPr>
        <w:pStyle w:val="subsection"/>
        <w:keepNext/>
      </w:pPr>
      <w:r w:rsidRPr="00583E1A">
        <w:lastRenderedPageBreak/>
        <w:tab/>
      </w:r>
      <w:r w:rsidRPr="00583E1A">
        <w:tab/>
        <w:t xml:space="preserve">This subsection has effect subject to </w:t>
      </w:r>
      <w:r w:rsidR="00583E1A">
        <w:t>subsection (</w:t>
      </w:r>
      <w:r w:rsidRPr="00583E1A">
        <w:t>2) (requirement for financing arrangement).</w:t>
      </w:r>
    </w:p>
    <w:p w:rsidR="00887330" w:rsidRPr="00583E1A" w:rsidRDefault="00887330" w:rsidP="00887330">
      <w:pPr>
        <w:pStyle w:val="notetext"/>
      </w:pPr>
      <w:r w:rsidRPr="00583E1A">
        <w:t>Note:</w:t>
      </w:r>
      <w:r w:rsidRPr="00583E1A">
        <w:tab/>
        <w:t>Section</w:t>
      </w:r>
      <w:r w:rsidR="00583E1A">
        <w:t> </w:t>
      </w:r>
      <w:r w:rsidRPr="00583E1A">
        <w:t>974</w:t>
      </w:r>
      <w:r w:rsidR="00583E1A">
        <w:noBreakHyphen/>
      </w:r>
      <w:r w:rsidRPr="00583E1A">
        <w:t>90 allows regulations to be made clarifying when a right or return is taken to be at discretion of a company or connected entity.</w:t>
      </w:r>
    </w:p>
    <w:p w:rsidR="00887330" w:rsidRPr="00583E1A" w:rsidRDefault="00887330" w:rsidP="00887330">
      <w:pPr>
        <w:pStyle w:val="SubsectionHead"/>
      </w:pPr>
      <w:r w:rsidRPr="00583E1A">
        <w:t>Financing arrangement</w:t>
      </w:r>
    </w:p>
    <w:p w:rsidR="00887330" w:rsidRPr="00583E1A" w:rsidRDefault="00887330" w:rsidP="00887330">
      <w:pPr>
        <w:pStyle w:val="subsection"/>
      </w:pPr>
      <w:r w:rsidRPr="00583E1A">
        <w:tab/>
        <w:t>(2)</w:t>
      </w:r>
      <w:r w:rsidRPr="00583E1A">
        <w:tab/>
        <w:t xml:space="preserve">A </w:t>
      </w:r>
      <w:r w:rsidR="00583E1A" w:rsidRPr="00583E1A">
        <w:rPr>
          <w:position w:val="6"/>
          <w:sz w:val="16"/>
        </w:rPr>
        <w:t>*</w:t>
      </w:r>
      <w:r w:rsidRPr="00583E1A">
        <w:t xml:space="preserve">scheme that would otherwise give rise to an </w:t>
      </w:r>
      <w:r w:rsidR="00583E1A" w:rsidRPr="00583E1A">
        <w:rPr>
          <w:position w:val="6"/>
          <w:sz w:val="16"/>
        </w:rPr>
        <w:t>*</w:t>
      </w:r>
      <w:r w:rsidRPr="00583E1A">
        <w:t xml:space="preserve">equity interest in a company because of an item in the table in </w:t>
      </w:r>
      <w:r w:rsidR="00583E1A">
        <w:t>subsection (</w:t>
      </w:r>
      <w:r w:rsidRPr="00583E1A">
        <w:t>1) (other than item</w:t>
      </w:r>
      <w:r w:rsidR="00583E1A">
        <w:t> </w:t>
      </w:r>
      <w:r w:rsidRPr="00583E1A">
        <w:t xml:space="preserve">1) does not give rise to an equity interest in the company unless the scheme is a </w:t>
      </w:r>
      <w:r w:rsidR="00583E1A" w:rsidRPr="00583E1A">
        <w:rPr>
          <w:position w:val="6"/>
          <w:sz w:val="16"/>
        </w:rPr>
        <w:t>*</w:t>
      </w:r>
      <w:r w:rsidRPr="00583E1A">
        <w:t>financing arrangement for the company.</w:t>
      </w:r>
    </w:p>
    <w:p w:rsidR="00887330" w:rsidRPr="00583E1A" w:rsidRDefault="00887330" w:rsidP="00887330">
      <w:pPr>
        <w:pStyle w:val="SubsectionHead"/>
      </w:pPr>
      <w:r w:rsidRPr="00583E1A">
        <w:t>Form interest may take</w:t>
      </w:r>
    </w:p>
    <w:p w:rsidR="00887330" w:rsidRPr="00583E1A" w:rsidRDefault="00887330" w:rsidP="00887330">
      <w:pPr>
        <w:pStyle w:val="subsection"/>
      </w:pPr>
      <w:r w:rsidRPr="00583E1A">
        <w:tab/>
        <w:t>(3)</w:t>
      </w:r>
      <w:r w:rsidRPr="00583E1A">
        <w:tab/>
        <w:t>The interest referred to in item</w:t>
      </w:r>
      <w:r w:rsidR="00583E1A">
        <w:t> </w:t>
      </w:r>
      <w:r w:rsidRPr="00583E1A">
        <w:t xml:space="preserve">2, 3 or 4 in the table in </w:t>
      </w:r>
      <w:r w:rsidR="00583E1A">
        <w:t>subsection (</w:t>
      </w:r>
      <w:r w:rsidRPr="00583E1A">
        <w:t>1) may take the form of a proprietary right, a chose in action or any other form.</w:t>
      </w:r>
    </w:p>
    <w:p w:rsidR="00887330" w:rsidRPr="00583E1A" w:rsidRDefault="00887330" w:rsidP="00887330">
      <w:pPr>
        <w:pStyle w:val="SubsectionHead"/>
      </w:pPr>
      <w:r w:rsidRPr="00583E1A">
        <w:t>Exception for certain at call loans—until 30</w:t>
      </w:r>
      <w:r w:rsidR="00583E1A">
        <w:t> </w:t>
      </w:r>
      <w:r w:rsidRPr="00583E1A">
        <w:t>June 2005</w:t>
      </w:r>
    </w:p>
    <w:p w:rsidR="00887330" w:rsidRPr="00583E1A" w:rsidRDefault="00887330" w:rsidP="00887330">
      <w:pPr>
        <w:pStyle w:val="subsection"/>
      </w:pPr>
      <w:r w:rsidRPr="00583E1A">
        <w:tab/>
        <w:t>(4)</w:t>
      </w:r>
      <w:r w:rsidRPr="00583E1A">
        <w:tab/>
        <w:t>If:</w:t>
      </w:r>
    </w:p>
    <w:p w:rsidR="00887330" w:rsidRPr="00583E1A" w:rsidRDefault="00887330" w:rsidP="00887330">
      <w:pPr>
        <w:pStyle w:val="paragraph"/>
      </w:pPr>
      <w:r w:rsidRPr="00583E1A">
        <w:tab/>
        <w:t>(a)</w:t>
      </w:r>
      <w:r w:rsidRPr="00583E1A">
        <w:tab/>
        <w:t xml:space="preserve">a </w:t>
      </w:r>
      <w:r w:rsidR="00583E1A" w:rsidRPr="00583E1A">
        <w:rPr>
          <w:position w:val="6"/>
          <w:sz w:val="16"/>
        </w:rPr>
        <w:t>*</w:t>
      </w:r>
      <w:r w:rsidRPr="00583E1A">
        <w:t xml:space="preserve">financing arrangement takes the form of a loan to a company by a </w:t>
      </w:r>
      <w:r w:rsidR="00583E1A" w:rsidRPr="00583E1A">
        <w:rPr>
          <w:position w:val="6"/>
          <w:sz w:val="16"/>
        </w:rPr>
        <w:t>*</w:t>
      </w:r>
      <w:r w:rsidRPr="00583E1A">
        <w:t>connected entity; and</w:t>
      </w:r>
    </w:p>
    <w:p w:rsidR="00887330" w:rsidRPr="00583E1A" w:rsidRDefault="00887330" w:rsidP="00887330">
      <w:pPr>
        <w:pStyle w:val="paragraph"/>
      </w:pPr>
      <w:r w:rsidRPr="00583E1A">
        <w:tab/>
        <w:t>(b)</w:t>
      </w:r>
      <w:r w:rsidRPr="00583E1A">
        <w:tab/>
        <w:t>the loan does not have a fixed term; and</w:t>
      </w:r>
    </w:p>
    <w:p w:rsidR="00887330" w:rsidRPr="00583E1A" w:rsidRDefault="00887330" w:rsidP="00887330">
      <w:pPr>
        <w:pStyle w:val="paragraph"/>
      </w:pPr>
      <w:r w:rsidRPr="00583E1A">
        <w:tab/>
        <w:t>(c)</w:t>
      </w:r>
      <w:r w:rsidRPr="00583E1A">
        <w:tab/>
        <w:t>either:</w:t>
      </w:r>
    </w:p>
    <w:p w:rsidR="00887330" w:rsidRPr="00583E1A" w:rsidRDefault="00887330" w:rsidP="00887330">
      <w:pPr>
        <w:pStyle w:val="paragraphsub"/>
      </w:pPr>
      <w:r w:rsidRPr="00583E1A">
        <w:tab/>
        <w:t>(i)</w:t>
      </w:r>
      <w:r w:rsidRPr="00583E1A">
        <w:tab/>
        <w:t>the loan is repayable on demand made by the connected entity, and repayment is required immediately on the making of the demand, or is required at the end of a particular period after the demand is made (being a period that is not longer than is reasonably necessary to arrange repayment); or</w:t>
      </w:r>
    </w:p>
    <w:p w:rsidR="00887330" w:rsidRPr="00583E1A" w:rsidRDefault="00887330" w:rsidP="00887330">
      <w:pPr>
        <w:pStyle w:val="paragraphsub"/>
      </w:pPr>
      <w:r w:rsidRPr="00583E1A">
        <w:tab/>
        <w:t>(ii)</w:t>
      </w:r>
      <w:r w:rsidRPr="00583E1A">
        <w:tab/>
        <w:t>the loan is repayable on the death of the connected entity (if the connected entity is an individual); and</w:t>
      </w:r>
    </w:p>
    <w:p w:rsidR="00887330" w:rsidRPr="00583E1A" w:rsidRDefault="00887330" w:rsidP="00887330">
      <w:pPr>
        <w:pStyle w:val="paragraph"/>
      </w:pPr>
      <w:r w:rsidRPr="00583E1A">
        <w:tab/>
        <w:t>(d)</w:t>
      </w:r>
      <w:r w:rsidRPr="00583E1A">
        <w:tab/>
        <w:t>the arrangement was entered into on or before 30</w:t>
      </w:r>
      <w:r w:rsidR="00583E1A">
        <w:t> </w:t>
      </w:r>
      <w:r w:rsidRPr="00583E1A">
        <w:t>June 2005;</w:t>
      </w:r>
    </w:p>
    <w:p w:rsidR="00887330" w:rsidRPr="00583E1A" w:rsidRDefault="00887330" w:rsidP="00887330">
      <w:pPr>
        <w:pStyle w:val="subsection2"/>
      </w:pPr>
      <w:r w:rsidRPr="00583E1A">
        <w:t xml:space="preserve">the arrangement does not give rise to an </w:t>
      </w:r>
      <w:r w:rsidRPr="00583E1A">
        <w:rPr>
          <w:b/>
          <w:i/>
        </w:rPr>
        <w:t>equity interest</w:t>
      </w:r>
      <w:r w:rsidRPr="00583E1A">
        <w:t xml:space="preserve"> in the company. Instead, the arrangement is taken, despite anything in Subdivision</w:t>
      </w:r>
      <w:r w:rsidR="00583E1A">
        <w:t> </w:t>
      </w:r>
      <w:r w:rsidRPr="00583E1A">
        <w:t>974</w:t>
      </w:r>
      <w:r w:rsidR="00583E1A">
        <w:noBreakHyphen/>
      </w:r>
      <w:r w:rsidRPr="00583E1A">
        <w:t xml:space="preserve">B, to give rise to a </w:t>
      </w:r>
      <w:r w:rsidRPr="00583E1A">
        <w:rPr>
          <w:b/>
          <w:i/>
        </w:rPr>
        <w:t>debt interest</w:t>
      </w:r>
      <w:r w:rsidRPr="00583E1A">
        <w:t xml:space="preserve"> in the company. This subsection ceases to have effect on 1</w:t>
      </w:r>
      <w:r w:rsidR="00583E1A">
        <w:t> </w:t>
      </w:r>
      <w:r w:rsidRPr="00583E1A">
        <w:t>July 2005.</w:t>
      </w:r>
    </w:p>
    <w:p w:rsidR="00887330" w:rsidRPr="00583E1A" w:rsidRDefault="00887330" w:rsidP="00B73B6F">
      <w:pPr>
        <w:pStyle w:val="notetext"/>
        <w:keepNext/>
        <w:keepLines/>
      </w:pPr>
      <w:r w:rsidRPr="00583E1A">
        <w:lastRenderedPageBreak/>
        <w:t>Note:</w:t>
      </w:r>
      <w:r w:rsidRPr="00583E1A">
        <w:tab/>
        <w:t>If this subsection ceases to have effect in relation to an interest that is, according to the other provisions of this Division, an equity interest immediately after the cessation, an adjustment to the company’s non</w:t>
      </w:r>
      <w:r w:rsidR="00583E1A">
        <w:noBreakHyphen/>
      </w:r>
      <w:r w:rsidRPr="00583E1A">
        <w:t>share capital account will occur at that time (see subsection 164</w:t>
      </w:r>
      <w:r w:rsidR="00583E1A">
        <w:noBreakHyphen/>
      </w:r>
      <w:r w:rsidRPr="00583E1A">
        <w:t>15(2)).</w:t>
      </w:r>
    </w:p>
    <w:p w:rsidR="00887330" w:rsidRPr="00583E1A" w:rsidRDefault="00887330" w:rsidP="00887330">
      <w:pPr>
        <w:pStyle w:val="subsection"/>
      </w:pPr>
      <w:r w:rsidRPr="00583E1A">
        <w:tab/>
        <w:t>(5)</w:t>
      </w:r>
      <w:r w:rsidRPr="00583E1A">
        <w:tab/>
        <w:t xml:space="preserve">If, while </w:t>
      </w:r>
      <w:r w:rsidR="00583E1A">
        <w:t>subsection (</w:t>
      </w:r>
      <w:r w:rsidRPr="00583E1A">
        <w:t xml:space="preserve">4) applies to a </w:t>
      </w:r>
      <w:r w:rsidR="00583E1A" w:rsidRPr="00583E1A">
        <w:rPr>
          <w:position w:val="6"/>
          <w:sz w:val="16"/>
        </w:rPr>
        <w:t>*</w:t>
      </w:r>
      <w:r w:rsidRPr="00583E1A">
        <w:t>financing arrangement, a circumstance occurs that</w:t>
      </w:r>
      <w:r w:rsidRPr="00583E1A">
        <w:rPr>
          <w:i/>
        </w:rPr>
        <w:t xml:space="preserve"> </w:t>
      </w:r>
      <w:r w:rsidRPr="00583E1A">
        <w:t>would otherwise have attracted the operation of subsection 974</w:t>
      </w:r>
      <w:r w:rsidR="00583E1A">
        <w:noBreakHyphen/>
      </w:r>
      <w:r w:rsidRPr="00583E1A">
        <w:t>110(1) or (2) in relation to the arrangement:</w:t>
      </w:r>
    </w:p>
    <w:p w:rsidR="00887330" w:rsidRPr="00583E1A" w:rsidRDefault="00887330" w:rsidP="00887330">
      <w:pPr>
        <w:pStyle w:val="paragraph"/>
      </w:pPr>
      <w:r w:rsidRPr="00583E1A">
        <w:tab/>
        <w:t>(a)</w:t>
      </w:r>
      <w:r w:rsidRPr="00583E1A">
        <w:tab/>
        <w:t>that subsection of section</w:t>
      </w:r>
      <w:r w:rsidR="00583E1A">
        <w:t> </w:t>
      </w:r>
      <w:r w:rsidRPr="00583E1A">
        <w:t>974</w:t>
      </w:r>
      <w:r w:rsidR="00583E1A">
        <w:noBreakHyphen/>
      </w:r>
      <w:r w:rsidRPr="00583E1A">
        <w:t xml:space="preserve">110 does not apply to change the result that </w:t>
      </w:r>
      <w:r w:rsidR="00583E1A">
        <w:t>subsection (</w:t>
      </w:r>
      <w:r w:rsidRPr="00583E1A">
        <w:t>4) of this section produces in relation to the arrangement; but</w:t>
      </w:r>
    </w:p>
    <w:p w:rsidR="00887330" w:rsidRPr="00583E1A" w:rsidRDefault="00887330" w:rsidP="00887330">
      <w:pPr>
        <w:pStyle w:val="paragraph"/>
      </w:pPr>
      <w:r w:rsidRPr="00583E1A">
        <w:tab/>
        <w:t>(b)</w:t>
      </w:r>
      <w:r w:rsidRPr="00583E1A">
        <w:tab/>
        <w:t xml:space="preserve">for the purpose of applying this Division in relation to the arrangement after </w:t>
      </w:r>
      <w:r w:rsidR="00583E1A">
        <w:t>subsection (</w:t>
      </w:r>
      <w:r w:rsidRPr="00583E1A">
        <w:t>4) of this section has ceased to have effect, that subsection of section</w:t>
      </w:r>
      <w:r w:rsidR="00583E1A">
        <w:t> </w:t>
      </w:r>
      <w:r w:rsidRPr="00583E1A">
        <w:t>974</w:t>
      </w:r>
      <w:r w:rsidR="00583E1A">
        <w:noBreakHyphen/>
      </w:r>
      <w:r w:rsidRPr="00583E1A">
        <w:t xml:space="preserve">110 is taken to have produced the result that it would have produced if </w:t>
      </w:r>
      <w:r w:rsidR="00583E1A">
        <w:t>subsection (</w:t>
      </w:r>
      <w:r w:rsidRPr="00583E1A">
        <w:t>4) of this section had not applied to the arrangement.</w:t>
      </w:r>
    </w:p>
    <w:p w:rsidR="00887330" w:rsidRPr="00583E1A" w:rsidRDefault="00887330" w:rsidP="00887330">
      <w:pPr>
        <w:pStyle w:val="SubsectionHead"/>
      </w:pPr>
      <w:r w:rsidRPr="00583E1A">
        <w:t>Further exception for certain related party at call loans</w:t>
      </w:r>
    </w:p>
    <w:p w:rsidR="00887330" w:rsidRPr="00583E1A" w:rsidRDefault="00887330" w:rsidP="00887330">
      <w:pPr>
        <w:pStyle w:val="subsection"/>
      </w:pPr>
      <w:r w:rsidRPr="00583E1A">
        <w:tab/>
        <w:t>(6)</w:t>
      </w:r>
      <w:r w:rsidRPr="00583E1A">
        <w:tab/>
        <w:t xml:space="preserve">In applying this Division in relation to a particular </w:t>
      </w:r>
      <w:r w:rsidR="00583E1A" w:rsidRPr="00583E1A">
        <w:rPr>
          <w:position w:val="6"/>
          <w:sz w:val="16"/>
        </w:rPr>
        <w:t>*</w:t>
      </w:r>
      <w:r w:rsidRPr="00583E1A">
        <w:t xml:space="preserve">scheme and a particular income year (which may be the income year in which the scheme is entered into or a later income year), the scheme is taken not to give rise to an </w:t>
      </w:r>
      <w:r w:rsidRPr="00583E1A">
        <w:rPr>
          <w:b/>
          <w:i/>
        </w:rPr>
        <w:t xml:space="preserve">equity interest </w:t>
      </w:r>
      <w:r w:rsidRPr="00583E1A">
        <w:t xml:space="preserve">in a company, and instead to give rise to a </w:t>
      </w:r>
      <w:r w:rsidRPr="00583E1A">
        <w:rPr>
          <w:b/>
          <w:i/>
        </w:rPr>
        <w:t xml:space="preserve">debt interest </w:t>
      </w:r>
      <w:r w:rsidRPr="00583E1A">
        <w:t>in the company, if:</w:t>
      </w:r>
    </w:p>
    <w:p w:rsidR="00887330" w:rsidRPr="00583E1A" w:rsidRDefault="00887330" w:rsidP="00887330">
      <w:pPr>
        <w:pStyle w:val="paragraph"/>
      </w:pPr>
      <w:r w:rsidRPr="00583E1A">
        <w:tab/>
        <w:t>(a)</w:t>
      </w:r>
      <w:r w:rsidRPr="00583E1A">
        <w:tab/>
        <w:t xml:space="preserve">the scheme takes the form of a loan to the company that satisfies </w:t>
      </w:r>
      <w:r w:rsidR="00583E1A">
        <w:t>paragraphs (</w:t>
      </w:r>
      <w:r w:rsidRPr="00583E1A">
        <w:t>4)(a), (b) and (c); and</w:t>
      </w:r>
    </w:p>
    <w:p w:rsidR="00887330" w:rsidRPr="00583E1A" w:rsidRDefault="00887330" w:rsidP="00887330">
      <w:pPr>
        <w:pStyle w:val="paragraph"/>
      </w:pPr>
      <w:r w:rsidRPr="00583E1A">
        <w:tab/>
        <w:t>(b)</w:t>
      </w:r>
      <w:r w:rsidRPr="00583E1A">
        <w:tab/>
        <w:t xml:space="preserve">the company’s </w:t>
      </w:r>
      <w:r w:rsidR="00583E1A" w:rsidRPr="00583E1A">
        <w:rPr>
          <w:position w:val="6"/>
          <w:sz w:val="16"/>
        </w:rPr>
        <w:t>*</w:t>
      </w:r>
      <w:r w:rsidR="008E1A72" w:rsidRPr="00583E1A">
        <w:t>GST turnover</w:t>
      </w:r>
      <w:r w:rsidRPr="00583E1A">
        <w:t xml:space="preserve"> (worked out at the end of the income year) is less than $20,000,000.</w:t>
      </w:r>
    </w:p>
    <w:p w:rsidR="00887330" w:rsidRPr="00583E1A" w:rsidRDefault="00887330" w:rsidP="00887330">
      <w:pPr>
        <w:pStyle w:val="notetext"/>
      </w:pPr>
      <w:r w:rsidRPr="00583E1A">
        <w:t>Note:</w:t>
      </w:r>
      <w:r w:rsidRPr="00583E1A">
        <w:tab/>
        <w:t>If this subsection does not apply in relation to the previous income year or the next income year, and the scheme gives rise to an equity interest according to the other provisions of this Division, an adjustment to the company’s non</w:t>
      </w:r>
      <w:r w:rsidR="00583E1A">
        <w:noBreakHyphen/>
      </w:r>
      <w:r w:rsidRPr="00583E1A">
        <w:t>share capital account will occur at the end of the previous income year or the start of the next income year (see subsections 164</w:t>
      </w:r>
      <w:r w:rsidR="00583E1A">
        <w:noBreakHyphen/>
      </w:r>
      <w:r w:rsidRPr="00583E1A">
        <w:t>15(2) and 164</w:t>
      </w:r>
      <w:r w:rsidR="00583E1A">
        <w:noBreakHyphen/>
      </w:r>
      <w:r w:rsidRPr="00583E1A">
        <w:t>20(3)).</w:t>
      </w:r>
    </w:p>
    <w:p w:rsidR="00887330" w:rsidRPr="00583E1A" w:rsidRDefault="00887330" w:rsidP="00887330">
      <w:pPr>
        <w:pStyle w:val="subsection"/>
      </w:pPr>
      <w:r w:rsidRPr="00583E1A">
        <w:tab/>
        <w:t>(7)</w:t>
      </w:r>
      <w:r w:rsidRPr="00583E1A">
        <w:tab/>
        <w:t xml:space="preserve">For the purpose of </w:t>
      </w:r>
      <w:r w:rsidR="00583E1A">
        <w:t>paragraph (</w:t>
      </w:r>
      <w:r w:rsidRPr="00583E1A">
        <w:t xml:space="preserve">6)(b), the question whether a company’s </w:t>
      </w:r>
      <w:r w:rsidR="00583E1A" w:rsidRPr="00583E1A">
        <w:rPr>
          <w:position w:val="6"/>
          <w:sz w:val="16"/>
        </w:rPr>
        <w:t>*</w:t>
      </w:r>
      <w:r w:rsidR="009C4E52" w:rsidRPr="00583E1A">
        <w:t>GST turnover</w:t>
      </w:r>
      <w:r w:rsidRPr="00583E1A">
        <w:t xml:space="preserve"> (worked out at the end of an income year) is less than $20,000,000 is to be determined in accordance with subsection 188</w:t>
      </w:r>
      <w:r w:rsidR="00583E1A">
        <w:noBreakHyphen/>
      </w:r>
      <w:r w:rsidRPr="00583E1A">
        <w:t xml:space="preserve">10(2) of the </w:t>
      </w:r>
      <w:r w:rsidR="00583E1A" w:rsidRPr="00583E1A">
        <w:rPr>
          <w:position w:val="6"/>
          <w:sz w:val="16"/>
        </w:rPr>
        <w:t>*</w:t>
      </w:r>
      <w:r w:rsidRPr="00583E1A">
        <w:t xml:space="preserve">GST Act, as if that amount of </w:t>
      </w:r>
      <w:r w:rsidRPr="00583E1A">
        <w:lastRenderedPageBreak/>
        <w:t>$20,000,000 were a turnover threshold for the purposes of that subsection of the GST Act.</w:t>
      </w:r>
    </w:p>
    <w:p w:rsidR="00887330" w:rsidRPr="00583E1A" w:rsidRDefault="00887330" w:rsidP="00887330">
      <w:pPr>
        <w:pStyle w:val="ActHead5"/>
      </w:pPr>
      <w:bookmarkStart w:id="596" w:name="_Toc338939670"/>
      <w:r w:rsidRPr="00583E1A">
        <w:rPr>
          <w:rStyle w:val="CharSectno"/>
        </w:rPr>
        <w:t>974</w:t>
      </w:r>
      <w:r w:rsidR="00583E1A">
        <w:rPr>
          <w:rStyle w:val="CharSectno"/>
        </w:rPr>
        <w:noBreakHyphen/>
      </w:r>
      <w:r w:rsidRPr="00583E1A">
        <w:rPr>
          <w:rStyle w:val="CharSectno"/>
        </w:rPr>
        <w:t>80</w:t>
      </w:r>
      <w:r w:rsidRPr="00583E1A">
        <w:t xml:space="preserve">  Equity interest arising from arrangement funding return through connected entities</w:t>
      </w:r>
      <w:bookmarkEnd w:id="596"/>
    </w:p>
    <w:p w:rsidR="00887330" w:rsidRPr="00583E1A" w:rsidRDefault="00887330" w:rsidP="00887330">
      <w:pPr>
        <w:pStyle w:val="subsection"/>
      </w:pPr>
      <w:r w:rsidRPr="00583E1A">
        <w:tab/>
        <w:t>(1)</w:t>
      </w:r>
      <w:r w:rsidRPr="00583E1A">
        <w:tab/>
        <w:t>This section deals with the situation in which:</w:t>
      </w:r>
    </w:p>
    <w:p w:rsidR="00887330" w:rsidRPr="00583E1A" w:rsidRDefault="00887330" w:rsidP="00887330">
      <w:pPr>
        <w:pStyle w:val="paragraph"/>
      </w:pPr>
      <w:r w:rsidRPr="00583E1A">
        <w:tab/>
        <w:t>(a)</w:t>
      </w:r>
      <w:r w:rsidRPr="00583E1A">
        <w:tab/>
        <w:t>an interest carries a right to a variable or fixed return from a company; and</w:t>
      </w:r>
    </w:p>
    <w:p w:rsidR="00887330" w:rsidRPr="00583E1A" w:rsidRDefault="00887330" w:rsidP="00887330">
      <w:pPr>
        <w:pStyle w:val="paragraph"/>
      </w:pPr>
      <w:r w:rsidRPr="00583E1A">
        <w:tab/>
        <w:t>(b)</w:t>
      </w:r>
      <w:r w:rsidRPr="00583E1A">
        <w:tab/>
        <w:t xml:space="preserve">the interest is held by a </w:t>
      </w:r>
      <w:r w:rsidR="00583E1A" w:rsidRPr="00583E1A">
        <w:rPr>
          <w:position w:val="6"/>
          <w:sz w:val="16"/>
        </w:rPr>
        <w:t>*</w:t>
      </w:r>
      <w:r w:rsidRPr="00583E1A">
        <w:t>connected entity of the company; and</w:t>
      </w:r>
    </w:p>
    <w:p w:rsidR="00887330" w:rsidRPr="00583E1A" w:rsidRDefault="00887330" w:rsidP="00887330">
      <w:pPr>
        <w:pStyle w:val="paragraph"/>
      </w:pPr>
      <w:r w:rsidRPr="00583E1A">
        <w:tab/>
        <w:t>(c)</w:t>
      </w:r>
      <w:r w:rsidRPr="00583E1A">
        <w:tab/>
        <w:t xml:space="preserve">apart from this section, the interest would not be an </w:t>
      </w:r>
      <w:r w:rsidR="00583E1A" w:rsidRPr="00583E1A">
        <w:rPr>
          <w:position w:val="6"/>
          <w:sz w:val="16"/>
        </w:rPr>
        <w:t>*</w:t>
      </w:r>
      <w:r w:rsidRPr="00583E1A">
        <w:t>equity interest in the company; and</w:t>
      </w:r>
    </w:p>
    <w:p w:rsidR="00887330" w:rsidRPr="00583E1A" w:rsidRDefault="00887330" w:rsidP="00887330">
      <w:pPr>
        <w:pStyle w:val="paragraph"/>
      </w:pPr>
      <w:r w:rsidRPr="00583E1A">
        <w:tab/>
        <w:t>(ca)</w:t>
      </w:r>
      <w:r w:rsidRPr="00583E1A">
        <w:tab/>
        <w:t xml:space="preserve">the </w:t>
      </w:r>
      <w:r w:rsidR="00583E1A" w:rsidRPr="00583E1A">
        <w:rPr>
          <w:position w:val="6"/>
          <w:sz w:val="16"/>
        </w:rPr>
        <w:t>*</w:t>
      </w:r>
      <w:r w:rsidRPr="00583E1A">
        <w:t xml:space="preserve">scheme that gives rise to the interest is a </w:t>
      </w:r>
      <w:r w:rsidR="00583E1A" w:rsidRPr="00583E1A">
        <w:rPr>
          <w:position w:val="6"/>
          <w:sz w:val="16"/>
        </w:rPr>
        <w:t>*</w:t>
      </w:r>
      <w:r w:rsidRPr="00583E1A">
        <w:t>financing arrangement for the company; and</w:t>
      </w:r>
    </w:p>
    <w:p w:rsidR="00887330" w:rsidRPr="00583E1A" w:rsidRDefault="00887330" w:rsidP="00887330">
      <w:pPr>
        <w:pStyle w:val="paragraph"/>
      </w:pPr>
      <w:r w:rsidRPr="00583E1A">
        <w:tab/>
        <w:t>(d)</w:t>
      </w:r>
      <w:r w:rsidRPr="00583E1A">
        <w:tab/>
        <w:t xml:space="preserve">there is a scheme, or a series of schemes, designed to operate so that the return to the connected entity is to be used to fund (directly or indirectly) a return to another person (the </w:t>
      </w:r>
      <w:r w:rsidRPr="00583E1A">
        <w:rPr>
          <w:b/>
          <w:i/>
        </w:rPr>
        <w:t>ultimate recipient</w:t>
      </w:r>
      <w:r w:rsidRPr="00583E1A">
        <w:t>).</w:t>
      </w:r>
    </w:p>
    <w:p w:rsidR="00887330" w:rsidRPr="00583E1A" w:rsidRDefault="00887330" w:rsidP="00887330">
      <w:pPr>
        <w:pStyle w:val="subsection"/>
      </w:pPr>
      <w:r w:rsidRPr="00583E1A">
        <w:tab/>
        <w:t>(2)</w:t>
      </w:r>
      <w:r w:rsidRPr="00583E1A">
        <w:tab/>
        <w:t xml:space="preserve">The interest is an </w:t>
      </w:r>
      <w:r w:rsidRPr="00583E1A">
        <w:rPr>
          <w:b/>
          <w:i/>
        </w:rPr>
        <w:t>equity interest</w:t>
      </w:r>
      <w:r w:rsidRPr="00583E1A">
        <w:t xml:space="preserve"> in the company if:</w:t>
      </w:r>
    </w:p>
    <w:p w:rsidR="00887330" w:rsidRPr="00583E1A" w:rsidRDefault="00887330" w:rsidP="00887330">
      <w:pPr>
        <w:pStyle w:val="paragraph"/>
      </w:pPr>
      <w:r w:rsidRPr="00583E1A">
        <w:tab/>
        <w:t>(a)</w:t>
      </w:r>
      <w:r w:rsidRPr="00583E1A">
        <w:tab/>
        <w:t xml:space="preserve">the amount of the return to the ultimate recipient is in substance or effect </w:t>
      </w:r>
      <w:r w:rsidR="00583E1A" w:rsidRPr="00583E1A">
        <w:rPr>
          <w:position w:val="6"/>
          <w:sz w:val="16"/>
        </w:rPr>
        <w:t>*</w:t>
      </w:r>
      <w:r w:rsidRPr="00583E1A">
        <w:t>contingent on the economic performance (whether past, current or future) of:</w:t>
      </w:r>
    </w:p>
    <w:p w:rsidR="00887330" w:rsidRPr="00583E1A" w:rsidRDefault="00887330" w:rsidP="00887330">
      <w:pPr>
        <w:pStyle w:val="paragraphsub"/>
      </w:pPr>
      <w:r w:rsidRPr="00583E1A">
        <w:tab/>
        <w:t>(i)</w:t>
      </w:r>
      <w:r w:rsidRPr="00583E1A">
        <w:tab/>
        <w:t>the company; or</w:t>
      </w:r>
    </w:p>
    <w:p w:rsidR="00887330" w:rsidRPr="00583E1A" w:rsidRDefault="00887330" w:rsidP="00887330">
      <w:pPr>
        <w:pStyle w:val="paragraphsub"/>
      </w:pPr>
      <w:r w:rsidRPr="00583E1A">
        <w:tab/>
        <w:t>(ii)</w:t>
      </w:r>
      <w:r w:rsidRPr="00583E1A">
        <w:tab/>
        <w:t>a part of the company’s activities; or</w:t>
      </w:r>
    </w:p>
    <w:p w:rsidR="00887330" w:rsidRPr="00583E1A" w:rsidRDefault="00887330" w:rsidP="00887330">
      <w:pPr>
        <w:pStyle w:val="paragraphsub"/>
      </w:pPr>
      <w:r w:rsidRPr="00583E1A">
        <w:tab/>
        <w:t>(iii)</w:t>
      </w:r>
      <w:r w:rsidRPr="00583E1A">
        <w:tab/>
        <w:t xml:space="preserve">a </w:t>
      </w:r>
      <w:r w:rsidR="00583E1A" w:rsidRPr="00583E1A">
        <w:rPr>
          <w:position w:val="6"/>
          <w:sz w:val="16"/>
        </w:rPr>
        <w:t>*</w:t>
      </w:r>
      <w:r w:rsidRPr="00583E1A">
        <w:t>connected entity of the company or a part of the activities of a connected entity of the company; or</w:t>
      </w:r>
    </w:p>
    <w:p w:rsidR="00887330" w:rsidRPr="00583E1A" w:rsidRDefault="00887330" w:rsidP="00887330">
      <w:pPr>
        <w:pStyle w:val="paragraph"/>
      </w:pPr>
      <w:r w:rsidRPr="00583E1A">
        <w:tab/>
        <w:t>(b)</w:t>
      </w:r>
      <w:r w:rsidRPr="00583E1A">
        <w:tab/>
        <w:t>either the right itself, or the amount of the return to the ultimate recipient, is at the discretion of:</w:t>
      </w:r>
    </w:p>
    <w:p w:rsidR="00887330" w:rsidRPr="00583E1A" w:rsidRDefault="00887330" w:rsidP="00887330">
      <w:pPr>
        <w:pStyle w:val="paragraphsub"/>
      </w:pPr>
      <w:r w:rsidRPr="00583E1A">
        <w:tab/>
        <w:t>(i)</w:t>
      </w:r>
      <w:r w:rsidRPr="00583E1A">
        <w:tab/>
        <w:t>the company; or</w:t>
      </w:r>
    </w:p>
    <w:p w:rsidR="00887330" w:rsidRPr="00583E1A" w:rsidRDefault="00887330" w:rsidP="00887330">
      <w:pPr>
        <w:pStyle w:val="paragraphsub"/>
      </w:pPr>
      <w:r w:rsidRPr="00583E1A">
        <w:tab/>
        <w:t>(ii)</w:t>
      </w:r>
      <w:r w:rsidRPr="00583E1A">
        <w:tab/>
        <w:t>a connected entity of the company; or</w:t>
      </w:r>
    </w:p>
    <w:p w:rsidR="00887330" w:rsidRPr="00583E1A" w:rsidRDefault="00887330" w:rsidP="00887330">
      <w:pPr>
        <w:pStyle w:val="paragraph"/>
      </w:pPr>
      <w:r w:rsidRPr="00583E1A">
        <w:tab/>
        <w:t>(c)</w:t>
      </w:r>
      <w:r w:rsidRPr="00583E1A">
        <w:tab/>
        <w:t xml:space="preserve">the interest in respect of which the return to the ultimate recipient is made or another interest that arises from the scheme, or any of the schemes, referred to in </w:t>
      </w:r>
      <w:r w:rsidR="00583E1A">
        <w:t>paragraph (</w:t>
      </w:r>
      <w:r w:rsidRPr="00583E1A">
        <w:t>1)(d):</w:t>
      </w:r>
    </w:p>
    <w:p w:rsidR="00887330" w:rsidRPr="00583E1A" w:rsidRDefault="00887330" w:rsidP="00887330">
      <w:pPr>
        <w:pStyle w:val="paragraphsub"/>
      </w:pPr>
      <w:r w:rsidRPr="00583E1A">
        <w:tab/>
        <w:t>(i)</w:t>
      </w:r>
      <w:r w:rsidRPr="00583E1A">
        <w:tab/>
        <w:t xml:space="preserve">gives the ultimate recipient (or a connected entity of the ultimate recipient) a right to be issued with an </w:t>
      </w:r>
      <w:r w:rsidR="00583E1A" w:rsidRPr="00583E1A">
        <w:rPr>
          <w:position w:val="6"/>
          <w:sz w:val="16"/>
        </w:rPr>
        <w:t>*</w:t>
      </w:r>
      <w:r w:rsidRPr="00583E1A">
        <w:t xml:space="preserve">equity </w:t>
      </w:r>
      <w:r w:rsidRPr="00583E1A">
        <w:lastRenderedPageBreak/>
        <w:t>interest in the company or a connected entity of the company; or</w:t>
      </w:r>
    </w:p>
    <w:p w:rsidR="00887330" w:rsidRPr="00583E1A" w:rsidRDefault="00887330" w:rsidP="00887330">
      <w:pPr>
        <w:pStyle w:val="paragraphsub"/>
      </w:pPr>
      <w:r w:rsidRPr="00583E1A">
        <w:tab/>
        <w:t>(ii)</w:t>
      </w:r>
      <w:r w:rsidRPr="00583E1A">
        <w:tab/>
        <w:t xml:space="preserve">is an </w:t>
      </w:r>
      <w:r w:rsidR="00583E1A" w:rsidRPr="00583E1A">
        <w:rPr>
          <w:position w:val="6"/>
          <w:sz w:val="16"/>
        </w:rPr>
        <w:t>*</w:t>
      </w:r>
      <w:r w:rsidRPr="00583E1A">
        <w:t>interest that will, or may, convert into an equity interest in the company or a connected entity of the company;</w:t>
      </w:r>
    </w:p>
    <w:p w:rsidR="00887330" w:rsidRPr="00583E1A" w:rsidRDefault="00887330" w:rsidP="00887330">
      <w:pPr>
        <w:pStyle w:val="subsection2"/>
      </w:pPr>
      <w:r w:rsidRPr="00583E1A">
        <w:t xml:space="preserve">and if the interest does not form part of a larger interest that is characterised as a </w:t>
      </w:r>
      <w:r w:rsidR="00583E1A" w:rsidRPr="00583E1A">
        <w:rPr>
          <w:position w:val="6"/>
          <w:sz w:val="16"/>
        </w:rPr>
        <w:t>*</w:t>
      </w:r>
      <w:r w:rsidRPr="00583E1A">
        <w:t xml:space="preserve">debt interest in the entity in which it is held, or a </w:t>
      </w:r>
      <w:r w:rsidR="00583E1A" w:rsidRPr="00583E1A">
        <w:rPr>
          <w:position w:val="6"/>
          <w:sz w:val="16"/>
        </w:rPr>
        <w:t>*</w:t>
      </w:r>
      <w:r w:rsidRPr="00583E1A">
        <w:t>connected entity, under Subdivision</w:t>
      </w:r>
      <w:r w:rsidR="00583E1A">
        <w:t> </w:t>
      </w:r>
      <w:r w:rsidRPr="00583E1A">
        <w:t>974</w:t>
      </w:r>
      <w:r w:rsidR="00583E1A">
        <w:noBreakHyphen/>
      </w:r>
      <w:r w:rsidRPr="00583E1A">
        <w:t>B. The return may be a return of an amount invested in the interest.</w:t>
      </w:r>
    </w:p>
    <w:p w:rsidR="00887330" w:rsidRPr="00583E1A" w:rsidRDefault="00887330" w:rsidP="00887330">
      <w:pPr>
        <w:pStyle w:val="notetext"/>
      </w:pPr>
      <w:r w:rsidRPr="00583E1A">
        <w:t>Note 1:</w:t>
      </w:r>
      <w:r w:rsidRPr="00583E1A">
        <w:tab/>
        <w:t>Section</w:t>
      </w:r>
      <w:r w:rsidR="00583E1A">
        <w:t> </w:t>
      </w:r>
      <w:r w:rsidRPr="00583E1A">
        <w:t>974</w:t>
      </w:r>
      <w:r w:rsidR="00583E1A">
        <w:noBreakHyphen/>
      </w:r>
      <w:r w:rsidRPr="00583E1A">
        <w:t>90 allows regulations to be made clarifying when a right or return is taken to be at the discretion of a company or connected entity.</w:t>
      </w:r>
    </w:p>
    <w:p w:rsidR="00887330" w:rsidRPr="00583E1A" w:rsidRDefault="00887330" w:rsidP="00887330">
      <w:pPr>
        <w:pStyle w:val="notetext"/>
      </w:pPr>
      <w:r w:rsidRPr="00583E1A">
        <w:t>Note 2:</w:t>
      </w:r>
      <w:r w:rsidRPr="00583E1A">
        <w:tab/>
      </w:r>
      <w:r w:rsidR="00583E1A">
        <w:t>Paragraphs (</w:t>
      </w:r>
      <w:r w:rsidRPr="00583E1A">
        <w:t>a), (b) and (c) parallel items</w:t>
      </w:r>
      <w:r w:rsidR="00583E1A">
        <w:t> </w:t>
      </w:r>
      <w:r w:rsidRPr="00583E1A">
        <w:t>2, 3 and 4 of the table in subsection 974</w:t>
      </w:r>
      <w:r w:rsidR="00583E1A">
        <w:noBreakHyphen/>
      </w:r>
      <w:r w:rsidRPr="00583E1A">
        <w:t>75(1).</w:t>
      </w:r>
    </w:p>
    <w:p w:rsidR="00887330" w:rsidRPr="00583E1A" w:rsidRDefault="00887330" w:rsidP="00887330">
      <w:pPr>
        <w:pStyle w:val="notetext"/>
      </w:pPr>
      <w:r w:rsidRPr="00583E1A">
        <w:t>Example:</w:t>
      </w:r>
      <w:r w:rsidRPr="00583E1A">
        <w:tab/>
        <w:t>Company A, Company B1, Company B2 and Company B3 are connected entities.</w:t>
      </w:r>
    </w:p>
    <w:p w:rsidR="00887330" w:rsidRPr="00583E1A" w:rsidRDefault="00887330" w:rsidP="00887330">
      <w:pPr>
        <w:pStyle w:val="notetext"/>
      </w:pPr>
      <w:r w:rsidRPr="00583E1A">
        <w:tab/>
        <w:t>Company B1 operates Trust Fund C. An interest in Trust Fund C is issued to person H and the return on that interest is contingent on the economic performance of Company A.</w:t>
      </w:r>
    </w:p>
    <w:p w:rsidR="00887330" w:rsidRPr="00583E1A" w:rsidRDefault="00887330" w:rsidP="00887330">
      <w:pPr>
        <w:pStyle w:val="notetext"/>
      </w:pPr>
      <w:r w:rsidRPr="00583E1A">
        <w:tab/>
        <w:t>Trust Fund C lends the money paid by H for the purchase of the interest to Company B1 which lends the money to Company B2 which lends the money to Company B3 which lends the money to Company A.</w:t>
      </w:r>
    </w:p>
    <w:p w:rsidR="00887330" w:rsidRPr="00583E1A" w:rsidRDefault="00887330" w:rsidP="00887330">
      <w:pPr>
        <w:pStyle w:val="notetext"/>
      </w:pPr>
      <w:r w:rsidRPr="00583E1A">
        <w:tab/>
        <w:t>Under the arrangements under which the interest is issued and the loans made, payments of interest by Company A on the loan that Company B3 makes to Company A are intended to pass back through Company B2 and Company B1 to fund the return on H’s interest in Trust Fund C.</w:t>
      </w:r>
    </w:p>
    <w:p w:rsidR="00887330" w:rsidRPr="00583E1A" w:rsidRDefault="00887330" w:rsidP="00887330">
      <w:pPr>
        <w:pStyle w:val="notetext"/>
      </w:pPr>
      <w:r w:rsidRPr="00583E1A">
        <w:tab/>
        <w:t xml:space="preserve">Under </w:t>
      </w:r>
      <w:r w:rsidR="00583E1A">
        <w:t>subsection (</w:t>
      </w:r>
      <w:r w:rsidRPr="00583E1A">
        <w:t>2), Company B3 will have an equity interest in Company A. If the return to Company B3 were itself contingent on Company A’s performance, Company B3’s interest would be an equity interest in Company A under item</w:t>
      </w:r>
      <w:r w:rsidR="00583E1A">
        <w:t> </w:t>
      </w:r>
      <w:r w:rsidRPr="00583E1A">
        <w:t>2 of the table in subsection 974</w:t>
      </w:r>
      <w:r w:rsidR="00583E1A">
        <w:noBreakHyphen/>
      </w:r>
      <w:r w:rsidRPr="00583E1A">
        <w:t xml:space="preserve">75(1) (and not under </w:t>
      </w:r>
      <w:r w:rsidR="00583E1A">
        <w:t>subsection (</w:t>
      </w:r>
      <w:r w:rsidRPr="00583E1A">
        <w:t>2) of this section).</w:t>
      </w:r>
    </w:p>
    <w:p w:rsidR="00887330" w:rsidRPr="00583E1A" w:rsidRDefault="00887330" w:rsidP="00887330">
      <w:pPr>
        <w:pStyle w:val="notetext"/>
      </w:pPr>
      <w:r w:rsidRPr="00583E1A">
        <w:tab/>
        <w:t>Company B2 has an equity interest in Company B3 and Company B1 has an equity interest in Company B2. This is because the returns they get are intended to fund the return on H’s interest in Trust Fund C and that return is contingent on the economic performance of Company A (which is related to both Company B3 and Company B2).</w:t>
      </w:r>
    </w:p>
    <w:p w:rsidR="00887330" w:rsidRPr="00583E1A" w:rsidRDefault="00887330" w:rsidP="00887330">
      <w:pPr>
        <w:pStyle w:val="subsection"/>
      </w:pPr>
      <w:r w:rsidRPr="00583E1A">
        <w:tab/>
        <w:t>(3)</w:t>
      </w:r>
      <w:r w:rsidRPr="00583E1A">
        <w:tab/>
        <w:t xml:space="preserve">The interest referred to in </w:t>
      </w:r>
      <w:r w:rsidR="00583E1A">
        <w:t>paragraph (</w:t>
      </w:r>
      <w:r w:rsidRPr="00583E1A">
        <w:t>1)(a) or (2)(c) may take the form of a proprietary right, a chose in action or any other form.</w:t>
      </w:r>
    </w:p>
    <w:p w:rsidR="00887330" w:rsidRPr="00583E1A" w:rsidRDefault="00887330" w:rsidP="0021164C">
      <w:pPr>
        <w:pStyle w:val="ActHead5"/>
      </w:pPr>
      <w:bookmarkStart w:id="597" w:name="_Toc338939671"/>
      <w:r w:rsidRPr="00583E1A">
        <w:rPr>
          <w:rStyle w:val="CharSectno"/>
        </w:rPr>
        <w:lastRenderedPageBreak/>
        <w:t>974</w:t>
      </w:r>
      <w:r w:rsidR="00583E1A">
        <w:rPr>
          <w:rStyle w:val="CharSectno"/>
        </w:rPr>
        <w:noBreakHyphen/>
      </w:r>
      <w:r w:rsidRPr="00583E1A">
        <w:rPr>
          <w:rStyle w:val="CharSectno"/>
        </w:rPr>
        <w:t>85</w:t>
      </w:r>
      <w:r w:rsidRPr="00583E1A">
        <w:t xml:space="preserve">  Right or return contingent on economic performance</w:t>
      </w:r>
      <w:bookmarkEnd w:id="597"/>
    </w:p>
    <w:p w:rsidR="00887330" w:rsidRPr="00583E1A" w:rsidRDefault="00887330" w:rsidP="0021164C">
      <w:pPr>
        <w:pStyle w:val="subsection"/>
        <w:keepNext/>
        <w:keepLines/>
      </w:pPr>
      <w:r w:rsidRPr="00583E1A">
        <w:tab/>
        <w:t>(1)</w:t>
      </w:r>
      <w:r w:rsidRPr="00583E1A">
        <w:tab/>
        <w:t xml:space="preserve">A right, or the amount of a return, is not </w:t>
      </w:r>
      <w:r w:rsidRPr="00583E1A">
        <w:rPr>
          <w:b/>
          <w:i/>
        </w:rPr>
        <w:t>contingent on the economic performance</w:t>
      </w:r>
      <w:r w:rsidRPr="00583E1A">
        <w:t xml:space="preserve"> of an entity, or a part of the entity’s activities, merely because the right or return is contingent on:</w:t>
      </w:r>
    </w:p>
    <w:p w:rsidR="00887330" w:rsidRPr="00583E1A" w:rsidRDefault="00887330" w:rsidP="0021164C">
      <w:pPr>
        <w:pStyle w:val="paragraph"/>
        <w:keepNext/>
        <w:keepLines/>
      </w:pPr>
      <w:r w:rsidRPr="00583E1A">
        <w:tab/>
        <w:t>(a)</w:t>
      </w:r>
      <w:r w:rsidRPr="00583E1A">
        <w:tab/>
        <w:t>the ability or willingness of an entity to meet the obligation to satisfy the right to the return; or</w:t>
      </w:r>
    </w:p>
    <w:p w:rsidR="00887330" w:rsidRPr="00583E1A" w:rsidRDefault="00887330" w:rsidP="0021164C">
      <w:pPr>
        <w:pStyle w:val="paragraph"/>
        <w:keepNext/>
        <w:keepLines/>
      </w:pPr>
      <w:r w:rsidRPr="00583E1A">
        <w:tab/>
        <w:t>(b)</w:t>
      </w:r>
      <w:r w:rsidRPr="00583E1A">
        <w:tab/>
        <w:t>the receipts or turnover of the entity or the turnover generated by those activities.</w:t>
      </w:r>
    </w:p>
    <w:p w:rsidR="00887330" w:rsidRPr="00583E1A" w:rsidRDefault="00887330" w:rsidP="0021164C">
      <w:pPr>
        <w:pStyle w:val="subsection"/>
        <w:keepNext/>
        <w:keepLines/>
      </w:pPr>
      <w:r w:rsidRPr="00583E1A">
        <w:tab/>
        <w:t>(2)</w:t>
      </w:r>
      <w:r w:rsidRPr="00583E1A">
        <w:tab/>
        <w:t>The regulations may specify circumstances in which a right or return is to be taken to be contingent, or not contingent, on the economic performance of an entity or a part of an entity’s activities.</w:t>
      </w:r>
    </w:p>
    <w:p w:rsidR="00887330" w:rsidRPr="00583E1A" w:rsidRDefault="00887330" w:rsidP="00887330">
      <w:pPr>
        <w:pStyle w:val="subsection"/>
      </w:pPr>
      <w:r w:rsidRPr="00583E1A">
        <w:tab/>
        <w:t>(3)</w:t>
      </w:r>
      <w:r w:rsidRPr="00583E1A">
        <w:tab/>
        <w:t xml:space="preserve">The regulations may provide that </w:t>
      </w:r>
      <w:r w:rsidR="00583E1A">
        <w:t>paragraph (</w:t>
      </w:r>
      <w:r w:rsidRPr="00583E1A">
        <w:t>1)(b) does not apply in the circumstances specified in the regulations.</w:t>
      </w:r>
    </w:p>
    <w:p w:rsidR="00887330" w:rsidRPr="00583E1A" w:rsidRDefault="00887330" w:rsidP="00887330">
      <w:pPr>
        <w:pStyle w:val="subsection"/>
      </w:pPr>
      <w:r w:rsidRPr="00583E1A">
        <w:tab/>
        <w:t>(4)</w:t>
      </w:r>
      <w:r w:rsidRPr="00583E1A">
        <w:tab/>
        <w:t>The regulations may provide that an interest that:</w:t>
      </w:r>
    </w:p>
    <w:p w:rsidR="00887330" w:rsidRPr="00583E1A" w:rsidRDefault="00887330" w:rsidP="00887330">
      <w:pPr>
        <w:pStyle w:val="paragraph"/>
      </w:pPr>
      <w:r w:rsidRPr="00583E1A">
        <w:tab/>
        <w:t>(a)</w:t>
      </w:r>
      <w:r w:rsidRPr="00583E1A">
        <w:tab/>
        <w:t>is covered by item</w:t>
      </w:r>
      <w:r w:rsidR="00583E1A">
        <w:t> </w:t>
      </w:r>
      <w:r w:rsidRPr="00583E1A">
        <w:t>2 in the table in subsection 974</w:t>
      </w:r>
      <w:r w:rsidR="00583E1A">
        <w:noBreakHyphen/>
      </w:r>
      <w:r w:rsidRPr="00583E1A">
        <w:t>75(1) or paragraph 974</w:t>
      </w:r>
      <w:r w:rsidR="00583E1A">
        <w:noBreakHyphen/>
      </w:r>
      <w:r w:rsidRPr="00583E1A">
        <w:t>80(2)(a); and</w:t>
      </w:r>
    </w:p>
    <w:p w:rsidR="00887330" w:rsidRPr="00583E1A" w:rsidRDefault="00887330" w:rsidP="00887330">
      <w:pPr>
        <w:pStyle w:val="paragraph"/>
      </w:pPr>
      <w:r w:rsidRPr="00583E1A">
        <w:tab/>
        <w:t>(b)</w:t>
      </w:r>
      <w:r w:rsidRPr="00583E1A">
        <w:tab/>
        <w:t>arises in the circumstances specified in the regulations;</w:t>
      </w:r>
    </w:p>
    <w:p w:rsidR="00887330" w:rsidRPr="00583E1A" w:rsidRDefault="00887330" w:rsidP="00887330">
      <w:pPr>
        <w:pStyle w:val="subsection2"/>
      </w:pPr>
      <w:r w:rsidRPr="00583E1A">
        <w:t xml:space="preserve">is not an </w:t>
      </w:r>
      <w:r w:rsidRPr="00583E1A">
        <w:rPr>
          <w:b/>
          <w:i/>
        </w:rPr>
        <w:t>equity interest</w:t>
      </w:r>
      <w:r w:rsidRPr="00583E1A">
        <w:t xml:space="preserve"> because of:</w:t>
      </w:r>
    </w:p>
    <w:p w:rsidR="00887330" w:rsidRPr="00583E1A" w:rsidRDefault="00887330" w:rsidP="00887330">
      <w:pPr>
        <w:pStyle w:val="paragraph"/>
      </w:pPr>
      <w:r w:rsidRPr="00583E1A">
        <w:tab/>
        <w:t>(c)</w:t>
      </w:r>
      <w:r w:rsidRPr="00583E1A">
        <w:tab/>
        <w:t xml:space="preserve">the limited extent to which the right or return that the interest carries is </w:t>
      </w:r>
      <w:r w:rsidR="00583E1A" w:rsidRPr="00583E1A">
        <w:rPr>
          <w:position w:val="6"/>
          <w:sz w:val="16"/>
        </w:rPr>
        <w:t>*</w:t>
      </w:r>
      <w:r w:rsidRPr="00583E1A">
        <w:t>contingent on the economic performance of an entity or a part of the entity’s activities; or</w:t>
      </w:r>
    </w:p>
    <w:p w:rsidR="00887330" w:rsidRPr="00583E1A" w:rsidRDefault="00887330" w:rsidP="00887330">
      <w:pPr>
        <w:pStyle w:val="paragraph"/>
      </w:pPr>
      <w:r w:rsidRPr="00583E1A">
        <w:tab/>
        <w:t>(d)</w:t>
      </w:r>
      <w:r w:rsidRPr="00583E1A">
        <w:tab/>
        <w:t>the practical insignificance of the right or return that the interest carries being contingent on that performance.</w:t>
      </w:r>
    </w:p>
    <w:p w:rsidR="00887330" w:rsidRPr="00583E1A" w:rsidRDefault="00887330" w:rsidP="00887330">
      <w:pPr>
        <w:pStyle w:val="ActHead5"/>
      </w:pPr>
      <w:bookmarkStart w:id="598" w:name="_Toc338939672"/>
      <w:r w:rsidRPr="00583E1A">
        <w:rPr>
          <w:rStyle w:val="CharSectno"/>
        </w:rPr>
        <w:t>974</w:t>
      </w:r>
      <w:r w:rsidR="00583E1A">
        <w:rPr>
          <w:rStyle w:val="CharSectno"/>
        </w:rPr>
        <w:noBreakHyphen/>
      </w:r>
      <w:r w:rsidRPr="00583E1A">
        <w:rPr>
          <w:rStyle w:val="CharSectno"/>
        </w:rPr>
        <w:t>90</w:t>
      </w:r>
      <w:r w:rsidRPr="00583E1A">
        <w:t xml:space="preserve">  Right or return at discretion of company or connected entity</w:t>
      </w:r>
      <w:bookmarkEnd w:id="598"/>
    </w:p>
    <w:p w:rsidR="00887330" w:rsidRPr="00583E1A" w:rsidRDefault="00887330" w:rsidP="00887330">
      <w:pPr>
        <w:pStyle w:val="subsection"/>
      </w:pPr>
      <w:r w:rsidRPr="00583E1A">
        <w:tab/>
      </w:r>
      <w:r w:rsidRPr="00583E1A">
        <w:tab/>
        <w:t xml:space="preserve">The regulations may specify circumstances in which a right, or the amount of a return, is to be taken to be </w:t>
      </w:r>
      <w:r w:rsidRPr="00583E1A">
        <w:rPr>
          <w:b/>
          <w:i/>
        </w:rPr>
        <w:t>at the discretion</w:t>
      </w:r>
      <w:r w:rsidRPr="00583E1A">
        <w:t xml:space="preserve"> of a company or a </w:t>
      </w:r>
      <w:r w:rsidR="00583E1A" w:rsidRPr="00583E1A">
        <w:rPr>
          <w:position w:val="6"/>
          <w:sz w:val="16"/>
        </w:rPr>
        <w:t>*</w:t>
      </w:r>
      <w:r w:rsidRPr="00583E1A">
        <w:t>connected entity of the company.</w:t>
      </w:r>
    </w:p>
    <w:p w:rsidR="00887330" w:rsidRPr="00583E1A" w:rsidRDefault="00887330" w:rsidP="00887330">
      <w:pPr>
        <w:pStyle w:val="ActHead5"/>
      </w:pPr>
      <w:bookmarkStart w:id="599" w:name="_Toc338939673"/>
      <w:r w:rsidRPr="00583E1A">
        <w:rPr>
          <w:rStyle w:val="CharSectno"/>
        </w:rPr>
        <w:t>974</w:t>
      </w:r>
      <w:r w:rsidR="00583E1A">
        <w:rPr>
          <w:rStyle w:val="CharSectno"/>
        </w:rPr>
        <w:noBreakHyphen/>
      </w:r>
      <w:r w:rsidRPr="00583E1A">
        <w:rPr>
          <w:rStyle w:val="CharSectno"/>
        </w:rPr>
        <w:t>95</w:t>
      </w:r>
      <w:r w:rsidRPr="00583E1A">
        <w:t xml:space="preserve">  The equity interest</w:t>
      </w:r>
      <w:bookmarkEnd w:id="599"/>
    </w:p>
    <w:p w:rsidR="00887330" w:rsidRPr="00583E1A" w:rsidRDefault="00887330" w:rsidP="00887330">
      <w:pPr>
        <w:pStyle w:val="subsection"/>
      </w:pPr>
      <w:r w:rsidRPr="00583E1A">
        <w:tab/>
        <w:t>(1)</w:t>
      </w:r>
      <w:r w:rsidRPr="00583E1A">
        <w:tab/>
        <w:t xml:space="preserve">If a </w:t>
      </w:r>
      <w:r w:rsidR="00583E1A" w:rsidRPr="00583E1A">
        <w:rPr>
          <w:position w:val="6"/>
          <w:sz w:val="16"/>
        </w:rPr>
        <w:t>*</w:t>
      </w:r>
      <w:r w:rsidRPr="00583E1A">
        <w:t xml:space="preserve">scheme gives rise to an </w:t>
      </w:r>
      <w:r w:rsidR="00583E1A" w:rsidRPr="00583E1A">
        <w:rPr>
          <w:position w:val="6"/>
          <w:sz w:val="16"/>
        </w:rPr>
        <w:t>*</w:t>
      </w:r>
      <w:r w:rsidRPr="00583E1A">
        <w:t>equity interest in a company because of an item of the table in subsection 974</w:t>
      </w:r>
      <w:r w:rsidR="00583E1A">
        <w:noBreakHyphen/>
      </w:r>
      <w:r w:rsidRPr="00583E1A">
        <w:t>75(1), the equity interest consists of the interest referred to in that item.</w:t>
      </w:r>
    </w:p>
    <w:p w:rsidR="00887330" w:rsidRPr="00583E1A" w:rsidRDefault="00887330" w:rsidP="00887330">
      <w:pPr>
        <w:pStyle w:val="subsection"/>
      </w:pPr>
      <w:r w:rsidRPr="00583E1A">
        <w:lastRenderedPageBreak/>
        <w:tab/>
        <w:t>(2)</w:t>
      </w:r>
      <w:r w:rsidRPr="00583E1A">
        <w:tab/>
        <w:t xml:space="preserve">If 2 or more </w:t>
      </w:r>
      <w:r w:rsidR="00583E1A" w:rsidRPr="00583E1A">
        <w:rPr>
          <w:position w:val="6"/>
          <w:sz w:val="16"/>
        </w:rPr>
        <w:t>*</w:t>
      </w:r>
      <w:r w:rsidRPr="00583E1A">
        <w:t xml:space="preserve">related schemes give rise to an </w:t>
      </w:r>
      <w:r w:rsidR="00583E1A" w:rsidRPr="00583E1A">
        <w:rPr>
          <w:position w:val="6"/>
          <w:sz w:val="16"/>
        </w:rPr>
        <w:t>*</w:t>
      </w:r>
      <w:r w:rsidRPr="00583E1A">
        <w:t>equity interest in a company because of an item of the table in subsection 974</w:t>
      </w:r>
      <w:r w:rsidR="00583E1A">
        <w:noBreakHyphen/>
      </w:r>
      <w:r w:rsidRPr="00583E1A">
        <w:t>75(1), the equity interest consists of the combination of interests under the schemes that satisfy the requirements of that item.</w:t>
      </w:r>
    </w:p>
    <w:p w:rsidR="00887330" w:rsidRPr="00583E1A" w:rsidRDefault="00887330" w:rsidP="00887330">
      <w:pPr>
        <w:pStyle w:val="subsection"/>
      </w:pPr>
      <w:r w:rsidRPr="00583E1A">
        <w:tab/>
        <w:t>(3)</w:t>
      </w:r>
      <w:r w:rsidRPr="00583E1A">
        <w:tab/>
        <w:t>Subsection 974</w:t>
      </w:r>
      <w:r w:rsidR="00583E1A">
        <w:noBreakHyphen/>
      </w:r>
      <w:r w:rsidRPr="00583E1A">
        <w:t xml:space="preserve">80(2) also provides that certain interests are </w:t>
      </w:r>
      <w:r w:rsidR="00583E1A" w:rsidRPr="00583E1A">
        <w:rPr>
          <w:position w:val="6"/>
          <w:sz w:val="16"/>
        </w:rPr>
        <w:t>*</w:t>
      </w:r>
      <w:r w:rsidRPr="00583E1A">
        <w:t>equity interests in a company.</w:t>
      </w:r>
    </w:p>
    <w:p w:rsidR="00887330" w:rsidRPr="00583E1A" w:rsidRDefault="00887330" w:rsidP="00887330">
      <w:pPr>
        <w:pStyle w:val="subsection"/>
      </w:pPr>
      <w:r w:rsidRPr="00583E1A">
        <w:tab/>
        <w:t>(4)</w:t>
      </w:r>
      <w:r w:rsidRPr="00583E1A">
        <w:tab/>
        <w:t xml:space="preserve">If the returns on a </w:t>
      </w:r>
      <w:r w:rsidR="00583E1A" w:rsidRPr="00583E1A">
        <w:rPr>
          <w:position w:val="6"/>
          <w:sz w:val="16"/>
        </w:rPr>
        <w:t>*</w:t>
      </w:r>
      <w:r w:rsidRPr="00583E1A">
        <w:t>non</w:t>
      </w:r>
      <w:r w:rsidR="00583E1A">
        <w:noBreakHyphen/>
      </w:r>
      <w:r w:rsidRPr="00583E1A">
        <w:t>share equity interest in a company are payable to 2 or more entities:</w:t>
      </w:r>
    </w:p>
    <w:p w:rsidR="00887330" w:rsidRPr="00583E1A" w:rsidRDefault="00887330" w:rsidP="00887330">
      <w:pPr>
        <w:pStyle w:val="paragraph"/>
      </w:pPr>
      <w:r w:rsidRPr="00583E1A">
        <w:tab/>
        <w:t>(a)</w:t>
      </w:r>
      <w:r w:rsidRPr="00583E1A">
        <w:tab/>
        <w:t>each entity is taken to be the holder of a non</w:t>
      </w:r>
      <w:r w:rsidR="00583E1A">
        <w:noBreakHyphen/>
      </w:r>
      <w:r w:rsidRPr="00583E1A">
        <w:t>share equity interest in the company; and</w:t>
      </w:r>
    </w:p>
    <w:p w:rsidR="00887330" w:rsidRPr="00583E1A" w:rsidRDefault="00887330" w:rsidP="00887330">
      <w:pPr>
        <w:pStyle w:val="paragraph"/>
      </w:pPr>
      <w:r w:rsidRPr="00583E1A">
        <w:tab/>
        <w:t>(b)</w:t>
      </w:r>
      <w:r w:rsidRPr="00583E1A">
        <w:tab/>
        <w:t>each entity’s non</w:t>
      </w:r>
      <w:r w:rsidR="00583E1A">
        <w:noBreakHyphen/>
      </w:r>
      <w:r w:rsidRPr="00583E1A">
        <w:t>share equity interest consists of the interests that:</w:t>
      </w:r>
    </w:p>
    <w:p w:rsidR="00887330" w:rsidRPr="00583E1A" w:rsidRDefault="00887330" w:rsidP="00887330">
      <w:pPr>
        <w:pStyle w:val="paragraphsub"/>
      </w:pPr>
      <w:r w:rsidRPr="00583E1A">
        <w:tab/>
        <w:t>(i)</w:t>
      </w:r>
      <w:r w:rsidRPr="00583E1A">
        <w:tab/>
        <w:t>constitute the non</w:t>
      </w:r>
      <w:r w:rsidR="00583E1A">
        <w:noBreakHyphen/>
      </w:r>
      <w:r w:rsidRPr="00583E1A">
        <w:t>share equity interest; and</w:t>
      </w:r>
    </w:p>
    <w:p w:rsidR="00887330" w:rsidRPr="00583E1A" w:rsidRDefault="00887330" w:rsidP="00887330">
      <w:pPr>
        <w:pStyle w:val="paragraphsub"/>
      </w:pPr>
      <w:r w:rsidRPr="00583E1A">
        <w:tab/>
        <w:t>(ii)</w:t>
      </w:r>
      <w:r w:rsidRPr="00583E1A">
        <w:tab/>
        <w:t>are held by that entity.</w:t>
      </w:r>
    </w:p>
    <w:p w:rsidR="00887330" w:rsidRPr="00583E1A" w:rsidRDefault="00887330" w:rsidP="00887330">
      <w:pPr>
        <w:pStyle w:val="subsection"/>
      </w:pPr>
      <w:r w:rsidRPr="00583E1A">
        <w:tab/>
        <w:t>(5)</w:t>
      </w:r>
      <w:r w:rsidRPr="00583E1A">
        <w:tab/>
        <w:t xml:space="preserve">The company in which an </w:t>
      </w:r>
      <w:r w:rsidR="00583E1A" w:rsidRPr="00583E1A">
        <w:rPr>
          <w:position w:val="6"/>
          <w:sz w:val="16"/>
        </w:rPr>
        <w:t>*</w:t>
      </w:r>
      <w:r w:rsidRPr="00583E1A">
        <w:t>equity interest exists is taken to be the issuer of the interest.</w:t>
      </w:r>
    </w:p>
    <w:p w:rsidR="00887330" w:rsidRPr="00583E1A" w:rsidRDefault="00887330" w:rsidP="00887330">
      <w:pPr>
        <w:pStyle w:val="ActHead4"/>
      </w:pPr>
      <w:bookmarkStart w:id="600" w:name="_Toc338939674"/>
      <w:r w:rsidRPr="00583E1A">
        <w:rPr>
          <w:rStyle w:val="CharSubdNo"/>
        </w:rPr>
        <w:t>Subdivision</w:t>
      </w:r>
      <w:r w:rsidR="00583E1A">
        <w:rPr>
          <w:rStyle w:val="CharSubdNo"/>
        </w:rPr>
        <w:t> </w:t>
      </w:r>
      <w:r w:rsidRPr="00583E1A">
        <w:rPr>
          <w:rStyle w:val="CharSubdNo"/>
        </w:rPr>
        <w:t>974</w:t>
      </w:r>
      <w:r w:rsidR="00583E1A">
        <w:rPr>
          <w:rStyle w:val="CharSubdNo"/>
        </w:rPr>
        <w:noBreakHyphen/>
      </w:r>
      <w:r w:rsidRPr="00583E1A">
        <w:rPr>
          <w:rStyle w:val="CharSubdNo"/>
        </w:rPr>
        <w:t>D</w:t>
      </w:r>
      <w:r w:rsidRPr="00583E1A">
        <w:t>—</w:t>
      </w:r>
      <w:r w:rsidRPr="00583E1A">
        <w:rPr>
          <w:rStyle w:val="CharSubdText"/>
        </w:rPr>
        <w:t>Common provisions</w:t>
      </w:r>
      <w:bookmarkEnd w:id="600"/>
    </w:p>
    <w:p w:rsidR="00887330" w:rsidRPr="00583E1A" w:rsidRDefault="00887330" w:rsidP="00887330">
      <w:pPr>
        <w:pStyle w:val="TofSectsHeading"/>
      </w:pPr>
      <w:r w:rsidRPr="00583E1A">
        <w:t>Table of sections</w:t>
      </w:r>
    </w:p>
    <w:p w:rsidR="00887330" w:rsidRPr="00583E1A" w:rsidRDefault="00887330" w:rsidP="00887330">
      <w:pPr>
        <w:pStyle w:val="TofSectsSection"/>
      </w:pPr>
      <w:r w:rsidRPr="00583E1A">
        <w:t>974</w:t>
      </w:r>
      <w:r w:rsidR="00583E1A">
        <w:noBreakHyphen/>
      </w:r>
      <w:r w:rsidRPr="00583E1A">
        <w:t>100</w:t>
      </w:r>
      <w:r w:rsidRPr="00583E1A">
        <w:tab/>
        <w:t>Treatment of convertible and converting interests</w:t>
      </w:r>
    </w:p>
    <w:p w:rsidR="00887330" w:rsidRPr="00583E1A" w:rsidRDefault="00887330" w:rsidP="00887330">
      <w:pPr>
        <w:pStyle w:val="TofSectsSection"/>
      </w:pPr>
      <w:r w:rsidRPr="00583E1A">
        <w:t>974</w:t>
      </w:r>
      <w:r w:rsidR="00583E1A">
        <w:noBreakHyphen/>
      </w:r>
      <w:r w:rsidRPr="00583E1A">
        <w:t>105</w:t>
      </w:r>
      <w:r w:rsidRPr="00583E1A">
        <w:tab/>
        <w:t>Effect of action taken in relation to interest arising from related schemes</w:t>
      </w:r>
    </w:p>
    <w:p w:rsidR="00887330" w:rsidRPr="00583E1A" w:rsidRDefault="00887330" w:rsidP="00887330">
      <w:pPr>
        <w:pStyle w:val="TofSectsSection"/>
      </w:pPr>
      <w:r w:rsidRPr="00583E1A">
        <w:t>974</w:t>
      </w:r>
      <w:r w:rsidR="00583E1A">
        <w:noBreakHyphen/>
      </w:r>
      <w:r w:rsidRPr="00583E1A">
        <w:t>110</w:t>
      </w:r>
      <w:r w:rsidRPr="00583E1A">
        <w:tab/>
        <w:t>Effect of material change</w:t>
      </w:r>
    </w:p>
    <w:p w:rsidR="00887330" w:rsidRPr="00583E1A" w:rsidRDefault="00887330" w:rsidP="00887330">
      <w:pPr>
        <w:pStyle w:val="TofSectsSection"/>
      </w:pPr>
      <w:r w:rsidRPr="00583E1A">
        <w:t>974</w:t>
      </w:r>
      <w:r w:rsidR="00583E1A">
        <w:noBreakHyphen/>
      </w:r>
      <w:r w:rsidRPr="00583E1A">
        <w:t>112</w:t>
      </w:r>
      <w:r w:rsidRPr="00583E1A">
        <w:tab/>
        <w:t>Determinations by Commissioner</w:t>
      </w:r>
    </w:p>
    <w:p w:rsidR="00887330" w:rsidRPr="00583E1A" w:rsidRDefault="00887330" w:rsidP="00887330">
      <w:pPr>
        <w:pStyle w:val="ActHead5"/>
      </w:pPr>
      <w:bookmarkStart w:id="601" w:name="_Toc338939675"/>
      <w:r w:rsidRPr="00583E1A">
        <w:rPr>
          <w:rStyle w:val="CharSectno"/>
        </w:rPr>
        <w:t>974</w:t>
      </w:r>
      <w:r w:rsidR="00583E1A">
        <w:rPr>
          <w:rStyle w:val="CharSectno"/>
        </w:rPr>
        <w:noBreakHyphen/>
      </w:r>
      <w:r w:rsidRPr="00583E1A">
        <w:rPr>
          <w:rStyle w:val="CharSectno"/>
        </w:rPr>
        <w:t>100</w:t>
      </w:r>
      <w:r w:rsidRPr="00583E1A">
        <w:t xml:space="preserve">  Treatment of convertible and converting interests</w:t>
      </w:r>
      <w:bookmarkEnd w:id="601"/>
    </w:p>
    <w:p w:rsidR="00887330" w:rsidRPr="00583E1A" w:rsidRDefault="00887330" w:rsidP="00887330">
      <w:pPr>
        <w:pStyle w:val="subsection"/>
      </w:pPr>
      <w:r w:rsidRPr="00583E1A">
        <w:tab/>
        <w:t>(1)</w:t>
      </w:r>
      <w:r w:rsidRPr="00583E1A">
        <w:tab/>
        <w:t xml:space="preserve">If a </w:t>
      </w:r>
      <w:r w:rsidR="00583E1A" w:rsidRPr="00583E1A">
        <w:rPr>
          <w:position w:val="6"/>
          <w:sz w:val="16"/>
        </w:rPr>
        <w:t>*</w:t>
      </w:r>
      <w:r w:rsidRPr="00583E1A">
        <w:t xml:space="preserve">debt interest is an </w:t>
      </w:r>
      <w:r w:rsidR="00583E1A" w:rsidRPr="00583E1A">
        <w:rPr>
          <w:position w:val="6"/>
          <w:sz w:val="16"/>
        </w:rPr>
        <w:t>*</w:t>
      </w:r>
      <w:r w:rsidRPr="00583E1A">
        <w:t xml:space="preserve">interest that will or may convert into an </w:t>
      </w:r>
      <w:r w:rsidR="00583E1A" w:rsidRPr="00583E1A">
        <w:rPr>
          <w:position w:val="6"/>
          <w:sz w:val="16"/>
        </w:rPr>
        <w:t>*</w:t>
      </w:r>
      <w:r w:rsidRPr="00583E1A">
        <w:t>equity interest, the conversion is taken, for the purposes of this Division to give rise to a new interest (and is not treated merely as a continuation of the debt interest).</w:t>
      </w:r>
    </w:p>
    <w:p w:rsidR="00887330" w:rsidRPr="00583E1A" w:rsidRDefault="00887330" w:rsidP="00887330">
      <w:pPr>
        <w:pStyle w:val="subsection"/>
      </w:pPr>
      <w:r w:rsidRPr="00583E1A">
        <w:tab/>
        <w:t>(2)</w:t>
      </w:r>
      <w:r w:rsidRPr="00583E1A">
        <w:tab/>
        <w:t xml:space="preserve">If an </w:t>
      </w:r>
      <w:r w:rsidR="00583E1A" w:rsidRPr="00583E1A">
        <w:rPr>
          <w:position w:val="6"/>
          <w:sz w:val="16"/>
        </w:rPr>
        <w:t>*</w:t>
      </w:r>
      <w:r w:rsidRPr="00583E1A">
        <w:t xml:space="preserve">equity interest is an </w:t>
      </w:r>
      <w:r w:rsidR="00583E1A" w:rsidRPr="00583E1A">
        <w:rPr>
          <w:position w:val="6"/>
          <w:sz w:val="16"/>
        </w:rPr>
        <w:t>*</w:t>
      </w:r>
      <w:r w:rsidRPr="00583E1A">
        <w:t xml:space="preserve">interest that will or may convert into a </w:t>
      </w:r>
      <w:r w:rsidR="00583E1A" w:rsidRPr="00583E1A">
        <w:rPr>
          <w:position w:val="6"/>
          <w:sz w:val="16"/>
        </w:rPr>
        <w:t>*</w:t>
      </w:r>
      <w:r w:rsidRPr="00583E1A">
        <w:t>debt interest, the conversion is taken, for the purposes of this Division to give rise to a new interest (and is not treated merely as a continuation of the equity interest).</w:t>
      </w:r>
    </w:p>
    <w:p w:rsidR="00887330" w:rsidRPr="00583E1A" w:rsidRDefault="00887330" w:rsidP="00887330">
      <w:pPr>
        <w:pStyle w:val="ActHead5"/>
      </w:pPr>
      <w:bookmarkStart w:id="602" w:name="_Toc338939676"/>
      <w:r w:rsidRPr="00583E1A">
        <w:rPr>
          <w:rStyle w:val="CharSectno"/>
        </w:rPr>
        <w:lastRenderedPageBreak/>
        <w:t>974</w:t>
      </w:r>
      <w:r w:rsidR="00583E1A">
        <w:rPr>
          <w:rStyle w:val="CharSectno"/>
        </w:rPr>
        <w:noBreakHyphen/>
      </w:r>
      <w:r w:rsidRPr="00583E1A">
        <w:rPr>
          <w:rStyle w:val="CharSectno"/>
        </w:rPr>
        <w:t>105</w:t>
      </w:r>
      <w:r w:rsidRPr="00583E1A">
        <w:t xml:space="preserve">  Effect of action taken in relation to interest arising from related schemes</w:t>
      </w:r>
      <w:bookmarkEnd w:id="602"/>
    </w:p>
    <w:p w:rsidR="00887330" w:rsidRPr="00583E1A" w:rsidRDefault="00887330" w:rsidP="00887330">
      <w:pPr>
        <w:pStyle w:val="subsection"/>
      </w:pPr>
      <w:r w:rsidRPr="00583E1A">
        <w:tab/>
        <w:t>(1)</w:t>
      </w:r>
      <w:r w:rsidRPr="00583E1A">
        <w:tab/>
        <w:t>If:</w:t>
      </w:r>
    </w:p>
    <w:p w:rsidR="00887330" w:rsidRPr="00583E1A" w:rsidRDefault="00887330" w:rsidP="00887330">
      <w:pPr>
        <w:pStyle w:val="paragraph"/>
      </w:pPr>
      <w:r w:rsidRPr="00583E1A">
        <w:tab/>
        <w:t>(a)</w:t>
      </w:r>
      <w:r w:rsidRPr="00583E1A">
        <w:tab/>
        <w:t xml:space="preserve">a </w:t>
      </w:r>
      <w:r w:rsidR="00583E1A" w:rsidRPr="00583E1A">
        <w:rPr>
          <w:position w:val="6"/>
          <w:sz w:val="16"/>
        </w:rPr>
        <w:t>*</w:t>
      </w:r>
      <w:r w:rsidRPr="00583E1A">
        <w:t xml:space="preserve">scheme, or schemes, give rise to a </w:t>
      </w:r>
      <w:r w:rsidR="00583E1A" w:rsidRPr="00583E1A">
        <w:rPr>
          <w:position w:val="6"/>
          <w:sz w:val="16"/>
        </w:rPr>
        <w:t>*</w:t>
      </w:r>
      <w:r w:rsidRPr="00583E1A">
        <w:t xml:space="preserve">debt interest in an entity or an </w:t>
      </w:r>
      <w:r w:rsidR="00583E1A" w:rsidRPr="00583E1A">
        <w:rPr>
          <w:position w:val="6"/>
          <w:sz w:val="16"/>
        </w:rPr>
        <w:t>*</w:t>
      </w:r>
      <w:r w:rsidRPr="00583E1A">
        <w:t>equity interest in a company; and</w:t>
      </w:r>
    </w:p>
    <w:p w:rsidR="00887330" w:rsidRPr="00583E1A" w:rsidRDefault="00887330" w:rsidP="00887330">
      <w:pPr>
        <w:pStyle w:val="paragraph"/>
      </w:pPr>
      <w:r w:rsidRPr="00583E1A">
        <w:tab/>
        <w:t>(b)</w:t>
      </w:r>
      <w:r w:rsidRPr="00583E1A">
        <w:tab/>
        <w:t xml:space="preserve">the entity or company pays a return, or undertakes any other transaction, in respect of any of the following (the </w:t>
      </w:r>
      <w:r w:rsidRPr="00583E1A">
        <w:rPr>
          <w:b/>
          <w:i/>
        </w:rPr>
        <w:t>component element</w:t>
      </w:r>
      <w:r w:rsidRPr="00583E1A">
        <w:t>):</w:t>
      </w:r>
    </w:p>
    <w:p w:rsidR="00887330" w:rsidRPr="00583E1A" w:rsidRDefault="00887330" w:rsidP="00887330">
      <w:pPr>
        <w:pStyle w:val="paragraphsub"/>
      </w:pPr>
      <w:r w:rsidRPr="00583E1A">
        <w:tab/>
        <w:t>(i)</w:t>
      </w:r>
      <w:r w:rsidRPr="00583E1A">
        <w:tab/>
        <w:t>the scheme; or</w:t>
      </w:r>
    </w:p>
    <w:p w:rsidR="00887330" w:rsidRPr="00583E1A" w:rsidRDefault="00887330" w:rsidP="00887330">
      <w:pPr>
        <w:pStyle w:val="paragraphsub"/>
      </w:pPr>
      <w:r w:rsidRPr="00583E1A">
        <w:tab/>
        <w:t>(ii)</w:t>
      </w:r>
      <w:r w:rsidRPr="00583E1A">
        <w:tab/>
        <w:t>a part of the scheme; or</w:t>
      </w:r>
    </w:p>
    <w:p w:rsidR="00887330" w:rsidRPr="00583E1A" w:rsidRDefault="00887330" w:rsidP="00887330">
      <w:pPr>
        <w:pStyle w:val="paragraphsub"/>
      </w:pPr>
      <w:r w:rsidRPr="00583E1A">
        <w:tab/>
        <w:t>(iii)</w:t>
      </w:r>
      <w:r w:rsidRPr="00583E1A">
        <w:tab/>
        <w:t>one of those schemes; or</w:t>
      </w:r>
    </w:p>
    <w:p w:rsidR="00887330" w:rsidRPr="00583E1A" w:rsidRDefault="00887330" w:rsidP="00887330">
      <w:pPr>
        <w:pStyle w:val="paragraphsub"/>
      </w:pPr>
      <w:r w:rsidRPr="00583E1A">
        <w:tab/>
        <w:t>(iv)</w:t>
      </w:r>
      <w:r w:rsidRPr="00583E1A">
        <w:tab/>
        <w:t>a part of one of those schemes;</w:t>
      </w:r>
    </w:p>
    <w:p w:rsidR="00887330" w:rsidRPr="00583E1A" w:rsidRDefault="00887330" w:rsidP="00887330">
      <w:pPr>
        <w:pStyle w:val="subsection2"/>
      </w:pPr>
      <w:r w:rsidRPr="00583E1A">
        <w:t xml:space="preserve">then, for the purposes of the provisions that </w:t>
      </w:r>
      <w:r w:rsidR="00583E1A">
        <w:t>subsection (</w:t>
      </w:r>
      <w:r w:rsidRPr="00583E1A">
        <w:t>2) covers, the return is taken to be paid, or the transaction to have been undertaken, in respect of the debt interest or equity interest and not in respect of the component element.</w:t>
      </w:r>
    </w:p>
    <w:p w:rsidR="00887330" w:rsidRPr="00583E1A" w:rsidRDefault="00887330" w:rsidP="00887330">
      <w:pPr>
        <w:pStyle w:val="notetext"/>
      </w:pPr>
      <w:r w:rsidRPr="00583E1A">
        <w:t>Example:</w:t>
      </w:r>
      <w:r w:rsidRPr="00583E1A">
        <w:tab/>
        <w:t>Company A issues a convertible note to Company B. Company C, a connected entity of Company B, provides a binding collateral undertaking to Company A that Company B will exercise the option to convert the note into shares in Company A. The convertible note and the undertaking are related schemes that may give rise to an equity interest in Company A if their combined effect satisfies section</w:t>
      </w:r>
      <w:r w:rsidR="00583E1A">
        <w:t> </w:t>
      </w:r>
      <w:r w:rsidRPr="00583E1A">
        <w:t>974</w:t>
      </w:r>
      <w:r w:rsidR="00583E1A">
        <w:noBreakHyphen/>
      </w:r>
      <w:r w:rsidRPr="00583E1A">
        <w:t>70. If so, the returns on the note are taken to be returns in respect of the equity interest.</w:t>
      </w:r>
    </w:p>
    <w:p w:rsidR="00887330" w:rsidRPr="00583E1A" w:rsidRDefault="00887330" w:rsidP="00887330">
      <w:pPr>
        <w:pStyle w:val="subsection"/>
      </w:pPr>
      <w:r w:rsidRPr="00583E1A">
        <w:tab/>
        <w:t>(2)</w:t>
      </w:r>
      <w:r w:rsidRPr="00583E1A">
        <w:tab/>
        <w:t>This subsection covers:</w:t>
      </w:r>
    </w:p>
    <w:p w:rsidR="00887330" w:rsidRPr="00583E1A" w:rsidRDefault="00887330" w:rsidP="00887330">
      <w:pPr>
        <w:pStyle w:val="paragraph"/>
      </w:pPr>
      <w:r w:rsidRPr="00583E1A">
        <w:tab/>
        <w:t>(a)</w:t>
      </w:r>
      <w:r w:rsidRPr="00583E1A">
        <w:tab/>
        <w:t>the provisions of this Division (other than this section); and</w:t>
      </w:r>
    </w:p>
    <w:p w:rsidR="00887330" w:rsidRPr="00583E1A" w:rsidRDefault="00887330" w:rsidP="00887330">
      <w:pPr>
        <w:pStyle w:val="paragraph"/>
      </w:pPr>
      <w:r w:rsidRPr="00583E1A">
        <w:tab/>
        <w:t>(b)</w:t>
      </w:r>
      <w:r w:rsidRPr="00583E1A">
        <w:tab/>
        <w:t>any other provision of this Act whose operation depends on an expression whose meaning is given by this Division.</w:t>
      </w:r>
    </w:p>
    <w:p w:rsidR="00887330" w:rsidRPr="00583E1A" w:rsidRDefault="00887330" w:rsidP="00887330">
      <w:pPr>
        <w:pStyle w:val="ActHead5"/>
      </w:pPr>
      <w:bookmarkStart w:id="603" w:name="_Toc338939677"/>
      <w:r w:rsidRPr="00583E1A">
        <w:rPr>
          <w:rStyle w:val="CharSectno"/>
        </w:rPr>
        <w:t>974</w:t>
      </w:r>
      <w:r w:rsidR="00583E1A">
        <w:rPr>
          <w:rStyle w:val="CharSectno"/>
        </w:rPr>
        <w:noBreakHyphen/>
      </w:r>
      <w:r w:rsidRPr="00583E1A">
        <w:rPr>
          <w:rStyle w:val="CharSectno"/>
        </w:rPr>
        <w:t>110</w:t>
      </w:r>
      <w:r w:rsidRPr="00583E1A">
        <w:t xml:space="preserve">  Effect of material change</w:t>
      </w:r>
      <w:bookmarkEnd w:id="603"/>
    </w:p>
    <w:p w:rsidR="00887330" w:rsidRPr="00583E1A" w:rsidRDefault="00887330" w:rsidP="00887330">
      <w:pPr>
        <w:pStyle w:val="SubsectionHead"/>
      </w:pPr>
      <w:r w:rsidRPr="00583E1A">
        <w:t>Change to existing scheme—general rule</w:t>
      </w:r>
    </w:p>
    <w:p w:rsidR="00887330" w:rsidRPr="00583E1A" w:rsidRDefault="00887330" w:rsidP="00887330">
      <w:pPr>
        <w:pStyle w:val="subsection"/>
      </w:pPr>
      <w:r w:rsidRPr="00583E1A">
        <w:tab/>
        <w:t>(1)</w:t>
      </w:r>
      <w:r w:rsidRPr="00583E1A">
        <w:tab/>
        <w:t>If:</w:t>
      </w:r>
    </w:p>
    <w:p w:rsidR="00887330" w:rsidRPr="00583E1A" w:rsidRDefault="00887330" w:rsidP="00887330">
      <w:pPr>
        <w:pStyle w:val="paragraph"/>
      </w:pPr>
      <w:r w:rsidRPr="00583E1A">
        <w:tab/>
        <w:t>(a)</w:t>
      </w:r>
      <w:r w:rsidRPr="00583E1A">
        <w:tab/>
        <w:t xml:space="preserve">a </w:t>
      </w:r>
      <w:r w:rsidR="00583E1A" w:rsidRPr="00583E1A">
        <w:rPr>
          <w:position w:val="6"/>
          <w:sz w:val="16"/>
        </w:rPr>
        <w:t>*</w:t>
      </w:r>
      <w:r w:rsidRPr="00583E1A">
        <w:t xml:space="preserve">scheme or schemes give rise to a </w:t>
      </w:r>
      <w:r w:rsidR="00583E1A" w:rsidRPr="00583E1A">
        <w:rPr>
          <w:position w:val="6"/>
          <w:sz w:val="16"/>
        </w:rPr>
        <w:t>*</w:t>
      </w:r>
      <w:r w:rsidRPr="00583E1A">
        <w:t xml:space="preserve">debt interest (or an </w:t>
      </w:r>
      <w:r w:rsidR="00583E1A" w:rsidRPr="00583E1A">
        <w:rPr>
          <w:position w:val="6"/>
          <w:sz w:val="16"/>
        </w:rPr>
        <w:t>*</w:t>
      </w:r>
      <w:r w:rsidRPr="00583E1A">
        <w:t>equity interest) in a company; and</w:t>
      </w:r>
    </w:p>
    <w:p w:rsidR="00887330" w:rsidRPr="00583E1A" w:rsidRDefault="00887330" w:rsidP="00887330">
      <w:pPr>
        <w:pStyle w:val="paragraph"/>
      </w:pPr>
      <w:r w:rsidRPr="00583E1A">
        <w:lastRenderedPageBreak/>
        <w:tab/>
        <w:t>(b)</w:t>
      </w:r>
      <w:r w:rsidRPr="00583E1A">
        <w:tab/>
        <w:t>the scheme, or one or more of the schemes, are subsequently changed</w:t>
      </w:r>
      <w:r w:rsidR="004107FE" w:rsidRPr="0038586A">
        <w:t>, including where one or more (but not all) of the schemes cease to exist</w:t>
      </w:r>
      <w:r w:rsidRPr="00583E1A">
        <w:t>; and</w:t>
      </w:r>
    </w:p>
    <w:p w:rsidR="00887330" w:rsidRPr="00583E1A" w:rsidRDefault="00887330" w:rsidP="00887330">
      <w:pPr>
        <w:pStyle w:val="paragraph"/>
      </w:pPr>
      <w:r w:rsidRPr="00583E1A">
        <w:tab/>
        <w:t>(c)</w:t>
      </w:r>
      <w:r w:rsidRPr="00583E1A">
        <w:tab/>
        <w:t>the scheme or schemes as they exist immediately after the change would give rise to an equity interest (or a debt interest) in the company if they came into existence when the change occurred; and</w:t>
      </w:r>
    </w:p>
    <w:p w:rsidR="00887330" w:rsidRPr="00583E1A" w:rsidRDefault="00887330" w:rsidP="00887330">
      <w:pPr>
        <w:pStyle w:val="paragraph"/>
      </w:pPr>
      <w:r w:rsidRPr="00583E1A">
        <w:tab/>
        <w:t>(d)</w:t>
      </w:r>
      <w:r w:rsidRPr="00583E1A">
        <w:tab/>
      </w:r>
      <w:r w:rsidR="00583E1A">
        <w:t>subsection (</w:t>
      </w:r>
      <w:r w:rsidRPr="00583E1A">
        <w:t>1A) does not apply to the change;</w:t>
      </w:r>
    </w:p>
    <w:p w:rsidR="00887330" w:rsidRPr="00583E1A" w:rsidRDefault="00887330" w:rsidP="00887330">
      <w:pPr>
        <w:pStyle w:val="subsection2"/>
      </w:pPr>
      <w:r w:rsidRPr="00583E1A">
        <w:t>this Division applies after the change as if the scheme or schemes as they exist immediately after the change came into existence when the change occurred.</w:t>
      </w:r>
    </w:p>
    <w:p w:rsidR="00887330" w:rsidRPr="00583E1A" w:rsidRDefault="00887330" w:rsidP="00887330">
      <w:pPr>
        <w:pStyle w:val="notetext"/>
      </w:pPr>
      <w:r w:rsidRPr="00583E1A">
        <w:t>Note 1:</w:t>
      </w:r>
      <w:r w:rsidRPr="00583E1A">
        <w:tab/>
        <w:t>This will mean that the characterisation of the interest will change at that time.</w:t>
      </w:r>
    </w:p>
    <w:p w:rsidR="00887330" w:rsidRPr="00583E1A" w:rsidRDefault="00887330" w:rsidP="00887330">
      <w:pPr>
        <w:pStyle w:val="notetext"/>
      </w:pPr>
      <w:r w:rsidRPr="00583E1A">
        <w:t>Note 2:</w:t>
      </w:r>
      <w:r w:rsidRPr="00583E1A">
        <w:tab/>
        <w:t>This section can apply to an interest a number of times so that, for example, an interest that is equity when issued may change to debt because of one subsequent change and then back to equity because of a later change.</w:t>
      </w:r>
    </w:p>
    <w:p w:rsidR="00887330" w:rsidRPr="00583E1A" w:rsidRDefault="00887330" w:rsidP="00887330">
      <w:pPr>
        <w:pStyle w:val="notetext"/>
      </w:pPr>
      <w:r w:rsidRPr="00583E1A">
        <w:t>Note 3:</w:t>
      </w:r>
      <w:r w:rsidRPr="00583E1A">
        <w:tab/>
        <w:t>There will be an adjustment to the company’s non</w:t>
      </w:r>
      <w:r w:rsidR="00583E1A">
        <w:noBreakHyphen/>
      </w:r>
      <w:r w:rsidRPr="00583E1A">
        <w:t>share capital account when the change occurs (see subsections 164</w:t>
      </w:r>
      <w:r w:rsidR="00583E1A">
        <w:noBreakHyphen/>
      </w:r>
      <w:r w:rsidRPr="00583E1A">
        <w:t>15(2) and 164</w:t>
      </w:r>
      <w:r w:rsidR="00583E1A">
        <w:noBreakHyphen/>
      </w:r>
      <w:r w:rsidRPr="00583E1A">
        <w:t>20(3)).</w:t>
      </w:r>
    </w:p>
    <w:p w:rsidR="00887330" w:rsidRPr="00583E1A" w:rsidRDefault="00887330" w:rsidP="00887330">
      <w:pPr>
        <w:pStyle w:val="SubsectionHead"/>
      </w:pPr>
      <w:r w:rsidRPr="00583E1A">
        <w:t>Change to existing scheme—special rule for changing a related party at call etc. loan to a private company from equity to debt</w:t>
      </w:r>
    </w:p>
    <w:p w:rsidR="00887330" w:rsidRPr="00583E1A" w:rsidRDefault="00887330" w:rsidP="00887330">
      <w:pPr>
        <w:pStyle w:val="subsection"/>
      </w:pPr>
      <w:r w:rsidRPr="00583E1A">
        <w:tab/>
        <w:t>(1A)</w:t>
      </w:r>
      <w:r w:rsidRPr="00583E1A">
        <w:tab/>
        <w:t>If:</w:t>
      </w:r>
    </w:p>
    <w:p w:rsidR="00887330" w:rsidRPr="00583E1A" w:rsidRDefault="00887330" w:rsidP="00887330">
      <w:pPr>
        <w:pStyle w:val="paragraph"/>
      </w:pPr>
      <w:r w:rsidRPr="00583E1A">
        <w:tab/>
        <w:t>(a)</w:t>
      </w:r>
      <w:r w:rsidRPr="00583E1A">
        <w:tab/>
        <w:t xml:space="preserve">a </w:t>
      </w:r>
      <w:r w:rsidR="00583E1A" w:rsidRPr="00583E1A">
        <w:rPr>
          <w:position w:val="6"/>
          <w:sz w:val="16"/>
        </w:rPr>
        <w:t>*</w:t>
      </w:r>
      <w:r w:rsidRPr="00583E1A">
        <w:t>scheme takes the form of a loan that satisfies paragraphs 974</w:t>
      </w:r>
      <w:r w:rsidR="00583E1A">
        <w:noBreakHyphen/>
      </w:r>
      <w:r w:rsidRPr="00583E1A">
        <w:t>75(4)(a), (b) and (c); and</w:t>
      </w:r>
    </w:p>
    <w:p w:rsidR="00887330" w:rsidRPr="00583E1A" w:rsidRDefault="00887330" w:rsidP="00887330">
      <w:pPr>
        <w:pStyle w:val="paragraph"/>
      </w:pPr>
      <w:r w:rsidRPr="00583E1A">
        <w:tab/>
        <w:t>(b)</w:t>
      </w:r>
      <w:r w:rsidRPr="00583E1A">
        <w:tab/>
        <w:t xml:space="preserve">the scheme gives rise to an </w:t>
      </w:r>
      <w:r w:rsidR="00583E1A" w:rsidRPr="00583E1A">
        <w:rPr>
          <w:position w:val="6"/>
          <w:sz w:val="16"/>
        </w:rPr>
        <w:t>*</w:t>
      </w:r>
      <w:r w:rsidRPr="00583E1A">
        <w:t xml:space="preserve">equity interest (disregarding the effect this subsection has on the characterisation of the interest because of the change referred to in </w:t>
      </w:r>
      <w:r w:rsidR="00583E1A">
        <w:t>paragraph (</w:t>
      </w:r>
      <w:r w:rsidRPr="00583E1A">
        <w:t>c) of this subsection); and</w:t>
      </w:r>
    </w:p>
    <w:p w:rsidR="00887330" w:rsidRPr="00583E1A" w:rsidRDefault="00887330" w:rsidP="00887330">
      <w:pPr>
        <w:pStyle w:val="paragraph"/>
      </w:pPr>
      <w:r w:rsidRPr="00583E1A">
        <w:tab/>
        <w:t>(c)</w:t>
      </w:r>
      <w:r w:rsidRPr="00583E1A">
        <w:tab/>
        <w:t>the scheme</w:t>
      </w:r>
      <w:r w:rsidRPr="00583E1A">
        <w:rPr>
          <w:i/>
        </w:rPr>
        <w:t xml:space="preserve"> </w:t>
      </w:r>
      <w:r w:rsidRPr="00583E1A">
        <w:t>is</w:t>
      </w:r>
      <w:r w:rsidRPr="00583E1A">
        <w:rPr>
          <w:i/>
        </w:rPr>
        <w:t xml:space="preserve"> </w:t>
      </w:r>
      <w:r w:rsidRPr="00583E1A">
        <w:t>subsequently changed; and</w:t>
      </w:r>
    </w:p>
    <w:p w:rsidR="00887330" w:rsidRPr="00583E1A" w:rsidRDefault="00887330" w:rsidP="00887330">
      <w:pPr>
        <w:pStyle w:val="paragraph"/>
      </w:pPr>
      <w:r w:rsidRPr="00583E1A">
        <w:tab/>
        <w:t>(d)</w:t>
      </w:r>
      <w:r w:rsidRPr="00583E1A">
        <w:tab/>
        <w:t xml:space="preserve">the change occurs in the period starting immediately after the end of a particular income year (the </w:t>
      </w:r>
      <w:r w:rsidRPr="00583E1A">
        <w:rPr>
          <w:b/>
          <w:i/>
        </w:rPr>
        <w:t>year of effect</w:t>
      </w:r>
      <w:r w:rsidRPr="00583E1A">
        <w:t>) and ending at the end of the earlier of the following days:</w:t>
      </w:r>
    </w:p>
    <w:p w:rsidR="00887330" w:rsidRPr="00583E1A" w:rsidRDefault="00887330" w:rsidP="00887330">
      <w:pPr>
        <w:pStyle w:val="paragraphsub"/>
      </w:pPr>
      <w:r w:rsidRPr="00583E1A">
        <w:tab/>
        <w:t>(i)</w:t>
      </w:r>
      <w:r w:rsidRPr="00583E1A">
        <w:tab/>
        <w:t xml:space="preserve">the due date for lodgment of the company’s </w:t>
      </w:r>
      <w:r w:rsidR="00583E1A" w:rsidRPr="00583E1A">
        <w:rPr>
          <w:position w:val="6"/>
          <w:sz w:val="16"/>
        </w:rPr>
        <w:t>*</w:t>
      </w:r>
      <w:r w:rsidR="007D4FF4" w:rsidRPr="00583E1A">
        <w:t>income tax return</w:t>
      </w:r>
      <w:r w:rsidRPr="00583E1A">
        <w:t xml:space="preserve"> for the year of effect;</w:t>
      </w:r>
    </w:p>
    <w:p w:rsidR="00887330" w:rsidRPr="00583E1A" w:rsidRDefault="00887330" w:rsidP="00887330">
      <w:pPr>
        <w:pStyle w:val="paragraphsub"/>
      </w:pPr>
      <w:r w:rsidRPr="00583E1A">
        <w:tab/>
        <w:t>(ii)</w:t>
      </w:r>
      <w:r w:rsidRPr="00583E1A">
        <w:tab/>
        <w:t xml:space="preserve">the date of lodgment of the company’s </w:t>
      </w:r>
      <w:r w:rsidR="007D4FF4" w:rsidRPr="00583E1A">
        <w:t>income tax return</w:t>
      </w:r>
      <w:r w:rsidRPr="00583E1A">
        <w:t xml:space="preserve"> for the year of effect; and</w:t>
      </w:r>
    </w:p>
    <w:p w:rsidR="00887330" w:rsidRPr="00583E1A" w:rsidRDefault="00887330" w:rsidP="00887330">
      <w:pPr>
        <w:pStyle w:val="paragraph"/>
      </w:pPr>
      <w:r w:rsidRPr="00583E1A">
        <w:lastRenderedPageBreak/>
        <w:tab/>
        <w:t>(e)</w:t>
      </w:r>
      <w:r w:rsidRPr="00583E1A">
        <w:tab/>
        <w:t>the scheme,</w:t>
      </w:r>
      <w:r w:rsidRPr="00583E1A">
        <w:rPr>
          <w:i/>
        </w:rPr>
        <w:t xml:space="preserve"> </w:t>
      </w:r>
      <w:r w:rsidRPr="00583E1A">
        <w:t>as it</w:t>
      </w:r>
      <w:r w:rsidRPr="00583E1A">
        <w:rPr>
          <w:i/>
        </w:rPr>
        <w:t xml:space="preserve"> </w:t>
      </w:r>
      <w:r w:rsidRPr="00583E1A">
        <w:t xml:space="preserve">exists immediately after the change, would give rise to a </w:t>
      </w:r>
      <w:r w:rsidR="00583E1A" w:rsidRPr="00583E1A">
        <w:rPr>
          <w:position w:val="6"/>
          <w:sz w:val="16"/>
        </w:rPr>
        <w:t>*</w:t>
      </w:r>
      <w:r w:rsidRPr="00583E1A">
        <w:t>debt interest in the company if the interest</w:t>
      </w:r>
      <w:r w:rsidRPr="00583E1A">
        <w:rPr>
          <w:i/>
        </w:rPr>
        <w:t xml:space="preserve"> </w:t>
      </w:r>
      <w:r w:rsidRPr="00583E1A">
        <w:t>came into existence when the change occurred; and</w:t>
      </w:r>
    </w:p>
    <w:p w:rsidR="00887330" w:rsidRPr="00583E1A" w:rsidRDefault="00887330" w:rsidP="00887330">
      <w:pPr>
        <w:pStyle w:val="paragraph"/>
      </w:pPr>
      <w:r w:rsidRPr="00583E1A">
        <w:tab/>
        <w:t>(f)</w:t>
      </w:r>
      <w:r w:rsidRPr="00583E1A">
        <w:tab/>
        <w:t xml:space="preserve">the company is a </w:t>
      </w:r>
      <w:r w:rsidR="00583E1A" w:rsidRPr="00583E1A">
        <w:rPr>
          <w:position w:val="6"/>
          <w:sz w:val="16"/>
        </w:rPr>
        <w:t>*</w:t>
      </w:r>
      <w:r w:rsidRPr="00583E1A">
        <w:t>private company in relation to the year of effect; and</w:t>
      </w:r>
    </w:p>
    <w:p w:rsidR="00887330" w:rsidRPr="00583E1A" w:rsidRDefault="00887330" w:rsidP="00887330">
      <w:pPr>
        <w:pStyle w:val="paragraph"/>
      </w:pPr>
      <w:r w:rsidRPr="00583E1A">
        <w:tab/>
        <w:t>(g)</w:t>
      </w:r>
      <w:r w:rsidRPr="00583E1A">
        <w:tab/>
        <w:t>subsection 974</w:t>
      </w:r>
      <w:r w:rsidR="00583E1A">
        <w:noBreakHyphen/>
      </w:r>
      <w:r w:rsidRPr="00583E1A">
        <w:t>75(6) does not apply in relation to the loan and the year of effect; and</w:t>
      </w:r>
    </w:p>
    <w:p w:rsidR="00887330" w:rsidRPr="00583E1A" w:rsidRDefault="00887330" w:rsidP="00887330">
      <w:pPr>
        <w:pStyle w:val="paragraph"/>
      </w:pPr>
      <w:r w:rsidRPr="00583E1A">
        <w:tab/>
        <w:t>(h)</w:t>
      </w:r>
      <w:r w:rsidRPr="00583E1A">
        <w:tab/>
        <w:t>the company elects that this subsection is to apply to the change;</w:t>
      </w:r>
    </w:p>
    <w:p w:rsidR="00887330" w:rsidRPr="00583E1A" w:rsidRDefault="00887330" w:rsidP="00887330">
      <w:pPr>
        <w:pStyle w:val="subsection2"/>
      </w:pPr>
      <w:r w:rsidRPr="00583E1A">
        <w:t xml:space="preserve">this Division applies as if the scheme, as it exists immediately after the change, had come into existence at the start of the year of effect, and as if no other change of a kind referred to in </w:t>
      </w:r>
      <w:r w:rsidR="00583E1A">
        <w:t>subsection (</w:t>
      </w:r>
      <w:r w:rsidRPr="00583E1A">
        <w:t>1) had occurred in relation to the interest in the period commencing at the start of the year of effect and ending when the first</w:t>
      </w:r>
      <w:r w:rsidR="00583E1A">
        <w:noBreakHyphen/>
      </w:r>
      <w:r w:rsidRPr="00583E1A">
        <w:t>mentioned change was made.</w:t>
      </w:r>
    </w:p>
    <w:p w:rsidR="00887330" w:rsidRPr="00583E1A" w:rsidRDefault="00887330" w:rsidP="00887330">
      <w:pPr>
        <w:pStyle w:val="notetext"/>
      </w:pPr>
      <w:r w:rsidRPr="00583E1A">
        <w:t>Note 1:</w:t>
      </w:r>
      <w:r w:rsidRPr="00583E1A">
        <w:tab/>
        <w:t>This will mean that:</w:t>
      </w:r>
    </w:p>
    <w:p w:rsidR="00887330" w:rsidRPr="00583E1A" w:rsidRDefault="00887330" w:rsidP="008F1666">
      <w:pPr>
        <w:pStyle w:val="notepara"/>
        <w:spacing w:before="40"/>
        <w:ind w:left="2354" w:hanging="369"/>
      </w:pPr>
      <w:r w:rsidRPr="00583E1A">
        <w:t>(a)</w:t>
      </w:r>
      <w:r w:rsidRPr="00583E1A">
        <w:tab/>
        <w:t>the characterisation of the interest will change, with effect back to the start of the year of effect; and</w:t>
      </w:r>
    </w:p>
    <w:p w:rsidR="00887330" w:rsidRPr="00583E1A" w:rsidRDefault="00887330" w:rsidP="008F1666">
      <w:pPr>
        <w:pStyle w:val="notepara"/>
        <w:spacing w:before="40"/>
        <w:ind w:left="2354" w:hanging="369"/>
      </w:pPr>
      <w:r w:rsidRPr="00583E1A">
        <w:t>(b)</w:t>
      </w:r>
      <w:r w:rsidRPr="00583E1A">
        <w:tab/>
        <w:t>that characterisation will not be affected by other changes that occurred after the start of the year of effect and before the change to which this subsection applies.</w:t>
      </w:r>
    </w:p>
    <w:p w:rsidR="00887330" w:rsidRPr="00583E1A" w:rsidRDefault="00887330" w:rsidP="00887330">
      <w:pPr>
        <w:pStyle w:val="notetext"/>
      </w:pPr>
      <w:r w:rsidRPr="00583E1A">
        <w:t>Note 2:</w:t>
      </w:r>
      <w:r w:rsidRPr="00583E1A">
        <w:tab/>
        <w:t>This section can apply to an interest a number of times so that, for example, an interest that is an equity interest when issued may change to debt because of one subsequent change and then back to equity because of a later change.</w:t>
      </w:r>
    </w:p>
    <w:p w:rsidR="00887330" w:rsidRPr="00583E1A" w:rsidRDefault="00887330" w:rsidP="00887330">
      <w:pPr>
        <w:pStyle w:val="notetext"/>
      </w:pPr>
      <w:r w:rsidRPr="00583E1A">
        <w:t>Note 3:</w:t>
      </w:r>
      <w:r w:rsidRPr="00583E1A">
        <w:tab/>
        <w:t>An adjustment to the company’s non</w:t>
      </w:r>
      <w:r w:rsidR="00583E1A">
        <w:noBreakHyphen/>
      </w:r>
      <w:r w:rsidRPr="00583E1A">
        <w:t>share capital account will be taken to have occurred at the start of the year of effect (see subsection 164</w:t>
      </w:r>
      <w:r w:rsidR="00583E1A">
        <w:noBreakHyphen/>
      </w:r>
      <w:r w:rsidRPr="00583E1A">
        <w:t>20(3)).</w:t>
      </w:r>
    </w:p>
    <w:p w:rsidR="00887330" w:rsidRPr="00583E1A" w:rsidRDefault="00887330" w:rsidP="00887330">
      <w:pPr>
        <w:pStyle w:val="subsection"/>
      </w:pPr>
      <w:r w:rsidRPr="00583E1A">
        <w:tab/>
        <w:t>(1B)</w:t>
      </w:r>
      <w:r w:rsidRPr="00583E1A">
        <w:tab/>
        <w:t xml:space="preserve">An election for the purposes of </w:t>
      </w:r>
      <w:r w:rsidR="00583E1A">
        <w:t>paragraph (</w:t>
      </w:r>
      <w:r w:rsidRPr="00583E1A">
        <w:t>1A)(h):</w:t>
      </w:r>
    </w:p>
    <w:p w:rsidR="00887330" w:rsidRPr="00583E1A" w:rsidRDefault="00887330" w:rsidP="00887330">
      <w:pPr>
        <w:pStyle w:val="paragraph"/>
      </w:pPr>
      <w:r w:rsidRPr="00583E1A">
        <w:tab/>
        <w:t>(a)</w:t>
      </w:r>
      <w:r w:rsidRPr="00583E1A">
        <w:tab/>
        <w:t>must be in writing; and</w:t>
      </w:r>
    </w:p>
    <w:p w:rsidR="00887330" w:rsidRPr="00583E1A" w:rsidRDefault="00887330" w:rsidP="00887330">
      <w:pPr>
        <w:pStyle w:val="paragraph"/>
      </w:pPr>
      <w:r w:rsidRPr="00583E1A">
        <w:tab/>
        <w:t>(b)</w:t>
      </w:r>
      <w:r w:rsidRPr="00583E1A">
        <w:tab/>
        <w:t xml:space="preserve">can only be made in the period referred to in </w:t>
      </w:r>
      <w:r w:rsidR="00583E1A">
        <w:t>paragraph (</w:t>
      </w:r>
      <w:r w:rsidRPr="00583E1A">
        <w:t>1A)(d); and</w:t>
      </w:r>
    </w:p>
    <w:p w:rsidR="00887330" w:rsidRPr="00583E1A" w:rsidRDefault="00887330" w:rsidP="00887330">
      <w:pPr>
        <w:pStyle w:val="paragraph"/>
      </w:pPr>
      <w:r w:rsidRPr="00583E1A">
        <w:tab/>
        <w:t>(c)</w:t>
      </w:r>
      <w:r w:rsidRPr="00583E1A">
        <w:tab/>
        <w:t>cannot be revoked.</w:t>
      </w:r>
    </w:p>
    <w:p w:rsidR="00887330" w:rsidRPr="00583E1A" w:rsidRDefault="00887330" w:rsidP="00887330">
      <w:pPr>
        <w:pStyle w:val="SubsectionHead"/>
      </w:pPr>
      <w:r w:rsidRPr="00583E1A">
        <w:t>Entering into a new related scheme</w:t>
      </w:r>
    </w:p>
    <w:p w:rsidR="00887330" w:rsidRPr="00583E1A" w:rsidRDefault="00887330" w:rsidP="00887330">
      <w:pPr>
        <w:pStyle w:val="subsection"/>
      </w:pPr>
      <w:r w:rsidRPr="00583E1A">
        <w:tab/>
        <w:t>(2)</w:t>
      </w:r>
      <w:r w:rsidRPr="00583E1A">
        <w:tab/>
        <w:t>If:</w:t>
      </w:r>
    </w:p>
    <w:p w:rsidR="00887330" w:rsidRPr="00583E1A" w:rsidRDefault="00887330" w:rsidP="00887330">
      <w:pPr>
        <w:pStyle w:val="paragraph"/>
      </w:pPr>
      <w:r w:rsidRPr="00583E1A">
        <w:tab/>
        <w:t>(a)</w:t>
      </w:r>
      <w:r w:rsidRPr="00583E1A">
        <w:tab/>
        <w:t xml:space="preserve">a </w:t>
      </w:r>
      <w:r w:rsidR="00583E1A" w:rsidRPr="00583E1A">
        <w:rPr>
          <w:position w:val="6"/>
          <w:sz w:val="16"/>
        </w:rPr>
        <w:t>*</w:t>
      </w:r>
      <w:r w:rsidRPr="00583E1A">
        <w:t xml:space="preserve">scheme or schemes give rise to a </w:t>
      </w:r>
      <w:r w:rsidR="00583E1A" w:rsidRPr="00583E1A">
        <w:rPr>
          <w:position w:val="6"/>
          <w:sz w:val="16"/>
        </w:rPr>
        <w:t>*</w:t>
      </w:r>
      <w:r w:rsidRPr="00583E1A">
        <w:t xml:space="preserve">debt interest (or an </w:t>
      </w:r>
      <w:r w:rsidR="00583E1A" w:rsidRPr="00583E1A">
        <w:rPr>
          <w:position w:val="6"/>
          <w:sz w:val="16"/>
        </w:rPr>
        <w:t>*</w:t>
      </w:r>
      <w:r w:rsidRPr="00583E1A">
        <w:t>equity interest) in a company; and</w:t>
      </w:r>
    </w:p>
    <w:p w:rsidR="00887330" w:rsidRPr="00583E1A" w:rsidRDefault="00887330" w:rsidP="00887330">
      <w:pPr>
        <w:pStyle w:val="paragraph"/>
      </w:pPr>
      <w:r w:rsidRPr="00583E1A">
        <w:lastRenderedPageBreak/>
        <w:tab/>
        <w:t>(b)</w:t>
      </w:r>
      <w:r w:rsidRPr="00583E1A">
        <w:tab/>
        <w:t xml:space="preserve">the company subsequently enters into, participates in or causes another entity to enter into or participate in a new </w:t>
      </w:r>
      <w:r w:rsidR="00583E1A" w:rsidRPr="00583E1A">
        <w:rPr>
          <w:position w:val="6"/>
          <w:sz w:val="16"/>
        </w:rPr>
        <w:t>*</w:t>
      </w:r>
      <w:r w:rsidRPr="00583E1A">
        <w:t>related scheme; and</w:t>
      </w:r>
    </w:p>
    <w:p w:rsidR="00887330" w:rsidRPr="00583E1A" w:rsidRDefault="00887330" w:rsidP="00887330">
      <w:pPr>
        <w:pStyle w:val="paragraph"/>
      </w:pPr>
      <w:r w:rsidRPr="00583E1A">
        <w:tab/>
        <w:t>(c)</w:t>
      </w:r>
      <w:r w:rsidRPr="00583E1A">
        <w:tab/>
        <w:t>the scheme or schemes, together with:</w:t>
      </w:r>
    </w:p>
    <w:p w:rsidR="00887330" w:rsidRPr="00583E1A" w:rsidRDefault="00887330" w:rsidP="00887330">
      <w:pPr>
        <w:pStyle w:val="paragraphsub"/>
      </w:pPr>
      <w:r w:rsidRPr="00583E1A">
        <w:tab/>
        <w:t>(i)</w:t>
      </w:r>
      <w:r w:rsidRPr="00583E1A">
        <w:tab/>
        <w:t>the new related scheme; and</w:t>
      </w:r>
    </w:p>
    <w:p w:rsidR="00887330" w:rsidRPr="00583E1A" w:rsidRDefault="00887330" w:rsidP="00887330">
      <w:pPr>
        <w:pStyle w:val="paragraphsub"/>
      </w:pPr>
      <w:r w:rsidRPr="00583E1A">
        <w:tab/>
        <w:t>(ii)</w:t>
      </w:r>
      <w:r w:rsidRPr="00583E1A">
        <w:tab/>
        <w:t>any other related scheme that the entity (or company) enters into, participates in or causes another entity to enter into or participate in before the new related scheme is entered into;</w:t>
      </w:r>
    </w:p>
    <w:p w:rsidR="00887330" w:rsidRPr="00583E1A" w:rsidRDefault="00887330" w:rsidP="00887330">
      <w:pPr>
        <w:pStyle w:val="paragraph"/>
      </w:pPr>
      <w:r w:rsidRPr="00583E1A">
        <w:tab/>
      </w:r>
      <w:r w:rsidRPr="00583E1A">
        <w:tab/>
        <w:t>would give rise to an equity interest (or a debt interest) in the company if they all came into existence when the new related scheme is entered into;</w:t>
      </w:r>
    </w:p>
    <w:p w:rsidR="00887330" w:rsidRPr="00583E1A" w:rsidRDefault="00887330" w:rsidP="00887330">
      <w:pPr>
        <w:pStyle w:val="subsection2"/>
      </w:pPr>
      <w:r w:rsidRPr="00583E1A">
        <w:t xml:space="preserve">this Division applies after the new related scheme is entered into as if all the schemes referred to in </w:t>
      </w:r>
      <w:r w:rsidR="00583E1A">
        <w:t>paragraph (</w:t>
      </w:r>
      <w:r w:rsidRPr="00583E1A">
        <w:t>c) had come into existence when the new related scheme is entered into.</w:t>
      </w:r>
    </w:p>
    <w:p w:rsidR="00887330" w:rsidRPr="00583E1A" w:rsidRDefault="00887330" w:rsidP="00887330">
      <w:pPr>
        <w:pStyle w:val="notetext"/>
      </w:pPr>
      <w:r w:rsidRPr="00583E1A">
        <w:t>Note 1:</w:t>
      </w:r>
      <w:r w:rsidRPr="00583E1A">
        <w:tab/>
        <w:t>This will mean that the characterisation of the interest will change at that time.</w:t>
      </w:r>
    </w:p>
    <w:p w:rsidR="00887330" w:rsidRPr="00583E1A" w:rsidRDefault="00887330" w:rsidP="00887330">
      <w:pPr>
        <w:pStyle w:val="notetext"/>
      </w:pPr>
      <w:r w:rsidRPr="00583E1A">
        <w:t>Note 2:</w:t>
      </w:r>
      <w:r w:rsidRPr="00583E1A">
        <w:tab/>
        <w:t>This section can apply to an interest a number of times so that, for example, an interest that is equity when issued may change to debt because of one subsequent change and then back to equity because of a later change.</w:t>
      </w:r>
    </w:p>
    <w:p w:rsidR="00887330" w:rsidRPr="00583E1A" w:rsidRDefault="00887330" w:rsidP="00887330">
      <w:pPr>
        <w:pStyle w:val="notetext"/>
      </w:pPr>
      <w:r w:rsidRPr="00583E1A">
        <w:t>Note 3:</w:t>
      </w:r>
      <w:r w:rsidRPr="00583E1A">
        <w:tab/>
        <w:t>There will be an adjustment to the company’s non</w:t>
      </w:r>
      <w:r w:rsidR="00583E1A">
        <w:noBreakHyphen/>
      </w:r>
      <w:r w:rsidRPr="00583E1A">
        <w:t>share capital account when the change occurs (see subsections 164</w:t>
      </w:r>
      <w:r w:rsidR="00583E1A">
        <w:noBreakHyphen/>
      </w:r>
      <w:r w:rsidRPr="00583E1A">
        <w:t>15(2) and 164</w:t>
      </w:r>
      <w:r w:rsidR="00583E1A">
        <w:noBreakHyphen/>
      </w:r>
      <w:r w:rsidRPr="00583E1A">
        <w:t>20(3)).</w:t>
      </w:r>
    </w:p>
    <w:p w:rsidR="00887330" w:rsidRPr="00583E1A" w:rsidRDefault="00887330" w:rsidP="00887330">
      <w:pPr>
        <w:pStyle w:val="SubsectionHead"/>
      </w:pPr>
      <w:r w:rsidRPr="00583E1A">
        <w:t>All prior changes to be taken into account</w:t>
      </w:r>
    </w:p>
    <w:p w:rsidR="00887330" w:rsidRPr="00583E1A" w:rsidRDefault="00887330" w:rsidP="00887330">
      <w:pPr>
        <w:pStyle w:val="subsection"/>
      </w:pPr>
      <w:r w:rsidRPr="00583E1A">
        <w:tab/>
        <w:t>(3)</w:t>
      </w:r>
      <w:r w:rsidRPr="00583E1A">
        <w:tab/>
        <w:t xml:space="preserve">In applying </w:t>
      </w:r>
      <w:r w:rsidR="00583E1A">
        <w:t>paragraphs (</w:t>
      </w:r>
      <w:r w:rsidRPr="00583E1A">
        <w:t xml:space="preserve">1)(c), (1A)(e) and (2)(c) to the </w:t>
      </w:r>
      <w:r w:rsidR="00583E1A" w:rsidRPr="00583E1A">
        <w:rPr>
          <w:position w:val="6"/>
          <w:sz w:val="16"/>
        </w:rPr>
        <w:t>*</w:t>
      </w:r>
      <w:r w:rsidRPr="00583E1A">
        <w:t>scheme or schemes, take into account:</w:t>
      </w:r>
    </w:p>
    <w:p w:rsidR="00887330" w:rsidRPr="00583E1A" w:rsidRDefault="00887330" w:rsidP="00887330">
      <w:pPr>
        <w:pStyle w:val="paragraph"/>
      </w:pPr>
      <w:r w:rsidRPr="00583E1A">
        <w:tab/>
        <w:t>(a)</w:t>
      </w:r>
      <w:r w:rsidRPr="00583E1A">
        <w:tab/>
        <w:t>all changes to the scheme or schemes that occur before the change or before the new related scheme is entered into; and</w:t>
      </w:r>
    </w:p>
    <w:p w:rsidR="00887330" w:rsidRPr="00583E1A" w:rsidRDefault="00887330" w:rsidP="00887330">
      <w:pPr>
        <w:pStyle w:val="paragraph"/>
      </w:pPr>
      <w:r w:rsidRPr="00583E1A">
        <w:tab/>
        <w:t>(b)</w:t>
      </w:r>
      <w:r w:rsidRPr="00583E1A">
        <w:tab/>
        <w:t xml:space="preserve">all </w:t>
      </w:r>
      <w:r w:rsidR="00583E1A" w:rsidRPr="00583E1A">
        <w:rPr>
          <w:position w:val="6"/>
          <w:sz w:val="16"/>
        </w:rPr>
        <w:t>*</w:t>
      </w:r>
      <w:r w:rsidRPr="00583E1A">
        <w:t>related schemes entered into before the change or before the new related scheme is entered into; and</w:t>
      </w:r>
    </w:p>
    <w:p w:rsidR="00887330" w:rsidRPr="00583E1A" w:rsidRDefault="00887330" w:rsidP="00887330">
      <w:pPr>
        <w:pStyle w:val="paragraph"/>
      </w:pPr>
      <w:r w:rsidRPr="00583E1A">
        <w:tab/>
        <w:t>(c)</w:t>
      </w:r>
      <w:r w:rsidRPr="00583E1A">
        <w:tab/>
        <w:t xml:space="preserve">all changes to related schemes referred to in </w:t>
      </w:r>
      <w:r w:rsidR="00583E1A">
        <w:t>paragraph (</w:t>
      </w:r>
      <w:r w:rsidRPr="00583E1A">
        <w:t>b) that occur before the change or before the new related scheme is entered into.</w:t>
      </w:r>
    </w:p>
    <w:p w:rsidR="00887330" w:rsidRPr="00583E1A" w:rsidRDefault="00887330" w:rsidP="00887330">
      <w:pPr>
        <w:pStyle w:val="ActHead5"/>
      </w:pPr>
      <w:bookmarkStart w:id="604" w:name="_Toc338939678"/>
      <w:r w:rsidRPr="00583E1A">
        <w:rPr>
          <w:rStyle w:val="CharSectno"/>
        </w:rPr>
        <w:lastRenderedPageBreak/>
        <w:t>974</w:t>
      </w:r>
      <w:r w:rsidR="00583E1A">
        <w:rPr>
          <w:rStyle w:val="CharSectno"/>
        </w:rPr>
        <w:noBreakHyphen/>
      </w:r>
      <w:r w:rsidRPr="00583E1A">
        <w:rPr>
          <w:rStyle w:val="CharSectno"/>
        </w:rPr>
        <w:t>112</w:t>
      </w:r>
      <w:r w:rsidRPr="00583E1A">
        <w:t xml:space="preserve">  Determinations by Commissioner</w:t>
      </w:r>
      <w:bookmarkEnd w:id="604"/>
    </w:p>
    <w:p w:rsidR="00887330" w:rsidRPr="00583E1A" w:rsidRDefault="00887330" w:rsidP="00887330">
      <w:pPr>
        <w:pStyle w:val="SubsectionHead"/>
      </w:pPr>
      <w:r w:rsidRPr="00583E1A">
        <w:t>Determinations covered by this section</w:t>
      </w:r>
    </w:p>
    <w:p w:rsidR="00887330" w:rsidRPr="00583E1A" w:rsidRDefault="00887330" w:rsidP="00887330">
      <w:pPr>
        <w:pStyle w:val="subsection"/>
      </w:pPr>
      <w:r w:rsidRPr="00583E1A">
        <w:tab/>
        <w:t>(1)</w:t>
      </w:r>
      <w:r w:rsidRPr="00583E1A">
        <w:tab/>
        <w:t>This section covers a determination by the Commissioner under any of the following provisions:</w:t>
      </w:r>
    </w:p>
    <w:p w:rsidR="00887330" w:rsidRPr="00583E1A" w:rsidRDefault="00887330" w:rsidP="00887330">
      <w:pPr>
        <w:pStyle w:val="paragraph"/>
      </w:pPr>
      <w:r w:rsidRPr="00583E1A">
        <w:tab/>
        <w:t>(a)</w:t>
      </w:r>
      <w:r w:rsidRPr="00583E1A">
        <w:tab/>
        <w:t>subsection 974</w:t>
      </w:r>
      <w:r w:rsidR="00583E1A">
        <w:noBreakHyphen/>
      </w:r>
      <w:r w:rsidRPr="00583E1A">
        <w:t>15(4);</w:t>
      </w:r>
    </w:p>
    <w:p w:rsidR="00887330" w:rsidRPr="00583E1A" w:rsidRDefault="00887330" w:rsidP="00887330">
      <w:pPr>
        <w:pStyle w:val="paragraph"/>
      </w:pPr>
      <w:r w:rsidRPr="00583E1A">
        <w:tab/>
        <w:t>(b)</w:t>
      </w:r>
      <w:r w:rsidRPr="00583E1A">
        <w:tab/>
        <w:t>subsection 974</w:t>
      </w:r>
      <w:r w:rsidR="00583E1A">
        <w:noBreakHyphen/>
      </w:r>
      <w:r w:rsidRPr="00583E1A">
        <w:t>60(3), (4) or (5);</w:t>
      </w:r>
    </w:p>
    <w:p w:rsidR="00887330" w:rsidRPr="00583E1A" w:rsidRDefault="00887330" w:rsidP="00887330">
      <w:pPr>
        <w:pStyle w:val="paragraph"/>
      </w:pPr>
      <w:r w:rsidRPr="00583E1A">
        <w:tab/>
        <w:t>(c)</w:t>
      </w:r>
      <w:r w:rsidRPr="00583E1A">
        <w:tab/>
        <w:t>section</w:t>
      </w:r>
      <w:r w:rsidR="00583E1A">
        <w:t> </w:t>
      </w:r>
      <w:r w:rsidRPr="00583E1A">
        <w:t>974</w:t>
      </w:r>
      <w:r w:rsidR="00583E1A">
        <w:noBreakHyphen/>
      </w:r>
      <w:r w:rsidRPr="00583E1A">
        <w:t>65;</w:t>
      </w:r>
    </w:p>
    <w:p w:rsidR="00887330" w:rsidRPr="00583E1A" w:rsidRDefault="00887330" w:rsidP="00887330">
      <w:pPr>
        <w:pStyle w:val="paragraph"/>
      </w:pPr>
      <w:r w:rsidRPr="00583E1A">
        <w:tab/>
        <w:t>(d)</w:t>
      </w:r>
      <w:r w:rsidRPr="00583E1A">
        <w:tab/>
        <w:t>subsection 974</w:t>
      </w:r>
      <w:r w:rsidR="00583E1A">
        <w:noBreakHyphen/>
      </w:r>
      <w:r w:rsidRPr="00583E1A">
        <w:t>70(4);</w:t>
      </w:r>
    </w:p>
    <w:p w:rsidR="00887330" w:rsidRPr="00583E1A" w:rsidRDefault="00887330" w:rsidP="00887330">
      <w:pPr>
        <w:pStyle w:val="paragraph"/>
      </w:pPr>
      <w:r w:rsidRPr="00583E1A">
        <w:tab/>
        <w:t>(e)</w:t>
      </w:r>
      <w:r w:rsidRPr="00583E1A">
        <w:tab/>
      </w:r>
      <w:r w:rsidR="007D4FF4" w:rsidRPr="00583E1A">
        <w:t>subsection 974</w:t>
      </w:r>
      <w:r w:rsidR="00583E1A">
        <w:noBreakHyphen/>
      </w:r>
      <w:r w:rsidR="007D4FF4" w:rsidRPr="00583E1A">
        <w:t>150(1)</w:t>
      </w:r>
      <w:r w:rsidRPr="00583E1A">
        <w:t>.</w:t>
      </w:r>
    </w:p>
    <w:p w:rsidR="00887330" w:rsidRPr="00583E1A" w:rsidRDefault="00887330" w:rsidP="00887330">
      <w:pPr>
        <w:pStyle w:val="SubsectionHead"/>
      </w:pPr>
      <w:r w:rsidRPr="00583E1A">
        <w:t>Determination on own initiative or on application</w:t>
      </w:r>
    </w:p>
    <w:p w:rsidR="00887330" w:rsidRPr="00583E1A" w:rsidRDefault="00887330" w:rsidP="00887330">
      <w:pPr>
        <w:pStyle w:val="subsection"/>
      </w:pPr>
      <w:r w:rsidRPr="00583E1A">
        <w:tab/>
        <w:t>(2)</w:t>
      </w:r>
      <w:r w:rsidRPr="00583E1A">
        <w:tab/>
        <w:t>The Commissioner may make a determination covered by this section:</w:t>
      </w:r>
    </w:p>
    <w:p w:rsidR="00887330" w:rsidRPr="00583E1A" w:rsidRDefault="00887330" w:rsidP="00887330">
      <w:pPr>
        <w:pStyle w:val="paragraph"/>
      </w:pPr>
      <w:r w:rsidRPr="00583E1A">
        <w:tab/>
        <w:t>(a)</w:t>
      </w:r>
      <w:r w:rsidRPr="00583E1A">
        <w:tab/>
        <w:t>on his or her own initiative; or</w:t>
      </w:r>
    </w:p>
    <w:p w:rsidR="00887330" w:rsidRPr="00583E1A" w:rsidRDefault="00887330" w:rsidP="00887330">
      <w:pPr>
        <w:pStyle w:val="paragraph"/>
      </w:pPr>
      <w:r w:rsidRPr="00583E1A">
        <w:tab/>
        <w:t>(b)</w:t>
      </w:r>
      <w:r w:rsidRPr="00583E1A">
        <w:tab/>
        <w:t xml:space="preserve">on an application made under </w:t>
      </w:r>
      <w:r w:rsidR="00583E1A">
        <w:t>subsection (</w:t>
      </w:r>
      <w:r w:rsidRPr="00583E1A">
        <w:t>3).</w:t>
      </w:r>
    </w:p>
    <w:p w:rsidR="00887330" w:rsidRPr="00583E1A" w:rsidRDefault="00887330" w:rsidP="00887330">
      <w:pPr>
        <w:pStyle w:val="SubsectionHead"/>
      </w:pPr>
      <w:r w:rsidRPr="00583E1A">
        <w:t>Application for determination</w:t>
      </w:r>
    </w:p>
    <w:p w:rsidR="00887330" w:rsidRPr="00583E1A" w:rsidRDefault="00887330" w:rsidP="00887330">
      <w:pPr>
        <w:pStyle w:val="subsection"/>
      </w:pPr>
      <w:r w:rsidRPr="00583E1A">
        <w:tab/>
        <w:t>(3)</w:t>
      </w:r>
      <w:r w:rsidRPr="00583E1A">
        <w:tab/>
        <w:t>An entity may apply to the Commissioner for a determination covered by this section in relation to:</w:t>
      </w:r>
    </w:p>
    <w:p w:rsidR="00887330" w:rsidRPr="00583E1A" w:rsidRDefault="00887330" w:rsidP="00887330">
      <w:pPr>
        <w:pStyle w:val="paragraph"/>
      </w:pPr>
      <w:r w:rsidRPr="00583E1A">
        <w:tab/>
        <w:t>(a)</w:t>
      </w:r>
      <w:r w:rsidRPr="00583E1A">
        <w:tab/>
        <w:t>an interest of which the entity is the issuer; or</w:t>
      </w:r>
    </w:p>
    <w:p w:rsidR="00887330" w:rsidRPr="00583E1A" w:rsidRDefault="00887330" w:rsidP="00887330">
      <w:pPr>
        <w:pStyle w:val="paragraph"/>
      </w:pPr>
      <w:r w:rsidRPr="00583E1A">
        <w:tab/>
        <w:t>(b)</w:t>
      </w:r>
      <w:r w:rsidRPr="00583E1A">
        <w:tab/>
        <w:t>an interest of which the entity would be the issuer:</w:t>
      </w:r>
    </w:p>
    <w:p w:rsidR="00887330" w:rsidRPr="00583E1A" w:rsidRDefault="00887330" w:rsidP="00887330">
      <w:pPr>
        <w:pStyle w:val="paragraphsub"/>
      </w:pPr>
      <w:r w:rsidRPr="00583E1A">
        <w:tab/>
        <w:t>(i)</w:t>
      </w:r>
      <w:r w:rsidRPr="00583E1A">
        <w:tab/>
        <w:t>if the determination were made; or</w:t>
      </w:r>
    </w:p>
    <w:p w:rsidR="00887330" w:rsidRPr="00583E1A" w:rsidRDefault="00887330" w:rsidP="00887330">
      <w:pPr>
        <w:pStyle w:val="paragraphsub"/>
      </w:pPr>
      <w:r w:rsidRPr="00583E1A">
        <w:tab/>
        <w:t>(ii)</w:t>
      </w:r>
      <w:r w:rsidRPr="00583E1A">
        <w:tab/>
        <w:t>if the determination were not made.</w:t>
      </w:r>
    </w:p>
    <w:p w:rsidR="00887330" w:rsidRPr="00583E1A" w:rsidRDefault="00887330" w:rsidP="00887330">
      <w:pPr>
        <w:pStyle w:val="notetext"/>
      </w:pPr>
      <w:r w:rsidRPr="00583E1A">
        <w:t>Note:</w:t>
      </w:r>
      <w:r w:rsidRPr="00583E1A">
        <w:tab/>
      </w:r>
      <w:r w:rsidR="00583E1A">
        <w:t>Paragraph (</w:t>
      </w:r>
      <w:r w:rsidRPr="00583E1A">
        <w:t>b) may apply, for example, if the effect of the determination applied for would be to allow, or to prevent, a number of related schemes giving rise to a debt interest or an equity interest.</w:t>
      </w:r>
    </w:p>
    <w:p w:rsidR="00887330" w:rsidRPr="00583E1A" w:rsidRDefault="00887330" w:rsidP="00887330">
      <w:pPr>
        <w:pStyle w:val="subsection"/>
      </w:pPr>
      <w:r w:rsidRPr="00583E1A">
        <w:tab/>
        <w:t>(4)</w:t>
      </w:r>
      <w:r w:rsidRPr="00583E1A">
        <w:tab/>
        <w:t>The application:</w:t>
      </w:r>
    </w:p>
    <w:p w:rsidR="00887330" w:rsidRPr="00583E1A" w:rsidRDefault="00887330" w:rsidP="00887330">
      <w:pPr>
        <w:pStyle w:val="paragraph"/>
      </w:pPr>
      <w:r w:rsidRPr="00583E1A">
        <w:tab/>
        <w:t>(a)</w:t>
      </w:r>
      <w:r w:rsidRPr="00583E1A">
        <w:tab/>
        <w:t>must be in writing; and</w:t>
      </w:r>
    </w:p>
    <w:p w:rsidR="00887330" w:rsidRPr="00583E1A" w:rsidRDefault="00887330" w:rsidP="00887330">
      <w:pPr>
        <w:pStyle w:val="paragraph"/>
      </w:pPr>
      <w:r w:rsidRPr="00583E1A">
        <w:tab/>
        <w:t>(b)</w:t>
      </w:r>
      <w:r w:rsidRPr="00583E1A">
        <w:tab/>
        <w:t>must set out the grounds on which the applicant thinks the determination should be made; and</w:t>
      </w:r>
    </w:p>
    <w:p w:rsidR="00887330" w:rsidRPr="00583E1A" w:rsidRDefault="00887330" w:rsidP="00887330">
      <w:pPr>
        <w:pStyle w:val="paragraph"/>
      </w:pPr>
      <w:r w:rsidRPr="00583E1A">
        <w:tab/>
        <w:t>(c)</w:t>
      </w:r>
      <w:r w:rsidRPr="00583E1A">
        <w:tab/>
        <w:t>must set out any information relevant to deciding whether to make the determination.</w:t>
      </w:r>
    </w:p>
    <w:p w:rsidR="00887330" w:rsidRPr="00583E1A" w:rsidRDefault="00887330" w:rsidP="00887330">
      <w:pPr>
        <w:pStyle w:val="SubsectionHead"/>
      </w:pPr>
      <w:r w:rsidRPr="00583E1A">
        <w:lastRenderedPageBreak/>
        <w:t>Review of determinations</w:t>
      </w:r>
    </w:p>
    <w:p w:rsidR="00887330" w:rsidRPr="00583E1A" w:rsidRDefault="00887330" w:rsidP="00887330">
      <w:pPr>
        <w:pStyle w:val="subsection"/>
      </w:pPr>
      <w:r w:rsidRPr="00583E1A">
        <w:tab/>
        <w:t>(5)</w:t>
      </w:r>
      <w:r w:rsidRPr="00583E1A">
        <w:tab/>
        <w:t>A taxpayer who is dissatisfied with a determination covered by this section may object against the determination in the manner set out in Part</w:t>
      </w:r>
      <w:r w:rsidR="00583E1A">
        <w:t> </w:t>
      </w:r>
      <w:r w:rsidRPr="00583E1A">
        <w:t xml:space="preserve">IVC of the </w:t>
      </w:r>
      <w:r w:rsidRPr="00583E1A">
        <w:rPr>
          <w:i/>
        </w:rPr>
        <w:t>Taxation Administration Act 1953</w:t>
      </w:r>
      <w:r w:rsidRPr="00583E1A">
        <w:t>.</w:t>
      </w:r>
    </w:p>
    <w:p w:rsidR="00887330" w:rsidRPr="00583E1A" w:rsidRDefault="00887330" w:rsidP="00887330">
      <w:pPr>
        <w:pStyle w:val="ActHead4"/>
      </w:pPr>
      <w:bookmarkStart w:id="605" w:name="_Toc338939679"/>
      <w:r w:rsidRPr="00583E1A">
        <w:rPr>
          <w:rStyle w:val="CharSubdNo"/>
        </w:rPr>
        <w:t>Subdivision</w:t>
      </w:r>
      <w:r w:rsidR="00583E1A">
        <w:rPr>
          <w:rStyle w:val="CharSubdNo"/>
        </w:rPr>
        <w:t> </w:t>
      </w:r>
      <w:r w:rsidRPr="00583E1A">
        <w:rPr>
          <w:rStyle w:val="CharSubdNo"/>
        </w:rPr>
        <w:t>974</w:t>
      </w:r>
      <w:r w:rsidR="00583E1A">
        <w:rPr>
          <w:rStyle w:val="CharSubdNo"/>
        </w:rPr>
        <w:noBreakHyphen/>
      </w:r>
      <w:r w:rsidRPr="00583E1A">
        <w:rPr>
          <w:rStyle w:val="CharSubdNo"/>
        </w:rPr>
        <w:t>E</w:t>
      </w:r>
      <w:r w:rsidRPr="00583E1A">
        <w:t>—</w:t>
      </w:r>
      <w:r w:rsidRPr="00583E1A">
        <w:rPr>
          <w:rStyle w:val="CharSubdText"/>
        </w:rPr>
        <w:t>Non</w:t>
      </w:r>
      <w:r w:rsidR="00583E1A">
        <w:rPr>
          <w:rStyle w:val="CharSubdText"/>
        </w:rPr>
        <w:noBreakHyphen/>
      </w:r>
      <w:r w:rsidRPr="00583E1A">
        <w:rPr>
          <w:rStyle w:val="CharSubdText"/>
        </w:rPr>
        <w:t>share distributions by a company</w:t>
      </w:r>
      <w:bookmarkEnd w:id="605"/>
    </w:p>
    <w:p w:rsidR="00887330" w:rsidRPr="00583E1A" w:rsidRDefault="00887330" w:rsidP="00887330">
      <w:pPr>
        <w:pStyle w:val="TofSectsHeading"/>
      </w:pPr>
      <w:r w:rsidRPr="00583E1A">
        <w:t>Table of sections</w:t>
      </w:r>
    </w:p>
    <w:p w:rsidR="00887330" w:rsidRPr="00583E1A" w:rsidRDefault="00887330" w:rsidP="00887330">
      <w:pPr>
        <w:pStyle w:val="TofSectsSection"/>
        <w:rPr>
          <w:i/>
        </w:rPr>
      </w:pPr>
      <w:r w:rsidRPr="00583E1A">
        <w:t>974</w:t>
      </w:r>
      <w:r w:rsidR="00583E1A">
        <w:noBreakHyphen/>
      </w:r>
      <w:r w:rsidRPr="00583E1A">
        <w:t>115</w:t>
      </w:r>
      <w:r w:rsidRPr="00583E1A">
        <w:tab/>
        <w:t xml:space="preserve">Meaning of </w:t>
      </w:r>
      <w:r w:rsidRPr="00583E1A">
        <w:rPr>
          <w:i/>
        </w:rPr>
        <w:t>non</w:t>
      </w:r>
      <w:r w:rsidR="00583E1A">
        <w:rPr>
          <w:i/>
        </w:rPr>
        <w:noBreakHyphen/>
      </w:r>
      <w:r w:rsidRPr="00583E1A">
        <w:rPr>
          <w:i/>
        </w:rPr>
        <w:t>share distribution</w:t>
      </w:r>
    </w:p>
    <w:p w:rsidR="00887330" w:rsidRPr="00583E1A" w:rsidRDefault="00887330" w:rsidP="00887330">
      <w:pPr>
        <w:pStyle w:val="TofSectsSection"/>
        <w:rPr>
          <w:b/>
          <w:i/>
        </w:rPr>
      </w:pPr>
      <w:r w:rsidRPr="00583E1A">
        <w:t>974</w:t>
      </w:r>
      <w:r w:rsidR="00583E1A">
        <w:noBreakHyphen/>
      </w:r>
      <w:r w:rsidRPr="00583E1A">
        <w:t>120</w:t>
      </w:r>
      <w:r w:rsidRPr="00583E1A">
        <w:tab/>
        <w:t xml:space="preserve">Meaning of </w:t>
      </w:r>
      <w:r w:rsidRPr="00583E1A">
        <w:rPr>
          <w:i/>
        </w:rPr>
        <w:t>non</w:t>
      </w:r>
      <w:r w:rsidR="00583E1A">
        <w:rPr>
          <w:i/>
        </w:rPr>
        <w:noBreakHyphen/>
      </w:r>
      <w:r w:rsidRPr="00583E1A">
        <w:rPr>
          <w:i/>
        </w:rPr>
        <w:t>share dividend</w:t>
      </w:r>
    </w:p>
    <w:p w:rsidR="00887330" w:rsidRPr="00583E1A" w:rsidRDefault="00887330" w:rsidP="00887330">
      <w:pPr>
        <w:pStyle w:val="TofSectsSection"/>
        <w:rPr>
          <w:i/>
        </w:rPr>
      </w:pPr>
      <w:r w:rsidRPr="00583E1A">
        <w:t>974</w:t>
      </w:r>
      <w:r w:rsidR="00583E1A">
        <w:noBreakHyphen/>
      </w:r>
      <w:r w:rsidRPr="00583E1A">
        <w:t>125</w:t>
      </w:r>
      <w:r w:rsidRPr="00583E1A">
        <w:rPr>
          <w:b/>
          <w:i/>
        </w:rPr>
        <w:tab/>
      </w:r>
      <w:r w:rsidRPr="00583E1A">
        <w:t xml:space="preserve">Meaning of </w:t>
      </w:r>
      <w:r w:rsidRPr="00583E1A">
        <w:rPr>
          <w:i/>
        </w:rPr>
        <w:t>non</w:t>
      </w:r>
      <w:r w:rsidR="00583E1A">
        <w:rPr>
          <w:i/>
        </w:rPr>
        <w:noBreakHyphen/>
      </w:r>
      <w:r w:rsidRPr="00583E1A">
        <w:rPr>
          <w:i/>
        </w:rPr>
        <w:t>share capital return</w:t>
      </w:r>
    </w:p>
    <w:p w:rsidR="00887330" w:rsidRPr="00583E1A" w:rsidRDefault="00887330" w:rsidP="00887330">
      <w:pPr>
        <w:pStyle w:val="ActHead5"/>
      </w:pPr>
      <w:bookmarkStart w:id="606" w:name="_Toc338939680"/>
      <w:r w:rsidRPr="00583E1A">
        <w:rPr>
          <w:rStyle w:val="CharSectno"/>
        </w:rPr>
        <w:t>974</w:t>
      </w:r>
      <w:r w:rsidR="00583E1A">
        <w:rPr>
          <w:rStyle w:val="CharSectno"/>
        </w:rPr>
        <w:noBreakHyphen/>
      </w:r>
      <w:r w:rsidRPr="00583E1A">
        <w:rPr>
          <w:rStyle w:val="CharSectno"/>
        </w:rPr>
        <w:t>115</w:t>
      </w:r>
      <w:r w:rsidRPr="00583E1A">
        <w:t xml:space="preserve">  Meaning of </w:t>
      </w:r>
      <w:r w:rsidRPr="00583E1A">
        <w:rPr>
          <w:i/>
        </w:rPr>
        <w:t>non</w:t>
      </w:r>
      <w:r w:rsidR="00583E1A">
        <w:rPr>
          <w:i/>
        </w:rPr>
        <w:noBreakHyphen/>
      </w:r>
      <w:r w:rsidRPr="00583E1A">
        <w:rPr>
          <w:i/>
        </w:rPr>
        <w:t>share distribution</w:t>
      </w:r>
      <w:bookmarkEnd w:id="606"/>
    </w:p>
    <w:p w:rsidR="00887330" w:rsidRPr="00583E1A" w:rsidRDefault="00887330" w:rsidP="00887330">
      <w:pPr>
        <w:pStyle w:val="subsection"/>
      </w:pPr>
      <w:r w:rsidRPr="00583E1A">
        <w:tab/>
      </w:r>
      <w:r w:rsidRPr="00583E1A">
        <w:tab/>
        <w:t xml:space="preserve">A company makes a </w:t>
      </w:r>
      <w:r w:rsidRPr="00583E1A">
        <w:rPr>
          <w:b/>
          <w:i/>
        </w:rPr>
        <w:t>non</w:t>
      </w:r>
      <w:r w:rsidR="00583E1A">
        <w:rPr>
          <w:b/>
          <w:i/>
        </w:rPr>
        <w:noBreakHyphen/>
      </w:r>
      <w:r w:rsidRPr="00583E1A">
        <w:rPr>
          <w:b/>
          <w:i/>
        </w:rPr>
        <w:t>share distribution</w:t>
      </w:r>
      <w:r w:rsidRPr="00583E1A">
        <w:t xml:space="preserve"> to you if:</w:t>
      </w:r>
    </w:p>
    <w:p w:rsidR="00887330" w:rsidRPr="00583E1A" w:rsidRDefault="00887330" w:rsidP="00887330">
      <w:pPr>
        <w:pStyle w:val="paragraph"/>
      </w:pPr>
      <w:r w:rsidRPr="00583E1A">
        <w:tab/>
        <w:t>(a)</w:t>
      </w:r>
      <w:r w:rsidRPr="00583E1A">
        <w:tab/>
        <w:t xml:space="preserve">you hold a </w:t>
      </w:r>
      <w:r w:rsidR="00583E1A" w:rsidRPr="00583E1A">
        <w:rPr>
          <w:position w:val="6"/>
          <w:sz w:val="16"/>
        </w:rPr>
        <w:t>*</w:t>
      </w:r>
      <w:r w:rsidRPr="00583E1A">
        <w:t>non</w:t>
      </w:r>
      <w:r w:rsidR="00583E1A">
        <w:noBreakHyphen/>
      </w:r>
      <w:r w:rsidRPr="00583E1A">
        <w:t>share equity interest in the company; and</w:t>
      </w:r>
    </w:p>
    <w:p w:rsidR="00887330" w:rsidRPr="00583E1A" w:rsidRDefault="00887330" w:rsidP="00887330">
      <w:pPr>
        <w:pStyle w:val="paragraph"/>
      </w:pPr>
      <w:r w:rsidRPr="00583E1A">
        <w:tab/>
        <w:t>(b)</w:t>
      </w:r>
      <w:r w:rsidRPr="00583E1A">
        <w:tab/>
        <w:t>the company:</w:t>
      </w:r>
    </w:p>
    <w:p w:rsidR="00887330" w:rsidRPr="00583E1A" w:rsidRDefault="00887330" w:rsidP="00887330">
      <w:pPr>
        <w:pStyle w:val="paragraphsub"/>
      </w:pPr>
      <w:r w:rsidRPr="00583E1A">
        <w:tab/>
        <w:t>(i)</w:t>
      </w:r>
      <w:r w:rsidRPr="00583E1A">
        <w:tab/>
        <w:t>distributes money to you; or</w:t>
      </w:r>
    </w:p>
    <w:p w:rsidR="00887330" w:rsidRPr="00583E1A" w:rsidRDefault="00887330" w:rsidP="00887330">
      <w:pPr>
        <w:pStyle w:val="paragraphsub"/>
      </w:pPr>
      <w:r w:rsidRPr="00583E1A">
        <w:tab/>
        <w:t>(ii)</w:t>
      </w:r>
      <w:r w:rsidRPr="00583E1A">
        <w:tab/>
        <w:t>distributes other property to you; or</w:t>
      </w:r>
    </w:p>
    <w:p w:rsidR="00887330" w:rsidRPr="00583E1A" w:rsidRDefault="00887330" w:rsidP="00887330">
      <w:pPr>
        <w:pStyle w:val="paragraphsub"/>
      </w:pPr>
      <w:r w:rsidRPr="00583E1A">
        <w:tab/>
        <w:t>(iii)</w:t>
      </w:r>
      <w:r w:rsidRPr="00583E1A">
        <w:tab/>
        <w:t>credits an amount to you;</w:t>
      </w:r>
    </w:p>
    <w:p w:rsidR="00887330" w:rsidRPr="00583E1A" w:rsidRDefault="00887330" w:rsidP="00887330">
      <w:pPr>
        <w:pStyle w:val="paragraph"/>
      </w:pPr>
      <w:r w:rsidRPr="00583E1A">
        <w:tab/>
      </w:r>
      <w:r w:rsidRPr="00583E1A">
        <w:tab/>
        <w:t>as the holder of that interest.</w:t>
      </w:r>
    </w:p>
    <w:p w:rsidR="00887330" w:rsidRPr="00583E1A" w:rsidRDefault="00887330" w:rsidP="00887330">
      <w:pPr>
        <w:pStyle w:val="ActHead5"/>
      </w:pPr>
      <w:bookmarkStart w:id="607" w:name="_Toc338939681"/>
      <w:r w:rsidRPr="00583E1A">
        <w:rPr>
          <w:rStyle w:val="CharSectno"/>
        </w:rPr>
        <w:t>974</w:t>
      </w:r>
      <w:r w:rsidR="00583E1A">
        <w:rPr>
          <w:rStyle w:val="CharSectno"/>
        </w:rPr>
        <w:noBreakHyphen/>
      </w:r>
      <w:r w:rsidRPr="00583E1A">
        <w:rPr>
          <w:rStyle w:val="CharSectno"/>
        </w:rPr>
        <w:t>120</w:t>
      </w:r>
      <w:r w:rsidRPr="00583E1A">
        <w:t xml:space="preserve">  Meaning of </w:t>
      </w:r>
      <w:r w:rsidRPr="00583E1A">
        <w:rPr>
          <w:i/>
        </w:rPr>
        <w:t>non</w:t>
      </w:r>
      <w:r w:rsidR="00583E1A">
        <w:rPr>
          <w:i/>
        </w:rPr>
        <w:noBreakHyphen/>
      </w:r>
      <w:r w:rsidRPr="00583E1A">
        <w:rPr>
          <w:i/>
        </w:rPr>
        <w:t>share dividend</w:t>
      </w:r>
      <w:bookmarkEnd w:id="607"/>
    </w:p>
    <w:p w:rsidR="00887330" w:rsidRPr="00583E1A" w:rsidRDefault="00887330" w:rsidP="00887330">
      <w:pPr>
        <w:pStyle w:val="subsection"/>
      </w:pPr>
      <w:r w:rsidRPr="00583E1A">
        <w:tab/>
        <w:t>(1)</w:t>
      </w:r>
      <w:r w:rsidRPr="00583E1A">
        <w:tab/>
        <w:t xml:space="preserve">Subject to </w:t>
      </w:r>
      <w:r w:rsidR="00583E1A">
        <w:t>subsection (</w:t>
      </w:r>
      <w:r w:rsidRPr="00583E1A">
        <w:t xml:space="preserve">2), all </w:t>
      </w:r>
      <w:r w:rsidR="00583E1A" w:rsidRPr="00583E1A">
        <w:rPr>
          <w:position w:val="6"/>
          <w:sz w:val="16"/>
        </w:rPr>
        <w:t>*</w:t>
      </w:r>
      <w:r w:rsidRPr="00583E1A">
        <w:t>non</w:t>
      </w:r>
      <w:r w:rsidR="00583E1A">
        <w:noBreakHyphen/>
      </w:r>
      <w:r w:rsidRPr="00583E1A">
        <w:t xml:space="preserve">share distributions are </w:t>
      </w:r>
      <w:r w:rsidRPr="00583E1A">
        <w:rPr>
          <w:b/>
          <w:i/>
        </w:rPr>
        <w:t>non</w:t>
      </w:r>
      <w:r w:rsidR="00583E1A">
        <w:rPr>
          <w:b/>
          <w:i/>
        </w:rPr>
        <w:noBreakHyphen/>
      </w:r>
      <w:r w:rsidRPr="00583E1A">
        <w:rPr>
          <w:b/>
          <w:i/>
        </w:rPr>
        <w:t>share dividends</w:t>
      </w:r>
      <w:r w:rsidRPr="00583E1A">
        <w:t>.</w:t>
      </w:r>
    </w:p>
    <w:p w:rsidR="00887330" w:rsidRPr="00583E1A" w:rsidRDefault="00887330" w:rsidP="00887330">
      <w:pPr>
        <w:pStyle w:val="subsection"/>
      </w:pPr>
      <w:r w:rsidRPr="00583E1A">
        <w:tab/>
        <w:t>(2)</w:t>
      </w:r>
      <w:r w:rsidRPr="00583E1A">
        <w:tab/>
        <w:t xml:space="preserve">A </w:t>
      </w:r>
      <w:r w:rsidR="00583E1A" w:rsidRPr="00583E1A">
        <w:rPr>
          <w:position w:val="6"/>
          <w:sz w:val="16"/>
        </w:rPr>
        <w:t>*</w:t>
      </w:r>
      <w:r w:rsidRPr="00583E1A">
        <w:t>non</w:t>
      </w:r>
      <w:r w:rsidR="00583E1A">
        <w:noBreakHyphen/>
      </w:r>
      <w:r w:rsidRPr="00583E1A">
        <w:t xml:space="preserve">share distribution is not a </w:t>
      </w:r>
      <w:r w:rsidRPr="00583E1A">
        <w:rPr>
          <w:b/>
          <w:i/>
        </w:rPr>
        <w:t>non</w:t>
      </w:r>
      <w:r w:rsidR="00583E1A">
        <w:rPr>
          <w:b/>
          <w:i/>
        </w:rPr>
        <w:noBreakHyphen/>
      </w:r>
      <w:r w:rsidRPr="00583E1A">
        <w:rPr>
          <w:b/>
          <w:i/>
        </w:rPr>
        <w:t>share dividend</w:t>
      </w:r>
      <w:r w:rsidRPr="00583E1A">
        <w:t xml:space="preserve"> to the extent to which the company debits the distribution against:</w:t>
      </w:r>
    </w:p>
    <w:p w:rsidR="00887330" w:rsidRPr="00583E1A" w:rsidRDefault="00887330" w:rsidP="00887330">
      <w:pPr>
        <w:pStyle w:val="paragraph"/>
      </w:pPr>
      <w:r w:rsidRPr="00583E1A">
        <w:tab/>
        <w:t>(a)</w:t>
      </w:r>
      <w:r w:rsidRPr="00583E1A">
        <w:tab/>
        <w:t xml:space="preserve">the company’s </w:t>
      </w:r>
      <w:r w:rsidR="00583E1A" w:rsidRPr="00583E1A">
        <w:rPr>
          <w:position w:val="6"/>
          <w:sz w:val="16"/>
        </w:rPr>
        <w:t>*</w:t>
      </w:r>
      <w:r w:rsidRPr="00583E1A">
        <w:t>non</w:t>
      </w:r>
      <w:r w:rsidR="00583E1A">
        <w:noBreakHyphen/>
      </w:r>
      <w:r w:rsidRPr="00583E1A">
        <w:t>share capital account; or</w:t>
      </w:r>
    </w:p>
    <w:p w:rsidR="00887330" w:rsidRPr="00583E1A" w:rsidRDefault="00887330" w:rsidP="00887330">
      <w:pPr>
        <w:pStyle w:val="paragraph"/>
      </w:pPr>
      <w:r w:rsidRPr="00583E1A">
        <w:tab/>
        <w:t>(b)</w:t>
      </w:r>
      <w:r w:rsidRPr="00583E1A">
        <w:tab/>
        <w:t xml:space="preserve">the company’s </w:t>
      </w:r>
      <w:r w:rsidR="00583E1A" w:rsidRPr="00583E1A">
        <w:rPr>
          <w:position w:val="6"/>
          <w:sz w:val="16"/>
        </w:rPr>
        <w:t>*</w:t>
      </w:r>
      <w:r w:rsidRPr="00583E1A">
        <w:t>share capital account.</w:t>
      </w:r>
    </w:p>
    <w:p w:rsidR="00887330" w:rsidRPr="00583E1A" w:rsidRDefault="00887330" w:rsidP="00887330">
      <w:pPr>
        <w:pStyle w:val="ActHead5"/>
      </w:pPr>
      <w:bookmarkStart w:id="608" w:name="_Toc338939682"/>
      <w:r w:rsidRPr="00583E1A">
        <w:rPr>
          <w:rStyle w:val="CharSectno"/>
        </w:rPr>
        <w:t>974</w:t>
      </w:r>
      <w:r w:rsidR="00583E1A">
        <w:rPr>
          <w:rStyle w:val="CharSectno"/>
        </w:rPr>
        <w:noBreakHyphen/>
      </w:r>
      <w:r w:rsidRPr="00583E1A">
        <w:rPr>
          <w:rStyle w:val="CharSectno"/>
        </w:rPr>
        <w:t>125</w:t>
      </w:r>
      <w:r w:rsidRPr="00583E1A">
        <w:t xml:space="preserve">  Meaning of </w:t>
      </w:r>
      <w:r w:rsidRPr="00583E1A">
        <w:rPr>
          <w:i/>
        </w:rPr>
        <w:t>non</w:t>
      </w:r>
      <w:r w:rsidR="00583E1A">
        <w:rPr>
          <w:i/>
        </w:rPr>
        <w:noBreakHyphen/>
      </w:r>
      <w:r w:rsidRPr="00583E1A">
        <w:rPr>
          <w:i/>
        </w:rPr>
        <w:t>share capital return</w:t>
      </w:r>
      <w:bookmarkEnd w:id="608"/>
    </w:p>
    <w:p w:rsidR="00887330" w:rsidRPr="00583E1A" w:rsidRDefault="00887330" w:rsidP="00887330">
      <w:pPr>
        <w:pStyle w:val="subsection"/>
      </w:pPr>
      <w:r w:rsidRPr="00583E1A">
        <w:tab/>
      </w:r>
      <w:r w:rsidRPr="00583E1A">
        <w:tab/>
        <w:t xml:space="preserve">A </w:t>
      </w:r>
      <w:r w:rsidRPr="00583E1A">
        <w:rPr>
          <w:b/>
          <w:i/>
        </w:rPr>
        <w:t>non</w:t>
      </w:r>
      <w:r w:rsidR="00583E1A">
        <w:rPr>
          <w:b/>
          <w:i/>
        </w:rPr>
        <w:noBreakHyphen/>
      </w:r>
      <w:r w:rsidRPr="00583E1A">
        <w:rPr>
          <w:b/>
          <w:i/>
        </w:rPr>
        <w:t>share capital return</w:t>
      </w:r>
      <w:r w:rsidRPr="00583E1A">
        <w:t xml:space="preserve"> is a </w:t>
      </w:r>
      <w:r w:rsidR="00583E1A" w:rsidRPr="00583E1A">
        <w:rPr>
          <w:position w:val="6"/>
          <w:sz w:val="16"/>
        </w:rPr>
        <w:t>*</w:t>
      </w:r>
      <w:r w:rsidRPr="00583E1A">
        <w:t>non</w:t>
      </w:r>
      <w:r w:rsidR="00583E1A">
        <w:noBreakHyphen/>
      </w:r>
      <w:r w:rsidRPr="00583E1A">
        <w:t xml:space="preserve">share distribution to the extent to which it is not a </w:t>
      </w:r>
      <w:r w:rsidR="00583E1A" w:rsidRPr="00583E1A">
        <w:rPr>
          <w:position w:val="6"/>
          <w:sz w:val="16"/>
        </w:rPr>
        <w:t>*</w:t>
      </w:r>
      <w:r w:rsidRPr="00583E1A">
        <w:t>non</w:t>
      </w:r>
      <w:r w:rsidR="00583E1A">
        <w:noBreakHyphen/>
      </w:r>
      <w:r w:rsidRPr="00583E1A">
        <w:t>share dividend.</w:t>
      </w:r>
    </w:p>
    <w:p w:rsidR="00887330" w:rsidRPr="00583E1A" w:rsidRDefault="00887330" w:rsidP="00887330">
      <w:pPr>
        <w:pStyle w:val="ActHead4"/>
      </w:pPr>
      <w:bookmarkStart w:id="609" w:name="_Toc338939683"/>
      <w:r w:rsidRPr="00583E1A">
        <w:rPr>
          <w:rStyle w:val="CharSubdNo"/>
        </w:rPr>
        <w:lastRenderedPageBreak/>
        <w:t>Subdivision</w:t>
      </w:r>
      <w:r w:rsidR="00583E1A">
        <w:rPr>
          <w:rStyle w:val="CharSubdNo"/>
        </w:rPr>
        <w:t> </w:t>
      </w:r>
      <w:r w:rsidRPr="00583E1A">
        <w:rPr>
          <w:rStyle w:val="CharSubdNo"/>
        </w:rPr>
        <w:t>974</w:t>
      </w:r>
      <w:r w:rsidR="00583E1A">
        <w:rPr>
          <w:rStyle w:val="CharSubdNo"/>
        </w:rPr>
        <w:noBreakHyphen/>
      </w:r>
      <w:r w:rsidRPr="00583E1A">
        <w:rPr>
          <w:rStyle w:val="CharSubdNo"/>
        </w:rPr>
        <w:t>F</w:t>
      </w:r>
      <w:r w:rsidRPr="00583E1A">
        <w:t>—</w:t>
      </w:r>
      <w:r w:rsidRPr="00583E1A">
        <w:rPr>
          <w:rStyle w:val="CharSubdText"/>
        </w:rPr>
        <w:t>Related concepts</w:t>
      </w:r>
      <w:bookmarkEnd w:id="609"/>
    </w:p>
    <w:p w:rsidR="00887330" w:rsidRPr="00583E1A" w:rsidRDefault="00887330" w:rsidP="00887330">
      <w:pPr>
        <w:pStyle w:val="TofSectsHeading"/>
      </w:pPr>
      <w:r w:rsidRPr="00583E1A">
        <w:t>Table of sections</w:t>
      </w:r>
    </w:p>
    <w:p w:rsidR="00887330" w:rsidRPr="00583E1A" w:rsidRDefault="00887330" w:rsidP="00887330">
      <w:pPr>
        <w:pStyle w:val="TofSectsSection"/>
      </w:pPr>
      <w:r w:rsidRPr="00583E1A">
        <w:t>974</w:t>
      </w:r>
      <w:r w:rsidR="00583E1A">
        <w:noBreakHyphen/>
      </w:r>
      <w:r w:rsidRPr="00583E1A">
        <w:t>130</w:t>
      </w:r>
      <w:r w:rsidRPr="00583E1A">
        <w:tab/>
        <w:t>Financing arrangement</w:t>
      </w:r>
    </w:p>
    <w:p w:rsidR="00887330" w:rsidRPr="00583E1A" w:rsidRDefault="00887330" w:rsidP="00887330">
      <w:pPr>
        <w:pStyle w:val="TofSectsSection"/>
      </w:pPr>
      <w:r w:rsidRPr="00583E1A">
        <w:t>974</w:t>
      </w:r>
      <w:r w:rsidR="00583E1A">
        <w:noBreakHyphen/>
      </w:r>
      <w:r w:rsidRPr="00583E1A">
        <w:t>135</w:t>
      </w:r>
      <w:r w:rsidRPr="00583E1A">
        <w:tab/>
        <w:t>Effectively non</w:t>
      </w:r>
      <w:r w:rsidR="00583E1A">
        <w:noBreakHyphen/>
      </w:r>
      <w:r w:rsidRPr="00583E1A">
        <w:t>contingent obligation</w:t>
      </w:r>
    </w:p>
    <w:p w:rsidR="00887330" w:rsidRPr="00583E1A" w:rsidRDefault="00887330" w:rsidP="00887330">
      <w:pPr>
        <w:pStyle w:val="TofSectsSection"/>
      </w:pPr>
      <w:r w:rsidRPr="00583E1A">
        <w:t>974</w:t>
      </w:r>
      <w:r w:rsidR="00583E1A">
        <w:noBreakHyphen/>
      </w:r>
      <w:r w:rsidRPr="00583E1A">
        <w:t>140</w:t>
      </w:r>
      <w:r w:rsidRPr="00583E1A">
        <w:tab/>
        <w:t>Ordinary debt interest</w:t>
      </w:r>
    </w:p>
    <w:p w:rsidR="00887330" w:rsidRPr="00583E1A" w:rsidRDefault="00887330" w:rsidP="00887330">
      <w:pPr>
        <w:pStyle w:val="TofSectsSection"/>
      </w:pPr>
      <w:r w:rsidRPr="00583E1A">
        <w:t>974</w:t>
      </w:r>
      <w:r w:rsidR="00583E1A">
        <w:noBreakHyphen/>
      </w:r>
      <w:r w:rsidRPr="00583E1A">
        <w:t>145</w:t>
      </w:r>
      <w:r w:rsidRPr="00583E1A">
        <w:tab/>
        <w:t>Benchmark rate of return</w:t>
      </w:r>
    </w:p>
    <w:p w:rsidR="00887330" w:rsidRPr="00583E1A" w:rsidRDefault="00887330" w:rsidP="00887330">
      <w:pPr>
        <w:pStyle w:val="TofSectsSection"/>
      </w:pPr>
      <w:r w:rsidRPr="00583E1A">
        <w:t>974</w:t>
      </w:r>
      <w:r w:rsidR="00583E1A">
        <w:noBreakHyphen/>
      </w:r>
      <w:r w:rsidRPr="00583E1A">
        <w:t>150</w:t>
      </w:r>
      <w:r w:rsidRPr="00583E1A">
        <w:tab/>
        <w:t>Schemes</w:t>
      </w:r>
    </w:p>
    <w:p w:rsidR="00887330" w:rsidRPr="00583E1A" w:rsidRDefault="00887330" w:rsidP="00887330">
      <w:pPr>
        <w:pStyle w:val="TofSectsSection"/>
      </w:pPr>
      <w:r w:rsidRPr="00583E1A">
        <w:t>974</w:t>
      </w:r>
      <w:r w:rsidR="00583E1A">
        <w:noBreakHyphen/>
      </w:r>
      <w:r w:rsidRPr="00583E1A">
        <w:t>155</w:t>
      </w:r>
      <w:r w:rsidRPr="00583E1A">
        <w:tab/>
        <w:t>Related schemes</w:t>
      </w:r>
    </w:p>
    <w:p w:rsidR="00887330" w:rsidRPr="00583E1A" w:rsidRDefault="00887330" w:rsidP="00887330">
      <w:pPr>
        <w:pStyle w:val="TofSectsSection"/>
      </w:pPr>
      <w:r w:rsidRPr="00583E1A">
        <w:t>974</w:t>
      </w:r>
      <w:r w:rsidR="00583E1A">
        <w:noBreakHyphen/>
      </w:r>
      <w:r w:rsidRPr="00583E1A">
        <w:t>160</w:t>
      </w:r>
      <w:r w:rsidRPr="00583E1A">
        <w:tab/>
        <w:t>Financial benefit</w:t>
      </w:r>
    </w:p>
    <w:p w:rsidR="00887330" w:rsidRPr="00583E1A" w:rsidRDefault="00887330" w:rsidP="00887330">
      <w:pPr>
        <w:pStyle w:val="TofSectsSection"/>
      </w:pPr>
      <w:r w:rsidRPr="00583E1A">
        <w:t>974</w:t>
      </w:r>
      <w:r w:rsidR="00583E1A">
        <w:noBreakHyphen/>
      </w:r>
      <w:r w:rsidRPr="00583E1A">
        <w:t>165</w:t>
      </w:r>
      <w:r w:rsidRPr="00583E1A">
        <w:tab/>
        <w:t>Convertible and converting interests</w:t>
      </w:r>
    </w:p>
    <w:p w:rsidR="00887330" w:rsidRPr="00583E1A" w:rsidRDefault="00887330" w:rsidP="00887330">
      <w:pPr>
        <w:pStyle w:val="ActHead5"/>
      </w:pPr>
      <w:bookmarkStart w:id="610" w:name="_Toc338939684"/>
      <w:r w:rsidRPr="00583E1A">
        <w:rPr>
          <w:rStyle w:val="CharSectno"/>
        </w:rPr>
        <w:t>974</w:t>
      </w:r>
      <w:r w:rsidR="00583E1A">
        <w:rPr>
          <w:rStyle w:val="CharSectno"/>
        </w:rPr>
        <w:noBreakHyphen/>
      </w:r>
      <w:r w:rsidRPr="00583E1A">
        <w:rPr>
          <w:rStyle w:val="CharSectno"/>
        </w:rPr>
        <w:t>130</w:t>
      </w:r>
      <w:r w:rsidRPr="00583E1A">
        <w:t xml:space="preserve">  Financing arrangement</w:t>
      </w:r>
      <w:bookmarkEnd w:id="610"/>
    </w:p>
    <w:p w:rsidR="00887330" w:rsidRPr="00583E1A" w:rsidRDefault="00887330" w:rsidP="00887330">
      <w:pPr>
        <w:pStyle w:val="subsection"/>
      </w:pPr>
      <w:r w:rsidRPr="00583E1A">
        <w:tab/>
        <w:t>(1)</w:t>
      </w:r>
      <w:r w:rsidRPr="00583E1A">
        <w:tab/>
        <w:t xml:space="preserve">A </w:t>
      </w:r>
      <w:r w:rsidR="00583E1A" w:rsidRPr="00583E1A">
        <w:rPr>
          <w:position w:val="6"/>
          <w:sz w:val="16"/>
        </w:rPr>
        <w:t>*</w:t>
      </w:r>
      <w:r w:rsidRPr="00583E1A">
        <w:t xml:space="preserve">scheme is a </w:t>
      </w:r>
      <w:r w:rsidRPr="00583E1A">
        <w:rPr>
          <w:b/>
          <w:i/>
        </w:rPr>
        <w:t>financing arrangement</w:t>
      </w:r>
      <w:r w:rsidRPr="00583E1A">
        <w:t xml:space="preserve"> for an entity if it is entered into or undertaken:</w:t>
      </w:r>
    </w:p>
    <w:p w:rsidR="00887330" w:rsidRPr="00583E1A" w:rsidRDefault="00887330" w:rsidP="00887330">
      <w:pPr>
        <w:pStyle w:val="paragraph"/>
      </w:pPr>
      <w:r w:rsidRPr="00583E1A">
        <w:tab/>
        <w:t>(a)</w:t>
      </w:r>
      <w:r w:rsidRPr="00583E1A">
        <w:tab/>
        <w:t xml:space="preserve">to raise finance for the entity (or a </w:t>
      </w:r>
      <w:r w:rsidR="00583E1A" w:rsidRPr="00583E1A">
        <w:rPr>
          <w:position w:val="6"/>
          <w:sz w:val="16"/>
        </w:rPr>
        <w:t>*</w:t>
      </w:r>
      <w:r w:rsidRPr="00583E1A">
        <w:t>connected entity of the entity); or</w:t>
      </w:r>
    </w:p>
    <w:p w:rsidR="00887330" w:rsidRPr="00583E1A" w:rsidRDefault="00887330" w:rsidP="00887330">
      <w:pPr>
        <w:pStyle w:val="paragraph"/>
      </w:pPr>
      <w:r w:rsidRPr="00583E1A">
        <w:tab/>
        <w:t>(b)</w:t>
      </w:r>
      <w:r w:rsidRPr="00583E1A">
        <w:tab/>
        <w:t xml:space="preserve">to fund another scheme, or a part of another scheme, that is a </w:t>
      </w:r>
      <w:r w:rsidR="00583E1A" w:rsidRPr="00583E1A">
        <w:rPr>
          <w:position w:val="6"/>
          <w:sz w:val="16"/>
        </w:rPr>
        <w:t>*</w:t>
      </w:r>
      <w:r w:rsidRPr="00583E1A">
        <w:t xml:space="preserve">financing arrangement under </w:t>
      </w:r>
      <w:r w:rsidR="00583E1A">
        <w:t>paragraph (</w:t>
      </w:r>
      <w:r w:rsidRPr="00583E1A">
        <w:t>a); or</w:t>
      </w:r>
    </w:p>
    <w:p w:rsidR="00887330" w:rsidRPr="00583E1A" w:rsidRDefault="00887330" w:rsidP="00887330">
      <w:pPr>
        <w:pStyle w:val="paragraph"/>
      </w:pPr>
      <w:r w:rsidRPr="00583E1A">
        <w:tab/>
        <w:t>(c)</w:t>
      </w:r>
      <w:r w:rsidRPr="00583E1A">
        <w:tab/>
        <w:t xml:space="preserve">to fund a return, or a part of a return, payable under or provided by or under another scheme, or a part of another scheme, that is a financing arrangement under </w:t>
      </w:r>
      <w:r w:rsidR="00583E1A">
        <w:t>paragraph (</w:t>
      </w:r>
      <w:r w:rsidRPr="00583E1A">
        <w:t>a).</w:t>
      </w:r>
    </w:p>
    <w:p w:rsidR="00887330" w:rsidRPr="00583E1A" w:rsidRDefault="00887330" w:rsidP="00887330">
      <w:pPr>
        <w:pStyle w:val="subsection"/>
      </w:pPr>
      <w:r w:rsidRPr="00583E1A">
        <w:tab/>
        <w:t>(2)</w:t>
      </w:r>
      <w:r w:rsidRPr="00583E1A">
        <w:tab/>
        <w:t xml:space="preserve">The following are examples of </w:t>
      </w:r>
      <w:r w:rsidR="00583E1A" w:rsidRPr="00583E1A">
        <w:rPr>
          <w:position w:val="6"/>
          <w:sz w:val="16"/>
        </w:rPr>
        <w:t>*</w:t>
      </w:r>
      <w:r w:rsidRPr="00583E1A">
        <w:t>schemes that are generally entered into or undertaken to raise finance:</w:t>
      </w:r>
    </w:p>
    <w:p w:rsidR="00887330" w:rsidRPr="00583E1A" w:rsidRDefault="00887330" w:rsidP="00887330">
      <w:pPr>
        <w:pStyle w:val="paragraph"/>
      </w:pPr>
      <w:r w:rsidRPr="00583E1A">
        <w:tab/>
        <w:t>(a)</w:t>
      </w:r>
      <w:r w:rsidRPr="00583E1A">
        <w:tab/>
        <w:t>a bill of exchange;</w:t>
      </w:r>
    </w:p>
    <w:p w:rsidR="00887330" w:rsidRPr="00583E1A" w:rsidRDefault="00887330" w:rsidP="00887330">
      <w:pPr>
        <w:pStyle w:val="paragraph"/>
      </w:pPr>
      <w:r w:rsidRPr="00583E1A">
        <w:tab/>
        <w:t>(b)</w:t>
      </w:r>
      <w:r w:rsidRPr="00583E1A">
        <w:tab/>
        <w:t>income securities;</w:t>
      </w:r>
    </w:p>
    <w:p w:rsidR="00887330" w:rsidRPr="00583E1A" w:rsidRDefault="00887330" w:rsidP="00887330">
      <w:pPr>
        <w:pStyle w:val="paragraph"/>
      </w:pPr>
      <w:r w:rsidRPr="00583E1A">
        <w:tab/>
        <w:t>(c)</w:t>
      </w:r>
      <w:r w:rsidRPr="00583E1A">
        <w:tab/>
        <w:t xml:space="preserve">a </w:t>
      </w:r>
      <w:r w:rsidR="00583E1A" w:rsidRPr="00583E1A">
        <w:rPr>
          <w:position w:val="6"/>
          <w:sz w:val="16"/>
        </w:rPr>
        <w:t>*</w:t>
      </w:r>
      <w:r w:rsidRPr="00583E1A">
        <w:t xml:space="preserve">convertible interest that will convert into an </w:t>
      </w:r>
      <w:r w:rsidR="00583E1A" w:rsidRPr="00583E1A">
        <w:rPr>
          <w:position w:val="6"/>
          <w:sz w:val="16"/>
        </w:rPr>
        <w:t>*</w:t>
      </w:r>
      <w:r w:rsidRPr="00583E1A">
        <w:t>equity interest.</w:t>
      </w:r>
    </w:p>
    <w:p w:rsidR="00887330" w:rsidRPr="00583E1A" w:rsidRDefault="00887330" w:rsidP="00887330">
      <w:pPr>
        <w:pStyle w:val="notetext"/>
      </w:pPr>
      <w:r w:rsidRPr="00583E1A">
        <w:t>Note:</w:t>
      </w:r>
      <w:r w:rsidRPr="00583E1A">
        <w:tab/>
      </w:r>
      <w:r w:rsidR="00583E1A">
        <w:t>Paragraph (</w:t>
      </w:r>
      <w:r w:rsidRPr="00583E1A">
        <w:t xml:space="preserve">a) is likely to be relevant for debt interests, </w:t>
      </w:r>
      <w:r w:rsidR="00583E1A">
        <w:t>paragraph (</w:t>
      </w:r>
      <w:r w:rsidRPr="00583E1A">
        <w:t xml:space="preserve">b) for equity interests and </w:t>
      </w:r>
      <w:r w:rsidR="00583E1A">
        <w:t>paragraph (</w:t>
      </w:r>
      <w:r w:rsidRPr="00583E1A">
        <w:t>c) for both.</w:t>
      </w:r>
    </w:p>
    <w:p w:rsidR="00887330" w:rsidRPr="00583E1A" w:rsidRDefault="00887330" w:rsidP="00887330">
      <w:pPr>
        <w:pStyle w:val="subsection"/>
      </w:pPr>
      <w:r w:rsidRPr="00583E1A">
        <w:tab/>
        <w:t>(3)</w:t>
      </w:r>
      <w:r w:rsidRPr="00583E1A">
        <w:tab/>
        <w:t xml:space="preserve">The following are examples of </w:t>
      </w:r>
      <w:r w:rsidR="00583E1A" w:rsidRPr="00583E1A">
        <w:rPr>
          <w:position w:val="6"/>
          <w:sz w:val="16"/>
        </w:rPr>
        <w:t>*</w:t>
      </w:r>
      <w:r w:rsidRPr="00583E1A">
        <w:t>schemes that are generally not entered into or undertaken to raise finance:</w:t>
      </w:r>
    </w:p>
    <w:p w:rsidR="00887330" w:rsidRPr="00583E1A" w:rsidRDefault="00887330" w:rsidP="00887330">
      <w:pPr>
        <w:pStyle w:val="paragraph"/>
      </w:pPr>
      <w:r w:rsidRPr="00583E1A">
        <w:tab/>
        <w:t>(a)</w:t>
      </w:r>
      <w:r w:rsidRPr="00583E1A">
        <w:tab/>
        <w:t>a derivative that is used solely for managing financial risk;</w:t>
      </w:r>
    </w:p>
    <w:p w:rsidR="00887330" w:rsidRPr="00583E1A" w:rsidRDefault="00887330" w:rsidP="00887330">
      <w:pPr>
        <w:pStyle w:val="paragraph"/>
      </w:pPr>
      <w:r w:rsidRPr="00583E1A">
        <w:tab/>
        <w:t>(b)</w:t>
      </w:r>
      <w:r w:rsidRPr="00583E1A">
        <w:tab/>
        <w:t>a contract for personal services entered into in the ordinary course of a business.</w:t>
      </w:r>
    </w:p>
    <w:p w:rsidR="00887330" w:rsidRPr="00583E1A" w:rsidRDefault="00887330" w:rsidP="00887330">
      <w:pPr>
        <w:pStyle w:val="notetext"/>
      </w:pPr>
      <w:r w:rsidRPr="00583E1A">
        <w:t>Note:</w:t>
      </w:r>
      <w:r w:rsidRPr="00583E1A">
        <w:tab/>
        <w:t>These may be relevant for both debt interests and equity interests.</w:t>
      </w:r>
    </w:p>
    <w:p w:rsidR="00887330" w:rsidRPr="00583E1A" w:rsidRDefault="00887330" w:rsidP="00887330">
      <w:pPr>
        <w:pStyle w:val="subsection"/>
      </w:pPr>
      <w:r w:rsidRPr="00583E1A">
        <w:lastRenderedPageBreak/>
        <w:tab/>
        <w:t>(4)</w:t>
      </w:r>
      <w:r w:rsidRPr="00583E1A">
        <w:tab/>
        <w:t xml:space="preserve">For the purposes of </w:t>
      </w:r>
      <w:r w:rsidR="00583E1A">
        <w:t>subsection (</w:t>
      </w:r>
      <w:r w:rsidRPr="00583E1A">
        <w:t xml:space="preserve">1), the following </w:t>
      </w:r>
      <w:r w:rsidR="00583E1A" w:rsidRPr="00583E1A">
        <w:rPr>
          <w:position w:val="6"/>
          <w:sz w:val="16"/>
        </w:rPr>
        <w:t>*</w:t>
      </w:r>
      <w:r w:rsidRPr="00583E1A">
        <w:t>schemes are taken not to be entered into or undertaken to raise finance:</w:t>
      </w:r>
    </w:p>
    <w:p w:rsidR="00887330" w:rsidRPr="00583E1A" w:rsidRDefault="00887330" w:rsidP="00887330">
      <w:pPr>
        <w:pStyle w:val="paragraph"/>
      </w:pPr>
      <w:r w:rsidRPr="00583E1A">
        <w:tab/>
        <w:t>(a)</w:t>
      </w:r>
      <w:r w:rsidRPr="00583E1A">
        <w:tab/>
        <w:t>a lease or bailment that satisfies all of the following:</w:t>
      </w:r>
    </w:p>
    <w:p w:rsidR="00887330" w:rsidRPr="00583E1A" w:rsidRDefault="00887330" w:rsidP="00887330">
      <w:pPr>
        <w:pStyle w:val="paragraphsub"/>
      </w:pPr>
      <w:r w:rsidRPr="00583E1A">
        <w:tab/>
        <w:t>(i)</w:t>
      </w:r>
      <w:r w:rsidRPr="00583E1A">
        <w:tab/>
        <w:t>the property leased or bailed is not property to which Division</w:t>
      </w:r>
      <w:r w:rsidR="00583E1A">
        <w:t> </w:t>
      </w:r>
      <w:r w:rsidRPr="00583E1A">
        <w:t>16D of Part</w:t>
      </w:r>
      <w:r w:rsidR="00583E1A">
        <w:t> </w:t>
      </w:r>
      <w:r w:rsidRPr="00583E1A">
        <w:t xml:space="preserve">III of the </w:t>
      </w:r>
      <w:r w:rsidRPr="00583E1A">
        <w:rPr>
          <w:i/>
        </w:rPr>
        <w:t>Income Tax Assessment Act 1936</w:t>
      </w:r>
      <w:r w:rsidRPr="00583E1A">
        <w:t xml:space="preserve"> (arrangements relating to the use of property) applies;</w:t>
      </w:r>
    </w:p>
    <w:p w:rsidR="00887330" w:rsidRPr="00583E1A" w:rsidRDefault="00887330" w:rsidP="00887330">
      <w:pPr>
        <w:pStyle w:val="paragraphsub"/>
      </w:pPr>
      <w:r w:rsidRPr="00583E1A">
        <w:tab/>
        <w:t>(ii)</w:t>
      </w:r>
      <w:r w:rsidRPr="00583E1A">
        <w:tab/>
        <w:t>the lease or bailment is not a relevant agreement for the purposes of section</w:t>
      </w:r>
      <w:r w:rsidR="00583E1A">
        <w:t> </w:t>
      </w:r>
      <w:r w:rsidRPr="00583E1A">
        <w:t>128AC of that Act (deemed interest in respect of hire</w:t>
      </w:r>
      <w:r w:rsidR="00583E1A">
        <w:noBreakHyphen/>
      </w:r>
      <w:r w:rsidRPr="00583E1A">
        <w:t>purchase and certain other arrangements);</w:t>
      </w:r>
    </w:p>
    <w:p w:rsidR="00C034BC" w:rsidRPr="00214FF7" w:rsidRDefault="00C034BC" w:rsidP="00C034BC">
      <w:pPr>
        <w:pStyle w:val="paragraphsub"/>
      </w:pPr>
      <w:r w:rsidRPr="00214FF7">
        <w:tab/>
        <w:t>(iii)</w:t>
      </w:r>
      <w:r w:rsidRPr="00214FF7">
        <w:tab/>
        <w:t xml:space="preserve">the lease or bailment is not an </w:t>
      </w:r>
      <w:r w:rsidRPr="00214FF7">
        <w:rPr>
          <w:position w:val="6"/>
          <w:sz w:val="16"/>
        </w:rPr>
        <w:t>*</w:t>
      </w:r>
      <w:r w:rsidRPr="00214FF7">
        <w:t>arrangement to which Division 240 of this Act (about arrangements treated as a sale and loan), or Division 242 of this Act (about luxury car leases), applies;</w:t>
      </w:r>
    </w:p>
    <w:p w:rsidR="00887330" w:rsidRPr="00583E1A" w:rsidRDefault="00887330" w:rsidP="00887330">
      <w:pPr>
        <w:pStyle w:val="paragraphsub"/>
      </w:pPr>
      <w:r w:rsidRPr="00583E1A">
        <w:tab/>
        <w:t>(v)</w:t>
      </w:r>
      <w:r w:rsidRPr="00583E1A">
        <w:tab/>
        <w:t xml:space="preserve">the lessee or bailee, or a </w:t>
      </w:r>
      <w:r w:rsidR="00583E1A" w:rsidRPr="00583E1A">
        <w:rPr>
          <w:position w:val="6"/>
          <w:sz w:val="16"/>
        </w:rPr>
        <w:t>*</w:t>
      </w:r>
      <w:r w:rsidRPr="00583E1A">
        <w:t>connected entity of the lessee or bailee, is not to, and does not have an obligation (whether contingent or not) or a right to, acquire the leased or bailed property;</w:t>
      </w:r>
    </w:p>
    <w:p w:rsidR="00295828" w:rsidRPr="00583E1A" w:rsidRDefault="00295828" w:rsidP="00295828">
      <w:pPr>
        <w:pStyle w:val="paragraphsub"/>
      </w:pPr>
      <w:r w:rsidRPr="00583E1A">
        <w:tab/>
        <w:t>(vi)</w:t>
      </w:r>
      <w:r w:rsidRPr="00583E1A">
        <w:tab/>
        <w:t>Division</w:t>
      </w:r>
      <w:r w:rsidR="00583E1A">
        <w:t> </w:t>
      </w:r>
      <w:r w:rsidRPr="00583E1A">
        <w:t>250 of this Act does not apply to a person and the property leased or bailed;</w:t>
      </w:r>
    </w:p>
    <w:p w:rsidR="00887330" w:rsidRPr="00583E1A" w:rsidRDefault="00887330" w:rsidP="00887330">
      <w:pPr>
        <w:pStyle w:val="paragraph"/>
      </w:pPr>
      <w:r w:rsidRPr="00583E1A">
        <w:tab/>
        <w:t>(b)</w:t>
      </w:r>
      <w:r w:rsidRPr="00583E1A">
        <w:tab/>
        <w:t>a securities lending arrangement under section</w:t>
      </w:r>
      <w:r w:rsidR="00583E1A">
        <w:t> </w:t>
      </w:r>
      <w:r w:rsidRPr="00583E1A">
        <w:t xml:space="preserve">26BC of the </w:t>
      </w:r>
      <w:r w:rsidRPr="00583E1A">
        <w:rPr>
          <w:i/>
        </w:rPr>
        <w:t>Income Tax Assessment Act 1936</w:t>
      </w:r>
      <w:r w:rsidRPr="00583E1A">
        <w:t>;</w:t>
      </w:r>
    </w:p>
    <w:p w:rsidR="00887330" w:rsidRPr="00583E1A" w:rsidRDefault="00887330" w:rsidP="00887330">
      <w:pPr>
        <w:pStyle w:val="paragraph"/>
      </w:pPr>
      <w:r w:rsidRPr="00583E1A">
        <w:tab/>
        <w:t>(c)</w:t>
      </w:r>
      <w:r w:rsidRPr="00583E1A">
        <w:tab/>
        <w:t>a life insurance or general insurance contract undertaken as part of the issuer’s ordinary course of business;</w:t>
      </w:r>
    </w:p>
    <w:p w:rsidR="00887330" w:rsidRPr="00583E1A" w:rsidRDefault="00887330" w:rsidP="00887330">
      <w:pPr>
        <w:pStyle w:val="paragraph"/>
      </w:pPr>
      <w:r w:rsidRPr="00583E1A">
        <w:tab/>
        <w:t>(d)</w:t>
      </w:r>
      <w:r w:rsidRPr="00583E1A">
        <w:tab/>
        <w:t xml:space="preserve">a scheme for the payment of royalties (within the meaning of the </w:t>
      </w:r>
      <w:r w:rsidRPr="00583E1A">
        <w:rPr>
          <w:i/>
        </w:rPr>
        <w:t>Income Tax Assessment Act 1936</w:t>
      </w:r>
      <w:r w:rsidRPr="00583E1A">
        <w:t>) other than:</w:t>
      </w:r>
    </w:p>
    <w:p w:rsidR="00887330" w:rsidRPr="00583E1A" w:rsidRDefault="00887330" w:rsidP="00887330">
      <w:pPr>
        <w:pStyle w:val="paragraphsub"/>
      </w:pPr>
      <w:r w:rsidRPr="00583E1A">
        <w:tab/>
        <w:t>(i)</w:t>
      </w:r>
      <w:r w:rsidRPr="00583E1A">
        <w:tab/>
        <w:t>a qualifying arrangement for the purposes of Division</w:t>
      </w:r>
      <w:r w:rsidR="00583E1A">
        <w:t> </w:t>
      </w:r>
      <w:r w:rsidRPr="00583E1A">
        <w:t>16D of Part</w:t>
      </w:r>
      <w:r w:rsidR="00583E1A">
        <w:t> </w:t>
      </w:r>
      <w:r w:rsidRPr="00583E1A">
        <w:t xml:space="preserve">III of the </w:t>
      </w:r>
      <w:r w:rsidRPr="00583E1A">
        <w:rPr>
          <w:i/>
        </w:rPr>
        <w:t>Income Tax Assessment Act 1936</w:t>
      </w:r>
      <w:r w:rsidRPr="00583E1A">
        <w:t>;</w:t>
      </w:r>
      <w:r w:rsidRPr="00583E1A">
        <w:rPr>
          <w:i/>
        </w:rPr>
        <w:t xml:space="preserve"> </w:t>
      </w:r>
      <w:r w:rsidRPr="00583E1A">
        <w:t>or</w:t>
      </w:r>
    </w:p>
    <w:p w:rsidR="00887330" w:rsidRPr="00583E1A" w:rsidRDefault="00887330" w:rsidP="00887330">
      <w:pPr>
        <w:pStyle w:val="paragraphsub"/>
      </w:pPr>
      <w:r w:rsidRPr="00583E1A">
        <w:tab/>
        <w:t>(ii)</w:t>
      </w:r>
      <w:r w:rsidRPr="00583E1A">
        <w:tab/>
        <w:t>a relevant agreement for the purposes of section</w:t>
      </w:r>
      <w:r w:rsidR="00583E1A">
        <w:t> </w:t>
      </w:r>
      <w:r w:rsidRPr="00583E1A">
        <w:t>128AC of that Act</w:t>
      </w:r>
      <w:r w:rsidR="00A84440" w:rsidRPr="00583E1A">
        <w:t>; or</w:t>
      </w:r>
    </w:p>
    <w:p w:rsidR="00A84440" w:rsidRPr="00583E1A" w:rsidRDefault="00A84440" w:rsidP="00A84440">
      <w:pPr>
        <w:pStyle w:val="paragraphsub"/>
      </w:pPr>
      <w:r w:rsidRPr="00583E1A">
        <w:tab/>
        <w:t>(iii)</w:t>
      </w:r>
      <w:r w:rsidRPr="00583E1A">
        <w:tab/>
        <w:t>a scheme or arrangement for the payment of royalties in relation to an asset if Division</w:t>
      </w:r>
      <w:r w:rsidR="00583E1A">
        <w:t> </w:t>
      </w:r>
      <w:r w:rsidRPr="00583E1A">
        <w:t>250 of this Act applies to a person and the asset.</w:t>
      </w:r>
    </w:p>
    <w:p w:rsidR="00887330" w:rsidRPr="00583E1A" w:rsidRDefault="00887330" w:rsidP="00DA0182">
      <w:pPr>
        <w:pStyle w:val="subsection"/>
        <w:keepNext/>
        <w:keepLines/>
      </w:pPr>
      <w:r w:rsidRPr="00583E1A">
        <w:lastRenderedPageBreak/>
        <w:tab/>
        <w:t>(5)</w:t>
      </w:r>
      <w:r w:rsidRPr="00583E1A">
        <w:tab/>
        <w:t>The regulations may:</w:t>
      </w:r>
    </w:p>
    <w:p w:rsidR="00887330" w:rsidRPr="00583E1A" w:rsidRDefault="00887330" w:rsidP="00887330">
      <w:pPr>
        <w:pStyle w:val="paragraph"/>
      </w:pPr>
      <w:r w:rsidRPr="00583E1A">
        <w:tab/>
        <w:t>(a)</w:t>
      </w:r>
      <w:r w:rsidRPr="00583E1A">
        <w:tab/>
        <w:t xml:space="preserve">specify that particular </w:t>
      </w:r>
      <w:r w:rsidR="00583E1A" w:rsidRPr="00583E1A">
        <w:rPr>
          <w:position w:val="6"/>
          <w:sz w:val="16"/>
        </w:rPr>
        <w:t>*</w:t>
      </w:r>
      <w:r w:rsidRPr="00583E1A">
        <w:t xml:space="preserve">schemes are not </w:t>
      </w:r>
      <w:r w:rsidRPr="00583E1A">
        <w:rPr>
          <w:b/>
          <w:i/>
        </w:rPr>
        <w:t>financing arrangements</w:t>
      </w:r>
      <w:r w:rsidRPr="00583E1A">
        <w:t>; and</w:t>
      </w:r>
    </w:p>
    <w:p w:rsidR="00887330" w:rsidRPr="00583E1A" w:rsidRDefault="00887330" w:rsidP="00887330">
      <w:pPr>
        <w:pStyle w:val="paragraph"/>
      </w:pPr>
      <w:r w:rsidRPr="00583E1A">
        <w:tab/>
        <w:t>(b)</w:t>
      </w:r>
      <w:r w:rsidRPr="00583E1A">
        <w:tab/>
        <w:t xml:space="preserve">specify circumstances in which a scheme will not be a </w:t>
      </w:r>
      <w:r w:rsidRPr="00583E1A">
        <w:rPr>
          <w:b/>
          <w:i/>
        </w:rPr>
        <w:t>financing arrangement</w:t>
      </w:r>
      <w:r w:rsidRPr="00583E1A">
        <w:t>.</w:t>
      </w:r>
    </w:p>
    <w:p w:rsidR="00887330" w:rsidRPr="00583E1A" w:rsidRDefault="00887330" w:rsidP="00887330">
      <w:pPr>
        <w:pStyle w:val="ActHead5"/>
      </w:pPr>
      <w:bookmarkStart w:id="611" w:name="_Toc338939685"/>
      <w:r w:rsidRPr="00583E1A">
        <w:rPr>
          <w:rStyle w:val="CharSectno"/>
        </w:rPr>
        <w:t>974</w:t>
      </w:r>
      <w:r w:rsidR="00583E1A">
        <w:rPr>
          <w:rStyle w:val="CharSectno"/>
        </w:rPr>
        <w:noBreakHyphen/>
      </w:r>
      <w:r w:rsidRPr="00583E1A">
        <w:rPr>
          <w:rStyle w:val="CharSectno"/>
        </w:rPr>
        <w:t>135</w:t>
      </w:r>
      <w:r w:rsidRPr="00583E1A">
        <w:t xml:space="preserve">  Effectively non</w:t>
      </w:r>
      <w:r w:rsidR="00583E1A">
        <w:noBreakHyphen/>
      </w:r>
      <w:r w:rsidRPr="00583E1A">
        <w:t>contingent obligation</w:t>
      </w:r>
      <w:bookmarkEnd w:id="611"/>
    </w:p>
    <w:p w:rsidR="00887330" w:rsidRPr="00583E1A" w:rsidRDefault="00887330" w:rsidP="00887330">
      <w:pPr>
        <w:pStyle w:val="subsection"/>
      </w:pPr>
      <w:r w:rsidRPr="00583E1A">
        <w:tab/>
        <w:t>(1)</w:t>
      </w:r>
      <w:r w:rsidRPr="00583E1A">
        <w:tab/>
        <w:t xml:space="preserve">There is an </w:t>
      </w:r>
      <w:r w:rsidRPr="00583E1A">
        <w:rPr>
          <w:b/>
          <w:i/>
        </w:rPr>
        <w:t>effectively non</w:t>
      </w:r>
      <w:r w:rsidR="00583E1A">
        <w:rPr>
          <w:b/>
          <w:i/>
        </w:rPr>
        <w:noBreakHyphen/>
      </w:r>
      <w:r w:rsidRPr="00583E1A">
        <w:rPr>
          <w:b/>
          <w:i/>
        </w:rPr>
        <w:t>contingent obligation</w:t>
      </w:r>
      <w:r w:rsidRPr="00583E1A">
        <w:t xml:space="preserve"> to take an action under a </w:t>
      </w:r>
      <w:r w:rsidR="00583E1A" w:rsidRPr="00583E1A">
        <w:rPr>
          <w:position w:val="6"/>
          <w:sz w:val="16"/>
        </w:rPr>
        <w:t>*</w:t>
      </w:r>
      <w:r w:rsidRPr="00583E1A">
        <w:t>scheme if, having regard to the pricing, terms and conditions of the scheme, there is in substance or effect a non</w:t>
      </w:r>
      <w:r w:rsidR="00583E1A">
        <w:noBreakHyphen/>
      </w:r>
      <w:r w:rsidRPr="00583E1A">
        <w:t xml:space="preserve">contingent obligation (see </w:t>
      </w:r>
      <w:r w:rsidR="00583E1A">
        <w:t>subsections (</w:t>
      </w:r>
      <w:r w:rsidRPr="00583E1A">
        <w:t>3), (4) and (6)) to take that action.</w:t>
      </w:r>
    </w:p>
    <w:p w:rsidR="00887330" w:rsidRPr="00583E1A" w:rsidRDefault="00887330" w:rsidP="00887330">
      <w:pPr>
        <w:pStyle w:val="subsection"/>
      </w:pPr>
      <w:r w:rsidRPr="00583E1A">
        <w:tab/>
        <w:t>(2)</w:t>
      </w:r>
      <w:r w:rsidRPr="00583E1A">
        <w:tab/>
        <w:t xml:space="preserve">Without limiting </w:t>
      </w:r>
      <w:r w:rsidR="00583E1A">
        <w:t>subsection (</w:t>
      </w:r>
      <w:r w:rsidRPr="00583E1A">
        <w:t>1), that subsection applies to:</w:t>
      </w:r>
    </w:p>
    <w:p w:rsidR="00887330" w:rsidRPr="00583E1A" w:rsidRDefault="00887330" w:rsidP="00887330">
      <w:pPr>
        <w:pStyle w:val="paragraph"/>
      </w:pPr>
      <w:r w:rsidRPr="00583E1A">
        <w:tab/>
        <w:t>(a)</w:t>
      </w:r>
      <w:r w:rsidRPr="00583E1A">
        <w:tab/>
        <w:t xml:space="preserve">providing a </w:t>
      </w:r>
      <w:r w:rsidR="00583E1A" w:rsidRPr="00583E1A">
        <w:rPr>
          <w:position w:val="6"/>
          <w:sz w:val="16"/>
        </w:rPr>
        <w:t>*</w:t>
      </w:r>
      <w:r w:rsidRPr="00583E1A">
        <w:t xml:space="preserve">financial benefit under the </w:t>
      </w:r>
      <w:r w:rsidR="00583E1A" w:rsidRPr="00583E1A">
        <w:rPr>
          <w:position w:val="6"/>
          <w:sz w:val="16"/>
        </w:rPr>
        <w:t>*</w:t>
      </w:r>
      <w:r w:rsidRPr="00583E1A">
        <w:t>scheme; or</w:t>
      </w:r>
    </w:p>
    <w:p w:rsidR="00887330" w:rsidRPr="00583E1A" w:rsidRDefault="00887330" w:rsidP="00887330">
      <w:pPr>
        <w:pStyle w:val="paragraph"/>
      </w:pPr>
      <w:r w:rsidRPr="00583E1A">
        <w:tab/>
        <w:t>(b)</w:t>
      </w:r>
      <w:r w:rsidRPr="00583E1A">
        <w:tab/>
        <w:t>terminating the scheme.</w:t>
      </w:r>
    </w:p>
    <w:p w:rsidR="00887330" w:rsidRPr="00583E1A" w:rsidRDefault="00887330" w:rsidP="00887330">
      <w:pPr>
        <w:pStyle w:val="subsection"/>
      </w:pPr>
      <w:r w:rsidRPr="00583E1A">
        <w:tab/>
        <w:t>(3)</w:t>
      </w:r>
      <w:r w:rsidRPr="00583E1A">
        <w:tab/>
        <w:t xml:space="preserve">An obligation is </w:t>
      </w:r>
      <w:r w:rsidRPr="00583E1A">
        <w:rPr>
          <w:b/>
          <w:i/>
        </w:rPr>
        <w:t>non</w:t>
      </w:r>
      <w:r w:rsidR="00583E1A">
        <w:rPr>
          <w:b/>
          <w:i/>
        </w:rPr>
        <w:noBreakHyphen/>
      </w:r>
      <w:r w:rsidRPr="00583E1A">
        <w:rPr>
          <w:b/>
          <w:i/>
        </w:rPr>
        <w:t>contingent</w:t>
      </w:r>
      <w:r w:rsidRPr="00583E1A">
        <w:t xml:space="preserve"> if it is not contingent on any event, condition or situation (including the economic performance of the entity having the obligation or a </w:t>
      </w:r>
      <w:r w:rsidR="00583E1A" w:rsidRPr="00583E1A">
        <w:rPr>
          <w:position w:val="6"/>
          <w:sz w:val="16"/>
        </w:rPr>
        <w:t>*</w:t>
      </w:r>
      <w:r w:rsidRPr="00583E1A">
        <w:t>connected entity of that entity), other than the ability or willingness of that entity or connected entity to meet the obligation.</w:t>
      </w:r>
    </w:p>
    <w:p w:rsidR="00887330" w:rsidRPr="00583E1A" w:rsidRDefault="00887330" w:rsidP="00887330">
      <w:pPr>
        <w:pStyle w:val="subsection"/>
      </w:pPr>
      <w:r w:rsidRPr="00583E1A">
        <w:tab/>
        <w:t>(4)</w:t>
      </w:r>
      <w:r w:rsidRPr="00583E1A">
        <w:tab/>
        <w:t xml:space="preserve">The existence of the right of the holder of an </w:t>
      </w:r>
      <w:r w:rsidR="00583E1A" w:rsidRPr="00583E1A">
        <w:rPr>
          <w:position w:val="6"/>
          <w:sz w:val="16"/>
        </w:rPr>
        <w:t>*</w:t>
      </w:r>
      <w:r w:rsidRPr="00583E1A">
        <w:t xml:space="preserve">interest that will or may convert into an </w:t>
      </w:r>
      <w:r w:rsidR="00583E1A" w:rsidRPr="00583E1A">
        <w:rPr>
          <w:position w:val="6"/>
          <w:sz w:val="16"/>
        </w:rPr>
        <w:t>*</w:t>
      </w:r>
      <w:r w:rsidRPr="00583E1A">
        <w:t>equity interest in a company to convert the interest does not of itself make the issuer’s obligation to repay the investment not non</w:t>
      </w:r>
      <w:r w:rsidR="00583E1A">
        <w:noBreakHyphen/>
      </w:r>
      <w:r w:rsidRPr="00583E1A">
        <w:t>contingent.</w:t>
      </w:r>
    </w:p>
    <w:p w:rsidR="00887330" w:rsidRPr="00583E1A" w:rsidRDefault="00887330" w:rsidP="00887330">
      <w:pPr>
        <w:pStyle w:val="subsection"/>
      </w:pPr>
      <w:r w:rsidRPr="00583E1A">
        <w:tab/>
        <w:t>(5)</w:t>
      </w:r>
      <w:r w:rsidRPr="00583E1A">
        <w:tab/>
        <w:t xml:space="preserve">An obligation to redeem a preference share is not contingent merely because there is a legislative requirement for the redemption amount to be met out of profits or a fresh issue of </w:t>
      </w:r>
      <w:r w:rsidR="00583E1A" w:rsidRPr="00583E1A">
        <w:rPr>
          <w:position w:val="6"/>
          <w:sz w:val="16"/>
        </w:rPr>
        <w:t>*</w:t>
      </w:r>
      <w:r w:rsidRPr="00583E1A">
        <w:t>equity interests.</w:t>
      </w:r>
    </w:p>
    <w:p w:rsidR="00887330" w:rsidRPr="00583E1A" w:rsidRDefault="00887330" w:rsidP="00887330">
      <w:pPr>
        <w:pStyle w:val="subsection"/>
      </w:pPr>
      <w:r w:rsidRPr="00583E1A">
        <w:tab/>
        <w:t>(6)</w:t>
      </w:r>
      <w:r w:rsidRPr="00583E1A">
        <w:tab/>
        <w:t>In determining whether there is in substance or effect a non</w:t>
      </w:r>
      <w:r w:rsidR="00583E1A">
        <w:noBreakHyphen/>
      </w:r>
      <w:r w:rsidRPr="00583E1A">
        <w:t>contingent obligation to take the action, have regard to the artificiality, or the contrived nature, of any contingency on which the obligation to take the action depends.</w:t>
      </w:r>
    </w:p>
    <w:p w:rsidR="00887330" w:rsidRPr="00583E1A" w:rsidRDefault="00887330" w:rsidP="00887330">
      <w:pPr>
        <w:pStyle w:val="notetext"/>
      </w:pPr>
      <w:r w:rsidRPr="00583E1A">
        <w:t>Note:</w:t>
      </w:r>
      <w:r w:rsidRPr="00583E1A">
        <w:tab/>
        <w:t>The artificiality, or the contrived nature, of a contingency would tend to indicate that there is, in substance or effect, a non</w:t>
      </w:r>
      <w:r w:rsidR="00583E1A">
        <w:noBreakHyphen/>
      </w:r>
      <w:r w:rsidRPr="00583E1A">
        <w:t>contingent obligation to take that action.</w:t>
      </w:r>
    </w:p>
    <w:p w:rsidR="00887330" w:rsidRPr="00583E1A" w:rsidRDefault="00887330" w:rsidP="00887330">
      <w:pPr>
        <w:pStyle w:val="subsection"/>
      </w:pPr>
      <w:r w:rsidRPr="00583E1A">
        <w:lastRenderedPageBreak/>
        <w:tab/>
        <w:t>(7)</w:t>
      </w:r>
      <w:r w:rsidRPr="00583E1A">
        <w:tab/>
        <w:t xml:space="preserve">An obligation of yours is not </w:t>
      </w:r>
      <w:r w:rsidRPr="00583E1A">
        <w:rPr>
          <w:b/>
          <w:i/>
        </w:rPr>
        <w:t>effectively non</w:t>
      </w:r>
      <w:r w:rsidR="00583E1A">
        <w:rPr>
          <w:b/>
          <w:i/>
        </w:rPr>
        <w:noBreakHyphen/>
      </w:r>
      <w:r w:rsidRPr="00583E1A">
        <w:rPr>
          <w:b/>
          <w:i/>
        </w:rPr>
        <w:t>contingent</w:t>
      </w:r>
      <w:r w:rsidRPr="00583E1A">
        <w:t xml:space="preserve"> merely because you will suffer some detrimental practical or commercial consequences if you do not fulfil the obligation.</w:t>
      </w:r>
    </w:p>
    <w:p w:rsidR="00887330" w:rsidRPr="00583E1A" w:rsidRDefault="00887330" w:rsidP="008864CB">
      <w:pPr>
        <w:pStyle w:val="notetext"/>
        <w:keepNext/>
      </w:pPr>
      <w:r w:rsidRPr="00583E1A">
        <w:t>Note:</w:t>
      </w:r>
      <w:r w:rsidRPr="00583E1A">
        <w:tab/>
        <w:t>For example, a contingent obligation to make payments in respect of an income security issued by an approved deposit</w:t>
      </w:r>
      <w:r w:rsidR="00583E1A">
        <w:noBreakHyphen/>
      </w:r>
      <w:r w:rsidRPr="00583E1A">
        <w:t>taking institution (ADI) is not effectively non</w:t>
      </w:r>
      <w:r w:rsidR="00583E1A">
        <w:noBreakHyphen/>
      </w:r>
      <w:r w:rsidRPr="00583E1A">
        <w:t>contingent merely because of the detrimental effect non</w:t>
      </w:r>
      <w:r w:rsidR="00583E1A">
        <w:noBreakHyphen/>
      </w:r>
      <w:r w:rsidRPr="00583E1A">
        <w:t>payment would have on the ADI’s business.</w:t>
      </w:r>
    </w:p>
    <w:p w:rsidR="00887330" w:rsidRPr="00583E1A" w:rsidRDefault="00887330" w:rsidP="00887330">
      <w:pPr>
        <w:pStyle w:val="subsection"/>
      </w:pPr>
      <w:r w:rsidRPr="00583E1A">
        <w:tab/>
        <w:t>(8)</w:t>
      </w:r>
      <w:r w:rsidRPr="00583E1A">
        <w:tab/>
        <w:t>The regulations may make further provisions relating to the following:</w:t>
      </w:r>
    </w:p>
    <w:p w:rsidR="00887330" w:rsidRPr="00583E1A" w:rsidRDefault="00887330" w:rsidP="00887330">
      <w:pPr>
        <w:pStyle w:val="paragraph"/>
      </w:pPr>
      <w:r w:rsidRPr="00583E1A">
        <w:tab/>
        <w:t>(a)</w:t>
      </w:r>
      <w:r w:rsidRPr="00583E1A">
        <w:tab/>
        <w:t>what constitutes a non</w:t>
      </w:r>
      <w:r w:rsidR="00583E1A">
        <w:noBreakHyphen/>
      </w:r>
      <w:r w:rsidRPr="00583E1A">
        <w:t>contingent obligation;</w:t>
      </w:r>
    </w:p>
    <w:p w:rsidR="00887330" w:rsidRPr="00583E1A" w:rsidRDefault="00887330" w:rsidP="00887330">
      <w:pPr>
        <w:pStyle w:val="paragraph"/>
      </w:pPr>
      <w:r w:rsidRPr="00583E1A">
        <w:tab/>
        <w:t>(b)</w:t>
      </w:r>
      <w:r w:rsidRPr="00583E1A">
        <w:tab/>
        <w:t>what does not constitute a non</w:t>
      </w:r>
      <w:r w:rsidR="00583E1A">
        <w:noBreakHyphen/>
      </w:r>
      <w:r w:rsidRPr="00583E1A">
        <w:t>contingent obligation;</w:t>
      </w:r>
    </w:p>
    <w:p w:rsidR="00887330" w:rsidRPr="00583E1A" w:rsidRDefault="00887330" w:rsidP="00887330">
      <w:pPr>
        <w:pStyle w:val="paragraph"/>
      </w:pPr>
      <w:r w:rsidRPr="00583E1A">
        <w:tab/>
        <w:t>(c)</w:t>
      </w:r>
      <w:r w:rsidRPr="00583E1A">
        <w:tab/>
        <w:t xml:space="preserve">what constitutes an </w:t>
      </w:r>
      <w:r w:rsidR="00583E1A" w:rsidRPr="00583E1A">
        <w:rPr>
          <w:position w:val="6"/>
          <w:sz w:val="16"/>
        </w:rPr>
        <w:t>*</w:t>
      </w:r>
      <w:r w:rsidRPr="00583E1A">
        <w:t>effectively non</w:t>
      </w:r>
      <w:r w:rsidR="00583E1A">
        <w:noBreakHyphen/>
      </w:r>
      <w:r w:rsidRPr="00583E1A">
        <w:t>contingent obligation;</w:t>
      </w:r>
    </w:p>
    <w:p w:rsidR="00887330" w:rsidRPr="00583E1A" w:rsidRDefault="00887330" w:rsidP="00887330">
      <w:pPr>
        <w:pStyle w:val="paragraph"/>
      </w:pPr>
      <w:r w:rsidRPr="00583E1A">
        <w:tab/>
        <w:t>(d)</w:t>
      </w:r>
      <w:r w:rsidRPr="00583E1A">
        <w:tab/>
        <w:t>what does not constitute an effectively non</w:t>
      </w:r>
      <w:r w:rsidR="00583E1A">
        <w:noBreakHyphen/>
      </w:r>
      <w:r w:rsidRPr="00583E1A">
        <w:t>contingent obligation.</w:t>
      </w:r>
    </w:p>
    <w:p w:rsidR="00887330" w:rsidRPr="00583E1A" w:rsidRDefault="00887330" w:rsidP="00887330">
      <w:pPr>
        <w:pStyle w:val="ActHead5"/>
      </w:pPr>
      <w:bookmarkStart w:id="612" w:name="_Toc338939686"/>
      <w:r w:rsidRPr="00583E1A">
        <w:rPr>
          <w:rStyle w:val="CharSectno"/>
        </w:rPr>
        <w:t>974</w:t>
      </w:r>
      <w:r w:rsidR="00583E1A">
        <w:rPr>
          <w:rStyle w:val="CharSectno"/>
        </w:rPr>
        <w:noBreakHyphen/>
      </w:r>
      <w:r w:rsidRPr="00583E1A">
        <w:rPr>
          <w:rStyle w:val="CharSectno"/>
        </w:rPr>
        <w:t>140</w:t>
      </w:r>
      <w:r w:rsidRPr="00583E1A">
        <w:t xml:space="preserve">  Ordinary debt interest</w:t>
      </w:r>
      <w:bookmarkEnd w:id="612"/>
    </w:p>
    <w:p w:rsidR="00887330" w:rsidRPr="00583E1A" w:rsidRDefault="00887330" w:rsidP="00887330">
      <w:pPr>
        <w:pStyle w:val="subsection"/>
      </w:pPr>
      <w:r w:rsidRPr="00583E1A">
        <w:tab/>
        <w:t>(1)</w:t>
      </w:r>
      <w:r w:rsidRPr="00583E1A">
        <w:tab/>
        <w:t xml:space="preserve">A </w:t>
      </w:r>
      <w:r w:rsidR="00583E1A" w:rsidRPr="00583E1A">
        <w:rPr>
          <w:position w:val="6"/>
          <w:sz w:val="16"/>
        </w:rPr>
        <w:t>*</w:t>
      </w:r>
      <w:r w:rsidRPr="00583E1A">
        <w:t xml:space="preserve">debt interest arising from a scheme is an </w:t>
      </w:r>
      <w:r w:rsidRPr="00583E1A">
        <w:rPr>
          <w:b/>
          <w:i/>
        </w:rPr>
        <w:t>ordinary debt interest</w:t>
      </w:r>
      <w:r w:rsidRPr="00583E1A">
        <w:t xml:space="preserve"> if none of the obligations under the scheme is in substance or effect </w:t>
      </w:r>
      <w:r w:rsidR="00583E1A" w:rsidRPr="00583E1A">
        <w:rPr>
          <w:position w:val="6"/>
          <w:sz w:val="16"/>
        </w:rPr>
        <w:t>*</w:t>
      </w:r>
      <w:r w:rsidRPr="00583E1A">
        <w:t>contingent on the economic performance of:</w:t>
      </w:r>
    </w:p>
    <w:p w:rsidR="00887330" w:rsidRPr="00583E1A" w:rsidRDefault="00887330" w:rsidP="00887330">
      <w:pPr>
        <w:pStyle w:val="paragraph"/>
      </w:pPr>
      <w:r w:rsidRPr="00583E1A">
        <w:tab/>
        <w:t>(a)</w:t>
      </w:r>
      <w:r w:rsidRPr="00583E1A">
        <w:tab/>
        <w:t>the issuer of the interest; or</w:t>
      </w:r>
    </w:p>
    <w:p w:rsidR="00887330" w:rsidRPr="00583E1A" w:rsidRDefault="00887330" w:rsidP="00887330">
      <w:pPr>
        <w:pStyle w:val="paragraph"/>
      </w:pPr>
      <w:r w:rsidRPr="00583E1A">
        <w:tab/>
        <w:t>(b)</w:t>
      </w:r>
      <w:r w:rsidRPr="00583E1A">
        <w:tab/>
        <w:t xml:space="preserve">a </w:t>
      </w:r>
      <w:r w:rsidR="00583E1A" w:rsidRPr="00583E1A">
        <w:rPr>
          <w:position w:val="6"/>
          <w:sz w:val="16"/>
        </w:rPr>
        <w:t>*</w:t>
      </w:r>
      <w:r w:rsidRPr="00583E1A">
        <w:t>connected entity; or</w:t>
      </w:r>
    </w:p>
    <w:p w:rsidR="00887330" w:rsidRPr="00583E1A" w:rsidRDefault="00887330" w:rsidP="00887330">
      <w:pPr>
        <w:pStyle w:val="paragraph"/>
      </w:pPr>
      <w:r w:rsidRPr="00583E1A">
        <w:tab/>
        <w:t>(c)</w:t>
      </w:r>
      <w:r w:rsidRPr="00583E1A">
        <w:tab/>
        <w:t>a part of the operations of the issuer or a connected entity.</w:t>
      </w:r>
    </w:p>
    <w:p w:rsidR="00887330" w:rsidRPr="00583E1A" w:rsidRDefault="00887330" w:rsidP="00887330">
      <w:pPr>
        <w:pStyle w:val="subsection"/>
      </w:pPr>
      <w:r w:rsidRPr="00583E1A">
        <w:tab/>
        <w:t>(2)</w:t>
      </w:r>
      <w:r w:rsidRPr="00583E1A">
        <w:tab/>
        <w:t xml:space="preserve">The regulations may specify rules for determining whether a </w:t>
      </w:r>
      <w:r w:rsidR="00583E1A" w:rsidRPr="00583E1A">
        <w:rPr>
          <w:position w:val="6"/>
          <w:sz w:val="16"/>
        </w:rPr>
        <w:t>*</w:t>
      </w:r>
      <w:r w:rsidRPr="00583E1A">
        <w:t xml:space="preserve">debt interest is an </w:t>
      </w:r>
      <w:r w:rsidR="00583E1A" w:rsidRPr="00583E1A">
        <w:rPr>
          <w:position w:val="6"/>
          <w:sz w:val="16"/>
        </w:rPr>
        <w:t>*</w:t>
      </w:r>
      <w:r w:rsidRPr="00583E1A">
        <w:t>ordinary debt interest.</w:t>
      </w:r>
    </w:p>
    <w:p w:rsidR="00887330" w:rsidRPr="00583E1A" w:rsidRDefault="00887330" w:rsidP="00887330">
      <w:pPr>
        <w:pStyle w:val="ActHead5"/>
      </w:pPr>
      <w:bookmarkStart w:id="613" w:name="_Toc338939687"/>
      <w:r w:rsidRPr="00583E1A">
        <w:rPr>
          <w:rStyle w:val="CharSectno"/>
        </w:rPr>
        <w:t>974</w:t>
      </w:r>
      <w:r w:rsidR="00583E1A">
        <w:rPr>
          <w:rStyle w:val="CharSectno"/>
        </w:rPr>
        <w:noBreakHyphen/>
      </w:r>
      <w:r w:rsidRPr="00583E1A">
        <w:rPr>
          <w:rStyle w:val="CharSectno"/>
        </w:rPr>
        <w:t>145</w:t>
      </w:r>
      <w:r w:rsidRPr="00583E1A">
        <w:t xml:space="preserve">  Benchmark rate of return</w:t>
      </w:r>
      <w:bookmarkEnd w:id="613"/>
    </w:p>
    <w:p w:rsidR="00887330" w:rsidRPr="00583E1A" w:rsidRDefault="00887330" w:rsidP="00887330">
      <w:pPr>
        <w:pStyle w:val="subsection"/>
      </w:pPr>
      <w:r w:rsidRPr="00583E1A">
        <w:tab/>
        <w:t>(1)</w:t>
      </w:r>
      <w:r w:rsidRPr="00583E1A">
        <w:tab/>
        <w:t xml:space="preserve">The </w:t>
      </w:r>
      <w:r w:rsidRPr="00583E1A">
        <w:rPr>
          <w:b/>
          <w:i/>
        </w:rPr>
        <w:t xml:space="preserve">benchmark rate of return </w:t>
      </w:r>
      <w:r w:rsidRPr="00583E1A">
        <w:t xml:space="preserve">for an interest (the </w:t>
      </w:r>
      <w:r w:rsidRPr="00583E1A">
        <w:rPr>
          <w:b/>
          <w:i/>
        </w:rPr>
        <w:t>test interest)</w:t>
      </w:r>
      <w:r w:rsidRPr="00583E1A">
        <w:t xml:space="preserve"> in an entity is the annually compounded internal rate of return on an </w:t>
      </w:r>
      <w:r w:rsidR="00583E1A" w:rsidRPr="00583E1A">
        <w:rPr>
          <w:position w:val="6"/>
          <w:sz w:val="16"/>
        </w:rPr>
        <w:t>*</w:t>
      </w:r>
      <w:r w:rsidRPr="00583E1A">
        <w:t>ordinary debt interest that:</w:t>
      </w:r>
    </w:p>
    <w:p w:rsidR="00887330" w:rsidRPr="00583E1A" w:rsidRDefault="00887330" w:rsidP="00887330">
      <w:pPr>
        <w:pStyle w:val="paragraph"/>
      </w:pPr>
      <w:r w:rsidRPr="00583E1A">
        <w:tab/>
        <w:t>(a)</w:t>
      </w:r>
      <w:r w:rsidRPr="00583E1A">
        <w:tab/>
        <w:t xml:space="preserve">is issued, immediately before the test interest is issued, by the entity, or an equivalent entity, to an entity that is not a </w:t>
      </w:r>
      <w:r w:rsidR="00583E1A" w:rsidRPr="00583E1A">
        <w:rPr>
          <w:position w:val="6"/>
          <w:sz w:val="16"/>
        </w:rPr>
        <w:t>*</w:t>
      </w:r>
      <w:r w:rsidRPr="00583E1A">
        <w:t>connected entity; and</w:t>
      </w:r>
    </w:p>
    <w:p w:rsidR="00887330" w:rsidRPr="00583E1A" w:rsidRDefault="00887330" w:rsidP="00887330">
      <w:pPr>
        <w:pStyle w:val="paragraph"/>
      </w:pPr>
      <w:r w:rsidRPr="00583E1A">
        <w:tab/>
        <w:t>(b)</w:t>
      </w:r>
      <w:r w:rsidRPr="00583E1A">
        <w:tab/>
        <w:t>has a comparable maturity date; and</w:t>
      </w:r>
    </w:p>
    <w:p w:rsidR="00887330" w:rsidRPr="00583E1A" w:rsidRDefault="00887330" w:rsidP="00887330">
      <w:pPr>
        <w:pStyle w:val="paragraph"/>
      </w:pPr>
      <w:r w:rsidRPr="00583E1A">
        <w:tab/>
        <w:t>(c)</w:t>
      </w:r>
      <w:r w:rsidRPr="00583E1A">
        <w:tab/>
        <w:t>is in the same currency; and</w:t>
      </w:r>
    </w:p>
    <w:p w:rsidR="00887330" w:rsidRPr="00583E1A" w:rsidRDefault="00887330" w:rsidP="00887330">
      <w:pPr>
        <w:pStyle w:val="paragraph"/>
      </w:pPr>
      <w:r w:rsidRPr="00583E1A">
        <w:tab/>
        <w:t>(d)</w:t>
      </w:r>
      <w:r w:rsidRPr="00583E1A">
        <w:tab/>
        <w:t>is issued in the same market; and</w:t>
      </w:r>
    </w:p>
    <w:p w:rsidR="00887330" w:rsidRPr="00583E1A" w:rsidRDefault="00887330" w:rsidP="00887330">
      <w:pPr>
        <w:pStyle w:val="paragraph"/>
      </w:pPr>
      <w:r w:rsidRPr="00583E1A">
        <w:lastRenderedPageBreak/>
        <w:tab/>
        <w:t>(e)</w:t>
      </w:r>
      <w:r w:rsidRPr="00583E1A">
        <w:tab/>
        <w:t>has the same credit status; and</w:t>
      </w:r>
    </w:p>
    <w:p w:rsidR="00887330" w:rsidRPr="00583E1A" w:rsidRDefault="00887330" w:rsidP="00887330">
      <w:pPr>
        <w:pStyle w:val="paragraph"/>
      </w:pPr>
      <w:r w:rsidRPr="00583E1A">
        <w:tab/>
        <w:t>(f)</w:t>
      </w:r>
      <w:r w:rsidRPr="00583E1A">
        <w:tab/>
        <w:t>has the same degree of subordination to debts owed to the ordinary creditors of the issuer.</w:t>
      </w:r>
    </w:p>
    <w:p w:rsidR="00887330" w:rsidRPr="00583E1A" w:rsidRDefault="00887330" w:rsidP="00887330">
      <w:pPr>
        <w:pStyle w:val="subsection"/>
      </w:pPr>
      <w:r w:rsidRPr="00583E1A">
        <w:tab/>
        <w:t>(2)</w:t>
      </w:r>
      <w:r w:rsidRPr="00583E1A">
        <w:tab/>
        <w:t xml:space="preserve">If there is no interest that satisfies </w:t>
      </w:r>
      <w:r w:rsidR="00583E1A">
        <w:t>subsection (</w:t>
      </w:r>
      <w:r w:rsidRPr="00583E1A">
        <w:t xml:space="preserve">1), the </w:t>
      </w:r>
      <w:r w:rsidRPr="00583E1A">
        <w:rPr>
          <w:b/>
          <w:i/>
        </w:rPr>
        <w:t>benchmark rate of return</w:t>
      </w:r>
      <w:r w:rsidRPr="00583E1A">
        <w:t xml:space="preserve"> for the test interest is the annually compounded internal rate of return on an interest that is closest to the test interest in the respects referred to in that </w:t>
      </w:r>
      <w:r w:rsidR="00583E1A">
        <w:t>subsection (</w:t>
      </w:r>
      <w:r w:rsidRPr="00583E1A">
        <w:t>adjusted appropriately to take account of the differences between that interest and the test interest).</w:t>
      </w:r>
    </w:p>
    <w:p w:rsidR="00887330" w:rsidRPr="00583E1A" w:rsidRDefault="00887330" w:rsidP="00887330">
      <w:pPr>
        <w:pStyle w:val="subsection"/>
      </w:pPr>
      <w:r w:rsidRPr="00583E1A">
        <w:tab/>
        <w:t>(3)</w:t>
      </w:r>
      <w:r w:rsidRPr="00583E1A">
        <w:tab/>
        <w:t>The regulations may:</w:t>
      </w:r>
    </w:p>
    <w:p w:rsidR="00887330" w:rsidRPr="00583E1A" w:rsidRDefault="00887330" w:rsidP="00887330">
      <w:pPr>
        <w:pStyle w:val="paragraph"/>
      </w:pPr>
      <w:r w:rsidRPr="00583E1A">
        <w:tab/>
        <w:t>(a)</w:t>
      </w:r>
      <w:r w:rsidRPr="00583E1A">
        <w:tab/>
        <w:t>specify the meaning to be given to an expression used in this section; or</w:t>
      </w:r>
    </w:p>
    <w:p w:rsidR="00887330" w:rsidRPr="00583E1A" w:rsidRDefault="00887330" w:rsidP="00887330">
      <w:pPr>
        <w:pStyle w:val="paragraph"/>
      </w:pPr>
      <w:r w:rsidRPr="00583E1A">
        <w:tab/>
        <w:t>(b)</w:t>
      </w:r>
      <w:r w:rsidRPr="00583E1A">
        <w:tab/>
        <w:t xml:space="preserve">provide for a different method of determining the </w:t>
      </w:r>
      <w:r w:rsidR="00583E1A" w:rsidRPr="00583E1A">
        <w:rPr>
          <w:position w:val="6"/>
          <w:sz w:val="16"/>
        </w:rPr>
        <w:t>*</w:t>
      </w:r>
      <w:r w:rsidRPr="00583E1A">
        <w:t>benchmark rate of return.</w:t>
      </w:r>
    </w:p>
    <w:p w:rsidR="00887330" w:rsidRPr="00583E1A" w:rsidRDefault="00887330" w:rsidP="00887330">
      <w:pPr>
        <w:pStyle w:val="ActHead5"/>
      </w:pPr>
      <w:bookmarkStart w:id="614" w:name="_Toc338939688"/>
      <w:r w:rsidRPr="00583E1A">
        <w:rPr>
          <w:rStyle w:val="CharSectno"/>
        </w:rPr>
        <w:t>974</w:t>
      </w:r>
      <w:r w:rsidR="00583E1A">
        <w:rPr>
          <w:rStyle w:val="CharSectno"/>
        </w:rPr>
        <w:noBreakHyphen/>
      </w:r>
      <w:r w:rsidRPr="00583E1A">
        <w:rPr>
          <w:rStyle w:val="CharSectno"/>
        </w:rPr>
        <w:t>150</w:t>
      </w:r>
      <w:r w:rsidRPr="00583E1A">
        <w:t xml:space="preserve">  Schemes</w:t>
      </w:r>
      <w:bookmarkEnd w:id="614"/>
    </w:p>
    <w:p w:rsidR="00887330" w:rsidRPr="00583E1A" w:rsidRDefault="00887330" w:rsidP="00887330">
      <w:pPr>
        <w:pStyle w:val="subsection"/>
      </w:pPr>
      <w:r w:rsidRPr="00583E1A">
        <w:tab/>
      </w:r>
      <w:r w:rsidR="0029132A" w:rsidRPr="00583E1A">
        <w:t>(1)</w:t>
      </w:r>
      <w:r w:rsidRPr="00583E1A">
        <w:tab/>
        <w:t>The Commissioner:</w:t>
      </w:r>
    </w:p>
    <w:p w:rsidR="00887330" w:rsidRPr="00583E1A" w:rsidRDefault="00887330" w:rsidP="00887330">
      <w:pPr>
        <w:pStyle w:val="paragraph"/>
      </w:pPr>
      <w:r w:rsidRPr="00583E1A">
        <w:tab/>
        <w:t>(a)</w:t>
      </w:r>
      <w:r w:rsidRPr="00583E1A">
        <w:tab/>
        <w:t xml:space="preserve">may determine that what would otherwise be a single </w:t>
      </w:r>
      <w:r w:rsidR="00583E1A" w:rsidRPr="00583E1A">
        <w:rPr>
          <w:position w:val="6"/>
          <w:sz w:val="16"/>
        </w:rPr>
        <w:t>*</w:t>
      </w:r>
      <w:r w:rsidRPr="00583E1A">
        <w:t>scheme is to be treated for the purposes of this Division as 2 or more separate schemes; and</w:t>
      </w:r>
    </w:p>
    <w:p w:rsidR="00887330" w:rsidRPr="00583E1A" w:rsidRDefault="00887330" w:rsidP="00887330">
      <w:pPr>
        <w:pStyle w:val="paragraph"/>
      </w:pPr>
      <w:r w:rsidRPr="00583E1A">
        <w:tab/>
        <w:t>(b)</w:t>
      </w:r>
      <w:r w:rsidRPr="00583E1A">
        <w:tab/>
        <w:t xml:space="preserve">may determine that the schemes are to be taken for the purposes of this Division to not be </w:t>
      </w:r>
      <w:r w:rsidR="00583E1A" w:rsidRPr="00583E1A">
        <w:rPr>
          <w:position w:val="6"/>
          <w:sz w:val="16"/>
        </w:rPr>
        <w:t>*</w:t>
      </w:r>
      <w:r w:rsidRPr="00583E1A">
        <w:t>related schemes.</w:t>
      </w:r>
    </w:p>
    <w:p w:rsidR="00887330" w:rsidRPr="00583E1A" w:rsidRDefault="00887330" w:rsidP="00887330">
      <w:pPr>
        <w:pStyle w:val="subsection"/>
      </w:pPr>
      <w:r w:rsidRPr="00583E1A">
        <w:tab/>
      </w:r>
      <w:r w:rsidR="0029132A" w:rsidRPr="00583E1A">
        <w:t>(2)</w:t>
      </w:r>
      <w:r w:rsidRPr="00583E1A">
        <w:tab/>
        <w:t>Without limiting subsection 974</w:t>
      </w:r>
      <w:r w:rsidR="00583E1A">
        <w:noBreakHyphen/>
      </w:r>
      <w:r w:rsidRPr="00583E1A">
        <w:t xml:space="preserve">10(5), the Commissioner must, in exercising the power to make a determination under </w:t>
      </w:r>
      <w:r w:rsidR="00771578" w:rsidRPr="008A6DF7">
        <w:t>subsection (1)</w:t>
      </w:r>
      <w:r w:rsidRPr="00583E1A">
        <w:t>, have regard to the following:</w:t>
      </w:r>
    </w:p>
    <w:p w:rsidR="00887330" w:rsidRPr="00583E1A" w:rsidRDefault="00887330" w:rsidP="00887330">
      <w:pPr>
        <w:pStyle w:val="paragraph"/>
      </w:pPr>
      <w:r w:rsidRPr="00583E1A">
        <w:tab/>
        <w:t>(a)</w:t>
      </w:r>
      <w:r w:rsidRPr="00583E1A">
        <w:tab/>
        <w:t xml:space="preserve">the purpose of the </w:t>
      </w:r>
      <w:r w:rsidR="00583E1A" w:rsidRPr="00583E1A">
        <w:rPr>
          <w:position w:val="6"/>
          <w:sz w:val="16"/>
        </w:rPr>
        <w:t>*</w:t>
      </w:r>
      <w:r w:rsidRPr="00583E1A">
        <w:t>scheme (considered both as a whole and in terms of its individual components);</w:t>
      </w:r>
    </w:p>
    <w:p w:rsidR="00887330" w:rsidRPr="00583E1A" w:rsidRDefault="00887330" w:rsidP="00887330">
      <w:pPr>
        <w:pStyle w:val="paragraph"/>
      </w:pPr>
      <w:r w:rsidRPr="00583E1A">
        <w:tab/>
        <w:t>(b)</w:t>
      </w:r>
      <w:r w:rsidRPr="00583E1A">
        <w:tab/>
        <w:t>the effects of the scheme and each of its components (considered both as a whole and in terms of its individual components);</w:t>
      </w:r>
    </w:p>
    <w:p w:rsidR="00887330" w:rsidRPr="00583E1A" w:rsidRDefault="00887330" w:rsidP="00887330">
      <w:pPr>
        <w:pStyle w:val="paragraph"/>
      </w:pPr>
      <w:r w:rsidRPr="00583E1A">
        <w:tab/>
        <w:t>(c)</w:t>
      </w:r>
      <w:r w:rsidRPr="00583E1A">
        <w:tab/>
        <w:t>the rights and obligations of the parties to the scheme (considered both as a whole and in relation to its individual components);</w:t>
      </w:r>
    </w:p>
    <w:p w:rsidR="00887330" w:rsidRPr="00583E1A" w:rsidRDefault="00887330" w:rsidP="00887330">
      <w:pPr>
        <w:pStyle w:val="paragraph"/>
      </w:pPr>
      <w:r w:rsidRPr="00583E1A">
        <w:tab/>
        <w:t>(d)</w:t>
      </w:r>
      <w:r w:rsidRPr="00583E1A">
        <w:tab/>
        <w:t xml:space="preserve">whether the scheme (when considered as a whole or in terms of its individual components) provides the basis for, or </w:t>
      </w:r>
      <w:r w:rsidRPr="00583E1A">
        <w:lastRenderedPageBreak/>
        <w:t>underpins, an interest issued to investors with the expectation that the interest can be assigned to other investors;</w:t>
      </w:r>
    </w:p>
    <w:p w:rsidR="00887330" w:rsidRPr="00583E1A" w:rsidRDefault="00887330" w:rsidP="00887330">
      <w:pPr>
        <w:pStyle w:val="paragraph"/>
      </w:pPr>
      <w:r w:rsidRPr="00583E1A">
        <w:tab/>
        <w:t>(e)</w:t>
      </w:r>
      <w:r w:rsidRPr="00583E1A">
        <w:tab/>
        <w:t>whether the scheme (when considered as a whole or in terms of its individual components) comprises a set of rights and obligations issued to investors with the expectation that it can be assigned to other investors;</w:t>
      </w:r>
    </w:p>
    <w:p w:rsidR="00887330" w:rsidRPr="00583E1A" w:rsidRDefault="00887330" w:rsidP="00887330">
      <w:pPr>
        <w:pStyle w:val="paragraph"/>
      </w:pPr>
      <w:r w:rsidRPr="00583E1A">
        <w:tab/>
        <w:t>(f)</w:t>
      </w:r>
      <w:r w:rsidRPr="00583E1A">
        <w:tab/>
        <w:t>any other relevant circumstances.</w:t>
      </w:r>
    </w:p>
    <w:p w:rsidR="00887330" w:rsidRPr="00583E1A" w:rsidRDefault="00887330" w:rsidP="006F7679">
      <w:pPr>
        <w:pStyle w:val="subsection"/>
        <w:keepNext/>
      </w:pPr>
      <w:r w:rsidRPr="00583E1A">
        <w:tab/>
      </w:r>
      <w:r w:rsidR="0029132A" w:rsidRPr="00583E1A">
        <w:t>(3)</w:t>
      </w:r>
      <w:r w:rsidRPr="00583E1A">
        <w:tab/>
        <w:t>The regulations:</w:t>
      </w:r>
    </w:p>
    <w:p w:rsidR="00887330" w:rsidRPr="00583E1A" w:rsidRDefault="00887330" w:rsidP="00887330">
      <w:pPr>
        <w:pStyle w:val="paragraph"/>
      </w:pPr>
      <w:r w:rsidRPr="00583E1A">
        <w:tab/>
        <w:t>(a)</w:t>
      </w:r>
      <w:r w:rsidRPr="00583E1A">
        <w:tab/>
        <w:t xml:space="preserve">may provide that, in the circumstances specified in the regulations, what would otherwise be a single </w:t>
      </w:r>
      <w:r w:rsidR="00583E1A" w:rsidRPr="00583E1A">
        <w:rPr>
          <w:position w:val="6"/>
          <w:sz w:val="16"/>
        </w:rPr>
        <w:t>*</w:t>
      </w:r>
      <w:r w:rsidRPr="00583E1A">
        <w:t>scheme is to be treated for the purposes of this Division as 2 or more separate schemes; and</w:t>
      </w:r>
    </w:p>
    <w:p w:rsidR="00887330" w:rsidRPr="00583E1A" w:rsidRDefault="00887330" w:rsidP="00887330">
      <w:pPr>
        <w:pStyle w:val="paragraph"/>
      </w:pPr>
      <w:r w:rsidRPr="00583E1A">
        <w:tab/>
        <w:t>(b)</w:t>
      </w:r>
      <w:r w:rsidRPr="00583E1A">
        <w:tab/>
        <w:t xml:space="preserve">may provide that the schemes are to be taken for the purposes of this Division to not be </w:t>
      </w:r>
      <w:r w:rsidR="00583E1A" w:rsidRPr="00583E1A">
        <w:rPr>
          <w:position w:val="6"/>
          <w:sz w:val="16"/>
        </w:rPr>
        <w:t>*</w:t>
      </w:r>
      <w:r w:rsidRPr="00583E1A">
        <w:t>related schemes.</w:t>
      </w:r>
    </w:p>
    <w:p w:rsidR="00887330" w:rsidRPr="00583E1A" w:rsidRDefault="00887330" w:rsidP="00887330">
      <w:pPr>
        <w:pStyle w:val="ActHead5"/>
      </w:pPr>
      <w:bookmarkStart w:id="615" w:name="_Toc338939689"/>
      <w:r w:rsidRPr="00583E1A">
        <w:rPr>
          <w:rStyle w:val="CharSectno"/>
        </w:rPr>
        <w:t>974</w:t>
      </w:r>
      <w:r w:rsidR="00583E1A">
        <w:rPr>
          <w:rStyle w:val="CharSectno"/>
        </w:rPr>
        <w:noBreakHyphen/>
      </w:r>
      <w:r w:rsidRPr="00583E1A">
        <w:rPr>
          <w:rStyle w:val="CharSectno"/>
        </w:rPr>
        <w:t>155</w:t>
      </w:r>
      <w:r w:rsidRPr="00583E1A">
        <w:t xml:space="preserve">  Related schemes</w:t>
      </w:r>
      <w:bookmarkEnd w:id="615"/>
    </w:p>
    <w:p w:rsidR="00887330" w:rsidRPr="00583E1A" w:rsidRDefault="00887330" w:rsidP="00887330">
      <w:pPr>
        <w:pStyle w:val="subsection"/>
      </w:pPr>
      <w:r w:rsidRPr="00583E1A">
        <w:tab/>
        <w:t>(1)</w:t>
      </w:r>
      <w:r w:rsidRPr="00583E1A">
        <w:tab/>
        <w:t xml:space="preserve">Subject to </w:t>
      </w:r>
      <w:r w:rsidR="00583E1A">
        <w:t>subsection (</w:t>
      </w:r>
      <w:r w:rsidRPr="00583E1A">
        <w:t xml:space="preserve">3), 2 </w:t>
      </w:r>
      <w:r w:rsidR="00583E1A" w:rsidRPr="00583E1A">
        <w:rPr>
          <w:position w:val="6"/>
          <w:sz w:val="16"/>
        </w:rPr>
        <w:t>*</w:t>
      </w:r>
      <w:r w:rsidRPr="00583E1A">
        <w:t xml:space="preserve">schemes are </w:t>
      </w:r>
      <w:r w:rsidRPr="00583E1A">
        <w:rPr>
          <w:b/>
          <w:i/>
        </w:rPr>
        <w:t>related</w:t>
      </w:r>
      <w:r w:rsidRPr="00583E1A">
        <w:t xml:space="preserve"> to one another if they are related to one another in any way.</w:t>
      </w:r>
    </w:p>
    <w:p w:rsidR="00887330" w:rsidRPr="00583E1A" w:rsidRDefault="00887330" w:rsidP="00887330">
      <w:pPr>
        <w:pStyle w:val="subsection"/>
      </w:pPr>
      <w:r w:rsidRPr="00583E1A">
        <w:tab/>
        <w:t>(2)</w:t>
      </w:r>
      <w:r w:rsidRPr="00583E1A">
        <w:tab/>
        <w:t xml:space="preserve">Without limiting </w:t>
      </w:r>
      <w:r w:rsidR="00583E1A">
        <w:t>subsection (</w:t>
      </w:r>
      <w:r w:rsidRPr="00583E1A">
        <w:t xml:space="preserve">1), 2 </w:t>
      </w:r>
      <w:r w:rsidR="00583E1A" w:rsidRPr="00583E1A">
        <w:rPr>
          <w:position w:val="6"/>
          <w:sz w:val="16"/>
        </w:rPr>
        <w:t>*</w:t>
      </w:r>
      <w:r w:rsidRPr="00583E1A">
        <w:t xml:space="preserve">schemes are </w:t>
      </w:r>
      <w:r w:rsidRPr="00583E1A">
        <w:rPr>
          <w:b/>
          <w:i/>
        </w:rPr>
        <w:t>related</w:t>
      </w:r>
      <w:r w:rsidRPr="00583E1A">
        <w:t xml:space="preserve"> to each other if:</w:t>
      </w:r>
    </w:p>
    <w:p w:rsidR="00887330" w:rsidRPr="00583E1A" w:rsidRDefault="00887330" w:rsidP="00887330">
      <w:pPr>
        <w:pStyle w:val="paragraph"/>
      </w:pPr>
      <w:r w:rsidRPr="00583E1A">
        <w:tab/>
        <w:t>(a)</w:t>
      </w:r>
      <w:r w:rsidRPr="00583E1A">
        <w:tab/>
        <w:t>the schemes are based on stapled instruments; or</w:t>
      </w:r>
    </w:p>
    <w:p w:rsidR="00887330" w:rsidRPr="00583E1A" w:rsidRDefault="00887330" w:rsidP="00887330">
      <w:pPr>
        <w:pStyle w:val="paragraph"/>
      </w:pPr>
      <w:r w:rsidRPr="00583E1A">
        <w:tab/>
        <w:t>(b)</w:t>
      </w:r>
      <w:r w:rsidRPr="00583E1A">
        <w:tab/>
        <w:t>one of the schemes would, from a commercial point of view, be unlikely to be entered into unless the other scheme was entered into; or</w:t>
      </w:r>
    </w:p>
    <w:p w:rsidR="00887330" w:rsidRPr="00583E1A" w:rsidRDefault="00887330" w:rsidP="00887330">
      <w:pPr>
        <w:pStyle w:val="paragraph"/>
      </w:pPr>
      <w:r w:rsidRPr="00583E1A">
        <w:tab/>
        <w:t>(c)</w:t>
      </w:r>
      <w:r w:rsidRPr="00583E1A">
        <w:tab/>
        <w:t>one of the schemes depends for its effect on the operation of the other scheme; or</w:t>
      </w:r>
    </w:p>
    <w:p w:rsidR="00887330" w:rsidRPr="00583E1A" w:rsidRDefault="00887330" w:rsidP="00887330">
      <w:pPr>
        <w:pStyle w:val="paragraph"/>
      </w:pPr>
      <w:r w:rsidRPr="00583E1A">
        <w:tab/>
        <w:t>(d)</w:t>
      </w:r>
      <w:r w:rsidRPr="00583E1A">
        <w:tab/>
        <w:t>one scheme complements or supplements the other; or</w:t>
      </w:r>
    </w:p>
    <w:p w:rsidR="00887330" w:rsidRPr="00583E1A" w:rsidRDefault="00887330" w:rsidP="00887330">
      <w:pPr>
        <w:pStyle w:val="paragraph"/>
      </w:pPr>
      <w:r w:rsidRPr="00583E1A">
        <w:tab/>
        <w:t>(e)</w:t>
      </w:r>
      <w:r w:rsidRPr="00583E1A">
        <w:tab/>
        <w:t>there is another scheme to which both the schemes are related because of a previous application or applications of this subsection.</w:t>
      </w:r>
    </w:p>
    <w:p w:rsidR="00887330" w:rsidRPr="00583E1A" w:rsidRDefault="00887330" w:rsidP="00887330">
      <w:pPr>
        <w:pStyle w:val="subsection"/>
      </w:pPr>
      <w:r w:rsidRPr="00583E1A">
        <w:tab/>
        <w:t>(3)</w:t>
      </w:r>
      <w:r w:rsidRPr="00583E1A">
        <w:tab/>
        <w:t xml:space="preserve">Two </w:t>
      </w:r>
      <w:r w:rsidR="00583E1A" w:rsidRPr="00583E1A">
        <w:rPr>
          <w:position w:val="6"/>
          <w:sz w:val="16"/>
        </w:rPr>
        <w:t>*</w:t>
      </w:r>
      <w:r w:rsidRPr="00583E1A">
        <w:t xml:space="preserve">schemes are not </w:t>
      </w:r>
      <w:r w:rsidRPr="00583E1A">
        <w:rPr>
          <w:b/>
          <w:i/>
        </w:rPr>
        <w:t>related</w:t>
      </w:r>
      <w:r w:rsidRPr="00583E1A">
        <w:t xml:space="preserve"> to one another merely because:</w:t>
      </w:r>
    </w:p>
    <w:p w:rsidR="00887330" w:rsidRPr="00583E1A" w:rsidRDefault="00887330" w:rsidP="00887330">
      <w:pPr>
        <w:pStyle w:val="paragraph"/>
      </w:pPr>
      <w:r w:rsidRPr="00583E1A">
        <w:tab/>
        <w:t>(a)</w:t>
      </w:r>
      <w:r w:rsidRPr="00583E1A">
        <w:tab/>
        <w:t>one refers to the other; or</w:t>
      </w:r>
    </w:p>
    <w:p w:rsidR="00887330" w:rsidRPr="00583E1A" w:rsidRDefault="00887330" w:rsidP="00887330">
      <w:pPr>
        <w:pStyle w:val="paragraph"/>
      </w:pPr>
      <w:r w:rsidRPr="00583E1A">
        <w:tab/>
        <w:t>(b)</w:t>
      </w:r>
      <w:r w:rsidRPr="00583E1A">
        <w:tab/>
        <w:t>they have a common party.</w:t>
      </w:r>
    </w:p>
    <w:p w:rsidR="00887330" w:rsidRPr="00583E1A" w:rsidRDefault="00887330" w:rsidP="00DA0182">
      <w:pPr>
        <w:pStyle w:val="subsection"/>
        <w:keepNext/>
        <w:keepLines/>
      </w:pPr>
      <w:r w:rsidRPr="00583E1A">
        <w:lastRenderedPageBreak/>
        <w:tab/>
        <w:t>(4)</w:t>
      </w:r>
      <w:r w:rsidRPr="00583E1A">
        <w:tab/>
        <w:t xml:space="preserve">The regulations may specify circumstances in which 2 </w:t>
      </w:r>
      <w:r w:rsidR="00583E1A" w:rsidRPr="00583E1A">
        <w:rPr>
          <w:position w:val="6"/>
          <w:sz w:val="16"/>
        </w:rPr>
        <w:t>*</w:t>
      </w:r>
      <w:r w:rsidRPr="00583E1A">
        <w:t>schemes:</w:t>
      </w:r>
    </w:p>
    <w:p w:rsidR="00887330" w:rsidRPr="00583E1A" w:rsidRDefault="00887330" w:rsidP="00887330">
      <w:pPr>
        <w:pStyle w:val="paragraph"/>
      </w:pPr>
      <w:r w:rsidRPr="00583E1A">
        <w:tab/>
        <w:t>(a)</w:t>
      </w:r>
      <w:r w:rsidRPr="00583E1A">
        <w:tab/>
        <w:t>are taken to be related to one another; or</w:t>
      </w:r>
    </w:p>
    <w:p w:rsidR="00887330" w:rsidRPr="00583E1A" w:rsidRDefault="00887330" w:rsidP="00887330">
      <w:pPr>
        <w:pStyle w:val="paragraph"/>
      </w:pPr>
      <w:r w:rsidRPr="00583E1A">
        <w:tab/>
        <w:t>(b)</w:t>
      </w:r>
      <w:r w:rsidRPr="00583E1A">
        <w:tab/>
        <w:t>are taken not to be related to one another.</w:t>
      </w:r>
    </w:p>
    <w:p w:rsidR="00887330" w:rsidRPr="00583E1A" w:rsidRDefault="00887330" w:rsidP="00887330">
      <w:pPr>
        <w:pStyle w:val="ActHead5"/>
      </w:pPr>
      <w:bookmarkStart w:id="616" w:name="_Toc338939690"/>
      <w:r w:rsidRPr="00583E1A">
        <w:rPr>
          <w:rStyle w:val="CharSectno"/>
        </w:rPr>
        <w:t>974</w:t>
      </w:r>
      <w:r w:rsidR="00583E1A">
        <w:rPr>
          <w:rStyle w:val="CharSectno"/>
        </w:rPr>
        <w:noBreakHyphen/>
      </w:r>
      <w:r w:rsidRPr="00583E1A">
        <w:rPr>
          <w:rStyle w:val="CharSectno"/>
        </w:rPr>
        <w:t>160</w:t>
      </w:r>
      <w:r w:rsidRPr="00583E1A">
        <w:t xml:space="preserve">  Financial benefit</w:t>
      </w:r>
      <w:bookmarkEnd w:id="616"/>
    </w:p>
    <w:p w:rsidR="00887330" w:rsidRPr="00583E1A" w:rsidRDefault="00887330" w:rsidP="00887330">
      <w:pPr>
        <w:pStyle w:val="subsection"/>
      </w:pPr>
      <w:r w:rsidRPr="00583E1A">
        <w:tab/>
        <w:t>(1)</w:t>
      </w:r>
      <w:r w:rsidRPr="00583E1A">
        <w:tab/>
        <w:t>In this Act:</w:t>
      </w:r>
    </w:p>
    <w:p w:rsidR="00887330" w:rsidRPr="00583E1A" w:rsidRDefault="00887330" w:rsidP="00887330">
      <w:pPr>
        <w:pStyle w:val="Definition"/>
      </w:pPr>
      <w:r w:rsidRPr="00583E1A">
        <w:rPr>
          <w:b/>
          <w:i/>
        </w:rPr>
        <w:t>financial benefit</w:t>
      </w:r>
      <w:r w:rsidRPr="00583E1A">
        <w:t>:</w:t>
      </w:r>
    </w:p>
    <w:p w:rsidR="00887330" w:rsidRPr="00583E1A" w:rsidRDefault="00887330" w:rsidP="00887330">
      <w:pPr>
        <w:pStyle w:val="paragraph"/>
      </w:pPr>
      <w:r w:rsidRPr="00583E1A">
        <w:tab/>
        <w:t>(a)</w:t>
      </w:r>
      <w:r w:rsidRPr="00583E1A">
        <w:tab/>
        <w:t>means anything of economic value; and</w:t>
      </w:r>
    </w:p>
    <w:p w:rsidR="00887330" w:rsidRPr="00583E1A" w:rsidRDefault="00887330" w:rsidP="00887330">
      <w:pPr>
        <w:pStyle w:val="paragraph"/>
      </w:pPr>
      <w:r w:rsidRPr="00583E1A">
        <w:tab/>
        <w:t>(b)</w:t>
      </w:r>
      <w:r w:rsidRPr="00583E1A">
        <w:tab/>
        <w:t>includes property and services; and</w:t>
      </w:r>
    </w:p>
    <w:p w:rsidR="00887330" w:rsidRPr="00583E1A" w:rsidRDefault="00887330" w:rsidP="00887330">
      <w:pPr>
        <w:pStyle w:val="paragraph"/>
      </w:pPr>
      <w:r w:rsidRPr="00583E1A">
        <w:tab/>
        <w:t>(c)</w:t>
      </w:r>
      <w:r w:rsidRPr="00583E1A">
        <w:tab/>
        <w:t xml:space="preserve">includes anything that regulations made for the purposes of </w:t>
      </w:r>
      <w:r w:rsidR="00583E1A">
        <w:t>subsection (</w:t>
      </w:r>
      <w:r w:rsidRPr="00583E1A">
        <w:t>3) provide is a financial benefit;</w:t>
      </w:r>
    </w:p>
    <w:p w:rsidR="00887330" w:rsidRPr="00583E1A" w:rsidRDefault="00887330" w:rsidP="00887330">
      <w:pPr>
        <w:pStyle w:val="subsection2"/>
      </w:pPr>
      <w:r w:rsidRPr="00583E1A">
        <w:t>even if the transaction that confers the benefit on an entity also imposes an obligation on the entity.</w:t>
      </w:r>
    </w:p>
    <w:p w:rsidR="00887330" w:rsidRPr="00583E1A" w:rsidRDefault="00887330" w:rsidP="00887330">
      <w:pPr>
        <w:pStyle w:val="subsection"/>
      </w:pPr>
      <w:r w:rsidRPr="00583E1A">
        <w:tab/>
        <w:t>(2)</w:t>
      </w:r>
      <w:r w:rsidRPr="00583E1A">
        <w:tab/>
        <w:t xml:space="preserve">In applying </w:t>
      </w:r>
      <w:r w:rsidR="00583E1A">
        <w:t>subsection (</w:t>
      </w:r>
      <w:r w:rsidRPr="00583E1A">
        <w:t>1), benefits and obligations are to be looked at separately and not set off against each other.</w:t>
      </w:r>
    </w:p>
    <w:p w:rsidR="00887330" w:rsidRPr="00583E1A" w:rsidRDefault="00887330" w:rsidP="00887330">
      <w:pPr>
        <w:pStyle w:val="subsection"/>
      </w:pPr>
      <w:r w:rsidRPr="00583E1A">
        <w:tab/>
        <w:t>(3)</w:t>
      </w:r>
      <w:r w:rsidRPr="00583E1A">
        <w:tab/>
        <w:t xml:space="preserve">The regulations may provide that a thing specified in the regulations is a </w:t>
      </w:r>
      <w:r w:rsidRPr="00583E1A">
        <w:rPr>
          <w:b/>
          <w:i/>
        </w:rPr>
        <w:t>financial benefit</w:t>
      </w:r>
      <w:r w:rsidRPr="00583E1A">
        <w:t xml:space="preserve"> for the purposes of this Act.</w:t>
      </w:r>
    </w:p>
    <w:p w:rsidR="00887330" w:rsidRPr="00583E1A" w:rsidRDefault="00887330" w:rsidP="00887330">
      <w:pPr>
        <w:pStyle w:val="ActHead5"/>
      </w:pPr>
      <w:bookmarkStart w:id="617" w:name="_Toc338939691"/>
      <w:r w:rsidRPr="00583E1A">
        <w:rPr>
          <w:rStyle w:val="CharSectno"/>
        </w:rPr>
        <w:t>974</w:t>
      </w:r>
      <w:r w:rsidR="00583E1A">
        <w:rPr>
          <w:rStyle w:val="CharSectno"/>
        </w:rPr>
        <w:noBreakHyphen/>
      </w:r>
      <w:r w:rsidRPr="00583E1A">
        <w:rPr>
          <w:rStyle w:val="CharSectno"/>
        </w:rPr>
        <w:t>165</w:t>
      </w:r>
      <w:r w:rsidRPr="00583E1A">
        <w:t xml:space="preserve">  Convertible and converting interests</w:t>
      </w:r>
      <w:bookmarkEnd w:id="617"/>
    </w:p>
    <w:p w:rsidR="00887330" w:rsidRPr="00583E1A" w:rsidRDefault="00887330" w:rsidP="00887330">
      <w:pPr>
        <w:pStyle w:val="subsection"/>
      </w:pPr>
      <w:r w:rsidRPr="00583E1A">
        <w:tab/>
      </w:r>
      <w:r w:rsidRPr="00583E1A">
        <w:tab/>
        <w:t xml:space="preserve">An interest (the </w:t>
      </w:r>
      <w:r w:rsidRPr="00583E1A">
        <w:rPr>
          <w:b/>
          <w:i/>
        </w:rPr>
        <w:t>first interest</w:t>
      </w:r>
      <w:r w:rsidRPr="00583E1A">
        <w:t xml:space="preserve">) is an </w:t>
      </w:r>
      <w:r w:rsidRPr="00583E1A">
        <w:rPr>
          <w:b/>
          <w:i/>
        </w:rPr>
        <w:t>interest that will or may convert into another interest</w:t>
      </w:r>
      <w:r w:rsidRPr="00583E1A">
        <w:t xml:space="preserve"> (the </w:t>
      </w:r>
      <w:r w:rsidRPr="00583E1A">
        <w:rPr>
          <w:b/>
          <w:i/>
        </w:rPr>
        <w:t>second interest</w:t>
      </w:r>
      <w:r w:rsidRPr="00583E1A">
        <w:t>) if:</w:t>
      </w:r>
    </w:p>
    <w:p w:rsidR="00887330" w:rsidRPr="00583E1A" w:rsidRDefault="00887330" w:rsidP="00887330">
      <w:pPr>
        <w:pStyle w:val="paragraph"/>
      </w:pPr>
      <w:r w:rsidRPr="00583E1A">
        <w:tab/>
        <w:t>(a)</w:t>
      </w:r>
      <w:r w:rsidRPr="00583E1A">
        <w:tab/>
        <w:t>the first interest, or a part of the first interest, must be or may be converted into the second interest; or</w:t>
      </w:r>
    </w:p>
    <w:p w:rsidR="00887330" w:rsidRPr="00583E1A" w:rsidRDefault="00887330" w:rsidP="001E1EC2">
      <w:pPr>
        <w:pStyle w:val="paragraph"/>
        <w:keepNext/>
        <w:keepLines/>
      </w:pPr>
      <w:r w:rsidRPr="00583E1A">
        <w:tab/>
        <w:t>(b)</w:t>
      </w:r>
      <w:r w:rsidRPr="00583E1A">
        <w:tab/>
        <w:t>the first interest, or a part of the first interest, must be or may be redeemed, repaid or satisfied by:</w:t>
      </w:r>
    </w:p>
    <w:p w:rsidR="00887330" w:rsidRPr="00583E1A" w:rsidRDefault="00887330" w:rsidP="00887330">
      <w:pPr>
        <w:pStyle w:val="paragraphsub"/>
      </w:pPr>
      <w:r w:rsidRPr="00583E1A">
        <w:tab/>
        <w:t>(i)</w:t>
      </w:r>
      <w:r w:rsidRPr="00583E1A">
        <w:tab/>
        <w:t>the issue or transfer of the second interest (whether to the holder of the first interest or to some other person); or</w:t>
      </w:r>
    </w:p>
    <w:p w:rsidR="00887330" w:rsidRPr="00583E1A" w:rsidRDefault="00887330" w:rsidP="00887330">
      <w:pPr>
        <w:pStyle w:val="paragraphsub"/>
      </w:pPr>
      <w:r w:rsidRPr="00583E1A">
        <w:tab/>
        <w:t>(ii)</w:t>
      </w:r>
      <w:r w:rsidRPr="00583E1A">
        <w:tab/>
        <w:t>the acquisition of the second interest (whether by the holder of the first interest or by some other person); or</w:t>
      </w:r>
    </w:p>
    <w:p w:rsidR="00887330" w:rsidRPr="00583E1A" w:rsidRDefault="00887330" w:rsidP="00887330">
      <w:pPr>
        <w:pStyle w:val="paragraphsub"/>
      </w:pPr>
      <w:r w:rsidRPr="00583E1A">
        <w:tab/>
        <w:t>(iii)</w:t>
      </w:r>
      <w:r w:rsidRPr="00583E1A">
        <w:tab/>
        <w:t>the application in or towards paying</w:t>
      </w:r>
      <w:r w:rsidR="00583E1A">
        <w:noBreakHyphen/>
      </w:r>
      <w:r w:rsidRPr="00583E1A">
        <w:t>up (in whole or in part) the balance unpaid on the second interest (whether the second interest is to be issued to the holder of the first interest or to some other person); or</w:t>
      </w:r>
    </w:p>
    <w:p w:rsidR="00887330" w:rsidRPr="00583E1A" w:rsidRDefault="00887330" w:rsidP="00887330">
      <w:pPr>
        <w:pStyle w:val="paragraph"/>
      </w:pPr>
      <w:r w:rsidRPr="00583E1A">
        <w:lastRenderedPageBreak/>
        <w:tab/>
        <w:t>(c)</w:t>
      </w:r>
      <w:r w:rsidRPr="00583E1A">
        <w:tab/>
        <w:t>the holder of the first interest has, or is to have, a right or option to have allotted or transferred to the holder or to some other person, or for the holder or some other person otherwise to acquire:</w:t>
      </w:r>
    </w:p>
    <w:p w:rsidR="00887330" w:rsidRPr="00583E1A" w:rsidRDefault="00887330" w:rsidP="00887330">
      <w:pPr>
        <w:pStyle w:val="paragraphsub"/>
      </w:pPr>
      <w:r w:rsidRPr="00583E1A">
        <w:tab/>
        <w:t>(i)</w:t>
      </w:r>
      <w:r w:rsidRPr="00583E1A">
        <w:tab/>
        <w:t>the second interest; or</w:t>
      </w:r>
    </w:p>
    <w:p w:rsidR="00887330" w:rsidRPr="00583E1A" w:rsidRDefault="00887330" w:rsidP="00887330">
      <w:pPr>
        <w:pStyle w:val="paragraphsub"/>
      </w:pPr>
      <w:r w:rsidRPr="00583E1A">
        <w:tab/>
        <w:t>(ii)</w:t>
      </w:r>
      <w:r w:rsidRPr="00583E1A">
        <w:tab/>
        <w:t>a right or option to acquire the second interest.</w:t>
      </w:r>
    </w:p>
    <w:p w:rsidR="00887330" w:rsidRPr="00583E1A" w:rsidRDefault="00887330" w:rsidP="00887330">
      <w:pPr>
        <w:pStyle w:val="PageBreak"/>
      </w:pPr>
      <w:r w:rsidRPr="00583E1A">
        <w:br w:type="page"/>
      </w:r>
    </w:p>
    <w:p w:rsidR="00887330" w:rsidRPr="00583E1A" w:rsidRDefault="00887330" w:rsidP="00887330">
      <w:pPr>
        <w:pStyle w:val="ActHead3"/>
      </w:pPr>
      <w:bookmarkStart w:id="618" w:name="_Toc338939692"/>
      <w:r w:rsidRPr="00583E1A">
        <w:rPr>
          <w:rStyle w:val="CharDivNo"/>
        </w:rPr>
        <w:lastRenderedPageBreak/>
        <w:t>Division</w:t>
      </w:r>
      <w:r w:rsidR="00583E1A">
        <w:rPr>
          <w:rStyle w:val="CharDivNo"/>
        </w:rPr>
        <w:t> </w:t>
      </w:r>
      <w:r w:rsidRPr="00583E1A">
        <w:rPr>
          <w:rStyle w:val="CharDivNo"/>
        </w:rPr>
        <w:t>975</w:t>
      </w:r>
      <w:r w:rsidRPr="00583E1A">
        <w:t>—</w:t>
      </w:r>
      <w:r w:rsidRPr="00583E1A">
        <w:rPr>
          <w:rStyle w:val="CharDivText"/>
        </w:rPr>
        <w:t>Concepts about companies</w:t>
      </w:r>
      <w:bookmarkEnd w:id="618"/>
    </w:p>
    <w:p w:rsidR="00887330" w:rsidRPr="00583E1A" w:rsidRDefault="00887330" w:rsidP="00887330">
      <w:pPr>
        <w:pStyle w:val="TofSectsHeading"/>
      </w:pPr>
      <w:r w:rsidRPr="00583E1A">
        <w:t>Table of Subdivisions</w:t>
      </w:r>
    </w:p>
    <w:p w:rsidR="00887330" w:rsidRPr="00583E1A" w:rsidRDefault="00887330" w:rsidP="00887330">
      <w:pPr>
        <w:pStyle w:val="TofSectsSubdiv"/>
      </w:pPr>
      <w:r w:rsidRPr="00583E1A">
        <w:t>975</w:t>
      </w:r>
      <w:r w:rsidR="00583E1A">
        <w:noBreakHyphen/>
      </w:r>
      <w:r w:rsidRPr="00583E1A">
        <w:t>A</w:t>
      </w:r>
      <w:r w:rsidRPr="00583E1A">
        <w:tab/>
        <w:t>General</w:t>
      </w:r>
    </w:p>
    <w:p w:rsidR="00887330" w:rsidRPr="00583E1A" w:rsidRDefault="00887330" w:rsidP="00887330">
      <w:pPr>
        <w:pStyle w:val="TofSectsSubdiv"/>
      </w:pPr>
      <w:r w:rsidRPr="00583E1A">
        <w:t>975</w:t>
      </w:r>
      <w:r w:rsidR="00583E1A">
        <w:noBreakHyphen/>
      </w:r>
      <w:r w:rsidRPr="00583E1A">
        <w:t>G</w:t>
      </w:r>
      <w:r w:rsidRPr="00583E1A">
        <w:tab/>
        <w:t>What is a company’s share capital account?</w:t>
      </w:r>
    </w:p>
    <w:p w:rsidR="00887330" w:rsidRPr="00583E1A" w:rsidRDefault="00887330" w:rsidP="00887330">
      <w:pPr>
        <w:pStyle w:val="TofSectsSubdiv"/>
      </w:pPr>
      <w:r w:rsidRPr="00583E1A">
        <w:t>975</w:t>
      </w:r>
      <w:r w:rsidR="00583E1A">
        <w:noBreakHyphen/>
      </w:r>
      <w:r w:rsidRPr="00583E1A">
        <w:t>W</w:t>
      </w:r>
      <w:r w:rsidRPr="00583E1A">
        <w:tab/>
        <w:t>Wholly</w:t>
      </w:r>
      <w:r w:rsidR="00583E1A">
        <w:noBreakHyphen/>
      </w:r>
      <w:r w:rsidRPr="00583E1A">
        <w:t>owned groups of companies</w:t>
      </w:r>
    </w:p>
    <w:p w:rsidR="00887330" w:rsidRPr="00583E1A" w:rsidRDefault="00887330" w:rsidP="00887330">
      <w:pPr>
        <w:pStyle w:val="ActHead4"/>
      </w:pPr>
      <w:bookmarkStart w:id="619" w:name="_Toc338939693"/>
      <w:r w:rsidRPr="00583E1A">
        <w:rPr>
          <w:rStyle w:val="CharSubdNo"/>
        </w:rPr>
        <w:t>Subdivision</w:t>
      </w:r>
      <w:r w:rsidR="00583E1A">
        <w:rPr>
          <w:rStyle w:val="CharSubdNo"/>
        </w:rPr>
        <w:t> </w:t>
      </w:r>
      <w:r w:rsidRPr="00583E1A">
        <w:rPr>
          <w:rStyle w:val="CharSubdNo"/>
        </w:rPr>
        <w:t>975</w:t>
      </w:r>
      <w:r w:rsidR="00583E1A">
        <w:rPr>
          <w:rStyle w:val="CharSubdNo"/>
        </w:rPr>
        <w:noBreakHyphen/>
      </w:r>
      <w:r w:rsidRPr="00583E1A">
        <w:rPr>
          <w:rStyle w:val="CharSubdNo"/>
        </w:rPr>
        <w:t>A</w:t>
      </w:r>
      <w:r w:rsidRPr="00583E1A">
        <w:t>—</w:t>
      </w:r>
      <w:r w:rsidRPr="00583E1A">
        <w:rPr>
          <w:rStyle w:val="CharSubdText"/>
        </w:rPr>
        <w:t>General</w:t>
      </w:r>
      <w:bookmarkEnd w:id="619"/>
    </w:p>
    <w:p w:rsidR="00887330" w:rsidRPr="00583E1A" w:rsidRDefault="00887330" w:rsidP="00887330">
      <w:pPr>
        <w:pStyle w:val="TofSectsHeading"/>
      </w:pPr>
      <w:r w:rsidRPr="00583E1A">
        <w:t>Table of sections</w:t>
      </w:r>
    </w:p>
    <w:p w:rsidR="00887330" w:rsidRPr="00583E1A" w:rsidRDefault="00887330" w:rsidP="00887330">
      <w:pPr>
        <w:pStyle w:val="TofSectsSection"/>
      </w:pPr>
      <w:r w:rsidRPr="00583E1A">
        <w:t>975</w:t>
      </w:r>
      <w:r w:rsidR="00583E1A">
        <w:noBreakHyphen/>
      </w:r>
      <w:r w:rsidRPr="00583E1A">
        <w:t>150</w:t>
      </w:r>
      <w:r w:rsidRPr="00583E1A">
        <w:tab/>
      </w:r>
      <w:r w:rsidRPr="00583E1A">
        <w:rPr>
          <w:i/>
        </w:rPr>
        <w:t>Position to affect rights</w:t>
      </w:r>
      <w:r w:rsidRPr="00583E1A">
        <w:t xml:space="preserve"> in relation to a company</w:t>
      </w:r>
    </w:p>
    <w:p w:rsidR="00887330" w:rsidRPr="00583E1A" w:rsidRDefault="00887330" w:rsidP="00887330">
      <w:pPr>
        <w:pStyle w:val="TofSectsSection"/>
      </w:pPr>
      <w:r w:rsidRPr="00583E1A">
        <w:t>975</w:t>
      </w:r>
      <w:r w:rsidR="00583E1A">
        <w:noBreakHyphen/>
      </w:r>
      <w:r w:rsidRPr="00583E1A">
        <w:t>155</w:t>
      </w:r>
      <w:r w:rsidRPr="00583E1A">
        <w:tab/>
        <w:t xml:space="preserve">When is an entity a </w:t>
      </w:r>
      <w:r w:rsidRPr="00583E1A">
        <w:rPr>
          <w:i/>
        </w:rPr>
        <w:t>controller (for CGT purposes)</w:t>
      </w:r>
      <w:r w:rsidRPr="00583E1A">
        <w:t xml:space="preserve"> of a company?</w:t>
      </w:r>
    </w:p>
    <w:p w:rsidR="00887330" w:rsidRPr="00583E1A" w:rsidRDefault="00887330" w:rsidP="00887330">
      <w:pPr>
        <w:pStyle w:val="TofSectsSection"/>
        <w:rPr>
          <w:i/>
        </w:rPr>
      </w:pPr>
      <w:r w:rsidRPr="00583E1A">
        <w:t>975</w:t>
      </w:r>
      <w:r w:rsidR="00583E1A">
        <w:noBreakHyphen/>
      </w:r>
      <w:r w:rsidRPr="00583E1A">
        <w:t>160</w:t>
      </w:r>
      <w:r w:rsidRPr="00583E1A">
        <w:tab/>
        <w:t xml:space="preserve">When an entity has an </w:t>
      </w:r>
      <w:r w:rsidRPr="00583E1A">
        <w:rPr>
          <w:i/>
        </w:rPr>
        <w:t>associate</w:t>
      </w:r>
      <w:r w:rsidR="00583E1A">
        <w:rPr>
          <w:i/>
        </w:rPr>
        <w:noBreakHyphen/>
      </w:r>
      <w:r w:rsidRPr="00583E1A">
        <w:rPr>
          <w:i/>
        </w:rPr>
        <w:t>inclusive control interest</w:t>
      </w:r>
    </w:p>
    <w:p w:rsidR="00887330" w:rsidRPr="00583E1A" w:rsidRDefault="00887330" w:rsidP="00887330">
      <w:pPr>
        <w:pStyle w:val="ActHead5"/>
      </w:pPr>
      <w:bookmarkStart w:id="620" w:name="_Toc338939694"/>
      <w:r w:rsidRPr="00583E1A">
        <w:rPr>
          <w:rStyle w:val="CharSectno"/>
        </w:rPr>
        <w:t>975</w:t>
      </w:r>
      <w:r w:rsidR="00583E1A">
        <w:rPr>
          <w:rStyle w:val="CharSectno"/>
        </w:rPr>
        <w:noBreakHyphen/>
      </w:r>
      <w:r w:rsidRPr="00583E1A">
        <w:rPr>
          <w:rStyle w:val="CharSectno"/>
        </w:rPr>
        <w:t>150</w:t>
      </w:r>
      <w:r w:rsidRPr="00583E1A">
        <w:t xml:space="preserve">  </w:t>
      </w:r>
      <w:r w:rsidRPr="00583E1A">
        <w:rPr>
          <w:i/>
        </w:rPr>
        <w:t>Position to affect rights</w:t>
      </w:r>
      <w:r w:rsidRPr="00583E1A">
        <w:t xml:space="preserve"> in relation to a company</w:t>
      </w:r>
      <w:bookmarkEnd w:id="620"/>
    </w:p>
    <w:p w:rsidR="00887330" w:rsidRPr="00583E1A" w:rsidRDefault="00887330" w:rsidP="00887330">
      <w:pPr>
        <w:pStyle w:val="subsection"/>
      </w:pPr>
      <w:r w:rsidRPr="00583E1A">
        <w:tab/>
        <w:t>(1)</w:t>
      </w:r>
      <w:r w:rsidRPr="00583E1A">
        <w:tab/>
        <w:t xml:space="preserve">A person is </w:t>
      </w:r>
      <w:r w:rsidRPr="00583E1A">
        <w:rPr>
          <w:b/>
          <w:i/>
        </w:rPr>
        <w:t>in a position to affect rights</w:t>
      </w:r>
      <w:r w:rsidRPr="00583E1A">
        <w:t xml:space="preserve"> of a company in relation to another company if the person has a right, power or option:</w:t>
      </w:r>
    </w:p>
    <w:p w:rsidR="00887330" w:rsidRPr="00583E1A" w:rsidRDefault="00887330" w:rsidP="00887330">
      <w:pPr>
        <w:pStyle w:val="paragraph"/>
      </w:pPr>
      <w:r w:rsidRPr="00583E1A">
        <w:tab/>
        <w:t>(a)</w:t>
      </w:r>
      <w:r w:rsidRPr="00583E1A">
        <w:tab/>
        <w:t>to acquire those rights from one or other of those companies; or</w:t>
      </w:r>
    </w:p>
    <w:p w:rsidR="00887330" w:rsidRPr="00583E1A" w:rsidRDefault="00887330" w:rsidP="00887330">
      <w:pPr>
        <w:pStyle w:val="paragraph"/>
      </w:pPr>
      <w:r w:rsidRPr="00583E1A">
        <w:tab/>
        <w:t>(b)</w:t>
      </w:r>
      <w:r w:rsidRPr="00583E1A">
        <w:tab/>
        <w:t>to do something that would prevent one or other of those companies from exercising its rights for its own benefit, or from receiving any benefit arising from having those rights.</w:t>
      </w:r>
    </w:p>
    <w:p w:rsidR="00887330" w:rsidRPr="00583E1A" w:rsidRDefault="00887330" w:rsidP="00887330">
      <w:pPr>
        <w:pStyle w:val="subsection"/>
      </w:pPr>
      <w:r w:rsidRPr="00583E1A">
        <w:tab/>
        <w:t>(2)</w:t>
      </w:r>
      <w:r w:rsidRPr="00583E1A">
        <w:tab/>
        <w:t xml:space="preserve">It does not matter whether the person has the right, power or option because of the </w:t>
      </w:r>
      <w:r w:rsidR="00583E1A" w:rsidRPr="00583E1A">
        <w:rPr>
          <w:position w:val="6"/>
          <w:sz w:val="16"/>
        </w:rPr>
        <w:t>*</w:t>
      </w:r>
      <w:r w:rsidRPr="00583E1A">
        <w:t>constitution of one or other of those companies, any agreement or otherwise.</w:t>
      </w:r>
    </w:p>
    <w:p w:rsidR="00887330" w:rsidRPr="00583E1A" w:rsidRDefault="00887330" w:rsidP="00887330">
      <w:pPr>
        <w:pStyle w:val="subsection"/>
      </w:pPr>
      <w:r w:rsidRPr="00583E1A">
        <w:tab/>
        <w:t>(3)</w:t>
      </w:r>
      <w:r w:rsidRPr="00583E1A">
        <w:tab/>
        <w:t xml:space="preserve">However, the right, power or option of an owner of </w:t>
      </w:r>
      <w:r w:rsidR="00583E1A" w:rsidRPr="00583E1A">
        <w:rPr>
          <w:position w:val="6"/>
          <w:sz w:val="16"/>
        </w:rPr>
        <w:t>*</w:t>
      </w:r>
      <w:r w:rsidRPr="00583E1A">
        <w:t xml:space="preserve">ownership interests in the </w:t>
      </w:r>
      <w:r w:rsidR="00583E1A" w:rsidRPr="00583E1A">
        <w:rPr>
          <w:position w:val="6"/>
          <w:sz w:val="16"/>
        </w:rPr>
        <w:t>*</w:t>
      </w:r>
      <w:r w:rsidRPr="00583E1A">
        <w:t xml:space="preserve">head entity of a </w:t>
      </w:r>
      <w:r w:rsidR="00583E1A" w:rsidRPr="00583E1A">
        <w:rPr>
          <w:position w:val="6"/>
          <w:sz w:val="16"/>
        </w:rPr>
        <w:t>*</w:t>
      </w:r>
      <w:r w:rsidRPr="00583E1A">
        <w:t xml:space="preserve">demerger group to </w:t>
      </w:r>
      <w:r w:rsidR="00583E1A" w:rsidRPr="00583E1A">
        <w:rPr>
          <w:position w:val="6"/>
          <w:sz w:val="16"/>
        </w:rPr>
        <w:t>*</w:t>
      </w:r>
      <w:r w:rsidRPr="00583E1A">
        <w:t xml:space="preserve">acquire, under a </w:t>
      </w:r>
      <w:r w:rsidR="00583E1A" w:rsidRPr="00583E1A">
        <w:rPr>
          <w:position w:val="6"/>
          <w:sz w:val="16"/>
        </w:rPr>
        <w:t>*</w:t>
      </w:r>
      <w:r w:rsidRPr="00583E1A">
        <w:t xml:space="preserve">demerger, ownership interests in the </w:t>
      </w:r>
      <w:r w:rsidR="00583E1A" w:rsidRPr="00583E1A">
        <w:rPr>
          <w:position w:val="6"/>
          <w:sz w:val="16"/>
        </w:rPr>
        <w:t>*</w:t>
      </w:r>
      <w:r w:rsidRPr="00583E1A">
        <w:t xml:space="preserve">demerged entity is not a right, power or option covered by </w:t>
      </w:r>
      <w:r w:rsidR="00583E1A">
        <w:t>subsection (</w:t>
      </w:r>
      <w:r w:rsidRPr="00583E1A">
        <w:t>1).</w:t>
      </w:r>
    </w:p>
    <w:p w:rsidR="00887330" w:rsidRPr="00583E1A" w:rsidRDefault="00887330" w:rsidP="00887330">
      <w:pPr>
        <w:pStyle w:val="ActHead5"/>
      </w:pPr>
      <w:bookmarkStart w:id="621" w:name="_Toc338939695"/>
      <w:r w:rsidRPr="00583E1A">
        <w:rPr>
          <w:rStyle w:val="CharSectno"/>
        </w:rPr>
        <w:t>975</w:t>
      </w:r>
      <w:r w:rsidR="00583E1A">
        <w:rPr>
          <w:rStyle w:val="CharSectno"/>
        </w:rPr>
        <w:noBreakHyphen/>
      </w:r>
      <w:r w:rsidRPr="00583E1A">
        <w:rPr>
          <w:rStyle w:val="CharSectno"/>
        </w:rPr>
        <w:t>155</w:t>
      </w:r>
      <w:r w:rsidRPr="00583E1A">
        <w:t xml:space="preserve">  When is an entity a </w:t>
      </w:r>
      <w:r w:rsidRPr="00583E1A">
        <w:rPr>
          <w:i/>
        </w:rPr>
        <w:t>controller (for CGT purposes)</w:t>
      </w:r>
      <w:r w:rsidRPr="00583E1A">
        <w:t xml:space="preserve"> of a company?</w:t>
      </w:r>
      <w:bookmarkEnd w:id="621"/>
    </w:p>
    <w:p w:rsidR="00887330" w:rsidRPr="00583E1A" w:rsidRDefault="00887330" w:rsidP="00887330">
      <w:pPr>
        <w:pStyle w:val="subsection"/>
      </w:pPr>
      <w:r w:rsidRPr="00583E1A">
        <w:tab/>
      </w:r>
      <w:r w:rsidRPr="00583E1A">
        <w:tab/>
        <w:t xml:space="preserve">An entity (the </w:t>
      </w:r>
      <w:r w:rsidRPr="00583E1A">
        <w:rPr>
          <w:b/>
          <w:i/>
        </w:rPr>
        <w:t>first entity</w:t>
      </w:r>
      <w:r w:rsidRPr="00583E1A">
        <w:t xml:space="preserve">) is a </w:t>
      </w:r>
      <w:r w:rsidRPr="00583E1A">
        <w:rPr>
          <w:b/>
          <w:i/>
        </w:rPr>
        <w:t>controller (for CGT purposes</w:t>
      </w:r>
      <w:r w:rsidRPr="00583E1A">
        <w:t>) of a company if:</w:t>
      </w:r>
    </w:p>
    <w:p w:rsidR="00887330" w:rsidRPr="00583E1A" w:rsidRDefault="00887330" w:rsidP="00887330">
      <w:pPr>
        <w:pStyle w:val="paragraph"/>
      </w:pPr>
      <w:r w:rsidRPr="00583E1A">
        <w:lastRenderedPageBreak/>
        <w:tab/>
        <w:t>(a)</w:t>
      </w:r>
      <w:r w:rsidRPr="00583E1A">
        <w:tab/>
        <w:t xml:space="preserve">the first entity has an </w:t>
      </w:r>
      <w:r w:rsidR="00583E1A" w:rsidRPr="00583E1A">
        <w:rPr>
          <w:position w:val="6"/>
          <w:sz w:val="16"/>
        </w:rPr>
        <w:t>*</w:t>
      </w:r>
      <w:r w:rsidRPr="00583E1A">
        <w:t>associate</w:t>
      </w:r>
      <w:r w:rsidR="00583E1A">
        <w:noBreakHyphen/>
      </w:r>
      <w:r w:rsidRPr="00583E1A">
        <w:t>inclusive control interest in the company of at least 50%; or</w:t>
      </w:r>
    </w:p>
    <w:p w:rsidR="00887330" w:rsidRPr="00583E1A" w:rsidRDefault="00887330" w:rsidP="00887330">
      <w:pPr>
        <w:pStyle w:val="paragraph"/>
      </w:pPr>
      <w:r w:rsidRPr="00583E1A">
        <w:tab/>
        <w:t>(b)</w:t>
      </w:r>
      <w:r w:rsidRPr="00583E1A">
        <w:tab/>
        <w:t>the first entity has an associate</w:t>
      </w:r>
      <w:r w:rsidR="00583E1A">
        <w:noBreakHyphen/>
      </w:r>
      <w:r w:rsidRPr="00583E1A">
        <w:t>inclusive control interest in the company of at least 40% and entities other than the first entity or associates of the first entity do not control the company; or</w:t>
      </w:r>
    </w:p>
    <w:p w:rsidR="00887330" w:rsidRPr="00583E1A" w:rsidRDefault="00887330" w:rsidP="00887330">
      <w:pPr>
        <w:pStyle w:val="paragraph"/>
      </w:pPr>
      <w:r w:rsidRPr="00583E1A">
        <w:tab/>
        <w:t>(c)</w:t>
      </w:r>
      <w:r w:rsidRPr="00583E1A">
        <w:tab/>
        <w:t xml:space="preserve">the first entity controls the company (alone or with an </w:t>
      </w:r>
      <w:r w:rsidR="00583E1A" w:rsidRPr="00583E1A">
        <w:rPr>
          <w:position w:val="6"/>
          <w:sz w:val="16"/>
        </w:rPr>
        <w:t>*</w:t>
      </w:r>
      <w:r w:rsidRPr="00583E1A">
        <w:t>associate).</w:t>
      </w:r>
    </w:p>
    <w:p w:rsidR="00887330" w:rsidRPr="00583E1A" w:rsidRDefault="00887330" w:rsidP="00887330">
      <w:pPr>
        <w:pStyle w:val="ActHead5"/>
      </w:pPr>
      <w:bookmarkStart w:id="622" w:name="_Toc338939696"/>
      <w:r w:rsidRPr="00583E1A">
        <w:rPr>
          <w:rStyle w:val="CharSectno"/>
        </w:rPr>
        <w:t>975</w:t>
      </w:r>
      <w:r w:rsidR="00583E1A">
        <w:rPr>
          <w:rStyle w:val="CharSectno"/>
        </w:rPr>
        <w:noBreakHyphen/>
      </w:r>
      <w:r w:rsidRPr="00583E1A">
        <w:rPr>
          <w:rStyle w:val="CharSectno"/>
        </w:rPr>
        <w:t>160</w:t>
      </w:r>
      <w:r w:rsidRPr="00583E1A">
        <w:t xml:space="preserve">  When an entity has an </w:t>
      </w:r>
      <w:r w:rsidRPr="00583E1A">
        <w:rPr>
          <w:i/>
        </w:rPr>
        <w:t>associate</w:t>
      </w:r>
      <w:r w:rsidR="00583E1A">
        <w:rPr>
          <w:i/>
        </w:rPr>
        <w:noBreakHyphen/>
      </w:r>
      <w:r w:rsidRPr="00583E1A">
        <w:rPr>
          <w:i/>
        </w:rPr>
        <w:t>inclusive control interest</w:t>
      </w:r>
      <w:bookmarkEnd w:id="622"/>
    </w:p>
    <w:p w:rsidR="00887330" w:rsidRPr="00583E1A" w:rsidRDefault="00887330" w:rsidP="00887330">
      <w:pPr>
        <w:pStyle w:val="subsection"/>
      </w:pPr>
      <w:r w:rsidRPr="00583E1A">
        <w:tab/>
        <w:t>(1)</w:t>
      </w:r>
      <w:r w:rsidRPr="00583E1A">
        <w:tab/>
        <w:t xml:space="preserve">An entity has an </w:t>
      </w:r>
      <w:r w:rsidRPr="00583E1A">
        <w:rPr>
          <w:b/>
          <w:i/>
        </w:rPr>
        <w:t>associate</w:t>
      </w:r>
      <w:r w:rsidR="00583E1A">
        <w:rPr>
          <w:b/>
          <w:i/>
        </w:rPr>
        <w:noBreakHyphen/>
      </w:r>
      <w:r w:rsidRPr="00583E1A">
        <w:rPr>
          <w:b/>
          <w:i/>
        </w:rPr>
        <w:t>inclusive control interest</w:t>
      </w:r>
      <w:r w:rsidRPr="00583E1A">
        <w:t xml:space="preserve"> in a company in the circumstances set out in Subdivision A of Division</w:t>
      </w:r>
      <w:r w:rsidR="00583E1A">
        <w:t> </w:t>
      </w:r>
      <w:r w:rsidRPr="00583E1A">
        <w:t>3 of Part</w:t>
      </w:r>
      <w:r w:rsidR="00583E1A">
        <w:t> </w:t>
      </w:r>
      <w:r w:rsidRPr="00583E1A">
        <w:t xml:space="preserve">X of the </w:t>
      </w:r>
      <w:r w:rsidRPr="00583E1A">
        <w:rPr>
          <w:i/>
        </w:rPr>
        <w:t>Income Tax Assessment Act 1936</w:t>
      </w:r>
      <w:r w:rsidRPr="00583E1A">
        <w:t>.</w:t>
      </w:r>
    </w:p>
    <w:p w:rsidR="00887330" w:rsidRPr="00583E1A" w:rsidRDefault="00887330" w:rsidP="00887330">
      <w:pPr>
        <w:pStyle w:val="subsection"/>
      </w:pPr>
      <w:r w:rsidRPr="00583E1A">
        <w:tab/>
        <w:t>(2)</w:t>
      </w:r>
      <w:r w:rsidRPr="00583E1A">
        <w:tab/>
        <w:t>However, in working out whether an entity has an associate</w:t>
      </w:r>
      <w:r w:rsidR="00583E1A">
        <w:noBreakHyphen/>
      </w:r>
      <w:r w:rsidRPr="00583E1A">
        <w:t>inclusive control interest of a particular percentage for the purposes of section</w:t>
      </w:r>
      <w:r w:rsidR="00583E1A">
        <w:t> </w:t>
      </w:r>
      <w:r w:rsidRPr="00583E1A">
        <w:t>975</w:t>
      </w:r>
      <w:r w:rsidR="00583E1A">
        <w:noBreakHyphen/>
      </w:r>
      <w:r w:rsidRPr="00583E1A">
        <w:t>155, there are these modifications to the way Part</w:t>
      </w:r>
      <w:r w:rsidR="00583E1A">
        <w:t> </w:t>
      </w:r>
      <w:r w:rsidRPr="00583E1A">
        <w:t>X of that Act operates:</w:t>
      </w:r>
    </w:p>
    <w:p w:rsidR="00887330" w:rsidRPr="00583E1A" w:rsidRDefault="00887330" w:rsidP="00887330">
      <w:pPr>
        <w:pStyle w:val="paragraph"/>
      </w:pPr>
      <w:r w:rsidRPr="00583E1A">
        <w:tab/>
        <w:t>(a)</w:t>
      </w:r>
      <w:r w:rsidRPr="00583E1A">
        <w:tab/>
        <w:t>that Part is applied to any company, including one acting as a trustee; and</w:t>
      </w:r>
    </w:p>
    <w:p w:rsidR="00887330" w:rsidRPr="00583E1A" w:rsidRDefault="00887330" w:rsidP="00887330">
      <w:pPr>
        <w:pStyle w:val="paragraph"/>
      </w:pPr>
      <w:r w:rsidRPr="00583E1A">
        <w:tab/>
        <w:t>(b)</w:t>
      </w:r>
      <w:r w:rsidRPr="00583E1A">
        <w:tab/>
        <w:t>subsection 349(4) applies in all cases in working out which entity holds a direct control interest or a control tracing interest equal to 100%; and</w:t>
      </w:r>
    </w:p>
    <w:p w:rsidR="00887330" w:rsidRPr="00583E1A" w:rsidRDefault="00887330" w:rsidP="00887330">
      <w:pPr>
        <w:pStyle w:val="paragraph"/>
      </w:pPr>
      <w:r w:rsidRPr="00583E1A">
        <w:tab/>
        <w:t>(c)</w:t>
      </w:r>
      <w:r w:rsidRPr="00583E1A">
        <w:tab/>
        <w:t>subsections 350(6) and (7) and 355(1) are ignored; and</w:t>
      </w:r>
    </w:p>
    <w:p w:rsidR="00887330" w:rsidRPr="00583E1A" w:rsidRDefault="00887330" w:rsidP="00887330">
      <w:pPr>
        <w:pStyle w:val="paragraph"/>
      </w:pPr>
      <w:r w:rsidRPr="00583E1A">
        <w:tab/>
        <w:t>(d)</w:t>
      </w:r>
      <w:r w:rsidRPr="00583E1A">
        <w:tab/>
        <w:t>despite subsection 352(2), an interposed entity may be taken into account in calculating an indirect control interest if the interposed entity is:</w:t>
      </w:r>
    </w:p>
    <w:p w:rsidR="00887330" w:rsidRPr="00583E1A" w:rsidRDefault="00887330" w:rsidP="00887330">
      <w:pPr>
        <w:pStyle w:val="paragraphsub"/>
      </w:pPr>
      <w:r w:rsidRPr="00583E1A">
        <w:tab/>
        <w:t>(i)</w:t>
      </w:r>
      <w:r w:rsidRPr="00583E1A">
        <w:tab/>
        <w:t xml:space="preserve">a company of which the first entity or an </w:t>
      </w:r>
      <w:r w:rsidR="00583E1A" w:rsidRPr="00583E1A">
        <w:rPr>
          <w:position w:val="6"/>
          <w:sz w:val="16"/>
        </w:rPr>
        <w:t>*</w:t>
      </w:r>
      <w:r w:rsidRPr="00583E1A">
        <w:t>associate is a controller; or</w:t>
      </w:r>
    </w:p>
    <w:p w:rsidR="00887330" w:rsidRPr="00583E1A" w:rsidRDefault="00887330" w:rsidP="00887330">
      <w:pPr>
        <w:pStyle w:val="paragraphsub"/>
      </w:pPr>
      <w:r w:rsidRPr="00583E1A">
        <w:tab/>
        <w:t>(ii)</w:t>
      </w:r>
      <w:r w:rsidRPr="00583E1A">
        <w:tab/>
        <w:t>a partnership or a trust; and</w:t>
      </w:r>
    </w:p>
    <w:p w:rsidR="00887330" w:rsidRPr="00583E1A" w:rsidRDefault="00887330" w:rsidP="00887330">
      <w:pPr>
        <w:pStyle w:val="paragraph"/>
      </w:pPr>
      <w:r w:rsidRPr="00583E1A">
        <w:tab/>
        <w:t>(e)</w:t>
      </w:r>
      <w:r w:rsidRPr="00583E1A">
        <w:tab/>
        <w:t>section</w:t>
      </w:r>
      <w:r w:rsidR="00583E1A">
        <w:t> </w:t>
      </w:r>
      <w:r w:rsidRPr="00583E1A">
        <w:t>354 applies as if it referred to partnerships rather than CFP’s; and</w:t>
      </w:r>
    </w:p>
    <w:p w:rsidR="00887330" w:rsidRPr="00583E1A" w:rsidRDefault="00887330" w:rsidP="00887330">
      <w:pPr>
        <w:pStyle w:val="paragraph"/>
      </w:pPr>
      <w:r w:rsidRPr="00583E1A">
        <w:tab/>
        <w:t>(f)</w:t>
      </w:r>
      <w:r w:rsidRPr="00583E1A">
        <w:tab/>
        <w:t>section</w:t>
      </w:r>
      <w:r w:rsidR="00583E1A">
        <w:t> </w:t>
      </w:r>
      <w:r w:rsidRPr="00583E1A">
        <w:t>355 applies as if it referred to trusts rather than CFT’s.</w:t>
      </w:r>
    </w:p>
    <w:p w:rsidR="00887330" w:rsidRPr="00583E1A" w:rsidRDefault="00887330" w:rsidP="00887330">
      <w:pPr>
        <w:pStyle w:val="notetext"/>
      </w:pPr>
      <w:r w:rsidRPr="00583E1A">
        <w:t>Note 1:</w:t>
      </w:r>
      <w:r w:rsidRPr="00583E1A">
        <w:tab/>
        <w:t>Part</w:t>
      </w:r>
      <w:r w:rsidR="00583E1A">
        <w:t> </w:t>
      </w:r>
      <w:r w:rsidRPr="00583E1A">
        <w:t xml:space="preserve">X of the </w:t>
      </w:r>
      <w:r w:rsidRPr="00583E1A">
        <w:rPr>
          <w:i/>
        </w:rPr>
        <w:t>Income Tax Assessment Act 1936</w:t>
      </w:r>
      <w:r w:rsidRPr="00583E1A">
        <w:t xml:space="preserve"> defines company to exclude a company in the capacity of a trustee.</w:t>
      </w:r>
    </w:p>
    <w:p w:rsidR="00887330" w:rsidRPr="00583E1A" w:rsidRDefault="00887330" w:rsidP="00887330">
      <w:pPr>
        <w:pStyle w:val="notetext"/>
      </w:pPr>
      <w:r w:rsidRPr="00583E1A">
        <w:lastRenderedPageBreak/>
        <w:t>Note 2:</w:t>
      </w:r>
      <w:r w:rsidRPr="00583E1A">
        <w:tab/>
        <w:t>The terms direct control interest and control tracing interest are relevant to working out associate</w:t>
      </w:r>
      <w:r w:rsidR="00583E1A">
        <w:noBreakHyphen/>
      </w:r>
      <w:r w:rsidRPr="00583E1A">
        <w:t>inclusive control interests in a company: see sections</w:t>
      </w:r>
      <w:r w:rsidR="00583E1A">
        <w:t> </w:t>
      </w:r>
      <w:r w:rsidRPr="00583E1A">
        <w:t>350, 351, 353, 354 and 355 of that Act.</w:t>
      </w:r>
    </w:p>
    <w:p w:rsidR="00887330" w:rsidRPr="00583E1A" w:rsidRDefault="00887330" w:rsidP="00887330">
      <w:pPr>
        <w:pStyle w:val="notetext"/>
      </w:pPr>
      <w:r w:rsidRPr="00583E1A">
        <w:t>Note 3:</w:t>
      </w:r>
      <w:r w:rsidRPr="00583E1A">
        <w:tab/>
        <w:t>Under subsection 349(4) of that Act, if 2 or more entities would have a direct control interest or a control tracing interest in a company or trust equal to 100%, only one of them holds the interest.</w:t>
      </w:r>
    </w:p>
    <w:p w:rsidR="00887330" w:rsidRPr="00583E1A" w:rsidRDefault="00887330" w:rsidP="00887330">
      <w:pPr>
        <w:pStyle w:val="notetext"/>
      </w:pPr>
      <w:r w:rsidRPr="00583E1A">
        <w:t>Note 4:</w:t>
      </w:r>
      <w:r w:rsidRPr="00583E1A">
        <w:tab/>
        <w:t>Subsections 350(6) and (7) of that Act deal with direct control interests in a company. They deal with interests held by Australian entities. Under subsection 355(1), certain entities are taken to hold a control tracing interest in a trust equal to 100%.</w:t>
      </w:r>
    </w:p>
    <w:p w:rsidR="00887330" w:rsidRPr="00583E1A" w:rsidRDefault="00887330" w:rsidP="00887330">
      <w:pPr>
        <w:pStyle w:val="notetext"/>
      </w:pPr>
      <w:r w:rsidRPr="00583E1A">
        <w:t>Note 5:</w:t>
      </w:r>
      <w:r w:rsidRPr="00583E1A">
        <w:tab/>
      </w:r>
      <w:r w:rsidR="00583E1A">
        <w:t>Paragraphs (</w:t>
      </w:r>
      <w:r w:rsidRPr="00583E1A">
        <w:t>2)(d), (e) and (f) of this section are necessary because Part</w:t>
      </w:r>
      <w:r w:rsidR="00583E1A">
        <w:t> </w:t>
      </w:r>
      <w:r w:rsidRPr="00583E1A">
        <w:t xml:space="preserve">X of the </w:t>
      </w:r>
      <w:r w:rsidRPr="00583E1A">
        <w:rPr>
          <w:i/>
        </w:rPr>
        <w:t>Income Tax Assessment Act 1936</w:t>
      </w:r>
      <w:r w:rsidRPr="00583E1A">
        <w:t xml:space="preserve"> applies only to CFE’s (which comprise CFC’s, CFP’s and CFT’s).</w:t>
      </w:r>
    </w:p>
    <w:p w:rsidR="00887330" w:rsidRPr="00583E1A" w:rsidRDefault="00887330" w:rsidP="00887330">
      <w:pPr>
        <w:pStyle w:val="ActHead4"/>
      </w:pPr>
      <w:bookmarkStart w:id="623" w:name="_Toc338939697"/>
      <w:r w:rsidRPr="00583E1A">
        <w:rPr>
          <w:rStyle w:val="CharSubdNo"/>
        </w:rPr>
        <w:t>Subdivision</w:t>
      </w:r>
      <w:r w:rsidR="00583E1A">
        <w:rPr>
          <w:rStyle w:val="CharSubdNo"/>
        </w:rPr>
        <w:t> </w:t>
      </w:r>
      <w:r w:rsidRPr="00583E1A">
        <w:rPr>
          <w:rStyle w:val="CharSubdNo"/>
        </w:rPr>
        <w:t>975</w:t>
      </w:r>
      <w:r w:rsidR="00583E1A">
        <w:rPr>
          <w:rStyle w:val="CharSubdNo"/>
        </w:rPr>
        <w:noBreakHyphen/>
      </w:r>
      <w:r w:rsidRPr="00583E1A">
        <w:rPr>
          <w:rStyle w:val="CharSubdNo"/>
        </w:rPr>
        <w:t>G</w:t>
      </w:r>
      <w:r w:rsidRPr="00583E1A">
        <w:t>—</w:t>
      </w:r>
      <w:r w:rsidRPr="00583E1A">
        <w:rPr>
          <w:rStyle w:val="CharSubdText"/>
        </w:rPr>
        <w:t>What is a company’s share capital account?</w:t>
      </w:r>
      <w:bookmarkEnd w:id="623"/>
    </w:p>
    <w:p w:rsidR="00887330" w:rsidRPr="00583E1A" w:rsidRDefault="00887330" w:rsidP="00887330">
      <w:pPr>
        <w:pStyle w:val="TofSectsHeading"/>
      </w:pPr>
      <w:r w:rsidRPr="00583E1A">
        <w:t>Table of sections</w:t>
      </w:r>
    </w:p>
    <w:p w:rsidR="00887330" w:rsidRPr="00583E1A" w:rsidRDefault="00887330" w:rsidP="00887330">
      <w:pPr>
        <w:pStyle w:val="TofSectsSection"/>
        <w:rPr>
          <w:rStyle w:val="CharBoldItalic"/>
        </w:rPr>
      </w:pPr>
      <w:r w:rsidRPr="00583E1A">
        <w:t>975</w:t>
      </w:r>
      <w:r w:rsidR="00583E1A">
        <w:noBreakHyphen/>
      </w:r>
      <w:r w:rsidRPr="00583E1A">
        <w:t>300</w:t>
      </w:r>
      <w:r w:rsidRPr="00583E1A">
        <w:tab/>
        <w:t xml:space="preserve">Meaning of </w:t>
      </w:r>
      <w:r w:rsidRPr="00583E1A">
        <w:rPr>
          <w:rStyle w:val="CharBoldItalic"/>
        </w:rPr>
        <w:t>share capital account</w:t>
      </w:r>
    </w:p>
    <w:p w:rsidR="00887330" w:rsidRPr="00583E1A" w:rsidRDefault="00887330" w:rsidP="00887330">
      <w:pPr>
        <w:pStyle w:val="ActHead5"/>
        <w:rPr>
          <w:i/>
        </w:rPr>
      </w:pPr>
      <w:bookmarkStart w:id="624" w:name="_Toc338939698"/>
      <w:r w:rsidRPr="00583E1A">
        <w:rPr>
          <w:rStyle w:val="CharSectno"/>
        </w:rPr>
        <w:t>975</w:t>
      </w:r>
      <w:r w:rsidR="00583E1A">
        <w:rPr>
          <w:rStyle w:val="CharSectno"/>
        </w:rPr>
        <w:noBreakHyphen/>
      </w:r>
      <w:r w:rsidRPr="00583E1A">
        <w:rPr>
          <w:rStyle w:val="CharSectno"/>
        </w:rPr>
        <w:t>300</w:t>
      </w:r>
      <w:r w:rsidRPr="00583E1A">
        <w:t xml:space="preserve">  Meaning of </w:t>
      </w:r>
      <w:r w:rsidRPr="00583E1A">
        <w:rPr>
          <w:i/>
        </w:rPr>
        <w:t>share capital account</w:t>
      </w:r>
      <w:bookmarkEnd w:id="624"/>
    </w:p>
    <w:p w:rsidR="00887330" w:rsidRPr="00583E1A" w:rsidRDefault="00887330" w:rsidP="00887330">
      <w:pPr>
        <w:pStyle w:val="subsection"/>
      </w:pPr>
      <w:r w:rsidRPr="00583E1A">
        <w:tab/>
        <w:t>(1)</w:t>
      </w:r>
      <w:r w:rsidRPr="00583E1A">
        <w:tab/>
        <w:t xml:space="preserve">A company’s </w:t>
      </w:r>
      <w:r w:rsidRPr="00583E1A">
        <w:rPr>
          <w:b/>
          <w:i/>
        </w:rPr>
        <w:t xml:space="preserve">share capital account </w:t>
      </w:r>
      <w:r w:rsidRPr="00583E1A">
        <w:t>is:</w:t>
      </w:r>
    </w:p>
    <w:p w:rsidR="00887330" w:rsidRPr="00583E1A" w:rsidRDefault="00887330" w:rsidP="00887330">
      <w:pPr>
        <w:pStyle w:val="paragraph"/>
      </w:pPr>
      <w:r w:rsidRPr="00583E1A">
        <w:tab/>
        <w:t>(a)</w:t>
      </w:r>
      <w:r w:rsidRPr="00583E1A">
        <w:tab/>
        <w:t>an account that the company keeps of its share capital; or</w:t>
      </w:r>
    </w:p>
    <w:p w:rsidR="00887330" w:rsidRPr="00583E1A" w:rsidRDefault="00887330" w:rsidP="00887330">
      <w:pPr>
        <w:pStyle w:val="paragraph"/>
      </w:pPr>
      <w:r w:rsidRPr="00583E1A">
        <w:tab/>
        <w:t>(b)</w:t>
      </w:r>
      <w:r w:rsidRPr="00583E1A">
        <w:tab/>
        <w:t>any other account (whether or not called a share capital account) that satisfies the following conditions:</w:t>
      </w:r>
    </w:p>
    <w:p w:rsidR="00887330" w:rsidRPr="00583E1A" w:rsidRDefault="00887330" w:rsidP="00887330">
      <w:pPr>
        <w:pStyle w:val="paragraphsub"/>
      </w:pPr>
      <w:r w:rsidRPr="00583E1A">
        <w:tab/>
        <w:t>(i)</w:t>
      </w:r>
      <w:r w:rsidRPr="00583E1A">
        <w:tab/>
        <w:t>the account was created on or after 1</w:t>
      </w:r>
      <w:r w:rsidR="00583E1A">
        <w:t> </w:t>
      </w:r>
      <w:r w:rsidRPr="00583E1A">
        <w:t>July 1998;</w:t>
      </w:r>
    </w:p>
    <w:p w:rsidR="00887330" w:rsidRPr="00583E1A" w:rsidRDefault="00887330" w:rsidP="00887330">
      <w:pPr>
        <w:pStyle w:val="paragraphsub"/>
      </w:pPr>
      <w:r w:rsidRPr="00583E1A">
        <w:tab/>
        <w:t>(ii)</w:t>
      </w:r>
      <w:r w:rsidRPr="00583E1A">
        <w:tab/>
        <w:t>the first amount credited to the account was an amount of share capital.</w:t>
      </w:r>
    </w:p>
    <w:p w:rsidR="00887330" w:rsidRPr="00583E1A" w:rsidRDefault="00887330" w:rsidP="00887330">
      <w:pPr>
        <w:pStyle w:val="subsection"/>
      </w:pPr>
      <w:r w:rsidRPr="00583E1A">
        <w:tab/>
        <w:t>(2)</w:t>
      </w:r>
      <w:r w:rsidRPr="00583E1A">
        <w:tab/>
        <w:t xml:space="preserve">If a company has more than one account covered by </w:t>
      </w:r>
      <w:r w:rsidR="00583E1A">
        <w:t>subsection (</w:t>
      </w:r>
      <w:r w:rsidRPr="00583E1A">
        <w:t>1), the accounts are taken, for the purposes of this Act, to be a single account.</w:t>
      </w:r>
    </w:p>
    <w:p w:rsidR="00887330" w:rsidRPr="00583E1A" w:rsidRDefault="00887330" w:rsidP="00887330">
      <w:pPr>
        <w:pStyle w:val="notetext"/>
      </w:pPr>
      <w:r w:rsidRPr="00583E1A">
        <w:t>Note:</w:t>
      </w:r>
      <w:r w:rsidRPr="00583E1A">
        <w:tab/>
        <w:t xml:space="preserve">Because the accounts are taken to be a single account (the </w:t>
      </w:r>
      <w:r w:rsidRPr="00583E1A">
        <w:rPr>
          <w:b/>
          <w:i/>
        </w:rPr>
        <w:t>combined share capital account</w:t>
      </w:r>
      <w:r w:rsidRPr="00583E1A">
        <w:t>), tainting of any of the accounts has the effect of tainting the combined share capital account.</w:t>
      </w:r>
    </w:p>
    <w:p w:rsidR="00887330" w:rsidRPr="00583E1A" w:rsidRDefault="00887330" w:rsidP="00887330">
      <w:pPr>
        <w:pStyle w:val="subsection"/>
      </w:pPr>
      <w:r w:rsidRPr="00583E1A">
        <w:tab/>
        <w:t>(3)</w:t>
      </w:r>
      <w:r w:rsidRPr="00583E1A">
        <w:tab/>
        <w:t xml:space="preserve">However, if a company’s </w:t>
      </w:r>
      <w:r w:rsidR="00583E1A" w:rsidRPr="00583E1A">
        <w:rPr>
          <w:position w:val="6"/>
          <w:sz w:val="16"/>
        </w:rPr>
        <w:t>*</w:t>
      </w:r>
      <w:r w:rsidRPr="00583E1A">
        <w:t xml:space="preserve">share capital account is </w:t>
      </w:r>
      <w:r w:rsidR="00583E1A" w:rsidRPr="00583E1A">
        <w:rPr>
          <w:position w:val="6"/>
          <w:sz w:val="16"/>
        </w:rPr>
        <w:t>*</w:t>
      </w:r>
      <w:r w:rsidRPr="00583E1A">
        <w:t>tainted, that account is taken not to be a share capital account for the purposes this Act, other than:</w:t>
      </w:r>
    </w:p>
    <w:p w:rsidR="00887330" w:rsidRPr="00583E1A" w:rsidRDefault="00887330" w:rsidP="00887330">
      <w:pPr>
        <w:pStyle w:val="paragraph"/>
      </w:pPr>
      <w:r w:rsidRPr="00583E1A">
        <w:tab/>
        <w:t>(a)</w:t>
      </w:r>
      <w:r w:rsidRPr="00583E1A">
        <w:tab/>
        <w:t>subsection 118</w:t>
      </w:r>
      <w:r w:rsidR="00583E1A">
        <w:noBreakHyphen/>
      </w:r>
      <w:r w:rsidRPr="00583E1A">
        <w:t>20(6); and</w:t>
      </w:r>
    </w:p>
    <w:p w:rsidR="00887330" w:rsidRPr="00583E1A" w:rsidRDefault="00887330" w:rsidP="00887330">
      <w:pPr>
        <w:pStyle w:val="paragraph"/>
      </w:pPr>
      <w:r w:rsidRPr="00583E1A">
        <w:lastRenderedPageBreak/>
        <w:tab/>
        <w:t>(b)</w:t>
      </w:r>
      <w:r w:rsidRPr="00583E1A">
        <w:tab/>
        <w:t>Division</w:t>
      </w:r>
      <w:r w:rsidR="00583E1A">
        <w:t> </w:t>
      </w:r>
      <w:r w:rsidRPr="00583E1A">
        <w:t>197; and</w:t>
      </w:r>
    </w:p>
    <w:p w:rsidR="00914CBA" w:rsidRPr="00583E1A" w:rsidRDefault="00914CBA" w:rsidP="00914CBA">
      <w:pPr>
        <w:pStyle w:val="paragraph"/>
      </w:pPr>
      <w:r w:rsidRPr="00583E1A">
        <w:tab/>
        <w:t>(ba)</w:t>
      </w:r>
      <w:r w:rsidRPr="00583E1A">
        <w:tab/>
        <w:t>paragraph 202</w:t>
      </w:r>
      <w:r w:rsidR="00583E1A">
        <w:noBreakHyphen/>
      </w:r>
      <w:r w:rsidRPr="00583E1A">
        <w:t>45(e); and</w:t>
      </w:r>
    </w:p>
    <w:p w:rsidR="00887330" w:rsidRPr="00583E1A" w:rsidRDefault="00887330" w:rsidP="00887330">
      <w:pPr>
        <w:pStyle w:val="paragraph"/>
      </w:pPr>
      <w:r w:rsidRPr="00583E1A">
        <w:tab/>
        <w:t>(c)</w:t>
      </w:r>
      <w:r w:rsidRPr="00583E1A">
        <w:tab/>
        <w:t xml:space="preserve">the definition of </w:t>
      </w:r>
      <w:r w:rsidRPr="00583E1A">
        <w:rPr>
          <w:b/>
          <w:i/>
        </w:rPr>
        <w:t>paid</w:t>
      </w:r>
      <w:r w:rsidR="00583E1A">
        <w:rPr>
          <w:b/>
          <w:i/>
        </w:rPr>
        <w:noBreakHyphen/>
      </w:r>
      <w:r w:rsidRPr="00583E1A">
        <w:rPr>
          <w:b/>
          <w:i/>
        </w:rPr>
        <w:t>up share capital</w:t>
      </w:r>
      <w:r w:rsidRPr="00583E1A">
        <w:t xml:space="preserve"> in subsection 6(1) of the </w:t>
      </w:r>
      <w:r w:rsidRPr="00583E1A">
        <w:rPr>
          <w:i/>
        </w:rPr>
        <w:t>Income Tax Assessment Act 1936</w:t>
      </w:r>
      <w:r w:rsidRPr="00583E1A">
        <w:t>; and</w:t>
      </w:r>
    </w:p>
    <w:p w:rsidR="00887330" w:rsidRPr="00583E1A" w:rsidRDefault="00887330" w:rsidP="00887330">
      <w:pPr>
        <w:pStyle w:val="paragraph"/>
      </w:pPr>
      <w:r w:rsidRPr="00583E1A">
        <w:tab/>
        <w:t>(d)</w:t>
      </w:r>
      <w:r w:rsidRPr="00583E1A">
        <w:tab/>
        <w:t xml:space="preserve">subsection 44(1B) of the </w:t>
      </w:r>
      <w:r w:rsidRPr="00583E1A">
        <w:rPr>
          <w:i/>
        </w:rPr>
        <w:t>Income Tax Assessment Act 1936</w:t>
      </w:r>
      <w:r w:rsidRPr="00583E1A">
        <w:t>; and</w:t>
      </w:r>
    </w:p>
    <w:p w:rsidR="00887330" w:rsidRPr="00583E1A" w:rsidRDefault="00887330" w:rsidP="00887330">
      <w:pPr>
        <w:pStyle w:val="paragraph"/>
      </w:pPr>
      <w:r w:rsidRPr="00583E1A">
        <w:tab/>
        <w:t>(f)</w:t>
      </w:r>
      <w:r w:rsidRPr="00583E1A">
        <w:tab/>
        <w:t xml:space="preserve">subsection 159GZZZQ(5) of the </w:t>
      </w:r>
      <w:r w:rsidRPr="00583E1A">
        <w:rPr>
          <w:i/>
        </w:rPr>
        <w:t>Income Tax Assessment Act 1936</w:t>
      </w:r>
      <w:r w:rsidRPr="00583E1A">
        <w:t>.</w:t>
      </w:r>
    </w:p>
    <w:p w:rsidR="00887330" w:rsidRPr="00583E1A" w:rsidRDefault="00887330" w:rsidP="00887330">
      <w:pPr>
        <w:pStyle w:val="ActHead4"/>
      </w:pPr>
      <w:bookmarkStart w:id="625" w:name="_Toc338939699"/>
      <w:r w:rsidRPr="00583E1A">
        <w:rPr>
          <w:rStyle w:val="CharSubdNo"/>
        </w:rPr>
        <w:t>Subdivision</w:t>
      </w:r>
      <w:r w:rsidR="00583E1A">
        <w:rPr>
          <w:rStyle w:val="CharSubdNo"/>
        </w:rPr>
        <w:t> </w:t>
      </w:r>
      <w:r w:rsidRPr="00583E1A">
        <w:rPr>
          <w:rStyle w:val="CharSubdNo"/>
        </w:rPr>
        <w:t>975</w:t>
      </w:r>
      <w:r w:rsidR="00583E1A">
        <w:rPr>
          <w:rStyle w:val="CharSubdNo"/>
        </w:rPr>
        <w:noBreakHyphen/>
      </w:r>
      <w:r w:rsidRPr="00583E1A">
        <w:rPr>
          <w:rStyle w:val="CharSubdNo"/>
        </w:rPr>
        <w:t>W</w:t>
      </w:r>
      <w:r w:rsidRPr="00583E1A">
        <w:t>—</w:t>
      </w:r>
      <w:r w:rsidRPr="00583E1A">
        <w:rPr>
          <w:rStyle w:val="CharSubdText"/>
        </w:rPr>
        <w:t>Wholly</w:t>
      </w:r>
      <w:r w:rsidR="00583E1A">
        <w:rPr>
          <w:rStyle w:val="CharSubdText"/>
        </w:rPr>
        <w:noBreakHyphen/>
      </w:r>
      <w:r w:rsidRPr="00583E1A">
        <w:rPr>
          <w:rStyle w:val="CharSubdText"/>
        </w:rPr>
        <w:t>owned groups of companies</w:t>
      </w:r>
      <w:bookmarkEnd w:id="625"/>
      <w:r w:rsidRPr="00583E1A">
        <w:rPr>
          <w:rStyle w:val="CharSubdText"/>
        </w:rPr>
        <w:t xml:space="preserve"> </w:t>
      </w:r>
    </w:p>
    <w:p w:rsidR="00887330" w:rsidRPr="00583E1A" w:rsidRDefault="00887330" w:rsidP="00887330">
      <w:pPr>
        <w:pStyle w:val="TofSectsHeading"/>
      </w:pPr>
      <w:r w:rsidRPr="00583E1A">
        <w:t>Table of sections</w:t>
      </w:r>
    </w:p>
    <w:p w:rsidR="00887330" w:rsidRPr="00583E1A" w:rsidRDefault="00887330" w:rsidP="00887330">
      <w:pPr>
        <w:pStyle w:val="TofSectsSection"/>
      </w:pPr>
      <w:r w:rsidRPr="00583E1A">
        <w:t>975</w:t>
      </w:r>
      <w:r w:rsidR="00583E1A">
        <w:noBreakHyphen/>
      </w:r>
      <w:r w:rsidRPr="00583E1A">
        <w:t>500</w:t>
      </w:r>
      <w:r w:rsidRPr="00583E1A">
        <w:tab/>
        <w:t>Wholly</w:t>
      </w:r>
      <w:r w:rsidR="00583E1A">
        <w:noBreakHyphen/>
      </w:r>
      <w:r w:rsidRPr="00583E1A">
        <w:t>owned groups</w:t>
      </w:r>
    </w:p>
    <w:p w:rsidR="00887330" w:rsidRPr="00583E1A" w:rsidRDefault="00887330" w:rsidP="00887330">
      <w:pPr>
        <w:pStyle w:val="TofSectsSection"/>
      </w:pPr>
      <w:r w:rsidRPr="00583E1A">
        <w:t>975</w:t>
      </w:r>
      <w:r w:rsidR="00583E1A">
        <w:noBreakHyphen/>
      </w:r>
      <w:r w:rsidRPr="00583E1A">
        <w:t>505</w:t>
      </w:r>
      <w:r w:rsidRPr="00583E1A">
        <w:tab/>
        <w:t>What is a 100% subsidiary?</w:t>
      </w:r>
    </w:p>
    <w:p w:rsidR="00887330" w:rsidRPr="00583E1A" w:rsidRDefault="00887330" w:rsidP="00887330">
      <w:pPr>
        <w:pStyle w:val="ActHead5"/>
      </w:pPr>
      <w:bookmarkStart w:id="626" w:name="_Toc338939700"/>
      <w:r w:rsidRPr="00583E1A">
        <w:rPr>
          <w:rStyle w:val="CharSectno"/>
        </w:rPr>
        <w:t>975</w:t>
      </w:r>
      <w:r w:rsidR="00583E1A">
        <w:rPr>
          <w:rStyle w:val="CharSectno"/>
        </w:rPr>
        <w:noBreakHyphen/>
      </w:r>
      <w:r w:rsidRPr="00583E1A">
        <w:rPr>
          <w:rStyle w:val="CharSectno"/>
        </w:rPr>
        <w:t>500</w:t>
      </w:r>
      <w:r w:rsidRPr="00583E1A">
        <w:t xml:space="preserve">  Wholly</w:t>
      </w:r>
      <w:r w:rsidR="00583E1A">
        <w:noBreakHyphen/>
      </w:r>
      <w:r w:rsidRPr="00583E1A">
        <w:t>owned groups</w:t>
      </w:r>
      <w:bookmarkEnd w:id="626"/>
    </w:p>
    <w:p w:rsidR="00887330" w:rsidRPr="00583E1A" w:rsidRDefault="00887330" w:rsidP="00887330">
      <w:pPr>
        <w:pStyle w:val="subsection"/>
      </w:pPr>
      <w:r w:rsidRPr="00583E1A">
        <w:tab/>
      </w:r>
      <w:r w:rsidRPr="00583E1A">
        <w:tab/>
        <w:t xml:space="preserve">Two companies are members of the same </w:t>
      </w:r>
      <w:r w:rsidRPr="00583E1A">
        <w:rPr>
          <w:b/>
          <w:i/>
        </w:rPr>
        <w:t>wholly</w:t>
      </w:r>
      <w:r w:rsidR="00583E1A">
        <w:rPr>
          <w:b/>
          <w:i/>
        </w:rPr>
        <w:noBreakHyphen/>
      </w:r>
      <w:r w:rsidRPr="00583E1A">
        <w:rPr>
          <w:b/>
          <w:i/>
        </w:rPr>
        <w:t>owned group</w:t>
      </w:r>
      <w:r w:rsidRPr="00583E1A">
        <w:t xml:space="preserve"> if:</w:t>
      </w:r>
    </w:p>
    <w:p w:rsidR="00887330" w:rsidRPr="00583E1A" w:rsidRDefault="00887330" w:rsidP="00887330">
      <w:pPr>
        <w:pStyle w:val="paragraph"/>
      </w:pPr>
      <w:r w:rsidRPr="00583E1A">
        <w:tab/>
        <w:t>(a)</w:t>
      </w:r>
      <w:r w:rsidRPr="00583E1A">
        <w:tab/>
        <w:t xml:space="preserve">one of the companies is a </w:t>
      </w:r>
      <w:r w:rsidR="00583E1A" w:rsidRPr="00583E1A">
        <w:rPr>
          <w:position w:val="6"/>
          <w:sz w:val="16"/>
        </w:rPr>
        <w:t>*</w:t>
      </w:r>
      <w:r w:rsidRPr="00583E1A">
        <w:t>100% subsidiary of the other company; or</w:t>
      </w:r>
    </w:p>
    <w:p w:rsidR="00887330" w:rsidRPr="00583E1A" w:rsidRDefault="00887330" w:rsidP="00887330">
      <w:pPr>
        <w:pStyle w:val="paragraph"/>
      </w:pPr>
      <w:r w:rsidRPr="00583E1A">
        <w:tab/>
        <w:t>(b)</w:t>
      </w:r>
      <w:r w:rsidRPr="00583E1A">
        <w:tab/>
        <w:t xml:space="preserve">each of the companies is a </w:t>
      </w:r>
      <w:r w:rsidR="00583E1A" w:rsidRPr="00583E1A">
        <w:rPr>
          <w:position w:val="6"/>
          <w:sz w:val="16"/>
        </w:rPr>
        <w:t>*</w:t>
      </w:r>
      <w:r w:rsidRPr="00583E1A">
        <w:t>100% subsidiary of the same third company.</w:t>
      </w:r>
    </w:p>
    <w:p w:rsidR="00887330" w:rsidRPr="00583E1A" w:rsidRDefault="00887330" w:rsidP="00887330">
      <w:pPr>
        <w:pStyle w:val="ActHead5"/>
      </w:pPr>
      <w:bookmarkStart w:id="627" w:name="_Toc338939701"/>
      <w:r w:rsidRPr="00583E1A">
        <w:rPr>
          <w:rStyle w:val="CharSectno"/>
        </w:rPr>
        <w:t>975</w:t>
      </w:r>
      <w:r w:rsidR="00583E1A">
        <w:rPr>
          <w:rStyle w:val="CharSectno"/>
        </w:rPr>
        <w:noBreakHyphen/>
      </w:r>
      <w:r w:rsidRPr="00583E1A">
        <w:rPr>
          <w:rStyle w:val="CharSectno"/>
        </w:rPr>
        <w:t>505</w:t>
      </w:r>
      <w:r w:rsidRPr="00583E1A">
        <w:t xml:space="preserve">  What is a 100% subsidiary?</w:t>
      </w:r>
      <w:bookmarkEnd w:id="627"/>
    </w:p>
    <w:p w:rsidR="00887330" w:rsidRPr="00583E1A" w:rsidRDefault="00887330" w:rsidP="00887330">
      <w:pPr>
        <w:pStyle w:val="subsection"/>
      </w:pPr>
      <w:r w:rsidRPr="00583E1A">
        <w:rPr>
          <w:b/>
        </w:rPr>
        <w:tab/>
      </w:r>
      <w:r w:rsidRPr="00583E1A">
        <w:t>(1)</w:t>
      </w:r>
      <w:r w:rsidRPr="00583E1A">
        <w:rPr>
          <w:b/>
        </w:rPr>
        <w:tab/>
      </w:r>
      <w:r w:rsidRPr="00583E1A">
        <w:t>A company (the</w:t>
      </w:r>
      <w:r w:rsidRPr="00583E1A">
        <w:rPr>
          <w:b/>
        </w:rPr>
        <w:t xml:space="preserve"> </w:t>
      </w:r>
      <w:r w:rsidRPr="00583E1A">
        <w:rPr>
          <w:b/>
          <w:i/>
        </w:rPr>
        <w:t>subsidiary company</w:t>
      </w:r>
      <w:r w:rsidRPr="00583E1A">
        <w:t xml:space="preserve">) is a </w:t>
      </w:r>
      <w:r w:rsidRPr="00583E1A">
        <w:rPr>
          <w:b/>
          <w:i/>
        </w:rPr>
        <w:t>100% subsidiary</w:t>
      </w:r>
      <w:r w:rsidRPr="00583E1A">
        <w:rPr>
          <w:b/>
        </w:rPr>
        <w:t xml:space="preserve"> </w:t>
      </w:r>
      <w:r w:rsidRPr="00583E1A">
        <w:t xml:space="preserve">of another company (the </w:t>
      </w:r>
      <w:r w:rsidRPr="00583E1A">
        <w:rPr>
          <w:b/>
          <w:i/>
        </w:rPr>
        <w:t>holding company</w:t>
      </w:r>
      <w:r w:rsidRPr="00583E1A">
        <w:t xml:space="preserve">) if all the </w:t>
      </w:r>
      <w:r w:rsidR="00583E1A" w:rsidRPr="00583E1A">
        <w:rPr>
          <w:position w:val="6"/>
          <w:sz w:val="16"/>
        </w:rPr>
        <w:t>*</w:t>
      </w:r>
      <w:r w:rsidRPr="00583E1A">
        <w:t>shares in the subsidiary company are beneficially owned by:</w:t>
      </w:r>
    </w:p>
    <w:p w:rsidR="00887330" w:rsidRPr="00583E1A" w:rsidRDefault="00887330" w:rsidP="00887330">
      <w:pPr>
        <w:pStyle w:val="paragraph"/>
      </w:pPr>
      <w:r w:rsidRPr="00583E1A">
        <w:tab/>
        <w:t>(a)</w:t>
      </w:r>
      <w:r w:rsidRPr="00583E1A">
        <w:tab/>
        <w:t>the holding company; or</w:t>
      </w:r>
    </w:p>
    <w:p w:rsidR="00887330" w:rsidRPr="00583E1A" w:rsidRDefault="00887330" w:rsidP="00887330">
      <w:pPr>
        <w:pStyle w:val="paragraph"/>
      </w:pPr>
      <w:r w:rsidRPr="00583E1A">
        <w:tab/>
        <w:t>(b)</w:t>
      </w:r>
      <w:r w:rsidRPr="00583E1A">
        <w:tab/>
        <w:t>one or more 100% subsidiaries of the holding company; or</w:t>
      </w:r>
    </w:p>
    <w:p w:rsidR="00887330" w:rsidRPr="00583E1A" w:rsidRDefault="00887330" w:rsidP="00887330">
      <w:pPr>
        <w:pStyle w:val="paragraph"/>
      </w:pPr>
      <w:r w:rsidRPr="00583E1A">
        <w:tab/>
        <w:t>(c)</w:t>
      </w:r>
      <w:r w:rsidRPr="00583E1A">
        <w:tab/>
        <w:t>the holding company and one or more 100% subsidiaries of the holding company.</w:t>
      </w:r>
    </w:p>
    <w:p w:rsidR="00887330" w:rsidRPr="00583E1A" w:rsidRDefault="00887330" w:rsidP="00887330">
      <w:pPr>
        <w:pStyle w:val="subsection"/>
      </w:pPr>
      <w:r w:rsidRPr="00583E1A">
        <w:tab/>
        <w:t>(2)</w:t>
      </w:r>
      <w:r w:rsidRPr="00583E1A">
        <w:tab/>
        <w:t xml:space="preserve">However, the subsidiary company is </w:t>
      </w:r>
      <w:r w:rsidRPr="00583E1A">
        <w:rPr>
          <w:i/>
        </w:rPr>
        <w:t>not</w:t>
      </w:r>
      <w:r w:rsidRPr="00583E1A">
        <w:t xml:space="preserve"> a </w:t>
      </w:r>
      <w:r w:rsidRPr="00583E1A">
        <w:rPr>
          <w:b/>
          <w:i/>
        </w:rPr>
        <w:t>100% subsidiary</w:t>
      </w:r>
      <w:r w:rsidRPr="00583E1A">
        <w:t xml:space="preserve"> of the holding company if a person is </w:t>
      </w:r>
      <w:r w:rsidR="00583E1A" w:rsidRPr="00583E1A">
        <w:rPr>
          <w:position w:val="6"/>
          <w:sz w:val="16"/>
        </w:rPr>
        <w:t>*</w:t>
      </w:r>
      <w:r w:rsidRPr="00583E1A">
        <w:t>in a position to affect rights, in relation to the subsidiary company, of:</w:t>
      </w:r>
    </w:p>
    <w:p w:rsidR="00887330" w:rsidRPr="00583E1A" w:rsidRDefault="00887330" w:rsidP="00887330">
      <w:pPr>
        <w:pStyle w:val="paragraph"/>
      </w:pPr>
      <w:r w:rsidRPr="00583E1A">
        <w:tab/>
        <w:t>(a)</w:t>
      </w:r>
      <w:r w:rsidRPr="00583E1A">
        <w:tab/>
        <w:t>the holding company; or</w:t>
      </w:r>
    </w:p>
    <w:p w:rsidR="00887330" w:rsidRPr="00583E1A" w:rsidRDefault="00887330" w:rsidP="00887330">
      <w:pPr>
        <w:pStyle w:val="paragraph"/>
      </w:pPr>
      <w:r w:rsidRPr="00583E1A">
        <w:tab/>
        <w:t>(b)</w:t>
      </w:r>
      <w:r w:rsidRPr="00583E1A">
        <w:tab/>
        <w:t>a 100% subsidiary of the holding company.</w:t>
      </w:r>
    </w:p>
    <w:p w:rsidR="00887330" w:rsidRPr="00583E1A" w:rsidRDefault="00887330" w:rsidP="00887330">
      <w:pPr>
        <w:pStyle w:val="subsection"/>
      </w:pPr>
      <w:r w:rsidRPr="00583E1A">
        <w:lastRenderedPageBreak/>
        <w:tab/>
        <w:t>(3)</w:t>
      </w:r>
      <w:r w:rsidRPr="00583E1A">
        <w:tab/>
        <w:t xml:space="preserve">The subsidiary company is also not a </w:t>
      </w:r>
      <w:r w:rsidRPr="00583E1A">
        <w:rPr>
          <w:b/>
          <w:i/>
        </w:rPr>
        <w:t>100% subsidiary</w:t>
      </w:r>
      <w:r w:rsidRPr="00583E1A">
        <w:t xml:space="preserve"> of the holding company if at some future time a person will be </w:t>
      </w:r>
      <w:r w:rsidR="00583E1A" w:rsidRPr="00583E1A">
        <w:rPr>
          <w:position w:val="6"/>
          <w:sz w:val="16"/>
        </w:rPr>
        <w:t>*</w:t>
      </w:r>
      <w:r w:rsidRPr="00583E1A">
        <w:t xml:space="preserve">in a position to affect rights as described in </w:t>
      </w:r>
      <w:r w:rsidR="00583E1A">
        <w:t>subsection (</w:t>
      </w:r>
      <w:r w:rsidRPr="00583E1A">
        <w:t>2).</w:t>
      </w:r>
    </w:p>
    <w:p w:rsidR="00887330" w:rsidRPr="00583E1A" w:rsidRDefault="00887330" w:rsidP="00887330">
      <w:pPr>
        <w:pStyle w:val="subsection"/>
      </w:pPr>
      <w:r w:rsidRPr="00583E1A">
        <w:tab/>
        <w:t>(4)</w:t>
      </w:r>
      <w:r w:rsidRPr="00583E1A">
        <w:tab/>
        <w:t xml:space="preserve">A company (other than the subsidiary company) is a </w:t>
      </w:r>
      <w:r w:rsidRPr="00583E1A">
        <w:rPr>
          <w:b/>
          <w:i/>
        </w:rPr>
        <w:t>100% subsidiary</w:t>
      </w:r>
      <w:r w:rsidRPr="00583E1A">
        <w:t xml:space="preserve"> of the holding company if, and only if:</w:t>
      </w:r>
    </w:p>
    <w:p w:rsidR="00887330" w:rsidRPr="00583E1A" w:rsidRDefault="00887330" w:rsidP="00887330">
      <w:pPr>
        <w:pStyle w:val="paragraph"/>
      </w:pPr>
      <w:r w:rsidRPr="00583E1A">
        <w:tab/>
        <w:t>(a)</w:t>
      </w:r>
      <w:r w:rsidRPr="00583E1A">
        <w:tab/>
        <w:t>it is a 100% subsidiary of the holding company; or</w:t>
      </w:r>
    </w:p>
    <w:p w:rsidR="00887330" w:rsidRPr="00583E1A" w:rsidRDefault="00887330" w:rsidP="00887330">
      <w:pPr>
        <w:pStyle w:val="paragraph"/>
        <w:keepNext/>
      </w:pPr>
      <w:r w:rsidRPr="00583E1A">
        <w:tab/>
        <w:t>(b)</w:t>
      </w:r>
      <w:r w:rsidRPr="00583E1A">
        <w:tab/>
        <w:t>it is a 100% subsidiary of a 100% subsidiary of the holding company;</w:t>
      </w:r>
    </w:p>
    <w:p w:rsidR="00887330" w:rsidRPr="00583E1A" w:rsidRDefault="00887330" w:rsidP="00887330">
      <w:pPr>
        <w:pStyle w:val="subsection2"/>
      </w:pPr>
      <w:r w:rsidRPr="00583E1A">
        <w:t>because of any other application or applications of this section.</w:t>
      </w:r>
    </w:p>
    <w:p w:rsidR="006A5D87" w:rsidRPr="00583E1A" w:rsidRDefault="006A5D87" w:rsidP="006A5D87">
      <w:pPr>
        <w:pStyle w:val="PageBreak"/>
      </w:pPr>
      <w:r w:rsidRPr="00583E1A">
        <w:br w:type="page"/>
      </w:r>
    </w:p>
    <w:p w:rsidR="008F6326" w:rsidRPr="00583E1A" w:rsidRDefault="008F6326" w:rsidP="008F6326">
      <w:pPr>
        <w:pStyle w:val="ActHead3"/>
      </w:pPr>
      <w:bookmarkStart w:id="628" w:name="_Toc338939702"/>
      <w:r w:rsidRPr="00583E1A">
        <w:rPr>
          <w:rStyle w:val="CharDivNo"/>
        </w:rPr>
        <w:lastRenderedPageBreak/>
        <w:t>Division</w:t>
      </w:r>
      <w:r w:rsidR="00583E1A">
        <w:rPr>
          <w:rStyle w:val="CharDivNo"/>
        </w:rPr>
        <w:t> </w:t>
      </w:r>
      <w:r w:rsidRPr="00583E1A">
        <w:rPr>
          <w:rStyle w:val="CharDivNo"/>
        </w:rPr>
        <w:t>977</w:t>
      </w:r>
      <w:r w:rsidRPr="00583E1A">
        <w:t>—</w:t>
      </w:r>
      <w:r w:rsidRPr="00583E1A">
        <w:rPr>
          <w:rStyle w:val="CharDivText"/>
        </w:rPr>
        <w:t>Realisation events, and the gains and losses they realise for income tax purposes</w:t>
      </w:r>
      <w:bookmarkEnd w:id="628"/>
    </w:p>
    <w:p w:rsidR="008F6326" w:rsidRPr="00583E1A" w:rsidRDefault="008F6326" w:rsidP="008F6326">
      <w:pPr>
        <w:pStyle w:val="TofSectsHeading"/>
      </w:pPr>
      <w:r w:rsidRPr="00583E1A">
        <w:t>Table of sections</w:t>
      </w:r>
    </w:p>
    <w:p w:rsidR="008F6326" w:rsidRPr="00583E1A" w:rsidRDefault="008F6326" w:rsidP="008F6326">
      <w:pPr>
        <w:pStyle w:val="TofSectsGroupHeading"/>
      </w:pPr>
      <w:r w:rsidRPr="00583E1A">
        <w:t>CGT assets</w:t>
      </w:r>
    </w:p>
    <w:p w:rsidR="008F6326" w:rsidRPr="00583E1A" w:rsidRDefault="008F6326" w:rsidP="008F6326">
      <w:pPr>
        <w:pStyle w:val="TofSectsSection"/>
        <w:rPr>
          <w:rStyle w:val="CharBoldItalic"/>
        </w:rPr>
      </w:pPr>
      <w:r w:rsidRPr="00583E1A">
        <w:t>977</w:t>
      </w:r>
      <w:r w:rsidR="00583E1A">
        <w:noBreakHyphen/>
      </w:r>
      <w:r w:rsidRPr="00583E1A">
        <w:t>5</w:t>
      </w:r>
      <w:r w:rsidRPr="00583E1A">
        <w:tab/>
        <w:t>Realisation event</w:t>
      </w:r>
    </w:p>
    <w:p w:rsidR="008F6326" w:rsidRPr="00583E1A" w:rsidRDefault="008F6326" w:rsidP="008F6326">
      <w:pPr>
        <w:pStyle w:val="TofSectsSection"/>
        <w:rPr>
          <w:rStyle w:val="CharBoldItalic"/>
        </w:rPr>
      </w:pPr>
      <w:r w:rsidRPr="00583E1A">
        <w:t>977</w:t>
      </w:r>
      <w:r w:rsidR="00583E1A">
        <w:noBreakHyphen/>
      </w:r>
      <w:r w:rsidRPr="00583E1A">
        <w:t>10</w:t>
      </w:r>
      <w:r w:rsidRPr="00583E1A">
        <w:tab/>
        <w:t>Loss realised for income tax purposes</w:t>
      </w:r>
    </w:p>
    <w:p w:rsidR="008F6326" w:rsidRPr="00583E1A" w:rsidRDefault="008F6326" w:rsidP="008F6326">
      <w:pPr>
        <w:pStyle w:val="TofSectsSection"/>
      </w:pPr>
      <w:r w:rsidRPr="00583E1A">
        <w:t>977</w:t>
      </w:r>
      <w:r w:rsidR="00583E1A">
        <w:noBreakHyphen/>
      </w:r>
      <w:r w:rsidRPr="00583E1A">
        <w:t>15</w:t>
      </w:r>
      <w:r w:rsidRPr="00583E1A">
        <w:tab/>
        <w:t>Gain realised for income tax purposes</w:t>
      </w:r>
    </w:p>
    <w:p w:rsidR="008F6326" w:rsidRPr="00583E1A" w:rsidRDefault="008F6326" w:rsidP="008F6326">
      <w:pPr>
        <w:pStyle w:val="TofSectsGroupHeading"/>
      </w:pPr>
      <w:r w:rsidRPr="00583E1A">
        <w:t>Trading stock</w:t>
      </w:r>
    </w:p>
    <w:p w:rsidR="008F6326" w:rsidRPr="00583E1A" w:rsidRDefault="008F6326" w:rsidP="008F6326">
      <w:pPr>
        <w:pStyle w:val="TofSectsSection"/>
        <w:rPr>
          <w:rStyle w:val="CharBoldItalic"/>
        </w:rPr>
      </w:pPr>
      <w:r w:rsidRPr="00583E1A">
        <w:t>977</w:t>
      </w:r>
      <w:r w:rsidR="00583E1A">
        <w:noBreakHyphen/>
      </w:r>
      <w:r w:rsidRPr="00583E1A">
        <w:t>20</w:t>
      </w:r>
      <w:r w:rsidRPr="00583E1A">
        <w:tab/>
        <w:t>Realisation event</w:t>
      </w:r>
    </w:p>
    <w:p w:rsidR="008F6326" w:rsidRPr="00583E1A" w:rsidRDefault="008F6326" w:rsidP="008F6326">
      <w:pPr>
        <w:pStyle w:val="TofSectsSection"/>
      </w:pPr>
      <w:r w:rsidRPr="00583E1A">
        <w:t>977</w:t>
      </w:r>
      <w:r w:rsidR="00583E1A">
        <w:noBreakHyphen/>
      </w:r>
      <w:r w:rsidRPr="00583E1A">
        <w:t>25</w:t>
      </w:r>
      <w:r w:rsidRPr="00583E1A">
        <w:tab/>
        <w:t>Disposal of trading stock: loss realised for income tax purposes</w:t>
      </w:r>
    </w:p>
    <w:p w:rsidR="008F6326" w:rsidRPr="00583E1A" w:rsidRDefault="008F6326" w:rsidP="008F6326">
      <w:pPr>
        <w:pStyle w:val="TofSectsSection"/>
        <w:rPr>
          <w:rStyle w:val="CharBoldItalic"/>
        </w:rPr>
      </w:pPr>
      <w:r w:rsidRPr="00583E1A">
        <w:t>977</w:t>
      </w:r>
      <w:r w:rsidR="00583E1A">
        <w:noBreakHyphen/>
      </w:r>
      <w:r w:rsidRPr="00583E1A">
        <w:t>30</w:t>
      </w:r>
      <w:r w:rsidRPr="00583E1A">
        <w:tab/>
        <w:t>Ending of an income year: loss realised for income tax purposes</w:t>
      </w:r>
    </w:p>
    <w:p w:rsidR="008F6326" w:rsidRPr="00583E1A" w:rsidRDefault="008F6326" w:rsidP="008F6326">
      <w:pPr>
        <w:pStyle w:val="TofSectsSection"/>
        <w:rPr>
          <w:rStyle w:val="CharBoldItalic"/>
        </w:rPr>
      </w:pPr>
      <w:r w:rsidRPr="00583E1A">
        <w:t>977</w:t>
      </w:r>
      <w:r w:rsidR="00583E1A">
        <w:noBreakHyphen/>
      </w:r>
      <w:r w:rsidRPr="00583E1A">
        <w:t>35</w:t>
      </w:r>
      <w:r w:rsidRPr="00583E1A">
        <w:tab/>
        <w:t>Disposal of trading stock: gain realised for income tax purposes</w:t>
      </w:r>
    </w:p>
    <w:p w:rsidR="008F6326" w:rsidRPr="00583E1A" w:rsidRDefault="008F6326" w:rsidP="008F6326">
      <w:pPr>
        <w:pStyle w:val="TofSectsSection"/>
        <w:rPr>
          <w:rStyle w:val="CharBoldItalic"/>
        </w:rPr>
      </w:pPr>
      <w:r w:rsidRPr="00583E1A">
        <w:t>977</w:t>
      </w:r>
      <w:r w:rsidR="00583E1A">
        <w:noBreakHyphen/>
      </w:r>
      <w:r w:rsidRPr="00583E1A">
        <w:t>40</w:t>
      </w:r>
      <w:r w:rsidRPr="00583E1A">
        <w:tab/>
        <w:t>Ending of an income year: gain realised for income tax purposes</w:t>
      </w:r>
    </w:p>
    <w:p w:rsidR="008F6326" w:rsidRPr="00583E1A" w:rsidRDefault="008F6326" w:rsidP="008F6326">
      <w:pPr>
        <w:pStyle w:val="TofSectsGroupHeading"/>
      </w:pPr>
      <w:r w:rsidRPr="00583E1A">
        <w:t>Revenue assets</w:t>
      </w:r>
    </w:p>
    <w:p w:rsidR="008F6326" w:rsidRPr="00583E1A" w:rsidRDefault="008F6326" w:rsidP="008F6326">
      <w:pPr>
        <w:pStyle w:val="TofSectsSection"/>
      </w:pPr>
      <w:r w:rsidRPr="00583E1A">
        <w:t>977</w:t>
      </w:r>
      <w:r w:rsidR="00583E1A">
        <w:noBreakHyphen/>
      </w:r>
      <w:r w:rsidRPr="00583E1A">
        <w:t>50</w:t>
      </w:r>
      <w:r w:rsidRPr="00583E1A">
        <w:tab/>
        <w:t xml:space="preserve">Meaning of </w:t>
      </w:r>
      <w:r w:rsidRPr="00583E1A">
        <w:rPr>
          <w:rStyle w:val="CharBoldItalic"/>
        </w:rPr>
        <w:t>revenue asset</w:t>
      </w:r>
    </w:p>
    <w:p w:rsidR="008F6326" w:rsidRPr="00583E1A" w:rsidRDefault="008F6326" w:rsidP="008F6326">
      <w:pPr>
        <w:pStyle w:val="TofSectsSection"/>
      </w:pPr>
      <w:r w:rsidRPr="00583E1A">
        <w:t>977</w:t>
      </w:r>
      <w:r w:rsidR="00583E1A">
        <w:noBreakHyphen/>
      </w:r>
      <w:r w:rsidRPr="00583E1A">
        <w:t>55</w:t>
      </w:r>
      <w:r w:rsidRPr="00583E1A">
        <w:tab/>
        <w:t>Loss or gain realised for income tax purposes</w:t>
      </w:r>
    </w:p>
    <w:p w:rsidR="008F6326" w:rsidRPr="00583E1A" w:rsidRDefault="008F6326" w:rsidP="008F6326">
      <w:pPr>
        <w:pStyle w:val="ActHead4"/>
      </w:pPr>
      <w:bookmarkStart w:id="629" w:name="_Toc338939703"/>
      <w:r w:rsidRPr="00583E1A">
        <w:t>CGT assets</w:t>
      </w:r>
      <w:bookmarkEnd w:id="629"/>
    </w:p>
    <w:p w:rsidR="008F6326" w:rsidRPr="00583E1A" w:rsidRDefault="008F6326" w:rsidP="008F6326">
      <w:pPr>
        <w:pStyle w:val="ActHead5"/>
      </w:pPr>
      <w:bookmarkStart w:id="630" w:name="_Toc338939704"/>
      <w:r w:rsidRPr="00583E1A">
        <w:rPr>
          <w:rStyle w:val="CharSectno"/>
        </w:rPr>
        <w:t>977</w:t>
      </w:r>
      <w:r w:rsidR="00583E1A">
        <w:rPr>
          <w:rStyle w:val="CharSectno"/>
        </w:rPr>
        <w:noBreakHyphen/>
      </w:r>
      <w:r w:rsidRPr="00583E1A">
        <w:rPr>
          <w:rStyle w:val="CharSectno"/>
        </w:rPr>
        <w:t>5</w:t>
      </w:r>
      <w:r w:rsidRPr="00583E1A">
        <w:t xml:space="preserve">  Realisation event</w:t>
      </w:r>
      <w:bookmarkEnd w:id="630"/>
    </w:p>
    <w:p w:rsidR="008F6326" w:rsidRPr="00583E1A" w:rsidRDefault="008F6326" w:rsidP="008F6326">
      <w:pPr>
        <w:pStyle w:val="subsection"/>
      </w:pPr>
      <w:r w:rsidRPr="00583E1A">
        <w:tab/>
      </w:r>
      <w:r w:rsidRPr="00583E1A">
        <w:tab/>
        <w:t xml:space="preserve">For a </w:t>
      </w:r>
      <w:r w:rsidR="00583E1A" w:rsidRPr="00583E1A">
        <w:rPr>
          <w:position w:val="6"/>
          <w:sz w:val="16"/>
        </w:rPr>
        <w:t>*</w:t>
      </w:r>
      <w:r w:rsidRPr="00583E1A">
        <w:t xml:space="preserve">CGT asset, a </w:t>
      </w:r>
      <w:r w:rsidRPr="00583E1A">
        <w:rPr>
          <w:b/>
          <w:i/>
        </w:rPr>
        <w:t>realisation event</w:t>
      </w:r>
      <w:r w:rsidRPr="00583E1A">
        <w:t xml:space="preserve"> is a </w:t>
      </w:r>
      <w:r w:rsidR="00583E1A" w:rsidRPr="00583E1A">
        <w:rPr>
          <w:position w:val="6"/>
          <w:sz w:val="16"/>
        </w:rPr>
        <w:t>*</w:t>
      </w:r>
      <w:r w:rsidRPr="00583E1A">
        <w:t>CGT event (except CGT event E4 and CGT event G1).</w:t>
      </w:r>
    </w:p>
    <w:p w:rsidR="008F6326" w:rsidRPr="00583E1A" w:rsidRDefault="008F6326" w:rsidP="008F6326">
      <w:pPr>
        <w:pStyle w:val="ActHead5"/>
      </w:pPr>
      <w:bookmarkStart w:id="631" w:name="_Toc338939705"/>
      <w:r w:rsidRPr="00583E1A">
        <w:rPr>
          <w:rStyle w:val="CharSectno"/>
        </w:rPr>
        <w:t>977</w:t>
      </w:r>
      <w:r w:rsidR="00583E1A">
        <w:rPr>
          <w:rStyle w:val="CharSectno"/>
        </w:rPr>
        <w:noBreakHyphen/>
      </w:r>
      <w:r w:rsidRPr="00583E1A">
        <w:rPr>
          <w:rStyle w:val="CharSectno"/>
        </w:rPr>
        <w:t>10</w:t>
      </w:r>
      <w:r w:rsidRPr="00583E1A">
        <w:t xml:space="preserve">  Loss realised for income tax purposes</w:t>
      </w:r>
      <w:bookmarkEnd w:id="631"/>
    </w:p>
    <w:p w:rsidR="008F6326" w:rsidRPr="00583E1A" w:rsidRDefault="008F6326" w:rsidP="008F6326">
      <w:pPr>
        <w:pStyle w:val="subsection"/>
      </w:pPr>
      <w:r w:rsidRPr="00583E1A">
        <w:tab/>
        <w:t>(1)</w:t>
      </w:r>
      <w:r w:rsidRPr="00583E1A">
        <w:tab/>
        <w:t xml:space="preserve">A loss is </w:t>
      </w:r>
      <w:r w:rsidRPr="00583E1A">
        <w:rPr>
          <w:b/>
          <w:i/>
        </w:rPr>
        <w:t>realised for income tax purposes</w:t>
      </w:r>
      <w:r w:rsidRPr="00583E1A">
        <w:rPr>
          <w:position w:val="6"/>
          <w:sz w:val="16"/>
        </w:rPr>
        <w:t xml:space="preserve"> </w:t>
      </w:r>
      <w:r w:rsidRPr="00583E1A">
        <w:t xml:space="preserve">by a </w:t>
      </w:r>
      <w:r w:rsidR="00583E1A" w:rsidRPr="00583E1A">
        <w:rPr>
          <w:position w:val="6"/>
          <w:sz w:val="16"/>
        </w:rPr>
        <w:t>*</w:t>
      </w:r>
      <w:r w:rsidRPr="00583E1A">
        <w:t xml:space="preserve">realisation event that happens to a </w:t>
      </w:r>
      <w:r w:rsidR="00583E1A" w:rsidRPr="00583E1A">
        <w:rPr>
          <w:position w:val="6"/>
          <w:sz w:val="16"/>
        </w:rPr>
        <w:t>*</w:t>
      </w:r>
      <w:r w:rsidRPr="00583E1A">
        <w:t xml:space="preserve">CGT asset if, and only if, an entity makes a </w:t>
      </w:r>
      <w:r w:rsidR="00583E1A" w:rsidRPr="00583E1A">
        <w:rPr>
          <w:position w:val="6"/>
          <w:sz w:val="16"/>
        </w:rPr>
        <w:t>*</w:t>
      </w:r>
      <w:r w:rsidRPr="00583E1A">
        <w:t>capital loss from the event. That capital loss is the loss realised by the event.</w:t>
      </w:r>
    </w:p>
    <w:p w:rsidR="008F6326" w:rsidRPr="00583E1A" w:rsidRDefault="008F6326" w:rsidP="008F6326">
      <w:pPr>
        <w:pStyle w:val="subsection"/>
      </w:pPr>
      <w:r w:rsidRPr="00583E1A">
        <w:tab/>
        <w:t>(2)</w:t>
      </w:r>
      <w:r w:rsidRPr="00583E1A">
        <w:tab/>
        <w:t xml:space="preserve">If a provision of this Act reduces the loss that would, apart from that provision, be </w:t>
      </w:r>
      <w:r w:rsidR="00583E1A" w:rsidRPr="00583E1A">
        <w:rPr>
          <w:position w:val="6"/>
          <w:sz w:val="16"/>
        </w:rPr>
        <w:t>*</w:t>
      </w:r>
      <w:r w:rsidRPr="00583E1A">
        <w:t xml:space="preserve">realised for income tax purposes by the event, the </w:t>
      </w:r>
      <w:r w:rsidR="00583E1A" w:rsidRPr="00583E1A">
        <w:rPr>
          <w:position w:val="6"/>
          <w:sz w:val="16"/>
        </w:rPr>
        <w:t>*</w:t>
      </w:r>
      <w:r w:rsidRPr="00583E1A">
        <w:t>capital loss is reduced by the same amount.</w:t>
      </w:r>
    </w:p>
    <w:p w:rsidR="008F6326" w:rsidRPr="00583E1A" w:rsidRDefault="008F6326" w:rsidP="008F6326">
      <w:pPr>
        <w:pStyle w:val="ActHead5"/>
      </w:pPr>
      <w:bookmarkStart w:id="632" w:name="_Toc338939706"/>
      <w:r w:rsidRPr="00583E1A">
        <w:rPr>
          <w:rStyle w:val="CharSectno"/>
        </w:rPr>
        <w:lastRenderedPageBreak/>
        <w:t>977</w:t>
      </w:r>
      <w:r w:rsidR="00583E1A">
        <w:rPr>
          <w:rStyle w:val="CharSectno"/>
        </w:rPr>
        <w:noBreakHyphen/>
      </w:r>
      <w:r w:rsidRPr="00583E1A">
        <w:rPr>
          <w:rStyle w:val="CharSectno"/>
        </w:rPr>
        <w:t>15</w:t>
      </w:r>
      <w:r w:rsidRPr="00583E1A">
        <w:t xml:space="preserve">  Gain realised for income tax purposes</w:t>
      </w:r>
      <w:bookmarkEnd w:id="632"/>
    </w:p>
    <w:p w:rsidR="008F6326" w:rsidRPr="00583E1A" w:rsidRDefault="008F6326" w:rsidP="008F6326">
      <w:pPr>
        <w:pStyle w:val="subsection"/>
      </w:pPr>
      <w:r w:rsidRPr="00583E1A">
        <w:tab/>
        <w:t>(1)</w:t>
      </w:r>
      <w:r w:rsidRPr="00583E1A">
        <w:tab/>
        <w:t xml:space="preserve">A gain is </w:t>
      </w:r>
      <w:r w:rsidRPr="00583E1A">
        <w:rPr>
          <w:b/>
          <w:i/>
        </w:rPr>
        <w:t>realised for income tax purposes</w:t>
      </w:r>
      <w:r w:rsidRPr="00583E1A">
        <w:rPr>
          <w:position w:val="6"/>
          <w:sz w:val="16"/>
        </w:rPr>
        <w:t xml:space="preserve"> </w:t>
      </w:r>
      <w:r w:rsidRPr="00583E1A">
        <w:t xml:space="preserve">by a </w:t>
      </w:r>
      <w:r w:rsidR="00583E1A" w:rsidRPr="00583E1A">
        <w:rPr>
          <w:position w:val="6"/>
          <w:sz w:val="16"/>
        </w:rPr>
        <w:t>*</w:t>
      </w:r>
      <w:r w:rsidRPr="00583E1A">
        <w:t xml:space="preserve">realisation event that happens to a </w:t>
      </w:r>
      <w:r w:rsidR="00583E1A" w:rsidRPr="00583E1A">
        <w:rPr>
          <w:position w:val="6"/>
          <w:sz w:val="16"/>
        </w:rPr>
        <w:t>*</w:t>
      </w:r>
      <w:r w:rsidRPr="00583E1A">
        <w:t xml:space="preserve">CGT asset if, and only if, an entity makes a </w:t>
      </w:r>
      <w:r w:rsidR="00583E1A" w:rsidRPr="00583E1A">
        <w:rPr>
          <w:position w:val="6"/>
          <w:sz w:val="16"/>
        </w:rPr>
        <w:t>*</w:t>
      </w:r>
      <w:r w:rsidRPr="00583E1A">
        <w:t>capital gain from the event. That capital gain is the gain that is realised by the event.</w:t>
      </w:r>
    </w:p>
    <w:p w:rsidR="008F6326" w:rsidRPr="00583E1A" w:rsidRDefault="008F6326" w:rsidP="008F6326">
      <w:pPr>
        <w:pStyle w:val="subsection"/>
      </w:pPr>
      <w:r w:rsidRPr="00583E1A">
        <w:tab/>
        <w:t>(2)</w:t>
      </w:r>
      <w:r w:rsidRPr="00583E1A">
        <w:tab/>
        <w:t xml:space="preserve">If a provision of this Act reduces the gain that would, apart from that provision, be </w:t>
      </w:r>
      <w:r w:rsidR="00583E1A" w:rsidRPr="00583E1A">
        <w:rPr>
          <w:position w:val="6"/>
          <w:sz w:val="16"/>
        </w:rPr>
        <w:t>*</w:t>
      </w:r>
      <w:r w:rsidRPr="00583E1A">
        <w:t xml:space="preserve">realised for income tax purposes by the event, the </w:t>
      </w:r>
      <w:r w:rsidR="00583E1A" w:rsidRPr="00583E1A">
        <w:rPr>
          <w:position w:val="6"/>
          <w:sz w:val="16"/>
        </w:rPr>
        <w:t>*</w:t>
      </w:r>
      <w:r w:rsidRPr="00583E1A">
        <w:t>capital gain is reduced by the same amount.</w:t>
      </w:r>
    </w:p>
    <w:p w:rsidR="008F6326" w:rsidRPr="00583E1A" w:rsidRDefault="008F6326" w:rsidP="008F6326">
      <w:pPr>
        <w:pStyle w:val="ActHead4"/>
      </w:pPr>
      <w:bookmarkStart w:id="633" w:name="_Toc338939707"/>
      <w:r w:rsidRPr="00583E1A">
        <w:t>Trading stock</w:t>
      </w:r>
      <w:bookmarkEnd w:id="633"/>
    </w:p>
    <w:p w:rsidR="008F6326" w:rsidRPr="00583E1A" w:rsidRDefault="008F6326" w:rsidP="008F6326">
      <w:pPr>
        <w:pStyle w:val="ActHead5"/>
      </w:pPr>
      <w:bookmarkStart w:id="634" w:name="_Toc338939708"/>
      <w:r w:rsidRPr="00583E1A">
        <w:rPr>
          <w:rStyle w:val="CharSectno"/>
        </w:rPr>
        <w:t>977</w:t>
      </w:r>
      <w:r w:rsidR="00583E1A">
        <w:rPr>
          <w:rStyle w:val="CharSectno"/>
        </w:rPr>
        <w:noBreakHyphen/>
      </w:r>
      <w:r w:rsidRPr="00583E1A">
        <w:rPr>
          <w:rStyle w:val="CharSectno"/>
        </w:rPr>
        <w:t>20</w:t>
      </w:r>
      <w:r w:rsidRPr="00583E1A">
        <w:t xml:space="preserve">  Realisation event</w:t>
      </w:r>
      <w:bookmarkEnd w:id="634"/>
    </w:p>
    <w:p w:rsidR="008F6326" w:rsidRPr="00583E1A" w:rsidRDefault="008F6326" w:rsidP="008F6326">
      <w:pPr>
        <w:pStyle w:val="subsection"/>
      </w:pPr>
      <w:r w:rsidRPr="00583E1A">
        <w:tab/>
      </w:r>
      <w:r w:rsidRPr="00583E1A">
        <w:tab/>
        <w:t xml:space="preserve">For an item of </w:t>
      </w:r>
      <w:r w:rsidR="00583E1A" w:rsidRPr="00583E1A">
        <w:rPr>
          <w:position w:val="6"/>
          <w:sz w:val="16"/>
        </w:rPr>
        <w:t>*</w:t>
      </w:r>
      <w:r w:rsidRPr="00583E1A">
        <w:t xml:space="preserve">trading stock, a </w:t>
      </w:r>
      <w:r w:rsidRPr="00583E1A">
        <w:rPr>
          <w:b/>
          <w:i/>
        </w:rPr>
        <w:t>realisation event</w:t>
      </w:r>
      <w:r w:rsidRPr="00583E1A">
        <w:t xml:space="preserve"> is a disposal of the item or the ending of an income year.</w:t>
      </w:r>
    </w:p>
    <w:p w:rsidR="008F6326" w:rsidRPr="00583E1A" w:rsidRDefault="008F6326" w:rsidP="008F6326">
      <w:pPr>
        <w:pStyle w:val="ActHead5"/>
      </w:pPr>
      <w:bookmarkStart w:id="635" w:name="_Toc338939709"/>
      <w:r w:rsidRPr="00583E1A">
        <w:rPr>
          <w:rStyle w:val="CharSectno"/>
        </w:rPr>
        <w:t>977</w:t>
      </w:r>
      <w:r w:rsidR="00583E1A">
        <w:rPr>
          <w:rStyle w:val="CharSectno"/>
        </w:rPr>
        <w:noBreakHyphen/>
      </w:r>
      <w:r w:rsidRPr="00583E1A">
        <w:rPr>
          <w:rStyle w:val="CharSectno"/>
        </w:rPr>
        <w:t>25</w:t>
      </w:r>
      <w:r w:rsidRPr="00583E1A">
        <w:t xml:space="preserve">  Disposal of trading stock: loss realised for income tax purposes</w:t>
      </w:r>
      <w:bookmarkEnd w:id="635"/>
    </w:p>
    <w:p w:rsidR="008F6326" w:rsidRPr="00583E1A" w:rsidRDefault="008F6326" w:rsidP="008F6326">
      <w:pPr>
        <w:pStyle w:val="subsection"/>
      </w:pPr>
      <w:r w:rsidRPr="00583E1A">
        <w:tab/>
        <w:t>(1)</w:t>
      </w:r>
      <w:r w:rsidRPr="00583E1A">
        <w:tab/>
        <w:t xml:space="preserve">A loss is </w:t>
      </w:r>
      <w:r w:rsidRPr="00583E1A">
        <w:rPr>
          <w:b/>
          <w:i/>
        </w:rPr>
        <w:t>realised for income tax purposes</w:t>
      </w:r>
      <w:r w:rsidRPr="00583E1A">
        <w:rPr>
          <w:position w:val="6"/>
          <w:sz w:val="16"/>
        </w:rPr>
        <w:t xml:space="preserve"> </w:t>
      </w:r>
      <w:r w:rsidRPr="00583E1A">
        <w:t xml:space="preserve">by a </w:t>
      </w:r>
      <w:r w:rsidR="00583E1A" w:rsidRPr="00583E1A">
        <w:rPr>
          <w:position w:val="6"/>
          <w:sz w:val="16"/>
        </w:rPr>
        <w:t>*</w:t>
      </w:r>
      <w:r w:rsidRPr="00583E1A">
        <w:t xml:space="preserve">realisation event consisting of disposal of an item of </w:t>
      </w:r>
      <w:r w:rsidR="00583E1A" w:rsidRPr="00583E1A">
        <w:rPr>
          <w:position w:val="6"/>
          <w:sz w:val="16"/>
        </w:rPr>
        <w:t>*</w:t>
      </w:r>
      <w:r w:rsidRPr="00583E1A">
        <w:t>trading stock if, and only if:</w:t>
      </w:r>
    </w:p>
    <w:p w:rsidR="008F6326" w:rsidRPr="00583E1A" w:rsidRDefault="008F6326" w:rsidP="008F6326">
      <w:pPr>
        <w:pStyle w:val="paragraph"/>
      </w:pPr>
      <w:r w:rsidRPr="00583E1A">
        <w:tab/>
        <w:t>(a)</w:t>
      </w:r>
      <w:r w:rsidRPr="00583E1A">
        <w:tab/>
        <w:t xml:space="preserve">the item is disposed of, for less than its </w:t>
      </w:r>
      <w:r w:rsidR="00583E1A" w:rsidRPr="00583E1A">
        <w:rPr>
          <w:position w:val="6"/>
          <w:sz w:val="16"/>
        </w:rPr>
        <w:t>*</w:t>
      </w:r>
      <w:r w:rsidRPr="00583E1A">
        <w:t>cost, in the same income year in which it became part of the trading stock on hand of the entity disposing of it; or</w:t>
      </w:r>
    </w:p>
    <w:p w:rsidR="008F6326" w:rsidRPr="00583E1A" w:rsidRDefault="008F6326" w:rsidP="008F6326">
      <w:pPr>
        <w:pStyle w:val="paragraph"/>
      </w:pPr>
      <w:r w:rsidRPr="00583E1A">
        <w:tab/>
        <w:t>(b)</w:t>
      </w:r>
      <w:r w:rsidRPr="00583E1A">
        <w:tab/>
        <w:t xml:space="preserve">the item is disposed of in a later income year for less than its </w:t>
      </w:r>
      <w:r w:rsidR="00583E1A" w:rsidRPr="00583E1A">
        <w:rPr>
          <w:position w:val="6"/>
          <w:sz w:val="16"/>
        </w:rPr>
        <w:t>*</w:t>
      </w:r>
      <w:r w:rsidRPr="00583E1A">
        <w:t>value as trading stock of the entity on hand at the start of the later income year.</w:t>
      </w:r>
    </w:p>
    <w:p w:rsidR="008F6326" w:rsidRPr="00583E1A" w:rsidRDefault="008F6326" w:rsidP="008F6326">
      <w:pPr>
        <w:pStyle w:val="subsection"/>
      </w:pPr>
      <w:r w:rsidRPr="00583E1A">
        <w:tab/>
        <w:t>(2)</w:t>
      </w:r>
      <w:r w:rsidRPr="00583E1A">
        <w:tab/>
        <w:t>The loss that is realised for income tax purposes by the event is the difference between the amount included in the entity’s assessable income because of the disposal and:</w:t>
      </w:r>
    </w:p>
    <w:p w:rsidR="008F6326" w:rsidRPr="00583E1A" w:rsidRDefault="008F6326" w:rsidP="008F6326">
      <w:pPr>
        <w:pStyle w:val="paragraph"/>
      </w:pPr>
      <w:r w:rsidRPr="00583E1A">
        <w:tab/>
        <w:t>(a)</w:t>
      </w:r>
      <w:r w:rsidRPr="00583E1A">
        <w:tab/>
        <w:t xml:space="preserve">the amount that the entity can deduct for the item’s </w:t>
      </w:r>
      <w:r w:rsidR="00583E1A" w:rsidRPr="00583E1A">
        <w:rPr>
          <w:position w:val="6"/>
          <w:sz w:val="16"/>
        </w:rPr>
        <w:t>*</w:t>
      </w:r>
      <w:r w:rsidRPr="00583E1A">
        <w:t>cost; or</w:t>
      </w:r>
    </w:p>
    <w:p w:rsidR="008F6326" w:rsidRPr="00583E1A" w:rsidRDefault="008F6326" w:rsidP="008F6326">
      <w:pPr>
        <w:pStyle w:val="paragraph"/>
      </w:pPr>
      <w:r w:rsidRPr="00583E1A">
        <w:tab/>
        <w:t>(b)</w:t>
      </w:r>
      <w:r w:rsidRPr="00583E1A">
        <w:tab/>
        <w:t xml:space="preserve">the item’s </w:t>
      </w:r>
      <w:r w:rsidR="00583E1A" w:rsidRPr="00583E1A">
        <w:rPr>
          <w:position w:val="6"/>
          <w:sz w:val="16"/>
        </w:rPr>
        <w:t>*</w:t>
      </w:r>
      <w:r w:rsidRPr="00583E1A">
        <w:t xml:space="preserve">value as </w:t>
      </w:r>
      <w:r w:rsidR="00583E1A" w:rsidRPr="00583E1A">
        <w:rPr>
          <w:position w:val="6"/>
          <w:sz w:val="16"/>
        </w:rPr>
        <w:t>*</w:t>
      </w:r>
      <w:r w:rsidRPr="00583E1A">
        <w:t>trading stock on hand at the start of the later income year;</w:t>
      </w:r>
    </w:p>
    <w:p w:rsidR="008F6326" w:rsidRPr="00583E1A" w:rsidRDefault="008F6326" w:rsidP="008F6326">
      <w:pPr>
        <w:pStyle w:val="subsection2"/>
      </w:pPr>
      <w:r w:rsidRPr="00583E1A">
        <w:t>as appropriate.</w:t>
      </w:r>
    </w:p>
    <w:p w:rsidR="008F6326" w:rsidRPr="00583E1A" w:rsidRDefault="008F6326" w:rsidP="008F6326">
      <w:pPr>
        <w:pStyle w:val="subsection"/>
      </w:pPr>
      <w:r w:rsidRPr="00583E1A">
        <w:tab/>
        <w:t>(3)</w:t>
      </w:r>
      <w:r w:rsidRPr="00583E1A">
        <w:tab/>
        <w:t xml:space="preserve">If a provision of this Act reduces the loss that would, apart from that provision, be </w:t>
      </w:r>
      <w:r w:rsidR="00583E1A" w:rsidRPr="00583E1A">
        <w:rPr>
          <w:position w:val="6"/>
          <w:sz w:val="16"/>
        </w:rPr>
        <w:t>*</w:t>
      </w:r>
      <w:r w:rsidRPr="00583E1A">
        <w:t>realised for income tax purposes by the event:</w:t>
      </w:r>
    </w:p>
    <w:p w:rsidR="008F6326" w:rsidRPr="00583E1A" w:rsidRDefault="008F6326" w:rsidP="008F6326">
      <w:pPr>
        <w:pStyle w:val="paragraph"/>
      </w:pPr>
      <w:r w:rsidRPr="00583E1A">
        <w:lastRenderedPageBreak/>
        <w:tab/>
        <w:t>(a)</w:t>
      </w:r>
      <w:r w:rsidRPr="00583E1A">
        <w:tab/>
        <w:t xml:space="preserve">the amount that the entity can deduct for the item’s </w:t>
      </w:r>
      <w:r w:rsidR="00583E1A" w:rsidRPr="00583E1A">
        <w:rPr>
          <w:position w:val="6"/>
          <w:sz w:val="16"/>
        </w:rPr>
        <w:t>*</w:t>
      </w:r>
      <w:r w:rsidRPr="00583E1A">
        <w:t>cost; or</w:t>
      </w:r>
    </w:p>
    <w:p w:rsidR="008F6326" w:rsidRPr="00583E1A" w:rsidRDefault="008F6326" w:rsidP="008F6326">
      <w:pPr>
        <w:pStyle w:val="paragraph"/>
      </w:pPr>
      <w:r w:rsidRPr="00583E1A">
        <w:tab/>
        <w:t>(b)</w:t>
      </w:r>
      <w:r w:rsidRPr="00583E1A">
        <w:tab/>
        <w:t xml:space="preserve">the item’s </w:t>
      </w:r>
      <w:r w:rsidR="00583E1A" w:rsidRPr="00583E1A">
        <w:rPr>
          <w:position w:val="6"/>
          <w:sz w:val="16"/>
        </w:rPr>
        <w:t>*</w:t>
      </w:r>
      <w:r w:rsidRPr="00583E1A">
        <w:t xml:space="preserve">value as </w:t>
      </w:r>
      <w:r w:rsidR="00C40443" w:rsidRPr="004C09C4">
        <w:rPr>
          <w:position w:val="6"/>
          <w:sz w:val="16"/>
        </w:rPr>
        <w:t>*</w:t>
      </w:r>
      <w:r w:rsidR="00C40443" w:rsidRPr="004C09C4">
        <w:t>trading stock</w:t>
      </w:r>
      <w:r w:rsidRPr="00583E1A">
        <w:t xml:space="preserve"> on hand at the start of the later income year;</w:t>
      </w:r>
    </w:p>
    <w:p w:rsidR="008F6326" w:rsidRPr="00583E1A" w:rsidRDefault="008F6326" w:rsidP="008F6326">
      <w:pPr>
        <w:pStyle w:val="subsection2"/>
      </w:pPr>
      <w:r w:rsidRPr="00583E1A">
        <w:t>as appropriate, is reduced by the same amount.</w:t>
      </w:r>
    </w:p>
    <w:p w:rsidR="008F6326" w:rsidRPr="00583E1A" w:rsidRDefault="008F6326" w:rsidP="008F6326">
      <w:pPr>
        <w:pStyle w:val="ActHead5"/>
      </w:pPr>
      <w:bookmarkStart w:id="636" w:name="_Toc338939710"/>
      <w:r w:rsidRPr="00583E1A">
        <w:rPr>
          <w:rStyle w:val="CharSectno"/>
        </w:rPr>
        <w:t>977</w:t>
      </w:r>
      <w:r w:rsidR="00583E1A">
        <w:rPr>
          <w:rStyle w:val="CharSectno"/>
        </w:rPr>
        <w:noBreakHyphen/>
      </w:r>
      <w:r w:rsidRPr="00583E1A">
        <w:rPr>
          <w:rStyle w:val="CharSectno"/>
        </w:rPr>
        <w:t>30</w:t>
      </w:r>
      <w:r w:rsidRPr="00583E1A">
        <w:t xml:space="preserve">  Ending of an income year: loss realised for income tax purposes</w:t>
      </w:r>
      <w:bookmarkEnd w:id="636"/>
    </w:p>
    <w:p w:rsidR="008F6326" w:rsidRPr="00583E1A" w:rsidRDefault="008F6326" w:rsidP="008F6326">
      <w:pPr>
        <w:pStyle w:val="subsection"/>
      </w:pPr>
      <w:r w:rsidRPr="00583E1A">
        <w:tab/>
        <w:t>(1)</w:t>
      </w:r>
      <w:r w:rsidRPr="00583E1A">
        <w:tab/>
        <w:t xml:space="preserve">A loss is </w:t>
      </w:r>
      <w:r w:rsidRPr="00583E1A">
        <w:rPr>
          <w:b/>
          <w:i/>
        </w:rPr>
        <w:t>realised for income tax purposes</w:t>
      </w:r>
      <w:r w:rsidRPr="00583E1A">
        <w:rPr>
          <w:position w:val="6"/>
          <w:sz w:val="16"/>
        </w:rPr>
        <w:t xml:space="preserve"> </w:t>
      </w:r>
      <w:r w:rsidRPr="00583E1A">
        <w:t xml:space="preserve">by a </w:t>
      </w:r>
      <w:r w:rsidR="00583E1A" w:rsidRPr="00583E1A">
        <w:rPr>
          <w:position w:val="6"/>
          <w:sz w:val="16"/>
        </w:rPr>
        <w:t>*</w:t>
      </w:r>
      <w:r w:rsidRPr="00583E1A">
        <w:t xml:space="preserve">realisation event that happens to an item of </w:t>
      </w:r>
      <w:r w:rsidR="00583E1A" w:rsidRPr="00583E1A">
        <w:rPr>
          <w:position w:val="6"/>
          <w:sz w:val="16"/>
        </w:rPr>
        <w:t>*</w:t>
      </w:r>
      <w:r w:rsidRPr="00583E1A">
        <w:t>trading stock</w:t>
      </w:r>
      <w:r w:rsidRPr="00583E1A">
        <w:rPr>
          <w:b/>
          <w:i/>
        </w:rPr>
        <w:t xml:space="preserve"> </w:t>
      </w:r>
      <w:r w:rsidRPr="00583E1A">
        <w:t xml:space="preserve">and consists of the ending of an income year if, and only if, the </w:t>
      </w:r>
      <w:r w:rsidR="00583E1A" w:rsidRPr="00583E1A">
        <w:rPr>
          <w:position w:val="6"/>
          <w:sz w:val="16"/>
        </w:rPr>
        <w:t>*</w:t>
      </w:r>
      <w:r w:rsidRPr="00583E1A">
        <w:t>value of the item, as trading stock of an entity on hand at the end of that income year, is less than:</w:t>
      </w:r>
    </w:p>
    <w:p w:rsidR="008F6326" w:rsidRPr="00583E1A" w:rsidRDefault="008F6326" w:rsidP="008F6326">
      <w:pPr>
        <w:pStyle w:val="paragraph"/>
      </w:pPr>
      <w:r w:rsidRPr="00583E1A">
        <w:tab/>
        <w:t>(a)</w:t>
      </w:r>
      <w:r w:rsidRPr="00583E1A">
        <w:tab/>
        <w:t xml:space="preserve">its </w:t>
      </w:r>
      <w:r w:rsidR="00583E1A" w:rsidRPr="00583E1A">
        <w:rPr>
          <w:position w:val="6"/>
          <w:sz w:val="16"/>
        </w:rPr>
        <w:t>*</w:t>
      </w:r>
      <w:r w:rsidRPr="00583E1A">
        <w:t>cost, if it became part of the trading stock on hand of the entity during that income year; or</w:t>
      </w:r>
    </w:p>
    <w:p w:rsidR="008F6326" w:rsidRPr="00583E1A" w:rsidRDefault="008F6326" w:rsidP="008F6326">
      <w:pPr>
        <w:pStyle w:val="paragraph"/>
      </w:pPr>
      <w:r w:rsidRPr="00583E1A">
        <w:tab/>
        <w:t>(b)</w:t>
      </w:r>
      <w:r w:rsidRPr="00583E1A">
        <w:tab/>
        <w:t>otherwise, its value as trading stock of the entity on hand at the start of that income year.</w:t>
      </w:r>
    </w:p>
    <w:p w:rsidR="008F6326" w:rsidRPr="00583E1A" w:rsidRDefault="008F6326" w:rsidP="008F6326">
      <w:pPr>
        <w:pStyle w:val="subsection"/>
      </w:pPr>
      <w:r w:rsidRPr="00583E1A">
        <w:tab/>
        <w:t>(2)</w:t>
      </w:r>
      <w:r w:rsidRPr="00583E1A">
        <w:tab/>
        <w:t xml:space="preserve">The loss that is realised for income tax purposes by the event is the difference between the </w:t>
      </w:r>
      <w:r w:rsidR="00583E1A" w:rsidRPr="00583E1A">
        <w:rPr>
          <w:position w:val="6"/>
          <w:sz w:val="16"/>
        </w:rPr>
        <w:t>*</w:t>
      </w:r>
      <w:r w:rsidRPr="00583E1A">
        <w:t xml:space="preserve">value of the item, as </w:t>
      </w:r>
      <w:r w:rsidR="00583E1A" w:rsidRPr="00583E1A">
        <w:rPr>
          <w:position w:val="6"/>
          <w:sz w:val="16"/>
        </w:rPr>
        <w:t>*</w:t>
      </w:r>
      <w:r w:rsidRPr="00583E1A">
        <w:t>trading stock of the entity on hand at the end of that income year and:</w:t>
      </w:r>
    </w:p>
    <w:p w:rsidR="008F6326" w:rsidRPr="00583E1A" w:rsidRDefault="008F6326" w:rsidP="008F6326">
      <w:pPr>
        <w:pStyle w:val="paragraph"/>
      </w:pPr>
      <w:r w:rsidRPr="00583E1A">
        <w:tab/>
        <w:t>(a)</w:t>
      </w:r>
      <w:r w:rsidRPr="00583E1A">
        <w:tab/>
        <w:t xml:space="preserve">the amount that the entity can deduct for the item’s </w:t>
      </w:r>
      <w:r w:rsidR="00583E1A" w:rsidRPr="00583E1A">
        <w:rPr>
          <w:position w:val="6"/>
          <w:sz w:val="16"/>
        </w:rPr>
        <w:t>*</w:t>
      </w:r>
      <w:r w:rsidRPr="00583E1A">
        <w:t>cost; or</w:t>
      </w:r>
    </w:p>
    <w:p w:rsidR="008F6326" w:rsidRPr="00583E1A" w:rsidRDefault="008F6326" w:rsidP="008F6326">
      <w:pPr>
        <w:pStyle w:val="paragraph"/>
      </w:pPr>
      <w:r w:rsidRPr="00583E1A">
        <w:tab/>
        <w:t>(b)</w:t>
      </w:r>
      <w:r w:rsidRPr="00583E1A">
        <w:tab/>
        <w:t xml:space="preserve">the item’s </w:t>
      </w:r>
      <w:r w:rsidR="00583E1A" w:rsidRPr="00583E1A">
        <w:rPr>
          <w:position w:val="6"/>
          <w:sz w:val="16"/>
        </w:rPr>
        <w:t>*</w:t>
      </w:r>
      <w:r w:rsidRPr="00583E1A">
        <w:t>value as trading stock on hand at the start of the income year;</w:t>
      </w:r>
    </w:p>
    <w:p w:rsidR="008F6326" w:rsidRPr="00583E1A" w:rsidRDefault="008F6326" w:rsidP="008F6326">
      <w:pPr>
        <w:pStyle w:val="subsection2"/>
      </w:pPr>
      <w:r w:rsidRPr="00583E1A">
        <w:t>as appropriate.</w:t>
      </w:r>
    </w:p>
    <w:p w:rsidR="008F6326" w:rsidRPr="00583E1A" w:rsidRDefault="008F6326" w:rsidP="008F6326">
      <w:pPr>
        <w:pStyle w:val="subsection"/>
      </w:pPr>
      <w:r w:rsidRPr="00583E1A">
        <w:tab/>
        <w:t>(3)</w:t>
      </w:r>
      <w:r w:rsidRPr="00583E1A">
        <w:tab/>
        <w:t xml:space="preserve">If a provision of this Act reduces the loss that would, apart from that provision, be </w:t>
      </w:r>
      <w:r w:rsidR="00583E1A" w:rsidRPr="00583E1A">
        <w:rPr>
          <w:position w:val="6"/>
          <w:sz w:val="16"/>
        </w:rPr>
        <w:t>*</w:t>
      </w:r>
      <w:r w:rsidRPr="00583E1A">
        <w:t>realised for income tax purposes by the event:</w:t>
      </w:r>
    </w:p>
    <w:p w:rsidR="008F6326" w:rsidRPr="00583E1A" w:rsidRDefault="008F6326" w:rsidP="008F6326">
      <w:pPr>
        <w:pStyle w:val="paragraph"/>
      </w:pPr>
      <w:r w:rsidRPr="00583E1A">
        <w:tab/>
        <w:t>(a)</w:t>
      </w:r>
      <w:r w:rsidRPr="00583E1A">
        <w:tab/>
        <w:t xml:space="preserve">the amount that the entity can deduct for the item’s </w:t>
      </w:r>
      <w:r w:rsidR="00583E1A" w:rsidRPr="00583E1A">
        <w:rPr>
          <w:position w:val="6"/>
          <w:sz w:val="16"/>
        </w:rPr>
        <w:t>*</w:t>
      </w:r>
      <w:r w:rsidRPr="00583E1A">
        <w:t>cost; or</w:t>
      </w:r>
    </w:p>
    <w:p w:rsidR="008F6326" w:rsidRPr="00583E1A" w:rsidRDefault="008F6326" w:rsidP="008F6326">
      <w:pPr>
        <w:pStyle w:val="paragraph"/>
      </w:pPr>
      <w:r w:rsidRPr="00583E1A">
        <w:tab/>
        <w:t>(b)</w:t>
      </w:r>
      <w:r w:rsidRPr="00583E1A">
        <w:tab/>
        <w:t xml:space="preserve">the item’s </w:t>
      </w:r>
      <w:r w:rsidR="00583E1A" w:rsidRPr="00583E1A">
        <w:rPr>
          <w:position w:val="6"/>
          <w:sz w:val="16"/>
        </w:rPr>
        <w:t>*</w:t>
      </w:r>
      <w:r w:rsidRPr="00583E1A">
        <w:t xml:space="preserve">value as </w:t>
      </w:r>
      <w:r w:rsidR="00583E1A" w:rsidRPr="00583E1A">
        <w:rPr>
          <w:position w:val="6"/>
          <w:sz w:val="16"/>
        </w:rPr>
        <w:t>*</w:t>
      </w:r>
      <w:r w:rsidRPr="00583E1A">
        <w:t>trading stock on hand at the start of the income year;</w:t>
      </w:r>
    </w:p>
    <w:p w:rsidR="008F6326" w:rsidRPr="00583E1A" w:rsidRDefault="008F6326" w:rsidP="008F6326">
      <w:pPr>
        <w:pStyle w:val="subsection2"/>
      </w:pPr>
      <w:r w:rsidRPr="00583E1A">
        <w:t>as appropriate, is reduced by the same amount.</w:t>
      </w:r>
    </w:p>
    <w:p w:rsidR="008F6326" w:rsidRPr="00583E1A" w:rsidRDefault="008F6326" w:rsidP="008F6326">
      <w:pPr>
        <w:pStyle w:val="ActHead5"/>
      </w:pPr>
      <w:bookmarkStart w:id="637" w:name="_Toc338939711"/>
      <w:r w:rsidRPr="00583E1A">
        <w:rPr>
          <w:rStyle w:val="CharSectno"/>
        </w:rPr>
        <w:t>977</w:t>
      </w:r>
      <w:r w:rsidR="00583E1A">
        <w:rPr>
          <w:rStyle w:val="CharSectno"/>
        </w:rPr>
        <w:noBreakHyphen/>
      </w:r>
      <w:r w:rsidRPr="00583E1A">
        <w:rPr>
          <w:rStyle w:val="CharSectno"/>
        </w:rPr>
        <w:t>35</w:t>
      </w:r>
      <w:r w:rsidRPr="00583E1A">
        <w:t xml:space="preserve">  Disposal of trading stock: gain realised for income tax purposes</w:t>
      </w:r>
      <w:bookmarkEnd w:id="637"/>
    </w:p>
    <w:p w:rsidR="008F6326" w:rsidRPr="00583E1A" w:rsidRDefault="008F6326" w:rsidP="008F6326">
      <w:pPr>
        <w:pStyle w:val="subsection"/>
      </w:pPr>
      <w:r w:rsidRPr="00583E1A">
        <w:tab/>
        <w:t>(1)</w:t>
      </w:r>
      <w:r w:rsidRPr="00583E1A">
        <w:tab/>
        <w:t xml:space="preserve">A gain is </w:t>
      </w:r>
      <w:r w:rsidRPr="00583E1A">
        <w:rPr>
          <w:b/>
          <w:i/>
        </w:rPr>
        <w:t>realised for income tax purposes</w:t>
      </w:r>
      <w:r w:rsidRPr="00583E1A">
        <w:t xml:space="preserve"> by a </w:t>
      </w:r>
      <w:r w:rsidR="00583E1A" w:rsidRPr="00583E1A">
        <w:rPr>
          <w:position w:val="6"/>
          <w:sz w:val="16"/>
        </w:rPr>
        <w:t>*</w:t>
      </w:r>
      <w:r w:rsidRPr="00583E1A">
        <w:t xml:space="preserve">realisation event consisting of disposal of an item of </w:t>
      </w:r>
      <w:r w:rsidR="00583E1A" w:rsidRPr="00583E1A">
        <w:rPr>
          <w:position w:val="6"/>
          <w:sz w:val="16"/>
        </w:rPr>
        <w:t>*</w:t>
      </w:r>
      <w:r w:rsidRPr="00583E1A">
        <w:t>trading stock if, and only if:</w:t>
      </w:r>
    </w:p>
    <w:p w:rsidR="008F6326" w:rsidRPr="00583E1A" w:rsidRDefault="008F6326" w:rsidP="008F6326">
      <w:pPr>
        <w:pStyle w:val="paragraph"/>
      </w:pPr>
      <w:r w:rsidRPr="00583E1A">
        <w:lastRenderedPageBreak/>
        <w:tab/>
        <w:t>(a)</w:t>
      </w:r>
      <w:r w:rsidRPr="00583E1A">
        <w:tab/>
        <w:t xml:space="preserve">the item is disposed of, for more than its </w:t>
      </w:r>
      <w:r w:rsidR="00583E1A" w:rsidRPr="00583E1A">
        <w:rPr>
          <w:position w:val="6"/>
          <w:sz w:val="16"/>
        </w:rPr>
        <w:t>*</w:t>
      </w:r>
      <w:r w:rsidRPr="00583E1A">
        <w:t>cost, in the same income year in which it became part of the trading stock on hand of the entity disposing of it; or</w:t>
      </w:r>
    </w:p>
    <w:p w:rsidR="008F6326" w:rsidRPr="00583E1A" w:rsidRDefault="008F6326" w:rsidP="008F6326">
      <w:pPr>
        <w:pStyle w:val="paragraph"/>
      </w:pPr>
      <w:r w:rsidRPr="00583E1A">
        <w:tab/>
        <w:t>(b)</w:t>
      </w:r>
      <w:r w:rsidRPr="00583E1A">
        <w:tab/>
        <w:t xml:space="preserve">the item is disposed of in a later income year for more than its </w:t>
      </w:r>
      <w:r w:rsidR="00583E1A" w:rsidRPr="00583E1A">
        <w:rPr>
          <w:position w:val="6"/>
          <w:sz w:val="16"/>
        </w:rPr>
        <w:t>*</w:t>
      </w:r>
      <w:r w:rsidRPr="00583E1A">
        <w:t xml:space="preserve">value as </w:t>
      </w:r>
      <w:r w:rsidR="00A424FC" w:rsidRPr="004C09C4">
        <w:t>trading stock</w:t>
      </w:r>
      <w:r w:rsidRPr="00583E1A">
        <w:t xml:space="preserve"> of the entity on hand at the start of the later income year.</w:t>
      </w:r>
    </w:p>
    <w:p w:rsidR="008F6326" w:rsidRPr="00583E1A" w:rsidRDefault="008F6326" w:rsidP="008F6326">
      <w:pPr>
        <w:pStyle w:val="subsection"/>
      </w:pPr>
      <w:r w:rsidRPr="00583E1A">
        <w:tab/>
        <w:t>(2)</w:t>
      </w:r>
      <w:r w:rsidRPr="00583E1A">
        <w:tab/>
        <w:t>The gain that is realised for income tax purposes by the event is the difference between the amount included in the entity’s assessable income because of the disposal and:</w:t>
      </w:r>
    </w:p>
    <w:p w:rsidR="008F6326" w:rsidRPr="00583E1A" w:rsidRDefault="008F6326" w:rsidP="008F6326">
      <w:pPr>
        <w:pStyle w:val="paragraph"/>
      </w:pPr>
      <w:r w:rsidRPr="00583E1A">
        <w:tab/>
        <w:t>(a)</w:t>
      </w:r>
      <w:r w:rsidRPr="00583E1A">
        <w:tab/>
        <w:t xml:space="preserve">the amount that the entity can deduct for the item’s </w:t>
      </w:r>
      <w:r w:rsidR="00583E1A" w:rsidRPr="00583E1A">
        <w:rPr>
          <w:position w:val="6"/>
          <w:sz w:val="16"/>
        </w:rPr>
        <w:t>*</w:t>
      </w:r>
      <w:r w:rsidRPr="00583E1A">
        <w:t>cost; or</w:t>
      </w:r>
    </w:p>
    <w:p w:rsidR="008F6326" w:rsidRPr="00583E1A" w:rsidRDefault="008F6326" w:rsidP="008F6326">
      <w:pPr>
        <w:pStyle w:val="paragraph"/>
      </w:pPr>
      <w:r w:rsidRPr="00583E1A">
        <w:tab/>
        <w:t>(b)</w:t>
      </w:r>
      <w:r w:rsidRPr="00583E1A">
        <w:tab/>
        <w:t xml:space="preserve">the item’s </w:t>
      </w:r>
      <w:r w:rsidR="00583E1A" w:rsidRPr="00583E1A">
        <w:rPr>
          <w:position w:val="6"/>
          <w:sz w:val="16"/>
        </w:rPr>
        <w:t>*</w:t>
      </w:r>
      <w:r w:rsidRPr="00583E1A">
        <w:t xml:space="preserve">value as </w:t>
      </w:r>
      <w:r w:rsidR="00E43CE0" w:rsidRPr="004C09C4">
        <w:rPr>
          <w:position w:val="6"/>
          <w:sz w:val="16"/>
        </w:rPr>
        <w:t>*</w:t>
      </w:r>
      <w:r w:rsidRPr="00583E1A">
        <w:t>trading stock on hand at the start of the later income year;</w:t>
      </w:r>
    </w:p>
    <w:p w:rsidR="008F6326" w:rsidRPr="00583E1A" w:rsidRDefault="008F6326" w:rsidP="008F6326">
      <w:pPr>
        <w:pStyle w:val="subsection2"/>
      </w:pPr>
      <w:r w:rsidRPr="00583E1A">
        <w:t>as appropriate.</w:t>
      </w:r>
    </w:p>
    <w:p w:rsidR="008F6326" w:rsidRPr="00583E1A" w:rsidRDefault="008F6326" w:rsidP="008F6326">
      <w:pPr>
        <w:pStyle w:val="subsection"/>
      </w:pPr>
      <w:r w:rsidRPr="00583E1A">
        <w:tab/>
        <w:t>(3)</w:t>
      </w:r>
      <w:r w:rsidRPr="00583E1A">
        <w:tab/>
        <w:t xml:space="preserve">If a provision of this Act reduces the gain that would, apart from that provision, be </w:t>
      </w:r>
      <w:r w:rsidR="00583E1A" w:rsidRPr="00583E1A">
        <w:rPr>
          <w:position w:val="6"/>
          <w:sz w:val="16"/>
        </w:rPr>
        <w:t>*</w:t>
      </w:r>
      <w:r w:rsidRPr="00583E1A">
        <w:t>realised for income tax purposes by the event, the amount that is included in the assessable income of the entity because of the disposal is reduced by the same amount.</w:t>
      </w:r>
    </w:p>
    <w:p w:rsidR="008F6326" w:rsidRPr="00583E1A" w:rsidRDefault="008F6326" w:rsidP="008F6326">
      <w:pPr>
        <w:pStyle w:val="ActHead5"/>
      </w:pPr>
      <w:bookmarkStart w:id="638" w:name="_Toc338939712"/>
      <w:r w:rsidRPr="00583E1A">
        <w:rPr>
          <w:rStyle w:val="CharSectno"/>
        </w:rPr>
        <w:t>977</w:t>
      </w:r>
      <w:r w:rsidR="00583E1A">
        <w:rPr>
          <w:rStyle w:val="CharSectno"/>
        </w:rPr>
        <w:noBreakHyphen/>
      </w:r>
      <w:r w:rsidRPr="00583E1A">
        <w:rPr>
          <w:rStyle w:val="CharSectno"/>
        </w:rPr>
        <w:t>40</w:t>
      </w:r>
      <w:r w:rsidRPr="00583E1A">
        <w:t xml:space="preserve">  Ending of an income year: gain realised for income tax purposes</w:t>
      </w:r>
      <w:bookmarkEnd w:id="638"/>
    </w:p>
    <w:p w:rsidR="008F6326" w:rsidRPr="00583E1A" w:rsidRDefault="008F6326" w:rsidP="008F6326">
      <w:pPr>
        <w:pStyle w:val="subsection"/>
      </w:pPr>
      <w:r w:rsidRPr="00583E1A">
        <w:tab/>
        <w:t>(1)</w:t>
      </w:r>
      <w:r w:rsidRPr="00583E1A">
        <w:tab/>
        <w:t xml:space="preserve">A gain is </w:t>
      </w:r>
      <w:r w:rsidRPr="00583E1A">
        <w:rPr>
          <w:b/>
          <w:i/>
        </w:rPr>
        <w:t>realised for income tax purposes</w:t>
      </w:r>
      <w:r w:rsidRPr="00583E1A">
        <w:t xml:space="preserve"> by a </w:t>
      </w:r>
      <w:r w:rsidR="00583E1A" w:rsidRPr="00583E1A">
        <w:rPr>
          <w:position w:val="6"/>
          <w:sz w:val="16"/>
        </w:rPr>
        <w:t>*</w:t>
      </w:r>
      <w:r w:rsidRPr="00583E1A">
        <w:t xml:space="preserve">realisation event that happens to an item of </w:t>
      </w:r>
      <w:r w:rsidR="00583E1A" w:rsidRPr="00583E1A">
        <w:rPr>
          <w:position w:val="6"/>
          <w:sz w:val="16"/>
        </w:rPr>
        <w:t>*</w:t>
      </w:r>
      <w:r w:rsidRPr="00583E1A">
        <w:t>trading stock</w:t>
      </w:r>
      <w:r w:rsidRPr="00583E1A">
        <w:rPr>
          <w:b/>
          <w:i/>
        </w:rPr>
        <w:t xml:space="preserve"> </w:t>
      </w:r>
      <w:r w:rsidRPr="00583E1A">
        <w:t xml:space="preserve">and consists of the ending of an income year if, and only if, the </w:t>
      </w:r>
      <w:r w:rsidR="00583E1A" w:rsidRPr="00583E1A">
        <w:rPr>
          <w:position w:val="6"/>
          <w:sz w:val="16"/>
        </w:rPr>
        <w:t>*</w:t>
      </w:r>
      <w:r w:rsidRPr="00583E1A">
        <w:t>value of the item, as trading stock of an entity on hand at the end of that income year, is greater than:</w:t>
      </w:r>
    </w:p>
    <w:p w:rsidR="008F6326" w:rsidRPr="00583E1A" w:rsidRDefault="008F6326" w:rsidP="008F6326">
      <w:pPr>
        <w:pStyle w:val="paragraph"/>
      </w:pPr>
      <w:r w:rsidRPr="00583E1A">
        <w:tab/>
        <w:t>(a)</w:t>
      </w:r>
      <w:r w:rsidRPr="00583E1A">
        <w:tab/>
        <w:t xml:space="preserve">its </w:t>
      </w:r>
      <w:r w:rsidR="00583E1A" w:rsidRPr="00583E1A">
        <w:rPr>
          <w:position w:val="6"/>
          <w:sz w:val="16"/>
        </w:rPr>
        <w:t>*</w:t>
      </w:r>
      <w:r w:rsidRPr="00583E1A">
        <w:t>cost, if it became part of the trading stock on hand of the entity during that income year; or</w:t>
      </w:r>
    </w:p>
    <w:p w:rsidR="008F6326" w:rsidRPr="00583E1A" w:rsidRDefault="008F6326" w:rsidP="008F6326">
      <w:pPr>
        <w:pStyle w:val="paragraph"/>
      </w:pPr>
      <w:r w:rsidRPr="00583E1A">
        <w:tab/>
        <w:t>(b)</w:t>
      </w:r>
      <w:r w:rsidRPr="00583E1A">
        <w:tab/>
        <w:t>otherwise, its value as trading stock of the entity on hand at the start of that income year.</w:t>
      </w:r>
    </w:p>
    <w:p w:rsidR="008F6326" w:rsidRPr="00583E1A" w:rsidRDefault="008F6326" w:rsidP="008F6326">
      <w:pPr>
        <w:pStyle w:val="subsection"/>
      </w:pPr>
      <w:r w:rsidRPr="00583E1A">
        <w:tab/>
        <w:t>(2)</w:t>
      </w:r>
      <w:r w:rsidRPr="00583E1A">
        <w:tab/>
        <w:t xml:space="preserve">The gain that is realised for income tax purposes by the event is the difference between the </w:t>
      </w:r>
      <w:r w:rsidR="00583E1A" w:rsidRPr="00583E1A">
        <w:rPr>
          <w:position w:val="6"/>
          <w:sz w:val="16"/>
        </w:rPr>
        <w:t>*</w:t>
      </w:r>
      <w:r w:rsidRPr="00583E1A">
        <w:t xml:space="preserve">value of the item, as </w:t>
      </w:r>
      <w:r w:rsidR="00583E1A" w:rsidRPr="00583E1A">
        <w:rPr>
          <w:position w:val="6"/>
          <w:sz w:val="16"/>
        </w:rPr>
        <w:t>*</w:t>
      </w:r>
      <w:r w:rsidRPr="00583E1A">
        <w:t>trading stock of the entity on hand at the end of that income year and:</w:t>
      </w:r>
    </w:p>
    <w:p w:rsidR="008F6326" w:rsidRPr="00583E1A" w:rsidRDefault="008F6326" w:rsidP="008F6326">
      <w:pPr>
        <w:pStyle w:val="paragraph"/>
      </w:pPr>
      <w:r w:rsidRPr="00583E1A">
        <w:tab/>
        <w:t>(a)</w:t>
      </w:r>
      <w:r w:rsidRPr="00583E1A">
        <w:tab/>
        <w:t xml:space="preserve">the amount that the entity can deduct for the item’s </w:t>
      </w:r>
      <w:r w:rsidR="00583E1A" w:rsidRPr="00583E1A">
        <w:rPr>
          <w:position w:val="6"/>
          <w:sz w:val="16"/>
        </w:rPr>
        <w:t>*</w:t>
      </w:r>
      <w:r w:rsidRPr="00583E1A">
        <w:t>cost; or</w:t>
      </w:r>
    </w:p>
    <w:p w:rsidR="008F6326" w:rsidRPr="00583E1A" w:rsidRDefault="008F6326" w:rsidP="008F6326">
      <w:pPr>
        <w:pStyle w:val="paragraph"/>
      </w:pPr>
      <w:r w:rsidRPr="00583E1A">
        <w:tab/>
        <w:t>(b)</w:t>
      </w:r>
      <w:r w:rsidRPr="00583E1A">
        <w:tab/>
        <w:t xml:space="preserve">the item’s </w:t>
      </w:r>
      <w:r w:rsidR="00583E1A" w:rsidRPr="00583E1A">
        <w:rPr>
          <w:position w:val="6"/>
          <w:sz w:val="16"/>
        </w:rPr>
        <w:t>*</w:t>
      </w:r>
      <w:r w:rsidRPr="00583E1A">
        <w:t>value as trading stock on hand at the start of the income year;</w:t>
      </w:r>
    </w:p>
    <w:p w:rsidR="008F6326" w:rsidRPr="00583E1A" w:rsidRDefault="008F6326" w:rsidP="008F6326">
      <w:pPr>
        <w:pStyle w:val="subsection2"/>
      </w:pPr>
      <w:r w:rsidRPr="00583E1A">
        <w:lastRenderedPageBreak/>
        <w:t>as appropriate.</w:t>
      </w:r>
    </w:p>
    <w:p w:rsidR="008F6326" w:rsidRPr="00583E1A" w:rsidRDefault="008F6326" w:rsidP="008F6326">
      <w:pPr>
        <w:pStyle w:val="subsection"/>
      </w:pPr>
      <w:r w:rsidRPr="00583E1A">
        <w:tab/>
        <w:t>(3)</w:t>
      </w:r>
      <w:r w:rsidRPr="00583E1A">
        <w:tab/>
        <w:t xml:space="preserve">If a provision of this Act reduces the gain that would, apart from that provision, be </w:t>
      </w:r>
      <w:r w:rsidR="00583E1A" w:rsidRPr="00583E1A">
        <w:rPr>
          <w:position w:val="6"/>
          <w:sz w:val="16"/>
        </w:rPr>
        <w:t>*</w:t>
      </w:r>
      <w:r w:rsidRPr="00583E1A">
        <w:t>realised for income tax purposes by the event:</w:t>
      </w:r>
    </w:p>
    <w:p w:rsidR="008F6326" w:rsidRPr="00583E1A" w:rsidRDefault="008F6326" w:rsidP="008F6326">
      <w:pPr>
        <w:pStyle w:val="paragraph"/>
      </w:pPr>
      <w:r w:rsidRPr="00583E1A">
        <w:tab/>
        <w:t>(a)</w:t>
      </w:r>
      <w:r w:rsidRPr="00583E1A">
        <w:tab/>
        <w:t xml:space="preserve">the amount that the entity can deduct for the item’s </w:t>
      </w:r>
      <w:r w:rsidR="00583E1A" w:rsidRPr="00583E1A">
        <w:rPr>
          <w:position w:val="6"/>
          <w:sz w:val="16"/>
        </w:rPr>
        <w:t>*</w:t>
      </w:r>
      <w:r w:rsidRPr="00583E1A">
        <w:t>cost; or</w:t>
      </w:r>
    </w:p>
    <w:p w:rsidR="008F6326" w:rsidRPr="00583E1A" w:rsidRDefault="008F6326" w:rsidP="008F6326">
      <w:pPr>
        <w:pStyle w:val="paragraph"/>
      </w:pPr>
      <w:r w:rsidRPr="00583E1A">
        <w:tab/>
        <w:t>(b)</w:t>
      </w:r>
      <w:r w:rsidRPr="00583E1A">
        <w:tab/>
        <w:t xml:space="preserve">the item’s </w:t>
      </w:r>
      <w:r w:rsidR="00583E1A" w:rsidRPr="00583E1A">
        <w:rPr>
          <w:position w:val="6"/>
          <w:sz w:val="16"/>
        </w:rPr>
        <w:t>*</w:t>
      </w:r>
      <w:r w:rsidRPr="00583E1A">
        <w:t xml:space="preserve">value as </w:t>
      </w:r>
      <w:r w:rsidR="00583E1A" w:rsidRPr="00583E1A">
        <w:rPr>
          <w:position w:val="6"/>
          <w:sz w:val="16"/>
        </w:rPr>
        <w:t>*</w:t>
      </w:r>
      <w:r w:rsidRPr="00583E1A">
        <w:t>trading stock on hand at the start of the income year;</w:t>
      </w:r>
    </w:p>
    <w:p w:rsidR="008F6326" w:rsidRPr="00583E1A" w:rsidRDefault="008F6326" w:rsidP="008F6326">
      <w:pPr>
        <w:pStyle w:val="subsection2"/>
      </w:pPr>
      <w:r w:rsidRPr="00583E1A">
        <w:t>as appropriate, is increased by the same amount.</w:t>
      </w:r>
    </w:p>
    <w:p w:rsidR="008F6326" w:rsidRPr="00583E1A" w:rsidRDefault="008F6326" w:rsidP="008F6326">
      <w:pPr>
        <w:pStyle w:val="ActHead4"/>
      </w:pPr>
      <w:bookmarkStart w:id="639" w:name="_Toc338939713"/>
      <w:r w:rsidRPr="00583E1A">
        <w:t>Revenue assets</w:t>
      </w:r>
      <w:bookmarkEnd w:id="639"/>
    </w:p>
    <w:p w:rsidR="008F6326" w:rsidRPr="00583E1A" w:rsidRDefault="008F6326" w:rsidP="008F6326">
      <w:pPr>
        <w:pStyle w:val="ActHead5"/>
      </w:pPr>
      <w:bookmarkStart w:id="640" w:name="_Toc338939714"/>
      <w:r w:rsidRPr="00583E1A">
        <w:rPr>
          <w:rStyle w:val="CharSectno"/>
        </w:rPr>
        <w:t>977</w:t>
      </w:r>
      <w:r w:rsidR="00583E1A">
        <w:rPr>
          <w:rStyle w:val="CharSectno"/>
        </w:rPr>
        <w:noBreakHyphen/>
      </w:r>
      <w:r w:rsidRPr="00583E1A">
        <w:rPr>
          <w:rStyle w:val="CharSectno"/>
        </w:rPr>
        <w:t>50</w:t>
      </w:r>
      <w:r w:rsidRPr="00583E1A">
        <w:t xml:space="preserve">  Meaning of </w:t>
      </w:r>
      <w:r w:rsidRPr="00583E1A">
        <w:rPr>
          <w:i/>
        </w:rPr>
        <w:t>revenue asset</w:t>
      </w:r>
      <w:bookmarkEnd w:id="640"/>
    </w:p>
    <w:p w:rsidR="008F6326" w:rsidRPr="00583E1A" w:rsidRDefault="008F6326" w:rsidP="008F6326">
      <w:pPr>
        <w:pStyle w:val="subsection"/>
      </w:pPr>
      <w:r w:rsidRPr="00583E1A">
        <w:tab/>
      </w:r>
      <w:r w:rsidRPr="00583E1A">
        <w:tab/>
        <w:t xml:space="preserve">A </w:t>
      </w:r>
      <w:r w:rsidR="00583E1A" w:rsidRPr="00583E1A">
        <w:rPr>
          <w:position w:val="6"/>
          <w:sz w:val="16"/>
        </w:rPr>
        <w:t>*</w:t>
      </w:r>
      <w:r w:rsidRPr="00583E1A">
        <w:t xml:space="preserve">CGT asset is a </w:t>
      </w:r>
      <w:r w:rsidRPr="00583E1A">
        <w:rPr>
          <w:b/>
          <w:i/>
        </w:rPr>
        <w:t>revenue asset</w:t>
      </w:r>
      <w:r w:rsidRPr="00583E1A">
        <w:t xml:space="preserve"> if, and only if:</w:t>
      </w:r>
    </w:p>
    <w:p w:rsidR="008F6326" w:rsidRPr="00583E1A" w:rsidRDefault="008F6326" w:rsidP="008F6326">
      <w:pPr>
        <w:pStyle w:val="paragraph"/>
      </w:pPr>
      <w:r w:rsidRPr="00583E1A">
        <w:tab/>
        <w:t>(a)</w:t>
      </w:r>
      <w:r w:rsidRPr="00583E1A">
        <w:tab/>
        <w:t xml:space="preserve">the profit or loss on your disposing of the asset, ceasing to own it, or otherwise realising it, would be taken into account, in calculating your assessable income or </w:t>
      </w:r>
      <w:r w:rsidR="00583E1A" w:rsidRPr="00583E1A">
        <w:rPr>
          <w:position w:val="6"/>
          <w:sz w:val="16"/>
        </w:rPr>
        <w:t>*</w:t>
      </w:r>
      <w:r w:rsidRPr="00583E1A">
        <w:t xml:space="preserve">tax loss, otherwise than as a </w:t>
      </w:r>
      <w:r w:rsidR="00583E1A" w:rsidRPr="00583E1A">
        <w:rPr>
          <w:position w:val="6"/>
          <w:sz w:val="16"/>
        </w:rPr>
        <w:t>*</w:t>
      </w:r>
      <w:r w:rsidRPr="00583E1A">
        <w:t xml:space="preserve">capital gain or </w:t>
      </w:r>
      <w:r w:rsidR="00583E1A" w:rsidRPr="00583E1A">
        <w:rPr>
          <w:position w:val="6"/>
          <w:sz w:val="16"/>
        </w:rPr>
        <w:t>*</w:t>
      </w:r>
      <w:r w:rsidRPr="00583E1A">
        <w:t>capital loss; and</w:t>
      </w:r>
    </w:p>
    <w:p w:rsidR="008F6326" w:rsidRPr="00583E1A" w:rsidRDefault="008F6326" w:rsidP="008F6326">
      <w:pPr>
        <w:pStyle w:val="paragraph"/>
      </w:pPr>
      <w:r w:rsidRPr="00583E1A">
        <w:tab/>
        <w:t>(b)</w:t>
      </w:r>
      <w:r w:rsidRPr="00583E1A">
        <w:tab/>
        <w:t xml:space="preserve">the asset is neither </w:t>
      </w:r>
      <w:r w:rsidR="00583E1A" w:rsidRPr="00583E1A">
        <w:rPr>
          <w:position w:val="6"/>
          <w:sz w:val="16"/>
        </w:rPr>
        <w:t>*</w:t>
      </w:r>
      <w:r w:rsidRPr="00583E1A">
        <w:t xml:space="preserve">trading stock nor a </w:t>
      </w:r>
      <w:r w:rsidR="00583E1A" w:rsidRPr="00583E1A">
        <w:rPr>
          <w:position w:val="6"/>
          <w:sz w:val="16"/>
        </w:rPr>
        <w:t>*</w:t>
      </w:r>
      <w:r w:rsidRPr="00583E1A">
        <w:t>depreciating asset.</w:t>
      </w:r>
    </w:p>
    <w:p w:rsidR="008F6326" w:rsidRPr="00583E1A" w:rsidRDefault="008F6326" w:rsidP="008F6326">
      <w:pPr>
        <w:pStyle w:val="ActHead5"/>
      </w:pPr>
      <w:bookmarkStart w:id="641" w:name="_Toc338939715"/>
      <w:r w:rsidRPr="00583E1A">
        <w:rPr>
          <w:rStyle w:val="CharSectno"/>
        </w:rPr>
        <w:t>977</w:t>
      </w:r>
      <w:r w:rsidR="00583E1A">
        <w:rPr>
          <w:rStyle w:val="CharSectno"/>
        </w:rPr>
        <w:noBreakHyphen/>
      </w:r>
      <w:r w:rsidRPr="00583E1A">
        <w:rPr>
          <w:rStyle w:val="CharSectno"/>
        </w:rPr>
        <w:t>55</w:t>
      </w:r>
      <w:r w:rsidRPr="00583E1A">
        <w:t xml:space="preserve">  Loss or gain realised for income tax purposes</w:t>
      </w:r>
      <w:bookmarkEnd w:id="641"/>
    </w:p>
    <w:p w:rsidR="008F6326" w:rsidRPr="00583E1A" w:rsidRDefault="008F6326" w:rsidP="008F6326">
      <w:pPr>
        <w:pStyle w:val="subsection"/>
      </w:pPr>
      <w:r w:rsidRPr="00583E1A">
        <w:tab/>
      </w:r>
      <w:r w:rsidRPr="00583E1A">
        <w:tab/>
        <w:t xml:space="preserve">For a </w:t>
      </w:r>
      <w:r w:rsidR="00583E1A" w:rsidRPr="00583E1A">
        <w:rPr>
          <w:position w:val="6"/>
          <w:sz w:val="16"/>
        </w:rPr>
        <w:t>*</w:t>
      </w:r>
      <w:r w:rsidRPr="00583E1A">
        <w:t>revenue asset:</w:t>
      </w:r>
    </w:p>
    <w:p w:rsidR="008F6326" w:rsidRPr="00583E1A" w:rsidRDefault="008F6326" w:rsidP="008F6326">
      <w:pPr>
        <w:pStyle w:val="paragraph"/>
      </w:pPr>
      <w:r w:rsidRPr="00583E1A">
        <w:tab/>
        <w:t>(a)</w:t>
      </w:r>
      <w:r w:rsidRPr="00583E1A">
        <w:tab/>
        <w:t xml:space="preserve">disposing of, ceasing to own, or otherwise realising, the asset is a </w:t>
      </w:r>
      <w:r w:rsidRPr="00583E1A">
        <w:rPr>
          <w:b/>
          <w:i/>
        </w:rPr>
        <w:t>realisation event</w:t>
      </w:r>
      <w:r w:rsidRPr="00583E1A">
        <w:t>; and</w:t>
      </w:r>
    </w:p>
    <w:p w:rsidR="008F6326" w:rsidRPr="00583E1A" w:rsidRDefault="008F6326" w:rsidP="008F6326">
      <w:pPr>
        <w:pStyle w:val="paragraph"/>
      </w:pPr>
      <w:r w:rsidRPr="00583E1A">
        <w:tab/>
        <w:t>(b)</w:t>
      </w:r>
      <w:r w:rsidRPr="00583E1A">
        <w:tab/>
        <w:t xml:space="preserve">a loss is </w:t>
      </w:r>
      <w:r w:rsidRPr="00583E1A">
        <w:rPr>
          <w:b/>
          <w:i/>
        </w:rPr>
        <w:t>realised for income tax purposes</w:t>
      </w:r>
      <w:r w:rsidRPr="00583E1A">
        <w:rPr>
          <w:position w:val="6"/>
          <w:sz w:val="16"/>
        </w:rPr>
        <w:t xml:space="preserve"> </w:t>
      </w:r>
      <w:r w:rsidRPr="00583E1A">
        <w:t xml:space="preserve">by the </w:t>
      </w:r>
      <w:r w:rsidR="00583E1A" w:rsidRPr="00583E1A">
        <w:rPr>
          <w:position w:val="6"/>
          <w:sz w:val="16"/>
        </w:rPr>
        <w:t>*</w:t>
      </w:r>
      <w:r w:rsidRPr="00583E1A">
        <w:t>realisation event if, and only if, there is a loss on the event; and</w:t>
      </w:r>
    </w:p>
    <w:p w:rsidR="008F6326" w:rsidRPr="00583E1A" w:rsidRDefault="008F6326" w:rsidP="008F6326">
      <w:pPr>
        <w:pStyle w:val="paragraph"/>
      </w:pPr>
      <w:r w:rsidRPr="00583E1A">
        <w:tab/>
        <w:t>(c)</w:t>
      </w:r>
      <w:r w:rsidRPr="00583E1A">
        <w:tab/>
        <w:t xml:space="preserve">a gain is </w:t>
      </w:r>
      <w:r w:rsidRPr="00583E1A">
        <w:rPr>
          <w:b/>
          <w:i/>
        </w:rPr>
        <w:t>realised for income tax purposes</w:t>
      </w:r>
      <w:r w:rsidRPr="00583E1A">
        <w:rPr>
          <w:position w:val="6"/>
          <w:sz w:val="16"/>
        </w:rPr>
        <w:t xml:space="preserve"> </w:t>
      </w:r>
      <w:r w:rsidRPr="00583E1A">
        <w:t>by the realisation event if, and only if, there is a profit on the event; and</w:t>
      </w:r>
    </w:p>
    <w:p w:rsidR="008F6326" w:rsidRPr="00583E1A" w:rsidRDefault="008F6326" w:rsidP="008F6326">
      <w:pPr>
        <w:pStyle w:val="paragraph"/>
      </w:pPr>
      <w:r w:rsidRPr="00583E1A">
        <w:tab/>
        <w:t>(d)</w:t>
      </w:r>
      <w:r w:rsidRPr="00583E1A">
        <w:tab/>
        <w:t>the loss or profit on the event is the loss or gain realised for income tax purposes; and</w:t>
      </w:r>
    </w:p>
    <w:p w:rsidR="008F6326" w:rsidRPr="00583E1A" w:rsidRDefault="008F6326" w:rsidP="008F6326">
      <w:pPr>
        <w:pStyle w:val="paragraph"/>
      </w:pPr>
      <w:r w:rsidRPr="00583E1A">
        <w:tab/>
        <w:t>(e)</w:t>
      </w:r>
      <w:r w:rsidRPr="00583E1A">
        <w:tab/>
        <w:t xml:space="preserve">if a provision of this Act reduces the loss or gain that would, apart from that provision, be realised for income tax purposes by the event, the loss or profit to be taken into account in calculating your assessable income or </w:t>
      </w:r>
      <w:r w:rsidR="00583E1A" w:rsidRPr="00583E1A">
        <w:rPr>
          <w:position w:val="6"/>
          <w:sz w:val="16"/>
        </w:rPr>
        <w:t>*</w:t>
      </w:r>
      <w:r w:rsidRPr="00583E1A">
        <w:t>tax loss is reduced by the same amount.</w:t>
      </w:r>
    </w:p>
    <w:p w:rsidR="00887330" w:rsidRPr="00583E1A" w:rsidRDefault="00887330" w:rsidP="00887330">
      <w:pPr>
        <w:pStyle w:val="PageBreak"/>
      </w:pPr>
      <w:r w:rsidRPr="00583E1A">
        <w:br w:type="page"/>
      </w:r>
    </w:p>
    <w:p w:rsidR="00887330" w:rsidRPr="00583E1A" w:rsidRDefault="00887330" w:rsidP="00887330">
      <w:pPr>
        <w:pStyle w:val="ActHead3"/>
      </w:pPr>
      <w:bookmarkStart w:id="642" w:name="_Toc338939716"/>
      <w:r w:rsidRPr="00583E1A">
        <w:rPr>
          <w:rStyle w:val="CharDivNo"/>
        </w:rPr>
        <w:lastRenderedPageBreak/>
        <w:t>Division</w:t>
      </w:r>
      <w:r w:rsidR="00583E1A">
        <w:rPr>
          <w:rStyle w:val="CharDivNo"/>
        </w:rPr>
        <w:t> </w:t>
      </w:r>
      <w:r w:rsidRPr="00583E1A">
        <w:rPr>
          <w:rStyle w:val="CharDivNo"/>
        </w:rPr>
        <w:t>976</w:t>
      </w:r>
      <w:r w:rsidRPr="00583E1A">
        <w:t>—</w:t>
      </w:r>
      <w:r w:rsidRPr="00583E1A">
        <w:rPr>
          <w:rStyle w:val="CharDivText"/>
        </w:rPr>
        <w:t>Imputation</w:t>
      </w:r>
      <w:bookmarkEnd w:id="642"/>
    </w:p>
    <w:p w:rsidR="00887330" w:rsidRPr="00583E1A" w:rsidRDefault="00887330" w:rsidP="00887330">
      <w:pPr>
        <w:pStyle w:val="TofSectsHeading"/>
      </w:pPr>
      <w:r w:rsidRPr="00583E1A">
        <w:t>Table of sections</w:t>
      </w:r>
    </w:p>
    <w:p w:rsidR="00887330" w:rsidRPr="00583E1A" w:rsidRDefault="00887330" w:rsidP="00887330">
      <w:pPr>
        <w:pStyle w:val="TofSectsSection"/>
      </w:pPr>
      <w:r w:rsidRPr="00583E1A">
        <w:t>976</w:t>
      </w:r>
      <w:r w:rsidR="00583E1A">
        <w:noBreakHyphen/>
      </w:r>
      <w:r w:rsidRPr="00583E1A">
        <w:t>1</w:t>
      </w:r>
      <w:r w:rsidRPr="00583E1A">
        <w:tab/>
        <w:t>Franked part of a distribution</w:t>
      </w:r>
    </w:p>
    <w:p w:rsidR="00887330" w:rsidRPr="00583E1A" w:rsidRDefault="00887330" w:rsidP="00887330">
      <w:pPr>
        <w:pStyle w:val="TofSectsSection"/>
      </w:pPr>
      <w:r w:rsidRPr="00583E1A">
        <w:t>976</w:t>
      </w:r>
      <w:r w:rsidR="00583E1A">
        <w:noBreakHyphen/>
      </w:r>
      <w:r w:rsidRPr="00583E1A">
        <w:t>5</w:t>
      </w:r>
      <w:r w:rsidRPr="00583E1A">
        <w:tab/>
        <w:t>Unfranked part of a distribution</w:t>
      </w:r>
    </w:p>
    <w:p w:rsidR="00887330" w:rsidRPr="00583E1A" w:rsidRDefault="00887330" w:rsidP="00887330">
      <w:pPr>
        <w:pStyle w:val="TofSectsSection"/>
      </w:pPr>
      <w:r w:rsidRPr="00583E1A">
        <w:t>976</w:t>
      </w:r>
      <w:r w:rsidR="00583E1A">
        <w:noBreakHyphen/>
      </w:r>
      <w:r w:rsidRPr="00583E1A">
        <w:t>10</w:t>
      </w:r>
      <w:r w:rsidRPr="00583E1A">
        <w:tab/>
        <w:t>The part of a distribution that is franked with an exempting credit</w:t>
      </w:r>
    </w:p>
    <w:p w:rsidR="00887330" w:rsidRPr="00583E1A" w:rsidRDefault="00887330" w:rsidP="00887330">
      <w:pPr>
        <w:pStyle w:val="TofSectsSection"/>
      </w:pPr>
      <w:r w:rsidRPr="00583E1A">
        <w:t>976</w:t>
      </w:r>
      <w:r w:rsidR="00583E1A">
        <w:noBreakHyphen/>
      </w:r>
      <w:r w:rsidRPr="00583E1A">
        <w:t>15</w:t>
      </w:r>
      <w:r w:rsidRPr="00583E1A">
        <w:tab/>
        <w:t>The part of a distribution that is franked with a venture capital credit</w:t>
      </w:r>
    </w:p>
    <w:p w:rsidR="00887330" w:rsidRPr="00583E1A" w:rsidRDefault="00887330" w:rsidP="00887330">
      <w:pPr>
        <w:pStyle w:val="ActHead5"/>
      </w:pPr>
      <w:bookmarkStart w:id="643" w:name="_Toc338939717"/>
      <w:r w:rsidRPr="00583E1A">
        <w:rPr>
          <w:rStyle w:val="CharSectno"/>
        </w:rPr>
        <w:t>976</w:t>
      </w:r>
      <w:r w:rsidR="00583E1A">
        <w:rPr>
          <w:rStyle w:val="CharSectno"/>
        </w:rPr>
        <w:noBreakHyphen/>
      </w:r>
      <w:r w:rsidRPr="00583E1A">
        <w:rPr>
          <w:rStyle w:val="CharSectno"/>
        </w:rPr>
        <w:t>1</w:t>
      </w:r>
      <w:r w:rsidRPr="00583E1A">
        <w:t xml:space="preserve">  Franked part of a distribution</w:t>
      </w:r>
      <w:bookmarkEnd w:id="643"/>
    </w:p>
    <w:p w:rsidR="00887330" w:rsidRPr="00583E1A" w:rsidRDefault="00887330" w:rsidP="00887330">
      <w:pPr>
        <w:pStyle w:val="subsection"/>
      </w:pPr>
      <w:r w:rsidRPr="00583E1A">
        <w:tab/>
      </w:r>
      <w:r w:rsidRPr="00583E1A">
        <w:tab/>
        <w:t xml:space="preserve">The </w:t>
      </w:r>
      <w:r w:rsidRPr="00583E1A">
        <w:rPr>
          <w:b/>
          <w:i/>
        </w:rPr>
        <w:t>franked part</w:t>
      </w:r>
      <w:r w:rsidRPr="00583E1A">
        <w:t xml:space="preserve"> of a </w:t>
      </w:r>
      <w:r w:rsidR="00583E1A" w:rsidRPr="00583E1A">
        <w:rPr>
          <w:position w:val="6"/>
          <w:sz w:val="16"/>
        </w:rPr>
        <w:t>*</w:t>
      </w:r>
      <w:r w:rsidRPr="00583E1A">
        <w:t>distribution is an amount worked out using the formula:</w:t>
      </w:r>
    </w:p>
    <w:p w:rsidR="00CB48B4" w:rsidRPr="00583E1A" w:rsidRDefault="00623A5C" w:rsidP="00887330">
      <w:pPr>
        <w:pStyle w:val="Formula"/>
        <w:spacing w:before="60" w:after="60"/>
      </w:pPr>
      <w:r>
        <w:rPr>
          <w:noProof/>
        </w:rPr>
        <w:drawing>
          <wp:inline distT="0" distB="0" distL="0" distR="0">
            <wp:extent cx="2457450" cy="38100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2457450" cy="381000"/>
                    </a:xfrm>
                    <a:prstGeom prst="rect">
                      <a:avLst/>
                    </a:prstGeom>
                    <a:noFill/>
                    <a:ln>
                      <a:noFill/>
                    </a:ln>
                  </pic:spPr>
                </pic:pic>
              </a:graphicData>
            </a:graphic>
          </wp:inline>
        </w:drawing>
      </w:r>
    </w:p>
    <w:p w:rsidR="00887330" w:rsidRPr="00583E1A" w:rsidRDefault="00887330" w:rsidP="00887330">
      <w:pPr>
        <w:pStyle w:val="ActHead5"/>
      </w:pPr>
      <w:bookmarkStart w:id="644" w:name="_Toc338939718"/>
      <w:r w:rsidRPr="00583E1A">
        <w:rPr>
          <w:rStyle w:val="CharSectno"/>
        </w:rPr>
        <w:t>976</w:t>
      </w:r>
      <w:r w:rsidR="00583E1A">
        <w:rPr>
          <w:rStyle w:val="CharSectno"/>
        </w:rPr>
        <w:noBreakHyphen/>
      </w:r>
      <w:r w:rsidRPr="00583E1A">
        <w:rPr>
          <w:rStyle w:val="CharSectno"/>
        </w:rPr>
        <w:t>5</w:t>
      </w:r>
      <w:r w:rsidRPr="00583E1A">
        <w:t xml:space="preserve">  Unfranked part of a distribution</w:t>
      </w:r>
      <w:bookmarkEnd w:id="644"/>
    </w:p>
    <w:p w:rsidR="00887330" w:rsidRPr="00583E1A" w:rsidRDefault="00887330" w:rsidP="00887330">
      <w:pPr>
        <w:pStyle w:val="subsection"/>
      </w:pPr>
      <w:r w:rsidRPr="00583E1A">
        <w:tab/>
      </w:r>
      <w:r w:rsidRPr="00583E1A">
        <w:tab/>
        <w:t xml:space="preserve">The </w:t>
      </w:r>
      <w:r w:rsidRPr="00583E1A">
        <w:rPr>
          <w:b/>
          <w:i/>
        </w:rPr>
        <w:t xml:space="preserve">unfranked part </w:t>
      </w:r>
      <w:r w:rsidRPr="00583E1A">
        <w:t xml:space="preserve">of a </w:t>
      </w:r>
      <w:r w:rsidR="00583E1A" w:rsidRPr="00583E1A">
        <w:rPr>
          <w:position w:val="6"/>
          <w:sz w:val="16"/>
        </w:rPr>
        <w:t>*</w:t>
      </w:r>
      <w:r w:rsidRPr="00583E1A">
        <w:t xml:space="preserve">distribution is the amount that is left after deducting the </w:t>
      </w:r>
      <w:r w:rsidR="00583E1A" w:rsidRPr="00583E1A">
        <w:rPr>
          <w:position w:val="6"/>
          <w:sz w:val="16"/>
        </w:rPr>
        <w:t>*</w:t>
      </w:r>
      <w:r w:rsidRPr="00583E1A">
        <w:t>franked part of the distribution from the total distribution.</w:t>
      </w:r>
    </w:p>
    <w:p w:rsidR="00887330" w:rsidRPr="00583E1A" w:rsidRDefault="00887330" w:rsidP="00887330">
      <w:pPr>
        <w:pStyle w:val="ActHead5"/>
      </w:pPr>
      <w:bookmarkStart w:id="645" w:name="_Toc338939719"/>
      <w:r w:rsidRPr="00583E1A">
        <w:rPr>
          <w:rStyle w:val="CharSectno"/>
        </w:rPr>
        <w:t>976</w:t>
      </w:r>
      <w:r w:rsidR="00583E1A">
        <w:rPr>
          <w:rStyle w:val="CharSectno"/>
        </w:rPr>
        <w:noBreakHyphen/>
      </w:r>
      <w:r w:rsidRPr="00583E1A">
        <w:rPr>
          <w:rStyle w:val="CharSectno"/>
        </w:rPr>
        <w:t>10</w:t>
      </w:r>
      <w:r w:rsidRPr="00583E1A">
        <w:t xml:space="preserve">  The part of a distribution that is franked with an exempting credit</w:t>
      </w:r>
      <w:bookmarkEnd w:id="645"/>
    </w:p>
    <w:p w:rsidR="00887330" w:rsidRPr="00583E1A" w:rsidRDefault="00887330" w:rsidP="00887330">
      <w:pPr>
        <w:pStyle w:val="subsection"/>
      </w:pPr>
      <w:r w:rsidRPr="00583E1A">
        <w:tab/>
      </w:r>
      <w:r w:rsidRPr="00583E1A">
        <w:tab/>
        <w:t>The part of a distribution that is franked with an exempting credit is worked out using the formula:</w:t>
      </w:r>
    </w:p>
    <w:p w:rsidR="00CB48B4" w:rsidRPr="00583E1A" w:rsidRDefault="00623A5C" w:rsidP="00887330">
      <w:pPr>
        <w:pStyle w:val="Formula"/>
        <w:spacing w:before="60" w:after="60"/>
      </w:pPr>
      <w:r>
        <w:rPr>
          <w:noProof/>
        </w:rPr>
        <w:drawing>
          <wp:inline distT="0" distB="0" distL="0" distR="0">
            <wp:extent cx="2571750" cy="3810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2571750" cy="381000"/>
                    </a:xfrm>
                    <a:prstGeom prst="rect">
                      <a:avLst/>
                    </a:prstGeom>
                    <a:noFill/>
                    <a:ln>
                      <a:noFill/>
                    </a:ln>
                  </pic:spPr>
                </pic:pic>
              </a:graphicData>
            </a:graphic>
          </wp:inline>
        </w:drawing>
      </w:r>
    </w:p>
    <w:p w:rsidR="00887330" w:rsidRPr="00583E1A" w:rsidRDefault="00887330" w:rsidP="00710B1C">
      <w:pPr>
        <w:pStyle w:val="ActHead5"/>
      </w:pPr>
      <w:bookmarkStart w:id="646" w:name="_Toc338939720"/>
      <w:r w:rsidRPr="00583E1A">
        <w:rPr>
          <w:rStyle w:val="CharSectno"/>
        </w:rPr>
        <w:t>976</w:t>
      </w:r>
      <w:r w:rsidR="00583E1A">
        <w:rPr>
          <w:rStyle w:val="CharSectno"/>
        </w:rPr>
        <w:noBreakHyphen/>
      </w:r>
      <w:r w:rsidRPr="00583E1A">
        <w:rPr>
          <w:rStyle w:val="CharSectno"/>
        </w:rPr>
        <w:t>15</w:t>
      </w:r>
      <w:r w:rsidRPr="00583E1A">
        <w:t xml:space="preserve">  The part of a distribution that is franked with a venture capital credit</w:t>
      </w:r>
      <w:bookmarkEnd w:id="646"/>
    </w:p>
    <w:p w:rsidR="00887330" w:rsidRPr="00583E1A" w:rsidRDefault="00887330" w:rsidP="00710B1C">
      <w:pPr>
        <w:pStyle w:val="subsection"/>
        <w:keepNext/>
      </w:pPr>
      <w:r w:rsidRPr="00583E1A">
        <w:tab/>
      </w:r>
      <w:r w:rsidRPr="00583E1A">
        <w:tab/>
        <w:t>The part of a distribution that is franked with a venture capital credit is worked out using the formula:</w:t>
      </w:r>
    </w:p>
    <w:p w:rsidR="00CB48B4" w:rsidRPr="00583E1A" w:rsidRDefault="00623A5C" w:rsidP="00710B1C">
      <w:pPr>
        <w:pStyle w:val="Formula"/>
        <w:keepNext/>
        <w:spacing w:before="60" w:after="60"/>
      </w:pPr>
      <w:r>
        <w:rPr>
          <w:noProof/>
        </w:rPr>
        <w:drawing>
          <wp:inline distT="0" distB="0" distL="0" distR="0">
            <wp:extent cx="2667000" cy="38100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2667000" cy="381000"/>
                    </a:xfrm>
                    <a:prstGeom prst="rect">
                      <a:avLst/>
                    </a:prstGeom>
                    <a:noFill/>
                    <a:ln>
                      <a:noFill/>
                    </a:ln>
                  </pic:spPr>
                </pic:pic>
              </a:graphicData>
            </a:graphic>
          </wp:inline>
        </w:drawing>
      </w:r>
    </w:p>
    <w:p w:rsidR="00887330" w:rsidRPr="00583E1A" w:rsidRDefault="00644459" w:rsidP="00887330">
      <w:pPr>
        <w:pStyle w:val="PageBreak"/>
      </w:pPr>
      <w:r w:rsidRPr="00583E1A">
        <w:br w:type="page"/>
      </w:r>
    </w:p>
    <w:p w:rsidR="00887330" w:rsidRPr="00583E1A" w:rsidRDefault="00887330" w:rsidP="00887330">
      <w:pPr>
        <w:pStyle w:val="ActHead2"/>
      </w:pPr>
      <w:bookmarkStart w:id="647" w:name="_Toc338939721"/>
      <w:r w:rsidRPr="00583E1A">
        <w:rPr>
          <w:rStyle w:val="CharPartNo"/>
        </w:rPr>
        <w:lastRenderedPageBreak/>
        <w:t>Part</w:t>
      </w:r>
      <w:r w:rsidR="00583E1A">
        <w:rPr>
          <w:rStyle w:val="CharPartNo"/>
        </w:rPr>
        <w:t> </w:t>
      </w:r>
      <w:r w:rsidRPr="00583E1A">
        <w:rPr>
          <w:rStyle w:val="CharPartNo"/>
        </w:rPr>
        <w:t>6</w:t>
      </w:r>
      <w:r w:rsidR="00583E1A">
        <w:rPr>
          <w:rStyle w:val="CharPartNo"/>
        </w:rPr>
        <w:noBreakHyphen/>
      </w:r>
      <w:r w:rsidRPr="00583E1A">
        <w:rPr>
          <w:rStyle w:val="CharPartNo"/>
        </w:rPr>
        <w:t>5</w:t>
      </w:r>
      <w:r w:rsidRPr="00583E1A">
        <w:t>—</w:t>
      </w:r>
      <w:r w:rsidRPr="00583E1A">
        <w:rPr>
          <w:rStyle w:val="CharPartText"/>
        </w:rPr>
        <w:t>Dictionary definitions</w:t>
      </w:r>
      <w:bookmarkEnd w:id="647"/>
    </w:p>
    <w:p w:rsidR="00887330" w:rsidRPr="00583E1A" w:rsidRDefault="00887330" w:rsidP="00887330">
      <w:pPr>
        <w:pStyle w:val="ActHead3"/>
      </w:pPr>
      <w:bookmarkStart w:id="648" w:name="_Toc338939722"/>
      <w:r w:rsidRPr="00583E1A">
        <w:rPr>
          <w:rStyle w:val="CharDivNo"/>
        </w:rPr>
        <w:t>Division</w:t>
      </w:r>
      <w:r w:rsidR="00583E1A">
        <w:rPr>
          <w:rStyle w:val="CharDivNo"/>
        </w:rPr>
        <w:t> </w:t>
      </w:r>
      <w:r w:rsidRPr="00583E1A">
        <w:rPr>
          <w:rStyle w:val="CharDivNo"/>
        </w:rPr>
        <w:t>995</w:t>
      </w:r>
      <w:r w:rsidRPr="00583E1A">
        <w:t>—</w:t>
      </w:r>
      <w:r w:rsidRPr="00583E1A">
        <w:rPr>
          <w:rStyle w:val="CharDivText"/>
        </w:rPr>
        <w:t>Definitions</w:t>
      </w:r>
      <w:bookmarkEnd w:id="648"/>
    </w:p>
    <w:p w:rsidR="00887330" w:rsidRPr="00583E1A" w:rsidRDefault="00887330" w:rsidP="00887330">
      <w:pPr>
        <w:pStyle w:val="ActHead5"/>
      </w:pPr>
      <w:bookmarkStart w:id="649" w:name="_Toc338939723"/>
      <w:r w:rsidRPr="00583E1A">
        <w:rPr>
          <w:rStyle w:val="CharSectno"/>
        </w:rPr>
        <w:t>995</w:t>
      </w:r>
      <w:r w:rsidR="00583E1A">
        <w:rPr>
          <w:rStyle w:val="CharSectno"/>
        </w:rPr>
        <w:noBreakHyphen/>
      </w:r>
      <w:r w:rsidRPr="00583E1A">
        <w:rPr>
          <w:rStyle w:val="CharSectno"/>
        </w:rPr>
        <w:t>1</w:t>
      </w:r>
      <w:r w:rsidRPr="00583E1A">
        <w:t xml:space="preserve">  Definitions</w:t>
      </w:r>
      <w:r w:rsidR="006C5159" w:rsidRPr="00583E1A">
        <w:t xml:space="preserve"> </w:t>
      </w:r>
      <w:r w:rsidR="006C5159" w:rsidRPr="00583E1A">
        <w:rPr>
          <w:b w:val="0"/>
          <w:sz w:val="18"/>
        </w:rPr>
        <w:t>[</w:t>
      </w:r>
      <w:r w:rsidR="006C5159" w:rsidRPr="00583E1A">
        <w:rPr>
          <w:b w:val="0"/>
          <w:i/>
          <w:sz w:val="18"/>
        </w:rPr>
        <w:t>see</w:t>
      </w:r>
      <w:r w:rsidR="006C5159" w:rsidRPr="00583E1A">
        <w:rPr>
          <w:b w:val="0"/>
          <w:sz w:val="18"/>
        </w:rPr>
        <w:t xml:space="preserve"> Notes</w:t>
      </w:r>
      <w:r w:rsidR="00380510">
        <w:rPr>
          <w:b w:val="0"/>
          <w:sz w:val="18"/>
        </w:rPr>
        <w:t> </w:t>
      </w:r>
      <w:r w:rsidR="006C5159" w:rsidRPr="00583E1A">
        <w:rPr>
          <w:b w:val="0"/>
          <w:sz w:val="18"/>
        </w:rPr>
        <w:t>2</w:t>
      </w:r>
      <w:r w:rsidR="00AA46D9">
        <w:rPr>
          <w:b w:val="0"/>
          <w:sz w:val="18"/>
        </w:rPr>
        <w:t>,</w:t>
      </w:r>
      <w:r w:rsidR="006C5159" w:rsidRPr="00583E1A">
        <w:rPr>
          <w:b w:val="0"/>
          <w:sz w:val="18"/>
        </w:rPr>
        <w:t xml:space="preserve"> </w:t>
      </w:r>
      <w:r w:rsidR="002041D1">
        <w:rPr>
          <w:b w:val="0"/>
          <w:sz w:val="18"/>
        </w:rPr>
        <w:t xml:space="preserve">3 </w:t>
      </w:r>
      <w:r w:rsidR="006C5159" w:rsidRPr="00583E1A">
        <w:rPr>
          <w:b w:val="0"/>
          <w:sz w:val="18"/>
        </w:rPr>
        <w:t xml:space="preserve">and </w:t>
      </w:r>
      <w:r w:rsidR="00F15F81">
        <w:rPr>
          <w:b w:val="0"/>
          <w:sz w:val="18"/>
        </w:rPr>
        <w:t>17</w:t>
      </w:r>
      <w:r w:rsidR="006C5159" w:rsidRPr="00583E1A">
        <w:rPr>
          <w:b w:val="0"/>
          <w:sz w:val="18"/>
        </w:rPr>
        <w:t>]</w:t>
      </w:r>
      <w:bookmarkEnd w:id="649"/>
    </w:p>
    <w:p w:rsidR="00887330" w:rsidRPr="00583E1A" w:rsidRDefault="00887330" w:rsidP="00887330">
      <w:pPr>
        <w:pStyle w:val="subsection"/>
      </w:pPr>
      <w:r w:rsidRPr="00583E1A">
        <w:tab/>
        <w:t>(1)</w:t>
      </w:r>
      <w:r w:rsidRPr="00583E1A">
        <w:tab/>
        <w:t>In this Act, except so far as the contrary intention appears:</w:t>
      </w:r>
    </w:p>
    <w:p w:rsidR="00887330" w:rsidRPr="00583E1A" w:rsidRDefault="00887330" w:rsidP="00887330">
      <w:pPr>
        <w:pStyle w:val="Definition"/>
      </w:pPr>
      <w:r w:rsidRPr="00583E1A">
        <w:rPr>
          <w:b/>
          <w:i/>
        </w:rPr>
        <w:t>4% manner</w:t>
      </w:r>
      <w:r w:rsidRPr="00583E1A">
        <w:t xml:space="preserve"> has the meaning given by section</w:t>
      </w:r>
      <w:r w:rsidR="00583E1A">
        <w:t> </w:t>
      </w:r>
      <w:r w:rsidRPr="00583E1A">
        <w:t>43</w:t>
      </w:r>
      <w:r w:rsidR="00583E1A">
        <w:noBreakHyphen/>
      </w:r>
      <w:r w:rsidRPr="00583E1A">
        <w:t>145.</w:t>
      </w:r>
    </w:p>
    <w:p w:rsidR="00263B1E" w:rsidRPr="00583E1A" w:rsidRDefault="00263B1E" w:rsidP="00263B1E">
      <w:pPr>
        <w:pStyle w:val="Definition"/>
      </w:pPr>
      <w:r w:rsidRPr="00583E1A">
        <w:rPr>
          <w:b/>
          <w:i/>
        </w:rPr>
        <w:t>70% DFE rule</w:t>
      </w:r>
      <w:r w:rsidRPr="00583E1A">
        <w:t xml:space="preserve"> has the meaning given by section</w:t>
      </w:r>
      <w:r w:rsidR="00583E1A">
        <w:t> </w:t>
      </w:r>
      <w:r w:rsidRPr="00583E1A">
        <w:t>394</w:t>
      </w:r>
      <w:r w:rsidR="00583E1A">
        <w:noBreakHyphen/>
      </w:r>
      <w:r w:rsidRPr="00583E1A">
        <w:t>35.</w:t>
      </w:r>
    </w:p>
    <w:p w:rsidR="00887330" w:rsidRPr="00583E1A" w:rsidRDefault="00887330" w:rsidP="00887330">
      <w:pPr>
        <w:pStyle w:val="Definition"/>
      </w:pPr>
      <w:r w:rsidRPr="00583E1A">
        <w:rPr>
          <w:b/>
          <w:i/>
        </w:rPr>
        <w:t>95% services indirect value shift</w:t>
      </w:r>
      <w:r w:rsidRPr="00583E1A">
        <w:t xml:space="preserve"> has the meaning given by section</w:t>
      </w:r>
      <w:r w:rsidR="00583E1A">
        <w:t> </w:t>
      </w:r>
      <w:r w:rsidRPr="00583E1A">
        <w:t>727</w:t>
      </w:r>
      <w:r w:rsidR="00583E1A">
        <w:noBreakHyphen/>
      </w:r>
      <w:r w:rsidRPr="00583E1A">
        <w:t>700.</w:t>
      </w:r>
    </w:p>
    <w:p w:rsidR="00887330" w:rsidRPr="00583E1A" w:rsidRDefault="00887330" w:rsidP="00887330">
      <w:pPr>
        <w:pStyle w:val="Definition"/>
      </w:pPr>
      <w:r w:rsidRPr="00583E1A">
        <w:rPr>
          <w:b/>
          <w:i/>
        </w:rPr>
        <w:t>100% subsidiary</w:t>
      </w:r>
      <w:r w:rsidRPr="00583E1A">
        <w:t xml:space="preserve"> has the meaning given by section</w:t>
      </w:r>
      <w:r w:rsidR="00583E1A">
        <w:t> </w:t>
      </w:r>
      <w:r w:rsidRPr="00583E1A">
        <w:t>975</w:t>
      </w:r>
      <w:r w:rsidR="00583E1A">
        <w:noBreakHyphen/>
      </w:r>
      <w:r w:rsidRPr="00583E1A">
        <w:t>505.</w:t>
      </w:r>
    </w:p>
    <w:p w:rsidR="00887330" w:rsidRPr="00583E1A" w:rsidRDefault="00887330" w:rsidP="00887330">
      <w:pPr>
        <w:pStyle w:val="Definition"/>
      </w:pPr>
      <w:r w:rsidRPr="00583E1A">
        <w:rPr>
          <w:b/>
          <w:i/>
        </w:rPr>
        <w:t>165</w:t>
      </w:r>
      <w:r w:rsidR="00583E1A">
        <w:rPr>
          <w:b/>
          <w:i/>
        </w:rPr>
        <w:noBreakHyphen/>
      </w:r>
      <w:r w:rsidRPr="00583E1A">
        <w:rPr>
          <w:b/>
          <w:i/>
        </w:rPr>
        <w:t>CC tagged asset</w:t>
      </w:r>
      <w:r w:rsidRPr="00583E1A">
        <w:t xml:space="preserve"> has the meaning given by section</w:t>
      </w:r>
      <w:r w:rsidR="00583E1A">
        <w:t> </w:t>
      </w:r>
      <w:r w:rsidRPr="00583E1A">
        <w:t>715</w:t>
      </w:r>
      <w:r w:rsidR="00583E1A">
        <w:noBreakHyphen/>
      </w:r>
      <w:r w:rsidRPr="00583E1A">
        <w:t>30.</w:t>
      </w:r>
    </w:p>
    <w:p w:rsidR="00887330" w:rsidRPr="00583E1A" w:rsidRDefault="00887330" w:rsidP="00887330">
      <w:pPr>
        <w:pStyle w:val="Definition"/>
      </w:pPr>
      <w:r w:rsidRPr="00583E1A">
        <w:rPr>
          <w:b/>
          <w:i/>
        </w:rPr>
        <w:t>170</w:t>
      </w:r>
      <w:r w:rsidR="00583E1A">
        <w:rPr>
          <w:b/>
          <w:i/>
        </w:rPr>
        <w:noBreakHyphen/>
      </w:r>
      <w:r w:rsidRPr="00583E1A">
        <w:rPr>
          <w:b/>
          <w:i/>
        </w:rPr>
        <w:t>D deferred loss</w:t>
      </w:r>
      <w:r w:rsidRPr="00583E1A">
        <w:t xml:space="preserve"> has the meaning given by section</w:t>
      </w:r>
      <w:r w:rsidR="00583E1A">
        <w:t> </w:t>
      </w:r>
      <w:r w:rsidRPr="00583E1A">
        <w:t>715</w:t>
      </w:r>
      <w:r w:rsidR="00583E1A">
        <w:noBreakHyphen/>
      </w:r>
      <w:r w:rsidRPr="00583E1A">
        <w:t>310.</w:t>
      </w:r>
    </w:p>
    <w:p w:rsidR="00887330" w:rsidRPr="00583E1A" w:rsidRDefault="00887330" w:rsidP="00887330">
      <w:pPr>
        <w:pStyle w:val="Definition"/>
      </w:pPr>
      <w:r w:rsidRPr="00583E1A">
        <w:rPr>
          <w:b/>
          <w:i/>
        </w:rPr>
        <w:t>AAT</w:t>
      </w:r>
      <w:r w:rsidRPr="00583E1A">
        <w:t xml:space="preserve"> means the Administrative Appeals Tribunal.</w:t>
      </w:r>
    </w:p>
    <w:p w:rsidR="00887330" w:rsidRPr="00583E1A" w:rsidRDefault="00887330" w:rsidP="00887330">
      <w:pPr>
        <w:pStyle w:val="Definition"/>
      </w:pPr>
      <w:r w:rsidRPr="00583E1A">
        <w:rPr>
          <w:b/>
          <w:i/>
        </w:rPr>
        <w:t>ABN</w:t>
      </w:r>
      <w:r w:rsidRPr="00583E1A">
        <w:t xml:space="preserve"> has the meaning given by the </w:t>
      </w:r>
      <w:r w:rsidRPr="00583E1A">
        <w:rPr>
          <w:i/>
        </w:rPr>
        <w:t>A New Tax System (Australian Business Number) Act 1999</w:t>
      </w:r>
      <w:r w:rsidRPr="00583E1A">
        <w:t>.</w:t>
      </w:r>
    </w:p>
    <w:p w:rsidR="00887330" w:rsidRPr="00583E1A" w:rsidRDefault="00887330" w:rsidP="00887330">
      <w:pPr>
        <w:pStyle w:val="Definition"/>
      </w:pPr>
      <w:r w:rsidRPr="00583E1A">
        <w:rPr>
          <w:b/>
          <w:i/>
        </w:rPr>
        <w:t>abnormal trading</w:t>
      </w:r>
      <w:r w:rsidRPr="00583E1A">
        <w:t xml:space="preserve"> has the meaning given by Subdivision</w:t>
      </w:r>
      <w:r w:rsidR="00583E1A">
        <w:t> </w:t>
      </w:r>
      <w:r w:rsidRPr="00583E1A">
        <w:t>960</w:t>
      </w:r>
      <w:r w:rsidR="00583E1A">
        <w:noBreakHyphen/>
      </w:r>
      <w:r w:rsidRPr="00583E1A">
        <w:t>H.</w:t>
      </w:r>
    </w:p>
    <w:p w:rsidR="00887330" w:rsidRPr="00583E1A" w:rsidRDefault="00887330" w:rsidP="00887330">
      <w:pPr>
        <w:pStyle w:val="Definition"/>
      </w:pPr>
      <w:r w:rsidRPr="00583E1A">
        <w:rPr>
          <w:b/>
          <w:i/>
        </w:rPr>
        <w:t>Aboriginal</w:t>
      </w:r>
      <w:r w:rsidRPr="00583E1A">
        <w:t xml:space="preserve"> has the meaning given by section</w:t>
      </w:r>
      <w:r w:rsidR="00583E1A">
        <w:t> </w:t>
      </w:r>
      <w:r w:rsidRPr="00583E1A">
        <w:t xml:space="preserve">128U of the </w:t>
      </w:r>
      <w:r w:rsidRPr="00583E1A">
        <w:rPr>
          <w:i/>
        </w:rPr>
        <w:t>Income Tax Assessment Act 1936</w:t>
      </w:r>
      <w:r w:rsidRPr="00583E1A">
        <w:t>.</w:t>
      </w:r>
    </w:p>
    <w:p w:rsidR="00887330" w:rsidRPr="00583E1A" w:rsidRDefault="00887330" w:rsidP="00887330">
      <w:pPr>
        <w:pStyle w:val="Definition"/>
      </w:pPr>
      <w:r w:rsidRPr="00583E1A">
        <w:rPr>
          <w:b/>
          <w:i/>
        </w:rPr>
        <w:t>above</w:t>
      </w:r>
      <w:r w:rsidR="00583E1A">
        <w:rPr>
          <w:b/>
          <w:i/>
        </w:rPr>
        <w:noBreakHyphen/>
      </w:r>
      <w:r w:rsidRPr="00583E1A">
        <w:rPr>
          <w:b/>
          <w:i/>
        </w:rPr>
        <w:t>average special professional income</w:t>
      </w:r>
      <w:r w:rsidRPr="00583E1A">
        <w:t xml:space="preserve"> has the meaning given by section</w:t>
      </w:r>
      <w:r w:rsidR="00583E1A">
        <w:t> </w:t>
      </w:r>
      <w:r w:rsidRPr="00583E1A">
        <w:t>405</w:t>
      </w:r>
      <w:r w:rsidR="00583E1A">
        <w:noBreakHyphen/>
      </w:r>
      <w:r w:rsidRPr="00583E1A">
        <w:t>15.</w:t>
      </w:r>
    </w:p>
    <w:p w:rsidR="00887330" w:rsidRPr="00583E1A" w:rsidRDefault="00887330" w:rsidP="00887330">
      <w:pPr>
        <w:pStyle w:val="Definition"/>
      </w:pPr>
      <w:r w:rsidRPr="00583E1A">
        <w:rPr>
          <w:b/>
          <w:i/>
        </w:rPr>
        <w:t>acceptable amount</w:t>
      </w:r>
      <w:r w:rsidRPr="00583E1A">
        <w:t xml:space="preserve"> of an instalment for an </w:t>
      </w:r>
      <w:r w:rsidR="00583E1A" w:rsidRPr="00583E1A">
        <w:rPr>
          <w:position w:val="6"/>
          <w:sz w:val="16"/>
        </w:rPr>
        <w:t>*</w:t>
      </w:r>
      <w:r w:rsidRPr="00583E1A">
        <w:t>instalment quarter has the meaning given by section</w:t>
      </w:r>
      <w:r w:rsidR="00583E1A">
        <w:t> </w:t>
      </w:r>
      <w:r w:rsidRPr="00583E1A">
        <w:t>45</w:t>
      </w:r>
      <w:r w:rsidR="00583E1A">
        <w:noBreakHyphen/>
      </w:r>
      <w:r w:rsidRPr="00583E1A">
        <w:t>232 in Schedule</w:t>
      </w:r>
      <w:r w:rsidR="00583E1A">
        <w:t> </w:t>
      </w:r>
      <w:r w:rsidRPr="00583E1A">
        <w:t xml:space="preserve">1 to the </w:t>
      </w:r>
      <w:r w:rsidRPr="00583E1A">
        <w:rPr>
          <w:i/>
        </w:rPr>
        <w:t>Taxation Administration Act 1953</w:t>
      </w:r>
      <w:r w:rsidRPr="00583E1A">
        <w:t>.</w:t>
      </w:r>
    </w:p>
    <w:p w:rsidR="00887330" w:rsidRPr="00583E1A" w:rsidRDefault="00887330" w:rsidP="00887330">
      <w:pPr>
        <w:pStyle w:val="Definition"/>
        <w:rPr>
          <w:sz w:val="20"/>
        </w:rPr>
      </w:pPr>
      <w:r w:rsidRPr="00583E1A">
        <w:rPr>
          <w:b/>
          <w:i/>
        </w:rPr>
        <w:t xml:space="preserve">accountable membership interest </w:t>
      </w:r>
      <w:r w:rsidRPr="00583E1A">
        <w:t>has the meaning given by section</w:t>
      </w:r>
      <w:r w:rsidR="00583E1A">
        <w:t> </w:t>
      </w:r>
      <w:r w:rsidRPr="00583E1A">
        <w:t>208</w:t>
      </w:r>
      <w:r w:rsidR="00583E1A">
        <w:noBreakHyphen/>
      </w:r>
      <w:r w:rsidRPr="00583E1A">
        <w:t>30.</w:t>
      </w:r>
    </w:p>
    <w:p w:rsidR="00887330" w:rsidRPr="00583E1A" w:rsidRDefault="00887330" w:rsidP="00887330">
      <w:pPr>
        <w:pStyle w:val="Definition"/>
        <w:rPr>
          <w:sz w:val="20"/>
        </w:rPr>
      </w:pPr>
      <w:r w:rsidRPr="00583E1A">
        <w:rPr>
          <w:b/>
          <w:i/>
        </w:rPr>
        <w:t xml:space="preserve">accountable partial interest </w:t>
      </w:r>
      <w:r w:rsidRPr="00583E1A">
        <w:t>has the meaning given by section</w:t>
      </w:r>
      <w:r w:rsidR="00583E1A">
        <w:t> </w:t>
      </w:r>
      <w:r w:rsidRPr="00583E1A">
        <w:t>208</w:t>
      </w:r>
      <w:r w:rsidR="00583E1A">
        <w:noBreakHyphen/>
      </w:r>
      <w:r w:rsidRPr="00583E1A">
        <w:t>35.</w:t>
      </w:r>
    </w:p>
    <w:p w:rsidR="004B3089" w:rsidRPr="0038586A" w:rsidRDefault="004B3089" w:rsidP="004B3089">
      <w:pPr>
        <w:pStyle w:val="Definition"/>
      </w:pPr>
      <w:r w:rsidRPr="0038586A">
        <w:rPr>
          <w:b/>
          <w:i/>
        </w:rPr>
        <w:lastRenderedPageBreak/>
        <w:t>accounting principles</w:t>
      </w:r>
      <w:r w:rsidRPr="0038586A">
        <w:t xml:space="preserve">: A matter is in accordance with </w:t>
      </w:r>
      <w:r w:rsidRPr="0038586A">
        <w:rPr>
          <w:b/>
          <w:i/>
        </w:rPr>
        <w:t xml:space="preserve">accounting principles </w:t>
      </w:r>
      <w:r w:rsidRPr="0038586A">
        <w:t>if it is in accordance with:</w:t>
      </w:r>
    </w:p>
    <w:p w:rsidR="004B3089" w:rsidRPr="0038586A" w:rsidRDefault="004B3089" w:rsidP="004B3089">
      <w:pPr>
        <w:pStyle w:val="paragraph"/>
      </w:pPr>
      <w:r w:rsidRPr="0038586A">
        <w:tab/>
        <w:t>(a)</w:t>
      </w:r>
      <w:r w:rsidRPr="0038586A">
        <w:tab/>
      </w:r>
      <w:r w:rsidRPr="0038586A">
        <w:rPr>
          <w:position w:val="6"/>
          <w:sz w:val="16"/>
        </w:rPr>
        <w:t>*</w:t>
      </w:r>
      <w:r w:rsidRPr="0038586A">
        <w:t>accounting standards; or</w:t>
      </w:r>
    </w:p>
    <w:p w:rsidR="004B3089" w:rsidRPr="0038586A" w:rsidRDefault="004B3089" w:rsidP="004B3089">
      <w:pPr>
        <w:pStyle w:val="paragraph"/>
      </w:pPr>
      <w:r w:rsidRPr="0038586A">
        <w:tab/>
        <w:t>(b)</w:t>
      </w:r>
      <w:r w:rsidRPr="0038586A">
        <w:tab/>
        <w:t>if there are no accounting standards applicable to the matter—authoritative pronouncements of the Australian Accounting Standards Board that apply to the preparation of financial statements.</w:t>
      </w:r>
    </w:p>
    <w:p w:rsidR="004B3089" w:rsidRPr="0038586A" w:rsidRDefault="004B3089" w:rsidP="004B3089">
      <w:pPr>
        <w:pStyle w:val="Definition"/>
      </w:pPr>
      <w:r w:rsidRPr="0038586A">
        <w:rPr>
          <w:b/>
          <w:i/>
        </w:rPr>
        <w:t>accounting principles for tax cost setting</w:t>
      </w:r>
      <w:r w:rsidRPr="0038586A">
        <w:t xml:space="preserve"> has the meaning given by:</w:t>
      </w:r>
    </w:p>
    <w:p w:rsidR="004B3089" w:rsidRPr="0038586A" w:rsidRDefault="004B3089" w:rsidP="004B3089">
      <w:pPr>
        <w:pStyle w:val="paragraph"/>
      </w:pPr>
      <w:r w:rsidRPr="0038586A">
        <w:tab/>
        <w:t>(a)</w:t>
      </w:r>
      <w:r w:rsidRPr="0038586A">
        <w:tab/>
        <w:t>subsection 705</w:t>
      </w:r>
      <w:r w:rsidRPr="0038586A">
        <w:noBreakHyphen/>
        <w:t>70(3); and</w:t>
      </w:r>
    </w:p>
    <w:p w:rsidR="004B3089" w:rsidRPr="0038586A" w:rsidRDefault="004B3089" w:rsidP="004B3089">
      <w:pPr>
        <w:pStyle w:val="paragraph"/>
      </w:pPr>
      <w:r w:rsidRPr="0038586A">
        <w:tab/>
        <w:t>(b)</w:t>
      </w:r>
      <w:r w:rsidRPr="0038586A">
        <w:tab/>
        <w:t>subsection 711</w:t>
      </w:r>
      <w:r w:rsidRPr="0038586A">
        <w:noBreakHyphen/>
        <w:t>45(1A).</w:t>
      </w:r>
    </w:p>
    <w:p w:rsidR="00887330" w:rsidRPr="00583E1A" w:rsidRDefault="00887330" w:rsidP="00887330">
      <w:pPr>
        <w:pStyle w:val="Definition"/>
      </w:pPr>
      <w:r w:rsidRPr="00583E1A">
        <w:rPr>
          <w:b/>
          <w:i/>
        </w:rPr>
        <w:t>accounting standards</w:t>
      </w:r>
      <w:r w:rsidRPr="00583E1A">
        <w:t xml:space="preserve"> has the same meaning as in the </w:t>
      </w:r>
      <w:r w:rsidRPr="00583E1A">
        <w:rPr>
          <w:i/>
        </w:rPr>
        <w:t>Corporations Act 2001</w:t>
      </w:r>
      <w:r w:rsidRPr="00583E1A">
        <w:t>.</w:t>
      </w:r>
    </w:p>
    <w:p w:rsidR="00887330" w:rsidRPr="00583E1A" w:rsidRDefault="00887330" w:rsidP="00887330">
      <w:pPr>
        <w:pStyle w:val="Definition"/>
      </w:pPr>
      <w:r w:rsidRPr="00583E1A">
        <w:rPr>
          <w:b/>
          <w:i/>
        </w:rPr>
        <w:t>accrued leave transfer payment</w:t>
      </w:r>
      <w:r w:rsidRPr="00583E1A">
        <w:t xml:space="preserve"> has the meaning given by subsection 26</w:t>
      </w:r>
      <w:r w:rsidR="00583E1A">
        <w:noBreakHyphen/>
      </w:r>
      <w:r w:rsidRPr="00583E1A">
        <w:t>10(2).</w:t>
      </w:r>
    </w:p>
    <w:p w:rsidR="00887330" w:rsidRPr="00583E1A" w:rsidRDefault="00887330" w:rsidP="00887330">
      <w:pPr>
        <w:pStyle w:val="Definition"/>
      </w:pPr>
      <w:r w:rsidRPr="00583E1A">
        <w:rPr>
          <w:b/>
          <w:i/>
        </w:rPr>
        <w:t>accumulated HELP debt</w:t>
      </w:r>
      <w:r w:rsidRPr="00583E1A">
        <w:t xml:space="preserve"> has the meaning given by section</w:t>
      </w:r>
      <w:r w:rsidR="00583E1A">
        <w:t> </w:t>
      </w:r>
      <w:r w:rsidRPr="00583E1A">
        <w:t>140</w:t>
      </w:r>
      <w:r w:rsidR="00583E1A">
        <w:noBreakHyphen/>
      </w:r>
      <w:r w:rsidRPr="00583E1A">
        <w:t xml:space="preserve">25 of the </w:t>
      </w:r>
      <w:r w:rsidRPr="00583E1A">
        <w:rPr>
          <w:i/>
        </w:rPr>
        <w:t>Higher Education Support Act 2003</w:t>
      </w:r>
      <w:r w:rsidRPr="00583E1A">
        <w:t>.</w:t>
      </w:r>
    </w:p>
    <w:p w:rsidR="00887330" w:rsidRPr="00583E1A" w:rsidRDefault="00887330" w:rsidP="00887330">
      <w:pPr>
        <w:pStyle w:val="Definition"/>
      </w:pPr>
      <w:r w:rsidRPr="00583E1A">
        <w:rPr>
          <w:b/>
          <w:i/>
        </w:rPr>
        <w:t>acquire</w:t>
      </w:r>
      <w:r w:rsidRPr="00583E1A">
        <w:t>:</w:t>
      </w:r>
    </w:p>
    <w:p w:rsidR="00887330" w:rsidRPr="00583E1A" w:rsidRDefault="00887330" w:rsidP="00887330">
      <w:pPr>
        <w:pStyle w:val="paragraph"/>
      </w:pPr>
      <w:r w:rsidRPr="00583E1A">
        <w:tab/>
        <w:t>(a)</w:t>
      </w:r>
      <w:r w:rsidRPr="00583E1A">
        <w:tab/>
        <w:t xml:space="preserve">a </w:t>
      </w:r>
      <w:r w:rsidR="00583E1A" w:rsidRPr="00583E1A">
        <w:rPr>
          <w:position w:val="6"/>
          <w:sz w:val="16"/>
        </w:rPr>
        <w:t>*</w:t>
      </w:r>
      <w:r w:rsidRPr="00583E1A">
        <w:t xml:space="preserve">CGT asset: you </w:t>
      </w:r>
      <w:r w:rsidRPr="00583E1A">
        <w:rPr>
          <w:b/>
          <w:i/>
        </w:rPr>
        <w:t>acquire</w:t>
      </w:r>
      <w:r w:rsidRPr="00583E1A">
        <w:t xml:space="preserve"> a CGT asset (in its capacity as a CGT asset) in the circumstances and at the time worked out under Division</w:t>
      </w:r>
      <w:r w:rsidR="00583E1A">
        <w:t> </w:t>
      </w:r>
      <w:r w:rsidRPr="00583E1A">
        <w:t>109 (including under a provision listed in Subdivision</w:t>
      </w:r>
      <w:r w:rsidR="00583E1A">
        <w:t> </w:t>
      </w:r>
      <w:r w:rsidRPr="00583E1A">
        <w:t>109</w:t>
      </w:r>
      <w:r w:rsidR="00583E1A">
        <w:noBreakHyphen/>
      </w:r>
      <w:r w:rsidRPr="00583E1A">
        <w:t>B); and</w:t>
      </w:r>
    </w:p>
    <w:p w:rsidR="00887330" w:rsidRPr="00583E1A" w:rsidRDefault="00887330" w:rsidP="007F5A03">
      <w:pPr>
        <w:pStyle w:val="noteToPara"/>
      </w:pPr>
      <w:r w:rsidRPr="00583E1A">
        <w:t>Note:</w:t>
      </w:r>
      <w:r w:rsidRPr="00583E1A">
        <w:tab/>
        <w:t>A CGT asset acquired before 20</w:t>
      </w:r>
      <w:r w:rsidR="00583E1A">
        <w:t> </w:t>
      </w:r>
      <w:r w:rsidRPr="00583E1A">
        <w:t>September 1985</w:t>
      </w:r>
      <w:r w:rsidR="00583E1A">
        <w:t> </w:t>
      </w:r>
      <w:r w:rsidRPr="00583E1A">
        <w:t>may be treated as having been acquired on or after that day: see, for example, Division</w:t>
      </w:r>
      <w:r w:rsidR="00583E1A">
        <w:t> </w:t>
      </w:r>
      <w:r w:rsidRPr="00583E1A">
        <w:t>149.</w:t>
      </w:r>
    </w:p>
    <w:p w:rsidR="00887330" w:rsidRPr="00583E1A" w:rsidRDefault="00887330" w:rsidP="00887330">
      <w:pPr>
        <w:pStyle w:val="paragraph"/>
        <w:tabs>
          <w:tab w:val="left" w:pos="2268"/>
          <w:tab w:val="left" w:pos="3402"/>
          <w:tab w:val="left" w:pos="4536"/>
          <w:tab w:val="left" w:pos="5670"/>
          <w:tab w:val="left" w:pos="6804"/>
        </w:tabs>
      </w:pPr>
      <w:r w:rsidRPr="00583E1A">
        <w:tab/>
        <w:t>(b)</w:t>
      </w:r>
      <w:r w:rsidRPr="00583E1A">
        <w:tab/>
        <w:t xml:space="preserve">an item of </w:t>
      </w:r>
      <w:r w:rsidR="00583E1A" w:rsidRPr="00583E1A">
        <w:rPr>
          <w:position w:val="6"/>
          <w:sz w:val="16"/>
        </w:rPr>
        <w:t>*</w:t>
      </w:r>
      <w:r w:rsidRPr="00583E1A">
        <w:t xml:space="preserve">intellectual property: an entity does not </w:t>
      </w:r>
      <w:r w:rsidRPr="00583E1A">
        <w:rPr>
          <w:b/>
          <w:i/>
        </w:rPr>
        <w:t>acquire</w:t>
      </w:r>
      <w:r w:rsidRPr="00583E1A">
        <w:t xml:space="preserve"> an item of intellectual property merely because a licence relating to a patent, design or copyright is surrendered to the entity.</w:t>
      </w:r>
    </w:p>
    <w:p w:rsidR="00887330" w:rsidRPr="00583E1A" w:rsidRDefault="00887330" w:rsidP="00887330">
      <w:pPr>
        <w:pStyle w:val="Definition"/>
      </w:pPr>
      <w:r w:rsidRPr="00583E1A">
        <w:rPr>
          <w:b/>
          <w:i/>
        </w:rPr>
        <w:t>acquisition time</w:t>
      </w:r>
      <w:r w:rsidRPr="00583E1A">
        <w:t xml:space="preserve"> has the meaning given by section</w:t>
      </w:r>
      <w:r w:rsidR="00583E1A">
        <w:t> </w:t>
      </w:r>
      <w:r w:rsidRPr="00583E1A">
        <w:t>58</w:t>
      </w:r>
      <w:r w:rsidR="00583E1A">
        <w:noBreakHyphen/>
      </w:r>
      <w:r w:rsidRPr="00583E1A">
        <w:t>5.</w:t>
      </w:r>
    </w:p>
    <w:p w:rsidR="00887330" w:rsidRPr="00583E1A" w:rsidRDefault="00887330" w:rsidP="00887330">
      <w:pPr>
        <w:pStyle w:val="Definition"/>
      </w:pPr>
      <w:r w:rsidRPr="00583E1A">
        <w:rPr>
          <w:b/>
          <w:i/>
        </w:rPr>
        <w:t>acquisition year</w:t>
      </w:r>
      <w:r w:rsidRPr="00583E1A">
        <w:t xml:space="preserve"> has the meaning given by section</w:t>
      </w:r>
      <w:r w:rsidR="00583E1A">
        <w:t> </w:t>
      </w:r>
      <w:r w:rsidRPr="00583E1A">
        <w:t>58</w:t>
      </w:r>
      <w:r w:rsidR="00583E1A">
        <w:noBreakHyphen/>
      </w:r>
      <w:r w:rsidRPr="00583E1A">
        <w:t>5.</w:t>
      </w:r>
    </w:p>
    <w:p w:rsidR="00887330" w:rsidRPr="00583E1A" w:rsidRDefault="00887330" w:rsidP="00887330">
      <w:pPr>
        <w:pStyle w:val="Definition"/>
      </w:pPr>
      <w:r w:rsidRPr="00583E1A">
        <w:rPr>
          <w:b/>
          <w:i/>
        </w:rPr>
        <w:t>active asset</w:t>
      </w:r>
      <w:r w:rsidRPr="00583E1A">
        <w:t xml:space="preserve"> has the meaning given by section</w:t>
      </w:r>
      <w:r w:rsidR="00583E1A">
        <w:t> </w:t>
      </w:r>
      <w:r w:rsidRPr="00583E1A">
        <w:t>152</w:t>
      </w:r>
      <w:r w:rsidR="00583E1A">
        <w:noBreakHyphen/>
      </w:r>
      <w:r w:rsidRPr="00583E1A">
        <w:t>40.</w:t>
      </w:r>
    </w:p>
    <w:p w:rsidR="00887330" w:rsidRPr="00583E1A" w:rsidRDefault="00887330" w:rsidP="00887330">
      <w:pPr>
        <w:pStyle w:val="Definition"/>
      </w:pPr>
      <w:r w:rsidRPr="00583E1A">
        <w:rPr>
          <w:b/>
          <w:i/>
        </w:rPr>
        <w:lastRenderedPageBreak/>
        <w:t xml:space="preserve">active foreign business asset </w:t>
      </w:r>
      <w:r w:rsidRPr="00583E1A">
        <w:t>of a company that is a foreign resident has the meaning given by section</w:t>
      </w:r>
      <w:r w:rsidR="00583E1A">
        <w:t> </w:t>
      </w:r>
      <w:r w:rsidRPr="00583E1A">
        <w:t>768</w:t>
      </w:r>
      <w:r w:rsidR="00583E1A">
        <w:noBreakHyphen/>
      </w:r>
      <w:r w:rsidRPr="00583E1A">
        <w:t>540.</w:t>
      </w:r>
    </w:p>
    <w:p w:rsidR="00887330" w:rsidRPr="00583E1A" w:rsidRDefault="00887330" w:rsidP="00887330">
      <w:pPr>
        <w:pStyle w:val="Definition"/>
      </w:pPr>
      <w:r w:rsidRPr="00583E1A">
        <w:rPr>
          <w:b/>
          <w:i/>
        </w:rPr>
        <w:t>active foreign business asset percentage</w:t>
      </w:r>
      <w:r w:rsidRPr="00583E1A">
        <w:t xml:space="preserve"> of a company has the meaning given by section</w:t>
      </w:r>
      <w:r w:rsidR="00583E1A">
        <w:t> </w:t>
      </w:r>
      <w:r w:rsidRPr="00583E1A">
        <w:t>768</w:t>
      </w:r>
      <w:r w:rsidR="00583E1A">
        <w:noBreakHyphen/>
      </w:r>
      <w:r w:rsidRPr="00583E1A">
        <w:t>510.</w:t>
      </w:r>
    </w:p>
    <w:p w:rsidR="00887330" w:rsidRPr="00583E1A" w:rsidRDefault="00887330" w:rsidP="00887330">
      <w:pPr>
        <w:pStyle w:val="Definition"/>
      </w:pPr>
      <w:r w:rsidRPr="00583E1A">
        <w:rPr>
          <w:b/>
          <w:i/>
        </w:rPr>
        <w:t>active participant</w:t>
      </w:r>
      <w:r w:rsidRPr="00583E1A">
        <w:t>:</w:t>
      </w:r>
    </w:p>
    <w:p w:rsidR="00887330" w:rsidRPr="00583E1A" w:rsidRDefault="00887330" w:rsidP="00887330">
      <w:pPr>
        <w:pStyle w:val="paragraph"/>
      </w:pPr>
      <w:r w:rsidRPr="00583E1A">
        <w:tab/>
        <w:t>(a)</w:t>
      </w:r>
      <w:r w:rsidRPr="00583E1A">
        <w:tab/>
        <w:t xml:space="preserve">in a </w:t>
      </w:r>
      <w:r w:rsidR="00583E1A" w:rsidRPr="00583E1A">
        <w:rPr>
          <w:position w:val="6"/>
          <w:sz w:val="16"/>
        </w:rPr>
        <w:t>*</w:t>
      </w:r>
      <w:r w:rsidRPr="00583E1A">
        <w:t xml:space="preserve">scheme under which there is a </w:t>
      </w:r>
      <w:r w:rsidR="00583E1A" w:rsidRPr="00583E1A">
        <w:rPr>
          <w:position w:val="6"/>
          <w:sz w:val="16"/>
        </w:rPr>
        <w:t>*</w:t>
      </w:r>
      <w:r w:rsidRPr="00583E1A">
        <w:t>direct value shift, has the meaning given by subsection 725</w:t>
      </w:r>
      <w:r w:rsidR="00583E1A">
        <w:noBreakHyphen/>
      </w:r>
      <w:r w:rsidRPr="00583E1A">
        <w:t>65(2); and</w:t>
      </w:r>
    </w:p>
    <w:p w:rsidR="00887330" w:rsidRPr="00583E1A" w:rsidRDefault="00887330" w:rsidP="00887330">
      <w:pPr>
        <w:pStyle w:val="paragraph"/>
      </w:pPr>
      <w:r w:rsidRPr="00583E1A">
        <w:tab/>
        <w:t>(b)</w:t>
      </w:r>
      <w:r w:rsidRPr="00583E1A">
        <w:tab/>
        <w:t xml:space="preserve">in a </w:t>
      </w:r>
      <w:r w:rsidR="00583E1A" w:rsidRPr="00583E1A">
        <w:rPr>
          <w:position w:val="6"/>
          <w:sz w:val="16"/>
        </w:rPr>
        <w:t>*</w:t>
      </w:r>
      <w:r w:rsidRPr="00583E1A">
        <w:t xml:space="preserve">scheme under which there is an </w:t>
      </w:r>
      <w:r w:rsidR="00583E1A" w:rsidRPr="00583E1A">
        <w:rPr>
          <w:position w:val="6"/>
          <w:sz w:val="16"/>
        </w:rPr>
        <w:t>*</w:t>
      </w:r>
      <w:r w:rsidRPr="00583E1A">
        <w:t>indirect value shift, has the meaning given by subsection 727</w:t>
      </w:r>
      <w:r w:rsidR="00583E1A">
        <w:noBreakHyphen/>
      </w:r>
      <w:r w:rsidRPr="00583E1A">
        <w:t>530(3).</w:t>
      </w:r>
    </w:p>
    <w:p w:rsidR="001A71C1" w:rsidRPr="00E811AF" w:rsidRDefault="001A71C1" w:rsidP="001A71C1">
      <w:pPr>
        <w:pStyle w:val="Definition"/>
      </w:pPr>
      <w:r w:rsidRPr="00E811AF">
        <w:rPr>
          <w:b/>
          <w:i/>
        </w:rPr>
        <w:t>actual cost method</w:t>
      </w:r>
      <w:r w:rsidRPr="00E811AF">
        <w:t xml:space="preserve"> of working out the </w:t>
      </w:r>
      <w:r w:rsidRPr="00E811AF">
        <w:rPr>
          <w:position w:val="6"/>
          <w:sz w:val="16"/>
        </w:rPr>
        <w:t>*</w:t>
      </w:r>
      <w:r w:rsidRPr="00E811AF">
        <w:t xml:space="preserve">value of a </w:t>
      </w:r>
      <w:r w:rsidRPr="00E811AF">
        <w:rPr>
          <w:position w:val="6"/>
          <w:sz w:val="16"/>
        </w:rPr>
        <w:t>*</w:t>
      </w:r>
      <w:r w:rsidRPr="00E811AF">
        <w:t>registered emissions unit has the meaning given by section 420</w:t>
      </w:r>
      <w:r w:rsidRPr="00E811AF">
        <w:noBreakHyphen/>
        <w:t>53.</w:t>
      </w:r>
    </w:p>
    <w:p w:rsidR="00887330" w:rsidRPr="00583E1A" w:rsidRDefault="00887330" w:rsidP="00887330">
      <w:pPr>
        <w:pStyle w:val="Definition"/>
      </w:pPr>
      <w:r w:rsidRPr="00583E1A">
        <w:rPr>
          <w:b/>
          <w:i/>
        </w:rPr>
        <w:t>actuary</w:t>
      </w:r>
      <w:r w:rsidRPr="00583E1A">
        <w:t xml:space="preserve"> means a Fellow or Accredited Member of the </w:t>
      </w:r>
      <w:smartTag w:uri="urn:schemas-microsoft-com:office:smarttags" w:element="place">
        <w:smartTag w:uri="urn:schemas-microsoft-com:office:smarttags" w:element="PlaceType">
          <w:r w:rsidRPr="00583E1A">
            <w:t>Institute</w:t>
          </w:r>
        </w:smartTag>
        <w:r w:rsidRPr="00583E1A">
          <w:t xml:space="preserve"> of </w:t>
        </w:r>
        <w:smartTag w:uri="urn:schemas-microsoft-com:office:smarttags" w:element="PlaceName">
          <w:r w:rsidRPr="00583E1A">
            <w:t>Actuaries</w:t>
          </w:r>
        </w:smartTag>
      </w:smartTag>
      <w:r w:rsidRPr="00583E1A">
        <w:t xml:space="preserve"> of </w:t>
      </w:r>
      <w:smartTag w:uri="urn:schemas-microsoft-com:office:smarttags" w:element="country-region">
        <w:smartTag w:uri="urn:schemas-microsoft-com:office:smarttags" w:element="place">
          <w:r w:rsidRPr="00583E1A">
            <w:t>Australia</w:t>
          </w:r>
        </w:smartTag>
      </w:smartTag>
      <w:r w:rsidRPr="00583E1A">
        <w:t>.</w:t>
      </w:r>
    </w:p>
    <w:p w:rsidR="00860ACC" w:rsidRPr="00583E1A" w:rsidRDefault="00860ACC" w:rsidP="00860ACC">
      <w:pPr>
        <w:pStyle w:val="Definition"/>
      </w:pPr>
      <w:r w:rsidRPr="00583E1A">
        <w:rPr>
          <w:b/>
          <w:i/>
        </w:rPr>
        <w:t>additional investment requirements for ESVCLPs</w:t>
      </w:r>
      <w:r w:rsidRPr="00583E1A">
        <w:t xml:space="preserve"> has the meaning given by subsection 118</w:t>
      </w:r>
      <w:r w:rsidR="00583E1A">
        <w:noBreakHyphen/>
      </w:r>
      <w:r w:rsidRPr="00583E1A">
        <w:t>428(1).</w:t>
      </w:r>
    </w:p>
    <w:p w:rsidR="00887330" w:rsidRPr="00583E1A" w:rsidRDefault="00887330" w:rsidP="00887330">
      <w:pPr>
        <w:pStyle w:val="Definition"/>
      </w:pPr>
      <w:r w:rsidRPr="00583E1A">
        <w:rPr>
          <w:b/>
          <w:i/>
        </w:rPr>
        <w:t>ADI</w:t>
      </w:r>
      <w:r w:rsidRPr="00583E1A">
        <w:t xml:space="preserve"> (authorised deposit</w:t>
      </w:r>
      <w:r w:rsidR="00583E1A">
        <w:noBreakHyphen/>
      </w:r>
      <w:r w:rsidRPr="00583E1A">
        <w:t xml:space="preserve">taking institution) means a body corporate that is an ADI for the purposes of the </w:t>
      </w:r>
      <w:r w:rsidRPr="00583E1A">
        <w:rPr>
          <w:i/>
        </w:rPr>
        <w:t>Banking Act 1959</w:t>
      </w:r>
      <w:r w:rsidRPr="00583E1A">
        <w:t>.</w:t>
      </w:r>
    </w:p>
    <w:p w:rsidR="00887330" w:rsidRPr="00583E1A" w:rsidRDefault="00887330" w:rsidP="00887330">
      <w:pPr>
        <w:pStyle w:val="Definition"/>
      </w:pPr>
      <w:r w:rsidRPr="00583E1A">
        <w:rPr>
          <w:b/>
          <w:i/>
        </w:rPr>
        <w:t>ADI equity capital</w:t>
      </w:r>
      <w:r w:rsidRPr="00583E1A">
        <w:t xml:space="preserve"> of an entity at a particular time means the total of the following:</w:t>
      </w:r>
    </w:p>
    <w:p w:rsidR="00887330" w:rsidRPr="00583E1A" w:rsidRDefault="00887330" w:rsidP="00887330">
      <w:pPr>
        <w:pStyle w:val="paragraph"/>
      </w:pPr>
      <w:r w:rsidRPr="00583E1A">
        <w:tab/>
        <w:t>(</w:t>
      </w:r>
      <w:r w:rsidRPr="00583E1A">
        <w:rPr>
          <w:noProof/>
        </w:rPr>
        <w:t>a</w:t>
      </w:r>
      <w:r w:rsidRPr="00583E1A">
        <w:t>)</w:t>
      </w:r>
      <w:r w:rsidRPr="00583E1A">
        <w:tab/>
        <w:t xml:space="preserve">all the entity’s </w:t>
      </w:r>
      <w:r w:rsidR="00583E1A" w:rsidRPr="00583E1A">
        <w:rPr>
          <w:position w:val="6"/>
          <w:sz w:val="16"/>
        </w:rPr>
        <w:t>*</w:t>
      </w:r>
      <w:r w:rsidRPr="00583E1A">
        <w:t>equity capital at that time; and</w:t>
      </w:r>
    </w:p>
    <w:p w:rsidR="00887330" w:rsidRPr="00583E1A" w:rsidRDefault="00887330" w:rsidP="00887330">
      <w:pPr>
        <w:pStyle w:val="paragraph"/>
      </w:pPr>
      <w:r w:rsidRPr="00583E1A">
        <w:tab/>
        <w:t>(</w:t>
      </w:r>
      <w:r w:rsidRPr="00583E1A">
        <w:rPr>
          <w:noProof/>
        </w:rPr>
        <w:t>b</w:t>
      </w:r>
      <w:r w:rsidRPr="00583E1A">
        <w:t>)</w:t>
      </w:r>
      <w:r w:rsidRPr="00583E1A">
        <w:tab/>
        <w:t xml:space="preserve">the total value of all the </w:t>
      </w:r>
      <w:r w:rsidR="00583E1A" w:rsidRPr="00583E1A">
        <w:rPr>
          <w:position w:val="6"/>
          <w:sz w:val="16"/>
        </w:rPr>
        <w:t>*</w:t>
      </w:r>
      <w:r w:rsidRPr="00583E1A">
        <w:t xml:space="preserve">debt interests </w:t>
      </w:r>
      <w:r w:rsidR="00583E1A" w:rsidRPr="00583E1A">
        <w:rPr>
          <w:position w:val="6"/>
          <w:sz w:val="16"/>
        </w:rPr>
        <w:t>*</w:t>
      </w:r>
      <w:r w:rsidRPr="00583E1A">
        <w:t>issued by the entity that satisfy all of the following:</w:t>
      </w:r>
    </w:p>
    <w:p w:rsidR="00887330" w:rsidRPr="00583E1A" w:rsidRDefault="00887330" w:rsidP="00887330">
      <w:pPr>
        <w:pStyle w:val="paragraphsub"/>
      </w:pPr>
      <w:r w:rsidRPr="00583E1A">
        <w:tab/>
        <w:t>(</w:t>
      </w:r>
      <w:r w:rsidRPr="00583E1A">
        <w:rPr>
          <w:noProof/>
        </w:rPr>
        <w:t>i</w:t>
      </w:r>
      <w:r w:rsidRPr="00583E1A">
        <w:t>)</w:t>
      </w:r>
      <w:r w:rsidRPr="00583E1A">
        <w:tab/>
        <w:t xml:space="preserve">at that time, the interests are </w:t>
      </w:r>
      <w:r w:rsidR="00583E1A" w:rsidRPr="00583E1A">
        <w:rPr>
          <w:position w:val="6"/>
          <w:sz w:val="16"/>
        </w:rPr>
        <w:t>*</w:t>
      </w:r>
      <w:r w:rsidRPr="00583E1A">
        <w:t>on issue and have been on issue for 90 days or more;</w:t>
      </w:r>
    </w:p>
    <w:p w:rsidR="00887330" w:rsidRPr="00583E1A" w:rsidRDefault="00887330" w:rsidP="00887330">
      <w:pPr>
        <w:pStyle w:val="paragraphsub"/>
      </w:pPr>
      <w:r w:rsidRPr="00583E1A">
        <w:tab/>
        <w:t>(</w:t>
      </w:r>
      <w:r w:rsidRPr="00583E1A">
        <w:rPr>
          <w:noProof/>
        </w:rPr>
        <w:t>ii</w:t>
      </w:r>
      <w:r w:rsidRPr="00583E1A">
        <w:t>)</w:t>
      </w:r>
      <w:r w:rsidRPr="00583E1A">
        <w:tab/>
        <w:t>none of the interests gives rise to any cost, at any time, that is covered by paragraph 820</w:t>
      </w:r>
      <w:r w:rsidR="00583E1A">
        <w:noBreakHyphen/>
      </w:r>
      <w:r w:rsidRPr="00583E1A">
        <w:t>40(1)(a).</w:t>
      </w:r>
    </w:p>
    <w:p w:rsidR="00887330" w:rsidRPr="00583E1A" w:rsidRDefault="00887330" w:rsidP="00887330">
      <w:pPr>
        <w:pStyle w:val="subsection2"/>
      </w:pPr>
      <w:r w:rsidRPr="00583E1A">
        <w:t xml:space="preserve">A debt interest is treated as having satisfied </w:t>
      </w:r>
      <w:r w:rsidR="00583E1A">
        <w:t>subparagraph (</w:t>
      </w:r>
      <w:r w:rsidRPr="00583E1A">
        <w:t>b)(i) at that time if it was on issue at that time, and the total period for which it remains on issue is 90 days or more.</w:t>
      </w:r>
    </w:p>
    <w:p w:rsidR="00531CBD" w:rsidRPr="0089714E" w:rsidRDefault="00531CBD" w:rsidP="00531CBD">
      <w:pPr>
        <w:pStyle w:val="Definition"/>
      </w:pPr>
      <w:r w:rsidRPr="0089714E">
        <w:rPr>
          <w:b/>
          <w:i/>
        </w:rPr>
        <w:t>adjacent land</w:t>
      </w:r>
      <w:r w:rsidRPr="0089714E">
        <w:t xml:space="preserve"> has the meaning given by subsection 118</w:t>
      </w:r>
      <w:r w:rsidRPr="0089714E">
        <w:noBreakHyphen/>
        <w:t>120(2).</w:t>
      </w:r>
    </w:p>
    <w:p w:rsidR="009C5FF9" w:rsidRPr="0089714E" w:rsidRDefault="009C5FF9" w:rsidP="009C5FF9">
      <w:pPr>
        <w:pStyle w:val="Definition"/>
      </w:pPr>
      <w:r w:rsidRPr="0089714E">
        <w:rPr>
          <w:b/>
          <w:i/>
        </w:rPr>
        <w:t>adjacent structure</w:t>
      </w:r>
      <w:r w:rsidRPr="0089714E">
        <w:t xml:space="preserve"> has the meaning given by subsection 118</w:t>
      </w:r>
      <w:r w:rsidRPr="0089714E">
        <w:noBreakHyphen/>
        <w:t>120(6).</w:t>
      </w:r>
    </w:p>
    <w:p w:rsidR="00887330" w:rsidRPr="00583E1A" w:rsidRDefault="00887330" w:rsidP="007D29DB">
      <w:pPr>
        <w:pStyle w:val="Definition"/>
        <w:keepNext/>
        <w:keepLines/>
      </w:pPr>
      <w:r w:rsidRPr="00583E1A">
        <w:rPr>
          <w:b/>
          <w:i/>
        </w:rPr>
        <w:lastRenderedPageBreak/>
        <w:t>adjustable value</w:t>
      </w:r>
      <w:r w:rsidRPr="00583E1A">
        <w:t>:</w:t>
      </w:r>
    </w:p>
    <w:p w:rsidR="00887330" w:rsidRPr="00583E1A" w:rsidRDefault="00887330" w:rsidP="00887330">
      <w:pPr>
        <w:pStyle w:val="paragraph"/>
      </w:pPr>
      <w:r w:rsidRPr="00583E1A">
        <w:tab/>
        <w:t>(a)</w:t>
      </w:r>
      <w:r w:rsidRPr="00583E1A">
        <w:tab/>
        <w:t xml:space="preserve">of a </w:t>
      </w:r>
      <w:r w:rsidR="00583E1A" w:rsidRPr="00583E1A">
        <w:rPr>
          <w:position w:val="6"/>
          <w:sz w:val="16"/>
        </w:rPr>
        <w:t>*</w:t>
      </w:r>
      <w:r w:rsidRPr="00583E1A">
        <w:t>depreciating asset, has the meaning given by section</w:t>
      </w:r>
      <w:r w:rsidR="00583E1A">
        <w:t> </w:t>
      </w:r>
      <w:r w:rsidRPr="00583E1A">
        <w:t>40</w:t>
      </w:r>
      <w:r w:rsidR="00583E1A">
        <w:noBreakHyphen/>
      </w:r>
      <w:r w:rsidRPr="00583E1A">
        <w:t>85; and</w:t>
      </w:r>
    </w:p>
    <w:p w:rsidR="00887330" w:rsidRPr="00583E1A" w:rsidRDefault="00887330" w:rsidP="00F13347">
      <w:pPr>
        <w:pStyle w:val="paragraph"/>
        <w:keepNext/>
        <w:keepLines/>
      </w:pPr>
      <w:r w:rsidRPr="00583E1A">
        <w:tab/>
        <w:t>(ba)</w:t>
      </w:r>
      <w:r w:rsidRPr="00583E1A">
        <w:tab/>
        <w:t>of an asset, for the purposes of determining the consequences of a choice under any of sections</w:t>
      </w:r>
      <w:r w:rsidR="00583E1A">
        <w:t> </w:t>
      </w:r>
      <w:r w:rsidRPr="00583E1A">
        <w:t>715</w:t>
      </w:r>
      <w:r w:rsidR="00583E1A">
        <w:noBreakHyphen/>
      </w:r>
      <w:r w:rsidRPr="00583E1A">
        <w:t>100, 715</w:t>
      </w:r>
      <w:r w:rsidR="00583E1A">
        <w:noBreakHyphen/>
      </w:r>
      <w:r w:rsidRPr="00583E1A">
        <w:t>105, 715</w:t>
      </w:r>
      <w:r w:rsidR="00583E1A">
        <w:noBreakHyphen/>
      </w:r>
      <w:r w:rsidRPr="00583E1A">
        <w:t>125, 715</w:t>
      </w:r>
      <w:r w:rsidR="00583E1A">
        <w:noBreakHyphen/>
      </w:r>
      <w:r w:rsidRPr="00583E1A">
        <w:t>130 and 715</w:t>
      </w:r>
      <w:r w:rsidR="00583E1A">
        <w:noBreakHyphen/>
      </w:r>
      <w:r w:rsidRPr="00583E1A">
        <w:t>185, has the meaning given by section</w:t>
      </w:r>
      <w:r w:rsidR="00583E1A">
        <w:t> </w:t>
      </w:r>
      <w:r w:rsidRPr="00583E1A">
        <w:t>715</w:t>
      </w:r>
      <w:r w:rsidR="00583E1A">
        <w:noBreakHyphen/>
      </w:r>
      <w:r w:rsidRPr="00583E1A">
        <w:t>145; and</w:t>
      </w:r>
    </w:p>
    <w:p w:rsidR="00887330" w:rsidRPr="00583E1A" w:rsidRDefault="00887330" w:rsidP="00887330">
      <w:pPr>
        <w:pStyle w:val="paragraph"/>
      </w:pPr>
      <w:r w:rsidRPr="00583E1A">
        <w:tab/>
        <w:t>(b)</w:t>
      </w:r>
      <w:r w:rsidRPr="00583E1A">
        <w:tab/>
        <w:t xml:space="preserve">of an </w:t>
      </w:r>
      <w:r w:rsidR="00583E1A" w:rsidRPr="00583E1A">
        <w:rPr>
          <w:position w:val="6"/>
          <w:sz w:val="16"/>
        </w:rPr>
        <w:t>*</w:t>
      </w:r>
      <w:r w:rsidRPr="00583E1A">
        <w:t>equity or loan interest:</w:t>
      </w:r>
    </w:p>
    <w:p w:rsidR="00887330" w:rsidRPr="00583E1A" w:rsidRDefault="00887330" w:rsidP="00887330">
      <w:pPr>
        <w:pStyle w:val="paragraphsub"/>
      </w:pPr>
      <w:r w:rsidRPr="00583E1A">
        <w:tab/>
        <w:t>(i)</w:t>
      </w:r>
      <w:r w:rsidRPr="00583E1A">
        <w:tab/>
        <w:t xml:space="preserve">for the purposes of determining the consequences of a </w:t>
      </w:r>
      <w:r w:rsidR="00583E1A" w:rsidRPr="00583E1A">
        <w:rPr>
          <w:position w:val="6"/>
          <w:sz w:val="16"/>
        </w:rPr>
        <w:t>*</w:t>
      </w:r>
      <w:r w:rsidRPr="00583E1A">
        <w:t>direct value shift—has the meaning given by sections</w:t>
      </w:r>
      <w:r w:rsidR="00583E1A">
        <w:t> </w:t>
      </w:r>
      <w:r w:rsidRPr="00583E1A">
        <w:t>725</w:t>
      </w:r>
      <w:r w:rsidR="00583E1A">
        <w:noBreakHyphen/>
      </w:r>
      <w:r w:rsidRPr="00583E1A">
        <w:t>240, 725</w:t>
      </w:r>
      <w:r w:rsidR="00583E1A">
        <w:noBreakHyphen/>
      </w:r>
      <w:r w:rsidRPr="00583E1A">
        <w:t>315 and 725</w:t>
      </w:r>
      <w:r w:rsidR="00583E1A">
        <w:noBreakHyphen/>
      </w:r>
      <w:r w:rsidRPr="00583E1A">
        <w:t>325; and</w:t>
      </w:r>
    </w:p>
    <w:p w:rsidR="00887330" w:rsidRPr="00583E1A" w:rsidRDefault="00887330" w:rsidP="00887330">
      <w:pPr>
        <w:pStyle w:val="paragraphsub"/>
      </w:pPr>
      <w:r w:rsidRPr="00583E1A">
        <w:tab/>
        <w:t>(ii)</w:t>
      </w:r>
      <w:r w:rsidRPr="00583E1A">
        <w:tab/>
        <w:t xml:space="preserve">for the purposes of determining the consequences of an </w:t>
      </w:r>
      <w:r w:rsidR="00583E1A" w:rsidRPr="00583E1A">
        <w:rPr>
          <w:position w:val="6"/>
          <w:sz w:val="16"/>
        </w:rPr>
        <w:t>*</w:t>
      </w:r>
      <w:r w:rsidRPr="00583E1A">
        <w:t>indirect value shift—has the meaning given by sections</w:t>
      </w:r>
      <w:r w:rsidR="00583E1A">
        <w:t> </w:t>
      </w:r>
      <w:r w:rsidRPr="00583E1A">
        <w:t>727</w:t>
      </w:r>
      <w:r w:rsidR="00583E1A">
        <w:noBreakHyphen/>
      </w:r>
      <w:r w:rsidRPr="00583E1A">
        <w:t>830, 727</w:t>
      </w:r>
      <w:r w:rsidR="00583E1A">
        <w:noBreakHyphen/>
      </w:r>
      <w:r w:rsidRPr="00583E1A">
        <w:t>835 and 727</w:t>
      </w:r>
      <w:r w:rsidR="00583E1A">
        <w:noBreakHyphen/>
      </w:r>
      <w:r w:rsidRPr="00583E1A">
        <w:t>840.</w:t>
      </w:r>
    </w:p>
    <w:p w:rsidR="00887330" w:rsidRPr="00583E1A" w:rsidRDefault="00887330" w:rsidP="00887330">
      <w:pPr>
        <w:pStyle w:val="Definition"/>
      </w:pPr>
      <w:r w:rsidRPr="00583E1A">
        <w:rPr>
          <w:b/>
          <w:i/>
        </w:rPr>
        <w:t>adjustable value method</w:t>
      </w:r>
      <w:r w:rsidRPr="00583E1A">
        <w:t xml:space="preserve"> means the method (for determining the effect of </w:t>
      </w:r>
      <w:r w:rsidR="00583E1A" w:rsidRPr="00583E1A">
        <w:rPr>
          <w:position w:val="6"/>
          <w:sz w:val="16"/>
        </w:rPr>
        <w:t>*</w:t>
      </w:r>
      <w:r w:rsidRPr="00583E1A">
        <w:t>indirect value shifts) for which Subdivision</w:t>
      </w:r>
      <w:r w:rsidR="00583E1A">
        <w:t> </w:t>
      </w:r>
      <w:r w:rsidRPr="00583E1A">
        <w:t>727</w:t>
      </w:r>
      <w:r w:rsidR="00583E1A">
        <w:noBreakHyphen/>
      </w:r>
      <w:r w:rsidRPr="00583E1A">
        <w:t>H provides.</w:t>
      </w:r>
    </w:p>
    <w:p w:rsidR="00887330" w:rsidRPr="00583E1A" w:rsidRDefault="00887330" w:rsidP="00887330">
      <w:pPr>
        <w:pStyle w:val="Definition"/>
      </w:pPr>
      <w:r w:rsidRPr="00583E1A">
        <w:rPr>
          <w:b/>
          <w:i/>
        </w:rPr>
        <w:t>adjusted assessed tax</w:t>
      </w:r>
      <w:r w:rsidRPr="00583E1A">
        <w:t xml:space="preserve"> has the meaning given by section</w:t>
      </w:r>
      <w:r w:rsidR="00583E1A">
        <w:t> </w:t>
      </w:r>
      <w:r w:rsidRPr="00583E1A">
        <w:t>45</w:t>
      </w:r>
      <w:r w:rsidR="00583E1A">
        <w:noBreakHyphen/>
      </w:r>
      <w:r w:rsidRPr="00583E1A">
        <w:t>375 in Schedule</w:t>
      </w:r>
      <w:r w:rsidR="00583E1A">
        <w:t> </w:t>
      </w:r>
      <w:r w:rsidRPr="00583E1A">
        <w:t xml:space="preserve">1 to the </w:t>
      </w:r>
      <w:r w:rsidRPr="00583E1A">
        <w:rPr>
          <w:i/>
        </w:rPr>
        <w:t>Taxation Administration Act 1953</w:t>
      </w:r>
      <w:r w:rsidRPr="00583E1A">
        <w:t>.</w:t>
      </w:r>
    </w:p>
    <w:p w:rsidR="00887330" w:rsidRPr="00583E1A" w:rsidRDefault="00887330" w:rsidP="00887330">
      <w:pPr>
        <w:pStyle w:val="Definition"/>
      </w:pPr>
      <w:r w:rsidRPr="00583E1A">
        <w:rPr>
          <w:b/>
          <w:i/>
        </w:rPr>
        <w:t>adjusted assessed taxable income</w:t>
      </w:r>
      <w:r w:rsidRPr="00583E1A">
        <w:t xml:space="preserve"> has the meaning given by section</w:t>
      </w:r>
      <w:r w:rsidR="00583E1A">
        <w:t> </w:t>
      </w:r>
      <w:r w:rsidRPr="00583E1A">
        <w:t>45</w:t>
      </w:r>
      <w:r w:rsidR="00583E1A">
        <w:noBreakHyphen/>
      </w:r>
      <w:r w:rsidRPr="00583E1A">
        <w:t>370 in Schedule</w:t>
      </w:r>
      <w:r w:rsidR="00583E1A">
        <w:t> </w:t>
      </w:r>
      <w:r w:rsidRPr="00583E1A">
        <w:t xml:space="preserve">1 to the </w:t>
      </w:r>
      <w:r w:rsidRPr="00583E1A">
        <w:rPr>
          <w:i/>
        </w:rPr>
        <w:t>Taxation Administration Act 1953</w:t>
      </w:r>
      <w:r w:rsidRPr="00583E1A">
        <w:t>.</w:t>
      </w:r>
    </w:p>
    <w:p w:rsidR="00887330" w:rsidRPr="00583E1A" w:rsidRDefault="00887330" w:rsidP="00887330">
      <w:pPr>
        <w:pStyle w:val="Definition"/>
      </w:pPr>
      <w:r w:rsidRPr="00583E1A">
        <w:rPr>
          <w:b/>
          <w:i/>
        </w:rPr>
        <w:t>adjusted available frankable profits</w:t>
      </w:r>
      <w:r w:rsidRPr="00583E1A">
        <w:t xml:space="preserve"> has the meaning given by subsection 215</w:t>
      </w:r>
      <w:r w:rsidR="00583E1A">
        <w:noBreakHyphen/>
      </w:r>
      <w:r w:rsidRPr="00583E1A">
        <w:t>25(2).</w:t>
      </w:r>
    </w:p>
    <w:p w:rsidR="00887330" w:rsidRPr="00583E1A" w:rsidRDefault="00887330" w:rsidP="00887330">
      <w:pPr>
        <w:pStyle w:val="Definition"/>
      </w:pPr>
      <w:r w:rsidRPr="00583E1A">
        <w:rPr>
          <w:b/>
          <w:i/>
        </w:rPr>
        <w:t>adjusted average debt</w:t>
      </w:r>
      <w:r w:rsidRPr="00583E1A">
        <w:t xml:space="preserve"> has the meaning given by sections</w:t>
      </w:r>
      <w:r w:rsidR="00583E1A">
        <w:t> </w:t>
      </w:r>
      <w:r w:rsidRPr="00583E1A">
        <w:t>820</w:t>
      </w:r>
      <w:r w:rsidR="00583E1A">
        <w:noBreakHyphen/>
      </w:r>
      <w:r w:rsidRPr="00583E1A">
        <w:t>85, 820</w:t>
      </w:r>
      <w:r w:rsidR="00583E1A">
        <w:noBreakHyphen/>
      </w:r>
      <w:r w:rsidRPr="00583E1A">
        <w:t>120, 820</w:t>
      </w:r>
      <w:r w:rsidR="00583E1A">
        <w:noBreakHyphen/>
      </w:r>
      <w:r w:rsidRPr="00583E1A">
        <w:t>185 and 820</w:t>
      </w:r>
      <w:r w:rsidR="00583E1A">
        <w:noBreakHyphen/>
      </w:r>
      <w:r w:rsidRPr="00583E1A">
        <w:t>225.</w:t>
      </w:r>
    </w:p>
    <w:p w:rsidR="00887330" w:rsidRPr="00583E1A" w:rsidRDefault="00887330" w:rsidP="00887330">
      <w:pPr>
        <w:pStyle w:val="Definition"/>
      </w:pPr>
      <w:r w:rsidRPr="00583E1A">
        <w:rPr>
          <w:b/>
          <w:i/>
        </w:rPr>
        <w:t>adjusted average equity capital</w:t>
      </w:r>
      <w:r w:rsidRPr="00583E1A">
        <w:t xml:space="preserve"> has the meaning given by sections</w:t>
      </w:r>
      <w:r w:rsidR="00583E1A">
        <w:t> </w:t>
      </w:r>
      <w:r w:rsidRPr="00583E1A">
        <w:t>820</w:t>
      </w:r>
      <w:r w:rsidR="00583E1A">
        <w:noBreakHyphen/>
      </w:r>
      <w:r w:rsidRPr="00583E1A">
        <w:t>300, 820</w:t>
      </w:r>
      <w:r w:rsidR="00583E1A">
        <w:noBreakHyphen/>
      </w:r>
      <w:r w:rsidRPr="00583E1A">
        <w:t>330, 820</w:t>
      </w:r>
      <w:r w:rsidR="00583E1A">
        <w:noBreakHyphen/>
      </w:r>
      <w:r w:rsidRPr="00583E1A">
        <w:t>589 and 820</w:t>
      </w:r>
      <w:r w:rsidR="00583E1A">
        <w:noBreakHyphen/>
      </w:r>
      <w:r w:rsidRPr="00583E1A">
        <w:t>613.</w:t>
      </w:r>
    </w:p>
    <w:p w:rsidR="006852A2" w:rsidRPr="009E5065" w:rsidRDefault="006852A2" w:rsidP="006852A2">
      <w:pPr>
        <w:pStyle w:val="Definition"/>
      </w:pPr>
      <w:r w:rsidRPr="009E5065">
        <w:rPr>
          <w:b/>
          <w:i/>
        </w:rPr>
        <w:t>adjusted Division 6 percentage</w:t>
      </w:r>
      <w:r w:rsidRPr="009E5065">
        <w:t xml:space="preserve">, in relation to a trust estate, has the same meaning as in Division 6 of Part III of the </w:t>
      </w:r>
      <w:r w:rsidRPr="009E5065">
        <w:rPr>
          <w:i/>
        </w:rPr>
        <w:t>Income Tax Assessment Act 1936</w:t>
      </w:r>
      <w:r w:rsidRPr="009E5065">
        <w:t>.</w:t>
      </w:r>
    </w:p>
    <w:p w:rsidR="00887330" w:rsidRPr="00583E1A" w:rsidRDefault="00887330" w:rsidP="00887330">
      <w:pPr>
        <w:pStyle w:val="Definition"/>
      </w:pPr>
      <w:r w:rsidRPr="00583E1A">
        <w:rPr>
          <w:b/>
          <w:i/>
        </w:rPr>
        <w:t>adjusted on</w:t>
      </w:r>
      <w:r w:rsidR="00583E1A">
        <w:rPr>
          <w:b/>
          <w:i/>
        </w:rPr>
        <w:noBreakHyphen/>
      </w:r>
      <w:r w:rsidRPr="00583E1A">
        <w:rPr>
          <w:b/>
          <w:i/>
        </w:rPr>
        <w:t>lent amount</w:t>
      </w:r>
      <w:r w:rsidRPr="00583E1A">
        <w:t xml:space="preserve"> has the meaning given by sections</w:t>
      </w:r>
      <w:r w:rsidR="00583E1A">
        <w:t> </w:t>
      </w:r>
      <w:r w:rsidRPr="00583E1A">
        <w:t>820</w:t>
      </w:r>
      <w:r w:rsidR="00583E1A">
        <w:noBreakHyphen/>
      </w:r>
      <w:r w:rsidRPr="00583E1A">
        <w:t>100, 820</w:t>
      </w:r>
      <w:r w:rsidR="00583E1A">
        <w:noBreakHyphen/>
      </w:r>
      <w:r w:rsidRPr="00583E1A">
        <w:t>200 and 820</w:t>
      </w:r>
      <w:r w:rsidR="00583E1A">
        <w:noBreakHyphen/>
      </w:r>
      <w:r w:rsidRPr="00583E1A">
        <w:t>210.</w:t>
      </w:r>
    </w:p>
    <w:p w:rsidR="00887330" w:rsidRPr="00583E1A" w:rsidRDefault="00887330" w:rsidP="00887330">
      <w:pPr>
        <w:pStyle w:val="Definition"/>
      </w:pPr>
      <w:r w:rsidRPr="00583E1A">
        <w:rPr>
          <w:b/>
          <w:i/>
        </w:rPr>
        <w:lastRenderedPageBreak/>
        <w:t>adjusted tax</w:t>
      </w:r>
      <w:r w:rsidRPr="00583E1A">
        <w:t xml:space="preserve"> on </w:t>
      </w:r>
      <w:r w:rsidR="00583E1A" w:rsidRPr="00583E1A">
        <w:rPr>
          <w:position w:val="6"/>
          <w:sz w:val="16"/>
        </w:rPr>
        <w:t>*</w:t>
      </w:r>
      <w:r w:rsidRPr="00583E1A">
        <w:t xml:space="preserve">adjusted taxable income or on </w:t>
      </w:r>
      <w:r w:rsidR="00583E1A" w:rsidRPr="00583E1A">
        <w:rPr>
          <w:position w:val="6"/>
          <w:sz w:val="16"/>
        </w:rPr>
        <w:t>*</w:t>
      </w:r>
      <w:r w:rsidRPr="00583E1A">
        <w:t>adjusted withholding income has the meaning given by section</w:t>
      </w:r>
      <w:r w:rsidR="00583E1A">
        <w:t> </w:t>
      </w:r>
      <w:r w:rsidRPr="00583E1A">
        <w:t>45</w:t>
      </w:r>
      <w:r w:rsidR="00583E1A">
        <w:noBreakHyphen/>
      </w:r>
      <w:r w:rsidRPr="00583E1A">
        <w:t>340 in Schedule</w:t>
      </w:r>
      <w:r w:rsidR="00583E1A">
        <w:t> </w:t>
      </w:r>
      <w:r w:rsidRPr="00583E1A">
        <w:t xml:space="preserve">1 to the </w:t>
      </w:r>
      <w:r w:rsidRPr="00583E1A">
        <w:rPr>
          <w:i/>
        </w:rPr>
        <w:t>Taxation Administration Act 1953</w:t>
      </w:r>
      <w:r w:rsidRPr="00583E1A">
        <w:t>.</w:t>
      </w:r>
    </w:p>
    <w:p w:rsidR="00887330" w:rsidRPr="00583E1A" w:rsidRDefault="00887330" w:rsidP="00887330">
      <w:pPr>
        <w:pStyle w:val="Definition"/>
      </w:pPr>
      <w:r w:rsidRPr="00583E1A">
        <w:rPr>
          <w:b/>
          <w:i/>
        </w:rPr>
        <w:t>adjusted taxable income</w:t>
      </w:r>
      <w:r w:rsidRPr="00583E1A">
        <w:t xml:space="preserve"> has the meaning given by sections</w:t>
      </w:r>
      <w:r w:rsidR="00583E1A">
        <w:t> </w:t>
      </w:r>
      <w:r w:rsidRPr="00583E1A">
        <w:t>45</w:t>
      </w:r>
      <w:r w:rsidR="00583E1A">
        <w:noBreakHyphen/>
      </w:r>
      <w:r w:rsidRPr="00583E1A">
        <w:t>330 and 45</w:t>
      </w:r>
      <w:r w:rsidR="00583E1A">
        <w:noBreakHyphen/>
      </w:r>
      <w:r w:rsidRPr="00583E1A">
        <w:t>480 in Schedule</w:t>
      </w:r>
      <w:r w:rsidR="00583E1A">
        <w:t> </w:t>
      </w:r>
      <w:r w:rsidRPr="00583E1A">
        <w:t xml:space="preserve">1 to the </w:t>
      </w:r>
      <w:r w:rsidRPr="00583E1A">
        <w:rPr>
          <w:i/>
        </w:rPr>
        <w:t>Taxation Administration Act 1953</w:t>
      </w:r>
      <w:r w:rsidRPr="00583E1A">
        <w:t>.</w:t>
      </w:r>
    </w:p>
    <w:p w:rsidR="00887330" w:rsidRPr="00583E1A" w:rsidRDefault="00887330" w:rsidP="00887330">
      <w:pPr>
        <w:pStyle w:val="Definition"/>
        <w:rPr>
          <w:b/>
          <w:i/>
        </w:rPr>
      </w:pPr>
      <w:r w:rsidRPr="00583E1A">
        <w:rPr>
          <w:b/>
          <w:i/>
        </w:rPr>
        <w:t>adjusted unrealised loss</w:t>
      </w:r>
      <w:r w:rsidRPr="00583E1A">
        <w:t xml:space="preserve"> at an </w:t>
      </w:r>
      <w:r w:rsidR="00583E1A" w:rsidRPr="00583E1A">
        <w:rPr>
          <w:position w:val="6"/>
          <w:sz w:val="16"/>
        </w:rPr>
        <w:t>*</w:t>
      </w:r>
      <w:r w:rsidRPr="00583E1A">
        <w:t>alteration time for a company has the meaning given by section</w:t>
      </w:r>
      <w:r w:rsidR="00583E1A">
        <w:t> </w:t>
      </w:r>
      <w:r w:rsidRPr="00583E1A">
        <w:t>165</w:t>
      </w:r>
      <w:r w:rsidR="00583E1A">
        <w:noBreakHyphen/>
      </w:r>
      <w:r w:rsidRPr="00583E1A">
        <w:t>115U.</w:t>
      </w:r>
    </w:p>
    <w:p w:rsidR="00887330" w:rsidRPr="00583E1A" w:rsidRDefault="00887330" w:rsidP="00887330">
      <w:pPr>
        <w:pStyle w:val="Definition"/>
      </w:pPr>
      <w:r w:rsidRPr="00583E1A">
        <w:rPr>
          <w:b/>
          <w:i/>
        </w:rPr>
        <w:t>adjusted withholding income</w:t>
      </w:r>
      <w:r w:rsidRPr="00583E1A">
        <w:t xml:space="preserve"> has the meaning given by sections</w:t>
      </w:r>
      <w:r w:rsidR="00583E1A">
        <w:t> </w:t>
      </w:r>
      <w:r w:rsidRPr="00583E1A">
        <w:t>45</w:t>
      </w:r>
      <w:r w:rsidR="00583E1A">
        <w:noBreakHyphen/>
      </w:r>
      <w:r w:rsidRPr="00583E1A">
        <w:t>335 and 45</w:t>
      </w:r>
      <w:r w:rsidR="00583E1A">
        <w:noBreakHyphen/>
      </w:r>
      <w:r w:rsidRPr="00583E1A">
        <w:t>485 in Schedule</w:t>
      </w:r>
      <w:r w:rsidR="00583E1A">
        <w:t> </w:t>
      </w:r>
      <w:r w:rsidRPr="00583E1A">
        <w:t xml:space="preserve">1 to the </w:t>
      </w:r>
      <w:r w:rsidRPr="00583E1A">
        <w:rPr>
          <w:i/>
        </w:rPr>
        <w:t>Taxation Administration Act 1953</w:t>
      </w:r>
      <w:r w:rsidRPr="00583E1A">
        <w:t>.</w:t>
      </w:r>
    </w:p>
    <w:p w:rsidR="00887330" w:rsidRPr="00583E1A" w:rsidRDefault="00887330" w:rsidP="00887330">
      <w:pPr>
        <w:pStyle w:val="Definition"/>
      </w:pPr>
      <w:r w:rsidRPr="00583E1A">
        <w:rPr>
          <w:b/>
          <w:i/>
        </w:rPr>
        <w:t>adopted child</w:t>
      </w:r>
      <w:r w:rsidRPr="00583E1A">
        <w:t xml:space="preserve"> of a person means someone the person has adopted:</w:t>
      </w:r>
    </w:p>
    <w:p w:rsidR="00887330" w:rsidRPr="00583E1A" w:rsidRDefault="00887330" w:rsidP="00887330">
      <w:pPr>
        <w:pStyle w:val="paragraph"/>
      </w:pPr>
      <w:r w:rsidRPr="00583E1A">
        <w:tab/>
        <w:t>(a)</w:t>
      </w:r>
      <w:r w:rsidRPr="00583E1A">
        <w:tab/>
        <w:t xml:space="preserve">under a </w:t>
      </w:r>
      <w:r w:rsidR="00583E1A" w:rsidRPr="00583E1A">
        <w:rPr>
          <w:position w:val="6"/>
          <w:sz w:val="16"/>
        </w:rPr>
        <w:t>*</w:t>
      </w:r>
      <w:r w:rsidRPr="00583E1A">
        <w:t xml:space="preserve">State law or </w:t>
      </w:r>
      <w:r w:rsidR="00583E1A" w:rsidRPr="00583E1A">
        <w:rPr>
          <w:position w:val="6"/>
          <w:sz w:val="16"/>
        </w:rPr>
        <w:t>*</w:t>
      </w:r>
      <w:r w:rsidRPr="00583E1A">
        <w:t>Territory law about adoption of children; or</w:t>
      </w:r>
    </w:p>
    <w:p w:rsidR="00887330" w:rsidRPr="00583E1A" w:rsidRDefault="00887330" w:rsidP="00887330">
      <w:pPr>
        <w:pStyle w:val="paragraph"/>
      </w:pPr>
      <w:r w:rsidRPr="00583E1A">
        <w:tab/>
        <w:t>(b)</w:t>
      </w:r>
      <w:r w:rsidRPr="00583E1A">
        <w:tab/>
        <w:t xml:space="preserve">under a </w:t>
      </w:r>
      <w:r w:rsidR="00583E1A" w:rsidRPr="00583E1A">
        <w:rPr>
          <w:position w:val="6"/>
          <w:sz w:val="16"/>
        </w:rPr>
        <w:t>*</w:t>
      </w:r>
      <w:r w:rsidRPr="00583E1A">
        <w:t>foreign law about adoption of children, if the adoption would be recognised as valid under a State law or Territory law.</w:t>
      </w:r>
    </w:p>
    <w:p w:rsidR="00887330" w:rsidRPr="00583E1A" w:rsidRDefault="00887330" w:rsidP="00887330">
      <w:pPr>
        <w:pStyle w:val="Definition"/>
      </w:pPr>
      <w:r w:rsidRPr="00583E1A">
        <w:rPr>
          <w:b/>
          <w:i/>
        </w:rPr>
        <w:t>affected interest</w:t>
      </w:r>
      <w:r w:rsidRPr="00583E1A">
        <w:t>:</w:t>
      </w:r>
    </w:p>
    <w:p w:rsidR="00887330" w:rsidRPr="00583E1A" w:rsidRDefault="00887330" w:rsidP="00887330">
      <w:pPr>
        <w:pStyle w:val="paragraph"/>
      </w:pPr>
      <w:r w:rsidRPr="00583E1A">
        <w:tab/>
        <w:t>(a)</w:t>
      </w:r>
      <w:r w:rsidRPr="00583E1A">
        <w:tab/>
        <w:t xml:space="preserve">in the </w:t>
      </w:r>
      <w:r w:rsidR="00583E1A" w:rsidRPr="00583E1A">
        <w:rPr>
          <w:position w:val="6"/>
          <w:sz w:val="16"/>
        </w:rPr>
        <w:t>*</w:t>
      </w:r>
      <w:r w:rsidRPr="00583E1A">
        <w:t xml:space="preserve">losing entity for an </w:t>
      </w:r>
      <w:r w:rsidR="00583E1A" w:rsidRPr="00583E1A">
        <w:rPr>
          <w:position w:val="6"/>
          <w:sz w:val="16"/>
        </w:rPr>
        <w:t>*</w:t>
      </w:r>
      <w:r w:rsidRPr="00583E1A">
        <w:t>indirect value shift, has the meaning given by section</w:t>
      </w:r>
      <w:r w:rsidR="00583E1A">
        <w:t> </w:t>
      </w:r>
      <w:r w:rsidRPr="00583E1A">
        <w:t>727</w:t>
      </w:r>
      <w:r w:rsidR="00583E1A">
        <w:noBreakHyphen/>
      </w:r>
      <w:r w:rsidRPr="00583E1A">
        <w:t>460; or</w:t>
      </w:r>
    </w:p>
    <w:p w:rsidR="00887330" w:rsidRPr="00583E1A" w:rsidRDefault="00887330" w:rsidP="00887330">
      <w:pPr>
        <w:pStyle w:val="paragraph"/>
      </w:pPr>
      <w:r w:rsidRPr="00583E1A">
        <w:tab/>
        <w:t>(b)</w:t>
      </w:r>
      <w:r w:rsidRPr="00583E1A">
        <w:tab/>
        <w:t xml:space="preserve">in the </w:t>
      </w:r>
      <w:r w:rsidR="00583E1A" w:rsidRPr="00583E1A">
        <w:rPr>
          <w:position w:val="6"/>
          <w:sz w:val="16"/>
        </w:rPr>
        <w:t>*</w:t>
      </w:r>
      <w:r w:rsidRPr="00583E1A">
        <w:t>gaining entity for an indirect value shift, has the meaning given by section</w:t>
      </w:r>
      <w:r w:rsidR="00583E1A">
        <w:t> </w:t>
      </w:r>
      <w:r w:rsidRPr="00583E1A">
        <w:t>727</w:t>
      </w:r>
      <w:r w:rsidR="00583E1A">
        <w:noBreakHyphen/>
      </w:r>
      <w:r w:rsidRPr="00583E1A">
        <w:t>465.</w:t>
      </w:r>
    </w:p>
    <w:p w:rsidR="00887330" w:rsidRPr="00583E1A" w:rsidRDefault="00887330" w:rsidP="00887330">
      <w:pPr>
        <w:pStyle w:val="Definition"/>
      </w:pPr>
      <w:r w:rsidRPr="00583E1A">
        <w:rPr>
          <w:b/>
          <w:i/>
        </w:rPr>
        <w:t>affected owner</w:t>
      </w:r>
      <w:r w:rsidRPr="00583E1A">
        <w:t>:</w:t>
      </w:r>
    </w:p>
    <w:p w:rsidR="00887330" w:rsidRPr="00583E1A" w:rsidRDefault="00887330" w:rsidP="00887330">
      <w:pPr>
        <w:pStyle w:val="paragraph"/>
      </w:pPr>
      <w:r w:rsidRPr="00583E1A">
        <w:tab/>
        <w:t>(a)</w:t>
      </w:r>
      <w:r w:rsidRPr="00583E1A">
        <w:tab/>
        <w:t xml:space="preserve">of </w:t>
      </w:r>
      <w:r w:rsidR="00583E1A" w:rsidRPr="00583E1A">
        <w:rPr>
          <w:position w:val="6"/>
          <w:sz w:val="16"/>
        </w:rPr>
        <w:t>*</w:t>
      </w:r>
      <w:r w:rsidRPr="00583E1A">
        <w:t>down interests, has the meaning given by section</w:t>
      </w:r>
      <w:r w:rsidR="00583E1A">
        <w:t> </w:t>
      </w:r>
      <w:r w:rsidRPr="00583E1A">
        <w:t>725</w:t>
      </w:r>
      <w:r w:rsidR="00583E1A">
        <w:noBreakHyphen/>
      </w:r>
      <w:r w:rsidRPr="00583E1A">
        <w:t>80; and</w:t>
      </w:r>
    </w:p>
    <w:p w:rsidR="00887330" w:rsidRPr="00583E1A" w:rsidRDefault="00887330" w:rsidP="00887330">
      <w:pPr>
        <w:pStyle w:val="paragraph"/>
      </w:pPr>
      <w:r w:rsidRPr="00583E1A">
        <w:tab/>
        <w:t>(b)</w:t>
      </w:r>
      <w:r w:rsidRPr="00583E1A">
        <w:tab/>
        <w:t xml:space="preserve">of </w:t>
      </w:r>
      <w:r w:rsidR="00583E1A" w:rsidRPr="00583E1A">
        <w:rPr>
          <w:position w:val="6"/>
          <w:sz w:val="16"/>
        </w:rPr>
        <w:t>*</w:t>
      </w:r>
      <w:r w:rsidRPr="00583E1A">
        <w:t>up interests, has the meaning given by section</w:t>
      </w:r>
      <w:r w:rsidR="00583E1A">
        <w:t> </w:t>
      </w:r>
      <w:r w:rsidRPr="00583E1A">
        <w:t>725</w:t>
      </w:r>
      <w:r w:rsidR="00583E1A">
        <w:noBreakHyphen/>
      </w:r>
      <w:r w:rsidRPr="00583E1A">
        <w:t>85; and</w:t>
      </w:r>
    </w:p>
    <w:p w:rsidR="00887330" w:rsidRPr="00583E1A" w:rsidRDefault="00887330" w:rsidP="00887330">
      <w:pPr>
        <w:pStyle w:val="paragraph"/>
      </w:pPr>
      <w:r w:rsidRPr="00583E1A">
        <w:tab/>
        <w:t>(c)</w:t>
      </w:r>
      <w:r w:rsidRPr="00583E1A">
        <w:tab/>
        <w:t xml:space="preserve">for an </w:t>
      </w:r>
      <w:r w:rsidR="00583E1A" w:rsidRPr="00583E1A">
        <w:rPr>
          <w:position w:val="6"/>
          <w:sz w:val="16"/>
        </w:rPr>
        <w:t>*</w:t>
      </w:r>
      <w:r w:rsidRPr="00583E1A">
        <w:t>indirect value shift, has the meaning given by section</w:t>
      </w:r>
      <w:r w:rsidR="00583E1A">
        <w:t> </w:t>
      </w:r>
      <w:r w:rsidRPr="00583E1A">
        <w:t>727</w:t>
      </w:r>
      <w:r w:rsidR="00583E1A">
        <w:noBreakHyphen/>
      </w:r>
      <w:r w:rsidRPr="00583E1A">
        <w:t>530.</w:t>
      </w:r>
    </w:p>
    <w:p w:rsidR="00FB3C0F" w:rsidRPr="00583E1A" w:rsidRDefault="00FB3C0F" w:rsidP="00FB3C0F">
      <w:pPr>
        <w:pStyle w:val="Definition"/>
      </w:pPr>
      <w:r w:rsidRPr="00583E1A">
        <w:rPr>
          <w:b/>
          <w:i/>
        </w:rPr>
        <w:t xml:space="preserve">affiliate </w:t>
      </w:r>
      <w:r w:rsidRPr="00583E1A">
        <w:t>has the meaning given by section</w:t>
      </w:r>
      <w:r w:rsidR="00583E1A">
        <w:t> </w:t>
      </w:r>
      <w:r w:rsidRPr="00583E1A">
        <w:t>328</w:t>
      </w:r>
      <w:r w:rsidR="00583E1A">
        <w:noBreakHyphen/>
      </w:r>
      <w:r w:rsidRPr="00583E1A">
        <w:t>130.</w:t>
      </w:r>
    </w:p>
    <w:p w:rsidR="00887330" w:rsidRPr="00583E1A" w:rsidRDefault="00887330" w:rsidP="00887330">
      <w:pPr>
        <w:pStyle w:val="Definition"/>
      </w:pPr>
      <w:r w:rsidRPr="00583E1A">
        <w:rPr>
          <w:b/>
          <w:i/>
        </w:rPr>
        <w:t>AFOF</w:t>
      </w:r>
      <w:r w:rsidRPr="00583E1A">
        <w:t xml:space="preserve"> means an</w:t>
      </w:r>
      <w:r w:rsidRPr="00583E1A">
        <w:rPr>
          <w:b/>
          <w:i/>
        </w:rPr>
        <w:t xml:space="preserve"> </w:t>
      </w:r>
      <w:r w:rsidR="00583E1A" w:rsidRPr="00583E1A">
        <w:rPr>
          <w:position w:val="6"/>
          <w:sz w:val="16"/>
        </w:rPr>
        <w:t>*</w:t>
      </w:r>
      <w:r w:rsidRPr="00583E1A">
        <w:t>Australian venture capital fund of funds.</w:t>
      </w:r>
    </w:p>
    <w:p w:rsidR="00887330" w:rsidRPr="00583E1A" w:rsidRDefault="00887330" w:rsidP="00887330">
      <w:pPr>
        <w:pStyle w:val="Definition"/>
      </w:pPr>
      <w:r w:rsidRPr="00583E1A">
        <w:rPr>
          <w:b/>
          <w:i/>
        </w:rPr>
        <w:t>agent</w:t>
      </w:r>
      <w:r w:rsidRPr="00583E1A">
        <w:t>: this Act applies to some entities that are not agents in the same way as it applies to agents: see section</w:t>
      </w:r>
      <w:r w:rsidR="00583E1A">
        <w:t> </w:t>
      </w:r>
      <w:r w:rsidRPr="00583E1A">
        <w:t>960</w:t>
      </w:r>
      <w:r w:rsidR="00583E1A">
        <w:noBreakHyphen/>
      </w:r>
      <w:r w:rsidRPr="00583E1A">
        <w:t>105.</w:t>
      </w:r>
    </w:p>
    <w:p w:rsidR="00FB3C0F" w:rsidRPr="00583E1A" w:rsidRDefault="00FB3C0F" w:rsidP="00FB3C0F">
      <w:pPr>
        <w:pStyle w:val="Definition"/>
      </w:pPr>
      <w:r w:rsidRPr="00583E1A">
        <w:rPr>
          <w:b/>
          <w:i/>
        </w:rPr>
        <w:lastRenderedPageBreak/>
        <w:t xml:space="preserve">aggregated turnover </w:t>
      </w:r>
      <w:r w:rsidRPr="00583E1A">
        <w:t>has the meaning given by section</w:t>
      </w:r>
      <w:r w:rsidR="00583E1A">
        <w:t> </w:t>
      </w:r>
      <w:r w:rsidRPr="00583E1A">
        <w:t>328</w:t>
      </w:r>
      <w:r w:rsidR="00583E1A">
        <w:noBreakHyphen/>
      </w:r>
      <w:r w:rsidRPr="00583E1A">
        <w:t>115.</w:t>
      </w:r>
    </w:p>
    <w:p w:rsidR="00C96F49" w:rsidRPr="00583E1A" w:rsidRDefault="00C96F49" w:rsidP="00C96F49">
      <w:pPr>
        <w:pStyle w:val="Definition"/>
      </w:pPr>
      <w:r w:rsidRPr="00583E1A">
        <w:rPr>
          <w:b/>
          <w:i/>
        </w:rPr>
        <w:t>Agriculture Department</w:t>
      </w:r>
      <w:r w:rsidRPr="00583E1A">
        <w:t xml:space="preserve"> means the Department that:</w:t>
      </w:r>
    </w:p>
    <w:p w:rsidR="00C96F49" w:rsidRPr="00583E1A" w:rsidRDefault="00C96F49" w:rsidP="00C96F49">
      <w:pPr>
        <w:pStyle w:val="paragraph"/>
      </w:pPr>
      <w:r w:rsidRPr="00583E1A">
        <w:tab/>
        <w:t>(a)</w:t>
      </w:r>
      <w:r w:rsidRPr="00583E1A">
        <w:tab/>
        <w:t>deals with matters arising under section</w:t>
      </w:r>
      <w:r w:rsidR="00583E1A">
        <w:t> </w:t>
      </w:r>
      <w:r w:rsidRPr="00583E1A">
        <w:t xml:space="preserve">1 of the </w:t>
      </w:r>
      <w:r w:rsidRPr="00583E1A">
        <w:rPr>
          <w:i/>
        </w:rPr>
        <w:t>Farm Household Support Act 1992</w:t>
      </w:r>
      <w:r w:rsidRPr="00583E1A">
        <w:t>; and</w:t>
      </w:r>
    </w:p>
    <w:p w:rsidR="00C96F49" w:rsidRPr="00583E1A" w:rsidRDefault="00C96F49" w:rsidP="00C96F49">
      <w:pPr>
        <w:pStyle w:val="paragraph"/>
      </w:pPr>
      <w:r w:rsidRPr="00583E1A">
        <w:tab/>
        <w:t>(b)</w:t>
      </w:r>
      <w:r w:rsidRPr="00583E1A">
        <w:tab/>
        <w:t xml:space="preserve">is administered by the </w:t>
      </w:r>
      <w:r w:rsidR="00583E1A" w:rsidRPr="00583E1A">
        <w:rPr>
          <w:position w:val="6"/>
          <w:sz w:val="16"/>
        </w:rPr>
        <w:t>*</w:t>
      </w:r>
      <w:r w:rsidRPr="00583E1A">
        <w:t>Agriculture Minister.</w:t>
      </w:r>
    </w:p>
    <w:p w:rsidR="00C96F49" w:rsidRPr="00583E1A" w:rsidRDefault="00C96F49" w:rsidP="00C96F49">
      <w:pPr>
        <w:pStyle w:val="Definition"/>
      </w:pPr>
      <w:r w:rsidRPr="00583E1A">
        <w:rPr>
          <w:b/>
          <w:i/>
        </w:rPr>
        <w:t>Agriculture Minister</w:t>
      </w:r>
      <w:r w:rsidRPr="00583E1A">
        <w:t xml:space="preserve"> means the Minister administering section</w:t>
      </w:r>
      <w:r w:rsidR="00583E1A">
        <w:t> </w:t>
      </w:r>
      <w:r w:rsidRPr="00583E1A">
        <w:t xml:space="preserve">1 of the </w:t>
      </w:r>
      <w:r w:rsidRPr="00583E1A">
        <w:rPr>
          <w:i/>
        </w:rPr>
        <w:t>Farm Household Support Act 1992</w:t>
      </w:r>
      <w:r w:rsidRPr="00583E1A">
        <w:t>.</w:t>
      </w:r>
    </w:p>
    <w:p w:rsidR="00C96F49" w:rsidRPr="00583E1A" w:rsidRDefault="00C96F49" w:rsidP="00C96F49">
      <w:pPr>
        <w:pStyle w:val="Definition"/>
      </w:pPr>
      <w:r w:rsidRPr="00583E1A">
        <w:rPr>
          <w:b/>
          <w:i/>
        </w:rPr>
        <w:t>Agriculture Secretary</w:t>
      </w:r>
      <w:r w:rsidRPr="00583E1A">
        <w:t xml:space="preserve"> means the Secretary of the </w:t>
      </w:r>
      <w:r w:rsidR="00583E1A" w:rsidRPr="00583E1A">
        <w:rPr>
          <w:position w:val="6"/>
          <w:sz w:val="16"/>
        </w:rPr>
        <w:t>*</w:t>
      </w:r>
      <w:r w:rsidRPr="00583E1A">
        <w:t>Agriculture Department.</w:t>
      </w:r>
    </w:p>
    <w:p w:rsidR="00887330" w:rsidRPr="00583E1A" w:rsidRDefault="00887330" w:rsidP="00887330">
      <w:pPr>
        <w:pStyle w:val="Definition"/>
      </w:pPr>
      <w:r w:rsidRPr="00583E1A">
        <w:rPr>
          <w:b/>
          <w:i/>
        </w:rPr>
        <w:t>alienated personal services payment</w:t>
      </w:r>
      <w:r w:rsidRPr="00583E1A">
        <w:t xml:space="preserve"> has the meaning given by section</w:t>
      </w:r>
      <w:r w:rsidR="00583E1A">
        <w:t> </w:t>
      </w:r>
      <w:r w:rsidRPr="00583E1A">
        <w:t>13</w:t>
      </w:r>
      <w:r w:rsidR="00583E1A">
        <w:noBreakHyphen/>
      </w:r>
      <w:r w:rsidRPr="00583E1A">
        <w:t>10 in Schedule</w:t>
      </w:r>
      <w:r w:rsidR="00583E1A">
        <w:t> </w:t>
      </w:r>
      <w:r w:rsidRPr="00583E1A">
        <w:t xml:space="preserve">1 to the </w:t>
      </w:r>
      <w:r w:rsidRPr="00583E1A">
        <w:rPr>
          <w:i/>
        </w:rPr>
        <w:t>Taxation Administration Act 1953</w:t>
      </w:r>
      <w:r w:rsidRPr="00583E1A">
        <w:t>.</w:t>
      </w:r>
    </w:p>
    <w:p w:rsidR="00887330" w:rsidRPr="00583E1A" w:rsidRDefault="00887330" w:rsidP="00887330">
      <w:pPr>
        <w:pStyle w:val="Definition"/>
      </w:pPr>
      <w:r w:rsidRPr="00583E1A">
        <w:rPr>
          <w:b/>
          <w:i/>
        </w:rPr>
        <w:t>All Groups Consumer Price Index number</w:t>
      </w:r>
      <w:r w:rsidRPr="00583E1A">
        <w:rPr>
          <w:b/>
        </w:rPr>
        <w:t xml:space="preserve"> </w:t>
      </w:r>
      <w:r w:rsidRPr="00583E1A">
        <w:t>means the All Groups Consumer Price Index number (being the weighted average of the 8 capital cities) published by the Australian Statistician.</w:t>
      </w:r>
    </w:p>
    <w:p w:rsidR="00887330" w:rsidRPr="00583E1A" w:rsidRDefault="00887330" w:rsidP="00887330">
      <w:pPr>
        <w:pStyle w:val="Definition"/>
      </w:pPr>
      <w:r w:rsidRPr="00583E1A">
        <w:rPr>
          <w:b/>
          <w:i/>
        </w:rPr>
        <w:t>allocable cost amount</w:t>
      </w:r>
      <w:r w:rsidRPr="00583E1A">
        <w:rPr>
          <w:b/>
        </w:rPr>
        <w:t xml:space="preserve"> </w:t>
      </w:r>
      <w:r w:rsidRPr="00583E1A">
        <w:t>has the meaning given by section</w:t>
      </w:r>
      <w:r w:rsidR="00583E1A">
        <w:t> </w:t>
      </w:r>
      <w:r w:rsidRPr="00583E1A">
        <w:t>705</w:t>
      </w:r>
      <w:r w:rsidR="00583E1A">
        <w:noBreakHyphen/>
      </w:r>
      <w:r w:rsidRPr="00583E1A">
        <w:t>60 and subsection 711</w:t>
      </w:r>
      <w:r w:rsidR="00583E1A">
        <w:noBreakHyphen/>
      </w:r>
      <w:r w:rsidRPr="00583E1A">
        <w:t>20(1).</w:t>
      </w:r>
    </w:p>
    <w:p w:rsidR="00887330" w:rsidRPr="00583E1A" w:rsidRDefault="00887330" w:rsidP="00887330">
      <w:pPr>
        <w:pStyle w:val="Definition"/>
      </w:pPr>
      <w:r w:rsidRPr="00583E1A">
        <w:rPr>
          <w:b/>
          <w:i/>
        </w:rPr>
        <w:t>allocated annuity</w:t>
      </w:r>
      <w:r w:rsidRPr="00583E1A">
        <w:t xml:space="preserve"> means an </w:t>
      </w:r>
      <w:r w:rsidR="00583E1A" w:rsidRPr="00583E1A">
        <w:rPr>
          <w:position w:val="6"/>
          <w:sz w:val="16"/>
        </w:rPr>
        <w:t>*</w:t>
      </w:r>
      <w:r w:rsidRPr="00583E1A">
        <w:t>immediate annuity that satisfies the requirements of subregulation 1.05(4) of the Superannuation Industry (Supervision) Regulations.</w:t>
      </w:r>
    </w:p>
    <w:p w:rsidR="00887330" w:rsidRPr="00583E1A" w:rsidRDefault="00887330" w:rsidP="00887330">
      <w:pPr>
        <w:pStyle w:val="Definition"/>
      </w:pPr>
      <w:r w:rsidRPr="00583E1A">
        <w:rPr>
          <w:b/>
          <w:i/>
        </w:rPr>
        <w:t>allocated pension</w:t>
      </w:r>
      <w:r w:rsidRPr="00583E1A">
        <w:t xml:space="preserve"> means a </w:t>
      </w:r>
      <w:r w:rsidR="00583E1A" w:rsidRPr="00583E1A">
        <w:rPr>
          <w:position w:val="6"/>
          <w:sz w:val="16"/>
        </w:rPr>
        <w:t>*</w:t>
      </w:r>
      <w:r w:rsidRPr="00583E1A">
        <w:t>current pension that satisfies the requirements of subregulation 1.06(4) of the Superannuation Industry (Supervision) Regulations.</w:t>
      </w:r>
    </w:p>
    <w:p w:rsidR="00887330" w:rsidRPr="00583E1A" w:rsidRDefault="00887330" w:rsidP="00887330">
      <w:pPr>
        <w:pStyle w:val="Definition"/>
      </w:pPr>
      <w:r w:rsidRPr="00583E1A">
        <w:rPr>
          <w:b/>
          <w:i/>
        </w:rPr>
        <w:t xml:space="preserve">allowable </w:t>
      </w:r>
      <w:smartTag w:uri="urn:schemas-microsoft-com:office:smarttags" w:element="place">
        <w:r w:rsidRPr="00583E1A">
          <w:rPr>
            <w:b/>
            <w:i/>
          </w:rPr>
          <w:t>OB</w:t>
        </w:r>
      </w:smartTag>
      <w:r w:rsidRPr="00583E1A">
        <w:rPr>
          <w:b/>
          <w:i/>
        </w:rPr>
        <w:t xml:space="preserve"> deduction</w:t>
      </w:r>
      <w:r w:rsidRPr="00583E1A">
        <w:t xml:space="preserve"> has the meaning given by subsection 121EF(2) of the </w:t>
      </w:r>
      <w:r w:rsidRPr="00583E1A">
        <w:rPr>
          <w:i/>
        </w:rPr>
        <w:t>Income Tax Assessment Act 1936</w:t>
      </w:r>
      <w:r w:rsidRPr="00583E1A">
        <w:t>.</w:t>
      </w:r>
    </w:p>
    <w:p w:rsidR="00D41D7D" w:rsidRPr="005E19E0" w:rsidRDefault="00D41D7D" w:rsidP="00D41D7D">
      <w:pPr>
        <w:pStyle w:val="Definition"/>
      </w:pPr>
      <w:r w:rsidRPr="005E19E0">
        <w:rPr>
          <w:b/>
          <w:i/>
        </w:rPr>
        <w:t xml:space="preserve">allowance component </w:t>
      </w:r>
      <w:r w:rsidRPr="005E19E0">
        <w:t>has the meaning given by section 300</w:t>
      </w:r>
      <w:r w:rsidRPr="005E19E0">
        <w:noBreakHyphen/>
        <w:t xml:space="preserve">1 of the </w:t>
      </w:r>
      <w:r w:rsidRPr="005E19E0">
        <w:rPr>
          <w:i/>
        </w:rPr>
        <w:t>Minerals Resource Rent Tax Act 201</w:t>
      </w:r>
      <w:r>
        <w:rPr>
          <w:i/>
        </w:rPr>
        <w:t>2</w:t>
      </w:r>
      <w:r w:rsidRPr="005E19E0">
        <w:t>.</w:t>
      </w:r>
    </w:p>
    <w:p w:rsidR="00887330" w:rsidRPr="00583E1A" w:rsidRDefault="00887330" w:rsidP="00397971">
      <w:pPr>
        <w:pStyle w:val="Definition"/>
        <w:keepNext/>
      </w:pPr>
      <w:r w:rsidRPr="00583E1A">
        <w:rPr>
          <w:b/>
          <w:i/>
        </w:rPr>
        <w:t>alteration time</w:t>
      </w:r>
      <w:r w:rsidRPr="00583E1A">
        <w:t>:</w:t>
      </w:r>
    </w:p>
    <w:p w:rsidR="00887330" w:rsidRPr="00583E1A" w:rsidRDefault="00887330" w:rsidP="00887330">
      <w:pPr>
        <w:pStyle w:val="paragraph"/>
      </w:pPr>
      <w:r w:rsidRPr="00583E1A">
        <w:tab/>
        <w:t>(a)</w:t>
      </w:r>
      <w:r w:rsidRPr="00583E1A">
        <w:tab/>
        <w:t>for a company has the meaning given by sections</w:t>
      </w:r>
      <w:r w:rsidR="00583E1A">
        <w:t> </w:t>
      </w:r>
      <w:r w:rsidRPr="00583E1A">
        <w:t>165</w:t>
      </w:r>
      <w:r w:rsidR="00583E1A">
        <w:noBreakHyphen/>
      </w:r>
      <w:r w:rsidRPr="00583E1A">
        <w:t>115L, 165</w:t>
      </w:r>
      <w:r w:rsidR="00583E1A">
        <w:noBreakHyphen/>
      </w:r>
      <w:r w:rsidRPr="00583E1A">
        <w:t>115M, 165</w:t>
      </w:r>
      <w:r w:rsidR="00583E1A">
        <w:noBreakHyphen/>
      </w:r>
      <w:r w:rsidRPr="00583E1A">
        <w:t>115N, 165</w:t>
      </w:r>
      <w:r w:rsidR="00583E1A">
        <w:noBreakHyphen/>
      </w:r>
      <w:r w:rsidRPr="00583E1A">
        <w:t>115P, 165</w:t>
      </w:r>
      <w:r w:rsidR="00583E1A">
        <w:noBreakHyphen/>
      </w:r>
      <w:r w:rsidRPr="00583E1A">
        <w:t>115Q, 715</w:t>
      </w:r>
      <w:r w:rsidR="00583E1A">
        <w:noBreakHyphen/>
      </w:r>
      <w:r w:rsidRPr="00583E1A">
        <w:t>245, 715</w:t>
      </w:r>
      <w:r w:rsidR="00583E1A">
        <w:noBreakHyphen/>
      </w:r>
      <w:r w:rsidRPr="00583E1A">
        <w:t>250 and 719</w:t>
      </w:r>
      <w:r w:rsidR="00583E1A">
        <w:noBreakHyphen/>
      </w:r>
      <w:r w:rsidRPr="00583E1A">
        <w:t>725; and</w:t>
      </w:r>
    </w:p>
    <w:p w:rsidR="00887330" w:rsidRPr="00583E1A" w:rsidRDefault="00887330" w:rsidP="00887330">
      <w:pPr>
        <w:pStyle w:val="paragraph"/>
      </w:pPr>
      <w:r w:rsidRPr="00583E1A">
        <w:lastRenderedPageBreak/>
        <w:tab/>
        <w:t>(b)</w:t>
      </w:r>
      <w:r w:rsidRPr="00583E1A">
        <w:tab/>
        <w:t>for a trust, has the meaning given by section</w:t>
      </w:r>
      <w:r w:rsidR="00583E1A">
        <w:t> </w:t>
      </w:r>
      <w:r w:rsidRPr="00583E1A">
        <w:t>715</w:t>
      </w:r>
      <w:r w:rsidR="00583E1A">
        <w:noBreakHyphen/>
      </w:r>
      <w:r w:rsidRPr="00583E1A">
        <w:t>270.</w:t>
      </w:r>
    </w:p>
    <w:p w:rsidR="00887330" w:rsidRPr="00583E1A" w:rsidRDefault="00887330" w:rsidP="00887330">
      <w:pPr>
        <w:pStyle w:val="Definition"/>
      </w:pPr>
      <w:r w:rsidRPr="00583E1A">
        <w:rPr>
          <w:b/>
          <w:i/>
        </w:rPr>
        <w:t xml:space="preserve">amount </w:t>
      </w:r>
      <w:r w:rsidRPr="00583E1A">
        <w:t>includes a nil amount.</w:t>
      </w:r>
    </w:p>
    <w:p w:rsidR="00887330" w:rsidRPr="00583E1A" w:rsidRDefault="00887330" w:rsidP="00887330">
      <w:pPr>
        <w:pStyle w:val="Definition"/>
      </w:pPr>
      <w:r w:rsidRPr="00583E1A">
        <w:rPr>
          <w:b/>
          <w:i/>
        </w:rPr>
        <w:t>amount required to be withheld</w:t>
      </w:r>
      <w:r w:rsidRPr="00583E1A">
        <w:t xml:space="preserve"> by an entity from a </w:t>
      </w:r>
      <w:r w:rsidR="00583E1A" w:rsidRPr="00583E1A">
        <w:rPr>
          <w:position w:val="6"/>
          <w:sz w:val="16"/>
        </w:rPr>
        <w:t>*</w:t>
      </w:r>
      <w:r w:rsidRPr="00583E1A">
        <w:t>withholding payment means:</w:t>
      </w:r>
    </w:p>
    <w:p w:rsidR="00887330" w:rsidRPr="00583E1A" w:rsidRDefault="00887330" w:rsidP="00887330">
      <w:pPr>
        <w:pStyle w:val="paragraph"/>
      </w:pPr>
      <w:r w:rsidRPr="00583E1A">
        <w:tab/>
        <w:t>(a)</w:t>
      </w:r>
      <w:r w:rsidRPr="00583E1A">
        <w:tab/>
        <w:t>the amount that the entity must withhold from the payment under Division</w:t>
      </w:r>
      <w:r w:rsidR="00583E1A">
        <w:t> </w:t>
      </w:r>
      <w:r w:rsidRPr="00583E1A">
        <w:t>12 in Schedule</w:t>
      </w:r>
      <w:r w:rsidR="00583E1A">
        <w:t> </w:t>
      </w:r>
      <w:r w:rsidRPr="00583E1A">
        <w:t xml:space="preserve">1 to the </w:t>
      </w:r>
      <w:r w:rsidRPr="00583E1A">
        <w:rPr>
          <w:i/>
        </w:rPr>
        <w:t>Taxation Administration Act 1953</w:t>
      </w:r>
      <w:r w:rsidRPr="00583E1A">
        <w:t>; or</w:t>
      </w:r>
    </w:p>
    <w:p w:rsidR="00887330" w:rsidRPr="00583E1A" w:rsidRDefault="00887330" w:rsidP="00887330">
      <w:pPr>
        <w:pStyle w:val="paragraph"/>
      </w:pPr>
      <w:r w:rsidRPr="00583E1A">
        <w:tab/>
        <w:t>(aa)</w:t>
      </w:r>
      <w:r w:rsidRPr="00583E1A">
        <w:tab/>
        <w:t>the amount that Division</w:t>
      </w:r>
      <w:r w:rsidR="00583E1A">
        <w:t> </w:t>
      </w:r>
      <w:r w:rsidRPr="00583E1A">
        <w:t xml:space="preserve">13 in that Schedule requires the entity to pay to the Commissioner in respect of the </w:t>
      </w:r>
      <w:r w:rsidR="00583E1A" w:rsidRPr="00583E1A">
        <w:rPr>
          <w:position w:val="6"/>
          <w:sz w:val="16"/>
        </w:rPr>
        <w:t>*</w:t>
      </w:r>
      <w:r w:rsidRPr="00583E1A">
        <w:t>alienated personal services payment to which the withholding payment relates; or</w:t>
      </w:r>
    </w:p>
    <w:p w:rsidR="00887330" w:rsidRPr="00583E1A" w:rsidRDefault="00887330" w:rsidP="00887330">
      <w:pPr>
        <w:pStyle w:val="paragraph"/>
      </w:pPr>
      <w:r w:rsidRPr="00583E1A">
        <w:tab/>
        <w:t>(b)</w:t>
      </w:r>
      <w:r w:rsidRPr="00583E1A">
        <w:tab/>
        <w:t>the amount that Division</w:t>
      </w:r>
      <w:r w:rsidR="00583E1A">
        <w:t> </w:t>
      </w:r>
      <w:r w:rsidRPr="00583E1A">
        <w:t xml:space="preserve">14 in that Schedule requires the entity to pay to the Commissioner in respect of the </w:t>
      </w:r>
      <w:r w:rsidR="00583E1A" w:rsidRPr="00583E1A">
        <w:rPr>
          <w:position w:val="6"/>
          <w:sz w:val="16"/>
        </w:rPr>
        <w:t>*</w:t>
      </w:r>
      <w:r w:rsidRPr="00583E1A">
        <w:t>non</w:t>
      </w:r>
      <w:r w:rsidR="00583E1A">
        <w:noBreakHyphen/>
      </w:r>
      <w:r w:rsidRPr="00583E1A">
        <w:t>cash benefit of which the withholding payment consists;</w:t>
      </w:r>
    </w:p>
    <w:p w:rsidR="00887330" w:rsidRPr="00583E1A" w:rsidRDefault="00887330" w:rsidP="00887330">
      <w:pPr>
        <w:pStyle w:val="subsection2"/>
      </w:pPr>
      <w:r w:rsidRPr="00583E1A">
        <w:t>or that amount as varied by the Commissioner under section</w:t>
      </w:r>
      <w:r w:rsidR="00583E1A">
        <w:t> </w:t>
      </w:r>
      <w:r w:rsidRPr="00583E1A">
        <w:t>15</w:t>
      </w:r>
      <w:r w:rsidR="00583E1A">
        <w:noBreakHyphen/>
      </w:r>
      <w:r w:rsidRPr="00583E1A">
        <w:t>15 in the Schedule.</w:t>
      </w:r>
    </w:p>
    <w:p w:rsidR="00887330" w:rsidRPr="00583E1A" w:rsidRDefault="00887330" w:rsidP="00887330">
      <w:pPr>
        <w:pStyle w:val="Definition"/>
      </w:pPr>
      <w:r w:rsidRPr="00583E1A">
        <w:rPr>
          <w:b/>
          <w:i/>
        </w:rPr>
        <w:t>amount withheld</w:t>
      </w:r>
      <w:r w:rsidRPr="00583E1A">
        <w:t xml:space="preserve"> by an entity from a </w:t>
      </w:r>
      <w:r w:rsidR="00583E1A" w:rsidRPr="00583E1A">
        <w:rPr>
          <w:position w:val="6"/>
          <w:sz w:val="16"/>
        </w:rPr>
        <w:t>*</w:t>
      </w:r>
      <w:r w:rsidRPr="00583E1A">
        <w:t>withholding payment means:</w:t>
      </w:r>
    </w:p>
    <w:p w:rsidR="00887330" w:rsidRPr="00583E1A" w:rsidRDefault="00887330" w:rsidP="00887330">
      <w:pPr>
        <w:pStyle w:val="paragraph"/>
      </w:pPr>
      <w:r w:rsidRPr="00583E1A">
        <w:tab/>
        <w:t>(a)</w:t>
      </w:r>
      <w:r w:rsidRPr="00583E1A">
        <w:tab/>
        <w:t>an amount that the entity withheld from the payment under Division</w:t>
      </w:r>
      <w:r w:rsidR="00583E1A">
        <w:t> </w:t>
      </w:r>
      <w:r w:rsidRPr="00583E1A">
        <w:t>12 in Schedule</w:t>
      </w:r>
      <w:r w:rsidR="00583E1A">
        <w:t> </w:t>
      </w:r>
      <w:r w:rsidRPr="00583E1A">
        <w:t xml:space="preserve">1 to the </w:t>
      </w:r>
      <w:r w:rsidRPr="00583E1A">
        <w:rPr>
          <w:i/>
        </w:rPr>
        <w:t>Taxation Administration Act 1953</w:t>
      </w:r>
      <w:r w:rsidRPr="00583E1A">
        <w:t>; or</w:t>
      </w:r>
    </w:p>
    <w:p w:rsidR="00887330" w:rsidRPr="00583E1A" w:rsidRDefault="00887330" w:rsidP="00887330">
      <w:pPr>
        <w:pStyle w:val="paragraph"/>
      </w:pPr>
      <w:r w:rsidRPr="00583E1A">
        <w:tab/>
        <w:t>(aa)</w:t>
      </w:r>
      <w:r w:rsidRPr="00583E1A">
        <w:tab/>
        <w:t>an amount that the entity paid to the Commissioner under Division</w:t>
      </w:r>
      <w:r w:rsidR="00583E1A">
        <w:t> </w:t>
      </w:r>
      <w:r w:rsidRPr="00583E1A">
        <w:t xml:space="preserve">13 in that Schedule in respect of the </w:t>
      </w:r>
      <w:r w:rsidR="00583E1A" w:rsidRPr="00583E1A">
        <w:rPr>
          <w:position w:val="6"/>
          <w:sz w:val="16"/>
        </w:rPr>
        <w:t>*</w:t>
      </w:r>
      <w:r w:rsidRPr="00583E1A">
        <w:t>alienated personal services payment to which the withholding payment relates; or</w:t>
      </w:r>
    </w:p>
    <w:p w:rsidR="00887330" w:rsidRPr="00583E1A" w:rsidRDefault="00887330" w:rsidP="00887330">
      <w:pPr>
        <w:pStyle w:val="paragraph"/>
      </w:pPr>
      <w:r w:rsidRPr="00583E1A">
        <w:tab/>
        <w:t>(b)</w:t>
      </w:r>
      <w:r w:rsidRPr="00583E1A">
        <w:tab/>
        <w:t>an amount that the entity paid to the Commissioner under Division</w:t>
      </w:r>
      <w:r w:rsidR="00583E1A">
        <w:t> </w:t>
      </w:r>
      <w:r w:rsidRPr="00583E1A">
        <w:t xml:space="preserve">14 in that Schedule in respect of the </w:t>
      </w:r>
      <w:r w:rsidR="00583E1A" w:rsidRPr="00583E1A">
        <w:rPr>
          <w:position w:val="6"/>
          <w:sz w:val="16"/>
        </w:rPr>
        <w:t>*</w:t>
      </w:r>
      <w:r w:rsidRPr="00583E1A">
        <w:t>non</w:t>
      </w:r>
      <w:r w:rsidR="00583E1A">
        <w:noBreakHyphen/>
      </w:r>
      <w:r w:rsidRPr="00583E1A">
        <w:t>cash benefit of which the withholding payment consists.</w:t>
      </w:r>
    </w:p>
    <w:p w:rsidR="0005240B" w:rsidRPr="00592B5B" w:rsidRDefault="0005240B" w:rsidP="0005240B">
      <w:pPr>
        <w:pStyle w:val="Definition"/>
      </w:pPr>
      <w:r w:rsidRPr="00592B5B">
        <w:rPr>
          <w:b/>
          <w:i/>
        </w:rPr>
        <w:t>ancillary fund</w:t>
      </w:r>
      <w:r w:rsidRPr="00592B5B">
        <w:t xml:space="preserve"> means:</w:t>
      </w:r>
    </w:p>
    <w:p w:rsidR="0005240B" w:rsidRPr="00592B5B" w:rsidRDefault="0005240B" w:rsidP="0005240B">
      <w:pPr>
        <w:pStyle w:val="paragraph"/>
      </w:pPr>
      <w:r w:rsidRPr="00592B5B">
        <w:tab/>
        <w:t>(a)</w:t>
      </w:r>
      <w:r w:rsidRPr="00592B5B">
        <w:tab/>
        <w:t xml:space="preserve">a </w:t>
      </w:r>
      <w:r w:rsidRPr="00592B5B">
        <w:rPr>
          <w:position w:val="6"/>
          <w:sz w:val="16"/>
        </w:rPr>
        <w:t>*</w:t>
      </w:r>
      <w:r w:rsidRPr="00592B5B">
        <w:t>public ancillary fund; or</w:t>
      </w:r>
    </w:p>
    <w:p w:rsidR="0005240B" w:rsidRPr="00592B5B" w:rsidRDefault="0005240B" w:rsidP="0005240B">
      <w:pPr>
        <w:pStyle w:val="paragraph"/>
      </w:pPr>
      <w:r w:rsidRPr="00592B5B">
        <w:tab/>
        <w:t>(b)</w:t>
      </w:r>
      <w:r w:rsidRPr="00592B5B">
        <w:tab/>
        <w:t xml:space="preserve">a </w:t>
      </w:r>
      <w:r w:rsidRPr="00592B5B">
        <w:rPr>
          <w:position w:val="6"/>
          <w:sz w:val="16"/>
        </w:rPr>
        <w:t>*</w:t>
      </w:r>
      <w:r w:rsidRPr="00592B5B">
        <w:t>private ancillary fund.</w:t>
      </w:r>
    </w:p>
    <w:p w:rsidR="00887330" w:rsidRPr="00583E1A" w:rsidRDefault="00887330" w:rsidP="00887330">
      <w:pPr>
        <w:pStyle w:val="Definition"/>
      </w:pPr>
      <w:r w:rsidRPr="00583E1A">
        <w:rPr>
          <w:b/>
          <w:i/>
        </w:rPr>
        <w:t>ancillary mining activities</w:t>
      </w:r>
      <w:r w:rsidRPr="00583E1A">
        <w:t xml:space="preserve"> has the meaning given by section</w:t>
      </w:r>
      <w:r w:rsidR="00583E1A">
        <w:t> </w:t>
      </w:r>
      <w:r w:rsidRPr="00583E1A">
        <w:t>40</w:t>
      </w:r>
      <w:r w:rsidR="00583E1A">
        <w:noBreakHyphen/>
      </w:r>
      <w:r w:rsidRPr="00583E1A">
        <w:t>740.</w:t>
      </w:r>
    </w:p>
    <w:p w:rsidR="00887330" w:rsidRPr="00583E1A" w:rsidRDefault="00887330" w:rsidP="00887330">
      <w:pPr>
        <w:pStyle w:val="Definition"/>
        <w:rPr>
          <w:b/>
          <w:i/>
        </w:rPr>
      </w:pPr>
      <w:r w:rsidRPr="00583E1A">
        <w:rPr>
          <w:b/>
          <w:i/>
        </w:rPr>
        <w:lastRenderedPageBreak/>
        <w:t>annual instalment component</w:t>
      </w:r>
      <w:r w:rsidRPr="00583E1A">
        <w:t xml:space="preserve"> of your </w:t>
      </w:r>
      <w:r w:rsidR="00583E1A" w:rsidRPr="00583E1A">
        <w:rPr>
          <w:position w:val="6"/>
          <w:sz w:val="16"/>
        </w:rPr>
        <w:t>*</w:t>
      </w:r>
      <w:r w:rsidRPr="00583E1A">
        <w:t>tax position has the meaning given by section</w:t>
      </w:r>
      <w:r w:rsidR="00583E1A">
        <w:t> </w:t>
      </w:r>
      <w:r w:rsidRPr="00583E1A">
        <w:t>45</w:t>
      </w:r>
      <w:r w:rsidR="00583E1A">
        <w:noBreakHyphen/>
      </w:r>
      <w:r w:rsidRPr="00583E1A">
        <w:t>610 in Schedule</w:t>
      </w:r>
      <w:r w:rsidR="00583E1A">
        <w:t> </w:t>
      </w:r>
      <w:r w:rsidRPr="00583E1A">
        <w:t xml:space="preserve">1 to the </w:t>
      </w:r>
      <w:r w:rsidRPr="00583E1A">
        <w:rPr>
          <w:i/>
        </w:rPr>
        <w:t>Taxation Administration Act 1953</w:t>
      </w:r>
      <w:r w:rsidRPr="00583E1A">
        <w:t>.</w:t>
      </w:r>
    </w:p>
    <w:p w:rsidR="00887330" w:rsidRPr="00583E1A" w:rsidRDefault="00887330" w:rsidP="00887330">
      <w:pPr>
        <w:pStyle w:val="Definition"/>
      </w:pPr>
      <w:r w:rsidRPr="00583E1A">
        <w:rPr>
          <w:b/>
          <w:i/>
        </w:rPr>
        <w:t>annual payer</w:t>
      </w:r>
      <w:r w:rsidRPr="00583E1A">
        <w:t xml:space="preserve"> means an entity that has become an annual payer under section</w:t>
      </w:r>
      <w:r w:rsidR="00583E1A">
        <w:t> </w:t>
      </w:r>
      <w:r w:rsidRPr="00583E1A">
        <w:t>45</w:t>
      </w:r>
      <w:r w:rsidR="00583E1A">
        <w:noBreakHyphen/>
      </w:r>
      <w:r w:rsidRPr="00583E1A">
        <w:t>140 in Schedule</w:t>
      </w:r>
      <w:r w:rsidR="00583E1A">
        <w:t> </w:t>
      </w:r>
      <w:r w:rsidRPr="00583E1A">
        <w:t xml:space="preserve">1 to the </w:t>
      </w:r>
      <w:r w:rsidRPr="00583E1A">
        <w:rPr>
          <w:i/>
        </w:rPr>
        <w:t>Taxation Administration Act 1953</w:t>
      </w:r>
      <w:r w:rsidRPr="00583E1A">
        <w:t>, and has not since ceased to be an annual payer under section</w:t>
      </w:r>
      <w:r w:rsidR="00583E1A">
        <w:t> </w:t>
      </w:r>
      <w:r w:rsidRPr="00583E1A">
        <w:t>45</w:t>
      </w:r>
      <w:r w:rsidR="00583E1A">
        <w:noBreakHyphen/>
      </w:r>
      <w:r w:rsidRPr="00583E1A">
        <w:t>150</w:t>
      </w:r>
      <w:r w:rsidR="007C12E7" w:rsidRPr="00583E1A">
        <w:t xml:space="preserve"> or 45</w:t>
      </w:r>
      <w:r w:rsidR="00583E1A">
        <w:noBreakHyphen/>
      </w:r>
      <w:r w:rsidR="007C12E7" w:rsidRPr="00583E1A">
        <w:t>155 or former section</w:t>
      </w:r>
      <w:r w:rsidR="00583E1A">
        <w:t> </w:t>
      </w:r>
      <w:r w:rsidRPr="00583E1A">
        <w:t>45</w:t>
      </w:r>
      <w:r w:rsidR="00583E1A">
        <w:noBreakHyphen/>
      </w:r>
      <w:r w:rsidRPr="00583E1A">
        <w:t>180 in that Schedule.</w:t>
      </w:r>
    </w:p>
    <w:p w:rsidR="001C6F3A" w:rsidRPr="00583E1A" w:rsidRDefault="001C6F3A" w:rsidP="001C6F3A">
      <w:pPr>
        <w:pStyle w:val="Definition"/>
      </w:pPr>
      <w:r w:rsidRPr="00583E1A">
        <w:rPr>
          <w:b/>
          <w:i/>
        </w:rPr>
        <w:t>annual tax period election</w:t>
      </w:r>
      <w:r w:rsidRPr="00583E1A">
        <w:t xml:space="preserve"> has the same meaning as in the </w:t>
      </w:r>
      <w:r w:rsidR="00FB4F41" w:rsidRPr="004C09C4">
        <w:rPr>
          <w:position w:val="6"/>
          <w:sz w:val="16"/>
        </w:rPr>
        <w:t>*</w:t>
      </w:r>
      <w:r w:rsidR="00FB4F41" w:rsidRPr="004C09C4">
        <w:t>GST Act</w:t>
      </w:r>
      <w:r w:rsidRPr="00583E1A">
        <w:t>.</w:t>
      </w:r>
    </w:p>
    <w:p w:rsidR="00812D94" w:rsidRPr="00583E1A" w:rsidRDefault="00812D94" w:rsidP="00812D94">
      <w:pPr>
        <w:pStyle w:val="Definition"/>
      </w:pPr>
      <w:r w:rsidRPr="00583E1A">
        <w:rPr>
          <w:b/>
          <w:i/>
        </w:rPr>
        <w:t xml:space="preserve">annual turnover </w:t>
      </w:r>
      <w:r w:rsidRPr="00583E1A">
        <w:t>has the meaning given by section</w:t>
      </w:r>
      <w:r w:rsidR="00583E1A">
        <w:t> </w:t>
      </w:r>
      <w:r w:rsidRPr="00583E1A">
        <w:t>328</w:t>
      </w:r>
      <w:r w:rsidR="00583E1A">
        <w:noBreakHyphen/>
      </w:r>
      <w:r w:rsidRPr="00583E1A">
        <w:t>120.</w:t>
      </w:r>
    </w:p>
    <w:p w:rsidR="00887330" w:rsidRPr="00583E1A" w:rsidRDefault="00887330" w:rsidP="00887330">
      <w:pPr>
        <w:pStyle w:val="Definition"/>
      </w:pPr>
      <w:r w:rsidRPr="00583E1A">
        <w:rPr>
          <w:b/>
          <w:i/>
        </w:rPr>
        <w:t>annuity</w:t>
      </w:r>
      <w:r w:rsidRPr="00583E1A">
        <w:t xml:space="preserve"> includes:</w:t>
      </w:r>
    </w:p>
    <w:p w:rsidR="00887330" w:rsidRPr="00583E1A" w:rsidRDefault="00887330" w:rsidP="00887330">
      <w:pPr>
        <w:pStyle w:val="paragraph"/>
      </w:pPr>
      <w:r w:rsidRPr="00583E1A">
        <w:tab/>
        <w:t>(a)</w:t>
      </w:r>
      <w:r w:rsidRPr="00583E1A">
        <w:tab/>
        <w:t xml:space="preserve">an annuity, within the meaning of the </w:t>
      </w:r>
      <w:r w:rsidRPr="00583E1A">
        <w:rPr>
          <w:i/>
        </w:rPr>
        <w:t>Superannuation Industry (Supervision) Act 1993</w:t>
      </w:r>
      <w:r w:rsidRPr="00583E1A">
        <w:t>; or</w:t>
      </w:r>
    </w:p>
    <w:p w:rsidR="00887330" w:rsidRPr="00583E1A" w:rsidRDefault="00887330" w:rsidP="00887330">
      <w:pPr>
        <w:pStyle w:val="paragraph"/>
      </w:pPr>
      <w:r w:rsidRPr="00583E1A">
        <w:tab/>
        <w:t>(b)</w:t>
      </w:r>
      <w:r w:rsidRPr="00583E1A">
        <w:tab/>
        <w:t xml:space="preserve">a pension, within the meaning of the </w:t>
      </w:r>
      <w:r w:rsidRPr="00583E1A">
        <w:rPr>
          <w:i/>
        </w:rPr>
        <w:t>Retirement Savings Accounts Act 1997</w:t>
      </w:r>
      <w:r w:rsidRPr="00583E1A">
        <w:t>.</w:t>
      </w:r>
    </w:p>
    <w:p w:rsidR="00887330" w:rsidRPr="00583E1A" w:rsidRDefault="00887330" w:rsidP="00887330">
      <w:pPr>
        <w:pStyle w:val="Definition"/>
      </w:pPr>
      <w:r w:rsidRPr="00583E1A">
        <w:rPr>
          <w:b/>
          <w:i/>
        </w:rPr>
        <w:t>annuity instrument</w:t>
      </w:r>
      <w:r w:rsidRPr="00583E1A">
        <w:t xml:space="preserve"> means an instrument that secures the grant of an annuity (whether dependent on the life of an individual or not).</w:t>
      </w:r>
    </w:p>
    <w:p w:rsidR="00887330" w:rsidRPr="00583E1A" w:rsidRDefault="00887330" w:rsidP="00887330">
      <w:pPr>
        <w:pStyle w:val="Definition"/>
      </w:pPr>
      <w:r w:rsidRPr="00583E1A">
        <w:rPr>
          <w:b/>
          <w:i/>
        </w:rPr>
        <w:t>apartment building</w:t>
      </w:r>
      <w:r w:rsidRPr="00583E1A">
        <w:t xml:space="preserve"> has the meaning given by section</w:t>
      </w:r>
      <w:r w:rsidR="00583E1A">
        <w:t> </w:t>
      </w:r>
      <w:r w:rsidRPr="00583E1A">
        <w:t>43</w:t>
      </w:r>
      <w:r w:rsidR="00583E1A">
        <w:noBreakHyphen/>
      </w:r>
      <w:r w:rsidRPr="00583E1A">
        <w:t>95.</w:t>
      </w:r>
    </w:p>
    <w:p w:rsidR="00887330" w:rsidRPr="00583E1A" w:rsidRDefault="00887330" w:rsidP="00887330">
      <w:pPr>
        <w:pStyle w:val="Definition"/>
      </w:pPr>
      <w:r w:rsidRPr="00583E1A">
        <w:rPr>
          <w:b/>
          <w:i/>
        </w:rPr>
        <w:t>applicable functional currency</w:t>
      </w:r>
      <w:r w:rsidRPr="00583E1A">
        <w:t xml:space="preserve"> has the meaning given by section</w:t>
      </w:r>
      <w:r w:rsidR="00583E1A">
        <w:t> </w:t>
      </w:r>
      <w:r w:rsidRPr="00583E1A">
        <w:t>960</w:t>
      </w:r>
      <w:r w:rsidR="00583E1A">
        <w:noBreakHyphen/>
      </w:r>
      <w:r w:rsidRPr="00583E1A">
        <w:t>70.</w:t>
      </w:r>
    </w:p>
    <w:p w:rsidR="00C33219" w:rsidRPr="00583E1A" w:rsidRDefault="00C33219" w:rsidP="00C33219">
      <w:pPr>
        <w:pStyle w:val="Definition"/>
      </w:pPr>
      <w:r w:rsidRPr="00583E1A">
        <w:rPr>
          <w:b/>
          <w:i/>
        </w:rPr>
        <w:t xml:space="preserve">applicable fund earnings </w:t>
      </w:r>
      <w:r w:rsidRPr="00583E1A">
        <w:t>has the meaning given by section</w:t>
      </w:r>
      <w:r w:rsidR="00583E1A">
        <w:t> </w:t>
      </w:r>
      <w:r w:rsidRPr="00583E1A">
        <w:t>305</w:t>
      </w:r>
      <w:r w:rsidR="00583E1A">
        <w:noBreakHyphen/>
      </w:r>
      <w:r w:rsidRPr="00583E1A">
        <w:t>75.</w:t>
      </w:r>
    </w:p>
    <w:p w:rsidR="00D41D7D" w:rsidRPr="005E19E0" w:rsidRDefault="00D41D7D" w:rsidP="00D41D7D">
      <w:pPr>
        <w:pStyle w:val="Definition"/>
      </w:pPr>
      <w:r w:rsidRPr="005E19E0">
        <w:rPr>
          <w:b/>
          <w:i/>
        </w:rPr>
        <w:t>applicable instalment rate</w:t>
      </w:r>
      <w:r w:rsidRPr="005E19E0">
        <w:t xml:space="preserve"> for an </w:t>
      </w:r>
      <w:r w:rsidRPr="005E19E0">
        <w:rPr>
          <w:position w:val="6"/>
          <w:sz w:val="16"/>
        </w:rPr>
        <w:t>*</w:t>
      </w:r>
      <w:r w:rsidRPr="005E19E0">
        <w:t xml:space="preserve">instalment quarter in an </w:t>
      </w:r>
      <w:r w:rsidRPr="005E19E0">
        <w:rPr>
          <w:position w:val="6"/>
          <w:sz w:val="16"/>
        </w:rPr>
        <w:t>*</w:t>
      </w:r>
      <w:r w:rsidRPr="005E19E0">
        <w:t>MRRT year has the meaning given by section 115</w:t>
      </w:r>
      <w:r w:rsidRPr="005E19E0">
        <w:noBreakHyphen/>
        <w:t xml:space="preserve">45 in Schedule 1 to the </w:t>
      </w:r>
      <w:r w:rsidRPr="005E19E0">
        <w:rPr>
          <w:i/>
        </w:rPr>
        <w:t>Taxation Administration Act 1953</w:t>
      </w:r>
      <w:r w:rsidRPr="005E19E0">
        <w:t>.</w:t>
      </w:r>
    </w:p>
    <w:p w:rsidR="00887330" w:rsidRPr="00583E1A" w:rsidRDefault="00887330" w:rsidP="00887330">
      <w:pPr>
        <w:pStyle w:val="Definition"/>
      </w:pPr>
      <w:r w:rsidRPr="00583E1A">
        <w:rPr>
          <w:b/>
          <w:i/>
        </w:rPr>
        <w:t>apportionable deductions</w:t>
      </w:r>
      <w:r w:rsidRPr="00583E1A">
        <w:t xml:space="preserve"> are:</w:t>
      </w:r>
    </w:p>
    <w:p w:rsidR="00887330" w:rsidRPr="00583E1A" w:rsidRDefault="00887330" w:rsidP="00887330">
      <w:pPr>
        <w:pStyle w:val="paragraph"/>
        <w:tabs>
          <w:tab w:val="left" w:pos="2268"/>
          <w:tab w:val="left" w:pos="3402"/>
          <w:tab w:val="left" w:pos="4536"/>
          <w:tab w:val="left" w:pos="5670"/>
          <w:tab w:val="left" w:pos="6804"/>
        </w:tabs>
      </w:pPr>
      <w:r w:rsidRPr="00583E1A">
        <w:tab/>
        <w:t>(a)</w:t>
      </w:r>
      <w:r w:rsidRPr="00583E1A">
        <w:tab/>
        <w:t>amounts deducted or deductible under section</w:t>
      </w:r>
      <w:r w:rsidR="00583E1A">
        <w:t> </w:t>
      </w:r>
      <w:r w:rsidRPr="00583E1A">
        <w:t>25</w:t>
      </w:r>
      <w:r w:rsidR="00583E1A">
        <w:noBreakHyphen/>
      </w:r>
      <w:r w:rsidRPr="00583E1A">
        <w:t>75 (which provides a deduction for rates and land tax); or</w:t>
      </w:r>
    </w:p>
    <w:p w:rsidR="00887330" w:rsidRPr="00583E1A" w:rsidRDefault="00887330" w:rsidP="00887330">
      <w:pPr>
        <w:pStyle w:val="paragraph"/>
        <w:tabs>
          <w:tab w:val="left" w:pos="2268"/>
          <w:tab w:val="left" w:pos="3402"/>
          <w:tab w:val="left" w:pos="4536"/>
          <w:tab w:val="left" w:pos="5670"/>
          <w:tab w:val="left" w:pos="6804"/>
        </w:tabs>
      </w:pPr>
      <w:r w:rsidRPr="00583E1A">
        <w:tab/>
        <w:t>(b)</w:t>
      </w:r>
      <w:r w:rsidRPr="00583E1A">
        <w:tab/>
        <w:t>amounts deducted or deductible under section</w:t>
      </w:r>
      <w:r w:rsidR="00583E1A">
        <w:t> </w:t>
      </w:r>
      <w:r w:rsidRPr="00583E1A">
        <w:t>30</w:t>
      </w:r>
      <w:r w:rsidR="00583E1A">
        <w:noBreakHyphen/>
      </w:r>
      <w:r w:rsidRPr="00583E1A">
        <w:t>15 because of item</w:t>
      </w:r>
      <w:r w:rsidR="00583E1A">
        <w:t> </w:t>
      </w:r>
      <w:r w:rsidRPr="00583E1A">
        <w:t xml:space="preserve">1, 2, 7 or 8 in the table in that section, except </w:t>
      </w:r>
      <w:r w:rsidRPr="00583E1A">
        <w:lastRenderedPageBreak/>
        <w:t xml:space="preserve">amounts deducted or deductible for gifts of </w:t>
      </w:r>
      <w:r w:rsidR="005A6ABC" w:rsidRPr="004C09C4">
        <w:rPr>
          <w:position w:val="6"/>
          <w:sz w:val="16"/>
        </w:rPr>
        <w:t>*</w:t>
      </w:r>
      <w:r w:rsidR="005A6ABC" w:rsidRPr="004C09C4">
        <w:t>trading stock</w:t>
      </w:r>
      <w:r w:rsidRPr="00583E1A">
        <w:t xml:space="preserve"> in cases where:</w:t>
      </w:r>
    </w:p>
    <w:p w:rsidR="00887330" w:rsidRPr="00583E1A" w:rsidRDefault="00887330" w:rsidP="00887330">
      <w:pPr>
        <w:pStyle w:val="paragraphsub"/>
        <w:tabs>
          <w:tab w:val="left" w:pos="2268"/>
          <w:tab w:val="left" w:pos="3402"/>
          <w:tab w:val="left" w:pos="4536"/>
          <w:tab w:val="left" w:pos="5670"/>
          <w:tab w:val="left" w:pos="6804"/>
        </w:tabs>
      </w:pPr>
      <w:r w:rsidRPr="00583E1A">
        <w:tab/>
        <w:t>(i)</w:t>
      </w:r>
      <w:r w:rsidRPr="00583E1A">
        <w:tab/>
        <w:t>the gifts are covered by section</w:t>
      </w:r>
      <w:r w:rsidR="00583E1A">
        <w:t> </w:t>
      </w:r>
      <w:r w:rsidRPr="00583E1A">
        <w:t>70</w:t>
      </w:r>
      <w:r w:rsidR="00583E1A">
        <w:noBreakHyphen/>
      </w:r>
      <w:r w:rsidRPr="00583E1A">
        <w:t>90 (which has the effect that the giver’s assessable income includes the market value of the gift); and</w:t>
      </w:r>
    </w:p>
    <w:p w:rsidR="00887330" w:rsidRPr="00583E1A" w:rsidRDefault="00887330" w:rsidP="00887330">
      <w:pPr>
        <w:pStyle w:val="paragraphsub"/>
        <w:tabs>
          <w:tab w:val="left" w:pos="2268"/>
          <w:tab w:val="left" w:pos="3402"/>
          <w:tab w:val="left" w:pos="4536"/>
          <w:tab w:val="left" w:pos="5670"/>
          <w:tab w:val="left" w:pos="6804"/>
        </w:tabs>
      </w:pPr>
      <w:r w:rsidRPr="00583E1A">
        <w:tab/>
        <w:t>(ii)</w:t>
      </w:r>
      <w:r w:rsidRPr="00583E1A">
        <w:tab/>
        <w:t>no election has been made, or is made, under Subdivision</w:t>
      </w:r>
      <w:r w:rsidR="00583E1A">
        <w:t> </w:t>
      </w:r>
      <w:r w:rsidRPr="00583E1A">
        <w:t>385</w:t>
      </w:r>
      <w:r w:rsidR="00583E1A">
        <w:noBreakHyphen/>
      </w:r>
      <w:r w:rsidRPr="00583E1A">
        <w:t>E (which allows the giver to choose to spread the market value of a gift of live stock over the giver’s assessable income for 5 income years or to reduce the amount included in the giver’s assessable income by the cost of replacement live stock).</w:t>
      </w:r>
    </w:p>
    <w:p w:rsidR="00887330" w:rsidRPr="00583E1A" w:rsidRDefault="00887330" w:rsidP="00887330">
      <w:pPr>
        <w:pStyle w:val="Definition"/>
      </w:pPr>
      <w:r w:rsidRPr="00583E1A">
        <w:rPr>
          <w:b/>
          <w:i/>
        </w:rPr>
        <w:t xml:space="preserve">approved child care </w:t>
      </w:r>
      <w:r w:rsidRPr="00583E1A">
        <w:t>has the meaning given by section</w:t>
      </w:r>
      <w:r w:rsidR="00583E1A">
        <w:t> </w:t>
      </w:r>
      <w:r w:rsidRPr="00583E1A">
        <w:t>61</w:t>
      </w:r>
      <w:r w:rsidR="00583E1A">
        <w:noBreakHyphen/>
      </w:r>
      <w:r w:rsidRPr="00583E1A">
        <w:t>475.</w:t>
      </w:r>
    </w:p>
    <w:p w:rsidR="00887330" w:rsidRPr="00583E1A" w:rsidRDefault="00887330" w:rsidP="007D29DB">
      <w:pPr>
        <w:pStyle w:val="Definition"/>
        <w:keepNext/>
        <w:keepLines/>
      </w:pPr>
      <w:r w:rsidRPr="00583E1A">
        <w:rPr>
          <w:b/>
          <w:i/>
        </w:rPr>
        <w:t xml:space="preserve">approved child care fees </w:t>
      </w:r>
      <w:r w:rsidRPr="00583E1A">
        <w:t>has the meaning given by section</w:t>
      </w:r>
      <w:r w:rsidR="00583E1A">
        <w:t> </w:t>
      </w:r>
      <w:r w:rsidRPr="00583E1A">
        <w:t>61</w:t>
      </w:r>
      <w:r w:rsidR="00583E1A">
        <w:noBreakHyphen/>
      </w:r>
      <w:r w:rsidRPr="00583E1A">
        <w:t>490.</w:t>
      </w:r>
    </w:p>
    <w:p w:rsidR="00887330" w:rsidRPr="00583E1A" w:rsidRDefault="00887330" w:rsidP="00887330">
      <w:pPr>
        <w:pStyle w:val="Definition"/>
        <w:rPr>
          <w:b/>
        </w:rPr>
      </w:pPr>
      <w:r w:rsidRPr="00583E1A">
        <w:rPr>
          <w:b/>
          <w:i/>
        </w:rPr>
        <w:t>approved deposit fund</w:t>
      </w:r>
      <w:r w:rsidRPr="00583E1A">
        <w:rPr>
          <w:b/>
        </w:rPr>
        <w:t xml:space="preserve"> </w:t>
      </w:r>
      <w:r w:rsidRPr="00583E1A">
        <w:t>has the meaning given by section</w:t>
      </w:r>
      <w:r w:rsidR="00583E1A">
        <w:t> </w:t>
      </w:r>
      <w:r w:rsidRPr="00583E1A">
        <w:t xml:space="preserve">10 of the </w:t>
      </w:r>
      <w:r w:rsidRPr="00583E1A">
        <w:rPr>
          <w:i/>
        </w:rPr>
        <w:t>Superannuation Industry (Supervision) Act 1993</w:t>
      </w:r>
      <w:r w:rsidRPr="00583E1A">
        <w:t>.</w:t>
      </w:r>
    </w:p>
    <w:p w:rsidR="00C33219" w:rsidRPr="00583E1A" w:rsidRDefault="00C33219" w:rsidP="00C33219">
      <w:pPr>
        <w:pStyle w:val="Definition"/>
      </w:pPr>
      <w:r w:rsidRPr="00583E1A">
        <w:rPr>
          <w:b/>
          <w:i/>
        </w:rPr>
        <w:t>approved deposit fund payment</w:t>
      </w:r>
      <w:r w:rsidRPr="00583E1A">
        <w:t xml:space="preserve"> has the meaning given by section</w:t>
      </w:r>
      <w:r w:rsidR="00583E1A">
        <w:t> </w:t>
      </w:r>
      <w:r w:rsidRPr="00583E1A">
        <w:t>307</w:t>
      </w:r>
      <w:r w:rsidR="00583E1A">
        <w:noBreakHyphen/>
      </w:r>
      <w:r w:rsidRPr="00583E1A">
        <w:t>5.</w:t>
      </w:r>
    </w:p>
    <w:p w:rsidR="00887330" w:rsidRPr="00583E1A" w:rsidRDefault="00887330" w:rsidP="00887330">
      <w:pPr>
        <w:pStyle w:val="Definition"/>
      </w:pPr>
      <w:r w:rsidRPr="00583E1A">
        <w:rPr>
          <w:b/>
          <w:i/>
        </w:rPr>
        <w:t>approved form</w:t>
      </w:r>
      <w:r w:rsidRPr="00583E1A">
        <w:t xml:space="preserve"> has the meaning given by section</w:t>
      </w:r>
      <w:r w:rsidR="00583E1A">
        <w:t> </w:t>
      </w:r>
      <w:r w:rsidRPr="00583E1A">
        <w:t>388</w:t>
      </w:r>
      <w:r w:rsidR="00583E1A">
        <w:noBreakHyphen/>
      </w:r>
      <w:r w:rsidRPr="00583E1A">
        <w:t>50 in Schedule</w:t>
      </w:r>
      <w:r w:rsidR="00583E1A">
        <w:t> </w:t>
      </w:r>
      <w:r w:rsidRPr="00583E1A">
        <w:t xml:space="preserve">1 to the </w:t>
      </w:r>
      <w:r w:rsidRPr="00583E1A">
        <w:rPr>
          <w:i/>
        </w:rPr>
        <w:t>Taxation Administration Act 1953</w:t>
      </w:r>
      <w:r w:rsidRPr="00583E1A">
        <w:t>.</w:t>
      </w:r>
    </w:p>
    <w:p w:rsidR="006C2DF7" w:rsidRPr="00583E1A" w:rsidRDefault="006C2DF7" w:rsidP="006C2DF7">
      <w:pPr>
        <w:pStyle w:val="Definition"/>
      </w:pPr>
      <w:r w:rsidRPr="00583E1A">
        <w:rPr>
          <w:b/>
          <w:i/>
        </w:rPr>
        <w:t>approved investment plan</w:t>
      </w:r>
      <w:r w:rsidRPr="00583E1A">
        <w:t xml:space="preserve">, of an </w:t>
      </w:r>
      <w:r w:rsidR="00583E1A" w:rsidRPr="00583E1A">
        <w:rPr>
          <w:position w:val="6"/>
          <w:sz w:val="16"/>
        </w:rPr>
        <w:t>*</w:t>
      </w:r>
      <w:r w:rsidRPr="00583E1A">
        <w:t>ESVCLP, has the meaning given by subsection 13</w:t>
      </w:r>
      <w:r w:rsidR="00583E1A">
        <w:noBreakHyphen/>
      </w:r>
      <w:r w:rsidRPr="00583E1A">
        <w:t xml:space="preserve">15(2) of the </w:t>
      </w:r>
      <w:r w:rsidRPr="00583E1A">
        <w:rPr>
          <w:i/>
        </w:rPr>
        <w:t>Venture Capital Act 2002</w:t>
      </w:r>
      <w:r w:rsidRPr="00583E1A">
        <w:t>.</w:t>
      </w:r>
    </w:p>
    <w:p w:rsidR="00887330" w:rsidRPr="00583E1A" w:rsidRDefault="00887330" w:rsidP="00887330">
      <w:pPr>
        <w:pStyle w:val="Definition"/>
      </w:pPr>
      <w:r w:rsidRPr="00583E1A">
        <w:rPr>
          <w:b/>
          <w:i/>
        </w:rPr>
        <w:t>approved management plan</w:t>
      </w:r>
      <w:r w:rsidRPr="00583E1A">
        <w:t xml:space="preserve"> for land has the meaning given by section</w:t>
      </w:r>
      <w:r w:rsidR="00583E1A">
        <w:t> </w:t>
      </w:r>
      <w:r w:rsidRPr="00583E1A">
        <w:t>40</w:t>
      </w:r>
      <w:r w:rsidR="00583E1A">
        <w:noBreakHyphen/>
      </w:r>
      <w:r w:rsidRPr="00583E1A">
        <w:t>640.</w:t>
      </w:r>
    </w:p>
    <w:p w:rsidR="00887330" w:rsidRPr="00583E1A" w:rsidRDefault="00887330" w:rsidP="00887330">
      <w:pPr>
        <w:pStyle w:val="Definition"/>
      </w:pPr>
      <w:r w:rsidRPr="00583E1A">
        <w:rPr>
          <w:b/>
          <w:i/>
        </w:rPr>
        <w:t>approved occupational clothing guidelines</w:t>
      </w:r>
      <w:r w:rsidRPr="00583E1A">
        <w:t xml:space="preserve"> has the meaning given by subsection 34</w:t>
      </w:r>
      <w:r w:rsidR="00583E1A">
        <w:noBreakHyphen/>
      </w:r>
      <w:r w:rsidRPr="00583E1A">
        <w:t>55(1).</w:t>
      </w:r>
    </w:p>
    <w:p w:rsidR="00DA09C9" w:rsidRPr="008706AC" w:rsidRDefault="00DA09C9" w:rsidP="00DA09C9">
      <w:pPr>
        <w:pStyle w:val="Definition"/>
      </w:pPr>
      <w:r w:rsidRPr="008706AC">
        <w:rPr>
          <w:b/>
          <w:i/>
        </w:rPr>
        <w:t>approved stock exchange</w:t>
      </w:r>
      <w:r w:rsidRPr="008706AC">
        <w:t xml:space="preserve"> means a stock exchange named in regulations made for the purposes of this definition.</w:t>
      </w:r>
    </w:p>
    <w:p w:rsidR="00887330" w:rsidRPr="00583E1A" w:rsidRDefault="00887330" w:rsidP="00887330">
      <w:pPr>
        <w:pStyle w:val="Definition"/>
      </w:pPr>
      <w:r w:rsidRPr="00583E1A">
        <w:rPr>
          <w:b/>
          <w:i/>
        </w:rPr>
        <w:t>APRA</w:t>
      </w:r>
      <w:r w:rsidRPr="00583E1A">
        <w:t xml:space="preserve"> means the Australian Prudential Regulation Authority.</w:t>
      </w:r>
    </w:p>
    <w:p w:rsidR="00887330" w:rsidRPr="00583E1A" w:rsidRDefault="00887330" w:rsidP="00887330">
      <w:pPr>
        <w:pStyle w:val="Definition"/>
      </w:pPr>
      <w:r w:rsidRPr="00583E1A">
        <w:rPr>
          <w:b/>
          <w:i/>
        </w:rPr>
        <w:t>arm’s length</w:t>
      </w:r>
      <w:r w:rsidRPr="00583E1A">
        <w:t>: in determining whether parties deal at</w:t>
      </w:r>
      <w:r w:rsidRPr="00583E1A">
        <w:rPr>
          <w:i/>
        </w:rPr>
        <w:t xml:space="preserve"> </w:t>
      </w:r>
      <w:r w:rsidRPr="00583E1A">
        <w:rPr>
          <w:b/>
          <w:i/>
        </w:rPr>
        <w:t>arm’s length</w:t>
      </w:r>
      <w:r w:rsidRPr="00583E1A">
        <w:t>, consider any connection between them and any other relevant circumstance.</w:t>
      </w:r>
    </w:p>
    <w:p w:rsidR="00887330" w:rsidRPr="00583E1A" w:rsidRDefault="00887330" w:rsidP="00887330">
      <w:pPr>
        <w:pStyle w:val="Definition"/>
      </w:pPr>
      <w:r w:rsidRPr="00583E1A">
        <w:rPr>
          <w:b/>
          <w:i/>
        </w:rPr>
        <w:lastRenderedPageBreak/>
        <w:t>arm’s length capital amount</w:t>
      </w:r>
      <w:r w:rsidRPr="00583E1A">
        <w:t>:</w:t>
      </w:r>
    </w:p>
    <w:p w:rsidR="00887330" w:rsidRPr="00583E1A" w:rsidRDefault="00887330" w:rsidP="00887330">
      <w:pPr>
        <w:pStyle w:val="paragraph"/>
      </w:pPr>
      <w:r w:rsidRPr="00583E1A">
        <w:tab/>
        <w:t>(a)</w:t>
      </w:r>
      <w:r w:rsidRPr="00583E1A">
        <w:tab/>
        <w:t xml:space="preserve">for an </w:t>
      </w:r>
      <w:r w:rsidR="00583E1A" w:rsidRPr="00583E1A">
        <w:rPr>
          <w:position w:val="6"/>
          <w:sz w:val="16"/>
        </w:rPr>
        <w:t>*</w:t>
      </w:r>
      <w:r w:rsidRPr="00583E1A">
        <w:t>outward investing entity (ADI)—has the meaning given by section</w:t>
      </w:r>
      <w:r w:rsidR="00583E1A">
        <w:t> </w:t>
      </w:r>
      <w:r w:rsidRPr="00583E1A">
        <w:t>820</w:t>
      </w:r>
      <w:r w:rsidR="00583E1A">
        <w:noBreakHyphen/>
      </w:r>
      <w:r w:rsidRPr="00583E1A">
        <w:t>315; and</w:t>
      </w:r>
    </w:p>
    <w:p w:rsidR="00887330" w:rsidRPr="00583E1A" w:rsidRDefault="00887330" w:rsidP="00887330">
      <w:pPr>
        <w:pStyle w:val="paragraph"/>
      </w:pPr>
      <w:r w:rsidRPr="00583E1A">
        <w:tab/>
        <w:t>(b)</w:t>
      </w:r>
      <w:r w:rsidRPr="00583E1A">
        <w:tab/>
        <w:t xml:space="preserve">for an </w:t>
      </w:r>
      <w:r w:rsidR="00583E1A" w:rsidRPr="00583E1A">
        <w:rPr>
          <w:position w:val="6"/>
          <w:sz w:val="16"/>
        </w:rPr>
        <w:t>*</w:t>
      </w:r>
      <w:r w:rsidRPr="00583E1A">
        <w:t>inward investing entity (ADI)—has the meaning given by section</w:t>
      </w:r>
      <w:r w:rsidR="00583E1A">
        <w:t> </w:t>
      </w:r>
      <w:r w:rsidRPr="00583E1A">
        <w:t>820</w:t>
      </w:r>
      <w:r w:rsidR="00583E1A">
        <w:noBreakHyphen/>
      </w:r>
      <w:r w:rsidRPr="00583E1A">
        <w:t>410.</w:t>
      </w:r>
    </w:p>
    <w:p w:rsidR="00320016" w:rsidRPr="005E19E0" w:rsidRDefault="00320016" w:rsidP="00320016">
      <w:pPr>
        <w:pStyle w:val="Definition"/>
      </w:pPr>
      <w:r w:rsidRPr="005E19E0">
        <w:rPr>
          <w:b/>
          <w:i/>
        </w:rPr>
        <w:t xml:space="preserve">arm’s length consideration </w:t>
      </w:r>
      <w:r w:rsidRPr="005E19E0">
        <w:t>has the meaning given by section 300</w:t>
      </w:r>
      <w:r w:rsidRPr="005E19E0">
        <w:noBreakHyphen/>
        <w:t xml:space="preserve">1 of the </w:t>
      </w:r>
      <w:r w:rsidRPr="005E19E0">
        <w:rPr>
          <w:i/>
        </w:rPr>
        <w:t>Minerals Resource Rent Tax Act 201</w:t>
      </w:r>
      <w:r>
        <w:rPr>
          <w:i/>
        </w:rPr>
        <w:t>2</w:t>
      </w:r>
      <w:r w:rsidRPr="005E19E0">
        <w:t>.</w:t>
      </w:r>
    </w:p>
    <w:p w:rsidR="00887330" w:rsidRPr="00583E1A" w:rsidRDefault="00887330" w:rsidP="00397971">
      <w:pPr>
        <w:pStyle w:val="Definition"/>
        <w:keepNext/>
      </w:pPr>
      <w:r w:rsidRPr="00583E1A">
        <w:rPr>
          <w:b/>
          <w:i/>
        </w:rPr>
        <w:t>arm’s length debt amount</w:t>
      </w:r>
      <w:r w:rsidRPr="00583E1A">
        <w:t>:</w:t>
      </w:r>
    </w:p>
    <w:p w:rsidR="00887330" w:rsidRPr="00583E1A" w:rsidRDefault="00887330" w:rsidP="00887330">
      <w:pPr>
        <w:pStyle w:val="paragraph"/>
      </w:pPr>
      <w:r w:rsidRPr="00583E1A">
        <w:tab/>
        <w:t>(a)</w:t>
      </w:r>
      <w:r w:rsidRPr="00583E1A">
        <w:tab/>
        <w:t xml:space="preserve">for an </w:t>
      </w:r>
      <w:r w:rsidR="00583E1A" w:rsidRPr="00583E1A">
        <w:rPr>
          <w:position w:val="6"/>
          <w:sz w:val="16"/>
        </w:rPr>
        <w:t>*</w:t>
      </w:r>
      <w:r w:rsidRPr="00583E1A">
        <w:t>outward investing entity (non</w:t>
      </w:r>
      <w:r w:rsidR="00583E1A">
        <w:noBreakHyphen/>
      </w:r>
      <w:r w:rsidRPr="00583E1A">
        <w:t>ADI)—has the meaning given by section</w:t>
      </w:r>
      <w:r w:rsidR="00583E1A">
        <w:t> </w:t>
      </w:r>
      <w:r w:rsidRPr="00583E1A">
        <w:t>820</w:t>
      </w:r>
      <w:r w:rsidR="00583E1A">
        <w:noBreakHyphen/>
      </w:r>
      <w:r w:rsidRPr="00583E1A">
        <w:t>105; and</w:t>
      </w:r>
    </w:p>
    <w:p w:rsidR="00887330" w:rsidRPr="00583E1A" w:rsidRDefault="00887330" w:rsidP="00887330">
      <w:pPr>
        <w:pStyle w:val="paragraph"/>
      </w:pPr>
      <w:r w:rsidRPr="00583E1A">
        <w:tab/>
        <w:t>(b)</w:t>
      </w:r>
      <w:r w:rsidRPr="00583E1A">
        <w:tab/>
        <w:t xml:space="preserve">for an </w:t>
      </w:r>
      <w:r w:rsidR="00583E1A" w:rsidRPr="00583E1A">
        <w:rPr>
          <w:position w:val="6"/>
          <w:sz w:val="16"/>
        </w:rPr>
        <w:t>*</w:t>
      </w:r>
      <w:r w:rsidRPr="00583E1A">
        <w:t>inward investing entity (non</w:t>
      </w:r>
      <w:r w:rsidR="00583E1A">
        <w:noBreakHyphen/>
      </w:r>
      <w:r w:rsidRPr="00583E1A">
        <w:t>ADI)—has the meaning given by section</w:t>
      </w:r>
      <w:r w:rsidR="00583E1A">
        <w:t> </w:t>
      </w:r>
      <w:r w:rsidRPr="00583E1A">
        <w:t>820</w:t>
      </w:r>
      <w:r w:rsidR="00583E1A">
        <w:noBreakHyphen/>
      </w:r>
      <w:r w:rsidRPr="00583E1A">
        <w:t>215.</w:t>
      </w:r>
    </w:p>
    <w:p w:rsidR="00887330" w:rsidRPr="00583E1A" w:rsidRDefault="00887330" w:rsidP="007D29DB">
      <w:pPr>
        <w:pStyle w:val="Definition"/>
        <w:keepNext/>
        <w:keepLines/>
      </w:pPr>
      <w:r w:rsidRPr="00583E1A">
        <w:rPr>
          <w:b/>
          <w:i/>
        </w:rPr>
        <w:t>arrangement</w:t>
      </w:r>
      <w:r w:rsidRPr="00583E1A">
        <w:t xml:space="preserve"> means any arrangement, agreement, understanding, promise or undertaking, whether express or implied, and whether or not enforceable (or intended to be enforceable) by legal proceedings.</w:t>
      </w:r>
    </w:p>
    <w:p w:rsidR="00887330" w:rsidRPr="00583E1A" w:rsidRDefault="00887330" w:rsidP="00887330">
      <w:pPr>
        <w:pStyle w:val="Definition"/>
      </w:pPr>
      <w:r w:rsidRPr="00583E1A">
        <w:rPr>
          <w:b/>
          <w:i/>
        </w:rPr>
        <w:t>arrangement payment</w:t>
      </w:r>
      <w:r w:rsidRPr="00583E1A">
        <w:t xml:space="preserve"> has the meaning given by section</w:t>
      </w:r>
      <w:r w:rsidR="00583E1A">
        <w:t> </w:t>
      </w:r>
      <w:r w:rsidRPr="00583E1A">
        <w:t>240</w:t>
      </w:r>
      <w:r w:rsidR="00583E1A">
        <w:noBreakHyphen/>
      </w:r>
      <w:r w:rsidRPr="00583E1A">
        <w:t>65.</w:t>
      </w:r>
    </w:p>
    <w:p w:rsidR="00887330" w:rsidRPr="00583E1A" w:rsidRDefault="00887330" w:rsidP="00887330">
      <w:pPr>
        <w:pStyle w:val="Definition"/>
      </w:pPr>
      <w:r w:rsidRPr="00583E1A">
        <w:rPr>
          <w:b/>
          <w:i/>
        </w:rPr>
        <w:t>arrangement payment period</w:t>
      </w:r>
      <w:r w:rsidRPr="00583E1A">
        <w:t xml:space="preserve"> has the meaning given by section</w:t>
      </w:r>
      <w:r w:rsidR="00583E1A">
        <w:t> </w:t>
      </w:r>
      <w:r w:rsidRPr="00583E1A">
        <w:t>240</w:t>
      </w:r>
      <w:r w:rsidR="00583E1A">
        <w:noBreakHyphen/>
      </w:r>
      <w:r w:rsidRPr="00583E1A">
        <w:t>70.</w:t>
      </w:r>
    </w:p>
    <w:p w:rsidR="008D1CE2" w:rsidRPr="00583E1A" w:rsidRDefault="008D1CE2" w:rsidP="008D1CE2">
      <w:pPr>
        <w:pStyle w:val="Definition"/>
      </w:pPr>
      <w:r w:rsidRPr="00583E1A">
        <w:rPr>
          <w:b/>
          <w:i/>
        </w:rPr>
        <w:t>arrangement period</w:t>
      </w:r>
      <w:r w:rsidRPr="00583E1A">
        <w:t xml:space="preserve"> for a </w:t>
      </w:r>
      <w:r w:rsidR="00583E1A" w:rsidRPr="00583E1A">
        <w:rPr>
          <w:position w:val="6"/>
          <w:sz w:val="16"/>
        </w:rPr>
        <w:t>*</w:t>
      </w:r>
      <w:r w:rsidRPr="00583E1A">
        <w:t>tax preferred use of an asset has the meaning given by section</w:t>
      </w:r>
      <w:r w:rsidR="00583E1A">
        <w:t> </w:t>
      </w:r>
      <w:r w:rsidRPr="00583E1A">
        <w:t>250</w:t>
      </w:r>
      <w:r w:rsidR="00583E1A">
        <w:noBreakHyphen/>
      </w:r>
      <w:r w:rsidRPr="00583E1A">
        <w:t>65.</w:t>
      </w:r>
    </w:p>
    <w:p w:rsidR="00887330" w:rsidRPr="00583E1A" w:rsidRDefault="00887330" w:rsidP="00887330">
      <w:pPr>
        <w:pStyle w:val="Definition"/>
      </w:pPr>
      <w:r w:rsidRPr="00583E1A">
        <w:rPr>
          <w:b/>
          <w:i/>
        </w:rPr>
        <w:t>artistic support</w:t>
      </w:r>
      <w:r w:rsidRPr="00583E1A">
        <w:t xml:space="preserve"> has the meaning given by subsection 405</w:t>
      </w:r>
      <w:r w:rsidR="00583E1A">
        <w:noBreakHyphen/>
      </w:r>
      <w:r w:rsidRPr="00583E1A">
        <w:t>25(5).</w:t>
      </w:r>
    </w:p>
    <w:p w:rsidR="00C96F49" w:rsidRPr="00583E1A" w:rsidRDefault="00C96F49" w:rsidP="00C96F49">
      <w:pPr>
        <w:pStyle w:val="Definition"/>
      </w:pPr>
      <w:r w:rsidRPr="00583E1A">
        <w:rPr>
          <w:b/>
          <w:i/>
        </w:rPr>
        <w:t>Arts Department</w:t>
      </w:r>
      <w:r w:rsidRPr="00583E1A">
        <w:t xml:space="preserve"> means the Department that:</w:t>
      </w:r>
    </w:p>
    <w:p w:rsidR="00C96F49" w:rsidRPr="00583E1A" w:rsidRDefault="00C96F49" w:rsidP="00C96F49">
      <w:pPr>
        <w:pStyle w:val="paragraph"/>
      </w:pPr>
      <w:r w:rsidRPr="00583E1A">
        <w:tab/>
        <w:t>(a)</w:t>
      </w:r>
      <w:r w:rsidRPr="00583E1A">
        <w:tab/>
        <w:t>deals with matters arising under section</w:t>
      </w:r>
      <w:r w:rsidR="00583E1A">
        <w:t> </w:t>
      </w:r>
      <w:r w:rsidRPr="00583E1A">
        <w:t xml:space="preserve">1 of the </w:t>
      </w:r>
      <w:r w:rsidRPr="00583E1A">
        <w:rPr>
          <w:i/>
        </w:rPr>
        <w:t>National Gallery Act 1975</w:t>
      </w:r>
      <w:r w:rsidRPr="00583E1A">
        <w:t>; and</w:t>
      </w:r>
    </w:p>
    <w:p w:rsidR="00C96F49" w:rsidRPr="00583E1A" w:rsidRDefault="00C96F49" w:rsidP="00C96F49">
      <w:pPr>
        <w:pStyle w:val="paragraph"/>
      </w:pPr>
      <w:r w:rsidRPr="00583E1A">
        <w:tab/>
        <w:t>(b)</w:t>
      </w:r>
      <w:r w:rsidRPr="00583E1A">
        <w:tab/>
        <w:t xml:space="preserve">is administered by the </w:t>
      </w:r>
      <w:r w:rsidR="00583E1A" w:rsidRPr="00583E1A">
        <w:rPr>
          <w:position w:val="6"/>
          <w:sz w:val="16"/>
        </w:rPr>
        <w:t>*</w:t>
      </w:r>
      <w:r w:rsidRPr="00583E1A">
        <w:t>Arts Minister.</w:t>
      </w:r>
    </w:p>
    <w:p w:rsidR="00C96F49" w:rsidRPr="00583E1A" w:rsidRDefault="00C96F49" w:rsidP="00C96F49">
      <w:pPr>
        <w:pStyle w:val="Definition"/>
      </w:pPr>
      <w:r w:rsidRPr="00583E1A">
        <w:rPr>
          <w:b/>
          <w:i/>
        </w:rPr>
        <w:t>Arts Minister</w:t>
      </w:r>
      <w:r w:rsidRPr="00583E1A">
        <w:t xml:space="preserve"> means the Minister administering section</w:t>
      </w:r>
      <w:r w:rsidR="00583E1A">
        <w:t> </w:t>
      </w:r>
      <w:r w:rsidRPr="00583E1A">
        <w:t xml:space="preserve">1 of the </w:t>
      </w:r>
      <w:r w:rsidRPr="00583E1A">
        <w:rPr>
          <w:i/>
        </w:rPr>
        <w:t>National Gallery Act 1975</w:t>
      </w:r>
      <w:r w:rsidRPr="00583E1A">
        <w:t>.</w:t>
      </w:r>
    </w:p>
    <w:p w:rsidR="00C96F49" w:rsidRPr="00583E1A" w:rsidRDefault="00C96F49" w:rsidP="00C96F49">
      <w:pPr>
        <w:pStyle w:val="Definition"/>
      </w:pPr>
      <w:r w:rsidRPr="00583E1A">
        <w:rPr>
          <w:b/>
          <w:i/>
        </w:rPr>
        <w:t>Arts Secretary</w:t>
      </w:r>
      <w:r w:rsidRPr="00583E1A">
        <w:t xml:space="preserve"> means the Secretary of the </w:t>
      </w:r>
      <w:r w:rsidR="00583E1A" w:rsidRPr="00583E1A">
        <w:rPr>
          <w:position w:val="6"/>
          <w:sz w:val="16"/>
        </w:rPr>
        <w:t>*</w:t>
      </w:r>
      <w:r w:rsidRPr="00583E1A">
        <w:t>Arts Department.</w:t>
      </w:r>
    </w:p>
    <w:p w:rsidR="00887330" w:rsidRPr="00583E1A" w:rsidRDefault="00887330" w:rsidP="00887330">
      <w:pPr>
        <w:pStyle w:val="Definition"/>
      </w:pPr>
      <w:r w:rsidRPr="00583E1A">
        <w:rPr>
          <w:b/>
          <w:i/>
        </w:rPr>
        <w:t>artwork</w:t>
      </w:r>
      <w:r w:rsidRPr="00583E1A">
        <w:t xml:space="preserve"> means:</w:t>
      </w:r>
    </w:p>
    <w:p w:rsidR="00887330" w:rsidRPr="00583E1A" w:rsidRDefault="00887330" w:rsidP="00887330">
      <w:pPr>
        <w:pStyle w:val="paragraph"/>
      </w:pPr>
      <w:r w:rsidRPr="00583E1A">
        <w:tab/>
        <w:t>(a)</w:t>
      </w:r>
      <w:r w:rsidRPr="00583E1A">
        <w:tab/>
        <w:t>a painting, sculpture, drawing, engraving or photograph; or</w:t>
      </w:r>
    </w:p>
    <w:p w:rsidR="00887330" w:rsidRPr="00583E1A" w:rsidRDefault="00887330" w:rsidP="00887330">
      <w:pPr>
        <w:pStyle w:val="paragraph"/>
      </w:pPr>
      <w:r w:rsidRPr="00583E1A">
        <w:lastRenderedPageBreak/>
        <w:tab/>
        <w:t>(b)</w:t>
      </w:r>
      <w:r w:rsidRPr="00583E1A">
        <w:tab/>
        <w:t>a reproduction of such a thing; or</w:t>
      </w:r>
    </w:p>
    <w:p w:rsidR="00887330" w:rsidRPr="00583E1A" w:rsidRDefault="00887330" w:rsidP="00887330">
      <w:pPr>
        <w:pStyle w:val="paragraph"/>
      </w:pPr>
      <w:r w:rsidRPr="00583E1A">
        <w:tab/>
        <w:t>(c)</w:t>
      </w:r>
      <w:r w:rsidRPr="00583E1A">
        <w:tab/>
        <w:t>property of a similar description or use.</w:t>
      </w:r>
    </w:p>
    <w:p w:rsidR="008615FD" w:rsidRPr="00202171" w:rsidRDefault="008615FD" w:rsidP="008615FD">
      <w:pPr>
        <w:pStyle w:val="Definition"/>
      </w:pPr>
      <w:r w:rsidRPr="00202171">
        <w:rPr>
          <w:b/>
          <w:i/>
        </w:rPr>
        <w:t>assessable amount</w:t>
      </w:r>
      <w:r w:rsidRPr="00202171">
        <w:t xml:space="preserve"> has the meaning given by subsection 155</w:t>
      </w:r>
      <w:r w:rsidRPr="00202171">
        <w:noBreakHyphen/>
        <w:t xml:space="preserve">5(2) in Schedule 1 to the </w:t>
      </w:r>
      <w:r w:rsidRPr="00202171">
        <w:rPr>
          <w:i/>
        </w:rPr>
        <w:t>Taxation Administration Act 1953</w:t>
      </w:r>
      <w:r w:rsidRPr="00202171">
        <w:t>.</w:t>
      </w:r>
    </w:p>
    <w:p w:rsidR="000A38E1" w:rsidRDefault="000A38E1" w:rsidP="000A38E1">
      <w:pPr>
        <w:pStyle w:val="Definition"/>
      </w:pPr>
      <w:r>
        <w:rPr>
          <w:b/>
          <w:i/>
        </w:rPr>
        <w:t>assessable film income</w:t>
      </w:r>
      <w:r>
        <w:t xml:space="preserve"> for an income year is so much of the amount, or the sum of the amounts, to which section 26AG of the </w:t>
      </w:r>
      <w:r>
        <w:rPr>
          <w:i/>
        </w:rPr>
        <w:t>Income Tax Assessment Act 1936</w:t>
      </w:r>
      <w:r>
        <w:t xml:space="preserve"> applies in relation to you for the income year as is assessable income.</w:t>
      </w:r>
    </w:p>
    <w:p w:rsidR="00887330" w:rsidRPr="00583E1A" w:rsidRDefault="00887330" w:rsidP="00887330">
      <w:pPr>
        <w:pStyle w:val="Definition"/>
      </w:pPr>
      <w:r w:rsidRPr="00583E1A">
        <w:rPr>
          <w:b/>
          <w:i/>
        </w:rPr>
        <w:t>assessable income</w:t>
      </w:r>
      <w:r w:rsidRPr="00583E1A">
        <w:t xml:space="preserve"> has the meaning given by sections</w:t>
      </w:r>
      <w:r w:rsidR="00583E1A">
        <w:t> </w:t>
      </w:r>
      <w:r w:rsidRPr="00583E1A">
        <w:t>6</w:t>
      </w:r>
      <w:r w:rsidR="00583E1A">
        <w:noBreakHyphen/>
      </w:r>
      <w:r w:rsidRPr="00583E1A">
        <w:t>5, 6</w:t>
      </w:r>
      <w:r w:rsidR="00583E1A">
        <w:noBreakHyphen/>
      </w:r>
      <w:r w:rsidRPr="00583E1A">
        <w:t>10, 6</w:t>
      </w:r>
      <w:r w:rsidR="00583E1A">
        <w:noBreakHyphen/>
      </w:r>
      <w:r w:rsidRPr="00583E1A">
        <w:t>15, 17</w:t>
      </w:r>
      <w:r w:rsidR="00583E1A">
        <w:noBreakHyphen/>
      </w:r>
      <w:r w:rsidRPr="00583E1A">
        <w:t>10 and 17</w:t>
      </w:r>
      <w:r w:rsidR="00583E1A">
        <w:noBreakHyphen/>
      </w:r>
      <w:r w:rsidRPr="00583E1A">
        <w:t>30.</w:t>
      </w:r>
    </w:p>
    <w:p w:rsidR="00887330" w:rsidRPr="00583E1A" w:rsidRDefault="00887330" w:rsidP="00887330">
      <w:pPr>
        <w:pStyle w:val="TLPnoteright"/>
      </w:pPr>
      <w:r w:rsidRPr="00583E1A">
        <w:t>For the effect of GST</w:t>
      </w:r>
      <w:r w:rsidR="00583E1A">
        <w:noBreakHyphen/>
      </w:r>
      <w:r w:rsidRPr="00583E1A">
        <w:t>related amounts on assessable income, see Division</w:t>
      </w:r>
      <w:r w:rsidR="00583E1A">
        <w:t> </w:t>
      </w:r>
      <w:r w:rsidRPr="00583E1A">
        <w:t>17.</w:t>
      </w:r>
    </w:p>
    <w:p w:rsidR="00887330" w:rsidRPr="00583E1A" w:rsidRDefault="00887330" w:rsidP="00887330">
      <w:pPr>
        <w:pStyle w:val="notetext"/>
      </w:pPr>
      <w:r w:rsidRPr="00583E1A">
        <w:t>Note:</w:t>
      </w:r>
      <w:r w:rsidRPr="00583E1A">
        <w:tab/>
        <w:t>For income years before 1997</w:t>
      </w:r>
      <w:r w:rsidR="00583E1A">
        <w:noBreakHyphen/>
      </w:r>
      <w:r w:rsidRPr="00583E1A">
        <w:t xml:space="preserve">98, </w:t>
      </w:r>
      <w:r w:rsidRPr="00583E1A">
        <w:rPr>
          <w:b/>
          <w:i/>
        </w:rPr>
        <w:t>assessable income</w:t>
      </w:r>
      <w:r w:rsidRPr="00583E1A">
        <w:t xml:space="preserve"> has the meaning given by section</w:t>
      </w:r>
      <w:r w:rsidR="00583E1A">
        <w:t> </w:t>
      </w:r>
      <w:r w:rsidRPr="00583E1A">
        <w:t>6</w:t>
      </w:r>
      <w:r w:rsidR="00583E1A">
        <w:noBreakHyphen/>
      </w:r>
      <w:r w:rsidRPr="00583E1A">
        <w:t xml:space="preserve">3 of the </w:t>
      </w:r>
      <w:r w:rsidRPr="00583E1A">
        <w:rPr>
          <w:i/>
        </w:rPr>
        <w:t>Income Tax (Transitional Provisions) Act 1997</w:t>
      </w:r>
      <w:r w:rsidRPr="00583E1A">
        <w:t>.</w:t>
      </w:r>
    </w:p>
    <w:p w:rsidR="00887330" w:rsidRPr="00583E1A" w:rsidRDefault="00887330" w:rsidP="00887330">
      <w:pPr>
        <w:pStyle w:val="Definition"/>
      </w:pPr>
      <w:r w:rsidRPr="00583E1A">
        <w:rPr>
          <w:b/>
          <w:i/>
        </w:rPr>
        <w:t>assessable non</w:t>
      </w:r>
      <w:r w:rsidR="00583E1A">
        <w:rPr>
          <w:b/>
          <w:i/>
        </w:rPr>
        <w:noBreakHyphen/>
      </w:r>
      <w:r w:rsidRPr="00583E1A">
        <w:rPr>
          <w:b/>
          <w:i/>
        </w:rPr>
        <w:t>primary production income</w:t>
      </w:r>
      <w:r w:rsidRPr="00583E1A">
        <w:t xml:space="preserve"> has the meaning given by subsection 392</w:t>
      </w:r>
      <w:r w:rsidR="00583E1A">
        <w:noBreakHyphen/>
      </w:r>
      <w:r w:rsidRPr="00583E1A">
        <w:t>85(2).</w:t>
      </w:r>
    </w:p>
    <w:p w:rsidR="00887330" w:rsidRPr="00583E1A" w:rsidRDefault="00887330" w:rsidP="00887330">
      <w:pPr>
        <w:pStyle w:val="Definition"/>
      </w:pPr>
      <w:r w:rsidRPr="00583E1A">
        <w:rPr>
          <w:b/>
          <w:i/>
        </w:rPr>
        <w:t>assessable primary production income</w:t>
      </w:r>
      <w:r w:rsidRPr="00583E1A">
        <w:t xml:space="preserve"> has the meaning given by subsection 392</w:t>
      </w:r>
      <w:r w:rsidR="00583E1A">
        <w:noBreakHyphen/>
      </w:r>
      <w:r w:rsidRPr="00583E1A">
        <w:t>80(2).</w:t>
      </w:r>
    </w:p>
    <w:p w:rsidR="00887330" w:rsidRPr="00583E1A" w:rsidRDefault="00887330" w:rsidP="00887330">
      <w:pPr>
        <w:pStyle w:val="Definition"/>
      </w:pPr>
      <w:r w:rsidRPr="00583E1A">
        <w:rPr>
          <w:b/>
          <w:i/>
        </w:rPr>
        <w:t>assessable professional income</w:t>
      </w:r>
      <w:r w:rsidRPr="00583E1A">
        <w:t xml:space="preserve"> has the meaning given by subsection 405</w:t>
      </w:r>
      <w:r w:rsidR="00583E1A">
        <w:noBreakHyphen/>
      </w:r>
      <w:r w:rsidRPr="00583E1A">
        <w:t>20(1).</w:t>
      </w:r>
    </w:p>
    <w:p w:rsidR="00887330" w:rsidRPr="00583E1A" w:rsidRDefault="00887330" w:rsidP="00887330">
      <w:pPr>
        <w:pStyle w:val="Definition"/>
      </w:pPr>
      <w:r w:rsidRPr="00583E1A">
        <w:rPr>
          <w:b/>
          <w:i/>
        </w:rPr>
        <w:t>assessable recoupment</w:t>
      </w:r>
      <w:r w:rsidRPr="00583E1A">
        <w:t xml:space="preserve"> has the meaning given by section</w:t>
      </w:r>
      <w:r w:rsidR="00583E1A">
        <w:t> </w:t>
      </w:r>
      <w:r w:rsidRPr="00583E1A">
        <w:t>20</w:t>
      </w:r>
      <w:r w:rsidR="00583E1A">
        <w:noBreakHyphen/>
      </w:r>
      <w:r w:rsidRPr="00583E1A">
        <w:t>20.</w:t>
      </w:r>
    </w:p>
    <w:p w:rsidR="008615FD" w:rsidRPr="00202171" w:rsidRDefault="008615FD" w:rsidP="008615FD">
      <w:pPr>
        <w:pStyle w:val="Definition"/>
      </w:pPr>
      <w:r w:rsidRPr="00202171">
        <w:rPr>
          <w:b/>
          <w:i/>
        </w:rPr>
        <w:t>assessed GST</w:t>
      </w:r>
      <w:r w:rsidRPr="00202171">
        <w:t xml:space="preserve"> has the meaning given by the </w:t>
      </w:r>
      <w:r w:rsidRPr="00202171">
        <w:rPr>
          <w:position w:val="6"/>
          <w:sz w:val="16"/>
        </w:rPr>
        <w:t>*</w:t>
      </w:r>
      <w:r w:rsidRPr="00202171">
        <w:t>GST Act.</w:t>
      </w:r>
    </w:p>
    <w:p w:rsidR="008615FD" w:rsidRPr="00202171" w:rsidRDefault="008615FD" w:rsidP="008615FD">
      <w:pPr>
        <w:pStyle w:val="Definition"/>
      </w:pPr>
      <w:r w:rsidRPr="00202171">
        <w:rPr>
          <w:b/>
          <w:i/>
        </w:rPr>
        <w:t>assessed net amount</w:t>
      </w:r>
      <w:r w:rsidRPr="00202171">
        <w:t xml:space="preserve"> has the meaning given by the </w:t>
      </w:r>
      <w:r w:rsidRPr="00202171">
        <w:rPr>
          <w:position w:val="6"/>
          <w:sz w:val="16"/>
        </w:rPr>
        <w:t>*</w:t>
      </w:r>
      <w:r w:rsidRPr="00202171">
        <w:t>GST Act.</w:t>
      </w:r>
    </w:p>
    <w:p w:rsidR="008615FD" w:rsidRPr="00202171" w:rsidRDefault="008615FD" w:rsidP="008615FD">
      <w:pPr>
        <w:pStyle w:val="Definition"/>
      </w:pPr>
      <w:r w:rsidRPr="00202171">
        <w:rPr>
          <w:b/>
          <w:i/>
        </w:rPr>
        <w:t>assessed net fuel amount</w:t>
      </w:r>
      <w:r w:rsidRPr="00202171">
        <w:t xml:space="preserve"> has the meaning given by the </w:t>
      </w:r>
      <w:r w:rsidRPr="00202171">
        <w:rPr>
          <w:i/>
        </w:rPr>
        <w:t>Fuel Tax Act 2006</w:t>
      </w:r>
      <w:r w:rsidRPr="00202171">
        <w:t>.</w:t>
      </w:r>
    </w:p>
    <w:p w:rsidR="008615FD" w:rsidRPr="00202171" w:rsidRDefault="008615FD" w:rsidP="00A756C6">
      <w:pPr>
        <w:pStyle w:val="Definition"/>
        <w:keepNext/>
        <w:keepLines/>
      </w:pPr>
      <w:r w:rsidRPr="00202171">
        <w:rPr>
          <w:b/>
          <w:i/>
        </w:rPr>
        <w:t>assessment</w:t>
      </w:r>
      <w:r w:rsidRPr="00202171">
        <w:t>:</w:t>
      </w:r>
    </w:p>
    <w:p w:rsidR="008615FD" w:rsidRPr="00202171" w:rsidRDefault="008615FD" w:rsidP="00A756C6">
      <w:pPr>
        <w:pStyle w:val="paragraph"/>
        <w:keepNext/>
        <w:keepLines/>
      </w:pPr>
      <w:r w:rsidRPr="00202171">
        <w:tab/>
        <w:t>(a)</w:t>
      </w:r>
      <w:r w:rsidRPr="00202171">
        <w:tab/>
        <w:t xml:space="preserve">of an </w:t>
      </w:r>
      <w:r w:rsidRPr="00202171">
        <w:rPr>
          <w:position w:val="6"/>
          <w:sz w:val="16"/>
        </w:rPr>
        <w:t>*</w:t>
      </w:r>
      <w:r w:rsidRPr="00202171">
        <w:t>assessable amount, means an ascertainment of the assessable amount; and</w:t>
      </w:r>
    </w:p>
    <w:p w:rsidR="008615FD" w:rsidRPr="00202171" w:rsidRDefault="008615FD" w:rsidP="008615FD">
      <w:pPr>
        <w:pStyle w:val="paragraph"/>
      </w:pPr>
      <w:r w:rsidRPr="00202171">
        <w:tab/>
        <w:t>(b)</w:t>
      </w:r>
      <w:r w:rsidRPr="00202171">
        <w:tab/>
        <w:t xml:space="preserve">in relation to a </w:t>
      </w:r>
      <w:r w:rsidRPr="00202171">
        <w:rPr>
          <w:position w:val="6"/>
          <w:sz w:val="16"/>
        </w:rPr>
        <w:t>*</w:t>
      </w:r>
      <w:r w:rsidRPr="00202171">
        <w:t>tax</w:t>
      </w:r>
      <w:r w:rsidRPr="00202171">
        <w:noBreakHyphen/>
        <w:t xml:space="preserve">related liability not covered by paragraph (a), has the meaning given by a </w:t>
      </w:r>
      <w:r w:rsidRPr="00202171">
        <w:rPr>
          <w:position w:val="6"/>
          <w:sz w:val="16"/>
        </w:rPr>
        <w:t>*</w:t>
      </w:r>
      <w:r w:rsidRPr="00202171">
        <w:t>taxation law that provides for the assessment of the amount of the liability.</w:t>
      </w:r>
    </w:p>
    <w:p w:rsidR="00887330" w:rsidRPr="00583E1A" w:rsidRDefault="00887330" w:rsidP="00887330">
      <w:pPr>
        <w:pStyle w:val="notetext"/>
      </w:pPr>
      <w:r w:rsidRPr="00583E1A">
        <w:lastRenderedPageBreak/>
        <w:t>Note:</w:t>
      </w:r>
      <w:r w:rsidRPr="00583E1A">
        <w:tab/>
        <w:t xml:space="preserve">The table lists provisions of taxation laws that define </w:t>
      </w:r>
      <w:r w:rsidRPr="00583E1A">
        <w:rPr>
          <w:b/>
          <w:i/>
        </w:rPr>
        <w:t>assessment</w:t>
      </w:r>
      <w:r w:rsidRPr="00583E1A">
        <w:t>.</w:t>
      </w:r>
    </w:p>
    <w:p w:rsidR="00887330" w:rsidRPr="00583E1A" w:rsidRDefault="00887330" w:rsidP="00887330">
      <w:pPr>
        <w:pStyle w:val="Table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850"/>
        <w:gridCol w:w="4111"/>
        <w:gridCol w:w="2149"/>
      </w:tblGrid>
      <w:tr w:rsidR="00887330" w:rsidRPr="00583E1A">
        <w:trPr>
          <w:cantSplit/>
          <w:tblHeader/>
        </w:trPr>
        <w:tc>
          <w:tcPr>
            <w:tcW w:w="7110" w:type="dxa"/>
            <w:gridSpan w:val="3"/>
            <w:tcBorders>
              <w:top w:val="single" w:sz="12" w:space="0" w:color="auto"/>
              <w:left w:val="nil"/>
              <w:bottom w:val="nil"/>
              <w:right w:val="nil"/>
            </w:tcBorders>
          </w:tcPr>
          <w:p w:rsidR="00887330" w:rsidRPr="00583E1A" w:rsidRDefault="00887330" w:rsidP="00887330">
            <w:pPr>
              <w:pStyle w:val="Tabletext"/>
            </w:pPr>
            <w:r w:rsidRPr="00583E1A">
              <w:rPr>
                <w:b/>
              </w:rPr>
              <w:t xml:space="preserve">Taxation laws that define </w:t>
            </w:r>
            <w:r w:rsidRPr="00583E1A">
              <w:rPr>
                <w:b/>
                <w:i/>
              </w:rPr>
              <w:t>assessment</w:t>
            </w:r>
          </w:p>
        </w:tc>
      </w:tr>
      <w:tr w:rsidR="00887330" w:rsidRPr="00583E1A">
        <w:trPr>
          <w:cantSplit/>
          <w:tblHeader/>
        </w:trPr>
        <w:tc>
          <w:tcPr>
            <w:tcW w:w="850" w:type="dxa"/>
            <w:tcBorders>
              <w:top w:val="single" w:sz="6" w:space="0" w:color="auto"/>
              <w:left w:val="nil"/>
              <w:bottom w:val="single" w:sz="12" w:space="0" w:color="auto"/>
              <w:right w:val="nil"/>
            </w:tcBorders>
          </w:tcPr>
          <w:p w:rsidR="00887330" w:rsidRPr="00583E1A" w:rsidRDefault="00887330" w:rsidP="00887330">
            <w:pPr>
              <w:pStyle w:val="Tabletext"/>
            </w:pPr>
            <w:r w:rsidRPr="00583E1A">
              <w:rPr>
                <w:b/>
              </w:rPr>
              <w:t>Item</w:t>
            </w:r>
          </w:p>
        </w:tc>
        <w:tc>
          <w:tcPr>
            <w:tcW w:w="4111" w:type="dxa"/>
            <w:tcBorders>
              <w:top w:val="single" w:sz="6" w:space="0" w:color="auto"/>
              <w:left w:val="nil"/>
              <w:bottom w:val="single" w:sz="12" w:space="0" w:color="auto"/>
              <w:right w:val="nil"/>
            </w:tcBorders>
          </w:tcPr>
          <w:p w:rsidR="00887330" w:rsidRPr="00583E1A" w:rsidRDefault="00887330" w:rsidP="00887330">
            <w:pPr>
              <w:pStyle w:val="Tabletext"/>
            </w:pPr>
            <w:r w:rsidRPr="00583E1A">
              <w:rPr>
                <w:b/>
              </w:rPr>
              <w:t>Taxation law</w:t>
            </w:r>
          </w:p>
        </w:tc>
        <w:tc>
          <w:tcPr>
            <w:tcW w:w="2149" w:type="dxa"/>
            <w:tcBorders>
              <w:top w:val="single" w:sz="6" w:space="0" w:color="auto"/>
              <w:left w:val="nil"/>
              <w:bottom w:val="single" w:sz="12" w:space="0" w:color="auto"/>
              <w:right w:val="nil"/>
            </w:tcBorders>
          </w:tcPr>
          <w:p w:rsidR="00887330" w:rsidRPr="00583E1A" w:rsidRDefault="00887330" w:rsidP="00887330">
            <w:pPr>
              <w:pStyle w:val="Tabletext"/>
            </w:pPr>
            <w:r w:rsidRPr="00583E1A">
              <w:rPr>
                <w:b/>
              </w:rPr>
              <w:t>Provision</w:t>
            </w:r>
          </w:p>
        </w:tc>
      </w:tr>
      <w:tr w:rsidR="00887330" w:rsidRPr="00583E1A">
        <w:trPr>
          <w:cantSplit/>
        </w:trPr>
        <w:tc>
          <w:tcPr>
            <w:tcW w:w="850" w:type="dxa"/>
            <w:tcBorders>
              <w:top w:val="single" w:sz="12" w:space="0" w:color="auto"/>
              <w:left w:val="nil"/>
              <w:bottom w:val="single" w:sz="2" w:space="0" w:color="auto"/>
              <w:right w:val="nil"/>
            </w:tcBorders>
            <w:shd w:val="clear" w:color="auto" w:fill="auto"/>
          </w:tcPr>
          <w:p w:rsidR="00887330" w:rsidRPr="00583E1A" w:rsidRDefault="00887330" w:rsidP="00887330">
            <w:pPr>
              <w:pStyle w:val="Tabletext"/>
            </w:pPr>
            <w:r w:rsidRPr="00583E1A">
              <w:t>1</w:t>
            </w:r>
          </w:p>
        </w:tc>
        <w:tc>
          <w:tcPr>
            <w:tcW w:w="4111" w:type="dxa"/>
            <w:tcBorders>
              <w:top w:val="single" w:sz="12" w:space="0" w:color="auto"/>
              <w:left w:val="nil"/>
              <w:bottom w:val="single" w:sz="2" w:space="0" w:color="auto"/>
              <w:right w:val="nil"/>
            </w:tcBorders>
            <w:shd w:val="clear" w:color="auto" w:fill="auto"/>
          </w:tcPr>
          <w:p w:rsidR="00887330" w:rsidRPr="00583E1A" w:rsidRDefault="00887330" w:rsidP="00887330">
            <w:pPr>
              <w:pStyle w:val="Tabletext"/>
            </w:pPr>
            <w:r w:rsidRPr="00583E1A">
              <w:rPr>
                <w:i/>
              </w:rPr>
              <w:t>Income Tax Assessment Act 1936</w:t>
            </w:r>
          </w:p>
        </w:tc>
        <w:tc>
          <w:tcPr>
            <w:tcW w:w="2149" w:type="dxa"/>
            <w:tcBorders>
              <w:top w:val="single" w:sz="12" w:space="0" w:color="auto"/>
              <w:left w:val="nil"/>
              <w:bottom w:val="single" w:sz="2" w:space="0" w:color="auto"/>
              <w:right w:val="nil"/>
            </w:tcBorders>
            <w:shd w:val="clear" w:color="auto" w:fill="auto"/>
          </w:tcPr>
          <w:p w:rsidR="00887330" w:rsidRPr="00583E1A" w:rsidRDefault="00887330" w:rsidP="00887330">
            <w:pPr>
              <w:pStyle w:val="Tabletext"/>
            </w:pPr>
            <w:r w:rsidRPr="00583E1A">
              <w:t>subsection 6(1)</w:t>
            </w:r>
          </w:p>
        </w:tc>
      </w:tr>
      <w:tr w:rsidR="00887330" w:rsidRPr="00583E1A">
        <w:trPr>
          <w:cantSplit/>
        </w:trPr>
        <w:tc>
          <w:tcPr>
            <w:tcW w:w="850" w:type="dxa"/>
            <w:tcBorders>
              <w:top w:val="single" w:sz="2" w:space="0" w:color="auto"/>
              <w:left w:val="nil"/>
              <w:bottom w:val="single" w:sz="2" w:space="0" w:color="auto"/>
              <w:right w:val="nil"/>
            </w:tcBorders>
            <w:shd w:val="clear" w:color="auto" w:fill="auto"/>
          </w:tcPr>
          <w:p w:rsidR="00887330" w:rsidRPr="00583E1A" w:rsidRDefault="00887330" w:rsidP="00887330">
            <w:pPr>
              <w:pStyle w:val="Tabletext"/>
            </w:pPr>
            <w:r w:rsidRPr="00583E1A">
              <w:t>5</w:t>
            </w:r>
          </w:p>
        </w:tc>
        <w:tc>
          <w:tcPr>
            <w:tcW w:w="4111" w:type="dxa"/>
            <w:tcBorders>
              <w:top w:val="single" w:sz="2" w:space="0" w:color="auto"/>
              <w:left w:val="nil"/>
              <w:bottom w:val="single" w:sz="2" w:space="0" w:color="auto"/>
              <w:right w:val="nil"/>
            </w:tcBorders>
            <w:shd w:val="clear" w:color="auto" w:fill="auto"/>
          </w:tcPr>
          <w:p w:rsidR="00887330" w:rsidRPr="00583E1A" w:rsidRDefault="00887330" w:rsidP="00887330">
            <w:pPr>
              <w:pStyle w:val="Tabletext"/>
            </w:pPr>
            <w:r w:rsidRPr="00583E1A">
              <w:rPr>
                <w:i/>
              </w:rPr>
              <w:t>Fringe Benefits Tax Assessment Act 1986</w:t>
            </w:r>
          </w:p>
        </w:tc>
        <w:tc>
          <w:tcPr>
            <w:tcW w:w="2149" w:type="dxa"/>
            <w:tcBorders>
              <w:top w:val="single" w:sz="2" w:space="0" w:color="auto"/>
              <w:left w:val="nil"/>
              <w:bottom w:val="single" w:sz="2" w:space="0" w:color="auto"/>
              <w:right w:val="nil"/>
            </w:tcBorders>
            <w:shd w:val="clear" w:color="auto" w:fill="auto"/>
          </w:tcPr>
          <w:p w:rsidR="00887330" w:rsidRPr="00583E1A" w:rsidRDefault="00887330" w:rsidP="00887330">
            <w:pPr>
              <w:pStyle w:val="Tabletext"/>
            </w:pPr>
            <w:r w:rsidRPr="00583E1A">
              <w:t>subsection 136(1)</w:t>
            </w:r>
          </w:p>
        </w:tc>
      </w:tr>
      <w:tr w:rsidR="00887330" w:rsidRPr="00583E1A">
        <w:trPr>
          <w:cantSplit/>
        </w:trPr>
        <w:tc>
          <w:tcPr>
            <w:tcW w:w="850" w:type="dxa"/>
            <w:tcBorders>
              <w:top w:val="single" w:sz="2" w:space="0" w:color="auto"/>
              <w:left w:val="nil"/>
              <w:bottom w:val="single" w:sz="2" w:space="0" w:color="auto"/>
              <w:right w:val="nil"/>
            </w:tcBorders>
            <w:shd w:val="clear" w:color="auto" w:fill="auto"/>
          </w:tcPr>
          <w:p w:rsidR="00887330" w:rsidRPr="00583E1A" w:rsidRDefault="00887330" w:rsidP="00887330">
            <w:pPr>
              <w:pStyle w:val="Tabletext"/>
            </w:pPr>
            <w:r w:rsidRPr="00583E1A">
              <w:t>10</w:t>
            </w:r>
          </w:p>
        </w:tc>
        <w:tc>
          <w:tcPr>
            <w:tcW w:w="4111" w:type="dxa"/>
            <w:tcBorders>
              <w:top w:val="single" w:sz="2" w:space="0" w:color="auto"/>
              <w:left w:val="nil"/>
              <w:bottom w:val="single" w:sz="2" w:space="0" w:color="auto"/>
              <w:right w:val="nil"/>
            </w:tcBorders>
            <w:shd w:val="clear" w:color="auto" w:fill="auto"/>
          </w:tcPr>
          <w:p w:rsidR="00887330" w:rsidRPr="00583E1A" w:rsidRDefault="00887330" w:rsidP="00887330">
            <w:pPr>
              <w:pStyle w:val="Tabletext"/>
            </w:pPr>
            <w:r w:rsidRPr="00583E1A">
              <w:rPr>
                <w:i/>
              </w:rPr>
              <w:t>Petroleum Resource Rent Tax Assessment Act 1987</w:t>
            </w:r>
          </w:p>
        </w:tc>
        <w:tc>
          <w:tcPr>
            <w:tcW w:w="2149" w:type="dxa"/>
            <w:tcBorders>
              <w:top w:val="single" w:sz="2" w:space="0" w:color="auto"/>
              <w:left w:val="nil"/>
              <w:bottom w:val="single" w:sz="2" w:space="0" w:color="auto"/>
              <w:right w:val="nil"/>
            </w:tcBorders>
            <w:shd w:val="clear" w:color="auto" w:fill="auto"/>
          </w:tcPr>
          <w:p w:rsidR="00887330" w:rsidRPr="00583E1A" w:rsidRDefault="00887330" w:rsidP="00887330">
            <w:pPr>
              <w:pStyle w:val="Tabletext"/>
            </w:pPr>
            <w:r w:rsidRPr="00583E1A">
              <w:t>section</w:t>
            </w:r>
            <w:r w:rsidR="00583E1A">
              <w:t> </w:t>
            </w:r>
            <w:r w:rsidRPr="00583E1A">
              <w:t>2</w:t>
            </w:r>
          </w:p>
        </w:tc>
      </w:tr>
      <w:tr w:rsidR="00887330" w:rsidRPr="00583E1A">
        <w:trPr>
          <w:cantSplit/>
        </w:trPr>
        <w:tc>
          <w:tcPr>
            <w:tcW w:w="850" w:type="dxa"/>
            <w:tcBorders>
              <w:top w:val="single" w:sz="2" w:space="0" w:color="auto"/>
              <w:left w:val="nil"/>
              <w:bottom w:val="single" w:sz="2" w:space="0" w:color="auto"/>
              <w:right w:val="nil"/>
            </w:tcBorders>
            <w:shd w:val="clear" w:color="auto" w:fill="auto"/>
          </w:tcPr>
          <w:p w:rsidR="00887330" w:rsidRPr="00583E1A" w:rsidRDefault="00887330" w:rsidP="00887330">
            <w:pPr>
              <w:pStyle w:val="Tabletext"/>
            </w:pPr>
            <w:r w:rsidRPr="00583E1A">
              <w:t>15</w:t>
            </w:r>
          </w:p>
        </w:tc>
        <w:tc>
          <w:tcPr>
            <w:tcW w:w="4111" w:type="dxa"/>
            <w:tcBorders>
              <w:top w:val="single" w:sz="2" w:space="0" w:color="auto"/>
              <w:left w:val="nil"/>
              <w:bottom w:val="single" w:sz="2" w:space="0" w:color="auto"/>
              <w:right w:val="nil"/>
            </w:tcBorders>
            <w:shd w:val="clear" w:color="auto" w:fill="auto"/>
          </w:tcPr>
          <w:p w:rsidR="00887330" w:rsidRPr="00583E1A" w:rsidRDefault="00887330" w:rsidP="00887330">
            <w:pPr>
              <w:pStyle w:val="Tabletext"/>
            </w:pPr>
            <w:r w:rsidRPr="00583E1A">
              <w:rPr>
                <w:i/>
              </w:rPr>
              <w:t>Superannuation Guarantee (Administration) Act 1992</w:t>
            </w:r>
          </w:p>
        </w:tc>
        <w:tc>
          <w:tcPr>
            <w:tcW w:w="2149" w:type="dxa"/>
            <w:tcBorders>
              <w:top w:val="single" w:sz="2" w:space="0" w:color="auto"/>
              <w:left w:val="nil"/>
              <w:bottom w:val="single" w:sz="2" w:space="0" w:color="auto"/>
              <w:right w:val="nil"/>
            </w:tcBorders>
            <w:shd w:val="clear" w:color="auto" w:fill="auto"/>
          </w:tcPr>
          <w:p w:rsidR="00887330" w:rsidRPr="00583E1A" w:rsidRDefault="00887330" w:rsidP="00887330">
            <w:pPr>
              <w:pStyle w:val="Tabletext"/>
            </w:pPr>
            <w:r w:rsidRPr="00583E1A">
              <w:t>section</w:t>
            </w:r>
            <w:r w:rsidR="00583E1A">
              <w:t> </w:t>
            </w:r>
            <w:r w:rsidRPr="00583E1A">
              <w:t>6</w:t>
            </w:r>
          </w:p>
        </w:tc>
      </w:tr>
      <w:tr w:rsidR="00887330" w:rsidRPr="00583E1A">
        <w:trPr>
          <w:cantSplit/>
        </w:trPr>
        <w:tc>
          <w:tcPr>
            <w:tcW w:w="850" w:type="dxa"/>
            <w:tcBorders>
              <w:top w:val="single" w:sz="2" w:space="0" w:color="auto"/>
              <w:left w:val="nil"/>
              <w:bottom w:val="single" w:sz="2" w:space="0" w:color="auto"/>
              <w:right w:val="nil"/>
            </w:tcBorders>
            <w:shd w:val="clear" w:color="auto" w:fill="auto"/>
          </w:tcPr>
          <w:p w:rsidR="00887330" w:rsidRPr="00583E1A" w:rsidRDefault="00887330" w:rsidP="00887330">
            <w:pPr>
              <w:pStyle w:val="Tabletext"/>
            </w:pPr>
            <w:r w:rsidRPr="00583E1A">
              <w:t>20</w:t>
            </w:r>
          </w:p>
        </w:tc>
        <w:tc>
          <w:tcPr>
            <w:tcW w:w="4111" w:type="dxa"/>
            <w:tcBorders>
              <w:top w:val="single" w:sz="2" w:space="0" w:color="auto"/>
              <w:left w:val="nil"/>
              <w:bottom w:val="single" w:sz="2" w:space="0" w:color="auto"/>
              <w:right w:val="nil"/>
            </w:tcBorders>
            <w:shd w:val="clear" w:color="auto" w:fill="auto"/>
          </w:tcPr>
          <w:p w:rsidR="00887330" w:rsidRPr="00583E1A" w:rsidRDefault="00887330" w:rsidP="00887330">
            <w:pPr>
              <w:pStyle w:val="Tabletext"/>
            </w:pPr>
            <w:r w:rsidRPr="00583E1A">
              <w:rPr>
                <w:i/>
              </w:rPr>
              <w:t>Superannuation Contributions Tax (Assessment and Collection) Act 1997</w:t>
            </w:r>
          </w:p>
        </w:tc>
        <w:tc>
          <w:tcPr>
            <w:tcW w:w="2149" w:type="dxa"/>
            <w:tcBorders>
              <w:top w:val="single" w:sz="2" w:space="0" w:color="auto"/>
              <w:left w:val="nil"/>
              <w:bottom w:val="single" w:sz="2" w:space="0" w:color="auto"/>
              <w:right w:val="nil"/>
            </w:tcBorders>
            <w:shd w:val="clear" w:color="auto" w:fill="auto"/>
          </w:tcPr>
          <w:p w:rsidR="00887330" w:rsidRPr="00583E1A" w:rsidRDefault="00887330" w:rsidP="00887330">
            <w:pPr>
              <w:pStyle w:val="Tabletext"/>
            </w:pPr>
            <w:r w:rsidRPr="00583E1A">
              <w:t>section</w:t>
            </w:r>
            <w:r w:rsidR="00583E1A">
              <w:t> </w:t>
            </w:r>
            <w:r w:rsidRPr="00583E1A">
              <w:t>43</w:t>
            </w:r>
          </w:p>
        </w:tc>
      </w:tr>
      <w:tr w:rsidR="00887330" w:rsidRPr="00583E1A">
        <w:trPr>
          <w:cantSplit/>
        </w:trPr>
        <w:tc>
          <w:tcPr>
            <w:tcW w:w="850" w:type="dxa"/>
            <w:tcBorders>
              <w:top w:val="single" w:sz="2" w:space="0" w:color="auto"/>
              <w:left w:val="nil"/>
              <w:bottom w:val="single" w:sz="2" w:space="0" w:color="auto"/>
              <w:right w:val="nil"/>
            </w:tcBorders>
            <w:shd w:val="clear" w:color="auto" w:fill="auto"/>
          </w:tcPr>
          <w:p w:rsidR="00887330" w:rsidRPr="00583E1A" w:rsidRDefault="00887330" w:rsidP="00887330">
            <w:pPr>
              <w:pStyle w:val="Tabletext"/>
            </w:pPr>
            <w:r w:rsidRPr="00583E1A">
              <w:t>25</w:t>
            </w:r>
          </w:p>
        </w:tc>
        <w:tc>
          <w:tcPr>
            <w:tcW w:w="4111" w:type="dxa"/>
            <w:tcBorders>
              <w:top w:val="single" w:sz="2" w:space="0" w:color="auto"/>
              <w:left w:val="nil"/>
              <w:bottom w:val="single" w:sz="2" w:space="0" w:color="auto"/>
              <w:right w:val="nil"/>
            </w:tcBorders>
            <w:shd w:val="clear" w:color="auto" w:fill="auto"/>
          </w:tcPr>
          <w:p w:rsidR="00887330" w:rsidRPr="00583E1A" w:rsidRDefault="00887330" w:rsidP="00887330">
            <w:pPr>
              <w:pStyle w:val="Tabletext"/>
            </w:pPr>
            <w:r w:rsidRPr="00583E1A">
              <w:rPr>
                <w:i/>
              </w:rPr>
              <w:t>Superannuation Contributions Tax (Members of Constitutionally Protected Superannuation Funds) Assessment and Collection Act 1997</w:t>
            </w:r>
          </w:p>
        </w:tc>
        <w:tc>
          <w:tcPr>
            <w:tcW w:w="2149" w:type="dxa"/>
            <w:tcBorders>
              <w:top w:val="single" w:sz="2" w:space="0" w:color="auto"/>
              <w:left w:val="nil"/>
              <w:bottom w:val="single" w:sz="2" w:space="0" w:color="auto"/>
              <w:right w:val="nil"/>
            </w:tcBorders>
            <w:shd w:val="clear" w:color="auto" w:fill="auto"/>
          </w:tcPr>
          <w:p w:rsidR="00887330" w:rsidRPr="00583E1A" w:rsidRDefault="00887330" w:rsidP="00887330">
            <w:pPr>
              <w:pStyle w:val="Tabletext"/>
            </w:pPr>
            <w:r w:rsidRPr="00583E1A">
              <w:t>section</w:t>
            </w:r>
            <w:r w:rsidR="00583E1A">
              <w:t> </w:t>
            </w:r>
            <w:r w:rsidRPr="00583E1A">
              <w:t>38</w:t>
            </w:r>
          </w:p>
        </w:tc>
      </w:tr>
      <w:tr w:rsidR="00887330" w:rsidRPr="00583E1A">
        <w:trPr>
          <w:cantSplit/>
        </w:trPr>
        <w:tc>
          <w:tcPr>
            <w:tcW w:w="850" w:type="dxa"/>
            <w:tcBorders>
              <w:top w:val="single" w:sz="2" w:space="0" w:color="auto"/>
              <w:left w:val="nil"/>
              <w:bottom w:val="single" w:sz="12" w:space="0" w:color="auto"/>
              <w:right w:val="nil"/>
            </w:tcBorders>
          </w:tcPr>
          <w:p w:rsidR="00887330" w:rsidRPr="00583E1A" w:rsidRDefault="00887330" w:rsidP="00887330">
            <w:pPr>
              <w:pStyle w:val="Tabletext"/>
            </w:pPr>
            <w:r w:rsidRPr="00583E1A">
              <w:t>30</w:t>
            </w:r>
          </w:p>
        </w:tc>
        <w:tc>
          <w:tcPr>
            <w:tcW w:w="4111" w:type="dxa"/>
            <w:tcBorders>
              <w:top w:val="single" w:sz="2" w:space="0" w:color="auto"/>
              <w:left w:val="nil"/>
              <w:bottom w:val="single" w:sz="12" w:space="0" w:color="auto"/>
              <w:right w:val="nil"/>
            </w:tcBorders>
          </w:tcPr>
          <w:p w:rsidR="00887330" w:rsidRPr="00583E1A" w:rsidRDefault="00887330" w:rsidP="00887330">
            <w:pPr>
              <w:pStyle w:val="Tabletext"/>
            </w:pPr>
            <w:r w:rsidRPr="00583E1A">
              <w:rPr>
                <w:i/>
              </w:rPr>
              <w:t>Termination Payments Tax (Assessment and Collection) Act 1997</w:t>
            </w:r>
          </w:p>
        </w:tc>
        <w:tc>
          <w:tcPr>
            <w:tcW w:w="2149" w:type="dxa"/>
            <w:tcBorders>
              <w:top w:val="single" w:sz="2" w:space="0" w:color="auto"/>
              <w:left w:val="nil"/>
              <w:bottom w:val="single" w:sz="12" w:space="0" w:color="auto"/>
              <w:right w:val="nil"/>
            </w:tcBorders>
          </w:tcPr>
          <w:p w:rsidR="00887330" w:rsidRPr="00583E1A" w:rsidRDefault="00887330" w:rsidP="00887330">
            <w:pPr>
              <w:pStyle w:val="Tabletext"/>
            </w:pPr>
            <w:r w:rsidRPr="00583E1A">
              <w:t>section</w:t>
            </w:r>
            <w:r w:rsidR="00583E1A">
              <w:t> </w:t>
            </w:r>
            <w:r w:rsidRPr="00583E1A">
              <w:t>31</w:t>
            </w:r>
          </w:p>
        </w:tc>
      </w:tr>
    </w:tbl>
    <w:p w:rsidR="00887330" w:rsidRPr="00583E1A" w:rsidRDefault="00887330" w:rsidP="00887330">
      <w:pPr>
        <w:pStyle w:val="Definition"/>
      </w:pPr>
      <w:r w:rsidRPr="00583E1A">
        <w:rPr>
          <w:b/>
          <w:i/>
        </w:rPr>
        <w:t>assessment day</w:t>
      </w:r>
      <w:r w:rsidRPr="00583E1A">
        <w:t xml:space="preserve"> for an income year of a </w:t>
      </w:r>
      <w:r w:rsidR="00583E1A" w:rsidRPr="00583E1A">
        <w:rPr>
          <w:position w:val="6"/>
          <w:sz w:val="16"/>
        </w:rPr>
        <w:t>*</w:t>
      </w:r>
      <w:r w:rsidRPr="00583E1A">
        <w:t>life insurance company has the meaning given by section</w:t>
      </w:r>
      <w:r w:rsidR="00583E1A">
        <w:t> </w:t>
      </w:r>
      <w:r w:rsidRPr="00583E1A">
        <w:t>219</w:t>
      </w:r>
      <w:r w:rsidR="00583E1A">
        <w:noBreakHyphen/>
      </w:r>
      <w:r w:rsidRPr="00583E1A">
        <w:t>45.</w:t>
      </w:r>
    </w:p>
    <w:p w:rsidR="00887330" w:rsidRPr="00583E1A" w:rsidRDefault="00887330" w:rsidP="00887330">
      <w:pPr>
        <w:pStyle w:val="Definition"/>
      </w:pPr>
      <w:r w:rsidRPr="00583E1A">
        <w:rPr>
          <w:b/>
          <w:i/>
        </w:rPr>
        <w:t>asset</w:t>
      </w:r>
      <w:r w:rsidR="00583E1A">
        <w:rPr>
          <w:b/>
          <w:i/>
        </w:rPr>
        <w:noBreakHyphen/>
      </w:r>
      <w:r w:rsidRPr="00583E1A">
        <w:rPr>
          <w:b/>
          <w:i/>
        </w:rPr>
        <w:t>based income tax regime</w:t>
      </w:r>
      <w:r w:rsidRPr="00583E1A">
        <w:t xml:space="preserve"> has the meaning given by section</w:t>
      </w:r>
      <w:r w:rsidR="00583E1A">
        <w:t> </w:t>
      </w:r>
      <w:r w:rsidRPr="00583E1A">
        <w:t>830</w:t>
      </w:r>
      <w:r w:rsidR="00583E1A">
        <w:noBreakHyphen/>
      </w:r>
      <w:r w:rsidRPr="00583E1A">
        <w:t>105.</w:t>
      </w:r>
    </w:p>
    <w:p w:rsidR="00887330" w:rsidRPr="00583E1A" w:rsidRDefault="00887330" w:rsidP="00887330">
      <w:pPr>
        <w:pStyle w:val="Definition"/>
      </w:pPr>
      <w:r w:rsidRPr="00583E1A">
        <w:rPr>
          <w:b/>
          <w:i/>
        </w:rPr>
        <w:t>asset included in the total assets</w:t>
      </w:r>
      <w:r w:rsidRPr="00583E1A">
        <w:t xml:space="preserve"> of a company that is a foreign resident has the meaning given by section</w:t>
      </w:r>
      <w:r w:rsidR="00583E1A">
        <w:t> </w:t>
      </w:r>
      <w:r w:rsidRPr="00583E1A">
        <w:t>768</w:t>
      </w:r>
      <w:r w:rsidR="00583E1A">
        <w:noBreakHyphen/>
      </w:r>
      <w:r w:rsidRPr="00583E1A">
        <w:t>545.</w:t>
      </w:r>
    </w:p>
    <w:p w:rsidR="00887330" w:rsidRPr="00583E1A" w:rsidRDefault="00887330" w:rsidP="00887330">
      <w:pPr>
        <w:pStyle w:val="Definition"/>
      </w:pPr>
      <w:r w:rsidRPr="00583E1A">
        <w:rPr>
          <w:b/>
          <w:i/>
        </w:rPr>
        <w:t xml:space="preserve">associate </w:t>
      </w:r>
      <w:r w:rsidRPr="00583E1A">
        <w:t>has the meaning given by section</w:t>
      </w:r>
      <w:r w:rsidR="00583E1A">
        <w:t> </w:t>
      </w:r>
      <w:r w:rsidRPr="00583E1A">
        <w:t xml:space="preserve">318 of the </w:t>
      </w:r>
      <w:r w:rsidRPr="00583E1A">
        <w:rPr>
          <w:i/>
        </w:rPr>
        <w:t>Income Tax Assessment Act 1936</w:t>
      </w:r>
      <w:r w:rsidRPr="00583E1A">
        <w:t>.</w:t>
      </w:r>
    </w:p>
    <w:p w:rsidR="00887330" w:rsidRPr="00583E1A" w:rsidRDefault="00887330" w:rsidP="00887330">
      <w:pPr>
        <w:pStyle w:val="notetext"/>
      </w:pPr>
      <w:r w:rsidRPr="00583E1A">
        <w:t>Note:</w:t>
      </w:r>
      <w:r w:rsidRPr="00583E1A">
        <w:tab/>
        <w:t>Under section</w:t>
      </w:r>
      <w:r w:rsidR="00583E1A">
        <w:t> </w:t>
      </w:r>
      <w:r w:rsidRPr="00583E1A">
        <w:t>87</w:t>
      </w:r>
      <w:r w:rsidR="00583E1A">
        <w:noBreakHyphen/>
      </w:r>
      <w:r w:rsidRPr="00583E1A">
        <w:t>35, Australian government agencies, and certain parts of Australian governments and authorities, are not treated as associates for the purposes of ascertaining whether an entity is conducting a personal services business.</w:t>
      </w:r>
    </w:p>
    <w:p w:rsidR="00064345" w:rsidRPr="003509A5" w:rsidRDefault="00064345" w:rsidP="00064345">
      <w:pPr>
        <w:pStyle w:val="Definition"/>
      </w:pPr>
      <w:r w:rsidRPr="003509A5">
        <w:rPr>
          <w:b/>
          <w:i/>
        </w:rPr>
        <w:t>associated enterprises article</w:t>
      </w:r>
      <w:r w:rsidRPr="003509A5">
        <w:t xml:space="preserve"> has the meaning given by subsection 815</w:t>
      </w:r>
      <w:r w:rsidRPr="003509A5">
        <w:noBreakHyphen/>
        <w:t>15(5).</w:t>
      </w:r>
    </w:p>
    <w:p w:rsidR="00093A28" w:rsidRPr="00583E1A" w:rsidRDefault="00093A28" w:rsidP="00F13347">
      <w:pPr>
        <w:pStyle w:val="Definition"/>
        <w:keepNext/>
        <w:keepLines/>
      </w:pPr>
      <w:r w:rsidRPr="00583E1A">
        <w:rPr>
          <w:b/>
          <w:i/>
        </w:rPr>
        <w:t>associated government entity</w:t>
      </w:r>
      <w:r w:rsidRPr="00583E1A">
        <w:t xml:space="preserve"> means:</w:t>
      </w:r>
    </w:p>
    <w:p w:rsidR="00093A28" w:rsidRPr="00583E1A" w:rsidRDefault="00093A28" w:rsidP="00093A28">
      <w:pPr>
        <w:pStyle w:val="paragraph"/>
      </w:pPr>
      <w:r w:rsidRPr="00583E1A">
        <w:tab/>
        <w:t>(a)</w:t>
      </w:r>
      <w:r w:rsidRPr="00583E1A">
        <w:tab/>
        <w:t>for the Commonwealth—each authority of the Commonwealth; or</w:t>
      </w:r>
    </w:p>
    <w:p w:rsidR="00093A28" w:rsidRPr="00583E1A" w:rsidRDefault="00093A28" w:rsidP="00093A28">
      <w:pPr>
        <w:pStyle w:val="paragraph"/>
      </w:pPr>
      <w:r w:rsidRPr="00583E1A">
        <w:lastRenderedPageBreak/>
        <w:tab/>
        <w:t>(b)</w:t>
      </w:r>
      <w:r w:rsidRPr="00583E1A">
        <w:tab/>
        <w:t>for an authority of the Commonwealth—each other authority of the Commonwealth; or</w:t>
      </w:r>
    </w:p>
    <w:p w:rsidR="00093A28" w:rsidRPr="00583E1A" w:rsidRDefault="00093A28" w:rsidP="00093A28">
      <w:pPr>
        <w:pStyle w:val="paragraph"/>
      </w:pPr>
      <w:r w:rsidRPr="00583E1A">
        <w:tab/>
        <w:t>(c)</w:t>
      </w:r>
      <w:r w:rsidRPr="00583E1A">
        <w:tab/>
        <w:t>for a State—each authority of the State; or</w:t>
      </w:r>
    </w:p>
    <w:p w:rsidR="00093A28" w:rsidRPr="00583E1A" w:rsidRDefault="00093A28" w:rsidP="00093A28">
      <w:pPr>
        <w:pStyle w:val="paragraph"/>
      </w:pPr>
      <w:r w:rsidRPr="00583E1A">
        <w:tab/>
        <w:t>(d)</w:t>
      </w:r>
      <w:r w:rsidRPr="00583E1A">
        <w:tab/>
        <w:t>for an authority of a State—each other authority of the State; or</w:t>
      </w:r>
    </w:p>
    <w:p w:rsidR="00093A28" w:rsidRPr="00583E1A" w:rsidRDefault="00093A28" w:rsidP="00093A28">
      <w:pPr>
        <w:pStyle w:val="paragraph"/>
      </w:pPr>
      <w:r w:rsidRPr="00583E1A">
        <w:tab/>
        <w:t>(e)</w:t>
      </w:r>
      <w:r w:rsidRPr="00583E1A">
        <w:tab/>
        <w:t>for a Territory—each authority of the Territory; or</w:t>
      </w:r>
    </w:p>
    <w:p w:rsidR="00093A28" w:rsidRPr="00583E1A" w:rsidRDefault="00093A28" w:rsidP="00093A28">
      <w:pPr>
        <w:pStyle w:val="paragraph"/>
      </w:pPr>
      <w:r w:rsidRPr="00583E1A">
        <w:tab/>
        <w:t>(f)</w:t>
      </w:r>
      <w:r w:rsidRPr="00583E1A">
        <w:tab/>
        <w:t>for an authority of a Territory—each other authority of the Territory.</w:t>
      </w:r>
    </w:p>
    <w:p w:rsidR="00887330" w:rsidRPr="00583E1A" w:rsidRDefault="00887330" w:rsidP="00887330">
      <w:pPr>
        <w:pStyle w:val="Definition"/>
      </w:pPr>
      <w:r w:rsidRPr="00583E1A">
        <w:rPr>
          <w:b/>
          <w:i/>
        </w:rPr>
        <w:t xml:space="preserve">associate entity </w:t>
      </w:r>
      <w:r w:rsidRPr="00583E1A">
        <w:t>has the meaning given by section</w:t>
      </w:r>
      <w:r w:rsidR="00583E1A">
        <w:t> </w:t>
      </w:r>
      <w:r w:rsidRPr="00583E1A">
        <w:t>820</w:t>
      </w:r>
      <w:r w:rsidR="00583E1A">
        <w:noBreakHyphen/>
      </w:r>
      <w:r w:rsidRPr="00583E1A">
        <w:t>905.</w:t>
      </w:r>
    </w:p>
    <w:p w:rsidR="00887330" w:rsidRPr="00583E1A" w:rsidRDefault="00887330" w:rsidP="00887330">
      <w:pPr>
        <w:pStyle w:val="Definition"/>
      </w:pPr>
      <w:r w:rsidRPr="00583E1A">
        <w:rPr>
          <w:b/>
          <w:i/>
        </w:rPr>
        <w:t xml:space="preserve">associate entity debt </w:t>
      </w:r>
      <w:r w:rsidRPr="00583E1A">
        <w:t>has the meaning given by section</w:t>
      </w:r>
      <w:r w:rsidR="00583E1A">
        <w:t> </w:t>
      </w:r>
      <w:r w:rsidRPr="00583E1A">
        <w:t>820</w:t>
      </w:r>
      <w:r w:rsidR="00583E1A">
        <w:noBreakHyphen/>
      </w:r>
      <w:r w:rsidRPr="00583E1A">
        <w:t>910.</w:t>
      </w:r>
    </w:p>
    <w:p w:rsidR="00887330" w:rsidRPr="00583E1A" w:rsidRDefault="00887330" w:rsidP="00887330">
      <w:pPr>
        <w:pStyle w:val="Definition"/>
      </w:pPr>
      <w:r w:rsidRPr="00583E1A">
        <w:rPr>
          <w:b/>
          <w:i/>
        </w:rPr>
        <w:t>associate entity equity</w:t>
      </w:r>
      <w:r w:rsidRPr="00583E1A">
        <w:t xml:space="preserve"> has the meaning given by section</w:t>
      </w:r>
      <w:r w:rsidR="00583E1A">
        <w:t> </w:t>
      </w:r>
      <w:r w:rsidRPr="00583E1A">
        <w:t>820</w:t>
      </w:r>
      <w:r w:rsidR="00583E1A">
        <w:noBreakHyphen/>
      </w:r>
      <w:r w:rsidRPr="00583E1A">
        <w:t>915.</w:t>
      </w:r>
    </w:p>
    <w:p w:rsidR="00887330" w:rsidRPr="00583E1A" w:rsidRDefault="00887330" w:rsidP="00887330">
      <w:pPr>
        <w:pStyle w:val="Definition"/>
      </w:pPr>
      <w:r w:rsidRPr="00583E1A">
        <w:rPr>
          <w:b/>
          <w:i/>
        </w:rPr>
        <w:t xml:space="preserve">associate entity excess amount </w:t>
      </w:r>
      <w:r w:rsidRPr="00583E1A">
        <w:t>has the meaning given by section</w:t>
      </w:r>
      <w:r w:rsidR="00583E1A">
        <w:t> </w:t>
      </w:r>
      <w:r w:rsidRPr="00583E1A">
        <w:t>820</w:t>
      </w:r>
      <w:r w:rsidR="00583E1A">
        <w:noBreakHyphen/>
      </w:r>
      <w:r w:rsidRPr="00583E1A">
        <w:t>920.</w:t>
      </w:r>
    </w:p>
    <w:p w:rsidR="00887330" w:rsidRPr="00583E1A" w:rsidRDefault="00887330" w:rsidP="00887330">
      <w:pPr>
        <w:pStyle w:val="Definition"/>
      </w:pPr>
      <w:r w:rsidRPr="00583E1A">
        <w:rPr>
          <w:b/>
          <w:i/>
        </w:rPr>
        <w:t>associate</w:t>
      </w:r>
      <w:r w:rsidR="00583E1A">
        <w:rPr>
          <w:b/>
          <w:i/>
        </w:rPr>
        <w:noBreakHyphen/>
      </w:r>
      <w:r w:rsidRPr="00583E1A">
        <w:rPr>
          <w:b/>
          <w:i/>
        </w:rPr>
        <w:t xml:space="preserve">inclusive control interest </w:t>
      </w:r>
      <w:r w:rsidRPr="00583E1A">
        <w:t>in a company has the meaning given by section</w:t>
      </w:r>
      <w:r w:rsidR="00583E1A">
        <w:t> </w:t>
      </w:r>
      <w:r w:rsidRPr="00583E1A">
        <w:t>975</w:t>
      </w:r>
      <w:r w:rsidR="00583E1A">
        <w:noBreakHyphen/>
      </w:r>
      <w:r w:rsidRPr="00583E1A">
        <w:t>160.</w:t>
      </w:r>
    </w:p>
    <w:p w:rsidR="00887330" w:rsidRPr="00583E1A" w:rsidRDefault="00887330" w:rsidP="00887330">
      <w:pPr>
        <w:pStyle w:val="Definition"/>
      </w:pPr>
      <w:r w:rsidRPr="00583E1A">
        <w:rPr>
          <w:b/>
          <w:i/>
        </w:rPr>
        <w:t xml:space="preserve">associate interest </w:t>
      </w:r>
      <w:r w:rsidRPr="00583E1A">
        <w:t>has the meaning given by section</w:t>
      </w:r>
      <w:r w:rsidR="00583E1A">
        <w:t> </w:t>
      </w:r>
      <w:r w:rsidRPr="00583E1A">
        <w:t>820</w:t>
      </w:r>
      <w:r w:rsidR="00583E1A">
        <w:noBreakHyphen/>
      </w:r>
      <w:r w:rsidRPr="00583E1A">
        <w:t>905.</w:t>
      </w:r>
    </w:p>
    <w:p w:rsidR="00887330" w:rsidRPr="00583E1A" w:rsidRDefault="00887330" w:rsidP="00887330">
      <w:pPr>
        <w:pStyle w:val="Definition"/>
      </w:pPr>
      <w:r w:rsidRPr="00583E1A">
        <w:rPr>
          <w:b/>
          <w:i/>
        </w:rPr>
        <w:t>at risk</w:t>
      </w:r>
      <w:r w:rsidRPr="00583E1A">
        <w:t xml:space="preserve"> has the meaning given by section</w:t>
      </w:r>
      <w:r w:rsidR="00583E1A">
        <w:t> </w:t>
      </w:r>
      <w:r w:rsidRPr="00583E1A">
        <w:t>118</w:t>
      </w:r>
      <w:r w:rsidR="00583E1A">
        <w:noBreakHyphen/>
      </w:r>
      <w:r w:rsidRPr="00583E1A">
        <w:t>430.</w:t>
      </w:r>
    </w:p>
    <w:p w:rsidR="00887330" w:rsidRPr="00583E1A" w:rsidRDefault="00887330" w:rsidP="00887330">
      <w:pPr>
        <w:pStyle w:val="Definition"/>
      </w:pPr>
      <w:r w:rsidRPr="00583E1A">
        <w:rPr>
          <w:b/>
          <w:i/>
        </w:rPr>
        <w:t>attributable income</w:t>
      </w:r>
      <w:r w:rsidRPr="00583E1A">
        <w:t xml:space="preserve"> has the meaning given by Division</w:t>
      </w:r>
      <w:r w:rsidR="00583E1A">
        <w:t> </w:t>
      </w:r>
      <w:r w:rsidRPr="00583E1A">
        <w:t>7 of Part</w:t>
      </w:r>
      <w:r w:rsidR="00583E1A">
        <w:t> </w:t>
      </w:r>
      <w:r w:rsidRPr="00583E1A">
        <w:t xml:space="preserve">X of the </w:t>
      </w:r>
      <w:r w:rsidRPr="00583E1A">
        <w:rPr>
          <w:i/>
        </w:rPr>
        <w:t>Income Tax Assessment Act 1936</w:t>
      </w:r>
      <w:r w:rsidRPr="00583E1A">
        <w:t>.</w:t>
      </w:r>
    </w:p>
    <w:p w:rsidR="00887330" w:rsidRPr="00583E1A" w:rsidRDefault="00887330" w:rsidP="00887330">
      <w:pPr>
        <w:pStyle w:val="Definition"/>
      </w:pPr>
      <w:r w:rsidRPr="00583E1A">
        <w:rPr>
          <w:b/>
          <w:i/>
        </w:rPr>
        <w:t>attributable taxpayer</w:t>
      </w:r>
      <w:r w:rsidRPr="00583E1A">
        <w:t xml:space="preserve"> has the meaning given by Part</w:t>
      </w:r>
      <w:r w:rsidR="00583E1A">
        <w:t> </w:t>
      </w:r>
      <w:r w:rsidRPr="00583E1A">
        <w:t xml:space="preserve">X of the </w:t>
      </w:r>
      <w:r w:rsidRPr="00583E1A">
        <w:rPr>
          <w:i/>
        </w:rPr>
        <w:t>Income Tax Assessment Act 1936</w:t>
      </w:r>
      <w:r w:rsidRPr="00583E1A">
        <w:t>.</w:t>
      </w:r>
    </w:p>
    <w:p w:rsidR="00DA09C9" w:rsidRPr="008706AC" w:rsidRDefault="00DA09C9" w:rsidP="00DA09C9">
      <w:pPr>
        <w:pStyle w:val="Definition"/>
      </w:pPr>
      <w:r w:rsidRPr="008706AC">
        <w:rPr>
          <w:b/>
          <w:i/>
        </w:rPr>
        <w:t>attribution percentage</w:t>
      </w:r>
      <w:r w:rsidRPr="008706AC">
        <w:t xml:space="preserve">, in relation to a </w:t>
      </w:r>
      <w:r w:rsidRPr="008706AC">
        <w:rPr>
          <w:position w:val="6"/>
          <w:sz w:val="16"/>
        </w:rPr>
        <w:t>*</w:t>
      </w:r>
      <w:r w:rsidRPr="008706AC">
        <w:t xml:space="preserve">CFC or a </w:t>
      </w:r>
      <w:r w:rsidRPr="008706AC">
        <w:rPr>
          <w:position w:val="6"/>
          <w:sz w:val="16"/>
        </w:rPr>
        <w:t>*</w:t>
      </w:r>
      <w:r w:rsidRPr="008706AC">
        <w:t xml:space="preserve">CFT, has the meaning given by Part X of the </w:t>
      </w:r>
      <w:r w:rsidRPr="008706AC">
        <w:rPr>
          <w:i/>
        </w:rPr>
        <w:t>Income Tax Assessment Act 1936</w:t>
      </w:r>
      <w:r w:rsidRPr="008706AC">
        <w:t>.</w:t>
      </w:r>
    </w:p>
    <w:p w:rsidR="007111AB" w:rsidRPr="005F1CAE" w:rsidRDefault="007111AB" w:rsidP="007111AB">
      <w:pPr>
        <w:pStyle w:val="Definition"/>
      </w:pPr>
      <w:r w:rsidRPr="005F1CAE">
        <w:rPr>
          <w:b/>
          <w:i/>
        </w:rPr>
        <w:t>auditing principles</w:t>
      </w:r>
      <w:r w:rsidRPr="005F1CAE">
        <w:t xml:space="preserve">: a matter is in accordance with </w:t>
      </w:r>
      <w:r w:rsidRPr="005F1CAE">
        <w:rPr>
          <w:b/>
          <w:i/>
        </w:rPr>
        <w:t>auditing principles</w:t>
      </w:r>
      <w:r w:rsidRPr="005F1CAE">
        <w:t xml:space="preserve"> if it is in accordance with:</w:t>
      </w:r>
    </w:p>
    <w:p w:rsidR="007111AB" w:rsidRPr="005F1CAE" w:rsidRDefault="007111AB" w:rsidP="007111AB">
      <w:pPr>
        <w:pStyle w:val="paragraph"/>
      </w:pPr>
      <w:r w:rsidRPr="005F1CAE">
        <w:tab/>
        <w:t>(a)</w:t>
      </w:r>
      <w:r w:rsidRPr="005F1CAE">
        <w:tab/>
      </w:r>
      <w:r w:rsidRPr="005F1CAE">
        <w:rPr>
          <w:position w:val="6"/>
          <w:sz w:val="16"/>
        </w:rPr>
        <w:t>*</w:t>
      </w:r>
      <w:r w:rsidRPr="005F1CAE">
        <w:t>auditing standards; or</w:t>
      </w:r>
    </w:p>
    <w:p w:rsidR="007111AB" w:rsidRPr="005F1CAE" w:rsidRDefault="007111AB" w:rsidP="00A756C6">
      <w:pPr>
        <w:pStyle w:val="paragraph"/>
        <w:keepNext/>
        <w:keepLines/>
      </w:pPr>
      <w:r w:rsidRPr="005F1CAE">
        <w:lastRenderedPageBreak/>
        <w:tab/>
        <w:t>(b)</w:t>
      </w:r>
      <w:r w:rsidRPr="005F1CAE">
        <w:tab/>
        <w:t>if there are no auditing standards applicable to the matter—authoritative pronouncements of the Auditing and Assurance Standards Board that apply to the preparation of financial statements.</w:t>
      </w:r>
    </w:p>
    <w:p w:rsidR="008521C7" w:rsidRPr="00583E1A" w:rsidRDefault="008521C7" w:rsidP="008521C7">
      <w:pPr>
        <w:pStyle w:val="Definition"/>
      </w:pPr>
      <w:r w:rsidRPr="00583E1A">
        <w:rPr>
          <w:b/>
          <w:i/>
        </w:rPr>
        <w:t>auditing standard</w:t>
      </w:r>
      <w:r w:rsidRPr="00583E1A">
        <w:t xml:space="preserve"> has the same meaning as in the </w:t>
      </w:r>
      <w:r w:rsidRPr="00583E1A">
        <w:rPr>
          <w:i/>
        </w:rPr>
        <w:t>Corporations Act 2001</w:t>
      </w:r>
      <w:r w:rsidRPr="00583E1A">
        <w:t>.</w:t>
      </w:r>
    </w:p>
    <w:p w:rsidR="00887330" w:rsidRPr="00583E1A" w:rsidRDefault="00887330" w:rsidP="00887330">
      <w:pPr>
        <w:pStyle w:val="Definition"/>
      </w:pPr>
      <w:r w:rsidRPr="00583E1A">
        <w:rPr>
          <w:b/>
          <w:i/>
        </w:rPr>
        <w:t>Australian Business Register</w:t>
      </w:r>
      <w:r w:rsidRPr="00583E1A">
        <w:t xml:space="preserve"> means the Australian Business Register established and maintained under the </w:t>
      </w:r>
      <w:r w:rsidRPr="00583E1A">
        <w:rPr>
          <w:i/>
        </w:rPr>
        <w:t>A New Tax System (Australian Business Number) Act 1999</w:t>
      </w:r>
      <w:r w:rsidRPr="00583E1A">
        <w:t>.</w:t>
      </w:r>
    </w:p>
    <w:p w:rsidR="00887330" w:rsidRPr="00583E1A" w:rsidRDefault="00887330" w:rsidP="00887330">
      <w:pPr>
        <w:pStyle w:val="Definition"/>
      </w:pPr>
      <w:r w:rsidRPr="00583E1A">
        <w:rPr>
          <w:b/>
          <w:i/>
        </w:rPr>
        <w:t>Australian Business Registrar</w:t>
      </w:r>
      <w:r w:rsidRPr="00583E1A">
        <w:t xml:space="preserve"> means the Registrar of the </w:t>
      </w:r>
      <w:r w:rsidR="00583E1A" w:rsidRPr="00583E1A">
        <w:rPr>
          <w:position w:val="6"/>
          <w:sz w:val="16"/>
        </w:rPr>
        <w:t>*</w:t>
      </w:r>
      <w:r w:rsidRPr="00583E1A">
        <w:t>Australian Business Register.</w:t>
      </w:r>
    </w:p>
    <w:p w:rsidR="001A71C1" w:rsidRPr="00E811AF" w:rsidRDefault="001A71C1" w:rsidP="001A71C1">
      <w:pPr>
        <w:pStyle w:val="Definition"/>
      </w:pPr>
      <w:r w:rsidRPr="00E811AF">
        <w:rPr>
          <w:b/>
          <w:i/>
        </w:rPr>
        <w:t>Australian carbon credit unit</w:t>
      </w:r>
      <w:r w:rsidRPr="00E811AF">
        <w:t xml:space="preserve"> has the same meaning as in the </w:t>
      </w:r>
      <w:r w:rsidRPr="00E811AF">
        <w:rPr>
          <w:i/>
        </w:rPr>
        <w:t>Carbon Credits (Carbon Farming Initiative) Act 2011</w:t>
      </w:r>
      <w:r w:rsidRPr="00E811AF">
        <w:t>.</w:t>
      </w:r>
    </w:p>
    <w:p w:rsidR="00887330" w:rsidRPr="00583E1A" w:rsidRDefault="00887330" w:rsidP="00887330">
      <w:pPr>
        <w:pStyle w:val="Definition"/>
      </w:pPr>
      <w:r w:rsidRPr="00583E1A">
        <w:rPr>
          <w:b/>
          <w:i/>
        </w:rPr>
        <w:t>Australian controlled foreign entity</w:t>
      </w:r>
      <w:r w:rsidRPr="00583E1A">
        <w:rPr>
          <w:b/>
        </w:rPr>
        <w:t xml:space="preserve"> </w:t>
      </w:r>
      <w:r w:rsidRPr="00583E1A">
        <w:t>has the meaning given by section</w:t>
      </w:r>
      <w:r w:rsidR="00583E1A">
        <w:t> </w:t>
      </w:r>
      <w:r w:rsidRPr="00583E1A">
        <w:t>820</w:t>
      </w:r>
      <w:r w:rsidR="00583E1A">
        <w:noBreakHyphen/>
      </w:r>
      <w:r w:rsidRPr="00583E1A">
        <w:t>745.</w:t>
      </w:r>
    </w:p>
    <w:p w:rsidR="00887330" w:rsidRPr="00583E1A" w:rsidRDefault="00887330" w:rsidP="00887330">
      <w:pPr>
        <w:pStyle w:val="Definition"/>
      </w:pPr>
      <w:r w:rsidRPr="00583E1A">
        <w:rPr>
          <w:b/>
          <w:i/>
        </w:rPr>
        <w:t>Australian controller</w:t>
      </w:r>
      <w:r w:rsidRPr="00583E1A">
        <w:t>:</w:t>
      </w:r>
    </w:p>
    <w:p w:rsidR="00887330" w:rsidRPr="00583E1A" w:rsidRDefault="00887330" w:rsidP="00887330">
      <w:pPr>
        <w:pStyle w:val="paragraph"/>
      </w:pPr>
      <w:r w:rsidRPr="00583E1A">
        <w:tab/>
        <w:t>(a)</w:t>
      </w:r>
      <w:r w:rsidRPr="00583E1A">
        <w:tab/>
        <w:t xml:space="preserve">of a </w:t>
      </w:r>
      <w:r w:rsidR="00583E1A" w:rsidRPr="00583E1A">
        <w:rPr>
          <w:position w:val="6"/>
          <w:sz w:val="16"/>
        </w:rPr>
        <w:t>*</w:t>
      </w:r>
      <w:r w:rsidRPr="00583E1A">
        <w:t>controlled foreign company mentioned in paragraph 820</w:t>
      </w:r>
      <w:r w:rsidR="00583E1A">
        <w:noBreakHyphen/>
      </w:r>
      <w:r w:rsidRPr="00583E1A">
        <w:t>745(a)—has the meaning given by section</w:t>
      </w:r>
      <w:r w:rsidR="00583E1A">
        <w:t> </w:t>
      </w:r>
      <w:r w:rsidRPr="00583E1A">
        <w:t>820</w:t>
      </w:r>
      <w:r w:rsidR="00583E1A">
        <w:noBreakHyphen/>
      </w:r>
      <w:r w:rsidRPr="00583E1A">
        <w:t>750; and</w:t>
      </w:r>
    </w:p>
    <w:p w:rsidR="00887330" w:rsidRPr="00583E1A" w:rsidRDefault="00887330" w:rsidP="00887330">
      <w:pPr>
        <w:pStyle w:val="paragraph"/>
      </w:pPr>
      <w:r w:rsidRPr="00583E1A">
        <w:tab/>
        <w:t>(b)</w:t>
      </w:r>
      <w:r w:rsidRPr="00583E1A">
        <w:tab/>
        <w:t xml:space="preserve">of a </w:t>
      </w:r>
      <w:r w:rsidR="00583E1A" w:rsidRPr="00583E1A">
        <w:rPr>
          <w:position w:val="6"/>
          <w:sz w:val="16"/>
        </w:rPr>
        <w:t>*</w:t>
      </w:r>
      <w:r w:rsidRPr="00583E1A">
        <w:t>controlled foreign trust—has the meaning given by section</w:t>
      </w:r>
      <w:r w:rsidR="00583E1A">
        <w:t> </w:t>
      </w:r>
      <w:r w:rsidRPr="00583E1A">
        <w:t>820</w:t>
      </w:r>
      <w:r w:rsidR="00583E1A">
        <w:noBreakHyphen/>
      </w:r>
      <w:r w:rsidRPr="00583E1A">
        <w:t>755; and</w:t>
      </w:r>
    </w:p>
    <w:p w:rsidR="00887330" w:rsidRPr="00583E1A" w:rsidRDefault="00887330" w:rsidP="00887330">
      <w:pPr>
        <w:pStyle w:val="paragraph"/>
      </w:pPr>
      <w:r w:rsidRPr="00583E1A">
        <w:tab/>
        <w:t>(c)</w:t>
      </w:r>
      <w:r w:rsidRPr="00583E1A">
        <w:tab/>
        <w:t xml:space="preserve">of a </w:t>
      </w:r>
      <w:r w:rsidR="00583E1A" w:rsidRPr="00583E1A">
        <w:rPr>
          <w:position w:val="6"/>
          <w:sz w:val="16"/>
        </w:rPr>
        <w:t>*</w:t>
      </w:r>
      <w:r w:rsidRPr="00583E1A">
        <w:t>controlled foreign corporate limited partnership—has the meaning given by section</w:t>
      </w:r>
      <w:r w:rsidR="00583E1A">
        <w:t> </w:t>
      </w:r>
      <w:r w:rsidRPr="00583E1A">
        <w:t>820</w:t>
      </w:r>
      <w:r w:rsidR="00583E1A">
        <w:noBreakHyphen/>
      </w:r>
      <w:r w:rsidRPr="00583E1A">
        <w:t>760.</w:t>
      </w:r>
    </w:p>
    <w:p w:rsidR="00887330" w:rsidRPr="00583E1A" w:rsidRDefault="00887330" w:rsidP="00887330">
      <w:pPr>
        <w:pStyle w:val="Definition"/>
      </w:pPr>
      <w:r w:rsidRPr="00583E1A">
        <w:rPr>
          <w:b/>
          <w:i/>
        </w:rPr>
        <w:t>Australian corporate tax entity</w:t>
      </w:r>
      <w:r w:rsidRPr="00583E1A">
        <w:t xml:space="preserve">: an entity is an </w:t>
      </w:r>
      <w:r w:rsidRPr="00583E1A">
        <w:rPr>
          <w:b/>
          <w:i/>
        </w:rPr>
        <w:t>Australian corporate tax entity</w:t>
      </w:r>
      <w:r w:rsidRPr="00583E1A">
        <w:t xml:space="preserve"> at a particular time if the entity is:</w:t>
      </w:r>
    </w:p>
    <w:p w:rsidR="00887330" w:rsidRPr="00583E1A" w:rsidRDefault="00887330" w:rsidP="00887330">
      <w:pPr>
        <w:pStyle w:val="paragraph"/>
      </w:pPr>
      <w:r w:rsidRPr="00583E1A">
        <w:tab/>
        <w:t>(a)</w:t>
      </w:r>
      <w:r w:rsidRPr="00583E1A">
        <w:tab/>
        <w:t xml:space="preserve">a </w:t>
      </w:r>
      <w:r w:rsidR="00583E1A" w:rsidRPr="00583E1A">
        <w:rPr>
          <w:position w:val="6"/>
          <w:sz w:val="16"/>
        </w:rPr>
        <w:t>*</w:t>
      </w:r>
      <w:r w:rsidRPr="00583E1A">
        <w:t>corporate tax entity at that time; and</w:t>
      </w:r>
    </w:p>
    <w:p w:rsidR="00887330" w:rsidRPr="00583E1A" w:rsidRDefault="00887330" w:rsidP="00887330">
      <w:pPr>
        <w:pStyle w:val="paragraph"/>
      </w:pPr>
      <w:r w:rsidRPr="00583E1A">
        <w:tab/>
        <w:t>(b)</w:t>
      </w:r>
      <w:r w:rsidRPr="00583E1A">
        <w:tab/>
        <w:t xml:space="preserve">for a company or a </w:t>
      </w:r>
      <w:r w:rsidR="00583E1A" w:rsidRPr="00583E1A">
        <w:rPr>
          <w:position w:val="6"/>
          <w:sz w:val="16"/>
        </w:rPr>
        <w:t>*</w:t>
      </w:r>
      <w:r w:rsidRPr="00583E1A">
        <w:t>corporate limited partnership—an Australian resident at that time; and</w:t>
      </w:r>
    </w:p>
    <w:p w:rsidR="00887330" w:rsidRPr="00583E1A" w:rsidRDefault="00887330" w:rsidP="00887330">
      <w:pPr>
        <w:pStyle w:val="paragraph"/>
      </w:pPr>
      <w:r w:rsidRPr="00583E1A">
        <w:tab/>
        <w:t>(c)</w:t>
      </w:r>
      <w:r w:rsidRPr="00583E1A">
        <w:tab/>
        <w:t xml:space="preserve">for a </w:t>
      </w:r>
      <w:r w:rsidR="00583E1A" w:rsidRPr="00583E1A">
        <w:rPr>
          <w:position w:val="6"/>
          <w:sz w:val="16"/>
        </w:rPr>
        <w:t>*</w:t>
      </w:r>
      <w:r w:rsidRPr="00583E1A">
        <w:t xml:space="preserve">corporate unit trust or a </w:t>
      </w:r>
      <w:r w:rsidR="00583E1A" w:rsidRPr="00583E1A">
        <w:rPr>
          <w:position w:val="6"/>
          <w:sz w:val="16"/>
        </w:rPr>
        <w:t>*</w:t>
      </w:r>
      <w:r w:rsidRPr="00583E1A">
        <w:t xml:space="preserve">public trading trust—a </w:t>
      </w:r>
      <w:r w:rsidR="00583E1A" w:rsidRPr="00583E1A">
        <w:rPr>
          <w:position w:val="6"/>
          <w:sz w:val="16"/>
        </w:rPr>
        <w:t>*</w:t>
      </w:r>
      <w:r w:rsidRPr="00583E1A">
        <w:t>resident unit trust for the income year in which that time occurs.</w:t>
      </w:r>
    </w:p>
    <w:p w:rsidR="00887330" w:rsidRPr="00583E1A" w:rsidRDefault="00887330" w:rsidP="00887330">
      <w:pPr>
        <w:pStyle w:val="Definition"/>
      </w:pPr>
      <w:r w:rsidRPr="00583E1A">
        <w:rPr>
          <w:b/>
          <w:i/>
        </w:rPr>
        <w:t>Australian entity</w:t>
      </w:r>
      <w:r w:rsidRPr="00583E1A">
        <w:t xml:space="preserve"> has the same meaning as in Part</w:t>
      </w:r>
      <w:r w:rsidR="00583E1A">
        <w:t> </w:t>
      </w:r>
      <w:r w:rsidRPr="00583E1A">
        <w:t xml:space="preserve">X of the </w:t>
      </w:r>
      <w:r w:rsidRPr="00583E1A">
        <w:rPr>
          <w:i/>
        </w:rPr>
        <w:t>Income Tax Assessment Act 1936</w:t>
      </w:r>
      <w:r w:rsidRPr="00583E1A">
        <w:t>.</w:t>
      </w:r>
    </w:p>
    <w:p w:rsidR="00887330" w:rsidRPr="00583E1A" w:rsidRDefault="00887330" w:rsidP="00887330">
      <w:pPr>
        <w:pStyle w:val="Definition"/>
      </w:pPr>
      <w:r w:rsidRPr="00583E1A">
        <w:rPr>
          <w:b/>
          <w:i/>
        </w:rPr>
        <w:lastRenderedPageBreak/>
        <w:t>Australian financial services licence</w:t>
      </w:r>
      <w:r w:rsidRPr="00583E1A">
        <w:t xml:space="preserve"> has the meaning given by section</w:t>
      </w:r>
      <w:r w:rsidR="00583E1A">
        <w:t> </w:t>
      </w:r>
      <w:r w:rsidRPr="00583E1A">
        <w:t xml:space="preserve">761A of the </w:t>
      </w:r>
      <w:r w:rsidRPr="00583E1A">
        <w:rPr>
          <w:i/>
        </w:rPr>
        <w:t>Corporations Act 2001</w:t>
      </w:r>
      <w:r w:rsidRPr="00583E1A">
        <w:t>.</w:t>
      </w:r>
    </w:p>
    <w:p w:rsidR="00887330" w:rsidRPr="00583E1A" w:rsidRDefault="00887330" w:rsidP="00887330">
      <w:pPr>
        <w:pStyle w:val="Definition"/>
      </w:pPr>
      <w:r w:rsidRPr="00583E1A">
        <w:rPr>
          <w:b/>
          <w:i/>
        </w:rPr>
        <w:t>Australian fund</w:t>
      </w:r>
      <w:r w:rsidRPr="00583E1A">
        <w:t xml:space="preserve"> has the meaning given by section</w:t>
      </w:r>
      <w:r w:rsidR="00583E1A">
        <w:t> </w:t>
      </w:r>
      <w:r w:rsidRPr="00583E1A">
        <w:t xml:space="preserve">74 of the </w:t>
      </w:r>
      <w:r w:rsidRPr="00583E1A">
        <w:rPr>
          <w:i/>
        </w:rPr>
        <w:t>Life Insurance Act 1995</w:t>
      </w:r>
      <w:r w:rsidRPr="00583E1A">
        <w:t>.</w:t>
      </w:r>
    </w:p>
    <w:p w:rsidR="00887330" w:rsidRPr="00583E1A" w:rsidRDefault="00887330" w:rsidP="00887330">
      <w:pPr>
        <w:pStyle w:val="Definition"/>
      </w:pPr>
      <w:r w:rsidRPr="00583E1A">
        <w:rPr>
          <w:b/>
          <w:i/>
        </w:rPr>
        <w:t>Australian government agency</w:t>
      </w:r>
      <w:r w:rsidRPr="00583E1A">
        <w:t xml:space="preserve"> means:</w:t>
      </w:r>
    </w:p>
    <w:p w:rsidR="00887330" w:rsidRPr="00583E1A" w:rsidRDefault="00887330" w:rsidP="00887330">
      <w:pPr>
        <w:pStyle w:val="paragraph"/>
      </w:pPr>
      <w:r w:rsidRPr="00583E1A">
        <w:tab/>
        <w:t>(a)</w:t>
      </w:r>
      <w:r w:rsidRPr="00583E1A">
        <w:tab/>
        <w:t>the Commonwealth, a State or a Territory; or</w:t>
      </w:r>
    </w:p>
    <w:p w:rsidR="00887330" w:rsidRPr="00583E1A" w:rsidRDefault="00887330" w:rsidP="00887330">
      <w:pPr>
        <w:pStyle w:val="paragraph"/>
      </w:pPr>
      <w:r w:rsidRPr="00583E1A">
        <w:tab/>
        <w:t>(b)</w:t>
      </w:r>
      <w:r w:rsidRPr="00583E1A">
        <w:tab/>
        <w:t>an authority of the Commonwealth or of a State or a Territory.</w:t>
      </w:r>
    </w:p>
    <w:p w:rsidR="00887330" w:rsidRPr="00583E1A" w:rsidRDefault="00887330" w:rsidP="00887330">
      <w:pPr>
        <w:pStyle w:val="Definition"/>
      </w:pPr>
      <w:r w:rsidRPr="00583E1A">
        <w:rPr>
          <w:b/>
          <w:i/>
        </w:rPr>
        <w:t>Australian law</w:t>
      </w:r>
      <w:r w:rsidRPr="00583E1A">
        <w:t xml:space="preserve"> means a </w:t>
      </w:r>
      <w:r w:rsidR="00583E1A" w:rsidRPr="00583E1A">
        <w:rPr>
          <w:position w:val="6"/>
          <w:sz w:val="16"/>
        </w:rPr>
        <w:t>*</w:t>
      </w:r>
      <w:r w:rsidRPr="00583E1A">
        <w:t xml:space="preserve">Commonwealth law, a </w:t>
      </w:r>
      <w:r w:rsidR="00583E1A" w:rsidRPr="00583E1A">
        <w:rPr>
          <w:position w:val="6"/>
          <w:sz w:val="16"/>
        </w:rPr>
        <w:t>*</w:t>
      </w:r>
      <w:r w:rsidRPr="00583E1A">
        <w:t xml:space="preserve">State law or a </w:t>
      </w:r>
      <w:r w:rsidR="00583E1A" w:rsidRPr="00583E1A">
        <w:rPr>
          <w:position w:val="6"/>
          <w:sz w:val="16"/>
        </w:rPr>
        <w:t>*</w:t>
      </w:r>
      <w:r w:rsidRPr="00583E1A">
        <w:t>Territory law.</w:t>
      </w:r>
    </w:p>
    <w:p w:rsidR="00887330" w:rsidRPr="00583E1A" w:rsidRDefault="00887330" w:rsidP="00887330">
      <w:pPr>
        <w:pStyle w:val="Definition"/>
      </w:pPr>
      <w:r w:rsidRPr="00583E1A">
        <w:rPr>
          <w:b/>
          <w:i/>
        </w:rPr>
        <w:t>Australian legislature</w:t>
      </w:r>
      <w:r w:rsidRPr="00583E1A">
        <w:t xml:space="preserve"> means:</w:t>
      </w:r>
    </w:p>
    <w:p w:rsidR="00887330" w:rsidRPr="00583E1A" w:rsidRDefault="00887330" w:rsidP="00887330">
      <w:pPr>
        <w:pStyle w:val="paragraph"/>
      </w:pPr>
      <w:r w:rsidRPr="00583E1A">
        <w:tab/>
        <w:t>(a)</w:t>
      </w:r>
      <w:r w:rsidRPr="00583E1A">
        <w:tab/>
        <w:t xml:space="preserve">the Parliament of the Commonwealth of </w:t>
      </w:r>
      <w:smartTag w:uri="urn:schemas-microsoft-com:office:smarttags" w:element="country-region">
        <w:smartTag w:uri="urn:schemas-microsoft-com:office:smarttags" w:element="place">
          <w:r w:rsidRPr="00583E1A">
            <w:t>Australia</w:t>
          </w:r>
        </w:smartTag>
      </w:smartTag>
      <w:r w:rsidRPr="00583E1A">
        <w:t>; or</w:t>
      </w:r>
    </w:p>
    <w:p w:rsidR="00887330" w:rsidRPr="00583E1A" w:rsidRDefault="00887330" w:rsidP="00887330">
      <w:pPr>
        <w:pStyle w:val="paragraph"/>
      </w:pPr>
      <w:r w:rsidRPr="00583E1A">
        <w:tab/>
        <w:t>(b)</w:t>
      </w:r>
      <w:r w:rsidRPr="00583E1A">
        <w:tab/>
        <w:t>the Parliament of a State; or</w:t>
      </w:r>
    </w:p>
    <w:p w:rsidR="00887330" w:rsidRPr="00583E1A" w:rsidRDefault="00887330" w:rsidP="00887330">
      <w:pPr>
        <w:pStyle w:val="paragraph"/>
      </w:pPr>
      <w:r w:rsidRPr="00583E1A">
        <w:tab/>
        <w:t>(c)</w:t>
      </w:r>
      <w:r w:rsidRPr="00583E1A">
        <w:tab/>
        <w:t xml:space="preserve">the Legislative Assembly for the </w:t>
      </w:r>
      <w:smartTag w:uri="urn:schemas-microsoft-com:office:smarttags" w:element="State">
        <w:smartTag w:uri="urn:schemas-microsoft-com:office:smarttags" w:element="place">
          <w:r w:rsidRPr="00583E1A">
            <w:t>Australian Capital Territory</w:t>
          </w:r>
        </w:smartTag>
      </w:smartTag>
      <w:r w:rsidRPr="00583E1A">
        <w:t>; or</w:t>
      </w:r>
    </w:p>
    <w:p w:rsidR="00887330" w:rsidRPr="00583E1A" w:rsidRDefault="00887330" w:rsidP="00887330">
      <w:pPr>
        <w:pStyle w:val="paragraph"/>
      </w:pPr>
      <w:r w:rsidRPr="00583E1A">
        <w:tab/>
        <w:t>(d)</w:t>
      </w:r>
      <w:r w:rsidRPr="00583E1A">
        <w:tab/>
        <w:t xml:space="preserve">the Legislative Assembly of the </w:t>
      </w:r>
      <w:smartTag w:uri="urn:schemas-microsoft-com:office:smarttags" w:element="State">
        <w:smartTag w:uri="urn:schemas-microsoft-com:office:smarttags" w:element="place">
          <w:r w:rsidRPr="00583E1A">
            <w:t>Northern Territory</w:t>
          </w:r>
        </w:smartTag>
      </w:smartTag>
      <w:r w:rsidRPr="00583E1A">
        <w:t xml:space="preserve"> of </w:t>
      </w:r>
      <w:smartTag w:uri="urn:schemas-microsoft-com:office:smarttags" w:element="country-region">
        <w:smartTag w:uri="urn:schemas-microsoft-com:office:smarttags" w:element="place">
          <w:r w:rsidRPr="00583E1A">
            <w:t>Australia</w:t>
          </w:r>
        </w:smartTag>
      </w:smartTag>
      <w:r w:rsidRPr="00583E1A">
        <w:t>.</w:t>
      </w:r>
    </w:p>
    <w:p w:rsidR="00887330" w:rsidRPr="00583E1A" w:rsidRDefault="00887330" w:rsidP="00887330">
      <w:pPr>
        <w:pStyle w:val="Definition"/>
      </w:pPr>
      <w:r w:rsidRPr="00583E1A">
        <w:rPr>
          <w:b/>
          <w:i/>
        </w:rPr>
        <w:t>Australian/overseas fund</w:t>
      </w:r>
      <w:r w:rsidRPr="00583E1A">
        <w:t xml:space="preserve"> has the meaning given by section</w:t>
      </w:r>
      <w:r w:rsidR="00583E1A">
        <w:t> </w:t>
      </w:r>
      <w:r w:rsidRPr="00583E1A">
        <w:t xml:space="preserve">74 of the </w:t>
      </w:r>
      <w:r w:rsidRPr="00583E1A">
        <w:rPr>
          <w:i/>
        </w:rPr>
        <w:t>Life Insurance Act 1995</w:t>
      </w:r>
      <w:r w:rsidRPr="00583E1A">
        <w:t>.</w:t>
      </w:r>
    </w:p>
    <w:p w:rsidR="00887330" w:rsidRPr="00583E1A" w:rsidRDefault="00887330" w:rsidP="00887330">
      <w:pPr>
        <w:pStyle w:val="Definition"/>
      </w:pPr>
      <w:r w:rsidRPr="00583E1A">
        <w:rPr>
          <w:b/>
          <w:i/>
        </w:rPr>
        <w:t>Australian permanent establishment</w:t>
      </w:r>
      <w:r w:rsidRPr="00583E1A">
        <w:t xml:space="preserve">, of an entity, means a </w:t>
      </w:r>
      <w:r w:rsidR="00583E1A" w:rsidRPr="00583E1A">
        <w:rPr>
          <w:position w:val="6"/>
          <w:sz w:val="16"/>
        </w:rPr>
        <w:t>*</w:t>
      </w:r>
      <w:r w:rsidRPr="00583E1A">
        <w:t xml:space="preserve">permanent establishment of the entity that is in </w:t>
      </w:r>
      <w:smartTag w:uri="urn:schemas-microsoft-com:office:smarttags" w:element="country-region">
        <w:smartTag w:uri="urn:schemas-microsoft-com:office:smarttags" w:element="place">
          <w:r w:rsidRPr="00583E1A">
            <w:t>Australia</w:t>
          </w:r>
        </w:smartTag>
      </w:smartTag>
      <w:r w:rsidRPr="00583E1A">
        <w:t>.</w:t>
      </w:r>
    </w:p>
    <w:p w:rsidR="00887330" w:rsidRPr="00583E1A" w:rsidRDefault="00887330" w:rsidP="00887330">
      <w:pPr>
        <w:pStyle w:val="Definition"/>
      </w:pPr>
      <w:r w:rsidRPr="00583E1A">
        <w:rPr>
          <w:b/>
          <w:i/>
        </w:rPr>
        <w:t>Australian resident</w:t>
      </w:r>
      <w:r w:rsidRPr="00583E1A">
        <w:t xml:space="preserve"> means a person who is a resident of </w:t>
      </w:r>
      <w:smartTag w:uri="urn:schemas-microsoft-com:office:smarttags" w:element="country-region">
        <w:smartTag w:uri="urn:schemas-microsoft-com:office:smarttags" w:element="place">
          <w:r w:rsidRPr="00583E1A">
            <w:t>Australia</w:t>
          </w:r>
        </w:smartTag>
      </w:smartTag>
      <w:r w:rsidRPr="00583E1A">
        <w:t xml:space="preserve"> for the purposes of the </w:t>
      </w:r>
      <w:r w:rsidRPr="00583E1A">
        <w:rPr>
          <w:i/>
        </w:rPr>
        <w:t>Income Tax Assessment Act 1936</w:t>
      </w:r>
      <w:r w:rsidRPr="00583E1A">
        <w:t>.</w:t>
      </w:r>
    </w:p>
    <w:p w:rsidR="00887330" w:rsidRPr="00583E1A" w:rsidRDefault="00887330" w:rsidP="00887330">
      <w:pPr>
        <w:pStyle w:val="Definition"/>
      </w:pPr>
      <w:r w:rsidRPr="00583E1A">
        <w:rPr>
          <w:b/>
          <w:i/>
        </w:rPr>
        <w:t>Australian source</w:t>
      </w:r>
      <w:r w:rsidRPr="00583E1A">
        <w:t xml:space="preserve">: </w:t>
      </w:r>
      <w:r w:rsidR="00583E1A" w:rsidRPr="00583E1A">
        <w:rPr>
          <w:position w:val="6"/>
          <w:sz w:val="16"/>
        </w:rPr>
        <w:t>*</w:t>
      </w:r>
      <w:r w:rsidRPr="00583E1A">
        <w:t xml:space="preserve">ordinary income or </w:t>
      </w:r>
      <w:r w:rsidR="00583E1A" w:rsidRPr="00583E1A">
        <w:rPr>
          <w:position w:val="6"/>
          <w:sz w:val="16"/>
        </w:rPr>
        <w:t>*</w:t>
      </w:r>
      <w:r w:rsidRPr="00583E1A">
        <w:t xml:space="preserve">statutory income has an Australian source if, and only if, it is </w:t>
      </w:r>
      <w:r w:rsidR="00583E1A" w:rsidRPr="00583E1A">
        <w:rPr>
          <w:position w:val="6"/>
          <w:sz w:val="16"/>
        </w:rPr>
        <w:t>*</w:t>
      </w:r>
      <w:r w:rsidRPr="00583E1A">
        <w:t xml:space="preserve">derived from a source in </w:t>
      </w:r>
      <w:smartTag w:uri="urn:schemas-microsoft-com:office:smarttags" w:element="country-region">
        <w:smartTag w:uri="urn:schemas-microsoft-com:office:smarttags" w:element="place">
          <w:r w:rsidRPr="00583E1A">
            <w:t>Australia</w:t>
          </w:r>
        </w:smartTag>
      </w:smartTag>
      <w:r w:rsidRPr="00583E1A">
        <w:t xml:space="preserve"> for the purposes of the </w:t>
      </w:r>
      <w:r w:rsidRPr="00583E1A">
        <w:rPr>
          <w:i/>
        </w:rPr>
        <w:t>Income Tax Assessment Act 1936</w:t>
      </w:r>
      <w:r w:rsidRPr="00583E1A">
        <w:t>.</w:t>
      </w:r>
    </w:p>
    <w:p w:rsidR="00C33219" w:rsidRPr="00583E1A" w:rsidRDefault="00C33219" w:rsidP="00C33219">
      <w:pPr>
        <w:pStyle w:val="Definition"/>
      </w:pPr>
      <w:r w:rsidRPr="00583E1A">
        <w:rPr>
          <w:b/>
          <w:i/>
        </w:rPr>
        <w:t>Australian superannuation fund</w:t>
      </w:r>
      <w:r w:rsidRPr="00583E1A">
        <w:t xml:space="preserve"> has the meaning given by section</w:t>
      </w:r>
      <w:r w:rsidR="00583E1A">
        <w:t> </w:t>
      </w:r>
      <w:r w:rsidRPr="00583E1A">
        <w:t>295</w:t>
      </w:r>
      <w:r w:rsidR="00583E1A">
        <w:noBreakHyphen/>
      </w:r>
      <w:r w:rsidRPr="00583E1A">
        <w:t>95.</w:t>
      </w:r>
    </w:p>
    <w:p w:rsidR="00887330" w:rsidRPr="00583E1A" w:rsidRDefault="00887330" w:rsidP="00887330">
      <w:pPr>
        <w:pStyle w:val="Definition"/>
        <w:rPr>
          <w:i/>
        </w:rPr>
      </w:pPr>
      <w:r w:rsidRPr="00583E1A">
        <w:rPr>
          <w:b/>
          <w:i/>
        </w:rPr>
        <w:t>Australian trust</w:t>
      </w:r>
      <w:r w:rsidRPr="00583E1A">
        <w:t xml:space="preserve"> has the same meaning as in Part</w:t>
      </w:r>
      <w:r w:rsidR="00583E1A">
        <w:t> </w:t>
      </w:r>
      <w:r w:rsidRPr="00583E1A">
        <w:t xml:space="preserve">X of the </w:t>
      </w:r>
      <w:r w:rsidRPr="00583E1A">
        <w:rPr>
          <w:i/>
        </w:rPr>
        <w:t>Income Tax Assessment Act 1936.</w:t>
      </w:r>
    </w:p>
    <w:p w:rsidR="00887330" w:rsidRPr="00583E1A" w:rsidRDefault="00887330" w:rsidP="00887330">
      <w:pPr>
        <w:pStyle w:val="Definition"/>
      </w:pPr>
      <w:r w:rsidRPr="00583E1A">
        <w:rPr>
          <w:b/>
          <w:i/>
        </w:rPr>
        <w:lastRenderedPageBreak/>
        <w:t>Australian venture capital fund of funds</w:t>
      </w:r>
      <w:r w:rsidRPr="00583E1A">
        <w:t xml:space="preserve"> has the meaning given by subsection 118</w:t>
      </w:r>
      <w:r w:rsidR="00583E1A">
        <w:noBreakHyphen/>
      </w:r>
      <w:r w:rsidRPr="00583E1A">
        <w:t>410(3).</w:t>
      </w:r>
    </w:p>
    <w:p w:rsidR="0099438E" w:rsidRPr="00B758CF" w:rsidRDefault="0099438E" w:rsidP="0099438E">
      <w:pPr>
        <w:pStyle w:val="Definition"/>
      </w:pPr>
      <w:r w:rsidRPr="00B758CF">
        <w:rPr>
          <w:b/>
          <w:i/>
        </w:rPr>
        <w:t xml:space="preserve">authorised ASIO officer </w:t>
      </w:r>
      <w:r w:rsidRPr="00B758CF">
        <w:t>has the meaning given by section 355</w:t>
      </w:r>
      <w:r w:rsidRPr="00B758CF">
        <w:noBreakHyphen/>
        <w:t xml:space="preserve">70 in Schedule 1 to the </w:t>
      </w:r>
      <w:r w:rsidRPr="00B758CF">
        <w:rPr>
          <w:i/>
        </w:rPr>
        <w:t>Taxation Administration Act 1953</w:t>
      </w:r>
      <w:r w:rsidRPr="00B758CF">
        <w:t>.</w:t>
      </w:r>
    </w:p>
    <w:p w:rsidR="00BB2F41" w:rsidRPr="00B758CF" w:rsidRDefault="00BB2F41" w:rsidP="00BB2F41">
      <w:pPr>
        <w:pStyle w:val="Definition"/>
      </w:pPr>
      <w:r w:rsidRPr="00B758CF">
        <w:rPr>
          <w:b/>
          <w:i/>
        </w:rPr>
        <w:t>authorised law enforcement agency officer</w:t>
      </w:r>
      <w:r w:rsidRPr="00B758CF">
        <w:t xml:space="preserve"> has the meaning given by section 355</w:t>
      </w:r>
      <w:r w:rsidRPr="00B758CF">
        <w:noBreakHyphen/>
        <w:t xml:space="preserve">70 in Schedule 1 to the </w:t>
      </w:r>
      <w:r w:rsidRPr="00B758CF">
        <w:rPr>
          <w:i/>
        </w:rPr>
        <w:t>Taxation Administration Act 1953</w:t>
      </w:r>
      <w:r w:rsidRPr="00B758CF">
        <w:t>.</w:t>
      </w:r>
    </w:p>
    <w:p w:rsidR="00887330" w:rsidRPr="00583E1A" w:rsidRDefault="00887330" w:rsidP="00887330">
      <w:pPr>
        <w:pStyle w:val="Definition"/>
      </w:pPr>
      <w:r w:rsidRPr="00583E1A">
        <w:rPr>
          <w:b/>
          <w:i/>
        </w:rPr>
        <w:t>available expense</w:t>
      </w:r>
      <w:r w:rsidRPr="00583E1A">
        <w:t xml:space="preserve"> has the meaning given by section</w:t>
      </w:r>
      <w:r w:rsidR="00583E1A">
        <w:t> </w:t>
      </w:r>
      <w:r w:rsidRPr="00583E1A">
        <w:t>175</w:t>
      </w:r>
      <w:r w:rsidR="00583E1A">
        <w:noBreakHyphen/>
      </w:r>
      <w:r w:rsidRPr="00583E1A">
        <w:t>30.</w:t>
      </w:r>
    </w:p>
    <w:p w:rsidR="00887330" w:rsidRPr="00583E1A" w:rsidRDefault="00887330" w:rsidP="00887330">
      <w:pPr>
        <w:pStyle w:val="Definition"/>
      </w:pPr>
      <w:r w:rsidRPr="00583E1A">
        <w:rPr>
          <w:b/>
          <w:i/>
        </w:rPr>
        <w:t>available fraction</w:t>
      </w:r>
      <w:r w:rsidRPr="00583E1A">
        <w:t xml:space="preserve"> for a </w:t>
      </w:r>
      <w:r w:rsidR="00583E1A" w:rsidRPr="00583E1A">
        <w:rPr>
          <w:position w:val="6"/>
          <w:sz w:val="16"/>
        </w:rPr>
        <w:t>*</w:t>
      </w:r>
      <w:r w:rsidRPr="00583E1A">
        <w:t>bundle of losses has the meaning given by sections</w:t>
      </w:r>
      <w:r w:rsidR="00583E1A">
        <w:t> </w:t>
      </w:r>
      <w:r w:rsidRPr="00583E1A">
        <w:t>707</w:t>
      </w:r>
      <w:r w:rsidR="00583E1A">
        <w:noBreakHyphen/>
      </w:r>
      <w:r w:rsidRPr="00583E1A">
        <w:t>320, 719</w:t>
      </w:r>
      <w:r w:rsidR="00583E1A">
        <w:noBreakHyphen/>
      </w:r>
      <w:r w:rsidRPr="00583E1A">
        <w:t>310 and 719</w:t>
      </w:r>
      <w:r w:rsidR="00583E1A">
        <w:noBreakHyphen/>
      </w:r>
      <w:r w:rsidRPr="00583E1A">
        <w:t>315.</w:t>
      </w:r>
    </w:p>
    <w:p w:rsidR="00887330" w:rsidRPr="00583E1A" w:rsidRDefault="00887330" w:rsidP="00887330">
      <w:pPr>
        <w:pStyle w:val="Definition"/>
      </w:pPr>
      <w:r w:rsidRPr="00583E1A">
        <w:rPr>
          <w:b/>
          <w:i/>
        </w:rPr>
        <w:t>available frankable profits</w:t>
      </w:r>
      <w:r w:rsidRPr="00583E1A">
        <w:t xml:space="preserve"> has the meaning give by section</w:t>
      </w:r>
      <w:r w:rsidR="00583E1A">
        <w:t> </w:t>
      </w:r>
      <w:r w:rsidRPr="00583E1A">
        <w:t>215</w:t>
      </w:r>
      <w:r w:rsidR="00583E1A">
        <w:noBreakHyphen/>
      </w:r>
      <w:r w:rsidRPr="00583E1A">
        <w:t>20 and affected by subsection 215</w:t>
      </w:r>
      <w:r w:rsidR="00583E1A">
        <w:noBreakHyphen/>
      </w:r>
      <w:r w:rsidRPr="00583E1A">
        <w:t>25(1).</w:t>
      </w:r>
    </w:p>
    <w:p w:rsidR="00887330" w:rsidRPr="00583E1A" w:rsidRDefault="00887330" w:rsidP="00887330">
      <w:pPr>
        <w:pStyle w:val="Definition"/>
      </w:pPr>
      <w:r w:rsidRPr="00583E1A">
        <w:rPr>
          <w:b/>
          <w:i/>
        </w:rPr>
        <w:t>available income</w:t>
      </w:r>
      <w:r w:rsidRPr="00583E1A">
        <w:t xml:space="preserve"> has the meaning given by section</w:t>
      </w:r>
      <w:r w:rsidR="00583E1A">
        <w:t> </w:t>
      </w:r>
      <w:r w:rsidRPr="00583E1A">
        <w:t>175</w:t>
      </w:r>
      <w:r w:rsidR="00583E1A">
        <w:noBreakHyphen/>
      </w:r>
      <w:r w:rsidRPr="00583E1A">
        <w:t>30.</w:t>
      </w:r>
    </w:p>
    <w:p w:rsidR="00887330" w:rsidRPr="00583E1A" w:rsidRDefault="00887330" w:rsidP="00887330">
      <w:pPr>
        <w:pStyle w:val="Definition"/>
      </w:pPr>
      <w:r w:rsidRPr="00583E1A">
        <w:rPr>
          <w:b/>
          <w:i/>
        </w:rPr>
        <w:t>available loss exposure amount</w:t>
      </w:r>
      <w:r w:rsidRPr="00583E1A">
        <w:t xml:space="preserve"> has the meaning given by paragraph 830</w:t>
      </w:r>
      <w:r w:rsidR="00583E1A">
        <w:noBreakHyphen/>
      </w:r>
      <w:r w:rsidRPr="00583E1A">
        <w:t>50(1)(a).</w:t>
      </w:r>
    </w:p>
    <w:p w:rsidR="00887330" w:rsidRPr="00583E1A" w:rsidRDefault="00887330" w:rsidP="00887330">
      <w:pPr>
        <w:pStyle w:val="Definition"/>
        <w:rPr>
          <w:i/>
        </w:rPr>
      </w:pPr>
      <w:r w:rsidRPr="00583E1A">
        <w:rPr>
          <w:b/>
          <w:i/>
        </w:rPr>
        <w:t xml:space="preserve">average equity capital </w:t>
      </w:r>
      <w:r w:rsidRPr="00583E1A">
        <w:t>has the meaning given by sections</w:t>
      </w:r>
      <w:r w:rsidR="00583E1A">
        <w:t> </w:t>
      </w:r>
      <w:r w:rsidRPr="00583E1A">
        <w:t>820</w:t>
      </w:r>
      <w:r w:rsidR="00583E1A">
        <w:noBreakHyphen/>
      </w:r>
      <w:r w:rsidRPr="00583E1A">
        <w:t>395, 820</w:t>
      </w:r>
      <w:r w:rsidR="00583E1A">
        <w:noBreakHyphen/>
      </w:r>
      <w:r w:rsidRPr="00583E1A">
        <w:t>420 and 820</w:t>
      </w:r>
      <w:r w:rsidR="00583E1A">
        <w:noBreakHyphen/>
      </w:r>
      <w:r w:rsidRPr="00583E1A">
        <w:t>615</w:t>
      </w:r>
      <w:r w:rsidRPr="00583E1A">
        <w:rPr>
          <w:i/>
        </w:rPr>
        <w:t>.</w:t>
      </w:r>
    </w:p>
    <w:p w:rsidR="00887330" w:rsidRPr="00583E1A" w:rsidRDefault="00887330" w:rsidP="00887330">
      <w:pPr>
        <w:pStyle w:val="Definition"/>
      </w:pPr>
      <w:r w:rsidRPr="00583E1A">
        <w:rPr>
          <w:b/>
          <w:i/>
        </w:rPr>
        <w:t>average income</w:t>
      </w:r>
      <w:r w:rsidRPr="00583E1A">
        <w:t xml:space="preserve"> has the meaning given in subsection 392</w:t>
      </w:r>
      <w:r w:rsidR="00583E1A">
        <w:noBreakHyphen/>
      </w:r>
      <w:r w:rsidRPr="00583E1A">
        <w:t>45(1).</w:t>
      </w:r>
    </w:p>
    <w:p w:rsidR="00887330" w:rsidRPr="00583E1A" w:rsidRDefault="00887330" w:rsidP="00887330">
      <w:pPr>
        <w:pStyle w:val="Definition"/>
      </w:pPr>
      <w:r w:rsidRPr="00583E1A">
        <w:rPr>
          <w:b/>
          <w:i/>
        </w:rPr>
        <w:t>average taxable professional income</w:t>
      </w:r>
      <w:r w:rsidRPr="00583E1A">
        <w:t xml:space="preserve"> has the meaning given by subsections 405</w:t>
      </w:r>
      <w:r w:rsidR="00583E1A">
        <w:noBreakHyphen/>
      </w:r>
      <w:r w:rsidRPr="00583E1A">
        <w:t>50(1) and (2).</w:t>
      </w:r>
    </w:p>
    <w:p w:rsidR="00887330" w:rsidRPr="00583E1A" w:rsidRDefault="00887330" w:rsidP="00887330">
      <w:pPr>
        <w:pStyle w:val="Definition"/>
      </w:pPr>
      <w:r w:rsidRPr="00583E1A">
        <w:rPr>
          <w:b/>
          <w:i/>
        </w:rPr>
        <w:t>averaging adjustment</w:t>
      </w:r>
      <w:r w:rsidRPr="00583E1A">
        <w:t xml:space="preserve"> has the meaning given in section</w:t>
      </w:r>
      <w:r w:rsidR="00583E1A">
        <w:t> </w:t>
      </w:r>
      <w:r w:rsidRPr="00583E1A">
        <w:t>392</w:t>
      </w:r>
      <w:r w:rsidR="00583E1A">
        <w:noBreakHyphen/>
      </w:r>
      <w:r w:rsidRPr="00583E1A">
        <w:t>75.</w:t>
      </w:r>
    </w:p>
    <w:p w:rsidR="00887330" w:rsidRPr="00583E1A" w:rsidRDefault="00887330" w:rsidP="00887330">
      <w:pPr>
        <w:pStyle w:val="Definition"/>
      </w:pPr>
      <w:r w:rsidRPr="00583E1A">
        <w:rPr>
          <w:b/>
          <w:i/>
        </w:rPr>
        <w:t xml:space="preserve">averaging component </w:t>
      </w:r>
      <w:r w:rsidRPr="00583E1A">
        <w:t>has the meaning given in subsection 392</w:t>
      </w:r>
      <w:r w:rsidR="00583E1A">
        <w:noBreakHyphen/>
      </w:r>
      <w:r w:rsidRPr="00583E1A">
        <w:t>90(1).</w:t>
      </w:r>
    </w:p>
    <w:p w:rsidR="00887330" w:rsidRPr="00583E1A" w:rsidRDefault="00887330" w:rsidP="00887330">
      <w:pPr>
        <w:pStyle w:val="Definition"/>
      </w:pPr>
      <w:r w:rsidRPr="00583E1A">
        <w:rPr>
          <w:b/>
          <w:i/>
        </w:rPr>
        <w:t>award transport payment</w:t>
      </w:r>
      <w:r w:rsidRPr="00583E1A">
        <w:t xml:space="preserve"> has the meaning given by section</w:t>
      </w:r>
      <w:r w:rsidR="00583E1A">
        <w:t> </w:t>
      </w:r>
      <w:r w:rsidRPr="00583E1A">
        <w:t>900</w:t>
      </w:r>
      <w:r w:rsidR="00583E1A">
        <w:noBreakHyphen/>
      </w:r>
      <w:r w:rsidRPr="00583E1A">
        <w:t>220.</w:t>
      </w:r>
    </w:p>
    <w:p w:rsidR="00887330" w:rsidRPr="00583E1A" w:rsidRDefault="00887330" w:rsidP="00887330">
      <w:pPr>
        <w:pStyle w:val="Definition"/>
      </w:pPr>
      <w:r w:rsidRPr="00583E1A">
        <w:rPr>
          <w:b/>
          <w:i/>
        </w:rPr>
        <w:t>balancing adjustment event</w:t>
      </w:r>
      <w:r w:rsidRPr="00583E1A">
        <w:t xml:space="preserve"> has the meaning given by section</w:t>
      </w:r>
      <w:r w:rsidR="00583E1A">
        <w:t> </w:t>
      </w:r>
      <w:r w:rsidRPr="00583E1A">
        <w:t>40</w:t>
      </w:r>
      <w:r w:rsidR="00583E1A">
        <w:noBreakHyphen/>
      </w:r>
      <w:r w:rsidRPr="00583E1A">
        <w:t>295.</w:t>
      </w:r>
    </w:p>
    <w:p w:rsidR="00F853C9" w:rsidRPr="004C09C4" w:rsidRDefault="00F853C9" w:rsidP="00A756C6">
      <w:pPr>
        <w:pStyle w:val="Definition"/>
        <w:keepNext/>
        <w:keepLines/>
      </w:pPr>
      <w:r w:rsidRPr="004C09C4">
        <w:rPr>
          <w:b/>
          <w:i/>
        </w:rPr>
        <w:lastRenderedPageBreak/>
        <w:t>BAS amount</w:t>
      </w:r>
      <w:r w:rsidRPr="004C09C4">
        <w:t xml:space="preserve"> means any debt or credit that arises directly under the </w:t>
      </w:r>
      <w:r w:rsidRPr="004C09C4">
        <w:rPr>
          <w:position w:val="6"/>
          <w:sz w:val="16"/>
        </w:rPr>
        <w:t>*</w:t>
      </w:r>
      <w:r w:rsidRPr="004C09C4">
        <w:t>BAS provisions.</w:t>
      </w:r>
    </w:p>
    <w:p w:rsidR="00F853C9" w:rsidRPr="004C09C4" w:rsidRDefault="00F853C9" w:rsidP="00F853C9">
      <w:pPr>
        <w:pStyle w:val="notetext"/>
      </w:pPr>
      <w:r w:rsidRPr="004C09C4">
        <w:t>Note:</w:t>
      </w:r>
      <w:r w:rsidRPr="004C09C4">
        <w:tab/>
        <w:t>BAS stands for Business Activity Statement.</w:t>
      </w:r>
    </w:p>
    <w:p w:rsidR="00887330" w:rsidRPr="00583E1A" w:rsidRDefault="00887330" w:rsidP="00887330">
      <w:pPr>
        <w:pStyle w:val="Definition"/>
      </w:pPr>
      <w:r w:rsidRPr="00583E1A">
        <w:rPr>
          <w:b/>
          <w:i/>
        </w:rPr>
        <w:t>base assessment</w:t>
      </w:r>
      <w:r w:rsidRPr="00583E1A">
        <w:t xml:space="preserve"> has the meaning given by sections</w:t>
      </w:r>
      <w:r w:rsidR="00583E1A">
        <w:t> </w:t>
      </w:r>
      <w:r w:rsidRPr="00583E1A">
        <w:t>45</w:t>
      </w:r>
      <w:r w:rsidR="00583E1A">
        <w:noBreakHyphen/>
      </w:r>
      <w:r w:rsidRPr="00583E1A">
        <w:t>320 and 45</w:t>
      </w:r>
      <w:r w:rsidR="00583E1A">
        <w:noBreakHyphen/>
      </w:r>
      <w:r w:rsidRPr="00583E1A">
        <w:t>470 in Schedule</w:t>
      </w:r>
      <w:r w:rsidR="00583E1A">
        <w:t> </w:t>
      </w:r>
      <w:r w:rsidRPr="00583E1A">
        <w:t xml:space="preserve">1 to the </w:t>
      </w:r>
      <w:r w:rsidRPr="00583E1A">
        <w:rPr>
          <w:i/>
        </w:rPr>
        <w:t>Taxation Administration Act 1953</w:t>
      </w:r>
      <w:r w:rsidRPr="00583E1A">
        <w:t>.</w:t>
      </w:r>
    </w:p>
    <w:p w:rsidR="00887330" w:rsidRPr="00583E1A" w:rsidRDefault="00887330" w:rsidP="00887330">
      <w:pPr>
        <w:pStyle w:val="Definition"/>
      </w:pPr>
      <w:r w:rsidRPr="00583E1A">
        <w:rPr>
          <w:b/>
          <w:i/>
        </w:rPr>
        <w:t>base interest rate</w:t>
      </w:r>
      <w:r w:rsidRPr="00583E1A">
        <w:t xml:space="preserve"> has the meaning given by section</w:t>
      </w:r>
      <w:r w:rsidR="00583E1A">
        <w:t> </w:t>
      </w:r>
      <w:r w:rsidRPr="00583E1A">
        <w:t xml:space="preserve">8AAD of the </w:t>
      </w:r>
      <w:r w:rsidRPr="00583E1A">
        <w:rPr>
          <w:i/>
        </w:rPr>
        <w:t>Taxation Administration Act 1953</w:t>
      </w:r>
      <w:r w:rsidRPr="00583E1A">
        <w:t>.</w:t>
      </w:r>
    </w:p>
    <w:p w:rsidR="00887330" w:rsidRPr="00583E1A" w:rsidRDefault="00887330" w:rsidP="008A179D">
      <w:pPr>
        <w:pStyle w:val="Definition"/>
      </w:pPr>
      <w:r w:rsidRPr="00583E1A">
        <w:rPr>
          <w:b/>
          <w:i/>
        </w:rPr>
        <w:t>base penalty amount</w:t>
      </w:r>
      <w:r w:rsidRPr="00583E1A">
        <w:t>: the base penalty amount for calculating the amount of an administrative penalty is worked out under the relevant provision in this table:</w:t>
      </w:r>
    </w:p>
    <w:p w:rsidR="00887330" w:rsidRPr="00583E1A" w:rsidRDefault="00887330" w:rsidP="008A179D">
      <w:pPr>
        <w:pStyle w:val="Table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708"/>
        <w:gridCol w:w="2977"/>
        <w:gridCol w:w="3425"/>
      </w:tblGrid>
      <w:tr w:rsidR="00887330" w:rsidRPr="00583E1A">
        <w:trPr>
          <w:cantSplit/>
          <w:tblHeader/>
        </w:trPr>
        <w:tc>
          <w:tcPr>
            <w:tcW w:w="7110" w:type="dxa"/>
            <w:gridSpan w:val="3"/>
            <w:tcBorders>
              <w:top w:val="single" w:sz="12" w:space="0" w:color="auto"/>
              <w:left w:val="nil"/>
              <w:bottom w:val="nil"/>
              <w:right w:val="nil"/>
            </w:tcBorders>
          </w:tcPr>
          <w:p w:rsidR="00887330" w:rsidRPr="00583E1A" w:rsidRDefault="00887330" w:rsidP="008A179D">
            <w:pPr>
              <w:pStyle w:val="Tabletext"/>
            </w:pPr>
            <w:r w:rsidRPr="00583E1A">
              <w:rPr>
                <w:b/>
                <w:i/>
              </w:rPr>
              <w:t>Base penalty amount</w:t>
            </w:r>
          </w:p>
        </w:tc>
      </w:tr>
      <w:tr w:rsidR="00887330" w:rsidRPr="00583E1A">
        <w:trPr>
          <w:cantSplit/>
          <w:tblHeader/>
        </w:trPr>
        <w:tc>
          <w:tcPr>
            <w:tcW w:w="708" w:type="dxa"/>
            <w:tcBorders>
              <w:top w:val="single" w:sz="6" w:space="0" w:color="auto"/>
              <w:left w:val="nil"/>
              <w:bottom w:val="single" w:sz="12" w:space="0" w:color="auto"/>
              <w:right w:val="nil"/>
            </w:tcBorders>
          </w:tcPr>
          <w:p w:rsidR="00887330" w:rsidRPr="00583E1A" w:rsidRDefault="00887330" w:rsidP="008A179D">
            <w:pPr>
              <w:pStyle w:val="Tabletext"/>
            </w:pPr>
            <w:r w:rsidRPr="00583E1A">
              <w:rPr>
                <w:b/>
              </w:rPr>
              <w:t>Item</w:t>
            </w:r>
          </w:p>
        </w:tc>
        <w:tc>
          <w:tcPr>
            <w:tcW w:w="2977" w:type="dxa"/>
            <w:tcBorders>
              <w:top w:val="single" w:sz="6" w:space="0" w:color="auto"/>
              <w:left w:val="nil"/>
              <w:bottom w:val="single" w:sz="12" w:space="0" w:color="auto"/>
              <w:right w:val="nil"/>
            </w:tcBorders>
          </w:tcPr>
          <w:p w:rsidR="00887330" w:rsidRPr="00583E1A" w:rsidRDefault="00887330" w:rsidP="008A179D">
            <w:pPr>
              <w:pStyle w:val="Tabletext"/>
            </w:pPr>
            <w:r w:rsidRPr="00583E1A">
              <w:rPr>
                <w:b/>
              </w:rPr>
              <w:t>For a penalty for this:</w:t>
            </w:r>
          </w:p>
        </w:tc>
        <w:tc>
          <w:tcPr>
            <w:tcW w:w="3425" w:type="dxa"/>
            <w:tcBorders>
              <w:top w:val="single" w:sz="6" w:space="0" w:color="auto"/>
              <w:left w:val="nil"/>
              <w:bottom w:val="single" w:sz="12" w:space="0" w:color="auto"/>
              <w:right w:val="nil"/>
            </w:tcBorders>
          </w:tcPr>
          <w:p w:rsidR="00887330" w:rsidRPr="00583E1A" w:rsidRDefault="00887330" w:rsidP="008A179D">
            <w:pPr>
              <w:pStyle w:val="Tabletext"/>
            </w:pPr>
            <w:r w:rsidRPr="00583E1A">
              <w:rPr>
                <w:b/>
              </w:rPr>
              <w:t>See:</w:t>
            </w:r>
          </w:p>
        </w:tc>
      </w:tr>
      <w:tr w:rsidR="00887330" w:rsidRPr="00583E1A">
        <w:trPr>
          <w:cantSplit/>
        </w:trPr>
        <w:tc>
          <w:tcPr>
            <w:tcW w:w="708" w:type="dxa"/>
            <w:tcBorders>
              <w:top w:val="single" w:sz="12" w:space="0" w:color="auto"/>
              <w:left w:val="nil"/>
              <w:bottom w:val="single" w:sz="2" w:space="0" w:color="auto"/>
              <w:right w:val="nil"/>
            </w:tcBorders>
            <w:shd w:val="clear" w:color="auto" w:fill="auto"/>
          </w:tcPr>
          <w:p w:rsidR="00887330" w:rsidRPr="00583E1A" w:rsidRDefault="00887330" w:rsidP="008A179D">
            <w:pPr>
              <w:pStyle w:val="Tabletext"/>
            </w:pPr>
            <w:r w:rsidRPr="00583E1A">
              <w:t>1</w:t>
            </w:r>
          </w:p>
        </w:tc>
        <w:tc>
          <w:tcPr>
            <w:tcW w:w="2977" w:type="dxa"/>
            <w:tcBorders>
              <w:top w:val="single" w:sz="12" w:space="0" w:color="auto"/>
              <w:left w:val="nil"/>
              <w:bottom w:val="single" w:sz="2" w:space="0" w:color="auto"/>
              <w:right w:val="nil"/>
            </w:tcBorders>
            <w:shd w:val="clear" w:color="auto" w:fill="auto"/>
          </w:tcPr>
          <w:p w:rsidR="00887330" w:rsidRPr="00583E1A" w:rsidRDefault="00887330" w:rsidP="008A179D">
            <w:pPr>
              <w:pStyle w:val="Tabletext"/>
            </w:pPr>
            <w:r w:rsidRPr="00583E1A">
              <w:t>False or misleading statement</w:t>
            </w:r>
          </w:p>
          <w:p w:rsidR="00887330" w:rsidRPr="00583E1A" w:rsidRDefault="00887330" w:rsidP="008A179D">
            <w:pPr>
              <w:pStyle w:val="Tabletext"/>
            </w:pPr>
            <w:r w:rsidRPr="00583E1A">
              <w:t>Position not reasonably arguable</w:t>
            </w:r>
          </w:p>
        </w:tc>
        <w:tc>
          <w:tcPr>
            <w:tcW w:w="3425" w:type="dxa"/>
            <w:tcBorders>
              <w:top w:val="single" w:sz="12" w:space="0" w:color="auto"/>
              <w:left w:val="nil"/>
              <w:bottom w:val="single" w:sz="2" w:space="0" w:color="auto"/>
              <w:right w:val="nil"/>
            </w:tcBorders>
            <w:shd w:val="clear" w:color="auto" w:fill="auto"/>
          </w:tcPr>
          <w:p w:rsidR="00887330" w:rsidRPr="00583E1A" w:rsidRDefault="00887330" w:rsidP="008A179D">
            <w:pPr>
              <w:pStyle w:val="Tabletext"/>
            </w:pPr>
            <w:r w:rsidRPr="00583E1A">
              <w:t>Section</w:t>
            </w:r>
            <w:r w:rsidR="00583E1A">
              <w:t> </w:t>
            </w:r>
            <w:r w:rsidRPr="00583E1A">
              <w:t>284</w:t>
            </w:r>
            <w:r w:rsidR="00583E1A">
              <w:noBreakHyphen/>
            </w:r>
            <w:r w:rsidRPr="00583E1A">
              <w:t>90 in Schedule</w:t>
            </w:r>
            <w:r w:rsidR="00583E1A">
              <w:t> </w:t>
            </w:r>
            <w:r w:rsidRPr="00583E1A">
              <w:t xml:space="preserve">1 to the </w:t>
            </w:r>
            <w:r w:rsidRPr="00583E1A">
              <w:rPr>
                <w:i/>
              </w:rPr>
              <w:t>Taxation Administration Act 1953</w:t>
            </w:r>
          </w:p>
        </w:tc>
      </w:tr>
      <w:tr w:rsidR="00887330" w:rsidRPr="00583E1A">
        <w:trPr>
          <w:cantSplit/>
        </w:trPr>
        <w:tc>
          <w:tcPr>
            <w:tcW w:w="708" w:type="dxa"/>
            <w:tcBorders>
              <w:top w:val="single" w:sz="2" w:space="0" w:color="auto"/>
              <w:left w:val="nil"/>
              <w:bottom w:val="single" w:sz="2" w:space="0" w:color="auto"/>
              <w:right w:val="nil"/>
            </w:tcBorders>
            <w:shd w:val="clear" w:color="auto" w:fill="auto"/>
          </w:tcPr>
          <w:p w:rsidR="00887330" w:rsidRPr="00583E1A" w:rsidRDefault="00887330" w:rsidP="008A179D">
            <w:pPr>
              <w:pStyle w:val="Tabletext"/>
            </w:pPr>
            <w:r w:rsidRPr="00583E1A">
              <w:t>2</w:t>
            </w:r>
          </w:p>
        </w:tc>
        <w:tc>
          <w:tcPr>
            <w:tcW w:w="2977" w:type="dxa"/>
            <w:tcBorders>
              <w:top w:val="single" w:sz="2" w:space="0" w:color="auto"/>
              <w:left w:val="nil"/>
              <w:bottom w:val="single" w:sz="2" w:space="0" w:color="auto"/>
              <w:right w:val="nil"/>
            </w:tcBorders>
            <w:shd w:val="clear" w:color="auto" w:fill="auto"/>
          </w:tcPr>
          <w:p w:rsidR="00887330" w:rsidRPr="00583E1A" w:rsidRDefault="00583E1A" w:rsidP="008A179D">
            <w:pPr>
              <w:pStyle w:val="Tabletext"/>
            </w:pPr>
            <w:r w:rsidRPr="00583E1A">
              <w:rPr>
                <w:position w:val="6"/>
                <w:sz w:val="16"/>
              </w:rPr>
              <w:t>*</w:t>
            </w:r>
            <w:r w:rsidR="00887330" w:rsidRPr="00583E1A">
              <w:t>Schemes</w:t>
            </w:r>
          </w:p>
        </w:tc>
        <w:tc>
          <w:tcPr>
            <w:tcW w:w="3425" w:type="dxa"/>
            <w:tcBorders>
              <w:top w:val="single" w:sz="2" w:space="0" w:color="auto"/>
              <w:left w:val="nil"/>
              <w:bottom w:val="single" w:sz="2" w:space="0" w:color="auto"/>
              <w:right w:val="nil"/>
            </w:tcBorders>
            <w:shd w:val="clear" w:color="auto" w:fill="auto"/>
          </w:tcPr>
          <w:p w:rsidR="00887330" w:rsidRPr="00583E1A" w:rsidRDefault="00887330" w:rsidP="008A179D">
            <w:pPr>
              <w:pStyle w:val="Tabletext"/>
            </w:pPr>
            <w:r w:rsidRPr="00583E1A">
              <w:t>Section</w:t>
            </w:r>
            <w:r w:rsidR="00583E1A">
              <w:t> </w:t>
            </w:r>
            <w:r w:rsidRPr="00583E1A">
              <w:t>284</w:t>
            </w:r>
            <w:r w:rsidR="00583E1A">
              <w:noBreakHyphen/>
            </w:r>
            <w:r w:rsidRPr="00583E1A">
              <w:t>160 in that Schedule</w:t>
            </w:r>
          </w:p>
        </w:tc>
      </w:tr>
      <w:tr w:rsidR="00887330" w:rsidRPr="00583E1A">
        <w:trPr>
          <w:cantSplit/>
        </w:trPr>
        <w:tc>
          <w:tcPr>
            <w:tcW w:w="708" w:type="dxa"/>
            <w:tcBorders>
              <w:top w:val="single" w:sz="2" w:space="0" w:color="auto"/>
              <w:left w:val="nil"/>
              <w:bottom w:val="single" w:sz="12" w:space="0" w:color="auto"/>
              <w:right w:val="nil"/>
            </w:tcBorders>
          </w:tcPr>
          <w:p w:rsidR="00887330" w:rsidRPr="00583E1A" w:rsidRDefault="00887330" w:rsidP="008A179D">
            <w:pPr>
              <w:pStyle w:val="Tabletext"/>
            </w:pPr>
            <w:r w:rsidRPr="00583E1A">
              <w:t>3</w:t>
            </w:r>
          </w:p>
        </w:tc>
        <w:tc>
          <w:tcPr>
            <w:tcW w:w="2977" w:type="dxa"/>
            <w:tcBorders>
              <w:top w:val="single" w:sz="2" w:space="0" w:color="auto"/>
              <w:left w:val="nil"/>
              <w:bottom w:val="single" w:sz="12" w:space="0" w:color="auto"/>
              <w:right w:val="nil"/>
            </w:tcBorders>
          </w:tcPr>
          <w:p w:rsidR="00887330" w:rsidRPr="00583E1A" w:rsidRDefault="00887330" w:rsidP="008A179D">
            <w:pPr>
              <w:pStyle w:val="Tabletext"/>
            </w:pPr>
            <w:r w:rsidRPr="00583E1A">
              <w:t>Failure to lodge returns etc.</w:t>
            </w:r>
          </w:p>
        </w:tc>
        <w:tc>
          <w:tcPr>
            <w:tcW w:w="3425" w:type="dxa"/>
            <w:tcBorders>
              <w:top w:val="single" w:sz="2" w:space="0" w:color="auto"/>
              <w:left w:val="nil"/>
              <w:bottom w:val="single" w:sz="12" w:space="0" w:color="auto"/>
              <w:right w:val="nil"/>
            </w:tcBorders>
          </w:tcPr>
          <w:p w:rsidR="00887330" w:rsidRPr="00583E1A" w:rsidRDefault="00887330" w:rsidP="008A179D">
            <w:pPr>
              <w:pStyle w:val="Tabletext"/>
            </w:pPr>
            <w:r w:rsidRPr="00583E1A">
              <w:t>Section</w:t>
            </w:r>
            <w:r w:rsidR="00583E1A">
              <w:t> </w:t>
            </w:r>
            <w:r w:rsidRPr="00583E1A">
              <w:t>286</w:t>
            </w:r>
            <w:r w:rsidR="00583E1A">
              <w:noBreakHyphen/>
            </w:r>
            <w:r w:rsidRPr="00583E1A">
              <w:t>80 in that Schedule</w:t>
            </w:r>
          </w:p>
        </w:tc>
      </w:tr>
    </w:tbl>
    <w:p w:rsidR="00320016" w:rsidRPr="005E19E0" w:rsidRDefault="00320016" w:rsidP="00320016">
      <w:pPr>
        <w:pStyle w:val="Definition"/>
      </w:pPr>
      <w:r w:rsidRPr="005E19E0">
        <w:rPr>
          <w:b/>
          <w:i/>
        </w:rPr>
        <w:t>base value</w:t>
      </w:r>
      <w:r w:rsidRPr="005E19E0">
        <w:t>:</w:t>
      </w:r>
    </w:p>
    <w:p w:rsidR="00320016" w:rsidRPr="005E19E0" w:rsidRDefault="00320016" w:rsidP="00320016">
      <w:pPr>
        <w:pStyle w:val="paragraph"/>
      </w:pPr>
      <w:r w:rsidRPr="005E19E0">
        <w:tab/>
        <w:t>(a)</w:t>
      </w:r>
      <w:r w:rsidRPr="005E19E0">
        <w:tab/>
        <w:t xml:space="preserve">of a </w:t>
      </w:r>
      <w:r w:rsidRPr="005E19E0">
        <w:rPr>
          <w:position w:val="6"/>
          <w:sz w:val="16"/>
        </w:rPr>
        <w:t>*</w:t>
      </w:r>
      <w:r w:rsidRPr="005E19E0">
        <w:t>depreciating asset—has the meaning given by subsection 40</w:t>
      </w:r>
      <w:r w:rsidRPr="005E19E0">
        <w:noBreakHyphen/>
        <w:t>70(1); and</w:t>
      </w:r>
    </w:p>
    <w:p w:rsidR="00320016" w:rsidRPr="005E19E0" w:rsidRDefault="00320016" w:rsidP="00320016">
      <w:pPr>
        <w:pStyle w:val="paragraph"/>
      </w:pPr>
      <w:r w:rsidRPr="005E19E0">
        <w:tab/>
        <w:t>(b)</w:t>
      </w:r>
      <w:r w:rsidRPr="005E19E0">
        <w:tab/>
        <w:t xml:space="preserve">of a </w:t>
      </w:r>
      <w:r w:rsidRPr="005E19E0">
        <w:rPr>
          <w:position w:val="6"/>
          <w:sz w:val="16"/>
        </w:rPr>
        <w:t>*</w:t>
      </w:r>
      <w:r w:rsidRPr="005E19E0">
        <w:t>starting base asset—has the meaning given by section 300</w:t>
      </w:r>
      <w:r w:rsidRPr="005E19E0">
        <w:noBreakHyphen/>
        <w:t xml:space="preserve">1 of the </w:t>
      </w:r>
      <w:r w:rsidRPr="005E19E0">
        <w:rPr>
          <w:i/>
        </w:rPr>
        <w:t>Minerals Resource Rent Tax Act 201</w:t>
      </w:r>
      <w:r>
        <w:rPr>
          <w:i/>
        </w:rPr>
        <w:t>2</w:t>
      </w:r>
      <w:r w:rsidRPr="005E19E0">
        <w:t>.</w:t>
      </w:r>
    </w:p>
    <w:p w:rsidR="00320016" w:rsidRPr="005E19E0" w:rsidRDefault="00320016" w:rsidP="00320016">
      <w:pPr>
        <w:pStyle w:val="Definition"/>
      </w:pPr>
      <w:r w:rsidRPr="005E19E0">
        <w:rPr>
          <w:b/>
          <w:i/>
        </w:rPr>
        <w:t>base year</w:t>
      </w:r>
      <w:r w:rsidRPr="005E19E0">
        <w:t>:</w:t>
      </w:r>
    </w:p>
    <w:p w:rsidR="00320016" w:rsidRPr="005E19E0" w:rsidRDefault="00320016" w:rsidP="00320016">
      <w:pPr>
        <w:pStyle w:val="paragraph"/>
      </w:pPr>
      <w:r w:rsidRPr="005E19E0">
        <w:tab/>
        <w:t>(a)</w:t>
      </w:r>
      <w:r w:rsidRPr="005E19E0">
        <w:tab/>
        <w:t xml:space="preserve">for an entitlement to a </w:t>
      </w:r>
      <w:r w:rsidRPr="005E19E0">
        <w:rPr>
          <w:position w:val="6"/>
          <w:sz w:val="16"/>
        </w:rPr>
        <w:t>*</w:t>
      </w:r>
      <w:r w:rsidRPr="005E19E0">
        <w:t>tax offset under Subdivision 61</w:t>
      </w:r>
      <w:r w:rsidRPr="005E19E0">
        <w:noBreakHyphen/>
        <w:t>I—has the meaning given by sections 61</w:t>
      </w:r>
      <w:r w:rsidRPr="005E19E0">
        <w:noBreakHyphen/>
        <w:t>430 and 61</w:t>
      </w:r>
      <w:r w:rsidRPr="005E19E0">
        <w:noBreakHyphen/>
        <w:t>450; and</w:t>
      </w:r>
    </w:p>
    <w:p w:rsidR="00320016" w:rsidRPr="005E19E0" w:rsidRDefault="00320016" w:rsidP="00320016">
      <w:pPr>
        <w:pStyle w:val="paragraph"/>
      </w:pPr>
      <w:r w:rsidRPr="005E19E0">
        <w:tab/>
        <w:t>(b)</w:t>
      </w:r>
      <w:r w:rsidRPr="005E19E0">
        <w:tab/>
        <w:t>in relation to an income year—has the meaning given by sections 45</w:t>
      </w:r>
      <w:r w:rsidRPr="005E19E0">
        <w:noBreakHyphen/>
        <w:t>320 and 45</w:t>
      </w:r>
      <w:r w:rsidRPr="005E19E0">
        <w:noBreakHyphen/>
        <w:t xml:space="preserve">470 in Schedule 1 to the </w:t>
      </w:r>
      <w:r w:rsidRPr="005E19E0">
        <w:rPr>
          <w:i/>
        </w:rPr>
        <w:t>Taxation Administration Act 1953</w:t>
      </w:r>
      <w:r w:rsidRPr="005E19E0">
        <w:t>; and</w:t>
      </w:r>
    </w:p>
    <w:p w:rsidR="00320016" w:rsidRPr="005E19E0" w:rsidRDefault="00320016" w:rsidP="00320016">
      <w:pPr>
        <w:pStyle w:val="paragraph"/>
      </w:pPr>
      <w:r w:rsidRPr="005E19E0">
        <w:tab/>
        <w:t>(c)</w:t>
      </w:r>
      <w:r w:rsidRPr="005E19E0">
        <w:tab/>
        <w:t xml:space="preserve">in relation to an </w:t>
      </w:r>
      <w:r w:rsidRPr="005E19E0">
        <w:rPr>
          <w:position w:val="6"/>
          <w:sz w:val="16"/>
        </w:rPr>
        <w:t>*</w:t>
      </w:r>
      <w:r w:rsidRPr="005E19E0">
        <w:t>MRRT year—has the meaning given by subsection 115</w:t>
      </w:r>
      <w:r w:rsidRPr="005E19E0">
        <w:noBreakHyphen/>
        <w:t xml:space="preserve">75(3) in Schedule 1 to the </w:t>
      </w:r>
      <w:r w:rsidRPr="005E19E0">
        <w:rPr>
          <w:i/>
        </w:rPr>
        <w:t>Taxation Administration Act 1953</w:t>
      </w:r>
      <w:r w:rsidRPr="005E19E0">
        <w:t>.</w:t>
      </w:r>
    </w:p>
    <w:p w:rsidR="00887330" w:rsidRPr="00583E1A" w:rsidRDefault="00887330" w:rsidP="00887330">
      <w:pPr>
        <w:pStyle w:val="Definition"/>
      </w:pPr>
      <w:r w:rsidRPr="00583E1A">
        <w:rPr>
          <w:b/>
          <w:i/>
        </w:rPr>
        <w:t>basic assessable income</w:t>
      </w:r>
      <w:r w:rsidRPr="00583E1A">
        <w:t xml:space="preserve"> has the meaning given by subsection 392</w:t>
      </w:r>
      <w:r w:rsidR="00583E1A">
        <w:noBreakHyphen/>
      </w:r>
      <w:r w:rsidRPr="00583E1A">
        <w:t>45(2).</w:t>
      </w:r>
    </w:p>
    <w:p w:rsidR="00887330" w:rsidRPr="00583E1A" w:rsidRDefault="00887330" w:rsidP="00887330">
      <w:pPr>
        <w:pStyle w:val="Definition"/>
      </w:pPr>
      <w:r w:rsidRPr="00583E1A">
        <w:rPr>
          <w:b/>
          <w:i/>
        </w:rPr>
        <w:lastRenderedPageBreak/>
        <w:t xml:space="preserve">basic rates </w:t>
      </w:r>
      <w:r w:rsidRPr="00583E1A">
        <w:t>has the meaning given by subsection 392</w:t>
      </w:r>
      <w:r w:rsidR="00583E1A">
        <w:noBreakHyphen/>
      </w:r>
      <w:r w:rsidRPr="00583E1A">
        <w:t>35(4).</w:t>
      </w:r>
    </w:p>
    <w:p w:rsidR="00887330" w:rsidRPr="00583E1A" w:rsidRDefault="00887330" w:rsidP="00887330">
      <w:pPr>
        <w:pStyle w:val="Definition"/>
      </w:pPr>
      <w:r w:rsidRPr="00583E1A">
        <w:rPr>
          <w:b/>
          <w:i/>
        </w:rPr>
        <w:t>basic taxable income</w:t>
      </w:r>
      <w:r w:rsidRPr="00583E1A">
        <w:t xml:space="preserve"> has the meaning given by section</w:t>
      </w:r>
      <w:r w:rsidR="00583E1A">
        <w:t> </w:t>
      </w:r>
      <w:r w:rsidRPr="00583E1A">
        <w:t>392</w:t>
      </w:r>
      <w:r w:rsidR="00583E1A">
        <w:noBreakHyphen/>
      </w:r>
      <w:r w:rsidRPr="00583E1A">
        <w:t>15.</w:t>
      </w:r>
    </w:p>
    <w:p w:rsidR="00E62DE1" w:rsidRPr="00583E1A" w:rsidRDefault="00E62DE1" w:rsidP="00E62DE1">
      <w:pPr>
        <w:pStyle w:val="Definition"/>
      </w:pPr>
      <w:r w:rsidRPr="00583E1A">
        <w:rPr>
          <w:b/>
          <w:i/>
        </w:rPr>
        <w:t>BAS provisions</w:t>
      </w:r>
      <w:r w:rsidRPr="00583E1A">
        <w:t xml:space="preserve"> means:</w:t>
      </w:r>
    </w:p>
    <w:p w:rsidR="00E62DE1" w:rsidRPr="00583E1A" w:rsidRDefault="00E62DE1" w:rsidP="00E62DE1">
      <w:pPr>
        <w:pStyle w:val="paragraph"/>
      </w:pPr>
      <w:r w:rsidRPr="00583E1A">
        <w:tab/>
        <w:t>(a)</w:t>
      </w:r>
      <w:r w:rsidRPr="00583E1A">
        <w:tab/>
        <w:t>Part</w:t>
      </w:r>
      <w:r w:rsidR="00583E1A">
        <w:t> </w:t>
      </w:r>
      <w:r w:rsidRPr="00583E1A">
        <w:t xml:space="preserve">VII of the </w:t>
      </w:r>
      <w:r w:rsidRPr="00583E1A">
        <w:rPr>
          <w:i/>
        </w:rPr>
        <w:t>Fringe Benefits Tax Assessment Act 1986</w:t>
      </w:r>
      <w:r w:rsidRPr="00583E1A">
        <w:t>; and</w:t>
      </w:r>
    </w:p>
    <w:p w:rsidR="00E62DE1" w:rsidRPr="00583E1A" w:rsidRDefault="00E62DE1" w:rsidP="00E62DE1">
      <w:pPr>
        <w:pStyle w:val="paragraph"/>
      </w:pPr>
      <w:r w:rsidRPr="00583E1A">
        <w:tab/>
        <w:t>(b)</w:t>
      </w:r>
      <w:r w:rsidRPr="00583E1A">
        <w:tab/>
        <w:t xml:space="preserve">the </w:t>
      </w:r>
      <w:r w:rsidR="00583E1A" w:rsidRPr="00583E1A">
        <w:rPr>
          <w:position w:val="6"/>
          <w:sz w:val="16"/>
        </w:rPr>
        <w:t>*</w:t>
      </w:r>
      <w:r w:rsidRPr="00583E1A">
        <w:t>indirect tax law; and</w:t>
      </w:r>
    </w:p>
    <w:p w:rsidR="00E62DE1" w:rsidRPr="00583E1A" w:rsidRDefault="00E62DE1" w:rsidP="00E62DE1">
      <w:pPr>
        <w:pStyle w:val="paragraph"/>
      </w:pPr>
      <w:r w:rsidRPr="00583E1A">
        <w:tab/>
        <w:t>(c)</w:t>
      </w:r>
      <w:r w:rsidRPr="00583E1A">
        <w:tab/>
        <w:t>Parts</w:t>
      </w:r>
      <w:r w:rsidR="00583E1A">
        <w:t> </w:t>
      </w:r>
      <w:r w:rsidRPr="00583E1A">
        <w:t>2</w:t>
      </w:r>
      <w:r w:rsidR="00583E1A">
        <w:noBreakHyphen/>
      </w:r>
      <w:r w:rsidRPr="00583E1A">
        <w:t>5 and 2</w:t>
      </w:r>
      <w:r w:rsidR="00583E1A">
        <w:noBreakHyphen/>
      </w:r>
      <w:r w:rsidRPr="00583E1A">
        <w:t>10 in Schedule</w:t>
      </w:r>
      <w:r w:rsidR="00583E1A">
        <w:t> </w:t>
      </w:r>
      <w:r w:rsidRPr="00583E1A">
        <w:t xml:space="preserve">1 to the </w:t>
      </w:r>
      <w:r w:rsidRPr="00583E1A">
        <w:rPr>
          <w:i/>
        </w:rPr>
        <w:t>Taxation Administration Act 1953</w:t>
      </w:r>
      <w:r w:rsidRPr="00583E1A">
        <w:t xml:space="preserve"> (which are about the PAYG system).</w:t>
      </w:r>
    </w:p>
    <w:p w:rsidR="00E62DE1" w:rsidRPr="00583E1A" w:rsidRDefault="00E62DE1" w:rsidP="00E62DE1">
      <w:pPr>
        <w:pStyle w:val="notetext"/>
      </w:pPr>
      <w:r w:rsidRPr="00583E1A">
        <w:t>Note:</w:t>
      </w:r>
      <w:r w:rsidRPr="00583E1A">
        <w:tab/>
        <w:t>BAS stands for Business Activity Statement.</w:t>
      </w:r>
    </w:p>
    <w:p w:rsidR="00887330" w:rsidRPr="00583E1A" w:rsidRDefault="00887330" w:rsidP="00887330">
      <w:pPr>
        <w:pStyle w:val="Definition"/>
      </w:pPr>
      <w:r w:rsidRPr="00583E1A">
        <w:rPr>
          <w:b/>
          <w:i/>
        </w:rPr>
        <w:t xml:space="preserve">behaviour that is harmful or abusive </w:t>
      </w:r>
      <w:r w:rsidRPr="00583E1A">
        <w:t>means one or more of the following:</w:t>
      </w:r>
    </w:p>
    <w:p w:rsidR="00887330" w:rsidRPr="00583E1A" w:rsidRDefault="00887330" w:rsidP="00887330">
      <w:pPr>
        <w:pStyle w:val="paragraph"/>
      </w:pPr>
      <w:r w:rsidRPr="00583E1A">
        <w:tab/>
        <w:t>(a)</w:t>
      </w:r>
      <w:r w:rsidRPr="00583E1A">
        <w:tab/>
        <w:t>emotional abuse;</w:t>
      </w:r>
    </w:p>
    <w:p w:rsidR="00887330" w:rsidRPr="00583E1A" w:rsidRDefault="00887330" w:rsidP="00887330">
      <w:pPr>
        <w:pStyle w:val="paragraph"/>
      </w:pPr>
      <w:r w:rsidRPr="00583E1A">
        <w:tab/>
        <w:t>(b)</w:t>
      </w:r>
      <w:r w:rsidRPr="00583E1A">
        <w:tab/>
        <w:t>sexual abuse;</w:t>
      </w:r>
    </w:p>
    <w:p w:rsidR="00887330" w:rsidRPr="00583E1A" w:rsidRDefault="00887330" w:rsidP="00887330">
      <w:pPr>
        <w:pStyle w:val="paragraph"/>
      </w:pPr>
      <w:r w:rsidRPr="00583E1A">
        <w:tab/>
        <w:t>(c)</w:t>
      </w:r>
      <w:r w:rsidRPr="00583E1A">
        <w:tab/>
        <w:t>physical abuse;</w:t>
      </w:r>
    </w:p>
    <w:p w:rsidR="00887330" w:rsidRPr="00583E1A" w:rsidRDefault="00887330" w:rsidP="00887330">
      <w:pPr>
        <w:pStyle w:val="paragraph"/>
      </w:pPr>
      <w:r w:rsidRPr="00583E1A">
        <w:tab/>
        <w:t>(d)</w:t>
      </w:r>
      <w:r w:rsidRPr="00583E1A">
        <w:tab/>
        <w:t>suicide;</w:t>
      </w:r>
    </w:p>
    <w:p w:rsidR="00887330" w:rsidRPr="00583E1A" w:rsidRDefault="00887330" w:rsidP="00887330">
      <w:pPr>
        <w:pStyle w:val="paragraph"/>
      </w:pPr>
      <w:r w:rsidRPr="00583E1A">
        <w:tab/>
        <w:t>(e)</w:t>
      </w:r>
      <w:r w:rsidRPr="00583E1A">
        <w:tab/>
        <w:t>self</w:t>
      </w:r>
      <w:r w:rsidR="00583E1A">
        <w:noBreakHyphen/>
      </w:r>
      <w:r w:rsidRPr="00583E1A">
        <w:t>harm;</w:t>
      </w:r>
    </w:p>
    <w:p w:rsidR="00887330" w:rsidRPr="00583E1A" w:rsidRDefault="00887330" w:rsidP="00887330">
      <w:pPr>
        <w:pStyle w:val="paragraph"/>
      </w:pPr>
      <w:r w:rsidRPr="00583E1A">
        <w:tab/>
        <w:t>(f)</w:t>
      </w:r>
      <w:r w:rsidRPr="00583E1A">
        <w:tab/>
        <w:t>substance abuse;</w:t>
      </w:r>
    </w:p>
    <w:p w:rsidR="00887330" w:rsidRPr="00583E1A" w:rsidRDefault="00887330" w:rsidP="00887330">
      <w:pPr>
        <w:pStyle w:val="paragraph"/>
      </w:pPr>
      <w:r w:rsidRPr="00583E1A">
        <w:tab/>
        <w:t>(g)</w:t>
      </w:r>
      <w:r w:rsidRPr="00583E1A">
        <w:tab/>
        <w:t>harmful gambling.</w:t>
      </w:r>
    </w:p>
    <w:p w:rsidR="00887330" w:rsidRPr="00583E1A" w:rsidRDefault="00887330" w:rsidP="00887330">
      <w:pPr>
        <w:pStyle w:val="Definition"/>
      </w:pPr>
      <w:r w:rsidRPr="00583E1A">
        <w:rPr>
          <w:b/>
          <w:i/>
        </w:rPr>
        <w:t>benchmark franking percentage</w:t>
      </w:r>
      <w:r w:rsidRPr="00583E1A">
        <w:t xml:space="preserve"> has the meaning given by section</w:t>
      </w:r>
      <w:r w:rsidR="00583E1A">
        <w:t> </w:t>
      </w:r>
      <w:r w:rsidRPr="00583E1A">
        <w:t>203</w:t>
      </w:r>
      <w:r w:rsidR="00583E1A">
        <w:noBreakHyphen/>
      </w:r>
      <w:r w:rsidRPr="00583E1A">
        <w:t>30.</w:t>
      </w:r>
    </w:p>
    <w:p w:rsidR="005B3EFF" w:rsidRPr="005E19E0" w:rsidRDefault="005B3EFF" w:rsidP="005B3EFF">
      <w:pPr>
        <w:pStyle w:val="Definition"/>
      </w:pPr>
      <w:r w:rsidRPr="005E19E0">
        <w:rPr>
          <w:b/>
          <w:i/>
        </w:rPr>
        <w:t>benchmark instalment rate</w:t>
      </w:r>
      <w:r w:rsidRPr="005E19E0">
        <w:t>:</w:t>
      </w:r>
    </w:p>
    <w:p w:rsidR="005B3EFF" w:rsidRPr="005E19E0" w:rsidRDefault="005B3EFF" w:rsidP="005B3EFF">
      <w:pPr>
        <w:pStyle w:val="paragraph"/>
      </w:pPr>
      <w:r w:rsidRPr="005E19E0">
        <w:tab/>
        <w:t>(a)</w:t>
      </w:r>
      <w:r w:rsidRPr="005E19E0">
        <w:tab/>
        <w:t>in relation to an income year—has the meaning given by sections 45</w:t>
      </w:r>
      <w:r w:rsidRPr="005E19E0">
        <w:noBreakHyphen/>
        <w:t>360 and 45</w:t>
      </w:r>
      <w:r w:rsidRPr="005E19E0">
        <w:noBreakHyphen/>
        <w:t xml:space="preserve">530 in Schedule 1 to the </w:t>
      </w:r>
      <w:r w:rsidRPr="005E19E0">
        <w:rPr>
          <w:i/>
        </w:rPr>
        <w:t>Taxation Administration Act 1953</w:t>
      </w:r>
      <w:r w:rsidRPr="005E19E0">
        <w:t>; and</w:t>
      </w:r>
    </w:p>
    <w:p w:rsidR="005B3EFF" w:rsidRPr="005E19E0" w:rsidRDefault="005B3EFF" w:rsidP="005B3EFF">
      <w:pPr>
        <w:pStyle w:val="paragraph"/>
      </w:pPr>
      <w:r w:rsidRPr="005E19E0">
        <w:tab/>
        <w:t>(b)</w:t>
      </w:r>
      <w:r w:rsidRPr="005E19E0">
        <w:tab/>
        <w:t xml:space="preserve">in relation to an </w:t>
      </w:r>
      <w:r w:rsidRPr="005E19E0">
        <w:rPr>
          <w:position w:val="6"/>
          <w:sz w:val="16"/>
        </w:rPr>
        <w:t>*</w:t>
      </w:r>
      <w:r w:rsidRPr="005E19E0">
        <w:t>MRRT year—has the meaning given by section 115</w:t>
      </w:r>
      <w:r w:rsidRPr="005E19E0">
        <w:noBreakHyphen/>
        <w:t xml:space="preserve">70 in Schedule 1 to the </w:t>
      </w:r>
      <w:r w:rsidRPr="005E19E0">
        <w:rPr>
          <w:i/>
        </w:rPr>
        <w:t>Taxation Administration Act 1953</w:t>
      </w:r>
      <w:r w:rsidRPr="005E19E0">
        <w:t>.</w:t>
      </w:r>
    </w:p>
    <w:p w:rsidR="00887330" w:rsidRPr="00583E1A" w:rsidRDefault="00887330" w:rsidP="00887330">
      <w:pPr>
        <w:pStyle w:val="Definition"/>
      </w:pPr>
      <w:r w:rsidRPr="00583E1A">
        <w:rPr>
          <w:b/>
          <w:i/>
        </w:rPr>
        <w:t>benchmark rate of return</w:t>
      </w:r>
      <w:r w:rsidRPr="00583E1A">
        <w:t xml:space="preserve"> for an interest has the meaning given by section</w:t>
      </w:r>
      <w:r w:rsidR="00583E1A">
        <w:t> </w:t>
      </w:r>
      <w:r w:rsidRPr="00583E1A">
        <w:t>974</w:t>
      </w:r>
      <w:r w:rsidR="00583E1A">
        <w:noBreakHyphen/>
      </w:r>
      <w:r w:rsidRPr="00583E1A">
        <w:t>145.</w:t>
      </w:r>
    </w:p>
    <w:p w:rsidR="00887330" w:rsidRPr="00583E1A" w:rsidRDefault="00887330" w:rsidP="00887330">
      <w:pPr>
        <w:pStyle w:val="Definition"/>
      </w:pPr>
      <w:r w:rsidRPr="00583E1A">
        <w:rPr>
          <w:b/>
          <w:i/>
        </w:rPr>
        <w:t>benchmark rule</w:t>
      </w:r>
      <w:r w:rsidRPr="00583E1A">
        <w:t xml:space="preserve"> is the rule in section</w:t>
      </w:r>
      <w:r w:rsidR="00583E1A">
        <w:t> </w:t>
      </w:r>
      <w:r w:rsidRPr="00583E1A">
        <w:t>203</w:t>
      </w:r>
      <w:r w:rsidR="00583E1A">
        <w:noBreakHyphen/>
      </w:r>
      <w:r w:rsidRPr="00583E1A">
        <w:t>25.</w:t>
      </w:r>
    </w:p>
    <w:p w:rsidR="00887330" w:rsidRPr="00583E1A" w:rsidRDefault="00887330" w:rsidP="00887330">
      <w:pPr>
        <w:pStyle w:val="Definition"/>
      </w:pPr>
      <w:r w:rsidRPr="00583E1A">
        <w:rPr>
          <w:b/>
          <w:i/>
        </w:rPr>
        <w:t>benchmark tax</w:t>
      </w:r>
      <w:r w:rsidRPr="00583E1A">
        <w:t xml:space="preserve"> has the meaning given by sections</w:t>
      </w:r>
      <w:r w:rsidR="00583E1A">
        <w:t> </w:t>
      </w:r>
      <w:r w:rsidRPr="00583E1A">
        <w:t>45</w:t>
      </w:r>
      <w:r w:rsidR="00583E1A">
        <w:noBreakHyphen/>
      </w:r>
      <w:r w:rsidRPr="00583E1A">
        <w:t>365 and 45</w:t>
      </w:r>
      <w:r w:rsidR="00583E1A">
        <w:noBreakHyphen/>
      </w:r>
      <w:r w:rsidRPr="00583E1A">
        <w:t>535 in Schedule</w:t>
      </w:r>
      <w:r w:rsidR="00583E1A">
        <w:t> </w:t>
      </w:r>
      <w:r w:rsidRPr="00583E1A">
        <w:t xml:space="preserve">1 to the </w:t>
      </w:r>
      <w:r w:rsidRPr="00583E1A">
        <w:rPr>
          <w:i/>
        </w:rPr>
        <w:t>Taxation Administration Act 1953</w:t>
      </w:r>
      <w:r w:rsidRPr="00583E1A">
        <w:t>.</w:t>
      </w:r>
    </w:p>
    <w:p w:rsidR="00887330" w:rsidRPr="00583E1A" w:rsidRDefault="00887330" w:rsidP="00887330">
      <w:pPr>
        <w:pStyle w:val="Definition"/>
      </w:pPr>
      <w:r w:rsidRPr="00583E1A">
        <w:rPr>
          <w:b/>
          <w:i/>
        </w:rPr>
        <w:lastRenderedPageBreak/>
        <w:t>bereavement Subdivision</w:t>
      </w:r>
      <w:r w:rsidRPr="00583E1A">
        <w:t xml:space="preserve"> has the meaning given by section</w:t>
      </w:r>
      <w:r w:rsidR="00583E1A">
        <w:t> </w:t>
      </w:r>
      <w:r w:rsidRPr="00583E1A">
        <w:t>52</w:t>
      </w:r>
      <w:r w:rsidR="00583E1A">
        <w:noBreakHyphen/>
      </w:r>
      <w:r w:rsidRPr="00583E1A">
        <w:t>20.</w:t>
      </w:r>
    </w:p>
    <w:p w:rsidR="00887330" w:rsidRPr="00583E1A" w:rsidRDefault="00887330" w:rsidP="00887330">
      <w:pPr>
        <w:pStyle w:val="Definition"/>
      </w:pPr>
      <w:r w:rsidRPr="00583E1A">
        <w:rPr>
          <w:b/>
          <w:i/>
        </w:rPr>
        <w:t>bid period</w:t>
      </w:r>
      <w:r w:rsidRPr="00583E1A">
        <w:t xml:space="preserve"> has the meaning given by section</w:t>
      </w:r>
      <w:r w:rsidR="00583E1A">
        <w:t> </w:t>
      </w:r>
      <w:r w:rsidRPr="00583E1A">
        <w:t xml:space="preserve">9 of the </w:t>
      </w:r>
      <w:r w:rsidRPr="00583E1A">
        <w:rPr>
          <w:i/>
        </w:rPr>
        <w:t>Corporations Act 2001</w:t>
      </w:r>
      <w:r w:rsidRPr="00583E1A">
        <w:t>.</w:t>
      </w:r>
    </w:p>
    <w:p w:rsidR="00887330" w:rsidRPr="00583E1A" w:rsidRDefault="00887330" w:rsidP="00887330">
      <w:pPr>
        <w:pStyle w:val="Definition"/>
      </w:pPr>
      <w:r w:rsidRPr="00583E1A">
        <w:rPr>
          <w:b/>
          <w:i/>
        </w:rPr>
        <w:t>borrowed securities amount</w:t>
      </w:r>
      <w:r w:rsidRPr="00583E1A">
        <w:t xml:space="preserve"> of an entity at a particular time means the total of the liabilities of the entity, to the extent that they meet these conditions:</w:t>
      </w:r>
    </w:p>
    <w:p w:rsidR="00887330" w:rsidRPr="00583E1A" w:rsidRDefault="00887330" w:rsidP="00887330">
      <w:pPr>
        <w:pStyle w:val="paragraph"/>
      </w:pPr>
      <w:r w:rsidRPr="00583E1A">
        <w:tab/>
        <w:t>(</w:t>
      </w:r>
      <w:r w:rsidRPr="00583E1A">
        <w:rPr>
          <w:noProof/>
        </w:rPr>
        <w:t>a</w:t>
      </w:r>
      <w:r w:rsidRPr="00583E1A">
        <w:t>)</w:t>
      </w:r>
      <w:r w:rsidRPr="00583E1A">
        <w:tab/>
        <w:t>the value of the liability at that time is worked out by reference to the value at that time of securities that the entity has short sold;</w:t>
      </w:r>
    </w:p>
    <w:p w:rsidR="00887330" w:rsidRPr="00583E1A" w:rsidRDefault="00887330" w:rsidP="00887330">
      <w:pPr>
        <w:pStyle w:val="paragraph"/>
      </w:pPr>
      <w:r w:rsidRPr="00583E1A">
        <w:tab/>
        <w:t>(</w:t>
      </w:r>
      <w:r w:rsidRPr="00583E1A">
        <w:rPr>
          <w:noProof/>
        </w:rPr>
        <w:t>b</w:t>
      </w:r>
      <w:r w:rsidRPr="00583E1A">
        <w:t>)</w:t>
      </w:r>
      <w:r w:rsidRPr="00583E1A">
        <w:tab/>
        <w:t xml:space="preserve">as at that time, the entity has settled the sale using securities it acquired under one or more of these </w:t>
      </w:r>
      <w:r w:rsidR="00583E1A" w:rsidRPr="00583E1A">
        <w:rPr>
          <w:position w:val="6"/>
          <w:sz w:val="16"/>
        </w:rPr>
        <w:t>*</w:t>
      </w:r>
      <w:r w:rsidRPr="00583E1A">
        <w:t>arrangements:</w:t>
      </w:r>
    </w:p>
    <w:p w:rsidR="00887330" w:rsidRPr="00583E1A" w:rsidRDefault="00887330" w:rsidP="00887330">
      <w:pPr>
        <w:pStyle w:val="paragraphsub"/>
      </w:pPr>
      <w:r w:rsidRPr="00583E1A">
        <w:tab/>
        <w:t>(</w:t>
      </w:r>
      <w:r w:rsidRPr="00583E1A">
        <w:rPr>
          <w:noProof/>
        </w:rPr>
        <w:t>i</w:t>
      </w:r>
      <w:r w:rsidRPr="00583E1A">
        <w:t>)</w:t>
      </w:r>
      <w:r w:rsidRPr="00583E1A">
        <w:tab/>
        <w:t>a reciprocal purchase agreement (otherwise known as a repurchase agreement);</w:t>
      </w:r>
    </w:p>
    <w:p w:rsidR="00887330" w:rsidRPr="00583E1A" w:rsidRDefault="00887330" w:rsidP="00887330">
      <w:pPr>
        <w:pStyle w:val="paragraphsub"/>
      </w:pPr>
      <w:r w:rsidRPr="00583E1A">
        <w:tab/>
        <w:t>(</w:t>
      </w:r>
      <w:r w:rsidRPr="00583E1A">
        <w:rPr>
          <w:noProof/>
        </w:rPr>
        <w:t>ii</w:t>
      </w:r>
      <w:r w:rsidRPr="00583E1A">
        <w:t>)</w:t>
      </w:r>
      <w:r w:rsidRPr="00583E1A">
        <w:tab/>
        <w:t>a sell</w:t>
      </w:r>
      <w:r w:rsidR="00583E1A">
        <w:noBreakHyphen/>
      </w:r>
      <w:r w:rsidRPr="00583E1A">
        <w:t>buyback arrangement;</w:t>
      </w:r>
    </w:p>
    <w:p w:rsidR="00887330" w:rsidRPr="00583E1A" w:rsidRDefault="00887330" w:rsidP="00887330">
      <w:pPr>
        <w:pStyle w:val="paragraphsub"/>
      </w:pPr>
      <w:r w:rsidRPr="00583E1A">
        <w:tab/>
        <w:t>(</w:t>
      </w:r>
      <w:r w:rsidRPr="00583E1A">
        <w:rPr>
          <w:noProof/>
        </w:rPr>
        <w:t>iii</w:t>
      </w:r>
      <w:r w:rsidRPr="00583E1A">
        <w:t>)</w:t>
      </w:r>
      <w:r w:rsidRPr="00583E1A">
        <w:tab/>
        <w:t>a securities loan arrangement.</w:t>
      </w:r>
    </w:p>
    <w:p w:rsidR="00887330" w:rsidRPr="00583E1A" w:rsidRDefault="00887330" w:rsidP="00F13347">
      <w:pPr>
        <w:pStyle w:val="Definition"/>
        <w:keepNext/>
        <w:keepLines/>
      </w:pPr>
      <w:r w:rsidRPr="00583E1A">
        <w:rPr>
          <w:b/>
          <w:i/>
        </w:rPr>
        <w:t>borrowing</w:t>
      </w:r>
      <w:r w:rsidRPr="00583E1A">
        <w:t xml:space="preserve"> means any form of borrowing, whether secured or unsecured, and includes the raising of funds by the issue of a bond, debenture, discounted security or other document evidencing indebtedness.</w:t>
      </w:r>
    </w:p>
    <w:p w:rsidR="00887330" w:rsidRPr="00583E1A" w:rsidRDefault="00887330" w:rsidP="00887330">
      <w:pPr>
        <w:pStyle w:val="Definition"/>
        <w:rPr>
          <w:b/>
          <w:i/>
        </w:rPr>
      </w:pPr>
      <w:r w:rsidRPr="00583E1A">
        <w:rPr>
          <w:b/>
          <w:i/>
        </w:rPr>
        <w:t>bribe to a foreign public official</w:t>
      </w:r>
      <w:r w:rsidRPr="00583E1A">
        <w:t xml:space="preserve"> has the meaning given by section</w:t>
      </w:r>
      <w:r w:rsidR="00583E1A">
        <w:t> </w:t>
      </w:r>
      <w:r w:rsidRPr="00583E1A">
        <w:t>26</w:t>
      </w:r>
      <w:r w:rsidR="00583E1A">
        <w:noBreakHyphen/>
      </w:r>
      <w:r w:rsidRPr="00583E1A">
        <w:t>52.</w:t>
      </w:r>
    </w:p>
    <w:p w:rsidR="00887330" w:rsidRPr="00583E1A" w:rsidRDefault="00887330" w:rsidP="00887330">
      <w:pPr>
        <w:pStyle w:val="Definition"/>
      </w:pPr>
      <w:r w:rsidRPr="00583E1A">
        <w:rPr>
          <w:b/>
          <w:i/>
        </w:rPr>
        <w:t>bribe to a public official</w:t>
      </w:r>
      <w:r w:rsidRPr="00583E1A">
        <w:t xml:space="preserve"> has the meaning given by section</w:t>
      </w:r>
      <w:r w:rsidR="00583E1A">
        <w:t> </w:t>
      </w:r>
      <w:r w:rsidRPr="00583E1A">
        <w:t>26</w:t>
      </w:r>
      <w:r w:rsidR="00583E1A">
        <w:noBreakHyphen/>
      </w:r>
      <w:r w:rsidRPr="00583E1A">
        <w:t>53.</w:t>
      </w:r>
    </w:p>
    <w:p w:rsidR="00887330" w:rsidRPr="00583E1A" w:rsidRDefault="00887330" w:rsidP="00887330">
      <w:pPr>
        <w:pStyle w:val="Definition"/>
      </w:pPr>
      <w:r w:rsidRPr="00583E1A">
        <w:rPr>
          <w:b/>
          <w:i/>
        </w:rPr>
        <w:t>bundle</w:t>
      </w:r>
      <w:r w:rsidRPr="00583E1A">
        <w:t xml:space="preserve"> of losses has the meaning given by section</w:t>
      </w:r>
      <w:r w:rsidR="00583E1A">
        <w:t> </w:t>
      </w:r>
      <w:r w:rsidRPr="00583E1A">
        <w:t>707</w:t>
      </w:r>
      <w:r w:rsidR="00583E1A">
        <w:noBreakHyphen/>
      </w:r>
      <w:r w:rsidRPr="00583E1A">
        <w:t>315.</w:t>
      </w:r>
    </w:p>
    <w:p w:rsidR="00887330" w:rsidRPr="00583E1A" w:rsidRDefault="00887330" w:rsidP="00887330">
      <w:pPr>
        <w:pStyle w:val="Definition"/>
      </w:pPr>
      <w:r w:rsidRPr="00583E1A">
        <w:rPr>
          <w:b/>
          <w:i/>
        </w:rPr>
        <w:t>business</w:t>
      </w:r>
      <w:r w:rsidRPr="00583E1A">
        <w:t xml:space="preserve"> includes any profession, trade, employment, vocation or calling, but does not include occupation as an employee.</w:t>
      </w:r>
    </w:p>
    <w:p w:rsidR="00887330" w:rsidRPr="00583E1A" w:rsidRDefault="00887330" w:rsidP="00887330">
      <w:pPr>
        <w:pStyle w:val="Definition"/>
      </w:pPr>
      <w:r w:rsidRPr="00583E1A">
        <w:rPr>
          <w:b/>
          <w:i/>
        </w:rPr>
        <w:t>business day</w:t>
      </w:r>
      <w:r w:rsidRPr="00583E1A">
        <w:t xml:space="preserve"> means a day other than:</w:t>
      </w:r>
    </w:p>
    <w:p w:rsidR="00887330" w:rsidRPr="00583E1A" w:rsidRDefault="00887330" w:rsidP="00887330">
      <w:pPr>
        <w:pStyle w:val="paragraph"/>
      </w:pPr>
      <w:r w:rsidRPr="00583E1A">
        <w:tab/>
        <w:t>(a)</w:t>
      </w:r>
      <w:r w:rsidRPr="00583E1A">
        <w:tab/>
        <w:t>a Saturday or a Sunday; or</w:t>
      </w:r>
    </w:p>
    <w:p w:rsidR="00887330" w:rsidRPr="00583E1A" w:rsidRDefault="00887330" w:rsidP="00887330">
      <w:pPr>
        <w:pStyle w:val="paragraph"/>
      </w:pPr>
      <w:r w:rsidRPr="00583E1A">
        <w:tab/>
        <w:t>(b)</w:t>
      </w:r>
      <w:r w:rsidRPr="00583E1A">
        <w:tab/>
        <w:t>a day which is a public holiday for the whole of:</w:t>
      </w:r>
    </w:p>
    <w:p w:rsidR="00887330" w:rsidRPr="00583E1A" w:rsidRDefault="00887330" w:rsidP="00887330">
      <w:pPr>
        <w:pStyle w:val="paragraphsub"/>
      </w:pPr>
      <w:r w:rsidRPr="00583E1A">
        <w:tab/>
        <w:t>(i)</w:t>
      </w:r>
      <w:r w:rsidRPr="00583E1A">
        <w:tab/>
        <w:t>any State; or</w:t>
      </w:r>
    </w:p>
    <w:p w:rsidR="00887330" w:rsidRPr="00583E1A" w:rsidRDefault="00887330" w:rsidP="00887330">
      <w:pPr>
        <w:pStyle w:val="paragraphsub"/>
      </w:pPr>
      <w:r w:rsidRPr="00583E1A">
        <w:tab/>
        <w:t>(ii)</w:t>
      </w:r>
      <w:r w:rsidRPr="00583E1A">
        <w:tab/>
        <w:t xml:space="preserve">the </w:t>
      </w:r>
      <w:smartTag w:uri="urn:schemas-microsoft-com:office:smarttags" w:element="State">
        <w:smartTag w:uri="urn:schemas-microsoft-com:office:smarttags" w:element="place">
          <w:r w:rsidRPr="00583E1A">
            <w:t>Australian Capital Territory</w:t>
          </w:r>
        </w:smartTag>
      </w:smartTag>
      <w:r w:rsidRPr="00583E1A">
        <w:t>; or</w:t>
      </w:r>
    </w:p>
    <w:p w:rsidR="00887330" w:rsidRPr="00583E1A" w:rsidRDefault="00887330" w:rsidP="00887330">
      <w:pPr>
        <w:pStyle w:val="paragraphsub"/>
      </w:pPr>
      <w:r w:rsidRPr="00583E1A">
        <w:tab/>
        <w:t>(iii)</w:t>
      </w:r>
      <w:r w:rsidRPr="00583E1A">
        <w:tab/>
        <w:t xml:space="preserve">the </w:t>
      </w:r>
      <w:smartTag w:uri="urn:schemas-microsoft-com:office:smarttags" w:element="State">
        <w:smartTag w:uri="urn:schemas-microsoft-com:office:smarttags" w:element="place">
          <w:r w:rsidRPr="00583E1A">
            <w:t>Northern Territory</w:t>
          </w:r>
        </w:smartTag>
      </w:smartTag>
      <w:r w:rsidRPr="00583E1A">
        <w:t>.</w:t>
      </w:r>
    </w:p>
    <w:p w:rsidR="00887330" w:rsidRPr="00583E1A" w:rsidRDefault="00887330" w:rsidP="00887330">
      <w:pPr>
        <w:pStyle w:val="Definition"/>
      </w:pPr>
      <w:r w:rsidRPr="00583E1A">
        <w:rPr>
          <w:b/>
          <w:i/>
        </w:rPr>
        <w:lastRenderedPageBreak/>
        <w:t>business kilometres</w:t>
      </w:r>
      <w:r w:rsidRPr="00583E1A">
        <w:t xml:space="preserve"> has the meaning given by sections</w:t>
      </w:r>
      <w:r w:rsidR="00583E1A">
        <w:t> </w:t>
      </w:r>
      <w:r w:rsidRPr="00583E1A">
        <w:t>28</w:t>
      </w:r>
      <w:r w:rsidR="00583E1A">
        <w:noBreakHyphen/>
      </w:r>
      <w:r w:rsidRPr="00583E1A">
        <w:t>25, 28</w:t>
      </w:r>
      <w:r w:rsidR="00583E1A">
        <w:noBreakHyphen/>
      </w:r>
      <w:r w:rsidRPr="00583E1A">
        <w:t>50, 28</w:t>
      </w:r>
      <w:r w:rsidR="00583E1A">
        <w:noBreakHyphen/>
      </w:r>
      <w:r w:rsidRPr="00583E1A">
        <w:t>75 and 28</w:t>
      </w:r>
      <w:r w:rsidR="00583E1A">
        <w:noBreakHyphen/>
      </w:r>
      <w:r w:rsidRPr="00583E1A">
        <w:t>90.</w:t>
      </w:r>
    </w:p>
    <w:p w:rsidR="00887330" w:rsidRPr="00583E1A" w:rsidRDefault="00887330" w:rsidP="00887330">
      <w:pPr>
        <w:pStyle w:val="Definition"/>
      </w:pPr>
      <w:r w:rsidRPr="00583E1A">
        <w:rPr>
          <w:b/>
          <w:i/>
        </w:rPr>
        <w:t>business meeting</w:t>
      </w:r>
      <w:r w:rsidRPr="00583E1A">
        <w:t xml:space="preserve"> has the meaning given by subsections 32</w:t>
      </w:r>
      <w:r w:rsidR="00583E1A">
        <w:noBreakHyphen/>
      </w:r>
      <w:r w:rsidRPr="00583E1A">
        <w:t>65(3) and (4).</w:t>
      </w:r>
    </w:p>
    <w:p w:rsidR="005A4A55" w:rsidRPr="003509A5" w:rsidRDefault="005A4A55" w:rsidP="005A4A55">
      <w:pPr>
        <w:pStyle w:val="Definition"/>
      </w:pPr>
      <w:r w:rsidRPr="003509A5">
        <w:rPr>
          <w:b/>
          <w:i/>
        </w:rPr>
        <w:t>business profits article</w:t>
      </w:r>
      <w:r w:rsidRPr="003509A5">
        <w:t xml:space="preserve"> has the meaning given by subsection 815</w:t>
      </w:r>
      <w:r w:rsidRPr="003509A5">
        <w:noBreakHyphen/>
        <w:t>15(6).</w:t>
      </w:r>
    </w:p>
    <w:p w:rsidR="00887330" w:rsidRPr="00583E1A" w:rsidRDefault="00887330" w:rsidP="00887330">
      <w:pPr>
        <w:pStyle w:val="Definition"/>
      </w:pPr>
      <w:r w:rsidRPr="00583E1A">
        <w:rPr>
          <w:b/>
          <w:i/>
        </w:rPr>
        <w:t>business travel expense</w:t>
      </w:r>
      <w:r w:rsidRPr="00583E1A">
        <w:t xml:space="preserve"> has the meaning given by section</w:t>
      </w:r>
      <w:r w:rsidR="00583E1A">
        <w:t> </w:t>
      </w:r>
      <w:r w:rsidRPr="00583E1A">
        <w:t>900</w:t>
      </w:r>
      <w:r w:rsidR="00583E1A">
        <w:noBreakHyphen/>
      </w:r>
      <w:r w:rsidRPr="00583E1A">
        <w:t>95.</w:t>
      </w:r>
    </w:p>
    <w:p w:rsidR="00887330" w:rsidRPr="00583E1A" w:rsidRDefault="00887330" w:rsidP="00887330">
      <w:pPr>
        <w:pStyle w:val="Definition"/>
      </w:pPr>
      <w:r w:rsidRPr="00583E1A">
        <w:rPr>
          <w:b/>
          <w:i/>
        </w:rPr>
        <w:t>business use percentage</w:t>
      </w:r>
      <w:r w:rsidRPr="00583E1A">
        <w:t xml:space="preserve"> has the meaning given by section</w:t>
      </w:r>
      <w:r w:rsidR="00583E1A">
        <w:t> </w:t>
      </w:r>
      <w:r w:rsidRPr="00583E1A">
        <w:t>28</w:t>
      </w:r>
      <w:r w:rsidR="00583E1A">
        <w:noBreakHyphen/>
      </w:r>
      <w:r w:rsidRPr="00583E1A">
        <w:t>90.</w:t>
      </w:r>
    </w:p>
    <w:p w:rsidR="00887330" w:rsidRPr="00583E1A" w:rsidRDefault="00887330" w:rsidP="007D29DB">
      <w:pPr>
        <w:pStyle w:val="Definition"/>
        <w:keepNext/>
        <w:keepLines/>
      </w:pPr>
      <w:r w:rsidRPr="00583E1A">
        <w:rPr>
          <w:b/>
          <w:i/>
        </w:rPr>
        <w:t>capital allowance</w:t>
      </w:r>
      <w:r w:rsidRPr="00583E1A">
        <w:t xml:space="preserve"> means a deduction under:</w:t>
      </w:r>
    </w:p>
    <w:p w:rsidR="00887330" w:rsidRPr="00583E1A" w:rsidRDefault="00887330" w:rsidP="007D29DB">
      <w:pPr>
        <w:pStyle w:val="paragraph"/>
        <w:keepNext/>
        <w:keepLines/>
      </w:pPr>
      <w:r w:rsidRPr="00583E1A">
        <w:tab/>
        <w:t>(a)</w:t>
      </w:r>
      <w:r w:rsidRPr="00583E1A">
        <w:tab/>
        <w:t>Division</w:t>
      </w:r>
      <w:r w:rsidR="00583E1A">
        <w:t> </w:t>
      </w:r>
      <w:r w:rsidRPr="00583E1A">
        <w:t>40 (capital allowances) of this Act; or</w:t>
      </w:r>
    </w:p>
    <w:p w:rsidR="00887330" w:rsidRPr="00583E1A" w:rsidRDefault="00887330" w:rsidP="00887330">
      <w:pPr>
        <w:pStyle w:val="paragraph"/>
      </w:pPr>
      <w:r w:rsidRPr="00583E1A">
        <w:tab/>
        <w:t>(ab)</w:t>
      </w:r>
      <w:r w:rsidRPr="00583E1A">
        <w:tab/>
        <w:t>Division</w:t>
      </w:r>
      <w:r w:rsidR="00583E1A">
        <w:t> </w:t>
      </w:r>
      <w:r w:rsidRPr="00583E1A">
        <w:t>43 (capital works) of this Act; or</w:t>
      </w:r>
    </w:p>
    <w:p w:rsidR="00887330" w:rsidRPr="00583E1A" w:rsidRDefault="00887330" w:rsidP="00887330">
      <w:pPr>
        <w:pStyle w:val="paragraph"/>
      </w:pPr>
      <w:r w:rsidRPr="00583E1A">
        <w:tab/>
        <w:t>(ac)</w:t>
      </w:r>
      <w:r w:rsidRPr="00583E1A">
        <w:tab/>
        <w:t>Subdivision</w:t>
      </w:r>
      <w:r w:rsidR="00583E1A">
        <w:t> </w:t>
      </w:r>
      <w:r w:rsidRPr="00583E1A">
        <w:t>328</w:t>
      </w:r>
      <w:r w:rsidR="00583E1A">
        <w:noBreakHyphen/>
      </w:r>
      <w:r w:rsidRPr="00583E1A">
        <w:t xml:space="preserve">D (capital allowances for </w:t>
      </w:r>
      <w:r w:rsidR="00F37AE9" w:rsidRPr="00583E1A">
        <w:t>small business entities</w:t>
      </w:r>
      <w:r w:rsidRPr="00583E1A">
        <w:t>) of this Act; or</w:t>
      </w:r>
    </w:p>
    <w:p w:rsidR="00887330" w:rsidRPr="00583E1A" w:rsidRDefault="00887330" w:rsidP="00887330">
      <w:pPr>
        <w:pStyle w:val="paragraph"/>
      </w:pPr>
      <w:r w:rsidRPr="00583E1A">
        <w:tab/>
        <w:t>(d)</w:t>
      </w:r>
      <w:r w:rsidRPr="00583E1A">
        <w:tab/>
      </w:r>
      <w:r w:rsidR="0085586A">
        <w:t>former</w:t>
      </w:r>
      <w:r w:rsidR="0085586A" w:rsidRPr="00583E1A">
        <w:t xml:space="preserve"> </w:t>
      </w:r>
      <w:r w:rsidRPr="00583E1A">
        <w:t>Division</w:t>
      </w:r>
      <w:r w:rsidR="00583E1A">
        <w:t> </w:t>
      </w:r>
      <w:r w:rsidRPr="00583E1A">
        <w:t>10BA of Part</w:t>
      </w:r>
      <w:r w:rsidR="00583E1A">
        <w:t> </w:t>
      </w:r>
      <w:r w:rsidRPr="00583E1A">
        <w:t>III of that Act (Australian films); or</w:t>
      </w:r>
    </w:p>
    <w:p w:rsidR="00887330" w:rsidRPr="00583E1A" w:rsidRDefault="00887330" w:rsidP="00887330">
      <w:pPr>
        <w:pStyle w:val="paragraph"/>
      </w:pPr>
      <w:r w:rsidRPr="00583E1A">
        <w:tab/>
        <w:t>(e)</w:t>
      </w:r>
      <w:r w:rsidRPr="00583E1A">
        <w:tab/>
      </w:r>
      <w:r w:rsidR="0085586A">
        <w:t>former</w:t>
      </w:r>
      <w:r w:rsidR="0085586A" w:rsidRPr="00583E1A">
        <w:t xml:space="preserve"> </w:t>
      </w:r>
      <w:r w:rsidRPr="00583E1A">
        <w:t>Division</w:t>
      </w:r>
      <w:r w:rsidR="00583E1A">
        <w:t> </w:t>
      </w:r>
      <w:r w:rsidRPr="00583E1A">
        <w:t>10B of Part</w:t>
      </w:r>
      <w:r w:rsidR="00583E1A">
        <w:t> </w:t>
      </w:r>
      <w:r w:rsidRPr="00583E1A">
        <w:t xml:space="preserve">III of that Act (copyright in Australian </w:t>
      </w:r>
      <w:r w:rsidR="001511BB" w:rsidRPr="00642FBF">
        <w:t>films).</w:t>
      </w:r>
    </w:p>
    <w:p w:rsidR="00887330" w:rsidRPr="00583E1A" w:rsidRDefault="00887330" w:rsidP="00887330">
      <w:pPr>
        <w:pStyle w:val="Definition"/>
      </w:pPr>
      <w:r w:rsidRPr="00583E1A">
        <w:rPr>
          <w:b/>
          <w:i/>
        </w:rPr>
        <w:t>capital gain</w:t>
      </w:r>
      <w:r w:rsidRPr="00583E1A">
        <w:t xml:space="preserve">: for each </w:t>
      </w:r>
      <w:r w:rsidR="00583E1A" w:rsidRPr="00583E1A">
        <w:rPr>
          <w:position w:val="6"/>
          <w:sz w:val="16"/>
        </w:rPr>
        <w:t>*</w:t>
      </w:r>
      <w:r w:rsidRPr="00583E1A">
        <w:t xml:space="preserve">CGT event a </w:t>
      </w:r>
      <w:r w:rsidRPr="00583E1A">
        <w:rPr>
          <w:b/>
          <w:i/>
        </w:rPr>
        <w:t>capital gain</w:t>
      </w:r>
      <w:r w:rsidRPr="00583E1A">
        <w:t xml:space="preserve"> is worked out in the way described in that event.</w:t>
      </w:r>
    </w:p>
    <w:p w:rsidR="00887330" w:rsidRPr="00583E1A" w:rsidRDefault="00887330" w:rsidP="00887330">
      <w:pPr>
        <w:pStyle w:val="notetext"/>
        <w:tabs>
          <w:tab w:val="left" w:pos="2268"/>
          <w:tab w:val="left" w:pos="3402"/>
          <w:tab w:val="left" w:pos="4536"/>
          <w:tab w:val="left" w:pos="5670"/>
          <w:tab w:val="left" w:pos="6804"/>
        </w:tabs>
      </w:pPr>
      <w:r w:rsidRPr="00583E1A">
        <w:t>Note 1:</w:t>
      </w:r>
      <w:r w:rsidRPr="00583E1A">
        <w:tab/>
        <w:t>There are some CGT events for which there is no capital gain.</w:t>
      </w:r>
    </w:p>
    <w:p w:rsidR="00887330" w:rsidRPr="00583E1A" w:rsidRDefault="00887330" w:rsidP="00887330">
      <w:pPr>
        <w:pStyle w:val="notetext"/>
        <w:tabs>
          <w:tab w:val="left" w:pos="2268"/>
          <w:tab w:val="left" w:pos="3402"/>
          <w:tab w:val="left" w:pos="4536"/>
          <w:tab w:val="left" w:pos="5670"/>
          <w:tab w:val="left" w:pos="6804"/>
        </w:tabs>
      </w:pPr>
      <w:r w:rsidRPr="00583E1A">
        <w:t>Note 2:</w:t>
      </w:r>
      <w:r w:rsidRPr="00583E1A">
        <w:tab/>
        <w:t>For income years before 1998</w:t>
      </w:r>
      <w:r w:rsidR="00583E1A">
        <w:noBreakHyphen/>
      </w:r>
      <w:r w:rsidRPr="00583E1A">
        <w:t xml:space="preserve">99, </w:t>
      </w:r>
      <w:r w:rsidRPr="00583E1A">
        <w:rPr>
          <w:b/>
          <w:i/>
        </w:rPr>
        <w:t>capital gain</w:t>
      </w:r>
      <w:r w:rsidRPr="00583E1A">
        <w:t xml:space="preserve"> has the meaning given by section</w:t>
      </w:r>
      <w:r w:rsidR="00583E1A">
        <w:t> </w:t>
      </w:r>
      <w:r w:rsidRPr="00583E1A">
        <w:t>102</w:t>
      </w:r>
      <w:r w:rsidR="00583E1A">
        <w:noBreakHyphen/>
      </w:r>
      <w:r w:rsidRPr="00583E1A">
        <w:t xml:space="preserve">20 of the </w:t>
      </w:r>
      <w:r w:rsidRPr="00583E1A">
        <w:rPr>
          <w:i/>
        </w:rPr>
        <w:t>Income Tax (Transitional Provisions) Act 1997</w:t>
      </w:r>
      <w:r w:rsidRPr="00583E1A">
        <w:t>.</w:t>
      </w:r>
    </w:p>
    <w:p w:rsidR="00887330" w:rsidRPr="00583E1A" w:rsidRDefault="00887330" w:rsidP="00887330">
      <w:pPr>
        <w:pStyle w:val="Definition"/>
      </w:pPr>
      <w:r w:rsidRPr="00583E1A">
        <w:rPr>
          <w:b/>
          <w:i/>
        </w:rPr>
        <w:t>capital loss</w:t>
      </w:r>
      <w:r w:rsidRPr="00583E1A">
        <w:t xml:space="preserve">: for each </w:t>
      </w:r>
      <w:r w:rsidR="00583E1A" w:rsidRPr="00583E1A">
        <w:rPr>
          <w:position w:val="6"/>
          <w:sz w:val="16"/>
        </w:rPr>
        <w:t>*</w:t>
      </w:r>
      <w:r w:rsidRPr="00583E1A">
        <w:t xml:space="preserve">CGT event a </w:t>
      </w:r>
      <w:r w:rsidRPr="00583E1A">
        <w:rPr>
          <w:b/>
          <w:i/>
        </w:rPr>
        <w:t>capital loss</w:t>
      </w:r>
      <w:r w:rsidRPr="00583E1A">
        <w:t xml:space="preserve"> is worked out in the way described in that event.</w:t>
      </w:r>
    </w:p>
    <w:p w:rsidR="00887330" w:rsidRPr="00583E1A" w:rsidRDefault="00887330" w:rsidP="00887330">
      <w:pPr>
        <w:pStyle w:val="notetext"/>
        <w:tabs>
          <w:tab w:val="left" w:pos="2268"/>
          <w:tab w:val="left" w:pos="3402"/>
          <w:tab w:val="left" w:pos="4536"/>
          <w:tab w:val="left" w:pos="5670"/>
          <w:tab w:val="left" w:pos="6804"/>
        </w:tabs>
      </w:pPr>
      <w:r w:rsidRPr="00583E1A">
        <w:t>Note 1:</w:t>
      </w:r>
      <w:r w:rsidRPr="00583E1A">
        <w:tab/>
        <w:t>There are some CGT events for which there is no capital loss.</w:t>
      </w:r>
    </w:p>
    <w:p w:rsidR="00887330" w:rsidRPr="00583E1A" w:rsidRDefault="00887330" w:rsidP="00887330">
      <w:pPr>
        <w:pStyle w:val="notetext"/>
        <w:tabs>
          <w:tab w:val="left" w:pos="2268"/>
          <w:tab w:val="left" w:pos="3402"/>
          <w:tab w:val="left" w:pos="4536"/>
          <w:tab w:val="left" w:pos="5670"/>
          <w:tab w:val="left" w:pos="6804"/>
        </w:tabs>
      </w:pPr>
      <w:r w:rsidRPr="00583E1A">
        <w:t>Note 2:</w:t>
      </w:r>
      <w:r w:rsidRPr="00583E1A">
        <w:tab/>
        <w:t>For income years before 1998</w:t>
      </w:r>
      <w:r w:rsidR="00583E1A">
        <w:noBreakHyphen/>
      </w:r>
      <w:r w:rsidRPr="00583E1A">
        <w:t xml:space="preserve">99, </w:t>
      </w:r>
      <w:r w:rsidRPr="00583E1A">
        <w:rPr>
          <w:b/>
          <w:i/>
        </w:rPr>
        <w:t>capital loss</w:t>
      </w:r>
      <w:r w:rsidRPr="00583E1A">
        <w:t xml:space="preserve"> has the meaning given by section</w:t>
      </w:r>
      <w:r w:rsidR="00583E1A">
        <w:t> </w:t>
      </w:r>
      <w:r w:rsidRPr="00583E1A">
        <w:t>102</w:t>
      </w:r>
      <w:r w:rsidR="00583E1A">
        <w:noBreakHyphen/>
      </w:r>
      <w:r w:rsidRPr="00583E1A">
        <w:t xml:space="preserve">20 of the </w:t>
      </w:r>
      <w:r w:rsidRPr="00583E1A">
        <w:rPr>
          <w:i/>
        </w:rPr>
        <w:t>Income Tax (Transitional Provisions) Act 1997</w:t>
      </w:r>
      <w:r w:rsidRPr="00583E1A">
        <w:t>.</w:t>
      </w:r>
    </w:p>
    <w:p w:rsidR="00887330" w:rsidRPr="00583E1A" w:rsidRDefault="00887330" w:rsidP="00887330">
      <w:pPr>
        <w:pStyle w:val="Definition"/>
      </w:pPr>
      <w:r w:rsidRPr="00583E1A">
        <w:rPr>
          <w:b/>
          <w:i/>
        </w:rPr>
        <w:t xml:space="preserve">capital proceeds </w:t>
      </w:r>
      <w:r w:rsidRPr="00583E1A">
        <w:t>has the meaning given by Division</w:t>
      </w:r>
      <w:r w:rsidR="00583E1A">
        <w:t> </w:t>
      </w:r>
      <w:r w:rsidRPr="00583E1A">
        <w:t>116.</w:t>
      </w:r>
    </w:p>
    <w:p w:rsidR="00FA205F" w:rsidRPr="00583E1A" w:rsidRDefault="00FA205F" w:rsidP="00FA205F">
      <w:pPr>
        <w:pStyle w:val="Definition"/>
      </w:pPr>
      <w:r w:rsidRPr="00583E1A">
        <w:rPr>
          <w:b/>
          <w:i/>
        </w:rPr>
        <w:t>capital protected borrowing</w:t>
      </w:r>
      <w:r w:rsidRPr="00583E1A">
        <w:t xml:space="preserve"> has the meaning given by section</w:t>
      </w:r>
      <w:r w:rsidR="00583E1A">
        <w:t> </w:t>
      </w:r>
      <w:r w:rsidRPr="00583E1A">
        <w:t>247</w:t>
      </w:r>
      <w:r w:rsidR="00583E1A">
        <w:noBreakHyphen/>
      </w:r>
      <w:r w:rsidRPr="00583E1A">
        <w:t>10.</w:t>
      </w:r>
    </w:p>
    <w:p w:rsidR="004F7A83" w:rsidRPr="00583E1A" w:rsidRDefault="004F7A83" w:rsidP="004F7A83">
      <w:pPr>
        <w:pStyle w:val="Definition"/>
      </w:pPr>
      <w:r w:rsidRPr="00583E1A">
        <w:rPr>
          <w:b/>
          <w:i/>
        </w:rPr>
        <w:lastRenderedPageBreak/>
        <w:t>capital protection</w:t>
      </w:r>
      <w:r w:rsidRPr="00583E1A">
        <w:t xml:space="preserve"> has the meaning given by section</w:t>
      </w:r>
      <w:r w:rsidR="00583E1A">
        <w:t> </w:t>
      </w:r>
      <w:r w:rsidRPr="00583E1A">
        <w:t>247</w:t>
      </w:r>
      <w:r w:rsidR="00583E1A">
        <w:noBreakHyphen/>
      </w:r>
      <w:r w:rsidRPr="00583E1A">
        <w:t>10.</w:t>
      </w:r>
    </w:p>
    <w:p w:rsidR="00887330" w:rsidRPr="00583E1A" w:rsidRDefault="00887330" w:rsidP="00887330">
      <w:pPr>
        <w:pStyle w:val="Definition"/>
      </w:pPr>
      <w:r w:rsidRPr="00583E1A">
        <w:rPr>
          <w:b/>
          <w:i/>
        </w:rPr>
        <w:t xml:space="preserve">capital stake </w:t>
      </w:r>
      <w:r w:rsidRPr="00583E1A">
        <w:t>has the meaning given by section</w:t>
      </w:r>
      <w:r w:rsidR="00583E1A">
        <w:t> </w:t>
      </w:r>
      <w:r w:rsidRPr="00583E1A">
        <w:t>166</w:t>
      </w:r>
      <w:r w:rsidR="00583E1A">
        <w:noBreakHyphen/>
      </w:r>
      <w:r w:rsidRPr="00583E1A">
        <w:t>235.</w:t>
      </w:r>
    </w:p>
    <w:p w:rsidR="00887330" w:rsidRPr="00583E1A" w:rsidRDefault="00887330" w:rsidP="00887330">
      <w:pPr>
        <w:pStyle w:val="Definition"/>
      </w:pPr>
      <w:r w:rsidRPr="00583E1A">
        <w:rPr>
          <w:b/>
          <w:i/>
        </w:rPr>
        <w:t>capped life</w:t>
      </w:r>
      <w:r w:rsidRPr="00583E1A">
        <w:t xml:space="preserve"> of a </w:t>
      </w:r>
      <w:r w:rsidR="00583E1A" w:rsidRPr="00583E1A">
        <w:rPr>
          <w:position w:val="6"/>
          <w:sz w:val="16"/>
        </w:rPr>
        <w:t>*</w:t>
      </w:r>
      <w:r w:rsidRPr="00583E1A">
        <w:t>depreciating asset has the meaning given by section</w:t>
      </w:r>
      <w:r w:rsidR="00583E1A">
        <w:t> </w:t>
      </w:r>
      <w:r w:rsidRPr="00583E1A">
        <w:t>40</w:t>
      </w:r>
      <w:r w:rsidR="00583E1A">
        <w:noBreakHyphen/>
      </w:r>
      <w:r w:rsidRPr="00583E1A">
        <w:t>102.</w:t>
      </w:r>
    </w:p>
    <w:p w:rsidR="00887330" w:rsidRPr="00583E1A" w:rsidRDefault="00887330" w:rsidP="00887330">
      <w:pPr>
        <w:pStyle w:val="Definition"/>
      </w:pPr>
      <w:r w:rsidRPr="00583E1A">
        <w:rPr>
          <w:b/>
          <w:i/>
        </w:rPr>
        <w:t xml:space="preserve">car </w:t>
      </w:r>
      <w:r w:rsidRPr="00583E1A">
        <w:t xml:space="preserve">means a </w:t>
      </w:r>
      <w:r w:rsidR="00583E1A" w:rsidRPr="00583E1A">
        <w:rPr>
          <w:position w:val="6"/>
          <w:sz w:val="16"/>
        </w:rPr>
        <w:t>*</w:t>
      </w:r>
      <w:r w:rsidRPr="00583E1A">
        <w:t>motor vehicle (except a motor cycle or similar vehicle) designed to carry a load of less than 1 tonne and fewer than 9 passengers.</w:t>
      </w:r>
    </w:p>
    <w:p w:rsidR="00724494" w:rsidRPr="00583E1A" w:rsidRDefault="00724494" w:rsidP="00724494">
      <w:pPr>
        <w:pStyle w:val="Definition"/>
      </w:pPr>
      <w:r w:rsidRPr="00583E1A">
        <w:rPr>
          <w:b/>
          <w:i/>
        </w:rPr>
        <w:t>carbon sequestration</w:t>
      </w:r>
      <w:r w:rsidRPr="00583E1A">
        <w:t xml:space="preserve"> has the meaning given by section</w:t>
      </w:r>
      <w:r w:rsidR="00583E1A">
        <w:t> </w:t>
      </w:r>
      <w:r w:rsidRPr="00583E1A">
        <w:t>40</w:t>
      </w:r>
      <w:r w:rsidR="00583E1A">
        <w:noBreakHyphen/>
      </w:r>
      <w:r w:rsidRPr="00583E1A">
        <w:t>1015.</w:t>
      </w:r>
    </w:p>
    <w:p w:rsidR="001A71C1" w:rsidRPr="00E811AF" w:rsidRDefault="001A71C1" w:rsidP="001A71C1">
      <w:pPr>
        <w:pStyle w:val="Definition"/>
      </w:pPr>
      <w:r w:rsidRPr="00E811AF">
        <w:rPr>
          <w:b/>
          <w:i/>
        </w:rPr>
        <w:t>carbon unit</w:t>
      </w:r>
      <w:r w:rsidRPr="00E811AF">
        <w:t xml:space="preserve"> has the same meaning as in the </w:t>
      </w:r>
      <w:r w:rsidRPr="00E811AF">
        <w:rPr>
          <w:i/>
        </w:rPr>
        <w:t>Clean Energy Act 2011</w:t>
      </w:r>
      <w:r w:rsidRPr="00E811AF">
        <w:t>.</w:t>
      </w:r>
    </w:p>
    <w:p w:rsidR="00887330" w:rsidRPr="00583E1A" w:rsidRDefault="00887330" w:rsidP="00887330">
      <w:pPr>
        <w:pStyle w:val="Definition"/>
      </w:pPr>
      <w:r w:rsidRPr="00583E1A">
        <w:rPr>
          <w:b/>
          <w:i/>
        </w:rPr>
        <w:t>car expense</w:t>
      </w:r>
      <w:r w:rsidRPr="00583E1A">
        <w:t xml:space="preserve"> has the meaning given by section</w:t>
      </w:r>
      <w:r w:rsidR="00583E1A">
        <w:t> </w:t>
      </w:r>
      <w:r w:rsidRPr="00583E1A">
        <w:t>28</w:t>
      </w:r>
      <w:r w:rsidR="00583E1A">
        <w:noBreakHyphen/>
      </w:r>
      <w:r w:rsidRPr="00583E1A">
        <w:t>13.</w:t>
      </w:r>
    </w:p>
    <w:p w:rsidR="00887330" w:rsidRPr="00583E1A" w:rsidRDefault="00887330" w:rsidP="00887330">
      <w:pPr>
        <w:pStyle w:val="Definition"/>
      </w:pPr>
      <w:r w:rsidRPr="00583E1A">
        <w:rPr>
          <w:b/>
          <w:i/>
        </w:rPr>
        <w:t>car fringe benefit</w:t>
      </w:r>
      <w:r w:rsidRPr="00583E1A">
        <w:t xml:space="preserve"> has the meaning given by subsection 136(1) of the </w:t>
      </w:r>
      <w:r w:rsidRPr="00583E1A">
        <w:rPr>
          <w:i/>
        </w:rPr>
        <w:t>Fringe Benefits Tax Assessment Act 1986</w:t>
      </w:r>
      <w:r w:rsidRPr="00583E1A">
        <w:t>.</w:t>
      </w:r>
    </w:p>
    <w:p w:rsidR="00887330" w:rsidRPr="00583E1A" w:rsidRDefault="00887330" w:rsidP="00887330">
      <w:pPr>
        <w:pStyle w:val="Definition"/>
      </w:pPr>
      <w:r w:rsidRPr="00583E1A">
        <w:rPr>
          <w:b/>
          <w:i/>
        </w:rPr>
        <w:t>car</w:t>
      </w:r>
      <w:r w:rsidR="00583E1A">
        <w:rPr>
          <w:b/>
          <w:i/>
        </w:rPr>
        <w:noBreakHyphen/>
      </w:r>
      <w:r w:rsidRPr="00583E1A">
        <w:rPr>
          <w:b/>
          <w:i/>
        </w:rPr>
        <w:t>less day</w:t>
      </w:r>
      <w:r w:rsidRPr="00583E1A">
        <w:t xml:space="preserve"> has the meaning given by section</w:t>
      </w:r>
      <w:r w:rsidR="00583E1A">
        <w:t> </w:t>
      </w:r>
      <w:r w:rsidRPr="00583E1A">
        <w:t>28</w:t>
      </w:r>
      <w:r w:rsidR="00583E1A">
        <w:noBreakHyphen/>
      </w:r>
      <w:r w:rsidRPr="00583E1A">
        <w:t>45.</w:t>
      </w:r>
    </w:p>
    <w:p w:rsidR="00887330" w:rsidRPr="00583E1A" w:rsidRDefault="00887330" w:rsidP="00887330">
      <w:pPr>
        <w:pStyle w:val="Definition"/>
      </w:pPr>
      <w:r w:rsidRPr="00583E1A">
        <w:rPr>
          <w:b/>
          <w:i/>
        </w:rPr>
        <w:t>car limit</w:t>
      </w:r>
      <w:r w:rsidRPr="00583E1A">
        <w:t xml:space="preserve"> has the meaning given by section</w:t>
      </w:r>
      <w:r w:rsidR="00583E1A">
        <w:t> </w:t>
      </w:r>
      <w:r w:rsidRPr="00583E1A">
        <w:t>40</w:t>
      </w:r>
      <w:r w:rsidR="00583E1A">
        <w:noBreakHyphen/>
      </w:r>
      <w:r w:rsidRPr="00583E1A">
        <w:t>230.</w:t>
      </w:r>
    </w:p>
    <w:p w:rsidR="00887330" w:rsidRPr="00583E1A" w:rsidRDefault="00887330" w:rsidP="008864CB">
      <w:pPr>
        <w:pStyle w:val="Definition"/>
        <w:keepNext/>
      </w:pPr>
      <w:r w:rsidRPr="00583E1A">
        <w:rPr>
          <w:b/>
          <w:i/>
        </w:rPr>
        <w:t>carried interest</w:t>
      </w:r>
      <w:r w:rsidRPr="00583E1A">
        <w:t>:</w:t>
      </w:r>
    </w:p>
    <w:p w:rsidR="00887330" w:rsidRPr="00583E1A" w:rsidRDefault="00887330" w:rsidP="00887330">
      <w:pPr>
        <w:pStyle w:val="paragraph"/>
      </w:pPr>
      <w:r w:rsidRPr="00583E1A">
        <w:tab/>
        <w:t>(a)</w:t>
      </w:r>
      <w:r w:rsidRPr="00583E1A">
        <w:tab/>
        <w:t xml:space="preserve">of a </w:t>
      </w:r>
      <w:r w:rsidR="00583E1A" w:rsidRPr="00583E1A">
        <w:rPr>
          <w:position w:val="6"/>
          <w:sz w:val="16"/>
        </w:rPr>
        <w:t>*</w:t>
      </w:r>
      <w:r w:rsidRPr="00583E1A">
        <w:t xml:space="preserve">general partner in a </w:t>
      </w:r>
      <w:r w:rsidR="00583E1A" w:rsidRPr="00583E1A">
        <w:rPr>
          <w:position w:val="6"/>
          <w:sz w:val="16"/>
        </w:rPr>
        <w:t>*</w:t>
      </w:r>
      <w:r w:rsidRPr="00583E1A">
        <w:t>VCLP</w:t>
      </w:r>
      <w:r w:rsidR="005014E4" w:rsidRPr="00583E1A">
        <w:t xml:space="preserve">, an </w:t>
      </w:r>
      <w:r w:rsidR="00583E1A" w:rsidRPr="00583E1A">
        <w:rPr>
          <w:position w:val="6"/>
          <w:sz w:val="16"/>
        </w:rPr>
        <w:t>*</w:t>
      </w:r>
      <w:r w:rsidR="005014E4" w:rsidRPr="00583E1A">
        <w:t>ESVCLP</w:t>
      </w:r>
      <w:r w:rsidRPr="00583E1A">
        <w:t xml:space="preserve"> or an </w:t>
      </w:r>
      <w:r w:rsidR="00583E1A" w:rsidRPr="00583E1A">
        <w:rPr>
          <w:position w:val="6"/>
          <w:sz w:val="16"/>
        </w:rPr>
        <w:t>*</w:t>
      </w:r>
      <w:r w:rsidRPr="00583E1A">
        <w:t>AFOF—has the meaning given by subsections 104</w:t>
      </w:r>
      <w:r w:rsidR="00583E1A">
        <w:noBreakHyphen/>
      </w:r>
      <w:r w:rsidRPr="00583E1A">
        <w:t>255(4) and (6); and</w:t>
      </w:r>
    </w:p>
    <w:p w:rsidR="00887330" w:rsidRPr="00583E1A" w:rsidRDefault="00887330" w:rsidP="00887330">
      <w:pPr>
        <w:pStyle w:val="paragraph"/>
      </w:pPr>
      <w:r w:rsidRPr="00583E1A">
        <w:tab/>
        <w:t>(b)</w:t>
      </w:r>
      <w:r w:rsidRPr="00583E1A">
        <w:tab/>
        <w:t xml:space="preserve">of a </w:t>
      </w:r>
      <w:r w:rsidR="00583E1A" w:rsidRPr="00583E1A">
        <w:rPr>
          <w:position w:val="6"/>
          <w:sz w:val="16"/>
        </w:rPr>
        <w:t>*</w:t>
      </w:r>
      <w:r w:rsidRPr="00583E1A">
        <w:t xml:space="preserve">limited partner in a </w:t>
      </w:r>
      <w:r w:rsidR="00583E1A" w:rsidRPr="00583E1A">
        <w:rPr>
          <w:position w:val="6"/>
          <w:sz w:val="16"/>
        </w:rPr>
        <w:t>*</w:t>
      </w:r>
      <w:r w:rsidRPr="00583E1A">
        <w:t>VCMP—has the meaning given by subsections 104</w:t>
      </w:r>
      <w:r w:rsidR="00583E1A">
        <w:noBreakHyphen/>
      </w:r>
      <w:r w:rsidRPr="00583E1A">
        <w:t>255(5) and (6).</w:t>
      </w:r>
    </w:p>
    <w:p w:rsidR="00887330" w:rsidRPr="00583E1A" w:rsidRDefault="00887330" w:rsidP="00887330">
      <w:pPr>
        <w:pStyle w:val="Definition"/>
      </w:pPr>
      <w:r w:rsidRPr="00583E1A">
        <w:rPr>
          <w:b/>
          <w:i/>
        </w:rPr>
        <w:t>carrying on</w:t>
      </w:r>
      <w:r w:rsidRPr="00583E1A">
        <w:t xml:space="preserve"> an </w:t>
      </w:r>
      <w:r w:rsidR="00583E1A" w:rsidRPr="00583E1A">
        <w:rPr>
          <w:position w:val="6"/>
          <w:sz w:val="16"/>
        </w:rPr>
        <w:t>*</w:t>
      </w:r>
      <w:r w:rsidRPr="00583E1A">
        <w:t>enterprise includes doing anything in the course of the commencement or termination of the enterprise.</w:t>
      </w:r>
    </w:p>
    <w:p w:rsidR="00B10A29" w:rsidRPr="0038586A" w:rsidRDefault="00B10A29" w:rsidP="008A179D">
      <w:pPr>
        <w:pStyle w:val="Definition"/>
        <w:keepNext/>
        <w:keepLines/>
      </w:pPr>
      <w:r w:rsidRPr="0038586A">
        <w:rPr>
          <w:b/>
          <w:i/>
        </w:rPr>
        <w:t xml:space="preserve">cash management trust </w:t>
      </w:r>
      <w:r w:rsidRPr="0038586A">
        <w:t>means a trust that satisfies these requirements:</w:t>
      </w:r>
    </w:p>
    <w:p w:rsidR="00B10A29" w:rsidRPr="0038586A" w:rsidRDefault="00B10A29" w:rsidP="00B10A29">
      <w:pPr>
        <w:pStyle w:val="paragraph"/>
      </w:pPr>
      <w:r w:rsidRPr="0038586A">
        <w:tab/>
        <w:t>(a)</w:t>
      </w:r>
      <w:r w:rsidRPr="0038586A">
        <w:tab/>
        <w:t>the trust is of a kind commonly known as a cash management trust;</w:t>
      </w:r>
    </w:p>
    <w:p w:rsidR="00B10A29" w:rsidRPr="0038586A" w:rsidRDefault="00B10A29" w:rsidP="00B10A29">
      <w:pPr>
        <w:pStyle w:val="paragraph"/>
      </w:pPr>
      <w:r w:rsidRPr="0038586A">
        <w:tab/>
        <w:t>(b)</w:t>
      </w:r>
      <w:r w:rsidRPr="0038586A">
        <w:tab/>
        <w:t>each unit in the trust carries the same rights as every other unit in the trust.</w:t>
      </w:r>
    </w:p>
    <w:p w:rsidR="008D1CE2" w:rsidRPr="00583E1A" w:rsidRDefault="008D1CE2" w:rsidP="008D1CE2">
      <w:pPr>
        <w:pStyle w:val="Definition"/>
      </w:pPr>
      <w:r w:rsidRPr="00583E1A">
        <w:rPr>
          <w:b/>
          <w:i/>
        </w:rPr>
        <w:t>cash settlable</w:t>
      </w:r>
      <w:r w:rsidRPr="00583E1A">
        <w:t xml:space="preserve"> has the meaning given by subsection </w:t>
      </w:r>
      <w:r w:rsidR="008521C7" w:rsidRPr="00583E1A">
        <w:t>230</w:t>
      </w:r>
      <w:r w:rsidR="00583E1A">
        <w:noBreakHyphen/>
      </w:r>
      <w:r w:rsidR="008521C7" w:rsidRPr="00583E1A">
        <w:t>45(2)</w:t>
      </w:r>
      <w:r w:rsidRPr="00583E1A">
        <w:t>.</w:t>
      </w:r>
    </w:p>
    <w:p w:rsidR="00887330" w:rsidRPr="00583E1A" w:rsidRDefault="00887330" w:rsidP="00887330">
      <w:pPr>
        <w:pStyle w:val="Definition"/>
      </w:pPr>
      <w:r w:rsidRPr="00583E1A">
        <w:rPr>
          <w:b/>
          <w:i/>
        </w:rPr>
        <w:lastRenderedPageBreak/>
        <w:t>cessation event</w:t>
      </w:r>
      <w:r w:rsidRPr="00583E1A">
        <w:t xml:space="preserve">, in relation to a </w:t>
      </w:r>
      <w:r w:rsidR="00583E1A" w:rsidRPr="00583E1A">
        <w:rPr>
          <w:position w:val="6"/>
          <w:sz w:val="16"/>
        </w:rPr>
        <w:t>*</w:t>
      </w:r>
      <w:r w:rsidRPr="00583E1A">
        <w:t xml:space="preserve">provisional head company of a </w:t>
      </w:r>
      <w:r w:rsidR="00583E1A" w:rsidRPr="00583E1A">
        <w:rPr>
          <w:position w:val="6"/>
          <w:sz w:val="16"/>
        </w:rPr>
        <w:t>*</w:t>
      </w:r>
      <w:r w:rsidRPr="00583E1A">
        <w:t>MEC group, has the meaning given by subsection 719</w:t>
      </w:r>
      <w:r w:rsidR="00583E1A">
        <w:noBreakHyphen/>
      </w:r>
      <w:r w:rsidRPr="00583E1A">
        <w:t>60(6).</w:t>
      </w:r>
    </w:p>
    <w:p w:rsidR="00887330" w:rsidRPr="00583E1A" w:rsidRDefault="00887330" w:rsidP="00887330">
      <w:pPr>
        <w:pStyle w:val="Definition"/>
      </w:pPr>
      <w:r w:rsidRPr="00583E1A">
        <w:rPr>
          <w:b/>
          <w:i/>
        </w:rPr>
        <w:t xml:space="preserve">CFC </w:t>
      </w:r>
      <w:r w:rsidRPr="00583E1A">
        <w:t>has the meaning given by Part</w:t>
      </w:r>
      <w:r w:rsidR="00583E1A">
        <w:t> </w:t>
      </w:r>
      <w:r w:rsidRPr="00583E1A">
        <w:t xml:space="preserve">X of the </w:t>
      </w:r>
      <w:r w:rsidRPr="00583E1A">
        <w:rPr>
          <w:i/>
        </w:rPr>
        <w:t>Income Tax Assessment Act 1936</w:t>
      </w:r>
      <w:r w:rsidRPr="00583E1A">
        <w:t>.</w:t>
      </w:r>
    </w:p>
    <w:p w:rsidR="00887330" w:rsidRPr="00583E1A" w:rsidRDefault="00887330" w:rsidP="00887330">
      <w:pPr>
        <w:pStyle w:val="Definition"/>
      </w:pPr>
      <w:r w:rsidRPr="00583E1A">
        <w:rPr>
          <w:b/>
          <w:i/>
        </w:rPr>
        <w:t>CFT</w:t>
      </w:r>
      <w:r w:rsidRPr="00583E1A">
        <w:t xml:space="preserve"> has the meaning given by section</w:t>
      </w:r>
      <w:r w:rsidR="00583E1A">
        <w:t> </w:t>
      </w:r>
      <w:r w:rsidRPr="00583E1A">
        <w:t xml:space="preserve">342 of the </w:t>
      </w:r>
      <w:r w:rsidRPr="00583E1A">
        <w:rPr>
          <w:i/>
        </w:rPr>
        <w:t>Income Tax Assessment Act 1936</w:t>
      </w:r>
      <w:r w:rsidRPr="00583E1A">
        <w:t>.</w:t>
      </w:r>
    </w:p>
    <w:p w:rsidR="00887330" w:rsidRPr="00583E1A" w:rsidRDefault="00887330" w:rsidP="00887330">
      <w:pPr>
        <w:pStyle w:val="Definition"/>
      </w:pPr>
      <w:r w:rsidRPr="00583E1A">
        <w:rPr>
          <w:b/>
          <w:i/>
        </w:rPr>
        <w:t>CGT asset</w:t>
      </w:r>
      <w:r w:rsidRPr="00583E1A">
        <w:t xml:space="preserve"> has the meaning given by section</w:t>
      </w:r>
      <w:r w:rsidR="00583E1A">
        <w:t> </w:t>
      </w:r>
      <w:r w:rsidRPr="00583E1A">
        <w:t>108</w:t>
      </w:r>
      <w:r w:rsidR="00583E1A">
        <w:noBreakHyphen/>
      </w:r>
      <w:r w:rsidRPr="00583E1A">
        <w:t>5.</w:t>
      </w:r>
    </w:p>
    <w:p w:rsidR="00C33219" w:rsidRPr="00583E1A" w:rsidRDefault="00C33219" w:rsidP="00C33219">
      <w:pPr>
        <w:pStyle w:val="Definition"/>
      </w:pPr>
      <w:r w:rsidRPr="00583E1A">
        <w:rPr>
          <w:b/>
          <w:i/>
        </w:rPr>
        <w:t xml:space="preserve">CGT cap amount </w:t>
      </w:r>
      <w:r w:rsidRPr="00583E1A">
        <w:t>has the meaning given by section</w:t>
      </w:r>
      <w:r w:rsidR="00583E1A">
        <w:t> </w:t>
      </w:r>
      <w:r w:rsidRPr="00583E1A">
        <w:t>292</w:t>
      </w:r>
      <w:r w:rsidR="00583E1A">
        <w:noBreakHyphen/>
      </w:r>
      <w:r w:rsidRPr="00583E1A">
        <w:t>105.</w:t>
      </w:r>
    </w:p>
    <w:p w:rsidR="00887330" w:rsidRPr="00583E1A" w:rsidRDefault="00887330" w:rsidP="00887330">
      <w:pPr>
        <w:pStyle w:val="Definition"/>
      </w:pPr>
      <w:r w:rsidRPr="00583E1A">
        <w:rPr>
          <w:b/>
          <w:i/>
        </w:rPr>
        <w:t>CGT concession stakeholder</w:t>
      </w:r>
      <w:r w:rsidRPr="00583E1A">
        <w:t xml:space="preserve"> has the meaning given by subsection 152</w:t>
      </w:r>
      <w:r w:rsidR="00583E1A">
        <w:noBreakHyphen/>
      </w:r>
      <w:r w:rsidRPr="00583E1A">
        <w:t>60.</w:t>
      </w:r>
    </w:p>
    <w:p w:rsidR="00887330" w:rsidRPr="00583E1A" w:rsidRDefault="00887330" w:rsidP="00887330">
      <w:pPr>
        <w:pStyle w:val="Definition"/>
      </w:pPr>
      <w:r w:rsidRPr="00583E1A">
        <w:rPr>
          <w:b/>
          <w:i/>
        </w:rPr>
        <w:t>CGT event</w:t>
      </w:r>
      <w:r w:rsidRPr="00583E1A">
        <w:t xml:space="preserve"> means any of the CGT events described in Division</w:t>
      </w:r>
      <w:r w:rsidR="00583E1A">
        <w:t> </w:t>
      </w:r>
      <w:r w:rsidRPr="00583E1A">
        <w:t xml:space="preserve">104. A CGT event described by number (for example: </w:t>
      </w:r>
      <w:r w:rsidRPr="00583E1A">
        <w:rPr>
          <w:b/>
          <w:i/>
        </w:rPr>
        <w:t>CGT event A1</w:t>
      </w:r>
      <w:r w:rsidRPr="00583E1A">
        <w:t>) refers to the relevant event in that Division.</w:t>
      </w:r>
    </w:p>
    <w:p w:rsidR="00887330" w:rsidRPr="00583E1A" w:rsidRDefault="00887330" w:rsidP="00887330">
      <w:pPr>
        <w:pStyle w:val="Definition"/>
      </w:pPr>
      <w:r w:rsidRPr="00583E1A">
        <w:rPr>
          <w:b/>
          <w:i/>
        </w:rPr>
        <w:t>CGT exempt amount</w:t>
      </w:r>
      <w:r w:rsidRPr="00583E1A">
        <w:t xml:space="preserve"> has the meaning given by section</w:t>
      </w:r>
      <w:r w:rsidR="00583E1A">
        <w:t> </w:t>
      </w:r>
      <w:r w:rsidRPr="00583E1A">
        <w:t>152</w:t>
      </w:r>
      <w:r w:rsidR="00583E1A">
        <w:noBreakHyphen/>
      </w:r>
      <w:r w:rsidRPr="00583E1A">
        <w:t>315.</w:t>
      </w:r>
    </w:p>
    <w:p w:rsidR="00887330" w:rsidRPr="00583E1A" w:rsidRDefault="00887330" w:rsidP="00887330">
      <w:pPr>
        <w:pStyle w:val="Definition"/>
      </w:pPr>
      <w:r w:rsidRPr="00583E1A">
        <w:rPr>
          <w:b/>
          <w:i/>
        </w:rPr>
        <w:t>CGT retirement exemption limit</w:t>
      </w:r>
      <w:r w:rsidRPr="00583E1A">
        <w:t xml:space="preserve"> has the meaning given by section</w:t>
      </w:r>
      <w:r w:rsidR="00583E1A">
        <w:t> </w:t>
      </w:r>
      <w:r w:rsidRPr="00583E1A">
        <w:t>152</w:t>
      </w:r>
      <w:r w:rsidR="00583E1A">
        <w:noBreakHyphen/>
      </w:r>
      <w:r w:rsidRPr="00583E1A">
        <w:t>320.</w:t>
      </w:r>
    </w:p>
    <w:p w:rsidR="00887330" w:rsidRPr="00583E1A" w:rsidRDefault="00887330" w:rsidP="00887330">
      <w:pPr>
        <w:pStyle w:val="Definition"/>
      </w:pPr>
      <w:r w:rsidRPr="00583E1A">
        <w:rPr>
          <w:b/>
          <w:i/>
        </w:rPr>
        <w:t>chain of trusts</w:t>
      </w:r>
      <w:r w:rsidRPr="00583E1A">
        <w:t xml:space="preserve"> has the meaning given by section</w:t>
      </w:r>
      <w:r w:rsidR="00583E1A">
        <w:t> </w:t>
      </w:r>
      <w:r w:rsidRPr="00583E1A">
        <w:t>104</w:t>
      </w:r>
      <w:r w:rsidR="00583E1A">
        <w:noBreakHyphen/>
      </w:r>
      <w:r w:rsidRPr="00583E1A">
        <w:t>71.</w:t>
      </w:r>
    </w:p>
    <w:p w:rsidR="00887330" w:rsidRPr="00583E1A" w:rsidRDefault="00887330" w:rsidP="00887330">
      <w:pPr>
        <w:pStyle w:val="Definition"/>
        <w:rPr>
          <w:b/>
          <w:i/>
        </w:rPr>
      </w:pPr>
      <w:r w:rsidRPr="00583E1A">
        <w:rPr>
          <w:b/>
          <w:i/>
        </w:rPr>
        <w:t>changeover time</w:t>
      </w:r>
      <w:r w:rsidRPr="00583E1A">
        <w:t xml:space="preserve"> for a company has the meaning given by sections</w:t>
      </w:r>
      <w:r w:rsidR="00583E1A">
        <w:t> </w:t>
      </w:r>
      <w:r w:rsidRPr="00583E1A">
        <w:t>165</w:t>
      </w:r>
      <w:r w:rsidR="00583E1A">
        <w:noBreakHyphen/>
      </w:r>
      <w:r w:rsidRPr="00583E1A">
        <w:t>115C, 165</w:t>
      </w:r>
      <w:r w:rsidR="00583E1A">
        <w:noBreakHyphen/>
      </w:r>
      <w:r w:rsidRPr="00583E1A">
        <w:t>115D and 719</w:t>
      </w:r>
      <w:r w:rsidR="00583E1A">
        <w:noBreakHyphen/>
      </w:r>
      <w:r w:rsidRPr="00583E1A">
        <w:t>705.</w:t>
      </w:r>
    </w:p>
    <w:p w:rsidR="00FE10D3" w:rsidRPr="00583E1A" w:rsidRDefault="00FE10D3" w:rsidP="00FE10D3">
      <w:pPr>
        <w:pStyle w:val="Definition"/>
      </w:pPr>
      <w:r w:rsidRPr="00583E1A">
        <w:rPr>
          <w:b/>
          <w:i/>
        </w:rPr>
        <w:t>child</w:t>
      </w:r>
      <w:r w:rsidRPr="00583E1A">
        <w:t xml:space="preserve">: without limiting who is a child of an individual, each of the following is the </w:t>
      </w:r>
      <w:r w:rsidRPr="00583E1A">
        <w:rPr>
          <w:b/>
          <w:i/>
        </w:rPr>
        <w:t xml:space="preserve">child </w:t>
      </w:r>
      <w:r w:rsidRPr="00583E1A">
        <w:t>of an individual:</w:t>
      </w:r>
    </w:p>
    <w:p w:rsidR="00FE10D3" w:rsidRPr="00583E1A" w:rsidRDefault="00FE10D3" w:rsidP="00FE10D3">
      <w:pPr>
        <w:pStyle w:val="paragraph"/>
      </w:pPr>
      <w:r w:rsidRPr="00583E1A">
        <w:tab/>
        <w:t>(a)</w:t>
      </w:r>
      <w:r w:rsidRPr="00583E1A">
        <w:tab/>
        <w:t xml:space="preserve">the individual’s </w:t>
      </w:r>
      <w:r w:rsidR="00583E1A" w:rsidRPr="00583E1A">
        <w:rPr>
          <w:position w:val="6"/>
          <w:sz w:val="16"/>
        </w:rPr>
        <w:t>*</w:t>
      </w:r>
      <w:r w:rsidRPr="00583E1A">
        <w:t>adopted child, stepchild or exnuptial child;</w:t>
      </w:r>
    </w:p>
    <w:p w:rsidR="00FE10D3" w:rsidRPr="00583E1A" w:rsidRDefault="00FE10D3" w:rsidP="00FE10D3">
      <w:pPr>
        <w:pStyle w:val="paragraph"/>
      </w:pPr>
      <w:r w:rsidRPr="00583E1A">
        <w:tab/>
        <w:t>(b)</w:t>
      </w:r>
      <w:r w:rsidRPr="00583E1A">
        <w:tab/>
        <w:t xml:space="preserve">a child of the individual’s </w:t>
      </w:r>
      <w:r w:rsidR="00583E1A" w:rsidRPr="00583E1A">
        <w:rPr>
          <w:position w:val="6"/>
          <w:sz w:val="16"/>
        </w:rPr>
        <w:t>*</w:t>
      </w:r>
      <w:r w:rsidRPr="00583E1A">
        <w:t>spouse;</w:t>
      </w:r>
    </w:p>
    <w:p w:rsidR="00FE10D3" w:rsidRPr="00583E1A" w:rsidRDefault="00FE10D3" w:rsidP="00FE10D3">
      <w:pPr>
        <w:pStyle w:val="paragraph"/>
      </w:pPr>
      <w:r w:rsidRPr="00583E1A">
        <w:tab/>
        <w:t>(c)</w:t>
      </w:r>
      <w:r w:rsidRPr="00583E1A">
        <w:tab/>
        <w:t xml:space="preserve">someone who is a child of the individual within the meaning of the </w:t>
      </w:r>
      <w:r w:rsidRPr="00583E1A">
        <w:rPr>
          <w:i/>
        </w:rPr>
        <w:t>Family Law Act 1975</w:t>
      </w:r>
      <w:r w:rsidRPr="00583E1A">
        <w:t>.</w:t>
      </w:r>
    </w:p>
    <w:p w:rsidR="00887330" w:rsidRPr="00583E1A" w:rsidRDefault="00887330" w:rsidP="00887330">
      <w:pPr>
        <w:pStyle w:val="Definition"/>
      </w:pPr>
      <w:r w:rsidRPr="00583E1A">
        <w:rPr>
          <w:b/>
          <w:i/>
        </w:rPr>
        <w:t xml:space="preserve">child care base week </w:t>
      </w:r>
      <w:r w:rsidRPr="00583E1A">
        <w:t>has the meaning given by section</w:t>
      </w:r>
      <w:r w:rsidR="00583E1A">
        <w:t> </w:t>
      </w:r>
      <w:r w:rsidRPr="00583E1A">
        <w:t>61</w:t>
      </w:r>
      <w:r w:rsidR="00583E1A">
        <w:noBreakHyphen/>
      </w:r>
      <w:r w:rsidRPr="00583E1A">
        <w:t>470.</w:t>
      </w:r>
    </w:p>
    <w:p w:rsidR="00887330" w:rsidRPr="00583E1A" w:rsidRDefault="00887330" w:rsidP="00887330">
      <w:pPr>
        <w:pStyle w:val="Definition"/>
      </w:pPr>
      <w:r w:rsidRPr="00583E1A">
        <w:rPr>
          <w:b/>
          <w:i/>
        </w:rPr>
        <w:t xml:space="preserve">child care offset limit </w:t>
      </w:r>
      <w:r w:rsidRPr="00583E1A">
        <w:t>has the meaning given by section</w:t>
      </w:r>
      <w:r w:rsidR="00583E1A">
        <w:t> </w:t>
      </w:r>
      <w:r w:rsidRPr="00583E1A">
        <w:t>61</w:t>
      </w:r>
      <w:r w:rsidR="00583E1A">
        <w:noBreakHyphen/>
      </w:r>
      <w:r w:rsidRPr="00583E1A">
        <w:t>495.</w:t>
      </w:r>
    </w:p>
    <w:p w:rsidR="00887330" w:rsidRPr="00583E1A" w:rsidRDefault="00887330" w:rsidP="00887330">
      <w:pPr>
        <w:pStyle w:val="Definition"/>
      </w:pPr>
      <w:r w:rsidRPr="00583E1A">
        <w:rPr>
          <w:b/>
          <w:i/>
        </w:rPr>
        <w:t>child event</w:t>
      </w:r>
      <w:r w:rsidRPr="00583E1A">
        <w:t xml:space="preserve"> has the meaning given by section</w:t>
      </w:r>
      <w:r w:rsidR="00583E1A">
        <w:t> </w:t>
      </w:r>
      <w:r w:rsidRPr="00583E1A">
        <w:t>61</w:t>
      </w:r>
      <w:r w:rsidR="00583E1A">
        <w:noBreakHyphen/>
      </w:r>
      <w:r w:rsidRPr="00583E1A">
        <w:t>360.</w:t>
      </w:r>
    </w:p>
    <w:p w:rsidR="00887330" w:rsidRPr="00583E1A" w:rsidRDefault="00887330" w:rsidP="00887330">
      <w:pPr>
        <w:pStyle w:val="Definition"/>
      </w:pPr>
      <w:r w:rsidRPr="00583E1A">
        <w:rPr>
          <w:b/>
          <w:i/>
        </w:rPr>
        <w:lastRenderedPageBreak/>
        <w:t>class</w:t>
      </w:r>
      <w:r w:rsidRPr="00583E1A">
        <w:t xml:space="preserve"> of a taxable income or a </w:t>
      </w:r>
      <w:r w:rsidR="00583E1A" w:rsidRPr="00583E1A">
        <w:rPr>
          <w:position w:val="6"/>
          <w:sz w:val="16"/>
        </w:rPr>
        <w:t>*</w:t>
      </w:r>
      <w:r w:rsidRPr="00583E1A">
        <w:t xml:space="preserve">tax loss of a </w:t>
      </w:r>
      <w:r w:rsidR="00583E1A" w:rsidRPr="00583E1A">
        <w:rPr>
          <w:position w:val="6"/>
          <w:sz w:val="16"/>
        </w:rPr>
        <w:t>*</w:t>
      </w:r>
      <w:r w:rsidRPr="00583E1A">
        <w:t>life insurance company has the meaning given by section</w:t>
      </w:r>
      <w:r w:rsidR="00583E1A">
        <w:t> </w:t>
      </w:r>
      <w:r w:rsidRPr="00583E1A">
        <w:t>320</w:t>
      </w:r>
      <w:r w:rsidR="00583E1A">
        <w:noBreakHyphen/>
      </w:r>
      <w:r w:rsidRPr="00583E1A">
        <w:t>133.</w:t>
      </w:r>
    </w:p>
    <w:p w:rsidR="00887330" w:rsidRPr="00583E1A" w:rsidRDefault="00887330" w:rsidP="00887330">
      <w:pPr>
        <w:pStyle w:val="Definition"/>
      </w:pPr>
      <w:r w:rsidRPr="00583E1A">
        <w:rPr>
          <w:b/>
          <w:i/>
        </w:rPr>
        <w:t>class</w:t>
      </w:r>
      <w:r w:rsidRPr="00583E1A">
        <w:t xml:space="preserve">: </w:t>
      </w:r>
      <w:r w:rsidR="00583E1A" w:rsidRPr="00583E1A">
        <w:rPr>
          <w:position w:val="6"/>
          <w:sz w:val="16"/>
        </w:rPr>
        <w:t>*</w:t>
      </w:r>
      <w:r w:rsidRPr="00583E1A">
        <w:t>membership interests in a company</w:t>
      </w:r>
      <w:r w:rsidR="00C0654D" w:rsidRPr="00C0654D">
        <w:t xml:space="preserve"> </w:t>
      </w:r>
      <w:r w:rsidR="00C0654D" w:rsidRPr="00BD079D">
        <w:t>or trust</w:t>
      </w:r>
      <w:r w:rsidRPr="00583E1A">
        <w:t xml:space="preserve"> form a </w:t>
      </w:r>
      <w:r w:rsidRPr="00583E1A">
        <w:rPr>
          <w:b/>
          <w:i/>
        </w:rPr>
        <w:t xml:space="preserve">class </w:t>
      </w:r>
      <w:r w:rsidRPr="00583E1A">
        <w:t>if the interests have the same, or substantially the same, rights.</w:t>
      </w:r>
    </w:p>
    <w:p w:rsidR="00C96F49" w:rsidRPr="00583E1A" w:rsidRDefault="00C96F49" w:rsidP="00C96F49">
      <w:pPr>
        <w:pStyle w:val="Definition"/>
      </w:pPr>
      <w:r w:rsidRPr="00583E1A">
        <w:rPr>
          <w:b/>
          <w:i/>
        </w:rPr>
        <w:t>Climate Change Department</w:t>
      </w:r>
      <w:r w:rsidRPr="00583E1A">
        <w:t xml:space="preserve"> means the Department that:</w:t>
      </w:r>
    </w:p>
    <w:p w:rsidR="00C96F49" w:rsidRPr="00583E1A" w:rsidRDefault="00C96F49" w:rsidP="00C96F49">
      <w:pPr>
        <w:pStyle w:val="paragraph"/>
      </w:pPr>
      <w:r w:rsidRPr="00583E1A">
        <w:tab/>
        <w:t>(a)</w:t>
      </w:r>
      <w:r w:rsidRPr="00583E1A">
        <w:tab/>
        <w:t>deals with matters arising under section</w:t>
      </w:r>
      <w:r w:rsidR="00583E1A">
        <w:t> </w:t>
      </w:r>
      <w:r w:rsidRPr="00583E1A">
        <w:t xml:space="preserve">1 of the </w:t>
      </w:r>
      <w:r w:rsidRPr="00583E1A">
        <w:rPr>
          <w:i/>
        </w:rPr>
        <w:t>National Greenhouse and Energy Reporting Act 2007</w:t>
      </w:r>
      <w:r w:rsidRPr="00583E1A">
        <w:t>; and</w:t>
      </w:r>
    </w:p>
    <w:p w:rsidR="00C96F49" w:rsidRPr="00583E1A" w:rsidRDefault="00C96F49" w:rsidP="00C96F49">
      <w:pPr>
        <w:pStyle w:val="paragraph"/>
      </w:pPr>
      <w:r w:rsidRPr="00583E1A">
        <w:tab/>
        <w:t>(b)</w:t>
      </w:r>
      <w:r w:rsidRPr="00583E1A">
        <w:tab/>
        <w:t xml:space="preserve">is administered by the </w:t>
      </w:r>
      <w:r w:rsidR="00583E1A" w:rsidRPr="00583E1A">
        <w:rPr>
          <w:position w:val="6"/>
          <w:sz w:val="16"/>
        </w:rPr>
        <w:t>*</w:t>
      </w:r>
      <w:r w:rsidRPr="00583E1A">
        <w:t>Climate Change Minister.</w:t>
      </w:r>
    </w:p>
    <w:p w:rsidR="00724494" w:rsidRPr="00583E1A" w:rsidRDefault="00724494" w:rsidP="00724494">
      <w:pPr>
        <w:pStyle w:val="Definition"/>
      </w:pPr>
      <w:r w:rsidRPr="00583E1A">
        <w:rPr>
          <w:b/>
          <w:i/>
        </w:rPr>
        <w:t>Climate Change Minister</w:t>
      </w:r>
      <w:r w:rsidRPr="00583E1A">
        <w:t xml:space="preserve"> means the Minister administering</w:t>
      </w:r>
      <w:r w:rsidR="00D147C3" w:rsidRPr="00583E1A">
        <w:t xml:space="preserve"> section</w:t>
      </w:r>
      <w:r w:rsidR="00583E1A">
        <w:t> </w:t>
      </w:r>
      <w:r w:rsidR="00D147C3" w:rsidRPr="00583E1A">
        <w:t>1 of</w:t>
      </w:r>
      <w:r w:rsidRPr="00583E1A">
        <w:t xml:space="preserve"> the </w:t>
      </w:r>
      <w:r w:rsidRPr="00583E1A">
        <w:rPr>
          <w:i/>
        </w:rPr>
        <w:t>National Greenhouse and Energy Reporting Act 2007</w:t>
      </w:r>
      <w:r w:rsidRPr="00583E1A">
        <w:t>.</w:t>
      </w:r>
    </w:p>
    <w:p w:rsidR="00D147C3" w:rsidRPr="00583E1A" w:rsidRDefault="00D147C3" w:rsidP="00D147C3">
      <w:pPr>
        <w:pStyle w:val="Definition"/>
      </w:pPr>
      <w:r w:rsidRPr="00583E1A">
        <w:rPr>
          <w:b/>
          <w:i/>
        </w:rPr>
        <w:t>Climate Change Secretary</w:t>
      </w:r>
      <w:r w:rsidRPr="00583E1A">
        <w:t xml:space="preserve"> means the Secretary of the </w:t>
      </w:r>
      <w:r w:rsidR="00583E1A" w:rsidRPr="00583E1A">
        <w:rPr>
          <w:position w:val="6"/>
          <w:sz w:val="16"/>
        </w:rPr>
        <w:t>*</w:t>
      </w:r>
      <w:r w:rsidRPr="00583E1A">
        <w:t>Climate Change Department.</w:t>
      </w:r>
    </w:p>
    <w:p w:rsidR="00887330" w:rsidRPr="00583E1A" w:rsidRDefault="00887330" w:rsidP="00887330">
      <w:pPr>
        <w:pStyle w:val="Definition"/>
      </w:pPr>
      <w:r w:rsidRPr="00583E1A">
        <w:rPr>
          <w:b/>
          <w:i/>
        </w:rPr>
        <w:t>closing pool balance</w:t>
      </w:r>
      <w:r w:rsidRPr="00583E1A">
        <w:t xml:space="preserve"> has the meaning given by:</w:t>
      </w:r>
    </w:p>
    <w:p w:rsidR="00887330" w:rsidRPr="00583E1A" w:rsidRDefault="00887330" w:rsidP="00887330">
      <w:pPr>
        <w:pStyle w:val="paragraph"/>
      </w:pPr>
      <w:r w:rsidRPr="00583E1A">
        <w:tab/>
        <w:t>(a)</w:t>
      </w:r>
      <w:r w:rsidRPr="00583E1A">
        <w:tab/>
        <w:t>for a low</w:t>
      </w:r>
      <w:r w:rsidR="00583E1A">
        <w:noBreakHyphen/>
      </w:r>
      <w:r w:rsidRPr="00583E1A">
        <w:t>value pool—section</w:t>
      </w:r>
      <w:r w:rsidR="00583E1A">
        <w:t> </w:t>
      </w:r>
      <w:r w:rsidRPr="00583E1A">
        <w:t>40</w:t>
      </w:r>
      <w:r w:rsidR="00583E1A">
        <w:noBreakHyphen/>
      </w:r>
      <w:r w:rsidRPr="00583E1A">
        <w:t>440; or</w:t>
      </w:r>
    </w:p>
    <w:p w:rsidR="00887330" w:rsidRPr="00583E1A" w:rsidRDefault="00887330" w:rsidP="00887330">
      <w:pPr>
        <w:pStyle w:val="paragraph"/>
      </w:pPr>
      <w:r w:rsidRPr="00583E1A">
        <w:tab/>
        <w:t>(b)</w:t>
      </w:r>
      <w:r w:rsidRPr="00583E1A">
        <w:tab/>
        <w:t xml:space="preserve">for a </w:t>
      </w:r>
      <w:r w:rsidR="00583E1A" w:rsidRPr="00583E1A">
        <w:rPr>
          <w:position w:val="6"/>
          <w:sz w:val="16"/>
        </w:rPr>
        <w:t>*</w:t>
      </w:r>
      <w:r w:rsidRPr="00583E1A">
        <w:t xml:space="preserve">general </w:t>
      </w:r>
      <w:r w:rsidR="007D7074" w:rsidRPr="00583E1A">
        <w:t>small business</w:t>
      </w:r>
      <w:r w:rsidRPr="00583E1A">
        <w:t xml:space="preserve"> pool—section</w:t>
      </w:r>
      <w:r w:rsidR="00583E1A">
        <w:t> </w:t>
      </w:r>
      <w:r w:rsidRPr="00583E1A">
        <w:t>328</w:t>
      </w:r>
      <w:r w:rsidR="00583E1A">
        <w:noBreakHyphen/>
      </w:r>
      <w:r w:rsidRPr="00583E1A">
        <w:t>200.</w:t>
      </w:r>
    </w:p>
    <w:p w:rsidR="00887330" w:rsidRPr="00583E1A" w:rsidRDefault="00887330" w:rsidP="00887330">
      <w:pPr>
        <w:pStyle w:val="Definition"/>
      </w:pPr>
      <w:r w:rsidRPr="00583E1A">
        <w:rPr>
          <w:b/>
          <w:i/>
        </w:rPr>
        <w:t>closing pool value</w:t>
      </w:r>
      <w:r w:rsidRPr="00583E1A">
        <w:t xml:space="preserve"> has the meaning given by section</w:t>
      </w:r>
      <w:r w:rsidR="00583E1A">
        <w:t> </w:t>
      </w:r>
      <w:r w:rsidRPr="00583E1A">
        <w:t>40</w:t>
      </w:r>
      <w:r w:rsidR="00583E1A">
        <w:noBreakHyphen/>
      </w:r>
      <w:r w:rsidRPr="00583E1A">
        <w:t>830.</w:t>
      </w:r>
    </w:p>
    <w:p w:rsidR="00887330" w:rsidRPr="00583E1A" w:rsidRDefault="00887330" w:rsidP="00887330">
      <w:pPr>
        <w:pStyle w:val="Definition"/>
      </w:pPr>
      <w:r w:rsidRPr="00583E1A">
        <w:rPr>
          <w:b/>
          <w:i/>
        </w:rPr>
        <w:t>collectable</w:t>
      </w:r>
      <w:r w:rsidRPr="00583E1A">
        <w:t xml:space="preserve"> has the meaning given by section</w:t>
      </w:r>
      <w:r w:rsidR="00583E1A">
        <w:t> </w:t>
      </w:r>
      <w:r w:rsidRPr="00583E1A">
        <w:t>108</w:t>
      </w:r>
      <w:r w:rsidR="00583E1A">
        <w:noBreakHyphen/>
      </w:r>
      <w:r w:rsidRPr="00583E1A">
        <w:t>10.</w:t>
      </w:r>
    </w:p>
    <w:p w:rsidR="00887330" w:rsidRPr="00583E1A" w:rsidRDefault="00887330" w:rsidP="00887330">
      <w:pPr>
        <w:pStyle w:val="Definition"/>
      </w:pPr>
      <w:r w:rsidRPr="00583E1A">
        <w:rPr>
          <w:b/>
          <w:i/>
        </w:rPr>
        <w:t>commencing day</w:t>
      </w:r>
      <w:r w:rsidRPr="00583E1A">
        <w:t xml:space="preserve"> of a </w:t>
      </w:r>
      <w:r w:rsidR="00583E1A" w:rsidRPr="00583E1A">
        <w:rPr>
          <w:position w:val="6"/>
          <w:sz w:val="16"/>
        </w:rPr>
        <w:t>*</w:t>
      </w:r>
      <w:r w:rsidRPr="00583E1A">
        <w:t>CFC has the meaning given by section</w:t>
      </w:r>
      <w:r w:rsidR="00583E1A">
        <w:t> </w:t>
      </w:r>
      <w:r w:rsidRPr="00583E1A">
        <w:t xml:space="preserve">406 of the </w:t>
      </w:r>
      <w:r w:rsidRPr="00583E1A">
        <w:rPr>
          <w:i/>
        </w:rPr>
        <w:t>Income Tax Assessment Act 1936</w:t>
      </w:r>
      <w:r w:rsidRPr="00583E1A">
        <w:t>.</w:t>
      </w:r>
    </w:p>
    <w:p w:rsidR="00887330" w:rsidRPr="00583E1A" w:rsidRDefault="00887330" w:rsidP="00887330">
      <w:pPr>
        <w:pStyle w:val="Definition"/>
      </w:pPr>
      <w:r w:rsidRPr="00583E1A">
        <w:rPr>
          <w:b/>
          <w:i/>
        </w:rPr>
        <w:t>commencing day asset</w:t>
      </w:r>
      <w:r w:rsidRPr="00583E1A">
        <w:t xml:space="preserve"> of a </w:t>
      </w:r>
      <w:r w:rsidR="00583E1A" w:rsidRPr="00583E1A">
        <w:rPr>
          <w:position w:val="6"/>
          <w:sz w:val="16"/>
        </w:rPr>
        <w:t>*</w:t>
      </w:r>
      <w:r w:rsidRPr="00583E1A">
        <w:t>CFC has the meaning given by section</w:t>
      </w:r>
      <w:r w:rsidR="00583E1A">
        <w:t> </w:t>
      </w:r>
      <w:r w:rsidRPr="00583E1A">
        <w:t xml:space="preserve">406 of the </w:t>
      </w:r>
      <w:r w:rsidRPr="00583E1A">
        <w:rPr>
          <w:i/>
        </w:rPr>
        <w:t>Income Tax Assessment Act 1936</w:t>
      </w:r>
      <w:r w:rsidRPr="00583E1A">
        <w:t>.</w:t>
      </w:r>
    </w:p>
    <w:p w:rsidR="00887330" w:rsidRPr="00583E1A" w:rsidRDefault="00887330" w:rsidP="00887330">
      <w:pPr>
        <w:pStyle w:val="Definition"/>
      </w:pPr>
      <w:r w:rsidRPr="00583E1A">
        <w:rPr>
          <w:b/>
          <w:i/>
        </w:rPr>
        <w:t>commercial horticulture</w:t>
      </w:r>
      <w:r w:rsidRPr="00583E1A">
        <w:t xml:space="preserve"> has the meaning given by 40</w:t>
      </w:r>
      <w:r w:rsidR="00583E1A">
        <w:noBreakHyphen/>
      </w:r>
      <w:r w:rsidRPr="00583E1A">
        <w:t>535.</w:t>
      </w:r>
    </w:p>
    <w:p w:rsidR="00887330" w:rsidRPr="00583E1A" w:rsidRDefault="00887330" w:rsidP="00887330">
      <w:pPr>
        <w:pStyle w:val="Definition"/>
      </w:pPr>
      <w:r w:rsidRPr="00583E1A">
        <w:rPr>
          <w:b/>
          <w:i/>
        </w:rPr>
        <w:t>Commissioner</w:t>
      </w:r>
      <w:r w:rsidRPr="00583E1A">
        <w:t xml:space="preserve"> means the Commissioner of Taxation.</w:t>
      </w:r>
    </w:p>
    <w:p w:rsidR="00887330" w:rsidRPr="00583E1A" w:rsidRDefault="00887330" w:rsidP="00887330">
      <w:pPr>
        <w:pStyle w:val="notetext"/>
      </w:pPr>
      <w:r w:rsidRPr="00583E1A">
        <w:t>Note:</w:t>
      </w:r>
      <w:r w:rsidRPr="00583E1A">
        <w:tab/>
        <w:t>The office of Commissioner of Taxation is created by section</w:t>
      </w:r>
      <w:r w:rsidR="00583E1A">
        <w:t> </w:t>
      </w:r>
      <w:r w:rsidRPr="00583E1A">
        <w:t xml:space="preserve">4 of the </w:t>
      </w:r>
      <w:r w:rsidRPr="00583E1A">
        <w:rPr>
          <w:i/>
        </w:rPr>
        <w:t>Taxation Administration Act 1953</w:t>
      </w:r>
      <w:r w:rsidRPr="00583E1A">
        <w:t>.</w:t>
      </w:r>
    </w:p>
    <w:p w:rsidR="00887330" w:rsidRPr="00583E1A" w:rsidRDefault="00887330" w:rsidP="00887330">
      <w:pPr>
        <w:pStyle w:val="Definition"/>
      </w:pPr>
      <w:r w:rsidRPr="00583E1A">
        <w:rPr>
          <w:b/>
          <w:i/>
        </w:rPr>
        <w:t>Commissioner’s instalment rate</w:t>
      </w:r>
      <w:r w:rsidRPr="00583E1A">
        <w:t xml:space="preserve"> has the meaning given by section</w:t>
      </w:r>
      <w:r w:rsidR="00583E1A">
        <w:t> </w:t>
      </w:r>
      <w:r w:rsidRPr="00583E1A">
        <w:t>45</w:t>
      </w:r>
      <w:r w:rsidR="00583E1A">
        <w:noBreakHyphen/>
      </w:r>
      <w:r w:rsidRPr="00583E1A">
        <w:t>115 in Schedule</w:t>
      </w:r>
      <w:r w:rsidR="00583E1A">
        <w:t> </w:t>
      </w:r>
      <w:r w:rsidRPr="00583E1A">
        <w:t xml:space="preserve">1 to the </w:t>
      </w:r>
      <w:r w:rsidRPr="00583E1A">
        <w:rPr>
          <w:i/>
        </w:rPr>
        <w:t>Taxation Administration Act 1953</w:t>
      </w:r>
      <w:r w:rsidRPr="00583E1A">
        <w:t>.</w:t>
      </w:r>
    </w:p>
    <w:p w:rsidR="00887330" w:rsidRPr="00583E1A" w:rsidRDefault="00887330" w:rsidP="00887330">
      <w:pPr>
        <w:pStyle w:val="Definition"/>
      </w:pPr>
      <w:r w:rsidRPr="00583E1A">
        <w:rPr>
          <w:b/>
          <w:i/>
        </w:rPr>
        <w:lastRenderedPageBreak/>
        <w:t>committed capital</w:t>
      </w:r>
      <w:r w:rsidRPr="00583E1A">
        <w:t xml:space="preserve"> of a partnership has the meaning given by section</w:t>
      </w:r>
      <w:r w:rsidR="00583E1A">
        <w:t> </w:t>
      </w:r>
      <w:r w:rsidRPr="00583E1A">
        <w:t>118</w:t>
      </w:r>
      <w:r w:rsidR="00583E1A">
        <w:noBreakHyphen/>
      </w:r>
      <w:r w:rsidRPr="00583E1A">
        <w:t>445.</w:t>
      </w:r>
    </w:p>
    <w:p w:rsidR="00887330" w:rsidRPr="00583E1A" w:rsidRDefault="00887330" w:rsidP="00887330">
      <w:pPr>
        <w:pStyle w:val="Definition"/>
      </w:pPr>
      <w:r w:rsidRPr="00583E1A">
        <w:rPr>
          <w:b/>
          <w:i/>
        </w:rPr>
        <w:t>common ownership</w:t>
      </w:r>
      <w:r w:rsidRPr="00583E1A">
        <w:t xml:space="preserve">: see </w:t>
      </w:r>
      <w:r w:rsidRPr="00583E1A">
        <w:rPr>
          <w:b/>
          <w:i/>
        </w:rPr>
        <w:t>under common ownership</w:t>
      </w:r>
      <w:r w:rsidRPr="00583E1A">
        <w:t>.</w:t>
      </w:r>
    </w:p>
    <w:p w:rsidR="00887330" w:rsidRPr="00583E1A" w:rsidRDefault="00887330" w:rsidP="00887330">
      <w:pPr>
        <w:pStyle w:val="Definition"/>
      </w:pPr>
      <w:r w:rsidRPr="00583E1A">
        <w:rPr>
          <w:b/>
          <w:i/>
        </w:rPr>
        <w:t>common</w:t>
      </w:r>
      <w:r w:rsidR="00583E1A">
        <w:rPr>
          <w:b/>
          <w:i/>
        </w:rPr>
        <w:noBreakHyphen/>
      </w:r>
      <w:r w:rsidRPr="00583E1A">
        <w:rPr>
          <w:b/>
          <w:i/>
        </w:rPr>
        <w:t>ownership nexus</w:t>
      </w:r>
      <w:r w:rsidRPr="00583E1A">
        <w:t>: see section</w:t>
      </w:r>
      <w:r w:rsidR="00583E1A">
        <w:t> </w:t>
      </w:r>
      <w:r w:rsidRPr="00583E1A">
        <w:t>727</w:t>
      </w:r>
      <w:r w:rsidR="00583E1A">
        <w:noBreakHyphen/>
      </w:r>
      <w:r w:rsidRPr="00583E1A">
        <w:t>400.</w:t>
      </w:r>
    </w:p>
    <w:p w:rsidR="004A5888" w:rsidRPr="0038586A" w:rsidRDefault="004A5888" w:rsidP="004A5888">
      <w:pPr>
        <w:pStyle w:val="Definition"/>
      </w:pPr>
      <w:r w:rsidRPr="0038586A">
        <w:rPr>
          <w:b/>
          <w:i/>
        </w:rPr>
        <w:t>common stake</w:t>
      </w:r>
      <w:r w:rsidRPr="0038586A">
        <w:t xml:space="preserve"> has the meaning given by section 124</w:t>
      </w:r>
      <w:r w:rsidRPr="0038586A">
        <w:noBreakHyphen/>
        <w:t>783.</w:t>
      </w:r>
    </w:p>
    <w:p w:rsidR="004A5888" w:rsidRPr="0038586A" w:rsidRDefault="004A5888" w:rsidP="004A5888">
      <w:pPr>
        <w:pStyle w:val="Definition"/>
      </w:pPr>
      <w:r w:rsidRPr="0038586A">
        <w:rPr>
          <w:b/>
          <w:i/>
        </w:rPr>
        <w:t>common stakeholder</w:t>
      </w:r>
      <w:r w:rsidRPr="0038586A">
        <w:t xml:space="preserve"> has the meaning given by section 124</w:t>
      </w:r>
      <w:r w:rsidRPr="0038586A">
        <w:noBreakHyphen/>
        <w:t>783.</w:t>
      </w:r>
    </w:p>
    <w:p w:rsidR="00887330" w:rsidRPr="00583E1A" w:rsidRDefault="00887330" w:rsidP="00887330">
      <w:pPr>
        <w:pStyle w:val="Definition"/>
      </w:pPr>
      <w:r w:rsidRPr="00583E1A">
        <w:rPr>
          <w:b/>
          <w:i/>
        </w:rPr>
        <w:t xml:space="preserve">Commonwealth education or training payment </w:t>
      </w:r>
      <w:r w:rsidRPr="00583E1A">
        <w:t>has the meaning given by subsection 52</w:t>
      </w:r>
      <w:r w:rsidR="00583E1A">
        <w:noBreakHyphen/>
      </w:r>
      <w:r w:rsidRPr="00583E1A">
        <w:t>145(1).</w:t>
      </w:r>
    </w:p>
    <w:p w:rsidR="00887330" w:rsidRPr="00583E1A" w:rsidRDefault="00887330" w:rsidP="00887330">
      <w:pPr>
        <w:pStyle w:val="Definition"/>
      </w:pPr>
      <w:r w:rsidRPr="00583E1A">
        <w:rPr>
          <w:b/>
          <w:i/>
        </w:rPr>
        <w:t>Commonwealth labour market program</w:t>
      </w:r>
      <w:r w:rsidRPr="00583E1A">
        <w:t xml:space="preserve"> has the meaning given by subsection 52</w:t>
      </w:r>
      <w:r w:rsidR="00583E1A">
        <w:noBreakHyphen/>
      </w:r>
      <w:r w:rsidRPr="00583E1A">
        <w:t>145(2).</w:t>
      </w:r>
    </w:p>
    <w:p w:rsidR="00887330" w:rsidRPr="00583E1A" w:rsidRDefault="00887330" w:rsidP="00887330">
      <w:pPr>
        <w:pStyle w:val="Definition"/>
      </w:pPr>
      <w:r w:rsidRPr="00583E1A">
        <w:rPr>
          <w:b/>
          <w:i/>
        </w:rPr>
        <w:t>Commonwealth law</w:t>
      </w:r>
      <w:r w:rsidRPr="00583E1A">
        <w:t xml:space="preserve"> means a law of the Commonwealth.</w:t>
      </w:r>
    </w:p>
    <w:p w:rsidR="00240815" w:rsidRPr="00583E1A" w:rsidRDefault="00240815" w:rsidP="00C65AA2">
      <w:pPr>
        <w:pStyle w:val="Definition"/>
        <w:keepNext/>
        <w:keepLines/>
      </w:pPr>
      <w:smartTag w:uri="urn:schemas-microsoft-com:office:smarttags" w:element="place">
        <w:r w:rsidRPr="00583E1A">
          <w:rPr>
            <w:b/>
            <w:bCs/>
            <w:i/>
            <w:iCs/>
          </w:rPr>
          <w:t>Commonwealth of Nations</w:t>
        </w:r>
      </w:smartTag>
      <w:r w:rsidRPr="00583E1A">
        <w:rPr>
          <w:b/>
          <w:bCs/>
          <w:i/>
          <w:iCs/>
        </w:rPr>
        <w:t xml:space="preserve"> country</w:t>
      </w:r>
      <w:r w:rsidRPr="00583E1A">
        <w:t xml:space="preserve"> means:</w:t>
      </w:r>
    </w:p>
    <w:p w:rsidR="00240815" w:rsidRPr="00583E1A" w:rsidRDefault="00240815" w:rsidP="00240815">
      <w:pPr>
        <w:pStyle w:val="paragraph"/>
      </w:pPr>
      <w:r w:rsidRPr="00583E1A">
        <w:tab/>
        <w:t>(a)</w:t>
      </w:r>
      <w:r w:rsidRPr="00583E1A">
        <w:tab/>
        <w:t xml:space="preserve">a foreign country that is a member of the </w:t>
      </w:r>
      <w:smartTag w:uri="urn:schemas-microsoft-com:office:smarttags" w:element="place">
        <w:r w:rsidRPr="00583E1A">
          <w:t>Commonwealth of Nations</w:t>
        </w:r>
      </w:smartTag>
      <w:r w:rsidRPr="00583E1A">
        <w:t>; or</w:t>
      </w:r>
    </w:p>
    <w:p w:rsidR="00240815" w:rsidRPr="00583E1A" w:rsidRDefault="00240815" w:rsidP="00240815">
      <w:pPr>
        <w:pStyle w:val="paragraph"/>
      </w:pPr>
      <w:r w:rsidRPr="00583E1A">
        <w:tab/>
        <w:t>(b)</w:t>
      </w:r>
      <w:r w:rsidRPr="00583E1A">
        <w:tab/>
        <w:t>a colony, overseas territory or protectorate of such a member; or</w:t>
      </w:r>
    </w:p>
    <w:p w:rsidR="00240815" w:rsidRPr="00583E1A" w:rsidRDefault="00240815" w:rsidP="00240815">
      <w:pPr>
        <w:pStyle w:val="paragraph"/>
      </w:pPr>
      <w:r w:rsidRPr="00583E1A">
        <w:tab/>
        <w:t>(c)</w:t>
      </w:r>
      <w:r w:rsidRPr="00583E1A">
        <w:tab/>
        <w:t>a territory for whose international relations such a member is responsible;</w:t>
      </w:r>
    </w:p>
    <w:p w:rsidR="00240815" w:rsidRPr="00583E1A" w:rsidRDefault="00240815" w:rsidP="00240815">
      <w:pPr>
        <w:pStyle w:val="subsection2"/>
      </w:pPr>
      <w:r w:rsidRPr="00583E1A">
        <w:t xml:space="preserve">other than one declared by the regulations not to be a </w:t>
      </w:r>
      <w:smartTag w:uri="urn:schemas-microsoft-com:office:smarttags" w:element="place">
        <w:r w:rsidRPr="00583E1A">
          <w:t>Commonwealth of Nations</w:t>
        </w:r>
      </w:smartTag>
      <w:r w:rsidRPr="00583E1A">
        <w:t xml:space="preserve"> country.</w:t>
      </w:r>
    </w:p>
    <w:p w:rsidR="00887330" w:rsidRPr="00583E1A" w:rsidRDefault="00887330" w:rsidP="00887330">
      <w:pPr>
        <w:pStyle w:val="Definition"/>
      </w:pPr>
      <w:r w:rsidRPr="00583E1A">
        <w:rPr>
          <w:b/>
          <w:i/>
        </w:rPr>
        <w:t>company</w:t>
      </w:r>
      <w:r w:rsidRPr="00583E1A">
        <w:t xml:space="preserve"> means:</w:t>
      </w:r>
    </w:p>
    <w:p w:rsidR="00887330" w:rsidRPr="00583E1A" w:rsidRDefault="00887330" w:rsidP="00887330">
      <w:pPr>
        <w:pStyle w:val="paragraph"/>
      </w:pPr>
      <w:r w:rsidRPr="00583E1A">
        <w:tab/>
        <w:t>(a)</w:t>
      </w:r>
      <w:r w:rsidRPr="00583E1A">
        <w:tab/>
        <w:t>a body corporate; or</w:t>
      </w:r>
    </w:p>
    <w:p w:rsidR="00887330" w:rsidRPr="00583E1A" w:rsidRDefault="00887330" w:rsidP="00273D27">
      <w:pPr>
        <w:pStyle w:val="paragraph"/>
        <w:keepNext/>
      </w:pPr>
      <w:r w:rsidRPr="00583E1A">
        <w:tab/>
        <w:t>(b)</w:t>
      </w:r>
      <w:r w:rsidRPr="00583E1A">
        <w:tab/>
        <w:t>any other unincorporated association or body of persons;</w:t>
      </w:r>
    </w:p>
    <w:p w:rsidR="00887330" w:rsidRPr="00583E1A" w:rsidRDefault="00887330" w:rsidP="00273D27">
      <w:pPr>
        <w:pStyle w:val="subsection2"/>
        <w:keepNext/>
      </w:pPr>
      <w:r w:rsidRPr="00583E1A">
        <w:t xml:space="preserve">but does not include a partnership or a </w:t>
      </w:r>
      <w:r w:rsidR="00583E1A" w:rsidRPr="00583E1A">
        <w:rPr>
          <w:position w:val="6"/>
          <w:sz w:val="16"/>
        </w:rPr>
        <w:t>*</w:t>
      </w:r>
      <w:r w:rsidRPr="00583E1A">
        <w:t>non</w:t>
      </w:r>
      <w:r w:rsidR="00583E1A">
        <w:noBreakHyphen/>
      </w:r>
      <w:r w:rsidRPr="00583E1A">
        <w:t>entity joint venture.</w:t>
      </w:r>
    </w:p>
    <w:p w:rsidR="00887330" w:rsidRPr="00583E1A" w:rsidRDefault="00887330" w:rsidP="00887330">
      <w:pPr>
        <w:pStyle w:val="notetext"/>
      </w:pPr>
      <w:r w:rsidRPr="00583E1A">
        <w:t>Note</w:t>
      </w:r>
      <w:r w:rsidR="005F0604">
        <w:t xml:space="preserve"> </w:t>
      </w:r>
      <w:r w:rsidR="005F0604" w:rsidRPr="00214FF7">
        <w:t>1</w:t>
      </w:r>
      <w:r w:rsidRPr="00583E1A">
        <w:t>:</w:t>
      </w:r>
      <w:r w:rsidRPr="00583E1A">
        <w:tab/>
        <w:t>Division</w:t>
      </w:r>
      <w:r w:rsidR="00583E1A">
        <w:t> </w:t>
      </w:r>
      <w:r w:rsidRPr="00583E1A">
        <w:t>830 treats foreign hybrid companies as partnerships.</w:t>
      </w:r>
    </w:p>
    <w:p w:rsidR="005F0604" w:rsidRPr="00214FF7" w:rsidRDefault="005F0604" w:rsidP="005F0604">
      <w:pPr>
        <w:pStyle w:val="notetext"/>
      </w:pPr>
      <w:r w:rsidRPr="00214FF7">
        <w:t>Note 2:</w:t>
      </w:r>
      <w:r w:rsidRPr="00214FF7">
        <w:tab/>
        <w:t xml:space="preserve">A reference to a company includes a reference to a corporate limited partnership: see section 94J of the </w:t>
      </w:r>
      <w:r w:rsidRPr="00214FF7">
        <w:rPr>
          <w:i/>
        </w:rPr>
        <w:t>Income Tax Assessment Act 1936</w:t>
      </w:r>
      <w:r w:rsidRPr="00214FF7">
        <w:t>.</w:t>
      </w:r>
    </w:p>
    <w:p w:rsidR="00887330" w:rsidRPr="00583E1A" w:rsidRDefault="00887330" w:rsidP="008864CB">
      <w:pPr>
        <w:pStyle w:val="Definition"/>
        <w:keepNext/>
      </w:pPr>
      <w:r w:rsidRPr="00583E1A">
        <w:rPr>
          <w:b/>
          <w:i/>
        </w:rPr>
        <w:t>company’s share</w:t>
      </w:r>
      <w:r w:rsidRPr="00583E1A">
        <w:t>:</w:t>
      </w:r>
    </w:p>
    <w:p w:rsidR="00887330" w:rsidRPr="00583E1A" w:rsidRDefault="00887330" w:rsidP="00887330">
      <w:pPr>
        <w:pStyle w:val="paragraph"/>
      </w:pPr>
      <w:r w:rsidRPr="00583E1A">
        <w:tab/>
        <w:t>(a)</w:t>
      </w:r>
      <w:r w:rsidRPr="00583E1A">
        <w:tab/>
        <w:t xml:space="preserve">of a partnership’s </w:t>
      </w:r>
      <w:r w:rsidR="00583E1A" w:rsidRPr="00583E1A">
        <w:rPr>
          <w:position w:val="6"/>
          <w:sz w:val="16"/>
        </w:rPr>
        <w:t>*</w:t>
      </w:r>
      <w:r w:rsidRPr="00583E1A">
        <w:t xml:space="preserve">notional loss or </w:t>
      </w:r>
      <w:r w:rsidR="00583E1A" w:rsidRPr="00583E1A">
        <w:rPr>
          <w:position w:val="6"/>
          <w:sz w:val="16"/>
        </w:rPr>
        <w:t>*</w:t>
      </w:r>
      <w:r w:rsidRPr="00583E1A">
        <w:t>notional net income—has the meaning given by sections</w:t>
      </w:r>
      <w:r w:rsidR="00583E1A">
        <w:t> </w:t>
      </w:r>
      <w:r w:rsidRPr="00583E1A">
        <w:t>165</w:t>
      </w:r>
      <w:r w:rsidR="00583E1A">
        <w:noBreakHyphen/>
      </w:r>
      <w:r w:rsidRPr="00583E1A">
        <w:t>80 and 165</w:t>
      </w:r>
      <w:r w:rsidR="00583E1A">
        <w:noBreakHyphen/>
      </w:r>
      <w:r w:rsidRPr="00583E1A">
        <w:t>85; and</w:t>
      </w:r>
    </w:p>
    <w:p w:rsidR="00887330" w:rsidRPr="00583E1A" w:rsidRDefault="00887330" w:rsidP="00887330">
      <w:pPr>
        <w:pStyle w:val="paragraph"/>
      </w:pPr>
      <w:r w:rsidRPr="00583E1A">
        <w:lastRenderedPageBreak/>
        <w:tab/>
        <w:t>(b)</w:t>
      </w:r>
      <w:r w:rsidRPr="00583E1A">
        <w:tab/>
        <w:t xml:space="preserve">of a partnership’s </w:t>
      </w:r>
      <w:r w:rsidR="00583E1A" w:rsidRPr="00583E1A">
        <w:rPr>
          <w:position w:val="6"/>
          <w:sz w:val="16"/>
        </w:rPr>
        <w:t>*</w:t>
      </w:r>
      <w:r w:rsidRPr="00583E1A">
        <w:t>full year deductions—has the meaning given by sections</w:t>
      </w:r>
      <w:r w:rsidR="00583E1A">
        <w:t> </w:t>
      </w:r>
      <w:r w:rsidRPr="00583E1A">
        <w:t>165</w:t>
      </w:r>
      <w:r w:rsidR="00583E1A">
        <w:noBreakHyphen/>
      </w:r>
      <w:r w:rsidRPr="00583E1A">
        <w:t>90.</w:t>
      </w:r>
    </w:p>
    <w:p w:rsidR="00887330" w:rsidRPr="00583E1A" w:rsidRDefault="00887330" w:rsidP="00887330">
      <w:pPr>
        <w:pStyle w:val="Definition"/>
      </w:pPr>
      <w:r w:rsidRPr="00583E1A">
        <w:rPr>
          <w:b/>
          <w:i/>
        </w:rPr>
        <w:t>comparison rate</w:t>
      </w:r>
      <w:r w:rsidRPr="00583E1A">
        <w:t xml:space="preserve"> has the meaning given by section</w:t>
      </w:r>
      <w:r w:rsidR="00583E1A">
        <w:t> </w:t>
      </w:r>
      <w:r w:rsidRPr="00583E1A">
        <w:t>392</w:t>
      </w:r>
      <w:r w:rsidR="00583E1A">
        <w:noBreakHyphen/>
      </w:r>
      <w:r w:rsidRPr="00583E1A">
        <w:t>55.</w:t>
      </w:r>
    </w:p>
    <w:p w:rsidR="00887330" w:rsidRPr="00583E1A" w:rsidRDefault="00887330" w:rsidP="00887330">
      <w:pPr>
        <w:pStyle w:val="Definition"/>
      </w:pPr>
      <w:r w:rsidRPr="00583E1A">
        <w:rPr>
          <w:b/>
          <w:i/>
        </w:rPr>
        <w:t>compensable work</w:t>
      </w:r>
      <w:r w:rsidR="00583E1A">
        <w:rPr>
          <w:b/>
          <w:i/>
        </w:rPr>
        <w:noBreakHyphen/>
      </w:r>
      <w:r w:rsidRPr="00583E1A">
        <w:rPr>
          <w:b/>
          <w:i/>
        </w:rPr>
        <w:t>related trauma</w:t>
      </w:r>
      <w:r w:rsidRPr="00583E1A">
        <w:t xml:space="preserve"> has the meaning given by subsection 136(1) of the </w:t>
      </w:r>
      <w:r w:rsidRPr="00583E1A">
        <w:rPr>
          <w:i/>
        </w:rPr>
        <w:t>Fringe Benefits Tax Assessment Act 1986</w:t>
      </w:r>
      <w:r w:rsidRPr="00583E1A">
        <w:t>.</w:t>
      </w:r>
    </w:p>
    <w:p w:rsidR="00887330" w:rsidRPr="00583E1A" w:rsidRDefault="00887330" w:rsidP="00887330">
      <w:pPr>
        <w:pStyle w:val="Definition"/>
      </w:pPr>
      <w:r w:rsidRPr="00583E1A">
        <w:rPr>
          <w:b/>
          <w:i/>
        </w:rPr>
        <w:t>completed</w:t>
      </w:r>
      <w:r w:rsidRPr="00583E1A">
        <w:t xml:space="preserve">, in relation to a </w:t>
      </w:r>
      <w:r w:rsidR="00583E1A" w:rsidRPr="00583E1A">
        <w:rPr>
          <w:position w:val="6"/>
          <w:sz w:val="16"/>
        </w:rPr>
        <w:t>*</w:t>
      </w:r>
      <w:r w:rsidRPr="00583E1A">
        <w:t xml:space="preserve">film, has the meaning given by subsection </w:t>
      </w:r>
      <w:r w:rsidR="002B17A5" w:rsidRPr="00583E1A">
        <w:t>376</w:t>
      </w:r>
      <w:r w:rsidR="00583E1A">
        <w:noBreakHyphen/>
      </w:r>
      <w:r w:rsidR="002B17A5" w:rsidRPr="00583E1A">
        <w:t>55(2)</w:t>
      </w:r>
      <w:r w:rsidRPr="00583E1A">
        <w:t>.</w:t>
      </w:r>
    </w:p>
    <w:p w:rsidR="00887330" w:rsidRPr="00583E1A" w:rsidRDefault="00887330" w:rsidP="00887330">
      <w:pPr>
        <w:pStyle w:val="Definition"/>
        <w:rPr>
          <w:b/>
          <w:i/>
        </w:rPr>
      </w:pPr>
      <w:r w:rsidRPr="00583E1A">
        <w:rPr>
          <w:b/>
          <w:i/>
        </w:rPr>
        <w:t>complying approved deposit fund</w:t>
      </w:r>
      <w:r w:rsidRPr="00583E1A">
        <w:t xml:space="preserve"> means a complying approved deposit fund within the meaning of section</w:t>
      </w:r>
      <w:r w:rsidR="00583E1A">
        <w:t> </w:t>
      </w:r>
      <w:r w:rsidRPr="00583E1A">
        <w:t xml:space="preserve">47 of the </w:t>
      </w:r>
      <w:r w:rsidRPr="00583E1A">
        <w:rPr>
          <w:i/>
        </w:rPr>
        <w:t>Superannuation Industry (Supervision) Act 1993</w:t>
      </w:r>
      <w:r w:rsidRPr="00583E1A">
        <w:t>.</w:t>
      </w:r>
    </w:p>
    <w:p w:rsidR="003F0850" w:rsidRPr="006230C2" w:rsidRDefault="003F0850" w:rsidP="003F0850">
      <w:pPr>
        <w:pStyle w:val="Definition"/>
      </w:pPr>
      <w:r w:rsidRPr="006230C2">
        <w:rPr>
          <w:b/>
          <w:i/>
        </w:rPr>
        <w:t>complying health insurance policy</w:t>
      </w:r>
      <w:r w:rsidRPr="006230C2">
        <w:t xml:space="preserve"> has the meaning given by the </w:t>
      </w:r>
      <w:r w:rsidRPr="006230C2">
        <w:rPr>
          <w:i/>
        </w:rPr>
        <w:t>Private Health Insurance Act 2007</w:t>
      </w:r>
      <w:r w:rsidRPr="006230C2">
        <w:t>.</w:t>
      </w:r>
    </w:p>
    <w:p w:rsidR="00887330" w:rsidRPr="00583E1A" w:rsidRDefault="00887330" w:rsidP="00887330">
      <w:pPr>
        <w:pStyle w:val="Definition"/>
      </w:pPr>
      <w:r w:rsidRPr="00583E1A">
        <w:rPr>
          <w:b/>
          <w:i/>
        </w:rPr>
        <w:t>complying superannuation entity</w:t>
      </w:r>
      <w:r w:rsidRPr="00583E1A">
        <w:t xml:space="preserve"> means:</w:t>
      </w:r>
    </w:p>
    <w:p w:rsidR="00887330" w:rsidRPr="00583E1A" w:rsidRDefault="00887330" w:rsidP="00887330">
      <w:pPr>
        <w:pStyle w:val="paragraph"/>
      </w:pPr>
      <w:r w:rsidRPr="00583E1A">
        <w:tab/>
        <w:t>(a)</w:t>
      </w:r>
      <w:r w:rsidRPr="00583E1A">
        <w:tab/>
        <w:t xml:space="preserve">a </w:t>
      </w:r>
      <w:r w:rsidR="00583E1A" w:rsidRPr="00583E1A">
        <w:rPr>
          <w:position w:val="6"/>
          <w:sz w:val="16"/>
        </w:rPr>
        <w:t>*</w:t>
      </w:r>
      <w:r w:rsidRPr="00583E1A">
        <w:t>complying superannuation fund; or</w:t>
      </w:r>
    </w:p>
    <w:p w:rsidR="00887330" w:rsidRPr="00583E1A" w:rsidRDefault="00887330" w:rsidP="00887330">
      <w:pPr>
        <w:pStyle w:val="paragraph"/>
      </w:pPr>
      <w:r w:rsidRPr="00583E1A">
        <w:tab/>
        <w:t>(b)</w:t>
      </w:r>
      <w:r w:rsidRPr="00583E1A">
        <w:tab/>
        <w:t xml:space="preserve">a </w:t>
      </w:r>
      <w:r w:rsidR="00583E1A" w:rsidRPr="00583E1A">
        <w:rPr>
          <w:position w:val="6"/>
          <w:sz w:val="16"/>
        </w:rPr>
        <w:t>*</w:t>
      </w:r>
      <w:r w:rsidRPr="00583E1A">
        <w:t>complying approved deposit fund; or</w:t>
      </w:r>
    </w:p>
    <w:p w:rsidR="00887330" w:rsidRPr="00583E1A" w:rsidRDefault="00887330" w:rsidP="00887330">
      <w:pPr>
        <w:pStyle w:val="paragraph"/>
      </w:pPr>
      <w:r w:rsidRPr="00583E1A">
        <w:tab/>
        <w:t>(c)</w:t>
      </w:r>
      <w:r w:rsidRPr="00583E1A">
        <w:tab/>
        <w:t xml:space="preserve">a </w:t>
      </w:r>
      <w:r w:rsidR="00583E1A" w:rsidRPr="00583E1A">
        <w:rPr>
          <w:position w:val="6"/>
          <w:sz w:val="16"/>
        </w:rPr>
        <w:t>*</w:t>
      </w:r>
      <w:r w:rsidRPr="00583E1A">
        <w:t>pooled superannuation trust.</w:t>
      </w:r>
    </w:p>
    <w:p w:rsidR="00B440B1" w:rsidRPr="00583E1A" w:rsidRDefault="00B440B1" w:rsidP="00B440B1">
      <w:pPr>
        <w:pStyle w:val="Definition"/>
      </w:pPr>
      <w:r w:rsidRPr="00583E1A">
        <w:rPr>
          <w:b/>
          <w:i/>
        </w:rPr>
        <w:t>complying superannuation/FHSA asset</w:t>
      </w:r>
      <w:r w:rsidRPr="00583E1A">
        <w:t xml:space="preserve"> has the meaning given by subsection 320</w:t>
      </w:r>
      <w:r w:rsidR="00583E1A">
        <w:noBreakHyphen/>
      </w:r>
      <w:r w:rsidRPr="00583E1A">
        <w:t>170(6).</w:t>
      </w:r>
    </w:p>
    <w:p w:rsidR="00B440B1" w:rsidRPr="00583E1A" w:rsidRDefault="00B440B1" w:rsidP="00B440B1">
      <w:pPr>
        <w:pStyle w:val="Definition"/>
      </w:pPr>
      <w:r w:rsidRPr="00583E1A">
        <w:rPr>
          <w:b/>
          <w:i/>
        </w:rPr>
        <w:t>complying superannuation/FHSA asset pool</w:t>
      </w:r>
      <w:r w:rsidRPr="00583E1A">
        <w:t xml:space="preserve"> has the meaning given by subsection 320</w:t>
      </w:r>
      <w:r w:rsidR="00583E1A">
        <w:noBreakHyphen/>
      </w:r>
      <w:r w:rsidRPr="00583E1A">
        <w:t>170(6).</w:t>
      </w:r>
    </w:p>
    <w:p w:rsidR="00B440B1" w:rsidRPr="00583E1A" w:rsidRDefault="00B440B1" w:rsidP="00F13347">
      <w:pPr>
        <w:pStyle w:val="Definition"/>
        <w:keepNext/>
        <w:keepLines/>
      </w:pPr>
      <w:r w:rsidRPr="00583E1A">
        <w:rPr>
          <w:b/>
          <w:i/>
        </w:rPr>
        <w:t>complying superannuation/FHSA class</w:t>
      </w:r>
      <w:r w:rsidRPr="00583E1A">
        <w:t>:</w:t>
      </w:r>
    </w:p>
    <w:p w:rsidR="00B440B1" w:rsidRPr="00583E1A" w:rsidRDefault="00B440B1" w:rsidP="00B440B1">
      <w:pPr>
        <w:pStyle w:val="paragraph"/>
      </w:pPr>
      <w:r w:rsidRPr="00583E1A">
        <w:tab/>
        <w:t>(a)</w:t>
      </w:r>
      <w:r w:rsidRPr="00583E1A">
        <w:tab/>
        <w:t xml:space="preserve">for a taxable income of a </w:t>
      </w:r>
      <w:r w:rsidR="00583E1A" w:rsidRPr="00583E1A">
        <w:rPr>
          <w:position w:val="6"/>
          <w:sz w:val="16"/>
        </w:rPr>
        <w:t>*</w:t>
      </w:r>
      <w:r w:rsidRPr="00583E1A">
        <w:t>life insurance company—has the meaning given by section</w:t>
      </w:r>
      <w:r w:rsidR="00583E1A">
        <w:t> </w:t>
      </w:r>
      <w:r w:rsidRPr="00583E1A">
        <w:t>320</w:t>
      </w:r>
      <w:r w:rsidR="00583E1A">
        <w:noBreakHyphen/>
      </w:r>
      <w:r w:rsidRPr="00583E1A">
        <w:t>137; or</w:t>
      </w:r>
    </w:p>
    <w:p w:rsidR="00B440B1" w:rsidRPr="00583E1A" w:rsidRDefault="00B440B1" w:rsidP="00B440B1">
      <w:pPr>
        <w:pStyle w:val="paragraph"/>
      </w:pPr>
      <w:r w:rsidRPr="00583E1A">
        <w:tab/>
        <w:t>(b)</w:t>
      </w:r>
      <w:r w:rsidRPr="00583E1A">
        <w:tab/>
        <w:t xml:space="preserve">for a </w:t>
      </w:r>
      <w:r w:rsidR="00583E1A" w:rsidRPr="00583E1A">
        <w:rPr>
          <w:position w:val="6"/>
          <w:sz w:val="16"/>
        </w:rPr>
        <w:t>*</w:t>
      </w:r>
      <w:r w:rsidRPr="00583E1A">
        <w:t xml:space="preserve">tax loss of a </w:t>
      </w:r>
      <w:r w:rsidR="00583E1A" w:rsidRPr="00583E1A">
        <w:rPr>
          <w:position w:val="6"/>
          <w:sz w:val="16"/>
        </w:rPr>
        <w:t>*</w:t>
      </w:r>
      <w:r w:rsidRPr="00583E1A">
        <w:t>life insurance company—has the meaning given by section</w:t>
      </w:r>
      <w:r w:rsidR="00583E1A">
        <w:t> </w:t>
      </w:r>
      <w:r w:rsidRPr="00583E1A">
        <w:t>320</w:t>
      </w:r>
      <w:r w:rsidR="00583E1A">
        <w:noBreakHyphen/>
      </w:r>
      <w:r w:rsidRPr="00583E1A">
        <w:t>141.</w:t>
      </w:r>
    </w:p>
    <w:p w:rsidR="00B440B1" w:rsidRPr="00583E1A" w:rsidRDefault="00B440B1" w:rsidP="00B440B1">
      <w:pPr>
        <w:pStyle w:val="Definition"/>
      </w:pPr>
      <w:r w:rsidRPr="00583E1A">
        <w:rPr>
          <w:b/>
          <w:i/>
        </w:rPr>
        <w:t>complying superannuation/FHSA liabilities</w:t>
      </w:r>
      <w:r w:rsidRPr="00583E1A">
        <w:t xml:space="preserve"> of a </w:t>
      </w:r>
      <w:r w:rsidR="00583E1A" w:rsidRPr="00583E1A">
        <w:rPr>
          <w:position w:val="6"/>
          <w:sz w:val="16"/>
        </w:rPr>
        <w:t>*</w:t>
      </w:r>
      <w:r w:rsidRPr="00583E1A">
        <w:t xml:space="preserve">life insurance company means liabilities of the company under </w:t>
      </w:r>
      <w:r w:rsidR="00583E1A" w:rsidRPr="00583E1A">
        <w:rPr>
          <w:position w:val="6"/>
          <w:sz w:val="16"/>
        </w:rPr>
        <w:t>*</w:t>
      </w:r>
      <w:r w:rsidRPr="00583E1A">
        <w:t>life insurance policies referred to in subsection 320</w:t>
      </w:r>
      <w:r w:rsidR="00583E1A">
        <w:noBreakHyphen/>
      </w:r>
      <w:r w:rsidRPr="00583E1A">
        <w:t>190(1).</w:t>
      </w:r>
    </w:p>
    <w:p w:rsidR="00B440B1" w:rsidRPr="00583E1A" w:rsidRDefault="00B440B1" w:rsidP="008864CB">
      <w:pPr>
        <w:pStyle w:val="Definition"/>
        <w:keepNext/>
      </w:pPr>
      <w:r w:rsidRPr="00583E1A">
        <w:rPr>
          <w:b/>
          <w:i/>
        </w:rPr>
        <w:lastRenderedPageBreak/>
        <w:t>complying superannuation/FHSA life insurance policy</w:t>
      </w:r>
      <w:r w:rsidRPr="00583E1A">
        <w:t xml:space="preserve"> means a </w:t>
      </w:r>
      <w:r w:rsidR="00583E1A" w:rsidRPr="00583E1A">
        <w:rPr>
          <w:position w:val="6"/>
          <w:sz w:val="16"/>
        </w:rPr>
        <w:t>*</w:t>
      </w:r>
      <w:r w:rsidRPr="00583E1A">
        <w:t>life insurance policy that:</w:t>
      </w:r>
    </w:p>
    <w:p w:rsidR="00B440B1" w:rsidRPr="00583E1A" w:rsidRDefault="00B440B1" w:rsidP="008864CB">
      <w:pPr>
        <w:pStyle w:val="paragraph"/>
        <w:keepNext/>
      </w:pPr>
      <w:r w:rsidRPr="00583E1A">
        <w:tab/>
        <w:t>(a)</w:t>
      </w:r>
      <w:r w:rsidRPr="00583E1A">
        <w:tab/>
        <w:t>is held by:</w:t>
      </w:r>
    </w:p>
    <w:p w:rsidR="00B440B1" w:rsidRPr="00583E1A" w:rsidRDefault="00B440B1" w:rsidP="00B440B1">
      <w:pPr>
        <w:pStyle w:val="paragraphsub"/>
      </w:pPr>
      <w:r w:rsidRPr="00583E1A">
        <w:tab/>
        <w:t>(i)</w:t>
      </w:r>
      <w:r w:rsidRPr="00583E1A">
        <w:tab/>
        <w:t xml:space="preserve">the trustee of a fund that is a </w:t>
      </w:r>
      <w:r w:rsidR="00583E1A" w:rsidRPr="00583E1A">
        <w:rPr>
          <w:position w:val="6"/>
          <w:sz w:val="16"/>
        </w:rPr>
        <w:t>*</w:t>
      </w:r>
      <w:r w:rsidRPr="00583E1A">
        <w:t xml:space="preserve">complying superannuation fund or a </w:t>
      </w:r>
      <w:r w:rsidR="00583E1A" w:rsidRPr="00583E1A">
        <w:rPr>
          <w:position w:val="6"/>
          <w:sz w:val="16"/>
        </w:rPr>
        <w:t>*</w:t>
      </w:r>
      <w:r w:rsidRPr="00583E1A">
        <w:t>complying approved deposit fund; or</w:t>
      </w:r>
    </w:p>
    <w:p w:rsidR="00B440B1" w:rsidRPr="00583E1A" w:rsidRDefault="00B440B1" w:rsidP="00B440B1">
      <w:pPr>
        <w:pStyle w:val="paragraphsub"/>
      </w:pPr>
      <w:r w:rsidRPr="00583E1A">
        <w:tab/>
        <w:t>(ii)</w:t>
      </w:r>
      <w:r w:rsidRPr="00583E1A">
        <w:tab/>
        <w:t xml:space="preserve">the trustee of a </w:t>
      </w:r>
      <w:r w:rsidR="00583E1A" w:rsidRPr="00583E1A">
        <w:rPr>
          <w:position w:val="6"/>
          <w:sz w:val="16"/>
        </w:rPr>
        <w:t>*</w:t>
      </w:r>
      <w:r w:rsidRPr="00583E1A">
        <w:t>pooled superannuation trust; or</w:t>
      </w:r>
    </w:p>
    <w:p w:rsidR="00B440B1" w:rsidRPr="00583E1A" w:rsidRDefault="00B440B1" w:rsidP="00A756C6">
      <w:pPr>
        <w:pStyle w:val="paragraph"/>
        <w:keepNext/>
        <w:keepLines/>
      </w:pPr>
      <w:r w:rsidRPr="00583E1A">
        <w:tab/>
        <w:t>(b)</w:t>
      </w:r>
      <w:r w:rsidRPr="00583E1A">
        <w:tab/>
        <w:t>is held by an individual and:</w:t>
      </w:r>
    </w:p>
    <w:p w:rsidR="00B440B1" w:rsidRPr="00583E1A" w:rsidRDefault="00B440B1" w:rsidP="00B440B1">
      <w:pPr>
        <w:pStyle w:val="paragraphsub"/>
      </w:pPr>
      <w:r w:rsidRPr="00583E1A">
        <w:tab/>
        <w:t>(i)</w:t>
      </w:r>
      <w:r w:rsidRPr="00583E1A">
        <w:tab/>
        <w:t xml:space="preserve">provides for an </w:t>
      </w:r>
      <w:r w:rsidR="00583E1A" w:rsidRPr="00583E1A">
        <w:rPr>
          <w:position w:val="6"/>
          <w:sz w:val="16"/>
        </w:rPr>
        <w:t>*</w:t>
      </w:r>
      <w:r w:rsidRPr="00583E1A">
        <w:t xml:space="preserve">annuity that is not presently payable, if the annuity was purchased out of a </w:t>
      </w:r>
      <w:r w:rsidR="00583E1A" w:rsidRPr="00583E1A">
        <w:rPr>
          <w:position w:val="6"/>
          <w:sz w:val="16"/>
        </w:rPr>
        <w:t>*</w:t>
      </w:r>
      <w:r w:rsidRPr="00583E1A">
        <w:t xml:space="preserve">superannuation lump sum or an </w:t>
      </w:r>
      <w:r w:rsidR="00583E1A" w:rsidRPr="00583E1A">
        <w:rPr>
          <w:position w:val="6"/>
          <w:sz w:val="16"/>
        </w:rPr>
        <w:t>*</w:t>
      </w:r>
      <w:r w:rsidRPr="00583E1A">
        <w:t>employment termination payment; or</w:t>
      </w:r>
    </w:p>
    <w:p w:rsidR="00B440B1" w:rsidRPr="00583E1A" w:rsidRDefault="00B440B1" w:rsidP="00B440B1">
      <w:pPr>
        <w:pStyle w:val="paragraphsub"/>
      </w:pPr>
      <w:r w:rsidRPr="00583E1A">
        <w:tab/>
        <w:t>(ii)</w:t>
      </w:r>
      <w:r w:rsidRPr="00583E1A">
        <w:tab/>
        <w:t xml:space="preserve">is so held in the benefit fund of a </w:t>
      </w:r>
      <w:r w:rsidR="00583E1A" w:rsidRPr="00583E1A">
        <w:rPr>
          <w:position w:val="6"/>
          <w:sz w:val="16"/>
        </w:rPr>
        <w:t>*</w:t>
      </w:r>
      <w:r w:rsidRPr="00583E1A">
        <w:t xml:space="preserve">friendly society, being a fund that is a regulated superannuation fund under the </w:t>
      </w:r>
      <w:r w:rsidRPr="00583E1A">
        <w:rPr>
          <w:i/>
        </w:rPr>
        <w:t>Superannuation Industry (Supervision) Act 1993</w:t>
      </w:r>
      <w:r w:rsidRPr="00583E1A">
        <w:t>; or</w:t>
      </w:r>
    </w:p>
    <w:p w:rsidR="00B440B1" w:rsidRPr="00583E1A" w:rsidRDefault="00B440B1" w:rsidP="00B440B1">
      <w:pPr>
        <w:pStyle w:val="paragraph"/>
      </w:pPr>
      <w:r w:rsidRPr="00583E1A">
        <w:tab/>
        <w:t>(c)</w:t>
      </w:r>
      <w:r w:rsidRPr="00583E1A">
        <w:tab/>
        <w:t xml:space="preserve">is held by another </w:t>
      </w:r>
      <w:r w:rsidR="00583E1A" w:rsidRPr="00583E1A">
        <w:rPr>
          <w:position w:val="6"/>
          <w:sz w:val="16"/>
        </w:rPr>
        <w:t>*</w:t>
      </w:r>
      <w:r w:rsidRPr="00583E1A">
        <w:t xml:space="preserve">life insurance company and is a </w:t>
      </w:r>
      <w:r w:rsidR="00583E1A" w:rsidRPr="00583E1A">
        <w:rPr>
          <w:position w:val="6"/>
          <w:sz w:val="16"/>
        </w:rPr>
        <w:t>*</w:t>
      </w:r>
      <w:r w:rsidRPr="00583E1A">
        <w:t>complying superannuation/FHSA asset of that company; or</w:t>
      </w:r>
    </w:p>
    <w:p w:rsidR="00B440B1" w:rsidRPr="00583E1A" w:rsidRDefault="00B440B1" w:rsidP="00B440B1">
      <w:pPr>
        <w:pStyle w:val="paragraph"/>
      </w:pPr>
      <w:r w:rsidRPr="00583E1A">
        <w:tab/>
        <w:t>(d)</w:t>
      </w:r>
      <w:r w:rsidRPr="00583E1A">
        <w:tab/>
        <w:t xml:space="preserve">is an </w:t>
      </w:r>
      <w:r w:rsidR="00583E1A" w:rsidRPr="00583E1A">
        <w:rPr>
          <w:position w:val="6"/>
          <w:sz w:val="16"/>
        </w:rPr>
        <w:t>*</w:t>
      </w:r>
      <w:r w:rsidRPr="00583E1A">
        <w:t>FHSA;</w:t>
      </w:r>
    </w:p>
    <w:p w:rsidR="00B440B1" w:rsidRPr="00583E1A" w:rsidRDefault="00B440B1" w:rsidP="00B440B1">
      <w:pPr>
        <w:pStyle w:val="subsection2"/>
      </w:pPr>
      <w:r w:rsidRPr="00583E1A">
        <w:t xml:space="preserve">and is not an </w:t>
      </w:r>
      <w:r w:rsidR="00583E1A" w:rsidRPr="00583E1A">
        <w:rPr>
          <w:position w:val="6"/>
          <w:sz w:val="16"/>
        </w:rPr>
        <w:t>*</w:t>
      </w:r>
      <w:r w:rsidRPr="00583E1A">
        <w:t>excluded complying superannuation/FHSA life insurance policy.</w:t>
      </w:r>
    </w:p>
    <w:p w:rsidR="00887330" w:rsidRPr="00583E1A" w:rsidRDefault="00887330" w:rsidP="00887330">
      <w:pPr>
        <w:pStyle w:val="Definition"/>
      </w:pPr>
      <w:r w:rsidRPr="00583E1A">
        <w:rPr>
          <w:b/>
          <w:i/>
        </w:rPr>
        <w:t>complying superannuation fund</w:t>
      </w:r>
      <w:r w:rsidRPr="00583E1A">
        <w:t xml:space="preserve"> means a complying superannuation fund within the meaning of section</w:t>
      </w:r>
      <w:r w:rsidR="00583E1A">
        <w:t> </w:t>
      </w:r>
      <w:r w:rsidRPr="00583E1A">
        <w:t xml:space="preserve">45 of the </w:t>
      </w:r>
      <w:r w:rsidRPr="00583E1A">
        <w:rPr>
          <w:i/>
        </w:rPr>
        <w:t>Superannuation Industry (Supervision) Act 1993</w:t>
      </w:r>
      <w:r w:rsidRPr="00583E1A">
        <w:t>.</w:t>
      </w:r>
    </w:p>
    <w:p w:rsidR="00C33219" w:rsidRPr="00583E1A" w:rsidRDefault="00C33219" w:rsidP="00C33219">
      <w:pPr>
        <w:pStyle w:val="Definition"/>
      </w:pPr>
      <w:r w:rsidRPr="00583E1A">
        <w:rPr>
          <w:b/>
          <w:i/>
        </w:rPr>
        <w:t xml:space="preserve">complying superannuation plan </w:t>
      </w:r>
      <w:r w:rsidRPr="00583E1A">
        <w:t>means:</w:t>
      </w:r>
    </w:p>
    <w:p w:rsidR="00C33219" w:rsidRPr="00583E1A" w:rsidRDefault="00C33219" w:rsidP="00C33219">
      <w:pPr>
        <w:pStyle w:val="paragraph"/>
      </w:pPr>
      <w:r w:rsidRPr="00583E1A">
        <w:tab/>
        <w:t>(a)</w:t>
      </w:r>
      <w:r w:rsidRPr="00583E1A">
        <w:tab/>
        <w:t xml:space="preserve">a </w:t>
      </w:r>
      <w:r w:rsidR="00583E1A" w:rsidRPr="00583E1A">
        <w:rPr>
          <w:position w:val="6"/>
          <w:sz w:val="16"/>
        </w:rPr>
        <w:t>*</w:t>
      </w:r>
      <w:r w:rsidRPr="00583E1A">
        <w:t>complying superannuation fund; or</w:t>
      </w:r>
    </w:p>
    <w:p w:rsidR="00C33219" w:rsidRPr="00583E1A" w:rsidRDefault="00C33219" w:rsidP="00C33219">
      <w:pPr>
        <w:pStyle w:val="paragraph"/>
      </w:pPr>
      <w:r w:rsidRPr="00583E1A">
        <w:tab/>
        <w:t>(b)</w:t>
      </w:r>
      <w:r w:rsidRPr="00583E1A">
        <w:tab/>
        <w:t xml:space="preserve">a </w:t>
      </w:r>
      <w:r w:rsidR="00583E1A" w:rsidRPr="00583E1A">
        <w:rPr>
          <w:position w:val="6"/>
          <w:sz w:val="16"/>
        </w:rPr>
        <w:t>*</w:t>
      </w:r>
      <w:r w:rsidRPr="00583E1A">
        <w:t>public sector superannuation scheme that is:</w:t>
      </w:r>
    </w:p>
    <w:p w:rsidR="00C33219" w:rsidRPr="00583E1A" w:rsidRDefault="00C33219" w:rsidP="00C33219">
      <w:pPr>
        <w:pStyle w:val="paragraphsub"/>
      </w:pPr>
      <w:r w:rsidRPr="00583E1A">
        <w:tab/>
        <w:t>(i)</w:t>
      </w:r>
      <w:r w:rsidRPr="00583E1A">
        <w:tab/>
        <w:t>a regulated superannuation fund (within the meaning of section</w:t>
      </w:r>
      <w:r w:rsidR="00583E1A">
        <w:t> </w:t>
      </w:r>
      <w:r w:rsidRPr="00583E1A">
        <w:t xml:space="preserve">10 of the </w:t>
      </w:r>
      <w:r w:rsidRPr="00583E1A">
        <w:rPr>
          <w:i/>
        </w:rPr>
        <w:t>Superannuation Industry (Supervision) Act 1993</w:t>
      </w:r>
      <w:r w:rsidRPr="00583E1A">
        <w:t>); or</w:t>
      </w:r>
    </w:p>
    <w:p w:rsidR="00C33219" w:rsidRPr="00583E1A" w:rsidRDefault="00C33219" w:rsidP="00C33219">
      <w:pPr>
        <w:pStyle w:val="paragraphsub"/>
      </w:pPr>
      <w:r w:rsidRPr="00583E1A">
        <w:tab/>
        <w:t>(ii)</w:t>
      </w:r>
      <w:r w:rsidRPr="00583E1A">
        <w:tab/>
        <w:t>an exempt public sector superannuation scheme (within the meaning of section</w:t>
      </w:r>
      <w:r w:rsidR="00583E1A">
        <w:t> </w:t>
      </w:r>
      <w:r w:rsidRPr="00583E1A">
        <w:t>10 of that Act); or</w:t>
      </w:r>
    </w:p>
    <w:p w:rsidR="00C33219" w:rsidRPr="00583E1A" w:rsidRDefault="00C33219" w:rsidP="00C33219">
      <w:pPr>
        <w:pStyle w:val="paragraph"/>
      </w:pPr>
      <w:r w:rsidRPr="00583E1A">
        <w:tab/>
        <w:t>(c)</w:t>
      </w:r>
      <w:r w:rsidRPr="00583E1A">
        <w:tab/>
        <w:t xml:space="preserve">a </w:t>
      </w:r>
      <w:r w:rsidR="00583E1A" w:rsidRPr="00583E1A">
        <w:rPr>
          <w:position w:val="6"/>
          <w:sz w:val="16"/>
        </w:rPr>
        <w:t>*</w:t>
      </w:r>
      <w:r w:rsidRPr="00583E1A">
        <w:t>complying approved deposit fund; or</w:t>
      </w:r>
    </w:p>
    <w:p w:rsidR="00C33219" w:rsidRPr="00583E1A" w:rsidRDefault="00C33219" w:rsidP="00C33219">
      <w:pPr>
        <w:pStyle w:val="paragraph"/>
      </w:pPr>
      <w:r w:rsidRPr="00583E1A">
        <w:tab/>
        <w:t>(d)</w:t>
      </w:r>
      <w:r w:rsidRPr="00583E1A">
        <w:tab/>
        <w:t xml:space="preserve">an </w:t>
      </w:r>
      <w:r w:rsidR="00583E1A" w:rsidRPr="00583E1A">
        <w:rPr>
          <w:position w:val="6"/>
          <w:sz w:val="16"/>
        </w:rPr>
        <w:t>*</w:t>
      </w:r>
      <w:r w:rsidRPr="00583E1A">
        <w:t>RSA.</w:t>
      </w:r>
    </w:p>
    <w:p w:rsidR="00887330" w:rsidRPr="00583E1A" w:rsidRDefault="00887330" w:rsidP="00887330">
      <w:pPr>
        <w:pStyle w:val="Definition"/>
      </w:pPr>
      <w:r w:rsidRPr="00583E1A">
        <w:rPr>
          <w:b/>
          <w:i/>
        </w:rPr>
        <w:t>component</w:t>
      </w:r>
      <w:r w:rsidRPr="00583E1A">
        <w:t xml:space="preserve"> of your </w:t>
      </w:r>
      <w:r w:rsidR="00583E1A" w:rsidRPr="00583E1A">
        <w:rPr>
          <w:position w:val="6"/>
          <w:sz w:val="16"/>
        </w:rPr>
        <w:t>*</w:t>
      </w:r>
      <w:r w:rsidRPr="00583E1A">
        <w:t>tax position has the meaning given by section</w:t>
      </w:r>
      <w:r w:rsidR="00583E1A">
        <w:t> </w:t>
      </w:r>
      <w:r w:rsidRPr="00583E1A">
        <w:t>45</w:t>
      </w:r>
      <w:r w:rsidR="00583E1A">
        <w:noBreakHyphen/>
      </w:r>
      <w:r w:rsidRPr="00583E1A">
        <w:t>610 in Schedule</w:t>
      </w:r>
      <w:r w:rsidR="00583E1A">
        <w:t> </w:t>
      </w:r>
      <w:r w:rsidRPr="00583E1A">
        <w:t xml:space="preserve">1 to the </w:t>
      </w:r>
      <w:r w:rsidRPr="00583E1A">
        <w:rPr>
          <w:i/>
        </w:rPr>
        <w:t>Taxation Administration Act 1953</w:t>
      </w:r>
      <w:r w:rsidRPr="00583E1A">
        <w:t>.</w:t>
      </w:r>
    </w:p>
    <w:p w:rsidR="00C33219" w:rsidRPr="00583E1A" w:rsidRDefault="00C33219" w:rsidP="00C33219">
      <w:pPr>
        <w:pStyle w:val="Definition"/>
      </w:pPr>
      <w:r w:rsidRPr="00583E1A">
        <w:rPr>
          <w:b/>
          <w:i/>
        </w:rPr>
        <w:lastRenderedPageBreak/>
        <w:t xml:space="preserve">concessional contributions </w:t>
      </w:r>
      <w:r w:rsidRPr="00583E1A">
        <w:t>has the meaning given by sections</w:t>
      </w:r>
      <w:r w:rsidR="00583E1A">
        <w:t> </w:t>
      </w:r>
      <w:r w:rsidRPr="00583E1A">
        <w:t>292</w:t>
      </w:r>
      <w:r w:rsidR="00583E1A">
        <w:noBreakHyphen/>
      </w:r>
      <w:r w:rsidRPr="00583E1A">
        <w:t>25 and 292</w:t>
      </w:r>
      <w:r w:rsidR="00583E1A">
        <w:noBreakHyphen/>
      </w:r>
      <w:r w:rsidRPr="00583E1A">
        <w:t>165.</w:t>
      </w:r>
    </w:p>
    <w:p w:rsidR="00C33219" w:rsidRPr="00583E1A" w:rsidRDefault="00C33219" w:rsidP="00C33219">
      <w:pPr>
        <w:pStyle w:val="Definition"/>
      </w:pPr>
      <w:r w:rsidRPr="00583E1A">
        <w:rPr>
          <w:b/>
          <w:i/>
        </w:rPr>
        <w:t>concessional contributions cap</w:t>
      </w:r>
      <w:r w:rsidRPr="00583E1A">
        <w:t xml:space="preserve"> has the meaning given by section</w:t>
      </w:r>
      <w:r w:rsidR="00583E1A">
        <w:t> </w:t>
      </w:r>
      <w:r w:rsidRPr="00583E1A">
        <w:t>292</w:t>
      </w:r>
      <w:r w:rsidR="00583E1A">
        <w:noBreakHyphen/>
      </w:r>
      <w:r w:rsidRPr="00583E1A">
        <w:t>20.</w:t>
      </w:r>
    </w:p>
    <w:p w:rsidR="00887330" w:rsidRPr="00583E1A" w:rsidRDefault="00887330" w:rsidP="00887330">
      <w:pPr>
        <w:pStyle w:val="Definition"/>
      </w:pPr>
      <w:r w:rsidRPr="00583E1A">
        <w:rPr>
          <w:b/>
          <w:i/>
        </w:rPr>
        <w:t xml:space="preserve">conduit foreign income </w:t>
      </w:r>
      <w:r w:rsidRPr="00583E1A">
        <w:t>has the meaning given by Subdivision</w:t>
      </w:r>
      <w:r w:rsidR="00583E1A">
        <w:t> </w:t>
      </w:r>
      <w:r w:rsidRPr="00583E1A">
        <w:t>802</w:t>
      </w:r>
      <w:r w:rsidR="00583E1A">
        <w:noBreakHyphen/>
      </w:r>
      <w:r w:rsidRPr="00583E1A">
        <w:t>A.</w:t>
      </w:r>
    </w:p>
    <w:p w:rsidR="00887330" w:rsidRPr="00583E1A" w:rsidRDefault="00887330" w:rsidP="00887330">
      <w:pPr>
        <w:pStyle w:val="Definition"/>
      </w:pPr>
      <w:r w:rsidRPr="00583E1A">
        <w:rPr>
          <w:b/>
          <w:i/>
        </w:rPr>
        <w:t>connected entity</w:t>
      </w:r>
      <w:r w:rsidRPr="00583E1A">
        <w:t xml:space="preserve"> of an entity means:</w:t>
      </w:r>
    </w:p>
    <w:p w:rsidR="00887330" w:rsidRPr="00583E1A" w:rsidRDefault="00887330" w:rsidP="00887330">
      <w:pPr>
        <w:pStyle w:val="paragraph"/>
      </w:pPr>
      <w:r w:rsidRPr="00583E1A">
        <w:tab/>
        <w:t>(a)</w:t>
      </w:r>
      <w:r w:rsidRPr="00583E1A">
        <w:tab/>
        <w:t xml:space="preserve">an </w:t>
      </w:r>
      <w:r w:rsidR="00583E1A" w:rsidRPr="00583E1A">
        <w:rPr>
          <w:position w:val="6"/>
          <w:sz w:val="16"/>
        </w:rPr>
        <w:t>*</w:t>
      </w:r>
      <w:r w:rsidRPr="00583E1A">
        <w:t>associate of the entity; or</w:t>
      </w:r>
    </w:p>
    <w:p w:rsidR="00887330" w:rsidRPr="00583E1A" w:rsidRDefault="00887330" w:rsidP="00887330">
      <w:pPr>
        <w:pStyle w:val="paragraph"/>
      </w:pPr>
      <w:r w:rsidRPr="00583E1A">
        <w:tab/>
        <w:t>(b)</w:t>
      </w:r>
      <w:r w:rsidRPr="00583E1A">
        <w:tab/>
        <w:t xml:space="preserve">another member of the same </w:t>
      </w:r>
      <w:r w:rsidR="00583E1A" w:rsidRPr="00583E1A">
        <w:rPr>
          <w:position w:val="6"/>
          <w:sz w:val="16"/>
        </w:rPr>
        <w:t>*</w:t>
      </w:r>
      <w:r w:rsidRPr="00583E1A">
        <w:t>wholly owned group if the entity is a company and is a member of such a group.</w:t>
      </w:r>
    </w:p>
    <w:p w:rsidR="00E02AF2" w:rsidRPr="00583E1A" w:rsidRDefault="00E02AF2" w:rsidP="00E02AF2">
      <w:pPr>
        <w:pStyle w:val="Definition"/>
      </w:pPr>
      <w:r w:rsidRPr="00583E1A">
        <w:rPr>
          <w:b/>
          <w:i/>
        </w:rPr>
        <w:t>connected with</w:t>
      </w:r>
      <w:r w:rsidRPr="00583E1A">
        <w:t xml:space="preserve">: an entity is </w:t>
      </w:r>
      <w:r w:rsidRPr="00583E1A">
        <w:rPr>
          <w:b/>
          <w:i/>
        </w:rPr>
        <w:t>connected with</w:t>
      </w:r>
      <w:r w:rsidRPr="00583E1A">
        <w:t xml:space="preserve"> you in the circumstances described in section</w:t>
      </w:r>
      <w:r w:rsidR="00583E1A">
        <w:t> </w:t>
      </w:r>
      <w:r w:rsidRPr="00583E1A">
        <w:t>328</w:t>
      </w:r>
      <w:r w:rsidR="00583E1A">
        <w:noBreakHyphen/>
      </w:r>
      <w:r w:rsidRPr="00583E1A">
        <w:t>125.</w:t>
      </w:r>
    </w:p>
    <w:p w:rsidR="00E02AF2" w:rsidRPr="00583E1A" w:rsidRDefault="00E02AF2" w:rsidP="00E02AF2">
      <w:pPr>
        <w:pStyle w:val="notetext"/>
      </w:pPr>
      <w:r w:rsidRPr="00583E1A">
        <w:t>Note:</w:t>
      </w:r>
      <w:r w:rsidRPr="00583E1A">
        <w:tab/>
        <w:t>This meaning is affected by section</w:t>
      </w:r>
      <w:r w:rsidR="00583E1A">
        <w:t> </w:t>
      </w:r>
      <w:r w:rsidR="00BD7EEB" w:rsidRPr="008A6DF7">
        <w:t>152</w:t>
      </w:r>
      <w:r w:rsidR="00BD7EEB" w:rsidRPr="008A6DF7">
        <w:noBreakHyphen/>
        <w:t>78</w:t>
      </w:r>
      <w:r w:rsidRPr="00583E1A">
        <w:t>.</w:t>
      </w:r>
    </w:p>
    <w:p w:rsidR="00887330" w:rsidRPr="00583E1A" w:rsidRDefault="00887330" w:rsidP="00887330">
      <w:pPr>
        <w:pStyle w:val="Definition"/>
      </w:pPr>
      <w:r w:rsidRPr="00583E1A">
        <w:rPr>
          <w:b/>
          <w:i/>
        </w:rPr>
        <w:t>connecting power to land or upgrading the connection</w:t>
      </w:r>
      <w:r w:rsidRPr="00583E1A">
        <w:t xml:space="preserve"> has the meaning given by section</w:t>
      </w:r>
      <w:r w:rsidR="00583E1A">
        <w:t> </w:t>
      </w:r>
      <w:r w:rsidRPr="00583E1A">
        <w:t>40</w:t>
      </w:r>
      <w:r w:rsidR="00583E1A">
        <w:noBreakHyphen/>
      </w:r>
      <w:r w:rsidRPr="00583E1A">
        <w:t>655.</w:t>
      </w:r>
    </w:p>
    <w:p w:rsidR="00887330" w:rsidRPr="00583E1A" w:rsidRDefault="00887330" w:rsidP="00887330">
      <w:pPr>
        <w:pStyle w:val="Definition"/>
      </w:pPr>
      <w:r w:rsidRPr="00583E1A">
        <w:rPr>
          <w:b/>
          <w:i/>
        </w:rPr>
        <w:t>conservation covenant</w:t>
      </w:r>
      <w:r w:rsidRPr="00583E1A">
        <w:t xml:space="preserve"> has the meaning given by section</w:t>
      </w:r>
      <w:r w:rsidR="00583E1A">
        <w:t> </w:t>
      </w:r>
      <w:r w:rsidRPr="00583E1A">
        <w:t>31</w:t>
      </w:r>
      <w:r w:rsidR="00583E1A">
        <w:noBreakHyphen/>
      </w:r>
      <w:r w:rsidRPr="00583E1A">
        <w:t>5.</w:t>
      </w:r>
    </w:p>
    <w:p w:rsidR="00887330" w:rsidRPr="00583E1A" w:rsidRDefault="00887330" w:rsidP="00887330">
      <w:pPr>
        <w:pStyle w:val="Definition"/>
      </w:pPr>
      <w:r w:rsidRPr="00583E1A">
        <w:rPr>
          <w:b/>
          <w:i/>
        </w:rPr>
        <w:t>consideration receivable</w:t>
      </w:r>
      <w:r w:rsidRPr="00583E1A">
        <w:t>:</w:t>
      </w:r>
    </w:p>
    <w:p w:rsidR="00887330" w:rsidRPr="00583E1A" w:rsidRDefault="00887330" w:rsidP="00887330">
      <w:pPr>
        <w:pStyle w:val="paragraph"/>
      </w:pPr>
      <w:r w:rsidRPr="00583E1A">
        <w:tab/>
        <w:t>(a)</w:t>
      </w:r>
      <w:r w:rsidRPr="00583E1A">
        <w:tab/>
      </w:r>
      <w:r w:rsidRPr="00583E1A">
        <w:rPr>
          <w:b/>
          <w:i/>
        </w:rPr>
        <w:t>consideration receivable</w:t>
      </w:r>
      <w:r w:rsidRPr="00583E1A">
        <w:t xml:space="preserve"> on the disposal of a leased </w:t>
      </w:r>
      <w:r w:rsidR="00583E1A" w:rsidRPr="00583E1A">
        <w:rPr>
          <w:position w:val="6"/>
          <w:sz w:val="16"/>
        </w:rPr>
        <w:t>*</w:t>
      </w:r>
      <w:r w:rsidRPr="00583E1A">
        <w:t>car has the meaning given by section</w:t>
      </w:r>
      <w:r w:rsidR="00583E1A">
        <w:t> </w:t>
      </w:r>
      <w:r w:rsidRPr="00583E1A">
        <w:t>20</w:t>
      </w:r>
      <w:r w:rsidR="00583E1A">
        <w:noBreakHyphen/>
      </w:r>
      <w:r w:rsidRPr="00583E1A">
        <w:t>115; and</w:t>
      </w:r>
    </w:p>
    <w:p w:rsidR="00887330" w:rsidRPr="00583E1A" w:rsidRDefault="00887330" w:rsidP="00887330">
      <w:pPr>
        <w:pStyle w:val="paragraph"/>
      </w:pPr>
      <w:r w:rsidRPr="00583E1A">
        <w:tab/>
        <w:t>(b)</w:t>
      </w:r>
      <w:r w:rsidRPr="00583E1A">
        <w:tab/>
      </w:r>
      <w:r w:rsidRPr="00583E1A">
        <w:rPr>
          <w:b/>
          <w:i/>
        </w:rPr>
        <w:t>consideration receivable</w:t>
      </w:r>
      <w:r w:rsidRPr="00583E1A">
        <w:t xml:space="preserve"> for </w:t>
      </w:r>
      <w:r w:rsidR="008960D6" w:rsidRPr="004C09C4">
        <w:rPr>
          <w:position w:val="6"/>
          <w:sz w:val="16"/>
        </w:rPr>
        <w:t>*</w:t>
      </w:r>
      <w:r w:rsidR="008960D6" w:rsidRPr="004C09C4">
        <w:t>trading stock</w:t>
      </w:r>
      <w:r w:rsidRPr="00583E1A">
        <w:t xml:space="preserve"> changing hands has the meaning given by subsection 70</w:t>
      </w:r>
      <w:r w:rsidR="00583E1A">
        <w:noBreakHyphen/>
      </w:r>
      <w:r w:rsidRPr="00583E1A">
        <w:t>100(11).</w:t>
      </w:r>
    </w:p>
    <w:p w:rsidR="00887330" w:rsidRPr="00583E1A" w:rsidRDefault="00887330" w:rsidP="00887330">
      <w:pPr>
        <w:pStyle w:val="Definition"/>
      </w:pPr>
      <w:r w:rsidRPr="00583E1A">
        <w:rPr>
          <w:b/>
          <w:i/>
        </w:rPr>
        <w:t>consolidatable group</w:t>
      </w:r>
      <w:r w:rsidRPr="00583E1A">
        <w:t xml:space="preserve"> has the meaning given by section</w:t>
      </w:r>
      <w:r w:rsidR="00583E1A">
        <w:t> </w:t>
      </w:r>
      <w:r w:rsidRPr="00583E1A">
        <w:t>703</w:t>
      </w:r>
      <w:r w:rsidR="00583E1A">
        <w:noBreakHyphen/>
      </w:r>
      <w:r w:rsidRPr="00583E1A">
        <w:t>10.</w:t>
      </w:r>
    </w:p>
    <w:p w:rsidR="00887330" w:rsidRPr="00583E1A" w:rsidRDefault="00887330" w:rsidP="00887330">
      <w:pPr>
        <w:pStyle w:val="Definition"/>
      </w:pPr>
      <w:r w:rsidRPr="00583E1A">
        <w:rPr>
          <w:b/>
          <w:i/>
        </w:rPr>
        <w:t>consolidated group</w:t>
      </w:r>
      <w:r w:rsidRPr="00583E1A">
        <w:t xml:space="preserve"> has the meaning given by section</w:t>
      </w:r>
      <w:r w:rsidR="00583E1A">
        <w:t> </w:t>
      </w:r>
      <w:r w:rsidRPr="00583E1A">
        <w:t>703</w:t>
      </w:r>
      <w:r w:rsidR="00583E1A">
        <w:noBreakHyphen/>
      </w:r>
      <w:r w:rsidRPr="00583E1A">
        <w:t>5.</w:t>
      </w:r>
    </w:p>
    <w:p w:rsidR="00887330" w:rsidRPr="00583E1A" w:rsidRDefault="00887330" w:rsidP="00887330">
      <w:pPr>
        <w:pStyle w:val="notetext"/>
      </w:pPr>
      <w:r w:rsidRPr="00583E1A">
        <w:t>Note 1:</w:t>
      </w:r>
      <w:r w:rsidRPr="00583E1A">
        <w:tab/>
        <w:t>Part</w:t>
      </w:r>
      <w:r w:rsidR="00583E1A">
        <w:t> </w:t>
      </w:r>
      <w:r w:rsidRPr="00583E1A">
        <w:t>3</w:t>
      </w:r>
      <w:r w:rsidR="00583E1A">
        <w:noBreakHyphen/>
      </w:r>
      <w:r w:rsidRPr="00583E1A">
        <w:t>90 contains rules relating to the tax treatment of consolidated groups. Division</w:t>
      </w:r>
      <w:r w:rsidR="00583E1A">
        <w:t> </w:t>
      </w:r>
      <w:r w:rsidRPr="00583E1A">
        <w:t>719 (of that Part) applies those rules to MEC groups with modifications (see section</w:t>
      </w:r>
      <w:r w:rsidR="00583E1A">
        <w:t> </w:t>
      </w:r>
      <w:r w:rsidRPr="00583E1A">
        <w:t>719</w:t>
      </w:r>
      <w:r w:rsidR="00583E1A">
        <w:noBreakHyphen/>
      </w:r>
      <w:r w:rsidRPr="00583E1A">
        <w:t>2).</w:t>
      </w:r>
    </w:p>
    <w:p w:rsidR="00887330" w:rsidRPr="00583E1A" w:rsidRDefault="00887330" w:rsidP="00887330">
      <w:pPr>
        <w:pStyle w:val="notetext"/>
      </w:pPr>
      <w:r w:rsidRPr="00583E1A">
        <w:t>Note 2:</w:t>
      </w:r>
      <w:r w:rsidRPr="00583E1A">
        <w:tab/>
        <w:t xml:space="preserve">Provisions in the </w:t>
      </w:r>
      <w:r w:rsidRPr="00583E1A">
        <w:rPr>
          <w:i/>
        </w:rPr>
        <w:t>Income Tax Assessment Act 1936</w:t>
      </w:r>
      <w:r w:rsidRPr="00583E1A">
        <w:t xml:space="preserve"> and in the </w:t>
      </w:r>
      <w:r w:rsidRPr="00583E1A">
        <w:rPr>
          <w:i/>
        </w:rPr>
        <w:t>Income Tax Assessment Act 1997</w:t>
      </w:r>
      <w:r w:rsidRPr="00583E1A">
        <w:t xml:space="preserve"> (other than in Part</w:t>
      </w:r>
      <w:r w:rsidR="00583E1A">
        <w:t> </w:t>
      </w:r>
      <w:r w:rsidRPr="00583E1A">
        <w:t>3</w:t>
      </w:r>
      <w:r w:rsidR="00583E1A">
        <w:noBreakHyphen/>
      </w:r>
      <w:r w:rsidRPr="00583E1A">
        <w:t xml:space="preserve">90) referring only to consolidated groups do </w:t>
      </w:r>
      <w:r w:rsidRPr="00583E1A">
        <w:rPr>
          <w:i/>
        </w:rPr>
        <w:t xml:space="preserve">not </w:t>
      </w:r>
      <w:r w:rsidRPr="00583E1A">
        <w:t>apply to MEC groups.</w:t>
      </w:r>
    </w:p>
    <w:p w:rsidR="00887330" w:rsidRPr="00583E1A" w:rsidRDefault="00887330" w:rsidP="008864CB">
      <w:pPr>
        <w:pStyle w:val="Definition"/>
        <w:keepNext/>
      </w:pPr>
      <w:r w:rsidRPr="00583E1A">
        <w:rPr>
          <w:b/>
          <w:i/>
        </w:rPr>
        <w:lastRenderedPageBreak/>
        <w:t>consolidation transitional year</w:t>
      </w:r>
      <w:r w:rsidRPr="00583E1A">
        <w:t xml:space="preserve"> for a </w:t>
      </w:r>
      <w:r w:rsidR="00583E1A" w:rsidRPr="00583E1A">
        <w:rPr>
          <w:position w:val="6"/>
          <w:sz w:val="16"/>
        </w:rPr>
        <w:t>*</w:t>
      </w:r>
      <w:r w:rsidRPr="00583E1A">
        <w:t xml:space="preserve">member of a </w:t>
      </w:r>
      <w:r w:rsidR="00583E1A" w:rsidRPr="00583E1A">
        <w:rPr>
          <w:position w:val="6"/>
          <w:sz w:val="16"/>
        </w:rPr>
        <w:t>*</w:t>
      </w:r>
      <w:r w:rsidRPr="00583E1A">
        <w:t xml:space="preserve">consolidated group or a member of a </w:t>
      </w:r>
      <w:r w:rsidR="00583E1A" w:rsidRPr="00583E1A">
        <w:rPr>
          <w:position w:val="6"/>
          <w:sz w:val="16"/>
        </w:rPr>
        <w:t>*</w:t>
      </w:r>
      <w:r w:rsidRPr="00583E1A">
        <w:t>MEC group, is an income year for that member that satisfies both of the following conditions:</w:t>
      </w:r>
    </w:p>
    <w:p w:rsidR="00887330" w:rsidRPr="00583E1A" w:rsidRDefault="00887330" w:rsidP="00887330">
      <w:pPr>
        <w:pStyle w:val="paragraph"/>
      </w:pPr>
      <w:r w:rsidRPr="00583E1A">
        <w:tab/>
        <w:t>(a)</w:t>
      </w:r>
      <w:r w:rsidRPr="00583E1A">
        <w:tab/>
        <w:t>the group is in existence during all or any part of that year;</w:t>
      </w:r>
    </w:p>
    <w:p w:rsidR="00887330" w:rsidRPr="00583E1A" w:rsidRDefault="00887330" w:rsidP="00A756C6">
      <w:pPr>
        <w:pStyle w:val="paragraph"/>
        <w:keepNext/>
        <w:keepLines/>
      </w:pPr>
      <w:r w:rsidRPr="00583E1A">
        <w:tab/>
        <w:t>(b)</w:t>
      </w:r>
      <w:r w:rsidRPr="00583E1A">
        <w:tab/>
        <w:t>Subdivision</w:t>
      </w:r>
      <w:r w:rsidR="00583E1A">
        <w:t> </w:t>
      </w:r>
      <w:r w:rsidRPr="00583E1A">
        <w:t>45</w:t>
      </w:r>
      <w:r w:rsidR="00583E1A">
        <w:noBreakHyphen/>
      </w:r>
      <w:r w:rsidRPr="00583E1A">
        <w:t>Q in Schedule</w:t>
      </w:r>
      <w:r w:rsidR="00583E1A">
        <w:t> </w:t>
      </w:r>
      <w:r w:rsidRPr="00583E1A">
        <w:t xml:space="preserve">1 to the </w:t>
      </w:r>
      <w:r w:rsidRPr="00583E1A">
        <w:rPr>
          <w:i/>
        </w:rPr>
        <w:t>Taxation Administration Act 1953</w:t>
      </w:r>
      <w:r w:rsidRPr="00583E1A">
        <w:t xml:space="preserve"> (including that Subdivision as applied under Subdivision</w:t>
      </w:r>
      <w:r w:rsidR="00583E1A">
        <w:t> </w:t>
      </w:r>
      <w:r w:rsidRPr="00583E1A">
        <w:t>45</w:t>
      </w:r>
      <w:r w:rsidR="00583E1A">
        <w:noBreakHyphen/>
      </w:r>
      <w:r w:rsidRPr="00583E1A">
        <w:t>S in that Schedule):</w:t>
      </w:r>
    </w:p>
    <w:p w:rsidR="00887330" w:rsidRPr="00583E1A" w:rsidRDefault="00887330" w:rsidP="00887330">
      <w:pPr>
        <w:pStyle w:val="paragraphsub"/>
      </w:pPr>
      <w:r w:rsidRPr="00583E1A">
        <w:tab/>
        <w:t>(i)</w:t>
      </w:r>
      <w:r w:rsidRPr="00583E1A">
        <w:tab/>
        <w:t xml:space="preserve">does not apply at all to the </w:t>
      </w:r>
      <w:r w:rsidR="00583E1A" w:rsidRPr="00583E1A">
        <w:rPr>
          <w:position w:val="6"/>
          <w:sz w:val="16"/>
        </w:rPr>
        <w:t>*</w:t>
      </w:r>
      <w:r w:rsidRPr="00583E1A">
        <w:t xml:space="preserve">head company or the </w:t>
      </w:r>
      <w:r w:rsidR="00583E1A" w:rsidRPr="00583E1A">
        <w:rPr>
          <w:position w:val="6"/>
          <w:sz w:val="16"/>
        </w:rPr>
        <w:t>*</w:t>
      </w:r>
      <w:r w:rsidRPr="00583E1A">
        <w:t>provisional head company of the group during that year; or</w:t>
      </w:r>
    </w:p>
    <w:p w:rsidR="00887330" w:rsidRPr="00583E1A" w:rsidRDefault="00887330" w:rsidP="00887330">
      <w:pPr>
        <w:pStyle w:val="paragraphsub"/>
      </w:pPr>
      <w:r w:rsidRPr="00583E1A">
        <w:tab/>
        <w:t>(ii)</w:t>
      </w:r>
      <w:r w:rsidRPr="00583E1A">
        <w:tab/>
        <w:t>starts to apply at any time during that year to the head company or the provisional head company of the group because of subsection 45</w:t>
      </w:r>
      <w:r w:rsidR="00583E1A">
        <w:noBreakHyphen/>
      </w:r>
      <w:r w:rsidRPr="00583E1A">
        <w:t>705(2) or subparagraph 45</w:t>
      </w:r>
      <w:r w:rsidR="00583E1A">
        <w:noBreakHyphen/>
      </w:r>
      <w:r w:rsidRPr="00583E1A">
        <w:t>705(3)(c)(ii), (4)(d)(ii) or (iv), or subsection 45</w:t>
      </w:r>
      <w:r w:rsidR="00583E1A">
        <w:noBreakHyphen/>
      </w:r>
      <w:r w:rsidRPr="00583E1A">
        <w:t>915(2) or subparagraph 45</w:t>
      </w:r>
      <w:r w:rsidR="00583E1A">
        <w:noBreakHyphen/>
      </w:r>
      <w:r w:rsidRPr="00583E1A">
        <w:t>915(3)(c)(ii), (4)(b)(ii) or (iv), in that Schedule.</w:t>
      </w:r>
    </w:p>
    <w:p w:rsidR="00887330" w:rsidRPr="00583E1A" w:rsidRDefault="00887330" w:rsidP="00887330">
      <w:pPr>
        <w:pStyle w:val="Definition"/>
      </w:pPr>
      <w:r w:rsidRPr="00583E1A">
        <w:rPr>
          <w:b/>
          <w:i/>
        </w:rPr>
        <w:t>constitution</w:t>
      </w:r>
      <w:r w:rsidRPr="00583E1A">
        <w:t xml:space="preserve"> of a company means the memorandum and articles of association of the company, or any other rules or document constituting the company or governing its activities.</w:t>
      </w:r>
    </w:p>
    <w:p w:rsidR="00406FCE" w:rsidRPr="00583E1A" w:rsidRDefault="00406FCE" w:rsidP="00406FCE">
      <w:pPr>
        <w:pStyle w:val="Definition"/>
      </w:pPr>
      <w:r w:rsidRPr="00583E1A">
        <w:rPr>
          <w:b/>
          <w:i/>
        </w:rPr>
        <w:t>constitutional corporation</w:t>
      </w:r>
      <w:r w:rsidRPr="00583E1A">
        <w:t xml:space="preserve"> means:</w:t>
      </w:r>
    </w:p>
    <w:p w:rsidR="00406FCE" w:rsidRPr="00583E1A" w:rsidRDefault="00406FCE" w:rsidP="00406FCE">
      <w:pPr>
        <w:pStyle w:val="paragraph"/>
      </w:pPr>
      <w:r w:rsidRPr="00583E1A">
        <w:tab/>
        <w:t>(a)</w:t>
      </w:r>
      <w:r w:rsidRPr="00583E1A">
        <w:tab/>
        <w:t>a corporation to which paragraph 51(xx) of the Constitution applies; or</w:t>
      </w:r>
    </w:p>
    <w:p w:rsidR="00406FCE" w:rsidRPr="00583E1A" w:rsidRDefault="00406FCE" w:rsidP="00406FCE">
      <w:pPr>
        <w:pStyle w:val="paragraph"/>
      </w:pPr>
      <w:r w:rsidRPr="00583E1A">
        <w:tab/>
        <w:t>(b)</w:t>
      </w:r>
      <w:r w:rsidRPr="00583E1A">
        <w:tab/>
        <w:t>a body corporate that is incorporated in a Territory.</w:t>
      </w:r>
    </w:p>
    <w:p w:rsidR="00C33219" w:rsidRPr="00583E1A" w:rsidRDefault="00C33219" w:rsidP="00C33219">
      <w:pPr>
        <w:pStyle w:val="Definition"/>
      </w:pPr>
      <w:r w:rsidRPr="00583E1A">
        <w:rPr>
          <w:b/>
          <w:i/>
        </w:rPr>
        <w:t xml:space="preserve">constitutionally protected fund </w:t>
      </w:r>
      <w:r w:rsidRPr="00583E1A">
        <w:t>means a fund that is declared by the regulations to be a constitutionally protected fund.</w:t>
      </w:r>
    </w:p>
    <w:p w:rsidR="00887330" w:rsidRPr="00583E1A" w:rsidRDefault="00887330" w:rsidP="00887330">
      <w:pPr>
        <w:pStyle w:val="Definition"/>
      </w:pPr>
      <w:r w:rsidRPr="00583E1A">
        <w:rPr>
          <w:b/>
          <w:i/>
        </w:rPr>
        <w:t>construction expenditure</w:t>
      </w:r>
      <w:r w:rsidRPr="00583E1A">
        <w:t xml:space="preserve"> has the meaning given by section</w:t>
      </w:r>
      <w:r w:rsidR="00583E1A">
        <w:t> </w:t>
      </w:r>
      <w:r w:rsidRPr="00583E1A">
        <w:t>43</w:t>
      </w:r>
      <w:r w:rsidR="00583E1A">
        <w:noBreakHyphen/>
      </w:r>
      <w:r w:rsidRPr="00583E1A">
        <w:t>70.</w:t>
      </w:r>
    </w:p>
    <w:p w:rsidR="00887330" w:rsidRPr="00583E1A" w:rsidRDefault="00887330" w:rsidP="00887330">
      <w:pPr>
        <w:pStyle w:val="Definition"/>
      </w:pPr>
      <w:r w:rsidRPr="00583E1A">
        <w:rPr>
          <w:b/>
          <w:i/>
        </w:rPr>
        <w:t>construction expenditure area</w:t>
      </w:r>
      <w:r w:rsidRPr="00583E1A">
        <w:t xml:space="preserve"> has the meaning given by section</w:t>
      </w:r>
      <w:r w:rsidR="00583E1A">
        <w:t> </w:t>
      </w:r>
      <w:r w:rsidRPr="00583E1A">
        <w:t>43</w:t>
      </w:r>
      <w:r w:rsidR="00583E1A">
        <w:noBreakHyphen/>
      </w:r>
      <w:r w:rsidRPr="00583E1A">
        <w:t>75.</w:t>
      </w:r>
    </w:p>
    <w:p w:rsidR="00887330" w:rsidRPr="00583E1A" w:rsidRDefault="00887330" w:rsidP="00887330">
      <w:pPr>
        <w:pStyle w:val="Definition"/>
      </w:pPr>
      <w:r w:rsidRPr="00583E1A">
        <w:rPr>
          <w:b/>
          <w:i/>
        </w:rPr>
        <w:t>contingent on the economic performance</w:t>
      </w:r>
      <w:r w:rsidRPr="00583E1A">
        <w:t xml:space="preserve"> has the meaning given by section</w:t>
      </w:r>
      <w:r w:rsidR="00583E1A">
        <w:t> </w:t>
      </w:r>
      <w:r w:rsidRPr="00583E1A">
        <w:t>974</w:t>
      </w:r>
      <w:r w:rsidR="00583E1A">
        <w:noBreakHyphen/>
      </w:r>
      <w:r w:rsidRPr="00583E1A">
        <w:t>85.</w:t>
      </w:r>
    </w:p>
    <w:p w:rsidR="00887330" w:rsidRPr="00583E1A" w:rsidRDefault="00887330" w:rsidP="00887330">
      <w:pPr>
        <w:pStyle w:val="Definition"/>
      </w:pPr>
      <w:r w:rsidRPr="00583E1A">
        <w:rPr>
          <w:b/>
          <w:i/>
        </w:rPr>
        <w:t>continuing shareholders</w:t>
      </w:r>
      <w:r w:rsidRPr="00583E1A">
        <w:t xml:space="preserve"> has the meaning given by sections</w:t>
      </w:r>
      <w:r w:rsidR="00583E1A">
        <w:t> </w:t>
      </w:r>
      <w:r w:rsidRPr="00583E1A">
        <w:t>175</w:t>
      </w:r>
      <w:r w:rsidR="00583E1A">
        <w:noBreakHyphen/>
      </w:r>
      <w:r w:rsidRPr="00583E1A">
        <w:t>10, 175</w:t>
      </w:r>
      <w:r w:rsidR="00583E1A">
        <w:noBreakHyphen/>
      </w:r>
      <w:r w:rsidRPr="00583E1A">
        <w:t>20, 175</w:t>
      </w:r>
      <w:r w:rsidR="00583E1A">
        <w:noBreakHyphen/>
      </w:r>
      <w:r w:rsidRPr="00583E1A">
        <w:t>25, 175</w:t>
      </w:r>
      <w:r w:rsidR="00583E1A">
        <w:noBreakHyphen/>
      </w:r>
      <w:r w:rsidRPr="00583E1A">
        <w:t>45, 175</w:t>
      </w:r>
      <w:r w:rsidR="00583E1A">
        <w:noBreakHyphen/>
      </w:r>
      <w:r w:rsidRPr="00583E1A">
        <w:t>60, 175</w:t>
      </w:r>
      <w:r w:rsidR="00583E1A">
        <w:noBreakHyphen/>
      </w:r>
      <w:r w:rsidRPr="00583E1A">
        <w:t>65 and 175</w:t>
      </w:r>
      <w:r w:rsidR="00583E1A">
        <w:noBreakHyphen/>
      </w:r>
      <w:r w:rsidRPr="00583E1A">
        <w:t>85.</w:t>
      </w:r>
    </w:p>
    <w:p w:rsidR="00887330" w:rsidRPr="00583E1A" w:rsidRDefault="00887330" w:rsidP="00887330">
      <w:pPr>
        <w:pStyle w:val="Definition"/>
      </w:pPr>
      <w:r w:rsidRPr="00583E1A">
        <w:rPr>
          <w:b/>
          <w:i/>
        </w:rPr>
        <w:lastRenderedPageBreak/>
        <w:t>continuous disability policy</w:t>
      </w:r>
      <w:r w:rsidRPr="00583E1A">
        <w:t xml:space="preserve"> has the meaning given by section</w:t>
      </w:r>
      <w:r w:rsidR="00583E1A">
        <w:t> </w:t>
      </w:r>
      <w:r w:rsidRPr="00583E1A">
        <w:t xml:space="preserve">9A of the </w:t>
      </w:r>
      <w:r w:rsidRPr="00583E1A">
        <w:rPr>
          <w:i/>
        </w:rPr>
        <w:t>Life Insurance Act 1995</w:t>
      </w:r>
      <w:r w:rsidRPr="00583E1A">
        <w:t>.</w:t>
      </w:r>
    </w:p>
    <w:p w:rsidR="00316F36" w:rsidRPr="00214FF7" w:rsidRDefault="00316F36" w:rsidP="00A756C6">
      <w:pPr>
        <w:pStyle w:val="Definition"/>
        <w:keepNext/>
        <w:keepLines/>
      </w:pPr>
      <w:r w:rsidRPr="00214FF7">
        <w:rPr>
          <w:b/>
          <w:i/>
        </w:rPr>
        <w:t>contract of reinsurance</w:t>
      </w:r>
      <w:r w:rsidRPr="00214FF7">
        <w:t xml:space="preserve">, in respect of </w:t>
      </w:r>
      <w:r w:rsidRPr="00214FF7">
        <w:rPr>
          <w:position w:val="6"/>
          <w:sz w:val="16"/>
        </w:rPr>
        <w:t>*</w:t>
      </w:r>
      <w:r w:rsidRPr="00214FF7">
        <w:t>life insurance policies, does not include a contract of reinsurance in respect of:</w:t>
      </w:r>
    </w:p>
    <w:p w:rsidR="00316F36" w:rsidRPr="00214FF7" w:rsidRDefault="00316F36" w:rsidP="00316F36">
      <w:pPr>
        <w:pStyle w:val="paragraph"/>
      </w:pPr>
      <w:r w:rsidRPr="00214FF7">
        <w:tab/>
        <w:t>(a)</w:t>
      </w:r>
      <w:r w:rsidRPr="00214FF7">
        <w:tab/>
        <w:t xml:space="preserve">the parts of </w:t>
      </w:r>
      <w:r w:rsidRPr="00214FF7">
        <w:rPr>
          <w:position w:val="6"/>
          <w:sz w:val="16"/>
        </w:rPr>
        <w:t>*</w:t>
      </w:r>
      <w:r w:rsidRPr="00214FF7">
        <w:t xml:space="preserve">complying superannuation/FHSA life insurance policies in respect of which the liabilities of the company that issued the policies are to be discharged out of a </w:t>
      </w:r>
      <w:r w:rsidRPr="00214FF7">
        <w:rPr>
          <w:position w:val="6"/>
          <w:sz w:val="16"/>
        </w:rPr>
        <w:t>*</w:t>
      </w:r>
      <w:r w:rsidRPr="00214FF7">
        <w:t>complying superannuation/FHSA asset pool; or</w:t>
      </w:r>
    </w:p>
    <w:p w:rsidR="00316F36" w:rsidRPr="00214FF7" w:rsidRDefault="00316F36" w:rsidP="00316F36">
      <w:pPr>
        <w:pStyle w:val="paragraph"/>
      </w:pPr>
      <w:r w:rsidRPr="00214FF7">
        <w:tab/>
        <w:t>(b)</w:t>
      </w:r>
      <w:r w:rsidRPr="00214FF7">
        <w:tab/>
        <w:t xml:space="preserve">policies that are </w:t>
      </w:r>
      <w:r w:rsidRPr="00214FF7">
        <w:rPr>
          <w:position w:val="6"/>
          <w:sz w:val="16"/>
        </w:rPr>
        <w:t>*</w:t>
      </w:r>
      <w:r w:rsidRPr="00214FF7">
        <w:t>exempt life insurance policies.</w:t>
      </w:r>
    </w:p>
    <w:p w:rsidR="00C33219" w:rsidRPr="00583E1A" w:rsidRDefault="00C33219" w:rsidP="00C33219">
      <w:pPr>
        <w:pStyle w:val="Definition"/>
      </w:pPr>
      <w:r w:rsidRPr="00583E1A">
        <w:rPr>
          <w:b/>
          <w:i/>
        </w:rPr>
        <w:t xml:space="preserve">contributions segment </w:t>
      </w:r>
      <w:r w:rsidRPr="00583E1A">
        <w:t>has the meaning given by section</w:t>
      </w:r>
      <w:r w:rsidR="00583E1A">
        <w:t> </w:t>
      </w:r>
      <w:r w:rsidRPr="00583E1A">
        <w:t>307</w:t>
      </w:r>
      <w:r w:rsidR="00583E1A">
        <w:noBreakHyphen/>
      </w:r>
      <w:r w:rsidRPr="00583E1A">
        <w:t>220.</w:t>
      </w:r>
    </w:p>
    <w:p w:rsidR="00C33219" w:rsidRPr="00583E1A" w:rsidRDefault="00C33219" w:rsidP="00C33219">
      <w:pPr>
        <w:pStyle w:val="Definition"/>
      </w:pPr>
      <w:r w:rsidRPr="00583E1A">
        <w:rPr>
          <w:b/>
          <w:i/>
        </w:rPr>
        <w:t>contributions</w:t>
      </w:r>
      <w:r w:rsidR="00583E1A">
        <w:rPr>
          <w:b/>
          <w:i/>
        </w:rPr>
        <w:noBreakHyphen/>
      </w:r>
      <w:r w:rsidRPr="00583E1A">
        <w:rPr>
          <w:b/>
          <w:i/>
        </w:rPr>
        <w:t xml:space="preserve">splitting superannuation benefit </w:t>
      </w:r>
      <w:r w:rsidRPr="00583E1A">
        <w:t>has the meaning given by the regulations.</w:t>
      </w:r>
    </w:p>
    <w:p w:rsidR="0099019B" w:rsidRPr="008A6DF7" w:rsidRDefault="0099019B" w:rsidP="0099019B">
      <w:pPr>
        <w:pStyle w:val="Definition"/>
      </w:pPr>
      <w:r w:rsidRPr="008A6DF7">
        <w:rPr>
          <w:b/>
          <w:i/>
        </w:rPr>
        <w:t>control a non</w:t>
      </w:r>
      <w:r w:rsidRPr="008A6DF7">
        <w:rPr>
          <w:b/>
          <w:i/>
        </w:rPr>
        <w:noBreakHyphen/>
        <w:t>fixed trust</w:t>
      </w:r>
      <w:r w:rsidRPr="008A6DF7">
        <w:t xml:space="preserve"> has the meaning given by Subdivision 269</w:t>
      </w:r>
      <w:r w:rsidRPr="008A6DF7">
        <w:noBreakHyphen/>
        <w:t xml:space="preserve">E in Schedule 2F to the </w:t>
      </w:r>
      <w:r w:rsidRPr="008A6DF7">
        <w:rPr>
          <w:i/>
        </w:rPr>
        <w:t>Income Tax Assessment Act 1936</w:t>
      </w:r>
      <w:r w:rsidRPr="008A6DF7">
        <w:t>.</w:t>
      </w:r>
    </w:p>
    <w:p w:rsidR="00887330" w:rsidRPr="00583E1A" w:rsidRDefault="00887330" w:rsidP="00887330">
      <w:pPr>
        <w:pStyle w:val="Definition"/>
      </w:pPr>
      <w:r w:rsidRPr="00583E1A">
        <w:rPr>
          <w:b/>
          <w:i/>
        </w:rPr>
        <w:t>control (for value shifting purposes)</w:t>
      </w:r>
      <w:r w:rsidRPr="00583E1A">
        <w:t xml:space="preserve"> has the meaning given by sections</w:t>
      </w:r>
      <w:r w:rsidR="00583E1A">
        <w:t> </w:t>
      </w:r>
      <w:r w:rsidRPr="00583E1A">
        <w:t>727</w:t>
      </w:r>
      <w:r w:rsidR="00583E1A">
        <w:noBreakHyphen/>
      </w:r>
      <w:r w:rsidRPr="00583E1A">
        <w:t>355, 727</w:t>
      </w:r>
      <w:r w:rsidR="00583E1A">
        <w:noBreakHyphen/>
      </w:r>
      <w:r w:rsidRPr="00583E1A">
        <w:t>360, 727</w:t>
      </w:r>
      <w:r w:rsidR="00583E1A">
        <w:noBreakHyphen/>
      </w:r>
      <w:r w:rsidRPr="00583E1A">
        <w:t>365 and 727</w:t>
      </w:r>
      <w:r w:rsidR="00583E1A">
        <w:noBreakHyphen/>
      </w:r>
      <w:r w:rsidRPr="00583E1A">
        <w:t>375.</w:t>
      </w:r>
    </w:p>
    <w:p w:rsidR="00887330" w:rsidRPr="00583E1A" w:rsidRDefault="00887330" w:rsidP="00887330">
      <w:pPr>
        <w:pStyle w:val="Definition"/>
        <w:rPr>
          <w:i/>
        </w:rPr>
      </w:pPr>
      <w:r w:rsidRPr="00583E1A">
        <w:rPr>
          <w:b/>
          <w:i/>
        </w:rPr>
        <w:t xml:space="preserve">controlled foreign company </w:t>
      </w:r>
      <w:r w:rsidRPr="00583E1A">
        <w:t>has the same meaning as in Part</w:t>
      </w:r>
      <w:r w:rsidR="00583E1A">
        <w:t> </w:t>
      </w:r>
      <w:r w:rsidRPr="00583E1A">
        <w:t xml:space="preserve">X of the </w:t>
      </w:r>
      <w:r w:rsidRPr="00583E1A">
        <w:rPr>
          <w:i/>
        </w:rPr>
        <w:t>Income Tax Assessment Act 1936.</w:t>
      </w:r>
    </w:p>
    <w:p w:rsidR="00887330" w:rsidRPr="00583E1A" w:rsidRDefault="00887330" w:rsidP="00887330">
      <w:pPr>
        <w:pStyle w:val="Definition"/>
        <w:rPr>
          <w:i/>
        </w:rPr>
      </w:pPr>
      <w:r w:rsidRPr="00583E1A">
        <w:rPr>
          <w:b/>
          <w:i/>
        </w:rPr>
        <w:t>controlled foreign corporate limited partnership</w:t>
      </w:r>
      <w:r w:rsidRPr="00583E1A">
        <w:rPr>
          <w:b/>
        </w:rPr>
        <w:t xml:space="preserve"> </w:t>
      </w:r>
      <w:r w:rsidRPr="00583E1A">
        <w:t>has the meaning given by section</w:t>
      </w:r>
      <w:r w:rsidR="00583E1A">
        <w:t> </w:t>
      </w:r>
      <w:r w:rsidRPr="00583E1A">
        <w:t>820</w:t>
      </w:r>
      <w:r w:rsidR="00583E1A">
        <w:noBreakHyphen/>
      </w:r>
      <w:r w:rsidRPr="00583E1A">
        <w:t>760</w:t>
      </w:r>
      <w:r w:rsidRPr="00583E1A">
        <w:rPr>
          <w:i/>
        </w:rPr>
        <w:t>.</w:t>
      </w:r>
    </w:p>
    <w:p w:rsidR="00887330" w:rsidRPr="00583E1A" w:rsidRDefault="00887330" w:rsidP="00887330">
      <w:pPr>
        <w:pStyle w:val="Definition"/>
      </w:pPr>
      <w:r w:rsidRPr="00583E1A">
        <w:rPr>
          <w:b/>
          <w:i/>
        </w:rPr>
        <w:t xml:space="preserve">controlled foreign entity debt </w:t>
      </w:r>
      <w:r w:rsidRPr="00583E1A">
        <w:t>has the meaning given by section</w:t>
      </w:r>
      <w:r w:rsidR="00583E1A">
        <w:t> </w:t>
      </w:r>
      <w:r w:rsidRPr="00583E1A">
        <w:t>820</w:t>
      </w:r>
      <w:r w:rsidR="00583E1A">
        <w:noBreakHyphen/>
      </w:r>
      <w:r w:rsidRPr="00583E1A">
        <w:t>885.</w:t>
      </w:r>
    </w:p>
    <w:p w:rsidR="00887330" w:rsidRPr="00583E1A" w:rsidRDefault="00887330" w:rsidP="00887330">
      <w:pPr>
        <w:pStyle w:val="Definition"/>
      </w:pPr>
      <w:r w:rsidRPr="00583E1A">
        <w:rPr>
          <w:b/>
          <w:i/>
        </w:rPr>
        <w:t>controlled foreign entity equity</w:t>
      </w:r>
      <w:r w:rsidRPr="00583E1A">
        <w:t xml:space="preserve"> has the meaning given by section</w:t>
      </w:r>
      <w:r w:rsidR="00583E1A">
        <w:t> </w:t>
      </w:r>
      <w:r w:rsidRPr="00583E1A">
        <w:t>820</w:t>
      </w:r>
      <w:r w:rsidR="00583E1A">
        <w:noBreakHyphen/>
      </w:r>
      <w:r w:rsidRPr="00583E1A">
        <w:t>890.</w:t>
      </w:r>
    </w:p>
    <w:p w:rsidR="00887330" w:rsidRPr="00583E1A" w:rsidRDefault="00887330" w:rsidP="00887330">
      <w:pPr>
        <w:pStyle w:val="Definition"/>
        <w:rPr>
          <w:i/>
        </w:rPr>
      </w:pPr>
      <w:r w:rsidRPr="00583E1A">
        <w:rPr>
          <w:b/>
          <w:i/>
        </w:rPr>
        <w:t>controlled foreign trust</w:t>
      </w:r>
      <w:r w:rsidRPr="00583E1A">
        <w:rPr>
          <w:b/>
        </w:rPr>
        <w:t xml:space="preserve"> </w:t>
      </w:r>
      <w:r w:rsidRPr="00583E1A">
        <w:t>has the same meaning as in Part</w:t>
      </w:r>
      <w:r w:rsidR="00583E1A">
        <w:t> </w:t>
      </w:r>
      <w:r w:rsidRPr="00583E1A">
        <w:t xml:space="preserve">X of the </w:t>
      </w:r>
      <w:r w:rsidRPr="00583E1A">
        <w:rPr>
          <w:i/>
        </w:rPr>
        <w:t>Income Tax Assessment Act 1936.</w:t>
      </w:r>
    </w:p>
    <w:p w:rsidR="00887330" w:rsidRPr="00583E1A" w:rsidRDefault="00887330" w:rsidP="00887330">
      <w:pPr>
        <w:pStyle w:val="Definition"/>
      </w:pPr>
      <w:r w:rsidRPr="00583E1A">
        <w:rPr>
          <w:b/>
          <w:i/>
        </w:rPr>
        <w:t>controller (for CGT purposes)</w:t>
      </w:r>
      <w:r w:rsidRPr="00583E1A">
        <w:t xml:space="preserve">: an entity is a </w:t>
      </w:r>
      <w:r w:rsidRPr="00583E1A">
        <w:rPr>
          <w:b/>
          <w:i/>
        </w:rPr>
        <w:t>controller (for CGT purposes)</w:t>
      </w:r>
      <w:r w:rsidRPr="00583E1A">
        <w:t xml:space="preserve"> of a company in the circumstances mentioned in section</w:t>
      </w:r>
      <w:r w:rsidR="00583E1A">
        <w:t> </w:t>
      </w:r>
      <w:r w:rsidRPr="00583E1A">
        <w:t>975</w:t>
      </w:r>
      <w:r w:rsidR="00583E1A">
        <w:noBreakHyphen/>
      </w:r>
      <w:r w:rsidRPr="00583E1A">
        <w:t>155.</w:t>
      </w:r>
    </w:p>
    <w:p w:rsidR="00887330" w:rsidRPr="00583E1A" w:rsidRDefault="00887330" w:rsidP="00887330">
      <w:pPr>
        <w:pStyle w:val="Definition"/>
      </w:pPr>
      <w:r w:rsidRPr="00583E1A">
        <w:rPr>
          <w:b/>
          <w:i/>
        </w:rPr>
        <w:lastRenderedPageBreak/>
        <w:t>controller (for imputation purposes)</w:t>
      </w:r>
      <w:r w:rsidRPr="00583E1A">
        <w:t xml:space="preserve"> has the meaning given by subsections 207</w:t>
      </w:r>
      <w:r w:rsidR="00583E1A">
        <w:noBreakHyphen/>
      </w:r>
      <w:r w:rsidRPr="00583E1A">
        <w:t>130(5) and (6).</w:t>
      </w:r>
    </w:p>
    <w:p w:rsidR="00887330" w:rsidRPr="00583E1A" w:rsidRDefault="00887330" w:rsidP="00A805BD">
      <w:pPr>
        <w:pStyle w:val="Definition"/>
        <w:keepNext/>
      </w:pPr>
      <w:r w:rsidRPr="00583E1A">
        <w:rPr>
          <w:b/>
          <w:i/>
        </w:rPr>
        <w:t>convertible interest</w:t>
      </w:r>
      <w:r w:rsidRPr="00583E1A">
        <w:t xml:space="preserve"> means a convertible interest in a company or in a trust or unit trust and:</w:t>
      </w:r>
    </w:p>
    <w:p w:rsidR="00887330" w:rsidRPr="00583E1A" w:rsidRDefault="00887330" w:rsidP="00887330">
      <w:pPr>
        <w:pStyle w:val="paragraph"/>
      </w:pPr>
      <w:r w:rsidRPr="00583E1A">
        <w:tab/>
        <w:t>(a)</w:t>
      </w:r>
      <w:r w:rsidRPr="00583E1A">
        <w:tab/>
        <w:t xml:space="preserve">a </w:t>
      </w:r>
      <w:r w:rsidRPr="00583E1A">
        <w:rPr>
          <w:b/>
          <w:i/>
        </w:rPr>
        <w:t>convertible interest</w:t>
      </w:r>
      <w:r w:rsidRPr="00583E1A">
        <w:t xml:space="preserve"> in a company is an interest of the kind referred to in item</w:t>
      </w:r>
      <w:r w:rsidR="00583E1A">
        <w:t> </w:t>
      </w:r>
      <w:r w:rsidRPr="00583E1A">
        <w:t>4 of the table in subsection 974</w:t>
      </w:r>
      <w:r w:rsidR="00583E1A">
        <w:noBreakHyphen/>
      </w:r>
      <w:r w:rsidRPr="00583E1A">
        <w:t>75(1); and</w:t>
      </w:r>
    </w:p>
    <w:p w:rsidR="00887330" w:rsidRPr="00583E1A" w:rsidRDefault="00887330" w:rsidP="00887330">
      <w:pPr>
        <w:pStyle w:val="paragraph"/>
      </w:pPr>
      <w:r w:rsidRPr="00583E1A">
        <w:tab/>
        <w:t>(b)</w:t>
      </w:r>
      <w:r w:rsidRPr="00583E1A">
        <w:tab/>
        <w:t xml:space="preserve">a </w:t>
      </w:r>
      <w:r w:rsidRPr="00583E1A">
        <w:rPr>
          <w:b/>
          <w:i/>
        </w:rPr>
        <w:t>convertible interest</w:t>
      </w:r>
      <w:r w:rsidRPr="00583E1A">
        <w:t xml:space="preserve"> in a trust or unit trust is an interest that has the same or a similar effect in relation to the trust or unit trust.</w:t>
      </w:r>
    </w:p>
    <w:p w:rsidR="00887330" w:rsidRPr="00583E1A" w:rsidRDefault="00887330" w:rsidP="00887330">
      <w:pPr>
        <w:pStyle w:val="Definition"/>
      </w:pPr>
      <w:r w:rsidRPr="00583E1A">
        <w:rPr>
          <w:b/>
          <w:i/>
        </w:rPr>
        <w:t>convertible note</w:t>
      </w:r>
      <w:r w:rsidRPr="00583E1A">
        <w:t>:</w:t>
      </w:r>
    </w:p>
    <w:p w:rsidR="00887330" w:rsidRPr="00583E1A" w:rsidRDefault="00887330" w:rsidP="00887330">
      <w:pPr>
        <w:pStyle w:val="paragraph"/>
        <w:tabs>
          <w:tab w:val="left" w:pos="2268"/>
          <w:tab w:val="left" w:pos="3402"/>
          <w:tab w:val="left" w:pos="4536"/>
          <w:tab w:val="left" w:pos="5670"/>
          <w:tab w:val="left" w:pos="6804"/>
        </w:tabs>
      </w:pPr>
      <w:r w:rsidRPr="00583E1A">
        <w:tab/>
        <w:t>(a)</w:t>
      </w:r>
      <w:r w:rsidRPr="00583E1A">
        <w:tab/>
        <w:t xml:space="preserve">a </w:t>
      </w:r>
      <w:r w:rsidRPr="00583E1A">
        <w:rPr>
          <w:b/>
          <w:i/>
        </w:rPr>
        <w:t>convertible note</w:t>
      </w:r>
      <w:r w:rsidRPr="00583E1A">
        <w:t xml:space="preserve"> of a company has the meaning given by section</w:t>
      </w:r>
      <w:r w:rsidR="00583E1A">
        <w:t> </w:t>
      </w:r>
      <w:r w:rsidRPr="00583E1A">
        <w:t xml:space="preserve">82L of the </w:t>
      </w:r>
      <w:r w:rsidRPr="00583E1A">
        <w:rPr>
          <w:i/>
        </w:rPr>
        <w:t>Income Tax Assessment Act 1936</w:t>
      </w:r>
      <w:r w:rsidRPr="00583E1A">
        <w:t>; and</w:t>
      </w:r>
    </w:p>
    <w:p w:rsidR="00887330" w:rsidRPr="00583E1A" w:rsidRDefault="00887330" w:rsidP="00887330">
      <w:pPr>
        <w:pStyle w:val="paragraph"/>
        <w:tabs>
          <w:tab w:val="left" w:pos="2268"/>
          <w:tab w:val="left" w:pos="3402"/>
          <w:tab w:val="left" w:pos="4536"/>
          <w:tab w:val="left" w:pos="5670"/>
          <w:tab w:val="left" w:pos="6804"/>
        </w:tabs>
      </w:pPr>
      <w:r w:rsidRPr="00583E1A">
        <w:tab/>
        <w:t>(b)</w:t>
      </w:r>
      <w:r w:rsidRPr="00583E1A">
        <w:tab/>
        <w:t xml:space="preserve">a </w:t>
      </w:r>
      <w:r w:rsidRPr="00583E1A">
        <w:rPr>
          <w:b/>
          <w:i/>
        </w:rPr>
        <w:t>convertible note</w:t>
      </w:r>
      <w:r w:rsidRPr="00583E1A">
        <w:t xml:space="preserve"> of a trust or unit trust means a note that has the same or a similar effect in relation to the trust or unit trust.</w:t>
      </w:r>
    </w:p>
    <w:p w:rsidR="00887330" w:rsidRPr="00583E1A" w:rsidRDefault="00887330" w:rsidP="00887330">
      <w:pPr>
        <w:pStyle w:val="Definition"/>
      </w:pPr>
      <w:r w:rsidRPr="00583E1A">
        <w:rPr>
          <w:b/>
          <w:i/>
        </w:rPr>
        <w:t>co</w:t>
      </w:r>
      <w:r w:rsidR="00583E1A">
        <w:rPr>
          <w:b/>
          <w:i/>
        </w:rPr>
        <w:noBreakHyphen/>
      </w:r>
      <w:r w:rsidRPr="00583E1A">
        <w:rPr>
          <w:b/>
          <w:i/>
        </w:rPr>
        <w:t>operative company</w:t>
      </w:r>
      <w:r w:rsidRPr="00583E1A">
        <w:t xml:space="preserve"> has the same meaning as in Division</w:t>
      </w:r>
      <w:r w:rsidR="00583E1A">
        <w:t> </w:t>
      </w:r>
      <w:r w:rsidRPr="00583E1A">
        <w:t>9 of Part</w:t>
      </w:r>
      <w:r w:rsidR="00583E1A">
        <w:t> </w:t>
      </w:r>
      <w:r w:rsidRPr="00583E1A">
        <w:t xml:space="preserve">III of the </w:t>
      </w:r>
      <w:r w:rsidRPr="00583E1A">
        <w:rPr>
          <w:i/>
        </w:rPr>
        <w:t>Income Tax Assessment Act 1936</w:t>
      </w:r>
      <w:r w:rsidRPr="00583E1A">
        <w:t>.</w:t>
      </w:r>
    </w:p>
    <w:p w:rsidR="00887330" w:rsidRPr="00583E1A" w:rsidRDefault="00887330" w:rsidP="00887330">
      <w:pPr>
        <w:pStyle w:val="Definition"/>
      </w:pPr>
      <w:r w:rsidRPr="00583E1A">
        <w:rPr>
          <w:b/>
          <w:i/>
        </w:rPr>
        <w:t>copyright collecting society</w:t>
      </w:r>
      <w:r w:rsidRPr="00583E1A">
        <w:t xml:space="preserve"> means either of the following bodies:</w:t>
      </w:r>
    </w:p>
    <w:p w:rsidR="00887330" w:rsidRPr="00583E1A" w:rsidRDefault="00887330" w:rsidP="00887330">
      <w:pPr>
        <w:pStyle w:val="paragraph"/>
      </w:pPr>
      <w:r w:rsidRPr="00583E1A">
        <w:tab/>
        <w:t>(a)</w:t>
      </w:r>
      <w:r w:rsidRPr="00583E1A">
        <w:tab/>
        <w:t>a body that satisfies all of the following conditions:</w:t>
      </w:r>
    </w:p>
    <w:p w:rsidR="00887330" w:rsidRPr="00583E1A" w:rsidRDefault="00887330" w:rsidP="00887330">
      <w:pPr>
        <w:pStyle w:val="paragraphsub"/>
      </w:pPr>
      <w:r w:rsidRPr="00583E1A">
        <w:tab/>
        <w:t>(i)</w:t>
      </w:r>
      <w:r w:rsidRPr="00583E1A">
        <w:tab/>
        <w:t xml:space="preserve">a declaration under the </w:t>
      </w:r>
      <w:r w:rsidRPr="00583E1A">
        <w:rPr>
          <w:i/>
        </w:rPr>
        <w:t xml:space="preserve">Copyright Act 1968 </w:t>
      </w:r>
      <w:r w:rsidRPr="00583E1A">
        <w:t>is in force in respect of the body;</w:t>
      </w:r>
    </w:p>
    <w:p w:rsidR="00887330" w:rsidRPr="00583E1A" w:rsidRDefault="00887330" w:rsidP="00887330">
      <w:pPr>
        <w:pStyle w:val="paragraphsub"/>
      </w:pPr>
      <w:r w:rsidRPr="00583E1A">
        <w:tab/>
        <w:t>(ii)</w:t>
      </w:r>
      <w:r w:rsidRPr="00583E1A">
        <w:tab/>
        <w:t xml:space="preserve">the body is a company whose </w:t>
      </w:r>
      <w:r w:rsidR="00583E1A" w:rsidRPr="00583E1A">
        <w:rPr>
          <w:position w:val="6"/>
          <w:sz w:val="16"/>
        </w:rPr>
        <w:t>*</w:t>
      </w:r>
      <w:r w:rsidRPr="00583E1A">
        <w:t xml:space="preserve">constitution contains provisions about the distribution of amounts collected or </w:t>
      </w:r>
      <w:r w:rsidR="00583E1A" w:rsidRPr="00583E1A">
        <w:rPr>
          <w:position w:val="6"/>
          <w:sz w:val="16"/>
        </w:rPr>
        <w:t>*</w:t>
      </w:r>
      <w:r w:rsidRPr="00583E1A">
        <w:t xml:space="preserve">derived by it, including a requirement that a </w:t>
      </w:r>
      <w:r w:rsidR="00583E1A" w:rsidRPr="00583E1A">
        <w:rPr>
          <w:position w:val="6"/>
          <w:sz w:val="16"/>
        </w:rPr>
        <w:t>*</w:t>
      </w:r>
      <w:r w:rsidRPr="00583E1A">
        <w:t>member of the society cannot direct the body to pay an amount at a particular time;</w:t>
      </w:r>
    </w:p>
    <w:p w:rsidR="00887330" w:rsidRPr="00583E1A" w:rsidRDefault="00887330" w:rsidP="00887330">
      <w:pPr>
        <w:pStyle w:val="paragraphsub"/>
      </w:pPr>
      <w:r w:rsidRPr="00583E1A">
        <w:tab/>
        <w:t>(iii)</w:t>
      </w:r>
      <w:r w:rsidRPr="00583E1A">
        <w:tab/>
        <w:t>other conditions prescribed by the regulations (if any) for the purposes of this subparagraph are met;</w:t>
      </w:r>
    </w:p>
    <w:p w:rsidR="00887330" w:rsidRPr="00583E1A" w:rsidRDefault="00887330" w:rsidP="006800B4">
      <w:pPr>
        <w:pStyle w:val="paragraph"/>
        <w:keepNext/>
      </w:pPr>
      <w:r w:rsidRPr="00583E1A">
        <w:tab/>
        <w:t>(b)</w:t>
      </w:r>
      <w:r w:rsidRPr="00583E1A">
        <w:tab/>
        <w:t>a company that satisfies all of the following conditions:</w:t>
      </w:r>
    </w:p>
    <w:p w:rsidR="00887330" w:rsidRPr="00583E1A" w:rsidRDefault="00887330" w:rsidP="006800B4">
      <w:pPr>
        <w:pStyle w:val="paragraphsub"/>
        <w:keepNext/>
      </w:pPr>
      <w:r w:rsidRPr="00583E1A">
        <w:tab/>
        <w:t>(i)</w:t>
      </w:r>
      <w:r w:rsidRPr="00583E1A">
        <w:tab/>
        <w:t xml:space="preserve">the company is incorporated under </w:t>
      </w:r>
      <w:r w:rsidR="0029132A" w:rsidRPr="00583E1A">
        <w:t xml:space="preserve">an </w:t>
      </w:r>
      <w:r w:rsidR="00583E1A" w:rsidRPr="00583E1A">
        <w:rPr>
          <w:position w:val="6"/>
          <w:sz w:val="16"/>
        </w:rPr>
        <w:t>*</w:t>
      </w:r>
      <w:r w:rsidR="0029132A" w:rsidRPr="00583E1A">
        <w:t>Australian law</w:t>
      </w:r>
      <w:r w:rsidRPr="00583E1A">
        <w:t xml:space="preserve"> relating to companies;</w:t>
      </w:r>
    </w:p>
    <w:p w:rsidR="00887330" w:rsidRPr="00583E1A" w:rsidRDefault="00887330" w:rsidP="00887330">
      <w:pPr>
        <w:pStyle w:val="paragraphsub"/>
      </w:pPr>
      <w:r w:rsidRPr="00583E1A">
        <w:tab/>
        <w:t>(ii)</w:t>
      </w:r>
      <w:r w:rsidRPr="00583E1A">
        <w:tab/>
        <w:t>the company has and maintains the purpose of collective administration of copyrights;</w:t>
      </w:r>
    </w:p>
    <w:p w:rsidR="00887330" w:rsidRPr="00583E1A" w:rsidRDefault="00887330" w:rsidP="00887330">
      <w:pPr>
        <w:pStyle w:val="paragraphsub"/>
      </w:pPr>
      <w:r w:rsidRPr="00583E1A">
        <w:tab/>
        <w:t>(iii)</w:t>
      </w:r>
      <w:r w:rsidRPr="00583E1A">
        <w:tab/>
        <w:t xml:space="preserve">if the company has other purposes—these purposes are incidental to the purpose described in </w:t>
      </w:r>
      <w:r w:rsidR="00583E1A">
        <w:t>subparagraph (</w:t>
      </w:r>
      <w:r w:rsidRPr="00583E1A">
        <w:t>ii)</w:t>
      </w:r>
      <w:r w:rsidR="00340BBD" w:rsidRPr="00340BBD">
        <w:t xml:space="preserve"> </w:t>
      </w:r>
      <w:r w:rsidR="00340BBD" w:rsidRPr="007D3EB6">
        <w:lastRenderedPageBreak/>
        <w:t xml:space="preserve">or, if the company is the </w:t>
      </w:r>
      <w:r w:rsidR="00340BBD" w:rsidRPr="007D3EB6">
        <w:rPr>
          <w:position w:val="6"/>
          <w:sz w:val="16"/>
        </w:rPr>
        <w:t>*</w:t>
      </w:r>
      <w:r w:rsidR="00340BBD" w:rsidRPr="007D3EB6">
        <w:t>resale royalty collecting society, relate to the company’s functions or duties as resale royalty collecting society</w:t>
      </w:r>
      <w:r w:rsidRPr="00583E1A">
        <w:t>;</w:t>
      </w:r>
    </w:p>
    <w:p w:rsidR="00887330" w:rsidRPr="00583E1A" w:rsidRDefault="00887330" w:rsidP="00887330">
      <w:pPr>
        <w:pStyle w:val="paragraphsub"/>
      </w:pPr>
      <w:r w:rsidRPr="00583E1A">
        <w:tab/>
        <w:t>(iv)</w:t>
      </w:r>
      <w:r w:rsidRPr="00583E1A">
        <w:tab/>
        <w:t xml:space="preserve">the company collects or derives, and distributes, </w:t>
      </w:r>
      <w:r w:rsidR="00340BBD" w:rsidRPr="007D3EB6">
        <w:t>income of a kind mentioned in paragraph 51</w:t>
      </w:r>
      <w:r w:rsidR="00340BBD" w:rsidRPr="007D3EB6">
        <w:noBreakHyphen/>
        <w:t>43(2)(a) or (b)</w:t>
      </w:r>
      <w:r w:rsidRPr="00583E1A">
        <w:t>;</w:t>
      </w:r>
    </w:p>
    <w:p w:rsidR="00887330" w:rsidRPr="00583E1A" w:rsidRDefault="00887330" w:rsidP="00887330">
      <w:pPr>
        <w:pStyle w:val="paragraphsub"/>
      </w:pPr>
      <w:r w:rsidRPr="00583E1A">
        <w:tab/>
        <w:t>(v)</w:t>
      </w:r>
      <w:r w:rsidRPr="00583E1A">
        <w:tab/>
        <w:t xml:space="preserve">the company’s constitution allows any copyright owner, or his or her </w:t>
      </w:r>
      <w:r w:rsidR="00583E1A" w:rsidRPr="00583E1A">
        <w:rPr>
          <w:position w:val="6"/>
          <w:sz w:val="16"/>
        </w:rPr>
        <w:t>*</w:t>
      </w:r>
      <w:r w:rsidRPr="00583E1A">
        <w:t>agent, to be a member of the society, or allows all copyright owners of a particular type to be members;</w:t>
      </w:r>
    </w:p>
    <w:p w:rsidR="00887330" w:rsidRPr="00583E1A" w:rsidRDefault="00887330" w:rsidP="00887330">
      <w:pPr>
        <w:pStyle w:val="paragraphsub"/>
      </w:pPr>
      <w:r w:rsidRPr="00583E1A">
        <w:tab/>
        <w:t>(vi)</w:t>
      </w:r>
      <w:r w:rsidRPr="00583E1A">
        <w:tab/>
        <w:t xml:space="preserve">the company’s constitution prohibits the payment of </w:t>
      </w:r>
      <w:r w:rsidR="00583E1A" w:rsidRPr="00583E1A">
        <w:rPr>
          <w:position w:val="6"/>
          <w:sz w:val="16"/>
        </w:rPr>
        <w:t>*</w:t>
      </w:r>
      <w:r w:rsidRPr="00583E1A">
        <w:t>dividends;</w:t>
      </w:r>
    </w:p>
    <w:p w:rsidR="00887330" w:rsidRPr="00583E1A" w:rsidRDefault="00887330" w:rsidP="00887330">
      <w:pPr>
        <w:pStyle w:val="paragraphsub"/>
      </w:pPr>
      <w:r w:rsidRPr="00583E1A">
        <w:tab/>
        <w:t>(vii)</w:t>
      </w:r>
      <w:r w:rsidRPr="00583E1A">
        <w:tab/>
        <w:t>the company’s constitution contains provisions about the payment, out of amounts collected or derived by it, of the administrative costs of collecting those amounts;</w:t>
      </w:r>
    </w:p>
    <w:p w:rsidR="00887330" w:rsidRPr="00583E1A" w:rsidRDefault="00887330" w:rsidP="00887330">
      <w:pPr>
        <w:pStyle w:val="paragraphsub"/>
      </w:pPr>
      <w:r w:rsidRPr="00583E1A">
        <w:tab/>
        <w:t>(viii)</w:t>
      </w:r>
      <w:r w:rsidRPr="00583E1A">
        <w:tab/>
        <w:t>the company’s constitution contains provisions about the distribution of amounts collected or derived by it, including a requirement that an amount must be paid to a member as soon as is reasonably possible after the allocation of the amount to the member, as well as a requirement that a member cannot direct the company to pay an amount at a particular time;</w:t>
      </w:r>
    </w:p>
    <w:p w:rsidR="00887330" w:rsidRPr="00583E1A" w:rsidRDefault="00887330" w:rsidP="00887330">
      <w:pPr>
        <w:pStyle w:val="paragraphsub"/>
      </w:pPr>
      <w:r w:rsidRPr="00583E1A">
        <w:tab/>
        <w:t>(ix)</w:t>
      </w:r>
      <w:r w:rsidRPr="00583E1A">
        <w:tab/>
        <w:t>the company’s constitution, or contracts with members, contains such other provisions as are prescribed by the regulations (if any), being provisions necessary to ensure that the interests of members or their agents are protected adequately;</w:t>
      </w:r>
    </w:p>
    <w:p w:rsidR="00887330" w:rsidRPr="00583E1A" w:rsidRDefault="00887330" w:rsidP="00887330">
      <w:pPr>
        <w:pStyle w:val="paragraphsub"/>
      </w:pPr>
      <w:r w:rsidRPr="00583E1A">
        <w:tab/>
        <w:t>(x)</w:t>
      </w:r>
      <w:r w:rsidRPr="00583E1A">
        <w:tab/>
        <w:t>the company’s constitution requires the company to hold amounts on trust for copyright owners who are not members, or for members pending the payment of amounts to them;</w:t>
      </w:r>
    </w:p>
    <w:p w:rsidR="00887330" w:rsidRPr="00583E1A" w:rsidRDefault="00887330" w:rsidP="00887330">
      <w:pPr>
        <w:pStyle w:val="paragraphsub"/>
      </w:pPr>
      <w:r w:rsidRPr="00583E1A">
        <w:tab/>
        <w:t>(xi)</w:t>
      </w:r>
      <w:r w:rsidRPr="00583E1A">
        <w:tab/>
        <w:t>the company’s constitution, or contracts with members, allows all members to access the company’s records;</w:t>
      </w:r>
    </w:p>
    <w:p w:rsidR="00887330" w:rsidRPr="00583E1A" w:rsidRDefault="00887330" w:rsidP="00887330">
      <w:pPr>
        <w:pStyle w:val="paragraphsub"/>
      </w:pPr>
      <w:r w:rsidRPr="00583E1A">
        <w:tab/>
        <w:t>(xii)</w:t>
      </w:r>
      <w:r w:rsidRPr="00583E1A">
        <w:tab/>
        <w:t>other conditions prescribed by the regulations (if any) for the purposes of this subparagraph are met.</w:t>
      </w:r>
    </w:p>
    <w:p w:rsidR="00BB0F81" w:rsidRPr="00642FBF" w:rsidRDefault="00BB0F81" w:rsidP="00BB0F81">
      <w:pPr>
        <w:pStyle w:val="Definition"/>
      </w:pPr>
      <w:r w:rsidRPr="00642FBF">
        <w:rPr>
          <w:b/>
          <w:i/>
        </w:rPr>
        <w:t>core R&amp;D activities</w:t>
      </w:r>
      <w:r w:rsidRPr="00642FBF">
        <w:t xml:space="preserve"> has the meaning given by section 355</w:t>
      </w:r>
      <w:r w:rsidRPr="00642FBF">
        <w:noBreakHyphen/>
        <w:t>25.</w:t>
      </w:r>
    </w:p>
    <w:p w:rsidR="0070717C" w:rsidRPr="007B0680" w:rsidRDefault="0070717C" w:rsidP="0070717C">
      <w:pPr>
        <w:pStyle w:val="Definition"/>
      </w:pPr>
      <w:r w:rsidRPr="007B0680">
        <w:rPr>
          <w:b/>
          <w:i/>
        </w:rPr>
        <w:t>core shipping activities</w:t>
      </w:r>
      <w:r w:rsidRPr="007B0680">
        <w:t xml:space="preserve"> has the meaning given by section 51</w:t>
      </w:r>
      <w:r w:rsidRPr="007B0680">
        <w:noBreakHyphen/>
        <w:t>110.</w:t>
      </w:r>
    </w:p>
    <w:p w:rsidR="00887330" w:rsidRPr="00583E1A" w:rsidRDefault="00887330" w:rsidP="00887330">
      <w:pPr>
        <w:pStyle w:val="Definition"/>
      </w:pPr>
      <w:r w:rsidRPr="00583E1A">
        <w:rPr>
          <w:b/>
          <w:i/>
        </w:rPr>
        <w:lastRenderedPageBreak/>
        <w:t xml:space="preserve">corporate change </w:t>
      </w:r>
      <w:r w:rsidRPr="00583E1A">
        <w:t>has the meaning given by section</w:t>
      </w:r>
      <w:r w:rsidR="00583E1A">
        <w:t> </w:t>
      </w:r>
      <w:r w:rsidRPr="00583E1A">
        <w:t>166</w:t>
      </w:r>
      <w:r w:rsidR="00583E1A">
        <w:noBreakHyphen/>
      </w:r>
      <w:r w:rsidRPr="00583E1A">
        <w:t>175.</w:t>
      </w:r>
    </w:p>
    <w:p w:rsidR="00887330" w:rsidRPr="00583E1A" w:rsidRDefault="00887330" w:rsidP="00887330">
      <w:pPr>
        <w:pStyle w:val="Definition"/>
        <w:rPr>
          <w:b/>
        </w:rPr>
      </w:pPr>
      <w:r w:rsidRPr="00583E1A">
        <w:rPr>
          <w:b/>
          <w:i/>
        </w:rPr>
        <w:t>corporate limited partnership</w:t>
      </w:r>
      <w:r w:rsidRPr="00583E1A">
        <w:t xml:space="preserve"> has the meaning given by section</w:t>
      </w:r>
      <w:r w:rsidR="00583E1A">
        <w:t> </w:t>
      </w:r>
      <w:r w:rsidRPr="00583E1A">
        <w:t xml:space="preserve">94D of the </w:t>
      </w:r>
      <w:r w:rsidRPr="00583E1A">
        <w:rPr>
          <w:i/>
        </w:rPr>
        <w:t>Income Tax Assessment Act 1936</w:t>
      </w:r>
      <w:r w:rsidRPr="00583E1A">
        <w:t>.</w:t>
      </w:r>
    </w:p>
    <w:p w:rsidR="00887330" w:rsidRPr="00583E1A" w:rsidRDefault="00887330" w:rsidP="00887330">
      <w:pPr>
        <w:pStyle w:val="Definition"/>
      </w:pPr>
      <w:r w:rsidRPr="00583E1A">
        <w:rPr>
          <w:b/>
          <w:i/>
        </w:rPr>
        <w:t>corporate tax entity</w:t>
      </w:r>
      <w:r w:rsidRPr="00583E1A">
        <w:rPr>
          <w:b/>
        </w:rPr>
        <w:t xml:space="preserve"> </w:t>
      </w:r>
      <w:r w:rsidRPr="00583E1A">
        <w:t>has the meaning given by section</w:t>
      </w:r>
      <w:r w:rsidR="00583E1A">
        <w:t> </w:t>
      </w:r>
      <w:r w:rsidRPr="00583E1A">
        <w:t>960</w:t>
      </w:r>
      <w:r w:rsidR="00583E1A">
        <w:noBreakHyphen/>
      </w:r>
      <w:r w:rsidRPr="00583E1A">
        <w:t>115.</w:t>
      </w:r>
    </w:p>
    <w:p w:rsidR="00887330" w:rsidRPr="00583E1A" w:rsidRDefault="00887330" w:rsidP="00887330">
      <w:pPr>
        <w:pStyle w:val="Definition"/>
      </w:pPr>
      <w:r w:rsidRPr="00583E1A">
        <w:rPr>
          <w:b/>
          <w:i/>
        </w:rPr>
        <w:t>corporate tax rate</w:t>
      </w:r>
      <w:r w:rsidRPr="00583E1A">
        <w:rPr>
          <w:b/>
        </w:rPr>
        <w:t xml:space="preserve"> </w:t>
      </w:r>
      <w:r w:rsidRPr="00583E1A">
        <w:t xml:space="preserve">means the rate of tax in respect of the taxable income of a company covered by subsection 23(2) of the </w:t>
      </w:r>
      <w:r w:rsidRPr="00583E1A">
        <w:rPr>
          <w:i/>
        </w:rPr>
        <w:t>Income Tax Rates Act 1986</w:t>
      </w:r>
      <w:r w:rsidRPr="00583E1A">
        <w:t>.</w:t>
      </w:r>
    </w:p>
    <w:p w:rsidR="00887330" w:rsidRPr="00583E1A" w:rsidRDefault="00887330" w:rsidP="00887330">
      <w:pPr>
        <w:pStyle w:val="Definition"/>
      </w:pPr>
      <w:r w:rsidRPr="00583E1A">
        <w:rPr>
          <w:b/>
          <w:i/>
        </w:rPr>
        <w:t>corporate unit trust</w:t>
      </w:r>
      <w:r w:rsidRPr="00583E1A">
        <w:t xml:space="preserve"> has the meaning given by section</w:t>
      </w:r>
      <w:r w:rsidR="00583E1A">
        <w:t> </w:t>
      </w:r>
      <w:r w:rsidRPr="00583E1A">
        <w:t xml:space="preserve">102J of the </w:t>
      </w:r>
      <w:r w:rsidRPr="00583E1A">
        <w:rPr>
          <w:i/>
        </w:rPr>
        <w:t>Income Tax Assessment Act 1936</w:t>
      </w:r>
      <w:r w:rsidRPr="00583E1A">
        <w:t>.</w:t>
      </w:r>
    </w:p>
    <w:p w:rsidR="00887330" w:rsidRPr="00583E1A" w:rsidRDefault="00887330" w:rsidP="00BA5F58">
      <w:pPr>
        <w:pStyle w:val="Definition"/>
        <w:keepNext/>
      </w:pPr>
      <w:r w:rsidRPr="00583E1A">
        <w:rPr>
          <w:b/>
          <w:i/>
        </w:rPr>
        <w:t>cost</w:t>
      </w:r>
      <w:r w:rsidRPr="00583E1A">
        <w:t>:</w:t>
      </w:r>
    </w:p>
    <w:p w:rsidR="00887330" w:rsidRPr="00583E1A" w:rsidRDefault="00887330" w:rsidP="00887330">
      <w:pPr>
        <w:pStyle w:val="paragraph"/>
      </w:pPr>
      <w:r w:rsidRPr="00583E1A">
        <w:tab/>
        <w:t>(a)</w:t>
      </w:r>
      <w:r w:rsidRPr="00583E1A">
        <w:tab/>
      </w:r>
      <w:r w:rsidRPr="00583E1A">
        <w:rPr>
          <w:b/>
          <w:i/>
        </w:rPr>
        <w:t>cost</w:t>
      </w:r>
      <w:r w:rsidRPr="00583E1A">
        <w:t xml:space="preserve"> of a </w:t>
      </w:r>
      <w:r w:rsidR="00583E1A" w:rsidRPr="00583E1A">
        <w:rPr>
          <w:position w:val="6"/>
          <w:sz w:val="16"/>
        </w:rPr>
        <w:t>*</w:t>
      </w:r>
      <w:r w:rsidRPr="00583E1A">
        <w:t>depreciating asset has the meaning given by Subdivision</w:t>
      </w:r>
      <w:r w:rsidR="00583E1A">
        <w:t> </w:t>
      </w:r>
      <w:r w:rsidRPr="00583E1A">
        <w:t>40</w:t>
      </w:r>
      <w:r w:rsidR="00583E1A">
        <w:noBreakHyphen/>
      </w:r>
      <w:r w:rsidRPr="00583E1A">
        <w:t>C; and</w:t>
      </w:r>
    </w:p>
    <w:p w:rsidR="00887330" w:rsidRPr="00583E1A" w:rsidRDefault="00887330" w:rsidP="00887330">
      <w:pPr>
        <w:pStyle w:val="paragraph"/>
      </w:pPr>
      <w:r w:rsidRPr="00583E1A">
        <w:tab/>
        <w:t>(b)</w:t>
      </w:r>
      <w:r w:rsidRPr="00583E1A">
        <w:tab/>
      </w:r>
      <w:r w:rsidRPr="00583E1A">
        <w:rPr>
          <w:b/>
          <w:i/>
        </w:rPr>
        <w:t>cost</w:t>
      </w:r>
      <w:r w:rsidRPr="00583E1A">
        <w:t xml:space="preserve"> of an item of </w:t>
      </w:r>
      <w:r w:rsidR="00583E1A" w:rsidRPr="00583E1A">
        <w:rPr>
          <w:position w:val="6"/>
          <w:sz w:val="16"/>
        </w:rPr>
        <w:t>*</w:t>
      </w:r>
      <w:r w:rsidRPr="00583E1A">
        <w:t xml:space="preserve">trading stock, in the case of an animal that you acquired by natural increase, has the meaning given by </w:t>
      </w:r>
      <w:r w:rsidR="009902D5" w:rsidRPr="00E811AF">
        <w:t>section 70</w:t>
      </w:r>
      <w:r w:rsidR="009902D5" w:rsidRPr="00E811AF">
        <w:noBreakHyphen/>
        <w:t>55; and</w:t>
      </w:r>
    </w:p>
    <w:p w:rsidR="00887330" w:rsidRPr="00583E1A" w:rsidRDefault="00887330" w:rsidP="007F5A03">
      <w:pPr>
        <w:pStyle w:val="noteToPara"/>
      </w:pPr>
      <w:r w:rsidRPr="00583E1A">
        <w:t>Note:</w:t>
      </w:r>
      <w:r w:rsidRPr="00583E1A">
        <w:tab/>
        <w:t>The cost of an animal acquired by natural increase before the 1997</w:t>
      </w:r>
      <w:r w:rsidR="00583E1A">
        <w:noBreakHyphen/>
      </w:r>
      <w:r w:rsidRPr="00583E1A">
        <w:t xml:space="preserve">98 income year is the cost price of the animal under </w:t>
      </w:r>
      <w:r w:rsidR="000D6738" w:rsidRPr="00583E1A">
        <w:t xml:space="preserve">former </w:t>
      </w:r>
      <w:r w:rsidRPr="00583E1A">
        <w:t>section</w:t>
      </w:r>
      <w:r w:rsidR="00583E1A">
        <w:t> </w:t>
      </w:r>
      <w:r w:rsidRPr="00583E1A">
        <w:t xml:space="preserve">34 of the </w:t>
      </w:r>
      <w:r w:rsidRPr="00583E1A">
        <w:rPr>
          <w:i/>
        </w:rPr>
        <w:t>Income Tax Assessment Act 1936</w:t>
      </w:r>
      <w:r w:rsidRPr="00583E1A">
        <w:t>. See subsection 70</w:t>
      </w:r>
      <w:r w:rsidR="00583E1A">
        <w:noBreakHyphen/>
      </w:r>
      <w:r w:rsidRPr="00583E1A">
        <w:t xml:space="preserve">55(2) of the </w:t>
      </w:r>
      <w:r w:rsidRPr="00583E1A">
        <w:rPr>
          <w:i/>
        </w:rPr>
        <w:t>Income Tax (Transitional Provisions) Act 1997</w:t>
      </w:r>
      <w:r w:rsidRPr="00583E1A">
        <w:t>.</w:t>
      </w:r>
    </w:p>
    <w:p w:rsidR="009902D5" w:rsidRPr="00E811AF" w:rsidRDefault="009902D5" w:rsidP="009902D5">
      <w:pPr>
        <w:pStyle w:val="paragraph"/>
      </w:pPr>
      <w:r w:rsidRPr="00E811AF">
        <w:tab/>
        <w:t>(c)</w:t>
      </w:r>
      <w:r w:rsidRPr="00E811AF">
        <w:tab/>
      </w:r>
      <w:r w:rsidRPr="00E811AF">
        <w:rPr>
          <w:b/>
          <w:i/>
        </w:rPr>
        <w:t>cost</w:t>
      </w:r>
      <w:r w:rsidRPr="00E811AF">
        <w:t xml:space="preserve"> of a </w:t>
      </w:r>
      <w:r w:rsidRPr="00E811AF">
        <w:rPr>
          <w:position w:val="6"/>
          <w:sz w:val="16"/>
        </w:rPr>
        <w:t>*</w:t>
      </w:r>
      <w:r w:rsidRPr="00E811AF">
        <w:t>registered emissions unit has the meaning given by section 420</w:t>
      </w:r>
      <w:r w:rsidRPr="00E811AF">
        <w:noBreakHyphen/>
        <w:t>60.</w:t>
      </w:r>
    </w:p>
    <w:p w:rsidR="00887330" w:rsidRPr="00583E1A" w:rsidRDefault="00887330" w:rsidP="00887330">
      <w:pPr>
        <w:pStyle w:val="Definition"/>
      </w:pPr>
      <w:r w:rsidRPr="00583E1A">
        <w:rPr>
          <w:b/>
          <w:i/>
        </w:rPr>
        <w:t>cost base</w:t>
      </w:r>
      <w:r w:rsidRPr="00583E1A">
        <w:t xml:space="preserve"> of a </w:t>
      </w:r>
      <w:r w:rsidR="00583E1A" w:rsidRPr="00583E1A">
        <w:rPr>
          <w:position w:val="6"/>
          <w:sz w:val="16"/>
        </w:rPr>
        <w:t>*</w:t>
      </w:r>
      <w:r w:rsidRPr="00583E1A">
        <w:t>CGT asset has the meaning given by Subdivision</w:t>
      </w:r>
      <w:r w:rsidR="00583E1A">
        <w:t> </w:t>
      </w:r>
      <w:r w:rsidRPr="00583E1A">
        <w:t>110</w:t>
      </w:r>
      <w:r w:rsidR="00583E1A">
        <w:noBreakHyphen/>
      </w:r>
      <w:r w:rsidRPr="00583E1A">
        <w:t>A.</w:t>
      </w:r>
    </w:p>
    <w:p w:rsidR="00887330" w:rsidRPr="00583E1A" w:rsidRDefault="00887330" w:rsidP="00887330">
      <w:pPr>
        <w:pStyle w:val="Definition"/>
      </w:pPr>
      <w:r w:rsidRPr="00583E1A">
        <w:rPr>
          <w:b/>
          <w:i/>
        </w:rPr>
        <w:t>cost</w:t>
      </w:r>
      <w:r w:rsidR="00583E1A">
        <w:rPr>
          <w:b/>
          <w:i/>
        </w:rPr>
        <w:noBreakHyphen/>
      </w:r>
      <w:r w:rsidRPr="00583E1A">
        <w:rPr>
          <w:b/>
          <w:i/>
        </w:rPr>
        <w:t xml:space="preserve">free debt capital </w:t>
      </w:r>
      <w:r w:rsidRPr="00583E1A">
        <w:t>has the meaning given by section</w:t>
      </w:r>
      <w:r w:rsidR="00583E1A">
        <w:t> </w:t>
      </w:r>
      <w:r w:rsidRPr="00583E1A">
        <w:t>820</w:t>
      </w:r>
      <w:r w:rsidR="00583E1A">
        <w:noBreakHyphen/>
      </w:r>
      <w:r w:rsidRPr="00583E1A">
        <w:t>946.</w:t>
      </w:r>
    </w:p>
    <w:p w:rsidR="00887330" w:rsidRPr="00583E1A" w:rsidRDefault="00887330" w:rsidP="00887330">
      <w:pPr>
        <w:pStyle w:val="Definition"/>
      </w:pPr>
      <w:r w:rsidRPr="00583E1A">
        <w:rPr>
          <w:b/>
          <w:i/>
        </w:rPr>
        <w:t>COT transfer</w:t>
      </w:r>
      <w:r w:rsidRPr="00583E1A">
        <w:t xml:space="preserve"> of a loss has the meaning given by section</w:t>
      </w:r>
      <w:r w:rsidR="00583E1A">
        <w:t> </w:t>
      </w:r>
      <w:r w:rsidRPr="00583E1A">
        <w:t>707</w:t>
      </w:r>
      <w:r w:rsidR="00583E1A">
        <w:noBreakHyphen/>
      </w:r>
      <w:r w:rsidRPr="00583E1A">
        <w:t>210.</w:t>
      </w:r>
    </w:p>
    <w:p w:rsidR="00400368" w:rsidRPr="00642FBF" w:rsidRDefault="00400368" w:rsidP="00400368">
      <w:pPr>
        <w:pStyle w:val="Definition"/>
      </w:pPr>
      <w:r w:rsidRPr="00642FBF">
        <w:rPr>
          <w:b/>
          <w:i/>
        </w:rPr>
        <w:t>CRC program</w:t>
      </w:r>
      <w:r w:rsidRPr="00642FBF">
        <w:t xml:space="preserve"> means the program administered by the Commonwealth known as the Cooperative Research Centres Program.</w:t>
      </w:r>
    </w:p>
    <w:p w:rsidR="00887330" w:rsidRPr="00583E1A" w:rsidRDefault="00887330" w:rsidP="00A756C6">
      <w:pPr>
        <w:pStyle w:val="Definition"/>
        <w:rPr>
          <w:b/>
          <w:i/>
        </w:rPr>
      </w:pPr>
      <w:r w:rsidRPr="00583E1A">
        <w:rPr>
          <w:b/>
          <w:i/>
        </w:rPr>
        <w:t>created</w:t>
      </w:r>
      <w:r w:rsidRPr="00583E1A">
        <w:t>:</w:t>
      </w:r>
    </w:p>
    <w:p w:rsidR="00887330" w:rsidRPr="00583E1A" w:rsidRDefault="00887330" w:rsidP="00A756C6">
      <w:pPr>
        <w:pStyle w:val="paragraph"/>
      </w:pPr>
      <w:r w:rsidRPr="00583E1A">
        <w:tab/>
        <w:t>(a)</w:t>
      </w:r>
      <w:r w:rsidRPr="00583E1A">
        <w:tab/>
        <w:t xml:space="preserve">a </w:t>
      </w:r>
      <w:r w:rsidR="00583E1A" w:rsidRPr="00583E1A">
        <w:rPr>
          <w:position w:val="6"/>
          <w:sz w:val="16"/>
        </w:rPr>
        <w:t>*</w:t>
      </w:r>
      <w:r w:rsidRPr="00583E1A">
        <w:t xml:space="preserve">consolidated group is </w:t>
      </w:r>
      <w:r w:rsidRPr="00583E1A">
        <w:rPr>
          <w:b/>
          <w:i/>
        </w:rPr>
        <w:t>created</w:t>
      </w:r>
      <w:r w:rsidRPr="00583E1A">
        <w:t xml:space="preserve"> from a </w:t>
      </w:r>
      <w:r w:rsidR="00583E1A" w:rsidRPr="00583E1A">
        <w:rPr>
          <w:position w:val="6"/>
          <w:sz w:val="16"/>
        </w:rPr>
        <w:t>*</w:t>
      </w:r>
      <w:r w:rsidRPr="00583E1A">
        <w:t xml:space="preserve">MEC group if the consolidated group comes into existence under </w:t>
      </w:r>
      <w:r w:rsidRPr="00583E1A">
        <w:lastRenderedPageBreak/>
        <w:t>section</w:t>
      </w:r>
      <w:r w:rsidR="00583E1A">
        <w:t> </w:t>
      </w:r>
      <w:r w:rsidRPr="00583E1A">
        <w:t>703</w:t>
      </w:r>
      <w:r w:rsidR="00583E1A">
        <w:noBreakHyphen/>
      </w:r>
      <w:r w:rsidRPr="00583E1A">
        <w:t>55 at the time the MEC group ceases to exist (as mentioned in that section); and</w:t>
      </w:r>
    </w:p>
    <w:p w:rsidR="00887330" w:rsidRPr="00583E1A" w:rsidRDefault="00887330" w:rsidP="00A756C6">
      <w:pPr>
        <w:pStyle w:val="paragraph"/>
        <w:keepNext/>
        <w:keepLines/>
      </w:pPr>
      <w:r w:rsidRPr="00583E1A">
        <w:tab/>
        <w:t>(b)</w:t>
      </w:r>
      <w:r w:rsidRPr="00583E1A">
        <w:tab/>
        <w:t xml:space="preserve">a MEC group is </w:t>
      </w:r>
      <w:r w:rsidRPr="00583E1A">
        <w:rPr>
          <w:b/>
          <w:i/>
        </w:rPr>
        <w:t>created</w:t>
      </w:r>
      <w:r w:rsidRPr="00583E1A">
        <w:t xml:space="preserve"> from a consolidated group if:</w:t>
      </w:r>
    </w:p>
    <w:p w:rsidR="00887330" w:rsidRPr="00583E1A" w:rsidRDefault="00887330" w:rsidP="00A756C6">
      <w:pPr>
        <w:pStyle w:val="paragraphsub"/>
        <w:keepNext/>
        <w:keepLines/>
      </w:pPr>
      <w:r w:rsidRPr="00583E1A">
        <w:tab/>
        <w:t>(i)</w:t>
      </w:r>
      <w:r w:rsidRPr="00583E1A">
        <w:tab/>
        <w:t>the MEC group comes into existence under section</w:t>
      </w:r>
      <w:r w:rsidR="00583E1A">
        <w:t> </w:t>
      </w:r>
      <w:r w:rsidRPr="00583E1A">
        <w:t>719</w:t>
      </w:r>
      <w:r w:rsidR="00583E1A">
        <w:noBreakHyphen/>
      </w:r>
      <w:r w:rsidRPr="00583E1A">
        <w:t xml:space="preserve">40 when a </w:t>
      </w:r>
      <w:r w:rsidR="00583E1A" w:rsidRPr="00583E1A">
        <w:rPr>
          <w:position w:val="6"/>
          <w:sz w:val="16"/>
        </w:rPr>
        <w:t>*</w:t>
      </w:r>
      <w:r w:rsidRPr="00583E1A">
        <w:t xml:space="preserve">special conversion event happens to a </w:t>
      </w:r>
      <w:r w:rsidR="00583E1A" w:rsidRPr="00583E1A">
        <w:rPr>
          <w:position w:val="6"/>
          <w:sz w:val="16"/>
        </w:rPr>
        <w:t>*</w:t>
      </w:r>
      <w:r w:rsidRPr="00583E1A">
        <w:t xml:space="preserve">potential MEC group derived from an </w:t>
      </w:r>
      <w:r w:rsidR="00583E1A" w:rsidRPr="00583E1A">
        <w:rPr>
          <w:position w:val="6"/>
          <w:sz w:val="16"/>
        </w:rPr>
        <w:t>*</w:t>
      </w:r>
      <w:r w:rsidRPr="00583E1A">
        <w:t>eligible tier</w:t>
      </w:r>
      <w:r w:rsidR="00583E1A">
        <w:noBreakHyphen/>
      </w:r>
      <w:r w:rsidRPr="00583E1A">
        <w:t xml:space="preserve">1 company of a </w:t>
      </w:r>
      <w:r w:rsidR="00583E1A" w:rsidRPr="00583E1A">
        <w:rPr>
          <w:position w:val="6"/>
          <w:sz w:val="16"/>
        </w:rPr>
        <w:t>*</w:t>
      </w:r>
      <w:r w:rsidRPr="00583E1A">
        <w:t>top company; and</w:t>
      </w:r>
    </w:p>
    <w:p w:rsidR="00887330" w:rsidRPr="00583E1A" w:rsidRDefault="00887330" w:rsidP="00887330">
      <w:pPr>
        <w:pStyle w:val="paragraphsub"/>
      </w:pPr>
      <w:r w:rsidRPr="00583E1A">
        <w:tab/>
        <w:t>(ii)</w:t>
      </w:r>
      <w:r w:rsidRPr="00583E1A">
        <w:tab/>
        <w:t>the eligible tier</w:t>
      </w:r>
      <w:r w:rsidR="00583E1A">
        <w:noBreakHyphen/>
      </w:r>
      <w:r w:rsidRPr="00583E1A">
        <w:t xml:space="preserve">1 company was the </w:t>
      </w:r>
      <w:r w:rsidR="00583E1A" w:rsidRPr="00583E1A">
        <w:rPr>
          <w:position w:val="6"/>
          <w:sz w:val="16"/>
        </w:rPr>
        <w:t>*</w:t>
      </w:r>
      <w:r w:rsidRPr="00583E1A">
        <w:t>head company of the consolidated group (as mentioned in paragraph 719</w:t>
      </w:r>
      <w:r w:rsidR="00583E1A">
        <w:noBreakHyphen/>
      </w:r>
      <w:r w:rsidRPr="00583E1A">
        <w:t>40(1)(b)).</w:t>
      </w:r>
    </w:p>
    <w:p w:rsidR="00887330" w:rsidRPr="00583E1A" w:rsidRDefault="00887330" w:rsidP="00887330">
      <w:pPr>
        <w:pStyle w:val="Definition"/>
      </w:pPr>
      <w:r w:rsidRPr="00583E1A">
        <w:rPr>
          <w:b/>
          <w:i/>
        </w:rPr>
        <w:t>creditable acquisition</w:t>
      </w:r>
      <w:r w:rsidRPr="00583E1A">
        <w:t xml:space="preserve"> has the meaning given by section</w:t>
      </w:r>
      <w:r w:rsidR="00583E1A">
        <w:t> </w:t>
      </w:r>
      <w:r w:rsidRPr="00583E1A">
        <w:t>195</w:t>
      </w:r>
      <w:r w:rsidR="00583E1A">
        <w:noBreakHyphen/>
      </w:r>
      <w:r w:rsidRPr="00583E1A">
        <w:t xml:space="preserve">1 of the </w:t>
      </w:r>
      <w:r w:rsidR="00583E1A" w:rsidRPr="00583E1A">
        <w:rPr>
          <w:position w:val="6"/>
          <w:sz w:val="16"/>
        </w:rPr>
        <w:t>*</w:t>
      </w:r>
      <w:r w:rsidRPr="00583E1A">
        <w:t>GST Act.</w:t>
      </w:r>
    </w:p>
    <w:p w:rsidR="00887330" w:rsidRPr="00583E1A" w:rsidRDefault="00887330" w:rsidP="00887330">
      <w:pPr>
        <w:pStyle w:val="Definition"/>
      </w:pPr>
      <w:r w:rsidRPr="00583E1A">
        <w:rPr>
          <w:b/>
          <w:i/>
        </w:rPr>
        <w:t>creditable importation</w:t>
      </w:r>
      <w:r w:rsidRPr="00583E1A">
        <w:t xml:space="preserve"> has the meaning given by section</w:t>
      </w:r>
      <w:r w:rsidR="00583E1A">
        <w:t> </w:t>
      </w:r>
      <w:r w:rsidRPr="00583E1A">
        <w:t>195</w:t>
      </w:r>
      <w:r w:rsidR="00583E1A">
        <w:noBreakHyphen/>
      </w:r>
      <w:r w:rsidRPr="00583E1A">
        <w:t xml:space="preserve">1 of the </w:t>
      </w:r>
      <w:r w:rsidR="00583E1A" w:rsidRPr="00583E1A">
        <w:rPr>
          <w:position w:val="6"/>
          <w:sz w:val="16"/>
        </w:rPr>
        <w:t>*</w:t>
      </w:r>
      <w:r w:rsidRPr="00583E1A">
        <w:t>GST Act.</w:t>
      </w:r>
    </w:p>
    <w:p w:rsidR="00887330" w:rsidRPr="00583E1A" w:rsidRDefault="00887330" w:rsidP="00887330">
      <w:pPr>
        <w:pStyle w:val="Definition"/>
      </w:pPr>
      <w:r w:rsidRPr="00583E1A">
        <w:rPr>
          <w:b/>
          <w:i/>
        </w:rPr>
        <w:t>creditable purpose</w:t>
      </w:r>
      <w:r w:rsidRPr="00583E1A">
        <w:t xml:space="preserve"> has the meaning given by section</w:t>
      </w:r>
      <w:r w:rsidR="00583E1A">
        <w:t> </w:t>
      </w:r>
      <w:r w:rsidRPr="00583E1A">
        <w:t>195</w:t>
      </w:r>
      <w:r w:rsidR="00583E1A">
        <w:noBreakHyphen/>
      </w:r>
      <w:r w:rsidRPr="00583E1A">
        <w:t xml:space="preserve">1 of the </w:t>
      </w:r>
      <w:r w:rsidR="00583E1A" w:rsidRPr="00583E1A">
        <w:rPr>
          <w:position w:val="6"/>
          <w:sz w:val="16"/>
        </w:rPr>
        <w:t>*</w:t>
      </w:r>
      <w:r w:rsidRPr="00583E1A">
        <w:t>GST Act.</w:t>
      </w:r>
    </w:p>
    <w:p w:rsidR="00A26CA4" w:rsidRPr="00583E1A" w:rsidRDefault="00A26CA4" w:rsidP="00A26CA4">
      <w:pPr>
        <w:pStyle w:val="Definition"/>
      </w:pPr>
      <w:r w:rsidRPr="00583E1A">
        <w:rPr>
          <w:b/>
          <w:i/>
        </w:rPr>
        <w:t>credit absorption tax</w:t>
      </w:r>
      <w:r w:rsidRPr="00583E1A">
        <w:t xml:space="preserve"> has the meaning given by section</w:t>
      </w:r>
      <w:r w:rsidR="00583E1A">
        <w:t> </w:t>
      </w:r>
      <w:r w:rsidRPr="00583E1A">
        <w:t>770</w:t>
      </w:r>
      <w:r w:rsidR="00583E1A">
        <w:noBreakHyphen/>
      </w:r>
      <w:r w:rsidRPr="00583E1A">
        <w:t>15.</w:t>
      </w:r>
    </w:p>
    <w:p w:rsidR="00887330" w:rsidRPr="00583E1A" w:rsidRDefault="00887330" w:rsidP="00887330">
      <w:pPr>
        <w:pStyle w:val="Definition"/>
      </w:pPr>
      <w:r w:rsidRPr="00583E1A">
        <w:rPr>
          <w:b/>
          <w:i/>
        </w:rPr>
        <w:t>Crown lease</w:t>
      </w:r>
      <w:r w:rsidRPr="00583E1A">
        <w:t xml:space="preserve"> has the meaning given by section</w:t>
      </w:r>
      <w:r w:rsidR="00583E1A">
        <w:t> </w:t>
      </w:r>
      <w:r w:rsidRPr="00583E1A">
        <w:t>124</w:t>
      </w:r>
      <w:r w:rsidR="00583E1A">
        <w:noBreakHyphen/>
      </w:r>
      <w:r w:rsidRPr="00583E1A">
        <w:t>580.</w:t>
      </w:r>
    </w:p>
    <w:p w:rsidR="00C33219" w:rsidRPr="00583E1A" w:rsidRDefault="00C33219" w:rsidP="00C33219">
      <w:pPr>
        <w:pStyle w:val="Definition"/>
      </w:pPr>
      <w:r w:rsidRPr="00583E1A">
        <w:rPr>
          <w:b/>
          <w:i/>
        </w:rPr>
        <w:t>crystallised pre</w:t>
      </w:r>
      <w:r w:rsidR="00583E1A">
        <w:rPr>
          <w:b/>
          <w:i/>
        </w:rPr>
        <w:noBreakHyphen/>
      </w:r>
      <w:r w:rsidRPr="00583E1A">
        <w:rPr>
          <w:b/>
          <w:i/>
        </w:rPr>
        <w:t>July 83 amount</w:t>
      </w:r>
      <w:r w:rsidRPr="00583E1A">
        <w:t xml:space="preserve">, in relation to a </w:t>
      </w:r>
      <w:r w:rsidR="00583E1A" w:rsidRPr="00583E1A">
        <w:rPr>
          <w:position w:val="6"/>
          <w:sz w:val="16"/>
        </w:rPr>
        <w:t>*</w:t>
      </w:r>
      <w:r w:rsidRPr="00583E1A">
        <w:t>superannuation interest, means the amount mentioned in paragraph 307</w:t>
      </w:r>
      <w:r w:rsidR="00583E1A">
        <w:noBreakHyphen/>
      </w:r>
      <w:r w:rsidRPr="00583E1A">
        <w:t>225(2)(e) in relation to the interest.</w:t>
      </w:r>
    </w:p>
    <w:p w:rsidR="00C33219" w:rsidRPr="00583E1A" w:rsidRDefault="00C33219" w:rsidP="00C33219">
      <w:pPr>
        <w:pStyle w:val="Definition"/>
      </w:pPr>
      <w:r w:rsidRPr="00583E1A">
        <w:rPr>
          <w:b/>
          <w:i/>
        </w:rPr>
        <w:t>crystallised segment</w:t>
      </w:r>
      <w:r w:rsidRPr="00583E1A">
        <w:t xml:space="preserve"> has the meaning given by section</w:t>
      </w:r>
      <w:r w:rsidR="00583E1A">
        <w:t> </w:t>
      </w:r>
      <w:r w:rsidRPr="00583E1A">
        <w:t>307</w:t>
      </w:r>
      <w:r w:rsidR="00583E1A">
        <w:noBreakHyphen/>
      </w:r>
      <w:r w:rsidRPr="00583E1A">
        <w:t>225.</w:t>
      </w:r>
    </w:p>
    <w:p w:rsidR="00887330" w:rsidRPr="00583E1A" w:rsidRDefault="00887330" w:rsidP="00887330">
      <w:pPr>
        <w:pStyle w:val="Definition"/>
      </w:pPr>
      <w:r w:rsidRPr="00583E1A">
        <w:rPr>
          <w:b/>
          <w:i/>
        </w:rPr>
        <w:t>cultural organisation</w:t>
      </w:r>
      <w:r w:rsidRPr="00583E1A">
        <w:t xml:space="preserve"> has the meaning given by section</w:t>
      </w:r>
      <w:r w:rsidR="00583E1A">
        <w:t> </w:t>
      </w:r>
      <w:r w:rsidRPr="00583E1A">
        <w:t>30</w:t>
      </w:r>
      <w:r w:rsidR="00583E1A">
        <w:noBreakHyphen/>
      </w:r>
      <w:r w:rsidRPr="00583E1A">
        <w:t>300.</w:t>
      </w:r>
    </w:p>
    <w:p w:rsidR="00887330" w:rsidRPr="00583E1A" w:rsidRDefault="00887330" w:rsidP="00887330">
      <w:pPr>
        <w:pStyle w:val="Definition"/>
      </w:pPr>
      <w:r w:rsidRPr="00583E1A">
        <w:rPr>
          <w:b/>
          <w:i/>
        </w:rPr>
        <w:t>currency exchange rate effect</w:t>
      </w:r>
      <w:r w:rsidRPr="00583E1A">
        <w:t xml:space="preserve"> has the meaning given by section</w:t>
      </w:r>
      <w:r w:rsidR="00583E1A">
        <w:t> </w:t>
      </w:r>
      <w:r w:rsidRPr="00583E1A">
        <w:t>775</w:t>
      </w:r>
      <w:r w:rsidR="00583E1A">
        <w:noBreakHyphen/>
      </w:r>
      <w:r w:rsidRPr="00583E1A">
        <w:t>105.</w:t>
      </w:r>
    </w:p>
    <w:p w:rsidR="0092794C" w:rsidRPr="00583E1A" w:rsidRDefault="0092794C" w:rsidP="0092794C">
      <w:pPr>
        <w:pStyle w:val="Definition"/>
      </w:pPr>
      <w:r w:rsidRPr="00583E1A">
        <w:rPr>
          <w:b/>
          <w:i/>
        </w:rPr>
        <w:t>current GST turnover</w:t>
      </w:r>
      <w:r w:rsidRPr="00583E1A">
        <w:t xml:space="preserve"> has the meaning given by section</w:t>
      </w:r>
      <w:r w:rsidR="00583E1A">
        <w:t> </w:t>
      </w:r>
      <w:r w:rsidRPr="00583E1A">
        <w:t>195</w:t>
      </w:r>
      <w:r w:rsidR="00583E1A">
        <w:noBreakHyphen/>
      </w:r>
      <w:r w:rsidRPr="00583E1A">
        <w:t xml:space="preserve">1 of the </w:t>
      </w:r>
      <w:r w:rsidR="00583E1A" w:rsidRPr="00583E1A">
        <w:rPr>
          <w:position w:val="6"/>
          <w:sz w:val="16"/>
        </w:rPr>
        <w:t>*</w:t>
      </w:r>
      <w:r w:rsidRPr="00583E1A">
        <w:t>GST Act.</w:t>
      </w:r>
    </w:p>
    <w:p w:rsidR="00887330" w:rsidRPr="00583E1A" w:rsidRDefault="00887330" w:rsidP="00887330">
      <w:pPr>
        <w:pStyle w:val="Definition"/>
      </w:pPr>
      <w:r w:rsidRPr="00583E1A">
        <w:rPr>
          <w:b/>
          <w:i/>
        </w:rPr>
        <w:t>current pension</w:t>
      </w:r>
      <w:r w:rsidRPr="00583E1A">
        <w:t xml:space="preserve"> means a pension that has begun to be paid.</w:t>
      </w:r>
    </w:p>
    <w:p w:rsidR="00887330" w:rsidRPr="00583E1A" w:rsidRDefault="00887330" w:rsidP="00887330">
      <w:pPr>
        <w:pStyle w:val="Definition"/>
      </w:pPr>
      <w:r w:rsidRPr="00583E1A">
        <w:rPr>
          <w:b/>
          <w:i/>
        </w:rPr>
        <w:t>current termination value</w:t>
      </w:r>
      <w:r w:rsidRPr="00583E1A">
        <w:t xml:space="preserve"> of a </w:t>
      </w:r>
      <w:r w:rsidR="00583E1A" w:rsidRPr="00583E1A">
        <w:rPr>
          <w:position w:val="6"/>
          <w:sz w:val="16"/>
        </w:rPr>
        <w:t>*</w:t>
      </w:r>
      <w:r w:rsidRPr="00583E1A">
        <w:t xml:space="preserve">life insurance policy, or of the </w:t>
      </w:r>
      <w:r w:rsidR="00583E1A" w:rsidRPr="00583E1A">
        <w:rPr>
          <w:position w:val="6"/>
          <w:sz w:val="16"/>
        </w:rPr>
        <w:t>*</w:t>
      </w:r>
      <w:r w:rsidRPr="00583E1A">
        <w:t xml:space="preserve">net risk component of a life insurance policy, has the meaning given in </w:t>
      </w:r>
      <w:r w:rsidR="00D53840" w:rsidRPr="00583E1A">
        <w:lastRenderedPageBreak/>
        <w:t>prudential standards made under section</w:t>
      </w:r>
      <w:r w:rsidR="00583E1A">
        <w:t> </w:t>
      </w:r>
      <w:r w:rsidR="00D53840" w:rsidRPr="00583E1A">
        <w:t xml:space="preserve">230A of the </w:t>
      </w:r>
      <w:r w:rsidR="00D53840" w:rsidRPr="00583E1A">
        <w:rPr>
          <w:i/>
        </w:rPr>
        <w:t>Life Insurance Act 1995</w:t>
      </w:r>
      <w:r w:rsidRPr="00583E1A">
        <w:t>.</w:t>
      </w:r>
    </w:p>
    <w:p w:rsidR="00887330" w:rsidRPr="00583E1A" w:rsidRDefault="00887330" w:rsidP="00887330">
      <w:pPr>
        <w:pStyle w:val="Definition"/>
      </w:pPr>
      <w:r w:rsidRPr="00583E1A">
        <w:rPr>
          <w:b/>
          <w:i/>
        </w:rPr>
        <w:t>current year</w:t>
      </w:r>
      <w:r w:rsidRPr="00583E1A">
        <w:t xml:space="preserve"> means the income year for which you are working out your assessable income and deductions.</w:t>
      </w:r>
    </w:p>
    <w:p w:rsidR="0060138E" w:rsidRPr="00583E1A" w:rsidRDefault="0060138E" w:rsidP="0060138E">
      <w:pPr>
        <w:pStyle w:val="Definition"/>
      </w:pPr>
      <w:r w:rsidRPr="00583E1A">
        <w:rPr>
          <w:b/>
          <w:i/>
        </w:rPr>
        <w:t>custodian</w:t>
      </w:r>
      <w:r w:rsidRPr="00583E1A">
        <w:t xml:space="preserve"> has the meaning given by section</w:t>
      </w:r>
      <w:r w:rsidR="00583E1A">
        <w:t> </w:t>
      </w:r>
      <w:r w:rsidRPr="00583E1A">
        <w:t>12</w:t>
      </w:r>
      <w:r w:rsidR="00583E1A">
        <w:noBreakHyphen/>
      </w:r>
      <w:r w:rsidRPr="00583E1A">
        <w:t>390 in Schedule</w:t>
      </w:r>
      <w:r w:rsidR="00583E1A">
        <w:t> </w:t>
      </w:r>
      <w:r w:rsidRPr="00583E1A">
        <w:t xml:space="preserve">1 to the </w:t>
      </w:r>
      <w:r w:rsidRPr="00583E1A">
        <w:rPr>
          <w:i/>
        </w:rPr>
        <w:t>Taxation Administration Act 1953</w:t>
      </w:r>
      <w:r w:rsidRPr="00583E1A">
        <w:t>.</w:t>
      </w:r>
    </w:p>
    <w:p w:rsidR="00E64841" w:rsidRPr="00202171" w:rsidRDefault="00E64841" w:rsidP="00E64841">
      <w:pPr>
        <w:pStyle w:val="Definition"/>
      </w:pPr>
      <w:r w:rsidRPr="00202171">
        <w:rPr>
          <w:b/>
          <w:i/>
        </w:rPr>
        <w:t>customs dealing</w:t>
      </w:r>
      <w:r w:rsidRPr="00202171">
        <w:t xml:space="preserve"> has the meaning given by the </w:t>
      </w:r>
      <w:r w:rsidRPr="00202171">
        <w:rPr>
          <w:position w:val="6"/>
          <w:sz w:val="16"/>
        </w:rPr>
        <w:t>*</w:t>
      </w:r>
      <w:r w:rsidRPr="00202171">
        <w:t>Wine Tax Act.</w:t>
      </w:r>
    </w:p>
    <w:p w:rsidR="003A05D5" w:rsidRPr="00251B77" w:rsidRDefault="003A05D5" w:rsidP="003A05D5">
      <w:pPr>
        <w:pStyle w:val="Definition"/>
      </w:pPr>
      <w:r w:rsidRPr="00251B77">
        <w:rPr>
          <w:b/>
          <w:i/>
        </w:rPr>
        <w:t xml:space="preserve">dad and partner pay </w:t>
      </w:r>
      <w:r w:rsidRPr="00251B77">
        <w:t xml:space="preserve">has the meaning given by the </w:t>
      </w:r>
      <w:r w:rsidRPr="00251B77">
        <w:rPr>
          <w:i/>
        </w:rPr>
        <w:t>Paid Parental Leave Act 2010</w:t>
      </w:r>
      <w:r w:rsidRPr="00251B77">
        <w:t>.</w:t>
      </w:r>
    </w:p>
    <w:p w:rsidR="00887330" w:rsidRPr="00583E1A" w:rsidRDefault="00887330" w:rsidP="00887330">
      <w:pPr>
        <w:pStyle w:val="Definition"/>
      </w:pPr>
      <w:r w:rsidRPr="00583E1A">
        <w:rPr>
          <w:b/>
          <w:i/>
        </w:rPr>
        <w:t>datacasting transmitter licence</w:t>
      </w:r>
      <w:r w:rsidRPr="00583E1A">
        <w:t xml:space="preserve"> has the meaning given by section</w:t>
      </w:r>
      <w:r w:rsidR="00583E1A">
        <w:t> </w:t>
      </w:r>
      <w:r w:rsidRPr="00583E1A">
        <w:t xml:space="preserve">5 of the </w:t>
      </w:r>
      <w:r w:rsidRPr="00583E1A">
        <w:rPr>
          <w:i/>
        </w:rPr>
        <w:t>Radiocommunications Act 1992</w:t>
      </w:r>
      <w:r w:rsidRPr="00583E1A">
        <w:t>.</w:t>
      </w:r>
    </w:p>
    <w:p w:rsidR="00887330" w:rsidRPr="00583E1A" w:rsidRDefault="00887330" w:rsidP="00887330">
      <w:pPr>
        <w:pStyle w:val="Definition"/>
      </w:pPr>
      <w:r w:rsidRPr="00583E1A">
        <w:rPr>
          <w:b/>
          <w:i/>
        </w:rPr>
        <w:t>date of the settlement or order</w:t>
      </w:r>
      <w:r w:rsidRPr="00583E1A">
        <w:t xml:space="preserve">, for a </w:t>
      </w:r>
      <w:r w:rsidR="00583E1A" w:rsidRPr="00583E1A">
        <w:rPr>
          <w:position w:val="6"/>
          <w:sz w:val="16"/>
        </w:rPr>
        <w:t>*</w:t>
      </w:r>
      <w:r w:rsidRPr="00583E1A">
        <w:t xml:space="preserve">structured settlement or a </w:t>
      </w:r>
      <w:r w:rsidR="00583E1A" w:rsidRPr="00583E1A">
        <w:rPr>
          <w:position w:val="6"/>
          <w:sz w:val="16"/>
        </w:rPr>
        <w:t>*</w:t>
      </w:r>
      <w:r w:rsidRPr="00583E1A">
        <w:t>structured order, has the meaning given by section</w:t>
      </w:r>
      <w:r w:rsidR="00583E1A">
        <w:t> </w:t>
      </w:r>
      <w:r w:rsidRPr="00583E1A">
        <w:t>54</w:t>
      </w:r>
      <w:r w:rsidR="00583E1A">
        <w:noBreakHyphen/>
      </w:r>
      <w:r w:rsidRPr="00583E1A">
        <w:t>5.</w:t>
      </w:r>
    </w:p>
    <w:p w:rsidR="00C33219" w:rsidRPr="00583E1A" w:rsidRDefault="00C33219" w:rsidP="00C33219">
      <w:pPr>
        <w:pStyle w:val="Definition"/>
      </w:pPr>
      <w:r w:rsidRPr="00583E1A">
        <w:rPr>
          <w:b/>
          <w:i/>
        </w:rPr>
        <w:t xml:space="preserve">death benefits dependant </w:t>
      </w:r>
      <w:r w:rsidRPr="00583E1A">
        <w:t>has the meaning given by section</w:t>
      </w:r>
      <w:r w:rsidR="00583E1A">
        <w:t> </w:t>
      </w:r>
      <w:r w:rsidRPr="00583E1A">
        <w:t>302</w:t>
      </w:r>
      <w:r w:rsidR="00583E1A">
        <w:noBreakHyphen/>
      </w:r>
      <w:r w:rsidRPr="00583E1A">
        <w:t>195.</w:t>
      </w:r>
    </w:p>
    <w:p w:rsidR="00C33219" w:rsidRPr="00583E1A" w:rsidRDefault="00C33219" w:rsidP="00C33219">
      <w:pPr>
        <w:pStyle w:val="Definition"/>
      </w:pPr>
      <w:r w:rsidRPr="00583E1A">
        <w:rPr>
          <w:b/>
          <w:i/>
        </w:rPr>
        <w:t xml:space="preserve">death benefit termination payment </w:t>
      </w:r>
      <w:r w:rsidRPr="00583E1A">
        <w:t>has the meaning given by subsection 82</w:t>
      </w:r>
      <w:r w:rsidR="00583E1A">
        <w:noBreakHyphen/>
      </w:r>
      <w:r w:rsidRPr="00583E1A">
        <w:t>130(3).</w:t>
      </w:r>
    </w:p>
    <w:p w:rsidR="00887330" w:rsidRPr="00583E1A" w:rsidRDefault="00887330" w:rsidP="00887330">
      <w:pPr>
        <w:pStyle w:val="Definition"/>
      </w:pPr>
      <w:r w:rsidRPr="00583E1A">
        <w:rPr>
          <w:b/>
          <w:i/>
        </w:rPr>
        <w:t>debenture</w:t>
      </w:r>
      <w:r w:rsidRPr="00583E1A">
        <w:t xml:space="preserve"> of a company or unit trust includes debenture stock, bonds, notes and any other securities of the company or trust, whether or not constituting a charge on its assets.</w:t>
      </w:r>
    </w:p>
    <w:p w:rsidR="00887330" w:rsidRPr="00583E1A" w:rsidRDefault="00887330" w:rsidP="00887330">
      <w:pPr>
        <w:pStyle w:val="Definition"/>
      </w:pPr>
      <w:r w:rsidRPr="00583E1A">
        <w:rPr>
          <w:b/>
          <w:i/>
        </w:rPr>
        <w:t>debt capital</w:t>
      </w:r>
      <w:r w:rsidRPr="00583E1A">
        <w:t xml:space="preserve">, of an entity and at a particular time, means any </w:t>
      </w:r>
      <w:r w:rsidR="00583E1A" w:rsidRPr="00583E1A">
        <w:rPr>
          <w:position w:val="6"/>
          <w:sz w:val="16"/>
        </w:rPr>
        <w:t>*</w:t>
      </w:r>
      <w:r w:rsidRPr="00583E1A">
        <w:t xml:space="preserve">debt interests issued by the entity that are still </w:t>
      </w:r>
      <w:r w:rsidR="00583E1A" w:rsidRPr="00583E1A">
        <w:rPr>
          <w:position w:val="6"/>
          <w:sz w:val="16"/>
        </w:rPr>
        <w:t>*</w:t>
      </w:r>
      <w:r w:rsidRPr="00583E1A">
        <w:t>on issue at that time.</w:t>
      </w:r>
    </w:p>
    <w:p w:rsidR="00887330" w:rsidRPr="00583E1A" w:rsidRDefault="00887330" w:rsidP="00887330">
      <w:pPr>
        <w:pStyle w:val="Definition"/>
      </w:pPr>
      <w:r w:rsidRPr="00583E1A">
        <w:rPr>
          <w:b/>
          <w:i/>
        </w:rPr>
        <w:t>debt deduction</w:t>
      </w:r>
      <w:r w:rsidRPr="00583E1A">
        <w:t xml:space="preserve"> has the meaning given by section</w:t>
      </w:r>
      <w:r w:rsidR="00583E1A">
        <w:t> </w:t>
      </w:r>
      <w:r w:rsidRPr="00583E1A">
        <w:t>820</w:t>
      </w:r>
      <w:r w:rsidR="00583E1A">
        <w:noBreakHyphen/>
      </w:r>
      <w:r w:rsidRPr="00583E1A">
        <w:t>40.</w:t>
      </w:r>
    </w:p>
    <w:p w:rsidR="00887330" w:rsidRPr="00583E1A" w:rsidRDefault="00887330" w:rsidP="00887330">
      <w:pPr>
        <w:pStyle w:val="Definition"/>
      </w:pPr>
      <w:r w:rsidRPr="00583E1A">
        <w:rPr>
          <w:b/>
          <w:i/>
        </w:rPr>
        <w:t>debt interest</w:t>
      </w:r>
      <w:r w:rsidRPr="00583E1A">
        <w:t xml:space="preserve"> in an entity has the meaning given by Subdivision</w:t>
      </w:r>
      <w:r w:rsidR="00583E1A">
        <w:t> </w:t>
      </w:r>
      <w:r w:rsidRPr="00583E1A">
        <w:t>974</w:t>
      </w:r>
      <w:r w:rsidR="00583E1A">
        <w:noBreakHyphen/>
      </w:r>
      <w:r w:rsidRPr="00583E1A">
        <w:t>B.</w:t>
      </w:r>
    </w:p>
    <w:p w:rsidR="00887330" w:rsidRPr="00583E1A" w:rsidRDefault="00887330" w:rsidP="00887330">
      <w:pPr>
        <w:pStyle w:val="Definition"/>
      </w:pPr>
      <w:r w:rsidRPr="00583E1A">
        <w:rPr>
          <w:b/>
          <w:i/>
        </w:rPr>
        <w:t>debt property</w:t>
      </w:r>
      <w:r w:rsidRPr="00583E1A">
        <w:t xml:space="preserve"> has the meaning given by section</w:t>
      </w:r>
      <w:r w:rsidR="00583E1A">
        <w:t> </w:t>
      </w:r>
      <w:r w:rsidRPr="00583E1A">
        <w:t>243</w:t>
      </w:r>
      <w:r w:rsidR="00583E1A">
        <w:noBreakHyphen/>
      </w:r>
      <w:r w:rsidRPr="00583E1A">
        <w:t>30.</w:t>
      </w:r>
    </w:p>
    <w:p w:rsidR="00887330" w:rsidRPr="00583E1A" w:rsidRDefault="00887330" w:rsidP="00887330">
      <w:pPr>
        <w:pStyle w:val="Definition"/>
      </w:pPr>
      <w:r w:rsidRPr="00583E1A">
        <w:rPr>
          <w:b/>
          <w:i/>
        </w:rPr>
        <w:t>decrease time</w:t>
      </w:r>
      <w:r w:rsidRPr="00583E1A">
        <w:t xml:space="preserve"> for a </w:t>
      </w:r>
      <w:r w:rsidR="00583E1A" w:rsidRPr="00583E1A">
        <w:rPr>
          <w:position w:val="6"/>
          <w:sz w:val="16"/>
        </w:rPr>
        <w:t>*</w:t>
      </w:r>
      <w:r w:rsidRPr="00583E1A">
        <w:t>direct value shift has the meaning given by section</w:t>
      </w:r>
      <w:r w:rsidR="00583E1A">
        <w:t> </w:t>
      </w:r>
      <w:r w:rsidRPr="00583E1A">
        <w:t>725</w:t>
      </w:r>
      <w:r w:rsidR="00583E1A">
        <w:noBreakHyphen/>
      </w:r>
      <w:r w:rsidRPr="00583E1A">
        <w:t>155.</w:t>
      </w:r>
    </w:p>
    <w:p w:rsidR="00887330" w:rsidRPr="00583E1A" w:rsidRDefault="00887330" w:rsidP="00887330">
      <w:pPr>
        <w:pStyle w:val="Definition"/>
      </w:pPr>
      <w:r w:rsidRPr="00583E1A">
        <w:rPr>
          <w:b/>
          <w:i/>
        </w:rPr>
        <w:lastRenderedPageBreak/>
        <w:t>decreasing adjustment</w:t>
      </w:r>
      <w:r w:rsidRPr="00583E1A">
        <w:t xml:space="preserve"> has the meaning given by section</w:t>
      </w:r>
      <w:r w:rsidR="00583E1A">
        <w:t> </w:t>
      </w:r>
      <w:r w:rsidRPr="00583E1A">
        <w:t>195</w:t>
      </w:r>
      <w:r w:rsidR="00583E1A">
        <w:noBreakHyphen/>
      </w:r>
      <w:r w:rsidRPr="00583E1A">
        <w:t xml:space="preserve">1 of the </w:t>
      </w:r>
      <w:r w:rsidR="00583E1A" w:rsidRPr="00583E1A">
        <w:rPr>
          <w:position w:val="6"/>
          <w:sz w:val="16"/>
        </w:rPr>
        <w:t>*</w:t>
      </w:r>
      <w:r w:rsidRPr="00583E1A">
        <w:t>GST Act.</w:t>
      </w:r>
    </w:p>
    <w:p w:rsidR="00887330" w:rsidRPr="00583E1A" w:rsidRDefault="00887330" w:rsidP="00887330">
      <w:pPr>
        <w:pStyle w:val="Definition"/>
      </w:pPr>
      <w:r w:rsidRPr="00583E1A">
        <w:rPr>
          <w:b/>
          <w:i/>
        </w:rPr>
        <w:t>deduct</w:t>
      </w:r>
      <w:r w:rsidRPr="00583E1A">
        <w:t xml:space="preserve"> has the meaning given by sections</w:t>
      </w:r>
      <w:r w:rsidR="00583E1A">
        <w:t> </w:t>
      </w:r>
      <w:r w:rsidRPr="00583E1A">
        <w:t>8</w:t>
      </w:r>
      <w:r w:rsidR="00583E1A">
        <w:noBreakHyphen/>
      </w:r>
      <w:r w:rsidRPr="00583E1A">
        <w:t>1 and 8</w:t>
      </w:r>
      <w:r w:rsidR="00583E1A">
        <w:noBreakHyphen/>
      </w:r>
      <w:r w:rsidRPr="00583E1A">
        <w:t>5.</w:t>
      </w:r>
    </w:p>
    <w:p w:rsidR="00887330" w:rsidRPr="00583E1A" w:rsidRDefault="00887330" w:rsidP="00887330">
      <w:pPr>
        <w:pStyle w:val="Definition"/>
      </w:pPr>
      <w:r w:rsidRPr="00583E1A">
        <w:rPr>
          <w:b/>
          <w:i/>
        </w:rPr>
        <w:t>deductible gift recipient</w:t>
      </w:r>
      <w:r w:rsidRPr="00583E1A">
        <w:t xml:space="preserve"> has the meaning given by section</w:t>
      </w:r>
      <w:r w:rsidR="00583E1A">
        <w:t> </w:t>
      </w:r>
      <w:r w:rsidRPr="00583E1A">
        <w:t>30</w:t>
      </w:r>
      <w:r w:rsidR="00583E1A">
        <w:noBreakHyphen/>
      </w:r>
      <w:r w:rsidRPr="00583E1A">
        <w:t>227.</w:t>
      </w:r>
    </w:p>
    <w:p w:rsidR="00887330" w:rsidRPr="00583E1A" w:rsidRDefault="00887330" w:rsidP="00887330">
      <w:pPr>
        <w:pStyle w:val="Definition"/>
      </w:pPr>
      <w:r w:rsidRPr="00583E1A">
        <w:rPr>
          <w:b/>
          <w:i/>
        </w:rPr>
        <w:t>deduction</w:t>
      </w:r>
      <w:r w:rsidRPr="00583E1A">
        <w:t xml:space="preserve"> means an amount that you can deduct.</w:t>
      </w:r>
    </w:p>
    <w:p w:rsidR="00887330" w:rsidRPr="00583E1A" w:rsidRDefault="00887330" w:rsidP="00887330">
      <w:pPr>
        <w:pStyle w:val="notetext"/>
      </w:pPr>
      <w:r w:rsidRPr="00583E1A">
        <w:t>Note:</w:t>
      </w:r>
      <w:r w:rsidRPr="00583E1A">
        <w:tab/>
        <w:t>For income years before 1997</w:t>
      </w:r>
      <w:r w:rsidR="00583E1A">
        <w:noBreakHyphen/>
      </w:r>
      <w:r w:rsidRPr="00583E1A">
        <w:t xml:space="preserve">98, </w:t>
      </w:r>
      <w:r w:rsidRPr="00583E1A">
        <w:rPr>
          <w:b/>
          <w:i/>
        </w:rPr>
        <w:t>deduction</w:t>
      </w:r>
      <w:r w:rsidRPr="00583E1A">
        <w:t xml:space="preserve"> has the meaning given by section</w:t>
      </w:r>
      <w:r w:rsidR="00583E1A">
        <w:t> </w:t>
      </w:r>
      <w:r w:rsidRPr="00583E1A">
        <w:t>8</w:t>
      </w:r>
      <w:r w:rsidR="00583E1A">
        <w:noBreakHyphen/>
      </w:r>
      <w:r w:rsidRPr="00583E1A">
        <w:t xml:space="preserve">3 of the </w:t>
      </w:r>
      <w:r w:rsidRPr="00583E1A">
        <w:rPr>
          <w:i/>
        </w:rPr>
        <w:t>Income Tax (Transitional Provisions) Act 1997</w:t>
      </w:r>
      <w:r w:rsidRPr="00583E1A">
        <w:t>.</w:t>
      </w:r>
    </w:p>
    <w:p w:rsidR="00887330" w:rsidRPr="00583E1A" w:rsidRDefault="00887330" w:rsidP="00887330">
      <w:pPr>
        <w:pStyle w:val="Definition"/>
      </w:pPr>
      <w:r w:rsidRPr="00583E1A">
        <w:rPr>
          <w:b/>
          <w:i/>
        </w:rPr>
        <w:t>deduction year</w:t>
      </w:r>
      <w:r w:rsidRPr="00583E1A">
        <w:t xml:space="preserve"> has the meaning given by section</w:t>
      </w:r>
      <w:r w:rsidR="00583E1A">
        <w:t> </w:t>
      </w:r>
      <w:r w:rsidRPr="00583E1A">
        <w:t>170</w:t>
      </w:r>
      <w:r w:rsidR="00583E1A">
        <w:noBreakHyphen/>
      </w:r>
      <w:r w:rsidRPr="00583E1A">
        <w:t>20.</w:t>
      </w:r>
    </w:p>
    <w:p w:rsidR="001250AB" w:rsidRPr="00B758CF" w:rsidRDefault="001250AB" w:rsidP="001250AB">
      <w:pPr>
        <w:pStyle w:val="Definition"/>
      </w:pPr>
      <w:r w:rsidRPr="00B758CF">
        <w:rPr>
          <w:b/>
          <w:i/>
        </w:rPr>
        <w:t>Defence Department</w:t>
      </w:r>
      <w:r w:rsidRPr="00B758CF">
        <w:t xml:space="preserve"> means the Department that:</w:t>
      </w:r>
    </w:p>
    <w:p w:rsidR="001250AB" w:rsidRPr="00B758CF" w:rsidRDefault="001250AB" w:rsidP="001250AB">
      <w:pPr>
        <w:pStyle w:val="paragraph"/>
      </w:pPr>
      <w:r w:rsidRPr="00B758CF">
        <w:tab/>
        <w:t>(a)</w:t>
      </w:r>
      <w:r w:rsidRPr="00B758CF">
        <w:tab/>
        <w:t xml:space="preserve">deals with matters arising under section 1 of the </w:t>
      </w:r>
      <w:r w:rsidRPr="00B758CF">
        <w:rPr>
          <w:i/>
        </w:rPr>
        <w:t>Defence Act 1903</w:t>
      </w:r>
      <w:r w:rsidRPr="00B758CF">
        <w:t>; and</w:t>
      </w:r>
    </w:p>
    <w:p w:rsidR="001250AB" w:rsidRPr="00B758CF" w:rsidRDefault="001250AB" w:rsidP="001250AB">
      <w:pPr>
        <w:pStyle w:val="paragraph"/>
      </w:pPr>
      <w:r w:rsidRPr="00B758CF">
        <w:tab/>
        <w:t>(b)</w:t>
      </w:r>
      <w:r w:rsidRPr="00B758CF">
        <w:tab/>
        <w:t>is administered by the Defence Minister.</w:t>
      </w:r>
    </w:p>
    <w:p w:rsidR="00887330" w:rsidRPr="00583E1A" w:rsidRDefault="00887330" w:rsidP="00887330">
      <w:pPr>
        <w:pStyle w:val="Definition"/>
      </w:pPr>
      <w:r w:rsidRPr="00583E1A">
        <w:rPr>
          <w:b/>
          <w:i/>
        </w:rPr>
        <w:t>Defence Minister</w:t>
      </w:r>
      <w:r w:rsidRPr="00583E1A">
        <w:t xml:space="preserve"> means the Minister administering</w:t>
      </w:r>
      <w:r w:rsidR="00573B9B" w:rsidRPr="00583E1A">
        <w:t xml:space="preserve"> section</w:t>
      </w:r>
      <w:r w:rsidR="00583E1A">
        <w:t> </w:t>
      </w:r>
      <w:r w:rsidR="00573B9B" w:rsidRPr="00583E1A">
        <w:t>1 of</w:t>
      </w:r>
      <w:r w:rsidRPr="00583E1A">
        <w:t xml:space="preserve"> the </w:t>
      </w:r>
      <w:r w:rsidRPr="00583E1A">
        <w:rPr>
          <w:i/>
        </w:rPr>
        <w:t>Defence Act 1903</w:t>
      </w:r>
      <w:r w:rsidRPr="00583E1A">
        <w:t>.</w:t>
      </w:r>
    </w:p>
    <w:p w:rsidR="001250AB" w:rsidRPr="00B758CF" w:rsidRDefault="001250AB" w:rsidP="001250AB">
      <w:pPr>
        <w:pStyle w:val="Definition"/>
      </w:pPr>
      <w:r w:rsidRPr="00B758CF">
        <w:rPr>
          <w:b/>
          <w:i/>
        </w:rPr>
        <w:t>Defence Secretary</w:t>
      </w:r>
      <w:r w:rsidRPr="00B758CF">
        <w:t xml:space="preserve"> means the Secretary of the Defence Department.</w:t>
      </w:r>
    </w:p>
    <w:p w:rsidR="00887330" w:rsidRPr="00583E1A" w:rsidRDefault="00887330" w:rsidP="00887330">
      <w:pPr>
        <w:pStyle w:val="Definition"/>
      </w:pPr>
      <w:r w:rsidRPr="00583E1A">
        <w:rPr>
          <w:b/>
          <w:i/>
        </w:rPr>
        <w:t>deferred BAS payer</w:t>
      </w:r>
      <w:r w:rsidRPr="00583E1A">
        <w:t>, at a particular</w:t>
      </w:r>
      <w:r w:rsidRPr="00583E1A">
        <w:rPr>
          <w:b/>
        </w:rPr>
        <w:t xml:space="preserve"> </w:t>
      </w:r>
      <w:r w:rsidRPr="00583E1A">
        <w:t>time,</w:t>
      </w:r>
      <w:r w:rsidRPr="00583E1A">
        <w:rPr>
          <w:b/>
        </w:rPr>
        <w:t xml:space="preserve"> </w:t>
      </w:r>
      <w:r w:rsidRPr="00583E1A">
        <w:t xml:space="preserve">means an entity that has an obligation to notify the Commissioner of a </w:t>
      </w:r>
      <w:r w:rsidR="00583E1A" w:rsidRPr="00583E1A">
        <w:rPr>
          <w:position w:val="6"/>
          <w:sz w:val="16"/>
        </w:rPr>
        <w:t>*</w:t>
      </w:r>
      <w:r w:rsidRPr="00583E1A">
        <w:t>BAS amount at that time, other than:</w:t>
      </w:r>
    </w:p>
    <w:p w:rsidR="00887330" w:rsidRPr="00583E1A" w:rsidRDefault="00887330" w:rsidP="00887330">
      <w:pPr>
        <w:pStyle w:val="paragraph"/>
      </w:pPr>
      <w:r w:rsidRPr="00583E1A">
        <w:tab/>
        <w:t>(a)</w:t>
      </w:r>
      <w:r w:rsidRPr="00583E1A">
        <w:tab/>
        <w:t xml:space="preserve">an entity that has an obligation at that time to give the Commissioner a </w:t>
      </w:r>
      <w:r w:rsidR="00583E1A" w:rsidRPr="00583E1A">
        <w:rPr>
          <w:position w:val="6"/>
          <w:sz w:val="16"/>
        </w:rPr>
        <w:t>*</w:t>
      </w:r>
      <w:r w:rsidRPr="00583E1A">
        <w:t xml:space="preserve">GST return for a monthly </w:t>
      </w:r>
      <w:r w:rsidR="00583E1A" w:rsidRPr="00583E1A">
        <w:rPr>
          <w:position w:val="6"/>
          <w:sz w:val="16"/>
        </w:rPr>
        <w:t>*</w:t>
      </w:r>
      <w:r w:rsidRPr="00583E1A">
        <w:t>tax period; or</w:t>
      </w:r>
    </w:p>
    <w:p w:rsidR="00887330" w:rsidRPr="00583E1A" w:rsidRDefault="00887330" w:rsidP="00887330">
      <w:pPr>
        <w:pStyle w:val="paragraph"/>
      </w:pPr>
      <w:r w:rsidRPr="00583E1A">
        <w:tab/>
        <w:t>(b)</w:t>
      </w:r>
      <w:r w:rsidRPr="00583E1A">
        <w:tab/>
        <w:t>an entity whose obligation to notify a BAS amount at that time relates only to one or more of the following:</w:t>
      </w:r>
    </w:p>
    <w:p w:rsidR="00887330" w:rsidRPr="00583E1A" w:rsidRDefault="00887330" w:rsidP="00887330">
      <w:pPr>
        <w:pStyle w:val="paragraphsub"/>
      </w:pPr>
      <w:r w:rsidRPr="00583E1A">
        <w:tab/>
        <w:t>(i)</w:t>
      </w:r>
      <w:r w:rsidRPr="00583E1A">
        <w:tab/>
        <w:t xml:space="preserve">an </w:t>
      </w:r>
      <w:r w:rsidR="00583E1A" w:rsidRPr="00583E1A">
        <w:rPr>
          <w:position w:val="6"/>
          <w:sz w:val="16"/>
        </w:rPr>
        <w:t>*</w:t>
      </w:r>
      <w:r w:rsidRPr="00583E1A">
        <w:t xml:space="preserve">amount withheld by a </w:t>
      </w:r>
      <w:r w:rsidR="00583E1A" w:rsidRPr="00583E1A">
        <w:rPr>
          <w:position w:val="6"/>
          <w:sz w:val="16"/>
        </w:rPr>
        <w:t>*</w:t>
      </w:r>
      <w:r w:rsidRPr="00583E1A">
        <w:t xml:space="preserve">medium withholder or a </w:t>
      </w:r>
      <w:r w:rsidR="00583E1A" w:rsidRPr="00583E1A">
        <w:rPr>
          <w:position w:val="6"/>
          <w:sz w:val="16"/>
        </w:rPr>
        <w:t>*</w:t>
      </w:r>
      <w:r w:rsidRPr="00583E1A">
        <w:t>large withholder;</w:t>
      </w:r>
    </w:p>
    <w:p w:rsidR="00887330" w:rsidRPr="00583E1A" w:rsidRDefault="00887330" w:rsidP="00887330">
      <w:pPr>
        <w:pStyle w:val="paragraphsub"/>
      </w:pPr>
      <w:r w:rsidRPr="00583E1A">
        <w:tab/>
        <w:t>(ii)</w:t>
      </w:r>
      <w:r w:rsidRPr="00583E1A">
        <w:tab/>
        <w:t xml:space="preserve">the </w:t>
      </w:r>
      <w:r w:rsidR="00583E1A" w:rsidRPr="00583E1A">
        <w:rPr>
          <w:position w:val="6"/>
          <w:sz w:val="16"/>
        </w:rPr>
        <w:t>*</w:t>
      </w:r>
      <w:r w:rsidRPr="00583E1A">
        <w:t xml:space="preserve">PAYG instalment of an </w:t>
      </w:r>
      <w:r w:rsidR="00583E1A" w:rsidRPr="00583E1A">
        <w:rPr>
          <w:position w:val="6"/>
          <w:sz w:val="16"/>
        </w:rPr>
        <w:t>*</w:t>
      </w:r>
      <w:r w:rsidRPr="00583E1A">
        <w:t>annual payer.</w:t>
      </w:r>
    </w:p>
    <w:p w:rsidR="00887330" w:rsidRPr="00583E1A" w:rsidRDefault="00887330" w:rsidP="00887330">
      <w:pPr>
        <w:pStyle w:val="notetext"/>
      </w:pPr>
      <w:r w:rsidRPr="00583E1A">
        <w:t>Note:</w:t>
      </w:r>
      <w:r w:rsidRPr="00583E1A">
        <w:tab/>
        <w:t>You are therefore a deferred BAS payer if you have an obligation to give the Commissioner a GST return for a quarterly tax period or if you are a GST instalment payer within the meaning of the GST Act.</w:t>
      </w:r>
    </w:p>
    <w:p w:rsidR="00161A2E" w:rsidRPr="0038586A" w:rsidRDefault="00161A2E" w:rsidP="00161A2E">
      <w:pPr>
        <w:pStyle w:val="Definition"/>
      </w:pPr>
      <w:r w:rsidRPr="0038586A">
        <w:rPr>
          <w:b/>
          <w:i/>
        </w:rPr>
        <w:t>deferred roll</w:t>
      </w:r>
      <w:r w:rsidRPr="0038586A">
        <w:rPr>
          <w:b/>
          <w:i/>
        </w:rPr>
        <w:noBreakHyphen/>
        <w:t>over gain</w:t>
      </w:r>
      <w:r w:rsidRPr="0038586A">
        <w:t>: an asset has a deferred roll</w:t>
      </w:r>
      <w:r w:rsidRPr="0038586A">
        <w:noBreakHyphen/>
        <w:t>over gain at a particular time if:</w:t>
      </w:r>
    </w:p>
    <w:p w:rsidR="00161A2E" w:rsidRPr="0038586A" w:rsidRDefault="00161A2E" w:rsidP="00161A2E">
      <w:pPr>
        <w:pStyle w:val="paragraph"/>
      </w:pPr>
      <w:r w:rsidRPr="0038586A">
        <w:lastRenderedPageBreak/>
        <w:tab/>
        <w:t>(a)</w:t>
      </w:r>
      <w:r w:rsidRPr="0038586A">
        <w:tab/>
        <w:t>before that time there was a roll</w:t>
      </w:r>
      <w:r w:rsidRPr="0038586A">
        <w:noBreakHyphen/>
        <w:t xml:space="preserve">over under a provision or former provision of this Act in relation to a disposal or a </w:t>
      </w:r>
      <w:r w:rsidRPr="0038586A">
        <w:rPr>
          <w:position w:val="6"/>
          <w:sz w:val="16"/>
        </w:rPr>
        <w:t>*</w:t>
      </w:r>
      <w:r w:rsidRPr="0038586A">
        <w:t>CGT event that happened in relation to the asset; and</w:t>
      </w:r>
    </w:p>
    <w:p w:rsidR="00161A2E" w:rsidRPr="0038586A" w:rsidRDefault="00161A2E" w:rsidP="00161A2E">
      <w:pPr>
        <w:pStyle w:val="paragraph"/>
      </w:pPr>
      <w:r w:rsidRPr="0038586A">
        <w:tab/>
        <w:t>(b)</w:t>
      </w:r>
      <w:r w:rsidRPr="0038586A">
        <w:tab/>
        <w:t>as a result of the roll</w:t>
      </w:r>
      <w:r w:rsidRPr="0038586A">
        <w:noBreakHyphen/>
        <w:t xml:space="preserve">over all or part of a </w:t>
      </w:r>
      <w:r w:rsidRPr="0038586A">
        <w:rPr>
          <w:position w:val="6"/>
          <w:sz w:val="16"/>
        </w:rPr>
        <w:t>*</w:t>
      </w:r>
      <w:r w:rsidRPr="0038586A">
        <w:t>capital gain from the disposal or CGT event was disregarded.</w:t>
      </w:r>
    </w:p>
    <w:p w:rsidR="00161A2E" w:rsidRPr="0038586A" w:rsidRDefault="00161A2E" w:rsidP="00A756C6">
      <w:pPr>
        <w:pStyle w:val="subsection2"/>
        <w:keepNext/>
        <w:keepLines/>
      </w:pPr>
      <w:r w:rsidRPr="0038586A">
        <w:t>The amount of the deferred roll</w:t>
      </w:r>
      <w:r w:rsidRPr="0038586A">
        <w:noBreakHyphen/>
        <w:t xml:space="preserve">over gain is equal to the amount of the capital gain that was disregarded, reduced by the amount (if any) by which the gain has been taken into account in working out a </w:t>
      </w:r>
      <w:r w:rsidRPr="0038586A">
        <w:rPr>
          <w:position w:val="6"/>
          <w:sz w:val="16"/>
        </w:rPr>
        <w:t>*</w:t>
      </w:r>
      <w:r w:rsidRPr="0038586A">
        <w:t>net capital gain (section 102</w:t>
      </w:r>
      <w:r w:rsidRPr="0038586A">
        <w:noBreakHyphen/>
        <w:t xml:space="preserve">5) or </w:t>
      </w:r>
      <w:r w:rsidRPr="0038586A">
        <w:rPr>
          <w:position w:val="6"/>
          <w:sz w:val="16"/>
        </w:rPr>
        <w:t>*</w:t>
      </w:r>
      <w:r w:rsidRPr="0038586A">
        <w:t>net capital loss (section 102</w:t>
      </w:r>
      <w:r w:rsidRPr="0038586A">
        <w:noBreakHyphen/>
        <w:t>10) in relation to the asset between the roll</w:t>
      </w:r>
      <w:r w:rsidRPr="0038586A">
        <w:noBreakHyphen/>
        <w:t>over time and the particular time.</w:t>
      </w:r>
    </w:p>
    <w:p w:rsidR="00161A2E" w:rsidRPr="0038586A" w:rsidRDefault="00161A2E" w:rsidP="00F13347">
      <w:pPr>
        <w:pStyle w:val="Definition"/>
        <w:keepNext/>
        <w:keepLines/>
      </w:pPr>
      <w:r w:rsidRPr="0038586A">
        <w:rPr>
          <w:b/>
          <w:i/>
        </w:rPr>
        <w:t>deferred roll</w:t>
      </w:r>
      <w:r w:rsidRPr="0038586A">
        <w:rPr>
          <w:b/>
          <w:i/>
        </w:rPr>
        <w:noBreakHyphen/>
        <w:t>over loss</w:t>
      </w:r>
      <w:r w:rsidRPr="0038586A">
        <w:t>: an asset has a deferred roll</w:t>
      </w:r>
      <w:r w:rsidRPr="0038586A">
        <w:noBreakHyphen/>
        <w:t>over loss at a particular time if:</w:t>
      </w:r>
    </w:p>
    <w:p w:rsidR="00161A2E" w:rsidRPr="0038586A" w:rsidRDefault="00161A2E" w:rsidP="00161A2E">
      <w:pPr>
        <w:pStyle w:val="paragraph"/>
      </w:pPr>
      <w:r w:rsidRPr="0038586A">
        <w:tab/>
        <w:t>(a)</w:t>
      </w:r>
      <w:r w:rsidRPr="0038586A">
        <w:tab/>
        <w:t>before that time there was a roll</w:t>
      </w:r>
      <w:r w:rsidRPr="0038586A">
        <w:noBreakHyphen/>
        <w:t xml:space="preserve">over under a provision or former provision of this Act in relation to a disposal or a </w:t>
      </w:r>
      <w:r w:rsidRPr="0038586A">
        <w:rPr>
          <w:position w:val="6"/>
          <w:sz w:val="16"/>
        </w:rPr>
        <w:t>*</w:t>
      </w:r>
      <w:r w:rsidRPr="0038586A">
        <w:t>CGT event that happened in relation to the asset; and</w:t>
      </w:r>
    </w:p>
    <w:p w:rsidR="00161A2E" w:rsidRPr="0038586A" w:rsidRDefault="00161A2E" w:rsidP="00161A2E">
      <w:pPr>
        <w:pStyle w:val="paragraph"/>
      </w:pPr>
      <w:r w:rsidRPr="0038586A">
        <w:tab/>
        <w:t>(b)</w:t>
      </w:r>
      <w:r w:rsidRPr="0038586A">
        <w:tab/>
        <w:t>as a result of the roll</w:t>
      </w:r>
      <w:r w:rsidRPr="0038586A">
        <w:noBreakHyphen/>
        <w:t xml:space="preserve">over all or part of a </w:t>
      </w:r>
      <w:r w:rsidRPr="0038586A">
        <w:rPr>
          <w:position w:val="6"/>
          <w:sz w:val="16"/>
        </w:rPr>
        <w:t>*</w:t>
      </w:r>
      <w:r w:rsidRPr="0038586A">
        <w:t>capital loss from the disposal or CGT event was disregarded.</w:t>
      </w:r>
    </w:p>
    <w:p w:rsidR="00161A2E" w:rsidRPr="0038586A" w:rsidRDefault="00161A2E" w:rsidP="00161A2E">
      <w:pPr>
        <w:pStyle w:val="subsection2"/>
      </w:pPr>
      <w:r w:rsidRPr="0038586A">
        <w:t>The amount of the deferred roll</w:t>
      </w:r>
      <w:r w:rsidRPr="0038586A">
        <w:noBreakHyphen/>
        <w:t xml:space="preserve">over loss is equal to the amount of the capital loss that was disregarded, reduced by the amount (if any) by which the loss has been taken into account in working out a </w:t>
      </w:r>
      <w:r w:rsidRPr="0038586A">
        <w:rPr>
          <w:position w:val="6"/>
          <w:sz w:val="16"/>
        </w:rPr>
        <w:t>*</w:t>
      </w:r>
      <w:r w:rsidRPr="0038586A">
        <w:t>net capital gain (section 102</w:t>
      </w:r>
      <w:r w:rsidRPr="0038586A">
        <w:noBreakHyphen/>
        <w:t xml:space="preserve">5) or </w:t>
      </w:r>
      <w:r w:rsidRPr="0038586A">
        <w:rPr>
          <w:position w:val="6"/>
          <w:sz w:val="16"/>
        </w:rPr>
        <w:t>*</w:t>
      </w:r>
      <w:r w:rsidRPr="0038586A">
        <w:t>net capital loss (section 102</w:t>
      </w:r>
      <w:r w:rsidRPr="0038586A">
        <w:noBreakHyphen/>
        <w:t>10) in relation to the asset between the roll</w:t>
      </w:r>
      <w:r w:rsidRPr="0038586A">
        <w:noBreakHyphen/>
        <w:t>over time and the particular time.</w:t>
      </w:r>
    </w:p>
    <w:p w:rsidR="00887330" w:rsidRPr="00583E1A" w:rsidRDefault="00887330" w:rsidP="00A805BD">
      <w:pPr>
        <w:pStyle w:val="Definition"/>
        <w:keepNext/>
      </w:pPr>
      <w:r w:rsidRPr="00583E1A">
        <w:rPr>
          <w:b/>
          <w:i/>
        </w:rPr>
        <w:t>deficit</w:t>
      </w:r>
      <w:r w:rsidRPr="00583E1A">
        <w:t>:</w:t>
      </w:r>
    </w:p>
    <w:p w:rsidR="00887330" w:rsidRPr="00583E1A" w:rsidRDefault="00887330" w:rsidP="00887330">
      <w:pPr>
        <w:pStyle w:val="paragraph"/>
      </w:pPr>
      <w:r w:rsidRPr="00583E1A">
        <w:rPr>
          <w:b/>
          <w:i/>
        </w:rPr>
        <w:tab/>
      </w:r>
      <w:r w:rsidRPr="00583E1A">
        <w:t>(a)</w:t>
      </w:r>
      <w:r w:rsidRPr="00583E1A">
        <w:rPr>
          <w:b/>
          <w:i/>
        </w:rPr>
        <w:tab/>
      </w:r>
      <w:r w:rsidRPr="00583E1A">
        <w:t>section</w:t>
      </w:r>
      <w:r w:rsidR="00583E1A">
        <w:t> </w:t>
      </w:r>
      <w:r w:rsidRPr="00583E1A">
        <w:t>205</w:t>
      </w:r>
      <w:r w:rsidR="00583E1A">
        <w:noBreakHyphen/>
      </w:r>
      <w:r w:rsidRPr="00583E1A">
        <w:t xml:space="preserve">40 sets out when a </w:t>
      </w:r>
      <w:r w:rsidR="00583E1A" w:rsidRPr="00583E1A">
        <w:rPr>
          <w:position w:val="6"/>
          <w:sz w:val="16"/>
        </w:rPr>
        <w:t>*</w:t>
      </w:r>
      <w:r w:rsidRPr="00583E1A">
        <w:t>franking account is in deficit; and</w:t>
      </w:r>
    </w:p>
    <w:p w:rsidR="00887330" w:rsidRPr="00583E1A" w:rsidRDefault="00887330" w:rsidP="00887330">
      <w:pPr>
        <w:pStyle w:val="paragraph"/>
      </w:pPr>
      <w:r w:rsidRPr="00583E1A">
        <w:tab/>
        <w:t>(b)</w:t>
      </w:r>
      <w:r w:rsidRPr="00583E1A">
        <w:tab/>
        <w:t>section</w:t>
      </w:r>
      <w:r w:rsidR="00583E1A">
        <w:t> </w:t>
      </w:r>
      <w:r w:rsidRPr="00583E1A">
        <w:t>208</w:t>
      </w:r>
      <w:r w:rsidR="00583E1A">
        <w:noBreakHyphen/>
      </w:r>
      <w:r w:rsidRPr="00583E1A">
        <w:t xml:space="preserve">125 sets out when an </w:t>
      </w:r>
      <w:r w:rsidR="00583E1A" w:rsidRPr="00583E1A">
        <w:rPr>
          <w:position w:val="6"/>
          <w:sz w:val="16"/>
        </w:rPr>
        <w:t>*</w:t>
      </w:r>
      <w:r w:rsidRPr="00583E1A">
        <w:t>exempting account is in deficit; and</w:t>
      </w:r>
    </w:p>
    <w:p w:rsidR="00887330" w:rsidRPr="00583E1A" w:rsidRDefault="00887330" w:rsidP="00887330">
      <w:pPr>
        <w:pStyle w:val="paragraph"/>
      </w:pPr>
      <w:r w:rsidRPr="00583E1A">
        <w:tab/>
        <w:t>(c)</w:t>
      </w:r>
      <w:r w:rsidRPr="00583E1A">
        <w:tab/>
        <w:t>section</w:t>
      </w:r>
      <w:r w:rsidR="00583E1A">
        <w:t> </w:t>
      </w:r>
      <w:r w:rsidRPr="00583E1A">
        <w:t>210</w:t>
      </w:r>
      <w:r w:rsidR="00583E1A">
        <w:noBreakHyphen/>
      </w:r>
      <w:r w:rsidRPr="00583E1A">
        <w:t xml:space="preserve">130 sets out when a </w:t>
      </w:r>
      <w:r w:rsidR="00583E1A" w:rsidRPr="00583E1A">
        <w:rPr>
          <w:position w:val="6"/>
          <w:sz w:val="16"/>
        </w:rPr>
        <w:t>*</w:t>
      </w:r>
      <w:r w:rsidRPr="00583E1A">
        <w:t>venture capital sub</w:t>
      </w:r>
      <w:r w:rsidR="00583E1A">
        <w:noBreakHyphen/>
      </w:r>
      <w:r w:rsidRPr="00583E1A">
        <w:t>account is in deficit.</w:t>
      </w:r>
    </w:p>
    <w:p w:rsidR="00C33219" w:rsidRPr="00583E1A" w:rsidRDefault="00C33219" w:rsidP="00C33219">
      <w:pPr>
        <w:pStyle w:val="Definition"/>
      </w:pPr>
      <w:r w:rsidRPr="00583E1A">
        <w:rPr>
          <w:b/>
          <w:i/>
          <w:lang w:eastAsia="en-US"/>
        </w:rPr>
        <w:t>defined benefit interest</w:t>
      </w:r>
      <w:r w:rsidRPr="00583E1A">
        <w:rPr>
          <w:b/>
          <w:i/>
        </w:rPr>
        <w:t xml:space="preserve"> </w:t>
      </w:r>
      <w:r w:rsidRPr="00583E1A">
        <w:t>has the meaning given by section</w:t>
      </w:r>
      <w:r w:rsidR="00583E1A">
        <w:t> </w:t>
      </w:r>
      <w:r w:rsidRPr="00583E1A">
        <w:t>292</w:t>
      </w:r>
      <w:r w:rsidR="00583E1A">
        <w:noBreakHyphen/>
      </w:r>
      <w:r w:rsidRPr="00583E1A">
        <w:t>175.</w:t>
      </w:r>
    </w:p>
    <w:p w:rsidR="00887330" w:rsidRPr="00583E1A" w:rsidRDefault="00887330" w:rsidP="00887330">
      <w:pPr>
        <w:pStyle w:val="Definition"/>
      </w:pPr>
      <w:r w:rsidRPr="00583E1A">
        <w:rPr>
          <w:b/>
          <w:i/>
        </w:rPr>
        <w:t>demerged entity</w:t>
      </w:r>
      <w:r w:rsidRPr="00583E1A">
        <w:t xml:space="preserve"> has the meaning given by section</w:t>
      </w:r>
      <w:r w:rsidR="00583E1A">
        <w:t> </w:t>
      </w:r>
      <w:r w:rsidRPr="00583E1A">
        <w:t>125</w:t>
      </w:r>
      <w:r w:rsidR="00583E1A">
        <w:noBreakHyphen/>
      </w:r>
      <w:r w:rsidRPr="00583E1A">
        <w:t>70.</w:t>
      </w:r>
    </w:p>
    <w:p w:rsidR="00887330" w:rsidRPr="00583E1A" w:rsidRDefault="00887330" w:rsidP="00887330">
      <w:pPr>
        <w:pStyle w:val="Definition"/>
      </w:pPr>
      <w:r w:rsidRPr="00583E1A">
        <w:rPr>
          <w:b/>
          <w:i/>
        </w:rPr>
        <w:t>demerger</w:t>
      </w:r>
      <w:r w:rsidRPr="00583E1A">
        <w:t xml:space="preserve"> has the meaning given by section</w:t>
      </w:r>
      <w:r w:rsidR="00583E1A">
        <w:t> </w:t>
      </w:r>
      <w:r w:rsidRPr="00583E1A">
        <w:t>125</w:t>
      </w:r>
      <w:r w:rsidR="00583E1A">
        <w:noBreakHyphen/>
      </w:r>
      <w:r w:rsidRPr="00583E1A">
        <w:t>70.</w:t>
      </w:r>
    </w:p>
    <w:p w:rsidR="00887330" w:rsidRPr="00583E1A" w:rsidRDefault="00887330" w:rsidP="00887330">
      <w:pPr>
        <w:pStyle w:val="Definition"/>
      </w:pPr>
      <w:r w:rsidRPr="00583E1A">
        <w:rPr>
          <w:b/>
          <w:i/>
        </w:rPr>
        <w:lastRenderedPageBreak/>
        <w:t>demerger dividend</w:t>
      </w:r>
      <w:r w:rsidRPr="00583E1A">
        <w:t xml:space="preserve"> has the meaning given by subsection 6(1) of the </w:t>
      </w:r>
      <w:r w:rsidRPr="00583E1A">
        <w:rPr>
          <w:i/>
        </w:rPr>
        <w:t>Income Tax Assessment Act 1936</w:t>
      </w:r>
      <w:r w:rsidRPr="00583E1A">
        <w:t>.</w:t>
      </w:r>
    </w:p>
    <w:p w:rsidR="00887330" w:rsidRPr="00583E1A" w:rsidRDefault="00887330" w:rsidP="00887330">
      <w:pPr>
        <w:pStyle w:val="Definition"/>
      </w:pPr>
      <w:r w:rsidRPr="00583E1A">
        <w:rPr>
          <w:b/>
          <w:i/>
        </w:rPr>
        <w:t>demerger group</w:t>
      </w:r>
      <w:r w:rsidRPr="00583E1A">
        <w:t xml:space="preserve"> has the meaning given by section</w:t>
      </w:r>
      <w:r w:rsidR="00583E1A">
        <w:t> </w:t>
      </w:r>
      <w:r w:rsidRPr="00583E1A">
        <w:t>125</w:t>
      </w:r>
      <w:r w:rsidR="00583E1A">
        <w:noBreakHyphen/>
      </w:r>
      <w:r w:rsidRPr="00583E1A">
        <w:t>65.</w:t>
      </w:r>
    </w:p>
    <w:p w:rsidR="00887330" w:rsidRPr="00583E1A" w:rsidRDefault="00887330" w:rsidP="00887330">
      <w:pPr>
        <w:pStyle w:val="Definition"/>
      </w:pPr>
      <w:r w:rsidRPr="00583E1A">
        <w:rPr>
          <w:b/>
          <w:i/>
        </w:rPr>
        <w:t>demerger subsidiary</w:t>
      </w:r>
      <w:r w:rsidRPr="00583E1A">
        <w:t xml:space="preserve"> has the meaning given by section</w:t>
      </w:r>
      <w:r w:rsidR="00583E1A">
        <w:t> </w:t>
      </w:r>
      <w:r w:rsidRPr="00583E1A">
        <w:t>125</w:t>
      </w:r>
      <w:r w:rsidR="00583E1A">
        <w:noBreakHyphen/>
      </w:r>
      <w:r w:rsidRPr="00583E1A">
        <w:t>65.</w:t>
      </w:r>
    </w:p>
    <w:p w:rsidR="00887330" w:rsidRPr="00583E1A" w:rsidRDefault="00887330" w:rsidP="00887330">
      <w:pPr>
        <w:pStyle w:val="Definition"/>
      </w:pPr>
      <w:r w:rsidRPr="00583E1A">
        <w:rPr>
          <w:b/>
          <w:i/>
        </w:rPr>
        <w:t>demerging entity</w:t>
      </w:r>
      <w:r w:rsidRPr="00583E1A">
        <w:t xml:space="preserve"> has the meaning given by section</w:t>
      </w:r>
      <w:r w:rsidR="00583E1A">
        <w:t> </w:t>
      </w:r>
      <w:r w:rsidRPr="00583E1A">
        <w:t>125</w:t>
      </w:r>
      <w:r w:rsidR="00583E1A">
        <w:noBreakHyphen/>
      </w:r>
      <w:r w:rsidRPr="00583E1A">
        <w:t>70.</w:t>
      </w:r>
    </w:p>
    <w:p w:rsidR="00C33219" w:rsidRPr="00583E1A" w:rsidRDefault="00C33219" w:rsidP="00C33219">
      <w:pPr>
        <w:pStyle w:val="Definition"/>
      </w:pPr>
      <w:r w:rsidRPr="00583E1A">
        <w:rPr>
          <w:b/>
          <w:i/>
        </w:rPr>
        <w:t xml:space="preserve">departing </w:t>
      </w:r>
      <w:smartTag w:uri="urn:schemas-microsoft-com:office:smarttags" w:element="country-region">
        <w:smartTag w:uri="urn:schemas-microsoft-com:office:smarttags" w:element="place">
          <w:r w:rsidRPr="00583E1A">
            <w:rPr>
              <w:b/>
              <w:i/>
            </w:rPr>
            <w:t>Australia</w:t>
          </w:r>
        </w:smartTag>
      </w:smartTag>
      <w:r w:rsidRPr="00583E1A">
        <w:rPr>
          <w:b/>
          <w:i/>
        </w:rPr>
        <w:t xml:space="preserve"> superannuation payment</w:t>
      </w:r>
      <w:r w:rsidRPr="00583E1A">
        <w:t xml:space="preserve"> has the meaning given by section</w:t>
      </w:r>
      <w:r w:rsidR="00583E1A">
        <w:t> </w:t>
      </w:r>
      <w:r w:rsidRPr="00583E1A">
        <w:t>301</w:t>
      </w:r>
      <w:r w:rsidR="00583E1A">
        <w:noBreakHyphen/>
      </w:r>
      <w:r w:rsidRPr="00583E1A">
        <w:t>170.</w:t>
      </w:r>
    </w:p>
    <w:p w:rsidR="00887330" w:rsidRPr="00583E1A" w:rsidRDefault="00887330" w:rsidP="00887330">
      <w:pPr>
        <w:pStyle w:val="Definition"/>
      </w:pPr>
      <w:r w:rsidRPr="00583E1A">
        <w:rPr>
          <w:b/>
          <w:i/>
        </w:rPr>
        <w:t xml:space="preserve">depository entity </w:t>
      </w:r>
      <w:r w:rsidRPr="00583E1A">
        <w:t>has the meaning given by section</w:t>
      </w:r>
      <w:r w:rsidR="00583E1A">
        <w:t> </w:t>
      </w:r>
      <w:r w:rsidRPr="00583E1A">
        <w:t>166</w:t>
      </w:r>
      <w:r w:rsidR="00583E1A">
        <w:noBreakHyphen/>
      </w:r>
      <w:r w:rsidRPr="00583E1A">
        <w:t>260.</w:t>
      </w:r>
    </w:p>
    <w:p w:rsidR="00887330" w:rsidRPr="00583E1A" w:rsidRDefault="00887330" w:rsidP="00887330">
      <w:pPr>
        <w:pStyle w:val="Definition"/>
      </w:pPr>
      <w:r w:rsidRPr="00583E1A">
        <w:rPr>
          <w:b/>
          <w:i/>
        </w:rPr>
        <w:t>depreciating asset</w:t>
      </w:r>
      <w:r w:rsidRPr="00583E1A">
        <w:t xml:space="preserve"> has the meaning given by section</w:t>
      </w:r>
      <w:r w:rsidR="00583E1A">
        <w:t> </w:t>
      </w:r>
      <w:r w:rsidRPr="00583E1A">
        <w:t>40</w:t>
      </w:r>
      <w:r w:rsidR="00583E1A">
        <w:noBreakHyphen/>
      </w:r>
      <w:r w:rsidRPr="00583E1A">
        <w:t>30.</w:t>
      </w:r>
    </w:p>
    <w:p w:rsidR="00887330" w:rsidRPr="00583E1A" w:rsidRDefault="00887330" w:rsidP="00887330">
      <w:pPr>
        <w:pStyle w:val="Definition"/>
      </w:pPr>
      <w:r w:rsidRPr="00583E1A">
        <w:rPr>
          <w:b/>
          <w:i/>
        </w:rPr>
        <w:t>depreciating asset lease</w:t>
      </w:r>
      <w:r w:rsidRPr="00583E1A">
        <w:t xml:space="preserve">: a </w:t>
      </w:r>
      <w:r w:rsidRPr="00583E1A">
        <w:rPr>
          <w:b/>
          <w:i/>
        </w:rPr>
        <w:t>depreciating asset lease</w:t>
      </w:r>
      <w:r w:rsidRPr="00583E1A">
        <w:t xml:space="preserve"> is an agreement (including a renewal of an agreement) under which the entity that </w:t>
      </w:r>
      <w:r w:rsidR="00583E1A" w:rsidRPr="00583E1A">
        <w:rPr>
          <w:position w:val="6"/>
          <w:sz w:val="16"/>
        </w:rPr>
        <w:t>*</w:t>
      </w:r>
      <w:r w:rsidRPr="00583E1A">
        <w:t xml:space="preserve">holds the </w:t>
      </w:r>
      <w:r w:rsidR="00583E1A" w:rsidRPr="00583E1A">
        <w:rPr>
          <w:position w:val="6"/>
          <w:sz w:val="16"/>
        </w:rPr>
        <w:t>*</w:t>
      </w:r>
      <w:r w:rsidRPr="00583E1A">
        <w:t xml:space="preserve">depreciating asset grants a </w:t>
      </w:r>
      <w:r w:rsidR="00C034BC" w:rsidRPr="00214FF7">
        <w:rPr>
          <w:position w:val="6"/>
          <w:sz w:val="16"/>
        </w:rPr>
        <w:t>*</w:t>
      </w:r>
      <w:r w:rsidR="00C034BC" w:rsidRPr="00214FF7">
        <w:t>right to use</w:t>
      </w:r>
      <w:r w:rsidRPr="00583E1A">
        <w:t xml:space="preserve"> the asset to another entity. However, a </w:t>
      </w:r>
      <w:r w:rsidRPr="00583E1A">
        <w:rPr>
          <w:b/>
          <w:i/>
        </w:rPr>
        <w:t>depreciating asset lease</w:t>
      </w:r>
      <w:r w:rsidRPr="00583E1A">
        <w:t xml:space="preserve"> does not include a </w:t>
      </w:r>
      <w:r w:rsidR="00583E1A" w:rsidRPr="00583E1A">
        <w:rPr>
          <w:position w:val="6"/>
          <w:sz w:val="16"/>
        </w:rPr>
        <w:t>*</w:t>
      </w:r>
      <w:r w:rsidRPr="00583E1A">
        <w:t xml:space="preserve">hire purchase agreement or a </w:t>
      </w:r>
      <w:r w:rsidR="00583E1A" w:rsidRPr="00583E1A">
        <w:rPr>
          <w:position w:val="6"/>
          <w:sz w:val="16"/>
        </w:rPr>
        <w:t>*</w:t>
      </w:r>
      <w:r w:rsidRPr="00583E1A">
        <w:t>short</w:t>
      </w:r>
      <w:r w:rsidR="00583E1A">
        <w:noBreakHyphen/>
      </w:r>
      <w:r w:rsidRPr="00583E1A">
        <w:t>term hire agreement.</w:t>
      </w:r>
    </w:p>
    <w:p w:rsidR="00E602E1" w:rsidRPr="00202171" w:rsidRDefault="00E602E1" w:rsidP="00E602E1">
      <w:pPr>
        <w:pStyle w:val="Definition"/>
      </w:pPr>
      <w:r w:rsidRPr="00202171">
        <w:rPr>
          <w:b/>
          <w:i/>
        </w:rPr>
        <w:t>Deputy Commissioner</w:t>
      </w:r>
      <w:r w:rsidRPr="00202171">
        <w:t xml:space="preserve"> means a Deputy Commissioner of Taxation.</w:t>
      </w:r>
    </w:p>
    <w:p w:rsidR="008521C7" w:rsidRPr="00583E1A" w:rsidRDefault="008521C7" w:rsidP="008521C7">
      <w:pPr>
        <w:pStyle w:val="Definition"/>
      </w:pPr>
      <w:r w:rsidRPr="00583E1A">
        <w:rPr>
          <w:b/>
          <w:i/>
        </w:rPr>
        <w:t>derivative financial arrangement</w:t>
      </w:r>
      <w:r w:rsidRPr="00583E1A">
        <w:t xml:space="preserve"> has the meaning given by subsection 230</w:t>
      </w:r>
      <w:r w:rsidR="00583E1A">
        <w:noBreakHyphen/>
      </w:r>
      <w:r w:rsidRPr="00583E1A">
        <w:t>350(1).</w:t>
      </w:r>
    </w:p>
    <w:p w:rsidR="00887330" w:rsidRPr="00583E1A" w:rsidRDefault="00887330" w:rsidP="00887330">
      <w:pPr>
        <w:pStyle w:val="Definition"/>
        <w:rPr>
          <w:b/>
          <w:i/>
        </w:rPr>
      </w:pPr>
      <w:r w:rsidRPr="00583E1A">
        <w:rPr>
          <w:b/>
          <w:i/>
        </w:rPr>
        <w:t>derive</w:t>
      </w:r>
      <w:r w:rsidRPr="00583E1A">
        <w:t xml:space="preserve"> has a meaning affected by subsection 6</w:t>
      </w:r>
      <w:r w:rsidR="00583E1A">
        <w:noBreakHyphen/>
      </w:r>
      <w:r w:rsidRPr="00583E1A">
        <w:t>5(4).</w:t>
      </w:r>
    </w:p>
    <w:p w:rsidR="00887330" w:rsidRPr="00583E1A" w:rsidRDefault="00887330" w:rsidP="00887330">
      <w:pPr>
        <w:pStyle w:val="Definition"/>
      </w:pPr>
      <w:r w:rsidRPr="00583E1A">
        <w:rPr>
          <w:b/>
          <w:i/>
        </w:rPr>
        <w:t>design</w:t>
      </w:r>
      <w:r w:rsidRPr="00583E1A">
        <w:t xml:space="preserve"> of a uniform has the meaning given by subsection 34</w:t>
      </w:r>
      <w:r w:rsidR="00583E1A">
        <w:noBreakHyphen/>
      </w:r>
      <w:r w:rsidRPr="00583E1A">
        <w:t>25(2).</w:t>
      </w:r>
    </w:p>
    <w:p w:rsidR="009C445C" w:rsidRPr="00583E1A" w:rsidRDefault="009C445C" w:rsidP="009C445C">
      <w:pPr>
        <w:pStyle w:val="Definition"/>
      </w:pPr>
      <w:r w:rsidRPr="00583E1A">
        <w:rPr>
          <w:b/>
          <w:i/>
        </w:rPr>
        <w:t>development assistance</w:t>
      </w:r>
      <w:r w:rsidRPr="00583E1A">
        <w:t xml:space="preserve"> for a </w:t>
      </w:r>
      <w:r w:rsidR="00583E1A" w:rsidRPr="00583E1A">
        <w:rPr>
          <w:position w:val="6"/>
          <w:sz w:val="16"/>
        </w:rPr>
        <w:t>*</w:t>
      </w:r>
      <w:r w:rsidRPr="00583E1A">
        <w:t>film has the meaning given by section</w:t>
      </w:r>
      <w:r w:rsidR="00583E1A">
        <w:t> </w:t>
      </w:r>
      <w:r w:rsidRPr="00583E1A">
        <w:t>376</w:t>
      </w:r>
      <w:r w:rsidR="00583E1A">
        <w:noBreakHyphen/>
      </w:r>
      <w:r w:rsidRPr="00583E1A">
        <w:t>55.</w:t>
      </w:r>
    </w:p>
    <w:p w:rsidR="00887330" w:rsidRPr="00583E1A" w:rsidRDefault="00887330" w:rsidP="00887330">
      <w:pPr>
        <w:pStyle w:val="Definition"/>
      </w:pPr>
      <w:r w:rsidRPr="00583E1A">
        <w:rPr>
          <w:b/>
          <w:i/>
        </w:rPr>
        <w:t>development expenditure</w:t>
      </w:r>
      <w:r w:rsidRPr="00583E1A">
        <w:t xml:space="preserve"> for a </w:t>
      </w:r>
      <w:r w:rsidR="00583E1A" w:rsidRPr="00583E1A">
        <w:rPr>
          <w:position w:val="6"/>
          <w:sz w:val="16"/>
        </w:rPr>
        <w:t>*</w:t>
      </w:r>
      <w:r w:rsidRPr="00583E1A">
        <w:t>film means expenditure to the extent to which it is incurred in meeting the development costs for the film and includes expenditure to the extent to which it is incurred on any of the following:</w:t>
      </w:r>
    </w:p>
    <w:p w:rsidR="00887330" w:rsidRPr="00583E1A" w:rsidRDefault="00887330" w:rsidP="00887330">
      <w:pPr>
        <w:pStyle w:val="paragraph"/>
      </w:pPr>
      <w:r w:rsidRPr="00583E1A">
        <w:tab/>
        <w:t>(a)</w:t>
      </w:r>
      <w:r w:rsidRPr="00583E1A">
        <w:tab/>
        <w:t>location surveys and other activities undertaken to assess locations for possible use in the film;</w:t>
      </w:r>
    </w:p>
    <w:p w:rsidR="00887330" w:rsidRPr="00583E1A" w:rsidRDefault="00887330" w:rsidP="00887330">
      <w:pPr>
        <w:pStyle w:val="paragraph"/>
      </w:pPr>
      <w:r w:rsidRPr="00583E1A">
        <w:tab/>
        <w:t>(b)</w:t>
      </w:r>
      <w:r w:rsidRPr="00583E1A">
        <w:tab/>
        <w:t>storyboarding for the film;</w:t>
      </w:r>
    </w:p>
    <w:p w:rsidR="00887330" w:rsidRPr="00583E1A" w:rsidRDefault="00887330" w:rsidP="00887330">
      <w:pPr>
        <w:pStyle w:val="paragraph"/>
      </w:pPr>
      <w:r w:rsidRPr="00583E1A">
        <w:tab/>
        <w:t>(c)</w:t>
      </w:r>
      <w:r w:rsidRPr="00583E1A">
        <w:tab/>
        <w:t>scriptwriting for the film;</w:t>
      </w:r>
    </w:p>
    <w:p w:rsidR="00887330" w:rsidRPr="00583E1A" w:rsidRDefault="00887330" w:rsidP="00887330">
      <w:pPr>
        <w:pStyle w:val="paragraph"/>
      </w:pPr>
      <w:r w:rsidRPr="00583E1A">
        <w:lastRenderedPageBreak/>
        <w:tab/>
        <w:t>(d)</w:t>
      </w:r>
      <w:r w:rsidRPr="00583E1A">
        <w:tab/>
        <w:t>research for the film;</w:t>
      </w:r>
    </w:p>
    <w:p w:rsidR="00887330" w:rsidRPr="00583E1A" w:rsidRDefault="00887330" w:rsidP="00887330">
      <w:pPr>
        <w:pStyle w:val="paragraph"/>
      </w:pPr>
      <w:r w:rsidRPr="00583E1A">
        <w:tab/>
        <w:t>(e)</w:t>
      </w:r>
      <w:r w:rsidRPr="00583E1A">
        <w:tab/>
        <w:t>casting actors for the film;</w:t>
      </w:r>
    </w:p>
    <w:p w:rsidR="00887330" w:rsidRPr="00583E1A" w:rsidRDefault="00887330" w:rsidP="00887330">
      <w:pPr>
        <w:pStyle w:val="paragraph"/>
      </w:pPr>
      <w:r w:rsidRPr="00583E1A">
        <w:tab/>
        <w:t>(f)</w:t>
      </w:r>
      <w:r w:rsidRPr="00583E1A">
        <w:tab/>
        <w:t>developing a budget for the film;</w:t>
      </w:r>
    </w:p>
    <w:p w:rsidR="00887330" w:rsidRPr="00583E1A" w:rsidRDefault="00887330" w:rsidP="00887330">
      <w:pPr>
        <w:pStyle w:val="paragraph"/>
      </w:pPr>
      <w:r w:rsidRPr="00583E1A">
        <w:tab/>
        <w:t>(g)</w:t>
      </w:r>
      <w:r w:rsidRPr="00583E1A">
        <w:tab/>
        <w:t>developing a shooting schedule for the film.</w:t>
      </w:r>
    </w:p>
    <w:p w:rsidR="005A1DA3" w:rsidRPr="00583E1A" w:rsidRDefault="005A1DA3" w:rsidP="005A1DA3">
      <w:pPr>
        <w:pStyle w:val="Definition"/>
      </w:pPr>
      <w:r w:rsidRPr="00583E1A">
        <w:rPr>
          <w:b/>
          <w:i/>
        </w:rPr>
        <w:t>died in the line of duty</w:t>
      </w:r>
      <w:r w:rsidRPr="00583E1A">
        <w:t xml:space="preserve"> has the meaning given by subsection 302</w:t>
      </w:r>
      <w:r w:rsidR="00583E1A">
        <w:noBreakHyphen/>
      </w:r>
      <w:r w:rsidRPr="00583E1A">
        <w:t>195(3).</w:t>
      </w:r>
    </w:p>
    <w:p w:rsidR="00887330" w:rsidRPr="00583E1A" w:rsidRDefault="00887330" w:rsidP="00887330">
      <w:pPr>
        <w:pStyle w:val="Definition"/>
      </w:pPr>
      <w:r w:rsidRPr="00583E1A">
        <w:rPr>
          <w:b/>
          <w:i/>
        </w:rPr>
        <w:t>diminishing value method</w:t>
      </w:r>
      <w:r w:rsidRPr="00583E1A">
        <w:t xml:space="preserve"> has the meaning given by sections</w:t>
      </w:r>
      <w:r w:rsidR="00583E1A">
        <w:t> </w:t>
      </w:r>
      <w:r w:rsidRPr="00583E1A">
        <w:t>40</w:t>
      </w:r>
      <w:r w:rsidR="00583E1A">
        <w:noBreakHyphen/>
      </w:r>
      <w:r w:rsidRPr="00583E1A">
        <w:t>70 and 40</w:t>
      </w:r>
      <w:r w:rsidR="00583E1A">
        <w:noBreakHyphen/>
      </w:r>
      <w:r w:rsidRPr="00583E1A">
        <w:t>72.</w:t>
      </w:r>
    </w:p>
    <w:p w:rsidR="00887330" w:rsidRPr="00583E1A" w:rsidRDefault="00887330" w:rsidP="00887330">
      <w:pPr>
        <w:pStyle w:val="Definition"/>
      </w:pPr>
      <w:r w:rsidRPr="00583E1A">
        <w:rPr>
          <w:b/>
          <w:i/>
        </w:rPr>
        <w:t>dining facility</w:t>
      </w:r>
      <w:r w:rsidRPr="00583E1A">
        <w:rPr>
          <w:b/>
        </w:rPr>
        <w:t xml:space="preserve"> </w:t>
      </w:r>
      <w:r w:rsidRPr="00583E1A">
        <w:t>has the meaning given by section</w:t>
      </w:r>
      <w:r w:rsidR="00583E1A">
        <w:t> </w:t>
      </w:r>
      <w:r w:rsidRPr="00583E1A">
        <w:t>32</w:t>
      </w:r>
      <w:r w:rsidR="00583E1A">
        <w:noBreakHyphen/>
      </w:r>
      <w:r w:rsidRPr="00583E1A">
        <w:t>60.</w:t>
      </w:r>
    </w:p>
    <w:p w:rsidR="006D000A" w:rsidRPr="00583E1A" w:rsidRDefault="006D000A" w:rsidP="006D000A">
      <w:pPr>
        <w:pStyle w:val="Definition"/>
      </w:pPr>
      <w:r w:rsidRPr="00583E1A">
        <w:rPr>
          <w:b/>
          <w:i/>
        </w:rPr>
        <w:t>direct equity interests</w:t>
      </w:r>
      <w:r w:rsidRPr="00583E1A">
        <w:t xml:space="preserve"> in a company are </w:t>
      </w:r>
      <w:r w:rsidR="00583E1A" w:rsidRPr="00583E1A">
        <w:rPr>
          <w:position w:val="6"/>
          <w:sz w:val="16"/>
        </w:rPr>
        <w:t>*</w:t>
      </w:r>
      <w:r w:rsidRPr="00583E1A">
        <w:t>shares in the company.</w:t>
      </w:r>
    </w:p>
    <w:p w:rsidR="002E7CAA" w:rsidRPr="00583E1A" w:rsidRDefault="002E7CAA" w:rsidP="002E7CAA">
      <w:pPr>
        <w:pStyle w:val="Definition"/>
      </w:pPr>
      <w:r w:rsidRPr="00583E1A">
        <w:rPr>
          <w:b/>
          <w:i/>
        </w:rPr>
        <w:t>direct forestry expenditure</w:t>
      </w:r>
      <w:r w:rsidRPr="00583E1A">
        <w:t xml:space="preserve"> has the meaning given by section</w:t>
      </w:r>
      <w:r w:rsidR="00583E1A">
        <w:t> </w:t>
      </w:r>
      <w:r w:rsidRPr="00583E1A">
        <w:t>394</w:t>
      </w:r>
      <w:r w:rsidR="00583E1A">
        <w:noBreakHyphen/>
      </w:r>
      <w:r w:rsidRPr="00583E1A">
        <w:t>45.</w:t>
      </w:r>
    </w:p>
    <w:p w:rsidR="00B03506" w:rsidRPr="00583E1A" w:rsidRDefault="00B03506" w:rsidP="00B03506">
      <w:pPr>
        <w:pStyle w:val="Definition"/>
        <w:rPr>
          <w:b/>
          <w:i/>
        </w:rPr>
      </w:pPr>
      <w:r w:rsidRPr="00583E1A">
        <w:rPr>
          <w:b/>
          <w:i/>
        </w:rPr>
        <w:t>direct participation interest</w:t>
      </w:r>
      <w:r w:rsidRPr="00583E1A">
        <w:t xml:space="preserve"> has the meaning given by section</w:t>
      </w:r>
      <w:r w:rsidR="00583E1A">
        <w:t> </w:t>
      </w:r>
      <w:r w:rsidRPr="00583E1A">
        <w:t>960</w:t>
      </w:r>
      <w:r w:rsidR="00583E1A">
        <w:noBreakHyphen/>
      </w:r>
      <w:r w:rsidRPr="00583E1A">
        <w:t>190.</w:t>
      </w:r>
    </w:p>
    <w:p w:rsidR="00887330" w:rsidRPr="00583E1A" w:rsidRDefault="00887330" w:rsidP="00887330">
      <w:pPr>
        <w:pStyle w:val="Definition"/>
      </w:pPr>
      <w:r w:rsidRPr="00583E1A">
        <w:rPr>
          <w:b/>
          <w:i/>
        </w:rPr>
        <w:t>direct roll</w:t>
      </w:r>
      <w:r w:rsidR="00583E1A">
        <w:rPr>
          <w:b/>
          <w:i/>
        </w:rPr>
        <w:noBreakHyphen/>
      </w:r>
      <w:r w:rsidRPr="00583E1A">
        <w:rPr>
          <w:b/>
          <w:i/>
        </w:rPr>
        <w:t xml:space="preserve">over replacement </w:t>
      </w:r>
      <w:r w:rsidRPr="00583E1A">
        <w:t>has the meaning given by section</w:t>
      </w:r>
      <w:r w:rsidR="00583E1A">
        <w:t> </w:t>
      </w:r>
      <w:r w:rsidRPr="00583E1A">
        <w:t>723</w:t>
      </w:r>
      <w:r w:rsidR="00583E1A">
        <w:noBreakHyphen/>
      </w:r>
      <w:r w:rsidRPr="00583E1A">
        <w:t>110.</w:t>
      </w:r>
    </w:p>
    <w:p w:rsidR="008226AE" w:rsidRPr="00583E1A" w:rsidRDefault="008226AE" w:rsidP="008226AE">
      <w:pPr>
        <w:pStyle w:val="Definition"/>
      </w:pPr>
      <w:r w:rsidRPr="00583E1A">
        <w:rPr>
          <w:b/>
          <w:i/>
        </w:rPr>
        <w:t>direct small business participation percentage</w:t>
      </w:r>
      <w:r w:rsidRPr="00583E1A">
        <w:t xml:space="preserve"> has the meaning given by section</w:t>
      </w:r>
      <w:r w:rsidR="00583E1A">
        <w:t> </w:t>
      </w:r>
      <w:r w:rsidRPr="00583E1A">
        <w:t>152</w:t>
      </w:r>
      <w:r w:rsidR="00583E1A">
        <w:noBreakHyphen/>
      </w:r>
      <w:r w:rsidRPr="00583E1A">
        <w:t>70.</w:t>
      </w:r>
    </w:p>
    <w:p w:rsidR="00887330" w:rsidRPr="00583E1A" w:rsidRDefault="00887330" w:rsidP="00887330">
      <w:pPr>
        <w:pStyle w:val="Definition"/>
      </w:pPr>
      <w:r w:rsidRPr="00583E1A">
        <w:rPr>
          <w:b/>
          <w:i/>
        </w:rPr>
        <w:t>direct value shift</w:t>
      </w:r>
      <w:r w:rsidRPr="00583E1A">
        <w:t xml:space="preserve"> has the meaning given by section</w:t>
      </w:r>
      <w:r w:rsidR="00583E1A">
        <w:t> </w:t>
      </w:r>
      <w:r w:rsidRPr="00583E1A">
        <w:t>725</w:t>
      </w:r>
      <w:r w:rsidR="00583E1A">
        <w:noBreakHyphen/>
      </w:r>
      <w:r w:rsidRPr="00583E1A">
        <w:t>145.</w:t>
      </w:r>
    </w:p>
    <w:p w:rsidR="00887330" w:rsidRPr="00583E1A" w:rsidRDefault="00887330" w:rsidP="00887330">
      <w:pPr>
        <w:pStyle w:val="Definition"/>
      </w:pPr>
      <w:r w:rsidRPr="00583E1A">
        <w:rPr>
          <w:b/>
          <w:i/>
        </w:rPr>
        <w:t>direct voting percentage</w:t>
      </w:r>
      <w:r w:rsidRPr="00583E1A">
        <w:t xml:space="preserve"> in a company has the meaning given by section</w:t>
      </w:r>
      <w:r w:rsidR="00583E1A">
        <w:t> </w:t>
      </w:r>
      <w:r w:rsidRPr="00583E1A">
        <w:t>768</w:t>
      </w:r>
      <w:r w:rsidR="00583E1A">
        <w:noBreakHyphen/>
      </w:r>
      <w:r w:rsidRPr="00583E1A">
        <w:t>550.</w:t>
      </w:r>
    </w:p>
    <w:p w:rsidR="00887330" w:rsidRPr="00583E1A" w:rsidRDefault="00887330" w:rsidP="00887330">
      <w:pPr>
        <w:pStyle w:val="Definition"/>
      </w:pPr>
      <w:r w:rsidRPr="00583E1A">
        <w:rPr>
          <w:b/>
          <w:i/>
        </w:rPr>
        <w:t>disability policy</w:t>
      </w:r>
      <w:r w:rsidRPr="00583E1A">
        <w:t xml:space="preserve"> means a </w:t>
      </w:r>
      <w:r w:rsidR="00583E1A" w:rsidRPr="00583E1A">
        <w:rPr>
          <w:position w:val="6"/>
          <w:sz w:val="16"/>
        </w:rPr>
        <w:t>*</w:t>
      </w:r>
      <w:r w:rsidRPr="00583E1A">
        <w:t>life insurance policy under which a benefit is payable in the event of:</w:t>
      </w:r>
    </w:p>
    <w:p w:rsidR="00887330" w:rsidRPr="00583E1A" w:rsidRDefault="00887330" w:rsidP="00887330">
      <w:pPr>
        <w:pStyle w:val="paragraph"/>
      </w:pPr>
      <w:r w:rsidRPr="00583E1A">
        <w:tab/>
        <w:t>(a)</w:t>
      </w:r>
      <w:r w:rsidRPr="00583E1A">
        <w:tab/>
        <w:t xml:space="preserve">the death, by accident or by some other cause stated in the contract, of the person whose life is insured (the </w:t>
      </w:r>
      <w:r w:rsidRPr="00583E1A">
        <w:rPr>
          <w:b/>
          <w:i/>
        </w:rPr>
        <w:t>insured</w:t>
      </w:r>
      <w:r w:rsidRPr="00583E1A">
        <w:t>); or</w:t>
      </w:r>
    </w:p>
    <w:p w:rsidR="00887330" w:rsidRPr="00583E1A" w:rsidRDefault="00887330" w:rsidP="00887330">
      <w:pPr>
        <w:pStyle w:val="paragraph"/>
      </w:pPr>
      <w:r w:rsidRPr="00583E1A">
        <w:tab/>
        <w:t>(b)</w:t>
      </w:r>
      <w:r w:rsidRPr="00583E1A">
        <w:tab/>
        <w:t>injury to, or disability of, the insured as a result of accident or sickness; or</w:t>
      </w:r>
    </w:p>
    <w:p w:rsidR="00887330" w:rsidRPr="00583E1A" w:rsidRDefault="00887330" w:rsidP="00887330">
      <w:pPr>
        <w:pStyle w:val="paragraph"/>
      </w:pPr>
      <w:r w:rsidRPr="00583E1A">
        <w:tab/>
        <w:t>(c)</w:t>
      </w:r>
      <w:r w:rsidRPr="00583E1A">
        <w:tab/>
        <w:t>the insured being found to have a stated condition or disease;</w:t>
      </w:r>
    </w:p>
    <w:p w:rsidR="00887330" w:rsidRPr="00583E1A" w:rsidRDefault="00887330" w:rsidP="00887330">
      <w:pPr>
        <w:pStyle w:val="subsection2"/>
      </w:pPr>
      <w:r w:rsidRPr="00583E1A">
        <w:t xml:space="preserve">but does not include a contract of consumer credit insurance within the meaning of the </w:t>
      </w:r>
      <w:r w:rsidRPr="00583E1A">
        <w:rPr>
          <w:i/>
        </w:rPr>
        <w:t>Insurance Contracts Act 1984</w:t>
      </w:r>
      <w:r w:rsidRPr="00583E1A">
        <w:t xml:space="preserve">. </w:t>
      </w:r>
    </w:p>
    <w:p w:rsidR="00C33219" w:rsidRPr="00583E1A" w:rsidRDefault="00C33219" w:rsidP="00C33219">
      <w:pPr>
        <w:pStyle w:val="Definition"/>
      </w:pPr>
      <w:r w:rsidRPr="00583E1A">
        <w:rPr>
          <w:b/>
          <w:i/>
        </w:rPr>
        <w:lastRenderedPageBreak/>
        <w:t xml:space="preserve">disability superannuation benefit </w:t>
      </w:r>
      <w:r w:rsidRPr="00583E1A">
        <w:t xml:space="preserve">means a </w:t>
      </w:r>
      <w:r w:rsidR="00583E1A" w:rsidRPr="00583E1A">
        <w:rPr>
          <w:position w:val="6"/>
          <w:sz w:val="16"/>
        </w:rPr>
        <w:t>*</w:t>
      </w:r>
      <w:r w:rsidRPr="00583E1A">
        <w:t>superannuation benefit if:</w:t>
      </w:r>
    </w:p>
    <w:p w:rsidR="00C33219" w:rsidRPr="00583E1A" w:rsidRDefault="00C33219" w:rsidP="00C33219">
      <w:pPr>
        <w:pStyle w:val="paragraph"/>
      </w:pPr>
      <w:r w:rsidRPr="00583E1A">
        <w:tab/>
        <w:t>(a)</w:t>
      </w:r>
      <w:r w:rsidRPr="00583E1A">
        <w:tab/>
        <w:t xml:space="preserve">the benefit is paid to </w:t>
      </w:r>
      <w:r w:rsidR="00BA2134" w:rsidRPr="0089714E">
        <w:t>an individual</w:t>
      </w:r>
      <w:r w:rsidRPr="00583E1A">
        <w:t xml:space="preserve"> because he or she suffers from ill</w:t>
      </w:r>
      <w:r w:rsidR="00583E1A">
        <w:noBreakHyphen/>
      </w:r>
      <w:r w:rsidRPr="00583E1A">
        <w:t>health (whether physical or mental); and</w:t>
      </w:r>
    </w:p>
    <w:p w:rsidR="00C33219" w:rsidRPr="00583E1A" w:rsidRDefault="00C33219" w:rsidP="00C33219">
      <w:pPr>
        <w:pStyle w:val="paragraph"/>
      </w:pPr>
      <w:r w:rsidRPr="00583E1A">
        <w:tab/>
        <w:t>(b)</w:t>
      </w:r>
      <w:r w:rsidRPr="00583E1A">
        <w:tab/>
        <w:t>2 legally qualified medical practitioners have certified that, because of the ill</w:t>
      </w:r>
      <w:r w:rsidR="00583E1A">
        <w:noBreakHyphen/>
      </w:r>
      <w:r w:rsidRPr="00583E1A">
        <w:t xml:space="preserve">health, it is unlikely that the </w:t>
      </w:r>
      <w:r w:rsidR="008C70F4" w:rsidRPr="0089714E">
        <w:t>individual</w:t>
      </w:r>
      <w:r w:rsidRPr="00583E1A">
        <w:t xml:space="preserve"> can ever be </w:t>
      </w:r>
      <w:r w:rsidR="00583E1A" w:rsidRPr="00583E1A">
        <w:rPr>
          <w:position w:val="6"/>
          <w:sz w:val="16"/>
        </w:rPr>
        <w:t>*</w:t>
      </w:r>
      <w:r w:rsidRPr="00583E1A">
        <w:t>gainfully employed in a capacity for which he or she is reasonably qualified because of education, experience or training.</w:t>
      </w:r>
    </w:p>
    <w:p w:rsidR="00887330" w:rsidRPr="00583E1A" w:rsidRDefault="00887330" w:rsidP="00887330">
      <w:pPr>
        <w:pStyle w:val="Definition"/>
      </w:pPr>
      <w:r w:rsidRPr="00583E1A">
        <w:rPr>
          <w:b/>
          <w:i/>
        </w:rPr>
        <w:t>disaggregated attributable decrease</w:t>
      </w:r>
      <w:r w:rsidRPr="00583E1A">
        <w:t>: section</w:t>
      </w:r>
      <w:r w:rsidR="00583E1A">
        <w:t> </w:t>
      </w:r>
      <w:r w:rsidRPr="00583E1A">
        <w:t>727</w:t>
      </w:r>
      <w:r w:rsidR="00583E1A">
        <w:noBreakHyphen/>
      </w:r>
      <w:r w:rsidRPr="00583E1A">
        <w:t xml:space="preserve">775 sets out how to determine whether an </w:t>
      </w:r>
      <w:r w:rsidR="00583E1A" w:rsidRPr="00583E1A">
        <w:rPr>
          <w:position w:val="6"/>
          <w:sz w:val="16"/>
        </w:rPr>
        <w:t>*</w:t>
      </w:r>
      <w:r w:rsidRPr="00583E1A">
        <w:t xml:space="preserve">indirect value shift has produced a </w:t>
      </w:r>
      <w:r w:rsidRPr="00583E1A">
        <w:rPr>
          <w:b/>
          <w:i/>
        </w:rPr>
        <w:t>disaggregated attributable decrease</w:t>
      </w:r>
      <w:r w:rsidRPr="00583E1A">
        <w:t xml:space="preserve"> in the </w:t>
      </w:r>
      <w:r w:rsidR="00583E1A" w:rsidRPr="00583E1A">
        <w:rPr>
          <w:position w:val="6"/>
          <w:sz w:val="16"/>
        </w:rPr>
        <w:t>*</w:t>
      </w:r>
      <w:r w:rsidRPr="00583E1A">
        <w:t xml:space="preserve">market value of an </w:t>
      </w:r>
      <w:r w:rsidR="00583E1A" w:rsidRPr="00583E1A">
        <w:rPr>
          <w:position w:val="6"/>
          <w:sz w:val="16"/>
        </w:rPr>
        <w:t>*</w:t>
      </w:r>
      <w:r w:rsidRPr="00583E1A">
        <w:t>equity or loan interest.</w:t>
      </w:r>
    </w:p>
    <w:p w:rsidR="00887330" w:rsidRPr="00583E1A" w:rsidRDefault="00887330" w:rsidP="00887330">
      <w:pPr>
        <w:pStyle w:val="Definition"/>
      </w:pPr>
      <w:r w:rsidRPr="00583E1A">
        <w:rPr>
          <w:b/>
          <w:i/>
        </w:rPr>
        <w:t>disaggregated attributable increase</w:t>
      </w:r>
      <w:r w:rsidRPr="00583E1A">
        <w:t>: section</w:t>
      </w:r>
      <w:r w:rsidR="00583E1A">
        <w:t> </w:t>
      </w:r>
      <w:r w:rsidRPr="00583E1A">
        <w:t>727</w:t>
      </w:r>
      <w:r w:rsidR="00583E1A">
        <w:noBreakHyphen/>
      </w:r>
      <w:r w:rsidRPr="00583E1A">
        <w:t xml:space="preserve">805 sets out how to determine whether an </w:t>
      </w:r>
      <w:r w:rsidR="00583E1A" w:rsidRPr="00583E1A">
        <w:rPr>
          <w:position w:val="6"/>
          <w:sz w:val="16"/>
        </w:rPr>
        <w:t>*</w:t>
      </w:r>
      <w:r w:rsidRPr="00583E1A">
        <w:t xml:space="preserve">indirect value shift has produced a </w:t>
      </w:r>
      <w:r w:rsidRPr="00583E1A">
        <w:rPr>
          <w:b/>
          <w:i/>
        </w:rPr>
        <w:t>disaggregated attributable increase</w:t>
      </w:r>
      <w:r w:rsidRPr="00583E1A">
        <w:t xml:space="preserve"> in the </w:t>
      </w:r>
      <w:r w:rsidR="00583E1A" w:rsidRPr="00583E1A">
        <w:rPr>
          <w:position w:val="6"/>
          <w:sz w:val="16"/>
        </w:rPr>
        <w:t>*</w:t>
      </w:r>
      <w:r w:rsidRPr="00583E1A">
        <w:t xml:space="preserve">market value of an </w:t>
      </w:r>
      <w:r w:rsidR="00583E1A" w:rsidRPr="00583E1A">
        <w:rPr>
          <w:position w:val="6"/>
          <w:sz w:val="16"/>
        </w:rPr>
        <w:t>*</w:t>
      </w:r>
      <w:r w:rsidRPr="00583E1A">
        <w:t>equity or loan interest.</w:t>
      </w:r>
    </w:p>
    <w:p w:rsidR="00887330" w:rsidRPr="00583E1A" w:rsidRDefault="00887330" w:rsidP="00887330">
      <w:pPr>
        <w:pStyle w:val="Definition"/>
      </w:pPr>
      <w:r w:rsidRPr="00583E1A">
        <w:rPr>
          <w:b/>
          <w:i/>
        </w:rPr>
        <w:t>disallow</w:t>
      </w:r>
      <w:r w:rsidRPr="00583E1A">
        <w:t>:</w:t>
      </w:r>
    </w:p>
    <w:p w:rsidR="00887330" w:rsidRPr="00583E1A" w:rsidRDefault="00887330" w:rsidP="00887330">
      <w:pPr>
        <w:pStyle w:val="paragraph"/>
        <w:tabs>
          <w:tab w:val="left" w:pos="2268"/>
          <w:tab w:val="left" w:pos="3402"/>
          <w:tab w:val="left" w:pos="4536"/>
          <w:tab w:val="left" w:pos="5670"/>
          <w:tab w:val="left" w:pos="6804"/>
        </w:tabs>
      </w:pPr>
      <w:r w:rsidRPr="00583E1A">
        <w:tab/>
        <w:t>(a)</w:t>
      </w:r>
      <w:r w:rsidRPr="00583E1A">
        <w:tab/>
        <w:t xml:space="preserve">a </w:t>
      </w:r>
      <w:r w:rsidR="00583E1A" w:rsidRPr="00583E1A">
        <w:rPr>
          <w:position w:val="6"/>
          <w:sz w:val="16"/>
        </w:rPr>
        <w:t>*</w:t>
      </w:r>
      <w:r w:rsidRPr="00583E1A">
        <w:t>net capital loss—has the meaning given by section</w:t>
      </w:r>
      <w:r w:rsidR="00583E1A">
        <w:t> </w:t>
      </w:r>
      <w:r w:rsidRPr="00583E1A">
        <w:t>175</w:t>
      </w:r>
      <w:r w:rsidR="00583E1A">
        <w:noBreakHyphen/>
      </w:r>
      <w:r w:rsidRPr="00583E1A">
        <w:t>40; or</w:t>
      </w:r>
    </w:p>
    <w:p w:rsidR="00887330" w:rsidRPr="00583E1A" w:rsidRDefault="00887330" w:rsidP="00887330">
      <w:pPr>
        <w:pStyle w:val="paragraph"/>
        <w:tabs>
          <w:tab w:val="left" w:pos="2268"/>
          <w:tab w:val="left" w:pos="3402"/>
          <w:tab w:val="left" w:pos="4536"/>
          <w:tab w:val="left" w:pos="5670"/>
          <w:tab w:val="left" w:pos="6804"/>
        </w:tabs>
      </w:pPr>
      <w:r w:rsidRPr="00583E1A">
        <w:tab/>
        <w:t>(b)</w:t>
      </w:r>
      <w:r w:rsidRPr="00583E1A">
        <w:tab/>
        <w:t xml:space="preserve">a </w:t>
      </w:r>
      <w:r w:rsidR="00583E1A" w:rsidRPr="00583E1A">
        <w:rPr>
          <w:position w:val="6"/>
          <w:sz w:val="16"/>
        </w:rPr>
        <w:t>*</w:t>
      </w:r>
      <w:r w:rsidRPr="00583E1A">
        <w:t>capital loss—has the meaning given by section</w:t>
      </w:r>
      <w:r w:rsidR="00583E1A">
        <w:t> </w:t>
      </w:r>
      <w:r w:rsidRPr="00583E1A">
        <w:t>175</w:t>
      </w:r>
      <w:r w:rsidR="00583E1A">
        <w:noBreakHyphen/>
      </w:r>
      <w:r w:rsidRPr="00583E1A">
        <w:t>55.</w:t>
      </w:r>
    </w:p>
    <w:p w:rsidR="00B62CC8" w:rsidRPr="00583E1A" w:rsidRDefault="00B62CC8" w:rsidP="00B62CC8">
      <w:pPr>
        <w:pStyle w:val="Definition"/>
      </w:pPr>
      <w:r w:rsidRPr="00583E1A">
        <w:rPr>
          <w:b/>
          <w:i/>
        </w:rPr>
        <w:t>disallowed capital allowance percentage</w:t>
      </w:r>
      <w:r w:rsidRPr="00583E1A">
        <w:t xml:space="preserve"> has the meaning given by subsection 250</w:t>
      </w:r>
      <w:r w:rsidR="00583E1A">
        <w:noBreakHyphen/>
      </w:r>
      <w:r w:rsidRPr="00583E1A">
        <w:t>150(4).</w:t>
      </w:r>
    </w:p>
    <w:p w:rsidR="00887330" w:rsidRPr="00583E1A" w:rsidRDefault="00887330" w:rsidP="00887330">
      <w:pPr>
        <w:pStyle w:val="Definition"/>
      </w:pPr>
      <w:r w:rsidRPr="00583E1A">
        <w:rPr>
          <w:b/>
          <w:i/>
        </w:rPr>
        <w:t>discount</w:t>
      </w:r>
      <w:r w:rsidRPr="00583E1A">
        <w:t xml:space="preserve">: an </w:t>
      </w:r>
      <w:r w:rsidR="00583E1A" w:rsidRPr="00583E1A">
        <w:rPr>
          <w:position w:val="6"/>
          <w:sz w:val="16"/>
        </w:rPr>
        <w:t>*</w:t>
      </w:r>
      <w:r w:rsidRPr="00583E1A">
        <w:t xml:space="preserve">equity or loan interest is issued at a </w:t>
      </w:r>
      <w:r w:rsidRPr="00583E1A">
        <w:rPr>
          <w:b/>
          <w:i/>
        </w:rPr>
        <w:t>discount</w:t>
      </w:r>
      <w:r w:rsidRPr="00583E1A">
        <w:t xml:space="preserve"> as provided in section</w:t>
      </w:r>
      <w:r w:rsidR="00583E1A">
        <w:t> </w:t>
      </w:r>
      <w:r w:rsidRPr="00583E1A">
        <w:t>725</w:t>
      </w:r>
      <w:r w:rsidR="00583E1A">
        <w:noBreakHyphen/>
      </w:r>
      <w:r w:rsidRPr="00583E1A">
        <w:t>150.</w:t>
      </w:r>
    </w:p>
    <w:p w:rsidR="00887330" w:rsidRPr="00583E1A" w:rsidRDefault="00887330" w:rsidP="00887330">
      <w:pPr>
        <w:pStyle w:val="Definition"/>
      </w:pPr>
      <w:r w:rsidRPr="00583E1A">
        <w:rPr>
          <w:b/>
          <w:i/>
        </w:rPr>
        <w:t>discount capital gain</w:t>
      </w:r>
      <w:r w:rsidRPr="00583E1A">
        <w:t xml:space="preserve"> has the meaning given by Subdivision</w:t>
      </w:r>
      <w:r w:rsidR="00583E1A">
        <w:t> </w:t>
      </w:r>
      <w:r w:rsidRPr="00583E1A">
        <w:t>115</w:t>
      </w:r>
      <w:r w:rsidR="00583E1A">
        <w:noBreakHyphen/>
      </w:r>
      <w:r w:rsidRPr="00583E1A">
        <w:t>A.</w:t>
      </w:r>
    </w:p>
    <w:p w:rsidR="00887330" w:rsidRPr="00583E1A" w:rsidRDefault="00887330" w:rsidP="00887330">
      <w:pPr>
        <w:pStyle w:val="Definition"/>
      </w:pPr>
      <w:r w:rsidRPr="00583E1A">
        <w:rPr>
          <w:b/>
          <w:i/>
        </w:rPr>
        <w:t>discount percentage</w:t>
      </w:r>
      <w:r w:rsidRPr="00583E1A">
        <w:t xml:space="preserve"> has the meaning given by Subdivision</w:t>
      </w:r>
      <w:r w:rsidR="00583E1A">
        <w:t> </w:t>
      </w:r>
      <w:r w:rsidRPr="00583E1A">
        <w:t>115</w:t>
      </w:r>
      <w:r w:rsidR="00583E1A">
        <w:noBreakHyphen/>
      </w:r>
      <w:r w:rsidRPr="00583E1A">
        <w:t>B.</w:t>
      </w:r>
    </w:p>
    <w:p w:rsidR="00887330" w:rsidRPr="00583E1A" w:rsidRDefault="00887330" w:rsidP="00887330">
      <w:pPr>
        <w:pStyle w:val="Definition"/>
      </w:pPr>
      <w:r w:rsidRPr="00583E1A">
        <w:rPr>
          <w:b/>
          <w:i/>
        </w:rPr>
        <w:t>discretionary benefits</w:t>
      </w:r>
      <w:r w:rsidRPr="00583E1A">
        <w:t xml:space="preserve"> means investment account benefits (as defined by section</w:t>
      </w:r>
      <w:r w:rsidR="00583E1A">
        <w:t> </w:t>
      </w:r>
      <w:r w:rsidRPr="00583E1A">
        <w:t xml:space="preserve">14 of the </w:t>
      </w:r>
      <w:r w:rsidRPr="00583E1A">
        <w:rPr>
          <w:i/>
        </w:rPr>
        <w:t>Life Insurance Act 1995</w:t>
      </w:r>
      <w:r w:rsidRPr="00583E1A">
        <w:t>) that are regarded as non</w:t>
      </w:r>
      <w:r w:rsidR="00583E1A">
        <w:noBreakHyphen/>
      </w:r>
      <w:r w:rsidRPr="00583E1A">
        <w:t>participating benefits for the purposes of that Act solely because of the operation of Prudential Rules No.</w:t>
      </w:r>
      <w:r w:rsidR="00583E1A">
        <w:t> </w:t>
      </w:r>
      <w:r w:rsidRPr="00583E1A">
        <w:t>22 in force under section</w:t>
      </w:r>
      <w:r w:rsidR="00583E1A">
        <w:t> </w:t>
      </w:r>
      <w:r w:rsidRPr="00583E1A">
        <w:t>252 of that Act.</w:t>
      </w:r>
    </w:p>
    <w:p w:rsidR="00887330" w:rsidRPr="00583E1A" w:rsidRDefault="00887330" w:rsidP="00887330">
      <w:pPr>
        <w:pStyle w:val="Definition"/>
      </w:pPr>
      <w:r w:rsidRPr="00583E1A">
        <w:rPr>
          <w:b/>
          <w:i/>
        </w:rPr>
        <w:lastRenderedPageBreak/>
        <w:t>disease</w:t>
      </w:r>
      <w:r w:rsidRPr="00583E1A">
        <w:t xml:space="preserve"> has the meaning given by subsection 34</w:t>
      </w:r>
      <w:r w:rsidR="00583E1A">
        <w:noBreakHyphen/>
      </w:r>
      <w:r w:rsidRPr="00583E1A">
        <w:t>20(3).</w:t>
      </w:r>
    </w:p>
    <w:p w:rsidR="00887330" w:rsidRPr="00583E1A" w:rsidRDefault="00887330" w:rsidP="00887330">
      <w:pPr>
        <w:pStyle w:val="Definition"/>
      </w:pPr>
      <w:r w:rsidRPr="00583E1A">
        <w:rPr>
          <w:b/>
          <w:i/>
        </w:rPr>
        <w:t>disentitling event</w:t>
      </w:r>
      <w:r w:rsidRPr="00583E1A">
        <w:t xml:space="preserve"> has the meaning given by section</w:t>
      </w:r>
      <w:r w:rsidR="00583E1A">
        <w:t> </w:t>
      </w:r>
      <w:r w:rsidRPr="00583E1A">
        <w:t>385</w:t>
      </w:r>
      <w:r w:rsidR="00583E1A">
        <w:noBreakHyphen/>
      </w:r>
      <w:r w:rsidRPr="00583E1A">
        <w:t>163.</w:t>
      </w:r>
    </w:p>
    <w:p w:rsidR="00887330" w:rsidRPr="00583E1A" w:rsidRDefault="00887330" w:rsidP="00A756C6">
      <w:pPr>
        <w:pStyle w:val="Definition"/>
        <w:keepNext/>
        <w:keepLines/>
      </w:pPr>
      <w:r w:rsidRPr="00583E1A">
        <w:rPr>
          <w:b/>
          <w:i/>
        </w:rPr>
        <w:t>disposal year</w:t>
      </w:r>
      <w:r w:rsidRPr="00583E1A">
        <w:t xml:space="preserve"> has the meaning given by subsection 385</w:t>
      </w:r>
      <w:r w:rsidR="00583E1A">
        <w:noBreakHyphen/>
      </w:r>
      <w:r w:rsidRPr="00583E1A">
        <w:t>105(2).</w:t>
      </w:r>
    </w:p>
    <w:p w:rsidR="00887330" w:rsidRPr="00583E1A" w:rsidRDefault="00887330" w:rsidP="00887330">
      <w:pPr>
        <w:pStyle w:val="Definition"/>
      </w:pPr>
      <w:r w:rsidRPr="00583E1A">
        <w:rPr>
          <w:b/>
          <w:i/>
        </w:rPr>
        <w:t>dispose of</w:t>
      </w:r>
      <w:r w:rsidRPr="00583E1A">
        <w:t xml:space="preserve"> a </w:t>
      </w:r>
      <w:r w:rsidR="00583E1A" w:rsidRPr="00583E1A">
        <w:rPr>
          <w:position w:val="6"/>
          <w:sz w:val="16"/>
        </w:rPr>
        <w:t>*</w:t>
      </w:r>
      <w:r w:rsidRPr="00583E1A">
        <w:t xml:space="preserve">CGT asset: you </w:t>
      </w:r>
      <w:r w:rsidRPr="00583E1A">
        <w:rPr>
          <w:b/>
          <w:i/>
        </w:rPr>
        <w:t>dispose of</w:t>
      </w:r>
      <w:r w:rsidRPr="00583E1A">
        <w:t xml:space="preserve"> a CGT asset (in its capacity as a CGT asset) in the circumstances specified in section</w:t>
      </w:r>
      <w:r w:rsidR="00583E1A">
        <w:t> </w:t>
      </w:r>
      <w:r w:rsidRPr="00583E1A">
        <w:t>104</w:t>
      </w:r>
      <w:r w:rsidR="00583E1A">
        <w:noBreakHyphen/>
      </w:r>
      <w:r w:rsidRPr="00583E1A">
        <w:t>10.</w:t>
      </w:r>
    </w:p>
    <w:p w:rsidR="00887330" w:rsidRPr="00583E1A" w:rsidRDefault="00887330" w:rsidP="00887330">
      <w:pPr>
        <w:pStyle w:val="Definition"/>
      </w:pPr>
      <w:r w:rsidRPr="00583E1A">
        <w:rPr>
          <w:b/>
          <w:i/>
        </w:rPr>
        <w:t xml:space="preserve">distributable profits </w:t>
      </w:r>
      <w:r w:rsidRPr="00583E1A">
        <w:t>of a company has the meaning given by section</w:t>
      </w:r>
      <w:r w:rsidR="00583E1A">
        <w:t> </w:t>
      </w:r>
      <w:r w:rsidRPr="00583E1A">
        <w:t xml:space="preserve">317 of the </w:t>
      </w:r>
      <w:r w:rsidRPr="00583E1A">
        <w:rPr>
          <w:i/>
        </w:rPr>
        <w:t>Income Tax Assessment Act 1936</w:t>
      </w:r>
      <w:r w:rsidRPr="00583E1A">
        <w:t>.</w:t>
      </w:r>
    </w:p>
    <w:p w:rsidR="00887330" w:rsidRPr="00583E1A" w:rsidRDefault="00887330" w:rsidP="00887330">
      <w:pPr>
        <w:pStyle w:val="Definition"/>
      </w:pPr>
      <w:r w:rsidRPr="00583E1A">
        <w:rPr>
          <w:b/>
          <w:i/>
        </w:rPr>
        <w:t>distributing body</w:t>
      </w:r>
      <w:r w:rsidRPr="00583E1A">
        <w:t xml:space="preserve"> has the meaning given by section</w:t>
      </w:r>
      <w:r w:rsidR="00583E1A">
        <w:t> </w:t>
      </w:r>
      <w:r w:rsidRPr="00583E1A">
        <w:t xml:space="preserve">128U of the </w:t>
      </w:r>
      <w:r w:rsidRPr="00583E1A">
        <w:rPr>
          <w:i/>
        </w:rPr>
        <w:t>Income Tax Assessment Act 1936</w:t>
      </w:r>
      <w:r w:rsidRPr="00583E1A">
        <w:t>.</w:t>
      </w:r>
    </w:p>
    <w:p w:rsidR="00887330" w:rsidRPr="00583E1A" w:rsidRDefault="00887330" w:rsidP="00887330">
      <w:pPr>
        <w:pStyle w:val="Definition"/>
      </w:pPr>
      <w:r w:rsidRPr="00583E1A">
        <w:rPr>
          <w:b/>
          <w:i/>
        </w:rPr>
        <w:t>distribution</w:t>
      </w:r>
      <w:r w:rsidRPr="00583E1A">
        <w:t>,</w:t>
      </w:r>
      <w:r w:rsidRPr="00583E1A">
        <w:rPr>
          <w:b/>
          <w:i/>
        </w:rPr>
        <w:t xml:space="preserve"> </w:t>
      </w:r>
      <w:r w:rsidRPr="00583E1A">
        <w:t xml:space="preserve">by a </w:t>
      </w:r>
      <w:r w:rsidR="00583E1A" w:rsidRPr="00583E1A">
        <w:rPr>
          <w:position w:val="6"/>
          <w:sz w:val="16"/>
        </w:rPr>
        <w:t>*</w:t>
      </w:r>
      <w:r w:rsidRPr="00583E1A">
        <w:t>corporate tax entity, has the meaning given by section</w:t>
      </w:r>
      <w:r w:rsidR="00583E1A">
        <w:t> </w:t>
      </w:r>
      <w:r w:rsidRPr="00583E1A">
        <w:t>960</w:t>
      </w:r>
      <w:r w:rsidR="00583E1A">
        <w:noBreakHyphen/>
      </w:r>
      <w:r w:rsidRPr="00583E1A">
        <w:t>120.</w:t>
      </w:r>
    </w:p>
    <w:p w:rsidR="00887330" w:rsidRPr="00583E1A" w:rsidRDefault="00887330" w:rsidP="00887330">
      <w:pPr>
        <w:pStyle w:val="Definition"/>
      </w:pPr>
      <w:r w:rsidRPr="00583E1A">
        <w:rPr>
          <w:b/>
          <w:i/>
        </w:rPr>
        <w:t>distribution event</w:t>
      </w:r>
      <w:r w:rsidRPr="00583E1A">
        <w:t xml:space="preserve"> has the meaning given by subsection 207</w:t>
      </w:r>
      <w:r w:rsidR="00583E1A">
        <w:noBreakHyphen/>
      </w:r>
      <w:r w:rsidRPr="00583E1A">
        <w:t>120(5).</w:t>
      </w:r>
    </w:p>
    <w:p w:rsidR="00887330" w:rsidRPr="00583E1A" w:rsidRDefault="00887330" w:rsidP="00887330">
      <w:pPr>
        <w:pStyle w:val="Definition"/>
      </w:pPr>
      <w:r w:rsidRPr="00583E1A">
        <w:rPr>
          <w:b/>
          <w:i/>
        </w:rPr>
        <w:t xml:space="preserve">distribution statement </w:t>
      </w:r>
      <w:r w:rsidRPr="00583E1A">
        <w:t>has the meaning given by section</w:t>
      </w:r>
      <w:r w:rsidR="00583E1A">
        <w:t> </w:t>
      </w:r>
      <w:r w:rsidRPr="00583E1A">
        <w:t>202</w:t>
      </w:r>
      <w:r w:rsidR="00583E1A">
        <w:noBreakHyphen/>
      </w:r>
      <w:r w:rsidRPr="00583E1A">
        <w:t>80.</w:t>
      </w:r>
    </w:p>
    <w:p w:rsidR="00A517D0" w:rsidRPr="00583E1A" w:rsidRDefault="00A517D0" w:rsidP="00A517D0">
      <w:pPr>
        <w:pStyle w:val="Definition"/>
      </w:pPr>
      <w:r w:rsidRPr="00583E1A">
        <w:rPr>
          <w:b/>
          <w:i/>
        </w:rPr>
        <w:t>divestiture registration requirement</w:t>
      </w:r>
      <w:r w:rsidRPr="00583E1A">
        <w:t xml:space="preserve">, in relation to an </w:t>
      </w:r>
      <w:r w:rsidR="00583E1A" w:rsidRPr="00583E1A">
        <w:rPr>
          <w:position w:val="6"/>
          <w:sz w:val="16"/>
        </w:rPr>
        <w:t>*</w:t>
      </w:r>
      <w:r w:rsidRPr="00583E1A">
        <w:t>ESVCLP, has the meaning given by subsection 9</w:t>
      </w:r>
      <w:r w:rsidR="00583E1A">
        <w:noBreakHyphen/>
      </w:r>
      <w:r w:rsidRPr="00583E1A">
        <w:t xml:space="preserve">3(3) of the </w:t>
      </w:r>
      <w:r w:rsidRPr="00583E1A">
        <w:rPr>
          <w:i/>
        </w:rPr>
        <w:t>Venture Capital Act 2002</w:t>
      </w:r>
      <w:r w:rsidRPr="00583E1A">
        <w:t>.</w:t>
      </w:r>
    </w:p>
    <w:p w:rsidR="00887330" w:rsidRPr="00583E1A" w:rsidRDefault="00887330" w:rsidP="00887330">
      <w:pPr>
        <w:pStyle w:val="Definition"/>
      </w:pPr>
      <w:r w:rsidRPr="00583E1A">
        <w:rPr>
          <w:b/>
          <w:i/>
        </w:rPr>
        <w:t>dividend</w:t>
      </w:r>
      <w:r w:rsidRPr="00583E1A">
        <w:t xml:space="preserve"> has the meaning given by subsections 6(1) and (4) and 6BA(5) and section</w:t>
      </w:r>
      <w:r w:rsidR="00583E1A">
        <w:t> </w:t>
      </w:r>
      <w:r w:rsidRPr="00583E1A">
        <w:t xml:space="preserve">94L of the </w:t>
      </w:r>
      <w:r w:rsidRPr="00583E1A">
        <w:rPr>
          <w:i/>
        </w:rPr>
        <w:t>Income Tax Assessment Act 1936</w:t>
      </w:r>
      <w:r w:rsidRPr="00583E1A">
        <w:t>.</w:t>
      </w:r>
    </w:p>
    <w:p w:rsidR="00887330" w:rsidRPr="00583E1A" w:rsidRDefault="00887330" w:rsidP="00887330">
      <w:pPr>
        <w:pStyle w:val="Definition"/>
      </w:pPr>
      <w:r w:rsidRPr="00583E1A">
        <w:rPr>
          <w:b/>
          <w:i/>
        </w:rPr>
        <w:t xml:space="preserve">dividend stake </w:t>
      </w:r>
      <w:r w:rsidRPr="00583E1A">
        <w:t>has the meaning given by section</w:t>
      </w:r>
      <w:r w:rsidR="00583E1A">
        <w:t> </w:t>
      </w:r>
      <w:r w:rsidRPr="00583E1A">
        <w:t>166</w:t>
      </w:r>
      <w:r w:rsidR="00583E1A">
        <w:noBreakHyphen/>
      </w:r>
      <w:r w:rsidRPr="00583E1A">
        <w:t>235.</w:t>
      </w:r>
    </w:p>
    <w:p w:rsidR="00887330" w:rsidRPr="00583E1A" w:rsidRDefault="00887330" w:rsidP="00887330">
      <w:pPr>
        <w:pStyle w:val="Definition"/>
      </w:pPr>
      <w:r w:rsidRPr="00583E1A">
        <w:rPr>
          <w:b/>
          <w:i/>
        </w:rPr>
        <w:t xml:space="preserve">dividend stripping operation </w:t>
      </w:r>
      <w:r w:rsidRPr="00583E1A">
        <w:t>has the meaning given by section</w:t>
      </w:r>
      <w:r w:rsidR="00583E1A">
        <w:t> </w:t>
      </w:r>
      <w:r w:rsidRPr="00583E1A">
        <w:t>207</w:t>
      </w:r>
      <w:r w:rsidR="00583E1A">
        <w:noBreakHyphen/>
      </w:r>
      <w:r w:rsidRPr="00583E1A">
        <w:t>155.</w:t>
      </w:r>
    </w:p>
    <w:p w:rsidR="008521C7" w:rsidRPr="00583E1A" w:rsidRDefault="008521C7" w:rsidP="008521C7">
      <w:pPr>
        <w:pStyle w:val="Definition"/>
      </w:pPr>
      <w:r w:rsidRPr="00583E1A">
        <w:rPr>
          <w:b/>
          <w:i/>
        </w:rPr>
        <w:t>Division</w:t>
      </w:r>
      <w:r w:rsidR="00583E1A">
        <w:rPr>
          <w:b/>
          <w:i/>
        </w:rPr>
        <w:t> </w:t>
      </w:r>
      <w:r w:rsidRPr="00583E1A">
        <w:rPr>
          <w:b/>
          <w:i/>
        </w:rPr>
        <w:t>230 financial arrangement</w:t>
      </w:r>
      <w:r w:rsidRPr="00583E1A">
        <w:t xml:space="preserve">: a </w:t>
      </w:r>
      <w:r w:rsidR="00583E1A" w:rsidRPr="00583E1A">
        <w:rPr>
          <w:position w:val="6"/>
          <w:sz w:val="16"/>
        </w:rPr>
        <w:t>*</w:t>
      </w:r>
      <w:r w:rsidRPr="00583E1A">
        <w:t xml:space="preserve">financial arrangement is a </w:t>
      </w:r>
      <w:r w:rsidRPr="00583E1A">
        <w:rPr>
          <w:b/>
          <w:i/>
        </w:rPr>
        <w:t>Division</w:t>
      </w:r>
      <w:r w:rsidR="00583E1A">
        <w:rPr>
          <w:b/>
          <w:i/>
        </w:rPr>
        <w:t> </w:t>
      </w:r>
      <w:r w:rsidRPr="00583E1A">
        <w:rPr>
          <w:b/>
          <w:i/>
        </w:rPr>
        <w:t>230 financial arrangement</w:t>
      </w:r>
      <w:r w:rsidRPr="00583E1A">
        <w:t xml:space="preserve"> if Division</w:t>
      </w:r>
      <w:r w:rsidR="00583E1A">
        <w:t> </w:t>
      </w:r>
      <w:r w:rsidRPr="00583E1A">
        <w:t>230 applies in relation to your gains and losses from the arrangement.</w:t>
      </w:r>
    </w:p>
    <w:p w:rsidR="00252525" w:rsidRPr="00583E1A" w:rsidRDefault="00252525" w:rsidP="00252525">
      <w:pPr>
        <w:pStyle w:val="Definition"/>
      </w:pPr>
      <w:r w:rsidRPr="00583E1A">
        <w:rPr>
          <w:b/>
          <w:i/>
        </w:rPr>
        <w:t>Division</w:t>
      </w:r>
      <w:r w:rsidR="00583E1A">
        <w:rPr>
          <w:b/>
          <w:i/>
        </w:rPr>
        <w:t> </w:t>
      </w:r>
      <w:r w:rsidRPr="00583E1A">
        <w:rPr>
          <w:b/>
          <w:i/>
        </w:rPr>
        <w:t>230 starting value</w:t>
      </w:r>
      <w:r w:rsidRPr="00583E1A">
        <w:t>:</w:t>
      </w:r>
    </w:p>
    <w:p w:rsidR="00252525" w:rsidRPr="00583E1A" w:rsidRDefault="00252525" w:rsidP="00252525">
      <w:pPr>
        <w:pStyle w:val="paragraph"/>
      </w:pPr>
      <w:r w:rsidRPr="00583E1A">
        <w:tab/>
        <w:t>(a)</w:t>
      </w:r>
      <w:r w:rsidRPr="00583E1A">
        <w:tab/>
        <w:t xml:space="preserve">the </w:t>
      </w:r>
      <w:r w:rsidRPr="00583E1A">
        <w:rPr>
          <w:b/>
          <w:i/>
        </w:rPr>
        <w:t>Division</w:t>
      </w:r>
      <w:r w:rsidR="00583E1A">
        <w:rPr>
          <w:b/>
          <w:i/>
        </w:rPr>
        <w:t> </w:t>
      </w:r>
      <w:r w:rsidRPr="00583E1A">
        <w:rPr>
          <w:b/>
          <w:i/>
        </w:rPr>
        <w:t>230 starting value</w:t>
      </w:r>
      <w:r w:rsidRPr="00583E1A">
        <w:t xml:space="preserve"> of an asset or liability that is or is part of a </w:t>
      </w:r>
      <w:r w:rsidR="00583E1A" w:rsidRPr="00583E1A">
        <w:rPr>
          <w:position w:val="6"/>
          <w:sz w:val="16"/>
        </w:rPr>
        <w:t>*</w:t>
      </w:r>
      <w:r w:rsidRPr="00583E1A">
        <w:t>Division</w:t>
      </w:r>
      <w:r w:rsidR="00583E1A">
        <w:t> </w:t>
      </w:r>
      <w:r w:rsidRPr="00583E1A">
        <w:t>230 financial arrangement to which Subdivision</w:t>
      </w:r>
      <w:r w:rsidR="00583E1A">
        <w:t> </w:t>
      </w:r>
      <w:r w:rsidRPr="00583E1A">
        <w:t>230</w:t>
      </w:r>
      <w:r w:rsidR="00583E1A">
        <w:noBreakHyphen/>
      </w:r>
      <w:r w:rsidRPr="00583E1A">
        <w:t xml:space="preserve">C (fair value method) applies is the amount </w:t>
      </w:r>
      <w:r w:rsidRPr="00583E1A">
        <w:lastRenderedPageBreak/>
        <w:t>of the asset or the amount of the liability according to the relevant standards mentioned in section</w:t>
      </w:r>
      <w:r w:rsidR="00583E1A">
        <w:t> </w:t>
      </w:r>
      <w:r w:rsidRPr="00583E1A">
        <w:t>230</w:t>
      </w:r>
      <w:r w:rsidR="00583E1A">
        <w:noBreakHyphen/>
      </w:r>
      <w:r w:rsidRPr="00583E1A">
        <w:t>230 that apply in relation to the arrangement; and</w:t>
      </w:r>
    </w:p>
    <w:p w:rsidR="00252525" w:rsidRPr="00583E1A" w:rsidRDefault="00252525" w:rsidP="00A504C5">
      <w:pPr>
        <w:pStyle w:val="paragraph"/>
        <w:keepNext/>
        <w:keepLines/>
      </w:pPr>
      <w:r w:rsidRPr="00583E1A">
        <w:tab/>
        <w:t>(b)</w:t>
      </w:r>
      <w:r w:rsidRPr="00583E1A">
        <w:tab/>
        <w:t xml:space="preserve">the </w:t>
      </w:r>
      <w:r w:rsidRPr="00583E1A">
        <w:rPr>
          <w:b/>
          <w:i/>
        </w:rPr>
        <w:t>Division</w:t>
      </w:r>
      <w:r w:rsidR="00583E1A">
        <w:rPr>
          <w:b/>
          <w:i/>
        </w:rPr>
        <w:t> </w:t>
      </w:r>
      <w:r w:rsidRPr="00583E1A">
        <w:rPr>
          <w:b/>
          <w:i/>
        </w:rPr>
        <w:t>230 starting value</w:t>
      </w:r>
      <w:r w:rsidRPr="00583E1A">
        <w:t xml:space="preserve"> of an asset or liability that is or is part of a Division</w:t>
      </w:r>
      <w:r w:rsidR="00583E1A">
        <w:t> </w:t>
      </w:r>
      <w:r w:rsidRPr="00583E1A">
        <w:t>230 financial arrangement to which Subdivision</w:t>
      </w:r>
      <w:r w:rsidR="00583E1A">
        <w:t> </w:t>
      </w:r>
      <w:r w:rsidRPr="00583E1A">
        <w:t>230</w:t>
      </w:r>
      <w:r w:rsidR="00583E1A">
        <w:noBreakHyphen/>
      </w:r>
      <w:r w:rsidRPr="00583E1A">
        <w:t>D (foreign exchange retranslation method) applies is the value of the asset or the amount of the liability according to the relevant standards mentioned in section</w:t>
      </w:r>
      <w:r w:rsidR="00583E1A">
        <w:t> </w:t>
      </w:r>
      <w:r w:rsidRPr="00583E1A">
        <w:t>230</w:t>
      </w:r>
      <w:r w:rsidR="00583E1A">
        <w:noBreakHyphen/>
      </w:r>
      <w:r w:rsidRPr="00583E1A">
        <w:t>280 that apply in relation to the arrangement; and</w:t>
      </w:r>
    </w:p>
    <w:p w:rsidR="00252525" w:rsidRPr="00583E1A" w:rsidRDefault="00252525" w:rsidP="00252525">
      <w:pPr>
        <w:pStyle w:val="paragraph"/>
      </w:pPr>
      <w:r w:rsidRPr="00583E1A">
        <w:tab/>
        <w:t>(c)</w:t>
      </w:r>
      <w:r w:rsidRPr="00583E1A">
        <w:tab/>
        <w:t xml:space="preserve">the </w:t>
      </w:r>
      <w:r w:rsidRPr="00583E1A">
        <w:rPr>
          <w:b/>
          <w:i/>
        </w:rPr>
        <w:t>Division</w:t>
      </w:r>
      <w:r w:rsidR="00583E1A">
        <w:rPr>
          <w:b/>
          <w:i/>
        </w:rPr>
        <w:t> </w:t>
      </w:r>
      <w:r w:rsidRPr="00583E1A">
        <w:rPr>
          <w:b/>
          <w:i/>
        </w:rPr>
        <w:t>230 starting value</w:t>
      </w:r>
      <w:r w:rsidRPr="00583E1A">
        <w:t xml:space="preserve"> of an asset or liability that is or is part of a Division</w:t>
      </w:r>
      <w:r w:rsidR="00583E1A">
        <w:t> </w:t>
      </w:r>
      <w:r w:rsidRPr="00583E1A">
        <w:t>230 financial arrangement to which Subdivision</w:t>
      </w:r>
      <w:r w:rsidR="00583E1A">
        <w:t> </w:t>
      </w:r>
      <w:r w:rsidRPr="00583E1A">
        <w:t>230</w:t>
      </w:r>
      <w:r w:rsidR="00583E1A">
        <w:noBreakHyphen/>
      </w:r>
      <w:r w:rsidRPr="00583E1A">
        <w:t>F (reliance on financial reports method) applies is the value of the asset or the amount of the liability according to the relevant standards mentioned in section</w:t>
      </w:r>
      <w:r w:rsidR="00583E1A">
        <w:t> </w:t>
      </w:r>
      <w:r w:rsidRPr="00583E1A">
        <w:t>230</w:t>
      </w:r>
      <w:r w:rsidR="00583E1A">
        <w:noBreakHyphen/>
      </w:r>
      <w:r w:rsidRPr="00583E1A">
        <w:t>420 that apply in relation to the arrangement.</w:t>
      </w:r>
    </w:p>
    <w:p w:rsidR="00887330" w:rsidRPr="00583E1A" w:rsidRDefault="00887330" w:rsidP="00887330">
      <w:pPr>
        <w:pStyle w:val="Definition"/>
      </w:pPr>
      <w:r w:rsidRPr="00583E1A">
        <w:rPr>
          <w:b/>
          <w:i/>
        </w:rPr>
        <w:t>Division</w:t>
      </w:r>
      <w:r w:rsidR="00583E1A">
        <w:rPr>
          <w:b/>
          <w:i/>
        </w:rPr>
        <w:t> </w:t>
      </w:r>
      <w:r w:rsidRPr="00583E1A">
        <w:rPr>
          <w:b/>
          <w:i/>
        </w:rPr>
        <w:t>405 payment</w:t>
      </w:r>
      <w:r w:rsidRPr="00583E1A">
        <w:t xml:space="preserve"> has the meaning given by section</w:t>
      </w:r>
      <w:r w:rsidR="00583E1A">
        <w:t> </w:t>
      </w:r>
      <w:r w:rsidRPr="00583E1A">
        <w:t>405</w:t>
      </w:r>
      <w:r w:rsidR="00583E1A">
        <w:noBreakHyphen/>
      </w:r>
      <w:r w:rsidRPr="00583E1A">
        <w:t>5 in Schedule</w:t>
      </w:r>
      <w:r w:rsidR="00583E1A">
        <w:t> </w:t>
      </w:r>
      <w:r w:rsidRPr="00583E1A">
        <w:t xml:space="preserve">1 to the </w:t>
      </w:r>
      <w:r w:rsidRPr="00583E1A">
        <w:rPr>
          <w:i/>
        </w:rPr>
        <w:t>Taxation Administration Act 1953</w:t>
      </w:r>
      <w:r w:rsidRPr="00583E1A">
        <w:t>.</w:t>
      </w:r>
    </w:p>
    <w:p w:rsidR="00887330" w:rsidRPr="00583E1A" w:rsidRDefault="00887330" w:rsidP="00887330">
      <w:pPr>
        <w:pStyle w:val="Definition"/>
      </w:pPr>
      <w:r w:rsidRPr="00583E1A">
        <w:rPr>
          <w:b/>
          <w:i/>
        </w:rPr>
        <w:t>Division</w:t>
      </w:r>
      <w:r w:rsidR="00583E1A">
        <w:rPr>
          <w:b/>
          <w:i/>
        </w:rPr>
        <w:t> </w:t>
      </w:r>
      <w:r w:rsidRPr="00583E1A">
        <w:rPr>
          <w:b/>
          <w:i/>
        </w:rPr>
        <w:t>405 report</w:t>
      </w:r>
      <w:r w:rsidRPr="00583E1A">
        <w:t xml:space="preserve"> has the meaning given by section</w:t>
      </w:r>
      <w:r w:rsidR="00583E1A">
        <w:t> </w:t>
      </w:r>
      <w:r w:rsidRPr="00583E1A">
        <w:t>405</w:t>
      </w:r>
      <w:r w:rsidR="00583E1A">
        <w:noBreakHyphen/>
      </w:r>
      <w:r w:rsidRPr="00583E1A">
        <w:t>10 in Schedule</w:t>
      </w:r>
      <w:r w:rsidR="00583E1A">
        <w:t> </w:t>
      </w:r>
      <w:r w:rsidRPr="00583E1A">
        <w:t xml:space="preserve">1 to the </w:t>
      </w:r>
      <w:r w:rsidRPr="00583E1A">
        <w:rPr>
          <w:i/>
        </w:rPr>
        <w:t>Taxation Administration Act 1953</w:t>
      </w:r>
      <w:r w:rsidRPr="00583E1A">
        <w:t>.</w:t>
      </w:r>
    </w:p>
    <w:p w:rsidR="00887330" w:rsidRPr="00583E1A" w:rsidRDefault="00887330" w:rsidP="00887330">
      <w:pPr>
        <w:pStyle w:val="Definition"/>
      </w:pPr>
      <w:r w:rsidRPr="00583E1A">
        <w:rPr>
          <w:b/>
          <w:i/>
        </w:rPr>
        <w:t>Division</w:t>
      </w:r>
      <w:r w:rsidR="00583E1A">
        <w:rPr>
          <w:b/>
          <w:i/>
        </w:rPr>
        <w:t> </w:t>
      </w:r>
      <w:r w:rsidRPr="00583E1A">
        <w:rPr>
          <w:b/>
          <w:i/>
        </w:rPr>
        <w:t>410 payment</w:t>
      </w:r>
      <w:r w:rsidRPr="00583E1A">
        <w:t xml:space="preserve"> has the meaning given by section</w:t>
      </w:r>
      <w:r w:rsidR="00583E1A">
        <w:t> </w:t>
      </w:r>
      <w:r w:rsidRPr="00583E1A">
        <w:t>410</w:t>
      </w:r>
      <w:r w:rsidR="00583E1A">
        <w:noBreakHyphen/>
      </w:r>
      <w:r w:rsidRPr="00583E1A">
        <w:t>5 in Schedule</w:t>
      </w:r>
      <w:r w:rsidR="00583E1A">
        <w:t> </w:t>
      </w:r>
      <w:r w:rsidRPr="00583E1A">
        <w:t xml:space="preserve">1 to the </w:t>
      </w:r>
      <w:r w:rsidRPr="00583E1A">
        <w:rPr>
          <w:i/>
        </w:rPr>
        <w:t>Taxation Administration Act 1953</w:t>
      </w:r>
      <w:r w:rsidRPr="00583E1A">
        <w:t>.</w:t>
      </w:r>
    </w:p>
    <w:p w:rsidR="00887330" w:rsidRPr="00583E1A" w:rsidRDefault="00887330" w:rsidP="00887330">
      <w:pPr>
        <w:pStyle w:val="Definition"/>
      </w:pPr>
      <w:r w:rsidRPr="00583E1A">
        <w:rPr>
          <w:b/>
          <w:i/>
        </w:rPr>
        <w:t>Division</w:t>
      </w:r>
      <w:r w:rsidR="00583E1A">
        <w:rPr>
          <w:b/>
          <w:i/>
        </w:rPr>
        <w:t> </w:t>
      </w:r>
      <w:r w:rsidRPr="00583E1A">
        <w:rPr>
          <w:b/>
          <w:i/>
        </w:rPr>
        <w:t>410 report</w:t>
      </w:r>
      <w:r w:rsidRPr="00583E1A">
        <w:t xml:space="preserve"> has the meaning given by section</w:t>
      </w:r>
      <w:r w:rsidR="00583E1A">
        <w:t> </w:t>
      </w:r>
      <w:r w:rsidRPr="00583E1A">
        <w:t>410</w:t>
      </w:r>
      <w:r w:rsidR="00583E1A">
        <w:noBreakHyphen/>
      </w:r>
      <w:r w:rsidRPr="00583E1A">
        <w:t>10 in Schedule</w:t>
      </w:r>
      <w:r w:rsidR="00583E1A">
        <w:t> </w:t>
      </w:r>
      <w:r w:rsidRPr="00583E1A">
        <w:t xml:space="preserve">1 to the </w:t>
      </w:r>
      <w:r w:rsidRPr="00583E1A">
        <w:rPr>
          <w:i/>
        </w:rPr>
        <w:t>Taxation Administration Act 1953</w:t>
      </w:r>
      <w:r w:rsidRPr="00583E1A">
        <w:t>.</w:t>
      </w:r>
    </w:p>
    <w:p w:rsidR="00887330" w:rsidRPr="00583E1A" w:rsidRDefault="00887330" w:rsidP="00887330">
      <w:pPr>
        <w:pStyle w:val="Definition"/>
      </w:pPr>
      <w:r w:rsidRPr="00583E1A">
        <w:rPr>
          <w:b/>
          <w:i/>
        </w:rPr>
        <w:t>Division</w:t>
      </w:r>
      <w:r w:rsidR="00583E1A">
        <w:rPr>
          <w:b/>
          <w:i/>
        </w:rPr>
        <w:t> </w:t>
      </w:r>
      <w:r w:rsidRPr="00583E1A">
        <w:rPr>
          <w:b/>
          <w:i/>
        </w:rPr>
        <w:t>415 payment</w:t>
      </w:r>
      <w:r w:rsidRPr="00583E1A">
        <w:t xml:space="preserve"> has the meaning given by section</w:t>
      </w:r>
      <w:r w:rsidR="00583E1A">
        <w:t> </w:t>
      </w:r>
      <w:r w:rsidRPr="00583E1A">
        <w:t>415</w:t>
      </w:r>
      <w:r w:rsidR="00583E1A">
        <w:noBreakHyphen/>
      </w:r>
      <w:r w:rsidRPr="00583E1A">
        <w:t>5 in Schedule</w:t>
      </w:r>
      <w:r w:rsidR="00583E1A">
        <w:t> </w:t>
      </w:r>
      <w:r w:rsidRPr="00583E1A">
        <w:t xml:space="preserve">1 to the </w:t>
      </w:r>
      <w:r w:rsidRPr="00583E1A">
        <w:rPr>
          <w:i/>
        </w:rPr>
        <w:t>Taxation Administration Act 1953</w:t>
      </w:r>
      <w:r w:rsidRPr="00583E1A">
        <w:t>.</w:t>
      </w:r>
    </w:p>
    <w:p w:rsidR="00887330" w:rsidRPr="00583E1A" w:rsidRDefault="00887330" w:rsidP="00887330">
      <w:pPr>
        <w:pStyle w:val="Definition"/>
      </w:pPr>
      <w:r w:rsidRPr="00583E1A">
        <w:rPr>
          <w:b/>
          <w:i/>
        </w:rPr>
        <w:t>Division</w:t>
      </w:r>
      <w:r w:rsidR="00583E1A">
        <w:rPr>
          <w:b/>
          <w:i/>
        </w:rPr>
        <w:t> </w:t>
      </w:r>
      <w:r w:rsidRPr="00583E1A">
        <w:rPr>
          <w:b/>
          <w:i/>
        </w:rPr>
        <w:t>417 payment</w:t>
      </w:r>
      <w:r w:rsidRPr="00583E1A">
        <w:t xml:space="preserve"> has the meaning given by section</w:t>
      </w:r>
      <w:r w:rsidR="00583E1A">
        <w:t> </w:t>
      </w:r>
      <w:r w:rsidRPr="00583E1A">
        <w:t>417</w:t>
      </w:r>
      <w:r w:rsidR="00583E1A">
        <w:noBreakHyphen/>
      </w:r>
      <w:r w:rsidRPr="00583E1A">
        <w:t>5 in Schedule</w:t>
      </w:r>
      <w:r w:rsidR="00583E1A">
        <w:t> </w:t>
      </w:r>
      <w:r w:rsidRPr="00583E1A">
        <w:t xml:space="preserve">1 to the </w:t>
      </w:r>
      <w:r w:rsidRPr="00583E1A">
        <w:rPr>
          <w:i/>
        </w:rPr>
        <w:t>Taxation Administration Act 1953</w:t>
      </w:r>
      <w:r w:rsidRPr="00583E1A">
        <w:t>.</w:t>
      </w:r>
    </w:p>
    <w:p w:rsidR="00887330" w:rsidRPr="00583E1A" w:rsidRDefault="00887330" w:rsidP="00887330">
      <w:pPr>
        <w:pStyle w:val="Definition"/>
      </w:pPr>
      <w:r w:rsidRPr="00583E1A">
        <w:rPr>
          <w:b/>
          <w:i/>
        </w:rPr>
        <w:t>down interest</w:t>
      </w:r>
      <w:r w:rsidRPr="00583E1A">
        <w:t xml:space="preserve"> has the meaning given by section</w:t>
      </w:r>
      <w:r w:rsidR="00583E1A">
        <w:t> </w:t>
      </w:r>
      <w:r w:rsidRPr="00583E1A">
        <w:t>725</w:t>
      </w:r>
      <w:r w:rsidR="00583E1A">
        <w:noBreakHyphen/>
      </w:r>
      <w:r w:rsidRPr="00583E1A">
        <w:t>155.</w:t>
      </w:r>
    </w:p>
    <w:p w:rsidR="00887330" w:rsidRPr="00583E1A" w:rsidRDefault="00887330" w:rsidP="00887330">
      <w:pPr>
        <w:pStyle w:val="Definition"/>
      </w:pPr>
      <w:r w:rsidRPr="00583E1A">
        <w:rPr>
          <w:b/>
          <w:i/>
        </w:rPr>
        <w:t>dual listed company arrangement</w:t>
      </w:r>
      <w:r w:rsidRPr="00583E1A">
        <w:t xml:space="preserve"> has the meaning given by section</w:t>
      </w:r>
      <w:r w:rsidR="00583E1A">
        <w:t> </w:t>
      </w:r>
      <w:r w:rsidRPr="00583E1A">
        <w:t>125</w:t>
      </w:r>
      <w:r w:rsidR="00583E1A">
        <w:noBreakHyphen/>
      </w:r>
      <w:r w:rsidRPr="00583E1A">
        <w:t>60.</w:t>
      </w:r>
    </w:p>
    <w:p w:rsidR="00887330" w:rsidRPr="00583E1A" w:rsidRDefault="00887330" w:rsidP="00887330">
      <w:pPr>
        <w:pStyle w:val="Definition"/>
      </w:pPr>
      <w:r w:rsidRPr="00583E1A">
        <w:rPr>
          <w:b/>
          <w:i/>
        </w:rPr>
        <w:t>dual listed company voting share</w:t>
      </w:r>
      <w:r w:rsidRPr="00583E1A">
        <w:t xml:space="preserve"> has the meaning given by section</w:t>
      </w:r>
      <w:r w:rsidR="00583E1A">
        <w:t> </w:t>
      </w:r>
      <w:r w:rsidRPr="00583E1A">
        <w:t>125</w:t>
      </w:r>
      <w:r w:rsidR="00583E1A">
        <w:noBreakHyphen/>
      </w:r>
      <w:r w:rsidRPr="00583E1A">
        <w:t>60.</w:t>
      </w:r>
    </w:p>
    <w:p w:rsidR="00887330" w:rsidRPr="00583E1A" w:rsidRDefault="00887330" w:rsidP="00887330">
      <w:pPr>
        <w:pStyle w:val="Definition"/>
        <w:rPr>
          <w:b/>
          <w:i/>
        </w:rPr>
      </w:pPr>
      <w:r w:rsidRPr="00583E1A">
        <w:rPr>
          <w:b/>
          <w:i/>
        </w:rPr>
        <w:lastRenderedPageBreak/>
        <w:t>dual resident investment company</w:t>
      </w:r>
      <w:r w:rsidRPr="00583E1A">
        <w:t xml:space="preserve"> has the meaning given by section</w:t>
      </w:r>
      <w:r w:rsidR="00583E1A">
        <w:t> </w:t>
      </w:r>
      <w:r w:rsidRPr="00583E1A">
        <w:t xml:space="preserve">6F of the </w:t>
      </w:r>
      <w:r w:rsidRPr="00583E1A">
        <w:rPr>
          <w:i/>
        </w:rPr>
        <w:t>Income Tax Assessment Act 1936</w:t>
      </w:r>
      <w:r w:rsidRPr="00583E1A">
        <w:t>.</w:t>
      </w:r>
    </w:p>
    <w:p w:rsidR="00887330" w:rsidRPr="00583E1A" w:rsidRDefault="00887330" w:rsidP="00887330">
      <w:pPr>
        <w:pStyle w:val="Definition"/>
      </w:pPr>
      <w:r w:rsidRPr="00583E1A">
        <w:rPr>
          <w:b/>
          <w:i/>
        </w:rPr>
        <w:t>dwelling</w:t>
      </w:r>
      <w:r w:rsidRPr="00583E1A">
        <w:t xml:space="preserve"> has the meaning given by section</w:t>
      </w:r>
      <w:r w:rsidR="00583E1A">
        <w:t> </w:t>
      </w:r>
      <w:r w:rsidRPr="00583E1A">
        <w:t>118</w:t>
      </w:r>
      <w:r w:rsidR="00583E1A">
        <w:noBreakHyphen/>
      </w:r>
      <w:r w:rsidRPr="00583E1A">
        <w:t>115.</w:t>
      </w:r>
    </w:p>
    <w:p w:rsidR="00672921" w:rsidRPr="00583E1A" w:rsidRDefault="00672921" w:rsidP="00672921">
      <w:pPr>
        <w:pStyle w:val="Definition"/>
      </w:pPr>
      <w:r w:rsidRPr="00583E1A">
        <w:rPr>
          <w:b/>
          <w:i/>
        </w:rPr>
        <w:t xml:space="preserve">early retirement scheme </w:t>
      </w:r>
      <w:r w:rsidRPr="00583E1A">
        <w:t>has the meaning given by section</w:t>
      </w:r>
      <w:r w:rsidR="00583E1A">
        <w:t> </w:t>
      </w:r>
      <w:r w:rsidRPr="00583E1A">
        <w:t>83</w:t>
      </w:r>
      <w:r w:rsidR="00583E1A">
        <w:noBreakHyphen/>
      </w:r>
      <w:r w:rsidRPr="00583E1A">
        <w:t>180.</w:t>
      </w:r>
    </w:p>
    <w:p w:rsidR="00672921" w:rsidRPr="00583E1A" w:rsidRDefault="00672921" w:rsidP="00672921">
      <w:pPr>
        <w:pStyle w:val="Definition"/>
      </w:pPr>
      <w:r w:rsidRPr="00583E1A">
        <w:rPr>
          <w:b/>
          <w:i/>
        </w:rPr>
        <w:t xml:space="preserve">early retirement scheme payment </w:t>
      </w:r>
      <w:r w:rsidRPr="00583E1A">
        <w:t>has the meaning given by section</w:t>
      </w:r>
      <w:r w:rsidR="00583E1A">
        <w:t> </w:t>
      </w:r>
      <w:r w:rsidRPr="00583E1A">
        <w:t>83</w:t>
      </w:r>
      <w:r w:rsidR="00583E1A">
        <w:noBreakHyphen/>
      </w:r>
      <w:r w:rsidRPr="00583E1A">
        <w:t>180.</w:t>
      </w:r>
    </w:p>
    <w:p w:rsidR="00771CF7" w:rsidRPr="00583E1A" w:rsidRDefault="00771CF7" w:rsidP="00771CF7">
      <w:pPr>
        <w:pStyle w:val="Definition"/>
      </w:pPr>
      <w:r w:rsidRPr="00583E1A">
        <w:rPr>
          <w:b/>
          <w:i/>
        </w:rPr>
        <w:t>early stage venture capital limited partnership</w:t>
      </w:r>
      <w:r w:rsidRPr="00583E1A">
        <w:t xml:space="preserve"> has the meaning given by subsection 118</w:t>
      </w:r>
      <w:r w:rsidR="00583E1A">
        <w:noBreakHyphen/>
      </w:r>
      <w:r w:rsidRPr="00583E1A">
        <w:t>407(4).</w:t>
      </w:r>
    </w:p>
    <w:p w:rsidR="00573B9B" w:rsidRPr="00583E1A" w:rsidRDefault="00573B9B" w:rsidP="00F13347">
      <w:pPr>
        <w:pStyle w:val="Definition"/>
        <w:keepNext/>
        <w:keepLines/>
      </w:pPr>
      <w:r w:rsidRPr="00583E1A">
        <w:rPr>
          <w:b/>
          <w:i/>
        </w:rPr>
        <w:t>Education Department</w:t>
      </w:r>
      <w:r w:rsidRPr="00583E1A">
        <w:t xml:space="preserve"> means the Department that:</w:t>
      </w:r>
    </w:p>
    <w:p w:rsidR="00573B9B" w:rsidRPr="00583E1A" w:rsidRDefault="00573B9B" w:rsidP="00573B9B">
      <w:pPr>
        <w:pStyle w:val="paragraph"/>
      </w:pPr>
      <w:r w:rsidRPr="00583E1A">
        <w:tab/>
        <w:t>(a)</w:t>
      </w:r>
      <w:r w:rsidRPr="00583E1A">
        <w:tab/>
        <w:t>deals with matters arising under section</w:t>
      </w:r>
      <w:r w:rsidR="00583E1A">
        <w:t> </w:t>
      </w:r>
      <w:r w:rsidRPr="00583E1A">
        <w:t xml:space="preserve">1 of the </w:t>
      </w:r>
      <w:r w:rsidRPr="00583E1A">
        <w:rPr>
          <w:i/>
        </w:rPr>
        <w:t>Student Assistance Act 1973</w:t>
      </w:r>
      <w:r w:rsidRPr="00583E1A">
        <w:t>; and</w:t>
      </w:r>
    </w:p>
    <w:p w:rsidR="00573B9B" w:rsidRPr="00583E1A" w:rsidRDefault="00573B9B" w:rsidP="00573B9B">
      <w:pPr>
        <w:pStyle w:val="paragraph"/>
      </w:pPr>
      <w:r w:rsidRPr="00583E1A">
        <w:tab/>
        <w:t>(b)</w:t>
      </w:r>
      <w:r w:rsidRPr="00583E1A">
        <w:tab/>
        <w:t xml:space="preserve">is administered by the </w:t>
      </w:r>
      <w:r w:rsidR="00583E1A" w:rsidRPr="00583E1A">
        <w:rPr>
          <w:position w:val="6"/>
          <w:sz w:val="16"/>
        </w:rPr>
        <w:t>*</w:t>
      </w:r>
      <w:r w:rsidRPr="00583E1A">
        <w:t>Education Minister.</w:t>
      </w:r>
    </w:p>
    <w:p w:rsidR="006535D0" w:rsidRPr="00583E1A" w:rsidRDefault="006535D0" w:rsidP="006535D0">
      <w:pPr>
        <w:pStyle w:val="Definition"/>
      </w:pPr>
      <w:r w:rsidRPr="00583E1A">
        <w:rPr>
          <w:b/>
          <w:i/>
        </w:rPr>
        <w:t>Education Minister</w:t>
      </w:r>
      <w:r w:rsidRPr="00583E1A">
        <w:t xml:space="preserve"> means the Minister administering section</w:t>
      </w:r>
      <w:r w:rsidR="00583E1A">
        <w:t> </w:t>
      </w:r>
      <w:r w:rsidRPr="00583E1A">
        <w:t xml:space="preserve">1 of the </w:t>
      </w:r>
      <w:r w:rsidRPr="00583E1A">
        <w:rPr>
          <w:i/>
        </w:rPr>
        <w:t>Student Assistance Act 1973</w:t>
      </w:r>
      <w:r w:rsidRPr="00583E1A">
        <w:t>.</w:t>
      </w:r>
    </w:p>
    <w:p w:rsidR="001250AB" w:rsidRPr="00B758CF" w:rsidRDefault="001250AB" w:rsidP="001250AB">
      <w:pPr>
        <w:pStyle w:val="Definition"/>
      </w:pPr>
      <w:r w:rsidRPr="00B758CF">
        <w:rPr>
          <w:b/>
          <w:i/>
        </w:rPr>
        <w:t>Education Secretary</w:t>
      </w:r>
      <w:r w:rsidRPr="00B758CF">
        <w:t xml:space="preserve"> means the Secretary of the Education Department.</w:t>
      </w:r>
    </w:p>
    <w:p w:rsidR="00887330" w:rsidRPr="00583E1A" w:rsidRDefault="00887330" w:rsidP="00887330">
      <w:pPr>
        <w:pStyle w:val="Definition"/>
      </w:pPr>
      <w:r w:rsidRPr="00583E1A">
        <w:rPr>
          <w:b/>
          <w:i/>
        </w:rPr>
        <w:t>effective life</w:t>
      </w:r>
      <w:r w:rsidRPr="00583E1A">
        <w:t xml:space="preserve">: the </w:t>
      </w:r>
      <w:r w:rsidRPr="00583E1A">
        <w:rPr>
          <w:b/>
          <w:i/>
        </w:rPr>
        <w:t>effective life</w:t>
      </w:r>
      <w:r w:rsidRPr="00583E1A">
        <w:t xml:space="preserve"> of a </w:t>
      </w:r>
      <w:r w:rsidR="00583E1A" w:rsidRPr="00583E1A">
        <w:rPr>
          <w:position w:val="6"/>
          <w:sz w:val="16"/>
        </w:rPr>
        <w:t>*</w:t>
      </w:r>
      <w:r w:rsidRPr="00583E1A">
        <w:t>depreciating asset is worked out under sections</w:t>
      </w:r>
      <w:r w:rsidR="00583E1A">
        <w:t> </w:t>
      </w:r>
      <w:r w:rsidRPr="00583E1A">
        <w:t>40</w:t>
      </w:r>
      <w:r w:rsidR="00583E1A">
        <w:noBreakHyphen/>
      </w:r>
      <w:r w:rsidRPr="00583E1A">
        <w:t>95, 40</w:t>
      </w:r>
      <w:r w:rsidR="00583E1A">
        <w:noBreakHyphen/>
      </w:r>
      <w:r w:rsidRPr="00583E1A">
        <w:t>100, 40</w:t>
      </w:r>
      <w:r w:rsidR="00583E1A">
        <w:noBreakHyphen/>
      </w:r>
      <w:r w:rsidRPr="00583E1A">
        <w:t xml:space="preserve">102, </w:t>
      </w:r>
      <w:r w:rsidR="00837127" w:rsidRPr="007B0680">
        <w:t>40</w:t>
      </w:r>
      <w:r w:rsidR="00837127" w:rsidRPr="007B0680">
        <w:noBreakHyphen/>
        <w:t>103,</w:t>
      </w:r>
      <w:r w:rsidR="00837127">
        <w:t xml:space="preserve"> </w:t>
      </w:r>
      <w:r w:rsidRPr="00583E1A">
        <w:t>40</w:t>
      </w:r>
      <w:r w:rsidR="00583E1A">
        <w:noBreakHyphen/>
      </w:r>
      <w:r w:rsidRPr="00583E1A">
        <w:t>105 and 40</w:t>
      </w:r>
      <w:r w:rsidR="00583E1A">
        <w:noBreakHyphen/>
      </w:r>
      <w:r w:rsidRPr="00583E1A">
        <w:t>110.</w:t>
      </w:r>
    </w:p>
    <w:p w:rsidR="00B62CC8" w:rsidRPr="00583E1A" w:rsidRDefault="00B62CC8" w:rsidP="00B62CC8">
      <w:pPr>
        <w:pStyle w:val="Definition"/>
      </w:pPr>
      <w:r w:rsidRPr="00583E1A">
        <w:rPr>
          <w:b/>
          <w:i/>
        </w:rPr>
        <w:t>effectively non</w:t>
      </w:r>
      <w:r w:rsidR="00583E1A">
        <w:rPr>
          <w:b/>
          <w:i/>
        </w:rPr>
        <w:noBreakHyphen/>
      </w:r>
      <w:r w:rsidRPr="00583E1A">
        <w:rPr>
          <w:b/>
          <w:i/>
        </w:rPr>
        <w:t>cancellable</w:t>
      </w:r>
      <w:r w:rsidRPr="00583E1A">
        <w:t xml:space="preserve"> has the meaning given by section</w:t>
      </w:r>
      <w:r w:rsidR="00583E1A">
        <w:t> </w:t>
      </w:r>
      <w:r w:rsidRPr="00583E1A">
        <w:t>250</w:t>
      </w:r>
      <w:r w:rsidR="00583E1A">
        <w:noBreakHyphen/>
      </w:r>
      <w:r w:rsidRPr="00583E1A">
        <w:t>130.</w:t>
      </w:r>
    </w:p>
    <w:p w:rsidR="00887330" w:rsidRPr="00583E1A" w:rsidRDefault="00887330" w:rsidP="00887330">
      <w:pPr>
        <w:pStyle w:val="Definition"/>
        <w:rPr>
          <w:b/>
          <w:i/>
        </w:rPr>
      </w:pPr>
      <w:r w:rsidRPr="00583E1A">
        <w:rPr>
          <w:b/>
          <w:i/>
        </w:rPr>
        <w:t>effectively non</w:t>
      </w:r>
      <w:r w:rsidR="00583E1A">
        <w:rPr>
          <w:b/>
          <w:i/>
        </w:rPr>
        <w:noBreakHyphen/>
      </w:r>
      <w:r w:rsidRPr="00583E1A">
        <w:rPr>
          <w:b/>
          <w:i/>
        </w:rPr>
        <w:t>contingent obligation</w:t>
      </w:r>
      <w:r w:rsidRPr="00583E1A">
        <w:t xml:space="preserve"> has the meaning given by section</w:t>
      </w:r>
      <w:r w:rsidR="00583E1A">
        <w:t> </w:t>
      </w:r>
      <w:r w:rsidRPr="00583E1A">
        <w:t>974</w:t>
      </w:r>
      <w:r w:rsidR="00583E1A">
        <w:noBreakHyphen/>
      </w:r>
      <w:r w:rsidRPr="00583E1A">
        <w:t>135.</w:t>
      </w:r>
    </w:p>
    <w:p w:rsidR="007200CA" w:rsidRPr="00583E1A" w:rsidRDefault="007200CA" w:rsidP="007200CA">
      <w:pPr>
        <w:pStyle w:val="Definition"/>
      </w:pPr>
      <w:r w:rsidRPr="00583E1A">
        <w:rPr>
          <w:b/>
          <w:i/>
        </w:rPr>
        <w:t>election to rely on financial reports</w:t>
      </w:r>
      <w:r w:rsidRPr="00583E1A">
        <w:t xml:space="preserve"> has the meaning given by section</w:t>
      </w:r>
      <w:r w:rsidR="00583E1A">
        <w:t> </w:t>
      </w:r>
      <w:r w:rsidRPr="00583E1A">
        <w:t>230</w:t>
      </w:r>
      <w:r w:rsidR="00583E1A">
        <w:noBreakHyphen/>
      </w:r>
      <w:r w:rsidRPr="00583E1A">
        <w:t>395.</w:t>
      </w:r>
    </w:p>
    <w:p w:rsidR="00887330" w:rsidRPr="00583E1A" w:rsidRDefault="00887330" w:rsidP="00887330">
      <w:pPr>
        <w:pStyle w:val="Definition"/>
      </w:pPr>
      <w:r w:rsidRPr="00583E1A">
        <w:rPr>
          <w:b/>
          <w:i/>
        </w:rPr>
        <w:t>electronic payment</w:t>
      </w:r>
      <w:r w:rsidRPr="00583E1A">
        <w:t xml:space="preserve"> means a payment by way of electronic transmission, in an electronic format approved by the Commissioner.</w:t>
      </w:r>
    </w:p>
    <w:p w:rsidR="00887330" w:rsidRPr="00583E1A" w:rsidRDefault="00887330" w:rsidP="00887330">
      <w:pPr>
        <w:pStyle w:val="Definition"/>
      </w:pPr>
      <w:r w:rsidRPr="00583E1A">
        <w:rPr>
          <w:b/>
          <w:i/>
        </w:rPr>
        <w:t>electronic signature</w:t>
      </w:r>
      <w:r w:rsidRPr="00583E1A">
        <w:t xml:space="preserve"> of an entity means a unique identification of the entity in electronic form that is approved by the Commissioner.</w:t>
      </w:r>
    </w:p>
    <w:p w:rsidR="00672921" w:rsidRPr="00583E1A" w:rsidRDefault="00672921" w:rsidP="00672921">
      <w:pPr>
        <w:pStyle w:val="Definition"/>
      </w:pPr>
      <w:r w:rsidRPr="00583E1A">
        <w:rPr>
          <w:b/>
          <w:i/>
        </w:rPr>
        <w:lastRenderedPageBreak/>
        <w:t>element taxed in the fund</w:t>
      </w:r>
      <w:r w:rsidRPr="00583E1A">
        <w:t xml:space="preserve"> has the meaning given by section</w:t>
      </w:r>
      <w:r w:rsidR="00583E1A">
        <w:t> </w:t>
      </w:r>
      <w:r w:rsidRPr="00583E1A">
        <w:t>307</w:t>
      </w:r>
      <w:r w:rsidR="00583E1A">
        <w:noBreakHyphen/>
      </w:r>
      <w:r w:rsidRPr="00583E1A">
        <w:t>275.</w:t>
      </w:r>
    </w:p>
    <w:p w:rsidR="00672921" w:rsidRPr="00583E1A" w:rsidRDefault="00672921" w:rsidP="00672921">
      <w:pPr>
        <w:pStyle w:val="Definition"/>
      </w:pPr>
      <w:r w:rsidRPr="00583E1A">
        <w:rPr>
          <w:b/>
          <w:i/>
        </w:rPr>
        <w:t>element untaxed in the fund</w:t>
      </w:r>
      <w:r w:rsidRPr="00583E1A">
        <w:t xml:space="preserve"> has the meaning given by section</w:t>
      </w:r>
      <w:r w:rsidR="00583E1A">
        <w:t> </w:t>
      </w:r>
      <w:r w:rsidRPr="00583E1A">
        <w:t>307</w:t>
      </w:r>
      <w:r w:rsidR="00583E1A">
        <w:noBreakHyphen/>
      </w:r>
      <w:r w:rsidRPr="00583E1A">
        <w:t>275.</w:t>
      </w:r>
    </w:p>
    <w:p w:rsidR="00887330" w:rsidRPr="00583E1A" w:rsidRDefault="00887330" w:rsidP="00887330">
      <w:pPr>
        <w:pStyle w:val="Definition"/>
        <w:rPr>
          <w:sz w:val="20"/>
        </w:rPr>
      </w:pPr>
      <w:r w:rsidRPr="00583E1A">
        <w:rPr>
          <w:b/>
          <w:i/>
        </w:rPr>
        <w:t xml:space="preserve">eligible continuing substantial member </w:t>
      </w:r>
      <w:r w:rsidRPr="00583E1A">
        <w:t xml:space="preserve">of a </w:t>
      </w:r>
      <w:r w:rsidR="00583E1A" w:rsidRPr="00583E1A">
        <w:rPr>
          <w:position w:val="6"/>
          <w:sz w:val="16"/>
        </w:rPr>
        <w:t>*</w:t>
      </w:r>
      <w:r w:rsidRPr="00583E1A">
        <w:t>former exempting entity has the meaning given by section</w:t>
      </w:r>
      <w:r w:rsidR="00583E1A">
        <w:t> </w:t>
      </w:r>
      <w:r w:rsidRPr="00583E1A">
        <w:t>208</w:t>
      </w:r>
      <w:r w:rsidR="00583E1A">
        <w:noBreakHyphen/>
      </w:r>
      <w:r w:rsidRPr="00583E1A">
        <w:t>155.</w:t>
      </w:r>
    </w:p>
    <w:p w:rsidR="00887330" w:rsidRPr="00583E1A" w:rsidRDefault="00887330" w:rsidP="00887330">
      <w:pPr>
        <w:pStyle w:val="Definition"/>
      </w:pPr>
      <w:r w:rsidRPr="00583E1A">
        <w:rPr>
          <w:b/>
          <w:i/>
        </w:rPr>
        <w:t>eligible Division</w:t>
      </w:r>
      <w:r w:rsidR="00583E1A">
        <w:rPr>
          <w:b/>
          <w:i/>
        </w:rPr>
        <w:t> </w:t>
      </w:r>
      <w:r w:rsidRPr="00583E1A">
        <w:rPr>
          <w:b/>
          <w:i/>
        </w:rPr>
        <w:t xml:space="preserve">166 company </w:t>
      </w:r>
      <w:r w:rsidRPr="00583E1A">
        <w:t>means a company:</w:t>
      </w:r>
    </w:p>
    <w:p w:rsidR="00887330" w:rsidRPr="00583E1A" w:rsidRDefault="00887330" w:rsidP="00887330">
      <w:pPr>
        <w:pStyle w:val="paragraph"/>
      </w:pPr>
      <w:r w:rsidRPr="00583E1A">
        <w:tab/>
        <w:t>(a)</w:t>
      </w:r>
      <w:r w:rsidRPr="00583E1A">
        <w:tab/>
        <w:t xml:space="preserve">that is </w:t>
      </w:r>
      <w:r w:rsidRPr="00583E1A">
        <w:rPr>
          <w:i/>
        </w:rPr>
        <w:t>not</w:t>
      </w:r>
      <w:r w:rsidRPr="00583E1A">
        <w:t xml:space="preserve"> a </w:t>
      </w:r>
      <w:r w:rsidR="00583E1A" w:rsidRPr="00583E1A">
        <w:rPr>
          <w:position w:val="6"/>
          <w:sz w:val="16"/>
        </w:rPr>
        <w:t>*</w:t>
      </w:r>
      <w:r w:rsidRPr="00583E1A">
        <w:t>widely held company; and</w:t>
      </w:r>
    </w:p>
    <w:p w:rsidR="00887330" w:rsidRPr="00583E1A" w:rsidRDefault="00887330" w:rsidP="00887330">
      <w:pPr>
        <w:pStyle w:val="paragraph"/>
      </w:pPr>
      <w:r w:rsidRPr="00583E1A">
        <w:tab/>
        <w:t>(b)</w:t>
      </w:r>
      <w:r w:rsidRPr="00583E1A">
        <w:tab/>
        <w:t>in which:</w:t>
      </w:r>
    </w:p>
    <w:p w:rsidR="00887330" w:rsidRPr="00583E1A" w:rsidRDefault="00887330" w:rsidP="00887330">
      <w:pPr>
        <w:pStyle w:val="paragraphsub"/>
      </w:pPr>
      <w:r w:rsidRPr="00583E1A">
        <w:tab/>
        <w:t>(i)</w:t>
      </w:r>
      <w:r w:rsidRPr="00583E1A">
        <w:tab/>
      </w:r>
      <w:r w:rsidR="00583E1A" w:rsidRPr="00583E1A">
        <w:rPr>
          <w:position w:val="6"/>
          <w:sz w:val="16"/>
        </w:rPr>
        <w:t>*</w:t>
      </w:r>
      <w:r w:rsidRPr="00583E1A">
        <w:t>voting stakes that carry rights to more than 50% of the voting power in the company; or</w:t>
      </w:r>
    </w:p>
    <w:p w:rsidR="00887330" w:rsidRPr="00583E1A" w:rsidRDefault="00887330" w:rsidP="00887330">
      <w:pPr>
        <w:pStyle w:val="paragraphsub"/>
      </w:pPr>
      <w:r w:rsidRPr="00583E1A">
        <w:tab/>
        <w:t>(ii)</w:t>
      </w:r>
      <w:r w:rsidRPr="00583E1A">
        <w:tab/>
      </w:r>
      <w:r w:rsidR="00583E1A" w:rsidRPr="00583E1A">
        <w:rPr>
          <w:position w:val="6"/>
          <w:sz w:val="16"/>
        </w:rPr>
        <w:t>*</w:t>
      </w:r>
      <w:r w:rsidRPr="00583E1A">
        <w:t>dividend stakes that carry rights to receive more than 50% of any dividends that the company may pay; or</w:t>
      </w:r>
    </w:p>
    <w:p w:rsidR="00887330" w:rsidRPr="00583E1A" w:rsidRDefault="00887330" w:rsidP="00887330">
      <w:pPr>
        <w:pStyle w:val="paragraphsub"/>
      </w:pPr>
      <w:r w:rsidRPr="00583E1A">
        <w:tab/>
        <w:t>(iii)</w:t>
      </w:r>
      <w:r w:rsidRPr="00583E1A">
        <w:tab/>
      </w:r>
      <w:r w:rsidR="00583E1A" w:rsidRPr="00583E1A">
        <w:rPr>
          <w:position w:val="6"/>
          <w:sz w:val="16"/>
        </w:rPr>
        <w:t>*</w:t>
      </w:r>
      <w:r w:rsidRPr="00583E1A">
        <w:t>capital stakes that carry rights to receive more than 50% of any distribution of capital of the company;</w:t>
      </w:r>
    </w:p>
    <w:p w:rsidR="00887330" w:rsidRPr="00583E1A" w:rsidRDefault="00887330" w:rsidP="00887330">
      <w:pPr>
        <w:pStyle w:val="paragraph"/>
      </w:pPr>
      <w:r w:rsidRPr="00583E1A">
        <w:tab/>
      </w:r>
      <w:r w:rsidRPr="00583E1A">
        <w:tab/>
        <w:t xml:space="preserve">are beneficially owned (whether directly, or </w:t>
      </w:r>
      <w:r w:rsidR="00583E1A" w:rsidRPr="00583E1A">
        <w:rPr>
          <w:position w:val="6"/>
          <w:sz w:val="16"/>
        </w:rPr>
        <w:t>*</w:t>
      </w:r>
      <w:r w:rsidRPr="00583E1A">
        <w:t>indirectly through one or more interposed entities) by:</w:t>
      </w:r>
    </w:p>
    <w:p w:rsidR="00887330" w:rsidRPr="00583E1A" w:rsidRDefault="00887330" w:rsidP="00887330">
      <w:pPr>
        <w:pStyle w:val="paragraphsub"/>
      </w:pPr>
      <w:r w:rsidRPr="00583E1A">
        <w:tab/>
        <w:t>(iv)</w:t>
      </w:r>
      <w:r w:rsidRPr="00583E1A">
        <w:tab/>
        <w:t>a widely held company; or</w:t>
      </w:r>
    </w:p>
    <w:p w:rsidR="00887330" w:rsidRPr="00583E1A" w:rsidRDefault="00887330" w:rsidP="00887330">
      <w:pPr>
        <w:pStyle w:val="paragraphsub"/>
      </w:pPr>
      <w:r w:rsidRPr="00583E1A">
        <w:tab/>
        <w:t>(v)</w:t>
      </w:r>
      <w:r w:rsidRPr="00583E1A">
        <w:tab/>
        <w:t>an entity mentioned in subsection 166</w:t>
      </w:r>
      <w:r w:rsidR="00583E1A">
        <w:noBreakHyphen/>
      </w:r>
      <w:r w:rsidRPr="00583E1A">
        <w:t>245(2) that satisfies the condition in subsection 166</w:t>
      </w:r>
      <w:r w:rsidR="00583E1A">
        <w:noBreakHyphen/>
      </w:r>
      <w:r w:rsidRPr="00583E1A">
        <w:t>245(3); or</w:t>
      </w:r>
    </w:p>
    <w:p w:rsidR="00887330" w:rsidRPr="00583E1A" w:rsidRDefault="00887330" w:rsidP="00887330">
      <w:pPr>
        <w:pStyle w:val="paragraphsub"/>
      </w:pPr>
      <w:r w:rsidRPr="00583E1A">
        <w:tab/>
        <w:t>(vi)</w:t>
      </w:r>
      <w:r w:rsidRPr="00583E1A">
        <w:tab/>
        <w:t xml:space="preserve">a </w:t>
      </w:r>
      <w:r w:rsidR="00583E1A" w:rsidRPr="00583E1A">
        <w:rPr>
          <w:position w:val="6"/>
          <w:sz w:val="16"/>
        </w:rPr>
        <w:t>*</w:t>
      </w:r>
      <w:r w:rsidRPr="00583E1A">
        <w:t>non</w:t>
      </w:r>
      <w:r w:rsidR="00583E1A">
        <w:noBreakHyphen/>
      </w:r>
      <w:r w:rsidRPr="00583E1A">
        <w:t>profit company; or</w:t>
      </w:r>
    </w:p>
    <w:p w:rsidR="00887330" w:rsidRPr="00583E1A" w:rsidRDefault="00887330" w:rsidP="00887330">
      <w:pPr>
        <w:pStyle w:val="paragraphsub"/>
      </w:pPr>
      <w:r w:rsidRPr="00583E1A">
        <w:tab/>
        <w:t>(vii)</w:t>
      </w:r>
      <w:r w:rsidRPr="00583E1A">
        <w:tab/>
        <w:t>a charitable institution, a charitable fund or any other kind of charitable body; or</w:t>
      </w:r>
    </w:p>
    <w:p w:rsidR="00887330" w:rsidRPr="00583E1A" w:rsidRDefault="00887330" w:rsidP="00887330">
      <w:pPr>
        <w:pStyle w:val="paragraphsub"/>
      </w:pPr>
      <w:r w:rsidRPr="00583E1A">
        <w:tab/>
        <w:t>(viii)</w:t>
      </w:r>
      <w:r w:rsidRPr="00583E1A">
        <w:tab/>
        <w:t xml:space="preserve">2 or more entities mentioned in </w:t>
      </w:r>
      <w:r w:rsidR="00583E1A">
        <w:t>subparagraphs (</w:t>
      </w:r>
      <w:r w:rsidRPr="00583E1A">
        <w:t>iv) to (vii).</w:t>
      </w:r>
    </w:p>
    <w:p w:rsidR="00585861" w:rsidRPr="00E811AF" w:rsidRDefault="00585861" w:rsidP="00585861">
      <w:pPr>
        <w:pStyle w:val="Definition"/>
      </w:pPr>
      <w:r w:rsidRPr="00E811AF">
        <w:rPr>
          <w:b/>
          <w:i/>
        </w:rPr>
        <w:t>eligible no</w:t>
      </w:r>
      <w:r w:rsidRPr="00E811AF">
        <w:rPr>
          <w:b/>
          <w:i/>
        </w:rPr>
        <w:noBreakHyphen/>
        <w:t>till seeder</w:t>
      </w:r>
      <w:r w:rsidRPr="00E811AF">
        <w:t xml:space="preserve"> has the meaning given by section 385</w:t>
      </w:r>
      <w:r w:rsidRPr="00E811AF">
        <w:noBreakHyphen/>
        <w:t>235.</w:t>
      </w:r>
    </w:p>
    <w:p w:rsidR="00887330" w:rsidRPr="00583E1A" w:rsidRDefault="00887330" w:rsidP="00887330">
      <w:pPr>
        <w:pStyle w:val="Definition"/>
      </w:pPr>
      <w:r w:rsidRPr="00583E1A">
        <w:rPr>
          <w:b/>
          <w:i/>
        </w:rPr>
        <w:t>eligible security</w:t>
      </w:r>
      <w:r w:rsidRPr="00583E1A">
        <w:t xml:space="preserve"> has the meaning given by section</w:t>
      </w:r>
      <w:r w:rsidR="00583E1A">
        <w:t> </w:t>
      </w:r>
      <w:r w:rsidRPr="00583E1A">
        <w:t>775</w:t>
      </w:r>
      <w:r w:rsidR="00583E1A">
        <w:noBreakHyphen/>
      </w:r>
      <w:r w:rsidRPr="00583E1A">
        <w:t>190.</w:t>
      </w:r>
    </w:p>
    <w:p w:rsidR="00887330" w:rsidRPr="00583E1A" w:rsidRDefault="00887330" w:rsidP="00887330">
      <w:pPr>
        <w:pStyle w:val="Definition"/>
      </w:pPr>
      <w:r w:rsidRPr="00583E1A">
        <w:rPr>
          <w:b/>
          <w:i/>
        </w:rPr>
        <w:t>eligible tier</w:t>
      </w:r>
      <w:r w:rsidR="00583E1A">
        <w:rPr>
          <w:b/>
          <w:i/>
        </w:rPr>
        <w:noBreakHyphen/>
      </w:r>
      <w:r w:rsidRPr="00583E1A">
        <w:rPr>
          <w:b/>
          <w:i/>
        </w:rPr>
        <w:t>1 company</w:t>
      </w:r>
      <w:r w:rsidRPr="00583E1A">
        <w:t xml:space="preserve"> has the meaning given by section</w:t>
      </w:r>
      <w:r w:rsidR="00583E1A">
        <w:t> </w:t>
      </w:r>
      <w:r w:rsidRPr="00583E1A">
        <w:t>719</w:t>
      </w:r>
      <w:r w:rsidR="00583E1A">
        <w:noBreakHyphen/>
      </w:r>
      <w:r w:rsidRPr="00583E1A">
        <w:t>15.</w:t>
      </w:r>
    </w:p>
    <w:p w:rsidR="00887330" w:rsidRPr="00583E1A" w:rsidRDefault="00887330" w:rsidP="00887330">
      <w:pPr>
        <w:pStyle w:val="Definition"/>
      </w:pPr>
      <w:r w:rsidRPr="00583E1A">
        <w:rPr>
          <w:b/>
          <w:i/>
        </w:rPr>
        <w:t>eligible venture capital investment</w:t>
      </w:r>
      <w:r w:rsidRPr="00583E1A">
        <w:t xml:space="preserve"> has the meaning given by </w:t>
      </w:r>
      <w:r w:rsidR="00250AF7" w:rsidRPr="00583E1A">
        <w:t>sections</w:t>
      </w:r>
      <w:r w:rsidR="00583E1A">
        <w:t> </w:t>
      </w:r>
      <w:r w:rsidR="00250AF7" w:rsidRPr="00583E1A">
        <w:t>118</w:t>
      </w:r>
      <w:r w:rsidR="00583E1A">
        <w:noBreakHyphen/>
      </w:r>
      <w:r w:rsidR="00250AF7" w:rsidRPr="00583E1A">
        <w:t>425 and 118</w:t>
      </w:r>
      <w:r w:rsidR="00583E1A">
        <w:noBreakHyphen/>
      </w:r>
      <w:r w:rsidR="00250AF7" w:rsidRPr="00583E1A">
        <w:t>427</w:t>
      </w:r>
      <w:r w:rsidRPr="00583E1A">
        <w:t>.</w:t>
      </w:r>
    </w:p>
    <w:p w:rsidR="00887330" w:rsidRPr="00583E1A" w:rsidRDefault="00887330" w:rsidP="00887330">
      <w:pPr>
        <w:pStyle w:val="notetext"/>
      </w:pPr>
      <w:r w:rsidRPr="00583E1A">
        <w:t>Note:</w:t>
      </w:r>
      <w:r w:rsidRPr="00583E1A">
        <w:tab/>
        <w:t>This meaning is also affected by subsection 118</w:t>
      </w:r>
      <w:r w:rsidR="00583E1A">
        <w:noBreakHyphen/>
      </w:r>
      <w:r w:rsidRPr="00583E1A">
        <w:t>435(2).</w:t>
      </w:r>
    </w:p>
    <w:p w:rsidR="00887330" w:rsidRPr="00583E1A" w:rsidRDefault="00887330" w:rsidP="00887330">
      <w:pPr>
        <w:pStyle w:val="Definition"/>
      </w:pPr>
      <w:r w:rsidRPr="00583E1A">
        <w:rPr>
          <w:b/>
          <w:i/>
        </w:rPr>
        <w:lastRenderedPageBreak/>
        <w:t>eligible venture capital investor</w:t>
      </w:r>
      <w:r w:rsidRPr="00583E1A">
        <w:t xml:space="preserve"> has the meaning given by subsection 118</w:t>
      </w:r>
      <w:r w:rsidR="00583E1A">
        <w:noBreakHyphen/>
      </w:r>
      <w:r w:rsidRPr="00583E1A">
        <w:t>415(2).</w:t>
      </w:r>
    </w:p>
    <w:p w:rsidR="00887330" w:rsidRPr="00583E1A" w:rsidRDefault="00887330" w:rsidP="00887330">
      <w:pPr>
        <w:pStyle w:val="Definition"/>
      </w:pPr>
      <w:r w:rsidRPr="00583E1A">
        <w:rPr>
          <w:b/>
          <w:i/>
        </w:rPr>
        <w:t>eligible venture capital partner</w:t>
      </w:r>
      <w:r w:rsidRPr="00583E1A">
        <w:t xml:space="preserve"> has the meaning given by section</w:t>
      </w:r>
      <w:r w:rsidR="00583E1A">
        <w:t> </w:t>
      </w:r>
      <w:r w:rsidRPr="00583E1A">
        <w:t>118</w:t>
      </w:r>
      <w:r w:rsidR="00583E1A">
        <w:noBreakHyphen/>
      </w:r>
      <w:r w:rsidRPr="00583E1A">
        <w:t>420.</w:t>
      </w:r>
    </w:p>
    <w:p w:rsidR="00D65CD4" w:rsidRPr="00303F70" w:rsidRDefault="00D65CD4" w:rsidP="00D65CD4">
      <w:pPr>
        <w:pStyle w:val="Definition"/>
      </w:pPr>
      <w:r w:rsidRPr="00303F70">
        <w:rPr>
          <w:b/>
          <w:i/>
        </w:rPr>
        <w:t>employee share scheme</w:t>
      </w:r>
      <w:r w:rsidRPr="00303F70">
        <w:t xml:space="preserve"> has the meaning given by subsection 83A</w:t>
      </w:r>
      <w:r w:rsidRPr="00303F70">
        <w:noBreakHyphen/>
        <w:t>10(2).</w:t>
      </w:r>
    </w:p>
    <w:p w:rsidR="00F35C39" w:rsidRPr="00303F70" w:rsidRDefault="00F35C39" w:rsidP="00F35C39">
      <w:pPr>
        <w:pStyle w:val="Definition"/>
      </w:pPr>
      <w:r w:rsidRPr="00303F70">
        <w:rPr>
          <w:b/>
          <w:i/>
        </w:rPr>
        <w:t>employee share trust</w:t>
      </w:r>
      <w:r w:rsidRPr="00303F70">
        <w:t xml:space="preserve"> has the meaning given by subsection 130</w:t>
      </w:r>
      <w:r w:rsidRPr="00303F70">
        <w:noBreakHyphen/>
        <w:t>85(4).</w:t>
      </w:r>
    </w:p>
    <w:p w:rsidR="000B4DA9" w:rsidRPr="008A6DF7" w:rsidRDefault="000B4DA9" w:rsidP="000B4DA9">
      <w:pPr>
        <w:pStyle w:val="Definition"/>
      </w:pPr>
      <w:r w:rsidRPr="008A6DF7">
        <w:rPr>
          <w:b/>
          <w:i/>
        </w:rPr>
        <w:t>Employment Department</w:t>
      </w:r>
      <w:r w:rsidRPr="008A6DF7">
        <w:t xml:space="preserve"> means the Department that:</w:t>
      </w:r>
    </w:p>
    <w:p w:rsidR="000B4DA9" w:rsidRPr="008A6DF7" w:rsidRDefault="000B4DA9" w:rsidP="000B4DA9">
      <w:pPr>
        <w:pStyle w:val="paragraph"/>
      </w:pPr>
      <w:r w:rsidRPr="008A6DF7">
        <w:tab/>
        <w:t>(a)</w:t>
      </w:r>
      <w:r w:rsidRPr="008A6DF7">
        <w:tab/>
        <w:t xml:space="preserve">deals with matters arising under Chapter 2 of the </w:t>
      </w:r>
      <w:r w:rsidRPr="008A6DF7">
        <w:rPr>
          <w:i/>
        </w:rPr>
        <w:t>Fair Work Act 2009</w:t>
      </w:r>
      <w:r w:rsidRPr="008A6DF7">
        <w:t>; and</w:t>
      </w:r>
    </w:p>
    <w:p w:rsidR="000B4DA9" w:rsidRPr="008A6DF7" w:rsidRDefault="000B4DA9" w:rsidP="000B4DA9">
      <w:pPr>
        <w:pStyle w:val="paragraph"/>
      </w:pPr>
      <w:r w:rsidRPr="008A6DF7">
        <w:tab/>
        <w:t>(b)</w:t>
      </w:r>
      <w:r w:rsidRPr="008A6DF7">
        <w:tab/>
        <w:t xml:space="preserve">is administered by the </w:t>
      </w:r>
      <w:r w:rsidRPr="008A6DF7">
        <w:rPr>
          <w:position w:val="6"/>
          <w:sz w:val="16"/>
        </w:rPr>
        <w:t>*</w:t>
      </w:r>
      <w:r w:rsidRPr="008A6DF7">
        <w:t>Employment Minister.</w:t>
      </w:r>
    </w:p>
    <w:p w:rsidR="00175326" w:rsidRPr="008A6DF7" w:rsidRDefault="00175326" w:rsidP="00175326">
      <w:pPr>
        <w:pStyle w:val="Definition"/>
      </w:pPr>
      <w:r w:rsidRPr="008A6DF7">
        <w:rPr>
          <w:b/>
          <w:i/>
        </w:rPr>
        <w:t>Employment Minister</w:t>
      </w:r>
      <w:r w:rsidRPr="008A6DF7">
        <w:t xml:space="preserve"> means the Minister administering Chapter 2 of the </w:t>
      </w:r>
      <w:r w:rsidRPr="008A6DF7">
        <w:rPr>
          <w:i/>
        </w:rPr>
        <w:t>Fair Work Act 2009</w:t>
      </w:r>
      <w:r w:rsidRPr="008A6DF7">
        <w:t>.</w:t>
      </w:r>
    </w:p>
    <w:p w:rsidR="00175326" w:rsidRPr="008A6DF7" w:rsidRDefault="00175326" w:rsidP="00175326">
      <w:pPr>
        <w:pStyle w:val="Definition"/>
      </w:pPr>
      <w:r w:rsidRPr="008A6DF7">
        <w:rPr>
          <w:b/>
          <w:i/>
        </w:rPr>
        <w:t>Employment Secretary</w:t>
      </w:r>
      <w:r w:rsidRPr="008A6DF7">
        <w:t xml:space="preserve"> means the Secretary of the </w:t>
      </w:r>
      <w:r w:rsidRPr="008A6DF7">
        <w:rPr>
          <w:position w:val="6"/>
          <w:sz w:val="16"/>
        </w:rPr>
        <w:t>*</w:t>
      </w:r>
      <w:r w:rsidRPr="008A6DF7">
        <w:t>Employment Department.</w:t>
      </w:r>
    </w:p>
    <w:p w:rsidR="00672921" w:rsidRPr="00583E1A" w:rsidRDefault="00672921" w:rsidP="00672921">
      <w:pPr>
        <w:pStyle w:val="Definition"/>
      </w:pPr>
      <w:r w:rsidRPr="00583E1A">
        <w:rPr>
          <w:b/>
          <w:i/>
        </w:rPr>
        <w:t xml:space="preserve">employment termination payment </w:t>
      </w:r>
      <w:r w:rsidRPr="00583E1A">
        <w:t>has the meaning given by section</w:t>
      </w:r>
      <w:r w:rsidR="00583E1A">
        <w:t> </w:t>
      </w:r>
      <w:r w:rsidRPr="00583E1A">
        <w:t>82</w:t>
      </w:r>
      <w:r w:rsidR="00583E1A">
        <w:noBreakHyphen/>
      </w:r>
      <w:r w:rsidRPr="00583E1A">
        <w:t>130.</w:t>
      </w:r>
    </w:p>
    <w:p w:rsidR="00672921" w:rsidRPr="00583E1A" w:rsidRDefault="00672921" w:rsidP="00672921">
      <w:pPr>
        <w:pStyle w:val="Definition"/>
      </w:pPr>
      <w:r w:rsidRPr="00583E1A">
        <w:rPr>
          <w:b/>
          <w:i/>
        </w:rPr>
        <w:t>endowment policy</w:t>
      </w:r>
      <w:r w:rsidRPr="00583E1A">
        <w:t xml:space="preserve"> has the meaning given by section</w:t>
      </w:r>
      <w:r w:rsidR="00583E1A">
        <w:t> </w:t>
      </w:r>
      <w:r w:rsidRPr="00583E1A">
        <w:t>295</w:t>
      </w:r>
      <w:r w:rsidR="00583E1A">
        <w:noBreakHyphen/>
      </w:r>
      <w:r w:rsidRPr="00583E1A">
        <w:t>480.</w:t>
      </w:r>
    </w:p>
    <w:p w:rsidR="00887330" w:rsidRPr="00583E1A" w:rsidRDefault="00887330" w:rsidP="00887330">
      <w:pPr>
        <w:pStyle w:val="Definition"/>
      </w:pPr>
      <w:r w:rsidRPr="00583E1A">
        <w:rPr>
          <w:b/>
          <w:i/>
        </w:rPr>
        <w:t>ends</w:t>
      </w:r>
      <w:r w:rsidRPr="00583E1A">
        <w:t xml:space="preserve">, in relation to a </w:t>
      </w:r>
      <w:r w:rsidR="00583E1A" w:rsidRPr="00583E1A">
        <w:rPr>
          <w:position w:val="6"/>
          <w:sz w:val="16"/>
        </w:rPr>
        <w:t>*</w:t>
      </w:r>
      <w:r w:rsidRPr="00583E1A">
        <w:t>corporate change, has the meaning given by section</w:t>
      </w:r>
      <w:r w:rsidR="00583E1A">
        <w:t> </w:t>
      </w:r>
      <w:r w:rsidRPr="00583E1A">
        <w:t>166</w:t>
      </w:r>
      <w:r w:rsidR="00583E1A">
        <w:noBreakHyphen/>
      </w:r>
      <w:r w:rsidRPr="00583E1A">
        <w:t>175.</w:t>
      </w:r>
    </w:p>
    <w:p w:rsidR="00B62CC8" w:rsidRPr="00583E1A" w:rsidRDefault="00B62CC8" w:rsidP="00B62CC8">
      <w:pPr>
        <w:pStyle w:val="Definition"/>
      </w:pPr>
      <w:r w:rsidRPr="00583E1A">
        <w:rPr>
          <w:b/>
          <w:i/>
        </w:rPr>
        <w:t>end user</w:t>
      </w:r>
      <w:r w:rsidRPr="00583E1A">
        <w:t xml:space="preserve"> of an asset has the meaning given by section</w:t>
      </w:r>
      <w:r w:rsidR="00583E1A">
        <w:t> </w:t>
      </w:r>
      <w:r w:rsidRPr="00583E1A">
        <w:t>250</w:t>
      </w:r>
      <w:r w:rsidR="00583E1A">
        <w:noBreakHyphen/>
      </w:r>
      <w:r w:rsidRPr="00583E1A">
        <w:t>50.</w:t>
      </w:r>
    </w:p>
    <w:p w:rsidR="00B62CC8" w:rsidRPr="00583E1A" w:rsidRDefault="00B62CC8" w:rsidP="00B62CC8">
      <w:pPr>
        <w:pStyle w:val="Definition"/>
      </w:pPr>
      <w:r w:rsidRPr="00583E1A">
        <w:rPr>
          <w:b/>
          <w:i/>
        </w:rPr>
        <w:t>end value</w:t>
      </w:r>
      <w:r w:rsidRPr="00583E1A">
        <w:t xml:space="preserve"> of an asset has the meaning given by section</w:t>
      </w:r>
      <w:r w:rsidR="00583E1A">
        <w:t> </w:t>
      </w:r>
      <w:r w:rsidRPr="00583E1A">
        <w:t>250</w:t>
      </w:r>
      <w:r w:rsidR="00583E1A">
        <w:noBreakHyphen/>
      </w:r>
      <w:r w:rsidRPr="00583E1A">
        <w:t>180.</w:t>
      </w:r>
    </w:p>
    <w:p w:rsidR="00887330" w:rsidRPr="00583E1A" w:rsidRDefault="00887330" w:rsidP="00887330">
      <w:pPr>
        <w:pStyle w:val="Definition"/>
      </w:pPr>
      <w:r w:rsidRPr="00583E1A">
        <w:rPr>
          <w:b/>
          <w:i/>
        </w:rPr>
        <w:t>enterprise</w:t>
      </w:r>
      <w:r w:rsidRPr="00583E1A">
        <w:t xml:space="preserve"> has the meaning given by section</w:t>
      </w:r>
      <w:r w:rsidR="00583E1A">
        <w:t> </w:t>
      </w:r>
      <w:r w:rsidRPr="00583E1A">
        <w:t>9</w:t>
      </w:r>
      <w:r w:rsidR="00583E1A">
        <w:noBreakHyphen/>
      </w:r>
      <w:r w:rsidRPr="00583E1A">
        <w:t xml:space="preserve">20 of the </w:t>
      </w:r>
      <w:r w:rsidR="00583E1A" w:rsidRPr="00583E1A">
        <w:rPr>
          <w:position w:val="6"/>
          <w:sz w:val="16"/>
        </w:rPr>
        <w:t>*</w:t>
      </w:r>
      <w:r w:rsidRPr="00583E1A">
        <w:t>GST Act.</w:t>
      </w:r>
    </w:p>
    <w:p w:rsidR="00887330" w:rsidRPr="00583E1A" w:rsidRDefault="00887330" w:rsidP="00887330">
      <w:pPr>
        <w:pStyle w:val="Definition"/>
      </w:pPr>
      <w:r w:rsidRPr="00583E1A">
        <w:rPr>
          <w:b/>
          <w:i/>
        </w:rPr>
        <w:t>entertainment</w:t>
      </w:r>
      <w:r w:rsidRPr="00583E1A">
        <w:t xml:space="preserve"> has the meaning given by section</w:t>
      </w:r>
      <w:r w:rsidR="00583E1A">
        <w:t> </w:t>
      </w:r>
      <w:r w:rsidRPr="00583E1A">
        <w:t>32</w:t>
      </w:r>
      <w:r w:rsidR="00583E1A">
        <w:noBreakHyphen/>
      </w:r>
      <w:r w:rsidRPr="00583E1A">
        <w:t>10.</w:t>
      </w:r>
    </w:p>
    <w:p w:rsidR="00887330" w:rsidRPr="00583E1A" w:rsidRDefault="00887330" w:rsidP="00887330">
      <w:pPr>
        <w:pStyle w:val="Definition"/>
      </w:pPr>
      <w:r w:rsidRPr="00583E1A">
        <w:rPr>
          <w:b/>
          <w:i/>
        </w:rPr>
        <w:t xml:space="preserve">entitled to child care benefit </w:t>
      </w:r>
      <w:r w:rsidRPr="00583E1A">
        <w:t>has the meaning given by section</w:t>
      </w:r>
      <w:r w:rsidR="00583E1A">
        <w:t> </w:t>
      </w:r>
      <w:r w:rsidRPr="00583E1A">
        <w:t>61</w:t>
      </w:r>
      <w:r w:rsidR="00583E1A">
        <w:noBreakHyphen/>
      </w:r>
      <w:r w:rsidRPr="00583E1A">
        <w:t>480.</w:t>
      </w:r>
    </w:p>
    <w:p w:rsidR="00887330" w:rsidRPr="00583E1A" w:rsidRDefault="00887330" w:rsidP="00887330">
      <w:pPr>
        <w:pStyle w:val="Definition"/>
      </w:pPr>
      <w:r w:rsidRPr="00583E1A">
        <w:rPr>
          <w:b/>
          <w:i/>
        </w:rPr>
        <w:t>entitlement to child care benefit</w:t>
      </w:r>
      <w:r w:rsidRPr="00583E1A">
        <w:t xml:space="preserve"> has the meaning given by section</w:t>
      </w:r>
      <w:r w:rsidR="00583E1A">
        <w:t> </w:t>
      </w:r>
      <w:r w:rsidRPr="00583E1A">
        <w:t>61</w:t>
      </w:r>
      <w:r w:rsidR="00583E1A">
        <w:noBreakHyphen/>
      </w:r>
      <w:r w:rsidRPr="00583E1A">
        <w:t>480.</w:t>
      </w:r>
    </w:p>
    <w:p w:rsidR="00887330" w:rsidRPr="00583E1A" w:rsidRDefault="00887330" w:rsidP="00887330">
      <w:pPr>
        <w:pStyle w:val="Definition"/>
      </w:pPr>
      <w:r w:rsidRPr="00583E1A">
        <w:rPr>
          <w:b/>
          <w:i/>
        </w:rPr>
        <w:lastRenderedPageBreak/>
        <w:t>entity</w:t>
      </w:r>
      <w:r w:rsidRPr="00583E1A">
        <w:t xml:space="preserve"> has the meaning given by section</w:t>
      </w:r>
      <w:r w:rsidR="00583E1A">
        <w:t> </w:t>
      </w:r>
      <w:r w:rsidRPr="00583E1A">
        <w:t>960</w:t>
      </w:r>
      <w:r w:rsidR="00583E1A">
        <w:noBreakHyphen/>
      </w:r>
      <w:r w:rsidRPr="00583E1A">
        <w:t>100.</w:t>
      </w:r>
    </w:p>
    <w:p w:rsidR="00887330" w:rsidRPr="00583E1A" w:rsidRDefault="00887330" w:rsidP="00887330">
      <w:pPr>
        <w:pStyle w:val="Definition"/>
      </w:pPr>
      <w:r w:rsidRPr="00583E1A">
        <w:rPr>
          <w:b/>
          <w:i/>
        </w:rPr>
        <w:t>entity maintenance deduction</w:t>
      </w:r>
      <w:r w:rsidRPr="00583E1A">
        <w:t xml:space="preserve"> has the meaning given by subsection 86</w:t>
      </w:r>
      <w:r w:rsidR="00583E1A">
        <w:noBreakHyphen/>
      </w:r>
      <w:r w:rsidRPr="00583E1A">
        <w:t>65(2).</w:t>
      </w:r>
    </w:p>
    <w:p w:rsidR="00887330" w:rsidRPr="00583E1A" w:rsidRDefault="00887330" w:rsidP="00887330">
      <w:pPr>
        <w:pStyle w:val="Definition"/>
      </w:pPr>
      <w:r w:rsidRPr="00583E1A">
        <w:rPr>
          <w:b/>
          <w:i/>
        </w:rPr>
        <w:t>environmental organisation</w:t>
      </w:r>
      <w:r w:rsidRPr="00583E1A">
        <w:t xml:space="preserve"> has the meaning given by sections</w:t>
      </w:r>
      <w:r w:rsidR="00583E1A">
        <w:t> </w:t>
      </w:r>
      <w:r w:rsidRPr="00583E1A">
        <w:t>30</w:t>
      </w:r>
      <w:r w:rsidR="00583E1A">
        <w:noBreakHyphen/>
      </w:r>
      <w:r w:rsidRPr="00583E1A">
        <w:t>260 and 30</w:t>
      </w:r>
      <w:r w:rsidR="00583E1A">
        <w:noBreakHyphen/>
      </w:r>
      <w:r w:rsidRPr="00583E1A">
        <w:t>275.</w:t>
      </w:r>
    </w:p>
    <w:p w:rsidR="00887330" w:rsidRPr="00583E1A" w:rsidRDefault="00887330" w:rsidP="00887330">
      <w:pPr>
        <w:pStyle w:val="Definition"/>
      </w:pPr>
      <w:r w:rsidRPr="00583E1A">
        <w:rPr>
          <w:b/>
          <w:i/>
        </w:rPr>
        <w:t>environmental protection activities</w:t>
      </w:r>
      <w:r w:rsidRPr="00583E1A">
        <w:t xml:space="preserve"> has the meaning given by section</w:t>
      </w:r>
      <w:r w:rsidR="00583E1A">
        <w:t> </w:t>
      </w:r>
      <w:r w:rsidRPr="00583E1A">
        <w:t>40</w:t>
      </w:r>
      <w:r w:rsidR="00583E1A">
        <w:noBreakHyphen/>
      </w:r>
      <w:r w:rsidRPr="00583E1A">
        <w:t>755.</w:t>
      </w:r>
    </w:p>
    <w:p w:rsidR="006535D0" w:rsidRPr="00583E1A" w:rsidRDefault="006535D0" w:rsidP="006535D0">
      <w:pPr>
        <w:pStyle w:val="Definition"/>
      </w:pPr>
      <w:r w:rsidRPr="00583E1A">
        <w:rPr>
          <w:b/>
          <w:i/>
        </w:rPr>
        <w:t>Environment Department</w:t>
      </w:r>
      <w:r w:rsidRPr="00583E1A">
        <w:t xml:space="preserve"> means the Department that:</w:t>
      </w:r>
    </w:p>
    <w:p w:rsidR="006535D0" w:rsidRPr="00583E1A" w:rsidRDefault="006535D0" w:rsidP="006535D0">
      <w:pPr>
        <w:pStyle w:val="paragraph"/>
      </w:pPr>
      <w:r w:rsidRPr="00583E1A">
        <w:tab/>
        <w:t>(a)</w:t>
      </w:r>
      <w:r w:rsidRPr="00583E1A">
        <w:tab/>
        <w:t>deals with matters arising under section</w:t>
      </w:r>
      <w:r w:rsidR="00583E1A">
        <w:t> </w:t>
      </w:r>
      <w:r w:rsidRPr="00583E1A">
        <w:t xml:space="preserve">1 of the </w:t>
      </w:r>
      <w:r w:rsidRPr="00583E1A">
        <w:rPr>
          <w:i/>
        </w:rPr>
        <w:t>Environment Protection and Biodiversity Conservation Act 1999</w:t>
      </w:r>
      <w:r w:rsidRPr="00583E1A">
        <w:t>; and</w:t>
      </w:r>
    </w:p>
    <w:p w:rsidR="006535D0" w:rsidRPr="00583E1A" w:rsidRDefault="006535D0" w:rsidP="006535D0">
      <w:pPr>
        <w:pStyle w:val="paragraph"/>
      </w:pPr>
      <w:r w:rsidRPr="00583E1A">
        <w:tab/>
        <w:t>(b)</w:t>
      </w:r>
      <w:r w:rsidRPr="00583E1A">
        <w:tab/>
        <w:t xml:space="preserve">is administered by the </w:t>
      </w:r>
      <w:r w:rsidR="00583E1A" w:rsidRPr="00583E1A">
        <w:rPr>
          <w:position w:val="6"/>
          <w:sz w:val="16"/>
        </w:rPr>
        <w:t>*</w:t>
      </w:r>
      <w:r w:rsidRPr="00583E1A">
        <w:t>Environment Minister.</w:t>
      </w:r>
    </w:p>
    <w:p w:rsidR="00CE3EDF" w:rsidRPr="00583E1A" w:rsidRDefault="00CE3EDF" w:rsidP="00CE3EDF">
      <w:pPr>
        <w:pStyle w:val="Definition"/>
      </w:pPr>
      <w:r w:rsidRPr="00583E1A">
        <w:rPr>
          <w:b/>
          <w:i/>
        </w:rPr>
        <w:t>Environment Minister</w:t>
      </w:r>
      <w:r w:rsidRPr="00583E1A">
        <w:t xml:space="preserve"> means the Minister administering</w:t>
      </w:r>
      <w:r w:rsidR="006535D0" w:rsidRPr="00583E1A">
        <w:t xml:space="preserve"> section</w:t>
      </w:r>
      <w:r w:rsidR="00583E1A">
        <w:t> </w:t>
      </w:r>
      <w:r w:rsidR="006535D0" w:rsidRPr="00583E1A">
        <w:t>1 of</w:t>
      </w:r>
      <w:r w:rsidRPr="00583E1A">
        <w:t xml:space="preserve"> the </w:t>
      </w:r>
      <w:r w:rsidRPr="00583E1A">
        <w:rPr>
          <w:i/>
        </w:rPr>
        <w:t>Environment Protection and Biodiversity Conservation Act 1999</w:t>
      </w:r>
      <w:r w:rsidRPr="00583E1A">
        <w:t>.</w:t>
      </w:r>
    </w:p>
    <w:p w:rsidR="006535D0" w:rsidRPr="00583E1A" w:rsidRDefault="006535D0" w:rsidP="006535D0">
      <w:pPr>
        <w:pStyle w:val="Definition"/>
      </w:pPr>
      <w:r w:rsidRPr="00583E1A">
        <w:rPr>
          <w:b/>
          <w:i/>
        </w:rPr>
        <w:t>Environment Secretary</w:t>
      </w:r>
      <w:r w:rsidRPr="00583E1A">
        <w:t xml:space="preserve"> means the Secretary of the </w:t>
      </w:r>
      <w:r w:rsidR="00583E1A" w:rsidRPr="00583E1A">
        <w:rPr>
          <w:position w:val="6"/>
          <w:sz w:val="16"/>
        </w:rPr>
        <w:t>*</w:t>
      </w:r>
      <w:r w:rsidRPr="00583E1A">
        <w:t>Environment Department.</w:t>
      </w:r>
    </w:p>
    <w:p w:rsidR="00887330" w:rsidRPr="00583E1A" w:rsidRDefault="00887330" w:rsidP="00F13347">
      <w:pPr>
        <w:pStyle w:val="Definition"/>
        <w:keepNext/>
        <w:keepLines/>
      </w:pPr>
      <w:r w:rsidRPr="00583E1A">
        <w:rPr>
          <w:b/>
          <w:i/>
        </w:rPr>
        <w:t>equity capital</w:t>
      </w:r>
      <w:r w:rsidRPr="00583E1A">
        <w:t xml:space="preserve"> of an entity at a particular time means the total of the following as at that time:</w:t>
      </w:r>
    </w:p>
    <w:p w:rsidR="00887330" w:rsidRPr="00583E1A" w:rsidRDefault="00887330" w:rsidP="00887330">
      <w:pPr>
        <w:pStyle w:val="paragraph"/>
      </w:pPr>
      <w:r w:rsidRPr="00583E1A">
        <w:tab/>
        <w:t>(</w:t>
      </w:r>
      <w:r w:rsidRPr="00583E1A">
        <w:rPr>
          <w:noProof/>
        </w:rPr>
        <w:t>a</w:t>
      </w:r>
      <w:r w:rsidRPr="00583E1A">
        <w:t>)</w:t>
      </w:r>
      <w:r w:rsidRPr="00583E1A">
        <w:tab/>
        <w:t xml:space="preserve">the issue price (however described) of each </w:t>
      </w:r>
      <w:r w:rsidR="00583E1A" w:rsidRPr="00583E1A">
        <w:rPr>
          <w:position w:val="6"/>
          <w:sz w:val="16"/>
        </w:rPr>
        <w:t>*</w:t>
      </w:r>
      <w:r w:rsidRPr="00583E1A">
        <w:t xml:space="preserve">equity interest in the entity that is still </w:t>
      </w:r>
      <w:r w:rsidR="00583E1A" w:rsidRPr="00583E1A">
        <w:rPr>
          <w:position w:val="6"/>
          <w:sz w:val="16"/>
        </w:rPr>
        <w:t>*</w:t>
      </w:r>
      <w:r w:rsidRPr="00583E1A">
        <w:t>on issue, reduced by so much (if any) of the issue price as remains unpaid;</w:t>
      </w:r>
    </w:p>
    <w:p w:rsidR="00887330" w:rsidRPr="00583E1A" w:rsidRDefault="00887330" w:rsidP="00887330">
      <w:pPr>
        <w:pStyle w:val="paragraph"/>
      </w:pPr>
      <w:r w:rsidRPr="00583E1A">
        <w:tab/>
        <w:t>(</w:t>
      </w:r>
      <w:r w:rsidRPr="00583E1A">
        <w:rPr>
          <w:noProof/>
        </w:rPr>
        <w:t>b</w:t>
      </w:r>
      <w:r w:rsidRPr="00583E1A">
        <w:t>)</w:t>
      </w:r>
      <w:r w:rsidRPr="00583E1A">
        <w:tab/>
        <w:t>the entity’s general reserves and asset revaluation reserves;</w:t>
      </w:r>
    </w:p>
    <w:p w:rsidR="00887330" w:rsidRPr="00583E1A" w:rsidRDefault="00887330" w:rsidP="00887330">
      <w:pPr>
        <w:pStyle w:val="paragraph"/>
      </w:pPr>
      <w:r w:rsidRPr="00583E1A">
        <w:tab/>
        <w:t>(</w:t>
      </w:r>
      <w:r w:rsidRPr="00583E1A">
        <w:rPr>
          <w:noProof/>
        </w:rPr>
        <w:t>c</w:t>
      </w:r>
      <w:r w:rsidRPr="00583E1A">
        <w:t>)</w:t>
      </w:r>
      <w:r w:rsidRPr="00583E1A">
        <w:tab/>
        <w:t>the entity’s retained earnings;</w:t>
      </w:r>
    </w:p>
    <w:p w:rsidR="00887330" w:rsidRPr="00583E1A" w:rsidRDefault="00887330" w:rsidP="00887330">
      <w:pPr>
        <w:pStyle w:val="paragraph"/>
      </w:pPr>
      <w:r w:rsidRPr="00583E1A">
        <w:tab/>
        <w:t>(</w:t>
      </w:r>
      <w:r w:rsidRPr="00583E1A">
        <w:rPr>
          <w:noProof/>
        </w:rPr>
        <w:t>d</w:t>
      </w:r>
      <w:r w:rsidRPr="00583E1A">
        <w:t>)</w:t>
      </w:r>
      <w:r w:rsidRPr="00583E1A">
        <w:tab/>
        <w:t>the entity’s net earnings (if any) for the current year, reduced by:</w:t>
      </w:r>
    </w:p>
    <w:p w:rsidR="00887330" w:rsidRPr="00583E1A" w:rsidRDefault="00887330" w:rsidP="00887330">
      <w:pPr>
        <w:pStyle w:val="paragraphsub"/>
      </w:pPr>
      <w:r w:rsidRPr="00583E1A">
        <w:tab/>
        <w:t>(</w:t>
      </w:r>
      <w:r w:rsidRPr="00583E1A">
        <w:rPr>
          <w:noProof/>
        </w:rPr>
        <w:t>i</w:t>
      </w:r>
      <w:r w:rsidRPr="00583E1A">
        <w:t>)</w:t>
      </w:r>
      <w:r w:rsidRPr="00583E1A">
        <w:tab/>
        <w:t xml:space="preserve">the </w:t>
      </w:r>
      <w:r w:rsidR="00583E1A" w:rsidRPr="00583E1A">
        <w:rPr>
          <w:position w:val="6"/>
          <w:sz w:val="16"/>
        </w:rPr>
        <w:t>*</w:t>
      </w:r>
      <w:r w:rsidRPr="00583E1A">
        <w:t>tax the entity expects to pay in respect of those net earnings; and</w:t>
      </w:r>
    </w:p>
    <w:p w:rsidR="00887330" w:rsidRPr="00583E1A" w:rsidRDefault="00887330" w:rsidP="00887330">
      <w:pPr>
        <w:pStyle w:val="paragraphsub"/>
      </w:pPr>
      <w:r w:rsidRPr="00583E1A">
        <w:tab/>
        <w:t>(</w:t>
      </w:r>
      <w:r w:rsidRPr="00583E1A">
        <w:rPr>
          <w:noProof/>
        </w:rPr>
        <w:t>ii</w:t>
      </w:r>
      <w:r w:rsidRPr="00583E1A">
        <w:t>)</w:t>
      </w:r>
      <w:r w:rsidRPr="00583E1A">
        <w:tab/>
        <w:t xml:space="preserve">so much of each distribution to the entity’s </w:t>
      </w:r>
      <w:r w:rsidR="00583E1A" w:rsidRPr="00583E1A">
        <w:rPr>
          <w:position w:val="6"/>
          <w:sz w:val="16"/>
        </w:rPr>
        <w:t>*</w:t>
      </w:r>
      <w:r w:rsidRPr="00583E1A">
        <w:t>members that has been made or declared as at that time as is attributable to the entity’s earnings for the current year;</w:t>
      </w:r>
    </w:p>
    <w:p w:rsidR="00887330" w:rsidRPr="00583E1A" w:rsidRDefault="00887330" w:rsidP="00887330">
      <w:pPr>
        <w:pStyle w:val="paragraph"/>
      </w:pPr>
      <w:r w:rsidRPr="00583E1A">
        <w:tab/>
        <w:t>(</w:t>
      </w:r>
      <w:r w:rsidRPr="00583E1A">
        <w:rPr>
          <w:noProof/>
        </w:rPr>
        <w:t>e</w:t>
      </w:r>
      <w:r w:rsidRPr="00583E1A">
        <w:t>)</w:t>
      </w:r>
      <w:r w:rsidRPr="00583E1A">
        <w:tab/>
        <w:t xml:space="preserve">if the entity is a </w:t>
      </w:r>
      <w:r w:rsidR="00583E1A" w:rsidRPr="00583E1A">
        <w:rPr>
          <w:position w:val="6"/>
          <w:sz w:val="16"/>
        </w:rPr>
        <w:t>*</w:t>
      </w:r>
      <w:r w:rsidRPr="00583E1A">
        <w:t xml:space="preserve">corporate tax entity—provisions for </w:t>
      </w:r>
      <w:r w:rsidR="00583E1A" w:rsidRPr="00583E1A">
        <w:rPr>
          <w:position w:val="6"/>
          <w:sz w:val="16"/>
        </w:rPr>
        <w:t>*</w:t>
      </w:r>
      <w:r w:rsidRPr="00583E1A">
        <w:t>distributions of profit;</w:t>
      </w:r>
    </w:p>
    <w:p w:rsidR="00887330" w:rsidRPr="00583E1A" w:rsidRDefault="00887330" w:rsidP="00887330">
      <w:pPr>
        <w:pStyle w:val="paragraph"/>
      </w:pPr>
      <w:r w:rsidRPr="00583E1A">
        <w:lastRenderedPageBreak/>
        <w:tab/>
        <w:t>(</w:t>
      </w:r>
      <w:r w:rsidRPr="00583E1A">
        <w:rPr>
          <w:noProof/>
        </w:rPr>
        <w:t>f</w:t>
      </w:r>
      <w:r w:rsidRPr="00583E1A">
        <w:t>)</w:t>
      </w:r>
      <w:r w:rsidRPr="00583E1A">
        <w:tab/>
        <w:t xml:space="preserve">if </w:t>
      </w:r>
      <w:r w:rsidR="00583E1A">
        <w:t>paragraph (</w:t>
      </w:r>
      <w:r w:rsidRPr="00583E1A">
        <w:t xml:space="preserve">e) does not apply—provisions for distributions to the entity’s </w:t>
      </w:r>
      <w:r w:rsidR="00583E1A" w:rsidRPr="00583E1A">
        <w:rPr>
          <w:position w:val="6"/>
          <w:sz w:val="16"/>
        </w:rPr>
        <w:t>*</w:t>
      </w:r>
      <w:r w:rsidRPr="00583E1A">
        <w:t>members;</w:t>
      </w:r>
    </w:p>
    <w:p w:rsidR="00887330" w:rsidRPr="00583E1A" w:rsidRDefault="00887330" w:rsidP="00A756C6">
      <w:pPr>
        <w:pStyle w:val="subsection2"/>
        <w:keepNext/>
        <w:keepLines/>
      </w:pPr>
      <w:r w:rsidRPr="00583E1A">
        <w:t>reduced by the total of the following as at that time:</w:t>
      </w:r>
    </w:p>
    <w:p w:rsidR="00887330" w:rsidRPr="00583E1A" w:rsidRDefault="00887330" w:rsidP="00887330">
      <w:pPr>
        <w:pStyle w:val="paragraph"/>
      </w:pPr>
      <w:r w:rsidRPr="00583E1A">
        <w:tab/>
        <w:t>(</w:t>
      </w:r>
      <w:r w:rsidRPr="00583E1A">
        <w:rPr>
          <w:noProof/>
        </w:rPr>
        <w:t>g</w:t>
      </w:r>
      <w:r w:rsidRPr="00583E1A">
        <w:t>)</w:t>
      </w:r>
      <w:r w:rsidRPr="00583E1A">
        <w:tab/>
        <w:t>the entity’s negative retained earnings (if any);</w:t>
      </w:r>
    </w:p>
    <w:p w:rsidR="00887330" w:rsidRPr="00583E1A" w:rsidRDefault="00887330" w:rsidP="00887330">
      <w:pPr>
        <w:pStyle w:val="paragraph"/>
      </w:pPr>
      <w:r w:rsidRPr="00583E1A">
        <w:tab/>
        <w:t>(</w:t>
      </w:r>
      <w:r w:rsidRPr="00583E1A">
        <w:rPr>
          <w:noProof/>
        </w:rPr>
        <w:t>h</w:t>
      </w:r>
      <w:r w:rsidRPr="00583E1A">
        <w:t>)</w:t>
      </w:r>
      <w:r w:rsidRPr="00583E1A">
        <w:tab/>
        <w:t>the entity’s net loss (if any) for the current year.</w:t>
      </w:r>
    </w:p>
    <w:p w:rsidR="00887330" w:rsidRPr="00583E1A" w:rsidRDefault="00887330" w:rsidP="00887330">
      <w:pPr>
        <w:pStyle w:val="Definition"/>
      </w:pPr>
      <w:r w:rsidRPr="00583E1A">
        <w:rPr>
          <w:b/>
          <w:i/>
        </w:rPr>
        <w:t>equity holder</w:t>
      </w:r>
      <w:r w:rsidRPr="00583E1A">
        <w:t xml:space="preserve"> in a company means an entity that holds an </w:t>
      </w:r>
      <w:r w:rsidR="00583E1A" w:rsidRPr="00583E1A">
        <w:rPr>
          <w:position w:val="6"/>
          <w:sz w:val="16"/>
        </w:rPr>
        <w:t>*</w:t>
      </w:r>
      <w:r w:rsidRPr="00583E1A">
        <w:t>equity interest in the company.</w:t>
      </w:r>
    </w:p>
    <w:p w:rsidR="00887330" w:rsidRPr="00583E1A" w:rsidRDefault="00887330" w:rsidP="00887330">
      <w:pPr>
        <w:pStyle w:val="Definition"/>
      </w:pPr>
      <w:r w:rsidRPr="00583E1A">
        <w:rPr>
          <w:b/>
          <w:i/>
        </w:rPr>
        <w:t>equity interest</w:t>
      </w:r>
      <w:r w:rsidRPr="00583E1A">
        <w:t xml:space="preserve"> in an entity has the meaning given by:</w:t>
      </w:r>
    </w:p>
    <w:p w:rsidR="00887330" w:rsidRPr="00583E1A" w:rsidRDefault="00887330" w:rsidP="00887330">
      <w:pPr>
        <w:pStyle w:val="paragraph"/>
      </w:pPr>
      <w:r w:rsidRPr="00583E1A">
        <w:tab/>
        <w:t>(</w:t>
      </w:r>
      <w:r w:rsidRPr="00583E1A">
        <w:rPr>
          <w:noProof/>
        </w:rPr>
        <w:t>a</w:t>
      </w:r>
      <w:r w:rsidRPr="00583E1A">
        <w:t>)</w:t>
      </w:r>
      <w:r w:rsidRPr="00583E1A">
        <w:tab/>
        <w:t>in the case of a company—Subdivision</w:t>
      </w:r>
      <w:r w:rsidR="00583E1A">
        <w:t> </w:t>
      </w:r>
      <w:r w:rsidRPr="00583E1A">
        <w:t>974</w:t>
      </w:r>
      <w:r w:rsidR="00583E1A">
        <w:noBreakHyphen/>
      </w:r>
      <w:r w:rsidRPr="00583E1A">
        <w:t>C; and</w:t>
      </w:r>
    </w:p>
    <w:p w:rsidR="00887330" w:rsidRPr="00583E1A" w:rsidRDefault="00887330" w:rsidP="00887330">
      <w:pPr>
        <w:pStyle w:val="paragraph"/>
      </w:pPr>
      <w:r w:rsidRPr="00583E1A">
        <w:tab/>
        <w:t>(</w:t>
      </w:r>
      <w:r w:rsidRPr="00583E1A">
        <w:rPr>
          <w:noProof/>
        </w:rPr>
        <w:t>b</w:t>
      </w:r>
      <w:r w:rsidRPr="00583E1A">
        <w:t>)</w:t>
      </w:r>
      <w:r w:rsidRPr="00583E1A">
        <w:tab/>
        <w:t>in the case of a trust or partnership—section</w:t>
      </w:r>
      <w:r w:rsidR="00583E1A">
        <w:t> </w:t>
      </w:r>
      <w:r w:rsidRPr="00583E1A">
        <w:t>820</w:t>
      </w:r>
      <w:r w:rsidR="00583E1A">
        <w:noBreakHyphen/>
      </w:r>
      <w:r w:rsidRPr="00583E1A">
        <w:t>930.</w:t>
      </w:r>
    </w:p>
    <w:p w:rsidR="00887330" w:rsidRPr="00583E1A" w:rsidRDefault="00887330" w:rsidP="00887330">
      <w:pPr>
        <w:pStyle w:val="Definition"/>
      </w:pPr>
      <w:r w:rsidRPr="00583E1A">
        <w:rPr>
          <w:b/>
          <w:i/>
        </w:rPr>
        <w:t>equity or loan interest</w:t>
      </w:r>
      <w:r w:rsidRPr="00583E1A">
        <w:t xml:space="preserve"> has the meaning given by section</w:t>
      </w:r>
      <w:r w:rsidR="00583E1A">
        <w:t> </w:t>
      </w:r>
      <w:r w:rsidRPr="00583E1A">
        <w:t>727</w:t>
      </w:r>
      <w:r w:rsidR="00583E1A">
        <w:noBreakHyphen/>
      </w:r>
      <w:r w:rsidRPr="00583E1A">
        <w:t>520.</w:t>
      </w:r>
    </w:p>
    <w:p w:rsidR="00F35C39" w:rsidRPr="00303F70" w:rsidRDefault="00F35C39" w:rsidP="00F35C39">
      <w:pPr>
        <w:pStyle w:val="Definition"/>
      </w:pPr>
      <w:r w:rsidRPr="00303F70">
        <w:rPr>
          <w:b/>
          <w:i/>
        </w:rPr>
        <w:t>ESS deferred taxing point</w:t>
      </w:r>
      <w:r w:rsidRPr="00303F70">
        <w:t xml:space="preserve">, for an </w:t>
      </w:r>
      <w:r w:rsidRPr="00303F70">
        <w:rPr>
          <w:position w:val="6"/>
          <w:sz w:val="16"/>
        </w:rPr>
        <w:t>*</w:t>
      </w:r>
      <w:r w:rsidRPr="00303F70">
        <w:t>ESS interest, has the meaning given by sections 83A</w:t>
      </w:r>
      <w:r w:rsidRPr="00303F70">
        <w:noBreakHyphen/>
        <w:t>115 and 83A</w:t>
      </w:r>
      <w:r w:rsidRPr="00303F70">
        <w:noBreakHyphen/>
        <w:t>120.</w:t>
      </w:r>
    </w:p>
    <w:p w:rsidR="00F35C39" w:rsidRPr="00303F70" w:rsidRDefault="00F35C39" w:rsidP="00F35C39">
      <w:pPr>
        <w:pStyle w:val="notetext"/>
      </w:pPr>
      <w:r w:rsidRPr="00303F70">
        <w:t>Note 1:</w:t>
      </w:r>
      <w:r w:rsidRPr="00303F70">
        <w:tab/>
        <w:t>ESS is short for employee share scheme.</w:t>
      </w:r>
    </w:p>
    <w:p w:rsidR="00F35C39" w:rsidRPr="00303F70" w:rsidRDefault="00F35C39" w:rsidP="00F35C39">
      <w:pPr>
        <w:pStyle w:val="notetext"/>
      </w:pPr>
      <w:r w:rsidRPr="00303F70">
        <w:t>Note 2:</w:t>
      </w:r>
      <w:r w:rsidRPr="00303F70">
        <w:tab/>
        <w:t>For ESS interests acquired before 1 July 2009, see subsection 83A</w:t>
      </w:r>
      <w:r w:rsidRPr="00303F70">
        <w:noBreakHyphen/>
        <w:t xml:space="preserve">5(4) of the </w:t>
      </w:r>
      <w:r w:rsidRPr="00303F70">
        <w:rPr>
          <w:i/>
        </w:rPr>
        <w:t>Income Tax (Transitional Provisions) Act 1997</w:t>
      </w:r>
      <w:r w:rsidRPr="00303F70">
        <w:t>.</w:t>
      </w:r>
    </w:p>
    <w:p w:rsidR="00F35C39" w:rsidRPr="00303F70" w:rsidRDefault="00F35C39" w:rsidP="00F13347">
      <w:pPr>
        <w:pStyle w:val="Definition"/>
        <w:keepNext/>
        <w:keepLines/>
      </w:pPr>
      <w:r w:rsidRPr="00303F70">
        <w:rPr>
          <w:b/>
          <w:i/>
        </w:rPr>
        <w:t>ESS interest</w:t>
      </w:r>
      <w:r w:rsidRPr="00303F70">
        <w:t>, in a company, has the meaning given by subsection 83A</w:t>
      </w:r>
      <w:r w:rsidRPr="00303F70">
        <w:noBreakHyphen/>
        <w:t>10(1).</w:t>
      </w:r>
    </w:p>
    <w:p w:rsidR="00F35C39" w:rsidRPr="00303F70" w:rsidRDefault="00F35C39" w:rsidP="00F35C39">
      <w:pPr>
        <w:pStyle w:val="notetext"/>
      </w:pPr>
      <w:r w:rsidRPr="00303F70">
        <w:t>Note:</w:t>
      </w:r>
      <w:r w:rsidRPr="00303F70">
        <w:tab/>
        <w:t>ESS is short for employee share scheme.</w:t>
      </w:r>
    </w:p>
    <w:p w:rsidR="00167323" w:rsidRPr="00583E1A" w:rsidRDefault="00167323" w:rsidP="00167323">
      <w:pPr>
        <w:pStyle w:val="Definition"/>
      </w:pPr>
      <w:r w:rsidRPr="00583E1A">
        <w:rPr>
          <w:b/>
          <w:i/>
        </w:rPr>
        <w:t>ESVCLP</w:t>
      </w:r>
      <w:r w:rsidRPr="00583E1A">
        <w:t xml:space="preserve"> means an </w:t>
      </w:r>
      <w:r w:rsidR="00583E1A" w:rsidRPr="00583E1A">
        <w:rPr>
          <w:position w:val="6"/>
          <w:sz w:val="16"/>
        </w:rPr>
        <w:t>*</w:t>
      </w:r>
      <w:r w:rsidRPr="00583E1A">
        <w:t>early stage venture capital limited partnership.</w:t>
      </w:r>
    </w:p>
    <w:p w:rsidR="00672921" w:rsidRPr="00583E1A" w:rsidRDefault="00672921" w:rsidP="00672921">
      <w:pPr>
        <w:pStyle w:val="Definition"/>
      </w:pPr>
      <w:r w:rsidRPr="00583E1A">
        <w:rPr>
          <w:b/>
          <w:i/>
        </w:rPr>
        <w:t>ETP cap amount</w:t>
      </w:r>
      <w:r w:rsidRPr="00583E1A">
        <w:t xml:space="preserve"> has the meaning given by section</w:t>
      </w:r>
      <w:r w:rsidR="00583E1A">
        <w:t> </w:t>
      </w:r>
      <w:r w:rsidRPr="00583E1A">
        <w:t>82</w:t>
      </w:r>
      <w:r w:rsidR="00583E1A">
        <w:noBreakHyphen/>
      </w:r>
      <w:r w:rsidRPr="00583E1A">
        <w:t>160.</w:t>
      </w:r>
    </w:p>
    <w:p w:rsidR="003226E9" w:rsidRPr="008A6DF7" w:rsidRDefault="003226E9" w:rsidP="003226E9">
      <w:pPr>
        <w:pStyle w:val="Definition"/>
      </w:pPr>
      <w:r w:rsidRPr="008A6DF7">
        <w:rPr>
          <w:b/>
          <w:i/>
        </w:rPr>
        <w:t>excepted trust</w:t>
      </w:r>
      <w:r w:rsidRPr="008A6DF7">
        <w:t xml:space="preserve"> has the meaning given by section 272</w:t>
      </w:r>
      <w:r w:rsidRPr="008A6DF7">
        <w:noBreakHyphen/>
        <w:t xml:space="preserve">100 in Schedule 2F to the </w:t>
      </w:r>
      <w:r w:rsidRPr="008A6DF7">
        <w:rPr>
          <w:i/>
        </w:rPr>
        <w:t>Income Tax Assessment Act 1936</w:t>
      </w:r>
      <w:r w:rsidRPr="008A6DF7">
        <w:t>.</w:t>
      </w:r>
    </w:p>
    <w:p w:rsidR="00672921" w:rsidRPr="00583E1A" w:rsidRDefault="00672921" w:rsidP="00672921">
      <w:pPr>
        <w:pStyle w:val="Definition"/>
      </w:pPr>
      <w:r w:rsidRPr="00583E1A">
        <w:rPr>
          <w:b/>
          <w:i/>
        </w:rPr>
        <w:t>excess concessional contributions</w:t>
      </w:r>
      <w:r w:rsidRPr="00583E1A">
        <w:t xml:space="preserve"> has the meaning given by section</w:t>
      </w:r>
      <w:r w:rsidR="00583E1A">
        <w:t> </w:t>
      </w:r>
      <w:r w:rsidRPr="00583E1A">
        <w:t>292</w:t>
      </w:r>
      <w:r w:rsidR="00583E1A">
        <w:noBreakHyphen/>
      </w:r>
      <w:r w:rsidRPr="00583E1A">
        <w:t>20.</w:t>
      </w:r>
    </w:p>
    <w:p w:rsidR="00672921" w:rsidRPr="00583E1A" w:rsidRDefault="00672921" w:rsidP="00672921">
      <w:pPr>
        <w:pStyle w:val="Definition"/>
      </w:pPr>
      <w:r w:rsidRPr="00583E1A">
        <w:rPr>
          <w:b/>
          <w:i/>
        </w:rPr>
        <w:t xml:space="preserve">excess concessional contributions tax </w:t>
      </w:r>
      <w:r w:rsidRPr="00583E1A">
        <w:t xml:space="preserve">means tax imposed under the </w:t>
      </w:r>
      <w:r w:rsidRPr="00583E1A">
        <w:rPr>
          <w:i/>
        </w:rPr>
        <w:t>Superannuation (Excess Concessional Contributions Tax) Act 2007</w:t>
      </w:r>
      <w:r w:rsidRPr="00583E1A">
        <w:t>.</w:t>
      </w:r>
    </w:p>
    <w:p w:rsidR="00672921" w:rsidRPr="00583E1A" w:rsidRDefault="00672921" w:rsidP="00672921">
      <w:pPr>
        <w:pStyle w:val="Definition"/>
        <w:rPr>
          <w:b/>
          <w:i/>
        </w:rPr>
      </w:pPr>
      <w:r w:rsidRPr="00583E1A">
        <w:rPr>
          <w:b/>
          <w:i/>
        </w:rPr>
        <w:t xml:space="preserve">excess contributions tax </w:t>
      </w:r>
      <w:r w:rsidRPr="00583E1A">
        <w:t>means:</w:t>
      </w:r>
    </w:p>
    <w:p w:rsidR="00672921" w:rsidRPr="00583E1A" w:rsidRDefault="00672921" w:rsidP="00672921">
      <w:pPr>
        <w:pStyle w:val="paragraph"/>
      </w:pPr>
      <w:r w:rsidRPr="00583E1A">
        <w:tab/>
        <w:t>(a)</w:t>
      </w:r>
      <w:r w:rsidRPr="00583E1A">
        <w:tab/>
      </w:r>
      <w:r w:rsidR="00583E1A" w:rsidRPr="00583E1A">
        <w:rPr>
          <w:position w:val="6"/>
          <w:sz w:val="16"/>
        </w:rPr>
        <w:t>*</w:t>
      </w:r>
      <w:r w:rsidRPr="00583E1A">
        <w:t>excess concessional contributions tax; or</w:t>
      </w:r>
    </w:p>
    <w:p w:rsidR="00672921" w:rsidRPr="00583E1A" w:rsidRDefault="00672921" w:rsidP="00672921">
      <w:pPr>
        <w:pStyle w:val="paragraph"/>
      </w:pPr>
      <w:r w:rsidRPr="00583E1A">
        <w:lastRenderedPageBreak/>
        <w:tab/>
        <w:t>(b)</w:t>
      </w:r>
      <w:r w:rsidRPr="00583E1A">
        <w:tab/>
      </w:r>
      <w:r w:rsidR="00583E1A" w:rsidRPr="00583E1A">
        <w:rPr>
          <w:position w:val="6"/>
          <w:sz w:val="16"/>
        </w:rPr>
        <w:t>*</w:t>
      </w:r>
      <w:r w:rsidRPr="00583E1A">
        <w:t>excess non</w:t>
      </w:r>
      <w:r w:rsidR="00583E1A">
        <w:noBreakHyphen/>
      </w:r>
      <w:r w:rsidRPr="00583E1A">
        <w:t>concessional contributions tax.</w:t>
      </w:r>
    </w:p>
    <w:p w:rsidR="00672921" w:rsidRPr="00583E1A" w:rsidRDefault="00672921" w:rsidP="00672921">
      <w:pPr>
        <w:pStyle w:val="Definition"/>
      </w:pPr>
      <w:r w:rsidRPr="00583E1A">
        <w:rPr>
          <w:b/>
          <w:i/>
        </w:rPr>
        <w:t xml:space="preserve">excess contributions tax assessment </w:t>
      </w:r>
      <w:r w:rsidRPr="00583E1A">
        <w:t>has the meaning given by section</w:t>
      </w:r>
      <w:r w:rsidR="00583E1A">
        <w:t> </w:t>
      </w:r>
      <w:r w:rsidRPr="00583E1A">
        <w:t>292</w:t>
      </w:r>
      <w:r w:rsidR="00583E1A">
        <w:noBreakHyphen/>
      </w:r>
      <w:r w:rsidRPr="00583E1A">
        <w:t>230.</w:t>
      </w:r>
    </w:p>
    <w:p w:rsidR="00887330" w:rsidRPr="00583E1A" w:rsidRDefault="00887330" w:rsidP="00887330">
      <w:pPr>
        <w:pStyle w:val="Definition"/>
      </w:pPr>
      <w:r w:rsidRPr="00583E1A">
        <w:rPr>
          <w:b/>
          <w:i/>
        </w:rPr>
        <w:t xml:space="preserve">excess franking offsets </w:t>
      </w:r>
      <w:r w:rsidRPr="00583E1A">
        <w:t>has the meaning given by section</w:t>
      </w:r>
      <w:r w:rsidR="00583E1A">
        <w:t> </w:t>
      </w:r>
      <w:r w:rsidRPr="00583E1A">
        <w:t>36</w:t>
      </w:r>
      <w:r w:rsidR="00583E1A">
        <w:noBreakHyphen/>
      </w:r>
      <w:r w:rsidRPr="00583E1A">
        <w:t>55.</w:t>
      </w:r>
    </w:p>
    <w:p w:rsidR="00672921" w:rsidRPr="00583E1A" w:rsidRDefault="00672921" w:rsidP="00672921">
      <w:pPr>
        <w:pStyle w:val="Definition"/>
      </w:pPr>
      <w:r w:rsidRPr="00583E1A">
        <w:rPr>
          <w:b/>
          <w:i/>
        </w:rPr>
        <w:t>excess non</w:t>
      </w:r>
      <w:r w:rsidR="00583E1A">
        <w:rPr>
          <w:b/>
          <w:i/>
        </w:rPr>
        <w:noBreakHyphen/>
      </w:r>
      <w:r w:rsidRPr="00583E1A">
        <w:rPr>
          <w:b/>
          <w:i/>
        </w:rPr>
        <w:t>concessional contributions</w:t>
      </w:r>
      <w:r w:rsidRPr="00583E1A">
        <w:t xml:space="preserve"> has the meaning given by section</w:t>
      </w:r>
      <w:r w:rsidR="00583E1A">
        <w:t> </w:t>
      </w:r>
      <w:r w:rsidRPr="00583E1A">
        <w:t>292</w:t>
      </w:r>
      <w:r w:rsidR="00583E1A">
        <w:noBreakHyphen/>
      </w:r>
      <w:r w:rsidRPr="00583E1A">
        <w:t>85.</w:t>
      </w:r>
    </w:p>
    <w:p w:rsidR="00130B94" w:rsidRPr="00583E1A" w:rsidRDefault="00130B94" w:rsidP="00130B94">
      <w:pPr>
        <w:pStyle w:val="Definition"/>
      </w:pPr>
      <w:r w:rsidRPr="00583E1A">
        <w:rPr>
          <w:b/>
          <w:i/>
        </w:rPr>
        <w:t>excess non</w:t>
      </w:r>
      <w:r w:rsidR="00583E1A">
        <w:rPr>
          <w:b/>
          <w:i/>
        </w:rPr>
        <w:noBreakHyphen/>
      </w:r>
      <w:r w:rsidRPr="00583E1A">
        <w:rPr>
          <w:b/>
          <w:i/>
        </w:rPr>
        <w:t xml:space="preserve">concessional contributions tax </w:t>
      </w:r>
      <w:r w:rsidRPr="00583E1A">
        <w:t xml:space="preserve">means tax imposed under the </w:t>
      </w:r>
      <w:r w:rsidRPr="00583E1A">
        <w:rPr>
          <w:i/>
        </w:rPr>
        <w:t>Superannuation (Excess Non</w:t>
      </w:r>
      <w:r w:rsidR="00583E1A">
        <w:rPr>
          <w:i/>
        </w:rPr>
        <w:noBreakHyphen/>
      </w:r>
      <w:r w:rsidRPr="00583E1A">
        <w:rPr>
          <w:i/>
        </w:rPr>
        <w:t>concessional Contributions Tax) Act 2007</w:t>
      </w:r>
      <w:r w:rsidRPr="00583E1A">
        <w:t>.</w:t>
      </w:r>
    </w:p>
    <w:p w:rsidR="00130B94" w:rsidRPr="00583E1A" w:rsidRDefault="00130B94" w:rsidP="00130B94">
      <w:pPr>
        <w:pStyle w:val="Definition"/>
      </w:pPr>
      <w:r w:rsidRPr="00583E1A">
        <w:rPr>
          <w:b/>
          <w:i/>
        </w:rPr>
        <w:t>excess untaxed roll</w:t>
      </w:r>
      <w:r w:rsidR="00583E1A">
        <w:rPr>
          <w:b/>
          <w:i/>
        </w:rPr>
        <w:noBreakHyphen/>
      </w:r>
      <w:r w:rsidRPr="00583E1A">
        <w:rPr>
          <w:b/>
          <w:i/>
        </w:rPr>
        <w:t xml:space="preserve">over amount </w:t>
      </w:r>
      <w:r w:rsidRPr="00583E1A">
        <w:t>has the meaning given by section</w:t>
      </w:r>
      <w:r w:rsidR="00583E1A">
        <w:t> </w:t>
      </w:r>
      <w:r w:rsidRPr="00583E1A">
        <w:t>306</w:t>
      </w:r>
      <w:r w:rsidR="00583E1A">
        <w:noBreakHyphen/>
      </w:r>
      <w:r w:rsidRPr="00583E1A">
        <w:t>15.</w:t>
      </w:r>
    </w:p>
    <w:p w:rsidR="00887330" w:rsidRPr="00583E1A" w:rsidRDefault="00887330" w:rsidP="00887330">
      <w:pPr>
        <w:pStyle w:val="Definition"/>
      </w:pPr>
      <w:r w:rsidRPr="00583E1A">
        <w:rPr>
          <w:b/>
          <w:i/>
        </w:rPr>
        <w:t>exchangeable interest</w:t>
      </w:r>
      <w:r w:rsidRPr="00583E1A">
        <w:t xml:space="preserve"> has the meaning given by section</w:t>
      </w:r>
      <w:r w:rsidR="00583E1A">
        <w:t> </w:t>
      </w:r>
      <w:r w:rsidRPr="00583E1A">
        <w:t>130</w:t>
      </w:r>
      <w:r w:rsidR="00583E1A">
        <w:noBreakHyphen/>
      </w:r>
      <w:r w:rsidRPr="00583E1A">
        <w:t>100.</w:t>
      </w:r>
    </w:p>
    <w:p w:rsidR="00DC6942" w:rsidRPr="008A6DF7" w:rsidRDefault="00DC6942" w:rsidP="00DC6942">
      <w:pPr>
        <w:pStyle w:val="Definition"/>
      </w:pPr>
      <w:r w:rsidRPr="008A6DF7">
        <w:rPr>
          <w:b/>
          <w:i/>
        </w:rPr>
        <w:t>Excise Acts</w:t>
      </w:r>
      <w:r w:rsidRPr="008A6DF7">
        <w:t xml:space="preserve"> has the meaning given by the </w:t>
      </w:r>
      <w:r w:rsidRPr="008A6DF7">
        <w:rPr>
          <w:i/>
        </w:rPr>
        <w:t>Excise Act 1901</w:t>
      </w:r>
      <w:r w:rsidRPr="008A6DF7">
        <w:t>.</w:t>
      </w:r>
    </w:p>
    <w:p w:rsidR="00770D48" w:rsidRPr="009918EE" w:rsidRDefault="00770D48" w:rsidP="00770D48">
      <w:pPr>
        <w:pStyle w:val="Definition"/>
      </w:pPr>
      <w:r w:rsidRPr="009918EE">
        <w:rPr>
          <w:b/>
          <w:i/>
        </w:rPr>
        <w:t>excise duty</w:t>
      </w:r>
      <w:r w:rsidRPr="009918EE">
        <w:t xml:space="preserve"> has the meaning given by the </w:t>
      </w:r>
      <w:r w:rsidRPr="009918EE">
        <w:rPr>
          <w:position w:val="6"/>
          <w:sz w:val="16"/>
        </w:rPr>
        <w:t>*</w:t>
      </w:r>
      <w:r w:rsidRPr="009918EE">
        <w:t>GST Act.</w:t>
      </w:r>
    </w:p>
    <w:p w:rsidR="007E4DB4" w:rsidRPr="002F3C08" w:rsidRDefault="007E4DB4" w:rsidP="007E4DB4">
      <w:pPr>
        <w:pStyle w:val="Definition"/>
      </w:pPr>
      <w:r w:rsidRPr="002F3C08">
        <w:rPr>
          <w:b/>
          <w:i/>
        </w:rPr>
        <w:t>excise</w:t>
      </w:r>
      <w:r w:rsidRPr="002F3C08">
        <w:rPr>
          <w:b/>
          <w:i/>
        </w:rPr>
        <w:noBreakHyphen/>
        <w:t>equivalent goods</w:t>
      </w:r>
      <w:r w:rsidRPr="002F3C08">
        <w:t xml:space="preserve"> has the same meaning as in the </w:t>
      </w:r>
      <w:r w:rsidRPr="002F3C08">
        <w:rPr>
          <w:i/>
        </w:rPr>
        <w:t>Customs Act 1901</w:t>
      </w:r>
      <w:r w:rsidRPr="002F3C08">
        <w:t>.</w:t>
      </w:r>
    </w:p>
    <w:p w:rsidR="00770D48" w:rsidRPr="009918EE" w:rsidRDefault="00770D48" w:rsidP="00BA5F58">
      <w:pPr>
        <w:pStyle w:val="Definition"/>
        <w:keepNext/>
      </w:pPr>
      <w:r w:rsidRPr="009918EE">
        <w:rPr>
          <w:b/>
          <w:i/>
        </w:rPr>
        <w:t>excise law</w:t>
      </w:r>
      <w:r w:rsidRPr="009918EE">
        <w:t xml:space="preserve"> means:</w:t>
      </w:r>
    </w:p>
    <w:p w:rsidR="00770D48" w:rsidRPr="009918EE" w:rsidRDefault="00770D48" w:rsidP="00770D48">
      <w:pPr>
        <w:pStyle w:val="paragraph"/>
      </w:pPr>
      <w:r w:rsidRPr="009918EE">
        <w:tab/>
        <w:t>(a)</w:t>
      </w:r>
      <w:r w:rsidRPr="009918EE">
        <w:tab/>
        <w:t xml:space="preserve">the </w:t>
      </w:r>
      <w:r w:rsidRPr="009918EE">
        <w:rPr>
          <w:i/>
        </w:rPr>
        <w:t>Excise Act 1901</w:t>
      </w:r>
      <w:r w:rsidRPr="009918EE">
        <w:t>; and</w:t>
      </w:r>
    </w:p>
    <w:p w:rsidR="00770D48" w:rsidRPr="009918EE" w:rsidRDefault="00770D48" w:rsidP="00770D48">
      <w:pPr>
        <w:pStyle w:val="paragraph"/>
      </w:pPr>
      <w:r w:rsidRPr="009918EE">
        <w:tab/>
        <w:t>(b)</w:t>
      </w:r>
      <w:r w:rsidRPr="009918EE">
        <w:tab/>
        <w:t xml:space="preserve">any Act that imposes </w:t>
      </w:r>
      <w:r w:rsidRPr="009918EE">
        <w:rPr>
          <w:position w:val="6"/>
          <w:sz w:val="16"/>
        </w:rPr>
        <w:t>*</w:t>
      </w:r>
      <w:r w:rsidRPr="009918EE">
        <w:t>excise duty; and</w:t>
      </w:r>
    </w:p>
    <w:p w:rsidR="00770D48" w:rsidRPr="009918EE" w:rsidRDefault="00770D48" w:rsidP="00770D48">
      <w:pPr>
        <w:pStyle w:val="paragraph"/>
      </w:pPr>
      <w:r w:rsidRPr="009918EE">
        <w:tab/>
        <w:t>(c)</w:t>
      </w:r>
      <w:r w:rsidRPr="009918EE">
        <w:tab/>
        <w:t xml:space="preserve">the </w:t>
      </w:r>
      <w:r w:rsidRPr="009918EE">
        <w:rPr>
          <w:i/>
        </w:rPr>
        <w:t>Taxation Administration Act 1953</w:t>
      </w:r>
      <w:r w:rsidRPr="009918EE">
        <w:t>, so far as it relates to any Act covered by paragraphs (a) and (b); and</w:t>
      </w:r>
    </w:p>
    <w:p w:rsidR="00770D48" w:rsidRPr="009918EE" w:rsidRDefault="00770D48" w:rsidP="00770D48">
      <w:pPr>
        <w:pStyle w:val="paragraph"/>
      </w:pPr>
      <w:r w:rsidRPr="009918EE">
        <w:tab/>
        <w:t>(d)</w:t>
      </w:r>
      <w:r w:rsidRPr="009918EE">
        <w:tab/>
        <w:t>any other Act, so far as it relates to any Act covered by paragraphs (a) to (c) (or to so much of that Act as is covered); and</w:t>
      </w:r>
    </w:p>
    <w:p w:rsidR="00770D48" w:rsidRPr="009918EE" w:rsidRDefault="00770D48" w:rsidP="00770D48">
      <w:pPr>
        <w:pStyle w:val="paragraph"/>
      </w:pPr>
      <w:r w:rsidRPr="009918EE">
        <w:tab/>
        <w:t>(e)</w:t>
      </w:r>
      <w:r w:rsidRPr="009918EE">
        <w:tab/>
        <w:t>regulations under any Act, so far as they relate to any Act covered by paragraphs (a) to (d) (or to so much of that Act as is covered).</w:t>
      </w:r>
    </w:p>
    <w:p w:rsidR="00B440B1" w:rsidRPr="00583E1A" w:rsidRDefault="00B440B1" w:rsidP="00B440B1">
      <w:pPr>
        <w:pStyle w:val="Definition"/>
      </w:pPr>
      <w:r w:rsidRPr="00583E1A">
        <w:rPr>
          <w:b/>
          <w:i/>
        </w:rPr>
        <w:t>excluded complying superannuation/FHSA life insurance policy</w:t>
      </w:r>
      <w:r w:rsidRPr="00583E1A">
        <w:t xml:space="preserve"> means a </w:t>
      </w:r>
      <w:r w:rsidR="00583E1A" w:rsidRPr="00583E1A">
        <w:rPr>
          <w:position w:val="6"/>
          <w:sz w:val="16"/>
        </w:rPr>
        <w:t>*</w:t>
      </w:r>
      <w:r w:rsidRPr="00583E1A">
        <w:t>life insurance policy that:</w:t>
      </w:r>
    </w:p>
    <w:p w:rsidR="00B440B1" w:rsidRPr="00583E1A" w:rsidRDefault="00B440B1" w:rsidP="00B440B1">
      <w:pPr>
        <w:pStyle w:val="paragraph"/>
      </w:pPr>
      <w:r w:rsidRPr="00583E1A">
        <w:tab/>
        <w:t>(a)</w:t>
      </w:r>
      <w:r w:rsidRPr="00583E1A">
        <w:tab/>
        <w:t xml:space="preserve">provides only for </w:t>
      </w:r>
      <w:r w:rsidR="00583E1A" w:rsidRPr="00583E1A">
        <w:rPr>
          <w:position w:val="6"/>
          <w:sz w:val="16"/>
        </w:rPr>
        <w:t>*</w:t>
      </w:r>
      <w:r w:rsidRPr="00583E1A">
        <w:t xml:space="preserve">superannuation death benefits, </w:t>
      </w:r>
      <w:r w:rsidR="00583E1A" w:rsidRPr="00583E1A">
        <w:rPr>
          <w:position w:val="6"/>
          <w:sz w:val="16"/>
        </w:rPr>
        <w:t>*</w:t>
      </w:r>
      <w:r w:rsidRPr="00583E1A">
        <w:t xml:space="preserve">disability superannuation benefits or temporary disability benefits of a </w:t>
      </w:r>
      <w:r w:rsidRPr="00583E1A">
        <w:lastRenderedPageBreak/>
        <w:t>kind referred to in paragraph 295</w:t>
      </w:r>
      <w:r w:rsidR="00583E1A">
        <w:noBreakHyphen/>
      </w:r>
      <w:r w:rsidRPr="00583E1A">
        <w:t xml:space="preserve">460(c), that are not </w:t>
      </w:r>
      <w:r w:rsidR="00583E1A" w:rsidRPr="00583E1A">
        <w:rPr>
          <w:position w:val="6"/>
          <w:sz w:val="16"/>
        </w:rPr>
        <w:t>*</w:t>
      </w:r>
      <w:r w:rsidRPr="00583E1A">
        <w:t>participating benefits; or</w:t>
      </w:r>
    </w:p>
    <w:p w:rsidR="00B440B1" w:rsidRPr="00583E1A" w:rsidRDefault="00B440B1" w:rsidP="00B440B1">
      <w:pPr>
        <w:pStyle w:val="paragraph"/>
      </w:pPr>
      <w:r w:rsidRPr="00583E1A">
        <w:tab/>
        <w:t>(b)</w:t>
      </w:r>
      <w:r w:rsidRPr="00583E1A">
        <w:tab/>
        <w:t xml:space="preserve">is an </w:t>
      </w:r>
      <w:r w:rsidR="00583E1A" w:rsidRPr="00583E1A">
        <w:rPr>
          <w:position w:val="6"/>
          <w:sz w:val="16"/>
        </w:rPr>
        <w:t>*</w:t>
      </w:r>
      <w:r w:rsidRPr="00583E1A">
        <w:t>exempt life insurance policy.</w:t>
      </w:r>
    </w:p>
    <w:p w:rsidR="00887330" w:rsidRPr="00583E1A" w:rsidRDefault="00887330" w:rsidP="00887330">
      <w:pPr>
        <w:pStyle w:val="Definition"/>
      </w:pPr>
      <w:r w:rsidRPr="00583E1A">
        <w:rPr>
          <w:b/>
          <w:i/>
        </w:rPr>
        <w:t>excluded equity interest</w:t>
      </w:r>
      <w:r w:rsidRPr="00583E1A">
        <w:t xml:space="preserve"> has the meaning given by section</w:t>
      </w:r>
      <w:r w:rsidR="00583E1A">
        <w:t> </w:t>
      </w:r>
      <w:r w:rsidRPr="00583E1A">
        <w:t>820</w:t>
      </w:r>
      <w:r w:rsidR="00583E1A">
        <w:noBreakHyphen/>
      </w:r>
      <w:r w:rsidRPr="00583E1A">
        <w:t>946.</w:t>
      </w:r>
    </w:p>
    <w:p w:rsidR="00887330" w:rsidRPr="00583E1A" w:rsidRDefault="00887330" w:rsidP="00887330">
      <w:pPr>
        <w:pStyle w:val="Definition"/>
      </w:pPr>
      <w:r w:rsidRPr="00583E1A">
        <w:rPr>
          <w:b/>
          <w:i/>
        </w:rPr>
        <w:t>excluded loss</w:t>
      </w:r>
      <w:r w:rsidRPr="00583E1A">
        <w:t xml:space="preserve"> has the meaning given by sections</w:t>
      </w:r>
      <w:r w:rsidR="00583E1A">
        <w:t> </w:t>
      </w:r>
      <w:r w:rsidRPr="00583E1A">
        <w:t>175</w:t>
      </w:r>
      <w:r w:rsidR="00583E1A">
        <w:noBreakHyphen/>
      </w:r>
      <w:r w:rsidRPr="00583E1A">
        <w:t>5 and 175</w:t>
      </w:r>
      <w:r w:rsidR="00583E1A">
        <w:noBreakHyphen/>
      </w:r>
      <w:r w:rsidRPr="00583E1A">
        <w:t>40.</w:t>
      </w:r>
    </w:p>
    <w:p w:rsidR="00B62CC8" w:rsidRPr="00583E1A" w:rsidRDefault="00B62CC8" w:rsidP="00B62CC8">
      <w:pPr>
        <w:pStyle w:val="Definition"/>
      </w:pPr>
      <w:r w:rsidRPr="00583E1A">
        <w:rPr>
          <w:b/>
          <w:i/>
        </w:rPr>
        <w:t>excluded STB</w:t>
      </w:r>
      <w:r w:rsidRPr="00583E1A">
        <w:t xml:space="preserve"> has the same meaning as in section</w:t>
      </w:r>
      <w:r w:rsidR="00583E1A">
        <w:t> </w:t>
      </w:r>
      <w:r w:rsidRPr="00583E1A">
        <w:t xml:space="preserve">24AT of the </w:t>
      </w:r>
      <w:r w:rsidRPr="00583E1A">
        <w:rPr>
          <w:i/>
        </w:rPr>
        <w:t>Income Tax Assessment Act 1936</w:t>
      </w:r>
      <w:r w:rsidRPr="00583E1A">
        <w:t>.</w:t>
      </w:r>
    </w:p>
    <w:p w:rsidR="00887330" w:rsidRPr="00583E1A" w:rsidRDefault="00887330" w:rsidP="00887330">
      <w:pPr>
        <w:pStyle w:val="Definition"/>
      </w:pPr>
      <w:r w:rsidRPr="00583E1A">
        <w:rPr>
          <w:b/>
          <w:i/>
        </w:rPr>
        <w:t>exempt Australian government agency</w:t>
      </w:r>
      <w:r w:rsidRPr="00583E1A">
        <w:t xml:space="preserve"> means:</w:t>
      </w:r>
    </w:p>
    <w:p w:rsidR="00887330" w:rsidRPr="00583E1A" w:rsidRDefault="00887330" w:rsidP="00887330">
      <w:pPr>
        <w:pStyle w:val="paragraph"/>
      </w:pPr>
      <w:r w:rsidRPr="00583E1A">
        <w:tab/>
        <w:t>(a)</w:t>
      </w:r>
      <w:r w:rsidRPr="00583E1A">
        <w:tab/>
        <w:t>the Commonwealth, a State or a Territory; or</w:t>
      </w:r>
    </w:p>
    <w:p w:rsidR="00887330" w:rsidRPr="00583E1A" w:rsidRDefault="00887330" w:rsidP="00887330">
      <w:pPr>
        <w:pStyle w:val="paragraph"/>
      </w:pPr>
      <w:r w:rsidRPr="00583E1A">
        <w:tab/>
        <w:t>(b)</w:t>
      </w:r>
      <w:r w:rsidRPr="00583E1A">
        <w:tab/>
        <w:t xml:space="preserve">an authority of the Commonwealth or of a State or a Territory whose </w:t>
      </w:r>
      <w:r w:rsidR="00583E1A" w:rsidRPr="00583E1A">
        <w:rPr>
          <w:position w:val="6"/>
          <w:sz w:val="16"/>
        </w:rPr>
        <w:t>*</w:t>
      </w:r>
      <w:r w:rsidRPr="00583E1A">
        <w:t xml:space="preserve">ordinary income and </w:t>
      </w:r>
      <w:r w:rsidR="00583E1A" w:rsidRPr="00583E1A">
        <w:rPr>
          <w:position w:val="6"/>
          <w:sz w:val="16"/>
        </w:rPr>
        <w:t>*</w:t>
      </w:r>
      <w:r w:rsidRPr="00583E1A">
        <w:t>statutory income is exempt from income tax because of Division</w:t>
      </w:r>
      <w:r w:rsidR="00583E1A">
        <w:t> </w:t>
      </w:r>
      <w:r w:rsidRPr="00583E1A">
        <w:t>50; or</w:t>
      </w:r>
    </w:p>
    <w:p w:rsidR="00887330" w:rsidRPr="00583E1A" w:rsidRDefault="00887330" w:rsidP="00887330">
      <w:pPr>
        <w:pStyle w:val="paragraph"/>
      </w:pPr>
      <w:r w:rsidRPr="00583E1A">
        <w:tab/>
        <w:t>(c)</w:t>
      </w:r>
      <w:r w:rsidRPr="00583E1A">
        <w:tab/>
        <w:t>an STB (within the meaning of Division</w:t>
      </w:r>
      <w:r w:rsidR="00583E1A">
        <w:t> </w:t>
      </w:r>
      <w:r w:rsidRPr="00583E1A">
        <w:t>1AB of Part</w:t>
      </w:r>
      <w:r w:rsidR="00583E1A">
        <w:t> </w:t>
      </w:r>
      <w:r w:rsidRPr="00583E1A">
        <w:t xml:space="preserve">III of the </w:t>
      </w:r>
      <w:r w:rsidRPr="00583E1A">
        <w:rPr>
          <w:i/>
        </w:rPr>
        <w:t>Income Tax Assessment Act 1936</w:t>
      </w:r>
      <w:r w:rsidRPr="00583E1A">
        <w:t xml:space="preserve">) whose </w:t>
      </w:r>
      <w:r w:rsidR="00583E1A" w:rsidRPr="00583E1A">
        <w:rPr>
          <w:position w:val="6"/>
          <w:sz w:val="16"/>
        </w:rPr>
        <w:t>*</w:t>
      </w:r>
      <w:r w:rsidRPr="00583E1A">
        <w:t xml:space="preserve">ordinary income and </w:t>
      </w:r>
      <w:r w:rsidR="00583E1A" w:rsidRPr="00583E1A">
        <w:rPr>
          <w:position w:val="6"/>
          <w:sz w:val="16"/>
        </w:rPr>
        <w:t>*</w:t>
      </w:r>
      <w:r w:rsidRPr="00583E1A">
        <w:t>statutory income is exempt from income tax under that Division of that Part.</w:t>
      </w:r>
    </w:p>
    <w:p w:rsidR="00EF7F83" w:rsidRPr="00583E1A" w:rsidRDefault="00EF7F83" w:rsidP="00BA5F58">
      <w:pPr>
        <w:pStyle w:val="Definition"/>
        <w:keepNext/>
      </w:pPr>
      <w:r w:rsidRPr="00583E1A">
        <w:rPr>
          <w:b/>
          <w:i/>
        </w:rPr>
        <w:t>exempt entity</w:t>
      </w:r>
      <w:r w:rsidRPr="00583E1A">
        <w:t xml:space="preserve"> means:</w:t>
      </w:r>
    </w:p>
    <w:p w:rsidR="00EF7F83" w:rsidRPr="00583E1A" w:rsidRDefault="00EF7F83" w:rsidP="00EF7F83">
      <w:pPr>
        <w:pStyle w:val="paragraph"/>
      </w:pPr>
      <w:r w:rsidRPr="00583E1A">
        <w:tab/>
        <w:t>(a)</w:t>
      </w:r>
      <w:r w:rsidRPr="00583E1A">
        <w:tab/>
        <w:t xml:space="preserve">an entity all of whose </w:t>
      </w:r>
      <w:r w:rsidR="00583E1A" w:rsidRPr="00583E1A">
        <w:rPr>
          <w:position w:val="6"/>
          <w:sz w:val="16"/>
        </w:rPr>
        <w:t>*</w:t>
      </w:r>
      <w:r w:rsidRPr="00583E1A">
        <w:t xml:space="preserve">ordinary income and </w:t>
      </w:r>
      <w:r w:rsidR="00583E1A" w:rsidRPr="00583E1A">
        <w:rPr>
          <w:position w:val="6"/>
          <w:sz w:val="16"/>
        </w:rPr>
        <w:t>*</w:t>
      </w:r>
      <w:r w:rsidRPr="00583E1A">
        <w:t xml:space="preserve">statutory income is exempt from income tax because of this Act or because of another </w:t>
      </w:r>
      <w:r w:rsidR="00583E1A" w:rsidRPr="00583E1A">
        <w:rPr>
          <w:position w:val="6"/>
          <w:sz w:val="16"/>
        </w:rPr>
        <w:t>*</w:t>
      </w:r>
      <w:r w:rsidRPr="00583E1A">
        <w:t>Commonwealth law, no matter what kind of ordinary income or statutory income the entity might have; or</w:t>
      </w:r>
    </w:p>
    <w:p w:rsidR="00EF7F83" w:rsidRPr="00583E1A" w:rsidRDefault="00EF7F83" w:rsidP="00EF7F83">
      <w:pPr>
        <w:pStyle w:val="paragraph"/>
      </w:pPr>
      <w:r w:rsidRPr="00583E1A">
        <w:tab/>
        <w:t>(b)</w:t>
      </w:r>
      <w:r w:rsidRPr="00583E1A">
        <w:tab/>
        <w:t xml:space="preserve">an </w:t>
      </w:r>
      <w:r w:rsidR="00583E1A" w:rsidRPr="00583E1A">
        <w:rPr>
          <w:position w:val="6"/>
          <w:sz w:val="16"/>
        </w:rPr>
        <w:t>*</w:t>
      </w:r>
      <w:r w:rsidRPr="00583E1A">
        <w:t>untaxable Commonwealth entity.</w:t>
      </w:r>
    </w:p>
    <w:p w:rsidR="00EF7F83" w:rsidRPr="00583E1A" w:rsidRDefault="00EF7F83" w:rsidP="00EF7F83">
      <w:pPr>
        <w:pStyle w:val="notetext"/>
      </w:pPr>
      <w:r w:rsidRPr="00583E1A">
        <w:t>Note:</w:t>
      </w:r>
      <w:r w:rsidRPr="00583E1A">
        <w:tab/>
        <w:t>See section</w:t>
      </w:r>
      <w:r w:rsidR="00583E1A">
        <w:t> </w:t>
      </w:r>
      <w:r w:rsidRPr="00583E1A">
        <w:t>11</w:t>
      </w:r>
      <w:r w:rsidR="00583E1A">
        <w:noBreakHyphen/>
      </w:r>
      <w:r w:rsidRPr="00583E1A">
        <w:t xml:space="preserve">5 for a list of entities of the kind referred to in </w:t>
      </w:r>
      <w:r w:rsidR="00583E1A">
        <w:t>paragraph (</w:t>
      </w:r>
      <w:r w:rsidRPr="00583E1A">
        <w:t>a).</w:t>
      </w:r>
    </w:p>
    <w:p w:rsidR="009D535D" w:rsidRDefault="009D535D" w:rsidP="009D535D">
      <w:pPr>
        <w:pStyle w:val="Definition"/>
      </w:pPr>
      <w:r>
        <w:rPr>
          <w:b/>
          <w:i/>
        </w:rPr>
        <w:t>exempt film income</w:t>
      </w:r>
      <w:r>
        <w:t xml:space="preserve"> for an income year is so much of the amount, or the sum of the amounts, to which section 26AG of the </w:t>
      </w:r>
      <w:r>
        <w:rPr>
          <w:i/>
        </w:rPr>
        <w:t>Income Tax Assessment Act 1936</w:t>
      </w:r>
      <w:r>
        <w:t xml:space="preserve"> applies in relation to you for the income year as is </w:t>
      </w:r>
      <w:r>
        <w:rPr>
          <w:position w:val="6"/>
          <w:sz w:val="16"/>
        </w:rPr>
        <w:t>*</w:t>
      </w:r>
      <w:r>
        <w:t>exempt income.</w:t>
      </w:r>
    </w:p>
    <w:p w:rsidR="00887330" w:rsidRPr="00583E1A" w:rsidRDefault="00887330" w:rsidP="00887330">
      <w:pPr>
        <w:pStyle w:val="Definition"/>
      </w:pPr>
      <w:r w:rsidRPr="00583E1A">
        <w:rPr>
          <w:b/>
          <w:i/>
        </w:rPr>
        <w:t>exempt foreign employment income</w:t>
      </w:r>
      <w:r w:rsidRPr="00583E1A">
        <w:t xml:space="preserve"> means amounts that are exempt from tax under section</w:t>
      </w:r>
      <w:r w:rsidR="00583E1A">
        <w:t> </w:t>
      </w:r>
      <w:r w:rsidRPr="00583E1A">
        <w:t xml:space="preserve">23AF or 23AG of the </w:t>
      </w:r>
      <w:r w:rsidRPr="00583E1A">
        <w:rPr>
          <w:i/>
        </w:rPr>
        <w:t>Income Tax Assessment Act 1936</w:t>
      </w:r>
      <w:r w:rsidRPr="00583E1A">
        <w:t>.</w:t>
      </w:r>
    </w:p>
    <w:p w:rsidR="00887330" w:rsidRPr="00583E1A" w:rsidRDefault="00887330" w:rsidP="00A756C6">
      <w:pPr>
        <w:pStyle w:val="Definition"/>
        <w:keepNext/>
        <w:keepLines/>
      </w:pPr>
      <w:r w:rsidRPr="00583E1A">
        <w:rPr>
          <w:b/>
          <w:i/>
        </w:rPr>
        <w:lastRenderedPageBreak/>
        <w:t>exempt foreign government agency</w:t>
      </w:r>
      <w:r w:rsidRPr="00583E1A">
        <w:t xml:space="preserve"> means:</w:t>
      </w:r>
    </w:p>
    <w:p w:rsidR="00887330" w:rsidRPr="00583E1A" w:rsidRDefault="00887330" w:rsidP="00887330">
      <w:pPr>
        <w:pStyle w:val="paragraph"/>
      </w:pPr>
      <w:r w:rsidRPr="00583E1A">
        <w:tab/>
        <w:t>(a)</w:t>
      </w:r>
      <w:r w:rsidRPr="00583E1A">
        <w:tab/>
        <w:t>the government of a foreign country, or of part of a foreign country; or</w:t>
      </w:r>
    </w:p>
    <w:p w:rsidR="00887330" w:rsidRPr="00583E1A" w:rsidRDefault="00887330" w:rsidP="00887330">
      <w:pPr>
        <w:pStyle w:val="paragraph"/>
      </w:pPr>
      <w:r w:rsidRPr="00583E1A">
        <w:tab/>
        <w:t>(b)</w:t>
      </w:r>
      <w:r w:rsidRPr="00583E1A">
        <w:tab/>
        <w:t xml:space="preserve">an authority of the government of a foreign country, if the authority is of a similar nature to an authority that is an </w:t>
      </w:r>
      <w:r w:rsidR="00583E1A" w:rsidRPr="00583E1A">
        <w:rPr>
          <w:position w:val="6"/>
          <w:sz w:val="16"/>
        </w:rPr>
        <w:t>*</w:t>
      </w:r>
      <w:r w:rsidRPr="00583E1A">
        <w:t>exempt Australian government agency; or</w:t>
      </w:r>
    </w:p>
    <w:p w:rsidR="00887330" w:rsidRPr="00583E1A" w:rsidRDefault="00887330" w:rsidP="00887330">
      <w:pPr>
        <w:pStyle w:val="paragraph"/>
      </w:pPr>
      <w:r w:rsidRPr="00583E1A">
        <w:tab/>
        <w:t>(c)</w:t>
      </w:r>
      <w:r w:rsidRPr="00583E1A">
        <w:tab/>
        <w:t xml:space="preserve">an authority of the government of part of a foreign country, if the authority is of a similar nature to an authority that is an </w:t>
      </w:r>
      <w:r w:rsidR="00583E1A" w:rsidRPr="00583E1A">
        <w:rPr>
          <w:position w:val="6"/>
          <w:sz w:val="16"/>
        </w:rPr>
        <w:t>*</w:t>
      </w:r>
      <w:r w:rsidRPr="00583E1A">
        <w:t>exempt Australian government agency.</w:t>
      </w:r>
    </w:p>
    <w:p w:rsidR="00887330" w:rsidRPr="00583E1A" w:rsidRDefault="00887330" w:rsidP="00887330">
      <w:pPr>
        <w:pStyle w:val="Definition"/>
      </w:pPr>
      <w:r w:rsidRPr="00583E1A">
        <w:rPr>
          <w:b/>
          <w:i/>
        </w:rPr>
        <w:t>exempt income</w:t>
      </w:r>
      <w:r w:rsidRPr="00583E1A">
        <w:t xml:space="preserve"> has the meaning given by section</w:t>
      </w:r>
      <w:r w:rsidR="00583E1A">
        <w:t> </w:t>
      </w:r>
      <w:r w:rsidRPr="00583E1A">
        <w:t>6</w:t>
      </w:r>
      <w:r w:rsidR="00583E1A">
        <w:noBreakHyphen/>
      </w:r>
      <w:r w:rsidRPr="00583E1A">
        <w:t>20.</w:t>
      </w:r>
    </w:p>
    <w:p w:rsidR="00887330" w:rsidRPr="00583E1A" w:rsidRDefault="00887330" w:rsidP="00887330">
      <w:pPr>
        <w:pStyle w:val="notetext"/>
      </w:pPr>
      <w:r w:rsidRPr="00583E1A">
        <w:t>Note:</w:t>
      </w:r>
      <w:r w:rsidRPr="00583E1A">
        <w:tab/>
        <w:t>For income years before 1997</w:t>
      </w:r>
      <w:r w:rsidR="00583E1A">
        <w:noBreakHyphen/>
      </w:r>
      <w:r w:rsidRPr="00583E1A">
        <w:t xml:space="preserve">98, </w:t>
      </w:r>
      <w:r w:rsidRPr="00583E1A">
        <w:rPr>
          <w:b/>
          <w:i/>
        </w:rPr>
        <w:t>exempt income</w:t>
      </w:r>
      <w:r w:rsidRPr="00583E1A">
        <w:t xml:space="preserve"> has the meaning given by section</w:t>
      </w:r>
      <w:r w:rsidR="00583E1A">
        <w:t> </w:t>
      </w:r>
      <w:r w:rsidRPr="00583E1A">
        <w:t>6</w:t>
      </w:r>
      <w:r w:rsidR="00583E1A">
        <w:noBreakHyphen/>
      </w:r>
      <w:r w:rsidRPr="00583E1A">
        <w:t xml:space="preserve">20 of the </w:t>
      </w:r>
      <w:r w:rsidRPr="00583E1A">
        <w:rPr>
          <w:i/>
        </w:rPr>
        <w:t>Income Tax (Transitional Provisions) Act 1997</w:t>
      </w:r>
      <w:r w:rsidRPr="00583E1A">
        <w:t>.</w:t>
      </w:r>
    </w:p>
    <w:p w:rsidR="00887330" w:rsidRPr="00583E1A" w:rsidRDefault="00887330" w:rsidP="00887330">
      <w:pPr>
        <w:pStyle w:val="Definition"/>
        <w:rPr>
          <w:sz w:val="20"/>
        </w:rPr>
      </w:pPr>
      <w:r w:rsidRPr="00583E1A">
        <w:rPr>
          <w:b/>
          <w:i/>
        </w:rPr>
        <w:t xml:space="preserve">exempting account </w:t>
      </w:r>
      <w:r w:rsidRPr="00583E1A">
        <w:t>means an account that arises under section</w:t>
      </w:r>
      <w:r w:rsidR="00583E1A">
        <w:t> </w:t>
      </w:r>
      <w:r w:rsidRPr="00583E1A">
        <w:t>208</w:t>
      </w:r>
      <w:r w:rsidR="00583E1A">
        <w:noBreakHyphen/>
      </w:r>
      <w:r w:rsidRPr="00583E1A">
        <w:t>110.</w:t>
      </w:r>
    </w:p>
    <w:p w:rsidR="00887330" w:rsidRPr="00583E1A" w:rsidRDefault="00887330" w:rsidP="00887330">
      <w:pPr>
        <w:pStyle w:val="Definition"/>
        <w:rPr>
          <w:sz w:val="20"/>
        </w:rPr>
      </w:pPr>
      <w:r w:rsidRPr="00583E1A">
        <w:rPr>
          <w:b/>
          <w:i/>
        </w:rPr>
        <w:t>exempting credit</w:t>
      </w:r>
      <w:r w:rsidRPr="00583E1A">
        <w:t xml:space="preserve"> has the meaning given by section</w:t>
      </w:r>
      <w:r w:rsidR="00583E1A">
        <w:t> </w:t>
      </w:r>
      <w:r w:rsidRPr="00583E1A">
        <w:t>208</w:t>
      </w:r>
      <w:r w:rsidR="00583E1A">
        <w:noBreakHyphen/>
      </w:r>
      <w:r w:rsidRPr="00583E1A">
        <w:t>115.</w:t>
      </w:r>
    </w:p>
    <w:p w:rsidR="00887330" w:rsidRPr="00583E1A" w:rsidRDefault="00887330" w:rsidP="00887330">
      <w:pPr>
        <w:pStyle w:val="Definition"/>
        <w:rPr>
          <w:sz w:val="20"/>
        </w:rPr>
      </w:pPr>
      <w:r w:rsidRPr="00583E1A">
        <w:rPr>
          <w:b/>
          <w:i/>
        </w:rPr>
        <w:t xml:space="preserve">exempting debit </w:t>
      </w:r>
      <w:r w:rsidRPr="00583E1A">
        <w:t>has the meaning given by section</w:t>
      </w:r>
      <w:r w:rsidR="00583E1A">
        <w:t> </w:t>
      </w:r>
      <w:r w:rsidRPr="00583E1A">
        <w:t>208</w:t>
      </w:r>
      <w:r w:rsidR="00583E1A">
        <w:noBreakHyphen/>
      </w:r>
      <w:r w:rsidRPr="00583E1A">
        <w:t>120.</w:t>
      </w:r>
    </w:p>
    <w:p w:rsidR="00887330" w:rsidRPr="00583E1A" w:rsidRDefault="00887330" w:rsidP="00887330">
      <w:pPr>
        <w:pStyle w:val="Definition"/>
        <w:rPr>
          <w:sz w:val="20"/>
        </w:rPr>
      </w:pPr>
      <w:r w:rsidRPr="00583E1A">
        <w:rPr>
          <w:b/>
          <w:i/>
        </w:rPr>
        <w:t xml:space="preserve">exempting deficit </w:t>
      </w:r>
      <w:r w:rsidRPr="00583E1A">
        <w:t>has the meaning given by subsection 208</w:t>
      </w:r>
      <w:r w:rsidR="00583E1A">
        <w:noBreakHyphen/>
      </w:r>
      <w:r w:rsidRPr="00583E1A">
        <w:t>125(2).</w:t>
      </w:r>
    </w:p>
    <w:p w:rsidR="00887330" w:rsidRPr="00583E1A" w:rsidRDefault="00887330" w:rsidP="00887330">
      <w:pPr>
        <w:pStyle w:val="Definition"/>
        <w:rPr>
          <w:sz w:val="20"/>
        </w:rPr>
      </w:pPr>
      <w:r w:rsidRPr="00583E1A">
        <w:rPr>
          <w:b/>
          <w:i/>
        </w:rPr>
        <w:t xml:space="preserve">exempting entity </w:t>
      </w:r>
      <w:r w:rsidRPr="00583E1A">
        <w:t>has the meaning given by section</w:t>
      </w:r>
      <w:r w:rsidR="00583E1A">
        <w:t> </w:t>
      </w:r>
      <w:r w:rsidRPr="00583E1A">
        <w:t>208</w:t>
      </w:r>
      <w:r w:rsidR="00583E1A">
        <w:noBreakHyphen/>
      </w:r>
      <w:r w:rsidRPr="00583E1A">
        <w:t>20 and affected by section</w:t>
      </w:r>
      <w:r w:rsidR="00583E1A">
        <w:t> </w:t>
      </w:r>
      <w:r w:rsidRPr="00583E1A">
        <w:t>220</w:t>
      </w:r>
      <w:r w:rsidR="00583E1A">
        <w:noBreakHyphen/>
      </w:r>
      <w:r w:rsidRPr="00583E1A">
        <w:t>500 if relevant.</w:t>
      </w:r>
    </w:p>
    <w:p w:rsidR="00887330" w:rsidRPr="00583E1A" w:rsidRDefault="00887330" w:rsidP="00887330">
      <w:pPr>
        <w:pStyle w:val="Definition"/>
        <w:rPr>
          <w:sz w:val="20"/>
        </w:rPr>
      </w:pPr>
      <w:r w:rsidRPr="00583E1A">
        <w:rPr>
          <w:b/>
          <w:i/>
        </w:rPr>
        <w:t xml:space="preserve">exempting percentage </w:t>
      </w:r>
      <w:r w:rsidRPr="00583E1A">
        <w:t>has the meaning given by section</w:t>
      </w:r>
      <w:r w:rsidR="00583E1A">
        <w:t> </w:t>
      </w:r>
      <w:r w:rsidRPr="00583E1A">
        <w:t>208</w:t>
      </w:r>
      <w:r w:rsidR="00583E1A">
        <w:noBreakHyphen/>
      </w:r>
      <w:r w:rsidRPr="00583E1A">
        <w:t>95.</w:t>
      </w:r>
    </w:p>
    <w:p w:rsidR="00887330" w:rsidRPr="00583E1A" w:rsidRDefault="00887330" w:rsidP="00887330">
      <w:pPr>
        <w:pStyle w:val="Definition"/>
        <w:rPr>
          <w:sz w:val="20"/>
        </w:rPr>
      </w:pPr>
      <w:r w:rsidRPr="00583E1A">
        <w:rPr>
          <w:b/>
          <w:i/>
        </w:rPr>
        <w:t xml:space="preserve">exempting surplus </w:t>
      </w:r>
      <w:r w:rsidRPr="00583E1A">
        <w:t>has the meaning given by subsection 208</w:t>
      </w:r>
      <w:r w:rsidR="00583E1A">
        <w:noBreakHyphen/>
      </w:r>
      <w:r w:rsidRPr="00583E1A">
        <w:t>125(1).</w:t>
      </w:r>
    </w:p>
    <w:p w:rsidR="00887330" w:rsidRPr="00583E1A" w:rsidRDefault="00887330" w:rsidP="00887330">
      <w:pPr>
        <w:pStyle w:val="Definition"/>
      </w:pPr>
      <w:r w:rsidRPr="00583E1A">
        <w:rPr>
          <w:b/>
          <w:i/>
        </w:rPr>
        <w:t xml:space="preserve">exempt institution that is eligible for a refund </w:t>
      </w:r>
      <w:r w:rsidRPr="00583E1A">
        <w:t>has the meaning given in section</w:t>
      </w:r>
      <w:r w:rsidR="00583E1A">
        <w:t> </w:t>
      </w:r>
      <w:r w:rsidRPr="00583E1A">
        <w:t>207</w:t>
      </w:r>
      <w:r w:rsidR="00583E1A">
        <w:noBreakHyphen/>
      </w:r>
      <w:r w:rsidRPr="00583E1A">
        <w:t>115.</w:t>
      </w:r>
    </w:p>
    <w:p w:rsidR="00887330" w:rsidRPr="00583E1A" w:rsidRDefault="00887330" w:rsidP="00887330">
      <w:pPr>
        <w:pStyle w:val="notetext"/>
      </w:pPr>
      <w:r w:rsidRPr="00583E1A">
        <w:t>Note:</w:t>
      </w:r>
      <w:r w:rsidRPr="00583E1A">
        <w:tab/>
        <w:t>This definition is affected by sections</w:t>
      </w:r>
      <w:r w:rsidR="00583E1A">
        <w:t> </w:t>
      </w:r>
      <w:r w:rsidRPr="00583E1A">
        <w:t>207</w:t>
      </w:r>
      <w:r w:rsidR="00583E1A">
        <w:noBreakHyphen/>
      </w:r>
      <w:r w:rsidRPr="00583E1A">
        <w:t>119 to 207</w:t>
      </w:r>
      <w:r w:rsidR="00583E1A">
        <w:noBreakHyphen/>
      </w:r>
      <w:r w:rsidRPr="00583E1A">
        <w:t>136.</w:t>
      </w:r>
    </w:p>
    <w:p w:rsidR="00887330" w:rsidRPr="00583E1A" w:rsidRDefault="00887330" w:rsidP="007D29DB">
      <w:pPr>
        <w:pStyle w:val="Definition"/>
        <w:keepNext/>
        <w:keepLines/>
      </w:pPr>
      <w:r w:rsidRPr="00583E1A">
        <w:rPr>
          <w:b/>
          <w:i/>
        </w:rPr>
        <w:t xml:space="preserve">exempt life insurance policy </w:t>
      </w:r>
      <w:r w:rsidRPr="00583E1A">
        <w:t>has the meaning given by section</w:t>
      </w:r>
      <w:r w:rsidR="00583E1A">
        <w:t> </w:t>
      </w:r>
      <w:r w:rsidRPr="00583E1A">
        <w:t>320</w:t>
      </w:r>
      <w:r w:rsidR="00583E1A">
        <w:noBreakHyphen/>
      </w:r>
      <w:r w:rsidRPr="00583E1A">
        <w:t>246.</w:t>
      </w:r>
    </w:p>
    <w:p w:rsidR="00887330" w:rsidRPr="00583E1A" w:rsidRDefault="00887330" w:rsidP="00887330">
      <w:pPr>
        <w:pStyle w:val="notetext"/>
      </w:pPr>
      <w:r w:rsidRPr="00583E1A">
        <w:t>Note:</w:t>
      </w:r>
      <w:r w:rsidRPr="00583E1A">
        <w:tab/>
        <w:t>This definition is affected by section</w:t>
      </w:r>
      <w:r w:rsidR="00583E1A">
        <w:t> </w:t>
      </w:r>
      <w:r w:rsidRPr="00583E1A">
        <w:t>320</w:t>
      </w:r>
      <w:r w:rsidR="00583E1A">
        <w:noBreakHyphen/>
      </w:r>
      <w:r w:rsidRPr="00583E1A">
        <w:t>247.</w:t>
      </w:r>
    </w:p>
    <w:p w:rsidR="00887330" w:rsidRPr="00583E1A" w:rsidRDefault="00887330" w:rsidP="00887330">
      <w:pPr>
        <w:pStyle w:val="Definition"/>
      </w:pPr>
      <w:r w:rsidRPr="00583E1A">
        <w:rPr>
          <w:b/>
          <w:i/>
        </w:rPr>
        <w:lastRenderedPageBreak/>
        <w:t>exempt life insurance policy liabilities</w:t>
      </w:r>
      <w:r w:rsidRPr="00583E1A">
        <w:t xml:space="preserve"> of a </w:t>
      </w:r>
      <w:r w:rsidR="00583E1A" w:rsidRPr="00583E1A">
        <w:rPr>
          <w:position w:val="6"/>
          <w:sz w:val="16"/>
        </w:rPr>
        <w:t>*</w:t>
      </w:r>
      <w:r w:rsidRPr="00583E1A">
        <w:t xml:space="preserve">life insurance company means liabilities of the company under the </w:t>
      </w:r>
      <w:r w:rsidR="00583E1A" w:rsidRPr="00583E1A">
        <w:rPr>
          <w:position w:val="6"/>
          <w:sz w:val="16"/>
        </w:rPr>
        <w:t>*</w:t>
      </w:r>
      <w:r w:rsidRPr="00583E1A">
        <w:t>life insurance policies referred to in subsection 320</w:t>
      </w:r>
      <w:r w:rsidR="00583E1A">
        <w:noBreakHyphen/>
      </w:r>
      <w:r w:rsidRPr="00583E1A">
        <w:t>245(1).</w:t>
      </w:r>
    </w:p>
    <w:p w:rsidR="00B62CC8" w:rsidRPr="00583E1A" w:rsidRDefault="00B62CC8" w:rsidP="00B62CC8">
      <w:pPr>
        <w:pStyle w:val="Definition"/>
      </w:pPr>
      <w:r w:rsidRPr="00583E1A">
        <w:rPr>
          <w:b/>
          <w:i/>
        </w:rPr>
        <w:t>expected financial benefits</w:t>
      </w:r>
      <w:r w:rsidRPr="00583E1A">
        <w:t xml:space="preserve"> has the meaning given by section</w:t>
      </w:r>
      <w:r w:rsidR="00583E1A">
        <w:t> </w:t>
      </w:r>
      <w:r w:rsidRPr="00583E1A">
        <w:t>250</w:t>
      </w:r>
      <w:r w:rsidR="00583E1A">
        <w:noBreakHyphen/>
      </w:r>
      <w:r w:rsidRPr="00583E1A">
        <w:t>95.</w:t>
      </w:r>
    </w:p>
    <w:p w:rsidR="00DB0CF0" w:rsidRPr="004C09C4" w:rsidRDefault="00DB0CF0" w:rsidP="00DB0CF0">
      <w:pPr>
        <w:pStyle w:val="Definition"/>
      </w:pPr>
      <w:r w:rsidRPr="004C09C4">
        <w:rPr>
          <w:b/>
          <w:i/>
        </w:rPr>
        <w:t>exploration or prospecting</w:t>
      </w:r>
      <w:r w:rsidRPr="004C09C4">
        <w:t xml:space="preserve"> has a meaning affected by subsection 40</w:t>
      </w:r>
      <w:r w:rsidRPr="004C09C4">
        <w:noBreakHyphen/>
        <w:t>730(4).</w:t>
      </w:r>
    </w:p>
    <w:p w:rsidR="00887330" w:rsidRPr="00583E1A" w:rsidRDefault="00887330" w:rsidP="00887330">
      <w:pPr>
        <w:pStyle w:val="Definition"/>
        <w:rPr>
          <w:b/>
          <w:i/>
        </w:rPr>
      </w:pPr>
      <w:r w:rsidRPr="00583E1A">
        <w:rPr>
          <w:b/>
          <w:i/>
        </w:rPr>
        <w:t>external indirect equity or loan interest</w:t>
      </w:r>
      <w:r w:rsidRPr="00583E1A">
        <w:t xml:space="preserve"> in a </w:t>
      </w:r>
      <w:r w:rsidR="00583E1A" w:rsidRPr="00583E1A">
        <w:rPr>
          <w:position w:val="6"/>
          <w:sz w:val="16"/>
        </w:rPr>
        <w:t>*</w:t>
      </w:r>
      <w:r w:rsidRPr="00583E1A">
        <w:t xml:space="preserve">subsidiary member of a </w:t>
      </w:r>
      <w:r w:rsidR="00583E1A" w:rsidRPr="00583E1A">
        <w:rPr>
          <w:position w:val="6"/>
          <w:sz w:val="16"/>
        </w:rPr>
        <w:t>*</w:t>
      </w:r>
      <w:r w:rsidRPr="00583E1A">
        <w:t xml:space="preserve">consolidated group or </w:t>
      </w:r>
      <w:r w:rsidR="00583E1A" w:rsidRPr="00583E1A">
        <w:rPr>
          <w:position w:val="6"/>
          <w:sz w:val="16"/>
        </w:rPr>
        <w:t>*</w:t>
      </w:r>
      <w:r w:rsidRPr="00583E1A">
        <w:t>MEC group has the meaning given by section</w:t>
      </w:r>
      <w:r w:rsidR="00583E1A">
        <w:t> </w:t>
      </w:r>
      <w:r w:rsidRPr="00583E1A">
        <w:t>715</w:t>
      </w:r>
      <w:r w:rsidR="00583E1A">
        <w:noBreakHyphen/>
      </w:r>
      <w:r w:rsidRPr="00583E1A">
        <w:t>610 or 719</w:t>
      </w:r>
      <w:r w:rsidR="00583E1A">
        <w:noBreakHyphen/>
      </w:r>
      <w:r w:rsidRPr="00583E1A">
        <w:t>775.</w:t>
      </w:r>
    </w:p>
    <w:p w:rsidR="00887330" w:rsidRPr="00583E1A" w:rsidRDefault="00887330" w:rsidP="00887330">
      <w:pPr>
        <w:pStyle w:val="Definition"/>
      </w:pPr>
      <w:r w:rsidRPr="00583E1A">
        <w:rPr>
          <w:b/>
          <w:i/>
        </w:rPr>
        <w:t>facility agreement</w:t>
      </w:r>
      <w:r w:rsidRPr="00583E1A">
        <w:t xml:space="preserve"> has the meaning given by section</w:t>
      </w:r>
      <w:r w:rsidR="00583E1A">
        <w:t> </w:t>
      </w:r>
      <w:r w:rsidRPr="00583E1A">
        <w:t>775</w:t>
      </w:r>
      <w:r w:rsidR="00583E1A">
        <w:noBreakHyphen/>
      </w:r>
      <w:r w:rsidRPr="00583E1A">
        <w:t>185.</w:t>
      </w:r>
    </w:p>
    <w:p w:rsidR="00887330" w:rsidRPr="00583E1A" w:rsidRDefault="00887330" w:rsidP="00887330">
      <w:pPr>
        <w:pStyle w:val="Definition"/>
      </w:pPr>
      <w:r w:rsidRPr="00583E1A">
        <w:rPr>
          <w:b/>
          <w:i/>
        </w:rPr>
        <w:t>failure to notify penalty</w:t>
      </w:r>
      <w:r w:rsidRPr="00583E1A">
        <w:t xml:space="preserve"> means the penalty worked out under Division</w:t>
      </w:r>
      <w:r w:rsidR="00583E1A">
        <w:t> </w:t>
      </w:r>
      <w:r w:rsidRPr="00583E1A">
        <w:t>2 of Part</w:t>
      </w:r>
      <w:r w:rsidR="00583E1A">
        <w:t> </w:t>
      </w:r>
      <w:r w:rsidRPr="00583E1A">
        <w:t xml:space="preserve">IIA of the </w:t>
      </w:r>
      <w:r w:rsidRPr="00583E1A">
        <w:rPr>
          <w:i/>
        </w:rPr>
        <w:t>Taxation Administration Act 1953</w:t>
      </w:r>
      <w:r w:rsidRPr="00583E1A">
        <w:t>.</w:t>
      </w:r>
    </w:p>
    <w:p w:rsidR="007200CA" w:rsidRPr="00583E1A" w:rsidRDefault="007200CA" w:rsidP="007200CA">
      <w:pPr>
        <w:pStyle w:val="Definition"/>
      </w:pPr>
      <w:r w:rsidRPr="00583E1A">
        <w:rPr>
          <w:b/>
          <w:i/>
        </w:rPr>
        <w:t xml:space="preserve">fair value election </w:t>
      </w:r>
      <w:r w:rsidRPr="00583E1A">
        <w:t>has the meaning given by subsection 230</w:t>
      </w:r>
      <w:r w:rsidR="00583E1A">
        <w:noBreakHyphen/>
      </w:r>
      <w:r w:rsidRPr="00583E1A">
        <w:t>210(1).</w:t>
      </w:r>
    </w:p>
    <w:p w:rsidR="00731194" w:rsidRPr="00583E1A" w:rsidRDefault="00731194" w:rsidP="00731194">
      <w:pPr>
        <w:pStyle w:val="Definition"/>
      </w:pPr>
      <w:r w:rsidRPr="00583E1A">
        <w:rPr>
          <w:b/>
          <w:i/>
        </w:rPr>
        <w:t>Families Department</w:t>
      </w:r>
      <w:r w:rsidRPr="00583E1A">
        <w:t xml:space="preserve"> means the Department that:</w:t>
      </w:r>
    </w:p>
    <w:p w:rsidR="00731194" w:rsidRPr="00583E1A" w:rsidRDefault="00731194" w:rsidP="00731194">
      <w:pPr>
        <w:pStyle w:val="paragraph"/>
      </w:pPr>
      <w:r w:rsidRPr="00583E1A">
        <w:tab/>
        <w:t>(a)</w:t>
      </w:r>
      <w:r w:rsidRPr="00583E1A">
        <w:tab/>
        <w:t>deals with matters arising under section</w:t>
      </w:r>
      <w:r w:rsidR="00583E1A">
        <w:t> </w:t>
      </w:r>
      <w:r w:rsidRPr="00583E1A">
        <w:t xml:space="preserve">1 of the </w:t>
      </w:r>
      <w:r w:rsidRPr="00583E1A">
        <w:rPr>
          <w:i/>
        </w:rPr>
        <w:t>A New Tax System (Family Assistance) (Administration) Act 1999</w:t>
      </w:r>
      <w:r w:rsidRPr="00583E1A">
        <w:t>; and</w:t>
      </w:r>
    </w:p>
    <w:p w:rsidR="00731194" w:rsidRPr="00583E1A" w:rsidRDefault="00731194" w:rsidP="00731194">
      <w:pPr>
        <w:pStyle w:val="paragraph"/>
      </w:pPr>
      <w:r w:rsidRPr="00583E1A">
        <w:tab/>
        <w:t>(b)</w:t>
      </w:r>
      <w:r w:rsidRPr="00583E1A">
        <w:tab/>
        <w:t xml:space="preserve">is administered by the </w:t>
      </w:r>
      <w:r w:rsidR="00583E1A" w:rsidRPr="00583E1A">
        <w:rPr>
          <w:position w:val="6"/>
          <w:sz w:val="16"/>
        </w:rPr>
        <w:t>*</w:t>
      </w:r>
      <w:r w:rsidRPr="00583E1A">
        <w:t>Families Minister.</w:t>
      </w:r>
    </w:p>
    <w:p w:rsidR="00731194" w:rsidRPr="00583E1A" w:rsidRDefault="00731194" w:rsidP="00731194">
      <w:pPr>
        <w:pStyle w:val="Definition"/>
      </w:pPr>
      <w:r w:rsidRPr="00583E1A">
        <w:rPr>
          <w:b/>
          <w:i/>
        </w:rPr>
        <w:t>Families Minister</w:t>
      </w:r>
      <w:r w:rsidRPr="00583E1A">
        <w:t xml:space="preserve"> means the Minister administering section</w:t>
      </w:r>
      <w:r w:rsidR="00583E1A">
        <w:t> </w:t>
      </w:r>
      <w:r w:rsidRPr="00583E1A">
        <w:t xml:space="preserve">1 of the </w:t>
      </w:r>
      <w:r w:rsidRPr="00583E1A">
        <w:rPr>
          <w:i/>
        </w:rPr>
        <w:t>A New Tax System (Family Assistance) (Administration) Act 1999</w:t>
      </w:r>
      <w:r w:rsidRPr="00583E1A">
        <w:t>.</w:t>
      </w:r>
    </w:p>
    <w:p w:rsidR="00731194" w:rsidRPr="00583E1A" w:rsidRDefault="00731194" w:rsidP="00731194">
      <w:pPr>
        <w:pStyle w:val="Definition"/>
      </w:pPr>
      <w:r w:rsidRPr="00583E1A">
        <w:rPr>
          <w:b/>
          <w:i/>
        </w:rPr>
        <w:t>Families Secretary</w:t>
      </w:r>
      <w:r w:rsidRPr="00583E1A">
        <w:t xml:space="preserve"> means the Secretary of the </w:t>
      </w:r>
      <w:r w:rsidR="00583E1A" w:rsidRPr="00583E1A">
        <w:rPr>
          <w:position w:val="6"/>
          <w:sz w:val="16"/>
        </w:rPr>
        <w:t>*</w:t>
      </w:r>
      <w:r w:rsidRPr="00583E1A">
        <w:t>Families Department.</w:t>
      </w:r>
    </w:p>
    <w:p w:rsidR="00130B94" w:rsidRPr="00583E1A" w:rsidRDefault="00130B94" w:rsidP="00130B94">
      <w:pPr>
        <w:pStyle w:val="Definition"/>
      </w:pPr>
      <w:r w:rsidRPr="00583E1A">
        <w:rPr>
          <w:b/>
          <w:i/>
        </w:rPr>
        <w:t xml:space="preserve">family law superannuation payment </w:t>
      </w:r>
      <w:r w:rsidRPr="00583E1A">
        <w:t>has the meaning given by section</w:t>
      </w:r>
      <w:r w:rsidR="00583E1A">
        <w:t> </w:t>
      </w:r>
      <w:r w:rsidRPr="00583E1A">
        <w:t>307</w:t>
      </w:r>
      <w:r w:rsidR="00583E1A">
        <w:noBreakHyphen/>
      </w:r>
      <w:r w:rsidRPr="00583E1A">
        <w:t>5.</w:t>
      </w:r>
    </w:p>
    <w:p w:rsidR="00887330" w:rsidRPr="00583E1A" w:rsidRDefault="00887330" w:rsidP="00887330">
      <w:pPr>
        <w:pStyle w:val="Definition"/>
      </w:pPr>
      <w:r w:rsidRPr="00583E1A">
        <w:rPr>
          <w:b/>
          <w:i/>
        </w:rPr>
        <w:t>family trust</w:t>
      </w:r>
      <w:r w:rsidRPr="00583E1A">
        <w:t xml:space="preserve"> has the same meaning as in section</w:t>
      </w:r>
      <w:r w:rsidR="00583E1A">
        <w:t> </w:t>
      </w:r>
      <w:r w:rsidRPr="00583E1A">
        <w:t>272</w:t>
      </w:r>
      <w:r w:rsidR="00583E1A">
        <w:noBreakHyphen/>
      </w:r>
      <w:r w:rsidRPr="00583E1A">
        <w:t xml:space="preserve">75 </w:t>
      </w:r>
      <w:r w:rsidR="006D3544" w:rsidRPr="008A6DF7">
        <w:t>in Schedule 2F</w:t>
      </w:r>
      <w:r w:rsidRPr="00583E1A">
        <w:t xml:space="preserve"> to the </w:t>
      </w:r>
      <w:r w:rsidRPr="00583E1A">
        <w:rPr>
          <w:i/>
        </w:rPr>
        <w:t>Income Tax Assessment Act 1936</w:t>
      </w:r>
      <w:r w:rsidRPr="00583E1A">
        <w:t>.</w:t>
      </w:r>
    </w:p>
    <w:p w:rsidR="00CE7937" w:rsidRPr="00214FF7" w:rsidRDefault="00CE7937" w:rsidP="00CE7937">
      <w:pPr>
        <w:pStyle w:val="Definition"/>
      </w:pPr>
      <w:r w:rsidRPr="00214FF7">
        <w:rPr>
          <w:b/>
          <w:i/>
        </w:rPr>
        <w:t>farm management deposit</w:t>
      </w:r>
      <w:r w:rsidRPr="00214FF7">
        <w:t xml:space="preserve"> has the meaning given by Subdivision 393</w:t>
      </w:r>
      <w:r w:rsidRPr="00214FF7">
        <w:noBreakHyphen/>
        <w:t>B.</w:t>
      </w:r>
    </w:p>
    <w:p w:rsidR="00887330" w:rsidRPr="00583E1A" w:rsidRDefault="00887330" w:rsidP="00887330">
      <w:pPr>
        <w:pStyle w:val="Definition"/>
      </w:pPr>
      <w:r w:rsidRPr="00583E1A">
        <w:rPr>
          <w:b/>
          <w:i/>
        </w:rPr>
        <w:lastRenderedPageBreak/>
        <w:t>feature film</w:t>
      </w:r>
      <w:r w:rsidRPr="00583E1A">
        <w:t xml:space="preserve"> includes a </w:t>
      </w:r>
      <w:r w:rsidR="00583E1A" w:rsidRPr="00583E1A">
        <w:rPr>
          <w:position w:val="6"/>
          <w:sz w:val="16"/>
        </w:rPr>
        <w:t>*</w:t>
      </w:r>
      <w:r w:rsidRPr="00583E1A">
        <w:t>film that is an animated feature film.</w:t>
      </w:r>
    </w:p>
    <w:p w:rsidR="00B72CB0" w:rsidRPr="00642FBF" w:rsidRDefault="00B72CB0" w:rsidP="00B72CB0">
      <w:pPr>
        <w:pStyle w:val="Definition"/>
      </w:pPr>
      <w:r w:rsidRPr="00642FBF">
        <w:rPr>
          <w:b/>
          <w:i/>
        </w:rPr>
        <w:t>feedstock revenue</w:t>
      </w:r>
      <w:r w:rsidRPr="00642FBF">
        <w:t xml:space="preserve"> has the meaning given by section 355</w:t>
      </w:r>
      <w:r w:rsidRPr="00642FBF">
        <w:noBreakHyphen/>
        <w:t>470.</w:t>
      </w:r>
    </w:p>
    <w:p w:rsidR="003D0418" w:rsidRPr="00583E1A" w:rsidRDefault="003D0418" w:rsidP="003D0418">
      <w:pPr>
        <w:pStyle w:val="Definition"/>
      </w:pPr>
      <w:r w:rsidRPr="00583E1A">
        <w:rPr>
          <w:b/>
          <w:i/>
        </w:rPr>
        <w:t xml:space="preserve">FHSA </w:t>
      </w:r>
      <w:r w:rsidRPr="00583E1A">
        <w:t xml:space="preserve">has the meaning given by the </w:t>
      </w:r>
      <w:r w:rsidRPr="00583E1A">
        <w:rPr>
          <w:i/>
        </w:rPr>
        <w:t>First Home Saver Accounts Act 2008</w:t>
      </w:r>
      <w:r w:rsidRPr="00583E1A">
        <w:t>.</w:t>
      </w:r>
    </w:p>
    <w:p w:rsidR="003D0418" w:rsidRPr="00583E1A" w:rsidRDefault="003D0418" w:rsidP="003D0418">
      <w:pPr>
        <w:pStyle w:val="Definition"/>
      </w:pPr>
      <w:r w:rsidRPr="00583E1A">
        <w:rPr>
          <w:b/>
          <w:i/>
        </w:rPr>
        <w:t>FHSA component</w:t>
      </w:r>
      <w:r w:rsidRPr="00583E1A">
        <w:t xml:space="preserve"> has the meaning given by section</w:t>
      </w:r>
      <w:r w:rsidR="00583E1A">
        <w:t> </w:t>
      </w:r>
      <w:r w:rsidRPr="00583E1A">
        <w:t>345</w:t>
      </w:r>
      <w:r w:rsidR="00583E1A">
        <w:noBreakHyphen/>
      </w:r>
      <w:r w:rsidRPr="00583E1A">
        <w:t>20.</w:t>
      </w:r>
    </w:p>
    <w:p w:rsidR="003D0418" w:rsidRPr="00583E1A" w:rsidRDefault="003D0418" w:rsidP="003D0418">
      <w:pPr>
        <w:pStyle w:val="Definition"/>
      </w:pPr>
      <w:r w:rsidRPr="00583E1A">
        <w:rPr>
          <w:b/>
          <w:i/>
        </w:rPr>
        <w:t xml:space="preserve">FHSA holder </w:t>
      </w:r>
      <w:r w:rsidRPr="00583E1A">
        <w:t xml:space="preserve">has the meaning given by the </w:t>
      </w:r>
      <w:r w:rsidRPr="00583E1A">
        <w:rPr>
          <w:i/>
        </w:rPr>
        <w:t>First Home Saver Accounts Act 2008</w:t>
      </w:r>
      <w:r w:rsidRPr="00583E1A">
        <w:t>.</w:t>
      </w:r>
    </w:p>
    <w:p w:rsidR="003D0418" w:rsidRPr="00583E1A" w:rsidRDefault="003D0418" w:rsidP="003D0418">
      <w:pPr>
        <w:pStyle w:val="Definition"/>
      </w:pPr>
      <w:r w:rsidRPr="00583E1A">
        <w:rPr>
          <w:b/>
          <w:i/>
        </w:rPr>
        <w:t xml:space="preserve">FHSA home acquisition payment </w:t>
      </w:r>
      <w:r w:rsidRPr="00583E1A">
        <w:t xml:space="preserve">has the meaning given by the </w:t>
      </w:r>
      <w:r w:rsidRPr="00583E1A">
        <w:rPr>
          <w:i/>
        </w:rPr>
        <w:t>First Home Saver Accounts Act 2008</w:t>
      </w:r>
      <w:r w:rsidRPr="00583E1A">
        <w:t>.</w:t>
      </w:r>
    </w:p>
    <w:p w:rsidR="003D0418" w:rsidRPr="00583E1A" w:rsidRDefault="003D0418" w:rsidP="003D0418">
      <w:pPr>
        <w:pStyle w:val="Definition"/>
      </w:pPr>
      <w:r w:rsidRPr="00583E1A">
        <w:rPr>
          <w:b/>
          <w:i/>
        </w:rPr>
        <w:t xml:space="preserve">FHSA ineligibility payment </w:t>
      </w:r>
      <w:r w:rsidRPr="00583E1A">
        <w:t xml:space="preserve">has the meaning given by the </w:t>
      </w:r>
      <w:r w:rsidRPr="00583E1A">
        <w:rPr>
          <w:i/>
        </w:rPr>
        <w:t>First Home Saver Accounts Act 2008</w:t>
      </w:r>
      <w:r w:rsidRPr="00583E1A">
        <w:t>.</w:t>
      </w:r>
    </w:p>
    <w:p w:rsidR="003D0418" w:rsidRPr="00583E1A" w:rsidRDefault="003D0418" w:rsidP="003D0418">
      <w:pPr>
        <w:pStyle w:val="Definition"/>
      </w:pPr>
      <w:r w:rsidRPr="00583E1A">
        <w:rPr>
          <w:b/>
          <w:i/>
        </w:rPr>
        <w:t xml:space="preserve">FHSA misuse tax </w:t>
      </w:r>
      <w:r w:rsidRPr="00583E1A">
        <w:t xml:space="preserve">means tax imposed under the </w:t>
      </w:r>
      <w:r w:rsidRPr="00583E1A">
        <w:rPr>
          <w:i/>
        </w:rPr>
        <w:t>Income Tax (First Home Saver Accounts Misuse Tax) Act 2008</w:t>
      </w:r>
      <w:r w:rsidRPr="00583E1A">
        <w:t>.</w:t>
      </w:r>
    </w:p>
    <w:p w:rsidR="00A8534F" w:rsidRPr="009F63CB" w:rsidRDefault="00A8534F" w:rsidP="00A8534F">
      <w:pPr>
        <w:pStyle w:val="Definition"/>
      </w:pPr>
      <w:r w:rsidRPr="009F63CB">
        <w:rPr>
          <w:b/>
          <w:i/>
        </w:rPr>
        <w:t>FHSA mortgage payment</w:t>
      </w:r>
      <w:r w:rsidRPr="009F63CB">
        <w:t xml:space="preserve"> has the meaning given by the </w:t>
      </w:r>
      <w:r w:rsidRPr="009F63CB">
        <w:rPr>
          <w:i/>
        </w:rPr>
        <w:t>First Home Saver Accounts Act 2008</w:t>
      </w:r>
      <w:r w:rsidRPr="009F63CB">
        <w:t>.</w:t>
      </w:r>
    </w:p>
    <w:p w:rsidR="003D0418" w:rsidRPr="00583E1A" w:rsidRDefault="003D0418" w:rsidP="003D0418">
      <w:pPr>
        <w:pStyle w:val="Definition"/>
      </w:pPr>
      <w:r w:rsidRPr="00583E1A">
        <w:rPr>
          <w:b/>
          <w:i/>
        </w:rPr>
        <w:t xml:space="preserve">FHSA payment conditions </w:t>
      </w:r>
      <w:r w:rsidRPr="00583E1A">
        <w:t xml:space="preserve">has the meaning given by the </w:t>
      </w:r>
      <w:r w:rsidRPr="00583E1A">
        <w:rPr>
          <w:i/>
        </w:rPr>
        <w:t>First Home Saver Accounts Act 2008</w:t>
      </w:r>
      <w:r w:rsidRPr="00583E1A">
        <w:t>.</w:t>
      </w:r>
    </w:p>
    <w:p w:rsidR="003D0418" w:rsidRPr="00583E1A" w:rsidRDefault="003D0418" w:rsidP="003D0418">
      <w:pPr>
        <w:pStyle w:val="Definition"/>
      </w:pPr>
      <w:r w:rsidRPr="00583E1A">
        <w:rPr>
          <w:b/>
          <w:i/>
        </w:rPr>
        <w:t xml:space="preserve">FHSA provider </w:t>
      </w:r>
      <w:r w:rsidRPr="00583E1A">
        <w:t xml:space="preserve">has the meaning given by the </w:t>
      </w:r>
      <w:r w:rsidRPr="00583E1A">
        <w:rPr>
          <w:i/>
        </w:rPr>
        <w:t>First Home Saver Accounts Act 2008</w:t>
      </w:r>
      <w:r w:rsidRPr="00583E1A">
        <w:t>.</w:t>
      </w:r>
    </w:p>
    <w:p w:rsidR="003D0418" w:rsidRPr="00583E1A" w:rsidRDefault="003D0418" w:rsidP="003D0418">
      <w:pPr>
        <w:pStyle w:val="Definition"/>
      </w:pPr>
      <w:r w:rsidRPr="00583E1A">
        <w:rPr>
          <w:b/>
          <w:i/>
        </w:rPr>
        <w:t xml:space="preserve">FHSA trust </w:t>
      </w:r>
      <w:r w:rsidRPr="00583E1A">
        <w:t xml:space="preserve">has the meaning given by the </w:t>
      </w:r>
      <w:r w:rsidRPr="00583E1A">
        <w:rPr>
          <w:i/>
        </w:rPr>
        <w:t>First Home Saver Accounts Act 2008</w:t>
      </w:r>
      <w:r w:rsidRPr="00583E1A">
        <w:t>.</w:t>
      </w:r>
    </w:p>
    <w:p w:rsidR="001055A9" w:rsidRPr="00E811AF" w:rsidRDefault="001055A9" w:rsidP="001055A9">
      <w:pPr>
        <w:pStyle w:val="Definition"/>
      </w:pPr>
      <w:r w:rsidRPr="00E811AF">
        <w:rPr>
          <w:b/>
          <w:i/>
        </w:rPr>
        <w:t>FIFO cost method</w:t>
      </w:r>
      <w:r w:rsidRPr="00E811AF">
        <w:t xml:space="preserve"> of working out the </w:t>
      </w:r>
      <w:r w:rsidRPr="00E811AF">
        <w:rPr>
          <w:position w:val="6"/>
          <w:sz w:val="16"/>
        </w:rPr>
        <w:t>*</w:t>
      </w:r>
      <w:r w:rsidRPr="00E811AF">
        <w:t xml:space="preserve">value of a </w:t>
      </w:r>
      <w:r w:rsidRPr="00E811AF">
        <w:rPr>
          <w:position w:val="6"/>
          <w:sz w:val="16"/>
        </w:rPr>
        <w:t>*</w:t>
      </w:r>
      <w:r w:rsidRPr="00E811AF">
        <w:t>registered emissions unit has the meaning given by section 420</w:t>
      </w:r>
      <w:r w:rsidRPr="00E811AF">
        <w:noBreakHyphen/>
        <w:t>52.</w:t>
      </w:r>
    </w:p>
    <w:p w:rsidR="00887330" w:rsidRPr="00583E1A" w:rsidRDefault="00887330" w:rsidP="00887330">
      <w:pPr>
        <w:pStyle w:val="Definition"/>
      </w:pPr>
      <w:r w:rsidRPr="00583E1A">
        <w:rPr>
          <w:b/>
          <w:i/>
        </w:rPr>
        <w:t>film</w:t>
      </w:r>
      <w:r w:rsidRPr="00583E1A">
        <w:t xml:space="preserve"> means an aggregate of images, or of images and sounds, embodied in any material.</w:t>
      </w:r>
    </w:p>
    <w:p w:rsidR="00C44381" w:rsidRPr="00583E1A" w:rsidRDefault="00C44381" w:rsidP="00C44381">
      <w:pPr>
        <w:pStyle w:val="Definition"/>
      </w:pPr>
      <w:r w:rsidRPr="00583E1A">
        <w:rPr>
          <w:b/>
          <w:i/>
        </w:rPr>
        <w:t xml:space="preserve">film authority </w:t>
      </w:r>
      <w:r w:rsidRPr="00583E1A">
        <w:t>has the meaning given by section</w:t>
      </w:r>
      <w:r w:rsidR="00583E1A">
        <w:t> </w:t>
      </w:r>
      <w:r w:rsidRPr="00583E1A">
        <w:t>376</w:t>
      </w:r>
      <w:r w:rsidR="00583E1A">
        <w:noBreakHyphen/>
      </w:r>
      <w:r w:rsidRPr="00583E1A">
        <w:t>55.</w:t>
      </w:r>
    </w:p>
    <w:p w:rsidR="00C34BE7" w:rsidRDefault="00C34BE7" w:rsidP="00C34BE7">
      <w:pPr>
        <w:pStyle w:val="Definition"/>
      </w:pPr>
      <w:r>
        <w:rPr>
          <w:b/>
          <w:i/>
        </w:rPr>
        <w:t>film component</w:t>
      </w:r>
      <w:r>
        <w:t xml:space="preserve"> has the meaning given by section 36</w:t>
      </w:r>
      <w:r>
        <w:noBreakHyphen/>
        <w:t>40.</w:t>
      </w:r>
    </w:p>
    <w:p w:rsidR="007169F1" w:rsidRDefault="007169F1" w:rsidP="00A756C6">
      <w:pPr>
        <w:pStyle w:val="Definition"/>
        <w:keepNext/>
        <w:keepLines/>
      </w:pPr>
      <w:r>
        <w:rPr>
          <w:b/>
          <w:i/>
        </w:rPr>
        <w:lastRenderedPageBreak/>
        <w:t>film deductions</w:t>
      </w:r>
      <w:r>
        <w:t xml:space="preserve"> for an income year are the following:</w:t>
      </w:r>
    </w:p>
    <w:p w:rsidR="007169F1" w:rsidRDefault="007169F1" w:rsidP="007169F1">
      <w:pPr>
        <w:pStyle w:val="paragraph"/>
      </w:pPr>
      <w:r>
        <w:tab/>
        <w:t>(a)</w:t>
      </w:r>
      <w:r>
        <w:tab/>
        <w:t xml:space="preserve">amounts you could deduct for the income year under former section 124ZAFA of the </w:t>
      </w:r>
      <w:r>
        <w:rPr>
          <w:i/>
        </w:rPr>
        <w:t>Income Tax Assessment Act 1936</w:t>
      </w:r>
      <w:r>
        <w:t>;</w:t>
      </w:r>
    </w:p>
    <w:p w:rsidR="007169F1" w:rsidRDefault="007169F1" w:rsidP="007169F1">
      <w:pPr>
        <w:pStyle w:val="paragraph"/>
      </w:pPr>
      <w:r>
        <w:tab/>
        <w:t>(b)</w:t>
      </w:r>
      <w:r>
        <w:tab/>
        <w:t>amounts that you could deduct for the income year and to which former section 124ZAO of that Act applied in relation to you for the income year.</w:t>
      </w:r>
    </w:p>
    <w:p w:rsidR="007169F1" w:rsidRDefault="007169F1" w:rsidP="007169F1">
      <w:pPr>
        <w:pStyle w:val="Definition"/>
      </w:pPr>
      <w:r>
        <w:rPr>
          <w:b/>
          <w:i/>
        </w:rPr>
        <w:t>film loss</w:t>
      </w:r>
      <w:r>
        <w:t xml:space="preserve"> has the meaning given by section 36</w:t>
      </w:r>
      <w:r>
        <w:noBreakHyphen/>
        <w:t>40.</w:t>
      </w:r>
    </w:p>
    <w:p w:rsidR="007169F1" w:rsidRDefault="007169F1" w:rsidP="007169F1">
      <w:pPr>
        <w:pStyle w:val="notetext"/>
      </w:pPr>
      <w:r>
        <w:t>Note:</w:t>
      </w:r>
      <w:r>
        <w:tab/>
        <w:t>Section 701</w:t>
      </w:r>
      <w:r>
        <w:noBreakHyphen/>
        <w:t>30 (rules about where an entity is not a subsidiary member for the whole of an income year) may affect a film loss.</w:t>
      </w:r>
    </w:p>
    <w:p w:rsidR="00887330" w:rsidRPr="00583E1A" w:rsidRDefault="00887330" w:rsidP="00887330">
      <w:pPr>
        <w:pStyle w:val="Definition"/>
        <w:rPr>
          <w:b/>
          <w:i/>
        </w:rPr>
      </w:pPr>
      <w:r w:rsidRPr="00583E1A">
        <w:rPr>
          <w:b/>
          <w:i/>
        </w:rPr>
        <w:t>final RUNL</w:t>
      </w:r>
      <w:r w:rsidRPr="00583E1A">
        <w:t xml:space="preserve"> has the meaning given by section</w:t>
      </w:r>
      <w:r w:rsidR="00583E1A">
        <w:t> </w:t>
      </w:r>
      <w:r w:rsidRPr="00583E1A">
        <w:t>715</w:t>
      </w:r>
      <w:r w:rsidR="00583E1A">
        <w:noBreakHyphen/>
      </w:r>
      <w:r w:rsidRPr="00583E1A">
        <w:t>35.</w:t>
      </w:r>
    </w:p>
    <w:p w:rsidR="00887330" w:rsidRPr="00583E1A" w:rsidRDefault="00887330" w:rsidP="00887330">
      <w:pPr>
        <w:pStyle w:val="Definition"/>
      </w:pPr>
      <w:r w:rsidRPr="00583E1A">
        <w:rPr>
          <w:b/>
          <w:i/>
        </w:rPr>
        <w:t>financed property</w:t>
      </w:r>
      <w:r w:rsidRPr="00583E1A">
        <w:t xml:space="preserve"> has the meaning given by section</w:t>
      </w:r>
      <w:r w:rsidR="00583E1A">
        <w:t> </w:t>
      </w:r>
      <w:r w:rsidRPr="00583E1A">
        <w:t>243</w:t>
      </w:r>
      <w:r w:rsidR="00583E1A">
        <w:noBreakHyphen/>
      </w:r>
      <w:r w:rsidRPr="00583E1A">
        <w:t>30.</w:t>
      </w:r>
    </w:p>
    <w:p w:rsidR="00731194" w:rsidRPr="00583E1A" w:rsidRDefault="00731194" w:rsidP="00731194">
      <w:pPr>
        <w:pStyle w:val="Definition"/>
      </w:pPr>
      <w:r w:rsidRPr="00583E1A">
        <w:rPr>
          <w:b/>
          <w:i/>
        </w:rPr>
        <w:t>Finance Minister</w:t>
      </w:r>
      <w:r w:rsidRPr="00583E1A">
        <w:t xml:space="preserve"> means the Minister administering section</w:t>
      </w:r>
      <w:r w:rsidR="00583E1A">
        <w:t> </w:t>
      </w:r>
      <w:r w:rsidRPr="00583E1A">
        <w:t xml:space="preserve">1 of the </w:t>
      </w:r>
      <w:r w:rsidRPr="00583E1A">
        <w:rPr>
          <w:i/>
        </w:rPr>
        <w:t>Financial Management and Accountability Act 1997</w:t>
      </w:r>
      <w:r w:rsidRPr="00583E1A">
        <w:t>.</w:t>
      </w:r>
    </w:p>
    <w:p w:rsidR="00B62CC8" w:rsidRPr="00583E1A" w:rsidRDefault="00B62CC8" w:rsidP="00B62CC8">
      <w:pPr>
        <w:pStyle w:val="Definition"/>
      </w:pPr>
      <w:r w:rsidRPr="00583E1A">
        <w:rPr>
          <w:b/>
          <w:i/>
        </w:rPr>
        <w:t>financial arrangement</w:t>
      </w:r>
      <w:r w:rsidRPr="00583E1A">
        <w:t xml:space="preserve"> has the meaning given by </w:t>
      </w:r>
      <w:r w:rsidR="007200CA" w:rsidRPr="00583E1A">
        <w:t>sections</w:t>
      </w:r>
      <w:r w:rsidR="00583E1A">
        <w:t> </w:t>
      </w:r>
      <w:r w:rsidR="007200CA" w:rsidRPr="00583E1A">
        <w:t>230</w:t>
      </w:r>
      <w:r w:rsidR="00583E1A">
        <w:noBreakHyphen/>
      </w:r>
      <w:r w:rsidR="007200CA" w:rsidRPr="00583E1A">
        <w:t>45 to 230</w:t>
      </w:r>
      <w:r w:rsidR="00583E1A">
        <w:noBreakHyphen/>
      </w:r>
      <w:r w:rsidR="007200CA" w:rsidRPr="00583E1A">
        <w:t>55</w:t>
      </w:r>
      <w:r w:rsidRPr="00583E1A">
        <w:t>.</w:t>
      </w:r>
    </w:p>
    <w:p w:rsidR="00887330" w:rsidRPr="00583E1A" w:rsidRDefault="00887330" w:rsidP="00887330">
      <w:pPr>
        <w:pStyle w:val="Definition"/>
      </w:pPr>
      <w:r w:rsidRPr="00583E1A">
        <w:rPr>
          <w:b/>
          <w:i/>
        </w:rPr>
        <w:t>financial benefit</w:t>
      </w:r>
      <w:r w:rsidRPr="00583E1A">
        <w:t xml:space="preserve"> has the meaning given by section</w:t>
      </w:r>
      <w:r w:rsidR="00583E1A">
        <w:t> </w:t>
      </w:r>
      <w:r w:rsidRPr="00583E1A">
        <w:t>974</w:t>
      </w:r>
      <w:r w:rsidR="00583E1A">
        <w:noBreakHyphen/>
      </w:r>
      <w:r w:rsidRPr="00583E1A">
        <w:t>160.</w:t>
      </w:r>
    </w:p>
    <w:p w:rsidR="00887330" w:rsidRPr="00583E1A" w:rsidRDefault="00887330" w:rsidP="00887330">
      <w:pPr>
        <w:pStyle w:val="Definition"/>
      </w:pPr>
      <w:r w:rsidRPr="00583E1A">
        <w:rPr>
          <w:b/>
          <w:i/>
        </w:rPr>
        <w:t>financial entity</w:t>
      </w:r>
      <w:r w:rsidRPr="00583E1A">
        <w:t xml:space="preserve">, at a particular time, means an entity other than an </w:t>
      </w:r>
      <w:r w:rsidR="00583E1A" w:rsidRPr="00583E1A">
        <w:rPr>
          <w:position w:val="6"/>
          <w:sz w:val="16"/>
        </w:rPr>
        <w:t>*</w:t>
      </w:r>
      <w:r w:rsidRPr="00583E1A">
        <w:t>ADI that is any of the following at that time:</w:t>
      </w:r>
    </w:p>
    <w:p w:rsidR="00887330" w:rsidRPr="00583E1A" w:rsidRDefault="00887330" w:rsidP="00887330">
      <w:pPr>
        <w:pStyle w:val="paragraph"/>
      </w:pPr>
      <w:r w:rsidRPr="00583E1A">
        <w:tab/>
        <w:t>(a)</w:t>
      </w:r>
      <w:r w:rsidRPr="00583E1A">
        <w:tab/>
        <w:t xml:space="preserve">a registered corporation under the </w:t>
      </w:r>
      <w:r w:rsidRPr="00583E1A">
        <w:rPr>
          <w:i/>
        </w:rPr>
        <w:t>Financial Sector (Collection of Data) Act 2001</w:t>
      </w:r>
      <w:r w:rsidRPr="00583E1A">
        <w:t>;</w:t>
      </w:r>
    </w:p>
    <w:p w:rsidR="00887330" w:rsidRPr="00583E1A" w:rsidRDefault="00887330" w:rsidP="00887330">
      <w:pPr>
        <w:pStyle w:val="paragraph"/>
      </w:pPr>
      <w:r w:rsidRPr="00583E1A">
        <w:tab/>
        <w:t>(b)</w:t>
      </w:r>
      <w:r w:rsidRPr="00583E1A">
        <w:tab/>
        <w:t xml:space="preserve">a </w:t>
      </w:r>
      <w:r w:rsidR="00583E1A" w:rsidRPr="00583E1A">
        <w:rPr>
          <w:position w:val="6"/>
          <w:sz w:val="16"/>
        </w:rPr>
        <w:t>*</w:t>
      </w:r>
      <w:r w:rsidRPr="00583E1A">
        <w:t>securitisation vehicle;</w:t>
      </w:r>
    </w:p>
    <w:p w:rsidR="00887330" w:rsidRPr="00583E1A" w:rsidRDefault="00887330" w:rsidP="00887330">
      <w:pPr>
        <w:pStyle w:val="paragraph"/>
      </w:pPr>
      <w:r w:rsidRPr="00583E1A">
        <w:tab/>
        <w:t>(c)</w:t>
      </w:r>
      <w:r w:rsidRPr="00583E1A">
        <w:tab/>
        <w:t>an entity that:</w:t>
      </w:r>
    </w:p>
    <w:p w:rsidR="00887330" w:rsidRPr="00583E1A" w:rsidRDefault="00887330" w:rsidP="00887330">
      <w:pPr>
        <w:pStyle w:val="paragraphsub"/>
      </w:pPr>
      <w:r w:rsidRPr="00583E1A">
        <w:tab/>
        <w:t>(</w:t>
      </w:r>
      <w:r w:rsidRPr="00583E1A">
        <w:rPr>
          <w:noProof/>
        </w:rPr>
        <w:t>i</w:t>
      </w:r>
      <w:r w:rsidRPr="00583E1A">
        <w:t>)</w:t>
      </w:r>
      <w:r w:rsidRPr="00583E1A">
        <w:tab/>
        <w:t xml:space="preserve">is a financial services licensee within the meaning of the </w:t>
      </w:r>
      <w:r w:rsidRPr="00583E1A">
        <w:rPr>
          <w:i/>
        </w:rPr>
        <w:t>Corporations Act 2001</w:t>
      </w:r>
      <w:r w:rsidRPr="00583E1A">
        <w:t xml:space="preserve"> whose licence covers dealings in at least one of the financial products mentioned in paragraphs 764A(1)(a), (b) and (j) of that Act; or</w:t>
      </w:r>
    </w:p>
    <w:p w:rsidR="00887330" w:rsidRPr="00583E1A" w:rsidRDefault="00887330" w:rsidP="00A504C5">
      <w:pPr>
        <w:pStyle w:val="paragraphsub"/>
        <w:keepNext/>
        <w:keepLines/>
      </w:pPr>
      <w:r w:rsidRPr="00583E1A">
        <w:tab/>
        <w:t>(</w:t>
      </w:r>
      <w:r w:rsidRPr="00583E1A">
        <w:rPr>
          <w:noProof/>
        </w:rPr>
        <w:t>ii</w:t>
      </w:r>
      <w:r w:rsidRPr="00583E1A">
        <w:t>)</w:t>
      </w:r>
      <w:r w:rsidRPr="00583E1A">
        <w:tab/>
        <w:t xml:space="preserve">under paragraph 911A(2)(h) or (l) of the </w:t>
      </w:r>
      <w:r w:rsidRPr="00583E1A">
        <w:rPr>
          <w:i/>
        </w:rPr>
        <w:t>Corporations Act 2001</w:t>
      </w:r>
      <w:r w:rsidRPr="00583E1A">
        <w:t>, is exempt from the requirement to hold an Australian financial services licence for dealings in at least one of those financial products;</w:t>
      </w:r>
    </w:p>
    <w:p w:rsidR="00887330" w:rsidRPr="00583E1A" w:rsidRDefault="00887330" w:rsidP="00887330">
      <w:pPr>
        <w:pStyle w:val="paragraph"/>
      </w:pPr>
      <w:r w:rsidRPr="00583E1A">
        <w:tab/>
      </w:r>
      <w:r w:rsidRPr="00583E1A">
        <w:tab/>
        <w:t xml:space="preserve">and carries on a </w:t>
      </w:r>
      <w:r w:rsidR="00583E1A" w:rsidRPr="00583E1A">
        <w:rPr>
          <w:position w:val="6"/>
          <w:sz w:val="16"/>
        </w:rPr>
        <w:t>*</w:t>
      </w:r>
      <w:r w:rsidRPr="00583E1A">
        <w:t xml:space="preserve">business of dealing in securities, but not predominantly for the purposes of dealing in securities with, or on behalf of, the entity’s </w:t>
      </w:r>
      <w:r w:rsidR="00583E1A" w:rsidRPr="00583E1A">
        <w:rPr>
          <w:position w:val="6"/>
          <w:sz w:val="16"/>
        </w:rPr>
        <w:t>*</w:t>
      </w:r>
      <w:r w:rsidRPr="00583E1A">
        <w:t>associates;</w:t>
      </w:r>
    </w:p>
    <w:p w:rsidR="00887330" w:rsidRPr="00583E1A" w:rsidRDefault="00887330" w:rsidP="00887330">
      <w:pPr>
        <w:pStyle w:val="notepara"/>
      </w:pPr>
      <w:r w:rsidRPr="00583E1A">
        <w:lastRenderedPageBreak/>
        <w:t>Note 1:</w:t>
      </w:r>
      <w:r w:rsidRPr="00583E1A">
        <w:tab/>
        <w:t xml:space="preserve">Paragraphs 764A(1)(a), (b) and (j) of the </w:t>
      </w:r>
      <w:r w:rsidRPr="00583E1A">
        <w:rPr>
          <w:i/>
        </w:rPr>
        <w:t>Corporations Act 2001</w:t>
      </w:r>
      <w:r w:rsidRPr="00583E1A">
        <w:t xml:space="preserve"> deal respectively with securities, managed investment products and government debentures, stocks and bonds.</w:t>
      </w:r>
    </w:p>
    <w:p w:rsidR="00887330" w:rsidRPr="00583E1A" w:rsidRDefault="00887330" w:rsidP="00887330">
      <w:pPr>
        <w:pStyle w:val="notepara"/>
      </w:pPr>
      <w:r w:rsidRPr="00583E1A">
        <w:t>Note 2:</w:t>
      </w:r>
      <w:r w:rsidRPr="00583E1A">
        <w:tab/>
        <w:t>Paragraph 911A(2)(h) of that Act exempts financial services provided to wholesale clients by a person who is regulated by an overseas regulatory authority if the provision of the service is covered by an exemption from the Australian Securities and Investments Commission (ASIC).</w:t>
      </w:r>
    </w:p>
    <w:p w:rsidR="00887330" w:rsidRPr="00583E1A" w:rsidRDefault="00887330" w:rsidP="00887330">
      <w:pPr>
        <w:pStyle w:val="notepara"/>
      </w:pPr>
      <w:r w:rsidRPr="00583E1A">
        <w:t>Note 3:</w:t>
      </w:r>
      <w:r w:rsidRPr="00583E1A">
        <w:tab/>
        <w:t>Paragraph 911A(2)(l) of that Act empowers ASIC to exempt financial services.</w:t>
      </w:r>
    </w:p>
    <w:p w:rsidR="00887330" w:rsidRPr="00583E1A" w:rsidRDefault="00887330" w:rsidP="008864CB">
      <w:pPr>
        <w:pStyle w:val="paragraph"/>
        <w:keepNext/>
      </w:pPr>
      <w:r w:rsidRPr="00583E1A">
        <w:tab/>
        <w:t>(d)</w:t>
      </w:r>
      <w:r w:rsidRPr="00583E1A">
        <w:tab/>
        <w:t>an entity that:</w:t>
      </w:r>
    </w:p>
    <w:p w:rsidR="00887330" w:rsidRPr="00583E1A" w:rsidRDefault="00887330" w:rsidP="00887330">
      <w:pPr>
        <w:pStyle w:val="paragraphsub"/>
      </w:pPr>
      <w:r w:rsidRPr="00583E1A">
        <w:tab/>
        <w:t>(</w:t>
      </w:r>
      <w:r w:rsidRPr="00583E1A">
        <w:rPr>
          <w:noProof/>
        </w:rPr>
        <w:t>i</w:t>
      </w:r>
      <w:r w:rsidRPr="00583E1A">
        <w:t>)</w:t>
      </w:r>
      <w:r w:rsidRPr="00583E1A">
        <w:tab/>
        <w:t xml:space="preserve">is a financial services licensee within the meaning of the </w:t>
      </w:r>
      <w:r w:rsidRPr="00583E1A">
        <w:rPr>
          <w:i/>
        </w:rPr>
        <w:t>Corporations Act 2001</w:t>
      </w:r>
      <w:r w:rsidRPr="00583E1A">
        <w:t xml:space="preserve"> whose licence covers dealings in derivatives within the meaning of that Act; or</w:t>
      </w:r>
    </w:p>
    <w:p w:rsidR="00887330" w:rsidRPr="00583E1A" w:rsidRDefault="00887330" w:rsidP="00887330">
      <w:pPr>
        <w:pStyle w:val="paragraphsub"/>
      </w:pPr>
      <w:r w:rsidRPr="00583E1A">
        <w:tab/>
        <w:t>(</w:t>
      </w:r>
      <w:r w:rsidRPr="00583E1A">
        <w:rPr>
          <w:noProof/>
        </w:rPr>
        <w:t>ii</w:t>
      </w:r>
      <w:r w:rsidRPr="00583E1A">
        <w:t>)</w:t>
      </w:r>
      <w:r w:rsidRPr="00583E1A">
        <w:tab/>
        <w:t xml:space="preserve">under paragraph 911A(2)(h) or (l) of the </w:t>
      </w:r>
      <w:r w:rsidRPr="00583E1A">
        <w:rPr>
          <w:i/>
        </w:rPr>
        <w:t>Corporations Act 2001</w:t>
      </w:r>
      <w:r w:rsidRPr="00583E1A">
        <w:t>, is exempt from the requirement to hold an Australian financial services licence for dealings in such derivatives;</w:t>
      </w:r>
    </w:p>
    <w:p w:rsidR="00887330" w:rsidRPr="00583E1A" w:rsidRDefault="00887330" w:rsidP="00887330">
      <w:pPr>
        <w:pStyle w:val="paragraph"/>
      </w:pPr>
      <w:r w:rsidRPr="00583E1A">
        <w:tab/>
      </w:r>
      <w:r w:rsidRPr="00583E1A">
        <w:tab/>
        <w:t>and carries on a business of dealing in such derivatives, but not predominantly for the purposes of dealing in such derivatives with, or on behalf of, the entity’s associates.</w:t>
      </w:r>
    </w:p>
    <w:p w:rsidR="00887330" w:rsidRPr="00583E1A" w:rsidRDefault="00887330" w:rsidP="00887330">
      <w:pPr>
        <w:pStyle w:val="Definition"/>
      </w:pPr>
      <w:r w:rsidRPr="00583E1A">
        <w:rPr>
          <w:b/>
          <w:i/>
        </w:rPr>
        <w:t>financial institution</w:t>
      </w:r>
      <w:r w:rsidRPr="00583E1A">
        <w:rPr>
          <w:b/>
        </w:rPr>
        <w:t xml:space="preserve"> </w:t>
      </w:r>
      <w:r w:rsidRPr="00583E1A">
        <w:t>has the meaning given by section</w:t>
      </w:r>
      <w:r w:rsidR="00583E1A">
        <w:t> </w:t>
      </w:r>
      <w:r w:rsidRPr="00583E1A">
        <w:t xml:space="preserve">202A of the </w:t>
      </w:r>
      <w:r w:rsidRPr="00583E1A">
        <w:rPr>
          <w:i/>
        </w:rPr>
        <w:t>Income Tax Assessment Act 1936</w:t>
      </w:r>
      <w:r w:rsidRPr="00583E1A">
        <w:t>.</w:t>
      </w:r>
    </w:p>
    <w:p w:rsidR="006E44FA" w:rsidRPr="00583E1A" w:rsidRDefault="006E44FA" w:rsidP="006E44FA">
      <w:pPr>
        <w:pStyle w:val="Definition"/>
      </w:pPr>
      <w:r w:rsidRPr="00583E1A">
        <w:rPr>
          <w:b/>
          <w:i/>
        </w:rPr>
        <w:t>financial investment</w:t>
      </w:r>
      <w:r w:rsidRPr="00583E1A">
        <w:t xml:space="preserve"> includes the following:</w:t>
      </w:r>
    </w:p>
    <w:p w:rsidR="006E44FA" w:rsidRPr="00583E1A" w:rsidRDefault="006E44FA" w:rsidP="006E44FA">
      <w:pPr>
        <w:pStyle w:val="paragraph"/>
      </w:pPr>
      <w:r w:rsidRPr="00583E1A">
        <w:tab/>
        <w:t>(a)</w:t>
      </w:r>
      <w:r w:rsidRPr="00583E1A">
        <w:tab/>
        <w:t xml:space="preserve">a </w:t>
      </w:r>
      <w:r w:rsidR="00583E1A" w:rsidRPr="00583E1A">
        <w:rPr>
          <w:position w:val="6"/>
          <w:sz w:val="16"/>
        </w:rPr>
        <w:t>*</w:t>
      </w:r>
      <w:r w:rsidRPr="00583E1A">
        <w:t>share in a company;</w:t>
      </w:r>
    </w:p>
    <w:p w:rsidR="006E44FA" w:rsidRPr="00583E1A" w:rsidRDefault="006E44FA" w:rsidP="006E44FA">
      <w:pPr>
        <w:pStyle w:val="paragraph"/>
      </w:pPr>
      <w:r w:rsidRPr="00583E1A">
        <w:tab/>
        <w:t>(b)</w:t>
      </w:r>
      <w:r w:rsidRPr="00583E1A">
        <w:tab/>
        <w:t xml:space="preserve">an interest in a managed investment scheme (within the meaning of the </w:t>
      </w:r>
      <w:r w:rsidRPr="00583E1A">
        <w:rPr>
          <w:i/>
        </w:rPr>
        <w:t>Corporations Act 2001</w:t>
      </w:r>
      <w:r w:rsidRPr="00583E1A">
        <w:t>);</w:t>
      </w:r>
    </w:p>
    <w:p w:rsidR="006E44FA" w:rsidRPr="00583E1A" w:rsidRDefault="006E44FA" w:rsidP="006E44FA">
      <w:pPr>
        <w:pStyle w:val="paragraph"/>
      </w:pPr>
      <w:r w:rsidRPr="00583E1A">
        <w:tab/>
        <w:t>(c)</w:t>
      </w:r>
      <w:r w:rsidRPr="00583E1A">
        <w:tab/>
        <w:t xml:space="preserve">a </w:t>
      </w:r>
      <w:r w:rsidR="00583E1A" w:rsidRPr="00583E1A">
        <w:rPr>
          <w:position w:val="6"/>
          <w:sz w:val="16"/>
        </w:rPr>
        <w:t>*</w:t>
      </w:r>
      <w:r w:rsidRPr="00583E1A">
        <w:t xml:space="preserve">forestry interest in a </w:t>
      </w:r>
      <w:r w:rsidR="00583E1A" w:rsidRPr="00583E1A">
        <w:rPr>
          <w:position w:val="6"/>
          <w:sz w:val="16"/>
        </w:rPr>
        <w:t>*</w:t>
      </w:r>
      <w:r w:rsidRPr="00583E1A">
        <w:t>forestry managed investment scheme;</w:t>
      </w:r>
    </w:p>
    <w:p w:rsidR="006E44FA" w:rsidRPr="00583E1A" w:rsidRDefault="006E44FA" w:rsidP="00A504C5">
      <w:pPr>
        <w:pStyle w:val="paragraph"/>
        <w:keepNext/>
        <w:keepLines/>
      </w:pPr>
      <w:r w:rsidRPr="00583E1A">
        <w:tab/>
        <w:t>(d)</w:t>
      </w:r>
      <w:r w:rsidRPr="00583E1A">
        <w:tab/>
        <w:t xml:space="preserve">a right or option in respect of an investment referred to in </w:t>
      </w:r>
      <w:r w:rsidR="00583E1A">
        <w:t>paragraph (</w:t>
      </w:r>
      <w:r w:rsidRPr="00583E1A">
        <w:t>a), (b) or (c);</w:t>
      </w:r>
    </w:p>
    <w:p w:rsidR="006E44FA" w:rsidRPr="00583E1A" w:rsidRDefault="006E44FA" w:rsidP="006E44FA">
      <w:pPr>
        <w:pStyle w:val="paragraph"/>
      </w:pPr>
      <w:r w:rsidRPr="00583E1A">
        <w:tab/>
        <w:t>(e)</w:t>
      </w:r>
      <w:r w:rsidRPr="00583E1A">
        <w:tab/>
        <w:t xml:space="preserve">an investment of a like nature to any of those referred to in </w:t>
      </w:r>
      <w:r w:rsidR="00583E1A">
        <w:t>paragraphs (</w:t>
      </w:r>
      <w:r w:rsidRPr="00583E1A">
        <w:t>a) to (d).</w:t>
      </w:r>
    </w:p>
    <w:p w:rsidR="00887330" w:rsidRPr="00583E1A" w:rsidRDefault="00887330" w:rsidP="00887330">
      <w:pPr>
        <w:pStyle w:val="Definition"/>
        <w:rPr>
          <w:b/>
        </w:rPr>
      </w:pPr>
      <w:r w:rsidRPr="00583E1A">
        <w:rPr>
          <w:b/>
          <w:i/>
        </w:rPr>
        <w:t>financial year</w:t>
      </w:r>
      <w:r w:rsidRPr="00583E1A">
        <w:t xml:space="preserve"> means a period of 12 months beginning on 1</w:t>
      </w:r>
      <w:r w:rsidR="00583E1A">
        <w:t> </w:t>
      </w:r>
      <w:r w:rsidRPr="00583E1A">
        <w:t>July.</w:t>
      </w:r>
    </w:p>
    <w:p w:rsidR="00887330" w:rsidRPr="00583E1A" w:rsidRDefault="00887330" w:rsidP="00887330">
      <w:pPr>
        <w:pStyle w:val="Definition"/>
      </w:pPr>
      <w:r w:rsidRPr="00583E1A">
        <w:rPr>
          <w:b/>
          <w:i/>
        </w:rPr>
        <w:t>financing arrangement</w:t>
      </w:r>
      <w:r w:rsidRPr="00583E1A">
        <w:t xml:space="preserve"> has the meaning given by section</w:t>
      </w:r>
      <w:r w:rsidR="00583E1A">
        <w:t> </w:t>
      </w:r>
      <w:r w:rsidRPr="00583E1A">
        <w:t>974</w:t>
      </w:r>
      <w:r w:rsidR="00583E1A">
        <w:noBreakHyphen/>
      </w:r>
      <w:r w:rsidRPr="00583E1A">
        <w:t>130.</w:t>
      </w:r>
    </w:p>
    <w:p w:rsidR="005D2AD4" w:rsidRPr="00583E1A" w:rsidRDefault="005D2AD4" w:rsidP="005D2AD4">
      <w:pPr>
        <w:pStyle w:val="Definition"/>
      </w:pPr>
      <w:r w:rsidRPr="00583E1A">
        <w:rPr>
          <w:b/>
          <w:i/>
        </w:rPr>
        <w:t xml:space="preserve">financing cost </w:t>
      </w:r>
      <w:r w:rsidRPr="00583E1A">
        <w:t>has the meaning given by section</w:t>
      </w:r>
      <w:r w:rsidR="00583E1A">
        <w:t> </w:t>
      </w:r>
      <w:r w:rsidRPr="00583E1A">
        <w:t>26</w:t>
      </w:r>
      <w:r w:rsidR="00583E1A">
        <w:noBreakHyphen/>
      </w:r>
      <w:r w:rsidRPr="00583E1A">
        <w:t>80.</w:t>
      </w:r>
    </w:p>
    <w:p w:rsidR="00887330" w:rsidRPr="00583E1A" w:rsidRDefault="00887330" w:rsidP="00887330">
      <w:pPr>
        <w:pStyle w:val="Definition"/>
      </w:pPr>
      <w:r w:rsidRPr="00583E1A">
        <w:rPr>
          <w:b/>
          <w:i/>
        </w:rPr>
        <w:lastRenderedPageBreak/>
        <w:t>firearms surrender arrangements</w:t>
      </w:r>
      <w:r w:rsidRPr="00583E1A">
        <w:t xml:space="preserve"> means:</w:t>
      </w:r>
    </w:p>
    <w:p w:rsidR="00887330" w:rsidRPr="00583E1A" w:rsidRDefault="00887330" w:rsidP="00887330">
      <w:pPr>
        <w:pStyle w:val="paragraph"/>
      </w:pPr>
      <w:r w:rsidRPr="00583E1A">
        <w:tab/>
        <w:t>(a)</w:t>
      </w:r>
      <w:r w:rsidRPr="00583E1A">
        <w:tab/>
        <w:t xml:space="preserve">an </w:t>
      </w:r>
      <w:r w:rsidR="00583E1A" w:rsidRPr="00583E1A">
        <w:rPr>
          <w:position w:val="6"/>
          <w:sz w:val="16"/>
        </w:rPr>
        <w:t>*</w:t>
      </w:r>
      <w:r w:rsidRPr="00583E1A">
        <w:t>Australian law; or</w:t>
      </w:r>
    </w:p>
    <w:p w:rsidR="00887330" w:rsidRPr="00583E1A" w:rsidRDefault="00887330" w:rsidP="00887330">
      <w:pPr>
        <w:pStyle w:val="paragraph"/>
        <w:keepNext/>
        <w:tabs>
          <w:tab w:val="left" w:pos="2268"/>
          <w:tab w:val="left" w:pos="3402"/>
          <w:tab w:val="left" w:pos="4536"/>
          <w:tab w:val="left" w:pos="5670"/>
          <w:tab w:val="left" w:pos="6804"/>
        </w:tabs>
      </w:pPr>
      <w:r w:rsidRPr="00583E1A">
        <w:tab/>
        <w:t>(b)</w:t>
      </w:r>
      <w:r w:rsidRPr="00583E1A">
        <w:tab/>
        <w:t>administrative arrangements of a State or Territory;</w:t>
      </w:r>
    </w:p>
    <w:p w:rsidR="00887330" w:rsidRPr="00583E1A" w:rsidRDefault="00887330" w:rsidP="00887330">
      <w:pPr>
        <w:pStyle w:val="subsection2"/>
        <w:tabs>
          <w:tab w:val="left" w:pos="2268"/>
          <w:tab w:val="left" w:pos="3402"/>
          <w:tab w:val="left" w:pos="4536"/>
          <w:tab w:val="left" w:pos="5670"/>
          <w:tab w:val="left" w:pos="6804"/>
        </w:tabs>
      </w:pPr>
      <w:r w:rsidRPr="00583E1A">
        <w:t>implementing the agreement arising from the meeting of the Police Ministers held on 10</w:t>
      </w:r>
      <w:r w:rsidR="00583E1A">
        <w:t> </w:t>
      </w:r>
      <w:r w:rsidRPr="00583E1A">
        <w:t>May 1996 concerning the surrender of prohibited firearms.</w:t>
      </w:r>
    </w:p>
    <w:p w:rsidR="00887330" w:rsidRPr="00583E1A" w:rsidRDefault="00887330" w:rsidP="00887330">
      <w:pPr>
        <w:pStyle w:val="Definition"/>
      </w:pPr>
      <w:r w:rsidRPr="00583E1A">
        <w:rPr>
          <w:b/>
          <w:i/>
        </w:rPr>
        <w:t>first continuity period</w:t>
      </w:r>
      <w:r w:rsidRPr="00583E1A">
        <w:t xml:space="preserve"> has the meaning given by section</w:t>
      </w:r>
      <w:r w:rsidR="00583E1A">
        <w:t> </w:t>
      </w:r>
      <w:r w:rsidRPr="00583E1A">
        <w:t>165</w:t>
      </w:r>
      <w:r w:rsidR="00583E1A">
        <w:noBreakHyphen/>
      </w:r>
      <w:r w:rsidRPr="00583E1A">
        <w:t>120.</w:t>
      </w:r>
    </w:p>
    <w:p w:rsidR="0029664F" w:rsidRPr="00583E1A" w:rsidRDefault="0029664F" w:rsidP="0029664F">
      <w:pPr>
        <w:pStyle w:val="Definition"/>
      </w:pPr>
      <w:r w:rsidRPr="00583E1A">
        <w:rPr>
          <w:b/>
          <w:i/>
        </w:rPr>
        <w:t xml:space="preserve">first use time </w:t>
      </w:r>
      <w:r w:rsidRPr="00583E1A">
        <w:t>has the meaning given by section</w:t>
      </w:r>
      <w:r w:rsidR="00583E1A">
        <w:t> </w:t>
      </w:r>
      <w:r w:rsidRPr="00583E1A">
        <w:t>41</w:t>
      </w:r>
      <w:r w:rsidR="00583E1A">
        <w:noBreakHyphen/>
      </w:r>
      <w:r w:rsidRPr="00583E1A">
        <w:t>30.</w:t>
      </w:r>
    </w:p>
    <w:p w:rsidR="00887330" w:rsidRPr="00583E1A" w:rsidRDefault="00887330" w:rsidP="00887330">
      <w:pPr>
        <w:pStyle w:val="Definition"/>
      </w:pPr>
      <w:r w:rsidRPr="00583E1A">
        <w:rPr>
          <w:b/>
          <w:i/>
        </w:rPr>
        <w:t>fixed entitlement</w:t>
      </w:r>
      <w:r w:rsidRPr="00583E1A">
        <w:t xml:space="preserve">: an entity has a </w:t>
      </w:r>
      <w:r w:rsidRPr="00583E1A">
        <w:rPr>
          <w:b/>
          <w:i/>
        </w:rPr>
        <w:t xml:space="preserve">fixed entitlement </w:t>
      </w:r>
      <w:r w:rsidRPr="00583E1A">
        <w:t xml:space="preserve">to a share of the income or capital of a </w:t>
      </w:r>
      <w:r w:rsidR="003226E9" w:rsidRPr="008A6DF7">
        <w:t>company, partnership or</w:t>
      </w:r>
      <w:r w:rsidR="003226E9" w:rsidRPr="00583E1A">
        <w:t xml:space="preserve"> </w:t>
      </w:r>
      <w:r w:rsidRPr="00583E1A">
        <w:t>trust if the entity has a fixed entitlement to that share within the meaning of Division</w:t>
      </w:r>
      <w:r w:rsidR="00583E1A">
        <w:t> </w:t>
      </w:r>
      <w:r w:rsidRPr="00583E1A">
        <w:t>272 in Schedule</w:t>
      </w:r>
      <w:r w:rsidR="00583E1A">
        <w:t> </w:t>
      </w:r>
      <w:r w:rsidRPr="00583E1A">
        <w:t xml:space="preserve">2F to the </w:t>
      </w:r>
      <w:r w:rsidRPr="00583E1A">
        <w:rPr>
          <w:i/>
        </w:rPr>
        <w:t>Income Tax Assessment Act 1936</w:t>
      </w:r>
      <w:r w:rsidRPr="00583E1A">
        <w:t>.</w:t>
      </w:r>
    </w:p>
    <w:p w:rsidR="003226E9" w:rsidRPr="008A6DF7" w:rsidRDefault="003226E9" w:rsidP="003226E9">
      <w:pPr>
        <w:pStyle w:val="notetext"/>
      </w:pPr>
      <w:r w:rsidRPr="008A6DF7">
        <w:t>Note:</w:t>
      </w:r>
      <w:r w:rsidRPr="008A6DF7">
        <w:tab/>
        <w:t>Section 165</w:t>
      </w:r>
      <w:r w:rsidRPr="008A6DF7">
        <w:noBreakHyphen/>
        <w:t>245 affects when an entity is taken to have held or had, directly or indirectly, a fixed entitlement to a share of income or capital of a company.</w:t>
      </w:r>
    </w:p>
    <w:p w:rsidR="00887330" w:rsidRPr="00583E1A" w:rsidRDefault="00887330" w:rsidP="00887330">
      <w:pPr>
        <w:pStyle w:val="Definition"/>
      </w:pPr>
      <w:r w:rsidRPr="00583E1A">
        <w:rPr>
          <w:b/>
          <w:i/>
        </w:rPr>
        <w:t>fixed trust</w:t>
      </w:r>
      <w:r w:rsidRPr="00583E1A">
        <w:t xml:space="preserve">: a trust is a </w:t>
      </w:r>
      <w:r w:rsidRPr="00583E1A">
        <w:rPr>
          <w:b/>
          <w:i/>
        </w:rPr>
        <w:t>fixed trust</w:t>
      </w:r>
      <w:r w:rsidRPr="00583E1A">
        <w:t xml:space="preserve"> if entities have </w:t>
      </w:r>
      <w:r w:rsidR="00583E1A" w:rsidRPr="00583E1A">
        <w:rPr>
          <w:position w:val="6"/>
          <w:sz w:val="16"/>
        </w:rPr>
        <w:t>*</w:t>
      </w:r>
      <w:r w:rsidRPr="00583E1A">
        <w:t>fixed entitlements to all of the income and capital of the trust.</w:t>
      </w:r>
    </w:p>
    <w:p w:rsidR="00B232EA" w:rsidRPr="00583E1A" w:rsidRDefault="00B232EA" w:rsidP="00B232EA">
      <w:pPr>
        <w:pStyle w:val="Definition"/>
      </w:pPr>
      <w:r w:rsidRPr="00583E1A">
        <w:rPr>
          <w:b/>
          <w:i/>
        </w:rPr>
        <w:t>flexible care</w:t>
      </w:r>
      <w:r w:rsidRPr="00583E1A">
        <w:t xml:space="preserve"> has the same meaning as in the </w:t>
      </w:r>
      <w:r w:rsidRPr="00583E1A">
        <w:rPr>
          <w:i/>
        </w:rPr>
        <w:t>Aged Care Act 1997</w:t>
      </w:r>
      <w:r w:rsidRPr="00583E1A">
        <w:t>.</w:t>
      </w:r>
    </w:p>
    <w:p w:rsidR="00887330" w:rsidRPr="00583E1A" w:rsidRDefault="00887330" w:rsidP="00C67A46">
      <w:pPr>
        <w:pStyle w:val="Definition"/>
        <w:keepNext/>
      </w:pPr>
      <w:r w:rsidRPr="00583E1A">
        <w:rPr>
          <w:b/>
          <w:i/>
        </w:rPr>
        <w:t>flows indirectly</w:t>
      </w:r>
      <w:r w:rsidRPr="00583E1A">
        <w:t>:</w:t>
      </w:r>
    </w:p>
    <w:p w:rsidR="00887330" w:rsidRPr="00583E1A" w:rsidRDefault="00887330" w:rsidP="00887330">
      <w:pPr>
        <w:pStyle w:val="paragraph"/>
        <w:rPr>
          <w:szCs w:val="22"/>
        </w:rPr>
      </w:pPr>
      <w:r w:rsidRPr="00583E1A">
        <w:rPr>
          <w:szCs w:val="22"/>
        </w:rPr>
        <w:tab/>
        <w:t>(a)</w:t>
      </w:r>
      <w:r w:rsidRPr="00583E1A">
        <w:rPr>
          <w:szCs w:val="22"/>
        </w:rPr>
        <w:tab/>
        <w:t>subsections 207</w:t>
      </w:r>
      <w:r w:rsidR="00583E1A">
        <w:rPr>
          <w:szCs w:val="22"/>
        </w:rPr>
        <w:noBreakHyphen/>
      </w:r>
      <w:r w:rsidRPr="00583E1A">
        <w:rPr>
          <w:szCs w:val="22"/>
        </w:rPr>
        <w:t xml:space="preserve">50(2), (3) and (4) set out the circumstances in which a </w:t>
      </w:r>
      <w:r w:rsidR="00583E1A" w:rsidRPr="00583E1A">
        <w:rPr>
          <w:position w:val="6"/>
          <w:sz w:val="16"/>
          <w:szCs w:val="22"/>
        </w:rPr>
        <w:t>*</w:t>
      </w:r>
      <w:r w:rsidRPr="00583E1A">
        <w:rPr>
          <w:szCs w:val="22"/>
        </w:rPr>
        <w:t>franked distribution flows indirectly to an entity; and</w:t>
      </w:r>
    </w:p>
    <w:p w:rsidR="00887330" w:rsidRPr="00583E1A" w:rsidRDefault="00887330" w:rsidP="00887330">
      <w:pPr>
        <w:pStyle w:val="paragraph"/>
        <w:rPr>
          <w:szCs w:val="22"/>
        </w:rPr>
      </w:pPr>
      <w:r w:rsidRPr="00583E1A">
        <w:rPr>
          <w:szCs w:val="22"/>
        </w:rPr>
        <w:tab/>
        <w:t>(b)</w:t>
      </w:r>
      <w:r w:rsidRPr="00583E1A">
        <w:rPr>
          <w:szCs w:val="22"/>
        </w:rPr>
        <w:tab/>
        <w:t>subsection 207</w:t>
      </w:r>
      <w:r w:rsidR="00583E1A">
        <w:rPr>
          <w:szCs w:val="22"/>
        </w:rPr>
        <w:noBreakHyphen/>
      </w:r>
      <w:r w:rsidRPr="00583E1A">
        <w:rPr>
          <w:szCs w:val="22"/>
        </w:rPr>
        <w:t>50(5) sets out the circumstances in which a franked distribution flows indirectly through an entity; and</w:t>
      </w:r>
    </w:p>
    <w:p w:rsidR="00887330" w:rsidRPr="00583E1A" w:rsidRDefault="00887330" w:rsidP="00887330">
      <w:pPr>
        <w:pStyle w:val="paragraph"/>
        <w:rPr>
          <w:sz w:val="20"/>
        </w:rPr>
      </w:pPr>
      <w:r w:rsidRPr="00583E1A">
        <w:rPr>
          <w:sz w:val="20"/>
        </w:rPr>
        <w:tab/>
      </w:r>
      <w:r w:rsidRPr="00583E1A">
        <w:t>(c)</w:t>
      </w:r>
      <w:r w:rsidRPr="00583E1A">
        <w:rPr>
          <w:sz w:val="20"/>
        </w:rPr>
        <w:tab/>
      </w:r>
      <w:r w:rsidRPr="00583E1A">
        <w:t>section</w:t>
      </w:r>
      <w:r w:rsidR="00583E1A">
        <w:t> </w:t>
      </w:r>
      <w:r w:rsidRPr="00583E1A">
        <w:t>208</w:t>
      </w:r>
      <w:r w:rsidR="00583E1A">
        <w:noBreakHyphen/>
      </w:r>
      <w:r w:rsidRPr="00583E1A">
        <w:t xml:space="preserve">175 sets out the circumstances in which a </w:t>
      </w:r>
      <w:r w:rsidR="00583E1A" w:rsidRPr="00583E1A">
        <w:rPr>
          <w:position w:val="6"/>
          <w:sz w:val="16"/>
        </w:rPr>
        <w:t>*</w:t>
      </w:r>
      <w:r w:rsidRPr="00583E1A">
        <w:t xml:space="preserve">distribution </w:t>
      </w:r>
      <w:r w:rsidR="00583E1A" w:rsidRPr="00583E1A">
        <w:rPr>
          <w:position w:val="6"/>
          <w:sz w:val="16"/>
        </w:rPr>
        <w:t>*</w:t>
      </w:r>
      <w:r w:rsidRPr="00583E1A">
        <w:t>franked with an exempting credit flows indirectly to an entity; and</w:t>
      </w:r>
    </w:p>
    <w:p w:rsidR="00887330" w:rsidRPr="00583E1A" w:rsidRDefault="00887330" w:rsidP="00887330">
      <w:pPr>
        <w:pStyle w:val="paragraph"/>
      </w:pPr>
      <w:r w:rsidRPr="00583E1A">
        <w:tab/>
        <w:t>(d)</w:t>
      </w:r>
      <w:r w:rsidRPr="00583E1A">
        <w:tab/>
        <w:t>section</w:t>
      </w:r>
      <w:r w:rsidR="00583E1A">
        <w:t> </w:t>
      </w:r>
      <w:r w:rsidRPr="00583E1A">
        <w:t>220</w:t>
      </w:r>
      <w:r w:rsidR="00583E1A">
        <w:noBreakHyphen/>
      </w:r>
      <w:r w:rsidRPr="00583E1A">
        <w:t xml:space="preserve">405 sets out the circumstances in which a supplementary dividend (as defined in section OB1 of the Income Tax Act 1994 of </w:t>
      </w:r>
      <w:smartTag w:uri="urn:schemas-microsoft-com:office:smarttags" w:element="country-region">
        <w:smartTag w:uri="urn:schemas-microsoft-com:office:smarttags" w:element="place">
          <w:r w:rsidRPr="00583E1A">
            <w:t>New Zealand</w:t>
          </w:r>
        </w:smartTag>
      </w:smartTag>
      <w:r w:rsidRPr="00583E1A">
        <w:t>) flows indirectly to an entity</w:t>
      </w:r>
      <w:r w:rsidR="00DE7415" w:rsidRPr="00583E1A">
        <w:t>; and</w:t>
      </w:r>
    </w:p>
    <w:p w:rsidR="00DE7415" w:rsidRPr="00583E1A" w:rsidRDefault="00DE7415" w:rsidP="00DE7415">
      <w:pPr>
        <w:pStyle w:val="paragraph"/>
      </w:pPr>
      <w:r w:rsidRPr="00583E1A">
        <w:tab/>
        <w:t>(e)</w:t>
      </w:r>
      <w:r w:rsidRPr="00583E1A">
        <w:tab/>
        <w:t>subsections 380</w:t>
      </w:r>
      <w:r w:rsidR="00583E1A">
        <w:noBreakHyphen/>
      </w:r>
      <w:r w:rsidRPr="00583E1A">
        <w:t xml:space="preserve">25(2), (3) and (4) set out the circumstances in which </w:t>
      </w:r>
      <w:r w:rsidR="00583E1A" w:rsidRPr="00583E1A">
        <w:rPr>
          <w:position w:val="6"/>
          <w:sz w:val="16"/>
        </w:rPr>
        <w:t>*</w:t>
      </w:r>
      <w:r w:rsidRPr="00583E1A">
        <w:t>NRAS rent flows indirectly to an entity; and</w:t>
      </w:r>
    </w:p>
    <w:p w:rsidR="00DE7415" w:rsidRPr="00583E1A" w:rsidRDefault="00DE7415" w:rsidP="00DE7415">
      <w:pPr>
        <w:pStyle w:val="paragraph"/>
      </w:pPr>
      <w:r w:rsidRPr="00583E1A">
        <w:lastRenderedPageBreak/>
        <w:tab/>
        <w:t>(f)</w:t>
      </w:r>
      <w:r w:rsidRPr="00583E1A">
        <w:tab/>
        <w:t>subsection 380</w:t>
      </w:r>
      <w:r w:rsidR="00583E1A">
        <w:noBreakHyphen/>
      </w:r>
      <w:r w:rsidRPr="00583E1A">
        <w:t>25(5) sets out the circumstances in which NRAS rent flows indirectly through an entity.</w:t>
      </w:r>
    </w:p>
    <w:p w:rsidR="00CE7937" w:rsidRPr="00214FF7" w:rsidRDefault="00CE7937" w:rsidP="00CE7937">
      <w:pPr>
        <w:pStyle w:val="Definition"/>
      </w:pPr>
      <w:r w:rsidRPr="00214FF7">
        <w:rPr>
          <w:b/>
          <w:i/>
        </w:rPr>
        <w:t>FMD provider</w:t>
      </w:r>
      <w:r w:rsidRPr="00214FF7">
        <w:t xml:space="preserve"> (short for farm management deposit provider) has the meaning given by subsection 393</w:t>
      </w:r>
      <w:r w:rsidRPr="00214FF7">
        <w:noBreakHyphen/>
        <w:t>20(3).</w:t>
      </w:r>
    </w:p>
    <w:p w:rsidR="00731194" w:rsidRPr="00583E1A" w:rsidRDefault="00731194" w:rsidP="00731194">
      <w:pPr>
        <w:pStyle w:val="Definition"/>
      </w:pPr>
      <w:r w:rsidRPr="00583E1A">
        <w:rPr>
          <w:b/>
          <w:i/>
        </w:rPr>
        <w:t>Foreign Affairs Minister</w:t>
      </w:r>
      <w:r w:rsidRPr="00583E1A">
        <w:t xml:space="preserve"> means the Minister administering section</w:t>
      </w:r>
      <w:r w:rsidR="00583E1A">
        <w:t> </w:t>
      </w:r>
      <w:r w:rsidRPr="00583E1A">
        <w:t xml:space="preserve">1 of the </w:t>
      </w:r>
      <w:r w:rsidRPr="00583E1A">
        <w:rPr>
          <w:i/>
        </w:rPr>
        <w:t>International Development Association Act 1960</w:t>
      </w:r>
      <w:r w:rsidRPr="00583E1A">
        <w:t>.</w:t>
      </w:r>
    </w:p>
    <w:p w:rsidR="00887330" w:rsidRPr="00583E1A" w:rsidRDefault="00887330" w:rsidP="00887330">
      <w:pPr>
        <w:pStyle w:val="Definition"/>
      </w:pPr>
      <w:r w:rsidRPr="00583E1A">
        <w:rPr>
          <w:b/>
          <w:i/>
        </w:rPr>
        <w:t>foreign bank</w:t>
      </w:r>
      <w:r w:rsidRPr="00583E1A">
        <w:t xml:space="preserve"> means an </w:t>
      </w:r>
      <w:r w:rsidR="00583E1A" w:rsidRPr="00583E1A">
        <w:rPr>
          <w:position w:val="6"/>
          <w:sz w:val="16"/>
        </w:rPr>
        <w:t>*</w:t>
      </w:r>
      <w:r w:rsidRPr="00583E1A">
        <w:t xml:space="preserve">ADI that is a </w:t>
      </w:r>
      <w:r w:rsidR="00583E1A" w:rsidRPr="00583E1A">
        <w:rPr>
          <w:position w:val="6"/>
          <w:sz w:val="16"/>
        </w:rPr>
        <w:t>*</w:t>
      </w:r>
      <w:r w:rsidRPr="00583E1A">
        <w:t>foreign entity.</w:t>
      </w:r>
    </w:p>
    <w:p w:rsidR="00887330" w:rsidRPr="00583E1A" w:rsidRDefault="00887330" w:rsidP="00887330">
      <w:pPr>
        <w:pStyle w:val="Definition"/>
      </w:pPr>
      <w:r w:rsidRPr="00583E1A">
        <w:rPr>
          <w:b/>
          <w:i/>
        </w:rPr>
        <w:t>foreign controlled Australian company</w:t>
      </w:r>
      <w:r w:rsidRPr="00583E1A">
        <w:t xml:space="preserve"> has the meaning given by section</w:t>
      </w:r>
      <w:r w:rsidR="00583E1A">
        <w:t> </w:t>
      </w:r>
      <w:r w:rsidRPr="00583E1A">
        <w:t>820</w:t>
      </w:r>
      <w:r w:rsidR="00583E1A">
        <w:noBreakHyphen/>
      </w:r>
      <w:r w:rsidRPr="00583E1A">
        <w:t>785.</w:t>
      </w:r>
    </w:p>
    <w:p w:rsidR="00887330" w:rsidRPr="00583E1A" w:rsidRDefault="00887330" w:rsidP="00887330">
      <w:pPr>
        <w:pStyle w:val="Definition"/>
      </w:pPr>
      <w:r w:rsidRPr="00583E1A">
        <w:rPr>
          <w:b/>
          <w:i/>
        </w:rPr>
        <w:t>foreign controlled Australian entity</w:t>
      </w:r>
      <w:r w:rsidRPr="00583E1A">
        <w:t xml:space="preserve"> has the meaning given by section</w:t>
      </w:r>
      <w:r w:rsidR="00583E1A">
        <w:t> </w:t>
      </w:r>
      <w:r w:rsidRPr="00583E1A">
        <w:t>820</w:t>
      </w:r>
      <w:r w:rsidR="00583E1A">
        <w:noBreakHyphen/>
      </w:r>
      <w:r w:rsidRPr="00583E1A">
        <w:t>780.</w:t>
      </w:r>
    </w:p>
    <w:p w:rsidR="00887330" w:rsidRPr="00583E1A" w:rsidRDefault="00887330" w:rsidP="00887330">
      <w:pPr>
        <w:pStyle w:val="Definition"/>
      </w:pPr>
      <w:r w:rsidRPr="00583E1A">
        <w:rPr>
          <w:b/>
          <w:i/>
        </w:rPr>
        <w:t>foreign controlled Australian partnership</w:t>
      </w:r>
      <w:r w:rsidRPr="00583E1A">
        <w:rPr>
          <w:b/>
        </w:rPr>
        <w:t xml:space="preserve"> </w:t>
      </w:r>
      <w:r w:rsidRPr="00583E1A">
        <w:t>has the meaning given by section</w:t>
      </w:r>
      <w:r w:rsidR="00583E1A">
        <w:t> </w:t>
      </w:r>
      <w:r w:rsidRPr="00583E1A">
        <w:t>820</w:t>
      </w:r>
      <w:r w:rsidR="00583E1A">
        <w:noBreakHyphen/>
      </w:r>
      <w:r w:rsidRPr="00583E1A">
        <w:t>795.</w:t>
      </w:r>
    </w:p>
    <w:p w:rsidR="00887330" w:rsidRPr="00583E1A" w:rsidRDefault="00887330" w:rsidP="00887330">
      <w:pPr>
        <w:pStyle w:val="Definition"/>
      </w:pPr>
      <w:r w:rsidRPr="00583E1A">
        <w:rPr>
          <w:b/>
          <w:i/>
        </w:rPr>
        <w:t>foreign controlled Australian trust</w:t>
      </w:r>
      <w:r w:rsidRPr="00583E1A">
        <w:rPr>
          <w:b/>
        </w:rPr>
        <w:t xml:space="preserve"> </w:t>
      </w:r>
      <w:r w:rsidRPr="00583E1A">
        <w:t>has the meaning given by section</w:t>
      </w:r>
      <w:r w:rsidR="00583E1A">
        <w:t> </w:t>
      </w:r>
      <w:r w:rsidRPr="00583E1A">
        <w:t>820</w:t>
      </w:r>
      <w:r w:rsidR="00583E1A">
        <w:noBreakHyphen/>
      </w:r>
      <w:r w:rsidRPr="00583E1A">
        <w:t>790.</w:t>
      </w:r>
    </w:p>
    <w:p w:rsidR="00887330" w:rsidRPr="00583E1A" w:rsidRDefault="00887330" w:rsidP="00887330">
      <w:pPr>
        <w:pStyle w:val="Definition"/>
      </w:pPr>
      <w:r w:rsidRPr="00583E1A">
        <w:rPr>
          <w:b/>
          <w:i/>
        </w:rPr>
        <w:t>foreign currency</w:t>
      </w:r>
      <w:r w:rsidRPr="00583E1A">
        <w:t xml:space="preserve"> means a currency other than Australian currency.</w:t>
      </w:r>
    </w:p>
    <w:p w:rsidR="00B232EA" w:rsidRPr="00583E1A" w:rsidRDefault="00B232EA" w:rsidP="00B232EA">
      <w:pPr>
        <w:pStyle w:val="Definition"/>
      </w:pPr>
      <w:r w:rsidRPr="00583E1A">
        <w:rPr>
          <w:b/>
          <w:i/>
        </w:rPr>
        <w:t>foreign currency hedge</w:t>
      </w:r>
      <w:r w:rsidRPr="00583E1A">
        <w:t xml:space="preserve"> has the meaning given by subsection 230</w:t>
      </w:r>
      <w:r w:rsidR="00583E1A">
        <w:noBreakHyphen/>
      </w:r>
      <w:r w:rsidRPr="00583E1A">
        <w:t>350(2).</w:t>
      </w:r>
    </w:p>
    <w:p w:rsidR="00887330" w:rsidRPr="00583E1A" w:rsidRDefault="00887330" w:rsidP="00887330">
      <w:pPr>
        <w:pStyle w:val="Definition"/>
      </w:pPr>
      <w:r w:rsidRPr="00583E1A">
        <w:rPr>
          <w:b/>
          <w:i/>
        </w:rPr>
        <w:t>foreign entity</w:t>
      </w:r>
      <w:r w:rsidRPr="00583E1A">
        <w:rPr>
          <w:b/>
        </w:rPr>
        <w:t xml:space="preserve"> </w:t>
      </w:r>
      <w:r w:rsidRPr="00583E1A">
        <w:t xml:space="preserve">means an entity that is not an </w:t>
      </w:r>
      <w:r w:rsidR="00583E1A" w:rsidRPr="00583E1A">
        <w:rPr>
          <w:position w:val="6"/>
          <w:sz w:val="16"/>
        </w:rPr>
        <w:t>*</w:t>
      </w:r>
      <w:r w:rsidRPr="00583E1A">
        <w:t>Australian entity.</w:t>
      </w:r>
    </w:p>
    <w:p w:rsidR="00B232EA" w:rsidRPr="00583E1A" w:rsidRDefault="00B232EA" w:rsidP="00B232EA">
      <w:pPr>
        <w:pStyle w:val="Definition"/>
      </w:pPr>
      <w:r w:rsidRPr="00583E1A">
        <w:rPr>
          <w:b/>
          <w:i/>
        </w:rPr>
        <w:t xml:space="preserve">foreign exchange retranslation election </w:t>
      </w:r>
      <w:r w:rsidRPr="00583E1A">
        <w:t>has the meaning given by subsections 230</w:t>
      </w:r>
      <w:r w:rsidR="00583E1A">
        <w:noBreakHyphen/>
      </w:r>
      <w:r w:rsidRPr="00583E1A">
        <w:t>255(1) and (3).</w:t>
      </w:r>
    </w:p>
    <w:p w:rsidR="00887330" w:rsidRPr="00583E1A" w:rsidRDefault="00887330" w:rsidP="00887330">
      <w:pPr>
        <w:pStyle w:val="Definition"/>
        <w:rPr>
          <w:i/>
        </w:rPr>
      </w:pPr>
      <w:r w:rsidRPr="00583E1A">
        <w:rPr>
          <w:b/>
          <w:i/>
        </w:rPr>
        <w:t>foreign</w:t>
      </w:r>
      <w:r w:rsidRPr="00583E1A">
        <w:t xml:space="preserve"> </w:t>
      </w:r>
      <w:r w:rsidRPr="00583E1A">
        <w:rPr>
          <w:b/>
          <w:i/>
        </w:rPr>
        <w:t xml:space="preserve">general insurance company </w:t>
      </w:r>
      <w:r w:rsidRPr="00583E1A">
        <w:t xml:space="preserve">means a company that is a foreign resident, and whose sole or principal business is </w:t>
      </w:r>
      <w:r w:rsidR="00583E1A" w:rsidRPr="00583E1A">
        <w:rPr>
          <w:position w:val="6"/>
          <w:sz w:val="16"/>
        </w:rPr>
        <w:t>*</w:t>
      </w:r>
      <w:r w:rsidRPr="00583E1A">
        <w:t>insurance business.</w:t>
      </w:r>
    </w:p>
    <w:p w:rsidR="00887330" w:rsidRPr="00583E1A" w:rsidRDefault="00887330" w:rsidP="00887330">
      <w:pPr>
        <w:pStyle w:val="Definition"/>
      </w:pPr>
      <w:r w:rsidRPr="00583E1A">
        <w:rPr>
          <w:b/>
          <w:i/>
        </w:rPr>
        <w:t>foreign government agency</w:t>
      </w:r>
      <w:r w:rsidRPr="00583E1A">
        <w:t xml:space="preserve"> means:</w:t>
      </w:r>
    </w:p>
    <w:p w:rsidR="00887330" w:rsidRPr="00583E1A" w:rsidRDefault="00887330" w:rsidP="00887330">
      <w:pPr>
        <w:pStyle w:val="paragraph"/>
        <w:tabs>
          <w:tab w:val="left" w:pos="2268"/>
          <w:tab w:val="left" w:pos="3402"/>
          <w:tab w:val="left" w:pos="4536"/>
          <w:tab w:val="left" w:pos="5670"/>
          <w:tab w:val="left" w:pos="6804"/>
        </w:tabs>
      </w:pPr>
      <w:r w:rsidRPr="00583E1A">
        <w:tab/>
        <w:t>(a)</w:t>
      </w:r>
      <w:r w:rsidRPr="00583E1A">
        <w:tab/>
        <w:t>the government of a foreign country or of part of a foreign country; or</w:t>
      </w:r>
    </w:p>
    <w:p w:rsidR="00887330" w:rsidRPr="00583E1A" w:rsidRDefault="00887330" w:rsidP="00887330">
      <w:pPr>
        <w:pStyle w:val="paragraph"/>
        <w:tabs>
          <w:tab w:val="left" w:pos="2268"/>
          <w:tab w:val="left" w:pos="3402"/>
          <w:tab w:val="left" w:pos="4536"/>
          <w:tab w:val="left" w:pos="5670"/>
          <w:tab w:val="left" w:pos="6804"/>
        </w:tabs>
      </w:pPr>
      <w:r w:rsidRPr="00583E1A">
        <w:tab/>
        <w:t>(b)</w:t>
      </w:r>
      <w:r w:rsidRPr="00583E1A">
        <w:tab/>
        <w:t>an authority of the government of a foreign country; or</w:t>
      </w:r>
    </w:p>
    <w:p w:rsidR="00887330" w:rsidRPr="00583E1A" w:rsidRDefault="00887330" w:rsidP="00887330">
      <w:pPr>
        <w:pStyle w:val="paragraph"/>
        <w:tabs>
          <w:tab w:val="left" w:pos="2268"/>
          <w:tab w:val="left" w:pos="3402"/>
          <w:tab w:val="left" w:pos="4536"/>
          <w:tab w:val="left" w:pos="5670"/>
          <w:tab w:val="left" w:pos="6804"/>
        </w:tabs>
      </w:pPr>
      <w:r w:rsidRPr="00583E1A">
        <w:tab/>
        <w:t>(c)</w:t>
      </w:r>
      <w:r w:rsidRPr="00583E1A">
        <w:tab/>
        <w:t>an authority of the government of part of a foreign country.</w:t>
      </w:r>
    </w:p>
    <w:p w:rsidR="00887330" w:rsidRPr="00583E1A" w:rsidRDefault="00887330" w:rsidP="00887330">
      <w:pPr>
        <w:pStyle w:val="Definition"/>
      </w:pPr>
      <w:r w:rsidRPr="00583E1A">
        <w:rPr>
          <w:b/>
          <w:i/>
        </w:rPr>
        <w:lastRenderedPageBreak/>
        <w:t>foreign hybrid</w:t>
      </w:r>
      <w:r w:rsidRPr="00583E1A">
        <w:t xml:space="preserve"> has the meaning given by section</w:t>
      </w:r>
      <w:r w:rsidR="00583E1A">
        <w:t> </w:t>
      </w:r>
      <w:r w:rsidRPr="00583E1A">
        <w:t>830</w:t>
      </w:r>
      <w:r w:rsidR="00583E1A">
        <w:noBreakHyphen/>
      </w:r>
      <w:r w:rsidRPr="00583E1A">
        <w:t>5.</w:t>
      </w:r>
    </w:p>
    <w:p w:rsidR="00887330" w:rsidRPr="00583E1A" w:rsidRDefault="00887330" w:rsidP="00887330">
      <w:pPr>
        <w:pStyle w:val="Definition"/>
      </w:pPr>
      <w:r w:rsidRPr="00583E1A">
        <w:rPr>
          <w:b/>
          <w:i/>
        </w:rPr>
        <w:t>foreign hybrid</w:t>
      </w:r>
      <w:r w:rsidRPr="00583E1A">
        <w:t xml:space="preserve"> </w:t>
      </w:r>
      <w:r w:rsidRPr="00583E1A">
        <w:rPr>
          <w:b/>
          <w:i/>
        </w:rPr>
        <w:t xml:space="preserve">company </w:t>
      </w:r>
      <w:r w:rsidRPr="00583E1A">
        <w:t>has the meaning given by section</w:t>
      </w:r>
      <w:r w:rsidR="00583E1A">
        <w:t> </w:t>
      </w:r>
      <w:r w:rsidRPr="00583E1A">
        <w:t>830</w:t>
      </w:r>
      <w:r w:rsidR="00583E1A">
        <w:noBreakHyphen/>
      </w:r>
      <w:r w:rsidRPr="00583E1A">
        <w:t>15.</w:t>
      </w:r>
    </w:p>
    <w:p w:rsidR="00887330" w:rsidRPr="00583E1A" w:rsidRDefault="00887330" w:rsidP="00887330">
      <w:pPr>
        <w:pStyle w:val="Definition"/>
      </w:pPr>
      <w:r w:rsidRPr="00583E1A">
        <w:rPr>
          <w:b/>
          <w:i/>
        </w:rPr>
        <w:t xml:space="preserve">foreign hybrid limited partnership </w:t>
      </w:r>
      <w:r w:rsidRPr="00583E1A">
        <w:t>has the meaning given by section</w:t>
      </w:r>
      <w:r w:rsidR="00583E1A">
        <w:t> </w:t>
      </w:r>
      <w:r w:rsidRPr="00583E1A">
        <w:t>830</w:t>
      </w:r>
      <w:r w:rsidR="00583E1A">
        <w:noBreakHyphen/>
      </w:r>
      <w:r w:rsidRPr="00583E1A">
        <w:t>10.</w:t>
      </w:r>
    </w:p>
    <w:p w:rsidR="00887330" w:rsidRPr="00583E1A" w:rsidRDefault="00887330" w:rsidP="00887330">
      <w:pPr>
        <w:pStyle w:val="Definition"/>
      </w:pPr>
      <w:r w:rsidRPr="00583E1A">
        <w:rPr>
          <w:b/>
          <w:i/>
        </w:rPr>
        <w:t xml:space="preserve">foreign hybrid net capital loss amount </w:t>
      </w:r>
      <w:r w:rsidRPr="00583E1A">
        <w:t>has the meaning given by section</w:t>
      </w:r>
      <w:r w:rsidR="00583E1A">
        <w:t> </w:t>
      </w:r>
      <w:r w:rsidRPr="00583E1A">
        <w:t>830</w:t>
      </w:r>
      <w:r w:rsidR="00583E1A">
        <w:noBreakHyphen/>
      </w:r>
      <w:r w:rsidRPr="00583E1A">
        <w:t>55.</w:t>
      </w:r>
    </w:p>
    <w:p w:rsidR="00887330" w:rsidRPr="00583E1A" w:rsidRDefault="00887330" w:rsidP="00887330">
      <w:pPr>
        <w:pStyle w:val="Definition"/>
      </w:pPr>
      <w:r w:rsidRPr="00583E1A">
        <w:rPr>
          <w:b/>
          <w:i/>
        </w:rPr>
        <w:t xml:space="preserve">foreign hybrid revenue loss amount </w:t>
      </w:r>
      <w:r w:rsidRPr="00583E1A">
        <w:t>has the meaning given by paragraph 830</w:t>
      </w:r>
      <w:r w:rsidR="00583E1A">
        <w:noBreakHyphen/>
      </w:r>
      <w:r w:rsidRPr="00583E1A">
        <w:t>45(1)(a).</w:t>
      </w:r>
    </w:p>
    <w:p w:rsidR="00887330" w:rsidRPr="00583E1A" w:rsidRDefault="00887330" w:rsidP="008864CB">
      <w:pPr>
        <w:pStyle w:val="Definition"/>
        <w:keepNext/>
      </w:pPr>
      <w:r w:rsidRPr="00583E1A">
        <w:rPr>
          <w:b/>
          <w:i/>
        </w:rPr>
        <w:t>foreign hybrid tax provisions</w:t>
      </w:r>
      <w:r w:rsidRPr="00583E1A">
        <w:t xml:space="preserve"> means:</w:t>
      </w:r>
    </w:p>
    <w:p w:rsidR="00887330" w:rsidRPr="00583E1A" w:rsidRDefault="00887330" w:rsidP="00887330">
      <w:pPr>
        <w:pStyle w:val="paragraph"/>
      </w:pPr>
      <w:r w:rsidRPr="00583E1A">
        <w:tab/>
        <w:t>(a)</w:t>
      </w:r>
      <w:r w:rsidRPr="00583E1A">
        <w:tab/>
        <w:t xml:space="preserve">the </w:t>
      </w:r>
      <w:r w:rsidRPr="00583E1A">
        <w:rPr>
          <w:i/>
        </w:rPr>
        <w:t>Income Tax Assessment Act 1936</w:t>
      </w:r>
      <w:r w:rsidRPr="00583E1A">
        <w:t xml:space="preserve"> (other than Division</w:t>
      </w:r>
      <w:r w:rsidR="00583E1A">
        <w:t> </w:t>
      </w:r>
      <w:r w:rsidRPr="00583E1A">
        <w:t>5A of Part</w:t>
      </w:r>
      <w:r w:rsidR="00583E1A">
        <w:t> </w:t>
      </w:r>
      <w:r w:rsidRPr="00583E1A">
        <w:t>III); and</w:t>
      </w:r>
    </w:p>
    <w:p w:rsidR="00887330" w:rsidRPr="00583E1A" w:rsidRDefault="00887330" w:rsidP="00887330">
      <w:pPr>
        <w:pStyle w:val="paragraph"/>
      </w:pPr>
      <w:r w:rsidRPr="00583E1A">
        <w:tab/>
        <w:t>(b)</w:t>
      </w:r>
      <w:r w:rsidRPr="00583E1A">
        <w:tab/>
        <w:t>this Act (other than Subdivision</w:t>
      </w:r>
      <w:r w:rsidR="00583E1A">
        <w:t> </w:t>
      </w:r>
      <w:r w:rsidRPr="00583E1A">
        <w:t>830</w:t>
      </w:r>
      <w:r w:rsidR="00583E1A">
        <w:noBreakHyphen/>
      </w:r>
      <w:r w:rsidRPr="00583E1A">
        <w:t>A and 830</w:t>
      </w:r>
      <w:r w:rsidR="00583E1A">
        <w:noBreakHyphen/>
      </w:r>
      <w:r w:rsidRPr="00583E1A">
        <w:t>B); and</w:t>
      </w:r>
    </w:p>
    <w:p w:rsidR="00887330" w:rsidRPr="00583E1A" w:rsidRDefault="00887330" w:rsidP="00887330">
      <w:pPr>
        <w:pStyle w:val="paragraph"/>
      </w:pPr>
      <w:r w:rsidRPr="00583E1A">
        <w:tab/>
        <w:t>(c)</w:t>
      </w:r>
      <w:r w:rsidRPr="00583E1A">
        <w:tab/>
        <w:t xml:space="preserve">an Act that imposes any tax payable under the </w:t>
      </w:r>
      <w:r w:rsidRPr="00583E1A">
        <w:rPr>
          <w:i/>
        </w:rPr>
        <w:t>Income Tax Assessment Act 1936</w:t>
      </w:r>
      <w:r w:rsidRPr="00583E1A">
        <w:t xml:space="preserve"> or</w:t>
      </w:r>
      <w:r w:rsidRPr="00583E1A">
        <w:rPr>
          <w:i/>
        </w:rPr>
        <w:t xml:space="preserve"> </w:t>
      </w:r>
      <w:r w:rsidRPr="00583E1A">
        <w:t>this Act; and</w:t>
      </w:r>
    </w:p>
    <w:p w:rsidR="00887330" w:rsidRPr="00583E1A" w:rsidRDefault="00887330" w:rsidP="00887330">
      <w:pPr>
        <w:pStyle w:val="paragraph"/>
      </w:pPr>
      <w:r w:rsidRPr="00583E1A">
        <w:tab/>
        <w:t>(d)</w:t>
      </w:r>
      <w:r w:rsidRPr="00583E1A">
        <w:tab/>
        <w:t xml:space="preserve">the </w:t>
      </w:r>
      <w:r w:rsidRPr="00583E1A">
        <w:rPr>
          <w:i/>
        </w:rPr>
        <w:t>Income Tax Rates Act 1986</w:t>
      </w:r>
      <w:r w:rsidRPr="00583E1A">
        <w:t>; and</w:t>
      </w:r>
    </w:p>
    <w:p w:rsidR="00887330" w:rsidRPr="00583E1A" w:rsidRDefault="00887330" w:rsidP="00887330">
      <w:pPr>
        <w:pStyle w:val="paragraph"/>
      </w:pPr>
      <w:r w:rsidRPr="00583E1A">
        <w:tab/>
        <w:t>(e)</w:t>
      </w:r>
      <w:r w:rsidRPr="00583E1A">
        <w:tab/>
        <w:t xml:space="preserve">the </w:t>
      </w:r>
      <w:r w:rsidRPr="00583E1A">
        <w:rPr>
          <w:i/>
        </w:rPr>
        <w:t>Taxation Administration Act 1953</w:t>
      </w:r>
      <w:r w:rsidRPr="00583E1A">
        <w:t xml:space="preserve">, so far as it relates to an Act covered by </w:t>
      </w:r>
      <w:r w:rsidR="00583E1A">
        <w:t>paragraph (</w:t>
      </w:r>
      <w:r w:rsidRPr="00583E1A">
        <w:t>a), (b) or (c); and</w:t>
      </w:r>
    </w:p>
    <w:p w:rsidR="00887330" w:rsidRPr="00583E1A" w:rsidRDefault="00887330" w:rsidP="00887330">
      <w:pPr>
        <w:pStyle w:val="paragraph"/>
      </w:pPr>
      <w:r w:rsidRPr="00583E1A">
        <w:tab/>
        <w:t>(f)</w:t>
      </w:r>
      <w:r w:rsidRPr="00583E1A">
        <w:tab/>
        <w:t xml:space="preserve">any other Act, so far as it relates to an Act covered by </w:t>
      </w:r>
      <w:r w:rsidR="00583E1A">
        <w:t>paragraph (</w:t>
      </w:r>
      <w:r w:rsidRPr="00583E1A">
        <w:t>a), (b), (c), (d) or (e); and</w:t>
      </w:r>
    </w:p>
    <w:p w:rsidR="00887330" w:rsidRPr="00583E1A" w:rsidRDefault="00887330" w:rsidP="00887330">
      <w:pPr>
        <w:pStyle w:val="paragraph"/>
      </w:pPr>
      <w:r w:rsidRPr="00583E1A">
        <w:tab/>
        <w:t>(g)</w:t>
      </w:r>
      <w:r w:rsidRPr="00583E1A">
        <w:tab/>
        <w:t>regulations under an Act covered by any of the preceding paragraphs.</w:t>
      </w:r>
    </w:p>
    <w:p w:rsidR="00A26CA4" w:rsidRPr="00583E1A" w:rsidRDefault="00A26CA4" w:rsidP="00A26CA4">
      <w:pPr>
        <w:pStyle w:val="Definition"/>
      </w:pPr>
      <w:r w:rsidRPr="00583E1A">
        <w:rPr>
          <w:b/>
          <w:i/>
        </w:rPr>
        <w:t xml:space="preserve">foreign income tax </w:t>
      </w:r>
      <w:r w:rsidRPr="00583E1A">
        <w:t>has the meaning given by section</w:t>
      </w:r>
      <w:r w:rsidR="00583E1A">
        <w:t> </w:t>
      </w:r>
      <w:r w:rsidRPr="00583E1A">
        <w:t>770</w:t>
      </w:r>
      <w:r w:rsidR="00583E1A">
        <w:noBreakHyphen/>
      </w:r>
      <w:r w:rsidRPr="00583E1A">
        <w:t>15.</w:t>
      </w:r>
    </w:p>
    <w:p w:rsidR="00887330" w:rsidRPr="00583E1A" w:rsidRDefault="00887330" w:rsidP="007D29DB">
      <w:pPr>
        <w:pStyle w:val="Definition"/>
        <w:keepNext/>
        <w:keepLines/>
      </w:pPr>
      <w:r w:rsidRPr="00583E1A">
        <w:rPr>
          <w:b/>
          <w:i/>
        </w:rPr>
        <w:t>foreign law</w:t>
      </w:r>
      <w:r w:rsidRPr="00583E1A">
        <w:rPr>
          <w:b/>
        </w:rPr>
        <w:t xml:space="preserve"> </w:t>
      </w:r>
      <w:r w:rsidRPr="00583E1A">
        <w:t>means a law of a foreign country.</w:t>
      </w:r>
    </w:p>
    <w:p w:rsidR="00887330" w:rsidRPr="00583E1A" w:rsidRDefault="00887330" w:rsidP="00887330">
      <w:pPr>
        <w:pStyle w:val="notetext"/>
      </w:pPr>
      <w:r w:rsidRPr="00583E1A">
        <w:t>Note:</w:t>
      </w:r>
      <w:r w:rsidRPr="00583E1A">
        <w:tab/>
      </w:r>
      <w:r w:rsidRPr="00583E1A">
        <w:rPr>
          <w:b/>
          <w:i/>
        </w:rPr>
        <w:t>Foreign country</w:t>
      </w:r>
      <w:r w:rsidRPr="00583E1A">
        <w:t xml:space="preserve"> is defined in </w:t>
      </w:r>
      <w:r w:rsidR="001A78E1" w:rsidRPr="001C06E6">
        <w:t>section 2B</w:t>
      </w:r>
      <w:r w:rsidRPr="00583E1A">
        <w:t xml:space="preserve"> of the </w:t>
      </w:r>
      <w:r w:rsidRPr="00583E1A">
        <w:rPr>
          <w:i/>
        </w:rPr>
        <w:t>Acts Interpretation Act 1901</w:t>
      </w:r>
      <w:r w:rsidRPr="00583E1A">
        <w:t>.</w:t>
      </w:r>
    </w:p>
    <w:p w:rsidR="00887330" w:rsidRPr="00583E1A" w:rsidRDefault="00887330" w:rsidP="00887330">
      <w:pPr>
        <w:pStyle w:val="Definition"/>
      </w:pPr>
      <w:r w:rsidRPr="00583E1A">
        <w:rPr>
          <w:b/>
          <w:i/>
        </w:rPr>
        <w:t>foreign life insurance company</w:t>
      </w:r>
      <w:r w:rsidRPr="00583E1A">
        <w:t xml:space="preserve"> means a company that is a foreign resident, and whose sole or principal business is life insurance.</w:t>
      </w:r>
    </w:p>
    <w:p w:rsidR="00887330" w:rsidRPr="00583E1A" w:rsidRDefault="00887330" w:rsidP="00887330">
      <w:pPr>
        <w:pStyle w:val="Definition"/>
      </w:pPr>
      <w:r w:rsidRPr="00583E1A">
        <w:rPr>
          <w:b/>
          <w:i/>
        </w:rPr>
        <w:t>foreign public official</w:t>
      </w:r>
      <w:r w:rsidRPr="00583E1A">
        <w:t xml:space="preserve"> has the same meaning as in section</w:t>
      </w:r>
      <w:r w:rsidR="00583E1A">
        <w:t> </w:t>
      </w:r>
      <w:r w:rsidRPr="00583E1A">
        <w:t xml:space="preserve">70.1 of the </w:t>
      </w:r>
      <w:r w:rsidRPr="00583E1A">
        <w:rPr>
          <w:i/>
        </w:rPr>
        <w:t>Criminal Code</w:t>
      </w:r>
      <w:r w:rsidRPr="00583E1A">
        <w:t>.</w:t>
      </w:r>
    </w:p>
    <w:p w:rsidR="00887330" w:rsidRPr="00583E1A" w:rsidRDefault="00887330" w:rsidP="00887330">
      <w:pPr>
        <w:pStyle w:val="Definition"/>
      </w:pPr>
      <w:r w:rsidRPr="00583E1A">
        <w:rPr>
          <w:b/>
          <w:i/>
        </w:rPr>
        <w:t>foreign resident</w:t>
      </w:r>
      <w:r w:rsidRPr="00583E1A">
        <w:t xml:space="preserve"> means a person who is not a resident of </w:t>
      </w:r>
      <w:smartTag w:uri="urn:schemas-microsoft-com:office:smarttags" w:element="country-region">
        <w:smartTag w:uri="urn:schemas-microsoft-com:office:smarttags" w:element="place">
          <w:r w:rsidRPr="00583E1A">
            <w:t>Australia</w:t>
          </w:r>
        </w:smartTag>
      </w:smartTag>
      <w:r w:rsidRPr="00583E1A">
        <w:t xml:space="preserve"> for the purposes of the </w:t>
      </w:r>
      <w:r w:rsidRPr="00583E1A">
        <w:rPr>
          <w:i/>
        </w:rPr>
        <w:t>Income Tax Assessment Act 1936</w:t>
      </w:r>
      <w:r w:rsidRPr="00583E1A">
        <w:t>.</w:t>
      </w:r>
    </w:p>
    <w:p w:rsidR="00887330" w:rsidRPr="00583E1A" w:rsidRDefault="00887330" w:rsidP="00887330">
      <w:pPr>
        <w:pStyle w:val="notetext"/>
      </w:pPr>
      <w:r w:rsidRPr="00583E1A">
        <w:lastRenderedPageBreak/>
        <w:t>Note:</w:t>
      </w:r>
      <w:r w:rsidRPr="00583E1A">
        <w:tab/>
        <w:t xml:space="preserve"> </w:t>
      </w:r>
      <w:r w:rsidRPr="00583E1A">
        <w:rPr>
          <w:b/>
          <w:i/>
        </w:rPr>
        <w:t>Foreign resident</w:t>
      </w:r>
      <w:r w:rsidRPr="00583E1A">
        <w:t xml:space="preserve"> is not asterisked in this Act.</w:t>
      </w:r>
    </w:p>
    <w:p w:rsidR="00887330" w:rsidRPr="00583E1A" w:rsidRDefault="00887330" w:rsidP="008864CB">
      <w:pPr>
        <w:pStyle w:val="Definition"/>
      </w:pPr>
      <w:r w:rsidRPr="00583E1A">
        <w:rPr>
          <w:b/>
          <w:i/>
        </w:rPr>
        <w:t xml:space="preserve">foreign resident life insurance policy </w:t>
      </w:r>
      <w:r w:rsidRPr="00583E1A">
        <w:t xml:space="preserve">means a </w:t>
      </w:r>
      <w:r w:rsidR="00583E1A" w:rsidRPr="00583E1A">
        <w:rPr>
          <w:position w:val="6"/>
          <w:sz w:val="16"/>
        </w:rPr>
        <w:t>*</w:t>
      </w:r>
      <w:r w:rsidRPr="00583E1A">
        <w:t>life insurance policy that:</w:t>
      </w:r>
    </w:p>
    <w:p w:rsidR="00887330" w:rsidRPr="00583E1A" w:rsidRDefault="00887330" w:rsidP="008864CB">
      <w:pPr>
        <w:pStyle w:val="paragraph"/>
      </w:pPr>
      <w:r w:rsidRPr="00583E1A">
        <w:tab/>
        <w:t>(a)</w:t>
      </w:r>
      <w:r w:rsidRPr="00583E1A">
        <w:tab/>
        <w:t xml:space="preserve">was issued by a company in the course of </w:t>
      </w:r>
      <w:r w:rsidR="00583E1A" w:rsidRPr="00583E1A">
        <w:rPr>
          <w:position w:val="6"/>
          <w:sz w:val="16"/>
        </w:rPr>
        <w:t>*</w:t>
      </w:r>
      <w:r w:rsidRPr="00583E1A">
        <w:t xml:space="preserve">carrying on a </w:t>
      </w:r>
      <w:r w:rsidR="00583E1A" w:rsidRPr="00583E1A">
        <w:rPr>
          <w:position w:val="6"/>
          <w:sz w:val="16"/>
        </w:rPr>
        <w:t>*</w:t>
      </w:r>
      <w:r w:rsidRPr="00583E1A">
        <w:t xml:space="preserve">business at or through the </w:t>
      </w:r>
      <w:r w:rsidR="00583E1A" w:rsidRPr="00583E1A">
        <w:rPr>
          <w:position w:val="6"/>
          <w:sz w:val="16"/>
        </w:rPr>
        <w:t>*</w:t>
      </w:r>
      <w:r w:rsidRPr="00583E1A">
        <w:t>permanent establishment of the company in a foreign country; and</w:t>
      </w:r>
    </w:p>
    <w:p w:rsidR="00887330" w:rsidRPr="00583E1A" w:rsidRDefault="00887330" w:rsidP="00887330">
      <w:pPr>
        <w:pStyle w:val="paragraph"/>
      </w:pPr>
      <w:r w:rsidRPr="00583E1A">
        <w:tab/>
        <w:t>(b)</w:t>
      </w:r>
      <w:r w:rsidRPr="00583E1A">
        <w:tab/>
        <w:t xml:space="preserve">is held by an entity that is neither an </w:t>
      </w:r>
      <w:r w:rsidR="00583E1A" w:rsidRPr="00583E1A">
        <w:rPr>
          <w:position w:val="6"/>
          <w:sz w:val="16"/>
        </w:rPr>
        <w:t>*</w:t>
      </w:r>
      <w:r w:rsidRPr="00583E1A">
        <w:t>associate of the company nor a Part</w:t>
      </w:r>
      <w:r w:rsidR="00583E1A">
        <w:t> </w:t>
      </w:r>
      <w:r w:rsidRPr="00583E1A">
        <w:t>X Australian resident (within the meaning of Part</w:t>
      </w:r>
      <w:r w:rsidR="00583E1A">
        <w:t> </w:t>
      </w:r>
      <w:r w:rsidRPr="00583E1A">
        <w:t xml:space="preserve">X of the </w:t>
      </w:r>
      <w:r w:rsidRPr="00583E1A">
        <w:rPr>
          <w:i/>
        </w:rPr>
        <w:t>Income Tax Assessment Act 1936</w:t>
      </w:r>
      <w:r w:rsidRPr="00583E1A">
        <w:t>).</w:t>
      </w:r>
    </w:p>
    <w:p w:rsidR="00516320" w:rsidRPr="00583E1A" w:rsidRDefault="00516320" w:rsidP="00516320">
      <w:pPr>
        <w:pStyle w:val="Definition"/>
      </w:pPr>
      <w:r w:rsidRPr="00583E1A">
        <w:rPr>
          <w:b/>
          <w:i/>
        </w:rPr>
        <w:t>foreign revenue claim</w:t>
      </w:r>
      <w:r w:rsidRPr="00583E1A">
        <w:t xml:space="preserve"> has the meaning given by section</w:t>
      </w:r>
      <w:r w:rsidR="00583E1A">
        <w:t> </w:t>
      </w:r>
      <w:r w:rsidRPr="00583E1A">
        <w:t>263</w:t>
      </w:r>
      <w:r w:rsidR="00583E1A">
        <w:noBreakHyphen/>
      </w:r>
      <w:r w:rsidRPr="00583E1A">
        <w:t>10 in Schedule</w:t>
      </w:r>
      <w:r w:rsidR="00583E1A">
        <w:t> </w:t>
      </w:r>
      <w:r w:rsidRPr="00583E1A">
        <w:t xml:space="preserve">1 to the </w:t>
      </w:r>
      <w:r w:rsidRPr="00583E1A">
        <w:rPr>
          <w:i/>
        </w:rPr>
        <w:t>Taxation Administration Act 1953</w:t>
      </w:r>
      <w:r w:rsidRPr="00583E1A">
        <w:t>.</w:t>
      </w:r>
    </w:p>
    <w:p w:rsidR="005D2AD4" w:rsidRPr="00583E1A" w:rsidRDefault="005D2AD4" w:rsidP="005D2AD4">
      <w:pPr>
        <w:pStyle w:val="Definition"/>
      </w:pPr>
      <w:r w:rsidRPr="00583E1A">
        <w:rPr>
          <w:b/>
          <w:i/>
        </w:rPr>
        <w:t>foreign superannuation fund</w:t>
      </w:r>
      <w:r w:rsidRPr="00583E1A">
        <w:t>:</w:t>
      </w:r>
    </w:p>
    <w:p w:rsidR="005D2AD4" w:rsidRPr="00583E1A" w:rsidRDefault="005D2AD4" w:rsidP="005D2AD4">
      <w:pPr>
        <w:pStyle w:val="paragraph"/>
      </w:pPr>
      <w:r w:rsidRPr="00583E1A">
        <w:tab/>
        <w:t>(a)</w:t>
      </w:r>
      <w:r w:rsidRPr="00583E1A">
        <w:tab/>
        <w:t xml:space="preserve">a </w:t>
      </w:r>
      <w:r w:rsidR="00583E1A" w:rsidRPr="00583E1A">
        <w:rPr>
          <w:position w:val="6"/>
          <w:sz w:val="16"/>
        </w:rPr>
        <w:t>*</w:t>
      </w:r>
      <w:r w:rsidRPr="00583E1A">
        <w:t xml:space="preserve">superannuation fund is a </w:t>
      </w:r>
      <w:r w:rsidRPr="00583E1A">
        <w:rPr>
          <w:b/>
          <w:i/>
        </w:rPr>
        <w:t>foreign superannuation fund</w:t>
      </w:r>
      <w:r w:rsidRPr="00583E1A">
        <w:t xml:space="preserve"> at a time if the fund is not an </w:t>
      </w:r>
      <w:r w:rsidR="00583E1A" w:rsidRPr="00583E1A">
        <w:rPr>
          <w:position w:val="6"/>
          <w:sz w:val="16"/>
        </w:rPr>
        <w:t>*</w:t>
      </w:r>
      <w:r w:rsidRPr="00583E1A">
        <w:t>Australian superannuation fund at that time; and</w:t>
      </w:r>
    </w:p>
    <w:p w:rsidR="005D2AD4" w:rsidRPr="00583E1A" w:rsidRDefault="005D2AD4" w:rsidP="005D2AD4">
      <w:pPr>
        <w:pStyle w:val="paragraph"/>
      </w:pPr>
      <w:r w:rsidRPr="00583E1A">
        <w:tab/>
        <w:t>(b)</w:t>
      </w:r>
      <w:r w:rsidRPr="00583E1A">
        <w:tab/>
        <w:t xml:space="preserve">a superannuation fund is a </w:t>
      </w:r>
      <w:r w:rsidRPr="00583E1A">
        <w:rPr>
          <w:b/>
          <w:i/>
        </w:rPr>
        <w:t>foreign superannuation fund</w:t>
      </w:r>
      <w:r w:rsidRPr="00583E1A">
        <w:t xml:space="preserve"> for an income year if the fund is not an Australian superannuation fund for the income year.</w:t>
      </w:r>
    </w:p>
    <w:p w:rsidR="00B03506" w:rsidRPr="00583E1A" w:rsidRDefault="00B03506" w:rsidP="00B03506">
      <w:pPr>
        <w:pStyle w:val="Definition"/>
        <w:rPr>
          <w:b/>
          <w:i/>
        </w:rPr>
      </w:pPr>
      <w:r w:rsidRPr="00583E1A">
        <w:rPr>
          <w:b/>
          <w:i/>
        </w:rPr>
        <w:t>foreign trust for CGT purposes</w:t>
      </w:r>
      <w:r w:rsidRPr="00583E1A">
        <w:t xml:space="preserve"> means a trust that is not a </w:t>
      </w:r>
      <w:r w:rsidR="00583E1A" w:rsidRPr="00583E1A">
        <w:rPr>
          <w:position w:val="6"/>
          <w:sz w:val="16"/>
        </w:rPr>
        <w:t>*</w:t>
      </w:r>
      <w:r w:rsidRPr="00583E1A">
        <w:t>resident trust for CGT purposes.</w:t>
      </w:r>
    </w:p>
    <w:p w:rsidR="00887330" w:rsidRPr="00583E1A" w:rsidRDefault="00887330" w:rsidP="00887330">
      <w:pPr>
        <w:pStyle w:val="Definition"/>
      </w:pPr>
      <w:r w:rsidRPr="00583E1A">
        <w:rPr>
          <w:b/>
          <w:i/>
        </w:rPr>
        <w:t>foreign venture capital fund of funds</w:t>
      </w:r>
      <w:r w:rsidRPr="00583E1A">
        <w:t xml:space="preserve"> has the meaning given by subsections 118</w:t>
      </w:r>
      <w:r w:rsidR="00583E1A">
        <w:noBreakHyphen/>
      </w:r>
      <w:r w:rsidRPr="00583E1A">
        <w:t>420(4) and (5).</w:t>
      </w:r>
    </w:p>
    <w:p w:rsidR="00F621E2" w:rsidRPr="00583E1A" w:rsidRDefault="00F621E2" w:rsidP="00F621E2">
      <w:pPr>
        <w:pStyle w:val="Definition"/>
      </w:pPr>
      <w:r w:rsidRPr="00583E1A">
        <w:rPr>
          <w:b/>
          <w:i/>
        </w:rPr>
        <w:t>forestry interest</w:t>
      </w:r>
      <w:r w:rsidRPr="00583E1A">
        <w:t xml:space="preserve"> in a </w:t>
      </w:r>
      <w:r w:rsidR="00583E1A" w:rsidRPr="00583E1A">
        <w:rPr>
          <w:position w:val="6"/>
          <w:sz w:val="16"/>
        </w:rPr>
        <w:t>*</w:t>
      </w:r>
      <w:r w:rsidRPr="00583E1A">
        <w:t>forestry managed investment scheme has the meaning given by subsection 394</w:t>
      </w:r>
      <w:r w:rsidR="00583E1A">
        <w:noBreakHyphen/>
      </w:r>
      <w:r w:rsidRPr="00583E1A">
        <w:t>15(3).</w:t>
      </w:r>
    </w:p>
    <w:p w:rsidR="00977B14" w:rsidRPr="00583E1A" w:rsidRDefault="00977B14" w:rsidP="00977B14">
      <w:pPr>
        <w:pStyle w:val="Definition"/>
      </w:pPr>
      <w:r w:rsidRPr="00583E1A">
        <w:rPr>
          <w:b/>
          <w:i/>
        </w:rPr>
        <w:t xml:space="preserve">forestry managed investment scheme </w:t>
      </w:r>
      <w:r w:rsidRPr="00583E1A">
        <w:t>has the meaning given by subsection 394</w:t>
      </w:r>
      <w:r w:rsidR="00583E1A">
        <w:noBreakHyphen/>
      </w:r>
      <w:r w:rsidRPr="00583E1A">
        <w:t>15(1).</w:t>
      </w:r>
    </w:p>
    <w:p w:rsidR="00A602E5" w:rsidRPr="00583E1A" w:rsidRDefault="00A602E5" w:rsidP="00A602E5">
      <w:pPr>
        <w:pStyle w:val="Definition"/>
      </w:pPr>
      <w:r w:rsidRPr="00583E1A">
        <w:rPr>
          <w:b/>
          <w:i/>
        </w:rPr>
        <w:t>forestry manager</w:t>
      </w:r>
      <w:r w:rsidRPr="00583E1A">
        <w:t xml:space="preserve"> of a </w:t>
      </w:r>
      <w:r w:rsidR="00583E1A" w:rsidRPr="00583E1A">
        <w:rPr>
          <w:position w:val="6"/>
          <w:sz w:val="16"/>
        </w:rPr>
        <w:t>*</w:t>
      </w:r>
      <w:r w:rsidRPr="00583E1A">
        <w:t>forestry managed investment scheme has the meaning given by subsection 394</w:t>
      </w:r>
      <w:r w:rsidR="00583E1A">
        <w:noBreakHyphen/>
      </w:r>
      <w:r w:rsidRPr="00583E1A">
        <w:t>15(2).</w:t>
      </w:r>
    </w:p>
    <w:p w:rsidR="00887330" w:rsidRPr="00583E1A" w:rsidRDefault="00887330" w:rsidP="00887330">
      <w:pPr>
        <w:pStyle w:val="Definition"/>
      </w:pPr>
      <w:r w:rsidRPr="00583E1A">
        <w:rPr>
          <w:b/>
          <w:i/>
        </w:rPr>
        <w:t>forestry road</w:t>
      </w:r>
      <w:r w:rsidRPr="00583E1A">
        <w:t xml:space="preserve"> has the meaning given by subsection section</w:t>
      </w:r>
      <w:r w:rsidR="00583E1A">
        <w:t> </w:t>
      </w:r>
      <w:r w:rsidRPr="00583E1A">
        <w:t>43</w:t>
      </w:r>
      <w:r w:rsidR="00583E1A">
        <w:noBreakHyphen/>
      </w:r>
      <w:r w:rsidRPr="00583E1A">
        <w:t>72.</w:t>
      </w:r>
    </w:p>
    <w:p w:rsidR="00887330" w:rsidRPr="00583E1A" w:rsidRDefault="00887330" w:rsidP="00887330">
      <w:pPr>
        <w:pStyle w:val="Definition"/>
      </w:pPr>
      <w:r w:rsidRPr="00583E1A">
        <w:rPr>
          <w:b/>
          <w:i/>
        </w:rPr>
        <w:t xml:space="preserve">forex cost base </w:t>
      </w:r>
      <w:r w:rsidRPr="00583E1A">
        <w:t>has the meaning given by section</w:t>
      </w:r>
      <w:r w:rsidR="00583E1A">
        <w:t> </w:t>
      </w:r>
      <w:r w:rsidRPr="00583E1A">
        <w:t>775</w:t>
      </w:r>
      <w:r w:rsidR="00583E1A">
        <w:noBreakHyphen/>
      </w:r>
      <w:r w:rsidRPr="00583E1A">
        <w:t>85.</w:t>
      </w:r>
    </w:p>
    <w:p w:rsidR="00887330" w:rsidRPr="00583E1A" w:rsidRDefault="00887330" w:rsidP="00887330">
      <w:pPr>
        <w:pStyle w:val="Definition"/>
      </w:pPr>
      <w:r w:rsidRPr="00583E1A">
        <w:rPr>
          <w:b/>
          <w:i/>
        </w:rPr>
        <w:t>forex entitlement base</w:t>
      </w:r>
      <w:r w:rsidRPr="00583E1A">
        <w:t xml:space="preserve"> has the meaning given by section</w:t>
      </w:r>
      <w:r w:rsidR="00583E1A">
        <w:t> </w:t>
      </w:r>
      <w:r w:rsidRPr="00583E1A">
        <w:t>775</w:t>
      </w:r>
      <w:r w:rsidR="00583E1A">
        <w:noBreakHyphen/>
      </w:r>
      <w:r w:rsidRPr="00583E1A">
        <w:t>90.</w:t>
      </w:r>
    </w:p>
    <w:p w:rsidR="00887330" w:rsidRPr="00583E1A" w:rsidRDefault="00887330" w:rsidP="00887330">
      <w:pPr>
        <w:pStyle w:val="Definition"/>
      </w:pPr>
      <w:r w:rsidRPr="00583E1A">
        <w:rPr>
          <w:b/>
          <w:i/>
        </w:rPr>
        <w:lastRenderedPageBreak/>
        <w:t>forex realisation event</w:t>
      </w:r>
      <w:r w:rsidRPr="00583E1A">
        <w:t xml:space="preserve"> means any of the forex realisation events described in Division</w:t>
      </w:r>
      <w:r w:rsidR="00583E1A">
        <w:t> </w:t>
      </w:r>
      <w:r w:rsidRPr="00583E1A">
        <w:t>775.</w:t>
      </w:r>
    </w:p>
    <w:p w:rsidR="00887330" w:rsidRPr="00583E1A" w:rsidRDefault="00887330" w:rsidP="00887330">
      <w:pPr>
        <w:pStyle w:val="Definition"/>
      </w:pPr>
      <w:r w:rsidRPr="00583E1A">
        <w:rPr>
          <w:b/>
          <w:i/>
        </w:rPr>
        <w:t>forex realisation gain</w:t>
      </w:r>
      <w:r w:rsidRPr="00583E1A">
        <w:t xml:space="preserve">: for each </w:t>
      </w:r>
      <w:r w:rsidR="00583E1A" w:rsidRPr="00583E1A">
        <w:rPr>
          <w:position w:val="6"/>
          <w:sz w:val="16"/>
        </w:rPr>
        <w:t>*</w:t>
      </w:r>
      <w:r w:rsidRPr="00583E1A">
        <w:t xml:space="preserve">forex realisation event a </w:t>
      </w:r>
      <w:r w:rsidRPr="00583E1A">
        <w:rPr>
          <w:b/>
          <w:i/>
        </w:rPr>
        <w:t>forex realisation gain</w:t>
      </w:r>
      <w:r w:rsidRPr="00583E1A">
        <w:t xml:space="preserve"> is worked out in the way described in the event.</w:t>
      </w:r>
    </w:p>
    <w:p w:rsidR="00887330" w:rsidRPr="00583E1A" w:rsidRDefault="00887330" w:rsidP="00887330">
      <w:pPr>
        <w:pStyle w:val="Definition"/>
      </w:pPr>
      <w:r w:rsidRPr="00583E1A">
        <w:rPr>
          <w:b/>
          <w:i/>
        </w:rPr>
        <w:t>forex realisation loss</w:t>
      </w:r>
      <w:r w:rsidRPr="00583E1A">
        <w:t xml:space="preserve">: for each </w:t>
      </w:r>
      <w:r w:rsidR="00583E1A" w:rsidRPr="00583E1A">
        <w:rPr>
          <w:position w:val="6"/>
          <w:sz w:val="16"/>
        </w:rPr>
        <w:t>*</w:t>
      </w:r>
      <w:r w:rsidRPr="00583E1A">
        <w:t xml:space="preserve">forex realisation event a </w:t>
      </w:r>
      <w:r w:rsidRPr="00583E1A">
        <w:rPr>
          <w:b/>
          <w:i/>
        </w:rPr>
        <w:t>forex realisation loss</w:t>
      </w:r>
      <w:r w:rsidRPr="00583E1A">
        <w:t xml:space="preserve"> is worked out in the way described in the event.</w:t>
      </w:r>
    </w:p>
    <w:p w:rsidR="00DE2BD2" w:rsidRPr="00214FF7" w:rsidRDefault="00DE2BD2" w:rsidP="00DE2BD2">
      <w:pPr>
        <w:pStyle w:val="Definition"/>
        <w:spacing w:before="160"/>
      </w:pPr>
      <w:r w:rsidRPr="00214FF7">
        <w:rPr>
          <w:b/>
          <w:i/>
        </w:rPr>
        <w:t>forgive</w:t>
      </w:r>
      <w:r w:rsidRPr="00214FF7">
        <w:t xml:space="preserve"> a debt has the meaning given by sections 245</w:t>
      </w:r>
      <w:r w:rsidRPr="00214FF7">
        <w:noBreakHyphen/>
        <w:t>35, 245</w:t>
      </w:r>
      <w:r w:rsidRPr="00214FF7">
        <w:noBreakHyphen/>
        <w:t>36 and 245</w:t>
      </w:r>
      <w:r w:rsidRPr="00214FF7">
        <w:noBreakHyphen/>
        <w:t>37.</w:t>
      </w:r>
    </w:p>
    <w:p w:rsidR="00DE2BD2" w:rsidRPr="00214FF7" w:rsidRDefault="00DE2BD2" w:rsidP="00DE2BD2">
      <w:pPr>
        <w:pStyle w:val="notetext"/>
      </w:pPr>
      <w:r w:rsidRPr="00214FF7">
        <w:t>Note:</w:t>
      </w:r>
      <w:r w:rsidRPr="00214FF7">
        <w:tab/>
        <w:t>Subdivisions 245</w:t>
      </w:r>
      <w:r w:rsidRPr="00214FF7">
        <w:noBreakHyphen/>
        <w:t>C to 245</w:t>
      </w:r>
      <w:r w:rsidRPr="00214FF7">
        <w:noBreakHyphen/>
        <w:t>G (about forgiveness of commercial debts) apply to certain arrangements as if the arrangements were forgiveness of debts: see section 245</w:t>
      </w:r>
      <w:r w:rsidRPr="00214FF7">
        <w:noBreakHyphen/>
        <w:t>45.</w:t>
      </w:r>
    </w:p>
    <w:p w:rsidR="00DE2BD2" w:rsidRPr="00214FF7" w:rsidRDefault="00DE2BD2" w:rsidP="00DE2BD2">
      <w:pPr>
        <w:pStyle w:val="Definition"/>
      </w:pPr>
      <w:r w:rsidRPr="00214FF7">
        <w:rPr>
          <w:b/>
          <w:i/>
        </w:rPr>
        <w:t>forgiveness income year</w:t>
      </w:r>
      <w:r w:rsidRPr="00214FF7">
        <w:t xml:space="preserve">, in relation to a debt that is </w:t>
      </w:r>
      <w:r w:rsidRPr="00214FF7">
        <w:rPr>
          <w:position w:val="6"/>
          <w:sz w:val="16"/>
        </w:rPr>
        <w:t>*</w:t>
      </w:r>
      <w:r w:rsidRPr="00214FF7">
        <w:t>forgiven, means the income year in which the debt is forgiven.</w:t>
      </w:r>
    </w:p>
    <w:p w:rsidR="003D3FC2" w:rsidRPr="00583E1A" w:rsidRDefault="003D3FC2" w:rsidP="003D3FC2">
      <w:pPr>
        <w:pStyle w:val="Definition"/>
      </w:pPr>
      <w:r w:rsidRPr="00583E1A">
        <w:rPr>
          <w:b/>
          <w:i/>
        </w:rPr>
        <w:t xml:space="preserve">form approved by Innovation </w:t>
      </w:r>
      <w:smartTag w:uri="urn:schemas-microsoft-com:office:smarttags" w:element="country-region">
        <w:smartTag w:uri="urn:schemas-microsoft-com:office:smarttags" w:element="place">
          <w:r w:rsidRPr="00583E1A">
            <w:rPr>
              <w:b/>
              <w:i/>
            </w:rPr>
            <w:t>Australia</w:t>
          </w:r>
        </w:smartTag>
      </w:smartTag>
      <w:r w:rsidRPr="00583E1A">
        <w:t xml:space="preserve"> has the same meaning as in section</w:t>
      </w:r>
      <w:r w:rsidR="00583E1A">
        <w:t> </w:t>
      </w:r>
      <w:r w:rsidRPr="00583E1A">
        <w:t>33</w:t>
      </w:r>
      <w:r w:rsidR="00583E1A">
        <w:noBreakHyphen/>
      </w:r>
      <w:r w:rsidRPr="00583E1A">
        <w:t xml:space="preserve">5 of the </w:t>
      </w:r>
      <w:r w:rsidRPr="00583E1A">
        <w:rPr>
          <w:i/>
        </w:rPr>
        <w:t>Venture Capital Act 2002</w:t>
      </w:r>
      <w:r w:rsidRPr="00583E1A">
        <w:t>.</w:t>
      </w:r>
    </w:p>
    <w:p w:rsidR="00887330" w:rsidRPr="00583E1A" w:rsidRDefault="00887330" w:rsidP="00887330">
      <w:pPr>
        <w:pStyle w:val="Definition"/>
        <w:rPr>
          <w:sz w:val="20"/>
        </w:rPr>
      </w:pPr>
      <w:r w:rsidRPr="00583E1A">
        <w:rPr>
          <w:b/>
          <w:i/>
        </w:rPr>
        <w:t>former exempting entity</w:t>
      </w:r>
      <w:r w:rsidRPr="00583E1A">
        <w:t xml:space="preserve"> has the meaning given by section</w:t>
      </w:r>
      <w:r w:rsidR="00583E1A">
        <w:t> </w:t>
      </w:r>
      <w:r w:rsidRPr="00583E1A">
        <w:t>208</w:t>
      </w:r>
      <w:r w:rsidR="00583E1A">
        <w:noBreakHyphen/>
      </w:r>
      <w:r w:rsidRPr="00583E1A">
        <w:t>50.</w:t>
      </w:r>
    </w:p>
    <w:p w:rsidR="007B60AF" w:rsidRPr="00583E1A" w:rsidRDefault="007B60AF" w:rsidP="007B60AF">
      <w:pPr>
        <w:pStyle w:val="Definition"/>
      </w:pPr>
      <w:r w:rsidRPr="00583E1A">
        <w:rPr>
          <w:b/>
          <w:i/>
        </w:rPr>
        <w:t xml:space="preserve">fourth element expenditure </w:t>
      </w:r>
      <w:r w:rsidRPr="00583E1A">
        <w:t>has the meaning given by section</w:t>
      </w:r>
      <w:r w:rsidR="00583E1A">
        <w:t> </w:t>
      </w:r>
      <w:r w:rsidRPr="00583E1A">
        <w:t>104</w:t>
      </w:r>
      <w:r w:rsidR="00583E1A">
        <w:noBreakHyphen/>
      </w:r>
      <w:r w:rsidRPr="00583E1A">
        <w:t>185.</w:t>
      </w:r>
    </w:p>
    <w:p w:rsidR="00887330" w:rsidRPr="00583E1A" w:rsidRDefault="00887330" w:rsidP="00887330">
      <w:pPr>
        <w:pStyle w:val="Definition"/>
      </w:pPr>
      <w:r w:rsidRPr="00583E1A">
        <w:rPr>
          <w:b/>
          <w:i/>
        </w:rPr>
        <w:t xml:space="preserve">frankable distribution </w:t>
      </w:r>
      <w:r w:rsidRPr="00583E1A">
        <w:t>has the meaning given by section</w:t>
      </w:r>
      <w:r w:rsidR="00583E1A">
        <w:t> </w:t>
      </w:r>
      <w:r w:rsidRPr="00583E1A">
        <w:t>202</w:t>
      </w:r>
      <w:r w:rsidR="00583E1A">
        <w:noBreakHyphen/>
      </w:r>
      <w:r w:rsidRPr="00583E1A">
        <w:t>40.</w:t>
      </w:r>
    </w:p>
    <w:p w:rsidR="00887330" w:rsidRPr="00583E1A" w:rsidRDefault="00887330" w:rsidP="00887330">
      <w:pPr>
        <w:pStyle w:val="Definition"/>
      </w:pPr>
      <w:r w:rsidRPr="00583E1A">
        <w:rPr>
          <w:b/>
          <w:i/>
        </w:rPr>
        <w:t xml:space="preserve">frankable with a venture capital credit </w:t>
      </w:r>
      <w:r w:rsidRPr="00583E1A">
        <w:t>has the meaning given by section</w:t>
      </w:r>
      <w:r w:rsidR="00583E1A">
        <w:t> </w:t>
      </w:r>
      <w:r w:rsidRPr="00583E1A">
        <w:t>210</w:t>
      </w:r>
      <w:r w:rsidR="00583E1A">
        <w:noBreakHyphen/>
      </w:r>
      <w:r w:rsidRPr="00583E1A">
        <w:t>50.</w:t>
      </w:r>
    </w:p>
    <w:p w:rsidR="00887330" w:rsidRPr="00583E1A" w:rsidRDefault="00887330" w:rsidP="00887330">
      <w:pPr>
        <w:pStyle w:val="Definition"/>
      </w:pPr>
      <w:r w:rsidRPr="00583E1A">
        <w:rPr>
          <w:b/>
          <w:i/>
        </w:rPr>
        <w:t>franked distribution</w:t>
      </w:r>
      <w:r w:rsidRPr="00583E1A">
        <w:t xml:space="preserve">: a </w:t>
      </w:r>
      <w:r w:rsidR="00583E1A" w:rsidRPr="00583E1A">
        <w:rPr>
          <w:position w:val="6"/>
          <w:sz w:val="16"/>
        </w:rPr>
        <w:t>*</w:t>
      </w:r>
      <w:r w:rsidRPr="00583E1A">
        <w:t xml:space="preserve">distribution is franked if an entity </w:t>
      </w:r>
      <w:r w:rsidR="00583E1A" w:rsidRPr="00583E1A">
        <w:rPr>
          <w:position w:val="6"/>
          <w:sz w:val="16"/>
        </w:rPr>
        <w:t>*</w:t>
      </w:r>
      <w:r w:rsidRPr="00583E1A">
        <w:t>franks it in accordance with section</w:t>
      </w:r>
      <w:r w:rsidR="00583E1A">
        <w:t> </w:t>
      </w:r>
      <w:r w:rsidRPr="00583E1A">
        <w:t>202</w:t>
      </w:r>
      <w:r w:rsidR="00583E1A">
        <w:noBreakHyphen/>
      </w:r>
      <w:r w:rsidRPr="00583E1A">
        <w:t>5.</w:t>
      </w:r>
    </w:p>
    <w:p w:rsidR="00887330" w:rsidRPr="00583E1A" w:rsidRDefault="00887330" w:rsidP="00887330">
      <w:pPr>
        <w:pStyle w:val="Definition"/>
      </w:pPr>
      <w:r w:rsidRPr="00583E1A">
        <w:rPr>
          <w:b/>
          <w:i/>
        </w:rPr>
        <w:t>franked part</w:t>
      </w:r>
      <w:r w:rsidRPr="00583E1A">
        <w:t xml:space="preserve"> of a </w:t>
      </w:r>
      <w:r w:rsidR="00583E1A" w:rsidRPr="00583E1A">
        <w:rPr>
          <w:position w:val="6"/>
          <w:sz w:val="16"/>
        </w:rPr>
        <w:t>*</w:t>
      </w:r>
      <w:r w:rsidRPr="00583E1A">
        <w:t>distribution has the meaning given by section</w:t>
      </w:r>
      <w:r w:rsidR="00583E1A">
        <w:t> </w:t>
      </w:r>
      <w:r w:rsidRPr="00583E1A">
        <w:t>976</w:t>
      </w:r>
      <w:r w:rsidR="00583E1A">
        <w:noBreakHyphen/>
      </w:r>
      <w:r w:rsidRPr="00583E1A">
        <w:t>1.</w:t>
      </w:r>
    </w:p>
    <w:p w:rsidR="00887330" w:rsidRPr="00583E1A" w:rsidRDefault="00887330" w:rsidP="00887330">
      <w:pPr>
        <w:pStyle w:val="Definition"/>
      </w:pPr>
      <w:r w:rsidRPr="00583E1A">
        <w:rPr>
          <w:b/>
          <w:i/>
        </w:rPr>
        <w:t>franking account</w:t>
      </w:r>
      <w:r w:rsidRPr="00583E1A">
        <w:t xml:space="preserve"> means an account that arises under section</w:t>
      </w:r>
      <w:r w:rsidR="00583E1A">
        <w:t> </w:t>
      </w:r>
      <w:r w:rsidRPr="00583E1A">
        <w:t>205</w:t>
      </w:r>
      <w:r w:rsidR="00583E1A">
        <w:noBreakHyphen/>
      </w:r>
      <w:r w:rsidRPr="00583E1A">
        <w:t>10.</w:t>
      </w:r>
    </w:p>
    <w:p w:rsidR="00887330" w:rsidRPr="00583E1A" w:rsidRDefault="00887330" w:rsidP="00887330">
      <w:pPr>
        <w:pStyle w:val="notetext"/>
      </w:pPr>
      <w:r w:rsidRPr="00583E1A">
        <w:t>Note 1:</w:t>
      </w:r>
      <w:r w:rsidRPr="00583E1A">
        <w:tab/>
        <w:t>Section</w:t>
      </w:r>
      <w:r w:rsidR="00583E1A">
        <w:t> </w:t>
      </w:r>
      <w:r w:rsidRPr="00583E1A">
        <w:t>205</w:t>
      </w:r>
      <w:r w:rsidR="00583E1A">
        <w:noBreakHyphen/>
      </w:r>
      <w:r w:rsidRPr="00583E1A">
        <w:t>15 sets out when a credit arises in that account.</w:t>
      </w:r>
    </w:p>
    <w:p w:rsidR="00887330" w:rsidRPr="00583E1A" w:rsidRDefault="00887330" w:rsidP="00887330">
      <w:pPr>
        <w:pStyle w:val="notetext"/>
      </w:pPr>
      <w:r w:rsidRPr="00583E1A">
        <w:t>Note 2:</w:t>
      </w:r>
      <w:r w:rsidRPr="00583E1A">
        <w:tab/>
        <w:t>Section</w:t>
      </w:r>
      <w:r w:rsidR="00583E1A">
        <w:t> </w:t>
      </w:r>
      <w:r w:rsidRPr="00583E1A">
        <w:t>205</w:t>
      </w:r>
      <w:r w:rsidR="00583E1A">
        <w:noBreakHyphen/>
      </w:r>
      <w:r w:rsidRPr="00583E1A">
        <w:t>30 sets out when a debit arises in that account.</w:t>
      </w:r>
    </w:p>
    <w:p w:rsidR="00887330" w:rsidRPr="00583E1A" w:rsidRDefault="00887330" w:rsidP="00887330">
      <w:pPr>
        <w:pStyle w:val="Definition"/>
        <w:rPr>
          <w:b/>
          <w:i/>
        </w:rPr>
      </w:pPr>
      <w:r w:rsidRPr="00583E1A">
        <w:rPr>
          <w:b/>
          <w:i/>
        </w:rPr>
        <w:lastRenderedPageBreak/>
        <w:t>franking account balance</w:t>
      </w:r>
      <w:r w:rsidRPr="00583E1A">
        <w:t xml:space="preserve"> has the meaning given by section</w:t>
      </w:r>
      <w:r w:rsidR="00583E1A">
        <w:t> </w:t>
      </w:r>
      <w:r w:rsidRPr="00583E1A">
        <w:t>214</w:t>
      </w:r>
      <w:r w:rsidR="00583E1A">
        <w:noBreakHyphen/>
      </w:r>
      <w:r w:rsidRPr="00583E1A">
        <w:t>30.</w:t>
      </w:r>
    </w:p>
    <w:p w:rsidR="00887330" w:rsidRPr="00583E1A" w:rsidRDefault="00887330" w:rsidP="00887330">
      <w:pPr>
        <w:pStyle w:val="Definition"/>
        <w:rPr>
          <w:b/>
          <w:i/>
        </w:rPr>
      </w:pPr>
      <w:r w:rsidRPr="00583E1A">
        <w:rPr>
          <w:b/>
          <w:i/>
        </w:rPr>
        <w:t xml:space="preserve">franking assessment </w:t>
      </w:r>
      <w:r w:rsidRPr="00583E1A">
        <w:t>has the meaning given by subsection 214</w:t>
      </w:r>
      <w:r w:rsidR="00583E1A">
        <w:noBreakHyphen/>
      </w:r>
      <w:r w:rsidRPr="00583E1A">
        <w:t>60(1) and affected by section</w:t>
      </w:r>
      <w:r w:rsidR="00583E1A">
        <w:t> </w:t>
      </w:r>
      <w:r w:rsidRPr="00583E1A">
        <w:t>214</w:t>
      </w:r>
      <w:r w:rsidR="00583E1A">
        <w:noBreakHyphen/>
      </w:r>
      <w:r w:rsidRPr="00583E1A">
        <w:t>100.</w:t>
      </w:r>
    </w:p>
    <w:p w:rsidR="00887330" w:rsidRPr="00583E1A" w:rsidRDefault="00887330" w:rsidP="00887330">
      <w:pPr>
        <w:pStyle w:val="Definition"/>
      </w:pPr>
      <w:r w:rsidRPr="00583E1A">
        <w:rPr>
          <w:b/>
          <w:i/>
        </w:rPr>
        <w:t xml:space="preserve">franking credit </w:t>
      </w:r>
      <w:r w:rsidRPr="00583E1A">
        <w:t>has the meaning given by section</w:t>
      </w:r>
      <w:r w:rsidR="00583E1A">
        <w:t> </w:t>
      </w:r>
      <w:r w:rsidRPr="00583E1A">
        <w:t>205</w:t>
      </w:r>
      <w:r w:rsidR="00583E1A">
        <w:noBreakHyphen/>
      </w:r>
      <w:r w:rsidRPr="00583E1A">
        <w:t>15.</w:t>
      </w:r>
    </w:p>
    <w:p w:rsidR="00887330" w:rsidRPr="00583E1A" w:rsidRDefault="00887330" w:rsidP="00887330">
      <w:pPr>
        <w:pStyle w:val="Definition"/>
      </w:pPr>
      <w:r w:rsidRPr="00583E1A">
        <w:rPr>
          <w:b/>
          <w:i/>
        </w:rPr>
        <w:t xml:space="preserve">franking debit </w:t>
      </w:r>
      <w:r w:rsidRPr="00583E1A">
        <w:t>has the meaning given by section</w:t>
      </w:r>
      <w:r w:rsidR="00583E1A">
        <w:t> </w:t>
      </w:r>
      <w:r w:rsidRPr="00583E1A">
        <w:t>205</w:t>
      </w:r>
      <w:r w:rsidR="00583E1A">
        <w:noBreakHyphen/>
      </w:r>
      <w:r w:rsidRPr="00583E1A">
        <w:t>30.</w:t>
      </w:r>
    </w:p>
    <w:p w:rsidR="00887330" w:rsidRPr="00583E1A" w:rsidRDefault="00887330" w:rsidP="00887330">
      <w:pPr>
        <w:pStyle w:val="Definition"/>
      </w:pPr>
      <w:r w:rsidRPr="00583E1A">
        <w:rPr>
          <w:b/>
          <w:i/>
        </w:rPr>
        <w:t xml:space="preserve">franking deficit </w:t>
      </w:r>
      <w:r w:rsidRPr="00583E1A">
        <w:t>has the meaning given by subsection 205</w:t>
      </w:r>
      <w:r w:rsidR="00583E1A">
        <w:noBreakHyphen/>
      </w:r>
      <w:r w:rsidRPr="00583E1A">
        <w:t>40(2).</w:t>
      </w:r>
    </w:p>
    <w:p w:rsidR="00887330" w:rsidRPr="00583E1A" w:rsidRDefault="00887330" w:rsidP="00887330">
      <w:pPr>
        <w:pStyle w:val="Definition"/>
      </w:pPr>
      <w:r w:rsidRPr="00583E1A">
        <w:rPr>
          <w:b/>
          <w:i/>
        </w:rPr>
        <w:t>franking deficit tax</w:t>
      </w:r>
      <w:r w:rsidRPr="00583E1A">
        <w:t xml:space="preserve"> means tax imposed under the </w:t>
      </w:r>
      <w:r w:rsidRPr="00583E1A">
        <w:rPr>
          <w:i/>
        </w:rPr>
        <w:t>New Business Tax System (Franking Deficit Tax) Act 2002</w:t>
      </w:r>
      <w:r w:rsidRPr="00583E1A">
        <w:t>.</w:t>
      </w:r>
    </w:p>
    <w:p w:rsidR="00887330" w:rsidRPr="00583E1A" w:rsidRDefault="00887330" w:rsidP="00887330">
      <w:pPr>
        <w:pStyle w:val="notetext"/>
      </w:pPr>
      <w:r w:rsidRPr="00583E1A">
        <w:t>Note:</w:t>
      </w:r>
      <w:r w:rsidRPr="00583E1A">
        <w:tab/>
        <w:t>That Act imposes tax where it is payable under section</w:t>
      </w:r>
      <w:r w:rsidR="00583E1A">
        <w:t> </w:t>
      </w:r>
      <w:r w:rsidRPr="00583E1A">
        <w:t>205</w:t>
      </w:r>
      <w:r w:rsidR="00583E1A">
        <w:noBreakHyphen/>
      </w:r>
      <w:r w:rsidRPr="00583E1A">
        <w:t>45 of this Act.</w:t>
      </w:r>
    </w:p>
    <w:p w:rsidR="00887330" w:rsidRPr="00583E1A" w:rsidRDefault="00887330" w:rsidP="00887330">
      <w:pPr>
        <w:pStyle w:val="Definition"/>
      </w:pPr>
      <w:r w:rsidRPr="00583E1A">
        <w:rPr>
          <w:b/>
          <w:i/>
        </w:rPr>
        <w:t xml:space="preserve">franking entity </w:t>
      </w:r>
      <w:r w:rsidRPr="00583E1A">
        <w:t>has the meaning given by section</w:t>
      </w:r>
      <w:r w:rsidR="00583E1A">
        <w:t> </w:t>
      </w:r>
      <w:r w:rsidRPr="00583E1A">
        <w:t>202</w:t>
      </w:r>
      <w:r w:rsidR="00583E1A">
        <w:noBreakHyphen/>
      </w:r>
      <w:r w:rsidRPr="00583E1A">
        <w:t>15.</w:t>
      </w:r>
    </w:p>
    <w:p w:rsidR="00887330" w:rsidRPr="00583E1A" w:rsidRDefault="00887330" w:rsidP="00887330">
      <w:pPr>
        <w:pStyle w:val="Definition"/>
      </w:pPr>
      <w:r w:rsidRPr="00583E1A">
        <w:rPr>
          <w:b/>
          <w:i/>
        </w:rPr>
        <w:t>franking percentage</w:t>
      </w:r>
      <w:r w:rsidRPr="00583E1A">
        <w:t xml:space="preserve"> has the meaning given by section</w:t>
      </w:r>
      <w:r w:rsidR="00583E1A">
        <w:t> </w:t>
      </w:r>
      <w:r w:rsidRPr="00583E1A">
        <w:t>203</w:t>
      </w:r>
      <w:r w:rsidR="00583E1A">
        <w:noBreakHyphen/>
      </w:r>
      <w:r w:rsidRPr="00583E1A">
        <w:t>35.</w:t>
      </w:r>
    </w:p>
    <w:p w:rsidR="00887330" w:rsidRPr="00583E1A" w:rsidRDefault="00887330" w:rsidP="00887330">
      <w:pPr>
        <w:pStyle w:val="Definition"/>
      </w:pPr>
      <w:r w:rsidRPr="00583E1A">
        <w:rPr>
          <w:b/>
          <w:i/>
        </w:rPr>
        <w:t xml:space="preserve">franking period </w:t>
      </w:r>
      <w:r w:rsidRPr="00583E1A">
        <w:t>has the meaning given by sections</w:t>
      </w:r>
      <w:r w:rsidR="00583E1A">
        <w:t> </w:t>
      </w:r>
      <w:r w:rsidRPr="00583E1A">
        <w:t>203</w:t>
      </w:r>
      <w:r w:rsidR="00583E1A">
        <w:noBreakHyphen/>
      </w:r>
      <w:r w:rsidRPr="00583E1A">
        <w:t>40 and 203</w:t>
      </w:r>
      <w:r w:rsidR="00583E1A">
        <w:noBreakHyphen/>
      </w:r>
      <w:r w:rsidRPr="00583E1A">
        <w:t>45.</w:t>
      </w:r>
    </w:p>
    <w:p w:rsidR="00887330" w:rsidRPr="00583E1A" w:rsidRDefault="00887330" w:rsidP="00887330">
      <w:pPr>
        <w:pStyle w:val="Definition"/>
      </w:pPr>
      <w:r w:rsidRPr="00583E1A">
        <w:rPr>
          <w:b/>
          <w:i/>
        </w:rPr>
        <w:t xml:space="preserve">franking return </w:t>
      </w:r>
      <w:r w:rsidRPr="00583E1A">
        <w:t>means a return required under Subdivision</w:t>
      </w:r>
      <w:r w:rsidR="00583E1A">
        <w:t> </w:t>
      </w:r>
      <w:r w:rsidRPr="00583E1A">
        <w:t>214</w:t>
      </w:r>
      <w:r w:rsidR="00583E1A">
        <w:noBreakHyphen/>
      </w:r>
      <w:r w:rsidRPr="00583E1A">
        <w:t>A.</w:t>
      </w:r>
    </w:p>
    <w:p w:rsidR="00887330" w:rsidRPr="00583E1A" w:rsidRDefault="00887330" w:rsidP="00887330">
      <w:pPr>
        <w:pStyle w:val="Definition"/>
      </w:pPr>
      <w:r w:rsidRPr="00583E1A">
        <w:rPr>
          <w:b/>
          <w:i/>
        </w:rPr>
        <w:t xml:space="preserve">franking surplus </w:t>
      </w:r>
      <w:r w:rsidRPr="00583E1A">
        <w:t>has the meaning given by subsection 205</w:t>
      </w:r>
      <w:r w:rsidR="00583E1A">
        <w:noBreakHyphen/>
      </w:r>
      <w:r w:rsidRPr="00583E1A">
        <w:t>40(1).</w:t>
      </w:r>
    </w:p>
    <w:p w:rsidR="00887330" w:rsidRPr="00583E1A" w:rsidRDefault="00887330" w:rsidP="00887330">
      <w:pPr>
        <w:pStyle w:val="Definition"/>
        <w:rPr>
          <w:b/>
          <w:i/>
        </w:rPr>
      </w:pPr>
      <w:r w:rsidRPr="00583E1A">
        <w:rPr>
          <w:b/>
          <w:i/>
        </w:rPr>
        <w:t xml:space="preserve">franking tax </w:t>
      </w:r>
      <w:r w:rsidRPr="00583E1A">
        <w:t>has the meaning given by section</w:t>
      </w:r>
      <w:r w:rsidR="00583E1A">
        <w:t> </w:t>
      </w:r>
      <w:r w:rsidRPr="00583E1A">
        <w:t>214</w:t>
      </w:r>
      <w:r w:rsidR="00583E1A">
        <w:noBreakHyphen/>
      </w:r>
      <w:r w:rsidRPr="00583E1A">
        <w:t>40.</w:t>
      </w:r>
    </w:p>
    <w:p w:rsidR="00887330" w:rsidRPr="00583E1A" w:rsidRDefault="00887330" w:rsidP="00887330">
      <w:pPr>
        <w:pStyle w:val="Definition"/>
        <w:rPr>
          <w:sz w:val="20"/>
        </w:rPr>
      </w:pPr>
      <w:r w:rsidRPr="00583E1A">
        <w:rPr>
          <w:b/>
          <w:i/>
        </w:rPr>
        <w:t>franks with an exempting credit</w:t>
      </w:r>
      <w:r w:rsidRPr="00583E1A">
        <w:t xml:space="preserve"> has the meaning given by section</w:t>
      </w:r>
      <w:r w:rsidR="00583E1A">
        <w:t> </w:t>
      </w:r>
      <w:r w:rsidRPr="00583E1A">
        <w:t>208</w:t>
      </w:r>
      <w:r w:rsidR="00583E1A">
        <w:noBreakHyphen/>
      </w:r>
      <w:r w:rsidRPr="00583E1A">
        <w:t>60.</w:t>
      </w:r>
    </w:p>
    <w:p w:rsidR="00887330" w:rsidRPr="00583E1A" w:rsidRDefault="00887330" w:rsidP="00887330">
      <w:pPr>
        <w:pStyle w:val="Definition"/>
      </w:pPr>
      <w:r w:rsidRPr="00583E1A">
        <w:rPr>
          <w:b/>
          <w:i/>
        </w:rPr>
        <w:t xml:space="preserve">frank with a venture capital credit </w:t>
      </w:r>
      <w:r w:rsidRPr="00583E1A">
        <w:t>has the meaning given by section</w:t>
      </w:r>
      <w:r w:rsidR="00583E1A">
        <w:t> </w:t>
      </w:r>
      <w:r w:rsidRPr="00583E1A">
        <w:t>210</w:t>
      </w:r>
      <w:r w:rsidR="00583E1A">
        <w:noBreakHyphen/>
      </w:r>
      <w:r w:rsidRPr="00583E1A">
        <w:t>30.</w:t>
      </w:r>
    </w:p>
    <w:p w:rsidR="00E816C2" w:rsidRPr="00E811AF" w:rsidRDefault="00E816C2" w:rsidP="00E816C2">
      <w:pPr>
        <w:pStyle w:val="Definition"/>
      </w:pPr>
      <w:r w:rsidRPr="00E811AF">
        <w:rPr>
          <w:b/>
          <w:i/>
        </w:rPr>
        <w:t>free carbon unit</w:t>
      </w:r>
      <w:r w:rsidRPr="00E811AF">
        <w:t xml:space="preserve"> has the same meaning as in the </w:t>
      </w:r>
      <w:r w:rsidRPr="00E811AF">
        <w:rPr>
          <w:i/>
        </w:rPr>
        <w:t>Clean Energy Act 2011</w:t>
      </w:r>
      <w:r w:rsidRPr="00E811AF">
        <w:t>.</w:t>
      </w:r>
    </w:p>
    <w:p w:rsidR="00887330" w:rsidRPr="00583E1A" w:rsidRDefault="00887330" w:rsidP="00A504C5">
      <w:pPr>
        <w:pStyle w:val="Definition"/>
        <w:keepNext/>
        <w:keepLines/>
      </w:pPr>
      <w:r w:rsidRPr="00583E1A">
        <w:rPr>
          <w:b/>
          <w:i/>
        </w:rPr>
        <w:t>friendly society</w:t>
      </w:r>
      <w:r w:rsidRPr="00583E1A">
        <w:t xml:space="preserve"> means:</w:t>
      </w:r>
    </w:p>
    <w:p w:rsidR="00887330" w:rsidRPr="00583E1A" w:rsidRDefault="00887330" w:rsidP="00887330">
      <w:pPr>
        <w:pStyle w:val="paragraph"/>
      </w:pPr>
      <w:r w:rsidRPr="00583E1A">
        <w:tab/>
        <w:t>(a)</w:t>
      </w:r>
      <w:r w:rsidRPr="00583E1A">
        <w:tab/>
        <w:t xml:space="preserve">a body that is a friendly society for the purposes of the </w:t>
      </w:r>
      <w:r w:rsidRPr="00583E1A">
        <w:rPr>
          <w:i/>
        </w:rPr>
        <w:t>Life Insurance Act 1995</w:t>
      </w:r>
      <w:r w:rsidRPr="00583E1A">
        <w:t>; or</w:t>
      </w:r>
    </w:p>
    <w:p w:rsidR="00887330" w:rsidRPr="00583E1A" w:rsidRDefault="00887330" w:rsidP="00887330">
      <w:pPr>
        <w:pStyle w:val="paragraph"/>
      </w:pPr>
      <w:r w:rsidRPr="00583E1A">
        <w:tab/>
        <w:t>(b)</w:t>
      </w:r>
      <w:r w:rsidRPr="00583E1A">
        <w:tab/>
        <w:t xml:space="preserve">a body that is registered or incorporated as a friendly society under </w:t>
      </w:r>
      <w:r w:rsidR="0029132A" w:rsidRPr="00583E1A">
        <w:t xml:space="preserve">a </w:t>
      </w:r>
      <w:r w:rsidR="00583E1A" w:rsidRPr="00583E1A">
        <w:rPr>
          <w:position w:val="6"/>
          <w:sz w:val="16"/>
        </w:rPr>
        <w:t>*</w:t>
      </w:r>
      <w:r w:rsidR="0029132A" w:rsidRPr="00583E1A">
        <w:t xml:space="preserve">State law or a </w:t>
      </w:r>
      <w:r w:rsidR="00583E1A" w:rsidRPr="00583E1A">
        <w:rPr>
          <w:position w:val="6"/>
          <w:sz w:val="16"/>
        </w:rPr>
        <w:t>*</w:t>
      </w:r>
      <w:r w:rsidR="0029132A" w:rsidRPr="00583E1A">
        <w:t>Territory law</w:t>
      </w:r>
      <w:r w:rsidRPr="00583E1A">
        <w:t>; or</w:t>
      </w:r>
    </w:p>
    <w:p w:rsidR="00887330" w:rsidRPr="00583E1A" w:rsidRDefault="00887330" w:rsidP="00887330">
      <w:pPr>
        <w:pStyle w:val="paragraph"/>
      </w:pPr>
      <w:r w:rsidRPr="00583E1A">
        <w:lastRenderedPageBreak/>
        <w:tab/>
        <w:t>(c)</w:t>
      </w:r>
      <w:r w:rsidRPr="00583E1A">
        <w:tab/>
        <w:t xml:space="preserve">a body that is permitted, by </w:t>
      </w:r>
      <w:r w:rsidR="0029132A" w:rsidRPr="00583E1A">
        <w:t xml:space="preserve">a </w:t>
      </w:r>
      <w:r w:rsidR="00583E1A" w:rsidRPr="00583E1A">
        <w:rPr>
          <w:position w:val="6"/>
          <w:sz w:val="16"/>
        </w:rPr>
        <w:t>*</w:t>
      </w:r>
      <w:r w:rsidR="0029132A" w:rsidRPr="00583E1A">
        <w:t xml:space="preserve">State law or a </w:t>
      </w:r>
      <w:r w:rsidR="00583E1A" w:rsidRPr="00583E1A">
        <w:rPr>
          <w:position w:val="6"/>
          <w:sz w:val="16"/>
        </w:rPr>
        <w:t>*</w:t>
      </w:r>
      <w:r w:rsidR="0029132A" w:rsidRPr="00583E1A">
        <w:t>Territory law</w:t>
      </w:r>
      <w:r w:rsidRPr="00583E1A">
        <w:t xml:space="preserve">, to assume or use the expression </w:t>
      </w:r>
      <w:r w:rsidRPr="00583E1A">
        <w:rPr>
          <w:b/>
          <w:i/>
        </w:rPr>
        <w:t>friendly society</w:t>
      </w:r>
      <w:r w:rsidRPr="00583E1A">
        <w:t>; or</w:t>
      </w:r>
    </w:p>
    <w:p w:rsidR="00887330" w:rsidRPr="00583E1A" w:rsidRDefault="00887330" w:rsidP="00887330">
      <w:pPr>
        <w:pStyle w:val="paragraph"/>
      </w:pPr>
      <w:r w:rsidRPr="00583E1A">
        <w:tab/>
        <w:t>(d)</w:t>
      </w:r>
      <w:r w:rsidRPr="00583E1A">
        <w:tab/>
        <w:t xml:space="preserve">a body that, immediately before the date that is the transfer date for the purposes of the </w:t>
      </w:r>
      <w:r w:rsidRPr="00583E1A">
        <w:rPr>
          <w:i/>
        </w:rPr>
        <w:t>Financial Sector Reform (Amendments and Transitional Provisions) Act (No.</w:t>
      </w:r>
      <w:r w:rsidR="00583E1A">
        <w:rPr>
          <w:i/>
        </w:rPr>
        <w:t> </w:t>
      </w:r>
      <w:r w:rsidRPr="00583E1A">
        <w:rPr>
          <w:i/>
        </w:rPr>
        <w:t>1) 1999</w:t>
      </w:r>
      <w:r w:rsidRPr="00583E1A">
        <w:t xml:space="preserve">, was registered or incorporated as a friendly society under </w:t>
      </w:r>
      <w:r w:rsidR="0029132A" w:rsidRPr="00583E1A">
        <w:t xml:space="preserve">a </w:t>
      </w:r>
      <w:r w:rsidR="00583E1A" w:rsidRPr="00583E1A">
        <w:rPr>
          <w:position w:val="6"/>
          <w:sz w:val="16"/>
        </w:rPr>
        <w:t>*</w:t>
      </w:r>
      <w:r w:rsidR="0029132A" w:rsidRPr="00583E1A">
        <w:t xml:space="preserve">State law or a </w:t>
      </w:r>
      <w:r w:rsidR="00583E1A" w:rsidRPr="00583E1A">
        <w:rPr>
          <w:position w:val="6"/>
          <w:sz w:val="16"/>
        </w:rPr>
        <w:t>*</w:t>
      </w:r>
      <w:r w:rsidR="0029132A" w:rsidRPr="00583E1A">
        <w:t>Territory law</w:t>
      </w:r>
      <w:r w:rsidRPr="00583E1A">
        <w:t>.</w:t>
      </w:r>
    </w:p>
    <w:p w:rsidR="00887330" w:rsidRPr="00583E1A" w:rsidRDefault="00887330" w:rsidP="008F1666">
      <w:pPr>
        <w:pStyle w:val="Definition"/>
        <w:keepNext/>
        <w:keepLines/>
      </w:pPr>
      <w:r w:rsidRPr="00583E1A">
        <w:rPr>
          <w:b/>
          <w:i/>
        </w:rPr>
        <w:t>friendly society dispensary</w:t>
      </w:r>
      <w:r w:rsidRPr="00583E1A">
        <w:t xml:space="preserve"> means an approved pharmacist (within the meaning of Part</w:t>
      </w:r>
      <w:r w:rsidR="00583E1A">
        <w:t> </w:t>
      </w:r>
      <w:r w:rsidRPr="00583E1A">
        <w:t xml:space="preserve">VII of the </w:t>
      </w:r>
      <w:r w:rsidRPr="00583E1A">
        <w:rPr>
          <w:i/>
        </w:rPr>
        <w:t>National Health Act 1953</w:t>
      </w:r>
      <w:r w:rsidRPr="00583E1A">
        <w:t>) that is:</w:t>
      </w:r>
    </w:p>
    <w:p w:rsidR="00887330" w:rsidRPr="00583E1A" w:rsidRDefault="00887330" w:rsidP="00887330">
      <w:pPr>
        <w:pStyle w:val="paragraph"/>
      </w:pPr>
      <w:r w:rsidRPr="00583E1A">
        <w:tab/>
        <w:t>(a)</w:t>
      </w:r>
      <w:r w:rsidRPr="00583E1A">
        <w:tab/>
        <w:t xml:space="preserve">a </w:t>
      </w:r>
      <w:r w:rsidR="00583E1A" w:rsidRPr="00583E1A">
        <w:rPr>
          <w:position w:val="6"/>
          <w:sz w:val="16"/>
        </w:rPr>
        <w:t>*</w:t>
      </w:r>
      <w:r w:rsidRPr="00583E1A">
        <w:t>friendly society; or</w:t>
      </w:r>
    </w:p>
    <w:p w:rsidR="00887330" w:rsidRPr="00583E1A" w:rsidRDefault="00887330" w:rsidP="00887330">
      <w:pPr>
        <w:pStyle w:val="paragraph"/>
      </w:pPr>
      <w:r w:rsidRPr="00583E1A">
        <w:tab/>
        <w:t>(b)</w:t>
      </w:r>
      <w:r w:rsidRPr="00583E1A">
        <w:tab/>
        <w:t xml:space="preserve">a body carrying on </w:t>
      </w:r>
      <w:r w:rsidR="00583E1A" w:rsidRPr="00583E1A">
        <w:rPr>
          <w:position w:val="6"/>
          <w:sz w:val="16"/>
        </w:rPr>
        <w:t>*</w:t>
      </w:r>
      <w:r w:rsidRPr="00583E1A">
        <w:t xml:space="preserve">business for the benefit of members of a </w:t>
      </w:r>
      <w:r w:rsidR="00583E1A" w:rsidRPr="00583E1A">
        <w:rPr>
          <w:position w:val="6"/>
          <w:sz w:val="16"/>
        </w:rPr>
        <w:t>*</w:t>
      </w:r>
      <w:r w:rsidRPr="00583E1A">
        <w:t>friendly society.</w:t>
      </w:r>
    </w:p>
    <w:p w:rsidR="00887330" w:rsidRPr="00583E1A" w:rsidRDefault="00887330" w:rsidP="00887330">
      <w:pPr>
        <w:pStyle w:val="Definition"/>
      </w:pPr>
      <w:r w:rsidRPr="00583E1A">
        <w:rPr>
          <w:b/>
          <w:i/>
        </w:rPr>
        <w:t>fringe benefit</w:t>
      </w:r>
      <w:r w:rsidRPr="00583E1A">
        <w:t xml:space="preserve"> means:</w:t>
      </w:r>
    </w:p>
    <w:p w:rsidR="00887330" w:rsidRPr="00583E1A" w:rsidRDefault="00887330" w:rsidP="00887330">
      <w:pPr>
        <w:pStyle w:val="paragraph"/>
      </w:pPr>
      <w:r w:rsidRPr="00583E1A">
        <w:tab/>
        <w:t>(a)</w:t>
      </w:r>
      <w:r w:rsidRPr="00583E1A">
        <w:tab/>
        <w:t xml:space="preserve">a fringe benefit as defined by subsection 136(1) of </w:t>
      </w:r>
      <w:r w:rsidRPr="00583E1A">
        <w:rPr>
          <w:i/>
        </w:rPr>
        <w:t>the Fringe Benefits Tax Assessment Act 1986</w:t>
      </w:r>
      <w:r w:rsidRPr="00583E1A">
        <w:t>; and</w:t>
      </w:r>
    </w:p>
    <w:p w:rsidR="00887330" w:rsidRPr="00583E1A" w:rsidRDefault="00887330" w:rsidP="00887330">
      <w:pPr>
        <w:pStyle w:val="paragraph"/>
      </w:pPr>
      <w:r w:rsidRPr="00583E1A">
        <w:tab/>
        <w:t>(b)</w:t>
      </w:r>
      <w:r w:rsidRPr="00583E1A">
        <w:tab/>
        <w:t xml:space="preserve">a benefit that would be a fringe benefit (as defined by subsection 136(1) of that Act) if </w:t>
      </w:r>
      <w:r w:rsidR="00583E1A">
        <w:t>paragraphs (</w:t>
      </w:r>
      <w:r w:rsidRPr="00583E1A">
        <w:t xml:space="preserve">d) and (e) of the definition of </w:t>
      </w:r>
      <w:r w:rsidRPr="00583E1A">
        <w:rPr>
          <w:b/>
          <w:i/>
        </w:rPr>
        <w:t>employer</w:t>
      </w:r>
      <w:r w:rsidRPr="00583E1A">
        <w:t xml:space="preserve"> in that subsection of that Act were omitted.</w:t>
      </w:r>
    </w:p>
    <w:p w:rsidR="00887330" w:rsidRPr="00583E1A" w:rsidRDefault="00887330" w:rsidP="00887330">
      <w:pPr>
        <w:pStyle w:val="Definition"/>
      </w:pPr>
      <w:r w:rsidRPr="00583E1A">
        <w:rPr>
          <w:b/>
          <w:i/>
        </w:rPr>
        <w:t>fringe benefits taxable amount</w:t>
      </w:r>
      <w:r w:rsidRPr="00583E1A">
        <w:t xml:space="preserve"> has the meaning given by section</w:t>
      </w:r>
      <w:r w:rsidR="00583E1A">
        <w:t> </w:t>
      </w:r>
      <w:r w:rsidRPr="00583E1A">
        <w:t xml:space="preserve">5B of the </w:t>
      </w:r>
      <w:r w:rsidRPr="00583E1A">
        <w:rPr>
          <w:i/>
        </w:rPr>
        <w:t>Fringe Benefits Tax Assessment Act 1986</w:t>
      </w:r>
      <w:r w:rsidRPr="00583E1A">
        <w:t>.</w:t>
      </w:r>
    </w:p>
    <w:p w:rsidR="00887330" w:rsidRPr="00583E1A" w:rsidRDefault="00887330" w:rsidP="00887330">
      <w:pPr>
        <w:pStyle w:val="Definition"/>
      </w:pPr>
      <w:r w:rsidRPr="00583E1A">
        <w:rPr>
          <w:b/>
          <w:i/>
        </w:rPr>
        <w:t>fringe benefits tax law</w:t>
      </w:r>
      <w:r w:rsidRPr="00583E1A">
        <w:t xml:space="preserve"> means a provision of an Act or regulations under which the extent of liability for tax imposed by the </w:t>
      </w:r>
      <w:r w:rsidRPr="00583E1A">
        <w:rPr>
          <w:i/>
        </w:rPr>
        <w:t>Fringe Benefits Tax Act 1986</w:t>
      </w:r>
      <w:r w:rsidRPr="00583E1A">
        <w:t xml:space="preserve"> is worked out.</w:t>
      </w:r>
    </w:p>
    <w:p w:rsidR="00887330" w:rsidRPr="00583E1A" w:rsidRDefault="00887330" w:rsidP="007D29DB">
      <w:pPr>
        <w:pStyle w:val="Definition"/>
        <w:keepNext/>
        <w:keepLines/>
      </w:pPr>
      <w:r w:rsidRPr="00583E1A">
        <w:rPr>
          <w:b/>
          <w:i/>
        </w:rPr>
        <w:t>FS assessment debt</w:t>
      </w:r>
      <w:r w:rsidRPr="00583E1A">
        <w:t xml:space="preserve"> means an FS assessment debt under:</w:t>
      </w:r>
    </w:p>
    <w:p w:rsidR="00887330" w:rsidRPr="00583E1A" w:rsidRDefault="00887330" w:rsidP="00887330">
      <w:pPr>
        <w:pStyle w:val="paragraph"/>
      </w:pPr>
      <w:r w:rsidRPr="00583E1A">
        <w:tab/>
        <w:t>(a)</w:t>
      </w:r>
      <w:r w:rsidRPr="00583E1A">
        <w:tab/>
        <w:t xml:space="preserve">subsection 19AB(2) of the </w:t>
      </w:r>
      <w:r w:rsidRPr="00583E1A">
        <w:rPr>
          <w:i/>
        </w:rPr>
        <w:t>Social Security Act 1991</w:t>
      </w:r>
      <w:r w:rsidRPr="00583E1A">
        <w:t>; or</w:t>
      </w:r>
    </w:p>
    <w:p w:rsidR="00887330" w:rsidRPr="00583E1A" w:rsidRDefault="00887330" w:rsidP="00887330">
      <w:pPr>
        <w:pStyle w:val="paragraph"/>
      </w:pPr>
      <w:r w:rsidRPr="00583E1A">
        <w:tab/>
        <w:t>(b)</w:t>
      </w:r>
      <w:r w:rsidRPr="00583E1A">
        <w:tab/>
        <w:t xml:space="preserve">the </w:t>
      </w:r>
      <w:r w:rsidRPr="00583E1A">
        <w:rPr>
          <w:i/>
        </w:rPr>
        <w:t>Student Assistance Act 1973</w:t>
      </w:r>
      <w:r w:rsidRPr="00583E1A">
        <w:t xml:space="preserve"> as in force at a time on or after 1</w:t>
      </w:r>
      <w:r w:rsidR="00583E1A">
        <w:t> </w:t>
      </w:r>
      <w:r w:rsidRPr="00583E1A">
        <w:t>July 1998.</w:t>
      </w:r>
    </w:p>
    <w:p w:rsidR="00887330" w:rsidRPr="00583E1A" w:rsidRDefault="00887330" w:rsidP="00887330">
      <w:pPr>
        <w:pStyle w:val="Definition"/>
      </w:pPr>
      <w:r w:rsidRPr="00583E1A">
        <w:rPr>
          <w:b/>
          <w:i/>
        </w:rPr>
        <w:t>FTB amount</w:t>
      </w:r>
      <w:r w:rsidRPr="00583E1A">
        <w:t xml:space="preserve"> for an income year means an amount of family tax benefit (within the meaning of the </w:t>
      </w:r>
      <w:r w:rsidRPr="00583E1A">
        <w:rPr>
          <w:i/>
        </w:rPr>
        <w:t>A New Tax System (Family Assistance) (Administration) Act 1999</w:t>
      </w:r>
      <w:r w:rsidRPr="00583E1A">
        <w:t>) to which an individual is entitled in respect of the income year.</w:t>
      </w:r>
    </w:p>
    <w:p w:rsidR="00887330" w:rsidRPr="00583E1A" w:rsidRDefault="00887330" w:rsidP="00887330">
      <w:pPr>
        <w:pStyle w:val="Definition"/>
        <w:rPr>
          <w:i/>
        </w:rPr>
      </w:pPr>
      <w:r w:rsidRPr="00583E1A">
        <w:rPr>
          <w:b/>
          <w:i/>
        </w:rPr>
        <w:t>fuel tax credit</w:t>
      </w:r>
      <w:r w:rsidRPr="00583E1A">
        <w:t xml:space="preserve"> has the meaning given by section</w:t>
      </w:r>
      <w:r w:rsidR="00583E1A">
        <w:t> </w:t>
      </w:r>
      <w:r w:rsidRPr="00583E1A">
        <w:t>110</w:t>
      </w:r>
      <w:r w:rsidR="00583E1A">
        <w:noBreakHyphen/>
      </w:r>
      <w:r w:rsidRPr="00583E1A">
        <w:t xml:space="preserve">5 of the </w:t>
      </w:r>
      <w:r w:rsidRPr="00583E1A">
        <w:rPr>
          <w:i/>
        </w:rPr>
        <w:t>Fuel Tax Act 2006</w:t>
      </w:r>
      <w:r w:rsidRPr="00583E1A">
        <w:t>.</w:t>
      </w:r>
    </w:p>
    <w:p w:rsidR="00887330" w:rsidRPr="00583E1A" w:rsidRDefault="00887330" w:rsidP="00887330">
      <w:pPr>
        <w:pStyle w:val="Definition"/>
      </w:pPr>
      <w:r w:rsidRPr="00583E1A">
        <w:rPr>
          <w:b/>
          <w:i/>
        </w:rPr>
        <w:lastRenderedPageBreak/>
        <w:t>fuel tax law</w:t>
      </w:r>
      <w:r w:rsidRPr="00583E1A">
        <w:t xml:space="preserve"> has the meaning given by section</w:t>
      </w:r>
      <w:r w:rsidR="00583E1A">
        <w:t> </w:t>
      </w:r>
      <w:r w:rsidRPr="00583E1A">
        <w:t>110</w:t>
      </w:r>
      <w:r w:rsidR="00583E1A">
        <w:noBreakHyphen/>
      </w:r>
      <w:r w:rsidRPr="00583E1A">
        <w:t xml:space="preserve">5 of the </w:t>
      </w:r>
      <w:r w:rsidRPr="00583E1A">
        <w:rPr>
          <w:i/>
        </w:rPr>
        <w:t>Fuel Tax Act 2006</w:t>
      </w:r>
      <w:r w:rsidRPr="00583E1A">
        <w:t>.</w:t>
      </w:r>
    </w:p>
    <w:p w:rsidR="00E64841" w:rsidRPr="00202171" w:rsidRDefault="00E64841" w:rsidP="00E64841">
      <w:pPr>
        <w:pStyle w:val="Definition"/>
      </w:pPr>
      <w:r w:rsidRPr="00202171">
        <w:rPr>
          <w:b/>
          <w:i/>
        </w:rPr>
        <w:t>fuel tax return</w:t>
      </w:r>
      <w:r w:rsidRPr="00202171">
        <w:t xml:space="preserve"> means a return under the </w:t>
      </w:r>
      <w:r w:rsidRPr="00202171">
        <w:rPr>
          <w:i/>
        </w:rPr>
        <w:t>Fuel Tax Act 2006</w:t>
      </w:r>
      <w:r w:rsidRPr="00202171">
        <w:t>.</w:t>
      </w:r>
    </w:p>
    <w:p w:rsidR="00887330" w:rsidRPr="00583E1A" w:rsidRDefault="00887330" w:rsidP="00887330">
      <w:pPr>
        <w:pStyle w:val="Definition"/>
      </w:pPr>
      <w:r w:rsidRPr="00583E1A">
        <w:rPr>
          <w:b/>
          <w:i/>
        </w:rPr>
        <w:t>fuel tax return period</w:t>
      </w:r>
      <w:r w:rsidRPr="00583E1A">
        <w:t xml:space="preserve"> has the meaning given by section</w:t>
      </w:r>
      <w:r w:rsidR="00583E1A">
        <w:t> </w:t>
      </w:r>
      <w:r w:rsidRPr="00583E1A">
        <w:t>61</w:t>
      </w:r>
      <w:r w:rsidR="00583E1A">
        <w:noBreakHyphen/>
      </w:r>
      <w:r w:rsidRPr="00583E1A">
        <w:t xml:space="preserve">20 of the </w:t>
      </w:r>
      <w:r w:rsidRPr="00583E1A">
        <w:rPr>
          <w:i/>
        </w:rPr>
        <w:t>Fuel Tax Act 2006</w:t>
      </w:r>
      <w:r w:rsidRPr="00583E1A">
        <w:t>.</w:t>
      </w:r>
    </w:p>
    <w:p w:rsidR="00887330" w:rsidRPr="00583E1A" w:rsidRDefault="00887330" w:rsidP="00887330">
      <w:pPr>
        <w:pStyle w:val="Definition"/>
      </w:pPr>
      <w:r w:rsidRPr="00583E1A">
        <w:rPr>
          <w:b/>
          <w:i/>
        </w:rPr>
        <w:t>full year amounts</w:t>
      </w:r>
      <w:r w:rsidRPr="00583E1A">
        <w:t xml:space="preserve"> has the meaning given by section</w:t>
      </w:r>
      <w:r w:rsidR="00583E1A">
        <w:t> </w:t>
      </w:r>
      <w:r w:rsidRPr="00583E1A">
        <w:t>165</w:t>
      </w:r>
      <w:r w:rsidR="00583E1A">
        <w:noBreakHyphen/>
      </w:r>
      <w:r w:rsidRPr="00583E1A">
        <w:t>60.</w:t>
      </w:r>
    </w:p>
    <w:p w:rsidR="00887330" w:rsidRPr="00583E1A" w:rsidRDefault="00887330" w:rsidP="00887330">
      <w:pPr>
        <w:pStyle w:val="Definition"/>
      </w:pPr>
      <w:r w:rsidRPr="00583E1A">
        <w:rPr>
          <w:b/>
          <w:i/>
        </w:rPr>
        <w:t>full year car deduction</w:t>
      </w:r>
      <w:r w:rsidRPr="00583E1A">
        <w:t xml:space="preserve"> has the meaning given by section</w:t>
      </w:r>
      <w:r w:rsidR="00583E1A">
        <w:t> </w:t>
      </w:r>
      <w:r w:rsidRPr="00583E1A">
        <w:t>28</w:t>
      </w:r>
      <w:r w:rsidR="00583E1A">
        <w:noBreakHyphen/>
      </w:r>
      <w:r w:rsidRPr="00583E1A">
        <w:t>45.</w:t>
      </w:r>
    </w:p>
    <w:p w:rsidR="00887330" w:rsidRPr="00583E1A" w:rsidRDefault="00887330" w:rsidP="00887330">
      <w:pPr>
        <w:pStyle w:val="Definition"/>
      </w:pPr>
      <w:r w:rsidRPr="00583E1A">
        <w:rPr>
          <w:b/>
          <w:i/>
        </w:rPr>
        <w:t>full year deductions</w:t>
      </w:r>
      <w:r w:rsidRPr="00583E1A">
        <w:t xml:space="preserve"> has the meaning given by </w:t>
      </w:r>
      <w:r w:rsidR="00224941" w:rsidRPr="00583E1A">
        <w:t>subsections 165</w:t>
      </w:r>
      <w:r w:rsidR="00583E1A">
        <w:noBreakHyphen/>
      </w:r>
      <w:r w:rsidR="00224941" w:rsidRPr="00583E1A">
        <w:t>55(5) and (6)</w:t>
      </w:r>
      <w:r w:rsidRPr="00583E1A">
        <w:t>.</w:t>
      </w:r>
    </w:p>
    <w:p w:rsidR="008D3E9E" w:rsidRPr="00583E1A" w:rsidRDefault="008D3E9E" w:rsidP="008D3E9E">
      <w:pPr>
        <w:pStyle w:val="Definition"/>
      </w:pPr>
      <w:r w:rsidRPr="00583E1A">
        <w:rPr>
          <w:b/>
          <w:i/>
        </w:rPr>
        <w:t>fund payment</w:t>
      </w:r>
      <w:r w:rsidRPr="00583E1A">
        <w:t xml:space="preserve"> has the meaning given by </w:t>
      </w:r>
      <w:r w:rsidR="00E20097" w:rsidRPr="00583E1A">
        <w:t>12</w:t>
      </w:r>
      <w:r w:rsidR="00583E1A">
        <w:noBreakHyphen/>
      </w:r>
      <w:r w:rsidR="00E20097" w:rsidRPr="00583E1A">
        <w:t>405</w:t>
      </w:r>
      <w:r w:rsidRPr="00583E1A">
        <w:t xml:space="preserve"> in Schedule</w:t>
      </w:r>
      <w:r w:rsidR="00583E1A">
        <w:t> </w:t>
      </w:r>
      <w:r w:rsidRPr="00583E1A">
        <w:t xml:space="preserve">1 to the </w:t>
      </w:r>
      <w:r w:rsidRPr="00583E1A">
        <w:rPr>
          <w:i/>
        </w:rPr>
        <w:t>Taxation Administration Act 1953</w:t>
      </w:r>
      <w:r w:rsidRPr="00583E1A">
        <w:t>.</w:t>
      </w:r>
    </w:p>
    <w:p w:rsidR="00887330" w:rsidRPr="00583E1A" w:rsidRDefault="00887330" w:rsidP="00887330">
      <w:pPr>
        <w:pStyle w:val="Definition"/>
      </w:pPr>
      <w:r w:rsidRPr="00583E1A">
        <w:rPr>
          <w:b/>
          <w:i/>
        </w:rPr>
        <w:t>fund</w:t>
      </w:r>
      <w:r w:rsidR="00583E1A">
        <w:rPr>
          <w:b/>
          <w:i/>
        </w:rPr>
        <w:noBreakHyphen/>
      </w:r>
      <w:r w:rsidRPr="00583E1A">
        <w:rPr>
          <w:b/>
          <w:i/>
        </w:rPr>
        <w:t xml:space="preserve">raising event </w:t>
      </w:r>
      <w:r w:rsidRPr="00583E1A">
        <w:t>has the meaning given by section</w:t>
      </w:r>
      <w:r w:rsidR="00583E1A">
        <w:t> </w:t>
      </w:r>
      <w:r w:rsidRPr="00583E1A">
        <w:t>40</w:t>
      </w:r>
      <w:r w:rsidR="00583E1A">
        <w:noBreakHyphen/>
      </w:r>
      <w:r w:rsidRPr="00583E1A">
        <w:t xml:space="preserve">165 of the </w:t>
      </w:r>
      <w:r w:rsidR="004E7A09" w:rsidRPr="004C09C4">
        <w:rPr>
          <w:position w:val="6"/>
          <w:sz w:val="16"/>
        </w:rPr>
        <w:t>*</w:t>
      </w:r>
      <w:r w:rsidR="004E7A09" w:rsidRPr="004C09C4">
        <w:t>GST Act</w:t>
      </w:r>
      <w:r w:rsidRPr="00583E1A">
        <w:t>, as modified by the omission of subparagraph 40</w:t>
      </w:r>
      <w:r w:rsidR="00583E1A">
        <w:noBreakHyphen/>
      </w:r>
      <w:r w:rsidRPr="00583E1A">
        <w:t>165(1)(b)(i) of that Act.</w:t>
      </w:r>
    </w:p>
    <w:p w:rsidR="00887330" w:rsidRPr="00583E1A" w:rsidRDefault="00887330" w:rsidP="00887330">
      <w:pPr>
        <w:pStyle w:val="Definition"/>
      </w:pPr>
      <w:r w:rsidRPr="00583E1A">
        <w:rPr>
          <w:b/>
          <w:i/>
        </w:rPr>
        <w:t>funeral policy</w:t>
      </w:r>
      <w:r w:rsidRPr="00583E1A">
        <w:t xml:space="preserve"> means a </w:t>
      </w:r>
      <w:r w:rsidR="00583E1A" w:rsidRPr="00583E1A">
        <w:rPr>
          <w:position w:val="6"/>
          <w:sz w:val="16"/>
        </w:rPr>
        <w:t>*</w:t>
      </w:r>
      <w:r w:rsidRPr="00583E1A">
        <w:t xml:space="preserve">life insurance policy issued by a </w:t>
      </w:r>
      <w:r w:rsidR="00583E1A" w:rsidRPr="00583E1A">
        <w:rPr>
          <w:position w:val="6"/>
          <w:sz w:val="16"/>
        </w:rPr>
        <w:t>*</w:t>
      </w:r>
      <w:r w:rsidRPr="00583E1A">
        <w:t>friendly society for the sole purpose of providing benefits to pay for the funeral of the insured person.</w:t>
      </w:r>
    </w:p>
    <w:p w:rsidR="00130B94" w:rsidRPr="00583E1A" w:rsidRDefault="00130B94" w:rsidP="00130B94">
      <w:pPr>
        <w:pStyle w:val="Definition"/>
      </w:pPr>
      <w:r w:rsidRPr="00583E1A">
        <w:rPr>
          <w:b/>
          <w:bCs/>
          <w:i/>
          <w:iCs/>
        </w:rPr>
        <w:t xml:space="preserve">gainfully employed </w:t>
      </w:r>
      <w:r w:rsidRPr="00583E1A">
        <w:t>means employed or self</w:t>
      </w:r>
      <w:r w:rsidR="00583E1A">
        <w:noBreakHyphen/>
      </w:r>
      <w:r w:rsidRPr="00583E1A">
        <w:t>employed for gain or reward in any business, trade, profession, vocation, calling, occupation or employment.</w:t>
      </w:r>
    </w:p>
    <w:p w:rsidR="00887330" w:rsidRPr="00583E1A" w:rsidRDefault="00887330" w:rsidP="00887330">
      <w:pPr>
        <w:pStyle w:val="Definition"/>
      </w:pPr>
      <w:r w:rsidRPr="00583E1A">
        <w:rPr>
          <w:b/>
          <w:i/>
        </w:rPr>
        <w:t>gaining entity</w:t>
      </w:r>
      <w:r w:rsidRPr="00583E1A">
        <w:t xml:space="preserve"> for an </w:t>
      </w:r>
      <w:r w:rsidR="00583E1A" w:rsidRPr="00583E1A">
        <w:rPr>
          <w:position w:val="6"/>
          <w:sz w:val="16"/>
        </w:rPr>
        <w:t>*</w:t>
      </w:r>
      <w:r w:rsidRPr="00583E1A">
        <w:t>indirect value shift has the meaning given by section</w:t>
      </w:r>
      <w:r w:rsidR="00583E1A">
        <w:t> </w:t>
      </w:r>
      <w:r w:rsidRPr="00583E1A">
        <w:t>727</w:t>
      </w:r>
      <w:r w:rsidR="00583E1A">
        <w:noBreakHyphen/>
      </w:r>
      <w:r w:rsidRPr="00583E1A">
        <w:t>150.</w:t>
      </w:r>
    </w:p>
    <w:p w:rsidR="00887330" w:rsidRPr="00583E1A" w:rsidRDefault="00887330" w:rsidP="00887330">
      <w:pPr>
        <w:pStyle w:val="Definition"/>
      </w:pPr>
      <w:r w:rsidRPr="00583E1A">
        <w:rPr>
          <w:b/>
          <w:i/>
        </w:rPr>
        <w:t>GDP</w:t>
      </w:r>
      <w:r w:rsidR="00583E1A">
        <w:rPr>
          <w:b/>
          <w:i/>
        </w:rPr>
        <w:noBreakHyphen/>
      </w:r>
      <w:r w:rsidRPr="00583E1A">
        <w:rPr>
          <w:b/>
          <w:i/>
        </w:rPr>
        <w:t>adjusted notional tax</w:t>
      </w:r>
      <w:r w:rsidRPr="00583E1A">
        <w:t xml:space="preserve"> has the meaning given by section</w:t>
      </w:r>
      <w:r w:rsidR="00583E1A">
        <w:t> </w:t>
      </w:r>
      <w:r w:rsidRPr="00583E1A">
        <w:t>45</w:t>
      </w:r>
      <w:r w:rsidR="00583E1A">
        <w:noBreakHyphen/>
      </w:r>
      <w:r w:rsidRPr="00583E1A">
        <w:t>405 in Schedule</w:t>
      </w:r>
      <w:r w:rsidR="00583E1A">
        <w:t> </w:t>
      </w:r>
      <w:r w:rsidRPr="00583E1A">
        <w:t xml:space="preserve">1 to the </w:t>
      </w:r>
      <w:r w:rsidRPr="00583E1A">
        <w:rPr>
          <w:i/>
        </w:rPr>
        <w:t>Taxation Administration Act 1953</w:t>
      </w:r>
      <w:r w:rsidRPr="00583E1A">
        <w:t>.</w:t>
      </w:r>
    </w:p>
    <w:p w:rsidR="00887330" w:rsidRPr="00583E1A" w:rsidRDefault="00887330" w:rsidP="00887330">
      <w:pPr>
        <w:pStyle w:val="Definition"/>
      </w:pPr>
      <w:r w:rsidRPr="00583E1A">
        <w:rPr>
          <w:b/>
          <w:i/>
        </w:rPr>
        <w:t>GDP amount</w:t>
      </w:r>
      <w:r w:rsidRPr="00583E1A">
        <w:t xml:space="preserve"> for a </w:t>
      </w:r>
      <w:r w:rsidR="00583E1A" w:rsidRPr="00583E1A">
        <w:rPr>
          <w:position w:val="6"/>
          <w:sz w:val="16"/>
        </w:rPr>
        <w:t>*</w:t>
      </w:r>
      <w:r w:rsidRPr="00583E1A">
        <w:t>quarter has the meaning given by section</w:t>
      </w:r>
      <w:r w:rsidR="00583E1A">
        <w:t> </w:t>
      </w:r>
      <w:r w:rsidRPr="00583E1A">
        <w:t>45</w:t>
      </w:r>
      <w:r w:rsidR="00583E1A">
        <w:noBreakHyphen/>
      </w:r>
      <w:r w:rsidRPr="00583E1A">
        <w:t>405 in Schedule</w:t>
      </w:r>
      <w:r w:rsidR="00583E1A">
        <w:t> </w:t>
      </w:r>
      <w:r w:rsidRPr="00583E1A">
        <w:t xml:space="preserve">1 to the </w:t>
      </w:r>
      <w:r w:rsidRPr="00583E1A">
        <w:rPr>
          <w:i/>
        </w:rPr>
        <w:t>Taxation Administration Act 1953</w:t>
      </w:r>
      <w:r w:rsidRPr="00583E1A">
        <w:t>.</w:t>
      </w:r>
    </w:p>
    <w:p w:rsidR="00887330" w:rsidRPr="00583E1A" w:rsidRDefault="00887330" w:rsidP="00887330">
      <w:pPr>
        <w:pStyle w:val="Definition"/>
      </w:pPr>
      <w:r w:rsidRPr="00583E1A">
        <w:rPr>
          <w:b/>
          <w:i/>
        </w:rPr>
        <w:t>general deduction</w:t>
      </w:r>
      <w:r w:rsidRPr="00583E1A">
        <w:t xml:space="preserve"> has the meaning given by section</w:t>
      </w:r>
      <w:r w:rsidR="00583E1A">
        <w:t> </w:t>
      </w:r>
      <w:r w:rsidRPr="00583E1A">
        <w:t>8</w:t>
      </w:r>
      <w:r w:rsidR="00583E1A">
        <w:noBreakHyphen/>
      </w:r>
      <w:r w:rsidRPr="00583E1A">
        <w:t>1.</w:t>
      </w:r>
    </w:p>
    <w:p w:rsidR="00887330" w:rsidRPr="00583E1A" w:rsidRDefault="00887330" w:rsidP="00887330">
      <w:pPr>
        <w:pStyle w:val="Definition"/>
      </w:pPr>
      <w:r w:rsidRPr="00583E1A">
        <w:rPr>
          <w:b/>
          <w:i/>
        </w:rPr>
        <w:lastRenderedPageBreak/>
        <w:t>general insurance company</w:t>
      </w:r>
      <w:r w:rsidRPr="00583E1A">
        <w:t xml:space="preserve"> means a body corporate that carries on </w:t>
      </w:r>
      <w:r w:rsidR="00583E1A" w:rsidRPr="00583E1A">
        <w:rPr>
          <w:position w:val="6"/>
          <w:sz w:val="16"/>
        </w:rPr>
        <w:t>*</w:t>
      </w:r>
      <w:r w:rsidRPr="00583E1A">
        <w:t>insurance business.</w:t>
      </w:r>
    </w:p>
    <w:p w:rsidR="00887330" w:rsidRPr="00583E1A" w:rsidRDefault="00887330" w:rsidP="00887330">
      <w:pPr>
        <w:pStyle w:val="Definition"/>
      </w:pPr>
      <w:r w:rsidRPr="00583E1A">
        <w:rPr>
          <w:b/>
          <w:i/>
        </w:rPr>
        <w:t>general insurance policy</w:t>
      </w:r>
      <w:r w:rsidRPr="00583E1A">
        <w:t xml:space="preserve"> means a policy of insurance that is not a </w:t>
      </w:r>
      <w:r w:rsidR="00583E1A" w:rsidRPr="00583E1A">
        <w:rPr>
          <w:position w:val="6"/>
          <w:sz w:val="16"/>
        </w:rPr>
        <w:t>*</w:t>
      </w:r>
      <w:r w:rsidRPr="00583E1A">
        <w:t xml:space="preserve">life insurance policy or an </w:t>
      </w:r>
      <w:r w:rsidR="00583E1A" w:rsidRPr="00583E1A">
        <w:rPr>
          <w:position w:val="6"/>
          <w:sz w:val="16"/>
        </w:rPr>
        <w:t>*</w:t>
      </w:r>
      <w:r w:rsidRPr="00583E1A">
        <w:t>annuity instrument.</w:t>
      </w:r>
    </w:p>
    <w:p w:rsidR="00887330" w:rsidRPr="00583E1A" w:rsidRDefault="00887330" w:rsidP="00887330">
      <w:pPr>
        <w:pStyle w:val="Definition"/>
      </w:pPr>
      <w:r w:rsidRPr="00583E1A">
        <w:rPr>
          <w:b/>
          <w:i/>
        </w:rPr>
        <w:t>general interest charge</w:t>
      </w:r>
      <w:r w:rsidRPr="00583E1A">
        <w:t xml:space="preserve"> means the charge worked out under Part</w:t>
      </w:r>
      <w:r w:rsidR="00583E1A">
        <w:t> </w:t>
      </w:r>
      <w:r w:rsidRPr="00583E1A">
        <w:t xml:space="preserve">IIA of the </w:t>
      </w:r>
      <w:r w:rsidRPr="00583E1A">
        <w:rPr>
          <w:i/>
        </w:rPr>
        <w:t>Taxation Administration Act 1953</w:t>
      </w:r>
      <w:r w:rsidRPr="00583E1A">
        <w:t>.</w:t>
      </w:r>
    </w:p>
    <w:p w:rsidR="00887330" w:rsidRPr="00583E1A" w:rsidRDefault="00887330" w:rsidP="00887330">
      <w:pPr>
        <w:pStyle w:val="Definition"/>
      </w:pPr>
      <w:r w:rsidRPr="00583E1A">
        <w:rPr>
          <w:b/>
          <w:i/>
        </w:rPr>
        <w:t xml:space="preserve">general partner </w:t>
      </w:r>
      <w:r w:rsidRPr="00583E1A">
        <w:t xml:space="preserve">means a partner of a </w:t>
      </w:r>
      <w:r w:rsidR="00583E1A" w:rsidRPr="00583E1A">
        <w:rPr>
          <w:position w:val="6"/>
          <w:sz w:val="16"/>
        </w:rPr>
        <w:t>*</w:t>
      </w:r>
      <w:r w:rsidRPr="00583E1A">
        <w:t>limited partnership whose liability in relation to the partnership is not limited.</w:t>
      </w:r>
    </w:p>
    <w:p w:rsidR="00F973F5" w:rsidRPr="00583E1A" w:rsidRDefault="00F973F5" w:rsidP="00F973F5">
      <w:pPr>
        <w:pStyle w:val="Definition"/>
      </w:pPr>
      <w:r w:rsidRPr="00583E1A">
        <w:rPr>
          <w:b/>
          <w:i/>
        </w:rPr>
        <w:t>general small business pool</w:t>
      </w:r>
      <w:r w:rsidRPr="00583E1A">
        <w:t xml:space="preserve"> has the meaning given by section</w:t>
      </w:r>
      <w:r w:rsidR="00583E1A">
        <w:t> </w:t>
      </w:r>
      <w:r w:rsidRPr="00583E1A">
        <w:t>328</w:t>
      </w:r>
      <w:r w:rsidR="00583E1A">
        <w:noBreakHyphen/>
      </w:r>
      <w:r w:rsidRPr="00583E1A">
        <w:t>185.</w:t>
      </w:r>
    </w:p>
    <w:p w:rsidR="00130B94" w:rsidRPr="00583E1A" w:rsidRDefault="00130B94" w:rsidP="00130B94">
      <w:pPr>
        <w:pStyle w:val="Definition"/>
      </w:pPr>
      <w:r w:rsidRPr="00583E1A">
        <w:rPr>
          <w:b/>
          <w:i/>
        </w:rPr>
        <w:t xml:space="preserve">genuine redundancy payment </w:t>
      </w:r>
      <w:r w:rsidRPr="00583E1A">
        <w:t>has the meaning given by section</w:t>
      </w:r>
      <w:r w:rsidR="00583E1A">
        <w:t> </w:t>
      </w:r>
      <w:r w:rsidRPr="00583E1A">
        <w:t>83</w:t>
      </w:r>
      <w:r w:rsidR="00583E1A">
        <w:noBreakHyphen/>
      </w:r>
      <w:r w:rsidRPr="00583E1A">
        <w:t>175.</w:t>
      </w:r>
    </w:p>
    <w:p w:rsidR="00887330" w:rsidRPr="00583E1A" w:rsidRDefault="00887330" w:rsidP="00887330">
      <w:pPr>
        <w:pStyle w:val="Definition"/>
      </w:pPr>
      <w:r w:rsidRPr="00583E1A">
        <w:rPr>
          <w:b/>
          <w:i/>
        </w:rPr>
        <w:t>global GST amount</w:t>
      </w:r>
      <w:r w:rsidRPr="00583E1A">
        <w:t xml:space="preserve"> has the meaning given by section</w:t>
      </w:r>
      <w:r w:rsidR="00583E1A">
        <w:t> </w:t>
      </w:r>
      <w:r w:rsidRPr="00583E1A">
        <w:t>195</w:t>
      </w:r>
      <w:r w:rsidR="00583E1A">
        <w:noBreakHyphen/>
      </w:r>
      <w:r w:rsidRPr="00583E1A">
        <w:t xml:space="preserve">1 of the </w:t>
      </w:r>
      <w:r w:rsidR="00583E1A" w:rsidRPr="00583E1A">
        <w:rPr>
          <w:position w:val="6"/>
          <w:sz w:val="16"/>
        </w:rPr>
        <w:t>*</w:t>
      </w:r>
      <w:r w:rsidRPr="00583E1A">
        <w:t>GST Act.</w:t>
      </w:r>
    </w:p>
    <w:p w:rsidR="00887330" w:rsidRPr="00583E1A" w:rsidRDefault="00887330" w:rsidP="00887330">
      <w:pPr>
        <w:pStyle w:val="Definition"/>
      </w:pPr>
      <w:r w:rsidRPr="00583E1A">
        <w:rPr>
          <w:b/>
          <w:i/>
        </w:rPr>
        <w:t>global method</w:t>
      </w:r>
      <w:r w:rsidRPr="00583E1A">
        <w:t>:</w:t>
      </w:r>
    </w:p>
    <w:p w:rsidR="00887330" w:rsidRPr="00583E1A" w:rsidRDefault="00887330" w:rsidP="00887330">
      <w:pPr>
        <w:pStyle w:val="paragraph"/>
      </w:pPr>
      <w:r w:rsidRPr="00583E1A">
        <w:tab/>
        <w:t>(a)</w:t>
      </w:r>
      <w:r w:rsidRPr="00583E1A">
        <w:tab/>
        <w:t>of working out whether a company has an unrealised net loss at a particular time, has the meaning given by section</w:t>
      </w:r>
      <w:r w:rsidR="00583E1A">
        <w:t> </w:t>
      </w:r>
      <w:r w:rsidRPr="00583E1A">
        <w:t>165</w:t>
      </w:r>
      <w:r w:rsidR="00583E1A">
        <w:noBreakHyphen/>
      </w:r>
      <w:r w:rsidRPr="00583E1A">
        <w:t>115E; and</w:t>
      </w:r>
    </w:p>
    <w:p w:rsidR="00887330" w:rsidRPr="00583E1A" w:rsidRDefault="00887330" w:rsidP="00887330">
      <w:pPr>
        <w:pStyle w:val="paragraph"/>
      </w:pPr>
      <w:r w:rsidRPr="00583E1A">
        <w:tab/>
        <w:t>(b)</w:t>
      </w:r>
      <w:r w:rsidRPr="00583E1A">
        <w:tab/>
        <w:t>of working out whether a company has an adjusted unrealised loss at a particular time, has the meaning given by section</w:t>
      </w:r>
      <w:r w:rsidR="00583E1A">
        <w:t> </w:t>
      </w:r>
      <w:r w:rsidRPr="00583E1A">
        <w:t>165</w:t>
      </w:r>
      <w:r w:rsidR="00583E1A">
        <w:noBreakHyphen/>
      </w:r>
      <w:r w:rsidRPr="00583E1A">
        <w:t>115U.</w:t>
      </w:r>
    </w:p>
    <w:p w:rsidR="00887330" w:rsidRPr="00583E1A" w:rsidRDefault="00887330" w:rsidP="00887330">
      <w:pPr>
        <w:pStyle w:val="Definition"/>
      </w:pPr>
      <w:r w:rsidRPr="00583E1A">
        <w:rPr>
          <w:b/>
          <w:i/>
        </w:rPr>
        <w:t>goes for at least 4 hours</w:t>
      </w:r>
      <w:r w:rsidRPr="00583E1A">
        <w:t xml:space="preserve">, in relation to a </w:t>
      </w:r>
      <w:r w:rsidR="00583E1A" w:rsidRPr="00583E1A">
        <w:rPr>
          <w:position w:val="6"/>
          <w:sz w:val="16"/>
        </w:rPr>
        <w:t>*</w:t>
      </w:r>
      <w:r w:rsidRPr="00583E1A">
        <w:t>seminar, has the meaning given by subsection 32</w:t>
      </w:r>
      <w:r w:rsidR="00583E1A">
        <w:noBreakHyphen/>
      </w:r>
      <w:r w:rsidRPr="00583E1A">
        <w:t>65(2).</w:t>
      </w:r>
    </w:p>
    <w:p w:rsidR="00887330" w:rsidRPr="00583E1A" w:rsidRDefault="00887330" w:rsidP="00887330">
      <w:pPr>
        <w:pStyle w:val="Definition"/>
      </w:pPr>
      <w:r w:rsidRPr="00583E1A">
        <w:rPr>
          <w:b/>
          <w:i/>
        </w:rPr>
        <w:t>government entity</w:t>
      </w:r>
      <w:r w:rsidRPr="00583E1A">
        <w:t xml:space="preserve"> has the meaning given by section</w:t>
      </w:r>
      <w:r w:rsidR="00583E1A">
        <w:t> </w:t>
      </w:r>
      <w:r w:rsidRPr="00583E1A">
        <w:t xml:space="preserve">41 of the </w:t>
      </w:r>
      <w:r w:rsidRPr="00583E1A">
        <w:rPr>
          <w:i/>
        </w:rPr>
        <w:t>A New Tax System (Australian Business Number) Act 1999</w:t>
      </w:r>
      <w:r w:rsidRPr="00583E1A">
        <w:t>.</w:t>
      </w:r>
    </w:p>
    <w:p w:rsidR="003D0418" w:rsidRPr="00583E1A" w:rsidRDefault="003D0418" w:rsidP="003D0418">
      <w:pPr>
        <w:pStyle w:val="Definition"/>
      </w:pPr>
      <w:r w:rsidRPr="00583E1A">
        <w:rPr>
          <w:b/>
          <w:i/>
        </w:rPr>
        <w:t xml:space="preserve">Government FHSA contribution </w:t>
      </w:r>
      <w:r w:rsidRPr="00583E1A">
        <w:t xml:space="preserve">has the meaning given by the </w:t>
      </w:r>
      <w:r w:rsidRPr="00583E1A">
        <w:rPr>
          <w:i/>
        </w:rPr>
        <w:t>First Home Saver Accounts Act 2008</w:t>
      </w:r>
      <w:r w:rsidRPr="00583E1A">
        <w:t>.</w:t>
      </w:r>
    </w:p>
    <w:p w:rsidR="00887330" w:rsidRPr="00583E1A" w:rsidRDefault="00887330" w:rsidP="00887330">
      <w:pPr>
        <w:pStyle w:val="Definition"/>
      </w:pPr>
      <w:r w:rsidRPr="00583E1A">
        <w:rPr>
          <w:b/>
          <w:i/>
        </w:rPr>
        <w:t>greater</w:t>
      </w:r>
      <w:r w:rsidRPr="00583E1A">
        <w:t xml:space="preserve"> </w:t>
      </w:r>
      <w:r w:rsidRPr="00583E1A">
        <w:rPr>
          <w:b/>
          <w:i/>
        </w:rPr>
        <w:t>benefit from franking credits</w:t>
      </w:r>
      <w:r w:rsidRPr="00583E1A">
        <w:t xml:space="preserve"> has a meaning affected by subsections 204</w:t>
      </w:r>
      <w:r w:rsidR="00583E1A">
        <w:noBreakHyphen/>
      </w:r>
      <w:r w:rsidRPr="00583E1A">
        <w:t>30(7) and (8).</w:t>
      </w:r>
    </w:p>
    <w:p w:rsidR="00887330" w:rsidRPr="00583E1A" w:rsidRDefault="00887330" w:rsidP="00C664E8">
      <w:pPr>
        <w:pStyle w:val="Definition"/>
        <w:keepNext/>
      </w:pPr>
      <w:r w:rsidRPr="00583E1A">
        <w:rPr>
          <w:b/>
          <w:i/>
        </w:rPr>
        <w:lastRenderedPageBreak/>
        <w:t>greater benefits</w:t>
      </w:r>
      <w:r w:rsidRPr="00583E1A">
        <w:t>:</w:t>
      </w:r>
    </w:p>
    <w:p w:rsidR="00887330" w:rsidRPr="00583E1A" w:rsidRDefault="00887330" w:rsidP="00887330">
      <w:pPr>
        <w:pStyle w:val="paragraph"/>
      </w:pPr>
      <w:r w:rsidRPr="00583E1A">
        <w:tab/>
        <w:t>(a)</w:t>
      </w:r>
      <w:r w:rsidRPr="00583E1A">
        <w:tab/>
        <w:t xml:space="preserve">under an </w:t>
      </w:r>
      <w:r w:rsidR="00583E1A" w:rsidRPr="00583E1A">
        <w:rPr>
          <w:position w:val="6"/>
          <w:sz w:val="16"/>
        </w:rPr>
        <w:t>*</w:t>
      </w:r>
      <w:r w:rsidRPr="00583E1A">
        <w:t>indirect value shift, has the meaning given by subsection 727</w:t>
      </w:r>
      <w:r w:rsidR="00583E1A">
        <w:noBreakHyphen/>
      </w:r>
      <w:r w:rsidRPr="00583E1A">
        <w:t>150(3); and</w:t>
      </w:r>
    </w:p>
    <w:p w:rsidR="00887330" w:rsidRPr="00583E1A" w:rsidRDefault="00887330" w:rsidP="00887330">
      <w:pPr>
        <w:pStyle w:val="paragraph"/>
      </w:pPr>
      <w:r w:rsidRPr="00583E1A">
        <w:tab/>
        <w:t>(b)</w:t>
      </w:r>
      <w:r w:rsidRPr="00583E1A">
        <w:tab/>
        <w:t xml:space="preserve">under a </w:t>
      </w:r>
      <w:r w:rsidR="00583E1A" w:rsidRPr="00583E1A">
        <w:rPr>
          <w:position w:val="6"/>
          <w:sz w:val="16"/>
        </w:rPr>
        <w:t>*</w:t>
      </w:r>
      <w:r w:rsidRPr="00583E1A">
        <w:t>presumed indirect value shift, has the meaning given by subsection 727</w:t>
      </w:r>
      <w:r w:rsidR="00583E1A">
        <w:noBreakHyphen/>
      </w:r>
      <w:r w:rsidRPr="00583E1A">
        <w:t>855(1).</w:t>
      </w:r>
    </w:p>
    <w:p w:rsidR="00887330" w:rsidRPr="00583E1A" w:rsidRDefault="00887330" w:rsidP="00887330">
      <w:pPr>
        <w:pStyle w:val="Definition"/>
      </w:pPr>
      <w:r w:rsidRPr="00583E1A">
        <w:rPr>
          <w:b/>
          <w:i/>
        </w:rPr>
        <w:t>gross averaging amount</w:t>
      </w:r>
      <w:r w:rsidRPr="00583E1A">
        <w:t xml:space="preserve"> has the meaning given by section</w:t>
      </w:r>
      <w:r w:rsidR="00583E1A">
        <w:t> </w:t>
      </w:r>
      <w:r w:rsidRPr="00583E1A">
        <w:t>392</w:t>
      </w:r>
      <w:r w:rsidR="00583E1A">
        <w:noBreakHyphen/>
      </w:r>
      <w:r w:rsidRPr="00583E1A">
        <w:t>70.</w:t>
      </w:r>
    </w:p>
    <w:p w:rsidR="00DE2BD2" w:rsidRPr="00214FF7" w:rsidRDefault="00DE2BD2" w:rsidP="00DE2BD2">
      <w:pPr>
        <w:pStyle w:val="Definition"/>
      </w:pPr>
      <w:r w:rsidRPr="00214FF7">
        <w:rPr>
          <w:b/>
          <w:i/>
        </w:rPr>
        <w:t>gross forgiven amount</w:t>
      </w:r>
      <w:r w:rsidRPr="00214FF7">
        <w:t xml:space="preserve"> has the meaning given by section 245</w:t>
      </w:r>
      <w:r w:rsidRPr="00214FF7">
        <w:noBreakHyphen/>
        <w:t>75.</w:t>
      </w:r>
    </w:p>
    <w:p w:rsidR="00887330" w:rsidRPr="00583E1A" w:rsidRDefault="00887330" w:rsidP="008F1666">
      <w:pPr>
        <w:pStyle w:val="Definition"/>
        <w:keepNext/>
        <w:keepLines/>
      </w:pPr>
      <w:r w:rsidRPr="00583E1A">
        <w:rPr>
          <w:b/>
          <w:i/>
        </w:rPr>
        <w:t>gross vehicle mass</w:t>
      </w:r>
      <w:r w:rsidRPr="00583E1A">
        <w:t xml:space="preserve"> of a vehicle means:</w:t>
      </w:r>
    </w:p>
    <w:p w:rsidR="00887330" w:rsidRPr="00583E1A" w:rsidRDefault="00887330" w:rsidP="008F1666">
      <w:pPr>
        <w:pStyle w:val="paragraph"/>
        <w:keepNext/>
        <w:keepLines/>
      </w:pPr>
      <w:r w:rsidRPr="00583E1A">
        <w:tab/>
        <w:t>(a)</w:t>
      </w:r>
      <w:r w:rsidRPr="00583E1A">
        <w:tab/>
        <w:t>the road weight specified by the manufacturer of the vehicle as the maximum design weight capacity of the vehicle; or</w:t>
      </w:r>
    </w:p>
    <w:p w:rsidR="00887330" w:rsidRPr="00583E1A" w:rsidRDefault="00887330" w:rsidP="00887330">
      <w:pPr>
        <w:pStyle w:val="paragraph"/>
      </w:pPr>
      <w:r w:rsidRPr="00583E1A">
        <w:tab/>
        <w:t>(b)</w:t>
      </w:r>
      <w:r w:rsidRPr="00583E1A">
        <w:tab/>
        <w:t>in the absence of such a specification, the sum of:</w:t>
      </w:r>
    </w:p>
    <w:p w:rsidR="00887330" w:rsidRPr="00583E1A" w:rsidRDefault="00887330" w:rsidP="00887330">
      <w:pPr>
        <w:pStyle w:val="paragraphsub"/>
      </w:pPr>
      <w:r w:rsidRPr="00583E1A">
        <w:tab/>
        <w:t>(i)</w:t>
      </w:r>
      <w:r w:rsidRPr="00583E1A">
        <w:tab/>
        <w:t>the weight of the vehicle; and</w:t>
      </w:r>
    </w:p>
    <w:p w:rsidR="00887330" w:rsidRPr="00583E1A" w:rsidRDefault="00887330" w:rsidP="00887330">
      <w:pPr>
        <w:pStyle w:val="paragraphsub"/>
      </w:pPr>
      <w:r w:rsidRPr="00583E1A">
        <w:tab/>
        <w:t>(ii)</w:t>
      </w:r>
      <w:r w:rsidRPr="00583E1A">
        <w:tab/>
        <w:t>the weight of the maximum load for which the vehicle was designed (including the weight of the driver and a full tank of fuel, if applicable).</w:t>
      </w:r>
    </w:p>
    <w:p w:rsidR="00887330" w:rsidRPr="00583E1A" w:rsidRDefault="00887330" w:rsidP="00887330">
      <w:pPr>
        <w:pStyle w:val="Definition"/>
        <w:rPr>
          <w:b/>
          <w:i/>
        </w:rPr>
      </w:pPr>
      <w:r w:rsidRPr="00583E1A">
        <w:rPr>
          <w:b/>
          <w:i/>
        </w:rPr>
        <w:t>group heading</w:t>
      </w:r>
      <w:r w:rsidRPr="00583E1A">
        <w:t xml:space="preserve"> has the meaning given by section</w:t>
      </w:r>
      <w:r w:rsidR="00583E1A">
        <w:t> </w:t>
      </w:r>
      <w:r w:rsidRPr="00583E1A">
        <w:t>950</w:t>
      </w:r>
      <w:r w:rsidR="00583E1A">
        <w:noBreakHyphen/>
      </w:r>
      <w:r w:rsidRPr="00583E1A">
        <w:t>100.</w:t>
      </w:r>
    </w:p>
    <w:p w:rsidR="00887330" w:rsidRPr="00583E1A" w:rsidRDefault="00887330" w:rsidP="00887330">
      <w:pPr>
        <w:pStyle w:val="Definition"/>
      </w:pPr>
      <w:r w:rsidRPr="00583E1A">
        <w:rPr>
          <w:b/>
          <w:i/>
        </w:rPr>
        <w:t>GST</w:t>
      </w:r>
      <w:r w:rsidRPr="00583E1A">
        <w:t xml:space="preserve"> has the meaning given by section</w:t>
      </w:r>
      <w:r w:rsidR="00583E1A">
        <w:t> </w:t>
      </w:r>
      <w:r w:rsidRPr="00583E1A">
        <w:t>195</w:t>
      </w:r>
      <w:r w:rsidR="00583E1A">
        <w:noBreakHyphen/>
      </w:r>
      <w:r w:rsidRPr="00583E1A">
        <w:t xml:space="preserve">1 of the </w:t>
      </w:r>
      <w:r w:rsidR="00583E1A" w:rsidRPr="00583E1A">
        <w:rPr>
          <w:position w:val="6"/>
          <w:sz w:val="16"/>
        </w:rPr>
        <w:t>*</w:t>
      </w:r>
      <w:r w:rsidRPr="00583E1A">
        <w:t>GST Act.</w:t>
      </w:r>
    </w:p>
    <w:p w:rsidR="00887330" w:rsidRPr="00583E1A" w:rsidRDefault="00887330" w:rsidP="00887330">
      <w:pPr>
        <w:pStyle w:val="Definition"/>
        <w:rPr>
          <w:i/>
        </w:rPr>
      </w:pPr>
      <w:r w:rsidRPr="00583E1A">
        <w:rPr>
          <w:b/>
          <w:i/>
        </w:rPr>
        <w:t>GST Act</w:t>
      </w:r>
      <w:r w:rsidRPr="00583E1A">
        <w:t xml:space="preserve"> means the </w:t>
      </w:r>
      <w:r w:rsidRPr="00583E1A">
        <w:rPr>
          <w:i/>
        </w:rPr>
        <w:t>A New Tax System (Goods and Services Tax) Act 1999.</w:t>
      </w:r>
    </w:p>
    <w:p w:rsidR="00887330" w:rsidRPr="00583E1A" w:rsidRDefault="00887330" w:rsidP="00887330">
      <w:pPr>
        <w:pStyle w:val="Definition"/>
      </w:pPr>
      <w:r w:rsidRPr="00583E1A">
        <w:rPr>
          <w:b/>
          <w:i/>
        </w:rPr>
        <w:t>GST</w:t>
      </w:r>
      <w:r w:rsidR="00583E1A">
        <w:rPr>
          <w:b/>
          <w:i/>
        </w:rPr>
        <w:noBreakHyphen/>
      </w:r>
      <w:r w:rsidRPr="00583E1A">
        <w:rPr>
          <w:b/>
          <w:i/>
        </w:rPr>
        <w:t>free</w:t>
      </w:r>
      <w:r w:rsidRPr="00583E1A">
        <w:t xml:space="preserve"> has the meaning given by section</w:t>
      </w:r>
      <w:r w:rsidR="00583E1A">
        <w:t> </w:t>
      </w:r>
      <w:r w:rsidRPr="00583E1A">
        <w:t>195</w:t>
      </w:r>
      <w:r w:rsidR="00583E1A">
        <w:noBreakHyphen/>
      </w:r>
      <w:r w:rsidRPr="00583E1A">
        <w:t xml:space="preserve">1 of the </w:t>
      </w:r>
      <w:r w:rsidR="00583E1A" w:rsidRPr="00583E1A">
        <w:rPr>
          <w:position w:val="6"/>
          <w:sz w:val="16"/>
        </w:rPr>
        <w:t>*</w:t>
      </w:r>
      <w:r w:rsidRPr="00583E1A">
        <w:t>GST Act.</w:t>
      </w:r>
    </w:p>
    <w:p w:rsidR="00887330" w:rsidRPr="00583E1A" w:rsidRDefault="00887330" w:rsidP="00887330">
      <w:pPr>
        <w:pStyle w:val="Definition"/>
      </w:pPr>
      <w:r w:rsidRPr="00583E1A">
        <w:rPr>
          <w:b/>
          <w:i/>
        </w:rPr>
        <w:t>GST group</w:t>
      </w:r>
      <w:r w:rsidRPr="00583E1A">
        <w:t xml:space="preserve"> has the meaning given by section</w:t>
      </w:r>
      <w:r w:rsidR="00583E1A">
        <w:t> </w:t>
      </w:r>
      <w:r w:rsidRPr="00583E1A">
        <w:t>195</w:t>
      </w:r>
      <w:r w:rsidR="00583E1A">
        <w:noBreakHyphen/>
      </w:r>
      <w:r w:rsidRPr="00583E1A">
        <w:t xml:space="preserve">1 of the </w:t>
      </w:r>
      <w:r w:rsidR="00583E1A" w:rsidRPr="00583E1A">
        <w:rPr>
          <w:position w:val="6"/>
          <w:sz w:val="16"/>
        </w:rPr>
        <w:t>*</w:t>
      </w:r>
      <w:r w:rsidRPr="00583E1A">
        <w:t>GST Act.</w:t>
      </w:r>
    </w:p>
    <w:p w:rsidR="00887330" w:rsidRPr="00583E1A" w:rsidRDefault="00887330" w:rsidP="00887330">
      <w:pPr>
        <w:pStyle w:val="Definition"/>
      </w:pPr>
      <w:r w:rsidRPr="00583E1A">
        <w:rPr>
          <w:b/>
          <w:i/>
        </w:rPr>
        <w:t>GST inclusive market value</w:t>
      </w:r>
      <w:r w:rsidRPr="00583E1A">
        <w:t xml:space="preserve"> has the meaning given by section</w:t>
      </w:r>
      <w:r w:rsidR="00583E1A">
        <w:t> </w:t>
      </w:r>
      <w:r w:rsidRPr="00583E1A">
        <w:t>195</w:t>
      </w:r>
      <w:r w:rsidR="00583E1A">
        <w:noBreakHyphen/>
      </w:r>
      <w:r w:rsidRPr="00583E1A">
        <w:t xml:space="preserve">1 of the </w:t>
      </w:r>
      <w:r w:rsidR="00583E1A" w:rsidRPr="00583E1A">
        <w:rPr>
          <w:position w:val="6"/>
          <w:sz w:val="16"/>
        </w:rPr>
        <w:t>*</w:t>
      </w:r>
      <w:r w:rsidRPr="00583E1A">
        <w:t>GST Act.</w:t>
      </w:r>
    </w:p>
    <w:p w:rsidR="00887330" w:rsidRPr="00583E1A" w:rsidRDefault="00887330" w:rsidP="00887330">
      <w:pPr>
        <w:pStyle w:val="Definition"/>
      </w:pPr>
      <w:r w:rsidRPr="00583E1A">
        <w:rPr>
          <w:b/>
          <w:i/>
        </w:rPr>
        <w:t xml:space="preserve">GST joint venture </w:t>
      </w:r>
      <w:r w:rsidRPr="00583E1A">
        <w:t>has the meaning given by section</w:t>
      </w:r>
      <w:r w:rsidR="00583E1A">
        <w:t> </w:t>
      </w:r>
      <w:r w:rsidRPr="00583E1A">
        <w:t>51</w:t>
      </w:r>
      <w:r w:rsidR="00583E1A">
        <w:noBreakHyphen/>
      </w:r>
      <w:r w:rsidRPr="00583E1A">
        <w:t xml:space="preserve">5 of the </w:t>
      </w:r>
      <w:r w:rsidR="00583E1A" w:rsidRPr="00583E1A">
        <w:rPr>
          <w:position w:val="6"/>
          <w:sz w:val="16"/>
        </w:rPr>
        <w:t>*</w:t>
      </w:r>
      <w:r w:rsidRPr="00583E1A">
        <w:t xml:space="preserve">GST Act. </w:t>
      </w:r>
    </w:p>
    <w:p w:rsidR="00887330" w:rsidRPr="00583E1A" w:rsidRDefault="00887330" w:rsidP="00887330">
      <w:pPr>
        <w:pStyle w:val="Definition"/>
      </w:pPr>
      <w:r w:rsidRPr="00583E1A">
        <w:rPr>
          <w:b/>
          <w:i/>
        </w:rPr>
        <w:t>GST law</w:t>
      </w:r>
      <w:r w:rsidRPr="00583E1A">
        <w:t xml:space="preserve"> has the meaning given by section</w:t>
      </w:r>
      <w:r w:rsidR="00583E1A">
        <w:t> </w:t>
      </w:r>
      <w:r w:rsidRPr="00583E1A">
        <w:t>195</w:t>
      </w:r>
      <w:r w:rsidR="00583E1A">
        <w:noBreakHyphen/>
      </w:r>
      <w:r w:rsidRPr="00583E1A">
        <w:t xml:space="preserve">1 of the </w:t>
      </w:r>
      <w:r w:rsidR="00583E1A" w:rsidRPr="00583E1A">
        <w:rPr>
          <w:position w:val="6"/>
          <w:sz w:val="16"/>
        </w:rPr>
        <w:t>*</w:t>
      </w:r>
      <w:r w:rsidRPr="00583E1A">
        <w:t>GST Act.</w:t>
      </w:r>
    </w:p>
    <w:p w:rsidR="00887330" w:rsidRPr="00583E1A" w:rsidRDefault="00887330" w:rsidP="00887330">
      <w:pPr>
        <w:pStyle w:val="Definition"/>
      </w:pPr>
      <w:r w:rsidRPr="00583E1A">
        <w:rPr>
          <w:b/>
          <w:i/>
        </w:rPr>
        <w:t>GST return</w:t>
      </w:r>
      <w:r w:rsidRPr="00583E1A">
        <w:rPr>
          <w:i/>
        </w:rPr>
        <w:t xml:space="preserve"> </w:t>
      </w:r>
      <w:r w:rsidRPr="00583E1A">
        <w:t>has the same meaning as in section</w:t>
      </w:r>
      <w:r w:rsidR="00583E1A">
        <w:t> </w:t>
      </w:r>
      <w:r w:rsidRPr="00583E1A">
        <w:t>195</w:t>
      </w:r>
      <w:r w:rsidR="00583E1A">
        <w:noBreakHyphen/>
      </w:r>
      <w:r w:rsidRPr="00583E1A">
        <w:t xml:space="preserve">1 of the </w:t>
      </w:r>
      <w:r w:rsidR="00583E1A" w:rsidRPr="00583E1A">
        <w:rPr>
          <w:position w:val="6"/>
          <w:sz w:val="16"/>
        </w:rPr>
        <w:t>*</w:t>
      </w:r>
      <w:r w:rsidRPr="00583E1A">
        <w:t>GST Act.</w:t>
      </w:r>
    </w:p>
    <w:p w:rsidR="00467773" w:rsidRPr="00583E1A" w:rsidRDefault="00467773" w:rsidP="00467773">
      <w:pPr>
        <w:pStyle w:val="Definition"/>
      </w:pPr>
      <w:r w:rsidRPr="00583E1A">
        <w:rPr>
          <w:b/>
          <w:i/>
        </w:rPr>
        <w:lastRenderedPageBreak/>
        <w:t>GST turnover</w:t>
      </w:r>
      <w:r w:rsidRPr="00583E1A">
        <w:t xml:space="preserve"> has the meaning given by section</w:t>
      </w:r>
      <w:r w:rsidR="00583E1A">
        <w:t> </w:t>
      </w:r>
      <w:r w:rsidRPr="00583E1A">
        <w:t>195</w:t>
      </w:r>
      <w:r w:rsidR="00583E1A">
        <w:noBreakHyphen/>
      </w:r>
      <w:r w:rsidRPr="00583E1A">
        <w:t xml:space="preserve">1 of the </w:t>
      </w:r>
      <w:r w:rsidR="00583E1A" w:rsidRPr="00583E1A">
        <w:rPr>
          <w:position w:val="6"/>
          <w:sz w:val="16"/>
        </w:rPr>
        <w:t>*</w:t>
      </w:r>
      <w:r w:rsidRPr="00583E1A">
        <w:t>GST Act.</w:t>
      </w:r>
    </w:p>
    <w:p w:rsidR="004C65C2" w:rsidRPr="00583E1A" w:rsidRDefault="004C65C2" w:rsidP="004C65C2">
      <w:pPr>
        <w:pStyle w:val="Definition"/>
      </w:pPr>
      <w:r w:rsidRPr="00583E1A">
        <w:rPr>
          <w:b/>
          <w:i/>
        </w:rPr>
        <w:t>guaranteed residual value</w:t>
      </w:r>
      <w:r w:rsidRPr="00583E1A">
        <w:t xml:space="preserve"> for an asset that is put to a tax preferred use has the meaning given by subsection 250</w:t>
      </w:r>
      <w:r w:rsidR="00583E1A">
        <w:noBreakHyphen/>
      </w:r>
      <w:r w:rsidRPr="00583E1A">
        <w:t>85(3).</w:t>
      </w:r>
    </w:p>
    <w:p w:rsidR="00887330" w:rsidRPr="00583E1A" w:rsidRDefault="00887330" w:rsidP="00887330">
      <w:pPr>
        <w:pStyle w:val="Definition"/>
      </w:pPr>
      <w:r w:rsidRPr="00583E1A">
        <w:rPr>
          <w:b/>
          <w:i/>
        </w:rPr>
        <w:t>guarantee period</w:t>
      </w:r>
      <w:r w:rsidRPr="00583E1A">
        <w:t xml:space="preserve">, for an annuity provided under a </w:t>
      </w:r>
      <w:r w:rsidR="00583E1A" w:rsidRPr="00583E1A">
        <w:rPr>
          <w:position w:val="6"/>
          <w:sz w:val="16"/>
        </w:rPr>
        <w:t>*</w:t>
      </w:r>
      <w:r w:rsidRPr="00583E1A">
        <w:t xml:space="preserve">structured settlement or a </w:t>
      </w:r>
      <w:r w:rsidR="00583E1A" w:rsidRPr="00583E1A">
        <w:rPr>
          <w:position w:val="6"/>
          <w:sz w:val="16"/>
        </w:rPr>
        <w:t>*</w:t>
      </w:r>
      <w:r w:rsidRPr="00583E1A">
        <w:t>structured order, has the meaning given by subsection 54</w:t>
      </w:r>
      <w:r w:rsidR="00583E1A">
        <w:noBreakHyphen/>
      </w:r>
      <w:r w:rsidRPr="00583E1A">
        <w:t>35(2).</w:t>
      </w:r>
    </w:p>
    <w:p w:rsidR="00887330" w:rsidRPr="00583E1A" w:rsidRDefault="00887330" w:rsidP="008F1666">
      <w:pPr>
        <w:pStyle w:val="Definition"/>
        <w:keepNext/>
        <w:keepLines/>
      </w:pPr>
      <w:r w:rsidRPr="00583E1A">
        <w:rPr>
          <w:b/>
          <w:i/>
        </w:rPr>
        <w:t>Guide</w:t>
      </w:r>
      <w:r w:rsidRPr="00583E1A">
        <w:t xml:space="preserve"> has the meaning given by section</w:t>
      </w:r>
      <w:r w:rsidR="00583E1A">
        <w:t> </w:t>
      </w:r>
      <w:r w:rsidRPr="00583E1A">
        <w:t>950</w:t>
      </w:r>
      <w:r w:rsidR="00583E1A">
        <w:noBreakHyphen/>
      </w:r>
      <w:r w:rsidRPr="00583E1A">
        <w:t>150.</w:t>
      </w:r>
    </w:p>
    <w:p w:rsidR="00887330" w:rsidRPr="00583E1A" w:rsidRDefault="00887330" w:rsidP="00887330">
      <w:pPr>
        <w:pStyle w:val="Definition"/>
      </w:pPr>
      <w:r w:rsidRPr="00583E1A">
        <w:rPr>
          <w:b/>
          <w:i/>
        </w:rPr>
        <w:t>harm prevention charity</w:t>
      </w:r>
      <w:r w:rsidRPr="00583E1A">
        <w:t xml:space="preserve"> has the meaning given by section</w:t>
      </w:r>
      <w:r w:rsidR="00583E1A">
        <w:t> </w:t>
      </w:r>
      <w:r w:rsidRPr="00583E1A">
        <w:t>30</w:t>
      </w:r>
      <w:r w:rsidR="00583E1A">
        <w:noBreakHyphen/>
      </w:r>
      <w:r w:rsidRPr="00583E1A">
        <w:t>288.</w:t>
      </w:r>
    </w:p>
    <w:p w:rsidR="00887330" w:rsidRPr="00583E1A" w:rsidRDefault="00887330" w:rsidP="00887330">
      <w:pPr>
        <w:pStyle w:val="Definition"/>
      </w:pPr>
      <w:r w:rsidRPr="00583E1A">
        <w:rPr>
          <w:b/>
          <w:i/>
        </w:rPr>
        <w:t>head company</w:t>
      </w:r>
      <w:r w:rsidRPr="00583E1A">
        <w:t>:</w:t>
      </w:r>
    </w:p>
    <w:p w:rsidR="00887330" w:rsidRPr="00583E1A" w:rsidRDefault="00887330" w:rsidP="00887330">
      <w:pPr>
        <w:pStyle w:val="paragraph"/>
      </w:pPr>
      <w:r w:rsidRPr="00583E1A">
        <w:tab/>
        <w:t>(a)</w:t>
      </w:r>
      <w:r w:rsidRPr="00583E1A">
        <w:tab/>
        <w:t xml:space="preserve">in relation to a </w:t>
      </w:r>
      <w:r w:rsidR="00583E1A" w:rsidRPr="00583E1A">
        <w:rPr>
          <w:position w:val="6"/>
          <w:sz w:val="16"/>
        </w:rPr>
        <w:t>*</w:t>
      </w:r>
      <w:r w:rsidRPr="00583E1A">
        <w:t xml:space="preserve">consolidated group or </w:t>
      </w:r>
      <w:r w:rsidR="00583E1A" w:rsidRPr="00583E1A">
        <w:rPr>
          <w:position w:val="6"/>
          <w:sz w:val="16"/>
        </w:rPr>
        <w:t>*</w:t>
      </w:r>
      <w:r w:rsidRPr="00583E1A">
        <w:t>consolidatable group—has the meaning given by section</w:t>
      </w:r>
      <w:r w:rsidR="00583E1A">
        <w:t> </w:t>
      </w:r>
      <w:r w:rsidRPr="00583E1A">
        <w:t>703</w:t>
      </w:r>
      <w:r w:rsidR="00583E1A">
        <w:noBreakHyphen/>
      </w:r>
      <w:r w:rsidRPr="00583E1A">
        <w:t>15; and</w:t>
      </w:r>
    </w:p>
    <w:p w:rsidR="00887330" w:rsidRPr="00583E1A" w:rsidRDefault="00887330" w:rsidP="00887330">
      <w:pPr>
        <w:pStyle w:val="paragraph"/>
      </w:pPr>
      <w:r w:rsidRPr="00583E1A">
        <w:tab/>
        <w:t>(b)</w:t>
      </w:r>
      <w:r w:rsidRPr="00583E1A">
        <w:tab/>
        <w:t xml:space="preserve">of a </w:t>
      </w:r>
      <w:r w:rsidR="00583E1A" w:rsidRPr="00583E1A">
        <w:rPr>
          <w:position w:val="6"/>
          <w:sz w:val="16"/>
        </w:rPr>
        <w:t>*</w:t>
      </w:r>
      <w:r w:rsidRPr="00583E1A">
        <w:t>MEC group—has the meaning given by section</w:t>
      </w:r>
      <w:r w:rsidR="00583E1A">
        <w:t> </w:t>
      </w:r>
      <w:r w:rsidRPr="00583E1A">
        <w:t>719</w:t>
      </w:r>
      <w:r w:rsidR="00583E1A">
        <w:noBreakHyphen/>
      </w:r>
      <w:r w:rsidRPr="00583E1A">
        <w:t>75.</w:t>
      </w:r>
    </w:p>
    <w:p w:rsidR="00887330" w:rsidRPr="00583E1A" w:rsidRDefault="00887330" w:rsidP="00887330">
      <w:pPr>
        <w:pStyle w:val="Definition"/>
      </w:pPr>
      <w:r w:rsidRPr="00583E1A">
        <w:rPr>
          <w:b/>
          <w:i/>
        </w:rPr>
        <w:t>head entity</w:t>
      </w:r>
      <w:r w:rsidRPr="00583E1A">
        <w:t xml:space="preserve"> of a demerger</w:t>
      </w:r>
      <w:r w:rsidRPr="00583E1A">
        <w:rPr>
          <w:b/>
          <w:i/>
        </w:rPr>
        <w:t xml:space="preserve"> </w:t>
      </w:r>
      <w:r w:rsidRPr="00583E1A">
        <w:t>group has the meaning given by section</w:t>
      </w:r>
      <w:r w:rsidR="00583E1A">
        <w:t> </w:t>
      </w:r>
      <w:r w:rsidRPr="00583E1A">
        <w:t>125</w:t>
      </w:r>
      <w:r w:rsidR="00583E1A">
        <w:noBreakHyphen/>
      </w:r>
      <w:r w:rsidRPr="00583E1A">
        <w:t>65.</w:t>
      </w:r>
    </w:p>
    <w:p w:rsidR="001250AB" w:rsidRPr="00B758CF" w:rsidRDefault="001250AB" w:rsidP="001250AB">
      <w:pPr>
        <w:pStyle w:val="Definition"/>
      </w:pPr>
      <w:r w:rsidRPr="00B758CF">
        <w:rPr>
          <w:b/>
          <w:i/>
        </w:rPr>
        <w:t>Health Department</w:t>
      </w:r>
      <w:r w:rsidRPr="00B758CF">
        <w:t xml:space="preserve"> means the Department that:</w:t>
      </w:r>
    </w:p>
    <w:p w:rsidR="001250AB" w:rsidRPr="00B758CF" w:rsidRDefault="001250AB" w:rsidP="001250AB">
      <w:pPr>
        <w:pStyle w:val="paragraph"/>
      </w:pPr>
      <w:r w:rsidRPr="00B758CF">
        <w:tab/>
        <w:t>(a)</w:t>
      </w:r>
      <w:r w:rsidRPr="00B758CF">
        <w:tab/>
        <w:t xml:space="preserve">deals with matters arising under section 1 of the </w:t>
      </w:r>
      <w:r w:rsidRPr="00B758CF">
        <w:rPr>
          <w:i/>
        </w:rPr>
        <w:t>National Health Act 1953</w:t>
      </w:r>
      <w:r w:rsidRPr="00B758CF">
        <w:t>; and</w:t>
      </w:r>
    </w:p>
    <w:p w:rsidR="001250AB" w:rsidRPr="00B758CF" w:rsidRDefault="001250AB" w:rsidP="001250AB">
      <w:pPr>
        <w:pStyle w:val="paragraph"/>
      </w:pPr>
      <w:r w:rsidRPr="00B758CF">
        <w:tab/>
        <w:t>(b)</w:t>
      </w:r>
      <w:r w:rsidRPr="00B758CF">
        <w:tab/>
        <w:t>is administered by the Health Minister.</w:t>
      </w:r>
    </w:p>
    <w:p w:rsidR="001250AB" w:rsidRPr="00B758CF" w:rsidRDefault="001250AB" w:rsidP="001250AB">
      <w:pPr>
        <w:pStyle w:val="Definition"/>
      </w:pPr>
      <w:r w:rsidRPr="00B758CF">
        <w:rPr>
          <w:b/>
          <w:i/>
        </w:rPr>
        <w:t>Health Minister</w:t>
      </w:r>
      <w:r w:rsidRPr="00B758CF">
        <w:t xml:space="preserve"> means the Minister administering section 1 of the </w:t>
      </w:r>
      <w:r w:rsidRPr="00B758CF">
        <w:rPr>
          <w:i/>
        </w:rPr>
        <w:t>National Health Act 1953</w:t>
      </w:r>
      <w:r w:rsidRPr="00B758CF">
        <w:t>.</w:t>
      </w:r>
    </w:p>
    <w:p w:rsidR="001250AB" w:rsidRPr="00B758CF" w:rsidRDefault="001250AB" w:rsidP="001250AB">
      <w:pPr>
        <w:pStyle w:val="Definition"/>
      </w:pPr>
      <w:r w:rsidRPr="00B758CF">
        <w:rPr>
          <w:b/>
          <w:i/>
        </w:rPr>
        <w:t>Health Secretary</w:t>
      </w:r>
      <w:r w:rsidRPr="00B758CF">
        <w:t xml:space="preserve"> means the Secretary of the Health Department.</w:t>
      </w:r>
    </w:p>
    <w:p w:rsidR="002475E9" w:rsidRPr="00014B53" w:rsidRDefault="002475E9" w:rsidP="002475E9">
      <w:pPr>
        <w:pStyle w:val="Definition"/>
      </w:pPr>
      <w:r w:rsidRPr="00014B53">
        <w:rPr>
          <w:b/>
          <w:i/>
        </w:rPr>
        <w:t>HECS</w:t>
      </w:r>
      <w:r w:rsidRPr="00014B53">
        <w:rPr>
          <w:b/>
          <w:i/>
        </w:rPr>
        <w:noBreakHyphen/>
        <w:t>HELP benefit</w:t>
      </w:r>
      <w:r w:rsidRPr="00014B53">
        <w:t xml:space="preserve"> has the same meaning as in the </w:t>
      </w:r>
      <w:r w:rsidRPr="00014B53">
        <w:rPr>
          <w:i/>
        </w:rPr>
        <w:t>Higher Education Support Act 2003</w:t>
      </w:r>
      <w:r w:rsidRPr="00014B53">
        <w:t>.</w:t>
      </w:r>
    </w:p>
    <w:p w:rsidR="00B232EA" w:rsidRPr="00583E1A" w:rsidRDefault="00B232EA" w:rsidP="00B232EA">
      <w:pPr>
        <w:pStyle w:val="Definition"/>
      </w:pPr>
      <w:r w:rsidRPr="00583E1A">
        <w:rPr>
          <w:b/>
          <w:i/>
        </w:rPr>
        <w:t>hedged item</w:t>
      </w:r>
      <w:r w:rsidRPr="00583E1A">
        <w:t xml:space="preserve"> has the meaning given by subsections 230</w:t>
      </w:r>
      <w:r w:rsidR="00583E1A">
        <w:noBreakHyphen/>
      </w:r>
      <w:r w:rsidRPr="00583E1A">
        <w:t>335(10) and (11).</w:t>
      </w:r>
    </w:p>
    <w:p w:rsidR="001B2276" w:rsidRPr="00583E1A" w:rsidRDefault="001B2276" w:rsidP="001B2276">
      <w:pPr>
        <w:pStyle w:val="Definition"/>
      </w:pPr>
      <w:r w:rsidRPr="00583E1A">
        <w:rPr>
          <w:b/>
          <w:i/>
        </w:rPr>
        <w:t>hedging financial arrangement</w:t>
      </w:r>
      <w:r w:rsidRPr="00583E1A">
        <w:t xml:space="preserve"> has the meaning given by subsections 230</w:t>
      </w:r>
      <w:r w:rsidR="00583E1A">
        <w:noBreakHyphen/>
      </w:r>
      <w:r w:rsidRPr="00583E1A">
        <w:t>335(1) to (9) and sections</w:t>
      </w:r>
      <w:r w:rsidR="00583E1A">
        <w:t> </w:t>
      </w:r>
      <w:r w:rsidRPr="00583E1A">
        <w:t>230</w:t>
      </w:r>
      <w:r w:rsidR="00583E1A">
        <w:noBreakHyphen/>
      </w:r>
      <w:r w:rsidRPr="00583E1A">
        <w:t>340 and 230</w:t>
      </w:r>
      <w:r w:rsidR="00583E1A">
        <w:noBreakHyphen/>
      </w:r>
      <w:r w:rsidRPr="00583E1A">
        <w:t>345.</w:t>
      </w:r>
    </w:p>
    <w:p w:rsidR="001B2276" w:rsidRPr="00583E1A" w:rsidRDefault="001B2276" w:rsidP="001B2276">
      <w:pPr>
        <w:pStyle w:val="Definition"/>
      </w:pPr>
      <w:r w:rsidRPr="00583E1A">
        <w:rPr>
          <w:b/>
          <w:i/>
        </w:rPr>
        <w:t>hedging financial arrangement election</w:t>
      </w:r>
      <w:r w:rsidRPr="00583E1A">
        <w:t xml:space="preserve"> has the meaning given by section</w:t>
      </w:r>
      <w:r w:rsidR="00583E1A">
        <w:t> </w:t>
      </w:r>
      <w:r w:rsidRPr="00583E1A">
        <w:t>230</w:t>
      </w:r>
      <w:r w:rsidR="00583E1A">
        <w:noBreakHyphen/>
      </w:r>
      <w:r w:rsidRPr="00583E1A">
        <w:t>315.</w:t>
      </w:r>
    </w:p>
    <w:p w:rsidR="00887330" w:rsidRPr="00583E1A" w:rsidRDefault="00887330" w:rsidP="00887330">
      <w:pPr>
        <w:pStyle w:val="Definition"/>
        <w:rPr>
          <w:b/>
          <w:i/>
        </w:rPr>
      </w:pPr>
      <w:r w:rsidRPr="00583E1A">
        <w:rPr>
          <w:b/>
          <w:i/>
        </w:rPr>
        <w:lastRenderedPageBreak/>
        <w:t>held</w:t>
      </w:r>
      <w:r w:rsidRPr="00583E1A">
        <w:t xml:space="preserve">: see </w:t>
      </w:r>
      <w:r w:rsidRPr="00583E1A">
        <w:rPr>
          <w:b/>
          <w:i/>
        </w:rPr>
        <w:t>hold</w:t>
      </w:r>
      <w:r w:rsidRPr="00583E1A">
        <w:t>.</w:t>
      </w:r>
    </w:p>
    <w:p w:rsidR="009C0716" w:rsidRPr="00583E1A" w:rsidRDefault="009C0716" w:rsidP="009C0716">
      <w:pPr>
        <w:pStyle w:val="Definition"/>
      </w:pPr>
      <w:r w:rsidRPr="00583E1A">
        <w:rPr>
          <w:b/>
          <w:i/>
        </w:rPr>
        <w:t>Heritage Department</w:t>
      </w:r>
      <w:r w:rsidRPr="00583E1A">
        <w:t xml:space="preserve"> means the Department that:</w:t>
      </w:r>
    </w:p>
    <w:p w:rsidR="009C0716" w:rsidRPr="00583E1A" w:rsidRDefault="009C0716" w:rsidP="009C0716">
      <w:pPr>
        <w:pStyle w:val="paragraph"/>
      </w:pPr>
      <w:r w:rsidRPr="00583E1A">
        <w:tab/>
        <w:t>(a)</w:t>
      </w:r>
      <w:r w:rsidRPr="00583E1A">
        <w:tab/>
        <w:t>deals with matters arising under section</w:t>
      </w:r>
      <w:r w:rsidR="00583E1A">
        <w:t> </w:t>
      </w:r>
      <w:r w:rsidRPr="00583E1A">
        <w:t xml:space="preserve">1 of the </w:t>
      </w:r>
      <w:r w:rsidRPr="00583E1A">
        <w:rPr>
          <w:i/>
        </w:rPr>
        <w:t>Australian Heritage Council Act 2003</w:t>
      </w:r>
      <w:r w:rsidRPr="00583E1A">
        <w:t>; and</w:t>
      </w:r>
    </w:p>
    <w:p w:rsidR="009C0716" w:rsidRPr="00583E1A" w:rsidRDefault="009C0716" w:rsidP="009C0716">
      <w:pPr>
        <w:pStyle w:val="paragraph"/>
      </w:pPr>
      <w:r w:rsidRPr="00583E1A">
        <w:tab/>
        <w:t>(b)</w:t>
      </w:r>
      <w:r w:rsidRPr="00583E1A">
        <w:tab/>
        <w:t xml:space="preserve">is administered by the </w:t>
      </w:r>
      <w:r w:rsidR="00583E1A" w:rsidRPr="00583E1A">
        <w:rPr>
          <w:position w:val="6"/>
          <w:sz w:val="16"/>
        </w:rPr>
        <w:t>*</w:t>
      </w:r>
      <w:r w:rsidRPr="00583E1A">
        <w:t>Heritage Minister.</w:t>
      </w:r>
    </w:p>
    <w:p w:rsidR="009C0716" w:rsidRPr="00583E1A" w:rsidRDefault="009C0716" w:rsidP="009C0716">
      <w:pPr>
        <w:pStyle w:val="Definition"/>
      </w:pPr>
      <w:r w:rsidRPr="00583E1A">
        <w:rPr>
          <w:b/>
          <w:i/>
        </w:rPr>
        <w:t>Heritage Minister</w:t>
      </w:r>
      <w:r w:rsidRPr="00583E1A">
        <w:t xml:space="preserve"> means the Minister administering section</w:t>
      </w:r>
      <w:r w:rsidR="00583E1A">
        <w:t> </w:t>
      </w:r>
      <w:r w:rsidRPr="00583E1A">
        <w:t xml:space="preserve">1 of the </w:t>
      </w:r>
      <w:r w:rsidRPr="00583E1A">
        <w:rPr>
          <w:i/>
        </w:rPr>
        <w:t>Australian Heritage Council Act 2003</w:t>
      </w:r>
      <w:r w:rsidRPr="00583E1A">
        <w:t>.</w:t>
      </w:r>
    </w:p>
    <w:p w:rsidR="009C0716" w:rsidRPr="00583E1A" w:rsidRDefault="009C0716" w:rsidP="009C0716">
      <w:pPr>
        <w:pStyle w:val="Definition"/>
      </w:pPr>
      <w:r w:rsidRPr="00583E1A">
        <w:rPr>
          <w:b/>
          <w:i/>
        </w:rPr>
        <w:t>Heritage Secretary</w:t>
      </w:r>
      <w:r w:rsidRPr="00583E1A">
        <w:t xml:space="preserve"> means the Secretary of the </w:t>
      </w:r>
      <w:r w:rsidR="00583E1A" w:rsidRPr="00583E1A">
        <w:rPr>
          <w:position w:val="6"/>
          <w:sz w:val="16"/>
        </w:rPr>
        <w:t>*</w:t>
      </w:r>
      <w:r w:rsidRPr="00583E1A">
        <w:t>Heritage Department.</w:t>
      </w:r>
    </w:p>
    <w:p w:rsidR="00887330" w:rsidRPr="00583E1A" w:rsidRDefault="00887330" w:rsidP="00887330">
      <w:pPr>
        <w:pStyle w:val="Definition"/>
      </w:pPr>
      <w:r w:rsidRPr="00583E1A">
        <w:rPr>
          <w:b/>
          <w:i/>
        </w:rPr>
        <w:t>HIH company</w:t>
      </w:r>
      <w:r w:rsidRPr="00583E1A">
        <w:t xml:space="preserve"> has the meaning given by section</w:t>
      </w:r>
      <w:r w:rsidR="00583E1A">
        <w:t> </w:t>
      </w:r>
      <w:r w:rsidRPr="00583E1A">
        <w:t>322</w:t>
      </w:r>
      <w:r w:rsidR="00583E1A">
        <w:noBreakHyphen/>
      </w:r>
      <w:r w:rsidRPr="00583E1A">
        <w:t>5.</w:t>
      </w:r>
    </w:p>
    <w:p w:rsidR="00887330" w:rsidRPr="00583E1A" w:rsidRDefault="00887330" w:rsidP="00887330">
      <w:pPr>
        <w:pStyle w:val="Definition"/>
      </w:pPr>
      <w:r w:rsidRPr="00583E1A">
        <w:rPr>
          <w:b/>
          <w:i/>
        </w:rPr>
        <w:t>HIH Trust</w:t>
      </w:r>
      <w:r w:rsidRPr="00583E1A">
        <w:t xml:space="preserve"> has the meaning given by section</w:t>
      </w:r>
      <w:r w:rsidR="00583E1A">
        <w:t> </w:t>
      </w:r>
      <w:r w:rsidRPr="00583E1A">
        <w:t>322</w:t>
      </w:r>
      <w:r w:rsidR="00583E1A">
        <w:noBreakHyphen/>
      </w:r>
      <w:r w:rsidRPr="00583E1A">
        <w:t>5.</w:t>
      </w:r>
    </w:p>
    <w:p w:rsidR="00887330" w:rsidRPr="00583E1A" w:rsidRDefault="00887330" w:rsidP="00887330">
      <w:pPr>
        <w:pStyle w:val="Definition"/>
      </w:pPr>
      <w:r w:rsidRPr="00583E1A">
        <w:rPr>
          <w:b/>
          <w:i/>
        </w:rPr>
        <w:t xml:space="preserve">hire purchase agreement </w:t>
      </w:r>
      <w:r w:rsidRPr="00583E1A">
        <w:t>means:</w:t>
      </w:r>
    </w:p>
    <w:p w:rsidR="00887330" w:rsidRPr="00583E1A" w:rsidRDefault="00887330" w:rsidP="00887330">
      <w:pPr>
        <w:pStyle w:val="paragraph"/>
      </w:pPr>
      <w:r w:rsidRPr="00583E1A">
        <w:tab/>
        <w:t>(a)</w:t>
      </w:r>
      <w:r w:rsidRPr="00583E1A">
        <w:tab/>
        <w:t>a contract for the hire of goods where:</w:t>
      </w:r>
    </w:p>
    <w:p w:rsidR="00887330" w:rsidRPr="00583E1A" w:rsidRDefault="00887330" w:rsidP="00887330">
      <w:pPr>
        <w:pStyle w:val="paragraphsub"/>
      </w:pPr>
      <w:r w:rsidRPr="00583E1A">
        <w:tab/>
        <w:t>(i)</w:t>
      </w:r>
      <w:r w:rsidRPr="00583E1A">
        <w:tab/>
        <w:t>the hirer has the right, obligation or contingent obligation to buy the goods; and</w:t>
      </w:r>
    </w:p>
    <w:p w:rsidR="00887330" w:rsidRPr="00583E1A" w:rsidRDefault="00887330" w:rsidP="007F5A03">
      <w:pPr>
        <w:pStyle w:val="noteToPara"/>
      </w:pPr>
      <w:r w:rsidRPr="00583E1A">
        <w:t>Note:</w:t>
      </w:r>
      <w:r w:rsidRPr="00583E1A">
        <w:tab/>
        <w:t>An example of a contingent obligation is a put option.</w:t>
      </w:r>
    </w:p>
    <w:p w:rsidR="00887330" w:rsidRPr="00583E1A" w:rsidRDefault="00887330" w:rsidP="00A756C6">
      <w:pPr>
        <w:pStyle w:val="paragraphsub"/>
        <w:keepNext/>
        <w:keepLines/>
      </w:pPr>
      <w:r w:rsidRPr="00583E1A">
        <w:tab/>
        <w:t>(ii)</w:t>
      </w:r>
      <w:r w:rsidRPr="00583E1A">
        <w:tab/>
        <w:t xml:space="preserve">the charge that is or may be made for the hire, together with any other amount payable under the contract (including an amount to buy the goods or to exercise an option to do so), exceeds the price of the goods; and </w:t>
      </w:r>
    </w:p>
    <w:p w:rsidR="00887330" w:rsidRPr="00583E1A" w:rsidRDefault="00887330" w:rsidP="00887330">
      <w:pPr>
        <w:pStyle w:val="paragraphsub"/>
      </w:pPr>
      <w:r w:rsidRPr="00583E1A">
        <w:tab/>
        <w:t>(iii)</w:t>
      </w:r>
      <w:r w:rsidRPr="00583E1A">
        <w:tab/>
        <w:t xml:space="preserve">title in the goods does not pass to the hirer until the option referred to in </w:t>
      </w:r>
      <w:r w:rsidR="00583E1A">
        <w:t>subparagraph (</w:t>
      </w:r>
      <w:r w:rsidRPr="00583E1A">
        <w:t>a)(i) is exercised; or</w:t>
      </w:r>
    </w:p>
    <w:p w:rsidR="00887330" w:rsidRPr="00583E1A" w:rsidRDefault="00887330" w:rsidP="00887330">
      <w:pPr>
        <w:pStyle w:val="paragraph"/>
      </w:pPr>
      <w:r w:rsidRPr="00583E1A">
        <w:tab/>
        <w:t>(b)</w:t>
      </w:r>
      <w:r w:rsidRPr="00583E1A">
        <w:tab/>
        <w:t>an agreement for the purchase of goods by instalments where title in the goods does not pass until the final instalment is paid.</w:t>
      </w:r>
    </w:p>
    <w:p w:rsidR="00887330" w:rsidRPr="00583E1A" w:rsidRDefault="00887330" w:rsidP="00EC6DBA">
      <w:pPr>
        <w:pStyle w:val="Definition"/>
        <w:keepNext/>
      </w:pPr>
      <w:r w:rsidRPr="00583E1A">
        <w:rPr>
          <w:b/>
          <w:i/>
        </w:rPr>
        <w:t>hold</w:t>
      </w:r>
      <w:r w:rsidRPr="00583E1A">
        <w:t>:</w:t>
      </w:r>
    </w:p>
    <w:p w:rsidR="00887330" w:rsidRPr="00583E1A" w:rsidRDefault="00887330" w:rsidP="00887330">
      <w:pPr>
        <w:pStyle w:val="paragraph"/>
      </w:pPr>
      <w:r w:rsidRPr="00583E1A">
        <w:tab/>
        <w:t>(a)</w:t>
      </w:r>
      <w:r w:rsidRPr="00583E1A">
        <w:tab/>
      </w:r>
      <w:r w:rsidRPr="00583E1A">
        <w:rPr>
          <w:b/>
          <w:i/>
        </w:rPr>
        <w:t>hold</w:t>
      </w:r>
      <w:r w:rsidRPr="00583E1A">
        <w:t xml:space="preserve"> a car for the purposes of Division</w:t>
      </w:r>
      <w:r w:rsidR="00583E1A">
        <w:t> </w:t>
      </w:r>
      <w:r w:rsidRPr="00583E1A">
        <w:t>28 has the meaning given by section</w:t>
      </w:r>
      <w:r w:rsidR="00583E1A">
        <w:t> </w:t>
      </w:r>
      <w:r w:rsidRPr="00583E1A">
        <w:t>28</w:t>
      </w:r>
      <w:r w:rsidR="00583E1A">
        <w:noBreakHyphen/>
      </w:r>
      <w:r w:rsidRPr="00583E1A">
        <w:t>90; and</w:t>
      </w:r>
    </w:p>
    <w:p w:rsidR="00887330" w:rsidRPr="00583E1A" w:rsidRDefault="00887330" w:rsidP="00887330">
      <w:pPr>
        <w:pStyle w:val="paragraph"/>
      </w:pPr>
      <w:r w:rsidRPr="00583E1A">
        <w:tab/>
        <w:t>(b)</w:t>
      </w:r>
      <w:r w:rsidRPr="00583E1A">
        <w:tab/>
      </w:r>
      <w:r w:rsidRPr="00583E1A">
        <w:rPr>
          <w:b/>
          <w:i/>
        </w:rPr>
        <w:t>hold</w:t>
      </w:r>
      <w:r w:rsidRPr="00583E1A">
        <w:t xml:space="preserve"> a </w:t>
      </w:r>
      <w:r w:rsidR="00583E1A" w:rsidRPr="00583E1A">
        <w:rPr>
          <w:position w:val="6"/>
          <w:sz w:val="16"/>
        </w:rPr>
        <w:t>*</w:t>
      </w:r>
      <w:r w:rsidRPr="00583E1A">
        <w:t>depreciating asset has the meaning given by section</w:t>
      </w:r>
      <w:r w:rsidR="00583E1A">
        <w:t> </w:t>
      </w:r>
      <w:r w:rsidRPr="00583E1A">
        <w:t>40</w:t>
      </w:r>
      <w:r w:rsidR="00583E1A">
        <w:noBreakHyphen/>
      </w:r>
      <w:r w:rsidRPr="00583E1A">
        <w:t>40</w:t>
      </w:r>
      <w:r w:rsidR="00E816C2" w:rsidRPr="00E811AF">
        <w:t>; and</w:t>
      </w:r>
    </w:p>
    <w:p w:rsidR="00E816C2" w:rsidRPr="00E811AF" w:rsidRDefault="00E816C2" w:rsidP="00E816C2">
      <w:pPr>
        <w:pStyle w:val="paragraph"/>
      </w:pPr>
      <w:r w:rsidRPr="00E811AF">
        <w:tab/>
        <w:t>(c)</w:t>
      </w:r>
      <w:r w:rsidRPr="00E811AF">
        <w:tab/>
      </w:r>
      <w:r w:rsidRPr="00E811AF">
        <w:rPr>
          <w:b/>
          <w:i/>
        </w:rPr>
        <w:t>hold</w:t>
      </w:r>
      <w:r w:rsidRPr="00E811AF">
        <w:t xml:space="preserve"> a </w:t>
      </w:r>
      <w:r w:rsidRPr="00E811AF">
        <w:rPr>
          <w:position w:val="6"/>
          <w:sz w:val="16"/>
        </w:rPr>
        <w:t>*</w:t>
      </w:r>
      <w:r w:rsidRPr="00E811AF">
        <w:t>registered emissions unit has the meaning given by section 420</w:t>
      </w:r>
      <w:r w:rsidRPr="00E811AF">
        <w:noBreakHyphen/>
        <w:t>12</w:t>
      </w:r>
      <w:r w:rsidR="00A50AF2" w:rsidRPr="005E19E0">
        <w:t>; and</w:t>
      </w:r>
    </w:p>
    <w:p w:rsidR="00A50AF2" w:rsidRPr="005E19E0" w:rsidRDefault="00A50AF2" w:rsidP="00A50AF2">
      <w:pPr>
        <w:pStyle w:val="paragraph"/>
      </w:pPr>
      <w:r w:rsidRPr="005E19E0">
        <w:lastRenderedPageBreak/>
        <w:tab/>
        <w:t>(d)</w:t>
      </w:r>
      <w:r w:rsidRPr="005E19E0">
        <w:tab/>
      </w:r>
      <w:r w:rsidRPr="005E19E0">
        <w:rPr>
          <w:b/>
          <w:i/>
        </w:rPr>
        <w:t xml:space="preserve">hold </w:t>
      </w:r>
      <w:r w:rsidRPr="005E19E0">
        <w:t>a thing mentioned in subsection 250</w:t>
      </w:r>
      <w:r w:rsidRPr="005E19E0">
        <w:noBreakHyphen/>
        <w:t xml:space="preserve">5(2) of the </w:t>
      </w:r>
      <w:r w:rsidRPr="005E19E0">
        <w:rPr>
          <w:i/>
        </w:rPr>
        <w:t>Minerals Resource Rent Tax Act 201</w:t>
      </w:r>
      <w:r>
        <w:rPr>
          <w:i/>
        </w:rPr>
        <w:t>2</w:t>
      </w:r>
      <w:r w:rsidRPr="005E19E0">
        <w:t xml:space="preserve"> has the meaning given by sections 250</w:t>
      </w:r>
      <w:r w:rsidRPr="005E19E0">
        <w:noBreakHyphen/>
        <w:t>5 and 250</w:t>
      </w:r>
      <w:r w:rsidRPr="005E19E0">
        <w:noBreakHyphen/>
        <w:t>10 of that Act.</w:t>
      </w:r>
    </w:p>
    <w:p w:rsidR="00A50AF2" w:rsidRPr="005E19E0" w:rsidRDefault="00A50AF2" w:rsidP="00A50AF2">
      <w:pPr>
        <w:pStyle w:val="noteToPara"/>
      </w:pPr>
      <w:r w:rsidRPr="005E19E0">
        <w:t>Note:</w:t>
      </w:r>
      <w:r w:rsidRPr="005E19E0">
        <w:tab/>
        <w:t>The things mentioned in subsection 250</w:t>
      </w:r>
      <w:r w:rsidRPr="005E19E0">
        <w:noBreakHyphen/>
        <w:t>5(2) of that Act are starting base assets, an asset to which section 175</w:t>
      </w:r>
      <w:r w:rsidRPr="005E19E0">
        <w:noBreakHyphen/>
        <w:t>40 of that Act applies and a pre</w:t>
      </w:r>
      <w:r w:rsidRPr="005E19E0">
        <w:noBreakHyphen/>
        <w:t>mining project interest.</w:t>
      </w:r>
    </w:p>
    <w:p w:rsidR="00887330" w:rsidRPr="00583E1A" w:rsidRDefault="00887330" w:rsidP="00887330">
      <w:pPr>
        <w:pStyle w:val="Definition"/>
      </w:pPr>
      <w:r w:rsidRPr="00583E1A">
        <w:rPr>
          <w:b/>
          <w:i/>
        </w:rPr>
        <w:t>horse opening value</w:t>
      </w:r>
      <w:r w:rsidRPr="00583E1A">
        <w:t xml:space="preserve"> has the meaning given by subsection 70</w:t>
      </w:r>
      <w:r w:rsidR="00583E1A">
        <w:noBreakHyphen/>
      </w:r>
      <w:r w:rsidRPr="00583E1A">
        <w:t>65(1).</w:t>
      </w:r>
    </w:p>
    <w:p w:rsidR="00887330" w:rsidRPr="00583E1A" w:rsidRDefault="00887330" w:rsidP="00887330">
      <w:pPr>
        <w:pStyle w:val="Definition"/>
      </w:pPr>
      <w:r w:rsidRPr="00583E1A">
        <w:rPr>
          <w:b/>
          <w:i/>
        </w:rPr>
        <w:t>horse reduction amount</w:t>
      </w:r>
      <w:r w:rsidRPr="00583E1A">
        <w:t xml:space="preserve"> has the meaning given by subsection 70</w:t>
      </w:r>
      <w:r w:rsidR="00583E1A">
        <w:noBreakHyphen/>
      </w:r>
      <w:r w:rsidRPr="00583E1A">
        <w:t>65(2).</w:t>
      </w:r>
    </w:p>
    <w:p w:rsidR="00887330" w:rsidRPr="00583E1A" w:rsidRDefault="00887330" w:rsidP="00887330">
      <w:pPr>
        <w:pStyle w:val="Definition"/>
      </w:pPr>
      <w:r w:rsidRPr="00583E1A">
        <w:rPr>
          <w:b/>
          <w:i/>
        </w:rPr>
        <w:t>horticultural plant</w:t>
      </w:r>
      <w:r w:rsidRPr="00583E1A">
        <w:t xml:space="preserve"> has the meaning given by section</w:t>
      </w:r>
      <w:r w:rsidR="00583E1A">
        <w:t> </w:t>
      </w:r>
      <w:r w:rsidRPr="00583E1A">
        <w:t>40</w:t>
      </w:r>
      <w:r w:rsidR="00583E1A">
        <w:noBreakHyphen/>
      </w:r>
      <w:r w:rsidRPr="00583E1A">
        <w:t>520.</w:t>
      </w:r>
    </w:p>
    <w:p w:rsidR="00887330" w:rsidRPr="00583E1A" w:rsidRDefault="00887330" w:rsidP="00887330">
      <w:pPr>
        <w:pStyle w:val="Definition"/>
      </w:pPr>
      <w:r w:rsidRPr="00583E1A">
        <w:rPr>
          <w:b/>
          <w:i/>
        </w:rPr>
        <w:t>horticulture</w:t>
      </w:r>
      <w:r w:rsidRPr="00583E1A">
        <w:t xml:space="preserve"> has the meaning given by section</w:t>
      </w:r>
      <w:r w:rsidR="00583E1A">
        <w:t> </w:t>
      </w:r>
      <w:r w:rsidRPr="00583E1A">
        <w:t>40</w:t>
      </w:r>
      <w:r w:rsidR="00583E1A">
        <w:noBreakHyphen/>
      </w:r>
      <w:r w:rsidRPr="00583E1A">
        <w:t>535.</w:t>
      </w:r>
    </w:p>
    <w:p w:rsidR="00887330" w:rsidRPr="00583E1A" w:rsidRDefault="00887330" w:rsidP="00887330">
      <w:pPr>
        <w:pStyle w:val="Definition"/>
      </w:pPr>
      <w:r w:rsidRPr="00583E1A">
        <w:rPr>
          <w:b/>
          <w:i/>
        </w:rPr>
        <w:t>hotel building</w:t>
      </w:r>
      <w:r w:rsidRPr="00583E1A">
        <w:t xml:space="preserve"> has the meaning given by section</w:t>
      </w:r>
      <w:r w:rsidR="00583E1A">
        <w:t> </w:t>
      </w:r>
      <w:r w:rsidRPr="00583E1A">
        <w:t>43</w:t>
      </w:r>
      <w:r w:rsidR="00583E1A">
        <w:noBreakHyphen/>
      </w:r>
      <w:r w:rsidRPr="00583E1A">
        <w:t>95.</w:t>
      </w:r>
    </w:p>
    <w:p w:rsidR="00887330" w:rsidRPr="00583E1A" w:rsidRDefault="00887330" w:rsidP="008F1666">
      <w:pPr>
        <w:pStyle w:val="Definition"/>
        <w:keepNext/>
        <w:keepLines/>
      </w:pPr>
      <w:r w:rsidRPr="00583E1A">
        <w:rPr>
          <w:b/>
          <w:i/>
        </w:rPr>
        <w:t>housing and welfare</w:t>
      </w:r>
      <w:r w:rsidRPr="00583E1A">
        <w:t xml:space="preserve"> means:</w:t>
      </w:r>
    </w:p>
    <w:p w:rsidR="00887330" w:rsidRPr="00583E1A" w:rsidRDefault="00887330" w:rsidP="00887330">
      <w:pPr>
        <w:pStyle w:val="paragraph"/>
      </w:pPr>
      <w:r w:rsidRPr="00583E1A">
        <w:tab/>
        <w:t>(a)</w:t>
      </w:r>
      <w:r w:rsidRPr="00583E1A">
        <w:tab/>
        <w:t>residential accommodation; or</w:t>
      </w:r>
    </w:p>
    <w:p w:rsidR="001C36C3" w:rsidRPr="004C09C4" w:rsidRDefault="001C36C3" w:rsidP="001C36C3">
      <w:pPr>
        <w:pStyle w:val="paragraph"/>
      </w:pPr>
      <w:r w:rsidRPr="004C09C4">
        <w:tab/>
        <w:t>(b)</w:t>
      </w:r>
      <w:r w:rsidRPr="004C09C4">
        <w:tab/>
        <w:t>health, education, recreation or similar facilities, or facilities for meals; or</w:t>
      </w:r>
    </w:p>
    <w:p w:rsidR="00887330" w:rsidRPr="00583E1A" w:rsidRDefault="00887330" w:rsidP="00887330">
      <w:pPr>
        <w:pStyle w:val="paragraph"/>
      </w:pPr>
      <w:r w:rsidRPr="00583E1A">
        <w:tab/>
        <w:t>(c)</w:t>
      </w:r>
      <w:r w:rsidRPr="00583E1A">
        <w:tab/>
        <w:t>works carried out directly in connection with such accommodation or facilities, including works for providing water, light, power, access or communications.</w:t>
      </w:r>
    </w:p>
    <w:p w:rsidR="009C0716" w:rsidRPr="00583E1A" w:rsidRDefault="009C0716" w:rsidP="009C0716">
      <w:pPr>
        <w:pStyle w:val="Definition"/>
      </w:pPr>
      <w:r w:rsidRPr="00583E1A">
        <w:rPr>
          <w:b/>
          <w:i/>
        </w:rPr>
        <w:t>Housing Department</w:t>
      </w:r>
      <w:r w:rsidRPr="00583E1A">
        <w:t xml:space="preserve"> means the Department that:</w:t>
      </w:r>
    </w:p>
    <w:p w:rsidR="009C0716" w:rsidRPr="00583E1A" w:rsidRDefault="009C0716" w:rsidP="009C0716">
      <w:pPr>
        <w:pStyle w:val="paragraph"/>
      </w:pPr>
      <w:r w:rsidRPr="00583E1A">
        <w:tab/>
        <w:t>(a)</w:t>
      </w:r>
      <w:r w:rsidRPr="00583E1A">
        <w:tab/>
        <w:t>deals with matters arising under section</w:t>
      </w:r>
      <w:r w:rsidR="00583E1A">
        <w:t> </w:t>
      </w:r>
      <w:r w:rsidRPr="00583E1A">
        <w:t xml:space="preserve">1 of the </w:t>
      </w:r>
      <w:r w:rsidRPr="00583E1A">
        <w:rPr>
          <w:i/>
        </w:rPr>
        <w:t>National Rental Affordability Scheme Act 2008</w:t>
      </w:r>
      <w:r w:rsidRPr="00583E1A">
        <w:t>; and</w:t>
      </w:r>
    </w:p>
    <w:p w:rsidR="009C0716" w:rsidRPr="00583E1A" w:rsidRDefault="009C0716" w:rsidP="009C0716">
      <w:pPr>
        <w:pStyle w:val="paragraph"/>
      </w:pPr>
      <w:r w:rsidRPr="00583E1A">
        <w:tab/>
        <w:t>(b)</w:t>
      </w:r>
      <w:r w:rsidRPr="00583E1A">
        <w:tab/>
        <w:t xml:space="preserve">is administered by the </w:t>
      </w:r>
      <w:r w:rsidR="00583E1A" w:rsidRPr="00583E1A">
        <w:rPr>
          <w:position w:val="6"/>
          <w:sz w:val="16"/>
        </w:rPr>
        <w:t>*</w:t>
      </w:r>
      <w:r w:rsidRPr="00583E1A">
        <w:t>Housing Minister.</w:t>
      </w:r>
    </w:p>
    <w:p w:rsidR="009C0716" w:rsidRPr="00583E1A" w:rsidRDefault="009C0716" w:rsidP="009C0716">
      <w:pPr>
        <w:pStyle w:val="Definition"/>
      </w:pPr>
      <w:r w:rsidRPr="00583E1A">
        <w:rPr>
          <w:b/>
          <w:i/>
        </w:rPr>
        <w:t>Housing Minister</w:t>
      </w:r>
      <w:r w:rsidRPr="00583E1A">
        <w:t xml:space="preserve"> means the Minister administering section</w:t>
      </w:r>
      <w:r w:rsidR="00583E1A">
        <w:t> </w:t>
      </w:r>
      <w:r w:rsidRPr="00583E1A">
        <w:t xml:space="preserve">1 of the </w:t>
      </w:r>
      <w:r w:rsidRPr="00583E1A">
        <w:rPr>
          <w:i/>
        </w:rPr>
        <w:t>National Rental Affordability Scheme Act 2008</w:t>
      </w:r>
      <w:r w:rsidRPr="00583E1A">
        <w:t>.</w:t>
      </w:r>
    </w:p>
    <w:p w:rsidR="009C0716" w:rsidRPr="00583E1A" w:rsidRDefault="009C0716" w:rsidP="009C0716">
      <w:pPr>
        <w:pStyle w:val="Definition"/>
      </w:pPr>
      <w:r w:rsidRPr="00583E1A">
        <w:rPr>
          <w:b/>
          <w:i/>
        </w:rPr>
        <w:t>Housing Secretary</w:t>
      </w:r>
      <w:r w:rsidRPr="00583E1A">
        <w:t xml:space="preserve"> means the Secretary of the </w:t>
      </w:r>
      <w:r w:rsidR="00583E1A" w:rsidRPr="00583E1A">
        <w:rPr>
          <w:position w:val="6"/>
          <w:sz w:val="16"/>
        </w:rPr>
        <w:t>*</w:t>
      </w:r>
      <w:r w:rsidRPr="00583E1A">
        <w:t>Housing Department.</w:t>
      </w:r>
    </w:p>
    <w:p w:rsidR="00887330" w:rsidRPr="00583E1A" w:rsidRDefault="00887330" w:rsidP="00887330">
      <w:pPr>
        <w:pStyle w:val="Definition"/>
      </w:pPr>
      <w:r w:rsidRPr="00583E1A">
        <w:rPr>
          <w:b/>
          <w:i/>
        </w:rPr>
        <w:t>hypothetical tax position</w:t>
      </w:r>
      <w:r w:rsidRPr="00583E1A">
        <w:t xml:space="preserve"> has the meaning given by section</w:t>
      </w:r>
      <w:r w:rsidR="00583E1A">
        <w:t> </w:t>
      </w:r>
      <w:r w:rsidRPr="00583E1A">
        <w:t>45</w:t>
      </w:r>
      <w:r w:rsidR="00583E1A">
        <w:noBreakHyphen/>
      </w:r>
      <w:r w:rsidRPr="00583E1A">
        <w:t>615 in Schedule</w:t>
      </w:r>
      <w:r w:rsidR="00583E1A">
        <w:t> </w:t>
      </w:r>
      <w:r w:rsidRPr="00583E1A">
        <w:t xml:space="preserve">1 to the </w:t>
      </w:r>
      <w:r w:rsidRPr="00583E1A">
        <w:rPr>
          <w:i/>
        </w:rPr>
        <w:t>Taxation Administration Act 1953</w:t>
      </w:r>
      <w:r w:rsidRPr="00583E1A">
        <w:t>.</w:t>
      </w:r>
    </w:p>
    <w:p w:rsidR="00887330" w:rsidRPr="00583E1A" w:rsidRDefault="00887330" w:rsidP="00887330">
      <w:pPr>
        <w:pStyle w:val="Definition"/>
      </w:pPr>
      <w:r w:rsidRPr="00583E1A">
        <w:rPr>
          <w:b/>
          <w:i/>
        </w:rPr>
        <w:t>immediate annuity</w:t>
      </w:r>
      <w:r w:rsidRPr="00583E1A">
        <w:t xml:space="preserve"> means an </w:t>
      </w:r>
      <w:r w:rsidR="00583E1A" w:rsidRPr="00583E1A">
        <w:rPr>
          <w:position w:val="6"/>
          <w:sz w:val="16"/>
        </w:rPr>
        <w:t>*</w:t>
      </w:r>
      <w:r w:rsidRPr="00583E1A">
        <w:t>annuity that is presently payable.</w:t>
      </w:r>
    </w:p>
    <w:p w:rsidR="001F49DE" w:rsidRPr="00B758CF" w:rsidRDefault="001F49DE" w:rsidP="001F49DE">
      <w:pPr>
        <w:pStyle w:val="Definition"/>
      </w:pPr>
      <w:r w:rsidRPr="00B758CF">
        <w:rPr>
          <w:b/>
          <w:i/>
        </w:rPr>
        <w:lastRenderedPageBreak/>
        <w:t>Immigration Department</w:t>
      </w:r>
      <w:r w:rsidRPr="00B758CF">
        <w:t xml:space="preserve"> means the Department that:</w:t>
      </w:r>
    </w:p>
    <w:p w:rsidR="001F49DE" w:rsidRPr="00B758CF" w:rsidRDefault="001F49DE" w:rsidP="001F49DE">
      <w:pPr>
        <w:pStyle w:val="paragraph"/>
      </w:pPr>
      <w:r w:rsidRPr="00B758CF">
        <w:tab/>
        <w:t>(a)</w:t>
      </w:r>
      <w:r w:rsidRPr="00B758CF">
        <w:tab/>
        <w:t xml:space="preserve">deals with matters arising under section 1 of the </w:t>
      </w:r>
      <w:r w:rsidRPr="00B758CF">
        <w:rPr>
          <w:i/>
        </w:rPr>
        <w:t>Migration Act 1958</w:t>
      </w:r>
      <w:r w:rsidRPr="00B758CF">
        <w:t>; and</w:t>
      </w:r>
    </w:p>
    <w:p w:rsidR="001F49DE" w:rsidRPr="00B758CF" w:rsidRDefault="001F49DE" w:rsidP="001F49DE">
      <w:pPr>
        <w:pStyle w:val="paragraph"/>
      </w:pPr>
      <w:r w:rsidRPr="00B758CF">
        <w:tab/>
        <w:t>(b)</w:t>
      </w:r>
      <w:r w:rsidRPr="00B758CF">
        <w:tab/>
        <w:t>is administered by the Immigration Minister.</w:t>
      </w:r>
    </w:p>
    <w:p w:rsidR="001F49DE" w:rsidRPr="00B758CF" w:rsidRDefault="001F49DE" w:rsidP="001F49DE">
      <w:pPr>
        <w:pStyle w:val="Definition"/>
      </w:pPr>
      <w:r w:rsidRPr="00B758CF">
        <w:rPr>
          <w:b/>
          <w:i/>
        </w:rPr>
        <w:t>Immigration Minister</w:t>
      </w:r>
      <w:r w:rsidRPr="00B758CF">
        <w:t xml:space="preserve"> means the Minister administering section 1 of the </w:t>
      </w:r>
      <w:r w:rsidRPr="00B758CF">
        <w:rPr>
          <w:i/>
        </w:rPr>
        <w:t>Migration Act 1958</w:t>
      </w:r>
      <w:r w:rsidRPr="00B758CF">
        <w:t>.</w:t>
      </w:r>
    </w:p>
    <w:p w:rsidR="001F49DE" w:rsidRPr="00B758CF" w:rsidRDefault="001F49DE" w:rsidP="001F49DE">
      <w:pPr>
        <w:pStyle w:val="Definition"/>
      </w:pPr>
      <w:r w:rsidRPr="00B758CF">
        <w:rPr>
          <w:b/>
          <w:i/>
        </w:rPr>
        <w:t>Immigration Secretary</w:t>
      </w:r>
      <w:r w:rsidRPr="00B758CF">
        <w:t xml:space="preserve"> means the Secretary of the Immigration Department.</w:t>
      </w:r>
    </w:p>
    <w:p w:rsidR="00887330" w:rsidRPr="00583E1A" w:rsidRDefault="00887330" w:rsidP="00887330">
      <w:pPr>
        <w:pStyle w:val="Definition"/>
      </w:pPr>
      <w:r w:rsidRPr="00583E1A">
        <w:rPr>
          <w:b/>
          <w:i/>
        </w:rPr>
        <w:t xml:space="preserve">import </w:t>
      </w:r>
      <w:r w:rsidRPr="00583E1A">
        <w:t>has the meaning given by section</w:t>
      </w:r>
      <w:r w:rsidR="00583E1A">
        <w:t> </w:t>
      </w:r>
      <w:r w:rsidRPr="00583E1A">
        <w:t>195</w:t>
      </w:r>
      <w:r w:rsidR="00583E1A">
        <w:noBreakHyphen/>
      </w:r>
      <w:r w:rsidRPr="00583E1A">
        <w:t xml:space="preserve">1 of the </w:t>
      </w:r>
      <w:r w:rsidR="00583E1A" w:rsidRPr="00583E1A">
        <w:rPr>
          <w:position w:val="6"/>
          <w:sz w:val="16"/>
        </w:rPr>
        <w:t>*</w:t>
      </w:r>
      <w:r w:rsidRPr="00583E1A">
        <w:t>GST Act.</w:t>
      </w:r>
    </w:p>
    <w:p w:rsidR="00E64841" w:rsidRPr="00202171" w:rsidRDefault="00E64841" w:rsidP="00E64841">
      <w:pPr>
        <w:pStyle w:val="Definition"/>
      </w:pPr>
      <w:r w:rsidRPr="00202171">
        <w:rPr>
          <w:b/>
          <w:i/>
        </w:rPr>
        <w:t>import declaration</w:t>
      </w:r>
      <w:r w:rsidRPr="00202171">
        <w:t xml:space="preserve"> has the meaning given by the </w:t>
      </w:r>
      <w:r w:rsidRPr="00202171">
        <w:rPr>
          <w:i/>
        </w:rPr>
        <w:t>Customs Act 1901</w:t>
      </w:r>
      <w:r w:rsidRPr="00202171">
        <w:t>.</w:t>
      </w:r>
    </w:p>
    <w:p w:rsidR="00E64841" w:rsidRPr="00202171" w:rsidRDefault="00E64841" w:rsidP="00E64841">
      <w:pPr>
        <w:pStyle w:val="Definition"/>
      </w:pPr>
      <w:r w:rsidRPr="00202171">
        <w:rPr>
          <w:b/>
          <w:i/>
        </w:rPr>
        <w:t>import declaration advice</w:t>
      </w:r>
      <w:r w:rsidRPr="00202171">
        <w:t xml:space="preserve"> has the meaning given by the </w:t>
      </w:r>
      <w:r w:rsidRPr="00202171">
        <w:rPr>
          <w:i/>
        </w:rPr>
        <w:t>Customs Act 1901</w:t>
      </w:r>
      <w:r w:rsidRPr="00202171">
        <w:t>.</w:t>
      </w:r>
    </w:p>
    <w:p w:rsidR="00887330" w:rsidRPr="00583E1A" w:rsidRDefault="00887330" w:rsidP="00887330">
      <w:pPr>
        <w:pStyle w:val="Definition"/>
      </w:pPr>
      <w:r w:rsidRPr="00583E1A">
        <w:rPr>
          <w:b/>
          <w:i/>
        </w:rPr>
        <w:t>improvement threshold</w:t>
      </w:r>
      <w:r w:rsidRPr="00583E1A">
        <w:t xml:space="preserve"> has the meaning given by section</w:t>
      </w:r>
      <w:r w:rsidR="00583E1A">
        <w:t> </w:t>
      </w:r>
      <w:r w:rsidRPr="00583E1A">
        <w:t>108</w:t>
      </w:r>
      <w:r w:rsidR="00583E1A">
        <w:noBreakHyphen/>
      </w:r>
      <w:r w:rsidRPr="00583E1A">
        <w:t>85.</w:t>
      </w:r>
    </w:p>
    <w:p w:rsidR="00887330" w:rsidRPr="00583E1A" w:rsidRDefault="00887330" w:rsidP="00887330">
      <w:pPr>
        <w:pStyle w:val="Definition"/>
      </w:pPr>
      <w:r w:rsidRPr="00583E1A">
        <w:rPr>
          <w:b/>
          <w:i/>
        </w:rPr>
        <w:t xml:space="preserve">imputation benefit </w:t>
      </w:r>
      <w:r w:rsidRPr="00583E1A">
        <w:t>has the meaning given by subsection 204</w:t>
      </w:r>
      <w:r w:rsidR="00583E1A">
        <w:noBreakHyphen/>
      </w:r>
      <w:r w:rsidRPr="00583E1A">
        <w:t>30(6).</w:t>
      </w:r>
    </w:p>
    <w:p w:rsidR="00887330" w:rsidRPr="00583E1A" w:rsidRDefault="00887330" w:rsidP="00887330">
      <w:pPr>
        <w:pStyle w:val="Definition"/>
      </w:pPr>
      <w:r w:rsidRPr="00583E1A">
        <w:rPr>
          <w:b/>
          <w:i/>
        </w:rPr>
        <w:t>imputation system</w:t>
      </w:r>
      <w:r w:rsidRPr="00583E1A">
        <w:t xml:space="preserve"> means the rules in Part</w:t>
      </w:r>
      <w:r w:rsidR="00583E1A">
        <w:t> </w:t>
      </w:r>
      <w:r w:rsidRPr="00583E1A">
        <w:t>3</w:t>
      </w:r>
      <w:r w:rsidR="00583E1A">
        <w:noBreakHyphen/>
      </w:r>
      <w:r w:rsidRPr="00583E1A">
        <w:t>6.</w:t>
      </w:r>
    </w:p>
    <w:p w:rsidR="00E0118E" w:rsidRPr="006D2225" w:rsidRDefault="00E0118E" w:rsidP="00E0118E">
      <w:pPr>
        <w:pStyle w:val="Definition"/>
      </w:pPr>
      <w:r w:rsidRPr="006D2225">
        <w:rPr>
          <w:b/>
          <w:i/>
        </w:rPr>
        <w:t xml:space="preserve">IMR capital gain </w:t>
      </w:r>
      <w:r w:rsidRPr="006D2225">
        <w:t>has the meaning given by subsection 842</w:t>
      </w:r>
      <w:r>
        <w:noBreakHyphen/>
      </w:r>
      <w:r w:rsidRPr="006D2225">
        <w:t>255(1).</w:t>
      </w:r>
    </w:p>
    <w:p w:rsidR="00E0118E" w:rsidRPr="006D2225" w:rsidRDefault="00E0118E" w:rsidP="00E0118E">
      <w:pPr>
        <w:pStyle w:val="Definition"/>
      </w:pPr>
      <w:r w:rsidRPr="006D2225">
        <w:rPr>
          <w:b/>
          <w:i/>
        </w:rPr>
        <w:t xml:space="preserve">IMR capital loss </w:t>
      </w:r>
      <w:r w:rsidRPr="006D2225">
        <w:t>has the meaning given by subsection 842</w:t>
      </w:r>
      <w:r>
        <w:noBreakHyphen/>
      </w:r>
      <w:r w:rsidRPr="006D2225">
        <w:t>255(2).</w:t>
      </w:r>
    </w:p>
    <w:p w:rsidR="00E0118E" w:rsidRPr="006D2225" w:rsidRDefault="00E0118E" w:rsidP="00E0118E">
      <w:pPr>
        <w:pStyle w:val="Definition"/>
      </w:pPr>
      <w:r w:rsidRPr="006D2225">
        <w:rPr>
          <w:b/>
          <w:i/>
        </w:rPr>
        <w:t>IMR deduction</w:t>
      </w:r>
      <w:r w:rsidRPr="006D2225">
        <w:t xml:space="preserve"> has the meaning given by subsection 842</w:t>
      </w:r>
      <w:r>
        <w:noBreakHyphen/>
      </w:r>
      <w:r w:rsidRPr="006D2225">
        <w:t>250(2).</w:t>
      </w:r>
    </w:p>
    <w:p w:rsidR="00E0118E" w:rsidRPr="006D2225" w:rsidRDefault="00E0118E" w:rsidP="00E0118E">
      <w:pPr>
        <w:pStyle w:val="Definition"/>
      </w:pPr>
      <w:r w:rsidRPr="006D2225">
        <w:rPr>
          <w:b/>
          <w:i/>
        </w:rPr>
        <w:t xml:space="preserve">IMR foreign fund </w:t>
      </w:r>
      <w:r w:rsidRPr="006D2225">
        <w:t>has the meaning given by section 842</w:t>
      </w:r>
      <w:r>
        <w:noBreakHyphen/>
      </w:r>
      <w:r w:rsidRPr="006D2225">
        <w:t>230.</w:t>
      </w:r>
    </w:p>
    <w:p w:rsidR="00E0118E" w:rsidRPr="006D2225" w:rsidRDefault="00E0118E" w:rsidP="00E0118E">
      <w:pPr>
        <w:pStyle w:val="Definition"/>
      </w:pPr>
      <w:r w:rsidRPr="006D2225">
        <w:rPr>
          <w:b/>
          <w:i/>
        </w:rPr>
        <w:t xml:space="preserve">IMR income </w:t>
      </w:r>
      <w:r w:rsidRPr="006D2225">
        <w:t>has the meaning given by subsection 842</w:t>
      </w:r>
      <w:r>
        <w:noBreakHyphen/>
      </w:r>
      <w:r w:rsidRPr="006D2225">
        <w:t>250(1).</w:t>
      </w:r>
    </w:p>
    <w:p w:rsidR="00887330" w:rsidRPr="00583E1A" w:rsidRDefault="00887330" w:rsidP="00887330">
      <w:pPr>
        <w:pStyle w:val="Definition"/>
      </w:pPr>
      <w:r w:rsidRPr="00583E1A">
        <w:rPr>
          <w:b/>
          <w:i/>
        </w:rPr>
        <w:t>in a position to affect rights</w:t>
      </w:r>
      <w:r w:rsidRPr="00583E1A">
        <w:t xml:space="preserve"> has the meaning given by section</w:t>
      </w:r>
      <w:r w:rsidR="00583E1A">
        <w:t> </w:t>
      </w:r>
      <w:r w:rsidRPr="00583E1A">
        <w:t>975</w:t>
      </w:r>
      <w:r w:rsidR="00583E1A">
        <w:noBreakHyphen/>
      </w:r>
      <w:r w:rsidRPr="00583E1A">
        <w:t>150.</w:t>
      </w:r>
    </w:p>
    <w:p w:rsidR="00887330" w:rsidRPr="00583E1A" w:rsidRDefault="00887330" w:rsidP="00887330">
      <w:pPr>
        <w:pStyle w:val="Definition"/>
      </w:pPr>
      <w:r w:rsidRPr="00583E1A">
        <w:rPr>
          <w:b/>
          <w:i/>
        </w:rPr>
        <w:t>incapacitated entity</w:t>
      </w:r>
      <w:r w:rsidRPr="00583E1A">
        <w:t xml:space="preserve"> has the meaning given by section</w:t>
      </w:r>
      <w:r w:rsidR="00583E1A">
        <w:t> </w:t>
      </w:r>
      <w:r w:rsidRPr="00583E1A">
        <w:t>195</w:t>
      </w:r>
      <w:r w:rsidR="00583E1A">
        <w:noBreakHyphen/>
      </w:r>
      <w:r w:rsidRPr="00583E1A">
        <w:t xml:space="preserve">1 of the </w:t>
      </w:r>
      <w:r w:rsidR="00583E1A" w:rsidRPr="00583E1A">
        <w:rPr>
          <w:position w:val="6"/>
          <w:sz w:val="16"/>
        </w:rPr>
        <w:t>*</w:t>
      </w:r>
      <w:r w:rsidRPr="00583E1A">
        <w:t>GST Act.</w:t>
      </w:r>
    </w:p>
    <w:p w:rsidR="00887330" w:rsidRPr="00583E1A" w:rsidRDefault="00887330" w:rsidP="00887330">
      <w:pPr>
        <w:pStyle w:val="Definition"/>
      </w:pPr>
      <w:r w:rsidRPr="00583E1A">
        <w:rPr>
          <w:b/>
          <w:i/>
        </w:rPr>
        <w:t>incidental costs</w:t>
      </w:r>
      <w:r w:rsidRPr="00583E1A">
        <w:t xml:space="preserve"> has the meaning given by section</w:t>
      </w:r>
      <w:r w:rsidR="00583E1A">
        <w:t> </w:t>
      </w:r>
      <w:r w:rsidRPr="00583E1A">
        <w:t>110</w:t>
      </w:r>
      <w:r w:rsidR="00583E1A">
        <w:noBreakHyphen/>
      </w:r>
      <w:r w:rsidRPr="00583E1A">
        <w:t>35.</w:t>
      </w:r>
    </w:p>
    <w:p w:rsidR="007701C1" w:rsidRPr="00583E1A" w:rsidRDefault="007701C1" w:rsidP="007701C1">
      <w:pPr>
        <w:pStyle w:val="Definition"/>
      </w:pPr>
      <w:r w:rsidRPr="00583E1A">
        <w:rPr>
          <w:b/>
          <w:i/>
        </w:rPr>
        <w:lastRenderedPageBreak/>
        <w:t xml:space="preserve">incidental forestry scheme receipts </w:t>
      </w:r>
      <w:r w:rsidRPr="00583E1A">
        <w:t>has the meaning given by subsection 394</w:t>
      </w:r>
      <w:r w:rsidR="00583E1A">
        <w:noBreakHyphen/>
      </w:r>
      <w:r w:rsidRPr="00583E1A">
        <w:t>30(4).</w:t>
      </w:r>
    </w:p>
    <w:p w:rsidR="0070717C" w:rsidRPr="007B0680" w:rsidRDefault="0070717C" w:rsidP="0070717C">
      <w:pPr>
        <w:pStyle w:val="Definition"/>
      </w:pPr>
      <w:r w:rsidRPr="007B0680">
        <w:rPr>
          <w:b/>
          <w:i/>
        </w:rPr>
        <w:t>incidental shipping activities</w:t>
      </w:r>
      <w:r w:rsidRPr="007B0680">
        <w:t xml:space="preserve"> has the meaning given by section 51</w:t>
      </w:r>
      <w:r w:rsidRPr="007B0680">
        <w:noBreakHyphen/>
        <w:t>115.</w:t>
      </w:r>
    </w:p>
    <w:p w:rsidR="00887330" w:rsidRPr="00583E1A" w:rsidRDefault="00887330" w:rsidP="00887330">
      <w:pPr>
        <w:pStyle w:val="Definition"/>
      </w:pPr>
      <w:r w:rsidRPr="00583E1A">
        <w:rPr>
          <w:b/>
          <w:i/>
        </w:rPr>
        <w:t>income bond</w:t>
      </w:r>
      <w:r w:rsidRPr="00583E1A">
        <w:t xml:space="preserve"> means a </w:t>
      </w:r>
      <w:r w:rsidR="00583E1A" w:rsidRPr="00583E1A">
        <w:rPr>
          <w:position w:val="6"/>
          <w:sz w:val="16"/>
        </w:rPr>
        <w:t>*</w:t>
      </w:r>
      <w:r w:rsidRPr="00583E1A">
        <w:t xml:space="preserve">life insurance policy issued by a </w:t>
      </w:r>
      <w:r w:rsidR="00583E1A" w:rsidRPr="00583E1A">
        <w:rPr>
          <w:position w:val="6"/>
          <w:sz w:val="16"/>
        </w:rPr>
        <w:t>*</w:t>
      </w:r>
      <w:r w:rsidRPr="00583E1A">
        <w:t>friendly society under which bonuses are regularly distributed.</w:t>
      </w:r>
    </w:p>
    <w:p w:rsidR="00887330" w:rsidRPr="00583E1A" w:rsidRDefault="00887330" w:rsidP="00887330">
      <w:pPr>
        <w:pStyle w:val="Definition"/>
      </w:pPr>
      <w:r w:rsidRPr="00583E1A">
        <w:rPr>
          <w:b/>
          <w:i/>
        </w:rPr>
        <w:t>income company</w:t>
      </w:r>
      <w:r w:rsidRPr="00583E1A">
        <w:t xml:space="preserve"> has the meaning given by section</w:t>
      </w:r>
      <w:r w:rsidR="00583E1A">
        <w:t> </w:t>
      </w:r>
      <w:r w:rsidRPr="00583E1A">
        <w:t>170</w:t>
      </w:r>
      <w:r w:rsidR="00583E1A">
        <w:noBreakHyphen/>
      </w:r>
      <w:r w:rsidRPr="00583E1A">
        <w:t>10.</w:t>
      </w:r>
    </w:p>
    <w:p w:rsidR="00370F67" w:rsidRPr="00583E1A" w:rsidRDefault="00370F67" w:rsidP="00370F67">
      <w:pPr>
        <w:pStyle w:val="Definition"/>
      </w:pPr>
      <w:r w:rsidRPr="00583E1A">
        <w:rPr>
          <w:b/>
          <w:i/>
        </w:rPr>
        <w:t>income for surcharge purposes</w:t>
      </w:r>
      <w:r w:rsidRPr="00583E1A">
        <w:t>, for a person and an income year, means the sum of the following:</w:t>
      </w:r>
    </w:p>
    <w:p w:rsidR="00370F67" w:rsidRPr="00583E1A" w:rsidRDefault="00370F67" w:rsidP="00370F67">
      <w:pPr>
        <w:pStyle w:val="paragraph"/>
      </w:pPr>
      <w:r w:rsidRPr="00583E1A">
        <w:tab/>
        <w:t>(a)</w:t>
      </w:r>
      <w:r w:rsidRPr="00583E1A">
        <w:tab/>
        <w:t>the person’s taxable income for the income year (disregarding subsection 271</w:t>
      </w:r>
      <w:r w:rsidR="00583E1A">
        <w:noBreakHyphen/>
      </w:r>
      <w:r w:rsidRPr="00583E1A">
        <w:t xml:space="preserve">105(1) </w:t>
      </w:r>
      <w:r w:rsidR="00A76D22" w:rsidRPr="008A6DF7">
        <w:t>in Schedule 2F</w:t>
      </w:r>
      <w:r w:rsidRPr="00583E1A">
        <w:t xml:space="preserve"> to the </w:t>
      </w:r>
      <w:r w:rsidRPr="00583E1A">
        <w:rPr>
          <w:i/>
        </w:rPr>
        <w:t>Income Tax Assessment Act 1936</w:t>
      </w:r>
      <w:r w:rsidRPr="00583E1A">
        <w:t>);</w:t>
      </w:r>
    </w:p>
    <w:p w:rsidR="00370F67" w:rsidRPr="00583E1A" w:rsidRDefault="00370F67" w:rsidP="00370F67">
      <w:pPr>
        <w:pStyle w:val="paragraph"/>
      </w:pPr>
      <w:r w:rsidRPr="00583E1A">
        <w:tab/>
        <w:t>(b)</w:t>
      </w:r>
      <w:r w:rsidRPr="00583E1A">
        <w:tab/>
        <w:t xml:space="preserve">the person’s </w:t>
      </w:r>
      <w:r w:rsidR="00583E1A" w:rsidRPr="00583E1A">
        <w:rPr>
          <w:position w:val="6"/>
          <w:sz w:val="16"/>
        </w:rPr>
        <w:t>*</w:t>
      </w:r>
      <w:r w:rsidRPr="00583E1A">
        <w:t>reportable fringe benefits total (if any) for the income year;</w:t>
      </w:r>
    </w:p>
    <w:p w:rsidR="00370F67" w:rsidRPr="00583E1A" w:rsidRDefault="00370F67" w:rsidP="00370F67">
      <w:pPr>
        <w:pStyle w:val="paragraph"/>
      </w:pPr>
      <w:r w:rsidRPr="00583E1A">
        <w:tab/>
        <w:t>(c)</w:t>
      </w:r>
      <w:r w:rsidRPr="00583E1A">
        <w:tab/>
        <w:t xml:space="preserve">the person’s </w:t>
      </w:r>
      <w:r w:rsidR="00583E1A" w:rsidRPr="00583E1A">
        <w:rPr>
          <w:position w:val="6"/>
          <w:sz w:val="16"/>
        </w:rPr>
        <w:t>*</w:t>
      </w:r>
      <w:r w:rsidRPr="00583E1A">
        <w:t>reportable superannuation contributions for the income year;</w:t>
      </w:r>
    </w:p>
    <w:p w:rsidR="00370F67" w:rsidRPr="00583E1A" w:rsidRDefault="00370F67" w:rsidP="00370F67">
      <w:pPr>
        <w:pStyle w:val="paragraph"/>
      </w:pPr>
      <w:r w:rsidRPr="00583E1A">
        <w:tab/>
        <w:t>(d)</w:t>
      </w:r>
      <w:r w:rsidRPr="00583E1A">
        <w:tab/>
        <w:t xml:space="preserve">the person’s </w:t>
      </w:r>
      <w:r w:rsidR="00583E1A" w:rsidRPr="00583E1A">
        <w:rPr>
          <w:position w:val="6"/>
          <w:sz w:val="16"/>
        </w:rPr>
        <w:t>*</w:t>
      </w:r>
      <w:r w:rsidRPr="00583E1A">
        <w:t>total net investment loss for the income year;</w:t>
      </w:r>
    </w:p>
    <w:p w:rsidR="00370F67" w:rsidRPr="00583E1A" w:rsidRDefault="00370F67" w:rsidP="00370F67">
      <w:pPr>
        <w:pStyle w:val="subsection2"/>
      </w:pPr>
      <w:r w:rsidRPr="00583E1A">
        <w:t>less the amount mentioned in subsection 301</w:t>
      </w:r>
      <w:r w:rsidR="00583E1A">
        <w:noBreakHyphen/>
      </w:r>
      <w:r w:rsidRPr="00583E1A">
        <w:t>20(3) for the person for the income year if the person is entitled to a tax offset under subsection 301</w:t>
      </w:r>
      <w:r w:rsidR="00583E1A">
        <w:noBreakHyphen/>
      </w:r>
      <w:r w:rsidRPr="00583E1A">
        <w:t>20(2) for the income year.</w:t>
      </w:r>
    </w:p>
    <w:p w:rsidR="00887330" w:rsidRPr="00583E1A" w:rsidRDefault="00887330" w:rsidP="00F13347">
      <w:pPr>
        <w:pStyle w:val="Definition"/>
        <w:keepNext/>
        <w:keepLines/>
      </w:pPr>
      <w:r w:rsidRPr="00583E1A">
        <w:rPr>
          <w:b/>
          <w:i/>
        </w:rPr>
        <w:t>income tax</w:t>
      </w:r>
      <w:r w:rsidRPr="00583E1A">
        <w:t xml:space="preserve"> means income tax imposed by any of these:</w:t>
      </w:r>
    </w:p>
    <w:p w:rsidR="00887330" w:rsidRPr="00583E1A" w:rsidRDefault="00887330" w:rsidP="00F13347">
      <w:pPr>
        <w:pStyle w:val="paragraph"/>
        <w:keepNext/>
        <w:keepLines/>
      </w:pPr>
      <w:r w:rsidRPr="00583E1A">
        <w:tab/>
        <w:t>(a)</w:t>
      </w:r>
      <w:r w:rsidRPr="00583E1A">
        <w:tab/>
        <w:t>the</w:t>
      </w:r>
      <w:r w:rsidRPr="00583E1A">
        <w:rPr>
          <w:i/>
        </w:rPr>
        <w:t xml:space="preserve"> Income Tax Act 1986</w:t>
      </w:r>
      <w:r w:rsidRPr="00583E1A">
        <w:t>;</w:t>
      </w:r>
    </w:p>
    <w:p w:rsidR="00887330" w:rsidRPr="00583E1A" w:rsidRDefault="00887330" w:rsidP="00887330">
      <w:pPr>
        <w:pStyle w:val="paragraph"/>
      </w:pPr>
      <w:r w:rsidRPr="00583E1A">
        <w:tab/>
        <w:t>(b)</w:t>
      </w:r>
      <w:r w:rsidRPr="00583E1A">
        <w:tab/>
        <w:t xml:space="preserve">the </w:t>
      </w:r>
      <w:r w:rsidRPr="00583E1A">
        <w:rPr>
          <w:i/>
        </w:rPr>
        <w:t>Income Tax (Diverted Income) Act 1981</w:t>
      </w:r>
      <w:r w:rsidRPr="00583E1A">
        <w:t>;</w:t>
      </w:r>
    </w:p>
    <w:p w:rsidR="00887330" w:rsidRPr="00583E1A" w:rsidRDefault="00887330" w:rsidP="00887330">
      <w:pPr>
        <w:pStyle w:val="paragraph"/>
      </w:pPr>
      <w:r w:rsidRPr="00583E1A">
        <w:tab/>
        <w:t>(c)</w:t>
      </w:r>
      <w:r w:rsidRPr="00583E1A">
        <w:tab/>
        <w:t xml:space="preserve">the </w:t>
      </w:r>
      <w:r w:rsidRPr="00583E1A">
        <w:rPr>
          <w:i/>
        </w:rPr>
        <w:t>Income Tax (Former Complying Superannuation Funds) Act 1994</w:t>
      </w:r>
      <w:r w:rsidRPr="00583E1A">
        <w:t>;</w:t>
      </w:r>
    </w:p>
    <w:p w:rsidR="00887330" w:rsidRPr="00583E1A" w:rsidRDefault="00887330" w:rsidP="00887330">
      <w:pPr>
        <w:pStyle w:val="paragraph"/>
      </w:pPr>
      <w:r w:rsidRPr="00583E1A">
        <w:tab/>
        <w:t>(d)</w:t>
      </w:r>
      <w:r w:rsidRPr="00583E1A">
        <w:tab/>
        <w:t xml:space="preserve">the </w:t>
      </w:r>
      <w:r w:rsidRPr="00583E1A">
        <w:rPr>
          <w:i/>
        </w:rPr>
        <w:t>Income Tax (Former Non</w:t>
      </w:r>
      <w:r w:rsidR="00583E1A">
        <w:rPr>
          <w:i/>
        </w:rPr>
        <w:noBreakHyphen/>
      </w:r>
      <w:r w:rsidRPr="00583E1A">
        <w:rPr>
          <w:i/>
        </w:rPr>
        <w:t>resident Superannuation Funds) Act 1994</w:t>
      </w:r>
      <w:r w:rsidRPr="00583E1A">
        <w:t>;</w:t>
      </w:r>
    </w:p>
    <w:p w:rsidR="00887330" w:rsidRPr="00583E1A" w:rsidRDefault="00887330" w:rsidP="00887330">
      <w:pPr>
        <w:pStyle w:val="paragraph"/>
      </w:pPr>
      <w:r w:rsidRPr="00583E1A">
        <w:tab/>
        <w:t>(e)</w:t>
      </w:r>
      <w:r w:rsidRPr="00583E1A">
        <w:tab/>
        <w:t xml:space="preserve">the </w:t>
      </w:r>
      <w:r w:rsidRPr="00583E1A">
        <w:rPr>
          <w:i/>
        </w:rPr>
        <w:t>Income Tax (Fund Contributions) Act 1989</w:t>
      </w:r>
      <w:r w:rsidRPr="00583E1A">
        <w:t>.</w:t>
      </w:r>
    </w:p>
    <w:p w:rsidR="00887330" w:rsidRPr="00583E1A" w:rsidRDefault="00887330" w:rsidP="00887330">
      <w:pPr>
        <w:pStyle w:val="Definition"/>
      </w:pPr>
      <w:r w:rsidRPr="00583E1A">
        <w:rPr>
          <w:b/>
          <w:i/>
        </w:rPr>
        <w:t>income tax law</w:t>
      </w:r>
      <w:r w:rsidRPr="00583E1A">
        <w:t xml:space="preserve"> means a provision of an Act or regulations under which is worked out the extent of liability for:</w:t>
      </w:r>
    </w:p>
    <w:p w:rsidR="00887330" w:rsidRPr="00583E1A" w:rsidRDefault="00887330" w:rsidP="00887330">
      <w:pPr>
        <w:pStyle w:val="paragraph"/>
      </w:pPr>
      <w:r w:rsidRPr="00583E1A">
        <w:tab/>
        <w:t>(a)</w:t>
      </w:r>
      <w:r w:rsidRPr="00583E1A">
        <w:tab/>
      </w:r>
      <w:r w:rsidR="00583E1A" w:rsidRPr="00583E1A">
        <w:rPr>
          <w:position w:val="6"/>
          <w:sz w:val="16"/>
        </w:rPr>
        <w:t>*</w:t>
      </w:r>
      <w:r w:rsidRPr="00583E1A">
        <w:t>tax; or</w:t>
      </w:r>
    </w:p>
    <w:p w:rsidR="00887330" w:rsidRPr="00583E1A" w:rsidRDefault="00887330" w:rsidP="00887330">
      <w:pPr>
        <w:pStyle w:val="paragraph"/>
      </w:pPr>
      <w:r w:rsidRPr="00583E1A">
        <w:tab/>
        <w:t>(b)</w:t>
      </w:r>
      <w:r w:rsidRPr="00583E1A">
        <w:tab/>
      </w:r>
      <w:r w:rsidR="00E97014" w:rsidRPr="004C09C4">
        <w:rPr>
          <w:position w:val="6"/>
          <w:sz w:val="16"/>
        </w:rPr>
        <w:t>*</w:t>
      </w:r>
      <w:r w:rsidR="00E97014" w:rsidRPr="004C09C4">
        <w:t>Medicare levy</w:t>
      </w:r>
      <w:r w:rsidRPr="00583E1A">
        <w:t>; or</w:t>
      </w:r>
    </w:p>
    <w:p w:rsidR="00887330" w:rsidRPr="00583E1A" w:rsidRDefault="00887330" w:rsidP="00887330">
      <w:pPr>
        <w:pStyle w:val="paragraph"/>
      </w:pPr>
      <w:r w:rsidRPr="00583E1A">
        <w:tab/>
        <w:t>(c)</w:t>
      </w:r>
      <w:r w:rsidRPr="00583E1A">
        <w:tab/>
      </w:r>
      <w:r w:rsidR="00583E1A" w:rsidRPr="00583E1A">
        <w:rPr>
          <w:position w:val="6"/>
          <w:sz w:val="16"/>
        </w:rPr>
        <w:t>*</w:t>
      </w:r>
      <w:r w:rsidRPr="00583E1A">
        <w:t>franking tax; or</w:t>
      </w:r>
    </w:p>
    <w:p w:rsidR="00887330" w:rsidRPr="00583E1A" w:rsidRDefault="00887330" w:rsidP="00887330">
      <w:pPr>
        <w:pStyle w:val="paragraph"/>
      </w:pPr>
      <w:r w:rsidRPr="00583E1A">
        <w:lastRenderedPageBreak/>
        <w:tab/>
        <w:t>(d)</w:t>
      </w:r>
      <w:r w:rsidRPr="00583E1A">
        <w:tab/>
      </w:r>
      <w:r w:rsidR="00583E1A" w:rsidRPr="00583E1A">
        <w:rPr>
          <w:position w:val="6"/>
          <w:sz w:val="16"/>
        </w:rPr>
        <w:t>*</w:t>
      </w:r>
      <w:r w:rsidRPr="00583E1A">
        <w:t>withholding tax; or</w:t>
      </w:r>
    </w:p>
    <w:p w:rsidR="00887330" w:rsidRPr="00583E1A" w:rsidRDefault="00887330" w:rsidP="00887330">
      <w:pPr>
        <w:pStyle w:val="paragraph"/>
      </w:pPr>
      <w:r w:rsidRPr="00583E1A">
        <w:tab/>
        <w:t>(e)</w:t>
      </w:r>
      <w:r w:rsidRPr="00583E1A">
        <w:tab/>
      </w:r>
      <w:r w:rsidR="00583E1A" w:rsidRPr="00583E1A">
        <w:rPr>
          <w:position w:val="6"/>
          <w:sz w:val="16"/>
        </w:rPr>
        <w:t>*</w:t>
      </w:r>
      <w:r w:rsidRPr="00583E1A">
        <w:t>mining withholding tax.</w:t>
      </w:r>
    </w:p>
    <w:p w:rsidR="00887330" w:rsidRPr="00583E1A" w:rsidRDefault="00887330" w:rsidP="00887330">
      <w:pPr>
        <w:pStyle w:val="Definition"/>
      </w:pPr>
      <w:r w:rsidRPr="00583E1A">
        <w:rPr>
          <w:b/>
          <w:i/>
        </w:rPr>
        <w:t>income tax return</w:t>
      </w:r>
      <w:r w:rsidRPr="00583E1A">
        <w:t xml:space="preserve"> means a return under section</w:t>
      </w:r>
      <w:r w:rsidR="00583E1A">
        <w:t> </w:t>
      </w:r>
      <w:r w:rsidRPr="00583E1A">
        <w:t xml:space="preserve">161, 162 or 163 of the </w:t>
      </w:r>
      <w:r w:rsidRPr="00583E1A">
        <w:rPr>
          <w:i/>
        </w:rPr>
        <w:t>Income Tax Assessment Act 1936</w:t>
      </w:r>
      <w:r w:rsidRPr="00583E1A">
        <w:t>.</w:t>
      </w:r>
    </w:p>
    <w:p w:rsidR="00887330" w:rsidRPr="00583E1A" w:rsidRDefault="00887330" w:rsidP="005E208E">
      <w:pPr>
        <w:pStyle w:val="Definition"/>
      </w:pPr>
      <w:r w:rsidRPr="00583E1A">
        <w:rPr>
          <w:b/>
          <w:i/>
        </w:rPr>
        <w:t>income year</w:t>
      </w:r>
      <w:r w:rsidRPr="00583E1A">
        <w:t>: the basic meaning is given by subsections 4</w:t>
      </w:r>
      <w:r w:rsidR="00583E1A">
        <w:noBreakHyphen/>
      </w:r>
      <w:r w:rsidRPr="00583E1A">
        <w:t>10(2) and 9</w:t>
      </w:r>
      <w:r w:rsidR="00583E1A">
        <w:noBreakHyphen/>
      </w:r>
      <w:r w:rsidRPr="00583E1A">
        <w:t>5(2). Some provisions refer to a particular income year. (They may describe it in different ways: for example, as the income year ending on 30</w:t>
      </w:r>
      <w:r w:rsidR="00583E1A">
        <w:t> </w:t>
      </w:r>
      <w:r w:rsidRPr="00583E1A">
        <w:t>June 1998, or the 1997</w:t>
      </w:r>
      <w:r w:rsidR="00583E1A">
        <w:noBreakHyphen/>
      </w:r>
      <w:r w:rsidRPr="00583E1A">
        <w:t>98 income year.) For an entity that adopts an accounting period in place of the particular income year, the reference includes:</w:t>
      </w:r>
    </w:p>
    <w:p w:rsidR="00887330" w:rsidRPr="00583E1A" w:rsidRDefault="00887330" w:rsidP="00887330">
      <w:pPr>
        <w:pStyle w:val="paragraph"/>
      </w:pPr>
      <w:r w:rsidRPr="00583E1A">
        <w:tab/>
        <w:t>(a)</w:t>
      </w:r>
      <w:r w:rsidRPr="00583E1A">
        <w:tab/>
        <w:t>the adopted accounting period; or</w:t>
      </w:r>
    </w:p>
    <w:p w:rsidR="00887330" w:rsidRPr="00583E1A" w:rsidRDefault="00887330" w:rsidP="00887330">
      <w:pPr>
        <w:pStyle w:val="paragraph"/>
      </w:pPr>
      <w:r w:rsidRPr="00583E1A">
        <w:tab/>
        <w:t>(b)</w:t>
      </w:r>
      <w:r w:rsidRPr="00583E1A">
        <w:tab/>
        <w:t>if the adopted accounting period ends under section</w:t>
      </w:r>
      <w:r w:rsidR="00583E1A">
        <w:t> </w:t>
      </w:r>
      <w:r w:rsidRPr="00583E1A">
        <w:t xml:space="preserve">18A of the </w:t>
      </w:r>
      <w:r w:rsidRPr="00583E1A">
        <w:rPr>
          <w:i/>
        </w:rPr>
        <w:t>Income Tax Assessment Act 1936</w:t>
      </w:r>
      <w:r w:rsidRPr="00583E1A">
        <w:t>:</w:t>
      </w:r>
    </w:p>
    <w:p w:rsidR="00887330" w:rsidRPr="00583E1A" w:rsidRDefault="00887330" w:rsidP="00887330">
      <w:pPr>
        <w:pStyle w:val="paragraphsub"/>
      </w:pPr>
      <w:r w:rsidRPr="00583E1A">
        <w:tab/>
        <w:t>(i)</w:t>
      </w:r>
      <w:r w:rsidRPr="00583E1A">
        <w:tab/>
        <w:t>in relation to the commencing of the income year—the adopted accounting period (as ending under that section); or</w:t>
      </w:r>
    </w:p>
    <w:p w:rsidR="00887330" w:rsidRPr="00583E1A" w:rsidRDefault="00887330" w:rsidP="00887330">
      <w:pPr>
        <w:pStyle w:val="paragraphsub"/>
      </w:pPr>
      <w:r w:rsidRPr="00583E1A">
        <w:tab/>
        <w:t>(ii)</w:t>
      </w:r>
      <w:r w:rsidRPr="00583E1A">
        <w:tab/>
        <w:t>in relation to the ending of the income year—the accounting period ending under that section on the day on which the adopted accounting period would (but for that section) have ended.</w:t>
      </w:r>
    </w:p>
    <w:p w:rsidR="00887330" w:rsidRPr="00583E1A" w:rsidRDefault="00887330" w:rsidP="00887330">
      <w:pPr>
        <w:pStyle w:val="notetext"/>
      </w:pPr>
      <w:r w:rsidRPr="00583E1A">
        <w:t>Note 1:</w:t>
      </w:r>
      <w:r w:rsidRPr="00583E1A">
        <w:tab/>
        <w:t>The Commissioner can allow you to adopt an accounting period ending on a day other than 30</w:t>
      </w:r>
      <w:r w:rsidR="00583E1A">
        <w:t> </w:t>
      </w:r>
      <w:r w:rsidRPr="00583E1A">
        <w:t>June. See section</w:t>
      </w:r>
      <w:r w:rsidR="00583E1A">
        <w:t> </w:t>
      </w:r>
      <w:r w:rsidRPr="00583E1A">
        <w:t xml:space="preserve">18 of the </w:t>
      </w:r>
      <w:r w:rsidRPr="00583E1A">
        <w:rPr>
          <w:i/>
        </w:rPr>
        <w:t>Income Tax Assessment Act 1936</w:t>
      </w:r>
      <w:r w:rsidRPr="00583E1A">
        <w:t>.</w:t>
      </w:r>
    </w:p>
    <w:p w:rsidR="00887330" w:rsidRPr="00583E1A" w:rsidRDefault="00887330" w:rsidP="00A756C6">
      <w:pPr>
        <w:pStyle w:val="notetext"/>
      </w:pPr>
      <w:r w:rsidRPr="00583E1A">
        <w:t>Note 2:</w:t>
      </w:r>
      <w:r w:rsidRPr="00583E1A">
        <w:tab/>
        <w:t>An accounting period ends, and a new accounting period starts, when a partnership becomes, or ceases to be, a VCLP</w:t>
      </w:r>
      <w:r w:rsidR="00C9569A" w:rsidRPr="00583E1A">
        <w:t>, an ESVCLP</w:t>
      </w:r>
      <w:r w:rsidRPr="00583E1A">
        <w:t>, an AFOF or a VCMP. See section</w:t>
      </w:r>
      <w:r w:rsidR="00583E1A">
        <w:t> </w:t>
      </w:r>
      <w:r w:rsidRPr="00583E1A">
        <w:t xml:space="preserve">18A of the </w:t>
      </w:r>
      <w:r w:rsidRPr="00583E1A">
        <w:rPr>
          <w:i/>
        </w:rPr>
        <w:t>Income Tax Assessment Act 1936</w:t>
      </w:r>
      <w:r w:rsidRPr="00583E1A">
        <w:t>.</w:t>
      </w:r>
    </w:p>
    <w:p w:rsidR="00887330" w:rsidRPr="00583E1A" w:rsidRDefault="00887330" w:rsidP="00887330">
      <w:pPr>
        <w:pStyle w:val="Definition"/>
      </w:pPr>
      <w:r w:rsidRPr="00583E1A">
        <w:rPr>
          <w:b/>
          <w:i/>
        </w:rPr>
        <w:t>in connection with</w:t>
      </w:r>
      <w:r w:rsidRPr="00583E1A">
        <w:t xml:space="preserve">: an economic benefit is </w:t>
      </w:r>
      <w:r w:rsidR="00583E1A" w:rsidRPr="00583E1A">
        <w:rPr>
          <w:position w:val="6"/>
          <w:sz w:val="16"/>
        </w:rPr>
        <w:t>*</w:t>
      </w:r>
      <w:r w:rsidRPr="00583E1A">
        <w:t xml:space="preserve">provided </w:t>
      </w:r>
      <w:r w:rsidRPr="00583E1A">
        <w:rPr>
          <w:b/>
          <w:i/>
        </w:rPr>
        <w:t>in connection with</w:t>
      </w:r>
      <w:r w:rsidRPr="00583E1A">
        <w:t xml:space="preserve"> a </w:t>
      </w:r>
      <w:r w:rsidR="00583E1A" w:rsidRPr="00583E1A">
        <w:rPr>
          <w:position w:val="6"/>
          <w:sz w:val="16"/>
        </w:rPr>
        <w:t>*</w:t>
      </w:r>
      <w:r w:rsidRPr="00583E1A">
        <w:t>scheme if at least one of the tests in section</w:t>
      </w:r>
      <w:r w:rsidR="00583E1A">
        <w:t> </w:t>
      </w:r>
      <w:r w:rsidRPr="00583E1A">
        <w:t>727</w:t>
      </w:r>
      <w:r w:rsidR="00583E1A">
        <w:noBreakHyphen/>
      </w:r>
      <w:r w:rsidRPr="00583E1A">
        <w:t>160 is satisfied.</w:t>
      </w:r>
    </w:p>
    <w:p w:rsidR="00887330" w:rsidRPr="00583E1A" w:rsidRDefault="00887330" w:rsidP="00887330">
      <w:pPr>
        <w:pStyle w:val="Definition"/>
      </w:pPr>
      <w:r w:rsidRPr="00583E1A">
        <w:rPr>
          <w:b/>
          <w:i/>
        </w:rPr>
        <w:t>increase time</w:t>
      </w:r>
      <w:r w:rsidRPr="00583E1A">
        <w:t xml:space="preserve"> for a </w:t>
      </w:r>
      <w:r w:rsidR="00583E1A" w:rsidRPr="00583E1A">
        <w:rPr>
          <w:position w:val="6"/>
          <w:sz w:val="16"/>
        </w:rPr>
        <w:t>*</w:t>
      </w:r>
      <w:r w:rsidRPr="00583E1A">
        <w:t>direct value shift has the meaning given by section</w:t>
      </w:r>
      <w:r w:rsidR="00583E1A">
        <w:t> </w:t>
      </w:r>
      <w:r w:rsidRPr="00583E1A">
        <w:t>725</w:t>
      </w:r>
      <w:r w:rsidR="00583E1A">
        <w:noBreakHyphen/>
      </w:r>
      <w:r w:rsidRPr="00583E1A">
        <w:t>155.</w:t>
      </w:r>
    </w:p>
    <w:p w:rsidR="00887330" w:rsidRPr="00583E1A" w:rsidRDefault="00887330" w:rsidP="00887330">
      <w:pPr>
        <w:pStyle w:val="Definition"/>
      </w:pPr>
      <w:r w:rsidRPr="00583E1A">
        <w:rPr>
          <w:b/>
          <w:i/>
        </w:rPr>
        <w:t>increasing adjustment</w:t>
      </w:r>
      <w:r w:rsidRPr="00583E1A">
        <w:t xml:space="preserve"> has the meaning given by section</w:t>
      </w:r>
      <w:r w:rsidR="00583E1A">
        <w:t> </w:t>
      </w:r>
      <w:r w:rsidRPr="00583E1A">
        <w:t>195</w:t>
      </w:r>
      <w:r w:rsidR="00583E1A">
        <w:noBreakHyphen/>
      </w:r>
      <w:r w:rsidRPr="00583E1A">
        <w:t xml:space="preserve">1 of the </w:t>
      </w:r>
      <w:r w:rsidR="00583E1A" w:rsidRPr="00583E1A">
        <w:rPr>
          <w:position w:val="6"/>
          <w:sz w:val="16"/>
        </w:rPr>
        <w:t>*</w:t>
      </w:r>
      <w:r w:rsidRPr="00583E1A">
        <w:t>GST Act.</w:t>
      </w:r>
    </w:p>
    <w:p w:rsidR="00887330" w:rsidRPr="00583E1A" w:rsidRDefault="00887330" w:rsidP="00887330">
      <w:pPr>
        <w:pStyle w:val="Definition"/>
      </w:pPr>
      <w:r w:rsidRPr="00583E1A">
        <w:rPr>
          <w:b/>
          <w:i/>
        </w:rPr>
        <w:t>independent candidate</w:t>
      </w:r>
      <w:r w:rsidRPr="00583E1A">
        <w:t xml:space="preserve"> has the meaning given by section</w:t>
      </w:r>
      <w:r w:rsidR="00583E1A">
        <w:t> </w:t>
      </w:r>
      <w:r w:rsidRPr="00583E1A">
        <w:t>30</w:t>
      </w:r>
      <w:r w:rsidR="00583E1A">
        <w:noBreakHyphen/>
      </w:r>
      <w:r w:rsidRPr="00583E1A">
        <w:t>244.</w:t>
      </w:r>
    </w:p>
    <w:p w:rsidR="00887330" w:rsidRPr="00583E1A" w:rsidRDefault="00887330" w:rsidP="00887330">
      <w:pPr>
        <w:pStyle w:val="Definition"/>
      </w:pPr>
      <w:r w:rsidRPr="00583E1A">
        <w:rPr>
          <w:b/>
          <w:i/>
        </w:rPr>
        <w:lastRenderedPageBreak/>
        <w:t>independent member</w:t>
      </w:r>
      <w:r w:rsidRPr="00583E1A">
        <w:t xml:space="preserve"> has the meaning given by section</w:t>
      </w:r>
      <w:r w:rsidR="00583E1A">
        <w:t> </w:t>
      </w:r>
      <w:r w:rsidRPr="00583E1A">
        <w:t>30</w:t>
      </w:r>
      <w:r w:rsidR="00583E1A">
        <w:noBreakHyphen/>
      </w:r>
      <w:r w:rsidRPr="00583E1A">
        <w:t>245.</w:t>
      </w:r>
    </w:p>
    <w:p w:rsidR="003B46D4" w:rsidRPr="00583E1A" w:rsidRDefault="003B46D4" w:rsidP="003B46D4">
      <w:pPr>
        <w:pStyle w:val="Definition"/>
      </w:pPr>
      <w:r w:rsidRPr="00583E1A">
        <w:rPr>
          <w:b/>
          <w:i/>
        </w:rPr>
        <w:t>indexation factor</w:t>
      </w:r>
      <w:r w:rsidRPr="00583E1A">
        <w:t>:</w:t>
      </w:r>
    </w:p>
    <w:p w:rsidR="003B46D4" w:rsidRPr="00583E1A" w:rsidRDefault="003B46D4" w:rsidP="003B46D4">
      <w:pPr>
        <w:pStyle w:val="paragraph"/>
      </w:pPr>
      <w:r w:rsidRPr="00583E1A">
        <w:tab/>
        <w:t>(a)</w:t>
      </w:r>
      <w:r w:rsidRPr="00583E1A">
        <w:tab/>
        <w:t>for an amount mentioned in a provision listed at items</w:t>
      </w:r>
      <w:r w:rsidR="00583E1A">
        <w:t> </w:t>
      </w:r>
      <w:r w:rsidRPr="00583E1A">
        <w:t>8 to 12 in section</w:t>
      </w:r>
      <w:r w:rsidR="00583E1A">
        <w:t> </w:t>
      </w:r>
      <w:r w:rsidRPr="00583E1A">
        <w:t>960</w:t>
      </w:r>
      <w:r w:rsidR="00583E1A">
        <w:noBreakHyphen/>
      </w:r>
      <w:r w:rsidRPr="00583E1A">
        <w:t>265—</w:t>
      </w:r>
      <w:r w:rsidRPr="00583E1A">
        <w:rPr>
          <w:b/>
          <w:i/>
        </w:rPr>
        <w:t xml:space="preserve">indexation factor </w:t>
      </w:r>
      <w:r w:rsidRPr="00583E1A">
        <w:t>has the meaning given by section</w:t>
      </w:r>
      <w:r w:rsidR="00583E1A">
        <w:t> </w:t>
      </w:r>
      <w:r w:rsidRPr="00583E1A">
        <w:t>960</w:t>
      </w:r>
      <w:r w:rsidR="00583E1A">
        <w:noBreakHyphen/>
      </w:r>
      <w:r w:rsidRPr="00583E1A">
        <w:t>285; or</w:t>
      </w:r>
    </w:p>
    <w:p w:rsidR="003B46D4" w:rsidRPr="00583E1A" w:rsidRDefault="003B46D4" w:rsidP="003B46D4">
      <w:pPr>
        <w:pStyle w:val="paragraph"/>
      </w:pPr>
      <w:r w:rsidRPr="00583E1A">
        <w:tab/>
        <w:t>(b)</w:t>
      </w:r>
      <w:r w:rsidRPr="00583E1A">
        <w:tab/>
        <w:t>for an amount mentioned in a provision listed at another item in section</w:t>
      </w:r>
      <w:r w:rsidR="00583E1A">
        <w:t> </w:t>
      </w:r>
      <w:r w:rsidRPr="00583E1A">
        <w:t>960</w:t>
      </w:r>
      <w:r w:rsidR="00583E1A">
        <w:noBreakHyphen/>
      </w:r>
      <w:r w:rsidRPr="00583E1A">
        <w:t>265—</w:t>
      </w:r>
      <w:r w:rsidRPr="00583E1A">
        <w:rPr>
          <w:b/>
          <w:i/>
        </w:rPr>
        <w:t xml:space="preserve">indexation factor </w:t>
      </w:r>
      <w:r w:rsidRPr="00583E1A">
        <w:t>has the meaning given by section</w:t>
      </w:r>
      <w:r w:rsidR="00583E1A">
        <w:t> </w:t>
      </w:r>
      <w:r w:rsidRPr="00583E1A">
        <w:t>960</w:t>
      </w:r>
      <w:r w:rsidR="00583E1A">
        <w:noBreakHyphen/>
      </w:r>
      <w:r w:rsidRPr="00583E1A">
        <w:t>275.</w:t>
      </w:r>
    </w:p>
    <w:p w:rsidR="00951EA6" w:rsidRPr="00583E1A" w:rsidRDefault="00951EA6" w:rsidP="00EC6DBA">
      <w:pPr>
        <w:pStyle w:val="Definition"/>
        <w:keepNext/>
      </w:pPr>
      <w:r w:rsidRPr="00583E1A">
        <w:rPr>
          <w:b/>
          <w:i/>
        </w:rPr>
        <w:t>index number</w:t>
      </w:r>
      <w:r w:rsidRPr="00583E1A">
        <w:t>:</w:t>
      </w:r>
    </w:p>
    <w:p w:rsidR="00951EA6" w:rsidRPr="00583E1A" w:rsidRDefault="00951EA6" w:rsidP="00951EA6">
      <w:pPr>
        <w:pStyle w:val="paragraph"/>
      </w:pPr>
      <w:r w:rsidRPr="00583E1A">
        <w:tab/>
        <w:t>(a)</w:t>
      </w:r>
      <w:r w:rsidRPr="00583E1A">
        <w:tab/>
        <w:t>for an amount mentioned in a provision listed at items</w:t>
      </w:r>
      <w:r w:rsidR="00583E1A">
        <w:t> </w:t>
      </w:r>
      <w:r w:rsidRPr="00583E1A">
        <w:t>8 to 12 in section</w:t>
      </w:r>
      <w:r w:rsidR="00583E1A">
        <w:t> </w:t>
      </w:r>
      <w:r w:rsidRPr="00583E1A">
        <w:t>960</w:t>
      </w:r>
      <w:r w:rsidR="00583E1A">
        <w:noBreakHyphen/>
      </w:r>
      <w:r w:rsidRPr="00583E1A">
        <w:t>265—</w:t>
      </w:r>
      <w:r w:rsidRPr="00583E1A">
        <w:rPr>
          <w:b/>
          <w:i/>
        </w:rPr>
        <w:t xml:space="preserve">index number </w:t>
      </w:r>
      <w:r w:rsidRPr="00583E1A">
        <w:t>has the meaning given by section</w:t>
      </w:r>
      <w:r w:rsidR="00583E1A">
        <w:t> </w:t>
      </w:r>
      <w:r w:rsidRPr="00583E1A">
        <w:t>960</w:t>
      </w:r>
      <w:r w:rsidR="00583E1A">
        <w:noBreakHyphen/>
      </w:r>
      <w:r w:rsidRPr="00583E1A">
        <w:t>285; or</w:t>
      </w:r>
    </w:p>
    <w:p w:rsidR="00951EA6" w:rsidRPr="00583E1A" w:rsidRDefault="00951EA6" w:rsidP="00951EA6">
      <w:pPr>
        <w:pStyle w:val="paragraph"/>
      </w:pPr>
      <w:r w:rsidRPr="00583E1A">
        <w:tab/>
        <w:t>(b)</w:t>
      </w:r>
      <w:r w:rsidRPr="00583E1A">
        <w:tab/>
      </w:r>
      <w:r w:rsidR="008B2F78" w:rsidRPr="0078104C">
        <w:t>for any other amount</w:t>
      </w:r>
      <w:r w:rsidRPr="00583E1A">
        <w:t>—</w:t>
      </w:r>
      <w:r w:rsidRPr="00583E1A">
        <w:rPr>
          <w:b/>
          <w:i/>
        </w:rPr>
        <w:t>index number</w:t>
      </w:r>
      <w:r w:rsidRPr="00583E1A">
        <w:t xml:space="preserve"> has the meaning given by section</w:t>
      </w:r>
      <w:r w:rsidR="00583E1A">
        <w:t> </w:t>
      </w:r>
      <w:r w:rsidRPr="00583E1A">
        <w:t>960</w:t>
      </w:r>
      <w:r w:rsidR="00583E1A">
        <w:noBreakHyphen/>
      </w:r>
      <w:r w:rsidRPr="00583E1A">
        <w:t>280.</w:t>
      </w:r>
    </w:p>
    <w:p w:rsidR="00B03506" w:rsidRPr="00583E1A" w:rsidRDefault="00B03506" w:rsidP="00B03506">
      <w:pPr>
        <w:pStyle w:val="Definition"/>
        <w:rPr>
          <w:b/>
          <w:i/>
        </w:rPr>
      </w:pPr>
      <w:r w:rsidRPr="00583E1A">
        <w:rPr>
          <w:b/>
          <w:i/>
        </w:rPr>
        <w:t>indirect Australian real property interest</w:t>
      </w:r>
      <w:r w:rsidRPr="00583E1A">
        <w:t xml:space="preserve"> has the meaning given by section</w:t>
      </w:r>
      <w:r w:rsidR="00583E1A">
        <w:t> </w:t>
      </w:r>
      <w:r w:rsidRPr="00583E1A">
        <w:t>855</w:t>
      </w:r>
      <w:r w:rsidR="00583E1A">
        <w:noBreakHyphen/>
      </w:r>
      <w:r w:rsidRPr="00583E1A">
        <w:t>25.</w:t>
      </w:r>
    </w:p>
    <w:p w:rsidR="00CE3EDF" w:rsidRPr="00583E1A" w:rsidRDefault="00CE3EDF" w:rsidP="00CE3EDF">
      <w:pPr>
        <w:pStyle w:val="Definition"/>
      </w:pPr>
      <w:r w:rsidRPr="00583E1A">
        <w:rPr>
          <w:b/>
          <w:i/>
        </w:rPr>
        <w:t>indirect equity interests</w:t>
      </w:r>
      <w:r w:rsidRPr="00583E1A">
        <w:t xml:space="preserve">: an entity has </w:t>
      </w:r>
      <w:r w:rsidRPr="00583E1A">
        <w:rPr>
          <w:b/>
          <w:i/>
        </w:rPr>
        <w:t>indirect equity interests</w:t>
      </w:r>
      <w:r w:rsidRPr="00583E1A">
        <w:t xml:space="preserve"> in a company if it has </w:t>
      </w:r>
      <w:r w:rsidR="00583E1A" w:rsidRPr="00583E1A">
        <w:rPr>
          <w:position w:val="6"/>
          <w:sz w:val="16"/>
        </w:rPr>
        <w:t>*</w:t>
      </w:r>
      <w:r w:rsidRPr="00583E1A">
        <w:t>shares or other interests in entities interposed between the entity and the company.</w:t>
      </w:r>
    </w:p>
    <w:p w:rsidR="00887330" w:rsidRPr="00583E1A" w:rsidRDefault="00887330" w:rsidP="00887330">
      <w:pPr>
        <w:pStyle w:val="Definition"/>
      </w:pPr>
      <w:r w:rsidRPr="00583E1A">
        <w:rPr>
          <w:b/>
          <w:i/>
        </w:rPr>
        <w:t>indirect equity or loan interest</w:t>
      </w:r>
      <w:r w:rsidRPr="00583E1A">
        <w:t xml:space="preserve"> has the meaning given by section</w:t>
      </w:r>
      <w:r w:rsidR="00583E1A">
        <w:t> </w:t>
      </w:r>
      <w:r w:rsidRPr="00583E1A">
        <w:t>727</w:t>
      </w:r>
      <w:r w:rsidR="00583E1A">
        <w:noBreakHyphen/>
      </w:r>
      <w:r w:rsidRPr="00583E1A">
        <w:t>525.</w:t>
      </w:r>
    </w:p>
    <w:p w:rsidR="00887330" w:rsidRPr="00583E1A" w:rsidRDefault="00887330" w:rsidP="00A756C6">
      <w:pPr>
        <w:pStyle w:val="Definition"/>
        <w:keepNext/>
        <w:keepLines/>
      </w:pPr>
      <w:r w:rsidRPr="00583E1A">
        <w:rPr>
          <w:b/>
          <w:i/>
        </w:rPr>
        <w:t>indirectly</w:t>
      </w:r>
      <w:r w:rsidRPr="00583E1A">
        <w:t xml:space="preserve">: entities have the right to receive </w:t>
      </w:r>
      <w:r w:rsidR="00583E1A" w:rsidRPr="00583E1A">
        <w:rPr>
          <w:position w:val="6"/>
          <w:sz w:val="16"/>
        </w:rPr>
        <w:t>*</w:t>
      </w:r>
      <w:r w:rsidRPr="00583E1A">
        <w:t xml:space="preserve">dividends or capital of a company </w:t>
      </w:r>
      <w:r w:rsidRPr="00583E1A">
        <w:rPr>
          <w:b/>
          <w:i/>
        </w:rPr>
        <w:t>indirectly</w:t>
      </w:r>
      <w:r w:rsidRPr="00583E1A">
        <w:t xml:space="preserve"> for their own benefit if they would receive the dividends or capital for their own benefit if:</w:t>
      </w:r>
    </w:p>
    <w:p w:rsidR="00887330" w:rsidRPr="00583E1A" w:rsidRDefault="00887330" w:rsidP="00887330">
      <w:pPr>
        <w:pStyle w:val="paragraph"/>
      </w:pPr>
      <w:r w:rsidRPr="00583E1A">
        <w:tab/>
        <w:t>(a)</w:t>
      </w:r>
      <w:r w:rsidRPr="00583E1A">
        <w:tab/>
        <w:t>the company were to pay or distribute the dividends or capital; and</w:t>
      </w:r>
    </w:p>
    <w:p w:rsidR="00887330" w:rsidRPr="00583E1A" w:rsidRDefault="00887330" w:rsidP="00887330">
      <w:pPr>
        <w:pStyle w:val="paragraph"/>
        <w:rPr>
          <w:b/>
          <w:i/>
        </w:rPr>
      </w:pPr>
      <w:r w:rsidRPr="00583E1A">
        <w:tab/>
        <w:t>(b)</w:t>
      </w:r>
      <w:r w:rsidRPr="00583E1A">
        <w:tab/>
        <w:t>the dividends or capital were then successively paid or distributed by each entity interposed between the company and those entities.</w:t>
      </w:r>
    </w:p>
    <w:p w:rsidR="00887330" w:rsidRPr="00583E1A" w:rsidRDefault="00887330" w:rsidP="00887330">
      <w:pPr>
        <w:pStyle w:val="subsection2"/>
      </w:pPr>
      <w:r w:rsidRPr="00583E1A">
        <w:t xml:space="preserve">An </w:t>
      </w:r>
      <w:r w:rsidR="00583E1A" w:rsidRPr="00583E1A">
        <w:rPr>
          <w:position w:val="6"/>
          <w:sz w:val="16"/>
        </w:rPr>
        <w:t>*</w:t>
      </w:r>
      <w:r w:rsidRPr="00583E1A">
        <w:t xml:space="preserve">ultimate owner </w:t>
      </w:r>
      <w:r w:rsidRPr="00583E1A">
        <w:rPr>
          <w:b/>
          <w:i/>
        </w:rPr>
        <w:t>indirectly</w:t>
      </w:r>
      <w:r w:rsidRPr="00583E1A">
        <w:t xml:space="preserve"> has a beneficial interest in a </w:t>
      </w:r>
      <w:r w:rsidR="00583E1A" w:rsidRPr="00583E1A">
        <w:rPr>
          <w:position w:val="6"/>
          <w:sz w:val="16"/>
        </w:rPr>
        <w:t>*</w:t>
      </w:r>
      <w:r w:rsidRPr="00583E1A">
        <w:t xml:space="preserve">CGT asset of an entity, or in </w:t>
      </w:r>
      <w:r w:rsidR="00583E1A" w:rsidRPr="00583E1A">
        <w:rPr>
          <w:position w:val="6"/>
          <w:sz w:val="16"/>
        </w:rPr>
        <w:t>*</w:t>
      </w:r>
      <w:r w:rsidRPr="00583E1A">
        <w:t xml:space="preserve">ordinary income that may be </w:t>
      </w:r>
      <w:r w:rsidR="00583E1A" w:rsidRPr="00583E1A">
        <w:rPr>
          <w:position w:val="6"/>
          <w:sz w:val="16"/>
        </w:rPr>
        <w:t>*</w:t>
      </w:r>
      <w:r w:rsidRPr="00583E1A">
        <w:t xml:space="preserve">derived from a </w:t>
      </w:r>
      <w:r w:rsidR="00583E1A" w:rsidRPr="00583E1A">
        <w:rPr>
          <w:position w:val="6"/>
          <w:sz w:val="16"/>
        </w:rPr>
        <w:t>*</w:t>
      </w:r>
      <w:r w:rsidRPr="00583E1A">
        <w:t>CGT asset of an entity, as described in section</w:t>
      </w:r>
      <w:r w:rsidR="00583E1A">
        <w:t> </w:t>
      </w:r>
      <w:r w:rsidRPr="00583E1A">
        <w:t>149</w:t>
      </w:r>
      <w:r w:rsidR="00583E1A">
        <w:noBreakHyphen/>
      </w:r>
      <w:r w:rsidRPr="00583E1A">
        <w:t>15.</w:t>
      </w:r>
    </w:p>
    <w:p w:rsidR="00B03506" w:rsidRPr="00583E1A" w:rsidRDefault="00B03506" w:rsidP="00B03506">
      <w:pPr>
        <w:pStyle w:val="Definition"/>
        <w:rPr>
          <w:b/>
          <w:i/>
        </w:rPr>
      </w:pPr>
      <w:r w:rsidRPr="00583E1A">
        <w:rPr>
          <w:b/>
          <w:i/>
        </w:rPr>
        <w:t>indirect participation interest</w:t>
      </w:r>
      <w:r w:rsidRPr="00583E1A">
        <w:t xml:space="preserve"> has the meaning given by section</w:t>
      </w:r>
      <w:r w:rsidR="00583E1A">
        <w:t> </w:t>
      </w:r>
      <w:r w:rsidRPr="00583E1A">
        <w:t>960</w:t>
      </w:r>
      <w:r w:rsidR="00583E1A">
        <w:noBreakHyphen/>
      </w:r>
      <w:r w:rsidRPr="00583E1A">
        <w:t>185.</w:t>
      </w:r>
    </w:p>
    <w:p w:rsidR="00887330" w:rsidRPr="00583E1A" w:rsidRDefault="00887330" w:rsidP="00887330">
      <w:pPr>
        <w:pStyle w:val="Definition"/>
      </w:pPr>
      <w:r w:rsidRPr="00583E1A">
        <w:rPr>
          <w:b/>
          <w:i/>
        </w:rPr>
        <w:lastRenderedPageBreak/>
        <w:t>indirect primary equity interest</w:t>
      </w:r>
      <w:r w:rsidRPr="00583E1A">
        <w:t xml:space="preserve"> has the meaning given by section</w:t>
      </w:r>
      <w:r w:rsidR="00583E1A">
        <w:t> </w:t>
      </w:r>
      <w:r w:rsidRPr="00583E1A">
        <w:t>727</w:t>
      </w:r>
      <w:r w:rsidR="00583E1A">
        <w:noBreakHyphen/>
      </w:r>
      <w:r w:rsidRPr="00583E1A">
        <w:t>220.</w:t>
      </w:r>
    </w:p>
    <w:p w:rsidR="00887330" w:rsidRPr="00583E1A" w:rsidRDefault="00887330" w:rsidP="00887330">
      <w:pPr>
        <w:pStyle w:val="Definition"/>
      </w:pPr>
      <w:r w:rsidRPr="00583E1A">
        <w:rPr>
          <w:b/>
          <w:i/>
        </w:rPr>
        <w:t>indirect roll</w:t>
      </w:r>
      <w:r w:rsidR="00583E1A">
        <w:rPr>
          <w:b/>
          <w:i/>
        </w:rPr>
        <w:noBreakHyphen/>
      </w:r>
      <w:r w:rsidRPr="00583E1A">
        <w:rPr>
          <w:b/>
          <w:i/>
        </w:rPr>
        <w:t xml:space="preserve">over replacement </w:t>
      </w:r>
      <w:r w:rsidRPr="00583E1A">
        <w:t>has the meaning given by section</w:t>
      </w:r>
      <w:r w:rsidR="00583E1A">
        <w:t> </w:t>
      </w:r>
      <w:r w:rsidRPr="00583E1A">
        <w:t>723</w:t>
      </w:r>
      <w:r w:rsidR="00583E1A">
        <w:noBreakHyphen/>
      </w:r>
      <w:r w:rsidRPr="00583E1A">
        <w:t>110.</w:t>
      </w:r>
    </w:p>
    <w:p w:rsidR="00694E1A" w:rsidRPr="00583E1A" w:rsidRDefault="00694E1A" w:rsidP="00694E1A">
      <w:pPr>
        <w:pStyle w:val="Definition"/>
      </w:pPr>
      <w:r w:rsidRPr="00583E1A">
        <w:rPr>
          <w:b/>
          <w:i/>
        </w:rPr>
        <w:t>indirect small business participation percentage</w:t>
      </w:r>
      <w:r w:rsidRPr="00583E1A">
        <w:t xml:space="preserve"> has the meaning given by section</w:t>
      </w:r>
      <w:r w:rsidR="00583E1A">
        <w:t> </w:t>
      </w:r>
      <w:r w:rsidRPr="00583E1A">
        <w:t>152</w:t>
      </w:r>
      <w:r w:rsidR="00583E1A">
        <w:noBreakHyphen/>
      </w:r>
      <w:r w:rsidRPr="00583E1A">
        <w:t>75.</w:t>
      </w:r>
    </w:p>
    <w:p w:rsidR="00887330" w:rsidRPr="00583E1A" w:rsidRDefault="00887330" w:rsidP="00887330">
      <w:pPr>
        <w:pStyle w:val="Definition"/>
        <w:keepNext/>
        <w:keepLines/>
      </w:pPr>
      <w:r w:rsidRPr="00583E1A">
        <w:rPr>
          <w:b/>
          <w:i/>
        </w:rPr>
        <w:t>indirect tax</w:t>
      </w:r>
      <w:r w:rsidRPr="00583E1A">
        <w:t xml:space="preserve"> means any of the following:</w:t>
      </w:r>
    </w:p>
    <w:p w:rsidR="00887330" w:rsidRPr="00583E1A" w:rsidRDefault="00887330" w:rsidP="00887330">
      <w:pPr>
        <w:pStyle w:val="paragraph"/>
        <w:keepNext/>
        <w:keepLines/>
      </w:pPr>
      <w:r w:rsidRPr="00583E1A">
        <w:tab/>
        <w:t>(a)</w:t>
      </w:r>
      <w:r w:rsidRPr="00583E1A">
        <w:tab/>
      </w:r>
      <w:r w:rsidR="00583E1A" w:rsidRPr="00583E1A">
        <w:rPr>
          <w:position w:val="6"/>
          <w:sz w:val="16"/>
        </w:rPr>
        <w:t>*</w:t>
      </w:r>
      <w:r w:rsidRPr="00583E1A">
        <w:t>GST;</w:t>
      </w:r>
    </w:p>
    <w:p w:rsidR="00887330" w:rsidRPr="00583E1A" w:rsidRDefault="00887330" w:rsidP="00887330">
      <w:pPr>
        <w:pStyle w:val="paragraph"/>
        <w:keepNext/>
        <w:keepLines/>
      </w:pPr>
      <w:r w:rsidRPr="00583E1A">
        <w:tab/>
        <w:t>(b)</w:t>
      </w:r>
      <w:r w:rsidRPr="00583E1A">
        <w:tab/>
      </w:r>
      <w:r w:rsidR="00583E1A" w:rsidRPr="00583E1A">
        <w:rPr>
          <w:position w:val="6"/>
          <w:sz w:val="16"/>
        </w:rPr>
        <w:t>*</w:t>
      </w:r>
      <w:r w:rsidRPr="00583E1A">
        <w:t>wine tax;</w:t>
      </w:r>
    </w:p>
    <w:p w:rsidR="00887330" w:rsidRPr="00583E1A" w:rsidRDefault="00887330" w:rsidP="00887330">
      <w:pPr>
        <w:pStyle w:val="paragraph"/>
      </w:pPr>
      <w:r w:rsidRPr="00583E1A">
        <w:tab/>
        <w:t>(c)</w:t>
      </w:r>
      <w:r w:rsidRPr="00583E1A">
        <w:tab/>
      </w:r>
      <w:r w:rsidR="00583E1A" w:rsidRPr="00583E1A">
        <w:rPr>
          <w:position w:val="6"/>
          <w:sz w:val="16"/>
        </w:rPr>
        <w:t>*</w:t>
      </w:r>
      <w:r w:rsidRPr="00583E1A">
        <w:t>luxury car tax.</w:t>
      </w:r>
    </w:p>
    <w:p w:rsidR="00887330" w:rsidRPr="00583E1A" w:rsidRDefault="00887330" w:rsidP="00397971">
      <w:pPr>
        <w:pStyle w:val="Definition"/>
        <w:keepNext/>
      </w:pPr>
      <w:r w:rsidRPr="00583E1A">
        <w:rPr>
          <w:b/>
          <w:i/>
        </w:rPr>
        <w:t>indirect tax document</w:t>
      </w:r>
      <w:r w:rsidRPr="00583E1A">
        <w:t xml:space="preserve"> means a document that:</w:t>
      </w:r>
    </w:p>
    <w:p w:rsidR="00887330" w:rsidRPr="00583E1A" w:rsidRDefault="00887330" w:rsidP="00887330">
      <w:pPr>
        <w:pStyle w:val="paragraph"/>
      </w:pPr>
      <w:r w:rsidRPr="00583E1A">
        <w:tab/>
        <w:t>(a)</w:t>
      </w:r>
      <w:r w:rsidRPr="00583E1A">
        <w:tab/>
        <w:t>was obtained by you in the course of:</w:t>
      </w:r>
    </w:p>
    <w:p w:rsidR="00887330" w:rsidRPr="00583E1A" w:rsidRDefault="00887330" w:rsidP="00887330">
      <w:pPr>
        <w:pStyle w:val="paragraphsub"/>
      </w:pPr>
      <w:r w:rsidRPr="00583E1A">
        <w:tab/>
        <w:t>(i)</w:t>
      </w:r>
      <w:r w:rsidRPr="00583E1A">
        <w:tab/>
        <w:t>your appointment or employment by the Commonwealth; or</w:t>
      </w:r>
    </w:p>
    <w:p w:rsidR="00887330" w:rsidRPr="00583E1A" w:rsidRDefault="00887330" w:rsidP="00887330">
      <w:pPr>
        <w:pStyle w:val="paragraphsub"/>
      </w:pPr>
      <w:r w:rsidRPr="00583E1A">
        <w:tab/>
        <w:t>(ii)</w:t>
      </w:r>
      <w:r w:rsidRPr="00583E1A">
        <w:tab/>
        <w:t>the performance of services by you for the Commonwealth; or</w:t>
      </w:r>
    </w:p>
    <w:p w:rsidR="00887330" w:rsidRPr="00583E1A" w:rsidRDefault="00887330" w:rsidP="00887330">
      <w:pPr>
        <w:pStyle w:val="paragraphsub"/>
      </w:pPr>
      <w:r w:rsidRPr="00583E1A">
        <w:tab/>
        <w:t>(iii)</w:t>
      </w:r>
      <w:r w:rsidRPr="00583E1A">
        <w:tab/>
        <w:t>the exercise of powers, or the performance of functions, by you under a delegation by the Commissioner; and</w:t>
      </w:r>
    </w:p>
    <w:p w:rsidR="00887330" w:rsidRPr="00583E1A" w:rsidRDefault="00887330" w:rsidP="00A756C6">
      <w:pPr>
        <w:pStyle w:val="paragraph"/>
        <w:keepNext/>
        <w:keepLines/>
      </w:pPr>
      <w:r w:rsidRPr="00583E1A">
        <w:tab/>
        <w:t>(b)</w:t>
      </w:r>
      <w:r w:rsidRPr="00583E1A">
        <w:tab/>
        <w:t xml:space="preserve">was made or given under, or for the purposes of, an </w:t>
      </w:r>
      <w:r w:rsidR="00583E1A" w:rsidRPr="00583E1A">
        <w:rPr>
          <w:position w:val="6"/>
          <w:sz w:val="16"/>
        </w:rPr>
        <w:t>*</w:t>
      </w:r>
      <w:r w:rsidRPr="00583E1A">
        <w:t>indirect tax law.</w:t>
      </w:r>
    </w:p>
    <w:p w:rsidR="00887330" w:rsidRPr="00583E1A" w:rsidRDefault="00887330" w:rsidP="00887330">
      <w:pPr>
        <w:pStyle w:val="notetext"/>
      </w:pPr>
      <w:r w:rsidRPr="00583E1A">
        <w:t>Example:</w:t>
      </w:r>
      <w:r w:rsidRPr="00583E1A">
        <w:tab/>
        <w:t>A GST return is a document made for the purposes of an indirect tax law.</w:t>
      </w:r>
    </w:p>
    <w:p w:rsidR="00887330" w:rsidRPr="00583E1A" w:rsidRDefault="00887330" w:rsidP="008F1666">
      <w:pPr>
        <w:pStyle w:val="Definition"/>
        <w:keepNext/>
        <w:keepLines/>
      </w:pPr>
      <w:r w:rsidRPr="00583E1A">
        <w:rPr>
          <w:b/>
          <w:i/>
        </w:rPr>
        <w:t>indirect tax information</w:t>
      </w:r>
      <w:r w:rsidRPr="00583E1A">
        <w:t xml:space="preserve"> means information that:</w:t>
      </w:r>
    </w:p>
    <w:p w:rsidR="00887330" w:rsidRPr="00583E1A" w:rsidRDefault="00887330" w:rsidP="008F1666">
      <w:pPr>
        <w:pStyle w:val="paragraph"/>
        <w:keepNext/>
        <w:keepLines/>
      </w:pPr>
      <w:r w:rsidRPr="00583E1A">
        <w:tab/>
        <w:t>(a)</w:t>
      </w:r>
      <w:r w:rsidRPr="00583E1A">
        <w:tab/>
        <w:t>was obtained by you in the course of:</w:t>
      </w:r>
    </w:p>
    <w:p w:rsidR="00887330" w:rsidRPr="00583E1A" w:rsidRDefault="00887330" w:rsidP="00887330">
      <w:pPr>
        <w:pStyle w:val="paragraphsub"/>
      </w:pPr>
      <w:r w:rsidRPr="00583E1A">
        <w:tab/>
        <w:t>(i)</w:t>
      </w:r>
      <w:r w:rsidRPr="00583E1A">
        <w:tab/>
        <w:t>your appointment or employment by the Commonwealth; or</w:t>
      </w:r>
    </w:p>
    <w:p w:rsidR="00887330" w:rsidRPr="00583E1A" w:rsidRDefault="00887330" w:rsidP="00887330">
      <w:pPr>
        <w:pStyle w:val="paragraphsub"/>
      </w:pPr>
      <w:r w:rsidRPr="00583E1A">
        <w:tab/>
        <w:t>(ii)</w:t>
      </w:r>
      <w:r w:rsidRPr="00583E1A">
        <w:tab/>
        <w:t>the performance of services by you for the Commonwealth; or</w:t>
      </w:r>
    </w:p>
    <w:p w:rsidR="00887330" w:rsidRPr="00583E1A" w:rsidRDefault="00887330" w:rsidP="00887330">
      <w:pPr>
        <w:pStyle w:val="paragraphsub"/>
      </w:pPr>
      <w:r w:rsidRPr="00583E1A">
        <w:tab/>
        <w:t>(iii)</w:t>
      </w:r>
      <w:r w:rsidRPr="00583E1A">
        <w:tab/>
        <w:t>the exercise of powers, or the performance of functions, by you under a delegation by the Commissioner; and</w:t>
      </w:r>
    </w:p>
    <w:p w:rsidR="00887330" w:rsidRPr="00583E1A" w:rsidRDefault="00887330" w:rsidP="00887330">
      <w:pPr>
        <w:pStyle w:val="paragraph"/>
      </w:pPr>
      <w:r w:rsidRPr="00583E1A">
        <w:tab/>
        <w:t>(b)</w:t>
      </w:r>
      <w:r w:rsidRPr="00583E1A">
        <w:tab/>
        <w:t xml:space="preserve">was disclosed or obtained under an </w:t>
      </w:r>
      <w:r w:rsidR="00583E1A" w:rsidRPr="00583E1A">
        <w:rPr>
          <w:position w:val="6"/>
          <w:sz w:val="16"/>
        </w:rPr>
        <w:t>*</w:t>
      </w:r>
      <w:r w:rsidRPr="00583E1A">
        <w:t>indirect tax law; and</w:t>
      </w:r>
    </w:p>
    <w:p w:rsidR="00887330" w:rsidRPr="00583E1A" w:rsidRDefault="00887330" w:rsidP="00887330">
      <w:pPr>
        <w:pStyle w:val="paragraph"/>
      </w:pPr>
      <w:r w:rsidRPr="00583E1A">
        <w:tab/>
        <w:t>(c)</w:t>
      </w:r>
      <w:r w:rsidRPr="00583E1A">
        <w:tab/>
        <w:t>relates to the affairs of an entity other than you.</w:t>
      </w:r>
    </w:p>
    <w:p w:rsidR="00887330" w:rsidRPr="00583E1A" w:rsidRDefault="00887330" w:rsidP="008864CB">
      <w:pPr>
        <w:pStyle w:val="Definition"/>
        <w:keepNext/>
      </w:pPr>
      <w:r w:rsidRPr="00583E1A">
        <w:rPr>
          <w:b/>
          <w:i/>
        </w:rPr>
        <w:lastRenderedPageBreak/>
        <w:t>indirect tax law</w:t>
      </w:r>
      <w:r w:rsidRPr="00583E1A">
        <w:t xml:space="preserve"> means any of the following:</w:t>
      </w:r>
    </w:p>
    <w:p w:rsidR="00887330" w:rsidRPr="00583E1A" w:rsidRDefault="00887330" w:rsidP="008864CB">
      <w:pPr>
        <w:pStyle w:val="paragraph"/>
        <w:keepNext/>
      </w:pPr>
      <w:r w:rsidRPr="00583E1A">
        <w:tab/>
        <w:t>(a)</w:t>
      </w:r>
      <w:r w:rsidRPr="00583E1A">
        <w:tab/>
        <w:t xml:space="preserve">the </w:t>
      </w:r>
      <w:r w:rsidR="00583E1A" w:rsidRPr="00583E1A">
        <w:rPr>
          <w:position w:val="6"/>
          <w:sz w:val="16"/>
        </w:rPr>
        <w:t>*</w:t>
      </w:r>
      <w:r w:rsidRPr="00583E1A">
        <w:t>GST law;</w:t>
      </w:r>
    </w:p>
    <w:p w:rsidR="00887330" w:rsidRPr="00583E1A" w:rsidRDefault="00887330" w:rsidP="00887330">
      <w:pPr>
        <w:pStyle w:val="paragraph"/>
      </w:pPr>
      <w:r w:rsidRPr="00583E1A">
        <w:tab/>
        <w:t>(b)</w:t>
      </w:r>
      <w:r w:rsidRPr="00583E1A">
        <w:tab/>
        <w:t xml:space="preserve">the </w:t>
      </w:r>
      <w:r w:rsidR="00583E1A" w:rsidRPr="00583E1A">
        <w:rPr>
          <w:position w:val="6"/>
          <w:sz w:val="16"/>
        </w:rPr>
        <w:t>*</w:t>
      </w:r>
      <w:r w:rsidRPr="00583E1A">
        <w:t>wine tax law;</w:t>
      </w:r>
    </w:p>
    <w:p w:rsidR="00887330" w:rsidRPr="00583E1A" w:rsidRDefault="00887330" w:rsidP="00887330">
      <w:pPr>
        <w:pStyle w:val="paragraph"/>
      </w:pPr>
      <w:r w:rsidRPr="00583E1A">
        <w:tab/>
        <w:t>(c)</w:t>
      </w:r>
      <w:r w:rsidRPr="00583E1A">
        <w:tab/>
        <w:t xml:space="preserve">the </w:t>
      </w:r>
      <w:r w:rsidR="00583E1A" w:rsidRPr="00583E1A">
        <w:rPr>
          <w:position w:val="6"/>
          <w:sz w:val="16"/>
        </w:rPr>
        <w:t>*</w:t>
      </w:r>
      <w:r w:rsidRPr="00583E1A">
        <w:t>luxury car tax law;</w:t>
      </w:r>
    </w:p>
    <w:p w:rsidR="00887330" w:rsidRPr="00583E1A" w:rsidRDefault="00887330" w:rsidP="00887330">
      <w:pPr>
        <w:pStyle w:val="paragraph"/>
      </w:pPr>
      <w:r w:rsidRPr="00583E1A">
        <w:tab/>
        <w:t>(d)</w:t>
      </w:r>
      <w:r w:rsidRPr="00583E1A">
        <w:tab/>
        <w:t xml:space="preserve">the </w:t>
      </w:r>
      <w:r w:rsidR="00583E1A" w:rsidRPr="00583E1A">
        <w:rPr>
          <w:position w:val="6"/>
          <w:sz w:val="16"/>
        </w:rPr>
        <w:t>*</w:t>
      </w:r>
      <w:r w:rsidRPr="00583E1A">
        <w:t>fuel tax law.</w:t>
      </w:r>
    </w:p>
    <w:p w:rsidR="00135739" w:rsidRPr="009918EE" w:rsidRDefault="00135739" w:rsidP="007D29DB">
      <w:pPr>
        <w:pStyle w:val="Definition"/>
        <w:keepNext/>
        <w:keepLines/>
      </w:pPr>
      <w:r w:rsidRPr="009918EE">
        <w:rPr>
          <w:b/>
          <w:i/>
        </w:rPr>
        <w:t>indirect tax or excise ruling</w:t>
      </w:r>
      <w:r w:rsidRPr="009918EE">
        <w:t xml:space="preserve"> means a </w:t>
      </w:r>
      <w:r w:rsidRPr="009918EE">
        <w:rPr>
          <w:position w:val="6"/>
          <w:sz w:val="16"/>
        </w:rPr>
        <w:t>*</w:t>
      </w:r>
      <w:r w:rsidRPr="009918EE">
        <w:t xml:space="preserve">public ruling or a </w:t>
      </w:r>
      <w:r w:rsidRPr="009918EE">
        <w:rPr>
          <w:position w:val="6"/>
          <w:sz w:val="16"/>
        </w:rPr>
        <w:t>*</w:t>
      </w:r>
      <w:r w:rsidRPr="009918EE">
        <w:t>private ruling, to the extent that the ruling relates to:</w:t>
      </w:r>
    </w:p>
    <w:p w:rsidR="00135739" w:rsidRPr="009918EE" w:rsidRDefault="00135739" w:rsidP="007D29DB">
      <w:pPr>
        <w:pStyle w:val="paragraph"/>
        <w:keepNext/>
        <w:keepLines/>
      </w:pPr>
      <w:r w:rsidRPr="009918EE">
        <w:tab/>
        <w:t>(a)</w:t>
      </w:r>
      <w:r w:rsidRPr="009918EE">
        <w:tab/>
        <w:t xml:space="preserve">an </w:t>
      </w:r>
      <w:r w:rsidRPr="009918EE">
        <w:rPr>
          <w:position w:val="6"/>
          <w:sz w:val="16"/>
        </w:rPr>
        <w:t>*</w:t>
      </w:r>
      <w:r w:rsidRPr="009918EE">
        <w:t xml:space="preserve">indirect tax law (other than the </w:t>
      </w:r>
      <w:r w:rsidRPr="009918EE">
        <w:rPr>
          <w:position w:val="6"/>
          <w:sz w:val="16"/>
        </w:rPr>
        <w:t>*</w:t>
      </w:r>
      <w:r w:rsidRPr="009918EE">
        <w:t>fuel tax law); or</w:t>
      </w:r>
    </w:p>
    <w:p w:rsidR="00135739" w:rsidRPr="009918EE" w:rsidRDefault="00135739" w:rsidP="00135739">
      <w:pPr>
        <w:pStyle w:val="paragraph"/>
      </w:pPr>
      <w:r w:rsidRPr="009918EE">
        <w:tab/>
        <w:t>(b)</w:t>
      </w:r>
      <w:r w:rsidRPr="009918EE">
        <w:tab/>
        <w:t xml:space="preserve">an </w:t>
      </w:r>
      <w:r w:rsidRPr="009918EE">
        <w:rPr>
          <w:position w:val="6"/>
          <w:sz w:val="16"/>
        </w:rPr>
        <w:t>*</w:t>
      </w:r>
      <w:r w:rsidRPr="009918EE">
        <w:t>excise law.</w:t>
      </w:r>
    </w:p>
    <w:p w:rsidR="00887330" w:rsidRPr="00583E1A" w:rsidRDefault="00887330" w:rsidP="00887330">
      <w:pPr>
        <w:pStyle w:val="Definition"/>
      </w:pPr>
      <w:r w:rsidRPr="00583E1A">
        <w:rPr>
          <w:b/>
          <w:i/>
        </w:rPr>
        <w:t>indirect value shift</w:t>
      </w:r>
      <w:r w:rsidRPr="00583E1A">
        <w:t xml:space="preserve"> has the meaning given by Subdivision</w:t>
      </w:r>
      <w:r w:rsidR="00583E1A">
        <w:t> </w:t>
      </w:r>
      <w:r w:rsidRPr="00583E1A">
        <w:t>727</w:t>
      </w:r>
      <w:r w:rsidR="00583E1A">
        <w:noBreakHyphen/>
      </w:r>
      <w:r w:rsidRPr="00583E1A">
        <w:t>B.</w:t>
      </w:r>
    </w:p>
    <w:p w:rsidR="00887330" w:rsidRPr="00583E1A" w:rsidRDefault="00887330" w:rsidP="00887330">
      <w:pPr>
        <w:pStyle w:val="Definition"/>
      </w:pPr>
      <w:r w:rsidRPr="00583E1A">
        <w:rPr>
          <w:b/>
          <w:i/>
        </w:rPr>
        <w:t>indirect voting percentage</w:t>
      </w:r>
      <w:r w:rsidRPr="00583E1A">
        <w:t xml:space="preserve"> in a company has the meaning given by section</w:t>
      </w:r>
      <w:r w:rsidR="00583E1A">
        <w:t> </w:t>
      </w:r>
      <w:r w:rsidRPr="00583E1A">
        <w:t>768</w:t>
      </w:r>
      <w:r w:rsidR="00583E1A">
        <w:noBreakHyphen/>
      </w:r>
      <w:r w:rsidRPr="00583E1A">
        <w:t>555.</w:t>
      </w:r>
    </w:p>
    <w:p w:rsidR="00887330" w:rsidRPr="00583E1A" w:rsidRDefault="00887330" w:rsidP="00887330">
      <w:pPr>
        <w:pStyle w:val="Definition"/>
      </w:pPr>
      <w:r w:rsidRPr="00583E1A">
        <w:rPr>
          <w:b/>
          <w:i/>
        </w:rPr>
        <w:t xml:space="preserve">individual </w:t>
      </w:r>
      <w:r w:rsidRPr="00583E1A">
        <w:t>means a natural person.</w:t>
      </w:r>
    </w:p>
    <w:p w:rsidR="00887330" w:rsidRPr="00583E1A" w:rsidRDefault="00887330" w:rsidP="008A179D">
      <w:pPr>
        <w:pStyle w:val="Definition"/>
        <w:keepNext/>
        <w:keepLines/>
      </w:pPr>
      <w:r w:rsidRPr="00583E1A">
        <w:rPr>
          <w:b/>
          <w:i/>
        </w:rPr>
        <w:t>individual asset method</w:t>
      </w:r>
      <w:r w:rsidRPr="00583E1A">
        <w:t>:</w:t>
      </w:r>
    </w:p>
    <w:p w:rsidR="00887330" w:rsidRPr="00583E1A" w:rsidRDefault="00887330" w:rsidP="00887330">
      <w:pPr>
        <w:pStyle w:val="paragraph"/>
      </w:pPr>
      <w:r w:rsidRPr="00583E1A">
        <w:tab/>
        <w:t>(a)</w:t>
      </w:r>
      <w:r w:rsidRPr="00583E1A">
        <w:tab/>
        <w:t>of working out whether a company has an unrealised net loss at a particular time, has the meaning given by section</w:t>
      </w:r>
      <w:r w:rsidR="00583E1A">
        <w:t> </w:t>
      </w:r>
      <w:r w:rsidRPr="00583E1A">
        <w:t>165</w:t>
      </w:r>
      <w:r w:rsidR="00583E1A">
        <w:noBreakHyphen/>
      </w:r>
      <w:r w:rsidRPr="00583E1A">
        <w:t>115E; and</w:t>
      </w:r>
    </w:p>
    <w:p w:rsidR="00887330" w:rsidRPr="00583E1A" w:rsidRDefault="00887330" w:rsidP="00887330">
      <w:pPr>
        <w:pStyle w:val="paragraph"/>
      </w:pPr>
      <w:r w:rsidRPr="00583E1A">
        <w:tab/>
        <w:t>(b)</w:t>
      </w:r>
      <w:r w:rsidRPr="00583E1A">
        <w:tab/>
        <w:t>of working out whether a company has an adjusted unrealised loss at a particular time, has the meaning given by section</w:t>
      </w:r>
      <w:r w:rsidR="00583E1A">
        <w:t> </w:t>
      </w:r>
      <w:r w:rsidRPr="00583E1A">
        <w:t>165</w:t>
      </w:r>
      <w:r w:rsidR="00583E1A">
        <w:noBreakHyphen/>
      </w:r>
      <w:r w:rsidRPr="00583E1A">
        <w:t>115U.</w:t>
      </w:r>
    </w:p>
    <w:p w:rsidR="00887330" w:rsidRPr="00583E1A" w:rsidRDefault="00887330" w:rsidP="00887330">
      <w:pPr>
        <w:pStyle w:val="Definition"/>
      </w:pPr>
      <w:r w:rsidRPr="00583E1A">
        <w:rPr>
          <w:b/>
          <w:i/>
        </w:rPr>
        <w:t>individual superannuation guarantee shortfall</w:t>
      </w:r>
      <w:r w:rsidRPr="00583E1A">
        <w:t xml:space="preserve"> has the meaning given by section</w:t>
      </w:r>
      <w:r w:rsidR="00583E1A">
        <w:t> </w:t>
      </w:r>
      <w:r w:rsidRPr="00583E1A">
        <w:t xml:space="preserve">19 of the </w:t>
      </w:r>
      <w:r w:rsidRPr="00583E1A">
        <w:rPr>
          <w:i/>
        </w:rPr>
        <w:t>Superannuation Guarantee (Administration) Act 1992</w:t>
      </w:r>
      <w:r w:rsidRPr="00583E1A">
        <w:t>.</w:t>
      </w:r>
    </w:p>
    <w:p w:rsidR="00887330" w:rsidRPr="00583E1A" w:rsidRDefault="00887330" w:rsidP="00887330">
      <w:pPr>
        <w:pStyle w:val="Definition"/>
      </w:pPr>
      <w:r w:rsidRPr="00583E1A">
        <w:rPr>
          <w:b/>
          <w:i/>
        </w:rPr>
        <w:t>industrial activities</w:t>
      </w:r>
      <w:r w:rsidRPr="00583E1A">
        <w:t xml:space="preserve"> has the meaning given by section</w:t>
      </w:r>
      <w:r w:rsidR="00583E1A">
        <w:t> </w:t>
      </w:r>
      <w:r w:rsidRPr="00583E1A">
        <w:t>43</w:t>
      </w:r>
      <w:r w:rsidR="00583E1A">
        <w:noBreakHyphen/>
      </w:r>
      <w:r w:rsidRPr="00583E1A">
        <w:t>150.</w:t>
      </w:r>
    </w:p>
    <w:p w:rsidR="00887330" w:rsidRPr="00583E1A" w:rsidRDefault="00887330" w:rsidP="00887330">
      <w:pPr>
        <w:pStyle w:val="Definition"/>
      </w:pPr>
      <w:r w:rsidRPr="00583E1A">
        <w:rPr>
          <w:b/>
          <w:i/>
        </w:rPr>
        <w:t>industrial instrument</w:t>
      </w:r>
      <w:r w:rsidRPr="00583E1A">
        <w:t xml:space="preserve"> means:</w:t>
      </w:r>
    </w:p>
    <w:p w:rsidR="00887330" w:rsidRPr="00583E1A" w:rsidRDefault="00887330" w:rsidP="00887330">
      <w:pPr>
        <w:pStyle w:val="paragraph"/>
      </w:pPr>
      <w:r w:rsidRPr="00583E1A">
        <w:tab/>
        <w:t>(a)</w:t>
      </w:r>
      <w:r w:rsidRPr="00583E1A">
        <w:tab/>
        <w:t xml:space="preserve">an </w:t>
      </w:r>
      <w:r w:rsidR="00583E1A" w:rsidRPr="00583E1A">
        <w:rPr>
          <w:position w:val="6"/>
          <w:sz w:val="16"/>
        </w:rPr>
        <w:t>*</w:t>
      </w:r>
      <w:r w:rsidRPr="00583E1A">
        <w:t>Australian law; or</w:t>
      </w:r>
    </w:p>
    <w:p w:rsidR="00887330" w:rsidRPr="00583E1A" w:rsidRDefault="00887330" w:rsidP="00887330">
      <w:pPr>
        <w:pStyle w:val="paragraph"/>
      </w:pPr>
      <w:r w:rsidRPr="00583E1A">
        <w:tab/>
        <w:t>(b)</w:t>
      </w:r>
      <w:r w:rsidRPr="00583E1A">
        <w:tab/>
        <w:t xml:space="preserve">an award, order, determination or industrial agreement in force under an </w:t>
      </w:r>
      <w:r w:rsidR="00583E1A" w:rsidRPr="00583E1A">
        <w:rPr>
          <w:position w:val="6"/>
          <w:sz w:val="16"/>
        </w:rPr>
        <w:t>*</w:t>
      </w:r>
      <w:r w:rsidRPr="00583E1A">
        <w:t>Australian law.</w:t>
      </w:r>
    </w:p>
    <w:p w:rsidR="009C0716" w:rsidRPr="00583E1A" w:rsidRDefault="009C0716" w:rsidP="009C0716">
      <w:pPr>
        <w:pStyle w:val="Definition"/>
      </w:pPr>
      <w:r w:rsidRPr="00583E1A">
        <w:rPr>
          <w:b/>
          <w:i/>
        </w:rPr>
        <w:t>Industry Department</w:t>
      </w:r>
      <w:r w:rsidRPr="00583E1A">
        <w:t xml:space="preserve"> means the Department that:</w:t>
      </w:r>
    </w:p>
    <w:p w:rsidR="009C0716" w:rsidRPr="00583E1A" w:rsidRDefault="009C0716" w:rsidP="009C0716">
      <w:pPr>
        <w:pStyle w:val="paragraph"/>
      </w:pPr>
      <w:r w:rsidRPr="00583E1A">
        <w:tab/>
        <w:t>(a)</w:t>
      </w:r>
      <w:r w:rsidRPr="00583E1A">
        <w:tab/>
        <w:t>deals with matters arising under section</w:t>
      </w:r>
      <w:r w:rsidR="00583E1A">
        <w:t> </w:t>
      </w:r>
      <w:r w:rsidRPr="00583E1A">
        <w:t xml:space="preserve">1 of the </w:t>
      </w:r>
      <w:r w:rsidRPr="00583E1A">
        <w:rPr>
          <w:i/>
        </w:rPr>
        <w:t>Industry Research and Development Act 1986</w:t>
      </w:r>
      <w:r w:rsidRPr="00583E1A">
        <w:t>; and</w:t>
      </w:r>
    </w:p>
    <w:p w:rsidR="009C0716" w:rsidRPr="00583E1A" w:rsidRDefault="009C0716" w:rsidP="009C0716">
      <w:pPr>
        <w:pStyle w:val="paragraph"/>
      </w:pPr>
      <w:r w:rsidRPr="00583E1A">
        <w:lastRenderedPageBreak/>
        <w:tab/>
        <w:t>(b)</w:t>
      </w:r>
      <w:r w:rsidRPr="00583E1A">
        <w:tab/>
        <w:t xml:space="preserve">is administered by the </w:t>
      </w:r>
      <w:r w:rsidR="00583E1A" w:rsidRPr="00583E1A">
        <w:rPr>
          <w:position w:val="6"/>
          <w:sz w:val="16"/>
        </w:rPr>
        <w:t>*</w:t>
      </w:r>
      <w:r w:rsidRPr="00583E1A">
        <w:t>Industry Minister.</w:t>
      </w:r>
    </w:p>
    <w:p w:rsidR="009C0716" w:rsidRPr="00583E1A" w:rsidRDefault="009C0716" w:rsidP="009C0716">
      <w:pPr>
        <w:pStyle w:val="Definition"/>
      </w:pPr>
      <w:r w:rsidRPr="00583E1A">
        <w:rPr>
          <w:b/>
          <w:i/>
        </w:rPr>
        <w:t>Industry Minister</w:t>
      </w:r>
      <w:r w:rsidRPr="00583E1A">
        <w:t xml:space="preserve"> means the Minister administering section</w:t>
      </w:r>
      <w:r w:rsidR="00583E1A">
        <w:t> </w:t>
      </w:r>
      <w:r w:rsidRPr="00583E1A">
        <w:t xml:space="preserve">1 of the </w:t>
      </w:r>
      <w:r w:rsidRPr="00583E1A">
        <w:rPr>
          <w:i/>
        </w:rPr>
        <w:t>Industry Research and Development Act 1986</w:t>
      </w:r>
      <w:r w:rsidRPr="00583E1A">
        <w:t>.</w:t>
      </w:r>
    </w:p>
    <w:p w:rsidR="009C0716" w:rsidRPr="00583E1A" w:rsidRDefault="009C0716" w:rsidP="009C0716">
      <w:pPr>
        <w:pStyle w:val="Definition"/>
      </w:pPr>
      <w:r w:rsidRPr="00583E1A">
        <w:rPr>
          <w:b/>
          <w:i/>
        </w:rPr>
        <w:t>Industry Secretary</w:t>
      </w:r>
      <w:r w:rsidRPr="00583E1A">
        <w:t xml:space="preserve"> means the Secretary of the </w:t>
      </w:r>
      <w:r w:rsidR="00583E1A" w:rsidRPr="00583E1A">
        <w:rPr>
          <w:position w:val="6"/>
          <w:sz w:val="16"/>
        </w:rPr>
        <w:t>*</w:t>
      </w:r>
      <w:r w:rsidRPr="00583E1A">
        <w:t>Industry Department.</w:t>
      </w:r>
    </w:p>
    <w:p w:rsidR="0060138E" w:rsidRPr="00583E1A" w:rsidRDefault="0060138E" w:rsidP="0060138E">
      <w:pPr>
        <w:pStyle w:val="Definition"/>
      </w:pPr>
      <w:r w:rsidRPr="00583E1A">
        <w:rPr>
          <w:b/>
          <w:i/>
        </w:rPr>
        <w:t>information exchange country</w:t>
      </w:r>
      <w:r w:rsidRPr="00583E1A">
        <w:t xml:space="preserve"> has the meaning given by section</w:t>
      </w:r>
      <w:r w:rsidR="00583E1A">
        <w:t> </w:t>
      </w:r>
      <w:r w:rsidRPr="00583E1A">
        <w:t>12</w:t>
      </w:r>
      <w:r w:rsidR="00583E1A">
        <w:noBreakHyphen/>
      </w:r>
      <w:r w:rsidRPr="00583E1A">
        <w:t>385 in Schedule</w:t>
      </w:r>
      <w:r w:rsidR="00583E1A">
        <w:t> </w:t>
      </w:r>
      <w:r w:rsidRPr="00583E1A">
        <w:t xml:space="preserve">1 to the </w:t>
      </w:r>
      <w:r w:rsidRPr="00583E1A">
        <w:rPr>
          <w:i/>
        </w:rPr>
        <w:t>Taxation Administration Act 1953</w:t>
      </w:r>
      <w:r w:rsidRPr="00583E1A">
        <w:t>.</w:t>
      </w:r>
    </w:p>
    <w:p w:rsidR="00887330" w:rsidRPr="00583E1A" w:rsidRDefault="00887330" w:rsidP="00887330">
      <w:pPr>
        <w:pStyle w:val="Definition"/>
      </w:pPr>
      <w:r w:rsidRPr="00583E1A">
        <w:rPr>
          <w:b/>
          <w:i/>
        </w:rPr>
        <w:t>in</w:t>
      </w:r>
      <w:r w:rsidR="00583E1A">
        <w:rPr>
          <w:b/>
          <w:i/>
        </w:rPr>
        <w:noBreakHyphen/>
      </w:r>
      <w:r w:rsidRPr="00583E1A">
        <w:rPr>
          <w:b/>
          <w:i/>
        </w:rPr>
        <w:t>house dining facility</w:t>
      </w:r>
      <w:r w:rsidRPr="00583E1A">
        <w:t xml:space="preserve"> has the meaning given by section</w:t>
      </w:r>
      <w:r w:rsidR="00583E1A">
        <w:t> </w:t>
      </w:r>
      <w:r w:rsidRPr="00583E1A">
        <w:t>32</w:t>
      </w:r>
      <w:r w:rsidR="00583E1A">
        <w:noBreakHyphen/>
      </w:r>
      <w:r w:rsidRPr="00583E1A">
        <w:t>55.</w:t>
      </w:r>
    </w:p>
    <w:p w:rsidR="00887330" w:rsidRPr="00583E1A" w:rsidRDefault="00887330" w:rsidP="00887330">
      <w:pPr>
        <w:pStyle w:val="Definition"/>
      </w:pPr>
      <w:r w:rsidRPr="00583E1A">
        <w:rPr>
          <w:b/>
          <w:i/>
        </w:rPr>
        <w:t>in</w:t>
      </w:r>
      <w:r w:rsidR="00583E1A">
        <w:rPr>
          <w:b/>
          <w:i/>
        </w:rPr>
        <w:noBreakHyphen/>
      </w:r>
      <w:r w:rsidRPr="00583E1A">
        <w:rPr>
          <w:b/>
          <w:i/>
        </w:rPr>
        <w:t>house software</w:t>
      </w:r>
      <w:r w:rsidRPr="00583E1A">
        <w:t xml:space="preserve"> is computer software, or a </w:t>
      </w:r>
      <w:r w:rsidR="00277AD2" w:rsidRPr="00214FF7">
        <w:rPr>
          <w:position w:val="6"/>
          <w:sz w:val="16"/>
        </w:rPr>
        <w:t>*</w:t>
      </w:r>
      <w:r w:rsidR="00277AD2" w:rsidRPr="00214FF7">
        <w:t>right to use</w:t>
      </w:r>
      <w:r w:rsidRPr="00583E1A">
        <w:t xml:space="preserve"> computer software, that you acquire, develop or have another entity develop:</w:t>
      </w:r>
    </w:p>
    <w:p w:rsidR="00887330" w:rsidRPr="00583E1A" w:rsidRDefault="00887330" w:rsidP="00887330">
      <w:pPr>
        <w:pStyle w:val="paragraph"/>
      </w:pPr>
      <w:r w:rsidRPr="00583E1A">
        <w:tab/>
        <w:t>(a)</w:t>
      </w:r>
      <w:r w:rsidRPr="00583E1A">
        <w:tab/>
        <w:t>that is mainly for you to use in performing the functions for which the software was developed; and</w:t>
      </w:r>
    </w:p>
    <w:p w:rsidR="00887330" w:rsidRPr="00583E1A" w:rsidRDefault="00887330" w:rsidP="00887330">
      <w:pPr>
        <w:pStyle w:val="paragraph"/>
      </w:pPr>
      <w:r w:rsidRPr="00583E1A">
        <w:tab/>
        <w:t>(b)</w:t>
      </w:r>
      <w:r w:rsidRPr="00583E1A">
        <w:tab/>
        <w:t>for which you cannot deduct amounts under a provision of this Act outside Divisions</w:t>
      </w:r>
      <w:r w:rsidR="00583E1A">
        <w:t> </w:t>
      </w:r>
      <w:r w:rsidRPr="00583E1A">
        <w:t>40 and 328.</w:t>
      </w:r>
    </w:p>
    <w:p w:rsidR="00887330" w:rsidRPr="00583E1A" w:rsidRDefault="00887330" w:rsidP="00F13347">
      <w:pPr>
        <w:pStyle w:val="Definition"/>
        <w:keepNext/>
        <w:keepLines/>
      </w:pPr>
      <w:r w:rsidRPr="00583E1A">
        <w:rPr>
          <w:b/>
          <w:i/>
        </w:rPr>
        <w:t>initial head company instalment rate</w:t>
      </w:r>
      <w:r w:rsidRPr="00583E1A">
        <w:t xml:space="preserve">, for a </w:t>
      </w:r>
      <w:r w:rsidR="00583E1A" w:rsidRPr="00583E1A">
        <w:rPr>
          <w:position w:val="6"/>
          <w:sz w:val="16"/>
        </w:rPr>
        <w:t>*</w:t>
      </w:r>
      <w:r w:rsidRPr="00583E1A">
        <w:t xml:space="preserve">head company of a </w:t>
      </w:r>
      <w:r w:rsidR="00583E1A" w:rsidRPr="00583E1A">
        <w:rPr>
          <w:position w:val="6"/>
          <w:sz w:val="16"/>
        </w:rPr>
        <w:t>*</w:t>
      </w:r>
      <w:r w:rsidRPr="00583E1A">
        <w:t xml:space="preserve">consolidated group, or a </w:t>
      </w:r>
      <w:r w:rsidR="00583E1A" w:rsidRPr="00583E1A">
        <w:rPr>
          <w:position w:val="6"/>
          <w:sz w:val="16"/>
        </w:rPr>
        <w:t>*</w:t>
      </w:r>
      <w:r w:rsidRPr="00583E1A">
        <w:t xml:space="preserve">provisional head company of a </w:t>
      </w:r>
      <w:r w:rsidR="00583E1A" w:rsidRPr="00583E1A">
        <w:rPr>
          <w:position w:val="6"/>
          <w:sz w:val="16"/>
        </w:rPr>
        <w:t>*</w:t>
      </w:r>
      <w:r w:rsidRPr="00583E1A">
        <w:t xml:space="preserve">MEC group, is an </w:t>
      </w:r>
      <w:r w:rsidR="00583E1A" w:rsidRPr="00583E1A">
        <w:rPr>
          <w:position w:val="6"/>
          <w:sz w:val="16"/>
        </w:rPr>
        <w:t>*</w:t>
      </w:r>
      <w:r w:rsidRPr="00583E1A">
        <w:t>instalment rate worked out on the basis of:</w:t>
      </w:r>
    </w:p>
    <w:p w:rsidR="00887330" w:rsidRPr="00583E1A" w:rsidRDefault="00887330" w:rsidP="00887330">
      <w:pPr>
        <w:pStyle w:val="paragraph"/>
      </w:pPr>
      <w:r w:rsidRPr="00583E1A">
        <w:tab/>
        <w:t>(a)</w:t>
      </w:r>
      <w:r w:rsidRPr="00583E1A">
        <w:tab/>
        <w:t>for a group that comes into existence in an income year under section</w:t>
      </w:r>
      <w:r w:rsidR="00583E1A">
        <w:t> </w:t>
      </w:r>
      <w:r w:rsidRPr="00583E1A">
        <w:t>703</w:t>
      </w:r>
      <w:r w:rsidR="00583E1A">
        <w:noBreakHyphen/>
      </w:r>
      <w:r w:rsidRPr="00583E1A">
        <w:t>50 or 719</w:t>
      </w:r>
      <w:r w:rsidR="00583E1A">
        <w:noBreakHyphen/>
      </w:r>
      <w:r w:rsidRPr="00583E1A">
        <w:t xml:space="preserve">50—the first </w:t>
      </w:r>
      <w:r w:rsidR="00583E1A" w:rsidRPr="00583E1A">
        <w:rPr>
          <w:position w:val="6"/>
          <w:sz w:val="16"/>
        </w:rPr>
        <w:t>*</w:t>
      </w:r>
      <w:r w:rsidRPr="00583E1A">
        <w:t xml:space="preserve">base assessment of a company as the head company of that group for which the </w:t>
      </w:r>
      <w:r w:rsidR="00583E1A" w:rsidRPr="00583E1A">
        <w:rPr>
          <w:position w:val="6"/>
          <w:sz w:val="16"/>
        </w:rPr>
        <w:t>*</w:t>
      </w:r>
      <w:r w:rsidRPr="00583E1A">
        <w:t>base year is that income year; and</w:t>
      </w:r>
    </w:p>
    <w:p w:rsidR="00887330" w:rsidRPr="00583E1A" w:rsidRDefault="00887330" w:rsidP="008F1666">
      <w:pPr>
        <w:pStyle w:val="paragraph"/>
        <w:keepNext/>
        <w:keepLines/>
      </w:pPr>
      <w:r w:rsidRPr="00583E1A">
        <w:tab/>
        <w:t>(b)</w:t>
      </w:r>
      <w:r w:rsidRPr="00583E1A">
        <w:tab/>
        <w:t>for a group (the</w:t>
      </w:r>
      <w:r w:rsidRPr="00583E1A">
        <w:rPr>
          <w:b/>
          <w:i/>
        </w:rPr>
        <w:t xml:space="preserve"> later group</w:t>
      </w:r>
      <w:r w:rsidRPr="00583E1A">
        <w:t>) for which either of the following conditions is satisfied:</w:t>
      </w:r>
    </w:p>
    <w:p w:rsidR="00887330" w:rsidRPr="00583E1A" w:rsidRDefault="00887330" w:rsidP="00887330">
      <w:pPr>
        <w:pStyle w:val="paragraphsub"/>
      </w:pPr>
      <w:r w:rsidRPr="00583E1A">
        <w:tab/>
        <w:t>(i)</w:t>
      </w:r>
      <w:r w:rsidRPr="00583E1A">
        <w:tab/>
        <w:t xml:space="preserve">the later group is </w:t>
      </w:r>
      <w:r w:rsidR="00583E1A" w:rsidRPr="00583E1A">
        <w:rPr>
          <w:position w:val="6"/>
          <w:sz w:val="16"/>
        </w:rPr>
        <w:t>*</w:t>
      </w:r>
      <w:r w:rsidRPr="00583E1A">
        <w:t>created from a group (the</w:t>
      </w:r>
      <w:r w:rsidRPr="00583E1A">
        <w:rPr>
          <w:b/>
          <w:i/>
        </w:rPr>
        <w:t xml:space="preserve"> first group</w:t>
      </w:r>
      <w:r w:rsidRPr="00583E1A">
        <w:t>) that comes into existence under section</w:t>
      </w:r>
      <w:r w:rsidR="00583E1A">
        <w:t> </w:t>
      </w:r>
      <w:r w:rsidRPr="00583E1A">
        <w:t>703</w:t>
      </w:r>
      <w:r w:rsidR="00583E1A">
        <w:noBreakHyphen/>
      </w:r>
      <w:r w:rsidRPr="00583E1A">
        <w:t>50 or 719</w:t>
      </w:r>
      <w:r w:rsidR="00583E1A">
        <w:noBreakHyphen/>
      </w:r>
      <w:r w:rsidRPr="00583E1A">
        <w:t>50;</w:t>
      </w:r>
    </w:p>
    <w:p w:rsidR="00887330" w:rsidRPr="00583E1A" w:rsidRDefault="00887330" w:rsidP="00887330">
      <w:pPr>
        <w:pStyle w:val="paragraphsub"/>
      </w:pPr>
      <w:r w:rsidRPr="00583E1A">
        <w:tab/>
        <w:t>(ii)</w:t>
      </w:r>
      <w:r w:rsidRPr="00583E1A">
        <w:tab/>
        <w:t>starting from the first group, consolidated groups or MEC groups are successively created, ending in the creation of the later group;</w:t>
      </w:r>
    </w:p>
    <w:p w:rsidR="00887330" w:rsidRPr="00583E1A" w:rsidRDefault="00887330" w:rsidP="00887330">
      <w:pPr>
        <w:pStyle w:val="paragraph"/>
      </w:pPr>
      <w:r w:rsidRPr="00583E1A">
        <w:tab/>
      </w:r>
      <w:r w:rsidRPr="00583E1A">
        <w:tab/>
        <w:t xml:space="preserve">the first base assessment of a company as the head company of the first group, the later group or any other group covered </w:t>
      </w:r>
      <w:r w:rsidRPr="00583E1A">
        <w:lastRenderedPageBreak/>
        <w:t xml:space="preserve">by </w:t>
      </w:r>
      <w:r w:rsidR="00583E1A">
        <w:t>subparagraph (</w:t>
      </w:r>
      <w:r w:rsidRPr="00583E1A">
        <w:t>ii), for which the base year is the income year in which the first group comes into existence.</w:t>
      </w:r>
    </w:p>
    <w:p w:rsidR="00887330" w:rsidRPr="00583E1A" w:rsidRDefault="00887330" w:rsidP="00887330">
      <w:pPr>
        <w:pStyle w:val="notetext"/>
      </w:pPr>
      <w:r w:rsidRPr="00583E1A">
        <w:t>Note:</w:t>
      </w:r>
      <w:r w:rsidRPr="00583E1A">
        <w:tab/>
        <w:t xml:space="preserve">For example, </w:t>
      </w:r>
      <w:r w:rsidR="00583E1A">
        <w:t>subparagraph (</w:t>
      </w:r>
      <w:r w:rsidRPr="00583E1A">
        <w:t>b)(ii) covers a consolidated group that is created from a MEC group, which was in turn created from a consolidated group that came into existence under section</w:t>
      </w:r>
      <w:r w:rsidR="00583E1A">
        <w:t> </w:t>
      </w:r>
      <w:r w:rsidRPr="00583E1A">
        <w:t>703</w:t>
      </w:r>
      <w:r w:rsidR="00583E1A">
        <w:noBreakHyphen/>
      </w:r>
      <w:r w:rsidRPr="00583E1A">
        <w:t>50.</w:t>
      </w:r>
    </w:p>
    <w:p w:rsidR="006D2C43" w:rsidRPr="00583E1A" w:rsidRDefault="006D2C43" w:rsidP="006D2C43">
      <w:pPr>
        <w:pStyle w:val="Definition"/>
      </w:pPr>
      <w:r w:rsidRPr="00583E1A">
        <w:rPr>
          <w:b/>
          <w:i/>
        </w:rPr>
        <w:t>initial participant</w:t>
      </w:r>
      <w:r w:rsidRPr="00583E1A">
        <w:t xml:space="preserve"> in a </w:t>
      </w:r>
      <w:r w:rsidR="00583E1A" w:rsidRPr="00583E1A">
        <w:rPr>
          <w:position w:val="6"/>
          <w:sz w:val="16"/>
        </w:rPr>
        <w:t>*</w:t>
      </w:r>
      <w:r w:rsidRPr="00583E1A">
        <w:t>forestry managed investment scheme has the meaning given by subsection 394</w:t>
      </w:r>
      <w:r w:rsidR="00583E1A">
        <w:noBreakHyphen/>
      </w:r>
      <w:r w:rsidRPr="00583E1A">
        <w:t>15(5).</w:t>
      </w:r>
    </w:p>
    <w:p w:rsidR="00887330" w:rsidRPr="00583E1A" w:rsidRDefault="00887330" w:rsidP="00887330">
      <w:pPr>
        <w:pStyle w:val="Definition"/>
      </w:pPr>
      <w:r w:rsidRPr="00583E1A">
        <w:rPr>
          <w:b/>
          <w:i/>
        </w:rPr>
        <w:t>injected amount</w:t>
      </w:r>
      <w:r w:rsidRPr="00583E1A">
        <w:t xml:space="preserve"> has the meaning given by sections</w:t>
      </w:r>
      <w:r w:rsidR="00583E1A">
        <w:t> </w:t>
      </w:r>
      <w:r w:rsidRPr="00583E1A">
        <w:t>175</w:t>
      </w:r>
      <w:r w:rsidR="00583E1A">
        <w:noBreakHyphen/>
      </w:r>
      <w:r w:rsidRPr="00583E1A">
        <w:t>10, 175</w:t>
      </w:r>
      <w:r w:rsidR="00583E1A">
        <w:noBreakHyphen/>
      </w:r>
      <w:r w:rsidRPr="00583E1A">
        <w:t>20 and 175</w:t>
      </w:r>
      <w:r w:rsidR="00583E1A">
        <w:noBreakHyphen/>
      </w:r>
      <w:r w:rsidRPr="00583E1A">
        <w:t>85.</w:t>
      </w:r>
    </w:p>
    <w:p w:rsidR="00887330" w:rsidRPr="00583E1A" w:rsidRDefault="00887330" w:rsidP="00887330">
      <w:pPr>
        <w:pStyle w:val="Definition"/>
      </w:pPr>
      <w:r w:rsidRPr="00583E1A">
        <w:rPr>
          <w:b/>
          <w:i/>
        </w:rPr>
        <w:t>injured person</w:t>
      </w:r>
      <w:r w:rsidRPr="00583E1A">
        <w:t>:</w:t>
      </w:r>
    </w:p>
    <w:p w:rsidR="00887330" w:rsidRPr="00583E1A" w:rsidRDefault="00887330" w:rsidP="00887330">
      <w:pPr>
        <w:pStyle w:val="paragraph"/>
      </w:pPr>
      <w:r w:rsidRPr="00583E1A">
        <w:tab/>
        <w:t>(a)</w:t>
      </w:r>
      <w:r w:rsidRPr="00583E1A">
        <w:tab/>
        <w:t xml:space="preserve">in relation to a </w:t>
      </w:r>
      <w:r w:rsidR="00583E1A" w:rsidRPr="00583E1A">
        <w:rPr>
          <w:position w:val="6"/>
          <w:sz w:val="16"/>
        </w:rPr>
        <w:t>*</w:t>
      </w:r>
      <w:r w:rsidRPr="00583E1A">
        <w:t>structured settlement, has the meaning given by subparagraph 54</w:t>
      </w:r>
      <w:r w:rsidR="00583E1A">
        <w:noBreakHyphen/>
      </w:r>
      <w:r w:rsidRPr="00583E1A">
        <w:t>10(1)(a)(i); and</w:t>
      </w:r>
    </w:p>
    <w:p w:rsidR="00887330" w:rsidRPr="00583E1A" w:rsidRDefault="00887330" w:rsidP="00887330">
      <w:pPr>
        <w:pStyle w:val="paragraph"/>
      </w:pPr>
      <w:r w:rsidRPr="00583E1A">
        <w:tab/>
        <w:t>(b)</w:t>
      </w:r>
      <w:r w:rsidRPr="00583E1A">
        <w:tab/>
        <w:t xml:space="preserve">in relation to a </w:t>
      </w:r>
      <w:r w:rsidR="00583E1A" w:rsidRPr="00583E1A">
        <w:rPr>
          <w:position w:val="6"/>
          <w:sz w:val="16"/>
        </w:rPr>
        <w:t>*</w:t>
      </w:r>
      <w:r w:rsidRPr="00583E1A">
        <w:t>structured order, has the meaning given by subparagraph 54</w:t>
      </w:r>
      <w:r w:rsidR="00583E1A">
        <w:noBreakHyphen/>
      </w:r>
      <w:r w:rsidRPr="00583E1A">
        <w:t>10(1A)(a)(i).</w:t>
      </w:r>
    </w:p>
    <w:p w:rsidR="006B51D0" w:rsidRPr="00583E1A" w:rsidRDefault="006B51D0" w:rsidP="006B51D0">
      <w:pPr>
        <w:pStyle w:val="Definition"/>
      </w:pPr>
      <w:r w:rsidRPr="00583E1A">
        <w:rPr>
          <w:b/>
          <w:i/>
        </w:rPr>
        <w:t>Innovation Australia</w:t>
      </w:r>
      <w:r w:rsidRPr="00583E1A">
        <w:t xml:space="preserve"> means the board established by section</w:t>
      </w:r>
      <w:r w:rsidR="00583E1A">
        <w:t> </w:t>
      </w:r>
      <w:r w:rsidRPr="00583E1A">
        <w:t xml:space="preserve">6 of the </w:t>
      </w:r>
      <w:r w:rsidRPr="00583E1A">
        <w:rPr>
          <w:i/>
        </w:rPr>
        <w:t>Industry Research and Development Act 1986</w:t>
      </w:r>
      <w:r w:rsidRPr="00583E1A">
        <w:t>.</w:t>
      </w:r>
    </w:p>
    <w:p w:rsidR="00887330" w:rsidRPr="00583E1A" w:rsidRDefault="00887330" w:rsidP="00887330">
      <w:pPr>
        <w:pStyle w:val="Definition"/>
      </w:pPr>
      <w:r w:rsidRPr="00583E1A">
        <w:rPr>
          <w:b/>
          <w:i/>
        </w:rPr>
        <w:t>input tax credit</w:t>
      </w:r>
      <w:r w:rsidRPr="00583E1A">
        <w:t xml:space="preserve"> has the meaning given by section</w:t>
      </w:r>
      <w:r w:rsidR="00583E1A">
        <w:t> </w:t>
      </w:r>
      <w:r w:rsidRPr="00583E1A">
        <w:t>195</w:t>
      </w:r>
      <w:r w:rsidR="00583E1A">
        <w:noBreakHyphen/>
      </w:r>
      <w:r w:rsidRPr="00583E1A">
        <w:t xml:space="preserve">1 of the </w:t>
      </w:r>
      <w:r w:rsidR="00583E1A" w:rsidRPr="00583E1A">
        <w:rPr>
          <w:position w:val="6"/>
          <w:sz w:val="16"/>
        </w:rPr>
        <w:t>*</w:t>
      </w:r>
      <w:r w:rsidRPr="00583E1A">
        <w:t>GST Act.</w:t>
      </w:r>
    </w:p>
    <w:p w:rsidR="00887330" w:rsidRPr="00583E1A" w:rsidRDefault="00887330" w:rsidP="00887330">
      <w:pPr>
        <w:pStyle w:val="Definition"/>
      </w:pPr>
      <w:r w:rsidRPr="00583E1A">
        <w:rPr>
          <w:b/>
          <w:i/>
        </w:rPr>
        <w:t>input taxed</w:t>
      </w:r>
      <w:r w:rsidRPr="00583E1A">
        <w:t xml:space="preserve"> has the meaning given by section</w:t>
      </w:r>
      <w:r w:rsidR="00583E1A">
        <w:t> </w:t>
      </w:r>
      <w:r w:rsidRPr="00583E1A">
        <w:t>195</w:t>
      </w:r>
      <w:r w:rsidR="00583E1A">
        <w:noBreakHyphen/>
      </w:r>
      <w:r w:rsidRPr="00583E1A">
        <w:t xml:space="preserve">1 of the </w:t>
      </w:r>
      <w:r w:rsidR="00583E1A" w:rsidRPr="00583E1A">
        <w:rPr>
          <w:position w:val="6"/>
          <w:sz w:val="16"/>
        </w:rPr>
        <w:t>*</w:t>
      </w:r>
      <w:r w:rsidRPr="00583E1A">
        <w:t>GST Act.</w:t>
      </w:r>
    </w:p>
    <w:p w:rsidR="00887330" w:rsidRPr="00583E1A" w:rsidRDefault="00887330" w:rsidP="00887330">
      <w:pPr>
        <w:pStyle w:val="Definition"/>
        <w:rPr>
          <w:sz w:val="28"/>
        </w:rPr>
      </w:pPr>
      <w:r w:rsidRPr="00583E1A">
        <w:rPr>
          <w:b/>
          <w:i/>
        </w:rPr>
        <w:t>installed ready for use</w:t>
      </w:r>
      <w:r w:rsidRPr="00583E1A">
        <w:t xml:space="preserve"> means installed ready for use and held in reserve.</w:t>
      </w:r>
    </w:p>
    <w:p w:rsidR="00887330" w:rsidRPr="00583E1A" w:rsidRDefault="00887330" w:rsidP="00887330">
      <w:pPr>
        <w:pStyle w:val="Definition"/>
      </w:pPr>
      <w:r w:rsidRPr="00583E1A">
        <w:rPr>
          <w:b/>
          <w:i/>
        </w:rPr>
        <w:t>instalment group</w:t>
      </w:r>
      <w:r w:rsidRPr="00583E1A">
        <w:t xml:space="preserve"> has the meaning given by section</w:t>
      </w:r>
      <w:r w:rsidR="00583E1A">
        <w:t> </w:t>
      </w:r>
      <w:r w:rsidRPr="00583E1A">
        <w:t>45</w:t>
      </w:r>
      <w:r w:rsidR="00583E1A">
        <w:noBreakHyphen/>
      </w:r>
      <w:r w:rsidRPr="00583E1A">
        <w:t>145 in Schedule</w:t>
      </w:r>
      <w:r w:rsidR="00583E1A">
        <w:t> </w:t>
      </w:r>
      <w:r w:rsidRPr="00583E1A">
        <w:t xml:space="preserve">1 to the </w:t>
      </w:r>
      <w:r w:rsidRPr="00583E1A">
        <w:rPr>
          <w:i/>
        </w:rPr>
        <w:t>Taxation Administration Act 1953</w:t>
      </w:r>
      <w:r w:rsidRPr="00583E1A">
        <w:t>.</w:t>
      </w:r>
    </w:p>
    <w:p w:rsidR="005B3EFF" w:rsidRPr="005E19E0" w:rsidRDefault="005B3EFF" w:rsidP="005B3EFF">
      <w:pPr>
        <w:pStyle w:val="Definition"/>
      </w:pPr>
      <w:r w:rsidRPr="005E19E0">
        <w:rPr>
          <w:b/>
          <w:i/>
        </w:rPr>
        <w:t>instalment income</w:t>
      </w:r>
      <w:r w:rsidRPr="005E19E0">
        <w:t>:</w:t>
      </w:r>
    </w:p>
    <w:p w:rsidR="005B3EFF" w:rsidRPr="005E19E0" w:rsidRDefault="005B3EFF" w:rsidP="005B3EFF">
      <w:pPr>
        <w:pStyle w:val="paragraph"/>
      </w:pPr>
      <w:r w:rsidRPr="005E19E0">
        <w:tab/>
        <w:t>(a)</w:t>
      </w:r>
      <w:r w:rsidRPr="005E19E0">
        <w:tab/>
        <w:t>in relation to a period that is, or is part of, an income year—has the meaning given by sections 45</w:t>
      </w:r>
      <w:r w:rsidRPr="005E19E0">
        <w:noBreakHyphen/>
        <w:t>120, 45</w:t>
      </w:r>
      <w:r w:rsidRPr="005E19E0">
        <w:noBreakHyphen/>
        <w:t>260, 45</w:t>
      </w:r>
      <w:r w:rsidRPr="005E19E0">
        <w:noBreakHyphen/>
        <w:t>280, 45</w:t>
      </w:r>
      <w:r w:rsidRPr="005E19E0">
        <w:noBreakHyphen/>
        <w:t>285, 45</w:t>
      </w:r>
      <w:r w:rsidRPr="005E19E0">
        <w:noBreakHyphen/>
        <w:t>286 and 45</w:t>
      </w:r>
      <w:r w:rsidRPr="005E19E0">
        <w:noBreakHyphen/>
        <w:t xml:space="preserve">465 in Schedule 1 to the </w:t>
      </w:r>
      <w:r w:rsidRPr="005E19E0">
        <w:rPr>
          <w:i/>
        </w:rPr>
        <w:t>Taxation Administration Act 1953</w:t>
      </w:r>
      <w:r w:rsidRPr="005E19E0">
        <w:t>; and</w:t>
      </w:r>
    </w:p>
    <w:p w:rsidR="005B3EFF" w:rsidRPr="005E19E0" w:rsidRDefault="005B3EFF" w:rsidP="005B3EFF">
      <w:pPr>
        <w:pStyle w:val="paragraph"/>
      </w:pPr>
      <w:r w:rsidRPr="005E19E0">
        <w:tab/>
        <w:t>(b)</w:t>
      </w:r>
      <w:r w:rsidRPr="005E19E0">
        <w:tab/>
        <w:t xml:space="preserve">in relation to an </w:t>
      </w:r>
      <w:r w:rsidRPr="005E19E0">
        <w:rPr>
          <w:position w:val="6"/>
          <w:sz w:val="16"/>
        </w:rPr>
        <w:t>*</w:t>
      </w:r>
      <w:r w:rsidRPr="005E19E0">
        <w:t xml:space="preserve">instalment quarter of an </w:t>
      </w:r>
      <w:r w:rsidRPr="005E19E0">
        <w:rPr>
          <w:position w:val="6"/>
          <w:sz w:val="16"/>
        </w:rPr>
        <w:t>*</w:t>
      </w:r>
      <w:r w:rsidRPr="005E19E0">
        <w:t>MRRT year—has the meaning given by sections 115</w:t>
      </w:r>
      <w:r w:rsidRPr="005E19E0">
        <w:noBreakHyphen/>
        <w:t>40 and 115</w:t>
      </w:r>
      <w:r w:rsidRPr="005E19E0">
        <w:noBreakHyphen/>
        <w:t xml:space="preserve">95 in Schedule 1 to the </w:t>
      </w:r>
      <w:r w:rsidRPr="005E19E0">
        <w:rPr>
          <w:i/>
        </w:rPr>
        <w:t>Taxation Administration Act 1953</w:t>
      </w:r>
      <w:r w:rsidRPr="005E19E0">
        <w:t>.</w:t>
      </w:r>
    </w:p>
    <w:p w:rsidR="00887330" w:rsidRPr="00583E1A" w:rsidRDefault="00887330" w:rsidP="00887330">
      <w:pPr>
        <w:pStyle w:val="Definition"/>
      </w:pPr>
      <w:r w:rsidRPr="00583E1A">
        <w:rPr>
          <w:b/>
          <w:i/>
        </w:rPr>
        <w:lastRenderedPageBreak/>
        <w:t>instalment of petroleum resource rent tax</w:t>
      </w:r>
      <w:r w:rsidRPr="00583E1A">
        <w:rPr>
          <w:b/>
        </w:rPr>
        <w:t xml:space="preserve"> </w:t>
      </w:r>
      <w:r w:rsidRPr="00583E1A">
        <w:t>is an instalment of tax payable under Division</w:t>
      </w:r>
      <w:r w:rsidR="00583E1A">
        <w:t> </w:t>
      </w:r>
      <w:r w:rsidRPr="00583E1A">
        <w:t>2 of Part</w:t>
      </w:r>
      <w:r w:rsidR="00583E1A">
        <w:t> </w:t>
      </w:r>
      <w:r w:rsidRPr="00583E1A">
        <w:t xml:space="preserve">VIII of the </w:t>
      </w:r>
      <w:r w:rsidRPr="00583E1A">
        <w:rPr>
          <w:i/>
        </w:rPr>
        <w:t>Petroleum Resource Rent Tax Assessment Act 1987</w:t>
      </w:r>
      <w:r w:rsidRPr="00583E1A">
        <w:t>.</w:t>
      </w:r>
    </w:p>
    <w:p w:rsidR="00CA2CA2" w:rsidRPr="005E19E0" w:rsidRDefault="00CA2CA2" w:rsidP="00CA2CA2">
      <w:pPr>
        <w:pStyle w:val="Definition"/>
      </w:pPr>
      <w:r w:rsidRPr="005E19E0">
        <w:rPr>
          <w:b/>
          <w:i/>
        </w:rPr>
        <w:t>instalment quarter</w:t>
      </w:r>
      <w:r w:rsidRPr="005E19E0">
        <w:t>:</w:t>
      </w:r>
    </w:p>
    <w:p w:rsidR="00CA2CA2" w:rsidRPr="005E19E0" w:rsidRDefault="00CA2CA2" w:rsidP="00CA2CA2">
      <w:pPr>
        <w:pStyle w:val="paragraph"/>
      </w:pPr>
      <w:r w:rsidRPr="005E19E0">
        <w:tab/>
        <w:t>(a)</w:t>
      </w:r>
      <w:r w:rsidRPr="005E19E0">
        <w:tab/>
        <w:t>in relation to an income year—has the meaning given by section 45</w:t>
      </w:r>
      <w:r w:rsidRPr="005E19E0">
        <w:noBreakHyphen/>
        <w:t xml:space="preserve">60 in Schedule 1 to the </w:t>
      </w:r>
      <w:r w:rsidRPr="005E19E0">
        <w:rPr>
          <w:i/>
        </w:rPr>
        <w:t>Taxation Administration Act 1953</w:t>
      </w:r>
      <w:r w:rsidRPr="005E19E0">
        <w:t>; and</w:t>
      </w:r>
    </w:p>
    <w:p w:rsidR="00CA2CA2" w:rsidRPr="005E19E0" w:rsidRDefault="00CA2CA2" w:rsidP="00CA2CA2">
      <w:pPr>
        <w:pStyle w:val="paragraph"/>
      </w:pPr>
      <w:r w:rsidRPr="005E19E0">
        <w:tab/>
        <w:t>(b)</w:t>
      </w:r>
      <w:r w:rsidRPr="005E19E0">
        <w:tab/>
        <w:t xml:space="preserve">in relation to an </w:t>
      </w:r>
      <w:r w:rsidRPr="005E19E0">
        <w:rPr>
          <w:position w:val="6"/>
          <w:sz w:val="16"/>
        </w:rPr>
        <w:t>*</w:t>
      </w:r>
      <w:r w:rsidRPr="005E19E0">
        <w:t>MRRT year—has the meaning given by subsection 115</w:t>
      </w:r>
      <w:r w:rsidRPr="005E19E0">
        <w:noBreakHyphen/>
        <w:t>10(2) and section 115</w:t>
      </w:r>
      <w:r w:rsidRPr="005E19E0">
        <w:noBreakHyphen/>
        <w:t xml:space="preserve">110 in Schedule 1 to the </w:t>
      </w:r>
      <w:r w:rsidRPr="005E19E0">
        <w:rPr>
          <w:i/>
        </w:rPr>
        <w:t>Taxation Administration Act 1953</w:t>
      </w:r>
      <w:r w:rsidRPr="005E19E0">
        <w:t>.</w:t>
      </w:r>
    </w:p>
    <w:p w:rsidR="00887330" w:rsidRPr="00583E1A" w:rsidRDefault="00887330" w:rsidP="00887330">
      <w:pPr>
        <w:pStyle w:val="Definition"/>
      </w:pPr>
      <w:r w:rsidRPr="00583E1A">
        <w:rPr>
          <w:b/>
          <w:i/>
        </w:rPr>
        <w:t>insurance business</w:t>
      </w:r>
      <w:r w:rsidRPr="00583E1A">
        <w:t xml:space="preserve"> has the same meaning as in the </w:t>
      </w:r>
      <w:r w:rsidRPr="00583E1A">
        <w:rPr>
          <w:i/>
        </w:rPr>
        <w:t>Insurance Act 1973</w:t>
      </w:r>
      <w:r w:rsidRPr="00583E1A">
        <w:t>.</w:t>
      </w:r>
    </w:p>
    <w:p w:rsidR="00887330" w:rsidRPr="00583E1A" w:rsidRDefault="00887330" w:rsidP="00887330">
      <w:pPr>
        <w:pStyle w:val="Definition"/>
      </w:pPr>
      <w:r w:rsidRPr="00583E1A">
        <w:rPr>
          <w:b/>
          <w:i/>
        </w:rPr>
        <w:t>intellectual property</w:t>
      </w:r>
      <w:r w:rsidRPr="00583E1A">
        <w:t xml:space="preserve">: an item of </w:t>
      </w:r>
      <w:r w:rsidRPr="00583E1A">
        <w:rPr>
          <w:b/>
          <w:i/>
        </w:rPr>
        <w:t>intellectual property</w:t>
      </w:r>
      <w:r w:rsidRPr="00583E1A">
        <w:t xml:space="preserve"> consists of the rights (including equitable rights) that an entity has under a </w:t>
      </w:r>
      <w:r w:rsidR="00583E1A" w:rsidRPr="00583E1A">
        <w:rPr>
          <w:position w:val="6"/>
          <w:sz w:val="16"/>
        </w:rPr>
        <w:t>*</w:t>
      </w:r>
      <w:r w:rsidRPr="00583E1A">
        <w:t>Commonwealth law as:</w:t>
      </w:r>
    </w:p>
    <w:p w:rsidR="00887330" w:rsidRPr="00583E1A" w:rsidRDefault="00887330" w:rsidP="00887330">
      <w:pPr>
        <w:pStyle w:val="paragraph"/>
        <w:tabs>
          <w:tab w:val="left" w:pos="2268"/>
          <w:tab w:val="left" w:pos="3402"/>
          <w:tab w:val="left" w:pos="4536"/>
          <w:tab w:val="left" w:pos="5670"/>
          <w:tab w:val="left" w:pos="6804"/>
        </w:tabs>
      </w:pPr>
      <w:r w:rsidRPr="00583E1A">
        <w:tab/>
        <w:t>(a)</w:t>
      </w:r>
      <w:r w:rsidRPr="00583E1A">
        <w:tab/>
        <w:t>the patentee, or a licensee, of a patent; or</w:t>
      </w:r>
    </w:p>
    <w:p w:rsidR="00887330" w:rsidRPr="00583E1A" w:rsidRDefault="00887330" w:rsidP="00887330">
      <w:pPr>
        <w:pStyle w:val="paragraph"/>
        <w:tabs>
          <w:tab w:val="left" w:pos="2268"/>
          <w:tab w:val="left" w:pos="3402"/>
          <w:tab w:val="left" w:pos="4536"/>
          <w:tab w:val="left" w:pos="5670"/>
          <w:tab w:val="left" w:pos="6804"/>
        </w:tabs>
      </w:pPr>
      <w:r w:rsidRPr="00583E1A">
        <w:tab/>
        <w:t>(b)</w:t>
      </w:r>
      <w:r w:rsidRPr="00583E1A">
        <w:tab/>
        <w:t>the owner, or a licensee, of a registered design; or</w:t>
      </w:r>
    </w:p>
    <w:p w:rsidR="00887330" w:rsidRPr="00583E1A" w:rsidRDefault="00887330" w:rsidP="00887330">
      <w:pPr>
        <w:pStyle w:val="paragraph"/>
        <w:tabs>
          <w:tab w:val="left" w:pos="2268"/>
          <w:tab w:val="left" w:pos="3402"/>
          <w:tab w:val="left" w:pos="4536"/>
          <w:tab w:val="left" w:pos="5670"/>
          <w:tab w:val="left" w:pos="6804"/>
        </w:tabs>
      </w:pPr>
      <w:r w:rsidRPr="00583E1A">
        <w:tab/>
        <w:t>(c)</w:t>
      </w:r>
      <w:r w:rsidRPr="00583E1A">
        <w:tab/>
        <w:t>the owner, or a licensee, of a copyright;</w:t>
      </w:r>
    </w:p>
    <w:p w:rsidR="00887330" w:rsidRPr="00583E1A" w:rsidRDefault="00887330" w:rsidP="00887330">
      <w:pPr>
        <w:pStyle w:val="subsection2"/>
        <w:tabs>
          <w:tab w:val="left" w:pos="2268"/>
          <w:tab w:val="left" w:pos="3402"/>
          <w:tab w:val="left" w:pos="4536"/>
          <w:tab w:val="left" w:pos="5670"/>
          <w:tab w:val="left" w:pos="6804"/>
        </w:tabs>
      </w:pPr>
      <w:r w:rsidRPr="00583E1A">
        <w:t xml:space="preserve">or of equivalent rights under a </w:t>
      </w:r>
      <w:r w:rsidR="00583E1A" w:rsidRPr="00583E1A">
        <w:rPr>
          <w:position w:val="6"/>
          <w:sz w:val="16"/>
        </w:rPr>
        <w:t>*</w:t>
      </w:r>
      <w:r w:rsidRPr="00583E1A">
        <w:t>foreign law.</w:t>
      </w:r>
    </w:p>
    <w:p w:rsidR="00887330" w:rsidRPr="00583E1A" w:rsidRDefault="00887330" w:rsidP="00887330">
      <w:pPr>
        <w:pStyle w:val="Definition"/>
      </w:pPr>
      <w:r w:rsidRPr="00583E1A">
        <w:rPr>
          <w:b/>
          <w:i/>
        </w:rPr>
        <w:t>interest that will or may convert into another interest</w:t>
      </w:r>
      <w:r w:rsidRPr="00583E1A">
        <w:t xml:space="preserve"> has the meaning given by section</w:t>
      </w:r>
      <w:r w:rsidR="00583E1A">
        <w:t> </w:t>
      </w:r>
      <w:r w:rsidRPr="00583E1A">
        <w:t>974</w:t>
      </w:r>
      <w:r w:rsidR="00583E1A">
        <w:noBreakHyphen/>
      </w:r>
      <w:r w:rsidRPr="00583E1A">
        <w:t>165.</w:t>
      </w:r>
    </w:p>
    <w:p w:rsidR="00887330" w:rsidRPr="00583E1A" w:rsidRDefault="00887330" w:rsidP="00887330">
      <w:pPr>
        <w:pStyle w:val="Definition"/>
      </w:pPr>
      <w:r w:rsidRPr="00583E1A">
        <w:rPr>
          <w:b/>
          <w:i/>
        </w:rPr>
        <w:t>intermediate controller</w:t>
      </w:r>
      <w:r w:rsidRPr="00583E1A">
        <w:t xml:space="preserve"> has the meaning given by subsection 727</w:t>
      </w:r>
      <w:r w:rsidR="00583E1A">
        <w:noBreakHyphen/>
      </w:r>
      <w:r w:rsidRPr="00583E1A">
        <w:t>530(2).</w:t>
      </w:r>
    </w:p>
    <w:p w:rsidR="004D38E0" w:rsidRPr="00E811AF" w:rsidRDefault="004D38E0" w:rsidP="004D38E0">
      <w:pPr>
        <w:pStyle w:val="Definition"/>
      </w:pPr>
      <w:r w:rsidRPr="00E811AF">
        <w:rPr>
          <w:b/>
          <w:i/>
        </w:rPr>
        <w:t>international emissions unit</w:t>
      </w:r>
      <w:r w:rsidRPr="00E811AF">
        <w:t xml:space="preserve"> means:</w:t>
      </w:r>
    </w:p>
    <w:p w:rsidR="004D38E0" w:rsidRPr="00E811AF" w:rsidRDefault="004D38E0" w:rsidP="004D38E0">
      <w:pPr>
        <w:pStyle w:val="paragraph"/>
      </w:pPr>
      <w:r w:rsidRPr="00E811AF">
        <w:tab/>
        <w:t>(a)</w:t>
      </w:r>
      <w:r w:rsidRPr="00E811AF">
        <w:tab/>
        <w:t xml:space="preserve">a </w:t>
      </w:r>
      <w:r w:rsidRPr="00E811AF">
        <w:rPr>
          <w:position w:val="6"/>
          <w:sz w:val="16"/>
        </w:rPr>
        <w:t>*</w:t>
      </w:r>
      <w:r w:rsidRPr="00E811AF">
        <w:t>Kyoto unit; or</w:t>
      </w:r>
    </w:p>
    <w:p w:rsidR="004D38E0" w:rsidRPr="00E811AF" w:rsidRDefault="004D38E0" w:rsidP="004D38E0">
      <w:pPr>
        <w:pStyle w:val="paragraph"/>
      </w:pPr>
      <w:r w:rsidRPr="00E811AF">
        <w:tab/>
        <w:t>(b)</w:t>
      </w:r>
      <w:r w:rsidRPr="00E811AF">
        <w:tab/>
        <w:t xml:space="preserve">a </w:t>
      </w:r>
      <w:r w:rsidRPr="00E811AF">
        <w:rPr>
          <w:position w:val="6"/>
          <w:sz w:val="16"/>
        </w:rPr>
        <w:t>*</w:t>
      </w:r>
      <w:r w:rsidRPr="00E811AF">
        <w:t>prescribed international unit.</w:t>
      </w:r>
    </w:p>
    <w:p w:rsidR="00F01BFF" w:rsidRPr="003509A5" w:rsidRDefault="00F01BFF" w:rsidP="00F01BFF">
      <w:pPr>
        <w:pStyle w:val="Definition"/>
      </w:pPr>
      <w:r w:rsidRPr="003509A5">
        <w:rPr>
          <w:b/>
          <w:i/>
        </w:rPr>
        <w:t>international tax agreement</w:t>
      </w:r>
      <w:r w:rsidRPr="003509A5">
        <w:t xml:space="preserve"> means an agreement (within the meaning of the </w:t>
      </w:r>
      <w:r w:rsidRPr="003509A5">
        <w:rPr>
          <w:i/>
        </w:rPr>
        <w:t>International Tax Agreements Act 1953</w:t>
      </w:r>
      <w:r w:rsidRPr="003509A5">
        <w:t>) to which that Act gives the force of law.</w:t>
      </w:r>
    </w:p>
    <w:p w:rsidR="00130B94" w:rsidRPr="00583E1A" w:rsidRDefault="00130B94" w:rsidP="00130B94">
      <w:pPr>
        <w:pStyle w:val="Definition"/>
      </w:pPr>
      <w:r w:rsidRPr="00583E1A">
        <w:rPr>
          <w:b/>
          <w:i/>
        </w:rPr>
        <w:t>invalidity segment</w:t>
      </w:r>
      <w:r w:rsidRPr="00583E1A">
        <w:t xml:space="preserve">, of an </w:t>
      </w:r>
      <w:r w:rsidR="00583E1A" w:rsidRPr="00583E1A">
        <w:rPr>
          <w:position w:val="6"/>
          <w:sz w:val="16"/>
        </w:rPr>
        <w:t>*</w:t>
      </w:r>
      <w:r w:rsidRPr="00583E1A">
        <w:t>employment termination payment, has the meaning given by section</w:t>
      </w:r>
      <w:r w:rsidR="00583E1A">
        <w:t> </w:t>
      </w:r>
      <w:r w:rsidRPr="00583E1A">
        <w:t>82</w:t>
      </w:r>
      <w:r w:rsidR="00583E1A">
        <w:noBreakHyphen/>
      </w:r>
      <w:r w:rsidRPr="00583E1A">
        <w:t>150.</w:t>
      </w:r>
    </w:p>
    <w:p w:rsidR="00887330" w:rsidRPr="00583E1A" w:rsidRDefault="00887330" w:rsidP="00887330">
      <w:pPr>
        <w:pStyle w:val="Definition"/>
      </w:pPr>
      <w:r w:rsidRPr="00583E1A">
        <w:rPr>
          <w:b/>
          <w:i/>
        </w:rPr>
        <w:lastRenderedPageBreak/>
        <w:t>investment body</w:t>
      </w:r>
      <w:r w:rsidRPr="00583E1A">
        <w:t xml:space="preserve"> for a </w:t>
      </w:r>
      <w:r w:rsidR="00583E1A" w:rsidRPr="00583E1A">
        <w:rPr>
          <w:position w:val="6"/>
          <w:sz w:val="16"/>
        </w:rPr>
        <w:t>*</w:t>
      </w:r>
      <w:r w:rsidRPr="00583E1A">
        <w:t>Part</w:t>
      </w:r>
      <w:r w:rsidR="00583E1A">
        <w:t> </w:t>
      </w:r>
      <w:r w:rsidRPr="00583E1A">
        <w:t>VA investment has the meaning given by section</w:t>
      </w:r>
      <w:r w:rsidR="00583E1A">
        <w:t> </w:t>
      </w:r>
      <w:r w:rsidRPr="00583E1A">
        <w:t xml:space="preserve">202D of the </w:t>
      </w:r>
      <w:r w:rsidRPr="00583E1A">
        <w:rPr>
          <w:i/>
        </w:rPr>
        <w:t>Income Tax Assessment Act 1936</w:t>
      </w:r>
      <w:r w:rsidRPr="00583E1A">
        <w:t>.</w:t>
      </w:r>
    </w:p>
    <w:p w:rsidR="0029664F" w:rsidRPr="00583E1A" w:rsidRDefault="0029664F" w:rsidP="0029664F">
      <w:pPr>
        <w:pStyle w:val="Definition"/>
      </w:pPr>
      <w:r w:rsidRPr="00583E1A">
        <w:rPr>
          <w:b/>
          <w:i/>
        </w:rPr>
        <w:t xml:space="preserve">investment commitment time </w:t>
      </w:r>
      <w:r w:rsidRPr="00583E1A">
        <w:t>has the meaning given by section</w:t>
      </w:r>
      <w:r w:rsidR="00583E1A">
        <w:t> </w:t>
      </w:r>
      <w:r w:rsidRPr="00583E1A">
        <w:t>41</w:t>
      </w:r>
      <w:r w:rsidR="00583E1A">
        <w:noBreakHyphen/>
      </w:r>
      <w:r w:rsidRPr="00583E1A">
        <w:t>25.</w:t>
      </w:r>
    </w:p>
    <w:p w:rsidR="00887330" w:rsidRPr="00583E1A" w:rsidRDefault="00887330" w:rsidP="008F1666">
      <w:pPr>
        <w:pStyle w:val="Definition"/>
        <w:keepNext/>
        <w:keepLines/>
      </w:pPr>
      <w:r w:rsidRPr="00583E1A">
        <w:rPr>
          <w:b/>
          <w:i/>
        </w:rPr>
        <w:t>investment registration requirement</w:t>
      </w:r>
      <w:r w:rsidRPr="00583E1A">
        <w:t>:</w:t>
      </w:r>
    </w:p>
    <w:p w:rsidR="00887330" w:rsidRPr="00583E1A" w:rsidRDefault="00887330" w:rsidP="00887330">
      <w:pPr>
        <w:pStyle w:val="paragraph"/>
      </w:pPr>
      <w:r w:rsidRPr="00583E1A">
        <w:tab/>
        <w:t>(a)</w:t>
      </w:r>
      <w:r w:rsidRPr="00583E1A">
        <w:tab/>
        <w:t xml:space="preserve">in relation to a </w:t>
      </w:r>
      <w:r w:rsidR="00583E1A" w:rsidRPr="00583E1A">
        <w:rPr>
          <w:position w:val="6"/>
          <w:sz w:val="16"/>
        </w:rPr>
        <w:t>*</w:t>
      </w:r>
      <w:r w:rsidRPr="00583E1A">
        <w:t>VCLP—has the meaning given by subsection 9</w:t>
      </w:r>
      <w:r w:rsidR="00583E1A">
        <w:noBreakHyphen/>
      </w:r>
      <w:r w:rsidRPr="00583E1A">
        <w:t xml:space="preserve">1(2) of the </w:t>
      </w:r>
      <w:r w:rsidRPr="00583E1A">
        <w:rPr>
          <w:i/>
        </w:rPr>
        <w:t>Venture Capital Act 2002</w:t>
      </w:r>
      <w:r w:rsidRPr="00583E1A">
        <w:t>; and</w:t>
      </w:r>
    </w:p>
    <w:p w:rsidR="008A4916" w:rsidRPr="00583E1A" w:rsidRDefault="008A4916" w:rsidP="008A4916">
      <w:pPr>
        <w:pStyle w:val="paragraph"/>
      </w:pPr>
      <w:r w:rsidRPr="00583E1A">
        <w:tab/>
        <w:t>(ab)</w:t>
      </w:r>
      <w:r w:rsidRPr="00583E1A">
        <w:tab/>
        <w:t xml:space="preserve">in relation to an </w:t>
      </w:r>
      <w:r w:rsidR="00583E1A" w:rsidRPr="00583E1A">
        <w:rPr>
          <w:position w:val="6"/>
          <w:sz w:val="16"/>
        </w:rPr>
        <w:t>*</w:t>
      </w:r>
      <w:r w:rsidRPr="00583E1A">
        <w:t>ESVCLP—has the meaning given by subsection 9</w:t>
      </w:r>
      <w:r w:rsidR="00583E1A">
        <w:noBreakHyphen/>
      </w:r>
      <w:r w:rsidRPr="00583E1A">
        <w:t xml:space="preserve">3(2) of the </w:t>
      </w:r>
      <w:r w:rsidRPr="00583E1A">
        <w:rPr>
          <w:i/>
        </w:rPr>
        <w:t>Venture Capital Act 2002</w:t>
      </w:r>
      <w:r w:rsidRPr="00583E1A">
        <w:t>; and</w:t>
      </w:r>
    </w:p>
    <w:p w:rsidR="00887330" w:rsidRPr="00583E1A" w:rsidRDefault="00887330" w:rsidP="00887330">
      <w:pPr>
        <w:pStyle w:val="paragraph"/>
      </w:pPr>
      <w:r w:rsidRPr="00583E1A">
        <w:tab/>
        <w:t>(b)</w:t>
      </w:r>
      <w:r w:rsidRPr="00583E1A">
        <w:tab/>
        <w:t xml:space="preserve">in relation to an </w:t>
      </w:r>
      <w:r w:rsidR="00583E1A" w:rsidRPr="00583E1A">
        <w:rPr>
          <w:position w:val="6"/>
          <w:sz w:val="16"/>
        </w:rPr>
        <w:t>*</w:t>
      </w:r>
      <w:r w:rsidRPr="00583E1A">
        <w:t>AFOF—has the meaning given by subsection 9</w:t>
      </w:r>
      <w:r w:rsidR="00583E1A">
        <w:noBreakHyphen/>
      </w:r>
      <w:r w:rsidRPr="00583E1A">
        <w:t xml:space="preserve">5(2) of the </w:t>
      </w:r>
      <w:r w:rsidRPr="00583E1A">
        <w:rPr>
          <w:i/>
        </w:rPr>
        <w:t>Venture Capital Act 2002</w:t>
      </w:r>
      <w:r w:rsidRPr="00583E1A">
        <w:t>.</w:t>
      </w:r>
    </w:p>
    <w:p w:rsidR="00887330" w:rsidRPr="00583E1A" w:rsidRDefault="00887330" w:rsidP="00887330">
      <w:pPr>
        <w:pStyle w:val="Definition"/>
      </w:pPr>
      <w:r w:rsidRPr="00583E1A">
        <w:rPr>
          <w:b/>
          <w:i/>
        </w:rPr>
        <w:t>investor</w:t>
      </w:r>
      <w:r w:rsidRPr="00583E1A">
        <w:t xml:space="preserve"> for a </w:t>
      </w:r>
      <w:r w:rsidR="00583E1A" w:rsidRPr="00583E1A">
        <w:rPr>
          <w:position w:val="6"/>
          <w:sz w:val="16"/>
        </w:rPr>
        <w:t>*</w:t>
      </w:r>
      <w:r w:rsidRPr="00583E1A">
        <w:t>Part</w:t>
      </w:r>
      <w:r w:rsidR="00583E1A">
        <w:t> </w:t>
      </w:r>
      <w:r w:rsidRPr="00583E1A">
        <w:t>VA investment has the meaning given by section</w:t>
      </w:r>
      <w:r w:rsidR="00583E1A">
        <w:t> </w:t>
      </w:r>
      <w:r w:rsidRPr="00583E1A">
        <w:t xml:space="preserve">202D of the </w:t>
      </w:r>
      <w:r w:rsidRPr="00583E1A">
        <w:rPr>
          <w:i/>
        </w:rPr>
        <w:t>Income Tax Assessment Act 1936</w:t>
      </w:r>
      <w:r w:rsidRPr="00583E1A">
        <w:t>.</w:t>
      </w:r>
    </w:p>
    <w:p w:rsidR="00887330" w:rsidRPr="00583E1A" w:rsidRDefault="00887330" w:rsidP="00887330">
      <w:pPr>
        <w:pStyle w:val="Definition"/>
      </w:pPr>
      <w:r w:rsidRPr="00583E1A">
        <w:rPr>
          <w:b/>
          <w:i/>
        </w:rPr>
        <w:t>invoice</w:t>
      </w:r>
      <w:r w:rsidRPr="00583E1A">
        <w:t xml:space="preserve"> means a document notifying an obligation to make a payment.</w:t>
      </w:r>
    </w:p>
    <w:p w:rsidR="00887330" w:rsidRPr="00583E1A" w:rsidRDefault="00887330" w:rsidP="00887330">
      <w:pPr>
        <w:pStyle w:val="Definition"/>
      </w:pPr>
      <w:r w:rsidRPr="00583E1A">
        <w:rPr>
          <w:b/>
          <w:i/>
        </w:rPr>
        <w:t xml:space="preserve">inward investing entity (ADI) </w:t>
      </w:r>
      <w:r w:rsidRPr="00583E1A">
        <w:t>has the meaning given by sections</w:t>
      </w:r>
      <w:r w:rsidR="00583E1A">
        <w:t> </w:t>
      </w:r>
      <w:r w:rsidRPr="00583E1A">
        <w:t>820</w:t>
      </w:r>
      <w:r w:rsidR="00583E1A">
        <w:noBreakHyphen/>
      </w:r>
      <w:r w:rsidRPr="00583E1A">
        <w:t>395 and 820</w:t>
      </w:r>
      <w:r w:rsidR="00583E1A">
        <w:noBreakHyphen/>
      </w:r>
      <w:r w:rsidRPr="00583E1A">
        <w:t>609.</w:t>
      </w:r>
    </w:p>
    <w:p w:rsidR="00887330" w:rsidRPr="00583E1A" w:rsidRDefault="00887330" w:rsidP="00887330">
      <w:pPr>
        <w:pStyle w:val="notetext"/>
      </w:pPr>
      <w:r w:rsidRPr="00583E1A">
        <w:t>Note:</w:t>
      </w:r>
      <w:r w:rsidRPr="00583E1A">
        <w:tab/>
        <w:t>Section</w:t>
      </w:r>
      <w:r w:rsidR="00583E1A">
        <w:t> </w:t>
      </w:r>
      <w:r w:rsidRPr="00583E1A">
        <w:t>820</w:t>
      </w:r>
      <w:r w:rsidR="00583E1A">
        <w:noBreakHyphen/>
      </w:r>
      <w:r w:rsidRPr="00583E1A">
        <w:t>430 allows an inward investor (financial) to be treated as an inward investing entity (ADI) in certain cases.</w:t>
      </w:r>
    </w:p>
    <w:p w:rsidR="00887330" w:rsidRPr="00583E1A" w:rsidRDefault="00887330" w:rsidP="00887330">
      <w:pPr>
        <w:pStyle w:val="Definition"/>
      </w:pPr>
      <w:r w:rsidRPr="00583E1A">
        <w:rPr>
          <w:b/>
          <w:i/>
        </w:rPr>
        <w:t>inward investing entity (non</w:t>
      </w:r>
      <w:r w:rsidR="00583E1A">
        <w:rPr>
          <w:b/>
          <w:i/>
        </w:rPr>
        <w:noBreakHyphen/>
      </w:r>
      <w:r w:rsidRPr="00583E1A">
        <w:rPr>
          <w:b/>
          <w:i/>
        </w:rPr>
        <w:t>ADI)</w:t>
      </w:r>
      <w:r w:rsidRPr="00583E1A">
        <w:t xml:space="preserve"> has the meaning given by sections</w:t>
      </w:r>
      <w:r w:rsidR="00583E1A">
        <w:t> </w:t>
      </w:r>
      <w:r w:rsidRPr="00583E1A">
        <w:t>820</w:t>
      </w:r>
      <w:r w:rsidR="00583E1A">
        <w:noBreakHyphen/>
      </w:r>
      <w:r w:rsidRPr="00583E1A">
        <w:t>185, 820</w:t>
      </w:r>
      <w:r w:rsidR="00583E1A">
        <w:noBreakHyphen/>
      </w:r>
      <w:r w:rsidRPr="00583E1A">
        <w:t>583</w:t>
      </w:r>
      <w:r w:rsidR="00195D95" w:rsidRPr="00583E1A">
        <w:t>, 820</w:t>
      </w:r>
      <w:r w:rsidR="00583E1A">
        <w:noBreakHyphen/>
      </w:r>
      <w:r w:rsidR="00195D95" w:rsidRPr="00583E1A">
        <w:t>609 and 820</w:t>
      </w:r>
      <w:r w:rsidR="00583E1A">
        <w:noBreakHyphen/>
      </w:r>
      <w:r w:rsidR="00195D95" w:rsidRPr="00583E1A">
        <w:t>610</w:t>
      </w:r>
      <w:r w:rsidRPr="00583E1A">
        <w:t>.</w:t>
      </w:r>
    </w:p>
    <w:p w:rsidR="00887330" w:rsidRPr="00583E1A" w:rsidRDefault="00887330" w:rsidP="003C0E2A">
      <w:pPr>
        <w:pStyle w:val="Definition"/>
        <w:keepNext/>
      </w:pPr>
      <w:r w:rsidRPr="00583E1A">
        <w:rPr>
          <w:b/>
          <w:i/>
        </w:rPr>
        <w:t>inward investment vehicle (financial)</w:t>
      </w:r>
      <w:r w:rsidRPr="00583E1A">
        <w:t xml:space="preserve"> has the meaning given by sections</w:t>
      </w:r>
      <w:r w:rsidR="00583E1A">
        <w:t> </w:t>
      </w:r>
      <w:r w:rsidRPr="00583E1A">
        <w:t>820</w:t>
      </w:r>
      <w:r w:rsidR="00583E1A">
        <w:noBreakHyphen/>
      </w:r>
      <w:r w:rsidRPr="00583E1A">
        <w:t>185, 820</w:t>
      </w:r>
      <w:r w:rsidR="00583E1A">
        <w:noBreakHyphen/>
      </w:r>
      <w:r w:rsidRPr="00583E1A">
        <w:t>583</w:t>
      </w:r>
      <w:r w:rsidR="002B6CA4" w:rsidRPr="00583E1A">
        <w:t>, 820</w:t>
      </w:r>
      <w:r w:rsidR="00583E1A">
        <w:noBreakHyphen/>
      </w:r>
      <w:r w:rsidR="002B6CA4" w:rsidRPr="00583E1A">
        <w:t>609 and 820</w:t>
      </w:r>
      <w:r w:rsidR="00583E1A">
        <w:noBreakHyphen/>
      </w:r>
      <w:r w:rsidR="002B6CA4" w:rsidRPr="00583E1A">
        <w:t>610</w:t>
      </w:r>
      <w:r w:rsidRPr="00583E1A">
        <w:t>.</w:t>
      </w:r>
    </w:p>
    <w:p w:rsidR="00887330" w:rsidRPr="00583E1A" w:rsidRDefault="00887330" w:rsidP="00887330">
      <w:pPr>
        <w:pStyle w:val="notetext"/>
      </w:pPr>
      <w:r w:rsidRPr="00583E1A">
        <w:t>Note:</w:t>
      </w:r>
      <w:r w:rsidRPr="00583E1A">
        <w:tab/>
        <w:t>Section</w:t>
      </w:r>
      <w:r w:rsidR="00583E1A">
        <w:t> </w:t>
      </w:r>
      <w:r w:rsidRPr="00583E1A">
        <w:t>820</w:t>
      </w:r>
      <w:r w:rsidR="00583E1A">
        <w:noBreakHyphen/>
      </w:r>
      <w:r w:rsidRPr="00583E1A">
        <w:t>430 allows an inward investment vehicle (financial) to be treated as an outward investing entity (ADI) in certain cases.</w:t>
      </w:r>
    </w:p>
    <w:p w:rsidR="00887330" w:rsidRPr="00583E1A" w:rsidRDefault="00887330" w:rsidP="00887330">
      <w:pPr>
        <w:pStyle w:val="Definition"/>
      </w:pPr>
      <w:r w:rsidRPr="00583E1A">
        <w:rPr>
          <w:b/>
          <w:i/>
        </w:rPr>
        <w:t>inward investment vehicle (general)</w:t>
      </w:r>
      <w:r w:rsidRPr="00583E1A">
        <w:t xml:space="preserve"> has the meaning given by sections</w:t>
      </w:r>
      <w:r w:rsidR="00583E1A">
        <w:t> </w:t>
      </w:r>
      <w:r w:rsidRPr="00583E1A">
        <w:t>820</w:t>
      </w:r>
      <w:r w:rsidR="00583E1A">
        <w:noBreakHyphen/>
      </w:r>
      <w:r w:rsidRPr="00583E1A">
        <w:t>185 and 820</w:t>
      </w:r>
      <w:r w:rsidR="00583E1A">
        <w:noBreakHyphen/>
      </w:r>
      <w:r w:rsidRPr="00583E1A">
        <w:t>583.</w:t>
      </w:r>
    </w:p>
    <w:p w:rsidR="00887330" w:rsidRPr="00583E1A" w:rsidRDefault="00887330" w:rsidP="00887330">
      <w:pPr>
        <w:pStyle w:val="Definition"/>
      </w:pPr>
      <w:r w:rsidRPr="00583E1A">
        <w:rPr>
          <w:b/>
          <w:i/>
        </w:rPr>
        <w:t>inward investor (financial)</w:t>
      </w:r>
      <w:r w:rsidRPr="00583E1A">
        <w:t xml:space="preserve"> has the meaning given by section</w:t>
      </w:r>
      <w:r w:rsidR="00583E1A">
        <w:t> </w:t>
      </w:r>
      <w:r w:rsidRPr="00583E1A">
        <w:t>820</w:t>
      </w:r>
      <w:r w:rsidR="00583E1A">
        <w:noBreakHyphen/>
      </w:r>
      <w:r w:rsidRPr="00583E1A">
        <w:t>185.</w:t>
      </w:r>
    </w:p>
    <w:p w:rsidR="00887330" w:rsidRPr="00583E1A" w:rsidRDefault="00887330" w:rsidP="00887330">
      <w:pPr>
        <w:pStyle w:val="notetext"/>
      </w:pPr>
      <w:r w:rsidRPr="00583E1A">
        <w:t>Note:</w:t>
      </w:r>
      <w:r w:rsidRPr="00583E1A">
        <w:tab/>
        <w:t>Section</w:t>
      </w:r>
      <w:r w:rsidR="00583E1A">
        <w:t> </w:t>
      </w:r>
      <w:r w:rsidRPr="00583E1A">
        <w:t>820</w:t>
      </w:r>
      <w:r w:rsidR="00583E1A">
        <w:noBreakHyphen/>
      </w:r>
      <w:r w:rsidRPr="00583E1A">
        <w:t>430 allows an inward investor (financial) to be treated as an inward investing entity (ADI) in certain cases.</w:t>
      </w:r>
    </w:p>
    <w:p w:rsidR="00887330" w:rsidRPr="00583E1A" w:rsidRDefault="00887330" w:rsidP="00887330">
      <w:pPr>
        <w:pStyle w:val="Definition"/>
      </w:pPr>
      <w:r w:rsidRPr="00583E1A">
        <w:rPr>
          <w:b/>
          <w:i/>
        </w:rPr>
        <w:lastRenderedPageBreak/>
        <w:t>inward investor (general)</w:t>
      </w:r>
      <w:r w:rsidRPr="00583E1A">
        <w:t xml:space="preserve"> has the meaning given by section</w:t>
      </w:r>
      <w:r w:rsidR="00583E1A">
        <w:t> </w:t>
      </w:r>
      <w:r w:rsidRPr="00583E1A">
        <w:t>820</w:t>
      </w:r>
      <w:r w:rsidR="00583E1A">
        <w:noBreakHyphen/>
      </w:r>
      <w:r w:rsidRPr="00583E1A">
        <w:t>185.</w:t>
      </w:r>
    </w:p>
    <w:p w:rsidR="00887330" w:rsidRPr="00583E1A" w:rsidRDefault="00887330" w:rsidP="00887330">
      <w:pPr>
        <w:pStyle w:val="Definition"/>
      </w:pPr>
      <w:r w:rsidRPr="00583E1A">
        <w:rPr>
          <w:b/>
          <w:i/>
        </w:rPr>
        <w:t>irrigation water provider</w:t>
      </w:r>
      <w:r w:rsidRPr="00583E1A">
        <w:t xml:space="preserve"> has the meaning given by section</w:t>
      </w:r>
      <w:r w:rsidR="00583E1A">
        <w:t> </w:t>
      </w:r>
      <w:r w:rsidRPr="00583E1A">
        <w:t>40</w:t>
      </w:r>
      <w:r w:rsidR="00583E1A">
        <w:noBreakHyphen/>
      </w:r>
      <w:r w:rsidRPr="00583E1A">
        <w:t>515.</w:t>
      </w:r>
    </w:p>
    <w:p w:rsidR="00887330" w:rsidRPr="00583E1A" w:rsidRDefault="00887330" w:rsidP="00887330">
      <w:pPr>
        <w:pStyle w:val="Definition"/>
      </w:pPr>
      <w:r w:rsidRPr="00583E1A">
        <w:rPr>
          <w:b/>
          <w:i/>
        </w:rPr>
        <w:t>IRU</w:t>
      </w:r>
      <w:r w:rsidRPr="00583E1A">
        <w:t xml:space="preserve"> is an indefeasible </w:t>
      </w:r>
      <w:r w:rsidR="00302A58" w:rsidRPr="00214FF7">
        <w:rPr>
          <w:position w:val="6"/>
          <w:sz w:val="16"/>
        </w:rPr>
        <w:t>*</w:t>
      </w:r>
      <w:r w:rsidR="00302A58" w:rsidRPr="00214FF7">
        <w:t>right to use</w:t>
      </w:r>
      <w:r w:rsidRPr="00583E1A">
        <w:t xml:space="preserve"> a telecommunications cable system.</w:t>
      </w:r>
    </w:p>
    <w:p w:rsidR="00887330" w:rsidRPr="00583E1A" w:rsidRDefault="00887330" w:rsidP="00887330">
      <w:pPr>
        <w:pStyle w:val="Definition"/>
      </w:pPr>
      <w:r w:rsidRPr="00583E1A">
        <w:rPr>
          <w:b/>
          <w:i/>
        </w:rPr>
        <w:t>issued</w:t>
      </w:r>
      <w:r w:rsidRPr="00583E1A">
        <w:t xml:space="preserve">, in relation to a </w:t>
      </w:r>
      <w:r w:rsidR="00583E1A" w:rsidRPr="00583E1A">
        <w:rPr>
          <w:position w:val="6"/>
          <w:sz w:val="16"/>
        </w:rPr>
        <w:t>*</w:t>
      </w:r>
      <w:r w:rsidRPr="00583E1A">
        <w:t>debt interest, has the meaning given by paragraph 974</w:t>
      </w:r>
      <w:r w:rsidR="00583E1A">
        <w:noBreakHyphen/>
      </w:r>
      <w:r w:rsidRPr="00583E1A">
        <w:t>55(1)(d).</w:t>
      </w:r>
    </w:p>
    <w:p w:rsidR="00887330" w:rsidRPr="00583E1A" w:rsidRDefault="00887330" w:rsidP="00887330">
      <w:pPr>
        <w:pStyle w:val="Definition"/>
      </w:pPr>
      <w:r w:rsidRPr="00583E1A">
        <w:rPr>
          <w:b/>
          <w:i/>
        </w:rPr>
        <w:t>IVS period</w:t>
      </w:r>
      <w:r w:rsidRPr="00583E1A">
        <w:t xml:space="preserve"> has the meaning given by section</w:t>
      </w:r>
      <w:r w:rsidR="00583E1A">
        <w:t> </w:t>
      </w:r>
      <w:r w:rsidRPr="00583E1A">
        <w:t>727</w:t>
      </w:r>
      <w:r w:rsidR="00583E1A">
        <w:noBreakHyphen/>
      </w:r>
      <w:r w:rsidRPr="00583E1A">
        <w:t>150.</w:t>
      </w:r>
    </w:p>
    <w:p w:rsidR="00887330" w:rsidRPr="00583E1A" w:rsidRDefault="00887330" w:rsidP="00887330">
      <w:pPr>
        <w:pStyle w:val="Definition"/>
      </w:pPr>
      <w:r w:rsidRPr="00583E1A">
        <w:rPr>
          <w:b/>
          <w:i/>
        </w:rPr>
        <w:t>IVS time</w:t>
      </w:r>
      <w:r w:rsidRPr="00583E1A">
        <w:t xml:space="preserve"> has the meaning given by section</w:t>
      </w:r>
      <w:r w:rsidR="00583E1A">
        <w:t> </w:t>
      </w:r>
      <w:r w:rsidRPr="00583E1A">
        <w:t>727</w:t>
      </w:r>
      <w:r w:rsidR="00583E1A">
        <w:noBreakHyphen/>
      </w:r>
      <w:r w:rsidRPr="00583E1A">
        <w:t>150.</w:t>
      </w:r>
    </w:p>
    <w:p w:rsidR="00887330" w:rsidRPr="00583E1A" w:rsidRDefault="00887330" w:rsidP="00887330">
      <w:pPr>
        <w:pStyle w:val="Definition"/>
      </w:pPr>
      <w:r w:rsidRPr="00583E1A">
        <w:rPr>
          <w:b/>
          <w:i/>
        </w:rPr>
        <w:t>joint venture operator</w:t>
      </w:r>
      <w:r w:rsidRPr="00583E1A">
        <w:t xml:space="preserve"> for a </w:t>
      </w:r>
      <w:r w:rsidR="00583E1A" w:rsidRPr="00583E1A">
        <w:rPr>
          <w:position w:val="6"/>
          <w:sz w:val="16"/>
        </w:rPr>
        <w:t>*</w:t>
      </w:r>
      <w:r w:rsidRPr="00583E1A">
        <w:t>GST joint venture has the meaning given by section</w:t>
      </w:r>
      <w:r w:rsidR="00583E1A">
        <w:t> </w:t>
      </w:r>
      <w:r w:rsidRPr="00583E1A">
        <w:t>195</w:t>
      </w:r>
      <w:r w:rsidR="00583E1A">
        <w:noBreakHyphen/>
      </w:r>
      <w:r w:rsidRPr="00583E1A">
        <w:t xml:space="preserve">1 of the </w:t>
      </w:r>
      <w:r w:rsidR="00583E1A" w:rsidRPr="00583E1A">
        <w:rPr>
          <w:position w:val="6"/>
          <w:sz w:val="16"/>
        </w:rPr>
        <w:t>*</w:t>
      </w:r>
      <w:r w:rsidRPr="00583E1A">
        <w:t>GST Act.</w:t>
      </w:r>
    </w:p>
    <w:p w:rsidR="000608AF" w:rsidRPr="00E811AF" w:rsidRDefault="000608AF" w:rsidP="000608AF">
      <w:pPr>
        <w:pStyle w:val="Definition"/>
      </w:pPr>
      <w:r w:rsidRPr="00E811AF">
        <w:rPr>
          <w:b/>
          <w:i/>
        </w:rPr>
        <w:t>Kyoto unit</w:t>
      </w:r>
      <w:r w:rsidRPr="00E811AF">
        <w:t xml:space="preserve"> has the same meaning as in the </w:t>
      </w:r>
      <w:r w:rsidRPr="00E811AF">
        <w:rPr>
          <w:i/>
        </w:rPr>
        <w:t>Australian National Registry of Emissions Units Act 2011</w:t>
      </w:r>
      <w:r w:rsidRPr="00E811AF">
        <w:t>.</w:t>
      </w:r>
    </w:p>
    <w:p w:rsidR="00887330" w:rsidRPr="00583E1A" w:rsidRDefault="00887330" w:rsidP="00887330">
      <w:pPr>
        <w:pStyle w:val="Definition"/>
      </w:pPr>
      <w:r w:rsidRPr="00583E1A">
        <w:rPr>
          <w:b/>
          <w:i/>
        </w:rPr>
        <w:t xml:space="preserve">labour hire notional withheld amount </w:t>
      </w:r>
      <w:r w:rsidRPr="00583E1A">
        <w:t>has the meaning given by section</w:t>
      </w:r>
      <w:r w:rsidR="00583E1A">
        <w:t> </w:t>
      </w:r>
      <w:r w:rsidRPr="00583E1A">
        <w:t>16</w:t>
      </w:r>
      <w:r w:rsidR="00583E1A">
        <w:noBreakHyphen/>
      </w:r>
      <w:r w:rsidRPr="00583E1A">
        <w:t>125 in Schedule</w:t>
      </w:r>
      <w:r w:rsidR="00583E1A">
        <w:t> </w:t>
      </w:r>
      <w:r w:rsidRPr="00583E1A">
        <w:t xml:space="preserve">1 to the </w:t>
      </w:r>
      <w:r w:rsidRPr="00583E1A">
        <w:rPr>
          <w:i/>
        </w:rPr>
        <w:t>Taxation Administration Act 1953</w:t>
      </w:r>
      <w:r w:rsidRPr="00583E1A">
        <w:t>.</w:t>
      </w:r>
    </w:p>
    <w:p w:rsidR="00887330" w:rsidRPr="00583E1A" w:rsidRDefault="00887330" w:rsidP="00887330">
      <w:pPr>
        <w:pStyle w:val="Definition"/>
      </w:pPr>
      <w:r w:rsidRPr="00583E1A">
        <w:rPr>
          <w:b/>
          <w:i/>
        </w:rPr>
        <w:t>landcare operation</w:t>
      </w:r>
      <w:r w:rsidRPr="00583E1A">
        <w:t xml:space="preserve"> has the meaning given by section</w:t>
      </w:r>
      <w:r w:rsidR="00583E1A">
        <w:t> </w:t>
      </w:r>
      <w:r w:rsidRPr="00583E1A">
        <w:t>40</w:t>
      </w:r>
      <w:r w:rsidR="00583E1A">
        <w:noBreakHyphen/>
      </w:r>
      <w:r w:rsidRPr="00583E1A">
        <w:t>635.</w:t>
      </w:r>
    </w:p>
    <w:p w:rsidR="00887330" w:rsidRPr="00583E1A" w:rsidRDefault="00887330" w:rsidP="00887330">
      <w:pPr>
        <w:pStyle w:val="Definition"/>
        <w:rPr>
          <w:b/>
          <w:i/>
        </w:rPr>
      </w:pPr>
      <w:r w:rsidRPr="00583E1A">
        <w:rPr>
          <w:b/>
          <w:i/>
        </w:rPr>
        <w:t>large withholder</w:t>
      </w:r>
      <w:r w:rsidRPr="00583E1A">
        <w:t xml:space="preserve"> has the meaning given by </w:t>
      </w:r>
      <w:r w:rsidR="00182532" w:rsidRPr="00583E1A">
        <w:t>section</w:t>
      </w:r>
      <w:r w:rsidR="00583E1A">
        <w:t> </w:t>
      </w:r>
      <w:r w:rsidR="00182532" w:rsidRPr="00583E1A">
        <w:t>16</w:t>
      </w:r>
      <w:r w:rsidR="00583E1A">
        <w:noBreakHyphen/>
      </w:r>
      <w:r w:rsidR="00182532" w:rsidRPr="00583E1A">
        <w:t>95</w:t>
      </w:r>
      <w:r w:rsidRPr="00583E1A">
        <w:t xml:space="preserve"> in Schedule</w:t>
      </w:r>
      <w:r w:rsidR="00583E1A">
        <w:t> </w:t>
      </w:r>
      <w:r w:rsidRPr="00583E1A">
        <w:t xml:space="preserve">1 to the </w:t>
      </w:r>
      <w:r w:rsidRPr="00583E1A">
        <w:rPr>
          <w:i/>
        </w:rPr>
        <w:t>Taxation Administration Act 1953</w:t>
      </w:r>
      <w:r w:rsidRPr="00583E1A">
        <w:t>.</w:t>
      </w:r>
    </w:p>
    <w:p w:rsidR="00130B94" w:rsidRPr="00583E1A" w:rsidRDefault="00130B94" w:rsidP="007D29DB">
      <w:pPr>
        <w:pStyle w:val="Definition"/>
        <w:keepNext/>
        <w:keepLines/>
      </w:pPr>
      <w:r w:rsidRPr="00583E1A">
        <w:rPr>
          <w:b/>
          <w:i/>
        </w:rPr>
        <w:t>last retirement day</w:t>
      </w:r>
      <w:r w:rsidRPr="00583E1A">
        <w:t xml:space="preserve"> means:</w:t>
      </w:r>
    </w:p>
    <w:p w:rsidR="00130B94" w:rsidRPr="00583E1A" w:rsidRDefault="00130B94" w:rsidP="007D29DB">
      <w:pPr>
        <w:pStyle w:val="paragraph"/>
        <w:keepNext/>
        <w:keepLines/>
      </w:pPr>
      <w:r w:rsidRPr="00583E1A">
        <w:tab/>
        <w:t>(a)</w:t>
      </w:r>
      <w:r w:rsidRPr="00583E1A">
        <w:tab/>
        <w:t>if an individual’s employment or office would have terminated when he or she reached a particular age or completed a particular period of service—the day he or she would reach the age or complete the period of service (as the case may be); or</w:t>
      </w:r>
    </w:p>
    <w:p w:rsidR="00130B94" w:rsidRPr="00583E1A" w:rsidRDefault="00130B94" w:rsidP="00130B94">
      <w:pPr>
        <w:pStyle w:val="paragraph"/>
      </w:pPr>
      <w:r w:rsidRPr="00583E1A">
        <w:tab/>
        <w:t>(b)</w:t>
      </w:r>
      <w:r w:rsidRPr="00583E1A">
        <w:tab/>
        <w:t>in any other case—the day on which he or she would turn 65.</w:t>
      </w:r>
    </w:p>
    <w:p w:rsidR="00887330" w:rsidRPr="00583E1A" w:rsidRDefault="00887330" w:rsidP="00887330">
      <w:pPr>
        <w:pStyle w:val="Definition"/>
      </w:pPr>
      <w:r w:rsidRPr="00583E1A">
        <w:rPr>
          <w:b/>
          <w:i/>
        </w:rPr>
        <w:t>laundry expense</w:t>
      </w:r>
      <w:r w:rsidRPr="00583E1A">
        <w:t xml:space="preserve"> has the meaning given by section</w:t>
      </w:r>
      <w:r w:rsidR="00583E1A">
        <w:t> </w:t>
      </w:r>
      <w:r w:rsidRPr="00583E1A">
        <w:t>900</w:t>
      </w:r>
      <w:r w:rsidR="00583E1A">
        <w:noBreakHyphen/>
      </w:r>
      <w:r w:rsidRPr="00583E1A">
        <w:t>40.</w:t>
      </w:r>
    </w:p>
    <w:p w:rsidR="00BB2F41" w:rsidRPr="00B758CF" w:rsidRDefault="00BB2F41" w:rsidP="00BB2F41">
      <w:pPr>
        <w:pStyle w:val="Definition"/>
      </w:pPr>
      <w:r w:rsidRPr="00B758CF">
        <w:rPr>
          <w:b/>
          <w:i/>
        </w:rPr>
        <w:t>law enforcement agency</w:t>
      </w:r>
      <w:r w:rsidRPr="00B758CF">
        <w:t xml:space="preserve"> has the meaning given by section 355</w:t>
      </w:r>
      <w:r w:rsidRPr="00B758CF">
        <w:noBreakHyphen/>
        <w:t xml:space="preserve">70 in Schedule 1 to the </w:t>
      </w:r>
      <w:r w:rsidRPr="00B758CF">
        <w:rPr>
          <w:i/>
        </w:rPr>
        <w:t>Taxation Administration Act 1953</w:t>
      </w:r>
      <w:r w:rsidRPr="00B758CF">
        <w:t>.</w:t>
      </w:r>
    </w:p>
    <w:p w:rsidR="004C65C2" w:rsidRPr="00583E1A" w:rsidRDefault="004C65C2" w:rsidP="004C65C2">
      <w:pPr>
        <w:pStyle w:val="Definition"/>
      </w:pPr>
      <w:r w:rsidRPr="00583E1A">
        <w:rPr>
          <w:b/>
          <w:i/>
        </w:rPr>
        <w:lastRenderedPageBreak/>
        <w:t>legally responsible</w:t>
      </w:r>
      <w:r w:rsidRPr="00583E1A">
        <w:t xml:space="preserve"> for a child means legally responsible (whether alone or jointly with someone else) for the day</w:t>
      </w:r>
      <w:r w:rsidR="00583E1A">
        <w:noBreakHyphen/>
      </w:r>
      <w:r w:rsidRPr="00583E1A">
        <w:t>to</w:t>
      </w:r>
      <w:r w:rsidR="00583E1A">
        <w:noBreakHyphen/>
      </w:r>
      <w:r w:rsidRPr="00583E1A">
        <w:t>day care, welfare and development of the child.</w:t>
      </w:r>
    </w:p>
    <w:p w:rsidR="00887330" w:rsidRPr="00583E1A" w:rsidRDefault="00887330" w:rsidP="00F13347">
      <w:pPr>
        <w:pStyle w:val="Definition"/>
        <w:keepNext/>
        <w:keepLines/>
      </w:pPr>
      <w:r w:rsidRPr="00583E1A">
        <w:rPr>
          <w:b/>
          <w:i/>
        </w:rPr>
        <w:t xml:space="preserve">legal personal representative </w:t>
      </w:r>
      <w:r w:rsidRPr="00583E1A">
        <w:t>means:</w:t>
      </w:r>
    </w:p>
    <w:p w:rsidR="00887330" w:rsidRPr="00583E1A" w:rsidRDefault="00887330" w:rsidP="00887330">
      <w:pPr>
        <w:pStyle w:val="paragraph"/>
      </w:pPr>
      <w:r w:rsidRPr="00583E1A">
        <w:tab/>
        <w:t>(a)</w:t>
      </w:r>
      <w:r w:rsidRPr="00583E1A">
        <w:tab/>
        <w:t xml:space="preserve">an executor or administrator of an estate of </w:t>
      </w:r>
      <w:r w:rsidR="00175760" w:rsidRPr="00583E1A">
        <w:t>an individual</w:t>
      </w:r>
      <w:r w:rsidRPr="00583E1A">
        <w:t xml:space="preserve"> who has died; or</w:t>
      </w:r>
    </w:p>
    <w:p w:rsidR="00887330" w:rsidRPr="00583E1A" w:rsidRDefault="00887330" w:rsidP="00887330">
      <w:pPr>
        <w:pStyle w:val="paragraph"/>
      </w:pPr>
      <w:r w:rsidRPr="00583E1A">
        <w:tab/>
        <w:t>(b)</w:t>
      </w:r>
      <w:r w:rsidRPr="00583E1A">
        <w:tab/>
        <w:t xml:space="preserve">a trustee of an estate of </w:t>
      </w:r>
      <w:r w:rsidR="00175760" w:rsidRPr="00583E1A">
        <w:t>an individual</w:t>
      </w:r>
      <w:r w:rsidRPr="00583E1A">
        <w:t xml:space="preserve"> who is under a legal disability; or</w:t>
      </w:r>
    </w:p>
    <w:p w:rsidR="00887330" w:rsidRPr="00583E1A" w:rsidRDefault="00887330" w:rsidP="00887330">
      <w:pPr>
        <w:pStyle w:val="paragraph"/>
      </w:pPr>
      <w:r w:rsidRPr="00583E1A">
        <w:tab/>
        <w:t>(c)</w:t>
      </w:r>
      <w:r w:rsidRPr="00583E1A">
        <w:tab/>
        <w:t>a person who holds a general power of attorney that was granted by another person.</w:t>
      </w:r>
    </w:p>
    <w:p w:rsidR="00887330" w:rsidRPr="00583E1A" w:rsidRDefault="00887330" w:rsidP="00887330">
      <w:pPr>
        <w:pStyle w:val="Definition"/>
      </w:pPr>
      <w:r w:rsidRPr="00583E1A">
        <w:rPr>
          <w:b/>
          <w:i/>
        </w:rPr>
        <w:t>legal practitioner</w:t>
      </w:r>
      <w:r w:rsidRPr="00583E1A">
        <w:t xml:space="preserve"> means a person who is enrolled as a barrister, a solicitor or a barrister and solicitor of:</w:t>
      </w:r>
    </w:p>
    <w:p w:rsidR="00887330" w:rsidRPr="00583E1A" w:rsidRDefault="00887330" w:rsidP="00887330">
      <w:pPr>
        <w:pStyle w:val="paragraph"/>
      </w:pPr>
      <w:r w:rsidRPr="00583E1A">
        <w:tab/>
        <w:t>(a)</w:t>
      </w:r>
      <w:r w:rsidRPr="00583E1A">
        <w:tab/>
        <w:t>a federal court; or</w:t>
      </w:r>
    </w:p>
    <w:p w:rsidR="00887330" w:rsidRPr="00583E1A" w:rsidRDefault="00887330" w:rsidP="00887330">
      <w:pPr>
        <w:pStyle w:val="paragraph"/>
      </w:pPr>
      <w:r w:rsidRPr="00583E1A">
        <w:tab/>
        <w:t>(b)</w:t>
      </w:r>
      <w:r w:rsidRPr="00583E1A">
        <w:tab/>
        <w:t>a court of a State or Territory.</w:t>
      </w:r>
    </w:p>
    <w:p w:rsidR="00887330" w:rsidRPr="00583E1A" w:rsidRDefault="00887330" w:rsidP="00887330">
      <w:pPr>
        <w:pStyle w:val="Definition"/>
      </w:pPr>
      <w:r w:rsidRPr="00583E1A">
        <w:rPr>
          <w:b/>
          <w:i/>
        </w:rPr>
        <w:t>leisure facility</w:t>
      </w:r>
      <w:r w:rsidRPr="00583E1A">
        <w:t xml:space="preserve"> has the meaning given by subsection 26</w:t>
      </w:r>
      <w:r w:rsidR="00583E1A">
        <w:noBreakHyphen/>
      </w:r>
      <w:r w:rsidRPr="00583E1A">
        <w:t>50(2).</w:t>
      </w:r>
    </w:p>
    <w:p w:rsidR="00887330" w:rsidRPr="00583E1A" w:rsidRDefault="00887330" w:rsidP="00887330">
      <w:pPr>
        <w:pStyle w:val="Definition"/>
      </w:pPr>
      <w:r w:rsidRPr="00583E1A">
        <w:rPr>
          <w:b/>
          <w:i/>
        </w:rPr>
        <w:t>lesser benefits</w:t>
      </w:r>
      <w:r w:rsidRPr="00583E1A">
        <w:t>:</w:t>
      </w:r>
    </w:p>
    <w:p w:rsidR="00887330" w:rsidRPr="00583E1A" w:rsidRDefault="00887330" w:rsidP="00887330">
      <w:pPr>
        <w:pStyle w:val="paragraph"/>
      </w:pPr>
      <w:r w:rsidRPr="00583E1A">
        <w:tab/>
        <w:t>(a)</w:t>
      </w:r>
      <w:r w:rsidRPr="00583E1A">
        <w:tab/>
        <w:t xml:space="preserve">under an </w:t>
      </w:r>
      <w:r w:rsidR="00583E1A" w:rsidRPr="00583E1A">
        <w:rPr>
          <w:position w:val="6"/>
          <w:sz w:val="16"/>
        </w:rPr>
        <w:t>*</w:t>
      </w:r>
      <w:r w:rsidRPr="00583E1A">
        <w:t>indirect value shift, has the meaning given by paragraph 727</w:t>
      </w:r>
      <w:r w:rsidR="00583E1A">
        <w:noBreakHyphen/>
      </w:r>
      <w:r w:rsidRPr="00583E1A">
        <w:t>150(3)(a); and</w:t>
      </w:r>
    </w:p>
    <w:p w:rsidR="00887330" w:rsidRPr="00583E1A" w:rsidRDefault="00887330" w:rsidP="00887330">
      <w:pPr>
        <w:pStyle w:val="paragraph"/>
      </w:pPr>
      <w:r w:rsidRPr="00583E1A">
        <w:tab/>
        <w:t>(b)</w:t>
      </w:r>
      <w:r w:rsidRPr="00583E1A">
        <w:tab/>
        <w:t xml:space="preserve">under a </w:t>
      </w:r>
      <w:r w:rsidR="00583E1A" w:rsidRPr="00583E1A">
        <w:rPr>
          <w:position w:val="6"/>
          <w:sz w:val="16"/>
        </w:rPr>
        <w:t>*</w:t>
      </w:r>
      <w:r w:rsidRPr="00583E1A">
        <w:t>presumed indirect value shift, has the meaning given by paragraph 727</w:t>
      </w:r>
      <w:r w:rsidR="00583E1A">
        <w:noBreakHyphen/>
      </w:r>
      <w:r w:rsidRPr="00583E1A">
        <w:t>855(1)(c).</w:t>
      </w:r>
    </w:p>
    <w:p w:rsidR="00887330" w:rsidRPr="00583E1A" w:rsidRDefault="00887330" w:rsidP="00887330">
      <w:pPr>
        <w:pStyle w:val="Definition"/>
      </w:pPr>
      <w:r w:rsidRPr="00583E1A">
        <w:rPr>
          <w:b/>
          <w:i/>
        </w:rPr>
        <w:t>LIC capital gain</w:t>
      </w:r>
      <w:r w:rsidRPr="00583E1A">
        <w:t xml:space="preserve"> has the meaning given by section</w:t>
      </w:r>
      <w:r w:rsidR="00583E1A">
        <w:t> </w:t>
      </w:r>
      <w:r w:rsidRPr="00583E1A">
        <w:t>115</w:t>
      </w:r>
      <w:r w:rsidR="00583E1A">
        <w:noBreakHyphen/>
      </w:r>
      <w:r w:rsidRPr="00583E1A">
        <w:t>285.</w:t>
      </w:r>
    </w:p>
    <w:p w:rsidR="00130B94" w:rsidRPr="00583E1A" w:rsidRDefault="00130B94" w:rsidP="00130B94">
      <w:pPr>
        <w:pStyle w:val="Definition"/>
      </w:pPr>
      <w:r w:rsidRPr="00583E1A">
        <w:rPr>
          <w:b/>
          <w:i/>
        </w:rPr>
        <w:t xml:space="preserve">life benefit termination payment </w:t>
      </w:r>
      <w:r w:rsidRPr="00583E1A">
        <w:t>has the meaning given by subsection 82</w:t>
      </w:r>
      <w:r w:rsidR="00583E1A">
        <w:noBreakHyphen/>
      </w:r>
      <w:r w:rsidRPr="00583E1A">
        <w:t>130(2).</w:t>
      </w:r>
    </w:p>
    <w:p w:rsidR="00887330" w:rsidRPr="00583E1A" w:rsidRDefault="00887330" w:rsidP="003C0E2A">
      <w:pPr>
        <w:pStyle w:val="Definition"/>
        <w:keepNext/>
      </w:pPr>
      <w:r w:rsidRPr="00583E1A">
        <w:rPr>
          <w:b/>
          <w:i/>
        </w:rPr>
        <w:t>life insurance business</w:t>
      </w:r>
      <w:r w:rsidRPr="00583E1A">
        <w:t xml:space="preserve"> means:</w:t>
      </w:r>
    </w:p>
    <w:p w:rsidR="00887330" w:rsidRPr="00583E1A" w:rsidRDefault="00887330" w:rsidP="00887330">
      <w:pPr>
        <w:pStyle w:val="paragraph"/>
      </w:pPr>
      <w:r w:rsidRPr="00583E1A">
        <w:tab/>
        <w:t>(a)</w:t>
      </w:r>
      <w:r w:rsidRPr="00583E1A">
        <w:tab/>
        <w:t xml:space="preserve">a business to the extent that it consists of issuing </w:t>
      </w:r>
      <w:r w:rsidR="00583E1A" w:rsidRPr="00583E1A">
        <w:rPr>
          <w:position w:val="6"/>
          <w:sz w:val="16"/>
        </w:rPr>
        <w:t>*</w:t>
      </w:r>
      <w:r w:rsidRPr="00583E1A">
        <w:t>life insurance policies; and</w:t>
      </w:r>
    </w:p>
    <w:p w:rsidR="00887330" w:rsidRPr="00583E1A" w:rsidRDefault="00887330" w:rsidP="00887330">
      <w:pPr>
        <w:pStyle w:val="paragraph"/>
      </w:pPr>
      <w:r w:rsidRPr="00583E1A">
        <w:tab/>
        <w:t>(b)</w:t>
      </w:r>
      <w:r w:rsidRPr="00583E1A">
        <w:tab/>
        <w:t xml:space="preserve">any business that relates to a business to which </w:t>
      </w:r>
      <w:r w:rsidR="00583E1A">
        <w:t>paragraph (</w:t>
      </w:r>
      <w:r w:rsidRPr="00583E1A">
        <w:t>a) applies.</w:t>
      </w:r>
    </w:p>
    <w:p w:rsidR="00887330" w:rsidRPr="00583E1A" w:rsidRDefault="00887330" w:rsidP="00887330">
      <w:pPr>
        <w:pStyle w:val="Definition"/>
      </w:pPr>
      <w:r w:rsidRPr="00583E1A">
        <w:rPr>
          <w:b/>
          <w:i/>
        </w:rPr>
        <w:t>life insurance company</w:t>
      </w:r>
      <w:r w:rsidRPr="00583E1A">
        <w:t xml:space="preserve"> means a company registered under</w:t>
      </w:r>
      <w:r w:rsidR="00993763" w:rsidRPr="00993763">
        <w:t xml:space="preserve"> </w:t>
      </w:r>
      <w:r w:rsidR="00993763">
        <w:t>section 21 of</w:t>
      </w:r>
      <w:r w:rsidRPr="00583E1A">
        <w:t xml:space="preserve"> the </w:t>
      </w:r>
      <w:r w:rsidRPr="00583E1A">
        <w:rPr>
          <w:i/>
        </w:rPr>
        <w:t>Life Insurance Act 1995</w:t>
      </w:r>
      <w:r w:rsidRPr="00583E1A">
        <w:t>.</w:t>
      </w:r>
    </w:p>
    <w:p w:rsidR="00887330" w:rsidRPr="00583E1A" w:rsidRDefault="00887330" w:rsidP="008A179D">
      <w:pPr>
        <w:pStyle w:val="Definition"/>
        <w:keepNext/>
        <w:keepLines/>
      </w:pPr>
      <w:r w:rsidRPr="00583E1A">
        <w:rPr>
          <w:b/>
          <w:i/>
        </w:rPr>
        <w:lastRenderedPageBreak/>
        <w:t>life insurance policy</w:t>
      </w:r>
      <w:r w:rsidRPr="00583E1A">
        <w:t xml:space="preserve"> has the meaning given to the expression </w:t>
      </w:r>
      <w:r w:rsidRPr="00583E1A">
        <w:rPr>
          <w:b/>
          <w:i/>
        </w:rPr>
        <w:t>life policy</w:t>
      </w:r>
      <w:r w:rsidRPr="00583E1A">
        <w:t xml:space="preserve"> in the </w:t>
      </w:r>
      <w:r w:rsidRPr="00583E1A">
        <w:rPr>
          <w:i/>
        </w:rPr>
        <w:t>Life Insurance Act 1995</w:t>
      </w:r>
      <w:r w:rsidRPr="00583E1A">
        <w:t xml:space="preserve"> but includes:</w:t>
      </w:r>
    </w:p>
    <w:p w:rsidR="00887330" w:rsidRPr="00583E1A" w:rsidRDefault="00887330" w:rsidP="00887330">
      <w:pPr>
        <w:pStyle w:val="paragraph"/>
      </w:pPr>
      <w:r w:rsidRPr="00583E1A">
        <w:tab/>
        <w:t>(a)</w:t>
      </w:r>
      <w:r w:rsidRPr="00583E1A">
        <w:tab/>
        <w:t xml:space="preserve">a contract made in the course of carrying on business that is </w:t>
      </w:r>
      <w:r w:rsidR="00583E1A" w:rsidRPr="00583E1A">
        <w:rPr>
          <w:position w:val="6"/>
          <w:sz w:val="16"/>
        </w:rPr>
        <w:t>*</w:t>
      </w:r>
      <w:r w:rsidRPr="00583E1A">
        <w:t>life insurance business because of a declaration in force under section</w:t>
      </w:r>
      <w:r w:rsidR="00583E1A">
        <w:t> </w:t>
      </w:r>
      <w:r w:rsidRPr="00583E1A">
        <w:t>12A or 12B of that Act; and</w:t>
      </w:r>
    </w:p>
    <w:p w:rsidR="00887330" w:rsidRPr="00583E1A" w:rsidRDefault="00887330" w:rsidP="00887330">
      <w:pPr>
        <w:pStyle w:val="paragraph"/>
      </w:pPr>
      <w:r w:rsidRPr="00583E1A">
        <w:tab/>
        <w:t>(b)</w:t>
      </w:r>
      <w:r w:rsidRPr="00583E1A">
        <w:tab/>
        <w:t>a sinking fund policy within the meaning of that Act.</w:t>
      </w:r>
    </w:p>
    <w:p w:rsidR="00887330" w:rsidRPr="00583E1A" w:rsidRDefault="00887330" w:rsidP="00887330">
      <w:pPr>
        <w:pStyle w:val="Definition"/>
      </w:pPr>
      <w:r w:rsidRPr="00583E1A">
        <w:rPr>
          <w:b/>
          <w:i/>
        </w:rPr>
        <w:t>life insurance premium</w:t>
      </w:r>
      <w:r w:rsidRPr="00583E1A">
        <w:t xml:space="preserve"> includes consideration received or receivable in respect of the grant of, or the undertaking of liabilities in respect of, an </w:t>
      </w:r>
      <w:r w:rsidR="00583E1A" w:rsidRPr="00583E1A">
        <w:rPr>
          <w:position w:val="6"/>
          <w:sz w:val="16"/>
        </w:rPr>
        <w:t>*</w:t>
      </w:r>
      <w:r w:rsidRPr="00583E1A">
        <w:t xml:space="preserve">annuity or a </w:t>
      </w:r>
      <w:r w:rsidR="00583E1A" w:rsidRPr="00583E1A">
        <w:rPr>
          <w:position w:val="6"/>
          <w:sz w:val="16"/>
        </w:rPr>
        <w:t>*</w:t>
      </w:r>
      <w:r w:rsidRPr="00583E1A">
        <w:t>personal injury lump sum.</w:t>
      </w:r>
    </w:p>
    <w:p w:rsidR="00887330" w:rsidRPr="00583E1A" w:rsidRDefault="00887330" w:rsidP="00887330">
      <w:pPr>
        <w:pStyle w:val="notetext"/>
      </w:pPr>
      <w:r w:rsidRPr="00583E1A">
        <w:t>Note:</w:t>
      </w:r>
      <w:r w:rsidRPr="00583E1A">
        <w:tab/>
        <w:t>Certain other amounts are treated as life insurance premiums when the life insurance business of a life insurance company is transferred to another life insurance company: see section</w:t>
      </w:r>
      <w:r w:rsidR="00583E1A">
        <w:t> </w:t>
      </w:r>
      <w:r w:rsidRPr="00583E1A">
        <w:t>320</w:t>
      </w:r>
      <w:r w:rsidR="00583E1A">
        <w:noBreakHyphen/>
      </w:r>
      <w:r w:rsidRPr="00583E1A">
        <w:t>320.</w:t>
      </w:r>
    </w:p>
    <w:p w:rsidR="00300125" w:rsidRPr="002F3C08" w:rsidRDefault="00300125" w:rsidP="00300125">
      <w:pPr>
        <w:pStyle w:val="Definition"/>
      </w:pPr>
      <w:r w:rsidRPr="002F3C08">
        <w:rPr>
          <w:b/>
          <w:i/>
        </w:rPr>
        <w:t>like customable goods</w:t>
      </w:r>
      <w:r w:rsidRPr="002F3C08">
        <w:t xml:space="preserve"> has the same meaning as in the </w:t>
      </w:r>
      <w:r w:rsidRPr="002F3C08">
        <w:rPr>
          <w:i/>
        </w:rPr>
        <w:t>Customs Act 1901</w:t>
      </w:r>
      <w:r w:rsidRPr="002F3C08">
        <w:t>.</w:t>
      </w:r>
    </w:p>
    <w:p w:rsidR="00887330" w:rsidRPr="00583E1A" w:rsidRDefault="00887330" w:rsidP="00887330">
      <w:pPr>
        <w:pStyle w:val="Definition"/>
      </w:pPr>
      <w:r w:rsidRPr="00583E1A">
        <w:rPr>
          <w:b/>
          <w:i/>
        </w:rPr>
        <w:t>limited partner</w:t>
      </w:r>
      <w:r w:rsidRPr="00583E1A">
        <w:t xml:space="preserve"> means a partner of a </w:t>
      </w:r>
      <w:r w:rsidR="00583E1A" w:rsidRPr="00583E1A">
        <w:rPr>
          <w:position w:val="6"/>
          <w:sz w:val="16"/>
        </w:rPr>
        <w:t>*</w:t>
      </w:r>
      <w:r w:rsidRPr="00583E1A">
        <w:t>limited partnership whose liability in relation to the partnership is limited.</w:t>
      </w:r>
    </w:p>
    <w:p w:rsidR="00887330" w:rsidRPr="00583E1A" w:rsidRDefault="00887330" w:rsidP="00887330">
      <w:pPr>
        <w:pStyle w:val="Definition"/>
      </w:pPr>
      <w:r w:rsidRPr="00583E1A">
        <w:rPr>
          <w:b/>
          <w:i/>
        </w:rPr>
        <w:t>limited partnership</w:t>
      </w:r>
      <w:r w:rsidRPr="00583E1A">
        <w:t xml:space="preserve"> means:</w:t>
      </w:r>
    </w:p>
    <w:p w:rsidR="00887330" w:rsidRPr="00583E1A" w:rsidRDefault="00887330" w:rsidP="00887330">
      <w:pPr>
        <w:pStyle w:val="paragraph"/>
      </w:pPr>
      <w:r w:rsidRPr="00583E1A">
        <w:tab/>
        <w:t>(a)</w:t>
      </w:r>
      <w:r w:rsidRPr="00583E1A">
        <w:tab/>
        <w:t xml:space="preserve">an association of persons (other than a company) carrying on business as partners or in receipt of </w:t>
      </w:r>
      <w:r w:rsidR="00583E1A" w:rsidRPr="00583E1A">
        <w:rPr>
          <w:position w:val="6"/>
          <w:sz w:val="16"/>
        </w:rPr>
        <w:t>*</w:t>
      </w:r>
      <w:r w:rsidRPr="00583E1A">
        <w:t xml:space="preserve">ordinary income or </w:t>
      </w:r>
      <w:r w:rsidR="00583E1A" w:rsidRPr="00583E1A">
        <w:rPr>
          <w:position w:val="6"/>
          <w:sz w:val="16"/>
        </w:rPr>
        <w:t>*</w:t>
      </w:r>
      <w:r w:rsidRPr="00583E1A">
        <w:t>statutory income jointly, where the liability of at least one of those persons is limited; or</w:t>
      </w:r>
    </w:p>
    <w:p w:rsidR="00887330" w:rsidRPr="00583E1A" w:rsidRDefault="00887330" w:rsidP="00887330">
      <w:pPr>
        <w:pStyle w:val="paragraph"/>
      </w:pPr>
      <w:r w:rsidRPr="00583E1A">
        <w:tab/>
        <w:t>(b)</w:t>
      </w:r>
      <w:r w:rsidRPr="00583E1A">
        <w:tab/>
        <w:t xml:space="preserve">an association of persons (other than one referred to in </w:t>
      </w:r>
      <w:r w:rsidR="00583E1A">
        <w:t>paragraph (</w:t>
      </w:r>
      <w:r w:rsidRPr="00583E1A">
        <w:t xml:space="preserve">a)) with legal personality separate from those persons that was formed solely for the purpose of becoming a </w:t>
      </w:r>
      <w:r w:rsidR="00583E1A" w:rsidRPr="00583E1A">
        <w:rPr>
          <w:position w:val="6"/>
          <w:sz w:val="16"/>
        </w:rPr>
        <w:t>*</w:t>
      </w:r>
      <w:r w:rsidRPr="00583E1A">
        <w:t>VCLP</w:t>
      </w:r>
      <w:r w:rsidR="00497AEB" w:rsidRPr="00583E1A">
        <w:t xml:space="preserve">, an </w:t>
      </w:r>
      <w:r w:rsidR="00583E1A" w:rsidRPr="00583E1A">
        <w:rPr>
          <w:position w:val="6"/>
          <w:sz w:val="16"/>
        </w:rPr>
        <w:t>*</w:t>
      </w:r>
      <w:r w:rsidR="00497AEB" w:rsidRPr="00583E1A">
        <w:t>ESVCLP</w:t>
      </w:r>
      <w:r w:rsidRPr="00583E1A">
        <w:t xml:space="preserve">, an </w:t>
      </w:r>
      <w:r w:rsidR="00583E1A" w:rsidRPr="00583E1A">
        <w:rPr>
          <w:position w:val="6"/>
          <w:sz w:val="16"/>
        </w:rPr>
        <w:t>*</w:t>
      </w:r>
      <w:r w:rsidRPr="00583E1A">
        <w:t xml:space="preserve">AFOF or a </w:t>
      </w:r>
      <w:r w:rsidR="00583E1A" w:rsidRPr="00583E1A">
        <w:rPr>
          <w:position w:val="6"/>
          <w:sz w:val="16"/>
        </w:rPr>
        <w:t>*</w:t>
      </w:r>
      <w:r w:rsidRPr="00583E1A">
        <w:t>VCMP and to carry on activities that are carried on by a body of that kind.</w:t>
      </w:r>
    </w:p>
    <w:p w:rsidR="00887330" w:rsidRPr="00583E1A" w:rsidRDefault="00887330" w:rsidP="00887330">
      <w:pPr>
        <w:pStyle w:val="Definition"/>
      </w:pPr>
      <w:r w:rsidRPr="00583E1A">
        <w:rPr>
          <w:b/>
          <w:i/>
        </w:rPr>
        <w:t>limited recourse debt</w:t>
      </w:r>
      <w:r w:rsidRPr="00583E1A">
        <w:t xml:space="preserve"> has the meaning given by section</w:t>
      </w:r>
      <w:r w:rsidR="00583E1A">
        <w:t> </w:t>
      </w:r>
      <w:r w:rsidRPr="00583E1A">
        <w:t>243</w:t>
      </w:r>
      <w:r w:rsidR="00583E1A">
        <w:noBreakHyphen/>
      </w:r>
      <w:r w:rsidRPr="00583E1A">
        <w:t>20.</w:t>
      </w:r>
    </w:p>
    <w:p w:rsidR="00887330" w:rsidRPr="00583E1A" w:rsidRDefault="00887330" w:rsidP="00887330">
      <w:pPr>
        <w:pStyle w:val="Definition"/>
      </w:pPr>
      <w:r w:rsidRPr="00583E1A">
        <w:rPr>
          <w:b/>
          <w:i/>
        </w:rPr>
        <w:t>linked assets and liabilities</w:t>
      </w:r>
      <w:r w:rsidRPr="00583E1A">
        <w:t xml:space="preserve"> has the meaning given by subsection 705</w:t>
      </w:r>
      <w:r w:rsidR="00583E1A">
        <w:noBreakHyphen/>
      </w:r>
      <w:r w:rsidRPr="00583E1A">
        <w:t>59(2).</w:t>
      </w:r>
    </w:p>
    <w:p w:rsidR="00887330" w:rsidRPr="00583E1A" w:rsidRDefault="00887330" w:rsidP="00887330">
      <w:pPr>
        <w:pStyle w:val="Definition"/>
      </w:pPr>
      <w:r w:rsidRPr="00583E1A">
        <w:rPr>
          <w:b/>
          <w:i/>
        </w:rPr>
        <w:t>linked group</w:t>
      </w:r>
      <w:r w:rsidRPr="00583E1A">
        <w:t xml:space="preserve"> has the meaning given by section</w:t>
      </w:r>
      <w:r w:rsidR="00583E1A">
        <w:t> </w:t>
      </w:r>
      <w:r w:rsidRPr="00583E1A">
        <w:t>170</w:t>
      </w:r>
      <w:r w:rsidR="00583E1A">
        <w:noBreakHyphen/>
      </w:r>
      <w:r w:rsidRPr="00583E1A">
        <w:t>260.</w:t>
      </w:r>
    </w:p>
    <w:p w:rsidR="00887330" w:rsidRPr="00583E1A" w:rsidRDefault="00887330" w:rsidP="00887330">
      <w:pPr>
        <w:pStyle w:val="Definition"/>
      </w:pPr>
      <w:r w:rsidRPr="00583E1A">
        <w:rPr>
          <w:b/>
          <w:i/>
        </w:rPr>
        <w:t>listed country</w:t>
      </w:r>
      <w:r w:rsidRPr="00583E1A">
        <w:t xml:space="preserve"> has the meaning given by section</w:t>
      </w:r>
      <w:r w:rsidR="00583E1A">
        <w:t> </w:t>
      </w:r>
      <w:r w:rsidRPr="00583E1A">
        <w:t xml:space="preserve">320 of the </w:t>
      </w:r>
      <w:r w:rsidRPr="00583E1A">
        <w:rPr>
          <w:i/>
        </w:rPr>
        <w:t>Income Tax Assessment Act 1936</w:t>
      </w:r>
      <w:r w:rsidRPr="00583E1A">
        <w:t>.</w:t>
      </w:r>
    </w:p>
    <w:p w:rsidR="00887330" w:rsidRPr="00583E1A" w:rsidRDefault="00887330" w:rsidP="00887330">
      <w:pPr>
        <w:pStyle w:val="Definition"/>
      </w:pPr>
      <w:r w:rsidRPr="00583E1A">
        <w:rPr>
          <w:b/>
          <w:i/>
        </w:rPr>
        <w:lastRenderedPageBreak/>
        <w:t>listed investment company</w:t>
      </w:r>
      <w:r w:rsidRPr="00583E1A">
        <w:t xml:space="preserve"> has the meaning given by section</w:t>
      </w:r>
      <w:r w:rsidR="00583E1A">
        <w:t> </w:t>
      </w:r>
      <w:r w:rsidRPr="00583E1A">
        <w:t>115</w:t>
      </w:r>
      <w:r w:rsidR="00583E1A">
        <w:noBreakHyphen/>
      </w:r>
      <w:r w:rsidRPr="00583E1A">
        <w:t>290.</w:t>
      </w:r>
    </w:p>
    <w:p w:rsidR="00887330" w:rsidRPr="00583E1A" w:rsidRDefault="00887330" w:rsidP="00887330">
      <w:pPr>
        <w:pStyle w:val="Definition"/>
      </w:pPr>
      <w:r w:rsidRPr="00583E1A">
        <w:rPr>
          <w:b/>
          <w:i/>
        </w:rPr>
        <w:t>listed public company</w:t>
      </w:r>
      <w:r w:rsidRPr="00583E1A">
        <w:t xml:space="preserve"> means a company </w:t>
      </w:r>
      <w:r w:rsidR="00583E1A" w:rsidRPr="00583E1A">
        <w:rPr>
          <w:position w:val="6"/>
          <w:sz w:val="16"/>
        </w:rPr>
        <w:t>*</w:t>
      </w:r>
      <w:r w:rsidRPr="00583E1A">
        <w:t xml:space="preserve">shares in which (except shares that carry a right to a fixed rate of </w:t>
      </w:r>
      <w:r w:rsidR="00583E1A" w:rsidRPr="00583E1A">
        <w:rPr>
          <w:position w:val="6"/>
          <w:sz w:val="16"/>
        </w:rPr>
        <w:t>*</w:t>
      </w:r>
      <w:r w:rsidRPr="00583E1A">
        <w:t xml:space="preserve">dividend) are listed for quotation in the official list of an </w:t>
      </w:r>
      <w:r w:rsidR="00583E1A" w:rsidRPr="00583E1A">
        <w:rPr>
          <w:position w:val="6"/>
          <w:sz w:val="16"/>
        </w:rPr>
        <w:t>*</w:t>
      </w:r>
      <w:r w:rsidRPr="00583E1A">
        <w:t xml:space="preserve">approved stock exchange. However, a company is </w:t>
      </w:r>
      <w:r w:rsidRPr="00583E1A">
        <w:rPr>
          <w:i/>
        </w:rPr>
        <w:t>not</w:t>
      </w:r>
      <w:r w:rsidRPr="00583E1A">
        <w:t xml:space="preserve"> a </w:t>
      </w:r>
      <w:r w:rsidRPr="00583E1A">
        <w:rPr>
          <w:b/>
          <w:i/>
        </w:rPr>
        <w:t>listed public company</w:t>
      </w:r>
      <w:r w:rsidRPr="00583E1A">
        <w:t xml:space="preserve"> if:</w:t>
      </w:r>
    </w:p>
    <w:p w:rsidR="00887330" w:rsidRPr="00583E1A" w:rsidRDefault="00887330" w:rsidP="00887330">
      <w:pPr>
        <w:pStyle w:val="paragraph"/>
      </w:pPr>
      <w:r w:rsidRPr="00583E1A">
        <w:tab/>
        <w:t>(a)</w:t>
      </w:r>
      <w:r w:rsidRPr="00583E1A">
        <w:tab/>
        <w:t>a person (who is not a company) controls, or is able to control, or up to 20 persons (none of them companies) between them control, or are able to control, 75% or more of the voting power in the company (whether directly, or indirectly through one or more interposed entities); or</w:t>
      </w:r>
    </w:p>
    <w:p w:rsidR="00887330" w:rsidRPr="00583E1A" w:rsidRDefault="00887330" w:rsidP="000A522F">
      <w:pPr>
        <w:pStyle w:val="paragraph"/>
        <w:keepNext/>
        <w:keepLines/>
      </w:pPr>
      <w:r w:rsidRPr="00583E1A">
        <w:tab/>
        <w:t>(b)</w:t>
      </w:r>
      <w:r w:rsidRPr="00583E1A">
        <w:tab/>
        <w:t xml:space="preserve">a person (who is not a company) has, or up to 20 persons (none of them companies) have between them, the right to receive for their own benefit (whether directly, or </w:t>
      </w:r>
      <w:r w:rsidR="00583E1A" w:rsidRPr="00583E1A">
        <w:rPr>
          <w:position w:val="6"/>
          <w:sz w:val="16"/>
        </w:rPr>
        <w:t>*</w:t>
      </w:r>
      <w:r w:rsidRPr="00583E1A">
        <w:t xml:space="preserve">indirectly through one or more interposed entities) 75% or more of any </w:t>
      </w:r>
      <w:r w:rsidR="00583E1A" w:rsidRPr="00583E1A">
        <w:rPr>
          <w:position w:val="6"/>
          <w:sz w:val="16"/>
        </w:rPr>
        <w:t>*</w:t>
      </w:r>
      <w:r w:rsidRPr="00583E1A">
        <w:t>dividends that the company may pay; or</w:t>
      </w:r>
    </w:p>
    <w:p w:rsidR="00887330" w:rsidRPr="00583E1A" w:rsidRDefault="00887330" w:rsidP="00887330">
      <w:pPr>
        <w:pStyle w:val="paragraph"/>
        <w:rPr>
          <w:b/>
          <w:i/>
        </w:rPr>
      </w:pPr>
      <w:r w:rsidRPr="00583E1A">
        <w:tab/>
        <w:t>(c)</w:t>
      </w:r>
      <w:r w:rsidRPr="00583E1A">
        <w:tab/>
        <w:t xml:space="preserve">a person (who is not a company) has, or up to 20 persons (none of them companies) have between them, the right to receive for their own benefit (whether directly, or </w:t>
      </w:r>
      <w:r w:rsidR="00583E1A" w:rsidRPr="00583E1A">
        <w:rPr>
          <w:position w:val="6"/>
          <w:sz w:val="16"/>
        </w:rPr>
        <w:t>*</w:t>
      </w:r>
      <w:r w:rsidRPr="00583E1A">
        <w:t>indirectly through one or more interposed entities) 75% or more of any distribution of capital of the company.</w:t>
      </w:r>
    </w:p>
    <w:p w:rsidR="00887330" w:rsidRPr="00583E1A" w:rsidRDefault="00887330" w:rsidP="00887330">
      <w:pPr>
        <w:pStyle w:val="Definition"/>
      </w:pPr>
      <w:r w:rsidRPr="00583E1A">
        <w:rPr>
          <w:b/>
          <w:i/>
        </w:rPr>
        <w:t>listed widely held trust</w:t>
      </w:r>
      <w:r w:rsidRPr="00583E1A">
        <w:t xml:space="preserve"> has the meaning given by section</w:t>
      </w:r>
      <w:r w:rsidR="00583E1A">
        <w:t> </w:t>
      </w:r>
      <w:r w:rsidRPr="00583E1A">
        <w:t>272</w:t>
      </w:r>
      <w:r w:rsidR="00583E1A">
        <w:noBreakHyphen/>
      </w:r>
      <w:r w:rsidRPr="00583E1A">
        <w:t>115 in Schedule</w:t>
      </w:r>
      <w:r w:rsidR="00583E1A">
        <w:t> </w:t>
      </w:r>
      <w:r w:rsidRPr="00583E1A">
        <w:t xml:space="preserve">2F to the </w:t>
      </w:r>
      <w:r w:rsidRPr="00583E1A">
        <w:rPr>
          <w:i/>
        </w:rPr>
        <w:t>Income Tax Assessment Act 1936</w:t>
      </w:r>
      <w:r w:rsidRPr="00583E1A">
        <w:t>.</w:t>
      </w:r>
    </w:p>
    <w:p w:rsidR="00887330" w:rsidRPr="00583E1A" w:rsidRDefault="00887330" w:rsidP="00887330">
      <w:pPr>
        <w:pStyle w:val="Definition"/>
        <w:rPr>
          <w:b/>
          <w:i/>
        </w:rPr>
      </w:pPr>
      <w:r w:rsidRPr="00583E1A">
        <w:rPr>
          <w:b/>
          <w:i/>
        </w:rPr>
        <w:t>live stock</w:t>
      </w:r>
      <w:r w:rsidRPr="00583E1A">
        <w:t xml:space="preserve"> does </w:t>
      </w:r>
      <w:r w:rsidRPr="00583E1A">
        <w:rPr>
          <w:i/>
        </w:rPr>
        <w:t>not</w:t>
      </w:r>
      <w:r w:rsidRPr="00583E1A">
        <w:t xml:space="preserve"> include animals used as beasts of burden or working beasts in a </w:t>
      </w:r>
      <w:r w:rsidR="00583E1A" w:rsidRPr="00583E1A">
        <w:rPr>
          <w:position w:val="6"/>
          <w:sz w:val="16"/>
        </w:rPr>
        <w:t>*</w:t>
      </w:r>
      <w:r w:rsidRPr="00583E1A">
        <w:t xml:space="preserve">business other than a </w:t>
      </w:r>
      <w:r w:rsidR="00583E1A" w:rsidRPr="00583E1A">
        <w:rPr>
          <w:position w:val="6"/>
          <w:sz w:val="16"/>
        </w:rPr>
        <w:t>*</w:t>
      </w:r>
      <w:r w:rsidRPr="00583E1A">
        <w:t>primary production business.</w:t>
      </w:r>
    </w:p>
    <w:p w:rsidR="003576F7" w:rsidRPr="00583E1A" w:rsidRDefault="003576F7" w:rsidP="003576F7">
      <w:pPr>
        <w:pStyle w:val="Definition"/>
      </w:pPr>
      <w:r w:rsidRPr="00583E1A">
        <w:rPr>
          <w:rFonts w:ascii="Times-BoldItalic" w:hAnsi="Times-BoldItalic"/>
          <w:b/>
          <w:i/>
          <w:szCs w:val="22"/>
          <w:lang w:eastAsia="en-US" w:bidi="x-none"/>
        </w:rPr>
        <w:t>local governing body</w:t>
      </w:r>
      <w:r w:rsidRPr="00583E1A">
        <w:rPr>
          <w:rFonts w:ascii="Times-Roman" w:hAnsi="Times-Roman"/>
          <w:szCs w:val="22"/>
          <w:lang w:eastAsia="en-US" w:bidi="x-none"/>
        </w:rPr>
        <w:t xml:space="preserve"> means a local governing body established by or under a </w:t>
      </w:r>
      <w:r w:rsidR="00583E1A" w:rsidRPr="00583E1A">
        <w:rPr>
          <w:rFonts w:ascii="Times-Roman" w:hAnsi="Times-Roman"/>
          <w:position w:val="6"/>
          <w:sz w:val="16"/>
          <w:szCs w:val="22"/>
          <w:lang w:eastAsia="en-US" w:bidi="x-none"/>
        </w:rPr>
        <w:t>*</w:t>
      </w:r>
      <w:r w:rsidRPr="00583E1A">
        <w:rPr>
          <w:rFonts w:ascii="Times-Roman" w:hAnsi="Times-Roman"/>
          <w:szCs w:val="22"/>
          <w:lang w:eastAsia="en-US" w:bidi="x-none"/>
        </w:rPr>
        <w:t xml:space="preserve">State law or </w:t>
      </w:r>
      <w:r w:rsidR="00583E1A" w:rsidRPr="00583E1A">
        <w:rPr>
          <w:rFonts w:ascii="Times-Roman" w:hAnsi="Times-Roman"/>
          <w:position w:val="6"/>
          <w:sz w:val="16"/>
          <w:szCs w:val="22"/>
          <w:lang w:eastAsia="en-US" w:bidi="x-none"/>
        </w:rPr>
        <w:t>*</w:t>
      </w:r>
      <w:r w:rsidRPr="00583E1A">
        <w:rPr>
          <w:rFonts w:ascii="Times-Roman" w:hAnsi="Times-Roman"/>
          <w:szCs w:val="22"/>
          <w:lang w:eastAsia="en-US" w:bidi="x-none"/>
        </w:rPr>
        <w:t>Territory law.</w:t>
      </w:r>
    </w:p>
    <w:p w:rsidR="00887330" w:rsidRPr="00583E1A" w:rsidRDefault="00887330" w:rsidP="00887330">
      <w:pPr>
        <w:pStyle w:val="Definition"/>
      </w:pPr>
      <w:r w:rsidRPr="00583E1A">
        <w:rPr>
          <w:b/>
          <w:i/>
        </w:rPr>
        <w:t>lodge electronically</w:t>
      </w:r>
      <w:r w:rsidRPr="00583E1A">
        <w:t>: a document is lodged electronically if it is transmitted to the Commissioner in an electronic format approved by the Commissioner.</w:t>
      </w:r>
    </w:p>
    <w:p w:rsidR="004F4272" w:rsidRPr="00583E1A" w:rsidRDefault="004F4272" w:rsidP="004F4272">
      <w:pPr>
        <w:pStyle w:val="Definition"/>
      </w:pPr>
      <w:r w:rsidRPr="00583E1A">
        <w:rPr>
          <w:b/>
          <w:i/>
        </w:rPr>
        <w:t>long service leave employment period</w:t>
      </w:r>
      <w:r w:rsidRPr="00583E1A">
        <w:t xml:space="preserve"> has the meaning given by subsection 83</w:t>
      </w:r>
      <w:r w:rsidR="00583E1A">
        <w:noBreakHyphen/>
      </w:r>
      <w:r w:rsidRPr="00583E1A">
        <w:t>90(4).</w:t>
      </w:r>
    </w:p>
    <w:p w:rsidR="000707F1" w:rsidRPr="005E19E0" w:rsidRDefault="000707F1" w:rsidP="000707F1">
      <w:pPr>
        <w:pStyle w:val="Definition"/>
      </w:pPr>
      <w:r w:rsidRPr="005E19E0">
        <w:rPr>
          <w:b/>
          <w:i/>
        </w:rPr>
        <w:t>long term bond rate</w:t>
      </w:r>
      <w:r w:rsidRPr="005E19E0">
        <w:t>, for a period, means:</w:t>
      </w:r>
    </w:p>
    <w:p w:rsidR="000707F1" w:rsidRPr="005E19E0" w:rsidRDefault="000707F1" w:rsidP="000707F1">
      <w:pPr>
        <w:pStyle w:val="paragraph"/>
      </w:pPr>
      <w:r w:rsidRPr="005E19E0">
        <w:lastRenderedPageBreak/>
        <w:tab/>
        <w:t>(a)</w:t>
      </w:r>
      <w:r w:rsidRPr="005E19E0">
        <w:tab/>
        <w:t>the average, expressed as a decimal fraction to 4 decimal places (rounding up if the fifth decimal place is 5 or more), of the daily assessed Australian Government bond capital market yields in respect of 10</w:t>
      </w:r>
      <w:r w:rsidRPr="005E19E0">
        <w:noBreakHyphen/>
        <w:t>year non</w:t>
      </w:r>
      <w:r w:rsidRPr="005E19E0">
        <w:noBreakHyphen/>
        <w:t>rebate Treasury bonds published by the Reserve Bank in relation to the period; or</w:t>
      </w:r>
    </w:p>
    <w:p w:rsidR="000707F1" w:rsidRPr="005E19E0" w:rsidRDefault="000707F1" w:rsidP="000707F1">
      <w:pPr>
        <w:pStyle w:val="paragraph"/>
      </w:pPr>
      <w:r w:rsidRPr="005E19E0">
        <w:tab/>
        <w:t>(b)</w:t>
      </w:r>
      <w:r w:rsidRPr="005E19E0">
        <w:tab/>
        <w:t>if no such yields in respect of bonds of that kind were published by the Reserve Bank in relation to the period, the decimal fraction determined by the Minister by legislative instrument for the purposes of this definition in relation to the period.</w:t>
      </w:r>
    </w:p>
    <w:p w:rsidR="00887330" w:rsidRPr="00583E1A" w:rsidRDefault="00887330" w:rsidP="00887330">
      <w:pPr>
        <w:pStyle w:val="Definition"/>
      </w:pPr>
      <w:r w:rsidRPr="00583E1A">
        <w:rPr>
          <w:b/>
          <w:i/>
        </w:rPr>
        <w:t>losing entity</w:t>
      </w:r>
      <w:r w:rsidRPr="00583E1A">
        <w:t xml:space="preserve"> for an </w:t>
      </w:r>
      <w:r w:rsidR="00583E1A" w:rsidRPr="00583E1A">
        <w:rPr>
          <w:position w:val="6"/>
          <w:sz w:val="16"/>
        </w:rPr>
        <w:t>*</w:t>
      </w:r>
      <w:r w:rsidRPr="00583E1A">
        <w:t>indirect value shift has the meaning given by section</w:t>
      </w:r>
      <w:r w:rsidR="00583E1A">
        <w:t> </w:t>
      </w:r>
      <w:r w:rsidRPr="00583E1A">
        <w:t>727</w:t>
      </w:r>
      <w:r w:rsidR="00583E1A">
        <w:noBreakHyphen/>
      </w:r>
      <w:r w:rsidRPr="00583E1A">
        <w:t>150.</w:t>
      </w:r>
    </w:p>
    <w:p w:rsidR="00887330" w:rsidRPr="00583E1A" w:rsidRDefault="00887330" w:rsidP="00887330">
      <w:pPr>
        <w:pStyle w:val="Definition"/>
      </w:pPr>
      <w:r w:rsidRPr="00583E1A">
        <w:rPr>
          <w:b/>
          <w:i/>
        </w:rPr>
        <w:t>loss company</w:t>
      </w:r>
      <w:r w:rsidRPr="00583E1A">
        <w:t>:</w:t>
      </w:r>
    </w:p>
    <w:p w:rsidR="00887330" w:rsidRPr="00583E1A" w:rsidRDefault="00887330" w:rsidP="00887330">
      <w:pPr>
        <w:pStyle w:val="paragraph"/>
      </w:pPr>
      <w:r w:rsidRPr="00583E1A">
        <w:tab/>
        <w:t>(a)</w:t>
      </w:r>
      <w:r w:rsidRPr="00583E1A">
        <w:tab/>
        <w:t>at a particular time, has the meaning given by section</w:t>
      </w:r>
      <w:r w:rsidR="00583E1A">
        <w:t> </w:t>
      </w:r>
      <w:r w:rsidRPr="00583E1A">
        <w:t>165</w:t>
      </w:r>
      <w:r w:rsidR="00583E1A">
        <w:noBreakHyphen/>
      </w:r>
      <w:r w:rsidRPr="00583E1A">
        <w:t>115R or 165</w:t>
      </w:r>
      <w:r w:rsidR="00583E1A">
        <w:noBreakHyphen/>
      </w:r>
      <w:r w:rsidRPr="00583E1A">
        <w:t xml:space="preserve">115S; and </w:t>
      </w:r>
    </w:p>
    <w:p w:rsidR="00887330" w:rsidRPr="00583E1A" w:rsidRDefault="00887330" w:rsidP="00887330">
      <w:pPr>
        <w:pStyle w:val="paragraph"/>
      </w:pPr>
      <w:r w:rsidRPr="00583E1A">
        <w:tab/>
        <w:t>(b)</w:t>
      </w:r>
      <w:r w:rsidRPr="00583E1A">
        <w:tab/>
        <w:t xml:space="preserve">in relation to a transfer of a </w:t>
      </w:r>
      <w:r w:rsidR="00583E1A" w:rsidRPr="00583E1A">
        <w:rPr>
          <w:position w:val="6"/>
          <w:sz w:val="16"/>
        </w:rPr>
        <w:t>*</w:t>
      </w:r>
      <w:r w:rsidRPr="00583E1A">
        <w:t xml:space="preserve">tax loss or a </w:t>
      </w:r>
      <w:r w:rsidR="00583E1A" w:rsidRPr="00583E1A">
        <w:rPr>
          <w:position w:val="6"/>
          <w:sz w:val="16"/>
        </w:rPr>
        <w:t>*</w:t>
      </w:r>
      <w:r w:rsidRPr="00583E1A">
        <w:t>net capital loss has the meaning given by section</w:t>
      </w:r>
      <w:r w:rsidR="00583E1A">
        <w:t> </w:t>
      </w:r>
      <w:r w:rsidRPr="00583E1A">
        <w:t>170</w:t>
      </w:r>
      <w:r w:rsidR="00583E1A">
        <w:noBreakHyphen/>
      </w:r>
      <w:r w:rsidRPr="00583E1A">
        <w:t>10 or 170</w:t>
      </w:r>
      <w:r w:rsidR="00583E1A">
        <w:noBreakHyphen/>
      </w:r>
      <w:r w:rsidRPr="00583E1A">
        <w:t>110.</w:t>
      </w:r>
    </w:p>
    <w:p w:rsidR="00887330" w:rsidRPr="00583E1A" w:rsidRDefault="00887330" w:rsidP="00887330">
      <w:pPr>
        <w:pStyle w:val="Definition"/>
      </w:pPr>
      <w:r w:rsidRPr="00583E1A">
        <w:rPr>
          <w:b/>
          <w:i/>
        </w:rPr>
        <w:t>loss denial balance</w:t>
      </w:r>
      <w:r w:rsidRPr="00583E1A">
        <w:t xml:space="preserve"> of a </w:t>
      </w:r>
      <w:r w:rsidR="00583E1A" w:rsidRPr="00583E1A">
        <w:rPr>
          <w:position w:val="6"/>
          <w:sz w:val="16"/>
        </w:rPr>
        <w:t>*</w:t>
      </w:r>
      <w:r w:rsidRPr="00583E1A">
        <w:t>loss denial pool of an entity has the meaning given by sections</w:t>
      </w:r>
      <w:r w:rsidR="00583E1A">
        <w:t> </w:t>
      </w:r>
      <w:r w:rsidRPr="00583E1A">
        <w:t>715</w:t>
      </w:r>
      <w:r w:rsidR="00583E1A">
        <w:noBreakHyphen/>
      </w:r>
      <w:r w:rsidRPr="00583E1A">
        <w:t>60, 715</w:t>
      </w:r>
      <w:r w:rsidR="00583E1A">
        <w:noBreakHyphen/>
      </w:r>
      <w:r w:rsidRPr="00583E1A">
        <w:t>70, 715</w:t>
      </w:r>
      <w:r w:rsidR="00583E1A">
        <w:noBreakHyphen/>
      </w:r>
      <w:r w:rsidRPr="00583E1A">
        <w:t>110, 715</w:t>
      </w:r>
      <w:r w:rsidR="00583E1A">
        <w:noBreakHyphen/>
      </w:r>
      <w:r w:rsidRPr="00583E1A">
        <w:t>135, 715</w:t>
      </w:r>
      <w:r w:rsidR="00583E1A">
        <w:noBreakHyphen/>
      </w:r>
      <w:r w:rsidRPr="00583E1A">
        <w:t>355 and 715</w:t>
      </w:r>
      <w:r w:rsidR="00583E1A">
        <w:noBreakHyphen/>
      </w:r>
      <w:r w:rsidRPr="00583E1A">
        <w:t>360.</w:t>
      </w:r>
    </w:p>
    <w:p w:rsidR="00887330" w:rsidRPr="00583E1A" w:rsidRDefault="00887330" w:rsidP="00887330">
      <w:pPr>
        <w:pStyle w:val="Definition"/>
      </w:pPr>
      <w:r w:rsidRPr="00583E1A">
        <w:rPr>
          <w:b/>
          <w:i/>
        </w:rPr>
        <w:t>loss denial pool</w:t>
      </w:r>
      <w:r w:rsidRPr="00583E1A">
        <w:t xml:space="preserve"> of an entity has the meaning given by sections</w:t>
      </w:r>
      <w:r w:rsidR="00583E1A">
        <w:t> </w:t>
      </w:r>
      <w:r w:rsidRPr="00583E1A">
        <w:t>715</w:t>
      </w:r>
      <w:r w:rsidR="00583E1A">
        <w:noBreakHyphen/>
      </w:r>
      <w:r w:rsidRPr="00583E1A">
        <w:t>60, 715</w:t>
      </w:r>
      <w:r w:rsidR="00583E1A">
        <w:noBreakHyphen/>
      </w:r>
      <w:r w:rsidRPr="00583E1A">
        <w:t>70, 715</w:t>
      </w:r>
      <w:r w:rsidR="00583E1A">
        <w:noBreakHyphen/>
      </w:r>
      <w:r w:rsidRPr="00583E1A">
        <w:t>110, 715</w:t>
      </w:r>
      <w:r w:rsidR="00583E1A">
        <w:noBreakHyphen/>
      </w:r>
      <w:r w:rsidRPr="00583E1A">
        <w:t>135, 715</w:t>
      </w:r>
      <w:r w:rsidR="00583E1A">
        <w:noBreakHyphen/>
      </w:r>
      <w:r w:rsidRPr="00583E1A">
        <w:t>355 and 715</w:t>
      </w:r>
      <w:r w:rsidR="00583E1A">
        <w:noBreakHyphen/>
      </w:r>
      <w:r w:rsidRPr="00583E1A">
        <w:t>360.</w:t>
      </w:r>
    </w:p>
    <w:p w:rsidR="00887330" w:rsidRPr="00583E1A" w:rsidRDefault="00887330" w:rsidP="00887330">
      <w:pPr>
        <w:pStyle w:val="Definition"/>
      </w:pPr>
      <w:r w:rsidRPr="00583E1A">
        <w:rPr>
          <w:b/>
          <w:i/>
        </w:rPr>
        <w:t>loss exposure amount</w:t>
      </w:r>
      <w:r w:rsidRPr="00583E1A">
        <w:t xml:space="preserve"> has the meaning given by section</w:t>
      </w:r>
      <w:r w:rsidR="00583E1A">
        <w:t> </w:t>
      </w:r>
      <w:r w:rsidRPr="00583E1A">
        <w:t>830</w:t>
      </w:r>
      <w:r w:rsidR="00583E1A">
        <w:noBreakHyphen/>
      </w:r>
      <w:r w:rsidRPr="00583E1A">
        <w:t>60.</w:t>
      </w:r>
    </w:p>
    <w:p w:rsidR="00887330" w:rsidRPr="00583E1A" w:rsidRDefault="00887330" w:rsidP="00887330">
      <w:pPr>
        <w:pStyle w:val="Definition"/>
      </w:pPr>
      <w:r w:rsidRPr="00583E1A">
        <w:rPr>
          <w:b/>
          <w:i/>
        </w:rPr>
        <w:t>loss</w:t>
      </w:r>
      <w:r w:rsidR="00583E1A">
        <w:rPr>
          <w:b/>
          <w:i/>
        </w:rPr>
        <w:noBreakHyphen/>
      </w:r>
      <w:r w:rsidRPr="00583E1A">
        <w:rPr>
          <w:b/>
          <w:i/>
        </w:rPr>
        <w:t>focussed basis</w:t>
      </w:r>
      <w:r w:rsidRPr="00583E1A">
        <w:t xml:space="preserve"> has the meaning given by section</w:t>
      </w:r>
      <w:r w:rsidR="00583E1A">
        <w:t> </w:t>
      </w:r>
      <w:r w:rsidRPr="00583E1A">
        <w:t>727</w:t>
      </w:r>
      <w:r w:rsidR="00583E1A">
        <w:noBreakHyphen/>
      </w:r>
      <w:r w:rsidRPr="00583E1A">
        <w:t>780.</w:t>
      </w:r>
    </w:p>
    <w:p w:rsidR="00887330" w:rsidRPr="00583E1A" w:rsidRDefault="00887330" w:rsidP="00887330">
      <w:pPr>
        <w:pStyle w:val="Definition"/>
      </w:pPr>
      <w:r w:rsidRPr="00583E1A">
        <w:rPr>
          <w:b/>
          <w:i/>
        </w:rPr>
        <w:t>loss year</w:t>
      </w:r>
      <w:r w:rsidRPr="00583E1A">
        <w:t xml:space="preserve"> has the meaning given by sections</w:t>
      </w:r>
      <w:r w:rsidR="00583E1A">
        <w:t> </w:t>
      </w:r>
      <w:r w:rsidRPr="00583E1A">
        <w:t>36</w:t>
      </w:r>
      <w:r w:rsidR="00583E1A">
        <w:noBreakHyphen/>
      </w:r>
      <w:r w:rsidRPr="00583E1A">
        <w:t>10, 165</w:t>
      </w:r>
      <w:r w:rsidR="00583E1A">
        <w:noBreakHyphen/>
      </w:r>
      <w:r w:rsidRPr="00583E1A">
        <w:t>70 and 175</w:t>
      </w:r>
      <w:r w:rsidR="00583E1A">
        <w:noBreakHyphen/>
      </w:r>
      <w:r w:rsidRPr="00583E1A">
        <w:t>35.</w:t>
      </w:r>
    </w:p>
    <w:p w:rsidR="00887330" w:rsidRPr="00583E1A" w:rsidRDefault="00887330" w:rsidP="00887330">
      <w:pPr>
        <w:pStyle w:val="notetext"/>
      </w:pPr>
      <w:r w:rsidRPr="00583E1A">
        <w:t>Note:</w:t>
      </w:r>
      <w:r w:rsidRPr="00583E1A">
        <w:tab/>
        <w:t xml:space="preserve">The meaning of </w:t>
      </w:r>
      <w:r w:rsidRPr="00583E1A">
        <w:rPr>
          <w:b/>
          <w:i/>
        </w:rPr>
        <w:t>loss year</w:t>
      </w:r>
      <w:r w:rsidRPr="00583E1A">
        <w:t xml:space="preserve"> in sections</w:t>
      </w:r>
      <w:r w:rsidR="00583E1A">
        <w:t> </w:t>
      </w:r>
      <w:r w:rsidRPr="00583E1A">
        <w:t>36</w:t>
      </w:r>
      <w:r w:rsidR="00583E1A">
        <w:noBreakHyphen/>
      </w:r>
      <w:r w:rsidRPr="00583E1A">
        <w:t>10, 165</w:t>
      </w:r>
      <w:r w:rsidR="00583E1A">
        <w:noBreakHyphen/>
      </w:r>
      <w:r w:rsidRPr="00583E1A">
        <w:t>70 and 175</w:t>
      </w:r>
      <w:r w:rsidR="00583E1A">
        <w:noBreakHyphen/>
      </w:r>
      <w:r w:rsidRPr="00583E1A">
        <w:t>35 is modified by section</w:t>
      </w:r>
      <w:r w:rsidR="00583E1A">
        <w:t> </w:t>
      </w:r>
      <w:r w:rsidRPr="00583E1A">
        <w:t>36</w:t>
      </w:r>
      <w:r w:rsidR="00583E1A">
        <w:noBreakHyphen/>
      </w:r>
      <w:r w:rsidRPr="00583E1A">
        <w:t>55 for a corporate tax entity that has an amount of excess franking offsets.</w:t>
      </w:r>
    </w:p>
    <w:p w:rsidR="00887330" w:rsidRPr="00583E1A" w:rsidRDefault="00887330" w:rsidP="00887330">
      <w:pPr>
        <w:pStyle w:val="Definition"/>
      </w:pPr>
      <w:r w:rsidRPr="00583E1A">
        <w:rPr>
          <w:b/>
          <w:i/>
        </w:rPr>
        <w:t>low</w:t>
      </w:r>
      <w:r w:rsidR="00583E1A">
        <w:rPr>
          <w:b/>
          <w:i/>
        </w:rPr>
        <w:noBreakHyphen/>
      </w:r>
      <w:r w:rsidRPr="00583E1A">
        <w:rPr>
          <w:b/>
          <w:i/>
        </w:rPr>
        <w:t>cost asset</w:t>
      </w:r>
      <w:r w:rsidRPr="00583E1A">
        <w:t xml:space="preserve"> has the meaning given by section</w:t>
      </w:r>
      <w:r w:rsidR="00583E1A">
        <w:t> </w:t>
      </w:r>
      <w:r w:rsidRPr="00583E1A">
        <w:t>40</w:t>
      </w:r>
      <w:r w:rsidR="00583E1A">
        <w:noBreakHyphen/>
      </w:r>
      <w:r w:rsidRPr="00583E1A">
        <w:t>425.</w:t>
      </w:r>
    </w:p>
    <w:p w:rsidR="004F4272" w:rsidRPr="00583E1A" w:rsidRDefault="004F4272" w:rsidP="004F4272">
      <w:pPr>
        <w:pStyle w:val="Definition"/>
      </w:pPr>
      <w:r w:rsidRPr="00583E1A">
        <w:rPr>
          <w:b/>
          <w:i/>
        </w:rPr>
        <w:t>low rate cap amount</w:t>
      </w:r>
      <w:r w:rsidRPr="00583E1A">
        <w:t xml:space="preserve"> has the meaning given by section</w:t>
      </w:r>
      <w:r w:rsidR="00583E1A">
        <w:t> </w:t>
      </w:r>
      <w:r w:rsidRPr="00583E1A">
        <w:t>307</w:t>
      </w:r>
      <w:r w:rsidR="00583E1A">
        <w:noBreakHyphen/>
      </w:r>
      <w:r w:rsidRPr="00583E1A">
        <w:t>345.</w:t>
      </w:r>
    </w:p>
    <w:p w:rsidR="004F4272" w:rsidRPr="00583E1A" w:rsidRDefault="004F4272" w:rsidP="004F4272">
      <w:pPr>
        <w:pStyle w:val="Definition"/>
        <w:rPr>
          <w:lang w:eastAsia="en-US"/>
        </w:rPr>
      </w:pPr>
      <w:r w:rsidRPr="00583E1A">
        <w:rPr>
          <w:b/>
          <w:i/>
          <w:lang w:eastAsia="en-US"/>
        </w:rPr>
        <w:lastRenderedPageBreak/>
        <w:t>low tax component</w:t>
      </w:r>
      <w:r w:rsidRPr="00583E1A">
        <w:rPr>
          <w:lang w:eastAsia="en-US"/>
        </w:rPr>
        <w:t xml:space="preserve"> has the meaning given by section</w:t>
      </w:r>
      <w:r w:rsidR="00583E1A">
        <w:rPr>
          <w:lang w:eastAsia="en-US"/>
        </w:rPr>
        <w:t> </w:t>
      </w:r>
      <w:r w:rsidRPr="00583E1A">
        <w:rPr>
          <w:lang w:eastAsia="en-US"/>
        </w:rPr>
        <w:t>295</w:t>
      </w:r>
      <w:r w:rsidR="00583E1A">
        <w:rPr>
          <w:lang w:eastAsia="en-US"/>
        </w:rPr>
        <w:noBreakHyphen/>
      </w:r>
      <w:r w:rsidRPr="00583E1A">
        <w:rPr>
          <w:lang w:eastAsia="en-US"/>
        </w:rPr>
        <w:t>545.</w:t>
      </w:r>
    </w:p>
    <w:p w:rsidR="00887330" w:rsidRPr="00583E1A" w:rsidRDefault="00887330" w:rsidP="00887330">
      <w:pPr>
        <w:pStyle w:val="Definition"/>
      </w:pPr>
      <w:r w:rsidRPr="00583E1A">
        <w:rPr>
          <w:b/>
          <w:i/>
        </w:rPr>
        <w:t>low</w:t>
      </w:r>
      <w:r w:rsidR="00583E1A">
        <w:rPr>
          <w:b/>
          <w:i/>
        </w:rPr>
        <w:noBreakHyphen/>
      </w:r>
      <w:r w:rsidRPr="00583E1A">
        <w:rPr>
          <w:b/>
          <w:i/>
        </w:rPr>
        <w:t>value asset</w:t>
      </w:r>
      <w:r w:rsidRPr="00583E1A">
        <w:t xml:space="preserve"> has the meaning given by section</w:t>
      </w:r>
      <w:r w:rsidR="00583E1A">
        <w:t> </w:t>
      </w:r>
      <w:r w:rsidRPr="00583E1A">
        <w:t>40</w:t>
      </w:r>
      <w:r w:rsidR="00583E1A">
        <w:noBreakHyphen/>
      </w:r>
      <w:r w:rsidRPr="00583E1A">
        <w:t>425.</w:t>
      </w:r>
    </w:p>
    <w:p w:rsidR="00580232" w:rsidRPr="00214FF7" w:rsidRDefault="00580232" w:rsidP="00580232">
      <w:pPr>
        <w:pStyle w:val="Definition"/>
      </w:pPr>
      <w:r w:rsidRPr="00214FF7">
        <w:rPr>
          <w:b/>
          <w:i/>
        </w:rPr>
        <w:t>luxury car</w:t>
      </w:r>
      <w:r w:rsidRPr="00214FF7">
        <w:t xml:space="preserve">: a </w:t>
      </w:r>
      <w:r w:rsidRPr="00214FF7">
        <w:rPr>
          <w:position w:val="6"/>
          <w:sz w:val="16"/>
        </w:rPr>
        <w:t>*</w:t>
      </w:r>
      <w:r w:rsidRPr="00214FF7">
        <w:t xml:space="preserve">car is a </w:t>
      </w:r>
      <w:r w:rsidRPr="00214FF7">
        <w:rPr>
          <w:b/>
          <w:i/>
        </w:rPr>
        <w:t>luxury car</w:t>
      </w:r>
      <w:r w:rsidRPr="00214FF7">
        <w:t xml:space="preserve"> at a time if section 40</w:t>
      </w:r>
      <w:r w:rsidRPr="00214FF7">
        <w:noBreakHyphen/>
        <w:t xml:space="preserve">230 would reduce its </w:t>
      </w:r>
      <w:r w:rsidRPr="00214FF7">
        <w:rPr>
          <w:position w:val="6"/>
          <w:sz w:val="16"/>
        </w:rPr>
        <w:t>*</w:t>
      </w:r>
      <w:r w:rsidRPr="00214FF7">
        <w:t xml:space="preserve">cost as a </w:t>
      </w:r>
      <w:r w:rsidRPr="00214FF7">
        <w:rPr>
          <w:position w:val="6"/>
          <w:sz w:val="16"/>
        </w:rPr>
        <w:t>*</w:t>
      </w:r>
      <w:r w:rsidRPr="00214FF7">
        <w:t xml:space="preserve">depreciating asset if an entity acquired it at that time for its </w:t>
      </w:r>
      <w:r w:rsidRPr="00214FF7">
        <w:rPr>
          <w:position w:val="6"/>
          <w:sz w:val="16"/>
        </w:rPr>
        <w:t>*</w:t>
      </w:r>
      <w:r w:rsidRPr="00214FF7">
        <w:t>market value.</w:t>
      </w:r>
    </w:p>
    <w:p w:rsidR="00580232" w:rsidRPr="00214FF7" w:rsidRDefault="00580232" w:rsidP="00580232">
      <w:pPr>
        <w:pStyle w:val="notetext"/>
      </w:pPr>
      <w:r w:rsidRPr="00214FF7">
        <w:t>Note 1:</w:t>
      </w:r>
      <w:r w:rsidRPr="00214FF7">
        <w:tab/>
        <w:t>Division 242 treats a lease of a luxury car as a notional sale of the car by the lessor to the lessee financed by a notional loan by the lessor to the lessee.</w:t>
      </w:r>
    </w:p>
    <w:p w:rsidR="00580232" w:rsidRPr="00214FF7" w:rsidRDefault="00580232" w:rsidP="00580232">
      <w:pPr>
        <w:pStyle w:val="notetext"/>
      </w:pPr>
      <w:r w:rsidRPr="00214FF7">
        <w:t>Note 2:</w:t>
      </w:r>
      <w:r w:rsidRPr="00214FF7">
        <w:tab/>
        <w:t>Section 242</w:t>
      </w:r>
      <w:r w:rsidRPr="00214FF7">
        <w:noBreakHyphen/>
        <w:t xml:space="preserve">10 of the </w:t>
      </w:r>
      <w:r w:rsidRPr="00214FF7">
        <w:rPr>
          <w:i/>
        </w:rPr>
        <w:t>Income Tax (Transitional Provisions) Act 1997</w:t>
      </w:r>
      <w:r w:rsidRPr="00214FF7">
        <w:t xml:space="preserve"> extends this definition to cover reductions of cost under former provisions corresponding to section 40</w:t>
      </w:r>
      <w:r w:rsidRPr="00214FF7">
        <w:noBreakHyphen/>
        <w:t>230.</w:t>
      </w:r>
    </w:p>
    <w:p w:rsidR="00A65C75" w:rsidRPr="00214FF7" w:rsidRDefault="00A65C75" w:rsidP="00A65C75">
      <w:pPr>
        <w:pStyle w:val="Definition"/>
      </w:pPr>
      <w:r w:rsidRPr="00214FF7">
        <w:rPr>
          <w:b/>
          <w:i/>
        </w:rPr>
        <w:t>luxury car lease payment</w:t>
      </w:r>
      <w:r w:rsidRPr="00214FF7">
        <w:t xml:space="preserve">, in relation to a </w:t>
      </w:r>
      <w:r w:rsidRPr="00214FF7">
        <w:rPr>
          <w:position w:val="6"/>
          <w:sz w:val="16"/>
        </w:rPr>
        <w:t>*</w:t>
      </w:r>
      <w:r w:rsidRPr="00214FF7">
        <w:t>car to which Division 242 (about luxury car leases) applies, means an amount that the lessee under the lease is required to pay for the rental or hire of the car, but does not include:</w:t>
      </w:r>
    </w:p>
    <w:p w:rsidR="00A65C75" w:rsidRPr="00214FF7" w:rsidRDefault="00A65C75" w:rsidP="00A65C75">
      <w:pPr>
        <w:pStyle w:val="paragraph"/>
      </w:pPr>
      <w:r w:rsidRPr="00214FF7">
        <w:tab/>
        <w:t>(a)</w:t>
      </w:r>
      <w:r w:rsidRPr="00214FF7">
        <w:tab/>
        <w:t>an amount in the nature of a penalty payable for failure to make a payment for rental or hire on time; or</w:t>
      </w:r>
    </w:p>
    <w:p w:rsidR="00A65C75" w:rsidRPr="00214FF7" w:rsidRDefault="00A65C75" w:rsidP="00A65C75">
      <w:pPr>
        <w:pStyle w:val="paragraph"/>
      </w:pPr>
      <w:r w:rsidRPr="00214FF7">
        <w:tab/>
        <w:t>(b)</w:t>
      </w:r>
      <w:r w:rsidRPr="00214FF7">
        <w:tab/>
        <w:t xml:space="preserve">a </w:t>
      </w:r>
      <w:r w:rsidRPr="00214FF7">
        <w:rPr>
          <w:position w:val="6"/>
          <w:sz w:val="16"/>
        </w:rPr>
        <w:t>*</w:t>
      </w:r>
      <w:r w:rsidRPr="00214FF7">
        <w:t>termination amount.</w:t>
      </w:r>
    </w:p>
    <w:p w:rsidR="00580232" w:rsidRPr="00214FF7" w:rsidRDefault="00580232" w:rsidP="00580232">
      <w:pPr>
        <w:pStyle w:val="Definition"/>
      </w:pPr>
      <w:r w:rsidRPr="00214FF7">
        <w:rPr>
          <w:b/>
          <w:i/>
        </w:rPr>
        <w:t>luxury car lease payment period</w:t>
      </w:r>
      <w:r w:rsidRPr="00214FF7">
        <w:t xml:space="preserve"> means a period for which a </w:t>
      </w:r>
      <w:r w:rsidRPr="00214FF7">
        <w:rPr>
          <w:position w:val="6"/>
          <w:sz w:val="16"/>
        </w:rPr>
        <w:t>*</w:t>
      </w:r>
      <w:r w:rsidRPr="00214FF7">
        <w:t>luxury car lease payment under the lease is allocated or expressed to be payable.</w:t>
      </w:r>
    </w:p>
    <w:p w:rsidR="00580232" w:rsidRPr="00214FF7" w:rsidRDefault="00580232" w:rsidP="00580232">
      <w:pPr>
        <w:pStyle w:val="notetext"/>
      </w:pPr>
      <w:r w:rsidRPr="00214FF7">
        <w:t>Note:</w:t>
      </w:r>
      <w:r w:rsidRPr="00214FF7">
        <w:tab/>
        <w:t>If a luxury car lease payment period for a lease of a luxury car would otherwise be longer than 6 months, subsection 242</w:t>
      </w:r>
      <w:r w:rsidRPr="00214FF7">
        <w:noBreakHyphen/>
        <w:t>35(3) divides the original period into periods of no longer than 6 months.</w:t>
      </w:r>
    </w:p>
    <w:p w:rsidR="00887330" w:rsidRPr="00583E1A" w:rsidRDefault="00887330" w:rsidP="00887330">
      <w:pPr>
        <w:pStyle w:val="Definition"/>
      </w:pPr>
      <w:r w:rsidRPr="00583E1A">
        <w:rPr>
          <w:b/>
          <w:i/>
        </w:rPr>
        <w:t>luxury car tax</w:t>
      </w:r>
      <w:r w:rsidRPr="00583E1A">
        <w:t xml:space="preserve"> has the meaning given by section</w:t>
      </w:r>
      <w:r w:rsidR="00583E1A">
        <w:t> </w:t>
      </w:r>
      <w:r w:rsidRPr="00583E1A">
        <w:t>27</w:t>
      </w:r>
      <w:r w:rsidR="00583E1A">
        <w:noBreakHyphen/>
      </w:r>
      <w:r w:rsidRPr="00583E1A">
        <w:t>1 of the</w:t>
      </w:r>
      <w:r w:rsidRPr="00583E1A">
        <w:rPr>
          <w:i/>
        </w:rPr>
        <w:t xml:space="preserve"> </w:t>
      </w:r>
      <w:r w:rsidR="00583E1A" w:rsidRPr="00583E1A">
        <w:rPr>
          <w:i/>
          <w:position w:val="6"/>
          <w:sz w:val="16"/>
        </w:rPr>
        <w:t>*</w:t>
      </w:r>
      <w:r w:rsidRPr="00583E1A">
        <w:t>Luxury Car Tax Act.</w:t>
      </w:r>
    </w:p>
    <w:p w:rsidR="00887330" w:rsidRPr="00583E1A" w:rsidRDefault="00887330" w:rsidP="00887330">
      <w:pPr>
        <w:pStyle w:val="Definition"/>
      </w:pPr>
      <w:r w:rsidRPr="00583E1A">
        <w:rPr>
          <w:b/>
          <w:i/>
        </w:rPr>
        <w:t>Luxury Car Tax Act</w:t>
      </w:r>
      <w:r w:rsidRPr="00583E1A">
        <w:t xml:space="preserve"> means the </w:t>
      </w:r>
      <w:r w:rsidRPr="00583E1A">
        <w:rPr>
          <w:i/>
        </w:rPr>
        <w:t>A New Tax System (Luxury Car Tax) Act 1999</w:t>
      </w:r>
      <w:r w:rsidRPr="00583E1A">
        <w:t>.</w:t>
      </w:r>
    </w:p>
    <w:p w:rsidR="00887330" w:rsidRPr="00583E1A" w:rsidRDefault="00887330" w:rsidP="00887330">
      <w:pPr>
        <w:pStyle w:val="Definition"/>
      </w:pPr>
      <w:r w:rsidRPr="00583E1A">
        <w:rPr>
          <w:b/>
          <w:i/>
        </w:rPr>
        <w:t>luxury car tax law</w:t>
      </w:r>
      <w:r w:rsidRPr="00583E1A">
        <w:t xml:space="preserve"> has the meaning given by section</w:t>
      </w:r>
      <w:r w:rsidR="00583E1A">
        <w:t> </w:t>
      </w:r>
      <w:r w:rsidRPr="00583E1A">
        <w:t>27</w:t>
      </w:r>
      <w:r w:rsidR="00583E1A">
        <w:noBreakHyphen/>
      </w:r>
      <w:r w:rsidRPr="00583E1A">
        <w:t xml:space="preserve">1 of the </w:t>
      </w:r>
      <w:r w:rsidR="00583E1A" w:rsidRPr="00583E1A">
        <w:rPr>
          <w:position w:val="6"/>
          <w:sz w:val="16"/>
        </w:rPr>
        <w:t>*</w:t>
      </w:r>
      <w:r w:rsidRPr="00583E1A">
        <w:t>Luxury Car Tax Act.</w:t>
      </w:r>
    </w:p>
    <w:p w:rsidR="00887330" w:rsidRPr="00583E1A" w:rsidRDefault="00887330" w:rsidP="00887330">
      <w:pPr>
        <w:pStyle w:val="Definition"/>
      </w:pPr>
      <w:r w:rsidRPr="00583E1A">
        <w:rPr>
          <w:b/>
          <w:i/>
        </w:rPr>
        <w:t>majority control</w:t>
      </w:r>
      <w:r w:rsidRPr="00583E1A">
        <w:t xml:space="preserve"> has the meaning given by section</w:t>
      </w:r>
      <w:r w:rsidR="00583E1A">
        <w:t> </w:t>
      </w:r>
      <w:r w:rsidRPr="00583E1A">
        <w:t>45</w:t>
      </w:r>
      <w:r w:rsidR="00583E1A">
        <w:noBreakHyphen/>
      </w:r>
      <w:r w:rsidRPr="00583E1A">
        <w:t>145 in Schedule</w:t>
      </w:r>
      <w:r w:rsidR="00583E1A">
        <w:t> </w:t>
      </w:r>
      <w:r w:rsidRPr="00583E1A">
        <w:t xml:space="preserve">1 to the </w:t>
      </w:r>
      <w:r w:rsidRPr="00583E1A">
        <w:rPr>
          <w:i/>
        </w:rPr>
        <w:t>Taxation Administration Act 1953</w:t>
      </w:r>
      <w:r w:rsidRPr="00583E1A">
        <w:t>.</w:t>
      </w:r>
    </w:p>
    <w:p w:rsidR="00887330" w:rsidRPr="00583E1A" w:rsidRDefault="00887330" w:rsidP="00887330">
      <w:pPr>
        <w:pStyle w:val="Definition"/>
      </w:pPr>
      <w:r w:rsidRPr="00583E1A">
        <w:rPr>
          <w:b/>
          <w:i/>
        </w:rPr>
        <w:t>majority underlying interests</w:t>
      </w:r>
      <w:r w:rsidRPr="00583E1A">
        <w:t xml:space="preserve"> in a </w:t>
      </w:r>
      <w:r w:rsidR="00583E1A" w:rsidRPr="00583E1A">
        <w:rPr>
          <w:position w:val="6"/>
          <w:sz w:val="16"/>
        </w:rPr>
        <w:t>*</w:t>
      </w:r>
      <w:r w:rsidRPr="00583E1A">
        <w:t>CGT asset has the meaning given by section</w:t>
      </w:r>
      <w:r w:rsidR="00583E1A">
        <w:t> </w:t>
      </w:r>
      <w:r w:rsidRPr="00583E1A">
        <w:t>149</w:t>
      </w:r>
      <w:r w:rsidR="00583E1A">
        <w:noBreakHyphen/>
      </w:r>
      <w:r w:rsidRPr="00583E1A">
        <w:t>15.</w:t>
      </w:r>
    </w:p>
    <w:p w:rsidR="00887330" w:rsidRPr="00583E1A" w:rsidRDefault="00887330" w:rsidP="00887330">
      <w:pPr>
        <w:pStyle w:val="Definition"/>
      </w:pPr>
      <w:r w:rsidRPr="00583E1A">
        <w:rPr>
          <w:b/>
          <w:i/>
        </w:rPr>
        <w:lastRenderedPageBreak/>
        <w:t>make</w:t>
      </w:r>
      <w:r w:rsidRPr="00583E1A">
        <w:t xml:space="preserve">, in relation to a </w:t>
      </w:r>
      <w:r w:rsidR="00583E1A" w:rsidRPr="00583E1A">
        <w:rPr>
          <w:position w:val="6"/>
          <w:sz w:val="16"/>
        </w:rPr>
        <w:t>*</w:t>
      </w:r>
      <w:r w:rsidRPr="00583E1A">
        <w:t xml:space="preserve">film, has the meaning given by </w:t>
      </w:r>
      <w:r w:rsidR="007827D8" w:rsidRPr="00583E1A">
        <w:t>section</w:t>
      </w:r>
      <w:r w:rsidR="00583E1A">
        <w:t> </w:t>
      </w:r>
      <w:r w:rsidR="007827D8" w:rsidRPr="00583E1A">
        <w:t>376</w:t>
      </w:r>
      <w:r w:rsidR="00583E1A">
        <w:noBreakHyphen/>
      </w:r>
      <w:r w:rsidR="007827D8" w:rsidRPr="00583E1A">
        <w:t>125</w:t>
      </w:r>
      <w:r w:rsidRPr="00583E1A">
        <w:t>.</w:t>
      </w:r>
    </w:p>
    <w:p w:rsidR="00887330" w:rsidRPr="00583E1A" w:rsidRDefault="00887330" w:rsidP="00887330">
      <w:pPr>
        <w:pStyle w:val="Definition"/>
      </w:pPr>
      <w:r w:rsidRPr="00583E1A">
        <w:rPr>
          <w:b/>
          <w:i/>
        </w:rPr>
        <w:t>managed investment scheme</w:t>
      </w:r>
      <w:r w:rsidRPr="00583E1A">
        <w:t xml:space="preserve"> means an entity, with more than 20 members, that is:</w:t>
      </w:r>
    </w:p>
    <w:p w:rsidR="00887330" w:rsidRPr="00583E1A" w:rsidRDefault="00887330" w:rsidP="00887330">
      <w:pPr>
        <w:pStyle w:val="paragraph"/>
      </w:pPr>
      <w:r w:rsidRPr="00583E1A">
        <w:tab/>
        <w:t>(a)</w:t>
      </w:r>
      <w:r w:rsidRPr="00583E1A">
        <w:tab/>
        <w:t xml:space="preserve">a managed investment scheme for the purposes of the </w:t>
      </w:r>
      <w:r w:rsidRPr="00583E1A">
        <w:rPr>
          <w:i/>
        </w:rPr>
        <w:t>Corporations Act 2001</w:t>
      </w:r>
      <w:r w:rsidRPr="00583E1A">
        <w:t>; or</w:t>
      </w:r>
    </w:p>
    <w:p w:rsidR="00887330" w:rsidRPr="00583E1A" w:rsidRDefault="00887330" w:rsidP="00887330">
      <w:pPr>
        <w:pStyle w:val="paragraph"/>
      </w:pPr>
      <w:r w:rsidRPr="00583E1A">
        <w:tab/>
        <w:t>(b)</w:t>
      </w:r>
      <w:r w:rsidRPr="00583E1A">
        <w:tab/>
        <w:t xml:space="preserve">an entity with a similar status to a managed investment scheme under a </w:t>
      </w:r>
      <w:r w:rsidR="00583E1A" w:rsidRPr="00583E1A">
        <w:rPr>
          <w:position w:val="6"/>
          <w:sz w:val="16"/>
        </w:rPr>
        <w:t>*</w:t>
      </w:r>
      <w:r w:rsidRPr="00583E1A">
        <w:t>foreign law relating to corporate regulation.</w:t>
      </w:r>
    </w:p>
    <w:p w:rsidR="00C20879" w:rsidRPr="00583E1A" w:rsidRDefault="00C20879" w:rsidP="00C20879">
      <w:pPr>
        <w:pStyle w:val="Definition"/>
      </w:pPr>
      <w:r w:rsidRPr="00583E1A">
        <w:rPr>
          <w:b/>
          <w:i/>
        </w:rPr>
        <w:t>managed investment trust</w:t>
      </w:r>
      <w:r w:rsidRPr="00583E1A">
        <w:t xml:space="preserve"> has the meaning given by </w:t>
      </w:r>
      <w:r w:rsidR="0060138E" w:rsidRPr="00583E1A">
        <w:t>section</w:t>
      </w:r>
      <w:r w:rsidR="00583E1A">
        <w:t> </w:t>
      </w:r>
      <w:r w:rsidR="0060138E" w:rsidRPr="00583E1A">
        <w:t>12</w:t>
      </w:r>
      <w:r w:rsidR="00583E1A">
        <w:noBreakHyphen/>
      </w:r>
      <w:r w:rsidR="0060138E" w:rsidRPr="00583E1A">
        <w:t>400</w:t>
      </w:r>
      <w:r w:rsidRPr="00583E1A">
        <w:t xml:space="preserve"> in Schedule</w:t>
      </w:r>
      <w:r w:rsidR="00583E1A">
        <w:t> </w:t>
      </w:r>
      <w:r w:rsidRPr="00583E1A">
        <w:t xml:space="preserve">1 to the </w:t>
      </w:r>
      <w:r w:rsidRPr="00583E1A">
        <w:rPr>
          <w:i/>
        </w:rPr>
        <w:t>Taxation Administration Act 1953</w:t>
      </w:r>
      <w:r w:rsidRPr="00583E1A">
        <w:t>.</w:t>
      </w:r>
    </w:p>
    <w:p w:rsidR="0060138E" w:rsidRPr="00583E1A" w:rsidRDefault="0060138E" w:rsidP="0060138E">
      <w:pPr>
        <w:pStyle w:val="Definition"/>
      </w:pPr>
      <w:r w:rsidRPr="00583E1A">
        <w:rPr>
          <w:b/>
          <w:i/>
        </w:rPr>
        <w:t>managed investment trust withholding tax</w:t>
      </w:r>
      <w:r w:rsidRPr="00583E1A">
        <w:t xml:space="preserve"> means income tax payable under:</w:t>
      </w:r>
    </w:p>
    <w:p w:rsidR="0060138E" w:rsidRPr="00583E1A" w:rsidRDefault="0060138E" w:rsidP="0060138E">
      <w:pPr>
        <w:pStyle w:val="paragraph"/>
      </w:pPr>
      <w:r w:rsidRPr="00583E1A">
        <w:tab/>
        <w:t>(a)</w:t>
      </w:r>
      <w:r w:rsidRPr="00583E1A">
        <w:tab/>
        <w:t>Subdivision</w:t>
      </w:r>
      <w:r w:rsidR="00583E1A">
        <w:t> </w:t>
      </w:r>
      <w:r w:rsidRPr="00583E1A">
        <w:t>840</w:t>
      </w:r>
      <w:r w:rsidR="00583E1A">
        <w:noBreakHyphen/>
      </w:r>
      <w:r w:rsidRPr="00583E1A">
        <w:t>M of this Act; or</w:t>
      </w:r>
    </w:p>
    <w:p w:rsidR="0060138E" w:rsidRPr="00583E1A" w:rsidRDefault="0060138E" w:rsidP="0060138E">
      <w:pPr>
        <w:pStyle w:val="paragraph"/>
      </w:pPr>
      <w:r w:rsidRPr="00583E1A">
        <w:tab/>
        <w:t>(b)</w:t>
      </w:r>
      <w:r w:rsidRPr="00583E1A">
        <w:tab/>
        <w:t>Subdivision</w:t>
      </w:r>
      <w:r w:rsidR="00583E1A">
        <w:t> </w:t>
      </w:r>
      <w:r w:rsidRPr="00583E1A">
        <w:t>840</w:t>
      </w:r>
      <w:r w:rsidR="00583E1A">
        <w:noBreakHyphen/>
      </w:r>
      <w:r w:rsidRPr="00583E1A">
        <w:t xml:space="preserve">M of the </w:t>
      </w:r>
      <w:r w:rsidRPr="00583E1A">
        <w:rPr>
          <w:i/>
        </w:rPr>
        <w:t>Income Tax (Transitional Provisions) Act 1997</w:t>
      </w:r>
      <w:r w:rsidRPr="00583E1A">
        <w:t>.</w:t>
      </w:r>
    </w:p>
    <w:p w:rsidR="00887330" w:rsidRPr="00583E1A" w:rsidRDefault="00887330" w:rsidP="00887330">
      <w:pPr>
        <w:pStyle w:val="Definition"/>
      </w:pPr>
      <w:r w:rsidRPr="00583E1A">
        <w:rPr>
          <w:b/>
          <w:i/>
        </w:rPr>
        <w:t>market value</w:t>
      </w:r>
      <w:r w:rsidRPr="00583E1A">
        <w:t xml:space="preserve"> has a meaning affected by Subdivision</w:t>
      </w:r>
      <w:r w:rsidR="00583E1A">
        <w:t> </w:t>
      </w:r>
      <w:r w:rsidRPr="00583E1A">
        <w:t>960</w:t>
      </w:r>
      <w:r w:rsidR="00583E1A">
        <w:noBreakHyphen/>
      </w:r>
      <w:r w:rsidRPr="00583E1A">
        <w:t>S.</w:t>
      </w:r>
    </w:p>
    <w:p w:rsidR="00E74CE2" w:rsidRPr="00E811AF" w:rsidRDefault="00E74CE2" w:rsidP="00E74CE2">
      <w:pPr>
        <w:pStyle w:val="Definition"/>
      </w:pPr>
      <w:r w:rsidRPr="00E811AF">
        <w:rPr>
          <w:b/>
          <w:i/>
        </w:rPr>
        <w:t>market value method</w:t>
      </w:r>
      <w:r w:rsidRPr="00E811AF">
        <w:t xml:space="preserve"> of working out the </w:t>
      </w:r>
      <w:r w:rsidRPr="00E811AF">
        <w:rPr>
          <w:position w:val="6"/>
          <w:sz w:val="16"/>
        </w:rPr>
        <w:t>*</w:t>
      </w:r>
      <w:r w:rsidRPr="00E811AF">
        <w:t xml:space="preserve">value of a </w:t>
      </w:r>
      <w:r w:rsidRPr="00E811AF">
        <w:rPr>
          <w:position w:val="6"/>
          <w:sz w:val="16"/>
        </w:rPr>
        <w:t>*</w:t>
      </w:r>
      <w:r w:rsidRPr="00E811AF">
        <w:t>registered emissions unit has the meaning given by section 420</w:t>
      </w:r>
      <w:r w:rsidRPr="00E811AF">
        <w:noBreakHyphen/>
        <w:t>54.</w:t>
      </w:r>
    </w:p>
    <w:p w:rsidR="00887330" w:rsidRPr="00583E1A" w:rsidRDefault="00887330" w:rsidP="00BA3854">
      <w:pPr>
        <w:pStyle w:val="Definition"/>
        <w:keepNext/>
      </w:pPr>
      <w:r w:rsidRPr="00583E1A">
        <w:rPr>
          <w:b/>
          <w:i/>
        </w:rPr>
        <w:t>maximum allowable debt</w:t>
      </w:r>
      <w:r w:rsidRPr="00583E1A">
        <w:t>:</w:t>
      </w:r>
    </w:p>
    <w:p w:rsidR="00887330" w:rsidRPr="00583E1A" w:rsidRDefault="00887330" w:rsidP="00887330">
      <w:pPr>
        <w:pStyle w:val="paragraph"/>
      </w:pPr>
      <w:r w:rsidRPr="00583E1A">
        <w:tab/>
        <w:t>(a)</w:t>
      </w:r>
      <w:r w:rsidRPr="00583E1A">
        <w:tab/>
        <w:t xml:space="preserve">for an </w:t>
      </w:r>
      <w:r w:rsidR="00583E1A" w:rsidRPr="00583E1A">
        <w:rPr>
          <w:position w:val="6"/>
          <w:sz w:val="16"/>
        </w:rPr>
        <w:t>*</w:t>
      </w:r>
      <w:r w:rsidRPr="00583E1A">
        <w:t>outward investing entity (non</w:t>
      </w:r>
      <w:r w:rsidR="00583E1A">
        <w:noBreakHyphen/>
      </w:r>
      <w:r w:rsidRPr="00583E1A">
        <w:t>ADI)—has the meaning given by section</w:t>
      </w:r>
      <w:r w:rsidR="00583E1A">
        <w:t> </w:t>
      </w:r>
      <w:r w:rsidRPr="00583E1A">
        <w:t>820</w:t>
      </w:r>
      <w:r w:rsidR="00583E1A">
        <w:noBreakHyphen/>
      </w:r>
      <w:r w:rsidRPr="00583E1A">
        <w:t>90 (or that section as applied by section</w:t>
      </w:r>
      <w:r w:rsidR="00583E1A">
        <w:t> </w:t>
      </w:r>
      <w:r w:rsidRPr="00583E1A">
        <w:t>820</w:t>
      </w:r>
      <w:r w:rsidR="00583E1A">
        <w:noBreakHyphen/>
      </w:r>
      <w:r w:rsidRPr="00583E1A">
        <w:t>120); and</w:t>
      </w:r>
    </w:p>
    <w:p w:rsidR="00887330" w:rsidRPr="00583E1A" w:rsidRDefault="00887330" w:rsidP="00887330">
      <w:pPr>
        <w:pStyle w:val="paragraph"/>
      </w:pPr>
      <w:r w:rsidRPr="00583E1A">
        <w:tab/>
        <w:t>(b)</w:t>
      </w:r>
      <w:r w:rsidRPr="00583E1A">
        <w:tab/>
        <w:t xml:space="preserve">for an </w:t>
      </w:r>
      <w:r w:rsidR="00583E1A" w:rsidRPr="00583E1A">
        <w:rPr>
          <w:position w:val="6"/>
          <w:sz w:val="16"/>
        </w:rPr>
        <w:t>*</w:t>
      </w:r>
      <w:r w:rsidRPr="00583E1A">
        <w:t>inward investing entity (non</w:t>
      </w:r>
      <w:r w:rsidR="00583E1A">
        <w:noBreakHyphen/>
      </w:r>
      <w:r w:rsidRPr="00583E1A">
        <w:t>ADI) covered by paragraph 820</w:t>
      </w:r>
      <w:r w:rsidR="00583E1A">
        <w:noBreakHyphen/>
      </w:r>
      <w:r w:rsidRPr="00583E1A">
        <w:t>185(1)(a) (or 820</w:t>
      </w:r>
      <w:r w:rsidR="00583E1A">
        <w:noBreakHyphen/>
      </w:r>
      <w:r w:rsidRPr="00583E1A">
        <w:t>225(1)(a))—has the meaning given by section</w:t>
      </w:r>
      <w:r w:rsidR="00583E1A">
        <w:t> </w:t>
      </w:r>
      <w:r w:rsidRPr="00583E1A">
        <w:t>820</w:t>
      </w:r>
      <w:r w:rsidR="00583E1A">
        <w:noBreakHyphen/>
      </w:r>
      <w:r w:rsidRPr="00583E1A">
        <w:t>190 (or that section as applied by section</w:t>
      </w:r>
      <w:r w:rsidR="00583E1A">
        <w:t> </w:t>
      </w:r>
      <w:r w:rsidRPr="00583E1A">
        <w:t>820</w:t>
      </w:r>
      <w:r w:rsidR="00583E1A">
        <w:noBreakHyphen/>
      </w:r>
      <w:r w:rsidRPr="00583E1A">
        <w:t>225).</w:t>
      </w:r>
    </w:p>
    <w:p w:rsidR="00E67CD3" w:rsidRPr="0089714E" w:rsidRDefault="00E67CD3" w:rsidP="00E67CD3">
      <w:pPr>
        <w:pStyle w:val="Definition"/>
      </w:pPr>
      <w:r w:rsidRPr="0089714E">
        <w:rPr>
          <w:b/>
          <w:i/>
        </w:rPr>
        <w:t>maximum exempt area</w:t>
      </w:r>
      <w:r w:rsidRPr="0089714E">
        <w:t xml:space="preserve"> has the meaning given by section 118</w:t>
      </w:r>
      <w:r w:rsidRPr="0089714E">
        <w:noBreakHyphen/>
        <w:t>255.</w:t>
      </w:r>
    </w:p>
    <w:p w:rsidR="00887330" w:rsidRPr="00583E1A" w:rsidRDefault="00887330" w:rsidP="00887330">
      <w:pPr>
        <w:pStyle w:val="Definition"/>
      </w:pPr>
      <w:r w:rsidRPr="00583E1A">
        <w:rPr>
          <w:b/>
          <w:i/>
        </w:rPr>
        <w:t xml:space="preserve">maximum franking credit </w:t>
      </w:r>
      <w:r w:rsidRPr="00583E1A">
        <w:t>for a distribution has the meaning given by subsection 202</w:t>
      </w:r>
      <w:r w:rsidR="00583E1A">
        <w:noBreakHyphen/>
      </w:r>
      <w:r w:rsidRPr="00583E1A">
        <w:t>60(2).</w:t>
      </w:r>
    </w:p>
    <w:p w:rsidR="007B7C62" w:rsidRPr="00583E1A" w:rsidRDefault="007B7C62" w:rsidP="007B7C62">
      <w:pPr>
        <w:pStyle w:val="Definition"/>
      </w:pPr>
      <w:r w:rsidRPr="00583E1A">
        <w:rPr>
          <w:b/>
          <w:i/>
        </w:rPr>
        <w:t xml:space="preserve">MDO </w:t>
      </w:r>
      <w:r w:rsidRPr="00583E1A">
        <w:t>has the meaning given by section</w:t>
      </w:r>
      <w:r w:rsidR="00583E1A">
        <w:t> </w:t>
      </w:r>
      <w:r w:rsidRPr="00583E1A">
        <w:t xml:space="preserve">5 of the </w:t>
      </w:r>
      <w:r w:rsidRPr="00583E1A">
        <w:rPr>
          <w:i/>
        </w:rPr>
        <w:t>Medical Indemnity Act 2002</w:t>
      </w:r>
      <w:r w:rsidRPr="00583E1A">
        <w:t>.</w:t>
      </w:r>
    </w:p>
    <w:p w:rsidR="00887330" w:rsidRPr="00583E1A" w:rsidRDefault="00887330" w:rsidP="00887330">
      <w:pPr>
        <w:pStyle w:val="Definition"/>
      </w:pPr>
      <w:r w:rsidRPr="00583E1A">
        <w:rPr>
          <w:b/>
          <w:i/>
        </w:rPr>
        <w:lastRenderedPageBreak/>
        <w:t>meal allowance</w:t>
      </w:r>
      <w:r w:rsidRPr="00583E1A">
        <w:t xml:space="preserve"> has the meaning given by section</w:t>
      </w:r>
      <w:r w:rsidR="00583E1A">
        <w:t> </w:t>
      </w:r>
      <w:r w:rsidRPr="00583E1A">
        <w:t>900</w:t>
      </w:r>
      <w:r w:rsidR="00583E1A">
        <w:noBreakHyphen/>
      </w:r>
      <w:r w:rsidRPr="00583E1A">
        <w:t>30.</w:t>
      </w:r>
    </w:p>
    <w:p w:rsidR="00887330" w:rsidRPr="00583E1A" w:rsidRDefault="00887330" w:rsidP="00887330">
      <w:pPr>
        <w:pStyle w:val="Definition"/>
      </w:pPr>
      <w:r w:rsidRPr="00583E1A">
        <w:rPr>
          <w:b/>
          <w:i/>
        </w:rPr>
        <w:t>meal allowance expense</w:t>
      </w:r>
      <w:r w:rsidRPr="00583E1A">
        <w:t xml:space="preserve"> has the meaning given by section</w:t>
      </w:r>
      <w:r w:rsidR="00583E1A">
        <w:t> </w:t>
      </w:r>
      <w:r w:rsidRPr="00583E1A">
        <w:t>900</w:t>
      </w:r>
      <w:r w:rsidR="00583E1A">
        <w:noBreakHyphen/>
      </w:r>
      <w:r w:rsidRPr="00583E1A">
        <w:t>30.</w:t>
      </w:r>
    </w:p>
    <w:p w:rsidR="00887330" w:rsidRPr="00583E1A" w:rsidRDefault="00887330" w:rsidP="007D29DB">
      <w:pPr>
        <w:pStyle w:val="Definition"/>
        <w:keepNext/>
        <w:keepLines/>
      </w:pPr>
      <w:r w:rsidRPr="00583E1A">
        <w:rPr>
          <w:b/>
          <w:i/>
        </w:rPr>
        <w:t>MEC group</w:t>
      </w:r>
      <w:r w:rsidRPr="00583E1A">
        <w:t xml:space="preserve"> has the meaning given by section</w:t>
      </w:r>
      <w:r w:rsidR="00583E1A">
        <w:t> </w:t>
      </w:r>
      <w:r w:rsidRPr="00583E1A">
        <w:t>719</w:t>
      </w:r>
      <w:r w:rsidR="00583E1A">
        <w:noBreakHyphen/>
      </w:r>
      <w:r w:rsidRPr="00583E1A">
        <w:t>5.</w:t>
      </w:r>
    </w:p>
    <w:p w:rsidR="00887330" w:rsidRPr="00583E1A" w:rsidRDefault="00887330" w:rsidP="00887330">
      <w:pPr>
        <w:pStyle w:val="notetext"/>
      </w:pPr>
      <w:r w:rsidRPr="00583E1A">
        <w:t>Note 1:</w:t>
      </w:r>
      <w:r w:rsidRPr="00583E1A">
        <w:tab/>
        <w:t>Part</w:t>
      </w:r>
      <w:r w:rsidR="00583E1A">
        <w:t> </w:t>
      </w:r>
      <w:r w:rsidRPr="00583E1A">
        <w:t>3</w:t>
      </w:r>
      <w:r w:rsidR="00583E1A">
        <w:noBreakHyphen/>
      </w:r>
      <w:r w:rsidRPr="00583E1A">
        <w:t>90 contains rules relating to the tax treatment of consolidated groups. Division</w:t>
      </w:r>
      <w:r w:rsidR="00583E1A">
        <w:t> </w:t>
      </w:r>
      <w:r w:rsidRPr="00583E1A">
        <w:t>719 (of that Part) applies those rules to MEC groups with modifications (see section</w:t>
      </w:r>
      <w:r w:rsidR="00583E1A">
        <w:t> </w:t>
      </w:r>
      <w:r w:rsidRPr="00583E1A">
        <w:t>719</w:t>
      </w:r>
      <w:r w:rsidR="00583E1A">
        <w:noBreakHyphen/>
      </w:r>
      <w:r w:rsidRPr="00583E1A">
        <w:t>2).</w:t>
      </w:r>
    </w:p>
    <w:p w:rsidR="00887330" w:rsidRPr="00583E1A" w:rsidRDefault="00887330" w:rsidP="00887330">
      <w:pPr>
        <w:pStyle w:val="notetext"/>
      </w:pPr>
      <w:r w:rsidRPr="00583E1A">
        <w:t>Note 2:</w:t>
      </w:r>
      <w:r w:rsidRPr="00583E1A">
        <w:tab/>
        <w:t xml:space="preserve">Provisions in the </w:t>
      </w:r>
      <w:r w:rsidRPr="00583E1A">
        <w:rPr>
          <w:i/>
        </w:rPr>
        <w:t>Income Tax Assessment Act 1936</w:t>
      </w:r>
      <w:r w:rsidRPr="00583E1A">
        <w:t xml:space="preserve"> and in the </w:t>
      </w:r>
      <w:r w:rsidRPr="00583E1A">
        <w:rPr>
          <w:i/>
        </w:rPr>
        <w:t>Income Tax Assessment Act 1997</w:t>
      </w:r>
      <w:r w:rsidRPr="00583E1A">
        <w:t xml:space="preserve"> (other than in Part</w:t>
      </w:r>
      <w:r w:rsidR="00583E1A">
        <w:t> </w:t>
      </w:r>
      <w:r w:rsidRPr="00583E1A">
        <w:t>3</w:t>
      </w:r>
      <w:r w:rsidR="00583E1A">
        <w:noBreakHyphen/>
      </w:r>
      <w:r w:rsidRPr="00583E1A">
        <w:t xml:space="preserve">90) referring only to consolidated groups do </w:t>
      </w:r>
      <w:r w:rsidRPr="00583E1A">
        <w:rPr>
          <w:i/>
        </w:rPr>
        <w:t xml:space="preserve">not </w:t>
      </w:r>
      <w:r w:rsidRPr="00583E1A">
        <w:t>apply to MEC groups.</w:t>
      </w:r>
    </w:p>
    <w:p w:rsidR="00305ED4" w:rsidRPr="004C09C4" w:rsidRDefault="00305ED4" w:rsidP="00305ED4">
      <w:pPr>
        <w:pStyle w:val="Definition"/>
      </w:pPr>
      <w:r w:rsidRPr="004C09C4">
        <w:rPr>
          <w:b/>
          <w:i/>
        </w:rPr>
        <w:t>Medicare levy</w:t>
      </w:r>
      <w:r w:rsidRPr="004C09C4">
        <w:t xml:space="preserve"> has the meaning given by the </w:t>
      </w:r>
      <w:r w:rsidRPr="004C09C4">
        <w:rPr>
          <w:i/>
        </w:rPr>
        <w:t>Income Tax Assessment Act 1936</w:t>
      </w:r>
      <w:r w:rsidRPr="004C09C4">
        <w:t>.</w:t>
      </w:r>
    </w:p>
    <w:p w:rsidR="00366324" w:rsidRPr="004C09C4" w:rsidRDefault="00366324" w:rsidP="00366324">
      <w:pPr>
        <w:pStyle w:val="Definition"/>
      </w:pPr>
      <w:r w:rsidRPr="004C09C4">
        <w:rPr>
          <w:b/>
          <w:i/>
        </w:rPr>
        <w:t>Medicare levy (fringe benefits) surcharge</w:t>
      </w:r>
      <w:r w:rsidRPr="004C09C4">
        <w:t xml:space="preserve"> means Medicare levy surcharge imposed by the </w:t>
      </w:r>
      <w:r w:rsidRPr="004C09C4">
        <w:rPr>
          <w:i/>
        </w:rPr>
        <w:t>A New Tax System (Medicare Levy Surcharge—Fringe Benefits) Act 1999</w:t>
      </w:r>
      <w:r w:rsidRPr="004C09C4">
        <w:t>.</w:t>
      </w:r>
    </w:p>
    <w:p w:rsidR="00A76585" w:rsidRPr="004C09C4" w:rsidRDefault="00A76585" w:rsidP="00A76585">
      <w:pPr>
        <w:pStyle w:val="Definition"/>
      </w:pPr>
      <w:r w:rsidRPr="004C09C4">
        <w:rPr>
          <w:b/>
          <w:i/>
        </w:rPr>
        <w:t>Medicare levy surcharge</w:t>
      </w:r>
      <w:r w:rsidRPr="004C09C4">
        <w:t xml:space="preserve"> means:</w:t>
      </w:r>
    </w:p>
    <w:p w:rsidR="00A76585" w:rsidRPr="004C09C4" w:rsidRDefault="00A76585" w:rsidP="00A76585">
      <w:pPr>
        <w:pStyle w:val="paragraph"/>
      </w:pPr>
      <w:r w:rsidRPr="004C09C4">
        <w:tab/>
        <w:t>(a)</w:t>
      </w:r>
      <w:r w:rsidRPr="004C09C4">
        <w:tab/>
        <w:t xml:space="preserve">an amount (other than a nil amount) of </w:t>
      </w:r>
      <w:r w:rsidRPr="004C09C4">
        <w:rPr>
          <w:position w:val="6"/>
          <w:sz w:val="16"/>
        </w:rPr>
        <w:t>*</w:t>
      </w:r>
      <w:r w:rsidRPr="004C09C4">
        <w:t xml:space="preserve">Medicare levy that is payable by you only because of section 8B, 8C, 8D, 8E, 8F or 8G of the </w:t>
      </w:r>
      <w:r w:rsidRPr="004C09C4">
        <w:rPr>
          <w:i/>
        </w:rPr>
        <w:t>Medicare Levy Act 1986</w:t>
      </w:r>
      <w:r w:rsidRPr="004C09C4">
        <w:t>; or</w:t>
      </w:r>
    </w:p>
    <w:p w:rsidR="00A76585" w:rsidRPr="004C09C4" w:rsidRDefault="00A76585" w:rsidP="00A76585">
      <w:pPr>
        <w:pStyle w:val="paragraph"/>
      </w:pPr>
      <w:r w:rsidRPr="004C09C4">
        <w:tab/>
        <w:t>(b)</w:t>
      </w:r>
      <w:r w:rsidRPr="004C09C4">
        <w:tab/>
      </w:r>
      <w:r w:rsidRPr="004C09C4">
        <w:rPr>
          <w:position w:val="6"/>
          <w:sz w:val="16"/>
        </w:rPr>
        <w:t>*</w:t>
      </w:r>
      <w:r w:rsidRPr="004C09C4">
        <w:t>Medicare levy (fringe benefits) surcharge.</w:t>
      </w:r>
    </w:p>
    <w:p w:rsidR="00887330" w:rsidRPr="00583E1A" w:rsidRDefault="00887330" w:rsidP="00887330">
      <w:pPr>
        <w:pStyle w:val="Definition"/>
      </w:pPr>
      <w:r w:rsidRPr="00583E1A">
        <w:rPr>
          <w:b/>
          <w:i/>
        </w:rPr>
        <w:t>medium withholder</w:t>
      </w:r>
      <w:r w:rsidRPr="00583E1A">
        <w:t xml:space="preserve"> has the meaning given by section</w:t>
      </w:r>
      <w:r w:rsidR="00583E1A">
        <w:t> </w:t>
      </w:r>
      <w:r w:rsidRPr="00583E1A">
        <w:t>16</w:t>
      </w:r>
      <w:r w:rsidR="00583E1A">
        <w:noBreakHyphen/>
      </w:r>
      <w:r w:rsidRPr="00583E1A">
        <w:t>100 in Schedule</w:t>
      </w:r>
      <w:r w:rsidR="00583E1A">
        <w:t> </w:t>
      </w:r>
      <w:r w:rsidRPr="00583E1A">
        <w:t xml:space="preserve">1 to the </w:t>
      </w:r>
      <w:r w:rsidRPr="00583E1A">
        <w:rPr>
          <w:i/>
        </w:rPr>
        <w:t>Taxation Administration Act 1953</w:t>
      </w:r>
      <w:r w:rsidRPr="00583E1A">
        <w:t>.</w:t>
      </w:r>
    </w:p>
    <w:p w:rsidR="00887330" w:rsidRPr="00583E1A" w:rsidRDefault="00887330" w:rsidP="00BA3854">
      <w:pPr>
        <w:pStyle w:val="Definition"/>
        <w:keepNext/>
      </w:pPr>
      <w:r w:rsidRPr="00583E1A">
        <w:rPr>
          <w:b/>
          <w:i/>
        </w:rPr>
        <w:t>member</w:t>
      </w:r>
      <w:r w:rsidRPr="00583E1A">
        <w:t>:</w:t>
      </w:r>
    </w:p>
    <w:p w:rsidR="00887330" w:rsidRPr="00583E1A" w:rsidRDefault="00887330" w:rsidP="00887330">
      <w:pPr>
        <w:pStyle w:val="paragraph"/>
      </w:pPr>
      <w:r w:rsidRPr="00583E1A">
        <w:tab/>
        <w:t>(a)</w:t>
      </w:r>
      <w:r w:rsidRPr="00583E1A">
        <w:tab/>
        <w:t xml:space="preserve">in relation to a </w:t>
      </w:r>
      <w:r w:rsidR="00583E1A" w:rsidRPr="00583E1A">
        <w:rPr>
          <w:position w:val="6"/>
          <w:sz w:val="16"/>
        </w:rPr>
        <w:t>*</w:t>
      </w:r>
      <w:r w:rsidRPr="00583E1A">
        <w:t>GST group—has the meaning given by section</w:t>
      </w:r>
      <w:r w:rsidR="00583E1A">
        <w:t> </w:t>
      </w:r>
      <w:r w:rsidRPr="00583E1A">
        <w:t>195</w:t>
      </w:r>
      <w:r w:rsidR="00583E1A">
        <w:noBreakHyphen/>
      </w:r>
      <w:r w:rsidRPr="00583E1A">
        <w:t xml:space="preserve">1 of the </w:t>
      </w:r>
      <w:r w:rsidR="00583E1A" w:rsidRPr="00583E1A">
        <w:rPr>
          <w:position w:val="6"/>
          <w:sz w:val="16"/>
        </w:rPr>
        <w:t>*</w:t>
      </w:r>
      <w:r w:rsidRPr="00583E1A">
        <w:t>GST Act; and</w:t>
      </w:r>
    </w:p>
    <w:p w:rsidR="00887330" w:rsidRPr="00583E1A" w:rsidRDefault="00887330" w:rsidP="00887330">
      <w:pPr>
        <w:pStyle w:val="paragraph"/>
      </w:pPr>
      <w:r w:rsidRPr="00583E1A">
        <w:tab/>
        <w:t>(b)</w:t>
      </w:r>
      <w:r w:rsidRPr="00583E1A">
        <w:tab/>
        <w:t xml:space="preserve">in relation to a </w:t>
      </w:r>
      <w:r w:rsidR="00583E1A" w:rsidRPr="00583E1A">
        <w:rPr>
          <w:position w:val="6"/>
          <w:sz w:val="16"/>
        </w:rPr>
        <w:t>*</w:t>
      </w:r>
      <w:r w:rsidRPr="00583E1A">
        <w:t xml:space="preserve">consolidated group or </w:t>
      </w:r>
      <w:r w:rsidR="00583E1A" w:rsidRPr="00583E1A">
        <w:rPr>
          <w:position w:val="6"/>
          <w:sz w:val="16"/>
        </w:rPr>
        <w:t>*</w:t>
      </w:r>
      <w:r w:rsidRPr="00583E1A">
        <w:t>consolidatable group—has the meaning given by section</w:t>
      </w:r>
      <w:r w:rsidR="00583E1A">
        <w:t> </w:t>
      </w:r>
      <w:r w:rsidRPr="00583E1A">
        <w:t>703</w:t>
      </w:r>
      <w:r w:rsidR="00583E1A">
        <w:noBreakHyphen/>
      </w:r>
      <w:r w:rsidRPr="00583E1A">
        <w:t>15; and</w:t>
      </w:r>
    </w:p>
    <w:p w:rsidR="00F95033" w:rsidRPr="0038586A" w:rsidRDefault="00F95033" w:rsidP="00F95033">
      <w:pPr>
        <w:pStyle w:val="paragraph"/>
      </w:pPr>
      <w:r w:rsidRPr="0038586A">
        <w:tab/>
        <w:t>(ba)</w:t>
      </w:r>
      <w:r w:rsidRPr="0038586A">
        <w:tab/>
        <w:t xml:space="preserve">in relation to a </w:t>
      </w:r>
      <w:r w:rsidRPr="0038586A">
        <w:rPr>
          <w:position w:val="6"/>
          <w:sz w:val="16"/>
        </w:rPr>
        <w:t>*</w:t>
      </w:r>
      <w:r w:rsidRPr="0038586A">
        <w:t>MEC group—has the meaning given by section 719</w:t>
      </w:r>
      <w:r w:rsidRPr="0038586A">
        <w:noBreakHyphen/>
        <w:t>25; and</w:t>
      </w:r>
    </w:p>
    <w:p w:rsidR="00F95033" w:rsidRPr="0038586A" w:rsidRDefault="00F95033" w:rsidP="00F95033">
      <w:pPr>
        <w:pStyle w:val="paragraph"/>
      </w:pPr>
      <w:r w:rsidRPr="0038586A">
        <w:tab/>
        <w:t>(bb)</w:t>
      </w:r>
      <w:r w:rsidRPr="0038586A">
        <w:tab/>
        <w:t xml:space="preserve">in relation to a </w:t>
      </w:r>
      <w:r w:rsidRPr="0038586A">
        <w:rPr>
          <w:position w:val="6"/>
          <w:sz w:val="16"/>
        </w:rPr>
        <w:t>*</w:t>
      </w:r>
      <w:r w:rsidRPr="0038586A">
        <w:t>potential MEC group—has the meaning given by section 719</w:t>
      </w:r>
      <w:r w:rsidRPr="0038586A">
        <w:noBreakHyphen/>
        <w:t>10; and</w:t>
      </w:r>
    </w:p>
    <w:p w:rsidR="00887330" w:rsidRPr="00583E1A" w:rsidRDefault="00887330" w:rsidP="00F95033">
      <w:pPr>
        <w:pStyle w:val="paragraph"/>
      </w:pPr>
      <w:r w:rsidRPr="00583E1A">
        <w:tab/>
        <w:t>(c)</w:t>
      </w:r>
      <w:r w:rsidRPr="00583E1A">
        <w:tab/>
        <w:t>in relation to an entity—has the meaning given by section</w:t>
      </w:r>
      <w:r w:rsidR="00583E1A">
        <w:t> </w:t>
      </w:r>
      <w:r w:rsidRPr="00583E1A">
        <w:t>960</w:t>
      </w:r>
      <w:r w:rsidR="00583E1A">
        <w:noBreakHyphen/>
      </w:r>
      <w:r w:rsidRPr="00583E1A">
        <w:t>130; and</w:t>
      </w:r>
    </w:p>
    <w:p w:rsidR="00887330" w:rsidRPr="00583E1A" w:rsidRDefault="00887330" w:rsidP="00887330">
      <w:pPr>
        <w:pStyle w:val="paragraph"/>
      </w:pPr>
      <w:r w:rsidRPr="00583E1A">
        <w:tab/>
        <w:t>(d)</w:t>
      </w:r>
      <w:r w:rsidRPr="00583E1A">
        <w:tab/>
        <w:t xml:space="preserve">in relation to a </w:t>
      </w:r>
      <w:r w:rsidR="00583E1A" w:rsidRPr="00583E1A">
        <w:rPr>
          <w:position w:val="6"/>
          <w:sz w:val="16"/>
        </w:rPr>
        <w:t>*</w:t>
      </w:r>
      <w:r w:rsidRPr="00583E1A">
        <w:t>copyright collecting society, means:</w:t>
      </w:r>
    </w:p>
    <w:p w:rsidR="00887330" w:rsidRPr="00583E1A" w:rsidRDefault="00887330" w:rsidP="00887330">
      <w:pPr>
        <w:pStyle w:val="paragraphsub"/>
      </w:pPr>
      <w:r w:rsidRPr="00583E1A">
        <w:lastRenderedPageBreak/>
        <w:tab/>
        <w:t>(i)</w:t>
      </w:r>
      <w:r w:rsidRPr="00583E1A">
        <w:tab/>
        <w:t xml:space="preserve">any </w:t>
      </w:r>
      <w:r w:rsidR="00CE3EDF" w:rsidRPr="00583E1A">
        <w:t>entity that</w:t>
      </w:r>
      <w:r w:rsidRPr="00583E1A">
        <w:t xml:space="preserve"> has been admitted as a member under the society’s </w:t>
      </w:r>
      <w:r w:rsidR="00583E1A" w:rsidRPr="00583E1A">
        <w:rPr>
          <w:position w:val="6"/>
          <w:sz w:val="16"/>
        </w:rPr>
        <w:t>*</w:t>
      </w:r>
      <w:r w:rsidRPr="00583E1A">
        <w:t>constitution; or</w:t>
      </w:r>
    </w:p>
    <w:p w:rsidR="00887330" w:rsidRPr="00583E1A" w:rsidRDefault="00887330" w:rsidP="00887330">
      <w:pPr>
        <w:pStyle w:val="paragraphsub"/>
      </w:pPr>
      <w:r w:rsidRPr="00583E1A">
        <w:tab/>
        <w:t>(ii)</w:t>
      </w:r>
      <w:r w:rsidRPr="00583E1A">
        <w:tab/>
        <w:t xml:space="preserve">any </w:t>
      </w:r>
      <w:r w:rsidR="00CE3EDF" w:rsidRPr="00583E1A">
        <w:t>entity that</w:t>
      </w:r>
      <w:r w:rsidRPr="00583E1A">
        <w:t xml:space="preserve"> has authorised the society to license the use of his or her copyright material</w:t>
      </w:r>
      <w:r w:rsidR="00E367BF" w:rsidRPr="009E5065">
        <w:t>; and</w:t>
      </w:r>
    </w:p>
    <w:p w:rsidR="00E367BF" w:rsidRPr="009E5065" w:rsidRDefault="00E367BF" w:rsidP="00E367BF">
      <w:pPr>
        <w:pStyle w:val="paragraph"/>
      </w:pPr>
      <w:r w:rsidRPr="009E5065">
        <w:tab/>
        <w:t>(e)</w:t>
      </w:r>
      <w:r w:rsidRPr="009E5065">
        <w:tab/>
        <w:t xml:space="preserve">in relation to an </w:t>
      </w:r>
      <w:r w:rsidRPr="009E5065">
        <w:rPr>
          <w:position w:val="6"/>
          <w:sz w:val="16"/>
        </w:rPr>
        <w:t>*</w:t>
      </w:r>
      <w:r w:rsidRPr="009E5065">
        <w:t>NRAS consortium—means:</w:t>
      </w:r>
    </w:p>
    <w:p w:rsidR="00E367BF" w:rsidRPr="009E5065" w:rsidRDefault="00E367BF" w:rsidP="00E367BF">
      <w:pPr>
        <w:pStyle w:val="paragraphsub"/>
      </w:pPr>
      <w:r w:rsidRPr="009E5065">
        <w:tab/>
        <w:t>(i)</w:t>
      </w:r>
      <w:r w:rsidRPr="009E5065">
        <w:tab/>
        <w:t xml:space="preserve">an entity (other than in the capacity as a partner of a partnership) that is a party to the contractual </w:t>
      </w:r>
      <w:r w:rsidRPr="009E5065">
        <w:rPr>
          <w:position w:val="6"/>
          <w:sz w:val="16"/>
        </w:rPr>
        <w:t>*</w:t>
      </w:r>
      <w:r w:rsidRPr="009E5065">
        <w:t>arrangement, or to one of the contractual arrangements, that established the NRAS consortium (whether or not the entity was a party to the arrangement when the NRAS consortium was established); or</w:t>
      </w:r>
    </w:p>
    <w:p w:rsidR="00E367BF" w:rsidRPr="009E5065" w:rsidRDefault="00E367BF" w:rsidP="00E367BF">
      <w:pPr>
        <w:pStyle w:val="paragraphsub"/>
      </w:pPr>
      <w:r w:rsidRPr="009E5065">
        <w:tab/>
        <w:t>(ii)</w:t>
      </w:r>
      <w:r w:rsidRPr="009E5065">
        <w:tab/>
        <w:t>a partnership, if all of the partners of the partnership are parties to the contractual arrangement, or to one of the contractual arrangements, that established the NRAS consortium (whether or not the partners were parties to the arrangement when the NRAS consortium was established).</w:t>
      </w:r>
    </w:p>
    <w:p w:rsidR="00887330" w:rsidRPr="00583E1A" w:rsidRDefault="00887330" w:rsidP="00887330">
      <w:pPr>
        <w:pStyle w:val="Definition"/>
      </w:pPr>
      <w:r w:rsidRPr="00583E1A">
        <w:rPr>
          <w:b/>
          <w:i/>
        </w:rPr>
        <w:t>member of the Forces</w:t>
      </w:r>
      <w:r w:rsidRPr="00583E1A">
        <w:t xml:space="preserve"> has the meaning given by section</w:t>
      </w:r>
      <w:r w:rsidR="00583E1A">
        <w:t> </w:t>
      </w:r>
      <w:r w:rsidRPr="00583E1A">
        <w:t>52</w:t>
      </w:r>
      <w:r w:rsidR="00583E1A">
        <w:noBreakHyphen/>
      </w:r>
      <w:r w:rsidRPr="00583E1A">
        <w:t>105.</w:t>
      </w:r>
    </w:p>
    <w:p w:rsidR="001E33F9" w:rsidRPr="00583E1A" w:rsidRDefault="001E33F9" w:rsidP="001E33F9">
      <w:pPr>
        <w:pStyle w:val="Definition"/>
      </w:pPr>
      <w:r w:rsidRPr="00583E1A">
        <w:rPr>
          <w:b/>
          <w:i/>
        </w:rPr>
        <w:t>member of the tax preferred end user group</w:t>
      </w:r>
      <w:r w:rsidRPr="00583E1A">
        <w:t xml:space="preserve"> has the meaning given by paragraph 250</w:t>
      </w:r>
      <w:r w:rsidR="00583E1A">
        <w:noBreakHyphen/>
      </w:r>
      <w:r w:rsidRPr="00583E1A">
        <w:t>60(4)(a).</w:t>
      </w:r>
    </w:p>
    <w:p w:rsidR="009D2F8B" w:rsidRPr="00583E1A" w:rsidRDefault="009D2F8B" w:rsidP="009D2F8B">
      <w:pPr>
        <w:pStyle w:val="Definition"/>
      </w:pPr>
      <w:r w:rsidRPr="00583E1A">
        <w:rPr>
          <w:b/>
          <w:i/>
        </w:rPr>
        <w:t>member of the tax preferred sector</w:t>
      </w:r>
      <w:r w:rsidRPr="00583E1A">
        <w:t xml:space="preserve"> has the meaning given by paragraph 250</w:t>
      </w:r>
      <w:r w:rsidR="00583E1A">
        <w:noBreakHyphen/>
      </w:r>
      <w:r w:rsidRPr="00583E1A">
        <w:t>60(4)(b).</w:t>
      </w:r>
    </w:p>
    <w:p w:rsidR="00887330" w:rsidRPr="00583E1A" w:rsidRDefault="00887330" w:rsidP="00887330">
      <w:pPr>
        <w:pStyle w:val="Definition"/>
      </w:pPr>
      <w:r w:rsidRPr="00583E1A">
        <w:rPr>
          <w:b/>
          <w:i/>
        </w:rPr>
        <w:t>membership interest</w:t>
      </w:r>
      <w:r w:rsidRPr="00583E1A">
        <w:t xml:space="preserve"> in an entity has the meaning given by section</w:t>
      </w:r>
      <w:r w:rsidR="00583E1A">
        <w:t> </w:t>
      </w:r>
      <w:r w:rsidRPr="00583E1A">
        <w:t>960</w:t>
      </w:r>
      <w:r w:rsidR="00583E1A">
        <w:noBreakHyphen/>
      </w:r>
      <w:r w:rsidRPr="00583E1A">
        <w:t>135.</w:t>
      </w:r>
    </w:p>
    <w:p w:rsidR="00887330" w:rsidRPr="00583E1A" w:rsidRDefault="00887330" w:rsidP="00887330">
      <w:pPr>
        <w:pStyle w:val="Definition"/>
      </w:pPr>
      <w:r w:rsidRPr="00583E1A">
        <w:rPr>
          <w:b/>
          <w:i/>
        </w:rPr>
        <w:t>metering point</w:t>
      </w:r>
      <w:r w:rsidRPr="00583E1A">
        <w:t xml:space="preserve"> on land has the meaning given by section</w:t>
      </w:r>
      <w:r w:rsidR="00583E1A">
        <w:t> </w:t>
      </w:r>
      <w:r w:rsidRPr="00583E1A">
        <w:t>40</w:t>
      </w:r>
      <w:r w:rsidR="00583E1A">
        <w:noBreakHyphen/>
      </w:r>
      <w:r w:rsidRPr="00583E1A">
        <w:t>655.</w:t>
      </w:r>
    </w:p>
    <w:p w:rsidR="00AD5DC5" w:rsidRPr="005E19E0" w:rsidRDefault="00AD5DC5" w:rsidP="00AD5DC5">
      <w:pPr>
        <w:pStyle w:val="Definition"/>
      </w:pPr>
      <w:r w:rsidRPr="005E19E0">
        <w:rPr>
          <w:b/>
          <w:i/>
        </w:rPr>
        <w:t xml:space="preserve">miner </w:t>
      </w:r>
      <w:r w:rsidRPr="005E19E0">
        <w:t>has the meaning given by section 300</w:t>
      </w:r>
      <w:r w:rsidRPr="005E19E0">
        <w:noBreakHyphen/>
        <w:t xml:space="preserve">1 of the </w:t>
      </w:r>
      <w:r w:rsidRPr="005E19E0">
        <w:rPr>
          <w:i/>
        </w:rPr>
        <w:t>Minerals Resource Rent Tax Act 201</w:t>
      </w:r>
      <w:r>
        <w:rPr>
          <w:i/>
        </w:rPr>
        <w:t>2</w:t>
      </w:r>
      <w:r w:rsidRPr="005E19E0">
        <w:t>.</w:t>
      </w:r>
    </w:p>
    <w:p w:rsidR="00FC35EA" w:rsidRPr="004C09C4" w:rsidRDefault="00FC35EA" w:rsidP="00FC35EA">
      <w:pPr>
        <w:pStyle w:val="Definition"/>
      </w:pPr>
      <w:r w:rsidRPr="004C09C4">
        <w:rPr>
          <w:b/>
          <w:i/>
        </w:rPr>
        <w:t>minerals</w:t>
      </w:r>
      <w:r w:rsidRPr="004C09C4">
        <w:t xml:space="preserve"> has a meaning affected by subsection 40</w:t>
      </w:r>
      <w:r w:rsidRPr="004C09C4">
        <w:noBreakHyphen/>
        <w:t>730(5).</w:t>
      </w:r>
    </w:p>
    <w:p w:rsidR="00887330" w:rsidRPr="00583E1A" w:rsidRDefault="00887330" w:rsidP="00887330">
      <w:pPr>
        <w:pStyle w:val="Definition"/>
      </w:pPr>
      <w:r w:rsidRPr="00583E1A">
        <w:rPr>
          <w:b/>
          <w:i/>
        </w:rPr>
        <w:t>minerals treatment</w:t>
      </w:r>
      <w:r w:rsidRPr="00583E1A">
        <w:t xml:space="preserve"> has the meaning given by section</w:t>
      </w:r>
      <w:r w:rsidR="00583E1A">
        <w:t> </w:t>
      </w:r>
      <w:r w:rsidRPr="00583E1A">
        <w:t>40</w:t>
      </w:r>
      <w:r w:rsidR="00583E1A">
        <w:noBreakHyphen/>
      </w:r>
      <w:r w:rsidRPr="00583E1A">
        <w:t>875.</w:t>
      </w:r>
    </w:p>
    <w:p w:rsidR="00887330" w:rsidRPr="00583E1A" w:rsidRDefault="00887330" w:rsidP="00887330">
      <w:pPr>
        <w:pStyle w:val="Definition"/>
      </w:pPr>
      <w:r w:rsidRPr="00583E1A">
        <w:rPr>
          <w:b/>
          <w:i/>
        </w:rPr>
        <w:t>minimum capital amount</w:t>
      </w:r>
      <w:r w:rsidRPr="00583E1A">
        <w:t>:</w:t>
      </w:r>
    </w:p>
    <w:p w:rsidR="00887330" w:rsidRPr="00583E1A" w:rsidRDefault="00887330" w:rsidP="00887330">
      <w:pPr>
        <w:pStyle w:val="paragraph"/>
      </w:pPr>
      <w:r w:rsidRPr="00583E1A">
        <w:tab/>
        <w:t>(a)</w:t>
      </w:r>
      <w:r w:rsidRPr="00583E1A">
        <w:tab/>
        <w:t xml:space="preserve">for an </w:t>
      </w:r>
      <w:r w:rsidR="00583E1A" w:rsidRPr="00583E1A">
        <w:rPr>
          <w:position w:val="6"/>
          <w:sz w:val="16"/>
        </w:rPr>
        <w:t>*</w:t>
      </w:r>
      <w:r w:rsidRPr="00583E1A">
        <w:t>outward investing entity (ADI)—has the meaning given by section</w:t>
      </w:r>
      <w:r w:rsidR="00583E1A">
        <w:t> </w:t>
      </w:r>
      <w:r w:rsidRPr="00583E1A">
        <w:t>820</w:t>
      </w:r>
      <w:r w:rsidR="00583E1A">
        <w:noBreakHyphen/>
      </w:r>
      <w:r w:rsidRPr="00583E1A">
        <w:t>305 (or that section as applied by section</w:t>
      </w:r>
      <w:r w:rsidR="00583E1A">
        <w:t> </w:t>
      </w:r>
      <w:r w:rsidRPr="00583E1A">
        <w:t>820</w:t>
      </w:r>
      <w:r w:rsidR="00583E1A">
        <w:noBreakHyphen/>
      </w:r>
      <w:r w:rsidRPr="00583E1A">
        <w:t>330); and</w:t>
      </w:r>
    </w:p>
    <w:p w:rsidR="00887330" w:rsidRPr="00583E1A" w:rsidRDefault="00887330" w:rsidP="00887330">
      <w:pPr>
        <w:pStyle w:val="paragraph"/>
      </w:pPr>
      <w:r w:rsidRPr="00583E1A">
        <w:lastRenderedPageBreak/>
        <w:tab/>
        <w:t>(b)</w:t>
      </w:r>
      <w:r w:rsidRPr="00583E1A">
        <w:tab/>
        <w:t xml:space="preserve">for an </w:t>
      </w:r>
      <w:r w:rsidR="00583E1A" w:rsidRPr="00583E1A">
        <w:rPr>
          <w:position w:val="6"/>
          <w:sz w:val="16"/>
        </w:rPr>
        <w:t>*</w:t>
      </w:r>
      <w:r w:rsidRPr="00583E1A">
        <w:t>inward investing entity (ADI)—has the meaning given by section</w:t>
      </w:r>
      <w:r w:rsidR="00583E1A">
        <w:t> </w:t>
      </w:r>
      <w:r w:rsidRPr="00583E1A">
        <w:t>820</w:t>
      </w:r>
      <w:r w:rsidR="00583E1A">
        <w:noBreakHyphen/>
      </w:r>
      <w:r w:rsidRPr="00583E1A">
        <w:t>400 (or that section as applied by section</w:t>
      </w:r>
      <w:r w:rsidR="00583E1A">
        <w:t> </w:t>
      </w:r>
      <w:r w:rsidRPr="00583E1A">
        <w:t>820</w:t>
      </w:r>
      <w:r w:rsidR="00583E1A">
        <w:noBreakHyphen/>
      </w:r>
      <w:r w:rsidRPr="00583E1A">
        <w:t>420).</w:t>
      </w:r>
    </w:p>
    <w:p w:rsidR="00AD5DC5" w:rsidRPr="005E19E0" w:rsidRDefault="00AD5DC5" w:rsidP="00AD5DC5">
      <w:pPr>
        <w:pStyle w:val="Definition"/>
      </w:pPr>
      <w:r w:rsidRPr="005E19E0">
        <w:rPr>
          <w:b/>
          <w:i/>
        </w:rPr>
        <w:t>mining and quarrying operations</w:t>
      </w:r>
      <w:r w:rsidRPr="005E19E0">
        <w:t xml:space="preserve"> has the meaning given by section 40</w:t>
      </w:r>
      <w:r w:rsidRPr="005E19E0">
        <w:noBreakHyphen/>
        <w:t>730.</w:t>
      </w:r>
    </w:p>
    <w:p w:rsidR="00887330" w:rsidRPr="00583E1A" w:rsidRDefault="00887330" w:rsidP="00887330">
      <w:pPr>
        <w:pStyle w:val="Definition"/>
      </w:pPr>
      <w:r w:rsidRPr="00583E1A">
        <w:rPr>
          <w:b/>
          <w:i/>
        </w:rPr>
        <w:t>mining building site</w:t>
      </w:r>
      <w:r w:rsidRPr="00583E1A">
        <w:t xml:space="preserve"> has the meaning given by section</w:t>
      </w:r>
      <w:r w:rsidR="00583E1A">
        <w:t> </w:t>
      </w:r>
      <w:r w:rsidRPr="00583E1A">
        <w:t>40</w:t>
      </w:r>
      <w:r w:rsidR="00583E1A">
        <w:noBreakHyphen/>
      </w:r>
      <w:r w:rsidRPr="00583E1A">
        <w:t>740.</w:t>
      </w:r>
    </w:p>
    <w:p w:rsidR="00887330" w:rsidRPr="00583E1A" w:rsidRDefault="00887330" w:rsidP="00887330">
      <w:pPr>
        <w:pStyle w:val="Definition"/>
      </w:pPr>
      <w:r w:rsidRPr="00583E1A">
        <w:rPr>
          <w:b/>
          <w:i/>
        </w:rPr>
        <w:t>mining capital expenditure</w:t>
      </w:r>
      <w:r w:rsidRPr="00583E1A">
        <w:t xml:space="preserve"> has the meaning given by section</w:t>
      </w:r>
      <w:r w:rsidR="00583E1A">
        <w:t> </w:t>
      </w:r>
      <w:r w:rsidRPr="00583E1A">
        <w:t>40</w:t>
      </w:r>
      <w:r w:rsidR="00583E1A">
        <w:noBreakHyphen/>
      </w:r>
      <w:r w:rsidRPr="00583E1A">
        <w:t>860.</w:t>
      </w:r>
    </w:p>
    <w:p w:rsidR="00887330" w:rsidRPr="00583E1A" w:rsidRDefault="00887330" w:rsidP="00887330">
      <w:pPr>
        <w:pStyle w:val="Definition"/>
      </w:pPr>
      <w:r w:rsidRPr="00583E1A">
        <w:rPr>
          <w:b/>
          <w:i/>
        </w:rPr>
        <w:t>mining entitlement</w:t>
      </w:r>
      <w:r w:rsidRPr="00583E1A">
        <w:t xml:space="preserve"> has the meaning given by subsection 124</w:t>
      </w:r>
      <w:r w:rsidR="00583E1A">
        <w:noBreakHyphen/>
      </w:r>
      <w:r w:rsidRPr="00583E1A">
        <w:t>710(2).</w:t>
      </w:r>
    </w:p>
    <w:p w:rsidR="00AD5DC5" w:rsidRPr="005E19E0" w:rsidRDefault="00AD5DC5" w:rsidP="00AD5DC5">
      <w:pPr>
        <w:pStyle w:val="Definition"/>
      </w:pPr>
      <w:r w:rsidRPr="005E19E0">
        <w:rPr>
          <w:b/>
          <w:i/>
        </w:rPr>
        <w:t xml:space="preserve">mining expenditure </w:t>
      </w:r>
      <w:r w:rsidRPr="005E19E0">
        <w:t>has the meaning given by section 300</w:t>
      </w:r>
      <w:r w:rsidRPr="005E19E0">
        <w:noBreakHyphen/>
        <w:t xml:space="preserve">1 of the </w:t>
      </w:r>
      <w:r w:rsidRPr="005E19E0">
        <w:rPr>
          <w:i/>
        </w:rPr>
        <w:t>Minerals Resource Rent Tax Act 201</w:t>
      </w:r>
      <w:r>
        <w:rPr>
          <w:i/>
        </w:rPr>
        <w:t>2</w:t>
      </w:r>
      <w:r w:rsidRPr="005E19E0">
        <w:t>.</w:t>
      </w:r>
    </w:p>
    <w:p w:rsidR="00AD5DC5" w:rsidRPr="005E19E0" w:rsidRDefault="00AD5DC5" w:rsidP="00AD5DC5">
      <w:pPr>
        <w:pStyle w:val="Definition"/>
        <w:rPr>
          <w:b/>
          <w:i/>
        </w:rPr>
      </w:pPr>
      <w:r w:rsidRPr="005E19E0">
        <w:rPr>
          <w:b/>
          <w:i/>
        </w:rPr>
        <w:t xml:space="preserve">mining loss </w:t>
      </w:r>
      <w:r w:rsidRPr="005E19E0">
        <w:t>has the meaning given by section 300</w:t>
      </w:r>
      <w:r w:rsidRPr="005E19E0">
        <w:noBreakHyphen/>
        <w:t xml:space="preserve">1 of the </w:t>
      </w:r>
      <w:r w:rsidRPr="005E19E0">
        <w:rPr>
          <w:i/>
        </w:rPr>
        <w:t>Minerals Resource Rent Tax Act 201</w:t>
      </w:r>
      <w:r>
        <w:rPr>
          <w:i/>
        </w:rPr>
        <w:t>2</w:t>
      </w:r>
      <w:r w:rsidRPr="005E19E0">
        <w:t>.</w:t>
      </w:r>
    </w:p>
    <w:p w:rsidR="00887330" w:rsidRPr="00583E1A" w:rsidRDefault="00887330" w:rsidP="00887330">
      <w:pPr>
        <w:pStyle w:val="Definition"/>
      </w:pPr>
      <w:r w:rsidRPr="00583E1A">
        <w:rPr>
          <w:b/>
          <w:i/>
        </w:rPr>
        <w:t xml:space="preserve">mining payment </w:t>
      </w:r>
      <w:r w:rsidRPr="00583E1A">
        <w:t>has the meaning given by section</w:t>
      </w:r>
      <w:r w:rsidR="00583E1A">
        <w:t> </w:t>
      </w:r>
      <w:r w:rsidRPr="00583E1A">
        <w:t xml:space="preserve">128U of the </w:t>
      </w:r>
      <w:r w:rsidRPr="00583E1A">
        <w:rPr>
          <w:i/>
        </w:rPr>
        <w:t>Income Tax Assessment Act 1936</w:t>
      </w:r>
      <w:r w:rsidRPr="00583E1A">
        <w:t>.</w:t>
      </w:r>
    </w:p>
    <w:p w:rsidR="003B06DA" w:rsidRPr="005E19E0" w:rsidRDefault="003B06DA" w:rsidP="003B06DA">
      <w:pPr>
        <w:pStyle w:val="Definition"/>
        <w:rPr>
          <w:b/>
          <w:i/>
        </w:rPr>
      </w:pPr>
      <w:r w:rsidRPr="005E19E0">
        <w:rPr>
          <w:b/>
          <w:i/>
        </w:rPr>
        <w:t xml:space="preserve">mining profit </w:t>
      </w:r>
      <w:r w:rsidRPr="005E19E0">
        <w:t>has the meaning given by section 300</w:t>
      </w:r>
      <w:r w:rsidRPr="005E19E0">
        <w:noBreakHyphen/>
        <w:t xml:space="preserve">1 of the </w:t>
      </w:r>
      <w:r w:rsidRPr="005E19E0">
        <w:rPr>
          <w:i/>
        </w:rPr>
        <w:t>Minerals Resource Rent Tax Act 201</w:t>
      </w:r>
      <w:r>
        <w:rPr>
          <w:i/>
        </w:rPr>
        <w:t>2</w:t>
      </w:r>
      <w:r w:rsidRPr="005E19E0">
        <w:t>.</w:t>
      </w:r>
    </w:p>
    <w:p w:rsidR="003B06DA" w:rsidRPr="005E19E0" w:rsidRDefault="003B06DA" w:rsidP="003B06DA">
      <w:pPr>
        <w:pStyle w:val="Definition"/>
        <w:rPr>
          <w:b/>
          <w:i/>
        </w:rPr>
      </w:pPr>
      <w:r w:rsidRPr="005E19E0">
        <w:rPr>
          <w:b/>
          <w:i/>
        </w:rPr>
        <w:t xml:space="preserve">mining project interest </w:t>
      </w:r>
      <w:r w:rsidRPr="005E19E0">
        <w:t>has the meaning given by section 300</w:t>
      </w:r>
      <w:r w:rsidRPr="005E19E0">
        <w:noBreakHyphen/>
        <w:t xml:space="preserve">1 of the </w:t>
      </w:r>
      <w:r w:rsidRPr="005E19E0">
        <w:rPr>
          <w:i/>
        </w:rPr>
        <w:t>Minerals Resource Rent Tax Act 201</w:t>
      </w:r>
      <w:r>
        <w:rPr>
          <w:i/>
        </w:rPr>
        <w:t>2</w:t>
      </w:r>
      <w:r w:rsidRPr="005E19E0">
        <w:t>.</w:t>
      </w:r>
    </w:p>
    <w:p w:rsidR="003B06DA" w:rsidRPr="005E19E0" w:rsidRDefault="003B06DA" w:rsidP="003B06DA">
      <w:pPr>
        <w:pStyle w:val="Definition"/>
        <w:rPr>
          <w:b/>
          <w:i/>
        </w:rPr>
      </w:pPr>
      <w:r w:rsidRPr="005E19E0">
        <w:rPr>
          <w:b/>
          <w:i/>
        </w:rPr>
        <w:t xml:space="preserve">mining project split </w:t>
      </w:r>
      <w:r w:rsidRPr="005E19E0">
        <w:t>has the meaning given by section 300</w:t>
      </w:r>
      <w:r w:rsidRPr="005E19E0">
        <w:noBreakHyphen/>
        <w:t xml:space="preserve">1 of the </w:t>
      </w:r>
      <w:r w:rsidRPr="005E19E0">
        <w:rPr>
          <w:i/>
        </w:rPr>
        <w:t>Minerals Resource Rent Tax Act 201</w:t>
      </w:r>
      <w:r>
        <w:rPr>
          <w:i/>
        </w:rPr>
        <w:t>2</w:t>
      </w:r>
      <w:r w:rsidRPr="005E19E0">
        <w:t>.</w:t>
      </w:r>
    </w:p>
    <w:p w:rsidR="003B06DA" w:rsidRPr="005E19E0" w:rsidRDefault="003B06DA" w:rsidP="003B06DA">
      <w:pPr>
        <w:pStyle w:val="Definition"/>
        <w:rPr>
          <w:b/>
          <w:i/>
        </w:rPr>
      </w:pPr>
      <w:r w:rsidRPr="005E19E0">
        <w:rPr>
          <w:b/>
          <w:i/>
        </w:rPr>
        <w:t xml:space="preserve">mining project transfer </w:t>
      </w:r>
      <w:r w:rsidRPr="005E19E0">
        <w:t>has the meaning given by section 300</w:t>
      </w:r>
      <w:r w:rsidRPr="005E19E0">
        <w:noBreakHyphen/>
        <w:t xml:space="preserve">1 of the </w:t>
      </w:r>
      <w:r w:rsidRPr="005E19E0">
        <w:rPr>
          <w:i/>
        </w:rPr>
        <w:t>Minerals Resource Rent Tax Act 201</w:t>
      </w:r>
      <w:r>
        <w:rPr>
          <w:i/>
        </w:rPr>
        <w:t>2</w:t>
      </w:r>
      <w:r w:rsidRPr="005E19E0">
        <w:t>.</w:t>
      </w:r>
    </w:p>
    <w:p w:rsidR="00887330" w:rsidRPr="00583E1A" w:rsidRDefault="00887330" w:rsidP="00887330">
      <w:pPr>
        <w:pStyle w:val="Definition"/>
      </w:pPr>
      <w:r w:rsidRPr="00583E1A">
        <w:rPr>
          <w:b/>
          <w:i/>
        </w:rPr>
        <w:t>mining, quarrying or prospecting information</w:t>
      </w:r>
      <w:r w:rsidRPr="00583E1A">
        <w:t xml:space="preserve"> has the meaning given by </w:t>
      </w:r>
      <w:r w:rsidR="008E7940" w:rsidRPr="004C09C4">
        <w:t>subsection 40</w:t>
      </w:r>
      <w:r w:rsidR="008E7940" w:rsidRPr="004C09C4">
        <w:noBreakHyphen/>
        <w:t>730(8)</w:t>
      </w:r>
      <w:r w:rsidRPr="00583E1A">
        <w:t>.</w:t>
      </w:r>
    </w:p>
    <w:p w:rsidR="00887330" w:rsidRPr="00583E1A" w:rsidRDefault="00887330" w:rsidP="00887330">
      <w:pPr>
        <w:pStyle w:val="Definition"/>
      </w:pPr>
      <w:r w:rsidRPr="00583E1A">
        <w:rPr>
          <w:b/>
          <w:i/>
        </w:rPr>
        <w:t>mining, quarrying or prospecting right</w:t>
      </w:r>
      <w:r w:rsidRPr="00583E1A">
        <w:t xml:space="preserve"> is:</w:t>
      </w:r>
    </w:p>
    <w:p w:rsidR="00887330" w:rsidRPr="00583E1A" w:rsidRDefault="00887330" w:rsidP="00887330">
      <w:pPr>
        <w:pStyle w:val="paragraph"/>
      </w:pPr>
      <w:r w:rsidRPr="00583E1A">
        <w:tab/>
        <w:t>(a)</w:t>
      </w:r>
      <w:r w:rsidRPr="00583E1A">
        <w:tab/>
        <w:t xml:space="preserve">an authority, licence, permit or right under an </w:t>
      </w:r>
      <w:r w:rsidR="00583E1A" w:rsidRPr="00583E1A">
        <w:rPr>
          <w:position w:val="6"/>
          <w:sz w:val="16"/>
        </w:rPr>
        <w:t>*</w:t>
      </w:r>
      <w:r w:rsidRPr="00583E1A">
        <w:t xml:space="preserve">Australian law to mine, quarry or prospect for </w:t>
      </w:r>
      <w:r w:rsidR="008573C1" w:rsidRPr="004C09C4">
        <w:rPr>
          <w:position w:val="6"/>
          <w:sz w:val="16"/>
        </w:rPr>
        <w:t>*</w:t>
      </w:r>
      <w:r w:rsidR="008573C1" w:rsidRPr="004C09C4">
        <w:t>minerals</w:t>
      </w:r>
      <w:r w:rsidRPr="00583E1A">
        <w:t xml:space="preserve">, </w:t>
      </w:r>
      <w:r w:rsidR="00583E1A" w:rsidRPr="00583E1A">
        <w:rPr>
          <w:position w:val="6"/>
          <w:sz w:val="16"/>
        </w:rPr>
        <w:t>*</w:t>
      </w:r>
      <w:r w:rsidRPr="00583E1A">
        <w:t>petroleum or quarry materials; or</w:t>
      </w:r>
    </w:p>
    <w:p w:rsidR="00887330" w:rsidRPr="00583E1A" w:rsidRDefault="00887330" w:rsidP="00887330">
      <w:pPr>
        <w:pStyle w:val="paragraph"/>
      </w:pPr>
      <w:r w:rsidRPr="00583E1A">
        <w:lastRenderedPageBreak/>
        <w:tab/>
        <w:t>(b)</w:t>
      </w:r>
      <w:r w:rsidRPr="00583E1A">
        <w:tab/>
        <w:t>a lease of land that allows the lessee to mine, quarry or prospect for minerals, petroleum or quarry materials on the land; or</w:t>
      </w:r>
    </w:p>
    <w:p w:rsidR="00887330" w:rsidRPr="00583E1A" w:rsidRDefault="00887330" w:rsidP="00887330">
      <w:pPr>
        <w:pStyle w:val="paragraph"/>
      </w:pPr>
      <w:r w:rsidRPr="00583E1A">
        <w:tab/>
        <w:t>(c)</w:t>
      </w:r>
      <w:r w:rsidRPr="00583E1A">
        <w:tab/>
        <w:t>an interest in such an authority, licence, permit, right or lease; or</w:t>
      </w:r>
    </w:p>
    <w:p w:rsidR="00887330" w:rsidRPr="00583E1A" w:rsidRDefault="00887330" w:rsidP="00887330">
      <w:pPr>
        <w:pStyle w:val="paragraph"/>
      </w:pPr>
      <w:r w:rsidRPr="00583E1A">
        <w:tab/>
        <w:t>(d)</w:t>
      </w:r>
      <w:r w:rsidRPr="00583E1A">
        <w:tab/>
        <w:t>any rights that:</w:t>
      </w:r>
    </w:p>
    <w:p w:rsidR="00887330" w:rsidRPr="00583E1A" w:rsidRDefault="00887330" w:rsidP="00887330">
      <w:pPr>
        <w:pStyle w:val="paragraphsub"/>
      </w:pPr>
      <w:r w:rsidRPr="00583E1A">
        <w:tab/>
        <w:t>(i)</w:t>
      </w:r>
      <w:r w:rsidRPr="00583E1A">
        <w:tab/>
        <w:t xml:space="preserve">are in respect of buildings or other improvements (including anything covered by the definition of </w:t>
      </w:r>
      <w:r w:rsidRPr="00583E1A">
        <w:rPr>
          <w:b/>
          <w:i/>
        </w:rPr>
        <w:t>housing and welfare</w:t>
      </w:r>
      <w:r w:rsidRPr="00583E1A">
        <w:t>) that are on the land concerned or are used in connection with operations on it; and</w:t>
      </w:r>
    </w:p>
    <w:p w:rsidR="00887330" w:rsidRPr="00583E1A" w:rsidRDefault="00887330" w:rsidP="00887330">
      <w:pPr>
        <w:pStyle w:val="paragraphsub"/>
        <w:keepNext/>
      </w:pPr>
      <w:r w:rsidRPr="00583E1A">
        <w:tab/>
        <w:t>(ii)</w:t>
      </w:r>
      <w:r w:rsidRPr="00583E1A">
        <w:tab/>
        <w:t>are acquired with such an authority, licence, permit, right, lease or interest.</w:t>
      </w:r>
    </w:p>
    <w:p w:rsidR="00887330" w:rsidRPr="00583E1A" w:rsidRDefault="00887330" w:rsidP="00887330">
      <w:pPr>
        <w:pStyle w:val="subsection2"/>
      </w:pPr>
      <w:r w:rsidRPr="00583E1A">
        <w:t xml:space="preserve">However, a right in respect of anything covered by the definition of </w:t>
      </w:r>
      <w:r w:rsidRPr="00583E1A">
        <w:rPr>
          <w:b/>
          <w:i/>
        </w:rPr>
        <w:t>housing and welfare</w:t>
      </w:r>
      <w:r w:rsidRPr="00583E1A">
        <w:t xml:space="preserve"> in relation to a quarrying site is not a </w:t>
      </w:r>
      <w:r w:rsidRPr="00583E1A">
        <w:rPr>
          <w:b/>
          <w:i/>
        </w:rPr>
        <w:t>mining, quarrying or prospecting right</w:t>
      </w:r>
      <w:r w:rsidRPr="00583E1A">
        <w:t>.</w:t>
      </w:r>
    </w:p>
    <w:p w:rsidR="003B06DA" w:rsidRPr="005E19E0" w:rsidRDefault="003B06DA" w:rsidP="003B06DA">
      <w:pPr>
        <w:pStyle w:val="Definition"/>
        <w:rPr>
          <w:b/>
          <w:i/>
        </w:rPr>
      </w:pPr>
      <w:r w:rsidRPr="005E19E0">
        <w:rPr>
          <w:b/>
          <w:i/>
        </w:rPr>
        <w:t xml:space="preserve">mining revenue </w:t>
      </w:r>
      <w:r w:rsidRPr="005E19E0">
        <w:t>has the meaning given by section 300</w:t>
      </w:r>
      <w:r w:rsidRPr="005E19E0">
        <w:noBreakHyphen/>
        <w:t xml:space="preserve">1 of the </w:t>
      </w:r>
      <w:r w:rsidRPr="005E19E0">
        <w:rPr>
          <w:i/>
        </w:rPr>
        <w:t>Minerals Resource Rent Tax Act 201</w:t>
      </w:r>
      <w:r>
        <w:rPr>
          <w:i/>
        </w:rPr>
        <w:t>2</w:t>
      </w:r>
      <w:r w:rsidRPr="005E19E0">
        <w:t>.</w:t>
      </w:r>
    </w:p>
    <w:p w:rsidR="00235E1B" w:rsidRPr="005E19E0" w:rsidRDefault="00235E1B" w:rsidP="00235E1B">
      <w:pPr>
        <w:pStyle w:val="Definition"/>
        <w:rPr>
          <w:b/>
          <w:i/>
        </w:rPr>
      </w:pPr>
      <w:r w:rsidRPr="005E19E0">
        <w:rPr>
          <w:b/>
          <w:i/>
        </w:rPr>
        <w:t xml:space="preserve">mining revenue event </w:t>
      </w:r>
      <w:r w:rsidRPr="005E19E0">
        <w:t>has the meaning given by section 300</w:t>
      </w:r>
      <w:r w:rsidRPr="005E19E0">
        <w:noBreakHyphen/>
        <w:t xml:space="preserve">1 of the </w:t>
      </w:r>
      <w:r w:rsidRPr="005E19E0">
        <w:rPr>
          <w:i/>
        </w:rPr>
        <w:t>Minerals Resource Rent Tax Act 201</w:t>
      </w:r>
      <w:r>
        <w:rPr>
          <w:i/>
        </w:rPr>
        <w:t>2</w:t>
      </w:r>
      <w:r w:rsidRPr="005E19E0">
        <w:t>.</w:t>
      </w:r>
    </w:p>
    <w:p w:rsidR="00887330" w:rsidRPr="00583E1A" w:rsidRDefault="00887330" w:rsidP="00887330">
      <w:pPr>
        <w:pStyle w:val="Definition"/>
      </w:pPr>
      <w:r w:rsidRPr="00583E1A">
        <w:rPr>
          <w:b/>
          <w:i/>
        </w:rPr>
        <w:t>mining site rehabilitation</w:t>
      </w:r>
      <w:r w:rsidRPr="00583E1A">
        <w:t xml:space="preserve"> has the meaning given by section</w:t>
      </w:r>
      <w:r w:rsidR="00583E1A">
        <w:t> </w:t>
      </w:r>
      <w:r w:rsidRPr="00583E1A">
        <w:t>40</w:t>
      </w:r>
      <w:r w:rsidR="00583E1A">
        <w:noBreakHyphen/>
      </w:r>
      <w:r w:rsidRPr="00583E1A">
        <w:t>735.</w:t>
      </w:r>
    </w:p>
    <w:p w:rsidR="00887330" w:rsidRPr="00583E1A" w:rsidRDefault="00887330" w:rsidP="00887330">
      <w:pPr>
        <w:pStyle w:val="Definition"/>
      </w:pPr>
      <w:r w:rsidRPr="00583E1A">
        <w:rPr>
          <w:b/>
          <w:i/>
        </w:rPr>
        <w:t xml:space="preserve">mining withholding tax </w:t>
      </w:r>
      <w:r w:rsidRPr="00583E1A">
        <w:t>means income tax payable under section</w:t>
      </w:r>
      <w:r w:rsidR="00583E1A">
        <w:t> </w:t>
      </w:r>
      <w:r w:rsidRPr="00583E1A">
        <w:t xml:space="preserve">128V of the </w:t>
      </w:r>
      <w:r w:rsidRPr="00583E1A">
        <w:rPr>
          <w:i/>
        </w:rPr>
        <w:t>Income Tax Assessment Act 1936</w:t>
      </w:r>
      <w:r w:rsidRPr="00583E1A">
        <w:t>.</w:t>
      </w:r>
    </w:p>
    <w:p w:rsidR="00AC0BC8" w:rsidRPr="007023A5" w:rsidRDefault="00AC0BC8" w:rsidP="00AC0BC8">
      <w:pPr>
        <w:pStyle w:val="Definition"/>
      </w:pPr>
      <w:r w:rsidRPr="007023A5">
        <w:rPr>
          <w:b/>
          <w:i/>
        </w:rPr>
        <w:t xml:space="preserve">MIT participation interest </w:t>
      </w:r>
      <w:r w:rsidRPr="007023A5">
        <w:t>has the meaning given by section 12</w:t>
      </w:r>
      <w:r w:rsidRPr="007023A5">
        <w:noBreakHyphen/>
        <w:t xml:space="preserve">404 in Schedule 1 to the </w:t>
      </w:r>
      <w:r w:rsidRPr="007023A5">
        <w:rPr>
          <w:i/>
        </w:rPr>
        <w:t>Taxation Administration Act 1953</w:t>
      </w:r>
      <w:r w:rsidRPr="007023A5">
        <w:t>.</w:t>
      </w:r>
    </w:p>
    <w:p w:rsidR="00887330" w:rsidRPr="00583E1A" w:rsidRDefault="00887330" w:rsidP="00887330">
      <w:pPr>
        <w:pStyle w:val="Definition"/>
      </w:pPr>
      <w:r w:rsidRPr="00583E1A">
        <w:rPr>
          <w:b/>
          <w:i/>
        </w:rPr>
        <w:t>MLS lump sums</w:t>
      </w:r>
      <w:r w:rsidRPr="00583E1A">
        <w:t xml:space="preserve"> has the meaning given by section</w:t>
      </w:r>
      <w:r w:rsidR="00583E1A">
        <w:t> </w:t>
      </w:r>
      <w:r w:rsidRPr="00583E1A">
        <w:t>61</w:t>
      </w:r>
      <w:r w:rsidR="00583E1A">
        <w:noBreakHyphen/>
      </w:r>
      <w:r w:rsidRPr="00583E1A">
        <w:t>590.</w:t>
      </w:r>
    </w:p>
    <w:p w:rsidR="00887330" w:rsidRPr="00583E1A" w:rsidRDefault="00887330" w:rsidP="00887330">
      <w:pPr>
        <w:pStyle w:val="Definition"/>
      </w:pPr>
      <w:r w:rsidRPr="00583E1A">
        <w:rPr>
          <w:b/>
          <w:i/>
        </w:rPr>
        <w:t>modified market value</w:t>
      </w:r>
      <w:r w:rsidRPr="00583E1A">
        <w:t xml:space="preserve"> of an entity has the meaning given by section</w:t>
      </w:r>
      <w:r w:rsidR="00583E1A">
        <w:t> </w:t>
      </w:r>
      <w:r w:rsidRPr="00583E1A">
        <w:t>707</w:t>
      </w:r>
      <w:r w:rsidR="00583E1A">
        <w:noBreakHyphen/>
      </w:r>
      <w:r w:rsidRPr="00583E1A">
        <w:t>325.</w:t>
      </w:r>
    </w:p>
    <w:p w:rsidR="001B2276" w:rsidRPr="00583E1A" w:rsidRDefault="001B2276" w:rsidP="001B2276">
      <w:pPr>
        <w:pStyle w:val="Definition"/>
      </w:pPr>
      <w:r w:rsidRPr="00583E1A">
        <w:rPr>
          <w:b/>
          <w:i/>
        </w:rPr>
        <w:t>money equivalent</w:t>
      </w:r>
      <w:r w:rsidRPr="00583E1A">
        <w:t xml:space="preserve"> means:</w:t>
      </w:r>
    </w:p>
    <w:p w:rsidR="001B2276" w:rsidRPr="00583E1A" w:rsidRDefault="001B2276" w:rsidP="001B2276">
      <w:pPr>
        <w:pStyle w:val="paragraph"/>
      </w:pPr>
      <w:r w:rsidRPr="00583E1A">
        <w:tab/>
        <w:t>(a)</w:t>
      </w:r>
      <w:r w:rsidRPr="00583E1A">
        <w:tab/>
        <w:t xml:space="preserve">a right to receive money or something that is a </w:t>
      </w:r>
      <w:r w:rsidR="00583E1A" w:rsidRPr="00583E1A">
        <w:rPr>
          <w:position w:val="6"/>
          <w:sz w:val="16"/>
        </w:rPr>
        <w:t>*</w:t>
      </w:r>
      <w:r w:rsidRPr="00583E1A">
        <w:t>money equivalent under this definition; or</w:t>
      </w:r>
    </w:p>
    <w:p w:rsidR="001B2276" w:rsidRPr="00583E1A" w:rsidRDefault="001B2276" w:rsidP="001B2276">
      <w:pPr>
        <w:pStyle w:val="paragraph"/>
      </w:pPr>
      <w:r w:rsidRPr="00583E1A">
        <w:lastRenderedPageBreak/>
        <w:tab/>
        <w:t>(b)</w:t>
      </w:r>
      <w:r w:rsidRPr="00583E1A">
        <w:tab/>
        <w:t xml:space="preserve">a </w:t>
      </w:r>
      <w:r w:rsidR="00583E1A" w:rsidRPr="00583E1A">
        <w:rPr>
          <w:position w:val="6"/>
          <w:sz w:val="16"/>
        </w:rPr>
        <w:t>*</w:t>
      </w:r>
      <w:r w:rsidRPr="00583E1A">
        <w:t>financial arrangement (within the meaning of section</w:t>
      </w:r>
      <w:r w:rsidR="00583E1A">
        <w:t> </w:t>
      </w:r>
      <w:r w:rsidRPr="00583E1A">
        <w:t>230</w:t>
      </w:r>
      <w:r w:rsidR="00583E1A">
        <w:noBreakHyphen/>
      </w:r>
      <w:r w:rsidRPr="00583E1A">
        <w:t>45).</w:t>
      </w:r>
    </w:p>
    <w:p w:rsidR="00A85C22" w:rsidRPr="00214FF7" w:rsidRDefault="00A85C22" w:rsidP="00A85C22">
      <w:pPr>
        <w:pStyle w:val="Definition"/>
        <w:spacing w:before="160"/>
      </w:pPr>
      <w:r w:rsidRPr="00214FF7">
        <w:rPr>
          <w:b/>
          <w:i/>
        </w:rPr>
        <w:t>moneylending debt</w:t>
      </w:r>
      <w:r w:rsidRPr="00214FF7">
        <w:t xml:space="preserve"> means a debt resulting from a loan of money in the ordinary course of a </w:t>
      </w:r>
      <w:r w:rsidRPr="00214FF7">
        <w:rPr>
          <w:position w:val="6"/>
          <w:sz w:val="16"/>
        </w:rPr>
        <w:t>*</w:t>
      </w:r>
      <w:r w:rsidRPr="00214FF7">
        <w:t>business of lending money carried on by the creditor.</w:t>
      </w:r>
    </w:p>
    <w:p w:rsidR="0080175A" w:rsidRPr="008A6DF7" w:rsidRDefault="0080175A" w:rsidP="0080175A">
      <w:pPr>
        <w:pStyle w:val="Definition"/>
      </w:pPr>
      <w:r w:rsidRPr="008A6DF7">
        <w:rPr>
          <w:b/>
          <w:i/>
        </w:rPr>
        <w:t>more than a 50% stake</w:t>
      </w:r>
      <w:r w:rsidRPr="008A6DF7">
        <w:t>:</w:t>
      </w:r>
    </w:p>
    <w:p w:rsidR="0080175A" w:rsidRPr="008A6DF7" w:rsidRDefault="0080175A" w:rsidP="0080175A">
      <w:pPr>
        <w:pStyle w:val="paragraph"/>
      </w:pPr>
      <w:r w:rsidRPr="008A6DF7">
        <w:tab/>
        <w:t>(a)</w:t>
      </w:r>
      <w:r w:rsidRPr="008A6DF7">
        <w:tab/>
      </w:r>
      <w:r w:rsidRPr="008A6DF7">
        <w:rPr>
          <w:b/>
          <w:i/>
        </w:rPr>
        <w:t>more than a 50% stake</w:t>
      </w:r>
      <w:r w:rsidRPr="008A6DF7">
        <w:t xml:space="preserve"> in a company has the meaning given by section 165</w:t>
      </w:r>
      <w:r w:rsidRPr="008A6DF7">
        <w:noBreakHyphen/>
        <w:t>37; and</w:t>
      </w:r>
    </w:p>
    <w:p w:rsidR="0080175A" w:rsidRPr="008A6DF7" w:rsidRDefault="0080175A" w:rsidP="0080175A">
      <w:pPr>
        <w:pStyle w:val="paragraph"/>
      </w:pPr>
      <w:r w:rsidRPr="008A6DF7">
        <w:tab/>
        <w:t>(b)</w:t>
      </w:r>
      <w:r w:rsidRPr="008A6DF7">
        <w:tab/>
      </w:r>
      <w:r w:rsidRPr="008A6DF7">
        <w:rPr>
          <w:b/>
          <w:i/>
        </w:rPr>
        <w:t>more than a 50% stake</w:t>
      </w:r>
      <w:r w:rsidRPr="008A6DF7">
        <w:t xml:space="preserve"> in the income or capital of a trust has the meaning given by section 269</w:t>
      </w:r>
      <w:r w:rsidRPr="008A6DF7">
        <w:noBreakHyphen/>
        <w:t xml:space="preserve">50 in Schedule 2F to the </w:t>
      </w:r>
      <w:r w:rsidRPr="008A6DF7">
        <w:rPr>
          <w:i/>
        </w:rPr>
        <w:t>Income Tax Assessment Act 1936</w:t>
      </w:r>
      <w:r w:rsidRPr="008A6DF7">
        <w:t>.</w:t>
      </w:r>
    </w:p>
    <w:p w:rsidR="00887330" w:rsidRPr="00583E1A" w:rsidRDefault="00887330" w:rsidP="00887330">
      <w:pPr>
        <w:pStyle w:val="Definition"/>
      </w:pPr>
      <w:r w:rsidRPr="00583E1A">
        <w:rPr>
          <w:b/>
          <w:i/>
        </w:rPr>
        <w:t>more than 50% of the company’s capital distributions</w:t>
      </w:r>
      <w:r w:rsidRPr="00583E1A">
        <w:t xml:space="preserve"> has the meaning given by section</w:t>
      </w:r>
      <w:r w:rsidR="00583E1A">
        <w:t> </w:t>
      </w:r>
      <w:r w:rsidRPr="00583E1A">
        <w:t>165</w:t>
      </w:r>
      <w:r w:rsidR="00583E1A">
        <w:noBreakHyphen/>
      </w:r>
      <w:r w:rsidRPr="00583E1A">
        <w:t>160.</w:t>
      </w:r>
    </w:p>
    <w:p w:rsidR="00887330" w:rsidRPr="00583E1A" w:rsidRDefault="00887330" w:rsidP="00887330">
      <w:pPr>
        <w:pStyle w:val="Definition"/>
      </w:pPr>
      <w:r w:rsidRPr="00583E1A">
        <w:rPr>
          <w:b/>
          <w:i/>
        </w:rPr>
        <w:t>more than 50% of the company’s dividends</w:t>
      </w:r>
      <w:r w:rsidRPr="00583E1A">
        <w:t xml:space="preserve"> has the meaning given by section</w:t>
      </w:r>
      <w:r w:rsidR="00583E1A">
        <w:t> </w:t>
      </w:r>
      <w:r w:rsidRPr="00583E1A">
        <w:t>165</w:t>
      </w:r>
      <w:r w:rsidR="00583E1A">
        <w:noBreakHyphen/>
      </w:r>
      <w:r w:rsidRPr="00583E1A">
        <w:t>155.</w:t>
      </w:r>
    </w:p>
    <w:p w:rsidR="00887330" w:rsidRPr="00583E1A" w:rsidRDefault="00887330" w:rsidP="00887330">
      <w:pPr>
        <w:pStyle w:val="Definition"/>
      </w:pPr>
      <w:r w:rsidRPr="00583E1A">
        <w:rPr>
          <w:b/>
          <w:i/>
        </w:rPr>
        <w:t>more than 50% of the voting power</w:t>
      </w:r>
      <w:r w:rsidRPr="00583E1A">
        <w:t xml:space="preserve"> has the meaning given by section</w:t>
      </w:r>
      <w:r w:rsidR="00583E1A">
        <w:t> </w:t>
      </w:r>
      <w:r w:rsidRPr="00583E1A">
        <w:t>165</w:t>
      </w:r>
      <w:r w:rsidR="00583E1A">
        <w:noBreakHyphen/>
      </w:r>
      <w:r w:rsidRPr="00583E1A">
        <w:t>150.</w:t>
      </w:r>
    </w:p>
    <w:p w:rsidR="00887330" w:rsidRPr="00583E1A" w:rsidRDefault="00887330" w:rsidP="00887330">
      <w:pPr>
        <w:pStyle w:val="Definition"/>
      </w:pPr>
      <w:r w:rsidRPr="00583E1A">
        <w:rPr>
          <w:b/>
          <w:i/>
        </w:rPr>
        <w:t>motor vehicle</w:t>
      </w:r>
      <w:r w:rsidRPr="00583E1A">
        <w:t xml:space="preserve"> means any motor</w:t>
      </w:r>
      <w:r w:rsidR="00583E1A">
        <w:noBreakHyphen/>
      </w:r>
      <w:r w:rsidRPr="00583E1A">
        <w:t>powered road vehicle (including a 4 wheel drive vehicle).</w:t>
      </w:r>
    </w:p>
    <w:p w:rsidR="00235E1B" w:rsidRPr="005E19E0" w:rsidRDefault="00235E1B" w:rsidP="00235E1B">
      <w:pPr>
        <w:pStyle w:val="Definition"/>
      </w:pPr>
      <w:r w:rsidRPr="005E19E0">
        <w:rPr>
          <w:b/>
          <w:i/>
        </w:rPr>
        <w:t xml:space="preserve">MRRT </w:t>
      </w:r>
      <w:r w:rsidRPr="005E19E0">
        <w:t>has the meaning given by section 300</w:t>
      </w:r>
      <w:r w:rsidRPr="005E19E0">
        <w:noBreakHyphen/>
        <w:t xml:space="preserve">1 of the </w:t>
      </w:r>
      <w:r w:rsidRPr="005E19E0">
        <w:rPr>
          <w:i/>
        </w:rPr>
        <w:t>Minerals Resource Rent Tax Act 201</w:t>
      </w:r>
      <w:r>
        <w:rPr>
          <w:i/>
        </w:rPr>
        <w:t>2</w:t>
      </w:r>
      <w:r w:rsidRPr="005E19E0">
        <w:t>.</w:t>
      </w:r>
    </w:p>
    <w:p w:rsidR="00235E1B" w:rsidRPr="005E19E0" w:rsidRDefault="00235E1B" w:rsidP="00235E1B">
      <w:pPr>
        <w:pStyle w:val="Definition"/>
      </w:pPr>
      <w:r w:rsidRPr="005E19E0">
        <w:rPr>
          <w:b/>
          <w:i/>
        </w:rPr>
        <w:t>MRRT allowance</w:t>
      </w:r>
      <w:r w:rsidRPr="005E19E0">
        <w:t xml:space="preserve"> has the meaning given by section 300</w:t>
      </w:r>
      <w:r w:rsidRPr="005E19E0">
        <w:noBreakHyphen/>
        <w:t xml:space="preserve">1 of the </w:t>
      </w:r>
      <w:r w:rsidRPr="005E19E0">
        <w:rPr>
          <w:i/>
        </w:rPr>
        <w:t>Minerals Resource Rent Tax Act 201</w:t>
      </w:r>
      <w:r>
        <w:rPr>
          <w:i/>
        </w:rPr>
        <w:t>2</w:t>
      </w:r>
      <w:r w:rsidRPr="005E19E0">
        <w:t>.</w:t>
      </w:r>
    </w:p>
    <w:p w:rsidR="00235E1B" w:rsidRPr="005E19E0" w:rsidRDefault="00235E1B" w:rsidP="00235E1B">
      <w:pPr>
        <w:pStyle w:val="Definition"/>
      </w:pPr>
      <w:r w:rsidRPr="005E19E0">
        <w:rPr>
          <w:b/>
          <w:i/>
        </w:rPr>
        <w:t xml:space="preserve">MRRT law </w:t>
      </w:r>
      <w:r w:rsidRPr="005E19E0">
        <w:t>has the meaning given by section 300</w:t>
      </w:r>
      <w:r w:rsidRPr="005E19E0">
        <w:noBreakHyphen/>
        <w:t xml:space="preserve">1 of the </w:t>
      </w:r>
      <w:r w:rsidRPr="005E19E0">
        <w:rPr>
          <w:i/>
        </w:rPr>
        <w:t>Minerals Resource Rent Tax Act 201</w:t>
      </w:r>
      <w:r>
        <w:rPr>
          <w:i/>
        </w:rPr>
        <w:t>2</w:t>
      </w:r>
      <w:r w:rsidRPr="005E19E0">
        <w:t>.</w:t>
      </w:r>
    </w:p>
    <w:p w:rsidR="006B393D" w:rsidRPr="005E19E0" w:rsidRDefault="006B393D" w:rsidP="006B393D">
      <w:pPr>
        <w:pStyle w:val="Definition"/>
      </w:pPr>
      <w:r w:rsidRPr="005E19E0">
        <w:rPr>
          <w:b/>
          <w:i/>
        </w:rPr>
        <w:t xml:space="preserve">MRRT liability </w:t>
      </w:r>
      <w:r w:rsidRPr="005E19E0">
        <w:t>has the meaning given by section 300</w:t>
      </w:r>
      <w:r w:rsidRPr="005E19E0">
        <w:noBreakHyphen/>
        <w:t xml:space="preserve">1 of the </w:t>
      </w:r>
      <w:r w:rsidRPr="005E19E0">
        <w:rPr>
          <w:i/>
        </w:rPr>
        <w:t>Minerals Resource Rent Tax Act 201</w:t>
      </w:r>
      <w:r>
        <w:rPr>
          <w:i/>
        </w:rPr>
        <w:t>2</w:t>
      </w:r>
      <w:r w:rsidRPr="005E19E0">
        <w:t>.</w:t>
      </w:r>
    </w:p>
    <w:p w:rsidR="00A716B2" w:rsidRPr="005E19E0" w:rsidRDefault="00A716B2" w:rsidP="00A716B2">
      <w:pPr>
        <w:pStyle w:val="Definition"/>
      </w:pPr>
      <w:r w:rsidRPr="005E19E0">
        <w:rPr>
          <w:b/>
          <w:i/>
        </w:rPr>
        <w:t>MRRT payable</w:t>
      </w:r>
      <w:r w:rsidRPr="005E19E0">
        <w:t xml:space="preserve">, by a </w:t>
      </w:r>
      <w:r w:rsidRPr="005E19E0">
        <w:rPr>
          <w:position w:val="6"/>
          <w:sz w:val="16"/>
        </w:rPr>
        <w:t>*</w:t>
      </w:r>
      <w:r w:rsidRPr="005E19E0">
        <w:t xml:space="preserve">miner for an </w:t>
      </w:r>
      <w:r w:rsidRPr="005E19E0">
        <w:rPr>
          <w:position w:val="6"/>
          <w:sz w:val="16"/>
        </w:rPr>
        <w:t>*</w:t>
      </w:r>
      <w:r w:rsidRPr="005E19E0">
        <w:t xml:space="preserve">MRRT year, means the sum of the </w:t>
      </w:r>
      <w:r w:rsidRPr="005E19E0">
        <w:rPr>
          <w:position w:val="6"/>
          <w:sz w:val="16"/>
        </w:rPr>
        <w:t>*</w:t>
      </w:r>
      <w:r w:rsidRPr="005E19E0">
        <w:t xml:space="preserve">MRRT liabilities for each </w:t>
      </w:r>
      <w:r w:rsidRPr="005E19E0">
        <w:rPr>
          <w:position w:val="6"/>
          <w:sz w:val="16"/>
        </w:rPr>
        <w:t>*</w:t>
      </w:r>
      <w:r w:rsidRPr="005E19E0">
        <w:t xml:space="preserve">mining project interest the miner has for that year, less the sum of any offsets the miner has for that year under Division 45 or 225 of the </w:t>
      </w:r>
      <w:r w:rsidRPr="005E19E0">
        <w:rPr>
          <w:i/>
        </w:rPr>
        <w:t>Minerals Resource Rent Tax Act 201</w:t>
      </w:r>
      <w:r>
        <w:rPr>
          <w:i/>
        </w:rPr>
        <w:t>2</w:t>
      </w:r>
      <w:r w:rsidRPr="005E19E0">
        <w:t>.</w:t>
      </w:r>
    </w:p>
    <w:p w:rsidR="00A716B2" w:rsidRPr="005E19E0" w:rsidRDefault="00A716B2" w:rsidP="00A716B2">
      <w:pPr>
        <w:pStyle w:val="Definition"/>
      </w:pPr>
      <w:r w:rsidRPr="005E19E0">
        <w:rPr>
          <w:b/>
          <w:i/>
        </w:rPr>
        <w:lastRenderedPageBreak/>
        <w:t>MRRT return</w:t>
      </w:r>
      <w:r w:rsidRPr="005E19E0">
        <w:t xml:space="preserve"> means a return of the kind referred to in Division 117 in Schedule 1 to the </w:t>
      </w:r>
      <w:r w:rsidRPr="005E19E0">
        <w:rPr>
          <w:i/>
        </w:rPr>
        <w:t>Taxation Administration Act 1953</w:t>
      </w:r>
      <w:r w:rsidRPr="005E19E0">
        <w:t>, that complies with all the require</w:t>
      </w:r>
      <w:r w:rsidRPr="005E19E0">
        <w:rPr>
          <w:lang w:eastAsia="en-US"/>
        </w:rPr>
        <w:t>ments of sections 117</w:t>
      </w:r>
      <w:r w:rsidRPr="005E19E0">
        <w:rPr>
          <w:lang w:eastAsia="en-US"/>
        </w:rPr>
        <w:noBreakHyphen/>
        <w:t>10 and 117</w:t>
      </w:r>
      <w:r w:rsidRPr="005E19E0">
        <w:rPr>
          <w:lang w:eastAsia="en-US"/>
        </w:rPr>
        <w:noBreakHyphen/>
        <w:t>25 (if applicable) in that Schedule and section 388</w:t>
      </w:r>
      <w:r w:rsidRPr="005E19E0">
        <w:rPr>
          <w:lang w:eastAsia="en-US"/>
        </w:rPr>
        <w:noBreakHyphen/>
        <w:t xml:space="preserve">75 </w:t>
      </w:r>
      <w:r w:rsidRPr="005E19E0">
        <w:t>in that Schedule.</w:t>
      </w:r>
    </w:p>
    <w:p w:rsidR="00A716B2" w:rsidRPr="005E19E0" w:rsidRDefault="00A716B2" w:rsidP="00A716B2">
      <w:pPr>
        <w:pStyle w:val="Definition"/>
      </w:pPr>
      <w:r w:rsidRPr="005E19E0">
        <w:rPr>
          <w:b/>
          <w:i/>
        </w:rPr>
        <w:t xml:space="preserve">MRRT year </w:t>
      </w:r>
      <w:r w:rsidRPr="005E19E0">
        <w:t>has the meaning given by section 300</w:t>
      </w:r>
      <w:r w:rsidRPr="005E19E0">
        <w:noBreakHyphen/>
        <w:t xml:space="preserve">1 of the </w:t>
      </w:r>
      <w:r w:rsidRPr="005E19E0">
        <w:rPr>
          <w:i/>
        </w:rPr>
        <w:t>Minerals Resource Rent Tax Act 201</w:t>
      </w:r>
      <w:r>
        <w:rPr>
          <w:i/>
        </w:rPr>
        <w:t>2</w:t>
      </w:r>
      <w:r w:rsidRPr="005E19E0">
        <w:t>.</w:t>
      </w:r>
    </w:p>
    <w:p w:rsidR="00887330" w:rsidRPr="00583E1A" w:rsidRDefault="00887330" w:rsidP="00887330">
      <w:pPr>
        <w:pStyle w:val="Definition"/>
      </w:pPr>
      <w:r w:rsidRPr="00583E1A">
        <w:rPr>
          <w:b/>
          <w:i/>
        </w:rPr>
        <w:t>multi</w:t>
      </w:r>
      <w:r w:rsidR="00583E1A">
        <w:rPr>
          <w:b/>
          <w:i/>
        </w:rPr>
        <w:noBreakHyphen/>
      </w:r>
      <w:r w:rsidRPr="00583E1A">
        <w:rPr>
          <w:b/>
          <w:i/>
        </w:rPr>
        <w:t>rate trustee</w:t>
      </w:r>
      <w:r w:rsidRPr="00583E1A">
        <w:t xml:space="preserve"> has the meaning given by section</w:t>
      </w:r>
      <w:r w:rsidR="00583E1A">
        <w:t> </w:t>
      </w:r>
      <w:r w:rsidRPr="00583E1A">
        <w:t>45</w:t>
      </w:r>
      <w:r w:rsidR="00583E1A">
        <w:noBreakHyphen/>
      </w:r>
      <w:r w:rsidRPr="00583E1A">
        <w:t>455 in Schedule</w:t>
      </w:r>
      <w:r w:rsidR="00583E1A">
        <w:t> </w:t>
      </w:r>
      <w:r w:rsidRPr="00583E1A">
        <w:t xml:space="preserve">1 to the </w:t>
      </w:r>
      <w:r w:rsidRPr="00583E1A">
        <w:rPr>
          <w:i/>
        </w:rPr>
        <w:t>Taxation Administration Act 1953</w:t>
      </w:r>
      <w:r w:rsidRPr="00583E1A">
        <w:t>.</w:t>
      </w:r>
    </w:p>
    <w:p w:rsidR="00887330" w:rsidRPr="00583E1A" w:rsidRDefault="00887330" w:rsidP="00887330">
      <w:pPr>
        <w:pStyle w:val="Definition"/>
        <w:rPr>
          <w:b/>
          <w:i/>
        </w:rPr>
      </w:pPr>
      <w:r w:rsidRPr="00583E1A">
        <w:rPr>
          <w:b/>
          <w:i/>
        </w:rPr>
        <w:t>mutual affiliate company</w:t>
      </w:r>
      <w:r w:rsidRPr="00583E1A">
        <w:t xml:space="preserve"> has the meaning given by section</w:t>
      </w:r>
      <w:r w:rsidR="00583E1A">
        <w:t> </w:t>
      </w:r>
      <w:r w:rsidRPr="00583E1A">
        <w:t xml:space="preserve">121AC of the </w:t>
      </w:r>
      <w:r w:rsidRPr="00583E1A">
        <w:rPr>
          <w:i/>
        </w:rPr>
        <w:t>Income Tax Assessment Act 1936</w:t>
      </w:r>
      <w:r w:rsidRPr="00583E1A">
        <w:t>.</w:t>
      </w:r>
    </w:p>
    <w:p w:rsidR="00887330" w:rsidRPr="00583E1A" w:rsidRDefault="00887330" w:rsidP="00887330">
      <w:pPr>
        <w:pStyle w:val="Definition"/>
        <w:rPr>
          <w:b/>
          <w:i/>
        </w:rPr>
      </w:pPr>
      <w:r w:rsidRPr="00583E1A">
        <w:rPr>
          <w:b/>
          <w:i/>
        </w:rPr>
        <w:t>mutual insurance company</w:t>
      </w:r>
      <w:r w:rsidRPr="00583E1A">
        <w:t xml:space="preserve"> has the meaning given by section</w:t>
      </w:r>
      <w:r w:rsidR="00583E1A">
        <w:t> </w:t>
      </w:r>
      <w:r w:rsidRPr="00583E1A">
        <w:t xml:space="preserve">121AB of the </w:t>
      </w:r>
      <w:r w:rsidRPr="00583E1A">
        <w:rPr>
          <w:i/>
        </w:rPr>
        <w:t>Income Tax Assessment Act 1936</w:t>
      </w:r>
      <w:r w:rsidRPr="00583E1A">
        <w:t>.</w:t>
      </w:r>
    </w:p>
    <w:p w:rsidR="00DE7415" w:rsidRPr="00583E1A" w:rsidRDefault="00DE7415" w:rsidP="00DE7415">
      <w:pPr>
        <w:pStyle w:val="Definition"/>
      </w:pPr>
      <w:r w:rsidRPr="00583E1A">
        <w:rPr>
          <w:b/>
          <w:i/>
        </w:rPr>
        <w:t>National Rental Affordability Scheme</w:t>
      </w:r>
      <w:r w:rsidRPr="00583E1A">
        <w:t xml:space="preserve"> has the same meaning as in the </w:t>
      </w:r>
      <w:r w:rsidRPr="00583E1A">
        <w:rPr>
          <w:i/>
        </w:rPr>
        <w:t>National Rental Affordability Scheme Act 2008</w:t>
      </w:r>
      <w:r w:rsidRPr="00583E1A">
        <w:t>.</w:t>
      </w:r>
    </w:p>
    <w:p w:rsidR="00887330" w:rsidRPr="00583E1A" w:rsidRDefault="00887330" w:rsidP="00887330">
      <w:pPr>
        <w:pStyle w:val="Definition"/>
      </w:pPr>
      <w:r w:rsidRPr="00583E1A">
        <w:rPr>
          <w:b/>
          <w:i/>
        </w:rPr>
        <w:t>natural resource</w:t>
      </w:r>
      <w:r w:rsidRPr="00583E1A">
        <w:t xml:space="preserve"> has the meaning given by section</w:t>
      </w:r>
      <w:r w:rsidR="00583E1A">
        <w:t> </w:t>
      </w:r>
      <w:r w:rsidRPr="00583E1A">
        <w:t xml:space="preserve">6 of the </w:t>
      </w:r>
      <w:r w:rsidRPr="00583E1A">
        <w:rPr>
          <w:i/>
        </w:rPr>
        <w:t>Income Tax Assessment Act 1936.</w:t>
      </w:r>
    </w:p>
    <w:p w:rsidR="000529E7" w:rsidRPr="00583E1A" w:rsidRDefault="000529E7" w:rsidP="000529E7">
      <w:pPr>
        <w:pStyle w:val="Definition"/>
      </w:pPr>
      <w:r w:rsidRPr="00583E1A">
        <w:rPr>
          <w:b/>
          <w:i/>
        </w:rPr>
        <w:t>natural resource</w:t>
      </w:r>
      <w:r w:rsidRPr="00583E1A">
        <w:t xml:space="preserve"> means </w:t>
      </w:r>
      <w:r w:rsidR="00E4031D" w:rsidRPr="004C09C4">
        <w:rPr>
          <w:position w:val="6"/>
          <w:sz w:val="16"/>
        </w:rPr>
        <w:t>*</w:t>
      </w:r>
      <w:r w:rsidR="00E4031D" w:rsidRPr="004C09C4">
        <w:t>minerals</w:t>
      </w:r>
      <w:r w:rsidRPr="00583E1A">
        <w:t xml:space="preserve"> or any other non</w:t>
      </w:r>
      <w:r w:rsidR="00583E1A">
        <w:noBreakHyphen/>
      </w:r>
      <w:r w:rsidRPr="00583E1A">
        <w:t>living resource of the land, sea</w:t>
      </w:r>
      <w:r w:rsidR="00583E1A">
        <w:noBreakHyphen/>
      </w:r>
      <w:r w:rsidRPr="00583E1A">
        <w:t>bed or sea.</w:t>
      </w:r>
    </w:p>
    <w:p w:rsidR="00887330" w:rsidRPr="00583E1A" w:rsidRDefault="00887330" w:rsidP="00887330">
      <w:pPr>
        <w:pStyle w:val="Definition"/>
      </w:pPr>
      <w:r w:rsidRPr="00583E1A">
        <w:rPr>
          <w:b/>
          <w:i/>
        </w:rPr>
        <w:t>net amount</w:t>
      </w:r>
      <w:r w:rsidRPr="00583E1A">
        <w:t xml:space="preserve"> has the same meaning as in section</w:t>
      </w:r>
      <w:r w:rsidR="00583E1A">
        <w:t> </w:t>
      </w:r>
      <w:r w:rsidRPr="00583E1A">
        <w:t>195</w:t>
      </w:r>
      <w:r w:rsidR="00583E1A">
        <w:rPr>
          <w:snapToGrid w:val="0"/>
        </w:rPr>
        <w:noBreakHyphen/>
      </w:r>
      <w:r w:rsidRPr="00583E1A">
        <w:rPr>
          <w:snapToGrid w:val="0"/>
        </w:rPr>
        <w:t xml:space="preserve">1 of the </w:t>
      </w:r>
      <w:r w:rsidR="00583E1A" w:rsidRPr="00583E1A">
        <w:rPr>
          <w:snapToGrid w:val="0"/>
          <w:position w:val="6"/>
          <w:sz w:val="16"/>
        </w:rPr>
        <w:t>*</w:t>
      </w:r>
      <w:r w:rsidRPr="00583E1A">
        <w:rPr>
          <w:snapToGrid w:val="0"/>
        </w:rPr>
        <w:t>GST Act.</w:t>
      </w:r>
    </w:p>
    <w:p w:rsidR="00A834C4" w:rsidRDefault="00A834C4" w:rsidP="00A834C4">
      <w:pPr>
        <w:pStyle w:val="Definition"/>
      </w:pPr>
      <w:r>
        <w:rPr>
          <w:b/>
          <w:i/>
        </w:rPr>
        <w:t>net assessable film income</w:t>
      </w:r>
      <w:r>
        <w:t xml:space="preserve"> for an income year is your </w:t>
      </w:r>
      <w:r>
        <w:rPr>
          <w:position w:val="6"/>
          <w:sz w:val="16"/>
        </w:rPr>
        <w:t>*</w:t>
      </w:r>
      <w:r>
        <w:t xml:space="preserve">assessable film income for that year reduced by your </w:t>
      </w:r>
      <w:r>
        <w:rPr>
          <w:position w:val="6"/>
          <w:sz w:val="16"/>
        </w:rPr>
        <w:t>*</w:t>
      </w:r>
      <w:r>
        <w:t>film deductions for that year.</w:t>
      </w:r>
    </w:p>
    <w:p w:rsidR="00887330" w:rsidRPr="00583E1A" w:rsidRDefault="00887330" w:rsidP="00887330">
      <w:pPr>
        <w:pStyle w:val="Definition"/>
      </w:pPr>
      <w:r w:rsidRPr="00583E1A">
        <w:rPr>
          <w:b/>
          <w:i/>
        </w:rPr>
        <w:t>net asset amount</w:t>
      </w:r>
      <w:r w:rsidRPr="00583E1A">
        <w:t xml:space="preserve"> has the meaning given by section</w:t>
      </w:r>
      <w:r w:rsidR="00583E1A">
        <w:t> </w:t>
      </w:r>
      <w:r w:rsidRPr="00583E1A">
        <w:t>104</w:t>
      </w:r>
      <w:r w:rsidR="00583E1A">
        <w:noBreakHyphen/>
      </w:r>
      <w:r w:rsidRPr="00583E1A">
        <w:t>95.</w:t>
      </w:r>
    </w:p>
    <w:p w:rsidR="00887330" w:rsidRPr="00583E1A" w:rsidRDefault="00887330" w:rsidP="00887330">
      <w:pPr>
        <w:pStyle w:val="Definition"/>
      </w:pPr>
      <w:r w:rsidRPr="00583E1A">
        <w:rPr>
          <w:b/>
          <w:i/>
        </w:rPr>
        <w:t>net capital gain</w:t>
      </w:r>
      <w:r w:rsidRPr="00583E1A">
        <w:t xml:space="preserve"> has the meaning given by sections</w:t>
      </w:r>
      <w:r w:rsidR="00583E1A">
        <w:t> </w:t>
      </w:r>
      <w:r w:rsidRPr="00583E1A">
        <w:t>102</w:t>
      </w:r>
      <w:r w:rsidR="00583E1A">
        <w:noBreakHyphen/>
      </w:r>
      <w:r w:rsidRPr="00583E1A">
        <w:t>5 and 165</w:t>
      </w:r>
      <w:r w:rsidR="00583E1A">
        <w:noBreakHyphen/>
      </w:r>
      <w:r w:rsidRPr="00583E1A">
        <w:t>111.</w:t>
      </w:r>
    </w:p>
    <w:p w:rsidR="00887330" w:rsidRPr="00583E1A" w:rsidRDefault="00887330" w:rsidP="00887330">
      <w:pPr>
        <w:pStyle w:val="notetext"/>
        <w:tabs>
          <w:tab w:val="left" w:pos="2268"/>
          <w:tab w:val="left" w:pos="3402"/>
          <w:tab w:val="left" w:pos="4536"/>
          <w:tab w:val="left" w:pos="5670"/>
          <w:tab w:val="left" w:pos="6804"/>
        </w:tabs>
      </w:pPr>
      <w:r w:rsidRPr="00583E1A">
        <w:t>Note:</w:t>
      </w:r>
      <w:r w:rsidRPr="00583E1A">
        <w:tab/>
        <w:t>For income years before 1998</w:t>
      </w:r>
      <w:r w:rsidR="00583E1A">
        <w:noBreakHyphen/>
      </w:r>
      <w:r w:rsidRPr="00583E1A">
        <w:t xml:space="preserve">99, </w:t>
      </w:r>
      <w:r w:rsidRPr="00583E1A">
        <w:rPr>
          <w:b/>
          <w:i/>
        </w:rPr>
        <w:t>net capital gain</w:t>
      </w:r>
      <w:r w:rsidRPr="00583E1A">
        <w:t xml:space="preserve"> has the meaning given by section</w:t>
      </w:r>
      <w:r w:rsidR="00583E1A">
        <w:t> </w:t>
      </w:r>
      <w:r w:rsidRPr="00583E1A">
        <w:t>102</w:t>
      </w:r>
      <w:r w:rsidR="00583E1A">
        <w:noBreakHyphen/>
      </w:r>
      <w:r w:rsidRPr="00583E1A">
        <w:t xml:space="preserve">20 of the </w:t>
      </w:r>
      <w:r w:rsidRPr="00583E1A">
        <w:rPr>
          <w:i/>
        </w:rPr>
        <w:t>Income Tax (Transitional Provisions) Act 1997</w:t>
      </w:r>
      <w:r w:rsidRPr="00583E1A">
        <w:t>.</w:t>
      </w:r>
    </w:p>
    <w:p w:rsidR="00887330" w:rsidRPr="00583E1A" w:rsidRDefault="00887330" w:rsidP="00887330">
      <w:pPr>
        <w:pStyle w:val="Definition"/>
      </w:pPr>
      <w:r w:rsidRPr="00583E1A">
        <w:rPr>
          <w:b/>
          <w:i/>
        </w:rPr>
        <w:lastRenderedPageBreak/>
        <w:t>net capital loss</w:t>
      </w:r>
      <w:r w:rsidRPr="00583E1A">
        <w:t xml:space="preserve"> has the meaning given by sections</w:t>
      </w:r>
      <w:r w:rsidR="00583E1A">
        <w:t> </w:t>
      </w:r>
      <w:r w:rsidRPr="00583E1A">
        <w:t>102</w:t>
      </w:r>
      <w:r w:rsidR="00583E1A">
        <w:noBreakHyphen/>
      </w:r>
      <w:r w:rsidRPr="00583E1A">
        <w:t>10 and 165</w:t>
      </w:r>
      <w:r w:rsidR="00583E1A">
        <w:noBreakHyphen/>
      </w:r>
      <w:r w:rsidRPr="00583E1A">
        <w:t>114 and affected by section</w:t>
      </w:r>
      <w:r w:rsidR="00583E1A">
        <w:t> </w:t>
      </w:r>
      <w:r w:rsidRPr="00583E1A">
        <w:t>701</w:t>
      </w:r>
      <w:r w:rsidR="00583E1A">
        <w:noBreakHyphen/>
      </w:r>
      <w:r w:rsidRPr="00583E1A">
        <w:t>30.</w:t>
      </w:r>
    </w:p>
    <w:p w:rsidR="00887330" w:rsidRPr="00583E1A" w:rsidRDefault="00887330" w:rsidP="00887330">
      <w:pPr>
        <w:pStyle w:val="Definition"/>
      </w:pPr>
      <w:r w:rsidRPr="00583E1A">
        <w:rPr>
          <w:b/>
          <w:i/>
        </w:rPr>
        <w:t>net current termination value</w:t>
      </w:r>
      <w:r w:rsidRPr="00583E1A">
        <w:t xml:space="preserve"> of a </w:t>
      </w:r>
      <w:r w:rsidR="00583E1A" w:rsidRPr="00583E1A">
        <w:rPr>
          <w:position w:val="6"/>
          <w:sz w:val="16"/>
        </w:rPr>
        <w:t>*</w:t>
      </w:r>
      <w:r w:rsidRPr="00583E1A">
        <w:t xml:space="preserve">life insurance policy means so much of the </w:t>
      </w:r>
      <w:r w:rsidR="00583E1A" w:rsidRPr="00583E1A">
        <w:rPr>
          <w:position w:val="6"/>
          <w:sz w:val="16"/>
        </w:rPr>
        <w:t>*</w:t>
      </w:r>
      <w:r w:rsidRPr="00583E1A">
        <w:t xml:space="preserve">current termination value of the policy as relates to the part of the policy that is not reinsured under a </w:t>
      </w:r>
      <w:r w:rsidR="00583E1A" w:rsidRPr="00583E1A">
        <w:rPr>
          <w:position w:val="6"/>
          <w:sz w:val="16"/>
        </w:rPr>
        <w:t>*</w:t>
      </w:r>
      <w:r w:rsidRPr="00583E1A">
        <w:t>contract of reinsurance.</w:t>
      </w:r>
    </w:p>
    <w:p w:rsidR="00A834C4" w:rsidRDefault="00A834C4" w:rsidP="00A834C4">
      <w:pPr>
        <w:pStyle w:val="Definition"/>
      </w:pPr>
      <w:r>
        <w:rPr>
          <w:b/>
          <w:i/>
        </w:rPr>
        <w:t>net exempt film income</w:t>
      </w:r>
      <w:r>
        <w:t xml:space="preserve"> for an income year is your </w:t>
      </w:r>
      <w:r>
        <w:rPr>
          <w:position w:val="6"/>
          <w:sz w:val="16"/>
        </w:rPr>
        <w:t>*</w:t>
      </w:r>
      <w:r>
        <w:t>exempt film income for that year reduced by:</w:t>
      </w:r>
    </w:p>
    <w:p w:rsidR="00A834C4" w:rsidRDefault="00A834C4" w:rsidP="00A834C4">
      <w:pPr>
        <w:pStyle w:val="paragraph"/>
      </w:pPr>
      <w:r>
        <w:tab/>
        <w:t>(a)</w:t>
      </w:r>
      <w:r>
        <w:tab/>
        <w:t>any taxes payable in respect of that income in a country or place outside Australia; and</w:t>
      </w:r>
    </w:p>
    <w:p w:rsidR="00A834C4" w:rsidRDefault="00A834C4" w:rsidP="00A834C4">
      <w:pPr>
        <w:pStyle w:val="paragraph"/>
      </w:pPr>
      <w:r>
        <w:tab/>
        <w:t>(b)</w:t>
      </w:r>
      <w:r>
        <w:tab/>
        <w:t>any expenses (not of a capital nature) so far as you incurred them during that year in deriving that income.</w:t>
      </w:r>
    </w:p>
    <w:p w:rsidR="00887330" w:rsidRPr="00583E1A" w:rsidRDefault="00887330" w:rsidP="00887330">
      <w:pPr>
        <w:pStyle w:val="Definition"/>
      </w:pPr>
      <w:r w:rsidRPr="00583E1A">
        <w:rPr>
          <w:b/>
          <w:i/>
        </w:rPr>
        <w:t>net exempt income</w:t>
      </w:r>
      <w:r w:rsidRPr="00583E1A">
        <w:t xml:space="preserve"> has the meaning given by section</w:t>
      </w:r>
      <w:r w:rsidR="00583E1A">
        <w:t> </w:t>
      </w:r>
      <w:r w:rsidRPr="00583E1A">
        <w:t>36</w:t>
      </w:r>
      <w:r w:rsidR="00583E1A">
        <w:noBreakHyphen/>
      </w:r>
      <w:r w:rsidRPr="00583E1A">
        <w:t>20.</w:t>
      </w:r>
    </w:p>
    <w:p w:rsidR="00A85C22" w:rsidRPr="00214FF7" w:rsidRDefault="00A85C22" w:rsidP="00A85C22">
      <w:pPr>
        <w:pStyle w:val="Definition"/>
      </w:pPr>
      <w:r w:rsidRPr="00214FF7">
        <w:rPr>
          <w:b/>
          <w:i/>
        </w:rPr>
        <w:t>net forgiven amount</w:t>
      </w:r>
      <w:r w:rsidRPr="00214FF7">
        <w:t>, of a debt, has the meaning given by sections 245</w:t>
      </w:r>
      <w:r w:rsidRPr="00214FF7">
        <w:noBreakHyphen/>
        <w:t>85 and 245</w:t>
      </w:r>
      <w:r w:rsidRPr="00214FF7">
        <w:noBreakHyphen/>
        <w:t>90.</w:t>
      </w:r>
    </w:p>
    <w:p w:rsidR="00887330" w:rsidRPr="00583E1A" w:rsidRDefault="00887330" w:rsidP="00887330">
      <w:pPr>
        <w:pStyle w:val="Definition"/>
      </w:pPr>
      <w:r w:rsidRPr="00583E1A">
        <w:rPr>
          <w:b/>
          <w:i/>
        </w:rPr>
        <w:t>net fuel amount</w:t>
      </w:r>
      <w:r w:rsidRPr="00583E1A">
        <w:t xml:space="preserve"> has the meaning given by section</w:t>
      </w:r>
      <w:r w:rsidR="00583E1A">
        <w:t> </w:t>
      </w:r>
      <w:r w:rsidRPr="00583E1A">
        <w:t>60</w:t>
      </w:r>
      <w:r w:rsidR="00583E1A">
        <w:noBreakHyphen/>
      </w:r>
      <w:r w:rsidRPr="00583E1A">
        <w:t xml:space="preserve">5 of the </w:t>
      </w:r>
      <w:r w:rsidRPr="00583E1A">
        <w:rPr>
          <w:i/>
        </w:rPr>
        <w:t>Fuel Tax Act 2006</w:t>
      </w:r>
      <w:r w:rsidRPr="00583E1A">
        <w:t>.</w:t>
      </w:r>
    </w:p>
    <w:p w:rsidR="00887330" w:rsidRPr="00583E1A" w:rsidRDefault="00887330" w:rsidP="00A756C6">
      <w:pPr>
        <w:pStyle w:val="Definition"/>
        <w:keepNext/>
        <w:keepLines/>
      </w:pPr>
      <w:r w:rsidRPr="00583E1A">
        <w:rPr>
          <w:b/>
          <w:i/>
        </w:rPr>
        <w:t>net GST</w:t>
      </w:r>
      <w:r w:rsidRPr="00583E1A">
        <w:t xml:space="preserve">: Your </w:t>
      </w:r>
      <w:r w:rsidRPr="00583E1A">
        <w:rPr>
          <w:b/>
          <w:i/>
        </w:rPr>
        <w:t>net GST</w:t>
      </w:r>
      <w:r w:rsidRPr="00583E1A">
        <w:t xml:space="preserve"> for a </w:t>
      </w:r>
      <w:r w:rsidR="00583E1A" w:rsidRPr="00583E1A">
        <w:rPr>
          <w:position w:val="6"/>
          <w:sz w:val="16"/>
        </w:rPr>
        <w:t>*</w:t>
      </w:r>
      <w:r w:rsidRPr="00583E1A">
        <w:t>supply, is:</w:t>
      </w:r>
    </w:p>
    <w:p w:rsidR="00887330" w:rsidRPr="00583E1A" w:rsidRDefault="00887330" w:rsidP="00A756C6">
      <w:pPr>
        <w:pStyle w:val="paragraph"/>
        <w:keepNext/>
        <w:keepLines/>
      </w:pPr>
      <w:r w:rsidRPr="00583E1A">
        <w:tab/>
        <w:t>(a)</w:t>
      </w:r>
      <w:r w:rsidRPr="00583E1A">
        <w:tab/>
        <w:t xml:space="preserve">the </w:t>
      </w:r>
      <w:r w:rsidR="00583E1A" w:rsidRPr="00583E1A">
        <w:rPr>
          <w:position w:val="6"/>
          <w:sz w:val="16"/>
        </w:rPr>
        <w:t>*</w:t>
      </w:r>
      <w:r w:rsidRPr="00583E1A">
        <w:t>GST payable by you on the supply; plus</w:t>
      </w:r>
    </w:p>
    <w:p w:rsidR="00887330" w:rsidRPr="00583E1A" w:rsidRDefault="00887330" w:rsidP="00887330">
      <w:pPr>
        <w:pStyle w:val="paragraph"/>
      </w:pPr>
      <w:r w:rsidRPr="00583E1A">
        <w:tab/>
        <w:t>(b)</w:t>
      </w:r>
      <w:r w:rsidRPr="00583E1A">
        <w:tab/>
        <w:t xml:space="preserve">the sum of any </w:t>
      </w:r>
      <w:r w:rsidR="00583E1A" w:rsidRPr="00583E1A">
        <w:rPr>
          <w:position w:val="6"/>
          <w:sz w:val="16"/>
        </w:rPr>
        <w:t>*</w:t>
      </w:r>
      <w:r w:rsidRPr="00583E1A">
        <w:t>increasing adjustments that you have relating to the supply; minus</w:t>
      </w:r>
    </w:p>
    <w:p w:rsidR="00887330" w:rsidRPr="00583E1A" w:rsidRDefault="00887330" w:rsidP="00887330">
      <w:pPr>
        <w:pStyle w:val="paragraph"/>
      </w:pPr>
      <w:r w:rsidRPr="00583E1A">
        <w:tab/>
        <w:t>(c)</w:t>
      </w:r>
      <w:r w:rsidRPr="00583E1A">
        <w:tab/>
        <w:t xml:space="preserve">the sum of any </w:t>
      </w:r>
      <w:r w:rsidR="00583E1A" w:rsidRPr="00583E1A">
        <w:rPr>
          <w:position w:val="6"/>
          <w:sz w:val="16"/>
        </w:rPr>
        <w:t>*</w:t>
      </w:r>
      <w:r w:rsidRPr="00583E1A">
        <w:t>decreasing adjustments that you have relating to the supply.</w:t>
      </w:r>
    </w:p>
    <w:p w:rsidR="00887330" w:rsidRPr="00583E1A" w:rsidRDefault="00887330" w:rsidP="006800B4">
      <w:pPr>
        <w:pStyle w:val="Definition"/>
        <w:keepNext/>
      </w:pPr>
      <w:r w:rsidRPr="00583E1A">
        <w:rPr>
          <w:b/>
          <w:i/>
        </w:rPr>
        <w:t>net income</w:t>
      </w:r>
      <w:r w:rsidRPr="00583E1A">
        <w:t>:</w:t>
      </w:r>
    </w:p>
    <w:p w:rsidR="00887330" w:rsidRPr="00583E1A" w:rsidRDefault="00887330" w:rsidP="006800B4">
      <w:pPr>
        <w:pStyle w:val="paragraph"/>
        <w:keepNext/>
      </w:pPr>
      <w:r w:rsidRPr="00583E1A">
        <w:tab/>
        <w:t>(a)</w:t>
      </w:r>
      <w:r w:rsidRPr="00583E1A">
        <w:tab/>
        <w:t>of a partnership—has the same meaning as in Division</w:t>
      </w:r>
      <w:r w:rsidR="00583E1A">
        <w:t> </w:t>
      </w:r>
      <w:r w:rsidRPr="00583E1A">
        <w:t>5 of Part</w:t>
      </w:r>
      <w:r w:rsidR="00583E1A">
        <w:t> </w:t>
      </w:r>
      <w:r w:rsidRPr="00583E1A">
        <w:t xml:space="preserve">III of the </w:t>
      </w:r>
      <w:r w:rsidRPr="00583E1A">
        <w:rPr>
          <w:i/>
        </w:rPr>
        <w:t>Income Tax Assessment Act</w:t>
      </w:r>
      <w:r w:rsidRPr="00583E1A">
        <w:t xml:space="preserve"> </w:t>
      </w:r>
      <w:r w:rsidRPr="00583E1A">
        <w:rPr>
          <w:i/>
        </w:rPr>
        <w:t>1936</w:t>
      </w:r>
      <w:r w:rsidRPr="00583E1A">
        <w:t>; and</w:t>
      </w:r>
    </w:p>
    <w:p w:rsidR="00887330" w:rsidRPr="00583E1A" w:rsidRDefault="00887330" w:rsidP="00887330">
      <w:pPr>
        <w:pStyle w:val="paragraph"/>
      </w:pPr>
      <w:r w:rsidRPr="00583E1A">
        <w:tab/>
        <w:t>(b)</w:t>
      </w:r>
      <w:r w:rsidRPr="00583E1A">
        <w:tab/>
        <w:t>of a trust—has the same meaning as in Division</w:t>
      </w:r>
      <w:r w:rsidR="00583E1A">
        <w:t> </w:t>
      </w:r>
      <w:r w:rsidRPr="00583E1A">
        <w:t>6 of Part</w:t>
      </w:r>
      <w:r w:rsidR="00583E1A">
        <w:t> </w:t>
      </w:r>
      <w:r w:rsidRPr="00583E1A">
        <w:t>III of that Act.</w:t>
      </w:r>
    </w:p>
    <w:p w:rsidR="00887330" w:rsidRPr="00583E1A" w:rsidRDefault="00887330" w:rsidP="00887330">
      <w:pPr>
        <w:pStyle w:val="Definition"/>
      </w:pPr>
      <w:r w:rsidRPr="00583E1A">
        <w:rPr>
          <w:b/>
          <w:i/>
        </w:rPr>
        <w:t>net income from working</w:t>
      </w:r>
      <w:r w:rsidRPr="00583E1A">
        <w:t xml:space="preserve"> has the meaning given by section</w:t>
      </w:r>
      <w:r w:rsidR="00583E1A">
        <w:t> </w:t>
      </w:r>
      <w:r w:rsidRPr="00583E1A">
        <w:t>61</w:t>
      </w:r>
      <w:r w:rsidR="00583E1A">
        <w:noBreakHyphen/>
      </w:r>
      <w:r w:rsidRPr="00583E1A">
        <w:t>570.</w:t>
      </w:r>
    </w:p>
    <w:p w:rsidR="00887330" w:rsidRPr="00583E1A" w:rsidRDefault="00887330" w:rsidP="00887330">
      <w:pPr>
        <w:pStyle w:val="Definition"/>
      </w:pPr>
      <w:r w:rsidRPr="00583E1A">
        <w:rPr>
          <w:b/>
          <w:i/>
        </w:rPr>
        <w:t>net input tax credit</w:t>
      </w:r>
      <w:r w:rsidRPr="00583E1A">
        <w:t xml:space="preserve">: Your </w:t>
      </w:r>
      <w:r w:rsidRPr="00583E1A">
        <w:rPr>
          <w:b/>
          <w:i/>
        </w:rPr>
        <w:t>net input tax credit</w:t>
      </w:r>
      <w:r w:rsidRPr="00583E1A">
        <w:t xml:space="preserve"> for an </w:t>
      </w:r>
      <w:r w:rsidR="00583E1A" w:rsidRPr="00583E1A">
        <w:rPr>
          <w:position w:val="6"/>
          <w:sz w:val="16"/>
        </w:rPr>
        <w:t>*</w:t>
      </w:r>
      <w:r w:rsidRPr="00583E1A">
        <w:t xml:space="preserve">acquisition or </w:t>
      </w:r>
      <w:r w:rsidR="00583E1A" w:rsidRPr="00583E1A">
        <w:rPr>
          <w:position w:val="6"/>
          <w:sz w:val="16"/>
        </w:rPr>
        <w:t>*</w:t>
      </w:r>
      <w:r w:rsidRPr="00583E1A">
        <w:t>importation is:</w:t>
      </w:r>
    </w:p>
    <w:p w:rsidR="00887330" w:rsidRPr="00583E1A" w:rsidRDefault="00887330" w:rsidP="00887330">
      <w:pPr>
        <w:pStyle w:val="paragraph"/>
      </w:pPr>
      <w:r w:rsidRPr="00583E1A">
        <w:lastRenderedPageBreak/>
        <w:tab/>
        <w:t>(a)</w:t>
      </w:r>
      <w:r w:rsidRPr="00583E1A">
        <w:tab/>
        <w:t xml:space="preserve">the amount of any </w:t>
      </w:r>
      <w:r w:rsidR="00583E1A" w:rsidRPr="00583E1A">
        <w:rPr>
          <w:position w:val="6"/>
          <w:sz w:val="16"/>
        </w:rPr>
        <w:t>*</w:t>
      </w:r>
      <w:r w:rsidRPr="00583E1A">
        <w:t xml:space="preserve">input tax credit to which you are entitled for the acquisition or </w:t>
      </w:r>
      <w:r w:rsidR="00583E1A" w:rsidRPr="00583E1A">
        <w:rPr>
          <w:position w:val="6"/>
          <w:sz w:val="16"/>
        </w:rPr>
        <w:t>*</w:t>
      </w:r>
      <w:r w:rsidRPr="00583E1A">
        <w:t>importation; minus</w:t>
      </w:r>
    </w:p>
    <w:p w:rsidR="00887330" w:rsidRPr="00583E1A" w:rsidRDefault="00887330" w:rsidP="00887330">
      <w:pPr>
        <w:pStyle w:val="paragraph"/>
      </w:pPr>
      <w:r w:rsidRPr="00583E1A">
        <w:tab/>
        <w:t>(b)</w:t>
      </w:r>
      <w:r w:rsidRPr="00583E1A">
        <w:tab/>
        <w:t xml:space="preserve">the sum of any </w:t>
      </w:r>
      <w:r w:rsidR="00583E1A" w:rsidRPr="00583E1A">
        <w:rPr>
          <w:position w:val="6"/>
          <w:sz w:val="16"/>
        </w:rPr>
        <w:t>*</w:t>
      </w:r>
      <w:r w:rsidRPr="00583E1A">
        <w:t xml:space="preserve">increasing adjustments that you have relating to the acquisition or </w:t>
      </w:r>
      <w:r w:rsidR="00583E1A" w:rsidRPr="00583E1A">
        <w:rPr>
          <w:position w:val="6"/>
          <w:sz w:val="16"/>
        </w:rPr>
        <w:t>*</w:t>
      </w:r>
      <w:r w:rsidRPr="00583E1A">
        <w:t>importation; plus</w:t>
      </w:r>
    </w:p>
    <w:p w:rsidR="00887330" w:rsidRPr="00583E1A" w:rsidRDefault="00887330" w:rsidP="00887330">
      <w:pPr>
        <w:pStyle w:val="paragraph"/>
      </w:pPr>
      <w:r w:rsidRPr="00583E1A">
        <w:tab/>
        <w:t>(c)</w:t>
      </w:r>
      <w:r w:rsidRPr="00583E1A">
        <w:tab/>
        <w:t xml:space="preserve">the sum of any </w:t>
      </w:r>
      <w:r w:rsidR="00583E1A" w:rsidRPr="00583E1A">
        <w:rPr>
          <w:position w:val="6"/>
          <w:sz w:val="16"/>
        </w:rPr>
        <w:t>*</w:t>
      </w:r>
      <w:r w:rsidRPr="00583E1A">
        <w:t xml:space="preserve">decreasing adjustments that you have relating to the acquisition or </w:t>
      </w:r>
      <w:r w:rsidR="00583E1A" w:rsidRPr="00583E1A">
        <w:rPr>
          <w:position w:val="6"/>
          <w:sz w:val="16"/>
        </w:rPr>
        <w:t>*</w:t>
      </w:r>
      <w:r w:rsidRPr="00583E1A">
        <w:t>importation.</w:t>
      </w:r>
    </w:p>
    <w:p w:rsidR="00887330" w:rsidRPr="00583E1A" w:rsidRDefault="00887330" w:rsidP="00887330">
      <w:pPr>
        <w:pStyle w:val="Definition"/>
      </w:pPr>
      <w:r w:rsidRPr="00583E1A">
        <w:rPr>
          <w:b/>
          <w:i/>
        </w:rPr>
        <w:t>net investment component of ordinary life insurance policies</w:t>
      </w:r>
      <w:r w:rsidRPr="00583E1A">
        <w:t xml:space="preserve"> has the meaning given by subsection 713</w:t>
      </w:r>
      <w:r w:rsidR="00583E1A">
        <w:noBreakHyphen/>
      </w:r>
      <w:r w:rsidRPr="00583E1A">
        <w:t>515(4).</w:t>
      </w:r>
    </w:p>
    <w:p w:rsidR="00887330" w:rsidRPr="00583E1A" w:rsidRDefault="00887330" w:rsidP="00887330">
      <w:pPr>
        <w:pStyle w:val="Definition"/>
      </w:pPr>
      <w:r w:rsidRPr="00583E1A">
        <w:rPr>
          <w:b/>
          <w:i/>
        </w:rPr>
        <w:t>net overstated amount</w:t>
      </w:r>
      <w:r w:rsidRPr="00583E1A">
        <w:t xml:space="preserve"> has the meaning given by subsection 104</w:t>
      </w:r>
      <w:r w:rsidR="00583E1A">
        <w:noBreakHyphen/>
      </w:r>
      <w:r w:rsidRPr="00583E1A">
        <w:t>525(3).</w:t>
      </w:r>
    </w:p>
    <w:p w:rsidR="00887330" w:rsidRPr="00583E1A" w:rsidRDefault="00887330" w:rsidP="00887330">
      <w:pPr>
        <w:pStyle w:val="Definition"/>
      </w:pPr>
      <w:r w:rsidRPr="00583E1A">
        <w:rPr>
          <w:b/>
          <w:i/>
        </w:rPr>
        <w:t>net premium</w:t>
      </w:r>
      <w:r w:rsidRPr="00583E1A">
        <w:t xml:space="preserve"> for a </w:t>
      </w:r>
      <w:r w:rsidR="00583E1A" w:rsidRPr="00583E1A">
        <w:rPr>
          <w:position w:val="6"/>
          <w:sz w:val="16"/>
        </w:rPr>
        <w:t>*</w:t>
      </w:r>
      <w:r w:rsidRPr="00583E1A">
        <w:t xml:space="preserve">life insurance policy means the amount of the </w:t>
      </w:r>
      <w:r w:rsidR="00583E1A" w:rsidRPr="00583E1A">
        <w:rPr>
          <w:position w:val="6"/>
          <w:sz w:val="16"/>
        </w:rPr>
        <w:t>*</w:t>
      </w:r>
      <w:r w:rsidRPr="00583E1A">
        <w:t xml:space="preserve">life insurance premium for the policy less the part (if any) of that premium that is reinsured under a </w:t>
      </w:r>
      <w:r w:rsidR="00583E1A" w:rsidRPr="00583E1A">
        <w:rPr>
          <w:position w:val="6"/>
          <w:sz w:val="16"/>
        </w:rPr>
        <w:t>*</w:t>
      </w:r>
      <w:r w:rsidRPr="00583E1A">
        <w:t>contract of reinsurance.</w:t>
      </w:r>
    </w:p>
    <w:p w:rsidR="00887330" w:rsidRPr="00583E1A" w:rsidRDefault="00887330" w:rsidP="00887330">
      <w:pPr>
        <w:pStyle w:val="Definition"/>
      </w:pPr>
      <w:r w:rsidRPr="00583E1A">
        <w:rPr>
          <w:b/>
          <w:i/>
        </w:rPr>
        <w:t>net risk component</w:t>
      </w:r>
      <w:r w:rsidRPr="00583E1A">
        <w:t xml:space="preserve"> of a </w:t>
      </w:r>
      <w:r w:rsidR="00583E1A" w:rsidRPr="00583E1A">
        <w:rPr>
          <w:position w:val="6"/>
          <w:sz w:val="16"/>
        </w:rPr>
        <w:t>*</w:t>
      </w:r>
      <w:r w:rsidRPr="00583E1A">
        <w:t>life insurance policy means so much of the policy’s risk component as:</w:t>
      </w:r>
    </w:p>
    <w:p w:rsidR="00887330" w:rsidRPr="00583E1A" w:rsidRDefault="00887330" w:rsidP="00887330">
      <w:pPr>
        <w:pStyle w:val="paragraph"/>
      </w:pPr>
      <w:r w:rsidRPr="00583E1A">
        <w:tab/>
        <w:t>(a)</w:t>
      </w:r>
      <w:r w:rsidRPr="00583E1A">
        <w:tab/>
        <w:t xml:space="preserve">is not reinsured under a </w:t>
      </w:r>
      <w:r w:rsidR="00583E1A" w:rsidRPr="00583E1A">
        <w:rPr>
          <w:position w:val="6"/>
          <w:sz w:val="16"/>
        </w:rPr>
        <w:t>*</w:t>
      </w:r>
      <w:r w:rsidRPr="00583E1A">
        <w:t>contract of reinsurance; or</w:t>
      </w:r>
    </w:p>
    <w:p w:rsidR="00887330" w:rsidRPr="00583E1A" w:rsidRDefault="00887330" w:rsidP="00887330">
      <w:pPr>
        <w:pStyle w:val="paragraph"/>
      </w:pPr>
      <w:r w:rsidRPr="00583E1A">
        <w:tab/>
        <w:t>(b)</w:t>
      </w:r>
      <w:r w:rsidRPr="00583E1A">
        <w:tab/>
        <w:t xml:space="preserve">is reinsured under a contract of reinsurance to which subsection 148(1) of the </w:t>
      </w:r>
      <w:r w:rsidRPr="00583E1A">
        <w:rPr>
          <w:i/>
        </w:rPr>
        <w:t>Income Tax Assessment Act 1936</w:t>
      </w:r>
      <w:r w:rsidRPr="00583E1A">
        <w:t xml:space="preserve"> applies.</w:t>
      </w:r>
    </w:p>
    <w:p w:rsidR="00887330" w:rsidRPr="00583E1A" w:rsidRDefault="00887330" w:rsidP="00887330">
      <w:pPr>
        <w:pStyle w:val="Definition"/>
      </w:pPr>
      <w:r w:rsidRPr="00583E1A">
        <w:rPr>
          <w:b/>
          <w:i/>
        </w:rPr>
        <w:t>net understated amount</w:t>
      </w:r>
      <w:r w:rsidRPr="00583E1A">
        <w:t xml:space="preserve"> has the meaning given by subsection 104</w:t>
      </w:r>
      <w:r w:rsidR="00583E1A">
        <w:noBreakHyphen/>
      </w:r>
      <w:r w:rsidRPr="00583E1A">
        <w:t>525(3).</w:t>
      </w:r>
    </w:p>
    <w:p w:rsidR="00887330" w:rsidRPr="00583E1A" w:rsidRDefault="00887330" w:rsidP="00887330">
      <w:pPr>
        <w:pStyle w:val="Definition"/>
      </w:pPr>
      <w:r w:rsidRPr="00583E1A">
        <w:rPr>
          <w:b/>
          <w:i/>
        </w:rPr>
        <w:t>net value</w:t>
      </w:r>
      <w:r w:rsidRPr="00583E1A">
        <w:t xml:space="preserve"> of an entity means the amount by which the sum of the </w:t>
      </w:r>
      <w:r w:rsidR="00583E1A" w:rsidRPr="00583E1A">
        <w:rPr>
          <w:position w:val="6"/>
          <w:sz w:val="16"/>
        </w:rPr>
        <w:t>*</w:t>
      </w:r>
      <w:r w:rsidRPr="00583E1A">
        <w:t>market values of the assets of the entity exceeds the sum of its liabilities.</w:t>
      </w:r>
    </w:p>
    <w:p w:rsidR="00887330" w:rsidRPr="00583E1A" w:rsidRDefault="00887330" w:rsidP="00887330">
      <w:pPr>
        <w:pStyle w:val="Definition"/>
      </w:pPr>
      <w:r w:rsidRPr="00583E1A">
        <w:rPr>
          <w:b/>
          <w:i/>
        </w:rPr>
        <w:t>net value of the CGT assets</w:t>
      </w:r>
      <w:r w:rsidRPr="00583E1A">
        <w:t xml:space="preserve"> of an entity has the meaning given by section</w:t>
      </w:r>
      <w:r w:rsidR="00583E1A">
        <w:t> </w:t>
      </w:r>
      <w:r w:rsidRPr="00583E1A">
        <w:t>152</w:t>
      </w:r>
      <w:r w:rsidR="00583E1A">
        <w:noBreakHyphen/>
      </w:r>
      <w:r w:rsidRPr="00583E1A">
        <w:t>20.</w:t>
      </w:r>
    </w:p>
    <w:p w:rsidR="0029664F" w:rsidRPr="00583E1A" w:rsidRDefault="0029664F" w:rsidP="0029664F">
      <w:pPr>
        <w:pStyle w:val="Definition"/>
      </w:pPr>
      <w:r w:rsidRPr="00583E1A">
        <w:rPr>
          <w:b/>
          <w:i/>
        </w:rPr>
        <w:t xml:space="preserve">new investment threshold </w:t>
      </w:r>
      <w:r w:rsidRPr="00583E1A">
        <w:t>has the meaning given by section</w:t>
      </w:r>
      <w:r w:rsidR="00583E1A">
        <w:t> </w:t>
      </w:r>
      <w:r w:rsidRPr="00583E1A">
        <w:t>41</w:t>
      </w:r>
      <w:r w:rsidR="00583E1A">
        <w:noBreakHyphen/>
      </w:r>
      <w:r w:rsidRPr="00583E1A">
        <w:t>35.</w:t>
      </w:r>
    </w:p>
    <w:p w:rsidR="00887330" w:rsidRPr="00583E1A" w:rsidRDefault="00887330" w:rsidP="00887330">
      <w:pPr>
        <w:pStyle w:val="Definition"/>
      </w:pPr>
      <w:r w:rsidRPr="00583E1A">
        <w:rPr>
          <w:b/>
          <w:i/>
        </w:rPr>
        <w:t>non</w:t>
      </w:r>
      <w:r w:rsidR="00583E1A">
        <w:rPr>
          <w:b/>
          <w:i/>
        </w:rPr>
        <w:noBreakHyphen/>
      </w:r>
      <w:r w:rsidRPr="00583E1A">
        <w:rPr>
          <w:b/>
          <w:i/>
        </w:rPr>
        <w:t>ADI financial institution</w:t>
      </w:r>
      <w:r w:rsidRPr="00583E1A">
        <w:t xml:space="preserve"> has the meaning given by subsection 128A(1) of the </w:t>
      </w:r>
      <w:r w:rsidRPr="00583E1A">
        <w:rPr>
          <w:i/>
        </w:rPr>
        <w:t>Income Tax Assessment Act 1936</w:t>
      </w:r>
      <w:r w:rsidRPr="00583E1A">
        <w:t>.</w:t>
      </w:r>
    </w:p>
    <w:p w:rsidR="004F4272" w:rsidRPr="00583E1A" w:rsidRDefault="004F4272" w:rsidP="004F4272">
      <w:pPr>
        <w:pStyle w:val="Definition"/>
        <w:rPr>
          <w:lang w:eastAsia="en-US"/>
        </w:rPr>
      </w:pPr>
      <w:r w:rsidRPr="00583E1A">
        <w:rPr>
          <w:b/>
          <w:i/>
          <w:lang w:eastAsia="en-US"/>
        </w:rPr>
        <w:t>non</w:t>
      </w:r>
      <w:r w:rsidR="00583E1A">
        <w:rPr>
          <w:b/>
          <w:i/>
          <w:lang w:eastAsia="en-US"/>
        </w:rPr>
        <w:noBreakHyphen/>
      </w:r>
      <w:r w:rsidRPr="00583E1A">
        <w:rPr>
          <w:b/>
          <w:i/>
          <w:lang w:eastAsia="en-US"/>
        </w:rPr>
        <w:t>arm’s length component</w:t>
      </w:r>
      <w:r w:rsidRPr="00583E1A">
        <w:rPr>
          <w:lang w:eastAsia="en-US"/>
        </w:rPr>
        <w:t xml:space="preserve"> has the meaning given by section</w:t>
      </w:r>
      <w:r w:rsidR="00583E1A">
        <w:rPr>
          <w:lang w:eastAsia="en-US"/>
        </w:rPr>
        <w:t> </w:t>
      </w:r>
      <w:r w:rsidRPr="00583E1A">
        <w:rPr>
          <w:lang w:eastAsia="en-US"/>
        </w:rPr>
        <w:t>295</w:t>
      </w:r>
      <w:r w:rsidR="00583E1A">
        <w:rPr>
          <w:lang w:eastAsia="en-US"/>
        </w:rPr>
        <w:noBreakHyphen/>
      </w:r>
      <w:r w:rsidRPr="00583E1A">
        <w:rPr>
          <w:lang w:eastAsia="en-US"/>
        </w:rPr>
        <w:t>545.</w:t>
      </w:r>
    </w:p>
    <w:p w:rsidR="004F4272" w:rsidRPr="00583E1A" w:rsidRDefault="004F4272" w:rsidP="004F4272">
      <w:pPr>
        <w:pStyle w:val="Definition"/>
      </w:pPr>
      <w:r w:rsidRPr="00583E1A">
        <w:rPr>
          <w:b/>
          <w:i/>
        </w:rPr>
        <w:lastRenderedPageBreak/>
        <w:t>non</w:t>
      </w:r>
      <w:r w:rsidR="00583E1A">
        <w:rPr>
          <w:b/>
          <w:i/>
        </w:rPr>
        <w:noBreakHyphen/>
      </w:r>
      <w:r w:rsidRPr="00583E1A">
        <w:rPr>
          <w:b/>
          <w:i/>
        </w:rPr>
        <w:t>arm’s length income</w:t>
      </w:r>
      <w:r w:rsidRPr="00583E1A">
        <w:t xml:space="preserve"> has the meaning given by section</w:t>
      </w:r>
      <w:r w:rsidR="00583E1A">
        <w:t> </w:t>
      </w:r>
      <w:r w:rsidRPr="00583E1A">
        <w:t>295</w:t>
      </w:r>
      <w:r w:rsidR="00583E1A">
        <w:noBreakHyphen/>
      </w:r>
      <w:r w:rsidRPr="00583E1A">
        <w:t>550.</w:t>
      </w:r>
    </w:p>
    <w:p w:rsidR="00887330" w:rsidRPr="00583E1A" w:rsidRDefault="00887330" w:rsidP="00887330">
      <w:pPr>
        <w:pStyle w:val="Definition"/>
      </w:pPr>
      <w:r w:rsidRPr="00583E1A">
        <w:rPr>
          <w:b/>
          <w:i/>
        </w:rPr>
        <w:t>non</w:t>
      </w:r>
      <w:r w:rsidR="00583E1A">
        <w:rPr>
          <w:b/>
          <w:i/>
        </w:rPr>
        <w:noBreakHyphen/>
      </w:r>
      <w:r w:rsidRPr="00583E1A">
        <w:rPr>
          <w:b/>
          <w:i/>
        </w:rPr>
        <w:t>arm’s length limited recourse debt</w:t>
      </w:r>
      <w:r w:rsidRPr="00583E1A">
        <w:t xml:space="preserve"> has the meaning given by </w:t>
      </w:r>
      <w:r w:rsidR="0062531E" w:rsidRPr="004C09C4">
        <w:t>subsection 243</w:t>
      </w:r>
      <w:r w:rsidR="0062531E" w:rsidRPr="004C09C4">
        <w:noBreakHyphen/>
        <w:t>20(7)</w:t>
      </w:r>
      <w:r w:rsidRPr="00583E1A">
        <w:t>.</w:t>
      </w:r>
    </w:p>
    <w:p w:rsidR="00887330" w:rsidRPr="00583E1A" w:rsidRDefault="00887330" w:rsidP="00887330">
      <w:pPr>
        <w:pStyle w:val="Definition"/>
      </w:pPr>
      <w:r w:rsidRPr="00583E1A">
        <w:rPr>
          <w:b/>
          <w:i/>
        </w:rPr>
        <w:t>non</w:t>
      </w:r>
      <w:r w:rsidR="00583E1A">
        <w:rPr>
          <w:b/>
          <w:i/>
        </w:rPr>
        <w:noBreakHyphen/>
      </w:r>
      <w:r w:rsidRPr="00583E1A">
        <w:rPr>
          <w:b/>
          <w:i/>
        </w:rPr>
        <w:t>assessable non</w:t>
      </w:r>
      <w:r w:rsidR="00583E1A">
        <w:rPr>
          <w:b/>
          <w:i/>
        </w:rPr>
        <w:noBreakHyphen/>
      </w:r>
      <w:r w:rsidRPr="00583E1A">
        <w:rPr>
          <w:b/>
          <w:i/>
        </w:rPr>
        <w:t>exempt income</w:t>
      </w:r>
      <w:r w:rsidRPr="00583E1A">
        <w:t xml:space="preserve"> has the meaning given by section</w:t>
      </w:r>
      <w:r w:rsidR="00583E1A">
        <w:t> </w:t>
      </w:r>
      <w:r w:rsidRPr="00583E1A">
        <w:t>6</w:t>
      </w:r>
      <w:r w:rsidR="00583E1A">
        <w:noBreakHyphen/>
      </w:r>
      <w:r w:rsidRPr="00583E1A">
        <w:t>23.</w:t>
      </w:r>
    </w:p>
    <w:p w:rsidR="00887330" w:rsidRPr="00583E1A" w:rsidRDefault="00887330" w:rsidP="00887330">
      <w:pPr>
        <w:pStyle w:val="Definition"/>
      </w:pPr>
      <w:r w:rsidRPr="00583E1A">
        <w:rPr>
          <w:b/>
          <w:i/>
        </w:rPr>
        <w:t>non</w:t>
      </w:r>
      <w:r w:rsidR="00583E1A">
        <w:rPr>
          <w:b/>
          <w:i/>
        </w:rPr>
        <w:noBreakHyphen/>
      </w:r>
      <w:r w:rsidRPr="00583E1A">
        <w:rPr>
          <w:b/>
          <w:i/>
        </w:rPr>
        <w:t>cash benefit</w:t>
      </w:r>
      <w:r w:rsidRPr="00583E1A">
        <w:t xml:space="preserve"> is property or services in any form except money. If a non</w:t>
      </w:r>
      <w:r w:rsidR="00583E1A">
        <w:noBreakHyphen/>
      </w:r>
      <w:r w:rsidRPr="00583E1A">
        <w:t>cash benefit is dealt with on behalf of an entity, or is provided or dealt with as an entity directs, the benefit is taken to be provided to the entity.</w:t>
      </w:r>
    </w:p>
    <w:p w:rsidR="004F4272" w:rsidRPr="00583E1A" w:rsidRDefault="004F4272" w:rsidP="004F4272">
      <w:pPr>
        <w:pStyle w:val="Definition"/>
      </w:pPr>
      <w:r w:rsidRPr="00583E1A">
        <w:rPr>
          <w:b/>
          <w:i/>
        </w:rPr>
        <w:t>non</w:t>
      </w:r>
      <w:r w:rsidR="00583E1A">
        <w:rPr>
          <w:b/>
          <w:i/>
        </w:rPr>
        <w:noBreakHyphen/>
      </w:r>
      <w:r w:rsidRPr="00583E1A">
        <w:rPr>
          <w:b/>
          <w:i/>
        </w:rPr>
        <w:t>complying approved deposit fund</w:t>
      </w:r>
      <w:r w:rsidRPr="00583E1A">
        <w:t xml:space="preserve"> means an </w:t>
      </w:r>
      <w:r w:rsidR="00583E1A" w:rsidRPr="00583E1A">
        <w:rPr>
          <w:position w:val="6"/>
          <w:sz w:val="16"/>
        </w:rPr>
        <w:t>*</w:t>
      </w:r>
      <w:r w:rsidRPr="00583E1A">
        <w:t xml:space="preserve">approved deposit fund that is not a </w:t>
      </w:r>
      <w:r w:rsidR="00583E1A" w:rsidRPr="00583E1A">
        <w:rPr>
          <w:position w:val="6"/>
          <w:sz w:val="16"/>
        </w:rPr>
        <w:t>*</w:t>
      </w:r>
      <w:r w:rsidRPr="00583E1A">
        <w:t>complying approved deposit fund.</w:t>
      </w:r>
    </w:p>
    <w:p w:rsidR="00E83746" w:rsidRPr="00583E1A" w:rsidRDefault="00E83746" w:rsidP="00C65AA2">
      <w:pPr>
        <w:pStyle w:val="Definition"/>
        <w:keepNext/>
        <w:keepLines/>
      </w:pPr>
      <w:r w:rsidRPr="00583E1A">
        <w:rPr>
          <w:b/>
          <w:i/>
        </w:rPr>
        <w:t>non</w:t>
      </w:r>
      <w:r w:rsidR="00583E1A">
        <w:rPr>
          <w:b/>
          <w:i/>
        </w:rPr>
        <w:noBreakHyphen/>
      </w:r>
      <w:r w:rsidRPr="00583E1A">
        <w:rPr>
          <w:b/>
          <w:i/>
        </w:rPr>
        <w:t>complying superannuation fund</w:t>
      </w:r>
      <w:r w:rsidRPr="00583E1A">
        <w:t xml:space="preserve"> means a </w:t>
      </w:r>
      <w:r w:rsidR="00583E1A" w:rsidRPr="00583E1A">
        <w:rPr>
          <w:position w:val="6"/>
          <w:sz w:val="16"/>
        </w:rPr>
        <w:t>*</w:t>
      </w:r>
      <w:r w:rsidRPr="00583E1A">
        <w:t>superannuation fund that:</w:t>
      </w:r>
    </w:p>
    <w:p w:rsidR="00E83746" w:rsidRPr="00583E1A" w:rsidRDefault="00E83746" w:rsidP="00E83746">
      <w:pPr>
        <w:pStyle w:val="paragraph"/>
      </w:pPr>
      <w:r w:rsidRPr="00583E1A">
        <w:tab/>
        <w:t>(a)</w:t>
      </w:r>
      <w:r w:rsidRPr="00583E1A">
        <w:tab/>
        <w:t>is a fund; and</w:t>
      </w:r>
    </w:p>
    <w:p w:rsidR="00E83746" w:rsidRPr="00583E1A" w:rsidRDefault="00E83746" w:rsidP="00E83746">
      <w:pPr>
        <w:pStyle w:val="paragraph"/>
      </w:pPr>
      <w:r w:rsidRPr="00583E1A">
        <w:tab/>
        <w:t>(b)</w:t>
      </w:r>
      <w:r w:rsidRPr="00583E1A">
        <w:tab/>
        <w:t xml:space="preserve">is not a </w:t>
      </w:r>
      <w:r w:rsidR="00583E1A" w:rsidRPr="00583E1A">
        <w:rPr>
          <w:position w:val="6"/>
          <w:sz w:val="16"/>
        </w:rPr>
        <w:t>*</w:t>
      </w:r>
      <w:r w:rsidRPr="00583E1A">
        <w:t>complying superannuation fund.</w:t>
      </w:r>
    </w:p>
    <w:p w:rsidR="00887330" w:rsidRPr="00583E1A" w:rsidRDefault="00887330" w:rsidP="00887330">
      <w:pPr>
        <w:pStyle w:val="Definition"/>
      </w:pPr>
      <w:r w:rsidRPr="00583E1A">
        <w:rPr>
          <w:b/>
          <w:i/>
        </w:rPr>
        <w:t>non</w:t>
      </w:r>
      <w:r w:rsidR="00583E1A">
        <w:rPr>
          <w:b/>
          <w:i/>
        </w:rPr>
        <w:noBreakHyphen/>
      </w:r>
      <w:r w:rsidRPr="00583E1A">
        <w:rPr>
          <w:b/>
          <w:i/>
        </w:rPr>
        <w:t>compulsory</w:t>
      </w:r>
      <w:r w:rsidRPr="00583E1A">
        <w:t xml:space="preserve">, in relation to a </w:t>
      </w:r>
      <w:r w:rsidR="00583E1A" w:rsidRPr="00583E1A">
        <w:rPr>
          <w:position w:val="6"/>
          <w:sz w:val="16"/>
        </w:rPr>
        <w:t>*</w:t>
      </w:r>
      <w:r w:rsidRPr="00583E1A">
        <w:t>uniform, has the meaning given by subsection 34</w:t>
      </w:r>
      <w:r w:rsidR="00583E1A">
        <w:noBreakHyphen/>
      </w:r>
      <w:r w:rsidRPr="00583E1A">
        <w:t>15(2).</w:t>
      </w:r>
    </w:p>
    <w:p w:rsidR="004F4272" w:rsidRPr="00583E1A" w:rsidRDefault="004F4272" w:rsidP="004F4272">
      <w:pPr>
        <w:pStyle w:val="Definition"/>
      </w:pPr>
      <w:r w:rsidRPr="00583E1A">
        <w:rPr>
          <w:b/>
          <w:i/>
        </w:rPr>
        <w:t>non</w:t>
      </w:r>
      <w:r w:rsidR="00583E1A">
        <w:rPr>
          <w:b/>
          <w:i/>
        </w:rPr>
        <w:noBreakHyphen/>
      </w:r>
      <w:r w:rsidRPr="00583E1A">
        <w:rPr>
          <w:b/>
          <w:i/>
        </w:rPr>
        <w:t xml:space="preserve">concessional contributions </w:t>
      </w:r>
      <w:r w:rsidRPr="00583E1A">
        <w:t>has the meaning given by section</w:t>
      </w:r>
      <w:r w:rsidR="00583E1A">
        <w:t> </w:t>
      </w:r>
      <w:r w:rsidRPr="00583E1A">
        <w:t>292</w:t>
      </w:r>
      <w:r w:rsidR="00583E1A">
        <w:noBreakHyphen/>
      </w:r>
      <w:r w:rsidRPr="00583E1A">
        <w:t>90.</w:t>
      </w:r>
    </w:p>
    <w:p w:rsidR="004F4272" w:rsidRPr="00583E1A" w:rsidRDefault="004F4272" w:rsidP="004F4272">
      <w:pPr>
        <w:pStyle w:val="Definition"/>
      </w:pPr>
      <w:r w:rsidRPr="00583E1A">
        <w:rPr>
          <w:b/>
          <w:i/>
        </w:rPr>
        <w:t>non</w:t>
      </w:r>
      <w:r w:rsidR="00583E1A">
        <w:rPr>
          <w:b/>
          <w:i/>
        </w:rPr>
        <w:noBreakHyphen/>
      </w:r>
      <w:r w:rsidRPr="00583E1A">
        <w:rPr>
          <w:b/>
          <w:i/>
        </w:rPr>
        <w:t>concessional contributions cap</w:t>
      </w:r>
      <w:r w:rsidRPr="00583E1A">
        <w:t xml:space="preserve"> has the meaning given by section</w:t>
      </w:r>
      <w:r w:rsidR="00583E1A">
        <w:t> </w:t>
      </w:r>
      <w:r w:rsidRPr="00583E1A">
        <w:t>292</w:t>
      </w:r>
      <w:r w:rsidR="00583E1A">
        <w:noBreakHyphen/>
      </w:r>
      <w:r w:rsidRPr="00583E1A">
        <w:t>85.</w:t>
      </w:r>
    </w:p>
    <w:p w:rsidR="00887330" w:rsidRPr="00583E1A" w:rsidRDefault="00887330" w:rsidP="00887330">
      <w:pPr>
        <w:pStyle w:val="Definition"/>
      </w:pPr>
      <w:r w:rsidRPr="00583E1A">
        <w:rPr>
          <w:b/>
          <w:i/>
        </w:rPr>
        <w:t>non</w:t>
      </w:r>
      <w:r w:rsidR="00583E1A">
        <w:rPr>
          <w:b/>
          <w:i/>
        </w:rPr>
        <w:noBreakHyphen/>
      </w:r>
      <w:r w:rsidRPr="00583E1A">
        <w:rPr>
          <w:b/>
          <w:i/>
        </w:rPr>
        <w:t>debt liabilities</w:t>
      </w:r>
      <w:r w:rsidRPr="00583E1A">
        <w:t>, of an entity and at a particular time, means liabilities that the entity has at that time, other than:</w:t>
      </w:r>
    </w:p>
    <w:p w:rsidR="00887330" w:rsidRPr="00583E1A" w:rsidRDefault="00887330" w:rsidP="00887330">
      <w:pPr>
        <w:pStyle w:val="paragraph"/>
      </w:pPr>
      <w:r w:rsidRPr="00583E1A">
        <w:tab/>
        <w:t>(a)</w:t>
      </w:r>
      <w:r w:rsidRPr="00583E1A">
        <w:tab/>
        <w:t xml:space="preserve">any </w:t>
      </w:r>
      <w:r w:rsidR="00583E1A" w:rsidRPr="00583E1A">
        <w:rPr>
          <w:position w:val="6"/>
          <w:sz w:val="16"/>
        </w:rPr>
        <w:t>*</w:t>
      </w:r>
      <w:r w:rsidRPr="00583E1A">
        <w:t>debt capital of the entity; or</w:t>
      </w:r>
    </w:p>
    <w:p w:rsidR="00887330" w:rsidRPr="00583E1A" w:rsidRDefault="00887330" w:rsidP="00887330">
      <w:pPr>
        <w:pStyle w:val="paragraph"/>
      </w:pPr>
      <w:r w:rsidRPr="00583E1A">
        <w:tab/>
        <w:t>(b)</w:t>
      </w:r>
      <w:r w:rsidRPr="00583E1A">
        <w:tab/>
        <w:t xml:space="preserve">any </w:t>
      </w:r>
      <w:r w:rsidR="00583E1A" w:rsidRPr="00583E1A">
        <w:rPr>
          <w:position w:val="6"/>
          <w:sz w:val="16"/>
        </w:rPr>
        <w:t>*</w:t>
      </w:r>
      <w:r w:rsidRPr="00583E1A">
        <w:t>equity interest in the entity; or</w:t>
      </w:r>
    </w:p>
    <w:p w:rsidR="00887330" w:rsidRPr="00583E1A" w:rsidRDefault="00887330" w:rsidP="00887330">
      <w:pPr>
        <w:pStyle w:val="paragraph"/>
      </w:pPr>
      <w:r w:rsidRPr="00583E1A">
        <w:tab/>
        <w:t>(c)</w:t>
      </w:r>
      <w:r w:rsidRPr="00583E1A">
        <w:tab/>
        <w:t xml:space="preserve">if the entity is a </w:t>
      </w:r>
      <w:r w:rsidR="00583E1A" w:rsidRPr="00583E1A">
        <w:rPr>
          <w:position w:val="6"/>
          <w:sz w:val="16"/>
        </w:rPr>
        <w:t>*</w:t>
      </w:r>
      <w:r w:rsidRPr="00583E1A">
        <w:t xml:space="preserve">corporate tax entity—a provision for a </w:t>
      </w:r>
      <w:r w:rsidR="00583E1A" w:rsidRPr="00583E1A">
        <w:rPr>
          <w:position w:val="6"/>
          <w:sz w:val="16"/>
        </w:rPr>
        <w:t>*</w:t>
      </w:r>
      <w:r w:rsidRPr="00583E1A">
        <w:t>distribution of profit; or</w:t>
      </w:r>
    </w:p>
    <w:p w:rsidR="00887330" w:rsidRPr="00583E1A" w:rsidRDefault="00887330" w:rsidP="00887330">
      <w:pPr>
        <w:pStyle w:val="paragraph"/>
      </w:pPr>
      <w:r w:rsidRPr="00583E1A">
        <w:tab/>
        <w:t>(ca)</w:t>
      </w:r>
      <w:r w:rsidRPr="00583E1A">
        <w:tab/>
        <w:t xml:space="preserve">if </w:t>
      </w:r>
      <w:r w:rsidR="00583E1A">
        <w:t>paragraph (</w:t>
      </w:r>
      <w:r w:rsidRPr="00583E1A">
        <w:t xml:space="preserve">c) does not apply—a provision for a distribution to the entity’s </w:t>
      </w:r>
      <w:r w:rsidR="00583E1A" w:rsidRPr="00583E1A">
        <w:rPr>
          <w:position w:val="6"/>
          <w:sz w:val="16"/>
        </w:rPr>
        <w:t>*</w:t>
      </w:r>
      <w:r w:rsidRPr="00583E1A">
        <w:t>members; or</w:t>
      </w:r>
    </w:p>
    <w:p w:rsidR="00887330" w:rsidRPr="00583E1A" w:rsidRDefault="00887330" w:rsidP="00887330">
      <w:pPr>
        <w:pStyle w:val="paragraph"/>
      </w:pPr>
      <w:r w:rsidRPr="00583E1A">
        <w:tab/>
        <w:t>(d)</w:t>
      </w:r>
      <w:r w:rsidRPr="00583E1A">
        <w:tab/>
        <w:t>any liability of the entity under a securities loan arrangement if, as at that time, the entity:</w:t>
      </w:r>
    </w:p>
    <w:p w:rsidR="00887330" w:rsidRPr="00583E1A" w:rsidRDefault="00887330" w:rsidP="00887330">
      <w:pPr>
        <w:pStyle w:val="paragraphsub"/>
      </w:pPr>
      <w:r w:rsidRPr="00583E1A">
        <w:lastRenderedPageBreak/>
        <w:tab/>
        <w:t>(i)</w:t>
      </w:r>
      <w:r w:rsidRPr="00583E1A">
        <w:tab/>
        <w:t>has received amounts for the sale of securities (other than any fees associated with the sale) under the arrangement; and</w:t>
      </w:r>
    </w:p>
    <w:p w:rsidR="00887330" w:rsidRPr="00583E1A" w:rsidRDefault="00887330" w:rsidP="00887330">
      <w:pPr>
        <w:pStyle w:val="paragraphsub"/>
      </w:pPr>
      <w:r w:rsidRPr="00583E1A">
        <w:tab/>
        <w:t>(ii)</w:t>
      </w:r>
      <w:r w:rsidRPr="00583E1A">
        <w:tab/>
        <w:t>has not repurchased the securities under the arrangement; or</w:t>
      </w:r>
    </w:p>
    <w:p w:rsidR="00887330" w:rsidRPr="00583E1A" w:rsidRDefault="00887330" w:rsidP="00887330">
      <w:pPr>
        <w:pStyle w:val="paragraph"/>
      </w:pPr>
      <w:r w:rsidRPr="00583E1A">
        <w:tab/>
        <w:t>(e)</w:t>
      </w:r>
      <w:r w:rsidRPr="00583E1A">
        <w:tab/>
        <w:t xml:space="preserve">a liability of the entity, to the extent that it meets the conditions for being taken into account in working out the </w:t>
      </w:r>
      <w:r w:rsidR="00583E1A" w:rsidRPr="00583E1A">
        <w:rPr>
          <w:position w:val="6"/>
          <w:sz w:val="16"/>
        </w:rPr>
        <w:t>*</w:t>
      </w:r>
      <w:r w:rsidRPr="00583E1A">
        <w:t>borrowed securities amount of the entity as at that time.</w:t>
      </w:r>
    </w:p>
    <w:p w:rsidR="00887330" w:rsidRPr="00583E1A" w:rsidRDefault="00887330" w:rsidP="00C65AA2">
      <w:pPr>
        <w:pStyle w:val="Definition"/>
        <w:keepNext/>
        <w:keepLines/>
      </w:pPr>
      <w:r w:rsidRPr="00583E1A">
        <w:rPr>
          <w:b/>
          <w:i/>
        </w:rPr>
        <w:t>non</w:t>
      </w:r>
      <w:r w:rsidR="00583E1A">
        <w:rPr>
          <w:b/>
          <w:i/>
        </w:rPr>
        <w:noBreakHyphen/>
      </w:r>
      <w:r w:rsidRPr="00583E1A">
        <w:rPr>
          <w:b/>
          <w:i/>
        </w:rPr>
        <w:t>entity joint venture</w:t>
      </w:r>
      <w:r w:rsidRPr="00583E1A">
        <w:t xml:space="preserve"> means an arrangement that the Commissioner is satisfied is a contractual arrangement:</w:t>
      </w:r>
    </w:p>
    <w:p w:rsidR="00887330" w:rsidRPr="00583E1A" w:rsidRDefault="00887330" w:rsidP="00887330">
      <w:pPr>
        <w:pStyle w:val="paragraph"/>
      </w:pPr>
      <w:r w:rsidRPr="00583E1A">
        <w:tab/>
        <w:t>(a)</w:t>
      </w:r>
      <w:r w:rsidRPr="00583E1A">
        <w:tab/>
        <w:t>under which 2 or more parties undertake an economic activity that is subject to the joint control of the parties; and</w:t>
      </w:r>
    </w:p>
    <w:p w:rsidR="00887330" w:rsidRPr="00583E1A" w:rsidRDefault="00887330" w:rsidP="00887330">
      <w:pPr>
        <w:pStyle w:val="paragraph"/>
      </w:pPr>
      <w:r w:rsidRPr="00583E1A">
        <w:tab/>
        <w:t>(b)</w:t>
      </w:r>
      <w:r w:rsidRPr="00583E1A">
        <w:tab/>
        <w:t>that is entered into to obtain individual benefits for the parties, in the form of a share of the output of the arrangement rather than joint or collective profits for all the parties.</w:t>
      </w:r>
    </w:p>
    <w:p w:rsidR="00887330" w:rsidRPr="00583E1A" w:rsidRDefault="00887330" w:rsidP="00A756C6">
      <w:pPr>
        <w:pStyle w:val="Definition"/>
        <w:keepNext/>
        <w:keepLines/>
      </w:pPr>
      <w:r w:rsidRPr="00583E1A">
        <w:rPr>
          <w:b/>
          <w:i/>
        </w:rPr>
        <w:t>non</w:t>
      </w:r>
      <w:r w:rsidR="00583E1A">
        <w:rPr>
          <w:b/>
          <w:i/>
        </w:rPr>
        <w:noBreakHyphen/>
      </w:r>
      <w:r w:rsidRPr="00583E1A">
        <w:rPr>
          <w:b/>
          <w:i/>
        </w:rPr>
        <w:t>equity share</w:t>
      </w:r>
      <w:r w:rsidRPr="00583E1A">
        <w:t xml:space="preserve"> means a </w:t>
      </w:r>
      <w:r w:rsidR="00583E1A" w:rsidRPr="00583E1A">
        <w:rPr>
          <w:position w:val="6"/>
          <w:sz w:val="16"/>
        </w:rPr>
        <w:t>*</w:t>
      </w:r>
      <w:r w:rsidRPr="00583E1A">
        <w:t xml:space="preserve">share that is not an </w:t>
      </w:r>
      <w:r w:rsidR="00583E1A" w:rsidRPr="00583E1A">
        <w:rPr>
          <w:position w:val="6"/>
          <w:sz w:val="16"/>
        </w:rPr>
        <w:t>*</w:t>
      </w:r>
      <w:r w:rsidRPr="00583E1A">
        <w:t>equity interest in the company.</w:t>
      </w:r>
    </w:p>
    <w:p w:rsidR="00887330" w:rsidRPr="00583E1A" w:rsidRDefault="00887330" w:rsidP="00887330">
      <w:pPr>
        <w:pStyle w:val="notetext"/>
      </w:pPr>
      <w:r w:rsidRPr="00583E1A">
        <w:t>Note:</w:t>
      </w:r>
      <w:r w:rsidRPr="00583E1A">
        <w:tab/>
        <w:t>A share will not be an equity interest if it is characterised as, or forms part of a larger interest that is characterised as, a debt interest under Subdivision</w:t>
      </w:r>
      <w:r w:rsidR="00583E1A">
        <w:t> </w:t>
      </w:r>
      <w:r w:rsidRPr="00583E1A">
        <w:t>974</w:t>
      </w:r>
      <w:r w:rsidR="00583E1A">
        <w:noBreakHyphen/>
      </w:r>
      <w:r w:rsidRPr="00583E1A">
        <w:t>B.</w:t>
      </w:r>
    </w:p>
    <w:p w:rsidR="00887330" w:rsidRPr="00583E1A" w:rsidRDefault="00887330" w:rsidP="00887330">
      <w:pPr>
        <w:pStyle w:val="Definition"/>
      </w:pPr>
      <w:r w:rsidRPr="00583E1A">
        <w:rPr>
          <w:b/>
          <w:i/>
        </w:rPr>
        <w:t>non</w:t>
      </w:r>
      <w:r w:rsidR="00583E1A">
        <w:rPr>
          <w:b/>
          <w:i/>
        </w:rPr>
        <w:noBreakHyphen/>
      </w:r>
      <w:r w:rsidRPr="00583E1A">
        <w:rPr>
          <w:b/>
          <w:i/>
        </w:rPr>
        <w:t xml:space="preserve">fixed trust </w:t>
      </w:r>
      <w:r w:rsidRPr="00583E1A">
        <w:t xml:space="preserve">means a trust that is not a </w:t>
      </w:r>
      <w:r w:rsidR="00583E1A" w:rsidRPr="00583E1A">
        <w:rPr>
          <w:position w:val="6"/>
          <w:sz w:val="16"/>
        </w:rPr>
        <w:t>*</w:t>
      </w:r>
      <w:r w:rsidRPr="00583E1A">
        <w:t>fixed trust.</w:t>
      </w:r>
    </w:p>
    <w:p w:rsidR="00E0118E" w:rsidRPr="006D2225" w:rsidRDefault="00E0118E" w:rsidP="00E0118E">
      <w:pPr>
        <w:pStyle w:val="Definition"/>
      </w:pPr>
      <w:r w:rsidRPr="006D2225">
        <w:rPr>
          <w:b/>
          <w:i/>
        </w:rPr>
        <w:t>non</w:t>
      </w:r>
      <w:r>
        <w:rPr>
          <w:b/>
          <w:i/>
        </w:rPr>
        <w:noBreakHyphen/>
      </w:r>
      <w:r w:rsidRPr="006D2225">
        <w:rPr>
          <w:b/>
          <w:i/>
        </w:rPr>
        <w:t xml:space="preserve">IMR Division 6E net income </w:t>
      </w:r>
      <w:r w:rsidRPr="006D2225">
        <w:t>has the meaning given by subsection 842</w:t>
      </w:r>
      <w:r>
        <w:noBreakHyphen/>
      </w:r>
      <w:r w:rsidRPr="006D2225">
        <w:t>260(2).</w:t>
      </w:r>
    </w:p>
    <w:p w:rsidR="00E0118E" w:rsidRPr="006D2225" w:rsidRDefault="00E0118E" w:rsidP="00E0118E">
      <w:pPr>
        <w:pStyle w:val="Definition"/>
      </w:pPr>
      <w:r w:rsidRPr="006D2225">
        <w:rPr>
          <w:b/>
          <w:i/>
        </w:rPr>
        <w:t>non</w:t>
      </w:r>
      <w:r>
        <w:rPr>
          <w:b/>
          <w:i/>
        </w:rPr>
        <w:noBreakHyphen/>
      </w:r>
      <w:r w:rsidRPr="006D2225">
        <w:rPr>
          <w:b/>
          <w:i/>
        </w:rPr>
        <w:t xml:space="preserve">IMR net capital gain </w:t>
      </w:r>
      <w:r w:rsidRPr="006D2225">
        <w:t>has the meaning given by subsection 842</w:t>
      </w:r>
      <w:r>
        <w:noBreakHyphen/>
      </w:r>
      <w:r w:rsidRPr="006D2225">
        <w:t>260(3).</w:t>
      </w:r>
    </w:p>
    <w:p w:rsidR="00E0118E" w:rsidRPr="006D2225" w:rsidRDefault="00E0118E" w:rsidP="00E0118E">
      <w:pPr>
        <w:pStyle w:val="Definition"/>
        <w:rPr>
          <w:lang w:eastAsia="en-US"/>
        </w:rPr>
      </w:pPr>
      <w:r w:rsidRPr="006D2225">
        <w:rPr>
          <w:b/>
          <w:i/>
          <w:lang w:eastAsia="en-US"/>
        </w:rPr>
        <w:t>non</w:t>
      </w:r>
      <w:r>
        <w:rPr>
          <w:b/>
          <w:i/>
          <w:lang w:eastAsia="en-US"/>
        </w:rPr>
        <w:noBreakHyphen/>
      </w:r>
      <w:r w:rsidRPr="006D2225">
        <w:rPr>
          <w:b/>
          <w:i/>
          <w:lang w:eastAsia="en-US"/>
        </w:rPr>
        <w:t xml:space="preserve">IMR net income </w:t>
      </w:r>
      <w:r w:rsidRPr="006D2225">
        <w:rPr>
          <w:lang w:eastAsia="en-US"/>
        </w:rPr>
        <w:t>has the meaning given by subsection 842</w:t>
      </w:r>
      <w:r>
        <w:rPr>
          <w:lang w:eastAsia="en-US"/>
        </w:rPr>
        <w:noBreakHyphen/>
      </w:r>
      <w:r w:rsidRPr="006D2225">
        <w:rPr>
          <w:lang w:eastAsia="en-US"/>
        </w:rPr>
        <w:t>260(1).</w:t>
      </w:r>
    </w:p>
    <w:p w:rsidR="00D12CFF" w:rsidRPr="006D2225" w:rsidRDefault="00D12CFF" w:rsidP="00D12CFF">
      <w:pPr>
        <w:pStyle w:val="Definition"/>
      </w:pPr>
      <w:r w:rsidRPr="006D2225">
        <w:rPr>
          <w:b/>
          <w:i/>
          <w:lang w:eastAsia="en-US"/>
        </w:rPr>
        <w:t>non</w:t>
      </w:r>
      <w:r>
        <w:rPr>
          <w:b/>
          <w:i/>
          <w:lang w:eastAsia="en-US"/>
        </w:rPr>
        <w:noBreakHyphen/>
      </w:r>
      <w:r w:rsidRPr="006D2225">
        <w:rPr>
          <w:b/>
          <w:i/>
          <w:lang w:eastAsia="en-US"/>
        </w:rPr>
        <w:t xml:space="preserve">IMR partnership loss </w:t>
      </w:r>
      <w:r w:rsidRPr="006D2225">
        <w:rPr>
          <w:lang w:eastAsia="en-US"/>
        </w:rPr>
        <w:t>has the meaning given by section 842</w:t>
      </w:r>
      <w:r>
        <w:rPr>
          <w:lang w:eastAsia="en-US"/>
        </w:rPr>
        <w:noBreakHyphen/>
      </w:r>
      <w:r w:rsidRPr="006D2225">
        <w:rPr>
          <w:lang w:eastAsia="en-US"/>
        </w:rPr>
        <w:t>265.</w:t>
      </w:r>
    </w:p>
    <w:p w:rsidR="00D12CFF" w:rsidRPr="006D2225" w:rsidRDefault="00D12CFF" w:rsidP="00D12CFF">
      <w:pPr>
        <w:pStyle w:val="Definition"/>
        <w:rPr>
          <w:lang w:eastAsia="en-US"/>
        </w:rPr>
      </w:pPr>
      <w:r w:rsidRPr="006D2225">
        <w:rPr>
          <w:b/>
          <w:i/>
          <w:lang w:eastAsia="en-US"/>
        </w:rPr>
        <w:t>non</w:t>
      </w:r>
      <w:r>
        <w:rPr>
          <w:b/>
          <w:i/>
          <w:lang w:eastAsia="en-US"/>
        </w:rPr>
        <w:noBreakHyphen/>
      </w:r>
      <w:r w:rsidRPr="006D2225">
        <w:rPr>
          <w:b/>
          <w:i/>
          <w:lang w:eastAsia="en-US"/>
        </w:rPr>
        <w:t xml:space="preserve">IMR partnership net income </w:t>
      </w:r>
      <w:r w:rsidRPr="006D2225">
        <w:rPr>
          <w:lang w:eastAsia="en-US"/>
        </w:rPr>
        <w:t>has the meaning given by section 842</w:t>
      </w:r>
      <w:r>
        <w:rPr>
          <w:lang w:eastAsia="en-US"/>
        </w:rPr>
        <w:noBreakHyphen/>
      </w:r>
      <w:r w:rsidRPr="006D2225">
        <w:rPr>
          <w:lang w:eastAsia="en-US"/>
        </w:rPr>
        <w:t>265.</w:t>
      </w:r>
    </w:p>
    <w:p w:rsidR="007E1A90" w:rsidRPr="0038586A" w:rsidRDefault="007E1A90" w:rsidP="007E1A90">
      <w:pPr>
        <w:pStyle w:val="Definition"/>
      </w:pPr>
      <w:r w:rsidRPr="0038586A">
        <w:rPr>
          <w:b/>
          <w:i/>
        </w:rPr>
        <w:lastRenderedPageBreak/>
        <w:t>non</w:t>
      </w:r>
      <w:r w:rsidRPr="0038586A">
        <w:rPr>
          <w:b/>
          <w:i/>
        </w:rPr>
        <w:noBreakHyphen/>
        <w:t>membership equity interest</w:t>
      </w:r>
      <w:r w:rsidRPr="0038586A">
        <w:t xml:space="preserve">: an interest in an entity is a </w:t>
      </w:r>
      <w:r w:rsidRPr="0038586A">
        <w:rPr>
          <w:b/>
          <w:i/>
        </w:rPr>
        <w:t>non</w:t>
      </w:r>
      <w:r w:rsidRPr="0038586A">
        <w:rPr>
          <w:b/>
          <w:i/>
        </w:rPr>
        <w:noBreakHyphen/>
        <w:t>membership equity interest</w:t>
      </w:r>
      <w:r w:rsidRPr="0038586A">
        <w:t xml:space="preserve"> in the entity at a time to the extent that it is </w:t>
      </w:r>
      <w:r w:rsidRPr="0038586A">
        <w:rPr>
          <w:i/>
        </w:rPr>
        <w:t>not</w:t>
      </w:r>
      <w:r w:rsidRPr="0038586A">
        <w:t xml:space="preserve"> an accounting liability (within the meaning of subsection 705</w:t>
      </w:r>
      <w:r w:rsidRPr="0038586A">
        <w:noBreakHyphen/>
        <w:t>70(1)) of the entity at that time, if:</w:t>
      </w:r>
    </w:p>
    <w:p w:rsidR="007E1A90" w:rsidRPr="0038586A" w:rsidRDefault="007E1A90" w:rsidP="007E1A90">
      <w:pPr>
        <w:pStyle w:val="paragraph"/>
      </w:pPr>
      <w:r w:rsidRPr="0038586A">
        <w:tab/>
        <w:t>(a)</w:t>
      </w:r>
      <w:r w:rsidRPr="0038586A">
        <w:tab/>
        <w:t xml:space="preserve">the interest is </w:t>
      </w:r>
      <w:r w:rsidRPr="0038586A">
        <w:rPr>
          <w:i/>
        </w:rPr>
        <w:t xml:space="preserve">not </w:t>
      </w:r>
      <w:r w:rsidRPr="0038586A">
        <w:t xml:space="preserve">a </w:t>
      </w:r>
      <w:r w:rsidRPr="0038586A">
        <w:rPr>
          <w:position w:val="6"/>
          <w:sz w:val="16"/>
        </w:rPr>
        <w:t>*</w:t>
      </w:r>
      <w:r w:rsidRPr="0038586A">
        <w:t>membership interest in the entity at that time; and</w:t>
      </w:r>
    </w:p>
    <w:p w:rsidR="007E1A90" w:rsidRPr="0038586A" w:rsidRDefault="007E1A90" w:rsidP="007E1A90">
      <w:pPr>
        <w:pStyle w:val="paragraph"/>
      </w:pPr>
      <w:r w:rsidRPr="0038586A">
        <w:tab/>
        <w:t>(b)</w:t>
      </w:r>
      <w:r w:rsidRPr="0038586A">
        <w:tab/>
        <w:t xml:space="preserve">the interest is </w:t>
      </w:r>
      <w:r w:rsidRPr="0038586A">
        <w:rPr>
          <w:i/>
        </w:rPr>
        <w:t xml:space="preserve">not </w:t>
      </w:r>
      <w:r w:rsidRPr="0038586A">
        <w:t xml:space="preserve">a </w:t>
      </w:r>
      <w:r w:rsidRPr="0038586A">
        <w:rPr>
          <w:position w:val="6"/>
          <w:sz w:val="16"/>
        </w:rPr>
        <w:t>*</w:t>
      </w:r>
      <w:r w:rsidRPr="0038586A">
        <w:t>debt interest in the entity at that time.</w:t>
      </w:r>
    </w:p>
    <w:p w:rsidR="007E1A90" w:rsidRPr="0038586A" w:rsidRDefault="007E1A90" w:rsidP="007E1A90">
      <w:pPr>
        <w:pStyle w:val="subsection2"/>
      </w:pPr>
      <w:r w:rsidRPr="0038586A">
        <w:t xml:space="preserve">In determining the extent to which the interest is </w:t>
      </w:r>
      <w:r w:rsidRPr="0038586A">
        <w:rPr>
          <w:i/>
        </w:rPr>
        <w:t>not</w:t>
      </w:r>
      <w:r w:rsidRPr="0038586A">
        <w:t xml:space="preserve"> an accounting liability at that time:</w:t>
      </w:r>
    </w:p>
    <w:p w:rsidR="007E1A90" w:rsidRPr="0038586A" w:rsidRDefault="007E1A90" w:rsidP="007E1A90">
      <w:pPr>
        <w:pStyle w:val="paragraph"/>
      </w:pPr>
      <w:r w:rsidRPr="0038586A">
        <w:tab/>
        <w:t>(c)</w:t>
      </w:r>
      <w:r w:rsidRPr="0038586A">
        <w:tab/>
        <w:t>treat each reference in subsection 705</w:t>
      </w:r>
      <w:r w:rsidRPr="0038586A">
        <w:noBreakHyphen/>
        <w:t>70(1) to the joining entity as instead being a reference to the entity; and</w:t>
      </w:r>
    </w:p>
    <w:p w:rsidR="007E1A90" w:rsidRPr="0038586A" w:rsidRDefault="007E1A90" w:rsidP="007E1A90">
      <w:pPr>
        <w:pStyle w:val="paragraph"/>
      </w:pPr>
      <w:r w:rsidRPr="0038586A">
        <w:tab/>
        <w:t>(d)</w:t>
      </w:r>
      <w:r w:rsidRPr="0038586A">
        <w:tab/>
        <w:t>treat the reference in that subsection to the joining time as instead being a reference to that time.</w:t>
      </w:r>
    </w:p>
    <w:p w:rsidR="00887330" w:rsidRPr="00583E1A" w:rsidRDefault="00887330" w:rsidP="00887330">
      <w:pPr>
        <w:pStyle w:val="Definition"/>
      </w:pPr>
      <w:r w:rsidRPr="00583E1A">
        <w:rPr>
          <w:b/>
          <w:i/>
        </w:rPr>
        <w:t>non</w:t>
      </w:r>
      <w:r w:rsidR="00583E1A">
        <w:rPr>
          <w:b/>
          <w:i/>
        </w:rPr>
        <w:noBreakHyphen/>
      </w:r>
      <w:r w:rsidRPr="00583E1A">
        <w:rPr>
          <w:b/>
          <w:i/>
        </w:rPr>
        <w:t>member spouse</w:t>
      </w:r>
      <w:r w:rsidRPr="00583E1A">
        <w:t xml:space="preserve"> has the same meaning as in Part</w:t>
      </w:r>
      <w:r w:rsidR="00583E1A">
        <w:t> </w:t>
      </w:r>
      <w:r w:rsidRPr="00583E1A">
        <w:t xml:space="preserve">VIIIB of the </w:t>
      </w:r>
      <w:r w:rsidRPr="00583E1A">
        <w:rPr>
          <w:i/>
        </w:rPr>
        <w:t>Family Law Act 1975</w:t>
      </w:r>
      <w:r w:rsidRPr="00583E1A">
        <w:t>.</w:t>
      </w:r>
    </w:p>
    <w:p w:rsidR="00C85D29" w:rsidRPr="00583E1A" w:rsidRDefault="00C85D29" w:rsidP="00C85D29">
      <w:pPr>
        <w:pStyle w:val="Definition"/>
        <w:rPr>
          <w:b/>
          <w:i/>
        </w:rPr>
      </w:pPr>
      <w:r w:rsidRPr="00583E1A">
        <w:rPr>
          <w:b/>
          <w:i/>
        </w:rPr>
        <w:t>non</w:t>
      </w:r>
      <w:r w:rsidR="00583E1A">
        <w:rPr>
          <w:b/>
          <w:i/>
        </w:rPr>
        <w:noBreakHyphen/>
      </w:r>
      <w:r w:rsidRPr="00583E1A">
        <w:rPr>
          <w:b/>
          <w:i/>
        </w:rPr>
        <w:t>portfolio interest test</w:t>
      </w:r>
      <w:r w:rsidRPr="00583E1A">
        <w:t xml:space="preserve">: an interest held by an entity in another entity passes the </w:t>
      </w:r>
      <w:r w:rsidRPr="00583E1A">
        <w:rPr>
          <w:b/>
          <w:i/>
        </w:rPr>
        <w:t>non</w:t>
      </w:r>
      <w:r w:rsidR="00583E1A">
        <w:rPr>
          <w:b/>
          <w:i/>
        </w:rPr>
        <w:noBreakHyphen/>
      </w:r>
      <w:r w:rsidRPr="00583E1A">
        <w:rPr>
          <w:b/>
          <w:i/>
        </w:rPr>
        <w:t>portfolio interest test</w:t>
      </w:r>
      <w:r w:rsidRPr="00583E1A">
        <w:t xml:space="preserve"> in the circumstances set out in section</w:t>
      </w:r>
      <w:r w:rsidR="00583E1A">
        <w:t> </w:t>
      </w:r>
      <w:r w:rsidRPr="00583E1A">
        <w:t>960</w:t>
      </w:r>
      <w:r w:rsidR="00583E1A">
        <w:noBreakHyphen/>
      </w:r>
      <w:r w:rsidRPr="00583E1A">
        <w:t>195.</w:t>
      </w:r>
    </w:p>
    <w:p w:rsidR="00887330" w:rsidRPr="00583E1A" w:rsidRDefault="00887330" w:rsidP="00887330">
      <w:pPr>
        <w:pStyle w:val="Definition"/>
      </w:pPr>
      <w:r w:rsidRPr="00583E1A">
        <w:rPr>
          <w:b/>
          <w:i/>
        </w:rPr>
        <w:t>non</w:t>
      </w:r>
      <w:r w:rsidR="00583E1A">
        <w:rPr>
          <w:b/>
          <w:i/>
        </w:rPr>
        <w:noBreakHyphen/>
      </w:r>
      <w:r w:rsidRPr="00583E1A">
        <w:rPr>
          <w:b/>
          <w:i/>
        </w:rPr>
        <w:t xml:space="preserve">primary production deductions </w:t>
      </w:r>
      <w:r w:rsidRPr="00583E1A">
        <w:t>has the meaning given by subsection 392</w:t>
      </w:r>
      <w:r w:rsidR="00583E1A">
        <w:noBreakHyphen/>
      </w:r>
      <w:r w:rsidRPr="00583E1A">
        <w:t>85(3).</w:t>
      </w:r>
    </w:p>
    <w:p w:rsidR="00887330" w:rsidRPr="00583E1A" w:rsidRDefault="00887330" w:rsidP="00887330">
      <w:pPr>
        <w:pStyle w:val="Definition"/>
      </w:pPr>
      <w:r w:rsidRPr="00583E1A">
        <w:rPr>
          <w:b/>
          <w:i/>
        </w:rPr>
        <w:t>non</w:t>
      </w:r>
      <w:r w:rsidR="00583E1A">
        <w:rPr>
          <w:b/>
          <w:i/>
        </w:rPr>
        <w:noBreakHyphen/>
      </w:r>
      <w:r w:rsidRPr="00583E1A">
        <w:rPr>
          <w:b/>
          <w:i/>
        </w:rPr>
        <w:t>primary production shade</w:t>
      </w:r>
      <w:r w:rsidR="00583E1A">
        <w:rPr>
          <w:b/>
          <w:i/>
        </w:rPr>
        <w:noBreakHyphen/>
      </w:r>
      <w:r w:rsidRPr="00583E1A">
        <w:rPr>
          <w:b/>
          <w:i/>
        </w:rPr>
        <w:t>out amount</w:t>
      </w:r>
      <w:r w:rsidRPr="00583E1A">
        <w:t xml:space="preserve"> has the meaning given by subsections 392</w:t>
      </w:r>
      <w:r w:rsidR="00583E1A">
        <w:noBreakHyphen/>
      </w:r>
      <w:r w:rsidRPr="00583E1A">
        <w:t>90(2) and (3).</w:t>
      </w:r>
    </w:p>
    <w:p w:rsidR="00887330" w:rsidRPr="00583E1A" w:rsidRDefault="00887330" w:rsidP="00887330">
      <w:pPr>
        <w:pStyle w:val="Definition"/>
        <w:rPr>
          <w:i/>
        </w:rPr>
      </w:pPr>
      <w:r w:rsidRPr="00583E1A">
        <w:rPr>
          <w:b/>
          <w:i/>
        </w:rPr>
        <w:t>non</w:t>
      </w:r>
      <w:r w:rsidR="00583E1A">
        <w:rPr>
          <w:b/>
          <w:i/>
        </w:rPr>
        <w:noBreakHyphen/>
      </w:r>
      <w:r w:rsidRPr="00583E1A">
        <w:rPr>
          <w:b/>
          <w:i/>
        </w:rPr>
        <w:t>profit company</w:t>
      </w:r>
      <w:r w:rsidRPr="00583E1A">
        <w:t xml:space="preserve"> has the meaning given by section</w:t>
      </w:r>
      <w:r w:rsidR="00583E1A">
        <w:t> </w:t>
      </w:r>
      <w:r w:rsidRPr="00583E1A">
        <w:t xml:space="preserve">3 of the </w:t>
      </w:r>
      <w:r w:rsidRPr="00583E1A">
        <w:rPr>
          <w:i/>
        </w:rPr>
        <w:t>Income Tax Act 1986.</w:t>
      </w:r>
    </w:p>
    <w:p w:rsidR="00887330" w:rsidRPr="00583E1A" w:rsidRDefault="00887330" w:rsidP="00887330">
      <w:pPr>
        <w:pStyle w:val="Definition"/>
      </w:pPr>
      <w:r w:rsidRPr="00583E1A">
        <w:rPr>
          <w:b/>
          <w:i/>
        </w:rPr>
        <w:t>non</w:t>
      </w:r>
      <w:r w:rsidR="00583E1A">
        <w:rPr>
          <w:b/>
          <w:i/>
        </w:rPr>
        <w:noBreakHyphen/>
      </w:r>
      <w:r w:rsidRPr="00583E1A">
        <w:rPr>
          <w:b/>
          <w:i/>
        </w:rPr>
        <w:t>profit sub</w:t>
      </w:r>
      <w:r w:rsidR="00583E1A">
        <w:rPr>
          <w:b/>
          <w:i/>
        </w:rPr>
        <w:noBreakHyphen/>
      </w:r>
      <w:r w:rsidRPr="00583E1A">
        <w:rPr>
          <w:b/>
          <w:i/>
        </w:rPr>
        <w:t>entity</w:t>
      </w:r>
      <w:r w:rsidRPr="00583E1A">
        <w:t xml:space="preserve"> has the meaning given by section</w:t>
      </w:r>
      <w:r w:rsidR="00583E1A">
        <w:t> </w:t>
      </w:r>
      <w:r w:rsidRPr="00583E1A">
        <w:t>195</w:t>
      </w:r>
      <w:r w:rsidR="00583E1A">
        <w:noBreakHyphen/>
      </w:r>
      <w:r w:rsidRPr="00583E1A">
        <w:t xml:space="preserve">1 of the </w:t>
      </w:r>
      <w:r w:rsidR="00583E1A" w:rsidRPr="00583E1A">
        <w:rPr>
          <w:position w:val="6"/>
          <w:sz w:val="16"/>
        </w:rPr>
        <w:t>*</w:t>
      </w:r>
      <w:r w:rsidRPr="00583E1A">
        <w:t>GST Act.</w:t>
      </w:r>
    </w:p>
    <w:p w:rsidR="00887330" w:rsidRPr="00583E1A" w:rsidRDefault="00887330" w:rsidP="00887330">
      <w:pPr>
        <w:pStyle w:val="Definition"/>
      </w:pPr>
      <w:r w:rsidRPr="00583E1A">
        <w:rPr>
          <w:b/>
          <w:i/>
        </w:rPr>
        <w:t>non</w:t>
      </w:r>
      <w:r w:rsidR="00583E1A">
        <w:rPr>
          <w:b/>
          <w:i/>
        </w:rPr>
        <w:noBreakHyphen/>
      </w:r>
      <w:r w:rsidRPr="00583E1A">
        <w:rPr>
          <w:b/>
          <w:i/>
        </w:rPr>
        <w:t>quotation withholding payment</w:t>
      </w:r>
      <w:r w:rsidRPr="00583E1A">
        <w:t xml:space="preserve"> means a </w:t>
      </w:r>
      <w:r w:rsidR="00583E1A" w:rsidRPr="00583E1A">
        <w:rPr>
          <w:position w:val="6"/>
          <w:sz w:val="16"/>
        </w:rPr>
        <w:t>*</w:t>
      </w:r>
      <w:r w:rsidRPr="00583E1A">
        <w:t>withholding payment covered by Subdivision</w:t>
      </w:r>
      <w:r w:rsidR="00583E1A">
        <w:t> </w:t>
      </w:r>
      <w:r w:rsidRPr="00583E1A">
        <w:t>12</w:t>
      </w:r>
      <w:r w:rsidR="00583E1A">
        <w:noBreakHyphen/>
      </w:r>
      <w:r w:rsidRPr="00583E1A">
        <w:t>E in Schedule</w:t>
      </w:r>
      <w:r w:rsidR="00583E1A">
        <w:t> </w:t>
      </w:r>
      <w:r w:rsidRPr="00583E1A">
        <w:t xml:space="preserve">1 to the </w:t>
      </w:r>
      <w:r w:rsidRPr="00583E1A">
        <w:rPr>
          <w:i/>
        </w:rPr>
        <w:t>Taxation Administration Act 1953</w:t>
      </w:r>
      <w:r w:rsidRPr="00583E1A">
        <w:t>.</w:t>
      </w:r>
    </w:p>
    <w:p w:rsidR="00887330" w:rsidRPr="00583E1A" w:rsidRDefault="00887330" w:rsidP="00887330">
      <w:pPr>
        <w:pStyle w:val="notetext"/>
      </w:pPr>
      <w:r w:rsidRPr="00583E1A">
        <w:t>Note:</w:t>
      </w:r>
      <w:r w:rsidRPr="00583E1A">
        <w:tab/>
        <w:t>Subdivision</w:t>
      </w:r>
      <w:r w:rsidR="00583E1A">
        <w:t> </w:t>
      </w:r>
      <w:r w:rsidRPr="00583E1A">
        <w:t>12</w:t>
      </w:r>
      <w:r w:rsidR="00583E1A">
        <w:noBreakHyphen/>
      </w:r>
      <w:r w:rsidRPr="00583E1A">
        <w:t>E and Division</w:t>
      </w:r>
      <w:r w:rsidR="00583E1A">
        <w:t> </w:t>
      </w:r>
      <w:r w:rsidRPr="00583E1A">
        <w:t>14 in that Schedule deal with collecting amounts on account of income tax payable by recipients of certain payments or non</w:t>
      </w:r>
      <w:r w:rsidR="00583E1A">
        <w:noBreakHyphen/>
      </w:r>
      <w:r w:rsidRPr="00583E1A">
        <w:t>cash benefits who have not quoted their tax file number or ABN, as appropriate.</w:t>
      </w:r>
    </w:p>
    <w:p w:rsidR="00887330" w:rsidRPr="00583E1A" w:rsidRDefault="00887330" w:rsidP="00887330">
      <w:pPr>
        <w:pStyle w:val="Definition"/>
      </w:pPr>
      <w:r w:rsidRPr="00583E1A">
        <w:rPr>
          <w:b/>
          <w:i/>
        </w:rPr>
        <w:lastRenderedPageBreak/>
        <w:t>non</w:t>
      </w:r>
      <w:r w:rsidR="00583E1A">
        <w:rPr>
          <w:b/>
          <w:i/>
        </w:rPr>
        <w:noBreakHyphen/>
      </w:r>
      <w:r w:rsidRPr="00583E1A">
        <w:rPr>
          <w:b/>
          <w:i/>
        </w:rPr>
        <w:t>share capital account</w:t>
      </w:r>
      <w:r w:rsidRPr="00583E1A">
        <w:t xml:space="preserve"> means the account provided for by section</w:t>
      </w:r>
      <w:r w:rsidR="00583E1A">
        <w:t> </w:t>
      </w:r>
      <w:r w:rsidRPr="00583E1A">
        <w:t>164</w:t>
      </w:r>
      <w:r w:rsidR="00583E1A">
        <w:noBreakHyphen/>
      </w:r>
      <w:r w:rsidRPr="00583E1A">
        <w:t>10.</w:t>
      </w:r>
    </w:p>
    <w:p w:rsidR="00887330" w:rsidRPr="00583E1A" w:rsidRDefault="00887330" w:rsidP="00887330">
      <w:pPr>
        <w:pStyle w:val="Definition"/>
      </w:pPr>
      <w:r w:rsidRPr="00583E1A">
        <w:rPr>
          <w:b/>
          <w:i/>
        </w:rPr>
        <w:t>non</w:t>
      </w:r>
      <w:r w:rsidR="00583E1A">
        <w:rPr>
          <w:b/>
          <w:i/>
        </w:rPr>
        <w:noBreakHyphen/>
      </w:r>
      <w:r w:rsidRPr="00583E1A">
        <w:rPr>
          <w:b/>
          <w:i/>
        </w:rPr>
        <w:t>share capital return</w:t>
      </w:r>
      <w:r w:rsidRPr="00583E1A">
        <w:t xml:space="preserve"> has the meaning given by section</w:t>
      </w:r>
      <w:r w:rsidR="00583E1A">
        <w:t> </w:t>
      </w:r>
      <w:r w:rsidRPr="00583E1A">
        <w:t>974</w:t>
      </w:r>
      <w:r w:rsidR="00583E1A">
        <w:noBreakHyphen/>
      </w:r>
      <w:r w:rsidRPr="00583E1A">
        <w:t>125.</w:t>
      </w:r>
    </w:p>
    <w:p w:rsidR="00887330" w:rsidRPr="00583E1A" w:rsidRDefault="00887330" w:rsidP="00887330">
      <w:pPr>
        <w:pStyle w:val="Definition"/>
      </w:pPr>
      <w:r w:rsidRPr="00583E1A">
        <w:rPr>
          <w:b/>
          <w:i/>
        </w:rPr>
        <w:t>non</w:t>
      </w:r>
      <w:r w:rsidR="00583E1A">
        <w:rPr>
          <w:b/>
          <w:i/>
        </w:rPr>
        <w:noBreakHyphen/>
      </w:r>
      <w:r w:rsidRPr="00583E1A">
        <w:rPr>
          <w:b/>
          <w:i/>
        </w:rPr>
        <w:t>share equity interest</w:t>
      </w:r>
      <w:r w:rsidRPr="00583E1A">
        <w:t xml:space="preserve"> in a company means an </w:t>
      </w:r>
      <w:r w:rsidR="00583E1A" w:rsidRPr="00583E1A">
        <w:rPr>
          <w:position w:val="6"/>
          <w:sz w:val="16"/>
        </w:rPr>
        <w:t>*</w:t>
      </w:r>
      <w:r w:rsidRPr="00583E1A">
        <w:t xml:space="preserve">equity interest in the company that is not solely a </w:t>
      </w:r>
      <w:r w:rsidR="00583E1A" w:rsidRPr="00583E1A">
        <w:rPr>
          <w:position w:val="6"/>
          <w:sz w:val="16"/>
        </w:rPr>
        <w:t>*</w:t>
      </w:r>
      <w:r w:rsidRPr="00583E1A">
        <w:t>share.</w:t>
      </w:r>
    </w:p>
    <w:p w:rsidR="00887330" w:rsidRPr="00583E1A" w:rsidRDefault="00887330" w:rsidP="00887330">
      <w:pPr>
        <w:pStyle w:val="Definition"/>
      </w:pPr>
      <w:r w:rsidRPr="00583E1A">
        <w:rPr>
          <w:b/>
          <w:i/>
        </w:rPr>
        <w:t>non</w:t>
      </w:r>
      <w:r w:rsidR="00583E1A">
        <w:rPr>
          <w:b/>
          <w:i/>
        </w:rPr>
        <w:noBreakHyphen/>
      </w:r>
      <w:r w:rsidRPr="00583E1A">
        <w:rPr>
          <w:b/>
          <w:i/>
        </w:rPr>
        <w:t>share distribution</w:t>
      </w:r>
      <w:r w:rsidRPr="00583E1A">
        <w:t xml:space="preserve"> has the meaning given by section</w:t>
      </w:r>
      <w:r w:rsidR="00583E1A">
        <w:t> </w:t>
      </w:r>
      <w:r w:rsidRPr="00583E1A">
        <w:t>974</w:t>
      </w:r>
      <w:r w:rsidR="00583E1A">
        <w:noBreakHyphen/>
      </w:r>
      <w:r w:rsidRPr="00583E1A">
        <w:t>115.</w:t>
      </w:r>
    </w:p>
    <w:p w:rsidR="00887330" w:rsidRPr="00583E1A" w:rsidRDefault="00887330" w:rsidP="00887330">
      <w:pPr>
        <w:pStyle w:val="Definition"/>
      </w:pPr>
      <w:r w:rsidRPr="00583E1A">
        <w:rPr>
          <w:b/>
          <w:i/>
        </w:rPr>
        <w:t>non</w:t>
      </w:r>
      <w:r w:rsidR="00583E1A">
        <w:rPr>
          <w:b/>
          <w:i/>
        </w:rPr>
        <w:noBreakHyphen/>
      </w:r>
      <w:r w:rsidRPr="00583E1A">
        <w:rPr>
          <w:b/>
          <w:i/>
        </w:rPr>
        <w:t>share dividend</w:t>
      </w:r>
      <w:r w:rsidRPr="00583E1A">
        <w:t xml:space="preserve"> has the meaning given by section</w:t>
      </w:r>
      <w:r w:rsidR="00583E1A">
        <w:t> </w:t>
      </w:r>
      <w:r w:rsidRPr="00583E1A">
        <w:t>974</w:t>
      </w:r>
      <w:r w:rsidR="00583E1A">
        <w:noBreakHyphen/>
      </w:r>
      <w:r w:rsidRPr="00583E1A">
        <w:t>120.</w:t>
      </w:r>
    </w:p>
    <w:p w:rsidR="004F4272" w:rsidRPr="00583E1A" w:rsidRDefault="004F4272" w:rsidP="004F4272">
      <w:pPr>
        <w:pStyle w:val="Definition"/>
        <w:rPr>
          <w:szCs w:val="22"/>
        </w:rPr>
      </w:pPr>
      <w:r w:rsidRPr="00583E1A">
        <w:rPr>
          <w:b/>
          <w:i/>
        </w:rPr>
        <w:t>no</w:t>
      </w:r>
      <w:r w:rsidR="00583E1A">
        <w:rPr>
          <w:b/>
          <w:i/>
        </w:rPr>
        <w:noBreakHyphen/>
      </w:r>
      <w:r w:rsidRPr="00583E1A">
        <w:rPr>
          <w:b/>
          <w:i/>
        </w:rPr>
        <w:t>TFN contributions income</w:t>
      </w:r>
      <w:r w:rsidRPr="00583E1A">
        <w:rPr>
          <w:sz w:val="20"/>
        </w:rPr>
        <w:t xml:space="preserve"> </w:t>
      </w:r>
      <w:r w:rsidRPr="00583E1A">
        <w:rPr>
          <w:szCs w:val="22"/>
        </w:rPr>
        <w:t>has the meaning given by section</w:t>
      </w:r>
      <w:r w:rsidR="00583E1A">
        <w:rPr>
          <w:szCs w:val="22"/>
        </w:rPr>
        <w:t> </w:t>
      </w:r>
      <w:r w:rsidRPr="00583E1A">
        <w:rPr>
          <w:szCs w:val="22"/>
        </w:rPr>
        <w:t>295</w:t>
      </w:r>
      <w:r w:rsidR="00583E1A">
        <w:rPr>
          <w:szCs w:val="22"/>
        </w:rPr>
        <w:noBreakHyphen/>
      </w:r>
      <w:r w:rsidRPr="00583E1A">
        <w:rPr>
          <w:szCs w:val="22"/>
        </w:rPr>
        <w:t>610.</w:t>
      </w:r>
    </w:p>
    <w:p w:rsidR="00887330" w:rsidRPr="00583E1A" w:rsidRDefault="00887330" w:rsidP="00887330">
      <w:pPr>
        <w:pStyle w:val="Definition"/>
      </w:pPr>
      <w:r w:rsidRPr="00583E1A">
        <w:rPr>
          <w:b/>
          <w:i/>
        </w:rPr>
        <w:t>notional buyer</w:t>
      </w:r>
      <w:r w:rsidRPr="00583E1A">
        <w:t xml:space="preserve"> has the meaning given by section</w:t>
      </w:r>
      <w:r w:rsidR="00583E1A">
        <w:t> </w:t>
      </w:r>
      <w:r w:rsidRPr="00583E1A">
        <w:t>240</w:t>
      </w:r>
      <w:r w:rsidR="00583E1A">
        <w:noBreakHyphen/>
      </w:r>
      <w:r w:rsidRPr="00583E1A">
        <w:t>17.</w:t>
      </w:r>
    </w:p>
    <w:p w:rsidR="00887330" w:rsidRPr="00583E1A" w:rsidRDefault="00887330" w:rsidP="00887330">
      <w:pPr>
        <w:pStyle w:val="Definition"/>
      </w:pPr>
      <w:r w:rsidRPr="00583E1A">
        <w:rPr>
          <w:b/>
          <w:i/>
        </w:rPr>
        <w:t>notional depreciation</w:t>
      </w:r>
      <w:r w:rsidRPr="00583E1A">
        <w:t xml:space="preserve"> for a lease period has the meaning given by section</w:t>
      </w:r>
      <w:r w:rsidR="00583E1A">
        <w:t> </w:t>
      </w:r>
      <w:r w:rsidRPr="00583E1A">
        <w:t>20</w:t>
      </w:r>
      <w:r w:rsidR="00583E1A">
        <w:noBreakHyphen/>
      </w:r>
      <w:r w:rsidRPr="00583E1A">
        <w:t>120.</w:t>
      </w:r>
    </w:p>
    <w:p w:rsidR="00887330" w:rsidRPr="00583E1A" w:rsidRDefault="00887330" w:rsidP="00887330">
      <w:pPr>
        <w:pStyle w:val="Definition"/>
      </w:pPr>
      <w:r w:rsidRPr="00583E1A">
        <w:rPr>
          <w:b/>
          <w:i/>
        </w:rPr>
        <w:t>notional employer</w:t>
      </w:r>
      <w:r w:rsidRPr="00583E1A">
        <w:t xml:space="preserve"> has the meaning given by section</w:t>
      </w:r>
      <w:r w:rsidR="00583E1A">
        <w:t> </w:t>
      </w:r>
      <w:r w:rsidRPr="00583E1A">
        <w:t>28</w:t>
      </w:r>
      <w:r w:rsidR="00583E1A">
        <w:noBreakHyphen/>
      </w:r>
      <w:r w:rsidRPr="00583E1A">
        <w:t>185.</w:t>
      </w:r>
    </w:p>
    <w:p w:rsidR="00887330" w:rsidRPr="00583E1A" w:rsidRDefault="00887330" w:rsidP="00887330">
      <w:pPr>
        <w:pStyle w:val="Definition"/>
      </w:pPr>
      <w:r w:rsidRPr="00583E1A">
        <w:rPr>
          <w:b/>
          <w:i/>
        </w:rPr>
        <w:t>notional interest</w:t>
      </w:r>
      <w:r w:rsidRPr="00583E1A">
        <w:t xml:space="preserve"> has the meaning given by section</w:t>
      </w:r>
      <w:r w:rsidR="00583E1A">
        <w:t> </w:t>
      </w:r>
      <w:r w:rsidRPr="00583E1A">
        <w:t>240</w:t>
      </w:r>
      <w:r w:rsidR="00583E1A">
        <w:noBreakHyphen/>
      </w:r>
      <w:r w:rsidRPr="00583E1A">
        <w:t>60.</w:t>
      </w:r>
    </w:p>
    <w:p w:rsidR="00887330" w:rsidRPr="00583E1A" w:rsidRDefault="00887330" w:rsidP="00397971">
      <w:pPr>
        <w:pStyle w:val="Definition"/>
        <w:keepNext/>
      </w:pPr>
      <w:r w:rsidRPr="00583E1A">
        <w:rPr>
          <w:b/>
          <w:i/>
        </w:rPr>
        <w:t>notional loss</w:t>
      </w:r>
      <w:r w:rsidRPr="00583E1A">
        <w:t>:</w:t>
      </w:r>
    </w:p>
    <w:p w:rsidR="00887330" w:rsidRPr="00583E1A" w:rsidRDefault="00887330" w:rsidP="00887330">
      <w:pPr>
        <w:pStyle w:val="paragraph"/>
      </w:pPr>
      <w:r w:rsidRPr="00583E1A">
        <w:tab/>
        <w:t>(a)</w:t>
      </w:r>
      <w:r w:rsidRPr="00583E1A">
        <w:tab/>
        <w:t>of a company—has the meaning given by sections</w:t>
      </w:r>
      <w:r w:rsidR="00583E1A">
        <w:t> </w:t>
      </w:r>
      <w:r w:rsidRPr="00583E1A">
        <w:t>165</w:t>
      </w:r>
      <w:r w:rsidR="00583E1A">
        <w:noBreakHyphen/>
      </w:r>
      <w:r w:rsidRPr="00583E1A">
        <w:t>50 and 165</w:t>
      </w:r>
      <w:r w:rsidR="00583E1A">
        <w:noBreakHyphen/>
      </w:r>
      <w:r w:rsidRPr="00583E1A">
        <w:t>75; and</w:t>
      </w:r>
    </w:p>
    <w:p w:rsidR="00887330" w:rsidRPr="00583E1A" w:rsidRDefault="00887330" w:rsidP="00887330">
      <w:pPr>
        <w:pStyle w:val="paragraph"/>
      </w:pPr>
      <w:r w:rsidRPr="00583E1A">
        <w:tab/>
        <w:t>(b)</w:t>
      </w:r>
      <w:r w:rsidRPr="00583E1A">
        <w:tab/>
        <w:t>of a partnership—has the meaning given by sections</w:t>
      </w:r>
      <w:r w:rsidR="00583E1A">
        <w:t> </w:t>
      </w:r>
      <w:r w:rsidRPr="00583E1A">
        <w:t>165</w:t>
      </w:r>
      <w:r w:rsidR="00583E1A">
        <w:noBreakHyphen/>
      </w:r>
      <w:r w:rsidRPr="00583E1A">
        <w:t>80 and 165</w:t>
      </w:r>
      <w:r w:rsidR="00583E1A">
        <w:noBreakHyphen/>
      </w:r>
      <w:r w:rsidRPr="00583E1A">
        <w:t>85.</w:t>
      </w:r>
    </w:p>
    <w:p w:rsidR="00887330" w:rsidRPr="00583E1A" w:rsidRDefault="00887330" w:rsidP="00887330">
      <w:pPr>
        <w:pStyle w:val="Definition"/>
      </w:pPr>
      <w:r w:rsidRPr="00583E1A">
        <w:rPr>
          <w:b/>
          <w:i/>
        </w:rPr>
        <w:t>notional net capital gain</w:t>
      </w:r>
      <w:r w:rsidRPr="00583E1A">
        <w:t xml:space="preserve"> has the meaning given by section</w:t>
      </w:r>
      <w:r w:rsidR="00583E1A">
        <w:t> </w:t>
      </w:r>
      <w:r w:rsidRPr="00583E1A">
        <w:t>165</w:t>
      </w:r>
      <w:r w:rsidR="00583E1A">
        <w:noBreakHyphen/>
      </w:r>
      <w:r w:rsidRPr="00583E1A">
        <w:t>108.</w:t>
      </w:r>
    </w:p>
    <w:p w:rsidR="00887330" w:rsidRPr="00583E1A" w:rsidRDefault="00887330" w:rsidP="00887330">
      <w:pPr>
        <w:pStyle w:val="Definition"/>
      </w:pPr>
      <w:r w:rsidRPr="00583E1A">
        <w:rPr>
          <w:b/>
          <w:i/>
        </w:rPr>
        <w:t>notional net capital loss</w:t>
      </w:r>
      <w:r w:rsidRPr="00583E1A">
        <w:t xml:space="preserve"> has the meaning given by section</w:t>
      </w:r>
      <w:r w:rsidR="00583E1A">
        <w:t> </w:t>
      </w:r>
      <w:r w:rsidRPr="00583E1A">
        <w:t>165</w:t>
      </w:r>
      <w:r w:rsidR="00583E1A">
        <w:noBreakHyphen/>
      </w:r>
      <w:r w:rsidRPr="00583E1A">
        <w:t>108.</w:t>
      </w:r>
    </w:p>
    <w:p w:rsidR="00887330" w:rsidRPr="00583E1A" w:rsidRDefault="00887330" w:rsidP="00887330">
      <w:pPr>
        <w:pStyle w:val="Definition"/>
      </w:pPr>
      <w:r w:rsidRPr="00583E1A">
        <w:rPr>
          <w:b/>
          <w:i/>
        </w:rPr>
        <w:t>notional net income</w:t>
      </w:r>
      <w:r w:rsidRPr="00583E1A">
        <w:t xml:space="preserve"> of a partnership has the meaning given by sections</w:t>
      </w:r>
      <w:r w:rsidR="00583E1A">
        <w:t> </w:t>
      </w:r>
      <w:r w:rsidRPr="00583E1A">
        <w:t>165</w:t>
      </w:r>
      <w:r w:rsidR="00583E1A">
        <w:noBreakHyphen/>
      </w:r>
      <w:r w:rsidRPr="00583E1A">
        <w:t>80 and 165</w:t>
      </w:r>
      <w:r w:rsidR="00583E1A">
        <w:noBreakHyphen/>
      </w:r>
      <w:r w:rsidRPr="00583E1A">
        <w:t>85.</w:t>
      </w:r>
    </w:p>
    <w:p w:rsidR="00887330" w:rsidRPr="00583E1A" w:rsidRDefault="00887330" w:rsidP="00887330">
      <w:pPr>
        <w:pStyle w:val="Definition"/>
      </w:pPr>
      <w:r w:rsidRPr="00583E1A">
        <w:rPr>
          <w:b/>
          <w:i/>
        </w:rPr>
        <w:t>notional seller</w:t>
      </w:r>
      <w:r w:rsidRPr="00583E1A">
        <w:t xml:space="preserve"> has the meaning given by section</w:t>
      </w:r>
      <w:r w:rsidR="00583E1A">
        <w:t> </w:t>
      </w:r>
      <w:r w:rsidRPr="00583E1A">
        <w:t>240</w:t>
      </w:r>
      <w:r w:rsidR="00583E1A">
        <w:noBreakHyphen/>
      </w:r>
      <w:r w:rsidRPr="00583E1A">
        <w:t>17.</w:t>
      </w:r>
    </w:p>
    <w:p w:rsidR="00887330" w:rsidRPr="00583E1A" w:rsidRDefault="00887330" w:rsidP="00887330">
      <w:pPr>
        <w:pStyle w:val="Definition"/>
      </w:pPr>
      <w:r w:rsidRPr="00583E1A">
        <w:rPr>
          <w:b/>
          <w:i/>
        </w:rPr>
        <w:t>notional tax</w:t>
      </w:r>
      <w:r w:rsidRPr="00583E1A">
        <w:t xml:space="preserve"> has the meaning given by sections</w:t>
      </w:r>
      <w:r w:rsidR="00583E1A">
        <w:t> </w:t>
      </w:r>
      <w:r w:rsidRPr="00583E1A">
        <w:t>45</w:t>
      </w:r>
      <w:r w:rsidR="00583E1A">
        <w:noBreakHyphen/>
      </w:r>
      <w:r w:rsidRPr="00583E1A">
        <w:t>325 and 45</w:t>
      </w:r>
      <w:r w:rsidR="00583E1A">
        <w:noBreakHyphen/>
      </w:r>
      <w:r w:rsidRPr="00583E1A">
        <w:t>475 in Schedule</w:t>
      </w:r>
      <w:r w:rsidR="00583E1A">
        <w:t> </w:t>
      </w:r>
      <w:r w:rsidRPr="00583E1A">
        <w:t xml:space="preserve">1 to the </w:t>
      </w:r>
      <w:r w:rsidRPr="00583E1A">
        <w:rPr>
          <w:i/>
        </w:rPr>
        <w:t>Taxation Administration Act 1953</w:t>
      </w:r>
      <w:r w:rsidRPr="00583E1A">
        <w:t>.</w:t>
      </w:r>
    </w:p>
    <w:p w:rsidR="00887330" w:rsidRPr="00583E1A" w:rsidRDefault="00887330" w:rsidP="00887330">
      <w:pPr>
        <w:pStyle w:val="Definition"/>
      </w:pPr>
      <w:r w:rsidRPr="00583E1A">
        <w:rPr>
          <w:b/>
          <w:i/>
        </w:rPr>
        <w:lastRenderedPageBreak/>
        <w:t>notional taxable income</w:t>
      </w:r>
      <w:r w:rsidRPr="00583E1A">
        <w:t xml:space="preserve"> has the meaning given by sections</w:t>
      </w:r>
      <w:r w:rsidR="00583E1A">
        <w:t> </w:t>
      </w:r>
      <w:r w:rsidRPr="00583E1A">
        <w:t>165</w:t>
      </w:r>
      <w:r w:rsidR="00583E1A">
        <w:noBreakHyphen/>
      </w:r>
      <w:r w:rsidRPr="00583E1A">
        <w:t>50 and 165</w:t>
      </w:r>
      <w:r w:rsidR="00583E1A">
        <w:noBreakHyphen/>
      </w:r>
      <w:r w:rsidRPr="00583E1A">
        <w:t>75.</w:t>
      </w:r>
    </w:p>
    <w:p w:rsidR="004F4272" w:rsidRPr="00583E1A" w:rsidRDefault="004F4272" w:rsidP="004F4272">
      <w:pPr>
        <w:pStyle w:val="Definition"/>
      </w:pPr>
      <w:r w:rsidRPr="00583E1A">
        <w:rPr>
          <w:b/>
          <w:i/>
        </w:rPr>
        <w:t xml:space="preserve">notional taxed contributions </w:t>
      </w:r>
      <w:r w:rsidRPr="00583E1A">
        <w:t>has the meaning given by section</w:t>
      </w:r>
      <w:r w:rsidR="00583E1A">
        <w:t> </w:t>
      </w:r>
      <w:r w:rsidRPr="00583E1A">
        <w:t>292</w:t>
      </w:r>
      <w:r w:rsidR="00583E1A">
        <w:noBreakHyphen/>
      </w:r>
      <w:r w:rsidRPr="00583E1A">
        <w:t>170.</w:t>
      </w:r>
    </w:p>
    <w:p w:rsidR="00887330" w:rsidRPr="00583E1A" w:rsidRDefault="00887330" w:rsidP="00887330">
      <w:pPr>
        <w:pStyle w:val="Definition"/>
      </w:pPr>
      <w:r w:rsidRPr="00583E1A">
        <w:rPr>
          <w:b/>
          <w:i/>
        </w:rPr>
        <w:t>notional written down value</w:t>
      </w:r>
      <w:r w:rsidRPr="00583E1A">
        <w:t xml:space="preserve"> of a </w:t>
      </w:r>
      <w:r w:rsidR="00583E1A" w:rsidRPr="00583E1A">
        <w:rPr>
          <w:position w:val="6"/>
          <w:sz w:val="16"/>
        </w:rPr>
        <w:t>*</w:t>
      </w:r>
      <w:r w:rsidRPr="00583E1A">
        <w:t>depreciating asset has the meaning given by section</w:t>
      </w:r>
      <w:r w:rsidR="00583E1A">
        <w:t> </w:t>
      </w:r>
      <w:r w:rsidRPr="00583E1A">
        <w:t>58</w:t>
      </w:r>
      <w:r w:rsidR="00583E1A">
        <w:noBreakHyphen/>
      </w:r>
      <w:r w:rsidRPr="00583E1A">
        <w:t>75.</w:t>
      </w:r>
    </w:p>
    <w:p w:rsidR="007A1DE1" w:rsidRPr="009E5065" w:rsidRDefault="007A1DE1" w:rsidP="007A1DE1">
      <w:pPr>
        <w:pStyle w:val="Definition"/>
      </w:pPr>
      <w:r w:rsidRPr="009E5065">
        <w:rPr>
          <w:b/>
          <w:i/>
        </w:rPr>
        <w:t>NRAS approved participant</w:t>
      </w:r>
      <w:r w:rsidRPr="009E5065">
        <w:t xml:space="preserve"> (short for National Rental Affordability Scheme approved participant), of an </w:t>
      </w:r>
      <w:r w:rsidRPr="009E5065">
        <w:rPr>
          <w:position w:val="6"/>
          <w:sz w:val="16"/>
        </w:rPr>
        <w:t>*</w:t>
      </w:r>
      <w:r w:rsidRPr="009E5065">
        <w:t xml:space="preserve">NRAS consortium, means a </w:t>
      </w:r>
      <w:r w:rsidRPr="009E5065">
        <w:rPr>
          <w:position w:val="6"/>
          <w:sz w:val="16"/>
        </w:rPr>
        <w:t>*</w:t>
      </w:r>
      <w:r w:rsidRPr="009E5065">
        <w:t xml:space="preserve">member of the NRAS consortium who is the approved participant (within the meaning of the regulations made for the purposes of the </w:t>
      </w:r>
      <w:r w:rsidRPr="009E5065">
        <w:rPr>
          <w:i/>
        </w:rPr>
        <w:t>National Rental Affordability Scheme Act 2008</w:t>
      </w:r>
      <w:r w:rsidRPr="009E5065">
        <w:t>) for the NRAS consortium.</w:t>
      </w:r>
    </w:p>
    <w:p w:rsidR="00FA6532" w:rsidRPr="009E5065" w:rsidRDefault="00FA6532" w:rsidP="00FA6532">
      <w:pPr>
        <w:pStyle w:val="Definition"/>
      </w:pPr>
      <w:r w:rsidRPr="009E5065">
        <w:rPr>
          <w:b/>
          <w:i/>
        </w:rPr>
        <w:t>NRAS certificate</w:t>
      </w:r>
      <w:r w:rsidRPr="009E5065">
        <w:t xml:space="preserve"> (short for National Rental Affordability Scheme certificate) means a certificate issued by the </w:t>
      </w:r>
      <w:r w:rsidRPr="009E5065">
        <w:rPr>
          <w:position w:val="6"/>
          <w:sz w:val="16"/>
        </w:rPr>
        <w:t>*</w:t>
      </w:r>
      <w:r w:rsidRPr="009E5065">
        <w:t xml:space="preserve">Housing Secretary under the </w:t>
      </w:r>
      <w:r w:rsidRPr="009E5065">
        <w:rPr>
          <w:position w:val="6"/>
          <w:sz w:val="16"/>
        </w:rPr>
        <w:t>*</w:t>
      </w:r>
      <w:r w:rsidRPr="009E5065">
        <w:t>National Rental Affordability Scheme.</w:t>
      </w:r>
    </w:p>
    <w:p w:rsidR="00FA6532" w:rsidRPr="009E5065" w:rsidRDefault="00FA6532" w:rsidP="00FA6532">
      <w:pPr>
        <w:pStyle w:val="Definition"/>
      </w:pPr>
      <w:r w:rsidRPr="009E5065">
        <w:rPr>
          <w:b/>
          <w:i/>
        </w:rPr>
        <w:t>NRAS consortium</w:t>
      </w:r>
      <w:r w:rsidRPr="009E5065">
        <w:t xml:space="preserve"> (short for National Rental Affordability Scheme consortium) means a consortium, joint venture or </w:t>
      </w:r>
      <w:r w:rsidRPr="009E5065">
        <w:rPr>
          <w:position w:val="6"/>
          <w:sz w:val="16"/>
        </w:rPr>
        <w:t>*</w:t>
      </w:r>
      <w:r w:rsidRPr="009E5065">
        <w:t>non</w:t>
      </w:r>
      <w:r w:rsidRPr="009E5065">
        <w:noBreakHyphen/>
        <w:t>entity joint venture:</w:t>
      </w:r>
    </w:p>
    <w:p w:rsidR="00FA6532" w:rsidRPr="009E5065" w:rsidRDefault="00FA6532" w:rsidP="00FA6532">
      <w:pPr>
        <w:pStyle w:val="paragraph"/>
      </w:pPr>
      <w:r w:rsidRPr="009E5065">
        <w:tab/>
        <w:t>(a)</w:t>
      </w:r>
      <w:r w:rsidRPr="009E5065">
        <w:tab/>
        <w:t xml:space="preserve">established by one or more contractual </w:t>
      </w:r>
      <w:r w:rsidRPr="009E5065">
        <w:rPr>
          <w:position w:val="6"/>
          <w:sz w:val="16"/>
        </w:rPr>
        <w:t>*</w:t>
      </w:r>
      <w:r w:rsidRPr="009E5065">
        <w:t xml:space="preserve">arrangements, the purpose of which are to facilitate the leasing of </w:t>
      </w:r>
      <w:r w:rsidRPr="009E5065">
        <w:rPr>
          <w:position w:val="6"/>
          <w:sz w:val="16"/>
        </w:rPr>
        <w:t>*</w:t>
      </w:r>
      <w:r w:rsidRPr="009E5065">
        <w:t>NRAS dwellings; and</w:t>
      </w:r>
    </w:p>
    <w:p w:rsidR="00FA6532" w:rsidRPr="009E5065" w:rsidRDefault="00FA6532" w:rsidP="00FA6532">
      <w:pPr>
        <w:pStyle w:val="paragraph"/>
      </w:pPr>
      <w:r w:rsidRPr="009E5065">
        <w:tab/>
        <w:t>(b)</w:t>
      </w:r>
      <w:r w:rsidRPr="009E5065">
        <w:tab/>
        <w:t xml:space="preserve">that is not a </w:t>
      </w:r>
      <w:r w:rsidRPr="009E5065">
        <w:rPr>
          <w:position w:val="6"/>
          <w:sz w:val="16"/>
        </w:rPr>
        <w:t>*</w:t>
      </w:r>
      <w:r w:rsidRPr="009E5065">
        <w:t xml:space="preserve">corporate tax entity, a </w:t>
      </w:r>
      <w:r w:rsidRPr="009E5065">
        <w:rPr>
          <w:position w:val="6"/>
          <w:sz w:val="16"/>
        </w:rPr>
        <w:t>*</w:t>
      </w:r>
      <w:r w:rsidRPr="009E5065">
        <w:t>superannuation fund, a trust or a partnership.</w:t>
      </w:r>
    </w:p>
    <w:p w:rsidR="006F080F" w:rsidRPr="009E5065" w:rsidRDefault="006F080F" w:rsidP="006F080F">
      <w:pPr>
        <w:pStyle w:val="Definition"/>
      </w:pPr>
      <w:r w:rsidRPr="009E5065">
        <w:rPr>
          <w:b/>
          <w:i/>
        </w:rPr>
        <w:t>NRAS dwelling</w:t>
      </w:r>
      <w:r w:rsidRPr="009E5065">
        <w:t xml:space="preserve"> (short for National Rental Affordability Scheme dwelling) means an approved rental dwelling (within the meaning of the regulations made for the purposes of the </w:t>
      </w:r>
      <w:r w:rsidRPr="009E5065">
        <w:rPr>
          <w:i/>
        </w:rPr>
        <w:t>National Rental Affordability Scheme Act 2008</w:t>
      </w:r>
      <w:r w:rsidRPr="009E5065">
        <w:t>).</w:t>
      </w:r>
    </w:p>
    <w:p w:rsidR="00DE7415" w:rsidRPr="00583E1A" w:rsidRDefault="00DE7415" w:rsidP="00DE7415">
      <w:pPr>
        <w:pStyle w:val="Definition"/>
      </w:pPr>
      <w:r w:rsidRPr="00583E1A">
        <w:rPr>
          <w:b/>
          <w:i/>
        </w:rPr>
        <w:t>NRAS rent</w:t>
      </w:r>
      <w:r w:rsidRPr="00583E1A">
        <w:t xml:space="preserve"> (short for National Rental Affordability Scheme rent) means rent </w:t>
      </w:r>
      <w:r w:rsidR="00583E1A" w:rsidRPr="00583E1A">
        <w:rPr>
          <w:position w:val="6"/>
          <w:sz w:val="16"/>
        </w:rPr>
        <w:t>*</w:t>
      </w:r>
      <w:r w:rsidRPr="00583E1A">
        <w:t xml:space="preserve">derived from a </w:t>
      </w:r>
      <w:r w:rsidR="006F080F" w:rsidRPr="009E5065">
        <w:rPr>
          <w:position w:val="6"/>
          <w:sz w:val="16"/>
        </w:rPr>
        <w:t>*</w:t>
      </w:r>
      <w:r w:rsidR="006F080F" w:rsidRPr="009E5065">
        <w:t xml:space="preserve">NRAS dwelling under the </w:t>
      </w:r>
      <w:r w:rsidR="006F080F" w:rsidRPr="009E5065">
        <w:rPr>
          <w:position w:val="6"/>
          <w:sz w:val="16"/>
        </w:rPr>
        <w:t>*</w:t>
      </w:r>
      <w:r w:rsidR="006F080F" w:rsidRPr="009E5065">
        <w:t>National Rental Affordability Scheme</w:t>
      </w:r>
      <w:r w:rsidRPr="00583E1A">
        <w:t xml:space="preserve"> for an income year.</w:t>
      </w:r>
    </w:p>
    <w:p w:rsidR="00DE7415" w:rsidRPr="00583E1A" w:rsidRDefault="00DE7415" w:rsidP="00DE7415">
      <w:pPr>
        <w:pStyle w:val="Definition"/>
      </w:pPr>
      <w:r w:rsidRPr="00583E1A">
        <w:rPr>
          <w:b/>
          <w:i/>
        </w:rPr>
        <w:t>NRAS year</w:t>
      </w:r>
      <w:r w:rsidRPr="00583E1A">
        <w:t xml:space="preserve"> has the same meaning as in the </w:t>
      </w:r>
      <w:r w:rsidRPr="00583E1A">
        <w:rPr>
          <w:i/>
        </w:rPr>
        <w:t>National Rental Affordability Scheme Act 2008</w:t>
      </w:r>
      <w:r w:rsidRPr="00583E1A">
        <w:t>.</w:t>
      </w:r>
    </w:p>
    <w:p w:rsidR="00887330" w:rsidRPr="00583E1A" w:rsidRDefault="00887330" w:rsidP="00887330">
      <w:pPr>
        <w:pStyle w:val="Definition"/>
      </w:pPr>
      <w:r w:rsidRPr="00583E1A">
        <w:rPr>
          <w:b/>
          <w:i/>
        </w:rPr>
        <w:t>NZ franking choice</w:t>
      </w:r>
      <w:r w:rsidRPr="00583E1A">
        <w:t xml:space="preserve"> has the meaning given by section</w:t>
      </w:r>
      <w:r w:rsidR="00583E1A">
        <w:t> </w:t>
      </w:r>
      <w:r w:rsidRPr="00583E1A">
        <w:t>220</w:t>
      </w:r>
      <w:r w:rsidR="00583E1A">
        <w:noBreakHyphen/>
      </w:r>
      <w:r w:rsidRPr="00583E1A">
        <w:t>35.</w:t>
      </w:r>
    </w:p>
    <w:p w:rsidR="00887330" w:rsidRPr="00583E1A" w:rsidRDefault="00887330" w:rsidP="00887330">
      <w:pPr>
        <w:pStyle w:val="Definition"/>
      </w:pPr>
      <w:r w:rsidRPr="00583E1A">
        <w:rPr>
          <w:b/>
          <w:i/>
        </w:rPr>
        <w:lastRenderedPageBreak/>
        <w:t>NZ franking company</w:t>
      </w:r>
      <w:r w:rsidRPr="00583E1A">
        <w:t xml:space="preserve"> has the meaning given by section</w:t>
      </w:r>
      <w:r w:rsidR="00583E1A">
        <w:t> </w:t>
      </w:r>
      <w:r w:rsidRPr="00583E1A">
        <w:t>220</w:t>
      </w:r>
      <w:r w:rsidR="00583E1A">
        <w:noBreakHyphen/>
      </w:r>
      <w:r w:rsidRPr="00583E1A">
        <w:t>30.</w:t>
      </w:r>
    </w:p>
    <w:p w:rsidR="00887330" w:rsidRPr="00583E1A" w:rsidRDefault="00887330" w:rsidP="00887330">
      <w:pPr>
        <w:pStyle w:val="Definition"/>
      </w:pPr>
      <w:r w:rsidRPr="00583E1A">
        <w:rPr>
          <w:b/>
          <w:i/>
        </w:rPr>
        <w:t>NZ resident</w:t>
      </w:r>
      <w:r w:rsidRPr="00583E1A">
        <w:t xml:space="preserve"> has the meaning given by section</w:t>
      </w:r>
      <w:r w:rsidR="00583E1A">
        <w:t> </w:t>
      </w:r>
      <w:r w:rsidRPr="00583E1A">
        <w:t>220</w:t>
      </w:r>
      <w:r w:rsidR="00583E1A">
        <w:noBreakHyphen/>
      </w:r>
      <w:r w:rsidRPr="00583E1A">
        <w:t>20.</w:t>
      </w:r>
    </w:p>
    <w:p w:rsidR="00887330" w:rsidRPr="00583E1A" w:rsidRDefault="00887330" w:rsidP="00887330">
      <w:pPr>
        <w:pStyle w:val="Definition"/>
      </w:pPr>
      <w:smartTag w:uri="urn:schemas-microsoft-com:office:smarttags" w:element="place">
        <w:r w:rsidRPr="00583E1A">
          <w:rPr>
            <w:b/>
            <w:i/>
          </w:rPr>
          <w:t>OB</w:t>
        </w:r>
      </w:smartTag>
      <w:r w:rsidRPr="00583E1A">
        <w:rPr>
          <w:b/>
          <w:i/>
        </w:rPr>
        <w:t xml:space="preserve"> activity</w:t>
      </w:r>
      <w:r w:rsidRPr="00583E1A">
        <w:t xml:space="preserve"> has the meaning given by section</w:t>
      </w:r>
      <w:r w:rsidR="00583E1A">
        <w:t> </w:t>
      </w:r>
      <w:r w:rsidRPr="00583E1A">
        <w:t xml:space="preserve">121D of the </w:t>
      </w:r>
      <w:r w:rsidRPr="00583E1A">
        <w:rPr>
          <w:i/>
        </w:rPr>
        <w:t>Income Tax Assessment Act 1936</w:t>
      </w:r>
      <w:r w:rsidRPr="00583E1A">
        <w:t>.</w:t>
      </w:r>
    </w:p>
    <w:p w:rsidR="00887330" w:rsidRPr="00583E1A" w:rsidRDefault="00887330" w:rsidP="00887330">
      <w:pPr>
        <w:pStyle w:val="Definition"/>
      </w:pPr>
      <w:r w:rsidRPr="00583E1A">
        <w:rPr>
          <w:b/>
          <w:i/>
        </w:rPr>
        <w:t>occupation specific clothing</w:t>
      </w:r>
      <w:r w:rsidRPr="00583E1A">
        <w:t xml:space="preserve"> has the meaning given by subsection 34</w:t>
      </w:r>
      <w:r w:rsidR="00583E1A">
        <w:noBreakHyphen/>
      </w:r>
      <w:r w:rsidRPr="00583E1A">
        <w:t>20(1).</w:t>
      </w:r>
    </w:p>
    <w:p w:rsidR="00E9407C" w:rsidRPr="00583E1A" w:rsidRDefault="00E9407C" w:rsidP="00E9407C">
      <w:pPr>
        <w:pStyle w:val="Definition"/>
      </w:pPr>
      <w:r w:rsidRPr="00583E1A">
        <w:rPr>
          <w:b/>
          <w:i/>
        </w:rPr>
        <w:t>officially quoted price</w:t>
      </w:r>
      <w:r w:rsidRPr="00583E1A">
        <w:t xml:space="preserve"> has the meaning given by subsections 124</w:t>
      </w:r>
      <w:r w:rsidR="00583E1A">
        <w:noBreakHyphen/>
      </w:r>
      <w:r w:rsidRPr="00583E1A">
        <w:t>784A(6) and (7).</w:t>
      </w:r>
    </w:p>
    <w:p w:rsidR="00887330" w:rsidRPr="00583E1A" w:rsidRDefault="00887330" w:rsidP="00887330">
      <w:pPr>
        <w:pStyle w:val="Definition"/>
      </w:pPr>
      <w:r w:rsidRPr="00583E1A">
        <w:rPr>
          <w:b/>
          <w:i/>
        </w:rPr>
        <w:t>off</w:t>
      </w:r>
      <w:r w:rsidR="00583E1A">
        <w:rPr>
          <w:b/>
          <w:i/>
        </w:rPr>
        <w:noBreakHyphen/>
      </w:r>
      <w:r w:rsidRPr="00583E1A">
        <w:rPr>
          <w:b/>
          <w:i/>
        </w:rPr>
        <w:t>market buy</w:t>
      </w:r>
      <w:r w:rsidR="00583E1A">
        <w:rPr>
          <w:b/>
          <w:i/>
        </w:rPr>
        <w:noBreakHyphen/>
      </w:r>
      <w:r w:rsidRPr="00583E1A">
        <w:rPr>
          <w:b/>
          <w:i/>
        </w:rPr>
        <w:t xml:space="preserve">back </w:t>
      </w:r>
      <w:r w:rsidRPr="00583E1A">
        <w:t>means a purchase that is a buy</w:t>
      </w:r>
      <w:r w:rsidR="00583E1A">
        <w:noBreakHyphen/>
      </w:r>
      <w:r w:rsidRPr="00583E1A">
        <w:t>back and an off</w:t>
      </w:r>
      <w:r w:rsidR="00583E1A">
        <w:noBreakHyphen/>
      </w:r>
      <w:r w:rsidRPr="00583E1A">
        <w:t>market purchase for the purposes of Division</w:t>
      </w:r>
      <w:r w:rsidR="00583E1A">
        <w:t> </w:t>
      </w:r>
      <w:r w:rsidRPr="00583E1A">
        <w:t>16K of Part</w:t>
      </w:r>
      <w:r w:rsidR="00583E1A">
        <w:t> </w:t>
      </w:r>
      <w:r w:rsidRPr="00583E1A">
        <w:t xml:space="preserve">III of the </w:t>
      </w:r>
      <w:r w:rsidRPr="00583E1A">
        <w:rPr>
          <w:i/>
        </w:rPr>
        <w:t>Income Tax Assessment Act 1936</w:t>
      </w:r>
      <w:r w:rsidRPr="00583E1A">
        <w:t>.</w:t>
      </w:r>
    </w:p>
    <w:p w:rsidR="00887330" w:rsidRPr="00583E1A" w:rsidRDefault="00887330" w:rsidP="00887330">
      <w:pPr>
        <w:pStyle w:val="Definition"/>
      </w:pPr>
      <w:r w:rsidRPr="00583E1A">
        <w:rPr>
          <w:b/>
          <w:i/>
        </w:rPr>
        <w:t>off</w:t>
      </w:r>
      <w:r w:rsidR="00583E1A">
        <w:rPr>
          <w:b/>
          <w:i/>
        </w:rPr>
        <w:noBreakHyphen/>
      </w:r>
      <w:r w:rsidRPr="00583E1A">
        <w:rPr>
          <w:b/>
          <w:i/>
        </w:rPr>
        <w:t xml:space="preserve">market purchase </w:t>
      </w:r>
      <w:r w:rsidRPr="00583E1A">
        <w:t>has the meaning given by section</w:t>
      </w:r>
      <w:r w:rsidR="00583E1A">
        <w:t> </w:t>
      </w:r>
      <w:r w:rsidRPr="00583E1A">
        <w:t xml:space="preserve">159GZZZJ of the </w:t>
      </w:r>
      <w:r w:rsidRPr="00583E1A">
        <w:rPr>
          <w:i/>
        </w:rPr>
        <w:t>Income Tax Assessment Act 1936</w:t>
      </w:r>
      <w:r w:rsidRPr="00583E1A">
        <w:t>.</w:t>
      </w:r>
    </w:p>
    <w:p w:rsidR="00887330" w:rsidRPr="00583E1A" w:rsidRDefault="00887330" w:rsidP="00887330">
      <w:pPr>
        <w:pStyle w:val="Definition"/>
      </w:pPr>
      <w:r w:rsidRPr="00583E1A">
        <w:rPr>
          <w:b/>
          <w:i/>
        </w:rPr>
        <w:t>offshore banking unit</w:t>
      </w:r>
      <w:r w:rsidRPr="00583E1A">
        <w:t xml:space="preserve"> has the meaning given by section</w:t>
      </w:r>
      <w:r w:rsidR="00583E1A">
        <w:t> </w:t>
      </w:r>
      <w:r w:rsidRPr="00583E1A">
        <w:t xml:space="preserve">128AE of the </w:t>
      </w:r>
      <w:r w:rsidRPr="00583E1A">
        <w:rPr>
          <w:i/>
        </w:rPr>
        <w:t>Income Tax Assessment Act 1936</w:t>
      </w:r>
      <w:r w:rsidRPr="00583E1A">
        <w:t>.</w:t>
      </w:r>
    </w:p>
    <w:p w:rsidR="00887330" w:rsidRPr="00583E1A" w:rsidRDefault="00887330" w:rsidP="00887330">
      <w:pPr>
        <w:pStyle w:val="Definition"/>
      </w:pPr>
      <w:r w:rsidRPr="00583E1A">
        <w:rPr>
          <w:b/>
          <w:i/>
        </w:rPr>
        <w:t>on issue</w:t>
      </w:r>
      <w:r w:rsidRPr="00583E1A">
        <w:t>:</w:t>
      </w:r>
    </w:p>
    <w:p w:rsidR="00887330" w:rsidRPr="00583E1A" w:rsidRDefault="00887330" w:rsidP="00887330">
      <w:pPr>
        <w:pStyle w:val="paragraph"/>
      </w:pPr>
      <w:r w:rsidRPr="00583E1A">
        <w:tab/>
        <w:t>(</w:t>
      </w:r>
      <w:r w:rsidRPr="00583E1A">
        <w:rPr>
          <w:noProof/>
        </w:rPr>
        <w:t>a</w:t>
      </w:r>
      <w:r w:rsidRPr="00583E1A">
        <w:t>)</w:t>
      </w:r>
      <w:r w:rsidRPr="00583E1A">
        <w:tab/>
        <w:t xml:space="preserve">a </w:t>
      </w:r>
      <w:r w:rsidR="00583E1A" w:rsidRPr="00583E1A">
        <w:rPr>
          <w:position w:val="6"/>
          <w:sz w:val="16"/>
        </w:rPr>
        <w:t>*</w:t>
      </w:r>
      <w:r w:rsidRPr="00583E1A">
        <w:t xml:space="preserve">debt interest is </w:t>
      </w:r>
      <w:r w:rsidRPr="00583E1A">
        <w:rPr>
          <w:b/>
          <w:i/>
        </w:rPr>
        <w:t>on issue</w:t>
      </w:r>
      <w:r w:rsidRPr="00583E1A">
        <w:t xml:space="preserve"> as provided in paragraph 974</w:t>
      </w:r>
      <w:r w:rsidR="00583E1A">
        <w:noBreakHyphen/>
      </w:r>
      <w:r w:rsidRPr="00583E1A">
        <w:t>55(1)(e); and</w:t>
      </w:r>
    </w:p>
    <w:p w:rsidR="00887330" w:rsidRPr="00583E1A" w:rsidRDefault="00887330" w:rsidP="00887330">
      <w:pPr>
        <w:pStyle w:val="paragraph"/>
      </w:pPr>
      <w:r w:rsidRPr="00583E1A">
        <w:tab/>
        <w:t>(</w:t>
      </w:r>
      <w:r w:rsidRPr="00583E1A">
        <w:rPr>
          <w:noProof/>
        </w:rPr>
        <w:t>b</w:t>
      </w:r>
      <w:r w:rsidRPr="00583E1A">
        <w:t>)</w:t>
      </w:r>
      <w:r w:rsidRPr="00583E1A">
        <w:tab/>
        <w:t xml:space="preserve">an </w:t>
      </w:r>
      <w:r w:rsidR="00583E1A" w:rsidRPr="00583E1A">
        <w:rPr>
          <w:position w:val="6"/>
          <w:sz w:val="16"/>
        </w:rPr>
        <w:t>*</w:t>
      </w:r>
      <w:r w:rsidRPr="00583E1A">
        <w:t>equity interest in an entity:</w:t>
      </w:r>
    </w:p>
    <w:p w:rsidR="00887330" w:rsidRPr="00583E1A" w:rsidRDefault="00887330" w:rsidP="00887330">
      <w:pPr>
        <w:pStyle w:val="paragraphsub"/>
      </w:pPr>
      <w:r w:rsidRPr="00583E1A">
        <w:tab/>
        <w:t>(</w:t>
      </w:r>
      <w:r w:rsidRPr="00583E1A">
        <w:rPr>
          <w:noProof/>
        </w:rPr>
        <w:t>i</w:t>
      </w:r>
      <w:r w:rsidRPr="00583E1A">
        <w:t>)</w:t>
      </w:r>
      <w:r w:rsidRPr="00583E1A">
        <w:tab/>
        <w:t>is</w:t>
      </w:r>
      <w:r w:rsidRPr="00583E1A">
        <w:rPr>
          <w:b/>
          <w:i/>
        </w:rPr>
        <w:t xml:space="preserve"> on issue</w:t>
      </w:r>
      <w:r w:rsidRPr="00583E1A">
        <w:t xml:space="preserve"> from when it is issued until it stops being on issue because of </w:t>
      </w:r>
      <w:r w:rsidR="00583E1A">
        <w:t>subparagraph (</w:t>
      </w:r>
      <w:r w:rsidRPr="00583E1A">
        <w:t>ii); and</w:t>
      </w:r>
    </w:p>
    <w:p w:rsidR="00887330" w:rsidRPr="00583E1A" w:rsidRDefault="00887330" w:rsidP="00887330">
      <w:pPr>
        <w:pStyle w:val="paragraphsub"/>
      </w:pPr>
      <w:r w:rsidRPr="00583E1A">
        <w:tab/>
        <w:t>(</w:t>
      </w:r>
      <w:r w:rsidRPr="00583E1A">
        <w:rPr>
          <w:noProof/>
        </w:rPr>
        <w:t>ii</w:t>
      </w:r>
      <w:r w:rsidRPr="00583E1A">
        <w:t>)</w:t>
      </w:r>
      <w:r w:rsidRPr="00583E1A">
        <w:tab/>
        <w:t>stops being</w:t>
      </w:r>
      <w:r w:rsidRPr="00583E1A">
        <w:rPr>
          <w:b/>
          <w:i/>
        </w:rPr>
        <w:t xml:space="preserve"> on issue</w:t>
      </w:r>
      <w:r w:rsidRPr="00583E1A">
        <w:t xml:space="preserve"> when, for reasons other than the economic performance of the entity (or of a </w:t>
      </w:r>
      <w:r w:rsidR="00583E1A" w:rsidRPr="00583E1A">
        <w:rPr>
          <w:position w:val="6"/>
          <w:sz w:val="16"/>
        </w:rPr>
        <w:t>*</w:t>
      </w:r>
      <w:r w:rsidRPr="00583E1A">
        <w:t xml:space="preserve">connected entity of the entity), there is no longer a reasonable likelihood that a substantial </w:t>
      </w:r>
      <w:r w:rsidR="00583E1A" w:rsidRPr="00583E1A">
        <w:rPr>
          <w:position w:val="6"/>
          <w:sz w:val="16"/>
        </w:rPr>
        <w:t>*</w:t>
      </w:r>
      <w:r w:rsidRPr="00583E1A">
        <w:t xml:space="preserve">financial benefit will be provided in respect of the interest under the </w:t>
      </w:r>
      <w:r w:rsidR="00583E1A" w:rsidRPr="00583E1A">
        <w:rPr>
          <w:position w:val="6"/>
          <w:sz w:val="16"/>
        </w:rPr>
        <w:t>*</w:t>
      </w:r>
      <w:r w:rsidRPr="00583E1A">
        <w:t>scheme, or under any of the schemes, that give rise to the interest.</w:t>
      </w:r>
    </w:p>
    <w:p w:rsidR="00887330" w:rsidRPr="00583E1A" w:rsidRDefault="00887330" w:rsidP="00887330">
      <w:pPr>
        <w:pStyle w:val="Definition"/>
      </w:pPr>
      <w:r w:rsidRPr="00583E1A">
        <w:rPr>
          <w:b/>
          <w:i/>
        </w:rPr>
        <w:t>on</w:t>
      </w:r>
      <w:r w:rsidR="00583E1A">
        <w:rPr>
          <w:b/>
          <w:i/>
        </w:rPr>
        <w:noBreakHyphen/>
      </w:r>
      <w:r w:rsidRPr="00583E1A">
        <w:rPr>
          <w:b/>
          <w:i/>
        </w:rPr>
        <w:t>lent amount</w:t>
      </w:r>
      <w:r w:rsidRPr="00583E1A">
        <w:t>, of an entity and at a particular time, means the value, as at that time, of:</w:t>
      </w:r>
    </w:p>
    <w:p w:rsidR="00887330" w:rsidRPr="00583E1A" w:rsidRDefault="00887330" w:rsidP="00887330">
      <w:pPr>
        <w:pStyle w:val="paragraph"/>
      </w:pPr>
      <w:r w:rsidRPr="00583E1A">
        <w:tab/>
        <w:t>(a)</w:t>
      </w:r>
      <w:r w:rsidRPr="00583E1A">
        <w:tab/>
        <w:t xml:space="preserve">all the assets of the entity that are comprised by </w:t>
      </w:r>
      <w:r w:rsidR="00583E1A" w:rsidRPr="00583E1A">
        <w:rPr>
          <w:position w:val="6"/>
          <w:sz w:val="16"/>
        </w:rPr>
        <w:t>*</w:t>
      </w:r>
      <w:r w:rsidRPr="00583E1A">
        <w:t>debt interests issued by other entities; and</w:t>
      </w:r>
    </w:p>
    <w:p w:rsidR="00887330" w:rsidRPr="00583E1A" w:rsidRDefault="00887330" w:rsidP="00887330">
      <w:pPr>
        <w:pStyle w:val="paragraph"/>
      </w:pPr>
      <w:r w:rsidRPr="00583E1A">
        <w:lastRenderedPageBreak/>
        <w:tab/>
        <w:t>(b)</w:t>
      </w:r>
      <w:r w:rsidRPr="00583E1A">
        <w:tab/>
        <w:t xml:space="preserve">all the assets of the entity that are comprised by leases for the hire of goods that are not covered by </w:t>
      </w:r>
      <w:r w:rsidR="00583E1A">
        <w:t>paragraph (</w:t>
      </w:r>
      <w:r w:rsidRPr="00583E1A">
        <w:t>a) and in relation to which the following subparagraphs are satisfied:</w:t>
      </w:r>
    </w:p>
    <w:p w:rsidR="00887330" w:rsidRPr="00583E1A" w:rsidRDefault="00887330" w:rsidP="00887330">
      <w:pPr>
        <w:pStyle w:val="paragraphsub"/>
      </w:pPr>
      <w:r w:rsidRPr="00583E1A">
        <w:tab/>
        <w:t>(i)</w:t>
      </w:r>
      <w:r w:rsidRPr="00583E1A">
        <w:tab/>
        <w:t>each of the leases is for a term of 6 months or more;</w:t>
      </w:r>
    </w:p>
    <w:p w:rsidR="00887330" w:rsidRPr="00583E1A" w:rsidRDefault="00887330" w:rsidP="00887330">
      <w:pPr>
        <w:pStyle w:val="paragraphsub"/>
      </w:pPr>
      <w:r w:rsidRPr="00583E1A">
        <w:tab/>
        <w:t>(ii)</w:t>
      </w:r>
      <w:r w:rsidRPr="00583E1A">
        <w:tab/>
        <w:t xml:space="preserve">the leases are part of the </w:t>
      </w:r>
      <w:r w:rsidR="00583E1A" w:rsidRPr="00583E1A">
        <w:rPr>
          <w:position w:val="6"/>
          <w:sz w:val="16"/>
        </w:rPr>
        <w:t>*</w:t>
      </w:r>
      <w:r w:rsidRPr="00583E1A">
        <w:t>business of hiring goods that the entity carries on;</w:t>
      </w:r>
    </w:p>
    <w:p w:rsidR="00887330" w:rsidRPr="00583E1A" w:rsidRDefault="00887330" w:rsidP="00887330">
      <w:pPr>
        <w:pStyle w:val="paragraphsub"/>
      </w:pPr>
      <w:r w:rsidRPr="00583E1A">
        <w:tab/>
        <w:t>(iii)</w:t>
      </w:r>
      <w:r w:rsidRPr="00583E1A">
        <w:tab/>
        <w:t xml:space="preserve">the entity’s business of hiring goods is not carried on predominantly for the purposes of hiring goods to the entity’s </w:t>
      </w:r>
      <w:r w:rsidR="00583E1A" w:rsidRPr="00583E1A">
        <w:rPr>
          <w:position w:val="6"/>
          <w:sz w:val="16"/>
        </w:rPr>
        <w:t>*</w:t>
      </w:r>
      <w:r w:rsidRPr="00583E1A">
        <w:t>associates; and</w:t>
      </w:r>
    </w:p>
    <w:p w:rsidR="00887330" w:rsidRPr="00583E1A" w:rsidRDefault="00887330" w:rsidP="00887330">
      <w:pPr>
        <w:pStyle w:val="paragraph"/>
      </w:pPr>
      <w:r w:rsidRPr="00583E1A">
        <w:tab/>
        <w:t>(c)</w:t>
      </w:r>
      <w:r w:rsidRPr="00583E1A">
        <w:tab/>
        <w:t>all the securities that were held by the entity that:</w:t>
      </w:r>
    </w:p>
    <w:p w:rsidR="00887330" w:rsidRPr="00583E1A" w:rsidRDefault="00887330" w:rsidP="00887330">
      <w:pPr>
        <w:pStyle w:val="paragraphsub"/>
      </w:pPr>
      <w:r w:rsidRPr="00583E1A">
        <w:tab/>
        <w:t>(i)</w:t>
      </w:r>
      <w:r w:rsidRPr="00583E1A">
        <w:tab/>
        <w:t>have been sold by the entity under a reciprocal purchase agreement (otherwise known as a repurchase agreement), sell</w:t>
      </w:r>
      <w:r w:rsidR="00583E1A">
        <w:noBreakHyphen/>
      </w:r>
      <w:r w:rsidRPr="00583E1A">
        <w:t>buyback arrangement or securities loan arrangement; but</w:t>
      </w:r>
    </w:p>
    <w:p w:rsidR="00887330" w:rsidRPr="00583E1A" w:rsidRDefault="00887330" w:rsidP="00887330">
      <w:pPr>
        <w:pStyle w:val="paragraphsub"/>
      </w:pPr>
      <w:r w:rsidRPr="00583E1A">
        <w:tab/>
        <w:t>(ii)</w:t>
      </w:r>
      <w:r w:rsidRPr="00583E1A">
        <w:tab/>
        <w:t>have not yet been repurchased by the entity under the agreement or arrangement; and</w:t>
      </w:r>
    </w:p>
    <w:p w:rsidR="00887330" w:rsidRPr="00583E1A" w:rsidRDefault="00887330" w:rsidP="00887330">
      <w:pPr>
        <w:pStyle w:val="paragraph"/>
      </w:pPr>
      <w:r w:rsidRPr="00583E1A">
        <w:tab/>
        <w:t>(d)</w:t>
      </w:r>
      <w:r w:rsidRPr="00583E1A">
        <w:tab/>
        <w:t>if the entity:</w:t>
      </w:r>
    </w:p>
    <w:p w:rsidR="00887330" w:rsidRPr="00583E1A" w:rsidRDefault="00887330" w:rsidP="00887330">
      <w:pPr>
        <w:pStyle w:val="paragraphsub"/>
      </w:pPr>
      <w:r w:rsidRPr="00583E1A">
        <w:tab/>
        <w:t>(i)</w:t>
      </w:r>
      <w:r w:rsidRPr="00583E1A">
        <w:tab/>
        <w:t xml:space="preserve">carries on a </w:t>
      </w:r>
      <w:r w:rsidR="00583E1A" w:rsidRPr="00583E1A">
        <w:rPr>
          <w:position w:val="6"/>
          <w:sz w:val="16"/>
        </w:rPr>
        <w:t>*</w:t>
      </w:r>
      <w:r w:rsidRPr="00583E1A">
        <w:t>business of dealing in securities; and</w:t>
      </w:r>
    </w:p>
    <w:p w:rsidR="00887330" w:rsidRPr="00583E1A" w:rsidRDefault="00887330" w:rsidP="00887330">
      <w:pPr>
        <w:pStyle w:val="paragraphsub"/>
      </w:pPr>
      <w:r w:rsidRPr="00583E1A">
        <w:tab/>
        <w:t>(ii)</w:t>
      </w:r>
      <w:r w:rsidRPr="00583E1A">
        <w:tab/>
        <w:t xml:space="preserve">does not carry on that business predominantly for the purposes of dealing in securities with, or on behalf of, the entity’s </w:t>
      </w:r>
      <w:r w:rsidR="00583E1A" w:rsidRPr="00583E1A">
        <w:rPr>
          <w:position w:val="6"/>
          <w:sz w:val="16"/>
        </w:rPr>
        <w:t>*</w:t>
      </w:r>
      <w:r w:rsidRPr="00583E1A">
        <w:t>associates;</w:t>
      </w:r>
    </w:p>
    <w:p w:rsidR="00887330" w:rsidRPr="00583E1A" w:rsidRDefault="00887330" w:rsidP="00887330">
      <w:pPr>
        <w:pStyle w:val="paragraph"/>
      </w:pPr>
      <w:r w:rsidRPr="00583E1A">
        <w:tab/>
      </w:r>
      <w:r w:rsidRPr="00583E1A">
        <w:tab/>
        <w:t xml:space="preserve">all </w:t>
      </w:r>
      <w:r w:rsidR="00583E1A" w:rsidRPr="00583E1A">
        <w:rPr>
          <w:position w:val="6"/>
          <w:sz w:val="16"/>
        </w:rPr>
        <w:t>*</w:t>
      </w:r>
      <w:r w:rsidRPr="00583E1A">
        <w:t>shares that:</w:t>
      </w:r>
    </w:p>
    <w:p w:rsidR="00887330" w:rsidRPr="00583E1A" w:rsidRDefault="00887330" w:rsidP="00887330">
      <w:pPr>
        <w:pStyle w:val="paragraphsub"/>
      </w:pPr>
      <w:r w:rsidRPr="00583E1A">
        <w:tab/>
        <w:t>(iii)</w:t>
      </w:r>
      <w:r w:rsidRPr="00583E1A">
        <w:tab/>
        <w:t>the entity holds at that time; and</w:t>
      </w:r>
    </w:p>
    <w:p w:rsidR="00887330" w:rsidRPr="00583E1A" w:rsidRDefault="00887330" w:rsidP="00887330">
      <w:pPr>
        <w:pStyle w:val="paragraphsub"/>
      </w:pPr>
      <w:r w:rsidRPr="00583E1A">
        <w:tab/>
        <w:t>(iv)</w:t>
      </w:r>
      <w:r w:rsidRPr="00583E1A">
        <w:tab/>
        <w:t xml:space="preserve">are listed at that time for quotation in the official list of an </w:t>
      </w:r>
      <w:r w:rsidR="00583E1A" w:rsidRPr="00583E1A">
        <w:rPr>
          <w:position w:val="6"/>
          <w:sz w:val="16"/>
        </w:rPr>
        <w:t>*</w:t>
      </w:r>
      <w:r w:rsidRPr="00583E1A">
        <w:t>approved stock exchange; and</w:t>
      </w:r>
    </w:p>
    <w:p w:rsidR="00887330" w:rsidRPr="00583E1A" w:rsidRDefault="00887330" w:rsidP="00887330">
      <w:pPr>
        <w:pStyle w:val="paragraphsub"/>
      </w:pPr>
      <w:r w:rsidRPr="00583E1A">
        <w:tab/>
        <w:t>(v)</w:t>
      </w:r>
      <w:r w:rsidRPr="00583E1A">
        <w:tab/>
        <w:t xml:space="preserve">are not shares in an </w:t>
      </w:r>
      <w:r w:rsidR="00583E1A" w:rsidRPr="00583E1A">
        <w:rPr>
          <w:position w:val="6"/>
          <w:sz w:val="16"/>
        </w:rPr>
        <w:t>*</w:t>
      </w:r>
      <w:r w:rsidRPr="00583E1A">
        <w:t>associate entity at that time of the entity.</w:t>
      </w:r>
    </w:p>
    <w:p w:rsidR="00887330" w:rsidRPr="00583E1A" w:rsidRDefault="00887330" w:rsidP="00887330">
      <w:pPr>
        <w:pStyle w:val="Definition"/>
      </w:pPr>
      <w:r w:rsidRPr="00583E1A">
        <w:rPr>
          <w:b/>
          <w:i/>
        </w:rPr>
        <w:t>on</w:t>
      </w:r>
      <w:r w:rsidR="00583E1A">
        <w:rPr>
          <w:b/>
          <w:i/>
        </w:rPr>
        <w:noBreakHyphen/>
      </w:r>
      <w:r w:rsidRPr="00583E1A">
        <w:rPr>
          <w:b/>
          <w:i/>
        </w:rPr>
        <w:t>market buy</w:t>
      </w:r>
      <w:r w:rsidR="00583E1A">
        <w:rPr>
          <w:b/>
          <w:i/>
        </w:rPr>
        <w:noBreakHyphen/>
      </w:r>
      <w:r w:rsidRPr="00583E1A">
        <w:rPr>
          <w:b/>
          <w:i/>
        </w:rPr>
        <w:t xml:space="preserve">back </w:t>
      </w:r>
      <w:r w:rsidRPr="00583E1A">
        <w:t>means a purchase that is a buy</w:t>
      </w:r>
      <w:r w:rsidR="00583E1A">
        <w:noBreakHyphen/>
      </w:r>
      <w:r w:rsidRPr="00583E1A">
        <w:t>back and an on</w:t>
      </w:r>
      <w:r w:rsidR="00583E1A">
        <w:noBreakHyphen/>
      </w:r>
      <w:r w:rsidRPr="00583E1A">
        <w:t>market purchase for the purposes of Division</w:t>
      </w:r>
      <w:r w:rsidR="00583E1A">
        <w:t> </w:t>
      </w:r>
      <w:r w:rsidRPr="00583E1A">
        <w:t>16K of Part</w:t>
      </w:r>
      <w:r w:rsidR="00583E1A">
        <w:t> </w:t>
      </w:r>
      <w:r w:rsidRPr="00583E1A">
        <w:t xml:space="preserve">III of the </w:t>
      </w:r>
      <w:r w:rsidRPr="00583E1A">
        <w:rPr>
          <w:i/>
        </w:rPr>
        <w:t>Income Tax Assessment Act 1936</w:t>
      </w:r>
      <w:r w:rsidRPr="00583E1A">
        <w:t>.</w:t>
      </w:r>
    </w:p>
    <w:p w:rsidR="00887330" w:rsidRPr="00583E1A" w:rsidRDefault="00887330" w:rsidP="00887330">
      <w:pPr>
        <w:pStyle w:val="Definition"/>
      </w:pPr>
      <w:r w:rsidRPr="00583E1A">
        <w:rPr>
          <w:b/>
          <w:i/>
        </w:rPr>
        <w:t>opening adjustable value</w:t>
      </w:r>
      <w:r w:rsidRPr="00583E1A">
        <w:t xml:space="preserve"> of a </w:t>
      </w:r>
      <w:r w:rsidR="00583E1A" w:rsidRPr="00583E1A">
        <w:rPr>
          <w:position w:val="6"/>
          <w:sz w:val="16"/>
        </w:rPr>
        <w:t>*</w:t>
      </w:r>
      <w:r w:rsidRPr="00583E1A">
        <w:t>depreciating asset has the meaning given by section</w:t>
      </w:r>
      <w:r w:rsidR="00583E1A">
        <w:t> </w:t>
      </w:r>
      <w:r w:rsidRPr="00583E1A">
        <w:t>40</w:t>
      </w:r>
      <w:r w:rsidR="00583E1A">
        <w:noBreakHyphen/>
      </w:r>
      <w:r w:rsidRPr="00583E1A">
        <w:t>85.</w:t>
      </w:r>
    </w:p>
    <w:p w:rsidR="00887330" w:rsidRPr="00583E1A" w:rsidRDefault="00887330" w:rsidP="00887330">
      <w:pPr>
        <w:pStyle w:val="Definition"/>
      </w:pPr>
      <w:r w:rsidRPr="00583E1A">
        <w:rPr>
          <w:b/>
          <w:i/>
        </w:rPr>
        <w:t>opening pool balance</w:t>
      </w:r>
      <w:r w:rsidRPr="00583E1A">
        <w:t xml:space="preserve"> has the meaning given by section</w:t>
      </w:r>
      <w:r w:rsidR="00583E1A">
        <w:t> </w:t>
      </w:r>
      <w:r w:rsidRPr="00583E1A">
        <w:t>328</w:t>
      </w:r>
      <w:r w:rsidR="00583E1A">
        <w:noBreakHyphen/>
      </w:r>
      <w:r w:rsidRPr="00583E1A">
        <w:t>195.</w:t>
      </w:r>
    </w:p>
    <w:p w:rsidR="00887330" w:rsidRPr="00583E1A" w:rsidRDefault="00887330" w:rsidP="00887330">
      <w:pPr>
        <w:pStyle w:val="Definition"/>
      </w:pPr>
      <w:r w:rsidRPr="00583E1A">
        <w:rPr>
          <w:b/>
          <w:i/>
        </w:rPr>
        <w:t xml:space="preserve">oral ruling </w:t>
      </w:r>
      <w:r w:rsidRPr="00583E1A">
        <w:t>has the meaning given by section</w:t>
      </w:r>
      <w:r w:rsidR="00583E1A">
        <w:t> </w:t>
      </w:r>
      <w:r w:rsidRPr="00583E1A">
        <w:t>360</w:t>
      </w:r>
      <w:r w:rsidR="00583E1A">
        <w:noBreakHyphen/>
      </w:r>
      <w:r w:rsidRPr="00583E1A">
        <w:t>5 in Schedule</w:t>
      </w:r>
      <w:r w:rsidR="00583E1A">
        <w:t> </w:t>
      </w:r>
      <w:r w:rsidRPr="00583E1A">
        <w:t xml:space="preserve">1 to the </w:t>
      </w:r>
      <w:r w:rsidRPr="00583E1A">
        <w:rPr>
          <w:i/>
        </w:rPr>
        <w:t>Taxation Administration Act 1953</w:t>
      </w:r>
      <w:r w:rsidRPr="00583E1A">
        <w:t>.</w:t>
      </w:r>
    </w:p>
    <w:p w:rsidR="00887330" w:rsidRPr="00583E1A" w:rsidRDefault="00887330" w:rsidP="00887330">
      <w:pPr>
        <w:pStyle w:val="Definition"/>
      </w:pPr>
      <w:r w:rsidRPr="00583E1A">
        <w:rPr>
          <w:b/>
          <w:i/>
        </w:rPr>
        <w:lastRenderedPageBreak/>
        <w:t>ordinary capital gain</w:t>
      </w:r>
      <w:r w:rsidRPr="00583E1A">
        <w:t xml:space="preserve"> has the meaning given by section</w:t>
      </w:r>
      <w:r w:rsidR="00583E1A">
        <w:t> </w:t>
      </w:r>
      <w:r w:rsidRPr="00583E1A">
        <w:t xml:space="preserve">124ZW of the </w:t>
      </w:r>
      <w:r w:rsidRPr="00583E1A">
        <w:rPr>
          <w:i/>
        </w:rPr>
        <w:t>Income Tax Assessment Act 1936</w:t>
      </w:r>
      <w:r w:rsidRPr="00583E1A">
        <w:t>.</w:t>
      </w:r>
    </w:p>
    <w:p w:rsidR="00887330" w:rsidRPr="00583E1A" w:rsidRDefault="00887330" w:rsidP="00887330">
      <w:pPr>
        <w:pStyle w:val="Definition"/>
      </w:pPr>
      <w:r w:rsidRPr="00583E1A">
        <w:rPr>
          <w:b/>
          <w:i/>
        </w:rPr>
        <w:t>ordinary class</w:t>
      </w:r>
      <w:r w:rsidRPr="00583E1A">
        <w:t xml:space="preserve"> for a taxable income of a </w:t>
      </w:r>
      <w:r w:rsidR="00583E1A" w:rsidRPr="00583E1A">
        <w:rPr>
          <w:position w:val="6"/>
          <w:sz w:val="16"/>
        </w:rPr>
        <w:t>*</w:t>
      </w:r>
      <w:r w:rsidRPr="00583E1A">
        <w:t>life insurance company has the meaning given by section</w:t>
      </w:r>
      <w:r w:rsidR="00583E1A">
        <w:t> </w:t>
      </w:r>
      <w:r w:rsidRPr="00583E1A">
        <w:t>320</w:t>
      </w:r>
      <w:r w:rsidR="00583E1A">
        <w:noBreakHyphen/>
      </w:r>
      <w:r w:rsidRPr="00583E1A">
        <w:t>139.</w:t>
      </w:r>
    </w:p>
    <w:p w:rsidR="00887330" w:rsidRPr="00583E1A" w:rsidRDefault="00887330" w:rsidP="00887330">
      <w:pPr>
        <w:pStyle w:val="Definition"/>
      </w:pPr>
      <w:r w:rsidRPr="00583E1A">
        <w:rPr>
          <w:b/>
          <w:i/>
        </w:rPr>
        <w:t>ordinary class</w:t>
      </w:r>
      <w:r w:rsidRPr="00583E1A">
        <w:t xml:space="preserve"> for a </w:t>
      </w:r>
      <w:r w:rsidR="00583E1A" w:rsidRPr="00583E1A">
        <w:rPr>
          <w:position w:val="6"/>
          <w:sz w:val="16"/>
        </w:rPr>
        <w:t>*</w:t>
      </w:r>
      <w:r w:rsidRPr="00583E1A">
        <w:t xml:space="preserve">tax loss of a </w:t>
      </w:r>
      <w:r w:rsidR="00583E1A" w:rsidRPr="00583E1A">
        <w:rPr>
          <w:position w:val="6"/>
          <w:sz w:val="16"/>
        </w:rPr>
        <w:t>*</w:t>
      </w:r>
      <w:r w:rsidRPr="00583E1A">
        <w:t>life insurance company has the meaning given by section</w:t>
      </w:r>
      <w:r w:rsidR="00583E1A">
        <w:t> </w:t>
      </w:r>
      <w:r w:rsidRPr="00583E1A">
        <w:t>320</w:t>
      </w:r>
      <w:r w:rsidR="00583E1A">
        <w:noBreakHyphen/>
      </w:r>
      <w:r w:rsidRPr="00583E1A">
        <w:t>143.</w:t>
      </w:r>
    </w:p>
    <w:p w:rsidR="00887330" w:rsidRPr="00583E1A" w:rsidRDefault="00887330" w:rsidP="00887330">
      <w:pPr>
        <w:pStyle w:val="Definition"/>
      </w:pPr>
      <w:r w:rsidRPr="00583E1A">
        <w:rPr>
          <w:b/>
          <w:i/>
        </w:rPr>
        <w:t>ordinary debt interest</w:t>
      </w:r>
      <w:r w:rsidRPr="00583E1A">
        <w:t xml:space="preserve"> has the meaning given by section</w:t>
      </w:r>
      <w:r w:rsidR="00583E1A">
        <w:t> </w:t>
      </w:r>
      <w:r w:rsidRPr="00583E1A">
        <w:t>974</w:t>
      </w:r>
      <w:r w:rsidR="00583E1A">
        <w:noBreakHyphen/>
      </w:r>
      <w:r w:rsidRPr="00583E1A">
        <w:t>140.</w:t>
      </w:r>
    </w:p>
    <w:p w:rsidR="00887330" w:rsidRPr="00583E1A" w:rsidRDefault="00887330" w:rsidP="00887330">
      <w:pPr>
        <w:pStyle w:val="Definition"/>
      </w:pPr>
      <w:r w:rsidRPr="00583E1A">
        <w:rPr>
          <w:b/>
          <w:i/>
        </w:rPr>
        <w:t>ordinary income</w:t>
      </w:r>
      <w:r w:rsidRPr="00583E1A">
        <w:t xml:space="preserve"> has the meaning given by section</w:t>
      </w:r>
      <w:r w:rsidR="00583E1A">
        <w:t> </w:t>
      </w:r>
      <w:r w:rsidRPr="00583E1A">
        <w:t>6</w:t>
      </w:r>
      <w:r w:rsidR="00583E1A">
        <w:noBreakHyphen/>
      </w:r>
      <w:r w:rsidRPr="00583E1A">
        <w:t>5.</w:t>
      </w:r>
    </w:p>
    <w:p w:rsidR="00887330" w:rsidRPr="00583E1A" w:rsidRDefault="00887330" w:rsidP="00887330">
      <w:pPr>
        <w:pStyle w:val="Definition"/>
      </w:pPr>
      <w:r w:rsidRPr="00583E1A">
        <w:rPr>
          <w:b/>
          <w:i/>
        </w:rPr>
        <w:t>ordinary investment policy</w:t>
      </w:r>
      <w:r w:rsidRPr="00583E1A">
        <w:t xml:space="preserve"> means a </w:t>
      </w:r>
      <w:r w:rsidR="00583E1A" w:rsidRPr="00583E1A">
        <w:rPr>
          <w:position w:val="6"/>
          <w:sz w:val="16"/>
        </w:rPr>
        <w:t>*</w:t>
      </w:r>
      <w:r w:rsidRPr="00583E1A">
        <w:t>life insurance policy that is not:</w:t>
      </w:r>
    </w:p>
    <w:p w:rsidR="00887330" w:rsidRPr="00583E1A" w:rsidRDefault="00887330" w:rsidP="00887330">
      <w:pPr>
        <w:pStyle w:val="paragraph"/>
      </w:pPr>
      <w:r w:rsidRPr="00583E1A">
        <w:tab/>
        <w:t>(a)</w:t>
      </w:r>
      <w:r w:rsidRPr="00583E1A">
        <w:tab/>
        <w:t xml:space="preserve">a </w:t>
      </w:r>
      <w:r w:rsidR="00583E1A" w:rsidRPr="00583E1A">
        <w:rPr>
          <w:position w:val="6"/>
          <w:sz w:val="16"/>
        </w:rPr>
        <w:t>*</w:t>
      </w:r>
      <w:r w:rsidR="007C40BD" w:rsidRPr="00583E1A">
        <w:t>complying superannuation/FHSA</w:t>
      </w:r>
      <w:r w:rsidRPr="00583E1A">
        <w:t xml:space="preserve"> life insurance policy; or</w:t>
      </w:r>
    </w:p>
    <w:p w:rsidR="00887330" w:rsidRPr="00583E1A" w:rsidRDefault="00887330" w:rsidP="00887330">
      <w:pPr>
        <w:pStyle w:val="paragraph"/>
      </w:pPr>
      <w:r w:rsidRPr="00583E1A">
        <w:tab/>
        <w:t>(b)</w:t>
      </w:r>
      <w:r w:rsidRPr="00583E1A">
        <w:tab/>
        <w:t xml:space="preserve">an </w:t>
      </w:r>
      <w:r w:rsidR="00583E1A" w:rsidRPr="00583E1A">
        <w:rPr>
          <w:position w:val="6"/>
          <w:sz w:val="16"/>
        </w:rPr>
        <w:t>*</w:t>
      </w:r>
      <w:r w:rsidRPr="00583E1A">
        <w:t>exempt life insurance policy; or</w:t>
      </w:r>
    </w:p>
    <w:p w:rsidR="00887330" w:rsidRPr="00583E1A" w:rsidRDefault="00887330" w:rsidP="00887330">
      <w:pPr>
        <w:pStyle w:val="paragraph"/>
      </w:pPr>
      <w:r w:rsidRPr="00583E1A">
        <w:tab/>
        <w:t>(c)</w:t>
      </w:r>
      <w:r w:rsidRPr="00583E1A">
        <w:tab/>
        <w:t xml:space="preserve">a policy that provides for </w:t>
      </w:r>
      <w:r w:rsidR="00583E1A" w:rsidRPr="00583E1A">
        <w:rPr>
          <w:position w:val="6"/>
          <w:sz w:val="16"/>
        </w:rPr>
        <w:t>*</w:t>
      </w:r>
      <w:r w:rsidRPr="00583E1A">
        <w:t xml:space="preserve">participating benefits or </w:t>
      </w:r>
      <w:r w:rsidR="00583E1A" w:rsidRPr="00583E1A">
        <w:rPr>
          <w:position w:val="6"/>
          <w:sz w:val="16"/>
        </w:rPr>
        <w:t>*</w:t>
      </w:r>
      <w:r w:rsidRPr="00583E1A">
        <w:t>discretionary benefits; or</w:t>
      </w:r>
    </w:p>
    <w:p w:rsidR="00887330" w:rsidRPr="00583E1A" w:rsidRDefault="00887330" w:rsidP="00887330">
      <w:pPr>
        <w:pStyle w:val="paragraph"/>
      </w:pPr>
      <w:r w:rsidRPr="00583E1A">
        <w:tab/>
        <w:t>(d)</w:t>
      </w:r>
      <w:r w:rsidRPr="00583E1A">
        <w:tab/>
        <w:t xml:space="preserve">a policy (other than a </w:t>
      </w:r>
      <w:r w:rsidR="00583E1A" w:rsidRPr="00583E1A">
        <w:rPr>
          <w:position w:val="6"/>
          <w:sz w:val="16"/>
        </w:rPr>
        <w:t>*</w:t>
      </w:r>
      <w:r w:rsidRPr="00583E1A">
        <w:t>funeral policy) under which amounts are to be paid only on the death or disability of a person.</w:t>
      </w:r>
    </w:p>
    <w:p w:rsidR="000B048A" w:rsidRPr="00583E1A" w:rsidRDefault="000B048A" w:rsidP="00BA5F58">
      <w:pPr>
        <w:pStyle w:val="Definition"/>
      </w:pPr>
      <w:r w:rsidRPr="00583E1A">
        <w:rPr>
          <w:b/>
          <w:i/>
        </w:rPr>
        <w:t>ordinary payment</w:t>
      </w:r>
      <w:r w:rsidRPr="00583E1A">
        <w:t xml:space="preserve"> is defined as set out in this table:</w:t>
      </w:r>
    </w:p>
    <w:p w:rsidR="000B048A" w:rsidRPr="00583E1A" w:rsidRDefault="000B048A" w:rsidP="00BA5F58">
      <w:pPr>
        <w:pStyle w:val="Tabletext"/>
        <w:keepLines/>
      </w:pPr>
    </w:p>
    <w:tbl>
      <w:tblPr>
        <w:tblW w:w="0" w:type="auto"/>
        <w:tblInd w:w="1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709"/>
        <w:gridCol w:w="3402"/>
        <w:gridCol w:w="1843"/>
      </w:tblGrid>
      <w:tr w:rsidR="000B048A" w:rsidRPr="00583E1A">
        <w:trPr>
          <w:cantSplit/>
          <w:tblHeader/>
        </w:trPr>
        <w:tc>
          <w:tcPr>
            <w:tcW w:w="5954" w:type="dxa"/>
            <w:gridSpan w:val="3"/>
            <w:tcBorders>
              <w:top w:val="single" w:sz="12" w:space="0" w:color="auto"/>
              <w:left w:val="nil"/>
              <w:bottom w:val="nil"/>
              <w:right w:val="nil"/>
            </w:tcBorders>
          </w:tcPr>
          <w:p w:rsidR="000B048A" w:rsidRPr="00583E1A" w:rsidRDefault="000B048A" w:rsidP="00BA5F58">
            <w:pPr>
              <w:pStyle w:val="Tabletext"/>
              <w:keepNext/>
              <w:keepLines/>
            </w:pPr>
            <w:r w:rsidRPr="00583E1A">
              <w:rPr>
                <w:b/>
              </w:rPr>
              <w:t>Ordinary payment</w:t>
            </w:r>
          </w:p>
        </w:tc>
      </w:tr>
      <w:tr w:rsidR="000B048A" w:rsidRPr="00583E1A">
        <w:trPr>
          <w:cantSplit/>
          <w:tblHeader/>
        </w:trPr>
        <w:tc>
          <w:tcPr>
            <w:tcW w:w="709" w:type="dxa"/>
            <w:tcBorders>
              <w:top w:val="single" w:sz="6" w:space="0" w:color="auto"/>
              <w:left w:val="nil"/>
              <w:bottom w:val="single" w:sz="12" w:space="0" w:color="auto"/>
              <w:right w:val="nil"/>
            </w:tcBorders>
          </w:tcPr>
          <w:p w:rsidR="000B048A" w:rsidRPr="00583E1A" w:rsidRDefault="000B048A" w:rsidP="00BA5F58">
            <w:pPr>
              <w:pStyle w:val="Tabletext"/>
              <w:keepNext/>
              <w:keepLines/>
            </w:pPr>
            <w:r w:rsidRPr="00583E1A">
              <w:rPr>
                <w:b/>
              </w:rPr>
              <w:t>Item</w:t>
            </w:r>
          </w:p>
        </w:tc>
        <w:tc>
          <w:tcPr>
            <w:tcW w:w="3402" w:type="dxa"/>
            <w:tcBorders>
              <w:top w:val="single" w:sz="6" w:space="0" w:color="auto"/>
              <w:left w:val="nil"/>
              <w:bottom w:val="single" w:sz="12" w:space="0" w:color="auto"/>
              <w:right w:val="nil"/>
            </w:tcBorders>
          </w:tcPr>
          <w:p w:rsidR="000B048A" w:rsidRPr="00583E1A" w:rsidRDefault="000B048A" w:rsidP="00BA5F58">
            <w:pPr>
              <w:pStyle w:val="Tabletext"/>
              <w:keepNext/>
              <w:keepLines/>
            </w:pPr>
            <w:r w:rsidRPr="00583E1A">
              <w:rPr>
                <w:b/>
                <w:i/>
              </w:rPr>
              <w:t>Ordinary payment</w:t>
            </w:r>
            <w:r w:rsidRPr="00583E1A">
              <w:rPr>
                <w:b/>
              </w:rPr>
              <w:t>, in relation to this kind of a payment:</w:t>
            </w:r>
          </w:p>
        </w:tc>
        <w:tc>
          <w:tcPr>
            <w:tcW w:w="1843" w:type="dxa"/>
            <w:tcBorders>
              <w:top w:val="single" w:sz="6" w:space="0" w:color="auto"/>
              <w:left w:val="nil"/>
              <w:bottom w:val="single" w:sz="12" w:space="0" w:color="auto"/>
              <w:right w:val="nil"/>
            </w:tcBorders>
          </w:tcPr>
          <w:p w:rsidR="000B048A" w:rsidRPr="00583E1A" w:rsidRDefault="000B048A" w:rsidP="00BA5F58">
            <w:pPr>
              <w:pStyle w:val="Tabletext"/>
              <w:keepNext/>
              <w:keepLines/>
            </w:pPr>
            <w:r w:rsidRPr="00583E1A">
              <w:rPr>
                <w:b/>
              </w:rPr>
              <w:t>has the meaning given by:</w:t>
            </w:r>
          </w:p>
        </w:tc>
      </w:tr>
      <w:tr w:rsidR="000B048A" w:rsidRPr="00583E1A">
        <w:trPr>
          <w:cantSplit/>
        </w:trPr>
        <w:tc>
          <w:tcPr>
            <w:tcW w:w="709" w:type="dxa"/>
            <w:tcBorders>
              <w:top w:val="single" w:sz="12" w:space="0" w:color="auto"/>
              <w:left w:val="nil"/>
              <w:bottom w:val="single" w:sz="2" w:space="0" w:color="auto"/>
              <w:right w:val="nil"/>
            </w:tcBorders>
            <w:shd w:val="clear" w:color="auto" w:fill="auto"/>
          </w:tcPr>
          <w:p w:rsidR="000B048A" w:rsidRPr="00583E1A" w:rsidRDefault="000B048A" w:rsidP="00BA5F58">
            <w:pPr>
              <w:pStyle w:val="Tabletext"/>
              <w:keepLines/>
            </w:pPr>
            <w:r w:rsidRPr="00583E1A">
              <w:t>1</w:t>
            </w:r>
          </w:p>
        </w:tc>
        <w:tc>
          <w:tcPr>
            <w:tcW w:w="3402" w:type="dxa"/>
            <w:tcBorders>
              <w:top w:val="single" w:sz="12" w:space="0" w:color="auto"/>
              <w:left w:val="nil"/>
              <w:bottom w:val="single" w:sz="2" w:space="0" w:color="auto"/>
              <w:right w:val="nil"/>
            </w:tcBorders>
            <w:shd w:val="clear" w:color="auto" w:fill="auto"/>
          </w:tcPr>
          <w:p w:rsidR="000B048A" w:rsidRPr="00583E1A" w:rsidRDefault="000B048A" w:rsidP="00BA5F58">
            <w:pPr>
              <w:pStyle w:val="Tabletext"/>
              <w:keepLines/>
            </w:pPr>
            <w:r w:rsidRPr="00583E1A">
              <w:t>Payment under the ABSTUDY scheme</w:t>
            </w:r>
          </w:p>
        </w:tc>
        <w:tc>
          <w:tcPr>
            <w:tcW w:w="1843" w:type="dxa"/>
            <w:tcBorders>
              <w:top w:val="single" w:sz="12" w:space="0" w:color="auto"/>
              <w:left w:val="nil"/>
              <w:bottom w:val="single" w:sz="2" w:space="0" w:color="auto"/>
              <w:right w:val="nil"/>
            </w:tcBorders>
            <w:shd w:val="clear" w:color="auto" w:fill="auto"/>
          </w:tcPr>
          <w:p w:rsidR="000B048A" w:rsidRPr="00583E1A" w:rsidRDefault="000B048A" w:rsidP="00BA5F58">
            <w:pPr>
              <w:pStyle w:val="Tabletext"/>
              <w:keepLines/>
            </w:pPr>
            <w:r w:rsidRPr="00583E1A">
              <w:t>subsection 52</w:t>
            </w:r>
            <w:r w:rsidR="00583E1A">
              <w:noBreakHyphen/>
            </w:r>
            <w:r w:rsidRPr="00583E1A">
              <w:t>131(8)</w:t>
            </w:r>
          </w:p>
        </w:tc>
      </w:tr>
      <w:tr w:rsidR="000B048A" w:rsidRPr="00583E1A">
        <w:trPr>
          <w:cantSplit/>
        </w:trPr>
        <w:tc>
          <w:tcPr>
            <w:tcW w:w="709" w:type="dxa"/>
            <w:tcBorders>
              <w:top w:val="single" w:sz="2" w:space="0" w:color="auto"/>
              <w:left w:val="nil"/>
              <w:bottom w:val="single" w:sz="2" w:space="0" w:color="auto"/>
              <w:right w:val="nil"/>
            </w:tcBorders>
            <w:shd w:val="clear" w:color="auto" w:fill="auto"/>
          </w:tcPr>
          <w:p w:rsidR="000B048A" w:rsidRPr="00583E1A" w:rsidRDefault="000B048A" w:rsidP="000B048A">
            <w:pPr>
              <w:pStyle w:val="Tabletext"/>
            </w:pPr>
            <w:r w:rsidRPr="00583E1A">
              <w:t>2</w:t>
            </w:r>
          </w:p>
        </w:tc>
        <w:tc>
          <w:tcPr>
            <w:tcW w:w="3402" w:type="dxa"/>
            <w:tcBorders>
              <w:top w:val="single" w:sz="2" w:space="0" w:color="auto"/>
              <w:left w:val="nil"/>
              <w:bottom w:val="single" w:sz="2" w:space="0" w:color="auto"/>
              <w:right w:val="nil"/>
            </w:tcBorders>
            <w:shd w:val="clear" w:color="auto" w:fill="auto"/>
          </w:tcPr>
          <w:p w:rsidR="000B048A" w:rsidRPr="00583E1A" w:rsidRDefault="000B048A" w:rsidP="000B048A">
            <w:pPr>
              <w:pStyle w:val="Tabletext"/>
            </w:pPr>
            <w:r w:rsidRPr="00583E1A">
              <w:t xml:space="preserve">Payment under the </w:t>
            </w:r>
            <w:r w:rsidRPr="00583E1A">
              <w:rPr>
                <w:i/>
              </w:rPr>
              <w:t>Military Rehabilitation and Compensation Act 2004</w:t>
            </w:r>
          </w:p>
        </w:tc>
        <w:tc>
          <w:tcPr>
            <w:tcW w:w="1843" w:type="dxa"/>
            <w:tcBorders>
              <w:top w:val="single" w:sz="2" w:space="0" w:color="auto"/>
              <w:left w:val="nil"/>
              <w:bottom w:val="single" w:sz="2" w:space="0" w:color="auto"/>
              <w:right w:val="nil"/>
            </w:tcBorders>
            <w:shd w:val="clear" w:color="auto" w:fill="auto"/>
          </w:tcPr>
          <w:p w:rsidR="000B048A" w:rsidRPr="00583E1A" w:rsidRDefault="000B048A" w:rsidP="000B048A">
            <w:pPr>
              <w:pStyle w:val="Tabletext"/>
            </w:pPr>
            <w:r w:rsidRPr="00583E1A">
              <w:t>subsection 52</w:t>
            </w:r>
            <w:r w:rsidR="00583E1A">
              <w:noBreakHyphen/>
            </w:r>
            <w:r w:rsidRPr="00583E1A">
              <w:t>114(3)</w:t>
            </w:r>
          </w:p>
        </w:tc>
      </w:tr>
      <w:tr w:rsidR="000B048A" w:rsidRPr="00583E1A">
        <w:trPr>
          <w:cantSplit/>
        </w:trPr>
        <w:tc>
          <w:tcPr>
            <w:tcW w:w="709" w:type="dxa"/>
            <w:tcBorders>
              <w:top w:val="single" w:sz="2" w:space="0" w:color="auto"/>
              <w:left w:val="nil"/>
              <w:bottom w:val="single" w:sz="2" w:space="0" w:color="auto"/>
              <w:right w:val="nil"/>
            </w:tcBorders>
            <w:shd w:val="clear" w:color="auto" w:fill="auto"/>
          </w:tcPr>
          <w:p w:rsidR="000B048A" w:rsidRPr="00583E1A" w:rsidRDefault="000B048A" w:rsidP="000B048A">
            <w:pPr>
              <w:pStyle w:val="Tabletext"/>
            </w:pPr>
            <w:r w:rsidRPr="00583E1A">
              <w:t>3</w:t>
            </w:r>
          </w:p>
        </w:tc>
        <w:tc>
          <w:tcPr>
            <w:tcW w:w="3402" w:type="dxa"/>
            <w:tcBorders>
              <w:top w:val="single" w:sz="2" w:space="0" w:color="auto"/>
              <w:left w:val="nil"/>
              <w:bottom w:val="single" w:sz="2" w:space="0" w:color="auto"/>
              <w:right w:val="nil"/>
            </w:tcBorders>
            <w:shd w:val="clear" w:color="auto" w:fill="auto"/>
          </w:tcPr>
          <w:p w:rsidR="000B048A" w:rsidRPr="00583E1A" w:rsidRDefault="000B048A" w:rsidP="000B048A">
            <w:pPr>
              <w:pStyle w:val="Tabletext"/>
            </w:pPr>
            <w:r w:rsidRPr="00583E1A">
              <w:t>Social security payment</w:t>
            </w:r>
          </w:p>
        </w:tc>
        <w:tc>
          <w:tcPr>
            <w:tcW w:w="1843" w:type="dxa"/>
            <w:tcBorders>
              <w:top w:val="single" w:sz="2" w:space="0" w:color="auto"/>
              <w:left w:val="nil"/>
              <w:bottom w:val="single" w:sz="2" w:space="0" w:color="auto"/>
              <w:right w:val="nil"/>
            </w:tcBorders>
            <w:shd w:val="clear" w:color="auto" w:fill="auto"/>
          </w:tcPr>
          <w:p w:rsidR="000B048A" w:rsidRPr="00583E1A" w:rsidRDefault="000B048A" w:rsidP="000B048A">
            <w:pPr>
              <w:pStyle w:val="Tabletext"/>
            </w:pPr>
            <w:r w:rsidRPr="00583E1A">
              <w:t>subsection 52</w:t>
            </w:r>
            <w:r w:rsidR="00583E1A">
              <w:noBreakHyphen/>
            </w:r>
            <w:r w:rsidRPr="00583E1A">
              <w:t>10(3)</w:t>
            </w:r>
          </w:p>
        </w:tc>
      </w:tr>
      <w:tr w:rsidR="000B048A" w:rsidRPr="00583E1A">
        <w:trPr>
          <w:cantSplit/>
        </w:trPr>
        <w:tc>
          <w:tcPr>
            <w:tcW w:w="709" w:type="dxa"/>
            <w:tcBorders>
              <w:top w:val="single" w:sz="2" w:space="0" w:color="auto"/>
              <w:left w:val="nil"/>
              <w:bottom w:val="single" w:sz="12" w:space="0" w:color="auto"/>
              <w:right w:val="nil"/>
            </w:tcBorders>
          </w:tcPr>
          <w:p w:rsidR="000B048A" w:rsidRPr="00583E1A" w:rsidRDefault="000B048A" w:rsidP="000B048A">
            <w:pPr>
              <w:pStyle w:val="Tabletext"/>
            </w:pPr>
            <w:r w:rsidRPr="00583E1A">
              <w:t>4</w:t>
            </w:r>
          </w:p>
        </w:tc>
        <w:tc>
          <w:tcPr>
            <w:tcW w:w="3402" w:type="dxa"/>
            <w:tcBorders>
              <w:top w:val="single" w:sz="2" w:space="0" w:color="auto"/>
              <w:left w:val="nil"/>
              <w:bottom w:val="single" w:sz="12" w:space="0" w:color="auto"/>
              <w:right w:val="nil"/>
            </w:tcBorders>
          </w:tcPr>
          <w:p w:rsidR="000B048A" w:rsidRPr="00583E1A" w:rsidRDefault="000B048A" w:rsidP="000B048A">
            <w:pPr>
              <w:pStyle w:val="Tabletext"/>
            </w:pPr>
            <w:r w:rsidRPr="00583E1A">
              <w:t>Veterans’ affairs payment</w:t>
            </w:r>
          </w:p>
        </w:tc>
        <w:tc>
          <w:tcPr>
            <w:tcW w:w="1843" w:type="dxa"/>
            <w:tcBorders>
              <w:top w:val="single" w:sz="2" w:space="0" w:color="auto"/>
              <w:left w:val="nil"/>
              <w:bottom w:val="single" w:sz="12" w:space="0" w:color="auto"/>
              <w:right w:val="nil"/>
            </w:tcBorders>
          </w:tcPr>
          <w:p w:rsidR="000B048A" w:rsidRPr="00583E1A" w:rsidRDefault="000B048A" w:rsidP="000B048A">
            <w:pPr>
              <w:pStyle w:val="Tabletext"/>
            </w:pPr>
            <w:r w:rsidRPr="00583E1A">
              <w:t>subsection 52</w:t>
            </w:r>
            <w:r w:rsidR="00583E1A">
              <w:noBreakHyphen/>
            </w:r>
            <w:r w:rsidRPr="00583E1A">
              <w:t>65(4)</w:t>
            </w:r>
          </w:p>
        </w:tc>
      </w:tr>
    </w:tbl>
    <w:p w:rsidR="000702BE" w:rsidRPr="00583E1A" w:rsidRDefault="000702BE" w:rsidP="000702BE">
      <w:pPr>
        <w:pStyle w:val="Definition"/>
      </w:pPr>
      <w:r w:rsidRPr="00583E1A">
        <w:rPr>
          <w:b/>
          <w:i/>
        </w:rPr>
        <w:t>original excess contributions tax assessment day</w:t>
      </w:r>
      <w:r w:rsidRPr="00583E1A">
        <w:t xml:space="preserve"> has the meaning given by section</w:t>
      </w:r>
      <w:r w:rsidR="00583E1A">
        <w:t> </w:t>
      </w:r>
      <w:r w:rsidRPr="00583E1A">
        <w:t>292</w:t>
      </w:r>
      <w:r w:rsidR="00583E1A">
        <w:noBreakHyphen/>
      </w:r>
      <w:r w:rsidRPr="00583E1A">
        <w:t>305.</w:t>
      </w:r>
    </w:p>
    <w:p w:rsidR="00887330" w:rsidRPr="00583E1A" w:rsidRDefault="00887330" w:rsidP="00887330">
      <w:pPr>
        <w:pStyle w:val="Definition"/>
        <w:rPr>
          <w:b/>
          <w:i/>
        </w:rPr>
      </w:pPr>
      <w:r w:rsidRPr="00583E1A">
        <w:rPr>
          <w:b/>
          <w:i/>
        </w:rPr>
        <w:t xml:space="preserve">original franking assessment day </w:t>
      </w:r>
      <w:r w:rsidRPr="00583E1A">
        <w:t>has the meaning given by subsection 214</w:t>
      </w:r>
      <w:r w:rsidR="00583E1A">
        <w:noBreakHyphen/>
      </w:r>
      <w:r w:rsidRPr="00583E1A">
        <w:t>95(2).</w:t>
      </w:r>
    </w:p>
    <w:p w:rsidR="00887330" w:rsidRPr="00583E1A" w:rsidRDefault="00887330" w:rsidP="00887330">
      <w:pPr>
        <w:pStyle w:val="Definition"/>
        <w:rPr>
          <w:b/>
          <w:i/>
        </w:rPr>
      </w:pPr>
      <w:r w:rsidRPr="00583E1A">
        <w:rPr>
          <w:b/>
          <w:i/>
        </w:rPr>
        <w:lastRenderedPageBreak/>
        <w:t>outstanding</w:t>
      </w:r>
      <w:r w:rsidRPr="00583E1A">
        <w:t xml:space="preserve">, within the context of </w:t>
      </w:r>
      <w:r w:rsidR="00583E1A" w:rsidRPr="00583E1A">
        <w:rPr>
          <w:position w:val="6"/>
          <w:sz w:val="16"/>
        </w:rPr>
        <w:t>*</w:t>
      </w:r>
      <w:r w:rsidRPr="00583E1A">
        <w:t>franking returns,</w:t>
      </w:r>
      <w:r w:rsidRPr="00583E1A">
        <w:rPr>
          <w:b/>
          <w:i/>
        </w:rPr>
        <w:t xml:space="preserve"> </w:t>
      </w:r>
      <w:r w:rsidRPr="00583E1A">
        <w:t>has the meaning given by subsection 214</w:t>
      </w:r>
      <w:r w:rsidR="00583E1A">
        <w:noBreakHyphen/>
      </w:r>
      <w:r w:rsidRPr="00583E1A">
        <w:t>45(3).</w:t>
      </w:r>
    </w:p>
    <w:p w:rsidR="00887330" w:rsidRPr="00583E1A" w:rsidRDefault="00887330" w:rsidP="00887330">
      <w:pPr>
        <w:pStyle w:val="Definition"/>
      </w:pPr>
      <w:r w:rsidRPr="00583E1A">
        <w:rPr>
          <w:b/>
          <w:i/>
        </w:rPr>
        <w:t>outstanding claims</w:t>
      </w:r>
      <w:r w:rsidRPr="00583E1A">
        <w:t xml:space="preserve"> at the end of an income year (the </w:t>
      </w:r>
      <w:r w:rsidRPr="00583E1A">
        <w:rPr>
          <w:b/>
          <w:i/>
        </w:rPr>
        <w:t>current income year</w:t>
      </w:r>
      <w:r w:rsidRPr="00583E1A">
        <w:t xml:space="preserve">) under </w:t>
      </w:r>
      <w:r w:rsidR="00583E1A" w:rsidRPr="00583E1A">
        <w:rPr>
          <w:position w:val="6"/>
          <w:sz w:val="16"/>
        </w:rPr>
        <w:t>*</w:t>
      </w:r>
      <w:r w:rsidRPr="00583E1A">
        <w:t>general insurance policies means claims under the policies that:</w:t>
      </w:r>
    </w:p>
    <w:p w:rsidR="00887330" w:rsidRPr="00583E1A" w:rsidRDefault="00887330" w:rsidP="00887330">
      <w:pPr>
        <w:pStyle w:val="paragraph"/>
      </w:pPr>
      <w:r w:rsidRPr="00583E1A">
        <w:tab/>
        <w:t>(a)</w:t>
      </w:r>
      <w:r w:rsidRPr="00583E1A">
        <w:tab/>
        <w:t xml:space="preserve">the </w:t>
      </w:r>
      <w:r w:rsidR="00583E1A" w:rsidRPr="00583E1A">
        <w:rPr>
          <w:position w:val="6"/>
          <w:sz w:val="16"/>
        </w:rPr>
        <w:t>*</w:t>
      </w:r>
      <w:r w:rsidRPr="00583E1A">
        <w:t>general insurance company concerned is liable to pay; and</w:t>
      </w:r>
    </w:p>
    <w:p w:rsidR="00887330" w:rsidRPr="00583E1A" w:rsidRDefault="00887330" w:rsidP="00887330">
      <w:pPr>
        <w:pStyle w:val="paragraph"/>
      </w:pPr>
      <w:r w:rsidRPr="00583E1A">
        <w:tab/>
        <w:t>(b)</w:t>
      </w:r>
      <w:r w:rsidRPr="00583E1A">
        <w:tab/>
        <w:t>arose from insured events that occurred in the current income year or an earlier income year; and</w:t>
      </w:r>
    </w:p>
    <w:p w:rsidR="00887330" w:rsidRPr="00583E1A" w:rsidRDefault="00887330" w:rsidP="00887330">
      <w:pPr>
        <w:pStyle w:val="paragraph"/>
      </w:pPr>
      <w:r w:rsidRPr="00583E1A">
        <w:tab/>
        <w:t>(c)</w:t>
      </w:r>
      <w:r w:rsidRPr="00583E1A">
        <w:tab/>
        <w:t>were not paid in full before the end of the current income year.</w:t>
      </w:r>
    </w:p>
    <w:p w:rsidR="00887330" w:rsidRPr="00583E1A" w:rsidRDefault="00887330" w:rsidP="00887330">
      <w:pPr>
        <w:pStyle w:val="Definition"/>
      </w:pPr>
      <w:r w:rsidRPr="00583E1A">
        <w:rPr>
          <w:b/>
          <w:i/>
        </w:rPr>
        <w:t>outstanding foreign hybrid net capital loss amount</w:t>
      </w:r>
      <w:r w:rsidRPr="00583E1A">
        <w:t xml:space="preserve"> has the meaning given by section</w:t>
      </w:r>
      <w:r w:rsidR="00583E1A">
        <w:t> </w:t>
      </w:r>
      <w:r w:rsidRPr="00583E1A">
        <w:t>830</w:t>
      </w:r>
      <w:r w:rsidR="00583E1A">
        <w:noBreakHyphen/>
      </w:r>
      <w:r w:rsidRPr="00583E1A">
        <w:t>70.</w:t>
      </w:r>
    </w:p>
    <w:p w:rsidR="00887330" w:rsidRPr="00583E1A" w:rsidRDefault="00887330" w:rsidP="00887330">
      <w:pPr>
        <w:pStyle w:val="Definition"/>
      </w:pPr>
      <w:r w:rsidRPr="00583E1A">
        <w:rPr>
          <w:b/>
          <w:i/>
        </w:rPr>
        <w:t>outstanding foreign hybrid revenue loss amount</w:t>
      </w:r>
      <w:r w:rsidRPr="00583E1A">
        <w:t xml:space="preserve"> has the meaning given by section</w:t>
      </w:r>
      <w:r w:rsidR="00583E1A">
        <w:t> </w:t>
      </w:r>
      <w:r w:rsidRPr="00583E1A">
        <w:t>830</w:t>
      </w:r>
      <w:r w:rsidR="00583E1A">
        <w:noBreakHyphen/>
      </w:r>
      <w:r w:rsidRPr="00583E1A">
        <w:t>65.</w:t>
      </w:r>
    </w:p>
    <w:p w:rsidR="00887330" w:rsidRPr="00583E1A" w:rsidRDefault="00887330" w:rsidP="007D29DB">
      <w:pPr>
        <w:pStyle w:val="Definition"/>
        <w:keepNext/>
        <w:keepLines/>
      </w:pPr>
      <w:r w:rsidRPr="00583E1A">
        <w:rPr>
          <w:b/>
          <w:i/>
        </w:rPr>
        <w:t>outstanding tax</w:t>
      </w:r>
      <w:r w:rsidR="00583E1A">
        <w:rPr>
          <w:b/>
          <w:i/>
        </w:rPr>
        <w:noBreakHyphen/>
      </w:r>
      <w:r w:rsidRPr="00583E1A">
        <w:rPr>
          <w:b/>
          <w:i/>
        </w:rPr>
        <w:t>related liability</w:t>
      </w:r>
      <w:r w:rsidRPr="00583E1A">
        <w:t xml:space="preserve"> of an entity at a particular time means a </w:t>
      </w:r>
      <w:r w:rsidR="00583E1A" w:rsidRPr="00583E1A">
        <w:rPr>
          <w:position w:val="6"/>
          <w:sz w:val="16"/>
        </w:rPr>
        <w:t>*</w:t>
      </w:r>
      <w:r w:rsidRPr="00583E1A">
        <w:t>tax</w:t>
      </w:r>
      <w:r w:rsidR="00583E1A">
        <w:noBreakHyphen/>
      </w:r>
      <w:r w:rsidRPr="00583E1A">
        <w:t>related liability of the entity:</w:t>
      </w:r>
    </w:p>
    <w:p w:rsidR="00887330" w:rsidRPr="00583E1A" w:rsidRDefault="00887330" w:rsidP="00887330">
      <w:pPr>
        <w:pStyle w:val="paragraph"/>
      </w:pPr>
      <w:r w:rsidRPr="00583E1A">
        <w:tab/>
        <w:t>(a)</w:t>
      </w:r>
      <w:r w:rsidRPr="00583E1A">
        <w:tab/>
        <w:t>that has arisen at or before that time (whether or not it is due and payable at that time); and</w:t>
      </w:r>
    </w:p>
    <w:p w:rsidR="00887330" w:rsidRPr="00583E1A" w:rsidRDefault="00887330" w:rsidP="00887330">
      <w:pPr>
        <w:pStyle w:val="paragraph"/>
      </w:pPr>
      <w:r w:rsidRPr="00583E1A">
        <w:tab/>
        <w:t>(b)</w:t>
      </w:r>
      <w:r w:rsidRPr="00583E1A">
        <w:tab/>
        <w:t>an amount of which has not been paid before that time.</w:t>
      </w:r>
    </w:p>
    <w:p w:rsidR="00887330" w:rsidRPr="00583E1A" w:rsidRDefault="00887330" w:rsidP="00887330">
      <w:pPr>
        <w:pStyle w:val="Definition"/>
      </w:pPr>
      <w:r w:rsidRPr="00583E1A">
        <w:rPr>
          <w:b/>
          <w:i/>
        </w:rPr>
        <w:t>outward investing entity (ADI)</w:t>
      </w:r>
      <w:r w:rsidRPr="00583E1A">
        <w:t xml:space="preserve"> has the meaning given by sections</w:t>
      </w:r>
      <w:r w:rsidR="00583E1A">
        <w:t> </w:t>
      </w:r>
      <w:r w:rsidRPr="00583E1A">
        <w:t>820</w:t>
      </w:r>
      <w:r w:rsidR="00583E1A">
        <w:noBreakHyphen/>
      </w:r>
      <w:r w:rsidRPr="00583E1A">
        <w:t>300, 820</w:t>
      </w:r>
      <w:r w:rsidR="00583E1A">
        <w:noBreakHyphen/>
      </w:r>
      <w:r w:rsidRPr="00583E1A">
        <w:t>583 and 820</w:t>
      </w:r>
      <w:r w:rsidR="00583E1A">
        <w:noBreakHyphen/>
      </w:r>
      <w:r w:rsidRPr="00583E1A">
        <w:t>609.</w:t>
      </w:r>
    </w:p>
    <w:p w:rsidR="00887330" w:rsidRPr="00583E1A" w:rsidRDefault="00887330" w:rsidP="00A756C6">
      <w:pPr>
        <w:pStyle w:val="notetext"/>
        <w:keepNext/>
        <w:keepLines/>
      </w:pPr>
      <w:r w:rsidRPr="00583E1A">
        <w:t>Note:</w:t>
      </w:r>
      <w:r w:rsidRPr="00583E1A">
        <w:tab/>
        <w:t>Section</w:t>
      </w:r>
      <w:r w:rsidR="00583E1A">
        <w:t> </w:t>
      </w:r>
      <w:r w:rsidRPr="00583E1A">
        <w:t>820</w:t>
      </w:r>
      <w:r w:rsidR="00583E1A">
        <w:noBreakHyphen/>
      </w:r>
      <w:r w:rsidRPr="00583E1A">
        <w:t>430:</w:t>
      </w:r>
    </w:p>
    <w:p w:rsidR="00887330" w:rsidRPr="00583E1A" w:rsidRDefault="00887330" w:rsidP="00887330">
      <w:pPr>
        <w:pStyle w:val="TLPNotebullet"/>
      </w:pPr>
      <w:r w:rsidRPr="00583E1A">
        <w:t>allows an outward investor (financial) to be treated as an outward investing entity (ADI) in certain cases; and</w:t>
      </w:r>
    </w:p>
    <w:p w:rsidR="00887330" w:rsidRPr="00583E1A" w:rsidRDefault="00887330" w:rsidP="00887330">
      <w:pPr>
        <w:pStyle w:val="TLPNotebullet"/>
      </w:pPr>
      <w:r w:rsidRPr="00583E1A">
        <w:t>allows an inward investment vehicle (financial) to be treated as an outward investing entity (ADI) in certain cases.</w:t>
      </w:r>
    </w:p>
    <w:p w:rsidR="00887330" w:rsidRPr="00583E1A" w:rsidRDefault="00887330" w:rsidP="00887330">
      <w:pPr>
        <w:pStyle w:val="Definition"/>
      </w:pPr>
      <w:r w:rsidRPr="00583E1A">
        <w:rPr>
          <w:b/>
          <w:i/>
        </w:rPr>
        <w:t>outward investing entity (non</w:t>
      </w:r>
      <w:r w:rsidR="00583E1A">
        <w:rPr>
          <w:b/>
          <w:i/>
        </w:rPr>
        <w:noBreakHyphen/>
      </w:r>
      <w:r w:rsidRPr="00583E1A">
        <w:rPr>
          <w:b/>
          <w:i/>
        </w:rPr>
        <w:t>ADI)</w:t>
      </w:r>
      <w:r w:rsidRPr="00583E1A">
        <w:t xml:space="preserve"> has the meaning given by sections</w:t>
      </w:r>
      <w:r w:rsidR="00583E1A">
        <w:t> </w:t>
      </w:r>
      <w:r w:rsidRPr="00583E1A">
        <w:t>820</w:t>
      </w:r>
      <w:r w:rsidR="00583E1A">
        <w:noBreakHyphen/>
      </w:r>
      <w:r w:rsidRPr="00583E1A">
        <w:t>85, 820</w:t>
      </w:r>
      <w:r w:rsidR="00583E1A">
        <w:noBreakHyphen/>
      </w:r>
      <w:r w:rsidRPr="00583E1A">
        <w:t>583</w:t>
      </w:r>
      <w:r w:rsidR="00D4752D" w:rsidRPr="00583E1A">
        <w:t>, 820</w:t>
      </w:r>
      <w:r w:rsidR="00583E1A">
        <w:noBreakHyphen/>
      </w:r>
      <w:r w:rsidR="00D4752D" w:rsidRPr="00583E1A">
        <w:t>609 and 820</w:t>
      </w:r>
      <w:r w:rsidR="00583E1A">
        <w:noBreakHyphen/>
      </w:r>
      <w:r w:rsidR="00D4752D" w:rsidRPr="00583E1A">
        <w:t>610</w:t>
      </w:r>
      <w:r w:rsidRPr="00583E1A">
        <w:t>.</w:t>
      </w:r>
    </w:p>
    <w:p w:rsidR="00887330" w:rsidRPr="00583E1A" w:rsidRDefault="00887330" w:rsidP="00887330">
      <w:pPr>
        <w:pStyle w:val="Definition"/>
      </w:pPr>
      <w:r w:rsidRPr="00583E1A">
        <w:rPr>
          <w:b/>
          <w:i/>
        </w:rPr>
        <w:t>outward investor (financial)</w:t>
      </w:r>
      <w:r w:rsidRPr="00583E1A">
        <w:rPr>
          <w:b/>
        </w:rPr>
        <w:t xml:space="preserve"> </w:t>
      </w:r>
      <w:r w:rsidRPr="00583E1A">
        <w:t>has the meaning given by sections</w:t>
      </w:r>
      <w:r w:rsidR="00583E1A">
        <w:t> </w:t>
      </w:r>
      <w:r w:rsidRPr="00583E1A">
        <w:t>820</w:t>
      </w:r>
      <w:r w:rsidR="00583E1A">
        <w:noBreakHyphen/>
      </w:r>
      <w:r w:rsidRPr="00583E1A">
        <w:t>85, 820</w:t>
      </w:r>
      <w:r w:rsidR="00583E1A">
        <w:noBreakHyphen/>
      </w:r>
      <w:r w:rsidRPr="00583E1A">
        <w:t>583</w:t>
      </w:r>
      <w:r w:rsidR="00115684" w:rsidRPr="00583E1A">
        <w:t>, 820</w:t>
      </w:r>
      <w:r w:rsidR="00583E1A">
        <w:noBreakHyphen/>
      </w:r>
      <w:r w:rsidR="00115684" w:rsidRPr="00583E1A">
        <w:t>609 and 820</w:t>
      </w:r>
      <w:r w:rsidR="00583E1A">
        <w:noBreakHyphen/>
      </w:r>
      <w:r w:rsidR="00115684" w:rsidRPr="00583E1A">
        <w:t>610</w:t>
      </w:r>
      <w:r w:rsidRPr="00583E1A">
        <w:t>.</w:t>
      </w:r>
    </w:p>
    <w:p w:rsidR="00887330" w:rsidRPr="00583E1A" w:rsidRDefault="00887330" w:rsidP="00887330">
      <w:pPr>
        <w:pStyle w:val="notetext"/>
      </w:pPr>
      <w:r w:rsidRPr="00583E1A">
        <w:t>Note:</w:t>
      </w:r>
      <w:r w:rsidRPr="00583E1A">
        <w:tab/>
        <w:t>Section</w:t>
      </w:r>
      <w:r w:rsidR="00583E1A">
        <w:t> </w:t>
      </w:r>
      <w:r w:rsidRPr="00583E1A">
        <w:t>820</w:t>
      </w:r>
      <w:r w:rsidR="00583E1A">
        <w:noBreakHyphen/>
      </w:r>
      <w:r w:rsidRPr="00583E1A">
        <w:t>430 allows an outward investor (financial) to be treated as an outward investing entity (ADI) in certain cases.</w:t>
      </w:r>
    </w:p>
    <w:p w:rsidR="00887330" w:rsidRPr="00583E1A" w:rsidRDefault="00887330" w:rsidP="00887330">
      <w:pPr>
        <w:pStyle w:val="Definition"/>
      </w:pPr>
      <w:r w:rsidRPr="00583E1A">
        <w:rPr>
          <w:b/>
          <w:i/>
        </w:rPr>
        <w:lastRenderedPageBreak/>
        <w:t>outward investor (general)</w:t>
      </w:r>
      <w:r w:rsidRPr="00583E1A">
        <w:t xml:space="preserve"> has the meaning given by sections</w:t>
      </w:r>
      <w:r w:rsidR="00583E1A">
        <w:t> </w:t>
      </w:r>
      <w:r w:rsidRPr="00583E1A">
        <w:t>820</w:t>
      </w:r>
      <w:r w:rsidR="00583E1A">
        <w:noBreakHyphen/>
      </w:r>
      <w:r w:rsidRPr="00583E1A">
        <w:t>85 and 820</w:t>
      </w:r>
      <w:r w:rsidR="00583E1A">
        <w:noBreakHyphen/>
      </w:r>
      <w:r w:rsidRPr="00583E1A">
        <w:t>583.</w:t>
      </w:r>
    </w:p>
    <w:p w:rsidR="00887330" w:rsidRPr="00583E1A" w:rsidRDefault="00887330" w:rsidP="00887330">
      <w:pPr>
        <w:pStyle w:val="Definition"/>
      </w:pPr>
      <w:r w:rsidRPr="00583E1A">
        <w:rPr>
          <w:b/>
          <w:i/>
        </w:rPr>
        <w:t>over</w:t>
      </w:r>
      <w:r w:rsidR="00583E1A">
        <w:rPr>
          <w:b/>
          <w:i/>
        </w:rPr>
        <w:noBreakHyphen/>
      </w:r>
      <w:r w:rsidRPr="00583E1A">
        <w:rPr>
          <w:b/>
          <w:i/>
        </w:rPr>
        <w:t>franking tax</w:t>
      </w:r>
      <w:r w:rsidRPr="00583E1A">
        <w:rPr>
          <w:b/>
        </w:rPr>
        <w:t xml:space="preserve"> </w:t>
      </w:r>
      <w:r w:rsidRPr="00583E1A">
        <w:t xml:space="preserve">means tax imposed under the </w:t>
      </w:r>
      <w:r w:rsidRPr="00583E1A">
        <w:rPr>
          <w:i/>
        </w:rPr>
        <w:t>New Business Tax System (Over</w:t>
      </w:r>
      <w:r w:rsidR="00583E1A">
        <w:rPr>
          <w:i/>
        </w:rPr>
        <w:noBreakHyphen/>
      </w:r>
      <w:r w:rsidRPr="00583E1A">
        <w:rPr>
          <w:i/>
        </w:rPr>
        <w:t>franking Tax) Act 2002</w:t>
      </w:r>
      <w:r w:rsidRPr="00583E1A">
        <w:t>.</w:t>
      </w:r>
    </w:p>
    <w:p w:rsidR="00887330" w:rsidRPr="00583E1A" w:rsidRDefault="00887330" w:rsidP="00887330">
      <w:pPr>
        <w:pStyle w:val="notetext"/>
      </w:pPr>
      <w:r w:rsidRPr="00583E1A">
        <w:t>Note:</w:t>
      </w:r>
      <w:r w:rsidRPr="00583E1A">
        <w:tab/>
        <w:t>The Act imposes tax where it is payable under section</w:t>
      </w:r>
      <w:r w:rsidR="00583E1A">
        <w:t> </w:t>
      </w:r>
      <w:r w:rsidRPr="00583E1A">
        <w:t>203</w:t>
      </w:r>
      <w:r w:rsidR="00583E1A">
        <w:noBreakHyphen/>
      </w:r>
      <w:r w:rsidRPr="00583E1A">
        <w:t>50 of this Act.</w:t>
      </w:r>
    </w:p>
    <w:p w:rsidR="00887330" w:rsidRPr="00583E1A" w:rsidRDefault="00887330" w:rsidP="00887330">
      <w:pPr>
        <w:pStyle w:val="Definition"/>
      </w:pPr>
      <w:r w:rsidRPr="00583E1A">
        <w:rPr>
          <w:b/>
          <w:i/>
        </w:rPr>
        <w:t>overseas fund</w:t>
      </w:r>
      <w:r w:rsidRPr="00583E1A">
        <w:t xml:space="preserve"> has the meaning given by section</w:t>
      </w:r>
      <w:r w:rsidR="00583E1A">
        <w:t> </w:t>
      </w:r>
      <w:r w:rsidRPr="00583E1A">
        <w:t xml:space="preserve">74 of the </w:t>
      </w:r>
      <w:r w:rsidRPr="00583E1A">
        <w:rPr>
          <w:i/>
        </w:rPr>
        <w:t>Life Insurance Act 1995</w:t>
      </w:r>
      <w:r w:rsidRPr="00583E1A">
        <w:t>.</w:t>
      </w:r>
    </w:p>
    <w:p w:rsidR="00887330" w:rsidRPr="00583E1A" w:rsidRDefault="00887330" w:rsidP="00887330">
      <w:pPr>
        <w:pStyle w:val="Definition"/>
      </w:pPr>
      <w:r w:rsidRPr="00583E1A">
        <w:rPr>
          <w:b/>
          <w:i/>
        </w:rPr>
        <w:t>overseas permanent establishment</w:t>
      </w:r>
      <w:r w:rsidRPr="00583E1A">
        <w:t xml:space="preserve">, of an entity, means a </w:t>
      </w:r>
      <w:r w:rsidR="00583E1A" w:rsidRPr="00583E1A">
        <w:rPr>
          <w:position w:val="6"/>
          <w:sz w:val="16"/>
        </w:rPr>
        <w:t>*</w:t>
      </w:r>
      <w:r w:rsidRPr="00583E1A">
        <w:t xml:space="preserve">permanent establishment of the entity that is in a country other than </w:t>
      </w:r>
      <w:smartTag w:uri="urn:schemas-microsoft-com:office:smarttags" w:element="country-region">
        <w:smartTag w:uri="urn:schemas-microsoft-com:office:smarttags" w:element="place">
          <w:r w:rsidRPr="00583E1A">
            <w:t>Australia</w:t>
          </w:r>
        </w:smartTag>
      </w:smartTag>
      <w:r w:rsidRPr="00583E1A">
        <w:t>.</w:t>
      </w:r>
    </w:p>
    <w:p w:rsidR="00CE7937" w:rsidRPr="00214FF7" w:rsidRDefault="00CE7937" w:rsidP="00CE7937">
      <w:pPr>
        <w:pStyle w:val="Definition"/>
      </w:pPr>
      <w:r w:rsidRPr="00214FF7">
        <w:rPr>
          <w:b/>
          <w:i/>
        </w:rPr>
        <w:t>owner</w:t>
      </w:r>
      <w:r w:rsidRPr="00214FF7">
        <w:t xml:space="preserve"> of a </w:t>
      </w:r>
      <w:r w:rsidRPr="00214FF7">
        <w:rPr>
          <w:position w:val="6"/>
          <w:sz w:val="16"/>
        </w:rPr>
        <w:t>*</w:t>
      </w:r>
      <w:r w:rsidRPr="00214FF7">
        <w:t>farm management deposit has the meaning given by subsection 393</w:t>
      </w:r>
      <w:r w:rsidRPr="00214FF7">
        <w:noBreakHyphen/>
        <w:t>25(1).</w:t>
      </w:r>
    </w:p>
    <w:p w:rsidR="00887330" w:rsidRPr="00583E1A" w:rsidRDefault="00887330" w:rsidP="00BA3854">
      <w:pPr>
        <w:pStyle w:val="Definition"/>
        <w:keepNext/>
      </w:pPr>
      <w:r w:rsidRPr="00583E1A">
        <w:rPr>
          <w:b/>
          <w:i/>
        </w:rPr>
        <w:t>ownership interest</w:t>
      </w:r>
      <w:r w:rsidRPr="00583E1A">
        <w:t xml:space="preserve">: an </w:t>
      </w:r>
      <w:r w:rsidRPr="00583E1A">
        <w:rPr>
          <w:b/>
          <w:i/>
        </w:rPr>
        <w:t>ownership interest</w:t>
      </w:r>
      <w:r w:rsidRPr="00583E1A">
        <w:t>:</w:t>
      </w:r>
    </w:p>
    <w:p w:rsidR="00887330" w:rsidRPr="00583E1A" w:rsidRDefault="00887330" w:rsidP="00887330">
      <w:pPr>
        <w:pStyle w:val="paragraph"/>
      </w:pPr>
      <w:r w:rsidRPr="00583E1A">
        <w:tab/>
        <w:t>(a)</w:t>
      </w:r>
      <w:r w:rsidRPr="00583E1A">
        <w:tab/>
        <w:t xml:space="preserve">in land or a </w:t>
      </w:r>
      <w:r w:rsidR="00583E1A" w:rsidRPr="00583E1A">
        <w:rPr>
          <w:position w:val="6"/>
          <w:sz w:val="16"/>
        </w:rPr>
        <w:t>*</w:t>
      </w:r>
      <w:r w:rsidRPr="00583E1A">
        <w:t>dwelling—has the meaning given by section</w:t>
      </w:r>
      <w:r w:rsidR="00583E1A">
        <w:t> </w:t>
      </w:r>
      <w:r w:rsidRPr="00583E1A">
        <w:t>118</w:t>
      </w:r>
      <w:r w:rsidR="00583E1A">
        <w:noBreakHyphen/>
      </w:r>
      <w:r w:rsidRPr="00583E1A">
        <w:t>130; and</w:t>
      </w:r>
    </w:p>
    <w:p w:rsidR="00887330" w:rsidRPr="00583E1A" w:rsidRDefault="00887330" w:rsidP="00887330">
      <w:pPr>
        <w:pStyle w:val="paragraph"/>
      </w:pPr>
      <w:r w:rsidRPr="00583E1A">
        <w:tab/>
        <w:t>(b)</w:t>
      </w:r>
      <w:r w:rsidRPr="00583E1A">
        <w:tab/>
        <w:t>in a company or trust—has the meaning given by section</w:t>
      </w:r>
      <w:r w:rsidR="00583E1A">
        <w:t> </w:t>
      </w:r>
      <w:r w:rsidRPr="00583E1A">
        <w:t>125</w:t>
      </w:r>
      <w:r w:rsidR="00583E1A">
        <w:noBreakHyphen/>
      </w:r>
      <w:r w:rsidRPr="00583E1A">
        <w:t>60.</w:t>
      </w:r>
    </w:p>
    <w:p w:rsidR="00887330" w:rsidRPr="00583E1A" w:rsidRDefault="00887330" w:rsidP="00887330">
      <w:pPr>
        <w:pStyle w:val="Definition"/>
      </w:pPr>
      <w:r w:rsidRPr="00583E1A">
        <w:rPr>
          <w:b/>
          <w:i/>
        </w:rPr>
        <w:t>ownership period</w:t>
      </w:r>
      <w:r w:rsidRPr="00583E1A">
        <w:t xml:space="preserve"> of a </w:t>
      </w:r>
      <w:r w:rsidR="00583E1A" w:rsidRPr="00583E1A">
        <w:rPr>
          <w:position w:val="6"/>
          <w:sz w:val="16"/>
        </w:rPr>
        <w:t>*</w:t>
      </w:r>
      <w:r w:rsidRPr="00583E1A">
        <w:t>dwelling has the meaning given by section</w:t>
      </w:r>
      <w:r w:rsidR="00583E1A">
        <w:t> </w:t>
      </w:r>
      <w:r w:rsidRPr="00583E1A">
        <w:t>118</w:t>
      </w:r>
      <w:r w:rsidR="00583E1A">
        <w:noBreakHyphen/>
      </w:r>
      <w:r w:rsidRPr="00583E1A">
        <w:t>125.</w:t>
      </w:r>
    </w:p>
    <w:p w:rsidR="00887330" w:rsidRPr="00583E1A" w:rsidRDefault="00887330" w:rsidP="00887330">
      <w:pPr>
        <w:pStyle w:val="Definition"/>
      </w:pPr>
      <w:r w:rsidRPr="00583E1A">
        <w:rPr>
          <w:b/>
          <w:i/>
        </w:rPr>
        <w:t xml:space="preserve">ownership test period </w:t>
      </w:r>
      <w:r w:rsidRPr="00583E1A">
        <w:t>has the meaning given by sections</w:t>
      </w:r>
      <w:r w:rsidR="00583E1A">
        <w:t> </w:t>
      </w:r>
      <w:r w:rsidRPr="00583E1A">
        <w:t>165</w:t>
      </w:r>
      <w:r w:rsidR="00583E1A">
        <w:noBreakHyphen/>
      </w:r>
      <w:r w:rsidRPr="00583E1A">
        <w:t>12, 165</w:t>
      </w:r>
      <w:r w:rsidR="00583E1A">
        <w:noBreakHyphen/>
      </w:r>
      <w:r w:rsidRPr="00583E1A">
        <w:t>37 and 165</w:t>
      </w:r>
      <w:r w:rsidR="00583E1A">
        <w:noBreakHyphen/>
      </w:r>
      <w:r w:rsidRPr="00583E1A">
        <w:t>123.</w:t>
      </w:r>
    </w:p>
    <w:p w:rsidR="00887330" w:rsidRPr="00583E1A" w:rsidRDefault="00887330" w:rsidP="00887330">
      <w:pPr>
        <w:pStyle w:val="Definition"/>
        <w:rPr>
          <w:b/>
          <w:i/>
        </w:rPr>
      </w:pPr>
      <w:r w:rsidRPr="00583E1A">
        <w:rPr>
          <w:b/>
          <w:i/>
        </w:rPr>
        <w:t>ownership test time</w:t>
      </w:r>
      <w:r w:rsidRPr="00583E1A">
        <w:t xml:space="preserve"> has the meaning given by section</w:t>
      </w:r>
      <w:r w:rsidR="00583E1A">
        <w:t> </w:t>
      </w:r>
      <w:r w:rsidRPr="00583E1A">
        <w:t>166</w:t>
      </w:r>
      <w:r w:rsidR="00583E1A">
        <w:noBreakHyphen/>
      </w:r>
      <w:r w:rsidRPr="00583E1A">
        <w:t>145.</w:t>
      </w:r>
    </w:p>
    <w:p w:rsidR="00887330" w:rsidRPr="00583E1A" w:rsidRDefault="00887330" w:rsidP="00887330">
      <w:pPr>
        <w:pStyle w:val="Definition"/>
      </w:pPr>
      <w:r w:rsidRPr="00583E1A">
        <w:rPr>
          <w:b/>
          <w:i/>
        </w:rPr>
        <w:t>paid</w:t>
      </w:r>
      <w:r w:rsidR="00583E1A">
        <w:rPr>
          <w:b/>
          <w:i/>
        </w:rPr>
        <w:noBreakHyphen/>
      </w:r>
      <w:r w:rsidRPr="00583E1A">
        <w:rPr>
          <w:b/>
          <w:i/>
        </w:rPr>
        <w:t>up share capital</w:t>
      </w:r>
      <w:r w:rsidRPr="00583E1A">
        <w:t xml:space="preserve"> of a company means the amount standing to the credit of the company’s </w:t>
      </w:r>
      <w:r w:rsidR="00583E1A" w:rsidRPr="00583E1A">
        <w:rPr>
          <w:position w:val="6"/>
          <w:sz w:val="16"/>
        </w:rPr>
        <w:t>*</w:t>
      </w:r>
      <w:r w:rsidRPr="00583E1A">
        <w:t>share capital account reduced by the amount (if any) that represents amounts unpaid on shares.</w:t>
      </w:r>
    </w:p>
    <w:p w:rsidR="00FE10D3" w:rsidRPr="00583E1A" w:rsidRDefault="00FE10D3" w:rsidP="00FE10D3">
      <w:pPr>
        <w:pStyle w:val="Definition"/>
      </w:pPr>
      <w:r w:rsidRPr="00583E1A">
        <w:rPr>
          <w:b/>
          <w:i/>
        </w:rPr>
        <w:t>parent</w:t>
      </w:r>
      <w:r w:rsidRPr="00583E1A">
        <w:t xml:space="preserve">: an individual is the </w:t>
      </w:r>
      <w:r w:rsidRPr="00583E1A">
        <w:rPr>
          <w:b/>
          <w:i/>
        </w:rPr>
        <w:t xml:space="preserve">parent </w:t>
      </w:r>
      <w:r w:rsidRPr="00583E1A">
        <w:t xml:space="preserve">of anyone who is the individual’s </w:t>
      </w:r>
      <w:r w:rsidR="00583E1A" w:rsidRPr="00583E1A">
        <w:rPr>
          <w:position w:val="6"/>
          <w:sz w:val="16"/>
        </w:rPr>
        <w:t>*</w:t>
      </w:r>
      <w:r w:rsidRPr="00583E1A">
        <w:t>child.</w:t>
      </w:r>
    </w:p>
    <w:p w:rsidR="00834CAA" w:rsidRPr="008336B8" w:rsidRDefault="00834CAA" w:rsidP="00834CAA">
      <w:pPr>
        <w:pStyle w:val="Definition"/>
      </w:pPr>
      <w:r w:rsidRPr="008336B8">
        <w:rPr>
          <w:b/>
          <w:i/>
        </w:rPr>
        <w:t>parental leave pay</w:t>
      </w:r>
      <w:r w:rsidRPr="008336B8">
        <w:t xml:space="preserve"> has the meaning given by the </w:t>
      </w:r>
      <w:r w:rsidRPr="008336B8">
        <w:rPr>
          <w:i/>
        </w:rPr>
        <w:t>Paid Parental Leave Act 2010</w:t>
      </w:r>
      <w:r w:rsidRPr="008336B8">
        <w:t>.</w:t>
      </w:r>
    </w:p>
    <w:p w:rsidR="00056CD5" w:rsidRPr="00583E1A" w:rsidRDefault="00056CD5" w:rsidP="00056CD5">
      <w:pPr>
        <w:pStyle w:val="Definition"/>
      </w:pPr>
      <w:r w:rsidRPr="00583E1A">
        <w:rPr>
          <w:b/>
          <w:i/>
        </w:rPr>
        <w:lastRenderedPageBreak/>
        <w:t>part</w:t>
      </w:r>
      <w:r w:rsidRPr="00583E1A">
        <w:t xml:space="preserve"> of the </w:t>
      </w:r>
      <w:r w:rsidR="00583E1A" w:rsidRPr="00583E1A">
        <w:rPr>
          <w:position w:val="6"/>
          <w:sz w:val="16"/>
        </w:rPr>
        <w:t>*</w:t>
      </w:r>
      <w:r w:rsidRPr="00583E1A">
        <w:t>spectrum</w:t>
      </w:r>
      <w:r w:rsidRPr="00583E1A">
        <w:rPr>
          <w:b/>
          <w:i/>
        </w:rPr>
        <w:t xml:space="preserve"> </w:t>
      </w:r>
      <w:r w:rsidRPr="00583E1A">
        <w:t xml:space="preserve">specified in a </w:t>
      </w:r>
      <w:r w:rsidR="00583E1A" w:rsidRPr="00583E1A">
        <w:rPr>
          <w:position w:val="6"/>
          <w:sz w:val="16"/>
        </w:rPr>
        <w:t>*</w:t>
      </w:r>
      <w:r w:rsidRPr="00583E1A">
        <w:t>spectrum licence has the meaning given by section</w:t>
      </w:r>
      <w:r w:rsidR="00583E1A">
        <w:t> </w:t>
      </w:r>
      <w:r w:rsidRPr="00583E1A">
        <w:t xml:space="preserve">5 of the </w:t>
      </w:r>
      <w:r w:rsidRPr="00583E1A">
        <w:rPr>
          <w:i/>
        </w:rPr>
        <w:t>Radiocommunications Act 1992</w:t>
      </w:r>
      <w:r w:rsidRPr="00583E1A">
        <w:t>.</w:t>
      </w:r>
    </w:p>
    <w:p w:rsidR="00056CD5" w:rsidRPr="00583E1A" w:rsidRDefault="00056CD5" w:rsidP="00056CD5">
      <w:pPr>
        <w:pStyle w:val="Definition"/>
      </w:pPr>
      <w:r w:rsidRPr="00583E1A">
        <w:rPr>
          <w:b/>
          <w:i/>
        </w:rPr>
        <w:t>partial interest</w:t>
      </w:r>
      <w:r w:rsidRPr="00583E1A">
        <w:t xml:space="preserve"> in a </w:t>
      </w:r>
      <w:r w:rsidR="00583E1A" w:rsidRPr="00583E1A">
        <w:rPr>
          <w:position w:val="6"/>
          <w:sz w:val="16"/>
        </w:rPr>
        <w:t>*</w:t>
      </w:r>
      <w:r w:rsidRPr="00583E1A">
        <w:t>corporate tax entity</w:t>
      </w:r>
      <w:r w:rsidRPr="00583E1A">
        <w:rPr>
          <w:b/>
          <w:i/>
        </w:rPr>
        <w:t xml:space="preserve"> </w:t>
      </w:r>
      <w:r w:rsidRPr="00583E1A">
        <w:t>has the meaning given by subsection 208</w:t>
      </w:r>
      <w:r w:rsidR="00583E1A">
        <w:noBreakHyphen/>
      </w:r>
      <w:r w:rsidRPr="00583E1A">
        <w:t>25(3).</w:t>
      </w:r>
    </w:p>
    <w:p w:rsidR="003667F6" w:rsidRPr="00583E1A" w:rsidRDefault="003667F6" w:rsidP="00F13347">
      <w:pPr>
        <w:pStyle w:val="Definition"/>
        <w:keepNext/>
        <w:keepLines/>
        <w:rPr>
          <w:b/>
          <w:i/>
        </w:rPr>
      </w:pPr>
      <w:r w:rsidRPr="00583E1A">
        <w:rPr>
          <w:b/>
          <w:i/>
        </w:rPr>
        <w:t>participant:</w:t>
      </w:r>
    </w:p>
    <w:p w:rsidR="003667F6" w:rsidRPr="00583E1A" w:rsidRDefault="003667F6" w:rsidP="003667F6">
      <w:pPr>
        <w:pStyle w:val="paragraph"/>
      </w:pPr>
      <w:r w:rsidRPr="00583E1A">
        <w:tab/>
        <w:t>(a)</w:t>
      </w:r>
      <w:r w:rsidRPr="00583E1A">
        <w:rPr>
          <w:b/>
          <w:i/>
        </w:rPr>
        <w:tab/>
        <w:t>participant</w:t>
      </w:r>
      <w:r w:rsidRPr="00583E1A">
        <w:t xml:space="preserve">, in relation to a </w:t>
      </w:r>
      <w:r w:rsidR="00583E1A" w:rsidRPr="00583E1A">
        <w:rPr>
          <w:position w:val="6"/>
          <w:sz w:val="16"/>
        </w:rPr>
        <w:t>*</w:t>
      </w:r>
      <w:r w:rsidRPr="00583E1A">
        <w:t>GST joint venture, has the meaning given by section</w:t>
      </w:r>
      <w:r w:rsidR="00583E1A">
        <w:t> </w:t>
      </w:r>
      <w:r w:rsidRPr="00583E1A">
        <w:t>195</w:t>
      </w:r>
      <w:r w:rsidR="00583E1A">
        <w:noBreakHyphen/>
      </w:r>
      <w:r w:rsidRPr="00583E1A">
        <w:t xml:space="preserve">1 of the </w:t>
      </w:r>
      <w:r w:rsidR="00583E1A" w:rsidRPr="00583E1A">
        <w:rPr>
          <w:position w:val="6"/>
          <w:sz w:val="16"/>
        </w:rPr>
        <w:t>*</w:t>
      </w:r>
      <w:r w:rsidRPr="00583E1A">
        <w:t>GST Act; and</w:t>
      </w:r>
    </w:p>
    <w:p w:rsidR="003667F6" w:rsidRPr="00583E1A" w:rsidRDefault="003667F6" w:rsidP="003667F6">
      <w:pPr>
        <w:pStyle w:val="paragraph"/>
      </w:pPr>
      <w:r w:rsidRPr="00583E1A">
        <w:tab/>
        <w:t>(a)</w:t>
      </w:r>
      <w:r w:rsidRPr="00583E1A">
        <w:rPr>
          <w:b/>
          <w:i/>
        </w:rPr>
        <w:tab/>
        <w:t>participant</w:t>
      </w:r>
      <w:r w:rsidRPr="00583E1A">
        <w:t xml:space="preserve"> in a </w:t>
      </w:r>
      <w:r w:rsidR="00583E1A" w:rsidRPr="00583E1A">
        <w:rPr>
          <w:position w:val="6"/>
          <w:sz w:val="16"/>
        </w:rPr>
        <w:t>*</w:t>
      </w:r>
      <w:r w:rsidRPr="00583E1A">
        <w:t>forestry managed investment scheme has the meaning given by subsection 394</w:t>
      </w:r>
      <w:r w:rsidR="00583E1A">
        <w:noBreakHyphen/>
      </w:r>
      <w:r w:rsidRPr="00583E1A">
        <w:t>15(4).</w:t>
      </w:r>
    </w:p>
    <w:p w:rsidR="00887330" w:rsidRPr="00583E1A" w:rsidRDefault="00887330" w:rsidP="00887330">
      <w:pPr>
        <w:pStyle w:val="Definition"/>
      </w:pPr>
      <w:r w:rsidRPr="00583E1A">
        <w:rPr>
          <w:b/>
          <w:i/>
        </w:rPr>
        <w:t>participating benefit</w:t>
      </w:r>
      <w:r w:rsidRPr="00583E1A">
        <w:t xml:space="preserve"> has the meaning given by section</w:t>
      </w:r>
      <w:r w:rsidR="00583E1A">
        <w:t> </w:t>
      </w:r>
      <w:r w:rsidRPr="00583E1A">
        <w:t xml:space="preserve">15 of the </w:t>
      </w:r>
      <w:r w:rsidRPr="00583E1A">
        <w:rPr>
          <w:i/>
        </w:rPr>
        <w:t>Life Insurance Act 1995</w:t>
      </w:r>
      <w:r w:rsidRPr="00583E1A">
        <w:t>.</w:t>
      </w:r>
    </w:p>
    <w:p w:rsidR="00887330" w:rsidRPr="00583E1A" w:rsidRDefault="00887330" w:rsidP="00887330">
      <w:pPr>
        <w:pStyle w:val="Definition"/>
      </w:pPr>
      <w:r w:rsidRPr="00583E1A">
        <w:rPr>
          <w:b/>
          <w:i/>
        </w:rPr>
        <w:t xml:space="preserve">participating PDF </w:t>
      </w:r>
      <w:r w:rsidRPr="00583E1A">
        <w:t>has the meaning given by section</w:t>
      </w:r>
      <w:r w:rsidR="00583E1A">
        <w:t> </w:t>
      </w:r>
      <w:r w:rsidRPr="00583E1A">
        <w:t>210</w:t>
      </w:r>
      <w:r w:rsidR="00583E1A">
        <w:noBreakHyphen/>
      </w:r>
      <w:r w:rsidRPr="00583E1A">
        <w:t>40.</w:t>
      </w:r>
    </w:p>
    <w:p w:rsidR="00887330" w:rsidRPr="00583E1A" w:rsidRDefault="00887330" w:rsidP="006800B4">
      <w:pPr>
        <w:pStyle w:val="Definition"/>
        <w:keepNext/>
      </w:pPr>
      <w:r w:rsidRPr="00583E1A">
        <w:rPr>
          <w:b/>
          <w:i/>
        </w:rPr>
        <w:t>partnership</w:t>
      </w:r>
      <w:r w:rsidRPr="00583E1A">
        <w:t xml:space="preserve"> means:</w:t>
      </w:r>
    </w:p>
    <w:p w:rsidR="00887330" w:rsidRPr="00583E1A" w:rsidRDefault="00887330" w:rsidP="006800B4">
      <w:pPr>
        <w:pStyle w:val="paragraph"/>
        <w:keepNext/>
      </w:pPr>
      <w:r w:rsidRPr="00583E1A">
        <w:tab/>
        <w:t>(a)</w:t>
      </w:r>
      <w:r w:rsidRPr="00583E1A">
        <w:tab/>
        <w:t xml:space="preserve">an association of persons (other than a company or a </w:t>
      </w:r>
      <w:r w:rsidR="00583E1A" w:rsidRPr="00583E1A">
        <w:rPr>
          <w:position w:val="6"/>
          <w:sz w:val="16"/>
        </w:rPr>
        <w:t>*</w:t>
      </w:r>
      <w:r w:rsidRPr="00583E1A">
        <w:t xml:space="preserve">limited partnership) carrying on business as partners or in receipt of </w:t>
      </w:r>
      <w:r w:rsidR="00583E1A" w:rsidRPr="00583E1A">
        <w:rPr>
          <w:position w:val="6"/>
          <w:sz w:val="16"/>
        </w:rPr>
        <w:t>*</w:t>
      </w:r>
      <w:r w:rsidRPr="00583E1A">
        <w:t xml:space="preserve">ordinary income or </w:t>
      </w:r>
      <w:r w:rsidR="00583E1A" w:rsidRPr="00583E1A">
        <w:rPr>
          <w:position w:val="6"/>
          <w:sz w:val="16"/>
        </w:rPr>
        <w:t>*</w:t>
      </w:r>
      <w:r w:rsidRPr="00583E1A">
        <w:t>statutory income jointly; or</w:t>
      </w:r>
    </w:p>
    <w:p w:rsidR="00887330" w:rsidRPr="00583E1A" w:rsidRDefault="00887330" w:rsidP="00887330">
      <w:pPr>
        <w:pStyle w:val="paragraph"/>
      </w:pPr>
      <w:r w:rsidRPr="00583E1A">
        <w:tab/>
        <w:t>(b)</w:t>
      </w:r>
      <w:r w:rsidRPr="00583E1A">
        <w:tab/>
        <w:t>a limited partnership.</w:t>
      </w:r>
    </w:p>
    <w:p w:rsidR="00887330" w:rsidRPr="00583E1A" w:rsidRDefault="00887330" w:rsidP="00887330">
      <w:pPr>
        <w:pStyle w:val="notetext"/>
      </w:pPr>
      <w:r w:rsidRPr="00583E1A">
        <w:t>Note</w:t>
      </w:r>
      <w:r w:rsidR="005F0604">
        <w:t xml:space="preserve"> </w:t>
      </w:r>
      <w:r w:rsidR="005F0604" w:rsidRPr="00214FF7">
        <w:t>1</w:t>
      </w:r>
      <w:r w:rsidRPr="00583E1A">
        <w:t>:</w:t>
      </w:r>
      <w:r w:rsidRPr="00583E1A">
        <w:tab/>
        <w:t>Division</w:t>
      </w:r>
      <w:r w:rsidR="00583E1A">
        <w:t> </w:t>
      </w:r>
      <w:r w:rsidRPr="00583E1A">
        <w:t>830 treats foreign hybrid companies as partnerships.</w:t>
      </w:r>
    </w:p>
    <w:p w:rsidR="005F0604" w:rsidRPr="00214FF7" w:rsidRDefault="005F0604" w:rsidP="005F0604">
      <w:pPr>
        <w:pStyle w:val="notetext"/>
      </w:pPr>
      <w:r w:rsidRPr="00214FF7">
        <w:t>Note 2:</w:t>
      </w:r>
      <w:r w:rsidRPr="00214FF7">
        <w:tab/>
        <w:t xml:space="preserve">A reference to a partnership does not include a reference to a corporate limited partnership: see section 94K of the </w:t>
      </w:r>
      <w:r w:rsidRPr="00214FF7">
        <w:rPr>
          <w:i/>
        </w:rPr>
        <w:t>Income Tax Assessment Act 1936</w:t>
      </w:r>
      <w:r w:rsidRPr="00214FF7">
        <w:t>.</w:t>
      </w:r>
    </w:p>
    <w:p w:rsidR="00056CD5" w:rsidRPr="00583E1A" w:rsidRDefault="00056CD5" w:rsidP="00056CD5">
      <w:pPr>
        <w:pStyle w:val="Definition"/>
      </w:pPr>
      <w:r w:rsidRPr="00583E1A">
        <w:rPr>
          <w:b/>
          <w:i/>
        </w:rPr>
        <w:t>partnership cost setting interest</w:t>
      </w:r>
      <w:r w:rsidRPr="00583E1A">
        <w:t>,</w:t>
      </w:r>
      <w:r w:rsidRPr="00583E1A">
        <w:rPr>
          <w:b/>
          <w:i/>
        </w:rPr>
        <w:t xml:space="preserve"> </w:t>
      </w:r>
      <w:r w:rsidRPr="00583E1A">
        <w:t>in a partnership, has the meaning given by section</w:t>
      </w:r>
      <w:r w:rsidR="00583E1A">
        <w:t> </w:t>
      </w:r>
      <w:r w:rsidRPr="00583E1A">
        <w:t>713</w:t>
      </w:r>
      <w:r w:rsidR="00583E1A">
        <w:noBreakHyphen/>
      </w:r>
      <w:r w:rsidRPr="00583E1A">
        <w:t>210.</w:t>
      </w:r>
    </w:p>
    <w:p w:rsidR="00056CD5" w:rsidRPr="00583E1A" w:rsidRDefault="00056CD5" w:rsidP="00056CD5">
      <w:pPr>
        <w:pStyle w:val="Definition"/>
      </w:pPr>
      <w:r w:rsidRPr="00583E1A">
        <w:rPr>
          <w:b/>
          <w:i/>
        </w:rPr>
        <w:t xml:space="preserve">partnership loss </w:t>
      </w:r>
      <w:r w:rsidRPr="00583E1A">
        <w:t>has the same meaning as in Division</w:t>
      </w:r>
      <w:r w:rsidR="00583E1A">
        <w:t> </w:t>
      </w:r>
      <w:r w:rsidRPr="00583E1A">
        <w:t>5 of Part</w:t>
      </w:r>
      <w:r w:rsidR="00583E1A">
        <w:t> </w:t>
      </w:r>
      <w:r w:rsidRPr="00583E1A">
        <w:t xml:space="preserve">III of the </w:t>
      </w:r>
      <w:r w:rsidRPr="00583E1A">
        <w:rPr>
          <w:i/>
        </w:rPr>
        <w:t>Income Tax Assessment Act 1936</w:t>
      </w:r>
      <w:r w:rsidRPr="00583E1A">
        <w:t>.</w:t>
      </w:r>
    </w:p>
    <w:p w:rsidR="00580D64" w:rsidRPr="00642FBF" w:rsidRDefault="00580D64" w:rsidP="00580D64">
      <w:pPr>
        <w:pStyle w:val="Definition"/>
      </w:pPr>
      <w:r w:rsidRPr="00642FBF">
        <w:rPr>
          <w:b/>
          <w:i/>
        </w:rPr>
        <w:t>partner’s proportion</w:t>
      </w:r>
      <w:r w:rsidRPr="00642FBF">
        <w:t xml:space="preserve"> has the meaning given by subsection 355</w:t>
      </w:r>
      <w:r w:rsidRPr="00642FBF">
        <w:noBreakHyphen/>
        <w:t>505(2).</w:t>
      </w:r>
    </w:p>
    <w:p w:rsidR="00887330" w:rsidRPr="00583E1A" w:rsidRDefault="00887330" w:rsidP="00887330">
      <w:pPr>
        <w:pStyle w:val="Definition"/>
      </w:pPr>
      <w:r w:rsidRPr="00583E1A">
        <w:rPr>
          <w:b/>
          <w:i/>
        </w:rPr>
        <w:t>part of a distribution that is franked with an exempting credit</w:t>
      </w:r>
      <w:r w:rsidRPr="00583E1A">
        <w:t xml:space="preserve"> has the meaning given by section</w:t>
      </w:r>
      <w:r w:rsidR="00583E1A">
        <w:t> </w:t>
      </w:r>
      <w:r w:rsidRPr="00583E1A">
        <w:t>976</w:t>
      </w:r>
      <w:r w:rsidR="00583E1A">
        <w:noBreakHyphen/>
      </w:r>
      <w:r w:rsidRPr="00583E1A">
        <w:t>10.</w:t>
      </w:r>
    </w:p>
    <w:p w:rsidR="00887330" w:rsidRPr="00583E1A" w:rsidRDefault="00887330" w:rsidP="00887330">
      <w:pPr>
        <w:pStyle w:val="Definition"/>
      </w:pPr>
      <w:r w:rsidRPr="00583E1A">
        <w:rPr>
          <w:b/>
          <w:i/>
        </w:rPr>
        <w:t>part of a distribution that is franked with a venture capital credit</w:t>
      </w:r>
      <w:r w:rsidRPr="00583E1A">
        <w:t xml:space="preserve"> has the meaning given by section</w:t>
      </w:r>
      <w:r w:rsidR="00583E1A">
        <w:t> </w:t>
      </w:r>
      <w:r w:rsidRPr="00583E1A">
        <w:t>976</w:t>
      </w:r>
      <w:r w:rsidR="00583E1A">
        <w:noBreakHyphen/>
      </w:r>
      <w:r w:rsidRPr="00583E1A">
        <w:t>15.</w:t>
      </w:r>
    </w:p>
    <w:p w:rsidR="00887330" w:rsidRPr="00583E1A" w:rsidRDefault="00887330" w:rsidP="00887330">
      <w:pPr>
        <w:pStyle w:val="Definition"/>
      </w:pPr>
      <w:r w:rsidRPr="00583E1A">
        <w:rPr>
          <w:b/>
          <w:i/>
        </w:rPr>
        <w:lastRenderedPageBreak/>
        <w:t>Part</w:t>
      </w:r>
      <w:r w:rsidR="00583E1A">
        <w:rPr>
          <w:b/>
          <w:i/>
        </w:rPr>
        <w:t> </w:t>
      </w:r>
      <w:r w:rsidRPr="00583E1A">
        <w:rPr>
          <w:b/>
          <w:i/>
        </w:rPr>
        <w:t>VA investment</w:t>
      </w:r>
      <w:r w:rsidRPr="00583E1A">
        <w:t xml:space="preserve"> means an investment of a kind mentioned in section</w:t>
      </w:r>
      <w:r w:rsidR="00583E1A">
        <w:t> </w:t>
      </w:r>
      <w:r w:rsidRPr="00583E1A">
        <w:t xml:space="preserve">202D of the </w:t>
      </w:r>
      <w:r w:rsidRPr="00583E1A">
        <w:rPr>
          <w:i/>
        </w:rPr>
        <w:t>Income Tax Assessment Act 1936</w:t>
      </w:r>
      <w:r w:rsidRPr="00583E1A">
        <w:t>.</w:t>
      </w:r>
    </w:p>
    <w:p w:rsidR="00887330" w:rsidRPr="00583E1A" w:rsidRDefault="00887330" w:rsidP="00887330">
      <w:pPr>
        <w:pStyle w:val="Definition"/>
      </w:pPr>
      <w:r w:rsidRPr="00583E1A">
        <w:rPr>
          <w:b/>
          <w:i/>
        </w:rPr>
        <w:t>passes</w:t>
      </w:r>
      <w:r w:rsidRPr="00583E1A">
        <w:t xml:space="preserve">: a </w:t>
      </w:r>
      <w:r w:rsidR="00583E1A" w:rsidRPr="00583E1A">
        <w:rPr>
          <w:position w:val="6"/>
          <w:sz w:val="16"/>
        </w:rPr>
        <w:t>*</w:t>
      </w:r>
      <w:r w:rsidRPr="00583E1A">
        <w:t xml:space="preserve">CGT asset </w:t>
      </w:r>
      <w:r w:rsidRPr="00583E1A">
        <w:rPr>
          <w:b/>
          <w:i/>
        </w:rPr>
        <w:t>passes</w:t>
      </w:r>
      <w:r w:rsidRPr="00583E1A">
        <w:t xml:space="preserve"> to a beneficiary in an individual’s estate in the way described in section</w:t>
      </w:r>
      <w:r w:rsidR="00583E1A">
        <w:t> </w:t>
      </w:r>
      <w:r w:rsidRPr="00583E1A">
        <w:t>128</w:t>
      </w:r>
      <w:r w:rsidR="00583E1A">
        <w:noBreakHyphen/>
      </w:r>
      <w:r w:rsidRPr="00583E1A">
        <w:t>20.</w:t>
      </w:r>
    </w:p>
    <w:p w:rsidR="00887330" w:rsidRPr="00583E1A" w:rsidRDefault="00887330" w:rsidP="00887330">
      <w:pPr>
        <w:pStyle w:val="Definition"/>
      </w:pPr>
      <w:r w:rsidRPr="00583E1A">
        <w:rPr>
          <w:b/>
          <w:i/>
        </w:rPr>
        <w:t>PAYG instalment</w:t>
      </w:r>
      <w:r w:rsidRPr="00583E1A">
        <w:t xml:space="preserve"> means an instalment payable under Division</w:t>
      </w:r>
      <w:r w:rsidR="00583E1A">
        <w:t> </w:t>
      </w:r>
      <w:r w:rsidRPr="00583E1A">
        <w:t>45 in Schedule</w:t>
      </w:r>
      <w:r w:rsidR="00583E1A">
        <w:t> </w:t>
      </w:r>
      <w:r w:rsidRPr="00583E1A">
        <w:t xml:space="preserve">1 to the </w:t>
      </w:r>
      <w:r w:rsidRPr="00583E1A">
        <w:rPr>
          <w:i/>
        </w:rPr>
        <w:t>Taxation Administration Act 1953</w:t>
      </w:r>
      <w:r w:rsidRPr="00583E1A">
        <w:t>.</w:t>
      </w:r>
    </w:p>
    <w:p w:rsidR="00887330" w:rsidRPr="00583E1A" w:rsidRDefault="00887330" w:rsidP="00887330">
      <w:pPr>
        <w:pStyle w:val="Definition"/>
      </w:pPr>
      <w:r w:rsidRPr="00583E1A">
        <w:rPr>
          <w:b/>
          <w:i/>
        </w:rPr>
        <w:t>PAYG instalment period</w:t>
      </w:r>
      <w:r w:rsidRPr="00583E1A">
        <w:t xml:space="preserve"> means:</w:t>
      </w:r>
    </w:p>
    <w:p w:rsidR="00887330" w:rsidRPr="00583E1A" w:rsidRDefault="00887330" w:rsidP="00887330">
      <w:pPr>
        <w:pStyle w:val="paragraph"/>
      </w:pPr>
      <w:r w:rsidRPr="00583E1A">
        <w:tab/>
        <w:t>(a)</w:t>
      </w:r>
      <w:r w:rsidRPr="00583E1A">
        <w:tab/>
        <w:t xml:space="preserve">for a </w:t>
      </w:r>
      <w:r w:rsidR="00583E1A" w:rsidRPr="00583E1A">
        <w:rPr>
          <w:position w:val="6"/>
          <w:sz w:val="16"/>
        </w:rPr>
        <w:t>*</w:t>
      </w:r>
      <w:r w:rsidRPr="00583E1A">
        <w:t xml:space="preserve">quarterly payer—an </w:t>
      </w:r>
      <w:r w:rsidR="00583E1A" w:rsidRPr="00583E1A">
        <w:rPr>
          <w:position w:val="6"/>
          <w:sz w:val="16"/>
        </w:rPr>
        <w:t>*</w:t>
      </w:r>
      <w:r w:rsidRPr="00583E1A">
        <w:t xml:space="preserve">instalment quarter in relation to which a </w:t>
      </w:r>
      <w:r w:rsidR="00583E1A" w:rsidRPr="00583E1A">
        <w:rPr>
          <w:position w:val="6"/>
          <w:sz w:val="16"/>
        </w:rPr>
        <w:t>*</w:t>
      </w:r>
      <w:r w:rsidRPr="00583E1A">
        <w:t>PAYG instalment is paid; and</w:t>
      </w:r>
    </w:p>
    <w:p w:rsidR="00887330" w:rsidRPr="00583E1A" w:rsidRDefault="00887330" w:rsidP="00887330">
      <w:pPr>
        <w:pStyle w:val="paragraph"/>
      </w:pPr>
      <w:r w:rsidRPr="00583E1A">
        <w:tab/>
        <w:t>(b)</w:t>
      </w:r>
      <w:r w:rsidRPr="00583E1A">
        <w:tab/>
        <w:t xml:space="preserve">for an </w:t>
      </w:r>
      <w:r w:rsidR="00583E1A" w:rsidRPr="00583E1A">
        <w:rPr>
          <w:position w:val="6"/>
          <w:sz w:val="16"/>
        </w:rPr>
        <w:t>*</w:t>
      </w:r>
      <w:r w:rsidRPr="00583E1A">
        <w:t>annual payer—an income year in relation to which a PAYG instalment is paid.</w:t>
      </w:r>
    </w:p>
    <w:p w:rsidR="00887330" w:rsidRPr="00583E1A" w:rsidRDefault="00887330" w:rsidP="00887330">
      <w:pPr>
        <w:pStyle w:val="Definition"/>
      </w:pPr>
      <w:r w:rsidRPr="00583E1A">
        <w:rPr>
          <w:b/>
          <w:i/>
        </w:rPr>
        <w:t xml:space="preserve">PAYG instalment variation credit </w:t>
      </w:r>
      <w:r w:rsidRPr="00583E1A">
        <w:t>means a credit under section</w:t>
      </w:r>
      <w:r w:rsidR="00583E1A">
        <w:t> </w:t>
      </w:r>
      <w:r w:rsidRPr="00583E1A">
        <w:t>45</w:t>
      </w:r>
      <w:r w:rsidR="00583E1A">
        <w:noBreakHyphen/>
      </w:r>
      <w:r w:rsidRPr="00583E1A">
        <w:t>215 or 45</w:t>
      </w:r>
      <w:r w:rsidR="00583E1A">
        <w:noBreakHyphen/>
      </w:r>
      <w:r w:rsidRPr="00583E1A">
        <w:t>420 in Schedule</w:t>
      </w:r>
      <w:r w:rsidR="00583E1A">
        <w:t> </w:t>
      </w:r>
      <w:r w:rsidRPr="00583E1A">
        <w:t xml:space="preserve">1 to the </w:t>
      </w:r>
      <w:r w:rsidRPr="00583E1A">
        <w:rPr>
          <w:i/>
        </w:rPr>
        <w:t>Taxation Administration Act 1953</w:t>
      </w:r>
      <w:r w:rsidRPr="00583E1A">
        <w:t>.</w:t>
      </w:r>
    </w:p>
    <w:p w:rsidR="00887330" w:rsidRPr="00583E1A" w:rsidRDefault="00887330" w:rsidP="007D29DB">
      <w:pPr>
        <w:pStyle w:val="Definition"/>
        <w:keepNext/>
        <w:keepLines/>
      </w:pPr>
      <w:r w:rsidRPr="00583E1A">
        <w:rPr>
          <w:b/>
          <w:i/>
        </w:rPr>
        <w:t>PAYG payment period</w:t>
      </w:r>
      <w:r w:rsidRPr="00583E1A">
        <w:t xml:space="preserve"> means:</w:t>
      </w:r>
    </w:p>
    <w:p w:rsidR="00887330" w:rsidRPr="00583E1A" w:rsidRDefault="00887330" w:rsidP="00887330">
      <w:pPr>
        <w:pStyle w:val="paragraph"/>
      </w:pPr>
      <w:r w:rsidRPr="00583E1A">
        <w:tab/>
        <w:t>(a)</w:t>
      </w:r>
      <w:r w:rsidRPr="00583E1A">
        <w:tab/>
        <w:t xml:space="preserve">for a </w:t>
      </w:r>
      <w:r w:rsidR="00583E1A" w:rsidRPr="00583E1A">
        <w:rPr>
          <w:position w:val="6"/>
          <w:sz w:val="16"/>
        </w:rPr>
        <w:t>*</w:t>
      </w:r>
      <w:r w:rsidRPr="00583E1A">
        <w:t xml:space="preserve">personal services entity that is a </w:t>
      </w:r>
      <w:r w:rsidR="00583E1A" w:rsidRPr="00583E1A">
        <w:rPr>
          <w:position w:val="6"/>
          <w:sz w:val="16"/>
        </w:rPr>
        <w:t>*</w:t>
      </w:r>
      <w:r w:rsidRPr="00583E1A">
        <w:t xml:space="preserve">small withholder—any </w:t>
      </w:r>
      <w:r w:rsidR="00583E1A" w:rsidRPr="00583E1A">
        <w:rPr>
          <w:position w:val="6"/>
          <w:sz w:val="16"/>
        </w:rPr>
        <w:t>*</w:t>
      </w:r>
      <w:r w:rsidRPr="00583E1A">
        <w:t>quarter; or</w:t>
      </w:r>
    </w:p>
    <w:p w:rsidR="00887330" w:rsidRPr="00583E1A" w:rsidRDefault="00887330" w:rsidP="00887330">
      <w:pPr>
        <w:pStyle w:val="paragraph"/>
      </w:pPr>
      <w:r w:rsidRPr="00583E1A">
        <w:tab/>
        <w:t>(b)</w:t>
      </w:r>
      <w:r w:rsidRPr="00583E1A">
        <w:tab/>
        <w:t>for any other personal services entity—any month.</w:t>
      </w:r>
    </w:p>
    <w:p w:rsidR="00887330" w:rsidRPr="00583E1A" w:rsidRDefault="00887330" w:rsidP="00887330">
      <w:pPr>
        <w:pStyle w:val="Definition"/>
      </w:pPr>
      <w:r w:rsidRPr="00583E1A">
        <w:rPr>
          <w:b/>
          <w:i/>
        </w:rPr>
        <w:t>PAYG withholding branch</w:t>
      </w:r>
      <w:r w:rsidRPr="00583E1A">
        <w:t xml:space="preserve"> has the meaning given by section</w:t>
      </w:r>
      <w:r w:rsidR="00583E1A">
        <w:t> </w:t>
      </w:r>
      <w:r w:rsidRPr="00583E1A">
        <w:t>16</w:t>
      </w:r>
      <w:r w:rsidR="00583E1A">
        <w:noBreakHyphen/>
      </w:r>
      <w:r w:rsidRPr="00583E1A">
        <w:t>142 in Schedule</w:t>
      </w:r>
      <w:r w:rsidR="00583E1A">
        <w:t> </w:t>
      </w:r>
      <w:r w:rsidRPr="00583E1A">
        <w:t xml:space="preserve">1 to the </w:t>
      </w:r>
      <w:r w:rsidRPr="00583E1A">
        <w:rPr>
          <w:i/>
        </w:rPr>
        <w:t>Taxation Administration Act 1953</w:t>
      </w:r>
      <w:r w:rsidRPr="00583E1A">
        <w:t>.</w:t>
      </w:r>
    </w:p>
    <w:p w:rsidR="00EA2543" w:rsidRPr="006D02BA" w:rsidRDefault="00EA2543" w:rsidP="00EA2543">
      <w:pPr>
        <w:pStyle w:val="Definition"/>
      </w:pPr>
      <w:r w:rsidRPr="006D02BA">
        <w:rPr>
          <w:b/>
          <w:i/>
        </w:rPr>
        <w:t>PAYG withholding non</w:t>
      </w:r>
      <w:r w:rsidRPr="006D02BA">
        <w:rPr>
          <w:b/>
          <w:i/>
        </w:rPr>
        <w:noBreakHyphen/>
        <w:t>compliance tax</w:t>
      </w:r>
      <w:r w:rsidRPr="006D02BA">
        <w:t xml:space="preserve"> means the Pay as you go withholding non</w:t>
      </w:r>
      <w:r w:rsidRPr="006D02BA">
        <w:noBreakHyphen/>
        <w:t xml:space="preserve">compliance tax imposed under the </w:t>
      </w:r>
      <w:r w:rsidRPr="006D02BA">
        <w:rPr>
          <w:i/>
        </w:rPr>
        <w:t>Pay As You Go Withholding Non</w:t>
      </w:r>
      <w:r w:rsidRPr="006D02BA">
        <w:rPr>
          <w:i/>
        </w:rPr>
        <w:noBreakHyphen/>
        <w:t>compliance Tax Act 2012</w:t>
      </w:r>
      <w:r w:rsidRPr="006D02BA">
        <w:t>.</w:t>
      </w:r>
    </w:p>
    <w:p w:rsidR="00887330" w:rsidRPr="00583E1A" w:rsidRDefault="00887330" w:rsidP="00887330">
      <w:pPr>
        <w:pStyle w:val="Definition"/>
      </w:pPr>
      <w:r w:rsidRPr="00583E1A">
        <w:rPr>
          <w:b/>
          <w:i/>
        </w:rPr>
        <w:t>payment</w:t>
      </w:r>
      <w:r w:rsidRPr="00583E1A">
        <w:t xml:space="preserve">, of a </w:t>
      </w:r>
      <w:r w:rsidR="00583E1A" w:rsidRPr="00583E1A">
        <w:rPr>
          <w:position w:val="6"/>
          <w:sz w:val="16"/>
        </w:rPr>
        <w:t>*</w:t>
      </w:r>
      <w:r w:rsidRPr="00583E1A">
        <w:t>carried interest, includes the meanings given in subsection 104</w:t>
      </w:r>
      <w:r w:rsidR="00583E1A">
        <w:noBreakHyphen/>
      </w:r>
      <w:r w:rsidRPr="00583E1A">
        <w:t>255(7).</w:t>
      </w:r>
    </w:p>
    <w:p w:rsidR="00887330" w:rsidRPr="00583E1A" w:rsidRDefault="00887330" w:rsidP="00887330">
      <w:pPr>
        <w:pStyle w:val="Definition"/>
      </w:pPr>
      <w:r w:rsidRPr="00583E1A">
        <w:rPr>
          <w:b/>
          <w:i/>
        </w:rPr>
        <w:t>payment split</w:t>
      </w:r>
      <w:r w:rsidRPr="00583E1A">
        <w:t xml:space="preserve"> means a payment split under Part</w:t>
      </w:r>
      <w:r w:rsidR="00583E1A">
        <w:t> </w:t>
      </w:r>
      <w:r w:rsidRPr="00583E1A">
        <w:t xml:space="preserve">VIIIB of the </w:t>
      </w:r>
      <w:r w:rsidRPr="00583E1A">
        <w:rPr>
          <w:i/>
        </w:rPr>
        <w:t>Family Law Act 1975</w:t>
      </w:r>
      <w:r w:rsidRPr="00583E1A">
        <w:t>.</w:t>
      </w:r>
    </w:p>
    <w:p w:rsidR="00887330" w:rsidRPr="00583E1A" w:rsidRDefault="00887330" w:rsidP="00887330">
      <w:pPr>
        <w:pStyle w:val="Definition"/>
      </w:pPr>
      <w:r w:rsidRPr="00583E1A">
        <w:rPr>
          <w:b/>
          <w:i/>
        </w:rPr>
        <w:t>payment summary</w:t>
      </w:r>
      <w:r w:rsidRPr="00583E1A">
        <w:t xml:space="preserve"> has the meaning given by section</w:t>
      </w:r>
      <w:r w:rsidR="00583E1A">
        <w:t> </w:t>
      </w:r>
      <w:r w:rsidRPr="00583E1A">
        <w:t>16</w:t>
      </w:r>
      <w:r w:rsidR="00583E1A">
        <w:noBreakHyphen/>
      </w:r>
      <w:r w:rsidRPr="00583E1A">
        <w:t>170 in Schedule</w:t>
      </w:r>
      <w:r w:rsidR="00583E1A">
        <w:t> </w:t>
      </w:r>
      <w:r w:rsidRPr="00583E1A">
        <w:t xml:space="preserve">1 to the </w:t>
      </w:r>
      <w:r w:rsidRPr="00583E1A">
        <w:rPr>
          <w:i/>
        </w:rPr>
        <w:t>Taxation Administration Act 1953</w:t>
      </w:r>
      <w:r w:rsidRPr="00583E1A">
        <w:t>.</w:t>
      </w:r>
    </w:p>
    <w:p w:rsidR="00887330" w:rsidRPr="00583E1A" w:rsidRDefault="00887330" w:rsidP="00887330">
      <w:pPr>
        <w:pStyle w:val="Definition"/>
      </w:pPr>
      <w:r w:rsidRPr="00583E1A">
        <w:rPr>
          <w:b/>
          <w:i/>
        </w:rPr>
        <w:lastRenderedPageBreak/>
        <w:t>pays a PAYG instalment</w:t>
      </w:r>
      <w:r w:rsidRPr="00583E1A">
        <w:t xml:space="preserve"> has the meaning given by subsection 205</w:t>
      </w:r>
      <w:r w:rsidR="00583E1A">
        <w:noBreakHyphen/>
      </w:r>
      <w:r w:rsidRPr="00583E1A">
        <w:t>20(1).</w:t>
      </w:r>
    </w:p>
    <w:p w:rsidR="00887330" w:rsidRPr="00583E1A" w:rsidRDefault="00887330" w:rsidP="00887330">
      <w:pPr>
        <w:pStyle w:val="Definition"/>
      </w:pPr>
      <w:r w:rsidRPr="00583E1A">
        <w:rPr>
          <w:b/>
          <w:i/>
        </w:rPr>
        <w:t xml:space="preserve">pays income tax </w:t>
      </w:r>
      <w:r w:rsidRPr="00583E1A">
        <w:t>has the meaning given by subsection 205</w:t>
      </w:r>
      <w:r w:rsidR="00583E1A">
        <w:noBreakHyphen/>
      </w:r>
      <w:r w:rsidRPr="00583E1A">
        <w:t>20(3).</w:t>
      </w:r>
    </w:p>
    <w:p w:rsidR="00887330" w:rsidRPr="00583E1A" w:rsidRDefault="00887330" w:rsidP="00887330">
      <w:pPr>
        <w:pStyle w:val="Definition"/>
      </w:pPr>
      <w:r w:rsidRPr="00583E1A">
        <w:rPr>
          <w:b/>
          <w:i/>
        </w:rPr>
        <w:t>PDF</w:t>
      </w:r>
      <w:r w:rsidRPr="00583E1A">
        <w:t xml:space="preserve"> (pooled development fund) means a company that is a PDF within the meaning of the </w:t>
      </w:r>
      <w:r w:rsidRPr="00583E1A">
        <w:rPr>
          <w:i/>
        </w:rPr>
        <w:t>Pooled Development Funds Act 1992</w:t>
      </w:r>
      <w:r w:rsidRPr="00583E1A">
        <w:t>.</w:t>
      </w:r>
    </w:p>
    <w:p w:rsidR="00887330" w:rsidRPr="00583E1A" w:rsidRDefault="00887330" w:rsidP="00887330">
      <w:pPr>
        <w:pStyle w:val="Definition"/>
      </w:pPr>
      <w:r w:rsidRPr="00583E1A">
        <w:rPr>
          <w:b/>
          <w:i/>
        </w:rPr>
        <w:t>pension age</w:t>
      </w:r>
      <w:r w:rsidRPr="00583E1A">
        <w:t xml:space="preserve"> has the meaning given by sections</w:t>
      </w:r>
      <w:r w:rsidR="00583E1A">
        <w:t> </w:t>
      </w:r>
      <w:r w:rsidRPr="00583E1A">
        <w:t>52</w:t>
      </w:r>
      <w:r w:rsidR="00583E1A">
        <w:noBreakHyphen/>
      </w:r>
      <w:r w:rsidRPr="00583E1A">
        <w:t>65 and 52</w:t>
      </w:r>
      <w:r w:rsidR="00583E1A">
        <w:noBreakHyphen/>
      </w:r>
      <w:r w:rsidRPr="00583E1A">
        <w:t>105.</w:t>
      </w:r>
    </w:p>
    <w:p w:rsidR="00887330" w:rsidRPr="00583E1A" w:rsidRDefault="00887330" w:rsidP="00887330">
      <w:pPr>
        <w:pStyle w:val="Definition"/>
      </w:pPr>
      <w:r w:rsidRPr="00583E1A">
        <w:rPr>
          <w:b/>
          <w:i/>
        </w:rPr>
        <w:t>performing artist</w:t>
      </w:r>
      <w:r w:rsidRPr="00583E1A">
        <w:t xml:space="preserve"> has the meaning given by subsections 405</w:t>
      </w:r>
      <w:r w:rsidR="00583E1A">
        <w:noBreakHyphen/>
      </w:r>
      <w:r w:rsidRPr="00583E1A">
        <w:t>25(2) and (3).</w:t>
      </w:r>
    </w:p>
    <w:p w:rsidR="00E64841" w:rsidRPr="00202171" w:rsidRDefault="00E64841" w:rsidP="00E64841">
      <w:pPr>
        <w:pStyle w:val="Definition"/>
      </w:pPr>
      <w:r w:rsidRPr="00202171">
        <w:rPr>
          <w:b/>
          <w:i/>
        </w:rPr>
        <w:t>period of review</w:t>
      </w:r>
      <w:r w:rsidRPr="00202171">
        <w:t xml:space="preserve">, for an assessment of an </w:t>
      </w:r>
      <w:r w:rsidRPr="00202171">
        <w:rPr>
          <w:position w:val="6"/>
          <w:sz w:val="16"/>
        </w:rPr>
        <w:t>*</w:t>
      </w:r>
      <w:r w:rsidRPr="00202171">
        <w:t>assessable amount, has the meaning given by section 155</w:t>
      </w:r>
      <w:r w:rsidRPr="00202171">
        <w:noBreakHyphen/>
        <w:t xml:space="preserve">35 in Schedule 1 to the </w:t>
      </w:r>
      <w:r w:rsidRPr="00202171">
        <w:rPr>
          <w:i/>
        </w:rPr>
        <w:t>Taxation Administration Act 1953</w:t>
      </w:r>
      <w:r w:rsidRPr="00202171">
        <w:t>.</w:t>
      </w:r>
    </w:p>
    <w:p w:rsidR="00887330" w:rsidRPr="00583E1A" w:rsidRDefault="00887330" w:rsidP="00887330">
      <w:pPr>
        <w:pStyle w:val="Definition"/>
      </w:pPr>
      <w:r w:rsidRPr="00583E1A">
        <w:rPr>
          <w:b/>
          <w:i/>
        </w:rPr>
        <w:t>period of the loan</w:t>
      </w:r>
      <w:r w:rsidRPr="00583E1A">
        <w:t xml:space="preserve"> has the meaning given by subsection 25</w:t>
      </w:r>
      <w:r w:rsidR="00583E1A">
        <w:noBreakHyphen/>
      </w:r>
      <w:r w:rsidRPr="00583E1A">
        <w:t>25(5).</w:t>
      </w:r>
    </w:p>
    <w:p w:rsidR="00887330" w:rsidRPr="00583E1A" w:rsidRDefault="00887330" w:rsidP="00887330">
      <w:pPr>
        <w:pStyle w:val="Definition"/>
      </w:pPr>
      <w:r w:rsidRPr="00583E1A">
        <w:rPr>
          <w:b/>
          <w:i/>
        </w:rPr>
        <w:t xml:space="preserve">permanent establishment </w:t>
      </w:r>
      <w:r w:rsidRPr="00583E1A">
        <w:t xml:space="preserve">has the meaning given by subsection 6(1) of the </w:t>
      </w:r>
      <w:r w:rsidRPr="00583E1A">
        <w:rPr>
          <w:i/>
        </w:rPr>
        <w:t>Income Tax Assessment Act 1936</w:t>
      </w:r>
      <w:r w:rsidRPr="00583E1A">
        <w:t>.</w:t>
      </w:r>
    </w:p>
    <w:p w:rsidR="00887330" w:rsidRPr="00583E1A" w:rsidRDefault="00887330" w:rsidP="00887330">
      <w:pPr>
        <w:pStyle w:val="Definition"/>
      </w:pPr>
      <w:r w:rsidRPr="00583E1A">
        <w:rPr>
          <w:b/>
          <w:i/>
        </w:rPr>
        <w:t>permitted entity value</w:t>
      </w:r>
      <w:r w:rsidRPr="00583E1A">
        <w:t xml:space="preserve"> has the meaning given by section</w:t>
      </w:r>
      <w:r w:rsidR="00583E1A">
        <w:t> </w:t>
      </w:r>
      <w:r w:rsidRPr="00583E1A">
        <w:t>118</w:t>
      </w:r>
      <w:r w:rsidR="00583E1A">
        <w:noBreakHyphen/>
      </w:r>
      <w:r w:rsidRPr="00583E1A">
        <w:t>440.</w:t>
      </w:r>
    </w:p>
    <w:p w:rsidR="00887330" w:rsidRPr="00583E1A" w:rsidRDefault="00887330" w:rsidP="00887330">
      <w:pPr>
        <w:pStyle w:val="Definition"/>
      </w:pPr>
      <w:r w:rsidRPr="00583E1A">
        <w:rPr>
          <w:b/>
          <w:i/>
        </w:rPr>
        <w:t xml:space="preserve">permitted loan </w:t>
      </w:r>
      <w:r w:rsidRPr="00583E1A">
        <w:t>has the same meaning as in section</w:t>
      </w:r>
      <w:r w:rsidR="00583E1A">
        <w:t> </w:t>
      </w:r>
      <w:r w:rsidRPr="00583E1A">
        <w:t>9</w:t>
      </w:r>
      <w:r w:rsidR="00583E1A">
        <w:noBreakHyphen/>
      </w:r>
      <w:r w:rsidRPr="00583E1A">
        <w:t xml:space="preserve">10 of the </w:t>
      </w:r>
      <w:r w:rsidRPr="00583E1A">
        <w:rPr>
          <w:i/>
        </w:rPr>
        <w:t>Venture Capital Act 2002</w:t>
      </w:r>
      <w:r w:rsidRPr="00583E1A">
        <w:t>.</w:t>
      </w:r>
    </w:p>
    <w:p w:rsidR="00887330" w:rsidRPr="00583E1A" w:rsidRDefault="00887330" w:rsidP="00887330">
      <w:pPr>
        <w:pStyle w:val="Definition"/>
      </w:pPr>
      <w:r w:rsidRPr="00583E1A">
        <w:rPr>
          <w:b/>
          <w:i/>
        </w:rPr>
        <w:t xml:space="preserve">person </w:t>
      </w:r>
      <w:r w:rsidRPr="00583E1A">
        <w:t>includes a company.</w:t>
      </w:r>
    </w:p>
    <w:p w:rsidR="00887330" w:rsidRPr="00583E1A" w:rsidRDefault="00887330" w:rsidP="00887330">
      <w:pPr>
        <w:pStyle w:val="Definition"/>
      </w:pPr>
      <w:r w:rsidRPr="00583E1A">
        <w:rPr>
          <w:b/>
          <w:i/>
        </w:rPr>
        <w:t xml:space="preserve">personal injury annuity </w:t>
      </w:r>
      <w:r w:rsidRPr="00583E1A">
        <w:t>has the meaning given by section</w:t>
      </w:r>
      <w:r w:rsidR="00583E1A">
        <w:t> </w:t>
      </w:r>
      <w:r w:rsidRPr="00583E1A">
        <w:t>54</w:t>
      </w:r>
      <w:r w:rsidR="00583E1A">
        <w:noBreakHyphen/>
      </w:r>
      <w:r w:rsidRPr="00583E1A">
        <w:t>5.</w:t>
      </w:r>
    </w:p>
    <w:p w:rsidR="00887330" w:rsidRPr="00583E1A" w:rsidRDefault="00887330" w:rsidP="00887330">
      <w:pPr>
        <w:pStyle w:val="Definition"/>
      </w:pPr>
      <w:r w:rsidRPr="00583E1A">
        <w:rPr>
          <w:b/>
          <w:i/>
        </w:rPr>
        <w:t xml:space="preserve">personal injury lump sum </w:t>
      </w:r>
      <w:r w:rsidRPr="00583E1A">
        <w:t>has the meaning given by section</w:t>
      </w:r>
      <w:r w:rsidR="00583E1A">
        <w:t> </w:t>
      </w:r>
      <w:r w:rsidRPr="00583E1A">
        <w:t>54</w:t>
      </w:r>
      <w:r w:rsidR="00583E1A">
        <w:noBreakHyphen/>
      </w:r>
      <w:r w:rsidRPr="00583E1A">
        <w:t>5.</w:t>
      </w:r>
    </w:p>
    <w:p w:rsidR="00887330" w:rsidRPr="00583E1A" w:rsidRDefault="00887330" w:rsidP="00887330">
      <w:pPr>
        <w:pStyle w:val="Definition"/>
      </w:pPr>
      <w:r w:rsidRPr="00583E1A">
        <w:rPr>
          <w:b/>
          <w:i/>
        </w:rPr>
        <w:t>personal services business</w:t>
      </w:r>
      <w:r w:rsidRPr="00583E1A">
        <w:t xml:space="preserve"> has the meanings given by subsection 87</w:t>
      </w:r>
      <w:r w:rsidR="00583E1A">
        <w:noBreakHyphen/>
      </w:r>
      <w:r w:rsidRPr="00583E1A">
        <w:t>15(1) and section</w:t>
      </w:r>
      <w:r w:rsidR="00583E1A">
        <w:t> </w:t>
      </w:r>
      <w:r w:rsidRPr="00583E1A">
        <w:t>87</w:t>
      </w:r>
      <w:r w:rsidR="00583E1A">
        <w:noBreakHyphen/>
      </w:r>
      <w:r w:rsidRPr="00583E1A">
        <w:t>55.</w:t>
      </w:r>
    </w:p>
    <w:p w:rsidR="00887330" w:rsidRPr="00583E1A" w:rsidRDefault="00887330" w:rsidP="00887330">
      <w:pPr>
        <w:pStyle w:val="Definition"/>
      </w:pPr>
      <w:r w:rsidRPr="00583E1A">
        <w:rPr>
          <w:b/>
          <w:i/>
        </w:rPr>
        <w:t>personal services business determination</w:t>
      </w:r>
      <w:r w:rsidRPr="00583E1A">
        <w:t xml:space="preserve"> means a determination under section</w:t>
      </w:r>
      <w:r w:rsidR="00583E1A">
        <w:t> </w:t>
      </w:r>
      <w:r w:rsidRPr="00583E1A">
        <w:t>87</w:t>
      </w:r>
      <w:r w:rsidR="00583E1A">
        <w:noBreakHyphen/>
      </w:r>
      <w:r w:rsidRPr="00583E1A">
        <w:t>60 or 87</w:t>
      </w:r>
      <w:r w:rsidR="00583E1A">
        <w:noBreakHyphen/>
      </w:r>
      <w:r w:rsidRPr="00583E1A">
        <w:t>65.</w:t>
      </w:r>
    </w:p>
    <w:p w:rsidR="00887330" w:rsidRPr="00583E1A" w:rsidRDefault="00887330" w:rsidP="00887330">
      <w:pPr>
        <w:pStyle w:val="Definition"/>
      </w:pPr>
      <w:r w:rsidRPr="00583E1A">
        <w:rPr>
          <w:b/>
          <w:i/>
        </w:rPr>
        <w:t>personal services business test</w:t>
      </w:r>
      <w:r w:rsidRPr="00583E1A">
        <w:t xml:space="preserve"> has the meaning given by subsection 87</w:t>
      </w:r>
      <w:r w:rsidR="00583E1A">
        <w:noBreakHyphen/>
      </w:r>
      <w:r w:rsidRPr="00583E1A">
        <w:t>15(2).</w:t>
      </w:r>
    </w:p>
    <w:p w:rsidR="00887330" w:rsidRPr="00583E1A" w:rsidRDefault="00887330" w:rsidP="00887330">
      <w:pPr>
        <w:pStyle w:val="Definition"/>
      </w:pPr>
      <w:r w:rsidRPr="00583E1A">
        <w:rPr>
          <w:b/>
          <w:i/>
        </w:rPr>
        <w:t>personal services entity</w:t>
      </w:r>
      <w:r w:rsidRPr="00583E1A">
        <w:t xml:space="preserve"> has the meaning given by subsection 86</w:t>
      </w:r>
      <w:r w:rsidR="00583E1A">
        <w:noBreakHyphen/>
      </w:r>
      <w:r w:rsidRPr="00583E1A">
        <w:t>15(2).</w:t>
      </w:r>
    </w:p>
    <w:p w:rsidR="00887330" w:rsidRPr="00583E1A" w:rsidRDefault="00887330" w:rsidP="00887330">
      <w:pPr>
        <w:pStyle w:val="Definition"/>
      </w:pPr>
      <w:r w:rsidRPr="00583E1A">
        <w:rPr>
          <w:b/>
          <w:i/>
        </w:rPr>
        <w:lastRenderedPageBreak/>
        <w:t>personal services income</w:t>
      </w:r>
      <w:r w:rsidRPr="00583E1A">
        <w:t xml:space="preserve"> has the meaning given by section</w:t>
      </w:r>
      <w:r w:rsidR="00583E1A">
        <w:t> </w:t>
      </w:r>
      <w:r w:rsidRPr="00583E1A">
        <w:t>84</w:t>
      </w:r>
      <w:r w:rsidR="00583E1A">
        <w:noBreakHyphen/>
      </w:r>
      <w:r w:rsidRPr="00583E1A">
        <w:t>5.</w:t>
      </w:r>
    </w:p>
    <w:p w:rsidR="00887330" w:rsidRPr="00583E1A" w:rsidRDefault="00887330" w:rsidP="00887330">
      <w:pPr>
        <w:pStyle w:val="Definition"/>
      </w:pPr>
      <w:r w:rsidRPr="00583E1A">
        <w:rPr>
          <w:b/>
          <w:i/>
        </w:rPr>
        <w:t>personal services payment remitter</w:t>
      </w:r>
      <w:r w:rsidRPr="00583E1A">
        <w:t xml:space="preserve"> has the meaning given by section</w:t>
      </w:r>
      <w:r w:rsidR="00583E1A">
        <w:t> </w:t>
      </w:r>
      <w:r w:rsidRPr="00583E1A">
        <w:t>13</w:t>
      </w:r>
      <w:r w:rsidR="00583E1A">
        <w:noBreakHyphen/>
      </w:r>
      <w:r w:rsidRPr="00583E1A">
        <w:t>15 in Schedule</w:t>
      </w:r>
      <w:r w:rsidR="00583E1A">
        <w:t> </w:t>
      </w:r>
      <w:r w:rsidRPr="00583E1A">
        <w:t xml:space="preserve">1 to the </w:t>
      </w:r>
      <w:r w:rsidRPr="00583E1A">
        <w:rPr>
          <w:i/>
        </w:rPr>
        <w:t>Taxation Administration Act 1953</w:t>
      </w:r>
      <w:r w:rsidRPr="00583E1A">
        <w:t>.</w:t>
      </w:r>
    </w:p>
    <w:p w:rsidR="00887330" w:rsidRPr="00583E1A" w:rsidRDefault="00887330" w:rsidP="00887330">
      <w:pPr>
        <w:pStyle w:val="Definition"/>
      </w:pPr>
      <w:r w:rsidRPr="00583E1A">
        <w:rPr>
          <w:b/>
          <w:i/>
        </w:rPr>
        <w:t>personal use asset</w:t>
      </w:r>
      <w:r w:rsidRPr="00583E1A">
        <w:t xml:space="preserve"> has the meaning given by section</w:t>
      </w:r>
      <w:r w:rsidR="00583E1A">
        <w:t> </w:t>
      </w:r>
      <w:r w:rsidRPr="00583E1A">
        <w:t>108</w:t>
      </w:r>
      <w:r w:rsidR="00583E1A">
        <w:noBreakHyphen/>
      </w:r>
      <w:r w:rsidRPr="00583E1A">
        <w:t>20.</w:t>
      </w:r>
    </w:p>
    <w:p w:rsidR="00887330" w:rsidRPr="00583E1A" w:rsidRDefault="00887330" w:rsidP="00887330">
      <w:pPr>
        <w:pStyle w:val="Definition"/>
      </w:pPr>
      <w:r w:rsidRPr="00583E1A">
        <w:rPr>
          <w:b/>
          <w:i/>
        </w:rPr>
        <w:t>petroleum</w:t>
      </w:r>
      <w:r w:rsidRPr="00583E1A">
        <w:t xml:space="preserve"> has the meaning given by </w:t>
      </w:r>
      <w:r w:rsidR="009E0BDE" w:rsidRPr="004C09C4">
        <w:t>subsection 40</w:t>
      </w:r>
      <w:r w:rsidR="009E0BDE" w:rsidRPr="004C09C4">
        <w:noBreakHyphen/>
        <w:t>730(6)</w:t>
      </w:r>
      <w:r w:rsidRPr="00583E1A">
        <w:t>.</w:t>
      </w:r>
    </w:p>
    <w:p w:rsidR="00966555" w:rsidRPr="00CE60EC" w:rsidRDefault="00966555" w:rsidP="00966555">
      <w:pPr>
        <w:pStyle w:val="Definition"/>
      </w:pPr>
      <w:r w:rsidRPr="00CE60EC">
        <w:rPr>
          <w:b/>
          <w:i/>
        </w:rPr>
        <w:t>petroleum resource rent tax</w:t>
      </w:r>
      <w:r w:rsidRPr="00CE60EC">
        <w:t xml:space="preserve"> means tax imposed by any of the following:</w:t>
      </w:r>
    </w:p>
    <w:p w:rsidR="00966555" w:rsidRPr="00CE60EC" w:rsidRDefault="00966555" w:rsidP="00966555">
      <w:pPr>
        <w:pStyle w:val="paragraph"/>
      </w:pPr>
      <w:r w:rsidRPr="00CE60EC">
        <w:tab/>
        <w:t>(a)</w:t>
      </w:r>
      <w:r w:rsidRPr="00CE60EC">
        <w:tab/>
        <w:t xml:space="preserve">the </w:t>
      </w:r>
      <w:r w:rsidRPr="00CE60EC">
        <w:rPr>
          <w:i/>
        </w:rPr>
        <w:t>Petroleum Resource Rent Tax (Imposition—General) Act 201</w:t>
      </w:r>
      <w:r>
        <w:rPr>
          <w:i/>
        </w:rPr>
        <w:t>2</w:t>
      </w:r>
      <w:r w:rsidRPr="00CE60EC">
        <w:t>;</w:t>
      </w:r>
    </w:p>
    <w:p w:rsidR="00966555" w:rsidRPr="00CE60EC" w:rsidRDefault="00966555" w:rsidP="00966555">
      <w:pPr>
        <w:pStyle w:val="paragraph"/>
      </w:pPr>
      <w:r w:rsidRPr="00CE60EC">
        <w:tab/>
        <w:t>(b)</w:t>
      </w:r>
      <w:r w:rsidRPr="00CE60EC">
        <w:tab/>
        <w:t xml:space="preserve">the </w:t>
      </w:r>
      <w:r w:rsidRPr="00CE60EC">
        <w:rPr>
          <w:i/>
        </w:rPr>
        <w:t>Petroleum Resource Rent Tax (Imposition—Customs) Act 201</w:t>
      </w:r>
      <w:r>
        <w:rPr>
          <w:i/>
        </w:rPr>
        <w:t>2</w:t>
      </w:r>
      <w:r w:rsidRPr="00CE60EC">
        <w:t>;</w:t>
      </w:r>
    </w:p>
    <w:p w:rsidR="00966555" w:rsidRPr="00CE60EC" w:rsidRDefault="00966555" w:rsidP="00966555">
      <w:pPr>
        <w:pStyle w:val="paragraph"/>
      </w:pPr>
      <w:r w:rsidRPr="00CE60EC">
        <w:tab/>
        <w:t>(c)</w:t>
      </w:r>
      <w:r w:rsidRPr="00CE60EC">
        <w:tab/>
        <w:t xml:space="preserve">the </w:t>
      </w:r>
      <w:r w:rsidRPr="00CE60EC">
        <w:rPr>
          <w:i/>
        </w:rPr>
        <w:t>Petroleum Resource Rent Tax (Imposition—Excise) Act 201</w:t>
      </w:r>
      <w:r>
        <w:rPr>
          <w:i/>
        </w:rPr>
        <w:t>2</w:t>
      </w:r>
      <w:r w:rsidRPr="00CE60EC">
        <w:t>;</w:t>
      </w:r>
    </w:p>
    <w:p w:rsidR="00966555" w:rsidRPr="00CE60EC" w:rsidRDefault="00966555" w:rsidP="00966555">
      <w:pPr>
        <w:pStyle w:val="subsection2"/>
      </w:pPr>
      <w:r w:rsidRPr="00CE60EC">
        <w:t xml:space="preserve">as assessed under the </w:t>
      </w:r>
      <w:r w:rsidRPr="00CE60EC">
        <w:rPr>
          <w:i/>
        </w:rPr>
        <w:t>Petroleum Resource Rent Tax Assessment Act 1987</w:t>
      </w:r>
      <w:r w:rsidRPr="00CE60EC">
        <w:t>.</w:t>
      </w:r>
    </w:p>
    <w:p w:rsidR="00F5569F" w:rsidRPr="006230C2" w:rsidRDefault="00F5569F" w:rsidP="00F5569F">
      <w:pPr>
        <w:pStyle w:val="Definition"/>
      </w:pPr>
      <w:r w:rsidRPr="006230C2">
        <w:rPr>
          <w:b/>
          <w:i/>
        </w:rPr>
        <w:t>PHIIB</w:t>
      </w:r>
      <w:r w:rsidRPr="006230C2">
        <w:t xml:space="preserve"> (short for </w:t>
      </w:r>
      <w:r w:rsidRPr="006230C2">
        <w:rPr>
          <w:b/>
          <w:i/>
        </w:rPr>
        <w:t>private health insurance incentive beneficiary</w:t>
      </w:r>
      <w:r w:rsidRPr="006230C2">
        <w:t xml:space="preserve">) has the meaning given by the </w:t>
      </w:r>
      <w:r w:rsidRPr="006230C2">
        <w:rPr>
          <w:i/>
        </w:rPr>
        <w:t>Private Health Insurance Act 2007</w:t>
      </w:r>
      <w:r w:rsidRPr="006230C2">
        <w:t>.</w:t>
      </w:r>
    </w:p>
    <w:p w:rsidR="00887330" w:rsidRPr="00583E1A" w:rsidRDefault="00887330" w:rsidP="00887330">
      <w:pPr>
        <w:pStyle w:val="Definition"/>
      </w:pPr>
      <w:r w:rsidRPr="00583E1A">
        <w:rPr>
          <w:b/>
          <w:i/>
        </w:rPr>
        <w:t>plant</w:t>
      </w:r>
      <w:r w:rsidRPr="00583E1A">
        <w:t xml:space="preserve"> has the meaning given by section</w:t>
      </w:r>
      <w:r w:rsidR="00583E1A">
        <w:t> </w:t>
      </w:r>
      <w:r w:rsidRPr="00583E1A">
        <w:t>45</w:t>
      </w:r>
      <w:r w:rsidR="00583E1A">
        <w:noBreakHyphen/>
      </w:r>
      <w:r w:rsidRPr="00583E1A">
        <w:t>40.</w:t>
      </w:r>
    </w:p>
    <w:p w:rsidR="00887330" w:rsidRPr="00583E1A" w:rsidRDefault="00887330" w:rsidP="00A756C6">
      <w:pPr>
        <w:pStyle w:val="Definition"/>
        <w:keepNext/>
        <w:keepLines/>
      </w:pPr>
      <w:r w:rsidRPr="00583E1A">
        <w:rPr>
          <w:b/>
          <w:i/>
        </w:rPr>
        <w:t>policy owners’ retained profits</w:t>
      </w:r>
      <w:r w:rsidRPr="00583E1A">
        <w:t xml:space="preserve"> for </w:t>
      </w:r>
      <w:r w:rsidR="00583E1A" w:rsidRPr="00583E1A">
        <w:rPr>
          <w:position w:val="6"/>
          <w:sz w:val="16"/>
        </w:rPr>
        <w:t>*</w:t>
      </w:r>
      <w:r w:rsidRPr="00583E1A">
        <w:t>life insurance policies means Australian policy owners’ retained profits, or overseas policy owners’ retained profits, as defined by section</w:t>
      </w:r>
      <w:r w:rsidR="00583E1A">
        <w:t> </w:t>
      </w:r>
      <w:r w:rsidRPr="00583E1A">
        <w:t xml:space="preserve">61 of the </w:t>
      </w:r>
      <w:r w:rsidRPr="00583E1A">
        <w:rPr>
          <w:i/>
        </w:rPr>
        <w:t>Life Insurance Act 1995</w:t>
      </w:r>
      <w:r w:rsidRPr="00583E1A">
        <w:t>, in relation to the statutory fund (within the meaning of section</w:t>
      </w:r>
      <w:r w:rsidR="00583E1A">
        <w:t> </w:t>
      </w:r>
      <w:r w:rsidRPr="00583E1A">
        <w:t>29 of that Act) to which the business of issuing the policies relates.</w:t>
      </w:r>
    </w:p>
    <w:p w:rsidR="00887330" w:rsidRPr="00583E1A" w:rsidRDefault="00887330" w:rsidP="00887330">
      <w:pPr>
        <w:pStyle w:val="Definition"/>
      </w:pPr>
      <w:r w:rsidRPr="00583E1A">
        <w:rPr>
          <w:b/>
          <w:i/>
        </w:rPr>
        <w:t>policy termination value</w:t>
      </w:r>
      <w:r w:rsidRPr="00583E1A">
        <w:t xml:space="preserve">, in relation to a </w:t>
      </w:r>
      <w:r w:rsidR="00583E1A" w:rsidRPr="00583E1A">
        <w:rPr>
          <w:position w:val="6"/>
          <w:sz w:val="16"/>
        </w:rPr>
        <w:t>*</w:t>
      </w:r>
      <w:r w:rsidRPr="00583E1A">
        <w:t>life insurance policy at a particular time,</w:t>
      </w:r>
      <w:r w:rsidRPr="00583E1A">
        <w:rPr>
          <w:b/>
          <w:i/>
        </w:rPr>
        <w:t xml:space="preserve"> </w:t>
      </w:r>
      <w:r w:rsidRPr="00583E1A">
        <w:t xml:space="preserve">means the amount that is, within the meaning of </w:t>
      </w:r>
      <w:r w:rsidR="00697C38" w:rsidRPr="00583E1A">
        <w:t>prudential standards made under section</w:t>
      </w:r>
      <w:r w:rsidR="00583E1A">
        <w:t> </w:t>
      </w:r>
      <w:r w:rsidR="00697C38" w:rsidRPr="00583E1A">
        <w:t xml:space="preserve">230A of the </w:t>
      </w:r>
      <w:r w:rsidR="00697C38" w:rsidRPr="00583E1A">
        <w:rPr>
          <w:i/>
        </w:rPr>
        <w:t>Life Insurance Act 1995</w:t>
      </w:r>
      <w:r w:rsidRPr="00583E1A">
        <w:t>, the termination value of that policy at that time.</w:t>
      </w:r>
    </w:p>
    <w:p w:rsidR="00887330" w:rsidRPr="00583E1A" w:rsidRDefault="00887330" w:rsidP="00887330">
      <w:pPr>
        <w:pStyle w:val="Definition"/>
      </w:pPr>
      <w:r w:rsidRPr="00583E1A">
        <w:rPr>
          <w:b/>
          <w:i/>
        </w:rPr>
        <w:t>pool of construction expenditure</w:t>
      </w:r>
      <w:r w:rsidRPr="00583E1A">
        <w:t xml:space="preserve"> has the meaning given by section</w:t>
      </w:r>
      <w:r w:rsidR="00583E1A">
        <w:t> </w:t>
      </w:r>
      <w:r w:rsidRPr="00583E1A">
        <w:t>43</w:t>
      </w:r>
      <w:r w:rsidR="00583E1A">
        <w:noBreakHyphen/>
      </w:r>
      <w:r w:rsidRPr="00583E1A">
        <w:t>85.</w:t>
      </w:r>
    </w:p>
    <w:p w:rsidR="00887330" w:rsidRPr="00583E1A" w:rsidRDefault="00887330" w:rsidP="00887330">
      <w:pPr>
        <w:pStyle w:val="Definition"/>
        <w:rPr>
          <w:b/>
          <w:i/>
        </w:rPr>
      </w:pPr>
      <w:r w:rsidRPr="00583E1A">
        <w:rPr>
          <w:b/>
          <w:i/>
        </w:rPr>
        <w:lastRenderedPageBreak/>
        <w:t>pooled development fund</w:t>
      </w:r>
      <w:r w:rsidRPr="00583E1A">
        <w:t xml:space="preserve"> means a </w:t>
      </w:r>
      <w:r w:rsidR="00583E1A" w:rsidRPr="00583E1A">
        <w:rPr>
          <w:position w:val="6"/>
          <w:sz w:val="16"/>
        </w:rPr>
        <w:t>*</w:t>
      </w:r>
      <w:r w:rsidRPr="00583E1A">
        <w:t>PDF.</w:t>
      </w:r>
    </w:p>
    <w:p w:rsidR="00887330" w:rsidRPr="00583E1A" w:rsidRDefault="00887330" w:rsidP="00887330">
      <w:pPr>
        <w:pStyle w:val="Definition"/>
      </w:pPr>
      <w:r w:rsidRPr="00583E1A">
        <w:rPr>
          <w:b/>
          <w:i/>
        </w:rPr>
        <w:t>pooled interest</w:t>
      </w:r>
      <w:r w:rsidRPr="00583E1A">
        <w:t xml:space="preserve"> in an </w:t>
      </w:r>
      <w:r w:rsidR="00583E1A" w:rsidRPr="00583E1A">
        <w:rPr>
          <w:position w:val="6"/>
          <w:sz w:val="16"/>
        </w:rPr>
        <w:t>*</w:t>
      </w:r>
      <w:r w:rsidRPr="00583E1A">
        <w:t>eligible tier</w:t>
      </w:r>
      <w:r w:rsidR="00583E1A">
        <w:noBreakHyphen/>
      </w:r>
      <w:r w:rsidRPr="00583E1A">
        <w:t xml:space="preserve">1 company that is a member of a </w:t>
      </w:r>
      <w:r w:rsidR="00583E1A" w:rsidRPr="00583E1A">
        <w:rPr>
          <w:position w:val="6"/>
          <w:sz w:val="16"/>
        </w:rPr>
        <w:t>*</w:t>
      </w:r>
      <w:r w:rsidRPr="00583E1A">
        <w:t>MEC group has the meaning given by section</w:t>
      </w:r>
      <w:r w:rsidR="00583E1A">
        <w:t> </w:t>
      </w:r>
      <w:r w:rsidRPr="00583E1A">
        <w:t>719</w:t>
      </w:r>
      <w:r w:rsidR="00583E1A">
        <w:noBreakHyphen/>
      </w:r>
      <w:r w:rsidRPr="00583E1A">
        <w:t>560.</w:t>
      </w:r>
    </w:p>
    <w:p w:rsidR="00887330" w:rsidRPr="00583E1A" w:rsidRDefault="00887330" w:rsidP="00887330">
      <w:pPr>
        <w:pStyle w:val="Definition"/>
      </w:pPr>
      <w:r w:rsidRPr="00583E1A">
        <w:rPr>
          <w:b/>
          <w:i/>
        </w:rPr>
        <w:t>pooled superannuation trust</w:t>
      </w:r>
      <w:r w:rsidRPr="00583E1A">
        <w:t xml:space="preserve"> means a pooled superannuation trust within the meaning of section</w:t>
      </w:r>
      <w:r w:rsidR="00583E1A">
        <w:t> </w:t>
      </w:r>
      <w:r w:rsidRPr="00583E1A">
        <w:t xml:space="preserve">48 of the </w:t>
      </w:r>
      <w:r w:rsidRPr="00583E1A">
        <w:rPr>
          <w:i/>
        </w:rPr>
        <w:t>Superannuation Industry (Supervision) Act 1993</w:t>
      </w:r>
      <w:r w:rsidRPr="00583E1A">
        <w:t>.</w:t>
      </w:r>
    </w:p>
    <w:p w:rsidR="00887330" w:rsidRPr="00583E1A" w:rsidRDefault="00887330" w:rsidP="00887330">
      <w:pPr>
        <w:pStyle w:val="Definition"/>
      </w:pPr>
      <w:r w:rsidRPr="00583E1A">
        <w:rPr>
          <w:b/>
          <w:i/>
        </w:rPr>
        <w:t xml:space="preserve">position to affect rights </w:t>
      </w:r>
      <w:r w:rsidRPr="00583E1A">
        <w:t>has the meaning given by section</w:t>
      </w:r>
      <w:r w:rsidR="00583E1A">
        <w:t> </w:t>
      </w:r>
      <w:r w:rsidRPr="00583E1A">
        <w:t>975</w:t>
      </w:r>
      <w:r w:rsidR="00583E1A">
        <w:noBreakHyphen/>
      </w:r>
      <w:r w:rsidRPr="00583E1A">
        <w:t>150.</w:t>
      </w:r>
    </w:p>
    <w:p w:rsidR="000702BE" w:rsidRPr="00583E1A" w:rsidRDefault="000702BE" w:rsidP="000702BE">
      <w:pPr>
        <w:pStyle w:val="Definition"/>
      </w:pPr>
      <w:r w:rsidRPr="00583E1A">
        <w:rPr>
          <w:b/>
          <w:i/>
        </w:rPr>
        <w:t>post</w:t>
      </w:r>
      <w:r w:rsidR="00583E1A">
        <w:rPr>
          <w:b/>
          <w:i/>
        </w:rPr>
        <w:noBreakHyphen/>
      </w:r>
      <w:r w:rsidRPr="00583E1A">
        <w:rPr>
          <w:b/>
          <w:i/>
        </w:rPr>
        <w:t>17/8/93 period</w:t>
      </w:r>
      <w:r w:rsidRPr="00583E1A">
        <w:t xml:space="preserve"> has the meaning given by subsection 83</w:t>
      </w:r>
      <w:r w:rsidR="00583E1A">
        <w:noBreakHyphen/>
      </w:r>
      <w:r w:rsidRPr="00583E1A">
        <w:t>90(3).</w:t>
      </w:r>
    </w:p>
    <w:p w:rsidR="00887330" w:rsidRPr="00583E1A" w:rsidRDefault="00887330" w:rsidP="00887330">
      <w:pPr>
        <w:pStyle w:val="Definition"/>
      </w:pPr>
      <w:r w:rsidRPr="00583E1A">
        <w:rPr>
          <w:b/>
          <w:i/>
        </w:rPr>
        <w:t>post</w:t>
      </w:r>
      <w:r w:rsidR="00583E1A">
        <w:rPr>
          <w:b/>
          <w:i/>
        </w:rPr>
        <w:noBreakHyphen/>
      </w:r>
      <w:r w:rsidRPr="00583E1A">
        <w:rPr>
          <w:b/>
          <w:i/>
        </w:rPr>
        <w:t>CGT asset</w:t>
      </w:r>
      <w:r w:rsidRPr="00583E1A">
        <w:t xml:space="preserve"> means a </w:t>
      </w:r>
      <w:r w:rsidR="00583E1A" w:rsidRPr="00583E1A">
        <w:rPr>
          <w:position w:val="6"/>
          <w:sz w:val="16"/>
        </w:rPr>
        <w:t>*</w:t>
      </w:r>
      <w:r w:rsidRPr="00583E1A">
        <w:t xml:space="preserve">CGT asset that is not a </w:t>
      </w:r>
      <w:r w:rsidR="00583E1A" w:rsidRPr="00583E1A">
        <w:rPr>
          <w:position w:val="6"/>
          <w:sz w:val="16"/>
        </w:rPr>
        <w:t>*</w:t>
      </w:r>
      <w:r w:rsidRPr="00583E1A">
        <w:t>pre</w:t>
      </w:r>
      <w:r w:rsidR="00583E1A">
        <w:noBreakHyphen/>
      </w:r>
      <w:r w:rsidRPr="00583E1A">
        <w:t>CGT asset.</w:t>
      </w:r>
    </w:p>
    <w:p w:rsidR="00887330" w:rsidRPr="00583E1A" w:rsidRDefault="00887330" w:rsidP="00887330">
      <w:pPr>
        <w:pStyle w:val="Definition"/>
      </w:pPr>
      <w:r w:rsidRPr="00583E1A">
        <w:rPr>
          <w:b/>
          <w:i/>
        </w:rPr>
        <w:t>post</w:t>
      </w:r>
      <w:r w:rsidR="00583E1A">
        <w:rPr>
          <w:b/>
          <w:i/>
        </w:rPr>
        <w:noBreakHyphen/>
      </w:r>
      <w:r w:rsidRPr="00583E1A">
        <w:rPr>
          <w:b/>
          <w:i/>
        </w:rPr>
        <w:t>choice NZ franking company</w:t>
      </w:r>
      <w:r w:rsidRPr="00583E1A">
        <w:t xml:space="preserve"> has the meaning given by section</w:t>
      </w:r>
      <w:r w:rsidR="00583E1A">
        <w:t> </w:t>
      </w:r>
      <w:r w:rsidRPr="00583E1A">
        <w:t>220</w:t>
      </w:r>
      <w:r w:rsidR="00583E1A">
        <w:noBreakHyphen/>
      </w:r>
      <w:r w:rsidRPr="00583E1A">
        <w:t>300.</w:t>
      </w:r>
    </w:p>
    <w:p w:rsidR="00977EA3" w:rsidRPr="00583E1A" w:rsidRDefault="00977EA3" w:rsidP="00977EA3">
      <w:pPr>
        <w:pStyle w:val="Definition"/>
      </w:pPr>
      <w:r w:rsidRPr="00583E1A">
        <w:rPr>
          <w:b/>
          <w:i/>
        </w:rPr>
        <w:t>post, digital and visual effects production</w:t>
      </w:r>
      <w:r w:rsidRPr="00583E1A">
        <w:t xml:space="preserve"> for a </w:t>
      </w:r>
      <w:r w:rsidR="00583E1A" w:rsidRPr="00583E1A">
        <w:rPr>
          <w:position w:val="6"/>
          <w:sz w:val="16"/>
        </w:rPr>
        <w:t>*</w:t>
      </w:r>
      <w:r w:rsidRPr="00583E1A">
        <w:t>film has the meaning given by section</w:t>
      </w:r>
      <w:r w:rsidR="00583E1A">
        <w:t> </w:t>
      </w:r>
      <w:r w:rsidRPr="00583E1A">
        <w:t>376</w:t>
      </w:r>
      <w:r w:rsidR="00583E1A">
        <w:noBreakHyphen/>
      </w:r>
      <w:r w:rsidRPr="00583E1A">
        <w:t>35.</w:t>
      </w:r>
    </w:p>
    <w:p w:rsidR="00887330" w:rsidRPr="00583E1A" w:rsidRDefault="00887330" w:rsidP="00887330">
      <w:pPr>
        <w:pStyle w:val="Definition"/>
      </w:pPr>
      <w:r w:rsidRPr="00583E1A">
        <w:rPr>
          <w:b/>
          <w:i/>
        </w:rPr>
        <w:t xml:space="preserve">potential MEC group </w:t>
      </w:r>
      <w:r w:rsidRPr="00583E1A">
        <w:t>has the meaning given by section</w:t>
      </w:r>
      <w:r w:rsidR="00583E1A">
        <w:t> </w:t>
      </w:r>
      <w:r w:rsidRPr="00583E1A">
        <w:t>719</w:t>
      </w:r>
      <w:r w:rsidR="00583E1A">
        <w:noBreakHyphen/>
      </w:r>
      <w:r w:rsidRPr="00583E1A">
        <w:t>10.</w:t>
      </w:r>
    </w:p>
    <w:p w:rsidR="000702BE" w:rsidRPr="00583E1A" w:rsidRDefault="000702BE" w:rsidP="000702BE">
      <w:pPr>
        <w:pStyle w:val="Definition"/>
      </w:pPr>
      <w:r w:rsidRPr="00583E1A">
        <w:rPr>
          <w:b/>
          <w:i/>
        </w:rPr>
        <w:t>pre</w:t>
      </w:r>
      <w:r w:rsidR="00583E1A">
        <w:rPr>
          <w:b/>
          <w:i/>
        </w:rPr>
        <w:noBreakHyphen/>
      </w:r>
      <w:r w:rsidRPr="00583E1A">
        <w:rPr>
          <w:b/>
          <w:i/>
        </w:rPr>
        <w:t>16/8/78 period</w:t>
      </w:r>
      <w:r w:rsidRPr="00583E1A">
        <w:t xml:space="preserve"> has the meaning given by subsection 83</w:t>
      </w:r>
      <w:r w:rsidR="00583E1A">
        <w:noBreakHyphen/>
      </w:r>
      <w:r w:rsidRPr="00583E1A">
        <w:t>90(1).</w:t>
      </w:r>
    </w:p>
    <w:p w:rsidR="000702BE" w:rsidRPr="00583E1A" w:rsidRDefault="000702BE" w:rsidP="000702BE">
      <w:pPr>
        <w:pStyle w:val="Definition"/>
      </w:pPr>
      <w:r w:rsidRPr="00583E1A">
        <w:rPr>
          <w:b/>
          <w:i/>
        </w:rPr>
        <w:t>pre</w:t>
      </w:r>
      <w:r w:rsidR="00583E1A">
        <w:rPr>
          <w:b/>
          <w:i/>
        </w:rPr>
        <w:noBreakHyphen/>
      </w:r>
      <w:r w:rsidRPr="00583E1A">
        <w:rPr>
          <w:b/>
          <w:i/>
        </w:rPr>
        <w:t>18/8/93 period</w:t>
      </w:r>
      <w:r w:rsidRPr="00583E1A">
        <w:t xml:space="preserve"> has the meaning given by subsection 83</w:t>
      </w:r>
      <w:r w:rsidR="00583E1A">
        <w:noBreakHyphen/>
      </w:r>
      <w:r w:rsidRPr="00583E1A">
        <w:t>90(2).</w:t>
      </w:r>
    </w:p>
    <w:p w:rsidR="00D12CFF" w:rsidRPr="006D2225" w:rsidRDefault="00D12CFF" w:rsidP="00D12CFF">
      <w:pPr>
        <w:pStyle w:val="Definition"/>
        <w:rPr>
          <w:b/>
          <w:i/>
        </w:rPr>
      </w:pPr>
      <w:r w:rsidRPr="006D2225">
        <w:rPr>
          <w:b/>
          <w:i/>
        </w:rPr>
        <w:t>pre</w:t>
      </w:r>
      <w:r>
        <w:rPr>
          <w:b/>
          <w:i/>
        </w:rPr>
        <w:noBreakHyphen/>
      </w:r>
      <w:r w:rsidRPr="006D2225">
        <w:rPr>
          <w:b/>
          <w:i/>
        </w:rPr>
        <w:t xml:space="preserve">2012 IMR capital gain </w:t>
      </w:r>
      <w:r w:rsidRPr="006D2225">
        <w:rPr>
          <w:lang w:eastAsia="en-US"/>
        </w:rPr>
        <w:t>has the meaning given by subsection 842</w:t>
      </w:r>
      <w:r>
        <w:rPr>
          <w:lang w:eastAsia="en-US"/>
        </w:rPr>
        <w:noBreakHyphen/>
      </w:r>
      <w:r w:rsidRPr="006D2225">
        <w:rPr>
          <w:lang w:eastAsia="en-US"/>
        </w:rPr>
        <w:t>270(3).</w:t>
      </w:r>
    </w:p>
    <w:p w:rsidR="00D12CFF" w:rsidRPr="006D2225" w:rsidRDefault="00D12CFF" w:rsidP="00D12CFF">
      <w:pPr>
        <w:pStyle w:val="Definition"/>
        <w:rPr>
          <w:lang w:eastAsia="en-US"/>
        </w:rPr>
      </w:pPr>
      <w:r w:rsidRPr="006D2225">
        <w:rPr>
          <w:b/>
          <w:i/>
        </w:rPr>
        <w:t>pre</w:t>
      </w:r>
      <w:r>
        <w:rPr>
          <w:b/>
          <w:i/>
        </w:rPr>
        <w:noBreakHyphen/>
      </w:r>
      <w:r w:rsidRPr="006D2225">
        <w:rPr>
          <w:b/>
          <w:i/>
        </w:rPr>
        <w:t>2012 IMR income</w:t>
      </w:r>
      <w:r w:rsidRPr="006D2225">
        <w:rPr>
          <w:b/>
          <w:i/>
          <w:lang w:eastAsia="en-US"/>
        </w:rPr>
        <w:t xml:space="preserve"> </w:t>
      </w:r>
      <w:r w:rsidRPr="006D2225">
        <w:rPr>
          <w:lang w:eastAsia="en-US"/>
        </w:rPr>
        <w:t>has the meaning given by subsections 842</w:t>
      </w:r>
      <w:r>
        <w:rPr>
          <w:lang w:eastAsia="en-US"/>
        </w:rPr>
        <w:noBreakHyphen/>
      </w:r>
      <w:r w:rsidRPr="006D2225">
        <w:rPr>
          <w:lang w:eastAsia="en-US"/>
        </w:rPr>
        <w:t>270(1) and (2).</w:t>
      </w:r>
    </w:p>
    <w:p w:rsidR="00887330" w:rsidRPr="00583E1A" w:rsidRDefault="00887330" w:rsidP="00A756C6">
      <w:pPr>
        <w:pStyle w:val="Definition"/>
        <w:keepNext/>
        <w:keepLines/>
      </w:pPr>
      <w:r w:rsidRPr="00583E1A">
        <w:rPr>
          <w:b/>
          <w:i/>
        </w:rPr>
        <w:t>pre</w:t>
      </w:r>
      <w:r w:rsidR="00583E1A">
        <w:rPr>
          <w:b/>
          <w:i/>
        </w:rPr>
        <w:noBreakHyphen/>
      </w:r>
      <w:r w:rsidRPr="00583E1A">
        <w:rPr>
          <w:b/>
          <w:i/>
        </w:rPr>
        <w:t>CGT asset</w:t>
      </w:r>
      <w:r w:rsidRPr="00583E1A">
        <w:t xml:space="preserve"> has the meaning given by section</w:t>
      </w:r>
      <w:r w:rsidR="00583E1A">
        <w:t> </w:t>
      </w:r>
      <w:r w:rsidRPr="00583E1A">
        <w:t>149</w:t>
      </w:r>
      <w:r w:rsidR="00583E1A">
        <w:noBreakHyphen/>
      </w:r>
      <w:r w:rsidRPr="00583E1A">
        <w:t>10.</w:t>
      </w:r>
    </w:p>
    <w:p w:rsidR="00431AA3" w:rsidRPr="0038586A" w:rsidRDefault="00431AA3" w:rsidP="00431AA3">
      <w:pPr>
        <w:pStyle w:val="Definition"/>
      </w:pPr>
      <w:r w:rsidRPr="0038586A">
        <w:rPr>
          <w:b/>
          <w:i/>
        </w:rPr>
        <w:t>pre</w:t>
      </w:r>
      <w:r w:rsidRPr="0038586A">
        <w:rPr>
          <w:b/>
          <w:i/>
        </w:rPr>
        <w:noBreakHyphen/>
        <w:t>CGT proportion</w:t>
      </w:r>
      <w:r w:rsidRPr="0038586A">
        <w:t xml:space="preserve"> has the meaning given by section 705</w:t>
      </w:r>
      <w:r w:rsidRPr="0038586A">
        <w:noBreakHyphen/>
        <w:t>125.</w:t>
      </w:r>
    </w:p>
    <w:p w:rsidR="00887330" w:rsidRPr="00583E1A" w:rsidRDefault="00887330" w:rsidP="00887330">
      <w:pPr>
        <w:pStyle w:val="Definition"/>
      </w:pPr>
      <w:r w:rsidRPr="00583E1A">
        <w:rPr>
          <w:b/>
          <w:i/>
        </w:rPr>
        <w:t>precious metal</w:t>
      </w:r>
      <w:r w:rsidRPr="00583E1A">
        <w:t xml:space="preserve"> has the same meaning as in the </w:t>
      </w:r>
      <w:r w:rsidR="00E25218" w:rsidRPr="004C09C4">
        <w:rPr>
          <w:position w:val="6"/>
          <w:sz w:val="16"/>
        </w:rPr>
        <w:t>*</w:t>
      </w:r>
      <w:r w:rsidR="00E25218" w:rsidRPr="004C09C4">
        <w:t>GST Act</w:t>
      </w:r>
      <w:r w:rsidRPr="00583E1A">
        <w:t>.</w:t>
      </w:r>
    </w:p>
    <w:p w:rsidR="00887330" w:rsidRPr="00583E1A" w:rsidRDefault="00887330" w:rsidP="00887330">
      <w:pPr>
        <w:pStyle w:val="Definition"/>
      </w:pPr>
      <w:r w:rsidRPr="00583E1A">
        <w:rPr>
          <w:b/>
          <w:i/>
        </w:rPr>
        <w:t xml:space="preserve">precluded asset </w:t>
      </w:r>
      <w:r w:rsidRPr="00583E1A">
        <w:t>has the meaning given by subsection 122</w:t>
      </w:r>
      <w:r w:rsidR="00583E1A">
        <w:noBreakHyphen/>
      </w:r>
      <w:r w:rsidRPr="00583E1A">
        <w:t>25(3).</w:t>
      </w:r>
    </w:p>
    <w:p w:rsidR="00207F53" w:rsidRPr="00583E1A" w:rsidRDefault="00207F53" w:rsidP="00207F53">
      <w:pPr>
        <w:pStyle w:val="Definition"/>
      </w:pPr>
      <w:r w:rsidRPr="00583E1A">
        <w:rPr>
          <w:b/>
          <w:i/>
        </w:rPr>
        <w:t>predominant economic interest</w:t>
      </w:r>
      <w:r w:rsidRPr="00583E1A">
        <w:t xml:space="preserve"> in an asset</w:t>
      </w:r>
      <w:r w:rsidRPr="00583E1A">
        <w:rPr>
          <w:b/>
          <w:i/>
        </w:rPr>
        <w:t xml:space="preserve"> </w:t>
      </w:r>
      <w:r w:rsidRPr="00583E1A">
        <w:t>has the meaning given by sections</w:t>
      </w:r>
      <w:r w:rsidR="00583E1A">
        <w:t> </w:t>
      </w:r>
      <w:r w:rsidRPr="00583E1A">
        <w:t>250</w:t>
      </w:r>
      <w:r w:rsidR="00583E1A">
        <w:noBreakHyphen/>
      </w:r>
      <w:r w:rsidRPr="00583E1A">
        <w:t>110 to 250</w:t>
      </w:r>
      <w:r w:rsidR="00583E1A">
        <w:noBreakHyphen/>
      </w:r>
      <w:r w:rsidRPr="00583E1A">
        <w:t>140.</w:t>
      </w:r>
    </w:p>
    <w:p w:rsidR="00887330" w:rsidRPr="00583E1A" w:rsidRDefault="00887330" w:rsidP="00887330">
      <w:pPr>
        <w:pStyle w:val="Definition"/>
      </w:pPr>
      <w:r w:rsidRPr="00583E1A">
        <w:rPr>
          <w:b/>
          <w:i/>
        </w:rPr>
        <w:lastRenderedPageBreak/>
        <w:t>predominantly</w:t>
      </w:r>
      <w:r w:rsidR="00583E1A">
        <w:rPr>
          <w:b/>
          <w:i/>
        </w:rPr>
        <w:noBreakHyphen/>
      </w:r>
      <w:r w:rsidRPr="00583E1A">
        <w:rPr>
          <w:b/>
          <w:i/>
        </w:rPr>
        <w:t>services indirect value shift</w:t>
      </w:r>
      <w:r w:rsidRPr="00583E1A">
        <w:t xml:space="preserve"> has the meaning given by section</w:t>
      </w:r>
      <w:r w:rsidR="00583E1A">
        <w:t> </w:t>
      </w:r>
      <w:r w:rsidRPr="00583E1A">
        <w:t>727</w:t>
      </w:r>
      <w:r w:rsidR="00583E1A">
        <w:noBreakHyphen/>
      </w:r>
      <w:r w:rsidRPr="00583E1A">
        <w:t>725.</w:t>
      </w:r>
    </w:p>
    <w:p w:rsidR="00887330" w:rsidRPr="00583E1A" w:rsidRDefault="00887330" w:rsidP="00887330">
      <w:pPr>
        <w:pStyle w:val="Definition"/>
      </w:pPr>
      <w:r w:rsidRPr="00583E1A">
        <w:rPr>
          <w:b/>
          <w:i/>
        </w:rPr>
        <w:t>pre</w:t>
      </w:r>
      <w:r w:rsidR="00583E1A">
        <w:rPr>
          <w:b/>
          <w:i/>
        </w:rPr>
        <w:noBreakHyphen/>
      </w:r>
      <w:r w:rsidRPr="00583E1A">
        <w:rPr>
          <w:b/>
          <w:i/>
        </w:rPr>
        <w:t>existing audited book value</w:t>
      </w:r>
      <w:r w:rsidRPr="00583E1A">
        <w:t xml:space="preserve"> of a </w:t>
      </w:r>
      <w:r w:rsidR="00583E1A" w:rsidRPr="00583E1A">
        <w:rPr>
          <w:position w:val="6"/>
          <w:sz w:val="16"/>
        </w:rPr>
        <w:t>*</w:t>
      </w:r>
      <w:r w:rsidRPr="00583E1A">
        <w:t>depreciating asset has the meaning given by section</w:t>
      </w:r>
      <w:r w:rsidR="00583E1A">
        <w:t> </w:t>
      </w:r>
      <w:r w:rsidRPr="00583E1A">
        <w:t>58</w:t>
      </w:r>
      <w:r w:rsidR="00583E1A">
        <w:noBreakHyphen/>
      </w:r>
      <w:r w:rsidRPr="00583E1A">
        <w:t>85.</w:t>
      </w:r>
    </w:p>
    <w:p w:rsidR="000702BE" w:rsidRPr="00583E1A" w:rsidRDefault="000702BE" w:rsidP="000702BE">
      <w:pPr>
        <w:pStyle w:val="Definition"/>
      </w:pPr>
      <w:r w:rsidRPr="00583E1A">
        <w:rPr>
          <w:b/>
          <w:i/>
        </w:rPr>
        <w:t>pre</w:t>
      </w:r>
      <w:r w:rsidR="00583E1A">
        <w:rPr>
          <w:b/>
          <w:i/>
        </w:rPr>
        <w:noBreakHyphen/>
      </w:r>
      <w:r w:rsidRPr="00583E1A">
        <w:rPr>
          <w:b/>
          <w:i/>
        </w:rPr>
        <w:t>July 83 segment</w:t>
      </w:r>
      <w:r w:rsidRPr="00583E1A">
        <w:t xml:space="preserve">, of an </w:t>
      </w:r>
      <w:r w:rsidR="00583E1A" w:rsidRPr="00583E1A">
        <w:rPr>
          <w:position w:val="6"/>
          <w:sz w:val="16"/>
        </w:rPr>
        <w:t>*</w:t>
      </w:r>
      <w:r w:rsidRPr="00583E1A">
        <w:t>employment termination payment, has the meaning given by section</w:t>
      </w:r>
      <w:r w:rsidR="00583E1A">
        <w:t> </w:t>
      </w:r>
      <w:r w:rsidRPr="00583E1A">
        <w:t>82</w:t>
      </w:r>
      <w:r w:rsidR="00583E1A">
        <w:noBreakHyphen/>
      </w:r>
      <w:r w:rsidRPr="00583E1A">
        <w:t>155.</w:t>
      </w:r>
    </w:p>
    <w:p w:rsidR="00A716B2" w:rsidRPr="005E19E0" w:rsidRDefault="00A716B2" w:rsidP="00A716B2">
      <w:pPr>
        <w:pStyle w:val="Definition"/>
        <w:rPr>
          <w:b/>
          <w:i/>
        </w:rPr>
      </w:pPr>
      <w:r w:rsidRPr="005E19E0">
        <w:rPr>
          <w:b/>
          <w:i/>
        </w:rPr>
        <w:t>pre</w:t>
      </w:r>
      <w:r w:rsidRPr="005E19E0">
        <w:rPr>
          <w:b/>
          <w:i/>
        </w:rPr>
        <w:noBreakHyphen/>
        <w:t xml:space="preserve">mining expenditure </w:t>
      </w:r>
      <w:r w:rsidRPr="005E19E0">
        <w:t>has the meaning given by section 300</w:t>
      </w:r>
      <w:r w:rsidRPr="005E19E0">
        <w:noBreakHyphen/>
        <w:t xml:space="preserve">1 of the </w:t>
      </w:r>
      <w:r w:rsidRPr="005E19E0">
        <w:rPr>
          <w:i/>
        </w:rPr>
        <w:t>Minerals Resource Rent Tax Act 201</w:t>
      </w:r>
      <w:r>
        <w:rPr>
          <w:i/>
        </w:rPr>
        <w:t>2</w:t>
      </w:r>
      <w:r w:rsidRPr="005E19E0">
        <w:t>.</w:t>
      </w:r>
    </w:p>
    <w:p w:rsidR="00A716B2" w:rsidRPr="005E19E0" w:rsidRDefault="00A716B2" w:rsidP="00A716B2">
      <w:pPr>
        <w:pStyle w:val="Definition"/>
      </w:pPr>
      <w:r w:rsidRPr="005E19E0">
        <w:rPr>
          <w:b/>
          <w:i/>
        </w:rPr>
        <w:t>pre</w:t>
      </w:r>
      <w:r w:rsidRPr="005E19E0">
        <w:rPr>
          <w:b/>
          <w:i/>
        </w:rPr>
        <w:noBreakHyphen/>
        <w:t xml:space="preserve">mining project interest </w:t>
      </w:r>
      <w:r w:rsidRPr="005E19E0">
        <w:t>has the meaning given by section 300</w:t>
      </w:r>
      <w:r w:rsidRPr="005E19E0">
        <w:noBreakHyphen/>
        <w:t xml:space="preserve">1 of the </w:t>
      </w:r>
      <w:r w:rsidRPr="005E19E0">
        <w:rPr>
          <w:i/>
        </w:rPr>
        <w:t>Minerals Resource Rent Tax Act 201</w:t>
      </w:r>
      <w:r>
        <w:rPr>
          <w:i/>
        </w:rPr>
        <w:t>2</w:t>
      </w:r>
      <w:r w:rsidRPr="005E19E0">
        <w:t>.</w:t>
      </w:r>
    </w:p>
    <w:p w:rsidR="00A716B2" w:rsidRPr="005E19E0" w:rsidRDefault="00A716B2" w:rsidP="00A716B2">
      <w:pPr>
        <w:pStyle w:val="Definition"/>
      </w:pPr>
      <w:r w:rsidRPr="005E19E0">
        <w:rPr>
          <w:b/>
          <w:i/>
        </w:rPr>
        <w:t>pre</w:t>
      </w:r>
      <w:r w:rsidRPr="005E19E0">
        <w:rPr>
          <w:b/>
          <w:i/>
        </w:rPr>
        <w:noBreakHyphen/>
        <w:t xml:space="preserve">mining revenue </w:t>
      </w:r>
      <w:r w:rsidRPr="005E19E0">
        <w:t>has the meaning given by section 300</w:t>
      </w:r>
      <w:r w:rsidRPr="005E19E0">
        <w:noBreakHyphen/>
        <w:t xml:space="preserve">1 of the </w:t>
      </w:r>
      <w:r w:rsidRPr="005E19E0">
        <w:rPr>
          <w:i/>
        </w:rPr>
        <w:t>Minerals Resource Rent Tax Act 201</w:t>
      </w:r>
      <w:r>
        <w:rPr>
          <w:i/>
        </w:rPr>
        <w:t>2</w:t>
      </w:r>
      <w:r w:rsidRPr="005E19E0">
        <w:t>.</w:t>
      </w:r>
    </w:p>
    <w:p w:rsidR="00FE4F61" w:rsidRPr="00583E1A" w:rsidRDefault="00FE4F61" w:rsidP="00FE4F61">
      <w:pPr>
        <w:pStyle w:val="Definition"/>
      </w:pPr>
      <w:r w:rsidRPr="00583E1A">
        <w:rPr>
          <w:b/>
          <w:i/>
        </w:rPr>
        <w:t>pre</w:t>
      </w:r>
      <w:r w:rsidR="00583E1A">
        <w:rPr>
          <w:b/>
          <w:i/>
        </w:rPr>
        <w:noBreakHyphen/>
      </w:r>
      <w:r w:rsidRPr="00583E1A">
        <w:rPr>
          <w:b/>
          <w:i/>
        </w:rPr>
        <w:t>owned</w:t>
      </w:r>
      <w:r w:rsidRPr="00583E1A">
        <w:t xml:space="preserve"> has the meaning given by subsection 118</w:t>
      </w:r>
      <w:r w:rsidR="00583E1A">
        <w:noBreakHyphen/>
      </w:r>
      <w:r w:rsidRPr="00583E1A">
        <w:t>428(2).</w:t>
      </w:r>
    </w:p>
    <w:p w:rsidR="00887330" w:rsidRPr="00583E1A" w:rsidRDefault="00887330" w:rsidP="00887330">
      <w:pPr>
        <w:pStyle w:val="Definition"/>
      </w:pPr>
      <w:r w:rsidRPr="00583E1A">
        <w:rPr>
          <w:b/>
          <w:i/>
        </w:rPr>
        <w:t>pre</w:t>
      </w:r>
      <w:r w:rsidR="00583E1A">
        <w:rPr>
          <w:b/>
          <w:i/>
        </w:rPr>
        <w:noBreakHyphen/>
      </w:r>
      <w:r w:rsidRPr="00583E1A">
        <w:rPr>
          <w:b/>
          <w:i/>
        </w:rPr>
        <w:t>school course</w:t>
      </w:r>
      <w:r w:rsidRPr="00583E1A">
        <w:t xml:space="preserve"> has the same meaning as in the </w:t>
      </w:r>
      <w:r w:rsidR="00E25218" w:rsidRPr="004C09C4">
        <w:rPr>
          <w:position w:val="6"/>
          <w:sz w:val="16"/>
        </w:rPr>
        <w:t>*</w:t>
      </w:r>
      <w:r w:rsidR="00E25218" w:rsidRPr="004C09C4">
        <w:t>GST Act</w:t>
      </w:r>
      <w:r w:rsidRPr="00583E1A">
        <w:t>.</w:t>
      </w:r>
    </w:p>
    <w:p w:rsidR="00887330" w:rsidRPr="00583E1A" w:rsidRDefault="00887330" w:rsidP="00887330">
      <w:pPr>
        <w:pStyle w:val="Definition"/>
      </w:pPr>
      <w:r w:rsidRPr="00583E1A">
        <w:rPr>
          <w:b/>
          <w:i/>
        </w:rPr>
        <w:t>prescribed dual resident</w:t>
      </w:r>
      <w:r w:rsidRPr="00583E1A">
        <w:t xml:space="preserve"> has the meaning given by subsection 6(1) of the </w:t>
      </w:r>
      <w:r w:rsidRPr="00583E1A">
        <w:rPr>
          <w:i/>
        </w:rPr>
        <w:t>Income Tax Assessment Act 1936</w:t>
      </w:r>
      <w:r w:rsidRPr="00583E1A">
        <w:t>.</w:t>
      </w:r>
    </w:p>
    <w:p w:rsidR="00141284" w:rsidRPr="00583E1A" w:rsidRDefault="00141284" w:rsidP="00141284">
      <w:pPr>
        <w:pStyle w:val="Definition"/>
      </w:pPr>
      <w:r w:rsidRPr="00583E1A">
        <w:rPr>
          <w:b/>
          <w:i/>
        </w:rPr>
        <w:t>prescribed excluded STB</w:t>
      </w:r>
      <w:r w:rsidRPr="00583E1A">
        <w:t xml:space="preserve"> means an </w:t>
      </w:r>
      <w:r w:rsidR="00583E1A" w:rsidRPr="00583E1A">
        <w:rPr>
          <w:position w:val="6"/>
          <w:sz w:val="16"/>
        </w:rPr>
        <w:t>*</w:t>
      </w:r>
      <w:r w:rsidRPr="00583E1A">
        <w:t>excluded STB that is prescribed by the regulations for the purposes of Division</w:t>
      </w:r>
      <w:r w:rsidR="00583E1A">
        <w:t> </w:t>
      </w:r>
      <w:r w:rsidRPr="00583E1A">
        <w:t>1AB of Part</w:t>
      </w:r>
      <w:r w:rsidR="00583E1A">
        <w:t> </w:t>
      </w:r>
      <w:r w:rsidRPr="00583E1A">
        <w:t xml:space="preserve">III of the </w:t>
      </w:r>
      <w:r w:rsidRPr="00583E1A">
        <w:rPr>
          <w:i/>
        </w:rPr>
        <w:t>Income Tax Assessment Act 1936</w:t>
      </w:r>
      <w:r w:rsidRPr="00583E1A">
        <w:t>.</w:t>
      </w:r>
    </w:p>
    <w:p w:rsidR="00E74CE2" w:rsidRPr="00E811AF" w:rsidRDefault="00E74CE2" w:rsidP="00E74CE2">
      <w:pPr>
        <w:pStyle w:val="Definition"/>
      </w:pPr>
      <w:r w:rsidRPr="00E811AF">
        <w:rPr>
          <w:b/>
          <w:i/>
        </w:rPr>
        <w:t>prescribed international unit</w:t>
      </w:r>
      <w:r w:rsidRPr="00E811AF">
        <w:t xml:space="preserve"> has the same meaning as in the </w:t>
      </w:r>
      <w:r w:rsidRPr="00E811AF">
        <w:rPr>
          <w:i/>
        </w:rPr>
        <w:t>Australian National Registry of Emissions Units Act 2011</w:t>
      </w:r>
      <w:r w:rsidRPr="00E811AF">
        <w:t>.</w:t>
      </w:r>
    </w:p>
    <w:p w:rsidR="0083647A" w:rsidRPr="00583E1A" w:rsidRDefault="0083647A" w:rsidP="0083647A">
      <w:pPr>
        <w:pStyle w:val="Definition"/>
      </w:pPr>
      <w:r w:rsidRPr="00583E1A">
        <w:rPr>
          <w:b/>
          <w:i/>
        </w:rPr>
        <w:t>present value</w:t>
      </w:r>
      <w:r w:rsidRPr="00583E1A">
        <w:t xml:space="preserve"> of a </w:t>
      </w:r>
      <w:r w:rsidR="00583E1A" w:rsidRPr="00583E1A">
        <w:rPr>
          <w:position w:val="6"/>
          <w:sz w:val="16"/>
        </w:rPr>
        <w:t>*</w:t>
      </w:r>
      <w:r w:rsidRPr="00583E1A">
        <w:t>financial benefit has a meaning affected by section</w:t>
      </w:r>
      <w:r w:rsidR="00583E1A">
        <w:t> </w:t>
      </w:r>
      <w:r w:rsidRPr="00583E1A">
        <w:t>250</w:t>
      </w:r>
      <w:r w:rsidR="00583E1A">
        <w:noBreakHyphen/>
      </w:r>
      <w:r w:rsidRPr="00583E1A">
        <w:t>100.</w:t>
      </w:r>
    </w:p>
    <w:p w:rsidR="000702BE" w:rsidRPr="00583E1A" w:rsidRDefault="000702BE" w:rsidP="000702BE">
      <w:pPr>
        <w:pStyle w:val="Definition"/>
      </w:pPr>
      <w:r w:rsidRPr="00583E1A">
        <w:rPr>
          <w:b/>
          <w:i/>
        </w:rPr>
        <w:t xml:space="preserve">preservation age </w:t>
      </w:r>
      <w:r w:rsidRPr="00583E1A">
        <w:t>has the meaning given by Part</w:t>
      </w:r>
      <w:r w:rsidR="00583E1A">
        <w:t> </w:t>
      </w:r>
      <w:r w:rsidRPr="00583E1A">
        <w:t>6 of the Superannuation Industry (Supervision) Regulations 1994.</w:t>
      </w:r>
    </w:p>
    <w:p w:rsidR="00887330" w:rsidRPr="00583E1A" w:rsidRDefault="00887330" w:rsidP="00887330">
      <w:pPr>
        <w:pStyle w:val="Definition"/>
      </w:pPr>
      <w:r w:rsidRPr="00583E1A">
        <w:rPr>
          <w:b/>
          <w:i/>
        </w:rPr>
        <w:t>pre</w:t>
      </w:r>
      <w:r w:rsidR="00583E1A">
        <w:rPr>
          <w:b/>
          <w:i/>
        </w:rPr>
        <w:noBreakHyphen/>
      </w:r>
      <w:r w:rsidRPr="00583E1A">
        <w:rPr>
          <w:b/>
          <w:i/>
        </w:rPr>
        <w:t>shift gain</w:t>
      </w:r>
      <w:r w:rsidRPr="00583E1A">
        <w:t xml:space="preserve"> has the meaning given by section</w:t>
      </w:r>
      <w:r w:rsidR="00583E1A">
        <w:t> </w:t>
      </w:r>
      <w:r w:rsidRPr="00583E1A">
        <w:t>725</w:t>
      </w:r>
      <w:r w:rsidR="00583E1A">
        <w:noBreakHyphen/>
      </w:r>
      <w:r w:rsidRPr="00583E1A">
        <w:t>210.</w:t>
      </w:r>
    </w:p>
    <w:p w:rsidR="00887330" w:rsidRPr="00583E1A" w:rsidRDefault="00887330" w:rsidP="00887330">
      <w:pPr>
        <w:pStyle w:val="Definition"/>
      </w:pPr>
      <w:r w:rsidRPr="00583E1A">
        <w:rPr>
          <w:b/>
          <w:i/>
        </w:rPr>
        <w:t>pre</w:t>
      </w:r>
      <w:r w:rsidR="00583E1A">
        <w:rPr>
          <w:b/>
          <w:i/>
        </w:rPr>
        <w:noBreakHyphen/>
      </w:r>
      <w:r w:rsidRPr="00583E1A">
        <w:rPr>
          <w:b/>
          <w:i/>
        </w:rPr>
        <w:t>shift loss</w:t>
      </w:r>
      <w:r w:rsidRPr="00583E1A">
        <w:t xml:space="preserve"> has the meaning given by section</w:t>
      </w:r>
      <w:r w:rsidR="00583E1A">
        <w:t> </w:t>
      </w:r>
      <w:r w:rsidRPr="00583E1A">
        <w:t>725</w:t>
      </w:r>
      <w:r w:rsidR="00583E1A">
        <w:noBreakHyphen/>
      </w:r>
      <w:r w:rsidRPr="00583E1A">
        <w:t>210.</w:t>
      </w:r>
    </w:p>
    <w:p w:rsidR="00887330" w:rsidRPr="00583E1A" w:rsidRDefault="00887330" w:rsidP="00887330">
      <w:pPr>
        <w:pStyle w:val="Definition"/>
      </w:pPr>
      <w:r w:rsidRPr="00583E1A">
        <w:rPr>
          <w:b/>
          <w:i/>
        </w:rPr>
        <w:t>presumed indirect value shift</w:t>
      </w:r>
      <w:r w:rsidRPr="00583E1A">
        <w:t xml:space="preserve"> has the meaning given by section</w:t>
      </w:r>
      <w:r w:rsidR="00583E1A">
        <w:t> </w:t>
      </w:r>
      <w:r w:rsidRPr="00583E1A">
        <w:t>727</w:t>
      </w:r>
      <w:r w:rsidR="00583E1A">
        <w:noBreakHyphen/>
      </w:r>
      <w:r w:rsidRPr="00583E1A">
        <w:t>855.</w:t>
      </w:r>
    </w:p>
    <w:p w:rsidR="00887330" w:rsidRPr="00583E1A" w:rsidRDefault="00887330" w:rsidP="00887330">
      <w:pPr>
        <w:pStyle w:val="Definition"/>
      </w:pPr>
      <w:r w:rsidRPr="00583E1A">
        <w:rPr>
          <w:b/>
          <w:i/>
        </w:rPr>
        <w:lastRenderedPageBreak/>
        <w:t>previous recoupment law</w:t>
      </w:r>
      <w:r w:rsidRPr="00583E1A">
        <w:t xml:space="preserve"> has the meaning given by section</w:t>
      </w:r>
      <w:r w:rsidR="00583E1A">
        <w:t> </w:t>
      </w:r>
      <w:r w:rsidRPr="00583E1A">
        <w:t>20</w:t>
      </w:r>
      <w:r w:rsidR="00583E1A">
        <w:noBreakHyphen/>
      </w:r>
      <w:r w:rsidRPr="00583E1A">
        <w:t>55.</w:t>
      </w:r>
    </w:p>
    <w:p w:rsidR="00887330" w:rsidRPr="00583E1A" w:rsidRDefault="00887330" w:rsidP="00887330">
      <w:pPr>
        <w:pStyle w:val="Definition"/>
      </w:pPr>
      <w:r w:rsidRPr="00583E1A">
        <w:rPr>
          <w:b/>
          <w:i/>
        </w:rPr>
        <w:t xml:space="preserve">primary course </w:t>
      </w:r>
      <w:r w:rsidRPr="00583E1A">
        <w:t xml:space="preserve">has the same meaning as in the </w:t>
      </w:r>
      <w:r w:rsidR="00E25218" w:rsidRPr="004C09C4">
        <w:rPr>
          <w:position w:val="6"/>
          <w:sz w:val="16"/>
        </w:rPr>
        <w:t>*</w:t>
      </w:r>
      <w:r w:rsidR="00E25218" w:rsidRPr="004C09C4">
        <w:t>GST Act</w:t>
      </w:r>
      <w:r w:rsidRPr="00583E1A">
        <w:t>.</w:t>
      </w:r>
    </w:p>
    <w:p w:rsidR="00887330" w:rsidRPr="00583E1A" w:rsidRDefault="00887330" w:rsidP="00887330">
      <w:pPr>
        <w:pStyle w:val="Definition"/>
      </w:pPr>
      <w:r w:rsidRPr="00583E1A">
        <w:rPr>
          <w:b/>
          <w:i/>
        </w:rPr>
        <w:t>primary entitlement</w:t>
      </w:r>
      <w:r w:rsidRPr="00583E1A">
        <w:t xml:space="preserve"> to a </w:t>
      </w:r>
      <w:r w:rsidR="00583E1A" w:rsidRPr="00583E1A">
        <w:rPr>
          <w:position w:val="6"/>
          <w:sz w:val="16"/>
        </w:rPr>
        <w:t>*</w:t>
      </w:r>
      <w:r w:rsidRPr="00583E1A">
        <w:t>tax offset under Subdivision</w:t>
      </w:r>
      <w:r w:rsidR="00583E1A">
        <w:t> </w:t>
      </w:r>
      <w:r w:rsidRPr="00583E1A">
        <w:t>61</w:t>
      </w:r>
      <w:r w:rsidR="00583E1A">
        <w:noBreakHyphen/>
      </w:r>
      <w:r w:rsidRPr="00583E1A">
        <w:t>I has the meaning given by subsections 61</w:t>
      </w:r>
      <w:r w:rsidR="00583E1A">
        <w:noBreakHyphen/>
      </w:r>
      <w:r w:rsidRPr="00583E1A">
        <w:t>355(2) and 61</w:t>
      </w:r>
      <w:r w:rsidR="00583E1A">
        <w:noBreakHyphen/>
      </w:r>
      <w:r w:rsidRPr="00583E1A">
        <w:t>440(2).</w:t>
      </w:r>
    </w:p>
    <w:p w:rsidR="00887330" w:rsidRPr="00583E1A" w:rsidRDefault="00887330" w:rsidP="00887330">
      <w:pPr>
        <w:pStyle w:val="Definition"/>
      </w:pPr>
      <w:r w:rsidRPr="00583E1A">
        <w:rPr>
          <w:b/>
          <w:i/>
        </w:rPr>
        <w:t>primary equity interest</w:t>
      </w:r>
      <w:r w:rsidRPr="00583E1A">
        <w:t xml:space="preserve"> in an entity has the meaning given by section</w:t>
      </w:r>
      <w:r w:rsidR="00583E1A">
        <w:t> </w:t>
      </w:r>
      <w:r w:rsidRPr="00583E1A">
        <w:t>727</w:t>
      </w:r>
      <w:r w:rsidR="00583E1A">
        <w:noBreakHyphen/>
      </w:r>
      <w:r w:rsidRPr="00583E1A">
        <w:t>520.</w:t>
      </w:r>
    </w:p>
    <w:p w:rsidR="00887330" w:rsidRPr="00583E1A" w:rsidRDefault="00887330" w:rsidP="00887330">
      <w:pPr>
        <w:pStyle w:val="Definition"/>
      </w:pPr>
      <w:r w:rsidRPr="00583E1A">
        <w:rPr>
          <w:b/>
          <w:i/>
        </w:rPr>
        <w:t>primary interest</w:t>
      </w:r>
      <w:r w:rsidRPr="00583E1A">
        <w:t xml:space="preserve"> in an entity has the meaning given by section</w:t>
      </w:r>
      <w:r w:rsidR="00583E1A">
        <w:t> </w:t>
      </w:r>
      <w:r w:rsidRPr="00583E1A">
        <w:t>727</w:t>
      </w:r>
      <w:r w:rsidR="00583E1A">
        <w:noBreakHyphen/>
      </w:r>
      <w:r w:rsidRPr="00583E1A">
        <w:t>520.</w:t>
      </w:r>
    </w:p>
    <w:p w:rsidR="00887330" w:rsidRPr="00583E1A" w:rsidRDefault="00887330" w:rsidP="00887330">
      <w:pPr>
        <w:pStyle w:val="Definition"/>
      </w:pPr>
      <w:r w:rsidRPr="00583E1A">
        <w:rPr>
          <w:b/>
          <w:i/>
        </w:rPr>
        <w:t>primary loan interest</w:t>
      </w:r>
      <w:r w:rsidRPr="00583E1A">
        <w:t xml:space="preserve"> in an entity has the meaning given by section</w:t>
      </w:r>
      <w:r w:rsidR="00583E1A">
        <w:t> </w:t>
      </w:r>
      <w:r w:rsidRPr="00583E1A">
        <w:t>727</w:t>
      </w:r>
      <w:r w:rsidR="00583E1A">
        <w:noBreakHyphen/>
      </w:r>
      <w:r w:rsidRPr="00583E1A">
        <w:t>520.</w:t>
      </w:r>
    </w:p>
    <w:p w:rsidR="00887330" w:rsidRPr="00583E1A" w:rsidRDefault="00887330" w:rsidP="00887330">
      <w:pPr>
        <w:pStyle w:val="Definition"/>
      </w:pPr>
      <w:r w:rsidRPr="00583E1A">
        <w:rPr>
          <w:b/>
          <w:i/>
        </w:rPr>
        <w:t>primary production business</w:t>
      </w:r>
      <w:r w:rsidRPr="00583E1A">
        <w:t xml:space="preserve">: you carry on a </w:t>
      </w:r>
      <w:r w:rsidRPr="00583E1A">
        <w:rPr>
          <w:b/>
          <w:i/>
        </w:rPr>
        <w:t>primary production business</w:t>
      </w:r>
      <w:r w:rsidRPr="00583E1A">
        <w:t xml:space="preserve"> if you carry on a </w:t>
      </w:r>
      <w:r w:rsidR="00583E1A" w:rsidRPr="00583E1A">
        <w:rPr>
          <w:position w:val="6"/>
          <w:sz w:val="16"/>
        </w:rPr>
        <w:t>*</w:t>
      </w:r>
      <w:r w:rsidRPr="00583E1A">
        <w:t>business of:</w:t>
      </w:r>
    </w:p>
    <w:p w:rsidR="00887330" w:rsidRPr="00583E1A" w:rsidRDefault="00887330" w:rsidP="00887330">
      <w:pPr>
        <w:pStyle w:val="paragraph"/>
      </w:pPr>
      <w:r w:rsidRPr="00583E1A">
        <w:tab/>
        <w:t>(a)</w:t>
      </w:r>
      <w:r w:rsidRPr="00583E1A">
        <w:tab/>
        <w:t>cultivating or propagating plants, fungi or their products or parts (including seeds, spores, bulbs and similar things), in any physical environment; or</w:t>
      </w:r>
    </w:p>
    <w:p w:rsidR="00887330" w:rsidRPr="00583E1A" w:rsidRDefault="00887330" w:rsidP="00887330">
      <w:pPr>
        <w:pStyle w:val="paragraph"/>
      </w:pPr>
      <w:r w:rsidRPr="00583E1A">
        <w:tab/>
        <w:t>(b)</w:t>
      </w:r>
      <w:r w:rsidRPr="00583E1A">
        <w:tab/>
        <w:t>maintaining animals for the purpose of selling them or their bodily produce (including natural increase); or</w:t>
      </w:r>
    </w:p>
    <w:p w:rsidR="00887330" w:rsidRPr="00583E1A" w:rsidRDefault="00887330" w:rsidP="00887330">
      <w:pPr>
        <w:pStyle w:val="paragraph"/>
      </w:pPr>
      <w:r w:rsidRPr="00583E1A">
        <w:tab/>
        <w:t>(c)</w:t>
      </w:r>
      <w:r w:rsidRPr="00583E1A">
        <w:tab/>
        <w:t>manufacturing dairy produce from raw material that you produced; or</w:t>
      </w:r>
    </w:p>
    <w:p w:rsidR="00887330" w:rsidRPr="00583E1A" w:rsidRDefault="00887330" w:rsidP="00887330">
      <w:pPr>
        <w:pStyle w:val="paragraph"/>
      </w:pPr>
      <w:r w:rsidRPr="00583E1A">
        <w:tab/>
        <w:t>(d)</w:t>
      </w:r>
      <w:r w:rsidRPr="00583E1A">
        <w:tab/>
        <w:t>conducting operations relating directly to taking or catching fish, turtles, dugong, bêche</w:t>
      </w:r>
      <w:r w:rsidR="00583E1A">
        <w:noBreakHyphen/>
      </w:r>
      <w:r w:rsidRPr="00583E1A">
        <w:t>de</w:t>
      </w:r>
      <w:r w:rsidR="00583E1A">
        <w:noBreakHyphen/>
      </w:r>
      <w:r w:rsidRPr="00583E1A">
        <w:t>mer, crustaceans or aquatic molluscs; or</w:t>
      </w:r>
    </w:p>
    <w:p w:rsidR="00887330" w:rsidRPr="00583E1A" w:rsidRDefault="00887330" w:rsidP="00887330">
      <w:pPr>
        <w:pStyle w:val="paragraph"/>
      </w:pPr>
      <w:r w:rsidRPr="00583E1A">
        <w:tab/>
        <w:t>(e)</w:t>
      </w:r>
      <w:r w:rsidRPr="00583E1A">
        <w:tab/>
        <w:t>conducting operations relating directly to taking or culturing pearls or pearl shell; or</w:t>
      </w:r>
    </w:p>
    <w:p w:rsidR="00887330" w:rsidRPr="00583E1A" w:rsidRDefault="00887330" w:rsidP="00887330">
      <w:pPr>
        <w:pStyle w:val="paragraph"/>
      </w:pPr>
      <w:r w:rsidRPr="00583E1A">
        <w:tab/>
        <w:t>(f)</w:t>
      </w:r>
      <w:r w:rsidRPr="00583E1A">
        <w:tab/>
        <w:t>planting or tending trees in a plantation or forest that are intended to be felled; or</w:t>
      </w:r>
    </w:p>
    <w:p w:rsidR="00887330" w:rsidRPr="00583E1A" w:rsidRDefault="00887330" w:rsidP="00887330">
      <w:pPr>
        <w:pStyle w:val="paragraph"/>
      </w:pPr>
      <w:r w:rsidRPr="00583E1A">
        <w:tab/>
        <w:t>(g)</w:t>
      </w:r>
      <w:r w:rsidRPr="00583E1A">
        <w:tab/>
        <w:t>felling trees in a plantation or forest; or</w:t>
      </w:r>
    </w:p>
    <w:p w:rsidR="00887330" w:rsidRPr="00583E1A" w:rsidRDefault="00887330" w:rsidP="00887330">
      <w:pPr>
        <w:pStyle w:val="paragraph"/>
        <w:keepNext/>
      </w:pPr>
      <w:r w:rsidRPr="00583E1A">
        <w:tab/>
        <w:t>(h)</w:t>
      </w:r>
      <w:r w:rsidRPr="00583E1A">
        <w:tab/>
        <w:t>transporting trees, or parts of trees, that you felled in a plantation or forest to the place:</w:t>
      </w:r>
    </w:p>
    <w:p w:rsidR="00887330" w:rsidRPr="00583E1A" w:rsidRDefault="00887330" w:rsidP="00887330">
      <w:pPr>
        <w:pStyle w:val="paragraphsub"/>
        <w:keepNext/>
      </w:pPr>
      <w:r w:rsidRPr="00583E1A">
        <w:tab/>
        <w:t>(i)</w:t>
      </w:r>
      <w:r w:rsidRPr="00583E1A">
        <w:tab/>
        <w:t>where they are first to be milled or processed; or</w:t>
      </w:r>
    </w:p>
    <w:p w:rsidR="00887330" w:rsidRPr="00583E1A" w:rsidRDefault="00887330" w:rsidP="00887330">
      <w:pPr>
        <w:pStyle w:val="paragraphsub"/>
      </w:pPr>
      <w:r w:rsidRPr="00583E1A">
        <w:tab/>
        <w:t>(ii)</w:t>
      </w:r>
      <w:r w:rsidRPr="00583E1A">
        <w:tab/>
        <w:t>from which they are to be transported to the place where they are first to be milled or processed.</w:t>
      </w:r>
    </w:p>
    <w:p w:rsidR="00887330" w:rsidRPr="00583E1A" w:rsidRDefault="00887330" w:rsidP="00887330">
      <w:pPr>
        <w:pStyle w:val="Definition"/>
      </w:pPr>
      <w:r w:rsidRPr="00583E1A">
        <w:rPr>
          <w:b/>
          <w:i/>
        </w:rPr>
        <w:lastRenderedPageBreak/>
        <w:t>primary production deductions</w:t>
      </w:r>
      <w:r w:rsidRPr="00583E1A">
        <w:t xml:space="preserve"> has the meaning given by subsection 392</w:t>
      </w:r>
      <w:r w:rsidR="00583E1A">
        <w:noBreakHyphen/>
      </w:r>
      <w:r w:rsidRPr="00583E1A">
        <w:t>80(3).</w:t>
      </w:r>
    </w:p>
    <w:p w:rsidR="00887330" w:rsidRPr="00583E1A" w:rsidRDefault="00887330" w:rsidP="00887330">
      <w:pPr>
        <w:pStyle w:val="Definition"/>
      </w:pPr>
      <w:r w:rsidRPr="00583E1A">
        <w:rPr>
          <w:b/>
          <w:i/>
        </w:rPr>
        <w:t>prime cost method</w:t>
      </w:r>
      <w:r w:rsidRPr="00583E1A">
        <w:t xml:space="preserve"> has the meaning given by section</w:t>
      </w:r>
      <w:r w:rsidR="00583E1A">
        <w:t> </w:t>
      </w:r>
      <w:r w:rsidRPr="00583E1A">
        <w:t>40</w:t>
      </w:r>
      <w:r w:rsidR="00583E1A">
        <w:noBreakHyphen/>
      </w:r>
      <w:r w:rsidRPr="00583E1A">
        <w:t>75.</w:t>
      </w:r>
    </w:p>
    <w:p w:rsidR="00DA3555" w:rsidRPr="00592B5B" w:rsidRDefault="00DA3555" w:rsidP="00DA3555">
      <w:pPr>
        <w:pStyle w:val="Definition"/>
      </w:pPr>
      <w:r w:rsidRPr="00592B5B">
        <w:rPr>
          <w:b/>
          <w:i/>
        </w:rPr>
        <w:t>principal beneficiary</w:t>
      </w:r>
      <w:r w:rsidRPr="00592B5B">
        <w:t xml:space="preserve"> of a </w:t>
      </w:r>
      <w:r w:rsidRPr="00592B5B">
        <w:rPr>
          <w:position w:val="6"/>
          <w:sz w:val="16"/>
        </w:rPr>
        <w:t>*</w:t>
      </w:r>
      <w:r w:rsidRPr="00592B5B">
        <w:t>special disability trust has the meaning given by:</w:t>
      </w:r>
    </w:p>
    <w:p w:rsidR="00DA3555" w:rsidRPr="00592B5B" w:rsidRDefault="00DA3555" w:rsidP="00DA3555">
      <w:pPr>
        <w:pStyle w:val="paragraph"/>
      </w:pPr>
      <w:r w:rsidRPr="00592B5B">
        <w:tab/>
        <w:t>(a)</w:t>
      </w:r>
      <w:r w:rsidRPr="00592B5B">
        <w:tab/>
        <w:t xml:space="preserve">for a special disability trust within the meaning of the </w:t>
      </w:r>
      <w:r w:rsidRPr="00592B5B">
        <w:rPr>
          <w:i/>
        </w:rPr>
        <w:t>Social Security Act 1991</w:t>
      </w:r>
      <w:r w:rsidRPr="00592B5B">
        <w:t>—subsection 1209M(1) of that Act; or</w:t>
      </w:r>
    </w:p>
    <w:p w:rsidR="00DA3555" w:rsidRPr="00592B5B" w:rsidRDefault="00DA3555" w:rsidP="00DA3555">
      <w:pPr>
        <w:pStyle w:val="paragraph"/>
      </w:pPr>
      <w:r w:rsidRPr="00592B5B">
        <w:tab/>
        <w:t>(b)</w:t>
      </w:r>
      <w:r w:rsidRPr="00592B5B">
        <w:tab/>
        <w:t xml:space="preserve">for a special disability trust within the meaning of the </w:t>
      </w:r>
      <w:r w:rsidRPr="00592B5B">
        <w:rPr>
          <w:i/>
        </w:rPr>
        <w:t>Veterans’ Entitlements Act 1986</w:t>
      </w:r>
      <w:r w:rsidRPr="00592B5B">
        <w:t>—subsection 52ZZZWA(1) of that Act.</w:t>
      </w:r>
    </w:p>
    <w:p w:rsidR="00887330" w:rsidRPr="00583E1A" w:rsidRDefault="00887330" w:rsidP="002A5CD2">
      <w:pPr>
        <w:pStyle w:val="Definition"/>
        <w:keepNext/>
        <w:keepLines/>
      </w:pPr>
      <w:r w:rsidRPr="00583E1A">
        <w:rPr>
          <w:b/>
          <w:i/>
        </w:rPr>
        <w:t>principal class of shares</w:t>
      </w:r>
      <w:r w:rsidRPr="00583E1A">
        <w:t xml:space="preserve"> in a company means:</w:t>
      </w:r>
    </w:p>
    <w:p w:rsidR="00887330" w:rsidRPr="00583E1A" w:rsidRDefault="00887330" w:rsidP="00887330">
      <w:pPr>
        <w:pStyle w:val="paragraph"/>
      </w:pPr>
      <w:r w:rsidRPr="00583E1A">
        <w:tab/>
        <w:t>(a)</w:t>
      </w:r>
      <w:r w:rsidRPr="00583E1A">
        <w:tab/>
        <w:t>those ordinary or common shares of the company that represent the majority of the voting power and value of the company; or</w:t>
      </w:r>
    </w:p>
    <w:p w:rsidR="00887330" w:rsidRPr="00583E1A" w:rsidRDefault="00887330" w:rsidP="00887330">
      <w:pPr>
        <w:pStyle w:val="paragraph"/>
      </w:pPr>
      <w:r w:rsidRPr="00583E1A">
        <w:tab/>
        <w:t>(b)</w:t>
      </w:r>
      <w:r w:rsidRPr="00583E1A">
        <w:tab/>
        <w:t>if no single class of ordinary or common shares represents the majority of the voting power and value of the company—those classes of ordinary or common shares that represent the majority of the voting power and value of the company.</w:t>
      </w:r>
    </w:p>
    <w:p w:rsidR="00406FCE" w:rsidRPr="00583E1A" w:rsidRDefault="00406FCE" w:rsidP="00406FCE">
      <w:pPr>
        <w:pStyle w:val="Definition"/>
      </w:pPr>
      <w:r w:rsidRPr="00583E1A">
        <w:rPr>
          <w:b/>
          <w:i/>
        </w:rPr>
        <w:t>private ancillary fund</w:t>
      </w:r>
      <w:r w:rsidRPr="00583E1A">
        <w:t xml:space="preserve"> has the meaning given by section</w:t>
      </w:r>
      <w:r w:rsidR="00583E1A">
        <w:t> </w:t>
      </w:r>
      <w:r w:rsidRPr="00583E1A">
        <w:t>426</w:t>
      </w:r>
      <w:r w:rsidR="00583E1A">
        <w:noBreakHyphen/>
      </w:r>
      <w:r w:rsidRPr="00583E1A">
        <w:t>105 in Schedule</w:t>
      </w:r>
      <w:r w:rsidR="00583E1A">
        <w:t> </w:t>
      </w:r>
      <w:r w:rsidRPr="00583E1A">
        <w:t xml:space="preserve">1 to the </w:t>
      </w:r>
      <w:r w:rsidRPr="00583E1A">
        <w:rPr>
          <w:i/>
        </w:rPr>
        <w:t>Taxation Administration Act 1953</w:t>
      </w:r>
      <w:r w:rsidRPr="00583E1A">
        <w:t>.</w:t>
      </w:r>
    </w:p>
    <w:p w:rsidR="00406FCE" w:rsidRPr="00583E1A" w:rsidRDefault="00406FCE" w:rsidP="00406FCE">
      <w:pPr>
        <w:pStyle w:val="Definition"/>
      </w:pPr>
      <w:r w:rsidRPr="00583E1A">
        <w:rPr>
          <w:b/>
          <w:i/>
        </w:rPr>
        <w:t>private ancillary fund guidelines</w:t>
      </w:r>
      <w:r w:rsidRPr="00583E1A">
        <w:t xml:space="preserve"> has the meaning given by section</w:t>
      </w:r>
      <w:r w:rsidR="00583E1A">
        <w:t> </w:t>
      </w:r>
      <w:r w:rsidRPr="00583E1A">
        <w:t>426</w:t>
      </w:r>
      <w:r w:rsidR="00583E1A">
        <w:noBreakHyphen/>
      </w:r>
      <w:r w:rsidRPr="00583E1A">
        <w:t>110 in Schedule</w:t>
      </w:r>
      <w:r w:rsidR="00583E1A">
        <w:t> </w:t>
      </w:r>
      <w:r w:rsidRPr="00583E1A">
        <w:t xml:space="preserve">1 to the </w:t>
      </w:r>
      <w:r w:rsidRPr="00583E1A">
        <w:rPr>
          <w:i/>
        </w:rPr>
        <w:t>Taxation Administration Act 1953</w:t>
      </w:r>
      <w:r w:rsidRPr="00583E1A">
        <w:t>.</w:t>
      </w:r>
    </w:p>
    <w:p w:rsidR="00887330" w:rsidRPr="00583E1A" w:rsidRDefault="00887330" w:rsidP="00887330">
      <w:pPr>
        <w:pStyle w:val="Definition"/>
      </w:pPr>
      <w:r w:rsidRPr="00583E1A">
        <w:rPr>
          <w:b/>
          <w:i/>
        </w:rPr>
        <w:t>private company</w:t>
      </w:r>
      <w:r w:rsidRPr="00583E1A">
        <w:t xml:space="preserve"> means a company that is not a </w:t>
      </w:r>
      <w:r w:rsidR="00583E1A" w:rsidRPr="00583E1A">
        <w:rPr>
          <w:position w:val="6"/>
          <w:sz w:val="16"/>
        </w:rPr>
        <w:t>*</w:t>
      </w:r>
      <w:r w:rsidRPr="00583E1A">
        <w:t>public company for the income year.</w:t>
      </w:r>
    </w:p>
    <w:p w:rsidR="00887330" w:rsidRPr="00583E1A" w:rsidRDefault="00887330" w:rsidP="00887330">
      <w:pPr>
        <w:pStyle w:val="Definition"/>
      </w:pPr>
      <w:r w:rsidRPr="00583E1A">
        <w:rPr>
          <w:b/>
          <w:i/>
        </w:rPr>
        <w:t xml:space="preserve">private ruling </w:t>
      </w:r>
      <w:r w:rsidRPr="00583E1A">
        <w:t>has the meaning given by section</w:t>
      </w:r>
      <w:r w:rsidR="00583E1A">
        <w:t> </w:t>
      </w:r>
      <w:r w:rsidRPr="00583E1A">
        <w:t>359</w:t>
      </w:r>
      <w:r w:rsidR="00583E1A">
        <w:noBreakHyphen/>
      </w:r>
      <w:r w:rsidRPr="00583E1A">
        <w:t>5 in Schedule</w:t>
      </w:r>
      <w:r w:rsidR="00583E1A">
        <w:t> </w:t>
      </w:r>
      <w:r w:rsidRPr="00583E1A">
        <w:t xml:space="preserve">1 to the </w:t>
      </w:r>
      <w:r w:rsidRPr="00583E1A">
        <w:rPr>
          <w:i/>
        </w:rPr>
        <w:t>Taxation Administration Act 1953</w:t>
      </w:r>
      <w:r w:rsidRPr="00583E1A">
        <w:t>.</w:t>
      </w:r>
    </w:p>
    <w:p w:rsidR="00887330" w:rsidRPr="00583E1A" w:rsidRDefault="00887330" w:rsidP="00887330">
      <w:pPr>
        <w:pStyle w:val="Definition"/>
      </w:pPr>
      <w:r w:rsidRPr="00583E1A">
        <w:rPr>
          <w:b/>
          <w:i/>
        </w:rPr>
        <w:t>private use</w:t>
      </w:r>
      <w:r w:rsidRPr="00583E1A">
        <w:t xml:space="preserve">, of a </w:t>
      </w:r>
      <w:r w:rsidR="00583E1A" w:rsidRPr="00583E1A">
        <w:rPr>
          <w:position w:val="6"/>
          <w:sz w:val="16"/>
        </w:rPr>
        <w:t>*</w:t>
      </w:r>
      <w:r w:rsidRPr="00583E1A">
        <w:t xml:space="preserve">car, has the meaning given by subsection 136(1) of the </w:t>
      </w:r>
      <w:r w:rsidRPr="00583E1A">
        <w:rPr>
          <w:i/>
        </w:rPr>
        <w:t>Fringe Benefits Tax Assessment Act 1986</w:t>
      </w:r>
      <w:r w:rsidRPr="00583E1A">
        <w:t>.</w:t>
      </w:r>
    </w:p>
    <w:p w:rsidR="00887330" w:rsidRPr="00583E1A" w:rsidRDefault="00887330" w:rsidP="00887330">
      <w:pPr>
        <w:pStyle w:val="Definition"/>
      </w:pPr>
      <w:r w:rsidRPr="00583E1A">
        <w:rPr>
          <w:b/>
          <w:i/>
        </w:rPr>
        <w:t>privatised asset</w:t>
      </w:r>
      <w:r w:rsidRPr="00583E1A">
        <w:t xml:space="preserve"> has the meaning given by section</w:t>
      </w:r>
      <w:r w:rsidR="00583E1A">
        <w:t> </w:t>
      </w:r>
      <w:r w:rsidRPr="00583E1A">
        <w:t>58</w:t>
      </w:r>
      <w:r w:rsidR="00583E1A">
        <w:noBreakHyphen/>
      </w:r>
      <w:r w:rsidRPr="00583E1A">
        <w:t>5.</w:t>
      </w:r>
    </w:p>
    <w:p w:rsidR="00BB2F41" w:rsidRPr="00B758CF" w:rsidRDefault="00BB2F41" w:rsidP="00BB2F41">
      <w:pPr>
        <w:pStyle w:val="Definition"/>
      </w:pPr>
      <w:r w:rsidRPr="00B758CF">
        <w:rPr>
          <w:b/>
          <w:i/>
        </w:rPr>
        <w:t>proceeds of crime order</w:t>
      </w:r>
      <w:r w:rsidRPr="00B758CF">
        <w:t xml:space="preserve"> has the meaning given by section 355</w:t>
      </w:r>
      <w:r w:rsidRPr="00B758CF">
        <w:noBreakHyphen/>
        <w:t xml:space="preserve">70 in Schedule 1 to the </w:t>
      </w:r>
      <w:r w:rsidRPr="00B758CF">
        <w:rPr>
          <w:i/>
        </w:rPr>
        <w:t>Taxation Administration Act 1953</w:t>
      </w:r>
      <w:r w:rsidRPr="00B758CF">
        <w:t>.</w:t>
      </w:r>
    </w:p>
    <w:p w:rsidR="00887330" w:rsidRPr="00583E1A" w:rsidRDefault="00887330" w:rsidP="00887330">
      <w:pPr>
        <w:pStyle w:val="Definition"/>
      </w:pPr>
      <w:r w:rsidRPr="00583E1A">
        <w:rPr>
          <w:b/>
          <w:i/>
        </w:rPr>
        <w:lastRenderedPageBreak/>
        <w:t>proceeds of the disposal or death</w:t>
      </w:r>
      <w:r w:rsidRPr="00583E1A">
        <w:t xml:space="preserve"> has the meaning given by subsection 385</w:t>
      </w:r>
      <w:r w:rsidR="00583E1A">
        <w:noBreakHyphen/>
      </w:r>
      <w:r w:rsidRPr="00583E1A">
        <w:t>100(2).</w:t>
      </w:r>
    </w:p>
    <w:p w:rsidR="00887330" w:rsidRPr="00583E1A" w:rsidRDefault="00887330" w:rsidP="00887330">
      <w:pPr>
        <w:pStyle w:val="Definition"/>
      </w:pPr>
      <w:r w:rsidRPr="00583E1A">
        <w:rPr>
          <w:b/>
          <w:i/>
        </w:rPr>
        <w:t>proceeds of the sale of 2 wool clips</w:t>
      </w:r>
      <w:r w:rsidRPr="00583E1A">
        <w:t xml:space="preserve"> has the meaning given by subsection 385</w:t>
      </w:r>
      <w:r w:rsidR="00583E1A">
        <w:noBreakHyphen/>
      </w:r>
      <w:r w:rsidRPr="00583E1A">
        <w:t>135(3).</w:t>
      </w:r>
    </w:p>
    <w:p w:rsidR="00887330" w:rsidRPr="00583E1A" w:rsidRDefault="00887330" w:rsidP="00887330">
      <w:pPr>
        <w:pStyle w:val="Definition"/>
      </w:pPr>
      <w:r w:rsidRPr="00583E1A">
        <w:rPr>
          <w:b/>
          <w:i/>
        </w:rPr>
        <w:t>processed minerals</w:t>
      </w:r>
      <w:r w:rsidRPr="00583E1A">
        <w:t xml:space="preserve"> has the meaning given by section</w:t>
      </w:r>
      <w:r w:rsidR="00583E1A">
        <w:t> </w:t>
      </w:r>
      <w:r w:rsidRPr="00583E1A">
        <w:t>40</w:t>
      </w:r>
      <w:r w:rsidR="00583E1A">
        <w:noBreakHyphen/>
      </w:r>
      <w:r w:rsidRPr="00583E1A">
        <w:t>875.</w:t>
      </w:r>
    </w:p>
    <w:p w:rsidR="00887330" w:rsidRPr="00583E1A" w:rsidRDefault="00887330" w:rsidP="00887330">
      <w:pPr>
        <w:pStyle w:val="Definition"/>
      </w:pPr>
      <w:r w:rsidRPr="00583E1A">
        <w:rPr>
          <w:b/>
          <w:i/>
        </w:rPr>
        <w:t>production associate</w:t>
      </w:r>
      <w:r w:rsidRPr="00583E1A">
        <w:t xml:space="preserve"> has the meaning given by subsection 405</w:t>
      </w:r>
      <w:r w:rsidR="00583E1A">
        <w:noBreakHyphen/>
      </w:r>
      <w:r w:rsidRPr="00583E1A">
        <w:t>25(4).</w:t>
      </w:r>
    </w:p>
    <w:p w:rsidR="00887330" w:rsidRPr="00583E1A" w:rsidRDefault="00887330" w:rsidP="00887330">
      <w:pPr>
        <w:pStyle w:val="Definition"/>
      </w:pPr>
      <w:r w:rsidRPr="00583E1A">
        <w:rPr>
          <w:b/>
          <w:i/>
        </w:rPr>
        <w:t>production expenditure</w:t>
      </w:r>
      <w:r w:rsidRPr="00583E1A">
        <w:t xml:space="preserve"> has the meaning given by </w:t>
      </w:r>
      <w:r w:rsidR="008839CD" w:rsidRPr="00583E1A">
        <w:t>Subdivision</w:t>
      </w:r>
      <w:r w:rsidR="00583E1A">
        <w:t> </w:t>
      </w:r>
      <w:r w:rsidR="008839CD" w:rsidRPr="00583E1A">
        <w:t>376</w:t>
      </w:r>
      <w:r w:rsidR="00583E1A">
        <w:noBreakHyphen/>
      </w:r>
      <w:r w:rsidR="008839CD" w:rsidRPr="00583E1A">
        <w:t>C</w:t>
      </w:r>
      <w:r w:rsidRPr="00583E1A">
        <w:t>.</w:t>
      </w:r>
    </w:p>
    <w:p w:rsidR="00887330" w:rsidRPr="00583E1A" w:rsidRDefault="00887330" w:rsidP="00887330">
      <w:pPr>
        <w:pStyle w:val="Definition"/>
      </w:pPr>
      <w:r w:rsidRPr="00583E1A">
        <w:rPr>
          <w:b/>
          <w:i/>
        </w:rPr>
        <w:t>product ruling</w:t>
      </w:r>
      <w:r w:rsidRPr="00583E1A">
        <w:t xml:space="preserve"> means a public ruling under the </w:t>
      </w:r>
      <w:r w:rsidRPr="00583E1A">
        <w:rPr>
          <w:i/>
        </w:rPr>
        <w:t>Taxation Administration Act 1953</w:t>
      </w:r>
      <w:r w:rsidRPr="00583E1A">
        <w:t xml:space="preserve"> that states that it is a product ruling.</w:t>
      </w:r>
    </w:p>
    <w:p w:rsidR="00887330" w:rsidRPr="00583E1A" w:rsidRDefault="00887330" w:rsidP="00887330">
      <w:pPr>
        <w:pStyle w:val="Definition"/>
      </w:pPr>
      <w:r w:rsidRPr="00583E1A">
        <w:rPr>
          <w:b/>
          <w:i/>
        </w:rPr>
        <w:t>professional arts business</w:t>
      </w:r>
      <w:r w:rsidRPr="00583E1A">
        <w:t xml:space="preserve"> has the meaning given by section</w:t>
      </w:r>
      <w:r w:rsidR="00583E1A">
        <w:t> </w:t>
      </w:r>
      <w:r w:rsidRPr="00583E1A">
        <w:t>35</w:t>
      </w:r>
      <w:r w:rsidR="00583E1A">
        <w:noBreakHyphen/>
      </w:r>
      <w:r w:rsidRPr="00583E1A">
        <w:t>10.</w:t>
      </w:r>
    </w:p>
    <w:p w:rsidR="00887330" w:rsidRPr="00583E1A" w:rsidRDefault="00887330" w:rsidP="00887330">
      <w:pPr>
        <w:pStyle w:val="Definition"/>
      </w:pPr>
      <w:r w:rsidRPr="00583E1A">
        <w:rPr>
          <w:b/>
          <w:i/>
        </w:rPr>
        <w:t>professional year 1</w:t>
      </w:r>
      <w:r w:rsidRPr="00583E1A">
        <w:t xml:space="preserve"> has the meaning given by subsection 405</w:t>
      </w:r>
      <w:r w:rsidR="00583E1A">
        <w:noBreakHyphen/>
      </w:r>
      <w:r w:rsidRPr="00583E1A">
        <w:t>50(3).</w:t>
      </w:r>
    </w:p>
    <w:p w:rsidR="00887330" w:rsidRPr="00583E1A" w:rsidRDefault="00887330" w:rsidP="00887330">
      <w:pPr>
        <w:pStyle w:val="Definition"/>
      </w:pPr>
      <w:r w:rsidRPr="00583E1A">
        <w:rPr>
          <w:b/>
          <w:i/>
        </w:rPr>
        <w:t>professional year 2</w:t>
      </w:r>
      <w:r w:rsidRPr="00583E1A">
        <w:t xml:space="preserve"> has the meaning given by subsection 405</w:t>
      </w:r>
      <w:r w:rsidR="00583E1A">
        <w:noBreakHyphen/>
      </w:r>
      <w:r w:rsidRPr="00583E1A">
        <w:t>50(4).</w:t>
      </w:r>
    </w:p>
    <w:p w:rsidR="00887330" w:rsidRPr="00583E1A" w:rsidRDefault="00887330" w:rsidP="00887330">
      <w:pPr>
        <w:pStyle w:val="Definition"/>
      </w:pPr>
      <w:r w:rsidRPr="00583E1A">
        <w:rPr>
          <w:b/>
          <w:i/>
        </w:rPr>
        <w:t>professional year 3</w:t>
      </w:r>
      <w:r w:rsidRPr="00583E1A">
        <w:t xml:space="preserve"> has the meaning given by subsection 405</w:t>
      </w:r>
      <w:r w:rsidR="00583E1A">
        <w:noBreakHyphen/>
      </w:r>
      <w:r w:rsidRPr="00583E1A">
        <w:t>50(4).</w:t>
      </w:r>
    </w:p>
    <w:p w:rsidR="00887330" w:rsidRPr="00583E1A" w:rsidRDefault="00887330" w:rsidP="00887330">
      <w:pPr>
        <w:pStyle w:val="Definition"/>
      </w:pPr>
      <w:r w:rsidRPr="00583E1A">
        <w:rPr>
          <w:b/>
          <w:i/>
        </w:rPr>
        <w:t xml:space="preserve">professional year 4 </w:t>
      </w:r>
      <w:r w:rsidRPr="00583E1A">
        <w:t>has the meaning given by subsection 405</w:t>
      </w:r>
      <w:r w:rsidR="00583E1A">
        <w:noBreakHyphen/>
      </w:r>
      <w:r w:rsidRPr="00583E1A">
        <w:t>50(4).</w:t>
      </w:r>
    </w:p>
    <w:p w:rsidR="00887330" w:rsidRPr="00583E1A" w:rsidRDefault="00887330" w:rsidP="00887330">
      <w:pPr>
        <w:pStyle w:val="Definition"/>
      </w:pPr>
      <w:r w:rsidRPr="00583E1A">
        <w:rPr>
          <w:b/>
          <w:i/>
        </w:rPr>
        <w:t>profit</w:t>
      </w:r>
      <w:r w:rsidRPr="00583E1A">
        <w:t xml:space="preserve"> on the disposal of a leased </w:t>
      </w:r>
      <w:r w:rsidR="00583E1A" w:rsidRPr="00583E1A">
        <w:rPr>
          <w:position w:val="6"/>
          <w:sz w:val="16"/>
        </w:rPr>
        <w:t>*</w:t>
      </w:r>
      <w:r w:rsidRPr="00583E1A">
        <w:t>car has the meaning given by section</w:t>
      </w:r>
      <w:r w:rsidR="00583E1A">
        <w:t> </w:t>
      </w:r>
      <w:r w:rsidRPr="00583E1A">
        <w:t>20</w:t>
      </w:r>
      <w:r w:rsidR="00583E1A">
        <w:noBreakHyphen/>
      </w:r>
      <w:r w:rsidRPr="00583E1A">
        <w:t>115.</w:t>
      </w:r>
    </w:p>
    <w:p w:rsidR="00887330" w:rsidRPr="00583E1A" w:rsidRDefault="00887330" w:rsidP="00887330">
      <w:pPr>
        <w:pStyle w:val="Definition"/>
      </w:pPr>
      <w:r w:rsidRPr="00583E1A">
        <w:rPr>
          <w:b/>
          <w:i/>
        </w:rPr>
        <w:t>project amount</w:t>
      </w:r>
      <w:r w:rsidRPr="00583E1A">
        <w:t xml:space="preserve"> has the meaning given by section</w:t>
      </w:r>
      <w:r w:rsidR="00583E1A">
        <w:t> </w:t>
      </w:r>
      <w:r w:rsidRPr="00583E1A">
        <w:t>40</w:t>
      </w:r>
      <w:r w:rsidR="00583E1A">
        <w:noBreakHyphen/>
      </w:r>
      <w:r w:rsidRPr="00583E1A">
        <w:t>840.</w:t>
      </w:r>
    </w:p>
    <w:p w:rsidR="00887330" w:rsidRPr="00583E1A" w:rsidRDefault="00887330" w:rsidP="00887330">
      <w:pPr>
        <w:pStyle w:val="Definition"/>
      </w:pPr>
      <w:r w:rsidRPr="00583E1A">
        <w:rPr>
          <w:b/>
          <w:i/>
        </w:rPr>
        <w:t>project life</w:t>
      </w:r>
      <w:r w:rsidRPr="00583E1A">
        <w:t xml:space="preserve"> has the meaning given by section</w:t>
      </w:r>
      <w:r w:rsidR="00583E1A">
        <w:t> </w:t>
      </w:r>
      <w:r w:rsidRPr="00583E1A">
        <w:t>40</w:t>
      </w:r>
      <w:r w:rsidR="00583E1A">
        <w:noBreakHyphen/>
      </w:r>
      <w:r w:rsidRPr="00583E1A">
        <w:t>845.</w:t>
      </w:r>
    </w:p>
    <w:p w:rsidR="00BB2F41" w:rsidRPr="00B758CF" w:rsidRDefault="00BB2F41" w:rsidP="00BB2F41">
      <w:pPr>
        <w:pStyle w:val="Definition"/>
      </w:pPr>
      <w:r w:rsidRPr="00B758CF">
        <w:rPr>
          <w:b/>
          <w:i/>
        </w:rPr>
        <w:t>Project Wickenby officer</w:t>
      </w:r>
      <w:r w:rsidRPr="00B758CF">
        <w:t xml:space="preserve"> has the meaning given by section 355</w:t>
      </w:r>
      <w:r w:rsidRPr="00B758CF">
        <w:noBreakHyphen/>
        <w:t xml:space="preserve">70 in Schedule 1 to the </w:t>
      </w:r>
      <w:r w:rsidRPr="00B758CF">
        <w:rPr>
          <w:i/>
        </w:rPr>
        <w:t>Taxation Administration Act 1953</w:t>
      </w:r>
      <w:r w:rsidRPr="00B758CF">
        <w:t>.</w:t>
      </w:r>
    </w:p>
    <w:p w:rsidR="00BB2F41" w:rsidRPr="00B758CF" w:rsidRDefault="00BB2F41" w:rsidP="00BB2F41">
      <w:pPr>
        <w:pStyle w:val="Definition"/>
      </w:pPr>
      <w:r w:rsidRPr="00B758CF">
        <w:rPr>
          <w:b/>
          <w:i/>
        </w:rPr>
        <w:t>Project Wickenby taskforce agency</w:t>
      </w:r>
      <w:r w:rsidRPr="00B758CF">
        <w:t xml:space="preserve"> has the meaning given by section 355</w:t>
      </w:r>
      <w:r w:rsidRPr="00B758CF">
        <w:noBreakHyphen/>
        <w:t xml:space="preserve">70 in Schedule 1 to the </w:t>
      </w:r>
      <w:r w:rsidRPr="00B758CF">
        <w:rPr>
          <w:i/>
        </w:rPr>
        <w:t>Taxation Administration Act 1953</w:t>
      </w:r>
      <w:r w:rsidRPr="00B758CF">
        <w:t>.</w:t>
      </w:r>
    </w:p>
    <w:p w:rsidR="00BB2F41" w:rsidRPr="00B758CF" w:rsidRDefault="00BB2F41" w:rsidP="00BB2F41">
      <w:pPr>
        <w:pStyle w:val="Definition"/>
      </w:pPr>
      <w:r w:rsidRPr="00B758CF">
        <w:rPr>
          <w:b/>
          <w:i/>
        </w:rPr>
        <w:lastRenderedPageBreak/>
        <w:t>Project Wickenby taskforce supporting agency</w:t>
      </w:r>
      <w:r w:rsidRPr="00B758CF">
        <w:t xml:space="preserve"> has the meaning given by section 355</w:t>
      </w:r>
      <w:r w:rsidRPr="00B758CF">
        <w:noBreakHyphen/>
        <w:t xml:space="preserve">70 in Schedule 1 to the </w:t>
      </w:r>
      <w:r w:rsidRPr="00B758CF">
        <w:rPr>
          <w:i/>
        </w:rPr>
        <w:t>Taxation Administration Act 1953</w:t>
      </w:r>
      <w:r w:rsidRPr="00B758CF">
        <w:t>.</w:t>
      </w:r>
    </w:p>
    <w:p w:rsidR="00887330" w:rsidRPr="00583E1A" w:rsidRDefault="00887330" w:rsidP="00887330">
      <w:pPr>
        <w:pStyle w:val="Definition"/>
      </w:pPr>
      <w:r w:rsidRPr="00583E1A">
        <w:rPr>
          <w:b/>
          <w:i/>
        </w:rPr>
        <w:t>promoter</w:t>
      </w:r>
      <w:r w:rsidRPr="00583E1A">
        <w:t xml:space="preserve"> has the meaning given by section</w:t>
      </w:r>
      <w:r w:rsidR="00583E1A">
        <w:t> </w:t>
      </w:r>
      <w:r w:rsidRPr="00583E1A">
        <w:t>290</w:t>
      </w:r>
      <w:r w:rsidR="00583E1A">
        <w:noBreakHyphen/>
      </w:r>
      <w:r w:rsidRPr="00583E1A">
        <w:t>60 in Schedule</w:t>
      </w:r>
      <w:r w:rsidR="00583E1A">
        <w:t> </w:t>
      </w:r>
      <w:r w:rsidRPr="00583E1A">
        <w:t xml:space="preserve">1 to the </w:t>
      </w:r>
      <w:r w:rsidRPr="00583E1A">
        <w:rPr>
          <w:i/>
        </w:rPr>
        <w:t>Taxation Administration Act 1953</w:t>
      </w:r>
      <w:r w:rsidRPr="00583E1A">
        <w:t>.</w:t>
      </w:r>
    </w:p>
    <w:p w:rsidR="00887330" w:rsidRPr="00583E1A" w:rsidRDefault="00887330" w:rsidP="00887330">
      <w:pPr>
        <w:pStyle w:val="Definition"/>
      </w:pPr>
      <w:r w:rsidRPr="00583E1A">
        <w:rPr>
          <w:b/>
          <w:i/>
        </w:rPr>
        <w:t>prospecting entitlement</w:t>
      </w:r>
      <w:r w:rsidRPr="00583E1A">
        <w:t xml:space="preserve"> has the meaning given by subsection 124</w:t>
      </w:r>
      <w:r w:rsidR="00583E1A">
        <w:noBreakHyphen/>
      </w:r>
      <w:r w:rsidRPr="00583E1A">
        <w:t>710(1).</w:t>
      </w:r>
    </w:p>
    <w:p w:rsidR="00887330" w:rsidRPr="00583E1A" w:rsidRDefault="00887330" w:rsidP="00887330">
      <w:pPr>
        <w:pStyle w:val="Definition"/>
      </w:pPr>
      <w:r w:rsidRPr="00583E1A">
        <w:rPr>
          <w:b/>
          <w:i/>
        </w:rPr>
        <w:t>prospective gaining entity</w:t>
      </w:r>
      <w:r w:rsidRPr="00583E1A">
        <w:t xml:space="preserve"> for a </w:t>
      </w:r>
      <w:r w:rsidR="00583E1A" w:rsidRPr="00583E1A">
        <w:rPr>
          <w:position w:val="6"/>
          <w:sz w:val="16"/>
        </w:rPr>
        <w:t>*</w:t>
      </w:r>
      <w:r w:rsidRPr="00583E1A">
        <w:t>scheme has the meaning given by section</w:t>
      </w:r>
      <w:r w:rsidR="00583E1A">
        <w:t> </w:t>
      </w:r>
      <w:r w:rsidRPr="00583E1A">
        <w:t>727</w:t>
      </w:r>
      <w:r w:rsidR="00583E1A">
        <w:noBreakHyphen/>
      </w:r>
      <w:r w:rsidRPr="00583E1A">
        <w:t>860.</w:t>
      </w:r>
    </w:p>
    <w:p w:rsidR="00887330" w:rsidRPr="00583E1A" w:rsidRDefault="00887330" w:rsidP="00887330">
      <w:pPr>
        <w:pStyle w:val="Definition"/>
      </w:pPr>
      <w:r w:rsidRPr="00583E1A">
        <w:rPr>
          <w:b/>
          <w:i/>
        </w:rPr>
        <w:t>prospective losing entity</w:t>
      </w:r>
      <w:r w:rsidRPr="00583E1A">
        <w:t xml:space="preserve"> for a </w:t>
      </w:r>
      <w:r w:rsidR="00583E1A" w:rsidRPr="00583E1A">
        <w:rPr>
          <w:position w:val="6"/>
          <w:sz w:val="16"/>
        </w:rPr>
        <w:t>*</w:t>
      </w:r>
      <w:r w:rsidRPr="00583E1A">
        <w:t>scheme has the meaning given by section</w:t>
      </w:r>
      <w:r w:rsidR="00583E1A">
        <w:t> </w:t>
      </w:r>
      <w:r w:rsidRPr="00583E1A">
        <w:t>727</w:t>
      </w:r>
      <w:r w:rsidR="00583E1A">
        <w:noBreakHyphen/>
      </w:r>
      <w:r w:rsidRPr="00583E1A">
        <w:t>850.</w:t>
      </w:r>
    </w:p>
    <w:p w:rsidR="00BB2F41" w:rsidRPr="00B758CF" w:rsidRDefault="00BB2F41" w:rsidP="00BB2F41">
      <w:pPr>
        <w:pStyle w:val="Definition"/>
      </w:pPr>
      <w:r w:rsidRPr="00B758CF">
        <w:rPr>
          <w:b/>
          <w:i/>
        </w:rPr>
        <w:t>protected information</w:t>
      </w:r>
      <w:r w:rsidRPr="00B758CF">
        <w:t xml:space="preserve"> has the meaning given by section 355</w:t>
      </w:r>
      <w:r w:rsidRPr="00B758CF">
        <w:noBreakHyphen/>
        <w:t xml:space="preserve">30 in Schedule 1 to the </w:t>
      </w:r>
      <w:r w:rsidRPr="00B758CF">
        <w:rPr>
          <w:i/>
        </w:rPr>
        <w:t>Taxation Administration Act 1953</w:t>
      </w:r>
      <w:r w:rsidRPr="00B758CF">
        <w:t>.</w:t>
      </w:r>
    </w:p>
    <w:p w:rsidR="00887330" w:rsidRPr="00583E1A" w:rsidRDefault="00887330" w:rsidP="00887330">
      <w:pPr>
        <w:pStyle w:val="Definition"/>
      </w:pPr>
      <w:r w:rsidRPr="00583E1A">
        <w:rPr>
          <w:b/>
          <w:i/>
        </w:rPr>
        <w:t>protective clothing</w:t>
      </w:r>
      <w:r w:rsidRPr="00583E1A">
        <w:t xml:space="preserve"> has the meaning given by subsection 34</w:t>
      </w:r>
      <w:r w:rsidR="00583E1A">
        <w:noBreakHyphen/>
      </w:r>
      <w:r w:rsidRPr="00583E1A">
        <w:t>20(2).</w:t>
      </w:r>
    </w:p>
    <w:p w:rsidR="00887330" w:rsidRPr="00583E1A" w:rsidRDefault="00887330" w:rsidP="00887330">
      <w:pPr>
        <w:pStyle w:val="Definition"/>
      </w:pPr>
      <w:r w:rsidRPr="00583E1A">
        <w:rPr>
          <w:b/>
          <w:i/>
        </w:rPr>
        <w:t xml:space="preserve">provide </w:t>
      </w:r>
      <w:r w:rsidRPr="00583E1A">
        <w:t xml:space="preserve">a </w:t>
      </w:r>
      <w:r w:rsidR="00583E1A" w:rsidRPr="00583E1A">
        <w:rPr>
          <w:position w:val="6"/>
          <w:sz w:val="16"/>
        </w:rPr>
        <w:t>*</w:t>
      </w:r>
      <w:r w:rsidRPr="00583E1A">
        <w:t>fringe benefit or economic benefit includes allow, confer, give, grant or perform the benefit.</w:t>
      </w:r>
    </w:p>
    <w:p w:rsidR="00887330" w:rsidRPr="00583E1A" w:rsidRDefault="00887330" w:rsidP="00887330">
      <w:pPr>
        <w:pStyle w:val="notetext"/>
      </w:pPr>
      <w:r w:rsidRPr="00583E1A">
        <w:t>Note:</w:t>
      </w:r>
      <w:r w:rsidRPr="00583E1A">
        <w:tab/>
        <w:t xml:space="preserve">This is based on the definition of </w:t>
      </w:r>
      <w:r w:rsidRPr="00583E1A">
        <w:rPr>
          <w:b/>
          <w:i/>
        </w:rPr>
        <w:t>provide</w:t>
      </w:r>
      <w:r w:rsidRPr="00583E1A">
        <w:t xml:space="preserve"> in subsection 136(1) of the </w:t>
      </w:r>
      <w:r w:rsidRPr="00583E1A">
        <w:rPr>
          <w:i/>
        </w:rPr>
        <w:t>Fringe Benefits Tax Assessment Act 1986</w:t>
      </w:r>
      <w:r w:rsidRPr="00583E1A">
        <w:t>.</w:t>
      </w:r>
    </w:p>
    <w:p w:rsidR="000202A6" w:rsidRPr="00583E1A" w:rsidRDefault="000202A6" w:rsidP="000202A6">
      <w:pPr>
        <w:pStyle w:val="Definition"/>
      </w:pPr>
      <w:r w:rsidRPr="00583E1A">
        <w:rPr>
          <w:b/>
          <w:i/>
        </w:rPr>
        <w:t>provided in relation to a tax preferred use of an asset</w:t>
      </w:r>
      <w:r w:rsidRPr="00583E1A">
        <w:t xml:space="preserve">, in relation to a </w:t>
      </w:r>
      <w:r w:rsidR="00583E1A" w:rsidRPr="00583E1A">
        <w:rPr>
          <w:position w:val="6"/>
          <w:sz w:val="16"/>
        </w:rPr>
        <w:t>*</w:t>
      </w:r>
      <w:r w:rsidRPr="00583E1A">
        <w:t>financial benefit, has a meaning affected by section</w:t>
      </w:r>
      <w:r w:rsidR="00583E1A">
        <w:t> </w:t>
      </w:r>
      <w:r w:rsidRPr="00583E1A">
        <w:t>250</w:t>
      </w:r>
      <w:r w:rsidR="00583E1A">
        <w:noBreakHyphen/>
      </w:r>
      <w:r w:rsidRPr="00583E1A">
        <w:t>85.</w:t>
      </w:r>
    </w:p>
    <w:p w:rsidR="00887330" w:rsidRPr="00583E1A" w:rsidRDefault="00887330" w:rsidP="00887330">
      <w:pPr>
        <w:pStyle w:val="Definition"/>
      </w:pPr>
      <w:r w:rsidRPr="00583E1A">
        <w:rPr>
          <w:b/>
          <w:i/>
        </w:rPr>
        <w:t>provides medical indemnity cover</w:t>
      </w:r>
      <w:r w:rsidRPr="00583E1A">
        <w:t xml:space="preserve"> has the meaning given by section</w:t>
      </w:r>
      <w:r w:rsidR="00583E1A">
        <w:t> </w:t>
      </w:r>
      <w:r w:rsidRPr="00583E1A">
        <w:t xml:space="preserve">5 of the </w:t>
      </w:r>
      <w:r w:rsidRPr="00583E1A">
        <w:rPr>
          <w:i/>
        </w:rPr>
        <w:t>Medical Indemnity (Prudential Supervision and Product Standards) Act 2003</w:t>
      </w:r>
      <w:r w:rsidRPr="00583E1A">
        <w:t>.</w:t>
      </w:r>
    </w:p>
    <w:p w:rsidR="00887330" w:rsidRPr="00583E1A" w:rsidRDefault="00887330" w:rsidP="00887330">
      <w:pPr>
        <w:pStyle w:val="Definition"/>
      </w:pPr>
      <w:r w:rsidRPr="00583E1A">
        <w:rPr>
          <w:b/>
          <w:i/>
        </w:rPr>
        <w:t>provisional head company</w:t>
      </w:r>
      <w:r w:rsidRPr="00583E1A">
        <w:t xml:space="preserve"> of a </w:t>
      </w:r>
      <w:r w:rsidR="00583E1A" w:rsidRPr="00583E1A">
        <w:rPr>
          <w:position w:val="6"/>
          <w:sz w:val="16"/>
        </w:rPr>
        <w:t>*</w:t>
      </w:r>
      <w:r w:rsidRPr="00583E1A">
        <w:t>MEC group means the company that holds an appointment in force under section</w:t>
      </w:r>
      <w:r w:rsidR="00583E1A">
        <w:t> </w:t>
      </w:r>
      <w:r w:rsidRPr="00583E1A">
        <w:t>719</w:t>
      </w:r>
      <w:r w:rsidR="00583E1A">
        <w:noBreakHyphen/>
      </w:r>
      <w:r w:rsidRPr="00583E1A">
        <w:t>60 as the provisional head company of the group.</w:t>
      </w:r>
    </w:p>
    <w:p w:rsidR="00887330" w:rsidRPr="00583E1A" w:rsidRDefault="00887330" w:rsidP="00887330">
      <w:pPr>
        <w:pStyle w:val="Definition"/>
      </w:pPr>
      <w:r w:rsidRPr="00583E1A">
        <w:rPr>
          <w:b/>
          <w:i/>
        </w:rPr>
        <w:t>prudential capital deduction</w:t>
      </w:r>
      <w:r w:rsidRPr="00583E1A">
        <w:t xml:space="preserve">, for an entity and at a particular time, means the total amounts that must be deducted in calculating the following in accordance with the </w:t>
      </w:r>
      <w:r w:rsidR="00583E1A" w:rsidRPr="00583E1A">
        <w:rPr>
          <w:position w:val="6"/>
          <w:sz w:val="16"/>
        </w:rPr>
        <w:t>*</w:t>
      </w:r>
      <w:r w:rsidRPr="00583E1A">
        <w:t>prudential standards as in force at that time:</w:t>
      </w:r>
    </w:p>
    <w:p w:rsidR="00887330" w:rsidRPr="00583E1A" w:rsidRDefault="00887330" w:rsidP="00887330">
      <w:pPr>
        <w:pStyle w:val="paragraph"/>
      </w:pPr>
      <w:r w:rsidRPr="00583E1A">
        <w:tab/>
        <w:t>(a)</w:t>
      </w:r>
      <w:r w:rsidRPr="00583E1A">
        <w:tab/>
        <w:t>the eligible tier 1 capital of the entity at that time (within the meaning of those standards);</w:t>
      </w:r>
    </w:p>
    <w:p w:rsidR="00887330" w:rsidRPr="00583E1A" w:rsidRDefault="00887330" w:rsidP="00887330">
      <w:pPr>
        <w:pStyle w:val="paragraph"/>
      </w:pPr>
      <w:r w:rsidRPr="00583E1A">
        <w:lastRenderedPageBreak/>
        <w:tab/>
        <w:t>(b)</w:t>
      </w:r>
      <w:r w:rsidRPr="00583E1A">
        <w:tab/>
        <w:t>the sum of the eligible tier 1 and tier 2 capital of the entity at that time (within the meaning of those standards).</w:t>
      </w:r>
    </w:p>
    <w:p w:rsidR="00887330" w:rsidRPr="00583E1A" w:rsidRDefault="00887330" w:rsidP="00887330">
      <w:pPr>
        <w:pStyle w:val="Definition"/>
      </w:pPr>
      <w:r w:rsidRPr="00583E1A">
        <w:rPr>
          <w:b/>
          <w:i/>
        </w:rPr>
        <w:t>prudential standards</w:t>
      </w:r>
      <w:r w:rsidRPr="00583E1A">
        <w:t xml:space="preserve"> means the prudential standards determined by </w:t>
      </w:r>
      <w:r w:rsidR="00583E1A" w:rsidRPr="00583E1A">
        <w:rPr>
          <w:position w:val="6"/>
          <w:sz w:val="16"/>
        </w:rPr>
        <w:t>*</w:t>
      </w:r>
      <w:r w:rsidRPr="00583E1A">
        <w:t>APRA and in force under section</w:t>
      </w:r>
      <w:r w:rsidR="00583E1A">
        <w:t> </w:t>
      </w:r>
      <w:r w:rsidRPr="00583E1A">
        <w:t xml:space="preserve">11AF of the </w:t>
      </w:r>
      <w:r w:rsidRPr="00583E1A">
        <w:rPr>
          <w:i/>
        </w:rPr>
        <w:t>Banking Act 1959</w:t>
      </w:r>
      <w:r w:rsidRPr="00583E1A">
        <w:t>.</w:t>
      </w:r>
    </w:p>
    <w:p w:rsidR="0005240B" w:rsidRPr="00592B5B" w:rsidRDefault="0005240B" w:rsidP="0005240B">
      <w:pPr>
        <w:pStyle w:val="Definition"/>
      </w:pPr>
      <w:r w:rsidRPr="00592B5B">
        <w:rPr>
          <w:b/>
          <w:i/>
        </w:rPr>
        <w:t>public ancillary fund</w:t>
      </w:r>
      <w:r w:rsidRPr="00592B5B">
        <w:t xml:space="preserve"> has the meaning given by section 426</w:t>
      </w:r>
      <w:r w:rsidRPr="00592B5B">
        <w:noBreakHyphen/>
        <w:t xml:space="preserve">102 in Schedule 1 to the </w:t>
      </w:r>
      <w:r w:rsidRPr="00592B5B">
        <w:rPr>
          <w:i/>
        </w:rPr>
        <w:t>Taxation Administration Act 1953</w:t>
      </w:r>
      <w:r w:rsidRPr="00592B5B">
        <w:t>.</w:t>
      </w:r>
    </w:p>
    <w:p w:rsidR="0005240B" w:rsidRPr="00592B5B" w:rsidRDefault="0005240B" w:rsidP="0005240B">
      <w:pPr>
        <w:pStyle w:val="Definition"/>
      </w:pPr>
      <w:r w:rsidRPr="00592B5B">
        <w:rPr>
          <w:b/>
          <w:i/>
        </w:rPr>
        <w:t>public ancillary fund guidelines</w:t>
      </w:r>
      <w:r w:rsidRPr="00592B5B">
        <w:t xml:space="preserve"> has the meaning given by section 426</w:t>
      </w:r>
      <w:r w:rsidRPr="00592B5B">
        <w:noBreakHyphen/>
        <w:t xml:space="preserve">103 in Schedule 1 to the </w:t>
      </w:r>
      <w:r w:rsidRPr="00592B5B">
        <w:rPr>
          <w:i/>
        </w:rPr>
        <w:t>Taxation Administration Act 1953</w:t>
      </w:r>
      <w:r w:rsidRPr="00592B5B">
        <w:t>.</w:t>
      </w:r>
    </w:p>
    <w:p w:rsidR="00887330" w:rsidRPr="00583E1A" w:rsidRDefault="00887330" w:rsidP="00887330">
      <w:pPr>
        <w:pStyle w:val="Definition"/>
      </w:pPr>
      <w:r w:rsidRPr="00583E1A">
        <w:rPr>
          <w:b/>
          <w:i/>
        </w:rPr>
        <w:t>public company</w:t>
      </w:r>
      <w:r w:rsidRPr="00583E1A">
        <w:t xml:space="preserve"> means a company that is a public company (as defined by section</w:t>
      </w:r>
      <w:r w:rsidR="00583E1A">
        <w:t> </w:t>
      </w:r>
      <w:r w:rsidRPr="00583E1A">
        <w:t xml:space="preserve">103A of the </w:t>
      </w:r>
      <w:r w:rsidRPr="00583E1A">
        <w:rPr>
          <w:i/>
        </w:rPr>
        <w:t>Income Tax Assessment Act 1936</w:t>
      </w:r>
      <w:r w:rsidRPr="00583E1A">
        <w:t>) for the income year.</w:t>
      </w:r>
    </w:p>
    <w:p w:rsidR="000C6AB7" w:rsidRPr="00583E1A" w:rsidRDefault="000C6AB7" w:rsidP="000C6AB7">
      <w:pPr>
        <w:pStyle w:val="Definition"/>
      </w:pPr>
      <w:r w:rsidRPr="00583E1A">
        <w:rPr>
          <w:b/>
          <w:i/>
        </w:rPr>
        <w:t>publicly traded unit trust</w:t>
      </w:r>
      <w:r w:rsidRPr="00583E1A">
        <w:t xml:space="preserve"> has the meaning given by section</w:t>
      </w:r>
      <w:r w:rsidR="00583E1A">
        <w:t> </w:t>
      </w:r>
      <w:r w:rsidRPr="00583E1A">
        <w:t>149</w:t>
      </w:r>
      <w:r w:rsidR="00583E1A">
        <w:noBreakHyphen/>
      </w:r>
      <w:r w:rsidRPr="00583E1A">
        <w:t>50.</w:t>
      </w:r>
    </w:p>
    <w:p w:rsidR="00887330" w:rsidRPr="00583E1A" w:rsidRDefault="00887330" w:rsidP="00887330">
      <w:pPr>
        <w:pStyle w:val="Definition"/>
      </w:pPr>
      <w:r w:rsidRPr="00583E1A">
        <w:rPr>
          <w:b/>
          <w:i/>
        </w:rPr>
        <w:t xml:space="preserve">public official </w:t>
      </w:r>
      <w:r w:rsidRPr="00583E1A">
        <w:t xml:space="preserve">means an employee or official of an </w:t>
      </w:r>
      <w:r w:rsidR="00583E1A" w:rsidRPr="00583E1A">
        <w:rPr>
          <w:position w:val="6"/>
          <w:sz w:val="16"/>
        </w:rPr>
        <w:t>*</w:t>
      </w:r>
      <w:r w:rsidRPr="00583E1A">
        <w:t xml:space="preserve">Australian Government Agency or of a </w:t>
      </w:r>
      <w:r w:rsidR="00583E1A" w:rsidRPr="00583E1A">
        <w:rPr>
          <w:position w:val="6"/>
          <w:sz w:val="16"/>
        </w:rPr>
        <w:t>*</w:t>
      </w:r>
      <w:r w:rsidRPr="00583E1A">
        <w:t>local governing body.</w:t>
      </w:r>
    </w:p>
    <w:p w:rsidR="00887330" w:rsidRPr="00583E1A" w:rsidRDefault="00887330" w:rsidP="00887330">
      <w:pPr>
        <w:pStyle w:val="Definition"/>
      </w:pPr>
      <w:r w:rsidRPr="00583E1A">
        <w:rPr>
          <w:b/>
          <w:i/>
        </w:rPr>
        <w:t xml:space="preserve">public ruling </w:t>
      </w:r>
      <w:r w:rsidRPr="00583E1A">
        <w:t>has the meaning given by section</w:t>
      </w:r>
      <w:r w:rsidR="00583E1A">
        <w:t> </w:t>
      </w:r>
      <w:r w:rsidRPr="00583E1A">
        <w:t>358</w:t>
      </w:r>
      <w:r w:rsidR="00583E1A">
        <w:noBreakHyphen/>
      </w:r>
      <w:r w:rsidRPr="00583E1A">
        <w:t>5 in Schedule</w:t>
      </w:r>
      <w:r w:rsidR="00583E1A">
        <w:t> </w:t>
      </w:r>
      <w:r w:rsidRPr="00583E1A">
        <w:t xml:space="preserve">1 to the </w:t>
      </w:r>
      <w:r w:rsidRPr="00583E1A">
        <w:rPr>
          <w:i/>
        </w:rPr>
        <w:t>Taxation Administration Act 1953</w:t>
      </w:r>
      <w:r w:rsidRPr="00583E1A">
        <w:t>.</w:t>
      </w:r>
    </w:p>
    <w:p w:rsidR="000702BE" w:rsidRPr="00583E1A" w:rsidRDefault="000702BE" w:rsidP="000702BE">
      <w:pPr>
        <w:pStyle w:val="Definition"/>
      </w:pPr>
      <w:r w:rsidRPr="00583E1A">
        <w:rPr>
          <w:b/>
          <w:i/>
        </w:rPr>
        <w:t xml:space="preserve">public sector superannuation scheme </w:t>
      </w:r>
      <w:r w:rsidRPr="00583E1A">
        <w:t xml:space="preserve">has the same meaning as in the </w:t>
      </w:r>
      <w:r w:rsidRPr="00583E1A">
        <w:rPr>
          <w:i/>
        </w:rPr>
        <w:t>Superannuation Industry (Supervision) Act 1993</w:t>
      </w:r>
      <w:r w:rsidRPr="00583E1A">
        <w:t>.</w:t>
      </w:r>
    </w:p>
    <w:p w:rsidR="00887330" w:rsidRPr="00583E1A" w:rsidRDefault="00887330" w:rsidP="00887330">
      <w:pPr>
        <w:pStyle w:val="Definition"/>
      </w:pPr>
      <w:r w:rsidRPr="00583E1A">
        <w:rPr>
          <w:b/>
          <w:i/>
        </w:rPr>
        <w:t>public trading trust</w:t>
      </w:r>
      <w:r w:rsidRPr="00583E1A">
        <w:t xml:space="preserve"> has the meaning given by section</w:t>
      </w:r>
      <w:r w:rsidR="00583E1A">
        <w:t> </w:t>
      </w:r>
      <w:r w:rsidRPr="00583E1A">
        <w:t xml:space="preserve">102R of the </w:t>
      </w:r>
      <w:r w:rsidRPr="00583E1A">
        <w:rPr>
          <w:i/>
        </w:rPr>
        <w:t>Income Tax Assessment Act 1936</w:t>
      </w:r>
      <w:r w:rsidRPr="00583E1A">
        <w:t>.</w:t>
      </w:r>
    </w:p>
    <w:p w:rsidR="00887330" w:rsidRPr="00583E1A" w:rsidRDefault="00887330" w:rsidP="00887330">
      <w:pPr>
        <w:pStyle w:val="Definition"/>
      </w:pPr>
      <w:r w:rsidRPr="00583E1A">
        <w:rPr>
          <w:b/>
          <w:i/>
        </w:rPr>
        <w:t>purpose of producing assessable income</w:t>
      </w:r>
      <w:r w:rsidRPr="00583E1A">
        <w:t>: something is done for the</w:t>
      </w:r>
      <w:r w:rsidRPr="00583E1A">
        <w:rPr>
          <w:b/>
          <w:i/>
        </w:rPr>
        <w:t xml:space="preserve"> purpose of producing assessable income </w:t>
      </w:r>
      <w:r w:rsidRPr="00583E1A">
        <w:t>if it is done:</w:t>
      </w:r>
    </w:p>
    <w:p w:rsidR="00887330" w:rsidRPr="00583E1A" w:rsidRDefault="00887330" w:rsidP="00887330">
      <w:pPr>
        <w:pStyle w:val="paragraph"/>
      </w:pPr>
      <w:r w:rsidRPr="00583E1A">
        <w:tab/>
        <w:t>(a)</w:t>
      </w:r>
      <w:r w:rsidRPr="00583E1A">
        <w:tab/>
        <w:t>for the purpose of gaining or producing assessable income; or</w:t>
      </w:r>
    </w:p>
    <w:p w:rsidR="00887330" w:rsidRPr="00583E1A" w:rsidRDefault="00887330" w:rsidP="00887330">
      <w:pPr>
        <w:pStyle w:val="paragraph"/>
      </w:pPr>
      <w:r w:rsidRPr="00583E1A">
        <w:tab/>
        <w:t>(b)</w:t>
      </w:r>
      <w:r w:rsidRPr="00583E1A">
        <w:tab/>
        <w:t xml:space="preserve">in carrying on a </w:t>
      </w:r>
      <w:r w:rsidR="00583E1A" w:rsidRPr="00583E1A">
        <w:rPr>
          <w:position w:val="6"/>
          <w:sz w:val="16"/>
        </w:rPr>
        <w:t>*</w:t>
      </w:r>
      <w:r w:rsidRPr="00583E1A">
        <w:t>business for the purpose of gaining or producing assessable income.</w:t>
      </w:r>
    </w:p>
    <w:p w:rsidR="00F245FE" w:rsidRPr="00583E1A" w:rsidRDefault="00F245FE" w:rsidP="00F245FE">
      <w:pPr>
        <w:pStyle w:val="notetext"/>
      </w:pPr>
      <w:r w:rsidRPr="00583E1A">
        <w:t>Note:</w:t>
      </w:r>
      <w:r w:rsidRPr="00583E1A">
        <w:tab/>
      </w:r>
      <w:r w:rsidR="0017177D" w:rsidRPr="0078104C">
        <w:t>Sections 26</w:t>
      </w:r>
      <w:r w:rsidR="0017177D" w:rsidRPr="0078104C">
        <w:noBreakHyphen/>
        <w:t>19 (about using property in gaining or producing rebatable benefits) and 32</w:t>
      </w:r>
      <w:r w:rsidR="0017177D" w:rsidRPr="0078104C">
        <w:noBreakHyphen/>
        <w:t>15 (about using property in providing entertainment) treat</w:t>
      </w:r>
      <w:r w:rsidRPr="00583E1A">
        <w:t xml:space="preserve"> use of property as not being for the purpose of producing assessable income.</w:t>
      </w:r>
    </w:p>
    <w:p w:rsidR="00BB2F41" w:rsidRPr="00B758CF" w:rsidRDefault="00BB2F41" w:rsidP="00BB2F41">
      <w:pPr>
        <w:pStyle w:val="Definition"/>
      </w:pPr>
      <w:r w:rsidRPr="00B758CF">
        <w:rPr>
          <w:b/>
          <w:i/>
        </w:rPr>
        <w:lastRenderedPageBreak/>
        <w:t>purposes of the Project Wickenby taskforce</w:t>
      </w:r>
      <w:r w:rsidRPr="00B758CF">
        <w:t xml:space="preserve"> has the meaning given by section 355</w:t>
      </w:r>
      <w:r w:rsidRPr="00B758CF">
        <w:noBreakHyphen/>
        <w:t xml:space="preserve">70 in Schedule 1 to the </w:t>
      </w:r>
      <w:r w:rsidRPr="00B758CF">
        <w:rPr>
          <w:i/>
        </w:rPr>
        <w:t>Taxation Administration Act 1953</w:t>
      </w:r>
      <w:r w:rsidRPr="00B758CF">
        <w:t>.</w:t>
      </w:r>
    </w:p>
    <w:p w:rsidR="007E7306" w:rsidRPr="00583E1A" w:rsidRDefault="007E7306" w:rsidP="007E7306">
      <w:pPr>
        <w:pStyle w:val="Definition"/>
      </w:pPr>
      <w:r w:rsidRPr="00583E1A">
        <w:rPr>
          <w:b/>
          <w:i/>
        </w:rPr>
        <w:t>put to a tax preferred use</w:t>
      </w:r>
      <w:r w:rsidRPr="00583E1A">
        <w:t>, in relation to an asset, has the meaning given by section</w:t>
      </w:r>
      <w:r w:rsidR="00583E1A">
        <w:t> </w:t>
      </w:r>
      <w:r w:rsidRPr="00583E1A">
        <w:t>250</w:t>
      </w:r>
      <w:r w:rsidR="00583E1A">
        <w:noBreakHyphen/>
      </w:r>
      <w:r w:rsidRPr="00583E1A">
        <w:t>60.</w:t>
      </w:r>
    </w:p>
    <w:p w:rsidR="00887330" w:rsidRPr="00583E1A" w:rsidRDefault="00887330" w:rsidP="00887330">
      <w:pPr>
        <w:pStyle w:val="Definition"/>
      </w:pPr>
      <w:r w:rsidRPr="00583E1A">
        <w:rPr>
          <w:b/>
          <w:i/>
        </w:rPr>
        <w:t>qualifying Australian production expenditure</w:t>
      </w:r>
      <w:r w:rsidRPr="00583E1A">
        <w:t xml:space="preserve"> has the meaning given by </w:t>
      </w:r>
      <w:r w:rsidR="00381173" w:rsidRPr="00583E1A">
        <w:t>Subdivision</w:t>
      </w:r>
      <w:r w:rsidR="00583E1A">
        <w:t> </w:t>
      </w:r>
      <w:r w:rsidR="00381173" w:rsidRPr="00583E1A">
        <w:t>376</w:t>
      </w:r>
      <w:r w:rsidR="00583E1A">
        <w:noBreakHyphen/>
      </w:r>
      <w:r w:rsidR="00381173" w:rsidRPr="00583E1A">
        <w:t>C</w:t>
      </w:r>
      <w:r w:rsidRPr="00583E1A">
        <w:t>.</w:t>
      </w:r>
    </w:p>
    <w:p w:rsidR="00887330" w:rsidRPr="00583E1A" w:rsidRDefault="00887330" w:rsidP="00A504C5">
      <w:pPr>
        <w:pStyle w:val="Definition"/>
        <w:keepNext/>
        <w:keepLines/>
      </w:pPr>
      <w:r w:rsidRPr="00583E1A">
        <w:rPr>
          <w:b/>
          <w:i/>
        </w:rPr>
        <w:t>qualifying forex account</w:t>
      </w:r>
      <w:r w:rsidRPr="00583E1A">
        <w:t xml:space="preserve"> means an account that:</w:t>
      </w:r>
    </w:p>
    <w:p w:rsidR="00887330" w:rsidRPr="00583E1A" w:rsidRDefault="00887330" w:rsidP="00887330">
      <w:pPr>
        <w:pStyle w:val="paragraph"/>
      </w:pPr>
      <w:r w:rsidRPr="00583E1A">
        <w:tab/>
        <w:t>(a)</w:t>
      </w:r>
      <w:r w:rsidRPr="00583E1A">
        <w:tab/>
        <w:t xml:space="preserve">is denominated in a particular </w:t>
      </w:r>
      <w:r w:rsidR="00583E1A" w:rsidRPr="00583E1A">
        <w:rPr>
          <w:position w:val="6"/>
          <w:sz w:val="16"/>
        </w:rPr>
        <w:t>*</w:t>
      </w:r>
      <w:r w:rsidRPr="00583E1A">
        <w:t>foreign currency; and</w:t>
      </w:r>
    </w:p>
    <w:p w:rsidR="00887330" w:rsidRPr="00583E1A" w:rsidRDefault="00887330" w:rsidP="00887330">
      <w:pPr>
        <w:pStyle w:val="paragraph"/>
      </w:pPr>
      <w:r w:rsidRPr="00583E1A">
        <w:tab/>
        <w:t>(c)</w:t>
      </w:r>
      <w:r w:rsidRPr="00583E1A">
        <w:tab/>
        <w:t>either:</w:t>
      </w:r>
    </w:p>
    <w:p w:rsidR="00887330" w:rsidRPr="00583E1A" w:rsidRDefault="00887330" w:rsidP="00887330">
      <w:pPr>
        <w:pStyle w:val="paragraphsub"/>
      </w:pPr>
      <w:r w:rsidRPr="00583E1A">
        <w:tab/>
        <w:t>(i)</w:t>
      </w:r>
      <w:r w:rsidRPr="00583E1A">
        <w:tab/>
        <w:t>has the primary purpose of facilitating transactions; or</w:t>
      </w:r>
    </w:p>
    <w:p w:rsidR="00887330" w:rsidRPr="00583E1A" w:rsidRDefault="00887330" w:rsidP="00887330">
      <w:pPr>
        <w:pStyle w:val="paragraphsub"/>
      </w:pPr>
      <w:r w:rsidRPr="00583E1A">
        <w:tab/>
        <w:t>(ii)</w:t>
      </w:r>
      <w:r w:rsidRPr="00583E1A">
        <w:tab/>
        <w:t>is a credit card account.</w:t>
      </w:r>
    </w:p>
    <w:p w:rsidR="00887330" w:rsidRPr="00583E1A" w:rsidRDefault="00887330" w:rsidP="00887330">
      <w:pPr>
        <w:pStyle w:val="Definition"/>
      </w:pPr>
      <w:r w:rsidRPr="00583E1A">
        <w:rPr>
          <w:b/>
          <w:i/>
        </w:rPr>
        <w:t>qualifying investor</w:t>
      </w:r>
      <w:r w:rsidRPr="00583E1A">
        <w:t xml:space="preserve"> has the meaning given by section</w:t>
      </w:r>
      <w:r w:rsidR="00583E1A">
        <w:t> </w:t>
      </w:r>
      <w:r w:rsidRPr="00583E1A">
        <w:t>43</w:t>
      </w:r>
      <w:r w:rsidR="00583E1A">
        <w:noBreakHyphen/>
      </w:r>
      <w:r w:rsidRPr="00583E1A">
        <w:t>220.</w:t>
      </w:r>
    </w:p>
    <w:p w:rsidR="001B2276" w:rsidRPr="00583E1A" w:rsidRDefault="001B2276" w:rsidP="001B2276">
      <w:pPr>
        <w:pStyle w:val="Definition"/>
      </w:pPr>
      <w:r w:rsidRPr="00583E1A">
        <w:rPr>
          <w:b/>
          <w:i/>
        </w:rPr>
        <w:t>qualifying security</w:t>
      </w:r>
      <w:r w:rsidRPr="00583E1A">
        <w:t xml:space="preserve"> has the same meaning as in Division</w:t>
      </w:r>
      <w:r w:rsidR="00583E1A">
        <w:t> </w:t>
      </w:r>
      <w:r w:rsidRPr="00583E1A">
        <w:t>16E of Part</w:t>
      </w:r>
      <w:r w:rsidR="00583E1A">
        <w:t> </w:t>
      </w:r>
      <w:r w:rsidRPr="00583E1A">
        <w:t xml:space="preserve">III of the </w:t>
      </w:r>
      <w:r w:rsidRPr="00583E1A">
        <w:rPr>
          <w:i/>
        </w:rPr>
        <w:t>Income Tax Assessment Act 1936</w:t>
      </w:r>
      <w:r w:rsidRPr="00583E1A">
        <w:t>.</w:t>
      </w:r>
    </w:p>
    <w:p w:rsidR="00887330" w:rsidRPr="00583E1A" w:rsidRDefault="00887330" w:rsidP="00887330">
      <w:pPr>
        <w:pStyle w:val="Definition"/>
        <w:rPr>
          <w:i/>
        </w:rPr>
      </w:pPr>
      <w:r w:rsidRPr="00583E1A">
        <w:rPr>
          <w:b/>
          <w:i/>
        </w:rPr>
        <w:t>qualifying SME investment</w:t>
      </w:r>
      <w:r w:rsidRPr="00583E1A">
        <w:t xml:space="preserve"> means an </w:t>
      </w:r>
      <w:r w:rsidR="00583E1A" w:rsidRPr="00583E1A">
        <w:rPr>
          <w:position w:val="6"/>
          <w:sz w:val="16"/>
        </w:rPr>
        <w:t>*</w:t>
      </w:r>
      <w:r w:rsidRPr="00583E1A">
        <w:t>SME investment that is made in accordance with Division</w:t>
      </w:r>
      <w:r w:rsidR="00583E1A">
        <w:t> </w:t>
      </w:r>
      <w:r w:rsidRPr="00583E1A">
        <w:t>1 of Part</w:t>
      </w:r>
      <w:r w:rsidR="00583E1A">
        <w:t> </w:t>
      </w:r>
      <w:r w:rsidRPr="00583E1A">
        <w:t xml:space="preserve">4 of the </w:t>
      </w:r>
      <w:r w:rsidRPr="00583E1A">
        <w:rPr>
          <w:i/>
        </w:rPr>
        <w:t>Pooled Development Funds Act 1997.</w:t>
      </w:r>
    </w:p>
    <w:p w:rsidR="00887330" w:rsidRPr="00583E1A" w:rsidRDefault="00887330" w:rsidP="00887330">
      <w:pPr>
        <w:pStyle w:val="Definition"/>
      </w:pPr>
      <w:r w:rsidRPr="00583E1A">
        <w:rPr>
          <w:b/>
          <w:i/>
        </w:rPr>
        <w:t>quarter</w:t>
      </w:r>
      <w:r w:rsidRPr="00583E1A">
        <w:t xml:space="preserve"> means a period of 3 months ending on 31</w:t>
      </w:r>
      <w:r w:rsidR="00583E1A">
        <w:t> </w:t>
      </w:r>
      <w:r w:rsidRPr="00583E1A">
        <w:t>March, 30</w:t>
      </w:r>
      <w:r w:rsidR="00583E1A">
        <w:t> </w:t>
      </w:r>
      <w:r w:rsidRPr="00583E1A">
        <w:t>June, 30</w:t>
      </w:r>
      <w:r w:rsidR="00583E1A">
        <w:t> </w:t>
      </w:r>
      <w:r w:rsidRPr="00583E1A">
        <w:t>September or 31</w:t>
      </w:r>
      <w:r w:rsidR="00583E1A">
        <w:t> </w:t>
      </w:r>
      <w:r w:rsidRPr="00583E1A">
        <w:t>December.</w:t>
      </w:r>
    </w:p>
    <w:p w:rsidR="00887330" w:rsidRPr="00583E1A" w:rsidRDefault="00887330" w:rsidP="00887330">
      <w:pPr>
        <w:pStyle w:val="Definition"/>
      </w:pPr>
      <w:r w:rsidRPr="00583E1A">
        <w:rPr>
          <w:b/>
          <w:i/>
        </w:rPr>
        <w:t>quarterly instalment component</w:t>
      </w:r>
      <w:r w:rsidRPr="00583E1A">
        <w:t xml:space="preserve"> has the meaning given by section</w:t>
      </w:r>
      <w:r w:rsidR="00583E1A">
        <w:t> </w:t>
      </w:r>
      <w:r w:rsidRPr="00583E1A">
        <w:t>45</w:t>
      </w:r>
      <w:r w:rsidR="00583E1A">
        <w:noBreakHyphen/>
      </w:r>
      <w:r w:rsidRPr="00583E1A">
        <w:t>610 in Schedule</w:t>
      </w:r>
      <w:r w:rsidR="00583E1A">
        <w:t> </w:t>
      </w:r>
      <w:r w:rsidRPr="00583E1A">
        <w:t xml:space="preserve">1 to the </w:t>
      </w:r>
      <w:r w:rsidRPr="00583E1A">
        <w:rPr>
          <w:i/>
        </w:rPr>
        <w:t>Taxation Administration Act 1953</w:t>
      </w:r>
      <w:r w:rsidRPr="00583E1A">
        <w:t>.</w:t>
      </w:r>
    </w:p>
    <w:p w:rsidR="00887330" w:rsidRPr="00583E1A" w:rsidRDefault="00887330" w:rsidP="00887330">
      <w:pPr>
        <w:pStyle w:val="Definition"/>
      </w:pPr>
      <w:r w:rsidRPr="00583E1A">
        <w:rPr>
          <w:b/>
          <w:i/>
        </w:rPr>
        <w:t>quarterly payer</w:t>
      </w:r>
      <w:r w:rsidRPr="00583E1A">
        <w:t xml:space="preserve"> means an entity that is liable to pay </w:t>
      </w:r>
      <w:r w:rsidR="00583E1A" w:rsidRPr="00583E1A">
        <w:rPr>
          <w:position w:val="6"/>
          <w:sz w:val="16"/>
        </w:rPr>
        <w:t>*</w:t>
      </w:r>
      <w:r w:rsidRPr="00583E1A">
        <w:t xml:space="preserve">PAYG instalments and is not an </w:t>
      </w:r>
      <w:r w:rsidR="00583E1A" w:rsidRPr="00583E1A">
        <w:rPr>
          <w:position w:val="6"/>
          <w:sz w:val="16"/>
        </w:rPr>
        <w:t>*</w:t>
      </w:r>
      <w:r w:rsidRPr="00583E1A">
        <w:t>annual payer.</w:t>
      </w:r>
    </w:p>
    <w:p w:rsidR="00887330" w:rsidRPr="00583E1A" w:rsidRDefault="00887330" w:rsidP="00887330">
      <w:pPr>
        <w:pStyle w:val="Definition"/>
      </w:pPr>
      <w:r w:rsidRPr="00583E1A">
        <w:rPr>
          <w:b/>
          <w:i/>
        </w:rPr>
        <w:t>quarterly payer who pays 2 instalments annually on the basis of GDP</w:t>
      </w:r>
      <w:r w:rsidR="00583E1A">
        <w:rPr>
          <w:b/>
          <w:i/>
        </w:rPr>
        <w:noBreakHyphen/>
      </w:r>
      <w:r w:rsidRPr="00583E1A">
        <w:rPr>
          <w:b/>
          <w:i/>
        </w:rPr>
        <w:t>adjusted notional tax</w:t>
      </w:r>
      <w:r w:rsidRPr="00583E1A">
        <w:t xml:space="preserve"> has the meaning given by section</w:t>
      </w:r>
      <w:r w:rsidR="00583E1A">
        <w:t> </w:t>
      </w:r>
      <w:r w:rsidRPr="00583E1A">
        <w:t>45</w:t>
      </w:r>
      <w:r w:rsidR="00583E1A">
        <w:noBreakHyphen/>
      </w:r>
      <w:r w:rsidRPr="00583E1A">
        <w:t>134 in Schedule</w:t>
      </w:r>
      <w:r w:rsidR="00583E1A">
        <w:t> </w:t>
      </w:r>
      <w:r w:rsidRPr="00583E1A">
        <w:t xml:space="preserve">1 to the </w:t>
      </w:r>
      <w:r w:rsidRPr="00583E1A">
        <w:rPr>
          <w:i/>
        </w:rPr>
        <w:t>Taxation Administration Act 1953</w:t>
      </w:r>
      <w:r w:rsidRPr="00583E1A">
        <w:t>.</w:t>
      </w:r>
    </w:p>
    <w:p w:rsidR="00887330" w:rsidRPr="00583E1A" w:rsidRDefault="00887330" w:rsidP="00C65AA2">
      <w:pPr>
        <w:pStyle w:val="Definition"/>
        <w:keepNext/>
        <w:keepLines/>
      </w:pPr>
      <w:r w:rsidRPr="00583E1A">
        <w:rPr>
          <w:b/>
          <w:i/>
        </w:rPr>
        <w:lastRenderedPageBreak/>
        <w:t>quarterly payer who pays 4 instalments annually on the basis of GDP</w:t>
      </w:r>
      <w:r w:rsidR="00583E1A">
        <w:rPr>
          <w:b/>
          <w:i/>
        </w:rPr>
        <w:noBreakHyphen/>
      </w:r>
      <w:r w:rsidRPr="00583E1A">
        <w:rPr>
          <w:b/>
          <w:i/>
        </w:rPr>
        <w:t>adjusted notional tax</w:t>
      </w:r>
      <w:r w:rsidRPr="00583E1A">
        <w:t xml:space="preserve"> has the meaning given by section</w:t>
      </w:r>
      <w:r w:rsidR="00583E1A">
        <w:t> </w:t>
      </w:r>
      <w:r w:rsidRPr="00583E1A">
        <w:t>45</w:t>
      </w:r>
      <w:r w:rsidR="00583E1A">
        <w:noBreakHyphen/>
      </w:r>
      <w:r w:rsidRPr="00583E1A">
        <w:t>132 in Schedule</w:t>
      </w:r>
      <w:r w:rsidR="00583E1A">
        <w:t> </w:t>
      </w:r>
      <w:r w:rsidRPr="00583E1A">
        <w:t xml:space="preserve">1 to the </w:t>
      </w:r>
      <w:r w:rsidRPr="00583E1A">
        <w:rPr>
          <w:i/>
        </w:rPr>
        <w:t>Taxation Administration Act 1953</w:t>
      </w:r>
      <w:r w:rsidRPr="00583E1A">
        <w:t>.</w:t>
      </w:r>
    </w:p>
    <w:p w:rsidR="00887330" w:rsidRPr="00583E1A" w:rsidRDefault="00887330" w:rsidP="00887330">
      <w:pPr>
        <w:pStyle w:val="Definition"/>
      </w:pPr>
      <w:r w:rsidRPr="00583E1A">
        <w:rPr>
          <w:b/>
          <w:i/>
        </w:rPr>
        <w:t>quarterly payer who pays on the basis of GDP</w:t>
      </w:r>
      <w:r w:rsidR="00583E1A">
        <w:rPr>
          <w:b/>
          <w:i/>
        </w:rPr>
        <w:noBreakHyphen/>
      </w:r>
      <w:r w:rsidRPr="00583E1A">
        <w:rPr>
          <w:b/>
          <w:i/>
        </w:rPr>
        <w:t xml:space="preserve">adjusted notional tax </w:t>
      </w:r>
      <w:r w:rsidRPr="00583E1A">
        <w:t>has the meaning given by section</w:t>
      </w:r>
      <w:r w:rsidR="00583E1A">
        <w:t> </w:t>
      </w:r>
      <w:r w:rsidRPr="00583E1A">
        <w:t>45</w:t>
      </w:r>
      <w:r w:rsidR="00583E1A">
        <w:noBreakHyphen/>
      </w:r>
      <w:r w:rsidRPr="00583E1A">
        <w:t>130 in Schedule</w:t>
      </w:r>
      <w:r w:rsidR="00583E1A">
        <w:t> </w:t>
      </w:r>
      <w:r w:rsidRPr="00583E1A">
        <w:t xml:space="preserve">1 to the </w:t>
      </w:r>
      <w:r w:rsidRPr="00583E1A">
        <w:rPr>
          <w:i/>
        </w:rPr>
        <w:t>Taxation Administration Act 1953</w:t>
      </w:r>
      <w:r w:rsidRPr="00583E1A">
        <w:t>.</w:t>
      </w:r>
    </w:p>
    <w:p w:rsidR="00887330" w:rsidRPr="00583E1A" w:rsidRDefault="00887330" w:rsidP="00887330">
      <w:pPr>
        <w:pStyle w:val="Definition"/>
      </w:pPr>
      <w:r w:rsidRPr="00583E1A">
        <w:rPr>
          <w:b/>
          <w:i/>
        </w:rPr>
        <w:t>quarterly payer who pays on the basis of instalment income</w:t>
      </w:r>
      <w:r w:rsidRPr="00583E1A">
        <w:t xml:space="preserve"> has the meaning given by section</w:t>
      </w:r>
      <w:r w:rsidR="00583E1A">
        <w:t> </w:t>
      </w:r>
      <w:r w:rsidRPr="00583E1A">
        <w:t>45</w:t>
      </w:r>
      <w:r w:rsidR="00583E1A">
        <w:noBreakHyphen/>
      </w:r>
      <w:r w:rsidRPr="00583E1A">
        <w:t>125 in Schedule</w:t>
      </w:r>
      <w:r w:rsidR="00583E1A">
        <w:t> </w:t>
      </w:r>
      <w:r w:rsidRPr="00583E1A">
        <w:t xml:space="preserve">1 to the </w:t>
      </w:r>
      <w:r w:rsidRPr="00583E1A">
        <w:rPr>
          <w:i/>
        </w:rPr>
        <w:t>Taxation Administration Act 1953</w:t>
      </w:r>
      <w:r w:rsidRPr="00583E1A">
        <w:t>.</w:t>
      </w:r>
    </w:p>
    <w:p w:rsidR="00887330" w:rsidRPr="00583E1A" w:rsidRDefault="00887330" w:rsidP="008E78EB">
      <w:pPr>
        <w:pStyle w:val="Definition"/>
        <w:keepNext/>
      </w:pPr>
      <w:r w:rsidRPr="00583E1A">
        <w:rPr>
          <w:b/>
          <w:i/>
        </w:rPr>
        <w:t>quasi</w:t>
      </w:r>
      <w:r w:rsidR="00583E1A">
        <w:rPr>
          <w:b/>
          <w:i/>
        </w:rPr>
        <w:noBreakHyphen/>
      </w:r>
      <w:r w:rsidRPr="00583E1A">
        <w:rPr>
          <w:b/>
          <w:i/>
        </w:rPr>
        <w:t>ownership right</w:t>
      </w:r>
      <w:r w:rsidRPr="00583E1A">
        <w:t xml:space="preserve"> over land means:</w:t>
      </w:r>
    </w:p>
    <w:p w:rsidR="00887330" w:rsidRPr="00583E1A" w:rsidRDefault="00887330" w:rsidP="008E78EB">
      <w:pPr>
        <w:pStyle w:val="paragraph"/>
        <w:keepNext/>
      </w:pPr>
      <w:r w:rsidRPr="00583E1A">
        <w:tab/>
        <w:t>(a)</w:t>
      </w:r>
      <w:r w:rsidRPr="00583E1A">
        <w:tab/>
        <w:t>a lease of the land; or</w:t>
      </w:r>
    </w:p>
    <w:p w:rsidR="00887330" w:rsidRPr="00583E1A" w:rsidRDefault="00887330" w:rsidP="00887330">
      <w:pPr>
        <w:pStyle w:val="paragraph"/>
      </w:pPr>
      <w:r w:rsidRPr="00583E1A">
        <w:tab/>
        <w:t>(b)</w:t>
      </w:r>
      <w:r w:rsidRPr="00583E1A">
        <w:tab/>
        <w:t>an easement in connection with the land; or</w:t>
      </w:r>
    </w:p>
    <w:p w:rsidR="00887330" w:rsidRPr="00583E1A" w:rsidRDefault="00887330" w:rsidP="00887330">
      <w:pPr>
        <w:pStyle w:val="paragraph"/>
      </w:pPr>
      <w:r w:rsidRPr="00583E1A">
        <w:tab/>
        <w:t>(c)</w:t>
      </w:r>
      <w:r w:rsidRPr="00583E1A">
        <w:tab/>
        <w:t>any other right, power or privilege over the land, or in connection with the land.</w:t>
      </w:r>
    </w:p>
    <w:p w:rsidR="00BA7E0C" w:rsidRPr="0038586A" w:rsidRDefault="00BA7E0C" w:rsidP="00BA5F58">
      <w:pPr>
        <w:pStyle w:val="Definition"/>
        <w:keepNext/>
      </w:pPr>
      <w:r w:rsidRPr="0038586A">
        <w:rPr>
          <w:b/>
          <w:i/>
        </w:rPr>
        <w:t>quote</w:t>
      </w:r>
      <w:r w:rsidRPr="0038586A">
        <w:t>:</w:t>
      </w:r>
    </w:p>
    <w:p w:rsidR="00BA7E0C" w:rsidRPr="0038586A" w:rsidRDefault="00BA7E0C" w:rsidP="00BA7E0C">
      <w:pPr>
        <w:pStyle w:val="paragraph"/>
      </w:pPr>
      <w:r w:rsidRPr="0038586A">
        <w:tab/>
        <w:t>(a)</w:t>
      </w:r>
      <w:r w:rsidRPr="0038586A">
        <w:tab/>
      </w:r>
      <w:r w:rsidRPr="0038586A">
        <w:rPr>
          <w:b/>
          <w:i/>
        </w:rPr>
        <w:t>quote</w:t>
      </w:r>
      <w:r w:rsidRPr="0038586A">
        <w:t xml:space="preserve"> an entity’s </w:t>
      </w:r>
      <w:r w:rsidRPr="0038586A">
        <w:rPr>
          <w:position w:val="6"/>
          <w:sz w:val="16"/>
        </w:rPr>
        <w:t>*</w:t>
      </w:r>
      <w:r w:rsidRPr="0038586A">
        <w:t>ABN means quote in a form and manner approved by the Commissioner;</w:t>
      </w:r>
    </w:p>
    <w:p w:rsidR="00BA7E0C" w:rsidRPr="0038586A" w:rsidRDefault="00BA7E0C" w:rsidP="00A756C6">
      <w:pPr>
        <w:pStyle w:val="paragraph"/>
        <w:keepNext/>
        <w:keepLines/>
      </w:pPr>
      <w:r w:rsidRPr="0038586A">
        <w:tab/>
        <w:t>(b)</w:t>
      </w:r>
      <w:r w:rsidRPr="0038586A">
        <w:tab/>
      </w:r>
      <w:r w:rsidRPr="0038586A">
        <w:rPr>
          <w:b/>
          <w:i/>
        </w:rPr>
        <w:t>quote</w:t>
      </w:r>
      <w:r w:rsidRPr="0038586A">
        <w:t xml:space="preserve"> a </w:t>
      </w:r>
      <w:r w:rsidRPr="0038586A">
        <w:rPr>
          <w:position w:val="6"/>
          <w:sz w:val="16"/>
        </w:rPr>
        <w:t>*</w:t>
      </w:r>
      <w:r w:rsidRPr="0038586A">
        <w:t xml:space="preserve">tax file number in connection with a </w:t>
      </w:r>
      <w:r w:rsidRPr="0038586A">
        <w:rPr>
          <w:position w:val="6"/>
          <w:sz w:val="16"/>
        </w:rPr>
        <w:t>*</w:t>
      </w:r>
      <w:r w:rsidRPr="0038586A">
        <w:t xml:space="preserve">Part VA investment: you </w:t>
      </w:r>
      <w:r w:rsidRPr="0038586A">
        <w:rPr>
          <w:b/>
          <w:i/>
        </w:rPr>
        <w:t>quote</w:t>
      </w:r>
      <w:r w:rsidRPr="0038586A">
        <w:t xml:space="preserve"> your tax file number in connection with the investment if you are taken, for the purposes of Part VA of the </w:t>
      </w:r>
      <w:r w:rsidRPr="0038586A">
        <w:rPr>
          <w:i/>
        </w:rPr>
        <w:t>Income Tax Assessment Act 1936</w:t>
      </w:r>
      <w:r w:rsidRPr="0038586A">
        <w:t>, to have quoted the number in connection with the investment</w:t>
      </w:r>
      <w:r w:rsidR="00417664" w:rsidRPr="00014B53">
        <w:t>;</w:t>
      </w:r>
    </w:p>
    <w:p w:rsidR="00417664" w:rsidRPr="00014B53" w:rsidRDefault="00417664" w:rsidP="00417664">
      <w:pPr>
        <w:pStyle w:val="paragraph"/>
      </w:pPr>
      <w:r w:rsidRPr="00014B53">
        <w:tab/>
        <w:t>(c)</w:t>
      </w:r>
      <w:r w:rsidRPr="00014B53">
        <w:tab/>
      </w:r>
      <w:r w:rsidRPr="00014B53">
        <w:rPr>
          <w:b/>
          <w:i/>
        </w:rPr>
        <w:t>quote</w:t>
      </w:r>
      <w:r w:rsidRPr="00014B53">
        <w:t xml:space="preserve"> a tax file number to a trustee: the beneficiary of a trust </w:t>
      </w:r>
      <w:r w:rsidRPr="00014B53">
        <w:rPr>
          <w:b/>
          <w:i/>
        </w:rPr>
        <w:t>quotes</w:t>
      </w:r>
      <w:r w:rsidRPr="00014B53">
        <w:t xml:space="preserve"> the beneficiary’s tax file number to the trustee of the trust if:</w:t>
      </w:r>
    </w:p>
    <w:p w:rsidR="00417664" w:rsidRPr="00014B53" w:rsidRDefault="00417664" w:rsidP="00417664">
      <w:pPr>
        <w:pStyle w:val="paragraphsub"/>
      </w:pPr>
      <w:r w:rsidRPr="00014B53">
        <w:tab/>
        <w:t>(i)</w:t>
      </w:r>
      <w:r w:rsidRPr="00014B53">
        <w:tab/>
        <w:t xml:space="preserve">Division 4B of Part VA of the </w:t>
      </w:r>
      <w:r w:rsidRPr="00014B53">
        <w:rPr>
          <w:i/>
        </w:rPr>
        <w:t>Income Tax Assessment Act 1936</w:t>
      </w:r>
      <w:r w:rsidRPr="00014B53">
        <w:t xml:space="preserve"> applies to the trustee and to the beneficiary; and</w:t>
      </w:r>
    </w:p>
    <w:p w:rsidR="00417664" w:rsidRPr="00014B53" w:rsidRDefault="00417664" w:rsidP="00417664">
      <w:pPr>
        <w:pStyle w:val="paragraphsub"/>
      </w:pPr>
      <w:r w:rsidRPr="00014B53">
        <w:tab/>
        <w:t>(ii)</w:t>
      </w:r>
      <w:r w:rsidRPr="00014B53">
        <w:tab/>
        <w:t>the beneficiary is taken, for the purposes of that Part, to have quoted the beneficiary’s tax file number to the trustee.</w:t>
      </w:r>
    </w:p>
    <w:p w:rsidR="000702BE" w:rsidRPr="00583E1A" w:rsidRDefault="000702BE" w:rsidP="000702BE">
      <w:pPr>
        <w:pStyle w:val="Definition"/>
      </w:pPr>
      <w:r w:rsidRPr="00583E1A">
        <w:rPr>
          <w:b/>
          <w:i/>
        </w:rPr>
        <w:t>quoted (for superannuation purposes)</w:t>
      </w:r>
      <w:r w:rsidRPr="00583E1A">
        <w:t xml:space="preserve"> has the meaning given by section</w:t>
      </w:r>
      <w:r w:rsidR="00583E1A">
        <w:t> </w:t>
      </w:r>
      <w:r w:rsidRPr="00583E1A">
        <w:t>295</w:t>
      </w:r>
      <w:r w:rsidR="00583E1A">
        <w:noBreakHyphen/>
      </w:r>
      <w:r w:rsidRPr="00583E1A">
        <w:t>615.</w:t>
      </w:r>
    </w:p>
    <w:p w:rsidR="00617CB8" w:rsidRPr="00642FBF" w:rsidRDefault="00617CB8" w:rsidP="00617CB8">
      <w:pPr>
        <w:pStyle w:val="Definition"/>
      </w:pPr>
      <w:r w:rsidRPr="00642FBF">
        <w:rPr>
          <w:b/>
          <w:i/>
        </w:rPr>
        <w:lastRenderedPageBreak/>
        <w:t>R&amp;D activities</w:t>
      </w:r>
      <w:r w:rsidRPr="00642FBF">
        <w:t xml:space="preserve"> has the meaning given by section 355</w:t>
      </w:r>
      <w:r w:rsidRPr="00642FBF">
        <w:noBreakHyphen/>
        <w:t>20.</w:t>
      </w:r>
    </w:p>
    <w:p w:rsidR="00617CB8" w:rsidRPr="00642FBF" w:rsidRDefault="00617CB8" w:rsidP="00617CB8">
      <w:pPr>
        <w:pStyle w:val="Definition"/>
      </w:pPr>
      <w:r w:rsidRPr="00642FBF">
        <w:rPr>
          <w:b/>
          <w:i/>
        </w:rPr>
        <w:t>R&amp;D entity</w:t>
      </w:r>
      <w:r w:rsidRPr="00642FBF">
        <w:t xml:space="preserve"> has the meaning given by section 355</w:t>
      </w:r>
      <w:r w:rsidRPr="00642FBF">
        <w:noBreakHyphen/>
        <w:t>35.</w:t>
      </w:r>
    </w:p>
    <w:p w:rsidR="00617CB8" w:rsidRPr="00642FBF" w:rsidRDefault="00617CB8" w:rsidP="00617CB8">
      <w:pPr>
        <w:pStyle w:val="Definition"/>
      </w:pPr>
      <w:r w:rsidRPr="00642FBF">
        <w:rPr>
          <w:b/>
          <w:i/>
        </w:rPr>
        <w:t>R&amp;D partnership</w:t>
      </w:r>
      <w:r w:rsidRPr="00642FBF">
        <w:t xml:space="preserve"> has the meaning given by subsection 355</w:t>
      </w:r>
      <w:r w:rsidRPr="00642FBF">
        <w:noBreakHyphen/>
        <w:t>505(1).</w:t>
      </w:r>
    </w:p>
    <w:p w:rsidR="00887330" w:rsidRPr="00583E1A" w:rsidRDefault="00887330" w:rsidP="00887330">
      <w:pPr>
        <w:pStyle w:val="Definition"/>
      </w:pPr>
      <w:r w:rsidRPr="00583E1A">
        <w:rPr>
          <w:b/>
          <w:i/>
        </w:rPr>
        <w:t>RBA</w:t>
      </w:r>
      <w:r w:rsidRPr="00583E1A">
        <w:t xml:space="preserve"> has the same meaning as in Part</w:t>
      </w:r>
      <w:r w:rsidR="00583E1A">
        <w:t> </w:t>
      </w:r>
      <w:r w:rsidRPr="00583E1A">
        <w:t xml:space="preserve">IIB of the </w:t>
      </w:r>
      <w:r w:rsidRPr="00583E1A">
        <w:rPr>
          <w:i/>
        </w:rPr>
        <w:t>Taxation Administration Act 1953</w:t>
      </w:r>
      <w:r w:rsidRPr="00583E1A">
        <w:t>.</w:t>
      </w:r>
    </w:p>
    <w:p w:rsidR="00887330" w:rsidRPr="00583E1A" w:rsidRDefault="00887330" w:rsidP="00887330">
      <w:pPr>
        <w:pStyle w:val="Definition"/>
      </w:pPr>
      <w:r w:rsidRPr="00583E1A">
        <w:rPr>
          <w:b/>
          <w:i/>
        </w:rPr>
        <w:t xml:space="preserve">RBA surplus </w:t>
      </w:r>
      <w:r w:rsidRPr="00583E1A">
        <w:t>has the same meaning as in Part</w:t>
      </w:r>
      <w:r w:rsidR="00583E1A">
        <w:t> </w:t>
      </w:r>
      <w:r w:rsidRPr="00583E1A">
        <w:t xml:space="preserve">IIB of the </w:t>
      </w:r>
      <w:r w:rsidRPr="00583E1A">
        <w:rPr>
          <w:i/>
        </w:rPr>
        <w:t>Taxation Administration Act 1953</w:t>
      </w:r>
      <w:r w:rsidRPr="00583E1A">
        <w:t>.</w:t>
      </w:r>
    </w:p>
    <w:p w:rsidR="00887330" w:rsidRPr="00583E1A" w:rsidRDefault="00887330" w:rsidP="00887330">
      <w:pPr>
        <w:pStyle w:val="Definition"/>
      </w:pPr>
      <w:r w:rsidRPr="00583E1A">
        <w:rPr>
          <w:b/>
          <w:i/>
        </w:rPr>
        <w:t>realisation event</w:t>
      </w:r>
      <w:r w:rsidRPr="00583E1A">
        <w:t xml:space="preserve"> has the meaning given by sections</w:t>
      </w:r>
      <w:r w:rsidR="00583E1A">
        <w:t> </w:t>
      </w:r>
      <w:r w:rsidRPr="00583E1A">
        <w:t>977</w:t>
      </w:r>
      <w:r w:rsidR="00583E1A">
        <w:noBreakHyphen/>
      </w:r>
      <w:r w:rsidRPr="00583E1A">
        <w:t>5, 977</w:t>
      </w:r>
      <w:r w:rsidR="00583E1A">
        <w:noBreakHyphen/>
      </w:r>
      <w:r w:rsidRPr="00583E1A">
        <w:t>20 and 977</w:t>
      </w:r>
      <w:r w:rsidR="00583E1A">
        <w:noBreakHyphen/>
      </w:r>
      <w:r w:rsidRPr="00583E1A">
        <w:t>55.</w:t>
      </w:r>
    </w:p>
    <w:p w:rsidR="00887330" w:rsidRPr="00583E1A" w:rsidRDefault="00887330" w:rsidP="00887330">
      <w:pPr>
        <w:pStyle w:val="Definition"/>
      </w:pPr>
      <w:r w:rsidRPr="00583E1A">
        <w:rPr>
          <w:b/>
          <w:i/>
        </w:rPr>
        <w:t>realisation</w:t>
      </w:r>
      <w:r w:rsidR="00583E1A">
        <w:rPr>
          <w:b/>
          <w:i/>
        </w:rPr>
        <w:noBreakHyphen/>
      </w:r>
      <w:r w:rsidRPr="00583E1A">
        <w:rPr>
          <w:b/>
          <w:i/>
        </w:rPr>
        <w:t>time method</w:t>
      </w:r>
      <w:r w:rsidRPr="00583E1A">
        <w:t xml:space="preserve"> means the method (for determining the effect of </w:t>
      </w:r>
      <w:r w:rsidR="00583E1A" w:rsidRPr="00583E1A">
        <w:rPr>
          <w:position w:val="6"/>
          <w:sz w:val="16"/>
        </w:rPr>
        <w:t>*</w:t>
      </w:r>
      <w:r w:rsidRPr="00583E1A">
        <w:t>indirect value shifts) for which Subdivision</w:t>
      </w:r>
      <w:r w:rsidR="00583E1A">
        <w:t> </w:t>
      </w:r>
      <w:r w:rsidRPr="00583E1A">
        <w:t>727</w:t>
      </w:r>
      <w:r w:rsidR="00583E1A">
        <w:noBreakHyphen/>
      </w:r>
      <w:r w:rsidRPr="00583E1A">
        <w:t>G provides.</w:t>
      </w:r>
    </w:p>
    <w:p w:rsidR="00887330" w:rsidRPr="00583E1A" w:rsidRDefault="00887330" w:rsidP="00A756C6">
      <w:pPr>
        <w:pStyle w:val="Definition"/>
        <w:keepNext/>
        <w:keepLines/>
      </w:pPr>
      <w:r w:rsidRPr="00583E1A">
        <w:rPr>
          <w:b/>
          <w:i/>
        </w:rPr>
        <w:t>realised for income tax purposes</w:t>
      </w:r>
      <w:r w:rsidRPr="00583E1A">
        <w:t>:</w:t>
      </w:r>
    </w:p>
    <w:p w:rsidR="00887330" w:rsidRPr="00583E1A" w:rsidRDefault="00887330" w:rsidP="00A756C6">
      <w:pPr>
        <w:pStyle w:val="paragraph"/>
        <w:keepNext/>
        <w:keepLines/>
      </w:pPr>
      <w:r w:rsidRPr="00583E1A">
        <w:tab/>
        <w:t>(a)</w:t>
      </w:r>
      <w:r w:rsidRPr="00583E1A">
        <w:tab/>
        <w:t xml:space="preserve">a gain is </w:t>
      </w:r>
      <w:r w:rsidRPr="00583E1A">
        <w:rPr>
          <w:b/>
          <w:i/>
        </w:rPr>
        <w:t>realised for income tax purposes</w:t>
      </w:r>
      <w:r w:rsidRPr="00583E1A">
        <w:t xml:space="preserve"> as provided in sections</w:t>
      </w:r>
      <w:r w:rsidR="00583E1A">
        <w:t> </w:t>
      </w:r>
      <w:r w:rsidRPr="00583E1A">
        <w:t>977</w:t>
      </w:r>
      <w:r w:rsidR="00583E1A">
        <w:noBreakHyphen/>
      </w:r>
      <w:r w:rsidRPr="00583E1A">
        <w:t>15, 977</w:t>
      </w:r>
      <w:r w:rsidR="00583E1A">
        <w:noBreakHyphen/>
      </w:r>
      <w:r w:rsidRPr="00583E1A">
        <w:t>35, 977</w:t>
      </w:r>
      <w:r w:rsidR="00583E1A">
        <w:noBreakHyphen/>
      </w:r>
      <w:r w:rsidRPr="00583E1A">
        <w:t>40 and 977</w:t>
      </w:r>
      <w:r w:rsidR="00583E1A">
        <w:noBreakHyphen/>
      </w:r>
      <w:r w:rsidRPr="00583E1A">
        <w:t>55; and</w:t>
      </w:r>
    </w:p>
    <w:p w:rsidR="00887330" w:rsidRPr="00583E1A" w:rsidRDefault="00887330" w:rsidP="00887330">
      <w:pPr>
        <w:pStyle w:val="paragraph"/>
      </w:pPr>
      <w:r w:rsidRPr="00583E1A">
        <w:tab/>
        <w:t>(b)</w:t>
      </w:r>
      <w:r w:rsidRPr="00583E1A">
        <w:tab/>
        <w:t xml:space="preserve">a loss is </w:t>
      </w:r>
      <w:r w:rsidRPr="00583E1A">
        <w:rPr>
          <w:b/>
          <w:i/>
        </w:rPr>
        <w:t>realised for income tax purposes</w:t>
      </w:r>
      <w:r w:rsidRPr="00583E1A">
        <w:t xml:space="preserve"> as provided in sections</w:t>
      </w:r>
      <w:r w:rsidR="00583E1A">
        <w:t> </w:t>
      </w:r>
      <w:r w:rsidRPr="00583E1A">
        <w:t>977</w:t>
      </w:r>
      <w:r w:rsidR="00583E1A">
        <w:noBreakHyphen/>
      </w:r>
      <w:r w:rsidRPr="00583E1A">
        <w:t>10, 977</w:t>
      </w:r>
      <w:r w:rsidR="00583E1A">
        <w:noBreakHyphen/>
      </w:r>
      <w:r w:rsidRPr="00583E1A">
        <w:t>25, 977</w:t>
      </w:r>
      <w:r w:rsidR="00583E1A">
        <w:noBreakHyphen/>
      </w:r>
      <w:r w:rsidRPr="00583E1A">
        <w:t>30 and 977</w:t>
      </w:r>
      <w:r w:rsidR="00583E1A">
        <w:noBreakHyphen/>
      </w:r>
      <w:r w:rsidRPr="00583E1A">
        <w:t>55.</w:t>
      </w:r>
    </w:p>
    <w:p w:rsidR="00887330" w:rsidRPr="00583E1A" w:rsidRDefault="00887330" w:rsidP="00887330">
      <w:pPr>
        <w:pStyle w:val="Definition"/>
      </w:pPr>
      <w:r w:rsidRPr="00583E1A">
        <w:rPr>
          <w:b/>
          <w:i/>
        </w:rPr>
        <w:t>reasonably arguable</w:t>
      </w:r>
      <w:r w:rsidRPr="00583E1A">
        <w:t xml:space="preserve"> has the meaning given by section</w:t>
      </w:r>
      <w:r w:rsidR="00583E1A">
        <w:t> </w:t>
      </w:r>
      <w:r w:rsidRPr="00583E1A">
        <w:t>284</w:t>
      </w:r>
      <w:r w:rsidR="00583E1A">
        <w:noBreakHyphen/>
      </w:r>
      <w:r w:rsidRPr="00583E1A">
        <w:t>15 in Schedule</w:t>
      </w:r>
      <w:r w:rsidR="00583E1A">
        <w:t> </w:t>
      </w:r>
      <w:r w:rsidRPr="00583E1A">
        <w:t xml:space="preserve">1 to the </w:t>
      </w:r>
      <w:r w:rsidRPr="00583E1A">
        <w:rPr>
          <w:i/>
        </w:rPr>
        <w:t>Taxation Administration Act 1953</w:t>
      </w:r>
      <w:r w:rsidRPr="00583E1A">
        <w:t>.</w:t>
      </w:r>
    </w:p>
    <w:p w:rsidR="00887330" w:rsidRPr="00583E1A" w:rsidRDefault="00887330" w:rsidP="00887330">
      <w:pPr>
        <w:pStyle w:val="Definition"/>
      </w:pPr>
      <w:r w:rsidRPr="00583E1A">
        <w:rPr>
          <w:b/>
          <w:i/>
        </w:rPr>
        <w:t>receives a refund of income tax</w:t>
      </w:r>
      <w:r w:rsidRPr="00583E1A">
        <w:t xml:space="preserve"> has the meaning given by section</w:t>
      </w:r>
      <w:r w:rsidR="00583E1A">
        <w:t> </w:t>
      </w:r>
      <w:r w:rsidRPr="00583E1A">
        <w:t>205</w:t>
      </w:r>
      <w:r w:rsidR="00583E1A">
        <w:noBreakHyphen/>
      </w:r>
      <w:r w:rsidRPr="00583E1A">
        <w:t>35.</w:t>
      </w:r>
    </w:p>
    <w:p w:rsidR="00887330" w:rsidRPr="00583E1A" w:rsidRDefault="00887330" w:rsidP="007D29DB">
      <w:pPr>
        <w:pStyle w:val="Definition"/>
        <w:keepNext/>
        <w:keepLines/>
      </w:pPr>
      <w:r w:rsidRPr="00583E1A">
        <w:rPr>
          <w:b/>
          <w:i/>
        </w:rPr>
        <w:t>recognised company accounts</w:t>
      </w:r>
      <w:r w:rsidRPr="00583E1A">
        <w:t>, for a period,</w:t>
      </w:r>
      <w:r w:rsidRPr="00583E1A">
        <w:rPr>
          <w:b/>
          <w:i/>
        </w:rPr>
        <w:t xml:space="preserve"> </w:t>
      </w:r>
      <w:r w:rsidRPr="00583E1A">
        <w:t>of a company that is a foreign resident means:</w:t>
      </w:r>
    </w:p>
    <w:p w:rsidR="00887330" w:rsidRPr="00583E1A" w:rsidRDefault="00887330" w:rsidP="00887330">
      <w:pPr>
        <w:pStyle w:val="paragraph"/>
      </w:pPr>
      <w:r w:rsidRPr="00583E1A">
        <w:tab/>
        <w:t>(a)</w:t>
      </w:r>
      <w:r w:rsidRPr="00583E1A">
        <w:tab/>
        <w:t>accounts that are prepared in relation to the company for the period in accordance with standards covered by subsection 820</w:t>
      </w:r>
      <w:r w:rsidR="00583E1A">
        <w:noBreakHyphen/>
      </w:r>
      <w:r w:rsidRPr="00583E1A">
        <w:t>960(1C) or (1D); or</w:t>
      </w:r>
    </w:p>
    <w:p w:rsidR="00887330" w:rsidRPr="00583E1A" w:rsidRDefault="00887330" w:rsidP="00887330">
      <w:pPr>
        <w:pStyle w:val="paragraph"/>
      </w:pPr>
      <w:r w:rsidRPr="00583E1A">
        <w:tab/>
        <w:t>(b)</w:t>
      </w:r>
      <w:r w:rsidRPr="00583E1A">
        <w:tab/>
        <w:t>if there are no such accounts for the period—accounts that:</w:t>
      </w:r>
    </w:p>
    <w:p w:rsidR="00887330" w:rsidRPr="00583E1A" w:rsidRDefault="00887330" w:rsidP="00887330">
      <w:pPr>
        <w:pStyle w:val="paragraphsub"/>
      </w:pPr>
      <w:r w:rsidRPr="00583E1A">
        <w:tab/>
        <w:t>(i)</w:t>
      </w:r>
      <w:r w:rsidRPr="00583E1A">
        <w:tab/>
        <w:t>are prepared in relation to the company for the period in accordance with commercially accepted accounting principles; and</w:t>
      </w:r>
    </w:p>
    <w:p w:rsidR="00887330" w:rsidRPr="00583E1A" w:rsidRDefault="00887330" w:rsidP="00887330">
      <w:pPr>
        <w:pStyle w:val="paragraphsub"/>
      </w:pPr>
      <w:r w:rsidRPr="00583E1A">
        <w:lastRenderedPageBreak/>
        <w:tab/>
        <w:t>(ii)</w:t>
      </w:r>
      <w:r w:rsidRPr="00583E1A">
        <w:tab/>
        <w:t>give a true and fair view of the financial position of the company.</w:t>
      </w:r>
    </w:p>
    <w:p w:rsidR="00887330" w:rsidRPr="00583E1A" w:rsidRDefault="00887330" w:rsidP="00EC6DBA">
      <w:pPr>
        <w:pStyle w:val="Definition"/>
        <w:keepNext/>
      </w:pPr>
      <w:r w:rsidRPr="00583E1A">
        <w:rPr>
          <w:b/>
          <w:i/>
        </w:rPr>
        <w:t>recognised consolidated accounts</w:t>
      </w:r>
      <w:r w:rsidRPr="00583E1A">
        <w:t>, for a period,</w:t>
      </w:r>
      <w:r w:rsidRPr="00583E1A">
        <w:rPr>
          <w:b/>
          <w:i/>
        </w:rPr>
        <w:t xml:space="preserve"> </w:t>
      </w:r>
      <w:r w:rsidRPr="00583E1A">
        <w:t>of 2 or more companies that are foreign residents means:</w:t>
      </w:r>
    </w:p>
    <w:p w:rsidR="00887330" w:rsidRPr="00583E1A" w:rsidRDefault="00887330" w:rsidP="00887330">
      <w:pPr>
        <w:pStyle w:val="paragraph"/>
      </w:pPr>
      <w:r w:rsidRPr="00583E1A">
        <w:tab/>
        <w:t>(a)</w:t>
      </w:r>
      <w:r w:rsidRPr="00583E1A">
        <w:tab/>
        <w:t>consolidated accounts that are prepared in relation to those companies for the period in accordance with standards covered by subsection 820</w:t>
      </w:r>
      <w:r w:rsidR="00583E1A">
        <w:noBreakHyphen/>
      </w:r>
      <w:r w:rsidRPr="00583E1A">
        <w:t>960(1C) or (1D); or</w:t>
      </w:r>
    </w:p>
    <w:p w:rsidR="00887330" w:rsidRPr="00583E1A" w:rsidRDefault="00887330" w:rsidP="00397971">
      <w:pPr>
        <w:pStyle w:val="paragraph"/>
        <w:keepNext/>
      </w:pPr>
      <w:r w:rsidRPr="00583E1A">
        <w:tab/>
        <w:t>(b)</w:t>
      </w:r>
      <w:r w:rsidRPr="00583E1A">
        <w:tab/>
        <w:t>if there are no such accounts for the period—consolidated accounts that:</w:t>
      </w:r>
    </w:p>
    <w:p w:rsidR="00887330" w:rsidRPr="00583E1A" w:rsidRDefault="00887330" w:rsidP="00887330">
      <w:pPr>
        <w:pStyle w:val="paragraphsub"/>
      </w:pPr>
      <w:r w:rsidRPr="00583E1A">
        <w:tab/>
        <w:t>(i)</w:t>
      </w:r>
      <w:r w:rsidRPr="00583E1A">
        <w:tab/>
        <w:t>are prepared in relation to those companies for the period in accordance with commercially accepted accounting principles; and</w:t>
      </w:r>
    </w:p>
    <w:p w:rsidR="00887330" w:rsidRPr="00583E1A" w:rsidRDefault="00887330" w:rsidP="00887330">
      <w:pPr>
        <w:pStyle w:val="paragraphsub"/>
      </w:pPr>
      <w:r w:rsidRPr="00583E1A">
        <w:tab/>
        <w:t>(ii)</w:t>
      </w:r>
      <w:r w:rsidRPr="00583E1A">
        <w:tab/>
        <w:t>give a true and fair view of the financial position of the companies on a consolidated basis.</w:t>
      </w:r>
    </w:p>
    <w:p w:rsidR="009D376C" w:rsidRPr="00583E1A" w:rsidRDefault="009D376C" w:rsidP="009D376C">
      <w:pPr>
        <w:pStyle w:val="Definition"/>
      </w:pPr>
      <w:r w:rsidRPr="00583E1A">
        <w:rPr>
          <w:b/>
          <w:i/>
        </w:rPr>
        <w:t xml:space="preserve">recognised new investment amount </w:t>
      </w:r>
      <w:r w:rsidRPr="00583E1A">
        <w:t>has the meaning given by section</w:t>
      </w:r>
      <w:r w:rsidR="00583E1A">
        <w:t> </w:t>
      </w:r>
      <w:r w:rsidRPr="00583E1A">
        <w:t>41</w:t>
      </w:r>
      <w:r w:rsidR="00583E1A">
        <w:noBreakHyphen/>
      </w:r>
      <w:r w:rsidRPr="00583E1A">
        <w:t>20.</w:t>
      </w:r>
    </w:p>
    <w:p w:rsidR="00887330" w:rsidRPr="00583E1A" w:rsidRDefault="00887330" w:rsidP="00887330">
      <w:pPr>
        <w:pStyle w:val="Definition"/>
      </w:pPr>
      <w:r w:rsidRPr="00583E1A">
        <w:rPr>
          <w:b/>
          <w:i/>
        </w:rPr>
        <w:t>recognised tax adviser</w:t>
      </w:r>
      <w:r w:rsidRPr="00583E1A">
        <w:t xml:space="preserve"> means:</w:t>
      </w:r>
    </w:p>
    <w:p w:rsidR="00887330" w:rsidRPr="00583E1A" w:rsidRDefault="00887330" w:rsidP="00887330">
      <w:pPr>
        <w:pStyle w:val="paragraph"/>
      </w:pPr>
      <w:r w:rsidRPr="00583E1A">
        <w:tab/>
        <w:t>(a)</w:t>
      </w:r>
      <w:r w:rsidRPr="00583E1A">
        <w:tab/>
        <w:t xml:space="preserve">a </w:t>
      </w:r>
      <w:r w:rsidR="00583E1A" w:rsidRPr="00583E1A">
        <w:rPr>
          <w:position w:val="6"/>
          <w:sz w:val="16"/>
        </w:rPr>
        <w:t>*</w:t>
      </w:r>
      <w:r w:rsidRPr="00583E1A">
        <w:t>registered tax agent</w:t>
      </w:r>
      <w:r w:rsidR="00553ED4" w:rsidRPr="00553ED4">
        <w:t xml:space="preserve"> </w:t>
      </w:r>
      <w:r w:rsidR="00553ED4" w:rsidRPr="006E37FD">
        <w:t>or BAS agent</w:t>
      </w:r>
      <w:r w:rsidRPr="00583E1A">
        <w:t>; or</w:t>
      </w:r>
    </w:p>
    <w:p w:rsidR="00887330" w:rsidRPr="00583E1A" w:rsidRDefault="00887330" w:rsidP="00887330">
      <w:pPr>
        <w:pStyle w:val="paragraph"/>
      </w:pPr>
      <w:r w:rsidRPr="00583E1A">
        <w:tab/>
        <w:t>(b)</w:t>
      </w:r>
      <w:r w:rsidRPr="00583E1A">
        <w:tab/>
        <w:t>a legal practitioner.</w:t>
      </w:r>
    </w:p>
    <w:p w:rsidR="00887330" w:rsidRPr="00583E1A" w:rsidRDefault="00887330" w:rsidP="00887330">
      <w:pPr>
        <w:pStyle w:val="Definition"/>
      </w:pPr>
      <w:r w:rsidRPr="00583E1A">
        <w:rPr>
          <w:b/>
          <w:i/>
        </w:rPr>
        <w:t>recoupment</w:t>
      </w:r>
      <w:r w:rsidRPr="00583E1A">
        <w:t xml:space="preserve"> has the meaning given by section</w:t>
      </w:r>
      <w:r w:rsidR="00583E1A">
        <w:t> </w:t>
      </w:r>
      <w:r w:rsidRPr="00583E1A">
        <w:t>20</w:t>
      </w:r>
      <w:r w:rsidR="00583E1A">
        <w:noBreakHyphen/>
      </w:r>
      <w:r w:rsidRPr="00583E1A">
        <w:t>25.</w:t>
      </w:r>
    </w:p>
    <w:p w:rsidR="00887330" w:rsidRPr="00583E1A" w:rsidRDefault="00887330" w:rsidP="00887330">
      <w:pPr>
        <w:pStyle w:val="Definition"/>
      </w:pPr>
      <w:r w:rsidRPr="00583E1A">
        <w:rPr>
          <w:b/>
          <w:i/>
        </w:rPr>
        <w:t>recreation</w:t>
      </w:r>
      <w:r w:rsidRPr="00583E1A">
        <w:t xml:space="preserve"> includes amusement, sport or similar leisure</w:t>
      </w:r>
      <w:r w:rsidR="00583E1A">
        <w:noBreakHyphen/>
      </w:r>
      <w:r w:rsidRPr="00583E1A">
        <w:t>time pursuits.</w:t>
      </w:r>
    </w:p>
    <w:p w:rsidR="00887330" w:rsidRPr="00583E1A" w:rsidRDefault="00887330" w:rsidP="00887330">
      <w:pPr>
        <w:pStyle w:val="Definition"/>
      </w:pPr>
      <w:r w:rsidRPr="00583E1A">
        <w:rPr>
          <w:b/>
          <w:i/>
        </w:rPr>
        <w:t>recreational club</w:t>
      </w:r>
      <w:r w:rsidRPr="00583E1A">
        <w:t xml:space="preserve"> has the meaning given by subsection 26</w:t>
      </w:r>
      <w:r w:rsidR="00583E1A">
        <w:noBreakHyphen/>
      </w:r>
      <w:r w:rsidRPr="00583E1A">
        <w:t>45(2).</w:t>
      </w:r>
    </w:p>
    <w:p w:rsidR="00887330" w:rsidRPr="00583E1A" w:rsidRDefault="00887330" w:rsidP="007D29DB">
      <w:pPr>
        <w:pStyle w:val="Definition"/>
        <w:keepNext/>
        <w:keepLines/>
      </w:pPr>
      <w:r w:rsidRPr="00583E1A">
        <w:rPr>
          <w:b/>
          <w:i/>
        </w:rPr>
        <w:t>redeemable shares</w:t>
      </w:r>
      <w:r w:rsidRPr="00583E1A">
        <w:rPr>
          <w:i/>
        </w:rPr>
        <w:t xml:space="preserve"> </w:t>
      </w:r>
      <w:r w:rsidRPr="00583E1A">
        <w:t>means:</w:t>
      </w:r>
    </w:p>
    <w:p w:rsidR="00887330" w:rsidRPr="00583E1A" w:rsidRDefault="00887330" w:rsidP="00887330">
      <w:pPr>
        <w:pStyle w:val="paragraph"/>
      </w:pPr>
      <w:r w:rsidRPr="00583E1A">
        <w:tab/>
        <w:t>(a)</w:t>
      </w:r>
      <w:r w:rsidRPr="00583E1A">
        <w:tab/>
      </w:r>
      <w:r w:rsidR="00583E1A" w:rsidRPr="00583E1A">
        <w:rPr>
          <w:position w:val="6"/>
          <w:sz w:val="16"/>
        </w:rPr>
        <w:t>*</w:t>
      </w:r>
      <w:r w:rsidRPr="00583E1A">
        <w:t>shares that are liable to be redeemed; or</w:t>
      </w:r>
    </w:p>
    <w:p w:rsidR="00887330" w:rsidRPr="00583E1A" w:rsidRDefault="00887330" w:rsidP="00887330">
      <w:pPr>
        <w:pStyle w:val="paragraph"/>
      </w:pPr>
      <w:r w:rsidRPr="00583E1A">
        <w:tab/>
        <w:t>(b)</w:t>
      </w:r>
      <w:r w:rsidRPr="00583E1A">
        <w:tab/>
        <w:t>shares that, at the option of the company that issued them, are liable to be redeemed.</w:t>
      </w:r>
    </w:p>
    <w:p w:rsidR="00887330" w:rsidRPr="00583E1A" w:rsidRDefault="00887330" w:rsidP="00887330">
      <w:pPr>
        <w:pStyle w:val="Definition"/>
        <w:rPr>
          <w:b/>
          <w:i/>
        </w:rPr>
      </w:pPr>
      <w:r w:rsidRPr="00583E1A">
        <w:rPr>
          <w:b/>
          <w:i/>
        </w:rPr>
        <w:t xml:space="preserve">reduce a franking assessment </w:t>
      </w:r>
      <w:r w:rsidRPr="00583E1A">
        <w:t>has the meaning given by subsection 214</w:t>
      </w:r>
      <w:r w:rsidR="00583E1A">
        <w:noBreakHyphen/>
      </w:r>
      <w:r w:rsidRPr="00583E1A">
        <w:t>125(2).</w:t>
      </w:r>
    </w:p>
    <w:p w:rsidR="00887330" w:rsidRPr="00583E1A" w:rsidRDefault="00887330" w:rsidP="00887330">
      <w:pPr>
        <w:pStyle w:val="Definition"/>
      </w:pPr>
      <w:r w:rsidRPr="00583E1A">
        <w:rPr>
          <w:b/>
          <w:i/>
        </w:rPr>
        <w:t>reduced beneficiary’s share</w:t>
      </w:r>
      <w:r w:rsidRPr="00583E1A">
        <w:t xml:space="preserve"> of a trust’s net income for an income year has the meaning given by section</w:t>
      </w:r>
      <w:r w:rsidR="00583E1A">
        <w:t> </w:t>
      </w:r>
      <w:r w:rsidRPr="00583E1A">
        <w:t>45</w:t>
      </w:r>
      <w:r w:rsidR="00583E1A">
        <w:noBreakHyphen/>
      </w:r>
      <w:r w:rsidRPr="00583E1A">
        <w:t>483 in Schedule</w:t>
      </w:r>
      <w:r w:rsidR="00583E1A">
        <w:t> </w:t>
      </w:r>
      <w:r w:rsidRPr="00583E1A">
        <w:t xml:space="preserve">1 to the </w:t>
      </w:r>
      <w:r w:rsidRPr="00583E1A">
        <w:rPr>
          <w:i/>
        </w:rPr>
        <w:t>Taxation Administration Act 1953</w:t>
      </w:r>
      <w:r w:rsidRPr="00583E1A">
        <w:t xml:space="preserve">. </w:t>
      </w:r>
    </w:p>
    <w:p w:rsidR="00887330" w:rsidRPr="00583E1A" w:rsidRDefault="00887330" w:rsidP="00887330">
      <w:pPr>
        <w:pStyle w:val="Definition"/>
      </w:pPr>
      <w:r w:rsidRPr="00583E1A">
        <w:rPr>
          <w:b/>
          <w:i/>
        </w:rPr>
        <w:lastRenderedPageBreak/>
        <w:t>reduced cost base</w:t>
      </w:r>
      <w:r w:rsidRPr="00583E1A">
        <w:t xml:space="preserve"> of a </w:t>
      </w:r>
      <w:r w:rsidR="00583E1A" w:rsidRPr="00583E1A">
        <w:rPr>
          <w:position w:val="6"/>
          <w:sz w:val="16"/>
        </w:rPr>
        <w:t>*</w:t>
      </w:r>
      <w:r w:rsidRPr="00583E1A">
        <w:t>CGT asset has the meaning given by Subdivision</w:t>
      </w:r>
      <w:r w:rsidR="00583E1A">
        <w:t> </w:t>
      </w:r>
      <w:r w:rsidRPr="00583E1A">
        <w:t>110</w:t>
      </w:r>
      <w:r w:rsidR="00583E1A">
        <w:noBreakHyphen/>
      </w:r>
      <w:r w:rsidRPr="00583E1A">
        <w:t>B.</w:t>
      </w:r>
    </w:p>
    <w:p w:rsidR="00887330" w:rsidRPr="00583E1A" w:rsidRDefault="00887330" w:rsidP="00887330">
      <w:pPr>
        <w:pStyle w:val="Definition"/>
      </w:pPr>
      <w:r w:rsidRPr="00583E1A">
        <w:rPr>
          <w:b/>
          <w:i/>
        </w:rPr>
        <w:t xml:space="preserve">reduced net asset amount </w:t>
      </w:r>
      <w:r w:rsidRPr="00583E1A">
        <w:t>has the meaning given by section</w:t>
      </w:r>
      <w:r w:rsidR="00583E1A">
        <w:t> </w:t>
      </w:r>
      <w:r w:rsidRPr="00583E1A">
        <w:t>104</w:t>
      </w:r>
      <w:r w:rsidR="00583E1A">
        <w:noBreakHyphen/>
      </w:r>
      <w:r w:rsidRPr="00583E1A">
        <w:t>100.</w:t>
      </w:r>
    </w:p>
    <w:p w:rsidR="00887330" w:rsidRPr="00583E1A" w:rsidRDefault="00887330" w:rsidP="00887330">
      <w:pPr>
        <w:pStyle w:val="Definition"/>
      </w:pPr>
      <w:r w:rsidRPr="00583E1A">
        <w:rPr>
          <w:b/>
          <w:i/>
        </w:rPr>
        <w:t>reduced no beneficiary’s share</w:t>
      </w:r>
      <w:r w:rsidRPr="00583E1A">
        <w:t xml:space="preserve"> of a trust’s net income for an income year has the meaning given by section</w:t>
      </w:r>
      <w:r w:rsidR="00583E1A">
        <w:t> </w:t>
      </w:r>
      <w:r w:rsidRPr="00583E1A">
        <w:t>45</w:t>
      </w:r>
      <w:r w:rsidR="00583E1A">
        <w:noBreakHyphen/>
      </w:r>
      <w:r w:rsidRPr="00583E1A">
        <w:t>483 in Schedule</w:t>
      </w:r>
      <w:r w:rsidR="00583E1A">
        <w:t> </w:t>
      </w:r>
      <w:r w:rsidRPr="00583E1A">
        <w:t xml:space="preserve">1 to the </w:t>
      </w:r>
      <w:r w:rsidRPr="00583E1A">
        <w:rPr>
          <w:i/>
        </w:rPr>
        <w:t>Taxation Administration Act 1953</w:t>
      </w:r>
      <w:r w:rsidRPr="00583E1A">
        <w:t xml:space="preserve">. </w:t>
      </w:r>
    </w:p>
    <w:p w:rsidR="00887330" w:rsidRPr="00583E1A" w:rsidRDefault="00887330" w:rsidP="00887330">
      <w:pPr>
        <w:pStyle w:val="Definition"/>
      </w:pPr>
      <w:r w:rsidRPr="00583E1A">
        <w:rPr>
          <w:b/>
          <w:i/>
        </w:rPr>
        <w:t>reduction amount</w:t>
      </w:r>
      <w:r w:rsidRPr="00583E1A">
        <w:t xml:space="preserve"> has the meaning given by subsections 385</w:t>
      </w:r>
      <w:r w:rsidR="00583E1A">
        <w:noBreakHyphen/>
      </w:r>
      <w:r w:rsidRPr="00583E1A">
        <w:t>120(2) and (3).</w:t>
      </w:r>
    </w:p>
    <w:p w:rsidR="00E74CE2" w:rsidRPr="00E811AF" w:rsidRDefault="00E74CE2" w:rsidP="00E74CE2">
      <w:pPr>
        <w:pStyle w:val="Definition"/>
      </w:pPr>
      <w:r w:rsidRPr="00E811AF">
        <w:rPr>
          <w:b/>
          <w:i/>
        </w:rPr>
        <w:t>registered emissions unit</w:t>
      </w:r>
      <w:r w:rsidRPr="00E811AF">
        <w:t xml:space="preserve"> has the meaning given by section 420</w:t>
      </w:r>
      <w:r w:rsidRPr="00E811AF">
        <w:noBreakHyphen/>
        <w:t>10.</w:t>
      </w:r>
    </w:p>
    <w:p w:rsidR="00887330" w:rsidRPr="00583E1A" w:rsidRDefault="00887330" w:rsidP="00887330">
      <w:pPr>
        <w:pStyle w:val="Definition"/>
      </w:pPr>
      <w:r w:rsidRPr="00583E1A">
        <w:rPr>
          <w:b/>
          <w:i/>
        </w:rPr>
        <w:t>registered scheme</w:t>
      </w:r>
      <w:r w:rsidRPr="00583E1A">
        <w:t xml:space="preserve"> has the same meaning as in the </w:t>
      </w:r>
      <w:r w:rsidRPr="00583E1A">
        <w:rPr>
          <w:i/>
        </w:rPr>
        <w:t>Corporations Act 2001</w:t>
      </w:r>
      <w:r w:rsidRPr="00583E1A">
        <w:t>.</w:t>
      </w:r>
    </w:p>
    <w:p w:rsidR="00553ED4" w:rsidRPr="006E37FD" w:rsidRDefault="00553ED4" w:rsidP="00553ED4">
      <w:pPr>
        <w:pStyle w:val="Definition"/>
      </w:pPr>
      <w:r w:rsidRPr="006E37FD">
        <w:rPr>
          <w:b/>
          <w:i/>
        </w:rPr>
        <w:t xml:space="preserve">registered tax agent </w:t>
      </w:r>
      <w:r w:rsidRPr="006E37FD">
        <w:t>has the meaning given by subsection 90</w:t>
      </w:r>
      <w:r w:rsidRPr="006E37FD">
        <w:noBreakHyphen/>
        <w:t xml:space="preserve">1(1) of the </w:t>
      </w:r>
      <w:r w:rsidRPr="006E37FD">
        <w:rPr>
          <w:i/>
        </w:rPr>
        <w:t>Tax Agent Services Act 2009</w:t>
      </w:r>
      <w:r w:rsidRPr="006E37FD">
        <w:t>.</w:t>
      </w:r>
    </w:p>
    <w:p w:rsidR="00553ED4" w:rsidRPr="006E37FD" w:rsidRDefault="00553ED4" w:rsidP="00553ED4">
      <w:pPr>
        <w:pStyle w:val="Definition"/>
      </w:pPr>
      <w:r w:rsidRPr="006E37FD">
        <w:rPr>
          <w:b/>
          <w:i/>
        </w:rPr>
        <w:t>registered tax agent or BAS agent</w:t>
      </w:r>
      <w:r w:rsidRPr="006E37FD">
        <w:t xml:space="preserve"> has the same meaning as in the </w:t>
      </w:r>
      <w:r w:rsidRPr="006E37FD">
        <w:rPr>
          <w:i/>
        </w:rPr>
        <w:t>Tax Agent Services Act 2009</w:t>
      </w:r>
      <w:r w:rsidRPr="006E37FD">
        <w:t>.</w:t>
      </w:r>
    </w:p>
    <w:p w:rsidR="00887330" w:rsidRPr="00583E1A" w:rsidRDefault="00887330" w:rsidP="00887330">
      <w:pPr>
        <w:pStyle w:val="Definition"/>
      </w:pPr>
      <w:r w:rsidRPr="00583E1A">
        <w:rPr>
          <w:b/>
          <w:i/>
        </w:rPr>
        <w:t xml:space="preserve">registration requirements of an AFOF </w:t>
      </w:r>
      <w:r w:rsidRPr="00583E1A">
        <w:t>has the meaning given by subsection 9</w:t>
      </w:r>
      <w:r w:rsidR="00583E1A">
        <w:noBreakHyphen/>
      </w:r>
      <w:r w:rsidRPr="00583E1A">
        <w:t xml:space="preserve">5(1) of the </w:t>
      </w:r>
      <w:r w:rsidRPr="00583E1A">
        <w:rPr>
          <w:i/>
        </w:rPr>
        <w:t>Venture Capital Act 2002</w:t>
      </w:r>
      <w:r w:rsidRPr="00583E1A">
        <w:t>.</w:t>
      </w:r>
    </w:p>
    <w:p w:rsidR="00F90C34" w:rsidRPr="00583E1A" w:rsidRDefault="00F90C34" w:rsidP="00F90C34">
      <w:pPr>
        <w:pStyle w:val="Definition"/>
      </w:pPr>
      <w:r w:rsidRPr="00583E1A">
        <w:rPr>
          <w:b/>
          <w:i/>
        </w:rPr>
        <w:t>registration requirements of an ESVCLP</w:t>
      </w:r>
      <w:r w:rsidRPr="00583E1A">
        <w:t xml:space="preserve"> has the meaning given by subsection 9</w:t>
      </w:r>
      <w:r w:rsidR="00583E1A">
        <w:noBreakHyphen/>
      </w:r>
      <w:r w:rsidRPr="00583E1A">
        <w:t xml:space="preserve">3(1) of the </w:t>
      </w:r>
      <w:r w:rsidRPr="00583E1A">
        <w:rPr>
          <w:i/>
        </w:rPr>
        <w:t>Venture Capital Act 2002</w:t>
      </w:r>
      <w:r w:rsidRPr="00583E1A">
        <w:t>.</w:t>
      </w:r>
    </w:p>
    <w:p w:rsidR="00887330" w:rsidRPr="00583E1A" w:rsidRDefault="00887330" w:rsidP="00887330">
      <w:pPr>
        <w:pStyle w:val="Definition"/>
      </w:pPr>
      <w:r w:rsidRPr="00583E1A">
        <w:rPr>
          <w:b/>
          <w:i/>
        </w:rPr>
        <w:t xml:space="preserve">registration requirements of a VCLP </w:t>
      </w:r>
      <w:r w:rsidRPr="00583E1A">
        <w:t>has the meaning given by subsection 9</w:t>
      </w:r>
      <w:r w:rsidR="00583E1A">
        <w:noBreakHyphen/>
      </w:r>
      <w:r w:rsidRPr="00583E1A">
        <w:t xml:space="preserve">1(1) of the </w:t>
      </w:r>
      <w:r w:rsidRPr="00583E1A">
        <w:rPr>
          <w:i/>
        </w:rPr>
        <w:t>Venture Capital Act 2002</w:t>
      </w:r>
      <w:r w:rsidRPr="00583E1A">
        <w:t>.</w:t>
      </w:r>
    </w:p>
    <w:p w:rsidR="00BB4758" w:rsidRPr="005E19E0" w:rsidRDefault="00BB4758" w:rsidP="00BB4758">
      <w:pPr>
        <w:pStyle w:val="Definition"/>
        <w:rPr>
          <w:b/>
          <w:i/>
        </w:rPr>
      </w:pPr>
      <w:r w:rsidRPr="005E19E0">
        <w:rPr>
          <w:b/>
          <w:i/>
        </w:rPr>
        <w:t xml:space="preserve">rehabilitation tax offset </w:t>
      </w:r>
      <w:r w:rsidRPr="005E19E0">
        <w:t>has the meaning given by section 300</w:t>
      </w:r>
      <w:r w:rsidRPr="005E19E0">
        <w:noBreakHyphen/>
        <w:t xml:space="preserve">1 of the </w:t>
      </w:r>
      <w:r w:rsidRPr="005E19E0">
        <w:rPr>
          <w:i/>
        </w:rPr>
        <w:t>Minerals Resource Rent Tax Act 201</w:t>
      </w:r>
      <w:r>
        <w:rPr>
          <w:i/>
        </w:rPr>
        <w:t>2</w:t>
      </w:r>
      <w:r w:rsidRPr="005E19E0">
        <w:t>.</w:t>
      </w:r>
    </w:p>
    <w:p w:rsidR="00887330" w:rsidRPr="00583E1A" w:rsidRDefault="00887330" w:rsidP="00887330">
      <w:pPr>
        <w:pStyle w:val="Definition"/>
      </w:pPr>
      <w:r w:rsidRPr="00583E1A">
        <w:rPr>
          <w:b/>
          <w:i/>
        </w:rPr>
        <w:t>related entity</w:t>
      </w:r>
      <w:r w:rsidRPr="00583E1A">
        <w:t xml:space="preserve"> has the meaning given by subsections 26</w:t>
      </w:r>
      <w:r w:rsidR="00583E1A">
        <w:noBreakHyphen/>
      </w:r>
      <w:r w:rsidRPr="00583E1A">
        <w:t>35(2) and (3).</w:t>
      </w:r>
    </w:p>
    <w:p w:rsidR="00887330" w:rsidRPr="00583E1A" w:rsidRDefault="00887330" w:rsidP="00887330">
      <w:pPr>
        <w:pStyle w:val="Definition"/>
      </w:pPr>
      <w:r w:rsidRPr="00583E1A">
        <w:rPr>
          <w:b/>
          <w:i/>
        </w:rPr>
        <w:t>related scheme</w:t>
      </w:r>
      <w:r w:rsidRPr="00583E1A">
        <w:t xml:space="preserve"> has the meaning given by section</w:t>
      </w:r>
      <w:r w:rsidR="00583E1A">
        <w:t> </w:t>
      </w:r>
      <w:r w:rsidRPr="00583E1A">
        <w:t>974</w:t>
      </w:r>
      <w:r w:rsidR="00583E1A">
        <w:noBreakHyphen/>
      </w:r>
      <w:r w:rsidRPr="00583E1A">
        <w:t>155.</w:t>
      </w:r>
    </w:p>
    <w:p w:rsidR="00887330" w:rsidRPr="00583E1A" w:rsidRDefault="00887330" w:rsidP="00887330">
      <w:pPr>
        <w:pStyle w:val="Definition"/>
      </w:pPr>
      <w:r w:rsidRPr="00583E1A">
        <w:rPr>
          <w:b/>
          <w:i/>
        </w:rPr>
        <w:t>relative</w:t>
      </w:r>
      <w:r w:rsidRPr="00583E1A">
        <w:t xml:space="preserve"> of a person means:</w:t>
      </w:r>
    </w:p>
    <w:p w:rsidR="00887330" w:rsidRPr="00583E1A" w:rsidRDefault="00887330" w:rsidP="00887330">
      <w:pPr>
        <w:pStyle w:val="paragraph"/>
      </w:pPr>
      <w:r w:rsidRPr="00583E1A">
        <w:tab/>
        <w:t>(a)</w:t>
      </w:r>
      <w:r w:rsidRPr="00583E1A">
        <w:tab/>
        <w:t xml:space="preserve">the person’s </w:t>
      </w:r>
      <w:r w:rsidR="00583E1A" w:rsidRPr="00583E1A">
        <w:rPr>
          <w:position w:val="6"/>
          <w:sz w:val="16"/>
        </w:rPr>
        <w:t>*</w:t>
      </w:r>
      <w:r w:rsidRPr="00583E1A">
        <w:t>spouse; or</w:t>
      </w:r>
    </w:p>
    <w:p w:rsidR="00887330" w:rsidRPr="00583E1A" w:rsidRDefault="00887330" w:rsidP="00887330">
      <w:pPr>
        <w:pStyle w:val="paragraph"/>
      </w:pPr>
      <w:r w:rsidRPr="00583E1A">
        <w:lastRenderedPageBreak/>
        <w:tab/>
        <w:t>(b)</w:t>
      </w:r>
      <w:r w:rsidRPr="00583E1A">
        <w:tab/>
        <w:t xml:space="preserve">the </w:t>
      </w:r>
      <w:r w:rsidR="00583E1A" w:rsidRPr="00583E1A">
        <w:rPr>
          <w:position w:val="6"/>
          <w:sz w:val="16"/>
        </w:rPr>
        <w:t>*</w:t>
      </w:r>
      <w:r w:rsidR="00D104B7" w:rsidRPr="00583E1A">
        <w:t>parent</w:t>
      </w:r>
      <w:r w:rsidRPr="00583E1A">
        <w:t xml:space="preserve">, grandparent, brother, sister, uncle, aunt, nephew, niece, lineal descendent or </w:t>
      </w:r>
      <w:r w:rsidR="00583E1A" w:rsidRPr="00583E1A">
        <w:rPr>
          <w:position w:val="6"/>
          <w:sz w:val="16"/>
        </w:rPr>
        <w:t>*</w:t>
      </w:r>
      <w:r w:rsidRPr="00583E1A">
        <w:t>adopted child of that person, or of that person’s spouse; or</w:t>
      </w:r>
    </w:p>
    <w:p w:rsidR="00887330" w:rsidRPr="00583E1A" w:rsidRDefault="00887330" w:rsidP="00887330">
      <w:pPr>
        <w:pStyle w:val="paragraph"/>
      </w:pPr>
      <w:r w:rsidRPr="00583E1A">
        <w:tab/>
        <w:t>(c)</w:t>
      </w:r>
      <w:r w:rsidRPr="00583E1A">
        <w:tab/>
        <w:t xml:space="preserve">the spouse of a person referred to in </w:t>
      </w:r>
      <w:r w:rsidR="00583E1A">
        <w:t>paragraph (</w:t>
      </w:r>
      <w:r w:rsidRPr="00583E1A">
        <w:t>b).</w:t>
      </w:r>
    </w:p>
    <w:p w:rsidR="00D104B7" w:rsidRPr="00583E1A" w:rsidRDefault="00D104B7" w:rsidP="00D104B7">
      <w:pPr>
        <w:pStyle w:val="notetext"/>
      </w:pPr>
      <w:r w:rsidRPr="00583E1A">
        <w:t>Note:</w:t>
      </w:r>
      <w:r w:rsidRPr="00583E1A">
        <w:tab/>
        <w:t>Section</w:t>
      </w:r>
      <w:r w:rsidR="00583E1A">
        <w:t> </w:t>
      </w:r>
      <w:r w:rsidRPr="00583E1A">
        <w:t>960</w:t>
      </w:r>
      <w:r w:rsidR="00583E1A">
        <w:noBreakHyphen/>
      </w:r>
      <w:r w:rsidRPr="00583E1A">
        <w:t>255</w:t>
      </w:r>
      <w:r w:rsidR="00583E1A">
        <w:t> </w:t>
      </w:r>
      <w:r w:rsidRPr="00583E1A">
        <w:t xml:space="preserve">may be relevant to determining relationships for the purposes of </w:t>
      </w:r>
      <w:r w:rsidR="00583E1A">
        <w:t>paragraph (</w:t>
      </w:r>
      <w:r w:rsidRPr="00583E1A">
        <w:t xml:space="preserve">b) of the definition of </w:t>
      </w:r>
      <w:r w:rsidRPr="00583E1A">
        <w:rPr>
          <w:b/>
          <w:i/>
        </w:rPr>
        <w:t>relative</w:t>
      </w:r>
      <w:r w:rsidRPr="00583E1A">
        <w:t>.</w:t>
      </w:r>
    </w:p>
    <w:p w:rsidR="00887330" w:rsidRPr="00583E1A" w:rsidRDefault="00887330" w:rsidP="00887330">
      <w:pPr>
        <w:pStyle w:val="Definition"/>
      </w:pPr>
      <w:r w:rsidRPr="00583E1A">
        <w:rPr>
          <w:b/>
          <w:i/>
        </w:rPr>
        <w:t>relevant interest</w:t>
      </w:r>
      <w:r w:rsidRPr="00583E1A">
        <w:t xml:space="preserve"> has the same meaning as in the </w:t>
      </w:r>
      <w:r w:rsidRPr="00583E1A">
        <w:rPr>
          <w:i/>
        </w:rPr>
        <w:t>Corporations Act 2001</w:t>
      </w:r>
      <w:r w:rsidRPr="00583E1A">
        <w:t>.</w:t>
      </w:r>
    </w:p>
    <w:p w:rsidR="00887330" w:rsidRPr="00583E1A" w:rsidRDefault="00887330" w:rsidP="00887330">
      <w:pPr>
        <w:pStyle w:val="Definition"/>
      </w:pPr>
      <w:r w:rsidRPr="00583E1A">
        <w:rPr>
          <w:b/>
          <w:i/>
        </w:rPr>
        <w:t>religious practitioner</w:t>
      </w:r>
      <w:r w:rsidRPr="00583E1A">
        <w:t xml:space="preserve"> means:</w:t>
      </w:r>
    </w:p>
    <w:p w:rsidR="00887330" w:rsidRPr="00583E1A" w:rsidRDefault="00887330" w:rsidP="00887330">
      <w:pPr>
        <w:pStyle w:val="paragraph"/>
      </w:pPr>
      <w:r w:rsidRPr="00583E1A">
        <w:tab/>
        <w:t>(a)</w:t>
      </w:r>
      <w:r w:rsidRPr="00583E1A">
        <w:tab/>
        <w:t>a minister of religion; or</w:t>
      </w:r>
    </w:p>
    <w:p w:rsidR="00887330" w:rsidRPr="00583E1A" w:rsidRDefault="00887330" w:rsidP="00887330">
      <w:pPr>
        <w:pStyle w:val="paragraph"/>
      </w:pPr>
      <w:r w:rsidRPr="00583E1A">
        <w:tab/>
        <w:t>(b)</w:t>
      </w:r>
      <w:r w:rsidRPr="00583E1A">
        <w:tab/>
        <w:t>a student at an institution who is undertaking a course of instruction in the duties of a minister of religion; or</w:t>
      </w:r>
    </w:p>
    <w:p w:rsidR="00887330" w:rsidRPr="00583E1A" w:rsidRDefault="00887330" w:rsidP="00887330">
      <w:pPr>
        <w:pStyle w:val="paragraph"/>
      </w:pPr>
      <w:r w:rsidRPr="00583E1A">
        <w:tab/>
        <w:t>(c)</w:t>
      </w:r>
      <w:r w:rsidRPr="00583E1A">
        <w:tab/>
        <w:t>a full</w:t>
      </w:r>
      <w:r w:rsidR="00583E1A">
        <w:noBreakHyphen/>
      </w:r>
      <w:r w:rsidRPr="00583E1A">
        <w:t>time member of a religious order; or</w:t>
      </w:r>
    </w:p>
    <w:p w:rsidR="00887330" w:rsidRPr="00583E1A" w:rsidRDefault="00887330" w:rsidP="00887330">
      <w:pPr>
        <w:pStyle w:val="paragraph"/>
      </w:pPr>
      <w:r w:rsidRPr="00583E1A">
        <w:tab/>
        <w:t>(d)</w:t>
      </w:r>
      <w:r w:rsidRPr="00583E1A">
        <w:tab/>
        <w:t>a student at a college conducted solely for training persons to become members of religious orders.</w:t>
      </w:r>
    </w:p>
    <w:p w:rsidR="004D1D67" w:rsidRPr="007B0680" w:rsidRDefault="004D1D67" w:rsidP="004D1D67">
      <w:pPr>
        <w:pStyle w:val="Definition"/>
      </w:pPr>
      <w:r w:rsidRPr="007B0680">
        <w:rPr>
          <w:b/>
          <w:i/>
        </w:rPr>
        <w:t>remaining effective life</w:t>
      </w:r>
      <w:r w:rsidRPr="007B0680">
        <w:t xml:space="preserve"> of a </w:t>
      </w:r>
      <w:r w:rsidRPr="007B0680">
        <w:rPr>
          <w:position w:val="6"/>
          <w:sz w:val="16"/>
        </w:rPr>
        <w:t>*</w:t>
      </w:r>
      <w:r w:rsidRPr="007B0680">
        <w:t>depreciating asset:</w:t>
      </w:r>
    </w:p>
    <w:p w:rsidR="004D1D67" w:rsidRPr="007B0680" w:rsidRDefault="004D1D67" w:rsidP="004D1D67">
      <w:pPr>
        <w:pStyle w:val="paragraph"/>
      </w:pPr>
      <w:r w:rsidRPr="007B0680">
        <w:tab/>
        <w:t>(a)</w:t>
      </w:r>
      <w:r w:rsidRPr="007B0680">
        <w:tab/>
        <w:t>has the meaning given by section 40</w:t>
      </w:r>
      <w:r w:rsidRPr="007B0680">
        <w:noBreakHyphen/>
        <w:t>75; and</w:t>
      </w:r>
    </w:p>
    <w:p w:rsidR="004D1D67" w:rsidRPr="007B0680" w:rsidRDefault="004D1D67" w:rsidP="004D1D67">
      <w:pPr>
        <w:pStyle w:val="paragraph"/>
      </w:pPr>
      <w:r w:rsidRPr="007B0680">
        <w:tab/>
        <w:t>(b)</w:t>
      </w:r>
      <w:r w:rsidRPr="007B0680">
        <w:tab/>
        <w:t>if the asset is a vessel to which subsection 40</w:t>
      </w:r>
      <w:r w:rsidRPr="007B0680">
        <w:noBreakHyphen/>
        <w:t>103(2) applies—includes the meaning given by that subsection.</w:t>
      </w:r>
    </w:p>
    <w:p w:rsidR="00887330" w:rsidRPr="00583E1A" w:rsidRDefault="00887330" w:rsidP="00887330">
      <w:pPr>
        <w:pStyle w:val="Definition"/>
      </w:pPr>
      <w:r w:rsidRPr="00583E1A">
        <w:rPr>
          <w:b/>
          <w:i/>
        </w:rPr>
        <w:t>replacement</w:t>
      </w:r>
      <w:r w:rsidR="00583E1A">
        <w:rPr>
          <w:b/>
          <w:i/>
        </w:rPr>
        <w:noBreakHyphen/>
      </w:r>
      <w:r w:rsidRPr="00583E1A">
        <w:rPr>
          <w:b/>
          <w:i/>
        </w:rPr>
        <w:t>asset roll</w:t>
      </w:r>
      <w:r w:rsidR="00583E1A">
        <w:rPr>
          <w:b/>
          <w:i/>
        </w:rPr>
        <w:noBreakHyphen/>
      </w:r>
      <w:r w:rsidRPr="00583E1A">
        <w:rPr>
          <w:b/>
          <w:i/>
        </w:rPr>
        <w:t>over</w:t>
      </w:r>
      <w:r w:rsidRPr="00583E1A">
        <w:t xml:space="preserve">: a </w:t>
      </w:r>
      <w:r w:rsidRPr="00583E1A">
        <w:rPr>
          <w:b/>
          <w:i/>
        </w:rPr>
        <w:t>replacement</w:t>
      </w:r>
      <w:r w:rsidR="00583E1A">
        <w:rPr>
          <w:b/>
          <w:i/>
        </w:rPr>
        <w:noBreakHyphen/>
      </w:r>
      <w:r w:rsidRPr="00583E1A">
        <w:rPr>
          <w:b/>
          <w:i/>
        </w:rPr>
        <w:t>asset roll</w:t>
      </w:r>
      <w:r w:rsidR="00583E1A">
        <w:rPr>
          <w:b/>
          <w:i/>
        </w:rPr>
        <w:noBreakHyphen/>
      </w:r>
      <w:r w:rsidRPr="00583E1A">
        <w:rPr>
          <w:b/>
          <w:i/>
        </w:rPr>
        <w:t>over</w:t>
      </w:r>
      <w:r w:rsidRPr="00583E1A">
        <w:t xml:space="preserve"> allows you to defer the making of a </w:t>
      </w:r>
      <w:r w:rsidR="00583E1A" w:rsidRPr="00583E1A">
        <w:rPr>
          <w:position w:val="6"/>
          <w:sz w:val="16"/>
        </w:rPr>
        <w:t>*</w:t>
      </w:r>
      <w:r w:rsidRPr="00583E1A">
        <w:t xml:space="preserve">capital gain or a </w:t>
      </w:r>
      <w:r w:rsidR="00583E1A" w:rsidRPr="00583E1A">
        <w:rPr>
          <w:position w:val="6"/>
          <w:sz w:val="16"/>
        </w:rPr>
        <w:t>*</w:t>
      </w:r>
      <w:r w:rsidRPr="00583E1A">
        <w:t xml:space="preserve">capital loss from one </w:t>
      </w:r>
      <w:r w:rsidR="00583E1A" w:rsidRPr="00583E1A">
        <w:rPr>
          <w:position w:val="6"/>
          <w:sz w:val="16"/>
        </w:rPr>
        <w:t>*</w:t>
      </w:r>
      <w:r w:rsidRPr="00583E1A">
        <w:t xml:space="preserve">CGT event until a later CGT event happens where your ownership of one CGT asset ends and you </w:t>
      </w:r>
      <w:r w:rsidR="00583E1A" w:rsidRPr="00583E1A">
        <w:rPr>
          <w:position w:val="6"/>
          <w:sz w:val="16"/>
        </w:rPr>
        <w:t>*</w:t>
      </w:r>
      <w:r w:rsidRPr="00583E1A">
        <w:t xml:space="preserve">acquire another one. The </w:t>
      </w:r>
      <w:r w:rsidRPr="00583E1A">
        <w:rPr>
          <w:b/>
          <w:i/>
        </w:rPr>
        <w:t>replacement</w:t>
      </w:r>
      <w:r w:rsidR="00583E1A">
        <w:rPr>
          <w:b/>
          <w:i/>
        </w:rPr>
        <w:noBreakHyphen/>
      </w:r>
      <w:r w:rsidRPr="00583E1A">
        <w:rPr>
          <w:b/>
          <w:i/>
        </w:rPr>
        <w:t>asset roll</w:t>
      </w:r>
      <w:r w:rsidR="00583E1A">
        <w:rPr>
          <w:b/>
          <w:i/>
        </w:rPr>
        <w:noBreakHyphen/>
      </w:r>
      <w:r w:rsidRPr="00583E1A">
        <w:rPr>
          <w:b/>
          <w:i/>
        </w:rPr>
        <w:t>overs</w:t>
      </w:r>
      <w:r w:rsidRPr="00583E1A">
        <w:t xml:space="preserve"> are listed in section</w:t>
      </w:r>
      <w:r w:rsidR="00583E1A">
        <w:t> </w:t>
      </w:r>
      <w:r w:rsidRPr="00583E1A">
        <w:t>112</w:t>
      </w:r>
      <w:r w:rsidR="00583E1A">
        <w:noBreakHyphen/>
      </w:r>
      <w:r w:rsidRPr="00583E1A">
        <w:t>115.</w:t>
      </w:r>
    </w:p>
    <w:p w:rsidR="00D9622A" w:rsidRPr="00583E1A" w:rsidRDefault="00D9622A" w:rsidP="00D9622A">
      <w:pPr>
        <w:pStyle w:val="Definition"/>
      </w:pPr>
      <w:r w:rsidRPr="00583E1A">
        <w:rPr>
          <w:b/>
          <w:i/>
        </w:rPr>
        <w:t>reportable employer superannuation contribution</w:t>
      </w:r>
      <w:r w:rsidRPr="00583E1A">
        <w:t xml:space="preserve"> has the meaning given by section</w:t>
      </w:r>
      <w:r w:rsidR="00583E1A">
        <w:t> </w:t>
      </w:r>
      <w:r w:rsidRPr="00583E1A">
        <w:t>16</w:t>
      </w:r>
      <w:r w:rsidR="00583E1A">
        <w:noBreakHyphen/>
      </w:r>
      <w:r w:rsidRPr="00583E1A">
        <w:t>182 in Schedule</w:t>
      </w:r>
      <w:r w:rsidR="00583E1A">
        <w:t> </w:t>
      </w:r>
      <w:r w:rsidRPr="00583E1A">
        <w:t xml:space="preserve">1 to the </w:t>
      </w:r>
      <w:r w:rsidRPr="00583E1A">
        <w:rPr>
          <w:i/>
        </w:rPr>
        <w:t>Taxation Administration Act 1953</w:t>
      </w:r>
      <w:r w:rsidRPr="00583E1A">
        <w:t>.</w:t>
      </w:r>
    </w:p>
    <w:p w:rsidR="00887330" w:rsidRPr="00583E1A" w:rsidRDefault="00887330" w:rsidP="00887330">
      <w:pPr>
        <w:pStyle w:val="Definition"/>
      </w:pPr>
      <w:r w:rsidRPr="00583E1A">
        <w:rPr>
          <w:b/>
          <w:i/>
        </w:rPr>
        <w:t>reportable fringe benefits amount</w:t>
      </w:r>
      <w:r w:rsidRPr="00583E1A">
        <w:t xml:space="preserve"> for an income year in respect of an employee’s employment by an employer has the same meaning as in the </w:t>
      </w:r>
      <w:r w:rsidRPr="00583E1A">
        <w:rPr>
          <w:i/>
        </w:rPr>
        <w:t>Fringe Benefits Tax Assessment Act 1986</w:t>
      </w:r>
      <w:r w:rsidRPr="00583E1A">
        <w:t xml:space="preserve"> (as it applies of its own force or because of the </w:t>
      </w:r>
      <w:r w:rsidRPr="00583E1A">
        <w:rPr>
          <w:i/>
        </w:rPr>
        <w:t>Fringe Benefits Tax (Application to the Commonwealth) Act 1986</w:t>
      </w:r>
      <w:r w:rsidRPr="00583E1A">
        <w:t>).</w:t>
      </w:r>
    </w:p>
    <w:p w:rsidR="00887330" w:rsidRPr="00583E1A" w:rsidRDefault="00887330" w:rsidP="00887330">
      <w:pPr>
        <w:pStyle w:val="Definition"/>
      </w:pPr>
      <w:r w:rsidRPr="00583E1A">
        <w:rPr>
          <w:b/>
          <w:i/>
        </w:rPr>
        <w:t xml:space="preserve">reportable fringe benefits total </w:t>
      </w:r>
      <w:r w:rsidRPr="00583E1A">
        <w:t xml:space="preserve">has the same meaning as in the </w:t>
      </w:r>
      <w:r w:rsidRPr="00583E1A">
        <w:rPr>
          <w:i/>
        </w:rPr>
        <w:t>Fringe Benefits Tax Assessment Act 1986</w:t>
      </w:r>
      <w:r w:rsidRPr="00583E1A">
        <w:t>.</w:t>
      </w:r>
    </w:p>
    <w:p w:rsidR="008B6F94" w:rsidRPr="008C4198" w:rsidRDefault="008B6F94" w:rsidP="008B6F94">
      <w:pPr>
        <w:pStyle w:val="Definition"/>
      </w:pPr>
      <w:r w:rsidRPr="008C4198">
        <w:rPr>
          <w:b/>
          <w:i/>
        </w:rPr>
        <w:lastRenderedPageBreak/>
        <w:t>reportable superannuation contributions</w:t>
      </w:r>
      <w:r w:rsidRPr="008C4198">
        <w:t>, for an individual and an income year, means the sum of:</w:t>
      </w:r>
    </w:p>
    <w:p w:rsidR="008B6F94" w:rsidRPr="008C4198" w:rsidRDefault="008B6F94" w:rsidP="008B6F94">
      <w:pPr>
        <w:pStyle w:val="paragraph"/>
      </w:pPr>
      <w:r w:rsidRPr="008C4198">
        <w:tab/>
        <w:t>(a)</w:t>
      </w:r>
      <w:r w:rsidRPr="008C4198">
        <w:tab/>
        <w:t xml:space="preserve">the individual’s </w:t>
      </w:r>
      <w:r w:rsidRPr="008C4198">
        <w:rPr>
          <w:position w:val="6"/>
          <w:sz w:val="16"/>
        </w:rPr>
        <w:t>*</w:t>
      </w:r>
      <w:r w:rsidRPr="008C4198">
        <w:t>reportable employer superannuation contributions (if any) for the income year; and</w:t>
      </w:r>
    </w:p>
    <w:p w:rsidR="008B6F94" w:rsidRPr="008C4198" w:rsidRDefault="008B6F94" w:rsidP="008B6F94">
      <w:pPr>
        <w:pStyle w:val="paragraph"/>
      </w:pPr>
      <w:r w:rsidRPr="008C4198">
        <w:tab/>
        <w:t>(b)</w:t>
      </w:r>
      <w:r w:rsidRPr="008C4198">
        <w:tab/>
        <w:t>the individual’s deductions (if any) under Subdivision 290</w:t>
      </w:r>
      <w:r w:rsidRPr="008C4198">
        <w:noBreakHyphen/>
        <w:t>C for the income year;</w:t>
      </w:r>
    </w:p>
    <w:p w:rsidR="008B6F94" w:rsidRPr="008C4198" w:rsidRDefault="008B6F94" w:rsidP="008B6F94">
      <w:pPr>
        <w:pStyle w:val="subsection2"/>
      </w:pPr>
      <w:r w:rsidRPr="008C4198">
        <w:t>reduced (but not below zero) by the amount of any contributions disregarded under section 292</w:t>
      </w:r>
      <w:r w:rsidRPr="008C4198">
        <w:noBreakHyphen/>
        <w:t xml:space="preserve">467 for the individual for the </w:t>
      </w:r>
      <w:r w:rsidRPr="008C4198">
        <w:rPr>
          <w:position w:val="6"/>
          <w:sz w:val="16"/>
        </w:rPr>
        <w:t>*</w:t>
      </w:r>
      <w:r w:rsidRPr="008C4198">
        <w:t>financial year corresponding to the income year.</w:t>
      </w:r>
    </w:p>
    <w:p w:rsidR="00887330" w:rsidRPr="00583E1A" w:rsidRDefault="00887330" w:rsidP="00887330">
      <w:pPr>
        <w:pStyle w:val="Definition"/>
      </w:pPr>
      <w:r w:rsidRPr="00583E1A">
        <w:rPr>
          <w:b/>
          <w:i/>
        </w:rPr>
        <w:t>representative</w:t>
      </w:r>
      <w:r w:rsidRPr="00583E1A">
        <w:t xml:space="preserve"> of an </w:t>
      </w:r>
      <w:r w:rsidR="00583E1A" w:rsidRPr="00583E1A">
        <w:rPr>
          <w:position w:val="6"/>
          <w:sz w:val="16"/>
        </w:rPr>
        <w:t>*</w:t>
      </w:r>
      <w:r w:rsidRPr="00583E1A">
        <w:t>incapacitated entity has the meaning given by section</w:t>
      </w:r>
      <w:r w:rsidR="00583E1A">
        <w:t> </w:t>
      </w:r>
      <w:r w:rsidRPr="00583E1A">
        <w:t>195</w:t>
      </w:r>
      <w:r w:rsidR="00583E1A">
        <w:noBreakHyphen/>
      </w:r>
      <w:r w:rsidRPr="00583E1A">
        <w:t xml:space="preserve">1 of the </w:t>
      </w:r>
      <w:r w:rsidR="00583E1A" w:rsidRPr="00583E1A">
        <w:rPr>
          <w:position w:val="6"/>
          <w:sz w:val="16"/>
        </w:rPr>
        <w:t>*</w:t>
      </w:r>
      <w:r w:rsidRPr="00583E1A">
        <w:t>GST Act.</w:t>
      </w:r>
    </w:p>
    <w:p w:rsidR="00887330" w:rsidRPr="00583E1A" w:rsidRDefault="00887330" w:rsidP="00887330">
      <w:pPr>
        <w:pStyle w:val="Definition"/>
      </w:pPr>
      <w:r w:rsidRPr="00583E1A">
        <w:rPr>
          <w:b/>
          <w:i/>
        </w:rPr>
        <w:t>representative member</w:t>
      </w:r>
      <w:r w:rsidRPr="00583E1A">
        <w:t xml:space="preserve"> for a </w:t>
      </w:r>
      <w:r w:rsidR="00583E1A" w:rsidRPr="00583E1A">
        <w:rPr>
          <w:position w:val="6"/>
          <w:sz w:val="16"/>
        </w:rPr>
        <w:t>*</w:t>
      </w:r>
      <w:r w:rsidRPr="00583E1A">
        <w:t>GST group has the meaning given by section</w:t>
      </w:r>
      <w:r w:rsidR="00583E1A">
        <w:t> </w:t>
      </w:r>
      <w:r w:rsidRPr="00583E1A">
        <w:t>195</w:t>
      </w:r>
      <w:r w:rsidR="00583E1A">
        <w:noBreakHyphen/>
      </w:r>
      <w:r w:rsidRPr="00583E1A">
        <w:t xml:space="preserve">1 of the </w:t>
      </w:r>
      <w:r w:rsidR="00583E1A" w:rsidRPr="00583E1A">
        <w:rPr>
          <w:position w:val="6"/>
          <w:sz w:val="16"/>
        </w:rPr>
        <w:t>*</w:t>
      </w:r>
      <w:r w:rsidRPr="00583E1A">
        <w:t>GST Act.</w:t>
      </w:r>
    </w:p>
    <w:p w:rsidR="00887330" w:rsidRPr="00583E1A" w:rsidRDefault="00887330" w:rsidP="00887330">
      <w:pPr>
        <w:pStyle w:val="Definition"/>
      </w:pPr>
      <w:r w:rsidRPr="00583E1A">
        <w:rPr>
          <w:b/>
          <w:i/>
        </w:rPr>
        <w:t>required to be registered</w:t>
      </w:r>
      <w:r w:rsidRPr="00583E1A">
        <w:t xml:space="preserve"> has the meaning given by the </w:t>
      </w:r>
      <w:r w:rsidR="00583E1A" w:rsidRPr="00583E1A">
        <w:rPr>
          <w:position w:val="6"/>
          <w:sz w:val="16"/>
        </w:rPr>
        <w:t>*</w:t>
      </w:r>
      <w:r w:rsidRPr="00583E1A">
        <w:t>GST Act.</w:t>
      </w:r>
    </w:p>
    <w:p w:rsidR="000B2F6D" w:rsidRPr="007D3EB6" w:rsidRDefault="000B2F6D" w:rsidP="000B2F6D">
      <w:pPr>
        <w:pStyle w:val="Definition"/>
      </w:pPr>
      <w:r w:rsidRPr="007D3EB6">
        <w:rPr>
          <w:b/>
          <w:i/>
        </w:rPr>
        <w:t>resale royalty</w:t>
      </w:r>
      <w:r w:rsidRPr="007D3EB6">
        <w:t xml:space="preserve"> means resale royalty under the </w:t>
      </w:r>
      <w:r w:rsidRPr="007D3EB6">
        <w:rPr>
          <w:i/>
        </w:rPr>
        <w:t>Resale Royalty Right for Visual Artists Act 2009</w:t>
      </w:r>
      <w:r w:rsidRPr="007D3EB6">
        <w:t>.</w:t>
      </w:r>
    </w:p>
    <w:p w:rsidR="000B2F6D" w:rsidRPr="007D3EB6" w:rsidRDefault="000B2F6D" w:rsidP="000B2F6D">
      <w:pPr>
        <w:pStyle w:val="Definition"/>
      </w:pPr>
      <w:r w:rsidRPr="007D3EB6">
        <w:rPr>
          <w:b/>
          <w:i/>
        </w:rPr>
        <w:t>resale royalty collecting society</w:t>
      </w:r>
      <w:r w:rsidRPr="007D3EB6">
        <w:t xml:space="preserve"> means the collecting society, within the meaning given by the </w:t>
      </w:r>
      <w:r w:rsidRPr="007D3EB6">
        <w:rPr>
          <w:i/>
        </w:rPr>
        <w:t>Resale Royalty Right for Visual Artists Act 2009</w:t>
      </w:r>
      <w:r w:rsidRPr="007D3EB6">
        <w:t>.</w:t>
      </w:r>
    </w:p>
    <w:p w:rsidR="000B2F6D" w:rsidRPr="007D3EB6" w:rsidRDefault="000B2F6D" w:rsidP="000B2F6D">
      <w:pPr>
        <w:pStyle w:val="Definition"/>
      </w:pPr>
      <w:r w:rsidRPr="007D3EB6">
        <w:rPr>
          <w:b/>
          <w:i/>
        </w:rPr>
        <w:t>resale royalty right</w:t>
      </w:r>
      <w:r w:rsidRPr="007D3EB6">
        <w:t xml:space="preserve"> has the meaning given by the </w:t>
      </w:r>
      <w:r w:rsidRPr="007D3EB6">
        <w:rPr>
          <w:i/>
        </w:rPr>
        <w:t>Resale Royalty Right for Visual Artists Act 2009</w:t>
      </w:r>
      <w:r w:rsidRPr="007D3EB6">
        <w:t>.</w:t>
      </w:r>
    </w:p>
    <w:p w:rsidR="00887330" w:rsidRPr="00583E1A" w:rsidRDefault="00887330" w:rsidP="00EC6DBA">
      <w:pPr>
        <w:pStyle w:val="Definition"/>
        <w:keepNext/>
      </w:pPr>
      <w:r w:rsidRPr="00583E1A">
        <w:rPr>
          <w:b/>
          <w:i/>
        </w:rPr>
        <w:t>residency requirement</w:t>
      </w:r>
      <w:r w:rsidRPr="00583E1A">
        <w:t>:</w:t>
      </w:r>
    </w:p>
    <w:p w:rsidR="00887330" w:rsidRPr="00583E1A" w:rsidRDefault="00887330" w:rsidP="00887330">
      <w:pPr>
        <w:pStyle w:val="paragraph"/>
        <w:rPr>
          <w:sz w:val="20"/>
        </w:rPr>
      </w:pPr>
      <w:r w:rsidRPr="00583E1A">
        <w:rPr>
          <w:sz w:val="20"/>
        </w:rPr>
        <w:tab/>
      </w:r>
      <w:r w:rsidRPr="00583E1A">
        <w:t>(a)</w:t>
      </w:r>
      <w:r w:rsidRPr="00583E1A">
        <w:rPr>
          <w:sz w:val="20"/>
        </w:rPr>
        <w:tab/>
      </w:r>
      <w:r w:rsidRPr="00583E1A">
        <w:t xml:space="preserve">for an entity making a </w:t>
      </w:r>
      <w:r w:rsidR="00583E1A" w:rsidRPr="00583E1A">
        <w:rPr>
          <w:position w:val="6"/>
          <w:sz w:val="16"/>
        </w:rPr>
        <w:t>*</w:t>
      </w:r>
      <w:r w:rsidRPr="00583E1A">
        <w:t>distribution—has the meaning given by section</w:t>
      </w:r>
      <w:r w:rsidR="00583E1A">
        <w:t> </w:t>
      </w:r>
      <w:r w:rsidRPr="00583E1A">
        <w:t>202</w:t>
      </w:r>
      <w:r w:rsidR="00583E1A">
        <w:noBreakHyphen/>
      </w:r>
      <w:r w:rsidRPr="00583E1A">
        <w:t>20 (as affected by section</w:t>
      </w:r>
      <w:r w:rsidR="00583E1A">
        <w:t> </w:t>
      </w:r>
      <w:r w:rsidRPr="00583E1A">
        <w:t>220</w:t>
      </w:r>
      <w:r w:rsidR="00583E1A">
        <w:noBreakHyphen/>
      </w:r>
      <w:r w:rsidRPr="00583E1A">
        <w:t>100, if relevant); and</w:t>
      </w:r>
    </w:p>
    <w:p w:rsidR="00887330" w:rsidRPr="00583E1A" w:rsidRDefault="00887330" w:rsidP="00887330">
      <w:pPr>
        <w:pStyle w:val="paragraph"/>
      </w:pPr>
      <w:r w:rsidRPr="00583E1A">
        <w:tab/>
        <w:t>(b)</w:t>
      </w:r>
      <w:r w:rsidRPr="00583E1A">
        <w:tab/>
        <w:t>for an income year that is one in which, or in relation to which, an event specified in a table in one of the following sections occurs:</w:t>
      </w:r>
    </w:p>
    <w:p w:rsidR="00887330" w:rsidRPr="00583E1A" w:rsidRDefault="00887330" w:rsidP="00887330">
      <w:pPr>
        <w:pStyle w:val="paragraphsub"/>
      </w:pPr>
      <w:r w:rsidRPr="00583E1A">
        <w:tab/>
        <w:t>(i)</w:t>
      </w:r>
      <w:r w:rsidRPr="00583E1A">
        <w:tab/>
        <w:t>section</w:t>
      </w:r>
      <w:r w:rsidR="00583E1A">
        <w:t> </w:t>
      </w:r>
      <w:r w:rsidRPr="00583E1A">
        <w:t>205</w:t>
      </w:r>
      <w:r w:rsidR="00583E1A">
        <w:noBreakHyphen/>
      </w:r>
      <w:r w:rsidRPr="00583E1A">
        <w:t xml:space="preserve">15 (general table of </w:t>
      </w:r>
      <w:r w:rsidR="00583E1A" w:rsidRPr="00583E1A">
        <w:rPr>
          <w:position w:val="6"/>
          <w:sz w:val="16"/>
        </w:rPr>
        <w:t>*</w:t>
      </w:r>
      <w:r w:rsidRPr="00583E1A">
        <w:t>franking credits);</w:t>
      </w:r>
    </w:p>
    <w:p w:rsidR="00887330" w:rsidRPr="00583E1A" w:rsidRDefault="00887330" w:rsidP="00887330">
      <w:pPr>
        <w:pStyle w:val="paragraphsub"/>
      </w:pPr>
      <w:r w:rsidRPr="00583E1A">
        <w:tab/>
        <w:t>(ii)</w:t>
      </w:r>
      <w:r w:rsidRPr="00583E1A">
        <w:tab/>
        <w:t>section</w:t>
      </w:r>
      <w:r w:rsidR="00583E1A">
        <w:t> </w:t>
      </w:r>
      <w:r w:rsidRPr="00583E1A">
        <w:t>205</w:t>
      </w:r>
      <w:r w:rsidR="00583E1A">
        <w:noBreakHyphen/>
      </w:r>
      <w:r w:rsidRPr="00583E1A">
        <w:t xml:space="preserve">30 (general table of </w:t>
      </w:r>
      <w:r w:rsidR="00583E1A" w:rsidRPr="00583E1A">
        <w:rPr>
          <w:position w:val="6"/>
          <w:sz w:val="16"/>
        </w:rPr>
        <w:t>*</w:t>
      </w:r>
      <w:r w:rsidRPr="00583E1A">
        <w:t>franking debits);</w:t>
      </w:r>
    </w:p>
    <w:p w:rsidR="00887330" w:rsidRPr="00583E1A" w:rsidRDefault="00887330" w:rsidP="00887330">
      <w:pPr>
        <w:pStyle w:val="paragraphsub"/>
      </w:pPr>
      <w:r w:rsidRPr="00583E1A">
        <w:tab/>
        <w:t>(iii)</w:t>
      </w:r>
      <w:r w:rsidRPr="00583E1A">
        <w:tab/>
        <w:t>section</w:t>
      </w:r>
      <w:r w:rsidR="00583E1A">
        <w:t> </w:t>
      </w:r>
      <w:r w:rsidRPr="00583E1A">
        <w:t>208</w:t>
      </w:r>
      <w:r w:rsidR="00583E1A">
        <w:noBreakHyphen/>
      </w:r>
      <w:r w:rsidRPr="00583E1A">
        <w:t xml:space="preserve">115 (table of </w:t>
      </w:r>
      <w:r w:rsidR="00583E1A" w:rsidRPr="00583E1A">
        <w:rPr>
          <w:position w:val="6"/>
          <w:sz w:val="16"/>
        </w:rPr>
        <w:t>*</w:t>
      </w:r>
      <w:r w:rsidRPr="00583E1A">
        <w:t>exempting credits);</w:t>
      </w:r>
    </w:p>
    <w:p w:rsidR="00887330" w:rsidRPr="00583E1A" w:rsidRDefault="00887330" w:rsidP="00887330">
      <w:pPr>
        <w:pStyle w:val="paragraphsub"/>
      </w:pPr>
      <w:r w:rsidRPr="00583E1A">
        <w:tab/>
        <w:t>(iv)</w:t>
      </w:r>
      <w:r w:rsidRPr="00583E1A">
        <w:tab/>
        <w:t>section</w:t>
      </w:r>
      <w:r w:rsidR="00583E1A">
        <w:t> </w:t>
      </w:r>
      <w:r w:rsidRPr="00583E1A">
        <w:t>208</w:t>
      </w:r>
      <w:r w:rsidR="00583E1A">
        <w:noBreakHyphen/>
      </w:r>
      <w:r w:rsidRPr="00583E1A">
        <w:t xml:space="preserve">120 (table of </w:t>
      </w:r>
      <w:r w:rsidR="00583E1A" w:rsidRPr="00583E1A">
        <w:rPr>
          <w:position w:val="6"/>
          <w:sz w:val="16"/>
        </w:rPr>
        <w:t>*</w:t>
      </w:r>
      <w:r w:rsidRPr="00583E1A">
        <w:t>exempting debits);</w:t>
      </w:r>
    </w:p>
    <w:p w:rsidR="00887330" w:rsidRPr="00583E1A" w:rsidRDefault="00887330" w:rsidP="00887330">
      <w:pPr>
        <w:pStyle w:val="paragraphsub"/>
      </w:pPr>
      <w:r w:rsidRPr="00583E1A">
        <w:lastRenderedPageBreak/>
        <w:tab/>
        <w:t>(v)</w:t>
      </w:r>
      <w:r w:rsidRPr="00583E1A">
        <w:tab/>
        <w:t>section</w:t>
      </w:r>
      <w:r w:rsidR="00583E1A">
        <w:t> </w:t>
      </w:r>
      <w:r w:rsidRPr="00583E1A">
        <w:t>208</w:t>
      </w:r>
      <w:r w:rsidR="00583E1A">
        <w:noBreakHyphen/>
      </w:r>
      <w:r w:rsidRPr="00583E1A">
        <w:t xml:space="preserve">130 (table of franking credits that arise because of an entity’s status as a </w:t>
      </w:r>
      <w:r w:rsidR="00583E1A" w:rsidRPr="00583E1A">
        <w:rPr>
          <w:position w:val="6"/>
          <w:sz w:val="16"/>
        </w:rPr>
        <w:t>*</w:t>
      </w:r>
      <w:r w:rsidRPr="00583E1A">
        <w:t xml:space="preserve">former exempting entity or </w:t>
      </w:r>
      <w:r w:rsidR="00583E1A" w:rsidRPr="00583E1A">
        <w:rPr>
          <w:position w:val="6"/>
          <w:sz w:val="16"/>
        </w:rPr>
        <w:t>*</w:t>
      </w:r>
      <w:r w:rsidRPr="00583E1A">
        <w:t>exempting entity);</w:t>
      </w:r>
    </w:p>
    <w:p w:rsidR="00887330" w:rsidRPr="00583E1A" w:rsidRDefault="00887330" w:rsidP="002A5CD2">
      <w:pPr>
        <w:pStyle w:val="paragraphsub"/>
        <w:keepNext/>
        <w:keepLines/>
      </w:pPr>
      <w:r w:rsidRPr="00583E1A">
        <w:tab/>
        <w:t>(vi)</w:t>
      </w:r>
      <w:r w:rsidRPr="00583E1A">
        <w:tab/>
        <w:t>section</w:t>
      </w:r>
      <w:r w:rsidR="00583E1A">
        <w:t> </w:t>
      </w:r>
      <w:r w:rsidRPr="00583E1A">
        <w:t>208</w:t>
      </w:r>
      <w:r w:rsidR="00583E1A">
        <w:noBreakHyphen/>
      </w:r>
      <w:r w:rsidRPr="00583E1A">
        <w:t>145 (table of franking debits that arise because of an entity’s status as a former exempting entity or exempting entity);</w:t>
      </w:r>
    </w:p>
    <w:p w:rsidR="00887330" w:rsidRPr="00583E1A" w:rsidRDefault="00887330" w:rsidP="00887330">
      <w:pPr>
        <w:pStyle w:val="paragraph"/>
      </w:pPr>
      <w:r w:rsidRPr="00583E1A">
        <w:tab/>
      </w:r>
      <w:r w:rsidRPr="00583E1A">
        <w:tab/>
        <w:t>or an income year that is described in section</w:t>
      </w:r>
      <w:r w:rsidR="00583E1A">
        <w:t> </w:t>
      </w:r>
      <w:r w:rsidRPr="00583E1A">
        <w:t>205</w:t>
      </w:r>
      <w:r w:rsidR="00583E1A">
        <w:noBreakHyphen/>
      </w:r>
      <w:r w:rsidRPr="00583E1A">
        <w:t>70 or 220</w:t>
      </w:r>
      <w:r w:rsidR="00583E1A">
        <w:noBreakHyphen/>
      </w:r>
      <w:r w:rsidRPr="00583E1A">
        <w:t>205—has the meaning given by section</w:t>
      </w:r>
      <w:r w:rsidR="00583E1A">
        <w:t> </w:t>
      </w:r>
      <w:r w:rsidRPr="00583E1A">
        <w:t>205</w:t>
      </w:r>
      <w:r w:rsidR="00583E1A">
        <w:noBreakHyphen/>
      </w:r>
      <w:r w:rsidRPr="00583E1A">
        <w:t>25; and</w:t>
      </w:r>
    </w:p>
    <w:p w:rsidR="00887330" w:rsidRPr="00583E1A" w:rsidRDefault="00887330" w:rsidP="00887330">
      <w:pPr>
        <w:pStyle w:val="paragraph"/>
        <w:rPr>
          <w:sz w:val="20"/>
        </w:rPr>
      </w:pPr>
      <w:r w:rsidRPr="00583E1A">
        <w:rPr>
          <w:sz w:val="20"/>
        </w:rPr>
        <w:tab/>
      </w:r>
      <w:r w:rsidRPr="00583E1A">
        <w:t>(c)</w:t>
      </w:r>
      <w:r w:rsidRPr="00583E1A">
        <w:rPr>
          <w:sz w:val="20"/>
        </w:rPr>
        <w:tab/>
      </w:r>
      <w:r w:rsidRPr="00583E1A">
        <w:t>for an entity receiving a distribution—has the meaning given by section</w:t>
      </w:r>
      <w:r w:rsidR="00583E1A">
        <w:t> </w:t>
      </w:r>
      <w:r w:rsidRPr="00583E1A">
        <w:t>207</w:t>
      </w:r>
      <w:r w:rsidR="00583E1A">
        <w:noBreakHyphen/>
      </w:r>
      <w:r w:rsidRPr="00583E1A">
        <w:t>75; and</w:t>
      </w:r>
    </w:p>
    <w:p w:rsidR="00887330" w:rsidRPr="00583E1A" w:rsidRDefault="00887330" w:rsidP="00887330">
      <w:pPr>
        <w:pStyle w:val="paragraph"/>
      </w:pPr>
      <w:r w:rsidRPr="00583E1A">
        <w:tab/>
        <w:t>(d)</w:t>
      </w:r>
      <w:r w:rsidRPr="00583E1A">
        <w:tab/>
        <w:t xml:space="preserve">for the purposes of determining whether an entity is an exempt institution that is eligible for a refund at the time a </w:t>
      </w:r>
      <w:r w:rsidR="00583E1A" w:rsidRPr="00583E1A">
        <w:rPr>
          <w:position w:val="6"/>
          <w:sz w:val="16"/>
        </w:rPr>
        <w:t>*</w:t>
      </w:r>
      <w:r w:rsidRPr="00583E1A">
        <w:t>franked distribution is made—has the meaning given by section</w:t>
      </w:r>
      <w:r w:rsidR="00583E1A">
        <w:t> </w:t>
      </w:r>
      <w:r w:rsidRPr="00583E1A">
        <w:t>207</w:t>
      </w:r>
      <w:r w:rsidR="00583E1A">
        <w:noBreakHyphen/>
      </w:r>
      <w:r w:rsidRPr="00583E1A">
        <w:t>117.</w:t>
      </w:r>
    </w:p>
    <w:p w:rsidR="00BC4153" w:rsidRPr="00583E1A" w:rsidRDefault="00BC4153" w:rsidP="00BC4153">
      <w:pPr>
        <w:pStyle w:val="Definition"/>
      </w:pPr>
      <w:r w:rsidRPr="00583E1A">
        <w:rPr>
          <w:b/>
          <w:i/>
        </w:rPr>
        <w:t>residential care</w:t>
      </w:r>
      <w:r w:rsidRPr="00583E1A">
        <w:t xml:space="preserve"> has the same meaning as in the </w:t>
      </w:r>
      <w:r w:rsidRPr="00583E1A">
        <w:rPr>
          <w:i/>
        </w:rPr>
        <w:t>Aged Care Act 1997</w:t>
      </w:r>
      <w:r w:rsidRPr="00583E1A">
        <w:t>.</w:t>
      </w:r>
    </w:p>
    <w:p w:rsidR="00BC4153" w:rsidRPr="00583E1A" w:rsidRDefault="00BC4153" w:rsidP="00BC4153">
      <w:pPr>
        <w:pStyle w:val="Definition"/>
      </w:pPr>
      <w:r w:rsidRPr="00583E1A">
        <w:rPr>
          <w:b/>
          <w:i/>
        </w:rPr>
        <w:t>residential premises</w:t>
      </w:r>
      <w:r w:rsidRPr="00583E1A">
        <w:t xml:space="preserve"> has the same meaning as in the </w:t>
      </w:r>
      <w:r w:rsidR="00070CEF" w:rsidRPr="004C09C4">
        <w:rPr>
          <w:position w:val="6"/>
          <w:sz w:val="16"/>
        </w:rPr>
        <w:t>*</w:t>
      </w:r>
      <w:r w:rsidR="00070CEF" w:rsidRPr="004C09C4">
        <w:t>GST Act</w:t>
      </w:r>
      <w:r w:rsidRPr="00583E1A">
        <w:t>.</w:t>
      </w:r>
    </w:p>
    <w:p w:rsidR="00BA5E2B" w:rsidRPr="00583E1A" w:rsidRDefault="00BA5E2B" w:rsidP="00BA5E2B">
      <w:pPr>
        <w:pStyle w:val="Definition"/>
      </w:pPr>
      <w:r w:rsidRPr="00583E1A">
        <w:rPr>
          <w:b/>
          <w:i/>
        </w:rPr>
        <w:t>resident investment vehicle</w:t>
      </w:r>
      <w:r w:rsidRPr="00583E1A">
        <w:t xml:space="preserve"> has the meaning given by section</w:t>
      </w:r>
      <w:r>
        <w:t> </w:t>
      </w:r>
      <w:r w:rsidRPr="00583E1A">
        <w:t>118</w:t>
      </w:r>
      <w:r>
        <w:noBreakHyphen/>
      </w:r>
      <w:r w:rsidRPr="00583E1A">
        <w:t xml:space="preserve">510. </w:t>
      </w:r>
    </w:p>
    <w:p w:rsidR="00887330" w:rsidRPr="00583E1A" w:rsidRDefault="00887330" w:rsidP="00887330">
      <w:pPr>
        <w:pStyle w:val="Definition"/>
      </w:pPr>
      <w:r w:rsidRPr="00583E1A">
        <w:rPr>
          <w:b/>
          <w:i/>
        </w:rPr>
        <w:t>resident trust for CGT purposes</w:t>
      </w:r>
      <w:r w:rsidRPr="00583E1A">
        <w:t xml:space="preserve">: a trust is a </w:t>
      </w:r>
      <w:r w:rsidRPr="00583E1A">
        <w:rPr>
          <w:b/>
          <w:i/>
        </w:rPr>
        <w:t>resident trust for CGT purposes</w:t>
      </w:r>
      <w:r w:rsidRPr="00583E1A">
        <w:t xml:space="preserve"> for an income year if, at any time during the income year:</w:t>
      </w:r>
    </w:p>
    <w:p w:rsidR="00887330" w:rsidRPr="00583E1A" w:rsidRDefault="00887330" w:rsidP="00887330">
      <w:pPr>
        <w:pStyle w:val="paragraph"/>
        <w:tabs>
          <w:tab w:val="left" w:pos="2268"/>
          <w:tab w:val="left" w:pos="3402"/>
          <w:tab w:val="left" w:pos="4536"/>
          <w:tab w:val="left" w:pos="5670"/>
          <w:tab w:val="left" w:pos="6804"/>
        </w:tabs>
      </w:pPr>
      <w:r w:rsidRPr="00583E1A">
        <w:tab/>
        <w:t>(a)</w:t>
      </w:r>
      <w:r w:rsidRPr="00583E1A">
        <w:tab/>
        <w:t xml:space="preserve">for a trust that is not a unit trust, a trustee is an Australian resident or the central management and control of the trust is in </w:t>
      </w:r>
      <w:smartTag w:uri="urn:schemas-microsoft-com:office:smarttags" w:element="country-region">
        <w:smartTag w:uri="urn:schemas-microsoft-com:office:smarttags" w:element="place">
          <w:r w:rsidRPr="00583E1A">
            <w:t>Australia</w:t>
          </w:r>
        </w:smartTag>
      </w:smartTag>
      <w:r w:rsidRPr="00583E1A">
        <w:t>; or</w:t>
      </w:r>
    </w:p>
    <w:p w:rsidR="00887330" w:rsidRPr="00583E1A" w:rsidRDefault="00887330" w:rsidP="00887330">
      <w:pPr>
        <w:pStyle w:val="paragraph"/>
        <w:tabs>
          <w:tab w:val="left" w:pos="2268"/>
          <w:tab w:val="left" w:pos="3402"/>
          <w:tab w:val="left" w:pos="4536"/>
          <w:tab w:val="left" w:pos="5670"/>
          <w:tab w:val="left" w:pos="6804"/>
        </w:tabs>
      </w:pPr>
      <w:r w:rsidRPr="00583E1A">
        <w:tab/>
        <w:t>(b)</w:t>
      </w:r>
      <w:r w:rsidRPr="00583E1A">
        <w:tab/>
        <w:t>for a unit trust, one of the requirements in column 2 and one of the requirements in column 3 of this table are satisfied.</w:t>
      </w:r>
    </w:p>
    <w:p w:rsidR="00887330" w:rsidRPr="00583E1A" w:rsidRDefault="00887330" w:rsidP="00EC6DBA">
      <w:pPr>
        <w:pStyle w:val="Tabletext"/>
        <w:keepNext/>
      </w:pPr>
    </w:p>
    <w:tbl>
      <w:tblPr>
        <w:tblW w:w="0" w:type="auto"/>
        <w:tblInd w:w="1350" w:type="dxa"/>
        <w:tblLayout w:type="fixed"/>
        <w:tblLook w:val="0000" w:firstRow="0" w:lastRow="0" w:firstColumn="0" w:lastColumn="0" w:noHBand="0" w:noVBand="0"/>
      </w:tblPr>
      <w:tblGrid>
        <w:gridCol w:w="709"/>
        <w:gridCol w:w="2410"/>
        <w:gridCol w:w="2837"/>
      </w:tblGrid>
      <w:tr w:rsidR="00887330" w:rsidRPr="00583E1A">
        <w:trPr>
          <w:cantSplit/>
          <w:tblHeader/>
        </w:trPr>
        <w:tc>
          <w:tcPr>
            <w:tcW w:w="5954" w:type="dxa"/>
            <w:gridSpan w:val="3"/>
            <w:tcBorders>
              <w:top w:val="single" w:sz="12" w:space="0" w:color="auto"/>
              <w:bottom w:val="single" w:sz="6" w:space="0" w:color="auto"/>
            </w:tcBorders>
          </w:tcPr>
          <w:p w:rsidR="00887330" w:rsidRPr="00583E1A" w:rsidRDefault="00887330" w:rsidP="00EC6DBA">
            <w:pPr>
              <w:pStyle w:val="Tabletext"/>
              <w:keepNext/>
            </w:pPr>
            <w:r w:rsidRPr="00583E1A">
              <w:rPr>
                <w:b/>
              </w:rPr>
              <w:t>Requirements for unit trust</w:t>
            </w:r>
          </w:p>
        </w:tc>
      </w:tr>
      <w:tr w:rsidR="00887330" w:rsidRPr="00583E1A">
        <w:trPr>
          <w:cantSplit/>
          <w:tblHeader/>
        </w:trPr>
        <w:tc>
          <w:tcPr>
            <w:tcW w:w="709" w:type="dxa"/>
            <w:tcBorders>
              <w:bottom w:val="single" w:sz="12" w:space="0" w:color="auto"/>
            </w:tcBorders>
          </w:tcPr>
          <w:p w:rsidR="00887330" w:rsidRPr="00583E1A" w:rsidRDefault="00887330" w:rsidP="004F066B">
            <w:pPr>
              <w:pStyle w:val="Tabletext"/>
              <w:keepNext/>
            </w:pPr>
            <w:r w:rsidRPr="00583E1A">
              <w:rPr>
                <w:b/>
              </w:rPr>
              <w:br/>
              <w:t>Item</w:t>
            </w:r>
          </w:p>
        </w:tc>
        <w:tc>
          <w:tcPr>
            <w:tcW w:w="2410" w:type="dxa"/>
            <w:tcBorders>
              <w:bottom w:val="single" w:sz="12" w:space="0" w:color="auto"/>
            </w:tcBorders>
          </w:tcPr>
          <w:p w:rsidR="00887330" w:rsidRPr="00583E1A" w:rsidRDefault="00887330" w:rsidP="004F066B">
            <w:pPr>
              <w:pStyle w:val="Tabletext"/>
              <w:keepNext/>
            </w:pPr>
            <w:r w:rsidRPr="00583E1A">
              <w:rPr>
                <w:b/>
              </w:rPr>
              <w:t>One of these requirements is satisfied</w:t>
            </w:r>
          </w:p>
        </w:tc>
        <w:tc>
          <w:tcPr>
            <w:tcW w:w="2837" w:type="dxa"/>
            <w:tcBorders>
              <w:bottom w:val="single" w:sz="12" w:space="0" w:color="auto"/>
            </w:tcBorders>
          </w:tcPr>
          <w:p w:rsidR="00887330" w:rsidRPr="00583E1A" w:rsidRDefault="00887330" w:rsidP="004F066B">
            <w:pPr>
              <w:pStyle w:val="Tabletext"/>
              <w:keepNext/>
            </w:pPr>
            <w:r w:rsidRPr="00583E1A">
              <w:rPr>
                <w:b/>
              </w:rPr>
              <w:br/>
              <w:t>And also one of these</w:t>
            </w:r>
          </w:p>
        </w:tc>
      </w:tr>
      <w:tr w:rsidR="00887330" w:rsidRPr="00583E1A">
        <w:trPr>
          <w:cantSplit/>
        </w:trPr>
        <w:tc>
          <w:tcPr>
            <w:tcW w:w="709" w:type="dxa"/>
            <w:tcBorders>
              <w:top w:val="single" w:sz="12" w:space="0" w:color="auto"/>
              <w:bottom w:val="single" w:sz="2" w:space="0" w:color="auto"/>
            </w:tcBorders>
            <w:shd w:val="clear" w:color="auto" w:fill="auto"/>
          </w:tcPr>
          <w:p w:rsidR="00887330" w:rsidRPr="00583E1A" w:rsidRDefault="00887330" w:rsidP="00444373">
            <w:pPr>
              <w:pStyle w:val="Tabletext"/>
              <w:keepNext/>
            </w:pPr>
            <w:r w:rsidRPr="00583E1A">
              <w:t>1</w:t>
            </w:r>
          </w:p>
        </w:tc>
        <w:tc>
          <w:tcPr>
            <w:tcW w:w="2410" w:type="dxa"/>
            <w:tcBorders>
              <w:top w:val="single" w:sz="12" w:space="0" w:color="auto"/>
              <w:bottom w:val="single" w:sz="2" w:space="0" w:color="auto"/>
            </w:tcBorders>
            <w:shd w:val="clear" w:color="auto" w:fill="auto"/>
          </w:tcPr>
          <w:p w:rsidR="00887330" w:rsidRPr="00583E1A" w:rsidRDefault="00887330" w:rsidP="00444373">
            <w:pPr>
              <w:pStyle w:val="Tabletext"/>
              <w:keepNext/>
            </w:pPr>
            <w:r w:rsidRPr="00583E1A">
              <w:t xml:space="preserve">Any property of the trust is situated in </w:t>
            </w:r>
            <w:smartTag w:uri="urn:schemas-microsoft-com:office:smarttags" w:element="country-region">
              <w:smartTag w:uri="urn:schemas-microsoft-com:office:smarttags" w:element="place">
                <w:r w:rsidRPr="00583E1A">
                  <w:t>Australia</w:t>
                </w:r>
              </w:smartTag>
            </w:smartTag>
          </w:p>
        </w:tc>
        <w:tc>
          <w:tcPr>
            <w:tcW w:w="2837" w:type="dxa"/>
            <w:tcBorders>
              <w:top w:val="single" w:sz="12" w:space="0" w:color="auto"/>
              <w:bottom w:val="single" w:sz="2" w:space="0" w:color="auto"/>
            </w:tcBorders>
            <w:shd w:val="clear" w:color="auto" w:fill="auto"/>
          </w:tcPr>
          <w:p w:rsidR="00887330" w:rsidRPr="00583E1A" w:rsidRDefault="00887330" w:rsidP="00444373">
            <w:pPr>
              <w:pStyle w:val="Tabletext"/>
              <w:keepNext/>
            </w:pPr>
            <w:r w:rsidRPr="00583E1A">
              <w:t xml:space="preserve">The central management and control of the trust is in </w:t>
            </w:r>
            <w:smartTag w:uri="urn:schemas-microsoft-com:office:smarttags" w:element="country-region">
              <w:smartTag w:uri="urn:schemas-microsoft-com:office:smarttags" w:element="place">
                <w:r w:rsidRPr="00583E1A">
                  <w:t>Australia</w:t>
                </w:r>
              </w:smartTag>
            </w:smartTag>
          </w:p>
        </w:tc>
      </w:tr>
      <w:tr w:rsidR="00887330" w:rsidRPr="00583E1A">
        <w:trPr>
          <w:cantSplit/>
        </w:trPr>
        <w:tc>
          <w:tcPr>
            <w:tcW w:w="709" w:type="dxa"/>
            <w:tcBorders>
              <w:top w:val="single" w:sz="2" w:space="0" w:color="auto"/>
              <w:bottom w:val="single" w:sz="12" w:space="0" w:color="auto"/>
            </w:tcBorders>
          </w:tcPr>
          <w:p w:rsidR="00887330" w:rsidRPr="00583E1A" w:rsidRDefault="00887330" w:rsidP="00887330">
            <w:pPr>
              <w:pStyle w:val="Tabletext"/>
            </w:pPr>
            <w:r w:rsidRPr="00583E1A">
              <w:t>2</w:t>
            </w:r>
          </w:p>
        </w:tc>
        <w:tc>
          <w:tcPr>
            <w:tcW w:w="2410" w:type="dxa"/>
            <w:tcBorders>
              <w:top w:val="single" w:sz="2" w:space="0" w:color="auto"/>
              <w:bottom w:val="single" w:sz="12" w:space="0" w:color="auto"/>
            </w:tcBorders>
          </w:tcPr>
          <w:p w:rsidR="00887330" w:rsidRPr="00583E1A" w:rsidRDefault="00887330" w:rsidP="00887330">
            <w:pPr>
              <w:pStyle w:val="Tabletext"/>
            </w:pPr>
            <w:r w:rsidRPr="00583E1A">
              <w:t xml:space="preserve">The trust carries on a </w:t>
            </w:r>
            <w:r w:rsidR="00583E1A" w:rsidRPr="00583E1A">
              <w:rPr>
                <w:position w:val="6"/>
                <w:sz w:val="16"/>
              </w:rPr>
              <w:t>*</w:t>
            </w:r>
            <w:r w:rsidRPr="00583E1A">
              <w:t xml:space="preserve">business in </w:t>
            </w:r>
            <w:smartTag w:uri="urn:schemas-microsoft-com:office:smarttags" w:element="country-region">
              <w:smartTag w:uri="urn:schemas-microsoft-com:office:smarttags" w:element="place">
                <w:r w:rsidRPr="00583E1A">
                  <w:t>Australia</w:t>
                </w:r>
              </w:smartTag>
            </w:smartTag>
          </w:p>
        </w:tc>
        <w:tc>
          <w:tcPr>
            <w:tcW w:w="2837" w:type="dxa"/>
            <w:tcBorders>
              <w:top w:val="single" w:sz="2" w:space="0" w:color="auto"/>
              <w:bottom w:val="single" w:sz="12" w:space="0" w:color="auto"/>
            </w:tcBorders>
          </w:tcPr>
          <w:p w:rsidR="00887330" w:rsidRPr="00583E1A" w:rsidRDefault="00887330" w:rsidP="00887330">
            <w:pPr>
              <w:pStyle w:val="Tabletext"/>
            </w:pPr>
            <w:r w:rsidRPr="00583E1A">
              <w:t>Australian residents held more than 50% of the beneficial interests in the income or property of the trust</w:t>
            </w:r>
          </w:p>
        </w:tc>
      </w:tr>
    </w:tbl>
    <w:p w:rsidR="00887330" w:rsidRPr="00583E1A" w:rsidRDefault="00887330" w:rsidP="00A805BD">
      <w:pPr>
        <w:pStyle w:val="Definition"/>
        <w:keepNext/>
      </w:pPr>
      <w:r w:rsidRPr="00583E1A">
        <w:rPr>
          <w:b/>
          <w:i/>
        </w:rPr>
        <w:t>resident unit trust</w:t>
      </w:r>
      <w:r w:rsidRPr="00583E1A">
        <w:t>:</w:t>
      </w:r>
    </w:p>
    <w:p w:rsidR="00887330" w:rsidRPr="00583E1A" w:rsidRDefault="00887330" w:rsidP="00887330">
      <w:pPr>
        <w:pStyle w:val="paragraph"/>
      </w:pPr>
      <w:r w:rsidRPr="00583E1A">
        <w:tab/>
        <w:t>(a)</w:t>
      </w:r>
      <w:r w:rsidRPr="00583E1A">
        <w:tab/>
        <w:t xml:space="preserve">for a </w:t>
      </w:r>
      <w:r w:rsidR="00583E1A" w:rsidRPr="00583E1A">
        <w:rPr>
          <w:position w:val="6"/>
          <w:sz w:val="16"/>
        </w:rPr>
        <w:t>*</w:t>
      </w:r>
      <w:r w:rsidRPr="00583E1A">
        <w:t>corporate unit trust—has the meaning given by section</w:t>
      </w:r>
      <w:r w:rsidR="00583E1A">
        <w:t> </w:t>
      </w:r>
      <w:r w:rsidRPr="00583E1A">
        <w:t xml:space="preserve">102H of the </w:t>
      </w:r>
      <w:r w:rsidRPr="00583E1A">
        <w:rPr>
          <w:i/>
        </w:rPr>
        <w:t>Income Tax Assessment Act 1936</w:t>
      </w:r>
      <w:r w:rsidRPr="00583E1A">
        <w:t>; and</w:t>
      </w:r>
    </w:p>
    <w:p w:rsidR="00887330" w:rsidRPr="00583E1A" w:rsidRDefault="00887330" w:rsidP="00887330">
      <w:pPr>
        <w:pStyle w:val="paragraph"/>
      </w:pPr>
      <w:r w:rsidRPr="00583E1A">
        <w:tab/>
        <w:t>(b)</w:t>
      </w:r>
      <w:r w:rsidRPr="00583E1A">
        <w:tab/>
        <w:t xml:space="preserve">for a </w:t>
      </w:r>
      <w:r w:rsidR="00583E1A" w:rsidRPr="00583E1A">
        <w:rPr>
          <w:position w:val="6"/>
          <w:sz w:val="16"/>
        </w:rPr>
        <w:t>*</w:t>
      </w:r>
      <w:r w:rsidRPr="00583E1A">
        <w:t>public trading trust—has the meaning given by section</w:t>
      </w:r>
      <w:r w:rsidR="00583E1A">
        <w:t> </w:t>
      </w:r>
      <w:r w:rsidRPr="00583E1A">
        <w:t xml:space="preserve">102Q of the </w:t>
      </w:r>
      <w:r w:rsidRPr="00583E1A">
        <w:rPr>
          <w:i/>
        </w:rPr>
        <w:t>Income Tax Assessment Act 1936</w:t>
      </w:r>
      <w:r w:rsidRPr="00583E1A">
        <w:t>.</w:t>
      </w:r>
    </w:p>
    <w:p w:rsidR="00887330" w:rsidRPr="00583E1A" w:rsidRDefault="00887330" w:rsidP="00887330">
      <w:pPr>
        <w:pStyle w:val="Definition"/>
      </w:pPr>
      <w:r w:rsidRPr="00583E1A">
        <w:rPr>
          <w:b/>
          <w:i/>
        </w:rPr>
        <w:t>residual unrealised net loss</w:t>
      </w:r>
      <w:r w:rsidRPr="00583E1A">
        <w:t xml:space="preserve"> for a </w:t>
      </w:r>
      <w:r w:rsidR="00583E1A" w:rsidRPr="00583E1A">
        <w:rPr>
          <w:position w:val="6"/>
          <w:sz w:val="16"/>
        </w:rPr>
        <w:t>*</w:t>
      </w:r>
      <w:r w:rsidRPr="00583E1A">
        <w:t>changeover time has the meaning given by section</w:t>
      </w:r>
      <w:r w:rsidR="00583E1A">
        <w:t> </w:t>
      </w:r>
      <w:r w:rsidRPr="00583E1A">
        <w:t>165</w:t>
      </w:r>
      <w:r w:rsidR="00583E1A">
        <w:noBreakHyphen/>
      </w:r>
      <w:r w:rsidRPr="00583E1A">
        <w:t>115BB.</w:t>
      </w:r>
    </w:p>
    <w:p w:rsidR="00887330" w:rsidRPr="00583E1A" w:rsidRDefault="00887330" w:rsidP="00887330">
      <w:pPr>
        <w:pStyle w:val="Definition"/>
      </w:pPr>
      <w:r w:rsidRPr="00583E1A">
        <w:rPr>
          <w:b/>
          <w:i/>
        </w:rPr>
        <w:t>responsible entity</w:t>
      </w:r>
      <w:r w:rsidRPr="00583E1A">
        <w:t xml:space="preserve">, of a </w:t>
      </w:r>
      <w:r w:rsidR="00583E1A" w:rsidRPr="00583E1A">
        <w:rPr>
          <w:position w:val="6"/>
          <w:sz w:val="16"/>
        </w:rPr>
        <w:t>*</w:t>
      </w:r>
      <w:r w:rsidRPr="00583E1A">
        <w:t xml:space="preserve">registered scheme, has the same meaning as in the </w:t>
      </w:r>
      <w:r w:rsidRPr="00583E1A">
        <w:rPr>
          <w:i/>
        </w:rPr>
        <w:t>Corporations Act 2001</w:t>
      </w:r>
      <w:r w:rsidRPr="00583E1A">
        <w:t>.</w:t>
      </w:r>
    </w:p>
    <w:p w:rsidR="00093DFD" w:rsidRPr="00583E1A" w:rsidRDefault="00093DFD" w:rsidP="00093DFD">
      <w:pPr>
        <w:pStyle w:val="Definition"/>
      </w:pPr>
      <w:r w:rsidRPr="00583E1A">
        <w:rPr>
          <w:b/>
          <w:i/>
        </w:rPr>
        <w:t>retail fuel</w:t>
      </w:r>
      <w:r w:rsidRPr="00583E1A">
        <w:t xml:space="preserve"> means taxable fuel, within the meaning of the </w:t>
      </w:r>
      <w:r w:rsidRPr="00583E1A">
        <w:rPr>
          <w:i/>
        </w:rPr>
        <w:t>Fuel Tax Act 2006</w:t>
      </w:r>
      <w:r w:rsidRPr="00583E1A">
        <w:t>, that is sold by retail.</w:t>
      </w:r>
    </w:p>
    <w:p w:rsidR="00887330" w:rsidRPr="00583E1A" w:rsidRDefault="00887330" w:rsidP="00887330">
      <w:pPr>
        <w:pStyle w:val="Definition"/>
      </w:pPr>
      <w:r w:rsidRPr="00583E1A">
        <w:rPr>
          <w:b/>
          <w:i/>
        </w:rPr>
        <w:t>retained cost base asset</w:t>
      </w:r>
      <w:r w:rsidRPr="00583E1A">
        <w:t xml:space="preserve"> has the meaning given by subsections 705</w:t>
      </w:r>
      <w:r w:rsidR="00583E1A">
        <w:noBreakHyphen/>
      </w:r>
      <w:r w:rsidRPr="00583E1A">
        <w:t>25(5), 713</w:t>
      </w:r>
      <w:r w:rsidR="00583E1A">
        <w:noBreakHyphen/>
      </w:r>
      <w:r w:rsidRPr="00583E1A">
        <w:t>515(1) and 713</w:t>
      </w:r>
      <w:r w:rsidR="00583E1A">
        <w:noBreakHyphen/>
      </w:r>
      <w:r w:rsidRPr="00583E1A">
        <w:t>705(2).</w:t>
      </w:r>
    </w:p>
    <w:p w:rsidR="00887330" w:rsidRPr="00583E1A" w:rsidRDefault="00887330" w:rsidP="00887330">
      <w:pPr>
        <w:pStyle w:val="Definition"/>
      </w:pPr>
      <w:r w:rsidRPr="00583E1A">
        <w:rPr>
          <w:b/>
          <w:i/>
        </w:rPr>
        <w:t>retention period</w:t>
      </w:r>
      <w:r w:rsidRPr="00583E1A">
        <w:t xml:space="preserve"> has the meaning given by sections</w:t>
      </w:r>
      <w:r w:rsidR="00583E1A">
        <w:t> </w:t>
      </w:r>
      <w:r w:rsidRPr="00583E1A">
        <w:t>28</w:t>
      </w:r>
      <w:r w:rsidR="00583E1A">
        <w:noBreakHyphen/>
      </w:r>
      <w:r w:rsidRPr="00583E1A">
        <w:t>150, 900</w:t>
      </w:r>
      <w:r w:rsidR="00583E1A">
        <w:noBreakHyphen/>
      </w:r>
      <w:r w:rsidRPr="00583E1A">
        <w:t>25, 900</w:t>
      </w:r>
      <w:r w:rsidR="00583E1A">
        <w:noBreakHyphen/>
      </w:r>
      <w:r w:rsidRPr="00583E1A">
        <w:t>75 and 900</w:t>
      </w:r>
      <w:r w:rsidR="00583E1A">
        <w:noBreakHyphen/>
      </w:r>
      <w:r w:rsidRPr="00583E1A">
        <w:t>90.</w:t>
      </w:r>
    </w:p>
    <w:p w:rsidR="00BC4153" w:rsidRPr="00583E1A" w:rsidRDefault="00BC4153" w:rsidP="00BC4153">
      <w:pPr>
        <w:pStyle w:val="Definition"/>
      </w:pPr>
      <w:r w:rsidRPr="00583E1A">
        <w:rPr>
          <w:b/>
          <w:i/>
        </w:rPr>
        <w:t>retirement village</w:t>
      </w:r>
      <w:r w:rsidRPr="00583E1A">
        <w:t xml:space="preserve"> has the same meaning as in the </w:t>
      </w:r>
      <w:r w:rsidR="00070CEF" w:rsidRPr="004C09C4">
        <w:rPr>
          <w:position w:val="6"/>
          <w:sz w:val="16"/>
        </w:rPr>
        <w:t>*</w:t>
      </w:r>
      <w:r w:rsidR="00070CEF" w:rsidRPr="004C09C4">
        <w:t>GST Act</w:t>
      </w:r>
      <w:r w:rsidRPr="00583E1A">
        <w:t>.</w:t>
      </w:r>
    </w:p>
    <w:p w:rsidR="00BA7F87" w:rsidRPr="00583E1A" w:rsidRDefault="00BA7F87" w:rsidP="00BA7F87">
      <w:pPr>
        <w:pStyle w:val="Definition"/>
      </w:pPr>
      <w:r w:rsidRPr="00583E1A">
        <w:rPr>
          <w:b/>
          <w:i/>
        </w:rPr>
        <w:t>retirement village residence contract</w:t>
      </w:r>
      <w:r w:rsidRPr="00583E1A">
        <w:t xml:space="preserve"> has the meaning given by paragraph 230</w:t>
      </w:r>
      <w:r w:rsidR="00583E1A">
        <w:noBreakHyphen/>
      </w:r>
      <w:r w:rsidRPr="00583E1A">
        <w:t>475(4)(a).</w:t>
      </w:r>
    </w:p>
    <w:p w:rsidR="00BA7F87" w:rsidRPr="00583E1A" w:rsidRDefault="00BA7F87" w:rsidP="00BA7F87">
      <w:pPr>
        <w:pStyle w:val="Definition"/>
      </w:pPr>
      <w:r w:rsidRPr="00583E1A">
        <w:rPr>
          <w:b/>
          <w:i/>
        </w:rPr>
        <w:t>retirement village services contract</w:t>
      </w:r>
      <w:r w:rsidRPr="00583E1A">
        <w:t xml:space="preserve"> has the meaning given by paragraph 230</w:t>
      </w:r>
      <w:r w:rsidR="00583E1A">
        <w:noBreakHyphen/>
      </w:r>
      <w:r w:rsidRPr="00583E1A">
        <w:t>475(4)(b).</w:t>
      </w:r>
    </w:p>
    <w:p w:rsidR="00887330" w:rsidRPr="00583E1A" w:rsidRDefault="00887330" w:rsidP="00887330">
      <w:pPr>
        <w:pStyle w:val="Definition"/>
      </w:pPr>
      <w:r w:rsidRPr="00583E1A">
        <w:rPr>
          <w:b/>
          <w:i/>
        </w:rPr>
        <w:lastRenderedPageBreak/>
        <w:t>return</w:t>
      </w:r>
      <w:r w:rsidRPr="00583E1A">
        <w:t xml:space="preserve"> on a </w:t>
      </w:r>
      <w:r w:rsidR="00583E1A" w:rsidRPr="00583E1A">
        <w:rPr>
          <w:position w:val="6"/>
          <w:sz w:val="16"/>
        </w:rPr>
        <w:t>*</w:t>
      </w:r>
      <w:r w:rsidRPr="00583E1A">
        <w:t xml:space="preserve">debt interest or </w:t>
      </w:r>
      <w:r w:rsidR="00583E1A" w:rsidRPr="00583E1A">
        <w:rPr>
          <w:position w:val="6"/>
          <w:sz w:val="16"/>
        </w:rPr>
        <w:t>*</w:t>
      </w:r>
      <w:r w:rsidRPr="00583E1A">
        <w:t>equity interest does not include a return of an amount invested in the interest.</w:t>
      </w:r>
    </w:p>
    <w:p w:rsidR="00887330" w:rsidRPr="00583E1A" w:rsidRDefault="00887330" w:rsidP="00887330">
      <w:pPr>
        <w:pStyle w:val="Definition"/>
      </w:pPr>
      <w:r w:rsidRPr="00583E1A">
        <w:rPr>
          <w:b/>
          <w:i/>
        </w:rPr>
        <w:t>revenue asset</w:t>
      </w:r>
      <w:r w:rsidRPr="00583E1A">
        <w:t xml:space="preserve"> has the meaning given by section</w:t>
      </w:r>
      <w:r w:rsidR="00583E1A">
        <w:t> </w:t>
      </w:r>
      <w:r w:rsidRPr="00583E1A">
        <w:t>977</w:t>
      </w:r>
      <w:r w:rsidR="00583E1A">
        <w:noBreakHyphen/>
      </w:r>
      <w:r w:rsidRPr="00583E1A">
        <w:t>50.</w:t>
      </w:r>
    </w:p>
    <w:p w:rsidR="00887330" w:rsidRPr="00583E1A" w:rsidRDefault="00887330" w:rsidP="00887330">
      <w:pPr>
        <w:pStyle w:val="Definition"/>
      </w:pPr>
      <w:r w:rsidRPr="00583E1A">
        <w:rPr>
          <w:b/>
          <w:i/>
        </w:rPr>
        <w:t>reviewable fuel tax decision</w:t>
      </w:r>
      <w:r w:rsidRPr="00583E1A">
        <w:t xml:space="preserve"> has the meaning given by subsection 112</w:t>
      </w:r>
      <w:r w:rsidR="00583E1A">
        <w:noBreakHyphen/>
      </w:r>
      <w:r w:rsidRPr="00583E1A">
        <w:t>50(2) in Schedule</w:t>
      </w:r>
      <w:r w:rsidR="00583E1A">
        <w:t> </w:t>
      </w:r>
      <w:r w:rsidRPr="00583E1A">
        <w:t xml:space="preserve">1 to the </w:t>
      </w:r>
      <w:r w:rsidRPr="00583E1A">
        <w:rPr>
          <w:i/>
        </w:rPr>
        <w:t>Taxation Administration Act 1953</w:t>
      </w:r>
      <w:r w:rsidRPr="00583E1A">
        <w:t>.</w:t>
      </w:r>
    </w:p>
    <w:p w:rsidR="00887330" w:rsidRPr="00583E1A" w:rsidRDefault="00887330" w:rsidP="00887330">
      <w:pPr>
        <w:pStyle w:val="Definition"/>
      </w:pPr>
      <w:r w:rsidRPr="00583E1A">
        <w:rPr>
          <w:b/>
          <w:i/>
        </w:rPr>
        <w:t>reviewable GST decision</w:t>
      </w:r>
      <w:r w:rsidRPr="00583E1A">
        <w:t xml:space="preserve"> has the meaning given by subsection 110</w:t>
      </w:r>
      <w:r w:rsidR="00583E1A">
        <w:noBreakHyphen/>
      </w:r>
      <w:r w:rsidRPr="00583E1A">
        <w:t>50(2) in Schedule</w:t>
      </w:r>
      <w:r w:rsidR="00583E1A">
        <w:t> </w:t>
      </w:r>
      <w:r w:rsidRPr="00583E1A">
        <w:t xml:space="preserve">1 to the </w:t>
      </w:r>
      <w:r w:rsidRPr="00583E1A">
        <w:rPr>
          <w:i/>
        </w:rPr>
        <w:t>Taxation Administration Act 1953</w:t>
      </w:r>
      <w:r w:rsidRPr="00583E1A">
        <w:t>.</w:t>
      </w:r>
    </w:p>
    <w:p w:rsidR="00887330" w:rsidRPr="00583E1A" w:rsidRDefault="00887330" w:rsidP="00887330">
      <w:pPr>
        <w:pStyle w:val="Definition"/>
      </w:pPr>
      <w:r w:rsidRPr="00583E1A">
        <w:rPr>
          <w:b/>
          <w:i/>
        </w:rPr>
        <w:t>reviewable GST transitional decision</w:t>
      </w:r>
      <w:r w:rsidRPr="00583E1A">
        <w:t xml:space="preserve"> has the meaning given by subsection 110</w:t>
      </w:r>
      <w:r w:rsidR="00583E1A">
        <w:noBreakHyphen/>
      </w:r>
      <w:r w:rsidRPr="00583E1A">
        <w:t>50(3) in Schedule</w:t>
      </w:r>
      <w:r w:rsidR="00583E1A">
        <w:t> </w:t>
      </w:r>
      <w:r w:rsidRPr="00583E1A">
        <w:t xml:space="preserve">1 to the </w:t>
      </w:r>
      <w:r w:rsidRPr="00583E1A">
        <w:rPr>
          <w:i/>
        </w:rPr>
        <w:t>Taxation Administration Act 1953</w:t>
      </w:r>
      <w:r w:rsidRPr="00583E1A">
        <w:t>.</w:t>
      </w:r>
    </w:p>
    <w:p w:rsidR="00A75E51" w:rsidRPr="00583E1A" w:rsidRDefault="00A75E51" w:rsidP="00A75E51">
      <w:pPr>
        <w:pStyle w:val="Definition"/>
      </w:pPr>
      <w:r w:rsidRPr="00583E1A">
        <w:rPr>
          <w:b/>
          <w:i/>
        </w:rPr>
        <w:t>reviewable indirect tax decision</w:t>
      </w:r>
      <w:r w:rsidRPr="00583E1A">
        <w:t xml:space="preserve"> has the meaning given by subsection 105</w:t>
      </w:r>
      <w:r>
        <w:noBreakHyphen/>
      </w:r>
      <w:r w:rsidRPr="00583E1A">
        <w:t>40(2) in Schedule</w:t>
      </w:r>
      <w:r>
        <w:t> </w:t>
      </w:r>
      <w:r w:rsidRPr="00583E1A">
        <w:t xml:space="preserve">1 to the </w:t>
      </w:r>
      <w:r w:rsidRPr="00583E1A">
        <w:rPr>
          <w:i/>
        </w:rPr>
        <w:t>Taxation Administration Act 1953</w:t>
      </w:r>
      <w:r w:rsidRPr="00583E1A">
        <w:t>.</w:t>
      </w:r>
    </w:p>
    <w:p w:rsidR="00887330" w:rsidRPr="00583E1A" w:rsidRDefault="00887330" w:rsidP="00887330">
      <w:pPr>
        <w:pStyle w:val="Definition"/>
      </w:pPr>
      <w:bookmarkStart w:id="650" w:name="_GoBack"/>
      <w:bookmarkEnd w:id="650"/>
      <w:r w:rsidRPr="00583E1A">
        <w:rPr>
          <w:b/>
          <w:i/>
        </w:rPr>
        <w:t>reviewable wine tax decision</w:t>
      </w:r>
      <w:r w:rsidRPr="00583E1A">
        <w:t xml:space="preserve"> has the meaning given by subsection 111</w:t>
      </w:r>
      <w:r w:rsidR="00583E1A">
        <w:noBreakHyphen/>
      </w:r>
      <w:r w:rsidRPr="00583E1A">
        <w:t>50(2) in Schedule</w:t>
      </w:r>
      <w:r w:rsidR="00583E1A">
        <w:t> </w:t>
      </w:r>
      <w:r w:rsidRPr="00583E1A">
        <w:t xml:space="preserve">1 to the </w:t>
      </w:r>
      <w:r w:rsidRPr="00583E1A">
        <w:rPr>
          <w:i/>
        </w:rPr>
        <w:t>Taxation Administration Act 1953</w:t>
      </w:r>
      <w:r w:rsidRPr="00583E1A">
        <w:t>.</w:t>
      </w:r>
    </w:p>
    <w:p w:rsidR="00887330" w:rsidRPr="00583E1A" w:rsidRDefault="00887330" w:rsidP="00887330">
      <w:pPr>
        <w:pStyle w:val="Definition"/>
      </w:pPr>
      <w:r w:rsidRPr="00583E1A">
        <w:rPr>
          <w:b/>
          <w:i/>
        </w:rPr>
        <w:t>revive</w:t>
      </w:r>
      <w:r w:rsidRPr="00583E1A">
        <w:t xml:space="preserve">: a </w:t>
      </w:r>
      <w:r w:rsidR="00583E1A" w:rsidRPr="00583E1A">
        <w:rPr>
          <w:position w:val="6"/>
          <w:sz w:val="16"/>
        </w:rPr>
        <w:t>*</w:t>
      </w:r>
      <w:r w:rsidRPr="00583E1A">
        <w:t>170</w:t>
      </w:r>
      <w:r w:rsidR="00583E1A">
        <w:noBreakHyphen/>
      </w:r>
      <w:r w:rsidRPr="00583E1A">
        <w:t xml:space="preserve">D deferred loss </w:t>
      </w:r>
      <w:r w:rsidRPr="00583E1A">
        <w:rPr>
          <w:b/>
          <w:i/>
        </w:rPr>
        <w:t>revives</w:t>
      </w:r>
      <w:r w:rsidRPr="00583E1A">
        <w:t xml:space="preserve"> as mentioned in section</w:t>
      </w:r>
      <w:r w:rsidR="00583E1A">
        <w:t> </w:t>
      </w:r>
      <w:r w:rsidRPr="00583E1A">
        <w:t>715</w:t>
      </w:r>
      <w:r w:rsidR="00583E1A">
        <w:noBreakHyphen/>
      </w:r>
      <w:r w:rsidRPr="00583E1A">
        <w:t>310.</w:t>
      </w:r>
    </w:p>
    <w:p w:rsidR="004B269B" w:rsidRPr="006D02BA" w:rsidRDefault="004B269B" w:rsidP="004B269B">
      <w:pPr>
        <w:pStyle w:val="Definition"/>
      </w:pPr>
      <w:r w:rsidRPr="006D02BA">
        <w:rPr>
          <w:b/>
          <w:i/>
        </w:rPr>
        <w:t>right to future income</w:t>
      </w:r>
      <w:r w:rsidRPr="006D02BA">
        <w:t xml:space="preserve"> has the meaning given by subsection 701</w:t>
      </w:r>
      <w:r w:rsidRPr="006D02BA">
        <w:noBreakHyphen/>
        <w:t>63(5).</w:t>
      </w:r>
    </w:p>
    <w:p w:rsidR="00887330" w:rsidRPr="00583E1A" w:rsidRDefault="00887330" w:rsidP="00887330">
      <w:pPr>
        <w:pStyle w:val="Definition"/>
      </w:pPr>
      <w:r w:rsidRPr="00583E1A">
        <w:rPr>
          <w:b/>
          <w:i/>
        </w:rPr>
        <w:t>right to use</w:t>
      </w:r>
      <w:r w:rsidRPr="00583E1A">
        <w:t xml:space="preserve"> includes the right to possess.</w:t>
      </w:r>
    </w:p>
    <w:p w:rsidR="003B46D4" w:rsidRPr="00583E1A" w:rsidRDefault="003B46D4" w:rsidP="000F40A8">
      <w:pPr>
        <w:pStyle w:val="Definition"/>
      </w:pPr>
      <w:r w:rsidRPr="00583E1A">
        <w:rPr>
          <w:b/>
          <w:i/>
        </w:rPr>
        <w:t>risk component</w:t>
      </w:r>
      <w:r w:rsidRPr="00583E1A">
        <w:t>:</w:t>
      </w:r>
    </w:p>
    <w:p w:rsidR="003B46D4" w:rsidRPr="00583E1A" w:rsidRDefault="003B46D4" w:rsidP="000F40A8">
      <w:pPr>
        <w:pStyle w:val="paragraph"/>
      </w:pPr>
      <w:r w:rsidRPr="00583E1A">
        <w:tab/>
        <w:t>(a)</w:t>
      </w:r>
      <w:r w:rsidRPr="00583E1A">
        <w:tab/>
        <w:t xml:space="preserve">the </w:t>
      </w:r>
      <w:r w:rsidRPr="00583E1A">
        <w:rPr>
          <w:b/>
          <w:i/>
        </w:rPr>
        <w:t xml:space="preserve">risk component </w:t>
      </w:r>
      <w:r w:rsidRPr="00583E1A">
        <w:t xml:space="preserve">of a premium for a </w:t>
      </w:r>
      <w:r w:rsidR="00583E1A" w:rsidRPr="00583E1A">
        <w:rPr>
          <w:position w:val="6"/>
          <w:sz w:val="16"/>
        </w:rPr>
        <w:t>*</w:t>
      </w:r>
      <w:r w:rsidRPr="00583E1A">
        <w:t>life insurance policy has the meaning given by subsection 26</w:t>
      </w:r>
      <w:r w:rsidR="00583E1A">
        <w:noBreakHyphen/>
      </w:r>
      <w:r w:rsidRPr="00583E1A">
        <w:t>85(2); and</w:t>
      </w:r>
    </w:p>
    <w:p w:rsidR="003B46D4" w:rsidRPr="00583E1A" w:rsidRDefault="003B46D4" w:rsidP="003B46D4">
      <w:pPr>
        <w:pStyle w:val="paragraph"/>
      </w:pPr>
      <w:r w:rsidRPr="00583E1A">
        <w:tab/>
        <w:t>(b)</w:t>
      </w:r>
      <w:r w:rsidRPr="00583E1A">
        <w:tab/>
        <w:t xml:space="preserve">the </w:t>
      </w:r>
      <w:r w:rsidRPr="00583E1A">
        <w:rPr>
          <w:b/>
          <w:i/>
        </w:rPr>
        <w:t xml:space="preserve">risk component </w:t>
      </w:r>
      <w:r w:rsidRPr="00583E1A">
        <w:t>of a claim paid under a life insurance policy has the meaning given by section</w:t>
      </w:r>
      <w:r w:rsidR="00583E1A">
        <w:t> </w:t>
      </w:r>
      <w:r w:rsidRPr="00583E1A">
        <w:t>320</w:t>
      </w:r>
      <w:r w:rsidR="00583E1A">
        <w:noBreakHyphen/>
      </w:r>
      <w:r w:rsidRPr="00583E1A">
        <w:t>80.</w:t>
      </w:r>
    </w:p>
    <w:p w:rsidR="00887330" w:rsidRPr="00583E1A" w:rsidRDefault="00887330" w:rsidP="00887330">
      <w:pPr>
        <w:pStyle w:val="Definition"/>
      </w:pPr>
      <w:r w:rsidRPr="00583E1A">
        <w:rPr>
          <w:b/>
          <w:i/>
        </w:rPr>
        <w:t>risk</w:t>
      </w:r>
      <w:r w:rsidR="00583E1A">
        <w:rPr>
          <w:b/>
          <w:i/>
        </w:rPr>
        <w:noBreakHyphen/>
      </w:r>
      <w:r w:rsidRPr="00583E1A">
        <w:rPr>
          <w:b/>
          <w:i/>
        </w:rPr>
        <w:t>weighted assets</w:t>
      </w:r>
      <w:r w:rsidRPr="00583E1A">
        <w:t>, of an entity and at a particular time, means the sum of the entity’s risk exposures that the entity has at that time, as is determined in accordance with:</w:t>
      </w:r>
    </w:p>
    <w:p w:rsidR="00887330" w:rsidRPr="00583E1A" w:rsidRDefault="00887330" w:rsidP="00887330">
      <w:pPr>
        <w:pStyle w:val="paragraph"/>
      </w:pPr>
      <w:r w:rsidRPr="00583E1A">
        <w:tab/>
        <w:t>(a)</w:t>
      </w:r>
      <w:r w:rsidRPr="00583E1A">
        <w:tab/>
        <w:t xml:space="preserve">if the entity is an </w:t>
      </w:r>
      <w:r w:rsidR="00583E1A" w:rsidRPr="00583E1A">
        <w:rPr>
          <w:position w:val="6"/>
          <w:sz w:val="16"/>
        </w:rPr>
        <w:t>*</w:t>
      </w:r>
      <w:r w:rsidRPr="00583E1A">
        <w:t xml:space="preserve">Australian entity that is not a </w:t>
      </w:r>
      <w:r w:rsidR="00583E1A" w:rsidRPr="00583E1A">
        <w:rPr>
          <w:position w:val="6"/>
          <w:sz w:val="16"/>
        </w:rPr>
        <w:t>*</w:t>
      </w:r>
      <w:r w:rsidRPr="00583E1A">
        <w:t xml:space="preserve">foreign controlled Australian entity—the </w:t>
      </w:r>
      <w:r w:rsidR="00583E1A" w:rsidRPr="00583E1A">
        <w:rPr>
          <w:position w:val="6"/>
          <w:sz w:val="16"/>
        </w:rPr>
        <w:t>*</w:t>
      </w:r>
      <w:r w:rsidRPr="00583E1A">
        <w:t>prudential standards; or</w:t>
      </w:r>
    </w:p>
    <w:p w:rsidR="00887330" w:rsidRPr="00583E1A" w:rsidRDefault="00887330" w:rsidP="00887330">
      <w:pPr>
        <w:pStyle w:val="paragraph"/>
      </w:pPr>
      <w:r w:rsidRPr="00583E1A">
        <w:tab/>
        <w:t>(b)</w:t>
      </w:r>
      <w:r w:rsidRPr="00583E1A">
        <w:tab/>
        <w:t>in any other case—either of the following:</w:t>
      </w:r>
    </w:p>
    <w:p w:rsidR="00887330" w:rsidRPr="00583E1A" w:rsidRDefault="00887330" w:rsidP="00887330">
      <w:pPr>
        <w:pStyle w:val="paragraphsub"/>
      </w:pPr>
      <w:r w:rsidRPr="00583E1A">
        <w:lastRenderedPageBreak/>
        <w:tab/>
        <w:t>(i)</w:t>
      </w:r>
      <w:r w:rsidRPr="00583E1A">
        <w:tab/>
        <w:t>the prudential standards;</w:t>
      </w:r>
    </w:p>
    <w:p w:rsidR="00887330" w:rsidRPr="00583E1A" w:rsidRDefault="00887330" w:rsidP="00887330">
      <w:pPr>
        <w:pStyle w:val="paragraphsub"/>
      </w:pPr>
      <w:r w:rsidRPr="00583E1A">
        <w:tab/>
        <w:t>(ii)</w:t>
      </w:r>
      <w:r w:rsidRPr="00583E1A">
        <w:tab/>
        <w:t xml:space="preserve">the prudential standards determined by the prudential regulator in the country of which the entity, or the </w:t>
      </w:r>
      <w:r w:rsidR="00583E1A" w:rsidRPr="00583E1A">
        <w:rPr>
          <w:position w:val="6"/>
          <w:sz w:val="16"/>
        </w:rPr>
        <w:t>*</w:t>
      </w:r>
      <w:r w:rsidRPr="00583E1A">
        <w:t xml:space="preserve">foreign bank that has </w:t>
      </w:r>
      <w:r w:rsidR="00583E1A" w:rsidRPr="00583E1A">
        <w:rPr>
          <w:position w:val="6"/>
          <w:sz w:val="16"/>
        </w:rPr>
        <w:t>*</w:t>
      </w:r>
      <w:r w:rsidRPr="00583E1A">
        <w:t>TC control interests of at least 40% in the entity, is a resident.</w:t>
      </w:r>
    </w:p>
    <w:p w:rsidR="000702BE" w:rsidRPr="00583E1A" w:rsidRDefault="000702BE" w:rsidP="000702BE">
      <w:pPr>
        <w:pStyle w:val="Definition"/>
      </w:pPr>
      <w:r w:rsidRPr="00583E1A">
        <w:rPr>
          <w:b/>
          <w:i/>
        </w:rPr>
        <w:t>roll</w:t>
      </w:r>
      <w:r w:rsidR="00583E1A">
        <w:rPr>
          <w:b/>
          <w:i/>
        </w:rPr>
        <w:noBreakHyphen/>
      </w:r>
      <w:r w:rsidRPr="00583E1A">
        <w:rPr>
          <w:b/>
          <w:i/>
        </w:rPr>
        <w:t>over superannuation benefit</w:t>
      </w:r>
      <w:r w:rsidRPr="00583E1A">
        <w:t xml:space="preserve"> has the meaning given by section</w:t>
      </w:r>
      <w:r w:rsidR="00583E1A">
        <w:t> </w:t>
      </w:r>
      <w:r w:rsidRPr="00583E1A">
        <w:t>306</w:t>
      </w:r>
      <w:r w:rsidR="00583E1A">
        <w:noBreakHyphen/>
      </w:r>
      <w:r w:rsidRPr="00583E1A">
        <w:t>10.</w:t>
      </w:r>
    </w:p>
    <w:p w:rsidR="00887330" w:rsidRPr="00583E1A" w:rsidRDefault="00887330" w:rsidP="00887330">
      <w:pPr>
        <w:pStyle w:val="Definition"/>
      </w:pPr>
      <w:r w:rsidRPr="00583E1A">
        <w:rPr>
          <w:b/>
          <w:i/>
        </w:rPr>
        <w:t>royalty</w:t>
      </w:r>
      <w:r w:rsidRPr="00583E1A">
        <w:t xml:space="preserve"> has the meaning given by subsection 6(1) of the </w:t>
      </w:r>
      <w:r w:rsidRPr="00583E1A">
        <w:rPr>
          <w:i/>
        </w:rPr>
        <w:t>Income Tax Assessment Act 1936</w:t>
      </w:r>
      <w:r w:rsidRPr="00583E1A">
        <w:t>.</w:t>
      </w:r>
    </w:p>
    <w:p w:rsidR="00887330" w:rsidRPr="00583E1A" w:rsidRDefault="00887330" w:rsidP="00887330">
      <w:pPr>
        <w:pStyle w:val="Definition"/>
      </w:pPr>
      <w:r w:rsidRPr="00583E1A">
        <w:rPr>
          <w:b/>
          <w:i/>
        </w:rPr>
        <w:t>RSA</w:t>
      </w:r>
      <w:r w:rsidRPr="00583E1A">
        <w:t xml:space="preserve"> has the meaning given by the </w:t>
      </w:r>
      <w:r w:rsidRPr="00583E1A">
        <w:rPr>
          <w:i/>
        </w:rPr>
        <w:t>Retirement Savings Accounts Act 1997</w:t>
      </w:r>
      <w:r w:rsidRPr="00583E1A">
        <w:t>.</w:t>
      </w:r>
    </w:p>
    <w:p w:rsidR="000702BE" w:rsidRPr="00583E1A" w:rsidRDefault="000702BE" w:rsidP="000702BE">
      <w:pPr>
        <w:pStyle w:val="Definition"/>
      </w:pPr>
      <w:r w:rsidRPr="00583E1A">
        <w:rPr>
          <w:b/>
          <w:i/>
        </w:rPr>
        <w:t>RSA component</w:t>
      </w:r>
      <w:r w:rsidRPr="00583E1A">
        <w:t xml:space="preserve"> has the meaning given by section</w:t>
      </w:r>
      <w:r w:rsidR="00583E1A">
        <w:t> </w:t>
      </w:r>
      <w:r w:rsidRPr="00583E1A">
        <w:t>295</w:t>
      </w:r>
      <w:r w:rsidR="00583E1A">
        <w:noBreakHyphen/>
      </w:r>
      <w:r w:rsidRPr="00583E1A">
        <w:t>555.</w:t>
      </w:r>
    </w:p>
    <w:p w:rsidR="000702BE" w:rsidRPr="00583E1A" w:rsidRDefault="000702BE" w:rsidP="000702BE">
      <w:pPr>
        <w:pStyle w:val="Definition"/>
      </w:pPr>
      <w:r w:rsidRPr="00583E1A">
        <w:rPr>
          <w:b/>
          <w:i/>
        </w:rPr>
        <w:t>RSA payment</w:t>
      </w:r>
      <w:r w:rsidRPr="00583E1A">
        <w:rPr>
          <w:b/>
        </w:rPr>
        <w:t xml:space="preserve"> </w:t>
      </w:r>
      <w:r w:rsidRPr="00583E1A">
        <w:t>has the meaning given by section</w:t>
      </w:r>
      <w:r w:rsidR="00583E1A">
        <w:t> </w:t>
      </w:r>
      <w:r w:rsidRPr="00583E1A">
        <w:t>307</w:t>
      </w:r>
      <w:r w:rsidR="00583E1A">
        <w:noBreakHyphen/>
      </w:r>
      <w:r w:rsidRPr="00583E1A">
        <w:t>5.</w:t>
      </w:r>
    </w:p>
    <w:p w:rsidR="00887330" w:rsidRPr="00583E1A" w:rsidRDefault="00887330" w:rsidP="00887330">
      <w:pPr>
        <w:pStyle w:val="Definition"/>
      </w:pPr>
      <w:r w:rsidRPr="00583E1A">
        <w:rPr>
          <w:b/>
          <w:i/>
        </w:rPr>
        <w:t>RSA provider</w:t>
      </w:r>
      <w:r w:rsidRPr="00583E1A">
        <w:t xml:space="preserve"> has the same meaning as in the </w:t>
      </w:r>
      <w:r w:rsidRPr="00583E1A">
        <w:rPr>
          <w:i/>
        </w:rPr>
        <w:t>Retirement Savings Accounts Act 1997</w:t>
      </w:r>
      <w:r w:rsidRPr="00583E1A">
        <w:t>.</w:t>
      </w:r>
    </w:p>
    <w:p w:rsidR="00887330" w:rsidRPr="00583E1A" w:rsidRDefault="00887330" w:rsidP="00887330">
      <w:pPr>
        <w:pStyle w:val="Definition"/>
      </w:pPr>
      <w:r w:rsidRPr="00583E1A">
        <w:rPr>
          <w:b/>
          <w:i/>
        </w:rPr>
        <w:t>rural land irrigation water provider</w:t>
      </w:r>
      <w:r w:rsidRPr="00583E1A">
        <w:t xml:space="preserve"> has the meaning given by section</w:t>
      </w:r>
      <w:r w:rsidR="00583E1A">
        <w:t> </w:t>
      </w:r>
      <w:r w:rsidRPr="00583E1A">
        <w:t>40</w:t>
      </w:r>
      <w:r w:rsidR="00583E1A">
        <w:noBreakHyphen/>
      </w:r>
      <w:r w:rsidRPr="00583E1A">
        <w:t>630.</w:t>
      </w:r>
    </w:p>
    <w:p w:rsidR="00887330" w:rsidRPr="00583E1A" w:rsidRDefault="00887330" w:rsidP="00887330">
      <w:pPr>
        <w:pStyle w:val="Definition"/>
        <w:keepNext/>
        <w:keepLines/>
      </w:pPr>
      <w:r w:rsidRPr="00583E1A">
        <w:rPr>
          <w:b/>
          <w:i/>
        </w:rPr>
        <w:t>safe harbour capital amount</w:t>
      </w:r>
      <w:r w:rsidRPr="00583E1A">
        <w:t>:</w:t>
      </w:r>
    </w:p>
    <w:p w:rsidR="00887330" w:rsidRPr="00583E1A" w:rsidRDefault="00887330" w:rsidP="00887330">
      <w:pPr>
        <w:pStyle w:val="paragraph"/>
      </w:pPr>
      <w:r w:rsidRPr="00583E1A">
        <w:tab/>
        <w:t>(a)</w:t>
      </w:r>
      <w:r w:rsidRPr="00583E1A">
        <w:tab/>
        <w:t xml:space="preserve">for an </w:t>
      </w:r>
      <w:r w:rsidR="00583E1A" w:rsidRPr="00583E1A">
        <w:rPr>
          <w:position w:val="6"/>
          <w:sz w:val="16"/>
        </w:rPr>
        <w:t>*</w:t>
      </w:r>
      <w:r w:rsidRPr="00583E1A">
        <w:t>outward investing entity (ADI)—has the meaning given by section</w:t>
      </w:r>
      <w:r w:rsidR="00583E1A">
        <w:t> </w:t>
      </w:r>
      <w:r w:rsidRPr="00583E1A">
        <w:t>820</w:t>
      </w:r>
      <w:r w:rsidR="00583E1A">
        <w:noBreakHyphen/>
      </w:r>
      <w:r w:rsidRPr="00583E1A">
        <w:t>310; and</w:t>
      </w:r>
    </w:p>
    <w:p w:rsidR="00887330" w:rsidRPr="00583E1A" w:rsidRDefault="00887330" w:rsidP="00887330">
      <w:pPr>
        <w:pStyle w:val="paragraph"/>
      </w:pPr>
      <w:r w:rsidRPr="00583E1A">
        <w:tab/>
        <w:t>(b)</w:t>
      </w:r>
      <w:r w:rsidRPr="00583E1A">
        <w:tab/>
        <w:t xml:space="preserve">for an </w:t>
      </w:r>
      <w:r w:rsidR="00583E1A" w:rsidRPr="00583E1A">
        <w:rPr>
          <w:position w:val="6"/>
          <w:sz w:val="16"/>
        </w:rPr>
        <w:t>*</w:t>
      </w:r>
      <w:r w:rsidRPr="00583E1A">
        <w:t>inward investing entity (ADI)—has the meaning given by section</w:t>
      </w:r>
      <w:r w:rsidR="00583E1A">
        <w:t> </w:t>
      </w:r>
      <w:r w:rsidRPr="00583E1A">
        <w:t>820</w:t>
      </w:r>
      <w:r w:rsidR="00583E1A">
        <w:noBreakHyphen/>
      </w:r>
      <w:r w:rsidRPr="00583E1A">
        <w:t>405 or 820</w:t>
      </w:r>
      <w:r w:rsidR="00583E1A">
        <w:noBreakHyphen/>
      </w:r>
      <w:r w:rsidRPr="00583E1A">
        <w:t>615</w:t>
      </w:r>
      <w:r w:rsidR="00C423D0" w:rsidRPr="00583E1A">
        <w:t>.</w:t>
      </w:r>
    </w:p>
    <w:p w:rsidR="00887330" w:rsidRPr="00583E1A" w:rsidRDefault="00887330" w:rsidP="000F40A8">
      <w:pPr>
        <w:pStyle w:val="Definition"/>
        <w:keepNext/>
        <w:keepLines/>
      </w:pPr>
      <w:r w:rsidRPr="00583E1A">
        <w:rPr>
          <w:b/>
          <w:i/>
        </w:rPr>
        <w:t>safe harbour debt amount</w:t>
      </w:r>
      <w:r w:rsidRPr="00583E1A">
        <w:t>:</w:t>
      </w:r>
    </w:p>
    <w:p w:rsidR="00887330" w:rsidRPr="00583E1A" w:rsidRDefault="00887330" w:rsidP="00887330">
      <w:pPr>
        <w:pStyle w:val="paragraph"/>
      </w:pPr>
      <w:r w:rsidRPr="00583E1A">
        <w:tab/>
        <w:t>(a)</w:t>
      </w:r>
      <w:r w:rsidRPr="00583E1A">
        <w:tab/>
        <w:t xml:space="preserve">for an </w:t>
      </w:r>
      <w:r w:rsidR="00583E1A" w:rsidRPr="00583E1A">
        <w:rPr>
          <w:position w:val="6"/>
          <w:sz w:val="16"/>
        </w:rPr>
        <w:t>*</w:t>
      </w:r>
      <w:r w:rsidRPr="00583E1A">
        <w:t>outward investor (general)—has the meaning given by section</w:t>
      </w:r>
      <w:r w:rsidR="00583E1A">
        <w:t> </w:t>
      </w:r>
      <w:r w:rsidRPr="00583E1A">
        <w:t>820</w:t>
      </w:r>
      <w:r w:rsidR="00583E1A">
        <w:noBreakHyphen/>
      </w:r>
      <w:r w:rsidRPr="00583E1A">
        <w:t>95; and</w:t>
      </w:r>
    </w:p>
    <w:p w:rsidR="00887330" w:rsidRPr="00583E1A" w:rsidRDefault="00887330" w:rsidP="00887330">
      <w:pPr>
        <w:pStyle w:val="paragraph"/>
      </w:pPr>
      <w:r w:rsidRPr="00583E1A">
        <w:tab/>
        <w:t>(b)</w:t>
      </w:r>
      <w:r w:rsidRPr="00583E1A">
        <w:tab/>
        <w:t xml:space="preserve">for an </w:t>
      </w:r>
      <w:r w:rsidR="00583E1A" w:rsidRPr="00583E1A">
        <w:rPr>
          <w:position w:val="6"/>
          <w:sz w:val="16"/>
        </w:rPr>
        <w:t>*</w:t>
      </w:r>
      <w:r w:rsidRPr="00583E1A">
        <w:t>outward investor (financial)—has the meaning given by section</w:t>
      </w:r>
      <w:r w:rsidR="00583E1A">
        <w:t> </w:t>
      </w:r>
      <w:r w:rsidRPr="00583E1A">
        <w:t>820</w:t>
      </w:r>
      <w:r w:rsidR="00583E1A">
        <w:noBreakHyphen/>
      </w:r>
      <w:r w:rsidRPr="00583E1A">
        <w:t>100; and</w:t>
      </w:r>
    </w:p>
    <w:p w:rsidR="00887330" w:rsidRPr="00583E1A" w:rsidRDefault="00887330" w:rsidP="00887330">
      <w:pPr>
        <w:pStyle w:val="paragraph"/>
      </w:pPr>
      <w:r w:rsidRPr="00583E1A">
        <w:tab/>
        <w:t>(c)</w:t>
      </w:r>
      <w:r w:rsidRPr="00583E1A">
        <w:tab/>
        <w:t xml:space="preserve">for an </w:t>
      </w:r>
      <w:r w:rsidR="00583E1A" w:rsidRPr="00583E1A">
        <w:rPr>
          <w:position w:val="6"/>
          <w:sz w:val="16"/>
        </w:rPr>
        <w:t>*</w:t>
      </w:r>
      <w:r w:rsidRPr="00583E1A">
        <w:t>inward investment vehicle (general)—has the meaning given by section</w:t>
      </w:r>
      <w:r w:rsidR="00583E1A">
        <w:t> </w:t>
      </w:r>
      <w:r w:rsidRPr="00583E1A">
        <w:t>820</w:t>
      </w:r>
      <w:r w:rsidR="00583E1A">
        <w:noBreakHyphen/>
      </w:r>
      <w:r w:rsidRPr="00583E1A">
        <w:t>195; and</w:t>
      </w:r>
    </w:p>
    <w:p w:rsidR="00887330" w:rsidRPr="00583E1A" w:rsidRDefault="00887330" w:rsidP="00887330">
      <w:pPr>
        <w:pStyle w:val="paragraph"/>
      </w:pPr>
      <w:r w:rsidRPr="00583E1A">
        <w:tab/>
        <w:t>(d)</w:t>
      </w:r>
      <w:r w:rsidRPr="00583E1A">
        <w:tab/>
        <w:t xml:space="preserve">for an </w:t>
      </w:r>
      <w:r w:rsidR="00583E1A" w:rsidRPr="00583E1A">
        <w:rPr>
          <w:position w:val="6"/>
          <w:sz w:val="16"/>
        </w:rPr>
        <w:t>*</w:t>
      </w:r>
      <w:r w:rsidRPr="00583E1A">
        <w:t>inward investment vehicle (financial)—has the meaning given by section</w:t>
      </w:r>
      <w:r w:rsidR="00583E1A">
        <w:t> </w:t>
      </w:r>
      <w:r w:rsidRPr="00583E1A">
        <w:t>820</w:t>
      </w:r>
      <w:r w:rsidR="00583E1A">
        <w:noBreakHyphen/>
      </w:r>
      <w:r w:rsidRPr="00583E1A">
        <w:t>200; and</w:t>
      </w:r>
    </w:p>
    <w:p w:rsidR="00887330" w:rsidRPr="00583E1A" w:rsidRDefault="00887330" w:rsidP="00887330">
      <w:pPr>
        <w:pStyle w:val="paragraph"/>
      </w:pPr>
      <w:r w:rsidRPr="00583E1A">
        <w:lastRenderedPageBreak/>
        <w:tab/>
        <w:t>(e)</w:t>
      </w:r>
      <w:r w:rsidRPr="00583E1A">
        <w:tab/>
        <w:t xml:space="preserve">for an </w:t>
      </w:r>
      <w:r w:rsidR="00583E1A" w:rsidRPr="00583E1A">
        <w:rPr>
          <w:position w:val="6"/>
          <w:sz w:val="16"/>
        </w:rPr>
        <w:t>*</w:t>
      </w:r>
      <w:r w:rsidRPr="00583E1A">
        <w:t>inward investor (general)—has the meaning given by section</w:t>
      </w:r>
      <w:r w:rsidR="00583E1A">
        <w:t> </w:t>
      </w:r>
      <w:r w:rsidRPr="00583E1A">
        <w:t>820</w:t>
      </w:r>
      <w:r w:rsidR="00583E1A">
        <w:noBreakHyphen/>
      </w:r>
      <w:r w:rsidRPr="00583E1A">
        <w:t>205; and</w:t>
      </w:r>
    </w:p>
    <w:p w:rsidR="00887330" w:rsidRPr="00583E1A" w:rsidRDefault="00887330" w:rsidP="00887330">
      <w:pPr>
        <w:pStyle w:val="paragraph"/>
      </w:pPr>
      <w:r w:rsidRPr="00583E1A">
        <w:tab/>
        <w:t>(f)</w:t>
      </w:r>
      <w:r w:rsidRPr="00583E1A">
        <w:tab/>
        <w:t xml:space="preserve">for an </w:t>
      </w:r>
      <w:r w:rsidR="00583E1A" w:rsidRPr="00583E1A">
        <w:rPr>
          <w:position w:val="6"/>
          <w:sz w:val="16"/>
        </w:rPr>
        <w:t>*</w:t>
      </w:r>
      <w:r w:rsidRPr="00583E1A">
        <w:t>inward investor (financial)—has the meaning given by section</w:t>
      </w:r>
      <w:r w:rsidR="00583E1A">
        <w:t> </w:t>
      </w:r>
      <w:r w:rsidRPr="00583E1A">
        <w:t>820</w:t>
      </w:r>
      <w:r w:rsidR="00583E1A">
        <w:noBreakHyphen/>
      </w:r>
      <w:r w:rsidRPr="00583E1A">
        <w:t>210.</w:t>
      </w:r>
    </w:p>
    <w:p w:rsidR="00484DE2" w:rsidRPr="00583E1A" w:rsidRDefault="00484DE2" w:rsidP="008A179D">
      <w:pPr>
        <w:pStyle w:val="Definition"/>
        <w:keepNext/>
        <w:keepLines/>
      </w:pPr>
      <w:r w:rsidRPr="00583E1A">
        <w:rPr>
          <w:b/>
          <w:i/>
        </w:rPr>
        <w:t>same</w:t>
      </w:r>
      <w:r w:rsidR="00583E1A">
        <w:rPr>
          <w:b/>
          <w:i/>
        </w:rPr>
        <w:noBreakHyphen/>
      </w:r>
      <w:r w:rsidRPr="00583E1A">
        <w:rPr>
          <w:b/>
          <w:i/>
        </w:rPr>
        <w:t>asset roll</w:t>
      </w:r>
      <w:r w:rsidR="00583E1A">
        <w:rPr>
          <w:b/>
          <w:i/>
        </w:rPr>
        <w:noBreakHyphen/>
      </w:r>
      <w:r w:rsidRPr="00583E1A">
        <w:rPr>
          <w:b/>
          <w:i/>
        </w:rPr>
        <w:t>over</w:t>
      </w:r>
      <w:r w:rsidRPr="00583E1A">
        <w:t xml:space="preserve">: a </w:t>
      </w:r>
      <w:r w:rsidRPr="00583E1A">
        <w:rPr>
          <w:b/>
          <w:i/>
        </w:rPr>
        <w:t>same asset roll</w:t>
      </w:r>
      <w:r w:rsidR="00583E1A">
        <w:rPr>
          <w:b/>
          <w:i/>
        </w:rPr>
        <w:noBreakHyphen/>
      </w:r>
      <w:r w:rsidRPr="00583E1A">
        <w:rPr>
          <w:b/>
          <w:i/>
        </w:rPr>
        <w:t xml:space="preserve">over </w:t>
      </w:r>
      <w:r w:rsidRPr="00583E1A">
        <w:t xml:space="preserve">allows you to disregard a </w:t>
      </w:r>
      <w:r w:rsidR="00583E1A" w:rsidRPr="00583E1A">
        <w:rPr>
          <w:position w:val="6"/>
          <w:sz w:val="16"/>
        </w:rPr>
        <w:t>*</w:t>
      </w:r>
      <w:r w:rsidRPr="00583E1A">
        <w:t xml:space="preserve">capital gain or </w:t>
      </w:r>
      <w:r w:rsidR="00583E1A" w:rsidRPr="00583E1A">
        <w:rPr>
          <w:position w:val="6"/>
          <w:sz w:val="16"/>
        </w:rPr>
        <w:t>*</w:t>
      </w:r>
      <w:r w:rsidRPr="00583E1A">
        <w:t>capital loss you make from:</w:t>
      </w:r>
    </w:p>
    <w:p w:rsidR="00484DE2" w:rsidRPr="00583E1A" w:rsidRDefault="00484DE2" w:rsidP="00484DE2">
      <w:pPr>
        <w:pStyle w:val="paragraph"/>
        <w:tabs>
          <w:tab w:val="left" w:pos="2268"/>
          <w:tab w:val="left" w:pos="3402"/>
          <w:tab w:val="left" w:pos="4536"/>
          <w:tab w:val="left" w:pos="5670"/>
          <w:tab w:val="left" w:pos="6804"/>
        </w:tabs>
      </w:pPr>
      <w:r w:rsidRPr="00583E1A">
        <w:tab/>
        <w:t>(a)</w:t>
      </w:r>
      <w:r w:rsidRPr="00583E1A">
        <w:tab/>
      </w:r>
      <w:r w:rsidR="00583E1A" w:rsidRPr="00583E1A">
        <w:rPr>
          <w:position w:val="6"/>
          <w:sz w:val="16"/>
        </w:rPr>
        <w:t>*</w:t>
      </w:r>
      <w:r w:rsidRPr="00583E1A">
        <w:t xml:space="preserve">disposing of a </w:t>
      </w:r>
      <w:r w:rsidR="00583E1A" w:rsidRPr="00583E1A">
        <w:rPr>
          <w:position w:val="6"/>
          <w:sz w:val="16"/>
        </w:rPr>
        <w:t>*</w:t>
      </w:r>
      <w:r w:rsidRPr="00583E1A">
        <w:t>CGT asset to another entity; or</w:t>
      </w:r>
    </w:p>
    <w:p w:rsidR="00484DE2" w:rsidRPr="00583E1A" w:rsidRDefault="00484DE2" w:rsidP="00484DE2">
      <w:pPr>
        <w:pStyle w:val="paragraph"/>
        <w:tabs>
          <w:tab w:val="left" w:pos="2268"/>
          <w:tab w:val="left" w:pos="3402"/>
          <w:tab w:val="left" w:pos="4536"/>
          <w:tab w:val="left" w:pos="5670"/>
          <w:tab w:val="left" w:pos="6804"/>
        </w:tabs>
      </w:pPr>
      <w:r w:rsidRPr="00583E1A">
        <w:tab/>
        <w:t>(b)</w:t>
      </w:r>
      <w:r w:rsidRPr="00583E1A">
        <w:tab/>
        <w:t>entering into an agreement with another entity that constitutes CGT event B1; or</w:t>
      </w:r>
    </w:p>
    <w:p w:rsidR="00484DE2" w:rsidRPr="00583E1A" w:rsidRDefault="00484DE2" w:rsidP="00484DE2">
      <w:pPr>
        <w:pStyle w:val="paragraph"/>
        <w:tabs>
          <w:tab w:val="left" w:pos="2268"/>
          <w:tab w:val="left" w:pos="3402"/>
          <w:tab w:val="left" w:pos="4536"/>
          <w:tab w:val="left" w:pos="5670"/>
          <w:tab w:val="left" w:pos="6804"/>
        </w:tabs>
      </w:pPr>
      <w:r w:rsidRPr="00583E1A">
        <w:tab/>
        <w:t>(c)</w:t>
      </w:r>
      <w:r w:rsidRPr="00583E1A">
        <w:tab/>
        <w:t>creating a CGT asset in another entity.</w:t>
      </w:r>
    </w:p>
    <w:p w:rsidR="00484DE2" w:rsidRPr="00583E1A" w:rsidRDefault="00484DE2" w:rsidP="00484DE2">
      <w:pPr>
        <w:pStyle w:val="subsection2"/>
        <w:tabs>
          <w:tab w:val="left" w:pos="2268"/>
          <w:tab w:val="left" w:pos="3402"/>
          <w:tab w:val="left" w:pos="4536"/>
          <w:tab w:val="left" w:pos="5670"/>
          <w:tab w:val="left" w:pos="6804"/>
        </w:tabs>
      </w:pPr>
      <w:r w:rsidRPr="00583E1A">
        <w:t xml:space="preserve">The </w:t>
      </w:r>
      <w:r w:rsidRPr="00583E1A">
        <w:rPr>
          <w:b/>
          <w:i/>
        </w:rPr>
        <w:t>same</w:t>
      </w:r>
      <w:r w:rsidR="00583E1A">
        <w:rPr>
          <w:b/>
          <w:i/>
        </w:rPr>
        <w:noBreakHyphen/>
      </w:r>
      <w:r w:rsidRPr="00583E1A">
        <w:rPr>
          <w:b/>
          <w:i/>
        </w:rPr>
        <w:t>asset roll</w:t>
      </w:r>
      <w:r w:rsidR="00583E1A">
        <w:rPr>
          <w:b/>
          <w:i/>
        </w:rPr>
        <w:noBreakHyphen/>
      </w:r>
      <w:r w:rsidRPr="00583E1A">
        <w:rPr>
          <w:b/>
          <w:i/>
        </w:rPr>
        <w:t>overs</w:t>
      </w:r>
      <w:r w:rsidRPr="00583E1A">
        <w:t xml:space="preserve"> are listed in section</w:t>
      </w:r>
      <w:r w:rsidR="00583E1A">
        <w:t> </w:t>
      </w:r>
      <w:r w:rsidRPr="00583E1A">
        <w:t>112</w:t>
      </w:r>
      <w:r w:rsidR="00583E1A">
        <w:noBreakHyphen/>
      </w:r>
      <w:r w:rsidRPr="00583E1A">
        <w:t>150.</w:t>
      </w:r>
    </w:p>
    <w:p w:rsidR="00887330" w:rsidRPr="00583E1A" w:rsidRDefault="00887330" w:rsidP="00887330">
      <w:pPr>
        <w:pStyle w:val="Definition"/>
      </w:pPr>
      <w:r w:rsidRPr="00583E1A">
        <w:rPr>
          <w:b/>
          <w:i/>
        </w:rPr>
        <w:t xml:space="preserve">same business test </w:t>
      </w:r>
      <w:r w:rsidRPr="00583E1A">
        <w:t>has the meaning given by Subdivision</w:t>
      </w:r>
      <w:r w:rsidR="00583E1A">
        <w:t> </w:t>
      </w:r>
      <w:r w:rsidRPr="00583E1A">
        <w:t>165</w:t>
      </w:r>
      <w:r w:rsidR="00583E1A">
        <w:noBreakHyphen/>
      </w:r>
      <w:r w:rsidRPr="00583E1A">
        <w:t>E.</w:t>
      </w:r>
    </w:p>
    <w:p w:rsidR="00887330" w:rsidRPr="00583E1A" w:rsidRDefault="00887330" w:rsidP="00887330">
      <w:pPr>
        <w:pStyle w:val="Definition"/>
      </w:pPr>
      <w:r w:rsidRPr="00583E1A">
        <w:rPr>
          <w:b/>
          <w:i/>
        </w:rPr>
        <w:t>same business test period</w:t>
      </w:r>
      <w:r w:rsidRPr="00583E1A">
        <w:t xml:space="preserve"> has the meaning given by sections</w:t>
      </w:r>
      <w:r w:rsidR="00583E1A">
        <w:t> </w:t>
      </w:r>
      <w:r w:rsidRPr="00583E1A">
        <w:t>165</w:t>
      </w:r>
      <w:r w:rsidR="00583E1A">
        <w:noBreakHyphen/>
      </w:r>
      <w:r w:rsidRPr="00583E1A">
        <w:t>13, 165</w:t>
      </w:r>
      <w:r w:rsidR="00583E1A">
        <w:noBreakHyphen/>
      </w:r>
      <w:r w:rsidRPr="00583E1A">
        <w:t>15, 165</w:t>
      </w:r>
      <w:r w:rsidR="00583E1A">
        <w:noBreakHyphen/>
      </w:r>
      <w:r w:rsidRPr="00583E1A">
        <w:t>35, 165</w:t>
      </w:r>
      <w:r w:rsidR="00583E1A">
        <w:noBreakHyphen/>
      </w:r>
      <w:r w:rsidRPr="00583E1A">
        <w:t>40, 165</w:t>
      </w:r>
      <w:r w:rsidR="00583E1A">
        <w:noBreakHyphen/>
      </w:r>
      <w:r w:rsidRPr="00583E1A">
        <w:t>45, 165</w:t>
      </w:r>
      <w:r w:rsidR="00583E1A">
        <w:noBreakHyphen/>
      </w:r>
      <w:r w:rsidRPr="00583E1A">
        <w:t>126, 165</w:t>
      </w:r>
      <w:r w:rsidR="00583E1A">
        <w:noBreakHyphen/>
      </w:r>
      <w:r w:rsidRPr="00583E1A">
        <w:t>129, 165</w:t>
      </w:r>
      <w:r w:rsidR="00583E1A">
        <w:noBreakHyphen/>
      </w:r>
      <w:r w:rsidRPr="00583E1A">
        <w:t>132, 166</w:t>
      </w:r>
      <w:r w:rsidR="00583E1A">
        <w:noBreakHyphen/>
      </w:r>
      <w:r w:rsidRPr="00583E1A">
        <w:t>5, 166</w:t>
      </w:r>
      <w:r w:rsidR="00583E1A">
        <w:noBreakHyphen/>
      </w:r>
      <w:r w:rsidRPr="00583E1A">
        <w:t>20, 166</w:t>
      </w:r>
      <w:r w:rsidR="00583E1A">
        <w:noBreakHyphen/>
      </w:r>
      <w:r w:rsidRPr="00583E1A">
        <w:t>40, 707</w:t>
      </w:r>
      <w:r w:rsidR="00583E1A">
        <w:noBreakHyphen/>
      </w:r>
      <w:r w:rsidRPr="00583E1A">
        <w:t>125, 707</w:t>
      </w:r>
      <w:r w:rsidR="00583E1A">
        <w:noBreakHyphen/>
      </w:r>
      <w:r w:rsidRPr="00583E1A">
        <w:t>135, 715</w:t>
      </w:r>
      <w:r w:rsidR="00583E1A">
        <w:noBreakHyphen/>
      </w:r>
      <w:r w:rsidRPr="00583E1A">
        <w:t>50, 715</w:t>
      </w:r>
      <w:r w:rsidR="00583E1A">
        <w:noBreakHyphen/>
      </w:r>
      <w:r w:rsidRPr="00583E1A">
        <w:t>55, 715</w:t>
      </w:r>
      <w:r w:rsidR="00583E1A">
        <w:noBreakHyphen/>
      </w:r>
      <w:r w:rsidRPr="00583E1A">
        <w:t>60, 715</w:t>
      </w:r>
      <w:r w:rsidR="00583E1A">
        <w:noBreakHyphen/>
      </w:r>
      <w:r w:rsidRPr="00583E1A">
        <w:t>70, 715</w:t>
      </w:r>
      <w:r w:rsidR="00583E1A">
        <w:noBreakHyphen/>
      </w:r>
      <w:r w:rsidRPr="00583E1A">
        <w:t>95, 715</w:t>
      </w:r>
      <w:r w:rsidR="00583E1A">
        <w:noBreakHyphen/>
      </w:r>
      <w:r w:rsidRPr="00583E1A">
        <w:t>355 and 715</w:t>
      </w:r>
      <w:r w:rsidR="00583E1A">
        <w:noBreakHyphen/>
      </w:r>
      <w:r w:rsidRPr="00583E1A">
        <w:t>360, and affected by section</w:t>
      </w:r>
      <w:r w:rsidR="00583E1A">
        <w:t> </w:t>
      </w:r>
      <w:r w:rsidRPr="00583E1A">
        <w:t>707</w:t>
      </w:r>
      <w:r w:rsidR="00583E1A">
        <w:noBreakHyphen/>
      </w:r>
      <w:r w:rsidRPr="00583E1A">
        <w:t>400.</w:t>
      </w:r>
    </w:p>
    <w:p w:rsidR="00887330" w:rsidRPr="00583E1A" w:rsidRDefault="00887330" w:rsidP="008F1666">
      <w:pPr>
        <w:pStyle w:val="Definition"/>
        <w:keepNext/>
        <w:keepLines/>
      </w:pPr>
      <w:r w:rsidRPr="00583E1A">
        <w:rPr>
          <w:b/>
          <w:i/>
        </w:rPr>
        <w:t>scheme</w:t>
      </w:r>
      <w:r w:rsidRPr="00583E1A">
        <w:t xml:space="preserve"> means:</w:t>
      </w:r>
    </w:p>
    <w:p w:rsidR="00887330" w:rsidRPr="00583E1A" w:rsidRDefault="00887330" w:rsidP="00887330">
      <w:pPr>
        <w:pStyle w:val="paragraph"/>
      </w:pPr>
      <w:r w:rsidRPr="00583E1A">
        <w:tab/>
        <w:t>(a)</w:t>
      </w:r>
      <w:r w:rsidRPr="00583E1A">
        <w:tab/>
        <w:t xml:space="preserve">any </w:t>
      </w:r>
      <w:r w:rsidR="00583E1A" w:rsidRPr="00583E1A">
        <w:rPr>
          <w:position w:val="6"/>
          <w:sz w:val="16"/>
        </w:rPr>
        <w:t>*</w:t>
      </w:r>
      <w:r w:rsidRPr="00583E1A">
        <w:t>arrangement; or</w:t>
      </w:r>
    </w:p>
    <w:p w:rsidR="00887330" w:rsidRPr="00583E1A" w:rsidRDefault="00887330" w:rsidP="00887330">
      <w:pPr>
        <w:pStyle w:val="paragraph"/>
      </w:pPr>
      <w:r w:rsidRPr="00583E1A">
        <w:tab/>
        <w:t>(b)</w:t>
      </w:r>
      <w:r w:rsidRPr="00583E1A">
        <w:tab/>
        <w:t>any scheme, plan, proposal, action, course of action or course of conduct, whether unilateral or otherwise.</w:t>
      </w:r>
    </w:p>
    <w:p w:rsidR="005C4CD9" w:rsidRPr="00583E1A" w:rsidRDefault="005C4CD9" w:rsidP="005C4CD9">
      <w:pPr>
        <w:pStyle w:val="notetext"/>
      </w:pPr>
      <w:r w:rsidRPr="00583E1A">
        <w:t>Note:</w:t>
      </w:r>
      <w:r w:rsidRPr="00583E1A">
        <w:tab/>
        <w:t>The Commissioner may determine that, for the purposes of the debt and equity interest rules in Division</w:t>
      </w:r>
      <w:r w:rsidR="00583E1A">
        <w:t> </w:t>
      </w:r>
      <w:r w:rsidRPr="00583E1A">
        <w:t>974, what would otherwise be a single scheme is to be treated as 2 or more separate schemes, and that the schemes are not related: see section</w:t>
      </w:r>
      <w:r w:rsidR="00583E1A">
        <w:t> </w:t>
      </w:r>
      <w:r w:rsidRPr="00583E1A">
        <w:t>974</w:t>
      </w:r>
      <w:r w:rsidR="00583E1A">
        <w:noBreakHyphen/>
      </w:r>
      <w:r w:rsidRPr="00583E1A">
        <w:t>150.</w:t>
      </w:r>
    </w:p>
    <w:p w:rsidR="00887330" w:rsidRPr="00583E1A" w:rsidRDefault="00887330" w:rsidP="00887330">
      <w:pPr>
        <w:pStyle w:val="Definition"/>
      </w:pPr>
      <w:r w:rsidRPr="00583E1A">
        <w:rPr>
          <w:b/>
          <w:i/>
        </w:rPr>
        <w:t>scheme benefit</w:t>
      </w:r>
      <w:r w:rsidRPr="00583E1A">
        <w:t xml:space="preserve"> has the meaning given by section</w:t>
      </w:r>
      <w:r w:rsidR="00583E1A">
        <w:t> </w:t>
      </w:r>
      <w:r w:rsidRPr="00583E1A">
        <w:t>284</w:t>
      </w:r>
      <w:r w:rsidR="00583E1A">
        <w:noBreakHyphen/>
      </w:r>
      <w:r w:rsidRPr="00583E1A">
        <w:t>150 in Schedule</w:t>
      </w:r>
      <w:r w:rsidR="00583E1A">
        <w:t> </w:t>
      </w:r>
      <w:r w:rsidRPr="00583E1A">
        <w:t xml:space="preserve">1 to the </w:t>
      </w:r>
      <w:r w:rsidRPr="00583E1A">
        <w:rPr>
          <w:i/>
        </w:rPr>
        <w:t>Taxation Administration Act 1953</w:t>
      </w:r>
      <w:r w:rsidRPr="00583E1A">
        <w:t>.</w:t>
      </w:r>
    </w:p>
    <w:p w:rsidR="00887330" w:rsidRPr="00583E1A" w:rsidRDefault="00887330" w:rsidP="00887330">
      <w:pPr>
        <w:pStyle w:val="Definition"/>
      </w:pPr>
      <w:r w:rsidRPr="00583E1A">
        <w:rPr>
          <w:b/>
          <w:i/>
        </w:rPr>
        <w:t>scheme period</w:t>
      </w:r>
      <w:r w:rsidRPr="00583E1A">
        <w:t xml:space="preserve"> for a </w:t>
      </w:r>
      <w:r w:rsidR="00583E1A" w:rsidRPr="00583E1A">
        <w:rPr>
          <w:position w:val="6"/>
          <w:sz w:val="16"/>
        </w:rPr>
        <w:t>*</w:t>
      </w:r>
      <w:r w:rsidRPr="00583E1A">
        <w:t>direct value shift has the meaning given by section</w:t>
      </w:r>
      <w:r w:rsidR="00583E1A">
        <w:t> </w:t>
      </w:r>
      <w:r w:rsidRPr="00583E1A">
        <w:t>725</w:t>
      </w:r>
      <w:r w:rsidR="00583E1A">
        <w:noBreakHyphen/>
      </w:r>
      <w:r w:rsidRPr="00583E1A">
        <w:t>55.</w:t>
      </w:r>
    </w:p>
    <w:p w:rsidR="00887330" w:rsidRPr="00583E1A" w:rsidRDefault="00887330" w:rsidP="00887330">
      <w:pPr>
        <w:pStyle w:val="Definition"/>
      </w:pPr>
      <w:r w:rsidRPr="00583E1A">
        <w:rPr>
          <w:b/>
          <w:i/>
        </w:rPr>
        <w:t>scheme shortfall amount</w:t>
      </w:r>
      <w:r w:rsidRPr="00583E1A">
        <w:t xml:space="preserve"> has the meaning given by section</w:t>
      </w:r>
      <w:r w:rsidR="00583E1A">
        <w:t> </w:t>
      </w:r>
      <w:r w:rsidRPr="00583E1A">
        <w:t>284</w:t>
      </w:r>
      <w:r w:rsidR="00583E1A">
        <w:noBreakHyphen/>
      </w:r>
      <w:r w:rsidRPr="00583E1A">
        <w:t>150 in Schedule</w:t>
      </w:r>
      <w:r w:rsidR="00583E1A">
        <w:t> </w:t>
      </w:r>
      <w:r w:rsidRPr="00583E1A">
        <w:t xml:space="preserve">1 to the </w:t>
      </w:r>
      <w:r w:rsidRPr="00583E1A">
        <w:rPr>
          <w:i/>
        </w:rPr>
        <w:t>Taxation Administration Act 1953</w:t>
      </w:r>
      <w:r w:rsidRPr="00583E1A">
        <w:t>.</w:t>
      </w:r>
    </w:p>
    <w:p w:rsidR="00887330" w:rsidRPr="00583E1A" w:rsidRDefault="00887330" w:rsidP="00C65AA2">
      <w:pPr>
        <w:pStyle w:val="Definition"/>
        <w:keepNext/>
        <w:keepLines/>
      </w:pPr>
      <w:r w:rsidRPr="00583E1A">
        <w:rPr>
          <w:b/>
          <w:i/>
        </w:rPr>
        <w:lastRenderedPageBreak/>
        <w:t>scholarship plan</w:t>
      </w:r>
      <w:r w:rsidRPr="00583E1A">
        <w:t xml:space="preserve"> means a </w:t>
      </w:r>
      <w:r w:rsidR="00583E1A" w:rsidRPr="00583E1A">
        <w:rPr>
          <w:position w:val="6"/>
          <w:sz w:val="16"/>
        </w:rPr>
        <w:t>*</w:t>
      </w:r>
      <w:r w:rsidRPr="00583E1A">
        <w:t>life insurance policy that:</w:t>
      </w:r>
    </w:p>
    <w:p w:rsidR="00887330" w:rsidRPr="00583E1A" w:rsidRDefault="00887330" w:rsidP="00887330">
      <w:pPr>
        <w:pStyle w:val="paragraph"/>
      </w:pPr>
      <w:r w:rsidRPr="00583E1A">
        <w:tab/>
        <w:t>(a)</w:t>
      </w:r>
      <w:r w:rsidRPr="00583E1A">
        <w:tab/>
        <w:t xml:space="preserve">is issued by a </w:t>
      </w:r>
      <w:r w:rsidR="00583E1A" w:rsidRPr="00583E1A">
        <w:rPr>
          <w:position w:val="6"/>
          <w:sz w:val="16"/>
        </w:rPr>
        <w:t>*</w:t>
      </w:r>
      <w:r w:rsidRPr="00583E1A">
        <w:t>friendly society for the sole purpose of providing benefits to help in the education of nominated beneficiaries; and</w:t>
      </w:r>
    </w:p>
    <w:p w:rsidR="00887330" w:rsidRPr="00583E1A" w:rsidRDefault="00887330" w:rsidP="00887330">
      <w:pPr>
        <w:pStyle w:val="paragraph"/>
      </w:pPr>
      <w:r w:rsidRPr="00583E1A">
        <w:tab/>
        <w:t>(b)</w:t>
      </w:r>
      <w:r w:rsidRPr="00583E1A">
        <w:tab/>
        <w:t>is not being used, and has never been used, as security for borrowing or raising money; and</w:t>
      </w:r>
    </w:p>
    <w:p w:rsidR="00887330" w:rsidRPr="00583E1A" w:rsidRDefault="00887330" w:rsidP="00887330">
      <w:pPr>
        <w:pStyle w:val="paragraph"/>
      </w:pPr>
      <w:r w:rsidRPr="00583E1A">
        <w:tab/>
        <w:t>(c)</w:t>
      </w:r>
      <w:r w:rsidRPr="00583E1A">
        <w:tab/>
        <w:t>if it is issued on or after 1</w:t>
      </w:r>
      <w:r w:rsidR="00583E1A">
        <w:t> </w:t>
      </w:r>
      <w:r w:rsidRPr="00583E1A">
        <w:t>January 2003—contains a provision prohibiting use of the policy as security for borrowing or raising money.</w:t>
      </w:r>
    </w:p>
    <w:p w:rsidR="003679C3" w:rsidRPr="001774E0" w:rsidRDefault="003679C3" w:rsidP="003679C3">
      <w:pPr>
        <w:pStyle w:val="Definition"/>
      </w:pPr>
      <w:r w:rsidRPr="001774E0">
        <w:rPr>
          <w:b/>
          <w:i/>
        </w:rPr>
        <w:t>Seasonal Labour Mobility Program withholding tax</w:t>
      </w:r>
      <w:r w:rsidRPr="001774E0">
        <w:t xml:space="preserve"> means income tax payable under Subdivision 840</w:t>
      </w:r>
      <w:r w:rsidRPr="001774E0">
        <w:noBreakHyphen/>
        <w:t>S.</w:t>
      </w:r>
    </w:p>
    <w:p w:rsidR="00887330" w:rsidRPr="00583E1A" w:rsidRDefault="00887330" w:rsidP="00887330">
      <w:pPr>
        <w:pStyle w:val="Definition"/>
      </w:pPr>
      <w:r w:rsidRPr="00583E1A">
        <w:rPr>
          <w:b/>
          <w:i/>
        </w:rPr>
        <w:t xml:space="preserve">secondary course </w:t>
      </w:r>
      <w:r w:rsidRPr="00583E1A">
        <w:t xml:space="preserve">has the same meaning as in the </w:t>
      </w:r>
      <w:r w:rsidR="00B8181E" w:rsidRPr="004C09C4">
        <w:rPr>
          <w:position w:val="6"/>
          <w:sz w:val="16"/>
        </w:rPr>
        <w:t>*</w:t>
      </w:r>
      <w:r w:rsidR="00B8181E" w:rsidRPr="004C09C4">
        <w:t>GST Act</w:t>
      </w:r>
      <w:r w:rsidRPr="00583E1A">
        <w:t>.</w:t>
      </w:r>
    </w:p>
    <w:p w:rsidR="00887330" w:rsidRPr="00583E1A" w:rsidRDefault="00887330" w:rsidP="00887330">
      <w:pPr>
        <w:pStyle w:val="Definition"/>
      </w:pPr>
      <w:r w:rsidRPr="00583E1A">
        <w:rPr>
          <w:b/>
          <w:i/>
        </w:rPr>
        <w:t>secondary equity interest</w:t>
      </w:r>
      <w:r w:rsidRPr="00583E1A">
        <w:t xml:space="preserve"> has the meaning given by section</w:t>
      </w:r>
      <w:r w:rsidR="00583E1A">
        <w:t> </w:t>
      </w:r>
      <w:r w:rsidRPr="00583E1A">
        <w:t>727</w:t>
      </w:r>
      <w:r w:rsidR="00583E1A">
        <w:noBreakHyphen/>
      </w:r>
      <w:r w:rsidRPr="00583E1A">
        <w:t>520.</w:t>
      </w:r>
    </w:p>
    <w:p w:rsidR="00887330" w:rsidRPr="00583E1A" w:rsidRDefault="00887330" w:rsidP="00887330">
      <w:pPr>
        <w:pStyle w:val="Definition"/>
      </w:pPr>
      <w:r w:rsidRPr="00583E1A">
        <w:rPr>
          <w:b/>
          <w:i/>
        </w:rPr>
        <w:t>secondary interest</w:t>
      </w:r>
      <w:r w:rsidRPr="00583E1A">
        <w:t xml:space="preserve"> has the meaning given by section</w:t>
      </w:r>
      <w:r w:rsidR="00583E1A">
        <w:t> </w:t>
      </w:r>
      <w:r w:rsidRPr="00583E1A">
        <w:t>727</w:t>
      </w:r>
      <w:r w:rsidR="00583E1A">
        <w:noBreakHyphen/>
      </w:r>
      <w:r w:rsidRPr="00583E1A">
        <w:t>520.</w:t>
      </w:r>
    </w:p>
    <w:p w:rsidR="00887330" w:rsidRPr="00583E1A" w:rsidRDefault="00887330" w:rsidP="00887330">
      <w:pPr>
        <w:pStyle w:val="Definition"/>
      </w:pPr>
      <w:r w:rsidRPr="00583E1A">
        <w:rPr>
          <w:b/>
          <w:i/>
        </w:rPr>
        <w:t>secondary loan interest</w:t>
      </w:r>
      <w:r w:rsidRPr="00583E1A">
        <w:t xml:space="preserve"> has the meaning given by section</w:t>
      </w:r>
      <w:r w:rsidR="00583E1A">
        <w:t> </w:t>
      </w:r>
      <w:r w:rsidRPr="00583E1A">
        <w:t>727</w:t>
      </w:r>
      <w:r w:rsidR="00583E1A">
        <w:noBreakHyphen/>
      </w:r>
      <w:r w:rsidRPr="00583E1A">
        <w:t>520.</w:t>
      </w:r>
    </w:p>
    <w:p w:rsidR="007C0386" w:rsidRPr="00202171" w:rsidRDefault="007C0386" w:rsidP="007C0386">
      <w:pPr>
        <w:pStyle w:val="Definition"/>
      </w:pPr>
      <w:r w:rsidRPr="00202171">
        <w:rPr>
          <w:b/>
          <w:i/>
        </w:rPr>
        <w:t>Second Commissioner</w:t>
      </w:r>
      <w:r w:rsidRPr="00202171">
        <w:t xml:space="preserve"> means a Second Commissioner of Taxation.</w:t>
      </w:r>
    </w:p>
    <w:p w:rsidR="00887330" w:rsidRPr="00583E1A" w:rsidRDefault="00887330" w:rsidP="00887330">
      <w:pPr>
        <w:pStyle w:val="Definition"/>
      </w:pPr>
      <w:r w:rsidRPr="00583E1A">
        <w:rPr>
          <w:b/>
          <w:i/>
        </w:rPr>
        <w:t xml:space="preserve">second continuity period </w:t>
      </w:r>
      <w:r w:rsidRPr="00583E1A">
        <w:t>has the meaning given by section</w:t>
      </w:r>
      <w:r w:rsidR="00583E1A">
        <w:t> </w:t>
      </w:r>
      <w:r w:rsidRPr="00583E1A">
        <w:t>165</w:t>
      </w:r>
      <w:r w:rsidR="00583E1A">
        <w:noBreakHyphen/>
      </w:r>
      <w:r w:rsidRPr="00583E1A">
        <w:t>120.</w:t>
      </w:r>
    </w:p>
    <w:p w:rsidR="00887330" w:rsidRPr="00583E1A" w:rsidRDefault="00887330" w:rsidP="00887330">
      <w:pPr>
        <w:pStyle w:val="Definition"/>
      </w:pPr>
      <w:r w:rsidRPr="00583E1A">
        <w:rPr>
          <w:b/>
          <w:i/>
        </w:rPr>
        <w:t>section</w:t>
      </w:r>
      <w:r w:rsidR="00583E1A">
        <w:rPr>
          <w:b/>
          <w:i/>
        </w:rPr>
        <w:t> </w:t>
      </w:r>
      <w:r w:rsidRPr="00583E1A">
        <w:rPr>
          <w:b/>
          <w:i/>
        </w:rPr>
        <w:t>124ZZB SME assessable income</w:t>
      </w:r>
      <w:r w:rsidRPr="00583E1A">
        <w:t xml:space="preserve"> for a </w:t>
      </w:r>
      <w:r w:rsidR="00583E1A" w:rsidRPr="00583E1A">
        <w:rPr>
          <w:position w:val="6"/>
          <w:sz w:val="16"/>
        </w:rPr>
        <w:t>*</w:t>
      </w:r>
      <w:r w:rsidRPr="00583E1A">
        <w:t>PDF for an income year is the assessable income allocated to the PDF’s SME assessable income for the income year under section</w:t>
      </w:r>
      <w:r w:rsidR="00583E1A">
        <w:t> </w:t>
      </w:r>
      <w:r w:rsidRPr="00583E1A">
        <w:t xml:space="preserve">124ZZB of the </w:t>
      </w:r>
      <w:r w:rsidRPr="00583E1A">
        <w:rPr>
          <w:i/>
        </w:rPr>
        <w:t>Income Tax Assessment Act 1936</w:t>
      </w:r>
      <w:r w:rsidRPr="00583E1A">
        <w:t>.</w:t>
      </w:r>
    </w:p>
    <w:p w:rsidR="00887330" w:rsidRPr="00583E1A" w:rsidRDefault="00887330" w:rsidP="00887330">
      <w:pPr>
        <w:pStyle w:val="Definition"/>
      </w:pPr>
      <w:r w:rsidRPr="00583E1A">
        <w:rPr>
          <w:b/>
          <w:i/>
        </w:rPr>
        <w:t xml:space="preserve">securitisation vehicle </w:t>
      </w:r>
      <w:r w:rsidRPr="00583E1A">
        <w:t>has the meaning given by section</w:t>
      </w:r>
      <w:r w:rsidR="00583E1A">
        <w:t> </w:t>
      </w:r>
      <w:r w:rsidRPr="00583E1A">
        <w:t>820</w:t>
      </w:r>
      <w:r w:rsidR="00583E1A">
        <w:noBreakHyphen/>
      </w:r>
      <w:r w:rsidRPr="00583E1A">
        <w:t>942.</w:t>
      </w:r>
    </w:p>
    <w:p w:rsidR="00887330" w:rsidRPr="00583E1A" w:rsidRDefault="00887330" w:rsidP="00887330">
      <w:pPr>
        <w:pStyle w:val="Definition"/>
      </w:pPr>
      <w:r w:rsidRPr="00583E1A">
        <w:rPr>
          <w:b/>
          <w:i/>
        </w:rPr>
        <w:t xml:space="preserve">securitised asset </w:t>
      </w:r>
      <w:r w:rsidRPr="00583E1A">
        <w:t>has the meaning given by section</w:t>
      </w:r>
      <w:r w:rsidR="00583E1A">
        <w:t> </w:t>
      </w:r>
      <w:r w:rsidRPr="00583E1A">
        <w:t>820</w:t>
      </w:r>
      <w:r w:rsidR="00583E1A">
        <w:noBreakHyphen/>
      </w:r>
      <w:r w:rsidRPr="00583E1A">
        <w:t>942.</w:t>
      </w:r>
    </w:p>
    <w:p w:rsidR="000702BE" w:rsidRPr="00583E1A" w:rsidRDefault="000702BE" w:rsidP="000702BE">
      <w:pPr>
        <w:pStyle w:val="Definition"/>
      </w:pPr>
      <w:r w:rsidRPr="00583E1A">
        <w:rPr>
          <w:b/>
          <w:i/>
        </w:rPr>
        <w:t>segregated current pension assets</w:t>
      </w:r>
      <w:r w:rsidRPr="00583E1A">
        <w:t xml:space="preserve"> has the meaning given by section</w:t>
      </w:r>
      <w:r w:rsidR="00583E1A">
        <w:t> </w:t>
      </w:r>
      <w:r w:rsidRPr="00583E1A">
        <w:t>295</w:t>
      </w:r>
      <w:r w:rsidR="00583E1A">
        <w:noBreakHyphen/>
      </w:r>
      <w:r w:rsidRPr="00583E1A">
        <w:t>385.</w:t>
      </w:r>
    </w:p>
    <w:p w:rsidR="00887330" w:rsidRPr="00583E1A" w:rsidRDefault="00887330" w:rsidP="00887330">
      <w:pPr>
        <w:pStyle w:val="Definition"/>
      </w:pPr>
      <w:r w:rsidRPr="00583E1A">
        <w:rPr>
          <w:b/>
          <w:i/>
        </w:rPr>
        <w:t>segregated exempt assets</w:t>
      </w:r>
      <w:r w:rsidRPr="00583E1A">
        <w:t xml:space="preserve"> of a </w:t>
      </w:r>
      <w:r w:rsidR="00583E1A" w:rsidRPr="00583E1A">
        <w:rPr>
          <w:position w:val="6"/>
          <w:sz w:val="16"/>
        </w:rPr>
        <w:t>*</w:t>
      </w:r>
      <w:r w:rsidRPr="00583E1A">
        <w:t xml:space="preserve">life insurance company means assets from time to time segregated by the company under </w:t>
      </w:r>
      <w:r w:rsidRPr="00583E1A">
        <w:lastRenderedPageBreak/>
        <w:t>Subdivision</w:t>
      </w:r>
      <w:r w:rsidR="00583E1A">
        <w:t> </w:t>
      </w:r>
      <w:r w:rsidRPr="00583E1A">
        <w:t>320</w:t>
      </w:r>
      <w:r w:rsidR="00583E1A">
        <w:noBreakHyphen/>
      </w:r>
      <w:r w:rsidRPr="00583E1A">
        <w:t>H, whether segregated at the time of the initial segregation or included at a later time.</w:t>
      </w:r>
    </w:p>
    <w:p w:rsidR="000702BE" w:rsidRPr="00583E1A" w:rsidRDefault="000702BE" w:rsidP="000702BE">
      <w:pPr>
        <w:pStyle w:val="Definition"/>
      </w:pPr>
      <w:r w:rsidRPr="00583E1A">
        <w:rPr>
          <w:b/>
          <w:i/>
        </w:rPr>
        <w:t>segregated non</w:t>
      </w:r>
      <w:r w:rsidR="00583E1A">
        <w:rPr>
          <w:b/>
          <w:i/>
        </w:rPr>
        <w:noBreakHyphen/>
      </w:r>
      <w:r w:rsidRPr="00583E1A">
        <w:rPr>
          <w:b/>
          <w:i/>
        </w:rPr>
        <w:t>current assets</w:t>
      </w:r>
      <w:r w:rsidRPr="00583E1A">
        <w:t xml:space="preserve"> has the meaning given by section</w:t>
      </w:r>
      <w:r w:rsidR="00583E1A">
        <w:t> </w:t>
      </w:r>
      <w:r w:rsidRPr="00583E1A">
        <w:t>295</w:t>
      </w:r>
      <w:r w:rsidR="00583E1A">
        <w:noBreakHyphen/>
      </w:r>
      <w:r w:rsidRPr="00583E1A">
        <w:t>395.</w:t>
      </w:r>
    </w:p>
    <w:p w:rsidR="00833942" w:rsidRPr="00202171" w:rsidRDefault="00833942" w:rsidP="00833942">
      <w:pPr>
        <w:pStyle w:val="Definition"/>
      </w:pPr>
      <w:r w:rsidRPr="00202171">
        <w:rPr>
          <w:b/>
          <w:i/>
        </w:rPr>
        <w:t>self</w:t>
      </w:r>
      <w:r w:rsidRPr="00202171">
        <w:rPr>
          <w:b/>
          <w:i/>
        </w:rPr>
        <w:noBreakHyphen/>
        <w:t>assessed clearance declaration advice</w:t>
      </w:r>
      <w:r w:rsidRPr="00202171">
        <w:t xml:space="preserve"> has the meaning given by the </w:t>
      </w:r>
      <w:r w:rsidRPr="00202171">
        <w:rPr>
          <w:i/>
        </w:rPr>
        <w:t>Customs Act 1901</w:t>
      </w:r>
      <w:r w:rsidRPr="00202171">
        <w:t>.</w:t>
      </w:r>
    </w:p>
    <w:p w:rsidR="00887330" w:rsidRPr="00583E1A" w:rsidRDefault="00887330" w:rsidP="00887330">
      <w:pPr>
        <w:pStyle w:val="Definition"/>
      </w:pPr>
      <w:r w:rsidRPr="00583E1A">
        <w:rPr>
          <w:b/>
          <w:i/>
        </w:rPr>
        <w:t>self assessment</w:t>
      </w:r>
      <w:r w:rsidRPr="00583E1A">
        <w:t xml:space="preserve"> means an assessment:</w:t>
      </w:r>
    </w:p>
    <w:p w:rsidR="00887330" w:rsidRPr="00583E1A" w:rsidRDefault="00887330" w:rsidP="00887330">
      <w:pPr>
        <w:pStyle w:val="paragraph"/>
      </w:pPr>
      <w:r w:rsidRPr="00583E1A">
        <w:tab/>
        <w:t>(a)</w:t>
      </w:r>
      <w:r w:rsidRPr="00583E1A">
        <w:tab/>
        <w:t>for the making of which the Commissioner wholly accepts statements of the taxpayer; or</w:t>
      </w:r>
    </w:p>
    <w:p w:rsidR="00887330" w:rsidRPr="00583E1A" w:rsidRDefault="00887330" w:rsidP="00887330">
      <w:pPr>
        <w:pStyle w:val="paragraph"/>
      </w:pPr>
      <w:r w:rsidRPr="00583E1A">
        <w:tab/>
        <w:t>(b)</w:t>
      </w:r>
      <w:r w:rsidRPr="00583E1A">
        <w:tab/>
        <w:t>that, under section</w:t>
      </w:r>
      <w:r w:rsidR="00583E1A">
        <w:t> </w:t>
      </w:r>
      <w:r w:rsidRPr="00583E1A">
        <w:t xml:space="preserve">166A of the </w:t>
      </w:r>
      <w:r w:rsidRPr="00583E1A">
        <w:rPr>
          <w:i/>
        </w:rPr>
        <w:t>Income Tax Assessment Act 1936</w:t>
      </w:r>
      <w:r w:rsidRPr="00583E1A">
        <w:t xml:space="preserve"> or a provision of another law, is taken to have been made by the Commissioner.</w:t>
      </w:r>
    </w:p>
    <w:p w:rsidR="00947C46" w:rsidRPr="00214FF7" w:rsidRDefault="00947C46" w:rsidP="00947C46">
      <w:pPr>
        <w:pStyle w:val="Definition"/>
      </w:pPr>
      <w:r w:rsidRPr="00214FF7">
        <w:rPr>
          <w:b/>
          <w:i/>
        </w:rPr>
        <w:t>self</w:t>
      </w:r>
      <w:r w:rsidRPr="00214FF7">
        <w:rPr>
          <w:b/>
          <w:i/>
        </w:rPr>
        <w:noBreakHyphen/>
        <w:t>assessment entity</w:t>
      </w:r>
      <w:r w:rsidRPr="00214FF7">
        <w:t xml:space="preserve"> means a full self</w:t>
      </w:r>
      <w:r w:rsidRPr="00214FF7">
        <w:noBreakHyphen/>
        <w:t xml:space="preserve">assessment taxpayer (within the meaning of subsection 6(1) of the </w:t>
      </w:r>
      <w:r w:rsidRPr="00214FF7">
        <w:rPr>
          <w:i/>
        </w:rPr>
        <w:t>Income Tax Assessment Act 1936</w:t>
      </w:r>
      <w:r w:rsidRPr="00214FF7">
        <w:t>).</w:t>
      </w:r>
    </w:p>
    <w:p w:rsidR="000702BE" w:rsidRPr="00583E1A" w:rsidRDefault="000702BE" w:rsidP="000702BE">
      <w:pPr>
        <w:pStyle w:val="Definition"/>
      </w:pPr>
      <w:r w:rsidRPr="00583E1A">
        <w:rPr>
          <w:b/>
          <w:i/>
        </w:rPr>
        <w:t>self managed superannuation fund</w:t>
      </w:r>
      <w:r w:rsidRPr="00583E1A">
        <w:t xml:space="preserve"> has the same meaning as in the </w:t>
      </w:r>
      <w:r w:rsidRPr="00583E1A">
        <w:rPr>
          <w:i/>
        </w:rPr>
        <w:t>Superannuation Industry (Supervision) Act 1993</w:t>
      </w:r>
      <w:r w:rsidRPr="00583E1A">
        <w:t>.</w:t>
      </w:r>
    </w:p>
    <w:p w:rsidR="00887330" w:rsidRPr="00583E1A" w:rsidRDefault="00887330" w:rsidP="00887330">
      <w:pPr>
        <w:pStyle w:val="Definition"/>
      </w:pPr>
      <w:r w:rsidRPr="00583E1A">
        <w:rPr>
          <w:b/>
          <w:i/>
        </w:rPr>
        <w:t>seminar</w:t>
      </w:r>
      <w:r w:rsidRPr="00583E1A">
        <w:t xml:space="preserve"> has the meaning given by subsection 32</w:t>
      </w:r>
      <w:r w:rsidR="00583E1A">
        <w:noBreakHyphen/>
      </w:r>
      <w:r w:rsidRPr="00583E1A">
        <w:t>65(1).</w:t>
      </w:r>
    </w:p>
    <w:p w:rsidR="00887330" w:rsidRPr="00583E1A" w:rsidRDefault="00887330" w:rsidP="00887330">
      <w:pPr>
        <w:pStyle w:val="Definition"/>
      </w:pPr>
      <w:r w:rsidRPr="00583E1A">
        <w:rPr>
          <w:b/>
          <w:i/>
        </w:rPr>
        <w:t xml:space="preserve">Senior Executive Service office </w:t>
      </w:r>
      <w:r w:rsidRPr="00583E1A">
        <w:t>means a position occupied by an SES employee or acting SES employee.</w:t>
      </w:r>
    </w:p>
    <w:p w:rsidR="00BB2F41" w:rsidRPr="00B758CF" w:rsidRDefault="00BB2F41" w:rsidP="00BB2F41">
      <w:pPr>
        <w:pStyle w:val="Definition"/>
      </w:pPr>
      <w:r w:rsidRPr="00B758CF">
        <w:rPr>
          <w:b/>
          <w:i/>
        </w:rPr>
        <w:t>serious offence</w:t>
      </w:r>
      <w:r w:rsidRPr="00B758CF">
        <w:t xml:space="preserve"> has the meaning given by section 355</w:t>
      </w:r>
      <w:r w:rsidRPr="00B758CF">
        <w:noBreakHyphen/>
        <w:t xml:space="preserve">70 in Schedule 1 to the </w:t>
      </w:r>
      <w:r w:rsidRPr="00B758CF">
        <w:rPr>
          <w:i/>
        </w:rPr>
        <w:t>Taxation Administration Act 1953</w:t>
      </w:r>
      <w:r w:rsidRPr="00B758CF">
        <w:t>.</w:t>
      </w:r>
    </w:p>
    <w:p w:rsidR="000702BE" w:rsidRPr="00583E1A" w:rsidRDefault="000702BE" w:rsidP="000702BE">
      <w:pPr>
        <w:pStyle w:val="Definition"/>
      </w:pPr>
      <w:r w:rsidRPr="00583E1A">
        <w:rPr>
          <w:b/>
          <w:i/>
        </w:rPr>
        <w:t xml:space="preserve">service period </w:t>
      </w:r>
      <w:r w:rsidRPr="00583E1A">
        <w:t>has the meaning given by section</w:t>
      </w:r>
      <w:r w:rsidR="00583E1A">
        <w:t> </w:t>
      </w:r>
      <w:r w:rsidRPr="00583E1A">
        <w:t>307</w:t>
      </w:r>
      <w:r w:rsidR="00583E1A">
        <w:noBreakHyphen/>
      </w:r>
      <w:r w:rsidRPr="00583E1A">
        <w:t>400.</w:t>
      </w:r>
    </w:p>
    <w:p w:rsidR="00365D03" w:rsidRPr="00583E1A" w:rsidRDefault="00365D03" w:rsidP="0009063A">
      <w:pPr>
        <w:pStyle w:val="Definition"/>
        <w:keepNext/>
      </w:pPr>
      <w:r w:rsidRPr="00583E1A">
        <w:rPr>
          <w:b/>
          <w:i/>
        </w:rPr>
        <w:t>share</w:t>
      </w:r>
      <w:r w:rsidRPr="00583E1A">
        <w:t>:</w:t>
      </w:r>
    </w:p>
    <w:p w:rsidR="00365D03" w:rsidRPr="00583E1A" w:rsidRDefault="00365D03" w:rsidP="00365D03">
      <w:pPr>
        <w:pStyle w:val="paragraph"/>
      </w:pPr>
      <w:r w:rsidRPr="00583E1A">
        <w:tab/>
        <w:t>(a)</w:t>
      </w:r>
      <w:r w:rsidRPr="00583E1A">
        <w:tab/>
        <w:t>in a company means a share in the capital of the company, and includes stock; and</w:t>
      </w:r>
    </w:p>
    <w:p w:rsidR="009E463F" w:rsidRPr="009E5065" w:rsidRDefault="009E463F" w:rsidP="009E463F">
      <w:pPr>
        <w:pStyle w:val="paragraph"/>
      </w:pPr>
      <w:r w:rsidRPr="009E5065">
        <w:tab/>
        <w:t>(aa)</w:t>
      </w:r>
      <w:r w:rsidRPr="009E5065">
        <w:tab/>
        <w:t xml:space="preserve">of a </w:t>
      </w:r>
      <w:r w:rsidRPr="009E5065">
        <w:rPr>
          <w:position w:val="6"/>
          <w:sz w:val="16"/>
        </w:rPr>
        <w:t>*</w:t>
      </w:r>
      <w:r w:rsidRPr="009E5065">
        <w:t>capital gain has the meaning given by section 115</w:t>
      </w:r>
      <w:r w:rsidRPr="009E5065">
        <w:noBreakHyphen/>
        <w:t>227; and</w:t>
      </w:r>
    </w:p>
    <w:p w:rsidR="00365D03" w:rsidRPr="00583E1A" w:rsidRDefault="00365D03" w:rsidP="00365D03">
      <w:pPr>
        <w:pStyle w:val="paragraph"/>
      </w:pPr>
      <w:r w:rsidRPr="00583E1A">
        <w:tab/>
        <w:t>(b)</w:t>
      </w:r>
      <w:r w:rsidRPr="00583E1A">
        <w:tab/>
        <w:t xml:space="preserve">of an </w:t>
      </w:r>
      <w:r w:rsidR="00583E1A" w:rsidRPr="00583E1A">
        <w:rPr>
          <w:position w:val="6"/>
          <w:sz w:val="16"/>
        </w:rPr>
        <w:t>*</w:t>
      </w:r>
      <w:r w:rsidRPr="00583E1A">
        <w:t>exempting credit has the meaning given by section</w:t>
      </w:r>
      <w:r w:rsidR="00583E1A">
        <w:t> </w:t>
      </w:r>
      <w:r w:rsidRPr="00583E1A">
        <w:t>208</w:t>
      </w:r>
      <w:r w:rsidR="00583E1A">
        <w:noBreakHyphen/>
      </w:r>
      <w:r w:rsidRPr="00583E1A">
        <w:t>180; and</w:t>
      </w:r>
    </w:p>
    <w:p w:rsidR="00365D03" w:rsidRPr="00583E1A" w:rsidRDefault="00365D03" w:rsidP="00365D03">
      <w:pPr>
        <w:pStyle w:val="paragraph"/>
      </w:pPr>
      <w:r w:rsidRPr="00583E1A">
        <w:tab/>
        <w:t>(c)</w:t>
      </w:r>
      <w:r w:rsidRPr="00583E1A">
        <w:tab/>
        <w:t xml:space="preserve">of a </w:t>
      </w:r>
      <w:r w:rsidR="00583E1A" w:rsidRPr="00583E1A">
        <w:rPr>
          <w:position w:val="6"/>
          <w:sz w:val="16"/>
        </w:rPr>
        <w:t>*</w:t>
      </w:r>
      <w:r w:rsidRPr="00583E1A">
        <w:t>franked distribution has the meaning given by section</w:t>
      </w:r>
      <w:r w:rsidR="00583E1A">
        <w:t> </w:t>
      </w:r>
      <w:r w:rsidRPr="00583E1A">
        <w:t>207</w:t>
      </w:r>
      <w:r w:rsidR="00583E1A">
        <w:noBreakHyphen/>
      </w:r>
      <w:r w:rsidRPr="00583E1A">
        <w:t>55; and</w:t>
      </w:r>
    </w:p>
    <w:p w:rsidR="00365D03" w:rsidRPr="00583E1A" w:rsidRDefault="00365D03" w:rsidP="00365D03">
      <w:pPr>
        <w:pStyle w:val="paragraph"/>
      </w:pPr>
      <w:r w:rsidRPr="00583E1A">
        <w:lastRenderedPageBreak/>
        <w:tab/>
        <w:t>(d)</w:t>
      </w:r>
      <w:r w:rsidRPr="00583E1A">
        <w:tab/>
        <w:t xml:space="preserve">of a </w:t>
      </w:r>
      <w:r w:rsidR="00583E1A" w:rsidRPr="00583E1A">
        <w:rPr>
          <w:position w:val="6"/>
          <w:sz w:val="16"/>
        </w:rPr>
        <w:t>*</w:t>
      </w:r>
      <w:r w:rsidRPr="00583E1A">
        <w:t>franking credit has the meaning given by section</w:t>
      </w:r>
      <w:r w:rsidR="00583E1A">
        <w:t> </w:t>
      </w:r>
      <w:r w:rsidRPr="00583E1A">
        <w:t>207</w:t>
      </w:r>
      <w:r w:rsidR="00583E1A">
        <w:noBreakHyphen/>
      </w:r>
      <w:r w:rsidRPr="00583E1A">
        <w:t>57</w:t>
      </w:r>
      <w:r w:rsidR="00DE7415" w:rsidRPr="00583E1A">
        <w:t>; and</w:t>
      </w:r>
    </w:p>
    <w:p w:rsidR="00DE7415" w:rsidRPr="00583E1A" w:rsidRDefault="00DE7415" w:rsidP="00DE7415">
      <w:pPr>
        <w:pStyle w:val="paragraph"/>
      </w:pPr>
      <w:r w:rsidRPr="00583E1A">
        <w:tab/>
        <w:t>(e)</w:t>
      </w:r>
      <w:r w:rsidRPr="00583E1A">
        <w:tab/>
        <w:t xml:space="preserve">of </w:t>
      </w:r>
      <w:r w:rsidR="00583E1A" w:rsidRPr="00583E1A">
        <w:rPr>
          <w:position w:val="6"/>
          <w:sz w:val="16"/>
        </w:rPr>
        <w:t>*</w:t>
      </w:r>
      <w:r w:rsidRPr="00583E1A">
        <w:t>NRAS rent has the meaning given by section</w:t>
      </w:r>
      <w:r w:rsidR="00583E1A">
        <w:t> </w:t>
      </w:r>
      <w:r w:rsidRPr="00583E1A">
        <w:t>380</w:t>
      </w:r>
      <w:r w:rsidR="00583E1A">
        <w:noBreakHyphen/>
      </w:r>
      <w:r w:rsidRPr="00583E1A">
        <w:t>30.</w:t>
      </w:r>
    </w:p>
    <w:p w:rsidR="00887330" w:rsidRPr="00583E1A" w:rsidRDefault="00887330" w:rsidP="00887330">
      <w:pPr>
        <w:pStyle w:val="Definition"/>
      </w:pPr>
      <w:r w:rsidRPr="00583E1A">
        <w:rPr>
          <w:b/>
          <w:i/>
        </w:rPr>
        <w:t>share capital account</w:t>
      </w:r>
      <w:r w:rsidRPr="00583E1A">
        <w:rPr>
          <w:b/>
        </w:rPr>
        <w:t xml:space="preserve"> </w:t>
      </w:r>
      <w:r w:rsidRPr="00583E1A">
        <w:t>has the meaning given by section</w:t>
      </w:r>
      <w:r w:rsidR="00583E1A">
        <w:t> </w:t>
      </w:r>
      <w:r w:rsidRPr="00583E1A">
        <w:t>975</w:t>
      </w:r>
      <w:r w:rsidR="00583E1A">
        <w:noBreakHyphen/>
      </w:r>
      <w:r w:rsidRPr="00583E1A">
        <w:t>300.</w:t>
      </w:r>
    </w:p>
    <w:p w:rsidR="00887330" w:rsidRPr="00583E1A" w:rsidRDefault="00887330" w:rsidP="00887330">
      <w:pPr>
        <w:pStyle w:val="Definition"/>
      </w:pPr>
      <w:r w:rsidRPr="00583E1A">
        <w:rPr>
          <w:b/>
          <w:i/>
        </w:rPr>
        <w:t>shareholders’ ratio</w:t>
      </w:r>
      <w:r w:rsidRPr="00583E1A">
        <w:t xml:space="preserve"> for an income year of a </w:t>
      </w:r>
      <w:r w:rsidR="00583E1A" w:rsidRPr="00583E1A">
        <w:rPr>
          <w:position w:val="6"/>
          <w:sz w:val="16"/>
        </w:rPr>
        <w:t>*</w:t>
      </w:r>
      <w:r w:rsidRPr="00583E1A">
        <w:t>life insurance company has the meaning given by section</w:t>
      </w:r>
      <w:r w:rsidR="00583E1A">
        <w:t> </w:t>
      </w:r>
      <w:r w:rsidRPr="00583E1A">
        <w:t>219</w:t>
      </w:r>
      <w:r w:rsidR="00583E1A">
        <w:noBreakHyphen/>
      </w:r>
      <w:r w:rsidRPr="00583E1A">
        <w:t>50.</w:t>
      </w:r>
    </w:p>
    <w:p w:rsidR="00887330" w:rsidRPr="00583E1A" w:rsidRDefault="00887330" w:rsidP="00887330">
      <w:pPr>
        <w:pStyle w:val="Definition"/>
      </w:pPr>
      <w:r w:rsidRPr="00583E1A">
        <w:rPr>
          <w:b/>
          <w:i/>
        </w:rPr>
        <w:t>shareholders’ share</w:t>
      </w:r>
      <w:r w:rsidRPr="00583E1A">
        <w:t xml:space="preserve"> of the income tax liability of a </w:t>
      </w:r>
      <w:r w:rsidR="00583E1A" w:rsidRPr="00583E1A">
        <w:rPr>
          <w:position w:val="6"/>
          <w:sz w:val="16"/>
        </w:rPr>
        <w:t>*</w:t>
      </w:r>
      <w:r w:rsidRPr="00583E1A">
        <w:t>life insurance company for an income year has the meaning given by section</w:t>
      </w:r>
      <w:r w:rsidR="00583E1A">
        <w:t> </w:t>
      </w:r>
      <w:r w:rsidRPr="00583E1A">
        <w:t>219</w:t>
      </w:r>
      <w:r w:rsidR="00583E1A">
        <w:noBreakHyphen/>
      </w:r>
      <w:r w:rsidRPr="00583E1A">
        <w:t>50.</w:t>
      </w:r>
    </w:p>
    <w:p w:rsidR="00887330" w:rsidRPr="00583E1A" w:rsidRDefault="00887330" w:rsidP="00887330">
      <w:pPr>
        <w:pStyle w:val="Definition"/>
      </w:pPr>
      <w:r w:rsidRPr="00583E1A">
        <w:rPr>
          <w:b/>
          <w:i/>
        </w:rPr>
        <w:t>shareholding interest</w:t>
      </w:r>
      <w:r w:rsidRPr="00583E1A">
        <w:t xml:space="preserve"> has the meaning given by section</w:t>
      </w:r>
      <w:r w:rsidR="00583E1A">
        <w:t> </w:t>
      </w:r>
      <w:r w:rsidRPr="00583E1A">
        <w:t>175</w:t>
      </w:r>
      <w:r w:rsidR="00583E1A">
        <w:noBreakHyphen/>
      </w:r>
      <w:r w:rsidRPr="00583E1A">
        <w:t>95.</w:t>
      </w:r>
    </w:p>
    <w:p w:rsidR="00F5569F" w:rsidRPr="006230C2" w:rsidRDefault="00F5569F" w:rsidP="00F5569F">
      <w:pPr>
        <w:pStyle w:val="Definition"/>
      </w:pPr>
      <w:r w:rsidRPr="006230C2">
        <w:rPr>
          <w:b/>
          <w:i/>
        </w:rPr>
        <w:t>share of the PHII benefit</w:t>
      </w:r>
      <w:r w:rsidRPr="006230C2">
        <w:t xml:space="preserve"> (short for </w:t>
      </w:r>
      <w:r w:rsidRPr="006230C2">
        <w:rPr>
          <w:b/>
          <w:i/>
        </w:rPr>
        <w:t>share of the private health insurance incentive benefit</w:t>
      </w:r>
      <w:r w:rsidRPr="006230C2">
        <w:t xml:space="preserve">) has the meaning given by the </w:t>
      </w:r>
      <w:r w:rsidRPr="006230C2">
        <w:rPr>
          <w:i/>
        </w:rPr>
        <w:t>Private Health Insurance Act 2007</w:t>
      </w:r>
      <w:r w:rsidRPr="006230C2">
        <w:t>.</w:t>
      </w:r>
    </w:p>
    <w:p w:rsidR="00887330" w:rsidRPr="00583E1A" w:rsidRDefault="00887330" w:rsidP="00887330">
      <w:pPr>
        <w:pStyle w:val="Definition"/>
      </w:pPr>
      <w:r w:rsidRPr="00583E1A">
        <w:rPr>
          <w:b/>
          <w:i/>
        </w:rPr>
        <w:t>shift proceeds</w:t>
      </w:r>
      <w:r w:rsidRPr="00583E1A">
        <w:t xml:space="preserve"> has the meaning given by sections</w:t>
      </w:r>
      <w:r w:rsidR="00583E1A">
        <w:t> </w:t>
      </w:r>
      <w:r w:rsidRPr="00583E1A">
        <w:t>140</w:t>
      </w:r>
      <w:r w:rsidR="00583E1A">
        <w:noBreakHyphen/>
      </w:r>
      <w:r w:rsidRPr="00583E1A">
        <w:t>55 and 140</w:t>
      </w:r>
      <w:r w:rsidR="00583E1A">
        <w:noBreakHyphen/>
      </w:r>
      <w:r w:rsidRPr="00583E1A">
        <w:t>90.</w:t>
      </w:r>
    </w:p>
    <w:p w:rsidR="0070717C" w:rsidRPr="007B0680" w:rsidRDefault="0070717C" w:rsidP="0070717C">
      <w:pPr>
        <w:pStyle w:val="Definition"/>
      </w:pPr>
      <w:r w:rsidRPr="007B0680">
        <w:rPr>
          <w:b/>
          <w:i/>
        </w:rPr>
        <w:t>shipping activities</w:t>
      </w:r>
      <w:r w:rsidRPr="007B0680">
        <w:t xml:space="preserve"> has the meaning given by section 51</w:t>
      </w:r>
      <w:r w:rsidRPr="007B0680">
        <w:noBreakHyphen/>
        <w:t>105.</w:t>
      </w:r>
    </w:p>
    <w:p w:rsidR="008C708C" w:rsidRPr="007B0680" w:rsidRDefault="008C708C" w:rsidP="008C708C">
      <w:pPr>
        <w:pStyle w:val="Definition"/>
      </w:pPr>
      <w:r w:rsidRPr="007B0680">
        <w:rPr>
          <w:b/>
          <w:i/>
        </w:rPr>
        <w:t>shipping cargo</w:t>
      </w:r>
      <w:r w:rsidRPr="007B0680">
        <w:t xml:space="preserve"> has the same meaning as in the </w:t>
      </w:r>
      <w:r w:rsidRPr="007B0680">
        <w:rPr>
          <w:i/>
        </w:rPr>
        <w:t>Shipping Reform (Tax Incentives)</w:t>
      </w:r>
      <w:r w:rsidRPr="007B0680">
        <w:t xml:space="preserve"> </w:t>
      </w:r>
      <w:r w:rsidRPr="007B0680">
        <w:rPr>
          <w:i/>
        </w:rPr>
        <w:t>Act 2012</w:t>
      </w:r>
      <w:r w:rsidRPr="007B0680">
        <w:t>.</w:t>
      </w:r>
    </w:p>
    <w:p w:rsidR="008C708C" w:rsidRPr="007B0680" w:rsidRDefault="008C708C" w:rsidP="008C708C">
      <w:pPr>
        <w:pStyle w:val="Definition"/>
      </w:pPr>
      <w:r w:rsidRPr="007B0680">
        <w:rPr>
          <w:b/>
          <w:i/>
        </w:rPr>
        <w:t>shipping exempt income certificate</w:t>
      </w:r>
      <w:r w:rsidRPr="007B0680">
        <w:t xml:space="preserve"> has the same meaning as in the </w:t>
      </w:r>
      <w:r w:rsidRPr="007B0680">
        <w:rPr>
          <w:i/>
        </w:rPr>
        <w:t>Shipping Reform (Tax Incentives)</w:t>
      </w:r>
      <w:r w:rsidRPr="007B0680">
        <w:t xml:space="preserve"> </w:t>
      </w:r>
      <w:r w:rsidRPr="007B0680">
        <w:rPr>
          <w:i/>
        </w:rPr>
        <w:t>Act 2012</w:t>
      </w:r>
      <w:r w:rsidRPr="007B0680">
        <w:t>.</w:t>
      </w:r>
    </w:p>
    <w:p w:rsidR="008C708C" w:rsidRPr="007B0680" w:rsidRDefault="008C708C" w:rsidP="008C708C">
      <w:pPr>
        <w:pStyle w:val="Definition"/>
      </w:pPr>
      <w:r w:rsidRPr="007B0680">
        <w:rPr>
          <w:b/>
          <w:i/>
        </w:rPr>
        <w:t>shipping passenger</w:t>
      </w:r>
      <w:r w:rsidRPr="007B0680">
        <w:t xml:space="preserve"> has the same meaning as in the </w:t>
      </w:r>
      <w:r w:rsidRPr="007B0680">
        <w:rPr>
          <w:i/>
        </w:rPr>
        <w:t>Shipping Reform (Tax Incentives)</w:t>
      </w:r>
      <w:r w:rsidRPr="007B0680">
        <w:t xml:space="preserve"> </w:t>
      </w:r>
      <w:r w:rsidRPr="007B0680">
        <w:rPr>
          <w:i/>
        </w:rPr>
        <w:t>Act 2012</w:t>
      </w:r>
      <w:r w:rsidRPr="007B0680">
        <w:t>.</w:t>
      </w:r>
    </w:p>
    <w:p w:rsidR="00887330" w:rsidRPr="00583E1A" w:rsidRDefault="00887330" w:rsidP="00887330">
      <w:pPr>
        <w:pStyle w:val="Definition"/>
      </w:pPr>
      <w:r w:rsidRPr="00583E1A">
        <w:rPr>
          <w:b/>
          <w:i/>
        </w:rPr>
        <w:t>shortfall amount</w:t>
      </w:r>
      <w:r w:rsidRPr="00583E1A">
        <w:t xml:space="preserve"> has the meaning give by section</w:t>
      </w:r>
      <w:r w:rsidR="00583E1A">
        <w:t> </w:t>
      </w:r>
      <w:r w:rsidRPr="00583E1A">
        <w:t>284</w:t>
      </w:r>
      <w:r w:rsidR="00583E1A">
        <w:noBreakHyphen/>
      </w:r>
      <w:r w:rsidRPr="00583E1A">
        <w:t>80 in Schedule</w:t>
      </w:r>
      <w:r w:rsidR="00583E1A">
        <w:t> </w:t>
      </w:r>
      <w:r w:rsidRPr="00583E1A">
        <w:t xml:space="preserve">1 to the </w:t>
      </w:r>
      <w:r w:rsidRPr="00583E1A">
        <w:rPr>
          <w:i/>
        </w:rPr>
        <w:t>Taxation Administration Act 1953</w:t>
      </w:r>
      <w:r w:rsidRPr="00583E1A">
        <w:t>.</w:t>
      </w:r>
    </w:p>
    <w:p w:rsidR="00887330" w:rsidRPr="00583E1A" w:rsidRDefault="00887330" w:rsidP="00887330">
      <w:pPr>
        <w:pStyle w:val="Definition"/>
      </w:pPr>
      <w:r w:rsidRPr="00583E1A">
        <w:rPr>
          <w:b/>
          <w:i/>
        </w:rPr>
        <w:t>shortfall interest charge</w:t>
      </w:r>
      <w:r w:rsidRPr="00583E1A">
        <w:t xml:space="preserve"> means the charge worked out under Division</w:t>
      </w:r>
      <w:r w:rsidR="00583E1A">
        <w:t> </w:t>
      </w:r>
      <w:r w:rsidRPr="00583E1A">
        <w:t>280 in Schedule</w:t>
      </w:r>
      <w:r w:rsidR="00583E1A">
        <w:t> </w:t>
      </w:r>
      <w:r w:rsidRPr="00583E1A">
        <w:t xml:space="preserve">1 to the </w:t>
      </w:r>
      <w:r w:rsidRPr="00583E1A">
        <w:rPr>
          <w:i/>
        </w:rPr>
        <w:t>Taxation Administration Act 1953</w:t>
      </w:r>
      <w:r w:rsidRPr="00583E1A">
        <w:t>.</w:t>
      </w:r>
    </w:p>
    <w:p w:rsidR="00887330" w:rsidRPr="00583E1A" w:rsidRDefault="00887330" w:rsidP="00887330">
      <w:pPr>
        <w:pStyle w:val="Definition"/>
      </w:pPr>
      <w:r w:rsidRPr="00583E1A">
        <w:rPr>
          <w:b/>
          <w:i/>
        </w:rPr>
        <w:t>short</w:t>
      </w:r>
      <w:r w:rsidR="00583E1A">
        <w:rPr>
          <w:b/>
          <w:i/>
        </w:rPr>
        <w:noBreakHyphen/>
      </w:r>
      <w:r w:rsidRPr="00583E1A">
        <w:rPr>
          <w:b/>
          <w:i/>
        </w:rPr>
        <w:t>term hire agreement</w:t>
      </w:r>
      <w:r w:rsidRPr="00583E1A">
        <w:t xml:space="preserve">: a </w:t>
      </w:r>
      <w:r w:rsidRPr="00583E1A">
        <w:rPr>
          <w:b/>
          <w:i/>
        </w:rPr>
        <w:t>short</w:t>
      </w:r>
      <w:r w:rsidR="00583E1A">
        <w:rPr>
          <w:b/>
          <w:i/>
        </w:rPr>
        <w:noBreakHyphen/>
      </w:r>
      <w:r w:rsidRPr="00583E1A">
        <w:rPr>
          <w:b/>
          <w:i/>
        </w:rPr>
        <w:t>term hire agreement</w:t>
      </w:r>
      <w:r w:rsidRPr="00583E1A">
        <w:t xml:space="preserve"> is an agreement for the intermittent hire of an asset on an hourly, daily, weekly or monthly basis. However, an agreement for the hire of an </w:t>
      </w:r>
      <w:r w:rsidRPr="00583E1A">
        <w:lastRenderedPageBreak/>
        <w:t xml:space="preserve">asset is not a </w:t>
      </w:r>
      <w:r w:rsidRPr="00583E1A">
        <w:rPr>
          <w:b/>
          <w:i/>
        </w:rPr>
        <w:t>short</w:t>
      </w:r>
      <w:r w:rsidR="00583E1A">
        <w:rPr>
          <w:b/>
          <w:i/>
        </w:rPr>
        <w:noBreakHyphen/>
      </w:r>
      <w:r w:rsidRPr="00583E1A">
        <w:rPr>
          <w:b/>
          <w:i/>
        </w:rPr>
        <w:t>term hire agreement</w:t>
      </w:r>
      <w:r w:rsidRPr="00583E1A">
        <w:t xml:space="preserve"> if, having regard to any other agreements for the hire of the same asset to the same entity or an </w:t>
      </w:r>
      <w:r w:rsidR="00583E1A" w:rsidRPr="00583E1A">
        <w:rPr>
          <w:position w:val="6"/>
          <w:sz w:val="16"/>
        </w:rPr>
        <w:t>*</w:t>
      </w:r>
      <w:r w:rsidRPr="00583E1A">
        <w:t>associate of that entity, there is a substantial continuity of hiring so that the agreements together are for longer than a short</w:t>
      </w:r>
      <w:r w:rsidR="00583E1A">
        <w:noBreakHyphen/>
      </w:r>
      <w:r w:rsidRPr="00583E1A">
        <w:t>term basis.</w:t>
      </w:r>
    </w:p>
    <w:p w:rsidR="00887330" w:rsidRPr="00583E1A" w:rsidRDefault="00887330" w:rsidP="00887330">
      <w:pPr>
        <w:pStyle w:val="Definition"/>
      </w:pPr>
      <w:r w:rsidRPr="00583E1A">
        <w:rPr>
          <w:b/>
          <w:i/>
        </w:rPr>
        <w:t>sickness policy</w:t>
      </w:r>
      <w:r w:rsidRPr="00583E1A">
        <w:t xml:space="preserve"> means a </w:t>
      </w:r>
      <w:r w:rsidR="00583E1A" w:rsidRPr="00583E1A">
        <w:rPr>
          <w:position w:val="6"/>
          <w:sz w:val="16"/>
        </w:rPr>
        <w:t>*</w:t>
      </w:r>
      <w:r w:rsidRPr="00583E1A">
        <w:t xml:space="preserve">life insurance policy issued by a </w:t>
      </w:r>
      <w:r w:rsidR="00583E1A" w:rsidRPr="00583E1A">
        <w:rPr>
          <w:position w:val="6"/>
          <w:sz w:val="16"/>
        </w:rPr>
        <w:t>*</w:t>
      </w:r>
      <w:r w:rsidRPr="00583E1A">
        <w:t>friendly society for the sole purpose of providing:</w:t>
      </w:r>
    </w:p>
    <w:p w:rsidR="00887330" w:rsidRPr="00583E1A" w:rsidRDefault="00887330" w:rsidP="00887330">
      <w:pPr>
        <w:pStyle w:val="paragraph"/>
      </w:pPr>
      <w:r w:rsidRPr="00583E1A">
        <w:tab/>
        <w:t>(a)</w:t>
      </w:r>
      <w:r w:rsidRPr="00583E1A">
        <w:tab/>
        <w:t>benefits in respect of a sickness of the insured person; or</w:t>
      </w:r>
    </w:p>
    <w:p w:rsidR="00887330" w:rsidRPr="00583E1A" w:rsidRDefault="00887330" w:rsidP="00887330">
      <w:pPr>
        <w:pStyle w:val="paragraph"/>
      </w:pPr>
      <w:r w:rsidRPr="00583E1A">
        <w:tab/>
        <w:t>(b)</w:t>
      </w:r>
      <w:r w:rsidRPr="00583E1A">
        <w:tab/>
        <w:t xml:space="preserve">benefits covered by </w:t>
      </w:r>
      <w:r w:rsidR="00583E1A">
        <w:t>paragraph (</w:t>
      </w:r>
      <w:r w:rsidRPr="00583E1A">
        <w:t>a) and benefits to pay for the funeral of the insured person.</w:t>
      </w:r>
    </w:p>
    <w:p w:rsidR="00052B61" w:rsidRPr="00583E1A" w:rsidRDefault="00052B61" w:rsidP="00052B61">
      <w:pPr>
        <w:pStyle w:val="Definition"/>
      </w:pPr>
      <w:r w:rsidRPr="00583E1A">
        <w:rPr>
          <w:b/>
          <w:i/>
        </w:rPr>
        <w:t xml:space="preserve">significant individual </w:t>
      </w:r>
      <w:r w:rsidRPr="00583E1A">
        <w:t>has the meaning given by section</w:t>
      </w:r>
      <w:r w:rsidR="00583E1A">
        <w:t> </w:t>
      </w:r>
      <w:r w:rsidRPr="00583E1A">
        <w:t>152</w:t>
      </w:r>
      <w:r w:rsidR="00583E1A">
        <w:noBreakHyphen/>
      </w:r>
      <w:r w:rsidRPr="00583E1A">
        <w:t>55.</w:t>
      </w:r>
    </w:p>
    <w:p w:rsidR="00BA7E0C" w:rsidRPr="0038586A" w:rsidRDefault="00BA7E0C" w:rsidP="00BA7E0C">
      <w:pPr>
        <w:pStyle w:val="Definition"/>
      </w:pPr>
      <w:r w:rsidRPr="0038586A">
        <w:rPr>
          <w:b/>
          <w:i/>
        </w:rPr>
        <w:t>significant stake</w:t>
      </w:r>
      <w:r w:rsidRPr="0038586A">
        <w:t xml:space="preserve"> has the meaning given by section 124</w:t>
      </w:r>
      <w:r w:rsidRPr="0038586A">
        <w:noBreakHyphen/>
        <w:t>783.</w:t>
      </w:r>
    </w:p>
    <w:p w:rsidR="00BA7E0C" w:rsidRPr="0038586A" w:rsidRDefault="00BA7E0C" w:rsidP="00BA7E0C">
      <w:pPr>
        <w:pStyle w:val="Definition"/>
      </w:pPr>
      <w:r w:rsidRPr="0038586A">
        <w:rPr>
          <w:b/>
          <w:i/>
        </w:rPr>
        <w:t>significant stakeholder</w:t>
      </w:r>
      <w:r w:rsidRPr="0038586A">
        <w:t xml:space="preserve"> has the meaning given by section 124</w:t>
      </w:r>
      <w:r w:rsidRPr="0038586A">
        <w:noBreakHyphen/>
        <w:t>783.</w:t>
      </w:r>
    </w:p>
    <w:p w:rsidR="00887330" w:rsidRPr="00583E1A" w:rsidRDefault="00887330" w:rsidP="00887330">
      <w:pPr>
        <w:pStyle w:val="Definition"/>
      </w:pPr>
      <w:r w:rsidRPr="00583E1A">
        <w:rPr>
          <w:b/>
          <w:i/>
        </w:rPr>
        <w:t>single</w:t>
      </w:r>
      <w:r w:rsidR="00583E1A">
        <w:rPr>
          <w:b/>
          <w:i/>
        </w:rPr>
        <w:noBreakHyphen/>
      </w:r>
      <w:r w:rsidRPr="00583E1A">
        <w:rPr>
          <w:b/>
          <w:i/>
        </w:rPr>
        <w:t>rate trustee</w:t>
      </w:r>
      <w:r w:rsidRPr="00583E1A">
        <w:t xml:space="preserve"> has the meaning given by section</w:t>
      </w:r>
      <w:r w:rsidR="00583E1A">
        <w:t> </w:t>
      </w:r>
      <w:r w:rsidRPr="00583E1A">
        <w:t>45</w:t>
      </w:r>
      <w:r w:rsidR="00583E1A">
        <w:noBreakHyphen/>
      </w:r>
      <w:r w:rsidRPr="00583E1A">
        <w:t>450 in Schedule</w:t>
      </w:r>
      <w:r w:rsidR="00583E1A">
        <w:t> </w:t>
      </w:r>
      <w:r w:rsidRPr="00583E1A">
        <w:t xml:space="preserve">1 to the </w:t>
      </w:r>
      <w:r w:rsidRPr="00583E1A">
        <w:rPr>
          <w:i/>
        </w:rPr>
        <w:t>Taxation Administration Act 1953</w:t>
      </w:r>
      <w:r w:rsidRPr="00583E1A">
        <w:t>.</w:t>
      </w:r>
    </w:p>
    <w:p w:rsidR="000702BE" w:rsidRPr="00583E1A" w:rsidRDefault="000702BE" w:rsidP="000702BE">
      <w:pPr>
        <w:pStyle w:val="Definition"/>
      </w:pPr>
      <w:r w:rsidRPr="00583E1A">
        <w:rPr>
          <w:b/>
          <w:i/>
        </w:rPr>
        <w:t>SIS dependant</w:t>
      </w:r>
      <w:r w:rsidRPr="00583E1A">
        <w:t xml:space="preserve"> means a dependant within the meaning of the </w:t>
      </w:r>
      <w:r w:rsidRPr="00583E1A">
        <w:rPr>
          <w:i/>
        </w:rPr>
        <w:t>Superannuation Industry (Supervision) Act 1993</w:t>
      </w:r>
      <w:r w:rsidRPr="00583E1A">
        <w:t>.</w:t>
      </w:r>
    </w:p>
    <w:p w:rsidR="00093DFD" w:rsidRPr="00583E1A" w:rsidRDefault="00093DFD" w:rsidP="00093DFD">
      <w:pPr>
        <w:pStyle w:val="Definition"/>
      </w:pPr>
      <w:r w:rsidRPr="00583E1A">
        <w:rPr>
          <w:b/>
          <w:i/>
        </w:rPr>
        <w:t>small business entity</w:t>
      </w:r>
      <w:r w:rsidRPr="00583E1A">
        <w:t xml:space="preserve"> has the meaning given by section</w:t>
      </w:r>
      <w:r w:rsidR="00583E1A">
        <w:t> </w:t>
      </w:r>
      <w:r w:rsidRPr="00583E1A">
        <w:t>328</w:t>
      </w:r>
      <w:r w:rsidR="00583E1A">
        <w:noBreakHyphen/>
      </w:r>
      <w:r w:rsidRPr="00583E1A">
        <w:t>110.</w:t>
      </w:r>
    </w:p>
    <w:p w:rsidR="00584F4A" w:rsidRPr="00583E1A" w:rsidRDefault="00584F4A" w:rsidP="00584F4A">
      <w:pPr>
        <w:pStyle w:val="Definition"/>
      </w:pPr>
      <w:r w:rsidRPr="00583E1A">
        <w:rPr>
          <w:b/>
          <w:i/>
        </w:rPr>
        <w:t>small business participation percentage</w:t>
      </w:r>
      <w:r w:rsidRPr="00583E1A">
        <w:t xml:space="preserve"> has the meaning given by section</w:t>
      </w:r>
      <w:r w:rsidR="00583E1A">
        <w:t> </w:t>
      </w:r>
      <w:r w:rsidRPr="00583E1A">
        <w:t>152</w:t>
      </w:r>
      <w:r w:rsidR="00583E1A">
        <w:noBreakHyphen/>
      </w:r>
      <w:r w:rsidRPr="00583E1A">
        <w:t>65.</w:t>
      </w:r>
    </w:p>
    <w:p w:rsidR="000702BE" w:rsidRPr="00583E1A" w:rsidRDefault="000702BE" w:rsidP="000702BE">
      <w:pPr>
        <w:pStyle w:val="Definition"/>
      </w:pPr>
      <w:r w:rsidRPr="00583E1A">
        <w:rPr>
          <w:b/>
          <w:i/>
        </w:rPr>
        <w:t>small superannuation account</w:t>
      </w:r>
      <w:r w:rsidRPr="00583E1A">
        <w:t xml:space="preserve"> means an account within the meaning of the </w:t>
      </w:r>
      <w:r w:rsidRPr="00583E1A">
        <w:rPr>
          <w:i/>
        </w:rPr>
        <w:t>Small Superannuation Accounts Act 1995</w:t>
      </w:r>
      <w:r w:rsidRPr="00583E1A">
        <w:t>.</w:t>
      </w:r>
    </w:p>
    <w:p w:rsidR="000702BE" w:rsidRPr="00583E1A" w:rsidRDefault="000702BE" w:rsidP="000702BE">
      <w:pPr>
        <w:pStyle w:val="Definition"/>
      </w:pPr>
      <w:r w:rsidRPr="00583E1A">
        <w:rPr>
          <w:b/>
          <w:i/>
        </w:rPr>
        <w:t>small superannuation account payment</w:t>
      </w:r>
      <w:r w:rsidRPr="00583E1A">
        <w:t xml:space="preserve"> has the meaning given by section</w:t>
      </w:r>
      <w:r w:rsidR="00583E1A">
        <w:t> </w:t>
      </w:r>
      <w:r w:rsidRPr="00583E1A">
        <w:t>307</w:t>
      </w:r>
      <w:r w:rsidR="00583E1A">
        <w:noBreakHyphen/>
      </w:r>
      <w:r w:rsidRPr="00583E1A">
        <w:t>5.</w:t>
      </w:r>
    </w:p>
    <w:p w:rsidR="00887330" w:rsidRPr="00583E1A" w:rsidRDefault="00887330" w:rsidP="00887330">
      <w:pPr>
        <w:pStyle w:val="Definition"/>
      </w:pPr>
      <w:r w:rsidRPr="00583E1A">
        <w:rPr>
          <w:b/>
          <w:i/>
        </w:rPr>
        <w:t>small superannuation fund</w:t>
      </w:r>
      <w:r w:rsidRPr="00583E1A">
        <w:t xml:space="preserve"> means a </w:t>
      </w:r>
      <w:r w:rsidR="00583E1A" w:rsidRPr="00583E1A">
        <w:rPr>
          <w:position w:val="6"/>
          <w:sz w:val="16"/>
        </w:rPr>
        <w:t>*</w:t>
      </w:r>
      <w:r w:rsidRPr="00583E1A">
        <w:t>complying superannuation fund with 4 or fewer members.</w:t>
      </w:r>
    </w:p>
    <w:p w:rsidR="00887330" w:rsidRPr="00583E1A" w:rsidRDefault="00887330" w:rsidP="00887330">
      <w:pPr>
        <w:pStyle w:val="Definition"/>
      </w:pPr>
      <w:r w:rsidRPr="00583E1A">
        <w:rPr>
          <w:b/>
          <w:i/>
        </w:rPr>
        <w:t>small withholder</w:t>
      </w:r>
      <w:r w:rsidRPr="00583E1A">
        <w:t xml:space="preserve"> has the meaning given by section</w:t>
      </w:r>
      <w:r w:rsidR="00583E1A">
        <w:t> </w:t>
      </w:r>
      <w:r w:rsidRPr="00583E1A">
        <w:t>16</w:t>
      </w:r>
      <w:r w:rsidR="00583E1A">
        <w:noBreakHyphen/>
      </w:r>
      <w:r w:rsidRPr="00583E1A">
        <w:t>105 in Schedule</w:t>
      </w:r>
      <w:r w:rsidR="00583E1A">
        <w:t> </w:t>
      </w:r>
      <w:r w:rsidRPr="00583E1A">
        <w:t xml:space="preserve">1 to the </w:t>
      </w:r>
      <w:r w:rsidRPr="00583E1A">
        <w:rPr>
          <w:i/>
        </w:rPr>
        <w:t>Taxation Administration Act 1953</w:t>
      </w:r>
      <w:r w:rsidRPr="00583E1A">
        <w:t>.</w:t>
      </w:r>
    </w:p>
    <w:p w:rsidR="00887330" w:rsidRPr="00583E1A" w:rsidRDefault="00887330" w:rsidP="00887330">
      <w:pPr>
        <w:pStyle w:val="Definition"/>
      </w:pPr>
      <w:r w:rsidRPr="00583E1A">
        <w:rPr>
          <w:b/>
          <w:i/>
        </w:rPr>
        <w:t>SME income component</w:t>
      </w:r>
      <w:r w:rsidRPr="00583E1A">
        <w:t xml:space="preserve"> has the same meaning as in section</w:t>
      </w:r>
      <w:r w:rsidR="00583E1A">
        <w:t> </w:t>
      </w:r>
      <w:r w:rsidRPr="00583E1A">
        <w:t xml:space="preserve">124ZU of the </w:t>
      </w:r>
      <w:r w:rsidRPr="00583E1A">
        <w:rPr>
          <w:i/>
        </w:rPr>
        <w:t>Income Tax Assessment Act 1936</w:t>
      </w:r>
      <w:r w:rsidRPr="00583E1A">
        <w:t>.</w:t>
      </w:r>
    </w:p>
    <w:p w:rsidR="00887330" w:rsidRPr="00583E1A" w:rsidRDefault="00887330" w:rsidP="00887330">
      <w:pPr>
        <w:pStyle w:val="Definition"/>
      </w:pPr>
      <w:r w:rsidRPr="00583E1A">
        <w:rPr>
          <w:b/>
          <w:i/>
        </w:rPr>
        <w:lastRenderedPageBreak/>
        <w:t>SME investment</w:t>
      </w:r>
      <w:r w:rsidRPr="00583E1A">
        <w:t xml:space="preserve"> has the meaning given by section</w:t>
      </w:r>
      <w:r w:rsidR="00583E1A">
        <w:t> </w:t>
      </w:r>
      <w:r w:rsidRPr="00583E1A">
        <w:t xml:space="preserve">124ZW of the </w:t>
      </w:r>
      <w:r w:rsidRPr="00583E1A">
        <w:rPr>
          <w:i/>
        </w:rPr>
        <w:t>Income Tax Assessment Act 1936</w:t>
      </w:r>
      <w:r w:rsidRPr="00583E1A">
        <w:t>.</w:t>
      </w:r>
    </w:p>
    <w:p w:rsidR="00887330" w:rsidRPr="00583E1A" w:rsidRDefault="00887330" w:rsidP="00887330">
      <w:pPr>
        <w:pStyle w:val="Definition"/>
      </w:pPr>
      <w:r w:rsidRPr="00583E1A">
        <w:rPr>
          <w:b/>
          <w:i/>
        </w:rPr>
        <w:t>sort</w:t>
      </w:r>
      <w:r w:rsidRPr="00583E1A">
        <w:t xml:space="preserve"> of loss has the meaning given by section</w:t>
      </w:r>
      <w:r w:rsidR="00583E1A">
        <w:t> </w:t>
      </w:r>
      <w:r w:rsidRPr="00583E1A">
        <w:t>701</w:t>
      </w:r>
      <w:r w:rsidR="00583E1A">
        <w:noBreakHyphen/>
      </w:r>
      <w:r w:rsidRPr="00583E1A">
        <w:t>1.</w:t>
      </w:r>
    </w:p>
    <w:p w:rsidR="004D37D5" w:rsidRPr="00214FF7" w:rsidRDefault="004D37D5" w:rsidP="004D37D5">
      <w:pPr>
        <w:pStyle w:val="Definition"/>
        <w:rPr>
          <w:b/>
          <w:i/>
        </w:rPr>
      </w:pPr>
      <w:r w:rsidRPr="00214FF7">
        <w:rPr>
          <w:b/>
          <w:i/>
        </w:rPr>
        <w:t xml:space="preserve">special accrual amount </w:t>
      </w:r>
      <w:r w:rsidRPr="00214FF7">
        <w:t>means an amount that is included in assessable income, or an amount that can be deducted from assessable income, under any of the following:</w:t>
      </w:r>
    </w:p>
    <w:p w:rsidR="004D37D5" w:rsidRPr="00214FF7" w:rsidRDefault="004D37D5" w:rsidP="004D37D5">
      <w:pPr>
        <w:pStyle w:val="paragraph"/>
      </w:pPr>
      <w:r w:rsidRPr="00214FF7">
        <w:tab/>
        <w:t>(a)</w:t>
      </w:r>
      <w:r w:rsidRPr="00214FF7">
        <w:tab/>
        <w:t>Division 230 (about taxation of financial arrangements), other than Subdivision 230</w:t>
      </w:r>
      <w:r w:rsidRPr="00214FF7">
        <w:noBreakHyphen/>
        <w:t>B;</w:t>
      </w:r>
    </w:p>
    <w:p w:rsidR="004D37D5" w:rsidRPr="00214FF7" w:rsidRDefault="004D37D5" w:rsidP="000F40A8">
      <w:pPr>
        <w:pStyle w:val="paragraph"/>
        <w:keepNext/>
        <w:keepLines/>
      </w:pPr>
      <w:r w:rsidRPr="00214FF7">
        <w:tab/>
        <w:t>(b)</w:t>
      </w:r>
      <w:r w:rsidRPr="00214FF7">
        <w:tab/>
        <w:t>Subdivision 230</w:t>
      </w:r>
      <w:r w:rsidRPr="00214FF7">
        <w:noBreakHyphen/>
        <w:t>A if:</w:t>
      </w:r>
    </w:p>
    <w:p w:rsidR="004D37D5" w:rsidRPr="00214FF7" w:rsidRDefault="004D37D5" w:rsidP="004D37D5">
      <w:pPr>
        <w:pStyle w:val="paragraphsub"/>
      </w:pPr>
      <w:r w:rsidRPr="00214FF7">
        <w:tab/>
        <w:t>(i)</w:t>
      </w:r>
      <w:r w:rsidRPr="00214FF7">
        <w:tab/>
        <w:t>the accruals method provided for in Subdivision 230</w:t>
      </w:r>
      <w:r w:rsidRPr="00214FF7">
        <w:noBreakHyphen/>
        <w:t>B is applied to take account of the gain or loss concerned; and</w:t>
      </w:r>
    </w:p>
    <w:p w:rsidR="004D37D5" w:rsidRPr="00214FF7" w:rsidRDefault="004D37D5" w:rsidP="004D37D5">
      <w:pPr>
        <w:pStyle w:val="paragraphsub"/>
      </w:pPr>
      <w:r w:rsidRPr="00214FF7">
        <w:tab/>
        <w:t>(ii)</w:t>
      </w:r>
      <w:r w:rsidRPr="00214FF7">
        <w:tab/>
        <w:t xml:space="preserve">all the </w:t>
      </w:r>
      <w:r w:rsidRPr="00214FF7">
        <w:rPr>
          <w:position w:val="6"/>
          <w:sz w:val="16"/>
        </w:rPr>
        <w:t>*</w:t>
      </w:r>
      <w:r w:rsidRPr="00214FF7">
        <w:t xml:space="preserve">financial benefits provided and received under the </w:t>
      </w:r>
      <w:r w:rsidRPr="00214FF7">
        <w:rPr>
          <w:position w:val="6"/>
          <w:sz w:val="16"/>
        </w:rPr>
        <w:t>*</w:t>
      </w:r>
      <w:r w:rsidRPr="00214FF7">
        <w:t xml:space="preserve">financial arrangement concerned are denominated in a particular </w:t>
      </w:r>
      <w:r w:rsidRPr="00214FF7">
        <w:rPr>
          <w:position w:val="6"/>
          <w:sz w:val="16"/>
        </w:rPr>
        <w:t>*</w:t>
      </w:r>
      <w:r w:rsidRPr="00214FF7">
        <w:t>foreign currency;</w:t>
      </w:r>
    </w:p>
    <w:p w:rsidR="004D37D5" w:rsidRPr="00214FF7" w:rsidRDefault="004D37D5" w:rsidP="004D37D5">
      <w:pPr>
        <w:pStyle w:val="paragraph"/>
      </w:pPr>
      <w:r w:rsidRPr="00214FF7">
        <w:tab/>
        <w:t>(c)</w:t>
      </w:r>
      <w:r w:rsidRPr="00214FF7">
        <w:tab/>
        <w:t>Division 240 (about arrangements treated as a sale and loan);</w:t>
      </w:r>
    </w:p>
    <w:p w:rsidR="004D37D5" w:rsidRPr="00214FF7" w:rsidRDefault="004D37D5" w:rsidP="004D37D5">
      <w:pPr>
        <w:pStyle w:val="paragraph"/>
      </w:pPr>
      <w:r w:rsidRPr="00214FF7">
        <w:tab/>
        <w:t>(d)</w:t>
      </w:r>
      <w:r w:rsidRPr="00214FF7">
        <w:tab/>
        <w:t>Division 242 (about luxury car leases);</w:t>
      </w:r>
    </w:p>
    <w:p w:rsidR="00F135F0" w:rsidRPr="005F1CAE" w:rsidRDefault="00F135F0" w:rsidP="00F135F0">
      <w:pPr>
        <w:pStyle w:val="paragraph"/>
      </w:pPr>
      <w:r w:rsidRPr="005F1CAE">
        <w:tab/>
        <w:t>(da)</w:t>
      </w:r>
      <w:r w:rsidRPr="005F1CAE">
        <w:tab/>
        <w:t>Subdivision 250</w:t>
      </w:r>
      <w:r w:rsidRPr="005F1CAE">
        <w:noBreakHyphen/>
        <w:t>E of this Act if all the financial benefits provided and received under the financial arrangement concerned are denominated in a particular foreign currency;</w:t>
      </w:r>
    </w:p>
    <w:p w:rsidR="004D37D5" w:rsidRPr="00214FF7" w:rsidRDefault="004D37D5" w:rsidP="004D37D5">
      <w:pPr>
        <w:pStyle w:val="paragraph"/>
      </w:pPr>
      <w:r w:rsidRPr="00214FF7">
        <w:tab/>
        <w:t>(e)</w:t>
      </w:r>
      <w:r w:rsidRPr="00214FF7">
        <w:tab/>
        <w:t xml:space="preserve">Division 16D of Part III of the </w:t>
      </w:r>
      <w:r w:rsidRPr="00214FF7">
        <w:rPr>
          <w:i/>
        </w:rPr>
        <w:t>Income Tax Assessment Act 1936</w:t>
      </w:r>
      <w:r w:rsidRPr="00214FF7">
        <w:t xml:space="preserve"> (about certain arrangements relating to the use of property);</w:t>
      </w:r>
    </w:p>
    <w:p w:rsidR="004D37D5" w:rsidRPr="00214FF7" w:rsidRDefault="004D37D5" w:rsidP="004D37D5">
      <w:pPr>
        <w:pStyle w:val="paragraph"/>
      </w:pPr>
      <w:r w:rsidRPr="00214FF7">
        <w:tab/>
        <w:t>(f)</w:t>
      </w:r>
      <w:r w:rsidRPr="00214FF7">
        <w:tab/>
        <w:t xml:space="preserve">Division 16E of Part III of the </w:t>
      </w:r>
      <w:r w:rsidRPr="00214FF7">
        <w:rPr>
          <w:i/>
        </w:rPr>
        <w:t>Income Tax Assessment Act 1936</w:t>
      </w:r>
      <w:r w:rsidRPr="00214FF7">
        <w:t xml:space="preserve"> (about accruals assessability in respect of certain security payments).</w:t>
      </w:r>
    </w:p>
    <w:p w:rsidR="00887330" w:rsidRPr="00583E1A" w:rsidRDefault="00887330" w:rsidP="008A179D">
      <w:pPr>
        <w:pStyle w:val="Definition"/>
        <w:keepNext/>
        <w:keepLines/>
      </w:pPr>
      <w:r w:rsidRPr="00583E1A">
        <w:rPr>
          <w:b/>
          <w:i/>
        </w:rPr>
        <w:t>special company</w:t>
      </w:r>
      <w:r w:rsidRPr="00583E1A">
        <w:t xml:space="preserve"> means:</w:t>
      </w:r>
    </w:p>
    <w:p w:rsidR="00887330" w:rsidRPr="00583E1A" w:rsidRDefault="00887330" w:rsidP="008A179D">
      <w:pPr>
        <w:pStyle w:val="paragraph"/>
        <w:keepNext/>
        <w:keepLines/>
      </w:pPr>
      <w:r w:rsidRPr="00583E1A">
        <w:tab/>
        <w:t>(a)</w:t>
      </w:r>
      <w:r w:rsidRPr="00583E1A">
        <w:tab/>
        <w:t xml:space="preserve">a </w:t>
      </w:r>
      <w:r w:rsidR="00583E1A" w:rsidRPr="00583E1A">
        <w:rPr>
          <w:position w:val="6"/>
          <w:sz w:val="16"/>
        </w:rPr>
        <w:t>*</w:t>
      </w:r>
      <w:r w:rsidRPr="00583E1A">
        <w:t>mutual affiliate company; or</w:t>
      </w:r>
    </w:p>
    <w:p w:rsidR="00887330" w:rsidRPr="00583E1A" w:rsidRDefault="00887330" w:rsidP="00887330">
      <w:pPr>
        <w:pStyle w:val="paragraph"/>
      </w:pPr>
      <w:r w:rsidRPr="00583E1A">
        <w:tab/>
        <w:t>(b)</w:t>
      </w:r>
      <w:r w:rsidRPr="00583E1A">
        <w:tab/>
        <w:t xml:space="preserve">a </w:t>
      </w:r>
      <w:r w:rsidR="00583E1A" w:rsidRPr="00583E1A">
        <w:rPr>
          <w:position w:val="6"/>
          <w:sz w:val="16"/>
        </w:rPr>
        <w:t>*</w:t>
      </w:r>
      <w:r w:rsidRPr="00583E1A">
        <w:t>mutual insurance company; or</w:t>
      </w:r>
    </w:p>
    <w:p w:rsidR="00887330" w:rsidRPr="00583E1A" w:rsidRDefault="00887330" w:rsidP="00887330">
      <w:pPr>
        <w:pStyle w:val="paragraph"/>
      </w:pPr>
      <w:r w:rsidRPr="00583E1A">
        <w:tab/>
        <w:t>(c)</w:t>
      </w:r>
      <w:r w:rsidRPr="00583E1A">
        <w:tab/>
        <w:t xml:space="preserve">a trade union registered under an </w:t>
      </w:r>
      <w:r w:rsidR="00583E1A" w:rsidRPr="00583E1A">
        <w:rPr>
          <w:position w:val="6"/>
          <w:sz w:val="16"/>
        </w:rPr>
        <w:t>*</w:t>
      </w:r>
      <w:r w:rsidRPr="00583E1A">
        <w:t>Australian law; or</w:t>
      </w:r>
    </w:p>
    <w:p w:rsidR="00887330" w:rsidRPr="00583E1A" w:rsidRDefault="00887330" w:rsidP="00887330">
      <w:pPr>
        <w:pStyle w:val="paragraph"/>
      </w:pPr>
      <w:r w:rsidRPr="00583E1A">
        <w:tab/>
        <w:t>(d)</w:t>
      </w:r>
      <w:r w:rsidRPr="00583E1A">
        <w:tab/>
        <w:t xml:space="preserve">a </w:t>
      </w:r>
      <w:r w:rsidR="00583E1A" w:rsidRPr="00583E1A">
        <w:rPr>
          <w:position w:val="6"/>
          <w:sz w:val="16"/>
        </w:rPr>
        <w:t>*</w:t>
      </w:r>
      <w:r w:rsidRPr="00583E1A">
        <w:t>sporting club; or</w:t>
      </w:r>
    </w:p>
    <w:p w:rsidR="00887330" w:rsidRPr="00583E1A" w:rsidRDefault="00887330" w:rsidP="00887330">
      <w:pPr>
        <w:pStyle w:val="paragraph"/>
      </w:pPr>
      <w:r w:rsidRPr="00583E1A">
        <w:tab/>
        <w:t>(e)</w:t>
      </w:r>
      <w:r w:rsidRPr="00583E1A">
        <w:tab/>
        <w:t>a company that is prescribed by the regulations.</w:t>
      </w:r>
    </w:p>
    <w:p w:rsidR="00887330" w:rsidRPr="00583E1A" w:rsidRDefault="00887330" w:rsidP="00887330">
      <w:pPr>
        <w:pStyle w:val="Definition"/>
      </w:pPr>
      <w:r w:rsidRPr="00583E1A">
        <w:rPr>
          <w:b/>
          <w:i/>
        </w:rPr>
        <w:t>special conversion event</w:t>
      </w:r>
      <w:r w:rsidRPr="00583E1A">
        <w:t xml:space="preserve">, in relation to a </w:t>
      </w:r>
      <w:r w:rsidR="00583E1A" w:rsidRPr="00583E1A">
        <w:rPr>
          <w:position w:val="6"/>
          <w:sz w:val="16"/>
        </w:rPr>
        <w:t>*</w:t>
      </w:r>
      <w:r w:rsidRPr="00583E1A">
        <w:t>potential MEC group, has the meaning given by section</w:t>
      </w:r>
      <w:r w:rsidR="00583E1A">
        <w:t> </w:t>
      </w:r>
      <w:r w:rsidRPr="00583E1A">
        <w:t>719</w:t>
      </w:r>
      <w:r w:rsidR="00583E1A">
        <w:noBreakHyphen/>
      </w:r>
      <w:r w:rsidRPr="00583E1A">
        <w:t>40.</w:t>
      </w:r>
    </w:p>
    <w:p w:rsidR="00960284" w:rsidRPr="00592B5B" w:rsidRDefault="00960284" w:rsidP="00960284">
      <w:pPr>
        <w:pStyle w:val="Definition"/>
      </w:pPr>
      <w:r w:rsidRPr="00592B5B">
        <w:rPr>
          <w:b/>
          <w:i/>
        </w:rPr>
        <w:lastRenderedPageBreak/>
        <w:t>special disability trust</w:t>
      </w:r>
      <w:r w:rsidRPr="00592B5B">
        <w:t xml:space="preserve"> means:</w:t>
      </w:r>
    </w:p>
    <w:p w:rsidR="00960284" w:rsidRPr="00592B5B" w:rsidRDefault="00960284" w:rsidP="00960284">
      <w:pPr>
        <w:pStyle w:val="paragraph"/>
      </w:pPr>
      <w:r w:rsidRPr="00592B5B">
        <w:tab/>
        <w:t>(a)</w:t>
      </w:r>
      <w:r w:rsidRPr="00592B5B">
        <w:tab/>
        <w:t xml:space="preserve">a special disability trust within the meaning of the </w:t>
      </w:r>
      <w:r w:rsidRPr="00592B5B">
        <w:rPr>
          <w:i/>
        </w:rPr>
        <w:t>Social Security Act 1991</w:t>
      </w:r>
      <w:r w:rsidRPr="00592B5B">
        <w:t>; or</w:t>
      </w:r>
    </w:p>
    <w:p w:rsidR="00960284" w:rsidRPr="00592B5B" w:rsidRDefault="00960284" w:rsidP="00960284">
      <w:pPr>
        <w:pStyle w:val="paragraph"/>
      </w:pPr>
      <w:r w:rsidRPr="00592B5B">
        <w:tab/>
        <w:t>(b)</w:t>
      </w:r>
      <w:r w:rsidRPr="00592B5B">
        <w:tab/>
        <w:t xml:space="preserve">a special disability trust within the meaning of the </w:t>
      </w:r>
      <w:r w:rsidRPr="00592B5B">
        <w:rPr>
          <w:i/>
        </w:rPr>
        <w:t>Veterans’ Entitlements Act 1986</w:t>
      </w:r>
      <w:r w:rsidRPr="00592B5B">
        <w:t>.</w:t>
      </w:r>
    </w:p>
    <w:p w:rsidR="009F0B72" w:rsidRPr="00583E1A" w:rsidRDefault="009F0B72" w:rsidP="009F0B72">
      <w:pPr>
        <w:pStyle w:val="Definition"/>
      </w:pPr>
      <w:r w:rsidRPr="00583E1A">
        <w:rPr>
          <w:b/>
          <w:i/>
        </w:rPr>
        <w:t>specialist credit card institution</w:t>
      </w:r>
      <w:r w:rsidRPr="00583E1A">
        <w:t xml:space="preserve"> has the meaning given by section</w:t>
      </w:r>
      <w:r w:rsidR="00583E1A">
        <w:t> </w:t>
      </w:r>
      <w:r w:rsidRPr="00583E1A">
        <w:t>820</w:t>
      </w:r>
      <w:r w:rsidR="00583E1A">
        <w:noBreakHyphen/>
      </w:r>
      <w:r w:rsidRPr="00583E1A">
        <w:t>588.</w:t>
      </w:r>
    </w:p>
    <w:p w:rsidR="00887330" w:rsidRPr="00583E1A" w:rsidRDefault="00887330" w:rsidP="00887330">
      <w:pPr>
        <w:pStyle w:val="Definition"/>
      </w:pPr>
      <w:r w:rsidRPr="00583E1A">
        <w:rPr>
          <w:b/>
          <w:i/>
        </w:rPr>
        <w:t xml:space="preserve">special professional </w:t>
      </w:r>
      <w:r w:rsidRPr="00583E1A">
        <w:t>has the meaning given by subsection 405</w:t>
      </w:r>
      <w:r w:rsidR="00583E1A">
        <w:noBreakHyphen/>
      </w:r>
      <w:r w:rsidRPr="00583E1A">
        <w:t>25(1).</w:t>
      </w:r>
    </w:p>
    <w:p w:rsidR="009C78EE" w:rsidRPr="009E5065" w:rsidRDefault="009C78EE" w:rsidP="009C78EE">
      <w:pPr>
        <w:pStyle w:val="Definition"/>
      </w:pPr>
      <w:r w:rsidRPr="009E5065">
        <w:rPr>
          <w:b/>
          <w:i/>
        </w:rPr>
        <w:t>specifically entitled</w:t>
      </w:r>
      <w:r w:rsidRPr="009E5065">
        <w:t>:</w:t>
      </w:r>
    </w:p>
    <w:p w:rsidR="009C78EE" w:rsidRPr="009E5065" w:rsidRDefault="009C78EE" w:rsidP="009C78EE">
      <w:pPr>
        <w:pStyle w:val="paragraph"/>
      </w:pPr>
      <w:r w:rsidRPr="009E5065">
        <w:tab/>
        <w:t>(a)</w:t>
      </w:r>
      <w:r w:rsidRPr="009E5065">
        <w:tab/>
      </w:r>
      <w:r w:rsidRPr="009E5065">
        <w:rPr>
          <w:b/>
          <w:i/>
        </w:rPr>
        <w:t>specifically entitled</w:t>
      </w:r>
      <w:r w:rsidRPr="009E5065">
        <w:t xml:space="preserve"> to a </w:t>
      </w:r>
      <w:r w:rsidRPr="009E5065">
        <w:rPr>
          <w:position w:val="6"/>
          <w:sz w:val="16"/>
        </w:rPr>
        <w:t>*</w:t>
      </w:r>
      <w:r w:rsidRPr="009E5065">
        <w:t>capital gain has the meaning given by section 115</w:t>
      </w:r>
      <w:r w:rsidRPr="009E5065">
        <w:noBreakHyphen/>
        <w:t>228; and</w:t>
      </w:r>
    </w:p>
    <w:p w:rsidR="009C78EE" w:rsidRPr="009E5065" w:rsidRDefault="009C78EE" w:rsidP="009C78EE">
      <w:pPr>
        <w:pStyle w:val="noteToPara"/>
      </w:pPr>
      <w:r w:rsidRPr="009E5065">
        <w:t>Note:</w:t>
      </w:r>
      <w:r w:rsidRPr="009E5065">
        <w:tab/>
        <w:t>A trustee of a trust estate that makes a choice under section 115</w:t>
      </w:r>
      <w:r w:rsidRPr="009E5065">
        <w:noBreakHyphen/>
        <w:t>230 is taken to be specifically entitled to a capital gain.</w:t>
      </w:r>
    </w:p>
    <w:p w:rsidR="009C78EE" w:rsidRPr="009E5065" w:rsidRDefault="009C78EE" w:rsidP="009C78EE">
      <w:pPr>
        <w:pStyle w:val="paragraph"/>
      </w:pPr>
      <w:r w:rsidRPr="009E5065">
        <w:tab/>
        <w:t>(b)</w:t>
      </w:r>
      <w:r w:rsidRPr="009E5065">
        <w:tab/>
      </w:r>
      <w:r w:rsidRPr="009E5065">
        <w:rPr>
          <w:b/>
          <w:i/>
        </w:rPr>
        <w:t>specifically entitled</w:t>
      </w:r>
      <w:r w:rsidRPr="009E5065">
        <w:t xml:space="preserve"> to a </w:t>
      </w:r>
      <w:r w:rsidRPr="009E5065">
        <w:rPr>
          <w:position w:val="6"/>
          <w:sz w:val="16"/>
        </w:rPr>
        <w:t>*</w:t>
      </w:r>
      <w:r w:rsidRPr="009E5065">
        <w:t>franked distribution has the meaning given by section 207</w:t>
      </w:r>
      <w:r w:rsidRPr="009E5065">
        <w:noBreakHyphen/>
        <w:t>58.</w:t>
      </w:r>
    </w:p>
    <w:p w:rsidR="00887330" w:rsidRPr="00583E1A" w:rsidRDefault="00887330" w:rsidP="00887330">
      <w:pPr>
        <w:pStyle w:val="Definition"/>
      </w:pPr>
      <w:r w:rsidRPr="00583E1A">
        <w:rPr>
          <w:b/>
          <w:i/>
        </w:rPr>
        <w:t>specific deduction</w:t>
      </w:r>
      <w:r w:rsidRPr="00583E1A">
        <w:t xml:space="preserve"> has the meaning given by section</w:t>
      </w:r>
      <w:r w:rsidR="00583E1A">
        <w:t> </w:t>
      </w:r>
      <w:r w:rsidRPr="00583E1A">
        <w:t>8</w:t>
      </w:r>
      <w:r w:rsidR="00583E1A">
        <w:noBreakHyphen/>
      </w:r>
      <w:r w:rsidRPr="00583E1A">
        <w:t>5.</w:t>
      </w:r>
    </w:p>
    <w:p w:rsidR="003B46D4" w:rsidRPr="00583E1A" w:rsidRDefault="003B46D4" w:rsidP="003B46D4">
      <w:pPr>
        <w:pStyle w:val="Definition"/>
      </w:pPr>
      <w:r w:rsidRPr="00583E1A">
        <w:rPr>
          <w:b/>
          <w:i/>
        </w:rPr>
        <w:t>specified roll</w:t>
      </w:r>
      <w:r w:rsidR="00583E1A">
        <w:rPr>
          <w:b/>
          <w:i/>
        </w:rPr>
        <w:noBreakHyphen/>
      </w:r>
      <w:r w:rsidRPr="00583E1A">
        <w:rPr>
          <w:b/>
          <w:i/>
        </w:rPr>
        <w:t>over amount</w:t>
      </w:r>
      <w:r w:rsidRPr="00583E1A">
        <w:t xml:space="preserve"> of a </w:t>
      </w:r>
      <w:r w:rsidR="00583E1A" w:rsidRPr="00583E1A">
        <w:rPr>
          <w:position w:val="6"/>
          <w:sz w:val="16"/>
        </w:rPr>
        <w:t>*</w:t>
      </w:r>
      <w:r w:rsidRPr="00583E1A">
        <w:t xml:space="preserve">life insurance company means so much of an amount paid to the company as constitutes the </w:t>
      </w:r>
      <w:r w:rsidR="00583E1A" w:rsidRPr="00583E1A">
        <w:rPr>
          <w:position w:val="6"/>
          <w:sz w:val="16"/>
        </w:rPr>
        <w:t>*</w:t>
      </w:r>
      <w:r w:rsidRPr="00583E1A">
        <w:t xml:space="preserve">element untaxed in the fund of a </w:t>
      </w:r>
      <w:r w:rsidR="00583E1A" w:rsidRPr="00583E1A">
        <w:rPr>
          <w:position w:val="6"/>
          <w:sz w:val="16"/>
        </w:rPr>
        <w:t>*</w:t>
      </w:r>
      <w:r w:rsidRPr="00583E1A">
        <w:t xml:space="preserve">superannuation benefit that is a </w:t>
      </w:r>
      <w:r w:rsidR="00583E1A" w:rsidRPr="00583E1A">
        <w:rPr>
          <w:position w:val="6"/>
          <w:sz w:val="16"/>
        </w:rPr>
        <w:t>*</w:t>
      </w:r>
      <w:r w:rsidRPr="00583E1A">
        <w:t>roll</w:t>
      </w:r>
      <w:r w:rsidR="00583E1A">
        <w:noBreakHyphen/>
      </w:r>
      <w:r w:rsidRPr="00583E1A">
        <w:t>over superannuation benefit because of subparagraph 306</w:t>
      </w:r>
      <w:r w:rsidR="00583E1A">
        <w:noBreakHyphen/>
      </w:r>
      <w:r w:rsidRPr="00583E1A">
        <w:t>10(d)(ii).</w:t>
      </w:r>
    </w:p>
    <w:p w:rsidR="00887330" w:rsidRPr="00583E1A" w:rsidRDefault="00887330" w:rsidP="00887330">
      <w:pPr>
        <w:pStyle w:val="Definition"/>
      </w:pPr>
      <w:r w:rsidRPr="00583E1A">
        <w:rPr>
          <w:b/>
          <w:i/>
        </w:rPr>
        <w:t>spectrum</w:t>
      </w:r>
      <w:r w:rsidRPr="00583E1A">
        <w:t xml:space="preserve"> has the meaning given by section</w:t>
      </w:r>
      <w:r w:rsidR="00583E1A">
        <w:t> </w:t>
      </w:r>
      <w:r w:rsidRPr="00583E1A">
        <w:t xml:space="preserve">5 of the </w:t>
      </w:r>
      <w:r w:rsidRPr="00583E1A">
        <w:rPr>
          <w:i/>
        </w:rPr>
        <w:t>Radiocommunications Act 1992</w:t>
      </w:r>
      <w:r w:rsidRPr="00583E1A">
        <w:t>.</w:t>
      </w:r>
    </w:p>
    <w:p w:rsidR="00887330" w:rsidRPr="00583E1A" w:rsidRDefault="00887330" w:rsidP="00887330">
      <w:pPr>
        <w:pStyle w:val="Definition"/>
      </w:pPr>
      <w:r w:rsidRPr="00583E1A">
        <w:rPr>
          <w:b/>
          <w:i/>
        </w:rPr>
        <w:t>spectrum</w:t>
      </w:r>
      <w:r w:rsidRPr="00583E1A">
        <w:t xml:space="preserve"> </w:t>
      </w:r>
      <w:r w:rsidRPr="00583E1A">
        <w:rPr>
          <w:b/>
          <w:i/>
        </w:rPr>
        <w:t>licence</w:t>
      </w:r>
      <w:r w:rsidRPr="00583E1A">
        <w:t xml:space="preserve"> has the meaning given by section</w:t>
      </w:r>
      <w:r w:rsidR="00583E1A">
        <w:t> </w:t>
      </w:r>
      <w:r w:rsidRPr="00583E1A">
        <w:t xml:space="preserve">5 of the </w:t>
      </w:r>
      <w:r w:rsidRPr="00583E1A">
        <w:rPr>
          <w:i/>
        </w:rPr>
        <w:t>Radiocommunications Act 1992</w:t>
      </w:r>
      <w:r w:rsidRPr="00583E1A">
        <w:t>.</w:t>
      </w:r>
    </w:p>
    <w:p w:rsidR="00AD533E" w:rsidRPr="005E19E0" w:rsidRDefault="00AD533E" w:rsidP="00AD533E">
      <w:pPr>
        <w:pStyle w:val="Definition"/>
        <w:rPr>
          <w:b/>
          <w:i/>
        </w:rPr>
      </w:pPr>
      <w:r w:rsidRPr="005E19E0">
        <w:rPr>
          <w:b/>
          <w:i/>
        </w:rPr>
        <w:t xml:space="preserve">split percentage </w:t>
      </w:r>
      <w:r w:rsidRPr="005E19E0">
        <w:t>has the meaning given by section 300</w:t>
      </w:r>
      <w:r w:rsidRPr="005E19E0">
        <w:noBreakHyphen/>
        <w:t xml:space="preserve">1 of the </w:t>
      </w:r>
      <w:r w:rsidRPr="005E19E0">
        <w:rPr>
          <w:i/>
        </w:rPr>
        <w:t>Minerals Resource Rent Tax Act 201</w:t>
      </w:r>
      <w:r>
        <w:rPr>
          <w:i/>
        </w:rPr>
        <w:t>2</w:t>
      </w:r>
      <w:r w:rsidRPr="005E19E0">
        <w:t>.</w:t>
      </w:r>
    </w:p>
    <w:p w:rsidR="00887330" w:rsidRPr="00583E1A" w:rsidRDefault="00887330" w:rsidP="00887330">
      <w:pPr>
        <w:pStyle w:val="Definition"/>
      </w:pPr>
      <w:r w:rsidRPr="00583E1A">
        <w:rPr>
          <w:b/>
          <w:i/>
        </w:rPr>
        <w:t>splittable payment</w:t>
      </w:r>
      <w:r w:rsidRPr="00583E1A">
        <w:t xml:space="preserve"> has the same meaning as in Part</w:t>
      </w:r>
      <w:r w:rsidR="00583E1A">
        <w:t> </w:t>
      </w:r>
      <w:r w:rsidRPr="00583E1A">
        <w:t xml:space="preserve">VIIIB of the </w:t>
      </w:r>
      <w:r w:rsidRPr="00583E1A">
        <w:rPr>
          <w:i/>
        </w:rPr>
        <w:t>Family Law Act 1975</w:t>
      </w:r>
      <w:r w:rsidRPr="00583E1A">
        <w:t>.</w:t>
      </w:r>
    </w:p>
    <w:p w:rsidR="00887330" w:rsidRPr="00583E1A" w:rsidRDefault="00887330" w:rsidP="00887330">
      <w:pPr>
        <w:pStyle w:val="Definition"/>
      </w:pPr>
      <w:r w:rsidRPr="00583E1A">
        <w:rPr>
          <w:b/>
          <w:i/>
        </w:rPr>
        <w:t xml:space="preserve">sporting club </w:t>
      </w:r>
      <w:r w:rsidRPr="00583E1A">
        <w:t>means a society, association or club that:</w:t>
      </w:r>
    </w:p>
    <w:p w:rsidR="00887330" w:rsidRPr="00583E1A" w:rsidRDefault="00887330" w:rsidP="00887330">
      <w:pPr>
        <w:pStyle w:val="paragraph"/>
      </w:pPr>
      <w:r w:rsidRPr="00583E1A">
        <w:tab/>
        <w:t>(a)</w:t>
      </w:r>
      <w:r w:rsidRPr="00583E1A">
        <w:tab/>
        <w:t>is established for the encouragement of sport or a game; and</w:t>
      </w:r>
    </w:p>
    <w:p w:rsidR="00887330" w:rsidRPr="00583E1A" w:rsidRDefault="00887330" w:rsidP="00887330">
      <w:pPr>
        <w:pStyle w:val="paragraph"/>
      </w:pPr>
      <w:r w:rsidRPr="00583E1A">
        <w:lastRenderedPageBreak/>
        <w:tab/>
        <w:t>(b)</w:t>
      </w:r>
      <w:r w:rsidRPr="00583E1A">
        <w:tab/>
        <w:t xml:space="preserve">is </w:t>
      </w:r>
      <w:r w:rsidRPr="00583E1A">
        <w:rPr>
          <w:i/>
        </w:rPr>
        <w:t>not</w:t>
      </w:r>
      <w:r w:rsidRPr="00583E1A">
        <w:t xml:space="preserve"> carried on for profit to its members.</w:t>
      </w:r>
    </w:p>
    <w:p w:rsidR="00887330" w:rsidRPr="00583E1A" w:rsidRDefault="00887330" w:rsidP="00887330">
      <w:pPr>
        <w:pStyle w:val="Definition"/>
      </w:pPr>
      <w:r w:rsidRPr="00583E1A">
        <w:rPr>
          <w:b/>
          <w:i/>
        </w:rPr>
        <w:t>sporting competition</w:t>
      </w:r>
      <w:r w:rsidRPr="00583E1A">
        <w:t xml:space="preserve"> has the meaning given by subsection 405</w:t>
      </w:r>
      <w:r w:rsidR="00583E1A">
        <w:noBreakHyphen/>
      </w:r>
      <w:r w:rsidRPr="00583E1A">
        <w:t>25(7).</w:t>
      </w:r>
    </w:p>
    <w:p w:rsidR="00887330" w:rsidRPr="00583E1A" w:rsidRDefault="00887330" w:rsidP="00887330">
      <w:pPr>
        <w:pStyle w:val="Definition"/>
      </w:pPr>
      <w:r w:rsidRPr="00583E1A">
        <w:rPr>
          <w:b/>
          <w:i/>
        </w:rPr>
        <w:t>sportsperson</w:t>
      </w:r>
      <w:r w:rsidRPr="00583E1A">
        <w:t xml:space="preserve"> has the meaning given by subsection 405</w:t>
      </w:r>
      <w:r w:rsidR="00583E1A">
        <w:noBreakHyphen/>
      </w:r>
      <w:r w:rsidRPr="00583E1A">
        <w:t>25(6).</w:t>
      </w:r>
    </w:p>
    <w:p w:rsidR="00D104B7" w:rsidRPr="00583E1A" w:rsidRDefault="00D104B7" w:rsidP="00D104B7">
      <w:pPr>
        <w:pStyle w:val="Definition"/>
      </w:pPr>
      <w:r w:rsidRPr="00583E1A">
        <w:rPr>
          <w:b/>
          <w:i/>
        </w:rPr>
        <w:t xml:space="preserve">spouse </w:t>
      </w:r>
      <w:r w:rsidRPr="00583E1A">
        <w:t>of an individual includes:</w:t>
      </w:r>
    </w:p>
    <w:p w:rsidR="00D104B7" w:rsidRPr="00583E1A" w:rsidRDefault="00D104B7" w:rsidP="00D104B7">
      <w:pPr>
        <w:pStyle w:val="paragraph"/>
      </w:pPr>
      <w:r w:rsidRPr="00583E1A">
        <w:tab/>
        <w:t>(a)</w:t>
      </w:r>
      <w:r w:rsidRPr="00583E1A">
        <w:tab/>
        <w:t xml:space="preserve">another individual (whether of the same sex or a different sex) with whom the individual is in a relationship that is registered under a </w:t>
      </w:r>
      <w:r w:rsidR="00583E1A" w:rsidRPr="00583E1A">
        <w:rPr>
          <w:position w:val="6"/>
          <w:sz w:val="16"/>
        </w:rPr>
        <w:t>*</w:t>
      </w:r>
      <w:r w:rsidRPr="00583E1A">
        <w:t xml:space="preserve">State law or </w:t>
      </w:r>
      <w:r w:rsidR="00583E1A" w:rsidRPr="00583E1A">
        <w:rPr>
          <w:position w:val="6"/>
          <w:sz w:val="16"/>
        </w:rPr>
        <w:t>*</w:t>
      </w:r>
      <w:r w:rsidRPr="00583E1A">
        <w:t xml:space="preserve">Territory law prescribed for the purposes of </w:t>
      </w:r>
      <w:r w:rsidR="0098635A" w:rsidRPr="001C06E6">
        <w:t>section 2E</w:t>
      </w:r>
      <w:r w:rsidRPr="00583E1A">
        <w:t xml:space="preserve"> of the </w:t>
      </w:r>
      <w:r w:rsidRPr="00583E1A">
        <w:rPr>
          <w:i/>
        </w:rPr>
        <w:t>Acts Interpretation Act 1901</w:t>
      </w:r>
      <w:r w:rsidRPr="00583E1A">
        <w:t xml:space="preserve"> as a kind of relationship prescribed for the purposes of that section; and</w:t>
      </w:r>
    </w:p>
    <w:p w:rsidR="00D104B7" w:rsidRPr="00583E1A" w:rsidRDefault="00D104B7" w:rsidP="00D104B7">
      <w:pPr>
        <w:pStyle w:val="paragraph"/>
      </w:pPr>
      <w:r w:rsidRPr="00583E1A">
        <w:tab/>
        <w:t>(b)</w:t>
      </w:r>
      <w:r w:rsidRPr="00583E1A">
        <w:tab/>
        <w:t>another individual who, although not legally married to the individual, lives with the individual on a genuine domestic basis in a relationship as a couple.</w:t>
      </w:r>
    </w:p>
    <w:p w:rsidR="003D6501" w:rsidRPr="0038586A" w:rsidRDefault="003D6501" w:rsidP="003D6501">
      <w:pPr>
        <w:pStyle w:val="Definition"/>
      </w:pPr>
      <w:r w:rsidRPr="0038586A">
        <w:rPr>
          <w:b/>
          <w:i/>
        </w:rPr>
        <w:t>spread entity</w:t>
      </w:r>
      <w:r w:rsidRPr="0038586A">
        <w:t xml:space="preserve">, in relation to a </w:t>
      </w:r>
      <w:r w:rsidRPr="0038586A">
        <w:rPr>
          <w:position w:val="6"/>
          <w:sz w:val="16"/>
        </w:rPr>
        <w:t>*</w:t>
      </w:r>
      <w:r w:rsidRPr="0038586A">
        <w:t xml:space="preserve">consolidated group or </w:t>
      </w:r>
      <w:r w:rsidRPr="0038586A">
        <w:rPr>
          <w:position w:val="6"/>
          <w:sz w:val="16"/>
        </w:rPr>
        <w:t>*</w:t>
      </w:r>
      <w:r w:rsidRPr="0038586A">
        <w:t xml:space="preserve">MEC group, means a </w:t>
      </w:r>
      <w:r w:rsidRPr="0038586A">
        <w:rPr>
          <w:position w:val="6"/>
          <w:sz w:val="16"/>
        </w:rPr>
        <w:t>*</w:t>
      </w:r>
      <w:r w:rsidRPr="0038586A">
        <w:t xml:space="preserve">member of the group that is not a </w:t>
      </w:r>
      <w:r w:rsidRPr="0038586A">
        <w:rPr>
          <w:position w:val="6"/>
          <w:sz w:val="16"/>
        </w:rPr>
        <w:t>*</w:t>
      </w:r>
      <w:r w:rsidRPr="0038586A">
        <w:t>stick entity in relation to the group.</w:t>
      </w:r>
    </w:p>
    <w:p w:rsidR="00887330" w:rsidRPr="00583E1A" w:rsidRDefault="00887330" w:rsidP="00887330">
      <w:pPr>
        <w:pStyle w:val="Definition"/>
      </w:pPr>
      <w:r w:rsidRPr="00583E1A">
        <w:rPr>
          <w:b/>
          <w:i/>
        </w:rPr>
        <w:t>spreading period</w:t>
      </w:r>
      <w:r w:rsidRPr="00583E1A">
        <w:t xml:space="preserve"> for an amount has the meaning given by sections</w:t>
      </w:r>
      <w:r w:rsidR="00583E1A">
        <w:t> </w:t>
      </w:r>
      <w:r w:rsidRPr="00583E1A">
        <w:t>716</w:t>
      </w:r>
      <w:r w:rsidR="00583E1A">
        <w:noBreakHyphen/>
      </w:r>
      <w:r w:rsidRPr="00583E1A">
        <w:t>15, 716</w:t>
      </w:r>
      <w:r w:rsidR="00583E1A">
        <w:noBreakHyphen/>
      </w:r>
      <w:r w:rsidRPr="00583E1A">
        <w:t>25, 716</w:t>
      </w:r>
      <w:r w:rsidR="00583E1A">
        <w:noBreakHyphen/>
      </w:r>
      <w:r w:rsidRPr="00583E1A">
        <w:t>70 and 716</w:t>
      </w:r>
      <w:r w:rsidR="00583E1A">
        <w:noBreakHyphen/>
      </w:r>
      <w:r w:rsidRPr="00583E1A">
        <w:t>100.</w:t>
      </w:r>
    </w:p>
    <w:p w:rsidR="00887330" w:rsidRPr="00583E1A" w:rsidRDefault="00887330" w:rsidP="00887330">
      <w:pPr>
        <w:pStyle w:val="notetext"/>
      </w:pPr>
      <w:r w:rsidRPr="00583E1A">
        <w:t>Note:</w:t>
      </w:r>
      <w:r w:rsidRPr="00583E1A">
        <w:tab/>
        <w:t>Those sections deal with assessable income and deductions spread over several periods of membership or non</w:t>
      </w:r>
      <w:r w:rsidR="00583E1A">
        <w:noBreakHyphen/>
      </w:r>
      <w:r w:rsidRPr="00583E1A">
        <w:t>membership of a consolidated group or MEC group.</w:t>
      </w:r>
    </w:p>
    <w:p w:rsidR="003D0418" w:rsidRPr="00583E1A" w:rsidRDefault="003D0418" w:rsidP="003D0418">
      <w:pPr>
        <w:pStyle w:val="Definition"/>
      </w:pPr>
      <w:r w:rsidRPr="00583E1A">
        <w:rPr>
          <w:b/>
          <w:i/>
        </w:rPr>
        <w:t>standard component</w:t>
      </w:r>
      <w:r w:rsidRPr="00583E1A">
        <w:t>:</w:t>
      </w:r>
    </w:p>
    <w:p w:rsidR="003D0418" w:rsidRPr="00583E1A" w:rsidRDefault="003D0418" w:rsidP="003D0418">
      <w:pPr>
        <w:pStyle w:val="paragraph"/>
      </w:pPr>
      <w:r w:rsidRPr="00583E1A">
        <w:tab/>
        <w:t>(a)</w:t>
      </w:r>
      <w:r w:rsidRPr="00583E1A">
        <w:tab/>
        <w:t xml:space="preserve">in respect of an </w:t>
      </w:r>
      <w:r w:rsidR="00583E1A" w:rsidRPr="00583E1A">
        <w:rPr>
          <w:position w:val="6"/>
          <w:sz w:val="16"/>
        </w:rPr>
        <w:t>*</w:t>
      </w:r>
      <w:r w:rsidRPr="00583E1A">
        <w:t>RSA provider—has the meaning given by section</w:t>
      </w:r>
      <w:r w:rsidR="00583E1A">
        <w:t> </w:t>
      </w:r>
      <w:r w:rsidRPr="00583E1A">
        <w:t>295</w:t>
      </w:r>
      <w:r w:rsidR="00583E1A">
        <w:noBreakHyphen/>
      </w:r>
      <w:r w:rsidRPr="00583E1A">
        <w:t>555; or</w:t>
      </w:r>
    </w:p>
    <w:p w:rsidR="003D0418" w:rsidRPr="00583E1A" w:rsidRDefault="003D0418" w:rsidP="003D0418">
      <w:pPr>
        <w:pStyle w:val="paragraph"/>
      </w:pPr>
      <w:r w:rsidRPr="00583E1A">
        <w:tab/>
        <w:t>(b)</w:t>
      </w:r>
      <w:r w:rsidRPr="00583E1A">
        <w:tab/>
        <w:t xml:space="preserve">in respect of an </w:t>
      </w:r>
      <w:r w:rsidR="00583E1A" w:rsidRPr="00583E1A">
        <w:rPr>
          <w:position w:val="6"/>
          <w:sz w:val="16"/>
        </w:rPr>
        <w:t>*</w:t>
      </w:r>
      <w:r w:rsidRPr="00583E1A">
        <w:t>FHSA provider that is not an RSA provider—has the meaning given by section</w:t>
      </w:r>
      <w:r w:rsidR="00583E1A">
        <w:t> </w:t>
      </w:r>
      <w:r w:rsidRPr="00583E1A">
        <w:t>345</w:t>
      </w:r>
      <w:r w:rsidR="00583E1A">
        <w:noBreakHyphen/>
      </w:r>
      <w:r w:rsidRPr="00583E1A">
        <w:t>15.</w:t>
      </w:r>
    </w:p>
    <w:p w:rsidR="003D0545" w:rsidRPr="00583E1A" w:rsidRDefault="003D0545" w:rsidP="003D0545">
      <w:pPr>
        <w:pStyle w:val="Definition"/>
      </w:pPr>
      <w:r w:rsidRPr="00583E1A">
        <w:rPr>
          <w:b/>
          <w:i/>
        </w:rPr>
        <w:t>stapled entity</w:t>
      </w:r>
      <w:r w:rsidRPr="00583E1A">
        <w:t xml:space="preserve"> has the meaning given by section</w:t>
      </w:r>
      <w:r w:rsidR="00583E1A">
        <w:t> </w:t>
      </w:r>
      <w:r w:rsidRPr="00583E1A">
        <w:t>124</w:t>
      </w:r>
      <w:r w:rsidR="00583E1A">
        <w:noBreakHyphen/>
      </w:r>
      <w:r w:rsidRPr="00583E1A">
        <w:t>1045.</w:t>
      </w:r>
    </w:p>
    <w:p w:rsidR="00AD533E" w:rsidRPr="005E19E0" w:rsidRDefault="00AD533E" w:rsidP="00AD533E">
      <w:pPr>
        <w:pStyle w:val="Definition"/>
      </w:pPr>
      <w:r w:rsidRPr="005E19E0">
        <w:rPr>
          <w:b/>
          <w:i/>
        </w:rPr>
        <w:t xml:space="preserve">starting base asset </w:t>
      </w:r>
      <w:r w:rsidRPr="005E19E0">
        <w:t>has the meaning given by section 300</w:t>
      </w:r>
      <w:r w:rsidRPr="005E19E0">
        <w:noBreakHyphen/>
        <w:t xml:space="preserve">1 of the </w:t>
      </w:r>
      <w:r w:rsidRPr="005E19E0">
        <w:rPr>
          <w:i/>
        </w:rPr>
        <w:t>Minerals Resource Rent Tax Act 201</w:t>
      </w:r>
      <w:r>
        <w:rPr>
          <w:i/>
        </w:rPr>
        <w:t>2</w:t>
      </w:r>
      <w:r w:rsidRPr="005E19E0">
        <w:t>.</w:t>
      </w:r>
    </w:p>
    <w:p w:rsidR="00AD533E" w:rsidRPr="005E19E0" w:rsidRDefault="00AD533E" w:rsidP="00AD533E">
      <w:pPr>
        <w:pStyle w:val="Definition"/>
      </w:pPr>
      <w:r w:rsidRPr="005E19E0">
        <w:rPr>
          <w:b/>
          <w:i/>
        </w:rPr>
        <w:t xml:space="preserve">starting base return </w:t>
      </w:r>
      <w:r w:rsidRPr="005E19E0">
        <w:t>has the meaning given by section 300</w:t>
      </w:r>
      <w:r w:rsidRPr="005E19E0">
        <w:noBreakHyphen/>
        <w:t xml:space="preserve">1 of the </w:t>
      </w:r>
      <w:r w:rsidRPr="005E19E0">
        <w:rPr>
          <w:i/>
        </w:rPr>
        <w:t>Minerals Resource Rent Tax Act 201</w:t>
      </w:r>
      <w:r>
        <w:rPr>
          <w:i/>
        </w:rPr>
        <w:t>2</w:t>
      </w:r>
      <w:r w:rsidRPr="005E19E0">
        <w:t>.</w:t>
      </w:r>
    </w:p>
    <w:p w:rsidR="00887330" w:rsidRPr="00583E1A" w:rsidRDefault="00887330" w:rsidP="00887330">
      <w:pPr>
        <w:pStyle w:val="Definition"/>
      </w:pPr>
      <w:r w:rsidRPr="00583E1A">
        <w:rPr>
          <w:b/>
          <w:i/>
        </w:rPr>
        <w:lastRenderedPageBreak/>
        <w:t>starting day</w:t>
      </w:r>
      <w:r w:rsidRPr="00583E1A">
        <w:t xml:space="preserve"> has the meaning given by section</w:t>
      </w:r>
      <w:r w:rsidR="00583E1A">
        <w:t> </w:t>
      </w:r>
      <w:r w:rsidRPr="00583E1A">
        <w:t>149</w:t>
      </w:r>
      <w:r w:rsidR="00583E1A">
        <w:noBreakHyphen/>
      </w:r>
      <w:r w:rsidRPr="00583E1A">
        <w:t>60.</w:t>
      </w:r>
    </w:p>
    <w:p w:rsidR="00887330" w:rsidRPr="00583E1A" w:rsidRDefault="00887330" w:rsidP="00887330">
      <w:pPr>
        <w:pStyle w:val="Definition"/>
      </w:pPr>
      <w:r w:rsidRPr="00583E1A">
        <w:rPr>
          <w:b/>
          <w:i/>
        </w:rPr>
        <w:t>starting instalment quarter</w:t>
      </w:r>
      <w:r w:rsidRPr="00583E1A">
        <w:t xml:space="preserve"> has the meaning given by subsection 45</w:t>
      </w:r>
      <w:r w:rsidR="00583E1A">
        <w:noBreakHyphen/>
      </w:r>
      <w:r w:rsidRPr="00583E1A">
        <w:t>125(2) in Schedule</w:t>
      </w:r>
      <w:r w:rsidR="00583E1A">
        <w:t> </w:t>
      </w:r>
      <w:r w:rsidRPr="00583E1A">
        <w:t xml:space="preserve">1 to the </w:t>
      </w:r>
      <w:r w:rsidRPr="00583E1A">
        <w:rPr>
          <w:i/>
        </w:rPr>
        <w:t>Taxation Administration Act 1953</w:t>
      </w:r>
      <w:r w:rsidRPr="00583E1A">
        <w:t>.</w:t>
      </w:r>
    </w:p>
    <w:p w:rsidR="00AD533E" w:rsidRPr="005E19E0" w:rsidRDefault="00AD533E" w:rsidP="00AD533E">
      <w:pPr>
        <w:pStyle w:val="Definition"/>
      </w:pPr>
      <w:r w:rsidRPr="005E19E0">
        <w:rPr>
          <w:b/>
          <w:i/>
        </w:rPr>
        <w:t>start time</w:t>
      </w:r>
      <w:r w:rsidRPr="005E19E0">
        <w:t>:</w:t>
      </w:r>
    </w:p>
    <w:p w:rsidR="00AD533E" w:rsidRPr="005E19E0" w:rsidRDefault="00AD533E" w:rsidP="00AD533E">
      <w:pPr>
        <w:pStyle w:val="paragraph"/>
      </w:pPr>
      <w:r w:rsidRPr="005E19E0">
        <w:tab/>
        <w:t>(a)</w:t>
      </w:r>
      <w:r w:rsidRPr="005E19E0">
        <w:tab/>
        <w:t xml:space="preserve">of a </w:t>
      </w:r>
      <w:r w:rsidRPr="005E19E0">
        <w:rPr>
          <w:position w:val="6"/>
          <w:sz w:val="16"/>
        </w:rPr>
        <w:t>*</w:t>
      </w:r>
      <w:r w:rsidRPr="005E19E0">
        <w:t>depreciating asset—has the meaning given by section 40</w:t>
      </w:r>
      <w:r w:rsidRPr="005E19E0">
        <w:noBreakHyphen/>
        <w:t>60; and</w:t>
      </w:r>
    </w:p>
    <w:p w:rsidR="00AD533E" w:rsidRPr="005E19E0" w:rsidRDefault="00AD533E" w:rsidP="00AD533E">
      <w:pPr>
        <w:pStyle w:val="paragraph"/>
      </w:pPr>
      <w:r w:rsidRPr="005E19E0">
        <w:tab/>
        <w:t>(b)</w:t>
      </w:r>
      <w:r w:rsidRPr="005E19E0">
        <w:tab/>
        <w:t xml:space="preserve">of a </w:t>
      </w:r>
      <w:r w:rsidRPr="005E19E0">
        <w:rPr>
          <w:position w:val="6"/>
          <w:sz w:val="16"/>
        </w:rPr>
        <w:t>*</w:t>
      </w:r>
      <w:r w:rsidRPr="005E19E0">
        <w:t xml:space="preserve">starting base asset relating to a </w:t>
      </w:r>
      <w:r w:rsidRPr="005E19E0">
        <w:rPr>
          <w:position w:val="6"/>
          <w:sz w:val="16"/>
        </w:rPr>
        <w:t>*</w:t>
      </w:r>
      <w:r w:rsidRPr="005E19E0">
        <w:t>mining project interest—has the meaning given by section 300</w:t>
      </w:r>
      <w:r w:rsidRPr="005E19E0">
        <w:noBreakHyphen/>
        <w:t xml:space="preserve">1 of the </w:t>
      </w:r>
      <w:r w:rsidRPr="005E19E0">
        <w:rPr>
          <w:i/>
        </w:rPr>
        <w:t>Minerals Resource Rent Tax Act 201</w:t>
      </w:r>
      <w:r>
        <w:rPr>
          <w:i/>
        </w:rPr>
        <w:t>2</w:t>
      </w:r>
      <w:r w:rsidRPr="005E19E0">
        <w:t>.</w:t>
      </w:r>
    </w:p>
    <w:p w:rsidR="00175760" w:rsidRPr="00583E1A" w:rsidRDefault="00175760" w:rsidP="00175760">
      <w:pPr>
        <w:pStyle w:val="Definition"/>
      </w:pPr>
      <w:r w:rsidRPr="00583E1A">
        <w:rPr>
          <w:b/>
          <w:i/>
        </w:rPr>
        <w:t>State insurer</w:t>
      </w:r>
      <w:r w:rsidRPr="00583E1A">
        <w:t xml:space="preserve"> means a body that carries on State insurance (within the meaning of paragraph 51(xiv) of the Constitution).</w:t>
      </w:r>
    </w:p>
    <w:p w:rsidR="00887330" w:rsidRPr="00583E1A" w:rsidRDefault="00887330" w:rsidP="00887330">
      <w:pPr>
        <w:pStyle w:val="Definition"/>
      </w:pPr>
      <w:r w:rsidRPr="00583E1A">
        <w:rPr>
          <w:b/>
          <w:i/>
        </w:rPr>
        <w:t>State law</w:t>
      </w:r>
      <w:r w:rsidRPr="00583E1A">
        <w:t xml:space="preserve"> means a law of a State.</w:t>
      </w:r>
    </w:p>
    <w:p w:rsidR="00887330" w:rsidRPr="00583E1A" w:rsidRDefault="00887330" w:rsidP="00887330">
      <w:pPr>
        <w:pStyle w:val="Definition"/>
      </w:pPr>
      <w:r w:rsidRPr="00583E1A">
        <w:rPr>
          <w:b/>
          <w:i/>
        </w:rPr>
        <w:t>statutory accounting period</w:t>
      </w:r>
      <w:r w:rsidRPr="00583E1A">
        <w:t xml:space="preserve"> has the meaning given by Part</w:t>
      </w:r>
      <w:r w:rsidR="00583E1A">
        <w:t> </w:t>
      </w:r>
      <w:r w:rsidRPr="00583E1A">
        <w:t xml:space="preserve">X of the </w:t>
      </w:r>
      <w:r w:rsidRPr="00583E1A">
        <w:rPr>
          <w:i/>
        </w:rPr>
        <w:t>Income Tax Assessment Act 1936</w:t>
      </w:r>
      <w:r w:rsidRPr="00583E1A">
        <w:t>.</w:t>
      </w:r>
    </w:p>
    <w:p w:rsidR="00B41D8D" w:rsidRPr="00214FF7" w:rsidRDefault="00B41D8D" w:rsidP="00B41D8D">
      <w:pPr>
        <w:pStyle w:val="Definition"/>
      </w:pPr>
      <w:r w:rsidRPr="00214FF7">
        <w:rPr>
          <w:b/>
          <w:i/>
        </w:rPr>
        <w:t>statutory demand</w:t>
      </w:r>
      <w:r w:rsidRPr="00214FF7">
        <w:t xml:space="preserve"> has the same meaning as in the </w:t>
      </w:r>
      <w:r w:rsidRPr="00214FF7">
        <w:rPr>
          <w:i/>
        </w:rPr>
        <w:t>Corporations Act 2001</w:t>
      </w:r>
      <w:r w:rsidRPr="00214FF7">
        <w:t>.</w:t>
      </w:r>
    </w:p>
    <w:p w:rsidR="00887330" w:rsidRPr="00583E1A" w:rsidRDefault="00887330" w:rsidP="00887330">
      <w:pPr>
        <w:pStyle w:val="Definition"/>
      </w:pPr>
      <w:r w:rsidRPr="00583E1A">
        <w:rPr>
          <w:b/>
          <w:i/>
        </w:rPr>
        <w:t>statutory income</w:t>
      </w:r>
      <w:r w:rsidRPr="00583E1A">
        <w:t xml:space="preserve"> has the meaning given by section</w:t>
      </w:r>
      <w:r w:rsidR="00583E1A">
        <w:t> </w:t>
      </w:r>
      <w:r w:rsidRPr="00583E1A">
        <w:t>6</w:t>
      </w:r>
      <w:r w:rsidR="00583E1A">
        <w:noBreakHyphen/>
      </w:r>
      <w:r w:rsidRPr="00583E1A">
        <w:t>10.</w:t>
      </w:r>
    </w:p>
    <w:p w:rsidR="00887330" w:rsidRPr="00583E1A" w:rsidRDefault="00887330" w:rsidP="00887330">
      <w:pPr>
        <w:pStyle w:val="Definition"/>
      </w:pPr>
      <w:r w:rsidRPr="00583E1A">
        <w:rPr>
          <w:b/>
          <w:i/>
        </w:rPr>
        <w:t>statutory licence</w:t>
      </w:r>
      <w:r w:rsidRPr="00583E1A">
        <w:t xml:space="preserve"> has the meaning given by section</w:t>
      </w:r>
      <w:r w:rsidR="00583E1A">
        <w:t> </w:t>
      </w:r>
      <w:r w:rsidRPr="00583E1A">
        <w:t>124</w:t>
      </w:r>
      <w:r w:rsidR="00583E1A">
        <w:noBreakHyphen/>
      </w:r>
      <w:r w:rsidRPr="00583E1A">
        <w:t>140.</w:t>
      </w:r>
    </w:p>
    <w:p w:rsidR="003D6501" w:rsidRPr="0038586A" w:rsidRDefault="003D6501" w:rsidP="003D6501">
      <w:pPr>
        <w:pStyle w:val="Definition"/>
      </w:pPr>
      <w:r w:rsidRPr="0038586A">
        <w:rPr>
          <w:b/>
          <w:i/>
        </w:rPr>
        <w:t>stick entity</w:t>
      </w:r>
      <w:r w:rsidRPr="0038586A">
        <w:t>:</w:t>
      </w:r>
    </w:p>
    <w:p w:rsidR="003D6501" w:rsidRPr="0038586A" w:rsidRDefault="003D6501" w:rsidP="003D6501">
      <w:pPr>
        <w:pStyle w:val="paragraph"/>
      </w:pPr>
      <w:r w:rsidRPr="0038586A">
        <w:tab/>
        <w:t>(a)</w:t>
      </w:r>
      <w:r w:rsidRPr="0038586A">
        <w:tab/>
        <w:t xml:space="preserve">in relation to a </w:t>
      </w:r>
      <w:r w:rsidRPr="0038586A">
        <w:rPr>
          <w:position w:val="6"/>
          <w:sz w:val="16"/>
        </w:rPr>
        <w:t>*</w:t>
      </w:r>
      <w:r w:rsidRPr="0038586A">
        <w:t xml:space="preserve">consolidated group—means a </w:t>
      </w:r>
      <w:r w:rsidRPr="0038586A">
        <w:rPr>
          <w:position w:val="6"/>
          <w:sz w:val="16"/>
        </w:rPr>
        <w:t>*</w:t>
      </w:r>
      <w:r w:rsidRPr="0038586A">
        <w:t>member of the group that is:</w:t>
      </w:r>
    </w:p>
    <w:p w:rsidR="003D6501" w:rsidRPr="0038586A" w:rsidRDefault="003D6501" w:rsidP="003D6501">
      <w:pPr>
        <w:pStyle w:val="paragraphsub"/>
      </w:pPr>
      <w:r w:rsidRPr="0038586A">
        <w:tab/>
        <w:t>(i)</w:t>
      </w:r>
      <w:r w:rsidRPr="0038586A">
        <w:tab/>
        <w:t xml:space="preserve">the </w:t>
      </w:r>
      <w:r w:rsidRPr="0038586A">
        <w:rPr>
          <w:position w:val="6"/>
          <w:sz w:val="16"/>
        </w:rPr>
        <w:t>*</w:t>
      </w:r>
      <w:r w:rsidRPr="0038586A">
        <w:t>head company of the group; or</w:t>
      </w:r>
    </w:p>
    <w:p w:rsidR="003D6501" w:rsidRPr="0038586A" w:rsidRDefault="003D6501" w:rsidP="003D6501">
      <w:pPr>
        <w:pStyle w:val="paragraphsub"/>
      </w:pPr>
      <w:r w:rsidRPr="0038586A">
        <w:tab/>
        <w:t>(ii)</w:t>
      </w:r>
      <w:r w:rsidRPr="0038586A">
        <w:tab/>
        <w:t xml:space="preserve">a chosen transitional entity (within the meaning of Division 701 of the </w:t>
      </w:r>
      <w:r w:rsidRPr="0038586A">
        <w:rPr>
          <w:i/>
        </w:rPr>
        <w:t>Income Tax (Transitional Provisions) Act 1997</w:t>
      </w:r>
      <w:r w:rsidRPr="0038586A">
        <w:t>); or</w:t>
      </w:r>
    </w:p>
    <w:p w:rsidR="003D6501" w:rsidRPr="0038586A" w:rsidRDefault="003D6501" w:rsidP="003D6501">
      <w:pPr>
        <w:pStyle w:val="paragraphsub"/>
      </w:pPr>
      <w:r w:rsidRPr="0038586A">
        <w:tab/>
        <w:t>(iii)</w:t>
      </w:r>
      <w:r w:rsidRPr="0038586A">
        <w:tab/>
        <w:t>a transitional foreign</w:t>
      </w:r>
      <w:r w:rsidRPr="0038586A">
        <w:noBreakHyphen/>
        <w:t xml:space="preserve">held subsidiary (within the meaning of Division 701C of the </w:t>
      </w:r>
      <w:r w:rsidRPr="0038586A">
        <w:rPr>
          <w:i/>
        </w:rPr>
        <w:t>Income Tax (Transitional Provisions) Act 1997</w:t>
      </w:r>
      <w:r w:rsidRPr="0038586A">
        <w:t>); or</w:t>
      </w:r>
    </w:p>
    <w:p w:rsidR="003D6501" w:rsidRPr="0038586A" w:rsidRDefault="003D6501" w:rsidP="003D6501">
      <w:pPr>
        <w:pStyle w:val="paragraph"/>
      </w:pPr>
      <w:r w:rsidRPr="0038586A">
        <w:tab/>
        <w:t>(b)</w:t>
      </w:r>
      <w:r w:rsidRPr="0038586A">
        <w:tab/>
        <w:t xml:space="preserve">in relation to a </w:t>
      </w:r>
      <w:r w:rsidRPr="0038586A">
        <w:rPr>
          <w:position w:val="6"/>
          <w:sz w:val="16"/>
        </w:rPr>
        <w:t>*</w:t>
      </w:r>
      <w:r w:rsidRPr="0038586A">
        <w:t>MEC group—means a member of the group that is:</w:t>
      </w:r>
    </w:p>
    <w:p w:rsidR="003D6501" w:rsidRPr="0038586A" w:rsidRDefault="003D6501" w:rsidP="003D6501">
      <w:pPr>
        <w:pStyle w:val="paragraphsub"/>
      </w:pPr>
      <w:r w:rsidRPr="0038586A">
        <w:tab/>
        <w:t>(i)</w:t>
      </w:r>
      <w:r w:rsidRPr="0038586A">
        <w:tab/>
        <w:t>the head company of the group; or</w:t>
      </w:r>
    </w:p>
    <w:p w:rsidR="003D6501" w:rsidRPr="0038586A" w:rsidRDefault="003D6501" w:rsidP="003D6501">
      <w:pPr>
        <w:pStyle w:val="paragraphsub"/>
      </w:pPr>
      <w:r w:rsidRPr="0038586A">
        <w:lastRenderedPageBreak/>
        <w:tab/>
        <w:t>(ii)</w:t>
      </w:r>
      <w:r w:rsidRPr="0038586A">
        <w:tab/>
        <w:t xml:space="preserve">a chosen transitional entity (within the meaning of Division 701 of the </w:t>
      </w:r>
      <w:r w:rsidRPr="0038586A">
        <w:rPr>
          <w:i/>
        </w:rPr>
        <w:t>Income Tax (Transitional Provisions) Act 1997</w:t>
      </w:r>
      <w:r w:rsidRPr="0038586A">
        <w:t>); or</w:t>
      </w:r>
    </w:p>
    <w:p w:rsidR="003D6501" w:rsidRPr="0038586A" w:rsidRDefault="003D6501" w:rsidP="003D6501">
      <w:pPr>
        <w:pStyle w:val="paragraphsub"/>
      </w:pPr>
      <w:r w:rsidRPr="0038586A">
        <w:tab/>
        <w:t>(iii)</w:t>
      </w:r>
      <w:r w:rsidRPr="0038586A">
        <w:tab/>
        <w:t>a transitional foreign</w:t>
      </w:r>
      <w:r w:rsidRPr="0038586A">
        <w:noBreakHyphen/>
        <w:t xml:space="preserve">held subsidiary (within the meaning of Division 701C of the </w:t>
      </w:r>
      <w:r w:rsidRPr="0038586A">
        <w:rPr>
          <w:i/>
        </w:rPr>
        <w:t>Income Tax (Transitional Provisions) Act 1997</w:t>
      </w:r>
      <w:r w:rsidRPr="0038586A">
        <w:t>); or</w:t>
      </w:r>
    </w:p>
    <w:p w:rsidR="003D6501" w:rsidRPr="0038586A" w:rsidRDefault="003D6501" w:rsidP="003D6501">
      <w:pPr>
        <w:pStyle w:val="paragraphsub"/>
      </w:pPr>
      <w:r w:rsidRPr="0038586A">
        <w:tab/>
        <w:t>(iv)</w:t>
      </w:r>
      <w:r w:rsidRPr="0038586A">
        <w:tab/>
        <w:t xml:space="preserve">an </w:t>
      </w:r>
      <w:r w:rsidRPr="0038586A">
        <w:rPr>
          <w:position w:val="6"/>
          <w:sz w:val="16"/>
        </w:rPr>
        <w:t>*</w:t>
      </w:r>
      <w:r w:rsidRPr="0038586A">
        <w:t>eligible tier</w:t>
      </w:r>
      <w:r w:rsidRPr="0038586A">
        <w:noBreakHyphen/>
        <w:t>1 company.</w:t>
      </w:r>
    </w:p>
    <w:p w:rsidR="00887330" w:rsidRPr="00583E1A" w:rsidRDefault="00887330" w:rsidP="00887330">
      <w:pPr>
        <w:pStyle w:val="Definition"/>
      </w:pPr>
      <w:r w:rsidRPr="00583E1A">
        <w:rPr>
          <w:b/>
          <w:i/>
        </w:rPr>
        <w:t>stratum unit</w:t>
      </w:r>
      <w:r w:rsidRPr="00583E1A">
        <w:t xml:space="preserve"> has the meaning given by section</w:t>
      </w:r>
      <w:r w:rsidR="00583E1A">
        <w:t> </w:t>
      </w:r>
      <w:r w:rsidRPr="00583E1A">
        <w:t>124</w:t>
      </w:r>
      <w:r w:rsidR="00583E1A">
        <w:noBreakHyphen/>
      </w:r>
      <w:r w:rsidRPr="00583E1A">
        <w:t>190.</w:t>
      </w:r>
    </w:p>
    <w:p w:rsidR="00887330" w:rsidRPr="00583E1A" w:rsidRDefault="00887330" w:rsidP="00887330">
      <w:pPr>
        <w:pStyle w:val="Definition"/>
      </w:pPr>
      <w:r w:rsidRPr="00583E1A">
        <w:rPr>
          <w:b/>
          <w:i/>
        </w:rPr>
        <w:t>structured order</w:t>
      </w:r>
      <w:r w:rsidRPr="00583E1A">
        <w:rPr>
          <w:b/>
        </w:rPr>
        <w:t xml:space="preserve"> </w:t>
      </w:r>
      <w:r w:rsidRPr="00583E1A">
        <w:t>has the meaning given by section</w:t>
      </w:r>
      <w:r w:rsidR="00583E1A">
        <w:t> </w:t>
      </w:r>
      <w:r w:rsidRPr="00583E1A">
        <w:t>54</w:t>
      </w:r>
      <w:r w:rsidR="00583E1A">
        <w:noBreakHyphen/>
      </w:r>
      <w:r w:rsidRPr="00583E1A">
        <w:t>10.</w:t>
      </w:r>
    </w:p>
    <w:p w:rsidR="00887330" w:rsidRPr="00583E1A" w:rsidRDefault="00887330" w:rsidP="00887330">
      <w:pPr>
        <w:pStyle w:val="Definition"/>
      </w:pPr>
      <w:r w:rsidRPr="00583E1A">
        <w:rPr>
          <w:b/>
          <w:i/>
        </w:rPr>
        <w:t>structured settlement</w:t>
      </w:r>
      <w:r w:rsidRPr="00583E1A">
        <w:rPr>
          <w:b/>
        </w:rPr>
        <w:t xml:space="preserve"> </w:t>
      </w:r>
      <w:r w:rsidRPr="00583E1A">
        <w:t>has the meaning given by section</w:t>
      </w:r>
      <w:r w:rsidR="00583E1A">
        <w:t> </w:t>
      </w:r>
      <w:r w:rsidRPr="00583E1A">
        <w:t>54</w:t>
      </w:r>
      <w:r w:rsidR="00583E1A">
        <w:noBreakHyphen/>
      </w:r>
      <w:r w:rsidRPr="00583E1A">
        <w:t>10.</w:t>
      </w:r>
    </w:p>
    <w:p w:rsidR="00A256A1" w:rsidRPr="00583E1A" w:rsidRDefault="00A256A1" w:rsidP="008A179D">
      <w:pPr>
        <w:pStyle w:val="Definition"/>
        <w:keepNext/>
        <w:keepLines/>
      </w:pPr>
      <w:r w:rsidRPr="00583E1A">
        <w:rPr>
          <w:b/>
          <w:i/>
        </w:rPr>
        <w:t>Subdivision</w:t>
      </w:r>
      <w:r w:rsidR="00583E1A">
        <w:rPr>
          <w:b/>
          <w:i/>
        </w:rPr>
        <w:t> </w:t>
      </w:r>
      <w:r w:rsidRPr="00583E1A">
        <w:rPr>
          <w:b/>
          <w:i/>
        </w:rPr>
        <w:t>230</w:t>
      </w:r>
      <w:r w:rsidR="00583E1A">
        <w:rPr>
          <w:b/>
          <w:i/>
        </w:rPr>
        <w:noBreakHyphen/>
      </w:r>
      <w:r w:rsidRPr="00583E1A">
        <w:rPr>
          <w:b/>
          <w:i/>
        </w:rPr>
        <w:t>G assessable gain</w:t>
      </w:r>
      <w:r w:rsidRPr="00583E1A">
        <w:t xml:space="preserve"> from a </w:t>
      </w:r>
      <w:r w:rsidR="00583E1A" w:rsidRPr="00583E1A">
        <w:rPr>
          <w:position w:val="6"/>
          <w:sz w:val="16"/>
        </w:rPr>
        <w:t>*</w:t>
      </w:r>
      <w:r w:rsidRPr="00583E1A">
        <w:t>financial arrangement means an amount that is taken, as a balancing adjustment under Subdivision</w:t>
      </w:r>
      <w:r w:rsidR="00583E1A">
        <w:t> </w:t>
      </w:r>
      <w:r w:rsidRPr="00583E1A">
        <w:t>230</w:t>
      </w:r>
      <w:r w:rsidR="00583E1A">
        <w:noBreakHyphen/>
      </w:r>
      <w:r w:rsidRPr="00583E1A">
        <w:t>G, to be a gain you make from the arrangement for the purposes of Division</w:t>
      </w:r>
      <w:r w:rsidR="00583E1A">
        <w:t> </w:t>
      </w:r>
      <w:r w:rsidRPr="00583E1A">
        <w:t>230.</w:t>
      </w:r>
    </w:p>
    <w:p w:rsidR="00A256A1" w:rsidRPr="00583E1A" w:rsidRDefault="00A256A1" w:rsidP="00A256A1">
      <w:pPr>
        <w:pStyle w:val="Definition"/>
      </w:pPr>
      <w:r w:rsidRPr="00583E1A">
        <w:rPr>
          <w:b/>
          <w:i/>
        </w:rPr>
        <w:t>Subdivision</w:t>
      </w:r>
      <w:r w:rsidR="00583E1A">
        <w:rPr>
          <w:b/>
          <w:i/>
        </w:rPr>
        <w:t> </w:t>
      </w:r>
      <w:r w:rsidRPr="00583E1A">
        <w:rPr>
          <w:b/>
          <w:i/>
        </w:rPr>
        <w:t>230</w:t>
      </w:r>
      <w:r w:rsidR="00583E1A">
        <w:rPr>
          <w:b/>
          <w:i/>
        </w:rPr>
        <w:noBreakHyphen/>
      </w:r>
      <w:r w:rsidRPr="00583E1A">
        <w:rPr>
          <w:b/>
          <w:i/>
        </w:rPr>
        <w:t>G loss</w:t>
      </w:r>
      <w:r w:rsidRPr="00583E1A">
        <w:t xml:space="preserve"> from a </w:t>
      </w:r>
      <w:r w:rsidR="00583E1A" w:rsidRPr="00583E1A">
        <w:rPr>
          <w:position w:val="6"/>
          <w:sz w:val="16"/>
        </w:rPr>
        <w:t>*</w:t>
      </w:r>
      <w:r w:rsidRPr="00583E1A">
        <w:t>financial arrangement means an amount that is taken, as a balancing adjustment under Subdivision</w:t>
      </w:r>
      <w:r w:rsidR="00583E1A">
        <w:t> </w:t>
      </w:r>
      <w:r w:rsidRPr="00583E1A">
        <w:t>230</w:t>
      </w:r>
      <w:r w:rsidR="00583E1A">
        <w:noBreakHyphen/>
      </w:r>
      <w:r w:rsidRPr="00583E1A">
        <w:t>G, to be a loss you make from the arrangement for the purposes of Division</w:t>
      </w:r>
      <w:r w:rsidR="00583E1A">
        <w:t> </w:t>
      </w:r>
      <w:r w:rsidRPr="00583E1A">
        <w:t>230.</w:t>
      </w:r>
    </w:p>
    <w:p w:rsidR="00C424D1" w:rsidRPr="00583E1A" w:rsidRDefault="00C424D1" w:rsidP="00C424D1">
      <w:pPr>
        <w:pStyle w:val="Definition"/>
      </w:pPr>
      <w:r w:rsidRPr="00583E1A">
        <w:rPr>
          <w:b/>
          <w:i/>
        </w:rPr>
        <w:t>subject to deemed loan treatment</w:t>
      </w:r>
      <w:r w:rsidRPr="00583E1A">
        <w:t xml:space="preserve">, in relation to a </w:t>
      </w:r>
      <w:r w:rsidR="00583E1A" w:rsidRPr="00583E1A">
        <w:rPr>
          <w:position w:val="6"/>
          <w:sz w:val="16"/>
        </w:rPr>
        <w:t>*</w:t>
      </w:r>
      <w:r w:rsidRPr="00583E1A">
        <w:t>financial benefit,</w:t>
      </w:r>
      <w:r w:rsidRPr="00583E1A">
        <w:rPr>
          <w:b/>
          <w:i/>
        </w:rPr>
        <w:t xml:space="preserve"> </w:t>
      </w:r>
      <w:r w:rsidRPr="00583E1A">
        <w:t>has the meaning given by section</w:t>
      </w:r>
      <w:r w:rsidR="00583E1A">
        <w:t> </w:t>
      </w:r>
      <w:r w:rsidRPr="00583E1A">
        <w:t>250</w:t>
      </w:r>
      <w:r w:rsidR="00583E1A">
        <w:noBreakHyphen/>
      </w:r>
      <w:r w:rsidRPr="00583E1A">
        <w:t>160.</w:t>
      </w:r>
    </w:p>
    <w:p w:rsidR="009A2CEE" w:rsidRPr="00214FF7" w:rsidRDefault="009A2CEE" w:rsidP="009A2CEE">
      <w:pPr>
        <w:pStyle w:val="Definition"/>
      </w:pPr>
      <w:r w:rsidRPr="00214FF7">
        <w:rPr>
          <w:b/>
          <w:i/>
        </w:rPr>
        <w:t>subject to foreign tax</w:t>
      </w:r>
      <w:r w:rsidRPr="00214FF7">
        <w:t xml:space="preserve"> has the meaning given to the expression “subject to tax” by Part X of the </w:t>
      </w:r>
      <w:r w:rsidRPr="00214FF7">
        <w:rPr>
          <w:i/>
        </w:rPr>
        <w:t>Income Tax Assessment Act 1936</w:t>
      </w:r>
      <w:r w:rsidRPr="00214FF7">
        <w:t>.</w:t>
      </w:r>
    </w:p>
    <w:p w:rsidR="00887330" w:rsidRPr="00583E1A" w:rsidRDefault="00887330" w:rsidP="00887330">
      <w:pPr>
        <w:pStyle w:val="Definition"/>
      </w:pPr>
      <w:r w:rsidRPr="00583E1A">
        <w:rPr>
          <w:b/>
          <w:i/>
        </w:rPr>
        <w:t>subordinated debt interest</w:t>
      </w:r>
      <w:r w:rsidRPr="00583E1A">
        <w:t xml:space="preserve"> means a </w:t>
      </w:r>
      <w:r w:rsidR="00583E1A" w:rsidRPr="00583E1A">
        <w:rPr>
          <w:position w:val="6"/>
          <w:sz w:val="16"/>
        </w:rPr>
        <w:t>*</w:t>
      </w:r>
      <w:r w:rsidRPr="00583E1A">
        <w:t>debt interest issued to:</w:t>
      </w:r>
    </w:p>
    <w:p w:rsidR="00887330" w:rsidRPr="00583E1A" w:rsidRDefault="00887330" w:rsidP="00887330">
      <w:pPr>
        <w:pStyle w:val="paragraph"/>
      </w:pPr>
      <w:r w:rsidRPr="00583E1A">
        <w:tab/>
        <w:t>(a)</w:t>
      </w:r>
      <w:r w:rsidRPr="00583E1A">
        <w:tab/>
        <w:t>an unsecured creditor; or</w:t>
      </w:r>
    </w:p>
    <w:p w:rsidR="00887330" w:rsidRPr="00583E1A" w:rsidRDefault="00887330" w:rsidP="00887330">
      <w:pPr>
        <w:pStyle w:val="paragraph"/>
      </w:pPr>
      <w:r w:rsidRPr="00583E1A">
        <w:tab/>
        <w:t>(b)</w:t>
      </w:r>
      <w:r w:rsidRPr="00583E1A">
        <w:tab/>
        <w:t>a secured creditor who, in the event of the liquidation of the entity issuing the interest, can only make a claim regarding that interest after the claims of other secured creditors regarding other debt interests issued by that entity have been met.</w:t>
      </w:r>
    </w:p>
    <w:p w:rsidR="00BD60AB" w:rsidRPr="00303F70" w:rsidRDefault="00BD60AB" w:rsidP="00BD60AB">
      <w:pPr>
        <w:pStyle w:val="Definition"/>
      </w:pPr>
      <w:r w:rsidRPr="00303F70">
        <w:rPr>
          <w:b/>
          <w:i/>
        </w:rPr>
        <w:t>subsidiary</w:t>
      </w:r>
      <w:r w:rsidRPr="00303F70">
        <w:t xml:space="preserve">: the question whether a company is a </w:t>
      </w:r>
      <w:r w:rsidRPr="00303F70">
        <w:rPr>
          <w:b/>
          <w:i/>
        </w:rPr>
        <w:t>subsidiary</w:t>
      </w:r>
      <w:r w:rsidRPr="00303F70">
        <w:t xml:space="preserve"> of another company is to be determined in the same way as the question whether a corporation is a subsidiary of another corporation is determined under the </w:t>
      </w:r>
      <w:r w:rsidRPr="00303F70">
        <w:rPr>
          <w:i/>
        </w:rPr>
        <w:t>Corporations Act 2001</w:t>
      </w:r>
      <w:r w:rsidRPr="00303F70">
        <w:t>.</w:t>
      </w:r>
    </w:p>
    <w:p w:rsidR="00BD60AB" w:rsidRPr="00303F70" w:rsidRDefault="00BD60AB" w:rsidP="00BD60AB">
      <w:pPr>
        <w:pStyle w:val="notetext"/>
      </w:pPr>
      <w:r w:rsidRPr="00303F70">
        <w:lastRenderedPageBreak/>
        <w:t>Note:</w:t>
      </w:r>
      <w:r w:rsidRPr="00303F70">
        <w:tab/>
        <w:t xml:space="preserve">The expression </w:t>
      </w:r>
      <w:r w:rsidRPr="00303F70">
        <w:rPr>
          <w:b/>
          <w:i/>
        </w:rPr>
        <w:t>100% subsidiary</w:t>
      </w:r>
      <w:r w:rsidRPr="00303F70">
        <w:t xml:space="preserve"> has the meaning given by section 975</w:t>
      </w:r>
      <w:r w:rsidRPr="00303F70">
        <w:noBreakHyphen/>
        <w:t>505.</w:t>
      </w:r>
    </w:p>
    <w:p w:rsidR="00887330" w:rsidRPr="00583E1A" w:rsidRDefault="00887330" w:rsidP="00887330">
      <w:pPr>
        <w:pStyle w:val="Definition"/>
      </w:pPr>
      <w:r w:rsidRPr="00583E1A">
        <w:rPr>
          <w:b/>
          <w:i/>
        </w:rPr>
        <w:t>subsidiary member</w:t>
      </w:r>
      <w:r w:rsidRPr="00583E1A">
        <w:t>:</w:t>
      </w:r>
    </w:p>
    <w:p w:rsidR="00887330" w:rsidRPr="00583E1A" w:rsidRDefault="00887330" w:rsidP="00887330">
      <w:pPr>
        <w:pStyle w:val="paragraph"/>
      </w:pPr>
      <w:r w:rsidRPr="00583E1A">
        <w:tab/>
        <w:t>(a)</w:t>
      </w:r>
      <w:r w:rsidRPr="00583E1A">
        <w:tab/>
        <w:t xml:space="preserve">of a </w:t>
      </w:r>
      <w:r w:rsidR="00583E1A" w:rsidRPr="00583E1A">
        <w:rPr>
          <w:position w:val="6"/>
          <w:sz w:val="16"/>
        </w:rPr>
        <w:t>*</w:t>
      </w:r>
      <w:r w:rsidRPr="00583E1A">
        <w:t xml:space="preserve">consolidated group or a </w:t>
      </w:r>
      <w:r w:rsidR="00583E1A" w:rsidRPr="00583E1A">
        <w:rPr>
          <w:position w:val="6"/>
          <w:sz w:val="16"/>
        </w:rPr>
        <w:t>*</w:t>
      </w:r>
      <w:r w:rsidRPr="00583E1A">
        <w:t>consolidatable group—has the meaning given by section</w:t>
      </w:r>
      <w:r w:rsidR="00583E1A">
        <w:t> </w:t>
      </w:r>
      <w:r w:rsidRPr="00583E1A">
        <w:t>703</w:t>
      </w:r>
      <w:r w:rsidR="00583E1A">
        <w:noBreakHyphen/>
      </w:r>
      <w:r w:rsidRPr="00583E1A">
        <w:t>15; and</w:t>
      </w:r>
    </w:p>
    <w:p w:rsidR="00887330" w:rsidRPr="00583E1A" w:rsidRDefault="00887330" w:rsidP="00887330">
      <w:pPr>
        <w:pStyle w:val="paragraph"/>
      </w:pPr>
      <w:r w:rsidRPr="00583E1A">
        <w:tab/>
        <w:t>(b)</w:t>
      </w:r>
      <w:r w:rsidRPr="00583E1A">
        <w:tab/>
        <w:t xml:space="preserve">of a </w:t>
      </w:r>
      <w:r w:rsidR="00583E1A" w:rsidRPr="00583E1A">
        <w:rPr>
          <w:position w:val="6"/>
          <w:sz w:val="16"/>
        </w:rPr>
        <w:t>*</w:t>
      </w:r>
      <w:r w:rsidRPr="00583E1A">
        <w:t>MEC group—has the meaning given by section</w:t>
      </w:r>
      <w:r w:rsidR="00583E1A">
        <w:t> </w:t>
      </w:r>
      <w:r w:rsidRPr="00583E1A">
        <w:t>719</w:t>
      </w:r>
      <w:r w:rsidR="00583E1A">
        <w:noBreakHyphen/>
      </w:r>
      <w:r w:rsidRPr="00583E1A">
        <w:t>25.</w:t>
      </w:r>
    </w:p>
    <w:p w:rsidR="00887330" w:rsidRPr="00583E1A" w:rsidRDefault="00887330" w:rsidP="00887330">
      <w:pPr>
        <w:pStyle w:val="Definition"/>
      </w:pPr>
      <w:r w:rsidRPr="00583E1A">
        <w:rPr>
          <w:b/>
          <w:i/>
        </w:rPr>
        <w:t xml:space="preserve">substantial continuity of ownership </w:t>
      </w:r>
      <w:r w:rsidRPr="00583E1A">
        <w:t>has the meaning given by section</w:t>
      </w:r>
      <w:r w:rsidR="00583E1A">
        <w:t> </w:t>
      </w:r>
      <w:r w:rsidRPr="00583E1A">
        <w:t>166</w:t>
      </w:r>
      <w:r w:rsidR="00583E1A">
        <w:noBreakHyphen/>
      </w:r>
      <w:r w:rsidRPr="00583E1A">
        <w:t>145.</w:t>
      </w:r>
    </w:p>
    <w:p w:rsidR="00887330" w:rsidRPr="00583E1A" w:rsidRDefault="00887330" w:rsidP="00887330">
      <w:pPr>
        <w:pStyle w:val="Definition"/>
      </w:pPr>
      <w:r w:rsidRPr="00583E1A">
        <w:rPr>
          <w:b/>
          <w:i/>
        </w:rPr>
        <w:t>substantial shareholding</w:t>
      </w:r>
      <w:r w:rsidRPr="00583E1A">
        <w:t xml:space="preserve">: see </w:t>
      </w:r>
      <w:r w:rsidRPr="00583E1A">
        <w:rPr>
          <w:b/>
          <w:i/>
        </w:rPr>
        <w:t>part of a substantial shareholding</w:t>
      </w:r>
      <w:r w:rsidRPr="00583E1A">
        <w:t>.</w:t>
      </w:r>
    </w:p>
    <w:p w:rsidR="004A2C38" w:rsidRPr="00D30D82" w:rsidRDefault="004A2C38" w:rsidP="004A2C38">
      <w:pPr>
        <w:pStyle w:val="Definition"/>
      </w:pPr>
      <w:r w:rsidRPr="00D30D82">
        <w:rPr>
          <w:b/>
          <w:i/>
        </w:rPr>
        <w:t>successor fund</w:t>
      </w:r>
      <w:r w:rsidRPr="00D30D82">
        <w:t xml:space="preserve">, in relation to a transfer of a </w:t>
      </w:r>
      <w:r w:rsidRPr="00D30D82">
        <w:rPr>
          <w:position w:val="6"/>
          <w:sz w:val="16"/>
        </w:rPr>
        <w:t>*</w:t>
      </w:r>
      <w:r w:rsidRPr="00D30D82">
        <w:t xml:space="preserve">superannuation interest of a member of a </w:t>
      </w:r>
      <w:r w:rsidRPr="00D30D82">
        <w:rPr>
          <w:position w:val="6"/>
          <w:sz w:val="16"/>
        </w:rPr>
        <w:t>*</w:t>
      </w:r>
      <w:r w:rsidRPr="00D30D82">
        <w:t xml:space="preserve">superannuation fund, or a holder of an </w:t>
      </w:r>
      <w:r w:rsidRPr="00D30D82">
        <w:rPr>
          <w:position w:val="6"/>
          <w:sz w:val="16"/>
        </w:rPr>
        <w:t>*</w:t>
      </w:r>
      <w:r w:rsidRPr="00D30D82">
        <w:t xml:space="preserve">RSA, (the </w:t>
      </w:r>
      <w:r w:rsidRPr="00D30D82">
        <w:rPr>
          <w:b/>
          <w:i/>
        </w:rPr>
        <w:t>original fund</w:t>
      </w:r>
      <w:r w:rsidRPr="00D30D82">
        <w:t>) means a superannuation fund or RSA that satisfies the following conditions:</w:t>
      </w:r>
    </w:p>
    <w:p w:rsidR="004A2C38" w:rsidRPr="00D30D82" w:rsidRDefault="004A2C38" w:rsidP="004A2C38">
      <w:pPr>
        <w:pStyle w:val="paragraph"/>
      </w:pPr>
      <w:r w:rsidRPr="00D30D82">
        <w:tab/>
        <w:t>(a)</w:t>
      </w:r>
      <w:r w:rsidRPr="00D30D82">
        <w:tab/>
        <w:t>the fund or RSA confers on the member or holder equivalent rights to the rights that the member or holder had under the original fund in respect of the interest;</w:t>
      </w:r>
    </w:p>
    <w:p w:rsidR="004A2C38" w:rsidRPr="00D30D82" w:rsidRDefault="004A2C38" w:rsidP="004A2C38">
      <w:pPr>
        <w:pStyle w:val="paragraph"/>
      </w:pPr>
      <w:r w:rsidRPr="00D30D82">
        <w:tab/>
        <w:t>(b)</w:t>
      </w:r>
      <w:r w:rsidRPr="00D30D82">
        <w:tab/>
        <w:t xml:space="preserve">before the transfer, the </w:t>
      </w:r>
      <w:r w:rsidRPr="00D30D82">
        <w:rPr>
          <w:position w:val="6"/>
          <w:sz w:val="16"/>
        </w:rPr>
        <w:t>*</w:t>
      </w:r>
      <w:r w:rsidRPr="00D30D82">
        <w:t>superannuation provider of the fund or RSA has agreed with the superannuation provider of the original fund that the fund or RSA will confer on the member or holder equivalent rights to the rights that the member or holder had under the original fund in respect of the interest.</w:t>
      </w:r>
    </w:p>
    <w:p w:rsidR="000702BE" w:rsidRPr="00583E1A" w:rsidRDefault="000702BE" w:rsidP="000702BE">
      <w:pPr>
        <w:pStyle w:val="Definition"/>
      </w:pPr>
      <w:r w:rsidRPr="00583E1A">
        <w:rPr>
          <w:b/>
          <w:i/>
        </w:rPr>
        <w:t xml:space="preserve">superannuation annuity </w:t>
      </w:r>
      <w:r w:rsidRPr="00583E1A">
        <w:t>has the meaning given by the regulations.</w:t>
      </w:r>
    </w:p>
    <w:p w:rsidR="000702BE" w:rsidRPr="00583E1A" w:rsidRDefault="000702BE" w:rsidP="000702BE">
      <w:pPr>
        <w:pStyle w:val="Definition"/>
      </w:pPr>
      <w:r w:rsidRPr="00583E1A">
        <w:rPr>
          <w:b/>
          <w:i/>
        </w:rPr>
        <w:t>superannuation annuity payment</w:t>
      </w:r>
      <w:r w:rsidRPr="00583E1A">
        <w:rPr>
          <w:b/>
        </w:rPr>
        <w:t xml:space="preserve"> </w:t>
      </w:r>
      <w:r w:rsidRPr="00583E1A">
        <w:t>has the meaning given by section</w:t>
      </w:r>
      <w:r w:rsidR="00583E1A">
        <w:t> </w:t>
      </w:r>
      <w:r w:rsidRPr="00583E1A">
        <w:t>307</w:t>
      </w:r>
      <w:r w:rsidR="00583E1A">
        <w:noBreakHyphen/>
      </w:r>
      <w:r w:rsidRPr="00583E1A">
        <w:t>5.</w:t>
      </w:r>
    </w:p>
    <w:p w:rsidR="006C39A6" w:rsidRPr="00583E1A" w:rsidRDefault="006C39A6" w:rsidP="000A522F">
      <w:pPr>
        <w:pStyle w:val="Definition"/>
        <w:keepNext/>
        <w:keepLines/>
      </w:pPr>
      <w:r w:rsidRPr="00583E1A">
        <w:rPr>
          <w:b/>
          <w:i/>
        </w:rPr>
        <w:t>superannuation benefit</w:t>
      </w:r>
      <w:r w:rsidRPr="00583E1A">
        <w:rPr>
          <w:i/>
        </w:rPr>
        <w:t xml:space="preserve"> </w:t>
      </w:r>
      <w:r w:rsidRPr="00583E1A">
        <w:t>has the meaning given by section</w:t>
      </w:r>
      <w:r w:rsidR="00583E1A">
        <w:t> </w:t>
      </w:r>
      <w:r w:rsidRPr="00583E1A">
        <w:t>307</w:t>
      </w:r>
      <w:r w:rsidR="00583E1A">
        <w:noBreakHyphen/>
      </w:r>
      <w:r w:rsidRPr="00583E1A">
        <w:t>5.</w:t>
      </w:r>
    </w:p>
    <w:p w:rsidR="006C39A6" w:rsidRPr="00583E1A" w:rsidRDefault="006C39A6" w:rsidP="006C39A6">
      <w:pPr>
        <w:pStyle w:val="notetext"/>
      </w:pPr>
      <w:r w:rsidRPr="00583E1A">
        <w:t>Note:</w:t>
      </w:r>
      <w:r w:rsidRPr="00583E1A">
        <w:tab/>
        <w:t>Sections</w:t>
      </w:r>
      <w:r w:rsidR="00583E1A">
        <w:t> </w:t>
      </w:r>
      <w:r w:rsidRPr="00583E1A">
        <w:t>307</w:t>
      </w:r>
      <w:r w:rsidR="00583E1A">
        <w:noBreakHyphen/>
      </w:r>
      <w:r w:rsidRPr="00583E1A">
        <w:t>10 and 307</w:t>
      </w:r>
      <w:r w:rsidR="00583E1A">
        <w:noBreakHyphen/>
      </w:r>
      <w:r w:rsidRPr="00583E1A">
        <w:t xml:space="preserve">15 affect the meaning of </w:t>
      </w:r>
      <w:r w:rsidRPr="00583E1A">
        <w:rPr>
          <w:b/>
          <w:i/>
        </w:rPr>
        <w:t>superannuation benefit</w:t>
      </w:r>
      <w:r w:rsidRPr="00583E1A">
        <w:t>.</w:t>
      </w:r>
    </w:p>
    <w:p w:rsidR="006C39A6" w:rsidRPr="00583E1A" w:rsidRDefault="006C39A6" w:rsidP="006C39A6">
      <w:pPr>
        <w:pStyle w:val="Definition"/>
      </w:pPr>
      <w:r w:rsidRPr="00583E1A">
        <w:rPr>
          <w:b/>
          <w:i/>
        </w:rPr>
        <w:t>superannuation co</w:t>
      </w:r>
      <w:r w:rsidR="00583E1A">
        <w:rPr>
          <w:b/>
          <w:i/>
        </w:rPr>
        <w:noBreakHyphen/>
      </w:r>
      <w:r w:rsidRPr="00583E1A">
        <w:rPr>
          <w:b/>
          <w:i/>
        </w:rPr>
        <w:t>contribution benefit payment</w:t>
      </w:r>
      <w:r w:rsidRPr="00583E1A">
        <w:t xml:space="preserve"> has the meaning given by section</w:t>
      </w:r>
      <w:r w:rsidR="00583E1A">
        <w:t> </w:t>
      </w:r>
      <w:r w:rsidRPr="00583E1A">
        <w:t>307</w:t>
      </w:r>
      <w:r w:rsidR="00583E1A">
        <w:noBreakHyphen/>
      </w:r>
      <w:r w:rsidRPr="00583E1A">
        <w:t>5.</w:t>
      </w:r>
    </w:p>
    <w:p w:rsidR="006C39A6" w:rsidRPr="00583E1A" w:rsidRDefault="006C39A6" w:rsidP="006C39A6">
      <w:pPr>
        <w:pStyle w:val="Definition"/>
      </w:pPr>
      <w:r w:rsidRPr="00583E1A">
        <w:rPr>
          <w:b/>
          <w:i/>
        </w:rPr>
        <w:t xml:space="preserve">superannuation death benefit </w:t>
      </w:r>
      <w:r w:rsidRPr="00583E1A">
        <w:t>has the meaning given by section</w:t>
      </w:r>
      <w:r w:rsidR="00583E1A">
        <w:t> </w:t>
      </w:r>
      <w:r w:rsidRPr="00583E1A">
        <w:t>307</w:t>
      </w:r>
      <w:r w:rsidR="00583E1A">
        <w:noBreakHyphen/>
      </w:r>
      <w:r w:rsidRPr="00583E1A">
        <w:t>5.</w:t>
      </w:r>
    </w:p>
    <w:p w:rsidR="00887330" w:rsidRPr="00583E1A" w:rsidRDefault="00887330" w:rsidP="00887330">
      <w:pPr>
        <w:pStyle w:val="Definition"/>
        <w:rPr>
          <w:b/>
          <w:i/>
        </w:rPr>
      </w:pPr>
      <w:r w:rsidRPr="00583E1A">
        <w:rPr>
          <w:b/>
          <w:i/>
        </w:rPr>
        <w:lastRenderedPageBreak/>
        <w:t xml:space="preserve">superannuation fund </w:t>
      </w:r>
      <w:r w:rsidRPr="00583E1A">
        <w:t>has the meaning given by section</w:t>
      </w:r>
      <w:r w:rsidR="00583E1A">
        <w:t> </w:t>
      </w:r>
      <w:r w:rsidRPr="00583E1A">
        <w:t xml:space="preserve">10 of the </w:t>
      </w:r>
      <w:r w:rsidRPr="00583E1A">
        <w:rPr>
          <w:i/>
        </w:rPr>
        <w:t>Superannuation Industry (Supervision) Act 1993</w:t>
      </w:r>
      <w:r w:rsidRPr="00583E1A">
        <w:t>.</w:t>
      </w:r>
      <w:r w:rsidRPr="00583E1A">
        <w:rPr>
          <w:b/>
          <w:i/>
        </w:rPr>
        <w:t xml:space="preserve"> </w:t>
      </w:r>
    </w:p>
    <w:p w:rsidR="006C39A6" w:rsidRPr="00583E1A" w:rsidRDefault="006C39A6" w:rsidP="006C39A6">
      <w:pPr>
        <w:pStyle w:val="Definition"/>
      </w:pPr>
      <w:r w:rsidRPr="00583E1A">
        <w:rPr>
          <w:b/>
          <w:i/>
        </w:rPr>
        <w:t>superannuation fund for foreign residents</w:t>
      </w:r>
      <w:r w:rsidRPr="00583E1A">
        <w:t xml:space="preserve"> has the meaning given by section</w:t>
      </w:r>
      <w:r w:rsidR="00583E1A">
        <w:t> </w:t>
      </w:r>
      <w:r w:rsidRPr="00583E1A">
        <w:t>118</w:t>
      </w:r>
      <w:r w:rsidR="00583E1A">
        <w:noBreakHyphen/>
      </w:r>
      <w:r w:rsidRPr="00583E1A">
        <w:t>520.</w:t>
      </w:r>
    </w:p>
    <w:p w:rsidR="006C39A6" w:rsidRPr="00583E1A" w:rsidRDefault="006C39A6" w:rsidP="006C39A6">
      <w:pPr>
        <w:pStyle w:val="Definition"/>
      </w:pPr>
      <w:r w:rsidRPr="00583E1A">
        <w:rPr>
          <w:b/>
          <w:i/>
        </w:rPr>
        <w:t>superannuation fund payment</w:t>
      </w:r>
      <w:r w:rsidRPr="00583E1A">
        <w:t xml:space="preserve"> has the meaning given by section</w:t>
      </w:r>
      <w:r w:rsidR="00583E1A">
        <w:t> </w:t>
      </w:r>
      <w:r w:rsidRPr="00583E1A">
        <w:t>307</w:t>
      </w:r>
      <w:r w:rsidR="00583E1A">
        <w:noBreakHyphen/>
      </w:r>
      <w:r w:rsidRPr="00583E1A">
        <w:t>5.</w:t>
      </w:r>
    </w:p>
    <w:p w:rsidR="006C39A6" w:rsidRPr="00583E1A" w:rsidRDefault="006C39A6" w:rsidP="006C39A6">
      <w:pPr>
        <w:pStyle w:val="Definition"/>
      </w:pPr>
      <w:r w:rsidRPr="00583E1A">
        <w:rPr>
          <w:b/>
          <w:i/>
        </w:rPr>
        <w:t>superannuation guarantee payment</w:t>
      </w:r>
      <w:r w:rsidRPr="00583E1A">
        <w:t xml:space="preserve"> has the meaning given by section</w:t>
      </w:r>
      <w:r w:rsidR="00583E1A">
        <w:t> </w:t>
      </w:r>
      <w:r w:rsidRPr="00583E1A">
        <w:t>307</w:t>
      </w:r>
      <w:r w:rsidR="00583E1A">
        <w:noBreakHyphen/>
      </w:r>
      <w:r w:rsidRPr="00583E1A">
        <w:t>5.</w:t>
      </w:r>
    </w:p>
    <w:p w:rsidR="006C39A6" w:rsidRPr="00583E1A" w:rsidRDefault="006C39A6" w:rsidP="006C39A6">
      <w:pPr>
        <w:pStyle w:val="Definition"/>
      </w:pPr>
      <w:r w:rsidRPr="00583E1A">
        <w:rPr>
          <w:b/>
          <w:i/>
        </w:rPr>
        <w:t>superannuation income stream</w:t>
      </w:r>
      <w:r w:rsidRPr="00583E1A">
        <w:t xml:space="preserve"> has the meaning given by section</w:t>
      </w:r>
      <w:r w:rsidR="00583E1A">
        <w:t> </w:t>
      </w:r>
      <w:r w:rsidRPr="00583E1A">
        <w:t>307</w:t>
      </w:r>
      <w:r w:rsidR="00583E1A">
        <w:noBreakHyphen/>
      </w:r>
      <w:r w:rsidRPr="00583E1A">
        <w:t>70.</w:t>
      </w:r>
    </w:p>
    <w:p w:rsidR="006C39A6" w:rsidRPr="00583E1A" w:rsidRDefault="006C39A6" w:rsidP="006C39A6">
      <w:pPr>
        <w:pStyle w:val="Definition"/>
        <w:rPr>
          <w:b/>
          <w:i/>
        </w:rPr>
      </w:pPr>
      <w:r w:rsidRPr="00583E1A">
        <w:rPr>
          <w:b/>
          <w:i/>
        </w:rPr>
        <w:t>superannuation income stream benefit</w:t>
      </w:r>
      <w:r w:rsidRPr="00583E1A">
        <w:t xml:space="preserve"> has the meaning given by section</w:t>
      </w:r>
      <w:r w:rsidR="00583E1A">
        <w:t> </w:t>
      </w:r>
      <w:r w:rsidRPr="00583E1A">
        <w:t>307</w:t>
      </w:r>
      <w:r w:rsidR="00583E1A">
        <w:noBreakHyphen/>
      </w:r>
      <w:r w:rsidRPr="00583E1A">
        <w:t>70.</w:t>
      </w:r>
    </w:p>
    <w:p w:rsidR="006C39A6" w:rsidRPr="00583E1A" w:rsidRDefault="006C39A6" w:rsidP="00E31645">
      <w:pPr>
        <w:pStyle w:val="Definition"/>
        <w:keepNext/>
      </w:pPr>
      <w:r w:rsidRPr="00583E1A">
        <w:rPr>
          <w:b/>
          <w:i/>
        </w:rPr>
        <w:t>superannuation interest</w:t>
      </w:r>
      <w:r w:rsidRPr="00583E1A">
        <w:t xml:space="preserve"> means:</w:t>
      </w:r>
    </w:p>
    <w:p w:rsidR="006C39A6" w:rsidRPr="00583E1A" w:rsidRDefault="006C39A6" w:rsidP="006C39A6">
      <w:pPr>
        <w:pStyle w:val="paragraph"/>
      </w:pPr>
      <w:r w:rsidRPr="00583E1A">
        <w:tab/>
        <w:t>(a)</w:t>
      </w:r>
      <w:r w:rsidRPr="00583E1A">
        <w:tab/>
        <w:t xml:space="preserve">an interest in a </w:t>
      </w:r>
      <w:r w:rsidR="00583E1A" w:rsidRPr="00583E1A">
        <w:rPr>
          <w:position w:val="6"/>
          <w:sz w:val="16"/>
        </w:rPr>
        <w:t>*</w:t>
      </w:r>
      <w:r w:rsidRPr="00583E1A">
        <w:t>superannuation fund; or</w:t>
      </w:r>
    </w:p>
    <w:p w:rsidR="006C39A6" w:rsidRPr="00583E1A" w:rsidRDefault="006C39A6" w:rsidP="006C39A6">
      <w:pPr>
        <w:pStyle w:val="paragraph"/>
      </w:pPr>
      <w:r w:rsidRPr="00583E1A">
        <w:tab/>
        <w:t>(b)</w:t>
      </w:r>
      <w:r w:rsidRPr="00583E1A">
        <w:tab/>
        <w:t xml:space="preserve">an interest in an </w:t>
      </w:r>
      <w:r w:rsidR="00583E1A" w:rsidRPr="00583E1A">
        <w:rPr>
          <w:position w:val="6"/>
          <w:sz w:val="16"/>
        </w:rPr>
        <w:t>*</w:t>
      </w:r>
      <w:r w:rsidRPr="00583E1A">
        <w:t>approved deposit fund; or</w:t>
      </w:r>
    </w:p>
    <w:p w:rsidR="006C39A6" w:rsidRPr="00583E1A" w:rsidRDefault="006C39A6" w:rsidP="006C39A6">
      <w:pPr>
        <w:pStyle w:val="paragraph"/>
      </w:pPr>
      <w:r w:rsidRPr="00583E1A">
        <w:tab/>
        <w:t>(c)</w:t>
      </w:r>
      <w:r w:rsidRPr="00583E1A">
        <w:tab/>
        <w:t xml:space="preserve">an </w:t>
      </w:r>
      <w:r w:rsidR="00583E1A" w:rsidRPr="00583E1A">
        <w:rPr>
          <w:position w:val="6"/>
          <w:sz w:val="16"/>
        </w:rPr>
        <w:t>*</w:t>
      </w:r>
      <w:r w:rsidRPr="00583E1A">
        <w:t>RSA; or</w:t>
      </w:r>
    </w:p>
    <w:p w:rsidR="006C39A6" w:rsidRPr="00583E1A" w:rsidRDefault="006C39A6" w:rsidP="006C39A6">
      <w:pPr>
        <w:pStyle w:val="paragraph"/>
      </w:pPr>
      <w:r w:rsidRPr="00583E1A">
        <w:tab/>
        <w:t>(d)</w:t>
      </w:r>
      <w:r w:rsidRPr="00583E1A">
        <w:tab/>
        <w:t xml:space="preserve">an interest in a </w:t>
      </w:r>
      <w:r w:rsidR="00583E1A" w:rsidRPr="00583E1A">
        <w:rPr>
          <w:position w:val="6"/>
          <w:sz w:val="16"/>
        </w:rPr>
        <w:t>*</w:t>
      </w:r>
      <w:r w:rsidRPr="00583E1A">
        <w:t>superannuation annuity.</w:t>
      </w:r>
    </w:p>
    <w:p w:rsidR="006C39A6" w:rsidRPr="00583E1A" w:rsidRDefault="006C39A6" w:rsidP="006C39A6">
      <w:pPr>
        <w:pStyle w:val="notetext"/>
      </w:pPr>
      <w:r w:rsidRPr="00583E1A">
        <w:t>Note:</w:t>
      </w:r>
      <w:r w:rsidRPr="00583E1A">
        <w:tab/>
        <w:t xml:space="preserve">The meaning of </w:t>
      </w:r>
      <w:r w:rsidRPr="00583E1A">
        <w:rPr>
          <w:b/>
          <w:i/>
        </w:rPr>
        <w:t>superannuation interest</w:t>
      </w:r>
      <w:r w:rsidRPr="00583E1A">
        <w:t xml:space="preserve"> may be affected by regulations made for the purposes of section</w:t>
      </w:r>
      <w:r w:rsidR="00583E1A">
        <w:t> </w:t>
      </w:r>
      <w:r w:rsidRPr="00583E1A">
        <w:t>307</w:t>
      </w:r>
      <w:r w:rsidR="00583E1A">
        <w:noBreakHyphen/>
      </w:r>
      <w:r w:rsidRPr="00583E1A">
        <w:t>200.</w:t>
      </w:r>
    </w:p>
    <w:p w:rsidR="006C39A6" w:rsidRPr="00583E1A" w:rsidRDefault="006C39A6" w:rsidP="006C39A6">
      <w:pPr>
        <w:pStyle w:val="Definition"/>
      </w:pPr>
      <w:r w:rsidRPr="00583E1A">
        <w:rPr>
          <w:b/>
          <w:i/>
        </w:rPr>
        <w:t xml:space="preserve">superannuation lump sum </w:t>
      </w:r>
      <w:r w:rsidRPr="00583E1A">
        <w:t>has the meaning given by section</w:t>
      </w:r>
      <w:r w:rsidR="00583E1A">
        <w:t> </w:t>
      </w:r>
      <w:r w:rsidRPr="00583E1A">
        <w:t>307</w:t>
      </w:r>
      <w:r w:rsidR="00583E1A">
        <w:noBreakHyphen/>
      </w:r>
      <w:r w:rsidRPr="00583E1A">
        <w:t>65.</w:t>
      </w:r>
    </w:p>
    <w:p w:rsidR="006C39A6" w:rsidRPr="00583E1A" w:rsidRDefault="006C39A6" w:rsidP="006C39A6">
      <w:pPr>
        <w:pStyle w:val="Definition"/>
      </w:pPr>
      <w:r w:rsidRPr="00583E1A">
        <w:rPr>
          <w:b/>
          <w:i/>
        </w:rPr>
        <w:t>superannuation member benefit</w:t>
      </w:r>
      <w:r w:rsidRPr="00583E1A">
        <w:t xml:space="preserve"> has the meaning given by section</w:t>
      </w:r>
      <w:r w:rsidR="00583E1A">
        <w:t> </w:t>
      </w:r>
      <w:r w:rsidRPr="00583E1A">
        <w:t>307</w:t>
      </w:r>
      <w:r w:rsidR="00583E1A">
        <w:noBreakHyphen/>
      </w:r>
      <w:r w:rsidRPr="00583E1A">
        <w:t>5.</w:t>
      </w:r>
    </w:p>
    <w:p w:rsidR="006C39A6" w:rsidRPr="00583E1A" w:rsidRDefault="006C39A6" w:rsidP="000A522F">
      <w:pPr>
        <w:pStyle w:val="Definition"/>
        <w:keepNext/>
        <w:keepLines/>
      </w:pPr>
      <w:r w:rsidRPr="00583E1A">
        <w:rPr>
          <w:b/>
          <w:i/>
        </w:rPr>
        <w:t>superannuation plan</w:t>
      </w:r>
      <w:r w:rsidRPr="00583E1A">
        <w:t xml:space="preserve"> means:</w:t>
      </w:r>
    </w:p>
    <w:p w:rsidR="006C39A6" w:rsidRPr="00583E1A" w:rsidRDefault="006C39A6" w:rsidP="006C39A6">
      <w:pPr>
        <w:pStyle w:val="paragraph"/>
      </w:pPr>
      <w:r w:rsidRPr="00583E1A">
        <w:tab/>
        <w:t>(a)</w:t>
      </w:r>
      <w:r w:rsidRPr="00583E1A">
        <w:tab/>
        <w:t xml:space="preserve">a </w:t>
      </w:r>
      <w:r w:rsidR="00583E1A" w:rsidRPr="00583E1A">
        <w:rPr>
          <w:position w:val="6"/>
          <w:sz w:val="16"/>
        </w:rPr>
        <w:t>*</w:t>
      </w:r>
      <w:r w:rsidRPr="00583E1A">
        <w:t>superannuation fund; or</w:t>
      </w:r>
    </w:p>
    <w:p w:rsidR="006C39A6" w:rsidRPr="00583E1A" w:rsidRDefault="006C39A6" w:rsidP="006C39A6">
      <w:pPr>
        <w:pStyle w:val="paragraph"/>
      </w:pPr>
      <w:r w:rsidRPr="00583E1A">
        <w:tab/>
        <w:t>(b)</w:t>
      </w:r>
      <w:r w:rsidRPr="00583E1A">
        <w:tab/>
        <w:t xml:space="preserve">an </w:t>
      </w:r>
      <w:r w:rsidR="00583E1A" w:rsidRPr="00583E1A">
        <w:rPr>
          <w:position w:val="6"/>
          <w:sz w:val="16"/>
        </w:rPr>
        <w:t>*</w:t>
      </w:r>
      <w:r w:rsidRPr="00583E1A">
        <w:t>approved deposit fund; or</w:t>
      </w:r>
    </w:p>
    <w:p w:rsidR="006C39A6" w:rsidRPr="00583E1A" w:rsidRDefault="006C39A6" w:rsidP="006C39A6">
      <w:pPr>
        <w:pStyle w:val="paragraph"/>
      </w:pPr>
      <w:r w:rsidRPr="00583E1A">
        <w:tab/>
        <w:t>(c)</w:t>
      </w:r>
      <w:r w:rsidRPr="00583E1A">
        <w:tab/>
        <w:t xml:space="preserve">an </w:t>
      </w:r>
      <w:r w:rsidR="00583E1A" w:rsidRPr="00583E1A">
        <w:rPr>
          <w:position w:val="6"/>
          <w:sz w:val="16"/>
        </w:rPr>
        <w:t>*</w:t>
      </w:r>
      <w:r w:rsidRPr="00583E1A">
        <w:t>RSA.</w:t>
      </w:r>
    </w:p>
    <w:p w:rsidR="006C39A6" w:rsidRPr="00583E1A" w:rsidRDefault="006C39A6" w:rsidP="00397971">
      <w:pPr>
        <w:pStyle w:val="Definition"/>
        <w:keepNext/>
      </w:pPr>
      <w:r w:rsidRPr="00583E1A">
        <w:rPr>
          <w:b/>
          <w:i/>
        </w:rPr>
        <w:t>superannuation provider</w:t>
      </w:r>
      <w:r w:rsidRPr="00583E1A">
        <w:t xml:space="preserve">, in relation to a </w:t>
      </w:r>
      <w:r w:rsidR="00583E1A" w:rsidRPr="00583E1A">
        <w:rPr>
          <w:position w:val="6"/>
          <w:sz w:val="16"/>
        </w:rPr>
        <w:t>*</w:t>
      </w:r>
      <w:r w:rsidRPr="00583E1A">
        <w:t>superannuation plan, means:</w:t>
      </w:r>
    </w:p>
    <w:p w:rsidR="006C39A6" w:rsidRPr="00583E1A" w:rsidRDefault="006C39A6" w:rsidP="006C39A6">
      <w:pPr>
        <w:pStyle w:val="paragraph"/>
      </w:pPr>
      <w:r w:rsidRPr="00583E1A">
        <w:tab/>
        <w:t>(a)</w:t>
      </w:r>
      <w:r w:rsidRPr="00583E1A">
        <w:tab/>
        <w:t xml:space="preserve">for a </w:t>
      </w:r>
      <w:r w:rsidR="00583E1A" w:rsidRPr="00583E1A">
        <w:rPr>
          <w:position w:val="6"/>
          <w:sz w:val="16"/>
        </w:rPr>
        <w:t>*</w:t>
      </w:r>
      <w:r w:rsidRPr="00583E1A">
        <w:t>superannuation fund—the trustee of the fund; or</w:t>
      </w:r>
    </w:p>
    <w:p w:rsidR="006C39A6" w:rsidRPr="00583E1A" w:rsidRDefault="006C39A6" w:rsidP="006C39A6">
      <w:pPr>
        <w:pStyle w:val="paragraph"/>
      </w:pPr>
      <w:r w:rsidRPr="00583E1A">
        <w:tab/>
        <w:t>(b)</w:t>
      </w:r>
      <w:r w:rsidRPr="00583E1A">
        <w:tab/>
        <w:t xml:space="preserve">for an </w:t>
      </w:r>
      <w:r w:rsidR="00583E1A" w:rsidRPr="00583E1A">
        <w:rPr>
          <w:position w:val="6"/>
          <w:sz w:val="16"/>
        </w:rPr>
        <w:t>*</w:t>
      </w:r>
      <w:r w:rsidRPr="00583E1A">
        <w:t>approved deposit fund—the trustee of the fund; or</w:t>
      </w:r>
    </w:p>
    <w:p w:rsidR="006C39A6" w:rsidRPr="00583E1A" w:rsidRDefault="006C39A6" w:rsidP="006C39A6">
      <w:pPr>
        <w:pStyle w:val="paragraph"/>
      </w:pPr>
      <w:r w:rsidRPr="00583E1A">
        <w:lastRenderedPageBreak/>
        <w:tab/>
        <w:t>(c)</w:t>
      </w:r>
      <w:r w:rsidRPr="00583E1A">
        <w:tab/>
        <w:t xml:space="preserve">for an </w:t>
      </w:r>
      <w:r w:rsidR="00583E1A" w:rsidRPr="00583E1A">
        <w:rPr>
          <w:position w:val="6"/>
          <w:sz w:val="16"/>
        </w:rPr>
        <w:t>*</w:t>
      </w:r>
      <w:r w:rsidRPr="00583E1A">
        <w:t xml:space="preserve">RSA—the </w:t>
      </w:r>
      <w:r w:rsidR="00583E1A" w:rsidRPr="00583E1A">
        <w:rPr>
          <w:position w:val="6"/>
          <w:sz w:val="16"/>
        </w:rPr>
        <w:t>*</w:t>
      </w:r>
      <w:r w:rsidRPr="00583E1A">
        <w:t>RSA provider.</w:t>
      </w:r>
    </w:p>
    <w:p w:rsidR="00887330" w:rsidRPr="00583E1A" w:rsidRDefault="00887330" w:rsidP="006F7679">
      <w:pPr>
        <w:pStyle w:val="Definition"/>
      </w:pPr>
      <w:r w:rsidRPr="00583E1A">
        <w:rPr>
          <w:b/>
          <w:i/>
        </w:rPr>
        <w:t>supplementary amount</w:t>
      </w:r>
      <w:r w:rsidRPr="00583E1A">
        <w:t xml:space="preserve"> of a payment is defined as set out in this table:</w:t>
      </w:r>
    </w:p>
    <w:p w:rsidR="00887330" w:rsidRPr="00583E1A" w:rsidRDefault="00887330" w:rsidP="006F7679">
      <w:pPr>
        <w:pStyle w:val="Tabletext"/>
        <w:keepNext/>
      </w:pPr>
    </w:p>
    <w:tbl>
      <w:tblPr>
        <w:tblW w:w="0" w:type="auto"/>
        <w:tblInd w:w="1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709"/>
        <w:gridCol w:w="3402"/>
        <w:gridCol w:w="1843"/>
      </w:tblGrid>
      <w:tr w:rsidR="00887330" w:rsidRPr="00583E1A">
        <w:trPr>
          <w:cantSplit/>
          <w:tblHeader/>
        </w:trPr>
        <w:tc>
          <w:tcPr>
            <w:tcW w:w="5954" w:type="dxa"/>
            <w:gridSpan w:val="3"/>
            <w:tcBorders>
              <w:top w:val="single" w:sz="12" w:space="0" w:color="auto"/>
              <w:left w:val="nil"/>
              <w:bottom w:val="nil"/>
              <w:right w:val="nil"/>
            </w:tcBorders>
          </w:tcPr>
          <w:p w:rsidR="00887330" w:rsidRPr="00583E1A" w:rsidRDefault="00887330" w:rsidP="006F7679">
            <w:pPr>
              <w:pStyle w:val="Tabletext"/>
              <w:keepNext/>
            </w:pPr>
            <w:r w:rsidRPr="00583E1A">
              <w:rPr>
                <w:b/>
              </w:rPr>
              <w:t>Supplementary amount of a payment</w:t>
            </w:r>
          </w:p>
        </w:tc>
      </w:tr>
      <w:tr w:rsidR="00887330" w:rsidRPr="00583E1A">
        <w:trPr>
          <w:cantSplit/>
          <w:tblHeader/>
        </w:trPr>
        <w:tc>
          <w:tcPr>
            <w:tcW w:w="709" w:type="dxa"/>
            <w:tcBorders>
              <w:top w:val="single" w:sz="6" w:space="0" w:color="auto"/>
              <w:left w:val="nil"/>
              <w:bottom w:val="single" w:sz="12" w:space="0" w:color="auto"/>
              <w:right w:val="nil"/>
            </w:tcBorders>
          </w:tcPr>
          <w:p w:rsidR="00887330" w:rsidRPr="00583E1A" w:rsidRDefault="00887330" w:rsidP="00887330">
            <w:pPr>
              <w:pStyle w:val="Tabletext"/>
            </w:pPr>
            <w:r w:rsidRPr="00583E1A">
              <w:rPr>
                <w:b/>
              </w:rPr>
              <w:t>Item</w:t>
            </w:r>
          </w:p>
        </w:tc>
        <w:tc>
          <w:tcPr>
            <w:tcW w:w="3402" w:type="dxa"/>
            <w:tcBorders>
              <w:top w:val="single" w:sz="6" w:space="0" w:color="auto"/>
              <w:left w:val="nil"/>
              <w:bottom w:val="single" w:sz="12" w:space="0" w:color="auto"/>
              <w:right w:val="nil"/>
            </w:tcBorders>
          </w:tcPr>
          <w:p w:rsidR="00887330" w:rsidRPr="00583E1A" w:rsidRDefault="00887330" w:rsidP="00887330">
            <w:pPr>
              <w:pStyle w:val="Tabletext"/>
            </w:pPr>
            <w:r w:rsidRPr="00583E1A">
              <w:rPr>
                <w:b/>
                <w:i/>
              </w:rPr>
              <w:t xml:space="preserve">Supplementary amount </w:t>
            </w:r>
            <w:r w:rsidRPr="00583E1A">
              <w:rPr>
                <w:b/>
              </w:rPr>
              <w:t>of this kind of payment:</w:t>
            </w:r>
          </w:p>
        </w:tc>
        <w:tc>
          <w:tcPr>
            <w:tcW w:w="1843" w:type="dxa"/>
            <w:tcBorders>
              <w:top w:val="single" w:sz="6" w:space="0" w:color="auto"/>
              <w:left w:val="nil"/>
              <w:bottom w:val="single" w:sz="12" w:space="0" w:color="auto"/>
              <w:right w:val="nil"/>
            </w:tcBorders>
          </w:tcPr>
          <w:p w:rsidR="00887330" w:rsidRPr="00583E1A" w:rsidRDefault="00887330" w:rsidP="00887330">
            <w:pPr>
              <w:pStyle w:val="Tabletext"/>
            </w:pPr>
            <w:r w:rsidRPr="00583E1A">
              <w:rPr>
                <w:b/>
              </w:rPr>
              <w:t>has the meaning given by:</w:t>
            </w:r>
          </w:p>
        </w:tc>
      </w:tr>
      <w:tr w:rsidR="00887330" w:rsidRPr="00583E1A">
        <w:trPr>
          <w:cantSplit/>
        </w:trPr>
        <w:tc>
          <w:tcPr>
            <w:tcW w:w="709" w:type="dxa"/>
            <w:tcBorders>
              <w:top w:val="single" w:sz="12" w:space="0" w:color="auto"/>
              <w:left w:val="nil"/>
              <w:bottom w:val="single" w:sz="2" w:space="0" w:color="auto"/>
              <w:right w:val="nil"/>
            </w:tcBorders>
            <w:shd w:val="clear" w:color="auto" w:fill="auto"/>
          </w:tcPr>
          <w:p w:rsidR="00887330" w:rsidRPr="00583E1A" w:rsidRDefault="00887330" w:rsidP="00887330">
            <w:pPr>
              <w:pStyle w:val="Tabletext"/>
            </w:pPr>
            <w:r w:rsidRPr="00583E1A">
              <w:t>1</w:t>
            </w:r>
          </w:p>
        </w:tc>
        <w:tc>
          <w:tcPr>
            <w:tcW w:w="3402" w:type="dxa"/>
            <w:tcBorders>
              <w:top w:val="single" w:sz="12" w:space="0" w:color="auto"/>
              <w:left w:val="nil"/>
              <w:bottom w:val="single" w:sz="2" w:space="0" w:color="auto"/>
              <w:right w:val="nil"/>
            </w:tcBorders>
            <w:shd w:val="clear" w:color="auto" w:fill="auto"/>
          </w:tcPr>
          <w:p w:rsidR="00887330" w:rsidRPr="00583E1A" w:rsidRDefault="00887330" w:rsidP="00887330">
            <w:pPr>
              <w:pStyle w:val="Tabletext"/>
            </w:pPr>
            <w:r w:rsidRPr="00583E1A">
              <w:t>Commonwealth education or training payment</w:t>
            </w:r>
          </w:p>
        </w:tc>
        <w:tc>
          <w:tcPr>
            <w:tcW w:w="1843" w:type="dxa"/>
            <w:tcBorders>
              <w:top w:val="single" w:sz="12" w:space="0" w:color="auto"/>
              <w:left w:val="nil"/>
              <w:bottom w:val="single" w:sz="2" w:space="0" w:color="auto"/>
              <w:right w:val="nil"/>
            </w:tcBorders>
            <w:shd w:val="clear" w:color="auto" w:fill="auto"/>
          </w:tcPr>
          <w:p w:rsidR="00887330" w:rsidRPr="00583E1A" w:rsidRDefault="00887330" w:rsidP="00887330">
            <w:pPr>
              <w:pStyle w:val="Tabletext"/>
            </w:pPr>
            <w:r w:rsidRPr="00583E1A">
              <w:t>section</w:t>
            </w:r>
            <w:r w:rsidR="00583E1A">
              <w:t> </w:t>
            </w:r>
            <w:r w:rsidRPr="00583E1A">
              <w:t>52</w:t>
            </w:r>
            <w:r w:rsidR="00583E1A">
              <w:noBreakHyphen/>
            </w:r>
            <w:r w:rsidRPr="00583E1A">
              <w:t>140</w:t>
            </w:r>
          </w:p>
        </w:tc>
      </w:tr>
      <w:tr w:rsidR="00887330" w:rsidRPr="00583E1A">
        <w:trPr>
          <w:cantSplit/>
        </w:trPr>
        <w:tc>
          <w:tcPr>
            <w:tcW w:w="709" w:type="dxa"/>
            <w:tcBorders>
              <w:top w:val="single" w:sz="2" w:space="0" w:color="auto"/>
              <w:left w:val="nil"/>
              <w:bottom w:val="single" w:sz="2" w:space="0" w:color="auto"/>
              <w:right w:val="nil"/>
            </w:tcBorders>
            <w:shd w:val="clear" w:color="auto" w:fill="auto"/>
          </w:tcPr>
          <w:p w:rsidR="00887330" w:rsidRPr="00583E1A" w:rsidRDefault="00887330" w:rsidP="00887330">
            <w:pPr>
              <w:pStyle w:val="Tabletext"/>
            </w:pPr>
            <w:r w:rsidRPr="00583E1A">
              <w:t>2</w:t>
            </w:r>
          </w:p>
        </w:tc>
        <w:tc>
          <w:tcPr>
            <w:tcW w:w="3402" w:type="dxa"/>
            <w:tcBorders>
              <w:top w:val="single" w:sz="2" w:space="0" w:color="auto"/>
              <w:left w:val="nil"/>
              <w:bottom w:val="single" w:sz="2" w:space="0" w:color="auto"/>
              <w:right w:val="nil"/>
            </w:tcBorders>
            <w:shd w:val="clear" w:color="auto" w:fill="auto"/>
          </w:tcPr>
          <w:p w:rsidR="00887330" w:rsidRPr="00583E1A" w:rsidRDefault="00887330" w:rsidP="00887330">
            <w:pPr>
              <w:pStyle w:val="Tabletext"/>
            </w:pPr>
            <w:r w:rsidRPr="00583E1A">
              <w:t>Exceptional circumstances relief payment, or payment of farm help income support</w:t>
            </w:r>
          </w:p>
        </w:tc>
        <w:tc>
          <w:tcPr>
            <w:tcW w:w="1843" w:type="dxa"/>
            <w:tcBorders>
              <w:top w:val="single" w:sz="2" w:space="0" w:color="auto"/>
              <w:left w:val="nil"/>
              <w:bottom w:val="single" w:sz="2" w:space="0" w:color="auto"/>
              <w:right w:val="nil"/>
            </w:tcBorders>
            <w:shd w:val="clear" w:color="auto" w:fill="auto"/>
          </w:tcPr>
          <w:p w:rsidR="00887330" w:rsidRPr="00583E1A" w:rsidRDefault="00887330" w:rsidP="00887330">
            <w:pPr>
              <w:pStyle w:val="Tabletext"/>
            </w:pPr>
            <w:r w:rsidRPr="00583E1A">
              <w:t>section</w:t>
            </w:r>
            <w:r w:rsidR="00583E1A">
              <w:t> </w:t>
            </w:r>
            <w:r w:rsidRPr="00583E1A">
              <w:t>53</w:t>
            </w:r>
            <w:r w:rsidR="00583E1A">
              <w:noBreakHyphen/>
            </w:r>
            <w:r w:rsidRPr="00583E1A">
              <w:t>15</w:t>
            </w:r>
          </w:p>
        </w:tc>
      </w:tr>
      <w:tr w:rsidR="002466F3" w:rsidRPr="00583E1A">
        <w:trPr>
          <w:cantSplit/>
        </w:trPr>
        <w:tc>
          <w:tcPr>
            <w:tcW w:w="709" w:type="dxa"/>
            <w:tcBorders>
              <w:top w:val="single" w:sz="2" w:space="0" w:color="auto"/>
              <w:left w:val="nil"/>
              <w:bottom w:val="single" w:sz="4" w:space="0" w:color="auto"/>
              <w:right w:val="nil"/>
            </w:tcBorders>
            <w:shd w:val="clear" w:color="auto" w:fill="auto"/>
          </w:tcPr>
          <w:p w:rsidR="002466F3" w:rsidRPr="00583E1A" w:rsidRDefault="002466F3" w:rsidP="002466F3">
            <w:pPr>
              <w:pStyle w:val="Tabletext"/>
            </w:pPr>
            <w:r w:rsidRPr="00583E1A">
              <w:t>2A</w:t>
            </w:r>
          </w:p>
        </w:tc>
        <w:tc>
          <w:tcPr>
            <w:tcW w:w="3402" w:type="dxa"/>
            <w:tcBorders>
              <w:top w:val="single" w:sz="2" w:space="0" w:color="auto"/>
              <w:left w:val="nil"/>
              <w:bottom w:val="single" w:sz="4" w:space="0" w:color="auto"/>
              <w:right w:val="nil"/>
            </w:tcBorders>
            <w:shd w:val="clear" w:color="auto" w:fill="auto"/>
          </w:tcPr>
          <w:p w:rsidR="002466F3" w:rsidRPr="00583E1A" w:rsidRDefault="002466F3" w:rsidP="002466F3">
            <w:pPr>
              <w:pStyle w:val="Tabletext"/>
            </w:pPr>
            <w:r w:rsidRPr="00583E1A">
              <w:t>Payment under the ABSTUDY scheme</w:t>
            </w:r>
          </w:p>
        </w:tc>
        <w:tc>
          <w:tcPr>
            <w:tcW w:w="1843" w:type="dxa"/>
            <w:tcBorders>
              <w:top w:val="single" w:sz="2" w:space="0" w:color="auto"/>
              <w:left w:val="nil"/>
              <w:bottom w:val="single" w:sz="4" w:space="0" w:color="auto"/>
              <w:right w:val="nil"/>
            </w:tcBorders>
            <w:shd w:val="clear" w:color="auto" w:fill="auto"/>
          </w:tcPr>
          <w:p w:rsidR="002466F3" w:rsidRPr="00583E1A" w:rsidRDefault="002466F3" w:rsidP="002466F3">
            <w:pPr>
              <w:pStyle w:val="Tabletext"/>
            </w:pPr>
            <w:r w:rsidRPr="00583E1A">
              <w:t>section</w:t>
            </w:r>
            <w:r w:rsidR="00583E1A">
              <w:t> </w:t>
            </w:r>
            <w:r w:rsidRPr="00583E1A">
              <w:t>52</w:t>
            </w:r>
            <w:r w:rsidR="00583E1A">
              <w:noBreakHyphen/>
            </w:r>
            <w:r w:rsidRPr="00583E1A">
              <w:t>132</w:t>
            </w:r>
          </w:p>
        </w:tc>
      </w:tr>
      <w:tr w:rsidR="00887330" w:rsidRPr="00583E1A">
        <w:trPr>
          <w:cantSplit/>
        </w:trPr>
        <w:tc>
          <w:tcPr>
            <w:tcW w:w="709" w:type="dxa"/>
            <w:tcBorders>
              <w:top w:val="single" w:sz="4" w:space="0" w:color="auto"/>
              <w:left w:val="nil"/>
              <w:bottom w:val="single" w:sz="2" w:space="0" w:color="auto"/>
              <w:right w:val="nil"/>
            </w:tcBorders>
            <w:shd w:val="clear" w:color="auto" w:fill="auto"/>
          </w:tcPr>
          <w:p w:rsidR="00887330" w:rsidRPr="00583E1A" w:rsidRDefault="00887330" w:rsidP="00887330">
            <w:pPr>
              <w:pStyle w:val="Tabletext"/>
            </w:pPr>
            <w:r w:rsidRPr="00583E1A">
              <w:t>3</w:t>
            </w:r>
          </w:p>
        </w:tc>
        <w:tc>
          <w:tcPr>
            <w:tcW w:w="3402" w:type="dxa"/>
            <w:tcBorders>
              <w:top w:val="single" w:sz="4" w:space="0" w:color="auto"/>
              <w:left w:val="nil"/>
              <w:bottom w:val="single" w:sz="2" w:space="0" w:color="auto"/>
              <w:right w:val="nil"/>
            </w:tcBorders>
            <w:shd w:val="clear" w:color="auto" w:fill="auto"/>
          </w:tcPr>
          <w:p w:rsidR="00887330" w:rsidRPr="00583E1A" w:rsidRDefault="00887330" w:rsidP="00887330">
            <w:pPr>
              <w:pStyle w:val="Tabletext"/>
            </w:pPr>
            <w:r w:rsidRPr="00583E1A">
              <w:t xml:space="preserve">Payment made because of the </w:t>
            </w:r>
            <w:r w:rsidRPr="00583E1A">
              <w:rPr>
                <w:i/>
              </w:rPr>
              <w:t>Veterans’ Entitlements (Transitional Provisions and Consequential Amendments) Act 1986</w:t>
            </w:r>
          </w:p>
        </w:tc>
        <w:tc>
          <w:tcPr>
            <w:tcW w:w="1843" w:type="dxa"/>
            <w:tcBorders>
              <w:top w:val="single" w:sz="4" w:space="0" w:color="auto"/>
              <w:left w:val="nil"/>
              <w:bottom w:val="single" w:sz="2" w:space="0" w:color="auto"/>
              <w:right w:val="nil"/>
            </w:tcBorders>
            <w:shd w:val="clear" w:color="auto" w:fill="auto"/>
          </w:tcPr>
          <w:p w:rsidR="00887330" w:rsidRPr="00583E1A" w:rsidRDefault="00887330" w:rsidP="00887330">
            <w:pPr>
              <w:pStyle w:val="Tabletext"/>
            </w:pPr>
            <w:r w:rsidRPr="00583E1A">
              <w:t>section</w:t>
            </w:r>
            <w:r w:rsidR="00583E1A">
              <w:t> </w:t>
            </w:r>
            <w:r w:rsidRPr="00583E1A">
              <w:t>52</w:t>
            </w:r>
            <w:r w:rsidR="00583E1A">
              <w:noBreakHyphen/>
            </w:r>
            <w:r w:rsidRPr="00583E1A">
              <w:t>105</w:t>
            </w:r>
          </w:p>
        </w:tc>
      </w:tr>
      <w:tr w:rsidR="00887330" w:rsidRPr="00583E1A">
        <w:trPr>
          <w:cantSplit/>
        </w:trPr>
        <w:tc>
          <w:tcPr>
            <w:tcW w:w="709" w:type="dxa"/>
            <w:tcBorders>
              <w:top w:val="single" w:sz="2" w:space="0" w:color="auto"/>
              <w:left w:val="nil"/>
              <w:bottom w:val="single" w:sz="2" w:space="0" w:color="auto"/>
              <w:right w:val="nil"/>
            </w:tcBorders>
            <w:shd w:val="clear" w:color="auto" w:fill="auto"/>
          </w:tcPr>
          <w:p w:rsidR="00887330" w:rsidRPr="00583E1A" w:rsidRDefault="00887330" w:rsidP="00887330">
            <w:pPr>
              <w:pStyle w:val="Tabletext"/>
            </w:pPr>
            <w:r w:rsidRPr="00583E1A">
              <w:t>4</w:t>
            </w:r>
          </w:p>
        </w:tc>
        <w:tc>
          <w:tcPr>
            <w:tcW w:w="3402" w:type="dxa"/>
            <w:tcBorders>
              <w:top w:val="single" w:sz="2" w:space="0" w:color="auto"/>
              <w:left w:val="nil"/>
              <w:bottom w:val="single" w:sz="2" w:space="0" w:color="auto"/>
              <w:right w:val="nil"/>
            </w:tcBorders>
            <w:shd w:val="clear" w:color="auto" w:fill="auto"/>
          </w:tcPr>
          <w:p w:rsidR="00887330" w:rsidRPr="00583E1A" w:rsidRDefault="00887330" w:rsidP="00887330">
            <w:pPr>
              <w:pStyle w:val="Tabletext"/>
            </w:pPr>
            <w:r w:rsidRPr="00583E1A">
              <w:t>Social security payment</w:t>
            </w:r>
          </w:p>
        </w:tc>
        <w:tc>
          <w:tcPr>
            <w:tcW w:w="1843" w:type="dxa"/>
            <w:tcBorders>
              <w:top w:val="single" w:sz="2" w:space="0" w:color="auto"/>
              <w:left w:val="nil"/>
              <w:bottom w:val="single" w:sz="2" w:space="0" w:color="auto"/>
              <w:right w:val="nil"/>
            </w:tcBorders>
            <w:shd w:val="clear" w:color="auto" w:fill="auto"/>
          </w:tcPr>
          <w:p w:rsidR="00887330" w:rsidRPr="00583E1A" w:rsidRDefault="00887330" w:rsidP="00887330">
            <w:pPr>
              <w:pStyle w:val="Tabletext"/>
            </w:pPr>
            <w:r w:rsidRPr="00583E1A">
              <w:t>section</w:t>
            </w:r>
            <w:r w:rsidR="00583E1A">
              <w:t> </w:t>
            </w:r>
            <w:r w:rsidRPr="00583E1A">
              <w:t>52</w:t>
            </w:r>
            <w:r w:rsidR="00583E1A">
              <w:noBreakHyphen/>
            </w:r>
            <w:r w:rsidRPr="00583E1A">
              <w:t>15</w:t>
            </w:r>
          </w:p>
        </w:tc>
      </w:tr>
      <w:tr w:rsidR="00887330" w:rsidRPr="00583E1A">
        <w:trPr>
          <w:cantSplit/>
        </w:trPr>
        <w:tc>
          <w:tcPr>
            <w:tcW w:w="709" w:type="dxa"/>
            <w:tcBorders>
              <w:top w:val="single" w:sz="2" w:space="0" w:color="auto"/>
              <w:left w:val="nil"/>
              <w:bottom w:val="single" w:sz="12" w:space="0" w:color="auto"/>
              <w:right w:val="nil"/>
            </w:tcBorders>
          </w:tcPr>
          <w:p w:rsidR="00887330" w:rsidRPr="00583E1A" w:rsidRDefault="00887330" w:rsidP="00887330">
            <w:pPr>
              <w:pStyle w:val="Tabletext"/>
            </w:pPr>
            <w:r w:rsidRPr="00583E1A">
              <w:t>5</w:t>
            </w:r>
          </w:p>
        </w:tc>
        <w:tc>
          <w:tcPr>
            <w:tcW w:w="3402" w:type="dxa"/>
            <w:tcBorders>
              <w:top w:val="single" w:sz="2" w:space="0" w:color="auto"/>
              <w:left w:val="nil"/>
              <w:bottom w:val="single" w:sz="12" w:space="0" w:color="auto"/>
              <w:right w:val="nil"/>
            </w:tcBorders>
          </w:tcPr>
          <w:p w:rsidR="00887330" w:rsidRPr="00583E1A" w:rsidRDefault="00887330" w:rsidP="00887330">
            <w:pPr>
              <w:pStyle w:val="Tabletext"/>
            </w:pPr>
            <w:r w:rsidRPr="00583E1A">
              <w:t>Veterans’ affairs payment</w:t>
            </w:r>
          </w:p>
        </w:tc>
        <w:tc>
          <w:tcPr>
            <w:tcW w:w="1843" w:type="dxa"/>
            <w:tcBorders>
              <w:top w:val="single" w:sz="2" w:space="0" w:color="auto"/>
              <w:left w:val="nil"/>
              <w:bottom w:val="single" w:sz="12" w:space="0" w:color="auto"/>
              <w:right w:val="nil"/>
            </w:tcBorders>
          </w:tcPr>
          <w:p w:rsidR="00887330" w:rsidRPr="00583E1A" w:rsidRDefault="00887330" w:rsidP="00887330">
            <w:pPr>
              <w:pStyle w:val="Tabletext"/>
            </w:pPr>
            <w:r w:rsidRPr="00583E1A">
              <w:t>section</w:t>
            </w:r>
            <w:r w:rsidR="00583E1A">
              <w:t> </w:t>
            </w:r>
            <w:r w:rsidRPr="00583E1A">
              <w:t>52</w:t>
            </w:r>
            <w:r w:rsidR="00583E1A">
              <w:noBreakHyphen/>
            </w:r>
            <w:r w:rsidRPr="00583E1A">
              <w:t>70</w:t>
            </w:r>
          </w:p>
        </w:tc>
      </w:tr>
    </w:tbl>
    <w:p w:rsidR="00887330" w:rsidRPr="00583E1A" w:rsidRDefault="00887330" w:rsidP="00887330">
      <w:pPr>
        <w:pStyle w:val="Definition"/>
      </w:pPr>
      <w:r w:rsidRPr="00583E1A">
        <w:rPr>
          <w:b/>
          <w:i/>
        </w:rPr>
        <w:t>supply</w:t>
      </w:r>
      <w:r w:rsidRPr="00583E1A">
        <w:t xml:space="preserve"> has the meaning given by section</w:t>
      </w:r>
      <w:r w:rsidR="00583E1A">
        <w:t> </w:t>
      </w:r>
      <w:r w:rsidRPr="00583E1A">
        <w:t>9</w:t>
      </w:r>
      <w:r w:rsidR="00583E1A">
        <w:noBreakHyphen/>
      </w:r>
      <w:r w:rsidRPr="00583E1A">
        <w:t xml:space="preserve">10 of the </w:t>
      </w:r>
      <w:r w:rsidR="00583E1A" w:rsidRPr="00583E1A">
        <w:rPr>
          <w:position w:val="6"/>
          <w:sz w:val="16"/>
        </w:rPr>
        <w:t>*</w:t>
      </w:r>
      <w:r w:rsidRPr="00583E1A">
        <w:t>GST Act.</w:t>
      </w:r>
    </w:p>
    <w:p w:rsidR="00617CB8" w:rsidRPr="00642FBF" w:rsidRDefault="00617CB8" w:rsidP="00617CB8">
      <w:pPr>
        <w:pStyle w:val="Definition"/>
      </w:pPr>
      <w:r w:rsidRPr="00642FBF">
        <w:rPr>
          <w:b/>
          <w:i/>
        </w:rPr>
        <w:t>supporting R&amp;D activities</w:t>
      </w:r>
      <w:r w:rsidRPr="00642FBF">
        <w:t xml:space="preserve"> has the meaning given by section 355</w:t>
      </w:r>
      <w:r w:rsidRPr="00642FBF">
        <w:noBreakHyphen/>
        <w:t>30.</w:t>
      </w:r>
    </w:p>
    <w:p w:rsidR="00887330" w:rsidRPr="00583E1A" w:rsidRDefault="00887330" w:rsidP="00887330">
      <w:pPr>
        <w:pStyle w:val="Definition"/>
      </w:pPr>
      <w:r w:rsidRPr="00583E1A">
        <w:rPr>
          <w:b/>
          <w:i/>
        </w:rPr>
        <w:t>tainted</w:t>
      </w:r>
      <w:r w:rsidRPr="00583E1A">
        <w:t>:</w:t>
      </w:r>
      <w:r w:rsidRPr="00583E1A">
        <w:rPr>
          <w:b/>
        </w:rPr>
        <w:t xml:space="preserve"> </w:t>
      </w:r>
      <w:r w:rsidRPr="00583E1A">
        <w:t xml:space="preserve">for when a company’s </w:t>
      </w:r>
      <w:r w:rsidR="00583E1A" w:rsidRPr="00583E1A">
        <w:rPr>
          <w:position w:val="6"/>
          <w:sz w:val="16"/>
        </w:rPr>
        <w:t>*</w:t>
      </w:r>
      <w:r w:rsidRPr="00583E1A">
        <w:t xml:space="preserve">share capital account is </w:t>
      </w:r>
      <w:r w:rsidRPr="00583E1A">
        <w:rPr>
          <w:b/>
          <w:i/>
        </w:rPr>
        <w:t>tainted</w:t>
      </w:r>
      <w:r w:rsidRPr="00583E1A">
        <w:t>, see subsections 197</w:t>
      </w:r>
      <w:r w:rsidR="00583E1A">
        <w:noBreakHyphen/>
      </w:r>
      <w:r w:rsidRPr="00583E1A">
        <w:t>50(1) and (2).</w:t>
      </w:r>
    </w:p>
    <w:p w:rsidR="00887330" w:rsidRPr="00583E1A" w:rsidRDefault="00887330" w:rsidP="00887330">
      <w:pPr>
        <w:pStyle w:val="Definition"/>
        <w:rPr>
          <w:i/>
        </w:rPr>
      </w:pPr>
      <w:r w:rsidRPr="00583E1A">
        <w:rPr>
          <w:b/>
          <w:i/>
        </w:rPr>
        <w:t>tainting amount</w:t>
      </w:r>
      <w:r w:rsidRPr="00583E1A">
        <w:t xml:space="preserve"> has the meaning given by subsection 197</w:t>
      </w:r>
      <w:r w:rsidR="00583E1A">
        <w:noBreakHyphen/>
      </w:r>
      <w:r w:rsidRPr="00583E1A">
        <w:t>50(3).</w:t>
      </w:r>
    </w:p>
    <w:p w:rsidR="00887330" w:rsidRPr="00583E1A" w:rsidRDefault="00887330" w:rsidP="00887330">
      <w:pPr>
        <w:pStyle w:val="Definition"/>
      </w:pPr>
      <w:r w:rsidRPr="00583E1A">
        <w:rPr>
          <w:b/>
          <w:i/>
        </w:rPr>
        <w:t xml:space="preserve">takeover bid </w:t>
      </w:r>
      <w:r w:rsidRPr="00583E1A">
        <w:t>means a takeover bid under Chapter</w:t>
      </w:r>
      <w:r w:rsidR="00583E1A">
        <w:t> </w:t>
      </w:r>
      <w:r w:rsidRPr="00583E1A">
        <w:t xml:space="preserve">6 of the </w:t>
      </w:r>
      <w:r w:rsidRPr="00583E1A">
        <w:rPr>
          <w:i/>
        </w:rPr>
        <w:t>Corporations Act 2001</w:t>
      </w:r>
      <w:r w:rsidRPr="00583E1A">
        <w:t xml:space="preserve">, or under a </w:t>
      </w:r>
      <w:r w:rsidR="00583E1A" w:rsidRPr="00583E1A">
        <w:rPr>
          <w:position w:val="6"/>
          <w:sz w:val="16"/>
        </w:rPr>
        <w:t>*</w:t>
      </w:r>
      <w:r w:rsidRPr="00583E1A">
        <w:t>foreign law relating to corporate regulation.</w:t>
      </w:r>
    </w:p>
    <w:p w:rsidR="00BB2F41" w:rsidRPr="00B758CF" w:rsidRDefault="00BB2F41" w:rsidP="00BB2F41">
      <w:pPr>
        <w:pStyle w:val="Definition"/>
      </w:pPr>
      <w:r w:rsidRPr="00B758CF">
        <w:rPr>
          <w:b/>
          <w:i/>
        </w:rPr>
        <w:t>taskforce officer</w:t>
      </w:r>
      <w:r w:rsidRPr="00B758CF">
        <w:t xml:space="preserve"> of a prescribed taskforce has the meaning given by section 355</w:t>
      </w:r>
      <w:r w:rsidRPr="00B758CF">
        <w:noBreakHyphen/>
        <w:t xml:space="preserve">70 in Schedule 1 to the </w:t>
      </w:r>
      <w:r w:rsidRPr="00B758CF">
        <w:rPr>
          <w:i/>
        </w:rPr>
        <w:t>Taxation Administration Act 1953</w:t>
      </w:r>
      <w:r w:rsidRPr="00B758CF">
        <w:t>.</w:t>
      </w:r>
    </w:p>
    <w:p w:rsidR="00887330" w:rsidRPr="00583E1A" w:rsidRDefault="00887330" w:rsidP="00A805BD">
      <w:pPr>
        <w:pStyle w:val="Definition"/>
        <w:keepNext/>
      </w:pPr>
      <w:r w:rsidRPr="00583E1A">
        <w:rPr>
          <w:b/>
          <w:i/>
        </w:rPr>
        <w:t xml:space="preserve">tax </w:t>
      </w:r>
      <w:r w:rsidRPr="00583E1A">
        <w:t>means:</w:t>
      </w:r>
    </w:p>
    <w:p w:rsidR="00887330" w:rsidRPr="00583E1A" w:rsidRDefault="00887330" w:rsidP="00887330">
      <w:pPr>
        <w:pStyle w:val="paragraph"/>
      </w:pPr>
      <w:r w:rsidRPr="00583E1A">
        <w:tab/>
        <w:t>(a)</w:t>
      </w:r>
      <w:r w:rsidRPr="00583E1A">
        <w:tab/>
        <w:t xml:space="preserve">income tax imposed by the </w:t>
      </w:r>
      <w:r w:rsidRPr="00583E1A">
        <w:rPr>
          <w:i/>
        </w:rPr>
        <w:t>Income Tax Act 1986</w:t>
      </w:r>
      <w:r w:rsidRPr="00583E1A">
        <w:t>, as assessed under this Act; or</w:t>
      </w:r>
    </w:p>
    <w:p w:rsidR="00887330" w:rsidRPr="00583E1A" w:rsidRDefault="00887330" w:rsidP="00887330">
      <w:pPr>
        <w:pStyle w:val="paragraph"/>
      </w:pPr>
      <w:r w:rsidRPr="00583E1A">
        <w:tab/>
        <w:t>(b)</w:t>
      </w:r>
      <w:r w:rsidRPr="00583E1A">
        <w:tab/>
        <w:t>income tax imposed as such by any other Act, as assessed under this Act.</w:t>
      </w:r>
    </w:p>
    <w:p w:rsidR="00C85D29" w:rsidRPr="00583E1A" w:rsidRDefault="00C85D29" w:rsidP="00C85D29">
      <w:pPr>
        <w:pStyle w:val="Definition"/>
      </w:pPr>
      <w:r w:rsidRPr="00583E1A">
        <w:rPr>
          <w:b/>
          <w:i/>
        </w:rPr>
        <w:t>taxable Australian property</w:t>
      </w:r>
      <w:r w:rsidRPr="00583E1A">
        <w:t xml:space="preserve"> has the meaning given by section</w:t>
      </w:r>
      <w:r w:rsidR="00583E1A">
        <w:t> </w:t>
      </w:r>
      <w:r w:rsidRPr="00583E1A">
        <w:t>855</w:t>
      </w:r>
      <w:r w:rsidR="00583E1A">
        <w:noBreakHyphen/>
      </w:r>
      <w:r w:rsidRPr="00583E1A">
        <w:t>15.</w:t>
      </w:r>
    </w:p>
    <w:p w:rsidR="00C85D29" w:rsidRPr="00583E1A" w:rsidRDefault="00C85D29" w:rsidP="00C85D29">
      <w:pPr>
        <w:pStyle w:val="Definition"/>
      </w:pPr>
      <w:r w:rsidRPr="00583E1A">
        <w:rPr>
          <w:b/>
          <w:i/>
        </w:rPr>
        <w:t>taxable Australian real property</w:t>
      </w:r>
      <w:r w:rsidRPr="00583E1A">
        <w:t xml:space="preserve"> has the meaning given by section</w:t>
      </w:r>
      <w:r w:rsidR="00583E1A">
        <w:t> </w:t>
      </w:r>
      <w:r w:rsidRPr="00583E1A">
        <w:t>855</w:t>
      </w:r>
      <w:r w:rsidR="00583E1A">
        <w:noBreakHyphen/>
      </w:r>
      <w:r w:rsidRPr="00583E1A">
        <w:t>20.</w:t>
      </w:r>
    </w:p>
    <w:p w:rsidR="006C39A6" w:rsidRPr="00583E1A" w:rsidRDefault="006C39A6" w:rsidP="002A5CD2">
      <w:pPr>
        <w:pStyle w:val="Definition"/>
        <w:keepNext/>
        <w:keepLines/>
      </w:pPr>
      <w:r w:rsidRPr="00583E1A">
        <w:rPr>
          <w:b/>
          <w:i/>
        </w:rPr>
        <w:t>taxable component</w:t>
      </w:r>
      <w:r w:rsidRPr="00583E1A">
        <w:t>:</w:t>
      </w:r>
    </w:p>
    <w:p w:rsidR="006C39A6" w:rsidRPr="00583E1A" w:rsidRDefault="006C39A6" w:rsidP="002A5CD2">
      <w:pPr>
        <w:pStyle w:val="paragraph"/>
        <w:keepNext/>
        <w:keepLines/>
      </w:pPr>
      <w:r w:rsidRPr="00583E1A">
        <w:tab/>
        <w:t>(a)</w:t>
      </w:r>
      <w:r w:rsidRPr="00583E1A">
        <w:tab/>
        <w:t xml:space="preserve">the </w:t>
      </w:r>
      <w:r w:rsidRPr="00583E1A">
        <w:rPr>
          <w:b/>
          <w:i/>
        </w:rPr>
        <w:t xml:space="preserve">taxable component </w:t>
      </w:r>
      <w:r w:rsidRPr="00583E1A">
        <w:t xml:space="preserve">of an </w:t>
      </w:r>
      <w:r w:rsidR="00583E1A" w:rsidRPr="00583E1A">
        <w:rPr>
          <w:position w:val="6"/>
          <w:sz w:val="16"/>
        </w:rPr>
        <w:t>*</w:t>
      </w:r>
      <w:r w:rsidRPr="00583E1A">
        <w:t>employment termination payment has the meaning given by section</w:t>
      </w:r>
      <w:r w:rsidR="00583E1A">
        <w:t> </w:t>
      </w:r>
      <w:r w:rsidRPr="00583E1A">
        <w:t>82</w:t>
      </w:r>
      <w:r w:rsidR="00583E1A">
        <w:noBreakHyphen/>
      </w:r>
      <w:r w:rsidRPr="00583E1A">
        <w:t>145; and</w:t>
      </w:r>
    </w:p>
    <w:p w:rsidR="006C39A6" w:rsidRPr="00583E1A" w:rsidRDefault="006C39A6" w:rsidP="006C39A6">
      <w:pPr>
        <w:pStyle w:val="paragraph"/>
      </w:pPr>
      <w:r w:rsidRPr="00583E1A">
        <w:tab/>
        <w:t>(b)</w:t>
      </w:r>
      <w:r w:rsidRPr="00583E1A">
        <w:tab/>
        <w:t xml:space="preserve">the </w:t>
      </w:r>
      <w:r w:rsidRPr="00583E1A">
        <w:rPr>
          <w:b/>
          <w:i/>
        </w:rPr>
        <w:t xml:space="preserve">taxable component </w:t>
      </w:r>
      <w:r w:rsidRPr="00583E1A">
        <w:t xml:space="preserve">of a </w:t>
      </w:r>
      <w:r w:rsidR="00583E1A" w:rsidRPr="00583E1A">
        <w:rPr>
          <w:position w:val="6"/>
          <w:sz w:val="16"/>
        </w:rPr>
        <w:t>*</w:t>
      </w:r>
      <w:r w:rsidRPr="00583E1A">
        <w:t>superannuation benefit has the meaning given by section</w:t>
      </w:r>
      <w:r w:rsidR="00583E1A">
        <w:t> </w:t>
      </w:r>
      <w:r w:rsidRPr="00583E1A">
        <w:t>307</w:t>
      </w:r>
      <w:r w:rsidR="00583E1A">
        <w:noBreakHyphen/>
      </w:r>
      <w:r w:rsidRPr="00583E1A">
        <w:t>120; and</w:t>
      </w:r>
    </w:p>
    <w:p w:rsidR="006C39A6" w:rsidRPr="00583E1A" w:rsidRDefault="006C39A6" w:rsidP="006C39A6">
      <w:pPr>
        <w:pStyle w:val="paragraph"/>
      </w:pPr>
      <w:r w:rsidRPr="00583E1A">
        <w:tab/>
        <w:t>(c)</w:t>
      </w:r>
      <w:r w:rsidRPr="00583E1A">
        <w:tab/>
        <w:t xml:space="preserve">the </w:t>
      </w:r>
      <w:r w:rsidRPr="00583E1A">
        <w:rPr>
          <w:b/>
          <w:i/>
        </w:rPr>
        <w:t xml:space="preserve">taxable component </w:t>
      </w:r>
      <w:r w:rsidRPr="00583E1A">
        <w:t xml:space="preserve">of a </w:t>
      </w:r>
      <w:r w:rsidR="00583E1A" w:rsidRPr="00583E1A">
        <w:rPr>
          <w:position w:val="6"/>
          <w:sz w:val="16"/>
        </w:rPr>
        <w:t>*</w:t>
      </w:r>
      <w:r w:rsidRPr="00583E1A">
        <w:t>superannuation interest has the meaning given by section</w:t>
      </w:r>
      <w:r w:rsidR="00583E1A">
        <w:t> </w:t>
      </w:r>
      <w:r w:rsidRPr="00583E1A">
        <w:t>307</w:t>
      </w:r>
      <w:r w:rsidR="00583E1A">
        <w:noBreakHyphen/>
      </w:r>
      <w:r w:rsidRPr="00583E1A">
        <w:t>215.</w:t>
      </w:r>
    </w:p>
    <w:p w:rsidR="00887330" w:rsidRPr="00583E1A" w:rsidRDefault="00887330" w:rsidP="00887330">
      <w:pPr>
        <w:pStyle w:val="Definition"/>
      </w:pPr>
      <w:r w:rsidRPr="00583E1A">
        <w:rPr>
          <w:b/>
          <w:i/>
        </w:rPr>
        <w:t>taxable fuel</w:t>
      </w:r>
      <w:r w:rsidRPr="00583E1A">
        <w:t xml:space="preserve"> has the meaning given by section</w:t>
      </w:r>
      <w:r w:rsidR="00583E1A">
        <w:t> </w:t>
      </w:r>
      <w:r w:rsidRPr="00583E1A">
        <w:t>110</w:t>
      </w:r>
      <w:r w:rsidR="00583E1A">
        <w:noBreakHyphen/>
      </w:r>
      <w:r w:rsidRPr="00583E1A">
        <w:t xml:space="preserve">5 of the </w:t>
      </w:r>
      <w:r w:rsidRPr="00583E1A">
        <w:rPr>
          <w:i/>
        </w:rPr>
        <w:t>Fuel Tax Act 2006</w:t>
      </w:r>
      <w:r w:rsidRPr="00583E1A">
        <w:t>.</w:t>
      </w:r>
    </w:p>
    <w:p w:rsidR="00887330" w:rsidRPr="00583E1A" w:rsidRDefault="00887330" w:rsidP="00887330">
      <w:pPr>
        <w:pStyle w:val="Definition"/>
      </w:pPr>
      <w:r w:rsidRPr="00583E1A">
        <w:rPr>
          <w:b/>
          <w:i/>
        </w:rPr>
        <w:t>taxable importation</w:t>
      </w:r>
      <w:r w:rsidRPr="00583E1A">
        <w:t xml:space="preserve"> has the meaning given by section</w:t>
      </w:r>
      <w:r w:rsidR="00583E1A">
        <w:t> </w:t>
      </w:r>
      <w:r w:rsidRPr="00583E1A">
        <w:t>195</w:t>
      </w:r>
      <w:r w:rsidR="00583E1A">
        <w:noBreakHyphen/>
      </w:r>
      <w:r w:rsidRPr="00583E1A">
        <w:t xml:space="preserve">1 of the </w:t>
      </w:r>
      <w:r w:rsidR="00583E1A" w:rsidRPr="00583E1A">
        <w:rPr>
          <w:position w:val="6"/>
          <w:sz w:val="16"/>
        </w:rPr>
        <w:t>*</w:t>
      </w:r>
      <w:r w:rsidRPr="00583E1A">
        <w:t>GST Act.</w:t>
      </w:r>
    </w:p>
    <w:p w:rsidR="00887330" w:rsidRPr="00583E1A" w:rsidRDefault="00887330" w:rsidP="00887330">
      <w:pPr>
        <w:pStyle w:val="Definition"/>
      </w:pPr>
      <w:r w:rsidRPr="00583E1A">
        <w:rPr>
          <w:b/>
          <w:i/>
        </w:rPr>
        <w:t>taxable importation of a luxury car</w:t>
      </w:r>
      <w:r w:rsidRPr="00583E1A">
        <w:t xml:space="preserve"> has the meaning given by section</w:t>
      </w:r>
      <w:r w:rsidR="00583E1A">
        <w:t> </w:t>
      </w:r>
      <w:r w:rsidRPr="00583E1A">
        <w:t>27</w:t>
      </w:r>
      <w:r w:rsidR="00583E1A">
        <w:noBreakHyphen/>
      </w:r>
      <w:r w:rsidRPr="00583E1A">
        <w:t xml:space="preserve">1 of the </w:t>
      </w:r>
      <w:r w:rsidR="00583E1A" w:rsidRPr="00583E1A">
        <w:rPr>
          <w:position w:val="6"/>
          <w:sz w:val="16"/>
        </w:rPr>
        <w:t>*</w:t>
      </w:r>
      <w:r w:rsidRPr="00583E1A">
        <w:t>Luxury Car Tax Act.</w:t>
      </w:r>
    </w:p>
    <w:p w:rsidR="00887330" w:rsidRPr="00583E1A" w:rsidRDefault="00887330" w:rsidP="00887330">
      <w:pPr>
        <w:pStyle w:val="Definition"/>
      </w:pPr>
      <w:r w:rsidRPr="00583E1A">
        <w:rPr>
          <w:b/>
          <w:i/>
        </w:rPr>
        <w:t>taxable income</w:t>
      </w:r>
      <w:r w:rsidRPr="00583E1A">
        <w:t xml:space="preserve"> has the meaning given by section</w:t>
      </w:r>
      <w:r w:rsidR="00583E1A">
        <w:t> </w:t>
      </w:r>
      <w:r w:rsidRPr="00583E1A">
        <w:t>4</w:t>
      </w:r>
      <w:r w:rsidR="00583E1A">
        <w:noBreakHyphen/>
      </w:r>
      <w:r w:rsidRPr="00583E1A">
        <w:t>15.</w:t>
      </w:r>
    </w:p>
    <w:p w:rsidR="00887330" w:rsidRPr="00583E1A" w:rsidRDefault="00887330" w:rsidP="00887330">
      <w:pPr>
        <w:pStyle w:val="notetext"/>
      </w:pPr>
      <w:r w:rsidRPr="00583E1A">
        <w:t>Note:</w:t>
      </w:r>
      <w:r w:rsidRPr="00583E1A">
        <w:tab/>
        <w:t>For a list of cases where taxable income is worked out in a special way, see subsection 4</w:t>
      </w:r>
      <w:r w:rsidR="00583E1A">
        <w:noBreakHyphen/>
      </w:r>
      <w:r w:rsidRPr="00583E1A">
        <w:t>15(2).</w:t>
      </w:r>
    </w:p>
    <w:p w:rsidR="00AD533E" w:rsidRPr="005E19E0" w:rsidRDefault="00AD533E" w:rsidP="00AD533E">
      <w:pPr>
        <w:pStyle w:val="Definition"/>
      </w:pPr>
      <w:r w:rsidRPr="005E19E0">
        <w:rPr>
          <w:b/>
          <w:i/>
        </w:rPr>
        <w:t>taxable mining profit</w:t>
      </w:r>
      <w:r w:rsidRPr="005E19E0">
        <w:t xml:space="preserve">, of a miner for an </w:t>
      </w:r>
      <w:r w:rsidRPr="005E19E0">
        <w:rPr>
          <w:position w:val="6"/>
          <w:sz w:val="16"/>
        </w:rPr>
        <w:t>*</w:t>
      </w:r>
      <w:r w:rsidRPr="005E19E0">
        <w:t xml:space="preserve">MRRT year, means the sum of the following for each </w:t>
      </w:r>
      <w:r w:rsidRPr="005E19E0">
        <w:rPr>
          <w:position w:val="6"/>
          <w:sz w:val="16"/>
        </w:rPr>
        <w:t>*</w:t>
      </w:r>
      <w:r w:rsidRPr="005E19E0">
        <w:t>mining project interest the miner has for that year:</w:t>
      </w:r>
    </w:p>
    <w:p w:rsidR="00AD533E" w:rsidRPr="005E19E0" w:rsidRDefault="00AD533E" w:rsidP="00AD533E">
      <w:pPr>
        <w:pStyle w:val="paragraph"/>
      </w:pPr>
      <w:r w:rsidRPr="005E19E0">
        <w:tab/>
        <w:t>(a)</w:t>
      </w:r>
      <w:r w:rsidRPr="005E19E0">
        <w:tab/>
        <w:t xml:space="preserve">the </w:t>
      </w:r>
      <w:r w:rsidRPr="005E19E0">
        <w:rPr>
          <w:position w:val="6"/>
          <w:sz w:val="16"/>
        </w:rPr>
        <w:t>*</w:t>
      </w:r>
      <w:r w:rsidRPr="005E19E0">
        <w:t>mining profit for that interest for that year; less</w:t>
      </w:r>
    </w:p>
    <w:p w:rsidR="00AD533E" w:rsidRPr="005E19E0" w:rsidRDefault="00AD533E" w:rsidP="00AD533E">
      <w:pPr>
        <w:pStyle w:val="paragraph"/>
      </w:pPr>
      <w:r w:rsidRPr="005E19E0">
        <w:tab/>
        <w:t>(b)</w:t>
      </w:r>
      <w:r w:rsidRPr="005E19E0">
        <w:tab/>
        <w:t xml:space="preserve">the </w:t>
      </w:r>
      <w:r w:rsidRPr="005E19E0">
        <w:rPr>
          <w:position w:val="6"/>
          <w:sz w:val="16"/>
        </w:rPr>
        <w:t>*</w:t>
      </w:r>
      <w:r w:rsidRPr="005E19E0">
        <w:t>MRRT allowances for that interest for that year.</w:t>
      </w:r>
    </w:p>
    <w:p w:rsidR="00887330" w:rsidRPr="00583E1A" w:rsidRDefault="00887330" w:rsidP="00887330">
      <w:pPr>
        <w:pStyle w:val="Definition"/>
      </w:pPr>
      <w:r w:rsidRPr="00583E1A">
        <w:rPr>
          <w:b/>
          <w:i/>
        </w:rPr>
        <w:t>taxable non</w:t>
      </w:r>
      <w:r w:rsidR="00583E1A">
        <w:rPr>
          <w:b/>
          <w:i/>
        </w:rPr>
        <w:noBreakHyphen/>
      </w:r>
      <w:r w:rsidRPr="00583E1A">
        <w:rPr>
          <w:b/>
          <w:i/>
        </w:rPr>
        <w:t xml:space="preserve">primary production income </w:t>
      </w:r>
      <w:r w:rsidRPr="00583E1A">
        <w:t>has the meaning given by subsection 392</w:t>
      </w:r>
      <w:r w:rsidR="00583E1A">
        <w:noBreakHyphen/>
      </w:r>
      <w:r w:rsidRPr="00583E1A">
        <w:t>85(1).</w:t>
      </w:r>
    </w:p>
    <w:p w:rsidR="00887330" w:rsidRPr="00583E1A" w:rsidRDefault="00887330" w:rsidP="00887330">
      <w:pPr>
        <w:pStyle w:val="Definition"/>
      </w:pPr>
      <w:r w:rsidRPr="00583E1A">
        <w:rPr>
          <w:b/>
          <w:i/>
        </w:rPr>
        <w:t>taxable primary production income</w:t>
      </w:r>
      <w:r w:rsidRPr="00583E1A">
        <w:t xml:space="preserve"> has the meaning given by subsection 392</w:t>
      </w:r>
      <w:r w:rsidR="00583E1A">
        <w:noBreakHyphen/>
      </w:r>
      <w:r w:rsidRPr="00583E1A">
        <w:t>80(1).</w:t>
      </w:r>
    </w:p>
    <w:p w:rsidR="00887330" w:rsidRPr="00583E1A" w:rsidRDefault="00887330" w:rsidP="00887330">
      <w:pPr>
        <w:pStyle w:val="Definition"/>
      </w:pPr>
      <w:r w:rsidRPr="00583E1A">
        <w:rPr>
          <w:b/>
          <w:i/>
        </w:rPr>
        <w:t xml:space="preserve">taxable professional income </w:t>
      </w:r>
      <w:r w:rsidRPr="00583E1A">
        <w:t>has the meaning given by subsection 405</w:t>
      </w:r>
      <w:r w:rsidR="00583E1A">
        <w:noBreakHyphen/>
      </w:r>
      <w:r w:rsidRPr="00583E1A">
        <w:t>45(1).</w:t>
      </w:r>
    </w:p>
    <w:p w:rsidR="00887330" w:rsidRPr="00583E1A" w:rsidRDefault="00887330" w:rsidP="00887330">
      <w:pPr>
        <w:pStyle w:val="Definition"/>
      </w:pPr>
      <w:r w:rsidRPr="00583E1A">
        <w:rPr>
          <w:b/>
          <w:i/>
        </w:rPr>
        <w:t>taxable purpose</w:t>
      </w:r>
      <w:r w:rsidRPr="00583E1A">
        <w:t xml:space="preserve"> has the meaning given by section</w:t>
      </w:r>
      <w:r w:rsidR="00583E1A">
        <w:t> </w:t>
      </w:r>
      <w:r w:rsidRPr="00583E1A">
        <w:t>40</w:t>
      </w:r>
      <w:r w:rsidR="00583E1A">
        <w:noBreakHyphen/>
      </w:r>
      <w:r w:rsidRPr="00583E1A">
        <w:t>25.</w:t>
      </w:r>
    </w:p>
    <w:p w:rsidR="00887330" w:rsidRPr="00583E1A" w:rsidRDefault="00887330" w:rsidP="00887330">
      <w:pPr>
        <w:pStyle w:val="Definition"/>
      </w:pPr>
      <w:r w:rsidRPr="00583E1A">
        <w:rPr>
          <w:b/>
          <w:i/>
        </w:rPr>
        <w:t>taxable purpose proportion</w:t>
      </w:r>
      <w:r w:rsidRPr="00583E1A">
        <w:t xml:space="preserve"> has the meaning given by section</w:t>
      </w:r>
      <w:r w:rsidR="00583E1A">
        <w:t> </w:t>
      </w:r>
      <w:r w:rsidRPr="00583E1A">
        <w:t>328</w:t>
      </w:r>
      <w:r w:rsidR="00583E1A">
        <w:noBreakHyphen/>
      </w:r>
      <w:r w:rsidRPr="00583E1A">
        <w:t>205.</w:t>
      </w:r>
    </w:p>
    <w:p w:rsidR="00AD533E" w:rsidRPr="005E19E0" w:rsidRDefault="00AD533E" w:rsidP="00AD533E">
      <w:pPr>
        <w:pStyle w:val="Definition"/>
      </w:pPr>
      <w:r w:rsidRPr="005E19E0">
        <w:rPr>
          <w:b/>
          <w:i/>
        </w:rPr>
        <w:t xml:space="preserve">taxable resource </w:t>
      </w:r>
      <w:r w:rsidRPr="005E19E0">
        <w:t>has the meaning given by section 300</w:t>
      </w:r>
      <w:r w:rsidRPr="005E19E0">
        <w:noBreakHyphen/>
        <w:t xml:space="preserve">1 of the </w:t>
      </w:r>
      <w:r w:rsidRPr="005E19E0">
        <w:rPr>
          <w:i/>
        </w:rPr>
        <w:t>Minerals Resource Rent Tax Act 201</w:t>
      </w:r>
      <w:r>
        <w:rPr>
          <w:i/>
        </w:rPr>
        <w:t>2</w:t>
      </w:r>
      <w:r w:rsidRPr="005E19E0">
        <w:t>.</w:t>
      </w:r>
    </w:p>
    <w:p w:rsidR="00887330" w:rsidRPr="00583E1A" w:rsidRDefault="00887330" w:rsidP="00887330">
      <w:pPr>
        <w:pStyle w:val="Definition"/>
      </w:pPr>
      <w:r w:rsidRPr="00583E1A">
        <w:rPr>
          <w:b/>
          <w:i/>
        </w:rPr>
        <w:t>taxable supply</w:t>
      </w:r>
      <w:r w:rsidRPr="00583E1A">
        <w:t xml:space="preserve"> has the meaning given by section</w:t>
      </w:r>
      <w:r w:rsidR="00583E1A">
        <w:t> </w:t>
      </w:r>
      <w:r w:rsidRPr="00583E1A">
        <w:t>195</w:t>
      </w:r>
      <w:r w:rsidR="00583E1A">
        <w:noBreakHyphen/>
      </w:r>
      <w:r w:rsidRPr="00583E1A">
        <w:t xml:space="preserve">1 of the </w:t>
      </w:r>
      <w:r w:rsidR="00583E1A" w:rsidRPr="00583E1A">
        <w:rPr>
          <w:position w:val="6"/>
          <w:sz w:val="16"/>
        </w:rPr>
        <w:t>*</w:t>
      </w:r>
      <w:r w:rsidRPr="00583E1A">
        <w:t>GST Act.</w:t>
      </w:r>
    </w:p>
    <w:p w:rsidR="00887330" w:rsidRPr="00583E1A" w:rsidRDefault="00887330" w:rsidP="00887330">
      <w:pPr>
        <w:pStyle w:val="Definition"/>
      </w:pPr>
      <w:r w:rsidRPr="00583E1A">
        <w:rPr>
          <w:b/>
          <w:i/>
        </w:rPr>
        <w:t>taxable supply of a luxury car</w:t>
      </w:r>
      <w:r w:rsidRPr="00583E1A">
        <w:t xml:space="preserve"> has the meaning given by section</w:t>
      </w:r>
      <w:r w:rsidR="00583E1A">
        <w:t> </w:t>
      </w:r>
      <w:r w:rsidRPr="00583E1A">
        <w:t>27</w:t>
      </w:r>
      <w:r w:rsidR="00583E1A">
        <w:noBreakHyphen/>
      </w:r>
      <w:r w:rsidRPr="00583E1A">
        <w:t xml:space="preserve">1 of the </w:t>
      </w:r>
      <w:r w:rsidR="00583E1A" w:rsidRPr="00583E1A">
        <w:rPr>
          <w:position w:val="6"/>
          <w:sz w:val="16"/>
        </w:rPr>
        <w:t>*</w:t>
      </w:r>
      <w:r w:rsidRPr="00583E1A">
        <w:t>Luxury Car Tax Act.</w:t>
      </w:r>
    </w:p>
    <w:p w:rsidR="00887330" w:rsidRPr="00583E1A" w:rsidRDefault="00887330" w:rsidP="00887330">
      <w:pPr>
        <w:pStyle w:val="Definition"/>
      </w:pPr>
      <w:r w:rsidRPr="00583E1A">
        <w:rPr>
          <w:b/>
          <w:i/>
        </w:rPr>
        <w:t>tax accounting period</w:t>
      </w:r>
      <w:r w:rsidRPr="00583E1A">
        <w:rPr>
          <w:b/>
        </w:rPr>
        <w:t xml:space="preserve"> </w:t>
      </w:r>
      <w:r w:rsidRPr="00583E1A">
        <w:t>has the meaning given by Part</w:t>
      </w:r>
      <w:r w:rsidR="00583E1A">
        <w:t> </w:t>
      </w:r>
      <w:r w:rsidRPr="00583E1A">
        <w:t xml:space="preserve">X of the </w:t>
      </w:r>
      <w:r w:rsidRPr="00583E1A">
        <w:rPr>
          <w:i/>
        </w:rPr>
        <w:t>Income Tax Assessment Act 1936</w:t>
      </w:r>
      <w:r w:rsidRPr="00583E1A">
        <w:t>.</w:t>
      </w:r>
    </w:p>
    <w:p w:rsidR="00887330" w:rsidRPr="00583E1A" w:rsidRDefault="00887330" w:rsidP="00887330">
      <w:pPr>
        <w:pStyle w:val="Definition"/>
      </w:pPr>
      <w:r w:rsidRPr="00583E1A">
        <w:rPr>
          <w:b/>
          <w:i/>
        </w:rPr>
        <w:t>tax affairs</w:t>
      </w:r>
      <w:r w:rsidRPr="00583E1A">
        <w:t xml:space="preserve"> means affairs relating to </w:t>
      </w:r>
      <w:r w:rsidR="00583E1A" w:rsidRPr="00583E1A">
        <w:rPr>
          <w:position w:val="6"/>
          <w:sz w:val="16"/>
        </w:rPr>
        <w:t>*</w:t>
      </w:r>
      <w:r w:rsidRPr="00583E1A">
        <w:t>tax.</w:t>
      </w:r>
    </w:p>
    <w:p w:rsidR="00887330" w:rsidRPr="00583E1A" w:rsidRDefault="00887330" w:rsidP="00887330">
      <w:pPr>
        <w:pStyle w:val="Definition"/>
      </w:pPr>
      <w:r w:rsidRPr="00583E1A">
        <w:rPr>
          <w:b/>
          <w:i/>
        </w:rPr>
        <w:t>taxation law</w:t>
      </w:r>
      <w:r w:rsidRPr="00583E1A">
        <w:t xml:space="preserve"> means:</w:t>
      </w:r>
    </w:p>
    <w:p w:rsidR="00887330" w:rsidRPr="00583E1A" w:rsidRDefault="00887330" w:rsidP="00887330">
      <w:pPr>
        <w:pStyle w:val="paragraph"/>
      </w:pPr>
      <w:r w:rsidRPr="00583E1A">
        <w:tab/>
        <w:t>(a)</w:t>
      </w:r>
      <w:r w:rsidRPr="00583E1A">
        <w:tab/>
        <w:t>an Act of which the Commissioner has the general administration</w:t>
      </w:r>
      <w:r w:rsidR="0078284B" w:rsidRPr="00583E1A">
        <w:t xml:space="preserve"> (including a part of an Act to the extent to which the Commissioner has the general administration of the Act)</w:t>
      </w:r>
      <w:r w:rsidRPr="00583E1A">
        <w:t>; or</w:t>
      </w:r>
    </w:p>
    <w:p w:rsidR="00887330" w:rsidRPr="00583E1A" w:rsidRDefault="00887330" w:rsidP="00887330">
      <w:pPr>
        <w:pStyle w:val="paragraph"/>
      </w:pPr>
      <w:r w:rsidRPr="00583E1A">
        <w:tab/>
        <w:t>(b)</w:t>
      </w:r>
      <w:r w:rsidRPr="00583E1A">
        <w:tab/>
      </w:r>
      <w:r w:rsidR="00BB2F41" w:rsidRPr="00B758CF">
        <w:t>legislative instruments made</w:t>
      </w:r>
      <w:r w:rsidRPr="00583E1A">
        <w:t xml:space="preserve"> under such an Act</w:t>
      </w:r>
      <w:r w:rsidR="0078284B" w:rsidRPr="00583E1A">
        <w:t xml:space="preserve"> (including such a part of an Act)</w:t>
      </w:r>
      <w:r w:rsidR="00553ED4" w:rsidRPr="006E37FD">
        <w:t>; or</w:t>
      </w:r>
    </w:p>
    <w:p w:rsidR="00553ED4" w:rsidRPr="006E37FD" w:rsidRDefault="00553ED4" w:rsidP="00553ED4">
      <w:pPr>
        <w:pStyle w:val="paragraph"/>
      </w:pPr>
      <w:r w:rsidRPr="006E37FD">
        <w:tab/>
        <w:t>(c)</w:t>
      </w:r>
      <w:r w:rsidRPr="006E37FD">
        <w:tab/>
        <w:t xml:space="preserve">the </w:t>
      </w:r>
      <w:r w:rsidRPr="006E37FD">
        <w:rPr>
          <w:i/>
        </w:rPr>
        <w:t>Tax Agent Services Act 2009</w:t>
      </w:r>
      <w:r w:rsidRPr="006E37FD">
        <w:t xml:space="preserve"> or regulations made under that Act.</w:t>
      </w:r>
    </w:p>
    <w:p w:rsidR="00BB2F41" w:rsidRPr="00B758CF" w:rsidRDefault="00BB2F41" w:rsidP="00BB2F41">
      <w:pPr>
        <w:pStyle w:val="Definition"/>
      </w:pPr>
      <w:r w:rsidRPr="00B758CF">
        <w:rPr>
          <w:b/>
          <w:i/>
        </w:rPr>
        <w:t>taxation officer</w:t>
      </w:r>
      <w:r w:rsidRPr="00B758CF">
        <w:t xml:space="preserve"> has the meaning given by section 355</w:t>
      </w:r>
      <w:r w:rsidRPr="00B758CF">
        <w:noBreakHyphen/>
        <w:t xml:space="preserve">30 in Schedule 1 to the </w:t>
      </w:r>
      <w:r w:rsidRPr="00B758CF">
        <w:rPr>
          <w:i/>
        </w:rPr>
        <w:t>Taxation Administration Act 1953</w:t>
      </w:r>
      <w:r w:rsidRPr="00B758CF">
        <w:t>.</w:t>
      </w:r>
    </w:p>
    <w:p w:rsidR="00887330" w:rsidRPr="00583E1A" w:rsidRDefault="00887330" w:rsidP="00887330">
      <w:pPr>
        <w:pStyle w:val="Definition"/>
      </w:pPr>
      <w:r w:rsidRPr="00583E1A">
        <w:rPr>
          <w:b/>
          <w:i/>
        </w:rPr>
        <w:t>tax audit</w:t>
      </w:r>
      <w:r w:rsidRPr="00583E1A">
        <w:t xml:space="preserve"> means an examination by the Commissioner of an entity’s financial affairs for the purposes of a </w:t>
      </w:r>
      <w:r w:rsidR="00583E1A" w:rsidRPr="00583E1A">
        <w:rPr>
          <w:position w:val="6"/>
          <w:sz w:val="16"/>
        </w:rPr>
        <w:t>*</w:t>
      </w:r>
      <w:r w:rsidRPr="00583E1A">
        <w:t>taxation law.</w:t>
      </w:r>
    </w:p>
    <w:p w:rsidR="00887330" w:rsidRPr="00583E1A" w:rsidRDefault="00887330" w:rsidP="00887330">
      <w:pPr>
        <w:pStyle w:val="Definition"/>
      </w:pPr>
      <w:r w:rsidRPr="00583E1A">
        <w:rPr>
          <w:b/>
          <w:i/>
        </w:rPr>
        <w:t>tax benefit</w:t>
      </w:r>
      <w:r w:rsidRPr="00583E1A">
        <w:t xml:space="preserve"> has the meaning given by section</w:t>
      </w:r>
      <w:r w:rsidR="00583E1A">
        <w:t> </w:t>
      </w:r>
      <w:r w:rsidRPr="00583E1A">
        <w:t>45</w:t>
      </w:r>
      <w:r w:rsidR="00583E1A">
        <w:noBreakHyphen/>
      </w:r>
      <w:r w:rsidRPr="00583E1A">
        <w:t>605 in Schedule</w:t>
      </w:r>
      <w:r w:rsidR="00583E1A">
        <w:t> </w:t>
      </w:r>
      <w:r w:rsidRPr="00583E1A">
        <w:t xml:space="preserve">1 to the </w:t>
      </w:r>
      <w:r w:rsidRPr="00583E1A">
        <w:rPr>
          <w:i/>
        </w:rPr>
        <w:t>Taxation Administration Act 1953</w:t>
      </w:r>
      <w:r w:rsidRPr="00583E1A">
        <w:t>.</w:t>
      </w:r>
    </w:p>
    <w:p w:rsidR="00887330" w:rsidRPr="00583E1A" w:rsidRDefault="00887330" w:rsidP="00887330">
      <w:pPr>
        <w:pStyle w:val="Definition"/>
      </w:pPr>
      <w:r w:rsidRPr="00583E1A">
        <w:rPr>
          <w:b/>
          <w:i/>
        </w:rPr>
        <w:t xml:space="preserve">tax cost </w:t>
      </w:r>
      <w:r w:rsidRPr="00583E1A">
        <w:t>has the meaning given by section</w:t>
      </w:r>
      <w:r w:rsidR="00583E1A">
        <w:t> </w:t>
      </w:r>
      <w:r w:rsidRPr="00583E1A">
        <w:t>830</w:t>
      </w:r>
      <w:r w:rsidR="00583E1A">
        <w:noBreakHyphen/>
      </w:r>
      <w:r w:rsidRPr="00583E1A">
        <w:t>100.</w:t>
      </w:r>
    </w:p>
    <w:p w:rsidR="00887330" w:rsidRPr="00583E1A" w:rsidRDefault="00887330" w:rsidP="00887330">
      <w:pPr>
        <w:pStyle w:val="Definition"/>
        <w:rPr>
          <w:b/>
          <w:i/>
        </w:rPr>
      </w:pPr>
      <w:r w:rsidRPr="00583E1A">
        <w:rPr>
          <w:b/>
          <w:i/>
        </w:rPr>
        <w:t xml:space="preserve">tax cost is set </w:t>
      </w:r>
      <w:r w:rsidRPr="00583E1A">
        <w:t>has the meaning given by section</w:t>
      </w:r>
      <w:r w:rsidR="00583E1A">
        <w:t> </w:t>
      </w:r>
      <w:r w:rsidRPr="00583E1A">
        <w:t>701</w:t>
      </w:r>
      <w:r w:rsidR="00583E1A">
        <w:noBreakHyphen/>
      </w:r>
      <w:r w:rsidRPr="00583E1A">
        <w:t>55 or 830</w:t>
      </w:r>
      <w:r w:rsidR="00583E1A">
        <w:noBreakHyphen/>
      </w:r>
      <w:r w:rsidRPr="00583E1A">
        <w:t>90.</w:t>
      </w:r>
    </w:p>
    <w:p w:rsidR="00887330" w:rsidRPr="00583E1A" w:rsidRDefault="00887330" w:rsidP="00887330">
      <w:pPr>
        <w:pStyle w:val="Definition"/>
        <w:rPr>
          <w:b/>
          <w:i/>
        </w:rPr>
      </w:pPr>
      <w:r w:rsidRPr="00583E1A">
        <w:rPr>
          <w:b/>
          <w:i/>
        </w:rPr>
        <w:t>tax cost setting amount</w:t>
      </w:r>
      <w:r w:rsidRPr="00583E1A">
        <w:t xml:space="preserve"> has the meaning given by section</w:t>
      </w:r>
      <w:r w:rsidR="00583E1A">
        <w:t> </w:t>
      </w:r>
      <w:r w:rsidRPr="00583E1A">
        <w:t>701</w:t>
      </w:r>
      <w:r w:rsidR="00583E1A">
        <w:noBreakHyphen/>
      </w:r>
      <w:r w:rsidRPr="00583E1A">
        <w:t>60 or 830</w:t>
      </w:r>
      <w:r w:rsidR="00583E1A">
        <w:noBreakHyphen/>
      </w:r>
      <w:r w:rsidRPr="00583E1A">
        <w:t>95.</w:t>
      </w:r>
    </w:p>
    <w:p w:rsidR="00887330" w:rsidRPr="00583E1A" w:rsidRDefault="00887330" w:rsidP="00887330">
      <w:pPr>
        <w:pStyle w:val="Definition"/>
      </w:pPr>
      <w:r w:rsidRPr="00583E1A">
        <w:rPr>
          <w:b/>
          <w:i/>
        </w:rPr>
        <w:t>tax debt</w:t>
      </w:r>
      <w:r w:rsidRPr="00583E1A">
        <w:t xml:space="preserve"> has the same meaning as in section</w:t>
      </w:r>
      <w:r w:rsidR="00583E1A">
        <w:t> </w:t>
      </w:r>
      <w:r w:rsidRPr="00583E1A">
        <w:t xml:space="preserve">8AAZA of the </w:t>
      </w:r>
      <w:r w:rsidRPr="00583E1A">
        <w:rPr>
          <w:i/>
        </w:rPr>
        <w:t>Taxation Administration Act 1953</w:t>
      </w:r>
      <w:r w:rsidRPr="00583E1A">
        <w:t>.</w:t>
      </w:r>
    </w:p>
    <w:p w:rsidR="00887330" w:rsidRPr="00583E1A" w:rsidRDefault="00887330" w:rsidP="00887330">
      <w:pPr>
        <w:pStyle w:val="Definition"/>
      </w:pPr>
      <w:r w:rsidRPr="00583E1A">
        <w:rPr>
          <w:b/>
          <w:i/>
        </w:rPr>
        <w:t>tax detriment</w:t>
      </w:r>
      <w:r w:rsidRPr="00583E1A">
        <w:t xml:space="preserve"> has the meaning given by section</w:t>
      </w:r>
      <w:r w:rsidR="00583E1A">
        <w:t> </w:t>
      </w:r>
      <w:r w:rsidRPr="00583E1A">
        <w:t>45</w:t>
      </w:r>
      <w:r w:rsidR="00583E1A">
        <w:noBreakHyphen/>
      </w:r>
      <w:r w:rsidRPr="00583E1A">
        <w:t>624 in Schedule</w:t>
      </w:r>
      <w:r w:rsidR="00583E1A">
        <w:t> </w:t>
      </w:r>
      <w:r w:rsidRPr="00583E1A">
        <w:t xml:space="preserve">1 to the </w:t>
      </w:r>
      <w:r w:rsidRPr="00583E1A">
        <w:rPr>
          <w:i/>
        </w:rPr>
        <w:t>Taxation Administration Act 1953</w:t>
      </w:r>
      <w:r w:rsidRPr="00583E1A">
        <w:t>.</w:t>
      </w:r>
    </w:p>
    <w:p w:rsidR="00887330" w:rsidRPr="00583E1A" w:rsidRDefault="00887330" w:rsidP="00887330">
      <w:pPr>
        <w:pStyle w:val="Definition"/>
      </w:pPr>
      <w:r w:rsidRPr="00583E1A">
        <w:rPr>
          <w:b/>
          <w:i/>
        </w:rPr>
        <w:t>tax</w:t>
      </w:r>
      <w:r w:rsidR="00583E1A">
        <w:rPr>
          <w:b/>
          <w:i/>
        </w:rPr>
        <w:noBreakHyphen/>
      </w:r>
      <w:r w:rsidRPr="00583E1A">
        <w:rPr>
          <w:b/>
          <w:i/>
        </w:rPr>
        <w:t>exempt bonus share</w:t>
      </w:r>
      <w:r w:rsidRPr="00583E1A">
        <w:t xml:space="preserve"> has the meaning given by subsections 204</w:t>
      </w:r>
      <w:r w:rsidR="00583E1A">
        <w:noBreakHyphen/>
      </w:r>
      <w:r w:rsidRPr="00583E1A">
        <w:t>25(4) and (5).</w:t>
      </w:r>
    </w:p>
    <w:p w:rsidR="00887330" w:rsidRPr="00583E1A" w:rsidRDefault="00887330" w:rsidP="00887330">
      <w:pPr>
        <w:pStyle w:val="Definition"/>
      </w:pPr>
      <w:r w:rsidRPr="00583E1A">
        <w:rPr>
          <w:b/>
          <w:i/>
        </w:rPr>
        <w:t>tax</w:t>
      </w:r>
      <w:r w:rsidR="00583E1A">
        <w:rPr>
          <w:b/>
          <w:i/>
        </w:rPr>
        <w:noBreakHyphen/>
      </w:r>
      <w:r w:rsidRPr="00583E1A">
        <w:rPr>
          <w:b/>
          <w:i/>
        </w:rPr>
        <w:t>exempt foreign resident</w:t>
      </w:r>
      <w:r w:rsidRPr="00583E1A">
        <w:t xml:space="preserve"> has the meaning given by subsection 118</w:t>
      </w:r>
      <w:r w:rsidR="00583E1A">
        <w:noBreakHyphen/>
      </w:r>
      <w:r w:rsidRPr="00583E1A">
        <w:t>420(3).</w:t>
      </w:r>
    </w:p>
    <w:p w:rsidR="00887330" w:rsidRPr="00583E1A" w:rsidRDefault="00887330" w:rsidP="00887330">
      <w:pPr>
        <w:pStyle w:val="Definition"/>
      </w:pPr>
      <w:r w:rsidRPr="00583E1A">
        <w:rPr>
          <w:b/>
          <w:i/>
        </w:rPr>
        <w:t>tax exempt vendor</w:t>
      </w:r>
      <w:r w:rsidRPr="00583E1A">
        <w:t xml:space="preserve"> has the meaning given by section</w:t>
      </w:r>
      <w:r w:rsidR="00583E1A">
        <w:t> </w:t>
      </w:r>
      <w:r w:rsidRPr="00583E1A">
        <w:t>58</w:t>
      </w:r>
      <w:r w:rsidR="00583E1A">
        <w:noBreakHyphen/>
      </w:r>
      <w:r w:rsidRPr="00583E1A">
        <w:t>5.</w:t>
      </w:r>
    </w:p>
    <w:p w:rsidR="00887330" w:rsidRPr="00583E1A" w:rsidRDefault="00887330" w:rsidP="00887330">
      <w:pPr>
        <w:pStyle w:val="Definition"/>
      </w:pPr>
      <w:r w:rsidRPr="00583E1A">
        <w:rPr>
          <w:b/>
          <w:i/>
        </w:rPr>
        <w:t>tax exploitation scheme</w:t>
      </w:r>
      <w:r w:rsidRPr="00583E1A">
        <w:t xml:space="preserve"> has the meaning given by section</w:t>
      </w:r>
      <w:r w:rsidR="00583E1A">
        <w:t> </w:t>
      </w:r>
      <w:r w:rsidRPr="00583E1A">
        <w:t>290</w:t>
      </w:r>
      <w:r w:rsidR="00583E1A">
        <w:noBreakHyphen/>
      </w:r>
      <w:r w:rsidRPr="00583E1A">
        <w:t>65 in Schedule</w:t>
      </w:r>
      <w:r w:rsidR="00583E1A">
        <w:t> </w:t>
      </w:r>
      <w:r w:rsidRPr="00583E1A">
        <w:t xml:space="preserve">1 to the </w:t>
      </w:r>
      <w:r w:rsidRPr="00583E1A">
        <w:rPr>
          <w:i/>
        </w:rPr>
        <w:t>Taxation Administration Act 1953</w:t>
      </w:r>
      <w:r w:rsidRPr="00583E1A">
        <w:t>.</w:t>
      </w:r>
    </w:p>
    <w:p w:rsidR="00887330" w:rsidRPr="00583E1A" w:rsidRDefault="00887330" w:rsidP="00887330">
      <w:pPr>
        <w:pStyle w:val="Definition"/>
      </w:pPr>
      <w:r w:rsidRPr="00583E1A">
        <w:rPr>
          <w:b/>
          <w:i/>
        </w:rPr>
        <w:t xml:space="preserve">tax file number </w:t>
      </w:r>
      <w:r w:rsidRPr="00583E1A">
        <w:t>means a tax file number as defined in section</w:t>
      </w:r>
      <w:r w:rsidR="00583E1A">
        <w:t> </w:t>
      </w:r>
      <w:r w:rsidRPr="00583E1A">
        <w:t xml:space="preserve">202A of the </w:t>
      </w:r>
      <w:r w:rsidRPr="00583E1A">
        <w:rPr>
          <w:i/>
        </w:rPr>
        <w:t>Income Tax Assessment Act 1936.</w:t>
      </w:r>
    </w:p>
    <w:p w:rsidR="00887330" w:rsidRPr="00583E1A" w:rsidRDefault="00887330" w:rsidP="007241A9">
      <w:pPr>
        <w:pStyle w:val="Definition"/>
        <w:keepNext/>
      </w:pPr>
      <w:r w:rsidRPr="00583E1A">
        <w:rPr>
          <w:b/>
          <w:i/>
        </w:rPr>
        <w:t>tax</w:t>
      </w:r>
      <w:r w:rsidR="00583E1A">
        <w:rPr>
          <w:b/>
          <w:i/>
        </w:rPr>
        <w:noBreakHyphen/>
      </w:r>
      <w:r w:rsidRPr="00583E1A">
        <w:rPr>
          <w:b/>
          <w:i/>
        </w:rPr>
        <w:t>free amount</w:t>
      </w:r>
      <w:r w:rsidRPr="00583E1A">
        <w:t xml:space="preserve"> of a payment is defined as set out in this table:</w:t>
      </w:r>
    </w:p>
    <w:p w:rsidR="00887330" w:rsidRPr="00583E1A" w:rsidRDefault="00887330" w:rsidP="007241A9">
      <w:pPr>
        <w:pStyle w:val="Tabletext"/>
        <w:keepNext/>
      </w:pPr>
    </w:p>
    <w:tbl>
      <w:tblPr>
        <w:tblW w:w="0" w:type="auto"/>
        <w:tblInd w:w="1242" w:type="dxa"/>
        <w:tblLayout w:type="fixed"/>
        <w:tblLook w:val="0000" w:firstRow="0" w:lastRow="0" w:firstColumn="0" w:lastColumn="0" w:noHBand="0" w:noVBand="0"/>
      </w:tblPr>
      <w:tblGrid>
        <w:gridCol w:w="426"/>
        <w:gridCol w:w="2976"/>
        <w:gridCol w:w="2551"/>
      </w:tblGrid>
      <w:tr w:rsidR="00887330" w:rsidRPr="00583E1A">
        <w:trPr>
          <w:cantSplit/>
          <w:tblHeader/>
        </w:trPr>
        <w:tc>
          <w:tcPr>
            <w:tcW w:w="5953" w:type="dxa"/>
            <w:gridSpan w:val="3"/>
            <w:tcBorders>
              <w:top w:val="single" w:sz="12" w:space="0" w:color="000000"/>
              <w:bottom w:val="single" w:sz="6" w:space="0" w:color="000000"/>
            </w:tcBorders>
          </w:tcPr>
          <w:p w:rsidR="00887330" w:rsidRPr="00583E1A" w:rsidRDefault="00887330" w:rsidP="007241A9">
            <w:pPr>
              <w:pStyle w:val="Tabletext"/>
              <w:keepNext/>
            </w:pPr>
            <w:r w:rsidRPr="00583E1A">
              <w:rPr>
                <w:b/>
              </w:rPr>
              <w:t>Tax</w:t>
            </w:r>
            <w:r w:rsidR="00583E1A">
              <w:rPr>
                <w:b/>
              </w:rPr>
              <w:noBreakHyphen/>
            </w:r>
            <w:r w:rsidRPr="00583E1A">
              <w:rPr>
                <w:b/>
              </w:rPr>
              <w:t>free amount of a payment</w:t>
            </w:r>
          </w:p>
        </w:tc>
      </w:tr>
      <w:tr w:rsidR="00887330" w:rsidRPr="00583E1A">
        <w:trPr>
          <w:cantSplit/>
          <w:tblHeader/>
        </w:trPr>
        <w:tc>
          <w:tcPr>
            <w:tcW w:w="3402" w:type="dxa"/>
            <w:gridSpan w:val="2"/>
            <w:tcBorders>
              <w:top w:val="single" w:sz="6" w:space="0" w:color="000000"/>
              <w:bottom w:val="single" w:sz="2" w:space="0" w:color="000000"/>
            </w:tcBorders>
            <w:shd w:val="clear" w:color="auto" w:fill="auto"/>
          </w:tcPr>
          <w:p w:rsidR="00887330" w:rsidRPr="00583E1A" w:rsidRDefault="00887330" w:rsidP="007241A9">
            <w:pPr>
              <w:pStyle w:val="Tabletext"/>
              <w:keepNext/>
            </w:pPr>
            <w:r w:rsidRPr="00583E1A">
              <w:rPr>
                <w:b/>
                <w:i/>
              </w:rPr>
              <w:t>Tax</w:t>
            </w:r>
            <w:r w:rsidR="00583E1A">
              <w:rPr>
                <w:b/>
                <w:i/>
              </w:rPr>
              <w:noBreakHyphen/>
            </w:r>
            <w:r w:rsidRPr="00583E1A">
              <w:rPr>
                <w:b/>
                <w:i/>
              </w:rPr>
              <w:t xml:space="preserve">free amount </w:t>
            </w:r>
            <w:r w:rsidRPr="00583E1A">
              <w:rPr>
                <w:b/>
              </w:rPr>
              <w:t>of this kind of payment:</w:t>
            </w:r>
          </w:p>
        </w:tc>
        <w:tc>
          <w:tcPr>
            <w:tcW w:w="2551" w:type="dxa"/>
            <w:tcBorders>
              <w:top w:val="single" w:sz="6" w:space="0" w:color="000000"/>
              <w:bottom w:val="single" w:sz="2" w:space="0" w:color="000000"/>
            </w:tcBorders>
            <w:shd w:val="clear" w:color="auto" w:fill="auto"/>
          </w:tcPr>
          <w:p w:rsidR="00887330" w:rsidRPr="00583E1A" w:rsidRDefault="00887330" w:rsidP="007241A9">
            <w:pPr>
              <w:pStyle w:val="Tabletext"/>
              <w:keepNext/>
            </w:pPr>
            <w:r w:rsidRPr="00583E1A">
              <w:rPr>
                <w:b/>
              </w:rPr>
              <w:br/>
              <w:t>has the meaning given by:</w:t>
            </w:r>
          </w:p>
        </w:tc>
      </w:tr>
      <w:tr w:rsidR="00887330" w:rsidRPr="00583E1A">
        <w:trPr>
          <w:cantSplit/>
          <w:tblHeader/>
        </w:trPr>
        <w:tc>
          <w:tcPr>
            <w:tcW w:w="426" w:type="dxa"/>
            <w:tcBorders>
              <w:top w:val="single" w:sz="2" w:space="0" w:color="000000"/>
              <w:bottom w:val="single" w:sz="2" w:space="0" w:color="000000"/>
            </w:tcBorders>
            <w:shd w:val="clear" w:color="auto" w:fill="auto"/>
          </w:tcPr>
          <w:p w:rsidR="00887330" w:rsidRPr="00583E1A" w:rsidRDefault="00887330" w:rsidP="007241A9">
            <w:pPr>
              <w:pStyle w:val="Tabletext"/>
              <w:keepNext/>
            </w:pPr>
            <w:r w:rsidRPr="00583E1A">
              <w:t>1</w:t>
            </w:r>
          </w:p>
        </w:tc>
        <w:tc>
          <w:tcPr>
            <w:tcW w:w="2976" w:type="dxa"/>
            <w:tcBorders>
              <w:top w:val="single" w:sz="2" w:space="0" w:color="000000"/>
              <w:bottom w:val="single" w:sz="2" w:space="0" w:color="000000"/>
            </w:tcBorders>
            <w:shd w:val="clear" w:color="auto" w:fill="auto"/>
          </w:tcPr>
          <w:p w:rsidR="00887330" w:rsidRPr="00583E1A" w:rsidRDefault="00887330" w:rsidP="007241A9">
            <w:pPr>
              <w:pStyle w:val="Tabletext"/>
              <w:keepNext/>
            </w:pPr>
            <w:r w:rsidRPr="00583E1A">
              <w:t>Social security payment</w:t>
            </w:r>
          </w:p>
        </w:tc>
        <w:tc>
          <w:tcPr>
            <w:tcW w:w="2551" w:type="dxa"/>
            <w:tcBorders>
              <w:top w:val="single" w:sz="2" w:space="0" w:color="000000"/>
              <w:bottom w:val="single" w:sz="2" w:space="0" w:color="000000"/>
            </w:tcBorders>
            <w:shd w:val="clear" w:color="auto" w:fill="auto"/>
          </w:tcPr>
          <w:p w:rsidR="00887330" w:rsidRPr="00583E1A" w:rsidRDefault="00887330" w:rsidP="007241A9">
            <w:pPr>
              <w:pStyle w:val="Tabletext"/>
              <w:keepNext/>
            </w:pPr>
            <w:r w:rsidRPr="00583E1A">
              <w:t>sections</w:t>
            </w:r>
            <w:r w:rsidR="00583E1A">
              <w:t> </w:t>
            </w:r>
            <w:r w:rsidRPr="00583E1A">
              <w:t>52</w:t>
            </w:r>
            <w:r w:rsidR="00583E1A">
              <w:noBreakHyphen/>
            </w:r>
            <w:r w:rsidRPr="00583E1A">
              <w:t>20, 52</w:t>
            </w:r>
            <w:r w:rsidR="00583E1A">
              <w:noBreakHyphen/>
            </w:r>
            <w:r w:rsidRPr="00583E1A">
              <w:t>25, 52</w:t>
            </w:r>
            <w:r w:rsidR="00583E1A">
              <w:noBreakHyphen/>
            </w:r>
            <w:r w:rsidRPr="00583E1A">
              <w:t>30 and 52</w:t>
            </w:r>
            <w:r w:rsidR="00583E1A">
              <w:noBreakHyphen/>
            </w:r>
            <w:r w:rsidRPr="00583E1A">
              <w:t>35</w:t>
            </w:r>
          </w:p>
        </w:tc>
      </w:tr>
      <w:tr w:rsidR="00DE1DC4" w:rsidRPr="00583E1A">
        <w:trPr>
          <w:cantSplit/>
          <w:tblHeader/>
        </w:trPr>
        <w:tc>
          <w:tcPr>
            <w:tcW w:w="426" w:type="dxa"/>
            <w:tcBorders>
              <w:top w:val="single" w:sz="2" w:space="0" w:color="000000"/>
              <w:bottom w:val="single" w:sz="12" w:space="0" w:color="000000"/>
            </w:tcBorders>
            <w:shd w:val="clear" w:color="auto" w:fill="auto"/>
          </w:tcPr>
          <w:p w:rsidR="00DE1DC4" w:rsidRPr="00583E1A" w:rsidRDefault="00DE1DC4" w:rsidP="007241A9">
            <w:pPr>
              <w:pStyle w:val="Tabletext"/>
              <w:keepNext/>
            </w:pPr>
            <w:r w:rsidRPr="00583E1A">
              <w:t>2</w:t>
            </w:r>
          </w:p>
        </w:tc>
        <w:tc>
          <w:tcPr>
            <w:tcW w:w="2976" w:type="dxa"/>
            <w:tcBorders>
              <w:top w:val="single" w:sz="2" w:space="0" w:color="000000"/>
              <w:bottom w:val="single" w:sz="12" w:space="0" w:color="000000"/>
            </w:tcBorders>
            <w:shd w:val="clear" w:color="auto" w:fill="auto"/>
          </w:tcPr>
          <w:p w:rsidR="00DE1DC4" w:rsidRPr="00583E1A" w:rsidRDefault="00DE1DC4" w:rsidP="007241A9">
            <w:pPr>
              <w:pStyle w:val="Tabletext"/>
              <w:keepNext/>
            </w:pPr>
            <w:r w:rsidRPr="00583E1A">
              <w:t>Payment under the ABSTUDY scheme</w:t>
            </w:r>
          </w:p>
        </w:tc>
        <w:tc>
          <w:tcPr>
            <w:tcW w:w="2551" w:type="dxa"/>
            <w:tcBorders>
              <w:top w:val="single" w:sz="2" w:space="0" w:color="000000"/>
              <w:bottom w:val="single" w:sz="12" w:space="0" w:color="000000"/>
            </w:tcBorders>
            <w:shd w:val="clear" w:color="auto" w:fill="auto"/>
          </w:tcPr>
          <w:p w:rsidR="00DE1DC4" w:rsidRPr="00583E1A" w:rsidRDefault="00DE1DC4" w:rsidP="007241A9">
            <w:pPr>
              <w:pStyle w:val="Tabletext"/>
              <w:keepNext/>
            </w:pPr>
            <w:r w:rsidRPr="00583E1A">
              <w:t>sections</w:t>
            </w:r>
            <w:r w:rsidR="00583E1A">
              <w:t> </w:t>
            </w:r>
            <w:r w:rsidRPr="00583E1A">
              <w:t>52</w:t>
            </w:r>
            <w:r w:rsidR="00583E1A">
              <w:noBreakHyphen/>
            </w:r>
            <w:r w:rsidRPr="00583E1A">
              <w:t>133 and 52</w:t>
            </w:r>
            <w:r w:rsidR="00583E1A">
              <w:noBreakHyphen/>
            </w:r>
            <w:r w:rsidRPr="00583E1A">
              <w:t>134</w:t>
            </w:r>
          </w:p>
        </w:tc>
      </w:tr>
    </w:tbl>
    <w:p w:rsidR="006C39A6" w:rsidRPr="00583E1A" w:rsidRDefault="006C39A6" w:rsidP="006C39A6">
      <w:pPr>
        <w:pStyle w:val="Definition"/>
      </w:pPr>
      <w:r w:rsidRPr="00583E1A">
        <w:rPr>
          <w:b/>
          <w:i/>
        </w:rPr>
        <w:t>tax free component</w:t>
      </w:r>
      <w:r w:rsidRPr="00583E1A">
        <w:t>:</w:t>
      </w:r>
    </w:p>
    <w:p w:rsidR="006C39A6" w:rsidRPr="00583E1A" w:rsidRDefault="006C39A6" w:rsidP="006C39A6">
      <w:pPr>
        <w:pStyle w:val="paragraph"/>
      </w:pPr>
      <w:r w:rsidRPr="00583E1A">
        <w:tab/>
        <w:t>(a)</w:t>
      </w:r>
      <w:r w:rsidRPr="00583E1A">
        <w:tab/>
        <w:t xml:space="preserve">the </w:t>
      </w:r>
      <w:r w:rsidRPr="00583E1A">
        <w:rPr>
          <w:b/>
          <w:i/>
        </w:rPr>
        <w:t xml:space="preserve">tax free component </w:t>
      </w:r>
      <w:r w:rsidRPr="00583E1A">
        <w:t xml:space="preserve">of an </w:t>
      </w:r>
      <w:r w:rsidR="00583E1A" w:rsidRPr="00583E1A">
        <w:rPr>
          <w:position w:val="6"/>
          <w:sz w:val="16"/>
        </w:rPr>
        <w:t>*</w:t>
      </w:r>
      <w:r w:rsidRPr="00583E1A">
        <w:t>employment termination payment has the meaning given by section</w:t>
      </w:r>
      <w:r w:rsidR="00583E1A">
        <w:t> </w:t>
      </w:r>
      <w:r w:rsidRPr="00583E1A">
        <w:t>82</w:t>
      </w:r>
      <w:r w:rsidR="00583E1A">
        <w:noBreakHyphen/>
      </w:r>
      <w:r w:rsidRPr="00583E1A">
        <w:t>140; and</w:t>
      </w:r>
    </w:p>
    <w:p w:rsidR="006C39A6" w:rsidRPr="00583E1A" w:rsidRDefault="006C39A6" w:rsidP="006C39A6">
      <w:pPr>
        <w:pStyle w:val="paragraph"/>
      </w:pPr>
      <w:r w:rsidRPr="00583E1A">
        <w:tab/>
        <w:t>(b)</w:t>
      </w:r>
      <w:r w:rsidRPr="00583E1A">
        <w:tab/>
        <w:t xml:space="preserve">the </w:t>
      </w:r>
      <w:r w:rsidRPr="00583E1A">
        <w:rPr>
          <w:b/>
          <w:i/>
        </w:rPr>
        <w:t xml:space="preserve">tax free component </w:t>
      </w:r>
      <w:r w:rsidRPr="00583E1A">
        <w:t xml:space="preserve">of a </w:t>
      </w:r>
      <w:r w:rsidR="00583E1A" w:rsidRPr="00583E1A">
        <w:rPr>
          <w:position w:val="6"/>
          <w:sz w:val="16"/>
        </w:rPr>
        <w:t>*</w:t>
      </w:r>
      <w:r w:rsidRPr="00583E1A">
        <w:t>superannuation benefit has the meaning given by section</w:t>
      </w:r>
      <w:r w:rsidR="00583E1A">
        <w:t> </w:t>
      </w:r>
      <w:r w:rsidRPr="00583E1A">
        <w:t>307</w:t>
      </w:r>
      <w:r w:rsidR="00583E1A">
        <w:noBreakHyphen/>
      </w:r>
      <w:r w:rsidRPr="00583E1A">
        <w:t>120; and</w:t>
      </w:r>
    </w:p>
    <w:p w:rsidR="006C39A6" w:rsidRPr="00583E1A" w:rsidRDefault="006C39A6" w:rsidP="006C39A6">
      <w:pPr>
        <w:pStyle w:val="paragraph"/>
      </w:pPr>
      <w:r w:rsidRPr="00583E1A">
        <w:tab/>
        <w:t>(c)</w:t>
      </w:r>
      <w:r w:rsidRPr="00583E1A">
        <w:tab/>
        <w:t xml:space="preserve">the </w:t>
      </w:r>
      <w:r w:rsidRPr="00583E1A">
        <w:rPr>
          <w:b/>
          <w:i/>
        </w:rPr>
        <w:t xml:space="preserve">tax free component </w:t>
      </w:r>
      <w:r w:rsidRPr="00583E1A">
        <w:t xml:space="preserve">of a </w:t>
      </w:r>
      <w:r w:rsidR="00583E1A" w:rsidRPr="00583E1A">
        <w:rPr>
          <w:position w:val="6"/>
          <w:sz w:val="16"/>
        </w:rPr>
        <w:t>*</w:t>
      </w:r>
      <w:r w:rsidRPr="00583E1A">
        <w:t>superannuation interest has the meaning given by section</w:t>
      </w:r>
      <w:r w:rsidR="00583E1A">
        <w:t> </w:t>
      </w:r>
      <w:r w:rsidRPr="00583E1A">
        <w:t>307</w:t>
      </w:r>
      <w:r w:rsidR="00583E1A">
        <w:noBreakHyphen/>
      </w:r>
      <w:r w:rsidRPr="00583E1A">
        <w:t>210.</w:t>
      </w:r>
    </w:p>
    <w:p w:rsidR="00887330" w:rsidRPr="00583E1A" w:rsidRDefault="00887330" w:rsidP="00887330">
      <w:pPr>
        <w:pStyle w:val="Definition"/>
      </w:pPr>
      <w:r w:rsidRPr="00583E1A">
        <w:rPr>
          <w:b/>
          <w:i/>
        </w:rPr>
        <w:t>taxing event generating a gain</w:t>
      </w:r>
      <w:r w:rsidRPr="00583E1A">
        <w:t xml:space="preserve"> has the meaning given by sections</w:t>
      </w:r>
      <w:r w:rsidR="00583E1A">
        <w:t> </w:t>
      </w:r>
      <w:r w:rsidRPr="00583E1A">
        <w:t>725</w:t>
      </w:r>
      <w:r w:rsidR="00583E1A">
        <w:noBreakHyphen/>
      </w:r>
      <w:r w:rsidRPr="00583E1A">
        <w:t>245 and 725</w:t>
      </w:r>
      <w:r w:rsidR="00583E1A">
        <w:noBreakHyphen/>
      </w:r>
      <w:r w:rsidRPr="00583E1A">
        <w:t>335.</w:t>
      </w:r>
    </w:p>
    <w:p w:rsidR="00C46DB7" w:rsidRPr="003452B8" w:rsidRDefault="00C46DB7" w:rsidP="00C46DB7">
      <w:pPr>
        <w:pStyle w:val="Definition"/>
      </w:pPr>
      <w:r w:rsidRPr="003452B8">
        <w:rPr>
          <w:b/>
          <w:i/>
        </w:rPr>
        <w:t>tax invoice</w:t>
      </w:r>
      <w:r w:rsidRPr="003452B8">
        <w:t xml:space="preserve"> has the meaning given by section 195</w:t>
      </w:r>
      <w:r w:rsidRPr="003452B8">
        <w:noBreakHyphen/>
        <w:t xml:space="preserve">1 of the </w:t>
      </w:r>
      <w:r w:rsidRPr="003452B8">
        <w:rPr>
          <w:position w:val="6"/>
          <w:sz w:val="16"/>
        </w:rPr>
        <w:t>*</w:t>
      </w:r>
      <w:r w:rsidRPr="003452B8">
        <w:t>GST Act.</w:t>
      </w:r>
    </w:p>
    <w:p w:rsidR="00887330" w:rsidRPr="00583E1A" w:rsidRDefault="00887330" w:rsidP="00C67A46">
      <w:pPr>
        <w:pStyle w:val="Definition"/>
        <w:keepNext/>
      </w:pPr>
      <w:r w:rsidRPr="00583E1A">
        <w:rPr>
          <w:b/>
          <w:i/>
        </w:rPr>
        <w:t>tax loss</w:t>
      </w:r>
      <w:r w:rsidRPr="00583E1A">
        <w:t xml:space="preserve"> means:</w:t>
      </w:r>
    </w:p>
    <w:p w:rsidR="00887330" w:rsidRPr="00583E1A" w:rsidRDefault="00887330" w:rsidP="00887330">
      <w:pPr>
        <w:pStyle w:val="paragraph"/>
      </w:pPr>
      <w:r w:rsidRPr="00583E1A">
        <w:tab/>
        <w:t>(a)</w:t>
      </w:r>
      <w:r w:rsidRPr="00583E1A">
        <w:tab/>
        <w:t>a tax loss worked out under section</w:t>
      </w:r>
      <w:r w:rsidR="00583E1A">
        <w:t> </w:t>
      </w:r>
      <w:r w:rsidRPr="00583E1A">
        <w:t>36</w:t>
      </w:r>
      <w:r w:rsidR="00583E1A">
        <w:noBreakHyphen/>
      </w:r>
      <w:r w:rsidRPr="00583E1A">
        <w:t>10, 165</w:t>
      </w:r>
      <w:r w:rsidR="00583E1A">
        <w:noBreakHyphen/>
      </w:r>
      <w:r w:rsidRPr="00583E1A">
        <w:t>70, 175</w:t>
      </w:r>
      <w:r w:rsidR="00583E1A">
        <w:noBreakHyphen/>
      </w:r>
      <w:r w:rsidRPr="00583E1A">
        <w:t>35 or 701</w:t>
      </w:r>
      <w:r w:rsidR="00583E1A">
        <w:noBreakHyphen/>
      </w:r>
      <w:r w:rsidRPr="00583E1A">
        <w:t>30 of this Act; or</w:t>
      </w:r>
    </w:p>
    <w:p w:rsidR="00887330" w:rsidRPr="00583E1A" w:rsidRDefault="00887330" w:rsidP="007F5A03">
      <w:pPr>
        <w:pStyle w:val="noteToPara"/>
      </w:pPr>
      <w:r w:rsidRPr="00583E1A">
        <w:t>Note 1:</w:t>
      </w:r>
      <w:r w:rsidRPr="00583E1A">
        <w:tab/>
        <w:t xml:space="preserve">The meaning of </w:t>
      </w:r>
      <w:r w:rsidRPr="00583E1A">
        <w:rPr>
          <w:b/>
          <w:i/>
        </w:rPr>
        <w:t>tax loss</w:t>
      </w:r>
      <w:r w:rsidRPr="00583E1A">
        <w:t xml:space="preserve"> in section</w:t>
      </w:r>
      <w:r w:rsidR="00583E1A">
        <w:t> </w:t>
      </w:r>
      <w:r w:rsidRPr="00583E1A">
        <w:t>36</w:t>
      </w:r>
      <w:r w:rsidR="00583E1A">
        <w:noBreakHyphen/>
      </w:r>
      <w:r w:rsidRPr="00583E1A">
        <w:t>10 is affected by section</w:t>
      </w:r>
      <w:r w:rsidR="00583E1A">
        <w:t> </w:t>
      </w:r>
      <w:r w:rsidRPr="00583E1A">
        <w:t>268</w:t>
      </w:r>
      <w:r w:rsidR="00583E1A">
        <w:noBreakHyphen/>
      </w:r>
      <w:r w:rsidRPr="00583E1A">
        <w:t xml:space="preserve">60 </w:t>
      </w:r>
      <w:r w:rsidR="004C1E80" w:rsidRPr="008A6DF7">
        <w:t>in Schedule 2F</w:t>
      </w:r>
      <w:r w:rsidRPr="00583E1A">
        <w:t xml:space="preserve"> to the </w:t>
      </w:r>
      <w:r w:rsidRPr="00583E1A">
        <w:rPr>
          <w:i/>
        </w:rPr>
        <w:t>Income Tax Assessment Act 1936</w:t>
      </w:r>
      <w:r w:rsidRPr="00583E1A">
        <w:t>.</w:t>
      </w:r>
    </w:p>
    <w:p w:rsidR="00887330" w:rsidRPr="00583E1A" w:rsidRDefault="00887330" w:rsidP="007F5A03">
      <w:pPr>
        <w:pStyle w:val="noteToPara"/>
      </w:pPr>
      <w:r w:rsidRPr="00583E1A">
        <w:t>Note 2:</w:t>
      </w:r>
      <w:r w:rsidRPr="00583E1A">
        <w:tab/>
        <w:t xml:space="preserve">The meaning of </w:t>
      </w:r>
      <w:r w:rsidRPr="00583E1A">
        <w:rPr>
          <w:b/>
          <w:i/>
        </w:rPr>
        <w:t>tax loss</w:t>
      </w:r>
      <w:r w:rsidRPr="00583E1A">
        <w:t xml:space="preserve"> in sections</w:t>
      </w:r>
      <w:r w:rsidR="00583E1A">
        <w:t> </w:t>
      </w:r>
      <w:r w:rsidRPr="00583E1A">
        <w:t>36</w:t>
      </w:r>
      <w:r w:rsidR="00583E1A">
        <w:noBreakHyphen/>
      </w:r>
      <w:r w:rsidRPr="00583E1A">
        <w:t>10, 165</w:t>
      </w:r>
      <w:r w:rsidR="00583E1A">
        <w:noBreakHyphen/>
      </w:r>
      <w:r w:rsidRPr="00583E1A">
        <w:t>70, 175</w:t>
      </w:r>
      <w:r w:rsidR="00583E1A">
        <w:noBreakHyphen/>
      </w:r>
      <w:r w:rsidRPr="00583E1A">
        <w:t>35 and 701</w:t>
      </w:r>
      <w:r w:rsidR="00583E1A">
        <w:noBreakHyphen/>
      </w:r>
      <w:r w:rsidRPr="00583E1A">
        <w:t>30 is modified by section</w:t>
      </w:r>
      <w:r w:rsidR="00583E1A">
        <w:t> </w:t>
      </w:r>
      <w:r w:rsidRPr="00583E1A">
        <w:t>36</w:t>
      </w:r>
      <w:r w:rsidR="00583E1A">
        <w:noBreakHyphen/>
      </w:r>
      <w:r w:rsidRPr="00583E1A">
        <w:t>55 for a corporate tax entity that has an amount of excess franking offsets.</w:t>
      </w:r>
    </w:p>
    <w:p w:rsidR="00887330" w:rsidRPr="00583E1A" w:rsidRDefault="00887330" w:rsidP="007F5A03">
      <w:pPr>
        <w:pStyle w:val="noteToPara"/>
      </w:pPr>
      <w:r w:rsidRPr="00583E1A">
        <w:t>Note 3:</w:t>
      </w:r>
      <w:r w:rsidRPr="00583E1A">
        <w:tab/>
        <w:t xml:space="preserve">A life insurance company can have a tax loss of the </w:t>
      </w:r>
      <w:r w:rsidR="002E2ACE" w:rsidRPr="00583E1A">
        <w:t>complying superannuation/FHSA class</w:t>
      </w:r>
      <w:r w:rsidRPr="00583E1A">
        <w:t xml:space="preserve"> and/or a tax loss of the ordinary class for the purposes of working out its income tax for an income year: see Subdivision</w:t>
      </w:r>
      <w:r w:rsidR="00583E1A">
        <w:t> </w:t>
      </w:r>
      <w:r w:rsidRPr="00583E1A">
        <w:t>320</w:t>
      </w:r>
      <w:r w:rsidR="00583E1A">
        <w:noBreakHyphen/>
      </w:r>
      <w:r w:rsidRPr="00583E1A">
        <w:t>D.</w:t>
      </w:r>
    </w:p>
    <w:p w:rsidR="00887330" w:rsidRPr="00583E1A" w:rsidRDefault="00887330" w:rsidP="00887330">
      <w:pPr>
        <w:pStyle w:val="paragraph"/>
      </w:pPr>
      <w:r w:rsidRPr="00583E1A">
        <w:tab/>
        <w:t>(b)</w:t>
      </w:r>
      <w:r w:rsidRPr="00583E1A">
        <w:tab/>
        <w:t>a tax loss as defined by section</w:t>
      </w:r>
      <w:r w:rsidR="00583E1A">
        <w:t> </w:t>
      </w:r>
      <w:r w:rsidRPr="00583E1A">
        <w:t>36</w:t>
      </w:r>
      <w:r w:rsidR="00583E1A">
        <w:noBreakHyphen/>
      </w:r>
      <w:r w:rsidRPr="00583E1A">
        <w:t>105 (Tax losses for 1989</w:t>
      </w:r>
      <w:r w:rsidR="00583E1A">
        <w:noBreakHyphen/>
      </w:r>
      <w:r w:rsidRPr="00583E1A">
        <w:t>90 to 1996</w:t>
      </w:r>
      <w:r w:rsidR="00583E1A">
        <w:noBreakHyphen/>
      </w:r>
      <w:r w:rsidRPr="00583E1A">
        <w:t xml:space="preserve">97 income years) of the </w:t>
      </w:r>
      <w:r w:rsidRPr="00583E1A">
        <w:rPr>
          <w:i/>
        </w:rPr>
        <w:t>Income Tax (Transitional Provisions) Act 1997</w:t>
      </w:r>
      <w:r w:rsidRPr="00583E1A">
        <w:t xml:space="preserve">; or </w:t>
      </w:r>
    </w:p>
    <w:p w:rsidR="00887330" w:rsidRPr="00583E1A" w:rsidRDefault="00887330" w:rsidP="00887330">
      <w:pPr>
        <w:pStyle w:val="paragraph"/>
        <w:keepNext/>
      </w:pPr>
      <w:r w:rsidRPr="00583E1A">
        <w:tab/>
        <w:t>(c)</w:t>
      </w:r>
      <w:r w:rsidRPr="00583E1A">
        <w:tab/>
        <w:t>a tax loss as defined by section</w:t>
      </w:r>
      <w:r w:rsidR="00583E1A">
        <w:t> </w:t>
      </w:r>
      <w:r w:rsidRPr="00583E1A">
        <w:t>36</w:t>
      </w:r>
      <w:r w:rsidR="00583E1A">
        <w:noBreakHyphen/>
      </w:r>
      <w:r w:rsidRPr="00583E1A">
        <w:t>110 (Tax losses for 1957</w:t>
      </w:r>
      <w:r w:rsidR="00583E1A">
        <w:noBreakHyphen/>
      </w:r>
      <w:r w:rsidRPr="00583E1A">
        <w:t>58 to 1988</w:t>
      </w:r>
      <w:r w:rsidR="00583E1A">
        <w:noBreakHyphen/>
      </w:r>
      <w:r w:rsidRPr="00583E1A">
        <w:t xml:space="preserve">89 income years) of the </w:t>
      </w:r>
      <w:r w:rsidRPr="00583E1A">
        <w:rPr>
          <w:i/>
        </w:rPr>
        <w:t>Income Tax (Transitional Provisions) Act 1997</w:t>
      </w:r>
      <w:r w:rsidR="00167B10" w:rsidRPr="00583E1A">
        <w:t>; or</w:t>
      </w:r>
    </w:p>
    <w:p w:rsidR="00D80581" w:rsidRPr="00583E1A" w:rsidRDefault="00D80581" w:rsidP="00D80581">
      <w:pPr>
        <w:pStyle w:val="paragraph"/>
      </w:pPr>
      <w:r w:rsidRPr="00583E1A">
        <w:tab/>
        <w:t>(d)</w:t>
      </w:r>
      <w:r w:rsidRPr="00583E1A">
        <w:tab/>
        <w:t>a tax loss determined under section</w:t>
      </w:r>
      <w:r w:rsidR="00583E1A">
        <w:t> </w:t>
      </w:r>
      <w:r w:rsidRPr="00583E1A">
        <w:t xml:space="preserve">24 of the </w:t>
      </w:r>
      <w:r w:rsidRPr="00583E1A">
        <w:rPr>
          <w:i/>
        </w:rPr>
        <w:t xml:space="preserve">International Tax Agreements Act 1953 </w:t>
      </w:r>
      <w:r w:rsidRPr="00583E1A">
        <w:t>(about relief from double taxation where profits are adjusted).</w:t>
      </w:r>
    </w:p>
    <w:p w:rsidR="00887330" w:rsidRPr="00583E1A" w:rsidRDefault="00887330" w:rsidP="00887330">
      <w:pPr>
        <w:pStyle w:val="Definition"/>
      </w:pPr>
      <w:r w:rsidRPr="00583E1A">
        <w:rPr>
          <w:b/>
          <w:i/>
        </w:rPr>
        <w:t>tax offset</w:t>
      </w:r>
      <w:r w:rsidRPr="00583E1A">
        <w:t xml:space="preserve"> has the meaning given by section</w:t>
      </w:r>
      <w:r w:rsidR="00583E1A">
        <w:t> </w:t>
      </w:r>
      <w:r w:rsidRPr="00583E1A">
        <w:t>4</w:t>
      </w:r>
      <w:r w:rsidR="00583E1A">
        <w:noBreakHyphen/>
      </w:r>
      <w:r w:rsidRPr="00583E1A">
        <w:t>10.</w:t>
      </w:r>
    </w:p>
    <w:p w:rsidR="00887330" w:rsidRPr="00583E1A" w:rsidRDefault="00887330" w:rsidP="00887330">
      <w:pPr>
        <w:pStyle w:val="Definition"/>
      </w:pPr>
      <w:r w:rsidRPr="00583E1A">
        <w:rPr>
          <w:b/>
          <w:i/>
        </w:rPr>
        <w:t>tax period</w:t>
      </w:r>
      <w:r w:rsidRPr="00583E1A">
        <w:t xml:space="preserve"> has the meaning given by section</w:t>
      </w:r>
      <w:r w:rsidR="00583E1A">
        <w:t> </w:t>
      </w:r>
      <w:r w:rsidRPr="00583E1A">
        <w:t>195</w:t>
      </w:r>
      <w:r w:rsidR="00583E1A">
        <w:noBreakHyphen/>
      </w:r>
      <w:r w:rsidRPr="00583E1A">
        <w:t xml:space="preserve">1 of the </w:t>
      </w:r>
      <w:r w:rsidR="00583E1A" w:rsidRPr="00583E1A">
        <w:rPr>
          <w:position w:val="6"/>
          <w:sz w:val="16"/>
        </w:rPr>
        <w:t>*</w:t>
      </w:r>
      <w:r w:rsidRPr="00583E1A">
        <w:t>GST Act.</w:t>
      </w:r>
    </w:p>
    <w:p w:rsidR="00887330" w:rsidRPr="00583E1A" w:rsidRDefault="00887330" w:rsidP="00887330">
      <w:pPr>
        <w:pStyle w:val="Definition"/>
      </w:pPr>
      <w:r w:rsidRPr="00583E1A">
        <w:rPr>
          <w:b/>
          <w:i/>
        </w:rPr>
        <w:t>tax position</w:t>
      </w:r>
      <w:r w:rsidRPr="00583E1A">
        <w:t xml:space="preserve"> has the meaning given by section</w:t>
      </w:r>
      <w:r w:rsidR="00583E1A">
        <w:t> </w:t>
      </w:r>
      <w:r w:rsidRPr="00583E1A">
        <w:t>45</w:t>
      </w:r>
      <w:r w:rsidR="00583E1A">
        <w:noBreakHyphen/>
      </w:r>
      <w:r w:rsidRPr="00583E1A">
        <w:t>610 in Schedule</w:t>
      </w:r>
      <w:r w:rsidR="00583E1A">
        <w:t> </w:t>
      </w:r>
      <w:r w:rsidRPr="00583E1A">
        <w:t xml:space="preserve">1 to the </w:t>
      </w:r>
      <w:r w:rsidRPr="00583E1A">
        <w:rPr>
          <w:i/>
        </w:rPr>
        <w:t>Taxation Administration Act 1953</w:t>
      </w:r>
      <w:r w:rsidRPr="00583E1A">
        <w:t>.</w:t>
      </w:r>
    </w:p>
    <w:p w:rsidR="00DA6741" w:rsidRPr="00583E1A" w:rsidRDefault="00DA6741" w:rsidP="00DA6741">
      <w:pPr>
        <w:pStyle w:val="Definition"/>
      </w:pPr>
      <w:r w:rsidRPr="00583E1A">
        <w:rPr>
          <w:b/>
          <w:i/>
        </w:rPr>
        <w:t>tax preferred end user</w:t>
      </w:r>
      <w:r w:rsidRPr="00583E1A">
        <w:t xml:space="preserve"> has the meaning given by section</w:t>
      </w:r>
      <w:r w:rsidR="00583E1A">
        <w:t> </w:t>
      </w:r>
      <w:r w:rsidRPr="00583E1A">
        <w:t>250</w:t>
      </w:r>
      <w:r w:rsidR="00583E1A">
        <w:noBreakHyphen/>
      </w:r>
      <w:r w:rsidRPr="00583E1A">
        <w:t>55.</w:t>
      </w:r>
    </w:p>
    <w:p w:rsidR="00466A05" w:rsidRPr="00583E1A" w:rsidRDefault="00466A05" w:rsidP="00466A05">
      <w:pPr>
        <w:pStyle w:val="Definition"/>
      </w:pPr>
      <w:r w:rsidRPr="00583E1A">
        <w:rPr>
          <w:b/>
          <w:i/>
        </w:rPr>
        <w:t>tax preferred entity</w:t>
      </w:r>
      <w:r w:rsidRPr="00583E1A">
        <w:t xml:space="preserve"> means:</w:t>
      </w:r>
    </w:p>
    <w:p w:rsidR="00466A05" w:rsidRPr="00583E1A" w:rsidRDefault="00466A05" w:rsidP="00466A05">
      <w:pPr>
        <w:pStyle w:val="paragraph"/>
      </w:pPr>
      <w:r w:rsidRPr="00583E1A">
        <w:tab/>
        <w:t>(a)</w:t>
      </w:r>
      <w:r w:rsidRPr="00583E1A">
        <w:tab/>
        <w:t xml:space="preserve">an </w:t>
      </w:r>
      <w:r w:rsidR="00583E1A" w:rsidRPr="00583E1A">
        <w:rPr>
          <w:position w:val="6"/>
          <w:sz w:val="16"/>
        </w:rPr>
        <w:t>*</w:t>
      </w:r>
      <w:r w:rsidRPr="00583E1A">
        <w:t>exempt entity; or</w:t>
      </w:r>
    </w:p>
    <w:p w:rsidR="00466A05" w:rsidRPr="00583E1A" w:rsidRDefault="00466A05" w:rsidP="00466A05">
      <w:pPr>
        <w:pStyle w:val="paragraph"/>
      </w:pPr>
      <w:r w:rsidRPr="00583E1A">
        <w:tab/>
        <w:t>(b)</w:t>
      </w:r>
      <w:r w:rsidRPr="00583E1A">
        <w:tab/>
        <w:t xml:space="preserve">an </w:t>
      </w:r>
      <w:r w:rsidR="00583E1A" w:rsidRPr="00583E1A">
        <w:rPr>
          <w:position w:val="6"/>
          <w:sz w:val="16"/>
        </w:rPr>
        <w:t>*</w:t>
      </w:r>
      <w:r w:rsidRPr="00583E1A">
        <w:t>exempt Australian government agency; or</w:t>
      </w:r>
    </w:p>
    <w:p w:rsidR="00466A05" w:rsidRPr="00583E1A" w:rsidRDefault="00466A05" w:rsidP="00466A05">
      <w:pPr>
        <w:pStyle w:val="paragraph"/>
      </w:pPr>
      <w:r w:rsidRPr="00583E1A">
        <w:tab/>
        <w:t>(c)</w:t>
      </w:r>
      <w:r w:rsidRPr="00583E1A">
        <w:tab/>
        <w:t xml:space="preserve">an </w:t>
      </w:r>
      <w:r w:rsidR="00583E1A" w:rsidRPr="00583E1A">
        <w:rPr>
          <w:position w:val="6"/>
          <w:sz w:val="16"/>
        </w:rPr>
        <w:t>*</w:t>
      </w:r>
      <w:r w:rsidRPr="00583E1A">
        <w:t>associated government entity of an exempt Australian government agency; or</w:t>
      </w:r>
    </w:p>
    <w:p w:rsidR="00466A05" w:rsidRPr="00583E1A" w:rsidRDefault="00466A05" w:rsidP="00466A05">
      <w:pPr>
        <w:pStyle w:val="paragraph"/>
      </w:pPr>
      <w:r w:rsidRPr="00583E1A">
        <w:tab/>
        <w:t>(d)</w:t>
      </w:r>
      <w:r w:rsidRPr="00583E1A">
        <w:tab/>
        <w:t xml:space="preserve">a </w:t>
      </w:r>
      <w:r w:rsidR="00583E1A" w:rsidRPr="00583E1A">
        <w:rPr>
          <w:position w:val="6"/>
          <w:sz w:val="16"/>
        </w:rPr>
        <w:t>*</w:t>
      </w:r>
      <w:r w:rsidRPr="00583E1A">
        <w:t>prescribed excluded STB; or</w:t>
      </w:r>
    </w:p>
    <w:p w:rsidR="00466A05" w:rsidRPr="00583E1A" w:rsidRDefault="00466A05" w:rsidP="00466A05">
      <w:pPr>
        <w:pStyle w:val="paragraph"/>
      </w:pPr>
      <w:r w:rsidRPr="00583E1A">
        <w:tab/>
        <w:t>(e)</w:t>
      </w:r>
      <w:r w:rsidRPr="00583E1A">
        <w:tab/>
        <w:t xml:space="preserve">an </w:t>
      </w:r>
      <w:r w:rsidR="00583E1A" w:rsidRPr="00583E1A">
        <w:rPr>
          <w:position w:val="6"/>
          <w:sz w:val="16"/>
        </w:rPr>
        <w:t>*</w:t>
      </w:r>
      <w:r w:rsidRPr="00583E1A">
        <w:t>exempt foreign government agency.</w:t>
      </w:r>
    </w:p>
    <w:p w:rsidR="00554744" w:rsidRPr="00583E1A" w:rsidRDefault="00554744" w:rsidP="00554744">
      <w:pPr>
        <w:pStyle w:val="Definition"/>
      </w:pPr>
      <w:r w:rsidRPr="00583E1A">
        <w:rPr>
          <w:b/>
          <w:i/>
        </w:rPr>
        <w:t>tax preferred use</w:t>
      </w:r>
      <w:r w:rsidRPr="00583E1A">
        <w:t xml:space="preserve"> of an asset has the meaning given by sections</w:t>
      </w:r>
      <w:r w:rsidR="00583E1A">
        <w:t> </w:t>
      </w:r>
      <w:r w:rsidRPr="00583E1A">
        <w:t>250</w:t>
      </w:r>
      <w:r w:rsidR="00583E1A">
        <w:noBreakHyphen/>
      </w:r>
      <w:r w:rsidRPr="00583E1A">
        <w:t>60(1) and (2).</w:t>
      </w:r>
    </w:p>
    <w:p w:rsidR="00887330" w:rsidRPr="00583E1A" w:rsidRDefault="00887330" w:rsidP="00887330">
      <w:pPr>
        <w:pStyle w:val="Definition"/>
      </w:pPr>
      <w:r w:rsidRPr="00583E1A">
        <w:rPr>
          <w:b/>
          <w:i/>
        </w:rPr>
        <w:t>tax profit on the disposal or death</w:t>
      </w:r>
      <w:r w:rsidRPr="00583E1A">
        <w:t xml:space="preserve"> has the meaning given by subsection 385</w:t>
      </w:r>
      <w:r w:rsidR="00583E1A">
        <w:noBreakHyphen/>
      </w:r>
      <w:r w:rsidRPr="00583E1A">
        <w:t>105(3).</w:t>
      </w:r>
    </w:p>
    <w:p w:rsidR="00887330" w:rsidRPr="00583E1A" w:rsidRDefault="00887330" w:rsidP="00887330">
      <w:pPr>
        <w:pStyle w:val="Definition"/>
      </w:pPr>
      <w:r w:rsidRPr="00583E1A">
        <w:rPr>
          <w:b/>
          <w:i/>
        </w:rPr>
        <w:t>tax</w:t>
      </w:r>
      <w:r w:rsidR="00583E1A">
        <w:rPr>
          <w:b/>
          <w:i/>
        </w:rPr>
        <w:noBreakHyphen/>
      </w:r>
      <w:r w:rsidRPr="00583E1A">
        <w:rPr>
          <w:b/>
          <w:i/>
        </w:rPr>
        <w:t>related liability</w:t>
      </w:r>
      <w:r w:rsidRPr="00583E1A">
        <w:t xml:space="preserve"> has the meaning given by section</w:t>
      </w:r>
      <w:r w:rsidR="00583E1A">
        <w:t> </w:t>
      </w:r>
      <w:r w:rsidRPr="00583E1A">
        <w:t>255</w:t>
      </w:r>
      <w:r w:rsidR="00583E1A">
        <w:noBreakHyphen/>
      </w:r>
      <w:r w:rsidRPr="00583E1A">
        <w:t>1 in Schedule</w:t>
      </w:r>
      <w:r w:rsidR="00583E1A">
        <w:t> </w:t>
      </w:r>
      <w:r w:rsidRPr="00583E1A">
        <w:t xml:space="preserve">1 to the </w:t>
      </w:r>
      <w:r w:rsidRPr="00583E1A">
        <w:rPr>
          <w:i/>
        </w:rPr>
        <w:t>Taxation Administration Act 1953</w:t>
      </w:r>
      <w:r w:rsidRPr="00583E1A">
        <w:t>.</w:t>
      </w:r>
    </w:p>
    <w:p w:rsidR="00887330" w:rsidRPr="00583E1A" w:rsidRDefault="00887330" w:rsidP="00887330">
      <w:pPr>
        <w:pStyle w:val="Definition"/>
      </w:pPr>
      <w:r w:rsidRPr="00583E1A">
        <w:rPr>
          <w:b/>
          <w:i/>
        </w:rPr>
        <w:t xml:space="preserve">TC control interest </w:t>
      </w:r>
      <w:r w:rsidRPr="00583E1A">
        <w:t>has the meaning given by section</w:t>
      </w:r>
      <w:r w:rsidR="00583E1A">
        <w:t> </w:t>
      </w:r>
      <w:r w:rsidRPr="00583E1A">
        <w:t>820</w:t>
      </w:r>
      <w:r w:rsidR="00583E1A">
        <w:noBreakHyphen/>
      </w:r>
      <w:r w:rsidRPr="00583E1A">
        <w:t>815 (which is affected by sections</w:t>
      </w:r>
      <w:r w:rsidR="00583E1A">
        <w:t> </w:t>
      </w:r>
      <w:r w:rsidRPr="00583E1A">
        <w:t>820</w:t>
      </w:r>
      <w:r w:rsidR="00583E1A">
        <w:noBreakHyphen/>
      </w:r>
      <w:r w:rsidRPr="00583E1A">
        <w:t>820 to 820</w:t>
      </w:r>
      <w:r w:rsidR="00583E1A">
        <w:noBreakHyphen/>
      </w:r>
      <w:r w:rsidRPr="00583E1A">
        <w:t>835).</w:t>
      </w:r>
    </w:p>
    <w:p w:rsidR="00887330" w:rsidRPr="00583E1A" w:rsidRDefault="00887330" w:rsidP="00887330">
      <w:pPr>
        <w:pStyle w:val="Definition"/>
      </w:pPr>
      <w:r w:rsidRPr="00583E1A">
        <w:rPr>
          <w:b/>
          <w:i/>
        </w:rPr>
        <w:t>TC control tracing interest</w:t>
      </w:r>
      <w:r w:rsidRPr="00583E1A">
        <w:t xml:space="preserve"> has the meaning given by section</w:t>
      </w:r>
      <w:r w:rsidR="00583E1A">
        <w:t> </w:t>
      </w:r>
      <w:r w:rsidRPr="00583E1A">
        <w:t>820</w:t>
      </w:r>
      <w:r w:rsidR="00583E1A">
        <w:noBreakHyphen/>
      </w:r>
      <w:r w:rsidRPr="00583E1A">
        <w:t>875.</w:t>
      </w:r>
    </w:p>
    <w:p w:rsidR="00887330" w:rsidRPr="00583E1A" w:rsidRDefault="00887330" w:rsidP="00C67A46">
      <w:pPr>
        <w:pStyle w:val="Definition"/>
        <w:keepNext/>
      </w:pPr>
      <w:r w:rsidRPr="00583E1A">
        <w:rPr>
          <w:b/>
          <w:i/>
        </w:rPr>
        <w:t>TC direct control interest</w:t>
      </w:r>
      <w:r w:rsidRPr="00583E1A">
        <w:t>:</w:t>
      </w:r>
    </w:p>
    <w:p w:rsidR="00887330" w:rsidRPr="00583E1A" w:rsidRDefault="00887330" w:rsidP="00887330">
      <w:pPr>
        <w:pStyle w:val="paragraph"/>
      </w:pPr>
      <w:r w:rsidRPr="00583E1A">
        <w:tab/>
        <w:t>(a)</w:t>
      </w:r>
      <w:r w:rsidRPr="00583E1A">
        <w:tab/>
        <w:t>for a company—has the meaning given by section</w:t>
      </w:r>
      <w:r w:rsidR="00583E1A">
        <w:t> </w:t>
      </w:r>
      <w:r w:rsidRPr="00583E1A">
        <w:t>820</w:t>
      </w:r>
      <w:r w:rsidR="00583E1A">
        <w:noBreakHyphen/>
      </w:r>
      <w:r w:rsidRPr="00583E1A">
        <w:t>855; and</w:t>
      </w:r>
    </w:p>
    <w:p w:rsidR="00887330" w:rsidRPr="00583E1A" w:rsidRDefault="00887330" w:rsidP="00887330">
      <w:pPr>
        <w:pStyle w:val="paragraph"/>
      </w:pPr>
      <w:r w:rsidRPr="00583E1A">
        <w:tab/>
        <w:t>(b)</w:t>
      </w:r>
      <w:r w:rsidRPr="00583E1A">
        <w:tab/>
        <w:t>for a trust—has the meaning given by section</w:t>
      </w:r>
      <w:r w:rsidR="00583E1A">
        <w:t> </w:t>
      </w:r>
      <w:r w:rsidRPr="00583E1A">
        <w:t>820</w:t>
      </w:r>
      <w:r w:rsidR="00583E1A">
        <w:noBreakHyphen/>
      </w:r>
      <w:r w:rsidRPr="00583E1A">
        <w:t>860; and</w:t>
      </w:r>
    </w:p>
    <w:p w:rsidR="00887330" w:rsidRPr="00583E1A" w:rsidRDefault="00887330" w:rsidP="00887330">
      <w:pPr>
        <w:pStyle w:val="paragraph"/>
      </w:pPr>
      <w:r w:rsidRPr="00583E1A">
        <w:tab/>
        <w:t>(c)</w:t>
      </w:r>
      <w:r w:rsidRPr="00583E1A">
        <w:tab/>
        <w:t>for a partnership—has the meaning given by section</w:t>
      </w:r>
      <w:r w:rsidR="00583E1A">
        <w:t> </w:t>
      </w:r>
      <w:r w:rsidRPr="00583E1A">
        <w:t>820</w:t>
      </w:r>
      <w:r w:rsidR="00583E1A">
        <w:noBreakHyphen/>
      </w:r>
      <w:r w:rsidRPr="00583E1A">
        <w:t>865.</w:t>
      </w:r>
    </w:p>
    <w:p w:rsidR="00887330" w:rsidRPr="00583E1A" w:rsidRDefault="00887330" w:rsidP="00887330">
      <w:pPr>
        <w:pStyle w:val="Definition"/>
      </w:pPr>
      <w:r w:rsidRPr="00583E1A">
        <w:rPr>
          <w:b/>
          <w:i/>
        </w:rPr>
        <w:t>TC indirect control interest</w:t>
      </w:r>
      <w:r w:rsidRPr="00583E1A">
        <w:t xml:space="preserve"> has the meaning given by section</w:t>
      </w:r>
      <w:r w:rsidR="00583E1A">
        <w:t> </w:t>
      </w:r>
      <w:r w:rsidRPr="00583E1A">
        <w:t>820</w:t>
      </w:r>
      <w:r w:rsidR="00583E1A">
        <w:noBreakHyphen/>
      </w:r>
      <w:r w:rsidRPr="00583E1A">
        <w:t>870.</w:t>
      </w:r>
    </w:p>
    <w:p w:rsidR="00887330" w:rsidRPr="00583E1A" w:rsidRDefault="00887330" w:rsidP="00EC6DBA">
      <w:pPr>
        <w:pStyle w:val="Definition"/>
        <w:keepNext/>
      </w:pPr>
      <w:r w:rsidRPr="00583E1A">
        <w:rPr>
          <w:b/>
          <w:i/>
        </w:rPr>
        <w:t>telecommunications site access right</w:t>
      </w:r>
      <w:r w:rsidRPr="00583E1A">
        <w:t xml:space="preserve"> means a right (except an </w:t>
      </w:r>
      <w:r w:rsidR="00583E1A" w:rsidRPr="00583E1A">
        <w:rPr>
          <w:position w:val="6"/>
          <w:sz w:val="16"/>
        </w:rPr>
        <w:t>*</w:t>
      </w:r>
      <w:r w:rsidRPr="00583E1A">
        <w:t xml:space="preserve">IRU) of a carrier (as defined in the </w:t>
      </w:r>
      <w:r w:rsidRPr="00583E1A">
        <w:rPr>
          <w:i/>
        </w:rPr>
        <w:t>Telecommunications Act 1997</w:t>
      </w:r>
      <w:r w:rsidRPr="00583E1A">
        <w:t>):</w:t>
      </w:r>
    </w:p>
    <w:p w:rsidR="00887330" w:rsidRPr="00583E1A" w:rsidRDefault="00887330" w:rsidP="00887330">
      <w:pPr>
        <w:pStyle w:val="paragraph"/>
      </w:pPr>
      <w:r w:rsidRPr="00583E1A">
        <w:tab/>
        <w:t>(a)</w:t>
      </w:r>
      <w:r w:rsidRPr="00583E1A">
        <w:tab/>
        <w:t>to share a facility (as defined in section</w:t>
      </w:r>
      <w:r w:rsidR="00583E1A">
        <w:t> </w:t>
      </w:r>
      <w:r w:rsidRPr="00583E1A">
        <w:t>7 of that Act); or</w:t>
      </w:r>
    </w:p>
    <w:p w:rsidR="00887330" w:rsidRPr="00583E1A" w:rsidRDefault="00887330" w:rsidP="00887330">
      <w:pPr>
        <w:pStyle w:val="paragraph"/>
      </w:pPr>
      <w:r w:rsidRPr="00583E1A">
        <w:tab/>
        <w:t>(b)</w:t>
      </w:r>
      <w:r w:rsidRPr="00583E1A">
        <w:tab/>
        <w:t>to install such a facility at a particular location or on a particular structure; or</w:t>
      </w:r>
    </w:p>
    <w:p w:rsidR="00887330" w:rsidRPr="00583E1A" w:rsidRDefault="00887330" w:rsidP="00887330">
      <w:pPr>
        <w:pStyle w:val="paragraph"/>
      </w:pPr>
      <w:r w:rsidRPr="00583E1A">
        <w:tab/>
        <w:t>(c)</w:t>
      </w:r>
      <w:r w:rsidRPr="00583E1A">
        <w:tab/>
        <w:t>to enter or cross premises for the purposes of installing or maintaining such a facility that is on the premises, or is at a location, or on a structure, that is accessible by way of the premises.</w:t>
      </w:r>
    </w:p>
    <w:p w:rsidR="00887330" w:rsidRPr="00583E1A" w:rsidRDefault="00887330" w:rsidP="00887330">
      <w:pPr>
        <w:pStyle w:val="Definition"/>
      </w:pPr>
      <w:r w:rsidRPr="00583E1A">
        <w:rPr>
          <w:b/>
          <w:i/>
        </w:rPr>
        <w:t>telephone signature</w:t>
      </w:r>
      <w:r w:rsidRPr="00583E1A">
        <w:t xml:space="preserve"> of an entity is a unique identification of the entity that can be given by telephone and that is approved by the Commissioner.</w:t>
      </w:r>
    </w:p>
    <w:p w:rsidR="00887330" w:rsidRPr="00583E1A" w:rsidRDefault="00887330" w:rsidP="00887330">
      <w:pPr>
        <w:pStyle w:val="Definition"/>
      </w:pPr>
      <w:r w:rsidRPr="00583E1A">
        <w:rPr>
          <w:b/>
          <w:i/>
        </w:rPr>
        <w:t>temporary resident</w:t>
      </w:r>
      <w:r w:rsidRPr="00583E1A">
        <w:t xml:space="preserve">: you are a </w:t>
      </w:r>
      <w:r w:rsidRPr="00583E1A">
        <w:rPr>
          <w:b/>
          <w:i/>
        </w:rPr>
        <w:t>temporary resident</w:t>
      </w:r>
      <w:r w:rsidRPr="00583E1A">
        <w:t xml:space="preserve"> if:</w:t>
      </w:r>
    </w:p>
    <w:p w:rsidR="00887330" w:rsidRPr="00583E1A" w:rsidRDefault="00887330" w:rsidP="00887330">
      <w:pPr>
        <w:pStyle w:val="paragraph"/>
      </w:pPr>
      <w:r w:rsidRPr="00583E1A">
        <w:tab/>
        <w:t>(a)</w:t>
      </w:r>
      <w:r w:rsidRPr="00583E1A">
        <w:tab/>
        <w:t xml:space="preserve">you hold a temporary visa granted under the </w:t>
      </w:r>
      <w:r w:rsidRPr="00583E1A">
        <w:rPr>
          <w:i/>
        </w:rPr>
        <w:t>Migration Act 1958</w:t>
      </w:r>
      <w:r w:rsidRPr="00583E1A">
        <w:t>; and</w:t>
      </w:r>
    </w:p>
    <w:p w:rsidR="00887330" w:rsidRPr="00583E1A" w:rsidRDefault="00887330" w:rsidP="00887330">
      <w:pPr>
        <w:pStyle w:val="paragraph"/>
      </w:pPr>
      <w:r w:rsidRPr="00583E1A">
        <w:tab/>
        <w:t>(b)</w:t>
      </w:r>
      <w:r w:rsidRPr="00583E1A">
        <w:tab/>
        <w:t xml:space="preserve">you are not an Australian resident within the meaning of the </w:t>
      </w:r>
      <w:r w:rsidRPr="00583E1A">
        <w:rPr>
          <w:i/>
        </w:rPr>
        <w:t>Social Security Act 1991</w:t>
      </w:r>
      <w:r w:rsidRPr="00583E1A">
        <w:t>; and</w:t>
      </w:r>
    </w:p>
    <w:p w:rsidR="00887330" w:rsidRPr="00583E1A" w:rsidRDefault="00887330" w:rsidP="00887330">
      <w:pPr>
        <w:pStyle w:val="paragraph"/>
      </w:pPr>
      <w:r w:rsidRPr="00583E1A">
        <w:tab/>
        <w:t>(c)</w:t>
      </w:r>
      <w:r w:rsidRPr="00583E1A">
        <w:tab/>
        <w:t xml:space="preserve">your </w:t>
      </w:r>
      <w:r w:rsidR="00583E1A" w:rsidRPr="00583E1A">
        <w:rPr>
          <w:position w:val="6"/>
          <w:sz w:val="16"/>
        </w:rPr>
        <w:t>*</w:t>
      </w:r>
      <w:r w:rsidRPr="00583E1A">
        <w:t xml:space="preserve">spouse is not an Australian resident within the meaning of the </w:t>
      </w:r>
      <w:r w:rsidRPr="00583E1A">
        <w:rPr>
          <w:i/>
        </w:rPr>
        <w:t>Social Security Act 1991</w:t>
      </w:r>
      <w:r w:rsidRPr="00583E1A">
        <w:t>.</w:t>
      </w:r>
    </w:p>
    <w:p w:rsidR="00887330" w:rsidRPr="00583E1A" w:rsidRDefault="00887330" w:rsidP="00887330">
      <w:pPr>
        <w:pStyle w:val="subsection2"/>
      </w:pPr>
      <w:r w:rsidRPr="00583E1A">
        <w:t xml:space="preserve">However, you are not a </w:t>
      </w:r>
      <w:r w:rsidRPr="00583E1A">
        <w:rPr>
          <w:b/>
          <w:i/>
        </w:rPr>
        <w:t>temporary resident</w:t>
      </w:r>
      <w:r w:rsidRPr="00583E1A">
        <w:t xml:space="preserve"> if you have been an Australian resident (within the meaning of this Act), and any of </w:t>
      </w:r>
      <w:r w:rsidR="00583E1A">
        <w:t>paragraphs (</w:t>
      </w:r>
      <w:r w:rsidRPr="00583E1A">
        <w:t>a), (b) and (c) are not satisfied, at any time after the commencement of this definition.</w:t>
      </w:r>
    </w:p>
    <w:p w:rsidR="00887330" w:rsidRPr="00583E1A" w:rsidRDefault="00887330" w:rsidP="00887330">
      <w:pPr>
        <w:pStyle w:val="notetext"/>
      </w:pPr>
      <w:r w:rsidRPr="00583E1A">
        <w:t>Note:</w:t>
      </w:r>
      <w:r w:rsidRPr="00583E1A">
        <w:tab/>
        <w:t xml:space="preserve">The tests in </w:t>
      </w:r>
      <w:r w:rsidR="00583E1A">
        <w:t>paragraphs (</w:t>
      </w:r>
      <w:r w:rsidRPr="00583E1A">
        <w:t xml:space="preserve">b) and (c) are applied to ensure that holders of temporary visas who nonetheless have a significant connection with </w:t>
      </w:r>
      <w:smartTag w:uri="urn:schemas-microsoft-com:office:smarttags" w:element="country-region">
        <w:smartTag w:uri="urn:schemas-microsoft-com:office:smarttags" w:element="place">
          <w:r w:rsidRPr="00583E1A">
            <w:t>Australia</w:t>
          </w:r>
        </w:smartTag>
      </w:smartTag>
      <w:r w:rsidRPr="00583E1A">
        <w:t xml:space="preserve"> are not treated as temporary residents for the purposes of this Act.</w:t>
      </w:r>
    </w:p>
    <w:p w:rsidR="00E37BCD" w:rsidRPr="00583E1A" w:rsidRDefault="00E37BCD" w:rsidP="00E37BCD">
      <w:pPr>
        <w:pStyle w:val="Definition"/>
      </w:pPr>
      <w:r w:rsidRPr="00583E1A">
        <w:rPr>
          <w:b/>
          <w:i/>
        </w:rPr>
        <w:t>terminal medical condition</w:t>
      </w:r>
      <w:r w:rsidRPr="00583E1A">
        <w:t xml:space="preserve"> has the meaning given by the regulations.</w:t>
      </w:r>
    </w:p>
    <w:p w:rsidR="00887330" w:rsidRPr="00583E1A" w:rsidRDefault="00887330" w:rsidP="00887330">
      <w:pPr>
        <w:pStyle w:val="Definition"/>
      </w:pPr>
      <w:r w:rsidRPr="00583E1A">
        <w:rPr>
          <w:b/>
          <w:i/>
        </w:rPr>
        <w:t>terminating value</w:t>
      </w:r>
      <w:r w:rsidRPr="00583E1A">
        <w:t xml:space="preserve"> has the meaning given by sections</w:t>
      </w:r>
      <w:r w:rsidR="00583E1A">
        <w:t> </w:t>
      </w:r>
      <w:r w:rsidRPr="00583E1A">
        <w:t>705</w:t>
      </w:r>
      <w:r w:rsidR="00583E1A">
        <w:noBreakHyphen/>
      </w:r>
      <w:r w:rsidRPr="00583E1A">
        <w:t>30, 711</w:t>
      </w:r>
      <w:r w:rsidR="00583E1A">
        <w:noBreakHyphen/>
      </w:r>
      <w:r w:rsidRPr="00583E1A">
        <w:t>30 and 713</w:t>
      </w:r>
      <w:r w:rsidR="00583E1A">
        <w:noBreakHyphen/>
      </w:r>
      <w:r w:rsidRPr="00583E1A">
        <w:t>575.</w:t>
      </w:r>
    </w:p>
    <w:p w:rsidR="009C4A46" w:rsidRPr="00214FF7" w:rsidRDefault="009C4A46" w:rsidP="009C4A46">
      <w:pPr>
        <w:pStyle w:val="Definition"/>
      </w:pPr>
      <w:r w:rsidRPr="00214FF7">
        <w:rPr>
          <w:b/>
          <w:i/>
        </w:rPr>
        <w:t>termination amount</w:t>
      </w:r>
      <w:r w:rsidRPr="00214FF7">
        <w:t xml:space="preserve"> means an amount payable because an </w:t>
      </w:r>
      <w:r w:rsidRPr="00214FF7">
        <w:rPr>
          <w:position w:val="6"/>
          <w:sz w:val="16"/>
        </w:rPr>
        <w:t>*</w:t>
      </w:r>
      <w:r w:rsidRPr="00214FF7">
        <w:t>arrangement in relation to property ends and includes:</w:t>
      </w:r>
    </w:p>
    <w:p w:rsidR="009C4A46" w:rsidRPr="00214FF7" w:rsidRDefault="009C4A46" w:rsidP="009C4A46">
      <w:pPr>
        <w:pStyle w:val="paragraph"/>
      </w:pPr>
      <w:r w:rsidRPr="00214FF7">
        <w:tab/>
        <w:t>(a)</w:t>
      </w:r>
      <w:r w:rsidRPr="00214FF7">
        <w:tab/>
        <w:t>if, at the end of the arrangement, one party to the arrangement acquires the property from the other party—an amount payable for the acquisition; or</w:t>
      </w:r>
    </w:p>
    <w:p w:rsidR="009C4A46" w:rsidRPr="00214FF7" w:rsidRDefault="009C4A46" w:rsidP="009C4A46">
      <w:pPr>
        <w:pStyle w:val="paragraph"/>
      </w:pPr>
      <w:r w:rsidRPr="00214FF7">
        <w:tab/>
        <w:t>(b)</w:t>
      </w:r>
      <w:r w:rsidRPr="00214FF7">
        <w:tab/>
        <w:t>if, at the end of the arrangement, the property is lost or destroyed—any amounts paid to the owner of the property as a result of the loss or destruction; or</w:t>
      </w:r>
    </w:p>
    <w:p w:rsidR="009C4A46" w:rsidRPr="00214FF7" w:rsidRDefault="009C4A46" w:rsidP="009C4A46">
      <w:pPr>
        <w:pStyle w:val="paragraph"/>
      </w:pPr>
      <w:r w:rsidRPr="00214FF7">
        <w:tab/>
        <w:t>(c)</w:t>
      </w:r>
      <w:r w:rsidRPr="00214FF7">
        <w:tab/>
        <w:t xml:space="preserve">otherwise—the </w:t>
      </w:r>
      <w:r w:rsidRPr="00214FF7">
        <w:rPr>
          <w:position w:val="6"/>
          <w:sz w:val="16"/>
        </w:rPr>
        <w:t>*</w:t>
      </w:r>
      <w:r w:rsidRPr="00214FF7">
        <w:t>market value of the property at the end of the arrangement.</w:t>
      </w:r>
    </w:p>
    <w:p w:rsidR="00A50AF2" w:rsidRPr="005E19E0" w:rsidRDefault="00A50AF2" w:rsidP="00A50AF2">
      <w:pPr>
        <w:pStyle w:val="Definition"/>
      </w:pPr>
      <w:r w:rsidRPr="005E19E0">
        <w:rPr>
          <w:b/>
          <w:i/>
        </w:rPr>
        <w:t>termination value</w:t>
      </w:r>
      <w:r w:rsidRPr="005E19E0">
        <w:t>:</w:t>
      </w:r>
    </w:p>
    <w:p w:rsidR="00A50AF2" w:rsidRPr="005E19E0" w:rsidRDefault="00A50AF2" w:rsidP="00A50AF2">
      <w:pPr>
        <w:pStyle w:val="paragraph"/>
      </w:pPr>
      <w:r w:rsidRPr="005E19E0">
        <w:tab/>
        <w:t>(a)</w:t>
      </w:r>
      <w:r w:rsidRPr="005E19E0">
        <w:tab/>
        <w:t xml:space="preserve">of a </w:t>
      </w:r>
      <w:r w:rsidRPr="005E19E0">
        <w:rPr>
          <w:position w:val="6"/>
          <w:sz w:val="16"/>
        </w:rPr>
        <w:t>*</w:t>
      </w:r>
      <w:r w:rsidRPr="005E19E0">
        <w:t>depreciating asset—has the meaning given by section 40</w:t>
      </w:r>
      <w:r w:rsidRPr="005E19E0">
        <w:noBreakHyphen/>
        <w:t>300; and</w:t>
      </w:r>
    </w:p>
    <w:p w:rsidR="00A50AF2" w:rsidRPr="005E19E0" w:rsidRDefault="00A50AF2" w:rsidP="00A50AF2">
      <w:pPr>
        <w:pStyle w:val="paragraph"/>
      </w:pPr>
      <w:r w:rsidRPr="005E19E0">
        <w:tab/>
        <w:t>(b)</w:t>
      </w:r>
      <w:r w:rsidRPr="005E19E0">
        <w:tab/>
        <w:t xml:space="preserve">of a </w:t>
      </w:r>
      <w:r w:rsidRPr="005E19E0">
        <w:rPr>
          <w:position w:val="6"/>
          <w:sz w:val="16"/>
        </w:rPr>
        <w:t>*</w:t>
      </w:r>
      <w:r w:rsidRPr="005E19E0">
        <w:t>starting base asset—has the meaning given by section 300</w:t>
      </w:r>
      <w:r w:rsidRPr="005E19E0">
        <w:noBreakHyphen/>
        <w:t xml:space="preserve">1 of the </w:t>
      </w:r>
      <w:r w:rsidRPr="005E19E0">
        <w:rPr>
          <w:i/>
        </w:rPr>
        <w:t>Minerals Resource Rent Tax Act 201</w:t>
      </w:r>
      <w:r>
        <w:rPr>
          <w:i/>
        </w:rPr>
        <w:t>2</w:t>
      </w:r>
      <w:r w:rsidRPr="005E19E0">
        <w:t>.</w:t>
      </w:r>
    </w:p>
    <w:p w:rsidR="00887330" w:rsidRPr="00583E1A" w:rsidRDefault="00887330" w:rsidP="00887330">
      <w:pPr>
        <w:pStyle w:val="Definition"/>
      </w:pPr>
      <w:r w:rsidRPr="00583E1A">
        <w:rPr>
          <w:b/>
          <w:i/>
        </w:rPr>
        <w:t>Territory law</w:t>
      </w:r>
      <w:r w:rsidRPr="00583E1A">
        <w:t xml:space="preserve"> means a law of a Territory.</w:t>
      </w:r>
    </w:p>
    <w:p w:rsidR="00887330" w:rsidRPr="00583E1A" w:rsidRDefault="00887330" w:rsidP="00887330">
      <w:pPr>
        <w:pStyle w:val="Definition"/>
      </w:pPr>
      <w:r w:rsidRPr="00583E1A">
        <w:rPr>
          <w:b/>
          <w:i/>
        </w:rPr>
        <w:t>tertiary course</w:t>
      </w:r>
      <w:r w:rsidRPr="00583E1A">
        <w:t xml:space="preserve"> has the same meaning as in the </w:t>
      </w:r>
      <w:r w:rsidR="00B8181E" w:rsidRPr="004C09C4">
        <w:rPr>
          <w:position w:val="6"/>
          <w:sz w:val="16"/>
        </w:rPr>
        <w:t>*</w:t>
      </w:r>
      <w:r w:rsidR="00B8181E" w:rsidRPr="004C09C4">
        <w:t>GST Act</w:t>
      </w:r>
      <w:r w:rsidRPr="00583E1A">
        <w:t>.</w:t>
      </w:r>
    </w:p>
    <w:p w:rsidR="00887330" w:rsidRPr="00583E1A" w:rsidRDefault="00887330" w:rsidP="00887330">
      <w:pPr>
        <w:pStyle w:val="Definition"/>
      </w:pPr>
      <w:r w:rsidRPr="00583E1A">
        <w:rPr>
          <w:b/>
          <w:i/>
        </w:rPr>
        <w:t>test day</w:t>
      </w:r>
      <w:r w:rsidRPr="00583E1A">
        <w:t xml:space="preserve"> has the meaning given by section</w:t>
      </w:r>
      <w:r w:rsidR="00583E1A">
        <w:t> </w:t>
      </w:r>
      <w:r w:rsidRPr="00583E1A">
        <w:t>149</w:t>
      </w:r>
      <w:r w:rsidR="00583E1A">
        <w:noBreakHyphen/>
      </w:r>
      <w:r w:rsidRPr="00583E1A">
        <w:t>55.</w:t>
      </w:r>
    </w:p>
    <w:p w:rsidR="00887330" w:rsidRPr="00583E1A" w:rsidRDefault="00887330" w:rsidP="00887330">
      <w:pPr>
        <w:pStyle w:val="Definition"/>
      </w:pPr>
      <w:r w:rsidRPr="00583E1A">
        <w:rPr>
          <w:b/>
          <w:i/>
        </w:rPr>
        <w:t>test period</w:t>
      </w:r>
      <w:r w:rsidRPr="00583E1A">
        <w:t xml:space="preserve"> has the meaning given by sections</w:t>
      </w:r>
      <w:r w:rsidR="00583E1A">
        <w:t> </w:t>
      </w:r>
      <w:r w:rsidRPr="00583E1A">
        <w:t>165</w:t>
      </w:r>
      <w:r w:rsidR="00583E1A">
        <w:noBreakHyphen/>
      </w:r>
      <w:r w:rsidRPr="00583E1A">
        <w:t>165, 166</w:t>
      </w:r>
      <w:r w:rsidR="00583E1A">
        <w:noBreakHyphen/>
      </w:r>
      <w:r w:rsidRPr="00583E1A">
        <w:t>5, 166</w:t>
      </w:r>
      <w:r w:rsidR="00583E1A">
        <w:noBreakHyphen/>
      </w:r>
      <w:r w:rsidRPr="00583E1A">
        <w:t>20, 166</w:t>
      </w:r>
      <w:r w:rsidR="00583E1A">
        <w:noBreakHyphen/>
      </w:r>
      <w:r w:rsidRPr="00583E1A">
        <w:t>40 and 166</w:t>
      </w:r>
      <w:r w:rsidR="00583E1A">
        <w:noBreakHyphen/>
      </w:r>
      <w:r w:rsidRPr="00583E1A">
        <w:t>80.</w:t>
      </w:r>
    </w:p>
    <w:p w:rsidR="00887330" w:rsidRPr="00583E1A" w:rsidRDefault="00887330" w:rsidP="00887330">
      <w:pPr>
        <w:pStyle w:val="Definition"/>
      </w:pPr>
      <w:r w:rsidRPr="00583E1A">
        <w:rPr>
          <w:b/>
          <w:i/>
        </w:rPr>
        <w:t>test time</w:t>
      </w:r>
      <w:r w:rsidRPr="00583E1A">
        <w:t xml:space="preserve"> for the purposes of applying the </w:t>
      </w:r>
      <w:r w:rsidR="00583E1A" w:rsidRPr="00583E1A">
        <w:rPr>
          <w:position w:val="6"/>
          <w:sz w:val="16"/>
        </w:rPr>
        <w:t>*</w:t>
      </w:r>
      <w:r w:rsidRPr="00583E1A">
        <w:t>same business test has the meaning given by sections</w:t>
      </w:r>
      <w:r w:rsidR="00583E1A">
        <w:t> </w:t>
      </w:r>
      <w:r w:rsidRPr="00583E1A">
        <w:t>165</w:t>
      </w:r>
      <w:r w:rsidR="00583E1A">
        <w:noBreakHyphen/>
      </w:r>
      <w:r w:rsidRPr="00583E1A">
        <w:t>13, 165</w:t>
      </w:r>
      <w:r w:rsidR="00583E1A">
        <w:noBreakHyphen/>
      </w:r>
      <w:r w:rsidRPr="00583E1A">
        <w:t>15, 165</w:t>
      </w:r>
      <w:r w:rsidR="00583E1A">
        <w:noBreakHyphen/>
      </w:r>
      <w:r w:rsidRPr="00583E1A">
        <w:t>35, 165</w:t>
      </w:r>
      <w:r w:rsidR="00583E1A">
        <w:noBreakHyphen/>
      </w:r>
      <w:r w:rsidRPr="00583E1A">
        <w:t>40, 165</w:t>
      </w:r>
      <w:r w:rsidR="00583E1A">
        <w:noBreakHyphen/>
      </w:r>
      <w:r w:rsidRPr="00583E1A">
        <w:t>45, 165</w:t>
      </w:r>
      <w:r w:rsidR="00583E1A">
        <w:noBreakHyphen/>
      </w:r>
      <w:r w:rsidRPr="00583E1A">
        <w:t>115B, 165</w:t>
      </w:r>
      <w:r w:rsidR="00583E1A">
        <w:noBreakHyphen/>
      </w:r>
      <w:r w:rsidRPr="00583E1A">
        <w:t>115BA, 165</w:t>
      </w:r>
      <w:r w:rsidR="00583E1A">
        <w:noBreakHyphen/>
      </w:r>
      <w:r w:rsidRPr="00583E1A">
        <w:t>126, 165</w:t>
      </w:r>
      <w:r w:rsidR="00583E1A">
        <w:noBreakHyphen/>
      </w:r>
      <w:r w:rsidRPr="00583E1A">
        <w:t>129, 166</w:t>
      </w:r>
      <w:r w:rsidR="00583E1A">
        <w:noBreakHyphen/>
      </w:r>
      <w:r w:rsidRPr="00583E1A">
        <w:t>5, 166</w:t>
      </w:r>
      <w:r w:rsidR="00583E1A">
        <w:noBreakHyphen/>
      </w:r>
      <w:r w:rsidRPr="00583E1A">
        <w:t>20, 166</w:t>
      </w:r>
      <w:r w:rsidR="00583E1A">
        <w:noBreakHyphen/>
      </w:r>
      <w:r w:rsidRPr="00583E1A">
        <w:t>40, 166</w:t>
      </w:r>
      <w:r w:rsidR="00583E1A">
        <w:noBreakHyphen/>
      </w:r>
      <w:r w:rsidRPr="00583E1A">
        <w:t>80, 707</w:t>
      </w:r>
      <w:r w:rsidR="00583E1A">
        <w:noBreakHyphen/>
      </w:r>
      <w:r w:rsidRPr="00583E1A">
        <w:t>125, 707</w:t>
      </w:r>
      <w:r w:rsidR="00583E1A">
        <w:noBreakHyphen/>
      </w:r>
      <w:r w:rsidRPr="00583E1A">
        <w:t>135, 709</w:t>
      </w:r>
      <w:r w:rsidR="00583E1A">
        <w:noBreakHyphen/>
      </w:r>
      <w:r w:rsidRPr="00583E1A">
        <w:t>215, 715</w:t>
      </w:r>
      <w:r w:rsidR="00583E1A">
        <w:noBreakHyphen/>
      </w:r>
      <w:r w:rsidRPr="00583E1A">
        <w:t>50, 715</w:t>
      </w:r>
      <w:r w:rsidR="00583E1A">
        <w:noBreakHyphen/>
      </w:r>
      <w:r w:rsidRPr="00583E1A">
        <w:t>55, 715</w:t>
      </w:r>
      <w:r w:rsidR="00583E1A">
        <w:noBreakHyphen/>
      </w:r>
      <w:r w:rsidRPr="00583E1A">
        <w:t>60, 715</w:t>
      </w:r>
      <w:r w:rsidR="00583E1A">
        <w:noBreakHyphen/>
      </w:r>
      <w:r w:rsidRPr="00583E1A">
        <w:t>70, 715</w:t>
      </w:r>
      <w:r w:rsidR="00583E1A">
        <w:noBreakHyphen/>
      </w:r>
      <w:r w:rsidRPr="00583E1A">
        <w:t>90, 715</w:t>
      </w:r>
      <w:r w:rsidR="00583E1A">
        <w:noBreakHyphen/>
      </w:r>
      <w:r w:rsidRPr="00583E1A">
        <w:t>95, 715</w:t>
      </w:r>
      <w:r w:rsidR="00583E1A">
        <w:noBreakHyphen/>
      </w:r>
      <w:r w:rsidRPr="00583E1A">
        <w:t>355 and 715</w:t>
      </w:r>
      <w:r w:rsidR="00583E1A">
        <w:noBreakHyphen/>
      </w:r>
      <w:r w:rsidRPr="00583E1A">
        <w:t>360.</w:t>
      </w:r>
    </w:p>
    <w:p w:rsidR="00887330" w:rsidRPr="00583E1A" w:rsidRDefault="00887330" w:rsidP="00887330">
      <w:pPr>
        <w:pStyle w:val="Definition"/>
      </w:pPr>
      <w:r w:rsidRPr="00583E1A">
        <w:rPr>
          <w:b/>
          <w:i/>
        </w:rPr>
        <w:t>TFN declaration</w:t>
      </w:r>
      <w:r w:rsidRPr="00583E1A">
        <w:t xml:space="preserve"> means a declaration made for the purposes of section</w:t>
      </w:r>
      <w:r w:rsidR="00583E1A">
        <w:t> </w:t>
      </w:r>
      <w:r w:rsidRPr="00583E1A">
        <w:t xml:space="preserve">202C of the </w:t>
      </w:r>
      <w:r w:rsidRPr="00583E1A">
        <w:rPr>
          <w:i/>
        </w:rPr>
        <w:t>Income Tax Assessment Act 1936</w:t>
      </w:r>
      <w:r w:rsidRPr="00583E1A">
        <w:t xml:space="preserve"> on or after 1</w:t>
      </w:r>
      <w:r w:rsidR="00583E1A">
        <w:t> </w:t>
      </w:r>
      <w:r w:rsidRPr="00583E1A">
        <w:t>July 2000.</w:t>
      </w:r>
    </w:p>
    <w:p w:rsidR="000755CD" w:rsidRPr="00583E1A" w:rsidRDefault="000755CD" w:rsidP="000755CD">
      <w:pPr>
        <w:pStyle w:val="Definition"/>
      </w:pPr>
      <w:r w:rsidRPr="00583E1A">
        <w:rPr>
          <w:b/>
          <w:i/>
        </w:rPr>
        <w:t>TFN withholding tax</w:t>
      </w:r>
      <w:r w:rsidRPr="00583E1A">
        <w:t xml:space="preserve"> means tax payable in accordance with section</w:t>
      </w:r>
      <w:r w:rsidR="00583E1A">
        <w:t> </w:t>
      </w:r>
      <w:r w:rsidRPr="00583E1A">
        <w:t>14</w:t>
      </w:r>
      <w:r w:rsidR="00583E1A">
        <w:noBreakHyphen/>
      </w:r>
      <w:r w:rsidRPr="00583E1A">
        <w:t>55 in Schedule</w:t>
      </w:r>
      <w:r w:rsidR="00583E1A">
        <w:t> </w:t>
      </w:r>
      <w:r w:rsidRPr="00583E1A">
        <w:t xml:space="preserve">1 to the </w:t>
      </w:r>
      <w:r w:rsidRPr="00583E1A">
        <w:rPr>
          <w:i/>
        </w:rPr>
        <w:t>Taxation Administration Act 1953</w:t>
      </w:r>
      <w:r w:rsidRPr="00583E1A">
        <w:t>.</w:t>
      </w:r>
    </w:p>
    <w:p w:rsidR="000755CD" w:rsidRPr="00583E1A" w:rsidRDefault="000755CD" w:rsidP="000755CD">
      <w:pPr>
        <w:pStyle w:val="notetext"/>
      </w:pPr>
      <w:r w:rsidRPr="00583E1A">
        <w:t>Note:</w:t>
      </w:r>
      <w:r w:rsidRPr="00583E1A">
        <w:tab/>
        <w:t xml:space="preserve">The tax is imposed by the </w:t>
      </w:r>
      <w:r w:rsidRPr="00583E1A">
        <w:rPr>
          <w:i/>
        </w:rPr>
        <w:t>Income Tax (Deferred Interest Securities) (Tax File Number Withholding Tax) Act 1991</w:t>
      </w:r>
      <w:r w:rsidRPr="00583E1A">
        <w:t>.</w:t>
      </w:r>
    </w:p>
    <w:p w:rsidR="00BD60AB" w:rsidRPr="00303F70" w:rsidRDefault="00BD60AB" w:rsidP="00BD60AB">
      <w:pPr>
        <w:pStyle w:val="Definition"/>
        <w:rPr>
          <w:b/>
          <w:i/>
        </w:rPr>
      </w:pPr>
      <w:r w:rsidRPr="00303F70">
        <w:rPr>
          <w:b/>
          <w:i/>
        </w:rPr>
        <w:t xml:space="preserve">TFN withholding tax (ESS) </w:t>
      </w:r>
      <w:r w:rsidRPr="00303F70">
        <w:t>means tax payable in accordance with section 14</w:t>
      </w:r>
      <w:r w:rsidRPr="00303F70">
        <w:noBreakHyphen/>
        <w:t>155 in Schedule 1 to the</w:t>
      </w:r>
      <w:r w:rsidRPr="00303F70">
        <w:rPr>
          <w:b/>
          <w:i/>
        </w:rPr>
        <w:t xml:space="preserve"> </w:t>
      </w:r>
      <w:r w:rsidRPr="00303F70">
        <w:rPr>
          <w:i/>
        </w:rPr>
        <w:t>Taxation Administration Act 1953</w:t>
      </w:r>
      <w:r w:rsidRPr="00303F70">
        <w:t>.</w:t>
      </w:r>
    </w:p>
    <w:p w:rsidR="00BD60AB" w:rsidRPr="00303F70" w:rsidRDefault="00BD60AB" w:rsidP="00BD60AB">
      <w:pPr>
        <w:pStyle w:val="notetext"/>
      </w:pPr>
      <w:r w:rsidRPr="00303F70">
        <w:t>Note:</w:t>
      </w:r>
      <w:r w:rsidRPr="00303F70">
        <w:tab/>
        <w:t>ESS is short for employee share scheme.</w:t>
      </w:r>
    </w:p>
    <w:p w:rsidR="00887330" w:rsidRPr="00583E1A" w:rsidRDefault="00887330" w:rsidP="00887330">
      <w:pPr>
        <w:pStyle w:val="Definition"/>
      </w:pPr>
      <w:r w:rsidRPr="00583E1A">
        <w:rPr>
          <w:b/>
          <w:i/>
        </w:rPr>
        <w:t xml:space="preserve">this Act </w:t>
      </w:r>
      <w:r w:rsidRPr="00583E1A">
        <w:t>includes:</w:t>
      </w:r>
    </w:p>
    <w:p w:rsidR="00887330" w:rsidRPr="00583E1A" w:rsidRDefault="00887330" w:rsidP="00887330">
      <w:pPr>
        <w:pStyle w:val="paragraph"/>
      </w:pPr>
      <w:r w:rsidRPr="00583E1A">
        <w:tab/>
        <w:t>(a)</w:t>
      </w:r>
      <w:r w:rsidRPr="00583E1A">
        <w:tab/>
        <w:t xml:space="preserve">the </w:t>
      </w:r>
      <w:r w:rsidRPr="00583E1A">
        <w:rPr>
          <w:i/>
        </w:rPr>
        <w:t>Income Tax Assessment Act 1936</w:t>
      </w:r>
      <w:r w:rsidRPr="00583E1A">
        <w:t>; and</w:t>
      </w:r>
    </w:p>
    <w:p w:rsidR="00887330" w:rsidRPr="00583E1A" w:rsidRDefault="00887330" w:rsidP="00887330">
      <w:pPr>
        <w:pStyle w:val="paragraph"/>
      </w:pPr>
      <w:r w:rsidRPr="00583E1A">
        <w:tab/>
        <w:t>(b)</w:t>
      </w:r>
      <w:r w:rsidRPr="00583E1A">
        <w:tab/>
        <w:t>Part</w:t>
      </w:r>
      <w:r w:rsidR="00583E1A">
        <w:t> </w:t>
      </w:r>
      <w:r w:rsidRPr="00583E1A">
        <w:t xml:space="preserve">IVC of the </w:t>
      </w:r>
      <w:r w:rsidRPr="00583E1A">
        <w:rPr>
          <w:i/>
        </w:rPr>
        <w:t>Taxation Administration Act 1953</w:t>
      </w:r>
      <w:r w:rsidRPr="00583E1A">
        <w:t>, so far as that Part relates to:</w:t>
      </w:r>
    </w:p>
    <w:p w:rsidR="00887330" w:rsidRPr="00583E1A" w:rsidRDefault="00887330" w:rsidP="00887330">
      <w:pPr>
        <w:pStyle w:val="paragraphsub"/>
      </w:pPr>
      <w:r w:rsidRPr="00583E1A">
        <w:tab/>
        <w:t>(i)</w:t>
      </w:r>
      <w:r w:rsidRPr="00583E1A">
        <w:tab/>
        <w:t xml:space="preserve">this Act or the </w:t>
      </w:r>
      <w:r w:rsidRPr="00583E1A">
        <w:rPr>
          <w:i/>
        </w:rPr>
        <w:t>Income Tax Assessment Act 1936</w:t>
      </w:r>
      <w:r w:rsidRPr="00583E1A">
        <w:t>; or</w:t>
      </w:r>
    </w:p>
    <w:p w:rsidR="00887330" w:rsidRPr="00583E1A" w:rsidRDefault="00887330" w:rsidP="00887330">
      <w:pPr>
        <w:pStyle w:val="paragraphsub"/>
      </w:pPr>
      <w:r w:rsidRPr="00583E1A">
        <w:tab/>
        <w:t>(ii)</w:t>
      </w:r>
      <w:r w:rsidRPr="00583E1A">
        <w:tab/>
        <w:t>Schedule</w:t>
      </w:r>
      <w:r w:rsidR="00583E1A">
        <w:t> </w:t>
      </w:r>
      <w:r w:rsidRPr="00583E1A">
        <w:t xml:space="preserve">1 to the </w:t>
      </w:r>
      <w:r w:rsidRPr="00583E1A">
        <w:rPr>
          <w:i/>
        </w:rPr>
        <w:t>Taxation Administration Act 1953</w:t>
      </w:r>
      <w:r w:rsidRPr="00583E1A">
        <w:t>; and</w:t>
      </w:r>
    </w:p>
    <w:p w:rsidR="00887330" w:rsidRPr="00583E1A" w:rsidRDefault="00887330" w:rsidP="00887330">
      <w:pPr>
        <w:pStyle w:val="paragraph"/>
      </w:pPr>
      <w:r w:rsidRPr="00583E1A">
        <w:tab/>
        <w:t>(c)</w:t>
      </w:r>
      <w:r w:rsidRPr="00583E1A">
        <w:tab/>
        <w:t>Schedule</w:t>
      </w:r>
      <w:r w:rsidR="00583E1A">
        <w:t> </w:t>
      </w:r>
      <w:r w:rsidRPr="00583E1A">
        <w:t xml:space="preserve">1 to the </w:t>
      </w:r>
      <w:r w:rsidRPr="00583E1A">
        <w:rPr>
          <w:i/>
        </w:rPr>
        <w:t>Taxation Administration Act 1953</w:t>
      </w:r>
      <w:r w:rsidRPr="00583E1A">
        <w:t>;</w:t>
      </w:r>
    </w:p>
    <w:p w:rsidR="00887330" w:rsidRPr="00583E1A" w:rsidRDefault="00887330" w:rsidP="00887330">
      <w:pPr>
        <w:pStyle w:val="subsection2"/>
      </w:pPr>
      <w:r w:rsidRPr="00583E1A">
        <w:t>except in Division</w:t>
      </w:r>
      <w:r w:rsidR="00583E1A">
        <w:t> </w:t>
      </w:r>
      <w:r w:rsidRPr="00583E1A">
        <w:t>950 (Rules for interpreting this Act).</w:t>
      </w:r>
    </w:p>
    <w:p w:rsidR="00887330" w:rsidRPr="00583E1A" w:rsidRDefault="00887330" w:rsidP="00887330">
      <w:pPr>
        <w:pStyle w:val="notetext"/>
      </w:pPr>
      <w:r w:rsidRPr="00583E1A">
        <w:t>Note:</w:t>
      </w:r>
      <w:r w:rsidRPr="00583E1A">
        <w:tab/>
      </w:r>
      <w:r w:rsidR="00583E1A">
        <w:t>Subsection (</w:t>
      </w:r>
      <w:r w:rsidRPr="00583E1A">
        <w:t xml:space="preserve">2) of this section prevents definitions in the </w:t>
      </w:r>
      <w:r w:rsidRPr="00583E1A">
        <w:rPr>
          <w:i/>
        </w:rPr>
        <w:t>Income Tax Assessment Act 1997</w:t>
      </w:r>
      <w:r w:rsidRPr="00583E1A">
        <w:t xml:space="preserve"> from affecting the interpretation of the </w:t>
      </w:r>
      <w:r w:rsidRPr="00583E1A">
        <w:rPr>
          <w:i/>
        </w:rPr>
        <w:t>Income Tax Assessment Act 1936</w:t>
      </w:r>
      <w:r w:rsidRPr="00583E1A">
        <w:t xml:space="preserve">. </w:t>
      </w:r>
    </w:p>
    <w:p w:rsidR="00887330" w:rsidRPr="00583E1A" w:rsidRDefault="00887330" w:rsidP="00887330">
      <w:pPr>
        <w:pStyle w:val="Definition"/>
      </w:pPr>
      <w:r w:rsidRPr="00583E1A">
        <w:rPr>
          <w:b/>
          <w:i/>
        </w:rPr>
        <w:t>tier</w:t>
      </w:r>
      <w:r w:rsidR="00583E1A">
        <w:rPr>
          <w:b/>
          <w:i/>
        </w:rPr>
        <w:noBreakHyphen/>
      </w:r>
      <w:r w:rsidRPr="00583E1A">
        <w:rPr>
          <w:b/>
          <w:i/>
        </w:rPr>
        <w:t>1 company</w:t>
      </w:r>
      <w:r w:rsidRPr="00583E1A">
        <w:t xml:space="preserve"> has the meaning given by section</w:t>
      </w:r>
      <w:r w:rsidR="00583E1A">
        <w:t> </w:t>
      </w:r>
      <w:r w:rsidRPr="00583E1A">
        <w:t>719</w:t>
      </w:r>
      <w:r w:rsidR="00583E1A">
        <w:noBreakHyphen/>
      </w:r>
      <w:r w:rsidRPr="00583E1A">
        <w:t>20.</w:t>
      </w:r>
    </w:p>
    <w:p w:rsidR="00887330" w:rsidRPr="00583E1A" w:rsidRDefault="00887330" w:rsidP="00887330">
      <w:pPr>
        <w:pStyle w:val="Definition"/>
      </w:pPr>
      <w:r w:rsidRPr="00583E1A">
        <w:rPr>
          <w:b/>
          <w:i/>
        </w:rPr>
        <w:t>tier 1 prudential capital deduction</w:t>
      </w:r>
      <w:r w:rsidRPr="00583E1A">
        <w:t xml:space="preserve">, for an entity and at a particular time, means the amounts that must be deducted in the calculation of the eligible tier 1 capital (within the meaning of the </w:t>
      </w:r>
      <w:r w:rsidR="00583E1A" w:rsidRPr="00583E1A">
        <w:rPr>
          <w:position w:val="6"/>
          <w:sz w:val="16"/>
        </w:rPr>
        <w:t>*</w:t>
      </w:r>
      <w:r w:rsidRPr="00583E1A">
        <w:t>prudential standards) of the entity at that time in accordance with the prudential standards as in force at that time.</w:t>
      </w:r>
    </w:p>
    <w:p w:rsidR="00887330" w:rsidRPr="00583E1A" w:rsidRDefault="00887330" w:rsidP="00887330">
      <w:pPr>
        <w:pStyle w:val="Definition"/>
      </w:pPr>
      <w:r w:rsidRPr="00583E1A">
        <w:rPr>
          <w:b/>
          <w:i/>
        </w:rPr>
        <w:t>timber mill building</w:t>
      </w:r>
      <w:r w:rsidRPr="00583E1A">
        <w:t xml:space="preserve"> has the meaning given by </w:t>
      </w:r>
      <w:r w:rsidRPr="00583E1A">
        <w:br/>
        <w:t>section</w:t>
      </w:r>
      <w:r w:rsidR="00583E1A">
        <w:t> </w:t>
      </w:r>
      <w:r w:rsidRPr="00583E1A">
        <w:t>43</w:t>
      </w:r>
      <w:r w:rsidR="00583E1A">
        <w:noBreakHyphen/>
      </w:r>
      <w:r w:rsidRPr="00583E1A">
        <w:t>72.</w:t>
      </w:r>
    </w:p>
    <w:p w:rsidR="00887330" w:rsidRPr="00583E1A" w:rsidRDefault="00887330" w:rsidP="00887330">
      <w:pPr>
        <w:pStyle w:val="Definition"/>
      </w:pPr>
      <w:r w:rsidRPr="00583E1A">
        <w:rPr>
          <w:b/>
          <w:i/>
        </w:rPr>
        <w:t>timber operation</w:t>
      </w:r>
      <w:r w:rsidRPr="00583E1A">
        <w:t xml:space="preserve"> has the meaning given by section</w:t>
      </w:r>
      <w:r w:rsidR="00583E1A">
        <w:t> </w:t>
      </w:r>
      <w:r w:rsidRPr="00583E1A">
        <w:t>43</w:t>
      </w:r>
      <w:r w:rsidR="00583E1A">
        <w:noBreakHyphen/>
      </w:r>
      <w:r w:rsidRPr="00583E1A">
        <w:t>72.</w:t>
      </w:r>
    </w:p>
    <w:p w:rsidR="00887330" w:rsidRPr="00583E1A" w:rsidRDefault="00887330" w:rsidP="00887330">
      <w:pPr>
        <w:pStyle w:val="Definition"/>
      </w:pPr>
      <w:r w:rsidRPr="00583E1A">
        <w:rPr>
          <w:b/>
          <w:i/>
        </w:rPr>
        <w:t>top company</w:t>
      </w:r>
      <w:r w:rsidRPr="00583E1A">
        <w:t xml:space="preserve"> has the meaning given by section</w:t>
      </w:r>
      <w:r w:rsidR="00583E1A">
        <w:t> </w:t>
      </w:r>
      <w:r w:rsidRPr="00583E1A">
        <w:t>719</w:t>
      </w:r>
      <w:r w:rsidR="00583E1A">
        <w:noBreakHyphen/>
      </w:r>
      <w:r w:rsidRPr="00583E1A">
        <w:t>20.</w:t>
      </w:r>
    </w:p>
    <w:p w:rsidR="00887330" w:rsidRPr="00583E1A" w:rsidRDefault="00887330" w:rsidP="00887330">
      <w:pPr>
        <w:pStyle w:val="Definition"/>
      </w:pPr>
      <w:r w:rsidRPr="00583E1A">
        <w:rPr>
          <w:b/>
          <w:i/>
        </w:rPr>
        <w:t>total debt amount</w:t>
      </w:r>
      <w:r w:rsidRPr="00583E1A">
        <w:t xml:space="preserve"> has the meaning given by sections</w:t>
      </w:r>
      <w:r w:rsidR="00583E1A">
        <w:t> </w:t>
      </w:r>
      <w:r w:rsidRPr="00583E1A">
        <w:t>820</w:t>
      </w:r>
      <w:r w:rsidR="00583E1A">
        <w:noBreakHyphen/>
      </w:r>
      <w:r w:rsidRPr="00583E1A">
        <w:t>100, 820</w:t>
      </w:r>
      <w:r w:rsidR="00583E1A">
        <w:noBreakHyphen/>
      </w:r>
      <w:r w:rsidRPr="00583E1A">
        <w:t>200 and 820</w:t>
      </w:r>
      <w:r w:rsidR="00583E1A">
        <w:noBreakHyphen/>
      </w:r>
      <w:r w:rsidRPr="00583E1A">
        <w:t>210.</w:t>
      </w:r>
    </w:p>
    <w:p w:rsidR="00FE1317" w:rsidRPr="00583E1A" w:rsidRDefault="00FE1317" w:rsidP="00FE1317">
      <w:pPr>
        <w:pStyle w:val="Definition"/>
      </w:pPr>
      <w:r w:rsidRPr="00583E1A">
        <w:rPr>
          <w:b/>
          <w:i/>
        </w:rPr>
        <w:t>total film expenditure</w:t>
      </w:r>
      <w:r w:rsidRPr="00583E1A">
        <w:t xml:space="preserve"> has the meaning given by section</w:t>
      </w:r>
      <w:r w:rsidR="00583E1A">
        <w:t> </w:t>
      </w:r>
      <w:r w:rsidRPr="00583E1A">
        <w:t>376</w:t>
      </w:r>
      <w:r w:rsidR="00583E1A">
        <w:noBreakHyphen/>
      </w:r>
      <w:r w:rsidRPr="00583E1A">
        <w:t>170.</w:t>
      </w:r>
    </w:p>
    <w:p w:rsidR="005818B2" w:rsidRPr="00583E1A" w:rsidRDefault="005818B2" w:rsidP="005818B2">
      <w:pPr>
        <w:pStyle w:val="Definition"/>
      </w:pPr>
      <w:r w:rsidRPr="00583E1A">
        <w:rPr>
          <w:b/>
          <w:i/>
        </w:rPr>
        <w:t xml:space="preserve">total forestry scheme deductions </w:t>
      </w:r>
      <w:r w:rsidRPr="00583E1A">
        <w:t>has the meaning given by subsection 394</w:t>
      </w:r>
      <w:r w:rsidR="00583E1A">
        <w:noBreakHyphen/>
      </w:r>
      <w:r w:rsidRPr="00583E1A">
        <w:t>30(3).</w:t>
      </w:r>
    </w:p>
    <w:p w:rsidR="00A85C22" w:rsidRPr="00214FF7" w:rsidRDefault="00A85C22" w:rsidP="00A85C22">
      <w:pPr>
        <w:pStyle w:val="Definition"/>
      </w:pPr>
      <w:r w:rsidRPr="00214FF7">
        <w:rPr>
          <w:b/>
          <w:i/>
        </w:rPr>
        <w:t>total net forgiven amount</w:t>
      </w:r>
      <w:r w:rsidRPr="00214FF7">
        <w:t xml:space="preserve"> has the meaning given by subsection 245</w:t>
      </w:r>
      <w:r w:rsidRPr="00214FF7">
        <w:noBreakHyphen/>
        <w:t>105(1).</w:t>
      </w:r>
    </w:p>
    <w:p w:rsidR="00D9622A" w:rsidRPr="00583E1A" w:rsidRDefault="00D9622A" w:rsidP="00D9622A">
      <w:pPr>
        <w:pStyle w:val="Definition"/>
      </w:pPr>
      <w:r w:rsidRPr="00583E1A">
        <w:rPr>
          <w:b/>
          <w:i/>
        </w:rPr>
        <w:t>total net investment loss</w:t>
      </w:r>
      <w:r w:rsidRPr="00583E1A">
        <w:t xml:space="preserve"> of an individual for an income year means the sum of:</w:t>
      </w:r>
    </w:p>
    <w:p w:rsidR="00D9622A" w:rsidRPr="00583E1A" w:rsidRDefault="00D9622A" w:rsidP="00D9622A">
      <w:pPr>
        <w:pStyle w:val="paragraph"/>
      </w:pPr>
      <w:r w:rsidRPr="00583E1A">
        <w:tab/>
        <w:t>(a)</w:t>
      </w:r>
      <w:r w:rsidRPr="00583E1A">
        <w:tab/>
        <w:t xml:space="preserve">the amount (if any) by which the individual’s deductions for the income year that are attributable to </w:t>
      </w:r>
      <w:r w:rsidR="00583E1A" w:rsidRPr="00583E1A">
        <w:rPr>
          <w:position w:val="6"/>
          <w:sz w:val="16"/>
        </w:rPr>
        <w:t>*</w:t>
      </w:r>
      <w:r w:rsidRPr="00583E1A">
        <w:t>financial investments exceed the individual’s gross income for that year from those investments; and</w:t>
      </w:r>
    </w:p>
    <w:p w:rsidR="00D9622A" w:rsidRPr="00583E1A" w:rsidRDefault="00D9622A" w:rsidP="00D9622A">
      <w:pPr>
        <w:pStyle w:val="paragraph"/>
      </w:pPr>
      <w:r w:rsidRPr="00583E1A">
        <w:tab/>
        <w:t>(b)</w:t>
      </w:r>
      <w:r w:rsidRPr="00583E1A">
        <w:tab/>
        <w:t>the amount (if any) by which the individual’s deductions for the income year that are attributable to rental property exceed the individual’s gross income for that year from rental property.</w:t>
      </w:r>
    </w:p>
    <w:p w:rsidR="004754BC" w:rsidRPr="00583E1A" w:rsidRDefault="004754BC" w:rsidP="004754BC">
      <w:pPr>
        <w:pStyle w:val="Definition"/>
      </w:pPr>
      <w:r w:rsidRPr="00583E1A">
        <w:rPr>
          <w:b/>
          <w:i/>
        </w:rPr>
        <w:t>total participation interest</w:t>
      </w:r>
      <w:r w:rsidRPr="00583E1A">
        <w:t xml:space="preserve"> has the meaning given by section</w:t>
      </w:r>
      <w:r w:rsidR="00583E1A">
        <w:t> </w:t>
      </w:r>
      <w:r w:rsidRPr="00583E1A">
        <w:t>960</w:t>
      </w:r>
      <w:r w:rsidR="00583E1A">
        <w:noBreakHyphen/>
      </w:r>
      <w:r w:rsidRPr="00583E1A">
        <w:t>180.</w:t>
      </w:r>
    </w:p>
    <w:p w:rsidR="00887330" w:rsidRPr="00583E1A" w:rsidRDefault="00887330" w:rsidP="00887330">
      <w:pPr>
        <w:pStyle w:val="Definition"/>
      </w:pPr>
      <w:r w:rsidRPr="00583E1A">
        <w:rPr>
          <w:b/>
          <w:i/>
        </w:rPr>
        <w:t>total voting percentage</w:t>
      </w:r>
      <w:r w:rsidRPr="00583E1A">
        <w:t xml:space="preserve"> in a company has the meaning given by section</w:t>
      </w:r>
      <w:r w:rsidR="00583E1A">
        <w:t> </w:t>
      </w:r>
      <w:r w:rsidRPr="00583E1A">
        <w:t>768</w:t>
      </w:r>
      <w:r w:rsidR="00583E1A">
        <w:noBreakHyphen/>
      </w:r>
      <w:r w:rsidRPr="00583E1A">
        <w:t>560.</w:t>
      </w:r>
    </w:p>
    <w:p w:rsidR="00887330" w:rsidRPr="00583E1A" w:rsidRDefault="00887330" w:rsidP="00887330">
      <w:pPr>
        <w:pStyle w:val="Definition"/>
      </w:pPr>
      <w:r w:rsidRPr="00583E1A">
        <w:rPr>
          <w:b/>
          <w:i/>
        </w:rPr>
        <w:t xml:space="preserve">tracing rule </w:t>
      </w:r>
      <w:r w:rsidRPr="00583E1A">
        <w:t>means a rule in one of the following sections:</w:t>
      </w:r>
    </w:p>
    <w:p w:rsidR="00887330" w:rsidRPr="00583E1A" w:rsidRDefault="00887330" w:rsidP="00887330">
      <w:pPr>
        <w:pStyle w:val="paragraph"/>
      </w:pPr>
      <w:r w:rsidRPr="00583E1A">
        <w:tab/>
        <w:t>(a)</w:t>
      </w:r>
      <w:r w:rsidRPr="00583E1A">
        <w:tab/>
        <w:t>section</w:t>
      </w:r>
      <w:r w:rsidR="00583E1A">
        <w:t> </w:t>
      </w:r>
      <w:r w:rsidRPr="00583E1A">
        <w:t>166</w:t>
      </w:r>
      <w:r w:rsidR="00583E1A">
        <w:noBreakHyphen/>
      </w:r>
      <w:r w:rsidRPr="00583E1A">
        <w:t>225;</w:t>
      </w:r>
    </w:p>
    <w:p w:rsidR="00887330" w:rsidRPr="00583E1A" w:rsidRDefault="00887330" w:rsidP="00887330">
      <w:pPr>
        <w:pStyle w:val="paragraph"/>
      </w:pPr>
      <w:r w:rsidRPr="00583E1A">
        <w:tab/>
        <w:t>(b)</w:t>
      </w:r>
      <w:r w:rsidRPr="00583E1A">
        <w:tab/>
        <w:t>section</w:t>
      </w:r>
      <w:r w:rsidR="00583E1A">
        <w:t> </w:t>
      </w:r>
      <w:r w:rsidRPr="00583E1A">
        <w:t>166</w:t>
      </w:r>
      <w:r w:rsidR="00583E1A">
        <w:noBreakHyphen/>
      </w:r>
      <w:r w:rsidRPr="00583E1A">
        <w:t>230;</w:t>
      </w:r>
    </w:p>
    <w:p w:rsidR="00887330" w:rsidRPr="00583E1A" w:rsidRDefault="00887330" w:rsidP="00887330">
      <w:pPr>
        <w:pStyle w:val="paragraph"/>
      </w:pPr>
      <w:r w:rsidRPr="00583E1A">
        <w:tab/>
        <w:t>(c)</w:t>
      </w:r>
      <w:r w:rsidRPr="00583E1A">
        <w:tab/>
        <w:t>section</w:t>
      </w:r>
      <w:r w:rsidR="00583E1A">
        <w:t> </w:t>
      </w:r>
      <w:r w:rsidRPr="00583E1A">
        <w:t>166</w:t>
      </w:r>
      <w:r w:rsidR="00583E1A">
        <w:noBreakHyphen/>
      </w:r>
      <w:r w:rsidRPr="00583E1A">
        <w:t>240;</w:t>
      </w:r>
    </w:p>
    <w:p w:rsidR="00887330" w:rsidRPr="00583E1A" w:rsidRDefault="00887330" w:rsidP="00887330">
      <w:pPr>
        <w:pStyle w:val="paragraph"/>
      </w:pPr>
      <w:r w:rsidRPr="00583E1A">
        <w:tab/>
        <w:t>(d)</w:t>
      </w:r>
      <w:r w:rsidRPr="00583E1A">
        <w:tab/>
        <w:t>section</w:t>
      </w:r>
      <w:r w:rsidR="00583E1A">
        <w:t> </w:t>
      </w:r>
      <w:r w:rsidRPr="00583E1A">
        <w:t>166</w:t>
      </w:r>
      <w:r w:rsidR="00583E1A">
        <w:noBreakHyphen/>
      </w:r>
      <w:r w:rsidRPr="00583E1A">
        <w:t>245;</w:t>
      </w:r>
    </w:p>
    <w:p w:rsidR="00887330" w:rsidRPr="00583E1A" w:rsidRDefault="00887330" w:rsidP="00887330">
      <w:pPr>
        <w:pStyle w:val="paragraph"/>
      </w:pPr>
      <w:r w:rsidRPr="00583E1A">
        <w:tab/>
        <w:t>(e)</w:t>
      </w:r>
      <w:r w:rsidRPr="00583E1A">
        <w:tab/>
        <w:t>section</w:t>
      </w:r>
      <w:r w:rsidR="00583E1A">
        <w:t> </w:t>
      </w:r>
      <w:r w:rsidRPr="00583E1A">
        <w:t>166</w:t>
      </w:r>
      <w:r w:rsidR="00583E1A">
        <w:noBreakHyphen/>
      </w:r>
      <w:r w:rsidRPr="00583E1A">
        <w:t>255;</w:t>
      </w:r>
    </w:p>
    <w:p w:rsidR="00887330" w:rsidRPr="00583E1A" w:rsidRDefault="00887330" w:rsidP="00887330">
      <w:pPr>
        <w:pStyle w:val="paragraph"/>
      </w:pPr>
      <w:r w:rsidRPr="00583E1A">
        <w:tab/>
        <w:t>(f)</w:t>
      </w:r>
      <w:r w:rsidRPr="00583E1A">
        <w:tab/>
        <w:t>section</w:t>
      </w:r>
      <w:r w:rsidR="00583E1A">
        <w:t> </w:t>
      </w:r>
      <w:r w:rsidRPr="00583E1A">
        <w:t>166</w:t>
      </w:r>
      <w:r w:rsidR="00583E1A">
        <w:noBreakHyphen/>
      </w:r>
      <w:r w:rsidRPr="00583E1A">
        <w:t>260.</w:t>
      </w:r>
    </w:p>
    <w:p w:rsidR="00887330" w:rsidRPr="00583E1A" w:rsidRDefault="00887330" w:rsidP="00887330">
      <w:pPr>
        <w:pStyle w:val="Definition"/>
      </w:pPr>
      <w:r w:rsidRPr="00583E1A">
        <w:rPr>
          <w:b/>
          <w:i/>
        </w:rPr>
        <w:t>trading</w:t>
      </w:r>
      <w:r w:rsidRPr="00583E1A">
        <w:t xml:space="preserve"> in </w:t>
      </w:r>
      <w:r w:rsidR="00583E1A" w:rsidRPr="00583E1A">
        <w:rPr>
          <w:position w:val="6"/>
          <w:sz w:val="16"/>
        </w:rPr>
        <w:t>*</w:t>
      </w:r>
      <w:r w:rsidRPr="00583E1A">
        <w:t xml:space="preserve">shares in a </w:t>
      </w:r>
      <w:r w:rsidR="00583E1A" w:rsidRPr="00583E1A">
        <w:rPr>
          <w:position w:val="6"/>
          <w:sz w:val="16"/>
        </w:rPr>
        <w:t>*</w:t>
      </w:r>
      <w:r w:rsidRPr="00583E1A">
        <w:t>listed public company, or in units in a unit trust, has the meaning given by section</w:t>
      </w:r>
      <w:r w:rsidR="00583E1A">
        <w:t> </w:t>
      </w:r>
      <w:r w:rsidRPr="00583E1A">
        <w:t>960</w:t>
      </w:r>
      <w:r w:rsidR="00583E1A">
        <w:noBreakHyphen/>
      </w:r>
      <w:r w:rsidRPr="00583E1A">
        <w:t>220.</w:t>
      </w:r>
    </w:p>
    <w:p w:rsidR="00887330" w:rsidRPr="00583E1A" w:rsidRDefault="00887330" w:rsidP="00887330">
      <w:pPr>
        <w:pStyle w:val="Definition"/>
      </w:pPr>
      <w:r w:rsidRPr="00583E1A">
        <w:rPr>
          <w:b/>
          <w:i/>
        </w:rPr>
        <w:t>trading stock</w:t>
      </w:r>
      <w:r w:rsidRPr="00583E1A">
        <w:t xml:space="preserve"> has the meaning given by section</w:t>
      </w:r>
      <w:r w:rsidR="00583E1A">
        <w:t> </w:t>
      </w:r>
      <w:r w:rsidRPr="00583E1A">
        <w:t>70</w:t>
      </w:r>
      <w:r w:rsidR="00583E1A">
        <w:noBreakHyphen/>
      </w:r>
      <w:r w:rsidRPr="00583E1A">
        <w:t xml:space="preserve">10, as modified by </w:t>
      </w:r>
      <w:r w:rsidR="005A1A8F" w:rsidRPr="00E811AF">
        <w:t>section 70</w:t>
      </w:r>
      <w:r w:rsidR="005A1A8F" w:rsidRPr="00E811AF">
        <w:noBreakHyphen/>
        <w:t>12 of this Act and</w:t>
      </w:r>
      <w:r w:rsidR="005A1A8F" w:rsidRPr="00583E1A">
        <w:t xml:space="preserve"> </w:t>
      </w:r>
      <w:r w:rsidRPr="00583E1A">
        <w:t>sections</w:t>
      </w:r>
      <w:r w:rsidR="00583E1A">
        <w:t> </w:t>
      </w:r>
      <w:r w:rsidRPr="00583E1A">
        <w:t xml:space="preserve">124ZO and 124ZQ of the </w:t>
      </w:r>
      <w:r w:rsidRPr="00583E1A">
        <w:rPr>
          <w:i/>
        </w:rPr>
        <w:t>Income Tax Assessment Act 1936</w:t>
      </w:r>
      <w:r w:rsidRPr="00583E1A">
        <w:t>.</w:t>
      </w:r>
    </w:p>
    <w:p w:rsidR="00887330" w:rsidRPr="00583E1A" w:rsidRDefault="00887330" w:rsidP="00887330">
      <w:pPr>
        <w:pStyle w:val="Definition"/>
      </w:pPr>
      <w:r w:rsidRPr="00583E1A">
        <w:rPr>
          <w:b/>
          <w:i/>
        </w:rPr>
        <w:t>trading stock loss</w:t>
      </w:r>
      <w:r w:rsidRPr="00583E1A">
        <w:t xml:space="preserve"> has the meaning given by subsection 165</w:t>
      </w:r>
      <w:r w:rsidR="00583E1A">
        <w:noBreakHyphen/>
      </w:r>
      <w:r w:rsidRPr="00583E1A">
        <w:t>115A(1B).</w:t>
      </w:r>
    </w:p>
    <w:p w:rsidR="00887330" w:rsidRPr="00583E1A" w:rsidRDefault="00887330" w:rsidP="00887330">
      <w:pPr>
        <w:pStyle w:val="Definition"/>
      </w:pPr>
      <w:r w:rsidRPr="00583E1A">
        <w:rPr>
          <w:b/>
          <w:i/>
        </w:rPr>
        <w:t>traditional security</w:t>
      </w:r>
      <w:r w:rsidRPr="00583E1A">
        <w:t xml:space="preserve"> has the meaning given by section</w:t>
      </w:r>
      <w:r w:rsidR="00583E1A">
        <w:t> </w:t>
      </w:r>
      <w:r w:rsidRPr="00583E1A">
        <w:t xml:space="preserve">26BB of the </w:t>
      </w:r>
      <w:r w:rsidRPr="00583E1A">
        <w:rPr>
          <w:i/>
        </w:rPr>
        <w:t>Income Tax Assessment Act 1936</w:t>
      </w:r>
      <w:r w:rsidRPr="00583E1A">
        <w:t>.</w:t>
      </w:r>
    </w:p>
    <w:p w:rsidR="00887330" w:rsidRPr="00583E1A" w:rsidRDefault="00887330" w:rsidP="00887330">
      <w:pPr>
        <w:pStyle w:val="Definition"/>
      </w:pPr>
      <w:r w:rsidRPr="00583E1A">
        <w:rPr>
          <w:b/>
          <w:i/>
        </w:rPr>
        <w:t>transferor trust</w:t>
      </w:r>
      <w:r w:rsidRPr="00583E1A">
        <w:t xml:space="preserve"> has the meaning given by section</w:t>
      </w:r>
      <w:r w:rsidR="00583E1A">
        <w:t> </w:t>
      </w:r>
      <w:r w:rsidRPr="00583E1A">
        <w:t>960</w:t>
      </w:r>
      <w:r w:rsidR="00583E1A">
        <w:noBreakHyphen/>
      </w:r>
      <w:r w:rsidRPr="00583E1A">
        <w:t>75.</w:t>
      </w:r>
    </w:p>
    <w:p w:rsidR="00206822" w:rsidRPr="003509A5" w:rsidRDefault="00206822" w:rsidP="00206822">
      <w:pPr>
        <w:pStyle w:val="Definition"/>
      </w:pPr>
      <w:r w:rsidRPr="003509A5">
        <w:rPr>
          <w:b/>
          <w:i/>
        </w:rPr>
        <w:t>transfer pricing benefit</w:t>
      </w:r>
      <w:r w:rsidRPr="003509A5">
        <w:t xml:space="preserve"> has the meaning given by section 815</w:t>
      </w:r>
      <w:r w:rsidRPr="003509A5">
        <w:noBreakHyphen/>
        <w:t>15.</w:t>
      </w:r>
    </w:p>
    <w:p w:rsidR="00887330" w:rsidRPr="00583E1A" w:rsidRDefault="00887330" w:rsidP="00887330">
      <w:pPr>
        <w:pStyle w:val="Definition"/>
      </w:pPr>
      <w:r w:rsidRPr="00583E1A">
        <w:rPr>
          <w:b/>
          <w:i/>
        </w:rPr>
        <w:t>transfer value</w:t>
      </w:r>
      <w:r w:rsidRPr="00583E1A">
        <w:t xml:space="preserve"> of an asset means the amount that could be expected to be received from the disposal of the asset in an open market after deducting any costs expected to be incurred in respect of the disposal.</w:t>
      </w:r>
    </w:p>
    <w:p w:rsidR="00887330" w:rsidRPr="00583E1A" w:rsidRDefault="00887330" w:rsidP="00887330">
      <w:pPr>
        <w:pStyle w:val="Definition"/>
      </w:pPr>
      <w:r w:rsidRPr="00583E1A">
        <w:rPr>
          <w:b/>
          <w:i/>
        </w:rPr>
        <w:t>transition entity</w:t>
      </w:r>
      <w:r w:rsidRPr="00583E1A">
        <w:t xml:space="preserve"> has the meaning given by section</w:t>
      </w:r>
      <w:r w:rsidR="00583E1A">
        <w:t> </w:t>
      </w:r>
      <w:r w:rsidRPr="00583E1A">
        <w:t>58</w:t>
      </w:r>
      <w:r w:rsidR="00583E1A">
        <w:noBreakHyphen/>
      </w:r>
      <w:r w:rsidRPr="00583E1A">
        <w:t>5.</w:t>
      </w:r>
    </w:p>
    <w:p w:rsidR="00887330" w:rsidRPr="00583E1A" w:rsidRDefault="00887330" w:rsidP="00887330">
      <w:pPr>
        <w:pStyle w:val="Definition"/>
      </w:pPr>
      <w:r w:rsidRPr="00583E1A">
        <w:rPr>
          <w:b/>
          <w:i/>
        </w:rPr>
        <w:t>transition time</w:t>
      </w:r>
      <w:r w:rsidRPr="00583E1A">
        <w:t xml:space="preserve"> has the meaning given by section</w:t>
      </w:r>
      <w:r w:rsidR="00583E1A">
        <w:t> </w:t>
      </w:r>
      <w:r w:rsidRPr="00583E1A">
        <w:t>58</w:t>
      </w:r>
      <w:r w:rsidR="00583E1A">
        <w:noBreakHyphen/>
      </w:r>
      <w:r w:rsidRPr="00583E1A">
        <w:t>5.</w:t>
      </w:r>
    </w:p>
    <w:p w:rsidR="00887330" w:rsidRPr="00583E1A" w:rsidRDefault="00887330" w:rsidP="00887330">
      <w:pPr>
        <w:pStyle w:val="Definition"/>
      </w:pPr>
      <w:r w:rsidRPr="00583E1A">
        <w:rPr>
          <w:b/>
          <w:i/>
        </w:rPr>
        <w:t>transition year</w:t>
      </w:r>
      <w:r w:rsidRPr="00583E1A">
        <w:t xml:space="preserve"> has the meaning given by section</w:t>
      </w:r>
      <w:r w:rsidR="00583E1A">
        <w:t> </w:t>
      </w:r>
      <w:r w:rsidRPr="00583E1A">
        <w:t>58</w:t>
      </w:r>
      <w:r w:rsidR="00583E1A">
        <w:noBreakHyphen/>
      </w:r>
      <w:r w:rsidRPr="00583E1A">
        <w:t>5.</w:t>
      </w:r>
    </w:p>
    <w:p w:rsidR="00887330" w:rsidRPr="00583E1A" w:rsidRDefault="00887330" w:rsidP="00887330">
      <w:pPr>
        <w:pStyle w:val="Definition"/>
      </w:pPr>
      <w:r w:rsidRPr="00583E1A">
        <w:rPr>
          <w:b/>
          <w:i/>
        </w:rPr>
        <w:t>transport capital expenditure</w:t>
      </w:r>
      <w:r w:rsidRPr="00583E1A">
        <w:t xml:space="preserve"> has the meaning given by section</w:t>
      </w:r>
      <w:r w:rsidR="00583E1A">
        <w:t> </w:t>
      </w:r>
      <w:r w:rsidRPr="00583E1A">
        <w:t>40</w:t>
      </w:r>
      <w:r w:rsidR="00583E1A">
        <w:noBreakHyphen/>
      </w:r>
      <w:r w:rsidRPr="00583E1A">
        <w:t>865.</w:t>
      </w:r>
    </w:p>
    <w:p w:rsidR="00104FF0" w:rsidRPr="00583E1A" w:rsidRDefault="00104FF0" w:rsidP="00104FF0">
      <w:pPr>
        <w:pStyle w:val="Definition"/>
      </w:pPr>
      <w:r w:rsidRPr="00583E1A">
        <w:rPr>
          <w:b/>
          <w:i/>
        </w:rPr>
        <w:t>Transport Department</w:t>
      </w:r>
      <w:r w:rsidRPr="00583E1A">
        <w:t xml:space="preserve"> means the Department that:</w:t>
      </w:r>
    </w:p>
    <w:p w:rsidR="00104FF0" w:rsidRPr="00583E1A" w:rsidRDefault="00104FF0" w:rsidP="00104FF0">
      <w:pPr>
        <w:pStyle w:val="paragraph"/>
      </w:pPr>
      <w:r w:rsidRPr="00583E1A">
        <w:tab/>
        <w:t>(a)</w:t>
      </w:r>
      <w:r w:rsidRPr="00583E1A">
        <w:tab/>
        <w:t>deals with matters arising under section</w:t>
      </w:r>
      <w:r w:rsidR="00583E1A">
        <w:t> </w:t>
      </w:r>
      <w:r w:rsidRPr="00583E1A">
        <w:t xml:space="preserve">1 of the </w:t>
      </w:r>
      <w:r w:rsidR="001336FC" w:rsidRPr="00583E1A">
        <w:rPr>
          <w:i/>
        </w:rPr>
        <w:t>Nation Building Program (National Land Transport) Act 2009</w:t>
      </w:r>
      <w:r w:rsidRPr="00583E1A">
        <w:t>; and</w:t>
      </w:r>
    </w:p>
    <w:p w:rsidR="00104FF0" w:rsidRPr="00583E1A" w:rsidRDefault="00104FF0" w:rsidP="00104FF0">
      <w:pPr>
        <w:pStyle w:val="paragraph"/>
      </w:pPr>
      <w:r w:rsidRPr="00583E1A">
        <w:tab/>
        <w:t>(b)</w:t>
      </w:r>
      <w:r w:rsidRPr="00583E1A">
        <w:tab/>
        <w:t xml:space="preserve">is administered by the </w:t>
      </w:r>
      <w:r w:rsidR="00583E1A" w:rsidRPr="00583E1A">
        <w:rPr>
          <w:position w:val="6"/>
          <w:sz w:val="16"/>
        </w:rPr>
        <w:t>*</w:t>
      </w:r>
      <w:r w:rsidRPr="00583E1A">
        <w:t>Transport Minister.</w:t>
      </w:r>
    </w:p>
    <w:p w:rsidR="00887330" w:rsidRPr="00583E1A" w:rsidRDefault="00887330" w:rsidP="00887330">
      <w:pPr>
        <w:pStyle w:val="Definition"/>
      </w:pPr>
      <w:r w:rsidRPr="00583E1A">
        <w:rPr>
          <w:b/>
          <w:i/>
        </w:rPr>
        <w:t>transport expense</w:t>
      </w:r>
      <w:r w:rsidRPr="00583E1A">
        <w:t xml:space="preserve"> has the meaning given by section</w:t>
      </w:r>
      <w:r w:rsidR="00583E1A">
        <w:t> </w:t>
      </w:r>
      <w:r w:rsidRPr="00583E1A">
        <w:t>900</w:t>
      </w:r>
      <w:r w:rsidR="00583E1A">
        <w:noBreakHyphen/>
      </w:r>
      <w:r w:rsidRPr="00583E1A">
        <w:t>220.</w:t>
      </w:r>
    </w:p>
    <w:p w:rsidR="00887330" w:rsidRPr="00583E1A" w:rsidRDefault="00887330" w:rsidP="00887330">
      <w:pPr>
        <w:pStyle w:val="Definition"/>
      </w:pPr>
      <w:r w:rsidRPr="00583E1A">
        <w:rPr>
          <w:b/>
          <w:i/>
        </w:rPr>
        <w:t>transport facility</w:t>
      </w:r>
      <w:r w:rsidRPr="00583E1A">
        <w:t xml:space="preserve"> has the meaning given by section</w:t>
      </w:r>
      <w:r w:rsidR="00583E1A">
        <w:t> </w:t>
      </w:r>
      <w:r w:rsidRPr="00583E1A">
        <w:t>40</w:t>
      </w:r>
      <w:r w:rsidR="00583E1A">
        <w:noBreakHyphen/>
      </w:r>
      <w:r w:rsidRPr="00583E1A">
        <w:t>870.</w:t>
      </w:r>
    </w:p>
    <w:p w:rsidR="00104FF0" w:rsidRPr="00583E1A" w:rsidRDefault="00104FF0" w:rsidP="00104FF0">
      <w:pPr>
        <w:pStyle w:val="Definition"/>
      </w:pPr>
      <w:r w:rsidRPr="00583E1A">
        <w:rPr>
          <w:b/>
          <w:i/>
        </w:rPr>
        <w:t>Transport Minister</w:t>
      </w:r>
      <w:r w:rsidRPr="00583E1A">
        <w:t xml:space="preserve"> means the Minister administering section</w:t>
      </w:r>
      <w:r w:rsidR="00583E1A">
        <w:t> </w:t>
      </w:r>
      <w:r w:rsidRPr="00583E1A">
        <w:t xml:space="preserve">1 of the </w:t>
      </w:r>
      <w:r w:rsidR="001336FC" w:rsidRPr="00583E1A">
        <w:rPr>
          <w:i/>
        </w:rPr>
        <w:t>Nation Building Program (National Land Transport) Act 2009</w:t>
      </w:r>
      <w:r w:rsidRPr="00583E1A">
        <w:t>.</w:t>
      </w:r>
    </w:p>
    <w:p w:rsidR="00887330" w:rsidRPr="00583E1A" w:rsidRDefault="00887330" w:rsidP="00887330">
      <w:pPr>
        <w:pStyle w:val="Definition"/>
      </w:pPr>
      <w:r w:rsidRPr="00583E1A">
        <w:rPr>
          <w:b/>
          <w:i/>
        </w:rPr>
        <w:t>transport payment</w:t>
      </w:r>
      <w:r w:rsidRPr="00583E1A">
        <w:t xml:space="preserve"> has the meaning given by section</w:t>
      </w:r>
      <w:r w:rsidR="00583E1A">
        <w:t> </w:t>
      </w:r>
      <w:r w:rsidRPr="00583E1A">
        <w:t>900</w:t>
      </w:r>
      <w:r w:rsidR="00583E1A">
        <w:noBreakHyphen/>
      </w:r>
      <w:r w:rsidRPr="00583E1A">
        <w:t>220.</w:t>
      </w:r>
    </w:p>
    <w:p w:rsidR="00104FF0" w:rsidRPr="00583E1A" w:rsidRDefault="00104FF0" w:rsidP="00104FF0">
      <w:pPr>
        <w:pStyle w:val="Definition"/>
      </w:pPr>
      <w:r w:rsidRPr="00583E1A">
        <w:rPr>
          <w:b/>
          <w:i/>
        </w:rPr>
        <w:t>Transport Secretary</w:t>
      </w:r>
      <w:r w:rsidRPr="00583E1A">
        <w:t xml:space="preserve"> means the Secretary of the </w:t>
      </w:r>
      <w:r w:rsidR="00583E1A" w:rsidRPr="00583E1A">
        <w:rPr>
          <w:position w:val="6"/>
          <w:sz w:val="16"/>
        </w:rPr>
        <w:t>*</w:t>
      </w:r>
      <w:r w:rsidRPr="00583E1A">
        <w:t>Transport Department.</w:t>
      </w:r>
    </w:p>
    <w:p w:rsidR="00887330" w:rsidRPr="00583E1A" w:rsidRDefault="00887330" w:rsidP="00887330">
      <w:pPr>
        <w:pStyle w:val="Definition"/>
      </w:pPr>
      <w:r w:rsidRPr="00583E1A">
        <w:rPr>
          <w:b/>
          <w:i/>
        </w:rPr>
        <w:t>travel allowance</w:t>
      </w:r>
      <w:r w:rsidRPr="00583E1A">
        <w:t xml:space="preserve"> has the meaning given by section</w:t>
      </w:r>
      <w:r w:rsidR="00583E1A">
        <w:t> </w:t>
      </w:r>
      <w:r w:rsidRPr="00583E1A">
        <w:t>900</w:t>
      </w:r>
      <w:r w:rsidR="00583E1A">
        <w:noBreakHyphen/>
      </w:r>
      <w:r w:rsidRPr="00583E1A">
        <w:t>30.</w:t>
      </w:r>
    </w:p>
    <w:p w:rsidR="00887330" w:rsidRPr="00583E1A" w:rsidRDefault="00887330" w:rsidP="00A756C6">
      <w:pPr>
        <w:pStyle w:val="Definition"/>
        <w:keepNext/>
        <w:keepLines/>
      </w:pPr>
      <w:r w:rsidRPr="00583E1A">
        <w:rPr>
          <w:b/>
          <w:i/>
        </w:rPr>
        <w:t>travel allowance expense</w:t>
      </w:r>
      <w:r w:rsidRPr="00583E1A">
        <w:t xml:space="preserve"> has the meaning given by section</w:t>
      </w:r>
      <w:r w:rsidR="00583E1A">
        <w:t> </w:t>
      </w:r>
      <w:r w:rsidRPr="00583E1A">
        <w:t>900</w:t>
      </w:r>
      <w:r w:rsidR="00583E1A">
        <w:noBreakHyphen/>
      </w:r>
      <w:r w:rsidRPr="00583E1A">
        <w:t>30.</w:t>
      </w:r>
    </w:p>
    <w:p w:rsidR="00887330" w:rsidRPr="00583E1A" w:rsidRDefault="00887330" w:rsidP="00887330">
      <w:pPr>
        <w:pStyle w:val="Definition"/>
      </w:pPr>
      <w:r w:rsidRPr="00583E1A">
        <w:rPr>
          <w:b/>
          <w:i/>
        </w:rPr>
        <w:t>travel between workplaces</w:t>
      </w:r>
      <w:r w:rsidRPr="00583E1A">
        <w:t xml:space="preserve"> has the meaning given by section</w:t>
      </w:r>
      <w:r w:rsidR="00583E1A">
        <w:t> </w:t>
      </w:r>
      <w:r w:rsidRPr="00583E1A">
        <w:t>25</w:t>
      </w:r>
      <w:r w:rsidR="00583E1A">
        <w:noBreakHyphen/>
      </w:r>
      <w:r w:rsidRPr="00583E1A">
        <w:t>100.</w:t>
      </w:r>
    </w:p>
    <w:p w:rsidR="00887330" w:rsidRPr="00583E1A" w:rsidRDefault="00887330" w:rsidP="00887330">
      <w:pPr>
        <w:pStyle w:val="Definition"/>
      </w:pPr>
      <w:r w:rsidRPr="00583E1A">
        <w:rPr>
          <w:b/>
          <w:i/>
        </w:rPr>
        <w:t>travel expense</w:t>
      </w:r>
      <w:r w:rsidRPr="00583E1A">
        <w:t xml:space="preserve"> has the meaning given by section</w:t>
      </w:r>
      <w:r w:rsidR="00583E1A">
        <w:t> </w:t>
      </w:r>
      <w:r w:rsidRPr="00583E1A">
        <w:t>900</w:t>
      </w:r>
      <w:r w:rsidR="00583E1A">
        <w:noBreakHyphen/>
      </w:r>
      <w:r w:rsidRPr="00583E1A">
        <w:t>95.</w:t>
      </w:r>
    </w:p>
    <w:p w:rsidR="00887330" w:rsidRPr="00583E1A" w:rsidRDefault="00887330" w:rsidP="00887330">
      <w:pPr>
        <w:pStyle w:val="Definition"/>
      </w:pPr>
      <w:r w:rsidRPr="00583E1A">
        <w:rPr>
          <w:b/>
          <w:i/>
        </w:rPr>
        <w:t>trial year</w:t>
      </w:r>
      <w:r w:rsidRPr="00583E1A">
        <w:t xml:space="preserve"> has the meaning given by section</w:t>
      </w:r>
      <w:r w:rsidR="00583E1A">
        <w:t> </w:t>
      </w:r>
      <w:r w:rsidRPr="00583E1A">
        <w:t>707</w:t>
      </w:r>
      <w:r w:rsidR="00583E1A">
        <w:noBreakHyphen/>
      </w:r>
      <w:r w:rsidRPr="00583E1A">
        <w:t>120.</w:t>
      </w:r>
    </w:p>
    <w:p w:rsidR="006373E3" w:rsidRPr="00583E1A" w:rsidRDefault="006373E3" w:rsidP="00397971">
      <w:pPr>
        <w:pStyle w:val="Definition"/>
        <w:keepNext/>
        <w:rPr>
          <w:lang w:eastAsia="en-US"/>
        </w:rPr>
      </w:pPr>
      <w:r w:rsidRPr="00583E1A">
        <w:rPr>
          <w:b/>
          <w:i/>
          <w:lang w:eastAsia="en-US"/>
        </w:rPr>
        <w:t>trustee</w:t>
      </w:r>
      <w:r w:rsidRPr="00583E1A">
        <w:rPr>
          <w:lang w:eastAsia="en-US"/>
        </w:rPr>
        <w:t>:</w:t>
      </w:r>
    </w:p>
    <w:p w:rsidR="006373E3" w:rsidRPr="00583E1A" w:rsidRDefault="006373E3" w:rsidP="006373E3">
      <w:pPr>
        <w:pStyle w:val="paragraph"/>
      </w:pPr>
      <w:r w:rsidRPr="00583E1A">
        <w:rPr>
          <w:lang w:eastAsia="en-US"/>
        </w:rPr>
        <w:tab/>
        <w:t>(a)</w:t>
      </w:r>
      <w:r w:rsidRPr="00583E1A">
        <w:rPr>
          <w:lang w:eastAsia="en-US"/>
        </w:rPr>
        <w:tab/>
        <w:t xml:space="preserve">of a </w:t>
      </w:r>
      <w:r w:rsidR="00583E1A" w:rsidRPr="00583E1A">
        <w:rPr>
          <w:position w:val="6"/>
          <w:sz w:val="16"/>
        </w:rPr>
        <w:t>*</w:t>
      </w:r>
      <w:r w:rsidRPr="00583E1A">
        <w:t xml:space="preserve">superannuation fund, an </w:t>
      </w:r>
      <w:r w:rsidR="00583E1A" w:rsidRPr="00583E1A">
        <w:rPr>
          <w:position w:val="6"/>
          <w:sz w:val="16"/>
        </w:rPr>
        <w:t>*</w:t>
      </w:r>
      <w:r w:rsidRPr="00583E1A">
        <w:t xml:space="preserve">approved deposit fund or a </w:t>
      </w:r>
      <w:r w:rsidR="00583E1A" w:rsidRPr="00583E1A">
        <w:rPr>
          <w:position w:val="6"/>
          <w:sz w:val="16"/>
        </w:rPr>
        <w:t>*</w:t>
      </w:r>
      <w:r w:rsidRPr="00583E1A">
        <w:t>pooled superannuation trust—means:</w:t>
      </w:r>
    </w:p>
    <w:p w:rsidR="006373E3" w:rsidRPr="00583E1A" w:rsidRDefault="006373E3" w:rsidP="006373E3">
      <w:pPr>
        <w:pStyle w:val="paragraphsub"/>
        <w:rPr>
          <w:lang w:eastAsia="en-US"/>
        </w:rPr>
      </w:pPr>
      <w:r w:rsidRPr="00583E1A">
        <w:rPr>
          <w:lang w:eastAsia="en-US"/>
        </w:rPr>
        <w:tab/>
        <w:t>(i)</w:t>
      </w:r>
      <w:r w:rsidRPr="00583E1A">
        <w:rPr>
          <w:lang w:eastAsia="en-US"/>
        </w:rPr>
        <w:tab/>
        <w:t>if there is a trustee (within the ordinary meaning of that expression) of the fund or trust—the trustee; or</w:t>
      </w:r>
    </w:p>
    <w:p w:rsidR="006373E3" w:rsidRPr="00583E1A" w:rsidRDefault="006373E3" w:rsidP="006373E3">
      <w:pPr>
        <w:pStyle w:val="paragraphsub"/>
        <w:rPr>
          <w:lang w:eastAsia="en-US"/>
        </w:rPr>
      </w:pPr>
      <w:r w:rsidRPr="00583E1A">
        <w:rPr>
          <w:lang w:eastAsia="en-US"/>
        </w:rPr>
        <w:tab/>
        <w:t>(ii)</w:t>
      </w:r>
      <w:r w:rsidRPr="00583E1A">
        <w:rPr>
          <w:lang w:eastAsia="en-US"/>
        </w:rPr>
        <w:tab/>
        <w:t>in any other case—the person who manages the fund or trust; and</w:t>
      </w:r>
    </w:p>
    <w:p w:rsidR="006373E3" w:rsidRPr="00583E1A" w:rsidRDefault="006373E3" w:rsidP="006373E3">
      <w:pPr>
        <w:pStyle w:val="paragraph"/>
        <w:rPr>
          <w:rFonts w:ascii="Verdana" w:hAnsi="Verdana"/>
          <w:lang w:eastAsia="en-US"/>
        </w:rPr>
      </w:pPr>
      <w:r w:rsidRPr="00583E1A">
        <w:rPr>
          <w:lang w:eastAsia="en-US"/>
        </w:rPr>
        <w:tab/>
        <w:t>(b)</w:t>
      </w:r>
      <w:r w:rsidRPr="00583E1A">
        <w:rPr>
          <w:lang w:eastAsia="en-US"/>
        </w:rPr>
        <w:tab/>
        <w:t xml:space="preserve">otherwise—has the meaning given by subsection 6(1) of the </w:t>
      </w:r>
      <w:r w:rsidRPr="00583E1A">
        <w:rPr>
          <w:i/>
          <w:lang w:eastAsia="en-US"/>
        </w:rPr>
        <w:t>Income Tax Assessment Act 1936</w:t>
      </w:r>
      <w:r w:rsidRPr="00583E1A">
        <w:rPr>
          <w:lang w:eastAsia="en-US"/>
        </w:rPr>
        <w:t>.</w:t>
      </w:r>
    </w:p>
    <w:p w:rsidR="00887330" w:rsidRPr="00583E1A" w:rsidRDefault="00887330" w:rsidP="00887330">
      <w:pPr>
        <w:pStyle w:val="Definition"/>
      </w:pPr>
      <w:r w:rsidRPr="00583E1A">
        <w:rPr>
          <w:b/>
          <w:i/>
        </w:rPr>
        <w:t>trust restructuring period</w:t>
      </w:r>
      <w:r w:rsidRPr="00583E1A">
        <w:t xml:space="preserve"> has the meaning given by section</w:t>
      </w:r>
      <w:r w:rsidR="00583E1A">
        <w:t> </w:t>
      </w:r>
      <w:r w:rsidRPr="00583E1A">
        <w:t>124</w:t>
      </w:r>
      <w:r w:rsidR="00583E1A">
        <w:noBreakHyphen/>
      </w:r>
      <w:r w:rsidRPr="00583E1A">
        <w:t>860.</w:t>
      </w:r>
    </w:p>
    <w:p w:rsidR="00887330" w:rsidRPr="00583E1A" w:rsidRDefault="00887330" w:rsidP="00887330">
      <w:pPr>
        <w:pStyle w:val="Definition"/>
      </w:pPr>
      <w:r w:rsidRPr="00583E1A">
        <w:rPr>
          <w:b/>
          <w:i/>
        </w:rPr>
        <w:t>trust share amount</w:t>
      </w:r>
      <w:r w:rsidRPr="00583E1A">
        <w:t xml:space="preserve"> has the meaning given by subsection 207</w:t>
      </w:r>
      <w:r w:rsidR="00583E1A">
        <w:noBreakHyphen/>
      </w:r>
      <w:r w:rsidRPr="00583E1A">
        <w:t>120(4).</w:t>
      </w:r>
    </w:p>
    <w:p w:rsidR="00887330" w:rsidRPr="00583E1A" w:rsidRDefault="00887330" w:rsidP="00887330">
      <w:pPr>
        <w:pStyle w:val="Definition"/>
      </w:pPr>
      <w:r w:rsidRPr="00583E1A">
        <w:rPr>
          <w:b/>
          <w:i/>
        </w:rPr>
        <w:t>trust voting interest</w:t>
      </w:r>
      <w:r w:rsidRPr="00583E1A">
        <w:t xml:space="preserve"> has the meaning given by section</w:t>
      </w:r>
      <w:r w:rsidR="00583E1A">
        <w:t> </w:t>
      </w:r>
      <w:r w:rsidRPr="00583E1A">
        <w:t>124</w:t>
      </w:r>
      <w:r w:rsidR="00583E1A">
        <w:noBreakHyphen/>
      </w:r>
      <w:r w:rsidRPr="00583E1A">
        <w:t xml:space="preserve">781. </w:t>
      </w:r>
    </w:p>
    <w:p w:rsidR="00887330" w:rsidRPr="00583E1A" w:rsidRDefault="00887330" w:rsidP="00887330">
      <w:pPr>
        <w:pStyle w:val="Definition"/>
      </w:pPr>
      <w:r w:rsidRPr="00583E1A">
        <w:rPr>
          <w:b/>
          <w:i/>
        </w:rPr>
        <w:t>ultimate controller</w:t>
      </w:r>
      <w:r w:rsidRPr="00583E1A">
        <w:t xml:space="preserve"> has the meaning given by section</w:t>
      </w:r>
      <w:r w:rsidR="00583E1A">
        <w:t> </w:t>
      </w:r>
      <w:r w:rsidRPr="00583E1A">
        <w:t>727</w:t>
      </w:r>
      <w:r w:rsidR="00583E1A">
        <w:noBreakHyphen/>
      </w:r>
      <w:r w:rsidRPr="00583E1A">
        <w:t>350.</w:t>
      </w:r>
    </w:p>
    <w:p w:rsidR="00887330" w:rsidRPr="00583E1A" w:rsidRDefault="00887330" w:rsidP="00887330">
      <w:pPr>
        <w:pStyle w:val="Definition"/>
      </w:pPr>
      <w:r w:rsidRPr="00583E1A">
        <w:rPr>
          <w:b/>
          <w:i/>
        </w:rPr>
        <w:t>ultimate holding company</w:t>
      </w:r>
      <w:r w:rsidRPr="00583E1A">
        <w:t xml:space="preserve"> of a </w:t>
      </w:r>
      <w:r w:rsidR="00583E1A" w:rsidRPr="00583E1A">
        <w:rPr>
          <w:position w:val="6"/>
          <w:sz w:val="16"/>
        </w:rPr>
        <w:t>*</w:t>
      </w:r>
      <w:r w:rsidRPr="00583E1A">
        <w:t>wholly</w:t>
      </w:r>
      <w:r w:rsidR="00583E1A">
        <w:noBreakHyphen/>
      </w:r>
      <w:r w:rsidRPr="00583E1A">
        <w:t>owned group has the meaning given by section</w:t>
      </w:r>
      <w:r w:rsidR="00583E1A">
        <w:t> </w:t>
      </w:r>
      <w:r w:rsidRPr="00583E1A">
        <w:t>124</w:t>
      </w:r>
      <w:r w:rsidR="00583E1A">
        <w:noBreakHyphen/>
      </w:r>
      <w:r w:rsidRPr="00583E1A">
        <w:t>780.</w:t>
      </w:r>
    </w:p>
    <w:p w:rsidR="00887330" w:rsidRPr="00583E1A" w:rsidRDefault="00887330" w:rsidP="00887330">
      <w:pPr>
        <w:pStyle w:val="Definition"/>
      </w:pPr>
      <w:r w:rsidRPr="00583E1A">
        <w:rPr>
          <w:b/>
          <w:i/>
        </w:rPr>
        <w:t xml:space="preserve">ultimate owner </w:t>
      </w:r>
      <w:r w:rsidRPr="00583E1A">
        <w:t>has the meaning given by section</w:t>
      </w:r>
      <w:r w:rsidR="00583E1A">
        <w:t> </w:t>
      </w:r>
      <w:r w:rsidRPr="00583E1A">
        <w:t>149</w:t>
      </w:r>
      <w:r w:rsidR="00583E1A">
        <w:noBreakHyphen/>
      </w:r>
      <w:r w:rsidRPr="00583E1A">
        <w:t>15.</w:t>
      </w:r>
    </w:p>
    <w:p w:rsidR="00887330" w:rsidRPr="00583E1A" w:rsidRDefault="00887330" w:rsidP="00887330">
      <w:pPr>
        <w:pStyle w:val="Definition"/>
      </w:pPr>
      <w:r w:rsidRPr="00583E1A">
        <w:rPr>
          <w:b/>
          <w:i/>
        </w:rPr>
        <w:t>ultimate stake</w:t>
      </w:r>
      <w:r w:rsidRPr="00583E1A">
        <w:t xml:space="preserve"> of a particular percentage has the meaning given by sections</w:t>
      </w:r>
      <w:r w:rsidR="00583E1A">
        <w:t> </w:t>
      </w:r>
      <w:r w:rsidRPr="00583E1A">
        <w:t>727</w:t>
      </w:r>
      <w:r w:rsidR="00583E1A">
        <w:noBreakHyphen/>
      </w:r>
      <w:r w:rsidRPr="00583E1A">
        <w:t>405, 727</w:t>
      </w:r>
      <w:r w:rsidR="00583E1A">
        <w:noBreakHyphen/>
      </w:r>
      <w:r w:rsidRPr="00583E1A">
        <w:t>410 and 727</w:t>
      </w:r>
      <w:r w:rsidR="00583E1A">
        <w:noBreakHyphen/>
      </w:r>
      <w:r w:rsidRPr="00583E1A">
        <w:t>415.</w:t>
      </w:r>
    </w:p>
    <w:p w:rsidR="006373E3" w:rsidRPr="00583E1A" w:rsidRDefault="006373E3" w:rsidP="006373E3">
      <w:pPr>
        <w:pStyle w:val="Definition"/>
      </w:pPr>
      <w:r w:rsidRPr="00583E1A">
        <w:rPr>
          <w:b/>
          <w:i/>
        </w:rPr>
        <w:t>unclaimed money payment</w:t>
      </w:r>
      <w:r w:rsidRPr="00583E1A">
        <w:t xml:space="preserve"> has the meaning given by section</w:t>
      </w:r>
      <w:r w:rsidR="00583E1A">
        <w:t> </w:t>
      </w:r>
      <w:r w:rsidRPr="00583E1A">
        <w:t>307</w:t>
      </w:r>
      <w:r w:rsidR="00583E1A">
        <w:noBreakHyphen/>
      </w:r>
      <w:r w:rsidRPr="00583E1A">
        <w:t>5.</w:t>
      </w:r>
    </w:p>
    <w:p w:rsidR="00D93F8F" w:rsidRPr="00583E1A" w:rsidRDefault="00887330" w:rsidP="00A756C6">
      <w:pPr>
        <w:pStyle w:val="Definition"/>
        <w:keepNext/>
        <w:keepLines/>
      </w:pPr>
      <w:r w:rsidRPr="00583E1A">
        <w:rPr>
          <w:b/>
          <w:i/>
        </w:rPr>
        <w:t>unconditionally registered</w:t>
      </w:r>
      <w:r w:rsidRPr="00583E1A">
        <w:t xml:space="preserve">: a </w:t>
      </w:r>
      <w:r w:rsidR="00583E1A" w:rsidRPr="00583E1A">
        <w:rPr>
          <w:position w:val="6"/>
          <w:sz w:val="16"/>
        </w:rPr>
        <w:t>*</w:t>
      </w:r>
      <w:r w:rsidRPr="00583E1A">
        <w:t>VCLP</w:t>
      </w:r>
      <w:r w:rsidR="00CE1C19" w:rsidRPr="00583E1A">
        <w:t xml:space="preserve">, </w:t>
      </w:r>
      <w:r w:rsidR="00583E1A" w:rsidRPr="00583E1A">
        <w:rPr>
          <w:position w:val="6"/>
          <w:sz w:val="16"/>
        </w:rPr>
        <w:t>*</w:t>
      </w:r>
      <w:r w:rsidR="00CE1C19" w:rsidRPr="00583E1A">
        <w:t>ESVCLP</w:t>
      </w:r>
      <w:r w:rsidRPr="00583E1A">
        <w:t xml:space="preserve"> or </w:t>
      </w:r>
      <w:r w:rsidR="00583E1A" w:rsidRPr="00583E1A">
        <w:rPr>
          <w:position w:val="6"/>
          <w:sz w:val="16"/>
        </w:rPr>
        <w:t>*</w:t>
      </w:r>
      <w:r w:rsidRPr="00583E1A">
        <w:t xml:space="preserve">AFOF is unconditionally registered </w:t>
      </w:r>
      <w:r w:rsidR="00D93F8F" w:rsidRPr="00583E1A">
        <w:t>if:</w:t>
      </w:r>
    </w:p>
    <w:p w:rsidR="00D93F8F" w:rsidRPr="00583E1A" w:rsidRDefault="00D93F8F" w:rsidP="00D93F8F">
      <w:pPr>
        <w:pStyle w:val="paragraph"/>
      </w:pPr>
      <w:r w:rsidRPr="00583E1A">
        <w:tab/>
        <w:t>(a)</w:t>
      </w:r>
      <w:r w:rsidRPr="00583E1A">
        <w:tab/>
        <w:t xml:space="preserve">its registration under the </w:t>
      </w:r>
      <w:r w:rsidRPr="00583E1A">
        <w:rPr>
          <w:i/>
        </w:rPr>
        <w:t>Venture Capital Act 2002</w:t>
      </w:r>
      <w:r w:rsidRPr="00583E1A">
        <w:t xml:space="preserve"> is not based, or is no longer based, on its conditional registration under section</w:t>
      </w:r>
      <w:r w:rsidR="00583E1A">
        <w:t> </w:t>
      </w:r>
      <w:r w:rsidRPr="00583E1A">
        <w:t>13</w:t>
      </w:r>
      <w:r w:rsidR="00583E1A">
        <w:noBreakHyphen/>
      </w:r>
      <w:r w:rsidRPr="00583E1A">
        <w:t>5 of that Act; or</w:t>
      </w:r>
    </w:p>
    <w:p w:rsidR="00D93F8F" w:rsidRPr="00583E1A" w:rsidRDefault="00D93F8F" w:rsidP="00D93F8F">
      <w:pPr>
        <w:pStyle w:val="paragraph"/>
      </w:pPr>
      <w:r w:rsidRPr="00583E1A">
        <w:tab/>
        <w:t>(b)</w:t>
      </w:r>
      <w:r w:rsidRPr="00583E1A">
        <w:tab/>
        <w:t>it is taken to be unconditionally registered under subsection 13</w:t>
      </w:r>
      <w:r w:rsidR="00583E1A">
        <w:noBreakHyphen/>
      </w:r>
      <w:r w:rsidRPr="00583E1A">
        <w:t>10(2) of that Act.</w:t>
      </w:r>
    </w:p>
    <w:p w:rsidR="00887330" w:rsidRPr="00583E1A" w:rsidRDefault="00887330" w:rsidP="00887330">
      <w:pPr>
        <w:pStyle w:val="Definition"/>
      </w:pPr>
      <w:r w:rsidRPr="00583E1A">
        <w:rPr>
          <w:b/>
          <w:i/>
        </w:rPr>
        <w:t>undeducted construction expenditure</w:t>
      </w:r>
      <w:r w:rsidRPr="00583E1A">
        <w:t xml:space="preserve"> has the meaning given by section</w:t>
      </w:r>
      <w:r w:rsidR="00583E1A">
        <w:t> </w:t>
      </w:r>
      <w:r w:rsidRPr="00583E1A">
        <w:t>43</w:t>
      </w:r>
      <w:r w:rsidR="00583E1A">
        <w:noBreakHyphen/>
      </w:r>
      <w:r w:rsidRPr="00583E1A">
        <w:t>235 and 43</w:t>
      </w:r>
      <w:r w:rsidR="00583E1A">
        <w:noBreakHyphen/>
      </w:r>
      <w:r w:rsidRPr="00583E1A">
        <w:t>240.</w:t>
      </w:r>
    </w:p>
    <w:p w:rsidR="00887330" w:rsidRPr="00583E1A" w:rsidRDefault="00887330" w:rsidP="00887330">
      <w:pPr>
        <w:pStyle w:val="Definition"/>
      </w:pPr>
      <w:r w:rsidRPr="00583E1A">
        <w:rPr>
          <w:b/>
          <w:i/>
        </w:rPr>
        <w:t>undeducted pre</w:t>
      </w:r>
      <w:r w:rsidR="00583E1A">
        <w:rPr>
          <w:b/>
          <w:i/>
        </w:rPr>
        <w:noBreakHyphen/>
      </w:r>
      <w:r w:rsidRPr="00583E1A">
        <w:rPr>
          <w:b/>
          <w:i/>
        </w:rPr>
        <w:t>existing audited book value</w:t>
      </w:r>
      <w:r w:rsidRPr="00583E1A">
        <w:t xml:space="preserve"> of a </w:t>
      </w:r>
      <w:r w:rsidR="00583E1A" w:rsidRPr="00583E1A">
        <w:rPr>
          <w:position w:val="6"/>
          <w:sz w:val="16"/>
        </w:rPr>
        <w:t>*</w:t>
      </w:r>
      <w:r w:rsidRPr="00583E1A">
        <w:t>depreciating asset has the meaning given by section</w:t>
      </w:r>
      <w:r w:rsidR="00583E1A">
        <w:t> </w:t>
      </w:r>
      <w:r w:rsidRPr="00583E1A">
        <w:t>58</w:t>
      </w:r>
      <w:r w:rsidR="00583E1A">
        <w:noBreakHyphen/>
      </w:r>
      <w:r w:rsidRPr="00583E1A">
        <w:t>80.</w:t>
      </w:r>
    </w:p>
    <w:p w:rsidR="00887330" w:rsidRPr="00583E1A" w:rsidRDefault="00887330" w:rsidP="00887330">
      <w:pPr>
        <w:pStyle w:val="Definition"/>
      </w:pPr>
      <w:r w:rsidRPr="00583E1A">
        <w:rPr>
          <w:b/>
          <w:i/>
        </w:rPr>
        <w:t>under</w:t>
      </w:r>
      <w:r w:rsidR="00583E1A">
        <w:rPr>
          <w:b/>
          <w:i/>
        </w:rPr>
        <w:noBreakHyphen/>
      </w:r>
      <w:r w:rsidRPr="00583E1A">
        <w:rPr>
          <w:b/>
          <w:i/>
        </w:rPr>
        <w:t>assessment</w:t>
      </w:r>
      <w:r w:rsidRPr="00583E1A">
        <w:t xml:space="preserve">, in the context of a </w:t>
      </w:r>
      <w:r w:rsidR="00583E1A" w:rsidRPr="00583E1A">
        <w:rPr>
          <w:position w:val="6"/>
          <w:sz w:val="16"/>
        </w:rPr>
        <w:t>*</w:t>
      </w:r>
      <w:r w:rsidRPr="00583E1A">
        <w:t>franking assessment, has the meaning given by subsection 214</w:t>
      </w:r>
      <w:r w:rsidR="00583E1A">
        <w:noBreakHyphen/>
      </w:r>
      <w:r w:rsidRPr="00583E1A">
        <w:t>115(2).</w:t>
      </w:r>
    </w:p>
    <w:p w:rsidR="00887330" w:rsidRPr="00583E1A" w:rsidRDefault="00887330" w:rsidP="00EC6DBA">
      <w:pPr>
        <w:pStyle w:val="Definition"/>
        <w:keepNext/>
      </w:pPr>
      <w:r w:rsidRPr="00583E1A">
        <w:rPr>
          <w:b/>
          <w:i/>
        </w:rPr>
        <w:t>under common ownership</w:t>
      </w:r>
      <w:r w:rsidRPr="00583E1A">
        <w:t xml:space="preserve">: 2 companies are </w:t>
      </w:r>
      <w:r w:rsidRPr="00583E1A">
        <w:rPr>
          <w:b/>
          <w:i/>
        </w:rPr>
        <w:t>under common ownership</w:t>
      </w:r>
      <w:r w:rsidRPr="00583E1A">
        <w:t xml:space="preserve"> if, and only if:</w:t>
      </w:r>
    </w:p>
    <w:p w:rsidR="00887330" w:rsidRPr="00583E1A" w:rsidRDefault="00887330" w:rsidP="00887330">
      <w:pPr>
        <w:pStyle w:val="paragraph"/>
        <w:numPr>
          <w:ilvl w:val="12"/>
          <w:numId w:val="0"/>
        </w:numPr>
        <w:ind w:left="1644" w:hanging="1644"/>
      </w:pPr>
      <w:r w:rsidRPr="00583E1A">
        <w:tab/>
        <w:t>(a)</w:t>
      </w:r>
      <w:r w:rsidRPr="00583E1A">
        <w:tab/>
        <w:t xml:space="preserve">they are members of the same </w:t>
      </w:r>
      <w:r w:rsidR="00583E1A" w:rsidRPr="00583E1A">
        <w:rPr>
          <w:position w:val="6"/>
          <w:sz w:val="16"/>
        </w:rPr>
        <w:t>*</w:t>
      </w:r>
      <w:r w:rsidRPr="00583E1A">
        <w:t>wholly</w:t>
      </w:r>
      <w:r w:rsidR="00583E1A">
        <w:noBreakHyphen/>
      </w:r>
      <w:r w:rsidRPr="00583E1A">
        <w:t>owned group; or</w:t>
      </w:r>
    </w:p>
    <w:p w:rsidR="00887330" w:rsidRPr="00583E1A" w:rsidRDefault="00887330" w:rsidP="00887330">
      <w:pPr>
        <w:pStyle w:val="paragraph"/>
        <w:numPr>
          <w:ilvl w:val="12"/>
          <w:numId w:val="0"/>
        </w:numPr>
        <w:ind w:left="1644" w:hanging="1644"/>
      </w:pPr>
      <w:r w:rsidRPr="00583E1A">
        <w:tab/>
        <w:t>(b)</w:t>
      </w:r>
      <w:r w:rsidRPr="00583E1A">
        <w:tab/>
        <w:t xml:space="preserve">after tracing the direct and indirect ownership of the </w:t>
      </w:r>
      <w:r w:rsidR="00583E1A" w:rsidRPr="00583E1A">
        <w:rPr>
          <w:position w:val="6"/>
          <w:sz w:val="16"/>
        </w:rPr>
        <w:t>*</w:t>
      </w:r>
      <w:r w:rsidRPr="00583E1A">
        <w:t>shares in each of the companies (through any interposed companies and trusts) to the individuals who ultimately hold it, that ownership is held by the same individuals in the same proportions.</w:t>
      </w:r>
    </w:p>
    <w:p w:rsidR="00887330" w:rsidRPr="00583E1A" w:rsidRDefault="00887330" w:rsidP="00887330">
      <w:pPr>
        <w:pStyle w:val="subsection2"/>
      </w:pPr>
      <w:r w:rsidRPr="00583E1A">
        <w:t xml:space="preserve">In doing the tracing, ignore </w:t>
      </w:r>
      <w:r w:rsidR="00583E1A" w:rsidRPr="00583E1A">
        <w:rPr>
          <w:position w:val="6"/>
          <w:sz w:val="16"/>
        </w:rPr>
        <w:t>*</w:t>
      </w:r>
      <w:r w:rsidRPr="00583E1A">
        <w:t xml:space="preserve">shares whose </w:t>
      </w:r>
      <w:r w:rsidR="00583E1A" w:rsidRPr="00583E1A">
        <w:rPr>
          <w:position w:val="6"/>
          <w:sz w:val="16"/>
        </w:rPr>
        <w:t>*</w:t>
      </w:r>
      <w:r w:rsidRPr="00583E1A">
        <w:t>dividends can reasonably be regarded as being equivalent to the payment of interest on a loan having regard to:</w:t>
      </w:r>
    </w:p>
    <w:p w:rsidR="00887330" w:rsidRPr="00583E1A" w:rsidRDefault="00887330" w:rsidP="00887330">
      <w:pPr>
        <w:pStyle w:val="paragraph"/>
        <w:numPr>
          <w:ilvl w:val="12"/>
          <w:numId w:val="0"/>
        </w:numPr>
        <w:ind w:left="1644" w:hanging="1644"/>
      </w:pPr>
      <w:r w:rsidRPr="00583E1A">
        <w:tab/>
        <w:t>(c)</w:t>
      </w:r>
      <w:r w:rsidRPr="00583E1A">
        <w:tab/>
        <w:t>how the dividends are calculated; and</w:t>
      </w:r>
    </w:p>
    <w:p w:rsidR="00887330" w:rsidRPr="00583E1A" w:rsidRDefault="00887330" w:rsidP="00887330">
      <w:pPr>
        <w:pStyle w:val="paragraph"/>
        <w:numPr>
          <w:ilvl w:val="12"/>
          <w:numId w:val="0"/>
        </w:numPr>
        <w:ind w:left="1644" w:hanging="1644"/>
      </w:pPr>
      <w:r w:rsidRPr="00583E1A">
        <w:tab/>
        <w:t>(d)</w:t>
      </w:r>
      <w:r w:rsidRPr="00583E1A">
        <w:tab/>
        <w:t>the conditions applying to the payment of the dividends; and</w:t>
      </w:r>
    </w:p>
    <w:p w:rsidR="00887330" w:rsidRPr="00583E1A" w:rsidRDefault="00887330" w:rsidP="00887330">
      <w:pPr>
        <w:pStyle w:val="paragraph"/>
        <w:numPr>
          <w:ilvl w:val="12"/>
          <w:numId w:val="0"/>
        </w:numPr>
        <w:ind w:left="1644" w:hanging="1644"/>
      </w:pPr>
      <w:r w:rsidRPr="00583E1A">
        <w:tab/>
        <w:t>(e)</w:t>
      </w:r>
      <w:r w:rsidRPr="00583E1A">
        <w:tab/>
        <w:t>any other relevant matters.</w:t>
      </w:r>
    </w:p>
    <w:p w:rsidR="00887330" w:rsidRPr="00583E1A" w:rsidRDefault="00887330" w:rsidP="00887330">
      <w:pPr>
        <w:pStyle w:val="Definition"/>
      </w:pPr>
      <w:r w:rsidRPr="00583E1A">
        <w:rPr>
          <w:b/>
          <w:i/>
        </w:rPr>
        <w:t xml:space="preserve">unfrankable </w:t>
      </w:r>
      <w:r w:rsidRPr="00583E1A">
        <w:t>has the meaning given by section</w:t>
      </w:r>
      <w:r w:rsidR="00583E1A">
        <w:t> </w:t>
      </w:r>
      <w:r w:rsidRPr="00583E1A">
        <w:t>202</w:t>
      </w:r>
      <w:r w:rsidR="00583E1A">
        <w:noBreakHyphen/>
      </w:r>
      <w:r w:rsidRPr="00583E1A">
        <w:t>45.</w:t>
      </w:r>
    </w:p>
    <w:p w:rsidR="00887330" w:rsidRPr="00583E1A" w:rsidRDefault="00887330" w:rsidP="00887330">
      <w:pPr>
        <w:pStyle w:val="Definition"/>
      </w:pPr>
      <w:r w:rsidRPr="00583E1A">
        <w:rPr>
          <w:b/>
          <w:i/>
        </w:rPr>
        <w:t>unfranked part</w:t>
      </w:r>
      <w:r w:rsidRPr="00583E1A">
        <w:t xml:space="preserve"> of a </w:t>
      </w:r>
      <w:r w:rsidR="00583E1A" w:rsidRPr="00583E1A">
        <w:rPr>
          <w:position w:val="6"/>
          <w:sz w:val="16"/>
        </w:rPr>
        <w:t>*</w:t>
      </w:r>
      <w:r w:rsidRPr="00583E1A">
        <w:t>distribution has the meaning given by section</w:t>
      </w:r>
      <w:r w:rsidR="00583E1A">
        <w:t> </w:t>
      </w:r>
      <w:r w:rsidRPr="00583E1A">
        <w:t>976</w:t>
      </w:r>
      <w:r w:rsidR="00583E1A">
        <w:noBreakHyphen/>
      </w:r>
      <w:r w:rsidRPr="00583E1A">
        <w:t>5.</w:t>
      </w:r>
    </w:p>
    <w:p w:rsidR="00887330" w:rsidRPr="00583E1A" w:rsidRDefault="00887330" w:rsidP="00887330">
      <w:pPr>
        <w:pStyle w:val="Definition"/>
      </w:pPr>
      <w:r w:rsidRPr="00583E1A">
        <w:rPr>
          <w:b/>
          <w:i/>
        </w:rPr>
        <w:t>uniform</w:t>
      </w:r>
      <w:r w:rsidRPr="00583E1A">
        <w:t xml:space="preserve"> has the meaning given by subsection 34</w:t>
      </w:r>
      <w:r w:rsidR="00583E1A">
        <w:noBreakHyphen/>
      </w:r>
      <w:r w:rsidRPr="00583E1A">
        <w:t>15(1).</w:t>
      </w:r>
    </w:p>
    <w:p w:rsidR="006A6987" w:rsidRPr="00583E1A" w:rsidRDefault="006A6987" w:rsidP="006A6987">
      <w:pPr>
        <w:pStyle w:val="Definition"/>
      </w:pPr>
      <w:r w:rsidRPr="00583E1A">
        <w:rPr>
          <w:b/>
          <w:i/>
        </w:rPr>
        <w:t>unitary tax</w:t>
      </w:r>
      <w:r w:rsidRPr="00583E1A">
        <w:t xml:space="preserve"> has the meaning given by section</w:t>
      </w:r>
      <w:r w:rsidR="00583E1A">
        <w:t> </w:t>
      </w:r>
      <w:r w:rsidRPr="00583E1A">
        <w:t>770</w:t>
      </w:r>
      <w:r w:rsidR="00583E1A">
        <w:noBreakHyphen/>
      </w:r>
      <w:r w:rsidRPr="00583E1A">
        <w:t>15.</w:t>
      </w:r>
    </w:p>
    <w:p w:rsidR="00887330" w:rsidRPr="00583E1A" w:rsidRDefault="00887330" w:rsidP="00887330">
      <w:pPr>
        <w:pStyle w:val="Definition"/>
      </w:pPr>
      <w:r w:rsidRPr="00583E1A">
        <w:rPr>
          <w:b/>
          <w:i/>
        </w:rPr>
        <w:t>United Medical Protection Limited support payment</w:t>
      </w:r>
      <w:r w:rsidRPr="00583E1A">
        <w:t xml:space="preserve"> has the meaning given by section</w:t>
      </w:r>
      <w:r w:rsidR="00583E1A">
        <w:t> </w:t>
      </w:r>
      <w:r w:rsidRPr="00583E1A">
        <w:t>25</w:t>
      </w:r>
      <w:r w:rsidR="00583E1A">
        <w:noBreakHyphen/>
      </w:r>
      <w:r w:rsidRPr="00583E1A">
        <w:t>105.</w:t>
      </w:r>
    </w:p>
    <w:p w:rsidR="00887330" w:rsidRPr="00583E1A" w:rsidRDefault="00887330" w:rsidP="00887330">
      <w:pPr>
        <w:pStyle w:val="Definition"/>
      </w:pPr>
      <w:r w:rsidRPr="00583E1A">
        <w:rPr>
          <w:b/>
          <w:i/>
        </w:rPr>
        <w:t>unlisted country</w:t>
      </w:r>
      <w:r w:rsidRPr="00583E1A">
        <w:t xml:space="preserve"> has the meaning given by section</w:t>
      </w:r>
      <w:r w:rsidR="00583E1A">
        <w:t> </w:t>
      </w:r>
      <w:r w:rsidRPr="00583E1A">
        <w:t xml:space="preserve">320 of the </w:t>
      </w:r>
      <w:r w:rsidRPr="00583E1A">
        <w:rPr>
          <w:i/>
        </w:rPr>
        <w:t>Income Tax Assessment Act 1936</w:t>
      </w:r>
      <w:r w:rsidRPr="00583E1A">
        <w:t>.</w:t>
      </w:r>
    </w:p>
    <w:p w:rsidR="009F3AED" w:rsidRPr="00214FF7" w:rsidRDefault="009F3AED" w:rsidP="009F3AED">
      <w:pPr>
        <w:pStyle w:val="Definition"/>
      </w:pPr>
      <w:r w:rsidRPr="00214FF7">
        <w:rPr>
          <w:b/>
          <w:i/>
        </w:rPr>
        <w:t>unrecouped FMD deduction</w:t>
      </w:r>
      <w:r w:rsidRPr="00214FF7">
        <w:t xml:space="preserve"> (short for unrecouped farm management deposit deduction) has the meaning given by subsections 393</w:t>
      </w:r>
      <w:r w:rsidRPr="00214FF7">
        <w:noBreakHyphen/>
        <w:t>10(2) and 393</w:t>
      </w:r>
      <w:r w:rsidRPr="00214FF7">
        <w:noBreakHyphen/>
        <w:t>55(6) and (7).</w:t>
      </w:r>
    </w:p>
    <w:p w:rsidR="00887330" w:rsidRPr="00583E1A" w:rsidRDefault="00887330" w:rsidP="00887330">
      <w:pPr>
        <w:pStyle w:val="Definition"/>
      </w:pPr>
      <w:r w:rsidRPr="00583E1A">
        <w:rPr>
          <w:b/>
          <w:i/>
        </w:rPr>
        <w:t xml:space="preserve">untainting tax </w:t>
      </w:r>
      <w:r w:rsidRPr="00583E1A">
        <w:t>has the meaning given by subsection 197</w:t>
      </w:r>
      <w:r w:rsidR="00583E1A">
        <w:noBreakHyphen/>
      </w:r>
      <w:r w:rsidRPr="00583E1A">
        <w:t>60(2).</w:t>
      </w:r>
    </w:p>
    <w:p w:rsidR="00565282" w:rsidRPr="00583E1A" w:rsidRDefault="00565282" w:rsidP="00565282">
      <w:pPr>
        <w:pStyle w:val="Definition"/>
      </w:pPr>
      <w:r w:rsidRPr="00583E1A">
        <w:rPr>
          <w:b/>
          <w:i/>
        </w:rPr>
        <w:t>untaxable Commonwealth entity</w:t>
      </w:r>
      <w:r w:rsidRPr="00583E1A">
        <w:t xml:space="preserve"> means an untaxable Commonwealth entity as defined by section</w:t>
      </w:r>
      <w:r w:rsidR="00583E1A">
        <w:t> </w:t>
      </w:r>
      <w:r w:rsidRPr="00583E1A">
        <w:t>195</w:t>
      </w:r>
      <w:r w:rsidR="00583E1A">
        <w:noBreakHyphen/>
      </w:r>
      <w:r w:rsidRPr="00583E1A">
        <w:t xml:space="preserve">1 of the </w:t>
      </w:r>
      <w:r w:rsidRPr="00583E1A">
        <w:rPr>
          <w:i/>
        </w:rPr>
        <w:t>A New Tax System (Goods and Services Tax) Act 1999</w:t>
      </w:r>
      <w:r w:rsidRPr="00583E1A">
        <w:t>.</w:t>
      </w:r>
    </w:p>
    <w:p w:rsidR="006373E3" w:rsidRPr="00583E1A" w:rsidRDefault="006373E3" w:rsidP="006373E3">
      <w:pPr>
        <w:pStyle w:val="Definition"/>
      </w:pPr>
      <w:r w:rsidRPr="00583E1A">
        <w:rPr>
          <w:b/>
          <w:i/>
        </w:rPr>
        <w:t>untaxed plan cap amount</w:t>
      </w:r>
      <w:r w:rsidRPr="00583E1A">
        <w:t xml:space="preserve"> has the meaning given in section</w:t>
      </w:r>
      <w:r w:rsidR="00583E1A">
        <w:t> </w:t>
      </w:r>
      <w:r w:rsidRPr="00583E1A">
        <w:t>307</w:t>
      </w:r>
      <w:r w:rsidR="00583E1A">
        <w:noBreakHyphen/>
      </w:r>
      <w:r w:rsidRPr="00583E1A">
        <w:t>350.</w:t>
      </w:r>
    </w:p>
    <w:p w:rsidR="006373E3" w:rsidRPr="00583E1A" w:rsidRDefault="006373E3" w:rsidP="006373E3">
      <w:pPr>
        <w:pStyle w:val="Definition"/>
      </w:pPr>
      <w:r w:rsidRPr="00583E1A">
        <w:rPr>
          <w:b/>
          <w:i/>
        </w:rPr>
        <w:t xml:space="preserve">unused annual leave payment </w:t>
      </w:r>
      <w:r w:rsidRPr="00583E1A">
        <w:t>has the meaning given by section</w:t>
      </w:r>
      <w:r w:rsidR="00583E1A">
        <w:t> </w:t>
      </w:r>
      <w:r w:rsidRPr="00583E1A">
        <w:t>83</w:t>
      </w:r>
      <w:r w:rsidR="00583E1A">
        <w:noBreakHyphen/>
      </w:r>
      <w:r w:rsidRPr="00583E1A">
        <w:t>10.</w:t>
      </w:r>
    </w:p>
    <w:p w:rsidR="00CB6961" w:rsidRPr="00583E1A" w:rsidRDefault="00CB6961" w:rsidP="00CB6961">
      <w:pPr>
        <w:pStyle w:val="Definition"/>
      </w:pPr>
      <w:r w:rsidRPr="00583E1A">
        <w:rPr>
          <w:b/>
          <w:i/>
        </w:rPr>
        <w:t xml:space="preserve">unused long service leave payment </w:t>
      </w:r>
      <w:r w:rsidRPr="00583E1A">
        <w:t>has the meaning given by section</w:t>
      </w:r>
      <w:r w:rsidR="00583E1A">
        <w:t> </w:t>
      </w:r>
      <w:r w:rsidRPr="00583E1A">
        <w:t>83</w:t>
      </w:r>
      <w:r w:rsidR="00583E1A">
        <w:noBreakHyphen/>
      </w:r>
      <w:r w:rsidRPr="00583E1A">
        <w:t>75.</w:t>
      </w:r>
    </w:p>
    <w:p w:rsidR="00887330" w:rsidRPr="00583E1A" w:rsidRDefault="00887330" w:rsidP="00887330">
      <w:pPr>
        <w:pStyle w:val="Definition"/>
      </w:pPr>
      <w:r w:rsidRPr="00583E1A">
        <w:rPr>
          <w:b/>
          <w:i/>
        </w:rPr>
        <w:t>unused tax profit on the disposal or death</w:t>
      </w:r>
      <w:r w:rsidRPr="00583E1A">
        <w:t xml:space="preserve"> has the meaning given by subsection 385</w:t>
      </w:r>
      <w:r w:rsidR="00583E1A">
        <w:noBreakHyphen/>
      </w:r>
      <w:r w:rsidRPr="00583E1A">
        <w:t>110(3).</w:t>
      </w:r>
    </w:p>
    <w:p w:rsidR="00887330" w:rsidRPr="00583E1A" w:rsidRDefault="00887330" w:rsidP="00887330">
      <w:pPr>
        <w:pStyle w:val="Definition"/>
      </w:pPr>
      <w:r w:rsidRPr="00583E1A">
        <w:rPr>
          <w:b/>
          <w:i/>
        </w:rPr>
        <w:t>up interest</w:t>
      </w:r>
      <w:r w:rsidRPr="00583E1A">
        <w:t xml:space="preserve"> has the meaning given by section</w:t>
      </w:r>
      <w:r w:rsidR="00583E1A">
        <w:t> </w:t>
      </w:r>
      <w:r w:rsidRPr="00583E1A">
        <w:t>725</w:t>
      </w:r>
      <w:r w:rsidR="00583E1A">
        <w:noBreakHyphen/>
      </w:r>
      <w:r w:rsidRPr="00583E1A">
        <w:t>155.</w:t>
      </w:r>
    </w:p>
    <w:p w:rsidR="00887330" w:rsidRPr="00583E1A" w:rsidRDefault="00887330" w:rsidP="00887330">
      <w:pPr>
        <w:pStyle w:val="Definition"/>
      </w:pPr>
      <w:r w:rsidRPr="00583E1A">
        <w:rPr>
          <w:b/>
          <w:i/>
        </w:rPr>
        <w:t>utilise</w:t>
      </w:r>
      <w:r w:rsidRPr="00583E1A">
        <w:t xml:space="preserve"> a loss has the meaning given by section</w:t>
      </w:r>
      <w:r w:rsidR="00583E1A">
        <w:t> </w:t>
      </w:r>
      <w:r w:rsidRPr="00583E1A">
        <w:t>707</w:t>
      </w:r>
      <w:r w:rsidR="00583E1A">
        <w:noBreakHyphen/>
      </w:r>
      <w:r w:rsidRPr="00583E1A">
        <w:t>110.</w:t>
      </w:r>
    </w:p>
    <w:p w:rsidR="00887330" w:rsidRPr="00583E1A" w:rsidRDefault="00887330" w:rsidP="00887330">
      <w:pPr>
        <w:pStyle w:val="Definition"/>
      </w:pPr>
      <w:r w:rsidRPr="00583E1A">
        <w:rPr>
          <w:b/>
          <w:i/>
        </w:rPr>
        <w:t>valuation days</w:t>
      </w:r>
      <w:r w:rsidRPr="00583E1A">
        <w:t>, in relation to the calculation of the average value of a matter for an entity under Division</w:t>
      </w:r>
      <w:r w:rsidR="00583E1A">
        <w:t> </w:t>
      </w:r>
      <w:r w:rsidRPr="00583E1A">
        <w:t>820, means the particular days at which the value of that matter is measured under Subdivision</w:t>
      </w:r>
      <w:r w:rsidR="00583E1A">
        <w:t> </w:t>
      </w:r>
      <w:r w:rsidRPr="00583E1A">
        <w:t>820</w:t>
      </w:r>
      <w:r w:rsidR="00583E1A">
        <w:noBreakHyphen/>
      </w:r>
      <w:r w:rsidRPr="00583E1A">
        <w:t>G for the purposes of that calculation.</w:t>
      </w:r>
    </w:p>
    <w:p w:rsidR="00887330" w:rsidRPr="00583E1A" w:rsidRDefault="00887330" w:rsidP="00887330">
      <w:pPr>
        <w:pStyle w:val="Definition"/>
      </w:pPr>
      <w:r w:rsidRPr="00583E1A">
        <w:rPr>
          <w:b/>
          <w:i/>
        </w:rPr>
        <w:t>Valuation Standard</w:t>
      </w:r>
      <w:r w:rsidRPr="00583E1A">
        <w:t xml:space="preserve"> means any </w:t>
      </w:r>
      <w:r w:rsidR="00D05637" w:rsidRPr="00583E1A">
        <w:t>prudential standard made under section</w:t>
      </w:r>
      <w:r w:rsidR="00583E1A">
        <w:t> </w:t>
      </w:r>
      <w:r w:rsidR="00D05637" w:rsidRPr="00583E1A">
        <w:t xml:space="preserve">230A of the </w:t>
      </w:r>
      <w:r w:rsidR="00D05637" w:rsidRPr="00583E1A">
        <w:rPr>
          <w:i/>
        </w:rPr>
        <w:t>Life Insurance Act 1995</w:t>
      </w:r>
      <w:r w:rsidRPr="00583E1A">
        <w:t xml:space="preserve"> that:</w:t>
      </w:r>
    </w:p>
    <w:p w:rsidR="00887330" w:rsidRPr="00583E1A" w:rsidRDefault="00887330" w:rsidP="00887330">
      <w:pPr>
        <w:pStyle w:val="paragraph"/>
      </w:pPr>
      <w:r w:rsidRPr="00583E1A">
        <w:tab/>
        <w:t>(a)</w:t>
      </w:r>
      <w:r w:rsidRPr="00583E1A">
        <w:tab/>
        <w:t xml:space="preserve">provides for a valuation of the policy liabilities mentioned in subsection 114(2) of the </w:t>
      </w:r>
      <w:r w:rsidRPr="00583E1A">
        <w:rPr>
          <w:i/>
        </w:rPr>
        <w:t>Life Insurance Act 1995</w:t>
      </w:r>
      <w:r w:rsidRPr="00583E1A">
        <w:t>; and</w:t>
      </w:r>
    </w:p>
    <w:p w:rsidR="00887330" w:rsidRPr="00583E1A" w:rsidRDefault="00887330" w:rsidP="00887330">
      <w:pPr>
        <w:pStyle w:val="paragraph"/>
      </w:pPr>
      <w:r w:rsidRPr="00583E1A">
        <w:tab/>
        <w:t>(b)</w:t>
      </w:r>
      <w:r w:rsidRPr="00583E1A">
        <w:tab/>
        <w:t>is in force under that Act.</w:t>
      </w:r>
    </w:p>
    <w:p w:rsidR="00887330" w:rsidRPr="00583E1A" w:rsidRDefault="00887330" w:rsidP="00887330">
      <w:pPr>
        <w:pStyle w:val="Definition"/>
      </w:pPr>
      <w:r w:rsidRPr="00583E1A">
        <w:rPr>
          <w:b/>
          <w:i/>
        </w:rPr>
        <w:t>valuation time</w:t>
      </w:r>
      <w:r w:rsidRPr="00583E1A">
        <w:t xml:space="preserve"> for a </w:t>
      </w:r>
      <w:r w:rsidR="00583E1A" w:rsidRPr="00583E1A">
        <w:rPr>
          <w:position w:val="6"/>
          <w:sz w:val="16"/>
        </w:rPr>
        <w:t>*</w:t>
      </w:r>
      <w:r w:rsidRPr="00583E1A">
        <w:t>life insurance company has the meaning given by sections</w:t>
      </w:r>
      <w:r w:rsidR="00583E1A">
        <w:t> </w:t>
      </w:r>
      <w:r w:rsidRPr="00583E1A">
        <w:t>320</w:t>
      </w:r>
      <w:r w:rsidR="00583E1A">
        <w:noBreakHyphen/>
      </w:r>
      <w:r w:rsidRPr="00583E1A">
        <w:t>175 and 320</w:t>
      </w:r>
      <w:r w:rsidR="00583E1A">
        <w:noBreakHyphen/>
      </w:r>
      <w:r w:rsidRPr="00583E1A">
        <w:t>230.</w:t>
      </w:r>
    </w:p>
    <w:p w:rsidR="00887330" w:rsidRPr="00583E1A" w:rsidRDefault="00887330" w:rsidP="00887330">
      <w:pPr>
        <w:pStyle w:val="notetext"/>
      </w:pPr>
      <w:r w:rsidRPr="00583E1A">
        <w:t>Note:</w:t>
      </w:r>
      <w:r w:rsidRPr="00583E1A">
        <w:tab/>
        <w:t>This definition is affected by section</w:t>
      </w:r>
      <w:r w:rsidR="00583E1A">
        <w:t> </w:t>
      </w:r>
      <w:r w:rsidRPr="00583E1A">
        <w:t>713</w:t>
      </w:r>
      <w:r w:rsidR="00583E1A">
        <w:noBreakHyphen/>
      </w:r>
      <w:r w:rsidRPr="00583E1A">
        <w:t>525.</w:t>
      </w:r>
    </w:p>
    <w:p w:rsidR="00887330" w:rsidRPr="00583E1A" w:rsidRDefault="00887330" w:rsidP="006800B4">
      <w:pPr>
        <w:pStyle w:val="Definition"/>
        <w:keepNext/>
      </w:pPr>
      <w:r w:rsidRPr="00583E1A">
        <w:rPr>
          <w:b/>
          <w:i/>
        </w:rPr>
        <w:t>value</w:t>
      </w:r>
      <w:r w:rsidRPr="00583E1A">
        <w:t>:</w:t>
      </w:r>
    </w:p>
    <w:p w:rsidR="00887330" w:rsidRPr="00583E1A" w:rsidRDefault="00887330" w:rsidP="006800B4">
      <w:pPr>
        <w:pStyle w:val="paragraph"/>
        <w:keepNext/>
      </w:pPr>
      <w:r w:rsidRPr="00583E1A">
        <w:tab/>
        <w:t>(a)</w:t>
      </w:r>
      <w:r w:rsidRPr="00583E1A">
        <w:tab/>
        <w:t xml:space="preserve">the </w:t>
      </w:r>
      <w:r w:rsidRPr="00583E1A">
        <w:rPr>
          <w:b/>
          <w:i/>
        </w:rPr>
        <w:t>value</w:t>
      </w:r>
      <w:r w:rsidRPr="00583E1A">
        <w:t xml:space="preserve"> of the liabilities of a </w:t>
      </w:r>
      <w:r w:rsidR="00583E1A" w:rsidRPr="00583E1A">
        <w:rPr>
          <w:position w:val="6"/>
          <w:sz w:val="16"/>
        </w:rPr>
        <w:t>*</w:t>
      </w:r>
      <w:r w:rsidRPr="00583E1A">
        <w:t xml:space="preserve">life insurance company under the </w:t>
      </w:r>
      <w:r w:rsidR="00583E1A" w:rsidRPr="00583E1A">
        <w:rPr>
          <w:position w:val="6"/>
          <w:sz w:val="16"/>
        </w:rPr>
        <w:t>*</w:t>
      </w:r>
      <w:r w:rsidRPr="00583E1A">
        <w:t xml:space="preserve">risk components of </w:t>
      </w:r>
      <w:r w:rsidR="00583E1A" w:rsidRPr="00583E1A">
        <w:rPr>
          <w:position w:val="6"/>
          <w:sz w:val="16"/>
        </w:rPr>
        <w:t>*</w:t>
      </w:r>
      <w:r w:rsidRPr="00583E1A">
        <w:t>life insurance policies means the value worked out under section</w:t>
      </w:r>
      <w:r w:rsidR="00583E1A">
        <w:t> </w:t>
      </w:r>
      <w:r w:rsidRPr="00583E1A">
        <w:t>320</w:t>
      </w:r>
      <w:r w:rsidR="00583E1A">
        <w:noBreakHyphen/>
      </w:r>
      <w:r w:rsidRPr="00583E1A">
        <w:t>85; and</w:t>
      </w:r>
    </w:p>
    <w:p w:rsidR="00887330" w:rsidRPr="00583E1A" w:rsidRDefault="00887330" w:rsidP="00887330">
      <w:pPr>
        <w:pStyle w:val="paragraph"/>
      </w:pPr>
      <w:r w:rsidRPr="00583E1A">
        <w:tab/>
        <w:t>(b)</w:t>
      </w:r>
      <w:r w:rsidRPr="00583E1A">
        <w:tab/>
        <w:t xml:space="preserve">the </w:t>
      </w:r>
      <w:r w:rsidRPr="00583E1A">
        <w:rPr>
          <w:b/>
          <w:i/>
        </w:rPr>
        <w:t>value</w:t>
      </w:r>
      <w:r w:rsidRPr="00583E1A">
        <w:t xml:space="preserve"> of an item of </w:t>
      </w:r>
      <w:r w:rsidR="00583E1A" w:rsidRPr="00583E1A">
        <w:rPr>
          <w:position w:val="6"/>
          <w:sz w:val="16"/>
        </w:rPr>
        <w:t>*</w:t>
      </w:r>
      <w:r w:rsidRPr="00583E1A">
        <w:t xml:space="preserve">trading stock has the meaning given by </w:t>
      </w:r>
      <w:r w:rsidR="00CB5273" w:rsidRPr="00583E1A">
        <w:t>Subdivision</w:t>
      </w:r>
      <w:r w:rsidR="00583E1A">
        <w:t> </w:t>
      </w:r>
      <w:r w:rsidR="005A1A8F" w:rsidRPr="00E811AF">
        <w:t>70</w:t>
      </w:r>
      <w:r w:rsidR="005A1A8F" w:rsidRPr="00E811AF">
        <w:noBreakHyphen/>
        <w:t>C; and</w:t>
      </w:r>
    </w:p>
    <w:p w:rsidR="005A1A8F" w:rsidRPr="00E811AF" w:rsidRDefault="005A1A8F" w:rsidP="005A1A8F">
      <w:pPr>
        <w:pStyle w:val="paragraph"/>
      </w:pPr>
      <w:r w:rsidRPr="00E811AF">
        <w:tab/>
        <w:t>(c)</w:t>
      </w:r>
      <w:r w:rsidRPr="00E811AF">
        <w:tab/>
        <w:t xml:space="preserve">the </w:t>
      </w:r>
      <w:r w:rsidRPr="00E811AF">
        <w:rPr>
          <w:b/>
          <w:i/>
        </w:rPr>
        <w:t>value</w:t>
      </w:r>
      <w:r w:rsidRPr="00E811AF">
        <w:t xml:space="preserve"> of a </w:t>
      </w:r>
      <w:r w:rsidRPr="00E811AF">
        <w:rPr>
          <w:position w:val="6"/>
          <w:sz w:val="16"/>
        </w:rPr>
        <w:t>*</w:t>
      </w:r>
      <w:r w:rsidRPr="00E811AF">
        <w:t>registered emissions unit has the meaning given by Subdivision 420</w:t>
      </w:r>
      <w:r w:rsidRPr="00E811AF">
        <w:noBreakHyphen/>
        <w:t>D; and</w:t>
      </w:r>
    </w:p>
    <w:p w:rsidR="00CB6961" w:rsidRPr="00583E1A" w:rsidRDefault="00CB6961" w:rsidP="00CB6961">
      <w:pPr>
        <w:pStyle w:val="paragraph"/>
      </w:pPr>
      <w:r w:rsidRPr="00583E1A">
        <w:tab/>
        <w:t>(d)</w:t>
      </w:r>
      <w:r w:rsidRPr="00583E1A">
        <w:tab/>
        <w:t xml:space="preserve">the </w:t>
      </w:r>
      <w:r w:rsidRPr="00583E1A">
        <w:rPr>
          <w:b/>
          <w:i/>
        </w:rPr>
        <w:t xml:space="preserve">value </w:t>
      </w:r>
      <w:r w:rsidRPr="00583E1A">
        <w:t xml:space="preserve">of a </w:t>
      </w:r>
      <w:r w:rsidR="00583E1A" w:rsidRPr="00583E1A">
        <w:rPr>
          <w:position w:val="6"/>
          <w:sz w:val="16"/>
        </w:rPr>
        <w:t>*</w:t>
      </w:r>
      <w:r w:rsidRPr="00583E1A">
        <w:t>superannuation interest</w:t>
      </w:r>
      <w:r w:rsidRPr="00583E1A">
        <w:rPr>
          <w:b/>
          <w:i/>
        </w:rPr>
        <w:t xml:space="preserve"> </w:t>
      </w:r>
      <w:r w:rsidRPr="00583E1A">
        <w:t>has the meaning given by section</w:t>
      </w:r>
      <w:r w:rsidR="00583E1A">
        <w:t> </w:t>
      </w:r>
      <w:r w:rsidRPr="00583E1A">
        <w:t>307</w:t>
      </w:r>
      <w:r w:rsidR="00583E1A">
        <w:noBreakHyphen/>
      </w:r>
      <w:r w:rsidRPr="00583E1A">
        <w:t>205.</w:t>
      </w:r>
    </w:p>
    <w:p w:rsidR="00887330" w:rsidRPr="00583E1A" w:rsidRDefault="00887330" w:rsidP="00887330">
      <w:pPr>
        <w:pStyle w:val="Definition"/>
      </w:pPr>
      <w:r w:rsidRPr="00583E1A">
        <w:rPr>
          <w:b/>
          <w:i/>
        </w:rPr>
        <w:t>variation credit component</w:t>
      </w:r>
      <w:r w:rsidRPr="00583E1A">
        <w:t xml:space="preserve"> has the meaning given by section</w:t>
      </w:r>
      <w:r w:rsidR="00583E1A">
        <w:t> </w:t>
      </w:r>
      <w:r w:rsidRPr="00583E1A">
        <w:t>45</w:t>
      </w:r>
      <w:r w:rsidR="00583E1A">
        <w:noBreakHyphen/>
      </w:r>
      <w:r w:rsidRPr="00583E1A">
        <w:t>610 in Schedule</w:t>
      </w:r>
      <w:r w:rsidR="00583E1A">
        <w:t> </w:t>
      </w:r>
      <w:r w:rsidRPr="00583E1A">
        <w:t xml:space="preserve">1 to the </w:t>
      </w:r>
      <w:r w:rsidRPr="00583E1A">
        <w:rPr>
          <w:i/>
        </w:rPr>
        <w:t>Taxation Administration Act 1953</w:t>
      </w:r>
      <w:r w:rsidRPr="00583E1A">
        <w:t>.</w:t>
      </w:r>
    </w:p>
    <w:p w:rsidR="00887330" w:rsidRPr="00583E1A" w:rsidRDefault="00887330" w:rsidP="00887330">
      <w:pPr>
        <w:pStyle w:val="Definition"/>
      </w:pPr>
      <w:r w:rsidRPr="00583E1A">
        <w:rPr>
          <w:b/>
          <w:i/>
        </w:rPr>
        <w:t>variation GIC component</w:t>
      </w:r>
      <w:r w:rsidRPr="00583E1A">
        <w:t xml:space="preserve"> has the meaning given by section</w:t>
      </w:r>
      <w:r w:rsidR="00583E1A">
        <w:t> </w:t>
      </w:r>
      <w:r w:rsidRPr="00583E1A">
        <w:t>45</w:t>
      </w:r>
      <w:r w:rsidR="00583E1A">
        <w:noBreakHyphen/>
      </w:r>
      <w:r w:rsidRPr="00583E1A">
        <w:t>610 in Schedule</w:t>
      </w:r>
      <w:r w:rsidR="00583E1A">
        <w:t> </w:t>
      </w:r>
      <w:r w:rsidRPr="00583E1A">
        <w:t xml:space="preserve">1 to the </w:t>
      </w:r>
      <w:r w:rsidRPr="00583E1A">
        <w:rPr>
          <w:i/>
        </w:rPr>
        <w:t>Taxation Administration Act 1953</w:t>
      </w:r>
      <w:r w:rsidRPr="00583E1A">
        <w:t>.</w:t>
      </w:r>
    </w:p>
    <w:p w:rsidR="00AF7DE7" w:rsidRPr="007023A5" w:rsidRDefault="00AF7DE7" w:rsidP="00AF7DE7">
      <w:pPr>
        <w:pStyle w:val="Definition"/>
      </w:pPr>
      <w:r w:rsidRPr="007023A5">
        <w:rPr>
          <w:b/>
          <w:i/>
        </w:rPr>
        <w:t>VBIF</w:t>
      </w:r>
      <w:r w:rsidRPr="007023A5">
        <w:t xml:space="preserve"> (short for value of business in force) has the meaning given by section 820</w:t>
      </w:r>
      <w:r w:rsidRPr="007023A5">
        <w:noBreakHyphen/>
        <w:t>310.</w:t>
      </w:r>
    </w:p>
    <w:p w:rsidR="00887330" w:rsidRPr="00583E1A" w:rsidRDefault="00887330" w:rsidP="00887330">
      <w:pPr>
        <w:pStyle w:val="Definition"/>
      </w:pPr>
      <w:r w:rsidRPr="00583E1A">
        <w:rPr>
          <w:b/>
          <w:i/>
        </w:rPr>
        <w:t>VCLP</w:t>
      </w:r>
      <w:r w:rsidRPr="00583E1A">
        <w:t xml:space="preserve"> means a </w:t>
      </w:r>
      <w:r w:rsidR="00583E1A" w:rsidRPr="00583E1A">
        <w:rPr>
          <w:position w:val="6"/>
          <w:sz w:val="16"/>
        </w:rPr>
        <w:t>*</w:t>
      </w:r>
      <w:r w:rsidRPr="00583E1A">
        <w:t>venture capital limited partnership.</w:t>
      </w:r>
    </w:p>
    <w:p w:rsidR="00887330" w:rsidRPr="00583E1A" w:rsidRDefault="00887330" w:rsidP="00887330">
      <w:pPr>
        <w:pStyle w:val="Definition"/>
      </w:pPr>
      <w:r w:rsidRPr="00583E1A">
        <w:rPr>
          <w:b/>
          <w:i/>
        </w:rPr>
        <w:t>VCMP</w:t>
      </w:r>
      <w:r w:rsidRPr="00583E1A">
        <w:t xml:space="preserve"> means a venture capital management partnership within the meaning of subsection 94D(3) of the </w:t>
      </w:r>
      <w:r w:rsidRPr="00583E1A">
        <w:rPr>
          <w:i/>
        </w:rPr>
        <w:t>Income Tax Assessment Act 1936</w:t>
      </w:r>
      <w:r w:rsidRPr="00583E1A">
        <w:t>.</w:t>
      </w:r>
    </w:p>
    <w:p w:rsidR="00887330" w:rsidRPr="00583E1A" w:rsidRDefault="00887330" w:rsidP="00887330">
      <w:pPr>
        <w:pStyle w:val="Definition"/>
      </w:pPr>
      <w:r w:rsidRPr="00583E1A">
        <w:rPr>
          <w:b/>
          <w:i/>
        </w:rPr>
        <w:t xml:space="preserve">venture capital credit </w:t>
      </w:r>
      <w:r w:rsidRPr="00583E1A">
        <w:t>has the meaning given by section</w:t>
      </w:r>
      <w:r w:rsidR="00583E1A">
        <w:t> </w:t>
      </w:r>
      <w:r w:rsidRPr="00583E1A">
        <w:t>210</w:t>
      </w:r>
      <w:r w:rsidR="00583E1A">
        <w:noBreakHyphen/>
      </w:r>
      <w:r w:rsidRPr="00583E1A">
        <w:t>105.</w:t>
      </w:r>
    </w:p>
    <w:p w:rsidR="00887330" w:rsidRPr="00583E1A" w:rsidRDefault="00887330" w:rsidP="00887330">
      <w:pPr>
        <w:pStyle w:val="Definition"/>
      </w:pPr>
      <w:r w:rsidRPr="00583E1A">
        <w:rPr>
          <w:b/>
          <w:i/>
        </w:rPr>
        <w:t xml:space="preserve">venture capital debit </w:t>
      </w:r>
      <w:r w:rsidRPr="00583E1A">
        <w:t>has the meaning given by section</w:t>
      </w:r>
      <w:r w:rsidR="00583E1A">
        <w:t> </w:t>
      </w:r>
      <w:r w:rsidRPr="00583E1A">
        <w:t>210</w:t>
      </w:r>
      <w:r w:rsidR="00583E1A">
        <w:noBreakHyphen/>
      </w:r>
      <w:r w:rsidRPr="00583E1A">
        <w:t>120.</w:t>
      </w:r>
    </w:p>
    <w:p w:rsidR="00887330" w:rsidRPr="00583E1A" w:rsidRDefault="00887330" w:rsidP="00887330">
      <w:pPr>
        <w:pStyle w:val="Definition"/>
      </w:pPr>
      <w:r w:rsidRPr="00583E1A">
        <w:rPr>
          <w:b/>
          <w:i/>
        </w:rPr>
        <w:t xml:space="preserve">venture capital deficit </w:t>
      </w:r>
      <w:r w:rsidRPr="00583E1A">
        <w:t>has the meaning given by section</w:t>
      </w:r>
      <w:r w:rsidR="00583E1A">
        <w:t> </w:t>
      </w:r>
      <w:r w:rsidRPr="00583E1A">
        <w:t>210</w:t>
      </w:r>
      <w:r w:rsidR="00583E1A">
        <w:noBreakHyphen/>
      </w:r>
      <w:r w:rsidRPr="00583E1A">
        <w:t>130.</w:t>
      </w:r>
    </w:p>
    <w:p w:rsidR="00887330" w:rsidRPr="00583E1A" w:rsidRDefault="00887330" w:rsidP="00887330">
      <w:pPr>
        <w:pStyle w:val="Definition"/>
      </w:pPr>
      <w:r w:rsidRPr="00583E1A">
        <w:rPr>
          <w:b/>
          <w:i/>
        </w:rPr>
        <w:t xml:space="preserve">venture capital deficit tax </w:t>
      </w:r>
      <w:r w:rsidRPr="00583E1A">
        <w:t xml:space="preserve">means tax imposed under the </w:t>
      </w:r>
      <w:r w:rsidRPr="00583E1A">
        <w:rPr>
          <w:i/>
        </w:rPr>
        <w:t>New Business Tax System (Venture Capital Deficit Tax) Act 2003</w:t>
      </w:r>
      <w:r w:rsidRPr="00583E1A">
        <w:t>.</w:t>
      </w:r>
    </w:p>
    <w:p w:rsidR="00887330" w:rsidRPr="00583E1A" w:rsidRDefault="00887330" w:rsidP="00887330">
      <w:pPr>
        <w:pStyle w:val="Definition"/>
      </w:pPr>
      <w:r w:rsidRPr="00583E1A">
        <w:rPr>
          <w:b/>
          <w:i/>
        </w:rPr>
        <w:t>venture capital entity</w:t>
      </w:r>
      <w:r w:rsidRPr="00583E1A">
        <w:t xml:space="preserve"> has the meaning given by section</w:t>
      </w:r>
      <w:r w:rsidR="00583E1A">
        <w:t> </w:t>
      </w:r>
      <w:r w:rsidRPr="00583E1A">
        <w:t>118</w:t>
      </w:r>
      <w:r w:rsidR="00583E1A">
        <w:noBreakHyphen/>
      </w:r>
      <w:r w:rsidRPr="00583E1A">
        <w:t>515.</w:t>
      </w:r>
    </w:p>
    <w:p w:rsidR="00887330" w:rsidRPr="00583E1A" w:rsidRDefault="00887330" w:rsidP="00887330">
      <w:pPr>
        <w:pStyle w:val="Definition"/>
      </w:pPr>
      <w:r w:rsidRPr="00583E1A">
        <w:rPr>
          <w:b/>
          <w:i/>
        </w:rPr>
        <w:t>venture capital equity</w:t>
      </w:r>
      <w:r w:rsidRPr="00583E1A">
        <w:t xml:space="preserve"> has the meaning given by section</w:t>
      </w:r>
      <w:r w:rsidR="00583E1A">
        <w:t> </w:t>
      </w:r>
      <w:r w:rsidRPr="00583E1A">
        <w:t>118</w:t>
      </w:r>
      <w:r w:rsidR="00583E1A">
        <w:noBreakHyphen/>
      </w:r>
      <w:r w:rsidRPr="00583E1A">
        <w:t>525.</w:t>
      </w:r>
    </w:p>
    <w:p w:rsidR="00887330" w:rsidRPr="00583E1A" w:rsidRDefault="00887330" w:rsidP="00887330">
      <w:pPr>
        <w:pStyle w:val="Definition"/>
      </w:pPr>
      <w:r w:rsidRPr="00583E1A">
        <w:rPr>
          <w:b/>
          <w:i/>
        </w:rPr>
        <w:t>venture capital limited partnership</w:t>
      </w:r>
      <w:r w:rsidRPr="00583E1A">
        <w:t xml:space="preserve"> has the meaning given by subsection 118</w:t>
      </w:r>
      <w:r w:rsidR="00583E1A">
        <w:noBreakHyphen/>
      </w:r>
      <w:r w:rsidRPr="00583E1A">
        <w:t>405(2).</w:t>
      </w:r>
    </w:p>
    <w:p w:rsidR="00887330" w:rsidRPr="00583E1A" w:rsidRDefault="00887330" w:rsidP="00887330">
      <w:pPr>
        <w:pStyle w:val="Definition"/>
      </w:pPr>
      <w:r w:rsidRPr="00583E1A">
        <w:rPr>
          <w:b/>
          <w:i/>
        </w:rPr>
        <w:t>venture capital sub</w:t>
      </w:r>
      <w:r w:rsidR="00583E1A">
        <w:rPr>
          <w:b/>
          <w:i/>
        </w:rPr>
        <w:noBreakHyphen/>
      </w:r>
      <w:r w:rsidRPr="00583E1A">
        <w:rPr>
          <w:b/>
          <w:i/>
        </w:rPr>
        <w:t>account</w:t>
      </w:r>
      <w:r w:rsidRPr="00583E1A">
        <w:t xml:space="preserve"> means a sub</w:t>
      </w:r>
      <w:r w:rsidR="00583E1A">
        <w:noBreakHyphen/>
      </w:r>
      <w:r w:rsidRPr="00583E1A">
        <w:t>account that arises under section</w:t>
      </w:r>
      <w:r w:rsidR="00583E1A">
        <w:t> </w:t>
      </w:r>
      <w:r w:rsidRPr="00583E1A">
        <w:t>210</w:t>
      </w:r>
      <w:r w:rsidR="00583E1A">
        <w:noBreakHyphen/>
      </w:r>
      <w:r w:rsidRPr="00583E1A">
        <w:t>100.</w:t>
      </w:r>
    </w:p>
    <w:p w:rsidR="00887330" w:rsidRPr="00583E1A" w:rsidRDefault="00887330" w:rsidP="00887330">
      <w:pPr>
        <w:pStyle w:val="Definition"/>
      </w:pPr>
      <w:r w:rsidRPr="00583E1A">
        <w:rPr>
          <w:b/>
          <w:i/>
        </w:rPr>
        <w:t>venture capital sub</w:t>
      </w:r>
      <w:r w:rsidR="00583E1A">
        <w:rPr>
          <w:b/>
          <w:i/>
        </w:rPr>
        <w:noBreakHyphen/>
      </w:r>
      <w:r w:rsidRPr="00583E1A">
        <w:rPr>
          <w:b/>
          <w:i/>
        </w:rPr>
        <w:t xml:space="preserve">account balance </w:t>
      </w:r>
      <w:r w:rsidRPr="00583E1A">
        <w:t>has the meaning given by section</w:t>
      </w:r>
      <w:r w:rsidR="00583E1A">
        <w:t> </w:t>
      </w:r>
      <w:r w:rsidRPr="00583E1A">
        <w:t>214</w:t>
      </w:r>
      <w:r w:rsidR="00583E1A">
        <w:noBreakHyphen/>
      </w:r>
      <w:r w:rsidRPr="00583E1A">
        <w:t>35.</w:t>
      </w:r>
    </w:p>
    <w:p w:rsidR="00887330" w:rsidRPr="00583E1A" w:rsidRDefault="00887330" w:rsidP="00887330">
      <w:pPr>
        <w:pStyle w:val="Definition"/>
      </w:pPr>
      <w:r w:rsidRPr="00583E1A">
        <w:rPr>
          <w:b/>
          <w:i/>
        </w:rPr>
        <w:t xml:space="preserve">venture capital surplus </w:t>
      </w:r>
      <w:r w:rsidRPr="00583E1A">
        <w:t>has the meaning given by section</w:t>
      </w:r>
      <w:r w:rsidR="00583E1A">
        <w:t> </w:t>
      </w:r>
      <w:r w:rsidRPr="00583E1A">
        <w:t>210</w:t>
      </w:r>
      <w:r w:rsidR="00583E1A">
        <w:noBreakHyphen/>
      </w:r>
      <w:r w:rsidRPr="00583E1A">
        <w:t>130.</w:t>
      </w:r>
    </w:p>
    <w:p w:rsidR="005A1A8F" w:rsidRPr="00E811AF" w:rsidRDefault="005A1A8F" w:rsidP="005A1A8F">
      <w:pPr>
        <w:pStyle w:val="Definition"/>
      </w:pPr>
      <w:r w:rsidRPr="00E811AF">
        <w:rPr>
          <w:b/>
          <w:i/>
        </w:rPr>
        <w:t>vintage year</w:t>
      </w:r>
      <w:r w:rsidRPr="00E811AF">
        <w:t xml:space="preserve"> of a </w:t>
      </w:r>
      <w:r w:rsidRPr="00E811AF">
        <w:rPr>
          <w:position w:val="6"/>
          <w:sz w:val="16"/>
        </w:rPr>
        <w:t>*</w:t>
      </w:r>
      <w:r w:rsidRPr="00E811AF">
        <w:t xml:space="preserve">carbon unit has the same meaning as in the </w:t>
      </w:r>
      <w:r w:rsidRPr="00E811AF">
        <w:rPr>
          <w:i/>
        </w:rPr>
        <w:t>Clean Energy Act 2011</w:t>
      </w:r>
      <w:r w:rsidRPr="00E811AF">
        <w:t>.</w:t>
      </w:r>
    </w:p>
    <w:p w:rsidR="00887330" w:rsidRPr="00583E1A" w:rsidRDefault="00887330" w:rsidP="00887330">
      <w:pPr>
        <w:pStyle w:val="Definition"/>
      </w:pPr>
      <w:r w:rsidRPr="00583E1A">
        <w:rPr>
          <w:b/>
          <w:i/>
        </w:rPr>
        <w:t>visiting force</w:t>
      </w:r>
      <w:r w:rsidRPr="00583E1A">
        <w:t xml:space="preserve"> has the meaning given by section</w:t>
      </w:r>
      <w:r w:rsidR="00583E1A">
        <w:t> </w:t>
      </w:r>
      <w:r w:rsidRPr="00583E1A">
        <w:t xml:space="preserve">5 of the </w:t>
      </w:r>
      <w:r w:rsidRPr="00583E1A">
        <w:rPr>
          <w:i/>
        </w:rPr>
        <w:t>Defence (Visiting Forces) Act 1963</w:t>
      </w:r>
      <w:r w:rsidRPr="00583E1A">
        <w:t>.</w:t>
      </w:r>
    </w:p>
    <w:p w:rsidR="00887330" w:rsidRPr="00583E1A" w:rsidRDefault="00887330" w:rsidP="00887330">
      <w:pPr>
        <w:pStyle w:val="Definition"/>
      </w:pPr>
      <w:r w:rsidRPr="00583E1A">
        <w:rPr>
          <w:b/>
          <w:i/>
        </w:rPr>
        <w:t>voting share</w:t>
      </w:r>
      <w:r w:rsidRPr="00583E1A">
        <w:t xml:space="preserve"> in a company means:</w:t>
      </w:r>
    </w:p>
    <w:p w:rsidR="00887330" w:rsidRPr="00583E1A" w:rsidRDefault="00887330" w:rsidP="00887330">
      <w:pPr>
        <w:pStyle w:val="paragraph"/>
      </w:pPr>
      <w:r w:rsidRPr="00583E1A">
        <w:tab/>
        <w:t>(a)</w:t>
      </w:r>
      <w:r w:rsidRPr="00583E1A">
        <w:tab/>
        <w:t>if the company is a body corporate—a voting share as defined by section</w:t>
      </w:r>
      <w:r w:rsidR="00583E1A">
        <w:t> </w:t>
      </w:r>
      <w:r w:rsidRPr="00583E1A">
        <w:t xml:space="preserve">9 of the </w:t>
      </w:r>
      <w:r w:rsidRPr="00583E1A">
        <w:rPr>
          <w:i/>
        </w:rPr>
        <w:t>Corporations Act 2001</w:t>
      </w:r>
      <w:r w:rsidRPr="00583E1A">
        <w:t>; and</w:t>
      </w:r>
    </w:p>
    <w:p w:rsidR="00887330" w:rsidRPr="00583E1A" w:rsidRDefault="00887330" w:rsidP="00887330">
      <w:pPr>
        <w:pStyle w:val="paragraph"/>
      </w:pPr>
      <w:r w:rsidRPr="00583E1A">
        <w:tab/>
        <w:t>(b)</w:t>
      </w:r>
      <w:r w:rsidRPr="00583E1A">
        <w:tab/>
        <w:t>otherwise—a share that would be a voting share as defined by that section if the company were a body corporate.</w:t>
      </w:r>
    </w:p>
    <w:p w:rsidR="00887330" w:rsidRPr="00583E1A" w:rsidRDefault="00887330" w:rsidP="00887330">
      <w:pPr>
        <w:pStyle w:val="Definition"/>
      </w:pPr>
      <w:r w:rsidRPr="00583E1A">
        <w:rPr>
          <w:b/>
          <w:i/>
        </w:rPr>
        <w:t xml:space="preserve">voting stake </w:t>
      </w:r>
      <w:r w:rsidRPr="00583E1A">
        <w:t>has the meaning given by section</w:t>
      </w:r>
      <w:r w:rsidR="00583E1A">
        <w:t> </w:t>
      </w:r>
      <w:r w:rsidRPr="00583E1A">
        <w:t>166</w:t>
      </w:r>
      <w:r w:rsidR="00583E1A">
        <w:noBreakHyphen/>
      </w:r>
      <w:r w:rsidRPr="00583E1A">
        <w:t>235.</w:t>
      </w:r>
    </w:p>
    <w:p w:rsidR="000335CB" w:rsidRPr="00583E1A" w:rsidRDefault="000335CB" w:rsidP="000335CB">
      <w:pPr>
        <w:pStyle w:val="Definition"/>
      </w:pPr>
      <w:r w:rsidRPr="00583E1A">
        <w:rPr>
          <w:b/>
          <w:i/>
        </w:rPr>
        <w:t>Water Department</w:t>
      </w:r>
      <w:r w:rsidRPr="00583E1A">
        <w:t xml:space="preserve"> means the Department that:</w:t>
      </w:r>
    </w:p>
    <w:p w:rsidR="000335CB" w:rsidRPr="00583E1A" w:rsidRDefault="000335CB" w:rsidP="000335CB">
      <w:pPr>
        <w:pStyle w:val="paragraph"/>
      </w:pPr>
      <w:r w:rsidRPr="00583E1A">
        <w:tab/>
        <w:t>(a)</w:t>
      </w:r>
      <w:r w:rsidRPr="00583E1A">
        <w:tab/>
        <w:t>deals with matters arising under section</w:t>
      </w:r>
      <w:r w:rsidR="00583E1A">
        <w:t> </w:t>
      </w:r>
      <w:r w:rsidRPr="00583E1A">
        <w:t xml:space="preserve">1 of the </w:t>
      </w:r>
      <w:r w:rsidRPr="00583E1A">
        <w:rPr>
          <w:i/>
        </w:rPr>
        <w:t>Water Act 2007</w:t>
      </w:r>
      <w:r w:rsidRPr="00583E1A">
        <w:t>; and</w:t>
      </w:r>
    </w:p>
    <w:p w:rsidR="000335CB" w:rsidRPr="00583E1A" w:rsidRDefault="000335CB" w:rsidP="000335CB">
      <w:pPr>
        <w:pStyle w:val="paragraph"/>
      </w:pPr>
      <w:r w:rsidRPr="00583E1A">
        <w:tab/>
        <w:t>(b)</w:t>
      </w:r>
      <w:r w:rsidRPr="00583E1A">
        <w:tab/>
        <w:t xml:space="preserve">is administered by the </w:t>
      </w:r>
      <w:r w:rsidR="00583E1A" w:rsidRPr="00583E1A">
        <w:rPr>
          <w:position w:val="6"/>
          <w:sz w:val="16"/>
        </w:rPr>
        <w:t>*</w:t>
      </w:r>
      <w:r w:rsidRPr="00583E1A">
        <w:t>Water Minister.</w:t>
      </w:r>
    </w:p>
    <w:p w:rsidR="00B6300D" w:rsidRPr="005F1CAE" w:rsidRDefault="00B6300D" w:rsidP="00B6300D">
      <w:pPr>
        <w:pStyle w:val="Definition"/>
      </w:pPr>
      <w:r w:rsidRPr="005F1CAE">
        <w:rPr>
          <w:b/>
          <w:i/>
        </w:rPr>
        <w:t>water entitlement</w:t>
      </w:r>
      <w:r w:rsidRPr="005F1CAE">
        <w:t xml:space="preserve"> has the meaning given by section 124</w:t>
      </w:r>
      <w:r w:rsidRPr="005F1CAE">
        <w:noBreakHyphen/>
        <w:t>1105.</w:t>
      </w:r>
    </w:p>
    <w:p w:rsidR="00887330" w:rsidRPr="00583E1A" w:rsidRDefault="00887330" w:rsidP="00887330">
      <w:pPr>
        <w:pStyle w:val="Definition"/>
      </w:pPr>
      <w:r w:rsidRPr="00583E1A">
        <w:rPr>
          <w:b/>
          <w:i/>
        </w:rPr>
        <w:t>water facility</w:t>
      </w:r>
      <w:r w:rsidRPr="00583E1A">
        <w:t xml:space="preserve"> has the meaning given by section</w:t>
      </w:r>
      <w:r w:rsidR="00583E1A">
        <w:t> </w:t>
      </w:r>
      <w:r w:rsidRPr="00583E1A">
        <w:t>40</w:t>
      </w:r>
      <w:r w:rsidR="00583E1A">
        <w:noBreakHyphen/>
      </w:r>
      <w:r w:rsidRPr="00583E1A">
        <w:t>520.</w:t>
      </w:r>
    </w:p>
    <w:p w:rsidR="000335CB" w:rsidRPr="00583E1A" w:rsidRDefault="000335CB" w:rsidP="000335CB">
      <w:pPr>
        <w:pStyle w:val="Definition"/>
      </w:pPr>
      <w:r w:rsidRPr="00583E1A">
        <w:rPr>
          <w:b/>
          <w:i/>
        </w:rPr>
        <w:t>Water Minister</w:t>
      </w:r>
      <w:r w:rsidRPr="00583E1A">
        <w:t xml:space="preserve"> means the Minister administering section</w:t>
      </w:r>
      <w:r w:rsidR="00583E1A">
        <w:t> </w:t>
      </w:r>
      <w:r w:rsidRPr="00583E1A">
        <w:t xml:space="preserve">1 of the </w:t>
      </w:r>
      <w:r w:rsidRPr="00583E1A">
        <w:rPr>
          <w:i/>
        </w:rPr>
        <w:t>Water Act 2007</w:t>
      </w:r>
      <w:r w:rsidRPr="00583E1A">
        <w:t>.</w:t>
      </w:r>
    </w:p>
    <w:p w:rsidR="00CB6961" w:rsidRPr="00583E1A" w:rsidRDefault="00CB6961" w:rsidP="00CB6961">
      <w:pPr>
        <w:pStyle w:val="Definition"/>
      </w:pPr>
      <w:r w:rsidRPr="00583E1A">
        <w:rPr>
          <w:b/>
          <w:i/>
        </w:rPr>
        <w:t>whole of life policy</w:t>
      </w:r>
      <w:r w:rsidRPr="00583E1A">
        <w:t xml:space="preserve"> has the meaning given by section</w:t>
      </w:r>
      <w:r w:rsidR="00583E1A">
        <w:t> </w:t>
      </w:r>
      <w:r w:rsidRPr="00583E1A">
        <w:t>295</w:t>
      </w:r>
      <w:r w:rsidR="00583E1A">
        <w:noBreakHyphen/>
      </w:r>
      <w:r w:rsidRPr="00583E1A">
        <w:t>480.</w:t>
      </w:r>
    </w:p>
    <w:p w:rsidR="00887330" w:rsidRPr="00583E1A" w:rsidRDefault="00887330" w:rsidP="00887330">
      <w:pPr>
        <w:pStyle w:val="Definition"/>
      </w:pPr>
      <w:r w:rsidRPr="00583E1A">
        <w:rPr>
          <w:b/>
          <w:i/>
        </w:rPr>
        <w:t>wholly</w:t>
      </w:r>
      <w:r w:rsidR="00583E1A">
        <w:rPr>
          <w:b/>
          <w:i/>
        </w:rPr>
        <w:noBreakHyphen/>
      </w:r>
      <w:r w:rsidRPr="00583E1A">
        <w:rPr>
          <w:b/>
          <w:i/>
        </w:rPr>
        <w:t>owned group</w:t>
      </w:r>
      <w:r w:rsidRPr="00583E1A">
        <w:t xml:space="preserve"> has the meaning given by section</w:t>
      </w:r>
      <w:r w:rsidR="00583E1A">
        <w:t> </w:t>
      </w:r>
      <w:r w:rsidRPr="00583E1A">
        <w:t>975</w:t>
      </w:r>
      <w:r w:rsidR="00583E1A">
        <w:noBreakHyphen/>
      </w:r>
      <w:r w:rsidRPr="00583E1A">
        <w:t>500.</w:t>
      </w:r>
    </w:p>
    <w:p w:rsidR="00887330" w:rsidRPr="00583E1A" w:rsidRDefault="00887330" w:rsidP="00887330">
      <w:pPr>
        <w:pStyle w:val="Definition"/>
      </w:pPr>
      <w:r w:rsidRPr="00583E1A">
        <w:rPr>
          <w:b/>
          <w:i/>
        </w:rPr>
        <w:t>wholly</w:t>
      </w:r>
      <w:r w:rsidR="00583E1A">
        <w:rPr>
          <w:b/>
          <w:i/>
        </w:rPr>
        <w:noBreakHyphen/>
      </w:r>
      <w:r w:rsidRPr="00583E1A">
        <w:rPr>
          <w:b/>
          <w:i/>
        </w:rPr>
        <w:t>owned subsidiary</w:t>
      </w:r>
      <w:r w:rsidRPr="00583E1A">
        <w:t xml:space="preserve"> of an entity has the meaning given by section</w:t>
      </w:r>
      <w:r w:rsidR="00583E1A">
        <w:t> </w:t>
      </w:r>
      <w:r w:rsidRPr="00583E1A">
        <w:t>703</w:t>
      </w:r>
      <w:r w:rsidR="00583E1A">
        <w:noBreakHyphen/>
      </w:r>
      <w:r w:rsidRPr="00583E1A">
        <w:t>30.</w:t>
      </w:r>
    </w:p>
    <w:p w:rsidR="00887330" w:rsidRPr="00583E1A" w:rsidRDefault="00887330" w:rsidP="00BA3854">
      <w:pPr>
        <w:pStyle w:val="Definition"/>
        <w:keepNext/>
      </w:pPr>
      <w:r w:rsidRPr="00583E1A">
        <w:rPr>
          <w:b/>
          <w:i/>
        </w:rPr>
        <w:t xml:space="preserve">widely held company </w:t>
      </w:r>
      <w:r w:rsidRPr="00583E1A">
        <w:t>means:</w:t>
      </w:r>
    </w:p>
    <w:p w:rsidR="00887330" w:rsidRPr="00583E1A" w:rsidRDefault="00887330" w:rsidP="00887330">
      <w:pPr>
        <w:pStyle w:val="paragraph"/>
      </w:pPr>
      <w:r w:rsidRPr="00583E1A">
        <w:tab/>
        <w:t>(a)</w:t>
      </w:r>
      <w:r w:rsidRPr="00583E1A">
        <w:tab/>
        <w:t xml:space="preserve">a company, </w:t>
      </w:r>
      <w:r w:rsidR="00583E1A" w:rsidRPr="00583E1A">
        <w:rPr>
          <w:position w:val="6"/>
          <w:sz w:val="16"/>
        </w:rPr>
        <w:t>*</w:t>
      </w:r>
      <w:r w:rsidRPr="00583E1A">
        <w:t xml:space="preserve">shares in which (except shares that carry a right to a fixed rate of </w:t>
      </w:r>
      <w:r w:rsidR="00583E1A" w:rsidRPr="00583E1A">
        <w:rPr>
          <w:position w:val="6"/>
          <w:sz w:val="16"/>
        </w:rPr>
        <w:t>*</w:t>
      </w:r>
      <w:r w:rsidRPr="00583E1A">
        <w:t xml:space="preserve">dividend) are listed for quotation in the official list of an </w:t>
      </w:r>
      <w:r w:rsidR="00583E1A" w:rsidRPr="00583E1A">
        <w:rPr>
          <w:position w:val="6"/>
          <w:sz w:val="16"/>
        </w:rPr>
        <w:t>*</w:t>
      </w:r>
      <w:r w:rsidRPr="00583E1A">
        <w:t>approved stock exchange; or</w:t>
      </w:r>
    </w:p>
    <w:p w:rsidR="00887330" w:rsidRPr="00583E1A" w:rsidRDefault="00887330" w:rsidP="00887330">
      <w:pPr>
        <w:pStyle w:val="paragraph"/>
      </w:pPr>
      <w:r w:rsidRPr="00583E1A">
        <w:tab/>
        <w:t>(b)</w:t>
      </w:r>
      <w:r w:rsidRPr="00583E1A">
        <w:tab/>
        <w:t>a company with more than 50 members, other than a company where at least one of the following conditions is met during an income year:</w:t>
      </w:r>
    </w:p>
    <w:p w:rsidR="00887330" w:rsidRPr="00583E1A" w:rsidRDefault="00887330" w:rsidP="00887330">
      <w:pPr>
        <w:pStyle w:val="paragraphsub"/>
      </w:pPr>
      <w:r w:rsidRPr="00583E1A">
        <w:tab/>
        <w:t>(i)</w:t>
      </w:r>
      <w:r w:rsidRPr="00583E1A">
        <w:tab/>
        <w:t>no more than 20 persons held, or had the right to acquire or become the holders of, shares representing at least 75% of the value of the shares in the company (other than shares that only carry a right to a fixed rate of dividend);</w:t>
      </w:r>
    </w:p>
    <w:p w:rsidR="00887330" w:rsidRPr="00583E1A" w:rsidRDefault="00887330" w:rsidP="00887330">
      <w:pPr>
        <w:pStyle w:val="paragraphsub"/>
      </w:pPr>
      <w:r w:rsidRPr="00583E1A">
        <w:tab/>
        <w:t>(ii)</w:t>
      </w:r>
      <w:r w:rsidRPr="00583E1A">
        <w:tab/>
        <w:t>at least 75% of the voting power in the company was capable of being exercised by no more than 20 persons;</w:t>
      </w:r>
    </w:p>
    <w:p w:rsidR="00887330" w:rsidRPr="00583E1A" w:rsidRDefault="00887330" w:rsidP="00887330">
      <w:pPr>
        <w:pStyle w:val="paragraphsub"/>
      </w:pPr>
      <w:r w:rsidRPr="00583E1A">
        <w:tab/>
        <w:t>(iii)</w:t>
      </w:r>
      <w:r w:rsidRPr="00583E1A">
        <w:tab/>
        <w:t>at least 75% of the amount of any dividend paid by the company during the year was paid to no more than 20 persons;</w:t>
      </w:r>
    </w:p>
    <w:p w:rsidR="00887330" w:rsidRPr="00583E1A" w:rsidRDefault="00887330" w:rsidP="00887330">
      <w:pPr>
        <w:pStyle w:val="paragraphsub"/>
      </w:pPr>
      <w:r w:rsidRPr="00583E1A">
        <w:tab/>
        <w:t>(iv)</w:t>
      </w:r>
      <w:r w:rsidRPr="00583E1A">
        <w:tab/>
        <w:t>if no dividend was paid by the company during the year—the Commissioner is of the opinion that, if a dividend had been paid by the company during the year, at least 75% of the amount of the dividend would have been paid to no more than 20 persons.</w:t>
      </w:r>
    </w:p>
    <w:p w:rsidR="00887330" w:rsidRPr="00583E1A" w:rsidRDefault="00887330" w:rsidP="00887330">
      <w:pPr>
        <w:pStyle w:val="Definition"/>
      </w:pPr>
      <w:r w:rsidRPr="00583E1A">
        <w:rPr>
          <w:b/>
          <w:i/>
        </w:rPr>
        <w:t>wine tax</w:t>
      </w:r>
      <w:r w:rsidRPr="00583E1A">
        <w:t xml:space="preserve"> has the meaning given by section</w:t>
      </w:r>
      <w:r w:rsidR="00583E1A">
        <w:t> </w:t>
      </w:r>
      <w:r w:rsidRPr="00583E1A">
        <w:t>33</w:t>
      </w:r>
      <w:r w:rsidR="00583E1A">
        <w:noBreakHyphen/>
      </w:r>
      <w:r w:rsidRPr="00583E1A">
        <w:t>1 of the</w:t>
      </w:r>
      <w:r w:rsidRPr="00583E1A">
        <w:rPr>
          <w:i/>
        </w:rPr>
        <w:t xml:space="preserve"> </w:t>
      </w:r>
      <w:r w:rsidR="00583E1A" w:rsidRPr="00583E1A">
        <w:rPr>
          <w:i/>
          <w:position w:val="6"/>
          <w:sz w:val="16"/>
        </w:rPr>
        <w:t>*</w:t>
      </w:r>
      <w:r w:rsidRPr="00583E1A">
        <w:t>Wine Tax Act.</w:t>
      </w:r>
    </w:p>
    <w:p w:rsidR="00887330" w:rsidRPr="00583E1A" w:rsidRDefault="00887330" w:rsidP="00887330">
      <w:pPr>
        <w:pStyle w:val="Definition"/>
      </w:pPr>
      <w:r w:rsidRPr="00583E1A">
        <w:rPr>
          <w:b/>
          <w:i/>
        </w:rPr>
        <w:t>wine taxable dealing</w:t>
      </w:r>
      <w:r w:rsidRPr="00583E1A">
        <w:t xml:space="preserve"> means a taxable dealing (within the meaning of section</w:t>
      </w:r>
      <w:r w:rsidR="00583E1A">
        <w:t> </w:t>
      </w:r>
      <w:r w:rsidRPr="00583E1A">
        <w:t>33</w:t>
      </w:r>
      <w:r w:rsidR="00583E1A">
        <w:noBreakHyphen/>
      </w:r>
      <w:r w:rsidRPr="00583E1A">
        <w:t xml:space="preserve">1 of the </w:t>
      </w:r>
      <w:r w:rsidR="00583E1A" w:rsidRPr="00583E1A">
        <w:rPr>
          <w:position w:val="6"/>
          <w:sz w:val="16"/>
        </w:rPr>
        <w:t>*</w:t>
      </w:r>
      <w:r w:rsidRPr="00583E1A">
        <w:t>Wine Tax Act).</w:t>
      </w:r>
    </w:p>
    <w:p w:rsidR="00887330" w:rsidRPr="00583E1A" w:rsidRDefault="00887330" w:rsidP="00887330">
      <w:pPr>
        <w:pStyle w:val="Definition"/>
      </w:pPr>
      <w:r w:rsidRPr="00583E1A">
        <w:rPr>
          <w:b/>
          <w:i/>
        </w:rPr>
        <w:t>Wine Tax Act</w:t>
      </w:r>
      <w:r w:rsidRPr="00583E1A">
        <w:t xml:space="preserve"> means the </w:t>
      </w:r>
      <w:r w:rsidRPr="00583E1A">
        <w:rPr>
          <w:i/>
        </w:rPr>
        <w:t>A New Tax System (Wine Equalisation</w:t>
      </w:r>
      <w:r w:rsidRPr="00583E1A">
        <w:t xml:space="preserve"> </w:t>
      </w:r>
      <w:r w:rsidRPr="00583E1A">
        <w:rPr>
          <w:i/>
        </w:rPr>
        <w:t>Tax) Act 1999</w:t>
      </w:r>
      <w:r w:rsidRPr="00583E1A">
        <w:t>.</w:t>
      </w:r>
    </w:p>
    <w:p w:rsidR="00887330" w:rsidRPr="00583E1A" w:rsidRDefault="00887330" w:rsidP="00887330">
      <w:pPr>
        <w:pStyle w:val="Definition"/>
      </w:pPr>
      <w:r w:rsidRPr="00583E1A">
        <w:rPr>
          <w:b/>
          <w:i/>
        </w:rPr>
        <w:t>wine tax credit</w:t>
      </w:r>
      <w:r w:rsidRPr="00583E1A">
        <w:t xml:space="preserve"> has the meaning given by section</w:t>
      </w:r>
      <w:r w:rsidR="00583E1A">
        <w:t> </w:t>
      </w:r>
      <w:r w:rsidRPr="00583E1A">
        <w:t>33</w:t>
      </w:r>
      <w:r w:rsidR="00583E1A">
        <w:noBreakHyphen/>
      </w:r>
      <w:r w:rsidRPr="00583E1A">
        <w:t xml:space="preserve">1 of the </w:t>
      </w:r>
      <w:r w:rsidR="00583E1A" w:rsidRPr="00583E1A">
        <w:rPr>
          <w:position w:val="6"/>
          <w:sz w:val="16"/>
        </w:rPr>
        <w:t>*</w:t>
      </w:r>
      <w:r w:rsidRPr="00583E1A">
        <w:t>Wine Tax Act.</w:t>
      </w:r>
    </w:p>
    <w:p w:rsidR="00887330" w:rsidRPr="00583E1A" w:rsidRDefault="00887330" w:rsidP="00887330">
      <w:pPr>
        <w:pStyle w:val="Definition"/>
      </w:pPr>
      <w:r w:rsidRPr="00583E1A">
        <w:rPr>
          <w:b/>
          <w:i/>
        </w:rPr>
        <w:t>wine tax law</w:t>
      </w:r>
      <w:r w:rsidRPr="00583E1A">
        <w:t xml:space="preserve"> has the meaning given by section</w:t>
      </w:r>
      <w:r w:rsidR="00583E1A">
        <w:t> </w:t>
      </w:r>
      <w:r w:rsidRPr="00583E1A">
        <w:t>33</w:t>
      </w:r>
      <w:r w:rsidR="00583E1A">
        <w:noBreakHyphen/>
      </w:r>
      <w:r w:rsidRPr="00583E1A">
        <w:t>1 of the</w:t>
      </w:r>
      <w:r w:rsidRPr="00583E1A">
        <w:rPr>
          <w:i/>
        </w:rPr>
        <w:t xml:space="preserve"> </w:t>
      </w:r>
      <w:r w:rsidR="00583E1A" w:rsidRPr="00583E1A">
        <w:rPr>
          <w:i/>
          <w:position w:val="6"/>
          <w:sz w:val="16"/>
        </w:rPr>
        <w:t>*</w:t>
      </w:r>
      <w:r w:rsidRPr="00583E1A">
        <w:t>Wine Tax Act.</w:t>
      </w:r>
    </w:p>
    <w:p w:rsidR="00980152" w:rsidRPr="006D02BA" w:rsidRDefault="00980152" w:rsidP="00980152">
      <w:pPr>
        <w:pStyle w:val="Definition"/>
      </w:pPr>
      <w:r w:rsidRPr="006D02BA">
        <w:rPr>
          <w:b/>
          <w:i/>
        </w:rPr>
        <w:t>WIP amount asset</w:t>
      </w:r>
      <w:r w:rsidRPr="006D02BA">
        <w:t xml:space="preserve"> has the meaning given by subsection 701</w:t>
      </w:r>
      <w:r w:rsidRPr="006D02BA">
        <w:noBreakHyphen/>
        <w:t>63(6).</w:t>
      </w:r>
    </w:p>
    <w:p w:rsidR="00887330" w:rsidRPr="00583E1A" w:rsidRDefault="00887330" w:rsidP="00887330">
      <w:pPr>
        <w:pStyle w:val="Definition"/>
      </w:pPr>
      <w:r w:rsidRPr="00583E1A">
        <w:rPr>
          <w:b/>
          <w:i/>
        </w:rPr>
        <w:t>withholder</w:t>
      </w:r>
      <w:r w:rsidRPr="00583E1A">
        <w:t xml:space="preserve"> means a </w:t>
      </w:r>
      <w:r w:rsidR="00583E1A" w:rsidRPr="00583E1A">
        <w:rPr>
          <w:position w:val="6"/>
          <w:sz w:val="16"/>
        </w:rPr>
        <w:t>*</w:t>
      </w:r>
      <w:r w:rsidRPr="00583E1A">
        <w:t xml:space="preserve">large withholder, a </w:t>
      </w:r>
      <w:r w:rsidR="00583E1A" w:rsidRPr="00583E1A">
        <w:rPr>
          <w:position w:val="6"/>
          <w:sz w:val="16"/>
        </w:rPr>
        <w:t>*</w:t>
      </w:r>
      <w:r w:rsidRPr="00583E1A">
        <w:t xml:space="preserve">medium withholder or a </w:t>
      </w:r>
      <w:r w:rsidR="00583E1A" w:rsidRPr="00583E1A">
        <w:rPr>
          <w:position w:val="6"/>
          <w:sz w:val="16"/>
        </w:rPr>
        <w:t>*</w:t>
      </w:r>
      <w:r w:rsidRPr="00583E1A">
        <w:t>small withholder.</w:t>
      </w:r>
    </w:p>
    <w:p w:rsidR="00887330" w:rsidRPr="00583E1A" w:rsidRDefault="00887330" w:rsidP="00887330">
      <w:pPr>
        <w:pStyle w:val="Definition"/>
      </w:pPr>
      <w:r w:rsidRPr="00583E1A">
        <w:rPr>
          <w:b/>
          <w:i/>
        </w:rPr>
        <w:t>withholding payment</w:t>
      </w:r>
      <w:r w:rsidRPr="00583E1A">
        <w:t xml:space="preserve"> means:</w:t>
      </w:r>
    </w:p>
    <w:p w:rsidR="00887330" w:rsidRPr="00583E1A" w:rsidRDefault="00887330" w:rsidP="00887330">
      <w:pPr>
        <w:pStyle w:val="paragraph"/>
      </w:pPr>
      <w:r w:rsidRPr="00583E1A">
        <w:tab/>
        <w:t>(a)</w:t>
      </w:r>
      <w:r w:rsidRPr="00583E1A">
        <w:tab/>
        <w:t>a payment from which an amount must be withheld under Division</w:t>
      </w:r>
      <w:r w:rsidR="00583E1A">
        <w:t> </w:t>
      </w:r>
      <w:r w:rsidRPr="00583E1A">
        <w:t>12 in Schedule</w:t>
      </w:r>
      <w:r w:rsidR="00583E1A">
        <w:t> </w:t>
      </w:r>
      <w:r w:rsidRPr="00583E1A">
        <w:t xml:space="preserve">1 to the </w:t>
      </w:r>
      <w:r w:rsidRPr="00583E1A">
        <w:rPr>
          <w:i/>
        </w:rPr>
        <w:t>Taxation Administration Act 1953</w:t>
      </w:r>
      <w:r w:rsidRPr="00583E1A">
        <w:t xml:space="preserve"> (even if the amount is not withheld); or</w:t>
      </w:r>
    </w:p>
    <w:p w:rsidR="00887330" w:rsidRPr="00583E1A" w:rsidRDefault="00887330" w:rsidP="00887330">
      <w:pPr>
        <w:pStyle w:val="paragraph"/>
      </w:pPr>
      <w:r w:rsidRPr="00583E1A">
        <w:tab/>
        <w:t>(b)</w:t>
      </w:r>
      <w:r w:rsidRPr="00583E1A">
        <w:tab/>
        <w:t xml:space="preserve">an </w:t>
      </w:r>
      <w:r w:rsidR="00583E1A" w:rsidRPr="00583E1A">
        <w:rPr>
          <w:position w:val="6"/>
          <w:sz w:val="16"/>
        </w:rPr>
        <w:t>*</w:t>
      </w:r>
      <w:r w:rsidRPr="00583E1A">
        <w:t>alienated personal services payment in respect of which Division</w:t>
      </w:r>
      <w:r w:rsidR="00583E1A">
        <w:t> </w:t>
      </w:r>
      <w:r w:rsidRPr="00583E1A">
        <w:t>13 in that Schedule requires an amount to be paid to the Commissioner; or</w:t>
      </w:r>
    </w:p>
    <w:p w:rsidR="00887330" w:rsidRPr="00583E1A" w:rsidRDefault="00887330" w:rsidP="00887330">
      <w:pPr>
        <w:pStyle w:val="paragraph"/>
      </w:pPr>
      <w:r w:rsidRPr="00583E1A">
        <w:tab/>
        <w:t>(c)</w:t>
      </w:r>
      <w:r w:rsidRPr="00583E1A">
        <w:tab/>
        <w:t xml:space="preserve">a </w:t>
      </w:r>
      <w:r w:rsidR="00583E1A" w:rsidRPr="00583E1A">
        <w:rPr>
          <w:position w:val="6"/>
          <w:sz w:val="16"/>
        </w:rPr>
        <w:t>*</w:t>
      </w:r>
      <w:r w:rsidRPr="00583E1A">
        <w:t>non</w:t>
      </w:r>
      <w:r w:rsidR="00583E1A">
        <w:noBreakHyphen/>
      </w:r>
      <w:r w:rsidRPr="00583E1A">
        <w:t>cash benefit in respect of which Division</w:t>
      </w:r>
      <w:r w:rsidR="00583E1A">
        <w:t> </w:t>
      </w:r>
      <w:r w:rsidRPr="00583E1A">
        <w:t>14 in that Schedule requires an amount to be paid to the Commissioner.</w:t>
      </w:r>
    </w:p>
    <w:p w:rsidR="00887330" w:rsidRPr="00583E1A" w:rsidRDefault="00887330" w:rsidP="00887330">
      <w:pPr>
        <w:pStyle w:val="notetext"/>
      </w:pPr>
      <w:r w:rsidRPr="00583E1A">
        <w:t>Note 1:</w:t>
      </w:r>
      <w:r w:rsidRPr="00583E1A">
        <w:tab/>
        <w:t>A withholding payment that consists of a non</w:t>
      </w:r>
      <w:r w:rsidR="00583E1A">
        <w:noBreakHyphen/>
      </w:r>
      <w:r w:rsidRPr="00583E1A">
        <w:t>cash benefit is made when the benefit is provided. The amount of the withholding payment is taken to be the market value of the benefit at that time.</w:t>
      </w:r>
    </w:p>
    <w:p w:rsidR="00887330" w:rsidRPr="00583E1A" w:rsidRDefault="00887330" w:rsidP="00887330">
      <w:pPr>
        <w:pStyle w:val="notetext"/>
      </w:pPr>
      <w:r w:rsidRPr="00583E1A">
        <w:t>Note 2:</w:t>
      </w:r>
      <w:r w:rsidRPr="00583E1A">
        <w:tab/>
        <w:t>Divisions</w:t>
      </w:r>
      <w:r w:rsidR="00583E1A">
        <w:t> </w:t>
      </w:r>
      <w:r w:rsidRPr="00583E1A">
        <w:t>12, 13 and 14 in Schedule</w:t>
      </w:r>
      <w:r w:rsidR="00583E1A">
        <w:t> </w:t>
      </w:r>
      <w:r w:rsidRPr="00583E1A">
        <w:t xml:space="preserve">1 to the </w:t>
      </w:r>
      <w:r w:rsidRPr="00583E1A">
        <w:rPr>
          <w:i/>
        </w:rPr>
        <w:t>Taxation Administration Act 1953</w:t>
      </w:r>
      <w:r w:rsidRPr="00583E1A">
        <w:t xml:space="preserve"> deal with collecting amounts on account of income tax payable by the recipient of the payment, alienated personal services payment or non</w:t>
      </w:r>
      <w:r w:rsidR="00583E1A">
        <w:noBreakHyphen/>
      </w:r>
      <w:r w:rsidRPr="00583E1A">
        <w:t>cash benefit.</w:t>
      </w:r>
    </w:p>
    <w:p w:rsidR="00EE09BC" w:rsidRPr="00583E1A" w:rsidRDefault="00EE09BC" w:rsidP="00EE09BC">
      <w:pPr>
        <w:pStyle w:val="Definition"/>
      </w:pPr>
      <w:r w:rsidRPr="00583E1A">
        <w:rPr>
          <w:b/>
          <w:i/>
        </w:rPr>
        <w:t>withholding payment</w:t>
      </w:r>
      <w:r w:rsidRPr="00583E1A">
        <w:t xml:space="preserve"> covered by a particular provision in Schedule</w:t>
      </w:r>
      <w:r w:rsidR="00583E1A">
        <w:t> </w:t>
      </w:r>
      <w:r w:rsidRPr="00583E1A">
        <w:t xml:space="preserve">1 to the </w:t>
      </w:r>
      <w:r w:rsidRPr="00583E1A">
        <w:rPr>
          <w:i/>
        </w:rPr>
        <w:t>Taxation Administration Act 1953</w:t>
      </w:r>
      <w:r w:rsidRPr="00583E1A">
        <w:t xml:space="preserve"> means a </w:t>
      </w:r>
      <w:r w:rsidR="00583E1A" w:rsidRPr="00583E1A">
        <w:rPr>
          <w:position w:val="6"/>
          <w:sz w:val="16"/>
        </w:rPr>
        <w:t>*</w:t>
      </w:r>
      <w:r w:rsidRPr="00583E1A">
        <w:t>withholding payment consisting of:</w:t>
      </w:r>
    </w:p>
    <w:p w:rsidR="00EE09BC" w:rsidRPr="00583E1A" w:rsidRDefault="00EE09BC" w:rsidP="00EE09BC">
      <w:pPr>
        <w:pStyle w:val="paragraph"/>
      </w:pPr>
      <w:r w:rsidRPr="00583E1A">
        <w:tab/>
        <w:t>(a)</w:t>
      </w:r>
      <w:r w:rsidRPr="00583E1A">
        <w:tab/>
        <w:t>a payment from which an amount must be withheld under that provision (even if the amount is not withheld); or</w:t>
      </w:r>
    </w:p>
    <w:p w:rsidR="00EE09BC" w:rsidRPr="00583E1A" w:rsidRDefault="00EE09BC" w:rsidP="00BA5F58">
      <w:pPr>
        <w:pStyle w:val="paragraph"/>
        <w:keepLines/>
      </w:pPr>
      <w:r w:rsidRPr="00583E1A">
        <w:tab/>
        <w:t>(b)</w:t>
      </w:r>
      <w:r w:rsidRPr="00583E1A">
        <w:tab/>
        <w:t xml:space="preserve">a </w:t>
      </w:r>
      <w:r w:rsidR="00583E1A" w:rsidRPr="00583E1A">
        <w:rPr>
          <w:position w:val="6"/>
          <w:sz w:val="16"/>
        </w:rPr>
        <w:t>*</w:t>
      </w:r>
      <w:r w:rsidRPr="00583E1A">
        <w:t>non</w:t>
      </w:r>
      <w:r w:rsidR="00583E1A">
        <w:noBreakHyphen/>
      </w:r>
      <w:r w:rsidRPr="00583E1A">
        <w:t xml:space="preserve">cash benefit provided by an entity if that provision would have required the entity to withhold an amount if, instead of providing the benefit, the entity had paid the </w:t>
      </w:r>
      <w:r w:rsidR="00583E1A" w:rsidRPr="00583E1A">
        <w:rPr>
          <w:position w:val="6"/>
          <w:sz w:val="16"/>
        </w:rPr>
        <w:t>*</w:t>
      </w:r>
      <w:r w:rsidRPr="00583E1A">
        <w:t>market value of the benefit; or</w:t>
      </w:r>
    </w:p>
    <w:p w:rsidR="00EE09BC" w:rsidRPr="00583E1A" w:rsidRDefault="00EE09BC" w:rsidP="00EE09BC">
      <w:pPr>
        <w:pStyle w:val="paragraph"/>
      </w:pPr>
      <w:r w:rsidRPr="00583E1A">
        <w:tab/>
        <w:t>(c)</w:t>
      </w:r>
      <w:r w:rsidRPr="00583E1A">
        <w:tab/>
        <w:t>a non</w:t>
      </w:r>
      <w:r w:rsidR="00583E1A">
        <w:noBreakHyphen/>
      </w:r>
      <w:r w:rsidRPr="00583E1A">
        <w:t>cash benefit provided to an entity if that provision would have required the entity to withhold an amount if the benefit had been a payment of an amount equal to the market value of the benefit.</w:t>
      </w:r>
    </w:p>
    <w:p w:rsidR="003B46D4" w:rsidRPr="00583E1A" w:rsidRDefault="003B46D4" w:rsidP="008E78EB">
      <w:pPr>
        <w:pStyle w:val="Definition"/>
        <w:keepNext/>
      </w:pPr>
      <w:r w:rsidRPr="00583E1A">
        <w:rPr>
          <w:b/>
          <w:i/>
        </w:rPr>
        <w:t>withholding tax</w:t>
      </w:r>
      <w:r w:rsidRPr="00583E1A">
        <w:t xml:space="preserve"> means income tax payable under:</w:t>
      </w:r>
    </w:p>
    <w:p w:rsidR="003B46D4" w:rsidRPr="00583E1A" w:rsidRDefault="003B46D4" w:rsidP="003B46D4">
      <w:pPr>
        <w:pStyle w:val="paragraph"/>
      </w:pPr>
      <w:r w:rsidRPr="00583E1A">
        <w:tab/>
        <w:t>(a)</w:t>
      </w:r>
      <w:r w:rsidRPr="00583E1A">
        <w:tab/>
        <w:t>section</w:t>
      </w:r>
      <w:r w:rsidR="00583E1A">
        <w:t> </w:t>
      </w:r>
      <w:r w:rsidRPr="00583E1A">
        <w:t>301</w:t>
      </w:r>
      <w:r w:rsidR="00583E1A">
        <w:noBreakHyphen/>
      </w:r>
      <w:r w:rsidRPr="00583E1A">
        <w:t xml:space="preserve">175 (departing </w:t>
      </w:r>
      <w:smartTag w:uri="urn:schemas-microsoft-com:office:smarttags" w:element="country-region">
        <w:smartTag w:uri="urn:schemas-microsoft-com:office:smarttags" w:element="place">
          <w:r w:rsidRPr="00583E1A">
            <w:t>Australia</w:t>
          </w:r>
        </w:smartTag>
      </w:smartTag>
      <w:r w:rsidRPr="00583E1A">
        <w:t xml:space="preserve"> superannuation payments); or</w:t>
      </w:r>
    </w:p>
    <w:p w:rsidR="003B46D4" w:rsidRPr="00583E1A" w:rsidRDefault="003B46D4" w:rsidP="003B46D4">
      <w:pPr>
        <w:pStyle w:val="paragraph"/>
      </w:pPr>
      <w:r w:rsidRPr="00583E1A">
        <w:tab/>
        <w:t>(b)</w:t>
      </w:r>
      <w:r w:rsidRPr="00583E1A">
        <w:tab/>
        <w:t>section</w:t>
      </w:r>
      <w:r w:rsidR="00583E1A">
        <w:t> </w:t>
      </w:r>
      <w:r w:rsidRPr="00583E1A">
        <w:t>306</w:t>
      </w:r>
      <w:r w:rsidR="00583E1A">
        <w:noBreakHyphen/>
      </w:r>
      <w:r w:rsidRPr="00583E1A">
        <w:t>15 (excess untaxed roll</w:t>
      </w:r>
      <w:r w:rsidR="00583E1A">
        <w:noBreakHyphen/>
      </w:r>
      <w:r w:rsidRPr="00583E1A">
        <w:t>over amounts); or</w:t>
      </w:r>
    </w:p>
    <w:p w:rsidR="0060138E" w:rsidRPr="00583E1A" w:rsidRDefault="0060138E" w:rsidP="0060138E">
      <w:pPr>
        <w:pStyle w:val="paragraph"/>
      </w:pPr>
      <w:r w:rsidRPr="00583E1A">
        <w:tab/>
        <w:t>(c)</w:t>
      </w:r>
      <w:r w:rsidRPr="00583E1A">
        <w:tab/>
        <w:t>Division</w:t>
      </w:r>
      <w:r w:rsidR="00583E1A">
        <w:t> </w:t>
      </w:r>
      <w:r w:rsidRPr="00583E1A">
        <w:t>840 (withholding taxes); or</w:t>
      </w:r>
    </w:p>
    <w:p w:rsidR="0060138E" w:rsidRPr="00583E1A" w:rsidRDefault="0060138E" w:rsidP="0060138E">
      <w:pPr>
        <w:pStyle w:val="paragraph"/>
      </w:pPr>
      <w:r w:rsidRPr="00583E1A">
        <w:tab/>
        <w:t>(d)</w:t>
      </w:r>
      <w:r w:rsidRPr="00583E1A">
        <w:tab/>
        <w:t>Subdivision</w:t>
      </w:r>
      <w:r w:rsidR="00583E1A">
        <w:t> </w:t>
      </w:r>
      <w:r w:rsidRPr="00583E1A">
        <w:t>840</w:t>
      </w:r>
      <w:r w:rsidR="00583E1A">
        <w:noBreakHyphen/>
      </w:r>
      <w:r w:rsidRPr="00583E1A">
        <w:t xml:space="preserve">M of the </w:t>
      </w:r>
      <w:r w:rsidRPr="00583E1A">
        <w:rPr>
          <w:i/>
        </w:rPr>
        <w:t>Income Tax (Transitional Provisions) Act 1997</w:t>
      </w:r>
      <w:r w:rsidRPr="00583E1A">
        <w:t xml:space="preserve"> (managed investment trust amounts); or</w:t>
      </w:r>
    </w:p>
    <w:p w:rsidR="0060138E" w:rsidRPr="00583E1A" w:rsidRDefault="0060138E" w:rsidP="0060138E">
      <w:pPr>
        <w:pStyle w:val="paragraph"/>
      </w:pPr>
      <w:r w:rsidRPr="00583E1A">
        <w:tab/>
        <w:t>(e)</w:t>
      </w:r>
      <w:r w:rsidRPr="00583E1A">
        <w:tab/>
        <w:t>section</w:t>
      </w:r>
      <w:r w:rsidR="00583E1A">
        <w:t> </w:t>
      </w:r>
      <w:r w:rsidRPr="00583E1A">
        <w:t xml:space="preserve">128B of the </w:t>
      </w:r>
      <w:r w:rsidRPr="00583E1A">
        <w:rPr>
          <w:i/>
        </w:rPr>
        <w:t>Income Tax Assessment Act 1936</w:t>
      </w:r>
      <w:r w:rsidRPr="00583E1A">
        <w:t xml:space="preserve"> (dividends, interest and royalties).</w:t>
      </w:r>
    </w:p>
    <w:p w:rsidR="00BD60AB" w:rsidRPr="00303F70" w:rsidRDefault="00BD60AB" w:rsidP="00BD60AB">
      <w:pPr>
        <w:pStyle w:val="Definition"/>
      </w:pPr>
      <w:r w:rsidRPr="00303F70">
        <w:rPr>
          <w:b/>
          <w:i/>
        </w:rPr>
        <w:t>work and income support withholding payments</w:t>
      </w:r>
      <w:r w:rsidRPr="00303F70">
        <w:t xml:space="preserve"> means work and income support related withholding payments and benefits, within the meaning given by the </w:t>
      </w:r>
      <w:r w:rsidRPr="00303F70">
        <w:rPr>
          <w:i/>
        </w:rPr>
        <w:t>Income Tax Assessment Act 1936</w:t>
      </w:r>
      <w:r w:rsidRPr="00303F70">
        <w:t>.</w:t>
      </w:r>
    </w:p>
    <w:p w:rsidR="00887330" w:rsidRPr="00583E1A" w:rsidRDefault="00887330" w:rsidP="00887330">
      <w:pPr>
        <w:pStyle w:val="Definition"/>
      </w:pPr>
      <w:r w:rsidRPr="00583E1A">
        <w:rPr>
          <w:b/>
          <w:i/>
        </w:rPr>
        <w:t>workers’ compensation law</w:t>
      </w:r>
      <w:r w:rsidRPr="00583E1A">
        <w:t xml:space="preserve"> has the meaning given by subsection 136(1) of the </w:t>
      </w:r>
      <w:r w:rsidRPr="00583E1A">
        <w:rPr>
          <w:i/>
        </w:rPr>
        <w:t>Fringe Benefits Tax Assessment Act 1986</w:t>
      </w:r>
      <w:r w:rsidRPr="00583E1A">
        <w:t>.</w:t>
      </w:r>
    </w:p>
    <w:p w:rsidR="00887330" w:rsidRPr="00583E1A" w:rsidRDefault="00887330" w:rsidP="00887330">
      <w:pPr>
        <w:pStyle w:val="Definition"/>
      </w:pPr>
      <w:r w:rsidRPr="00583E1A">
        <w:rPr>
          <w:b/>
          <w:i/>
        </w:rPr>
        <w:t>work expense</w:t>
      </w:r>
      <w:r w:rsidRPr="00583E1A">
        <w:t xml:space="preserve"> has the meaning given by section</w:t>
      </w:r>
      <w:r w:rsidR="00583E1A">
        <w:t> </w:t>
      </w:r>
      <w:r w:rsidRPr="00583E1A">
        <w:t>900</w:t>
      </w:r>
      <w:r w:rsidR="00583E1A">
        <w:noBreakHyphen/>
      </w:r>
      <w:r w:rsidRPr="00583E1A">
        <w:t>30.</w:t>
      </w:r>
    </w:p>
    <w:p w:rsidR="00887330" w:rsidRPr="00583E1A" w:rsidRDefault="00887330" w:rsidP="00887330">
      <w:pPr>
        <w:pStyle w:val="Definition"/>
      </w:pPr>
      <w:r w:rsidRPr="00583E1A">
        <w:rPr>
          <w:b/>
          <w:i/>
        </w:rPr>
        <w:t>work in progress amount</w:t>
      </w:r>
      <w:r w:rsidRPr="00583E1A">
        <w:t xml:space="preserve"> has the meaning given by section</w:t>
      </w:r>
      <w:r w:rsidR="00583E1A">
        <w:t> </w:t>
      </w:r>
      <w:r w:rsidRPr="00583E1A">
        <w:t>25</w:t>
      </w:r>
      <w:r w:rsidR="00583E1A">
        <w:noBreakHyphen/>
      </w:r>
      <w:r w:rsidRPr="00583E1A">
        <w:t>95.</w:t>
      </w:r>
    </w:p>
    <w:p w:rsidR="00887330" w:rsidRPr="00583E1A" w:rsidRDefault="00887330" w:rsidP="00887330">
      <w:pPr>
        <w:pStyle w:val="Definition"/>
      </w:pPr>
      <w:r w:rsidRPr="00583E1A">
        <w:rPr>
          <w:b/>
          <w:i/>
        </w:rPr>
        <w:t>worldwide capital amount</w:t>
      </w:r>
      <w:r w:rsidRPr="00583E1A">
        <w:t xml:space="preserve">, for an </w:t>
      </w:r>
      <w:r w:rsidR="00583E1A" w:rsidRPr="00583E1A">
        <w:rPr>
          <w:position w:val="6"/>
          <w:sz w:val="16"/>
        </w:rPr>
        <w:t>*</w:t>
      </w:r>
      <w:r w:rsidRPr="00583E1A">
        <w:t>outward investing entity (ADI), has the meaning given by section</w:t>
      </w:r>
      <w:r w:rsidR="00583E1A">
        <w:t> </w:t>
      </w:r>
      <w:r w:rsidRPr="00583E1A">
        <w:t>820</w:t>
      </w:r>
      <w:r w:rsidR="00583E1A">
        <w:noBreakHyphen/>
      </w:r>
      <w:r w:rsidRPr="00583E1A">
        <w:t>320.</w:t>
      </w:r>
    </w:p>
    <w:p w:rsidR="00887330" w:rsidRPr="00583E1A" w:rsidRDefault="00887330" w:rsidP="00887330">
      <w:pPr>
        <w:pStyle w:val="Definition"/>
      </w:pPr>
      <w:r w:rsidRPr="00583E1A">
        <w:rPr>
          <w:b/>
          <w:i/>
        </w:rPr>
        <w:t>worldwide debt</w:t>
      </w:r>
      <w:r w:rsidRPr="00583E1A">
        <w:t>, of an entity and at a particular time, means the total of the following amounts:</w:t>
      </w:r>
    </w:p>
    <w:p w:rsidR="00887330" w:rsidRPr="00583E1A" w:rsidRDefault="00887330" w:rsidP="00887330">
      <w:pPr>
        <w:pStyle w:val="paragraph"/>
      </w:pPr>
      <w:r w:rsidRPr="00583E1A">
        <w:tab/>
        <w:t>(a)</w:t>
      </w:r>
      <w:r w:rsidRPr="00583E1A">
        <w:tab/>
        <w:t xml:space="preserve">all the </w:t>
      </w:r>
      <w:r w:rsidR="00583E1A" w:rsidRPr="00583E1A">
        <w:rPr>
          <w:position w:val="6"/>
          <w:sz w:val="16"/>
        </w:rPr>
        <w:t>*</w:t>
      </w:r>
      <w:r w:rsidRPr="00583E1A">
        <w:t>debt interests issued by the entity:</w:t>
      </w:r>
    </w:p>
    <w:p w:rsidR="00887330" w:rsidRPr="00583E1A" w:rsidRDefault="00887330" w:rsidP="00887330">
      <w:pPr>
        <w:pStyle w:val="paragraphsub"/>
      </w:pPr>
      <w:r w:rsidRPr="00583E1A">
        <w:tab/>
        <w:t>(i)</w:t>
      </w:r>
      <w:r w:rsidRPr="00583E1A">
        <w:tab/>
        <w:t xml:space="preserve">to entities other than any </w:t>
      </w:r>
      <w:r w:rsidR="00583E1A" w:rsidRPr="00583E1A">
        <w:rPr>
          <w:position w:val="6"/>
          <w:sz w:val="16"/>
        </w:rPr>
        <w:t>*</w:t>
      </w:r>
      <w:r w:rsidRPr="00583E1A">
        <w:t xml:space="preserve">Australian controlled foreign entities (the </w:t>
      </w:r>
      <w:r w:rsidRPr="00583E1A">
        <w:rPr>
          <w:b/>
          <w:i/>
        </w:rPr>
        <w:t>controlled entities</w:t>
      </w:r>
      <w:r w:rsidRPr="00583E1A">
        <w:t xml:space="preserve">) of which the entity is an </w:t>
      </w:r>
      <w:r w:rsidR="00583E1A" w:rsidRPr="00583E1A">
        <w:rPr>
          <w:position w:val="6"/>
          <w:sz w:val="16"/>
        </w:rPr>
        <w:t>*</w:t>
      </w:r>
      <w:r w:rsidRPr="00583E1A">
        <w:t>Australian controller at that time; and</w:t>
      </w:r>
    </w:p>
    <w:p w:rsidR="00887330" w:rsidRPr="00583E1A" w:rsidRDefault="00887330" w:rsidP="00887330">
      <w:pPr>
        <w:pStyle w:val="paragraphsub"/>
      </w:pPr>
      <w:r w:rsidRPr="00583E1A">
        <w:tab/>
        <w:t>(ii)</w:t>
      </w:r>
      <w:r w:rsidRPr="00583E1A">
        <w:tab/>
        <w:t xml:space="preserve">that are still </w:t>
      </w:r>
      <w:r w:rsidR="00583E1A" w:rsidRPr="00583E1A">
        <w:rPr>
          <w:position w:val="6"/>
          <w:sz w:val="16"/>
        </w:rPr>
        <w:t>*</w:t>
      </w:r>
      <w:r w:rsidRPr="00583E1A">
        <w:t>on issue at that time;</w:t>
      </w:r>
    </w:p>
    <w:p w:rsidR="00887330" w:rsidRPr="00583E1A" w:rsidRDefault="00887330" w:rsidP="00887330">
      <w:pPr>
        <w:pStyle w:val="paragraph"/>
      </w:pPr>
      <w:r w:rsidRPr="00583E1A">
        <w:rPr>
          <w:i/>
        </w:rPr>
        <w:tab/>
      </w:r>
      <w:r w:rsidRPr="00583E1A">
        <w:t>(b)</w:t>
      </w:r>
      <w:r w:rsidRPr="00583E1A">
        <w:tab/>
        <w:t>all the debt interests issued by the controlled entities:</w:t>
      </w:r>
    </w:p>
    <w:p w:rsidR="00887330" w:rsidRPr="00583E1A" w:rsidRDefault="00887330" w:rsidP="00887330">
      <w:pPr>
        <w:pStyle w:val="paragraphsub"/>
      </w:pPr>
      <w:r w:rsidRPr="00583E1A">
        <w:tab/>
        <w:t>(i)</w:t>
      </w:r>
      <w:r w:rsidRPr="00583E1A">
        <w:tab/>
        <w:t>to entities other than the entity or other controlled entities; and</w:t>
      </w:r>
    </w:p>
    <w:p w:rsidR="00887330" w:rsidRPr="00583E1A" w:rsidRDefault="00887330" w:rsidP="00887330">
      <w:pPr>
        <w:pStyle w:val="paragraphsub"/>
      </w:pPr>
      <w:r w:rsidRPr="00583E1A">
        <w:tab/>
        <w:t>(ii)</w:t>
      </w:r>
      <w:r w:rsidRPr="00583E1A">
        <w:tab/>
        <w:t xml:space="preserve">that are still </w:t>
      </w:r>
      <w:r w:rsidR="00583E1A" w:rsidRPr="00583E1A">
        <w:rPr>
          <w:position w:val="6"/>
          <w:sz w:val="16"/>
        </w:rPr>
        <w:t>*</w:t>
      </w:r>
      <w:r w:rsidRPr="00583E1A">
        <w:t>on issue at that time.</w:t>
      </w:r>
    </w:p>
    <w:p w:rsidR="00887330" w:rsidRPr="00583E1A" w:rsidRDefault="00887330" w:rsidP="007748D4">
      <w:pPr>
        <w:pStyle w:val="Definition"/>
        <w:keepNext/>
      </w:pPr>
      <w:r w:rsidRPr="00583E1A">
        <w:rPr>
          <w:b/>
          <w:i/>
        </w:rPr>
        <w:t>worldwide equity</w:t>
      </w:r>
      <w:r w:rsidRPr="00583E1A">
        <w:t>, of an entity and at a particular time, means the total of the following amounts:</w:t>
      </w:r>
    </w:p>
    <w:p w:rsidR="00887330" w:rsidRPr="00583E1A" w:rsidRDefault="00887330" w:rsidP="00887330">
      <w:pPr>
        <w:pStyle w:val="paragraph"/>
      </w:pPr>
      <w:r w:rsidRPr="00583E1A">
        <w:tab/>
        <w:t>(a)</w:t>
      </w:r>
      <w:r w:rsidRPr="00583E1A">
        <w:tab/>
        <w:t xml:space="preserve">all the </w:t>
      </w:r>
      <w:r w:rsidR="00583E1A" w:rsidRPr="00583E1A">
        <w:rPr>
          <w:position w:val="6"/>
          <w:sz w:val="16"/>
        </w:rPr>
        <w:t>*</w:t>
      </w:r>
      <w:r w:rsidRPr="00583E1A">
        <w:t xml:space="preserve">equity capital of the entity as at that time, but worked out disregarding </w:t>
      </w:r>
      <w:r w:rsidR="00583E1A" w:rsidRPr="00583E1A">
        <w:rPr>
          <w:position w:val="6"/>
          <w:sz w:val="16"/>
        </w:rPr>
        <w:t>*</w:t>
      </w:r>
      <w:r w:rsidRPr="00583E1A">
        <w:t xml:space="preserve">equity interests in the entity held at that time by </w:t>
      </w:r>
      <w:r w:rsidR="00583E1A" w:rsidRPr="00583E1A">
        <w:rPr>
          <w:position w:val="6"/>
          <w:sz w:val="16"/>
        </w:rPr>
        <w:t>*</w:t>
      </w:r>
      <w:r w:rsidRPr="00583E1A">
        <w:t xml:space="preserve">Australian controlled foreign entities (the </w:t>
      </w:r>
      <w:r w:rsidRPr="00583E1A">
        <w:rPr>
          <w:b/>
          <w:i/>
        </w:rPr>
        <w:t>controlled entities</w:t>
      </w:r>
      <w:r w:rsidRPr="00583E1A">
        <w:t xml:space="preserve">) of which the entity is an </w:t>
      </w:r>
      <w:r w:rsidR="00583E1A" w:rsidRPr="00583E1A">
        <w:rPr>
          <w:position w:val="6"/>
          <w:sz w:val="16"/>
        </w:rPr>
        <w:t>*</w:t>
      </w:r>
      <w:r w:rsidRPr="00583E1A">
        <w:t>Australian controller at that time;</w:t>
      </w:r>
    </w:p>
    <w:p w:rsidR="00887330" w:rsidRPr="00583E1A" w:rsidRDefault="00887330" w:rsidP="00887330">
      <w:pPr>
        <w:pStyle w:val="paragraph"/>
      </w:pPr>
      <w:r w:rsidRPr="00583E1A">
        <w:tab/>
        <w:t>(b)</w:t>
      </w:r>
      <w:r w:rsidRPr="00583E1A">
        <w:tab/>
        <w:t>all the equity capital of the controlled entities as at that time, but worked out disregarding equity interests in the controlled entities held at that time by:</w:t>
      </w:r>
    </w:p>
    <w:p w:rsidR="00887330" w:rsidRPr="00583E1A" w:rsidRDefault="00887330" w:rsidP="00887330">
      <w:pPr>
        <w:pStyle w:val="paragraphsub"/>
      </w:pPr>
      <w:r w:rsidRPr="00583E1A">
        <w:tab/>
        <w:t>(i)</w:t>
      </w:r>
      <w:r w:rsidRPr="00583E1A">
        <w:tab/>
        <w:t>the entity; or</w:t>
      </w:r>
    </w:p>
    <w:p w:rsidR="00887330" w:rsidRPr="00583E1A" w:rsidRDefault="00887330" w:rsidP="00887330">
      <w:pPr>
        <w:pStyle w:val="paragraphsub"/>
      </w:pPr>
      <w:r w:rsidRPr="00583E1A">
        <w:tab/>
        <w:t>(ii)</w:t>
      </w:r>
      <w:r w:rsidRPr="00583E1A">
        <w:tab/>
        <w:t>other controlled entities.</w:t>
      </w:r>
    </w:p>
    <w:p w:rsidR="00887330" w:rsidRPr="00583E1A" w:rsidRDefault="00887330" w:rsidP="00887330">
      <w:pPr>
        <w:pStyle w:val="Definition"/>
      </w:pPr>
      <w:r w:rsidRPr="00583E1A">
        <w:rPr>
          <w:b/>
          <w:i/>
        </w:rPr>
        <w:t>worldwide gearing debt amount</w:t>
      </w:r>
      <w:r w:rsidRPr="00583E1A">
        <w:t xml:space="preserve">, for an </w:t>
      </w:r>
      <w:r w:rsidR="00583E1A" w:rsidRPr="00583E1A">
        <w:rPr>
          <w:position w:val="6"/>
          <w:sz w:val="16"/>
        </w:rPr>
        <w:t>*</w:t>
      </w:r>
      <w:r w:rsidRPr="00583E1A">
        <w:t>outward investing entity (non</w:t>
      </w:r>
      <w:r w:rsidR="00583E1A">
        <w:noBreakHyphen/>
      </w:r>
      <w:r w:rsidRPr="00583E1A">
        <w:t>ADI), has the meaning given by section</w:t>
      </w:r>
      <w:r w:rsidR="00583E1A">
        <w:t> </w:t>
      </w:r>
      <w:r w:rsidRPr="00583E1A">
        <w:t>820</w:t>
      </w:r>
      <w:r w:rsidR="00583E1A">
        <w:noBreakHyphen/>
      </w:r>
      <w:r w:rsidRPr="00583E1A">
        <w:t>110.</w:t>
      </w:r>
    </w:p>
    <w:p w:rsidR="00887330" w:rsidRPr="00583E1A" w:rsidRDefault="00887330" w:rsidP="00887330">
      <w:pPr>
        <w:pStyle w:val="Definition"/>
      </w:pPr>
      <w:r w:rsidRPr="00583E1A">
        <w:rPr>
          <w:b/>
          <w:i/>
        </w:rPr>
        <w:t>written down value</w:t>
      </w:r>
      <w:r w:rsidRPr="00583E1A">
        <w:t xml:space="preserve"> of a </w:t>
      </w:r>
      <w:r w:rsidR="00583E1A" w:rsidRPr="00583E1A">
        <w:rPr>
          <w:position w:val="6"/>
          <w:sz w:val="16"/>
        </w:rPr>
        <w:t>*</w:t>
      </w:r>
      <w:r w:rsidRPr="00583E1A">
        <w:t>depreciating asset has the meaning given by section</w:t>
      </w:r>
      <w:r w:rsidR="00583E1A">
        <w:t> </w:t>
      </w:r>
      <w:r w:rsidRPr="00583E1A">
        <w:t>45</w:t>
      </w:r>
      <w:r w:rsidR="00583E1A">
        <w:noBreakHyphen/>
      </w:r>
      <w:r w:rsidRPr="00583E1A">
        <w:t>40.</w:t>
      </w:r>
    </w:p>
    <w:p w:rsidR="00887330" w:rsidRPr="00583E1A" w:rsidRDefault="00887330" w:rsidP="00887330">
      <w:pPr>
        <w:pStyle w:val="Definition"/>
      </w:pPr>
      <w:r w:rsidRPr="00583E1A">
        <w:rPr>
          <w:b/>
          <w:i/>
        </w:rPr>
        <w:t>you</w:t>
      </w:r>
      <w:r w:rsidRPr="00583E1A">
        <w:t xml:space="preserve"> has the meaning given by section</w:t>
      </w:r>
      <w:r w:rsidR="00583E1A">
        <w:t> </w:t>
      </w:r>
      <w:r w:rsidRPr="00583E1A">
        <w:t>4</w:t>
      </w:r>
      <w:r w:rsidR="00583E1A">
        <w:noBreakHyphen/>
      </w:r>
      <w:r w:rsidRPr="00583E1A">
        <w:t>5.</w:t>
      </w:r>
    </w:p>
    <w:p w:rsidR="00887330" w:rsidRPr="00583E1A" w:rsidRDefault="00887330" w:rsidP="00887330">
      <w:pPr>
        <w:pStyle w:val="Definition"/>
      </w:pPr>
      <w:r w:rsidRPr="00583E1A">
        <w:rPr>
          <w:b/>
          <w:i/>
        </w:rPr>
        <w:t>your area</w:t>
      </w:r>
      <w:r w:rsidRPr="00583E1A">
        <w:t xml:space="preserve"> has the meaning given by sections</w:t>
      </w:r>
      <w:r w:rsidR="00583E1A">
        <w:t> </w:t>
      </w:r>
      <w:r w:rsidRPr="00583E1A">
        <w:t>43</w:t>
      </w:r>
      <w:r w:rsidR="00583E1A">
        <w:noBreakHyphen/>
      </w:r>
      <w:r w:rsidRPr="00583E1A">
        <w:t>115 and 43</w:t>
      </w:r>
      <w:r w:rsidR="00583E1A">
        <w:noBreakHyphen/>
      </w:r>
      <w:r w:rsidRPr="00583E1A">
        <w:t>120.</w:t>
      </w:r>
    </w:p>
    <w:p w:rsidR="00887330" w:rsidRPr="00583E1A" w:rsidRDefault="00887330" w:rsidP="00887330">
      <w:pPr>
        <w:pStyle w:val="Definition"/>
      </w:pPr>
      <w:r w:rsidRPr="00583E1A">
        <w:rPr>
          <w:b/>
          <w:i/>
        </w:rPr>
        <w:t>your construction expenditure</w:t>
      </w:r>
      <w:r w:rsidRPr="00583E1A">
        <w:t xml:space="preserve"> has the meaning given by sections</w:t>
      </w:r>
      <w:r w:rsidR="00583E1A">
        <w:t> </w:t>
      </w:r>
      <w:r w:rsidRPr="00583E1A">
        <w:t>43</w:t>
      </w:r>
      <w:r w:rsidR="00583E1A">
        <w:noBreakHyphen/>
      </w:r>
      <w:r w:rsidRPr="00583E1A">
        <w:t>115 and 43</w:t>
      </w:r>
      <w:r w:rsidR="00583E1A">
        <w:noBreakHyphen/>
      </w:r>
      <w:r w:rsidRPr="00583E1A">
        <w:t>120.</w:t>
      </w:r>
    </w:p>
    <w:p w:rsidR="00887330" w:rsidRPr="00583E1A" w:rsidRDefault="00887330" w:rsidP="00887330">
      <w:pPr>
        <w:pStyle w:val="Definition"/>
      </w:pPr>
      <w:r w:rsidRPr="00583E1A">
        <w:rPr>
          <w:b/>
          <w:i/>
        </w:rPr>
        <w:t xml:space="preserve">your earning activity </w:t>
      </w:r>
      <w:r w:rsidRPr="00583E1A">
        <w:t>has the meaning given by section</w:t>
      </w:r>
      <w:r w:rsidR="00583E1A">
        <w:t> </w:t>
      </w:r>
      <w:r w:rsidRPr="00583E1A">
        <w:t>40</w:t>
      </w:r>
      <w:r w:rsidR="00583E1A">
        <w:noBreakHyphen/>
      </w:r>
      <w:r w:rsidRPr="00583E1A">
        <w:t>755.</w:t>
      </w:r>
    </w:p>
    <w:p w:rsidR="00887330" w:rsidRPr="00583E1A" w:rsidRDefault="00887330" w:rsidP="00887330">
      <w:pPr>
        <w:pStyle w:val="Definition"/>
      </w:pPr>
      <w:r w:rsidRPr="00583E1A">
        <w:rPr>
          <w:b/>
          <w:i/>
        </w:rPr>
        <w:t>zero</w:t>
      </w:r>
      <w:r w:rsidR="00583E1A">
        <w:rPr>
          <w:b/>
          <w:i/>
        </w:rPr>
        <w:noBreakHyphen/>
      </w:r>
      <w:r w:rsidRPr="00583E1A">
        <w:rPr>
          <w:b/>
          <w:i/>
        </w:rPr>
        <w:t xml:space="preserve">capital amount </w:t>
      </w:r>
      <w:r w:rsidRPr="00583E1A">
        <w:t>has the meaning given by section</w:t>
      </w:r>
      <w:r w:rsidR="00583E1A">
        <w:t> </w:t>
      </w:r>
      <w:r w:rsidRPr="00583E1A">
        <w:t>820</w:t>
      </w:r>
      <w:r w:rsidR="00583E1A">
        <w:noBreakHyphen/>
      </w:r>
      <w:r w:rsidRPr="00583E1A">
        <w:t>942.</w:t>
      </w:r>
    </w:p>
    <w:p w:rsidR="00887330" w:rsidRPr="00583E1A" w:rsidRDefault="00887330" w:rsidP="00887330">
      <w:pPr>
        <w:pStyle w:val="subsection"/>
      </w:pPr>
      <w:r w:rsidRPr="00583E1A">
        <w:tab/>
        <w:t>(2)</w:t>
      </w:r>
      <w:r w:rsidRPr="00583E1A">
        <w:tab/>
        <w:t xml:space="preserve">So far as a provision of the </w:t>
      </w:r>
      <w:r w:rsidRPr="00583E1A">
        <w:rPr>
          <w:i/>
        </w:rPr>
        <w:t>Income Tax Assessment Act 1997</w:t>
      </w:r>
      <w:r w:rsidRPr="00583E1A">
        <w:t xml:space="preserve"> gives an expression a particular meaning, the provision:</w:t>
      </w:r>
    </w:p>
    <w:p w:rsidR="00887330" w:rsidRPr="00583E1A" w:rsidRDefault="00887330" w:rsidP="00887330">
      <w:pPr>
        <w:pStyle w:val="paragraph"/>
      </w:pPr>
      <w:r w:rsidRPr="00583E1A">
        <w:tab/>
        <w:t>(a)</w:t>
      </w:r>
      <w:r w:rsidRPr="00583E1A">
        <w:tab/>
        <w:t xml:space="preserve">does </w:t>
      </w:r>
      <w:r w:rsidRPr="00583E1A">
        <w:rPr>
          <w:i/>
        </w:rPr>
        <w:t>not</w:t>
      </w:r>
      <w:r w:rsidRPr="00583E1A">
        <w:t xml:space="preserve"> also have effect for the purposes of the </w:t>
      </w:r>
      <w:r w:rsidRPr="00583E1A">
        <w:rPr>
          <w:i/>
        </w:rPr>
        <w:t>Income Tax Assessment Act 1936</w:t>
      </w:r>
      <w:r w:rsidRPr="00583E1A">
        <w:t xml:space="preserve"> (the </w:t>
      </w:r>
      <w:r w:rsidRPr="00583E1A">
        <w:rPr>
          <w:b/>
          <w:i/>
        </w:rPr>
        <w:t>1936 Act</w:t>
      </w:r>
      <w:r w:rsidRPr="00583E1A">
        <w:t>), except as provided in the 1936 Act; and</w:t>
      </w:r>
    </w:p>
    <w:p w:rsidR="00887330" w:rsidRPr="00583E1A" w:rsidRDefault="00887330" w:rsidP="00887330">
      <w:pPr>
        <w:pStyle w:val="paragraph"/>
      </w:pPr>
      <w:r w:rsidRPr="00583E1A">
        <w:tab/>
        <w:t>(b)</w:t>
      </w:r>
      <w:r w:rsidRPr="00583E1A">
        <w:tab/>
        <w:t xml:space="preserve">does </w:t>
      </w:r>
      <w:r w:rsidRPr="00583E1A">
        <w:rPr>
          <w:i/>
        </w:rPr>
        <w:t>not</w:t>
      </w:r>
      <w:r w:rsidRPr="00583E1A">
        <w:t xml:space="preserve"> also have effect for the purposes of Part</w:t>
      </w:r>
      <w:r w:rsidR="00583E1A">
        <w:t> </w:t>
      </w:r>
      <w:r w:rsidRPr="00583E1A">
        <w:t xml:space="preserve">IVC of the </w:t>
      </w:r>
      <w:r w:rsidRPr="00583E1A">
        <w:rPr>
          <w:i/>
        </w:rPr>
        <w:t>Taxation Administration Act 1953</w:t>
      </w:r>
      <w:r w:rsidRPr="00583E1A">
        <w:t>, except as provided in that Part.</w:t>
      </w:r>
    </w:p>
    <w:p w:rsidR="00887330" w:rsidRPr="00583E1A" w:rsidRDefault="00887330" w:rsidP="00887330">
      <w:pPr>
        <w:sectPr w:rsidR="00887330" w:rsidRPr="00583E1A" w:rsidSect="009275EE">
          <w:headerReference w:type="even" r:id="rId73"/>
          <w:headerReference w:type="default" r:id="rId74"/>
          <w:footerReference w:type="even" r:id="rId75"/>
          <w:footerReference w:type="default" r:id="rId76"/>
          <w:headerReference w:type="first" r:id="rId77"/>
          <w:footerReference w:type="first" r:id="rId78"/>
          <w:pgSz w:w="11906" w:h="16838" w:code="9"/>
          <w:pgMar w:top="2268" w:right="2410" w:bottom="3827" w:left="2410" w:header="567" w:footer="3119" w:gutter="0"/>
          <w:cols w:space="708"/>
          <w:docGrid w:linePitch="360"/>
        </w:sectPr>
      </w:pPr>
    </w:p>
    <w:p w:rsidR="00887330" w:rsidRPr="00583E1A" w:rsidRDefault="00887330" w:rsidP="00887330"/>
    <w:sectPr w:rsidR="00887330" w:rsidRPr="00583E1A" w:rsidSect="009275EE">
      <w:headerReference w:type="even" r:id="rId79"/>
      <w:headerReference w:type="default" r:id="rId80"/>
      <w:footerReference w:type="even" r:id="rId81"/>
      <w:footerReference w:type="default" r:id="rId82"/>
      <w:headerReference w:type="first" r:id="rId83"/>
      <w:footerReference w:type="first" r:id="rId84"/>
      <w:type w:val="continuous"/>
      <w:pgSz w:w="11906" w:h="16838"/>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6235" w:rsidRDefault="00C36235">
      <w:pPr>
        <w:spacing w:line="240" w:lineRule="auto"/>
      </w:pPr>
      <w:r>
        <w:separator/>
      </w:r>
    </w:p>
  </w:endnote>
  <w:endnote w:type="continuationSeparator" w:id="0">
    <w:p w:rsidR="00C36235" w:rsidRDefault="00C362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embedRegular r:id="rId1" w:subsetted="1" w:fontKey="{47310569-C076-4B23-821D-2E0E49D6ED5C}"/>
  </w:font>
  <w:font w:name="Calibri">
    <w:panose1 w:val="020F0502020204030204"/>
    <w:charset w:val="00"/>
    <w:family w:val="swiss"/>
    <w:pitch w:val="variable"/>
    <w:sig w:usb0="E00002FF" w:usb1="4000ACFF" w:usb2="00000001" w:usb3="00000000" w:csb0="0000019F" w:csb1="00000000"/>
  </w:font>
  <w:font w:name="Times-BoldItalic">
    <w:altName w:val="Times New Roman"/>
    <w:panose1 w:val="00000000000000000000"/>
    <w:charset w:val="4D"/>
    <w:family w:val="roman"/>
    <w:notTrueType/>
    <w:pitch w:val="default"/>
    <w:sig w:usb0="03000000" w:usb1="00000000" w:usb2="00000000" w:usb3="00000000" w:csb0="00000001" w:csb1="00000000"/>
  </w:font>
  <w:font w:name="Times-Roman">
    <w:altName w:val="Times New Roman"/>
    <w:panose1 w:val="00000000000000000000"/>
    <w:charset w:val="4D"/>
    <w:family w:val="roman"/>
    <w:notTrueType/>
    <w:pitch w:val="default"/>
    <w:sig w:usb0="03000000"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4E8" w:rsidRPr="002A5BF5" w:rsidRDefault="00C664E8">
    <w:pPr>
      <w:pBdr>
        <w:top w:val="single" w:sz="6" w:space="1" w:color="auto"/>
      </w:pBdr>
      <w:rPr>
        <w:sz w:val="18"/>
        <w:szCs w:val="18"/>
      </w:rPr>
    </w:pPr>
  </w:p>
  <w:p w:rsidR="00C664E8" w:rsidRPr="002A5BF5" w:rsidRDefault="00C664E8">
    <w:pPr>
      <w:rPr>
        <w:i/>
        <w:szCs w:val="22"/>
      </w:rPr>
    </w:pPr>
    <w:r w:rsidRPr="002A5BF5">
      <w:rPr>
        <w:i/>
      </w:rPr>
      <w:fldChar w:fldCharType="begin"/>
    </w:r>
    <w:r w:rsidRPr="002A5BF5">
      <w:rPr>
        <w:i/>
      </w:rPr>
      <w:instrText xml:space="preserve">PAGE  </w:instrText>
    </w:r>
    <w:r w:rsidRPr="002A5BF5">
      <w:rPr>
        <w:i/>
      </w:rPr>
      <w:fldChar w:fldCharType="separate"/>
    </w:r>
    <w:r w:rsidR="00A75E51">
      <w:rPr>
        <w:i/>
        <w:noProof/>
      </w:rPr>
      <w:t>xxii</w:t>
    </w:r>
    <w:r w:rsidRPr="002A5BF5">
      <w:rPr>
        <w:i/>
      </w:rPr>
      <w:fldChar w:fldCharType="end"/>
    </w:r>
    <w:r>
      <w:rPr>
        <w:i/>
      </w:rPr>
      <w:t xml:space="preserve">            </w:t>
    </w:r>
    <w:r w:rsidRPr="002A5BF5">
      <w:rPr>
        <w:i/>
        <w:szCs w:val="22"/>
      </w:rPr>
      <w:fldChar w:fldCharType="begin"/>
    </w:r>
    <w:r w:rsidRPr="002A5BF5">
      <w:rPr>
        <w:i/>
        <w:szCs w:val="22"/>
      </w:rPr>
      <w:instrText xml:space="preserve"> STYLEREF ShortT \* </w:instrText>
    </w:r>
    <w:r>
      <w:rPr>
        <w:i/>
        <w:szCs w:val="22"/>
      </w:rPr>
      <w:instrText>CHAR</w:instrText>
    </w:r>
    <w:r w:rsidRPr="002A5BF5">
      <w:rPr>
        <w:i/>
        <w:szCs w:val="22"/>
      </w:rPr>
      <w:instrText xml:space="preserve">FORMAT </w:instrText>
    </w:r>
    <w:r w:rsidRPr="002A5BF5">
      <w:rPr>
        <w:i/>
        <w:szCs w:val="22"/>
      </w:rPr>
      <w:fldChar w:fldCharType="separate"/>
    </w:r>
    <w:r w:rsidR="00A75E51">
      <w:rPr>
        <w:i/>
        <w:noProof/>
        <w:szCs w:val="22"/>
      </w:rPr>
      <w:t>Income Tax Assessment Act 1997</w:t>
    </w:r>
    <w:r w:rsidRPr="002A5BF5">
      <w:rPr>
        <w:i/>
        <w:szCs w:val="22"/>
      </w:rPr>
      <w:fldChar w:fldCharType="end"/>
    </w:r>
    <w:r>
      <w:rPr>
        <w:i/>
        <w:szCs w:val="22"/>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4E8" w:rsidRDefault="00C664E8" w:rsidP="00CF6132">
    <w:pPr>
      <w:pStyle w:val="FootnoteText"/>
      <w:ind w:right="360"/>
      <w:rPr>
        <w:position w:val="10"/>
        <w:sz w:val="16"/>
      </w:rPr>
    </w:pPr>
    <w:r>
      <w:rPr>
        <w:position w:val="10"/>
        <w:sz w:val="16"/>
      </w:rPr>
      <w:t>_____________________________________</w:t>
    </w:r>
  </w:p>
  <w:p w:rsidR="00C664E8" w:rsidRDefault="00C664E8" w:rsidP="00CF6132">
    <w:pPr>
      <w:pStyle w:val="FootnoteText"/>
      <w:spacing w:after="120"/>
      <w:rPr>
        <w:sz w:val="16"/>
      </w:rPr>
    </w:pPr>
    <w:r>
      <w:rPr>
        <w:position w:val="8"/>
      </w:rPr>
      <w:t>*</w:t>
    </w:r>
    <w:r>
      <w:t>To find definitions of asterisked terms, see the Dictionary, starting at section 995-1.</w:t>
    </w:r>
  </w:p>
  <w:p w:rsidR="00C664E8" w:rsidRPr="002A5BF5" w:rsidRDefault="00C664E8">
    <w:pPr>
      <w:pBdr>
        <w:top w:val="single" w:sz="6" w:space="1" w:color="auto"/>
      </w:pBdr>
      <w:rPr>
        <w:sz w:val="18"/>
        <w:szCs w:val="18"/>
      </w:rPr>
    </w:pPr>
  </w:p>
  <w:p w:rsidR="00C664E8" w:rsidRDefault="00C664E8">
    <w:pPr>
      <w:ind w:right="26"/>
      <w:jc w:val="right"/>
    </w:pPr>
    <w:r w:rsidRPr="002A5BF5">
      <w:rPr>
        <w:i/>
        <w:szCs w:val="22"/>
      </w:rPr>
      <w:fldChar w:fldCharType="begin"/>
    </w:r>
    <w:r w:rsidRPr="002A5BF5">
      <w:rPr>
        <w:i/>
        <w:szCs w:val="22"/>
      </w:rPr>
      <w:instrText xml:space="preserve"> STYLEREF ShortT \* </w:instrText>
    </w:r>
    <w:r>
      <w:rPr>
        <w:i/>
        <w:szCs w:val="22"/>
      </w:rPr>
      <w:instrText>CHAR</w:instrText>
    </w:r>
    <w:r w:rsidRPr="002A5BF5">
      <w:rPr>
        <w:i/>
        <w:szCs w:val="22"/>
      </w:rPr>
      <w:instrText xml:space="preserve">FORMAT </w:instrText>
    </w:r>
    <w:r w:rsidRPr="002A5BF5">
      <w:rPr>
        <w:i/>
        <w:szCs w:val="22"/>
      </w:rPr>
      <w:fldChar w:fldCharType="separate"/>
    </w:r>
    <w:r w:rsidR="009275EE">
      <w:rPr>
        <w:i/>
        <w:noProof/>
        <w:szCs w:val="22"/>
      </w:rPr>
      <w:t>Income Tax Assessment Act 1997</w:t>
    </w:r>
    <w:r w:rsidRPr="002A5BF5">
      <w:rPr>
        <w:i/>
        <w:szCs w:val="22"/>
      </w:rPr>
      <w:fldChar w:fldCharType="end"/>
    </w:r>
    <w:r>
      <w:rPr>
        <w:i/>
        <w:szCs w:val="22"/>
      </w:rPr>
      <w:t xml:space="preserve">                    </w:t>
    </w:r>
    <w:r w:rsidRPr="002A5BF5">
      <w:rPr>
        <w:i/>
      </w:rPr>
      <w:fldChar w:fldCharType="begin"/>
    </w:r>
    <w:r w:rsidRPr="002A5BF5">
      <w:rPr>
        <w:i/>
      </w:rPr>
      <w:instrText xml:space="preserve">PAGE  </w:instrText>
    </w:r>
    <w:r w:rsidRPr="002A5BF5">
      <w:rPr>
        <w:i/>
      </w:rPr>
      <w:fldChar w:fldCharType="separate"/>
    </w:r>
    <w:r w:rsidR="009275EE">
      <w:rPr>
        <w:i/>
        <w:noProof/>
      </w:rPr>
      <w:t>47</w:t>
    </w:r>
    <w:r w:rsidRPr="002A5BF5">
      <w:rPr>
        <w:i/>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4E8" w:rsidRPr="002A5BF5" w:rsidRDefault="00C664E8">
    <w:pPr>
      <w:pBdr>
        <w:top w:val="single" w:sz="6" w:space="1" w:color="auto"/>
      </w:pBdr>
      <w:rPr>
        <w:sz w:val="18"/>
        <w:szCs w:val="18"/>
      </w:rPr>
    </w:pPr>
  </w:p>
  <w:p w:rsidR="00C664E8" w:rsidRDefault="00C664E8">
    <w:pPr>
      <w:ind w:right="26"/>
      <w:jc w:val="right"/>
    </w:pPr>
    <w:r w:rsidRPr="002A5BF5">
      <w:rPr>
        <w:i/>
        <w:szCs w:val="22"/>
      </w:rPr>
      <w:fldChar w:fldCharType="begin"/>
    </w:r>
    <w:r w:rsidRPr="002A5BF5">
      <w:rPr>
        <w:i/>
        <w:szCs w:val="22"/>
      </w:rPr>
      <w:instrText xml:space="preserve"> STYLEREF ShortT \* </w:instrText>
    </w:r>
    <w:r>
      <w:rPr>
        <w:i/>
        <w:szCs w:val="22"/>
      </w:rPr>
      <w:instrText>CHAR</w:instrText>
    </w:r>
    <w:r w:rsidRPr="002A5BF5">
      <w:rPr>
        <w:i/>
        <w:szCs w:val="22"/>
      </w:rPr>
      <w:instrText xml:space="preserve">FORMAT </w:instrText>
    </w:r>
    <w:r w:rsidRPr="002A5BF5">
      <w:rPr>
        <w:i/>
        <w:szCs w:val="22"/>
      </w:rPr>
      <w:fldChar w:fldCharType="separate"/>
    </w:r>
    <w:r w:rsidR="00623A5C">
      <w:rPr>
        <w:i/>
        <w:noProof/>
        <w:szCs w:val="22"/>
      </w:rPr>
      <w:t>Income Tax Assessment Act 1997</w:t>
    </w:r>
    <w:r w:rsidRPr="002A5BF5">
      <w:rPr>
        <w:i/>
        <w:szCs w:val="22"/>
      </w:rPr>
      <w:fldChar w:fldCharType="end"/>
    </w:r>
    <w:r>
      <w:rPr>
        <w:i/>
        <w:szCs w:val="22"/>
      </w:rPr>
      <w:t xml:space="preserve">                    </w:t>
    </w:r>
    <w:r w:rsidRPr="002A5BF5">
      <w:rPr>
        <w:i/>
      </w:rPr>
      <w:fldChar w:fldCharType="begin"/>
    </w:r>
    <w:r w:rsidRPr="002A5BF5">
      <w:rPr>
        <w:i/>
      </w:rPr>
      <w:instrText xml:space="preserve">PAGE  </w:instrText>
    </w:r>
    <w:r w:rsidRPr="002A5BF5">
      <w:rPr>
        <w:i/>
      </w:rPr>
      <w:fldChar w:fldCharType="separate"/>
    </w:r>
    <w:r>
      <w:rPr>
        <w:i/>
        <w:noProof/>
      </w:rPr>
      <w:t>1</w:t>
    </w:r>
    <w:r w:rsidRPr="002A5BF5">
      <w:rPr>
        <w:i/>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4E8" w:rsidRDefault="00C664E8" w:rsidP="00887330">
    <w:pPr>
      <w:pStyle w:val="FootnoteText"/>
      <w:ind w:right="360"/>
      <w:rPr>
        <w:position w:val="10"/>
        <w:sz w:val="16"/>
      </w:rPr>
    </w:pPr>
    <w:r>
      <w:rPr>
        <w:position w:val="10"/>
        <w:sz w:val="16"/>
      </w:rPr>
      <w:t>_____________________________________</w:t>
    </w:r>
  </w:p>
  <w:p w:rsidR="00C664E8" w:rsidRDefault="00C664E8" w:rsidP="00887330">
    <w:pPr>
      <w:pStyle w:val="FootnoteText"/>
      <w:spacing w:after="120"/>
      <w:rPr>
        <w:sz w:val="16"/>
      </w:rPr>
    </w:pPr>
    <w:r>
      <w:rPr>
        <w:position w:val="8"/>
      </w:rPr>
      <w:t>*</w:t>
    </w:r>
    <w:r>
      <w:t>To find definitions of asterisked terms, see the Dictionary, starting at section 995-1.</w:t>
    </w:r>
  </w:p>
  <w:p w:rsidR="00C664E8" w:rsidRPr="002A5BF5" w:rsidRDefault="00C664E8" w:rsidP="00887330">
    <w:pPr>
      <w:pBdr>
        <w:top w:val="single" w:sz="6" w:space="1" w:color="auto"/>
      </w:pBdr>
      <w:rPr>
        <w:sz w:val="18"/>
        <w:szCs w:val="18"/>
      </w:rPr>
    </w:pPr>
  </w:p>
  <w:p w:rsidR="00C664E8" w:rsidRPr="002A5BF5" w:rsidRDefault="00C664E8">
    <w:pPr>
      <w:rPr>
        <w:i/>
        <w:szCs w:val="22"/>
      </w:rPr>
    </w:pPr>
    <w:r w:rsidRPr="002A5BF5">
      <w:rPr>
        <w:i/>
      </w:rPr>
      <w:fldChar w:fldCharType="begin"/>
    </w:r>
    <w:r w:rsidRPr="002A5BF5">
      <w:rPr>
        <w:i/>
      </w:rPr>
      <w:instrText xml:space="preserve">PAGE  </w:instrText>
    </w:r>
    <w:r w:rsidRPr="002A5BF5">
      <w:rPr>
        <w:i/>
      </w:rPr>
      <w:fldChar w:fldCharType="separate"/>
    </w:r>
    <w:r w:rsidR="00A75E51">
      <w:rPr>
        <w:i/>
        <w:noProof/>
      </w:rPr>
      <w:t>134</w:t>
    </w:r>
    <w:r w:rsidRPr="002A5BF5">
      <w:rPr>
        <w:i/>
      </w:rPr>
      <w:fldChar w:fldCharType="end"/>
    </w:r>
    <w:r>
      <w:rPr>
        <w:i/>
      </w:rPr>
      <w:t xml:space="preserve">            </w:t>
    </w:r>
    <w:r w:rsidRPr="002A5BF5">
      <w:rPr>
        <w:i/>
        <w:szCs w:val="22"/>
      </w:rPr>
      <w:fldChar w:fldCharType="begin"/>
    </w:r>
    <w:r w:rsidRPr="002A5BF5">
      <w:rPr>
        <w:i/>
        <w:szCs w:val="22"/>
      </w:rPr>
      <w:instrText xml:space="preserve"> STYLEREF ShortT \* </w:instrText>
    </w:r>
    <w:r>
      <w:rPr>
        <w:i/>
        <w:szCs w:val="22"/>
      </w:rPr>
      <w:instrText>CHAR</w:instrText>
    </w:r>
    <w:r w:rsidRPr="002A5BF5">
      <w:rPr>
        <w:i/>
        <w:szCs w:val="22"/>
      </w:rPr>
      <w:instrText xml:space="preserve">FORMAT </w:instrText>
    </w:r>
    <w:r w:rsidRPr="002A5BF5">
      <w:rPr>
        <w:i/>
        <w:szCs w:val="22"/>
      </w:rPr>
      <w:fldChar w:fldCharType="separate"/>
    </w:r>
    <w:r w:rsidR="00A75E51">
      <w:rPr>
        <w:i/>
        <w:noProof/>
        <w:szCs w:val="22"/>
      </w:rPr>
      <w:t>Income Tax Assessment Act 1997</w:t>
    </w:r>
    <w:r w:rsidRPr="002A5BF5">
      <w:rPr>
        <w:i/>
        <w:szCs w:val="22"/>
      </w:rPr>
      <w:fldChar w:fldCharType="end"/>
    </w:r>
    <w:r>
      <w:rPr>
        <w:i/>
        <w:szCs w:val="22"/>
      </w:rPr>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4E8" w:rsidRDefault="00C664E8" w:rsidP="00887330">
    <w:pPr>
      <w:pStyle w:val="FootnoteText"/>
      <w:ind w:right="360"/>
      <w:rPr>
        <w:position w:val="10"/>
        <w:sz w:val="16"/>
      </w:rPr>
    </w:pPr>
    <w:r>
      <w:rPr>
        <w:position w:val="10"/>
        <w:sz w:val="16"/>
      </w:rPr>
      <w:t>_____________________________________</w:t>
    </w:r>
  </w:p>
  <w:p w:rsidR="00C664E8" w:rsidRDefault="00C664E8" w:rsidP="00887330">
    <w:pPr>
      <w:pStyle w:val="FootnoteText"/>
      <w:spacing w:after="120"/>
      <w:rPr>
        <w:sz w:val="16"/>
      </w:rPr>
    </w:pPr>
    <w:r>
      <w:rPr>
        <w:position w:val="8"/>
      </w:rPr>
      <w:t>*</w:t>
    </w:r>
    <w:r>
      <w:t>To find definitions of asterisked terms, see the Dictionary, starting at section 995-1.</w:t>
    </w:r>
  </w:p>
  <w:p w:rsidR="00C664E8" w:rsidRPr="002A5BF5" w:rsidRDefault="00C664E8" w:rsidP="00887330">
    <w:pPr>
      <w:pBdr>
        <w:top w:val="single" w:sz="6" w:space="1" w:color="auto"/>
      </w:pBdr>
      <w:rPr>
        <w:sz w:val="18"/>
        <w:szCs w:val="18"/>
      </w:rPr>
    </w:pPr>
  </w:p>
  <w:p w:rsidR="00C664E8" w:rsidRDefault="00C664E8">
    <w:pPr>
      <w:ind w:right="26"/>
      <w:jc w:val="right"/>
    </w:pPr>
    <w:r w:rsidRPr="002A5BF5">
      <w:rPr>
        <w:i/>
        <w:szCs w:val="22"/>
      </w:rPr>
      <w:fldChar w:fldCharType="begin"/>
    </w:r>
    <w:r w:rsidRPr="002A5BF5">
      <w:rPr>
        <w:i/>
        <w:szCs w:val="22"/>
      </w:rPr>
      <w:instrText xml:space="preserve"> STYLEREF ShortT \* </w:instrText>
    </w:r>
    <w:r>
      <w:rPr>
        <w:i/>
        <w:szCs w:val="22"/>
      </w:rPr>
      <w:instrText>CHAR</w:instrText>
    </w:r>
    <w:r w:rsidRPr="002A5BF5">
      <w:rPr>
        <w:i/>
        <w:szCs w:val="22"/>
      </w:rPr>
      <w:instrText xml:space="preserve">FORMAT </w:instrText>
    </w:r>
    <w:r w:rsidRPr="002A5BF5">
      <w:rPr>
        <w:i/>
        <w:szCs w:val="22"/>
      </w:rPr>
      <w:fldChar w:fldCharType="separate"/>
    </w:r>
    <w:r w:rsidR="00A75E51">
      <w:rPr>
        <w:i/>
        <w:noProof/>
        <w:szCs w:val="22"/>
      </w:rPr>
      <w:t>Income Tax Assessment Act 1997</w:t>
    </w:r>
    <w:r w:rsidRPr="002A5BF5">
      <w:rPr>
        <w:i/>
        <w:szCs w:val="22"/>
      </w:rPr>
      <w:fldChar w:fldCharType="end"/>
    </w:r>
    <w:r>
      <w:rPr>
        <w:i/>
        <w:szCs w:val="22"/>
      </w:rPr>
      <w:t xml:space="preserve">                    </w:t>
    </w:r>
    <w:r w:rsidRPr="002A5BF5">
      <w:rPr>
        <w:i/>
      </w:rPr>
      <w:fldChar w:fldCharType="begin"/>
    </w:r>
    <w:r w:rsidRPr="002A5BF5">
      <w:rPr>
        <w:i/>
      </w:rPr>
      <w:instrText xml:space="preserve">PAGE  </w:instrText>
    </w:r>
    <w:r w:rsidRPr="002A5BF5">
      <w:rPr>
        <w:i/>
      </w:rPr>
      <w:fldChar w:fldCharType="separate"/>
    </w:r>
    <w:r w:rsidR="00A75E51">
      <w:rPr>
        <w:i/>
        <w:noProof/>
      </w:rPr>
      <w:t>133</w:t>
    </w:r>
    <w:r w:rsidRPr="002A5BF5">
      <w:rPr>
        <w:i/>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4E8" w:rsidRPr="002A5BF5" w:rsidRDefault="00C664E8">
    <w:pPr>
      <w:pBdr>
        <w:top w:val="single" w:sz="6" w:space="1" w:color="auto"/>
      </w:pBdr>
      <w:rPr>
        <w:sz w:val="18"/>
        <w:szCs w:val="18"/>
      </w:rPr>
    </w:pPr>
  </w:p>
  <w:p w:rsidR="00C664E8" w:rsidRDefault="00C664E8">
    <w:pPr>
      <w:ind w:right="26"/>
      <w:jc w:val="right"/>
    </w:pPr>
    <w:r w:rsidRPr="002A5BF5">
      <w:rPr>
        <w:i/>
        <w:szCs w:val="22"/>
      </w:rPr>
      <w:fldChar w:fldCharType="begin"/>
    </w:r>
    <w:r w:rsidRPr="002A5BF5">
      <w:rPr>
        <w:i/>
        <w:szCs w:val="22"/>
      </w:rPr>
      <w:instrText xml:space="preserve"> STYLEREF ShortT \* </w:instrText>
    </w:r>
    <w:r>
      <w:rPr>
        <w:i/>
        <w:szCs w:val="22"/>
      </w:rPr>
      <w:instrText>CHAR</w:instrText>
    </w:r>
    <w:r w:rsidRPr="002A5BF5">
      <w:rPr>
        <w:i/>
        <w:szCs w:val="22"/>
      </w:rPr>
      <w:instrText xml:space="preserve">FORMAT </w:instrText>
    </w:r>
    <w:r w:rsidRPr="002A5BF5">
      <w:rPr>
        <w:i/>
        <w:szCs w:val="22"/>
      </w:rPr>
      <w:fldChar w:fldCharType="separate"/>
    </w:r>
    <w:r w:rsidR="00623A5C">
      <w:rPr>
        <w:i/>
        <w:noProof/>
        <w:szCs w:val="22"/>
      </w:rPr>
      <w:t>Income Tax Assessment Act 1997</w:t>
    </w:r>
    <w:r w:rsidRPr="002A5BF5">
      <w:rPr>
        <w:i/>
        <w:szCs w:val="22"/>
      </w:rPr>
      <w:fldChar w:fldCharType="end"/>
    </w:r>
    <w:r>
      <w:rPr>
        <w:i/>
        <w:szCs w:val="22"/>
      </w:rPr>
      <w:t xml:space="preserve">                    </w:t>
    </w:r>
    <w:r w:rsidRPr="002A5BF5">
      <w:rPr>
        <w:i/>
      </w:rPr>
      <w:fldChar w:fldCharType="begin"/>
    </w:r>
    <w:r w:rsidRPr="002A5BF5">
      <w:rPr>
        <w:i/>
      </w:rPr>
      <w:instrText xml:space="preserve">PAGE  </w:instrText>
    </w:r>
    <w:r w:rsidRPr="002A5BF5">
      <w:rPr>
        <w:i/>
      </w:rPr>
      <w:fldChar w:fldCharType="separate"/>
    </w:r>
    <w:r>
      <w:rPr>
        <w:i/>
        <w:noProof/>
      </w:rPr>
      <w:t>467</w:t>
    </w:r>
    <w:r w:rsidRPr="002A5BF5">
      <w:rPr>
        <w:i/>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4E8" w:rsidRDefault="00C664E8" w:rsidP="00887330">
    <w:pPr>
      <w:pStyle w:val="FootnoteText"/>
      <w:ind w:right="360"/>
      <w:rPr>
        <w:position w:val="10"/>
        <w:sz w:val="16"/>
      </w:rPr>
    </w:pPr>
    <w:r>
      <w:rPr>
        <w:position w:val="10"/>
        <w:sz w:val="16"/>
      </w:rPr>
      <w:t>_____________________________________</w:t>
    </w:r>
  </w:p>
  <w:p w:rsidR="00C664E8" w:rsidRDefault="00C664E8" w:rsidP="00887330">
    <w:pPr>
      <w:pStyle w:val="FootnoteText"/>
      <w:spacing w:after="120"/>
      <w:rPr>
        <w:sz w:val="16"/>
      </w:rPr>
    </w:pPr>
    <w:r>
      <w:rPr>
        <w:position w:val="8"/>
      </w:rPr>
      <w:t>*</w:t>
    </w:r>
    <w:r>
      <w:t>To find definitions of asterisked terms, see the Dictionary, starting at section 995-1.</w:t>
    </w:r>
  </w:p>
  <w:p w:rsidR="00C664E8" w:rsidRPr="002A5BF5" w:rsidRDefault="00C664E8" w:rsidP="00887330">
    <w:pPr>
      <w:pBdr>
        <w:top w:val="single" w:sz="6" w:space="1" w:color="auto"/>
      </w:pBdr>
      <w:rPr>
        <w:sz w:val="18"/>
        <w:szCs w:val="18"/>
      </w:rPr>
    </w:pPr>
  </w:p>
  <w:p w:rsidR="00C664E8" w:rsidRPr="002A5BF5" w:rsidRDefault="00C664E8">
    <w:pPr>
      <w:rPr>
        <w:i/>
        <w:szCs w:val="22"/>
      </w:rPr>
    </w:pPr>
    <w:r w:rsidRPr="002A5BF5">
      <w:rPr>
        <w:i/>
      </w:rPr>
      <w:fldChar w:fldCharType="begin"/>
    </w:r>
    <w:r w:rsidRPr="002A5BF5">
      <w:rPr>
        <w:i/>
      </w:rPr>
      <w:instrText xml:space="preserve">PAGE  </w:instrText>
    </w:r>
    <w:r w:rsidRPr="002A5BF5">
      <w:rPr>
        <w:i/>
      </w:rPr>
      <w:fldChar w:fldCharType="separate"/>
    </w:r>
    <w:r w:rsidR="009275EE">
      <w:rPr>
        <w:i/>
        <w:noProof/>
      </w:rPr>
      <w:t>144</w:t>
    </w:r>
    <w:r w:rsidRPr="002A5BF5">
      <w:rPr>
        <w:i/>
      </w:rPr>
      <w:fldChar w:fldCharType="end"/>
    </w:r>
    <w:r>
      <w:rPr>
        <w:i/>
      </w:rPr>
      <w:t xml:space="preserve">            </w:t>
    </w:r>
    <w:r w:rsidRPr="002A5BF5">
      <w:rPr>
        <w:i/>
        <w:szCs w:val="22"/>
      </w:rPr>
      <w:fldChar w:fldCharType="begin"/>
    </w:r>
    <w:r w:rsidRPr="002A5BF5">
      <w:rPr>
        <w:i/>
        <w:szCs w:val="22"/>
      </w:rPr>
      <w:instrText xml:space="preserve"> STYLEREF ShortT \* </w:instrText>
    </w:r>
    <w:r>
      <w:rPr>
        <w:i/>
        <w:szCs w:val="22"/>
      </w:rPr>
      <w:instrText>CHAR</w:instrText>
    </w:r>
    <w:r w:rsidRPr="002A5BF5">
      <w:rPr>
        <w:i/>
        <w:szCs w:val="22"/>
      </w:rPr>
      <w:instrText xml:space="preserve">FORMAT </w:instrText>
    </w:r>
    <w:r w:rsidRPr="002A5BF5">
      <w:rPr>
        <w:i/>
        <w:szCs w:val="22"/>
      </w:rPr>
      <w:fldChar w:fldCharType="separate"/>
    </w:r>
    <w:r w:rsidR="009275EE">
      <w:rPr>
        <w:i/>
        <w:noProof/>
        <w:szCs w:val="22"/>
      </w:rPr>
      <w:t>Income Tax Assessment Act 1997</w:t>
    </w:r>
    <w:r w:rsidRPr="002A5BF5">
      <w:rPr>
        <w:i/>
        <w:szCs w:val="22"/>
      </w:rPr>
      <w:fldChar w:fldCharType="end"/>
    </w:r>
    <w:r>
      <w:rPr>
        <w:i/>
        <w:szCs w:val="22"/>
      </w:rPr>
      <w:t xml:space="preserve">       </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4E8" w:rsidRDefault="00C664E8" w:rsidP="00887330">
    <w:pPr>
      <w:pStyle w:val="FootnoteText"/>
      <w:ind w:right="360"/>
      <w:rPr>
        <w:position w:val="10"/>
        <w:sz w:val="16"/>
      </w:rPr>
    </w:pPr>
    <w:r>
      <w:rPr>
        <w:position w:val="10"/>
        <w:sz w:val="16"/>
      </w:rPr>
      <w:t>_____________________________________</w:t>
    </w:r>
  </w:p>
  <w:p w:rsidR="00C664E8" w:rsidRDefault="00C664E8" w:rsidP="00887330">
    <w:pPr>
      <w:pStyle w:val="FootnoteText"/>
      <w:spacing w:after="120"/>
      <w:rPr>
        <w:sz w:val="16"/>
      </w:rPr>
    </w:pPr>
    <w:r>
      <w:rPr>
        <w:position w:val="8"/>
      </w:rPr>
      <w:t>*</w:t>
    </w:r>
    <w:r>
      <w:t>To find definitions of asterisked terms, see the Dictionary, starting at section 995-1.</w:t>
    </w:r>
  </w:p>
  <w:p w:rsidR="00C664E8" w:rsidRPr="002A5BF5" w:rsidRDefault="00C664E8" w:rsidP="00887330">
    <w:pPr>
      <w:pBdr>
        <w:top w:val="single" w:sz="6" w:space="1" w:color="auto"/>
      </w:pBdr>
      <w:rPr>
        <w:sz w:val="18"/>
        <w:szCs w:val="18"/>
      </w:rPr>
    </w:pPr>
  </w:p>
  <w:p w:rsidR="00C664E8" w:rsidRDefault="00C664E8">
    <w:pPr>
      <w:ind w:right="26"/>
      <w:jc w:val="right"/>
    </w:pPr>
    <w:r w:rsidRPr="002A5BF5">
      <w:rPr>
        <w:i/>
        <w:szCs w:val="22"/>
      </w:rPr>
      <w:fldChar w:fldCharType="begin"/>
    </w:r>
    <w:r w:rsidRPr="002A5BF5">
      <w:rPr>
        <w:i/>
        <w:szCs w:val="22"/>
      </w:rPr>
      <w:instrText xml:space="preserve"> STYLEREF ShortT \* </w:instrText>
    </w:r>
    <w:r>
      <w:rPr>
        <w:i/>
        <w:szCs w:val="22"/>
      </w:rPr>
      <w:instrText>CHAR</w:instrText>
    </w:r>
    <w:r w:rsidRPr="002A5BF5">
      <w:rPr>
        <w:i/>
        <w:szCs w:val="22"/>
      </w:rPr>
      <w:instrText xml:space="preserve">FORMAT </w:instrText>
    </w:r>
    <w:r w:rsidRPr="002A5BF5">
      <w:rPr>
        <w:i/>
        <w:szCs w:val="22"/>
      </w:rPr>
      <w:fldChar w:fldCharType="separate"/>
    </w:r>
    <w:r w:rsidR="00A75E51">
      <w:rPr>
        <w:i/>
        <w:noProof/>
        <w:szCs w:val="22"/>
      </w:rPr>
      <w:t>Income Tax Assessment Act 1997</w:t>
    </w:r>
    <w:r w:rsidRPr="002A5BF5">
      <w:rPr>
        <w:i/>
        <w:szCs w:val="22"/>
      </w:rPr>
      <w:fldChar w:fldCharType="end"/>
    </w:r>
    <w:r>
      <w:rPr>
        <w:i/>
        <w:szCs w:val="22"/>
      </w:rPr>
      <w:t xml:space="preserve">                    </w:t>
    </w:r>
    <w:r w:rsidRPr="002A5BF5">
      <w:rPr>
        <w:i/>
      </w:rPr>
      <w:fldChar w:fldCharType="begin"/>
    </w:r>
    <w:r w:rsidRPr="002A5BF5">
      <w:rPr>
        <w:i/>
      </w:rPr>
      <w:instrText xml:space="preserve">PAGE  </w:instrText>
    </w:r>
    <w:r w:rsidRPr="002A5BF5">
      <w:rPr>
        <w:i/>
      </w:rPr>
      <w:fldChar w:fldCharType="separate"/>
    </w:r>
    <w:r w:rsidR="00A75E51">
      <w:rPr>
        <w:i/>
        <w:noProof/>
      </w:rPr>
      <w:t>135</w:t>
    </w:r>
    <w:r w:rsidRPr="002A5BF5">
      <w:rPr>
        <w:i/>
      </w:rPr>
      <w:fldChar w:fldCharType="end"/>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4E8" w:rsidRPr="002A5BF5" w:rsidRDefault="00C664E8">
    <w:pPr>
      <w:pBdr>
        <w:top w:val="single" w:sz="6" w:space="1" w:color="auto"/>
      </w:pBdr>
      <w:rPr>
        <w:sz w:val="18"/>
        <w:szCs w:val="18"/>
      </w:rPr>
    </w:pPr>
  </w:p>
  <w:p w:rsidR="00C664E8" w:rsidRDefault="00C664E8">
    <w:pPr>
      <w:ind w:right="26"/>
      <w:jc w:val="right"/>
    </w:pPr>
    <w:r w:rsidRPr="002A5BF5">
      <w:rPr>
        <w:i/>
        <w:szCs w:val="22"/>
      </w:rPr>
      <w:fldChar w:fldCharType="begin"/>
    </w:r>
    <w:r w:rsidRPr="002A5BF5">
      <w:rPr>
        <w:i/>
        <w:szCs w:val="22"/>
      </w:rPr>
      <w:instrText xml:space="preserve"> STYLEREF ShortT \* </w:instrText>
    </w:r>
    <w:r>
      <w:rPr>
        <w:i/>
        <w:szCs w:val="22"/>
      </w:rPr>
      <w:instrText>CHAR</w:instrText>
    </w:r>
    <w:r w:rsidRPr="002A5BF5">
      <w:rPr>
        <w:i/>
        <w:szCs w:val="22"/>
      </w:rPr>
      <w:instrText xml:space="preserve">FORMAT </w:instrText>
    </w:r>
    <w:r w:rsidRPr="002A5BF5">
      <w:rPr>
        <w:i/>
        <w:szCs w:val="22"/>
      </w:rPr>
      <w:fldChar w:fldCharType="separate"/>
    </w:r>
    <w:r w:rsidR="00623A5C">
      <w:rPr>
        <w:i/>
        <w:noProof/>
        <w:szCs w:val="22"/>
      </w:rPr>
      <w:t>Income Tax Assessment Act 1997</w:t>
    </w:r>
    <w:r w:rsidRPr="002A5BF5">
      <w:rPr>
        <w:i/>
        <w:szCs w:val="22"/>
      </w:rPr>
      <w:fldChar w:fldCharType="end"/>
    </w:r>
    <w:r>
      <w:rPr>
        <w:i/>
        <w:szCs w:val="22"/>
      </w:rPr>
      <w:t xml:space="preserve">                    </w:t>
    </w:r>
    <w:r w:rsidRPr="002A5BF5">
      <w:rPr>
        <w:i/>
      </w:rPr>
      <w:fldChar w:fldCharType="begin"/>
    </w:r>
    <w:r w:rsidRPr="002A5BF5">
      <w:rPr>
        <w:i/>
      </w:rPr>
      <w:instrText xml:space="preserve">PAGE  </w:instrText>
    </w:r>
    <w:r w:rsidRPr="002A5BF5">
      <w:rPr>
        <w:i/>
      </w:rPr>
      <w:fldChar w:fldCharType="separate"/>
    </w:r>
    <w:r>
      <w:rPr>
        <w:i/>
        <w:noProof/>
      </w:rPr>
      <w:t>467</w:t>
    </w:r>
    <w:r w:rsidRPr="002A5BF5">
      <w:rPr>
        <w:i/>
      </w:rPr>
      <w:fldChar w:fldCharType="end"/>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4E8" w:rsidRDefault="00C664E8" w:rsidP="00887330">
    <w:pPr>
      <w:pStyle w:val="FootnoteText"/>
      <w:ind w:right="360"/>
      <w:rPr>
        <w:position w:val="10"/>
        <w:sz w:val="16"/>
      </w:rPr>
    </w:pPr>
    <w:r>
      <w:rPr>
        <w:position w:val="10"/>
        <w:sz w:val="16"/>
      </w:rPr>
      <w:t>_____________________________________</w:t>
    </w:r>
  </w:p>
  <w:p w:rsidR="00C664E8" w:rsidRDefault="00C664E8" w:rsidP="00887330">
    <w:pPr>
      <w:pStyle w:val="FootnoteText"/>
      <w:spacing w:after="120"/>
      <w:rPr>
        <w:sz w:val="16"/>
      </w:rPr>
    </w:pPr>
    <w:r>
      <w:rPr>
        <w:position w:val="8"/>
      </w:rPr>
      <w:t>*</w:t>
    </w:r>
    <w:r>
      <w:t>To find definitions of asterisked terms, see the Dictionary, starting at section 995-1.</w:t>
    </w:r>
  </w:p>
  <w:p w:rsidR="00C664E8" w:rsidRPr="002A5BF5" w:rsidRDefault="00C664E8">
    <w:pPr>
      <w:pBdr>
        <w:top w:val="single" w:sz="6" w:space="1" w:color="auto"/>
      </w:pBdr>
      <w:rPr>
        <w:sz w:val="18"/>
        <w:szCs w:val="18"/>
      </w:rPr>
    </w:pPr>
  </w:p>
  <w:p w:rsidR="00C664E8" w:rsidRPr="002A5BF5" w:rsidRDefault="00C664E8">
    <w:pPr>
      <w:rPr>
        <w:i/>
        <w:szCs w:val="22"/>
      </w:rPr>
    </w:pPr>
    <w:r w:rsidRPr="002A5BF5">
      <w:rPr>
        <w:i/>
      </w:rPr>
      <w:fldChar w:fldCharType="begin"/>
    </w:r>
    <w:r w:rsidRPr="002A5BF5">
      <w:rPr>
        <w:i/>
      </w:rPr>
      <w:instrText xml:space="preserve">PAGE  </w:instrText>
    </w:r>
    <w:r w:rsidRPr="002A5BF5">
      <w:rPr>
        <w:i/>
      </w:rPr>
      <w:fldChar w:fldCharType="separate"/>
    </w:r>
    <w:r w:rsidR="00A75E51">
      <w:rPr>
        <w:i/>
        <w:noProof/>
      </w:rPr>
      <w:t>610</w:t>
    </w:r>
    <w:r w:rsidRPr="002A5BF5">
      <w:rPr>
        <w:i/>
      </w:rPr>
      <w:fldChar w:fldCharType="end"/>
    </w:r>
    <w:r>
      <w:rPr>
        <w:i/>
      </w:rPr>
      <w:t xml:space="preserve">            </w:t>
    </w:r>
    <w:r w:rsidRPr="002A5BF5">
      <w:rPr>
        <w:i/>
        <w:szCs w:val="22"/>
      </w:rPr>
      <w:fldChar w:fldCharType="begin"/>
    </w:r>
    <w:r w:rsidRPr="002A5BF5">
      <w:rPr>
        <w:i/>
        <w:szCs w:val="22"/>
      </w:rPr>
      <w:instrText xml:space="preserve"> STYLEREF ShortT \* </w:instrText>
    </w:r>
    <w:r>
      <w:rPr>
        <w:i/>
        <w:szCs w:val="22"/>
      </w:rPr>
      <w:instrText>CHAR</w:instrText>
    </w:r>
    <w:r w:rsidRPr="002A5BF5">
      <w:rPr>
        <w:i/>
        <w:szCs w:val="22"/>
      </w:rPr>
      <w:instrText xml:space="preserve">FORMAT </w:instrText>
    </w:r>
    <w:r w:rsidRPr="002A5BF5">
      <w:rPr>
        <w:i/>
        <w:szCs w:val="22"/>
      </w:rPr>
      <w:fldChar w:fldCharType="separate"/>
    </w:r>
    <w:r w:rsidR="00A75E51">
      <w:rPr>
        <w:i/>
        <w:noProof/>
        <w:szCs w:val="22"/>
      </w:rPr>
      <w:t>Income Tax Assessment Act 1997</w:t>
    </w:r>
    <w:r w:rsidRPr="002A5BF5">
      <w:rPr>
        <w:i/>
        <w:szCs w:val="22"/>
      </w:rPr>
      <w:fldChar w:fldCharType="end"/>
    </w:r>
    <w:r>
      <w:rPr>
        <w:i/>
        <w:szCs w:val="22"/>
      </w:rPr>
      <w:t xml:space="preserve">       </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4E8" w:rsidRDefault="00C664E8" w:rsidP="00887330">
    <w:pPr>
      <w:pStyle w:val="FootnoteText"/>
      <w:ind w:right="360"/>
      <w:rPr>
        <w:position w:val="10"/>
        <w:sz w:val="16"/>
      </w:rPr>
    </w:pPr>
    <w:r>
      <w:rPr>
        <w:position w:val="10"/>
        <w:sz w:val="16"/>
      </w:rPr>
      <w:t>_____________________________________</w:t>
    </w:r>
  </w:p>
  <w:p w:rsidR="00C664E8" w:rsidRDefault="00C664E8" w:rsidP="00887330">
    <w:pPr>
      <w:pStyle w:val="FootnoteText"/>
      <w:spacing w:after="120"/>
      <w:rPr>
        <w:sz w:val="16"/>
      </w:rPr>
    </w:pPr>
    <w:r>
      <w:rPr>
        <w:position w:val="8"/>
      </w:rPr>
      <w:t>*</w:t>
    </w:r>
    <w:r>
      <w:t>To find definitions of asterisked terms, see the Dictionary, starting at section 995-1.</w:t>
    </w:r>
  </w:p>
  <w:p w:rsidR="00C664E8" w:rsidRPr="002A5BF5" w:rsidRDefault="00C664E8">
    <w:pPr>
      <w:pBdr>
        <w:top w:val="single" w:sz="6" w:space="1" w:color="auto"/>
      </w:pBdr>
      <w:rPr>
        <w:sz w:val="18"/>
        <w:szCs w:val="18"/>
      </w:rPr>
    </w:pPr>
  </w:p>
  <w:p w:rsidR="00C664E8" w:rsidRDefault="00C664E8">
    <w:pPr>
      <w:ind w:right="26"/>
      <w:jc w:val="right"/>
    </w:pPr>
    <w:r w:rsidRPr="002A5BF5">
      <w:rPr>
        <w:i/>
        <w:szCs w:val="22"/>
      </w:rPr>
      <w:fldChar w:fldCharType="begin"/>
    </w:r>
    <w:r w:rsidRPr="002A5BF5">
      <w:rPr>
        <w:i/>
        <w:szCs w:val="22"/>
      </w:rPr>
      <w:instrText xml:space="preserve"> STYLEREF ShortT \* </w:instrText>
    </w:r>
    <w:r>
      <w:rPr>
        <w:i/>
        <w:szCs w:val="22"/>
      </w:rPr>
      <w:instrText>CHAR</w:instrText>
    </w:r>
    <w:r w:rsidRPr="002A5BF5">
      <w:rPr>
        <w:i/>
        <w:szCs w:val="22"/>
      </w:rPr>
      <w:instrText xml:space="preserve">FORMAT </w:instrText>
    </w:r>
    <w:r w:rsidRPr="002A5BF5">
      <w:rPr>
        <w:i/>
        <w:szCs w:val="22"/>
      </w:rPr>
      <w:fldChar w:fldCharType="separate"/>
    </w:r>
    <w:r w:rsidR="00A75E51">
      <w:rPr>
        <w:i/>
        <w:noProof/>
        <w:szCs w:val="22"/>
      </w:rPr>
      <w:t>Income Tax Assessment Act 1997</w:t>
    </w:r>
    <w:r w:rsidRPr="002A5BF5">
      <w:rPr>
        <w:i/>
        <w:szCs w:val="22"/>
      </w:rPr>
      <w:fldChar w:fldCharType="end"/>
    </w:r>
    <w:r>
      <w:rPr>
        <w:i/>
        <w:szCs w:val="22"/>
      </w:rPr>
      <w:t xml:space="preserve">                    </w:t>
    </w:r>
    <w:r w:rsidRPr="002A5BF5">
      <w:rPr>
        <w:i/>
      </w:rPr>
      <w:fldChar w:fldCharType="begin"/>
    </w:r>
    <w:r w:rsidRPr="002A5BF5">
      <w:rPr>
        <w:i/>
      </w:rPr>
      <w:instrText xml:space="preserve">PAGE  </w:instrText>
    </w:r>
    <w:r w:rsidRPr="002A5BF5">
      <w:rPr>
        <w:i/>
      </w:rPr>
      <w:fldChar w:fldCharType="separate"/>
    </w:r>
    <w:r w:rsidR="00A75E51">
      <w:rPr>
        <w:i/>
        <w:noProof/>
      </w:rPr>
      <w:t>623</w:t>
    </w:r>
    <w:r w:rsidRPr="002A5BF5">
      <w:rPr>
        <w:i/>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4E8" w:rsidRPr="002A5BF5" w:rsidRDefault="00C664E8">
    <w:pPr>
      <w:pBdr>
        <w:top w:val="single" w:sz="6" w:space="1" w:color="auto"/>
      </w:pBdr>
      <w:rPr>
        <w:sz w:val="18"/>
        <w:szCs w:val="18"/>
      </w:rPr>
    </w:pPr>
  </w:p>
  <w:p w:rsidR="00C664E8" w:rsidRDefault="00C664E8">
    <w:pPr>
      <w:ind w:right="26"/>
      <w:jc w:val="right"/>
    </w:pPr>
    <w:r w:rsidRPr="002A5BF5">
      <w:rPr>
        <w:i/>
        <w:szCs w:val="22"/>
      </w:rPr>
      <w:fldChar w:fldCharType="begin"/>
    </w:r>
    <w:r w:rsidRPr="002A5BF5">
      <w:rPr>
        <w:i/>
        <w:szCs w:val="22"/>
      </w:rPr>
      <w:instrText xml:space="preserve"> STYLEREF ShortT \* </w:instrText>
    </w:r>
    <w:r>
      <w:rPr>
        <w:i/>
        <w:szCs w:val="22"/>
      </w:rPr>
      <w:instrText>CHAR</w:instrText>
    </w:r>
    <w:r w:rsidRPr="002A5BF5">
      <w:rPr>
        <w:i/>
        <w:szCs w:val="22"/>
      </w:rPr>
      <w:instrText xml:space="preserve">FORMAT </w:instrText>
    </w:r>
    <w:r w:rsidRPr="002A5BF5">
      <w:rPr>
        <w:i/>
        <w:szCs w:val="22"/>
      </w:rPr>
      <w:fldChar w:fldCharType="separate"/>
    </w:r>
    <w:r w:rsidR="00623A5C">
      <w:rPr>
        <w:i/>
        <w:noProof/>
        <w:szCs w:val="22"/>
      </w:rPr>
      <w:t>Income Tax Assessment Act 1997</w:t>
    </w:r>
    <w:r w:rsidRPr="002A5BF5">
      <w:rPr>
        <w:i/>
        <w:szCs w:val="22"/>
      </w:rPr>
      <w:fldChar w:fldCharType="end"/>
    </w:r>
    <w:r>
      <w:rPr>
        <w:i/>
        <w:szCs w:val="22"/>
      </w:rPr>
      <w:t xml:space="preserve">                    </w:t>
    </w:r>
    <w:r w:rsidRPr="002A5BF5">
      <w:rPr>
        <w:i/>
      </w:rPr>
      <w:fldChar w:fldCharType="begin"/>
    </w:r>
    <w:r w:rsidRPr="002A5BF5">
      <w:rPr>
        <w:i/>
      </w:rPr>
      <w:instrText xml:space="preserve">PAGE  </w:instrText>
    </w:r>
    <w:r w:rsidRPr="002A5BF5">
      <w:rPr>
        <w:i/>
      </w:rPr>
      <w:fldChar w:fldCharType="separate"/>
    </w:r>
    <w:r>
      <w:rPr>
        <w:i/>
        <w:noProof/>
      </w:rPr>
      <w:t>lxv</w:t>
    </w:r>
    <w:r w:rsidRPr="002A5BF5">
      <w:rPr>
        <w:i/>
      </w:rPr>
      <w:fldChar w:fldCharType="end"/>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4E8" w:rsidRPr="002A5BF5" w:rsidRDefault="00C664E8">
    <w:pPr>
      <w:pBdr>
        <w:top w:val="single" w:sz="6" w:space="1" w:color="auto"/>
      </w:pBdr>
      <w:rPr>
        <w:sz w:val="18"/>
        <w:szCs w:val="18"/>
      </w:rPr>
    </w:pPr>
  </w:p>
  <w:p w:rsidR="00C664E8" w:rsidRDefault="00C664E8">
    <w:pPr>
      <w:ind w:right="26"/>
      <w:jc w:val="right"/>
    </w:pPr>
    <w:r w:rsidRPr="002A5BF5">
      <w:rPr>
        <w:i/>
        <w:szCs w:val="22"/>
      </w:rPr>
      <w:fldChar w:fldCharType="begin"/>
    </w:r>
    <w:r w:rsidRPr="002A5BF5">
      <w:rPr>
        <w:i/>
        <w:szCs w:val="22"/>
      </w:rPr>
      <w:instrText xml:space="preserve"> STYLEREF ShortT \* </w:instrText>
    </w:r>
    <w:r>
      <w:rPr>
        <w:i/>
        <w:szCs w:val="22"/>
      </w:rPr>
      <w:instrText>CHAR</w:instrText>
    </w:r>
    <w:r w:rsidRPr="002A5BF5">
      <w:rPr>
        <w:i/>
        <w:szCs w:val="22"/>
      </w:rPr>
      <w:instrText xml:space="preserve">FORMAT </w:instrText>
    </w:r>
    <w:r w:rsidRPr="002A5BF5">
      <w:rPr>
        <w:i/>
        <w:szCs w:val="22"/>
      </w:rPr>
      <w:fldChar w:fldCharType="separate"/>
    </w:r>
    <w:r w:rsidR="00623A5C">
      <w:rPr>
        <w:i/>
        <w:noProof/>
        <w:szCs w:val="22"/>
      </w:rPr>
      <w:t>Income Tax Assessment Act 1997</w:t>
    </w:r>
    <w:r w:rsidRPr="002A5BF5">
      <w:rPr>
        <w:i/>
        <w:szCs w:val="22"/>
      </w:rPr>
      <w:fldChar w:fldCharType="end"/>
    </w:r>
    <w:r>
      <w:rPr>
        <w:i/>
        <w:szCs w:val="22"/>
      </w:rPr>
      <w:t xml:space="preserve">                    </w:t>
    </w:r>
    <w:r w:rsidRPr="002A5BF5">
      <w:rPr>
        <w:i/>
      </w:rPr>
      <w:fldChar w:fldCharType="begin"/>
    </w:r>
    <w:r w:rsidRPr="002A5BF5">
      <w:rPr>
        <w:i/>
      </w:rPr>
      <w:instrText xml:space="preserve">PAGE  </w:instrText>
    </w:r>
    <w:r w:rsidRPr="002A5BF5">
      <w:rPr>
        <w:i/>
      </w:rPr>
      <w:fldChar w:fldCharType="separate"/>
    </w:r>
    <w:r>
      <w:rPr>
        <w:i/>
        <w:noProof/>
      </w:rPr>
      <w:t>467</w:t>
    </w:r>
    <w:r w:rsidRPr="002A5BF5">
      <w:rPr>
        <w:i/>
      </w:rPr>
      <w:fldChar w:fldCharType="end"/>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4E8" w:rsidRPr="002A5BF5" w:rsidRDefault="00C664E8" w:rsidP="00887330">
    <w:pPr>
      <w:pBdr>
        <w:top w:val="single" w:sz="6" w:space="1" w:color="auto"/>
      </w:pBdr>
      <w:rPr>
        <w:sz w:val="18"/>
        <w:szCs w:val="18"/>
      </w:rPr>
    </w:pPr>
  </w:p>
  <w:p w:rsidR="00C664E8" w:rsidRDefault="00C664E8" w:rsidP="00887330">
    <w:pPr>
      <w:pStyle w:val="Footer"/>
    </w:pPr>
    <w:r w:rsidRPr="002A5BF5">
      <w:rPr>
        <w:i/>
      </w:rPr>
      <w:fldChar w:fldCharType="begin"/>
    </w:r>
    <w:r w:rsidRPr="002A5BF5">
      <w:rPr>
        <w:i/>
      </w:rPr>
      <w:instrText xml:space="preserve">PAGE  </w:instrText>
    </w:r>
    <w:r w:rsidRPr="002A5BF5">
      <w:rPr>
        <w:i/>
      </w:rPr>
      <w:fldChar w:fldCharType="separate"/>
    </w:r>
    <w:r>
      <w:rPr>
        <w:i/>
        <w:noProof/>
      </w:rPr>
      <w:t>467</w:t>
    </w:r>
    <w:r w:rsidRPr="002A5BF5">
      <w:rPr>
        <w:i/>
      </w:rPr>
      <w:fldChar w:fldCharType="end"/>
    </w:r>
    <w:r>
      <w:rPr>
        <w:i/>
      </w:rPr>
      <w:t xml:space="preserve">            </w:t>
    </w:r>
    <w:r w:rsidRPr="002A5BF5">
      <w:rPr>
        <w:i/>
        <w:szCs w:val="22"/>
      </w:rPr>
      <w:fldChar w:fldCharType="begin"/>
    </w:r>
    <w:r w:rsidRPr="002A5BF5">
      <w:rPr>
        <w:i/>
        <w:szCs w:val="22"/>
      </w:rPr>
      <w:instrText xml:space="preserve"> STYLEREF ShortT \* </w:instrText>
    </w:r>
    <w:r>
      <w:rPr>
        <w:i/>
        <w:szCs w:val="22"/>
      </w:rPr>
      <w:instrText>CHAR</w:instrText>
    </w:r>
    <w:r w:rsidRPr="002A5BF5">
      <w:rPr>
        <w:i/>
        <w:szCs w:val="22"/>
      </w:rPr>
      <w:instrText xml:space="preserve">FORMAT </w:instrText>
    </w:r>
    <w:r w:rsidRPr="002A5BF5">
      <w:rPr>
        <w:i/>
        <w:szCs w:val="22"/>
      </w:rPr>
      <w:fldChar w:fldCharType="separate"/>
    </w:r>
    <w:r w:rsidR="00623A5C">
      <w:rPr>
        <w:i/>
        <w:noProof/>
        <w:szCs w:val="22"/>
      </w:rPr>
      <w:t>Income Tax Assessment Act 1997</w:t>
    </w:r>
    <w:r w:rsidRPr="002A5BF5">
      <w:rPr>
        <w:i/>
        <w:szCs w:val="22"/>
      </w:rPr>
      <w:fldChar w:fldCharType="end"/>
    </w:r>
    <w:r>
      <w:rPr>
        <w:i/>
        <w:szCs w:val="22"/>
      </w:rPr>
      <w:t xml:space="preserve">       </w: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4E8" w:rsidRPr="002A5BF5" w:rsidRDefault="00C664E8">
    <w:pPr>
      <w:pBdr>
        <w:top w:val="single" w:sz="6" w:space="1" w:color="auto"/>
      </w:pBdr>
      <w:rPr>
        <w:sz w:val="18"/>
        <w:szCs w:val="18"/>
      </w:rPr>
    </w:pPr>
  </w:p>
  <w:p w:rsidR="00C664E8" w:rsidRDefault="00C664E8">
    <w:pPr>
      <w:ind w:right="26"/>
      <w:jc w:val="right"/>
    </w:pPr>
    <w:r w:rsidRPr="002A5BF5">
      <w:rPr>
        <w:i/>
        <w:szCs w:val="22"/>
      </w:rPr>
      <w:fldChar w:fldCharType="begin"/>
    </w:r>
    <w:r w:rsidRPr="002A5BF5">
      <w:rPr>
        <w:i/>
        <w:szCs w:val="22"/>
      </w:rPr>
      <w:instrText xml:space="preserve"> STYLEREF ShortT \* </w:instrText>
    </w:r>
    <w:r>
      <w:rPr>
        <w:i/>
        <w:szCs w:val="22"/>
      </w:rPr>
      <w:instrText>CHAR</w:instrText>
    </w:r>
    <w:r w:rsidRPr="002A5BF5">
      <w:rPr>
        <w:i/>
        <w:szCs w:val="22"/>
      </w:rPr>
      <w:instrText xml:space="preserve">FORMAT </w:instrText>
    </w:r>
    <w:r w:rsidRPr="002A5BF5">
      <w:rPr>
        <w:i/>
        <w:szCs w:val="22"/>
      </w:rPr>
      <w:fldChar w:fldCharType="separate"/>
    </w:r>
    <w:r w:rsidR="00623A5C">
      <w:rPr>
        <w:i/>
        <w:noProof/>
        <w:szCs w:val="22"/>
      </w:rPr>
      <w:t>Income Tax Assessment Act 1997</w:t>
    </w:r>
    <w:r w:rsidRPr="002A5BF5">
      <w:rPr>
        <w:i/>
        <w:szCs w:val="22"/>
      </w:rPr>
      <w:fldChar w:fldCharType="end"/>
    </w:r>
    <w:r>
      <w:rPr>
        <w:i/>
        <w:szCs w:val="22"/>
      </w:rPr>
      <w:t xml:space="preserve">                    </w:t>
    </w:r>
    <w:r w:rsidRPr="002A5BF5">
      <w:rPr>
        <w:i/>
      </w:rPr>
      <w:fldChar w:fldCharType="begin"/>
    </w:r>
    <w:r w:rsidRPr="002A5BF5">
      <w:rPr>
        <w:i/>
      </w:rPr>
      <w:instrText xml:space="preserve">PAGE  </w:instrText>
    </w:r>
    <w:r w:rsidRPr="002A5BF5">
      <w:rPr>
        <w:i/>
      </w:rPr>
      <w:fldChar w:fldCharType="separate"/>
    </w:r>
    <w:r>
      <w:rPr>
        <w:i/>
        <w:noProof/>
      </w:rPr>
      <w:t>467</w:t>
    </w:r>
    <w:r w:rsidRPr="002A5BF5">
      <w:rPr>
        <w:i/>
      </w:rPr>
      <w:fldChar w:fldCharType="end"/>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4E8" w:rsidRDefault="00C664E8">
    <w:pPr>
      <w:pBdr>
        <w:top w:val="single" w:sz="6" w:space="1" w:color="auto"/>
      </w:pBdr>
      <w:rPr>
        <w:sz w:val="18"/>
      </w:rPr>
    </w:pPr>
  </w:p>
  <w:p w:rsidR="00C664E8" w:rsidRDefault="00C664E8">
    <w:pPr>
      <w:jc w:val="right"/>
      <w:rPr>
        <w:i/>
        <w:sz w:val="18"/>
      </w:rPr>
    </w:pPr>
    <w:r>
      <w:rPr>
        <w:i/>
        <w:sz w:val="18"/>
      </w:rPr>
      <w:fldChar w:fldCharType="begin"/>
    </w:r>
    <w:r>
      <w:rPr>
        <w:i/>
        <w:sz w:val="18"/>
      </w:rPr>
      <w:instrText xml:space="preserve"> STYLEREF ShortT </w:instrText>
    </w:r>
    <w:r>
      <w:rPr>
        <w:i/>
        <w:sz w:val="18"/>
      </w:rPr>
      <w:fldChar w:fldCharType="separate"/>
    </w:r>
    <w:r w:rsidR="00623A5C">
      <w:rPr>
        <w:i/>
        <w:noProof/>
        <w:sz w:val="18"/>
      </w:rPr>
      <w:t>Income Tax Assessment Act 1997</w:t>
    </w:r>
    <w:r>
      <w:rPr>
        <w:i/>
        <w:sz w:val="18"/>
      </w:rPr>
      <w:fldChar w:fldCharType="end"/>
    </w:r>
    <w:r>
      <w:rPr>
        <w:i/>
        <w:sz w:val="18"/>
      </w:rPr>
      <w:t xml:space="preserve">       </w:t>
    </w:r>
    <w:r>
      <w:rPr>
        <w:i/>
        <w:sz w:val="18"/>
      </w:rPr>
      <w:fldChar w:fldCharType="begin"/>
    </w:r>
    <w:r>
      <w:rPr>
        <w:i/>
        <w:sz w:val="18"/>
      </w:rPr>
      <w:instrText xml:space="preserve"> STYLEREF Actno </w:instrText>
    </w:r>
    <w:r>
      <w:rPr>
        <w:i/>
        <w:sz w:val="18"/>
      </w:rPr>
      <w:fldChar w:fldCharType="separate"/>
    </w:r>
    <w:r w:rsidR="00623A5C">
      <w:rPr>
        <w:i/>
        <w:noProof/>
        <w:sz w:val="18"/>
      </w:rPr>
      <w:t>Act No. 38 of 1997 as amended</w:t>
    </w:r>
    <w:r>
      <w:rPr>
        <w:i/>
        <w:sz w:val="18"/>
      </w:rPr>
      <w:fldChar w:fldCharType="end"/>
    </w:r>
    <w:r>
      <w:rPr>
        <w:i/>
        <w:sz w:val="18"/>
      </w:rPr>
      <w:t xml:space="preserve">       </w:t>
    </w:r>
    <w:r>
      <w:rPr>
        <w:i/>
        <w:sz w:val="18"/>
      </w:rPr>
      <w:fldChar w:fldCharType="begin"/>
    </w:r>
    <w:r>
      <w:rPr>
        <w:i/>
        <w:sz w:val="18"/>
      </w:rPr>
      <w:instrText xml:space="preserve"> PAGE </w:instrText>
    </w:r>
    <w:r>
      <w:rPr>
        <w:i/>
        <w:sz w:val="18"/>
      </w:rPr>
      <w:fldChar w:fldCharType="separate"/>
    </w:r>
    <w:r>
      <w:rPr>
        <w:i/>
        <w:noProof/>
        <w:sz w:val="18"/>
      </w:rPr>
      <w:t>467</w:t>
    </w:r>
    <w:r>
      <w:rPr>
        <w:i/>
        <w:sz w:val="18"/>
      </w:rPr>
      <w:fldChar w:fldCharType="end"/>
    </w:r>
  </w:p>
  <w:p w:rsidR="00C664E8" w:rsidRDefault="00C664E8">
    <w:pPr>
      <w:rPr>
        <w:i/>
        <w:sz w:val="18"/>
      </w:rPr>
    </w:pPr>
    <w:r>
      <w:rPr>
        <w:i/>
        <w:sz w:val="1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5EE" w:rsidRDefault="009275E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4E8" w:rsidRPr="002A5BF5" w:rsidRDefault="00C664E8">
    <w:pPr>
      <w:pBdr>
        <w:top w:val="single" w:sz="6" w:space="1" w:color="auto"/>
      </w:pBdr>
      <w:rPr>
        <w:sz w:val="18"/>
        <w:szCs w:val="18"/>
      </w:rPr>
    </w:pPr>
  </w:p>
  <w:p w:rsidR="00C664E8" w:rsidRDefault="00C664E8">
    <w:pPr>
      <w:ind w:right="26"/>
      <w:jc w:val="right"/>
    </w:pPr>
    <w:r w:rsidRPr="002A5BF5">
      <w:rPr>
        <w:i/>
        <w:szCs w:val="22"/>
      </w:rPr>
      <w:fldChar w:fldCharType="begin"/>
    </w:r>
    <w:r w:rsidRPr="002A5BF5">
      <w:rPr>
        <w:i/>
        <w:szCs w:val="22"/>
      </w:rPr>
      <w:instrText xml:space="preserve"> STYLEREF ShortT \* </w:instrText>
    </w:r>
    <w:r>
      <w:rPr>
        <w:i/>
        <w:szCs w:val="22"/>
      </w:rPr>
      <w:instrText>CHAR</w:instrText>
    </w:r>
    <w:r w:rsidRPr="002A5BF5">
      <w:rPr>
        <w:i/>
        <w:szCs w:val="22"/>
      </w:rPr>
      <w:instrText xml:space="preserve">FORMAT </w:instrText>
    </w:r>
    <w:r w:rsidRPr="002A5BF5">
      <w:rPr>
        <w:i/>
        <w:szCs w:val="22"/>
      </w:rPr>
      <w:fldChar w:fldCharType="separate"/>
    </w:r>
    <w:r w:rsidR="00A75E51">
      <w:rPr>
        <w:i/>
        <w:noProof/>
        <w:szCs w:val="22"/>
      </w:rPr>
      <w:t>Income Tax Assessment Act 1997</w:t>
    </w:r>
    <w:r w:rsidRPr="002A5BF5">
      <w:rPr>
        <w:i/>
        <w:szCs w:val="22"/>
      </w:rPr>
      <w:fldChar w:fldCharType="end"/>
    </w:r>
    <w:r>
      <w:rPr>
        <w:i/>
        <w:szCs w:val="22"/>
      </w:rPr>
      <w:t xml:space="preserve">                    </w:t>
    </w:r>
    <w:r w:rsidRPr="002A5BF5">
      <w:rPr>
        <w:i/>
      </w:rPr>
      <w:fldChar w:fldCharType="begin"/>
    </w:r>
    <w:r w:rsidRPr="002A5BF5">
      <w:rPr>
        <w:i/>
      </w:rPr>
      <w:instrText xml:space="preserve">PAGE  </w:instrText>
    </w:r>
    <w:r w:rsidRPr="002A5BF5">
      <w:rPr>
        <w:i/>
      </w:rPr>
      <w:fldChar w:fldCharType="separate"/>
    </w:r>
    <w:r w:rsidR="00A75E51">
      <w:rPr>
        <w:i/>
        <w:noProof/>
      </w:rPr>
      <w:t>xxi</w:t>
    </w:r>
    <w:r w:rsidRPr="002A5BF5">
      <w:rPr>
        <w:i/>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4E8" w:rsidRDefault="00C664E8">
    <w:pPr>
      <w:pBdr>
        <w:top w:val="single" w:sz="6" w:space="1" w:color="auto"/>
      </w:pBdr>
      <w:rPr>
        <w:sz w:val="18"/>
      </w:rPr>
    </w:pPr>
  </w:p>
  <w:p w:rsidR="00C664E8" w:rsidRDefault="00C664E8">
    <w:pPr>
      <w:jc w:val="right"/>
      <w:rPr>
        <w:i/>
        <w:sz w:val="18"/>
      </w:rPr>
    </w:pPr>
    <w:r>
      <w:rPr>
        <w:i/>
        <w:sz w:val="18"/>
      </w:rPr>
      <w:fldChar w:fldCharType="begin"/>
    </w:r>
    <w:r>
      <w:rPr>
        <w:i/>
        <w:sz w:val="18"/>
      </w:rPr>
      <w:instrText xml:space="preserve"> STYLEREF ShortT </w:instrText>
    </w:r>
    <w:r>
      <w:rPr>
        <w:i/>
        <w:sz w:val="18"/>
      </w:rPr>
      <w:fldChar w:fldCharType="separate"/>
    </w:r>
    <w:r w:rsidR="00623A5C">
      <w:rPr>
        <w:i/>
        <w:noProof/>
        <w:sz w:val="18"/>
      </w:rPr>
      <w:t>Income Tax Assessment Act 1997</w:t>
    </w:r>
    <w:r>
      <w:rPr>
        <w:i/>
        <w:sz w:val="18"/>
      </w:rPr>
      <w:fldChar w:fldCharType="end"/>
    </w:r>
    <w:r>
      <w:rPr>
        <w:i/>
        <w:sz w:val="18"/>
      </w:rPr>
      <w:t xml:space="preserve">       </w:t>
    </w:r>
    <w:r>
      <w:rPr>
        <w:i/>
        <w:sz w:val="18"/>
      </w:rPr>
      <w:fldChar w:fldCharType="begin"/>
    </w:r>
    <w:r>
      <w:rPr>
        <w:i/>
        <w:sz w:val="18"/>
      </w:rPr>
      <w:instrText xml:space="preserve"> STYLEREF Actno </w:instrText>
    </w:r>
    <w:r>
      <w:rPr>
        <w:i/>
        <w:sz w:val="18"/>
      </w:rPr>
      <w:fldChar w:fldCharType="separate"/>
    </w:r>
    <w:r w:rsidR="00623A5C">
      <w:rPr>
        <w:i/>
        <w:noProof/>
        <w:sz w:val="18"/>
      </w:rPr>
      <w:t>Act No. 38 of 1997 as amended</w:t>
    </w:r>
    <w:r>
      <w:rPr>
        <w:i/>
        <w:sz w:val="18"/>
      </w:rPr>
      <w:fldChar w:fldCharType="end"/>
    </w:r>
    <w:r>
      <w:rPr>
        <w:i/>
        <w:sz w:val="18"/>
      </w:rPr>
      <w:t xml:space="preserve">       </w:t>
    </w:r>
    <w:r>
      <w:rPr>
        <w:i/>
        <w:sz w:val="18"/>
      </w:rPr>
      <w:fldChar w:fldCharType="begin"/>
    </w:r>
    <w:r>
      <w:rPr>
        <w:i/>
        <w:sz w:val="18"/>
      </w:rPr>
      <w:instrText xml:space="preserve"> PAGE </w:instrText>
    </w:r>
    <w:r>
      <w:rPr>
        <w:i/>
        <w:sz w:val="18"/>
      </w:rPr>
      <w:fldChar w:fldCharType="separate"/>
    </w:r>
    <w:r>
      <w:rPr>
        <w:i/>
        <w:sz w:val="18"/>
      </w:rPr>
      <w:t>xl</w:t>
    </w:r>
    <w:r>
      <w:rPr>
        <w:i/>
        <w:sz w:val="18"/>
      </w:rPr>
      <w:fldChar w:fldCharType="end"/>
    </w:r>
  </w:p>
  <w:p w:rsidR="00C664E8" w:rsidRDefault="00C664E8">
    <w:pPr>
      <w:rPr>
        <w:i/>
        <w:sz w:val="18"/>
      </w:rPr>
    </w:pPr>
    <w:r>
      <w:rPr>
        <w:i/>
        <w:sz w:val="18"/>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4E8" w:rsidRDefault="00C664E8" w:rsidP="00CF6132">
    <w:pPr>
      <w:pStyle w:val="FootnoteText"/>
      <w:ind w:right="360"/>
      <w:rPr>
        <w:position w:val="10"/>
        <w:sz w:val="16"/>
      </w:rPr>
    </w:pPr>
    <w:r>
      <w:rPr>
        <w:position w:val="10"/>
        <w:sz w:val="16"/>
      </w:rPr>
      <w:t>_____________________________________</w:t>
    </w:r>
  </w:p>
  <w:p w:rsidR="00C664E8" w:rsidRDefault="00C664E8" w:rsidP="00CF6132">
    <w:pPr>
      <w:pStyle w:val="FootnoteText"/>
      <w:spacing w:after="120"/>
      <w:rPr>
        <w:sz w:val="16"/>
      </w:rPr>
    </w:pPr>
    <w:r>
      <w:rPr>
        <w:position w:val="8"/>
      </w:rPr>
      <w:t>*</w:t>
    </w:r>
    <w:r>
      <w:t>To find definitions of asterisked terms, see the Dictionary, starting at section 995-1.</w:t>
    </w:r>
  </w:p>
  <w:p w:rsidR="00C664E8" w:rsidRPr="002A5BF5" w:rsidRDefault="00C664E8">
    <w:pPr>
      <w:pBdr>
        <w:top w:val="single" w:sz="6" w:space="1" w:color="auto"/>
      </w:pBdr>
      <w:rPr>
        <w:sz w:val="18"/>
        <w:szCs w:val="18"/>
      </w:rPr>
    </w:pPr>
  </w:p>
  <w:p w:rsidR="00C664E8" w:rsidRPr="002A5BF5" w:rsidRDefault="00C664E8">
    <w:pPr>
      <w:rPr>
        <w:i/>
        <w:szCs w:val="22"/>
      </w:rPr>
    </w:pPr>
    <w:r w:rsidRPr="002A5BF5">
      <w:rPr>
        <w:i/>
      </w:rPr>
      <w:fldChar w:fldCharType="begin"/>
    </w:r>
    <w:r w:rsidRPr="002A5BF5">
      <w:rPr>
        <w:i/>
      </w:rPr>
      <w:instrText xml:space="preserve">PAGE  </w:instrText>
    </w:r>
    <w:r w:rsidRPr="002A5BF5">
      <w:rPr>
        <w:i/>
      </w:rPr>
      <w:fldChar w:fldCharType="separate"/>
    </w:r>
    <w:r w:rsidR="00A75E51">
      <w:rPr>
        <w:i/>
        <w:noProof/>
      </w:rPr>
      <w:t>40</w:t>
    </w:r>
    <w:r w:rsidRPr="002A5BF5">
      <w:rPr>
        <w:i/>
      </w:rPr>
      <w:fldChar w:fldCharType="end"/>
    </w:r>
    <w:r>
      <w:rPr>
        <w:i/>
      </w:rPr>
      <w:t xml:space="preserve">            </w:t>
    </w:r>
    <w:r w:rsidRPr="002A5BF5">
      <w:rPr>
        <w:i/>
        <w:szCs w:val="22"/>
      </w:rPr>
      <w:fldChar w:fldCharType="begin"/>
    </w:r>
    <w:r w:rsidRPr="002A5BF5">
      <w:rPr>
        <w:i/>
        <w:szCs w:val="22"/>
      </w:rPr>
      <w:instrText xml:space="preserve"> STYLEREF ShortT \* </w:instrText>
    </w:r>
    <w:r>
      <w:rPr>
        <w:i/>
        <w:szCs w:val="22"/>
      </w:rPr>
      <w:instrText>CHAR</w:instrText>
    </w:r>
    <w:r w:rsidRPr="002A5BF5">
      <w:rPr>
        <w:i/>
        <w:szCs w:val="22"/>
      </w:rPr>
      <w:instrText xml:space="preserve">FORMAT </w:instrText>
    </w:r>
    <w:r w:rsidRPr="002A5BF5">
      <w:rPr>
        <w:i/>
        <w:szCs w:val="22"/>
      </w:rPr>
      <w:fldChar w:fldCharType="separate"/>
    </w:r>
    <w:r w:rsidR="00A75E51">
      <w:rPr>
        <w:i/>
        <w:noProof/>
        <w:szCs w:val="22"/>
      </w:rPr>
      <w:t>Income Tax Assessment Act 1997</w:t>
    </w:r>
    <w:r w:rsidRPr="002A5BF5">
      <w:rPr>
        <w:i/>
        <w:szCs w:val="22"/>
      </w:rPr>
      <w:fldChar w:fldCharType="end"/>
    </w:r>
    <w:r>
      <w:rPr>
        <w:i/>
        <w:szCs w:val="22"/>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4E8" w:rsidRDefault="00C664E8" w:rsidP="00CF6132">
    <w:pPr>
      <w:pStyle w:val="FootnoteText"/>
      <w:ind w:right="360"/>
      <w:rPr>
        <w:position w:val="10"/>
        <w:sz w:val="16"/>
      </w:rPr>
    </w:pPr>
    <w:r>
      <w:rPr>
        <w:position w:val="10"/>
        <w:sz w:val="16"/>
      </w:rPr>
      <w:t>_____________________________________</w:t>
    </w:r>
  </w:p>
  <w:p w:rsidR="00C664E8" w:rsidRDefault="00C664E8" w:rsidP="00CF6132">
    <w:pPr>
      <w:pStyle w:val="FootnoteText"/>
      <w:spacing w:after="120"/>
      <w:rPr>
        <w:sz w:val="16"/>
      </w:rPr>
    </w:pPr>
    <w:r>
      <w:rPr>
        <w:position w:val="8"/>
      </w:rPr>
      <w:t>*</w:t>
    </w:r>
    <w:r>
      <w:t>To find definitions of asterisked terms, see the Dictionary, starting at section 995-1.</w:t>
    </w:r>
  </w:p>
  <w:p w:rsidR="00C664E8" w:rsidRPr="002A5BF5" w:rsidRDefault="00C664E8">
    <w:pPr>
      <w:pBdr>
        <w:top w:val="single" w:sz="6" w:space="1" w:color="auto"/>
      </w:pBdr>
      <w:rPr>
        <w:sz w:val="18"/>
        <w:szCs w:val="18"/>
      </w:rPr>
    </w:pPr>
  </w:p>
  <w:p w:rsidR="00C664E8" w:rsidRDefault="00C664E8">
    <w:pPr>
      <w:ind w:right="26"/>
      <w:jc w:val="right"/>
    </w:pPr>
    <w:r w:rsidRPr="002A5BF5">
      <w:rPr>
        <w:i/>
        <w:szCs w:val="22"/>
      </w:rPr>
      <w:fldChar w:fldCharType="begin"/>
    </w:r>
    <w:r w:rsidRPr="002A5BF5">
      <w:rPr>
        <w:i/>
        <w:szCs w:val="22"/>
      </w:rPr>
      <w:instrText xml:space="preserve"> STYLEREF ShortT \* </w:instrText>
    </w:r>
    <w:r>
      <w:rPr>
        <w:i/>
        <w:szCs w:val="22"/>
      </w:rPr>
      <w:instrText>CHAR</w:instrText>
    </w:r>
    <w:r w:rsidRPr="002A5BF5">
      <w:rPr>
        <w:i/>
        <w:szCs w:val="22"/>
      </w:rPr>
      <w:instrText xml:space="preserve">FORMAT </w:instrText>
    </w:r>
    <w:r w:rsidRPr="002A5BF5">
      <w:rPr>
        <w:i/>
        <w:szCs w:val="22"/>
      </w:rPr>
      <w:fldChar w:fldCharType="separate"/>
    </w:r>
    <w:r w:rsidR="00A75E51">
      <w:rPr>
        <w:i/>
        <w:noProof/>
        <w:szCs w:val="22"/>
      </w:rPr>
      <w:t>Income Tax Assessment Act 1997</w:t>
    </w:r>
    <w:r w:rsidRPr="002A5BF5">
      <w:rPr>
        <w:i/>
        <w:szCs w:val="22"/>
      </w:rPr>
      <w:fldChar w:fldCharType="end"/>
    </w:r>
    <w:r>
      <w:rPr>
        <w:i/>
        <w:szCs w:val="22"/>
      </w:rPr>
      <w:t xml:space="preserve">                    </w:t>
    </w:r>
    <w:r w:rsidRPr="002A5BF5">
      <w:rPr>
        <w:i/>
      </w:rPr>
      <w:fldChar w:fldCharType="begin"/>
    </w:r>
    <w:r w:rsidRPr="002A5BF5">
      <w:rPr>
        <w:i/>
      </w:rPr>
      <w:instrText xml:space="preserve">PAGE  </w:instrText>
    </w:r>
    <w:r w:rsidRPr="002A5BF5">
      <w:rPr>
        <w:i/>
      </w:rPr>
      <w:fldChar w:fldCharType="separate"/>
    </w:r>
    <w:r w:rsidR="00A75E51">
      <w:rPr>
        <w:i/>
        <w:noProof/>
      </w:rPr>
      <w:t>41</w:t>
    </w:r>
    <w:r w:rsidRPr="002A5BF5">
      <w:rPr>
        <w:i/>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4E8" w:rsidRPr="002A5BF5" w:rsidRDefault="00C664E8">
    <w:pPr>
      <w:pBdr>
        <w:top w:val="single" w:sz="6" w:space="1" w:color="auto"/>
      </w:pBdr>
      <w:rPr>
        <w:sz w:val="18"/>
        <w:szCs w:val="18"/>
      </w:rPr>
    </w:pPr>
  </w:p>
  <w:p w:rsidR="00C664E8" w:rsidRDefault="00C664E8">
    <w:pPr>
      <w:ind w:right="26"/>
      <w:jc w:val="right"/>
    </w:pPr>
    <w:r w:rsidRPr="002A5BF5">
      <w:rPr>
        <w:i/>
        <w:szCs w:val="22"/>
      </w:rPr>
      <w:fldChar w:fldCharType="begin"/>
    </w:r>
    <w:r w:rsidRPr="002A5BF5">
      <w:rPr>
        <w:i/>
        <w:szCs w:val="22"/>
      </w:rPr>
      <w:instrText xml:space="preserve"> STYLEREF ShortT \* </w:instrText>
    </w:r>
    <w:r>
      <w:rPr>
        <w:i/>
        <w:szCs w:val="22"/>
      </w:rPr>
      <w:instrText>CHAR</w:instrText>
    </w:r>
    <w:r w:rsidRPr="002A5BF5">
      <w:rPr>
        <w:i/>
        <w:szCs w:val="22"/>
      </w:rPr>
      <w:instrText xml:space="preserve">FORMAT </w:instrText>
    </w:r>
    <w:r w:rsidRPr="002A5BF5">
      <w:rPr>
        <w:i/>
        <w:szCs w:val="22"/>
      </w:rPr>
      <w:fldChar w:fldCharType="separate"/>
    </w:r>
    <w:r w:rsidR="00623A5C">
      <w:rPr>
        <w:i/>
        <w:noProof/>
        <w:szCs w:val="22"/>
      </w:rPr>
      <w:t>Income Tax Assessment Act 1997</w:t>
    </w:r>
    <w:r w:rsidRPr="002A5BF5">
      <w:rPr>
        <w:i/>
        <w:szCs w:val="22"/>
      </w:rPr>
      <w:fldChar w:fldCharType="end"/>
    </w:r>
    <w:r>
      <w:rPr>
        <w:i/>
        <w:szCs w:val="22"/>
      </w:rPr>
      <w:t xml:space="preserve">                    </w:t>
    </w:r>
    <w:r w:rsidRPr="002A5BF5">
      <w:rPr>
        <w:i/>
      </w:rPr>
      <w:fldChar w:fldCharType="begin"/>
    </w:r>
    <w:r w:rsidRPr="002A5BF5">
      <w:rPr>
        <w:i/>
      </w:rPr>
      <w:instrText xml:space="preserve">PAGE  </w:instrText>
    </w:r>
    <w:r w:rsidRPr="002A5BF5">
      <w:rPr>
        <w:i/>
      </w:rPr>
      <w:fldChar w:fldCharType="separate"/>
    </w:r>
    <w:r>
      <w:rPr>
        <w:i/>
        <w:noProof/>
      </w:rPr>
      <w:t>1</w:t>
    </w:r>
    <w:r w:rsidRPr="002A5BF5">
      <w:rPr>
        <w:i/>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4E8" w:rsidRDefault="00C664E8" w:rsidP="00541B97">
    <w:pPr>
      <w:pStyle w:val="FootnoteText"/>
      <w:ind w:right="360"/>
      <w:rPr>
        <w:position w:val="10"/>
        <w:sz w:val="16"/>
      </w:rPr>
    </w:pPr>
    <w:r>
      <w:rPr>
        <w:position w:val="10"/>
        <w:sz w:val="16"/>
      </w:rPr>
      <w:t>_____________________________________</w:t>
    </w:r>
  </w:p>
  <w:p w:rsidR="00C664E8" w:rsidRDefault="00C664E8" w:rsidP="00541B97">
    <w:pPr>
      <w:pStyle w:val="FootnoteText"/>
      <w:spacing w:after="120"/>
      <w:rPr>
        <w:sz w:val="16"/>
      </w:rPr>
    </w:pPr>
    <w:r>
      <w:rPr>
        <w:position w:val="8"/>
      </w:rPr>
      <w:t>*</w:t>
    </w:r>
    <w:r>
      <w:t>To find definitions of asterisked terms, see the Dictionary, starting at section 995-1.</w:t>
    </w:r>
  </w:p>
  <w:p w:rsidR="00C664E8" w:rsidRPr="002A5BF5" w:rsidRDefault="00C664E8">
    <w:pPr>
      <w:pBdr>
        <w:top w:val="single" w:sz="6" w:space="1" w:color="auto"/>
      </w:pBdr>
      <w:rPr>
        <w:sz w:val="18"/>
        <w:szCs w:val="18"/>
      </w:rPr>
    </w:pPr>
  </w:p>
  <w:p w:rsidR="00C664E8" w:rsidRPr="002A5BF5" w:rsidRDefault="00C664E8">
    <w:pPr>
      <w:rPr>
        <w:i/>
        <w:szCs w:val="22"/>
      </w:rPr>
    </w:pPr>
    <w:r w:rsidRPr="002A5BF5">
      <w:rPr>
        <w:i/>
      </w:rPr>
      <w:fldChar w:fldCharType="begin"/>
    </w:r>
    <w:r w:rsidRPr="002A5BF5">
      <w:rPr>
        <w:i/>
      </w:rPr>
      <w:instrText xml:space="preserve">PAGE  </w:instrText>
    </w:r>
    <w:r w:rsidRPr="002A5BF5">
      <w:rPr>
        <w:i/>
      </w:rPr>
      <w:fldChar w:fldCharType="separate"/>
    </w:r>
    <w:r w:rsidR="00A75E51">
      <w:rPr>
        <w:i/>
        <w:noProof/>
      </w:rPr>
      <w:t>42</w:t>
    </w:r>
    <w:r w:rsidRPr="002A5BF5">
      <w:rPr>
        <w:i/>
      </w:rPr>
      <w:fldChar w:fldCharType="end"/>
    </w:r>
    <w:r>
      <w:rPr>
        <w:i/>
      </w:rPr>
      <w:t xml:space="preserve">            </w:t>
    </w:r>
    <w:r w:rsidRPr="002A5BF5">
      <w:rPr>
        <w:i/>
        <w:szCs w:val="22"/>
      </w:rPr>
      <w:fldChar w:fldCharType="begin"/>
    </w:r>
    <w:r w:rsidRPr="002A5BF5">
      <w:rPr>
        <w:i/>
        <w:szCs w:val="22"/>
      </w:rPr>
      <w:instrText xml:space="preserve"> STYLEREF ShortT \* </w:instrText>
    </w:r>
    <w:r>
      <w:rPr>
        <w:i/>
        <w:szCs w:val="22"/>
      </w:rPr>
      <w:instrText>CHAR</w:instrText>
    </w:r>
    <w:r w:rsidRPr="002A5BF5">
      <w:rPr>
        <w:i/>
        <w:szCs w:val="22"/>
      </w:rPr>
      <w:instrText xml:space="preserve">FORMAT </w:instrText>
    </w:r>
    <w:r w:rsidRPr="002A5BF5">
      <w:rPr>
        <w:i/>
        <w:szCs w:val="22"/>
      </w:rPr>
      <w:fldChar w:fldCharType="separate"/>
    </w:r>
    <w:r w:rsidR="00A75E51">
      <w:rPr>
        <w:i/>
        <w:noProof/>
        <w:szCs w:val="22"/>
      </w:rPr>
      <w:t>Income Tax Assessment Act 1997</w:t>
    </w:r>
    <w:r w:rsidRPr="002A5BF5">
      <w:rPr>
        <w:i/>
        <w:szCs w:val="22"/>
      </w:rPr>
      <w:fldChar w:fldCharType="end"/>
    </w:r>
    <w:r>
      <w:rPr>
        <w:i/>
        <w:szCs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6235" w:rsidRDefault="00C36235">
      <w:pPr>
        <w:spacing w:line="240" w:lineRule="auto"/>
      </w:pPr>
      <w:r>
        <w:separator/>
      </w:r>
    </w:p>
  </w:footnote>
  <w:footnote w:type="continuationSeparator" w:id="0">
    <w:p w:rsidR="00C36235" w:rsidRDefault="00C3623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4E8" w:rsidRPr="008C6D62" w:rsidRDefault="00C664E8">
    <w:pPr>
      <w:keepNext/>
      <w:rPr>
        <w:sz w:val="20"/>
        <w:szCs w:val="20"/>
      </w:rPr>
    </w:pPr>
  </w:p>
  <w:p w:rsidR="00C664E8" w:rsidRPr="008C6D62" w:rsidRDefault="00C664E8">
    <w:pPr>
      <w:keepNext/>
      <w:rPr>
        <w:sz w:val="20"/>
        <w:szCs w:val="20"/>
      </w:rPr>
    </w:pPr>
  </w:p>
  <w:p w:rsidR="00C664E8" w:rsidRPr="008C6D62" w:rsidRDefault="00C664E8">
    <w:pPr>
      <w:keepNext/>
      <w:rPr>
        <w:sz w:val="20"/>
        <w:szCs w:val="20"/>
      </w:rPr>
    </w:pPr>
  </w:p>
  <w:p w:rsidR="00C664E8" w:rsidRPr="00E140E4" w:rsidRDefault="00C664E8">
    <w:pPr>
      <w:keepNext/>
    </w:pPr>
  </w:p>
  <w:p w:rsidR="00C664E8" w:rsidRPr="00E140E4" w:rsidRDefault="00C664E8">
    <w:pPr>
      <w:keepNext/>
    </w:pPr>
  </w:p>
  <w:p w:rsidR="00C664E8" w:rsidRPr="008C6D62" w:rsidRDefault="00C664E8">
    <w:pPr>
      <w:pStyle w:val="Header"/>
      <w:pBdr>
        <w:top w:val="single" w:sz="6" w:space="1"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4E8" w:rsidRPr="00FF4C0F" w:rsidRDefault="00C664E8">
    <w:pPr>
      <w:keepNext/>
      <w:rPr>
        <w:sz w:val="20"/>
        <w:szCs w:val="20"/>
      </w:rPr>
    </w:pPr>
    <w:r w:rsidRPr="00FF4C0F">
      <w:rPr>
        <w:sz w:val="20"/>
        <w:szCs w:val="20"/>
      </w:rPr>
      <w:fldChar w:fldCharType="begin"/>
    </w:r>
    <w:r w:rsidRPr="00FF4C0F">
      <w:rPr>
        <w:sz w:val="20"/>
        <w:szCs w:val="20"/>
      </w:rPr>
      <w:instrText xml:space="preserve"> </w:instrText>
    </w:r>
    <w:r w:rsidRPr="00FF4C0F">
      <w:rPr>
        <w:b/>
        <w:sz w:val="20"/>
        <w:szCs w:val="20"/>
      </w:rPr>
      <w:instrText>S</w:instrText>
    </w:r>
    <w:r w:rsidRPr="00FF4C0F">
      <w:rPr>
        <w:sz w:val="20"/>
        <w:szCs w:val="20"/>
      </w:rPr>
      <w:instrText xml:space="preserve">TYLEREF  CharChapNo  \* CHARFORMAT </w:instrText>
    </w:r>
    <w:r w:rsidRPr="00FF4C0F">
      <w:rPr>
        <w:sz w:val="20"/>
        <w:szCs w:val="20"/>
      </w:rPr>
      <w:fldChar w:fldCharType="separate"/>
    </w:r>
    <w:r w:rsidR="00A75E51">
      <w:rPr>
        <w:b/>
        <w:noProof/>
        <w:sz w:val="20"/>
        <w:szCs w:val="20"/>
      </w:rPr>
      <w:t>Chapter 4</w:t>
    </w:r>
    <w:r w:rsidRPr="00FF4C0F">
      <w:rPr>
        <w:sz w:val="20"/>
        <w:szCs w:val="20"/>
      </w:rPr>
      <w:fldChar w:fldCharType="end"/>
    </w:r>
    <w:r w:rsidRPr="00FF4C0F">
      <w:rPr>
        <w:sz w:val="20"/>
        <w:szCs w:val="20"/>
      </w:rPr>
      <w:t xml:space="preserve">  </w:t>
    </w:r>
    <w:r w:rsidRPr="00FF4C0F">
      <w:rPr>
        <w:sz w:val="20"/>
        <w:szCs w:val="20"/>
      </w:rPr>
      <w:fldChar w:fldCharType="begin"/>
    </w:r>
    <w:r w:rsidRPr="00FF4C0F">
      <w:rPr>
        <w:sz w:val="20"/>
        <w:szCs w:val="20"/>
      </w:rPr>
      <w:instrText xml:space="preserve"> STYLEREF  CharChapText  \* CHARFORMAT </w:instrText>
    </w:r>
    <w:r w:rsidRPr="00FF4C0F">
      <w:rPr>
        <w:sz w:val="20"/>
        <w:szCs w:val="20"/>
      </w:rPr>
      <w:fldChar w:fldCharType="separate"/>
    </w:r>
    <w:r w:rsidR="00A75E51">
      <w:rPr>
        <w:noProof/>
        <w:sz w:val="20"/>
        <w:szCs w:val="20"/>
      </w:rPr>
      <w:t>International aspects of income tax</w:t>
    </w:r>
    <w:r w:rsidRPr="00FF4C0F">
      <w:rPr>
        <w:sz w:val="20"/>
        <w:szCs w:val="20"/>
      </w:rPr>
      <w:fldChar w:fldCharType="end"/>
    </w:r>
  </w:p>
  <w:p w:rsidR="00C664E8" w:rsidRPr="00FF4C0F" w:rsidRDefault="00C664E8">
    <w:pPr>
      <w:keepNext/>
      <w:rPr>
        <w:sz w:val="20"/>
        <w:szCs w:val="20"/>
      </w:rPr>
    </w:pPr>
    <w:r w:rsidRPr="00FF4C0F">
      <w:rPr>
        <w:sz w:val="20"/>
        <w:szCs w:val="20"/>
      </w:rPr>
      <w:fldChar w:fldCharType="begin"/>
    </w:r>
    <w:r w:rsidRPr="00FF4C0F">
      <w:rPr>
        <w:sz w:val="20"/>
        <w:szCs w:val="20"/>
      </w:rPr>
      <w:instrText xml:space="preserve"> </w:instrText>
    </w:r>
    <w:r w:rsidRPr="00FF4C0F">
      <w:rPr>
        <w:b/>
        <w:sz w:val="20"/>
        <w:szCs w:val="20"/>
      </w:rPr>
      <w:instrText>S</w:instrText>
    </w:r>
    <w:r w:rsidRPr="00FF4C0F">
      <w:rPr>
        <w:sz w:val="20"/>
        <w:szCs w:val="20"/>
      </w:rPr>
      <w:instrText xml:space="preserve">TYLEREF  CharPartNo  \* CHARFORMAT </w:instrText>
    </w:r>
    <w:r w:rsidRPr="00FF4C0F">
      <w:rPr>
        <w:sz w:val="20"/>
        <w:szCs w:val="20"/>
      </w:rPr>
      <w:fldChar w:fldCharType="separate"/>
    </w:r>
    <w:r w:rsidR="00A75E51">
      <w:rPr>
        <w:b/>
        <w:noProof/>
        <w:sz w:val="20"/>
        <w:szCs w:val="20"/>
      </w:rPr>
      <w:t>Part 4-5</w:t>
    </w:r>
    <w:r w:rsidRPr="00FF4C0F">
      <w:rPr>
        <w:sz w:val="20"/>
        <w:szCs w:val="20"/>
      </w:rPr>
      <w:fldChar w:fldCharType="end"/>
    </w:r>
    <w:r w:rsidRPr="00FF4C0F">
      <w:rPr>
        <w:sz w:val="20"/>
        <w:szCs w:val="20"/>
      </w:rPr>
      <w:t xml:space="preserve">  </w:t>
    </w:r>
    <w:r w:rsidRPr="00FF4C0F">
      <w:rPr>
        <w:sz w:val="20"/>
        <w:szCs w:val="20"/>
      </w:rPr>
      <w:fldChar w:fldCharType="begin"/>
    </w:r>
    <w:r w:rsidRPr="00FF4C0F">
      <w:rPr>
        <w:sz w:val="20"/>
        <w:szCs w:val="20"/>
      </w:rPr>
      <w:instrText xml:space="preserve"> STYLEREF  CharPartText  \* CHARFORMAT </w:instrText>
    </w:r>
    <w:r w:rsidRPr="00FF4C0F">
      <w:rPr>
        <w:sz w:val="20"/>
        <w:szCs w:val="20"/>
      </w:rPr>
      <w:fldChar w:fldCharType="separate"/>
    </w:r>
    <w:r w:rsidR="00A75E51">
      <w:rPr>
        <w:noProof/>
        <w:sz w:val="20"/>
        <w:szCs w:val="20"/>
      </w:rPr>
      <w:t>General</w:t>
    </w:r>
    <w:r w:rsidRPr="00FF4C0F">
      <w:rPr>
        <w:sz w:val="20"/>
        <w:szCs w:val="20"/>
      </w:rPr>
      <w:fldChar w:fldCharType="end"/>
    </w:r>
  </w:p>
  <w:p w:rsidR="00C664E8" w:rsidRPr="00FF4C0F" w:rsidRDefault="00C664E8">
    <w:pPr>
      <w:keepNext/>
      <w:rPr>
        <w:sz w:val="20"/>
        <w:szCs w:val="20"/>
      </w:rPr>
    </w:pPr>
    <w:r w:rsidRPr="00FF4C0F">
      <w:rPr>
        <w:sz w:val="20"/>
        <w:szCs w:val="20"/>
      </w:rPr>
      <w:fldChar w:fldCharType="begin"/>
    </w:r>
    <w:r w:rsidRPr="00FF4C0F">
      <w:rPr>
        <w:sz w:val="20"/>
        <w:szCs w:val="20"/>
      </w:rPr>
      <w:instrText xml:space="preserve"> </w:instrText>
    </w:r>
    <w:r w:rsidRPr="00FF4C0F">
      <w:rPr>
        <w:b/>
        <w:sz w:val="20"/>
        <w:szCs w:val="20"/>
      </w:rPr>
      <w:instrText>S</w:instrText>
    </w:r>
    <w:r w:rsidRPr="00FF4C0F">
      <w:rPr>
        <w:sz w:val="20"/>
        <w:szCs w:val="20"/>
      </w:rPr>
      <w:instrText xml:space="preserve">TYLEREF  CharDivNo  \* CHARFORMAT </w:instrText>
    </w:r>
    <w:r w:rsidRPr="00FF4C0F">
      <w:rPr>
        <w:sz w:val="20"/>
        <w:szCs w:val="20"/>
      </w:rPr>
      <w:fldChar w:fldCharType="separate"/>
    </w:r>
    <w:r w:rsidR="00A75E51">
      <w:rPr>
        <w:b/>
        <w:noProof/>
        <w:sz w:val="20"/>
        <w:szCs w:val="20"/>
      </w:rPr>
      <w:t>Division 775</w:t>
    </w:r>
    <w:r w:rsidRPr="00FF4C0F">
      <w:rPr>
        <w:sz w:val="20"/>
        <w:szCs w:val="20"/>
      </w:rPr>
      <w:fldChar w:fldCharType="end"/>
    </w:r>
    <w:r w:rsidRPr="00FF4C0F">
      <w:rPr>
        <w:sz w:val="20"/>
        <w:szCs w:val="20"/>
      </w:rPr>
      <w:t xml:space="preserve">  </w:t>
    </w:r>
    <w:r w:rsidRPr="00FF4C0F">
      <w:rPr>
        <w:sz w:val="20"/>
        <w:szCs w:val="20"/>
      </w:rPr>
      <w:fldChar w:fldCharType="begin"/>
    </w:r>
    <w:r w:rsidRPr="00FF4C0F">
      <w:rPr>
        <w:sz w:val="20"/>
        <w:szCs w:val="20"/>
      </w:rPr>
      <w:instrText xml:space="preserve"> STYLEREF  CharDivText  \* CHARFORMAT </w:instrText>
    </w:r>
    <w:r w:rsidRPr="00FF4C0F">
      <w:rPr>
        <w:sz w:val="20"/>
        <w:szCs w:val="20"/>
      </w:rPr>
      <w:fldChar w:fldCharType="separate"/>
    </w:r>
    <w:r w:rsidR="00A75E51">
      <w:rPr>
        <w:noProof/>
        <w:sz w:val="20"/>
        <w:szCs w:val="20"/>
      </w:rPr>
      <w:t>Foreign currency gains and losses</w:t>
    </w:r>
    <w:r w:rsidRPr="00FF4C0F">
      <w:rPr>
        <w:sz w:val="20"/>
        <w:szCs w:val="20"/>
      </w:rPr>
      <w:fldChar w:fldCharType="end"/>
    </w:r>
  </w:p>
  <w:p w:rsidR="00C664E8" w:rsidRPr="00E140E4" w:rsidRDefault="00C664E8">
    <w:pPr>
      <w:keepNext/>
    </w:pPr>
  </w:p>
  <w:p w:rsidR="00C664E8" w:rsidRPr="00E140E4" w:rsidRDefault="00C664E8">
    <w:pPr>
      <w:keepNext/>
      <w:rPr>
        <w:b/>
      </w:rPr>
    </w:pPr>
  </w:p>
  <w:p w:rsidR="00C664E8" w:rsidRPr="00E140E4" w:rsidRDefault="00C664E8">
    <w:pPr>
      <w:pStyle w:val="Header"/>
      <w:pBdr>
        <w:top w:val="single" w:sz="6"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4E8" w:rsidRPr="00FF4C0F" w:rsidRDefault="00C664E8">
    <w:pPr>
      <w:keepNext/>
      <w:jc w:val="right"/>
      <w:rPr>
        <w:sz w:val="20"/>
        <w:szCs w:val="20"/>
      </w:rPr>
    </w:pPr>
    <w:r w:rsidRPr="00FF4C0F">
      <w:rPr>
        <w:sz w:val="20"/>
        <w:szCs w:val="20"/>
      </w:rPr>
      <w:fldChar w:fldCharType="begin"/>
    </w:r>
    <w:r w:rsidRPr="00FF4C0F">
      <w:rPr>
        <w:sz w:val="20"/>
        <w:szCs w:val="20"/>
      </w:rPr>
      <w:instrText xml:space="preserve"> STYLEREF  CharChapText  \* CHARFORMAT </w:instrText>
    </w:r>
    <w:r w:rsidRPr="00FF4C0F">
      <w:rPr>
        <w:sz w:val="20"/>
        <w:szCs w:val="20"/>
      </w:rPr>
      <w:fldChar w:fldCharType="separate"/>
    </w:r>
    <w:r w:rsidR="009275EE">
      <w:rPr>
        <w:noProof/>
        <w:sz w:val="20"/>
        <w:szCs w:val="20"/>
      </w:rPr>
      <w:t>International aspects of income tax</w:t>
    </w:r>
    <w:r w:rsidRPr="00FF4C0F">
      <w:rPr>
        <w:sz w:val="20"/>
        <w:szCs w:val="20"/>
      </w:rPr>
      <w:fldChar w:fldCharType="end"/>
    </w:r>
    <w:r w:rsidRPr="00FF4C0F">
      <w:rPr>
        <w:sz w:val="20"/>
        <w:szCs w:val="20"/>
      </w:rPr>
      <w:t xml:space="preserve">  </w:t>
    </w:r>
    <w:r w:rsidRPr="00FF4C0F">
      <w:rPr>
        <w:sz w:val="20"/>
        <w:szCs w:val="20"/>
      </w:rPr>
      <w:fldChar w:fldCharType="begin"/>
    </w:r>
    <w:r w:rsidRPr="00FF4C0F">
      <w:rPr>
        <w:sz w:val="20"/>
        <w:szCs w:val="20"/>
      </w:rPr>
      <w:instrText xml:space="preserve"> </w:instrText>
    </w:r>
    <w:r w:rsidRPr="00FF4C0F">
      <w:rPr>
        <w:b/>
        <w:sz w:val="20"/>
        <w:szCs w:val="20"/>
      </w:rPr>
      <w:instrText>S</w:instrText>
    </w:r>
    <w:r w:rsidRPr="00FF4C0F">
      <w:rPr>
        <w:sz w:val="20"/>
        <w:szCs w:val="20"/>
      </w:rPr>
      <w:instrText xml:space="preserve">TYLEREF  CharChapNo  \* CHARFORMAT </w:instrText>
    </w:r>
    <w:r w:rsidRPr="00FF4C0F">
      <w:rPr>
        <w:sz w:val="20"/>
        <w:szCs w:val="20"/>
      </w:rPr>
      <w:fldChar w:fldCharType="separate"/>
    </w:r>
    <w:r w:rsidR="009275EE">
      <w:rPr>
        <w:b/>
        <w:noProof/>
        <w:sz w:val="20"/>
        <w:szCs w:val="20"/>
      </w:rPr>
      <w:t>Chapter 4</w:t>
    </w:r>
    <w:r w:rsidRPr="00FF4C0F">
      <w:rPr>
        <w:sz w:val="20"/>
        <w:szCs w:val="20"/>
      </w:rPr>
      <w:fldChar w:fldCharType="end"/>
    </w:r>
  </w:p>
  <w:p w:rsidR="00C664E8" w:rsidRPr="00FF4C0F" w:rsidRDefault="00C664E8">
    <w:pPr>
      <w:keepNext/>
      <w:jc w:val="right"/>
      <w:rPr>
        <w:sz w:val="20"/>
        <w:szCs w:val="20"/>
      </w:rPr>
    </w:pPr>
    <w:r w:rsidRPr="00FF4C0F">
      <w:rPr>
        <w:sz w:val="20"/>
        <w:szCs w:val="20"/>
      </w:rPr>
      <w:fldChar w:fldCharType="begin"/>
    </w:r>
    <w:r w:rsidRPr="00FF4C0F">
      <w:rPr>
        <w:sz w:val="20"/>
        <w:szCs w:val="20"/>
      </w:rPr>
      <w:instrText xml:space="preserve"> STYLEREF  CharPartText  \* CHARFORMAT </w:instrText>
    </w:r>
    <w:r w:rsidRPr="00FF4C0F">
      <w:rPr>
        <w:sz w:val="20"/>
        <w:szCs w:val="20"/>
      </w:rPr>
      <w:fldChar w:fldCharType="separate"/>
    </w:r>
    <w:r w:rsidR="009275EE">
      <w:rPr>
        <w:noProof/>
        <w:sz w:val="20"/>
        <w:szCs w:val="20"/>
      </w:rPr>
      <w:t>General</w:t>
    </w:r>
    <w:r w:rsidRPr="00FF4C0F">
      <w:rPr>
        <w:sz w:val="20"/>
        <w:szCs w:val="20"/>
      </w:rPr>
      <w:fldChar w:fldCharType="end"/>
    </w:r>
    <w:r w:rsidRPr="00FF4C0F">
      <w:rPr>
        <w:sz w:val="20"/>
        <w:szCs w:val="20"/>
      </w:rPr>
      <w:t xml:space="preserve">  </w:t>
    </w:r>
    <w:r w:rsidRPr="00FF4C0F">
      <w:rPr>
        <w:sz w:val="20"/>
        <w:szCs w:val="20"/>
      </w:rPr>
      <w:fldChar w:fldCharType="begin"/>
    </w:r>
    <w:r w:rsidRPr="00FF4C0F">
      <w:rPr>
        <w:b/>
        <w:sz w:val="20"/>
        <w:szCs w:val="20"/>
      </w:rPr>
      <w:instrText xml:space="preserve"> S</w:instrText>
    </w:r>
    <w:r w:rsidRPr="00FF4C0F">
      <w:rPr>
        <w:sz w:val="20"/>
        <w:szCs w:val="20"/>
      </w:rPr>
      <w:instrText xml:space="preserve">TYLEREF  CharPartNo  \* CHARFORMAT </w:instrText>
    </w:r>
    <w:r w:rsidRPr="00FF4C0F">
      <w:rPr>
        <w:sz w:val="20"/>
        <w:szCs w:val="20"/>
      </w:rPr>
      <w:fldChar w:fldCharType="separate"/>
    </w:r>
    <w:r w:rsidR="009275EE">
      <w:rPr>
        <w:b/>
        <w:noProof/>
        <w:sz w:val="20"/>
        <w:szCs w:val="20"/>
      </w:rPr>
      <w:t>Part 4-5</w:t>
    </w:r>
    <w:r w:rsidRPr="00FF4C0F">
      <w:rPr>
        <w:sz w:val="20"/>
        <w:szCs w:val="20"/>
      </w:rPr>
      <w:fldChar w:fldCharType="end"/>
    </w:r>
  </w:p>
  <w:p w:rsidR="00C664E8" w:rsidRPr="00FF4C0F" w:rsidRDefault="00C664E8">
    <w:pPr>
      <w:keepNext/>
      <w:jc w:val="right"/>
      <w:rPr>
        <w:sz w:val="20"/>
        <w:szCs w:val="20"/>
      </w:rPr>
    </w:pPr>
    <w:r w:rsidRPr="00FF4C0F">
      <w:rPr>
        <w:sz w:val="20"/>
        <w:szCs w:val="20"/>
      </w:rPr>
      <w:fldChar w:fldCharType="begin"/>
    </w:r>
    <w:r w:rsidRPr="00FF4C0F">
      <w:rPr>
        <w:sz w:val="20"/>
        <w:szCs w:val="20"/>
      </w:rPr>
      <w:instrText xml:space="preserve"> STYLEREF  CharDivText  \* CHARFORMAT </w:instrText>
    </w:r>
    <w:r w:rsidRPr="00FF4C0F">
      <w:rPr>
        <w:sz w:val="20"/>
        <w:szCs w:val="20"/>
      </w:rPr>
      <w:fldChar w:fldCharType="separate"/>
    </w:r>
    <w:r w:rsidR="009275EE">
      <w:rPr>
        <w:noProof/>
        <w:sz w:val="20"/>
        <w:szCs w:val="20"/>
      </w:rPr>
      <w:t>Foreign currency gains and losses</w:t>
    </w:r>
    <w:r w:rsidRPr="00FF4C0F">
      <w:rPr>
        <w:sz w:val="20"/>
        <w:szCs w:val="20"/>
      </w:rPr>
      <w:fldChar w:fldCharType="end"/>
    </w:r>
    <w:r w:rsidRPr="00FF4C0F">
      <w:rPr>
        <w:sz w:val="20"/>
        <w:szCs w:val="20"/>
      </w:rPr>
      <w:t xml:space="preserve">  </w:t>
    </w:r>
    <w:r w:rsidRPr="00FF4C0F">
      <w:rPr>
        <w:sz w:val="20"/>
        <w:szCs w:val="20"/>
      </w:rPr>
      <w:fldChar w:fldCharType="begin"/>
    </w:r>
    <w:r w:rsidRPr="00FF4C0F">
      <w:rPr>
        <w:sz w:val="20"/>
        <w:szCs w:val="20"/>
      </w:rPr>
      <w:instrText xml:space="preserve"> </w:instrText>
    </w:r>
    <w:r w:rsidRPr="00FF4C0F">
      <w:rPr>
        <w:b/>
        <w:sz w:val="20"/>
        <w:szCs w:val="20"/>
      </w:rPr>
      <w:instrText>S</w:instrText>
    </w:r>
    <w:r w:rsidRPr="00FF4C0F">
      <w:rPr>
        <w:sz w:val="20"/>
        <w:szCs w:val="20"/>
      </w:rPr>
      <w:instrText xml:space="preserve">TYLEREF  CharDivNo  \* CHARFORMAT </w:instrText>
    </w:r>
    <w:r w:rsidRPr="00FF4C0F">
      <w:rPr>
        <w:sz w:val="20"/>
        <w:szCs w:val="20"/>
      </w:rPr>
      <w:fldChar w:fldCharType="separate"/>
    </w:r>
    <w:r w:rsidR="009275EE">
      <w:rPr>
        <w:b/>
        <w:noProof/>
        <w:sz w:val="20"/>
        <w:szCs w:val="20"/>
      </w:rPr>
      <w:t>Division 775</w:t>
    </w:r>
    <w:r w:rsidRPr="00FF4C0F">
      <w:rPr>
        <w:sz w:val="20"/>
        <w:szCs w:val="20"/>
      </w:rPr>
      <w:fldChar w:fldCharType="end"/>
    </w:r>
  </w:p>
  <w:p w:rsidR="00C664E8" w:rsidRPr="00E140E4" w:rsidRDefault="00C664E8">
    <w:pPr>
      <w:keepNext/>
      <w:jc w:val="right"/>
    </w:pPr>
  </w:p>
  <w:p w:rsidR="00C664E8" w:rsidRPr="0037294E" w:rsidRDefault="00C664E8">
    <w:pPr>
      <w:keepNext/>
      <w:jc w:val="right"/>
    </w:pPr>
    <w:r>
      <w:t>Sectio</w:t>
    </w:r>
    <w:r w:rsidRPr="0037294E">
      <w:t xml:space="preserve">n </w:t>
    </w:r>
    <w:fldSimple w:instr=" STYLEREF  CharSectno  \* CHARFORMAT ">
      <w:r w:rsidR="009275EE">
        <w:rPr>
          <w:noProof/>
        </w:rPr>
        <w:t>775-10</w:t>
      </w:r>
    </w:fldSimple>
  </w:p>
  <w:p w:rsidR="00C664E8" w:rsidRPr="008C6D62" w:rsidRDefault="00C664E8">
    <w:pPr>
      <w:pStyle w:val="Header"/>
      <w:pBdr>
        <w:top w:val="single" w:sz="6" w:space="1" w:color="auto"/>
      </w:pBdr>
      <w:jc w:val="right"/>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4E8" w:rsidRPr="008C6D62" w:rsidRDefault="00C664E8">
    <w:pPr>
      <w:keepNext/>
      <w:jc w:val="right"/>
      <w:rPr>
        <w:sz w:val="20"/>
        <w:szCs w:val="20"/>
      </w:rPr>
    </w:pPr>
  </w:p>
  <w:p w:rsidR="00C664E8" w:rsidRPr="008C6D62" w:rsidRDefault="00C664E8">
    <w:pPr>
      <w:keepNext/>
      <w:jc w:val="right"/>
      <w:rPr>
        <w:sz w:val="20"/>
        <w:szCs w:val="20"/>
      </w:rPr>
    </w:pPr>
  </w:p>
  <w:p w:rsidR="00C664E8" w:rsidRPr="008C6D62" w:rsidRDefault="00C664E8">
    <w:pPr>
      <w:keepNext/>
      <w:jc w:val="right"/>
      <w:rPr>
        <w:sz w:val="20"/>
        <w:szCs w:val="20"/>
      </w:rPr>
    </w:pPr>
  </w:p>
  <w:p w:rsidR="00C664E8" w:rsidRPr="00E140E4" w:rsidRDefault="00C664E8">
    <w:pPr>
      <w:keepNext/>
      <w:jc w:val="right"/>
    </w:pPr>
  </w:p>
  <w:p w:rsidR="00C664E8" w:rsidRPr="00E140E4" w:rsidRDefault="00C664E8">
    <w:pPr>
      <w:keepNext/>
      <w:jc w:val="right"/>
    </w:pPr>
  </w:p>
  <w:p w:rsidR="00C664E8" w:rsidRPr="008C6D62" w:rsidRDefault="00C664E8">
    <w:pPr>
      <w:pStyle w:val="Header"/>
      <w:pBdr>
        <w:top w:val="single" w:sz="6" w:space="1" w:color="auto"/>
      </w:pBdr>
      <w:jc w:val="right"/>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4E8" w:rsidRPr="00FF4C0F" w:rsidRDefault="00C664E8">
    <w:pPr>
      <w:keepNext/>
      <w:rPr>
        <w:sz w:val="20"/>
        <w:szCs w:val="20"/>
      </w:rPr>
    </w:pPr>
    <w:r w:rsidRPr="00FF4C0F">
      <w:rPr>
        <w:sz w:val="20"/>
        <w:szCs w:val="20"/>
      </w:rPr>
      <w:fldChar w:fldCharType="begin"/>
    </w:r>
    <w:r w:rsidRPr="00FF4C0F">
      <w:rPr>
        <w:sz w:val="20"/>
        <w:szCs w:val="20"/>
      </w:rPr>
      <w:instrText xml:space="preserve"> </w:instrText>
    </w:r>
    <w:r w:rsidRPr="00FF4C0F">
      <w:rPr>
        <w:b/>
        <w:sz w:val="20"/>
        <w:szCs w:val="20"/>
      </w:rPr>
      <w:instrText>S</w:instrText>
    </w:r>
    <w:r w:rsidRPr="00FF4C0F">
      <w:rPr>
        <w:sz w:val="20"/>
        <w:szCs w:val="20"/>
      </w:rPr>
      <w:instrText xml:space="preserve">TYLEREF  CharChapNo  \* CHARFORMAT </w:instrText>
    </w:r>
    <w:r w:rsidRPr="00FF4C0F">
      <w:rPr>
        <w:sz w:val="20"/>
        <w:szCs w:val="20"/>
      </w:rPr>
      <w:fldChar w:fldCharType="separate"/>
    </w:r>
    <w:r w:rsidR="00A75E51">
      <w:rPr>
        <w:b/>
        <w:noProof/>
        <w:sz w:val="20"/>
        <w:szCs w:val="20"/>
      </w:rPr>
      <w:t>Chapter 4</w:t>
    </w:r>
    <w:r w:rsidRPr="00FF4C0F">
      <w:rPr>
        <w:sz w:val="20"/>
        <w:szCs w:val="20"/>
      </w:rPr>
      <w:fldChar w:fldCharType="end"/>
    </w:r>
    <w:r w:rsidRPr="00FF4C0F">
      <w:rPr>
        <w:sz w:val="20"/>
        <w:szCs w:val="20"/>
      </w:rPr>
      <w:t xml:space="preserve">  </w:t>
    </w:r>
    <w:r w:rsidRPr="00FF4C0F">
      <w:rPr>
        <w:sz w:val="20"/>
        <w:szCs w:val="20"/>
      </w:rPr>
      <w:fldChar w:fldCharType="begin"/>
    </w:r>
    <w:r w:rsidRPr="00FF4C0F">
      <w:rPr>
        <w:sz w:val="20"/>
        <w:szCs w:val="20"/>
      </w:rPr>
      <w:instrText xml:space="preserve"> STYLEREF  CharChapText  \* CHARFORMAT </w:instrText>
    </w:r>
    <w:r w:rsidRPr="00FF4C0F">
      <w:rPr>
        <w:sz w:val="20"/>
        <w:szCs w:val="20"/>
      </w:rPr>
      <w:fldChar w:fldCharType="separate"/>
    </w:r>
    <w:r w:rsidR="00A75E51">
      <w:rPr>
        <w:noProof/>
        <w:sz w:val="20"/>
        <w:szCs w:val="20"/>
      </w:rPr>
      <w:t>International aspects of income tax</w:t>
    </w:r>
    <w:r w:rsidRPr="00FF4C0F">
      <w:rPr>
        <w:sz w:val="20"/>
        <w:szCs w:val="20"/>
      </w:rPr>
      <w:fldChar w:fldCharType="end"/>
    </w:r>
  </w:p>
  <w:p w:rsidR="00C664E8" w:rsidRPr="00FF4C0F" w:rsidRDefault="00C664E8">
    <w:pPr>
      <w:keepNext/>
      <w:rPr>
        <w:sz w:val="20"/>
        <w:szCs w:val="20"/>
      </w:rPr>
    </w:pPr>
    <w:r w:rsidRPr="00FF4C0F">
      <w:rPr>
        <w:sz w:val="20"/>
        <w:szCs w:val="20"/>
      </w:rPr>
      <w:fldChar w:fldCharType="begin"/>
    </w:r>
    <w:r w:rsidRPr="00FF4C0F">
      <w:rPr>
        <w:sz w:val="20"/>
        <w:szCs w:val="20"/>
      </w:rPr>
      <w:instrText xml:space="preserve"> </w:instrText>
    </w:r>
    <w:r w:rsidRPr="00FF4C0F">
      <w:rPr>
        <w:b/>
        <w:sz w:val="20"/>
        <w:szCs w:val="20"/>
      </w:rPr>
      <w:instrText>S</w:instrText>
    </w:r>
    <w:r w:rsidRPr="00FF4C0F">
      <w:rPr>
        <w:sz w:val="20"/>
        <w:szCs w:val="20"/>
      </w:rPr>
      <w:instrText xml:space="preserve">TYLEREF  CharPartNo  \* CHARFORMAT </w:instrText>
    </w:r>
    <w:r w:rsidRPr="00FF4C0F">
      <w:rPr>
        <w:sz w:val="20"/>
        <w:szCs w:val="20"/>
      </w:rPr>
      <w:fldChar w:fldCharType="separate"/>
    </w:r>
    <w:r w:rsidR="00A75E51">
      <w:rPr>
        <w:b/>
        <w:noProof/>
        <w:sz w:val="20"/>
        <w:szCs w:val="20"/>
      </w:rPr>
      <w:t>Part 4-5</w:t>
    </w:r>
    <w:r w:rsidRPr="00FF4C0F">
      <w:rPr>
        <w:sz w:val="20"/>
        <w:szCs w:val="20"/>
      </w:rPr>
      <w:fldChar w:fldCharType="end"/>
    </w:r>
    <w:r w:rsidRPr="00FF4C0F">
      <w:rPr>
        <w:sz w:val="20"/>
        <w:szCs w:val="20"/>
      </w:rPr>
      <w:t xml:space="preserve">  </w:t>
    </w:r>
    <w:r w:rsidRPr="00FF4C0F">
      <w:rPr>
        <w:sz w:val="20"/>
        <w:szCs w:val="20"/>
      </w:rPr>
      <w:fldChar w:fldCharType="begin"/>
    </w:r>
    <w:r w:rsidRPr="00FF4C0F">
      <w:rPr>
        <w:sz w:val="20"/>
        <w:szCs w:val="20"/>
      </w:rPr>
      <w:instrText xml:space="preserve"> STYLEREF  CharPartText  \* CHARFORMAT </w:instrText>
    </w:r>
    <w:r w:rsidRPr="00FF4C0F">
      <w:rPr>
        <w:sz w:val="20"/>
        <w:szCs w:val="20"/>
      </w:rPr>
      <w:fldChar w:fldCharType="separate"/>
    </w:r>
    <w:r w:rsidR="00A75E51">
      <w:rPr>
        <w:noProof/>
        <w:sz w:val="20"/>
        <w:szCs w:val="20"/>
      </w:rPr>
      <w:t>General</w:t>
    </w:r>
    <w:r w:rsidRPr="00FF4C0F">
      <w:rPr>
        <w:sz w:val="20"/>
        <w:szCs w:val="20"/>
      </w:rPr>
      <w:fldChar w:fldCharType="end"/>
    </w:r>
  </w:p>
  <w:p w:rsidR="00C664E8" w:rsidRPr="00FF4C0F" w:rsidRDefault="00C664E8">
    <w:pPr>
      <w:keepNext/>
      <w:rPr>
        <w:sz w:val="20"/>
        <w:szCs w:val="20"/>
      </w:rPr>
    </w:pPr>
    <w:r w:rsidRPr="00FF4C0F">
      <w:rPr>
        <w:sz w:val="20"/>
        <w:szCs w:val="20"/>
      </w:rPr>
      <w:fldChar w:fldCharType="begin"/>
    </w:r>
    <w:r w:rsidRPr="00FF4C0F">
      <w:rPr>
        <w:sz w:val="20"/>
        <w:szCs w:val="20"/>
      </w:rPr>
      <w:instrText xml:space="preserve"> </w:instrText>
    </w:r>
    <w:r w:rsidRPr="00FF4C0F">
      <w:rPr>
        <w:b/>
        <w:sz w:val="20"/>
        <w:szCs w:val="20"/>
      </w:rPr>
      <w:instrText>S</w:instrText>
    </w:r>
    <w:r w:rsidRPr="00FF4C0F">
      <w:rPr>
        <w:sz w:val="20"/>
        <w:szCs w:val="20"/>
      </w:rPr>
      <w:instrText xml:space="preserve">TYLEREF  CharDivNo  \* CHARFORMAT </w:instrText>
    </w:r>
    <w:r w:rsidRPr="00FF4C0F">
      <w:rPr>
        <w:sz w:val="20"/>
        <w:szCs w:val="20"/>
      </w:rPr>
      <w:fldChar w:fldCharType="separate"/>
    </w:r>
    <w:r w:rsidR="00A75E51">
      <w:rPr>
        <w:b/>
        <w:noProof/>
        <w:sz w:val="20"/>
        <w:szCs w:val="20"/>
      </w:rPr>
      <w:t>Division 815</w:t>
    </w:r>
    <w:r w:rsidRPr="00FF4C0F">
      <w:rPr>
        <w:sz w:val="20"/>
        <w:szCs w:val="20"/>
      </w:rPr>
      <w:fldChar w:fldCharType="end"/>
    </w:r>
    <w:r w:rsidRPr="00FF4C0F">
      <w:rPr>
        <w:sz w:val="20"/>
        <w:szCs w:val="20"/>
      </w:rPr>
      <w:t xml:space="preserve">  </w:t>
    </w:r>
    <w:r w:rsidRPr="00FF4C0F">
      <w:rPr>
        <w:sz w:val="20"/>
        <w:szCs w:val="20"/>
      </w:rPr>
      <w:fldChar w:fldCharType="begin"/>
    </w:r>
    <w:r w:rsidRPr="00FF4C0F">
      <w:rPr>
        <w:sz w:val="20"/>
        <w:szCs w:val="20"/>
      </w:rPr>
      <w:instrText xml:space="preserve"> STYLEREF  CharDivText  \* CHARFORMAT </w:instrText>
    </w:r>
    <w:r w:rsidRPr="00FF4C0F">
      <w:rPr>
        <w:sz w:val="20"/>
        <w:szCs w:val="20"/>
      </w:rPr>
      <w:fldChar w:fldCharType="separate"/>
    </w:r>
    <w:r w:rsidR="00A75E51">
      <w:rPr>
        <w:noProof/>
        <w:sz w:val="20"/>
        <w:szCs w:val="20"/>
      </w:rPr>
      <w:t>Cross-border transfer pricing</w:t>
    </w:r>
    <w:r w:rsidRPr="00FF4C0F">
      <w:rPr>
        <w:sz w:val="20"/>
        <w:szCs w:val="20"/>
      </w:rPr>
      <w:fldChar w:fldCharType="end"/>
    </w:r>
  </w:p>
  <w:p w:rsidR="00C664E8" w:rsidRPr="00E140E4" w:rsidRDefault="00C664E8">
    <w:pPr>
      <w:keepNext/>
    </w:pPr>
  </w:p>
  <w:p w:rsidR="00C664E8" w:rsidRPr="004D4D59" w:rsidRDefault="00C664E8">
    <w:pPr>
      <w:keepNext/>
      <w:rPr>
        <w:b/>
      </w:rPr>
    </w:pPr>
    <w:r w:rsidRPr="004D4D59">
      <w:t xml:space="preserve">Section </w:t>
    </w:r>
    <w:fldSimple w:instr=" STYLEREF  CharSectno  \* CHARFORMAT ">
      <w:r w:rsidR="00A75E51">
        <w:rPr>
          <w:noProof/>
        </w:rPr>
        <w:t>815-40</w:t>
      </w:r>
    </w:fldSimple>
  </w:p>
  <w:p w:rsidR="00C664E8" w:rsidRPr="00E140E4" w:rsidRDefault="00C664E8">
    <w:pPr>
      <w:pStyle w:val="Header"/>
      <w:pBdr>
        <w:top w:val="single" w:sz="6"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4E8" w:rsidRPr="00FF4C0F" w:rsidRDefault="00C664E8">
    <w:pPr>
      <w:keepNext/>
      <w:jc w:val="right"/>
      <w:rPr>
        <w:sz w:val="20"/>
        <w:szCs w:val="20"/>
      </w:rPr>
    </w:pPr>
    <w:r w:rsidRPr="00FF4C0F">
      <w:rPr>
        <w:sz w:val="20"/>
        <w:szCs w:val="20"/>
      </w:rPr>
      <w:fldChar w:fldCharType="begin"/>
    </w:r>
    <w:r w:rsidRPr="00FF4C0F">
      <w:rPr>
        <w:sz w:val="20"/>
        <w:szCs w:val="20"/>
      </w:rPr>
      <w:instrText xml:space="preserve"> STYLEREF  CharChapText  \* CHARFORMAT </w:instrText>
    </w:r>
    <w:r w:rsidRPr="00FF4C0F">
      <w:rPr>
        <w:sz w:val="20"/>
        <w:szCs w:val="20"/>
      </w:rPr>
      <w:fldChar w:fldCharType="separate"/>
    </w:r>
    <w:r w:rsidR="00A75E51">
      <w:rPr>
        <w:noProof/>
        <w:sz w:val="20"/>
        <w:szCs w:val="20"/>
      </w:rPr>
      <w:t>International aspects of income tax</w:t>
    </w:r>
    <w:r w:rsidRPr="00FF4C0F">
      <w:rPr>
        <w:sz w:val="20"/>
        <w:szCs w:val="20"/>
      </w:rPr>
      <w:fldChar w:fldCharType="end"/>
    </w:r>
    <w:r w:rsidRPr="00FF4C0F">
      <w:rPr>
        <w:sz w:val="20"/>
        <w:szCs w:val="20"/>
      </w:rPr>
      <w:t xml:space="preserve">  </w:t>
    </w:r>
    <w:r w:rsidRPr="00FF4C0F">
      <w:rPr>
        <w:sz w:val="20"/>
        <w:szCs w:val="20"/>
      </w:rPr>
      <w:fldChar w:fldCharType="begin"/>
    </w:r>
    <w:r w:rsidRPr="00FF4C0F">
      <w:rPr>
        <w:sz w:val="20"/>
        <w:szCs w:val="20"/>
      </w:rPr>
      <w:instrText xml:space="preserve"> </w:instrText>
    </w:r>
    <w:r w:rsidRPr="00FF4C0F">
      <w:rPr>
        <w:b/>
        <w:sz w:val="20"/>
        <w:szCs w:val="20"/>
      </w:rPr>
      <w:instrText>S</w:instrText>
    </w:r>
    <w:r w:rsidRPr="00FF4C0F">
      <w:rPr>
        <w:sz w:val="20"/>
        <w:szCs w:val="20"/>
      </w:rPr>
      <w:instrText xml:space="preserve">TYLEREF  CharChapNo  \* CHARFORMAT </w:instrText>
    </w:r>
    <w:r w:rsidRPr="00FF4C0F">
      <w:rPr>
        <w:sz w:val="20"/>
        <w:szCs w:val="20"/>
      </w:rPr>
      <w:fldChar w:fldCharType="separate"/>
    </w:r>
    <w:r w:rsidR="00A75E51">
      <w:rPr>
        <w:b/>
        <w:noProof/>
        <w:sz w:val="20"/>
        <w:szCs w:val="20"/>
      </w:rPr>
      <w:t>Chapter 4</w:t>
    </w:r>
    <w:r w:rsidRPr="00FF4C0F">
      <w:rPr>
        <w:sz w:val="20"/>
        <w:szCs w:val="20"/>
      </w:rPr>
      <w:fldChar w:fldCharType="end"/>
    </w:r>
  </w:p>
  <w:p w:rsidR="00C664E8" w:rsidRPr="00FF4C0F" w:rsidRDefault="00C664E8">
    <w:pPr>
      <w:keepNext/>
      <w:jc w:val="right"/>
      <w:rPr>
        <w:sz w:val="20"/>
        <w:szCs w:val="20"/>
      </w:rPr>
    </w:pPr>
    <w:r w:rsidRPr="00FF4C0F">
      <w:rPr>
        <w:sz w:val="20"/>
        <w:szCs w:val="20"/>
      </w:rPr>
      <w:fldChar w:fldCharType="begin"/>
    </w:r>
    <w:r w:rsidRPr="00FF4C0F">
      <w:rPr>
        <w:sz w:val="20"/>
        <w:szCs w:val="20"/>
      </w:rPr>
      <w:instrText xml:space="preserve"> STYLEREF  CharPartText  \* CHARFORMAT </w:instrText>
    </w:r>
    <w:r w:rsidRPr="00FF4C0F">
      <w:rPr>
        <w:sz w:val="20"/>
        <w:szCs w:val="20"/>
      </w:rPr>
      <w:fldChar w:fldCharType="separate"/>
    </w:r>
    <w:r w:rsidR="00A75E51">
      <w:rPr>
        <w:noProof/>
        <w:sz w:val="20"/>
        <w:szCs w:val="20"/>
      </w:rPr>
      <w:t>General</w:t>
    </w:r>
    <w:r w:rsidRPr="00FF4C0F">
      <w:rPr>
        <w:sz w:val="20"/>
        <w:szCs w:val="20"/>
      </w:rPr>
      <w:fldChar w:fldCharType="end"/>
    </w:r>
    <w:r w:rsidRPr="00FF4C0F">
      <w:rPr>
        <w:sz w:val="20"/>
        <w:szCs w:val="20"/>
      </w:rPr>
      <w:t xml:space="preserve">  </w:t>
    </w:r>
    <w:r w:rsidRPr="00FF4C0F">
      <w:rPr>
        <w:sz w:val="20"/>
        <w:szCs w:val="20"/>
      </w:rPr>
      <w:fldChar w:fldCharType="begin"/>
    </w:r>
    <w:r w:rsidRPr="00FF4C0F">
      <w:rPr>
        <w:b/>
        <w:sz w:val="20"/>
        <w:szCs w:val="20"/>
      </w:rPr>
      <w:instrText xml:space="preserve"> S</w:instrText>
    </w:r>
    <w:r w:rsidRPr="00FF4C0F">
      <w:rPr>
        <w:sz w:val="20"/>
        <w:szCs w:val="20"/>
      </w:rPr>
      <w:instrText xml:space="preserve">TYLEREF  CharPartNo  \* CHARFORMAT </w:instrText>
    </w:r>
    <w:r w:rsidRPr="00FF4C0F">
      <w:rPr>
        <w:sz w:val="20"/>
        <w:szCs w:val="20"/>
      </w:rPr>
      <w:fldChar w:fldCharType="separate"/>
    </w:r>
    <w:r w:rsidR="00A75E51">
      <w:rPr>
        <w:b/>
        <w:noProof/>
        <w:sz w:val="20"/>
        <w:szCs w:val="20"/>
      </w:rPr>
      <w:t>Part 4-5</w:t>
    </w:r>
    <w:r w:rsidRPr="00FF4C0F">
      <w:rPr>
        <w:sz w:val="20"/>
        <w:szCs w:val="20"/>
      </w:rPr>
      <w:fldChar w:fldCharType="end"/>
    </w:r>
  </w:p>
  <w:p w:rsidR="00C664E8" w:rsidRPr="00FF4C0F" w:rsidRDefault="00C664E8">
    <w:pPr>
      <w:keepNext/>
      <w:jc w:val="right"/>
      <w:rPr>
        <w:sz w:val="20"/>
        <w:szCs w:val="20"/>
      </w:rPr>
    </w:pPr>
    <w:r w:rsidRPr="00FF4C0F">
      <w:rPr>
        <w:sz w:val="20"/>
        <w:szCs w:val="20"/>
      </w:rPr>
      <w:fldChar w:fldCharType="begin"/>
    </w:r>
    <w:r w:rsidRPr="00FF4C0F">
      <w:rPr>
        <w:sz w:val="20"/>
        <w:szCs w:val="20"/>
      </w:rPr>
      <w:instrText xml:space="preserve"> STYLEREF  CharDivText  \* CHARFORMAT </w:instrText>
    </w:r>
    <w:r w:rsidRPr="00FF4C0F">
      <w:rPr>
        <w:sz w:val="20"/>
        <w:szCs w:val="20"/>
      </w:rPr>
      <w:fldChar w:fldCharType="separate"/>
    </w:r>
    <w:r w:rsidR="00A75E51">
      <w:rPr>
        <w:noProof/>
        <w:sz w:val="20"/>
        <w:szCs w:val="20"/>
      </w:rPr>
      <w:t>Cross-border transfer pricing</w:t>
    </w:r>
    <w:r w:rsidRPr="00FF4C0F">
      <w:rPr>
        <w:sz w:val="20"/>
        <w:szCs w:val="20"/>
      </w:rPr>
      <w:fldChar w:fldCharType="end"/>
    </w:r>
    <w:r w:rsidRPr="00FF4C0F">
      <w:rPr>
        <w:sz w:val="20"/>
        <w:szCs w:val="20"/>
      </w:rPr>
      <w:t xml:space="preserve">  </w:t>
    </w:r>
    <w:r w:rsidRPr="00FF4C0F">
      <w:rPr>
        <w:sz w:val="20"/>
        <w:szCs w:val="20"/>
      </w:rPr>
      <w:fldChar w:fldCharType="begin"/>
    </w:r>
    <w:r w:rsidRPr="00FF4C0F">
      <w:rPr>
        <w:sz w:val="20"/>
        <w:szCs w:val="20"/>
      </w:rPr>
      <w:instrText xml:space="preserve"> </w:instrText>
    </w:r>
    <w:r w:rsidRPr="00FF4C0F">
      <w:rPr>
        <w:b/>
        <w:sz w:val="20"/>
        <w:szCs w:val="20"/>
      </w:rPr>
      <w:instrText>S</w:instrText>
    </w:r>
    <w:r w:rsidRPr="00FF4C0F">
      <w:rPr>
        <w:sz w:val="20"/>
        <w:szCs w:val="20"/>
      </w:rPr>
      <w:instrText xml:space="preserve">TYLEREF  CharDivNo  \* CHARFORMAT </w:instrText>
    </w:r>
    <w:r w:rsidRPr="00FF4C0F">
      <w:rPr>
        <w:sz w:val="20"/>
        <w:szCs w:val="20"/>
      </w:rPr>
      <w:fldChar w:fldCharType="separate"/>
    </w:r>
    <w:r w:rsidR="00A75E51">
      <w:rPr>
        <w:b/>
        <w:noProof/>
        <w:sz w:val="20"/>
        <w:szCs w:val="20"/>
      </w:rPr>
      <w:t>Division 815</w:t>
    </w:r>
    <w:r w:rsidRPr="00FF4C0F">
      <w:rPr>
        <w:sz w:val="20"/>
        <w:szCs w:val="20"/>
      </w:rPr>
      <w:fldChar w:fldCharType="end"/>
    </w:r>
  </w:p>
  <w:p w:rsidR="00C664E8" w:rsidRPr="00E140E4" w:rsidRDefault="00C664E8">
    <w:pPr>
      <w:keepNext/>
      <w:jc w:val="right"/>
    </w:pPr>
  </w:p>
  <w:p w:rsidR="00C664E8" w:rsidRPr="004D4D59" w:rsidRDefault="00C664E8">
    <w:pPr>
      <w:keepNext/>
      <w:jc w:val="right"/>
    </w:pPr>
    <w:r w:rsidRPr="004D4D59">
      <w:t xml:space="preserve">Section </w:t>
    </w:r>
    <w:fldSimple w:instr=" STYLEREF  CharSectno  \* CHARFORMAT ">
      <w:r w:rsidR="00A75E51">
        <w:rPr>
          <w:noProof/>
        </w:rPr>
        <w:t>815-40</w:t>
      </w:r>
    </w:fldSimple>
  </w:p>
  <w:p w:rsidR="00C664E8" w:rsidRPr="008C6D62" w:rsidRDefault="00C664E8">
    <w:pPr>
      <w:pStyle w:val="Header"/>
      <w:pBdr>
        <w:top w:val="single" w:sz="6" w:space="1" w:color="auto"/>
      </w:pBdr>
      <w:jc w:val="right"/>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4E8" w:rsidRPr="008C6D62" w:rsidRDefault="00C664E8">
    <w:pPr>
      <w:keepNext/>
      <w:jc w:val="right"/>
      <w:rPr>
        <w:sz w:val="20"/>
        <w:szCs w:val="20"/>
      </w:rPr>
    </w:pPr>
  </w:p>
  <w:p w:rsidR="00C664E8" w:rsidRPr="008C6D62" w:rsidRDefault="00C664E8">
    <w:pPr>
      <w:keepNext/>
      <w:jc w:val="right"/>
      <w:rPr>
        <w:sz w:val="20"/>
        <w:szCs w:val="20"/>
      </w:rPr>
    </w:pPr>
  </w:p>
  <w:p w:rsidR="00C664E8" w:rsidRPr="008C6D62" w:rsidRDefault="00C664E8">
    <w:pPr>
      <w:keepNext/>
      <w:jc w:val="right"/>
      <w:rPr>
        <w:sz w:val="20"/>
        <w:szCs w:val="20"/>
      </w:rPr>
    </w:pPr>
  </w:p>
  <w:p w:rsidR="00C664E8" w:rsidRPr="00E140E4" w:rsidRDefault="00C664E8">
    <w:pPr>
      <w:keepNext/>
      <w:jc w:val="right"/>
    </w:pPr>
  </w:p>
  <w:p w:rsidR="00C664E8" w:rsidRPr="00E140E4" w:rsidRDefault="00C664E8">
    <w:pPr>
      <w:keepNext/>
      <w:jc w:val="right"/>
    </w:pPr>
  </w:p>
  <w:p w:rsidR="00C664E8" w:rsidRPr="008C6D62" w:rsidRDefault="00C664E8">
    <w:pPr>
      <w:pStyle w:val="Header"/>
      <w:pBdr>
        <w:top w:val="single" w:sz="6" w:space="1" w:color="auto"/>
      </w:pBdr>
      <w:jc w:val="right"/>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4E8" w:rsidRPr="00FF4C0F" w:rsidRDefault="00C664E8">
    <w:pPr>
      <w:keepNext/>
      <w:rPr>
        <w:sz w:val="20"/>
        <w:szCs w:val="20"/>
      </w:rPr>
    </w:pPr>
    <w:r w:rsidRPr="00FF4C0F">
      <w:rPr>
        <w:sz w:val="20"/>
        <w:szCs w:val="20"/>
      </w:rPr>
      <w:fldChar w:fldCharType="begin"/>
    </w:r>
    <w:r w:rsidRPr="00FF4C0F">
      <w:rPr>
        <w:sz w:val="20"/>
        <w:szCs w:val="20"/>
      </w:rPr>
      <w:instrText xml:space="preserve"> </w:instrText>
    </w:r>
    <w:r w:rsidRPr="00FF4C0F">
      <w:rPr>
        <w:b/>
        <w:sz w:val="20"/>
        <w:szCs w:val="20"/>
      </w:rPr>
      <w:instrText>S</w:instrText>
    </w:r>
    <w:r w:rsidRPr="00FF4C0F">
      <w:rPr>
        <w:sz w:val="20"/>
        <w:szCs w:val="20"/>
      </w:rPr>
      <w:instrText xml:space="preserve">TYLEREF  CharChapNo  \* CHARFORMAT </w:instrText>
    </w:r>
    <w:r w:rsidRPr="00FF4C0F">
      <w:rPr>
        <w:sz w:val="20"/>
        <w:szCs w:val="20"/>
      </w:rPr>
      <w:fldChar w:fldCharType="separate"/>
    </w:r>
    <w:r w:rsidR="009275EE">
      <w:rPr>
        <w:b/>
        <w:noProof/>
        <w:sz w:val="20"/>
        <w:szCs w:val="20"/>
      </w:rPr>
      <w:t>Chapter 4</w:t>
    </w:r>
    <w:r w:rsidRPr="00FF4C0F">
      <w:rPr>
        <w:sz w:val="20"/>
        <w:szCs w:val="20"/>
      </w:rPr>
      <w:fldChar w:fldCharType="end"/>
    </w:r>
    <w:r w:rsidRPr="00FF4C0F">
      <w:rPr>
        <w:sz w:val="20"/>
        <w:szCs w:val="20"/>
      </w:rPr>
      <w:t xml:space="preserve">  </w:t>
    </w:r>
    <w:r w:rsidRPr="00FF4C0F">
      <w:rPr>
        <w:sz w:val="20"/>
        <w:szCs w:val="20"/>
      </w:rPr>
      <w:fldChar w:fldCharType="begin"/>
    </w:r>
    <w:r w:rsidRPr="00FF4C0F">
      <w:rPr>
        <w:sz w:val="20"/>
        <w:szCs w:val="20"/>
      </w:rPr>
      <w:instrText xml:space="preserve"> STYLEREF  CharChapText  \* CHARFORMAT </w:instrText>
    </w:r>
    <w:r w:rsidRPr="00FF4C0F">
      <w:rPr>
        <w:sz w:val="20"/>
        <w:szCs w:val="20"/>
      </w:rPr>
      <w:fldChar w:fldCharType="separate"/>
    </w:r>
    <w:r w:rsidR="009275EE">
      <w:rPr>
        <w:noProof/>
        <w:sz w:val="20"/>
        <w:szCs w:val="20"/>
      </w:rPr>
      <w:t>International aspects of income tax</w:t>
    </w:r>
    <w:r w:rsidRPr="00FF4C0F">
      <w:rPr>
        <w:sz w:val="20"/>
        <w:szCs w:val="20"/>
      </w:rPr>
      <w:fldChar w:fldCharType="end"/>
    </w:r>
  </w:p>
  <w:p w:rsidR="00C664E8" w:rsidRPr="00FF4C0F" w:rsidRDefault="00C664E8">
    <w:pPr>
      <w:keepNext/>
      <w:rPr>
        <w:sz w:val="20"/>
        <w:szCs w:val="20"/>
      </w:rPr>
    </w:pPr>
    <w:r w:rsidRPr="00FF4C0F">
      <w:rPr>
        <w:sz w:val="20"/>
        <w:szCs w:val="20"/>
      </w:rPr>
      <w:fldChar w:fldCharType="begin"/>
    </w:r>
    <w:r w:rsidRPr="00FF4C0F">
      <w:rPr>
        <w:sz w:val="20"/>
        <w:szCs w:val="20"/>
      </w:rPr>
      <w:instrText xml:space="preserve"> </w:instrText>
    </w:r>
    <w:r w:rsidRPr="00FF4C0F">
      <w:rPr>
        <w:b/>
        <w:sz w:val="20"/>
        <w:szCs w:val="20"/>
      </w:rPr>
      <w:instrText>S</w:instrText>
    </w:r>
    <w:r w:rsidRPr="00FF4C0F">
      <w:rPr>
        <w:sz w:val="20"/>
        <w:szCs w:val="20"/>
      </w:rPr>
      <w:instrText xml:space="preserve">TYLEREF  CharPartNo  \* CHARFORMAT </w:instrText>
    </w:r>
    <w:r w:rsidRPr="00FF4C0F">
      <w:rPr>
        <w:sz w:val="20"/>
        <w:szCs w:val="20"/>
      </w:rPr>
      <w:fldChar w:fldCharType="separate"/>
    </w:r>
    <w:r w:rsidR="009275EE">
      <w:rPr>
        <w:b/>
        <w:noProof/>
        <w:sz w:val="20"/>
        <w:szCs w:val="20"/>
      </w:rPr>
      <w:t>Part 4-5</w:t>
    </w:r>
    <w:r w:rsidRPr="00FF4C0F">
      <w:rPr>
        <w:sz w:val="20"/>
        <w:szCs w:val="20"/>
      </w:rPr>
      <w:fldChar w:fldCharType="end"/>
    </w:r>
    <w:r w:rsidRPr="00FF4C0F">
      <w:rPr>
        <w:sz w:val="20"/>
        <w:szCs w:val="20"/>
      </w:rPr>
      <w:t xml:space="preserve">  </w:t>
    </w:r>
    <w:r w:rsidRPr="00FF4C0F">
      <w:rPr>
        <w:sz w:val="20"/>
        <w:szCs w:val="20"/>
      </w:rPr>
      <w:fldChar w:fldCharType="begin"/>
    </w:r>
    <w:r w:rsidRPr="00FF4C0F">
      <w:rPr>
        <w:sz w:val="20"/>
        <w:szCs w:val="20"/>
      </w:rPr>
      <w:instrText xml:space="preserve"> STYLEREF  CharPartText  \* CHARFORMAT </w:instrText>
    </w:r>
    <w:r w:rsidRPr="00FF4C0F">
      <w:rPr>
        <w:sz w:val="20"/>
        <w:szCs w:val="20"/>
      </w:rPr>
      <w:fldChar w:fldCharType="separate"/>
    </w:r>
    <w:r w:rsidR="009275EE">
      <w:rPr>
        <w:noProof/>
        <w:sz w:val="20"/>
        <w:szCs w:val="20"/>
      </w:rPr>
      <w:t>General</w:t>
    </w:r>
    <w:r w:rsidRPr="00FF4C0F">
      <w:rPr>
        <w:sz w:val="20"/>
        <w:szCs w:val="20"/>
      </w:rPr>
      <w:fldChar w:fldCharType="end"/>
    </w:r>
  </w:p>
  <w:p w:rsidR="00C664E8" w:rsidRPr="00FF4C0F" w:rsidRDefault="00C664E8">
    <w:pPr>
      <w:keepNext/>
      <w:rPr>
        <w:sz w:val="20"/>
        <w:szCs w:val="20"/>
      </w:rPr>
    </w:pPr>
    <w:r w:rsidRPr="00FF4C0F">
      <w:rPr>
        <w:sz w:val="20"/>
        <w:szCs w:val="20"/>
      </w:rPr>
      <w:fldChar w:fldCharType="begin"/>
    </w:r>
    <w:r w:rsidRPr="00FF4C0F">
      <w:rPr>
        <w:sz w:val="20"/>
        <w:szCs w:val="20"/>
      </w:rPr>
      <w:instrText xml:space="preserve"> </w:instrText>
    </w:r>
    <w:r w:rsidRPr="00FF4C0F">
      <w:rPr>
        <w:b/>
        <w:sz w:val="20"/>
        <w:szCs w:val="20"/>
      </w:rPr>
      <w:instrText>S</w:instrText>
    </w:r>
    <w:r w:rsidRPr="00FF4C0F">
      <w:rPr>
        <w:sz w:val="20"/>
        <w:szCs w:val="20"/>
      </w:rPr>
      <w:instrText xml:space="preserve">TYLEREF  CharDivNo  \* CHARFORMAT </w:instrText>
    </w:r>
    <w:r w:rsidRPr="00FF4C0F">
      <w:rPr>
        <w:sz w:val="20"/>
        <w:szCs w:val="20"/>
      </w:rPr>
      <w:fldChar w:fldCharType="separate"/>
    </w:r>
    <w:r w:rsidR="009275EE">
      <w:rPr>
        <w:b/>
        <w:noProof/>
        <w:sz w:val="20"/>
        <w:szCs w:val="20"/>
      </w:rPr>
      <w:t>Division 820</w:t>
    </w:r>
    <w:r w:rsidRPr="00FF4C0F">
      <w:rPr>
        <w:sz w:val="20"/>
        <w:szCs w:val="20"/>
      </w:rPr>
      <w:fldChar w:fldCharType="end"/>
    </w:r>
    <w:r w:rsidRPr="00FF4C0F">
      <w:rPr>
        <w:sz w:val="20"/>
        <w:szCs w:val="20"/>
      </w:rPr>
      <w:t xml:space="preserve">  </w:t>
    </w:r>
    <w:r w:rsidRPr="00FF4C0F">
      <w:rPr>
        <w:sz w:val="20"/>
        <w:szCs w:val="20"/>
      </w:rPr>
      <w:fldChar w:fldCharType="begin"/>
    </w:r>
    <w:r w:rsidRPr="00FF4C0F">
      <w:rPr>
        <w:sz w:val="20"/>
        <w:szCs w:val="20"/>
      </w:rPr>
      <w:instrText xml:space="preserve"> STYLEREF  CharDivText  \* CHARFORMAT </w:instrText>
    </w:r>
    <w:r w:rsidRPr="00FF4C0F">
      <w:rPr>
        <w:sz w:val="20"/>
        <w:szCs w:val="20"/>
      </w:rPr>
      <w:fldChar w:fldCharType="separate"/>
    </w:r>
    <w:r w:rsidR="009275EE">
      <w:rPr>
        <w:noProof/>
        <w:sz w:val="20"/>
        <w:szCs w:val="20"/>
      </w:rPr>
      <w:t>Thin capitalisation rules</w:t>
    </w:r>
    <w:r w:rsidRPr="00FF4C0F">
      <w:rPr>
        <w:sz w:val="20"/>
        <w:szCs w:val="20"/>
      </w:rPr>
      <w:fldChar w:fldCharType="end"/>
    </w:r>
  </w:p>
  <w:p w:rsidR="00C664E8" w:rsidRPr="00E140E4" w:rsidRDefault="00C664E8">
    <w:pPr>
      <w:keepNext/>
    </w:pPr>
  </w:p>
  <w:p w:rsidR="00C664E8" w:rsidRPr="00E140E4" w:rsidRDefault="00C664E8" w:rsidP="00887330">
    <w:pPr>
      <w:keepNext/>
      <w:rPr>
        <w:b/>
      </w:rPr>
    </w:pPr>
  </w:p>
  <w:p w:rsidR="00C664E8" w:rsidRPr="00E140E4" w:rsidRDefault="00C664E8">
    <w:pPr>
      <w:pStyle w:val="Header"/>
      <w:pBdr>
        <w:top w:val="single" w:sz="6"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4E8" w:rsidRPr="00FF4C0F" w:rsidRDefault="00C664E8">
    <w:pPr>
      <w:keepNext/>
      <w:jc w:val="right"/>
      <w:rPr>
        <w:sz w:val="20"/>
        <w:szCs w:val="20"/>
      </w:rPr>
    </w:pPr>
    <w:r w:rsidRPr="00FF4C0F">
      <w:rPr>
        <w:sz w:val="20"/>
        <w:szCs w:val="20"/>
      </w:rPr>
      <w:fldChar w:fldCharType="begin"/>
    </w:r>
    <w:r w:rsidRPr="00FF4C0F">
      <w:rPr>
        <w:sz w:val="20"/>
        <w:szCs w:val="20"/>
      </w:rPr>
      <w:instrText xml:space="preserve"> STYLEREF  CharChapText  \* CHARFORMAT </w:instrText>
    </w:r>
    <w:r w:rsidRPr="00FF4C0F">
      <w:rPr>
        <w:sz w:val="20"/>
        <w:szCs w:val="20"/>
      </w:rPr>
      <w:fldChar w:fldCharType="separate"/>
    </w:r>
    <w:r w:rsidR="00A75E51">
      <w:rPr>
        <w:noProof/>
        <w:sz w:val="20"/>
        <w:szCs w:val="20"/>
      </w:rPr>
      <w:t>International aspects of income tax</w:t>
    </w:r>
    <w:r w:rsidRPr="00FF4C0F">
      <w:rPr>
        <w:sz w:val="20"/>
        <w:szCs w:val="20"/>
      </w:rPr>
      <w:fldChar w:fldCharType="end"/>
    </w:r>
    <w:r w:rsidRPr="00FF4C0F">
      <w:rPr>
        <w:sz w:val="20"/>
        <w:szCs w:val="20"/>
      </w:rPr>
      <w:t xml:space="preserve">  </w:t>
    </w:r>
    <w:r w:rsidRPr="00FF4C0F">
      <w:rPr>
        <w:sz w:val="20"/>
        <w:szCs w:val="20"/>
      </w:rPr>
      <w:fldChar w:fldCharType="begin"/>
    </w:r>
    <w:r w:rsidRPr="00FF4C0F">
      <w:rPr>
        <w:sz w:val="20"/>
        <w:szCs w:val="20"/>
      </w:rPr>
      <w:instrText xml:space="preserve"> </w:instrText>
    </w:r>
    <w:r w:rsidRPr="00FF4C0F">
      <w:rPr>
        <w:b/>
        <w:sz w:val="20"/>
        <w:szCs w:val="20"/>
      </w:rPr>
      <w:instrText>S</w:instrText>
    </w:r>
    <w:r w:rsidRPr="00FF4C0F">
      <w:rPr>
        <w:sz w:val="20"/>
        <w:szCs w:val="20"/>
      </w:rPr>
      <w:instrText xml:space="preserve">TYLEREF  CharChapNo  \* CHARFORMAT </w:instrText>
    </w:r>
    <w:r w:rsidRPr="00FF4C0F">
      <w:rPr>
        <w:sz w:val="20"/>
        <w:szCs w:val="20"/>
      </w:rPr>
      <w:fldChar w:fldCharType="separate"/>
    </w:r>
    <w:r w:rsidR="00A75E51">
      <w:rPr>
        <w:b/>
        <w:noProof/>
        <w:sz w:val="20"/>
        <w:szCs w:val="20"/>
      </w:rPr>
      <w:t>Chapter 4</w:t>
    </w:r>
    <w:r w:rsidRPr="00FF4C0F">
      <w:rPr>
        <w:sz w:val="20"/>
        <w:szCs w:val="20"/>
      </w:rPr>
      <w:fldChar w:fldCharType="end"/>
    </w:r>
  </w:p>
  <w:p w:rsidR="00C664E8" w:rsidRPr="00FF4C0F" w:rsidRDefault="00C664E8">
    <w:pPr>
      <w:keepNext/>
      <w:jc w:val="right"/>
      <w:rPr>
        <w:sz w:val="20"/>
        <w:szCs w:val="20"/>
      </w:rPr>
    </w:pPr>
    <w:r w:rsidRPr="00FF4C0F">
      <w:rPr>
        <w:sz w:val="20"/>
        <w:szCs w:val="20"/>
      </w:rPr>
      <w:fldChar w:fldCharType="begin"/>
    </w:r>
    <w:r w:rsidRPr="00FF4C0F">
      <w:rPr>
        <w:sz w:val="20"/>
        <w:szCs w:val="20"/>
      </w:rPr>
      <w:instrText xml:space="preserve"> STYLEREF  CharPartText  \* CHARFORMAT </w:instrText>
    </w:r>
    <w:r w:rsidRPr="00FF4C0F">
      <w:rPr>
        <w:sz w:val="20"/>
        <w:szCs w:val="20"/>
      </w:rPr>
      <w:fldChar w:fldCharType="separate"/>
    </w:r>
    <w:r w:rsidR="00A75E51">
      <w:rPr>
        <w:noProof/>
        <w:sz w:val="20"/>
        <w:szCs w:val="20"/>
      </w:rPr>
      <w:t>General</w:t>
    </w:r>
    <w:r w:rsidRPr="00FF4C0F">
      <w:rPr>
        <w:sz w:val="20"/>
        <w:szCs w:val="20"/>
      </w:rPr>
      <w:fldChar w:fldCharType="end"/>
    </w:r>
    <w:r w:rsidRPr="00FF4C0F">
      <w:rPr>
        <w:sz w:val="20"/>
        <w:szCs w:val="20"/>
      </w:rPr>
      <w:t xml:space="preserve">  </w:t>
    </w:r>
    <w:r w:rsidRPr="00FF4C0F">
      <w:rPr>
        <w:sz w:val="20"/>
        <w:szCs w:val="20"/>
      </w:rPr>
      <w:fldChar w:fldCharType="begin"/>
    </w:r>
    <w:r w:rsidRPr="00FF4C0F">
      <w:rPr>
        <w:b/>
        <w:sz w:val="20"/>
        <w:szCs w:val="20"/>
      </w:rPr>
      <w:instrText xml:space="preserve"> S</w:instrText>
    </w:r>
    <w:r w:rsidRPr="00FF4C0F">
      <w:rPr>
        <w:sz w:val="20"/>
        <w:szCs w:val="20"/>
      </w:rPr>
      <w:instrText xml:space="preserve">TYLEREF  CharPartNo  \* CHARFORMAT </w:instrText>
    </w:r>
    <w:r w:rsidRPr="00FF4C0F">
      <w:rPr>
        <w:sz w:val="20"/>
        <w:szCs w:val="20"/>
      </w:rPr>
      <w:fldChar w:fldCharType="separate"/>
    </w:r>
    <w:r w:rsidR="00A75E51">
      <w:rPr>
        <w:b/>
        <w:noProof/>
        <w:sz w:val="20"/>
        <w:szCs w:val="20"/>
      </w:rPr>
      <w:t>Part 4-5</w:t>
    </w:r>
    <w:r w:rsidRPr="00FF4C0F">
      <w:rPr>
        <w:sz w:val="20"/>
        <w:szCs w:val="20"/>
      </w:rPr>
      <w:fldChar w:fldCharType="end"/>
    </w:r>
  </w:p>
  <w:p w:rsidR="00C664E8" w:rsidRPr="00FF4C0F" w:rsidRDefault="00C664E8">
    <w:pPr>
      <w:keepNext/>
      <w:jc w:val="right"/>
      <w:rPr>
        <w:sz w:val="20"/>
        <w:szCs w:val="20"/>
      </w:rPr>
    </w:pPr>
    <w:r w:rsidRPr="00FF4C0F">
      <w:rPr>
        <w:sz w:val="20"/>
        <w:szCs w:val="20"/>
      </w:rPr>
      <w:fldChar w:fldCharType="begin"/>
    </w:r>
    <w:r w:rsidRPr="00FF4C0F">
      <w:rPr>
        <w:sz w:val="20"/>
        <w:szCs w:val="20"/>
      </w:rPr>
      <w:instrText xml:space="preserve"> STYLEREF  CharDivText  \* CHARFORMAT </w:instrText>
    </w:r>
    <w:r w:rsidRPr="00FF4C0F">
      <w:rPr>
        <w:sz w:val="20"/>
        <w:szCs w:val="20"/>
      </w:rPr>
      <w:fldChar w:fldCharType="separate"/>
    </w:r>
    <w:r w:rsidR="00A75E51">
      <w:rPr>
        <w:noProof/>
        <w:sz w:val="20"/>
        <w:szCs w:val="20"/>
      </w:rPr>
      <w:t>Thin capitalisation rules</w:t>
    </w:r>
    <w:r w:rsidRPr="00FF4C0F">
      <w:rPr>
        <w:sz w:val="20"/>
        <w:szCs w:val="20"/>
      </w:rPr>
      <w:fldChar w:fldCharType="end"/>
    </w:r>
    <w:r w:rsidRPr="00FF4C0F">
      <w:rPr>
        <w:sz w:val="20"/>
        <w:szCs w:val="20"/>
      </w:rPr>
      <w:t xml:space="preserve">  </w:t>
    </w:r>
    <w:r w:rsidRPr="00FF4C0F">
      <w:rPr>
        <w:sz w:val="20"/>
        <w:szCs w:val="20"/>
      </w:rPr>
      <w:fldChar w:fldCharType="begin"/>
    </w:r>
    <w:r w:rsidRPr="00FF4C0F">
      <w:rPr>
        <w:sz w:val="20"/>
        <w:szCs w:val="20"/>
      </w:rPr>
      <w:instrText xml:space="preserve"> </w:instrText>
    </w:r>
    <w:r w:rsidRPr="00FF4C0F">
      <w:rPr>
        <w:b/>
        <w:sz w:val="20"/>
        <w:szCs w:val="20"/>
      </w:rPr>
      <w:instrText>S</w:instrText>
    </w:r>
    <w:r w:rsidRPr="00FF4C0F">
      <w:rPr>
        <w:sz w:val="20"/>
        <w:szCs w:val="20"/>
      </w:rPr>
      <w:instrText xml:space="preserve">TYLEREF  CharDivNo  \* CHARFORMAT </w:instrText>
    </w:r>
    <w:r w:rsidRPr="00FF4C0F">
      <w:rPr>
        <w:sz w:val="20"/>
        <w:szCs w:val="20"/>
      </w:rPr>
      <w:fldChar w:fldCharType="separate"/>
    </w:r>
    <w:r w:rsidR="00A75E51">
      <w:rPr>
        <w:b/>
        <w:noProof/>
        <w:sz w:val="20"/>
        <w:szCs w:val="20"/>
      </w:rPr>
      <w:t>Division 820</w:t>
    </w:r>
    <w:r w:rsidRPr="00FF4C0F">
      <w:rPr>
        <w:sz w:val="20"/>
        <w:szCs w:val="20"/>
      </w:rPr>
      <w:fldChar w:fldCharType="end"/>
    </w:r>
  </w:p>
  <w:p w:rsidR="00C664E8" w:rsidRPr="00E140E4" w:rsidRDefault="00C664E8">
    <w:pPr>
      <w:keepNext/>
      <w:jc w:val="right"/>
    </w:pPr>
  </w:p>
  <w:p w:rsidR="00C664E8" w:rsidRPr="0037294E" w:rsidRDefault="00C664E8">
    <w:pPr>
      <w:keepNext/>
      <w:jc w:val="right"/>
    </w:pPr>
  </w:p>
  <w:p w:rsidR="00C664E8" w:rsidRPr="008C6D62" w:rsidRDefault="00C664E8">
    <w:pPr>
      <w:pStyle w:val="Header"/>
      <w:pBdr>
        <w:top w:val="single" w:sz="6" w:space="1" w:color="auto"/>
      </w:pBdr>
      <w:jc w:val="right"/>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4E8" w:rsidRPr="008C6D62" w:rsidRDefault="00C664E8">
    <w:pPr>
      <w:keepNext/>
      <w:jc w:val="right"/>
      <w:rPr>
        <w:sz w:val="20"/>
        <w:szCs w:val="20"/>
      </w:rPr>
    </w:pPr>
  </w:p>
  <w:p w:rsidR="00C664E8" w:rsidRPr="008C6D62" w:rsidRDefault="00C664E8">
    <w:pPr>
      <w:keepNext/>
      <w:jc w:val="right"/>
      <w:rPr>
        <w:sz w:val="20"/>
        <w:szCs w:val="20"/>
      </w:rPr>
    </w:pPr>
  </w:p>
  <w:p w:rsidR="00C664E8" w:rsidRPr="008C6D62" w:rsidRDefault="00C664E8">
    <w:pPr>
      <w:keepNext/>
      <w:jc w:val="right"/>
      <w:rPr>
        <w:sz w:val="20"/>
        <w:szCs w:val="20"/>
      </w:rPr>
    </w:pPr>
  </w:p>
  <w:p w:rsidR="00C664E8" w:rsidRPr="00E140E4" w:rsidRDefault="00C664E8">
    <w:pPr>
      <w:keepNext/>
      <w:jc w:val="right"/>
    </w:pPr>
  </w:p>
  <w:p w:rsidR="00C664E8" w:rsidRPr="00E140E4" w:rsidRDefault="00C664E8">
    <w:pPr>
      <w:keepNext/>
      <w:jc w:val="right"/>
    </w:pPr>
  </w:p>
  <w:p w:rsidR="00C664E8" w:rsidRPr="008C6D62" w:rsidRDefault="00C664E8">
    <w:pPr>
      <w:pStyle w:val="Header"/>
      <w:pBdr>
        <w:top w:val="single" w:sz="6" w:space="1" w:color="auto"/>
      </w:pBdr>
      <w:jc w:val="right"/>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4E8" w:rsidRPr="00FF4C0F" w:rsidRDefault="00C664E8">
    <w:pPr>
      <w:keepNext/>
      <w:rPr>
        <w:sz w:val="20"/>
        <w:szCs w:val="20"/>
      </w:rPr>
    </w:pPr>
    <w:r w:rsidRPr="00FF4C0F">
      <w:rPr>
        <w:sz w:val="20"/>
        <w:szCs w:val="20"/>
      </w:rPr>
      <w:fldChar w:fldCharType="begin"/>
    </w:r>
    <w:r w:rsidRPr="00FF4C0F">
      <w:rPr>
        <w:sz w:val="20"/>
        <w:szCs w:val="20"/>
      </w:rPr>
      <w:instrText xml:space="preserve"> </w:instrText>
    </w:r>
    <w:r w:rsidRPr="00FF4C0F">
      <w:rPr>
        <w:b/>
        <w:sz w:val="20"/>
        <w:szCs w:val="20"/>
      </w:rPr>
      <w:instrText>S</w:instrText>
    </w:r>
    <w:r w:rsidRPr="00FF4C0F">
      <w:rPr>
        <w:sz w:val="20"/>
        <w:szCs w:val="20"/>
      </w:rPr>
      <w:instrText xml:space="preserve">TYLEREF  CharChapNo  \* CHARFORMAT </w:instrText>
    </w:r>
    <w:r w:rsidRPr="00FF4C0F">
      <w:rPr>
        <w:sz w:val="20"/>
        <w:szCs w:val="20"/>
      </w:rPr>
      <w:fldChar w:fldCharType="separate"/>
    </w:r>
    <w:r w:rsidR="00A75E51">
      <w:rPr>
        <w:b/>
        <w:noProof/>
        <w:sz w:val="20"/>
        <w:szCs w:val="20"/>
      </w:rPr>
      <w:t>Chapter 6</w:t>
    </w:r>
    <w:r w:rsidRPr="00FF4C0F">
      <w:rPr>
        <w:sz w:val="20"/>
        <w:szCs w:val="20"/>
      </w:rPr>
      <w:fldChar w:fldCharType="end"/>
    </w:r>
    <w:r w:rsidRPr="00FF4C0F">
      <w:rPr>
        <w:sz w:val="20"/>
        <w:szCs w:val="20"/>
      </w:rPr>
      <w:t xml:space="preserve">  </w:t>
    </w:r>
    <w:r w:rsidRPr="00FF4C0F">
      <w:rPr>
        <w:sz w:val="20"/>
        <w:szCs w:val="20"/>
      </w:rPr>
      <w:fldChar w:fldCharType="begin"/>
    </w:r>
    <w:r w:rsidRPr="00FF4C0F">
      <w:rPr>
        <w:sz w:val="20"/>
        <w:szCs w:val="20"/>
      </w:rPr>
      <w:instrText xml:space="preserve"> STYLEREF  CharChapText  \* CHARFORMAT </w:instrText>
    </w:r>
    <w:r w:rsidRPr="00FF4C0F">
      <w:rPr>
        <w:sz w:val="20"/>
        <w:szCs w:val="20"/>
      </w:rPr>
      <w:fldChar w:fldCharType="separate"/>
    </w:r>
    <w:r w:rsidR="00A75E51">
      <w:rPr>
        <w:noProof/>
        <w:sz w:val="20"/>
        <w:szCs w:val="20"/>
      </w:rPr>
      <w:t>The Dictionary</w:t>
    </w:r>
    <w:r w:rsidRPr="00FF4C0F">
      <w:rPr>
        <w:sz w:val="20"/>
        <w:szCs w:val="20"/>
      </w:rPr>
      <w:fldChar w:fldCharType="end"/>
    </w:r>
  </w:p>
  <w:p w:rsidR="00C664E8" w:rsidRPr="00FF4C0F" w:rsidRDefault="00C664E8">
    <w:pPr>
      <w:keepNext/>
      <w:rPr>
        <w:sz w:val="20"/>
        <w:szCs w:val="20"/>
      </w:rPr>
    </w:pPr>
    <w:r w:rsidRPr="00FF4C0F">
      <w:rPr>
        <w:sz w:val="20"/>
        <w:szCs w:val="20"/>
      </w:rPr>
      <w:fldChar w:fldCharType="begin"/>
    </w:r>
    <w:r w:rsidRPr="00FF4C0F">
      <w:rPr>
        <w:sz w:val="20"/>
        <w:szCs w:val="20"/>
      </w:rPr>
      <w:instrText xml:space="preserve"> </w:instrText>
    </w:r>
    <w:r w:rsidRPr="00FF4C0F">
      <w:rPr>
        <w:b/>
        <w:sz w:val="20"/>
        <w:szCs w:val="20"/>
      </w:rPr>
      <w:instrText>S</w:instrText>
    </w:r>
    <w:r w:rsidRPr="00FF4C0F">
      <w:rPr>
        <w:sz w:val="20"/>
        <w:szCs w:val="20"/>
      </w:rPr>
      <w:instrText xml:space="preserve">TYLEREF  CharPartNo  \* CHARFORMAT </w:instrText>
    </w:r>
    <w:r w:rsidRPr="00FF4C0F">
      <w:rPr>
        <w:sz w:val="20"/>
        <w:szCs w:val="20"/>
      </w:rPr>
      <w:fldChar w:fldCharType="separate"/>
    </w:r>
    <w:r w:rsidR="00A75E51">
      <w:rPr>
        <w:b/>
        <w:noProof/>
        <w:sz w:val="20"/>
        <w:szCs w:val="20"/>
      </w:rPr>
      <w:t>Part 6-5</w:t>
    </w:r>
    <w:r w:rsidRPr="00FF4C0F">
      <w:rPr>
        <w:sz w:val="20"/>
        <w:szCs w:val="20"/>
      </w:rPr>
      <w:fldChar w:fldCharType="end"/>
    </w:r>
    <w:r w:rsidRPr="00FF4C0F">
      <w:rPr>
        <w:sz w:val="20"/>
        <w:szCs w:val="20"/>
      </w:rPr>
      <w:t xml:space="preserve">  </w:t>
    </w:r>
    <w:r w:rsidRPr="00FF4C0F">
      <w:rPr>
        <w:sz w:val="20"/>
        <w:szCs w:val="20"/>
      </w:rPr>
      <w:fldChar w:fldCharType="begin"/>
    </w:r>
    <w:r w:rsidRPr="00FF4C0F">
      <w:rPr>
        <w:sz w:val="20"/>
        <w:szCs w:val="20"/>
      </w:rPr>
      <w:instrText xml:space="preserve"> STYLEREF  CharPartText  \* CHARFORMAT </w:instrText>
    </w:r>
    <w:r w:rsidRPr="00FF4C0F">
      <w:rPr>
        <w:sz w:val="20"/>
        <w:szCs w:val="20"/>
      </w:rPr>
      <w:fldChar w:fldCharType="separate"/>
    </w:r>
    <w:r w:rsidR="00A75E51">
      <w:rPr>
        <w:noProof/>
        <w:sz w:val="20"/>
        <w:szCs w:val="20"/>
      </w:rPr>
      <w:t>Dictionary definitions</w:t>
    </w:r>
    <w:r w:rsidRPr="00FF4C0F">
      <w:rPr>
        <w:sz w:val="20"/>
        <w:szCs w:val="20"/>
      </w:rPr>
      <w:fldChar w:fldCharType="end"/>
    </w:r>
  </w:p>
  <w:p w:rsidR="00C664E8" w:rsidRPr="00FF4C0F" w:rsidRDefault="00C664E8">
    <w:pPr>
      <w:keepNext/>
      <w:rPr>
        <w:sz w:val="20"/>
        <w:szCs w:val="20"/>
      </w:rPr>
    </w:pPr>
    <w:r w:rsidRPr="00FF4C0F">
      <w:rPr>
        <w:sz w:val="20"/>
        <w:szCs w:val="20"/>
      </w:rPr>
      <w:fldChar w:fldCharType="begin"/>
    </w:r>
    <w:r w:rsidRPr="00FF4C0F">
      <w:rPr>
        <w:sz w:val="20"/>
        <w:szCs w:val="20"/>
      </w:rPr>
      <w:instrText xml:space="preserve"> </w:instrText>
    </w:r>
    <w:r w:rsidRPr="00FF4C0F">
      <w:rPr>
        <w:b/>
        <w:sz w:val="20"/>
        <w:szCs w:val="20"/>
      </w:rPr>
      <w:instrText>S</w:instrText>
    </w:r>
    <w:r w:rsidRPr="00FF4C0F">
      <w:rPr>
        <w:sz w:val="20"/>
        <w:szCs w:val="20"/>
      </w:rPr>
      <w:instrText xml:space="preserve">TYLEREF  CharDivNo  \* CHARFORMAT </w:instrText>
    </w:r>
    <w:r w:rsidRPr="00FF4C0F">
      <w:rPr>
        <w:sz w:val="20"/>
        <w:szCs w:val="20"/>
      </w:rPr>
      <w:fldChar w:fldCharType="separate"/>
    </w:r>
    <w:r w:rsidR="00A75E51">
      <w:rPr>
        <w:b/>
        <w:noProof/>
        <w:sz w:val="20"/>
        <w:szCs w:val="20"/>
      </w:rPr>
      <w:t>Division 995</w:t>
    </w:r>
    <w:r w:rsidRPr="00FF4C0F">
      <w:rPr>
        <w:sz w:val="20"/>
        <w:szCs w:val="20"/>
      </w:rPr>
      <w:fldChar w:fldCharType="end"/>
    </w:r>
    <w:r w:rsidRPr="00FF4C0F">
      <w:rPr>
        <w:sz w:val="20"/>
        <w:szCs w:val="20"/>
      </w:rPr>
      <w:t xml:space="preserve">  </w:t>
    </w:r>
    <w:r w:rsidRPr="00FF4C0F">
      <w:rPr>
        <w:sz w:val="20"/>
        <w:szCs w:val="20"/>
      </w:rPr>
      <w:fldChar w:fldCharType="begin"/>
    </w:r>
    <w:r w:rsidRPr="00FF4C0F">
      <w:rPr>
        <w:sz w:val="20"/>
        <w:szCs w:val="20"/>
      </w:rPr>
      <w:instrText xml:space="preserve"> STYLEREF  CharDivText  \* CHARFORMAT </w:instrText>
    </w:r>
    <w:r w:rsidRPr="00FF4C0F">
      <w:rPr>
        <w:sz w:val="20"/>
        <w:szCs w:val="20"/>
      </w:rPr>
      <w:fldChar w:fldCharType="separate"/>
    </w:r>
    <w:r w:rsidR="00A75E51">
      <w:rPr>
        <w:noProof/>
        <w:sz w:val="20"/>
        <w:szCs w:val="20"/>
      </w:rPr>
      <w:t>Definitions</w:t>
    </w:r>
    <w:r w:rsidRPr="00FF4C0F">
      <w:rPr>
        <w:sz w:val="20"/>
        <w:szCs w:val="20"/>
      </w:rPr>
      <w:fldChar w:fldCharType="end"/>
    </w:r>
  </w:p>
  <w:p w:rsidR="00C664E8" w:rsidRPr="00E140E4" w:rsidRDefault="00C664E8">
    <w:pPr>
      <w:keepNext/>
    </w:pPr>
  </w:p>
  <w:p w:rsidR="00C664E8" w:rsidRPr="004D4D59" w:rsidRDefault="00C664E8">
    <w:pPr>
      <w:keepNext/>
      <w:rPr>
        <w:b/>
      </w:rPr>
    </w:pPr>
    <w:r w:rsidRPr="004D4D59">
      <w:t xml:space="preserve">Section </w:t>
    </w:r>
    <w:fldSimple w:instr=" STYLEREF  CharSectno  \* CHARFORMAT ">
      <w:r w:rsidR="00A75E51">
        <w:rPr>
          <w:noProof/>
        </w:rPr>
        <w:t>995-1</w:t>
      </w:r>
    </w:fldSimple>
  </w:p>
  <w:p w:rsidR="00C664E8" w:rsidRPr="00E140E4" w:rsidRDefault="00C664E8">
    <w:pPr>
      <w:pStyle w:val="Header"/>
      <w:pBdr>
        <w:top w:val="single" w:sz="6"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4E8" w:rsidRPr="008C6D62" w:rsidRDefault="00C664E8">
    <w:pPr>
      <w:keepNext/>
      <w:jc w:val="right"/>
      <w:rPr>
        <w:sz w:val="20"/>
        <w:szCs w:val="20"/>
      </w:rPr>
    </w:pPr>
  </w:p>
  <w:p w:rsidR="00C664E8" w:rsidRPr="008C6D62" w:rsidRDefault="00C664E8">
    <w:pPr>
      <w:keepNext/>
      <w:jc w:val="right"/>
      <w:rPr>
        <w:sz w:val="20"/>
        <w:szCs w:val="20"/>
      </w:rPr>
    </w:pPr>
  </w:p>
  <w:p w:rsidR="00C664E8" w:rsidRPr="008C6D62" w:rsidRDefault="00C664E8">
    <w:pPr>
      <w:keepNext/>
      <w:jc w:val="right"/>
      <w:rPr>
        <w:sz w:val="20"/>
        <w:szCs w:val="20"/>
      </w:rPr>
    </w:pPr>
  </w:p>
  <w:p w:rsidR="00C664E8" w:rsidRPr="00E140E4" w:rsidRDefault="00C664E8">
    <w:pPr>
      <w:keepNext/>
      <w:jc w:val="right"/>
    </w:pPr>
  </w:p>
  <w:p w:rsidR="00C664E8" w:rsidRPr="00E140E4" w:rsidRDefault="00C664E8">
    <w:pPr>
      <w:keepNext/>
      <w:jc w:val="right"/>
    </w:pPr>
  </w:p>
  <w:p w:rsidR="00C664E8" w:rsidRPr="008C6D62" w:rsidRDefault="00C664E8">
    <w:pPr>
      <w:pStyle w:val="Header"/>
      <w:pBdr>
        <w:top w:val="single" w:sz="6" w:space="1" w:color="auto"/>
      </w:pBdr>
      <w:jc w:val="right"/>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4E8" w:rsidRPr="00FF4C0F" w:rsidRDefault="00C664E8" w:rsidP="00564505">
    <w:pPr>
      <w:keepNext/>
      <w:jc w:val="right"/>
      <w:rPr>
        <w:sz w:val="20"/>
        <w:szCs w:val="20"/>
      </w:rPr>
    </w:pPr>
    <w:r w:rsidRPr="00FF4C0F">
      <w:rPr>
        <w:sz w:val="20"/>
        <w:szCs w:val="20"/>
      </w:rPr>
      <w:fldChar w:fldCharType="begin"/>
    </w:r>
    <w:r w:rsidRPr="00FF4C0F">
      <w:rPr>
        <w:sz w:val="20"/>
        <w:szCs w:val="20"/>
      </w:rPr>
      <w:instrText xml:space="preserve"> STYLEREF  CharChapText  \* CHARFORMAT </w:instrText>
    </w:r>
    <w:r w:rsidRPr="00FF4C0F">
      <w:rPr>
        <w:sz w:val="20"/>
        <w:szCs w:val="20"/>
      </w:rPr>
      <w:fldChar w:fldCharType="separate"/>
    </w:r>
    <w:r w:rsidR="00A75E51">
      <w:rPr>
        <w:noProof/>
        <w:sz w:val="20"/>
        <w:szCs w:val="20"/>
      </w:rPr>
      <w:t>The Dictionary</w:t>
    </w:r>
    <w:r w:rsidRPr="00FF4C0F">
      <w:rPr>
        <w:sz w:val="20"/>
        <w:szCs w:val="20"/>
      </w:rPr>
      <w:fldChar w:fldCharType="end"/>
    </w:r>
    <w:r w:rsidRPr="00FF4C0F">
      <w:rPr>
        <w:sz w:val="20"/>
        <w:szCs w:val="20"/>
      </w:rPr>
      <w:t xml:space="preserve">  </w:t>
    </w:r>
    <w:r w:rsidRPr="00FF4C0F">
      <w:rPr>
        <w:sz w:val="20"/>
        <w:szCs w:val="20"/>
      </w:rPr>
      <w:fldChar w:fldCharType="begin"/>
    </w:r>
    <w:r w:rsidRPr="00FF4C0F">
      <w:rPr>
        <w:sz w:val="20"/>
        <w:szCs w:val="20"/>
      </w:rPr>
      <w:instrText xml:space="preserve"> </w:instrText>
    </w:r>
    <w:r w:rsidRPr="00FF4C0F">
      <w:rPr>
        <w:b/>
        <w:sz w:val="20"/>
        <w:szCs w:val="20"/>
      </w:rPr>
      <w:instrText>S</w:instrText>
    </w:r>
    <w:r w:rsidRPr="00FF4C0F">
      <w:rPr>
        <w:sz w:val="20"/>
        <w:szCs w:val="20"/>
      </w:rPr>
      <w:instrText xml:space="preserve">TYLEREF  CharChapNo  \* CHARFORMAT </w:instrText>
    </w:r>
    <w:r w:rsidRPr="00FF4C0F">
      <w:rPr>
        <w:sz w:val="20"/>
        <w:szCs w:val="20"/>
      </w:rPr>
      <w:fldChar w:fldCharType="separate"/>
    </w:r>
    <w:r w:rsidR="00A75E51">
      <w:rPr>
        <w:b/>
        <w:noProof/>
        <w:sz w:val="20"/>
        <w:szCs w:val="20"/>
      </w:rPr>
      <w:t>Chapter 6</w:t>
    </w:r>
    <w:r w:rsidRPr="00FF4C0F">
      <w:rPr>
        <w:sz w:val="20"/>
        <w:szCs w:val="20"/>
      </w:rPr>
      <w:fldChar w:fldCharType="end"/>
    </w:r>
  </w:p>
  <w:p w:rsidR="00C664E8" w:rsidRPr="00FF4C0F" w:rsidRDefault="00C664E8" w:rsidP="00564505">
    <w:pPr>
      <w:keepNext/>
      <w:jc w:val="right"/>
      <w:rPr>
        <w:sz w:val="20"/>
        <w:szCs w:val="20"/>
      </w:rPr>
    </w:pPr>
    <w:r w:rsidRPr="00FF4C0F">
      <w:rPr>
        <w:sz w:val="20"/>
        <w:szCs w:val="20"/>
      </w:rPr>
      <w:fldChar w:fldCharType="begin"/>
    </w:r>
    <w:r w:rsidRPr="00FF4C0F">
      <w:rPr>
        <w:sz w:val="20"/>
        <w:szCs w:val="20"/>
      </w:rPr>
      <w:instrText xml:space="preserve"> STYLEREF  CharPartText  \* CHARFORMAT </w:instrText>
    </w:r>
    <w:r w:rsidRPr="00FF4C0F">
      <w:rPr>
        <w:sz w:val="20"/>
        <w:szCs w:val="20"/>
      </w:rPr>
      <w:fldChar w:fldCharType="separate"/>
    </w:r>
    <w:r w:rsidR="00A75E51">
      <w:rPr>
        <w:noProof/>
        <w:sz w:val="20"/>
        <w:szCs w:val="20"/>
      </w:rPr>
      <w:t>Dictionary definitions</w:t>
    </w:r>
    <w:r w:rsidRPr="00FF4C0F">
      <w:rPr>
        <w:sz w:val="20"/>
        <w:szCs w:val="20"/>
      </w:rPr>
      <w:fldChar w:fldCharType="end"/>
    </w:r>
    <w:r w:rsidRPr="00FF4C0F">
      <w:rPr>
        <w:sz w:val="20"/>
        <w:szCs w:val="20"/>
      </w:rPr>
      <w:t xml:space="preserve">  </w:t>
    </w:r>
    <w:r w:rsidRPr="00FF4C0F">
      <w:rPr>
        <w:sz w:val="20"/>
        <w:szCs w:val="20"/>
      </w:rPr>
      <w:fldChar w:fldCharType="begin"/>
    </w:r>
    <w:r w:rsidRPr="00FF4C0F">
      <w:rPr>
        <w:b/>
        <w:sz w:val="20"/>
        <w:szCs w:val="20"/>
      </w:rPr>
      <w:instrText xml:space="preserve"> S</w:instrText>
    </w:r>
    <w:r w:rsidRPr="00FF4C0F">
      <w:rPr>
        <w:sz w:val="20"/>
        <w:szCs w:val="20"/>
      </w:rPr>
      <w:instrText xml:space="preserve">TYLEREF  CharPartNo  \* CHARFORMAT </w:instrText>
    </w:r>
    <w:r w:rsidRPr="00FF4C0F">
      <w:rPr>
        <w:sz w:val="20"/>
        <w:szCs w:val="20"/>
      </w:rPr>
      <w:fldChar w:fldCharType="separate"/>
    </w:r>
    <w:r w:rsidR="00A75E51">
      <w:rPr>
        <w:b/>
        <w:noProof/>
        <w:sz w:val="20"/>
        <w:szCs w:val="20"/>
      </w:rPr>
      <w:t>Part 6-5</w:t>
    </w:r>
    <w:r w:rsidRPr="00FF4C0F">
      <w:rPr>
        <w:sz w:val="20"/>
        <w:szCs w:val="20"/>
      </w:rPr>
      <w:fldChar w:fldCharType="end"/>
    </w:r>
  </w:p>
  <w:p w:rsidR="00C664E8" w:rsidRPr="00FF4C0F" w:rsidRDefault="00C664E8" w:rsidP="00564505">
    <w:pPr>
      <w:keepNext/>
      <w:jc w:val="right"/>
      <w:rPr>
        <w:sz w:val="20"/>
        <w:szCs w:val="20"/>
      </w:rPr>
    </w:pPr>
    <w:r w:rsidRPr="00FF4C0F">
      <w:rPr>
        <w:sz w:val="20"/>
        <w:szCs w:val="20"/>
      </w:rPr>
      <w:fldChar w:fldCharType="begin"/>
    </w:r>
    <w:r w:rsidRPr="00FF4C0F">
      <w:rPr>
        <w:sz w:val="20"/>
        <w:szCs w:val="20"/>
      </w:rPr>
      <w:instrText xml:space="preserve"> STYLEREF  CharDivText  \* CHARFORMAT </w:instrText>
    </w:r>
    <w:r w:rsidRPr="00FF4C0F">
      <w:rPr>
        <w:sz w:val="20"/>
        <w:szCs w:val="20"/>
      </w:rPr>
      <w:fldChar w:fldCharType="separate"/>
    </w:r>
    <w:r w:rsidR="00A75E51">
      <w:rPr>
        <w:noProof/>
        <w:sz w:val="20"/>
        <w:szCs w:val="20"/>
      </w:rPr>
      <w:t>Definitions</w:t>
    </w:r>
    <w:r w:rsidRPr="00FF4C0F">
      <w:rPr>
        <w:sz w:val="20"/>
        <w:szCs w:val="20"/>
      </w:rPr>
      <w:fldChar w:fldCharType="end"/>
    </w:r>
    <w:r w:rsidRPr="00FF4C0F">
      <w:rPr>
        <w:sz w:val="20"/>
        <w:szCs w:val="20"/>
      </w:rPr>
      <w:t xml:space="preserve">  </w:t>
    </w:r>
    <w:r w:rsidRPr="00FF4C0F">
      <w:rPr>
        <w:sz w:val="20"/>
        <w:szCs w:val="20"/>
      </w:rPr>
      <w:fldChar w:fldCharType="begin"/>
    </w:r>
    <w:r w:rsidRPr="00FF4C0F">
      <w:rPr>
        <w:sz w:val="20"/>
        <w:szCs w:val="20"/>
      </w:rPr>
      <w:instrText xml:space="preserve"> </w:instrText>
    </w:r>
    <w:r w:rsidRPr="00FF4C0F">
      <w:rPr>
        <w:b/>
        <w:sz w:val="20"/>
        <w:szCs w:val="20"/>
      </w:rPr>
      <w:instrText>S</w:instrText>
    </w:r>
    <w:r w:rsidRPr="00FF4C0F">
      <w:rPr>
        <w:sz w:val="20"/>
        <w:szCs w:val="20"/>
      </w:rPr>
      <w:instrText xml:space="preserve">TYLEREF  CharDivNo  \* CHARFORMAT </w:instrText>
    </w:r>
    <w:r w:rsidRPr="00FF4C0F">
      <w:rPr>
        <w:sz w:val="20"/>
        <w:szCs w:val="20"/>
      </w:rPr>
      <w:fldChar w:fldCharType="separate"/>
    </w:r>
    <w:r w:rsidR="00A75E51">
      <w:rPr>
        <w:b/>
        <w:noProof/>
        <w:sz w:val="20"/>
        <w:szCs w:val="20"/>
      </w:rPr>
      <w:t>Division 995</w:t>
    </w:r>
    <w:r w:rsidRPr="00FF4C0F">
      <w:rPr>
        <w:sz w:val="20"/>
        <w:szCs w:val="20"/>
      </w:rPr>
      <w:fldChar w:fldCharType="end"/>
    </w:r>
  </w:p>
  <w:p w:rsidR="00C664E8" w:rsidRPr="00E140E4" w:rsidRDefault="00C664E8" w:rsidP="00564505">
    <w:pPr>
      <w:keepNext/>
      <w:jc w:val="right"/>
    </w:pPr>
  </w:p>
  <w:p w:rsidR="00C664E8" w:rsidRPr="004D4D59" w:rsidRDefault="00C664E8" w:rsidP="00564505">
    <w:pPr>
      <w:keepNext/>
      <w:jc w:val="right"/>
    </w:pPr>
    <w:r w:rsidRPr="004D4D59">
      <w:t xml:space="preserve">Section </w:t>
    </w:r>
    <w:fldSimple w:instr=" STYLEREF  CharSectno  \* CHARFORMAT ">
      <w:r w:rsidR="00A75E51">
        <w:rPr>
          <w:noProof/>
        </w:rPr>
        <w:t>995-1</w:t>
      </w:r>
    </w:fldSimple>
  </w:p>
  <w:p w:rsidR="00C664E8" w:rsidRPr="008C6D62" w:rsidRDefault="00C664E8" w:rsidP="00564505">
    <w:pPr>
      <w:pStyle w:val="Header"/>
      <w:pBdr>
        <w:top w:val="single" w:sz="6" w:space="1" w:color="auto"/>
      </w:pBdr>
      <w:jc w:val="right"/>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4E8" w:rsidRPr="008C6D62" w:rsidRDefault="00C664E8">
    <w:pPr>
      <w:keepNext/>
      <w:jc w:val="right"/>
      <w:rPr>
        <w:sz w:val="20"/>
        <w:szCs w:val="20"/>
      </w:rPr>
    </w:pPr>
  </w:p>
  <w:p w:rsidR="00C664E8" w:rsidRPr="008C6D62" w:rsidRDefault="00C664E8">
    <w:pPr>
      <w:keepNext/>
      <w:jc w:val="right"/>
      <w:rPr>
        <w:sz w:val="20"/>
        <w:szCs w:val="20"/>
      </w:rPr>
    </w:pPr>
  </w:p>
  <w:p w:rsidR="00C664E8" w:rsidRPr="008C6D62" w:rsidRDefault="00C664E8">
    <w:pPr>
      <w:keepNext/>
      <w:jc w:val="right"/>
      <w:rPr>
        <w:sz w:val="20"/>
        <w:szCs w:val="20"/>
      </w:rPr>
    </w:pPr>
  </w:p>
  <w:p w:rsidR="00C664E8" w:rsidRPr="00E140E4" w:rsidRDefault="00C664E8">
    <w:pPr>
      <w:keepNext/>
      <w:jc w:val="right"/>
    </w:pPr>
  </w:p>
  <w:p w:rsidR="00C664E8" w:rsidRPr="00E140E4" w:rsidRDefault="00C664E8">
    <w:pPr>
      <w:keepNext/>
      <w:jc w:val="right"/>
    </w:pPr>
  </w:p>
  <w:p w:rsidR="00C664E8" w:rsidRPr="008C6D62" w:rsidRDefault="00C664E8">
    <w:pPr>
      <w:pStyle w:val="Header"/>
      <w:pBdr>
        <w:top w:val="single" w:sz="12" w:space="1" w:color="auto"/>
      </w:pBdr>
      <w:jc w:val="right"/>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4E8" w:rsidRDefault="00C664E8">
    <w:pPr>
      <w:jc w:val="right"/>
    </w:pPr>
  </w:p>
  <w:p w:rsidR="00C664E8" w:rsidRDefault="00C664E8">
    <w:pPr>
      <w:jc w:val="right"/>
      <w:rPr>
        <w:i/>
      </w:rPr>
    </w:pPr>
  </w:p>
  <w:p w:rsidR="00C664E8" w:rsidRDefault="00C664E8">
    <w:pPr>
      <w:jc w:val="right"/>
    </w:pPr>
  </w:p>
  <w:p w:rsidR="00C664E8" w:rsidRDefault="00C664E8">
    <w:pPr>
      <w:jc w:val="right"/>
    </w:pPr>
  </w:p>
  <w:p w:rsidR="00C664E8" w:rsidRDefault="00C664E8">
    <w:pPr>
      <w:pBdr>
        <w:bottom w:val="single" w:sz="12" w:space="1" w:color="auto"/>
      </w:pBdr>
      <w:jc w:val="right"/>
      <w:rPr>
        <w:i/>
      </w:rPr>
    </w:pPr>
  </w:p>
  <w:p w:rsidR="00C664E8" w:rsidRDefault="00C664E8">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4E8" w:rsidRDefault="00C664E8">
    <w:pPr>
      <w:jc w:val="right"/>
      <w:rPr>
        <w:b/>
      </w:rPr>
    </w:pPr>
  </w:p>
  <w:p w:rsidR="00C664E8" w:rsidRDefault="00C664E8">
    <w:pPr>
      <w:jc w:val="right"/>
      <w:rPr>
        <w:b/>
        <w:i/>
      </w:rPr>
    </w:pPr>
  </w:p>
  <w:p w:rsidR="00C664E8" w:rsidRDefault="00C664E8">
    <w:pPr>
      <w:jc w:val="right"/>
    </w:pPr>
  </w:p>
  <w:p w:rsidR="00C664E8" w:rsidRDefault="00C664E8">
    <w:pPr>
      <w:jc w:val="right"/>
      <w:rPr>
        <w:b/>
      </w:rPr>
    </w:pPr>
  </w:p>
  <w:p w:rsidR="00C664E8" w:rsidRDefault="00C664E8">
    <w:pPr>
      <w:pBdr>
        <w:bottom w:val="single" w:sz="12" w:space="1" w:color="auto"/>
      </w:pBdr>
      <w:jc w:val="right"/>
      <w:rPr>
        <w:b/>
        <w:i/>
      </w:rPr>
    </w:pPr>
  </w:p>
  <w:p w:rsidR="00C664E8" w:rsidRDefault="00C664E8">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4E8" w:rsidRDefault="00C664E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5EE" w:rsidRDefault="009275E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4E8" w:rsidRDefault="00C664E8">
    <w:pPr>
      <w:pStyle w:val="headerpartodd"/>
      <w:jc w:val="right"/>
    </w:pPr>
  </w:p>
  <w:p w:rsidR="00C664E8" w:rsidRDefault="00C664E8">
    <w:pPr>
      <w:pStyle w:val="headerpartodd"/>
      <w:jc w:val="right"/>
      <w:rPr>
        <w:i/>
      </w:rPr>
    </w:pPr>
  </w:p>
  <w:p w:rsidR="00C664E8" w:rsidRDefault="00C664E8">
    <w:pPr>
      <w:pStyle w:val="headerpartodd"/>
      <w:jc w:val="right"/>
    </w:pPr>
  </w:p>
  <w:p w:rsidR="00C664E8" w:rsidRDefault="00C664E8">
    <w:pPr>
      <w:pStyle w:val="headerpartodd"/>
      <w:jc w:val="right"/>
      <w:rPr>
        <w:sz w:val="24"/>
      </w:rPr>
    </w:pPr>
  </w:p>
  <w:p w:rsidR="00C664E8" w:rsidRDefault="00C664E8">
    <w:pPr>
      <w:pStyle w:val="headerpartodd"/>
      <w:pBdr>
        <w:bottom w:val="single" w:sz="6" w:space="1" w:color="auto"/>
      </w:pBdr>
      <w:jc w:val="right"/>
      <w:rPr>
        <w:i/>
        <w:sz w:val="24"/>
      </w:rPr>
    </w:pPr>
  </w:p>
  <w:p w:rsidR="00C664E8" w:rsidRDefault="00C664E8">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4E8" w:rsidRDefault="00C664E8">
    <w:pPr>
      <w:pStyle w:val="headerpartodd"/>
      <w:jc w:val="right"/>
      <w:rPr>
        <w:b/>
      </w:rPr>
    </w:pPr>
  </w:p>
  <w:p w:rsidR="00C664E8" w:rsidRDefault="00C664E8">
    <w:pPr>
      <w:pStyle w:val="headerpartodd"/>
      <w:jc w:val="right"/>
      <w:rPr>
        <w:b/>
        <w:i/>
      </w:rPr>
    </w:pPr>
  </w:p>
  <w:p w:rsidR="00C664E8" w:rsidRDefault="00C664E8">
    <w:pPr>
      <w:pStyle w:val="headerpartodd"/>
      <w:jc w:val="right"/>
    </w:pPr>
  </w:p>
  <w:p w:rsidR="00C664E8" w:rsidRDefault="00C664E8">
    <w:pPr>
      <w:pStyle w:val="headerpartodd"/>
      <w:jc w:val="right"/>
      <w:rPr>
        <w:b/>
        <w:sz w:val="24"/>
      </w:rPr>
    </w:pPr>
  </w:p>
  <w:p w:rsidR="00C664E8" w:rsidRDefault="00C664E8">
    <w:pPr>
      <w:pStyle w:val="headerpartodd"/>
      <w:pBdr>
        <w:bottom w:val="single" w:sz="6" w:space="1" w:color="auto"/>
      </w:pBdr>
      <w:jc w:val="right"/>
      <w:rPr>
        <w:b/>
        <w:i/>
        <w:sz w:val="24"/>
      </w:rPr>
    </w:pPr>
  </w:p>
  <w:p w:rsidR="00C664E8" w:rsidRDefault="00C664E8">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4E8" w:rsidRDefault="00C664E8"/>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4E8" w:rsidRPr="00FF4C0F" w:rsidRDefault="00C664E8">
    <w:pPr>
      <w:keepNext/>
      <w:rPr>
        <w:sz w:val="20"/>
        <w:szCs w:val="20"/>
      </w:rPr>
    </w:pPr>
    <w:r w:rsidRPr="00FF4C0F">
      <w:rPr>
        <w:sz w:val="20"/>
        <w:szCs w:val="20"/>
      </w:rPr>
      <w:fldChar w:fldCharType="begin"/>
    </w:r>
    <w:r w:rsidRPr="00FF4C0F">
      <w:rPr>
        <w:sz w:val="20"/>
        <w:szCs w:val="20"/>
      </w:rPr>
      <w:instrText xml:space="preserve"> </w:instrText>
    </w:r>
    <w:r w:rsidRPr="00FF4C0F">
      <w:rPr>
        <w:b/>
        <w:sz w:val="20"/>
        <w:szCs w:val="20"/>
      </w:rPr>
      <w:instrText>S</w:instrText>
    </w:r>
    <w:r w:rsidRPr="00FF4C0F">
      <w:rPr>
        <w:sz w:val="20"/>
        <w:szCs w:val="20"/>
      </w:rPr>
      <w:instrText xml:space="preserve">TYLEREF  CharChapNo  \* CHARFORMAT </w:instrText>
    </w:r>
    <w:r w:rsidRPr="00FF4C0F">
      <w:rPr>
        <w:sz w:val="20"/>
        <w:szCs w:val="20"/>
      </w:rPr>
      <w:fldChar w:fldCharType="separate"/>
    </w:r>
    <w:r w:rsidR="00A75E51">
      <w:rPr>
        <w:b/>
        <w:noProof/>
        <w:sz w:val="20"/>
        <w:szCs w:val="20"/>
      </w:rPr>
      <w:t>Chapter 4</w:t>
    </w:r>
    <w:r w:rsidRPr="00FF4C0F">
      <w:rPr>
        <w:sz w:val="20"/>
        <w:szCs w:val="20"/>
      </w:rPr>
      <w:fldChar w:fldCharType="end"/>
    </w:r>
    <w:r w:rsidRPr="00FF4C0F">
      <w:rPr>
        <w:sz w:val="20"/>
        <w:szCs w:val="20"/>
      </w:rPr>
      <w:t xml:space="preserve">  </w:t>
    </w:r>
    <w:r w:rsidRPr="00FF4C0F">
      <w:rPr>
        <w:sz w:val="20"/>
        <w:szCs w:val="20"/>
      </w:rPr>
      <w:fldChar w:fldCharType="begin"/>
    </w:r>
    <w:r w:rsidRPr="00FF4C0F">
      <w:rPr>
        <w:sz w:val="20"/>
        <w:szCs w:val="20"/>
      </w:rPr>
      <w:instrText xml:space="preserve"> STYLEREF  CharChapText  \* CHARFORMAT </w:instrText>
    </w:r>
    <w:r w:rsidRPr="00FF4C0F">
      <w:rPr>
        <w:sz w:val="20"/>
        <w:szCs w:val="20"/>
      </w:rPr>
      <w:fldChar w:fldCharType="separate"/>
    </w:r>
    <w:r w:rsidR="00A75E51">
      <w:rPr>
        <w:noProof/>
        <w:sz w:val="20"/>
        <w:szCs w:val="20"/>
      </w:rPr>
      <w:t>International aspects of income tax</w:t>
    </w:r>
    <w:r w:rsidRPr="00FF4C0F">
      <w:rPr>
        <w:sz w:val="20"/>
        <w:szCs w:val="20"/>
      </w:rPr>
      <w:fldChar w:fldCharType="end"/>
    </w:r>
  </w:p>
  <w:p w:rsidR="00C664E8" w:rsidRPr="00FF4C0F" w:rsidRDefault="00C664E8">
    <w:pPr>
      <w:keepNext/>
      <w:rPr>
        <w:sz w:val="20"/>
        <w:szCs w:val="20"/>
      </w:rPr>
    </w:pPr>
    <w:r w:rsidRPr="00FF4C0F">
      <w:rPr>
        <w:sz w:val="20"/>
        <w:szCs w:val="20"/>
      </w:rPr>
      <w:fldChar w:fldCharType="begin"/>
    </w:r>
    <w:r w:rsidRPr="00FF4C0F">
      <w:rPr>
        <w:sz w:val="20"/>
        <w:szCs w:val="20"/>
      </w:rPr>
      <w:instrText xml:space="preserve"> </w:instrText>
    </w:r>
    <w:r w:rsidRPr="00FF4C0F">
      <w:rPr>
        <w:b/>
        <w:sz w:val="20"/>
        <w:szCs w:val="20"/>
      </w:rPr>
      <w:instrText>S</w:instrText>
    </w:r>
    <w:r w:rsidRPr="00FF4C0F">
      <w:rPr>
        <w:sz w:val="20"/>
        <w:szCs w:val="20"/>
      </w:rPr>
      <w:instrText xml:space="preserve">TYLEREF  CharPartNo  \* CHARFORMAT </w:instrText>
    </w:r>
    <w:r w:rsidRPr="00FF4C0F">
      <w:rPr>
        <w:sz w:val="20"/>
        <w:szCs w:val="20"/>
      </w:rPr>
      <w:fldChar w:fldCharType="separate"/>
    </w:r>
    <w:r w:rsidR="00A75E51">
      <w:rPr>
        <w:b/>
        <w:noProof/>
        <w:sz w:val="20"/>
        <w:szCs w:val="20"/>
      </w:rPr>
      <w:t>Part 4-5</w:t>
    </w:r>
    <w:r w:rsidRPr="00FF4C0F">
      <w:rPr>
        <w:sz w:val="20"/>
        <w:szCs w:val="20"/>
      </w:rPr>
      <w:fldChar w:fldCharType="end"/>
    </w:r>
    <w:r w:rsidRPr="00FF4C0F">
      <w:rPr>
        <w:sz w:val="20"/>
        <w:szCs w:val="20"/>
      </w:rPr>
      <w:t xml:space="preserve">  </w:t>
    </w:r>
    <w:r w:rsidRPr="00FF4C0F">
      <w:rPr>
        <w:sz w:val="20"/>
        <w:szCs w:val="20"/>
      </w:rPr>
      <w:fldChar w:fldCharType="begin"/>
    </w:r>
    <w:r w:rsidRPr="00FF4C0F">
      <w:rPr>
        <w:sz w:val="20"/>
        <w:szCs w:val="20"/>
      </w:rPr>
      <w:instrText xml:space="preserve"> STYLEREF  CharPartText  \* CHARFORMAT </w:instrText>
    </w:r>
    <w:r w:rsidRPr="00FF4C0F">
      <w:rPr>
        <w:sz w:val="20"/>
        <w:szCs w:val="20"/>
      </w:rPr>
      <w:fldChar w:fldCharType="separate"/>
    </w:r>
    <w:r w:rsidR="00A75E51">
      <w:rPr>
        <w:noProof/>
        <w:sz w:val="20"/>
        <w:szCs w:val="20"/>
      </w:rPr>
      <w:t>General</w:t>
    </w:r>
    <w:r w:rsidRPr="00FF4C0F">
      <w:rPr>
        <w:sz w:val="20"/>
        <w:szCs w:val="20"/>
      </w:rPr>
      <w:fldChar w:fldCharType="end"/>
    </w:r>
  </w:p>
  <w:p w:rsidR="00C664E8" w:rsidRPr="00FF4C0F" w:rsidRDefault="00C664E8">
    <w:pPr>
      <w:keepNext/>
      <w:rPr>
        <w:sz w:val="20"/>
        <w:szCs w:val="20"/>
      </w:rPr>
    </w:pPr>
    <w:r w:rsidRPr="00FF4C0F">
      <w:rPr>
        <w:sz w:val="20"/>
        <w:szCs w:val="20"/>
      </w:rPr>
      <w:fldChar w:fldCharType="begin"/>
    </w:r>
    <w:r w:rsidRPr="00FF4C0F">
      <w:rPr>
        <w:sz w:val="20"/>
        <w:szCs w:val="20"/>
      </w:rPr>
      <w:instrText xml:space="preserve"> </w:instrText>
    </w:r>
    <w:r w:rsidRPr="00FF4C0F">
      <w:rPr>
        <w:b/>
        <w:sz w:val="20"/>
        <w:szCs w:val="20"/>
      </w:rPr>
      <w:instrText>S</w:instrText>
    </w:r>
    <w:r w:rsidRPr="00FF4C0F">
      <w:rPr>
        <w:sz w:val="20"/>
        <w:szCs w:val="20"/>
      </w:rPr>
      <w:instrText xml:space="preserve">TYLEREF  CharDivNo  \* CHARFORMAT </w:instrText>
    </w:r>
    <w:r w:rsidRPr="00FF4C0F">
      <w:rPr>
        <w:sz w:val="20"/>
        <w:szCs w:val="20"/>
      </w:rPr>
      <w:fldChar w:fldCharType="separate"/>
    </w:r>
    <w:r w:rsidR="00A75E51">
      <w:rPr>
        <w:b/>
        <w:noProof/>
        <w:sz w:val="20"/>
        <w:szCs w:val="20"/>
      </w:rPr>
      <w:t>Division 775</w:t>
    </w:r>
    <w:r w:rsidRPr="00FF4C0F">
      <w:rPr>
        <w:sz w:val="20"/>
        <w:szCs w:val="20"/>
      </w:rPr>
      <w:fldChar w:fldCharType="end"/>
    </w:r>
    <w:r w:rsidRPr="00FF4C0F">
      <w:rPr>
        <w:sz w:val="20"/>
        <w:szCs w:val="20"/>
      </w:rPr>
      <w:t xml:space="preserve">  </w:t>
    </w:r>
    <w:r w:rsidRPr="00FF4C0F">
      <w:rPr>
        <w:sz w:val="20"/>
        <w:szCs w:val="20"/>
      </w:rPr>
      <w:fldChar w:fldCharType="begin"/>
    </w:r>
    <w:r w:rsidRPr="00FF4C0F">
      <w:rPr>
        <w:sz w:val="20"/>
        <w:szCs w:val="20"/>
      </w:rPr>
      <w:instrText xml:space="preserve"> STYLEREF  CharDivText  \* CHARFORMAT </w:instrText>
    </w:r>
    <w:r w:rsidRPr="00FF4C0F">
      <w:rPr>
        <w:sz w:val="20"/>
        <w:szCs w:val="20"/>
      </w:rPr>
      <w:fldChar w:fldCharType="separate"/>
    </w:r>
    <w:r w:rsidR="00A75E51">
      <w:rPr>
        <w:noProof/>
        <w:sz w:val="20"/>
        <w:szCs w:val="20"/>
      </w:rPr>
      <w:t>Foreign currency gains and losses</w:t>
    </w:r>
    <w:r w:rsidRPr="00FF4C0F">
      <w:rPr>
        <w:sz w:val="20"/>
        <w:szCs w:val="20"/>
      </w:rPr>
      <w:fldChar w:fldCharType="end"/>
    </w:r>
  </w:p>
  <w:p w:rsidR="00C664E8" w:rsidRPr="00E140E4" w:rsidRDefault="00C664E8">
    <w:pPr>
      <w:keepNext/>
    </w:pPr>
  </w:p>
  <w:p w:rsidR="00C664E8" w:rsidRPr="00E140E4" w:rsidRDefault="00C664E8">
    <w:pPr>
      <w:keepNext/>
      <w:rPr>
        <w:b/>
      </w:rPr>
    </w:pPr>
    <w:r w:rsidRPr="00E140E4">
      <w:t>Section</w:t>
    </w:r>
    <w:r w:rsidRPr="00FF4C0F">
      <w:t xml:space="preserve"> </w:t>
    </w:r>
    <w:fldSimple w:instr=" STYLEREF  CharSectno  \* CHARFORMAT ">
      <w:r w:rsidR="00A75E51">
        <w:rPr>
          <w:noProof/>
        </w:rPr>
        <w:t>775-5</w:t>
      </w:r>
    </w:fldSimple>
  </w:p>
  <w:p w:rsidR="00C664E8" w:rsidRPr="00E140E4" w:rsidRDefault="00C664E8">
    <w:pPr>
      <w:pStyle w:val="Header"/>
      <w:pBdr>
        <w:top w:val="single" w:sz="6"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4E8" w:rsidRPr="00FF4C0F" w:rsidRDefault="00C664E8">
    <w:pPr>
      <w:keepNext/>
      <w:jc w:val="right"/>
      <w:rPr>
        <w:sz w:val="20"/>
        <w:szCs w:val="20"/>
      </w:rPr>
    </w:pPr>
    <w:r w:rsidRPr="00FF4C0F">
      <w:rPr>
        <w:sz w:val="20"/>
        <w:szCs w:val="20"/>
      </w:rPr>
      <w:fldChar w:fldCharType="begin"/>
    </w:r>
    <w:r w:rsidRPr="00FF4C0F">
      <w:rPr>
        <w:sz w:val="20"/>
        <w:szCs w:val="20"/>
      </w:rPr>
      <w:instrText xml:space="preserve"> STYLEREF  CharChapText  \* CHARFORMAT </w:instrText>
    </w:r>
    <w:r w:rsidRPr="00FF4C0F">
      <w:rPr>
        <w:sz w:val="20"/>
        <w:szCs w:val="20"/>
      </w:rPr>
      <w:fldChar w:fldCharType="separate"/>
    </w:r>
    <w:r w:rsidR="00A75E51">
      <w:rPr>
        <w:noProof/>
        <w:sz w:val="20"/>
        <w:szCs w:val="20"/>
      </w:rPr>
      <w:t>International aspects of income tax</w:t>
    </w:r>
    <w:r w:rsidRPr="00FF4C0F">
      <w:rPr>
        <w:sz w:val="20"/>
        <w:szCs w:val="20"/>
      </w:rPr>
      <w:fldChar w:fldCharType="end"/>
    </w:r>
    <w:r w:rsidRPr="00FF4C0F">
      <w:rPr>
        <w:sz w:val="20"/>
        <w:szCs w:val="20"/>
      </w:rPr>
      <w:t xml:space="preserve">  </w:t>
    </w:r>
    <w:r w:rsidRPr="00FF4C0F">
      <w:rPr>
        <w:sz w:val="20"/>
        <w:szCs w:val="20"/>
      </w:rPr>
      <w:fldChar w:fldCharType="begin"/>
    </w:r>
    <w:r w:rsidRPr="00FF4C0F">
      <w:rPr>
        <w:sz w:val="20"/>
        <w:szCs w:val="20"/>
      </w:rPr>
      <w:instrText xml:space="preserve"> </w:instrText>
    </w:r>
    <w:r w:rsidRPr="00FF4C0F">
      <w:rPr>
        <w:b/>
        <w:sz w:val="20"/>
        <w:szCs w:val="20"/>
      </w:rPr>
      <w:instrText>S</w:instrText>
    </w:r>
    <w:r w:rsidRPr="00FF4C0F">
      <w:rPr>
        <w:sz w:val="20"/>
        <w:szCs w:val="20"/>
      </w:rPr>
      <w:instrText xml:space="preserve">TYLEREF  CharChapNo  \* CHARFORMAT </w:instrText>
    </w:r>
    <w:r w:rsidRPr="00FF4C0F">
      <w:rPr>
        <w:sz w:val="20"/>
        <w:szCs w:val="20"/>
      </w:rPr>
      <w:fldChar w:fldCharType="separate"/>
    </w:r>
    <w:r w:rsidR="00A75E51">
      <w:rPr>
        <w:b/>
        <w:noProof/>
        <w:sz w:val="20"/>
        <w:szCs w:val="20"/>
      </w:rPr>
      <w:t>Chapter 4</w:t>
    </w:r>
    <w:r w:rsidRPr="00FF4C0F">
      <w:rPr>
        <w:sz w:val="20"/>
        <w:szCs w:val="20"/>
      </w:rPr>
      <w:fldChar w:fldCharType="end"/>
    </w:r>
  </w:p>
  <w:p w:rsidR="00C664E8" w:rsidRPr="00FF4C0F" w:rsidRDefault="00C664E8">
    <w:pPr>
      <w:keepNext/>
      <w:jc w:val="right"/>
      <w:rPr>
        <w:sz w:val="20"/>
        <w:szCs w:val="20"/>
      </w:rPr>
    </w:pPr>
    <w:r w:rsidRPr="00FF4C0F">
      <w:rPr>
        <w:sz w:val="20"/>
        <w:szCs w:val="20"/>
      </w:rPr>
      <w:fldChar w:fldCharType="begin"/>
    </w:r>
    <w:r w:rsidRPr="00FF4C0F">
      <w:rPr>
        <w:sz w:val="20"/>
        <w:szCs w:val="20"/>
      </w:rPr>
      <w:instrText xml:space="preserve"> STYLEREF  CharPartText  \* CHARFORMAT </w:instrText>
    </w:r>
    <w:r w:rsidRPr="00FF4C0F">
      <w:rPr>
        <w:sz w:val="20"/>
        <w:szCs w:val="20"/>
      </w:rPr>
      <w:fldChar w:fldCharType="separate"/>
    </w:r>
    <w:r w:rsidR="00A75E51">
      <w:rPr>
        <w:noProof/>
        <w:sz w:val="20"/>
        <w:szCs w:val="20"/>
      </w:rPr>
      <w:t>General</w:t>
    </w:r>
    <w:r w:rsidRPr="00FF4C0F">
      <w:rPr>
        <w:sz w:val="20"/>
        <w:szCs w:val="20"/>
      </w:rPr>
      <w:fldChar w:fldCharType="end"/>
    </w:r>
    <w:r w:rsidRPr="00FF4C0F">
      <w:rPr>
        <w:sz w:val="20"/>
        <w:szCs w:val="20"/>
      </w:rPr>
      <w:t xml:space="preserve">  </w:t>
    </w:r>
    <w:r w:rsidRPr="00FF4C0F">
      <w:rPr>
        <w:sz w:val="20"/>
        <w:szCs w:val="20"/>
      </w:rPr>
      <w:fldChar w:fldCharType="begin"/>
    </w:r>
    <w:r w:rsidRPr="00FF4C0F">
      <w:rPr>
        <w:b/>
        <w:sz w:val="20"/>
        <w:szCs w:val="20"/>
      </w:rPr>
      <w:instrText xml:space="preserve"> S</w:instrText>
    </w:r>
    <w:r w:rsidRPr="00FF4C0F">
      <w:rPr>
        <w:sz w:val="20"/>
        <w:szCs w:val="20"/>
      </w:rPr>
      <w:instrText xml:space="preserve">TYLEREF  CharPartNo  \* CHARFORMAT </w:instrText>
    </w:r>
    <w:r w:rsidRPr="00FF4C0F">
      <w:rPr>
        <w:sz w:val="20"/>
        <w:szCs w:val="20"/>
      </w:rPr>
      <w:fldChar w:fldCharType="separate"/>
    </w:r>
    <w:r w:rsidR="00A75E51">
      <w:rPr>
        <w:b/>
        <w:noProof/>
        <w:sz w:val="20"/>
        <w:szCs w:val="20"/>
      </w:rPr>
      <w:t>Part 4-5</w:t>
    </w:r>
    <w:r w:rsidRPr="00FF4C0F">
      <w:rPr>
        <w:sz w:val="20"/>
        <w:szCs w:val="20"/>
      </w:rPr>
      <w:fldChar w:fldCharType="end"/>
    </w:r>
  </w:p>
  <w:p w:rsidR="00C664E8" w:rsidRPr="00FF4C0F" w:rsidRDefault="00C664E8">
    <w:pPr>
      <w:keepNext/>
      <w:jc w:val="right"/>
      <w:rPr>
        <w:sz w:val="20"/>
        <w:szCs w:val="20"/>
      </w:rPr>
    </w:pPr>
    <w:r w:rsidRPr="00FF4C0F">
      <w:rPr>
        <w:sz w:val="20"/>
        <w:szCs w:val="20"/>
      </w:rPr>
      <w:fldChar w:fldCharType="begin"/>
    </w:r>
    <w:r w:rsidRPr="00FF4C0F">
      <w:rPr>
        <w:sz w:val="20"/>
        <w:szCs w:val="20"/>
      </w:rPr>
      <w:instrText xml:space="preserve"> STYLEREF  CharDivText  \* CHARFORMAT </w:instrText>
    </w:r>
    <w:r w:rsidRPr="00FF4C0F">
      <w:rPr>
        <w:sz w:val="20"/>
        <w:szCs w:val="20"/>
      </w:rPr>
      <w:fldChar w:fldCharType="separate"/>
    </w:r>
    <w:r w:rsidR="00A75E51">
      <w:rPr>
        <w:noProof/>
        <w:sz w:val="20"/>
        <w:szCs w:val="20"/>
      </w:rPr>
      <w:t>Foreign currency gains and losses</w:t>
    </w:r>
    <w:r w:rsidRPr="00FF4C0F">
      <w:rPr>
        <w:sz w:val="20"/>
        <w:szCs w:val="20"/>
      </w:rPr>
      <w:fldChar w:fldCharType="end"/>
    </w:r>
    <w:r w:rsidRPr="00FF4C0F">
      <w:rPr>
        <w:sz w:val="20"/>
        <w:szCs w:val="20"/>
      </w:rPr>
      <w:t xml:space="preserve">  </w:t>
    </w:r>
    <w:r w:rsidRPr="00FF4C0F">
      <w:rPr>
        <w:sz w:val="20"/>
        <w:szCs w:val="20"/>
      </w:rPr>
      <w:fldChar w:fldCharType="begin"/>
    </w:r>
    <w:r w:rsidRPr="00FF4C0F">
      <w:rPr>
        <w:sz w:val="20"/>
        <w:szCs w:val="20"/>
      </w:rPr>
      <w:instrText xml:space="preserve"> </w:instrText>
    </w:r>
    <w:r w:rsidRPr="00FF4C0F">
      <w:rPr>
        <w:b/>
        <w:sz w:val="20"/>
        <w:szCs w:val="20"/>
      </w:rPr>
      <w:instrText>S</w:instrText>
    </w:r>
    <w:r w:rsidRPr="00FF4C0F">
      <w:rPr>
        <w:sz w:val="20"/>
        <w:szCs w:val="20"/>
      </w:rPr>
      <w:instrText xml:space="preserve">TYLEREF  CharDivNo  \* CHARFORMAT </w:instrText>
    </w:r>
    <w:r w:rsidRPr="00FF4C0F">
      <w:rPr>
        <w:sz w:val="20"/>
        <w:szCs w:val="20"/>
      </w:rPr>
      <w:fldChar w:fldCharType="separate"/>
    </w:r>
    <w:r w:rsidR="00A75E51">
      <w:rPr>
        <w:b/>
        <w:noProof/>
        <w:sz w:val="20"/>
        <w:szCs w:val="20"/>
      </w:rPr>
      <w:t>Division 775</w:t>
    </w:r>
    <w:r w:rsidRPr="00FF4C0F">
      <w:rPr>
        <w:sz w:val="20"/>
        <w:szCs w:val="20"/>
      </w:rPr>
      <w:fldChar w:fldCharType="end"/>
    </w:r>
  </w:p>
  <w:p w:rsidR="00C664E8" w:rsidRPr="00E140E4" w:rsidRDefault="00C664E8">
    <w:pPr>
      <w:keepNext/>
      <w:jc w:val="right"/>
    </w:pPr>
  </w:p>
  <w:p w:rsidR="00C664E8" w:rsidRPr="0037294E" w:rsidRDefault="00C664E8">
    <w:pPr>
      <w:keepNext/>
      <w:jc w:val="right"/>
    </w:pPr>
    <w:r>
      <w:t>Sectio</w:t>
    </w:r>
    <w:r w:rsidRPr="0037294E">
      <w:t xml:space="preserve">n </w:t>
    </w:r>
    <w:fldSimple w:instr=" STYLEREF  CharSectno  \* CHARFORMAT ">
      <w:r w:rsidR="00A75E51">
        <w:rPr>
          <w:noProof/>
        </w:rPr>
        <w:t>775-10</w:t>
      </w:r>
    </w:fldSimple>
  </w:p>
  <w:p w:rsidR="00C664E8" w:rsidRPr="008C6D62" w:rsidRDefault="00C664E8">
    <w:pPr>
      <w:pStyle w:val="Header"/>
      <w:pBdr>
        <w:top w:val="single" w:sz="6" w:space="1" w:color="auto"/>
      </w:pBdr>
      <w:jc w:val="righ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4E8" w:rsidRPr="008C6D62" w:rsidRDefault="00C664E8">
    <w:pPr>
      <w:keepNext/>
      <w:jc w:val="right"/>
      <w:rPr>
        <w:sz w:val="20"/>
        <w:szCs w:val="20"/>
      </w:rPr>
    </w:pPr>
  </w:p>
  <w:p w:rsidR="00C664E8" w:rsidRPr="008C6D62" w:rsidRDefault="00C664E8">
    <w:pPr>
      <w:keepNext/>
      <w:jc w:val="right"/>
      <w:rPr>
        <w:sz w:val="20"/>
        <w:szCs w:val="20"/>
      </w:rPr>
    </w:pPr>
  </w:p>
  <w:p w:rsidR="00C664E8" w:rsidRPr="008C6D62" w:rsidRDefault="00C664E8">
    <w:pPr>
      <w:keepNext/>
      <w:jc w:val="right"/>
      <w:rPr>
        <w:sz w:val="20"/>
        <w:szCs w:val="20"/>
      </w:rPr>
    </w:pPr>
  </w:p>
  <w:p w:rsidR="00C664E8" w:rsidRPr="00E140E4" w:rsidRDefault="00C664E8">
    <w:pPr>
      <w:keepNext/>
      <w:jc w:val="right"/>
    </w:pPr>
  </w:p>
  <w:p w:rsidR="00C664E8" w:rsidRPr="00E140E4" w:rsidRDefault="00C664E8">
    <w:pPr>
      <w:keepNext/>
      <w:jc w:val="right"/>
    </w:pPr>
  </w:p>
  <w:p w:rsidR="00C664E8" w:rsidRPr="008C6D62" w:rsidRDefault="00C664E8">
    <w:pPr>
      <w:pStyle w:val="Header"/>
      <w:pBdr>
        <w:top w:val="single" w:sz="6" w:space="1" w:color="auto"/>
      </w:pBd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94D6C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DFED7A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48042E8"/>
    <w:lvl w:ilvl="0">
      <w:start w:val="1"/>
      <w:numFmt w:val="decimal"/>
      <w:pStyle w:val="ListNumber3"/>
      <w:lvlText w:val="%1."/>
      <w:lvlJc w:val="left"/>
      <w:pPr>
        <w:tabs>
          <w:tab w:val="num" w:pos="926"/>
        </w:tabs>
        <w:ind w:left="926" w:hanging="360"/>
      </w:pPr>
    </w:lvl>
  </w:abstractNum>
  <w:abstractNum w:abstractNumId="3">
    <w:nsid w:val="FFFFFF7F"/>
    <w:multiLevelType w:val="singleLevel"/>
    <w:tmpl w:val="A0901F24"/>
    <w:lvl w:ilvl="0">
      <w:start w:val="1"/>
      <w:numFmt w:val="decimal"/>
      <w:pStyle w:val="ListNumber2"/>
      <w:lvlText w:val="%1."/>
      <w:lvlJc w:val="left"/>
      <w:pPr>
        <w:tabs>
          <w:tab w:val="num" w:pos="643"/>
        </w:tabs>
        <w:ind w:left="643" w:hanging="360"/>
      </w:pPr>
    </w:lvl>
  </w:abstractNum>
  <w:abstractNum w:abstractNumId="4">
    <w:nsid w:val="FFFFFF80"/>
    <w:multiLevelType w:val="singleLevel"/>
    <w:tmpl w:val="2DB0114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480FED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EFED83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464069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A8C0DC"/>
    <w:lvl w:ilvl="0">
      <w:start w:val="1"/>
      <w:numFmt w:val="decimal"/>
      <w:pStyle w:val="ListNumber"/>
      <w:lvlText w:val="%1."/>
      <w:lvlJc w:val="left"/>
      <w:pPr>
        <w:tabs>
          <w:tab w:val="num" w:pos="360"/>
        </w:tabs>
        <w:ind w:left="360" w:hanging="360"/>
      </w:pPr>
    </w:lvl>
  </w:abstractNum>
  <w:abstractNum w:abstractNumId="9">
    <w:nsid w:val="FFFFFF89"/>
    <w:multiLevelType w:val="singleLevel"/>
    <w:tmpl w:val="A4E209A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D08017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1D9F04A1"/>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F565067"/>
    <w:multiLevelType w:val="singleLevel"/>
    <w:tmpl w:val="A8D80620"/>
    <w:lvl w:ilvl="0">
      <w:start w:val="1"/>
      <w:numFmt w:val="bullet"/>
      <w:pStyle w:val="TLPNotebullet"/>
      <w:lvlText w:val=""/>
      <w:lvlJc w:val="left"/>
      <w:pPr>
        <w:tabs>
          <w:tab w:val="num" w:pos="2520"/>
        </w:tabs>
        <w:ind w:left="2520" w:hanging="360"/>
      </w:pPr>
      <w:rPr>
        <w:rFonts w:ascii="Symbol" w:hAnsi="Symbol" w:hint="default"/>
      </w:rPr>
    </w:lvl>
  </w:abstractNum>
  <w:abstractNum w:abstractNumId="13">
    <w:nsid w:val="237A2B29"/>
    <w:multiLevelType w:val="multilevel"/>
    <w:tmpl w:val="0C090023"/>
    <w:numStyleLink w:val="ArticleSection"/>
  </w:abstractNum>
  <w:abstractNum w:abstractNumId="14">
    <w:nsid w:val="239D6AEE"/>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nsid w:val="23A82E0B"/>
    <w:multiLevelType w:val="multilevel"/>
    <w:tmpl w:val="0C090023"/>
    <w:numStyleLink w:val="ArticleSection"/>
  </w:abstractNum>
  <w:abstractNum w:abstractNumId="16">
    <w:nsid w:val="3DCC02B2"/>
    <w:multiLevelType w:val="hybridMultilevel"/>
    <w:tmpl w:val="4DA6356E"/>
    <w:lvl w:ilvl="0" w:tplc="0FD250FE">
      <w:start w:val="1"/>
      <w:numFmt w:val="bullet"/>
      <w:lvlText w:val=""/>
      <w:lvlJc w:val="left"/>
      <w:pPr>
        <w:tabs>
          <w:tab w:val="num" w:pos="2121"/>
        </w:tabs>
        <w:ind w:left="357"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nsid w:val="494E02F0"/>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nsid w:val="5EAA745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nsid w:val="604757A2"/>
    <w:multiLevelType w:val="multilevel"/>
    <w:tmpl w:val="0C09001D"/>
    <w:numStyleLink w:val="1ai"/>
  </w:abstractNum>
  <w:abstractNum w:abstractNumId="20">
    <w:nsid w:val="67642EE7"/>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6E5455E3"/>
    <w:multiLevelType w:val="multilevel"/>
    <w:tmpl w:val="0C09001D"/>
    <w:numStyleLink w:val="1ai"/>
  </w:abstractNum>
  <w:num w:numId="1">
    <w:abstractNumId w:val="18"/>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num>
  <w:num w:numId="14">
    <w:abstractNumId w:val="20"/>
  </w:num>
  <w:num w:numId="15">
    <w:abstractNumId w:val="17"/>
  </w:num>
  <w:num w:numId="16">
    <w:abstractNumId w:val="10"/>
  </w:num>
  <w:num w:numId="17">
    <w:abstractNumId w:val="11"/>
  </w:num>
  <w:num w:numId="18">
    <w:abstractNumId w:val="16"/>
  </w:num>
  <w:num w:numId="19">
    <w:abstractNumId w:val="21"/>
  </w:num>
  <w:num w:numId="20">
    <w:abstractNumId w:val="13"/>
  </w:num>
  <w:num w:numId="21">
    <w:abstractNumId w:val="19"/>
  </w:num>
  <w:num w:numId="22">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TrueTypeFonts/>
  <w:saveSubsetFonts/>
  <w:hideGrammaticalErrors/>
  <w:attachedTemplate r:id="rId1"/>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evenAndOddHeaders/>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E71"/>
    <w:rsid w:val="000006DB"/>
    <w:rsid w:val="00004B14"/>
    <w:rsid w:val="00005C82"/>
    <w:rsid w:val="000120B6"/>
    <w:rsid w:val="00016687"/>
    <w:rsid w:val="000168C7"/>
    <w:rsid w:val="000202A6"/>
    <w:rsid w:val="000203E4"/>
    <w:rsid w:val="0002544B"/>
    <w:rsid w:val="000335CB"/>
    <w:rsid w:val="000354B6"/>
    <w:rsid w:val="0003616F"/>
    <w:rsid w:val="00036D38"/>
    <w:rsid w:val="000376BC"/>
    <w:rsid w:val="00037BD2"/>
    <w:rsid w:val="00040AB6"/>
    <w:rsid w:val="00040E84"/>
    <w:rsid w:val="000473E9"/>
    <w:rsid w:val="000520C6"/>
    <w:rsid w:val="0005240B"/>
    <w:rsid w:val="000529E7"/>
    <w:rsid w:val="00052B61"/>
    <w:rsid w:val="00056CD5"/>
    <w:rsid w:val="00056F9F"/>
    <w:rsid w:val="000606CD"/>
    <w:rsid w:val="000608AF"/>
    <w:rsid w:val="00061DD8"/>
    <w:rsid w:val="00064064"/>
    <w:rsid w:val="00064345"/>
    <w:rsid w:val="00065507"/>
    <w:rsid w:val="000702BE"/>
    <w:rsid w:val="000707F1"/>
    <w:rsid w:val="00070CEF"/>
    <w:rsid w:val="000755CD"/>
    <w:rsid w:val="000759FF"/>
    <w:rsid w:val="00076096"/>
    <w:rsid w:val="0008037A"/>
    <w:rsid w:val="00085C7C"/>
    <w:rsid w:val="0009063A"/>
    <w:rsid w:val="00091951"/>
    <w:rsid w:val="00093A28"/>
    <w:rsid w:val="00093DFD"/>
    <w:rsid w:val="0009450E"/>
    <w:rsid w:val="00094571"/>
    <w:rsid w:val="000A38E1"/>
    <w:rsid w:val="000A4C3E"/>
    <w:rsid w:val="000A522F"/>
    <w:rsid w:val="000A558F"/>
    <w:rsid w:val="000A675E"/>
    <w:rsid w:val="000A79BE"/>
    <w:rsid w:val="000B01B9"/>
    <w:rsid w:val="000B048A"/>
    <w:rsid w:val="000B2F6D"/>
    <w:rsid w:val="000B46BA"/>
    <w:rsid w:val="000B4DA9"/>
    <w:rsid w:val="000B696E"/>
    <w:rsid w:val="000C07FA"/>
    <w:rsid w:val="000C0A8A"/>
    <w:rsid w:val="000C4711"/>
    <w:rsid w:val="000C6AB7"/>
    <w:rsid w:val="000D2986"/>
    <w:rsid w:val="000D2C05"/>
    <w:rsid w:val="000D39FB"/>
    <w:rsid w:val="000D5DF3"/>
    <w:rsid w:val="000D6738"/>
    <w:rsid w:val="000E0D1A"/>
    <w:rsid w:val="000E515A"/>
    <w:rsid w:val="000E7DA9"/>
    <w:rsid w:val="000F0E35"/>
    <w:rsid w:val="000F2382"/>
    <w:rsid w:val="000F40A8"/>
    <w:rsid w:val="000F46CF"/>
    <w:rsid w:val="000F4817"/>
    <w:rsid w:val="000F62F6"/>
    <w:rsid w:val="001014B0"/>
    <w:rsid w:val="00102261"/>
    <w:rsid w:val="00103110"/>
    <w:rsid w:val="00104360"/>
    <w:rsid w:val="00104A40"/>
    <w:rsid w:val="00104FF0"/>
    <w:rsid w:val="001055A9"/>
    <w:rsid w:val="00107593"/>
    <w:rsid w:val="001106F1"/>
    <w:rsid w:val="00114E75"/>
    <w:rsid w:val="00115684"/>
    <w:rsid w:val="001171B7"/>
    <w:rsid w:val="001205EB"/>
    <w:rsid w:val="001215BD"/>
    <w:rsid w:val="00122A3E"/>
    <w:rsid w:val="001250AB"/>
    <w:rsid w:val="00125A24"/>
    <w:rsid w:val="00125E18"/>
    <w:rsid w:val="00125EDD"/>
    <w:rsid w:val="001264CE"/>
    <w:rsid w:val="00126807"/>
    <w:rsid w:val="0012688A"/>
    <w:rsid w:val="00126AA7"/>
    <w:rsid w:val="00127978"/>
    <w:rsid w:val="00130B94"/>
    <w:rsid w:val="00133136"/>
    <w:rsid w:val="001336FC"/>
    <w:rsid w:val="00133D2E"/>
    <w:rsid w:val="00134C18"/>
    <w:rsid w:val="00135739"/>
    <w:rsid w:val="00135BA9"/>
    <w:rsid w:val="00137653"/>
    <w:rsid w:val="00141262"/>
    <w:rsid w:val="00141284"/>
    <w:rsid w:val="0014279B"/>
    <w:rsid w:val="00143708"/>
    <w:rsid w:val="001462DE"/>
    <w:rsid w:val="00146D08"/>
    <w:rsid w:val="001511BB"/>
    <w:rsid w:val="00153C70"/>
    <w:rsid w:val="001544C4"/>
    <w:rsid w:val="0015708B"/>
    <w:rsid w:val="00161A2E"/>
    <w:rsid w:val="001631D6"/>
    <w:rsid w:val="00165198"/>
    <w:rsid w:val="00166919"/>
    <w:rsid w:val="00167266"/>
    <w:rsid w:val="00167323"/>
    <w:rsid w:val="00167B10"/>
    <w:rsid w:val="0017177D"/>
    <w:rsid w:val="00171BAC"/>
    <w:rsid w:val="00171D06"/>
    <w:rsid w:val="00174935"/>
    <w:rsid w:val="00175326"/>
    <w:rsid w:val="00175760"/>
    <w:rsid w:val="00175ADE"/>
    <w:rsid w:val="0017774E"/>
    <w:rsid w:val="00177859"/>
    <w:rsid w:val="00181B64"/>
    <w:rsid w:val="00181F8C"/>
    <w:rsid w:val="00182532"/>
    <w:rsid w:val="001826FE"/>
    <w:rsid w:val="0018527D"/>
    <w:rsid w:val="00186B5D"/>
    <w:rsid w:val="001876F8"/>
    <w:rsid w:val="00195D95"/>
    <w:rsid w:val="001A0C4A"/>
    <w:rsid w:val="001A28ED"/>
    <w:rsid w:val="001A356F"/>
    <w:rsid w:val="001A3B8F"/>
    <w:rsid w:val="001A69B6"/>
    <w:rsid w:val="001A71C1"/>
    <w:rsid w:val="001A78E1"/>
    <w:rsid w:val="001B2258"/>
    <w:rsid w:val="001B2276"/>
    <w:rsid w:val="001B41AE"/>
    <w:rsid w:val="001B55B4"/>
    <w:rsid w:val="001C2363"/>
    <w:rsid w:val="001C2585"/>
    <w:rsid w:val="001C36C3"/>
    <w:rsid w:val="001C5013"/>
    <w:rsid w:val="001C6F3A"/>
    <w:rsid w:val="001D4715"/>
    <w:rsid w:val="001D47F0"/>
    <w:rsid w:val="001D5EDB"/>
    <w:rsid w:val="001D6F05"/>
    <w:rsid w:val="001E0D04"/>
    <w:rsid w:val="001E1234"/>
    <w:rsid w:val="001E1EC2"/>
    <w:rsid w:val="001E33F9"/>
    <w:rsid w:val="001F3D55"/>
    <w:rsid w:val="001F4205"/>
    <w:rsid w:val="001F49DE"/>
    <w:rsid w:val="001F59A7"/>
    <w:rsid w:val="0020270C"/>
    <w:rsid w:val="002041D1"/>
    <w:rsid w:val="00205658"/>
    <w:rsid w:val="00206822"/>
    <w:rsid w:val="00207F53"/>
    <w:rsid w:val="00210DF4"/>
    <w:rsid w:val="0021164C"/>
    <w:rsid w:val="00215129"/>
    <w:rsid w:val="0022200E"/>
    <w:rsid w:val="002225FD"/>
    <w:rsid w:val="0022281F"/>
    <w:rsid w:val="00222E09"/>
    <w:rsid w:val="00223CDC"/>
    <w:rsid w:val="00224941"/>
    <w:rsid w:val="00232010"/>
    <w:rsid w:val="00233E32"/>
    <w:rsid w:val="00235E1B"/>
    <w:rsid w:val="00236782"/>
    <w:rsid w:val="002406A0"/>
    <w:rsid w:val="00240815"/>
    <w:rsid w:val="00246102"/>
    <w:rsid w:val="002466F3"/>
    <w:rsid w:val="00246C20"/>
    <w:rsid w:val="00246CBE"/>
    <w:rsid w:val="00247521"/>
    <w:rsid w:val="002475E9"/>
    <w:rsid w:val="00247F8D"/>
    <w:rsid w:val="00250AF7"/>
    <w:rsid w:val="002524D8"/>
    <w:rsid w:val="00252525"/>
    <w:rsid w:val="00254273"/>
    <w:rsid w:val="0025750D"/>
    <w:rsid w:val="002604B9"/>
    <w:rsid w:val="0026162C"/>
    <w:rsid w:val="00263B1E"/>
    <w:rsid w:val="0026749B"/>
    <w:rsid w:val="00270175"/>
    <w:rsid w:val="00271BF0"/>
    <w:rsid w:val="00273D27"/>
    <w:rsid w:val="002749C5"/>
    <w:rsid w:val="00274AF7"/>
    <w:rsid w:val="00275A38"/>
    <w:rsid w:val="00275DBB"/>
    <w:rsid w:val="00277AD2"/>
    <w:rsid w:val="00277C99"/>
    <w:rsid w:val="002812AF"/>
    <w:rsid w:val="0028684D"/>
    <w:rsid w:val="00290555"/>
    <w:rsid w:val="00290C3C"/>
    <w:rsid w:val="0029132A"/>
    <w:rsid w:val="002925F5"/>
    <w:rsid w:val="00295828"/>
    <w:rsid w:val="00295DEF"/>
    <w:rsid w:val="0029664F"/>
    <w:rsid w:val="00297039"/>
    <w:rsid w:val="0029711D"/>
    <w:rsid w:val="002A2B75"/>
    <w:rsid w:val="002A3C7A"/>
    <w:rsid w:val="002A3D11"/>
    <w:rsid w:val="002A5CD2"/>
    <w:rsid w:val="002B17A5"/>
    <w:rsid w:val="002B4A1F"/>
    <w:rsid w:val="002B6CA4"/>
    <w:rsid w:val="002B7F4D"/>
    <w:rsid w:val="002C2BD3"/>
    <w:rsid w:val="002C54B2"/>
    <w:rsid w:val="002D0B09"/>
    <w:rsid w:val="002D1BAF"/>
    <w:rsid w:val="002D2566"/>
    <w:rsid w:val="002D4DB9"/>
    <w:rsid w:val="002E0ED8"/>
    <w:rsid w:val="002E1322"/>
    <w:rsid w:val="002E2ACE"/>
    <w:rsid w:val="002E7040"/>
    <w:rsid w:val="002E7CAA"/>
    <w:rsid w:val="002F48A5"/>
    <w:rsid w:val="002F48EC"/>
    <w:rsid w:val="00300125"/>
    <w:rsid w:val="00300C85"/>
    <w:rsid w:val="00300E4D"/>
    <w:rsid w:val="00302A58"/>
    <w:rsid w:val="0030457E"/>
    <w:rsid w:val="00305ED4"/>
    <w:rsid w:val="00307CC1"/>
    <w:rsid w:val="003114EC"/>
    <w:rsid w:val="0031404D"/>
    <w:rsid w:val="00316F36"/>
    <w:rsid w:val="003178E6"/>
    <w:rsid w:val="00320016"/>
    <w:rsid w:val="00321743"/>
    <w:rsid w:val="003226E9"/>
    <w:rsid w:val="0032664A"/>
    <w:rsid w:val="0033424D"/>
    <w:rsid w:val="00340BBD"/>
    <w:rsid w:val="00352029"/>
    <w:rsid w:val="00352955"/>
    <w:rsid w:val="00353A67"/>
    <w:rsid w:val="003568D4"/>
    <w:rsid w:val="00356BC8"/>
    <w:rsid w:val="003576F7"/>
    <w:rsid w:val="0035798C"/>
    <w:rsid w:val="00360669"/>
    <w:rsid w:val="00360A6D"/>
    <w:rsid w:val="003616C6"/>
    <w:rsid w:val="00361D11"/>
    <w:rsid w:val="00364D0C"/>
    <w:rsid w:val="00365D03"/>
    <w:rsid w:val="00366324"/>
    <w:rsid w:val="003667F6"/>
    <w:rsid w:val="00366F91"/>
    <w:rsid w:val="003679C3"/>
    <w:rsid w:val="00367E72"/>
    <w:rsid w:val="00370F67"/>
    <w:rsid w:val="00371E7C"/>
    <w:rsid w:val="003723F4"/>
    <w:rsid w:val="0037281B"/>
    <w:rsid w:val="00380510"/>
    <w:rsid w:val="00381173"/>
    <w:rsid w:val="00383257"/>
    <w:rsid w:val="0038492D"/>
    <w:rsid w:val="00387ACC"/>
    <w:rsid w:val="00390983"/>
    <w:rsid w:val="00390CBC"/>
    <w:rsid w:val="0039215F"/>
    <w:rsid w:val="003941FE"/>
    <w:rsid w:val="003967C2"/>
    <w:rsid w:val="00397937"/>
    <w:rsid w:val="00397971"/>
    <w:rsid w:val="003A05D5"/>
    <w:rsid w:val="003A3407"/>
    <w:rsid w:val="003A5C03"/>
    <w:rsid w:val="003A5F3D"/>
    <w:rsid w:val="003B06DA"/>
    <w:rsid w:val="003B1B0C"/>
    <w:rsid w:val="003B37BA"/>
    <w:rsid w:val="003B46D4"/>
    <w:rsid w:val="003B4BC4"/>
    <w:rsid w:val="003B5768"/>
    <w:rsid w:val="003B7C03"/>
    <w:rsid w:val="003C0E2A"/>
    <w:rsid w:val="003C48B0"/>
    <w:rsid w:val="003C4958"/>
    <w:rsid w:val="003C6472"/>
    <w:rsid w:val="003D0418"/>
    <w:rsid w:val="003D0545"/>
    <w:rsid w:val="003D2B30"/>
    <w:rsid w:val="003D2F22"/>
    <w:rsid w:val="003D3B80"/>
    <w:rsid w:val="003D3BEB"/>
    <w:rsid w:val="003D3FC2"/>
    <w:rsid w:val="003D5D37"/>
    <w:rsid w:val="003D6501"/>
    <w:rsid w:val="003D682C"/>
    <w:rsid w:val="003E3306"/>
    <w:rsid w:val="003E7D08"/>
    <w:rsid w:val="003F0850"/>
    <w:rsid w:val="003F1965"/>
    <w:rsid w:val="003F6F2B"/>
    <w:rsid w:val="00400368"/>
    <w:rsid w:val="00402C90"/>
    <w:rsid w:val="00405EF1"/>
    <w:rsid w:val="004068ED"/>
    <w:rsid w:val="00406FCE"/>
    <w:rsid w:val="00407F86"/>
    <w:rsid w:val="004107FE"/>
    <w:rsid w:val="0041163E"/>
    <w:rsid w:val="0041170B"/>
    <w:rsid w:val="00413571"/>
    <w:rsid w:val="00414420"/>
    <w:rsid w:val="00417664"/>
    <w:rsid w:val="004204E8"/>
    <w:rsid w:val="00420E7B"/>
    <w:rsid w:val="00421461"/>
    <w:rsid w:val="00421552"/>
    <w:rsid w:val="00422443"/>
    <w:rsid w:val="0042715D"/>
    <w:rsid w:val="00431AA3"/>
    <w:rsid w:val="0044091F"/>
    <w:rsid w:val="004423CE"/>
    <w:rsid w:val="00444373"/>
    <w:rsid w:val="00444DF2"/>
    <w:rsid w:val="004451A2"/>
    <w:rsid w:val="00447D66"/>
    <w:rsid w:val="00451C0C"/>
    <w:rsid w:val="00452857"/>
    <w:rsid w:val="00456883"/>
    <w:rsid w:val="004650DB"/>
    <w:rsid w:val="00466A05"/>
    <w:rsid w:val="00466D4C"/>
    <w:rsid w:val="00467773"/>
    <w:rsid w:val="00470D1B"/>
    <w:rsid w:val="00470FA8"/>
    <w:rsid w:val="00471981"/>
    <w:rsid w:val="00471F6C"/>
    <w:rsid w:val="00472686"/>
    <w:rsid w:val="004731A5"/>
    <w:rsid w:val="00474280"/>
    <w:rsid w:val="004754BC"/>
    <w:rsid w:val="004759BF"/>
    <w:rsid w:val="00475B47"/>
    <w:rsid w:val="00475F8D"/>
    <w:rsid w:val="0048369D"/>
    <w:rsid w:val="00483E3A"/>
    <w:rsid w:val="00484DE2"/>
    <w:rsid w:val="00485108"/>
    <w:rsid w:val="0048515E"/>
    <w:rsid w:val="00485512"/>
    <w:rsid w:val="00485C0C"/>
    <w:rsid w:val="00487268"/>
    <w:rsid w:val="00497AEB"/>
    <w:rsid w:val="004A17FA"/>
    <w:rsid w:val="004A2C38"/>
    <w:rsid w:val="004A38FB"/>
    <w:rsid w:val="004A486C"/>
    <w:rsid w:val="004A4EB8"/>
    <w:rsid w:val="004A5888"/>
    <w:rsid w:val="004B269B"/>
    <w:rsid w:val="004B3089"/>
    <w:rsid w:val="004B779D"/>
    <w:rsid w:val="004B7B1C"/>
    <w:rsid w:val="004B7B3E"/>
    <w:rsid w:val="004C1E80"/>
    <w:rsid w:val="004C65C2"/>
    <w:rsid w:val="004C7383"/>
    <w:rsid w:val="004D03DC"/>
    <w:rsid w:val="004D1701"/>
    <w:rsid w:val="004D19BD"/>
    <w:rsid w:val="004D1D67"/>
    <w:rsid w:val="004D1EAA"/>
    <w:rsid w:val="004D37D5"/>
    <w:rsid w:val="004D38E0"/>
    <w:rsid w:val="004D500A"/>
    <w:rsid w:val="004D61F2"/>
    <w:rsid w:val="004E0BA5"/>
    <w:rsid w:val="004E2DFF"/>
    <w:rsid w:val="004E35EB"/>
    <w:rsid w:val="004E416D"/>
    <w:rsid w:val="004E5483"/>
    <w:rsid w:val="004E62EB"/>
    <w:rsid w:val="004E7A09"/>
    <w:rsid w:val="004F066B"/>
    <w:rsid w:val="004F2311"/>
    <w:rsid w:val="004F4272"/>
    <w:rsid w:val="004F74C9"/>
    <w:rsid w:val="004F7A83"/>
    <w:rsid w:val="005014E4"/>
    <w:rsid w:val="0050400F"/>
    <w:rsid w:val="00506F4C"/>
    <w:rsid w:val="00512049"/>
    <w:rsid w:val="00516320"/>
    <w:rsid w:val="005202EE"/>
    <w:rsid w:val="005216C8"/>
    <w:rsid w:val="00522B6B"/>
    <w:rsid w:val="00524798"/>
    <w:rsid w:val="00531CBD"/>
    <w:rsid w:val="00533F66"/>
    <w:rsid w:val="005372A7"/>
    <w:rsid w:val="00541B97"/>
    <w:rsid w:val="005429E7"/>
    <w:rsid w:val="00544E0B"/>
    <w:rsid w:val="00546169"/>
    <w:rsid w:val="005463DF"/>
    <w:rsid w:val="00550DD2"/>
    <w:rsid w:val="00551243"/>
    <w:rsid w:val="00553ED4"/>
    <w:rsid w:val="00554744"/>
    <w:rsid w:val="005549E1"/>
    <w:rsid w:val="005566B5"/>
    <w:rsid w:val="00556956"/>
    <w:rsid w:val="00560BE2"/>
    <w:rsid w:val="00560D57"/>
    <w:rsid w:val="00564505"/>
    <w:rsid w:val="00565282"/>
    <w:rsid w:val="005676FF"/>
    <w:rsid w:val="00573434"/>
    <w:rsid w:val="00573B7F"/>
    <w:rsid w:val="00573B9B"/>
    <w:rsid w:val="00576A6D"/>
    <w:rsid w:val="00576B1A"/>
    <w:rsid w:val="0057714F"/>
    <w:rsid w:val="00580232"/>
    <w:rsid w:val="005805F3"/>
    <w:rsid w:val="00580D64"/>
    <w:rsid w:val="005818B2"/>
    <w:rsid w:val="00582DA5"/>
    <w:rsid w:val="00583712"/>
    <w:rsid w:val="00583A09"/>
    <w:rsid w:val="00583E1A"/>
    <w:rsid w:val="00584F4A"/>
    <w:rsid w:val="00585861"/>
    <w:rsid w:val="005874A7"/>
    <w:rsid w:val="00590B2C"/>
    <w:rsid w:val="00591152"/>
    <w:rsid w:val="005919F4"/>
    <w:rsid w:val="005939D9"/>
    <w:rsid w:val="00595FEA"/>
    <w:rsid w:val="00596781"/>
    <w:rsid w:val="005A1A8F"/>
    <w:rsid w:val="005A1DA3"/>
    <w:rsid w:val="005A2C35"/>
    <w:rsid w:val="005A4A55"/>
    <w:rsid w:val="005A571A"/>
    <w:rsid w:val="005A6ABC"/>
    <w:rsid w:val="005B17C2"/>
    <w:rsid w:val="005B1D65"/>
    <w:rsid w:val="005B3D81"/>
    <w:rsid w:val="005B3EFF"/>
    <w:rsid w:val="005B505A"/>
    <w:rsid w:val="005B57BC"/>
    <w:rsid w:val="005B741A"/>
    <w:rsid w:val="005B7435"/>
    <w:rsid w:val="005C4CD9"/>
    <w:rsid w:val="005C6040"/>
    <w:rsid w:val="005D048B"/>
    <w:rsid w:val="005D11D3"/>
    <w:rsid w:val="005D29EA"/>
    <w:rsid w:val="005D2AD4"/>
    <w:rsid w:val="005D4873"/>
    <w:rsid w:val="005E0B3F"/>
    <w:rsid w:val="005E1540"/>
    <w:rsid w:val="005E208E"/>
    <w:rsid w:val="005E3180"/>
    <w:rsid w:val="005E3609"/>
    <w:rsid w:val="005E44C3"/>
    <w:rsid w:val="005F0604"/>
    <w:rsid w:val="005F19DE"/>
    <w:rsid w:val="005F331D"/>
    <w:rsid w:val="0060138E"/>
    <w:rsid w:val="00601C30"/>
    <w:rsid w:val="00602926"/>
    <w:rsid w:val="00604558"/>
    <w:rsid w:val="00605211"/>
    <w:rsid w:val="006069CE"/>
    <w:rsid w:val="006100B3"/>
    <w:rsid w:val="0061075A"/>
    <w:rsid w:val="00613CB9"/>
    <w:rsid w:val="00615F36"/>
    <w:rsid w:val="00617CB8"/>
    <w:rsid w:val="006210C7"/>
    <w:rsid w:val="006223C5"/>
    <w:rsid w:val="0062378E"/>
    <w:rsid w:val="00623A5C"/>
    <w:rsid w:val="0062447A"/>
    <w:rsid w:val="00624F27"/>
    <w:rsid w:val="0062531E"/>
    <w:rsid w:val="00625D9E"/>
    <w:rsid w:val="00633AD9"/>
    <w:rsid w:val="00636DBE"/>
    <w:rsid w:val="006373E3"/>
    <w:rsid w:val="006374E6"/>
    <w:rsid w:val="006375C9"/>
    <w:rsid w:val="006377DD"/>
    <w:rsid w:val="00641800"/>
    <w:rsid w:val="00642085"/>
    <w:rsid w:val="00644459"/>
    <w:rsid w:val="00644940"/>
    <w:rsid w:val="00645270"/>
    <w:rsid w:val="006535D0"/>
    <w:rsid w:val="006574D0"/>
    <w:rsid w:val="00657FEF"/>
    <w:rsid w:val="00661F11"/>
    <w:rsid w:val="00662695"/>
    <w:rsid w:val="00662BFA"/>
    <w:rsid w:val="0066308C"/>
    <w:rsid w:val="00666184"/>
    <w:rsid w:val="00671381"/>
    <w:rsid w:val="00671A63"/>
    <w:rsid w:val="00671D46"/>
    <w:rsid w:val="00672342"/>
    <w:rsid w:val="00672921"/>
    <w:rsid w:val="00672FD5"/>
    <w:rsid w:val="006800B4"/>
    <w:rsid w:val="0068528F"/>
    <w:rsid w:val="006852A2"/>
    <w:rsid w:val="00693346"/>
    <w:rsid w:val="006947DE"/>
    <w:rsid w:val="00694C67"/>
    <w:rsid w:val="00694E1A"/>
    <w:rsid w:val="00695183"/>
    <w:rsid w:val="0069589D"/>
    <w:rsid w:val="00697C38"/>
    <w:rsid w:val="006A2291"/>
    <w:rsid w:val="006A3780"/>
    <w:rsid w:val="006A5D87"/>
    <w:rsid w:val="006A6987"/>
    <w:rsid w:val="006A6B06"/>
    <w:rsid w:val="006A7B34"/>
    <w:rsid w:val="006B26D2"/>
    <w:rsid w:val="006B2D94"/>
    <w:rsid w:val="006B2FBA"/>
    <w:rsid w:val="006B393D"/>
    <w:rsid w:val="006B51D0"/>
    <w:rsid w:val="006B69E6"/>
    <w:rsid w:val="006B6EBA"/>
    <w:rsid w:val="006B7668"/>
    <w:rsid w:val="006C2DF7"/>
    <w:rsid w:val="006C39A6"/>
    <w:rsid w:val="006C3C85"/>
    <w:rsid w:val="006C5159"/>
    <w:rsid w:val="006C590D"/>
    <w:rsid w:val="006C74DA"/>
    <w:rsid w:val="006D000A"/>
    <w:rsid w:val="006D09F2"/>
    <w:rsid w:val="006D17B2"/>
    <w:rsid w:val="006D1B62"/>
    <w:rsid w:val="006D2C43"/>
    <w:rsid w:val="006D3544"/>
    <w:rsid w:val="006E1B8A"/>
    <w:rsid w:val="006E3662"/>
    <w:rsid w:val="006E44FA"/>
    <w:rsid w:val="006E6ECD"/>
    <w:rsid w:val="006F080F"/>
    <w:rsid w:val="006F7679"/>
    <w:rsid w:val="006F7755"/>
    <w:rsid w:val="00700624"/>
    <w:rsid w:val="00705E71"/>
    <w:rsid w:val="0070717C"/>
    <w:rsid w:val="007076DC"/>
    <w:rsid w:val="00707A0A"/>
    <w:rsid w:val="00710B1C"/>
    <w:rsid w:val="007111AB"/>
    <w:rsid w:val="00711BCA"/>
    <w:rsid w:val="007169F1"/>
    <w:rsid w:val="00717CBC"/>
    <w:rsid w:val="00717F1D"/>
    <w:rsid w:val="007200CA"/>
    <w:rsid w:val="007241A9"/>
    <w:rsid w:val="00724494"/>
    <w:rsid w:val="0072601B"/>
    <w:rsid w:val="00727EEA"/>
    <w:rsid w:val="00730E5A"/>
    <w:rsid w:val="00731194"/>
    <w:rsid w:val="00732A98"/>
    <w:rsid w:val="00734CF7"/>
    <w:rsid w:val="00736103"/>
    <w:rsid w:val="00737639"/>
    <w:rsid w:val="00742C12"/>
    <w:rsid w:val="0074513D"/>
    <w:rsid w:val="00746768"/>
    <w:rsid w:val="00752E28"/>
    <w:rsid w:val="00754ED0"/>
    <w:rsid w:val="00756AC8"/>
    <w:rsid w:val="00762FAF"/>
    <w:rsid w:val="00767C9D"/>
    <w:rsid w:val="007701C1"/>
    <w:rsid w:val="00770D48"/>
    <w:rsid w:val="00771578"/>
    <w:rsid w:val="00771AA2"/>
    <w:rsid w:val="00771CF7"/>
    <w:rsid w:val="00772E3F"/>
    <w:rsid w:val="0077472C"/>
    <w:rsid w:val="007748D4"/>
    <w:rsid w:val="00774FB9"/>
    <w:rsid w:val="00776938"/>
    <w:rsid w:val="00777628"/>
    <w:rsid w:val="00781980"/>
    <w:rsid w:val="00781E5A"/>
    <w:rsid w:val="007827D8"/>
    <w:rsid w:val="0078284B"/>
    <w:rsid w:val="00782BC1"/>
    <w:rsid w:val="007831AC"/>
    <w:rsid w:val="007852BB"/>
    <w:rsid w:val="007904A2"/>
    <w:rsid w:val="00794777"/>
    <w:rsid w:val="00797B94"/>
    <w:rsid w:val="007A0DDB"/>
    <w:rsid w:val="007A1DE1"/>
    <w:rsid w:val="007A4EED"/>
    <w:rsid w:val="007A5BE3"/>
    <w:rsid w:val="007B2DFD"/>
    <w:rsid w:val="007B3DD0"/>
    <w:rsid w:val="007B60AF"/>
    <w:rsid w:val="007B7C62"/>
    <w:rsid w:val="007C0386"/>
    <w:rsid w:val="007C0CA9"/>
    <w:rsid w:val="007C12E7"/>
    <w:rsid w:val="007C40BD"/>
    <w:rsid w:val="007C43F8"/>
    <w:rsid w:val="007C4F07"/>
    <w:rsid w:val="007D22F1"/>
    <w:rsid w:val="007D29DB"/>
    <w:rsid w:val="007D2F4E"/>
    <w:rsid w:val="007D4FF4"/>
    <w:rsid w:val="007D7074"/>
    <w:rsid w:val="007D7376"/>
    <w:rsid w:val="007D7ED4"/>
    <w:rsid w:val="007E1A90"/>
    <w:rsid w:val="007E1F3E"/>
    <w:rsid w:val="007E4DB4"/>
    <w:rsid w:val="007E4EFF"/>
    <w:rsid w:val="007E538B"/>
    <w:rsid w:val="007E7306"/>
    <w:rsid w:val="007F2C91"/>
    <w:rsid w:val="007F5A03"/>
    <w:rsid w:val="007F6D94"/>
    <w:rsid w:val="008005D1"/>
    <w:rsid w:val="0080175A"/>
    <w:rsid w:val="008056F0"/>
    <w:rsid w:val="00812D94"/>
    <w:rsid w:val="00817731"/>
    <w:rsid w:val="00817FFA"/>
    <w:rsid w:val="0082104A"/>
    <w:rsid w:val="008220A6"/>
    <w:rsid w:val="008226AE"/>
    <w:rsid w:val="008235C8"/>
    <w:rsid w:val="00825BF0"/>
    <w:rsid w:val="008264E0"/>
    <w:rsid w:val="00833942"/>
    <w:rsid w:val="00834CAA"/>
    <w:rsid w:val="00835F0C"/>
    <w:rsid w:val="0083647A"/>
    <w:rsid w:val="00836A50"/>
    <w:rsid w:val="00836D70"/>
    <w:rsid w:val="00837127"/>
    <w:rsid w:val="00837EC3"/>
    <w:rsid w:val="00837FA9"/>
    <w:rsid w:val="00847BFB"/>
    <w:rsid w:val="00851C49"/>
    <w:rsid w:val="008521C7"/>
    <w:rsid w:val="0085586A"/>
    <w:rsid w:val="0085636A"/>
    <w:rsid w:val="008567DA"/>
    <w:rsid w:val="00856962"/>
    <w:rsid w:val="008573C1"/>
    <w:rsid w:val="00857585"/>
    <w:rsid w:val="008609CE"/>
    <w:rsid w:val="00860ACC"/>
    <w:rsid w:val="008615FD"/>
    <w:rsid w:val="00861BED"/>
    <w:rsid w:val="008633EC"/>
    <w:rsid w:val="008637DD"/>
    <w:rsid w:val="00864E0E"/>
    <w:rsid w:val="008650AB"/>
    <w:rsid w:val="0086586A"/>
    <w:rsid w:val="00870B1E"/>
    <w:rsid w:val="00871347"/>
    <w:rsid w:val="00874D78"/>
    <w:rsid w:val="008839CD"/>
    <w:rsid w:val="00884F2E"/>
    <w:rsid w:val="0088528C"/>
    <w:rsid w:val="008864CB"/>
    <w:rsid w:val="00886EF5"/>
    <w:rsid w:val="00887330"/>
    <w:rsid w:val="00891263"/>
    <w:rsid w:val="00891BA6"/>
    <w:rsid w:val="00893173"/>
    <w:rsid w:val="00894E13"/>
    <w:rsid w:val="008960D6"/>
    <w:rsid w:val="0089672A"/>
    <w:rsid w:val="00896BF9"/>
    <w:rsid w:val="008A15E2"/>
    <w:rsid w:val="008A179D"/>
    <w:rsid w:val="008A2B98"/>
    <w:rsid w:val="008A4916"/>
    <w:rsid w:val="008A6D65"/>
    <w:rsid w:val="008A7130"/>
    <w:rsid w:val="008A784F"/>
    <w:rsid w:val="008B1C6F"/>
    <w:rsid w:val="008B2F78"/>
    <w:rsid w:val="008B6F94"/>
    <w:rsid w:val="008B725D"/>
    <w:rsid w:val="008C29A1"/>
    <w:rsid w:val="008C708C"/>
    <w:rsid w:val="008C70F4"/>
    <w:rsid w:val="008D1CE2"/>
    <w:rsid w:val="008D1F5A"/>
    <w:rsid w:val="008D2EDD"/>
    <w:rsid w:val="008D3E9E"/>
    <w:rsid w:val="008D7C90"/>
    <w:rsid w:val="008E1439"/>
    <w:rsid w:val="008E1A72"/>
    <w:rsid w:val="008E2239"/>
    <w:rsid w:val="008E3227"/>
    <w:rsid w:val="008E3493"/>
    <w:rsid w:val="008E559D"/>
    <w:rsid w:val="008E78EB"/>
    <w:rsid w:val="008E7940"/>
    <w:rsid w:val="008F0608"/>
    <w:rsid w:val="008F1666"/>
    <w:rsid w:val="008F21A0"/>
    <w:rsid w:val="008F6326"/>
    <w:rsid w:val="008F792C"/>
    <w:rsid w:val="009013B4"/>
    <w:rsid w:val="00904AA4"/>
    <w:rsid w:val="00913A7B"/>
    <w:rsid w:val="00914CBA"/>
    <w:rsid w:val="009152A3"/>
    <w:rsid w:val="00920950"/>
    <w:rsid w:val="00922D92"/>
    <w:rsid w:val="00923181"/>
    <w:rsid w:val="009275EE"/>
    <w:rsid w:val="0092794C"/>
    <w:rsid w:val="00927E78"/>
    <w:rsid w:val="00930708"/>
    <w:rsid w:val="009327C8"/>
    <w:rsid w:val="00932B9B"/>
    <w:rsid w:val="0093322C"/>
    <w:rsid w:val="009342C0"/>
    <w:rsid w:val="0093720D"/>
    <w:rsid w:val="00940382"/>
    <w:rsid w:val="00940822"/>
    <w:rsid w:val="00941F8F"/>
    <w:rsid w:val="009458C1"/>
    <w:rsid w:val="009478C4"/>
    <w:rsid w:val="00947C46"/>
    <w:rsid w:val="00947D6A"/>
    <w:rsid w:val="00947FAD"/>
    <w:rsid w:val="00951404"/>
    <w:rsid w:val="00951EA6"/>
    <w:rsid w:val="0095319F"/>
    <w:rsid w:val="009532F8"/>
    <w:rsid w:val="00954563"/>
    <w:rsid w:val="00955BAA"/>
    <w:rsid w:val="00956104"/>
    <w:rsid w:val="009567C4"/>
    <w:rsid w:val="00957739"/>
    <w:rsid w:val="00960284"/>
    <w:rsid w:val="00960B76"/>
    <w:rsid w:val="0096166C"/>
    <w:rsid w:val="00961AD8"/>
    <w:rsid w:val="00964BA7"/>
    <w:rsid w:val="00966555"/>
    <w:rsid w:val="009671CB"/>
    <w:rsid w:val="00970592"/>
    <w:rsid w:val="00972800"/>
    <w:rsid w:val="009735ED"/>
    <w:rsid w:val="00975DAB"/>
    <w:rsid w:val="0097722B"/>
    <w:rsid w:val="00977B14"/>
    <w:rsid w:val="00977EA3"/>
    <w:rsid w:val="00980152"/>
    <w:rsid w:val="009832D6"/>
    <w:rsid w:val="009837A6"/>
    <w:rsid w:val="00984B66"/>
    <w:rsid w:val="0098635A"/>
    <w:rsid w:val="0099019B"/>
    <w:rsid w:val="009902D5"/>
    <w:rsid w:val="00993763"/>
    <w:rsid w:val="0099438E"/>
    <w:rsid w:val="00997087"/>
    <w:rsid w:val="009A2CEE"/>
    <w:rsid w:val="009A3B1A"/>
    <w:rsid w:val="009A584E"/>
    <w:rsid w:val="009A7732"/>
    <w:rsid w:val="009B4AE2"/>
    <w:rsid w:val="009B4BD9"/>
    <w:rsid w:val="009B5EC0"/>
    <w:rsid w:val="009B7759"/>
    <w:rsid w:val="009C0716"/>
    <w:rsid w:val="009C3B9E"/>
    <w:rsid w:val="009C445C"/>
    <w:rsid w:val="009C4A46"/>
    <w:rsid w:val="009C4E52"/>
    <w:rsid w:val="009C5522"/>
    <w:rsid w:val="009C5FF9"/>
    <w:rsid w:val="009C78EE"/>
    <w:rsid w:val="009D2009"/>
    <w:rsid w:val="009D2F8B"/>
    <w:rsid w:val="009D376C"/>
    <w:rsid w:val="009D535D"/>
    <w:rsid w:val="009D6425"/>
    <w:rsid w:val="009D7DC3"/>
    <w:rsid w:val="009E0AC5"/>
    <w:rsid w:val="009E0BDE"/>
    <w:rsid w:val="009E4049"/>
    <w:rsid w:val="009E463F"/>
    <w:rsid w:val="009E6D92"/>
    <w:rsid w:val="009F0B72"/>
    <w:rsid w:val="009F3AED"/>
    <w:rsid w:val="009F6053"/>
    <w:rsid w:val="009F7C9B"/>
    <w:rsid w:val="00A00768"/>
    <w:rsid w:val="00A00A1D"/>
    <w:rsid w:val="00A00C02"/>
    <w:rsid w:val="00A023A5"/>
    <w:rsid w:val="00A06D61"/>
    <w:rsid w:val="00A10B4C"/>
    <w:rsid w:val="00A21C78"/>
    <w:rsid w:val="00A21FBF"/>
    <w:rsid w:val="00A253E1"/>
    <w:rsid w:val="00A254C5"/>
    <w:rsid w:val="00A256A1"/>
    <w:rsid w:val="00A26CA4"/>
    <w:rsid w:val="00A26E52"/>
    <w:rsid w:val="00A301A9"/>
    <w:rsid w:val="00A31950"/>
    <w:rsid w:val="00A34068"/>
    <w:rsid w:val="00A34104"/>
    <w:rsid w:val="00A34385"/>
    <w:rsid w:val="00A35844"/>
    <w:rsid w:val="00A41E0A"/>
    <w:rsid w:val="00A424FC"/>
    <w:rsid w:val="00A43AC3"/>
    <w:rsid w:val="00A504C5"/>
    <w:rsid w:val="00A50AF2"/>
    <w:rsid w:val="00A517D0"/>
    <w:rsid w:val="00A52DB9"/>
    <w:rsid w:val="00A560F9"/>
    <w:rsid w:val="00A56A8F"/>
    <w:rsid w:val="00A602E5"/>
    <w:rsid w:val="00A6030E"/>
    <w:rsid w:val="00A61643"/>
    <w:rsid w:val="00A64233"/>
    <w:rsid w:val="00A65C75"/>
    <w:rsid w:val="00A65DC1"/>
    <w:rsid w:val="00A713CB"/>
    <w:rsid w:val="00A716B2"/>
    <w:rsid w:val="00A725F9"/>
    <w:rsid w:val="00A756C6"/>
    <w:rsid w:val="00A75E51"/>
    <w:rsid w:val="00A76585"/>
    <w:rsid w:val="00A769EF"/>
    <w:rsid w:val="00A76D22"/>
    <w:rsid w:val="00A805BD"/>
    <w:rsid w:val="00A817F6"/>
    <w:rsid w:val="00A8202A"/>
    <w:rsid w:val="00A82FCD"/>
    <w:rsid w:val="00A834C4"/>
    <w:rsid w:val="00A836F4"/>
    <w:rsid w:val="00A839D5"/>
    <w:rsid w:val="00A84440"/>
    <w:rsid w:val="00A8534F"/>
    <w:rsid w:val="00A85C22"/>
    <w:rsid w:val="00A90DE2"/>
    <w:rsid w:val="00A9163F"/>
    <w:rsid w:val="00A928AB"/>
    <w:rsid w:val="00A93DA5"/>
    <w:rsid w:val="00A9457D"/>
    <w:rsid w:val="00AA2172"/>
    <w:rsid w:val="00AA46D9"/>
    <w:rsid w:val="00AA4CFF"/>
    <w:rsid w:val="00AA6303"/>
    <w:rsid w:val="00AB29B5"/>
    <w:rsid w:val="00AB5698"/>
    <w:rsid w:val="00AB5D44"/>
    <w:rsid w:val="00AC0BC8"/>
    <w:rsid w:val="00AC0C7C"/>
    <w:rsid w:val="00AC16C7"/>
    <w:rsid w:val="00AC51DA"/>
    <w:rsid w:val="00AC68A1"/>
    <w:rsid w:val="00AD242E"/>
    <w:rsid w:val="00AD38E9"/>
    <w:rsid w:val="00AD4950"/>
    <w:rsid w:val="00AD533E"/>
    <w:rsid w:val="00AD5DC5"/>
    <w:rsid w:val="00AE1C9D"/>
    <w:rsid w:val="00AE418C"/>
    <w:rsid w:val="00AE4E79"/>
    <w:rsid w:val="00AE4F7F"/>
    <w:rsid w:val="00AE6145"/>
    <w:rsid w:val="00AF0498"/>
    <w:rsid w:val="00AF3A99"/>
    <w:rsid w:val="00AF7639"/>
    <w:rsid w:val="00AF7DE7"/>
    <w:rsid w:val="00B01528"/>
    <w:rsid w:val="00B03506"/>
    <w:rsid w:val="00B079C4"/>
    <w:rsid w:val="00B07D75"/>
    <w:rsid w:val="00B106D4"/>
    <w:rsid w:val="00B10A29"/>
    <w:rsid w:val="00B11215"/>
    <w:rsid w:val="00B11FD7"/>
    <w:rsid w:val="00B1259B"/>
    <w:rsid w:val="00B13DB9"/>
    <w:rsid w:val="00B17013"/>
    <w:rsid w:val="00B230A0"/>
    <w:rsid w:val="00B231A5"/>
    <w:rsid w:val="00B232EA"/>
    <w:rsid w:val="00B23D01"/>
    <w:rsid w:val="00B242A7"/>
    <w:rsid w:val="00B25D5E"/>
    <w:rsid w:val="00B25F20"/>
    <w:rsid w:val="00B26262"/>
    <w:rsid w:val="00B26C9F"/>
    <w:rsid w:val="00B35817"/>
    <w:rsid w:val="00B36209"/>
    <w:rsid w:val="00B3684A"/>
    <w:rsid w:val="00B41B10"/>
    <w:rsid w:val="00B41D8D"/>
    <w:rsid w:val="00B42204"/>
    <w:rsid w:val="00B42940"/>
    <w:rsid w:val="00B43D8B"/>
    <w:rsid w:val="00B440B1"/>
    <w:rsid w:val="00B478C8"/>
    <w:rsid w:val="00B57513"/>
    <w:rsid w:val="00B6096D"/>
    <w:rsid w:val="00B62CC8"/>
    <w:rsid w:val="00B6300D"/>
    <w:rsid w:val="00B63AE0"/>
    <w:rsid w:val="00B659BB"/>
    <w:rsid w:val="00B65A27"/>
    <w:rsid w:val="00B66E34"/>
    <w:rsid w:val="00B711B2"/>
    <w:rsid w:val="00B71680"/>
    <w:rsid w:val="00B723AE"/>
    <w:rsid w:val="00B727F9"/>
    <w:rsid w:val="00B72CB0"/>
    <w:rsid w:val="00B73B6F"/>
    <w:rsid w:val="00B74894"/>
    <w:rsid w:val="00B801B0"/>
    <w:rsid w:val="00B81291"/>
    <w:rsid w:val="00B8181E"/>
    <w:rsid w:val="00B836A9"/>
    <w:rsid w:val="00B878A1"/>
    <w:rsid w:val="00B90A29"/>
    <w:rsid w:val="00B94857"/>
    <w:rsid w:val="00B96D2D"/>
    <w:rsid w:val="00BA2134"/>
    <w:rsid w:val="00BA2617"/>
    <w:rsid w:val="00BA339F"/>
    <w:rsid w:val="00BA3854"/>
    <w:rsid w:val="00BA5E2B"/>
    <w:rsid w:val="00BA5F58"/>
    <w:rsid w:val="00BA65B8"/>
    <w:rsid w:val="00BA6D60"/>
    <w:rsid w:val="00BA7E0C"/>
    <w:rsid w:val="00BA7F87"/>
    <w:rsid w:val="00BB0F81"/>
    <w:rsid w:val="00BB1135"/>
    <w:rsid w:val="00BB2F41"/>
    <w:rsid w:val="00BB41D6"/>
    <w:rsid w:val="00BB41FD"/>
    <w:rsid w:val="00BB4758"/>
    <w:rsid w:val="00BB5712"/>
    <w:rsid w:val="00BC206F"/>
    <w:rsid w:val="00BC23D9"/>
    <w:rsid w:val="00BC3FC8"/>
    <w:rsid w:val="00BC4153"/>
    <w:rsid w:val="00BC4903"/>
    <w:rsid w:val="00BC5D0A"/>
    <w:rsid w:val="00BC7669"/>
    <w:rsid w:val="00BC7D7C"/>
    <w:rsid w:val="00BD079A"/>
    <w:rsid w:val="00BD09B2"/>
    <w:rsid w:val="00BD0E79"/>
    <w:rsid w:val="00BD42B2"/>
    <w:rsid w:val="00BD5102"/>
    <w:rsid w:val="00BD58A3"/>
    <w:rsid w:val="00BD5A61"/>
    <w:rsid w:val="00BD60AB"/>
    <w:rsid w:val="00BD7EEB"/>
    <w:rsid w:val="00BE28E9"/>
    <w:rsid w:val="00BE3A8E"/>
    <w:rsid w:val="00BF06AD"/>
    <w:rsid w:val="00BF1756"/>
    <w:rsid w:val="00BF3E36"/>
    <w:rsid w:val="00BF61A5"/>
    <w:rsid w:val="00C034BC"/>
    <w:rsid w:val="00C0654D"/>
    <w:rsid w:val="00C151D8"/>
    <w:rsid w:val="00C20780"/>
    <w:rsid w:val="00C20879"/>
    <w:rsid w:val="00C20DE4"/>
    <w:rsid w:val="00C215E3"/>
    <w:rsid w:val="00C21DA7"/>
    <w:rsid w:val="00C21DED"/>
    <w:rsid w:val="00C2243B"/>
    <w:rsid w:val="00C24CF2"/>
    <w:rsid w:val="00C2594A"/>
    <w:rsid w:val="00C27533"/>
    <w:rsid w:val="00C30D39"/>
    <w:rsid w:val="00C33219"/>
    <w:rsid w:val="00C34BE7"/>
    <w:rsid w:val="00C36235"/>
    <w:rsid w:val="00C40443"/>
    <w:rsid w:val="00C423D0"/>
    <w:rsid w:val="00C424D1"/>
    <w:rsid w:val="00C42D0E"/>
    <w:rsid w:val="00C44381"/>
    <w:rsid w:val="00C46DB7"/>
    <w:rsid w:val="00C5116C"/>
    <w:rsid w:val="00C5157E"/>
    <w:rsid w:val="00C55AEC"/>
    <w:rsid w:val="00C6009F"/>
    <w:rsid w:val="00C611D0"/>
    <w:rsid w:val="00C63045"/>
    <w:rsid w:val="00C63E77"/>
    <w:rsid w:val="00C643F4"/>
    <w:rsid w:val="00C64D21"/>
    <w:rsid w:val="00C65AA2"/>
    <w:rsid w:val="00C664E8"/>
    <w:rsid w:val="00C67A46"/>
    <w:rsid w:val="00C71C2D"/>
    <w:rsid w:val="00C75707"/>
    <w:rsid w:val="00C81E99"/>
    <w:rsid w:val="00C85180"/>
    <w:rsid w:val="00C85412"/>
    <w:rsid w:val="00C85AFB"/>
    <w:rsid w:val="00C85D29"/>
    <w:rsid w:val="00C90D5B"/>
    <w:rsid w:val="00C93016"/>
    <w:rsid w:val="00C93047"/>
    <w:rsid w:val="00C9569A"/>
    <w:rsid w:val="00C96F49"/>
    <w:rsid w:val="00CA2CA2"/>
    <w:rsid w:val="00CA6EF2"/>
    <w:rsid w:val="00CA73DC"/>
    <w:rsid w:val="00CA7993"/>
    <w:rsid w:val="00CB07D4"/>
    <w:rsid w:val="00CB1FC9"/>
    <w:rsid w:val="00CB2ACF"/>
    <w:rsid w:val="00CB3169"/>
    <w:rsid w:val="00CB3D01"/>
    <w:rsid w:val="00CB48B4"/>
    <w:rsid w:val="00CB5273"/>
    <w:rsid w:val="00CB6961"/>
    <w:rsid w:val="00CB6D6C"/>
    <w:rsid w:val="00CC432C"/>
    <w:rsid w:val="00CC5B88"/>
    <w:rsid w:val="00CC5D28"/>
    <w:rsid w:val="00CD3411"/>
    <w:rsid w:val="00CD38F5"/>
    <w:rsid w:val="00CD4A50"/>
    <w:rsid w:val="00CE1C19"/>
    <w:rsid w:val="00CE3EDF"/>
    <w:rsid w:val="00CE41C9"/>
    <w:rsid w:val="00CE4282"/>
    <w:rsid w:val="00CE486E"/>
    <w:rsid w:val="00CE60B2"/>
    <w:rsid w:val="00CE7937"/>
    <w:rsid w:val="00CF100A"/>
    <w:rsid w:val="00CF24A7"/>
    <w:rsid w:val="00CF6132"/>
    <w:rsid w:val="00D0166B"/>
    <w:rsid w:val="00D01E85"/>
    <w:rsid w:val="00D02128"/>
    <w:rsid w:val="00D05637"/>
    <w:rsid w:val="00D076F6"/>
    <w:rsid w:val="00D07955"/>
    <w:rsid w:val="00D104B7"/>
    <w:rsid w:val="00D1090F"/>
    <w:rsid w:val="00D12CFF"/>
    <w:rsid w:val="00D147C3"/>
    <w:rsid w:val="00D21EE7"/>
    <w:rsid w:val="00D24DA0"/>
    <w:rsid w:val="00D257B5"/>
    <w:rsid w:val="00D27766"/>
    <w:rsid w:val="00D307F9"/>
    <w:rsid w:val="00D30E08"/>
    <w:rsid w:val="00D31925"/>
    <w:rsid w:val="00D34C2D"/>
    <w:rsid w:val="00D41D7D"/>
    <w:rsid w:val="00D42971"/>
    <w:rsid w:val="00D43D26"/>
    <w:rsid w:val="00D4752D"/>
    <w:rsid w:val="00D47D87"/>
    <w:rsid w:val="00D50001"/>
    <w:rsid w:val="00D513FE"/>
    <w:rsid w:val="00D5194C"/>
    <w:rsid w:val="00D52003"/>
    <w:rsid w:val="00D526C8"/>
    <w:rsid w:val="00D53840"/>
    <w:rsid w:val="00D57D2F"/>
    <w:rsid w:val="00D6151D"/>
    <w:rsid w:val="00D65CD4"/>
    <w:rsid w:val="00D66AAF"/>
    <w:rsid w:val="00D74119"/>
    <w:rsid w:val="00D80581"/>
    <w:rsid w:val="00D80CF3"/>
    <w:rsid w:val="00D84D6E"/>
    <w:rsid w:val="00D93F8F"/>
    <w:rsid w:val="00D945F5"/>
    <w:rsid w:val="00D9535B"/>
    <w:rsid w:val="00D9622A"/>
    <w:rsid w:val="00D96E56"/>
    <w:rsid w:val="00DA0182"/>
    <w:rsid w:val="00DA09C9"/>
    <w:rsid w:val="00DA3555"/>
    <w:rsid w:val="00DA6741"/>
    <w:rsid w:val="00DA7299"/>
    <w:rsid w:val="00DA7403"/>
    <w:rsid w:val="00DB091A"/>
    <w:rsid w:val="00DB0CF0"/>
    <w:rsid w:val="00DB3D3E"/>
    <w:rsid w:val="00DB622C"/>
    <w:rsid w:val="00DB6F95"/>
    <w:rsid w:val="00DC3CD4"/>
    <w:rsid w:val="00DC6286"/>
    <w:rsid w:val="00DC6942"/>
    <w:rsid w:val="00DD37C8"/>
    <w:rsid w:val="00DD3801"/>
    <w:rsid w:val="00DD4DA9"/>
    <w:rsid w:val="00DE1114"/>
    <w:rsid w:val="00DE1DC4"/>
    <w:rsid w:val="00DE2BD2"/>
    <w:rsid w:val="00DE7415"/>
    <w:rsid w:val="00DF0426"/>
    <w:rsid w:val="00DF0D7E"/>
    <w:rsid w:val="00DF3A48"/>
    <w:rsid w:val="00DF3A8D"/>
    <w:rsid w:val="00DF57E7"/>
    <w:rsid w:val="00DF74AD"/>
    <w:rsid w:val="00E0078A"/>
    <w:rsid w:val="00E0118E"/>
    <w:rsid w:val="00E01858"/>
    <w:rsid w:val="00E01A35"/>
    <w:rsid w:val="00E02AF2"/>
    <w:rsid w:val="00E03192"/>
    <w:rsid w:val="00E0456F"/>
    <w:rsid w:val="00E04792"/>
    <w:rsid w:val="00E10070"/>
    <w:rsid w:val="00E10AF7"/>
    <w:rsid w:val="00E14CEF"/>
    <w:rsid w:val="00E16D97"/>
    <w:rsid w:val="00E20097"/>
    <w:rsid w:val="00E25218"/>
    <w:rsid w:val="00E25A15"/>
    <w:rsid w:val="00E27211"/>
    <w:rsid w:val="00E27713"/>
    <w:rsid w:val="00E31645"/>
    <w:rsid w:val="00E341AA"/>
    <w:rsid w:val="00E357FC"/>
    <w:rsid w:val="00E36070"/>
    <w:rsid w:val="00E367BF"/>
    <w:rsid w:val="00E37BCD"/>
    <w:rsid w:val="00E4031D"/>
    <w:rsid w:val="00E43CE0"/>
    <w:rsid w:val="00E47419"/>
    <w:rsid w:val="00E515A5"/>
    <w:rsid w:val="00E51A62"/>
    <w:rsid w:val="00E54D0F"/>
    <w:rsid w:val="00E602E1"/>
    <w:rsid w:val="00E61043"/>
    <w:rsid w:val="00E62DE1"/>
    <w:rsid w:val="00E64841"/>
    <w:rsid w:val="00E64C59"/>
    <w:rsid w:val="00E655F1"/>
    <w:rsid w:val="00E67CD3"/>
    <w:rsid w:val="00E703E4"/>
    <w:rsid w:val="00E72E68"/>
    <w:rsid w:val="00E74CE2"/>
    <w:rsid w:val="00E76AA7"/>
    <w:rsid w:val="00E816C2"/>
    <w:rsid w:val="00E83746"/>
    <w:rsid w:val="00E84C4B"/>
    <w:rsid w:val="00E84FE4"/>
    <w:rsid w:val="00E8742F"/>
    <w:rsid w:val="00E90B44"/>
    <w:rsid w:val="00E91698"/>
    <w:rsid w:val="00E9407C"/>
    <w:rsid w:val="00E949FB"/>
    <w:rsid w:val="00E95F67"/>
    <w:rsid w:val="00E962BE"/>
    <w:rsid w:val="00E96D0D"/>
    <w:rsid w:val="00E97014"/>
    <w:rsid w:val="00E9796A"/>
    <w:rsid w:val="00EA013A"/>
    <w:rsid w:val="00EA09F1"/>
    <w:rsid w:val="00EA1C9A"/>
    <w:rsid w:val="00EA2543"/>
    <w:rsid w:val="00EA25AD"/>
    <w:rsid w:val="00EA6280"/>
    <w:rsid w:val="00EA7751"/>
    <w:rsid w:val="00EA79C9"/>
    <w:rsid w:val="00EA7B9D"/>
    <w:rsid w:val="00EB2896"/>
    <w:rsid w:val="00EB39F7"/>
    <w:rsid w:val="00EB4034"/>
    <w:rsid w:val="00EC078D"/>
    <w:rsid w:val="00EC0970"/>
    <w:rsid w:val="00EC36F7"/>
    <w:rsid w:val="00EC40CA"/>
    <w:rsid w:val="00EC5B12"/>
    <w:rsid w:val="00EC5E94"/>
    <w:rsid w:val="00EC6DBA"/>
    <w:rsid w:val="00ED38CE"/>
    <w:rsid w:val="00ED463A"/>
    <w:rsid w:val="00ED71D3"/>
    <w:rsid w:val="00EE09BC"/>
    <w:rsid w:val="00EE4B0A"/>
    <w:rsid w:val="00EE78B1"/>
    <w:rsid w:val="00EE78F2"/>
    <w:rsid w:val="00EF6E75"/>
    <w:rsid w:val="00EF7E43"/>
    <w:rsid w:val="00EF7F83"/>
    <w:rsid w:val="00F00521"/>
    <w:rsid w:val="00F01BFF"/>
    <w:rsid w:val="00F02C5E"/>
    <w:rsid w:val="00F04227"/>
    <w:rsid w:val="00F04D5A"/>
    <w:rsid w:val="00F112E2"/>
    <w:rsid w:val="00F13347"/>
    <w:rsid w:val="00F135F0"/>
    <w:rsid w:val="00F13CF2"/>
    <w:rsid w:val="00F13EB7"/>
    <w:rsid w:val="00F15F81"/>
    <w:rsid w:val="00F2188B"/>
    <w:rsid w:val="00F245FE"/>
    <w:rsid w:val="00F31CDB"/>
    <w:rsid w:val="00F34C32"/>
    <w:rsid w:val="00F35C39"/>
    <w:rsid w:val="00F3613B"/>
    <w:rsid w:val="00F37AE9"/>
    <w:rsid w:val="00F37F6D"/>
    <w:rsid w:val="00F404DF"/>
    <w:rsid w:val="00F42B5E"/>
    <w:rsid w:val="00F42C05"/>
    <w:rsid w:val="00F4422A"/>
    <w:rsid w:val="00F47215"/>
    <w:rsid w:val="00F52767"/>
    <w:rsid w:val="00F53F2C"/>
    <w:rsid w:val="00F540F6"/>
    <w:rsid w:val="00F54D1A"/>
    <w:rsid w:val="00F5569F"/>
    <w:rsid w:val="00F5722D"/>
    <w:rsid w:val="00F60090"/>
    <w:rsid w:val="00F61750"/>
    <w:rsid w:val="00F621E2"/>
    <w:rsid w:val="00F626EC"/>
    <w:rsid w:val="00F70D42"/>
    <w:rsid w:val="00F745EB"/>
    <w:rsid w:val="00F769A2"/>
    <w:rsid w:val="00F825B4"/>
    <w:rsid w:val="00F82A1A"/>
    <w:rsid w:val="00F853C9"/>
    <w:rsid w:val="00F86D41"/>
    <w:rsid w:val="00F90C34"/>
    <w:rsid w:val="00F92485"/>
    <w:rsid w:val="00F95033"/>
    <w:rsid w:val="00F973F5"/>
    <w:rsid w:val="00F97F63"/>
    <w:rsid w:val="00FA1CEB"/>
    <w:rsid w:val="00FA205F"/>
    <w:rsid w:val="00FA352B"/>
    <w:rsid w:val="00FA3575"/>
    <w:rsid w:val="00FA6532"/>
    <w:rsid w:val="00FA7860"/>
    <w:rsid w:val="00FB3C0F"/>
    <w:rsid w:val="00FB4F41"/>
    <w:rsid w:val="00FB6184"/>
    <w:rsid w:val="00FC331A"/>
    <w:rsid w:val="00FC35EA"/>
    <w:rsid w:val="00FD1311"/>
    <w:rsid w:val="00FD2B80"/>
    <w:rsid w:val="00FD4102"/>
    <w:rsid w:val="00FD4BFC"/>
    <w:rsid w:val="00FE0AF4"/>
    <w:rsid w:val="00FE10D3"/>
    <w:rsid w:val="00FE1317"/>
    <w:rsid w:val="00FE165A"/>
    <w:rsid w:val="00FE211F"/>
    <w:rsid w:val="00FE3CD2"/>
    <w:rsid w:val="00FE4F61"/>
    <w:rsid w:val="00FE5625"/>
    <w:rsid w:val="00FE6EDD"/>
    <w:rsid w:val="00FE6F72"/>
    <w:rsid w:val="00FF39F2"/>
    <w:rsid w:val="00FF44D7"/>
    <w:rsid w:val="00FF4D6A"/>
    <w:rsid w:val="00FF659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time"/>
  <w:smartTagType w:namespaceuri="urn:schemas-microsoft-com:office:smarttags" w:name="PersonName"/>
  <w:smartTagType w:namespaceuri="urn:schemas-microsoft-com:office:smarttags" w:name="Stat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3E32"/>
    <w:pPr>
      <w:spacing w:line="260" w:lineRule="atLeast"/>
    </w:pPr>
    <w:rPr>
      <w:sz w:val="22"/>
      <w:szCs w:val="24"/>
    </w:rPr>
  </w:style>
  <w:style w:type="paragraph" w:styleId="Heading1">
    <w:name w:val="heading 1"/>
    <w:next w:val="Heading2"/>
    <w:autoRedefine/>
    <w:qFormat/>
    <w:rsid w:val="00233E32"/>
    <w:pPr>
      <w:keepNext/>
      <w:keepLines/>
      <w:ind w:left="1134" w:hanging="1134"/>
      <w:outlineLvl w:val="0"/>
    </w:pPr>
    <w:rPr>
      <w:b/>
      <w:bCs/>
      <w:kern w:val="28"/>
      <w:sz w:val="36"/>
      <w:szCs w:val="32"/>
    </w:rPr>
  </w:style>
  <w:style w:type="paragraph" w:styleId="Heading2">
    <w:name w:val="heading 2"/>
    <w:basedOn w:val="Heading1"/>
    <w:next w:val="Heading3"/>
    <w:autoRedefine/>
    <w:qFormat/>
    <w:rsid w:val="00233E32"/>
    <w:pPr>
      <w:spacing w:before="280"/>
      <w:outlineLvl w:val="1"/>
    </w:pPr>
    <w:rPr>
      <w:bCs w:val="0"/>
      <w:iCs/>
      <w:sz w:val="32"/>
      <w:szCs w:val="28"/>
    </w:rPr>
  </w:style>
  <w:style w:type="paragraph" w:styleId="Heading3">
    <w:name w:val="heading 3"/>
    <w:basedOn w:val="Heading1"/>
    <w:next w:val="Heading4"/>
    <w:autoRedefine/>
    <w:qFormat/>
    <w:rsid w:val="00233E32"/>
    <w:pPr>
      <w:spacing w:before="240"/>
      <w:outlineLvl w:val="2"/>
    </w:pPr>
    <w:rPr>
      <w:bCs w:val="0"/>
      <w:sz w:val="28"/>
      <w:szCs w:val="26"/>
    </w:rPr>
  </w:style>
  <w:style w:type="paragraph" w:styleId="Heading4">
    <w:name w:val="heading 4"/>
    <w:basedOn w:val="Heading1"/>
    <w:next w:val="Heading5"/>
    <w:autoRedefine/>
    <w:qFormat/>
    <w:rsid w:val="00233E32"/>
    <w:pPr>
      <w:spacing w:before="220"/>
      <w:outlineLvl w:val="3"/>
    </w:pPr>
    <w:rPr>
      <w:bCs w:val="0"/>
      <w:sz w:val="26"/>
      <w:szCs w:val="28"/>
    </w:rPr>
  </w:style>
  <w:style w:type="paragraph" w:styleId="Heading5">
    <w:name w:val="heading 5"/>
    <w:basedOn w:val="Heading1"/>
    <w:next w:val="subsection"/>
    <w:autoRedefine/>
    <w:qFormat/>
    <w:rsid w:val="00233E32"/>
    <w:pPr>
      <w:spacing w:before="280"/>
      <w:outlineLvl w:val="4"/>
    </w:pPr>
    <w:rPr>
      <w:bCs w:val="0"/>
      <w:iCs/>
      <w:sz w:val="24"/>
      <w:szCs w:val="26"/>
    </w:rPr>
  </w:style>
  <w:style w:type="paragraph" w:styleId="Heading6">
    <w:name w:val="heading 6"/>
    <w:basedOn w:val="Heading1"/>
    <w:next w:val="Heading7"/>
    <w:autoRedefine/>
    <w:qFormat/>
    <w:rsid w:val="00233E32"/>
    <w:pPr>
      <w:outlineLvl w:val="5"/>
    </w:pPr>
    <w:rPr>
      <w:rFonts w:ascii="Arial" w:hAnsi="Arial" w:cs="Arial"/>
      <w:bCs w:val="0"/>
      <w:sz w:val="32"/>
      <w:szCs w:val="22"/>
    </w:rPr>
  </w:style>
  <w:style w:type="paragraph" w:styleId="Heading7">
    <w:name w:val="heading 7"/>
    <w:basedOn w:val="Heading6"/>
    <w:next w:val="Normal"/>
    <w:autoRedefine/>
    <w:qFormat/>
    <w:rsid w:val="00233E32"/>
    <w:pPr>
      <w:spacing w:before="280"/>
      <w:outlineLvl w:val="6"/>
    </w:pPr>
    <w:rPr>
      <w:sz w:val="28"/>
    </w:rPr>
  </w:style>
  <w:style w:type="paragraph" w:styleId="Heading8">
    <w:name w:val="heading 8"/>
    <w:basedOn w:val="Heading6"/>
    <w:next w:val="Normal"/>
    <w:autoRedefine/>
    <w:qFormat/>
    <w:rsid w:val="00233E32"/>
    <w:pPr>
      <w:spacing w:before="240"/>
      <w:outlineLvl w:val="7"/>
    </w:pPr>
    <w:rPr>
      <w:iCs/>
      <w:sz w:val="26"/>
    </w:rPr>
  </w:style>
  <w:style w:type="paragraph" w:styleId="Heading9">
    <w:name w:val="heading 9"/>
    <w:basedOn w:val="Heading1"/>
    <w:next w:val="Normal"/>
    <w:autoRedefine/>
    <w:qFormat/>
    <w:rsid w:val="00233E32"/>
    <w:pPr>
      <w:keepNext w:val="0"/>
      <w:spacing w:before="280"/>
      <w:outlineLvl w:val="8"/>
    </w:pPr>
    <w:rPr>
      <w:i/>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233E32"/>
    <w:pPr>
      <w:numPr>
        <w:numId w:val="1"/>
      </w:numPr>
    </w:pPr>
  </w:style>
  <w:style w:type="numbering" w:styleId="1ai">
    <w:name w:val="Outline List 1"/>
    <w:basedOn w:val="NoList"/>
    <w:rsid w:val="00233E32"/>
    <w:pPr>
      <w:numPr>
        <w:numId w:val="14"/>
      </w:numPr>
    </w:pPr>
  </w:style>
  <w:style w:type="paragraph" w:customStyle="1" w:styleId="ActHead1">
    <w:name w:val="ActHead 1"/>
    <w:aliases w:val="c"/>
    <w:next w:val="Normal"/>
    <w:rsid w:val="00233E32"/>
    <w:pPr>
      <w:keepNext/>
      <w:keepLines/>
      <w:ind w:left="1134" w:hanging="1134"/>
      <w:outlineLvl w:val="0"/>
    </w:pPr>
    <w:rPr>
      <w:b/>
      <w:bCs/>
      <w:kern w:val="28"/>
      <w:sz w:val="36"/>
      <w:szCs w:val="32"/>
    </w:rPr>
  </w:style>
  <w:style w:type="paragraph" w:customStyle="1" w:styleId="ActHead2">
    <w:name w:val="ActHead 2"/>
    <w:aliases w:val="p"/>
    <w:basedOn w:val="ActHead1"/>
    <w:next w:val="Normal"/>
    <w:rsid w:val="00233E32"/>
    <w:pPr>
      <w:spacing w:before="280"/>
      <w:outlineLvl w:val="1"/>
    </w:pPr>
    <w:rPr>
      <w:sz w:val="32"/>
    </w:rPr>
  </w:style>
  <w:style w:type="paragraph" w:customStyle="1" w:styleId="ActHead3">
    <w:name w:val="ActHead 3"/>
    <w:aliases w:val="d"/>
    <w:basedOn w:val="ActHead1"/>
    <w:next w:val="Normal"/>
    <w:rsid w:val="00233E32"/>
    <w:pPr>
      <w:spacing w:before="240"/>
      <w:outlineLvl w:val="2"/>
    </w:pPr>
    <w:rPr>
      <w:sz w:val="28"/>
    </w:rPr>
  </w:style>
  <w:style w:type="paragraph" w:customStyle="1" w:styleId="ActHead4">
    <w:name w:val="ActHead 4"/>
    <w:aliases w:val="sd"/>
    <w:basedOn w:val="ActHead1"/>
    <w:next w:val="Normal"/>
    <w:qFormat/>
    <w:rsid w:val="00233E32"/>
    <w:pPr>
      <w:spacing w:before="220"/>
      <w:outlineLvl w:val="3"/>
    </w:pPr>
    <w:rPr>
      <w:sz w:val="26"/>
    </w:rPr>
  </w:style>
  <w:style w:type="paragraph" w:customStyle="1" w:styleId="ActHead5">
    <w:name w:val="ActHead 5"/>
    <w:aliases w:val="s"/>
    <w:basedOn w:val="ActHead1"/>
    <w:next w:val="Normal"/>
    <w:qFormat/>
    <w:rsid w:val="00233E32"/>
    <w:pPr>
      <w:spacing w:before="280"/>
      <w:outlineLvl w:val="4"/>
    </w:pPr>
    <w:rPr>
      <w:sz w:val="24"/>
    </w:rPr>
  </w:style>
  <w:style w:type="paragraph" w:customStyle="1" w:styleId="ActHead6">
    <w:name w:val="ActHead 6"/>
    <w:aliases w:val="as"/>
    <w:basedOn w:val="ActHead1"/>
    <w:next w:val="Normal"/>
    <w:rsid w:val="00233E32"/>
    <w:pPr>
      <w:outlineLvl w:val="5"/>
    </w:pPr>
    <w:rPr>
      <w:rFonts w:ascii="Arial" w:hAnsi="Arial"/>
      <w:sz w:val="32"/>
    </w:rPr>
  </w:style>
  <w:style w:type="paragraph" w:customStyle="1" w:styleId="ActHead7">
    <w:name w:val="ActHead 7"/>
    <w:aliases w:val="ap"/>
    <w:basedOn w:val="ActHead6"/>
    <w:next w:val="Normal"/>
    <w:rsid w:val="00233E32"/>
    <w:pPr>
      <w:spacing w:before="280"/>
      <w:outlineLvl w:val="6"/>
    </w:pPr>
    <w:rPr>
      <w:sz w:val="28"/>
    </w:rPr>
  </w:style>
  <w:style w:type="paragraph" w:customStyle="1" w:styleId="ActHead8">
    <w:name w:val="ActHead 8"/>
    <w:aliases w:val="ad"/>
    <w:basedOn w:val="ActHead6"/>
    <w:next w:val="Normal"/>
    <w:rsid w:val="00233E32"/>
    <w:pPr>
      <w:spacing w:before="240"/>
      <w:outlineLvl w:val="7"/>
    </w:pPr>
    <w:rPr>
      <w:sz w:val="26"/>
    </w:rPr>
  </w:style>
  <w:style w:type="paragraph" w:customStyle="1" w:styleId="ActHead9">
    <w:name w:val="ActHead 9"/>
    <w:aliases w:val="aat"/>
    <w:basedOn w:val="ActHead1"/>
    <w:next w:val="Normal"/>
    <w:rsid w:val="00233E32"/>
    <w:pPr>
      <w:keepNext w:val="0"/>
      <w:spacing w:before="280"/>
      <w:outlineLvl w:val="8"/>
    </w:pPr>
    <w:rPr>
      <w:i/>
      <w:sz w:val="28"/>
    </w:rPr>
  </w:style>
  <w:style w:type="paragraph" w:customStyle="1" w:styleId="UpdateDate">
    <w:name w:val="UpdateDate"/>
    <w:basedOn w:val="Normal"/>
    <w:rsid w:val="00233E32"/>
    <w:pPr>
      <w:spacing w:before="240"/>
    </w:pPr>
    <w:rPr>
      <w:sz w:val="24"/>
    </w:rPr>
  </w:style>
  <w:style w:type="paragraph" w:customStyle="1" w:styleId="Actno">
    <w:name w:val="Actno"/>
    <w:basedOn w:val="UpdateDate"/>
    <w:next w:val="Normal"/>
    <w:rsid w:val="00233E32"/>
    <w:rPr>
      <w:b/>
    </w:rPr>
  </w:style>
  <w:style w:type="paragraph" w:customStyle="1" w:styleId="ActNotes1">
    <w:name w:val="ActNotes(1)"/>
    <w:basedOn w:val="Normal"/>
    <w:rsid w:val="00233E32"/>
    <w:pPr>
      <w:tabs>
        <w:tab w:val="right" w:pos="992"/>
      </w:tabs>
      <w:spacing w:before="60" w:line="240" w:lineRule="auto"/>
      <w:ind w:left="1134" w:hanging="1134"/>
    </w:pPr>
    <w:rPr>
      <w:rFonts w:ascii="Arial" w:hAnsi="Arial"/>
      <w:sz w:val="16"/>
      <w:szCs w:val="20"/>
    </w:rPr>
  </w:style>
  <w:style w:type="paragraph" w:customStyle="1" w:styleId="ActNotes1a">
    <w:name w:val="ActNotes(1)(a)"/>
    <w:basedOn w:val="Normal"/>
    <w:rsid w:val="00233E32"/>
    <w:pPr>
      <w:tabs>
        <w:tab w:val="right" w:pos="1559"/>
      </w:tabs>
      <w:spacing w:before="60" w:line="180" w:lineRule="exact"/>
      <w:ind w:left="1701" w:hanging="1701"/>
    </w:pPr>
    <w:rPr>
      <w:rFonts w:ascii="Arial" w:hAnsi="Arial"/>
      <w:sz w:val="16"/>
    </w:rPr>
  </w:style>
  <w:style w:type="paragraph" w:customStyle="1" w:styleId="ActNotes1ai">
    <w:name w:val="ActNotes(1)(a)(i)"/>
    <w:basedOn w:val="Normal"/>
    <w:rsid w:val="00233E32"/>
    <w:pPr>
      <w:tabs>
        <w:tab w:val="right" w:pos="1843"/>
      </w:tabs>
      <w:spacing w:line="180" w:lineRule="atLeast"/>
      <w:ind w:left="1985" w:hanging="1985"/>
    </w:pPr>
    <w:rPr>
      <w:rFonts w:ascii="Arial" w:hAnsi="Arial"/>
      <w:sz w:val="16"/>
    </w:rPr>
  </w:style>
  <w:style w:type="paragraph" w:customStyle="1" w:styleId="ActNotesa">
    <w:name w:val="ActNotes(a)"/>
    <w:basedOn w:val="Normal"/>
    <w:rsid w:val="00233E32"/>
    <w:pPr>
      <w:spacing w:before="60" w:line="180" w:lineRule="exact"/>
      <w:ind w:left="425" w:hanging="425"/>
    </w:pPr>
    <w:rPr>
      <w:rFonts w:ascii="Arial" w:hAnsi="Arial"/>
      <w:sz w:val="16"/>
    </w:rPr>
  </w:style>
  <w:style w:type="paragraph" w:customStyle="1" w:styleId="TableOfAmend">
    <w:name w:val="TableOfAmend"/>
    <w:basedOn w:val="Normal"/>
    <w:rsid w:val="00233E32"/>
    <w:pPr>
      <w:tabs>
        <w:tab w:val="right" w:leader="dot" w:pos="2268"/>
      </w:tabs>
      <w:spacing w:before="60" w:line="180" w:lineRule="exact"/>
      <w:ind w:left="170" w:right="113" w:hanging="170"/>
    </w:pPr>
    <w:rPr>
      <w:rFonts w:ascii="Arial" w:hAnsi="Arial"/>
      <w:sz w:val="16"/>
    </w:rPr>
  </w:style>
  <w:style w:type="paragraph" w:customStyle="1" w:styleId="AmendTableColHead">
    <w:name w:val="AmendTableColHead"/>
    <w:basedOn w:val="TableOfAmend"/>
    <w:rsid w:val="00233E32"/>
    <w:pPr>
      <w:spacing w:line="200" w:lineRule="exact"/>
    </w:pPr>
    <w:rPr>
      <w:sz w:val="18"/>
    </w:rPr>
  </w:style>
  <w:style w:type="numbering" w:styleId="ArticleSection">
    <w:name w:val="Outline List 3"/>
    <w:basedOn w:val="NoList"/>
    <w:rsid w:val="00233E32"/>
    <w:pPr>
      <w:numPr>
        <w:numId w:val="2"/>
      </w:numPr>
    </w:pPr>
  </w:style>
  <w:style w:type="paragraph" w:customStyle="1" w:styleId="asamended">
    <w:name w:val="as amended"/>
    <w:basedOn w:val="Normal"/>
    <w:rsid w:val="00233E32"/>
    <w:pPr>
      <w:keepNext/>
      <w:spacing w:before="60" w:line="200" w:lineRule="exact"/>
      <w:ind w:left="284"/>
    </w:pPr>
    <w:rPr>
      <w:rFonts w:ascii="Arial" w:hAnsi="Arial"/>
      <w:b/>
      <w:sz w:val="16"/>
    </w:rPr>
  </w:style>
  <w:style w:type="paragraph" w:customStyle="1" w:styleId="asamendedital">
    <w:name w:val="as amended ital"/>
    <w:basedOn w:val="Normal"/>
    <w:rsid w:val="00233E32"/>
    <w:pPr>
      <w:spacing w:before="60" w:line="200" w:lineRule="exact"/>
      <w:ind w:left="284"/>
    </w:pPr>
    <w:rPr>
      <w:rFonts w:ascii="Arial" w:hAnsi="Arial"/>
      <w:i/>
      <w:sz w:val="16"/>
    </w:rPr>
  </w:style>
  <w:style w:type="paragraph" w:styleId="BalloonText">
    <w:name w:val="Balloon Text"/>
    <w:rsid w:val="00233E32"/>
    <w:rPr>
      <w:rFonts w:ascii="Tahoma" w:hAnsi="Tahoma" w:cs="Tahoma"/>
      <w:sz w:val="16"/>
      <w:szCs w:val="16"/>
    </w:rPr>
  </w:style>
  <w:style w:type="paragraph" w:styleId="BlockText">
    <w:name w:val="Block Text"/>
    <w:rsid w:val="00233E32"/>
    <w:pPr>
      <w:spacing w:after="120"/>
      <w:ind w:left="1440" w:right="1440"/>
    </w:pPr>
    <w:rPr>
      <w:sz w:val="22"/>
      <w:szCs w:val="24"/>
    </w:rPr>
  </w:style>
  <w:style w:type="paragraph" w:customStyle="1" w:styleId="Blocks">
    <w:name w:val="Blocks"/>
    <w:aliases w:val="bb"/>
    <w:rsid w:val="00233E32"/>
    <w:rPr>
      <w:sz w:val="24"/>
      <w:szCs w:val="24"/>
    </w:rPr>
  </w:style>
  <w:style w:type="paragraph" w:styleId="BodyText">
    <w:name w:val="Body Text"/>
    <w:rsid w:val="00233E32"/>
    <w:pPr>
      <w:spacing w:after="120"/>
    </w:pPr>
    <w:rPr>
      <w:sz w:val="22"/>
      <w:szCs w:val="24"/>
    </w:rPr>
  </w:style>
  <w:style w:type="paragraph" w:styleId="BodyText2">
    <w:name w:val="Body Text 2"/>
    <w:rsid w:val="00233E32"/>
    <w:pPr>
      <w:spacing w:after="120" w:line="480" w:lineRule="auto"/>
    </w:pPr>
    <w:rPr>
      <w:sz w:val="22"/>
      <w:szCs w:val="24"/>
    </w:rPr>
  </w:style>
  <w:style w:type="paragraph" w:styleId="BodyText3">
    <w:name w:val="Body Text 3"/>
    <w:rsid w:val="00233E32"/>
    <w:pPr>
      <w:spacing w:after="120"/>
    </w:pPr>
    <w:rPr>
      <w:sz w:val="16"/>
      <w:szCs w:val="16"/>
    </w:rPr>
  </w:style>
  <w:style w:type="paragraph" w:styleId="BodyTextFirstIndent">
    <w:name w:val="Body Text First Indent"/>
    <w:basedOn w:val="BodyText"/>
    <w:rsid w:val="00233E32"/>
    <w:pPr>
      <w:ind w:firstLine="210"/>
    </w:pPr>
  </w:style>
  <w:style w:type="paragraph" w:styleId="BodyTextIndent">
    <w:name w:val="Body Text Indent"/>
    <w:rsid w:val="00233E32"/>
    <w:pPr>
      <w:spacing w:after="120"/>
      <w:ind w:left="283"/>
    </w:pPr>
    <w:rPr>
      <w:sz w:val="22"/>
      <w:szCs w:val="24"/>
    </w:rPr>
  </w:style>
  <w:style w:type="paragraph" w:styleId="BodyTextFirstIndent2">
    <w:name w:val="Body Text First Indent 2"/>
    <w:basedOn w:val="BodyTextIndent"/>
    <w:rsid w:val="00233E32"/>
    <w:pPr>
      <w:ind w:firstLine="210"/>
    </w:pPr>
  </w:style>
  <w:style w:type="paragraph" w:styleId="BodyTextIndent2">
    <w:name w:val="Body Text Indent 2"/>
    <w:rsid w:val="00233E32"/>
    <w:pPr>
      <w:spacing w:after="120" w:line="480" w:lineRule="auto"/>
      <w:ind w:left="283"/>
    </w:pPr>
    <w:rPr>
      <w:sz w:val="22"/>
      <w:szCs w:val="24"/>
    </w:rPr>
  </w:style>
  <w:style w:type="paragraph" w:styleId="BodyTextIndent3">
    <w:name w:val="Body Text Indent 3"/>
    <w:rsid w:val="00233E32"/>
    <w:pPr>
      <w:spacing w:after="120"/>
      <w:ind w:left="283"/>
    </w:pPr>
    <w:rPr>
      <w:sz w:val="16"/>
      <w:szCs w:val="16"/>
    </w:rPr>
  </w:style>
  <w:style w:type="paragraph" w:customStyle="1" w:styleId="BodyTextIndex">
    <w:name w:val="Body Text Index"/>
    <w:basedOn w:val="Normal"/>
    <w:next w:val="BodyTextIndent"/>
    <w:rsid w:val="00233E32"/>
    <w:pPr>
      <w:spacing w:after="120"/>
      <w:ind w:left="284"/>
    </w:pPr>
  </w:style>
  <w:style w:type="paragraph" w:customStyle="1" w:styleId="BoxText">
    <w:name w:val="BoxText"/>
    <w:aliases w:val="bt"/>
    <w:qFormat/>
    <w:rsid w:val="00233E32"/>
    <w:pPr>
      <w:pBdr>
        <w:top w:val="single" w:sz="6" w:space="5" w:color="auto"/>
        <w:left w:val="single" w:sz="6" w:space="5" w:color="auto"/>
        <w:bottom w:val="single" w:sz="6" w:space="5" w:color="auto"/>
        <w:right w:val="single" w:sz="6" w:space="5" w:color="auto"/>
      </w:pBdr>
      <w:spacing w:before="240"/>
      <w:ind w:left="1134"/>
    </w:pPr>
    <w:rPr>
      <w:sz w:val="22"/>
      <w:szCs w:val="24"/>
    </w:rPr>
  </w:style>
  <w:style w:type="paragraph" w:customStyle="1" w:styleId="BoxHeadBold">
    <w:name w:val="BoxHeadBold"/>
    <w:aliases w:val="bhb"/>
    <w:basedOn w:val="BoxText"/>
    <w:next w:val="BoxText"/>
    <w:rsid w:val="00233E32"/>
    <w:rPr>
      <w:b/>
    </w:rPr>
  </w:style>
  <w:style w:type="paragraph" w:customStyle="1" w:styleId="BoxHeadItalic">
    <w:name w:val="BoxHeadItalic"/>
    <w:aliases w:val="bhi"/>
    <w:basedOn w:val="BoxHeadBold"/>
    <w:next w:val="Normal"/>
    <w:rsid w:val="00233E32"/>
    <w:rPr>
      <w:b w:val="0"/>
      <w:i/>
    </w:rPr>
  </w:style>
  <w:style w:type="paragraph" w:customStyle="1" w:styleId="BoxList">
    <w:name w:val="BoxList"/>
    <w:aliases w:val="bl"/>
    <w:basedOn w:val="BoxText"/>
    <w:qFormat/>
    <w:rsid w:val="00233E32"/>
    <w:pPr>
      <w:ind w:left="1559" w:hanging="425"/>
    </w:pPr>
  </w:style>
  <w:style w:type="paragraph" w:customStyle="1" w:styleId="BoxNote">
    <w:name w:val="BoxNote"/>
    <w:aliases w:val="bn"/>
    <w:basedOn w:val="BoxText"/>
    <w:rsid w:val="00233E32"/>
    <w:pPr>
      <w:tabs>
        <w:tab w:val="left" w:pos="1985"/>
      </w:tabs>
      <w:spacing w:before="122" w:line="198" w:lineRule="exact"/>
      <w:ind w:left="2948" w:hanging="1814"/>
    </w:pPr>
    <w:rPr>
      <w:sz w:val="18"/>
    </w:rPr>
  </w:style>
  <w:style w:type="paragraph" w:customStyle="1" w:styleId="BoxPara">
    <w:name w:val="BoxPara"/>
    <w:aliases w:val="bp"/>
    <w:basedOn w:val="BoxText"/>
    <w:rsid w:val="00233E32"/>
    <w:pPr>
      <w:tabs>
        <w:tab w:val="right" w:pos="2268"/>
      </w:tabs>
      <w:ind w:left="2552" w:hanging="1418"/>
    </w:pPr>
  </w:style>
  <w:style w:type="paragraph" w:customStyle="1" w:styleId="BoxStep">
    <w:name w:val="BoxStep"/>
    <w:aliases w:val="bs"/>
    <w:basedOn w:val="BoxText"/>
    <w:rsid w:val="00233E32"/>
    <w:pPr>
      <w:ind w:left="1985" w:hanging="851"/>
    </w:pPr>
  </w:style>
  <w:style w:type="paragraph" w:styleId="Caption">
    <w:name w:val="caption"/>
    <w:next w:val="Normal"/>
    <w:qFormat/>
    <w:rsid w:val="00233E32"/>
    <w:pPr>
      <w:spacing w:before="120" w:after="120"/>
    </w:pPr>
    <w:rPr>
      <w:b/>
      <w:bCs/>
    </w:rPr>
  </w:style>
  <w:style w:type="character" w:customStyle="1" w:styleId="CharAmPartNo">
    <w:name w:val="CharAmPartNo"/>
    <w:basedOn w:val="DefaultParagraphFont"/>
    <w:rsid w:val="00233E32"/>
  </w:style>
  <w:style w:type="character" w:customStyle="1" w:styleId="CharAmPartText">
    <w:name w:val="CharAmPartText"/>
    <w:basedOn w:val="DefaultParagraphFont"/>
    <w:rsid w:val="00233E32"/>
  </w:style>
  <w:style w:type="character" w:customStyle="1" w:styleId="CharAmSchNo">
    <w:name w:val="CharAmSchNo"/>
    <w:basedOn w:val="DefaultParagraphFont"/>
    <w:rsid w:val="00233E32"/>
  </w:style>
  <w:style w:type="character" w:customStyle="1" w:styleId="CharAmSchText">
    <w:name w:val="CharAmSchText"/>
    <w:basedOn w:val="DefaultParagraphFont"/>
    <w:rsid w:val="00233E32"/>
  </w:style>
  <w:style w:type="character" w:customStyle="1" w:styleId="CharBoldItalic">
    <w:name w:val="CharBoldItalic"/>
    <w:basedOn w:val="DefaultParagraphFont"/>
    <w:uiPriority w:val="1"/>
    <w:qFormat/>
    <w:rsid w:val="00233E32"/>
    <w:rPr>
      <w:b/>
      <w:i/>
    </w:rPr>
  </w:style>
  <w:style w:type="character" w:customStyle="1" w:styleId="CharChapNo">
    <w:name w:val="CharChapNo"/>
    <w:basedOn w:val="DefaultParagraphFont"/>
    <w:rsid w:val="00233E32"/>
  </w:style>
  <w:style w:type="character" w:customStyle="1" w:styleId="CharChapText">
    <w:name w:val="CharChapText"/>
    <w:basedOn w:val="DefaultParagraphFont"/>
    <w:rsid w:val="00233E32"/>
  </w:style>
  <w:style w:type="character" w:customStyle="1" w:styleId="CharDivNo">
    <w:name w:val="CharDivNo"/>
    <w:basedOn w:val="DefaultParagraphFont"/>
    <w:rsid w:val="00233E32"/>
  </w:style>
  <w:style w:type="character" w:customStyle="1" w:styleId="CharDivText">
    <w:name w:val="CharDivText"/>
    <w:basedOn w:val="DefaultParagraphFont"/>
    <w:rsid w:val="00233E32"/>
  </w:style>
  <w:style w:type="character" w:customStyle="1" w:styleId="CharItalic">
    <w:name w:val="CharItalic"/>
    <w:basedOn w:val="DefaultParagraphFont"/>
    <w:rsid w:val="00233E32"/>
    <w:rPr>
      <w:i/>
    </w:rPr>
  </w:style>
  <w:style w:type="character" w:customStyle="1" w:styleId="CharNotesItals">
    <w:name w:val="CharNotesItals"/>
    <w:basedOn w:val="DefaultParagraphFont"/>
    <w:rsid w:val="00233E32"/>
    <w:rPr>
      <w:i/>
    </w:rPr>
  </w:style>
  <w:style w:type="character" w:customStyle="1" w:styleId="CharNotesReg">
    <w:name w:val="CharNotesReg"/>
    <w:basedOn w:val="DefaultParagraphFont"/>
    <w:rsid w:val="00233E32"/>
  </w:style>
  <w:style w:type="character" w:customStyle="1" w:styleId="CharPartNo">
    <w:name w:val="CharPartNo"/>
    <w:basedOn w:val="DefaultParagraphFont"/>
    <w:rsid w:val="00233E32"/>
  </w:style>
  <w:style w:type="character" w:customStyle="1" w:styleId="CharPartText">
    <w:name w:val="CharPartText"/>
    <w:basedOn w:val="DefaultParagraphFont"/>
    <w:rsid w:val="00233E32"/>
  </w:style>
  <w:style w:type="character" w:customStyle="1" w:styleId="CharSectno">
    <w:name w:val="CharSectno"/>
    <w:basedOn w:val="DefaultParagraphFont"/>
    <w:qFormat/>
    <w:rsid w:val="00233E32"/>
  </w:style>
  <w:style w:type="character" w:customStyle="1" w:styleId="CharSubdNo">
    <w:name w:val="CharSubdNo"/>
    <w:basedOn w:val="DefaultParagraphFont"/>
    <w:uiPriority w:val="1"/>
    <w:qFormat/>
    <w:rsid w:val="00233E32"/>
  </w:style>
  <w:style w:type="character" w:customStyle="1" w:styleId="CharSubdText">
    <w:name w:val="CharSubdText"/>
    <w:basedOn w:val="DefaultParagraphFont"/>
    <w:uiPriority w:val="1"/>
    <w:qFormat/>
    <w:rsid w:val="00233E32"/>
  </w:style>
  <w:style w:type="paragraph" w:styleId="Closing">
    <w:name w:val="Closing"/>
    <w:rsid w:val="00233E32"/>
    <w:pPr>
      <w:ind w:left="4252"/>
    </w:pPr>
    <w:rPr>
      <w:sz w:val="22"/>
      <w:szCs w:val="24"/>
    </w:rPr>
  </w:style>
  <w:style w:type="character" w:styleId="CommentReference">
    <w:name w:val="annotation reference"/>
    <w:basedOn w:val="DefaultParagraphFont"/>
    <w:rsid w:val="00233E32"/>
    <w:rPr>
      <w:sz w:val="16"/>
      <w:szCs w:val="16"/>
    </w:rPr>
  </w:style>
  <w:style w:type="paragraph" w:styleId="CommentText">
    <w:name w:val="annotation text"/>
    <w:rsid w:val="00233E32"/>
  </w:style>
  <w:style w:type="paragraph" w:styleId="CommentSubject">
    <w:name w:val="annotation subject"/>
    <w:next w:val="CommentText"/>
    <w:rsid w:val="00233E32"/>
    <w:rPr>
      <w:b/>
      <w:bCs/>
      <w:szCs w:val="24"/>
    </w:rPr>
  </w:style>
  <w:style w:type="paragraph" w:customStyle="1" w:styleId="Contents">
    <w:name w:val="Contents"/>
    <w:basedOn w:val="Normal"/>
    <w:next w:val="Normal"/>
    <w:rsid w:val="00233E32"/>
    <w:rPr>
      <w:sz w:val="36"/>
    </w:rPr>
  </w:style>
  <w:style w:type="paragraph" w:customStyle="1" w:styleId="CoverActNo">
    <w:name w:val="CoverActNo"/>
    <w:basedOn w:val="UpdateDate"/>
    <w:rsid w:val="00233E32"/>
    <w:rPr>
      <w:b/>
    </w:rPr>
  </w:style>
  <w:style w:type="paragraph" w:customStyle="1" w:styleId="CTHeading">
    <w:name w:val="CT Heading"/>
    <w:basedOn w:val="Heading8"/>
    <w:next w:val="Normal"/>
    <w:rsid w:val="00233E32"/>
    <w:rPr>
      <w:rFonts w:ascii="Times New Roman" w:hAnsi="Times New Roman"/>
      <w:sz w:val="20"/>
    </w:rPr>
  </w:style>
  <w:style w:type="paragraph" w:customStyle="1" w:styleId="notetext">
    <w:name w:val="note(text)"/>
    <w:aliases w:val="n"/>
    <w:rsid w:val="00233E32"/>
    <w:pPr>
      <w:spacing w:before="122" w:line="198" w:lineRule="exact"/>
      <w:ind w:left="1985" w:hanging="851"/>
    </w:pPr>
    <w:rPr>
      <w:sz w:val="18"/>
      <w:szCs w:val="24"/>
    </w:rPr>
  </w:style>
  <w:style w:type="paragraph" w:customStyle="1" w:styleId="notemargin">
    <w:name w:val="note(margin)"/>
    <w:aliases w:val="nm"/>
    <w:basedOn w:val="notetext"/>
    <w:rsid w:val="00233E32"/>
    <w:pPr>
      <w:tabs>
        <w:tab w:val="left" w:pos="709"/>
      </w:tabs>
      <w:ind w:left="709" w:hanging="709"/>
    </w:pPr>
  </w:style>
  <w:style w:type="paragraph" w:customStyle="1" w:styleId="CTNote">
    <w:name w:val="CT Note"/>
    <w:basedOn w:val="notemargin"/>
    <w:next w:val="CTHeading"/>
    <w:autoRedefine/>
    <w:rsid w:val="00233E32"/>
    <w:pPr>
      <w:ind w:left="0" w:firstLine="0"/>
    </w:pPr>
    <w:rPr>
      <w:i/>
    </w:rPr>
  </w:style>
  <w:style w:type="paragraph" w:customStyle="1" w:styleId="CTA-">
    <w:name w:val="CTA -"/>
    <w:next w:val="Normal"/>
    <w:rsid w:val="00233E32"/>
    <w:pPr>
      <w:spacing w:before="60" w:line="240" w:lineRule="atLeast"/>
      <w:ind w:left="85" w:hanging="85"/>
    </w:pPr>
    <w:rPr>
      <w:lang w:eastAsia="en-US"/>
    </w:rPr>
  </w:style>
  <w:style w:type="paragraph" w:customStyle="1" w:styleId="CTA--">
    <w:name w:val="CTA --"/>
    <w:next w:val="Normal"/>
    <w:rsid w:val="00233E32"/>
    <w:pPr>
      <w:spacing w:before="60" w:line="240" w:lineRule="atLeast"/>
      <w:ind w:left="142" w:hanging="142"/>
    </w:pPr>
    <w:rPr>
      <w:lang w:eastAsia="en-US"/>
    </w:rPr>
  </w:style>
  <w:style w:type="paragraph" w:customStyle="1" w:styleId="CTA---">
    <w:name w:val="CTA ---"/>
    <w:next w:val="Normal"/>
    <w:rsid w:val="00233E32"/>
    <w:pPr>
      <w:spacing w:before="60" w:line="240" w:lineRule="atLeast"/>
      <w:ind w:left="198" w:hanging="198"/>
    </w:pPr>
    <w:rPr>
      <w:lang w:eastAsia="en-US"/>
    </w:rPr>
  </w:style>
  <w:style w:type="paragraph" w:customStyle="1" w:styleId="CTA----">
    <w:name w:val="CTA ----"/>
    <w:next w:val="Normal"/>
    <w:rsid w:val="00233E32"/>
    <w:pPr>
      <w:spacing w:before="60" w:line="240" w:lineRule="atLeast"/>
      <w:ind w:left="255" w:hanging="255"/>
    </w:pPr>
  </w:style>
  <w:style w:type="paragraph" w:customStyle="1" w:styleId="CTA1a">
    <w:name w:val="CTA 1(a)"/>
    <w:basedOn w:val="CTA-"/>
    <w:rsid w:val="00233E32"/>
    <w:pPr>
      <w:tabs>
        <w:tab w:val="right" w:pos="414"/>
      </w:tabs>
      <w:spacing w:before="40"/>
      <w:ind w:left="674" w:hanging="674"/>
    </w:pPr>
  </w:style>
  <w:style w:type="paragraph" w:customStyle="1" w:styleId="CTA1ai">
    <w:name w:val="CTA 1(a)(i)"/>
    <w:basedOn w:val="CTA1a"/>
    <w:rsid w:val="00233E32"/>
    <w:pPr>
      <w:tabs>
        <w:tab w:val="clear" w:pos="414"/>
        <w:tab w:val="right" w:pos="1004"/>
      </w:tabs>
      <w:ind w:left="1254" w:hanging="1254"/>
    </w:pPr>
  </w:style>
  <w:style w:type="paragraph" w:customStyle="1" w:styleId="CTA2a">
    <w:name w:val="CTA 2(a)"/>
    <w:basedOn w:val="CTA--"/>
    <w:rsid w:val="00233E32"/>
    <w:pPr>
      <w:tabs>
        <w:tab w:val="right" w:pos="484"/>
      </w:tabs>
      <w:spacing w:before="40"/>
      <w:ind w:left="748" w:hanging="748"/>
    </w:pPr>
  </w:style>
  <w:style w:type="paragraph" w:customStyle="1" w:styleId="CTA2ai">
    <w:name w:val="CTA 2(a)(i)"/>
    <w:basedOn w:val="CTA2a"/>
    <w:rsid w:val="00233E32"/>
    <w:pPr>
      <w:tabs>
        <w:tab w:val="clear" w:pos="484"/>
        <w:tab w:val="right" w:pos="1086"/>
      </w:tabs>
      <w:ind w:left="1324" w:hanging="1324"/>
    </w:pPr>
  </w:style>
  <w:style w:type="paragraph" w:customStyle="1" w:styleId="CTA3a">
    <w:name w:val="CTA 3(a)"/>
    <w:basedOn w:val="CTA---"/>
    <w:rsid w:val="00233E32"/>
    <w:pPr>
      <w:tabs>
        <w:tab w:val="right" w:pos="554"/>
      </w:tabs>
      <w:spacing w:before="40"/>
      <w:ind w:left="806" w:hanging="806"/>
    </w:pPr>
  </w:style>
  <w:style w:type="paragraph" w:customStyle="1" w:styleId="CTA3ai">
    <w:name w:val="CTA 3(a)(i)"/>
    <w:basedOn w:val="CTA3a"/>
    <w:rsid w:val="00233E32"/>
    <w:pPr>
      <w:tabs>
        <w:tab w:val="clear" w:pos="554"/>
        <w:tab w:val="right" w:pos="1142"/>
      </w:tabs>
      <w:ind w:left="1361" w:hanging="1361"/>
    </w:pPr>
  </w:style>
  <w:style w:type="paragraph" w:customStyle="1" w:styleId="CTA4a">
    <w:name w:val="CTA 4(a)"/>
    <w:basedOn w:val="CTA----"/>
    <w:rsid w:val="00233E32"/>
    <w:pPr>
      <w:tabs>
        <w:tab w:val="right" w:pos="624"/>
      </w:tabs>
      <w:spacing w:before="40"/>
      <w:ind w:left="876" w:hanging="876"/>
    </w:pPr>
  </w:style>
  <w:style w:type="paragraph" w:customStyle="1" w:styleId="CTA4ai">
    <w:name w:val="CTA 4(a)(i)"/>
    <w:basedOn w:val="CTA4a"/>
    <w:rsid w:val="00233E32"/>
    <w:pPr>
      <w:tabs>
        <w:tab w:val="clear" w:pos="624"/>
        <w:tab w:val="right" w:pos="1212"/>
      </w:tabs>
      <w:ind w:left="1450" w:hanging="1450"/>
    </w:pPr>
  </w:style>
  <w:style w:type="paragraph" w:customStyle="1" w:styleId="CTACAPS">
    <w:name w:val="CTA CAPS"/>
    <w:basedOn w:val="Normal"/>
    <w:rsid w:val="00233E32"/>
    <w:pPr>
      <w:spacing w:before="60" w:line="240" w:lineRule="atLeast"/>
    </w:pPr>
    <w:rPr>
      <w:sz w:val="20"/>
    </w:rPr>
  </w:style>
  <w:style w:type="paragraph" w:customStyle="1" w:styleId="CTAright">
    <w:name w:val="CTA right"/>
    <w:basedOn w:val="Normal"/>
    <w:rsid w:val="00233E32"/>
    <w:pPr>
      <w:spacing w:before="60" w:line="240" w:lineRule="auto"/>
      <w:jc w:val="right"/>
    </w:pPr>
    <w:rPr>
      <w:sz w:val="20"/>
      <w:szCs w:val="20"/>
      <w:lang w:eastAsia="en-US"/>
    </w:rPr>
  </w:style>
  <w:style w:type="paragraph" w:styleId="Date">
    <w:name w:val="Date"/>
    <w:next w:val="Normal"/>
    <w:rsid w:val="00233E32"/>
    <w:rPr>
      <w:sz w:val="22"/>
      <w:szCs w:val="24"/>
    </w:rPr>
  </w:style>
  <w:style w:type="paragraph" w:customStyle="1" w:styleId="subsection">
    <w:name w:val="subsection"/>
    <w:aliases w:val="ss"/>
    <w:link w:val="subsectionChar"/>
    <w:rsid w:val="00233E32"/>
    <w:pPr>
      <w:tabs>
        <w:tab w:val="right" w:pos="1021"/>
      </w:tabs>
      <w:spacing w:before="180"/>
      <w:ind w:left="1134" w:hanging="1134"/>
    </w:pPr>
    <w:rPr>
      <w:sz w:val="22"/>
      <w:szCs w:val="24"/>
    </w:rPr>
  </w:style>
  <w:style w:type="paragraph" w:customStyle="1" w:styleId="Definition">
    <w:name w:val="Definition"/>
    <w:aliases w:val="dd"/>
    <w:basedOn w:val="subsection"/>
    <w:rsid w:val="00233E32"/>
    <w:pPr>
      <w:tabs>
        <w:tab w:val="clear" w:pos="1021"/>
      </w:tabs>
      <w:ind w:firstLine="0"/>
    </w:pPr>
  </w:style>
  <w:style w:type="paragraph" w:styleId="DocumentMap">
    <w:name w:val="Document Map"/>
    <w:rsid w:val="00233E32"/>
    <w:pPr>
      <w:shd w:val="clear" w:color="auto" w:fill="000080"/>
    </w:pPr>
    <w:rPr>
      <w:rFonts w:ascii="Tahoma" w:hAnsi="Tahoma" w:cs="Tahoma"/>
      <w:sz w:val="22"/>
      <w:szCs w:val="24"/>
    </w:rPr>
  </w:style>
  <w:style w:type="paragraph" w:styleId="E-mailSignature">
    <w:name w:val="E-mail Signature"/>
    <w:rsid w:val="00233E32"/>
    <w:rPr>
      <w:sz w:val="22"/>
      <w:szCs w:val="24"/>
    </w:rPr>
  </w:style>
  <w:style w:type="character" w:styleId="Emphasis">
    <w:name w:val="Emphasis"/>
    <w:basedOn w:val="DefaultParagraphFont"/>
    <w:qFormat/>
    <w:rsid w:val="00233E32"/>
    <w:rPr>
      <w:i/>
      <w:iCs/>
    </w:rPr>
  </w:style>
  <w:style w:type="paragraph" w:customStyle="1" w:styleId="EndNote">
    <w:name w:val="EndNote"/>
    <w:basedOn w:val="Normal"/>
    <w:link w:val="EndNoteChar"/>
    <w:rsid w:val="00233E32"/>
    <w:pPr>
      <w:spacing w:before="180"/>
    </w:pPr>
  </w:style>
  <w:style w:type="character" w:styleId="EndnoteReference">
    <w:name w:val="endnote reference"/>
    <w:basedOn w:val="DefaultParagraphFont"/>
    <w:rsid w:val="00233E32"/>
    <w:rPr>
      <w:vertAlign w:val="superscript"/>
    </w:rPr>
  </w:style>
  <w:style w:type="paragraph" w:styleId="EndnoteText">
    <w:name w:val="endnote text"/>
    <w:rsid w:val="00233E32"/>
  </w:style>
  <w:style w:type="paragraph" w:customStyle="1" w:styleId="ENoteNo">
    <w:name w:val="ENoteNo"/>
    <w:basedOn w:val="Normal"/>
    <w:rsid w:val="00233E32"/>
    <w:pPr>
      <w:spacing w:before="120" w:after="120"/>
      <w:ind w:left="1134" w:hanging="1134"/>
    </w:pPr>
    <w:rPr>
      <w:rFonts w:ascii="Arial" w:hAnsi="Arial"/>
      <w:b/>
      <w:sz w:val="24"/>
    </w:rPr>
  </w:style>
  <w:style w:type="paragraph" w:styleId="EnvelopeAddress">
    <w:name w:val="envelope address"/>
    <w:rsid w:val="00233E32"/>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233E32"/>
    <w:rPr>
      <w:rFonts w:ascii="Arial" w:hAnsi="Arial" w:cs="Arial"/>
    </w:rPr>
  </w:style>
  <w:style w:type="paragraph" w:customStyle="1" w:styleId="ETAsubitem">
    <w:name w:val="ETA(subitem)"/>
    <w:rsid w:val="00233E32"/>
    <w:pPr>
      <w:tabs>
        <w:tab w:val="right" w:pos="340"/>
      </w:tabs>
      <w:spacing w:before="60"/>
      <w:ind w:left="454" w:hanging="454"/>
    </w:pPr>
    <w:rPr>
      <w:szCs w:val="24"/>
    </w:rPr>
  </w:style>
  <w:style w:type="paragraph" w:customStyle="1" w:styleId="ETApara">
    <w:name w:val="ETA(para)"/>
    <w:basedOn w:val="ETAsubitem"/>
    <w:rsid w:val="00233E32"/>
    <w:pPr>
      <w:tabs>
        <w:tab w:val="clear" w:pos="340"/>
        <w:tab w:val="right" w:pos="753"/>
      </w:tabs>
      <w:ind w:left="828" w:hanging="828"/>
    </w:pPr>
  </w:style>
  <w:style w:type="paragraph" w:customStyle="1" w:styleId="ETAsubpara">
    <w:name w:val="ETA(subpara)"/>
    <w:basedOn w:val="ETAsubitem"/>
    <w:rsid w:val="00233E32"/>
    <w:pPr>
      <w:tabs>
        <w:tab w:val="clear" w:pos="340"/>
        <w:tab w:val="right" w:pos="1083"/>
      </w:tabs>
      <w:ind w:left="1193" w:hanging="1193"/>
    </w:pPr>
  </w:style>
  <w:style w:type="paragraph" w:customStyle="1" w:styleId="ETAsub-subpara">
    <w:name w:val="ETA(sub-subpara)"/>
    <w:basedOn w:val="ETAsubpara"/>
    <w:rsid w:val="00233E32"/>
    <w:pPr>
      <w:tabs>
        <w:tab w:val="clear" w:pos="1083"/>
        <w:tab w:val="right" w:pos="1413"/>
      </w:tabs>
      <w:ind w:left="1523" w:hanging="1523"/>
    </w:pPr>
  </w:style>
  <w:style w:type="character" w:styleId="FollowedHyperlink">
    <w:name w:val="FollowedHyperlink"/>
    <w:basedOn w:val="DefaultParagraphFont"/>
    <w:rsid w:val="00233E32"/>
    <w:rPr>
      <w:color w:val="800080"/>
      <w:u w:val="single"/>
    </w:rPr>
  </w:style>
  <w:style w:type="paragraph" w:styleId="Footer">
    <w:name w:val="footer"/>
    <w:rsid w:val="00233E32"/>
    <w:pPr>
      <w:tabs>
        <w:tab w:val="center" w:pos="4153"/>
        <w:tab w:val="right" w:pos="8306"/>
      </w:tabs>
    </w:pPr>
    <w:rPr>
      <w:sz w:val="22"/>
      <w:szCs w:val="24"/>
    </w:rPr>
  </w:style>
  <w:style w:type="character" w:styleId="FootnoteReference">
    <w:name w:val="footnote reference"/>
    <w:basedOn w:val="DefaultParagraphFont"/>
    <w:rsid w:val="00233E32"/>
    <w:rPr>
      <w:vertAlign w:val="superscript"/>
    </w:rPr>
  </w:style>
  <w:style w:type="paragraph" w:styleId="FootnoteText">
    <w:name w:val="footnote text"/>
    <w:rsid w:val="00233E32"/>
  </w:style>
  <w:style w:type="paragraph" w:customStyle="1" w:styleId="Formula">
    <w:name w:val="Formula"/>
    <w:rsid w:val="00233E32"/>
    <w:pPr>
      <w:ind w:left="1134"/>
    </w:pPr>
    <w:rPr>
      <w:szCs w:val="24"/>
    </w:rPr>
  </w:style>
  <w:style w:type="paragraph" w:styleId="Header">
    <w:name w:val="header"/>
    <w:link w:val="HeaderChar"/>
    <w:rsid w:val="00233E32"/>
    <w:pPr>
      <w:keepNext/>
      <w:keepLines/>
      <w:tabs>
        <w:tab w:val="center" w:pos="4153"/>
        <w:tab w:val="right" w:pos="8306"/>
      </w:tabs>
      <w:spacing w:line="160" w:lineRule="exact"/>
    </w:pPr>
    <w:rPr>
      <w:sz w:val="16"/>
      <w:szCs w:val="24"/>
    </w:rPr>
  </w:style>
  <w:style w:type="character" w:customStyle="1" w:styleId="paragraphChar">
    <w:name w:val="paragraph Char"/>
    <w:aliases w:val="a Char"/>
    <w:basedOn w:val="DefaultParagraphFont"/>
    <w:link w:val="paragraph"/>
    <w:rsid w:val="004F2311"/>
    <w:rPr>
      <w:sz w:val="22"/>
      <w:szCs w:val="24"/>
      <w:lang w:val="en-AU" w:eastAsia="en-AU" w:bidi="ar-SA"/>
    </w:rPr>
  </w:style>
  <w:style w:type="paragraph" w:customStyle="1" w:styleId="House">
    <w:name w:val="House"/>
    <w:rsid w:val="00233E32"/>
    <w:rPr>
      <w:sz w:val="28"/>
      <w:szCs w:val="24"/>
    </w:rPr>
  </w:style>
  <w:style w:type="character" w:styleId="HTMLAcronym">
    <w:name w:val="HTML Acronym"/>
    <w:basedOn w:val="DefaultParagraphFont"/>
    <w:rsid w:val="00233E32"/>
  </w:style>
  <w:style w:type="paragraph" w:styleId="HTMLAddress">
    <w:name w:val="HTML Address"/>
    <w:rsid w:val="00233E32"/>
    <w:rPr>
      <w:i/>
      <w:iCs/>
      <w:sz w:val="22"/>
      <w:szCs w:val="24"/>
    </w:rPr>
  </w:style>
  <w:style w:type="character" w:styleId="HTMLCite">
    <w:name w:val="HTML Cite"/>
    <w:basedOn w:val="DefaultParagraphFont"/>
    <w:rsid w:val="00233E32"/>
    <w:rPr>
      <w:i/>
      <w:iCs/>
    </w:rPr>
  </w:style>
  <w:style w:type="character" w:styleId="HTMLCode">
    <w:name w:val="HTML Code"/>
    <w:basedOn w:val="DefaultParagraphFont"/>
    <w:rsid w:val="00233E32"/>
    <w:rPr>
      <w:rFonts w:ascii="Courier New" w:hAnsi="Courier New" w:cs="Courier New"/>
      <w:sz w:val="20"/>
      <w:szCs w:val="20"/>
    </w:rPr>
  </w:style>
  <w:style w:type="character" w:styleId="HTMLDefinition">
    <w:name w:val="HTML Definition"/>
    <w:basedOn w:val="DefaultParagraphFont"/>
    <w:rsid w:val="00233E32"/>
    <w:rPr>
      <w:i/>
      <w:iCs/>
    </w:rPr>
  </w:style>
  <w:style w:type="character" w:styleId="HTMLKeyboard">
    <w:name w:val="HTML Keyboard"/>
    <w:basedOn w:val="DefaultParagraphFont"/>
    <w:rsid w:val="00233E32"/>
    <w:rPr>
      <w:rFonts w:ascii="Courier New" w:hAnsi="Courier New" w:cs="Courier New"/>
      <w:sz w:val="20"/>
      <w:szCs w:val="20"/>
    </w:rPr>
  </w:style>
  <w:style w:type="paragraph" w:styleId="HTMLPreformatted">
    <w:name w:val="HTML Preformatted"/>
    <w:rsid w:val="00233E32"/>
    <w:rPr>
      <w:rFonts w:ascii="Courier New" w:hAnsi="Courier New" w:cs="Courier New"/>
    </w:rPr>
  </w:style>
  <w:style w:type="character" w:styleId="HTMLSample">
    <w:name w:val="HTML Sample"/>
    <w:basedOn w:val="DefaultParagraphFont"/>
    <w:rsid w:val="00233E32"/>
    <w:rPr>
      <w:rFonts w:ascii="Courier New" w:hAnsi="Courier New" w:cs="Courier New"/>
    </w:rPr>
  </w:style>
  <w:style w:type="character" w:styleId="HTMLTypewriter">
    <w:name w:val="HTML Typewriter"/>
    <w:basedOn w:val="DefaultParagraphFont"/>
    <w:rsid w:val="00233E32"/>
    <w:rPr>
      <w:rFonts w:ascii="Courier New" w:hAnsi="Courier New" w:cs="Courier New"/>
      <w:sz w:val="20"/>
      <w:szCs w:val="20"/>
    </w:rPr>
  </w:style>
  <w:style w:type="character" w:styleId="HTMLVariable">
    <w:name w:val="HTML Variable"/>
    <w:basedOn w:val="DefaultParagraphFont"/>
    <w:rsid w:val="00233E32"/>
    <w:rPr>
      <w:i/>
      <w:iCs/>
    </w:rPr>
  </w:style>
  <w:style w:type="character" w:styleId="Hyperlink">
    <w:name w:val="Hyperlink"/>
    <w:basedOn w:val="DefaultParagraphFont"/>
    <w:rsid w:val="00233E32"/>
    <w:rPr>
      <w:color w:val="0000FF"/>
      <w:u w:val="single"/>
    </w:rPr>
  </w:style>
  <w:style w:type="paragraph" w:styleId="Index1">
    <w:name w:val="index 1"/>
    <w:next w:val="Normal"/>
    <w:rsid w:val="00233E32"/>
    <w:pPr>
      <w:ind w:left="220" w:hanging="220"/>
    </w:pPr>
    <w:rPr>
      <w:sz w:val="22"/>
      <w:szCs w:val="24"/>
    </w:rPr>
  </w:style>
  <w:style w:type="paragraph" w:styleId="Index2">
    <w:name w:val="index 2"/>
    <w:next w:val="Normal"/>
    <w:rsid w:val="00233E32"/>
    <w:pPr>
      <w:ind w:left="440" w:hanging="220"/>
    </w:pPr>
    <w:rPr>
      <w:sz w:val="22"/>
      <w:szCs w:val="24"/>
    </w:rPr>
  </w:style>
  <w:style w:type="paragraph" w:styleId="Index3">
    <w:name w:val="index 3"/>
    <w:next w:val="Normal"/>
    <w:rsid w:val="00233E32"/>
    <w:pPr>
      <w:ind w:left="660" w:hanging="220"/>
    </w:pPr>
    <w:rPr>
      <w:sz w:val="22"/>
      <w:szCs w:val="24"/>
    </w:rPr>
  </w:style>
  <w:style w:type="paragraph" w:styleId="Index4">
    <w:name w:val="index 4"/>
    <w:next w:val="Normal"/>
    <w:rsid w:val="00233E32"/>
    <w:pPr>
      <w:ind w:left="880" w:hanging="220"/>
    </w:pPr>
    <w:rPr>
      <w:sz w:val="22"/>
      <w:szCs w:val="24"/>
    </w:rPr>
  </w:style>
  <w:style w:type="paragraph" w:styleId="Index5">
    <w:name w:val="index 5"/>
    <w:next w:val="Normal"/>
    <w:rsid w:val="00233E32"/>
    <w:pPr>
      <w:ind w:left="1100" w:hanging="220"/>
    </w:pPr>
    <w:rPr>
      <w:sz w:val="22"/>
      <w:szCs w:val="24"/>
    </w:rPr>
  </w:style>
  <w:style w:type="paragraph" w:styleId="Index6">
    <w:name w:val="index 6"/>
    <w:next w:val="Normal"/>
    <w:rsid w:val="00233E32"/>
    <w:pPr>
      <w:ind w:left="1320" w:hanging="220"/>
    </w:pPr>
    <w:rPr>
      <w:sz w:val="22"/>
      <w:szCs w:val="24"/>
    </w:rPr>
  </w:style>
  <w:style w:type="paragraph" w:styleId="Index7">
    <w:name w:val="index 7"/>
    <w:next w:val="Normal"/>
    <w:rsid w:val="00233E32"/>
    <w:pPr>
      <w:ind w:left="1540" w:hanging="220"/>
    </w:pPr>
    <w:rPr>
      <w:sz w:val="22"/>
      <w:szCs w:val="24"/>
    </w:rPr>
  </w:style>
  <w:style w:type="paragraph" w:styleId="Index8">
    <w:name w:val="index 8"/>
    <w:next w:val="Normal"/>
    <w:rsid w:val="00233E32"/>
    <w:pPr>
      <w:ind w:left="1760" w:hanging="220"/>
    </w:pPr>
    <w:rPr>
      <w:sz w:val="22"/>
      <w:szCs w:val="24"/>
    </w:rPr>
  </w:style>
  <w:style w:type="paragraph" w:styleId="Index9">
    <w:name w:val="index 9"/>
    <w:next w:val="Normal"/>
    <w:rsid w:val="00233E32"/>
    <w:pPr>
      <w:ind w:left="1980" w:hanging="220"/>
    </w:pPr>
    <w:rPr>
      <w:sz w:val="22"/>
      <w:szCs w:val="24"/>
    </w:rPr>
  </w:style>
  <w:style w:type="paragraph" w:styleId="IndexHeading">
    <w:name w:val="index heading"/>
    <w:next w:val="Index1"/>
    <w:rsid w:val="00233E32"/>
    <w:rPr>
      <w:rFonts w:ascii="Arial" w:hAnsi="Arial" w:cs="Arial"/>
      <w:b/>
      <w:bCs/>
      <w:sz w:val="22"/>
      <w:szCs w:val="24"/>
    </w:rPr>
  </w:style>
  <w:style w:type="paragraph" w:customStyle="1" w:styleId="Item">
    <w:name w:val="Item"/>
    <w:aliases w:val="i"/>
    <w:basedOn w:val="subsection"/>
    <w:next w:val="Normal"/>
    <w:rsid w:val="00233E32"/>
    <w:pPr>
      <w:keepLines/>
      <w:tabs>
        <w:tab w:val="clear" w:pos="1021"/>
      </w:tabs>
      <w:spacing w:before="80"/>
      <w:ind w:left="709" w:firstLine="0"/>
    </w:pPr>
  </w:style>
  <w:style w:type="paragraph" w:customStyle="1" w:styleId="ItemHead">
    <w:name w:val="ItemHead"/>
    <w:aliases w:val="ih"/>
    <w:basedOn w:val="Heading1"/>
    <w:next w:val="Item"/>
    <w:rsid w:val="00233E32"/>
    <w:pPr>
      <w:keepNext w:val="0"/>
      <w:spacing w:before="220"/>
      <w:ind w:left="709" w:hanging="709"/>
      <w:outlineLvl w:val="9"/>
    </w:pPr>
    <w:rPr>
      <w:rFonts w:ascii="Arial" w:hAnsi="Arial" w:cs="Arial"/>
      <w:sz w:val="24"/>
    </w:rPr>
  </w:style>
  <w:style w:type="character" w:styleId="LineNumber">
    <w:name w:val="line number"/>
    <w:basedOn w:val="DefaultParagraphFont"/>
    <w:rsid w:val="00233E32"/>
    <w:rPr>
      <w:sz w:val="16"/>
    </w:rPr>
  </w:style>
  <w:style w:type="paragraph" w:styleId="List">
    <w:name w:val="List"/>
    <w:rsid w:val="00233E32"/>
    <w:pPr>
      <w:ind w:left="283" w:hanging="283"/>
    </w:pPr>
    <w:rPr>
      <w:sz w:val="22"/>
      <w:szCs w:val="24"/>
    </w:rPr>
  </w:style>
  <w:style w:type="paragraph" w:styleId="List2">
    <w:name w:val="List 2"/>
    <w:rsid w:val="00233E32"/>
    <w:pPr>
      <w:ind w:left="566" w:hanging="283"/>
    </w:pPr>
    <w:rPr>
      <w:sz w:val="22"/>
      <w:szCs w:val="24"/>
    </w:rPr>
  </w:style>
  <w:style w:type="paragraph" w:styleId="List3">
    <w:name w:val="List 3"/>
    <w:rsid w:val="00233E32"/>
    <w:pPr>
      <w:ind w:left="849" w:hanging="283"/>
    </w:pPr>
    <w:rPr>
      <w:sz w:val="22"/>
      <w:szCs w:val="24"/>
    </w:rPr>
  </w:style>
  <w:style w:type="paragraph" w:styleId="List4">
    <w:name w:val="List 4"/>
    <w:rsid w:val="00233E32"/>
    <w:pPr>
      <w:ind w:left="1132" w:hanging="283"/>
    </w:pPr>
    <w:rPr>
      <w:sz w:val="22"/>
      <w:szCs w:val="24"/>
    </w:rPr>
  </w:style>
  <w:style w:type="paragraph" w:styleId="List5">
    <w:name w:val="List 5"/>
    <w:rsid w:val="00233E32"/>
    <w:pPr>
      <w:ind w:left="1415" w:hanging="283"/>
    </w:pPr>
    <w:rPr>
      <w:sz w:val="22"/>
      <w:szCs w:val="24"/>
    </w:rPr>
  </w:style>
  <w:style w:type="paragraph" w:styleId="ListBullet">
    <w:name w:val="List Bullet"/>
    <w:rsid w:val="00233E32"/>
    <w:pPr>
      <w:numPr>
        <w:numId w:val="3"/>
      </w:numPr>
      <w:tabs>
        <w:tab w:val="clear" w:pos="360"/>
        <w:tab w:val="num" w:pos="2989"/>
      </w:tabs>
      <w:ind w:left="1225" w:firstLine="1043"/>
    </w:pPr>
    <w:rPr>
      <w:sz w:val="22"/>
      <w:szCs w:val="24"/>
    </w:rPr>
  </w:style>
  <w:style w:type="paragraph" w:styleId="ListBullet2">
    <w:name w:val="List Bullet 2"/>
    <w:rsid w:val="00233E32"/>
    <w:pPr>
      <w:numPr>
        <w:numId w:val="4"/>
      </w:numPr>
      <w:tabs>
        <w:tab w:val="clear" w:pos="643"/>
        <w:tab w:val="num" w:pos="360"/>
      </w:tabs>
      <w:ind w:left="360"/>
    </w:pPr>
    <w:rPr>
      <w:sz w:val="22"/>
      <w:szCs w:val="24"/>
    </w:rPr>
  </w:style>
  <w:style w:type="paragraph" w:styleId="ListBullet3">
    <w:name w:val="List Bullet 3"/>
    <w:rsid w:val="00233E32"/>
    <w:pPr>
      <w:numPr>
        <w:numId w:val="5"/>
      </w:numPr>
      <w:tabs>
        <w:tab w:val="clear" w:pos="926"/>
        <w:tab w:val="num" w:pos="360"/>
      </w:tabs>
      <w:ind w:left="360"/>
    </w:pPr>
    <w:rPr>
      <w:sz w:val="22"/>
      <w:szCs w:val="24"/>
    </w:rPr>
  </w:style>
  <w:style w:type="paragraph" w:styleId="ListBullet4">
    <w:name w:val="List Bullet 4"/>
    <w:rsid w:val="00233E32"/>
    <w:pPr>
      <w:numPr>
        <w:numId w:val="6"/>
      </w:numPr>
      <w:tabs>
        <w:tab w:val="clear" w:pos="1209"/>
        <w:tab w:val="num" w:pos="926"/>
      </w:tabs>
      <w:ind w:left="926"/>
    </w:pPr>
    <w:rPr>
      <w:sz w:val="22"/>
      <w:szCs w:val="24"/>
    </w:rPr>
  </w:style>
  <w:style w:type="paragraph" w:styleId="ListBullet5">
    <w:name w:val="List Bullet 5"/>
    <w:rsid w:val="00233E32"/>
    <w:pPr>
      <w:numPr>
        <w:numId w:val="7"/>
      </w:numPr>
    </w:pPr>
    <w:rPr>
      <w:sz w:val="22"/>
      <w:szCs w:val="24"/>
    </w:rPr>
  </w:style>
  <w:style w:type="paragraph" w:styleId="ListContinue">
    <w:name w:val="List Continue"/>
    <w:rsid w:val="00233E32"/>
    <w:pPr>
      <w:spacing w:after="120"/>
      <w:ind w:left="283"/>
    </w:pPr>
    <w:rPr>
      <w:sz w:val="22"/>
      <w:szCs w:val="24"/>
    </w:rPr>
  </w:style>
  <w:style w:type="paragraph" w:styleId="ListContinue2">
    <w:name w:val="List Continue 2"/>
    <w:rsid w:val="00233E32"/>
    <w:pPr>
      <w:spacing w:after="120"/>
      <w:ind w:left="566"/>
    </w:pPr>
    <w:rPr>
      <w:sz w:val="22"/>
      <w:szCs w:val="24"/>
    </w:rPr>
  </w:style>
  <w:style w:type="paragraph" w:styleId="ListContinue3">
    <w:name w:val="List Continue 3"/>
    <w:rsid w:val="00233E32"/>
    <w:pPr>
      <w:spacing w:after="120"/>
      <w:ind w:left="849"/>
    </w:pPr>
    <w:rPr>
      <w:sz w:val="22"/>
      <w:szCs w:val="24"/>
    </w:rPr>
  </w:style>
  <w:style w:type="paragraph" w:styleId="ListContinue4">
    <w:name w:val="List Continue 4"/>
    <w:rsid w:val="00233E32"/>
    <w:pPr>
      <w:spacing w:after="120"/>
      <w:ind w:left="1132"/>
    </w:pPr>
    <w:rPr>
      <w:sz w:val="22"/>
      <w:szCs w:val="24"/>
    </w:rPr>
  </w:style>
  <w:style w:type="paragraph" w:styleId="ListContinue5">
    <w:name w:val="List Continue 5"/>
    <w:rsid w:val="00233E32"/>
    <w:pPr>
      <w:spacing w:after="120"/>
      <w:ind w:left="1415"/>
    </w:pPr>
    <w:rPr>
      <w:sz w:val="22"/>
      <w:szCs w:val="24"/>
    </w:rPr>
  </w:style>
  <w:style w:type="paragraph" w:styleId="ListNumber">
    <w:name w:val="List Number"/>
    <w:rsid w:val="00233E32"/>
    <w:pPr>
      <w:numPr>
        <w:numId w:val="8"/>
      </w:numPr>
      <w:tabs>
        <w:tab w:val="clear" w:pos="360"/>
        <w:tab w:val="num" w:pos="4242"/>
      </w:tabs>
      <w:ind w:left="3521" w:hanging="1043"/>
    </w:pPr>
    <w:rPr>
      <w:sz w:val="22"/>
      <w:szCs w:val="24"/>
    </w:rPr>
  </w:style>
  <w:style w:type="paragraph" w:styleId="ListNumber2">
    <w:name w:val="List Number 2"/>
    <w:rsid w:val="00233E32"/>
    <w:pPr>
      <w:numPr>
        <w:numId w:val="9"/>
      </w:numPr>
      <w:tabs>
        <w:tab w:val="clear" w:pos="643"/>
        <w:tab w:val="num" w:pos="360"/>
      </w:tabs>
      <w:ind w:left="360"/>
    </w:pPr>
    <w:rPr>
      <w:sz w:val="22"/>
      <w:szCs w:val="24"/>
    </w:rPr>
  </w:style>
  <w:style w:type="paragraph" w:styleId="ListNumber3">
    <w:name w:val="List Number 3"/>
    <w:rsid w:val="00233E32"/>
    <w:pPr>
      <w:numPr>
        <w:numId w:val="10"/>
      </w:numPr>
      <w:tabs>
        <w:tab w:val="clear" w:pos="926"/>
        <w:tab w:val="num" w:pos="360"/>
      </w:tabs>
      <w:ind w:left="360"/>
    </w:pPr>
    <w:rPr>
      <w:sz w:val="22"/>
      <w:szCs w:val="24"/>
    </w:rPr>
  </w:style>
  <w:style w:type="paragraph" w:styleId="ListNumber4">
    <w:name w:val="List Number 4"/>
    <w:rsid w:val="00233E32"/>
    <w:pPr>
      <w:numPr>
        <w:numId w:val="11"/>
      </w:numPr>
      <w:tabs>
        <w:tab w:val="clear" w:pos="1209"/>
        <w:tab w:val="num" w:pos="360"/>
      </w:tabs>
      <w:ind w:left="360"/>
    </w:pPr>
    <w:rPr>
      <w:sz w:val="22"/>
      <w:szCs w:val="24"/>
    </w:rPr>
  </w:style>
  <w:style w:type="paragraph" w:styleId="ListNumber5">
    <w:name w:val="List Number 5"/>
    <w:rsid w:val="00233E32"/>
    <w:pPr>
      <w:numPr>
        <w:numId w:val="12"/>
      </w:numPr>
      <w:tabs>
        <w:tab w:val="clear" w:pos="1492"/>
        <w:tab w:val="num" w:pos="1440"/>
      </w:tabs>
      <w:ind w:left="0" w:firstLine="0"/>
    </w:pPr>
    <w:rPr>
      <w:sz w:val="22"/>
      <w:szCs w:val="24"/>
    </w:rPr>
  </w:style>
  <w:style w:type="paragraph" w:customStyle="1" w:styleId="LongT">
    <w:name w:val="LongT"/>
    <w:rsid w:val="00233E32"/>
    <w:rPr>
      <w:b/>
      <w:sz w:val="32"/>
      <w:szCs w:val="24"/>
    </w:rPr>
  </w:style>
  <w:style w:type="paragraph" w:styleId="MacroText">
    <w:name w:val="macro"/>
    <w:rsid w:val="00233E32"/>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customStyle="1" w:styleId="Mathtype">
    <w:name w:val="Mathtype"/>
    <w:basedOn w:val="Normal"/>
    <w:rsid w:val="00233E32"/>
  </w:style>
  <w:style w:type="paragraph" w:styleId="MessageHeader">
    <w:name w:val="Message Header"/>
    <w:rsid w:val="00233E3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233E32"/>
    <w:rPr>
      <w:sz w:val="24"/>
      <w:szCs w:val="24"/>
    </w:rPr>
  </w:style>
  <w:style w:type="paragraph" w:styleId="NormalIndent">
    <w:name w:val="Normal Indent"/>
    <w:rsid w:val="00233E32"/>
    <w:pPr>
      <w:ind w:left="720"/>
    </w:pPr>
    <w:rPr>
      <w:sz w:val="22"/>
      <w:szCs w:val="24"/>
    </w:rPr>
  </w:style>
  <w:style w:type="paragraph" w:styleId="NoteHeading">
    <w:name w:val="Note Heading"/>
    <w:next w:val="Normal"/>
    <w:rsid w:val="00233E32"/>
    <w:rPr>
      <w:sz w:val="22"/>
      <w:szCs w:val="24"/>
    </w:rPr>
  </w:style>
  <w:style w:type="character" w:customStyle="1" w:styleId="subsection2Char">
    <w:name w:val="subsection2 Char"/>
    <w:aliases w:val="ss2 Char"/>
    <w:basedOn w:val="DefaultParagraphFont"/>
    <w:link w:val="subsection2"/>
    <w:rsid w:val="00887330"/>
    <w:rPr>
      <w:sz w:val="22"/>
      <w:szCs w:val="24"/>
    </w:rPr>
  </w:style>
  <w:style w:type="paragraph" w:customStyle="1" w:styleId="notedraft">
    <w:name w:val="note(draft)"/>
    <w:aliases w:val="nd"/>
    <w:rsid w:val="00233E32"/>
    <w:pPr>
      <w:spacing w:before="240"/>
      <w:ind w:left="284" w:hanging="284"/>
    </w:pPr>
    <w:rPr>
      <w:i/>
      <w:sz w:val="24"/>
      <w:szCs w:val="24"/>
    </w:rPr>
  </w:style>
  <w:style w:type="paragraph" w:customStyle="1" w:styleId="notepara">
    <w:name w:val="note(para)"/>
    <w:aliases w:val="na"/>
    <w:basedOn w:val="notetext"/>
    <w:rsid w:val="00233E32"/>
    <w:pPr>
      <w:ind w:left="2353" w:hanging="709"/>
    </w:pPr>
  </w:style>
  <w:style w:type="paragraph" w:customStyle="1" w:styleId="noteParlAmend">
    <w:name w:val="note(ParlAmend)"/>
    <w:aliases w:val="npp"/>
    <w:next w:val="Normal"/>
    <w:rsid w:val="00233E32"/>
    <w:pPr>
      <w:jc w:val="right"/>
    </w:pPr>
    <w:rPr>
      <w:rFonts w:ascii="Arial" w:hAnsi="Arial" w:cs="Arial"/>
      <w:b/>
      <w:i/>
      <w:sz w:val="22"/>
      <w:szCs w:val="24"/>
    </w:rPr>
  </w:style>
  <w:style w:type="paragraph" w:customStyle="1" w:styleId="NotesSection">
    <w:name w:val="NotesSection"/>
    <w:basedOn w:val="Normal"/>
    <w:rsid w:val="00233E32"/>
    <w:pPr>
      <w:spacing w:before="240"/>
    </w:pPr>
    <w:rPr>
      <w:rFonts w:ascii="Arial" w:hAnsi="Arial"/>
      <w:b/>
      <w:sz w:val="28"/>
    </w:rPr>
  </w:style>
  <w:style w:type="character" w:styleId="PageNumber">
    <w:name w:val="page number"/>
    <w:basedOn w:val="DefaultParagraphFont"/>
    <w:rsid w:val="00233E32"/>
  </w:style>
  <w:style w:type="paragraph" w:customStyle="1" w:styleId="Page1">
    <w:name w:val="Page1"/>
    <w:basedOn w:val="Normal"/>
    <w:rsid w:val="00233E32"/>
    <w:pPr>
      <w:spacing w:before="400" w:line="240" w:lineRule="auto"/>
    </w:pPr>
    <w:rPr>
      <w:b/>
      <w:sz w:val="32"/>
    </w:rPr>
  </w:style>
  <w:style w:type="paragraph" w:customStyle="1" w:styleId="PageBreak">
    <w:name w:val="PageBreak"/>
    <w:aliases w:val="pb"/>
    <w:next w:val="Heading2"/>
    <w:rsid w:val="00233E32"/>
    <w:rPr>
      <w:sz w:val="10"/>
      <w:szCs w:val="24"/>
    </w:rPr>
  </w:style>
  <w:style w:type="paragraph" w:customStyle="1" w:styleId="parabullet">
    <w:name w:val="para bullet"/>
    <w:aliases w:val="b"/>
    <w:rsid w:val="00233E32"/>
    <w:pPr>
      <w:spacing w:before="240"/>
      <w:ind w:left="1843" w:hanging="284"/>
    </w:pPr>
    <w:rPr>
      <w:sz w:val="22"/>
      <w:szCs w:val="24"/>
    </w:rPr>
  </w:style>
  <w:style w:type="paragraph" w:customStyle="1" w:styleId="paragraph">
    <w:name w:val="paragraph"/>
    <w:aliases w:val="a"/>
    <w:link w:val="paragraphChar"/>
    <w:rsid w:val="00233E32"/>
    <w:pPr>
      <w:tabs>
        <w:tab w:val="right" w:pos="1531"/>
      </w:tabs>
      <w:spacing w:before="40"/>
      <w:ind w:left="1644" w:hanging="1644"/>
    </w:pPr>
    <w:rPr>
      <w:sz w:val="22"/>
      <w:szCs w:val="24"/>
    </w:rPr>
  </w:style>
  <w:style w:type="paragraph" w:customStyle="1" w:styleId="paragraphsub">
    <w:name w:val="paragraph(sub)"/>
    <w:aliases w:val="aa"/>
    <w:basedOn w:val="paragraph"/>
    <w:rsid w:val="00233E32"/>
    <w:pPr>
      <w:tabs>
        <w:tab w:val="clear" w:pos="1531"/>
        <w:tab w:val="right" w:pos="1985"/>
      </w:tabs>
      <w:ind w:left="2098" w:hanging="2098"/>
    </w:pPr>
  </w:style>
  <w:style w:type="paragraph" w:customStyle="1" w:styleId="paragraphsub-sub">
    <w:name w:val="paragraph(sub-sub)"/>
    <w:aliases w:val="aaa"/>
    <w:basedOn w:val="paragraph"/>
    <w:rsid w:val="00233E32"/>
    <w:pPr>
      <w:tabs>
        <w:tab w:val="clear" w:pos="1531"/>
        <w:tab w:val="right" w:pos="2722"/>
      </w:tabs>
      <w:ind w:left="2835" w:hanging="2835"/>
    </w:pPr>
  </w:style>
  <w:style w:type="paragraph" w:customStyle="1" w:styleId="ParlAmend">
    <w:name w:val="ParlAmend"/>
    <w:aliases w:val="pp"/>
    <w:rsid w:val="00233E32"/>
    <w:pPr>
      <w:spacing w:before="240" w:line="240" w:lineRule="atLeast"/>
      <w:ind w:hanging="567"/>
    </w:pPr>
    <w:rPr>
      <w:sz w:val="24"/>
      <w:szCs w:val="24"/>
    </w:rPr>
  </w:style>
  <w:style w:type="paragraph" w:customStyle="1" w:styleId="Penalty">
    <w:name w:val="Penalty"/>
    <w:rsid w:val="00233E32"/>
    <w:pPr>
      <w:tabs>
        <w:tab w:val="left" w:pos="2977"/>
      </w:tabs>
      <w:spacing w:before="180"/>
      <w:ind w:left="1985" w:hanging="851"/>
    </w:pPr>
    <w:rPr>
      <w:sz w:val="22"/>
      <w:szCs w:val="24"/>
    </w:rPr>
  </w:style>
  <w:style w:type="paragraph" w:styleId="PlainText">
    <w:name w:val="Plain Text"/>
    <w:rsid w:val="00233E32"/>
    <w:rPr>
      <w:rFonts w:ascii="Courier New" w:hAnsi="Courier New" w:cs="Courier New"/>
      <w:sz w:val="22"/>
    </w:rPr>
  </w:style>
  <w:style w:type="paragraph" w:customStyle="1" w:styleId="Portfolio">
    <w:name w:val="Portfolio"/>
    <w:rsid w:val="00233E32"/>
    <w:rPr>
      <w:i/>
      <w:szCs w:val="24"/>
    </w:rPr>
  </w:style>
  <w:style w:type="paragraph" w:customStyle="1" w:styleId="Preamble">
    <w:name w:val="Preamble"/>
    <w:basedOn w:val="Heading5"/>
    <w:next w:val="Normal"/>
    <w:rsid w:val="00233E32"/>
    <w:pPr>
      <w:tabs>
        <w:tab w:val="center" w:pos="4513"/>
      </w:tabs>
      <w:outlineLvl w:val="9"/>
    </w:pPr>
    <w:rPr>
      <w:sz w:val="28"/>
    </w:rPr>
  </w:style>
  <w:style w:type="paragraph" w:customStyle="1" w:styleId="Reading">
    <w:name w:val="Reading"/>
    <w:rsid w:val="00233E32"/>
    <w:rPr>
      <w:i/>
      <w:szCs w:val="24"/>
    </w:rPr>
  </w:style>
  <w:style w:type="paragraph" w:customStyle="1" w:styleId="ReprintDate">
    <w:name w:val="ReprintDate"/>
    <w:basedOn w:val="Normal"/>
    <w:rsid w:val="00233E32"/>
    <w:pPr>
      <w:spacing w:before="240"/>
    </w:pPr>
    <w:rPr>
      <w:b/>
      <w:sz w:val="28"/>
    </w:rPr>
  </w:style>
  <w:style w:type="paragraph" w:styleId="Salutation">
    <w:name w:val="Salutation"/>
    <w:next w:val="Normal"/>
    <w:rsid w:val="00233E32"/>
    <w:rPr>
      <w:sz w:val="22"/>
      <w:szCs w:val="24"/>
    </w:rPr>
  </w:style>
  <w:style w:type="paragraph" w:customStyle="1" w:styleId="SectHead">
    <w:name w:val="SectHead"/>
    <w:basedOn w:val="Heading5"/>
    <w:rsid w:val="00233E32"/>
  </w:style>
  <w:style w:type="paragraph" w:customStyle="1" w:styleId="Session">
    <w:name w:val="Session"/>
    <w:rsid w:val="00233E32"/>
    <w:rPr>
      <w:sz w:val="28"/>
      <w:szCs w:val="24"/>
    </w:rPr>
  </w:style>
  <w:style w:type="paragraph" w:customStyle="1" w:styleId="ShortT">
    <w:name w:val="ShortT"/>
    <w:basedOn w:val="Normal"/>
    <w:next w:val="Normal"/>
    <w:rsid w:val="00233E32"/>
    <w:pPr>
      <w:spacing w:before="360"/>
    </w:pPr>
    <w:rPr>
      <w:rFonts w:ascii="Times" w:hAnsi="Times"/>
      <w:b/>
      <w:sz w:val="40"/>
      <w:szCs w:val="20"/>
    </w:rPr>
  </w:style>
  <w:style w:type="paragraph" w:styleId="Signature">
    <w:name w:val="Signature"/>
    <w:rsid w:val="00233E32"/>
    <w:pPr>
      <w:ind w:left="4252"/>
    </w:pPr>
    <w:rPr>
      <w:sz w:val="22"/>
      <w:szCs w:val="24"/>
    </w:rPr>
  </w:style>
  <w:style w:type="paragraph" w:customStyle="1" w:styleId="Specialih">
    <w:name w:val="Special ih"/>
    <w:basedOn w:val="ItemHead"/>
    <w:rsid w:val="00233E32"/>
  </w:style>
  <w:style w:type="paragraph" w:customStyle="1" w:styleId="Sponsor">
    <w:name w:val="Sponsor"/>
    <w:rsid w:val="00233E32"/>
    <w:rPr>
      <w:i/>
      <w:sz w:val="22"/>
      <w:szCs w:val="24"/>
    </w:rPr>
  </w:style>
  <w:style w:type="character" w:styleId="Strong">
    <w:name w:val="Strong"/>
    <w:basedOn w:val="DefaultParagraphFont"/>
    <w:qFormat/>
    <w:rsid w:val="00233E32"/>
    <w:rPr>
      <w:b/>
      <w:bCs/>
    </w:rPr>
  </w:style>
  <w:style w:type="paragraph" w:customStyle="1" w:styleId="Subitem">
    <w:name w:val="Subitem"/>
    <w:aliases w:val="iss"/>
    <w:rsid w:val="00233E32"/>
    <w:pPr>
      <w:spacing w:before="180"/>
      <w:ind w:left="709" w:hanging="709"/>
    </w:pPr>
    <w:rPr>
      <w:sz w:val="22"/>
      <w:szCs w:val="24"/>
    </w:rPr>
  </w:style>
  <w:style w:type="paragraph" w:customStyle="1" w:styleId="SubitemHead">
    <w:name w:val="SubitemHead"/>
    <w:aliases w:val="issh"/>
    <w:next w:val="Subitem"/>
    <w:rsid w:val="00233E32"/>
    <w:pPr>
      <w:keepNext/>
      <w:keepLines/>
      <w:spacing w:before="220"/>
      <w:ind w:left="709"/>
    </w:pPr>
    <w:rPr>
      <w:rFonts w:ascii="Arial" w:hAnsi="Arial" w:cs="Arial"/>
      <w:i/>
      <w:kern w:val="28"/>
      <w:sz w:val="22"/>
      <w:szCs w:val="24"/>
    </w:rPr>
  </w:style>
  <w:style w:type="paragraph" w:customStyle="1" w:styleId="subsection2">
    <w:name w:val="subsection2"/>
    <w:aliases w:val="ss2"/>
    <w:basedOn w:val="subsection"/>
    <w:next w:val="subsection"/>
    <w:link w:val="subsection2Char"/>
    <w:rsid w:val="00233E32"/>
    <w:pPr>
      <w:tabs>
        <w:tab w:val="clear" w:pos="1021"/>
      </w:tabs>
      <w:spacing w:before="40"/>
      <w:ind w:firstLine="0"/>
    </w:pPr>
  </w:style>
  <w:style w:type="paragraph" w:customStyle="1" w:styleId="SubsectionHead">
    <w:name w:val="SubsectionHead"/>
    <w:aliases w:val="ssh"/>
    <w:basedOn w:val="subsection"/>
    <w:next w:val="subsection"/>
    <w:rsid w:val="00233E32"/>
    <w:pPr>
      <w:keepNext/>
      <w:keepLines/>
      <w:tabs>
        <w:tab w:val="clear" w:pos="1021"/>
      </w:tabs>
      <w:spacing w:before="240"/>
      <w:ind w:firstLine="0"/>
    </w:pPr>
    <w:rPr>
      <w:i/>
    </w:rPr>
  </w:style>
  <w:style w:type="paragraph" w:styleId="Subtitle">
    <w:name w:val="Subtitle"/>
    <w:qFormat/>
    <w:rsid w:val="00233E32"/>
    <w:pPr>
      <w:spacing w:after="60"/>
      <w:jc w:val="center"/>
    </w:pPr>
    <w:rPr>
      <w:rFonts w:ascii="Arial" w:hAnsi="Arial" w:cs="Arial"/>
      <w:sz w:val="24"/>
      <w:szCs w:val="24"/>
    </w:rPr>
  </w:style>
  <w:style w:type="character" w:customStyle="1" w:styleId="superscriptstyle">
    <w:name w:val="superscriptstyle"/>
    <w:basedOn w:val="DefaultParagraphFont"/>
    <w:rsid w:val="00233E32"/>
    <w:rPr>
      <w:rFonts w:ascii="Times New Roman" w:hAnsi="Times New Roman"/>
      <w:sz w:val="18"/>
      <w:szCs w:val="18"/>
      <w:vertAlign w:val="baseline"/>
    </w:rPr>
  </w:style>
  <w:style w:type="table" w:styleId="Table3Deffects1">
    <w:name w:val="Table 3D effects 1"/>
    <w:basedOn w:val="TableNormal"/>
    <w:rsid w:val="00233E32"/>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233E32"/>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233E32"/>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233E32"/>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233E32"/>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233E32"/>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233E32"/>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233E32"/>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233E32"/>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233E32"/>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233E32"/>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233E32"/>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233E32"/>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233E32"/>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233E32"/>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233E32"/>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233E32"/>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233E32"/>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233E32"/>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233E32"/>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233E32"/>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233E32"/>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233E32"/>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233E32"/>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233E32"/>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233E32"/>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233E32"/>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233E32"/>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233E32"/>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233E32"/>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233E32"/>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233E32"/>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233E32"/>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233E32"/>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next w:val="Normal"/>
    <w:rsid w:val="00233E32"/>
    <w:pPr>
      <w:ind w:left="220" w:hanging="220"/>
    </w:pPr>
    <w:rPr>
      <w:sz w:val="22"/>
      <w:szCs w:val="24"/>
    </w:rPr>
  </w:style>
  <w:style w:type="paragraph" w:styleId="TableofFigures">
    <w:name w:val="table of figures"/>
    <w:next w:val="Normal"/>
    <w:rsid w:val="00233E32"/>
    <w:pPr>
      <w:ind w:left="440" w:hanging="440"/>
    </w:pPr>
    <w:rPr>
      <w:sz w:val="22"/>
      <w:szCs w:val="24"/>
    </w:rPr>
  </w:style>
  <w:style w:type="table" w:styleId="TableProfessional">
    <w:name w:val="Table Professional"/>
    <w:basedOn w:val="TableNormal"/>
    <w:rsid w:val="00233E32"/>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233E32"/>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233E32"/>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233E32"/>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233E32"/>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233E32"/>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233E32"/>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233E32"/>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233E32"/>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233E32"/>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a">
    <w:name w:val="Table(a)"/>
    <w:aliases w:val="ta"/>
    <w:rsid w:val="00233E32"/>
    <w:pPr>
      <w:spacing w:before="60"/>
      <w:ind w:left="284" w:hanging="284"/>
    </w:pPr>
    <w:rPr>
      <w:szCs w:val="24"/>
    </w:rPr>
  </w:style>
  <w:style w:type="paragraph" w:customStyle="1" w:styleId="Tablei">
    <w:name w:val="Table(i)"/>
    <w:aliases w:val="taa"/>
    <w:rsid w:val="00233E32"/>
    <w:pPr>
      <w:tabs>
        <w:tab w:val="left" w:pos="-6543"/>
        <w:tab w:val="left" w:pos="-6260"/>
        <w:tab w:val="right" w:pos="970"/>
      </w:tabs>
      <w:spacing w:line="240" w:lineRule="exact"/>
      <w:ind w:left="828" w:hanging="284"/>
    </w:pPr>
    <w:rPr>
      <w:szCs w:val="24"/>
    </w:rPr>
  </w:style>
  <w:style w:type="paragraph" w:customStyle="1" w:styleId="TableAA">
    <w:name w:val="Table(AA)"/>
    <w:aliases w:val="taaa"/>
    <w:basedOn w:val="Tablei"/>
    <w:rsid w:val="00233E32"/>
    <w:pPr>
      <w:tabs>
        <w:tab w:val="clear" w:pos="970"/>
      </w:tabs>
      <w:ind w:left="1055"/>
    </w:pPr>
  </w:style>
  <w:style w:type="paragraph" w:customStyle="1" w:styleId="TableColHead">
    <w:name w:val="TableColHead"/>
    <w:basedOn w:val="Normal"/>
    <w:rsid w:val="00233E32"/>
    <w:pPr>
      <w:keepNext/>
      <w:spacing w:before="120" w:after="60" w:line="200" w:lineRule="exact"/>
    </w:pPr>
    <w:rPr>
      <w:rFonts w:ascii="Arial" w:hAnsi="Arial"/>
      <w:b/>
      <w:sz w:val="18"/>
      <w:lang w:eastAsia="en-US"/>
    </w:rPr>
  </w:style>
  <w:style w:type="paragraph" w:customStyle="1" w:styleId="TableA0">
    <w:name w:val="TableA"/>
    <w:basedOn w:val="Normal"/>
    <w:rsid w:val="00233E32"/>
    <w:pPr>
      <w:spacing w:before="120" w:after="120"/>
    </w:pPr>
    <w:rPr>
      <w:rFonts w:ascii="Arial" w:hAnsi="Arial"/>
      <w:b/>
      <w:sz w:val="24"/>
    </w:rPr>
  </w:style>
  <w:style w:type="paragraph" w:customStyle="1" w:styleId="TableAHead">
    <w:name w:val="TableAHead"/>
    <w:basedOn w:val="TableA0"/>
    <w:rsid w:val="00233E32"/>
    <w:rPr>
      <w:sz w:val="22"/>
    </w:rPr>
  </w:style>
  <w:style w:type="paragraph" w:customStyle="1" w:styleId="TableAHeadItal">
    <w:name w:val="TableAHeadItal"/>
    <w:basedOn w:val="TableAHead"/>
    <w:rsid w:val="00233E32"/>
    <w:pPr>
      <w:ind w:left="709" w:hanging="709"/>
    </w:pPr>
    <w:rPr>
      <w:rFonts w:ascii="Times" w:hAnsi="Times"/>
      <w:b w:val="0"/>
      <w:i/>
    </w:rPr>
  </w:style>
  <w:style w:type="paragraph" w:customStyle="1" w:styleId="TableOfActs1">
    <w:name w:val="TableOfActs(1)"/>
    <w:basedOn w:val="Normal"/>
    <w:rsid w:val="00233E32"/>
    <w:pPr>
      <w:spacing w:before="60" w:line="180" w:lineRule="exact"/>
      <w:ind w:left="142" w:hanging="142"/>
    </w:pPr>
    <w:rPr>
      <w:rFonts w:ascii="Arial" w:hAnsi="Arial"/>
      <w:i/>
      <w:sz w:val="16"/>
    </w:rPr>
  </w:style>
  <w:style w:type="paragraph" w:customStyle="1" w:styleId="TableOfActs2">
    <w:name w:val="TableOfActs(2)"/>
    <w:basedOn w:val="TableOfActs1"/>
    <w:rsid w:val="00233E32"/>
    <w:pPr>
      <w:ind w:left="0" w:firstLine="0"/>
    </w:pPr>
    <w:rPr>
      <w:i w:val="0"/>
    </w:rPr>
  </w:style>
  <w:style w:type="paragraph" w:customStyle="1" w:styleId="TableOfActsHead">
    <w:name w:val="TableOfActsHead"/>
    <w:basedOn w:val="Normal"/>
    <w:rsid w:val="00233E32"/>
    <w:pPr>
      <w:spacing w:before="240" w:after="240"/>
    </w:pPr>
    <w:rPr>
      <w:rFonts w:ascii="Arial" w:hAnsi="Arial"/>
      <w:b/>
      <w:sz w:val="24"/>
    </w:rPr>
  </w:style>
  <w:style w:type="paragraph" w:customStyle="1" w:styleId="TableOfAmend0pt">
    <w:name w:val="TableOfAmend0pt"/>
    <w:basedOn w:val="TableOfAmend"/>
    <w:rsid w:val="00233E32"/>
    <w:pPr>
      <w:spacing w:before="0"/>
    </w:pPr>
  </w:style>
  <w:style w:type="paragraph" w:customStyle="1" w:styleId="TableOfAmendHead">
    <w:name w:val="TableOfAmendHead"/>
    <w:basedOn w:val="Normal"/>
    <w:rsid w:val="00233E32"/>
    <w:pPr>
      <w:tabs>
        <w:tab w:val="right" w:pos="1021"/>
      </w:tabs>
      <w:spacing w:before="240" w:after="240"/>
      <w:ind w:left="1134" w:hanging="1134"/>
    </w:pPr>
    <w:rPr>
      <w:rFonts w:ascii="Arial" w:hAnsi="Arial"/>
      <w:b/>
      <w:sz w:val="24"/>
    </w:rPr>
  </w:style>
  <w:style w:type="paragraph" w:customStyle="1" w:styleId="Tabletext">
    <w:name w:val="Tabletext"/>
    <w:aliases w:val="tt"/>
    <w:rsid w:val="00233E32"/>
    <w:pPr>
      <w:spacing w:before="60" w:line="240" w:lineRule="atLeast"/>
    </w:pPr>
    <w:rPr>
      <w:szCs w:val="24"/>
    </w:rPr>
  </w:style>
  <w:style w:type="character" w:customStyle="1" w:styleId="CharENotesHeading">
    <w:name w:val="CharENotesHeading"/>
    <w:basedOn w:val="DefaultParagraphFont"/>
    <w:rsid w:val="00233E32"/>
  </w:style>
  <w:style w:type="paragraph" w:styleId="Title">
    <w:name w:val="Title"/>
    <w:qFormat/>
    <w:rsid w:val="00233E32"/>
    <w:pPr>
      <w:spacing w:before="240" w:after="60"/>
      <w:jc w:val="center"/>
    </w:pPr>
    <w:rPr>
      <w:rFonts w:ascii="Arial" w:hAnsi="Arial" w:cs="Arial"/>
      <w:b/>
      <w:bCs/>
      <w:kern w:val="28"/>
      <w:sz w:val="32"/>
      <w:szCs w:val="32"/>
    </w:rPr>
  </w:style>
  <w:style w:type="paragraph" w:customStyle="1" w:styleId="TLPBoxTextnote">
    <w:name w:val="TLPBoxText(note"/>
    <w:aliases w:val="right)"/>
    <w:rsid w:val="00233E32"/>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szCs w:val="24"/>
    </w:rPr>
  </w:style>
  <w:style w:type="paragraph" w:customStyle="1" w:styleId="TLPLink">
    <w:name w:val="TLPLink"/>
    <w:basedOn w:val="Heading9"/>
    <w:rsid w:val="00233E32"/>
    <w:pPr>
      <w:keepLines w:val="0"/>
      <w:spacing w:before="360"/>
      <w:ind w:firstLine="0"/>
      <w:outlineLvl w:val="9"/>
    </w:pPr>
    <w:rPr>
      <w:b w:val="0"/>
      <w:kern w:val="0"/>
      <w:sz w:val="20"/>
    </w:rPr>
  </w:style>
  <w:style w:type="paragraph" w:customStyle="1" w:styleId="TLPNotebullet">
    <w:name w:val="TLPNote(bullet)"/>
    <w:rsid w:val="00233E32"/>
    <w:pPr>
      <w:numPr>
        <w:numId w:val="13"/>
      </w:numPr>
      <w:tabs>
        <w:tab w:val="clear" w:pos="2520"/>
        <w:tab w:val="left" w:pos="2160"/>
        <w:tab w:val="left" w:pos="2517"/>
      </w:tabs>
      <w:spacing w:before="60" w:line="198" w:lineRule="exact"/>
      <w:ind w:left="2625" w:hanging="357"/>
    </w:pPr>
    <w:rPr>
      <w:sz w:val="18"/>
    </w:rPr>
  </w:style>
  <w:style w:type="paragraph" w:customStyle="1" w:styleId="TLPnoteright">
    <w:name w:val="TLPnote(right)"/>
    <w:aliases w:val="nr"/>
    <w:rsid w:val="00233E32"/>
    <w:pPr>
      <w:spacing w:before="122" w:line="198" w:lineRule="exact"/>
      <w:ind w:left="1985" w:hanging="851"/>
      <w:jc w:val="right"/>
    </w:pPr>
    <w:rPr>
      <w:sz w:val="18"/>
      <w:szCs w:val="24"/>
    </w:rPr>
  </w:style>
  <w:style w:type="paragraph" w:customStyle="1" w:styleId="TLPTableBullet">
    <w:name w:val="TLPTableBullet"/>
    <w:aliases w:val="ttb"/>
    <w:rsid w:val="00233E32"/>
    <w:pPr>
      <w:spacing w:line="240" w:lineRule="exact"/>
      <w:ind w:left="284" w:hanging="284"/>
    </w:pPr>
    <w:rPr>
      <w:szCs w:val="24"/>
    </w:rPr>
  </w:style>
  <w:style w:type="paragraph" w:styleId="TOAHeading">
    <w:name w:val="toa heading"/>
    <w:next w:val="Normal"/>
    <w:rsid w:val="00233E32"/>
    <w:pPr>
      <w:spacing w:before="120"/>
    </w:pPr>
    <w:rPr>
      <w:rFonts w:ascii="Arial" w:hAnsi="Arial" w:cs="Arial"/>
      <w:b/>
      <w:bCs/>
      <w:sz w:val="24"/>
      <w:szCs w:val="24"/>
    </w:rPr>
  </w:style>
  <w:style w:type="paragraph" w:customStyle="1" w:styleId="TOAmRenumbered">
    <w:name w:val="TOAmRenumbered"/>
    <w:basedOn w:val="TableOfAmend"/>
    <w:rsid w:val="00233E32"/>
    <w:pPr>
      <w:ind w:left="0" w:firstLine="0"/>
    </w:pPr>
  </w:style>
  <w:style w:type="paragraph" w:styleId="TOC1">
    <w:name w:val="toc 1"/>
    <w:basedOn w:val="Heading1"/>
    <w:next w:val="Normal"/>
    <w:uiPriority w:val="39"/>
    <w:rsid w:val="00233E32"/>
    <w:pPr>
      <w:tabs>
        <w:tab w:val="right" w:pos="7088"/>
      </w:tabs>
      <w:spacing w:before="120"/>
      <w:ind w:left="1474" w:right="567" w:hanging="1474"/>
      <w:outlineLvl w:val="9"/>
    </w:pPr>
    <w:rPr>
      <w:sz w:val="28"/>
    </w:rPr>
  </w:style>
  <w:style w:type="paragraph" w:styleId="TOC2">
    <w:name w:val="toc 2"/>
    <w:basedOn w:val="Heading2"/>
    <w:next w:val="Normal"/>
    <w:uiPriority w:val="39"/>
    <w:rsid w:val="00233E32"/>
    <w:pPr>
      <w:tabs>
        <w:tab w:val="right" w:pos="7088"/>
      </w:tabs>
      <w:spacing w:before="120"/>
      <w:ind w:left="879" w:right="567" w:hanging="879"/>
      <w:outlineLvl w:val="9"/>
    </w:pPr>
    <w:rPr>
      <w:sz w:val="24"/>
    </w:rPr>
  </w:style>
  <w:style w:type="paragraph" w:styleId="TOC3">
    <w:name w:val="toc 3"/>
    <w:basedOn w:val="Heading3"/>
    <w:next w:val="Normal"/>
    <w:uiPriority w:val="39"/>
    <w:rsid w:val="00233E32"/>
    <w:pPr>
      <w:tabs>
        <w:tab w:val="right" w:pos="7088"/>
      </w:tabs>
      <w:spacing w:before="80"/>
      <w:ind w:left="1604" w:right="567" w:hanging="1179"/>
      <w:outlineLvl w:val="9"/>
    </w:pPr>
    <w:rPr>
      <w:sz w:val="22"/>
    </w:rPr>
  </w:style>
  <w:style w:type="paragraph" w:styleId="TOC4">
    <w:name w:val="toc 4"/>
    <w:basedOn w:val="Heading4"/>
    <w:next w:val="Normal"/>
    <w:uiPriority w:val="39"/>
    <w:rsid w:val="00233E32"/>
    <w:pPr>
      <w:keepNext w:val="0"/>
      <w:tabs>
        <w:tab w:val="right" w:pos="7088"/>
      </w:tabs>
      <w:spacing w:before="80"/>
      <w:ind w:left="2183" w:right="567" w:hanging="1332"/>
      <w:outlineLvl w:val="9"/>
    </w:pPr>
    <w:rPr>
      <w:sz w:val="20"/>
    </w:rPr>
  </w:style>
  <w:style w:type="paragraph" w:styleId="TOC5">
    <w:name w:val="toc 5"/>
    <w:basedOn w:val="Heading5"/>
    <w:next w:val="Normal"/>
    <w:uiPriority w:val="39"/>
    <w:rsid w:val="00233E32"/>
    <w:pPr>
      <w:keepNext w:val="0"/>
      <w:tabs>
        <w:tab w:val="right" w:leader="dot" w:pos="7088"/>
      </w:tabs>
      <w:spacing w:before="40"/>
      <w:ind w:left="2098" w:right="567" w:hanging="680"/>
      <w:outlineLvl w:val="9"/>
    </w:pPr>
    <w:rPr>
      <w:b w:val="0"/>
      <w:sz w:val="18"/>
    </w:rPr>
  </w:style>
  <w:style w:type="paragraph" w:styleId="TOC6">
    <w:name w:val="toc 6"/>
    <w:basedOn w:val="TOC1"/>
    <w:next w:val="Normal"/>
    <w:uiPriority w:val="39"/>
    <w:rsid w:val="00233E32"/>
    <w:pPr>
      <w:keepNext w:val="0"/>
      <w:ind w:left="0" w:firstLine="0"/>
    </w:pPr>
    <w:rPr>
      <w:sz w:val="24"/>
    </w:rPr>
  </w:style>
  <w:style w:type="paragraph" w:styleId="TOC7">
    <w:name w:val="toc 7"/>
    <w:basedOn w:val="TOC2"/>
    <w:next w:val="Normal"/>
    <w:uiPriority w:val="39"/>
    <w:rsid w:val="00233E32"/>
    <w:pPr>
      <w:keepNext w:val="0"/>
      <w:ind w:left="1253" w:hanging="828"/>
    </w:pPr>
    <w:rPr>
      <w:b w:val="0"/>
    </w:rPr>
  </w:style>
  <w:style w:type="paragraph" w:styleId="TOC8">
    <w:name w:val="toc 8"/>
    <w:basedOn w:val="TOC3"/>
    <w:next w:val="Normal"/>
    <w:uiPriority w:val="39"/>
    <w:rsid w:val="00233E32"/>
    <w:pPr>
      <w:keepNext w:val="0"/>
      <w:ind w:left="1900" w:hanging="1049"/>
    </w:pPr>
    <w:rPr>
      <w:b w:val="0"/>
      <w:sz w:val="20"/>
    </w:rPr>
  </w:style>
  <w:style w:type="paragraph" w:styleId="TOC9">
    <w:name w:val="toc 9"/>
    <w:basedOn w:val="Heading9"/>
    <w:next w:val="Normal"/>
    <w:uiPriority w:val="39"/>
    <w:rsid w:val="00233E32"/>
    <w:pPr>
      <w:tabs>
        <w:tab w:val="right" w:pos="7088"/>
      </w:tabs>
      <w:spacing w:before="80"/>
      <w:ind w:left="851" w:right="567" w:firstLine="0"/>
      <w:outlineLvl w:val="9"/>
    </w:pPr>
    <w:rPr>
      <w:b w:val="0"/>
      <w:sz w:val="20"/>
    </w:rPr>
  </w:style>
  <w:style w:type="paragraph" w:customStyle="1" w:styleId="TofSectsGroupHeading">
    <w:name w:val="TofSects(GroupHeading)"/>
    <w:basedOn w:val="TOC4"/>
    <w:next w:val="Normal"/>
    <w:rsid w:val="00233E32"/>
    <w:pPr>
      <w:tabs>
        <w:tab w:val="clear" w:pos="7088"/>
      </w:tabs>
      <w:spacing w:before="240" w:after="120"/>
      <w:ind w:left="794" w:right="0" w:firstLine="0"/>
    </w:pPr>
  </w:style>
  <w:style w:type="paragraph" w:customStyle="1" w:styleId="TofSectsHeading">
    <w:name w:val="TofSects(Heading)"/>
    <w:basedOn w:val="TOC5"/>
    <w:next w:val="Normal"/>
    <w:rsid w:val="00233E32"/>
    <w:pPr>
      <w:keepLines w:val="0"/>
      <w:tabs>
        <w:tab w:val="clear" w:pos="7088"/>
      </w:tabs>
      <w:spacing w:before="240" w:after="120"/>
      <w:ind w:left="0" w:right="0" w:firstLine="0"/>
    </w:pPr>
    <w:rPr>
      <w:b/>
      <w:kern w:val="0"/>
      <w:sz w:val="24"/>
    </w:rPr>
  </w:style>
  <w:style w:type="paragraph" w:customStyle="1" w:styleId="TofSectsSection">
    <w:name w:val="TofSects(Section)"/>
    <w:basedOn w:val="TOC5"/>
    <w:rsid w:val="00233E32"/>
    <w:pPr>
      <w:tabs>
        <w:tab w:val="clear" w:pos="7088"/>
      </w:tabs>
      <w:ind w:left="1588" w:right="0" w:hanging="794"/>
    </w:pPr>
  </w:style>
  <w:style w:type="paragraph" w:customStyle="1" w:styleId="TofSectsSubdiv">
    <w:name w:val="TofSects(Subdiv)"/>
    <w:basedOn w:val="TOC4"/>
    <w:rsid w:val="00233E32"/>
    <w:pPr>
      <w:tabs>
        <w:tab w:val="clear" w:pos="7088"/>
      </w:tabs>
      <w:ind w:left="1588" w:right="0" w:hanging="794"/>
    </w:pPr>
    <w:rPr>
      <w:b w:val="0"/>
      <w:sz w:val="22"/>
    </w:rPr>
  </w:style>
  <w:style w:type="paragraph" w:customStyle="1" w:styleId="ScalePlusRef">
    <w:name w:val="ScalePlusRef"/>
    <w:basedOn w:val="Normal"/>
    <w:rsid w:val="00233E32"/>
    <w:pPr>
      <w:spacing w:line="240" w:lineRule="auto"/>
    </w:pPr>
    <w:rPr>
      <w:sz w:val="18"/>
      <w:szCs w:val="20"/>
    </w:rPr>
  </w:style>
  <w:style w:type="paragraph" w:customStyle="1" w:styleId="TableENotesHeadingAmdt">
    <w:name w:val="TableENotesHeadingAmdt"/>
    <w:basedOn w:val="Normal"/>
    <w:next w:val="TableOfAmendHead"/>
    <w:rsid w:val="00233E32"/>
    <w:pPr>
      <w:pageBreakBefore/>
      <w:spacing w:before="240" w:after="240" w:line="300" w:lineRule="exact"/>
      <w:ind w:left="2410" w:hanging="2410"/>
    </w:pPr>
    <w:rPr>
      <w:rFonts w:ascii="Arial" w:hAnsi="Arial"/>
      <w:b/>
      <w:noProof/>
      <w:sz w:val="28"/>
    </w:rPr>
  </w:style>
  <w:style w:type="paragraph" w:customStyle="1" w:styleId="TLPboxbullet">
    <w:name w:val="TLPboxbullet"/>
    <w:basedOn w:val="Normal"/>
    <w:rsid w:val="00887330"/>
    <w:pPr>
      <w:pBdr>
        <w:top w:val="single" w:sz="6" w:space="5" w:color="auto"/>
        <w:left w:val="single" w:sz="6" w:space="5" w:color="auto"/>
        <w:bottom w:val="single" w:sz="6" w:space="5" w:color="auto"/>
        <w:right w:val="single" w:sz="6" w:space="5" w:color="auto"/>
      </w:pBdr>
      <w:tabs>
        <w:tab w:val="right" w:pos="1531"/>
        <w:tab w:val="left" w:pos="2268"/>
        <w:tab w:val="left" w:pos="3402"/>
        <w:tab w:val="left" w:pos="4536"/>
        <w:tab w:val="left" w:pos="5670"/>
        <w:tab w:val="left" w:pos="6804"/>
      </w:tabs>
      <w:spacing w:before="120"/>
      <w:ind w:left="1673" w:hanging="539"/>
    </w:pPr>
    <w:rPr>
      <w:szCs w:val="20"/>
    </w:rPr>
  </w:style>
  <w:style w:type="character" w:customStyle="1" w:styleId="EndNoteChar">
    <w:name w:val="EndNote Char"/>
    <w:basedOn w:val="DefaultParagraphFont"/>
    <w:link w:val="EndNote"/>
    <w:rsid w:val="00233E32"/>
    <w:rPr>
      <w:sz w:val="22"/>
      <w:szCs w:val="24"/>
    </w:rPr>
  </w:style>
  <w:style w:type="paragraph" w:customStyle="1" w:styleId="headerpartodd">
    <w:name w:val="header.part.odd"/>
    <w:basedOn w:val="Normal"/>
    <w:rsid w:val="00233E32"/>
    <w:pPr>
      <w:keepNext/>
    </w:pPr>
    <w:rPr>
      <w:rFonts w:ascii="Times" w:hAnsi="Times"/>
      <w:sz w:val="20"/>
      <w:szCs w:val="20"/>
    </w:rPr>
  </w:style>
  <w:style w:type="character" w:customStyle="1" w:styleId="subsectionChar">
    <w:name w:val="subsection Char"/>
    <w:aliases w:val="ss Char"/>
    <w:basedOn w:val="DefaultParagraphFont"/>
    <w:link w:val="subsection"/>
    <w:rsid w:val="005B741A"/>
    <w:rPr>
      <w:sz w:val="22"/>
      <w:szCs w:val="24"/>
      <w:lang w:val="en-AU" w:eastAsia="en-AU" w:bidi="ar-SA"/>
    </w:rPr>
  </w:style>
  <w:style w:type="paragraph" w:customStyle="1" w:styleId="noteToPara">
    <w:name w:val="noteToPara"/>
    <w:aliases w:val="ntp"/>
    <w:basedOn w:val="Normal"/>
    <w:rsid w:val="009C78EE"/>
    <w:pPr>
      <w:spacing w:before="122" w:line="198" w:lineRule="exact"/>
      <w:ind w:left="2353" w:hanging="709"/>
    </w:pPr>
    <w:rPr>
      <w:sz w:val="18"/>
      <w:szCs w:val="20"/>
    </w:rPr>
  </w:style>
  <w:style w:type="character" w:customStyle="1" w:styleId="HeaderChar">
    <w:name w:val="Header Char"/>
    <w:basedOn w:val="DefaultParagraphFont"/>
    <w:link w:val="Header"/>
    <w:rsid w:val="00AC0C7C"/>
    <w:rPr>
      <w:sz w:val="16"/>
      <w:szCs w:val="24"/>
      <w:lang w:val="en-AU" w:eastAsia="en-AU" w:bidi="ar-SA"/>
    </w:rPr>
  </w:style>
  <w:style w:type="paragraph" w:customStyle="1" w:styleId="Headerpartodd0">
    <w:name w:val="Header.part.odd"/>
    <w:basedOn w:val="Normal"/>
    <w:rsid w:val="00233E32"/>
    <w:pPr>
      <w:keepNext/>
    </w:pPr>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3E32"/>
    <w:pPr>
      <w:spacing w:line="260" w:lineRule="atLeast"/>
    </w:pPr>
    <w:rPr>
      <w:sz w:val="22"/>
      <w:szCs w:val="24"/>
    </w:rPr>
  </w:style>
  <w:style w:type="paragraph" w:styleId="Heading1">
    <w:name w:val="heading 1"/>
    <w:next w:val="Heading2"/>
    <w:autoRedefine/>
    <w:qFormat/>
    <w:rsid w:val="00233E32"/>
    <w:pPr>
      <w:keepNext/>
      <w:keepLines/>
      <w:ind w:left="1134" w:hanging="1134"/>
      <w:outlineLvl w:val="0"/>
    </w:pPr>
    <w:rPr>
      <w:b/>
      <w:bCs/>
      <w:kern w:val="28"/>
      <w:sz w:val="36"/>
      <w:szCs w:val="32"/>
    </w:rPr>
  </w:style>
  <w:style w:type="paragraph" w:styleId="Heading2">
    <w:name w:val="heading 2"/>
    <w:basedOn w:val="Heading1"/>
    <w:next w:val="Heading3"/>
    <w:autoRedefine/>
    <w:qFormat/>
    <w:rsid w:val="00233E32"/>
    <w:pPr>
      <w:spacing w:before="280"/>
      <w:outlineLvl w:val="1"/>
    </w:pPr>
    <w:rPr>
      <w:bCs w:val="0"/>
      <w:iCs/>
      <w:sz w:val="32"/>
      <w:szCs w:val="28"/>
    </w:rPr>
  </w:style>
  <w:style w:type="paragraph" w:styleId="Heading3">
    <w:name w:val="heading 3"/>
    <w:basedOn w:val="Heading1"/>
    <w:next w:val="Heading4"/>
    <w:autoRedefine/>
    <w:qFormat/>
    <w:rsid w:val="00233E32"/>
    <w:pPr>
      <w:spacing w:before="240"/>
      <w:outlineLvl w:val="2"/>
    </w:pPr>
    <w:rPr>
      <w:bCs w:val="0"/>
      <w:sz w:val="28"/>
      <w:szCs w:val="26"/>
    </w:rPr>
  </w:style>
  <w:style w:type="paragraph" w:styleId="Heading4">
    <w:name w:val="heading 4"/>
    <w:basedOn w:val="Heading1"/>
    <w:next w:val="Heading5"/>
    <w:autoRedefine/>
    <w:qFormat/>
    <w:rsid w:val="00233E32"/>
    <w:pPr>
      <w:spacing w:before="220"/>
      <w:outlineLvl w:val="3"/>
    </w:pPr>
    <w:rPr>
      <w:bCs w:val="0"/>
      <w:sz w:val="26"/>
      <w:szCs w:val="28"/>
    </w:rPr>
  </w:style>
  <w:style w:type="paragraph" w:styleId="Heading5">
    <w:name w:val="heading 5"/>
    <w:basedOn w:val="Heading1"/>
    <w:next w:val="subsection"/>
    <w:autoRedefine/>
    <w:qFormat/>
    <w:rsid w:val="00233E32"/>
    <w:pPr>
      <w:spacing w:before="280"/>
      <w:outlineLvl w:val="4"/>
    </w:pPr>
    <w:rPr>
      <w:bCs w:val="0"/>
      <w:iCs/>
      <w:sz w:val="24"/>
      <w:szCs w:val="26"/>
    </w:rPr>
  </w:style>
  <w:style w:type="paragraph" w:styleId="Heading6">
    <w:name w:val="heading 6"/>
    <w:basedOn w:val="Heading1"/>
    <w:next w:val="Heading7"/>
    <w:autoRedefine/>
    <w:qFormat/>
    <w:rsid w:val="00233E32"/>
    <w:pPr>
      <w:outlineLvl w:val="5"/>
    </w:pPr>
    <w:rPr>
      <w:rFonts w:ascii="Arial" w:hAnsi="Arial" w:cs="Arial"/>
      <w:bCs w:val="0"/>
      <w:sz w:val="32"/>
      <w:szCs w:val="22"/>
    </w:rPr>
  </w:style>
  <w:style w:type="paragraph" w:styleId="Heading7">
    <w:name w:val="heading 7"/>
    <w:basedOn w:val="Heading6"/>
    <w:next w:val="Normal"/>
    <w:autoRedefine/>
    <w:qFormat/>
    <w:rsid w:val="00233E32"/>
    <w:pPr>
      <w:spacing w:before="280"/>
      <w:outlineLvl w:val="6"/>
    </w:pPr>
    <w:rPr>
      <w:sz w:val="28"/>
    </w:rPr>
  </w:style>
  <w:style w:type="paragraph" w:styleId="Heading8">
    <w:name w:val="heading 8"/>
    <w:basedOn w:val="Heading6"/>
    <w:next w:val="Normal"/>
    <w:autoRedefine/>
    <w:qFormat/>
    <w:rsid w:val="00233E32"/>
    <w:pPr>
      <w:spacing w:before="240"/>
      <w:outlineLvl w:val="7"/>
    </w:pPr>
    <w:rPr>
      <w:iCs/>
      <w:sz w:val="26"/>
    </w:rPr>
  </w:style>
  <w:style w:type="paragraph" w:styleId="Heading9">
    <w:name w:val="heading 9"/>
    <w:basedOn w:val="Heading1"/>
    <w:next w:val="Normal"/>
    <w:autoRedefine/>
    <w:qFormat/>
    <w:rsid w:val="00233E32"/>
    <w:pPr>
      <w:keepNext w:val="0"/>
      <w:spacing w:before="280"/>
      <w:outlineLvl w:val="8"/>
    </w:pPr>
    <w:rPr>
      <w:i/>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233E32"/>
    <w:pPr>
      <w:numPr>
        <w:numId w:val="1"/>
      </w:numPr>
    </w:pPr>
  </w:style>
  <w:style w:type="numbering" w:styleId="1ai">
    <w:name w:val="Outline List 1"/>
    <w:basedOn w:val="NoList"/>
    <w:rsid w:val="00233E32"/>
    <w:pPr>
      <w:numPr>
        <w:numId w:val="14"/>
      </w:numPr>
    </w:pPr>
  </w:style>
  <w:style w:type="paragraph" w:customStyle="1" w:styleId="ActHead1">
    <w:name w:val="ActHead 1"/>
    <w:aliases w:val="c"/>
    <w:next w:val="Normal"/>
    <w:rsid w:val="00233E32"/>
    <w:pPr>
      <w:keepNext/>
      <w:keepLines/>
      <w:ind w:left="1134" w:hanging="1134"/>
      <w:outlineLvl w:val="0"/>
    </w:pPr>
    <w:rPr>
      <w:b/>
      <w:bCs/>
      <w:kern w:val="28"/>
      <w:sz w:val="36"/>
      <w:szCs w:val="32"/>
    </w:rPr>
  </w:style>
  <w:style w:type="paragraph" w:customStyle="1" w:styleId="ActHead2">
    <w:name w:val="ActHead 2"/>
    <w:aliases w:val="p"/>
    <w:basedOn w:val="ActHead1"/>
    <w:next w:val="Normal"/>
    <w:rsid w:val="00233E32"/>
    <w:pPr>
      <w:spacing w:before="280"/>
      <w:outlineLvl w:val="1"/>
    </w:pPr>
    <w:rPr>
      <w:sz w:val="32"/>
    </w:rPr>
  </w:style>
  <w:style w:type="paragraph" w:customStyle="1" w:styleId="ActHead3">
    <w:name w:val="ActHead 3"/>
    <w:aliases w:val="d"/>
    <w:basedOn w:val="ActHead1"/>
    <w:next w:val="Normal"/>
    <w:rsid w:val="00233E32"/>
    <w:pPr>
      <w:spacing w:before="240"/>
      <w:outlineLvl w:val="2"/>
    </w:pPr>
    <w:rPr>
      <w:sz w:val="28"/>
    </w:rPr>
  </w:style>
  <w:style w:type="paragraph" w:customStyle="1" w:styleId="ActHead4">
    <w:name w:val="ActHead 4"/>
    <w:aliases w:val="sd"/>
    <w:basedOn w:val="ActHead1"/>
    <w:next w:val="Normal"/>
    <w:qFormat/>
    <w:rsid w:val="00233E32"/>
    <w:pPr>
      <w:spacing w:before="220"/>
      <w:outlineLvl w:val="3"/>
    </w:pPr>
    <w:rPr>
      <w:sz w:val="26"/>
    </w:rPr>
  </w:style>
  <w:style w:type="paragraph" w:customStyle="1" w:styleId="ActHead5">
    <w:name w:val="ActHead 5"/>
    <w:aliases w:val="s"/>
    <w:basedOn w:val="ActHead1"/>
    <w:next w:val="Normal"/>
    <w:qFormat/>
    <w:rsid w:val="00233E32"/>
    <w:pPr>
      <w:spacing w:before="280"/>
      <w:outlineLvl w:val="4"/>
    </w:pPr>
    <w:rPr>
      <w:sz w:val="24"/>
    </w:rPr>
  </w:style>
  <w:style w:type="paragraph" w:customStyle="1" w:styleId="ActHead6">
    <w:name w:val="ActHead 6"/>
    <w:aliases w:val="as"/>
    <w:basedOn w:val="ActHead1"/>
    <w:next w:val="Normal"/>
    <w:rsid w:val="00233E32"/>
    <w:pPr>
      <w:outlineLvl w:val="5"/>
    </w:pPr>
    <w:rPr>
      <w:rFonts w:ascii="Arial" w:hAnsi="Arial"/>
      <w:sz w:val="32"/>
    </w:rPr>
  </w:style>
  <w:style w:type="paragraph" w:customStyle="1" w:styleId="ActHead7">
    <w:name w:val="ActHead 7"/>
    <w:aliases w:val="ap"/>
    <w:basedOn w:val="ActHead6"/>
    <w:next w:val="Normal"/>
    <w:rsid w:val="00233E32"/>
    <w:pPr>
      <w:spacing w:before="280"/>
      <w:outlineLvl w:val="6"/>
    </w:pPr>
    <w:rPr>
      <w:sz w:val="28"/>
    </w:rPr>
  </w:style>
  <w:style w:type="paragraph" w:customStyle="1" w:styleId="ActHead8">
    <w:name w:val="ActHead 8"/>
    <w:aliases w:val="ad"/>
    <w:basedOn w:val="ActHead6"/>
    <w:next w:val="Normal"/>
    <w:rsid w:val="00233E32"/>
    <w:pPr>
      <w:spacing w:before="240"/>
      <w:outlineLvl w:val="7"/>
    </w:pPr>
    <w:rPr>
      <w:sz w:val="26"/>
    </w:rPr>
  </w:style>
  <w:style w:type="paragraph" w:customStyle="1" w:styleId="ActHead9">
    <w:name w:val="ActHead 9"/>
    <w:aliases w:val="aat"/>
    <w:basedOn w:val="ActHead1"/>
    <w:next w:val="Normal"/>
    <w:rsid w:val="00233E32"/>
    <w:pPr>
      <w:keepNext w:val="0"/>
      <w:spacing w:before="280"/>
      <w:outlineLvl w:val="8"/>
    </w:pPr>
    <w:rPr>
      <w:i/>
      <w:sz w:val="28"/>
    </w:rPr>
  </w:style>
  <w:style w:type="paragraph" w:customStyle="1" w:styleId="UpdateDate">
    <w:name w:val="UpdateDate"/>
    <w:basedOn w:val="Normal"/>
    <w:rsid w:val="00233E32"/>
    <w:pPr>
      <w:spacing w:before="240"/>
    </w:pPr>
    <w:rPr>
      <w:sz w:val="24"/>
    </w:rPr>
  </w:style>
  <w:style w:type="paragraph" w:customStyle="1" w:styleId="Actno">
    <w:name w:val="Actno"/>
    <w:basedOn w:val="UpdateDate"/>
    <w:next w:val="Normal"/>
    <w:rsid w:val="00233E32"/>
    <w:rPr>
      <w:b/>
    </w:rPr>
  </w:style>
  <w:style w:type="paragraph" w:customStyle="1" w:styleId="ActNotes1">
    <w:name w:val="ActNotes(1)"/>
    <w:basedOn w:val="Normal"/>
    <w:rsid w:val="00233E32"/>
    <w:pPr>
      <w:tabs>
        <w:tab w:val="right" w:pos="992"/>
      </w:tabs>
      <w:spacing w:before="60" w:line="240" w:lineRule="auto"/>
      <w:ind w:left="1134" w:hanging="1134"/>
    </w:pPr>
    <w:rPr>
      <w:rFonts w:ascii="Arial" w:hAnsi="Arial"/>
      <w:sz w:val="16"/>
      <w:szCs w:val="20"/>
    </w:rPr>
  </w:style>
  <w:style w:type="paragraph" w:customStyle="1" w:styleId="ActNotes1a">
    <w:name w:val="ActNotes(1)(a)"/>
    <w:basedOn w:val="Normal"/>
    <w:rsid w:val="00233E32"/>
    <w:pPr>
      <w:tabs>
        <w:tab w:val="right" w:pos="1559"/>
      </w:tabs>
      <w:spacing w:before="60" w:line="180" w:lineRule="exact"/>
      <w:ind w:left="1701" w:hanging="1701"/>
    </w:pPr>
    <w:rPr>
      <w:rFonts w:ascii="Arial" w:hAnsi="Arial"/>
      <w:sz w:val="16"/>
    </w:rPr>
  </w:style>
  <w:style w:type="paragraph" w:customStyle="1" w:styleId="ActNotes1ai">
    <w:name w:val="ActNotes(1)(a)(i)"/>
    <w:basedOn w:val="Normal"/>
    <w:rsid w:val="00233E32"/>
    <w:pPr>
      <w:tabs>
        <w:tab w:val="right" w:pos="1843"/>
      </w:tabs>
      <w:spacing w:line="180" w:lineRule="atLeast"/>
      <w:ind w:left="1985" w:hanging="1985"/>
    </w:pPr>
    <w:rPr>
      <w:rFonts w:ascii="Arial" w:hAnsi="Arial"/>
      <w:sz w:val="16"/>
    </w:rPr>
  </w:style>
  <w:style w:type="paragraph" w:customStyle="1" w:styleId="ActNotesa">
    <w:name w:val="ActNotes(a)"/>
    <w:basedOn w:val="Normal"/>
    <w:rsid w:val="00233E32"/>
    <w:pPr>
      <w:spacing w:before="60" w:line="180" w:lineRule="exact"/>
      <w:ind w:left="425" w:hanging="425"/>
    </w:pPr>
    <w:rPr>
      <w:rFonts w:ascii="Arial" w:hAnsi="Arial"/>
      <w:sz w:val="16"/>
    </w:rPr>
  </w:style>
  <w:style w:type="paragraph" w:customStyle="1" w:styleId="TableOfAmend">
    <w:name w:val="TableOfAmend"/>
    <w:basedOn w:val="Normal"/>
    <w:rsid w:val="00233E32"/>
    <w:pPr>
      <w:tabs>
        <w:tab w:val="right" w:leader="dot" w:pos="2268"/>
      </w:tabs>
      <w:spacing w:before="60" w:line="180" w:lineRule="exact"/>
      <w:ind w:left="170" w:right="113" w:hanging="170"/>
    </w:pPr>
    <w:rPr>
      <w:rFonts w:ascii="Arial" w:hAnsi="Arial"/>
      <w:sz w:val="16"/>
    </w:rPr>
  </w:style>
  <w:style w:type="paragraph" w:customStyle="1" w:styleId="AmendTableColHead">
    <w:name w:val="AmendTableColHead"/>
    <w:basedOn w:val="TableOfAmend"/>
    <w:rsid w:val="00233E32"/>
    <w:pPr>
      <w:spacing w:line="200" w:lineRule="exact"/>
    </w:pPr>
    <w:rPr>
      <w:sz w:val="18"/>
    </w:rPr>
  </w:style>
  <w:style w:type="numbering" w:styleId="ArticleSection">
    <w:name w:val="Outline List 3"/>
    <w:basedOn w:val="NoList"/>
    <w:rsid w:val="00233E32"/>
    <w:pPr>
      <w:numPr>
        <w:numId w:val="2"/>
      </w:numPr>
    </w:pPr>
  </w:style>
  <w:style w:type="paragraph" w:customStyle="1" w:styleId="asamended">
    <w:name w:val="as amended"/>
    <w:basedOn w:val="Normal"/>
    <w:rsid w:val="00233E32"/>
    <w:pPr>
      <w:keepNext/>
      <w:spacing w:before="60" w:line="200" w:lineRule="exact"/>
      <w:ind w:left="284"/>
    </w:pPr>
    <w:rPr>
      <w:rFonts w:ascii="Arial" w:hAnsi="Arial"/>
      <w:b/>
      <w:sz w:val="16"/>
    </w:rPr>
  </w:style>
  <w:style w:type="paragraph" w:customStyle="1" w:styleId="asamendedital">
    <w:name w:val="as amended ital"/>
    <w:basedOn w:val="Normal"/>
    <w:rsid w:val="00233E32"/>
    <w:pPr>
      <w:spacing w:before="60" w:line="200" w:lineRule="exact"/>
      <w:ind w:left="284"/>
    </w:pPr>
    <w:rPr>
      <w:rFonts w:ascii="Arial" w:hAnsi="Arial"/>
      <w:i/>
      <w:sz w:val="16"/>
    </w:rPr>
  </w:style>
  <w:style w:type="paragraph" w:styleId="BalloonText">
    <w:name w:val="Balloon Text"/>
    <w:rsid w:val="00233E32"/>
    <w:rPr>
      <w:rFonts w:ascii="Tahoma" w:hAnsi="Tahoma" w:cs="Tahoma"/>
      <w:sz w:val="16"/>
      <w:szCs w:val="16"/>
    </w:rPr>
  </w:style>
  <w:style w:type="paragraph" w:styleId="BlockText">
    <w:name w:val="Block Text"/>
    <w:rsid w:val="00233E32"/>
    <w:pPr>
      <w:spacing w:after="120"/>
      <w:ind w:left="1440" w:right="1440"/>
    </w:pPr>
    <w:rPr>
      <w:sz w:val="22"/>
      <w:szCs w:val="24"/>
    </w:rPr>
  </w:style>
  <w:style w:type="paragraph" w:customStyle="1" w:styleId="Blocks">
    <w:name w:val="Blocks"/>
    <w:aliases w:val="bb"/>
    <w:rsid w:val="00233E32"/>
    <w:rPr>
      <w:sz w:val="24"/>
      <w:szCs w:val="24"/>
    </w:rPr>
  </w:style>
  <w:style w:type="paragraph" w:styleId="BodyText">
    <w:name w:val="Body Text"/>
    <w:rsid w:val="00233E32"/>
    <w:pPr>
      <w:spacing w:after="120"/>
    </w:pPr>
    <w:rPr>
      <w:sz w:val="22"/>
      <w:szCs w:val="24"/>
    </w:rPr>
  </w:style>
  <w:style w:type="paragraph" w:styleId="BodyText2">
    <w:name w:val="Body Text 2"/>
    <w:rsid w:val="00233E32"/>
    <w:pPr>
      <w:spacing w:after="120" w:line="480" w:lineRule="auto"/>
    </w:pPr>
    <w:rPr>
      <w:sz w:val="22"/>
      <w:szCs w:val="24"/>
    </w:rPr>
  </w:style>
  <w:style w:type="paragraph" w:styleId="BodyText3">
    <w:name w:val="Body Text 3"/>
    <w:rsid w:val="00233E32"/>
    <w:pPr>
      <w:spacing w:after="120"/>
    </w:pPr>
    <w:rPr>
      <w:sz w:val="16"/>
      <w:szCs w:val="16"/>
    </w:rPr>
  </w:style>
  <w:style w:type="paragraph" w:styleId="BodyTextFirstIndent">
    <w:name w:val="Body Text First Indent"/>
    <w:basedOn w:val="BodyText"/>
    <w:rsid w:val="00233E32"/>
    <w:pPr>
      <w:ind w:firstLine="210"/>
    </w:pPr>
  </w:style>
  <w:style w:type="paragraph" w:styleId="BodyTextIndent">
    <w:name w:val="Body Text Indent"/>
    <w:rsid w:val="00233E32"/>
    <w:pPr>
      <w:spacing w:after="120"/>
      <w:ind w:left="283"/>
    </w:pPr>
    <w:rPr>
      <w:sz w:val="22"/>
      <w:szCs w:val="24"/>
    </w:rPr>
  </w:style>
  <w:style w:type="paragraph" w:styleId="BodyTextFirstIndent2">
    <w:name w:val="Body Text First Indent 2"/>
    <w:basedOn w:val="BodyTextIndent"/>
    <w:rsid w:val="00233E32"/>
    <w:pPr>
      <w:ind w:firstLine="210"/>
    </w:pPr>
  </w:style>
  <w:style w:type="paragraph" w:styleId="BodyTextIndent2">
    <w:name w:val="Body Text Indent 2"/>
    <w:rsid w:val="00233E32"/>
    <w:pPr>
      <w:spacing w:after="120" w:line="480" w:lineRule="auto"/>
      <w:ind w:left="283"/>
    </w:pPr>
    <w:rPr>
      <w:sz w:val="22"/>
      <w:szCs w:val="24"/>
    </w:rPr>
  </w:style>
  <w:style w:type="paragraph" w:styleId="BodyTextIndent3">
    <w:name w:val="Body Text Indent 3"/>
    <w:rsid w:val="00233E32"/>
    <w:pPr>
      <w:spacing w:after="120"/>
      <w:ind w:left="283"/>
    </w:pPr>
    <w:rPr>
      <w:sz w:val="16"/>
      <w:szCs w:val="16"/>
    </w:rPr>
  </w:style>
  <w:style w:type="paragraph" w:customStyle="1" w:styleId="BodyTextIndex">
    <w:name w:val="Body Text Index"/>
    <w:basedOn w:val="Normal"/>
    <w:next w:val="BodyTextIndent"/>
    <w:rsid w:val="00233E32"/>
    <w:pPr>
      <w:spacing w:after="120"/>
      <w:ind w:left="284"/>
    </w:pPr>
  </w:style>
  <w:style w:type="paragraph" w:customStyle="1" w:styleId="BoxText">
    <w:name w:val="BoxText"/>
    <w:aliases w:val="bt"/>
    <w:qFormat/>
    <w:rsid w:val="00233E32"/>
    <w:pPr>
      <w:pBdr>
        <w:top w:val="single" w:sz="6" w:space="5" w:color="auto"/>
        <w:left w:val="single" w:sz="6" w:space="5" w:color="auto"/>
        <w:bottom w:val="single" w:sz="6" w:space="5" w:color="auto"/>
        <w:right w:val="single" w:sz="6" w:space="5" w:color="auto"/>
      </w:pBdr>
      <w:spacing w:before="240"/>
      <w:ind w:left="1134"/>
    </w:pPr>
    <w:rPr>
      <w:sz w:val="22"/>
      <w:szCs w:val="24"/>
    </w:rPr>
  </w:style>
  <w:style w:type="paragraph" w:customStyle="1" w:styleId="BoxHeadBold">
    <w:name w:val="BoxHeadBold"/>
    <w:aliases w:val="bhb"/>
    <w:basedOn w:val="BoxText"/>
    <w:next w:val="BoxText"/>
    <w:rsid w:val="00233E32"/>
    <w:rPr>
      <w:b/>
    </w:rPr>
  </w:style>
  <w:style w:type="paragraph" w:customStyle="1" w:styleId="BoxHeadItalic">
    <w:name w:val="BoxHeadItalic"/>
    <w:aliases w:val="bhi"/>
    <w:basedOn w:val="BoxHeadBold"/>
    <w:next w:val="Normal"/>
    <w:rsid w:val="00233E32"/>
    <w:rPr>
      <w:b w:val="0"/>
      <w:i/>
    </w:rPr>
  </w:style>
  <w:style w:type="paragraph" w:customStyle="1" w:styleId="BoxList">
    <w:name w:val="BoxList"/>
    <w:aliases w:val="bl"/>
    <w:basedOn w:val="BoxText"/>
    <w:qFormat/>
    <w:rsid w:val="00233E32"/>
    <w:pPr>
      <w:ind w:left="1559" w:hanging="425"/>
    </w:pPr>
  </w:style>
  <w:style w:type="paragraph" w:customStyle="1" w:styleId="BoxNote">
    <w:name w:val="BoxNote"/>
    <w:aliases w:val="bn"/>
    <w:basedOn w:val="BoxText"/>
    <w:rsid w:val="00233E32"/>
    <w:pPr>
      <w:tabs>
        <w:tab w:val="left" w:pos="1985"/>
      </w:tabs>
      <w:spacing w:before="122" w:line="198" w:lineRule="exact"/>
      <w:ind w:left="2948" w:hanging="1814"/>
    </w:pPr>
    <w:rPr>
      <w:sz w:val="18"/>
    </w:rPr>
  </w:style>
  <w:style w:type="paragraph" w:customStyle="1" w:styleId="BoxPara">
    <w:name w:val="BoxPara"/>
    <w:aliases w:val="bp"/>
    <w:basedOn w:val="BoxText"/>
    <w:rsid w:val="00233E32"/>
    <w:pPr>
      <w:tabs>
        <w:tab w:val="right" w:pos="2268"/>
      </w:tabs>
      <w:ind w:left="2552" w:hanging="1418"/>
    </w:pPr>
  </w:style>
  <w:style w:type="paragraph" w:customStyle="1" w:styleId="BoxStep">
    <w:name w:val="BoxStep"/>
    <w:aliases w:val="bs"/>
    <w:basedOn w:val="BoxText"/>
    <w:rsid w:val="00233E32"/>
    <w:pPr>
      <w:ind w:left="1985" w:hanging="851"/>
    </w:pPr>
  </w:style>
  <w:style w:type="paragraph" w:styleId="Caption">
    <w:name w:val="caption"/>
    <w:next w:val="Normal"/>
    <w:qFormat/>
    <w:rsid w:val="00233E32"/>
    <w:pPr>
      <w:spacing w:before="120" w:after="120"/>
    </w:pPr>
    <w:rPr>
      <w:b/>
      <w:bCs/>
    </w:rPr>
  </w:style>
  <w:style w:type="character" w:customStyle="1" w:styleId="CharAmPartNo">
    <w:name w:val="CharAmPartNo"/>
    <w:basedOn w:val="DefaultParagraphFont"/>
    <w:rsid w:val="00233E32"/>
  </w:style>
  <w:style w:type="character" w:customStyle="1" w:styleId="CharAmPartText">
    <w:name w:val="CharAmPartText"/>
    <w:basedOn w:val="DefaultParagraphFont"/>
    <w:rsid w:val="00233E32"/>
  </w:style>
  <w:style w:type="character" w:customStyle="1" w:styleId="CharAmSchNo">
    <w:name w:val="CharAmSchNo"/>
    <w:basedOn w:val="DefaultParagraphFont"/>
    <w:rsid w:val="00233E32"/>
  </w:style>
  <w:style w:type="character" w:customStyle="1" w:styleId="CharAmSchText">
    <w:name w:val="CharAmSchText"/>
    <w:basedOn w:val="DefaultParagraphFont"/>
    <w:rsid w:val="00233E32"/>
  </w:style>
  <w:style w:type="character" w:customStyle="1" w:styleId="CharBoldItalic">
    <w:name w:val="CharBoldItalic"/>
    <w:basedOn w:val="DefaultParagraphFont"/>
    <w:uiPriority w:val="1"/>
    <w:qFormat/>
    <w:rsid w:val="00233E32"/>
    <w:rPr>
      <w:b/>
      <w:i/>
    </w:rPr>
  </w:style>
  <w:style w:type="character" w:customStyle="1" w:styleId="CharChapNo">
    <w:name w:val="CharChapNo"/>
    <w:basedOn w:val="DefaultParagraphFont"/>
    <w:rsid w:val="00233E32"/>
  </w:style>
  <w:style w:type="character" w:customStyle="1" w:styleId="CharChapText">
    <w:name w:val="CharChapText"/>
    <w:basedOn w:val="DefaultParagraphFont"/>
    <w:rsid w:val="00233E32"/>
  </w:style>
  <w:style w:type="character" w:customStyle="1" w:styleId="CharDivNo">
    <w:name w:val="CharDivNo"/>
    <w:basedOn w:val="DefaultParagraphFont"/>
    <w:rsid w:val="00233E32"/>
  </w:style>
  <w:style w:type="character" w:customStyle="1" w:styleId="CharDivText">
    <w:name w:val="CharDivText"/>
    <w:basedOn w:val="DefaultParagraphFont"/>
    <w:rsid w:val="00233E32"/>
  </w:style>
  <w:style w:type="character" w:customStyle="1" w:styleId="CharItalic">
    <w:name w:val="CharItalic"/>
    <w:basedOn w:val="DefaultParagraphFont"/>
    <w:rsid w:val="00233E32"/>
    <w:rPr>
      <w:i/>
    </w:rPr>
  </w:style>
  <w:style w:type="character" w:customStyle="1" w:styleId="CharNotesItals">
    <w:name w:val="CharNotesItals"/>
    <w:basedOn w:val="DefaultParagraphFont"/>
    <w:rsid w:val="00233E32"/>
    <w:rPr>
      <w:i/>
    </w:rPr>
  </w:style>
  <w:style w:type="character" w:customStyle="1" w:styleId="CharNotesReg">
    <w:name w:val="CharNotesReg"/>
    <w:basedOn w:val="DefaultParagraphFont"/>
    <w:rsid w:val="00233E32"/>
  </w:style>
  <w:style w:type="character" w:customStyle="1" w:styleId="CharPartNo">
    <w:name w:val="CharPartNo"/>
    <w:basedOn w:val="DefaultParagraphFont"/>
    <w:rsid w:val="00233E32"/>
  </w:style>
  <w:style w:type="character" w:customStyle="1" w:styleId="CharPartText">
    <w:name w:val="CharPartText"/>
    <w:basedOn w:val="DefaultParagraphFont"/>
    <w:rsid w:val="00233E32"/>
  </w:style>
  <w:style w:type="character" w:customStyle="1" w:styleId="CharSectno">
    <w:name w:val="CharSectno"/>
    <w:basedOn w:val="DefaultParagraphFont"/>
    <w:qFormat/>
    <w:rsid w:val="00233E32"/>
  </w:style>
  <w:style w:type="character" w:customStyle="1" w:styleId="CharSubdNo">
    <w:name w:val="CharSubdNo"/>
    <w:basedOn w:val="DefaultParagraphFont"/>
    <w:uiPriority w:val="1"/>
    <w:qFormat/>
    <w:rsid w:val="00233E32"/>
  </w:style>
  <w:style w:type="character" w:customStyle="1" w:styleId="CharSubdText">
    <w:name w:val="CharSubdText"/>
    <w:basedOn w:val="DefaultParagraphFont"/>
    <w:uiPriority w:val="1"/>
    <w:qFormat/>
    <w:rsid w:val="00233E32"/>
  </w:style>
  <w:style w:type="paragraph" w:styleId="Closing">
    <w:name w:val="Closing"/>
    <w:rsid w:val="00233E32"/>
    <w:pPr>
      <w:ind w:left="4252"/>
    </w:pPr>
    <w:rPr>
      <w:sz w:val="22"/>
      <w:szCs w:val="24"/>
    </w:rPr>
  </w:style>
  <w:style w:type="character" w:styleId="CommentReference">
    <w:name w:val="annotation reference"/>
    <w:basedOn w:val="DefaultParagraphFont"/>
    <w:rsid w:val="00233E32"/>
    <w:rPr>
      <w:sz w:val="16"/>
      <w:szCs w:val="16"/>
    </w:rPr>
  </w:style>
  <w:style w:type="paragraph" w:styleId="CommentText">
    <w:name w:val="annotation text"/>
    <w:rsid w:val="00233E32"/>
  </w:style>
  <w:style w:type="paragraph" w:styleId="CommentSubject">
    <w:name w:val="annotation subject"/>
    <w:next w:val="CommentText"/>
    <w:rsid w:val="00233E32"/>
    <w:rPr>
      <w:b/>
      <w:bCs/>
      <w:szCs w:val="24"/>
    </w:rPr>
  </w:style>
  <w:style w:type="paragraph" w:customStyle="1" w:styleId="Contents">
    <w:name w:val="Contents"/>
    <w:basedOn w:val="Normal"/>
    <w:next w:val="Normal"/>
    <w:rsid w:val="00233E32"/>
    <w:rPr>
      <w:sz w:val="36"/>
    </w:rPr>
  </w:style>
  <w:style w:type="paragraph" w:customStyle="1" w:styleId="CoverActNo">
    <w:name w:val="CoverActNo"/>
    <w:basedOn w:val="UpdateDate"/>
    <w:rsid w:val="00233E32"/>
    <w:rPr>
      <w:b/>
    </w:rPr>
  </w:style>
  <w:style w:type="paragraph" w:customStyle="1" w:styleId="CTHeading">
    <w:name w:val="CT Heading"/>
    <w:basedOn w:val="Heading8"/>
    <w:next w:val="Normal"/>
    <w:rsid w:val="00233E32"/>
    <w:rPr>
      <w:rFonts w:ascii="Times New Roman" w:hAnsi="Times New Roman"/>
      <w:sz w:val="20"/>
    </w:rPr>
  </w:style>
  <w:style w:type="paragraph" w:customStyle="1" w:styleId="notetext">
    <w:name w:val="note(text)"/>
    <w:aliases w:val="n"/>
    <w:rsid w:val="00233E32"/>
    <w:pPr>
      <w:spacing w:before="122" w:line="198" w:lineRule="exact"/>
      <w:ind w:left="1985" w:hanging="851"/>
    </w:pPr>
    <w:rPr>
      <w:sz w:val="18"/>
      <w:szCs w:val="24"/>
    </w:rPr>
  </w:style>
  <w:style w:type="paragraph" w:customStyle="1" w:styleId="notemargin">
    <w:name w:val="note(margin)"/>
    <w:aliases w:val="nm"/>
    <w:basedOn w:val="notetext"/>
    <w:rsid w:val="00233E32"/>
    <w:pPr>
      <w:tabs>
        <w:tab w:val="left" w:pos="709"/>
      </w:tabs>
      <w:ind w:left="709" w:hanging="709"/>
    </w:pPr>
  </w:style>
  <w:style w:type="paragraph" w:customStyle="1" w:styleId="CTNote">
    <w:name w:val="CT Note"/>
    <w:basedOn w:val="notemargin"/>
    <w:next w:val="CTHeading"/>
    <w:autoRedefine/>
    <w:rsid w:val="00233E32"/>
    <w:pPr>
      <w:ind w:left="0" w:firstLine="0"/>
    </w:pPr>
    <w:rPr>
      <w:i/>
    </w:rPr>
  </w:style>
  <w:style w:type="paragraph" w:customStyle="1" w:styleId="CTA-">
    <w:name w:val="CTA -"/>
    <w:next w:val="Normal"/>
    <w:rsid w:val="00233E32"/>
    <w:pPr>
      <w:spacing w:before="60" w:line="240" w:lineRule="atLeast"/>
      <w:ind w:left="85" w:hanging="85"/>
    </w:pPr>
    <w:rPr>
      <w:lang w:eastAsia="en-US"/>
    </w:rPr>
  </w:style>
  <w:style w:type="paragraph" w:customStyle="1" w:styleId="CTA--">
    <w:name w:val="CTA --"/>
    <w:next w:val="Normal"/>
    <w:rsid w:val="00233E32"/>
    <w:pPr>
      <w:spacing w:before="60" w:line="240" w:lineRule="atLeast"/>
      <w:ind w:left="142" w:hanging="142"/>
    </w:pPr>
    <w:rPr>
      <w:lang w:eastAsia="en-US"/>
    </w:rPr>
  </w:style>
  <w:style w:type="paragraph" w:customStyle="1" w:styleId="CTA---">
    <w:name w:val="CTA ---"/>
    <w:next w:val="Normal"/>
    <w:rsid w:val="00233E32"/>
    <w:pPr>
      <w:spacing w:before="60" w:line="240" w:lineRule="atLeast"/>
      <w:ind w:left="198" w:hanging="198"/>
    </w:pPr>
    <w:rPr>
      <w:lang w:eastAsia="en-US"/>
    </w:rPr>
  </w:style>
  <w:style w:type="paragraph" w:customStyle="1" w:styleId="CTA----">
    <w:name w:val="CTA ----"/>
    <w:next w:val="Normal"/>
    <w:rsid w:val="00233E32"/>
    <w:pPr>
      <w:spacing w:before="60" w:line="240" w:lineRule="atLeast"/>
      <w:ind w:left="255" w:hanging="255"/>
    </w:pPr>
  </w:style>
  <w:style w:type="paragraph" w:customStyle="1" w:styleId="CTA1a">
    <w:name w:val="CTA 1(a)"/>
    <w:basedOn w:val="CTA-"/>
    <w:rsid w:val="00233E32"/>
    <w:pPr>
      <w:tabs>
        <w:tab w:val="right" w:pos="414"/>
      </w:tabs>
      <w:spacing w:before="40"/>
      <w:ind w:left="674" w:hanging="674"/>
    </w:pPr>
  </w:style>
  <w:style w:type="paragraph" w:customStyle="1" w:styleId="CTA1ai">
    <w:name w:val="CTA 1(a)(i)"/>
    <w:basedOn w:val="CTA1a"/>
    <w:rsid w:val="00233E32"/>
    <w:pPr>
      <w:tabs>
        <w:tab w:val="clear" w:pos="414"/>
        <w:tab w:val="right" w:pos="1004"/>
      </w:tabs>
      <w:ind w:left="1254" w:hanging="1254"/>
    </w:pPr>
  </w:style>
  <w:style w:type="paragraph" w:customStyle="1" w:styleId="CTA2a">
    <w:name w:val="CTA 2(a)"/>
    <w:basedOn w:val="CTA--"/>
    <w:rsid w:val="00233E32"/>
    <w:pPr>
      <w:tabs>
        <w:tab w:val="right" w:pos="484"/>
      </w:tabs>
      <w:spacing w:before="40"/>
      <w:ind w:left="748" w:hanging="748"/>
    </w:pPr>
  </w:style>
  <w:style w:type="paragraph" w:customStyle="1" w:styleId="CTA2ai">
    <w:name w:val="CTA 2(a)(i)"/>
    <w:basedOn w:val="CTA2a"/>
    <w:rsid w:val="00233E32"/>
    <w:pPr>
      <w:tabs>
        <w:tab w:val="clear" w:pos="484"/>
        <w:tab w:val="right" w:pos="1086"/>
      </w:tabs>
      <w:ind w:left="1324" w:hanging="1324"/>
    </w:pPr>
  </w:style>
  <w:style w:type="paragraph" w:customStyle="1" w:styleId="CTA3a">
    <w:name w:val="CTA 3(a)"/>
    <w:basedOn w:val="CTA---"/>
    <w:rsid w:val="00233E32"/>
    <w:pPr>
      <w:tabs>
        <w:tab w:val="right" w:pos="554"/>
      </w:tabs>
      <w:spacing w:before="40"/>
      <w:ind w:left="806" w:hanging="806"/>
    </w:pPr>
  </w:style>
  <w:style w:type="paragraph" w:customStyle="1" w:styleId="CTA3ai">
    <w:name w:val="CTA 3(a)(i)"/>
    <w:basedOn w:val="CTA3a"/>
    <w:rsid w:val="00233E32"/>
    <w:pPr>
      <w:tabs>
        <w:tab w:val="clear" w:pos="554"/>
        <w:tab w:val="right" w:pos="1142"/>
      </w:tabs>
      <w:ind w:left="1361" w:hanging="1361"/>
    </w:pPr>
  </w:style>
  <w:style w:type="paragraph" w:customStyle="1" w:styleId="CTA4a">
    <w:name w:val="CTA 4(a)"/>
    <w:basedOn w:val="CTA----"/>
    <w:rsid w:val="00233E32"/>
    <w:pPr>
      <w:tabs>
        <w:tab w:val="right" w:pos="624"/>
      </w:tabs>
      <w:spacing w:before="40"/>
      <w:ind w:left="876" w:hanging="876"/>
    </w:pPr>
  </w:style>
  <w:style w:type="paragraph" w:customStyle="1" w:styleId="CTA4ai">
    <w:name w:val="CTA 4(a)(i)"/>
    <w:basedOn w:val="CTA4a"/>
    <w:rsid w:val="00233E32"/>
    <w:pPr>
      <w:tabs>
        <w:tab w:val="clear" w:pos="624"/>
        <w:tab w:val="right" w:pos="1212"/>
      </w:tabs>
      <w:ind w:left="1450" w:hanging="1450"/>
    </w:pPr>
  </w:style>
  <w:style w:type="paragraph" w:customStyle="1" w:styleId="CTACAPS">
    <w:name w:val="CTA CAPS"/>
    <w:basedOn w:val="Normal"/>
    <w:rsid w:val="00233E32"/>
    <w:pPr>
      <w:spacing w:before="60" w:line="240" w:lineRule="atLeast"/>
    </w:pPr>
    <w:rPr>
      <w:sz w:val="20"/>
    </w:rPr>
  </w:style>
  <w:style w:type="paragraph" w:customStyle="1" w:styleId="CTAright">
    <w:name w:val="CTA right"/>
    <w:basedOn w:val="Normal"/>
    <w:rsid w:val="00233E32"/>
    <w:pPr>
      <w:spacing w:before="60" w:line="240" w:lineRule="auto"/>
      <w:jc w:val="right"/>
    </w:pPr>
    <w:rPr>
      <w:sz w:val="20"/>
      <w:szCs w:val="20"/>
      <w:lang w:eastAsia="en-US"/>
    </w:rPr>
  </w:style>
  <w:style w:type="paragraph" w:styleId="Date">
    <w:name w:val="Date"/>
    <w:next w:val="Normal"/>
    <w:rsid w:val="00233E32"/>
    <w:rPr>
      <w:sz w:val="22"/>
      <w:szCs w:val="24"/>
    </w:rPr>
  </w:style>
  <w:style w:type="paragraph" w:customStyle="1" w:styleId="subsection">
    <w:name w:val="subsection"/>
    <w:aliases w:val="ss"/>
    <w:link w:val="subsectionChar"/>
    <w:rsid w:val="00233E32"/>
    <w:pPr>
      <w:tabs>
        <w:tab w:val="right" w:pos="1021"/>
      </w:tabs>
      <w:spacing w:before="180"/>
      <w:ind w:left="1134" w:hanging="1134"/>
    </w:pPr>
    <w:rPr>
      <w:sz w:val="22"/>
      <w:szCs w:val="24"/>
    </w:rPr>
  </w:style>
  <w:style w:type="paragraph" w:customStyle="1" w:styleId="Definition">
    <w:name w:val="Definition"/>
    <w:aliases w:val="dd"/>
    <w:basedOn w:val="subsection"/>
    <w:rsid w:val="00233E32"/>
    <w:pPr>
      <w:tabs>
        <w:tab w:val="clear" w:pos="1021"/>
      </w:tabs>
      <w:ind w:firstLine="0"/>
    </w:pPr>
  </w:style>
  <w:style w:type="paragraph" w:styleId="DocumentMap">
    <w:name w:val="Document Map"/>
    <w:rsid w:val="00233E32"/>
    <w:pPr>
      <w:shd w:val="clear" w:color="auto" w:fill="000080"/>
    </w:pPr>
    <w:rPr>
      <w:rFonts w:ascii="Tahoma" w:hAnsi="Tahoma" w:cs="Tahoma"/>
      <w:sz w:val="22"/>
      <w:szCs w:val="24"/>
    </w:rPr>
  </w:style>
  <w:style w:type="paragraph" w:styleId="E-mailSignature">
    <w:name w:val="E-mail Signature"/>
    <w:rsid w:val="00233E32"/>
    <w:rPr>
      <w:sz w:val="22"/>
      <w:szCs w:val="24"/>
    </w:rPr>
  </w:style>
  <w:style w:type="character" w:styleId="Emphasis">
    <w:name w:val="Emphasis"/>
    <w:basedOn w:val="DefaultParagraphFont"/>
    <w:qFormat/>
    <w:rsid w:val="00233E32"/>
    <w:rPr>
      <w:i/>
      <w:iCs/>
    </w:rPr>
  </w:style>
  <w:style w:type="paragraph" w:customStyle="1" w:styleId="EndNote">
    <w:name w:val="EndNote"/>
    <w:basedOn w:val="Normal"/>
    <w:link w:val="EndNoteChar"/>
    <w:rsid w:val="00233E32"/>
    <w:pPr>
      <w:spacing w:before="180"/>
    </w:pPr>
  </w:style>
  <w:style w:type="character" w:styleId="EndnoteReference">
    <w:name w:val="endnote reference"/>
    <w:basedOn w:val="DefaultParagraphFont"/>
    <w:rsid w:val="00233E32"/>
    <w:rPr>
      <w:vertAlign w:val="superscript"/>
    </w:rPr>
  </w:style>
  <w:style w:type="paragraph" w:styleId="EndnoteText">
    <w:name w:val="endnote text"/>
    <w:rsid w:val="00233E32"/>
  </w:style>
  <w:style w:type="paragraph" w:customStyle="1" w:styleId="ENoteNo">
    <w:name w:val="ENoteNo"/>
    <w:basedOn w:val="Normal"/>
    <w:rsid w:val="00233E32"/>
    <w:pPr>
      <w:spacing w:before="120" w:after="120"/>
      <w:ind w:left="1134" w:hanging="1134"/>
    </w:pPr>
    <w:rPr>
      <w:rFonts w:ascii="Arial" w:hAnsi="Arial"/>
      <w:b/>
      <w:sz w:val="24"/>
    </w:rPr>
  </w:style>
  <w:style w:type="paragraph" w:styleId="EnvelopeAddress">
    <w:name w:val="envelope address"/>
    <w:rsid w:val="00233E32"/>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233E32"/>
    <w:rPr>
      <w:rFonts w:ascii="Arial" w:hAnsi="Arial" w:cs="Arial"/>
    </w:rPr>
  </w:style>
  <w:style w:type="paragraph" w:customStyle="1" w:styleId="ETAsubitem">
    <w:name w:val="ETA(subitem)"/>
    <w:rsid w:val="00233E32"/>
    <w:pPr>
      <w:tabs>
        <w:tab w:val="right" w:pos="340"/>
      </w:tabs>
      <w:spacing w:before="60"/>
      <w:ind w:left="454" w:hanging="454"/>
    </w:pPr>
    <w:rPr>
      <w:szCs w:val="24"/>
    </w:rPr>
  </w:style>
  <w:style w:type="paragraph" w:customStyle="1" w:styleId="ETApara">
    <w:name w:val="ETA(para)"/>
    <w:basedOn w:val="ETAsubitem"/>
    <w:rsid w:val="00233E32"/>
    <w:pPr>
      <w:tabs>
        <w:tab w:val="clear" w:pos="340"/>
        <w:tab w:val="right" w:pos="753"/>
      </w:tabs>
      <w:ind w:left="828" w:hanging="828"/>
    </w:pPr>
  </w:style>
  <w:style w:type="paragraph" w:customStyle="1" w:styleId="ETAsubpara">
    <w:name w:val="ETA(subpara)"/>
    <w:basedOn w:val="ETAsubitem"/>
    <w:rsid w:val="00233E32"/>
    <w:pPr>
      <w:tabs>
        <w:tab w:val="clear" w:pos="340"/>
        <w:tab w:val="right" w:pos="1083"/>
      </w:tabs>
      <w:ind w:left="1193" w:hanging="1193"/>
    </w:pPr>
  </w:style>
  <w:style w:type="paragraph" w:customStyle="1" w:styleId="ETAsub-subpara">
    <w:name w:val="ETA(sub-subpara)"/>
    <w:basedOn w:val="ETAsubpara"/>
    <w:rsid w:val="00233E32"/>
    <w:pPr>
      <w:tabs>
        <w:tab w:val="clear" w:pos="1083"/>
        <w:tab w:val="right" w:pos="1413"/>
      </w:tabs>
      <w:ind w:left="1523" w:hanging="1523"/>
    </w:pPr>
  </w:style>
  <w:style w:type="character" w:styleId="FollowedHyperlink">
    <w:name w:val="FollowedHyperlink"/>
    <w:basedOn w:val="DefaultParagraphFont"/>
    <w:rsid w:val="00233E32"/>
    <w:rPr>
      <w:color w:val="800080"/>
      <w:u w:val="single"/>
    </w:rPr>
  </w:style>
  <w:style w:type="paragraph" w:styleId="Footer">
    <w:name w:val="footer"/>
    <w:rsid w:val="00233E32"/>
    <w:pPr>
      <w:tabs>
        <w:tab w:val="center" w:pos="4153"/>
        <w:tab w:val="right" w:pos="8306"/>
      </w:tabs>
    </w:pPr>
    <w:rPr>
      <w:sz w:val="22"/>
      <w:szCs w:val="24"/>
    </w:rPr>
  </w:style>
  <w:style w:type="character" w:styleId="FootnoteReference">
    <w:name w:val="footnote reference"/>
    <w:basedOn w:val="DefaultParagraphFont"/>
    <w:rsid w:val="00233E32"/>
    <w:rPr>
      <w:vertAlign w:val="superscript"/>
    </w:rPr>
  </w:style>
  <w:style w:type="paragraph" w:styleId="FootnoteText">
    <w:name w:val="footnote text"/>
    <w:rsid w:val="00233E32"/>
  </w:style>
  <w:style w:type="paragraph" w:customStyle="1" w:styleId="Formula">
    <w:name w:val="Formula"/>
    <w:rsid w:val="00233E32"/>
    <w:pPr>
      <w:ind w:left="1134"/>
    </w:pPr>
    <w:rPr>
      <w:szCs w:val="24"/>
    </w:rPr>
  </w:style>
  <w:style w:type="paragraph" w:styleId="Header">
    <w:name w:val="header"/>
    <w:link w:val="HeaderChar"/>
    <w:rsid w:val="00233E32"/>
    <w:pPr>
      <w:keepNext/>
      <w:keepLines/>
      <w:tabs>
        <w:tab w:val="center" w:pos="4153"/>
        <w:tab w:val="right" w:pos="8306"/>
      </w:tabs>
      <w:spacing w:line="160" w:lineRule="exact"/>
    </w:pPr>
    <w:rPr>
      <w:sz w:val="16"/>
      <w:szCs w:val="24"/>
    </w:rPr>
  </w:style>
  <w:style w:type="character" w:customStyle="1" w:styleId="paragraphChar">
    <w:name w:val="paragraph Char"/>
    <w:aliases w:val="a Char"/>
    <w:basedOn w:val="DefaultParagraphFont"/>
    <w:link w:val="paragraph"/>
    <w:rsid w:val="004F2311"/>
    <w:rPr>
      <w:sz w:val="22"/>
      <w:szCs w:val="24"/>
      <w:lang w:val="en-AU" w:eastAsia="en-AU" w:bidi="ar-SA"/>
    </w:rPr>
  </w:style>
  <w:style w:type="paragraph" w:customStyle="1" w:styleId="House">
    <w:name w:val="House"/>
    <w:rsid w:val="00233E32"/>
    <w:rPr>
      <w:sz w:val="28"/>
      <w:szCs w:val="24"/>
    </w:rPr>
  </w:style>
  <w:style w:type="character" w:styleId="HTMLAcronym">
    <w:name w:val="HTML Acronym"/>
    <w:basedOn w:val="DefaultParagraphFont"/>
    <w:rsid w:val="00233E32"/>
  </w:style>
  <w:style w:type="paragraph" w:styleId="HTMLAddress">
    <w:name w:val="HTML Address"/>
    <w:rsid w:val="00233E32"/>
    <w:rPr>
      <w:i/>
      <w:iCs/>
      <w:sz w:val="22"/>
      <w:szCs w:val="24"/>
    </w:rPr>
  </w:style>
  <w:style w:type="character" w:styleId="HTMLCite">
    <w:name w:val="HTML Cite"/>
    <w:basedOn w:val="DefaultParagraphFont"/>
    <w:rsid w:val="00233E32"/>
    <w:rPr>
      <w:i/>
      <w:iCs/>
    </w:rPr>
  </w:style>
  <w:style w:type="character" w:styleId="HTMLCode">
    <w:name w:val="HTML Code"/>
    <w:basedOn w:val="DefaultParagraphFont"/>
    <w:rsid w:val="00233E32"/>
    <w:rPr>
      <w:rFonts w:ascii="Courier New" w:hAnsi="Courier New" w:cs="Courier New"/>
      <w:sz w:val="20"/>
      <w:szCs w:val="20"/>
    </w:rPr>
  </w:style>
  <w:style w:type="character" w:styleId="HTMLDefinition">
    <w:name w:val="HTML Definition"/>
    <w:basedOn w:val="DefaultParagraphFont"/>
    <w:rsid w:val="00233E32"/>
    <w:rPr>
      <w:i/>
      <w:iCs/>
    </w:rPr>
  </w:style>
  <w:style w:type="character" w:styleId="HTMLKeyboard">
    <w:name w:val="HTML Keyboard"/>
    <w:basedOn w:val="DefaultParagraphFont"/>
    <w:rsid w:val="00233E32"/>
    <w:rPr>
      <w:rFonts w:ascii="Courier New" w:hAnsi="Courier New" w:cs="Courier New"/>
      <w:sz w:val="20"/>
      <w:szCs w:val="20"/>
    </w:rPr>
  </w:style>
  <w:style w:type="paragraph" w:styleId="HTMLPreformatted">
    <w:name w:val="HTML Preformatted"/>
    <w:rsid w:val="00233E32"/>
    <w:rPr>
      <w:rFonts w:ascii="Courier New" w:hAnsi="Courier New" w:cs="Courier New"/>
    </w:rPr>
  </w:style>
  <w:style w:type="character" w:styleId="HTMLSample">
    <w:name w:val="HTML Sample"/>
    <w:basedOn w:val="DefaultParagraphFont"/>
    <w:rsid w:val="00233E32"/>
    <w:rPr>
      <w:rFonts w:ascii="Courier New" w:hAnsi="Courier New" w:cs="Courier New"/>
    </w:rPr>
  </w:style>
  <w:style w:type="character" w:styleId="HTMLTypewriter">
    <w:name w:val="HTML Typewriter"/>
    <w:basedOn w:val="DefaultParagraphFont"/>
    <w:rsid w:val="00233E32"/>
    <w:rPr>
      <w:rFonts w:ascii="Courier New" w:hAnsi="Courier New" w:cs="Courier New"/>
      <w:sz w:val="20"/>
      <w:szCs w:val="20"/>
    </w:rPr>
  </w:style>
  <w:style w:type="character" w:styleId="HTMLVariable">
    <w:name w:val="HTML Variable"/>
    <w:basedOn w:val="DefaultParagraphFont"/>
    <w:rsid w:val="00233E32"/>
    <w:rPr>
      <w:i/>
      <w:iCs/>
    </w:rPr>
  </w:style>
  <w:style w:type="character" w:styleId="Hyperlink">
    <w:name w:val="Hyperlink"/>
    <w:basedOn w:val="DefaultParagraphFont"/>
    <w:rsid w:val="00233E32"/>
    <w:rPr>
      <w:color w:val="0000FF"/>
      <w:u w:val="single"/>
    </w:rPr>
  </w:style>
  <w:style w:type="paragraph" w:styleId="Index1">
    <w:name w:val="index 1"/>
    <w:next w:val="Normal"/>
    <w:rsid w:val="00233E32"/>
    <w:pPr>
      <w:ind w:left="220" w:hanging="220"/>
    </w:pPr>
    <w:rPr>
      <w:sz w:val="22"/>
      <w:szCs w:val="24"/>
    </w:rPr>
  </w:style>
  <w:style w:type="paragraph" w:styleId="Index2">
    <w:name w:val="index 2"/>
    <w:next w:val="Normal"/>
    <w:rsid w:val="00233E32"/>
    <w:pPr>
      <w:ind w:left="440" w:hanging="220"/>
    </w:pPr>
    <w:rPr>
      <w:sz w:val="22"/>
      <w:szCs w:val="24"/>
    </w:rPr>
  </w:style>
  <w:style w:type="paragraph" w:styleId="Index3">
    <w:name w:val="index 3"/>
    <w:next w:val="Normal"/>
    <w:rsid w:val="00233E32"/>
    <w:pPr>
      <w:ind w:left="660" w:hanging="220"/>
    </w:pPr>
    <w:rPr>
      <w:sz w:val="22"/>
      <w:szCs w:val="24"/>
    </w:rPr>
  </w:style>
  <w:style w:type="paragraph" w:styleId="Index4">
    <w:name w:val="index 4"/>
    <w:next w:val="Normal"/>
    <w:rsid w:val="00233E32"/>
    <w:pPr>
      <w:ind w:left="880" w:hanging="220"/>
    </w:pPr>
    <w:rPr>
      <w:sz w:val="22"/>
      <w:szCs w:val="24"/>
    </w:rPr>
  </w:style>
  <w:style w:type="paragraph" w:styleId="Index5">
    <w:name w:val="index 5"/>
    <w:next w:val="Normal"/>
    <w:rsid w:val="00233E32"/>
    <w:pPr>
      <w:ind w:left="1100" w:hanging="220"/>
    </w:pPr>
    <w:rPr>
      <w:sz w:val="22"/>
      <w:szCs w:val="24"/>
    </w:rPr>
  </w:style>
  <w:style w:type="paragraph" w:styleId="Index6">
    <w:name w:val="index 6"/>
    <w:next w:val="Normal"/>
    <w:rsid w:val="00233E32"/>
    <w:pPr>
      <w:ind w:left="1320" w:hanging="220"/>
    </w:pPr>
    <w:rPr>
      <w:sz w:val="22"/>
      <w:szCs w:val="24"/>
    </w:rPr>
  </w:style>
  <w:style w:type="paragraph" w:styleId="Index7">
    <w:name w:val="index 7"/>
    <w:next w:val="Normal"/>
    <w:rsid w:val="00233E32"/>
    <w:pPr>
      <w:ind w:left="1540" w:hanging="220"/>
    </w:pPr>
    <w:rPr>
      <w:sz w:val="22"/>
      <w:szCs w:val="24"/>
    </w:rPr>
  </w:style>
  <w:style w:type="paragraph" w:styleId="Index8">
    <w:name w:val="index 8"/>
    <w:next w:val="Normal"/>
    <w:rsid w:val="00233E32"/>
    <w:pPr>
      <w:ind w:left="1760" w:hanging="220"/>
    </w:pPr>
    <w:rPr>
      <w:sz w:val="22"/>
      <w:szCs w:val="24"/>
    </w:rPr>
  </w:style>
  <w:style w:type="paragraph" w:styleId="Index9">
    <w:name w:val="index 9"/>
    <w:next w:val="Normal"/>
    <w:rsid w:val="00233E32"/>
    <w:pPr>
      <w:ind w:left="1980" w:hanging="220"/>
    </w:pPr>
    <w:rPr>
      <w:sz w:val="22"/>
      <w:szCs w:val="24"/>
    </w:rPr>
  </w:style>
  <w:style w:type="paragraph" w:styleId="IndexHeading">
    <w:name w:val="index heading"/>
    <w:next w:val="Index1"/>
    <w:rsid w:val="00233E32"/>
    <w:rPr>
      <w:rFonts w:ascii="Arial" w:hAnsi="Arial" w:cs="Arial"/>
      <w:b/>
      <w:bCs/>
      <w:sz w:val="22"/>
      <w:szCs w:val="24"/>
    </w:rPr>
  </w:style>
  <w:style w:type="paragraph" w:customStyle="1" w:styleId="Item">
    <w:name w:val="Item"/>
    <w:aliases w:val="i"/>
    <w:basedOn w:val="subsection"/>
    <w:next w:val="Normal"/>
    <w:rsid w:val="00233E32"/>
    <w:pPr>
      <w:keepLines/>
      <w:tabs>
        <w:tab w:val="clear" w:pos="1021"/>
      </w:tabs>
      <w:spacing w:before="80"/>
      <w:ind w:left="709" w:firstLine="0"/>
    </w:pPr>
  </w:style>
  <w:style w:type="paragraph" w:customStyle="1" w:styleId="ItemHead">
    <w:name w:val="ItemHead"/>
    <w:aliases w:val="ih"/>
    <w:basedOn w:val="Heading1"/>
    <w:next w:val="Item"/>
    <w:rsid w:val="00233E32"/>
    <w:pPr>
      <w:keepNext w:val="0"/>
      <w:spacing w:before="220"/>
      <w:ind w:left="709" w:hanging="709"/>
      <w:outlineLvl w:val="9"/>
    </w:pPr>
    <w:rPr>
      <w:rFonts w:ascii="Arial" w:hAnsi="Arial" w:cs="Arial"/>
      <w:sz w:val="24"/>
    </w:rPr>
  </w:style>
  <w:style w:type="character" w:styleId="LineNumber">
    <w:name w:val="line number"/>
    <w:basedOn w:val="DefaultParagraphFont"/>
    <w:rsid w:val="00233E32"/>
    <w:rPr>
      <w:sz w:val="16"/>
    </w:rPr>
  </w:style>
  <w:style w:type="paragraph" w:styleId="List">
    <w:name w:val="List"/>
    <w:rsid w:val="00233E32"/>
    <w:pPr>
      <w:ind w:left="283" w:hanging="283"/>
    </w:pPr>
    <w:rPr>
      <w:sz w:val="22"/>
      <w:szCs w:val="24"/>
    </w:rPr>
  </w:style>
  <w:style w:type="paragraph" w:styleId="List2">
    <w:name w:val="List 2"/>
    <w:rsid w:val="00233E32"/>
    <w:pPr>
      <w:ind w:left="566" w:hanging="283"/>
    </w:pPr>
    <w:rPr>
      <w:sz w:val="22"/>
      <w:szCs w:val="24"/>
    </w:rPr>
  </w:style>
  <w:style w:type="paragraph" w:styleId="List3">
    <w:name w:val="List 3"/>
    <w:rsid w:val="00233E32"/>
    <w:pPr>
      <w:ind w:left="849" w:hanging="283"/>
    </w:pPr>
    <w:rPr>
      <w:sz w:val="22"/>
      <w:szCs w:val="24"/>
    </w:rPr>
  </w:style>
  <w:style w:type="paragraph" w:styleId="List4">
    <w:name w:val="List 4"/>
    <w:rsid w:val="00233E32"/>
    <w:pPr>
      <w:ind w:left="1132" w:hanging="283"/>
    </w:pPr>
    <w:rPr>
      <w:sz w:val="22"/>
      <w:szCs w:val="24"/>
    </w:rPr>
  </w:style>
  <w:style w:type="paragraph" w:styleId="List5">
    <w:name w:val="List 5"/>
    <w:rsid w:val="00233E32"/>
    <w:pPr>
      <w:ind w:left="1415" w:hanging="283"/>
    </w:pPr>
    <w:rPr>
      <w:sz w:val="22"/>
      <w:szCs w:val="24"/>
    </w:rPr>
  </w:style>
  <w:style w:type="paragraph" w:styleId="ListBullet">
    <w:name w:val="List Bullet"/>
    <w:rsid w:val="00233E32"/>
    <w:pPr>
      <w:numPr>
        <w:numId w:val="3"/>
      </w:numPr>
      <w:tabs>
        <w:tab w:val="clear" w:pos="360"/>
        <w:tab w:val="num" w:pos="2989"/>
      </w:tabs>
      <w:ind w:left="1225" w:firstLine="1043"/>
    </w:pPr>
    <w:rPr>
      <w:sz w:val="22"/>
      <w:szCs w:val="24"/>
    </w:rPr>
  </w:style>
  <w:style w:type="paragraph" w:styleId="ListBullet2">
    <w:name w:val="List Bullet 2"/>
    <w:rsid w:val="00233E32"/>
    <w:pPr>
      <w:numPr>
        <w:numId w:val="4"/>
      </w:numPr>
      <w:tabs>
        <w:tab w:val="clear" w:pos="643"/>
        <w:tab w:val="num" w:pos="360"/>
      </w:tabs>
      <w:ind w:left="360"/>
    </w:pPr>
    <w:rPr>
      <w:sz w:val="22"/>
      <w:szCs w:val="24"/>
    </w:rPr>
  </w:style>
  <w:style w:type="paragraph" w:styleId="ListBullet3">
    <w:name w:val="List Bullet 3"/>
    <w:rsid w:val="00233E32"/>
    <w:pPr>
      <w:numPr>
        <w:numId w:val="5"/>
      </w:numPr>
      <w:tabs>
        <w:tab w:val="clear" w:pos="926"/>
        <w:tab w:val="num" w:pos="360"/>
      </w:tabs>
      <w:ind w:left="360"/>
    </w:pPr>
    <w:rPr>
      <w:sz w:val="22"/>
      <w:szCs w:val="24"/>
    </w:rPr>
  </w:style>
  <w:style w:type="paragraph" w:styleId="ListBullet4">
    <w:name w:val="List Bullet 4"/>
    <w:rsid w:val="00233E32"/>
    <w:pPr>
      <w:numPr>
        <w:numId w:val="6"/>
      </w:numPr>
      <w:tabs>
        <w:tab w:val="clear" w:pos="1209"/>
        <w:tab w:val="num" w:pos="926"/>
      </w:tabs>
      <w:ind w:left="926"/>
    </w:pPr>
    <w:rPr>
      <w:sz w:val="22"/>
      <w:szCs w:val="24"/>
    </w:rPr>
  </w:style>
  <w:style w:type="paragraph" w:styleId="ListBullet5">
    <w:name w:val="List Bullet 5"/>
    <w:rsid w:val="00233E32"/>
    <w:pPr>
      <w:numPr>
        <w:numId w:val="7"/>
      </w:numPr>
    </w:pPr>
    <w:rPr>
      <w:sz w:val="22"/>
      <w:szCs w:val="24"/>
    </w:rPr>
  </w:style>
  <w:style w:type="paragraph" w:styleId="ListContinue">
    <w:name w:val="List Continue"/>
    <w:rsid w:val="00233E32"/>
    <w:pPr>
      <w:spacing w:after="120"/>
      <w:ind w:left="283"/>
    </w:pPr>
    <w:rPr>
      <w:sz w:val="22"/>
      <w:szCs w:val="24"/>
    </w:rPr>
  </w:style>
  <w:style w:type="paragraph" w:styleId="ListContinue2">
    <w:name w:val="List Continue 2"/>
    <w:rsid w:val="00233E32"/>
    <w:pPr>
      <w:spacing w:after="120"/>
      <w:ind w:left="566"/>
    </w:pPr>
    <w:rPr>
      <w:sz w:val="22"/>
      <w:szCs w:val="24"/>
    </w:rPr>
  </w:style>
  <w:style w:type="paragraph" w:styleId="ListContinue3">
    <w:name w:val="List Continue 3"/>
    <w:rsid w:val="00233E32"/>
    <w:pPr>
      <w:spacing w:after="120"/>
      <w:ind w:left="849"/>
    </w:pPr>
    <w:rPr>
      <w:sz w:val="22"/>
      <w:szCs w:val="24"/>
    </w:rPr>
  </w:style>
  <w:style w:type="paragraph" w:styleId="ListContinue4">
    <w:name w:val="List Continue 4"/>
    <w:rsid w:val="00233E32"/>
    <w:pPr>
      <w:spacing w:after="120"/>
      <w:ind w:left="1132"/>
    </w:pPr>
    <w:rPr>
      <w:sz w:val="22"/>
      <w:szCs w:val="24"/>
    </w:rPr>
  </w:style>
  <w:style w:type="paragraph" w:styleId="ListContinue5">
    <w:name w:val="List Continue 5"/>
    <w:rsid w:val="00233E32"/>
    <w:pPr>
      <w:spacing w:after="120"/>
      <w:ind w:left="1415"/>
    </w:pPr>
    <w:rPr>
      <w:sz w:val="22"/>
      <w:szCs w:val="24"/>
    </w:rPr>
  </w:style>
  <w:style w:type="paragraph" w:styleId="ListNumber">
    <w:name w:val="List Number"/>
    <w:rsid w:val="00233E32"/>
    <w:pPr>
      <w:numPr>
        <w:numId w:val="8"/>
      </w:numPr>
      <w:tabs>
        <w:tab w:val="clear" w:pos="360"/>
        <w:tab w:val="num" w:pos="4242"/>
      </w:tabs>
      <w:ind w:left="3521" w:hanging="1043"/>
    </w:pPr>
    <w:rPr>
      <w:sz w:val="22"/>
      <w:szCs w:val="24"/>
    </w:rPr>
  </w:style>
  <w:style w:type="paragraph" w:styleId="ListNumber2">
    <w:name w:val="List Number 2"/>
    <w:rsid w:val="00233E32"/>
    <w:pPr>
      <w:numPr>
        <w:numId w:val="9"/>
      </w:numPr>
      <w:tabs>
        <w:tab w:val="clear" w:pos="643"/>
        <w:tab w:val="num" w:pos="360"/>
      </w:tabs>
      <w:ind w:left="360"/>
    </w:pPr>
    <w:rPr>
      <w:sz w:val="22"/>
      <w:szCs w:val="24"/>
    </w:rPr>
  </w:style>
  <w:style w:type="paragraph" w:styleId="ListNumber3">
    <w:name w:val="List Number 3"/>
    <w:rsid w:val="00233E32"/>
    <w:pPr>
      <w:numPr>
        <w:numId w:val="10"/>
      </w:numPr>
      <w:tabs>
        <w:tab w:val="clear" w:pos="926"/>
        <w:tab w:val="num" w:pos="360"/>
      </w:tabs>
      <w:ind w:left="360"/>
    </w:pPr>
    <w:rPr>
      <w:sz w:val="22"/>
      <w:szCs w:val="24"/>
    </w:rPr>
  </w:style>
  <w:style w:type="paragraph" w:styleId="ListNumber4">
    <w:name w:val="List Number 4"/>
    <w:rsid w:val="00233E32"/>
    <w:pPr>
      <w:numPr>
        <w:numId w:val="11"/>
      </w:numPr>
      <w:tabs>
        <w:tab w:val="clear" w:pos="1209"/>
        <w:tab w:val="num" w:pos="360"/>
      </w:tabs>
      <w:ind w:left="360"/>
    </w:pPr>
    <w:rPr>
      <w:sz w:val="22"/>
      <w:szCs w:val="24"/>
    </w:rPr>
  </w:style>
  <w:style w:type="paragraph" w:styleId="ListNumber5">
    <w:name w:val="List Number 5"/>
    <w:rsid w:val="00233E32"/>
    <w:pPr>
      <w:numPr>
        <w:numId w:val="12"/>
      </w:numPr>
      <w:tabs>
        <w:tab w:val="clear" w:pos="1492"/>
        <w:tab w:val="num" w:pos="1440"/>
      </w:tabs>
      <w:ind w:left="0" w:firstLine="0"/>
    </w:pPr>
    <w:rPr>
      <w:sz w:val="22"/>
      <w:szCs w:val="24"/>
    </w:rPr>
  </w:style>
  <w:style w:type="paragraph" w:customStyle="1" w:styleId="LongT">
    <w:name w:val="LongT"/>
    <w:rsid w:val="00233E32"/>
    <w:rPr>
      <w:b/>
      <w:sz w:val="32"/>
      <w:szCs w:val="24"/>
    </w:rPr>
  </w:style>
  <w:style w:type="paragraph" w:styleId="MacroText">
    <w:name w:val="macro"/>
    <w:rsid w:val="00233E32"/>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customStyle="1" w:styleId="Mathtype">
    <w:name w:val="Mathtype"/>
    <w:basedOn w:val="Normal"/>
    <w:rsid w:val="00233E32"/>
  </w:style>
  <w:style w:type="paragraph" w:styleId="MessageHeader">
    <w:name w:val="Message Header"/>
    <w:rsid w:val="00233E3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233E32"/>
    <w:rPr>
      <w:sz w:val="24"/>
      <w:szCs w:val="24"/>
    </w:rPr>
  </w:style>
  <w:style w:type="paragraph" w:styleId="NormalIndent">
    <w:name w:val="Normal Indent"/>
    <w:rsid w:val="00233E32"/>
    <w:pPr>
      <w:ind w:left="720"/>
    </w:pPr>
    <w:rPr>
      <w:sz w:val="22"/>
      <w:szCs w:val="24"/>
    </w:rPr>
  </w:style>
  <w:style w:type="paragraph" w:styleId="NoteHeading">
    <w:name w:val="Note Heading"/>
    <w:next w:val="Normal"/>
    <w:rsid w:val="00233E32"/>
    <w:rPr>
      <w:sz w:val="22"/>
      <w:szCs w:val="24"/>
    </w:rPr>
  </w:style>
  <w:style w:type="character" w:customStyle="1" w:styleId="subsection2Char">
    <w:name w:val="subsection2 Char"/>
    <w:aliases w:val="ss2 Char"/>
    <w:basedOn w:val="DefaultParagraphFont"/>
    <w:link w:val="subsection2"/>
    <w:rsid w:val="00887330"/>
    <w:rPr>
      <w:sz w:val="22"/>
      <w:szCs w:val="24"/>
    </w:rPr>
  </w:style>
  <w:style w:type="paragraph" w:customStyle="1" w:styleId="notedraft">
    <w:name w:val="note(draft)"/>
    <w:aliases w:val="nd"/>
    <w:rsid w:val="00233E32"/>
    <w:pPr>
      <w:spacing w:before="240"/>
      <w:ind w:left="284" w:hanging="284"/>
    </w:pPr>
    <w:rPr>
      <w:i/>
      <w:sz w:val="24"/>
      <w:szCs w:val="24"/>
    </w:rPr>
  </w:style>
  <w:style w:type="paragraph" w:customStyle="1" w:styleId="notepara">
    <w:name w:val="note(para)"/>
    <w:aliases w:val="na"/>
    <w:basedOn w:val="notetext"/>
    <w:rsid w:val="00233E32"/>
    <w:pPr>
      <w:ind w:left="2353" w:hanging="709"/>
    </w:pPr>
  </w:style>
  <w:style w:type="paragraph" w:customStyle="1" w:styleId="noteParlAmend">
    <w:name w:val="note(ParlAmend)"/>
    <w:aliases w:val="npp"/>
    <w:next w:val="Normal"/>
    <w:rsid w:val="00233E32"/>
    <w:pPr>
      <w:jc w:val="right"/>
    </w:pPr>
    <w:rPr>
      <w:rFonts w:ascii="Arial" w:hAnsi="Arial" w:cs="Arial"/>
      <w:b/>
      <w:i/>
      <w:sz w:val="22"/>
      <w:szCs w:val="24"/>
    </w:rPr>
  </w:style>
  <w:style w:type="paragraph" w:customStyle="1" w:styleId="NotesSection">
    <w:name w:val="NotesSection"/>
    <w:basedOn w:val="Normal"/>
    <w:rsid w:val="00233E32"/>
    <w:pPr>
      <w:spacing w:before="240"/>
    </w:pPr>
    <w:rPr>
      <w:rFonts w:ascii="Arial" w:hAnsi="Arial"/>
      <w:b/>
      <w:sz w:val="28"/>
    </w:rPr>
  </w:style>
  <w:style w:type="character" w:styleId="PageNumber">
    <w:name w:val="page number"/>
    <w:basedOn w:val="DefaultParagraphFont"/>
    <w:rsid w:val="00233E32"/>
  </w:style>
  <w:style w:type="paragraph" w:customStyle="1" w:styleId="Page1">
    <w:name w:val="Page1"/>
    <w:basedOn w:val="Normal"/>
    <w:rsid w:val="00233E32"/>
    <w:pPr>
      <w:spacing w:before="400" w:line="240" w:lineRule="auto"/>
    </w:pPr>
    <w:rPr>
      <w:b/>
      <w:sz w:val="32"/>
    </w:rPr>
  </w:style>
  <w:style w:type="paragraph" w:customStyle="1" w:styleId="PageBreak">
    <w:name w:val="PageBreak"/>
    <w:aliases w:val="pb"/>
    <w:next w:val="Heading2"/>
    <w:rsid w:val="00233E32"/>
    <w:rPr>
      <w:sz w:val="10"/>
      <w:szCs w:val="24"/>
    </w:rPr>
  </w:style>
  <w:style w:type="paragraph" w:customStyle="1" w:styleId="parabullet">
    <w:name w:val="para bullet"/>
    <w:aliases w:val="b"/>
    <w:rsid w:val="00233E32"/>
    <w:pPr>
      <w:spacing w:before="240"/>
      <w:ind w:left="1843" w:hanging="284"/>
    </w:pPr>
    <w:rPr>
      <w:sz w:val="22"/>
      <w:szCs w:val="24"/>
    </w:rPr>
  </w:style>
  <w:style w:type="paragraph" w:customStyle="1" w:styleId="paragraph">
    <w:name w:val="paragraph"/>
    <w:aliases w:val="a"/>
    <w:link w:val="paragraphChar"/>
    <w:rsid w:val="00233E32"/>
    <w:pPr>
      <w:tabs>
        <w:tab w:val="right" w:pos="1531"/>
      </w:tabs>
      <w:spacing w:before="40"/>
      <w:ind w:left="1644" w:hanging="1644"/>
    </w:pPr>
    <w:rPr>
      <w:sz w:val="22"/>
      <w:szCs w:val="24"/>
    </w:rPr>
  </w:style>
  <w:style w:type="paragraph" w:customStyle="1" w:styleId="paragraphsub">
    <w:name w:val="paragraph(sub)"/>
    <w:aliases w:val="aa"/>
    <w:basedOn w:val="paragraph"/>
    <w:rsid w:val="00233E32"/>
    <w:pPr>
      <w:tabs>
        <w:tab w:val="clear" w:pos="1531"/>
        <w:tab w:val="right" w:pos="1985"/>
      </w:tabs>
      <w:ind w:left="2098" w:hanging="2098"/>
    </w:pPr>
  </w:style>
  <w:style w:type="paragraph" w:customStyle="1" w:styleId="paragraphsub-sub">
    <w:name w:val="paragraph(sub-sub)"/>
    <w:aliases w:val="aaa"/>
    <w:basedOn w:val="paragraph"/>
    <w:rsid w:val="00233E32"/>
    <w:pPr>
      <w:tabs>
        <w:tab w:val="clear" w:pos="1531"/>
        <w:tab w:val="right" w:pos="2722"/>
      </w:tabs>
      <w:ind w:left="2835" w:hanging="2835"/>
    </w:pPr>
  </w:style>
  <w:style w:type="paragraph" w:customStyle="1" w:styleId="ParlAmend">
    <w:name w:val="ParlAmend"/>
    <w:aliases w:val="pp"/>
    <w:rsid w:val="00233E32"/>
    <w:pPr>
      <w:spacing w:before="240" w:line="240" w:lineRule="atLeast"/>
      <w:ind w:hanging="567"/>
    </w:pPr>
    <w:rPr>
      <w:sz w:val="24"/>
      <w:szCs w:val="24"/>
    </w:rPr>
  </w:style>
  <w:style w:type="paragraph" w:customStyle="1" w:styleId="Penalty">
    <w:name w:val="Penalty"/>
    <w:rsid w:val="00233E32"/>
    <w:pPr>
      <w:tabs>
        <w:tab w:val="left" w:pos="2977"/>
      </w:tabs>
      <w:spacing w:before="180"/>
      <w:ind w:left="1985" w:hanging="851"/>
    </w:pPr>
    <w:rPr>
      <w:sz w:val="22"/>
      <w:szCs w:val="24"/>
    </w:rPr>
  </w:style>
  <w:style w:type="paragraph" w:styleId="PlainText">
    <w:name w:val="Plain Text"/>
    <w:rsid w:val="00233E32"/>
    <w:rPr>
      <w:rFonts w:ascii="Courier New" w:hAnsi="Courier New" w:cs="Courier New"/>
      <w:sz w:val="22"/>
    </w:rPr>
  </w:style>
  <w:style w:type="paragraph" w:customStyle="1" w:styleId="Portfolio">
    <w:name w:val="Portfolio"/>
    <w:rsid w:val="00233E32"/>
    <w:rPr>
      <w:i/>
      <w:szCs w:val="24"/>
    </w:rPr>
  </w:style>
  <w:style w:type="paragraph" w:customStyle="1" w:styleId="Preamble">
    <w:name w:val="Preamble"/>
    <w:basedOn w:val="Heading5"/>
    <w:next w:val="Normal"/>
    <w:rsid w:val="00233E32"/>
    <w:pPr>
      <w:tabs>
        <w:tab w:val="center" w:pos="4513"/>
      </w:tabs>
      <w:outlineLvl w:val="9"/>
    </w:pPr>
    <w:rPr>
      <w:sz w:val="28"/>
    </w:rPr>
  </w:style>
  <w:style w:type="paragraph" w:customStyle="1" w:styleId="Reading">
    <w:name w:val="Reading"/>
    <w:rsid w:val="00233E32"/>
    <w:rPr>
      <w:i/>
      <w:szCs w:val="24"/>
    </w:rPr>
  </w:style>
  <w:style w:type="paragraph" w:customStyle="1" w:styleId="ReprintDate">
    <w:name w:val="ReprintDate"/>
    <w:basedOn w:val="Normal"/>
    <w:rsid w:val="00233E32"/>
    <w:pPr>
      <w:spacing w:before="240"/>
    </w:pPr>
    <w:rPr>
      <w:b/>
      <w:sz w:val="28"/>
    </w:rPr>
  </w:style>
  <w:style w:type="paragraph" w:styleId="Salutation">
    <w:name w:val="Salutation"/>
    <w:next w:val="Normal"/>
    <w:rsid w:val="00233E32"/>
    <w:rPr>
      <w:sz w:val="22"/>
      <w:szCs w:val="24"/>
    </w:rPr>
  </w:style>
  <w:style w:type="paragraph" w:customStyle="1" w:styleId="SectHead">
    <w:name w:val="SectHead"/>
    <w:basedOn w:val="Heading5"/>
    <w:rsid w:val="00233E32"/>
  </w:style>
  <w:style w:type="paragraph" w:customStyle="1" w:styleId="Session">
    <w:name w:val="Session"/>
    <w:rsid w:val="00233E32"/>
    <w:rPr>
      <w:sz w:val="28"/>
      <w:szCs w:val="24"/>
    </w:rPr>
  </w:style>
  <w:style w:type="paragraph" w:customStyle="1" w:styleId="ShortT">
    <w:name w:val="ShortT"/>
    <w:basedOn w:val="Normal"/>
    <w:next w:val="Normal"/>
    <w:rsid w:val="00233E32"/>
    <w:pPr>
      <w:spacing w:before="360"/>
    </w:pPr>
    <w:rPr>
      <w:rFonts w:ascii="Times" w:hAnsi="Times"/>
      <w:b/>
      <w:sz w:val="40"/>
      <w:szCs w:val="20"/>
    </w:rPr>
  </w:style>
  <w:style w:type="paragraph" w:styleId="Signature">
    <w:name w:val="Signature"/>
    <w:rsid w:val="00233E32"/>
    <w:pPr>
      <w:ind w:left="4252"/>
    </w:pPr>
    <w:rPr>
      <w:sz w:val="22"/>
      <w:szCs w:val="24"/>
    </w:rPr>
  </w:style>
  <w:style w:type="paragraph" w:customStyle="1" w:styleId="Specialih">
    <w:name w:val="Special ih"/>
    <w:basedOn w:val="ItemHead"/>
    <w:rsid w:val="00233E32"/>
  </w:style>
  <w:style w:type="paragraph" w:customStyle="1" w:styleId="Sponsor">
    <w:name w:val="Sponsor"/>
    <w:rsid w:val="00233E32"/>
    <w:rPr>
      <w:i/>
      <w:sz w:val="22"/>
      <w:szCs w:val="24"/>
    </w:rPr>
  </w:style>
  <w:style w:type="character" w:styleId="Strong">
    <w:name w:val="Strong"/>
    <w:basedOn w:val="DefaultParagraphFont"/>
    <w:qFormat/>
    <w:rsid w:val="00233E32"/>
    <w:rPr>
      <w:b/>
      <w:bCs/>
    </w:rPr>
  </w:style>
  <w:style w:type="paragraph" w:customStyle="1" w:styleId="Subitem">
    <w:name w:val="Subitem"/>
    <w:aliases w:val="iss"/>
    <w:rsid w:val="00233E32"/>
    <w:pPr>
      <w:spacing w:before="180"/>
      <w:ind w:left="709" w:hanging="709"/>
    </w:pPr>
    <w:rPr>
      <w:sz w:val="22"/>
      <w:szCs w:val="24"/>
    </w:rPr>
  </w:style>
  <w:style w:type="paragraph" w:customStyle="1" w:styleId="SubitemHead">
    <w:name w:val="SubitemHead"/>
    <w:aliases w:val="issh"/>
    <w:next w:val="Subitem"/>
    <w:rsid w:val="00233E32"/>
    <w:pPr>
      <w:keepNext/>
      <w:keepLines/>
      <w:spacing w:before="220"/>
      <w:ind w:left="709"/>
    </w:pPr>
    <w:rPr>
      <w:rFonts w:ascii="Arial" w:hAnsi="Arial" w:cs="Arial"/>
      <w:i/>
      <w:kern w:val="28"/>
      <w:sz w:val="22"/>
      <w:szCs w:val="24"/>
    </w:rPr>
  </w:style>
  <w:style w:type="paragraph" w:customStyle="1" w:styleId="subsection2">
    <w:name w:val="subsection2"/>
    <w:aliases w:val="ss2"/>
    <w:basedOn w:val="subsection"/>
    <w:next w:val="subsection"/>
    <w:link w:val="subsection2Char"/>
    <w:rsid w:val="00233E32"/>
    <w:pPr>
      <w:tabs>
        <w:tab w:val="clear" w:pos="1021"/>
      </w:tabs>
      <w:spacing w:before="40"/>
      <w:ind w:firstLine="0"/>
    </w:pPr>
  </w:style>
  <w:style w:type="paragraph" w:customStyle="1" w:styleId="SubsectionHead">
    <w:name w:val="SubsectionHead"/>
    <w:aliases w:val="ssh"/>
    <w:basedOn w:val="subsection"/>
    <w:next w:val="subsection"/>
    <w:rsid w:val="00233E32"/>
    <w:pPr>
      <w:keepNext/>
      <w:keepLines/>
      <w:tabs>
        <w:tab w:val="clear" w:pos="1021"/>
      </w:tabs>
      <w:spacing w:before="240"/>
      <w:ind w:firstLine="0"/>
    </w:pPr>
    <w:rPr>
      <w:i/>
    </w:rPr>
  </w:style>
  <w:style w:type="paragraph" w:styleId="Subtitle">
    <w:name w:val="Subtitle"/>
    <w:qFormat/>
    <w:rsid w:val="00233E32"/>
    <w:pPr>
      <w:spacing w:after="60"/>
      <w:jc w:val="center"/>
    </w:pPr>
    <w:rPr>
      <w:rFonts w:ascii="Arial" w:hAnsi="Arial" w:cs="Arial"/>
      <w:sz w:val="24"/>
      <w:szCs w:val="24"/>
    </w:rPr>
  </w:style>
  <w:style w:type="character" w:customStyle="1" w:styleId="superscriptstyle">
    <w:name w:val="superscriptstyle"/>
    <w:basedOn w:val="DefaultParagraphFont"/>
    <w:rsid w:val="00233E32"/>
    <w:rPr>
      <w:rFonts w:ascii="Times New Roman" w:hAnsi="Times New Roman"/>
      <w:sz w:val="18"/>
      <w:szCs w:val="18"/>
      <w:vertAlign w:val="baseline"/>
    </w:rPr>
  </w:style>
  <w:style w:type="table" w:styleId="Table3Deffects1">
    <w:name w:val="Table 3D effects 1"/>
    <w:basedOn w:val="TableNormal"/>
    <w:rsid w:val="00233E32"/>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233E32"/>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233E32"/>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233E32"/>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233E32"/>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233E32"/>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233E32"/>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233E32"/>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233E32"/>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233E32"/>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233E32"/>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233E32"/>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233E32"/>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233E32"/>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233E32"/>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233E32"/>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233E32"/>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233E32"/>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233E32"/>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233E32"/>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233E32"/>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233E32"/>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233E32"/>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233E32"/>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233E32"/>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233E32"/>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233E32"/>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233E32"/>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233E32"/>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233E32"/>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233E32"/>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233E32"/>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233E32"/>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233E32"/>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next w:val="Normal"/>
    <w:rsid w:val="00233E32"/>
    <w:pPr>
      <w:ind w:left="220" w:hanging="220"/>
    </w:pPr>
    <w:rPr>
      <w:sz w:val="22"/>
      <w:szCs w:val="24"/>
    </w:rPr>
  </w:style>
  <w:style w:type="paragraph" w:styleId="TableofFigures">
    <w:name w:val="table of figures"/>
    <w:next w:val="Normal"/>
    <w:rsid w:val="00233E32"/>
    <w:pPr>
      <w:ind w:left="440" w:hanging="440"/>
    </w:pPr>
    <w:rPr>
      <w:sz w:val="22"/>
      <w:szCs w:val="24"/>
    </w:rPr>
  </w:style>
  <w:style w:type="table" w:styleId="TableProfessional">
    <w:name w:val="Table Professional"/>
    <w:basedOn w:val="TableNormal"/>
    <w:rsid w:val="00233E32"/>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233E32"/>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233E32"/>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233E32"/>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233E32"/>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233E32"/>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233E32"/>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233E32"/>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233E32"/>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233E32"/>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a">
    <w:name w:val="Table(a)"/>
    <w:aliases w:val="ta"/>
    <w:rsid w:val="00233E32"/>
    <w:pPr>
      <w:spacing w:before="60"/>
      <w:ind w:left="284" w:hanging="284"/>
    </w:pPr>
    <w:rPr>
      <w:szCs w:val="24"/>
    </w:rPr>
  </w:style>
  <w:style w:type="paragraph" w:customStyle="1" w:styleId="Tablei">
    <w:name w:val="Table(i)"/>
    <w:aliases w:val="taa"/>
    <w:rsid w:val="00233E32"/>
    <w:pPr>
      <w:tabs>
        <w:tab w:val="left" w:pos="-6543"/>
        <w:tab w:val="left" w:pos="-6260"/>
        <w:tab w:val="right" w:pos="970"/>
      </w:tabs>
      <w:spacing w:line="240" w:lineRule="exact"/>
      <w:ind w:left="828" w:hanging="284"/>
    </w:pPr>
    <w:rPr>
      <w:szCs w:val="24"/>
    </w:rPr>
  </w:style>
  <w:style w:type="paragraph" w:customStyle="1" w:styleId="TableAA">
    <w:name w:val="Table(AA)"/>
    <w:aliases w:val="taaa"/>
    <w:basedOn w:val="Tablei"/>
    <w:rsid w:val="00233E32"/>
    <w:pPr>
      <w:tabs>
        <w:tab w:val="clear" w:pos="970"/>
      </w:tabs>
      <w:ind w:left="1055"/>
    </w:pPr>
  </w:style>
  <w:style w:type="paragraph" w:customStyle="1" w:styleId="TableColHead">
    <w:name w:val="TableColHead"/>
    <w:basedOn w:val="Normal"/>
    <w:rsid w:val="00233E32"/>
    <w:pPr>
      <w:keepNext/>
      <w:spacing w:before="120" w:after="60" w:line="200" w:lineRule="exact"/>
    </w:pPr>
    <w:rPr>
      <w:rFonts w:ascii="Arial" w:hAnsi="Arial"/>
      <w:b/>
      <w:sz w:val="18"/>
      <w:lang w:eastAsia="en-US"/>
    </w:rPr>
  </w:style>
  <w:style w:type="paragraph" w:customStyle="1" w:styleId="TableA0">
    <w:name w:val="TableA"/>
    <w:basedOn w:val="Normal"/>
    <w:rsid w:val="00233E32"/>
    <w:pPr>
      <w:spacing w:before="120" w:after="120"/>
    </w:pPr>
    <w:rPr>
      <w:rFonts w:ascii="Arial" w:hAnsi="Arial"/>
      <w:b/>
      <w:sz w:val="24"/>
    </w:rPr>
  </w:style>
  <w:style w:type="paragraph" w:customStyle="1" w:styleId="TableAHead">
    <w:name w:val="TableAHead"/>
    <w:basedOn w:val="TableA0"/>
    <w:rsid w:val="00233E32"/>
    <w:rPr>
      <w:sz w:val="22"/>
    </w:rPr>
  </w:style>
  <w:style w:type="paragraph" w:customStyle="1" w:styleId="TableAHeadItal">
    <w:name w:val="TableAHeadItal"/>
    <w:basedOn w:val="TableAHead"/>
    <w:rsid w:val="00233E32"/>
    <w:pPr>
      <w:ind w:left="709" w:hanging="709"/>
    </w:pPr>
    <w:rPr>
      <w:rFonts w:ascii="Times" w:hAnsi="Times"/>
      <w:b w:val="0"/>
      <w:i/>
    </w:rPr>
  </w:style>
  <w:style w:type="paragraph" w:customStyle="1" w:styleId="TableOfActs1">
    <w:name w:val="TableOfActs(1)"/>
    <w:basedOn w:val="Normal"/>
    <w:rsid w:val="00233E32"/>
    <w:pPr>
      <w:spacing w:before="60" w:line="180" w:lineRule="exact"/>
      <w:ind w:left="142" w:hanging="142"/>
    </w:pPr>
    <w:rPr>
      <w:rFonts w:ascii="Arial" w:hAnsi="Arial"/>
      <w:i/>
      <w:sz w:val="16"/>
    </w:rPr>
  </w:style>
  <w:style w:type="paragraph" w:customStyle="1" w:styleId="TableOfActs2">
    <w:name w:val="TableOfActs(2)"/>
    <w:basedOn w:val="TableOfActs1"/>
    <w:rsid w:val="00233E32"/>
    <w:pPr>
      <w:ind w:left="0" w:firstLine="0"/>
    </w:pPr>
    <w:rPr>
      <w:i w:val="0"/>
    </w:rPr>
  </w:style>
  <w:style w:type="paragraph" w:customStyle="1" w:styleId="TableOfActsHead">
    <w:name w:val="TableOfActsHead"/>
    <w:basedOn w:val="Normal"/>
    <w:rsid w:val="00233E32"/>
    <w:pPr>
      <w:spacing w:before="240" w:after="240"/>
    </w:pPr>
    <w:rPr>
      <w:rFonts w:ascii="Arial" w:hAnsi="Arial"/>
      <w:b/>
      <w:sz w:val="24"/>
    </w:rPr>
  </w:style>
  <w:style w:type="paragraph" w:customStyle="1" w:styleId="TableOfAmend0pt">
    <w:name w:val="TableOfAmend0pt"/>
    <w:basedOn w:val="TableOfAmend"/>
    <w:rsid w:val="00233E32"/>
    <w:pPr>
      <w:spacing w:before="0"/>
    </w:pPr>
  </w:style>
  <w:style w:type="paragraph" w:customStyle="1" w:styleId="TableOfAmendHead">
    <w:name w:val="TableOfAmendHead"/>
    <w:basedOn w:val="Normal"/>
    <w:rsid w:val="00233E32"/>
    <w:pPr>
      <w:tabs>
        <w:tab w:val="right" w:pos="1021"/>
      </w:tabs>
      <w:spacing w:before="240" w:after="240"/>
      <w:ind w:left="1134" w:hanging="1134"/>
    </w:pPr>
    <w:rPr>
      <w:rFonts w:ascii="Arial" w:hAnsi="Arial"/>
      <w:b/>
      <w:sz w:val="24"/>
    </w:rPr>
  </w:style>
  <w:style w:type="paragraph" w:customStyle="1" w:styleId="Tabletext">
    <w:name w:val="Tabletext"/>
    <w:aliases w:val="tt"/>
    <w:rsid w:val="00233E32"/>
    <w:pPr>
      <w:spacing w:before="60" w:line="240" w:lineRule="atLeast"/>
    </w:pPr>
    <w:rPr>
      <w:szCs w:val="24"/>
    </w:rPr>
  </w:style>
  <w:style w:type="character" w:customStyle="1" w:styleId="CharENotesHeading">
    <w:name w:val="CharENotesHeading"/>
    <w:basedOn w:val="DefaultParagraphFont"/>
    <w:rsid w:val="00233E32"/>
  </w:style>
  <w:style w:type="paragraph" w:styleId="Title">
    <w:name w:val="Title"/>
    <w:qFormat/>
    <w:rsid w:val="00233E32"/>
    <w:pPr>
      <w:spacing w:before="240" w:after="60"/>
      <w:jc w:val="center"/>
    </w:pPr>
    <w:rPr>
      <w:rFonts w:ascii="Arial" w:hAnsi="Arial" w:cs="Arial"/>
      <w:b/>
      <w:bCs/>
      <w:kern w:val="28"/>
      <w:sz w:val="32"/>
      <w:szCs w:val="32"/>
    </w:rPr>
  </w:style>
  <w:style w:type="paragraph" w:customStyle="1" w:styleId="TLPBoxTextnote">
    <w:name w:val="TLPBoxText(note"/>
    <w:aliases w:val="right)"/>
    <w:rsid w:val="00233E32"/>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szCs w:val="24"/>
    </w:rPr>
  </w:style>
  <w:style w:type="paragraph" w:customStyle="1" w:styleId="TLPLink">
    <w:name w:val="TLPLink"/>
    <w:basedOn w:val="Heading9"/>
    <w:rsid w:val="00233E32"/>
    <w:pPr>
      <w:keepLines w:val="0"/>
      <w:spacing w:before="360"/>
      <w:ind w:firstLine="0"/>
      <w:outlineLvl w:val="9"/>
    </w:pPr>
    <w:rPr>
      <w:b w:val="0"/>
      <w:kern w:val="0"/>
      <w:sz w:val="20"/>
    </w:rPr>
  </w:style>
  <w:style w:type="paragraph" w:customStyle="1" w:styleId="TLPNotebullet">
    <w:name w:val="TLPNote(bullet)"/>
    <w:rsid w:val="00233E32"/>
    <w:pPr>
      <w:numPr>
        <w:numId w:val="13"/>
      </w:numPr>
      <w:tabs>
        <w:tab w:val="clear" w:pos="2520"/>
        <w:tab w:val="left" w:pos="2160"/>
        <w:tab w:val="left" w:pos="2517"/>
      </w:tabs>
      <w:spacing w:before="60" w:line="198" w:lineRule="exact"/>
      <w:ind w:left="2625" w:hanging="357"/>
    </w:pPr>
    <w:rPr>
      <w:sz w:val="18"/>
    </w:rPr>
  </w:style>
  <w:style w:type="paragraph" w:customStyle="1" w:styleId="TLPnoteright">
    <w:name w:val="TLPnote(right)"/>
    <w:aliases w:val="nr"/>
    <w:rsid w:val="00233E32"/>
    <w:pPr>
      <w:spacing w:before="122" w:line="198" w:lineRule="exact"/>
      <w:ind w:left="1985" w:hanging="851"/>
      <w:jc w:val="right"/>
    </w:pPr>
    <w:rPr>
      <w:sz w:val="18"/>
      <w:szCs w:val="24"/>
    </w:rPr>
  </w:style>
  <w:style w:type="paragraph" w:customStyle="1" w:styleId="TLPTableBullet">
    <w:name w:val="TLPTableBullet"/>
    <w:aliases w:val="ttb"/>
    <w:rsid w:val="00233E32"/>
    <w:pPr>
      <w:spacing w:line="240" w:lineRule="exact"/>
      <w:ind w:left="284" w:hanging="284"/>
    </w:pPr>
    <w:rPr>
      <w:szCs w:val="24"/>
    </w:rPr>
  </w:style>
  <w:style w:type="paragraph" w:styleId="TOAHeading">
    <w:name w:val="toa heading"/>
    <w:next w:val="Normal"/>
    <w:rsid w:val="00233E32"/>
    <w:pPr>
      <w:spacing w:before="120"/>
    </w:pPr>
    <w:rPr>
      <w:rFonts w:ascii="Arial" w:hAnsi="Arial" w:cs="Arial"/>
      <w:b/>
      <w:bCs/>
      <w:sz w:val="24"/>
      <w:szCs w:val="24"/>
    </w:rPr>
  </w:style>
  <w:style w:type="paragraph" w:customStyle="1" w:styleId="TOAmRenumbered">
    <w:name w:val="TOAmRenumbered"/>
    <w:basedOn w:val="TableOfAmend"/>
    <w:rsid w:val="00233E32"/>
    <w:pPr>
      <w:ind w:left="0" w:firstLine="0"/>
    </w:pPr>
  </w:style>
  <w:style w:type="paragraph" w:styleId="TOC1">
    <w:name w:val="toc 1"/>
    <w:basedOn w:val="Heading1"/>
    <w:next w:val="Normal"/>
    <w:uiPriority w:val="39"/>
    <w:rsid w:val="00233E32"/>
    <w:pPr>
      <w:tabs>
        <w:tab w:val="right" w:pos="7088"/>
      </w:tabs>
      <w:spacing w:before="120"/>
      <w:ind w:left="1474" w:right="567" w:hanging="1474"/>
      <w:outlineLvl w:val="9"/>
    </w:pPr>
    <w:rPr>
      <w:sz w:val="28"/>
    </w:rPr>
  </w:style>
  <w:style w:type="paragraph" w:styleId="TOC2">
    <w:name w:val="toc 2"/>
    <w:basedOn w:val="Heading2"/>
    <w:next w:val="Normal"/>
    <w:uiPriority w:val="39"/>
    <w:rsid w:val="00233E32"/>
    <w:pPr>
      <w:tabs>
        <w:tab w:val="right" w:pos="7088"/>
      </w:tabs>
      <w:spacing w:before="120"/>
      <w:ind w:left="879" w:right="567" w:hanging="879"/>
      <w:outlineLvl w:val="9"/>
    </w:pPr>
    <w:rPr>
      <w:sz w:val="24"/>
    </w:rPr>
  </w:style>
  <w:style w:type="paragraph" w:styleId="TOC3">
    <w:name w:val="toc 3"/>
    <w:basedOn w:val="Heading3"/>
    <w:next w:val="Normal"/>
    <w:uiPriority w:val="39"/>
    <w:rsid w:val="00233E32"/>
    <w:pPr>
      <w:tabs>
        <w:tab w:val="right" w:pos="7088"/>
      </w:tabs>
      <w:spacing w:before="80"/>
      <w:ind w:left="1604" w:right="567" w:hanging="1179"/>
      <w:outlineLvl w:val="9"/>
    </w:pPr>
    <w:rPr>
      <w:sz w:val="22"/>
    </w:rPr>
  </w:style>
  <w:style w:type="paragraph" w:styleId="TOC4">
    <w:name w:val="toc 4"/>
    <w:basedOn w:val="Heading4"/>
    <w:next w:val="Normal"/>
    <w:uiPriority w:val="39"/>
    <w:rsid w:val="00233E32"/>
    <w:pPr>
      <w:keepNext w:val="0"/>
      <w:tabs>
        <w:tab w:val="right" w:pos="7088"/>
      </w:tabs>
      <w:spacing w:before="80"/>
      <w:ind w:left="2183" w:right="567" w:hanging="1332"/>
      <w:outlineLvl w:val="9"/>
    </w:pPr>
    <w:rPr>
      <w:sz w:val="20"/>
    </w:rPr>
  </w:style>
  <w:style w:type="paragraph" w:styleId="TOC5">
    <w:name w:val="toc 5"/>
    <w:basedOn w:val="Heading5"/>
    <w:next w:val="Normal"/>
    <w:uiPriority w:val="39"/>
    <w:rsid w:val="00233E32"/>
    <w:pPr>
      <w:keepNext w:val="0"/>
      <w:tabs>
        <w:tab w:val="right" w:leader="dot" w:pos="7088"/>
      </w:tabs>
      <w:spacing w:before="40"/>
      <w:ind w:left="2098" w:right="567" w:hanging="680"/>
      <w:outlineLvl w:val="9"/>
    </w:pPr>
    <w:rPr>
      <w:b w:val="0"/>
      <w:sz w:val="18"/>
    </w:rPr>
  </w:style>
  <w:style w:type="paragraph" w:styleId="TOC6">
    <w:name w:val="toc 6"/>
    <w:basedOn w:val="TOC1"/>
    <w:next w:val="Normal"/>
    <w:uiPriority w:val="39"/>
    <w:rsid w:val="00233E32"/>
    <w:pPr>
      <w:keepNext w:val="0"/>
      <w:ind w:left="0" w:firstLine="0"/>
    </w:pPr>
    <w:rPr>
      <w:sz w:val="24"/>
    </w:rPr>
  </w:style>
  <w:style w:type="paragraph" w:styleId="TOC7">
    <w:name w:val="toc 7"/>
    <w:basedOn w:val="TOC2"/>
    <w:next w:val="Normal"/>
    <w:uiPriority w:val="39"/>
    <w:rsid w:val="00233E32"/>
    <w:pPr>
      <w:keepNext w:val="0"/>
      <w:ind w:left="1253" w:hanging="828"/>
    </w:pPr>
    <w:rPr>
      <w:b w:val="0"/>
    </w:rPr>
  </w:style>
  <w:style w:type="paragraph" w:styleId="TOC8">
    <w:name w:val="toc 8"/>
    <w:basedOn w:val="TOC3"/>
    <w:next w:val="Normal"/>
    <w:uiPriority w:val="39"/>
    <w:rsid w:val="00233E32"/>
    <w:pPr>
      <w:keepNext w:val="0"/>
      <w:ind w:left="1900" w:hanging="1049"/>
    </w:pPr>
    <w:rPr>
      <w:b w:val="0"/>
      <w:sz w:val="20"/>
    </w:rPr>
  </w:style>
  <w:style w:type="paragraph" w:styleId="TOC9">
    <w:name w:val="toc 9"/>
    <w:basedOn w:val="Heading9"/>
    <w:next w:val="Normal"/>
    <w:uiPriority w:val="39"/>
    <w:rsid w:val="00233E32"/>
    <w:pPr>
      <w:tabs>
        <w:tab w:val="right" w:pos="7088"/>
      </w:tabs>
      <w:spacing w:before="80"/>
      <w:ind w:left="851" w:right="567" w:firstLine="0"/>
      <w:outlineLvl w:val="9"/>
    </w:pPr>
    <w:rPr>
      <w:b w:val="0"/>
      <w:sz w:val="20"/>
    </w:rPr>
  </w:style>
  <w:style w:type="paragraph" w:customStyle="1" w:styleId="TofSectsGroupHeading">
    <w:name w:val="TofSects(GroupHeading)"/>
    <w:basedOn w:val="TOC4"/>
    <w:next w:val="Normal"/>
    <w:rsid w:val="00233E32"/>
    <w:pPr>
      <w:tabs>
        <w:tab w:val="clear" w:pos="7088"/>
      </w:tabs>
      <w:spacing w:before="240" w:after="120"/>
      <w:ind w:left="794" w:right="0" w:firstLine="0"/>
    </w:pPr>
  </w:style>
  <w:style w:type="paragraph" w:customStyle="1" w:styleId="TofSectsHeading">
    <w:name w:val="TofSects(Heading)"/>
    <w:basedOn w:val="TOC5"/>
    <w:next w:val="Normal"/>
    <w:rsid w:val="00233E32"/>
    <w:pPr>
      <w:keepLines w:val="0"/>
      <w:tabs>
        <w:tab w:val="clear" w:pos="7088"/>
      </w:tabs>
      <w:spacing w:before="240" w:after="120"/>
      <w:ind w:left="0" w:right="0" w:firstLine="0"/>
    </w:pPr>
    <w:rPr>
      <w:b/>
      <w:kern w:val="0"/>
      <w:sz w:val="24"/>
    </w:rPr>
  </w:style>
  <w:style w:type="paragraph" w:customStyle="1" w:styleId="TofSectsSection">
    <w:name w:val="TofSects(Section)"/>
    <w:basedOn w:val="TOC5"/>
    <w:rsid w:val="00233E32"/>
    <w:pPr>
      <w:tabs>
        <w:tab w:val="clear" w:pos="7088"/>
      </w:tabs>
      <w:ind w:left="1588" w:right="0" w:hanging="794"/>
    </w:pPr>
  </w:style>
  <w:style w:type="paragraph" w:customStyle="1" w:styleId="TofSectsSubdiv">
    <w:name w:val="TofSects(Subdiv)"/>
    <w:basedOn w:val="TOC4"/>
    <w:rsid w:val="00233E32"/>
    <w:pPr>
      <w:tabs>
        <w:tab w:val="clear" w:pos="7088"/>
      </w:tabs>
      <w:ind w:left="1588" w:right="0" w:hanging="794"/>
    </w:pPr>
    <w:rPr>
      <w:b w:val="0"/>
      <w:sz w:val="22"/>
    </w:rPr>
  </w:style>
  <w:style w:type="paragraph" w:customStyle="1" w:styleId="ScalePlusRef">
    <w:name w:val="ScalePlusRef"/>
    <w:basedOn w:val="Normal"/>
    <w:rsid w:val="00233E32"/>
    <w:pPr>
      <w:spacing w:line="240" w:lineRule="auto"/>
    </w:pPr>
    <w:rPr>
      <w:sz w:val="18"/>
      <w:szCs w:val="20"/>
    </w:rPr>
  </w:style>
  <w:style w:type="paragraph" w:customStyle="1" w:styleId="TableENotesHeadingAmdt">
    <w:name w:val="TableENotesHeadingAmdt"/>
    <w:basedOn w:val="Normal"/>
    <w:next w:val="TableOfAmendHead"/>
    <w:rsid w:val="00233E32"/>
    <w:pPr>
      <w:pageBreakBefore/>
      <w:spacing w:before="240" w:after="240" w:line="300" w:lineRule="exact"/>
      <w:ind w:left="2410" w:hanging="2410"/>
    </w:pPr>
    <w:rPr>
      <w:rFonts w:ascii="Arial" w:hAnsi="Arial"/>
      <w:b/>
      <w:noProof/>
      <w:sz w:val="28"/>
    </w:rPr>
  </w:style>
  <w:style w:type="paragraph" w:customStyle="1" w:styleId="TLPboxbullet">
    <w:name w:val="TLPboxbullet"/>
    <w:basedOn w:val="Normal"/>
    <w:rsid w:val="00887330"/>
    <w:pPr>
      <w:pBdr>
        <w:top w:val="single" w:sz="6" w:space="5" w:color="auto"/>
        <w:left w:val="single" w:sz="6" w:space="5" w:color="auto"/>
        <w:bottom w:val="single" w:sz="6" w:space="5" w:color="auto"/>
        <w:right w:val="single" w:sz="6" w:space="5" w:color="auto"/>
      </w:pBdr>
      <w:tabs>
        <w:tab w:val="right" w:pos="1531"/>
        <w:tab w:val="left" w:pos="2268"/>
        <w:tab w:val="left" w:pos="3402"/>
        <w:tab w:val="left" w:pos="4536"/>
        <w:tab w:val="left" w:pos="5670"/>
        <w:tab w:val="left" w:pos="6804"/>
      </w:tabs>
      <w:spacing w:before="120"/>
      <w:ind w:left="1673" w:hanging="539"/>
    </w:pPr>
    <w:rPr>
      <w:szCs w:val="20"/>
    </w:rPr>
  </w:style>
  <w:style w:type="character" w:customStyle="1" w:styleId="EndNoteChar">
    <w:name w:val="EndNote Char"/>
    <w:basedOn w:val="DefaultParagraphFont"/>
    <w:link w:val="EndNote"/>
    <w:rsid w:val="00233E32"/>
    <w:rPr>
      <w:sz w:val="22"/>
      <w:szCs w:val="24"/>
    </w:rPr>
  </w:style>
  <w:style w:type="paragraph" w:customStyle="1" w:styleId="headerpartodd">
    <w:name w:val="header.part.odd"/>
    <w:basedOn w:val="Normal"/>
    <w:rsid w:val="00233E32"/>
    <w:pPr>
      <w:keepNext/>
    </w:pPr>
    <w:rPr>
      <w:rFonts w:ascii="Times" w:hAnsi="Times"/>
      <w:sz w:val="20"/>
      <w:szCs w:val="20"/>
    </w:rPr>
  </w:style>
  <w:style w:type="character" w:customStyle="1" w:styleId="subsectionChar">
    <w:name w:val="subsection Char"/>
    <w:aliases w:val="ss Char"/>
    <w:basedOn w:val="DefaultParagraphFont"/>
    <w:link w:val="subsection"/>
    <w:rsid w:val="005B741A"/>
    <w:rPr>
      <w:sz w:val="22"/>
      <w:szCs w:val="24"/>
      <w:lang w:val="en-AU" w:eastAsia="en-AU" w:bidi="ar-SA"/>
    </w:rPr>
  </w:style>
  <w:style w:type="paragraph" w:customStyle="1" w:styleId="noteToPara">
    <w:name w:val="noteToPara"/>
    <w:aliases w:val="ntp"/>
    <w:basedOn w:val="Normal"/>
    <w:rsid w:val="009C78EE"/>
    <w:pPr>
      <w:spacing w:before="122" w:line="198" w:lineRule="exact"/>
      <w:ind w:left="2353" w:hanging="709"/>
    </w:pPr>
    <w:rPr>
      <w:sz w:val="18"/>
      <w:szCs w:val="20"/>
    </w:rPr>
  </w:style>
  <w:style w:type="character" w:customStyle="1" w:styleId="HeaderChar">
    <w:name w:val="Header Char"/>
    <w:basedOn w:val="DefaultParagraphFont"/>
    <w:link w:val="Header"/>
    <w:rsid w:val="00AC0C7C"/>
    <w:rPr>
      <w:sz w:val="16"/>
      <w:szCs w:val="24"/>
      <w:lang w:val="en-AU" w:eastAsia="en-AU" w:bidi="ar-SA"/>
    </w:rPr>
  </w:style>
  <w:style w:type="paragraph" w:customStyle="1" w:styleId="Headerpartodd0">
    <w:name w:val="Header.part.odd"/>
    <w:basedOn w:val="Normal"/>
    <w:rsid w:val="00233E32"/>
    <w:pPr>
      <w:keepNext/>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7.xml"/><Relationship Id="rId39" Type="http://schemas.openxmlformats.org/officeDocument/2006/relationships/image" Target="media/image8.emf"/><Relationship Id="rId21" Type="http://schemas.openxmlformats.org/officeDocument/2006/relationships/image" Target="media/image2.emf"/><Relationship Id="rId34" Type="http://schemas.openxmlformats.org/officeDocument/2006/relationships/footer" Target="footer11.xml"/><Relationship Id="rId42" Type="http://schemas.openxmlformats.org/officeDocument/2006/relationships/header" Target="header13.xml"/><Relationship Id="rId47" Type="http://schemas.openxmlformats.org/officeDocument/2006/relationships/footer" Target="footer14.xml"/><Relationship Id="rId50" Type="http://schemas.openxmlformats.org/officeDocument/2006/relationships/footer" Target="footer15.xml"/><Relationship Id="rId55" Type="http://schemas.openxmlformats.org/officeDocument/2006/relationships/image" Target="media/image12.emf"/><Relationship Id="rId63" Type="http://schemas.openxmlformats.org/officeDocument/2006/relationships/image" Target="media/image20.emf"/><Relationship Id="rId68" Type="http://schemas.openxmlformats.org/officeDocument/2006/relationships/image" Target="media/image25.emf"/><Relationship Id="rId76" Type="http://schemas.openxmlformats.org/officeDocument/2006/relationships/footer" Target="footer19.xml"/><Relationship Id="rId84" Type="http://schemas.openxmlformats.org/officeDocument/2006/relationships/footer" Target="footer23.xml"/><Relationship Id="rId7" Type="http://schemas.openxmlformats.org/officeDocument/2006/relationships/footnotes" Target="footnotes.xml"/><Relationship Id="rId71" Type="http://schemas.openxmlformats.org/officeDocument/2006/relationships/image" Target="media/image28.emf"/><Relationship Id="rId2" Type="http://schemas.openxmlformats.org/officeDocument/2006/relationships/numbering" Target="numbering.xml"/><Relationship Id="rId16" Type="http://schemas.openxmlformats.org/officeDocument/2006/relationships/header" Target="header4.xml"/><Relationship Id="rId29" Type="http://schemas.openxmlformats.org/officeDocument/2006/relationships/header" Target="header10.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footer" Target="footer10.xml"/><Relationship Id="rId37" Type="http://schemas.openxmlformats.org/officeDocument/2006/relationships/image" Target="media/image6.wmf"/><Relationship Id="rId40" Type="http://schemas.openxmlformats.org/officeDocument/2006/relationships/image" Target="media/image9.emf"/><Relationship Id="rId45" Type="http://schemas.openxmlformats.org/officeDocument/2006/relationships/footer" Target="footer13.xml"/><Relationship Id="rId53" Type="http://schemas.openxmlformats.org/officeDocument/2006/relationships/footer" Target="footer17.xml"/><Relationship Id="rId58" Type="http://schemas.openxmlformats.org/officeDocument/2006/relationships/image" Target="media/image15.emf"/><Relationship Id="rId66" Type="http://schemas.openxmlformats.org/officeDocument/2006/relationships/image" Target="media/image23.emf"/><Relationship Id="rId74" Type="http://schemas.openxmlformats.org/officeDocument/2006/relationships/header" Target="header20.xml"/><Relationship Id="rId79" Type="http://schemas.openxmlformats.org/officeDocument/2006/relationships/header" Target="header22.xml"/><Relationship Id="rId5" Type="http://schemas.openxmlformats.org/officeDocument/2006/relationships/settings" Target="settings.xml"/><Relationship Id="rId61" Type="http://schemas.openxmlformats.org/officeDocument/2006/relationships/image" Target="media/image18.emf"/><Relationship Id="rId82" Type="http://schemas.openxmlformats.org/officeDocument/2006/relationships/footer" Target="footer2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3.emf"/><Relationship Id="rId27" Type="http://schemas.openxmlformats.org/officeDocument/2006/relationships/header" Target="header9.xml"/><Relationship Id="rId30" Type="http://schemas.openxmlformats.org/officeDocument/2006/relationships/header" Target="header11.xml"/><Relationship Id="rId35" Type="http://schemas.openxmlformats.org/officeDocument/2006/relationships/image" Target="media/image4.emf"/><Relationship Id="rId43" Type="http://schemas.openxmlformats.org/officeDocument/2006/relationships/header" Target="header14.xml"/><Relationship Id="rId48" Type="http://schemas.openxmlformats.org/officeDocument/2006/relationships/header" Target="header16.xml"/><Relationship Id="rId56" Type="http://schemas.openxmlformats.org/officeDocument/2006/relationships/image" Target="media/image13.emf"/><Relationship Id="rId64" Type="http://schemas.openxmlformats.org/officeDocument/2006/relationships/image" Target="media/image21.emf"/><Relationship Id="rId69" Type="http://schemas.openxmlformats.org/officeDocument/2006/relationships/image" Target="media/image26.emf"/><Relationship Id="rId77" Type="http://schemas.openxmlformats.org/officeDocument/2006/relationships/header" Target="header21.xml"/><Relationship Id="rId8" Type="http://schemas.openxmlformats.org/officeDocument/2006/relationships/endnotes" Target="endnotes.xml"/><Relationship Id="rId51" Type="http://schemas.openxmlformats.org/officeDocument/2006/relationships/footer" Target="footer16.xml"/><Relationship Id="rId72" Type="http://schemas.openxmlformats.org/officeDocument/2006/relationships/image" Target="media/image29.emf"/><Relationship Id="rId80" Type="http://schemas.openxmlformats.org/officeDocument/2006/relationships/header" Target="header23.xml"/><Relationship Id="rId85"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6.xml"/><Relationship Id="rId33" Type="http://schemas.openxmlformats.org/officeDocument/2006/relationships/header" Target="header12.xml"/><Relationship Id="rId38" Type="http://schemas.openxmlformats.org/officeDocument/2006/relationships/image" Target="media/image7.emf"/><Relationship Id="rId46" Type="http://schemas.openxmlformats.org/officeDocument/2006/relationships/header" Target="header15.xml"/><Relationship Id="rId59" Type="http://schemas.openxmlformats.org/officeDocument/2006/relationships/image" Target="media/image16.emf"/><Relationship Id="rId67" Type="http://schemas.openxmlformats.org/officeDocument/2006/relationships/image" Target="media/image24.emf"/><Relationship Id="rId20" Type="http://schemas.openxmlformats.org/officeDocument/2006/relationships/footer" Target="footer5.xml"/><Relationship Id="rId41" Type="http://schemas.openxmlformats.org/officeDocument/2006/relationships/image" Target="media/image10.emf"/><Relationship Id="rId54" Type="http://schemas.openxmlformats.org/officeDocument/2006/relationships/image" Target="media/image11.emf"/><Relationship Id="rId62" Type="http://schemas.openxmlformats.org/officeDocument/2006/relationships/image" Target="media/image19.emf"/><Relationship Id="rId70" Type="http://schemas.openxmlformats.org/officeDocument/2006/relationships/image" Target="media/image27.emf"/><Relationship Id="rId75" Type="http://schemas.openxmlformats.org/officeDocument/2006/relationships/footer" Target="footer18.xml"/><Relationship Id="rId83" Type="http://schemas.openxmlformats.org/officeDocument/2006/relationships/header" Target="header24.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footer" Target="footer8.xml"/><Relationship Id="rId36" Type="http://schemas.openxmlformats.org/officeDocument/2006/relationships/image" Target="media/image5.wmf"/><Relationship Id="rId49" Type="http://schemas.openxmlformats.org/officeDocument/2006/relationships/header" Target="header17.xml"/><Relationship Id="rId57" Type="http://schemas.openxmlformats.org/officeDocument/2006/relationships/image" Target="media/image14.emf"/><Relationship Id="rId10" Type="http://schemas.openxmlformats.org/officeDocument/2006/relationships/header" Target="header1.xml"/><Relationship Id="rId31" Type="http://schemas.openxmlformats.org/officeDocument/2006/relationships/footer" Target="footer9.xml"/><Relationship Id="rId44" Type="http://schemas.openxmlformats.org/officeDocument/2006/relationships/footer" Target="footer12.xml"/><Relationship Id="rId52" Type="http://schemas.openxmlformats.org/officeDocument/2006/relationships/header" Target="header18.xml"/><Relationship Id="rId60" Type="http://schemas.openxmlformats.org/officeDocument/2006/relationships/image" Target="media/image17.emf"/><Relationship Id="rId65" Type="http://schemas.openxmlformats.org/officeDocument/2006/relationships/image" Target="media/image22.emf"/><Relationship Id="rId73" Type="http://schemas.openxmlformats.org/officeDocument/2006/relationships/header" Target="header19.xml"/><Relationship Id="rId78" Type="http://schemas.openxmlformats.org/officeDocument/2006/relationships/footer" Target="footer20.xml"/><Relationship Id="rId81" Type="http://schemas.openxmlformats.org/officeDocument/2006/relationships/footer" Target="footer21.xml"/><Relationship Id="rId86" Type="http://schemas.openxmlformats.org/officeDocument/2006/relationships/theme" Target="theme/theme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Act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C46E95-6338-43E7-A45F-52474D0A9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ConsolAct_new.DOTX</Template>
  <TotalTime>0</TotalTime>
  <Pages>646</Pages>
  <Words>165775</Words>
  <Characters>849305</Characters>
  <Application>Microsoft Office Word</Application>
  <DocSecurity>0</DocSecurity>
  <PresentationFormat/>
  <Lines>22350</Lines>
  <Paragraphs>14927</Paragraphs>
  <ScaleCrop>false</ScaleCrop>
  <HeadingPairs>
    <vt:vector size="2" baseType="variant">
      <vt:variant>
        <vt:lpstr>Title</vt:lpstr>
      </vt:variant>
      <vt:variant>
        <vt:i4>1</vt:i4>
      </vt:variant>
    </vt:vector>
  </HeadingPairs>
  <TitlesOfParts>
    <vt:vector size="1" baseType="lpstr">
      <vt:lpstr>Income Tax Assessment Act 1997</vt:lpstr>
    </vt:vector>
  </TitlesOfParts>
  <Manager/>
  <Company/>
  <LinksUpToDate>false</LinksUpToDate>
  <CharactersWithSpaces>1000153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Income Tax Assessment Act 1997</dc:title>
  <dc:subject/>
  <dc:creator/>
  <cp:keywords/>
  <dc:description/>
  <cp:lastModifiedBy/>
  <cp:revision>1</cp:revision>
  <cp:lastPrinted>2012-10-25T05:12:00Z</cp:lastPrinted>
  <dcterms:created xsi:type="dcterms:W3CDTF">2016-07-25T04:05:00Z</dcterms:created>
  <dcterms:modified xsi:type="dcterms:W3CDTF">2017-02-02T02:57:00Z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Converted">
    <vt:bool>false</vt:bool>
  </property>
  <property fmtid="{D5CDD505-2E9C-101B-9397-08002B2CF9AE}" pid="4" name="Classification">
    <vt:lpwstr>UNCLASSIFIED</vt:lpwstr>
  </property>
  <property fmtid="{D5CDD505-2E9C-101B-9397-08002B2CF9AE}" pid="5" name="DLM">
    <vt:lpwstr>No DLM</vt:lpwstr>
  </property>
  <property fmtid="{D5CDD505-2E9C-101B-9397-08002B2CF9AE}" pid="6" name="ShortT">
    <vt:lpwstr>Income Tax Assessment Act 1997</vt:lpwstr>
  </property>
  <property fmtid="{D5CDD505-2E9C-101B-9397-08002B2CF9AE}" pid="7" name="Compilation">
    <vt:lpwstr>Yes</vt:lpwstr>
  </property>
  <property fmtid="{D5CDD505-2E9C-101B-9397-08002B2CF9AE}" pid="8" name="Type">
    <vt:lpwstr>BILL</vt:lpwstr>
  </property>
  <property fmtid="{D5CDD505-2E9C-101B-9397-08002B2CF9AE}" pid="9" name="DocType">
    <vt:lpwstr>NEW</vt:lpwstr>
  </property>
</Properties>
</file>