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16659" w14:textId="181961A2" w:rsidR="001F5C59" w:rsidRDefault="00F43104" w:rsidP="00662AB0">
      <w:pPr>
        <w:spacing w:before="960"/>
        <w:rPr>
          <w:rFonts w:ascii="Times New Roman" w:hAnsi="Times New Roman" w:cs="Times New Roman"/>
          <w:sz w:val="22"/>
          <w:szCs w:val="22"/>
        </w:rPr>
      </w:pPr>
      <w:r>
        <w:rPr>
          <w:rFonts w:ascii="Times New Roman" w:hAnsi="Times New Roman" w:cs="Times New Roman"/>
          <w:sz w:val="22"/>
          <w:szCs w:val="22"/>
        </w:rPr>
        <w:pict w14:anchorId="3F81E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85pt;height:81.8pt">
            <v:imagedata r:id="rId8" o:title=""/>
          </v:shape>
        </w:pict>
      </w:r>
    </w:p>
    <w:p w14:paraId="0EE01E1B" w14:textId="77777777" w:rsidR="00AA0F93" w:rsidRPr="003E7A8B" w:rsidRDefault="009D31F6" w:rsidP="003E7A8B">
      <w:pPr>
        <w:pStyle w:val="Bodytext20"/>
        <w:spacing w:before="960" w:line="240" w:lineRule="auto"/>
        <w:rPr>
          <w:sz w:val="36"/>
          <w:szCs w:val="36"/>
        </w:rPr>
      </w:pPr>
      <w:r w:rsidRPr="005C557C">
        <w:rPr>
          <w:sz w:val="36"/>
          <w:szCs w:val="36"/>
        </w:rPr>
        <w:t xml:space="preserve">Australian Law Reform Commission (Repeal, Transitional </w:t>
      </w:r>
      <w:r w:rsidR="005C557C" w:rsidRPr="005C557C">
        <w:rPr>
          <w:sz w:val="36"/>
          <w:szCs w:val="36"/>
        </w:rPr>
        <w:t>and Miscellaneous) Act 1996</w:t>
      </w:r>
    </w:p>
    <w:p w14:paraId="46EFA702" w14:textId="3E3AF718" w:rsidR="001F5C59" w:rsidRPr="003E7A8B" w:rsidRDefault="005C557C" w:rsidP="003E7A8B">
      <w:pPr>
        <w:pStyle w:val="Bodytext20"/>
        <w:spacing w:before="960" w:line="240" w:lineRule="auto"/>
        <w:rPr>
          <w:sz w:val="22"/>
          <w:szCs w:val="22"/>
        </w:rPr>
      </w:pPr>
      <w:r w:rsidRPr="00F43104">
        <w:rPr>
          <w:sz w:val="36"/>
          <w:szCs w:val="22"/>
        </w:rPr>
        <w:t>No.</w:t>
      </w:r>
      <w:r w:rsidR="002C675B" w:rsidRPr="00F43104">
        <w:rPr>
          <w:sz w:val="36"/>
          <w:szCs w:val="22"/>
        </w:rPr>
        <w:t xml:space="preserve"> </w:t>
      </w:r>
      <w:r w:rsidR="009D31F6" w:rsidRPr="00F43104">
        <w:rPr>
          <w:sz w:val="36"/>
          <w:szCs w:val="22"/>
        </w:rPr>
        <w:t>38,</w:t>
      </w:r>
      <w:r w:rsidR="002C675B" w:rsidRPr="00F43104">
        <w:rPr>
          <w:sz w:val="36"/>
          <w:szCs w:val="22"/>
        </w:rPr>
        <w:t xml:space="preserve"> </w:t>
      </w:r>
      <w:r w:rsidR="009D31F6" w:rsidRPr="00F43104">
        <w:rPr>
          <w:sz w:val="36"/>
          <w:szCs w:val="22"/>
        </w:rPr>
        <w:t>1996</w:t>
      </w:r>
    </w:p>
    <w:p w14:paraId="72E6D037" w14:textId="77777777" w:rsidR="001F5C59" w:rsidRDefault="009D31F6" w:rsidP="00120795">
      <w:pPr>
        <w:pStyle w:val="Bodytext30"/>
        <w:spacing w:before="960" w:line="240" w:lineRule="auto"/>
        <w:rPr>
          <w:sz w:val="26"/>
          <w:szCs w:val="26"/>
        </w:rPr>
      </w:pPr>
      <w:r w:rsidRPr="003E7A8B">
        <w:rPr>
          <w:sz w:val="26"/>
          <w:szCs w:val="26"/>
        </w:rPr>
        <w:t xml:space="preserve">An Act to repeal the </w:t>
      </w:r>
      <w:r w:rsidRPr="003E7A8B">
        <w:rPr>
          <w:rStyle w:val="Bodytext3Italic"/>
          <w:b/>
          <w:bCs/>
          <w:sz w:val="26"/>
          <w:szCs w:val="26"/>
        </w:rPr>
        <w:t>Law Reform Commission Act 1973</w:t>
      </w:r>
      <w:r w:rsidRPr="003E7A8B">
        <w:rPr>
          <w:sz w:val="26"/>
          <w:szCs w:val="26"/>
        </w:rPr>
        <w:t xml:space="preserve"> and to deal with transitional and consequential matters arising from the repeal of that Act and the enactment of the </w:t>
      </w:r>
      <w:r w:rsidRPr="003E7A8B">
        <w:rPr>
          <w:rStyle w:val="Bodytext3Italic"/>
          <w:b/>
          <w:bCs/>
          <w:sz w:val="26"/>
          <w:szCs w:val="26"/>
        </w:rPr>
        <w:t>Australian Law Reform Commission Act 1996</w:t>
      </w:r>
      <w:r w:rsidRPr="003E7A8B">
        <w:rPr>
          <w:sz w:val="26"/>
          <w:szCs w:val="26"/>
        </w:rPr>
        <w:t>, and for related purposes</w:t>
      </w:r>
    </w:p>
    <w:p w14:paraId="1BCEBBAE" w14:textId="77777777" w:rsidR="00C4307E" w:rsidRDefault="00C4307E">
      <w:pPr>
        <w:rPr>
          <w:sz w:val="26"/>
          <w:szCs w:val="26"/>
        </w:rPr>
        <w:sectPr w:rsidR="00C4307E" w:rsidSect="00272BF2">
          <w:footerReference w:type="even" r:id="rId9"/>
          <w:footerReference w:type="default" r:id="rId10"/>
          <w:pgSz w:w="12240" w:h="15840" w:code="1"/>
          <w:pgMar w:top="1440" w:right="1440" w:bottom="1440" w:left="1440" w:header="0" w:footer="480"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900"/>
        <w:gridCol w:w="7020"/>
        <w:gridCol w:w="432"/>
      </w:tblGrid>
      <w:tr w:rsidR="001F5C59" w:rsidRPr="00850BC1" w14:paraId="694FBFED" w14:textId="77777777" w:rsidTr="004D6827">
        <w:trPr>
          <w:trHeight w:val="523"/>
        </w:trPr>
        <w:tc>
          <w:tcPr>
            <w:tcW w:w="1900" w:type="dxa"/>
            <w:tcBorders>
              <w:top w:val="single" w:sz="4" w:space="0" w:color="auto"/>
            </w:tcBorders>
            <w:vAlign w:val="bottom"/>
          </w:tcPr>
          <w:p w14:paraId="6502B2B0" w14:textId="5A8CA5F9" w:rsidR="001F5C59" w:rsidRPr="00662AB0" w:rsidRDefault="009D31F6" w:rsidP="00F43104">
            <w:pPr>
              <w:pStyle w:val="BodyText21"/>
              <w:spacing w:line="240" w:lineRule="auto"/>
              <w:ind w:firstLine="0"/>
              <w:rPr>
                <w:b/>
                <w:bCs/>
                <w:sz w:val="22"/>
                <w:szCs w:val="22"/>
              </w:rPr>
            </w:pPr>
            <w:r w:rsidRPr="00F43104">
              <w:rPr>
                <w:rStyle w:val="Bodytext85pt"/>
                <w:bCs/>
                <w:sz w:val="32"/>
                <w:szCs w:val="22"/>
              </w:rPr>
              <w:lastRenderedPageBreak/>
              <w:t>Contents</w:t>
            </w:r>
          </w:p>
        </w:tc>
        <w:tc>
          <w:tcPr>
            <w:tcW w:w="7020" w:type="dxa"/>
            <w:tcBorders>
              <w:top w:val="single" w:sz="4" w:space="0" w:color="auto"/>
            </w:tcBorders>
            <w:vAlign w:val="bottom"/>
          </w:tcPr>
          <w:p w14:paraId="338DF7C9" w14:textId="77777777" w:rsidR="001F5C59" w:rsidRPr="00850BC1" w:rsidRDefault="001F5C59" w:rsidP="00120795">
            <w:pPr>
              <w:jc w:val="center"/>
              <w:rPr>
                <w:rFonts w:ascii="Times New Roman" w:hAnsi="Times New Roman" w:cs="Times New Roman"/>
                <w:sz w:val="22"/>
                <w:szCs w:val="22"/>
              </w:rPr>
            </w:pPr>
          </w:p>
        </w:tc>
        <w:tc>
          <w:tcPr>
            <w:tcW w:w="432" w:type="dxa"/>
            <w:tcBorders>
              <w:top w:val="single" w:sz="4" w:space="0" w:color="auto"/>
            </w:tcBorders>
            <w:vAlign w:val="bottom"/>
          </w:tcPr>
          <w:p w14:paraId="6867986F" w14:textId="77777777" w:rsidR="001F5C59" w:rsidRPr="00850BC1" w:rsidRDefault="001F5C59" w:rsidP="00120795">
            <w:pPr>
              <w:jc w:val="center"/>
              <w:rPr>
                <w:rFonts w:ascii="Times New Roman" w:hAnsi="Times New Roman" w:cs="Times New Roman"/>
                <w:sz w:val="22"/>
                <w:szCs w:val="22"/>
              </w:rPr>
            </w:pPr>
          </w:p>
        </w:tc>
      </w:tr>
      <w:tr w:rsidR="001F5C59" w:rsidRPr="00850BC1" w14:paraId="25E7C042" w14:textId="77777777" w:rsidTr="00063360">
        <w:trPr>
          <w:trHeight w:val="600"/>
        </w:trPr>
        <w:tc>
          <w:tcPr>
            <w:tcW w:w="8920" w:type="dxa"/>
            <w:gridSpan w:val="2"/>
            <w:vAlign w:val="bottom"/>
          </w:tcPr>
          <w:p w14:paraId="3382CCA0" w14:textId="77777777" w:rsidR="001F5C59" w:rsidRPr="00850BC1" w:rsidRDefault="009D31F6" w:rsidP="00AA0F93">
            <w:pPr>
              <w:pStyle w:val="BodyText21"/>
              <w:spacing w:line="240" w:lineRule="auto"/>
              <w:ind w:firstLine="0"/>
              <w:rPr>
                <w:sz w:val="22"/>
                <w:szCs w:val="22"/>
              </w:rPr>
            </w:pPr>
            <w:r w:rsidRPr="00850BC1">
              <w:rPr>
                <w:rStyle w:val="Bodytext115pt"/>
                <w:sz w:val="22"/>
                <w:szCs w:val="22"/>
              </w:rPr>
              <w:t>Part 1</w:t>
            </w:r>
            <w:r w:rsidRPr="00850BC1">
              <w:rPr>
                <w:rStyle w:val="Bodytext85pt"/>
                <w:sz w:val="22"/>
                <w:szCs w:val="22"/>
              </w:rPr>
              <w:t>—</w:t>
            </w:r>
            <w:r w:rsidRPr="00850BC1">
              <w:rPr>
                <w:rStyle w:val="Bodytext115pt"/>
                <w:sz w:val="22"/>
                <w:szCs w:val="22"/>
              </w:rPr>
              <w:t>Preliminary</w:t>
            </w:r>
          </w:p>
        </w:tc>
        <w:tc>
          <w:tcPr>
            <w:tcW w:w="432" w:type="dxa"/>
            <w:vAlign w:val="bottom"/>
          </w:tcPr>
          <w:p w14:paraId="3BF0F4AF" w14:textId="7432D40B" w:rsidR="001F5C59" w:rsidRPr="00F43104" w:rsidRDefault="009D31F6" w:rsidP="00F43104">
            <w:pPr>
              <w:pStyle w:val="BodyText21"/>
              <w:spacing w:line="240" w:lineRule="auto"/>
              <w:ind w:firstLine="0"/>
              <w:jc w:val="right"/>
            </w:pPr>
            <w:r w:rsidRPr="00F43104">
              <w:rPr>
                <w:rStyle w:val="Bodytext85pt"/>
                <w:sz w:val="20"/>
                <w:szCs w:val="20"/>
              </w:rPr>
              <w:t>974</w:t>
            </w:r>
          </w:p>
        </w:tc>
      </w:tr>
      <w:tr w:rsidR="001F5C59" w:rsidRPr="00850BC1" w14:paraId="6DAFF7C7" w14:textId="77777777" w:rsidTr="004143F6">
        <w:trPr>
          <w:trHeight w:val="346"/>
        </w:trPr>
        <w:tc>
          <w:tcPr>
            <w:tcW w:w="1900" w:type="dxa"/>
            <w:vAlign w:val="bottom"/>
          </w:tcPr>
          <w:p w14:paraId="46C75FEB" w14:textId="3E60433A" w:rsidR="001F5C59" w:rsidRPr="00F43104" w:rsidRDefault="009D31F6" w:rsidP="00F43104">
            <w:pPr>
              <w:pStyle w:val="BodyText21"/>
              <w:spacing w:line="240" w:lineRule="auto"/>
              <w:ind w:left="1060" w:firstLine="0"/>
            </w:pPr>
            <w:r w:rsidRPr="00F43104">
              <w:t>l</w:t>
            </w:r>
          </w:p>
        </w:tc>
        <w:tc>
          <w:tcPr>
            <w:tcW w:w="7020" w:type="dxa"/>
            <w:vAlign w:val="bottom"/>
          </w:tcPr>
          <w:p w14:paraId="69B7A032" w14:textId="77777777" w:rsidR="001F5C59" w:rsidRPr="00F43104" w:rsidRDefault="009D31F6" w:rsidP="00662AB0">
            <w:pPr>
              <w:pStyle w:val="BodyText21"/>
              <w:tabs>
                <w:tab w:val="left" w:leader="dot" w:pos="6947"/>
              </w:tabs>
              <w:spacing w:line="240" w:lineRule="auto"/>
              <w:ind w:firstLine="0"/>
            </w:pPr>
            <w:r w:rsidRPr="00F43104">
              <w:t>Short title</w:t>
            </w:r>
            <w:r w:rsidR="00063360" w:rsidRPr="00F43104">
              <w:tab/>
            </w:r>
          </w:p>
        </w:tc>
        <w:tc>
          <w:tcPr>
            <w:tcW w:w="432" w:type="dxa"/>
            <w:vAlign w:val="bottom"/>
          </w:tcPr>
          <w:p w14:paraId="44899899" w14:textId="77777777" w:rsidR="001F5C59" w:rsidRPr="00F43104" w:rsidRDefault="009D31F6" w:rsidP="00AA0F93">
            <w:pPr>
              <w:pStyle w:val="BodyText21"/>
              <w:spacing w:line="240" w:lineRule="auto"/>
              <w:ind w:firstLine="0"/>
              <w:jc w:val="right"/>
            </w:pPr>
            <w:r w:rsidRPr="00F43104">
              <w:rPr>
                <w:rStyle w:val="Bodytext85pt"/>
                <w:sz w:val="20"/>
                <w:szCs w:val="20"/>
              </w:rPr>
              <w:t>974</w:t>
            </w:r>
          </w:p>
        </w:tc>
      </w:tr>
      <w:tr w:rsidR="001F5C59" w:rsidRPr="00850BC1" w14:paraId="1C327A3C" w14:textId="77777777" w:rsidTr="004143F6">
        <w:trPr>
          <w:trHeight w:val="245"/>
        </w:trPr>
        <w:tc>
          <w:tcPr>
            <w:tcW w:w="1900" w:type="dxa"/>
            <w:vAlign w:val="bottom"/>
          </w:tcPr>
          <w:p w14:paraId="12C1711A" w14:textId="77777777" w:rsidR="001F5C59" w:rsidRPr="00F43104" w:rsidRDefault="009D31F6" w:rsidP="00662AB0">
            <w:pPr>
              <w:pStyle w:val="BodyText21"/>
              <w:spacing w:line="240" w:lineRule="auto"/>
              <w:ind w:left="1060" w:firstLine="0"/>
            </w:pPr>
            <w:r w:rsidRPr="00F43104">
              <w:t>2</w:t>
            </w:r>
          </w:p>
        </w:tc>
        <w:tc>
          <w:tcPr>
            <w:tcW w:w="7020" w:type="dxa"/>
            <w:vAlign w:val="bottom"/>
          </w:tcPr>
          <w:p w14:paraId="221CA3D3" w14:textId="77777777" w:rsidR="001F5C59" w:rsidRPr="00F43104" w:rsidRDefault="009D31F6" w:rsidP="00662AB0">
            <w:pPr>
              <w:pStyle w:val="BodyText21"/>
              <w:tabs>
                <w:tab w:val="left" w:leader="dot" w:pos="6947"/>
              </w:tabs>
              <w:spacing w:line="240" w:lineRule="auto"/>
              <w:ind w:firstLine="0"/>
            </w:pPr>
            <w:r w:rsidRPr="00F43104">
              <w:t>Commencement</w:t>
            </w:r>
            <w:r w:rsidR="00063360" w:rsidRPr="00F43104">
              <w:tab/>
            </w:r>
          </w:p>
        </w:tc>
        <w:tc>
          <w:tcPr>
            <w:tcW w:w="432" w:type="dxa"/>
            <w:vAlign w:val="bottom"/>
          </w:tcPr>
          <w:p w14:paraId="3FC5A407" w14:textId="77777777" w:rsidR="001F5C59" w:rsidRPr="00F43104" w:rsidRDefault="009D31F6" w:rsidP="00AA0F93">
            <w:pPr>
              <w:pStyle w:val="BodyText21"/>
              <w:spacing w:line="240" w:lineRule="auto"/>
              <w:ind w:firstLine="0"/>
              <w:jc w:val="right"/>
            </w:pPr>
            <w:r w:rsidRPr="00F43104">
              <w:rPr>
                <w:rStyle w:val="Bodytext85pt"/>
                <w:sz w:val="20"/>
                <w:szCs w:val="20"/>
              </w:rPr>
              <w:t>974</w:t>
            </w:r>
          </w:p>
        </w:tc>
      </w:tr>
      <w:tr w:rsidR="001F5C59" w:rsidRPr="00850BC1" w14:paraId="14C5F7F8" w14:textId="77777777" w:rsidTr="004143F6">
        <w:trPr>
          <w:trHeight w:val="269"/>
        </w:trPr>
        <w:tc>
          <w:tcPr>
            <w:tcW w:w="1900" w:type="dxa"/>
            <w:vAlign w:val="bottom"/>
          </w:tcPr>
          <w:p w14:paraId="57881388" w14:textId="77777777" w:rsidR="001F5C59" w:rsidRPr="00F43104" w:rsidRDefault="009D31F6" w:rsidP="00662AB0">
            <w:pPr>
              <w:pStyle w:val="BodyText21"/>
              <w:spacing w:line="240" w:lineRule="auto"/>
              <w:ind w:left="1060" w:firstLine="0"/>
            </w:pPr>
            <w:r w:rsidRPr="00F43104">
              <w:t>3</w:t>
            </w:r>
          </w:p>
        </w:tc>
        <w:tc>
          <w:tcPr>
            <w:tcW w:w="7020" w:type="dxa"/>
            <w:vAlign w:val="bottom"/>
          </w:tcPr>
          <w:p w14:paraId="1A622A0A" w14:textId="77777777" w:rsidR="001F5C59" w:rsidRPr="00F43104" w:rsidRDefault="009D31F6" w:rsidP="00662AB0">
            <w:pPr>
              <w:pStyle w:val="BodyText21"/>
              <w:tabs>
                <w:tab w:val="left" w:leader="dot" w:pos="6947"/>
              </w:tabs>
              <w:spacing w:line="240" w:lineRule="auto"/>
              <w:ind w:firstLine="0"/>
            </w:pPr>
            <w:r w:rsidRPr="00F43104">
              <w:t>Schedule(s)</w:t>
            </w:r>
            <w:r w:rsidR="00063360" w:rsidRPr="00F43104">
              <w:tab/>
            </w:r>
          </w:p>
        </w:tc>
        <w:tc>
          <w:tcPr>
            <w:tcW w:w="432" w:type="dxa"/>
            <w:vAlign w:val="bottom"/>
          </w:tcPr>
          <w:p w14:paraId="42F38F1C" w14:textId="77777777" w:rsidR="001F5C59" w:rsidRPr="00F43104" w:rsidRDefault="009D31F6" w:rsidP="00AA0F93">
            <w:pPr>
              <w:pStyle w:val="BodyText21"/>
              <w:spacing w:line="240" w:lineRule="auto"/>
              <w:ind w:firstLine="0"/>
              <w:jc w:val="right"/>
            </w:pPr>
            <w:r w:rsidRPr="00F43104">
              <w:rPr>
                <w:rStyle w:val="Bodytext85pt"/>
                <w:sz w:val="20"/>
                <w:szCs w:val="20"/>
              </w:rPr>
              <w:t>974</w:t>
            </w:r>
          </w:p>
        </w:tc>
      </w:tr>
      <w:tr w:rsidR="001F5C59" w:rsidRPr="00850BC1" w14:paraId="0AB91B9A" w14:textId="77777777" w:rsidTr="004143F6">
        <w:trPr>
          <w:trHeight w:val="341"/>
        </w:trPr>
        <w:tc>
          <w:tcPr>
            <w:tcW w:w="8920" w:type="dxa"/>
            <w:gridSpan w:val="2"/>
            <w:vAlign w:val="bottom"/>
          </w:tcPr>
          <w:p w14:paraId="09C6B3EC" w14:textId="77777777" w:rsidR="001F5C59" w:rsidRPr="00850BC1" w:rsidRDefault="009D31F6" w:rsidP="004143F6">
            <w:pPr>
              <w:pStyle w:val="BodyText21"/>
              <w:spacing w:line="240" w:lineRule="auto"/>
              <w:ind w:firstLine="0"/>
              <w:rPr>
                <w:sz w:val="22"/>
                <w:szCs w:val="22"/>
              </w:rPr>
            </w:pPr>
            <w:r w:rsidRPr="00850BC1">
              <w:rPr>
                <w:rStyle w:val="Bodytext115pt"/>
                <w:sz w:val="22"/>
                <w:szCs w:val="22"/>
              </w:rPr>
              <w:t>Part 2—Transitional</w:t>
            </w:r>
          </w:p>
        </w:tc>
        <w:tc>
          <w:tcPr>
            <w:tcW w:w="432" w:type="dxa"/>
            <w:vAlign w:val="bottom"/>
          </w:tcPr>
          <w:p w14:paraId="26F11B82" w14:textId="77777777" w:rsidR="001F5C59" w:rsidRPr="00F43104" w:rsidRDefault="009D31F6" w:rsidP="00AA0F93">
            <w:pPr>
              <w:pStyle w:val="BodyText21"/>
              <w:spacing w:line="240" w:lineRule="auto"/>
              <w:ind w:firstLine="0"/>
              <w:jc w:val="right"/>
            </w:pPr>
            <w:r w:rsidRPr="00F43104">
              <w:rPr>
                <w:rStyle w:val="Bodytext85pt"/>
                <w:sz w:val="20"/>
                <w:szCs w:val="20"/>
              </w:rPr>
              <w:t>975</w:t>
            </w:r>
          </w:p>
        </w:tc>
      </w:tr>
      <w:tr w:rsidR="001F5C59" w:rsidRPr="00850BC1" w14:paraId="149E86E2" w14:textId="77777777" w:rsidTr="004143F6">
        <w:trPr>
          <w:trHeight w:val="259"/>
        </w:trPr>
        <w:tc>
          <w:tcPr>
            <w:tcW w:w="1900" w:type="dxa"/>
            <w:vAlign w:val="bottom"/>
          </w:tcPr>
          <w:p w14:paraId="7A64A075" w14:textId="77777777" w:rsidR="001F5C59" w:rsidRPr="00F43104" w:rsidRDefault="009D31F6" w:rsidP="00662AB0">
            <w:pPr>
              <w:pStyle w:val="BodyText21"/>
              <w:spacing w:line="240" w:lineRule="auto"/>
              <w:ind w:left="1060" w:firstLine="0"/>
              <w:rPr>
                <w:szCs w:val="22"/>
              </w:rPr>
            </w:pPr>
            <w:r w:rsidRPr="00F43104">
              <w:rPr>
                <w:rStyle w:val="Bodytext85pt"/>
                <w:sz w:val="20"/>
                <w:szCs w:val="22"/>
              </w:rPr>
              <w:t>4</w:t>
            </w:r>
          </w:p>
        </w:tc>
        <w:tc>
          <w:tcPr>
            <w:tcW w:w="7020" w:type="dxa"/>
            <w:vAlign w:val="bottom"/>
          </w:tcPr>
          <w:p w14:paraId="016CAD95" w14:textId="77777777" w:rsidR="001F5C59" w:rsidRPr="00F43104" w:rsidRDefault="009D31F6" w:rsidP="00662AB0">
            <w:pPr>
              <w:pStyle w:val="BodyText21"/>
              <w:tabs>
                <w:tab w:val="left" w:leader="dot" w:pos="6947"/>
              </w:tabs>
              <w:spacing w:line="240" w:lineRule="auto"/>
              <w:ind w:firstLine="0"/>
              <w:rPr>
                <w:szCs w:val="22"/>
              </w:rPr>
            </w:pPr>
            <w:r w:rsidRPr="00F43104">
              <w:rPr>
                <w:szCs w:val="22"/>
              </w:rPr>
              <w:t>Interpretation</w:t>
            </w:r>
            <w:r w:rsidR="00063360" w:rsidRPr="00F43104">
              <w:rPr>
                <w:szCs w:val="22"/>
              </w:rPr>
              <w:tab/>
            </w:r>
          </w:p>
        </w:tc>
        <w:tc>
          <w:tcPr>
            <w:tcW w:w="432" w:type="dxa"/>
            <w:vAlign w:val="bottom"/>
          </w:tcPr>
          <w:p w14:paraId="414BD105" w14:textId="77777777" w:rsidR="001F5C59" w:rsidRPr="00F43104" w:rsidRDefault="009D31F6" w:rsidP="00AA0F93">
            <w:pPr>
              <w:pStyle w:val="BodyText21"/>
              <w:spacing w:line="240" w:lineRule="auto"/>
              <w:ind w:firstLine="0"/>
              <w:jc w:val="right"/>
            </w:pPr>
            <w:r w:rsidRPr="00F43104">
              <w:rPr>
                <w:rStyle w:val="Bodytext85pt"/>
                <w:sz w:val="20"/>
                <w:szCs w:val="20"/>
              </w:rPr>
              <w:t>975</w:t>
            </w:r>
          </w:p>
        </w:tc>
      </w:tr>
      <w:tr w:rsidR="001F5C59" w:rsidRPr="00850BC1" w14:paraId="336C4AFC" w14:textId="77777777" w:rsidTr="004143F6">
        <w:trPr>
          <w:trHeight w:val="254"/>
        </w:trPr>
        <w:tc>
          <w:tcPr>
            <w:tcW w:w="1900" w:type="dxa"/>
            <w:vAlign w:val="bottom"/>
          </w:tcPr>
          <w:p w14:paraId="20A957C8" w14:textId="77777777" w:rsidR="001F5C59" w:rsidRPr="00F43104" w:rsidRDefault="009D31F6" w:rsidP="00662AB0">
            <w:pPr>
              <w:pStyle w:val="BodyText21"/>
              <w:spacing w:line="240" w:lineRule="auto"/>
              <w:ind w:left="1060" w:firstLine="0"/>
              <w:rPr>
                <w:szCs w:val="22"/>
              </w:rPr>
            </w:pPr>
            <w:r w:rsidRPr="00F43104">
              <w:rPr>
                <w:szCs w:val="22"/>
              </w:rPr>
              <w:t>5</w:t>
            </w:r>
          </w:p>
        </w:tc>
        <w:tc>
          <w:tcPr>
            <w:tcW w:w="7020" w:type="dxa"/>
            <w:vAlign w:val="bottom"/>
          </w:tcPr>
          <w:p w14:paraId="1B9958AB" w14:textId="77777777" w:rsidR="001F5C59" w:rsidRPr="00F43104" w:rsidRDefault="009D31F6" w:rsidP="00662AB0">
            <w:pPr>
              <w:pStyle w:val="BodyText21"/>
              <w:tabs>
                <w:tab w:val="left" w:leader="dot" w:pos="6947"/>
              </w:tabs>
              <w:spacing w:line="240" w:lineRule="auto"/>
              <w:ind w:firstLine="0"/>
              <w:rPr>
                <w:szCs w:val="22"/>
              </w:rPr>
            </w:pPr>
            <w:r w:rsidRPr="00F43104">
              <w:rPr>
                <w:szCs w:val="22"/>
              </w:rPr>
              <w:t>President, Deputy President and other members.</w:t>
            </w:r>
            <w:r w:rsidR="00063360" w:rsidRPr="00F43104">
              <w:rPr>
                <w:szCs w:val="22"/>
              </w:rPr>
              <w:tab/>
            </w:r>
          </w:p>
        </w:tc>
        <w:tc>
          <w:tcPr>
            <w:tcW w:w="432" w:type="dxa"/>
            <w:vAlign w:val="bottom"/>
          </w:tcPr>
          <w:p w14:paraId="64EB56C2" w14:textId="77777777" w:rsidR="001F5C59" w:rsidRPr="00F43104" w:rsidRDefault="009D31F6" w:rsidP="00AA0F93">
            <w:pPr>
              <w:pStyle w:val="BodyText21"/>
              <w:spacing w:line="240" w:lineRule="auto"/>
              <w:ind w:firstLine="0"/>
              <w:jc w:val="right"/>
            </w:pPr>
            <w:r w:rsidRPr="00F43104">
              <w:rPr>
                <w:rStyle w:val="Bodytext85pt"/>
                <w:sz w:val="20"/>
                <w:szCs w:val="20"/>
              </w:rPr>
              <w:t>975</w:t>
            </w:r>
          </w:p>
        </w:tc>
      </w:tr>
      <w:tr w:rsidR="001F5C59" w:rsidRPr="00850BC1" w14:paraId="75383EB5" w14:textId="77777777" w:rsidTr="004143F6">
        <w:trPr>
          <w:trHeight w:val="278"/>
        </w:trPr>
        <w:tc>
          <w:tcPr>
            <w:tcW w:w="1900" w:type="dxa"/>
            <w:vAlign w:val="bottom"/>
          </w:tcPr>
          <w:p w14:paraId="5C857EB6" w14:textId="77777777" w:rsidR="001F5C59" w:rsidRPr="00F43104" w:rsidRDefault="009D31F6" w:rsidP="00662AB0">
            <w:pPr>
              <w:pStyle w:val="BodyText21"/>
              <w:spacing w:line="240" w:lineRule="auto"/>
              <w:ind w:left="1060" w:firstLine="0"/>
              <w:rPr>
                <w:szCs w:val="22"/>
              </w:rPr>
            </w:pPr>
            <w:r w:rsidRPr="00F43104">
              <w:rPr>
                <w:szCs w:val="22"/>
              </w:rPr>
              <w:t>6</w:t>
            </w:r>
          </w:p>
        </w:tc>
        <w:tc>
          <w:tcPr>
            <w:tcW w:w="7020" w:type="dxa"/>
            <w:vAlign w:val="bottom"/>
          </w:tcPr>
          <w:p w14:paraId="085AEBCE" w14:textId="77777777" w:rsidR="001F5C59" w:rsidRPr="00F43104" w:rsidRDefault="009D31F6" w:rsidP="00662AB0">
            <w:pPr>
              <w:pStyle w:val="BodyText21"/>
              <w:tabs>
                <w:tab w:val="left" w:leader="dot" w:pos="6947"/>
              </w:tabs>
              <w:spacing w:line="240" w:lineRule="auto"/>
              <w:ind w:firstLine="0"/>
              <w:rPr>
                <w:szCs w:val="22"/>
              </w:rPr>
            </w:pPr>
            <w:r w:rsidRPr="00F43104">
              <w:rPr>
                <w:szCs w:val="22"/>
              </w:rPr>
              <w:t>Transfer of LRC staff to ALRC</w:t>
            </w:r>
            <w:r w:rsidR="00063360" w:rsidRPr="00F43104">
              <w:rPr>
                <w:szCs w:val="22"/>
              </w:rPr>
              <w:tab/>
            </w:r>
          </w:p>
        </w:tc>
        <w:tc>
          <w:tcPr>
            <w:tcW w:w="432" w:type="dxa"/>
            <w:vAlign w:val="bottom"/>
          </w:tcPr>
          <w:p w14:paraId="2314EF97" w14:textId="77777777" w:rsidR="001F5C59" w:rsidRPr="00F43104" w:rsidRDefault="009D31F6" w:rsidP="00AA0F93">
            <w:pPr>
              <w:pStyle w:val="BodyText21"/>
              <w:spacing w:line="240" w:lineRule="auto"/>
              <w:ind w:firstLine="0"/>
              <w:jc w:val="right"/>
            </w:pPr>
            <w:r w:rsidRPr="00F43104">
              <w:rPr>
                <w:rStyle w:val="Bodytext85pt"/>
                <w:sz w:val="20"/>
                <w:szCs w:val="20"/>
              </w:rPr>
              <w:t>976</w:t>
            </w:r>
          </w:p>
        </w:tc>
      </w:tr>
      <w:tr w:rsidR="001F5C59" w:rsidRPr="00850BC1" w14:paraId="68B2ED00" w14:textId="77777777" w:rsidTr="004143F6">
        <w:trPr>
          <w:trHeight w:val="259"/>
        </w:trPr>
        <w:tc>
          <w:tcPr>
            <w:tcW w:w="1900" w:type="dxa"/>
            <w:vAlign w:val="bottom"/>
          </w:tcPr>
          <w:p w14:paraId="09CA9134" w14:textId="77777777" w:rsidR="001F5C59" w:rsidRPr="00F43104" w:rsidRDefault="009D31F6" w:rsidP="00662AB0">
            <w:pPr>
              <w:pStyle w:val="BodyText21"/>
              <w:spacing w:line="240" w:lineRule="auto"/>
              <w:ind w:left="1060" w:firstLine="0"/>
              <w:rPr>
                <w:szCs w:val="22"/>
              </w:rPr>
            </w:pPr>
            <w:r w:rsidRPr="00F43104">
              <w:rPr>
                <w:szCs w:val="22"/>
              </w:rPr>
              <w:t>7</w:t>
            </w:r>
          </w:p>
        </w:tc>
        <w:tc>
          <w:tcPr>
            <w:tcW w:w="7020" w:type="dxa"/>
            <w:vAlign w:val="bottom"/>
          </w:tcPr>
          <w:p w14:paraId="3B313DA6" w14:textId="77777777" w:rsidR="001F5C59" w:rsidRPr="00F43104" w:rsidRDefault="009D31F6" w:rsidP="00662AB0">
            <w:pPr>
              <w:pStyle w:val="BodyText21"/>
              <w:tabs>
                <w:tab w:val="left" w:leader="dot" w:pos="6947"/>
              </w:tabs>
              <w:spacing w:line="240" w:lineRule="auto"/>
              <w:ind w:firstLine="0"/>
              <w:rPr>
                <w:szCs w:val="22"/>
              </w:rPr>
            </w:pPr>
            <w:r w:rsidRPr="00F43104">
              <w:rPr>
                <w:szCs w:val="22"/>
              </w:rPr>
              <w:t>Transfer of LRC assets and liabilities to ALRC</w:t>
            </w:r>
            <w:r w:rsidR="00063360" w:rsidRPr="00F43104">
              <w:rPr>
                <w:szCs w:val="22"/>
              </w:rPr>
              <w:tab/>
            </w:r>
          </w:p>
        </w:tc>
        <w:tc>
          <w:tcPr>
            <w:tcW w:w="432" w:type="dxa"/>
            <w:vAlign w:val="bottom"/>
          </w:tcPr>
          <w:p w14:paraId="6B16E743" w14:textId="77777777" w:rsidR="001F5C59" w:rsidRPr="00F43104" w:rsidRDefault="009D31F6" w:rsidP="00AA0F93">
            <w:pPr>
              <w:pStyle w:val="BodyText21"/>
              <w:spacing w:line="240" w:lineRule="auto"/>
              <w:ind w:firstLine="0"/>
              <w:jc w:val="right"/>
            </w:pPr>
            <w:r w:rsidRPr="00F43104">
              <w:rPr>
                <w:rStyle w:val="Bodytext85pt"/>
                <w:sz w:val="20"/>
                <w:szCs w:val="20"/>
              </w:rPr>
              <w:t>976</w:t>
            </w:r>
          </w:p>
        </w:tc>
      </w:tr>
      <w:tr w:rsidR="001F5C59" w:rsidRPr="00850BC1" w14:paraId="29C61A64" w14:textId="77777777" w:rsidTr="004143F6">
        <w:trPr>
          <w:trHeight w:val="245"/>
        </w:trPr>
        <w:tc>
          <w:tcPr>
            <w:tcW w:w="1900" w:type="dxa"/>
            <w:vAlign w:val="bottom"/>
          </w:tcPr>
          <w:p w14:paraId="333AF5FD" w14:textId="77777777" w:rsidR="001F5C59" w:rsidRPr="00F43104" w:rsidRDefault="009D31F6" w:rsidP="00662AB0">
            <w:pPr>
              <w:pStyle w:val="BodyText21"/>
              <w:spacing w:line="240" w:lineRule="auto"/>
              <w:ind w:left="1060" w:firstLine="0"/>
              <w:rPr>
                <w:szCs w:val="22"/>
              </w:rPr>
            </w:pPr>
            <w:r w:rsidRPr="00F43104">
              <w:rPr>
                <w:szCs w:val="22"/>
              </w:rPr>
              <w:t>8</w:t>
            </w:r>
          </w:p>
        </w:tc>
        <w:tc>
          <w:tcPr>
            <w:tcW w:w="7020" w:type="dxa"/>
            <w:vAlign w:val="bottom"/>
          </w:tcPr>
          <w:p w14:paraId="77FBAE58" w14:textId="77777777" w:rsidR="001F5C59" w:rsidRPr="00F43104" w:rsidRDefault="009D31F6" w:rsidP="00662AB0">
            <w:pPr>
              <w:pStyle w:val="BodyText21"/>
              <w:tabs>
                <w:tab w:val="left" w:leader="dot" w:pos="6947"/>
              </w:tabs>
              <w:spacing w:line="240" w:lineRule="auto"/>
              <w:ind w:firstLine="0"/>
              <w:rPr>
                <w:szCs w:val="22"/>
              </w:rPr>
            </w:pPr>
            <w:r w:rsidRPr="00F43104">
              <w:rPr>
                <w:szCs w:val="22"/>
              </w:rPr>
              <w:t>LRC instruments</w:t>
            </w:r>
            <w:r w:rsidR="00063360" w:rsidRPr="00F43104">
              <w:rPr>
                <w:szCs w:val="22"/>
              </w:rPr>
              <w:tab/>
            </w:r>
          </w:p>
        </w:tc>
        <w:tc>
          <w:tcPr>
            <w:tcW w:w="432" w:type="dxa"/>
            <w:vAlign w:val="bottom"/>
          </w:tcPr>
          <w:p w14:paraId="0D5C5218" w14:textId="77777777" w:rsidR="001F5C59" w:rsidRPr="00F43104" w:rsidRDefault="009D31F6" w:rsidP="00AA0F93">
            <w:pPr>
              <w:pStyle w:val="BodyText21"/>
              <w:spacing w:line="240" w:lineRule="auto"/>
              <w:ind w:firstLine="0"/>
              <w:jc w:val="right"/>
            </w:pPr>
            <w:r w:rsidRPr="00F43104">
              <w:rPr>
                <w:rStyle w:val="Bodytext85pt"/>
                <w:sz w:val="20"/>
                <w:szCs w:val="20"/>
              </w:rPr>
              <w:t>977</w:t>
            </w:r>
          </w:p>
        </w:tc>
      </w:tr>
      <w:tr w:rsidR="001F5C59" w:rsidRPr="00850BC1" w14:paraId="7069A82E" w14:textId="77777777" w:rsidTr="004143F6">
        <w:trPr>
          <w:trHeight w:val="293"/>
        </w:trPr>
        <w:tc>
          <w:tcPr>
            <w:tcW w:w="1900" w:type="dxa"/>
            <w:vAlign w:val="bottom"/>
          </w:tcPr>
          <w:p w14:paraId="2FEF4698" w14:textId="77777777" w:rsidR="001F5C59" w:rsidRPr="00F43104" w:rsidRDefault="009D31F6" w:rsidP="00662AB0">
            <w:pPr>
              <w:pStyle w:val="BodyText21"/>
              <w:spacing w:line="240" w:lineRule="auto"/>
              <w:ind w:left="1060" w:firstLine="0"/>
              <w:rPr>
                <w:szCs w:val="22"/>
              </w:rPr>
            </w:pPr>
            <w:r w:rsidRPr="00F43104">
              <w:rPr>
                <w:szCs w:val="22"/>
              </w:rPr>
              <w:t>9</w:t>
            </w:r>
          </w:p>
        </w:tc>
        <w:tc>
          <w:tcPr>
            <w:tcW w:w="7020" w:type="dxa"/>
            <w:vAlign w:val="bottom"/>
          </w:tcPr>
          <w:p w14:paraId="09740E03" w14:textId="77777777" w:rsidR="001F5C59" w:rsidRPr="00F43104" w:rsidRDefault="009D31F6" w:rsidP="00662AB0">
            <w:pPr>
              <w:pStyle w:val="BodyText21"/>
              <w:tabs>
                <w:tab w:val="left" w:leader="dot" w:pos="6947"/>
              </w:tabs>
              <w:spacing w:line="240" w:lineRule="auto"/>
              <w:ind w:firstLine="0"/>
              <w:rPr>
                <w:szCs w:val="22"/>
              </w:rPr>
            </w:pPr>
            <w:r w:rsidRPr="00F43104">
              <w:rPr>
                <w:szCs w:val="22"/>
              </w:rPr>
              <w:t>Pending proceedings</w:t>
            </w:r>
            <w:r w:rsidR="00063360" w:rsidRPr="00F43104">
              <w:rPr>
                <w:szCs w:val="22"/>
              </w:rPr>
              <w:tab/>
            </w:r>
          </w:p>
        </w:tc>
        <w:tc>
          <w:tcPr>
            <w:tcW w:w="432" w:type="dxa"/>
            <w:vAlign w:val="bottom"/>
          </w:tcPr>
          <w:p w14:paraId="444A45EF" w14:textId="77777777" w:rsidR="001F5C59" w:rsidRPr="00F43104" w:rsidRDefault="009D31F6" w:rsidP="00AA0F93">
            <w:pPr>
              <w:pStyle w:val="BodyText21"/>
              <w:spacing w:line="240" w:lineRule="auto"/>
              <w:ind w:firstLine="0"/>
              <w:jc w:val="right"/>
            </w:pPr>
            <w:r w:rsidRPr="00F43104">
              <w:rPr>
                <w:rStyle w:val="Bodytext85pt"/>
                <w:sz w:val="20"/>
                <w:szCs w:val="20"/>
              </w:rPr>
              <w:t>977</w:t>
            </w:r>
          </w:p>
        </w:tc>
      </w:tr>
      <w:tr w:rsidR="001F5C59" w:rsidRPr="00850BC1" w14:paraId="4C9A027B" w14:textId="77777777" w:rsidTr="004143F6">
        <w:trPr>
          <w:trHeight w:val="254"/>
        </w:trPr>
        <w:tc>
          <w:tcPr>
            <w:tcW w:w="1900" w:type="dxa"/>
            <w:vAlign w:val="bottom"/>
          </w:tcPr>
          <w:p w14:paraId="2065DC0F" w14:textId="77777777" w:rsidR="001F5C59" w:rsidRPr="00F43104" w:rsidRDefault="009D31F6" w:rsidP="00662AB0">
            <w:pPr>
              <w:pStyle w:val="BodyText21"/>
              <w:spacing w:line="240" w:lineRule="auto"/>
              <w:ind w:left="1060" w:firstLine="0"/>
              <w:rPr>
                <w:szCs w:val="22"/>
              </w:rPr>
            </w:pPr>
            <w:r w:rsidRPr="00F43104">
              <w:rPr>
                <w:szCs w:val="22"/>
              </w:rPr>
              <w:t>10</w:t>
            </w:r>
          </w:p>
        </w:tc>
        <w:tc>
          <w:tcPr>
            <w:tcW w:w="7020" w:type="dxa"/>
            <w:vAlign w:val="bottom"/>
          </w:tcPr>
          <w:p w14:paraId="7EB7DBED" w14:textId="77777777" w:rsidR="001F5C59" w:rsidRPr="00F43104" w:rsidRDefault="009D31F6" w:rsidP="00662AB0">
            <w:pPr>
              <w:pStyle w:val="BodyText21"/>
              <w:tabs>
                <w:tab w:val="left" w:leader="dot" w:pos="6947"/>
              </w:tabs>
              <w:spacing w:line="240" w:lineRule="auto"/>
              <w:ind w:firstLine="0"/>
              <w:rPr>
                <w:szCs w:val="22"/>
              </w:rPr>
            </w:pPr>
            <w:r w:rsidRPr="00F43104">
              <w:rPr>
                <w:szCs w:val="22"/>
              </w:rPr>
              <w:t>Continuation of references, directions and requirements</w:t>
            </w:r>
            <w:r w:rsidR="00AC2C33" w:rsidRPr="00F43104">
              <w:rPr>
                <w:szCs w:val="22"/>
              </w:rPr>
              <w:tab/>
            </w:r>
          </w:p>
        </w:tc>
        <w:tc>
          <w:tcPr>
            <w:tcW w:w="432" w:type="dxa"/>
            <w:vAlign w:val="bottom"/>
          </w:tcPr>
          <w:p w14:paraId="6E7D00F1" w14:textId="77777777" w:rsidR="001F5C59" w:rsidRPr="00F43104" w:rsidRDefault="009D31F6" w:rsidP="00AA0F93">
            <w:pPr>
              <w:pStyle w:val="BodyText21"/>
              <w:spacing w:line="240" w:lineRule="auto"/>
              <w:ind w:firstLine="0"/>
              <w:jc w:val="right"/>
            </w:pPr>
            <w:r w:rsidRPr="00F43104">
              <w:rPr>
                <w:rStyle w:val="Bodytext85pt"/>
                <w:sz w:val="20"/>
                <w:szCs w:val="20"/>
              </w:rPr>
              <w:t>977</w:t>
            </w:r>
          </w:p>
        </w:tc>
      </w:tr>
      <w:tr w:rsidR="001F5C59" w:rsidRPr="00850BC1" w14:paraId="7359563A" w14:textId="77777777" w:rsidTr="004143F6">
        <w:trPr>
          <w:trHeight w:val="322"/>
        </w:trPr>
        <w:tc>
          <w:tcPr>
            <w:tcW w:w="1900" w:type="dxa"/>
            <w:vAlign w:val="bottom"/>
          </w:tcPr>
          <w:p w14:paraId="4B5DF5EF" w14:textId="77777777" w:rsidR="001F5C59" w:rsidRPr="00F43104" w:rsidRDefault="009D31F6" w:rsidP="00662AB0">
            <w:pPr>
              <w:pStyle w:val="BodyText21"/>
              <w:spacing w:line="240" w:lineRule="auto"/>
              <w:ind w:left="1060" w:firstLine="0"/>
              <w:rPr>
                <w:szCs w:val="22"/>
              </w:rPr>
            </w:pPr>
            <w:r w:rsidRPr="00F43104">
              <w:rPr>
                <w:szCs w:val="22"/>
              </w:rPr>
              <w:t>11</w:t>
            </w:r>
          </w:p>
        </w:tc>
        <w:tc>
          <w:tcPr>
            <w:tcW w:w="7020" w:type="dxa"/>
            <w:vAlign w:val="bottom"/>
          </w:tcPr>
          <w:p w14:paraId="6EB0B613" w14:textId="77777777" w:rsidR="001F5C59" w:rsidRPr="00F43104" w:rsidRDefault="009D31F6" w:rsidP="00662AB0">
            <w:pPr>
              <w:pStyle w:val="BodyText21"/>
              <w:tabs>
                <w:tab w:val="left" w:leader="dot" w:pos="6947"/>
              </w:tabs>
              <w:spacing w:line="240" w:lineRule="auto"/>
              <w:ind w:firstLine="0"/>
              <w:rPr>
                <w:szCs w:val="22"/>
              </w:rPr>
            </w:pPr>
            <w:r w:rsidRPr="00F43104">
              <w:rPr>
                <w:szCs w:val="22"/>
              </w:rPr>
              <w:t>Regulations</w:t>
            </w:r>
            <w:r w:rsidR="00AC2C33" w:rsidRPr="00F43104">
              <w:rPr>
                <w:szCs w:val="22"/>
              </w:rPr>
              <w:tab/>
            </w:r>
          </w:p>
        </w:tc>
        <w:tc>
          <w:tcPr>
            <w:tcW w:w="432" w:type="dxa"/>
            <w:vAlign w:val="bottom"/>
          </w:tcPr>
          <w:p w14:paraId="0C45F875" w14:textId="77777777" w:rsidR="001F5C59" w:rsidRPr="00F43104" w:rsidRDefault="009D31F6" w:rsidP="00AA0F93">
            <w:pPr>
              <w:pStyle w:val="BodyText21"/>
              <w:spacing w:line="240" w:lineRule="auto"/>
              <w:ind w:firstLine="0"/>
              <w:jc w:val="right"/>
            </w:pPr>
            <w:r w:rsidRPr="00F43104">
              <w:rPr>
                <w:rStyle w:val="Bodytext85pt"/>
                <w:sz w:val="20"/>
                <w:szCs w:val="20"/>
              </w:rPr>
              <w:t>977</w:t>
            </w:r>
          </w:p>
        </w:tc>
      </w:tr>
      <w:tr w:rsidR="001F5C59" w:rsidRPr="00850BC1" w14:paraId="3F5A5D96" w14:textId="77777777" w:rsidTr="00063360">
        <w:trPr>
          <w:trHeight w:val="581"/>
        </w:trPr>
        <w:tc>
          <w:tcPr>
            <w:tcW w:w="8920" w:type="dxa"/>
            <w:gridSpan w:val="2"/>
            <w:vAlign w:val="bottom"/>
          </w:tcPr>
          <w:p w14:paraId="454DD1FA" w14:textId="77777777" w:rsidR="001F5C59" w:rsidRPr="00850BC1" w:rsidRDefault="009D31F6" w:rsidP="006C6942">
            <w:pPr>
              <w:pStyle w:val="BodyText21"/>
              <w:spacing w:line="240" w:lineRule="auto"/>
              <w:ind w:left="1620" w:hanging="1620"/>
              <w:rPr>
                <w:sz w:val="22"/>
                <w:szCs w:val="22"/>
              </w:rPr>
            </w:pPr>
            <w:r w:rsidRPr="00850BC1">
              <w:rPr>
                <w:rStyle w:val="Bodytext115pt"/>
                <w:sz w:val="22"/>
                <w:szCs w:val="22"/>
              </w:rPr>
              <w:t>Schedule 1—Amendment of the Australian Law Reform Commission Act 1996</w:t>
            </w:r>
          </w:p>
        </w:tc>
        <w:tc>
          <w:tcPr>
            <w:tcW w:w="432" w:type="dxa"/>
            <w:vAlign w:val="bottom"/>
          </w:tcPr>
          <w:p w14:paraId="557D34AB" w14:textId="77777777" w:rsidR="001F5C59" w:rsidRPr="00F43104" w:rsidRDefault="009D31F6" w:rsidP="00AA0F93">
            <w:pPr>
              <w:pStyle w:val="BodyText21"/>
              <w:spacing w:line="240" w:lineRule="auto"/>
              <w:ind w:firstLine="0"/>
              <w:jc w:val="right"/>
            </w:pPr>
            <w:r w:rsidRPr="00F43104">
              <w:rPr>
                <w:rStyle w:val="Bodytext85pt"/>
                <w:sz w:val="20"/>
                <w:szCs w:val="20"/>
              </w:rPr>
              <w:t>979</w:t>
            </w:r>
          </w:p>
        </w:tc>
      </w:tr>
      <w:tr w:rsidR="001F5C59" w:rsidRPr="00850BC1" w14:paraId="159DB065" w14:textId="77777777" w:rsidTr="00063360">
        <w:trPr>
          <w:trHeight w:val="418"/>
        </w:trPr>
        <w:tc>
          <w:tcPr>
            <w:tcW w:w="8920" w:type="dxa"/>
            <w:gridSpan w:val="2"/>
            <w:vAlign w:val="bottom"/>
          </w:tcPr>
          <w:p w14:paraId="08C518B0" w14:textId="77777777" w:rsidR="001F5C59" w:rsidRPr="00850BC1" w:rsidRDefault="009D31F6" w:rsidP="00120795">
            <w:pPr>
              <w:pStyle w:val="BodyText21"/>
              <w:spacing w:line="240" w:lineRule="auto"/>
              <w:ind w:firstLine="0"/>
              <w:rPr>
                <w:sz w:val="22"/>
                <w:szCs w:val="22"/>
              </w:rPr>
            </w:pPr>
            <w:r w:rsidRPr="00850BC1">
              <w:rPr>
                <w:rStyle w:val="Bodytext115pt"/>
                <w:sz w:val="22"/>
                <w:szCs w:val="22"/>
              </w:rPr>
              <w:t>Schedule 2—Amend</w:t>
            </w:r>
            <w:r w:rsidR="00986DBD">
              <w:rPr>
                <w:rStyle w:val="Bodytext115pt"/>
                <w:sz w:val="22"/>
                <w:szCs w:val="22"/>
              </w:rPr>
              <w:t>m</w:t>
            </w:r>
            <w:r w:rsidRPr="00850BC1">
              <w:rPr>
                <w:rStyle w:val="Bodytext115pt"/>
                <w:sz w:val="22"/>
                <w:szCs w:val="22"/>
              </w:rPr>
              <w:t>ent or repeal of other Acts</w:t>
            </w:r>
          </w:p>
        </w:tc>
        <w:tc>
          <w:tcPr>
            <w:tcW w:w="432" w:type="dxa"/>
            <w:vAlign w:val="bottom"/>
          </w:tcPr>
          <w:p w14:paraId="0C50DF93" w14:textId="77777777" w:rsidR="001F5C59" w:rsidRPr="00F43104" w:rsidRDefault="009D31F6" w:rsidP="00AA0F93">
            <w:pPr>
              <w:pStyle w:val="BodyText21"/>
              <w:spacing w:line="240" w:lineRule="auto"/>
              <w:ind w:firstLine="0"/>
              <w:jc w:val="right"/>
            </w:pPr>
            <w:r w:rsidRPr="00F43104">
              <w:rPr>
                <w:rStyle w:val="Bodytext85pt"/>
                <w:sz w:val="20"/>
                <w:szCs w:val="20"/>
              </w:rPr>
              <w:t>981</w:t>
            </w:r>
          </w:p>
        </w:tc>
      </w:tr>
      <w:tr w:rsidR="001F5C59" w:rsidRPr="00850BC1" w14:paraId="3964547F" w14:textId="77777777" w:rsidTr="00063360">
        <w:trPr>
          <w:trHeight w:val="365"/>
        </w:trPr>
        <w:tc>
          <w:tcPr>
            <w:tcW w:w="8920" w:type="dxa"/>
            <w:gridSpan w:val="2"/>
            <w:vAlign w:val="bottom"/>
          </w:tcPr>
          <w:p w14:paraId="5D84C9B0" w14:textId="77777777" w:rsidR="001F5C59" w:rsidRPr="00F43104" w:rsidRDefault="009D31F6" w:rsidP="00120795">
            <w:pPr>
              <w:pStyle w:val="BodyText21"/>
              <w:spacing w:line="240" w:lineRule="auto"/>
              <w:ind w:left="531" w:firstLine="0"/>
              <w:rPr>
                <w:szCs w:val="22"/>
              </w:rPr>
            </w:pPr>
            <w:r w:rsidRPr="00F43104">
              <w:rPr>
                <w:rStyle w:val="BodytextItalic"/>
                <w:szCs w:val="22"/>
              </w:rPr>
              <w:t>Administrative Appeals Tribunal Act 1975</w:t>
            </w:r>
          </w:p>
        </w:tc>
        <w:tc>
          <w:tcPr>
            <w:tcW w:w="432" w:type="dxa"/>
            <w:vAlign w:val="bottom"/>
          </w:tcPr>
          <w:p w14:paraId="4A3A4B37" w14:textId="77777777" w:rsidR="001F5C59" w:rsidRPr="00F43104" w:rsidRDefault="009D31F6" w:rsidP="00AA0F93">
            <w:pPr>
              <w:pStyle w:val="BodyText21"/>
              <w:spacing w:line="240" w:lineRule="auto"/>
              <w:ind w:firstLine="0"/>
              <w:jc w:val="right"/>
            </w:pPr>
            <w:r w:rsidRPr="00F43104">
              <w:rPr>
                <w:rStyle w:val="Bodytext85pt"/>
                <w:sz w:val="20"/>
                <w:szCs w:val="20"/>
              </w:rPr>
              <w:t>981</w:t>
            </w:r>
          </w:p>
        </w:tc>
      </w:tr>
      <w:tr w:rsidR="001F5C59" w:rsidRPr="00850BC1" w14:paraId="59CF476A" w14:textId="77777777" w:rsidTr="00063360">
        <w:trPr>
          <w:trHeight w:val="288"/>
        </w:trPr>
        <w:tc>
          <w:tcPr>
            <w:tcW w:w="8920" w:type="dxa"/>
            <w:gridSpan w:val="2"/>
            <w:vAlign w:val="bottom"/>
          </w:tcPr>
          <w:p w14:paraId="590A6BF8" w14:textId="77777777" w:rsidR="001F5C59" w:rsidRPr="00F43104" w:rsidRDefault="009D31F6" w:rsidP="00120795">
            <w:pPr>
              <w:pStyle w:val="BodyText21"/>
              <w:spacing w:line="240" w:lineRule="auto"/>
              <w:ind w:left="531" w:firstLine="0"/>
              <w:rPr>
                <w:szCs w:val="22"/>
              </w:rPr>
            </w:pPr>
            <w:r w:rsidRPr="00F43104">
              <w:rPr>
                <w:rStyle w:val="BodytextItalic"/>
                <w:szCs w:val="22"/>
              </w:rPr>
              <w:t>Law Reform Commission Act 1973</w:t>
            </w:r>
          </w:p>
        </w:tc>
        <w:tc>
          <w:tcPr>
            <w:tcW w:w="432" w:type="dxa"/>
            <w:vAlign w:val="bottom"/>
          </w:tcPr>
          <w:p w14:paraId="7FDCEF24" w14:textId="77777777" w:rsidR="001F5C59" w:rsidRPr="00F43104" w:rsidRDefault="009D31F6" w:rsidP="00AA0F93">
            <w:pPr>
              <w:pStyle w:val="BodyText21"/>
              <w:spacing w:line="240" w:lineRule="auto"/>
              <w:ind w:firstLine="0"/>
              <w:jc w:val="right"/>
            </w:pPr>
            <w:r w:rsidRPr="00F43104">
              <w:rPr>
                <w:rStyle w:val="Bodytext85pt"/>
                <w:sz w:val="20"/>
                <w:szCs w:val="20"/>
              </w:rPr>
              <w:t>979</w:t>
            </w:r>
          </w:p>
        </w:tc>
      </w:tr>
    </w:tbl>
    <w:p w14:paraId="7FF399C7" w14:textId="77777777" w:rsidR="00C4307E" w:rsidRDefault="00C4307E" w:rsidP="00120795">
      <w:pPr>
        <w:spacing w:before="120"/>
        <w:rPr>
          <w:rFonts w:ascii="Times New Roman" w:hAnsi="Times New Roman" w:cs="Times New Roman"/>
          <w:sz w:val="22"/>
          <w:szCs w:val="22"/>
        </w:rPr>
        <w:sectPr w:rsidR="00C4307E" w:rsidSect="00272BF2">
          <w:pgSz w:w="12240" w:h="15840" w:code="1"/>
          <w:pgMar w:top="1440" w:right="1440" w:bottom="1440" w:left="1440" w:header="0" w:footer="480" w:gutter="0"/>
          <w:cols w:space="720"/>
          <w:noEndnote/>
          <w:docGrid w:linePitch="360"/>
        </w:sectPr>
      </w:pPr>
    </w:p>
    <w:p w14:paraId="3F5F5331" w14:textId="7153F3E0" w:rsidR="001F5C59" w:rsidRDefault="00F43104" w:rsidP="00662AB0">
      <w:pPr>
        <w:spacing w:before="960"/>
        <w:rPr>
          <w:rFonts w:ascii="Times New Roman" w:hAnsi="Times New Roman" w:cs="Times New Roman"/>
          <w:sz w:val="22"/>
          <w:szCs w:val="22"/>
        </w:rPr>
      </w:pPr>
      <w:bookmarkStart w:id="0" w:name="_GoBack"/>
      <w:r>
        <w:rPr>
          <w:rFonts w:ascii="Times New Roman" w:hAnsi="Times New Roman" w:cs="Times New Roman"/>
          <w:sz w:val="22"/>
          <w:szCs w:val="22"/>
        </w:rPr>
        <w:lastRenderedPageBreak/>
        <w:pict w14:anchorId="76DB4287">
          <v:shape id="_x0000_i1026" type="#_x0000_t75" alt="Commonwealth Coat of Arms of Australia" style="width:108.3pt;height:81.8pt">
            <v:imagedata r:id="rId11" o:title=""/>
          </v:shape>
        </w:pict>
      </w:r>
      <w:bookmarkEnd w:id="0"/>
    </w:p>
    <w:p w14:paraId="470747DB" w14:textId="77777777" w:rsidR="001F5C59" w:rsidRPr="00046D37" w:rsidRDefault="009D31F6" w:rsidP="00DB6C8A">
      <w:pPr>
        <w:pStyle w:val="Bodytext20"/>
        <w:spacing w:before="960" w:line="240" w:lineRule="auto"/>
        <w:rPr>
          <w:sz w:val="36"/>
          <w:szCs w:val="36"/>
        </w:rPr>
      </w:pPr>
      <w:r w:rsidRPr="00046D37">
        <w:rPr>
          <w:sz w:val="36"/>
          <w:szCs w:val="36"/>
        </w:rPr>
        <w:t>Australian Law Reform Commission (Repeal, Transitional and Miscellaneous) Act 1996</w:t>
      </w:r>
    </w:p>
    <w:p w14:paraId="7D5C7A37" w14:textId="0E03CA52" w:rsidR="001F5C59" w:rsidRPr="00DB6C8A" w:rsidRDefault="009D31F6" w:rsidP="00DB6C8A">
      <w:pPr>
        <w:pStyle w:val="Bodytext40"/>
        <w:spacing w:before="960" w:line="240" w:lineRule="auto"/>
        <w:rPr>
          <w:rFonts w:ascii="Times New Roman" w:hAnsi="Times New Roman" w:cs="Times New Roman"/>
          <w:sz w:val="22"/>
          <w:szCs w:val="22"/>
        </w:rPr>
      </w:pPr>
      <w:r w:rsidRPr="00F43104">
        <w:rPr>
          <w:rFonts w:ascii="Times New Roman" w:hAnsi="Times New Roman" w:cs="Times New Roman"/>
          <w:sz w:val="36"/>
          <w:szCs w:val="36"/>
        </w:rPr>
        <w:t>No. 38,</w:t>
      </w:r>
      <w:r w:rsidR="00F43104">
        <w:rPr>
          <w:rFonts w:ascii="Times New Roman" w:hAnsi="Times New Roman" w:cs="Times New Roman"/>
          <w:sz w:val="36"/>
          <w:szCs w:val="36"/>
        </w:rPr>
        <w:t xml:space="preserve"> </w:t>
      </w:r>
      <w:r w:rsidRPr="00F43104">
        <w:rPr>
          <w:rFonts w:ascii="Times New Roman" w:hAnsi="Times New Roman" w:cs="Times New Roman"/>
          <w:sz w:val="36"/>
          <w:szCs w:val="36"/>
        </w:rPr>
        <w:t>1996</w:t>
      </w:r>
    </w:p>
    <w:p w14:paraId="5FC99221" w14:textId="77777777" w:rsidR="00046D37" w:rsidRDefault="00046D37" w:rsidP="00DB6C8A">
      <w:pPr>
        <w:pStyle w:val="Bodytext40"/>
        <w:pBdr>
          <w:bottom w:val="thickThinMediumGap" w:sz="24" w:space="1" w:color="auto"/>
        </w:pBdr>
        <w:spacing w:before="960" w:line="240" w:lineRule="auto"/>
        <w:rPr>
          <w:rFonts w:ascii="Times New Roman" w:hAnsi="Times New Roman" w:cs="Times New Roman"/>
          <w:sz w:val="22"/>
          <w:szCs w:val="22"/>
        </w:rPr>
      </w:pPr>
    </w:p>
    <w:p w14:paraId="52F7E975" w14:textId="77777777" w:rsidR="001F5C59" w:rsidRPr="00DB6C8A" w:rsidRDefault="009D31F6" w:rsidP="00DB6C8A">
      <w:pPr>
        <w:pStyle w:val="Bodytext30"/>
        <w:spacing w:before="960" w:line="240" w:lineRule="auto"/>
        <w:rPr>
          <w:sz w:val="26"/>
          <w:szCs w:val="26"/>
        </w:rPr>
      </w:pPr>
      <w:r w:rsidRPr="00DB6C8A">
        <w:rPr>
          <w:sz w:val="26"/>
          <w:szCs w:val="26"/>
        </w:rPr>
        <w:t xml:space="preserve">An Act to repeal the </w:t>
      </w:r>
      <w:r w:rsidRPr="00DB6C8A">
        <w:rPr>
          <w:rStyle w:val="Bodytext3Italic"/>
          <w:b/>
          <w:bCs/>
          <w:sz w:val="26"/>
          <w:szCs w:val="26"/>
        </w:rPr>
        <w:t>Law Reform Commission Act 1973</w:t>
      </w:r>
      <w:r w:rsidRPr="00DB6C8A">
        <w:rPr>
          <w:sz w:val="26"/>
          <w:szCs w:val="26"/>
        </w:rPr>
        <w:t xml:space="preserve"> and to deal with transitional and consequential matters arising from the repeal of that Act and the enactment of </w:t>
      </w:r>
      <w:r w:rsidRPr="00DB6C8A">
        <w:rPr>
          <w:rStyle w:val="Bodytext3Italic"/>
          <w:b/>
          <w:bCs/>
          <w:sz w:val="26"/>
          <w:szCs w:val="26"/>
        </w:rPr>
        <w:t>the Australian Law Reform Commission Act 1996</w:t>
      </w:r>
      <w:r w:rsidRPr="00DB6C8A">
        <w:rPr>
          <w:sz w:val="26"/>
          <w:szCs w:val="26"/>
        </w:rPr>
        <w:t>, and for related purposes</w:t>
      </w:r>
    </w:p>
    <w:p w14:paraId="0BC415CF" w14:textId="77777777" w:rsidR="001F5C59" w:rsidRDefault="009D31F6" w:rsidP="00DB6C8A">
      <w:pPr>
        <w:pStyle w:val="Bodytext50"/>
        <w:spacing w:before="120" w:line="240" w:lineRule="auto"/>
        <w:ind w:firstLine="0"/>
        <w:rPr>
          <w:rStyle w:val="Bodytext5NotItalic"/>
          <w:sz w:val="22"/>
          <w:szCs w:val="22"/>
        </w:rPr>
      </w:pPr>
      <w:r w:rsidRPr="00270EB6">
        <w:rPr>
          <w:rStyle w:val="Bodytext5NotItalic"/>
          <w:sz w:val="22"/>
          <w:szCs w:val="22"/>
        </w:rPr>
        <w:t>[</w:t>
      </w:r>
      <w:r w:rsidRPr="00850BC1">
        <w:rPr>
          <w:sz w:val="22"/>
          <w:szCs w:val="22"/>
        </w:rPr>
        <w:t>Assented to 9 October 1996</w:t>
      </w:r>
      <w:r w:rsidRPr="00270EB6">
        <w:rPr>
          <w:rStyle w:val="Bodytext5NotItalic"/>
          <w:sz w:val="22"/>
          <w:szCs w:val="22"/>
        </w:rPr>
        <w:t>]</w:t>
      </w:r>
    </w:p>
    <w:p w14:paraId="7C8553AD" w14:textId="77777777" w:rsidR="001F5C59" w:rsidRPr="00F43104" w:rsidRDefault="009D31F6" w:rsidP="00DB6C8A">
      <w:pPr>
        <w:pStyle w:val="Bodytext60"/>
        <w:spacing w:before="120" w:line="240" w:lineRule="auto"/>
        <w:rPr>
          <w:b w:val="0"/>
          <w:sz w:val="26"/>
          <w:szCs w:val="26"/>
        </w:rPr>
      </w:pPr>
      <w:r w:rsidRPr="00F43104">
        <w:rPr>
          <w:b w:val="0"/>
          <w:sz w:val="26"/>
          <w:szCs w:val="26"/>
        </w:rPr>
        <w:t>The Parliament of Australia enacts:</w:t>
      </w:r>
    </w:p>
    <w:p w14:paraId="21E81DDE" w14:textId="2C483CA9" w:rsidR="00C4307E" w:rsidRDefault="00C4307E" w:rsidP="00120795">
      <w:pPr>
        <w:spacing w:before="120"/>
        <w:rPr>
          <w:rFonts w:ascii="Times New Roman" w:eastAsia="Times New Roman" w:hAnsi="Times New Roman" w:cs="Times New Roman"/>
          <w:i/>
          <w:iCs/>
          <w:sz w:val="22"/>
          <w:szCs w:val="22"/>
        </w:rPr>
        <w:sectPr w:rsidR="00C4307E" w:rsidSect="008D75A6">
          <w:pgSz w:w="12240" w:h="15840" w:code="1"/>
          <w:pgMar w:top="1440" w:right="1440" w:bottom="1440" w:left="1440" w:header="0" w:footer="390" w:gutter="0"/>
          <w:cols w:space="720"/>
          <w:noEndnote/>
          <w:docGrid w:linePitch="360"/>
        </w:sectPr>
      </w:pPr>
      <w:bookmarkStart w:id="1" w:name="bookmark0"/>
    </w:p>
    <w:p w14:paraId="60CE979A" w14:textId="76C7BF33" w:rsidR="001F5C59" w:rsidRDefault="009D31F6" w:rsidP="00DB6C8A">
      <w:pPr>
        <w:spacing w:before="120"/>
        <w:rPr>
          <w:rFonts w:ascii="Times New Roman" w:hAnsi="Times New Roman" w:cs="Times New Roman"/>
          <w:b/>
          <w:sz w:val="22"/>
          <w:szCs w:val="22"/>
        </w:rPr>
      </w:pPr>
      <w:r w:rsidRPr="00F43104">
        <w:rPr>
          <w:rFonts w:ascii="Times New Roman" w:hAnsi="Times New Roman" w:cs="Times New Roman"/>
          <w:b/>
          <w:sz w:val="28"/>
          <w:szCs w:val="22"/>
        </w:rPr>
        <w:lastRenderedPageBreak/>
        <w:t>Part 1—Preliminary</w:t>
      </w:r>
      <w:bookmarkEnd w:id="1"/>
    </w:p>
    <w:p w14:paraId="709AD37F" w14:textId="77777777" w:rsidR="001F5C59" w:rsidRPr="00850BC1" w:rsidRDefault="00662AB0" w:rsidP="00662AB0">
      <w:pPr>
        <w:pStyle w:val="Bodytext70"/>
        <w:spacing w:before="120" w:after="60" w:line="240" w:lineRule="auto"/>
        <w:jc w:val="left"/>
        <w:rPr>
          <w:sz w:val="22"/>
          <w:szCs w:val="22"/>
        </w:rPr>
      </w:pPr>
      <w:bookmarkStart w:id="2" w:name="bookmark1"/>
      <w:r>
        <w:rPr>
          <w:sz w:val="22"/>
          <w:szCs w:val="22"/>
        </w:rPr>
        <w:t xml:space="preserve">1 </w:t>
      </w:r>
      <w:r w:rsidR="009D31F6" w:rsidRPr="00850BC1">
        <w:rPr>
          <w:sz w:val="22"/>
          <w:szCs w:val="22"/>
        </w:rPr>
        <w:t>Short title</w:t>
      </w:r>
      <w:bookmarkEnd w:id="2"/>
    </w:p>
    <w:p w14:paraId="7EB0A632" w14:textId="77777777" w:rsidR="001F5C59" w:rsidRPr="00850BC1" w:rsidRDefault="009D31F6" w:rsidP="0066415D">
      <w:pPr>
        <w:pStyle w:val="Bodytext50"/>
        <w:spacing w:before="120" w:line="240" w:lineRule="auto"/>
        <w:ind w:left="990" w:firstLine="0"/>
        <w:rPr>
          <w:sz w:val="22"/>
          <w:szCs w:val="22"/>
        </w:rPr>
      </w:pPr>
      <w:r w:rsidRPr="00850BC1">
        <w:rPr>
          <w:rStyle w:val="Bodytext5NotItalic0"/>
          <w:sz w:val="22"/>
          <w:szCs w:val="22"/>
        </w:rPr>
        <w:t xml:space="preserve">This Act may be cited as the </w:t>
      </w:r>
      <w:r w:rsidRPr="00850BC1">
        <w:rPr>
          <w:sz w:val="22"/>
          <w:szCs w:val="22"/>
        </w:rPr>
        <w:t>Australian Law Reform Commission (Repeal, Transitional and Miscellaneous) Act 1996.</w:t>
      </w:r>
    </w:p>
    <w:p w14:paraId="59E4BE21" w14:textId="77777777" w:rsidR="001F5C59" w:rsidRPr="00850BC1" w:rsidRDefault="008C4DDB" w:rsidP="00662AB0">
      <w:pPr>
        <w:pStyle w:val="Bodytext70"/>
        <w:spacing w:before="120" w:after="60" w:line="240" w:lineRule="auto"/>
        <w:jc w:val="left"/>
        <w:rPr>
          <w:sz w:val="22"/>
          <w:szCs w:val="22"/>
        </w:rPr>
      </w:pPr>
      <w:bookmarkStart w:id="3" w:name="bookmark2"/>
      <w:r>
        <w:rPr>
          <w:sz w:val="22"/>
          <w:szCs w:val="22"/>
        </w:rPr>
        <w:t xml:space="preserve">2 </w:t>
      </w:r>
      <w:r w:rsidR="009D31F6" w:rsidRPr="00850BC1">
        <w:rPr>
          <w:sz w:val="22"/>
          <w:szCs w:val="22"/>
        </w:rPr>
        <w:t>Commencement</w:t>
      </w:r>
      <w:bookmarkEnd w:id="3"/>
    </w:p>
    <w:p w14:paraId="375EDC78" w14:textId="77777777" w:rsidR="001F5C59" w:rsidRDefault="000C3A09" w:rsidP="0066415D">
      <w:pPr>
        <w:pStyle w:val="BodyText21"/>
        <w:spacing w:before="120" w:line="240" w:lineRule="auto"/>
        <w:ind w:left="990" w:hanging="360"/>
        <w:rPr>
          <w:rStyle w:val="BodytextItalic"/>
          <w:sz w:val="22"/>
          <w:szCs w:val="22"/>
        </w:rPr>
      </w:pPr>
      <w:r>
        <w:rPr>
          <w:sz w:val="22"/>
          <w:szCs w:val="22"/>
        </w:rPr>
        <w:t xml:space="preserve">(1) </w:t>
      </w:r>
      <w:r w:rsidR="009D31F6" w:rsidRPr="00850BC1">
        <w:rPr>
          <w:sz w:val="22"/>
          <w:szCs w:val="22"/>
        </w:rPr>
        <w:t xml:space="preserve">Subject to this section, this Act commences on the same day as the </w:t>
      </w:r>
      <w:r w:rsidR="009D31F6" w:rsidRPr="00850BC1">
        <w:rPr>
          <w:rStyle w:val="BodytextItalic"/>
          <w:sz w:val="22"/>
          <w:szCs w:val="22"/>
        </w:rPr>
        <w:t>Australian Law Reform Commission Act 1996.</w:t>
      </w:r>
    </w:p>
    <w:p w14:paraId="4D3CB153" w14:textId="7DD9ABCC" w:rsidR="001F5C59" w:rsidRPr="00504848" w:rsidRDefault="000C3A09" w:rsidP="0066415D">
      <w:pPr>
        <w:pStyle w:val="BodyText21"/>
        <w:spacing w:before="120" w:line="240" w:lineRule="auto"/>
        <w:ind w:left="990" w:hanging="360"/>
        <w:rPr>
          <w:i/>
          <w:sz w:val="22"/>
          <w:szCs w:val="22"/>
        </w:rPr>
      </w:pPr>
      <w:r w:rsidRPr="00504848">
        <w:rPr>
          <w:rStyle w:val="Bodytext5NotItalic0"/>
          <w:i w:val="0"/>
          <w:sz w:val="22"/>
          <w:szCs w:val="22"/>
        </w:rPr>
        <w:t xml:space="preserve">(2) </w:t>
      </w:r>
      <w:r w:rsidR="009D31F6" w:rsidRPr="00504848">
        <w:rPr>
          <w:rStyle w:val="Bodytext5NotItalic0"/>
          <w:i w:val="0"/>
          <w:sz w:val="22"/>
          <w:szCs w:val="22"/>
        </w:rPr>
        <w:t xml:space="preserve">If the </w:t>
      </w:r>
      <w:r w:rsidR="009D31F6" w:rsidRPr="00504848">
        <w:rPr>
          <w:i/>
          <w:sz w:val="22"/>
          <w:szCs w:val="22"/>
        </w:rPr>
        <w:t xml:space="preserve">Commonwealth Authorities and Companies Act 1996 </w:t>
      </w:r>
      <w:r w:rsidR="009D31F6" w:rsidRPr="00504848">
        <w:rPr>
          <w:rStyle w:val="Bodytext5NotItalic0"/>
          <w:i w:val="0"/>
          <w:sz w:val="22"/>
          <w:szCs w:val="22"/>
        </w:rPr>
        <w:t xml:space="preserve">commences on the same day as, or after, the </w:t>
      </w:r>
      <w:r w:rsidR="009D31F6" w:rsidRPr="00504848">
        <w:rPr>
          <w:i/>
          <w:sz w:val="22"/>
          <w:szCs w:val="22"/>
        </w:rPr>
        <w:t>Australian Law Reform Commission Act 1996</w:t>
      </w:r>
      <w:r w:rsidR="009D31F6" w:rsidRPr="00F43104">
        <w:rPr>
          <w:sz w:val="22"/>
          <w:szCs w:val="22"/>
        </w:rPr>
        <w:t>,</w:t>
      </w:r>
      <w:r w:rsidR="009D31F6" w:rsidRPr="00F43104">
        <w:rPr>
          <w:rStyle w:val="Bodytext5NotItalic0"/>
          <w:sz w:val="22"/>
          <w:szCs w:val="22"/>
        </w:rPr>
        <w:t xml:space="preserve"> </w:t>
      </w:r>
      <w:r w:rsidR="009D31F6" w:rsidRPr="00504848">
        <w:rPr>
          <w:rStyle w:val="Bodytext5NotItalic0"/>
          <w:i w:val="0"/>
          <w:sz w:val="22"/>
          <w:szCs w:val="22"/>
        </w:rPr>
        <w:t>Schedule 1 commences immediately after the</w:t>
      </w:r>
      <w:r w:rsidR="009D31F6" w:rsidRPr="00850BC1">
        <w:rPr>
          <w:rStyle w:val="Bodytext5NotItalic0"/>
          <w:sz w:val="22"/>
          <w:szCs w:val="22"/>
        </w:rPr>
        <w:t xml:space="preserve"> </w:t>
      </w:r>
      <w:r w:rsidR="009D31F6" w:rsidRPr="00504848">
        <w:rPr>
          <w:i/>
          <w:sz w:val="22"/>
          <w:szCs w:val="22"/>
        </w:rPr>
        <w:t>Commonwealth Authorities and Companies Act 1996</w:t>
      </w:r>
      <w:r w:rsidR="009D31F6" w:rsidRPr="00504848">
        <w:rPr>
          <w:rStyle w:val="Bodytext5NotItalic0"/>
          <w:i w:val="0"/>
          <w:sz w:val="22"/>
          <w:szCs w:val="22"/>
        </w:rPr>
        <w:t xml:space="preserve"> commences.</w:t>
      </w:r>
    </w:p>
    <w:p w14:paraId="2C6B8CCD" w14:textId="5722F482" w:rsidR="001F5C59" w:rsidRPr="00850BC1" w:rsidRDefault="000C3A09" w:rsidP="0066415D">
      <w:pPr>
        <w:pStyle w:val="BodyText21"/>
        <w:spacing w:before="120" w:line="240" w:lineRule="auto"/>
        <w:ind w:left="990" w:hanging="360"/>
        <w:rPr>
          <w:sz w:val="22"/>
          <w:szCs w:val="22"/>
        </w:rPr>
      </w:pPr>
      <w:r w:rsidRPr="005F2397">
        <w:rPr>
          <w:rStyle w:val="Bodytext5NotItalic0"/>
          <w:i w:val="0"/>
          <w:sz w:val="22"/>
          <w:szCs w:val="22"/>
        </w:rPr>
        <w:t xml:space="preserve">(3) </w:t>
      </w:r>
      <w:r w:rsidR="009D31F6" w:rsidRPr="005F2397">
        <w:rPr>
          <w:rStyle w:val="Bodytext5NotItalic0"/>
          <w:i w:val="0"/>
          <w:sz w:val="22"/>
          <w:szCs w:val="22"/>
        </w:rPr>
        <w:t xml:space="preserve">If the </w:t>
      </w:r>
      <w:r w:rsidR="009D31F6" w:rsidRPr="00B56A96">
        <w:rPr>
          <w:rStyle w:val="Bodytext5NotItalic0"/>
          <w:sz w:val="22"/>
          <w:szCs w:val="22"/>
        </w:rPr>
        <w:t>Commonwealth</w:t>
      </w:r>
      <w:r w:rsidR="009D31F6" w:rsidRPr="005F2397">
        <w:rPr>
          <w:i/>
          <w:sz w:val="22"/>
          <w:szCs w:val="22"/>
        </w:rPr>
        <w:t xml:space="preserve"> Authorities and Companies Act 1996 </w:t>
      </w:r>
      <w:r w:rsidR="009D31F6" w:rsidRPr="005F2397">
        <w:rPr>
          <w:rStyle w:val="Bodytext5NotItalic0"/>
          <w:i w:val="0"/>
          <w:sz w:val="22"/>
          <w:szCs w:val="22"/>
        </w:rPr>
        <w:t xml:space="preserve">commences before the </w:t>
      </w:r>
      <w:r w:rsidR="009D31F6" w:rsidRPr="005F2397">
        <w:rPr>
          <w:i/>
          <w:sz w:val="22"/>
          <w:szCs w:val="22"/>
        </w:rPr>
        <w:t>Australian Law Reform Commission Act 1996</w:t>
      </w:r>
      <w:r w:rsidR="009D31F6" w:rsidRPr="00F43104">
        <w:rPr>
          <w:sz w:val="22"/>
          <w:szCs w:val="22"/>
        </w:rPr>
        <w:t>,</w:t>
      </w:r>
      <w:r w:rsidR="009D31F6" w:rsidRPr="005F2397">
        <w:rPr>
          <w:rStyle w:val="Bodytext5NotItalic0"/>
          <w:i w:val="0"/>
          <w:sz w:val="22"/>
          <w:szCs w:val="22"/>
        </w:rPr>
        <w:t xml:space="preserve"> Schedule 1 commences immediately after the </w:t>
      </w:r>
      <w:r w:rsidR="009D31F6" w:rsidRPr="005F2397">
        <w:rPr>
          <w:i/>
          <w:sz w:val="22"/>
          <w:szCs w:val="22"/>
        </w:rPr>
        <w:t>Australian Law Reform Commission Act 1996</w:t>
      </w:r>
      <w:r w:rsidR="009D31F6" w:rsidRPr="005F2397">
        <w:rPr>
          <w:rStyle w:val="Bodytext5NotItalic0"/>
          <w:i w:val="0"/>
          <w:sz w:val="22"/>
          <w:szCs w:val="22"/>
        </w:rPr>
        <w:t xml:space="preserve"> commences.</w:t>
      </w:r>
    </w:p>
    <w:p w14:paraId="35057189" w14:textId="77777777" w:rsidR="001F5C59" w:rsidRPr="00850BC1" w:rsidRDefault="000C3A09" w:rsidP="00662AB0">
      <w:pPr>
        <w:pStyle w:val="Bodytext70"/>
        <w:spacing w:before="120" w:after="60" w:line="240" w:lineRule="auto"/>
        <w:jc w:val="left"/>
        <w:rPr>
          <w:sz w:val="22"/>
          <w:szCs w:val="22"/>
        </w:rPr>
      </w:pPr>
      <w:bookmarkStart w:id="4" w:name="bookmark3"/>
      <w:r>
        <w:rPr>
          <w:sz w:val="22"/>
          <w:szCs w:val="22"/>
        </w:rPr>
        <w:t>3</w:t>
      </w:r>
      <w:r w:rsidR="008C4DDB">
        <w:rPr>
          <w:sz w:val="22"/>
          <w:szCs w:val="22"/>
        </w:rPr>
        <w:t xml:space="preserve"> </w:t>
      </w:r>
      <w:r w:rsidR="009D31F6" w:rsidRPr="00850BC1">
        <w:rPr>
          <w:sz w:val="22"/>
          <w:szCs w:val="22"/>
        </w:rPr>
        <w:t>Schedule(s)</w:t>
      </w:r>
      <w:bookmarkEnd w:id="4"/>
    </w:p>
    <w:p w14:paraId="2CE15F2D" w14:textId="77777777" w:rsidR="001F5C59" w:rsidRPr="00850BC1" w:rsidRDefault="009D31F6" w:rsidP="0066415D">
      <w:pPr>
        <w:pStyle w:val="BodyText21"/>
        <w:spacing w:before="120" w:line="240" w:lineRule="auto"/>
        <w:ind w:left="990" w:firstLine="0"/>
        <w:rPr>
          <w:sz w:val="22"/>
          <w:szCs w:val="22"/>
        </w:rPr>
      </w:pPr>
      <w:r w:rsidRPr="00850BC1">
        <w:rPr>
          <w:sz w:val="22"/>
          <w:szCs w:val="22"/>
        </w:rPr>
        <w:t>Subject to section 2, each Act that is specified in a Schedule to this Act is amended or repealed as set out in the applicable items in the Schedule concerned, and any other item in a Schedule to this Act has effect according to its terms.</w:t>
      </w:r>
    </w:p>
    <w:p w14:paraId="5D0D02FC" w14:textId="77777777" w:rsidR="00C4307E" w:rsidRDefault="00C4307E">
      <w:pPr>
        <w:rPr>
          <w:rStyle w:val="Bodytext81"/>
          <w:rFonts w:eastAsia="Courier New"/>
          <w:sz w:val="22"/>
          <w:szCs w:val="22"/>
        </w:rPr>
        <w:sectPr w:rsidR="00C4307E" w:rsidSect="008D75A6">
          <w:headerReference w:type="even" r:id="rId12"/>
          <w:pgSz w:w="12240" w:h="15840" w:code="1"/>
          <w:pgMar w:top="1440" w:right="1440" w:bottom="1440" w:left="1440" w:header="360" w:footer="480" w:gutter="0"/>
          <w:cols w:space="720"/>
          <w:noEndnote/>
          <w:docGrid w:linePitch="360"/>
        </w:sectPr>
      </w:pPr>
      <w:bookmarkStart w:id="5" w:name="bookmark4"/>
    </w:p>
    <w:p w14:paraId="57385BE1" w14:textId="4CB0D968" w:rsidR="001F5C59" w:rsidRPr="00372E1B" w:rsidRDefault="009D31F6" w:rsidP="00DB6C8A">
      <w:pPr>
        <w:spacing w:before="120"/>
        <w:rPr>
          <w:rFonts w:ascii="Times New Roman" w:hAnsi="Times New Roman" w:cs="Times New Roman"/>
          <w:b/>
          <w:bCs/>
          <w:sz w:val="22"/>
          <w:szCs w:val="22"/>
        </w:rPr>
      </w:pPr>
      <w:r w:rsidRPr="00F43104">
        <w:rPr>
          <w:rFonts w:ascii="Times New Roman" w:hAnsi="Times New Roman" w:cs="Times New Roman"/>
          <w:b/>
          <w:bCs/>
          <w:sz w:val="28"/>
          <w:szCs w:val="22"/>
        </w:rPr>
        <w:lastRenderedPageBreak/>
        <w:t>Part 2—Transitional</w:t>
      </w:r>
      <w:bookmarkEnd w:id="5"/>
    </w:p>
    <w:p w14:paraId="2829BAE1" w14:textId="77777777" w:rsidR="001F5C59" w:rsidRPr="00850BC1" w:rsidRDefault="009D6D63" w:rsidP="00372E1B">
      <w:pPr>
        <w:pStyle w:val="Bodytext70"/>
        <w:spacing w:before="120" w:after="60" w:line="240" w:lineRule="auto"/>
        <w:jc w:val="left"/>
        <w:rPr>
          <w:sz w:val="22"/>
          <w:szCs w:val="22"/>
        </w:rPr>
      </w:pPr>
      <w:r>
        <w:rPr>
          <w:sz w:val="22"/>
          <w:szCs w:val="22"/>
        </w:rPr>
        <w:t xml:space="preserve">4 </w:t>
      </w:r>
      <w:r w:rsidR="009D31F6" w:rsidRPr="00850BC1">
        <w:rPr>
          <w:sz w:val="22"/>
          <w:szCs w:val="22"/>
        </w:rPr>
        <w:t>Interpretation</w:t>
      </w:r>
    </w:p>
    <w:p w14:paraId="63F3120B" w14:textId="77777777" w:rsidR="001F5C59" w:rsidRPr="00850BC1" w:rsidRDefault="009D31F6" w:rsidP="009D6D63">
      <w:pPr>
        <w:pStyle w:val="BodyText21"/>
        <w:spacing w:before="120" w:line="240" w:lineRule="auto"/>
        <w:ind w:left="990" w:firstLine="0"/>
        <w:rPr>
          <w:sz w:val="22"/>
          <w:szCs w:val="22"/>
        </w:rPr>
      </w:pPr>
      <w:r w:rsidRPr="00850BC1">
        <w:rPr>
          <w:sz w:val="22"/>
          <w:szCs w:val="22"/>
        </w:rPr>
        <w:t>In this Part, unless the contrary intention appears:</w:t>
      </w:r>
    </w:p>
    <w:p w14:paraId="7F0814B2" w14:textId="77777777" w:rsidR="001F5C59" w:rsidRPr="00A21CAC" w:rsidRDefault="009D31F6" w:rsidP="009D6D63">
      <w:pPr>
        <w:pStyle w:val="BodyText21"/>
        <w:spacing w:before="120" w:line="240" w:lineRule="auto"/>
        <w:ind w:left="994" w:firstLine="0"/>
        <w:rPr>
          <w:sz w:val="22"/>
          <w:szCs w:val="22"/>
        </w:rPr>
      </w:pPr>
      <w:r w:rsidRPr="0098123E">
        <w:rPr>
          <w:rStyle w:val="BodytextItalic"/>
          <w:b/>
          <w:sz w:val="22"/>
          <w:szCs w:val="22"/>
        </w:rPr>
        <w:t>ALRC</w:t>
      </w:r>
      <w:r w:rsidRPr="00A21CAC">
        <w:rPr>
          <w:sz w:val="22"/>
          <w:szCs w:val="22"/>
        </w:rPr>
        <w:t xml:space="preserve"> means the Australian Law Reform Commission established by the ALRC Act.</w:t>
      </w:r>
    </w:p>
    <w:p w14:paraId="740EF5A9" w14:textId="2498C361" w:rsidR="001F5C59" w:rsidRPr="002D670D" w:rsidRDefault="009D31F6" w:rsidP="009D6D63">
      <w:pPr>
        <w:pStyle w:val="Bodytext50"/>
        <w:spacing w:before="120" w:line="240" w:lineRule="auto"/>
        <w:ind w:left="994" w:firstLine="0"/>
        <w:rPr>
          <w:sz w:val="22"/>
          <w:szCs w:val="22"/>
        </w:rPr>
      </w:pPr>
      <w:proofErr w:type="spellStart"/>
      <w:r w:rsidRPr="00F43104">
        <w:rPr>
          <w:b/>
          <w:sz w:val="22"/>
          <w:szCs w:val="22"/>
        </w:rPr>
        <w:t>ALRC</w:t>
      </w:r>
      <w:proofErr w:type="spellEnd"/>
      <w:r w:rsidRPr="00F43104">
        <w:rPr>
          <w:b/>
          <w:sz w:val="22"/>
          <w:szCs w:val="22"/>
        </w:rPr>
        <w:t xml:space="preserve"> Act</w:t>
      </w:r>
      <w:r w:rsidRPr="00A21CAC">
        <w:rPr>
          <w:rStyle w:val="Bodytext5NotItalic0"/>
          <w:i/>
          <w:sz w:val="22"/>
          <w:szCs w:val="22"/>
        </w:rPr>
        <w:t xml:space="preserve"> </w:t>
      </w:r>
      <w:r w:rsidRPr="002D670D">
        <w:rPr>
          <w:rStyle w:val="Bodytext5NotItalic0"/>
          <w:sz w:val="22"/>
          <w:szCs w:val="22"/>
        </w:rPr>
        <w:t>means the</w:t>
      </w:r>
      <w:r w:rsidRPr="00A21CAC">
        <w:rPr>
          <w:rStyle w:val="Bodytext5NotItalic0"/>
          <w:i/>
          <w:sz w:val="22"/>
          <w:szCs w:val="22"/>
        </w:rPr>
        <w:t xml:space="preserve"> </w:t>
      </w:r>
      <w:r w:rsidRPr="00962715">
        <w:rPr>
          <w:sz w:val="22"/>
          <w:szCs w:val="22"/>
        </w:rPr>
        <w:t>Australian Law Reform Commission Act 1996.</w:t>
      </w:r>
    </w:p>
    <w:p w14:paraId="7CF33E1D" w14:textId="77777777" w:rsidR="003725B5" w:rsidRPr="00850BC1" w:rsidRDefault="009D31F6" w:rsidP="009D6D63">
      <w:pPr>
        <w:pStyle w:val="BodyText21"/>
        <w:spacing w:before="120" w:line="240" w:lineRule="auto"/>
        <w:ind w:left="994" w:firstLine="0"/>
        <w:rPr>
          <w:sz w:val="22"/>
          <w:szCs w:val="22"/>
        </w:rPr>
      </w:pPr>
      <w:r w:rsidRPr="0098123E">
        <w:rPr>
          <w:rStyle w:val="BodytextItalic"/>
          <w:b/>
          <w:sz w:val="22"/>
          <w:szCs w:val="22"/>
        </w:rPr>
        <w:t>assets</w:t>
      </w:r>
      <w:r w:rsidRPr="00850BC1">
        <w:rPr>
          <w:sz w:val="22"/>
          <w:szCs w:val="22"/>
        </w:rPr>
        <w:t xml:space="preserve"> means any legal or equitable assets or interests in real or personal property, whether actual, contingent or prospective, and includes all rights, powers, privileges and immunities, whether actual, contingent or prospective.</w:t>
      </w:r>
    </w:p>
    <w:p w14:paraId="1AA2EA21" w14:textId="77777777" w:rsidR="0098123E" w:rsidRDefault="009D31F6" w:rsidP="009D6D63">
      <w:pPr>
        <w:pStyle w:val="BodyText21"/>
        <w:spacing w:before="120" w:line="240" w:lineRule="auto"/>
        <w:ind w:left="994" w:firstLine="0"/>
        <w:rPr>
          <w:sz w:val="22"/>
          <w:szCs w:val="22"/>
        </w:rPr>
      </w:pPr>
      <w:r w:rsidRPr="0098123E">
        <w:rPr>
          <w:rStyle w:val="BodytextItalic"/>
          <w:b/>
          <w:sz w:val="22"/>
          <w:szCs w:val="22"/>
        </w:rPr>
        <w:t>commencement time</w:t>
      </w:r>
      <w:r w:rsidRPr="00850BC1">
        <w:rPr>
          <w:sz w:val="22"/>
          <w:szCs w:val="22"/>
        </w:rPr>
        <w:t xml:space="preserve"> means the time when this Part commences.</w:t>
      </w:r>
    </w:p>
    <w:p w14:paraId="76FCB6BF" w14:textId="77777777" w:rsidR="009D6D63" w:rsidRDefault="009D31F6" w:rsidP="009D6D63">
      <w:pPr>
        <w:pStyle w:val="BodyText21"/>
        <w:spacing w:before="120" w:line="240" w:lineRule="auto"/>
        <w:ind w:left="994" w:firstLine="0"/>
        <w:rPr>
          <w:sz w:val="22"/>
          <w:szCs w:val="22"/>
        </w:rPr>
      </w:pPr>
      <w:r w:rsidRPr="0098123E">
        <w:rPr>
          <w:rStyle w:val="BodytextItalic"/>
          <w:b/>
          <w:sz w:val="22"/>
          <w:szCs w:val="22"/>
        </w:rPr>
        <w:t>instrument</w:t>
      </w:r>
      <w:r w:rsidRPr="0098123E">
        <w:rPr>
          <w:b/>
          <w:sz w:val="22"/>
          <w:szCs w:val="22"/>
        </w:rPr>
        <w:t xml:space="preserve"> </w:t>
      </w:r>
      <w:r w:rsidRPr="00850BC1">
        <w:rPr>
          <w:sz w:val="22"/>
          <w:szCs w:val="22"/>
        </w:rPr>
        <w:t xml:space="preserve">includes a </w:t>
      </w:r>
      <w:r w:rsidR="009D6D63">
        <w:rPr>
          <w:sz w:val="22"/>
          <w:szCs w:val="22"/>
        </w:rPr>
        <w:t>document and an oral agreement.</w:t>
      </w:r>
    </w:p>
    <w:p w14:paraId="57FBB785" w14:textId="77777777" w:rsidR="001F5C59" w:rsidRPr="00850BC1" w:rsidRDefault="009D31F6" w:rsidP="009D6D63">
      <w:pPr>
        <w:pStyle w:val="BodyText21"/>
        <w:spacing w:before="120" w:line="240" w:lineRule="auto"/>
        <w:ind w:left="994" w:firstLine="0"/>
        <w:rPr>
          <w:sz w:val="22"/>
          <w:szCs w:val="22"/>
        </w:rPr>
      </w:pPr>
      <w:r w:rsidRPr="009D6D63">
        <w:rPr>
          <w:rStyle w:val="BodytextItalic"/>
          <w:b/>
          <w:sz w:val="22"/>
          <w:szCs w:val="22"/>
        </w:rPr>
        <w:t>liabilities</w:t>
      </w:r>
      <w:r w:rsidRPr="00850BC1">
        <w:rPr>
          <w:sz w:val="22"/>
          <w:szCs w:val="22"/>
        </w:rPr>
        <w:t xml:space="preserve"> means all liabilities and obligations, whether actual, contingent or prospective.</w:t>
      </w:r>
    </w:p>
    <w:p w14:paraId="6EBC4626" w14:textId="77777777" w:rsidR="001F5C59" w:rsidRPr="00850BC1" w:rsidRDefault="009D31F6" w:rsidP="009D6D63">
      <w:pPr>
        <w:pStyle w:val="BodyText21"/>
        <w:spacing w:before="120" w:line="240" w:lineRule="auto"/>
        <w:ind w:left="994" w:firstLine="0"/>
        <w:rPr>
          <w:sz w:val="22"/>
          <w:szCs w:val="22"/>
        </w:rPr>
      </w:pPr>
      <w:r w:rsidRPr="0098123E">
        <w:rPr>
          <w:rStyle w:val="BodytextItalic"/>
          <w:b/>
          <w:sz w:val="22"/>
          <w:szCs w:val="22"/>
        </w:rPr>
        <w:t>LRC</w:t>
      </w:r>
      <w:r w:rsidRPr="00850BC1">
        <w:rPr>
          <w:sz w:val="22"/>
          <w:szCs w:val="22"/>
        </w:rPr>
        <w:t xml:space="preserve"> means the Law Reform Commission established by the LRC Act.</w:t>
      </w:r>
    </w:p>
    <w:p w14:paraId="47DC2208" w14:textId="77777777" w:rsidR="001F5C59" w:rsidRPr="00850BC1" w:rsidRDefault="009D31F6" w:rsidP="009D6D63">
      <w:pPr>
        <w:pStyle w:val="Bodytext50"/>
        <w:spacing w:before="120" w:line="240" w:lineRule="auto"/>
        <w:ind w:left="994" w:firstLine="0"/>
        <w:rPr>
          <w:sz w:val="22"/>
          <w:szCs w:val="22"/>
        </w:rPr>
      </w:pPr>
      <w:r w:rsidRPr="00372E1B">
        <w:rPr>
          <w:b/>
          <w:bCs/>
          <w:sz w:val="22"/>
          <w:szCs w:val="22"/>
        </w:rPr>
        <w:t>L</w:t>
      </w:r>
      <w:r w:rsidRPr="0098123E">
        <w:rPr>
          <w:b/>
          <w:sz w:val="22"/>
          <w:szCs w:val="22"/>
        </w:rPr>
        <w:t>RC Act</w:t>
      </w:r>
      <w:r w:rsidRPr="00850BC1">
        <w:rPr>
          <w:rStyle w:val="Bodytext5NotItalic0"/>
          <w:sz w:val="22"/>
          <w:szCs w:val="22"/>
        </w:rPr>
        <w:t xml:space="preserve"> means the </w:t>
      </w:r>
      <w:r w:rsidRPr="00850BC1">
        <w:rPr>
          <w:sz w:val="22"/>
          <w:szCs w:val="22"/>
        </w:rPr>
        <w:t>Law Reform Commission Act 1973.</w:t>
      </w:r>
    </w:p>
    <w:p w14:paraId="63125B0E" w14:textId="77777777" w:rsidR="001F5C59" w:rsidRPr="00850BC1" w:rsidRDefault="009D31F6" w:rsidP="009D6D63">
      <w:pPr>
        <w:pStyle w:val="BodyText21"/>
        <w:spacing w:before="120" w:line="240" w:lineRule="auto"/>
        <w:ind w:left="994" w:firstLine="0"/>
        <w:rPr>
          <w:sz w:val="22"/>
          <w:szCs w:val="22"/>
        </w:rPr>
      </w:pPr>
      <w:r w:rsidRPr="0098123E">
        <w:rPr>
          <w:rStyle w:val="BodytextItalic"/>
          <w:b/>
          <w:sz w:val="22"/>
          <w:szCs w:val="22"/>
        </w:rPr>
        <w:t>LRC Deputy</w:t>
      </w:r>
      <w:r w:rsidRPr="00850BC1">
        <w:rPr>
          <w:rStyle w:val="BodytextItalic"/>
          <w:sz w:val="22"/>
          <w:szCs w:val="22"/>
        </w:rPr>
        <w:t xml:space="preserve"> </w:t>
      </w:r>
      <w:r w:rsidRPr="0098123E">
        <w:rPr>
          <w:rStyle w:val="BodytextItalic"/>
          <w:b/>
          <w:sz w:val="22"/>
          <w:szCs w:val="22"/>
        </w:rPr>
        <w:t>President</w:t>
      </w:r>
      <w:r w:rsidRPr="00850BC1">
        <w:rPr>
          <w:sz w:val="22"/>
          <w:szCs w:val="22"/>
        </w:rPr>
        <w:t xml:space="preserve"> means the person who held office as Deputy President of the LRC immediately before the commencement time.</w:t>
      </w:r>
    </w:p>
    <w:p w14:paraId="523C133C" w14:textId="77777777" w:rsidR="001F5C59" w:rsidRPr="00850BC1" w:rsidRDefault="009D31F6" w:rsidP="009D6D63">
      <w:pPr>
        <w:pStyle w:val="BodyText21"/>
        <w:spacing w:before="120" w:line="240" w:lineRule="auto"/>
        <w:ind w:left="994" w:firstLine="0"/>
        <w:rPr>
          <w:sz w:val="22"/>
          <w:szCs w:val="22"/>
        </w:rPr>
      </w:pPr>
      <w:r w:rsidRPr="0098123E">
        <w:rPr>
          <w:rStyle w:val="BodytextItalic"/>
          <w:b/>
          <w:sz w:val="22"/>
          <w:szCs w:val="22"/>
        </w:rPr>
        <w:t>LRC member</w:t>
      </w:r>
      <w:r w:rsidRPr="00850BC1">
        <w:rPr>
          <w:sz w:val="22"/>
          <w:szCs w:val="22"/>
        </w:rPr>
        <w:t xml:space="preserve"> means a person who held office as a member of the LRC immediately before the commencement time, except the LRC President and the LRC Deputy President.</w:t>
      </w:r>
    </w:p>
    <w:p w14:paraId="65BAB4E5" w14:textId="77777777" w:rsidR="001F5C59" w:rsidRPr="00850BC1" w:rsidRDefault="009D31F6" w:rsidP="009D6D63">
      <w:pPr>
        <w:pStyle w:val="BodyText21"/>
        <w:spacing w:before="120" w:line="240" w:lineRule="auto"/>
        <w:ind w:left="994" w:firstLine="0"/>
        <w:rPr>
          <w:sz w:val="22"/>
          <w:szCs w:val="22"/>
        </w:rPr>
      </w:pPr>
      <w:r w:rsidRPr="0098123E">
        <w:rPr>
          <w:rStyle w:val="BodytextItalic"/>
          <w:b/>
          <w:sz w:val="22"/>
          <w:szCs w:val="22"/>
        </w:rPr>
        <w:t>LRC President</w:t>
      </w:r>
      <w:r w:rsidRPr="00850BC1">
        <w:rPr>
          <w:sz w:val="22"/>
          <w:szCs w:val="22"/>
        </w:rPr>
        <w:t xml:space="preserve"> means the person who held office as President of the LRC immediately before the commencement time.</w:t>
      </w:r>
    </w:p>
    <w:p w14:paraId="46BA95B3" w14:textId="77777777" w:rsidR="001F5C59" w:rsidRPr="00850BC1" w:rsidRDefault="009D31F6" w:rsidP="009D6D63">
      <w:pPr>
        <w:pStyle w:val="BodyText21"/>
        <w:spacing w:before="120" w:line="240" w:lineRule="auto"/>
        <w:ind w:left="994" w:firstLine="0"/>
        <w:rPr>
          <w:sz w:val="22"/>
          <w:szCs w:val="22"/>
        </w:rPr>
      </w:pPr>
      <w:r w:rsidRPr="00372E1B">
        <w:rPr>
          <w:rStyle w:val="BodytextItalic"/>
          <w:b/>
          <w:sz w:val="22"/>
          <w:szCs w:val="22"/>
        </w:rPr>
        <w:t>LRC</w:t>
      </w:r>
      <w:r w:rsidRPr="0098123E">
        <w:rPr>
          <w:rStyle w:val="BodytextItalic"/>
          <w:b/>
          <w:sz w:val="22"/>
          <w:szCs w:val="22"/>
        </w:rPr>
        <w:t xml:space="preserve"> staff member</w:t>
      </w:r>
      <w:r w:rsidRPr="00850BC1">
        <w:rPr>
          <w:sz w:val="22"/>
          <w:szCs w:val="22"/>
        </w:rPr>
        <w:t xml:space="preserve"> means a person appointed under section 22 of the LRC Act.</w:t>
      </w:r>
    </w:p>
    <w:p w14:paraId="7F0DCC11" w14:textId="77777777" w:rsidR="001F5C59" w:rsidRPr="00850BC1" w:rsidRDefault="009D6D63" w:rsidP="00372E1B">
      <w:pPr>
        <w:pStyle w:val="Bodytext70"/>
        <w:spacing w:before="120" w:after="60" w:line="240" w:lineRule="auto"/>
        <w:jc w:val="left"/>
        <w:rPr>
          <w:sz w:val="22"/>
          <w:szCs w:val="22"/>
        </w:rPr>
      </w:pPr>
      <w:r>
        <w:rPr>
          <w:sz w:val="22"/>
          <w:szCs w:val="22"/>
        </w:rPr>
        <w:t xml:space="preserve">5 </w:t>
      </w:r>
      <w:r w:rsidR="009D31F6" w:rsidRPr="00850BC1">
        <w:rPr>
          <w:sz w:val="22"/>
          <w:szCs w:val="22"/>
        </w:rPr>
        <w:t>President, Deputy President and other members</w:t>
      </w:r>
    </w:p>
    <w:p w14:paraId="4F5A926C" w14:textId="77777777" w:rsidR="001F5C59" w:rsidRDefault="004447E3" w:rsidP="009D6D63">
      <w:pPr>
        <w:pStyle w:val="BodyText21"/>
        <w:spacing w:before="120" w:line="240" w:lineRule="auto"/>
        <w:ind w:left="630" w:firstLine="0"/>
        <w:rPr>
          <w:sz w:val="22"/>
          <w:szCs w:val="22"/>
        </w:rPr>
      </w:pPr>
      <w:r>
        <w:rPr>
          <w:sz w:val="22"/>
          <w:szCs w:val="22"/>
        </w:rPr>
        <w:t>(1)</w:t>
      </w:r>
      <w:r w:rsidRPr="00850BC1">
        <w:rPr>
          <w:sz w:val="22"/>
          <w:szCs w:val="22"/>
        </w:rPr>
        <w:t xml:space="preserve"> </w:t>
      </w:r>
      <w:r w:rsidR="009D31F6" w:rsidRPr="00850BC1">
        <w:rPr>
          <w:sz w:val="22"/>
          <w:szCs w:val="22"/>
        </w:rPr>
        <w:t>The LRC President becomes the ALRC President at the commencement time.</w:t>
      </w:r>
    </w:p>
    <w:p w14:paraId="60B028F3" w14:textId="77777777" w:rsidR="001F5C59" w:rsidRPr="00850BC1" w:rsidRDefault="004447E3" w:rsidP="009D6D63">
      <w:pPr>
        <w:pStyle w:val="BodyText21"/>
        <w:spacing w:before="120" w:line="240" w:lineRule="auto"/>
        <w:ind w:left="630" w:firstLine="0"/>
        <w:rPr>
          <w:sz w:val="22"/>
          <w:szCs w:val="22"/>
        </w:rPr>
      </w:pPr>
      <w:r>
        <w:rPr>
          <w:sz w:val="22"/>
          <w:szCs w:val="22"/>
        </w:rPr>
        <w:t xml:space="preserve">(2) </w:t>
      </w:r>
      <w:r w:rsidR="009D31F6" w:rsidRPr="00850BC1">
        <w:rPr>
          <w:sz w:val="22"/>
          <w:szCs w:val="22"/>
        </w:rPr>
        <w:t>The LRC Deputy President becomes the ALRC Deputy President at the commencement time.</w:t>
      </w:r>
    </w:p>
    <w:p w14:paraId="611FEBCF" w14:textId="77777777" w:rsidR="00C4307E" w:rsidRDefault="00C4307E" w:rsidP="00E71A2E">
      <w:pPr>
        <w:spacing w:before="120"/>
        <w:rPr>
          <w:rStyle w:val="Bodytext81"/>
          <w:rFonts w:eastAsia="Courier New"/>
          <w:sz w:val="22"/>
          <w:szCs w:val="22"/>
        </w:rPr>
        <w:sectPr w:rsidR="00C4307E" w:rsidSect="008D75A6">
          <w:headerReference w:type="default" r:id="rId13"/>
          <w:pgSz w:w="12240" w:h="15840" w:code="1"/>
          <w:pgMar w:top="1440" w:right="1440" w:bottom="1440" w:left="1440" w:header="360" w:footer="390" w:gutter="0"/>
          <w:cols w:space="720"/>
          <w:noEndnote/>
          <w:docGrid w:linePitch="360"/>
        </w:sectPr>
      </w:pPr>
    </w:p>
    <w:p w14:paraId="20A655DE" w14:textId="77777777" w:rsidR="001F5C59" w:rsidRPr="00850BC1" w:rsidRDefault="004704C6" w:rsidP="009D6D63">
      <w:pPr>
        <w:pStyle w:val="BodyText21"/>
        <w:spacing w:before="120" w:line="240" w:lineRule="auto"/>
        <w:ind w:left="720" w:firstLine="0"/>
        <w:rPr>
          <w:sz w:val="22"/>
          <w:szCs w:val="22"/>
        </w:rPr>
      </w:pPr>
      <w:r>
        <w:rPr>
          <w:sz w:val="22"/>
          <w:szCs w:val="22"/>
        </w:rPr>
        <w:lastRenderedPageBreak/>
        <w:t xml:space="preserve">(3) </w:t>
      </w:r>
      <w:r w:rsidR="009D31F6" w:rsidRPr="00850BC1">
        <w:rPr>
          <w:sz w:val="22"/>
          <w:szCs w:val="22"/>
        </w:rPr>
        <w:t>Each LRC member becomes an ALRC member at the commencement time.</w:t>
      </w:r>
    </w:p>
    <w:p w14:paraId="2838EE2E" w14:textId="77777777" w:rsidR="001F5C59" w:rsidRPr="00850BC1" w:rsidRDefault="004704C6" w:rsidP="009D6D63">
      <w:pPr>
        <w:pStyle w:val="BodyText21"/>
        <w:spacing w:before="120" w:line="240" w:lineRule="auto"/>
        <w:ind w:left="1080" w:hanging="360"/>
        <w:rPr>
          <w:sz w:val="22"/>
          <w:szCs w:val="22"/>
        </w:rPr>
      </w:pPr>
      <w:r>
        <w:rPr>
          <w:sz w:val="22"/>
          <w:szCs w:val="22"/>
        </w:rPr>
        <w:t xml:space="preserve">(4) </w:t>
      </w:r>
      <w:r w:rsidR="009D31F6" w:rsidRPr="00850BC1">
        <w:rPr>
          <w:sz w:val="22"/>
          <w:szCs w:val="22"/>
        </w:rPr>
        <w:t>A person who becomes the ALRC President or an ALRC member under this section holds that office:</w:t>
      </w:r>
    </w:p>
    <w:p w14:paraId="2B162DF5" w14:textId="77777777" w:rsidR="001F5C59" w:rsidRPr="00850BC1" w:rsidRDefault="009D6D63" w:rsidP="00CB033F">
      <w:pPr>
        <w:pStyle w:val="BodyText21"/>
        <w:spacing w:before="120" w:line="240" w:lineRule="auto"/>
        <w:ind w:left="1485" w:hanging="319"/>
        <w:rPr>
          <w:sz w:val="22"/>
          <w:szCs w:val="22"/>
        </w:rPr>
      </w:pPr>
      <w:r>
        <w:rPr>
          <w:sz w:val="22"/>
          <w:szCs w:val="22"/>
        </w:rPr>
        <w:t xml:space="preserve">(a) </w:t>
      </w:r>
      <w:r w:rsidR="009D31F6" w:rsidRPr="00850BC1">
        <w:rPr>
          <w:sz w:val="22"/>
          <w:szCs w:val="22"/>
        </w:rPr>
        <w:t>on the same terms and conditions as applied to his or her appointment as LRC President or LRC member, as the case may be, immediately before the commencement time; and</w:t>
      </w:r>
    </w:p>
    <w:p w14:paraId="0CEDE247" w14:textId="77777777" w:rsidR="001F5C59" w:rsidRPr="00850BC1" w:rsidRDefault="000E4EFE" w:rsidP="000E4EFE">
      <w:pPr>
        <w:pStyle w:val="BodyText21"/>
        <w:spacing w:before="120" w:line="240" w:lineRule="auto"/>
        <w:ind w:left="1485" w:hanging="319"/>
        <w:rPr>
          <w:sz w:val="22"/>
          <w:szCs w:val="22"/>
        </w:rPr>
      </w:pPr>
      <w:r>
        <w:rPr>
          <w:sz w:val="22"/>
          <w:szCs w:val="22"/>
        </w:rPr>
        <w:t xml:space="preserve">(b) </w:t>
      </w:r>
      <w:r w:rsidR="009D31F6" w:rsidRPr="00850BC1">
        <w:rPr>
          <w:sz w:val="22"/>
          <w:szCs w:val="22"/>
        </w:rPr>
        <w:t>for the unexpired part of the term of his or her appointment.</w:t>
      </w:r>
    </w:p>
    <w:p w14:paraId="1D0E8234" w14:textId="77777777" w:rsidR="001F5C59" w:rsidRPr="00850BC1" w:rsidRDefault="000E4EFE" w:rsidP="000E4EFE">
      <w:pPr>
        <w:pStyle w:val="BodyText21"/>
        <w:spacing w:before="120" w:line="240" w:lineRule="auto"/>
        <w:ind w:firstLine="720"/>
        <w:rPr>
          <w:sz w:val="22"/>
          <w:szCs w:val="22"/>
        </w:rPr>
      </w:pPr>
      <w:r>
        <w:rPr>
          <w:sz w:val="22"/>
          <w:szCs w:val="22"/>
        </w:rPr>
        <w:t xml:space="preserve">(5) </w:t>
      </w:r>
      <w:r w:rsidR="009D31F6" w:rsidRPr="00850BC1">
        <w:rPr>
          <w:sz w:val="22"/>
          <w:szCs w:val="22"/>
        </w:rPr>
        <w:t>The person who becomes the ALRC Deputy President under this section holds that office:</w:t>
      </w:r>
    </w:p>
    <w:p w14:paraId="50A5D883" w14:textId="77777777" w:rsidR="001F5C59" w:rsidRPr="00850BC1" w:rsidRDefault="000E4EFE" w:rsidP="000E4EFE">
      <w:pPr>
        <w:pStyle w:val="BodyText21"/>
        <w:spacing w:before="120" w:line="240" w:lineRule="auto"/>
        <w:ind w:left="1485" w:hanging="319"/>
        <w:rPr>
          <w:sz w:val="22"/>
          <w:szCs w:val="22"/>
        </w:rPr>
      </w:pPr>
      <w:r>
        <w:rPr>
          <w:sz w:val="22"/>
          <w:szCs w:val="22"/>
        </w:rPr>
        <w:t xml:space="preserve">(a) </w:t>
      </w:r>
      <w:r w:rsidR="009D31F6" w:rsidRPr="00850BC1">
        <w:rPr>
          <w:sz w:val="22"/>
          <w:szCs w:val="22"/>
        </w:rPr>
        <w:t>on the same terms and conditions as applied to his or her appointment as LRC Deputy President immediately before the commencement time; and</w:t>
      </w:r>
    </w:p>
    <w:p w14:paraId="056FE858" w14:textId="77777777" w:rsidR="001F5C59" w:rsidRPr="00850BC1" w:rsidRDefault="00CA53F3" w:rsidP="00CA53F3">
      <w:pPr>
        <w:pStyle w:val="BodyText21"/>
        <w:spacing w:before="120" w:line="240" w:lineRule="auto"/>
        <w:ind w:left="1485" w:hanging="319"/>
        <w:rPr>
          <w:sz w:val="22"/>
          <w:szCs w:val="22"/>
        </w:rPr>
      </w:pPr>
      <w:r>
        <w:rPr>
          <w:sz w:val="22"/>
          <w:szCs w:val="22"/>
        </w:rPr>
        <w:t xml:space="preserve">(b) </w:t>
      </w:r>
      <w:r w:rsidR="009D31F6" w:rsidRPr="00850BC1">
        <w:rPr>
          <w:sz w:val="22"/>
          <w:szCs w:val="22"/>
        </w:rPr>
        <w:t>for a term ending on 13 December 2000.</w:t>
      </w:r>
    </w:p>
    <w:p w14:paraId="313127C6" w14:textId="77777777" w:rsidR="001F5C59" w:rsidRPr="00850BC1" w:rsidRDefault="00CB58A2" w:rsidP="0072007D">
      <w:pPr>
        <w:pStyle w:val="BodyText21"/>
        <w:spacing w:before="120" w:line="240" w:lineRule="auto"/>
        <w:ind w:left="1080" w:hanging="360"/>
        <w:rPr>
          <w:sz w:val="22"/>
          <w:szCs w:val="22"/>
        </w:rPr>
      </w:pPr>
      <w:r>
        <w:rPr>
          <w:sz w:val="22"/>
          <w:szCs w:val="22"/>
        </w:rPr>
        <w:t xml:space="preserve">(6) </w:t>
      </w:r>
      <w:r w:rsidR="009D31F6" w:rsidRPr="00850BC1">
        <w:rPr>
          <w:sz w:val="22"/>
          <w:szCs w:val="22"/>
        </w:rPr>
        <w:t>This section does not prevent the terms and conditions referred to in subsections (4) and (5) being varied after the commencement time.</w:t>
      </w:r>
    </w:p>
    <w:p w14:paraId="45CFAC6C" w14:textId="77777777" w:rsidR="001F5C59" w:rsidRPr="00850BC1" w:rsidRDefault="00CE20E6" w:rsidP="00372E1B">
      <w:pPr>
        <w:pStyle w:val="Bodytext70"/>
        <w:spacing w:before="120" w:after="60" w:line="240" w:lineRule="auto"/>
        <w:jc w:val="left"/>
        <w:rPr>
          <w:sz w:val="22"/>
          <w:szCs w:val="22"/>
        </w:rPr>
      </w:pPr>
      <w:bookmarkStart w:id="6" w:name="bookmark5"/>
      <w:r>
        <w:rPr>
          <w:sz w:val="22"/>
          <w:szCs w:val="22"/>
        </w:rPr>
        <w:t xml:space="preserve">6 </w:t>
      </w:r>
      <w:r w:rsidR="009D31F6" w:rsidRPr="00850BC1">
        <w:rPr>
          <w:sz w:val="22"/>
          <w:szCs w:val="22"/>
        </w:rPr>
        <w:t>Transfer of LRC staff to ALRC</w:t>
      </w:r>
      <w:bookmarkEnd w:id="6"/>
    </w:p>
    <w:p w14:paraId="4B168EBD" w14:textId="77777777" w:rsidR="001F5C59" w:rsidRPr="00850BC1" w:rsidRDefault="00581C37" w:rsidP="00120795">
      <w:pPr>
        <w:pStyle w:val="BodyText21"/>
        <w:tabs>
          <w:tab w:val="left" w:pos="990"/>
        </w:tabs>
        <w:spacing w:before="120" w:line="240" w:lineRule="auto"/>
        <w:ind w:left="1080" w:hanging="360"/>
        <w:rPr>
          <w:sz w:val="22"/>
          <w:szCs w:val="22"/>
        </w:rPr>
      </w:pPr>
      <w:r>
        <w:rPr>
          <w:sz w:val="22"/>
          <w:szCs w:val="22"/>
        </w:rPr>
        <w:t xml:space="preserve">(1) </w:t>
      </w:r>
      <w:r w:rsidR="009D31F6" w:rsidRPr="00850BC1">
        <w:rPr>
          <w:sz w:val="22"/>
          <w:szCs w:val="22"/>
        </w:rPr>
        <w:t>Each LRC staff member becomes a member of the staff of the ALRC at the commencement time.</w:t>
      </w:r>
    </w:p>
    <w:p w14:paraId="3B6ECAE4" w14:textId="77777777" w:rsidR="001F5C59" w:rsidRPr="00850BC1" w:rsidRDefault="00581C37" w:rsidP="00B915A6">
      <w:pPr>
        <w:pStyle w:val="BodyText21"/>
        <w:spacing w:before="120" w:line="240" w:lineRule="auto"/>
        <w:ind w:left="1080" w:hanging="360"/>
        <w:rPr>
          <w:sz w:val="22"/>
          <w:szCs w:val="22"/>
        </w:rPr>
      </w:pPr>
      <w:r>
        <w:rPr>
          <w:sz w:val="22"/>
          <w:szCs w:val="22"/>
        </w:rPr>
        <w:t xml:space="preserve">(2) </w:t>
      </w:r>
      <w:r w:rsidR="009D31F6" w:rsidRPr="00850BC1">
        <w:rPr>
          <w:sz w:val="22"/>
          <w:szCs w:val="22"/>
        </w:rPr>
        <w:t>A person who becomes a member of the staff of the ALRC under this section:</w:t>
      </w:r>
    </w:p>
    <w:p w14:paraId="246A6BB0" w14:textId="77777777" w:rsidR="001F5C59" w:rsidRPr="00850BC1" w:rsidRDefault="00581C37" w:rsidP="00B915A6">
      <w:pPr>
        <w:pStyle w:val="BodyText21"/>
        <w:spacing w:before="120" w:line="240" w:lineRule="auto"/>
        <w:ind w:left="1485" w:hanging="319"/>
        <w:rPr>
          <w:sz w:val="22"/>
          <w:szCs w:val="22"/>
        </w:rPr>
      </w:pPr>
      <w:r>
        <w:rPr>
          <w:sz w:val="22"/>
          <w:szCs w:val="22"/>
        </w:rPr>
        <w:t xml:space="preserve">(a) </w:t>
      </w:r>
      <w:r w:rsidR="009D31F6" w:rsidRPr="00850BC1">
        <w:rPr>
          <w:sz w:val="22"/>
          <w:szCs w:val="22"/>
        </w:rPr>
        <w:t>must be employed on terms and conditions that are not less favourable than the terms and conditions that applied to the person’s employment as an LRC staff member; and</w:t>
      </w:r>
    </w:p>
    <w:p w14:paraId="21B21721" w14:textId="77777777" w:rsidR="001F5C59" w:rsidRPr="00850BC1" w:rsidRDefault="00581C37" w:rsidP="00B915A6">
      <w:pPr>
        <w:pStyle w:val="BodyText21"/>
        <w:spacing w:before="120" w:line="240" w:lineRule="auto"/>
        <w:ind w:left="1485" w:hanging="319"/>
        <w:rPr>
          <w:sz w:val="22"/>
          <w:szCs w:val="22"/>
        </w:rPr>
      </w:pPr>
      <w:r>
        <w:rPr>
          <w:sz w:val="22"/>
          <w:szCs w:val="22"/>
        </w:rPr>
        <w:t xml:space="preserve">(b) </w:t>
      </w:r>
      <w:r w:rsidR="009D31F6" w:rsidRPr="00850BC1">
        <w:rPr>
          <w:sz w:val="22"/>
          <w:szCs w:val="22"/>
        </w:rPr>
        <w:t>is entitled to retain, as a member of the staff of the ALRC, all the benefits that had accrued to the person in respect of his or her employment as an LRC staff member, as if those benefits had accrued in respect of his or her employment as a member of the staff of the ALRC.</w:t>
      </w:r>
    </w:p>
    <w:p w14:paraId="482E1ECF" w14:textId="77777777" w:rsidR="001F5C59" w:rsidRPr="00850BC1" w:rsidRDefault="00581C37" w:rsidP="00B915A6">
      <w:pPr>
        <w:pStyle w:val="BodyText21"/>
        <w:spacing w:before="120" w:line="240" w:lineRule="auto"/>
        <w:ind w:left="1080" w:hanging="360"/>
        <w:rPr>
          <w:sz w:val="22"/>
          <w:szCs w:val="22"/>
        </w:rPr>
      </w:pPr>
      <w:r>
        <w:rPr>
          <w:sz w:val="22"/>
          <w:szCs w:val="22"/>
        </w:rPr>
        <w:t xml:space="preserve">(3) </w:t>
      </w:r>
      <w:r w:rsidR="009D31F6" w:rsidRPr="00850BC1">
        <w:rPr>
          <w:sz w:val="22"/>
          <w:szCs w:val="22"/>
        </w:rPr>
        <w:t>This section does not prevent terms and conditions of employment being varied after the commencement time.</w:t>
      </w:r>
    </w:p>
    <w:p w14:paraId="2C60D287" w14:textId="77777777" w:rsidR="001F5C59" w:rsidRPr="00850BC1" w:rsidRDefault="00581C37" w:rsidP="00F464D4">
      <w:pPr>
        <w:pStyle w:val="Bodytext70"/>
        <w:spacing w:before="120" w:after="60" w:line="240" w:lineRule="auto"/>
        <w:jc w:val="left"/>
        <w:rPr>
          <w:sz w:val="22"/>
          <w:szCs w:val="22"/>
        </w:rPr>
      </w:pPr>
      <w:bookmarkStart w:id="7" w:name="bookmark6"/>
      <w:r>
        <w:rPr>
          <w:sz w:val="22"/>
          <w:szCs w:val="22"/>
        </w:rPr>
        <w:t xml:space="preserve">7 </w:t>
      </w:r>
      <w:r w:rsidR="009D31F6" w:rsidRPr="00850BC1">
        <w:rPr>
          <w:sz w:val="22"/>
          <w:szCs w:val="22"/>
        </w:rPr>
        <w:t>Transfer of LRC assets and liabilities to ALRC</w:t>
      </w:r>
      <w:bookmarkEnd w:id="7"/>
    </w:p>
    <w:p w14:paraId="19794B07" w14:textId="77777777" w:rsidR="001F5C59" w:rsidRPr="00850BC1" w:rsidRDefault="009D31F6" w:rsidP="00F464D4">
      <w:pPr>
        <w:pStyle w:val="BodyText21"/>
        <w:spacing w:before="120" w:line="240" w:lineRule="auto"/>
        <w:ind w:left="1035" w:firstLine="0"/>
        <w:rPr>
          <w:sz w:val="22"/>
          <w:szCs w:val="22"/>
        </w:rPr>
      </w:pPr>
      <w:r w:rsidRPr="00850BC1">
        <w:rPr>
          <w:sz w:val="22"/>
          <w:szCs w:val="22"/>
        </w:rPr>
        <w:t>The assets and liabilities of the LRC become the assets and liabilities of the ALRC at the commencement time.</w:t>
      </w:r>
    </w:p>
    <w:p w14:paraId="5D40180B" w14:textId="77777777" w:rsidR="00C4307E" w:rsidRDefault="00C4307E">
      <w:pPr>
        <w:rPr>
          <w:rStyle w:val="Bodytext81"/>
          <w:rFonts w:eastAsia="Courier New"/>
          <w:b/>
          <w:bCs/>
          <w:sz w:val="22"/>
          <w:szCs w:val="22"/>
        </w:rPr>
        <w:sectPr w:rsidR="00C4307E" w:rsidSect="008D75A6">
          <w:headerReference w:type="even" r:id="rId14"/>
          <w:pgSz w:w="12240" w:h="15840" w:code="1"/>
          <w:pgMar w:top="1440" w:right="1440" w:bottom="1440" w:left="1440" w:header="450" w:footer="300" w:gutter="0"/>
          <w:cols w:space="720"/>
          <w:noEndnote/>
          <w:docGrid w:linePitch="360"/>
        </w:sectPr>
      </w:pPr>
    </w:p>
    <w:p w14:paraId="7EE7494A" w14:textId="77777777" w:rsidR="001F5C59" w:rsidRPr="00850BC1" w:rsidRDefault="00B915A6" w:rsidP="00F464D4">
      <w:pPr>
        <w:pStyle w:val="Bodytext70"/>
        <w:spacing w:before="120" w:after="60" w:line="240" w:lineRule="auto"/>
        <w:jc w:val="left"/>
        <w:rPr>
          <w:sz w:val="22"/>
          <w:szCs w:val="22"/>
        </w:rPr>
      </w:pPr>
      <w:r>
        <w:rPr>
          <w:sz w:val="22"/>
          <w:szCs w:val="22"/>
        </w:rPr>
        <w:lastRenderedPageBreak/>
        <w:t xml:space="preserve">8 </w:t>
      </w:r>
      <w:r w:rsidR="009D31F6" w:rsidRPr="00850BC1">
        <w:rPr>
          <w:sz w:val="22"/>
          <w:szCs w:val="22"/>
        </w:rPr>
        <w:t>LRC instruments</w:t>
      </w:r>
    </w:p>
    <w:p w14:paraId="09F3A049" w14:textId="77777777" w:rsidR="001F5C59" w:rsidRPr="00850BC1" w:rsidRDefault="00F30687" w:rsidP="00F30687">
      <w:pPr>
        <w:pStyle w:val="BodyText21"/>
        <w:spacing w:before="120" w:line="240" w:lineRule="auto"/>
        <w:ind w:left="1080" w:hanging="360"/>
        <w:rPr>
          <w:sz w:val="22"/>
          <w:szCs w:val="22"/>
        </w:rPr>
      </w:pPr>
      <w:r>
        <w:rPr>
          <w:sz w:val="22"/>
          <w:szCs w:val="22"/>
        </w:rPr>
        <w:t xml:space="preserve">(1) </w:t>
      </w:r>
      <w:r w:rsidR="009D31F6" w:rsidRPr="00850BC1">
        <w:rPr>
          <w:sz w:val="22"/>
          <w:szCs w:val="22"/>
        </w:rPr>
        <w:t>Each LRC instrument continues to have effect according to its tenor after the commencement time as if a reference in the instrument to the LRC were a reference to the ALRC.</w:t>
      </w:r>
    </w:p>
    <w:p w14:paraId="6258C27F" w14:textId="77777777" w:rsidR="001F5C59" w:rsidRPr="00850BC1" w:rsidRDefault="00F30687" w:rsidP="00F30687">
      <w:pPr>
        <w:pStyle w:val="BodyText21"/>
        <w:spacing w:before="120" w:line="240" w:lineRule="auto"/>
        <w:ind w:left="1080" w:hanging="360"/>
        <w:rPr>
          <w:sz w:val="22"/>
          <w:szCs w:val="22"/>
        </w:rPr>
      </w:pPr>
      <w:r>
        <w:rPr>
          <w:sz w:val="22"/>
          <w:szCs w:val="22"/>
        </w:rPr>
        <w:t xml:space="preserve">(2) </w:t>
      </w:r>
      <w:r w:rsidR="009D31F6" w:rsidRPr="00850BC1">
        <w:rPr>
          <w:sz w:val="22"/>
          <w:szCs w:val="22"/>
        </w:rPr>
        <w:t>In this section:</w:t>
      </w:r>
    </w:p>
    <w:p w14:paraId="022A61E6" w14:textId="77777777" w:rsidR="001F5C59" w:rsidRPr="00850BC1" w:rsidRDefault="009D31F6" w:rsidP="00F30687">
      <w:pPr>
        <w:pStyle w:val="BodyText21"/>
        <w:spacing w:before="120" w:line="240" w:lineRule="auto"/>
        <w:ind w:left="1080" w:firstLine="0"/>
        <w:rPr>
          <w:sz w:val="22"/>
          <w:szCs w:val="22"/>
        </w:rPr>
      </w:pPr>
      <w:r w:rsidRPr="00850BC1">
        <w:rPr>
          <w:rStyle w:val="BodytextBold"/>
          <w:sz w:val="22"/>
          <w:szCs w:val="22"/>
        </w:rPr>
        <w:t>LRC instrument</w:t>
      </w:r>
      <w:r w:rsidRPr="00850BC1">
        <w:rPr>
          <w:sz w:val="22"/>
          <w:szCs w:val="22"/>
        </w:rPr>
        <w:t xml:space="preserve"> means an instrument in operation immediately before the commencement time:</w:t>
      </w:r>
    </w:p>
    <w:p w14:paraId="2EFA6D47" w14:textId="77777777" w:rsidR="001F5C59" w:rsidRPr="00850BC1" w:rsidRDefault="00F30687" w:rsidP="006825E8">
      <w:pPr>
        <w:pStyle w:val="BodyText21"/>
        <w:spacing w:before="120" w:line="240" w:lineRule="auto"/>
        <w:ind w:left="1485" w:hanging="319"/>
        <w:rPr>
          <w:sz w:val="22"/>
          <w:szCs w:val="22"/>
        </w:rPr>
      </w:pPr>
      <w:r>
        <w:rPr>
          <w:sz w:val="22"/>
          <w:szCs w:val="22"/>
        </w:rPr>
        <w:t xml:space="preserve">(a) </w:t>
      </w:r>
      <w:r w:rsidR="009D31F6" w:rsidRPr="00850BC1">
        <w:rPr>
          <w:sz w:val="22"/>
          <w:szCs w:val="22"/>
        </w:rPr>
        <w:t>to which the LRC is a party; or</w:t>
      </w:r>
    </w:p>
    <w:p w14:paraId="583F0387" w14:textId="77777777" w:rsidR="001F5C59" w:rsidRPr="00850BC1" w:rsidRDefault="00F30687" w:rsidP="006825E8">
      <w:pPr>
        <w:pStyle w:val="BodyText21"/>
        <w:spacing w:before="120" w:line="240" w:lineRule="auto"/>
        <w:ind w:left="1485" w:hanging="319"/>
        <w:rPr>
          <w:sz w:val="22"/>
          <w:szCs w:val="22"/>
        </w:rPr>
      </w:pPr>
      <w:r>
        <w:rPr>
          <w:sz w:val="22"/>
          <w:szCs w:val="22"/>
        </w:rPr>
        <w:t xml:space="preserve">(b) </w:t>
      </w:r>
      <w:r w:rsidR="009D31F6" w:rsidRPr="00850BC1">
        <w:rPr>
          <w:sz w:val="22"/>
          <w:szCs w:val="22"/>
        </w:rPr>
        <w:t>which was given to, or in favour of, the LRC; or</w:t>
      </w:r>
    </w:p>
    <w:p w14:paraId="04772E82" w14:textId="77777777" w:rsidR="001F5C59" w:rsidRPr="00850BC1" w:rsidRDefault="00F30687" w:rsidP="006825E8">
      <w:pPr>
        <w:pStyle w:val="BodyText21"/>
        <w:spacing w:before="120" w:line="240" w:lineRule="auto"/>
        <w:ind w:left="1485" w:hanging="319"/>
        <w:rPr>
          <w:sz w:val="22"/>
          <w:szCs w:val="22"/>
        </w:rPr>
      </w:pPr>
      <w:r>
        <w:rPr>
          <w:sz w:val="22"/>
          <w:szCs w:val="22"/>
        </w:rPr>
        <w:t xml:space="preserve">(c) </w:t>
      </w:r>
      <w:r w:rsidR="009D31F6" w:rsidRPr="00850BC1">
        <w:rPr>
          <w:sz w:val="22"/>
          <w:szCs w:val="22"/>
        </w:rPr>
        <w:t>in which a reference is made to the LRC; or</w:t>
      </w:r>
    </w:p>
    <w:p w14:paraId="6B3FEA3F" w14:textId="77777777" w:rsidR="001F5C59" w:rsidRPr="00850BC1" w:rsidRDefault="00F30687" w:rsidP="006825E8">
      <w:pPr>
        <w:pStyle w:val="BodyText21"/>
        <w:spacing w:before="120" w:line="240" w:lineRule="auto"/>
        <w:ind w:left="1485" w:hanging="319"/>
        <w:rPr>
          <w:sz w:val="22"/>
          <w:szCs w:val="22"/>
        </w:rPr>
      </w:pPr>
      <w:r>
        <w:rPr>
          <w:sz w:val="22"/>
          <w:szCs w:val="22"/>
        </w:rPr>
        <w:t xml:space="preserve">(d) </w:t>
      </w:r>
      <w:r w:rsidR="009D31F6" w:rsidRPr="00850BC1">
        <w:rPr>
          <w:sz w:val="22"/>
          <w:szCs w:val="22"/>
        </w:rPr>
        <w:t>under which any right or liability accrues, or may accrue, to the LRC.</w:t>
      </w:r>
    </w:p>
    <w:p w14:paraId="0E0A557F" w14:textId="1CE6208E" w:rsidR="001F5C59" w:rsidRPr="00850BC1" w:rsidRDefault="00517D58" w:rsidP="00F464D4">
      <w:pPr>
        <w:pStyle w:val="Bodytext70"/>
        <w:spacing w:before="120" w:after="60" w:line="240" w:lineRule="auto"/>
        <w:jc w:val="left"/>
        <w:rPr>
          <w:sz w:val="22"/>
          <w:szCs w:val="22"/>
        </w:rPr>
      </w:pPr>
      <w:r>
        <w:rPr>
          <w:sz w:val="22"/>
          <w:szCs w:val="22"/>
        </w:rPr>
        <w:t xml:space="preserve">9 </w:t>
      </w:r>
      <w:r w:rsidR="009D31F6" w:rsidRPr="00850BC1">
        <w:rPr>
          <w:sz w:val="22"/>
          <w:szCs w:val="22"/>
        </w:rPr>
        <w:t>Pending proceedings</w:t>
      </w:r>
    </w:p>
    <w:p w14:paraId="3D7E9E1D" w14:textId="77777777" w:rsidR="001F5C59" w:rsidRPr="00850BC1" w:rsidRDefault="009D31F6" w:rsidP="006825E8">
      <w:pPr>
        <w:pStyle w:val="BodyText21"/>
        <w:spacing w:before="120" w:line="240" w:lineRule="auto"/>
        <w:ind w:left="1080" w:firstLine="0"/>
        <w:rPr>
          <w:sz w:val="22"/>
          <w:szCs w:val="22"/>
        </w:rPr>
      </w:pPr>
      <w:r w:rsidRPr="00850BC1">
        <w:rPr>
          <w:sz w:val="22"/>
          <w:szCs w:val="22"/>
        </w:rPr>
        <w:t>If, immediately before the commencement time, the LRC was a party to proceedings pending or existing in any court or tribunal, the ALRC is substituted for the LRC in the proceedings at the commencement time, and has the same rights and obligations in the proceedings as the LRC had.</w:t>
      </w:r>
    </w:p>
    <w:p w14:paraId="3D84821F" w14:textId="54A1B3EE" w:rsidR="001F5C59" w:rsidRPr="00850BC1" w:rsidRDefault="00517D58" w:rsidP="00372E1B">
      <w:pPr>
        <w:pStyle w:val="Bodytext70"/>
        <w:spacing w:before="120" w:after="60" w:line="240" w:lineRule="auto"/>
        <w:jc w:val="left"/>
        <w:rPr>
          <w:sz w:val="22"/>
          <w:szCs w:val="22"/>
        </w:rPr>
      </w:pPr>
      <w:r>
        <w:rPr>
          <w:sz w:val="22"/>
          <w:szCs w:val="22"/>
        </w:rPr>
        <w:t xml:space="preserve">10 </w:t>
      </w:r>
      <w:r w:rsidR="009D31F6" w:rsidRPr="00850BC1">
        <w:rPr>
          <w:sz w:val="22"/>
          <w:szCs w:val="22"/>
        </w:rPr>
        <w:t>Continuation of references, directions and requirements</w:t>
      </w:r>
    </w:p>
    <w:p w14:paraId="1F80B2F5" w14:textId="77777777" w:rsidR="001F5C59" w:rsidRPr="00850BC1" w:rsidRDefault="00517D58" w:rsidP="00590021">
      <w:pPr>
        <w:pStyle w:val="BodyText21"/>
        <w:spacing w:before="120" w:line="240" w:lineRule="auto"/>
        <w:ind w:left="1080" w:hanging="360"/>
        <w:rPr>
          <w:sz w:val="22"/>
          <w:szCs w:val="22"/>
        </w:rPr>
      </w:pPr>
      <w:r>
        <w:rPr>
          <w:sz w:val="22"/>
          <w:szCs w:val="22"/>
        </w:rPr>
        <w:t xml:space="preserve">(1) </w:t>
      </w:r>
      <w:r w:rsidR="009D31F6" w:rsidRPr="00850BC1">
        <w:rPr>
          <w:sz w:val="22"/>
          <w:szCs w:val="22"/>
        </w:rPr>
        <w:t>A reference by the Attorney-General to the LRC under the LRC Act that had not been finally dealt with by the LRC immediately before the commencement time continues to have effect after that time as if it had been made to the ALRC under the ALRC Act.</w:t>
      </w:r>
    </w:p>
    <w:p w14:paraId="275E36B9" w14:textId="77777777" w:rsidR="001F5C59" w:rsidRPr="00850BC1" w:rsidRDefault="00517D58" w:rsidP="00590021">
      <w:pPr>
        <w:pStyle w:val="BodyText21"/>
        <w:spacing w:before="120" w:line="240" w:lineRule="auto"/>
        <w:ind w:left="1080" w:hanging="360"/>
        <w:rPr>
          <w:sz w:val="22"/>
          <w:szCs w:val="22"/>
        </w:rPr>
      </w:pPr>
      <w:r>
        <w:rPr>
          <w:sz w:val="22"/>
          <w:szCs w:val="22"/>
        </w:rPr>
        <w:t xml:space="preserve">(2) </w:t>
      </w:r>
      <w:r w:rsidR="009D31F6" w:rsidRPr="00850BC1">
        <w:rPr>
          <w:sz w:val="22"/>
          <w:szCs w:val="22"/>
        </w:rPr>
        <w:t>A direction by the Attorney-General to the LRC given under a provision of the LRC Act and in force immediately before the commencement time continues to have effect after that time as if it had been given to the ALRC under the equivalent provision of the ALRC Act.</w:t>
      </w:r>
    </w:p>
    <w:p w14:paraId="64662940" w14:textId="77777777" w:rsidR="001F5C59" w:rsidRPr="00850BC1" w:rsidRDefault="00517D58" w:rsidP="00590021">
      <w:pPr>
        <w:pStyle w:val="BodyText21"/>
        <w:spacing w:before="120" w:line="240" w:lineRule="auto"/>
        <w:ind w:left="1080" w:hanging="360"/>
        <w:rPr>
          <w:sz w:val="22"/>
          <w:szCs w:val="22"/>
        </w:rPr>
      </w:pPr>
      <w:r>
        <w:rPr>
          <w:sz w:val="22"/>
          <w:szCs w:val="22"/>
        </w:rPr>
        <w:t xml:space="preserve">(3) </w:t>
      </w:r>
      <w:r w:rsidR="009D31F6" w:rsidRPr="00850BC1">
        <w:rPr>
          <w:sz w:val="22"/>
          <w:szCs w:val="22"/>
        </w:rPr>
        <w:t>If, immediately before the commencement time, the LRC had not complied with a requirement made by a House of the Parliament, or by a Committee of either House or both Houses, under section 9 of the LRC Act, the requirement continues to have effect after that time as if it had been made under section 26 of the ALRC Act.</w:t>
      </w:r>
    </w:p>
    <w:p w14:paraId="3E49787B" w14:textId="77777777" w:rsidR="001F5C59" w:rsidRPr="00850BC1" w:rsidRDefault="00517D58" w:rsidP="00F464D4">
      <w:pPr>
        <w:pStyle w:val="Bodytext70"/>
        <w:spacing w:before="120" w:after="60" w:line="240" w:lineRule="auto"/>
        <w:jc w:val="left"/>
        <w:rPr>
          <w:sz w:val="22"/>
          <w:szCs w:val="22"/>
        </w:rPr>
      </w:pPr>
      <w:r>
        <w:rPr>
          <w:sz w:val="22"/>
          <w:szCs w:val="22"/>
        </w:rPr>
        <w:t xml:space="preserve">11 </w:t>
      </w:r>
      <w:r w:rsidR="009D31F6" w:rsidRPr="00850BC1">
        <w:rPr>
          <w:sz w:val="22"/>
          <w:szCs w:val="22"/>
        </w:rPr>
        <w:t>Regulations</w:t>
      </w:r>
    </w:p>
    <w:p w14:paraId="239FE6AB" w14:textId="77777777" w:rsidR="001F5C59" w:rsidRPr="00850BC1" w:rsidRDefault="00517D58" w:rsidP="00590021">
      <w:pPr>
        <w:pStyle w:val="BodyText21"/>
        <w:spacing w:before="120" w:line="240" w:lineRule="auto"/>
        <w:ind w:left="1080" w:hanging="360"/>
        <w:rPr>
          <w:sz w:val="22"/>
          <w:szCs w:val="22"/>
        </w:rPr>
      </w:pPr>
      <w:r>
        <w:rPr>
          <w:sz w:val="22"/>
          <w:szCs w:val="22"/>
        </w:rPr>
        <w:t xml:space="preserve">(1) </w:t>
      </w:r>
      <w:r w:rsidR="009D31F6" w:rsidRPr="00850BC1">
        <w:rPr>
          <w:sz w:val="22"/>
          <w:szCs w:val="22"/>
        </w:rPr>
        <w:t>The Governor-General may make regulations prescribing matters:</w:t>
      </w:r>
    </w:p>
    <w:p w14:paraId="4860FBBF" w14:textId="77777777" w:rsidR="001F5C59" w:rsidRPr="00850BC1" w:rsidRDefault="00517D58" w:rsidP="00F464D4">
      <w:pPr>
        <w:pStyle w:val="BodyText21"/>
        <w:spacing w:before="120" w:line="240" w:lineRule="auto"/>
        <w:ind w:left="1161" w:firstLine="5"/>
        <w:rPr>
          <w:sz w:val="22"/>
          <w:szCs w:val="22"/>
        </w:rPr>
      </w:pPr>
      <w:r>
        <w:rPr>
          <w:sz w:val="22"/>
          <w:szCs w:val="22"/>
        </w:rPr>
        <w:t xml:space="preserve">(a) </w:t>
      </w:r>
      <w:r w:rsidR="009D31F6" w:rsidRPr="00850BC1">
        <w:rPr>
          <w:sz w:val="22"/>
          <w:szCs w:val="22"/>
        </w:rPr>
        <w:t>required or permitted by this Act to be prescribed; or</w:t>
      </w:r>
    </w:p>
    <w:p w14:paraId="4BA6AF1E" w14:textId="77777777" w:rsidR="00C4307E" w:rsidRDefault="00C4307E">
      <w:pPr>
        <w:rPr>
          <w:rStyle w:val="Bodytext81"/>
          <w:rFonts w:eastAsia="Courier New"/>
          <w:sz w:val="22"/>
          <w:szCs w:val="22"/>
        </w:rPr>
        <w:sectPr w:rsidR="00C4307E" w:rsidSect="008D75A6">
          <w:headerReference w:type="default" r:id="rId15"/>
          <w:pgSz w:w="12240" w:h="15840" w:code="1"/>
          <w:pgMar w:top="1440" w:right="1440" w:bottom="1440" w:left="1440" w:header="360" w:footer="480" w:gutter="0"/>
          <w:cols w:space="720"/>
          <w:noEndnote/>
          <w:docGrid w:linePitch="360"/>
        </w:sectPr>
      </w:pPr>
    </w:p>
    <w:p w14:paraId="5498FED8" w14:textId="77777777" w:rsidR="001F5C59" w:rsidRPr="00850BC1" w:rsidRDefault="00ED1F6E" w:rsidP="00ED1F6E">
      <w:pPr>
        <w:pStyle w:val="BodyText21"/>
        <w:spacing w:before="120" w:line="240" w:lineRule="auto"/>
        <w:ind w:left="1485" w:hanging="319"/>
        <w:rPr>
          <w:sz w:val="22"/>
          <w:szCs w:val="22"/>
        </w:rPr>
      </w:pPr>
      <w:r>
        <w:rPr>
          <w:sz w:val="22"/>
          <w:szCs w:val="22"/>
        </w:rPr>
        <w:lastRenderedPageBreak/>
        <w:t xml:space="preserve">(b) </w:t>
      </w:r>
      <w:r w:rsidR="009D31F6" w:rsidRPr="00850BC1">
        <w:rPr>
          <w:sz w:val="22"/>
          <w:szCs w:val="22"/>
        </w:rPr>
        <w:t>necessary or convenient to be prescribed for carrying out or giving effect to this Act.</w:t>
      </w:r>
    </w:p>
    <w:p w14:paraId="0C75825B" w14:textId="77777777" w:rsidR="001F5C59" w:rsidRPr="00850BC1" w:rsidRDefault="00ED1F6E" w:rsidP="00ED1F6E">
      <w:pPr>
        <w:pStyle w:val="BodyText21"/>
        <w:spacing w:before="120" w:line="240" w:lineRule="auto"/>
        <w:ind w:left="1080" w:hanging="360"/>
        <w:rPr>
          <w:sz w:val="22"/>
          <w:szCs w:val="22"/>
        </w:rPr>
      </w:pPr>
      <w:r>
        <w:rPr>
          <w:sz w:val="22"/>
          <w:szCs w:val="22"/>
        </w:rPr>
        <w:t xml:space="preserve">(2) </w:t>
      </w:r>
      <w:r w:rsidR="009D31F6" w:rsidRPr="00850BC1">
        <w:rPr>
          <w:sz w:val="22"/>
          <w:szCs w:val="22"/>
        </w:rPr>
        <w:t xml:space="preserve">In particular, regulations may be made in relation to transitional matters arising out of the abolition of the LRC and its replacement by the ALRC, or otherwise arising out of the enactment of this Act, the ALRC Act or the </w:t>
      </w:r>
      <w:r w:rsidR="009D31F6" w:rsidRPr="00850BC1">
        <w:rPr>
          <w:rStyle w:val="BodytextItalic"/>
          <w:sz w:val="22"/>
          <w:szCs w:val="22"/>
        </w:rPr>
        <w:t>Commonwealth Authorities and Companies Act 1996.</w:t>
      </w:r>
    </w:p>
    <w:p w14:paraId="1316A764" w14:textId="77777777" w:rsidR="00C4307E" w:rsidRDefault="00C4307E">
      <w:pPr>
        <w:rPr>
          <w:rStyle w:val="Bodytext81"/>
          <w:rFonts w:eastAsia="Courier New"/>
          <w:sz w:val="22"/>
          <w:szCs w:val="22"/>
        </w:rPr>
        <w:sectPr w:rsidR="00C4307E" w:rsidSect="008D75A6">
          <w:headerReference w:type="even" r:id="rId16"/>
          <w:pgSz w:w="12240" w:h="15840" w:code="1"/>
          <w:pgMar w:top="1440" w:right="1440" w:bottom="1440" w:left="1440" w:header="540" w:footer="570" w:gutter="0"/>
          <w:cols w:space="720"/>
          <w:noEndnote/>
          <w:docGrid w:linePitch="360"/>
        </w:sectPr>
      </w:pPr>
      <w:bookmarkStart w:id="8" w:name="bookmark8"/>
    </w:p>
    <w:p w14:paraId="672061FF" w14:textId="76201F43" w:rsidR="001F5C59" w:rsidRPr="00CC30FB" w:rsidRDefault="009D31F6" w:rsidP="00EE1A87">
      <w:pPr>
        <w:spacing w:before="120"/>
        <w:rPr>
          <w:rFonts w:ascii="Times New Roman" w:hAnsi="Times New Roman" w:cs="Times New Roman"/>
          <w:b/>
          <w:sz w:val="22"/>
          <w:szCs w:val="22"/>
        </w:rPr>
      </w:pPr>
      <w:r w:rsidRPr="00F43104">
        <w:rPr>
          <w:rFonts w:ascii="Times New Roman" w:hAnsi="Times New Roman" w:cs="Times New Roman"/>
          <w:b/>
          <w:sz w:val="28"/>
          <w:szCs w:val="22"/>
        </w:rPr>
        <w:lastRenderedPageBreak/>
        <w:t>Schedule</w:t>
      </w:r>
      <w:r w:rsidR="00CC30FB" w:rsidRPr="00F43104">
        <w:rPr>
          <w:rFonts w:ascii="Times New Roman" w:hAnsi="Times New Roman" w:cs="Times New Roman"/>
          <w:b/>
          <w:sz w:val="28"/>
          <w:szCs w:val="22"/>
        </w:rPr>
        <w:t xml:space="preserve"> 1— Amendment of the Australian</w:t>
      </w:r>
      <w:r w:rsidR="00EE1A87" w:rsidRPr="00F43104">
        <w:rPr>
          <w:rFonts w:ascii="Times New Roman" w:hAnsi="Times New Roman" w:cs="Times New Roman"/>
          <w:b/>
          <w:sz w:val="28"/>
          <w:szCs w:val="22"/>
        </w:rPr>
        <w:t xml:space="preserve"> </w:t>
      </w:r>
      <w:r w:rsidRPr="00F43104">
        <w:rPr>
          <w:rFonts w:ascii="Times New Roman" w:hAnsi="Times New Roman" w:cs="Times New Roman"/>
          <w:b/>
          <w:sz w:val="28"/>
          <w:szCs w:val="22"/>
        </w:rPr>
        <w:t>Law Reform Commission Act 1996</w:t>
      </w:r>
      <w:bookmarkEnd w:id="8"/>
    </w:p>
    <w:p w14:paraId="605C5617" w14:textId="5011EEE5" w:rsidR="001F5C59" w:rsidRPr="00190873" w:rsidRDefault="00190873" w:rsidP="00372E1B">
      <w:pPr>
        <w:spacing w:before="120" w:after="60"/>
        <w:rPr>
          <w:rFonts w:ascii="Times New Roman" w:hAnsi="Times New Roman" w:cs="Times New Roman"/>
          <w:b/>
          <w:sz w:val="22"/>
          <w:szCs w:val="22"/>
        </w:rPr>
      </w:pPr>
      <w:bookmarkStart w:id="9" w:name="bookmark9"/>
      <w:r w:rsidRPr="00F43104">
        <w:rPr>
          <w:rFonts w:ascii="Times New Roman" w:hAnsi="Times New Roman" w:cs="Times New Roman"/>
          <w:b/>
          <w:szCs w:val="22"/>
        </w:rPr>
        <w:t xml:space="preserve">1 </w:t>
      </w:r>
      <w:r w:rsidR="009D31F6" w:rsidRPr="00F43104">
        <w:rPr>
          <w:rFonts w:ascii="Times New Roman" w:hAnsi="Times New Roman" w:cs="Times New Roman"/>
          <w:b/>
          <w:szCs w:val="22"/>
        </w:rPr>
        <w:t>At the end of subsection 5(2)</w:t>
      </w:r>
      <w:bookmarkEnd w:id="9"/>
    </w:p>
    <w:p w14:paraId="515FA41E" w14:textId="77777777" w:rsidR="001F5C59" w:rsidRPr="00850BC1" w:rsidRDefault="009D31F6" w:rsidP="007A72D5">
      <w:pPr>
        <w:pStyle w:val="BodyText21"/>
        <w:spacing w:before="120" w:line="240" w:lineRule="auto"/>
        <w:ind w:left="522" w:firstLine="0"/>
        <w:rPr>
          <w:sz w:val="22"/>
          <w:szCs w:val="22"/>
        </w:rPr>
      </w:pPr>
      <w:r w:rsidRPr="00850BC1">
        <w:rPr>
          <w:sz w:val="22"/>
          <w:szCs w:val="22"/>
        </w:rPr>
        <w:t>Add:</w:t>
      </w:r>
    </w:p>
    <w:p w14:paraId="5D280516" w14:textId="77777777" w:rsidR="001F5C59" w:rsidRPr="00EE1A87" w:rsidRDefault="00EE1A87" w:rsidP="007A72D5">
      <w:pPr>
        <w:pStyle w:val="Bodytext80"/>
        <w:tabs>
          <w:tab w:val="left" w:pos="1647"/>
        </w:tabs>
        <w:spacing w:before="120" w:line="240" w:lineRule="auto"/>
        <w:ind w:left="1602" w:hanging="693"/>
        <w:jc w:val="left"/>
        <w:rPr>
          <w:sz w:val="20"/>
          <w:szCs w:val="20"/>
        </w:rPr>
      </w:pPr>
      <w:r>
        <w:rPr>
          <w:rStyle w:val="Bodytext8NotItalic"/>
          <w:sz w:val="20"/>
          <w:szCs w:val="20"/>
        </w:rPr>
        <w:t>Note:</w:t>
      </w:r>
      <w:r>
        <w:rPr>
          <w:rStyle w:val="Bodytext8NotItalic"/>
          <w:sz w:val="20"/>
          <w:szCs w:val="20"/>
        </w:rPr>
        <w:tab/>
      </w:r>
      <w:r w:rsidR="009D31F6" w:rsidRPr="00EE1A87">
        <w:rPr>
          <w:rStyle w:val="Bodytext8NotItalic"/>
          <w:sz w:val="20"/>
          <w:szCs w:val="20"/>
        </w:rPr>
        <w:t xml:space="preserve">The </w:t>
      </w:r>
      <w:r w:rsidR="009D31F6" w:rsidRPr="00EE1A87">
        <w:rPr>
          <w:rStyle w:val="Bodytext81"/>
          <w:i/>
          <w:iCs/>
          <w:sz w:val="20"/>
          <w:szCs w:val="20"/>
        </w:rPr>
        <w:t>Commonwealth Authorities and Companies Act 1996</w:t>
      </w:r>
      <w:r w:rsidR="009D31F6" w:rsidRPr="00EE1A87">
        <w:rPr>
          <w:rStyle w:val="Bodytext8NotItalic"/>
          <w:sz w:val="20"/>
          <w:szCs w:val="20"/>
        </w:rPr>
        <w:t xml:space="preserve"> applies to</w:t>
      </w:r>
      <w:r w:rsidR="00372E1B">
        <w:rPr>
          <w:rStyle w:val="Bodytext8NotItalic"/>
          <w:sz w:val="20"/>
          <w:szCs w:val="20"/>
        </w:rPr>
        <w:t xml:space="preserve"> </w:t>
      </w:r>
      <w:r w:rsidR="009D31F6" w:rsidRPr="00372E1B">
        <w:rPr>
          <w:rStyle w:val="Bodytext91"/>
          <w:i w:val="0"/>
          <w:iCs w:val="0"/>
          <w:sz w:val="20"/>
          <w:szCs w:val="20"/>
        </w:rPr>
        <w:t>the Commission. That Act deals with matters relating to Commonwealth authorities, including reporting and accountability, banking and investment, and conduct of executive officers.</w:t>
      </w:r>
    </w:p>
    <w:p w14:paraId="6358164D" w14:textId="4277E08C" w:rsidR="001F5C59" w:rsidRPr="0019271F" w:rsidRDefault="0019271F" w:rsidP="00372E1B">
      <w:pPr>
        <w:spacing w:before="120" w:after="60"/>
        <w:rPr>
          <w:rFonts w:ascii="Times New Roman" w:hAnsi="Times New Roman" w:cs="Times New Roman"/>
          <w:b/>
          <w:sz w:val="22"/>
          <w:szCs w:val="22"/>
        </w:rPr>
      </w:pPr>
      <w:bookmarkStart w:id="10" w:name="bookmark10"/>
      <w:r w:rsidRPr="00F43104">
        <w:rPr>
          <w:rFonts w:ascii="Times New Roman" w:hAnsi="Times New Roman" w:cs="Times New Roman"/>
          <w:b/>
          <w:szCs w:val="22"/>
        </w:rPr>
        <w:t xml:space="preserve">2 </w:t>
      </w:r>
      <w:r w:rsidR="009D31F6" w:rsidRPr="00F43104">
        <w:rPr>
          <w:rFonts w:ascii="Times New Roman" w:hAnsi="Times New Roman" w:cs="Times New Roman"/>
          <w:b/>
          <w:szCs w:val="22"/>
        </w:rPr>
        <w:t>Paragraph 17(2)(b)</w:t>
      </w:r>
      <w:bookmarkEnd w:id="10"/>
    </w:p>
    <w:p w14:paraId="455C64BC" w14:textId="77777777" w:rsidR="001F5C59" w:rsidRPr="00850BC1" w:rsidRDefault="009D31F6" w:rsidP="007A72D5">
      <w:pPr>
        <w:pStyle w:val="BodyText21"/>
        <w:spacing w:before="120" w:line="240" w:lineRule="auto"/>
        <w:ind w:left="522" w:firstLine="0"/>
        <w:rPr>
          <w:sz w:val="22"/>
          <w:szCs w:val="22"/>
        </w:rPr>
      </w:pPr>
      <w:r w:rsidRPr="00850BC1">
        <w:rPr>
          <w:sz w:val="22"/>
          <w:szCs w:val="22"/>
        </w:rPr>
        <w:t>Repeal the paragraph, substitute:</w:t>
      </w:r>
    </w:p>
    <w:p w14:paraId="04915532" w14:textId="77777777" w:rsidR="001F5C59" w:rsidRPr="00850BC1" w:rsidRDefault="0019271F" w:rsidP="006924D9">
      <w:pPr>
        <w:pStyle w:val="BodyText21"/>
        <w:spacing w:before="120" w:line="240" w:lineRule="auto"/>
        <w:ind w:left="1404" w:hanging="324"/>
        <w:rPr>
          <w:sz w:val="22"/>
          <w:szCs w:val="22"/>
        </w:rPr>
      </w:pPr>
      <w:r>
        <w:rPr>
          <w:sz w:val="22"/>
          <w:szCs w:val="22"/>
        </w:rPr>
        <w:t xml:space="preserve">(b) </w:t>
      </w:r>
      <w:r w:rsidR="009D31F6" w:rsidRPr="00850BC1">
        <w:rPr>
          <w:sz w:val="22"/>
          <w:szCs w:val="22"/>
        </w:rPr>
        <w:t xml:space="preserve">the member fails, without reasonable excuse, to comply with section 21 of the </w:t>
      </w:r>
      <w:r w:rsidR="009D31F6" w:rsidRPr="00850BC1">
        <w:rPr>
          <w:rStyle w:val="BodytextItalic"/>
          <w:sz w:val="22"/>
          <w:szCs w:val="22"/>
        </w:rPr>
        <w:t>Commonwealth Authorities and Companies Act 1996</w:t>
      </w:r>
      <w:r w:rsidR="009D31F6" w:rsidRPr="00850BC1">
        <w:rPr>
          <w:sz w:val="22"/>
          <w:szCs w:val="22"/>
        </w:rPr>
        <w:t xml:space="preserve"> or section 39 of this Act.</w:t>
      </w:r>
    </w:p>
    <w:p w14:paraId="567E0AEC" w14:textId="37D8732C" w:rsidR="001F5C59" w:rsidRPr="0019271F" w:rsidRDefault="0019271F" w:rsidP="00372E1B">
      <w:pPr>
        <w:spacing w:before="120" w:after="60"/>
        <w:rPr>
          <w:rFonts w:ascii="Times New Roman" w:hAnsi="Times New Roman" w:cs="Times New Roman"/>
          <w:b/>
          <w:sz w:val="22"/>
          <w:szCs w:val="22"/>
        </w:rPr>
      </w:pPr>
      <w:bookmarkStart w:id="11" w:name="bookmark11"/>
      <w:r w:rsidRPr="00F43104">
        <w:rPr>
          <w:rFonts w:ascii="Times New Roman" w:hAnsi="Times New Roman" w:cs="Times New Roman"/>
          <w:b/>
          <w:szCs w:val="22"/>
        </w:rPr>
        <w:t xml:space="preserve">3 </w:t>
      </w:r>
      <w:r w:rsidR="009D31F6" w:rsidRPr="00F43104">
        <w:rPr>
          <w:rFonts w:ascii="Times New Roman" w:hAnsi="Times New Roman" w:cs="Times New Roman"/>
          <w:b/>
          <w:szCs w:val="22"/>
        </w:rPr>
        <w:t>After subsection 17(3)</w:t>
      </w:r>
      <w:bookmarkEnd w:id="11"/>
    </w:p>
    <w:p w14:paraId="3C75DC92" w14:textId="77777777" w:rsidR="001F5C59" w:rsidRPr="00850BC1" w:rsidRDefault="009D31F6" w:rsidP="007A72D5">
      <w:pPr>
        <w:pStyle w:val="BodyText21"/>
        <w:spacing w:before="120" w:line="240" w:lineRule="auto"/>
        <w:ind w:left="522" w:firstLine="0"/>
        <w:rPr>
          <w:sz w:val="22"/>
          <w:szCs w:val="22"/>
        </w:rPr>
      </w:pPr>
      <w:r w:rsidRPr="00850BC1">
        <w:rPr>
          <w:sz w:val="22"/>
          <w:szCs w:val="22"/>
        </w:rPr>
        <w:t>Insert:</w:t>
      </w:r>
    </w:p>
    <w:p w14:paraId="109BA8E8" w14:textId="77777777" w:rsidR="001F5C59" w:rsidRPr="00850BC1" w:rsidRDefault="009D31F6" w:rsidP="006924D9">
      <w:pPr>
        <w:pStyle w:val="BodyText21"/>
        <w:spacing w:before="120" w:line="240" w:lineRule="auto"/>
        <w:ind w:left="909" w:hanging="486"/>
        <w:rPr>
          <w:sz w:val="22"/>
          <w:szCs w:val="22"/>
        </w:rPr>
      </w:pPr>
      <w:r w:rsidRPr="00850BC1">
        <w:rPr>
          <w:sz w:val="22"/>
          <w:szCs w:val="22"/>
        </w:rPr>
        <w:t xml:space="preserve">(3A) If the Attorney-General is satisfied that the members who comprise the Board (except the President) have, without reasonable excuse, failed to comply with subsection 13(3) of the </w:t>
      </w:r>
      <w:r w:rsidRPr="00850BC1">
        <w:rPr>
          <w:rStyle w:val="BodytextItalic"/>
          <w:sz w:val="22"/>
          <w:szCs w:val="22"/>
        </w:rPr>
        <w:t>Commonwealth Authorities and Companies Act 1996,</w:t>
      </w:r>
      <w:r w:rsidRPr="00850BC1">
        <w:rPr>
          <w:sz w:val="22"/>
          <w:szCs w:val="22"/>
        </w:rPr>
        <w:t xml:space="preserve"> or with paragraph 16(l)(a) or</w:t>
      </w:r>
      <w:r w:rsidR="0019271F">
        <w:rPr>
          <w:sz w:val="22"/>
          <w:szCs w:val="22"/>
        </w:rPr>
        <w:t xml:space="preserve"> (b) </w:t>
      </w:r>
      <w:r w:rsidRPr="00850BC1">
        <w:rPr>
          <w:sz w:val="22"/>
          <w:szCs w:val="22"/>
        </w:rPr>
        <w:t>of that Act, the Attorney-General may terminate the appointment of some or all of those members.</w:t>
      </w:r>
    </w:p>
    <w:p w14:paraId="3EAB73EB" w14:textId="63858EB5" w:rsidR="001F5C59" w:rsidRPr="0019271F" w:rsidRDefault="0019271F" w:rsidP="006924D9">
      <w:pPr>
        <w:spacing w:before="120" w:after="60"/>
        <w:rPr>
          <w:rFonts w:ascii="Times New Roman" w:hAnsi="Times New Roman" w:cs="Times New Roman"/>
          <w:b/>
          <w:sz w:val="22"/>
          <w:szCs w:val="22"/>
        </w:rPr>
      </w:pPr>
      <w:bookmarkStart w:id="12" w:name="bookmark12"/>
      <w:r w:rsidRPr="00F43104">
        <w:rPr>
          <w:rFonts w:ascii="Times New Roman" w:hAnsi="Times New Roman" w:cs="Times New Roman"/>
          <w:b/>
          <w:szCs w:val="22"/>
        </w:rPr>
        <w:t xml:space="preserve">4 </w:t>
      </w:r>
      <w:r w:rsidR="009D31F6" w:rsidRPr="00F43104">
        <w:rPr>
          <w:rFonts w:ascii="Times New Roman" w:hAnsi="Times New Roman" w:cs="Times New Roman"/>
          <w:b/>
          <w:szCs w:val="22"/>
        </w:rPr>
        <w:t>Subsection 17(4)</w:t>
      </w:r>
      <w:bookmarkEnd w:id="12"/>
    </w:p>
    <w:p w14:paraId="528ADB95" w14:textId="77777777" w:rsidR="001F5C59" w:rsidRPr="00850BC1" w:rsidRDefault="009D31F6" w:rsidP="007A72D5">
      <w:pPr>
        <w:pStyle w:val="BodyText21"/>
        <w:spacing w:before="120" w:line="240" w:lineRule="auto"/>
        <w:ind w:left="522" w:firstLine="0"/>
        <w:rPr>
          <w:sz w:val="22"/>
          <w:szCs w:val="22"/>
        </w:rPr>
      </w:pPr>
      <w:r w:rsidRPr="00850BC1">
        <w:rPr>
          <w:sz w:val="22"/>
          <w:szCs w:val="22"/>
        </w:rPr>
        <w:t>Omit ‘‘(2) and (3)”, substitute “(2), (3) and (3A)”.</w:t>
      </w:r>
    </w:p>
    <w:p w14:paraId="3416BB78" w14:textId="4BEC9665" w:rsidR="001F5C59" w:rsidRPr="0019271F" w:rsidRDefault="0019271F" w:rsidP="006924D9">
      <w:pPr>
        <w:spacing w:before="120" w:after="60"/>
        <w:rPr>
          <w:rFonts w:ascii="Times New Roman" w:hAnsi="Times New Roman" w:cs="Times New Roman"/>
          <w:b/>
          <w:sz w:val="22"/>
          <w:szCs w:val="22"/>
        </w:rPr>
      </w:pPr>
      <w:bookmarkStart w:id="13" w:name="bookmark13"/>
      <w:r w:rsidRPr="00F43104">
        <w:rPr>
          <w:rFonts w:ascii="Times New Roman" w:hAnsi="Times New Roman" w:cs="Times New Roman"/>
          <w:b/>
          <w:szCs w:val="22"/>
        </w:rPr>
        <w:t xml:space="preserve">5 </w:t>
      </w:r>
      <w:r w:rsidR="009D31F6" w:rsidRPr="00F43104">
        <w:rPr>
          <w:rFonts w:ascii="Times New Roman" w:hAnsi="Times New Roman" w:cs="Times New Roman"/>
          <w:b/>
          <w:szCs w:val="22"/>
        </w:rPr>
        <w:t>At the end of section 26</w:t>
      </w:r>
      <w:bookmarkEnd w:id="13"/>
    </w:p>
    <w:p w14:paraId="6722CA5A" w14:textId="77777777" w:rsidR="001F5C59" w:rsidRPr="00850BC1" w:rsidRDefault="009D31F6" w:rsidP="007A72D5">
      <w:pPr>
        <w:pStyle w:val="BodyText21"/>
        <w:spacing w:before="120" w:line="240" w:lineRule="auto"/>
        <w:ind w:left="522" w:firstLine="0"/>
        <w:rPr>
          <w:sz w:val="22"/>
          <w:szCs w:val="22"/>
        </w:rPr>
      </w:pPr>
      <w:r w:rsidRPr="00850BC1">
        <w:rPr>
          <w:sz w:val="22"/>
          <w:szCs w:val="22"/>
        </w:rPr>
        <w:t>Add:</w:t>
      </w:r>
    </w:p>
    <w:p w14:paraId="3CB9BDC8" w14:textId="77777777" w:rsidR="001F5C59" w:rsidRPr="00850BC1" w:rsidRDefault="0019271F" w:rsidP="007A72D5">
      <w:pPr>
        <w:pStyle w:val="BodyText21"/>
        <w:spacing w:before="120" w:line="240" w:lineRule="auto"/>
        <w:ind w:left="918" w:hanging="306"/>
        <w:rPr>
          <w:sz w:val="22"/>
          <w:szCs w:val="22"/>
        </w:rPr>
      </w:pPr>
      <w:r>
        <w:rPr>
          <w:sz w:val="22"/>
          <w:szCs w:val="22"/>
        </w:rPr>
        <w:t xml:space="preserve">(4) </w:t>
      </w:r>
      <w:r w:rsidR="009D31F6" w:rsidRPr="00850BC1">
        <w:rPr>
          <w:sz w:val="22"/>
          <w:szCs w:val="22"/>
        </w:rPr>
        <w:t xml:space="preserve">This section does not affect the application of section 28 of the </w:t>
      </w:r>
      <w:r w:rsidR="009D31F6" w:rsidRPr="00850BC1">
        <w:rPr>
          <w:rStyle w:val="BodytextItalic"/>
          <w:sz w:val="22"/>
          <w:szCs w:val="22"/>
        </w:rPr>
        <w:t>Commonwealth Authorities and Companies Act 1996</w:t>
      </w:r>
      <w:r w:rsidR="009D31F6" w:rsidRPr="00850BC1">
        <w:rPr>
          <w:sz w:val="22"/>
          <w:szCs w:val="22"/>
        </w:rPr>
        <w:t xml:space="preserve"> in relation to the Commission.</w:t>
      </w:r>
    </w:p>
    <w:p w14:paraId="3CB26864" w14:textId="416F6075" w:rsidR="001F5C59" w:rsidRPr="0019271F" w:rsidRDefault="0019271F" w:rsidP="006924D9">
      <w:pPr>
        <w:spacing w:before="120" w:after="60"/>
        <w:rPr>
          <w:rFonts w:ascii="Times New Roman" w:hAnsi="Times New Roman" w:cs="Times New Roman"/>
          <w:b/>
          <w:sz w:val="22"/>
          <w:szCs w:val="22"/>
        </w:rPr>
      </w:pPr>
      <w:bookmarkStart w:id="14" w:name="bookmark14"/>
      <w:r w:rsidRPr="00F43104">
        <w:rPr>
          <w:rFonts w:ascii="Times New Roman" w:hAnsi="Times New Roman" w:cs="Times New Roman"/>
          <w:b/>
          <w:szCs w:val="22"/>
        </w:rPr>
        <w:t xml:space="preserve">6 </w:t>
      </w:r>
      <w:r w:rsidR="009D31F6" w:rsidRPr="00F43104">
        <w:rPr>
          <w:rFonts w:ascii="Times New Roman" w:hAnsi="Times New Roman" w:cs="Times New Roman"/>
          <w:b/>
          <w:szCs w:val="22"/>
        </w:rPr>
        <w:t>At the end of section 31</w:t>
      </w:r>
      <w:bookmarkEnd w:id="14"/>
    </w:p>
    <w:p w14:paraId="235B89CA" w14:textId="77777777" w:rsidR="001F5C59" w:rsidRPr="00850BC1" w:rsidRDefault="009D31F6" w:rsidP="007A72D5">
      <w:pPr>
        <w:pStyle w:val="BodyText21"/>
        <w:spacing w:before="120" w:line="240" w:lineRule="auto"/>
        <w:ind w:left="522" w:firstLine="0"/>
        <w:rPr>
          <w:sz w:val="22"/>
          <w:szCs w:val="22"/>
        </w:rPr>
      </w:pPr>
      <w:r w:rsidRPr="00850BC1">
        <w:rPr>
          <w:sz w:val="22"/>
          <w:szCs w:val="22"/>
        </w:rPr>
        <w:t>Add:</w:t>
      </w:r>
    </w:p>
    <w:p w14:paraId="09C1CC79" w14:textId="77777777" w:rsidR="001F5C59" w:rsidRPr="002367BB" w:rsidRDefault="002367BB" w:rsidP="007A72D5">
      <w:pPr>
        <w:pStyle w:val="BodyText21"/>
        <w:spacing w:before="120" w:line="240" w:lineRule="auto"/>
        <w:ind w:left="918" w:hanging="306"/>
        <w:rPr>
          <w:i/>
          <w:sz w:val="22"/>
          <w:szCs w:val="22"/>
        </w:rPr>
      </w:pPr>
      <w:r w:rsidRPr="002367BB">
        <w:rPr>
          <w:rStyle w:val="Bodytext5NotItalic0"/>
          <w:i w:val="0"/>
          <w:sz w:val="22"/>
          <w:szCs w:val="22"/>
        </w:rPr>
        <w:t xml:space="preserve">(2) </w:t>
      </w:r>
      <w:r w:rsidR="009D31F6" w:rsidRPr="002367BB">
        <w:rPr>
          <w:rStyle w:val="Bodytext5NotItalic0"/>
          <w:i w:val="0"/>
          <w:sz w:val="22"/>
          <w:szCs w:val="22"/>
        </w:rPr>
        <w:t xml:space="preserve">This section has effect subject to the </w:t>
      </w:r>
      <w:r w:rsidR="009D31F6" w:rsidRPr="002367BB">
        <w:rPr>
          <w:i/>
          <w:sz w:val="22"/>
          <w:szCs w:val="22"/>
        </w:rPr>
        <w:t>Commonwealth Authorities and Companies Act 1996.</w:t>
      </w:r>
    </w:p>
    <w:p w14:paraId="6ACDF95F" w14:textId="77777777" w:rsidR="00C4307E" w:rsidRDefault="00C4307E">
      <w:pPr>
        <w:rPr>
          <w:rStyle w:val="Bodytext81"/>
          <w:rFonts w:eastAsia="Courier New"/>
          <w:sz w:val="22"/>
          <w:szCs w:val="22"/>
        </w:rPr>
        <w:sectPr w:rsidR="00C4307E" w:rsidSect="004D6827">
          <w:headerReference w:type="default" r:id="rId17"/>
          <w:pgSz w:w="12240" w:h="15840" w:code="1"/>
          <w:pgMar w:top="1440" w:right="1440" w:bottom="1440" w:left="1440" w:header="360" w:footer="390" w:gutter="0"/>
          <w:cols w:space="720"/>
          <w:noEndnote/>
          <w:docGrid w:linePitch="360"/>
        </w:sectPr>
      </w:pPr>
      <w:bookmarkStart w:id="15" w:name="bookmark15"/>
    </w:p>
    <w:p w14:paraId="7AE4B349" w14:textId="681BF8A4" w:rsidR="001F5C59" w:rsidRPr="00F95EA2" w:rsidRDefault="00F95EA2" w:rsidP="007A72D5">
      <w:pPr>
        <w:spacing w:before="120" w:after="60"/>
        <w:rPr>
          <w:rFonts w:ascii="Times New Roman" w:hAnsi="Times New Roman" w:cs="Times New Roman"/>
          <w:b/>
          <w:sz w:val="22"/>
          <w:szCs w:val="22"/>
        </w:rPr>
      </w:pPr>
      <w:r w:rsidRPr="00F43104">
        <w:rPr>
          <w:rFonts w:ascii="Times New Roman" w:hAnsi="Times New Roman" w:cs="Times New Roman"/>
          <w:b/>
          <w:szCs w:val="22"/>
        </w:rPr>
        <w:lastRenderedPageBreak/>
        <w:t xml:space="preserve">7 </w:t>
      </w:r>
      <w:r w:rsidR="009D31F6" w:rsidRPr="00F43104">
        <w:rPr>
          <w:rFonts w:ascii="Times New Roman" w:hAnsi="Times New Roman" w:cs="Times New Roman"/>
          <w:b/>
          <w:szCs w:val="22"/>
        </w:rPr>
        <w:t>Section 33</w:t>
      </w:r>
      <w:bookmarkEnd w:id="15"/>
    </w:p>
    <w:p w14:paraId="32BEE870" w14:textId="77777777" w:rsidR="001F5C59" w:rsidRPr="00850BC1" w:rsidRDefault="009D31F6" w:rsidP="007A72D5">
      <w:pPr>
        <w:pStyle w:val="BodyText21"/>
        <w:spacing w:before="120" w:line="240" w:lineRule="auto"/>
        <w:ind w:left="522" w:firstLine="0"/>
        <w:rPr>
          <w:sz w:val="22"/>
          <w:szCs w:val="22"/>
        </w:rPr>
      </w:pPr>
      <w:r w:rsidRPr="00850BC1">
        <w:rPr>
          <w:sz w:val="22"/>
          <w:szCs w:val="22"/>
        </w:rPr>
        <w:t>Repeal the section.</w:t>
      </w:r>
    </w:p>
    <w:p w14:paraId="60E7E056" w14:textId="52C27C7D" w:rsidR="001F5C59" w:rsidRPr="00F95EA2" w:rsidRDefault="00F95EA2" w:rsidP="007A72D5">
      <w:pPr>
        <w:spacing w:before="120" w:after="60"/>
        <w:rPr>
          <w:rFonts w:ascii="Times New Roman" w:hAnsi="Times New Roman" w:cs="Times New Roman"/>
          <w:b/>
          <w:sz w:val="22"/>
          <w:szCs w:val="22"/>
        </w:rPr>
      </w:pPr>
      <w:bookmarkStart w:id="16" w:name="bookmark16"/>
      <w:r w:rsidRPr="00F43104">
        <w:rPr>
          <w:rFonts w:ascii="Times New Roman" w:hAnsi="Times New Roman" w:cs="Times New Roman"/>
          <w:b/>
          <w:szCs w:val="22"/>
        </w:rPr>
        <w:t xml:space="preserve">8 </w:t>
      </w:r>
      <w:r w:rsidR="009D31F6" w:rsidRPr="00F43104">
        <w:rPr>
          <w:rFonts w:ascii="Times New Roman" w:hAnsi="Times New Roman" w:cs="Times New Roman"/>
          <w:b/>
          <w:szCs w:val="22"/>
        </w:rPr>
        <w:t>Subsection 39(1)</w:t>
      </w:r>
      <w:bookmarkEnd w:id="16"/>
    </w:p>
    <w:p w14:paraId="3A96204E" w14:textId="77777777" w:rsidR="001F5C59" w:rsidRPr="00850BC1" w:rsidRDefault="009D31F6" w:rsidP="007A72D5">
      <w:pPr>
        <w:pStyle w:val="BodyText21"/>
        <w:spacing w:before="120" w:line="240" w:lineRule="auto"/>
        <w:ind w:left="522" w:firstLine="0"/>
        <w:rPr>
          <w:sz w:val="22"/>
          <w:szCs w:val="22"/>
        </w:rPr>
      </w:pPr>
      <w:r w:rsidRPr="00850BC1">
        <w:rPr>
          <w:sz w:val="22"/>
          <w:szCs w:val="22"/>
        </w:rPr>
        <w:t>Omit “direct or indirect pecuniary”, substitute “material personal".</w:t>
      </w:r>
    </w:p>
    <w:p w14:paraId="2C621ABE" w14:textId="5560663B" w:rsidR="001F5C59" w:rsidRPr="00F95EA2" w:rsidRDefault="00F95EA2" w:rsidP="00F61237">
      <w:pPr>
        <w:spacing w:before="120" w:after="60"/>
        <w:rPr>
          <w:rFonts w:ascii="Times New Roman" w:hAnsi="Times New Roman" w:cs="Times New Roman"/>
          <w:b/>
          <w:sz w:val="22"/>
          <w:szCs w:val="22"/>
        </w:rPr>
      </w:pPr>
      <w:bookmarkStart w:id="17" w:name="bookmark17"/>
      <w:r w:rsidRPr="00F43104">
        <w:rPr>
          <w:rFonts w:ascii="Times New Roman" w:hAnsi="Times New Roman" w:cs="Times New Roman"/>
          <w:b/>
          <w:szCs w:val="22"/>
        </w:rPr>
        <w:t xml:space="preserve">9 </w:t>
      </w:r>
      <w:r w:rsidR="009D31F6" w:rsidRPr="00F43104">
        <w:rPr>
          <w:rFonts w:ascii="Times New Roman" w:hAnsi="Times New Roman" w:cs="Times New Roman"/>
          <w:b/>
          <w:szCs w:val="22"/>
        </w:rPr>
        <w:t>Subsection 39(4)</w:t>
      </w:r>
      <w:bookmarkEnd w:id="17"/>
    </w:p>
    <w:p w14:paraId="4AA8ACA9" w14:textId="77777777" w:rsidR="001F5C59" w:rsidRPr="00850BC1" w:rsidRDefault="009D31F6" w:rsidP="007A72D5">
      <w:pPr>
        <w:pStyle w:val="BodyText21"/>
        <w:spacing w:before="120" w:line="240" w:lineRule="auto"/>
        <w:ind w:left="522" w:firstLine="0"/>
        <w:rPr>
          <w:sz w:val="22"/>
          <w:szCs w:val="22"/>
        </w:rPr>
      </w:pPr>
      <w:r w:rsidRPr="00850BC1">
        <w:rPr>
          <w:sz w:val="22"/>
          <w:szCs w:val="22"/>
        </w:rPr>
        <w:t>Omit “direct or indirect pecuniary", substitute “material personal".</w:t>
      </w:r>
    </w:p>
    <w:p w14:paraId="43F4ADBB" w14:textId="2BF786AD" w:rsidR="001F5C59" w:rsidRPr="00F95EA2" w:rsidRDefault="00F95EA2" w:rsidP="00F61237">
      <w:pPr>
        <w:spacing w:before="120" w:after="60"/>
        <w:rPr>
          <w:rFonts w:ascii="Times New Roman" w:hAnsi="Times New Roman" w:cs="Times New Roman"/>
          <w:b/>
          <w:sz w:val="22"/>
          <w:szCs w:val="22"/>
        </w:rPr>
      </w:pPr>
      <w:bookmarkStart w:id="18" w:name="bookmark18"/>
      <w:r w:rsidRPr="00F43104">
        <w:rPr>
          <w:rFonts w:ascii="Times New Roman" w:hAnsi="Times New Roman" w:cs="Times New Roman"/>
          <w:b/>
          <w:szCs w:val="22"/>
        </w:rPr>
        <w:t xml:space="preserve">10 </w:t>
      </w:r>
      <w:r w:rsidR="009D31F6" w:rsidRPr="00F43104">
        <w:rPr>
          <w:rFonts w:ascii="Times New Roman" w:hAnsi="Times New Roman" w:cs="Times New Roman"/>
          <w:b/>
          <w:szCs w:val="22"/>
        </w:rPr>
        <w:t>Subsections 45(3), (4) and (5)</w:t>
      </w:r>
      <w:bookmarkEnd w:id="18"/>
    </w:p>
    <w:p w14:paraId="1CB9ACB6" w14:textId="77777777" w:rsidR="001F5C59" w:rsidRPr="00850BC1" w:rsidRDefault="009D31F6" w:rsidP="007A72D5">
      <w:pPr>
        <w:pStyle w:val="BodyText21"/>
        <w:spacing w:before="120" w:line="240" w:lineRule="auto"/>
        <w:ind w:left="522" w:firstLine="0"/>
        <w:rPr>
          <w:sz w:val="22"/>
          <w:szCs w:val="22"/>
        </w:rPr>
      </w:pPr>
      <w:r w:rsidRPr="00850BC1">
        <w:rPr>
          <w:sz w:val="22"/>
          <w:szCs w:val="22"/>
        </w:rPr>
        <w:t>Repeal the subsections.</w:t>
      </w:r>
    </w:p>
    <w:p w14:paraId="1A238A6D" w14:textId="16EB518A" w:rsidR="001F5C59" w:rsidRPr="00F95EA2" w:rsidRDefault="00F95EA2" w:rsidP="00F61237">
      <w:pPr>
        <w:spacing w:before="120" w:after="60"/>
        <w:rPr>
          <w:rFonts w:ascii="Times New Roman" w:hAnsi="Times New Roman" w:cs="Times New Roman"/>
          <w:b/>
          <w:sz w:val="22"/>
          <w:szCs w:val="22"/>
        </w:rPr>
      </w:pPr>
      <w:bookmarkStart w:id="19" w:name="bookmark19"/>
      <w:r w:rsidRPr="00F43104">
        <w:rPr>
          <w:rFonts w:ascii="Times New Roman" w:hAnsi="Times New Roman" w:cs="Times New Roman"/>
          <w:b/>
          <w:szCs w:val="22"/>
        </w:rPr>
        <w:t xml:space="preserve">11 </w:t>
      </w:r>
      <w:r w:rsidR="009D31F6" w:rsidRPr="00F43104">
        <w:rPr>
          <w:rFonts w:ascii="Times New Roman" w:hAnsi="Times New Roman" w:cs="Times New Roman"/>
          <w:b/>
          <w:szCs w:val="22"/>
        </w:rPr>
        <w:t>At the end of section 47</w:t>
      </w:r>
      <w:bookmarkEnd w:id="19"/>
    </w:p>
    <w:p w14:paraId="608235F0" w14:textId="77777777" w:rsidR="001F5C59" w:rsidRPr="00850BC1" w:rsidRDefault="009D31F6" w:rsidP="007A72D5">
      <w:pPr>
        <w:pStyle w:val="BodyText21"/>
        <w:spacing w:before="120" w:line="240" w:lineRule="auto"/>
        <w:ind w:left="522" w:firstLine="0"/>
        <w:rPr>
          <w:sz w:val="22"/>
          <w:szCs w:val="22"/>
        </w:rPr>
      </w:pPr>
      <w:r w:rsidRPr="00850BC1">
        <w:rPr>
          <w:sz w:val="22"/>
          <w:szCs w:val="22"/>
        </w:rPr>
        <w:t>Add:</w:t>
      </w:r>
    </w:p>
    <w:p w14:paraId="7E5C16D2" w14:textId="77777777" w:rsidR="001F5C59" w:rsidRPr="00850BC1" w:rsidRDefault="00F95EA2" w:rsidP="007A72D5">
      <w:pPr>
        <w:pStyle w:val="BodyText21"/>
        <w:spacing w:before="120" w:line="240" w:lineRule="auto"/>
        <w:ind w:left="918" w:hanging="306"/>
        <w:rPr>
          <w:sz w:val="22"/>
          <w:szCs w:val="22"/>
        </w:rPr>
      </w:pPr>
      <w:r>
        <w:rPr>
          <w:sz w:val="22"/>
          <w:szCs w:val="22"/>
        </w:rPr>
        <w:t xml:space="preserve">(2) </w:t>
      </w:r>
      <w:r w:rsidR="009D31F6" w:rsidRPr="00850BC1">
        <w:rPr>
          <w:sz w:val="22"/>
          <w:szCs w:val="22"/>
        </w:rPr>
        <w:t xml:space="preserve">Subsection (1) does not prevent the investment of surplus money of the Commission under section 18 of the </w:t>
      </w:r>
      <w:r w:rsidR="009D31F6" w:rsidRPr="00850BC1">
        <w:rPr>
          <w:rStyle w:val="BodytextItalic"/>
          <w:sz w:val="22"/>
          <w:szCs w:val="22"/>
        </w:rPr>
        <w:t>Commonwealth Authorities and Companies Act 1996.</w:t>
      </w:r>
    </w:p>
    <w:p w14:paraId="2DE45FF0" w14:textId="4EB02B94" w:rsidR="001F5C59" w:rsidRPr="00F95EA2" w:rsidRDefault="00F95EA2" w:rsidP="00F61237">
      <w:pPr>
        <w:spacing w:before="120" w:after="60"/>
        <w:rPr>
          <w:rFonts w:ascii="Times New Roman" w:hAnsi="Times New Roman" w:cs="Times New Roman"/>
          <w:b/>
          <w:sz w:val="22"/>
          <w:szCs w:val="22"/>
        </w:rPr>
      </w:pPr>
      <w:bookmarkStart w:id="20" w:name="bookmark20"/>
      <w:r w:rsidRPr="00F43104">
        <w:rPr>
          <w:rFonts w:ascii="Times New Roman" w:hAnsi="Times New Roman" w:cs="Times New Roman"/>
          <w:b/>
          <w:szCs w:val="22"/>
        </w:rPr>
        <w:t xml:space="preserve">12 </w:t>
      </w:r>
      <w:r w:rsidR="009D31F6" w:rsidRPr="00F43104">
        <w:rPr>
          <w:rFonts w:ascii="Times New Roman" w:hAnsi="Times New Roman" w:cs="Times New Roman"/>
          <w:b/>
          <w:szCs w:val="22"/>
        </w:rPr>
        <w:t>Section 48</w:t>
      </w:r>
      <w:bookmarkEnd w:id="20"/>
    </w:p>
    <w:p w14:paraId="2D415886" w14:textId="77777777" w:rsidR="001F5C59" w:rsidRPr="00850BC1" w:rsidRDefault="009D31F6" w:rsidP="00F61237">
      <w:pPr>
        <w:pStyle w:val="BodyText21"/>
        <w:spacing w:before="120" w:line="240" w:lineRule="auto"/>
        <w:ind w:left="522" w:firstLine="0"/>
        <w:rPr>
          <w:sz w:val="22"/>
          <w:szCs w:val="22"/>
        </w:rPr>
      </w:pPr>
      <w:r w:rsidRPr="00850BC1">
        <w:rPr>
          <w:sz w:val="22"/>
          <w:szCs w:val="22"/>
        </w:rPr>
        <w:t>Repeal the section.</w:t>
      </w:r>
    </w:p>
    <w:p w14:paraId="3EEDDA75" w14:textId="77777777" w:rsidR="00C4307E" w:rsidRDefault="00C4307E">
      <w:pPr>
        <w:rPr>
          <w:rStyle w:val="Bodytext81"/>
          <w:rFonts w:eastAsia="Courier New"/>
          <w:sz w:val="22"/>
          <w:szCs w:val="22"/>
        </w:rPr>
        <w:sectPr w:rsidR="00C4307E" w:rsidSect="004D6827">
          <w:headerReference w:type="even" r:id="rId18"/>
          <w:pgSz w:w="12240" w:h="15840" w:code="1"/>
          <w:pgMar w:top="1440" w:right="1440" w:bottom="1440" w:left="1440" w:header="540" w:footer="480" w:gutter="0"/>
          <w:cols w:space="720"/>
          <w:noEndnote/>
          <w:docGrid w:linePitch="360"/>
        </w:sectPr>
      </w:pPr>
      <w:bookmarkStart w:id="21" w:name="bookmark21"/>
    </w:p>
    <w:p w14:paraId="45E282CF" w14:textId="4244BE86" w:rsidR="001F5C59" w:rsidRPr="0010336B" w:rsidRDefault="009D31F6" w:rsidP="00DB6C8A">
      <w:pPr>
        <w:spacing w:before="120"/>
        <w:rPr>
          <w:rFonts w:ascii="Times New Roman" w:hAnsi="Times New Roman" w:cs="Times New Roman"/>
          <w:b/>
          <w:sz w:val="22"/>
          <w:szCs w:val="22"/>
        </w:rPr>
      </w:pPr>
      <w:r w:rsidRPr="00F43104">
        <w:rPr>
          <w:rFonts w:ascii="Times New Roman" w:hAnsi="Times New Roman" w:cs="Times New Roman"/>
          <w:b/>
          <w:sz w:val="28"/>
          <w:szCs w:val="22"/>
        </w:rPr>
        <w:lastRenderedPageBreak/>
        <w:t>Schedule 2—Amendment or repeal of other Acts</w:t>
      </w:r>
      <w:bookmarkEnd w:id="21"/>
    </w:p>
    <w:p w14:paraId="1DC123E8" w14:textId="2D994167" w:rsidR="001F5C59" w:rsidRPr="00850BC1" w:rsidRDefault="009D31F6" w:rsidP="00DB6C8A">
      <w:pPr>
        <w:pStyle w:val="Bodytext100"/>
        <w:spacing w:before="120" w:line="240" w:lineRule="auto"/>
        <w:jc w:val="left"/>
        <w:rPr>
          <w:sz w:val="22"/>
          <w:szCs w:val="22"/>
        </w:rPr>
      </w:pPr>
      <w:bookmarkStart w:id="22" w:name="bookmark22"/>
      <w:r w:rsidRPr="00F43104">
        <w:rPr>
          <w:sz w:val="26"/>
          <w:szCs w:val="26"/>
        </w:rPr>
        <w:t>Administrative Appeals Tribunal Act 1975</w:t>
      </w:r>
      <w:bookmarkEnd w:id="22"/>
    </w:p>
    <w:p w14:paraId="158B338E" w14:textId="24345557" w:rsidR="001F5C59" w:rsidRPr="0010336B" w:rsidRDefault="0010336B" w:rsidP="00DB6C8A">
      <w:pPr>
        <w:spacing w:before="120"/>
        <w:rPr>
          <w:rFonts w:ascii="Times New Roman" w:hAnsi="Times New Roman" w:cs="Times New Roman"/>
          <w:b/>
          <w:sz w:val="22"/>
          <w:szCs w:val="22"/>
        </w:rPr>
      </w:pPr>
      <w:bookmarkStart w:id="23" w:name="bookmark23"/>
      <w:r w:rsidRPr="00F43104">
        <w:rPr>
          <w:rFonts w:ascii="Times New Roman" w:hAnsi="Times New Roman" w:cs="Times New Roman"/>
          <w:b/>
          <w:szCs w:val="22"/>
        </w:rPr>
        <w:t xml:space="preserve">1 </w:t>
      </w:r>
      <w:r w:rsidR="00530235" w:rsidRPr="00F43104">
        <w:rPr>
          <w:rFonts w:ascii="Times New Roman" w:hAnsi="Times New Roman" w:cs="Times New Roman"/>
          <w:b/>
          <w:szCs w:val="22"/>
        </w:rPr>
        <w:t>At the end of paragraphs 49(1</w:t>
      </w:r>
      <w:r w:rsidR="009D31F6" w:rsidRPr="00F43104">
        <w:rPr>
          <w:rFonts w:ascii="Times New Roman" w:hAnsi="Times New Roman" w:cs="Times New Roman"/>
          <w:b/>
          <w:szCs w:val="22"/>
        </w:rPr>
        <w:t>)(a) and (b)</w:t>
      </w:r>
      <w:bookmarkEnd w:id="23"/>
    </w:p>
    <w:p w14:paraId="184591E0" w14:textId="77777777" w:rsidR="001F5C59" w:rsidRPr="00850BC1" w:rsidRDefault="009D31F6" w:rsidP="00F61237">
      <w:pPr>
        <w:pStyle w:val="BodyText21"/>
        <w:spacing w:before="120" w:line="240" w:lineRule="auto"/>
        <w:ind w:left="522" w:firstLine="0"/>
        <w:rPr>
          <w:sz w:val="22"/>
          <w:szCs w:val="22"/>
        </w:rPr>
      </w:pPr>
      <w:r w:rsidRPr="00850BC1">
        <w:rPr>
          <w:sz w:val="22"/>
          <w:szCs w:val="22"/>
        </w:rPr>
        <w:t>Add “and”.</w:t>
      </w:r>
    </w:p>
    <w:p w14:paraId="3FF9F632" w14:textId="5F86B5F9" w:rsidR="001F5C59" w:rsidRPr="0010336B" w:rsidRDefault="0010336B" w:rsidP="00DB6C8A">
      <w:pPr>
        <w:spacing w:before="120"/>
        <w:rPr>
          <w:rFonts w:ascii="Times New Roman" w:hAnsi="Times New Roman" w:cs="Times New Roman"/>
          <w:b/>
          <w:sz w:val="22"/>
          <w:szCs w:val="22"/>
        </w:rPr>
      </w:pPr>
      <w:bookmarkStart w:id="24" w:name="bookmark24"/>
      <w:r w:rsidRPr="00F43104">
        <w:rPr>
          <w:rFonts w:ascii="Times New Roman" w:hAnsi="Times New Roman" w:cs="Times New Roman"/>
          <w:b/>
          <w:szCs w:val="22"/>
        </w:rPr>
        <w:t xml:space="preserve">2 </w:t>
      </w:r>
      <w:r w:rsidR="00530235" w:rsidRPr="00F43104">
        <w:rPr>
          <w:rFonts w:ascii="Times New Roman" w:hAnsi="Times New Roman" w:cs="Times New Roman"/>
          <w:b/>
          <w:szCs w:val="22"/>
        </w:rPr>
        <w:t>Paragraph 49(1</w:t>
      </w:r>
      <w:r w:rsidR="009D31F6" w:rsidRPr="00F43104">
        <w:rPr>
          <w:rFonts w:ascii="Times New Roman" w:hAnsi="Times New Roman" w:cs="Times New Roman"/>
          <w:b/>
          <w:szCs w:val="22"/>
        </w:rPr>
        <w:t>)(c)</w:t>
      </w:r>
      <w:bookmarkEnd w:id="24"/>
    </w:p>
    <w:p w14:paraId="7366C25D" w14:textId="77777777" w:rsidR="001F5C59" w:rsidRPr="00850BC1" w:rsidRDefault="009D31F6" w:rsidP="00F61237">
      <w:pPr>
        <w:pStyle w:val="BodyText21"/>
        <w:spacing w:before="120" w:line="240" w:lineRule="auto"/>
        <w:ind w:left="522" w:firstLine="0"/>
        <w:rPr>
          <w:sz w:val="22"/>
          <w:szCs w:val="22"/>
        </w:rPr>
      </w:pPr>
      <w:r w:rsidRPr="00850BC1">
        <w:rPr>
          <w:sz w:val="22"/>
          <w:szCs w:val="22"/>
        </w:rPr>
        <w:t>Repeal the paragraph, substitute:</w:t>
      </w:r>
    </w:p>
    <w:p w14:paraId="483B60B2" w14:textId="6EAE677F" w:rsidR="001F5C59" w:rsidRPr="00850BC1" w:rsidRDefault="0010336B" w:rsidP="0010336B">
      <w:pPr>
        <w:pStyle w:val="BodyText21"/>
        <w:spacing w:before="120" w:line="240" w:lineRule="auto"/>
        <w:ind w:left="1440" w:hanging="360"/>
        <w:rPr>
          <w:sz w:val="22"/>
          <w:szCs w:val="22"/>
        </w:rPr>
      </w:pPr>
      <w:r>
        <w:rPr>
          <w:sz w:val="22"/>
          <w:szCs w:val="22"/>
        </w:rPr>
        <w:t xml:space="preserve">(c) </w:t>
      </w:r>
      <w:r w:rsidR="009D31F6" w:rsidRPr="00850BC1">
        <w:rPr>
          <w:sz w:val="22"/>
          <w:szCs w:val="22"/>
        </w:rPr>
        <w:t xml:space="preserve">the President of the Australian Law Reform Commission established by the </w:t>
      </w:r>
      <w:r w:rsidR="009D31F6" w:rsidRPr="00850BC1">
        <w:rPr>
          <w:rStyle w:val="BodytextItalic"/>
          <w:sz w:val="22"/>
          <w:szCs w:val="22"/>
        </w:rPr>
        <w:t>Australian Law Reform Commission Act 1996</w:t>
      </w:r>
      <w:r w:rsidR="009D31F6" w:rsidRPr="00F43104">
        <w:rPr>
          <w:rStyle w:val="BodytextItalic"/>
          <w:i w:val="0"/>
          <w:sz w:val="22"/>
          <w:szCs w:val="22"/>
        </w:rPr>
        <w:t>;</w:t>
      </w:r>
      <w:r w:rsidR="009D31F6" w:rsidRPr="00850BC1">
        <w:rPr>
          <w:sz w:val="22"/>
          <w:szCs w:val="22"/>
        </w:rPr>
        <w:t xml:space="preserve"> and</w:t>
      </w:r>
    </w:p>
    <w:p w14:paraId="28F970B2" w14:textId="687EF785" w:rsidR="001F5C59" w:rsidRPr="00850BC1" w:rsidRDefault="009D31F6" w:rsidP="0010336B">
      <w:pPr>
        <w:pStyle w:val="Bodytext100"/>
        <w:spacing w:before="120" w:line="240" w:lineRule="auto"/>
        <w:jc w:val="left"/>
        <w:rPr>
          <w:sz w:val="22"/>
          <w:szCs w:val="22"/>
        </w:rPr>
      </w:pPr>
      <w:bookmarkStart w:id="25" w:name="bookmark25"/>
      <w:r w:rsidRPr="00F43104">
        <w:rPr>
          <w:sz w:val="26"/>
          <w:szCs w:val="26"/>
        </w:rPr>
        <w:t>Law Reform Commission Act 1973</w:t>
      </w:r>
      <w:bookmarkEnd w:id="25"/>
    </w:p>
    <w:p w14:paraId="046522F3" w14:textId="51BF498D" w:rsidR="001F5C59" w:rsidRPr="0010336B" w:rsidRDefault="0010336B" w:rsidP="00DB6C8A">
      <w:pPr>
        <w:spacing w:before="120"/>
        <w:rPr>
          <w:rFonts w:ascii="Times New Roman" w:hAnsi="Times New Roman" w:cs="Times New Roman"/>
          <w:b/>
          <w:sz w:val="22"/>
          <w:szCs w:val="22"/>
        </w:rPr>
      </w:pPr>
      <w:bookmarkStart w:id="26" w:name="bookmark26"/>
      <w:r w:rsidRPr="00F43104">
        <w:rPr>
          <w:rFonts w:ascii="Times New Roman" w:hAnsi="Times New Roman" w:cs="Times New Roman"/>
          <w:b/>
          <w:szCs w:val="22"/>
        </w:rPr>
        <w:t xml:space="preserve">3 </w:t>
      </w:r>
      <w:r w:rsidR="009D31F6" w:rsidRPr="00F43104">
        <w:rPr>
          <w:rFonts w:ascii="Times New Roman" w:hAnsi="Times New Roman" w:cs="Times New Roman"/>
          <w:b/>
          <w:szCs w:val="22"/>
        </w:rPr>
        <w:t>The whole of the Act</w:t>
      </w:r>
      <w:bookmarkEnd w:id="26"/>
    </w:p>
    <w:p w14:paraId="36FA864A" w14:textId="77777777" w:rsidR="001F5C59" w:rsidRDefault="00460FCD" w:rsidP="00F61237">
      <w:pPr>
        <w:pStyle w:val="BodyText21"/>
        <w:spacing w:before="120" w:line="240" w:lineRule="auto"/>
        <w:ind w:left="522" w:firstLine="0"/>
        <w:rPr>
          <w:sz w:val="22"/>
          <w:szCs w:val="22"/>
        </w:rPr>
      </w:pPr>
      <w:r>
        <w:rPr>
          <w:sz w:val="22"/>
          <w:szCs w:val="22"/>
        </w:rPr>
        <w:t>Repeal the Act.</w:t>
      </w:r>
    </w:p>
    <w:p w14:paraId="43FE9FB2" w14:textId="77777777" w:rsidR="00F61237" w:rsidRDefault="00F61237" w:rsidP="00F61237">
      <w:pPr>
        <w:pStyle w:val="BodyText21"/>
        <w:pBdr>
          <w:bottom w:val="single" w:sz="4" w:space="1" w:color="auto"/>
        </w:pBdr>
        <w:spacing w:before="120" w:line="240" w:lineRule="auto"/>
        <w:ind w:firstLine="0"/>
        <w:rPr>
          <w:sz w:val="22"/>
          <w:szCs w:val="22"/>
        </w:rPr>
      </w:pPr>
    </w:p>
    <w:p w14:paraId="1A414F33" w14:textId="77777777" w:rsidR="00F61237" w:rsidRPr="00F43104" w:rsidRDefault="00F61237" w:rsidP="00F61237">
      <w:pPr>
        <w:widowControl/>
        <w:autoSpaceDE w:val="0"/>
        <w:autoSpaceDN w:val="0"/>
        <w:adjustRightInd w:val="0"/>
        <w:spacing w:before="120"/>
        <w:rPr>
          <w:rFonts w:ascii="Times New Roman" w:hAnsi="Times New Roman" w:cs="Times New Roman"/>
          <w:i/>
          <w:iCs/>
          <w:color w:val="auto"/>
          <w:sz w:val="20"/>
          <w:szCs w:val="22"/>
          <w:lang w:bidi="hi-IN"/>
        </w:rPr>
      </w:pPr>
      <w:r w:rsidRPr="00F43104">
        <w:rPr>
          <w:rFonts w:ascii="Times New Roman" w:hAnsi="Times New Roman" w:cs="Times New Roman"/>
          <w:color w:val="auto"/>
          <w:sz w:val="20"/>
          <w:szCs w:val="22"/>
          <w:lang w:bidi="hi-IN"/>
        </w:rPr>
        <w:t>[</w:t>
      </w:r>
      <w:r w:rsidRPr="00F43104">
        <w:rPr>
          <w:rFonts w:ascii="Times New Roman" w:hAnsi="Times New Roman" w:cs="Times New Roman"/>
          <w:i/>
          <w:iCs/>
          <w:color w:val="auto"/>
          <w:sz w:val="20"/>
          <w:szCs w:val="22"/>
          <w:lang w:bidi="hi-IN"/>
        </w:rPr>
        <w:t>Minister's second reading speech made in-</w:t>
      </w:r>
    </w:p>
    <w:p w14:paraId="568821B5" w14:textId="77235E61" w:rsidR="00F61237" w:rsidRPr="00F61237" w:rsidRDefault="00F61237" w:rsidP="00C4307E">
      <w:pPr>
        <w:widowControl/>
        <w:autoSpaceDE w:val="0"/>
        <w:autoSpaceDN w:val="0"/>
        <w:adjustRightInd w:val="0"/>
        <w:ind w:left="576" w:right="4860"/>
        <w:rPr>
          <w:rFonts w:ascii="Times New Roman" w:hAnsi="Times New Roman" w:cs="Times New Roman"/>
          <w:color w:val="auto"/>
          <w:sz w:val="22"/>
          <w:szCs w:val="22"/>
          <w:lang w:bidi="hi-IN"/>
        </w:rPr>
      </w:pPr>
      <w:r w:rsidRPr="00F43104">
        <w:rPr>
          <w:rFonts w:ascii="Times New Roman" w:hAnsi="Times New Roman" w:cs="Times New Roman"/>
          <w:i/>
          <w:iCs/>
          <w:color w:val="auto"/>
          <w:sz w:val="20"/>
          <w:szCs w:val="22"/>
          <w:lang w:bidi="hi-IN"/>
        </w:rPr>
        <w:t>House of Representatives on 20 June 1996</w:t>
      </w:r>
      <w:r w:rsidR="00C4307E" w:rsidRPr="00F43104">
        <w:rPr>
          <w:rFonts w:ascii="Times New Roman" w:hAnsi="Times New Roman" w:cs="Times New Roman"/>
          <w:i/>
          <w:iCs/>
          <w:color w:val="auto"/>
          <w:sz w:val="20"/>
          <w:szCs w:val="22"/>
          <w:lang w:bidi="hi-IN"/>
        </w:rPr>
        <w:t xml:space="preserve"> </w:t>
      </w:r>
      <w:r w:rsidRPr="00F43104">
        <w:rPr>
          <w:rFonts w:ascii="Times New Roman" w:hAnsi="Times New Roman" w:cs="Times New Roman"/>
          <w:i/>
          <w:iCs/>
          <w:color w:val="auto"/>
          <w:sz w:val="20"/>
          <w:szCs w:val="22"/>
          <w:lang w:bidi="hi-IN"/>
        </w:rPr>
        <w:t>Senate on 10 September 1996</w:t>
      </w:r>
      <w:r w:rsidRPr="00F43104">
        <w:rPr>
          <w:rFonts w:ascii="Times New Roman" w:hAnsi="Times New Roman" w:cs="Times New Roman"/>
          <w:color w:val="auto"/>
          <w:sz w:val="20"/>
          <w:szCs w:val="22"/>
          <w:lang w:bidi="hi-IN"/>
        </w:rPr>
        <w:t>]</w:t>
      </w:r>
    </w:p>
    <w:sectPr w:rsidR="00F61237" w:rsidRPr="00F61237" w:rsidSect="004D6827">
      <w:headerReference w:type="default" r:id="rId19"/>
      <w:pgSz w:w="12240" w:h="15840" w:code="1"/>
      <w:pgMar w:top="1440" w:right="1440" w:bottom="1440" w:left="1440" w:header="360" w:footer="48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9016FB" w15:done="0"/>
  <w15:commentEx w15:paraId="395532F2" w15:done="0"/>
  <w15:commentEx w15:paraId="62233ED7" w15:done="0"/>
  <w15:commentEx w15:paraId="0A0A3959" w15:done="0"/>
  <w15:commentEx w15:paraId="6C2D5486" w15:done="0"/>
  <w15:commentEx w15:paraId="3C301796" w15:done="0"/>
  <w15:commentEx w15:paraId="59744491" w15:done="0"/>
  <w15:commentEx w15:paraId="1548DCB2" w15:done="0"/>
  <w15:commentEx w15:paraId="77E2A0AE" w15:done="0"/>
  <w15:commentEx w15:paraId="1844E543" w15:done="0"/>
  <w15:commentEx w15:paraId="6EAAAB92" w15:done="0"/>
  <w15:commentEx w15:paraId="5C9A7DB3" w15:done="0"/>
  <w15:commentEx w15:paraId="4111ED94" w15:done="0"/>
  <w15:commentEx w15:paraId="1C0649EA" w15:done="0"/>
  <w15:commentEx w15:paraId="0EA9AF7C" w15:done="0"/>
  <w15:commentEx w15:paraId="25D8815E" w15:done="0"/>
  <w15:commentEx w15:paraId="1A08E585" w15:done="0"/>
  <w15:commentEx w15:paraId="17FC5250" w15:done="0"/>
  <w15:commentEx w15:paraId="4EEE0826" w15:done="0"/>
  <w15:commentEx w15:paraId="441C5135" w15:done="0"/>
  <w15:commentEx w15:paraId="50F75844" w15:done="0"/>
  <w15:commentEx w15:paraId="3B221C82" w15:done="0"/>
  <w15:commentEx w15:paraId="0CDF4AE6" w15:done="0"/>
  <w15:commentEx w15:paraId="1B624F21" w15:done="0"/>
  <w15:commentEx w15:paraId="7A899A19" w15:done="0"/>
  <w15:commentEx w15:paraId="43F0D2FB" w15:done="0"/>
  <w15:commentEx w15:paraId="4FDEF987" w15:done="0"/>
  <w15:commentEx w15:paraId="31BA8B52" w15:done="0"/>
  <w15:commentEx w15:paraId="5FB30DB0" w15:done="0"/>
  <w15:commentEx w15:paraId="3D5CCDB5" w15:done="0"/>
  <w15:commentEx w15:paraId="305DE43B" w15:done="0"/>
  <w15:commentEx w15:paraId="017744DA" w15:done="0"/>
  <w15:commentEx w15:paraId="21B2FF64" w15:done="0"/>
  <w15:commentEx w15:paraId="587FA364" w15:done="0"/>
  <w15:commentEx w15:paraId="7D06C8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9016FB" w16cid:durableId="2145C616"/>
  <w16cid:commentId w16cid:paraId="395532F2" w16cid:durableId="2145C649"/>
  <w16cid:commentId w16cid:paraId="62233ED7" w16cid:durableId="2145C642"/>
  <w16cid:commentId w16cid:paraId="0A0A3959" w16cid:durableId="2145C62F"/>
  <w16cid:commentId w16cid:paraId="6C2D5486" w16cid:durableId="2145C66E"/>
  <w16cid:commentId w16cid:paraId="3C301796" w16cid:durableId="2145C664"/>
  <w16cid:commentId w16cid:paraId="59744491" w16cid:durableId="2145C680"/>
  <w16cid:commentId w16cid:paraId="1548DCB2" w16cid:durableId="2145C695"/>
  <w16cid:commentId w16cid:paraId="77E2A0AE" w16cid:durableId="2145C6A3"/>
  <w16cid:commentId w16cid:paraId="1844E543" w16cid:durableId="2145C6AC"/>
  <w16cid:commentId w16cid:paraId="6EAAAB92" w16cid:durableId="2145C6B9"/>
  <w16cid:commentId w16cid:paraId="5C9A7DB3" w16cid:durableId="2145C6F1"/>
  <w16cid:commentId w16cid:paraId="4111ED94" w16cid:durableId="2145C730"/>
  <w16cid:commentId w16cid:paraId="1C0649EA" w16cid:durableId="2145C73F"/>
  <w16cid:commentId w16cid:paraId="0EA9AF7C" w16cid:durableId="2145C758"/>
  <w16cid:commentId w16cid:paraId="25D8815E" w16cid:durableId="2145C761"/>
  <w16cid:commentId w16cid:paraId="1A08E585" w16cid:durableId="2145C771"/>
  <w16cid:commentId w16cid:paraId="17FC5250" w16cid:durableId="2145C775"/>
  <w16cid:commentId w16cid:paraId="4EEE0826" w16cid:durableId="2145C77A"/>
  <w16cid:commentId w16cid:paraId="441C5135" w16cid:durableId="2145C77E"/>
  <w16cid:commentId w16cid:paraId="50F75844" w16cid:durableId="2145C782"/>
  <w16cid:commentId w16cid:paraId="3B221C82" w16cid:durableId="2145C78E"/>
  <w16cid:commentId w16cid:paraId="0CDF4AE6" w16cid:durableId="2145C795"/>
  <w16cid:commentId w16cid:paraId="1B624F21" w16cid:durableId="2145C79A"/>
  <w16cid:commentId w16cid:paraId="7A899A19" w16cid:durableId="2145C79E"/>
  <w16cid:commentId w16cid:paraId="43F0D2FB" w16cid:durableId="2145C7A2"/>
  <w16cid:commentId w16cid:paraId="4FDEF987" w16cid:durableId="2145C7A6"/>
  <w16cid:commentId w16cid:paraId="31BA8B52" w16cid:durableId="2145C7B1"/>
  <w16cid:commentId w16cid:paraId="5FB30DB0" w16cid:durableId="2145C7BC"/>
  <w16cid:commentId w16cid:paraId="3D5CCDB5" w16cid:durableId="2145C7C3"/>
  <w16cid:commentId w16cid:paraId="305DE43B" w16cid:durableId="2145C7C9"/>
  <w16cid:commentId w16cid:paraId="017744DA" w16cid:durableId="2145C7CF"/>
  <w16cid:commentId w16cid:paraId="21B2FF64" w16cid:durableId="2145C7D6"/>
  <w16cid:commentId w16cid:paraId="587FA364" w16cid:durableId="2145C7DE"/>
  <w16cid:commentId w16cid:paraId="7D06C830" w16cid:durableId="2145C7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19494" w14:textId="77777777" w:rsidR="00325DE1" w:rsidRDefault="00325DE1">
      <w:r>
        <w:separator/>
      </w:r>
    </w:p>
  </w:endnote>
  <w:endnote w:type="continuationSeparator" w:id="0">
    <w:p w14:paraId="3E6D4B80" w14:textId="77777777" w:rsidR="00325DE1" w:rsidRDefault="0032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F6350" w14:textId="77777777" w:rsidR="008D75A6" w:rsidRPr="00272BF2" w:rsidRDefault="00F43104" w:rsidP="00272BF2">
    <w:pPr>
      <w:pStyle w:val="Footer"/>
      <w:tabs>
        <w:tab w:val="clear" w:pos="4680"/>
      </w:tabs>
      <w:ind w:left="540"/>
      <w:rPr>
        <w:rFonts w:ascii="Times New Roman" w:hAnsi="Times New Roman" w:cs="Times New Roman"/>
        <w:sz w:val="22"/>
        <w:szCs w:val="22"/>
      </w:rPr>
    </w:pPr>
    <w:r>
      <w:rPr>
        <w:rFonts w:ascii="Times New Roman" w:hAnsi="Times New Roman" w:cs="Times New Roman"/>
        <w:i/>
        <w:iCs/>
        <w:noProof/>
        <w:color w:val="auto"/>
        <w:sz w:val="22"/>
        <w:szCs w:val="22"/>
        <w:lang w:val="en-IN"/>
      </w:rPr>
      <w:pict w14:anchorId="43BEE395">
        <v:shapetype id="_x0000_t32" coordsize="21600,21600" o:spt="32" o:oned="t" path="m,l21600,21600e" filled="f">
          <v:path arrowok="t" fillok="f" o:connecttype="none"/>
          <o:lock v:ext="edit" shapetype="t"/>
        </v:shapetype>
        <v:shape id="_x0000_s2050" type="#_x0000_t32" style="position:absolute;left:0;text-align:left;margin-left:5.25pt;margin-top:-4.7pt;width:471.75pt;height:0;z-index:251659264" o:connectortype="straight"/>
      </w:pict>
    </w:r>
    <w:r w:rsidR="008D75A6" w:rsidRPr="00272BF2">
      <w:rPr>
        <w:rFonts w:ascii="Times New Roman" w:hAnsi="Times New Roman" w:cs="Times New Roman"/>
        <w:i/>
        <w:iCs/>
        <w:color w:val="auto"/>
        <w:sz w:val="22"/>
        <w:szCs w:val="22"/>
        <w:lang w:val="en-IN"/>
      </w:rPr>
      <w:t>Australian Law Reform Commission (Repeal, Transitional and</w:t>
    </w:r>
    <w:r w:rsidR="008D75A6">
      <w:rPr>
        <w:rFonts w:ascii="Times New Roman" w:hAnsi="Times New Roman" w:cs="Times New Roman"/>
        <w:i/>
        <w:iCs/>
        <w:color w:val="auto"/>
        <w:sz w:val="22"/>
        <w:szCs w:val="22"/>
        <w:lang w:val="en-IN"/>
      </w:rPr>
      <w:tab/>
    </w:r>
    <w:r w:rsidR="008D75A6" w:rsidRPr="00272BF2">
      <w:rPr>
        <w:rFonts w:ascii="Times New Roman" w:hAnsi="Times New Roman" w:cs="Times New Roman"/>
        <w:i/>
        <w:iCs/>
        <w:color w:val="auto"/>
        <w:sz w:val="22"/>
        <w:szCs w:val="22"/>
        <w:lang w:val="en-IN"/>
      </w:rPr>
      <w:t xml:space="preserve">No. </w:t>
    </w:r>
    <w:r w:rsidR="008D75A6" w:rsidRPr="00272BF2">
      <w:rPr>
        <w:rFonts w:ascii="Times New Roman" w:hAnsi="Times New Roman" w:cs="Times New Roman"/>
        <w:bCs/>
        <w:i/>
        <w:iCs/>
        <w:color w:val="auto"/>
        <w:sz w:val="22"/>
        <w:szCs w:val="22"/>
        <w:lang w:val="en-IN"/>
      </w:rPr>
      <w:t>38, 1996</w:t>
    </w:r>
  </w:p>
  <w:p w14:paraId="1CE1C8A9" w14:textId="77777777" w:rsidR="008D75A6" w:rsidRPr="00272BF2" w:rsidRDefault="008D75A6" w:rsidP="00272BF2">
    <w:pPr>
      <w:widowControl/>
      <w:autoSpaceDE w:val="0"/>
      <w:autoSpaceDN w:val="0"/>
      <w:adjustRightInd w:val="0"/>
      <w:ind w:left="540"/>
      <w:rPr>
        <w:rFonts w:ascii="Times New Roman" w:hAnsi="Times New Roman" w:cs="Times New Roman"/>
        <w:i/>
        <w:iCs/>
        <w:color w:val="auto"/>
        <w:sz w:val="22"/>
        <w:szCs w:val="22"/>
        <w:lang w:val="en-IN"/>
      </w:rPr>
    </w:pPr>
    <w:r w:rsidRPr="00272BF2">
      <w:rPr>
        <w:rFonts w:ascii="Times New Roman" w:hAnsi="Times New Roman" w:cs="Times New Roman"/>
        <w:i/>
        <w:iCs/>
        <w:color w:val="auto"/>
        <w:sz w:val="22"/>
        <w:szCs w:val="22"/>
        <w:lang w:val="en-IN"/>
      </w:rPr>
      <w:t>Miscellaneous) Act 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ACDE6" w14:textId="77777777" w:rsidR="008D75A6" w:rsidRPr="00272BF2" w:rsidRDefault="00F43104" w:rsidP="00272BF2">
    <w:pPr>
      <w:widowControl/>
      <w:tabs>
        <w:tab w:val="left" w:pos="2160"/>
      </w:tabs>
      <w:autoSpaceDE w:val="0"/>
      <w:autoSpaceDN w:val="0"/>
      <w:adjustRightInd w:val="0"/>
      <w:rPr>
        <w:rFonts w:ascii="Times New Roman" w:hAnsi="Times New Roman" w:cs="Times New Roman"/>
        <w:i/>
        <w:iCs/>
        <w:color w:val="auto"/>
        <w:sz w:val="22"/>
        <w:szCs w:val="22"/>
        <w:lang w:val="en-IN"/>
      </w:rPr>
    </w:pPr>
    <w:r>
      <w:rPr>
        <w:rFonts w:ascii="Times New Roman" w:hAnsi="Times New Roman" w:cs="Times New Roman"/>
        <w:i/>
        <w:iCs/>
        <w:noProof/>
        <w:color w:val="auto"/>
        <w:sz w:val="22"/>
        <w:szCs w:val="22"/>
        <w:lang w:val="en-IN"/>
      </w:rPr>
      <w:pict w14:anchorId="0D2D9B9B">
        <v:shapetype id="_x0000_t32" coordsize="21600,21600" o:spt="32" o:oned="t" path="m,l21600,21600e" filled="f">
          <v:path arrowok="t" fillok="f" o:connecttype="none"/>
          <o:lock v:ext="edit" shapetype="t"/>
        </v:shapetype>
        <v:shape id="_x0000_s2049" type="#_x0000_t32" style="position:absolute;margin-left:-6pt;margin-top:-4.7pt;width:492.75pt;height:0;z-index:251658240" o:connectortype="straight"/>
      </w:pict>
    </w:r>
    <w:r w:rsidR="008D75A6" w:rsidRPr="00272BF2">
      <w:rPr>
        <w:rFonts w:ascii="Times New Roman" w:hAnsi="Times New Roman" w:cs="Times New Roman"/>
        <w:i/>
        <w:iCs/>
        <w:color w:val="auto"/>
        <w:sz w:val="22"/>
        <w:szCs w:val="22"/>
        <w:lang w:val="en-IN"/>
      </w:rPr>
      <w:t xml:space="preserve">No. </w:t>
    </w:r>
    <w:r w:rsidR="008D75A6" w:rsidRPr="00272BF2">
      <w:rPr>
        <w:rFonts w:ascii="Times New Roman" w:hAnsi="Times New Roman" w:cs="Times New Roman"/>
        <w:bCs/>
        <w:i/>
        <w:iCs/>
        <w:color w:val="auto"/>
        <w:sz w:val="22"/>
        <w:szCs w:val="22"/>
        <w:lang w:val="en-IN"/>
      </w:rPr>
      <w:t>38, 1996</w:t>
    </w:r>
    <w:r w:rsidR="008D75A6">
      <w:rPr>
        <w:rFonts w:ascii="Times New Roman" w:hAnsi="Times New Roman" w:cs="Times New Roman"/>
        <w:bCs/>
        <w:i/>
        <w:iCs/>
        <w:color w:val="auto"/>
        <w:sz w:val="22"/>
        <w:szCs w:val="22"/>
        <w:lang w:val="en-IN"/>
      </w:rPr>
      <w:tab/>
    </w:r>
    <w:r w:rsidR="008D75A6" w:rsidRPr="00272BF2">
      <w:rPr>
        <w:rFonts w:ascii="Times New Roman" w:hAnsi="Times New Roman" w:cs="Times New Roman"/>
        <w:i/>
        <w:iCs/>
        <w:color w:val="auto"/>
        <w:sz w:val="22"/>
        <w:szCs w:val="22"/>
        <w:lang w:val="en-IN"/>
      </w:rPr>
      <w:t>Australian Law Reform Commission (Repeal, Transitional and</w:t>
    </w:r>
  </w:p>
  <w:p w14:paraId="71F9CAEA" w14:textId="77777777" w:rsidR="008D75A6" w:rsidRPr="00272BF2" w:rsidRDefault="008D75A6" w:rsidP="00272BF2">
    <w:pPr>
      <w:pStyle w:val="Footer"/>
      <w:tabs>
        <w:tab w:val="clear" w:pos="4680"/>
        <w:tab w:val="clear" w:pos="9360"/>
      </w:tabs>
      <w:ind w:left="2160"/>
      <w:rPr>
        <w:rFonts w:ascii="Times New Roman" w:hAnsi="Times New Roman" w:cs="Times New Roman"/>
        <w:sz w:val="22"/>
        <w:szCs w:val="22"/>
      </w:rPr>
    </w:pPr>
    <w:r w:rsidRPr="00272BF2">
      <w:rPr>
        <w:rFonts w:ascii="Times New Roman" w:hAnsi="Times New Roman" w:cs="Times New Roman"/>
        <w:i/>
        <w:iCs/>
        <w:color w:val="auto"/>
        <w:sz w:val="22"/>
        <w:szCs w:val="22"/>
        <w:lang w:val="en-IN"/>
      </w:rPr>
      <w:t xml:space="preserve">Miscellaneous) Act </w:t>
    </w:r>
    <w:r w:rsidRPr="00272BF2">
      <w:rPr>
        <w:rFonts w:ascii="Times New Roman" w:hAnsi="Times New Roman" w:cs="Times New Roman"/>
        <w:bCs/>
        <w:i/>
        <w:iCs/>
        <w:color w:val="auto"/>
        <w:sz w:val="22"/>
        <w:szCs w:val="22"/>
        <w:lang w:val="en-IN"/>
      </w:rPr>
      <w:t>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53D44" w14:textId="77777777" w:rsidR="00325DE1" w:rsidRDefault="00325DE1"/>
  </w:footnote>
  <w:footnote w:type="continuationSeparator" w:id="0">
    <w:p w14:paraId="097304D2" w14:textId="77777777" w:rsidR="00325DE1" w:rsidRDefault="00325D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8EC7C" w14:textId="77777777" w:rsidR="008D75A6" w:rsidRPr="008D75A6" w:rsidRDefault="008D75A6">
    <w:pPr>
      <w:pStyle w:val="Header"/>
      <w:rPr>
        <w:rFonts w:ascii="Times New Roman" w:hAnsi="Times New Roman" w:cs="Times New Roman"/>
        <w:color w:val="auto"/>
        <w:sz w:val="22"/>
        <w:szCs w:val="22"/>
        <w:lang w:val="en-IN"/>
      </w:rPr>
    </w:pPr>
    <w:r w:rsidRPr="008D75A6">
      <w:rPr>
        <w:rFonts w:ascii="Times New Roman" w:hAnsi="Times New Roman" w:cs="Times New Roman"/>
        <w:b/>
        <w:color w:val="auto"/>
        <w:sz w:val="22"/>
        <w:szCs w:val="22"/>
        <w:lang w:val="en-IN"/>
      </w:rPr>
      <w:t>Part</w:t>
    </w:r>
    <w:r w:rsidRPr="008D75A6">
      <w:rPr>
        <w:rFonts w:ascii="Times New Roman" w:hAnsi="Times New Roman" w:cs="Times New Roman"/>
        <w:color w:val="auto"/>
        <w:sz w:val="22"/>
        <w:szCs w:val="22"/>
        <w:lang w:val="en-IN"/>
      </w:rPr>
      <w:t xml:space="preserve"> </w:t>
    </w:r>
    <w:r w:rsidRPr="008D75A6">
      <w:rPr>
        <w:rFonts w:ascii="Times New Roman" w:hAnsi="Times New Roman" w:cs="Times New Roman"/>
        <w:b/>
        <w:bCs/>
        <w:color w:val="auto"/>
        <w:sz w:val="22"/>
        <w:szCs w:val="22"/>
        <w:lang w:val="en-IN"/>
      </w:rPr>
      <w:t xml:space="preserve">1 </w:t>
    </w:r>
    <w:r w:rsidRPr="008D75A6">
      <w:rPr>
        <w:rFonts w:ascii="Times New Roman" w:hAnsi="Times New Roman" w:cs="Times New Roman"/>
        <w:color w:val="auto"/>
        <w:sz w:val="22"/>
        <w:szCs w:val="22"/>
        <w:lang w:val="en-IN"/>
      </w:rPr>
      <w:t>Preliminary</w:t>
    </w:r>
  </w:p>
  <w:p w14:paraId="5A8528DD" w14:textId="77777777" w:rsidR="008D75A6" w:rsidRPr="008D75A6" w:rsidRDefault="00F43104" w:rsidP="008D75A6">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rPr>
      <w:pict w14:anchorId="29B73FEF">
        <v:shapetype id="_x0000_t32" coordsize="21600,21600" o:spt="32" o:oned="t" path="m,l21600,21600e" filled="f">
          <v:path arrowok="t" fillok="f" o:connecttype="none"/>
          <o:lock v:ext="edit" shapetype="t"/>
        </v:shapetype>
        <v:shape id="_x0000_s2051" type="#_x0000_t32" style="position:absolute;margin-left:-4.5pt;margin-top:25.6pt;width:477pt;height:0;z-index:251660288" o:connectortype="straight"/>
      </w:pict>
    </w:r>
    <w:r w:rsidR="008D75A6" w:rsidRPr="008D75A6">
      <w:rPr>
        <w:rFonts w:ascii="Times New Roman" w:hAnsi="Times New Roman" w:cs="Times New Roman"/>
        <w:color w:val="auto"/>
        <w:sz w:val="22"/>
        <w:szCs w:val="22"/>
        <w:lang w:val="en-IN"/>
      </w:rPr>
      <w:t>Section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CA50F" w14:textId="77777777" w:rsidR="008D75A6" w:rsidRPr="008D75A6" w:rsidRDefault="008D75A6" w:rsidP="008D75A6">
    <w:pPr>
      <w:widowControl/>
      <w:autoSpaceDE w:val="0"/>
      <w:autoSpaceDN w:val="0"/>
      <w:adjustRightInd w:val="0"/>
      <w:jc w:val="right"/>
      <w:rPr>
        <w:rFonts w:ascii="Times New Roman" w:hAnsi="Times New Roman" w:cs="Times New Roman"/>
        <w:b/>
        <w:bCs/>
        <w:color w:val="auto"/>
        <w:sz w:val="22"/>
        <w:szCs w:val="22"/>
        <w:lang w:val="en-IN"/>
      </w:rPr>
    </w:pPr>
    <w:r w:rsidRPr="008D75A6">
      <w:rPr>
        <w:rFonts w:ascii="Times New Roman" w:hAnsi="Times New Roman" w:cs="Times New Roman"/>
        <w:color w:val="auto"/>
        <w:sz w:val="22"/>
        <w:szCs w:val="22"/>
        <w:lang w:val="en-IN"/>
      </w:rPr>
      <w:t xml:space="preserve">Transitional </w:t>
    </w:r>
    <w:r w:rsidRPr="008D75A6">
      <w:rPr>
        <w:rFonts w:ascii="Times New Roman" w:hAnsi="Times New Roman" w:cs="Times New Roman"/>
        <w:b/>
        <w:bCs/>
        <w:color w:val="auto"/>
        <w:sz w:val="22"/>
        <w:szCs w:val="22"/>
        <w:lang w:val="en-IN"/>
      </w:rPr>
      <w:t>Part 2</w:t>
    </w:r>
  </w:p>
  <w:p w14:paraId="4854F48F" w14:textId="77777777" w:rsidR="008D75A6" w:rsidRPr="008D75A6" w:rsidRDefault="00F43104" w:rsidP="008D75A6">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rPr>
      <w:pict w14:anchorId="761C7742">
        <v:shapetype id="_x0000_t32" coordsize="21600,21600" o:spt="32" o:oned="t" path="m,l21600,21600e" filled="f">
          <v:path arrowok="t" fillok="f" o:connecttype="none"/>
          <o:lock v:ext="edit" shapetype="t"/>
        </v:shapetype>
        <v:shape id="_x0000_s2052" type="#_x0000_t32" style="position:absolute;left:0;text-align:left;margin-left:-18.75pt;margin-top:26.35pt;width:500.25pt;height:0;z-index:251661312" o:connectortype="straight"/>
      </w:pict>
    </w:r>
    <w:r w:rsidR="008D75A6" w:rsidRPr="008D75A6">
      <w:rPr>
        <w:rFonts w:ascii="Times New Roman" w:hAnsi="Times New Roman" w:cs="Times New Roman"/>
        <w:color w:val="auto"/>
        <w:sz w:val="22"/>
        <w:szCs w:val="22"/>
        <w:lang w:val="en-IN"/>
      </w:rPr>
      <w:t>Section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44EB0" w14:textId="77777777" w:rsidR="008D75A6" w:rsidRPr="008D75A6" w:rsidRDefault="008D75A6">
    <w:pPr>
      <w:pStyle w:val="Header"/>
      <w:rPr>
        <w:rFonts w:ascii="Times New Roman" w:hAnsi="Times New Roman" w:cs="Times New Roman"/>
        <w:color w:val="auto"/>
        <w:sz w:val="22"/>
        <w:szCs w:val="22"/>
        <w:lang w:val="en-IN"/>
      </w:rPr>
    </w:pPr>
    <w:r w:rsidRPr="008D75A6">
      <w:rPr>
        <w:rFonts w:ascii="Times New Roman" w:hAnsi="Times New Roman" w:cs="Times New Roman"/>
        <w:b/>
        <w:color w:val="auto"/>
        <w:sz w:val="22"/>
        <w:szCs w:val="22"/>
        <w:lang w:val="en-IN"/>
      </w:rPr>
      <w:t>Part</w:t>
    </w:r>
    <w:r w:rsidRPr="008D75A6">
      <w:rPr>
        <w:rFonts w:ascii="Times New Roman" w:hAnsi="Times New Roman" w:cs="Times New Roman"/>
        <w:color w:val="auto"/>
        <w:sz w:val="22"/>
        <w:szCs w:val="22"/>
        <w:lang w:val="en-IN"/>
      </w:rPr>
      <w:t xml:space="preserve"> </w:t>
    </w:r>
    <w:r>
      <w:rPr>
        <w:rFonts w:ascii="Times New Roman" w:hAnsi="Times New Roman" w:cs="Times New Roman"/>
        <w:b/>
        <w:bCs/>
        <w:color w:val="auto"/>
        <w:sz w:val="22"/>
        <w:szCs w:val="22"/>
        <w:lang w:val="en-IN"/>
      </w:rPr>
      <w:t>2</w:t>
    </w:r>
    <w:r w:rsidRPr="008D75A6">
      <w:rPr>
        <w:rFonts w:ascii="Times New Roman" w:hAnsi="Times New Roman" w:cs="Times New Roman"/>
        <w:b/>
        <w:bCs/>
        <w:color w:val="auto"/>
        <w:sz w:val="22"/>
        <w:szCs w:val="22"/>
        <w:lang w:val="en-IN"/>
      </w:rPr>
      <w:t xml:space="preserve"> </w:t>
    </w:r>
    <w:r>
      <w:rPr>
        <w:rFonts w:ascii="Times New Roman" w:hAnsi="Times New Roman" w:cs="Times New Roman"/>
        <w:color w:val="auto"/>
        <w:sz w:val="22"/>
        <w:szCs w:val="22"/>
        <w:lang w:val="en-IN"/>
      </w:rPr>
      <w:t>Transitional</w:t>
    </w:r>
  </w:p>
  <w:p w14:paraId="666B6451" w14:textId="77777777" w:rsidR="008D75A6" w:rsidRPr="008D75A6" w:rsidRDefault="00F43104" w:rsidP="008D75A6">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rPr>
      <w:pict w14:anchorId="3D180B19">
        <v:shapetype id="_x0000_t32" coordsize="21600,21600" o:spt="32" o:oned="t" path="m,l21600,21600e" filled="f">
          <v:path arrowok="t" fillok="f" o:connecttype="none"/>
          <o:lock v:ext="edit" shapetype="t"/>
        </v:shapetype>
        <v:shape id="_x0000_s2053" type="#_x0000_t32" style="position:absolute;margin-left:-4.5pt;margin-top:25.6pt;width:477pt;height:0;z-index:251663360" o:connectortype="straight"/>
      </w:pict>
    </w:r>
    <w:r w:rsidR="008D75A6" w:rsidRPr="008D75A6">
      <w:rPr>
        <w:rFonts w:ascii="Times New Roman" w:hAnsi="Times New Roman" w:cs="Times New Roman"/>
        <w:color w:val="auto"/>
        <w:sz w:val="22"/>
        <w:szCs w:val="22"/>
        <w:lang w:val="en-IN"/>
      </w:rPr>
      <w:t xml:space="preserve">Section </w:t>
    </w:r>
    <w:r w:rsidR="008D75A6">
      <w:rPr>
        <w:rFonts w:ascii="Times New Roman" w:hAnsi="Times New Roman" w:cs="Times New Roman"/>
        <w:color w:val="auto"/>
        <w:sz w:val="22"/>
        <w:szCs w:val="22"/>
        <w:lang w:val="en-IN"/>
      </w:rPr>
      <w:t>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F7288" w14:textId="77777777" w:rsidR="008D75A6" w:rsidRPr="008D75A6" w:rsidRDefault="008D75A6" w:rsidP="008D75A6">
    <w:pPr>
      <w:widowControl/>
      <w:autoSpaceDE w:val="0"/>
      <w:autoSpaceDN w:val="0"/>
      <w:adjustRightInd w:val="0"/>
      <w:jc w:val="right"/>
      <w:rPr>
        <w:rFonts w:ascii="Times New Roman" w:hAnsi="Times New Roman" w:cs="Times New Roman"/>
        <w:b/>
        <w:bCs/>
        <w:color w:val="auto"/>
        <w:sz w:val="22"/>
        <w:szCs w:val="22"/>
        <w:lang w:val="en-IN"/>
      </w:rPr>
    </w:pPr>
    <w:r w:rsidRPr="008D75A6">
      <w:rPr>
        <w:rFonts w:ascii="Times New Roman" w:hAnsi="Times New Roman" w:cs="Times New Roman"/>
        <w:color w:val="auto"/>
        <w:sz w:val="22"/>
        <w:szCs w:val="22"/>
        <w:lang w:val="en-IN"/>
      </w:rPr>
      <w:t xml:space="preserve">Transitional </w:t>
    </w:r>
    <w:r w:rsidRPr="008D75A6">
      <w:rPr>
        <w:rFonts w:ascii="Times New Roman" w:hAnsi="Times New Roman" w:cs="Times New Roman"/>
        <w:b/>
        <w:bCs/>
        <w:color w:val="auto"/>
        <w:sz w:val="22"/>
        <w:szCs w:val="22"/>
        <w:lang w:val="en-IN"/>
      </w:rPr>
      <w:t>Part 2</w:t>
    </w:r>
  </w:p>
  <w:p w14:paraId="3AB9CCE2" w14:textId="77777777" w:rsidR="008D75A6" w:rsidRPr="008D75A6" w:rsidRDefault="00F43104" w:rsidP="008D75A6">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rPr>
      <w:pict w14:anchorId="5E6E9C1E">
        <v:shapetype id="_x0000_t32" coordsize="21600,21600" o:spt="32" o:oned="t" path="m,l21600,21600e" filled="f">
          <v:path arrowok="t" fillok="f" o:connecttype="none"/>
          <o:lock v:ext="edit" shapetype="t"/>
        </v:shapetype>
        <v:shape id="_x0000_s2054" type="#_x0000_t32" style="position:absolute;left:0;text-align:left;margin-left:-18.75pt;margin-top:26.35pt;width:500.25pt;height:0;z-index:251665408" o:connectortype="straight"/>
      </w:pict>
    </w:r>
    <w:r w:rsidR="008D75A6" w:rsidRPr="008D75A6">
      <w:rPr>
        <w:rFonts w:ascii="Times New Roman" w:hAnsi="Times New Roman" w:cs="Times New Roman"/>
        <w:color w:val="auto"/>
        <w:sz w:val="22"/>
        <w:szCs w:val="22"/>
        <w:lang w:val="en-IN"/>
      </w:rPr>
      <w:t xml:space="preserve">Section </w:t>
    </w:r>
    <w:r w:rsidR="008D75A6">
      <w:rPr>
        <w:rFonts w:ascii="Times New Roman" w:hAnsi="Times New Roman" w:cs="Times New Roman"/>
        <w:color w:val="auto"/>
        <w:sz w:val="22"/>
        <w:szCs w:val="22"/>
        <w:lang w:val="en-IN"/>
      </w:rPr>
      <w:t>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89E7F" w14:textId="77777777" w:rsidR="008D75A6" w:rsidRDefault="008D75A6" w:rsidP="008D75A6">
    <w:pPr>
      <w:pStyle w:val="Header"/>
      <w:rPr>
        <w:rFonts w:ascii="Times New Roman" w:hAnsi="Times New Roman" w:cs="Times New Roman"/>
        <w:color w:val="auto"/>
        <w:sz w:val="22"/>
        <w:szCs w:val="22"/>
        <w:lang w:val="en-IN"/>
      </w:rPr>
    </w:pPr>
    <w:r w:rsidRPr="008D75A6">
      <w:rPr>
        <w:rFonts w:ascii="Times New Roman" w:hAnsi="Times New Roman" w:cs="Times New Roman"/>
        <w:b/>
        <w:color w:val="auto"/>
        <w:sz w:val="22"/>
        <w:szCs w:val="22"/>
        <w:lang w:val="en-IN"/>
      </w:rPr>
      <w:t>Part</w:t>
    </w:r>
    <w:r w:rsidRPr="008D75A6">
      <w:rPr>
        <w:rFonts w:ascii="Times New Roman" w:hAnsi="Times New Roman" w:cs="Times New Roman"/>
        <w:color w:val="auto"/>
        <w:sz w:val="22"/>
        <w:szCs w:val="22"/>
        <w:lang w:val="en-IN"/>
      </w:rPr>
      <w:t xml:space="preserve"> </w:t>
    </w:r>
    <w:r>
      <w:rPr>
        <w:rFonts w:ascii="Times New Roman" w:hAnsi="Times New Roman" w:cs="Times New Roman"/>
        <w:b/>
        <w:bCs/>
        <w:color w:val="auto"/>
        <w:sz w:val="22"/>
        <w:szCs w:val="22"/>
        <w:lang w:val="en-IN"/>
      </w:rPr>
      <w:t>2</w:t>
    </w:r>
    <w:r w:rsidRPr="008D75A6">
      <w:rPr>
        <w:rFonts w:ascii="Times New Roman" w:hAnsi="Times New Roman" w:cs="Times New Roman"/>
        <w:b/>
        <w:bCs/>
        <w:color w:val="auto"/>
        <w:sz w:val="22"/>
        <w:szCs w:val="22"/>
        <w:lang w:val="en-IN"/>
      </w:rPr>
      <w:t xml:space="preserve"> </w:t>
    </w:r>
    <w:r>
      <w:rPr>
        <w:rFonts w:ascii="Times New Roman" w:hAnsi="Times New Roman" w:cs="Times New Roman"/>
        <w:color w:val="auto"/>
        <w:sz w:val="22"/>
        <w:szCs w:val="22"/>
        <w:lang w:val="en-IN"/>
      </w:rPr>
      <w:t>Transitional</w:t>
    </w:r>
  </w:p>
  <w:p w14:paraId="7C856917" w14:textId="77777777" w:rsidR="008D75A6" w:rsidRPr="008D75A6" w:rsidRDefault="00F43104" w:rsidP="008D75A6">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rPr>
      <w:pict w14:anchorId="5468032A">
        <v:shapetype id="_x0000_t32" coordsize="21600,21600" o:spt="32" o:oned="t" path="m,l21600,21600e" filled="f">
          <v:path arrowok="t" fillok="f" o:connecttype="none"/>
          <o:lock v:ext="edit" shapetype="t"/>
        </v:shapetype>
        <v:shape id="_x0000_s2055" type="#_x0000_t32" style="position:absolute;margin-left:-4.5pt;margin-top:25.6pt;width:477pt;height:0;z-index:251667456" o:connectortype="straight"/>
      </w:pict>
    </w:r>
    <w:r w:rsidR="008D75A6" w:rsidRPr="008D75A6">
      <w:rPr>
        <w:rFonts w:ascii="Times New Roman" w:hAnsi="Times New Roman" w:cs="Times New Roman"/>
        <w:color w:val="auto"/>
        <w:sz w:val="22"/>
        <w:szCs w:val="22"/>
        <w:lang w:val="en-IN"/>
      </w:rPr>
      <w:t xml:space="preserve">Section </w:t>
    </w:r>
    <w:r w:rsidR="008D75A6">
      <w:rPr>
        <w:rFonts w:ascii="Times New Roman" w:hAnsi="Times New Roman" w:cs="Times New Roman"/>
        <w:color w:val="auto"/>
        <w:sz w:val="22"/>
        <w:szCs w:val="22"/>
        <w:lang w:val="en-IN"/>
      </w:rPr>
      <w:t>11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675D5" w14:textId="77777777" w:rsidR="008D75A6" w:rsidRPr="004D6827" w:rsidRDefault="00F43104" w:rsidP="008D75A6">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rPr>
      <w:pict w14:anchorId="354E3B0C">
        <v:shapetype id="_x0000_t32" coordsize="21600,21600" o:spt="32" o:oned="t" path="m,l21600,21600e" filled="f">
          <v:path arrowok="t" fillok="f" o:connecttype="none"/>
          <o:lock v:ext="edit" shapetype="t"/>
        </v:shapetype>
        <v:shape id="_x0000_s2056" type="#_x0000_t32" style="position:absolute;left:0;text-align:left;margin-left:-13.5pt;margin-top:32.25pt;width:500.25pt;height:0;z-index:251669504" o:connectortype="straight"/>
      </w:pict>
    </w:r>
    <w:r w:rsidR="004D6827" w:rsidRPr="004D6827">
      <w:rPr>
        <w:rFonts w:ascii="Times New Roman" w:hAnsi="Times New Roman" w:cs="Times New Roman"/>
        <w:color w:val="auto"/>
        <w:sz w:val="22"/>
        <w:szCs w:val="22"/>
        <w:lang w:val="en-IN"/>
      </w:rPr>
      <w:t xml:space="preserve">Amendment of the Australian Law Reform Commission Act 1996 </w:t>
    </w:r>
    <w:r w:rsidR="004D6827" w:rsidRPr="004D6827">
      <w:rPr>
        <w:rFonts w:ascii="Times New Roman" w:hAnsi="Times New Roman" w:cs="Times New Roman"/>
        <w:b/>
        <w:color w:val="auto"/>
        <w:sz w:val="22"/>
        <w:szCs w:val="22"/>
        <w:lang w:val="en-IN"/>
      </w:rPr>
      <w:t>Schedule</w:t>
    </w:r>
    <w:r w:rsidR="004D6827" w:rsidRPr="004D6827">
      <w:rPr>
        <w:rFonts w:ascii="Times New Roman" w:hAnsi="Times New Roman" w:cs="Times New Roman"/>
        <w:color w:val="auto"/>
        <w:sz w:val="22"/>
        <w:szCs w:val="22"/>
        <w:lang w:val="en-IN"/>
      </w:rPr>
      <w:t xml:space="preserve"> </w:t>
    </w:r>
    <w:r w:rsidR="004D6827" w:rsidRPr="004D6827">
      <w:rPr>
        <w:rFonts w:ascii="Times New Roman" w:hAnsi="Times New Roman" w:cs="Times New Roman"/>
        <w:b/>
        <w:bCs/>
        <w:color w:val="auto"/>
        <w:sz w:val="22"/>
        <w:szCs w:val="22"/>
        <w:lang w:val="en-IN"/>
      </w:rPr>
      <w:t>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D810C" w14:textId="77777777" w:rsidR="004D6827" w:rsidRPr="004D6827" w:rsidRDefault="00F43104" w:rsidP="008D75A6">
    <w:pPr>
      <w:pStyle w:val="Header"/>
      <w:spacing w:before="240"/>
      <w:rPr>
        <w:rFonts w:ascii="Times New Roman" w:hAnsi="Times New Roman" w:cs="Times New Roman"/>
        <w:sz w:val="22"/>
        <w:szCs w:val="22"/>
      </w:rPr>
    </w:pPr>
    <w:r>
      <w:rPr>
        <w:rFonts w:ascii="Times New Roman" w:hAnsi="Times New Roman" w:cs="Times New Roman"/>
        <w:noProof/>
        <w:color w:val="auto"/>
        <w:sz w:val="22"/>
        <w:szCs w:val="22"/>
        <w:lang w:val="en-IN"/>
      </w:rPr>
      <w:pict w14:anchorId="153C1E91">
        <v:shapetype id="_x0000_t32" coordsize="21600,21600" o:spt="32" o:oned="t" path="m,l21600,21600e" filled="f">
          <v:path arrowok="t" fillok="f" o:connecttype="none"/>
          <o:lock v:ext="edit" shapetype="t"/>
        </v:shapetype>
        <v:shape id="_x0000_s2057" type="#_x0000_t32" style="position:absolute;margin-left:0;margin-top:27.75pt;width:477pt;height:0;z-index:251671552" o:connectortype="straight"/>
      </w:pict>
    </w:r>
    <w:r w:rsidR="004D6827" w:rsidRPr="004D6827">
      <w:rPr>
        <w:rFonts w:ascii="Times New Roman" w:hAnsi="Times New Roman" w:cs="Times New Roman"/>
        <w:b/>
        <w:color w:val="auto"/>
        <w:sz w:val="22"/>
        <w:szCs w:val="22"/>
        <w:lang w:val="en-IN"/>
      </w:rPr>
      <w:t>Schedule</w:t>
    </w:r>
    <w:r w:rsidR="004D6827" w:rsidRPr="004D6827">
      <w:rPr>
        <w:rFonts w:ascii="Times New Roman" w:hAnsi="Times New Roman" w:cs="Times New Roman"/>
        <w:color w:val="auto"/>
        <w:sz w:val="22"/>
        <w:szCs w:val="22"/>
        <w:lang w:val="en-IN"/>
      </w:rPr>
      <w:t xml:space="preserve"> </w:t>
    </w:r>
    <w:r w:rsidR="004D6827" w:rsidRPr="004D6827">
      <w:rPr>
        <w:rFonts w:ascii="Times New Roman" w:hAnsi="Times New Roman" w:cs="Times New Roman"/>
        <w:b/>
        <w:bCs/>
        <w:color w:val="auto"/>
        <w:sz w:val="22"/>
        <w:szCs w:val="22"/>
        <w:lang w:val="en-IN"/>
      </w:rPr>
      <w:t xml:space="preserve">1 </w:t>
    </w:r>
    <w:r w:rsidR="004D6827" w:rsidRPr="004D6827">
      <w:rPr>
        <w:rFonts w:ascii="Times New Roman" w:hAnsi="Times New Roman" w:cs="Times New Roman"/>
        <w:color w:val="auto"/>
        <w:sz w:val="22"/>
        <w:szCs w:val="22"/>
        <w:lang w:val="en-IN"/>
      </w:rPr>
      <w:t>Amendment of the Australian Law Reform Commission Act 1996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4C7B7" w14:textId="77777777" w:rsidR="004D6827" w:rsidRPr="004D6827" w:rsidRDefault="00F43104" w:rsidP="008D75A6">
    <w:pPr>
      <w:pStyle w:val="Header"/>
      <w:spacing w:before="240"/>
      <w:jc w:val="right"/>
      <w:rPr>
        <w:rFonts w:ascii="Times New Roman" w:hAnsi="Times New Roman" w:cs="Times New Roman"/>
        <w:sz w:val="22"/>
        <w:szCs w:val="22"/>
      </w:rPr>
    </w:pPr>
    <w:r>
      <w:rPr>
        <w:rFonts w:ascii="Times New Roman" w:hAnsi="Times New Roman" w:cs="Times New Roman"/>
        <w:noProof/>
        <w:color w:val="auto"/>
        <w:sz w:val="22"/>
        <w:szCs w:val="22"/>
        <w:lang w:val="en-IN"/>
      </w:rPr>
      <w:pict w14:anchorId="3E6D6709">
        <v:shapetype id="_x0000_t32" coordsize="21600,21600" o:spt="32" o:oned="t" path="m,l21600,21600e" filled="f">
          <v:path arrowok="t" fillok="f" o:connecttype="none"/>
          <o:lock v:ext="edit" shapetype="t"/>
        </v:shapetype>
        <v:shape id="_x0000_s2058" type="#_x0000_t32" style="position:absolute;left:0;text-align:left;margin-left:-13.5pt;margin-top:32.25pt;width:500.25pt;height:0;z-index:251673600" o:connectortype="straight"/>
      </w:pict>
    </w:r>
    <w:r w:rsidR="004D6827" w:rsidRPr="004D6827">
      <w:rPr>
        <w:rFonts w:ascii="Times New Roman" w:hAnsi="Times New Roman" w:cs="Times New Roman"/>
        <w:color w:val="auto"/>
        <w:sz w:val="22"/>
        <w:szCs w:val="22"/>
        <w:lang w:val="en-IN"/>
      </w:rPr>
      <w:t xml:space="preserve">Amendment or repeal of other Acts </w:t>
    </w:r>
    <w:r w:rsidR="004D6827" w:rsidRPr="004D6827">
      <w:rPr>
        <w:rFonts w:ascii="Times New Roman" w:hAnsi="Times New Roman" w:cs="Times New Roman"/>
        <w:b/>
        <w:color w:val="auto"/>
        <w:sz w:val="22"/>
        <w:szCs w:val="22"/>
        <w:lang w:val="en-IN"/>
      </w:rPr>
      <w:t>Schedule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5271"/>
    <w:multiLevelType w:val="multilevel"/>
    <w:tmpl w:val="D9FAC87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66A4F"/>
    <w:multiLevelType w:val="multilevel"/>
    <w:tmpl w:val="58CACB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B36F2"/>
    <w:multiLevelType w:val="multilevel"/>
    <w:tmpl w:val="26A6F70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9D02C4"/>
    <w:multiLevelType w:val="multilevel"/>
    <w:tmpl w:val="8CFE98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E7E89"/>
    <w:multiLevelType w:val="multilevel"/>
    <w:tmpl w:val="2A30E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2766A1"/>
    <w:multiLevelType w:val="hybridMultilevel"/>
    <w:tmpl w:val="ED36E418"/>
    <w:lvl w:ilvl="0" w:tplc="BA5A910C">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8DC352F"/>
    <w:multiLevelType w:val="hybridMultilevel"/>
    <w:tmpl w:val="BE26284E"/>
    <w:lvl w:ilvl="0" w:tplc="991646C8">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BC614C0"/>
    <w:multiLevelType w:val="multilevel"/>
    <w:tmpl w:val="A0BE2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F97AA7"/>
    <w:multiLevelType w:val="multilevel"/>
    <w:tmpl w:val="58BC9A8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4E25C5"/>
    <w:multiLevelType w:val="multilevel"/>
    <w:tmpl w:val="4F4A3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FA2BC7"/>
    <w:multiLevelType w:val="multilevel"/>
    <w:tmpl w:val="60029E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E944E9"/>
    <w:multiLevelType w:val="multilevel"/>
    <w:tmpl w:val="AC0249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F11736"/>
    <w:multiLevelType w:val="multilevel"/>
    <w:tmpl w:val="31E22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F93FAC"/>
    <w:multiLevelType w:val="multilevel"/>
    <w:tmpl w:val="F560EC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B157FA"/>
    <w:multiLevelType w:val="multilevel"/>
    <w:tmpl w:val="A70040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F65A18"/>
    <w:multiLevelType w:val="hybridMultilevel"/>
    <w:tmpl w:val="4926C9E8"/>
    <w:lvl w:ilvl="0" w:tplc="B900DB30">
      <w:start w:val="20"/>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562A42EE"/>
    <w:multiLevelType w:val="multilevel"/>
    <w:tmpl w:val="BDFA8F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DC281B"/>
    <w:multiLevelType w:val="multilevel"/>
    <w:tmpl w:val="9ADEBA8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4040A8"/>
    <w:multiLevelType w:val="multilevel"/>
    <w:tmpl w:val="56D831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7F2F20"/>
    <w:multiLevelType w:val="multilevel"/>
    <w:tmpl w:val="45F2E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6975F0"/>
    <w:multiLevelType w:val="multilevel"/>
    <w:tmpl w:val="B7C6A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9"/>
  </w:num>
  <w:num w:numId="3">
    <w:abstractNumId w:val="20"/>
  </w:num>
  <w:num w:numId="4">
    <w:abstractNumId w:val="3"/>
  </w:num>
  <w:num w:numId="5">
    <w:abstractNumId w:val="11"/>
  </w:num>
  <w:num w:numId="6">
    <w:abstractNumId w:val="4"/>
  </w:num>
  <w:num w:numId="7">
    <w:abstractNumId w:val="13"/>
  </w:num>
  <w:num w:numId="8">
    <w:abstractNumId w:val="12"/>
  </w:num>
  <w:num w:numId="9">
    <w:abstractNumId w:val="10"/>
  </w:num>
  <w:num w:numId="10">
    <w:abstractNumId w:val="7"/>
  </w:num>
  <w:num w:numId="11">
    <w:abstractNumId w:val="19"/>
  </w:num>
  <w:num w:numId="12">
    <w:abstractNumId w:val="18"/>
  </w:num>
  <w:num w:numId="13">
    <w:abstractNumId w:val="2"/>
  </w:num>
  <w:num w:numId="14">
    <w:abstractNumId w:val="0"/>
  </w:num>
  <w:num w:numId="15">
    <w:abstractNumId w:val="8"/>
  </w:num>
  <w:num w:numId="16">
    <w:abstractNumId w:val="1"/>
  </w:num>
  <w:num w:numId="17">
    <w:abstractNumId w:val="14"/>
  </w:num>
  <w:num w:numId="18">
    <w:abstractNumId w:val="17"/>
  </w:num>
  <w:num w:numId="19">
    <w:abstractNumId w:val="5"/>
  </w:num>
  <w:num w:numId="20">
    <w:abstractNumId w:val="15"/>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2059"/>
    <o:shapelayout v:ext="edit">
      <o:idmap v:ext="edit" data="2"/>
      <o:rules v:ext="edit">
        <o:r id="V:Rule11" type="connector" idref="#_x0000_s2052"/>
        <o:r id="V:Rule12" type="connector" idref="#_x0000_s2049"/>
        <o:r id="V:Rule13" type="connector" idref="#_x0000_s2053"/>
        <o:r id="V:Rule14" type="connector" idref="#_x0000_s2054"/>
        <o:r id="V:Rule15" type="connector" idref="#_x0000_s2055"/>
        <o:r id="V:Rule16" type="connector" idref="#_x0000_s2051"/>
        <o:r id="V:Rule17" type="connector" idref="#_x0000_s2050"/>
        <o:r id="V:Rule18" type="connector" idref="#_x0000_s2058"/>
        <o:r id="V:Rule19" type="connector" idref="#_x0000_s2056"/>
        <o:r id="V:Rule20" type="connector" idref="#_x0000_s2057"/>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F5C59"/>
    <w:rsid w:val="00046D37"/>
    <w:rsid w:val="00063360"/>
    <w:rsid w:val="0006381E"/>
    <w:rsid w:val="000C3A09"/>
    <w:rsid w:val="000E4EFE"/>
    <w:rsid w:val="0010336B"/>
    <w:rsid w:val="00120795"/>
    <w:rsid w:val="0012229E"/>
    <w:rsid w:val="00141856"/>
    <w:rsid w:val="00190873"/>
    <w:rsid w:val="0019271F"/>
    <w:rsid w:val="001F5C59"/>
    <w:rsid w:val="002367BB"/>
    <w:rsid w:val="00264B6A"/>
    <w:rsid w:val="00270EB6"/>
    <w:rsid w:val="00272BF2"/>
    <w:rsid w:val="002C675B"/>
    <w:rsid w:val="002D670D"/>
    <w:rsid w:val="00325DE1"/>
    <w:rsid w:val="003273E5"/>
    <w:rsid w:val="00354396"/>
    <w:rsid w:val="003725B5"/>
    <w:rsid w:val="00372E1B"/>
    <w:rsid w:val="003E7A8B"/>
    <w:rsid w:val="004143F6"/>
    <w:rsid w:val="00430CE4"/>
    <w:rsid w:val="004447E3"/>
    <w:rsid w:val="00460FCD"/>
    <w:rsid w:val="004704C6"/>
    <w:rsid w:val="004925B9"/>
    <w:rsid w:val="004D6827"/>
    <w:rsid w:val="004E420A"/>
    <w:rsid w:val="00504848"/>
    <w:rsid w:val="00517D58"/>
    <w:rsid w:val="00530235"/>
    <w:rsid w:val="00581C37"/>
    <w:rsid w:val="005852D7"/>
    <w:rsid w:val="00590021"/>
    <w:rsid w:val="005C557C"/>
    <w:rsid w:val="005F2397"/>
    <w:rsid w:val="00662AB0"/>
    <w:rsid w:val="0066415D"/>
    <w:rsid w:val="006825E8"/>
    <w:rsid w:val="006924D9"/>
    <w:rsid w:val="0069510A"/>
    <w:rsid w:val="006C6942"/>
    <w:rsid w:val="0070658B"/>
    <w:rsid w:val="0072007D"/>
    <w:rsid w:val="00750C26"/>
    <w:rsid w:val="007A72D5"/>
    <w:rsid w:val="007A7692"/>
    <w:rsid w:val="007B267D"/>
    <w:rsid w:val="00850BC1"/>
    <w:rsid w:val="008615AE"/>
    <w:rsid w:val="00891A85"/>
    <w:rsid w:val="008C4DDB"/>
    <w:rsid w:val="008D75A6"/>
    <w:rsid w:val="00947BAA"/>
    <w:rsid w:val="009573A3"/>
    <w:rsid w:val="00962715"/>
    <w:rsid w:val="009633AA"/>
    <w:rsid w:val="0098123E"/>
    <w:rsid w:val="00986DBD"/>
    <w:rsid w:val="009D31F6"/>
    <w:rsid w:val="009D6D63"/>
    <w:rsid w:val="00A16166"/>
    <w:rsid w:val="00A205D9"/>
    <w:rsid w:val="00A21CAC"/>
    <w:rsid w:val="00AA0F93"/>
    <w:rsid w:val="00AC2C33"/>
    <w:rsid w:val="00B56A96"/>
    <w:rsid w:val="00B6263B"/>
    <w:rsid w:val="00B915A6"/>
    <w:rsid w:val="00BE0696"/>
    <w:rsid w:val="00C4307E"/>
    <w:rsid w:val="00C5694A"/>
    <w:rsid w:val="00CA53F3"/>
    <w:rsid w:val="00CB033F"/>
    <w:rsid w:val="00CB58A2"/>
    <w:rsid w:val="00CC30FB"/>
    <w:rsid w:val="00CE20E6"/>
    <w:rsid w:val="00CE4FCA"/>
    <w:rsid w:val="00D00D82"/>
    <w:rsid w:val="00DA1682"/>
    <w:rsid w:val="00DB6C8A"/>
    <w:rsid w:val="00E71A2E"/>
    <w:rsid w:val="00ED1F6E"/>
    <w:rsid w:val="00EE1A87"/>
    <w:rsid w:val="00F3055F"/>
    <w:rsid w:val="00F30687"/>
    <w:rsid w:val="00F43104"/>
    <w:rsid w:val="00F464D4"/>
    <w:rsid w:val="00F61237"/>
    <w:rsid w:val="00F95EA2"/>
    <w:rsid w:val="00FA33D9"/>
    <w:rsid w:val="00FD2879"/>
    <w:rsid w:val="00FF2A6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A35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pacing w:val="-10"/>
      <w:sz w:val="41"/>
      <w:szCs w:val="41"/>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2"/>
      <w:szCs w:val="32"/>
      <w:u w:val="none"/>
    </w:rPr>
  </w:style>
  <w:style w:type="character" w:customStyle="1" w:styleId="Bodytext3Italic">
    <w:name w:val="Body text (3) + Italic"/>
    <w:basedOn w:val="Bodytext3"/>
    <w:rPr>
      <w:rFonts w:ascii="Times New Roman" w:eastAsia="Times New Roman" w:hAnsi="Times New Roman" w:cs="Times New Roman"/>
      <w:b/>
      <w:bCs/>
      <w:i/>
      <w:iCs/>
      <w:smallCaps w:val="0"/>
      <w:strike w:val="0"/>
      <w:color w:val="000000"/>
      <w:spacing w:val="0"/>
      <w:w w:val="100"/>
      <w:position w:val="0"/>
      <w:sz w:val="32"/>
      <w:szCs w:val="32"/>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17"/>
      <w:szCs w:val="17"/>
      <w:u w:val="none"/>
    </w:rPr>
  </w:style>
  <w:style w:type="character" w:customStyle="1" w:styleId="Bodytext81">
    <w:name w:val="Body text (8)"/>
    <w:basedOn w:val="Bodytext8"/>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0"/>
      <w:szCs w:val="20"/>
      <w:u w:val="none"/>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15pt">
    <w:name w:val="Body text + 11.5 pt"/>
    <w:aliases w:val="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4">
    <w:name w:val="Body text (4)_"/>
    <w:basedOn w:val="DefaultParagraphFont"/>
    <w:link w:val="Bodytext40"/>
    <w:rPr>
      <w:rFonts w:ascii="Arial" w:eastAsia="Arial" w:hAnsi="Arial" w:cs="Arial"/>
      <w:b/>
      <w:bCs/>
      <w:i w:val="0"/>
      <w:iCs w:val="0"/>
      <w:smallCaps w:val="0"/>
      <w:strike w:val="0"/>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0"/>
      <w:szCs w:val="2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17"/>
      <w:szCs w:val="17"/>
      <w:u w:val="none"/>
    </w:rPr>
  </w:style>
  <w:style w:type="character" w:customStyle="1" w:styleId="Bodytext995pt">
    <w:name w:val="Body text (9) + 9.5 pt"/>
    <w:aliases w:val="Bold"/>
    <w:basedOn w:val="Bodytext9"/>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9Bold">
    <w:name w:val="Body text (9) + Bold"/>
    <w:basedOn w:val="Bodytext9"/>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91">
    <w:name w:val="Body text (9)"/>
    <w:basedOn w:val="Bodytext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32"/>
      <w:szCs w:val="32"/>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3"/>
      <w:szCs w:val="23"/>
      <w:u w:val="none"/>
    </w:rPr>
  </w:style>
  <w:style w:type="character" w:customStyle="1" w:styleId="Bodytext5NotItalic0">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Bold">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910pt">
    <w:name w:val="Body text (9) + 10 pt"/>
    <w:basedOn w:val="Bodytext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ing2">
    <w:name w:val="Heading #2_"/>
    <w:basedOn w:val="DefaultParagraphFont"/>
    <w:link w:val="Heading20"/>
    <w:rPr>
      <w:rFonts w:ascii="Arial" w:eastAsia="Arial" w:hAnsi="Arial" w:cs="Arial"/>
      <w:b/>
      <w:bCs/>
      <w:i w:val="0"/>
      <w:iCs w:val="0"/>
      <w:smallCaps w:val="0"/>
      <w:strike w:val="0"/>
      <w:sz w:val="32"/>
      <w:szCs w:val="32"/>
      <w:u w:val="none"/>
    </w:rPr>
  </w:style>
  <w:style w:type="character" w:customStyle="1" w:styleId="Heading32">
    <w:name w:val="Heading #3 (2)_"/>
    <w:basedOn w:val="DefaultParagraphFont"/>
    <w:link w:val="Heading320"/>
    <w:rPr>
      <w:rFonts w:ascii="Arial" w:eastAsia="Arial" w:hAnsi="Arial" w:cs="Arial"/>
      <w:b/>
      <w:bCs/>
      <w:i w:val="0"/>
      <w:iCs w:val="0"/>
      <w:smallCaps w:val="0"/>
      <w:strike w:val="0"/>
      <w:u w:val="none"/>
    </w:rPr>
  </w:style>
  <w:style w:type="character" w:customStyle="1" w:styleId="Bodytext8NotItalic">
    <w:name w:val="Body text (8) + Not Italic"/>
    <w:basedOn w:val="Bodytext8"/>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bCs/>
      <w:i/>
      <w:iCs/>
      <w:smallCaps w:val="0"/>
      <w:strike w:val="0"/>
      <w:sz w:val="27"/>
      <w:szCs w:val="27"/>
      <w:u w:val="none"/>
    </w:rPr>
  </w:style>
  <w:style w:type="paragraph" w:customStyle="1" w:styleId="Bodytext20">
    <w:name w:val="Body text (2)"/>
    <w:basedOn w:val="Normal"/>
    <w:link w:val="Bodytext2"/>
    <w:pPr>
      <w:spacing w:line="403" w:lineRule="exact"/>
    </w:pPr>
    <w:rPr>
      <w:rFonts w:ascii="Times New Roman" w:eastAsia="Times New Roman" w:hAnsi="Times New Roman" w:cs="Times New Roman"/>
      <w:b/>
      <w:bCs/>
      <w:spacing w:val="-10"/>
      <w:sz w:val="41"/>
      <w:szCs w:val="41"/>
    </w:rPr>
  </w:style>
  <w:style w:type="paragraph" w:customStyle="1" w:styleId="Bodytext30">
    <w:name w:val="Body text (3)"/>
    <w:basedOn w:val="Normal"/>
    <w:link w:val="Bodytext3"/>
    <w:pPr>
      <w:spacing w:line="485" w:lineRule="exact"/>
    </w:pPr>
    <w:rPr>
      <w:rFonts w:ascii="Times New Roman" w:eastAsia="Times New Roman" w:hAnsi="Times New Roman" w:cs="Times New Roman"/>
      <w:b/>
      <w:bCs/>
      <w:sz w:val="32"/>
      <w:szCs w:val="32"/>
    </w:rPr>
  </w:style>
  <w:style w:type="paragraph" w:customStyle="1" w:styleId="Bodytext80">
    <w:name w:val="Body text (8)"/>
    <w:basedOn w:val="Normal"/>
    <w:link w:val="Bodytext8"/>
    <w:pPr>
      <w:spacing w:line="202" w:lineRule="exact"/>
      <w:ind w:hanging="480"/>
      <w:jc w:val="both"/>
    </w:pPr>
    <w:rPr>
      <w:rFonts w:ascii="Times New Roman" w:eastAsia="Times New Roman" w:hAnsi="Times New Roman" w:cs="Times New Roman"/>
      <w:i/>
      <w:iCs/>
      <w:sz w:val="17"/>
      <w:szCs w:val="17"/>
    </w:rPr>
  </w:style>
  <w:style w:type="paragraph" w:customStyle="1" w:styleId="BodyText21">
    <w:name w:val="Body Text2"/>
    <w:basedOn w:val="Normal"/>
    <w:link w:val="Bodytext"/>
    <w:pPr>
      <w:spacing w:line="245" w:lineRule="exact"/>
      <w:ind w:hanging="480"/>
    </w:pPr>
    <w:rPr>
      <w:rFonts w:ascii="Times New Roman" w:eastAsia="Times New Roman" w:hAnsi="Times New Roman" w:cs="Times New Roman"/>
      <w:sz w:val="20"/>
      <w:szCs w:val="20"/>
    </w:rPr>
  </w:style>
  <w:style w:type="paragraph" w:customStyle="1" w:styleId="Bodytext40">
    <w:name w:val="Body text (4)"/>
    <w:basedOn w:val="Normal"/>
    <w:link w:val="Bodytext4"/>
    <w:pPr>
      <w:spacing w:line="0" w:lineRule="atLeast"/>
    </w:pPr>
    <w:rPr>
      <w:rFonts w:ascii="Arial" w:eastAsia="Arial" w:hAnsi="Arial" w:cs="Arial"/>
      <w:b/>
      <w:bCs/>
    </w:rPr>
  </w:style>
  <w:style w:type="paragraph" w:customStyle="1" w:styleId="Bodytext50">
    <w:name w:val="Body text (5)"/>
    <w:basedOn w:val="Normal"/>
    <w:link w:val="Bodytext5"/>
    <w:pPr>
      <w:spacing w:line="0" w:lineRule="atLeast"/>
      <w:ind w:hanging="440"/>
    </w:pPr>
    <w:rPr>
      <w:rFonts w:ascii="Times New Roman" w:eastAsia="Times New Roman" w:hAnsi="Times New Roman" w:cs="Times New Roman"/>
      <w:i/>
      <w:iCs/>
      <w:sz w:val="20"/>
      <w:szCs w:val="20"/>
    </w:rPr>
  </w:style>
  <w:style w:type="paragraph" w:customStyle="1" w:styleId="Bodytext60">
    <w:name w:val="Body text (6)"/>
    <w:basedOn w:val="Normal"/>
    <w:link w:val="Bodytext6"/>
    <w:pPr>
      <w:spacing w:line="0" w:lineRule="atLeast"/>
    </w:pPr>
    <w:rPr>
      <w:rFonts w:ascii="Times New Roman" w:eastAsia="Times New Roman" w:hAnsi="Times New Roman" w:cs="Times New Roman"/>
      <w:b/>
      <w:bCs/>
      <w:sz w:val="28"/>
      <w:szCs w:val="28"/>
    </w:rPr>
  </w:style>
  <w:style w:type="paragraph" w:customStyle="1" w:styleId="Bodytext90">
    <w:name w:val="Body text (9)"/>
    <w:basedOn w:val="Normal"/>
    <w:link w:val="Bodytext9"/>
    <w:pPr>
      <w:spacing w:line="202" w:lineRule="exact"/>
    </w:pPr>
    <w:rPr>
      <w:rFonts w:ascii="Times New Roman" w:eastAsia="Times New Roman" w:hAnsi="Times New Roman" w:cs="Times New Roman"/>
      <w:sz w:val="17"/>
      <w:szCs w:val="17"/>
    </w:rPr>
  </w:style>
  <w:style w:type="paragraph" w:customStyle="1" w:styleId="Heading220">
    <w:name w:val="Heading #2 (2)"/>
    <w:basedOn w:val="Normal"/>
    <w:link w:val="Heading22"/>
    <w:pPr>
      <w:spacing w:line="0" w:lineRule="atLeast"/>
      <w:jc w:val="both"/>
      <w:outlineLvl w:val="1"/>
    </w:pPr>
    <w:rPr>
      <w:rFonts w:ascii="Times New Roman" w:eastAsia="Times New Roman" w:hAnsi="Times New Roman" w:cs="Times New Roman"/>
      <w:b/>
      <w:bCs/>
      <w:sz w:val="32"/>
      <w:szCs w:val="32"/>
    </w:rPr>
  </w:style>
  <w:style w:type="paragraph" w:customStyle="1" w:styleId="Bodytext70">
    <w:name w:val="Body text (7)"/>
    <w:basedOn w:val="Normal"/>
    <w:link w:val="Bodytext7"/>
    <w:pPr>
      <w:spacing w:line="0" w:lineRule="atLeast"/>
      <w:jc w:val="both"/>
    </w:pPr>
    <w:rPr>
      <w:rFonts w:ascii="Times New Roman" w:eastAsia="Times New Roman" w:hAnsi="Times New Roman" w:cs="Times New Roman"/>
      <w:b/>
      <w:bCs/>
      <w:sz w:val="23"/>
      <w:szCs w:val="23"/>
    </w:rPr>
  </w:style>
  <w:style w:type="paragraph" w:customStyle="1" w:styleId="Heading20">
    <w:name w:val="Heading #2"/>
    <w:basedOn w:val="Normal"/>
    <w:link w:val="Heading2"/>
    <w:pPr>
      <w:spacing w:line="322" w:lineRule="exact"/>
      <w:ind w:hanging="1220"/>
      <w:jc w:val="right"/>
      <w:outlineLvl w:val="1"/>
    </w:pPr>
    <w:rPr>
      <w:rFonts w:ascii="Arial" w:eastAsia="Arial" w:hAnsi="Arial" w:cs="Arial"/>
      <w:b/>
      <w:bCs/>
      <w:sz w:val="32"/>
      <w:szCs w:val="32"/>
    </w:rPr>
  </w:style>
  <w:style w:type="paragraph" w:customStyle="1" w:styleId="Heading320">
    <w:name w:val="Heading #3 (2)"/>
    <w:basedOn w:val="Normal"/>
    <w:link w:val="Heading32"/>
    <w:pPr>
      <w:spacing w:line="0" w:lineRule="atLeast"/>
      <w:jc w:val="both"/>
      <w:outlineLvl w:val="2"/>
    </w:pPr>
    <w:rPr>
      <w:rFonts w:ascii="Arial" w:eastAsia="Arial" w:hAnsi="Arial" w:cs="Arial"/>
      <w:b/>
      <w:bCs/>
    </w:rPr>
  </w:style>
  <w:style w:type="paragraph" w:customStyle="1" w:styleId="Bodytext100">
    <w:name w:val="Body text (10)"/>
    <w:basedOn w:val="Normal"/>
    <w:link w:val="Bodytext10"/>
    <w:pPr>
      <w:spacing w:line="0" w:lineRule="atLeast"/>
      <w:jc w:val="both"/>
    </w:pPr>
    <w:rPr>
      <w:rFonts w:ascii="Times New Roman" w:eastAsia="Times New Roman" w:hAnsi="Times New Roman" w:cs="Times New Roman"/>
      <w:b/>
      <w:bCs/>
      <w:i/>
      <w:iCs/>
      <w:sz w:val="27"/>
      <w:szCs w:val="27"/>
    </w:rPr>
  </w:style>
  <w:style w:type="paragraph" w:styleId="Header">
    <w:name w:val="header"/>
    <w:basedOn w:val="Normal"/>
    <w:link w:val="HeaderChar"/>
    <w:uiPriority w:val="99"/>
    <w:unhideWhenUsed/>
    <w:rsid w:val="00B6263B"/>
    <w:pPr>
      <w:tabs>
        <w:tab w:val="center" w:pos="4680"/>
        <w:tab w:val="right" w:pos="9360"/>
      </w:tabs>
    </w:pPr>
  </w:style>
  <w:style w:type="character" w:customStyle="1" w:styleId="HeaderChar">
    <w:name w:val="Header Char"/>
    <w:basedOn w:val="DefaultParagraphFont"/>
    <w:link w:val="Header"/>
    <w:uiPriority w:val="99"/>
    <w:rsid w:val="00B6263B"/>
    <w:rPr>
      <w:color w:val="000000"/>
    </w:rPr>
  </w:style>
  <w:style w:type="paragraph" w:styleId="Footer">
    <w:name w:val="footer"/>
    <w:basedOn w:val="Normal"/>
    <w:link w:val="FooterChar"/>
    <w:uiPriority w:val="99"/>
    <w:unhideWhenUsed/>
    <w:rsid w:val="00B6263B"/>
    <w:pPr>
      <w:tabs>
        <w:tab w:val="center" w:pos="4680"/>
        <w:tab w:val="right" w:pos="9360"/>
      </w:tabs>
    </w:pPr>
  </w:style>
  <w:style w:type="character" w:customStyle="1" w:styleId="FooterChar">
    <w:name w:val="Footer Char"/>
    <w:basedOn w:val="DefaultParagraphFont"/>
    <w:link w:val="Footer"/>
    <w:uiPriority w:val="99"/>
    <w:rsid w:val="00B6263B"/>
    <w:rPr>
      <w:color w:val="000000"/>
    </w:rPr>
  </w:style>
  <w:style w:type="paragraph" w:styleId="BalloonText">
    <w:name w:val="Balloon Text"/>
    <w:basedOn w:val="Normal"/>
    <w:link w:val="BalloonTextChar"/>
    <w:uiPriority w:val="99"/>
    <w:semiHidden/>
    <w:unhideWhenUsed/>
    <w:rsid w:val="00FF2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A6E"/>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FF2A6E"/>
    <w:rPr>
      <w:sz w:val="16"/>
      <w:szCs w:val="16"/>
    </w:rPr>
  </w:style>
  <w:style w:type="paragraph" w:styleId="CommentText">
    <w:name w:val="annotation text"/>
    <w:basedOn w:val="Normal"/>
    <w:link w:val="CommentTextChar"/>
    <w:uiPriority w:val="99"/>
    <w:semiHidden/>
    <w:unhideWhenUsed/>
    <w:rsid w:val="00FF2A6E"/>
    <w:rPr>
      <w:sz w:val="20"/>
      <w:szCs w:val="20"/>
    </w:rPr>
  </w:style>
  <w:style w:type="character" w:customStyle="1" w:styleId="CommentTextChar">
    <w:name w:val="Comment Text Char"/>
    <w:basedOn w:val="DefaultParagraphFont"/>
    <w:link w:val="CommentText"/>
    <w:uiPriority w:val="99"/>
    <w:semiHidden/>
    <w:rsid w:val="00FF2A6E"/>
    <w:rPr>
      <w:color w:val="000000"/>
      <w:sz w:val="20"/>
      <w:szCs w:val="20"/>
    </w:rPr>
  </w:style>
  <w:style w:type="paragraph" w:styleId="CommentSubject">
    <w:name w:val="annotation subject"/>
    <w:basedOn w:val="CommentText"/>
    <w:next w:val="CommentText"/>
    <w:link w:val="CommentSubjectChar"/>
    <w:uiPriority w:val="99"/>
    <w:semiHidden/>
    <w:unhideWhenUsed/>
    <w:rsid w:val="00FF2A6E"/>
    <w:rPr>
      <w:b/>
      <w:bCs/>
    </w:rPr>
  </w:style>
  <w:style w:type="character" w:customStyle="1" w:styleId="CommentSubjectChar">
    <w:name w:val="Comment Subject Char"/>
    <w:basedOn w:val="CommentTextChar"/>
    <w:link w:val="CommentSubject"/>
    <w:uiPriority w:val="99"/>
    <w:semiHidden/>
    <w:rsid w:val="00FF2A6E"/>
    <w:rPr>
      <w:b/>
      <w:bCs/>
      <w:color w:val="000000"/>
      <w:sz w:val="20"/>
      <w:szCs w:val="20"/>
    </w:rPr>
  </w:style>
  <w:style w:type="paragraph" w:styleId="Revision">
    <w:name w:val="Revision"/>
    <w:hidden/>
    <w:uiPriority w:val="99"/>
    <w:semiHidden/>
    <w:rsid w:val="00F43104"/>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26" Type="http://schemas.microsoft.com/office/2016/09/relationships/commentsIds" Target="commentsIds.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1685</Words>
  <Characters>8498</Characters>
  <Application>Microsoft Office Word</Application>
  <DocSecurity>0</DocSecurity>
  <Lines>197</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2019-10-07T04:19:00Z</dcterms:created>
  <dcterms:modified xsi:type="dcterms:W3CDTF">2019-11-18T03:40:00Z</dcterms:modified>
</cp:coreProperties>
</file>